
<file path=[Content_Types].xml><?xml version="1.0" encoding="utf-8"?>
<Types xmlns="http://schemas.openxmlformats.org/package/2006/content-type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drawings/drawing2.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drawings/drawing3.xml" ContentType="application/vnd.openxmlformats-officedocument.drawingml.chartshapes+xml"/>
  <Override PartName="/word/charts/chart17.xml" ContentType="application/vnd.openxmlformats-officedocument.drawingml.chart+xml"/>
  <Override PartName="/word/theme/themeOverride17.xml" ContentType="application/vnd.openxmlformats-officedocument.themeOverride+xml"/>
  <Override PartName="/word/drawings/drawing4.xml" ContentType="application/vnd.openxmlformats-officedocument.drawingml.chartshapes+xml"/>
  <Override PartName="/word/charts/chart18.xml" ContentType="application/vnd.openxmlformats-officedocument.drawingml.chart+xml"/>
  <Override PartName="/word/theme/themeOverride18.xml" ContentType="application/vnd.openxmlformats-officedocument.themeOverride+xml"/>
  <Override PartName="/word/drawings/drawing5.xml" ContentType="application/vnd.openxmlformats-officedocument.drawingml.chartshapes+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drawings/drawing6.xml" ContentType="application/vnd.openxmlformats-officedocument.drawingml.chartshapes+xml"/>
  <Override PartName="/word/charts/chart21.xml" ContentType="application/vnd.openxmlformats-officedocument.drawingml.chart+xml"/>
  <Override PartName="/word/theme/themeOverride21.xml" ContentType="application/vnd.openxmlformats-officedocument.themeOverride+xml"/>
  <Override PartName="/word/drawings/drawing7.xml" ContentType="application/vnd.openxmlformats-officedocument.drawingml.chartshapes+xml"/>
  <Override PartName="/word/charts/chart22.xml" ContentType="application/vnd.openxmlformats-officedocument.drawingml.chart+xml"/>
  <Override PartName="/word/theme/themeOverride22.xml" ContentType="application/vnd.openxmlformats-officedocument.themeOverride+xml"/>
  <Override PartName="/word/drawings/drawing8.xml" ContentType="application/vnd.openxmlformats-officedocument.drawingml.chartshapes+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drawings/drawing9.xml" ContentType="application/vnd.openxmlformats-officedocument.drawingml.chartshapes+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header3.xml" ContentType="application/vnd.openxmlformats-officedocument.wordprocessingml.header+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853F03" w14:textId="0B594AA1" w:rsidR="009F1F1C" w:rsidRPr="00BD295E" w:rsidRDefault="00997D07" w:rsidP="0010560E">
      <w:pPr>
        <w:ind w:firstLine="708"/>
        <w:jc w:val="right"/>
        <w:rPr>
          <w:rFonts w:ascii="Arial" w:hAnsi="Arial" w:cs="Arial"/>
          <w:sz w:val="18"/>
          <w:szCs w:val="18"/>
          <w:lang w:val="en-US"/>
        </w:rPr>
      </w:pPr>
      <w:r w:rsidRPr="00BD295E">
        <w:rPr>
          <w:rFonts w:ascii="Arial" w:hAnsi="Arial" w:cs="Arial"/>
          <w:sz w:val="18"/>
          <w:szCs w:val="18"/>
          <w:lang w:val="en-US" w:eastAsia="en-US"/>
        </w:rPr>
        <w:drawing>
          <wp:anchor distT="0" distB="0" distL="114300" distR="114300" simplePos="0" relativeHeight="251621888" behindDoc="0" locked="0" layoutInCell="1" allowOverlap="1" wp14:anchorId="77D8BB75" wp14:editId="2A229275">
            <wp:simplePos x="0" y="0"/>
            <wp:positionH relativeFrom="column">
              <wp:posOffset>-3810</wp:posOffset>
            </wp:positionH>
            <wp:positionV relativeFrom="paragraph">
              <wp:posOffset>148590</wp:posOffset>
            </wp:positionV>
            <wp:extent cx="1682750" cy="504825"/>
            <wp:effectExtent l="0" t="0" r="0" b="0"/>
            <wp:wrapNone/>
            <wp:docPr id="515" name="Рисунок 5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9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82750" cy="50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295E">
        <w:rPr>
          <w:rFonts w:ascii="Arial" w:hAnsi="Arial" w:cs="Arial"/>
          <w:sz w:val="18"/>
          <w:szCs w:val="18"/>
          <w:lang w:val="en-US" w:eastAsia="en-US"/>
        </w:rPr>
        <w:drawing>
          <wp:inline distT="0" distB="0" distL="0" distR="0" wp14:anchorId="509C7FCC" wp14:editId="3E11A450">
            <wp:extent cx="2695575" cy="909955"/>
            <wp:effectExtent l="0" t="0" r="0" b="0"/>
            <wp:docPr id="1"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5575" cy="909955"/>
                    </a:xfrm>
                    <a:prstGeom prst="rect">
                      <a:avLst/>
                    </a:prstGeom>
                    <a:noFill/>
                    <a:ln>
                      <a:noFill/>
                    </a:ln>
                  </pic:spPr>
                </pic:pic>
              </a:graphicData>
            </a:graphic>
          </wp:inline>
        </w:drawing>
      </w:r>
    </w:p>
    <w:p w14:paraId="09CF4044" w14:textId="77777777" w:rsidR="009F1F1C" w:rsidRPr="00BD295E" w:rsidRDefault="009F1F1C" w:rsidP="009F1F1C">
      <w:pPr>
        <w:jc w:val="right"/>
        <w:rPr>
          <w:rFonts w:ascii="Arial" w:hAnsi="Arial" w:cs="Arial"/>
          <w:sz w:val="18"/>
          <w:szCs w:val="18"/>
          <w:lang w:val="en-US"/>
        </w:rPr>
      </w:pPr>
    </w:p>
    <w:p w14:paraId="6EE132F0" w14:textId="77777777" w:rsidR="009F1F1C" w:rsidRPr="00BD295E" w:rsidRDefault="008A5057" w:rsidP="009F1F1C">
      <w:pPr>
        <w:spacing w:after="200" w:line="276" w:lineRule="auto"/>
        <w:jc w:val="right"/>
        <w:rPr>
          <w:rFonts w:ascii="Arial" w:hAnsi="Arial" w:cs="Arial"/>
          <w:sz w:val="18"/>
          <w:szCs w:val="18"/>
          <w:lang w:val="en-US"/>
        </w:rPr>
      </w:pPr>
      <w:r w:rsidRPr="00BD295E">
        <w:rPr>
          <w:rFonts w:ascii="Arial" w:hAnsi="Arial" w:cs="Arial"/>
          <w:sz w:val="18"/>
          <w:szCs w:val="18"/>
          <w:lang w:val="en-US"/>
        </w:rPr>
        <w:t xml:space="preserve">Preliminarily approved </w:t>
      </w:r>
    </w:p>
    <w:p w14:paraId="506C10E8" w14:textId="77777777" w:rsidR="009F1F1C" w:rsidRPr="00BD295E" w:rsidRDefault="004F279F" w:rsidP="009F1F1C">
      <w:pPr>
        <w:spacing w:after="200" w:line="276" w:lineRule="auto"/>
        <w:jc w:val="right"/>
        <w:rPr>
          <w:rFonts w:ascii="Arial" w:hAnsi="Arial" w:cs="Arial"/>
          <w:sz w:val="18"/>
          <w:szCs w:val="18"/>
          <w:lang w:val="en-US"/>
        </w:rPr>
      </w:pPr>
      <w:r w:rsidRPr="00BD295E">
        <w:rPr>
          <w:rFonts w:ascii="Arial" w:hAnsi="Arial" w:cs="Arial"/>
          <w:sz w:val="18"/>
          <w:szCs w:val="18"/>
          <w:lang w:val="en-US"/>
        </w:rPr>
        <w:t>under</w:t>
      </w:r>
      <w:r w:rsidR="008A5057" w:rsidRPr="00BD295E">
        <w:rPr>
          <w:rFonts w:ascii="Arial" w:hAnsi="Arial" w:cs="Arial"/>
          <w:sz w:val="18"/>
          <w:szCs w:val="18"/>
          <w:lang w:val="en-US"/>
        </w:rPr>
        <w:t xml:space="preserve"> Resolution of the Board of Directors</w:t>
      </w:r>
    </w:p>
    <w:p w14:paraId="5CD16786" w14:textId="77777777" w:rsidR="009F1F1C" w:rsidRPr="00BD295E" w:rsidRDefault="008A5057" w:rsidP="009F1F1C">
      <w:pPr>
        <w:spacing w:after="200" w:line="276" w:lineRule="auto"/>
        <w:jc w:val="right"/>
        <w:rPr>
          <w:rFonts w:ascii="Arial" w:hAnsi="Arial" w:cs="Arial"/>
          <w:sz w:val="18"/>
          <w:szCs w:val="18"/>
          <w:lang w:val="en-US"/>
        </w:rPr>
      </w:pPr>
      <w:r w:rsidRPr="00BD295E">
        <w:rPr>
          <w:rFonts w:ascii="Arial" w:hAnsi="Arial" w:cs="Arial"/>
          <w:sz w:val="18"/>
          <w:szCs w:val="18"/>
          <w:lang w:val="en-US"/>
        </w:rPr>
        <w:t xml:space="preserve">of </w:t>
      </w:r>
      <w:r w:rsidR="00EE5753" w:rsidRPr="00BD295E">
        <w:rPr>
          <w:rFonts w:ascii="Arial" w:hAnsi="Arial" w:cs="Arial"/>
          <w:sz w:val="18"/>
          <w:szCs w:val="18"/>
          <w:lang w:val="en-US"/>
        </w:rPr>
        <w:t>PJSC “Lenenergo”</w:t>
      </w:r>
      <w:r w:rsidR="00D56111" w:rsidRPr="00BD295E">
        <w:rPr>
          <w:rFonts w:ascii="Arial" w:hAnsi="Arial" w:cs="Arial"/>
          <w:sz w:val="18"/>
          <w:szCs w:val="18"/>
          <w:lang w:val="en-US"/>
        </w:rPr>
        <w:t>,</w:t>
      </w:r>
      <w:r w:rsidR="00544E7C" w:rsidRPr="00BD295E">
        <w:rPr>
          <w:rFonts w:ascii="Arial" w:hAnsi="Arial" w:cs="Arial"/>
          <w:sz w:val="18"/>
          <w:szCs w:val="18"/>
          <w:lang w:val="en-US"/>
        </w:rPr>
        <w:t xml:space="preserve"> May 17, </w:t>
      </w:r>
      <w:r w:rsidRPr="00BD295E">
        <w:rPr>
          <w:rFonts w:ascii="Arial" w:hAnsi="Arial" w:cs="Arial"/>
          <w:sz w:val="18"/>
          <w:szCs w:val="18"/>
          <w:lang w:val="en-US"/>
        </w:rPr>
        <w:t>2019</w:t>
      </w:r>
    </w:p>
    <w:p w14:paraId="687D7850" w14:textId="77777777" w:rsidR="009F1F1C" w:rsidRPr="00BD295E" w:rsidRDefault="008A5057" w:rsidP="009F1F1C">
      <w:pPr>
        <w:spacing w:after="200" w:line="276" w:lineRule="auto"/>
        <w:jc w:val="right"/>
        <w:rPr>
          <w:rFonts w:ascii="Arial" w:hAnsi="Arial" w:cs="Arial"/>
          <w:sz w:val="18"/>
          <w:szCs w:val="18"/>
          <w:lang w:val="en-US"/>
        </w:rPr>
      </w:pPr>
      <w:r w:rsidRPr="00BD295E">
        <w:rPr>
          <w:rFonts w:ascii="Arial" w:hAnsi="Arial" w:cs="Arial"/>
          <w:sz w:val="18"/>
          <w:szCs w:val="18"/>
          <w:lang w:val="en-US"/>
        </w:rPr>
        <w:t xml:space="preserve">Minutes No. </w:t>
      </w:r>
      <w:r w:rsidR="00544E7C" w:rsidRPr="00BD295E">
        <w:rPr>
          <w:rFonts w:ascii="Arial" w:hAnsi="Arial" w:cs="Arial"/>
          <w:sz w:val="18"/>
          <w:szCs w:val="18"/>
          <w:lang w:val="en-US"/>
        </w:rPr>
        <w:t>41</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00544E7C" w:rsidRPr="00BD295E">
        <w:rPr>
          <w:rFonts w:ascii="Arial" w:hAnsi="Arial" w:cs="Arial"/>
          <w:sz w:val="18"/>
          <w:szCs w:val="18"/>
          <w:lang w:val="en-US"/>
        </w:rPr>
        <w:t xml:space="preserve"> May 20, </w:t>
      </w:r>
      <w:r w:rsidRPr="00BD295E">
        <w:rPr>
          <w:rFonts w:ascii="Arial" w:hAnsi="Arial" w:cs="Arial"/>
          <w:sz w:val="18"/>
          <w:szCs w:val="18"/>
          <w:lang w:val="en-US"/>
        </w:rPr>
        <w:t>2019</w:t>
      </w:r>
    </w:p>
    <w:p w14:paraId="307D7FD6" w14:textId="77777777" w:rsidR="009F1F1C" w:rsidRPr="00BD295E" w:rsidRDefault="008A5057" w:rsidP="009F1F1C">
      <w:pPr>
        <w:spacing w:after="200" w:line="276" w:lineRule="auto"/>
        <w:jc w:val="right"/>
        <w:rPr>
          <w:rFonts w:ascii="Arial" w:hAnsi="Arial" w:cs="Arial"/>
          <w:sz w:val="18"/>
          <w:szCs w:val="18"/>
          <w:lang w:val="en-US"/>
        </w:rPr>
      </w:pPr>
      <w:r w:rsidRPr="00BD295E">
        <w:rPr>
          <w:rFonts w:ascii="Arial" w:hAnsi="Arial" w:cs="Arial"/>
          <w:sz w:val="18"/>
          <w:szCs w:val="18"/>
          <w:lang w:val="en-US"/>
        </w:rPr>
        <w:t xml:space="preserve"> Approved </w:t>
      </w:r>
    </w:p>
    <w:p w14:paraId="599E085C" w14:textId="77777777" w:rsidR="009F1F1C" w:rsidRPr="00BD295E" w:rsidRDefault="008A5057" w:rsidP="009F1F1C">
      <w:pPr>
        <w:spacing w:after="200" w:line="276" w:lineRule="auto"/>
        <w:jc w:val="right"/>
        <w:rPr>
          <w:rFonts w:ascii="Arial" w:hAnsi="Arial" w:cs="Arial"/>
          <w:sz w:val="18"/>
          <w:szCs w:val="18"/>
          <w:lang w:val="en-US"/>
        </w:rPr>
      </w:pPr>
      <w:r w:rsidRPr="00BD295E">
        <w:rPr>
          <w:rFonts w:ascii="Arial" w:hAnsi="Arial" w:cs="Arial"/>
          <w:sz w:val="18"/>
          <w:szCs w:val="18"/>
          <w:lang w:val="en-US"/>
        </w:rPr>
        <w:t xml:space="preserve">by Resolution of the </w:t>
      </w:r>
      <w:r w:rsidR="0053339C" w:rsidRPr="00BD295E">
        <w:rPr>
          <w:rFonts w:ascii="Arial" w:hAnsi="Arial" w:cs="Arial"/>
          <w:sz w:val="18"/>
          <w:szCs w:val="18"/>
          <w:lang w:val="en-US"/>
        </w:rPr>
        <w:t>General Meeting</w:t>
      </w:r>
    </w:p>
    <w:p w14:paraId="1EB3A68A" w14:textId="77777777" w:rsidR="009F1F1C" w:rsidRPr="00BD295E" w:rsidRDefault="008A5057" w:rsidP="009F1F1C">
      <w:pPr>
        <w:spacing w:after="200" w:line="276" w:lineRule="auto"/>
        <w:jc w:val="right"/>
        <w:rPr>
          <w:rFonts w:ascii="Arial" w:hAnsi="Arial" w:cs="Arial"/>
          <w:sz w:val="18"/>
          <w:szCs w:val="18"/>
          <w:lang w:val="en-US"/>
        </w:rPr>
      </w:pPr>
      <w:r w:rsidRPr="00BD295E">
        <w:rPr>
          <w:rFonts w:ascii="Arial" w:hAnsi="Arial" w:cs="Arial"/>
          <w:sz w:val="18"/>
          <w:szCs w:val="18"/>
          <w:lang w:val="en-US"/>
        </w:rPr>
        <w:t xml:space="preserve">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________________2019</w:t>
      </w:r>
    </w:p>
    <w:p w14:paraId="6D08ABEF" w14:textId="77777777" w:rsidR="009F1F1C" w:rsidRPr="00BD295E" w:rsidRDefault="008A5057" w:rsidP="009F1F1C">
      <w:pPr>
        <w:spacing w:after="200" w:line="276" w:lineRule="auto"/>
        <w:jc w:val="right"/>
        <w:rPr>
          <w:rFonts w:ascii="Arial" w:hAnsi="Arial" w:cs="Arial"/>
          <w:sz w:val="18"/>
          <w:szCs w:val="18"/>
          <w:lang w:val="en-US"/>
        </w:rPr>
      </w:pPr>
      <w:r w:rsidRPr="00BD295E">
        <w:rPr>
          <w:rFonts w:ascii="Arial" w:hAnsi="Arial" w:cs="Arial"/>
          <w:sz w:val="18"/>
          <w:szCs w:val="18"/>
          <w:lang w:val="en-US"/>
        </w:rPr>
        <w:t xml:space="preserve">Minutes No. ____ </w:t>
      </w:r>
      <w:r w:rsidR="008B183C" w:rsidRPr="00BD295E">
        <w:rPr>
          <w:rFonts w:ascii="Arial" w:hAnsi="Arial" w:cs="Arial"/>
          <w:sz w:val="18"/>
          <w:szCs w:val="18"/>
          <w:lang w:val="en-US"/>
        </w:rPr>
        <w:t>of</w:t>
      </w:r>
      <w:r w:rsidRPr="00BD295E">
        <w:rPr>
          <w:rFonts w:ascii="Arial" w:hAnsi="Arial" w:cs="Arial"/>
          <w:sz w:val="18"/>
          <w:szCs w:val="18"/>
          <w:lang w:val="en-US"/>
        </w:rPr>
        <w:t xml:space="preserve"> __________2019</w:t>
      </w:r>
    </w:p>
    <w:p w14:paraId="00B8EBAF" w14:textId="77777777" w:rsidR="009F1F1C" w:rsidRPr="00BD295E" w:rsidRDefault="009F1F1C" w:rsidP="009F1F1C">
      <w:pPr>
        <w:spacing w:after="200" w:line="276" w:lineRule="auto"/>
        <w:rPr>
          <w:rFonts w:ascii="Arial" w:hAnsi="Arial" w:cs="Arial"/>
          <w:sz w:val="18"/>
          <w:szCs w:val="18"/>
          <w:lang w:val="en-US"/>
        </w:rPr>
      </w:pPr>
    </w:p>
    <w:p w14:paraId="513655CA" w14:textId="77777777" w:rsidR="009F1F1C" w:rsidRPr="00BD295E" w:rsidRDefault="008A5057" w:rsidP="009F1F1C">
      <w:pPr>
        <w:spacing w:after="200" w:line="276" w:lineRule="auto"/>
        <w:jc w:val="center"/>
        <w:rPr>
          <w:rFonts w:ascii="Arial" w:hAnsi="Arial" w:cs="Arial"/>
          <w:sz w:val="18"/>
          <w:szCs w:val="18"/>
          <w:lang w:val="en-US"/>
        </w:rPr>
      </w:pPr>
      <w:r w:rsidRPr="00BD295E">
        <w:rPr>
          <w:rFonts w:ascii="Arial" w:hAnsi="Arial" w:cs="Arial"/>
          <w:sz w:val="18"/>
          <w:szCs w:val="18"/>
          <w:lang w:val="en-US"/>
        </w:rPr>
        <w:t>Annual Report</w:t>
      </w:r>
    </w:p>
    <w:p w14:paraId="2C860F96" w14:textId="77777777" w:rsidR="009F1F1C" w:rsidRPr="00BD295E" w:rsidRDefault="008A5057" w:rsidP="009F1F1C">
      <w:pPr>
        <w:spacing w:after="200" w:line="276" w:lineRule="auto"/>
        <w:jc w:val="center"/>
        <w:rPr>
          <w:rFonts w:ascii="Arial" w:hAnsi="Arial" w:cs="Arial"/>
          <w:sz w:val="18"/>
          <w:szCs w:val="18"/>
          <w:lang w:val="en-US"/>
        </w:rPr>
      </w:pPr>
      <w:r w:rsidRPr="00BD295E">
        <w:rPr>
          <w:rFonts w:ascii="Arial" w:hAnsi="Arial" w:cs="Arial"/>
          <w:sz w:val="18"/>
          <w:szCs w:val="18"/>
          <w:lang w:val="en-US"/>
        </w:rPr>
        <w:t xml:space="preserve">of </w:t>
      </w:r>
      <w:r w:rsidR="008B183C" w:rsidRPr="00BD295E">
        <w:rPr>
          <w:rFonts w:ascii="Arial" w:hAnsi="Arial" w:cs="Arial"/>
          <w:sz w:val="18"/>
          <w:szCs w:val="18"/>
          <w:lang w:val="en-US"/>
        </w:rPr>
        <w:t>Public Joint-Stock Company “Lenenergo”</w:t>
      </w:r>
    </w:p>
    <w:p w14:paraId="2E10AD55" w14:textId="77777777" w:rsidR="009F1F1C" w:rsidRPr="00BD295E" w:rsidRDefault="008A5057" w:rsidP="009F1F1C">
      <w:pPr>
        <w:spacing w:after="200" w:line="276" w:lineRule="auto"/>
        <w:jc w:val="center"/>
        <w:rPr>
          <w:rFonts w:ascii="Arial" w:hAnsi="Arial" w:cs="Arial"/>
          <w:sz w:val="18"/>
          <w:szCs w:val="18"/>
          <w:lang w:val="en-US"/>
        </w:rPr>
      </w:pPr>
      <w:r w:rsidRPr="00BD295E">
        <w:rPr>
          <w:rFonts w:ascii="Arial" w:hAnsi="Arial" w:cs="Arial"/>
          <w:sz w:val="18"/>
          <w:szCs w:val="18"/>
          <w:lang w:val="en-US"/>
        </w:rPr>
        <w:t>for 2018</w:t>
      </w:r>
    </w:p>
    <w:p w14:paraId="50D6666D" w14:textId="77777777" w:rsidR="009F1F1C" w:rsidRPr="00BD295E" w:rsidRDefault="009F1F1C" w:rsidP="0021075E">
      <w:pPr>
        <w:tabs>
          <w:tab w:val="left" w:pos="7282"/>
        </w:tabs>
        <w:spacing w:after="200" w:line="276" w:lineRule="auto"/>
        <w:rPr>
          <w:rFonts w:ascii="Arial" w:hAnsi="Arial" w:cs="Arial"/>
          <w:sz w:val="18"/>
          <w:szCs w:val="18"/>
          <w:lang w:val="en-US"/>
        </w:rPr>
      </w:pPr>
    </w:p>
    <w:p w14:paraId="4C24478D" w14:textId="77777777" w:rsidR="009F1F1C" w:rsidRPr="00BD295E" w:rsidRDefault="009F1F1C" w:rsidP="009F1F1C">
      <w:pPr>
        <w:spacing w:after="200" w:line="276" w:lineRule="auto"/>
        <w:rPr>
          <w:rFonts w:ascii="Arial" w:hAnsi="Arial" w:cs="Arial"/>
          <w:sz w:val="18"/>
          <w:szCs w:val="18"/>
          <w:lang w:val="en-US"/>
        </w:rPr>
      </w:pPr>
    </w:p>
    <w:p w14:paraId="26D9D1E7" w14:textId="77777777" w:rsidR="005C4056" w:rsidRPr="00BD295E" w:rsidRDefault="005C4056" w:rsidP="009F1F1C">
      <w:pPr>
        <w:spacing w:after="200" w:line="276" w:lineRule="auto"/>
        <w:rPr>
          <w:rFonts w:ascii="Arial" w:hAnsi="Arial" w:cs="Arial"/>
          <w:sz w:val="18"/>
          <w:szCs w:val="18"/>
          <w:lang w:val="en-US"/>
        </w:rPr>
      </w:pPr>
    </w:p>
    <w:p w14:paraId="0D56510E" w14:textId="77777777" w:rsidR="00EE5753" w:rsidRPr="00BD295E" w:rsidRDefault="00EE5753" w:rsidP="00EE5753">
      <w:pPr>
        <w:spacing w:line="276" w:lineRule="auto"/>
        <w:rPr>
          <w:rFonts w:ascii="Arial" w:hAnsi="Arial" w:cs="Arial"/>
          <w:sz w:val="18"/>
          <w:szCs w:val="18"/>
          <w:lang w:val="en-US"/>
        </w:rPr>
      </w:pPr>
      <w:r w:rsidRPr="00BD295E">
        <w:rPr>
          <w:rFonts w:ascii="Arial" w:hAnsi="Arial" w:cs="Arial"/>
          <w:i/>
          <w:sz w:val="18"/>
          <w:szCs w:val="18"/>
          <w:lang w:val="en-US"/>
        </w:rPr>
        <w:t>(Signed)</w:t>
      </w:r>
      <w:r w:rsidRPr="00BD295E">
        <w:rPr>
          <w:rFonts w:ascii="Arial" w:hAnsi="Arial" w:cs="Arial"/>
          <w:sz w:val="18"/>
          <w:szCs w:val="18"/>
          <w:lang w:val="en-US"/>
        </w:rPr>
        <w:t xml:space="preserve"> </w:t>
      </w:r>
    </w:p>
    <w:p w14:paraId="43703A29" w14:textId="77777777" w:rsidR="005C4056" w:rsidRPr="00BD295E" w:rsidRDefault="008A5057" w:rsidP="00EE5753">
      <w:pPr>
        <w:spacing w:line="276" w:lineRule="auto"/>
        <w:rPr>
          <w:rFonts w:ascii="Arial" w:hAnsi="Arial" w:cs="Arial"/>
          <w:sz w:val="18"/>
          <w:szCs w:val="18"/>
          <w:lang w:val="en-US"/>
        </w:rPr>
      </w:pPr>
      <w:r w:rsidRPr="00BD295E">
        <w:rPr>
          <w:rFonts w:ascii="Arial" w:hAnsi="Arial" w:cs="Arial"/>
          <w:sz w:val="18"/>
          <w:szCs w:val="18"/>
          <w:lang w:val="en-US"/>
        </w:rPr>
        <w:t>A.V. Ryumin</w:t>
      </w:r>
    </w:p>
    <w:p w14:paraId="437419F3" w14:textId="77777777" w:rsidR="00EE5753" w:rsidRPr="00BD295E" w:rsidRDefault="00EE5753" w:rsidP="00EE5753">
      <w:pPr>
        <w:spacing w:line="276" w:lineRule="auto"/>
        <w:rPr>
          <w:rFonts w:ascii="Arial" w:hAnsi="Arial" w:cs="Arial"/>
          <w:sz w:val="18"/>
          <w:szCs w:val="18"/>
          <w:lang w:val="en-US"/>
        </w:rPr>
      </w:pPr>
      <w:r w:rsidRPr="00BD295E">
        <w:rPr>
          <w:rFonts w:ascii="Arial" w:hAnsi="Arial" w:cs="Arial"/>
          <w:sz w:val="18"/>
          <w:szCs w:val="18"/>
          <w:lang w:val="en-US"/>
        </w:rPr>
        <w:t>CEO</w:t>
      </w:r>
    </w:p>
    <w:p w14:paraId="58145E0F" w14:textId="77777777" w:rsidR="00EE5753" w:rsidRPr="00BD295E" w:rsidRDefault="00EE5753" w:rsidP="00EE5753">
      <w:pPr>
        <w:spacing w:line="276" w:lineRule="auto"/>
        <w:rPr>
          <w:rFonts w:ascii="Arial" w:hAnsi="Arial" w:cs="Arial"/>
          <w:sz w:val="18"/>
          <w:szCs w:val="18"/>
          <w:lang w:val="en-US"/>
        </w:rPr>
      </w:pPr>
      <w:r w:rsidRPr="00BD295E">
        <w:rPr>
          <w:rFonts w:ascii="Arial" w:hAnsi="Arial" w:cs="Arial"/>
          <w:sz w:val="18"/>
          <w:szCs w:val="18"/>
          <w:lang w:val="en-US"/>
        </w:rPr>
        <w:t>PJSC “Lenenergo”</w:t>
      </w:r>
    </w:p>
    <w:p w14:paraId="20695D09" w14:textId="77777777" w:rsidR="005C4056" w:rsidRPr="00BD295E" w:rsidRDefault="005C4056" w:rsidP="00EE5753">
      <w:pPr>
        <w:spacing w:line="276" w:lineRule="auto"/>
        <w:rPr>
          <w:rFonts w:ascii="Arial" w:hAnsi="Arial" w:cs="Arial"/>
          <w:sz w:val="18"/>
          <w:szCs w:val="18"/>
          <w:lang w:val="en-US"/>
        </w:rPr>
      </w:pPr>
    </w:p>
    <w:p w14:paraId="0522F837" w14:textId="77777777" w:rsidR="00EE5753" w:rsidRPr="00BD295E" w:rsidRDefault="00EE5753" w:rsidP="00EE5753">
      <w:pPr>
        <w:spacing w:line="276" w:lineRule="auto"/>
        <w:rPr>
          <w:rFonts w:ascii="Arial" w:hAnsi="Arial" w:cs="Arial"/>
          <w:i/>
          <w:sz w:val="18"/>
          <w:szCs w:val="18"/>
          <w:lang w:val="en-US"/>
        </w:rPr>
      </w:pPr>
      <w:r w:rsidRPr="00BD295E">
        <w:rPr>
          <w:rFonts w:ascii="Arial" w:hAnsi="Arial" w:cs="Arial"/>
          <w:i/>
          <w:sz w:val="18"/>
          <w:szCs w:val="18"/>
          <w:lang w:val="en-US"/>
        </w:rPr>
        <w:t xml:space="preserve">(Signed) </w:t>
      </w:r>
    </w:p>
    <w:p w14:paraId="29991692" w14:textId="77777777" w:rsidR="005C4056" w:rsidRPr="00BD295E" w:rsidRDefault="00EE5753" w:rsidP="00EE5753">
      <w:pPr>
        <w:spacing w:line="276" w:lineRule="auto"/>
        <w:rPr>
          <w:rFonts w:ascii="Arial" w:hAnsi="Arial" w:cs="Arial"/>
          <w:sz w:val="18"/>
          <w:szCs w:val="18"/>
          <w:lang w:val="en-US"/>
        </w:rPr>
      </w:pPr>
      <w:r w:rsidRPr="00BD295E">
        <w:rPr>
          <w:rFonts w:ascii="Arial" w:hAnsi="Arial" w:cs="Arial"/>
          <w:sz w:val="18"/>
          <w:szCs w:val="18"/>
          <w:lang w:val="en-US"/>
        </w:rPr>
        <w:t>G.V. Kuznetsova</w:t>
      </w:r>
    </w:p>
    <w:p w14:paraId="7103A88B" w14:textId="77777777" w:rsidR="00EE5753" w:rsidRPr="00BD295E" w:rsidRDefault="008A5057" w:rsidP="00EE5753">
      <w:pPr>
        <w:spacing w:line="276" w:lineRule="auto"/>
        <w:rPr>
          <w:rFonts w:ascii="Arial" w:hAnsi="Arial" w:cs="Arial"/>
          <w:sz w:val="18"/>
          <w:szCs w:val="18"/>
          <w:lang w:val="en-US"/>
        </w:rPr>
      </w:pPr>
      <w:r w:rsidRPr="00BD295E">
        <w:rPr>
          <w:rFonts w:ascii="Arial" w:hAnsi="Arial" w:cs="Arial"/>
          <w:sz w:val="18"/>
          <w:szCs w:val="18"/>
          <w:lang w:val="en-US"/>
        </w:rPr>
        <w:t xml:space="preserve">Chief Accountant </w:t>
      </w:r>
    </w:p>
    <w:p w14:paraId="3465BD9B" w14:textId="77777777" w:rsidR="005C4056" w:rsidRPr="00BD295E" w:rsidRDefault="00EE5753" w:rsidP="00EE5753">
      <w:pPr>
        <w:spacing w:line="276" w:lineRule="auto"/>
        <w:rPr>
          <w:rFonts w:ascii="Arial" w:hAnsi="Arial" w:cs="Arial"/>
          <w:sz w:val="18"/>
          <w:szCs w:val="18"/>
          <w:lang w:val="en-US"/>
        </w:rPr>
      </w:pPr>
      <w:r w:rsidRPr="00BD295E">
        <w:rPr>
          <w:rFonts w:ascii="Arial" w:hAnsi="Arial" w:cs="Arial"/>
          <w:sz w:val="18"/>
          <w:szCs w:val="18"/>
          <w:lang w:val="en-US"/>
        </w:rPr>
        <w:t>PJSC “Lenenergo”</w:t>
      </w:r>
      <w:r w:rsidR="00544E7C" w:rsidRPr="00BD295E">
        <w:rPr>
          <w:rFonts w:ascii="Arial" w:hAnsi="Arial" w:cs="Arial"/>
          <w:sz w:val="18"/>
          <w:szCs w:val="18"/>
          <w:lang w:val="en-US"/>
        </w:rPr>
        <w:t xml:space="preserve"> </w:t>
      </w:r>
    </w:p>
    <w:p w14:paraId="3E27A65F" w14:textId="77777777" w:rsidR="00C47503" w:rsidRPr="00BD295E" w:rsidRDefault="00C47503" w:rsidP="00EE5753">
      <w:pPr>
        <w:spacing w:line="276" w:lineRule="auto"/>
        <w:rPr>
          <w:rFonts w:ascii="Arial" w:hAnsi="Arial" w:cs="Arial"/>
          <w:sz w:val="18"/>
          <w:szCs w:val="18"/>
          <w:lang w:val="en-US"/>
        </w:rPr>
      </w:pPr>
    </w:p>
    <w:p w14:paraId="122653CB" w14:textId="77777777" w:rsidR="005C4056" w:rsidRPr="00BD295E" w:rsidRDefault="005C4056" w:rsidP="009F1F1C">
      <w:pPr>
        <w:spacing w:after="200" w:line="276" w:lineRule="auto"/>
        <w:rPr>
          <w:rFonts w:ascii="Arial" w:hAnsi="Arial" w:cs="Arial"/>
          <w:sz w:val="18"/>
          <w:szCs w:val="18"/>
          <w:lang w:val="en-US"/>
        </w:rPr>
      </w:pPr>
    </w:p>
    <w:p w14:paraId="63695EF2" w14:textId="77777777" w:rsidR="009F1F1C" w:rsidRPr="00BD295E" w:rsidRDefault="008A5057" w:rsidP="009F1F1C">
      <w:pPr>
        <w:spacing w:after="200" w:line="276" w:lineRule="auto"/>
        <w:jc w:val="center"/>
        <w:rPr>
          <w:rFonts w:ascii="Arial" w:hAnsi="Arial" w:cs="Arial"/>
          <w:sz w:val="18"/>
          <w:szCs w:val="18"/>
          <w:lang w:val="en-US"/>
        </w:rPr>
      </w:pPr>
      <w:r w:rsidRPr="00BD295E">
        <w:rPr>
          <w:rFonts w:ascii="Arial" w:hAnsi="Arial" w:cs="Arial"/>
          <w:sz w:val="18"/>
          <w:szCs w:val="18"/>
          <w:lang w:val="en-US"/>
        </w:rPr>
        <w:t>Saint Petersburg</w:t>
      </w:r>
    </w:p>
    <w:p w14:paraId="5C6C5FB3" w14:textId="77777777" w:rsidR="00EE5753" w:rsidRPr="00BD295E" w:rsidRDefault="008A5057" w:rsidP="009F1F1C">
      <w:pPr>
        <w:spacing w:after="200" w:line="276" w:lineRule="auto"/>
        <w:jc w:val="center"/>
        <w:rPr>
          <w:rFonts w:ascii="Arial" w:hAnsi="Arial" w:cs="Arial"/>
          <w:sz w:val="18"/>
          <w:szCs w:val="18"/>
          <w:lang w:val="en-US"/>
        </w:rPr>
      </w:pPr>
      <w:r w:rsidRPr="00BD295E">
        <w:rPr>
          <w:rFonts w:ascii="Arial" w:hAnsi="Arial" w:cs="Arial"/>
          <w:sz w:val="18"/>
          <w:szCs w:val="18"/>
          <w:lang w:val="en-US"/>
        </w:rPr>
        <w:t>2019</w:t>
      </w:r>
    </w:p>
    <w:p w14:paraId="44A0448C" w14:textId="77777777" w:rsidR="00EF584B" w:rsidRPr="00BD295E" w:rsidRDefault="008A5057" w:rsidP="009F1F1C">
      <w:pPr>
        <w:spacing w:after="200" w:line="276" w:lineRule="auto"/>
        <w:jc w:val="center"/>
        <w:rPr>
          <w:rFonts w:ascii="Arial" w:hAnsi="Arial" w:cs="Arial"/>
          <w:sz w:val="18"/>
          <w:szCs w:val="18"/>
          <w:lang w:val="en-US"/>
        </w:rPr>
      </w:pPr>
      <w:r w:rsidRPr="00BD295E">
        <w:rPr>
          <w:rFonts w:ascii="Arial" w:hAnsi="Arial" w:cs="Arial"/>
          <w:sz w:val="18"/>
          <w:szCs w:val="18"/>
          <w:lang w:val="en-US"/>
        </w:rPr>
        <w:br w:type="page"/>
      </w:r>
    </w:p>
    <w:p w14:paraId="537285A0" w14:textId="77777777" w:rsidR="00544E7C" w:rsidRPr="00BD295E" w:rsidRDefault="008A5057">
      <w:pPr>
        <w:pStyle w:val="27"/>
        <w:rPr>
          <w:rFonts w:ascii="Arial" w:eastAsia="Times New Roman" w:hAnsi="Arial" w:cs="Arial"/>
          <w:bCs w:val="0"/>
          <w:noProof w:val="0"/>
          <w:sz w:val="18"/>
          <w:szCs w:val="18"/>
          <w:lang w:val="en-US"/>
        </w:rPr>
      </w:pPr>
      <w:r w:rsidRPr="00BD295E">
        <w:rPr>
          <w:rFonts w:ascii="Arial" w:hAnsi="Arial" w:cs="Arial"/>
          <w:noProof w:val="0"/>
          <w:sz w:val="18"/>
          <w:szCs w:val="18"/>
          <w:lang w:val="en-US"/>
        </w:rPr>
        <w:lastRenderedPageBreak/>
        <w:fldChar w:fldCharType="begin"/>
      </w:r>
      <w:r w:rsidR="00FD1F0A" w:rsidRPr="00BD295E">
        <w:rPr>
          <w:rFonts w:ascii="Arial" w:hAnsi="Arial" w:cs="Arial"/>
          <w:noProof w:val="0"/>
          <w:sz w:val="18"/>
          <w:szCs w:val="18"/>
          <w:lang w:val="en-US"/>
        </w:rPr>
        <w:instrText xml:space="preserve"> TOC \o "1-3" \h \z \u </w:instrText>
      </w:r>
      <w:r w:rsidRPr="00BD295E">
        <w:rPr>
          <w:rFonts w:ascii="Arial" w:hAnsi="Arial" w:cs="Arial"/>
          <w:noProof w:val="0"/>
          <w:sz w:val="18"/>
          <w:szCs w:val="18"/>
          <w:lang w:val="en-US"/>
        </w:rPr>
        <w:fldChar w:fldCharType="separate"/>
      </w:r>
      <w:hyperlink w:anchor="_Toc95855273" w:history="1">
        <w:r w:rsidR="00544E7C" w:rsidRPr="00BD295E">
          <w:rPr>
            <w:rStyle w:val="af0"/>
            <w:rFonts w:ascii="Arial" w:hAnsi="Arial" w:cs="Arial"/>
            <w:b/>
            <w:noProof w:val="0"/>
            <w:color w:val="auto"/>
            <w:sz w:val="18"/>
            <w:szCs w:val="18"/>
            <w:lang w:val="en-US"/>
          </w:rPr>
          <w:t>SECTION 1. COMPANY OVERVIEW</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_Toc95855273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4</w:t>
        </w:r>
        <w:r w:rsidR="00544E7C" w:rsidRPr="00BD295E">
          <w:rPr>
            <w:rFonts w:ascii="Arial" w:hAnsi="Arial" w:cs="Arial"/>
            <w:noProof w:val="0"/>
            <w:webHidden/>
            <w:sz w:val="18"/>
            <w:szCs w:val="18"/>
            <w:lang w:val="en-US"/>
          </w:rPr>
          <w:fldChar w:fldCharType="end"/>
        </w:r>
      </w:hyperlink>
    </w:p>
    <w:p w14:paraId="6B7D3200" w14:textId="77777777" w:rsidR="00544E7C" w:rsidRPr="00BD295E" w:rsidRDefault="002C3947">
      <w:pPr>
        <w:pStyle w:val="27"/>
        <w:rPr>
          <w:rFonts w:ascii="Arial" w:eastAsia="Times New Roman" w:hAnsi="Arial" w:cs="Arial"/>
          <w:bCs w:val="0"/>
          <w:noProof w:val="0"/>
          <w:sz w:val="18"/>
          <w:szCs w:val="18"/>
          <w:lang w:val="en-US"/>
        </w:rPr>
      </w:pPr>
      <w:hyperlink w:anchor="_Toc95855274" w:history="1">
        <w:r w:rsidR="00544E7C" w:rsidRPr="00BD295E">
          <w:rPr>
            <w:rStyle w:val="af0"/>
            <w:rFonts w:ascii="Arial" w:hAnsi="Arial" w:cs="Arial"/>
            <w:noProof w:val="0"/>
            <w:color w:val="auto"/>
            <w:sz w:val="18"/>
            <w:szCs w:val="18"/>
            <w:lang w:val="en-US"/>
          </w:rPr>
          <w:t>1.1.</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General Information. Description of Assets and Key Metrics</w:t>
        </w:r>
        <w:r w:rsidR="00544E7C" w:rsidRPr="00BD295E">
          <w:rPr>
            <w:rStyle w:val="af0"/>
            <w:rFonts w:ascii="Arial" w:hAnsi="Arial" w:cs="Arial"/>
            <w:noProof w:val="0"/>
            <w:color w:val="auto"/>
            <w:sz w:val="18"/>
            <w:szCs w:val="18"/>
            <w:lang w:val="en-US"/>
          </w:rPr>
          <w:t>.</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_Toc95855274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4</w:t>
        </w:r>
        <w:r w:rsidR="00544E7C" w:rsidRPr="00BD295E">
          <w:rPr>
            <w:rFonts w:ascii="Arial" w:hAnsi="Arial" w:cs="Arial"/>
            <w:noProof w:val="0"/>
            <w:webHidden/>
            <w:sz w:val="18"/>
            <w:szCs w:val="18"/>
            <w:lang w:val="en-US"/>
          </w:rPr>
          <w:fldChar w:fldCharType="end"/>
        </w:r>
      </w:hyperlink>
    </w:p>
    <w:p w14:paraId="3CF412E6" w14:textId="77777777" w:rsidR="00544E7C" w:rsidRPr="00BD295E" w:rsidRDefault="002C3947">
      <w:pPr>
        <w:pStyle w:val="27"/>
        <w:rPr>
          <w:rFonts w:ascii="Arial" w:eastAsia="Times New Roman" w:hAnsi="Arial" w:cs="Arial"/>
          <w:bCs w:val="0"/>
          <w:noProof w:val="0"/>
          <w:sz w:val="18"/>
          <w:szCs w:val="18"/>
          <w:lang w:val="en-US"/>
        </w:rPr>
      </w:pPr>
      <w:hyperlink w:anchor="_Toc95855275" w:history="1">
        <w:r w:rsidR="00544E7C" w:rsidRPr="00BD295E">
          <w:rPr>
            <w:rStyle w:val="af0"/>
            <w:rFonts w:ascii="Arial" w:hAnsi="Arial" w:cs="Arial"/>
            <w:b/>
            <w:noProof w:val="0"/>
            <w:color w:val="auto"/>
            <w:sz w:val="18"/>
            <w:szCs w:val="18"/>
            <w:lang w:val="en-US"/>
          </w:rPr>
          <w:t>1.2.</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Structure and Geography of the Company’s Operations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_Toc95855275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9</w:t>
        </w:r>
        <w:r w:rsidR="00544E7C" w:rsidRPr="00BD295E">
          <w:rPr>
            <w:rFonts w:ascii="Arial" w:hAnsi="Arial" w:cs="Arial"/>
            <w:noProof w:val="0"/>
            <w:webHidden/>
            <w:sz w:val="18"/>
            <w:szCs w:val="18"/>
            <w:lang w:val="en-US"/>
          </w:rPr>
          <w:fldChar w:fldCharType="end"/>
        </w:r>
      </w:hyperlink>
    </w:p>
    <w:p w14:paraId="7A85E6C8" w14:textId="77777777" w:rsidR="00544E7C" w:rsidRPr="00BD295E" w:rsidRDefault="002C3947">
      <w:pPr>
        <w:pStyle w:val="27"/>
        <w:rPr>
          <w:rFonts w:ascii="Arial" w:eastAsia="Times New Roman" w:hAnsi="Arial" w:cs="Arial"/>
          <w:bCs w:val="0"/>
          <w:noProof w:val="0"/>
          <w:sz w:val="18"/>
          <w:szCs w:val="18"/>
          <w:lang w:val="en-US"/>
        </w:rPr>
      </w:pPr>
      <w:hyperlink w:anchor="_Toc95855276" w:history="1">
        <w:r w:rsidR="00544E7C" w:rsidRPr="00BD295E">
          <w:rPr>
            <w:rStyle w:val="af0"/>
            <w:rFonts w:ascii="Arial" w:hAnsi="Arial" w:cs="Arial"/>
            <w:b/>
            <w:noProof w:val="0"/>
            <w:color w:val="auto"/>
            <w:sz w:val="18"/>
            <w:szCs w:val="18"/>
            <w:lang w:val="en-US"/>
          </w:rPr>
          <w:t>1.3.</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Key Milestones of the Reporting Period</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_Toc95855276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10</w:t>
        </w:r>
        <w:r w:rsidR="00544E7C" w:rsidRPr="00BD295E">
          <w:rPr>
            <w:rFonts w:ascii="Arial" w:hAnsi="Arial" w:cs="Arial"/>
            <w:noProof w:val="0"/>
            <w:webHidden/>
            <w:sz w:val="18"/>
            <w:szCs w:val="18"/>
            <w:lang w:val="en-US"/>
          </w:rPr>
          <w:fldChar w:fldCharType="end"/>
        </w:r>
      </w:hyperlink>
    </w:p>
    <w:p w14:paraId="7DF36FB4" w14:textId="77777777" w:rsidR="00544E7C" w:rsidRPr="00BD295E" w:rsidRDefault="002C3947">
      <w:pPr>
        <w:pStyle w:val="27"/>
        <w:rPr>
          <w:rFonts w:ascii="Arial" w:eastAsia="Times New Roman" w:hAnsi="Arial" w:cs="Arial"/>
          <w:bCs w:val="0"/>
          <w:noProof w:val="0"/>
          <w:sz w:val="18"/>
          <w:szCs w:val="18"/>
          <w:lang w:val="en-US"/>
        </w:rPr>
      </w:pPr>
      <w:hyperlink w:anchor="_Toc95855277" w:history="1">
        <w:r w:rsidR="00544E7C" w:rsidRPr="00BD295E">
          <w:rPr>
            <w:rStyle w:val="af0"/>
            <w:rFonts w:ascii="Arial" w:hAnsi="Arial" w:cs="Arial"/>
            <w:b/>
            <w:noProof w:val="0"/>
            <w:color w:val="auto"/>
            <w:sz w:val="18"/>
            <w:szCs w:val="18"/>
            <w:lang w:val="en-US"/>
          </w:rPr>
          <w:t>SECTION 2. STRATEGIC DEVELOPMENT PRIORITIES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_Toc95855277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15</w:t>
        </w:r>
        <w:r w:rsidR="00544E7C" w:rsidRPr="00BD295E">
          <w:rPr>
            <w:rFonts w:ascii="Arial" w:hAnsi="Arial" w:cs="Arial"/>
            <w:noProof w:val="0"/>
            <w:webHidden/>
            <w:sz w:val="18"/>
            <w:szCs w:val="18"/>
            <w:lang w:val="en-US"/>
          </w:rPr>
          <w:fldChar w:fldCharType="end"/>
        </w:r>
      </w:hyperlink>
    </w:p>
    <w:p w14:paraId="7F113FB4" w14:textId="77777777" w:rsidR="00544E7C" w:rsidRPr="00BD295E" w:rsidRDefault="002C3947">
      <w:pPr>
        <w:pStyle w:val="27"/>
        <w:rPr>
          <w:rFonts w:ascii="Arial" w:eastAsia="Times New Roman" w:hAnsi="Arial" w:cs="Arial"/>
          <w:bCs w:val="0"/>
          <w:noProof w:val="0"/>
          <w:sz w:val="18"/>
          <w:szCs w:val="18"/>
          <w:lang w:val="en-US"/>
        </w:rPr>
      </w:pPr>
      <w:hyperlink w:anchor="_Toc95855278" w:history="1">
        <w:r w:rsidR="00544E7C" w:rsidRPr="00BD295E">
          <w:rPr>
            <w:rStyle w:val="af0"/>
            <w:rFonts w:ascii="Arial" w:hAnsi="Arial" w:cs="Arial"/>
            <w:b/>
            <w:noProof w:val="0"/>
            <w:color w:val="auto"/>
            <w:sz w:val="18"/>
            <w:szCs w:val="18"/>
            <w:lang w:val="en-US"/>
          </w:rPr>
          <w:t>2.1</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Market Overview</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_Toc95855278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15</w:t>
        </w:r>
        <w:r w:rsidR="00544E7C" w:rsidRPr="00BD295E">
          <w:rPr>
            <w:rFonts w:ascii="Arial" w:hAnsi="Arial" w:cs="Arial"/>
            <w:noProof w:val="0"/>
            <w:webHidden/>
            <w:sz w:val="18"/>
            <w:szCs w:val="18"/>
            <w:lang w:val="en-US"/>
          </w:rPr>
          <w:fldChar w:fldCharType="end"/>
        </w:r>
      </w:hyperlink>
    </w:p>
    <w:p w14:paraId="53C5CB35" w14:textId="77777777" w:rsidR="00544E7C" w:rsidRPr="00BD295E" w:rsidRDefault="002C3947">
      <w:pPr>
        <w:pStyle w:val="27"/>
        <w:rPr>
          <w:rFonts w:ascii="Arial" w:eastAsia="Times New Roman" w:hAnsi="Arial" w:cs="Arial"/>
          <w:bCs w:val="0"/>
          <w:noProof w:val="0"/>
          <w:sz w:val="18"/>
          <w:szCs w:val="18"/>
          <w:lang w:val="en-US"/>
        </w:rPr>
      </w:pPr>
      <w:hyperlink w:anchor="_Toc95855279" w:history="1">
        <w:r w:rsidR="00544E7C" w:rsidRPr="00BD295E">
          <w:rPr>
            <w:rStyle w:val="af0"/>
            <w:rFonts w:ascii="Arial" w:hAnsi="Arial" w:cs="Arial"/>
            <w:b/>
            <w:noProof w:val="0"/>
            <w:color w:val="auto"/>
            <w:sz w:val="18"/>
            <w:szCs w:val="18"/>
            <w:lang w:val="en-US"/>
          </w:rPr>
          <w:t>2.2</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The Company’s Mission and Strategic Development Priorities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_Toc95855279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22</w:t>
        </w:r>
        <w:r w:rsidR="00544E7C" w:rsidRPr="00BD295E">
          <w:rPr>
            <w:rFonts w:ascii="Arial" w:hAnsi="Arial" w:cs="Arial"/>
            <w:noProof w:val="0"/>
            <w:webHidden/>
            <w:sz w:val="18"/>
            <w:szCs w:val="18"/>
            <w:lang w:val="en-US"/>
          </w:rPr>
          <w:fldChar w:fldCharType="end"/>
        </w:r>
      </w:hyperlink>
    </w:p>
    <w:p w14:paraId="6611A2F8" w14:textId="77777777" w:rsidR="00544E7C" w:rsidRPr="00BD295E" w:rsidRDefault="002C3947">
      <w:pPr>
        <w:pStyle w:val="27"/>
        <w:rPr>
          <w:rFonts w:ascii="Arial" w:eastAsia="Times New Roman" w:hAnsi="Arial" w:cs="Arial"/>
          <w:bCs w:val="0"/>
          <w:noProof w:val="0"/>
          <w:sz w:val="18"/>
          <w:szCs w:val="18"/>
          <w:lang w:val="en-US"/>
        </w:rPr>
      </w:pPr>
      <w:hyperlink w:anchor="_Toc95855280" w:history="1">
        <w:r w:rsidR="00544E7C" w:rsidRPr="00BD295E">
          <w:rPr>
            <w:rStyle w:val="af0"/>
            <w:rFonts w:ascii="Arial" w:hAnsi="Arial" w:cs="Arial"/>
            <w:b/>
            <w:noProof w:val="0"/>
            <w:color w:val="auto"/>
            <w:sz w:val="18"/>
            <w:szCs w:val="18"/>
            <w:lang w:val="en-US"/>
          </w:rPr>
          <w:t>2.3</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Report of the Board of Directors on Development in the Company’s Priority Areas: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_Toc95855280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23</w:t>
        </w:r>
        <w:r w:rsidR="00544E7C" w:rsidRPr="00BD295E">
          <w:rPr>
            <w:rFonts w:ascii="Arial" w:hAnsi="Arial" w:cs="Arial"/>
            <w:noProof w:val="0"/>
            <w:webHidden/>
            <w:sz w:val="18"/>
            <w:szCs w:val="18"/>
            <w:lang w:val="en-US"/>
          </w:rPr>
          <w:fldChar w:fldCharType="end"/>
        </w:r>
      </w:hyperlink>
    </w:p>
    <w:p w14:paraId="4DA5E174" w14:textId="77777777" w:rsidR="00544E7C" w:rsidRPr="00BD295E" w:rsidRDefault="002C3947">
      <w:pPr>
        <w:pStyle w:val="27"/>
        <w:rPr>
          <w:rFonts w:ascii="Arial" w:eastAsia="Times New Roman" w:hAnsi="Arial" w:cs="Arial"/>
          <w:bCs w:val="0"/>
          <w:noProof w:val="0"/>
          <w:sz w:val="18"/>
          <w:szCs w:val="18"/>
          <w:lang w:val="en-US"/>
        </w:rPr>
      </w:pPr>
      <w:hyperlink w:anchor="_Toc95855281" w:history="1">
        <w:r w:rsidR="00544E7C" w:rsidRPr="00BD295E">
          <w:rPr>
            <w:rStyle w:val="af0"/>
            <w:rFonts w:ascii="Arial" w:hAnsi="Arial" w:cs="Arial"/>
            <w:b/>
            <w:noProof w:val="0"/>
            <w:color w:val="auto"/>
            <w:sz w:val="18"/>
            <w:szCs w:val="18"/>
            <w:lang w:val="en-US"/>
          </w:rPr>
          <w:t>2.4</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Key Performance Indicators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_Toc95855281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23</w:t>
        </w:r>
        <w:r w:rsidR="00544E7C" w:rsidRPr="00BD295E">
          <w:rPr>
            <w:rFonts w:ascii="Arial" w:hAnsi="Arial" w:cs="Arial"/>
            <w:noProof w:val="0"/>
            <w:webHidden/>
            <w:sz w:val="18"/>
            <w:szCs w:val="18"/>
            <w:lang w:val="en-US"/>
          </w:rPr>
          <w:fldChar w:fldCharType="end"/>
        </w:r>
      </w:hyperlink>
    </w:p>
    <w:p w14:paraId="6FC7056A" w14:textId="77777777" w:rsidR="00544E7C" w:rsidRPr="00BD295E" w:rsidRDefault="002C3947">
      <w:pPr>
        <w:pStyle w:val="27"/>
        <w:rPr>
          <w:rFonts w:ascii="Arial" w:eastAsia="Times New Roman" w:hAnsi="Arial" w:cs="Arial"/>
          <w:bCs w:val="0"/>
          <w:noProof w:val="0"/>
          <w:sz w:val="18"/>
          <w:szCs w:val="18"/>
          <w:lang w:val="en-US"/>
        </w:rPr>
      </w:pPr>
      <w:hyperlink w:anchor="_Toc95855282" w:history="1">
        <w:r w:rsidR="00544E7C" w:rsidRPr="00BD295E">
          <w:rPr>
            <w:rStyle w:val="af0"/>
            <w:rFonts w:ascii="Arial" w:hAnsi="Arial" w:cs="Arial"/>
            <w:b/>
            <w:noProof w:val="0"/>
            <w:color w:val="auto"/>
            <w:sz w:val="18"/>
            <w:szCs w:val="18"/>
            <w:lang w:val="en-US"/>
          </w:rPr>
          <w:t>2.5</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Customer Engagement</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_Toc95855282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25</w:t>
        </w:r>
        <w:r w:rsidR="00544E7C" w:rsidRPr="00BD295E">
          <w:rPr>
            <w:rFonts w:ascii="Arial" w:hAnsi="Arial" w:cs="Arial"/>
            <w:noProof w:val="0"/>
            <w:webHidden/>
            <w:sz w:val="18"/>
            <w:szCs w:val="18"/>
            <w:lang w:val="en-US"/>
          </w:rPr>
          <w:fldChar w:fldCharType="end"/>
        </w:r>
      </w:hyperlink>
    </w:p>
    <w:p w14:paraId="4127B163" w14:textId="77777777" w:rsidR="00544E7C" w:rsidRPr="00BD295E" w:rsidRDefault="002C3947">
      <w:pPr>
        <w:pStyle w:val="27"/>
        <w:rPr>
          <w:rFonts w:ascii="Arial" w:eastAsia="Times New Roman" w:hAnsi="Arial" w:cs="Arial"/>
          <w:bCs w:val="0"/>
          <w:noProof w:val="0"/>
          <w:sz w:val="18"/>
          <w:szCs w:val="18"/>
          <w:lang w:val="en-US"/>
        </w:rPr>
      </w:pPr>
      <w:hyperlink w:anchor="_Toc95855283" w:history="1">
        <w:r w:rsidR="00544E7C" w:rsidRPr="00BD295E">
          <w:rPr>
            <w:rStyle w:val="af0"/>
            <w:rFonts w:ascii="Arial" w:hAnsi="Arial" w:cs="Arial"/>
            <w:b/>
            <w:noProof w:val="0"/>
            <w:color w:val="auto"/>
            <w:sz w:val="18"/>
            <w:szCs w:val="18"/>
            <w:lang w:val="en-US"/>
          </w:rPr>
          <w:t>2.6</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Business Model</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_Toc95855283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27</w:t>
        </w:r>
        <w:r w:rsidR="00544E7C" w:rsidRPr="00BD295E">
          <w:rPr>
            <w:rFonts w:ascii="Arial" w:hAnsi="Arial" w:cs="Arial"/>
            <w:noProof w:val="0"/>
            <w:webHidden/>
            <w:sz w:val="18"/>
            <w:szCs w:val="18"/>
            <w:lang w:val="en-US"/>
          </w:rPr>
          <w:fldChar w:fldCharType="end"/>
        </w:r>
      </w:hyperlink>
    </w:p>
    <w:p w14:paraId="2ACD02CD" w14:textId="77777777" w:rsidR="00544E7C" w:rsidRPr="00BD295E" w:rsidRDefault="002C3947">
      <w:pPr>
        <w:pStyle w:val="27"/>
        <w:rPr>
          <w:rFonts w:ascii="Arial" w:eastAsia="Times New Roman" w:hAnsi="Arial" w:cs="Arial"/>
          <w:bCs w:val="0"/>
          <w:noProof w:val="0"/>
          <w:sz w:val="18"/>
          <w:szCs w:val="18"/>
          <w:lang w:val="en-US"/>
        </w:rPr>
      </w:pPr>
      <w:hyperlink w:anchor="_Toc95855284" w:history="1">
        <w:r w:rsidR="00544E7C" w:rsidRPr="00BD295E">
          <w:rPr>
            <w:rStyle w:val="af0"/>
            <w:rFonts w:ascii="Arial" w:hAnsi="Arial" w:cs="Arial"/>
            <w:b/>
            <w:noProof w:val="0"/>
            <w:color w:val="auto"/>
            <w:sz w:val="18"/>
            <w:szCs w:val="18"/>
            <w:lang w:val="en-US"/>
          </w:rPr>
          <w:t>SECTION 3. PERFORMANCE</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_Toc95855284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30</w:t>
        </w:r>
        <w:r w:rsidR="00544E7C" w:rsidRPr="00BD295E">
          <w:rPr>
            <w:rFonts w:ascii="Arial" w:hAnsi="Arial" w:cs="Arial"/>
            <w:noProof w:val="0"/>
            <w:webHidden/>
            <w:sz w:val="18"/>
            <w:szCs w:val="18"/>
            <w:lang w:val="en-US"/>
          </w:rPr>
          <w:fldChar w:fldCharType="end"/>
        </w:r>
      </w:hyperlink>
    </w:p>
    <w:p w14:paraId="15F1322A" w14:textId="77777777" w:rsidR="00544E7C" w:rsidRPr="00BD295E" w:rsidRDefault="002C3947">
      <w:pPr>
        <w:pStyle w:val="27"/>
        <w:rPr>
          <w:rFonts w:ascii="Arial" w:eastAsia="Times New Roman" w:hAnsi="Arial" w:cs="Arial"/>
          <w:bCs w:val="0"/>
          <w:noProof w:val="0"/>
          <w:sz w:val="18"/>
          <w:szCs w:val="18"/>
          <w:lang w:val="en-US"/>
        </w:rPr>
      </w:pPr>
      <w:hyperlink w:anchor="_Toc95855285" w:history="1">
        <w:r w:rsidR="00544E7C" w:rsidRPr="00BD295E">
          <w:rPr>
            <w:rStyle w:val="af0"/>
            <w:rFonts w:ascii="Arial" w:hAnsi="Arial" w:cs="Arial"/>
            <w:b/>
            <w:noProof w:val="0"/>
            <w:color w:val="auto"/>
            <w:sz w:val="18"/>
            <w:szCs w:val="18"/>
            <w:lang w:val="en-US"/>
          </w:rPr>
          <w:t>3.1.</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Tariff Regulation</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_Toc95855285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30</w:t>
        </w:r>
        <w:r w:rsidR="00544E7C" w:rsidRPr="00BD295E">
          <w:rPr>
            <w:rFonts w:ascii="Arial" w:hAnsi="Arial" w:cs="Arial"/>
            <w:noProof w:val="0"/>
            <w:webHidden/>
            <w:sz w:val="18"/>
            <w:szCs w:val="18"/>
            <w:lang w:val="en-US"/>
          </w:rPr>
          <w:fldChar w:fldCharType="end"/>
        </w:r>
      </w:hyperlink>
    </w:p>
    <w:p w14:paraId="611E37DE" w14:textId="77777777" w:rsidR="00544E7C" w:rsidRPr="00BD295E" w:rsidRDefault="002C3947">
      <w:pPr>
        <w:pStyle w:val="27"/>
        <w:rPr>
          <w:rFonts w:ascii="Arial" w:eastAsia="Times New Roman" w:hAnsi="Arial" w:cs="Arial"/>
          <w:bCs w:val="0"/>
          <w:noProof w:val="0"/>
          <w:sz w:val="18"/>
          <w:szCs w:val="18"/>
          <w:lang w:val="en-US"/>
        </w:rPr>
      </w:pPr>
      <w:hyperlink w:anchor="_Toc95855286" w:history="1">
        <w:r w:rsidR="00544E7C" w:rsidRPr="00BD295E">
          <w:rPr>
            <w:rStyle w:val="af0"/>
            <w:rFonts w:ascii="Arial" w:hAnsi="Arial" w:cs="Arial"/>
            <w:b/>
            <w:noProof w:val="0"/>
            <w:color w:val="auto"/>
            <w:sz w:val="18"/>
            <w:szCs w:val="18"/>
            <w:lang w:val="en-US"/>
          </w:rPr>
          <w:t>3.2.</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Operational Performance</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_Toc95855286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35</w:t>
        </w:r>
        <w:r w:rsidR="00544E7C" w:rsidRPr="00BD295E">
          <w:rPr>
            <w:rFonts w:ascii="Arial" w:hAnsi="Arial" w:cs="Arial"/>
            <w:noProof w:val="0"/>
            <w:webHidden/>
            <w:sz w:val="18"/>
            <w:szCs w:val="18"/>
            <w:lang w:val="en-US"/>
          </w:rPr>
          <w:fldChar w:fldCharType="end"/>
        </w:r>
      </w:hyperlink>
    </w:p>
    <w:p w14:paraId="5F522BD8" w14:textId="77777777" w:rsidR="00544E7C" w:rsidRPr="00BD295E" w:rsidRDefault="002C3947">
      <w:pPr>
        <w:pStyle w:val="39"/>
        <w:tabs>
          <w:tab w:val="right" w:leader="dot" w:pos="9345"/>
        </w:tabs>
        <w:rPr>
          <w:rFonts w:ascii="Arial" w:hAnsi="Arial" w:cs="Arial"/>
          <w:sz w:val="18"/>
          <w:szCs w:val="18"/>
          <w:lang w:val="en-US"/>
        </w:rPr>
      </w:pPr>
      <w:hyperlink w:anchor="_Toc95855287" w:history="1">
        <w:r w:rsidR="00544E7C" w:rsidRPr="00BD295E">
          <w:rPr>
            <w:rStyle w:val="af0"/>
            <w:rFonts w:ascii="Arial" w:eastAsia="Calibri" w:hAnsi="Arial" w:cs="Arial"/>
            <w:b/>
            <w:color w:val="auto"/>
            <w:sz w:val="18"/>
            <w:szCs w:val="18"/>
            <w:lang w:val="en-US"/>
          </w:rPr>
          <w:t>3.2.1. Electricity Distribution Services</w:t>
        </w:r>
        <w:r w:rsidR="00544E7C" w:rsidRPr="00BD295E">
          <w:rPr>
            <w:rFonts w:ascii="Arial" w:hAnsi="Arial" w:cs="Arial"/>
            <w:webHidden/>
            <w:sz w:val="18"/>
            <w:szCs w:val="18"/>
            <w:lang w:val="en-US"/>
          </w:rPr>
          <w:tab/>
        </w:r>
        <w:r w:rsidR="00544E7C" w:rsidRPr="00BD295E">
          <w:rPr>
            <w:rFonts w:ascii="Arial" w:hAnsi="Arial" w:cs="Arial"/>
            <w:webHidden/>
            <w:sz w:val="18"/>
            <w:szCs w:val="18"/>
            <w:lang w:val="en-US"/>
          </w:rPr>
          <w:fldChar w:fldCharType="begin"/>
        </w:r>
        <w:r w:rsidR="00544E7C" w:rsidRPr="00BD295E">
          <w:rPr>
            <w:rFonts w:ascii="Arial" w:hAnsi="Arial" w:cs="Arial"/>
            <w:webHidden/>
            <w:sz w:val="18"/>
            <w:szCs w:val="18"/>
            <w:lang w:val="en-US"/>
          </w:rPr>
          <w:instrText xml:space="preserve"> PAGEREF _Toc95855287 \h </w:instrText>
        </w:r>
        <w:r w:rsidR="00544E7C" w:rsidRPr="00BD295E">
          <w:rPr>
            <w:rFonts w:ascii="Arial" w:hAnsi="Arial" w:cs="Arial"/>
            <w:webHidden/>
            <w:sz w:val="18"/>
            <w:szCs w:val="18"/>
            <w:lang w:val="en-US"/>
          </w:rPr>
        </w:r>
        <w:r w:rsidR="00544E7C" w:rsidRPr="00BD295E">
          <w:rPr>
            <w:rFonts w:ascii="Arial" w:hAnsi="Arial" w:cs="Arial"/>
            <w:webHidden/>
            <w:sz w:val="18"/>
            <w:szCs w:val="18"/>
            <w:lang w:val="en-US"/>
          </w:rPr>
          <w:fldChar w:fldCharType="separate"/>
        </w:r>
        <w:r w:rsidR="00544E7C" w:rsidRPr="00BD295E">
          <w:rPr>
            <w:rFonts w:ascii="Arial" w:hAnsi="Arial" w:cs="Arial"/>
            <w:webHidden/>
            <w:sz w:val="18"/>
            <w:szCs w:val="18"/>
            <w:lang w:val="en-US"/>
          </w:rPr>
          <w:t>35</w:t>
        </w:r>
        <w:r w:rsidR="00544E7C" w:rsidRPr="00BD295E">
          <w:rPr>
            <w:rFonts w:ascii="Arial" w:hAnsi="Arial" w:cs="Arial"/>
            <w:webHidden/>
            <w:sz w:val="18"/>
            <w:szCs w:val="18"/>
            <w:lang w:val="en-US"/>
          </w:rPr>
          <w:fldChar w:fldCharType="end"/>
        </w:r>
      </w:hyperlink>
    </w:p>
    <w:p w14:paraId="6E68E265" w14:textId="77777777" w:rsidR="00544E7C" w:rsidRPr="00BD295E" w:rsidRDefault="002C3947">
      <w:pPr>
        <w:pStyle w:val="39"/>
        <w:tabs>
          <w:tab w:val="right" w:leader="dot" w:pos="9345"/>
        </w:tabs>
        <w:rPr>
          <w:rFonts w:ascii="Arial" w:hAnsi="Arial" w:cs="Arial"/>
          <w:sz w:val="18"/>
          <w:szCs w:val="18"/>
          <w:lang w:val="en-US"/>
        </w:rPr>
      </w:pPr>
      <w:hyperlink w:anchor="_Toc95855288" w:history="1">
        <w:r w:rsidR="00544E7C" w:rsidRPr="00BD295E">
          <w:rPr>
            <w:rStyle w:val="af0"/>
            <w:rFonts w:ascii="Arial" w:eastAsia="Calibri" w:hAnsi="Arial" w:cs="Arial"/>
            <w:b/>
            <w:color w:val="auto"/>
            <w:sz w:val="18"/>
            <w:szCs w:val="18"/>
            <w:lang w:val="en-US"/>
          </w:rPr>
          <w:t>3.2.2. Sales of Grid Connection Services and Breakdown of Connected Capacity</w:t>
        </w:r>
        <w:r w:rsidR="00544E7C" w:rsidRPr="00BD295E">
          <w:rPr>
            <w:rFonts w:ascii="Arial" w:hAnsi="Arial" w:cs="Arial"/>
            <w:webHidden/>
            <w:sz w:val="18"/>
            <w:szCs w:val="18"/>
            <w:lang w:val="en-US"/>
          </w:rPr>
          <w:tab/>
        </w:r>
        <w:r w:rsidR="00544E7C" w:rsidRPr="00BD295E">
          <w:rPr>
            <w:rFonts w:ascii="Arial" w:hAnsi="Arial" w:cs="Arial"/>
            <w:webHidden/>
            <w:sz w:val="18"/>
            <w:szCs w:val="18"/>
            <w:lang w:val="en-US"/>
          </w:rPr>
          <w:fldChar w:fldCharType="begin"/>
        </w:r>
        <w:r w:rsidR="00544E7C" w:rsidRPr="00BD295E">
          <w:rPr>
            <w:rFonts w:ascii="Arial" w:hAnsi="Arial" w:cs="Arial"/>
            <w:webHidden/>
            <w:sz w:val="18"/>
            <w:szCs w:val="18"/>
            <w:lang w:val="en-US"/>
          </w:rPr>
          <w:instrText xml:space="preserve"> PAGEREF _Toc95855288 \h </w:instrText>
        </w:r>
        <w:r w:rsidR="00544E7C" w:rsidRPr="00BD295E">
          <w:rPr>
            <w:rFonts w:ascii="Arial" w:hAnsi="Arial" w:cs="Arial"/>
            <w:webHidden/>
            <w:sz w:val="18"/>
            <w:szCs w:val="18"/>
            <w:lang w:val="en-US"/>
          </w:rPr>
        </w:r>
        <w:r w:rsidR="00544E7C" w:rsidRPr="00BD295E">
          <w:rPr>
            <w:rFonts w:ascii="Arial" w:hAnsi="Arial" w:cs="Arial"/>
            <w:webHidden/>
            <w:sz w:val="18"/>
            <w:szCs w:val="18"/>
            <w:lang w:val="en-US"/>
          </w:rPr>
          <w:fldChar w:fldCharType="separate"/>
        </w:r>
        <w:r w:rsidR="00544E7C" w:rsidRPr="00BD295E">
          <w:rPr>
            <w:rFonts w:ascii="Arial" w:hAnsi="Arial" w:cs="Arial"/>
            <w:webHidden/>
            <w:sz w:val="18"/>
            <w:szCs w:val="18"/>
            <w:lang w:val="en-US"/>
          </w:rPr>
          <w:t>46</w:t>
        </w:r>
        <w:r w:rsidR="00544E7C" w:rsidRPr="00BD295E">
          <w:rPr>
            <w:rFonts w:ascii="Arial" w:hAnsi="Arial" w:cs="Arial"/>
            <w:webHidden/>
            <w:sz w:val="18"/>
            <w:szCs w:val="18"/>
            <w:lang w:val="en-US"/>
          </w:rPr>
          <w:fldChar w:fldCharType="end"/>
        </w:r>
      </w:hyperlink>
    </w:p>
    <w:p w14:paraId="48C2303B" w14:textId="77777777" w:rsidR="00544E7C" w:rsidRPr="00BD295E" w:rsidRDefault="002C3947">
      <w:pPr>
        <w:pStyle w:val="27"/>
        <w:rPr>
          <w:rFonts w:ascii="Arial" w:eastAsia="Times New Roman" w:hAnsi="Arial" w:cs="Arial"/>
          <w:bCs w:val="0"/>
          <w:noProof w:val="0"/>
          <w:sz w:val="18"/>
          <w:szCs w:val="18"/>
          <w:lang w:val="en-US"/>
        </w:rPr>
      </w:pPr>
      <w:hyperlink w:anchor="_Toc95855289" w:history="1">
        <w:r w:rsidR="00544E7C" w:rsidRPr="00BD295E">
          <w:rPr>
            <w:rStyle w:val="af0"/>
            <w:rFonts w:ascii="Arial" w:hAnsi="Arial" w:cs="Arial"/>
            <w:b/>
            <w:noProof w:val="0"/>
            <w:color w:val="auto"/>
            <w:sz w:val="18"/>
            <w:szCs w:val="18"/>
            <w:lang w:val="en-US"/>
          </w:rPr>
          <w:t>3.3. Financial Performance</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_Toc95855289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56</w:t>
        </w:r>
        <w:r w:rsidR="00544E7C" w:rsidRPr="00BD295E">
          <w:rPr>
            <w:rFonts w:ascii="Arial" w:hAnsi="Arial" w:cs="Arial"/>
            <w:noProof w:val="0"/>
            <w:webHidden/>
            <w:sz w:val="18"/>
            <w:szCs w:val="18"/>
            <w:lang w:val="en-US"/>
          </w:rPr>
          <w:fldChar w:fldCharType="end"/>
        </w:r>
      </w:hyperlink>
    </w:p>
    <w:p w14:paraId="5CC124DE" w14:textId="77777777" w:rsidR="00544E7C" w:rsidRPr="00BD295E" w:rsidRDefault="002C3947">
      <w:pPr>
        <w:pStyle w:val="27"/>
        <w:rPr>
          <w:rFonts w:ascii="Arial" w:eastAsia="Times New Roman" w:hAnsi="Arial" w:cs="Arial"/>
          <w:bCs w:val="0"/>
          <w:noProof w:val="0"/>
          <w:sz w:val="18"/>
          <w:szCs w:val="18"/>
          <w:lang w:val="en-US"/>
        </w:rPr>
      </w:pPr>
      <w:hyperlink w:anchor="_Toc95855290" w:history="1">
        <w:r w:rsidR="00544E7C" w:rsidRPr="00BD295E">
          <w:rPr>
            <w:rStyle w:val="af0"/>
            <w:rFonts w:ascii="Arial" w:hAnsi="Arial" w:cs="Arial"/>
            <w:b/>
            <w:noProof w:val="0"/>
            <w:color w:val="auto"/>
            <w:sz w:val="18"/>
            <w:szCs w:val="18"/>
            <w:lang w:val="en-US"/>
          </w:rPr>
          <w:t>3.4.</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Investments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_Toc95855290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61</w:t>
        </w:r>
        <w:r w:rsidR="00544E7C" w:rsidRPr="00BD295E">
          <w:rPr>
            <w:rFonts w:ascii="Arial" w:hAnsi="Arial" w:cs="Arial"/>
            <w:noProof w:val="0"/>
            <w:webHidden/>
            <w:sz w:val="18"/>
            <w:szCs w:val="18"/>
            <w:lang w:val="en-US"/>
          </w:rPr>
          <w:fldChar w:fldCharType="end"/>
        </w:r>
      </w:hyperlink>
    </w:p>
    <w:p w14:paraId="78B045E4" w14:textId="77777777" w:rsidR="00544E7C" w:rsidRPr="00BD295E" w:rsidRDefault="002C3947">
      <w:pPr>
        <w:pStyle w:val="27"/>
        <w:rPr>
          <w:rFonts w:ascii="Arial" w:eastAsia="Times New Roman" w:hAnsi="Arial" w:cs="Arial"/>
          <w:bCs w:val="0"/>
          <w:noProof w:val="0"/>
          <w:sz w:val="18"/>
          <w:szCs w:val="18"/>
          <w:lang w:val="en-US"/>
        </w:rPr>
      </w:pPr>
      <w:hyperlink w:anchor="_Toc95855291" w:history="1">
        <w:r w:rsidR="00544E7C" w:rsidRPr="00BD295E">
          <w:rPr>
            <w:rStyle w:val="af0"/>
            <w:rFonts w:ascii="Arial" w:hAnsi="Arial" w:cs="Arial"/>
            <w:b/>
            <w:noProof w:val="0"/>
            <w:color w:val="auto"/>
            <w:sz w:val="18"/>
            <w:szCs w:val="18"/>
            <w:lang w:val="en-US"/>
          </w:rPr>
          <w:t>3.5.</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Consolidation of Electric Grid Assets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_Toc95855291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80</w:t>
        </w:r>
        <w:r w:rsidR="00544E7C" w:rsidRPr="00BD295E">
          <w:rPr>
            <w:rFonts w:ascii="Arial" w:hAnsi="Arial" w:cs="Arial"/>
            <w:noProof w:val="0"/>
            <w:webHidden/>
            <w:sz w:val="18"/>
            <w:szCs w:val="18"/>
            <w:lang w:val="en-US"/>
          </w:rPr>
          <w:fldChar w:fldCharType="end"/>
        </w:r>
      </w:hyperlink>
    </w:p>
    <w:p w14:paraId="1D763597" w14:textId="77777777" w:rsidR="00544E7C" w:rsidRPr="00BD295E" w:rsidRDefault="002C3947">
      <w:pPr>
        <w:pStyle w:val="27"/>
        <w:rPr>
          <w:rFonts w:ascii="Arial" w:eastAsia="Times New Roman" w:hAnsi="Arial" w:cs="Arial"/>
          <w:bCs w:val="0"/>
          <w:noProof w:val="0"/>
          <w:sz w:val="18"/>
          <w:szCs w:val="18"/>
          <w:lang w:val="en-US"/>
        </w:rPr>
      </w:pPr>
      <w:hyperlink w:anchor="_Toc95855292" w:history="1">
        <w:r w:rsidR="00544E7C" w:rsidRPr="00BD295E">
          <w:rPr>
            <w:rStyle w:val="af0"/>
            <w:rFonts w:ascii="Arial" w:hAnsi="Arial" w:cs="Arial"/>
            <w:b/>
            <w:noProof w:val="0"/>
            <w:color w:val="auto"/>
            <w:sz w:val="18"/>
            <w:szCs w:val="18"/>
            <w:lang w:val="en-US"/>
          </w:rPr>
          <w:t>3.6.</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Technical Upgrading, Development, and Innovation</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_Toc95855292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85</w:t>
        </w:r>
        <w:r w:rsidR="00544E7C" w:rsidRPr="00BD295E">
          <w:rPr>
            <w:rFonts w:ascii="Arial" w:hAnsi="Arial" w:cs="Arial"/>
            <w:noProof w:val="0"/>
            <w:webHidden/>
            <w:sz w:val="18"/>
            <w:szCs w:val="18"/>
            <w:lang w:val="en-US"/>
          </w:rPr>
          <w:fldChar w:fldCharType="end"/>
        </w:r>
      </w:hyperlink>
    </w:p>
    <w:p w14:paraId="5AF29BC6" w14:textId="77777777" w:rsidR="00544E7C" w:rsidRPr="00BD295E" w:rsidRDefault="002C3947">
      <w:pPr>
        <w:pStyle w:val="39"/>
        <w:tabs>
          <w:tab w:val="left" w:pos="1977"/>
          <w:tab w:val="right" w:leader="dot" w:pos="9345"/>
        </w:tabs>
        <w:rPr>
          <w:rFonts w:ascii="Arial" w:hAnsi="Arial" w:cs="Arial"/>
          <w:sz w:val="18"/>
          <w:szCs w:val="18"/>
          <w:lang w:val="en-US"/>
        </w:rPr>
      </w:pPr>
      <w:hyperlink w:anchor="_Toc95855293" w:history="1">
        <w:r w:rsidR="00544E7C" w:rsidRPr="00BD295E">
          <w:rPr>
            <w:rStyle w:val="af0"/>
            <w:rFonts w:ascii="Arial" w:eastAsia="Calibri" w:hAnsi="Arial" w:cs="Arial"/>
            <w:b/>
            <w:color w:val="auto"/>
            <w:sz w:val="18"/>
            <w:szCs w:val="18"/>
            <w:lang w:val="en-US"/>
          </w:rPr>
          <w:t>3.6.1.</w:t>
        </w:r>
        <w:r w:rsidR="00544E7C" w:rsidRPr="00BD295E">
          <w:rPr>
            <w:rFonts w:ascii="Arial" w:hAnsi="Arial" w:cs="Arial"/>
            <w:sz w:val="18"/>
            <w:szCs w:val="18"/>
            <w:lang w:val="en-US"/>
          </w:rPr>
          <w:tab/>
        </w:r>
        <w:r w:rsidR="00544E7C" w:rsidRPr="00BD295E">
          <w:rPr>
            <w:rStyle w:val="af0"/>
            <w:rFonts w:ascii="Arial" w:eastAsia="Calibri" w:hAnsi="Arial" w:cs="Arial"/>
            <w:b/>
            <w:color w:val="auto"/>
            <w:sz w:val="18"/>
            <w:szCs w:val="18"/>
            <w:lang w:val="en-US"/>
          </w:rPr>
          <w:t>The Company’s Technical Policy</w:t>
        </w:r>
        <w:r w:rsidR="00544E7C" w:rsidRPr="00BD295E">
          <w:rPr>
            <w:rFonts w:ascii="Arial" w:hAnsi="Arial" w:cs="Arial"/>
            <w:webHidden/>
            <w:sz w:val="18"/>
            <w:szCs w:val="18"/>
            <w:lang w:val="en-US"/>
          </w:rPr>
          <w:tab/>
        </w:r>
        <w:r w:rsidR="00544E7C" w:rsidRPr="00BD295E">
          <w:rPr>
            <w:rFonts w:ascii="Arial" w:hAnsi="Arial" w:cs="Arial"/>
            <w:webHidden/>
            <w:sz w:val="18"/>
            <w:szCs w:val="18"/>
            <w:lang w:val="en-US"/>
          </w:rPr>
          <w:fldChar w:fldCharType="begin"/>
        </w:r>
        <w:r w:rsidR="00544E7C" w:rsidRPr="00BD295E">
          <w:rPr>
            <w:rFonts w:ascii="Arial" w:hAnsi="Arial" w:cs="Arial"/>
            <w:webHidden/>
            <w:sz w:val="18"/>
            <w:szCs w:val="18"/>
            <w:lang w:val="en-US"/>
          </w:rPr>
          <w:instrText xml:space="preserve"> PAGEREF _Toc95855293 \h </w:instrText>
        </w:r>
        <w:r w:rsidR="00544E7C" w:rsidRPr="00BD295E">
          <w:rPr>
            <w:rFonts w:ascii="Arial" w:hAnsi="Arial" w:cs="Arial"/>
            <w:webHidden/>
            <w:sz w:val="18"/>
            <w:szCs w:val="18"/>
            <w:lang w:val="en-US"/>
          </w:rPr>
        </w:r>
        <w:r w:rsidR="00544E7C" w:rsidRPr="00BD295E">
          <w:rPr>
            <w:rFonts w:ascii="Arial" w:hAnsi="Arial" w:cs="Arial"/>
            <w:webHidden/>
            <w:sz w:val="18"/>
            <w:szCs w:val="18"/>
            <w:lang w:val="en-US"/>
          </w:rPr>
          <w:fldChar w:fldCharType="separate"/>
        </w:r>
        <w:r w:rsidR="00544E7C" w:rsidRPr="00BD295E">
          <w:rPr>
            <w:rFonts w:ascii="Arial" w:hAnsi="Arial" w:cs="Arial"/>
            <w:webHidden/>
            <w:sz w:val="18"/>
            <w:szCs w:val="18"/>
            <w:lang w:val="en-US"/>
          </w:rPr>
          <w:t>85</w:t>
        </w:r>
        <w:r w:rsidR="00544E7C" w:rsidRPr="00BD295E">
          <w:rPr>
            <w:rFonts w:ascii="Arial" w:hAnsi="Arial" w:cs="Arial"/>
            <w:webHidden/>
            <w:sz w:val="18"/>
            <w:szCs w:val="18"/>
            <w:lang w:val="en-US"/>
          </w:rPr>
          <w:fldChar w:fldCharType="end"/>
        </w:r>
      </w:hyperlink>
    </w:p>
    <w:p w14:paraId="284EE46E" w14:textId="77777777" w:rsidR="00544E7C" w:rsidRPr="00BD295E" w:rsidRDefault="002C3947">
      <w:pPr>
        <w:pStyle w:val="39"/>
        <w:tabs>
          <w:tab w:val="left" w:pos="1977"/>
          <w:tab w:val="right" w:leader="dot" w:pos="9345"/>
        </w:tabs>
        <w:rPr>
          <w:rFonts w:ascii="Arial" w:hAnsi="Arial" w:cs="Arial"/>
          <w:sz w:val="18"/>
          <w:szCs w:val="18"/>
          <w:lang w:val="en-US"/>
        </w:rPr>
      </w:pPr>
      <w:hyperlink w:anchor="_Toc95855294" w:history="1">
        <w:r w:rsidR="00544E7C" w:rsidRPr="00BD295E">
          <w:rPr>
            <w:rStyle w:val="af0"/>
            <w:rFonts w:ascii="Arial" w:eastAsia="Calibri" w:hAnsi="Arial" w:cs="Arial"/>
            <w:b/>
            <w:color w:val="auto"/>
            <w:sz w:val="18"/>
            <w:szCs w:val="18"/>
            <w:lang w:val="en-US"/>
          </w:rPr>
          <w:t>3.6.2.</w:t>
        </w:r>
        <w:r w:rsidR="00544E7C" w:rsidRPr="00BD295E">
          <w:rPr>
            <w:rFonts w:ascii="Arial" w:hAnsi="Arial" w:cs="Arial"/>
            <w:sz w:val="18"/>
            <w:szCs w:val="18"/>
            <w:lang w:val="en-US"/>
          </w:rPr>
          <w:tab/>
        </w:r>
        <w:r w:rsidR="00544E7C" w:rsidRPr="00BD295E">
          <w:rPr>
            <w:rStyle w:val="af0"/>
            <w:rFonts w:ascii="Arial" w:eastAsia="Calibri" w:hAnsi="Arial" w:cs="Arial"/>
            <w:b/>
            <w:color w:val="auto"/>
            <w:sz w:val="18"/>
            <w:szCs w:val="18"/>
            <w:lang w:val="en-US"/>
          </w:rPr>
          <w:t>Innovation and R&amp;D</w:t>
        </w:r>
        <w:r w:rsidR="00544E7C" w:rsidRPr="00BD295E">
          <w:rPr>
            <w:rFonts w:ascii="Arial" w:hAnsi="Arial" w:cs="Arial"/>
            <w:webHidden/>
            <w:sz w:val="18"/>
            <w:szCs w:val="18"/>
            <w:lang w:val="en-US"/>
          </w:rPr>
          <w:tab/>
        </w:r>
        <w:r w:rsidR="00544E7C" w:rsidRPr="00BD295E">
          <w:rPr>
            <w:rFonts w:ascii="Arial" w:hAnsi="Arial" w:cs="Arial"/>
            <w:webHidden/>
            <w:sz w:val="18"/>
            <w:szCs w:val="18"/>
            <w:lang w:val="en-US"/>
          </w:rPr>
          <w:fldChar w:fldCharType="begin"/>
        </w:r>
        <w:r w:rsidR="00544E7C" w:rsidRPr="00BD295E">
          <w:rPr>
            <w:rFonts w:ascii="Arial" w:hAnsi="Arial" w:cs="Arial"/>
            <w:webHidden/>
            <w:sz w:val="18"/>
            <w:szCs w:val="18"/>
            <w:lang w:val="en-US"/>
          </w:rPr>
          <w:instrText xml:space="preserve"> PAGEREF _Toc95855294 \h </w:instrText>
        </w:r>
        <w:r w:rsidR="00544E7C" w:rsidRPr="00BD295E">
          <w:rPr>
            <w:rFonts w:ascii="Arial" w:hAnsi="Arial" w:cs="Arial"/>
            <w:webHidden/>
            <w:sz w:val="18"/>
            <w:szCs w:val="18"/>
            <w:lang w:val="en-US"/>
          </w:rPr>
        </w:r>
        <w:r w:rsidR="00544E7C" w:rsidRPr="00BD295E">
          <w:rPr>
            <w:rFonts w:ascii="Arial" w:hAnsi="Arial" w:cs="Arial"/>
            <w:webHidden/>
            <w:sz w:val="18"/>
            <w:szCs w:val="18"/>
            <w:lang w:val="en-US"/>
          </w:rPr>
          <w:fldChar w:fldCharType="separate"/>
        </w:r>
        <w:r w:rsidR="00544E7C" w:rsidRPr="00BD295E">
          <w:rPr>
            <w:rFonts w:ascii="Arial" w:hAnsi="Arial" w:cs="Arial"/>
            <w:webHidden/>
            <w:sz w:val="18"/>
            <w:szCs w:val="18"/>
            <w:lang w:val="en-US"/>
          </w:rPr>
          <w:t>97</w:t>
        </w:r>
        <w:r w:rsidR="00544E7C" w:rsidRPr="00BD295E">
          <w:rPr>
            <w:rFonts w:ascii="Arial" w:hAnsi="Arial" w:cs="Arial"/>
            <w:webHidden/>
            <w:sz w:val="18"/>
            <w:szCs w:val="18"/>
            <w:lang w:val="en-US"/>
          </w:rPr>
          <w:fldChar w:fldCharType="end"/>
        </w:r>
      </w:hyperlink>
    </w:p>
    <w:p w14:paraId="759E2035" w14:textId="77777777" w:rsidR="00544E7C" w:rsidRPr="00BD295E" w:rsidRDefault="002C3947">
      <w:pPr>
        <w:pStyle w:val="39"/>
        <w:tabs>
          <w:tab w:val="left" w:pos="1977"/>
          <w:tab w:val="right" w:leader="dot" w:pos="9345"/>
        </w:tabs>
        <w:rPr>
          <w:rFonts w:ascii="Arial" w:hAnsi="Arial" w:cs="Arial"/>
          <w:sz w:val="18"/>
          <w:szCs w:val="18"/>
          <w:lang w:val="en-US"/>
        </w:rPr>
      </w:pPr>
      <w:hyperlink w:anchor="_Toc95855295" w:history="1">
        <w:r w:rsidR="00544E7C" w:rsidRPr="00BD295E">
          <w:rPr>
            <w:rStyle w:val="af0"/>
            <w:rFonts w:ascii="Arial" w:eastAsia="Calibri" w:hAnsi="Arial" w:cs="Arial"/>
            <w:b/>
            <w:color w:val="auto"/>
            <w:sz w:val="18"/>
            <w:szCs w:val="18"/>
            <w:lang w:val="en-US"/>
          </w:rPr>
          <w:t>3.6.3.</w:t>
        </w:r>
        <w:r w:rsidR="00544E7C" w:rsidRPr="00BD295E">
          <w:rPr>
            <w:rFonts w:ascii="Arial" w:hAnsi="Arial" w:cs="Arial"/>
            <w:sz w:val="18"/>
            <w:szCs w:val="18"/>
            <w:lang w:val="en-US"/>
          </w:rPr>
          <w:tab/>
        </w:r>
        <w:r w:rsidR="00544E7C" w:rsidRPr="00BD295E">
          <w:rPr>
            <w:rStyle w:val="af0"/>
            <w:rFonts w:ascii="Arial" w:eastAsia="Calibri" w:hAnsi="Arial" w:cs="Arial"/>
            <w:b/>
            <w:bCs/>
            <w:color w:val="auto"/>
            <w:sz w:val="18"/>
            <w:szCs w:val="18"/>
            <w:lang w:val="en-US"/>
          </w:rPr>
          <w:t>Information technologies and telecommunications</w:t>
        </w:r>
        <w:r w:rsidR="00544E7C" w:rsidRPr="00BD295E">
          <w:rPr>
            <w:rFonts w:ascii="Arial" w:hAnsi="Arial" w:cs="Arial"/>
            <w:webHidden/>
            <w:sz w:val="18"/>
            <w:szCs w:val="18"/>
            <w:lang w:val="en-US"/>
          </w:rPr>
          <w:tab/>
        </w:r>
        <w:r w:rsidR="00544E7C" w:rsidRPr="00BD295E">
          <w:rPr>
            <w:rFonts w:ascii="Arial" w:hAnsi="Arial" w:cs="Arial"/>
            <w:webHidden/>
            <w:sz w:val="18"/>
            <w:szCs w:val="18"/>
            <w:lang w:val="en-US"/>
          </w:rPr>
          <w:fldChar w:fldCharType="begin"/>
        </w:r>
        <w:r w:rsidR="00544E7C" w:rsidRPr="00BD295E">
          <w:rPr>
            <w:rFonts w:ascii="Arial" w:hAnsi="Arial" w:cs="Arial"/>
            <w:webHidden/>
            <w:sz w:val="18"/>
            <w:szCs w:val="18"/>
            <w:lang w:val="en-US"/>
          </w:rPr>
          <w:instrText xml:space="preserve"> PAGEREF _Toc95855295 \h </w:instrText>
        </w:r>
        <w:r w:rsidR="00544E7C" w:rsidRPr="00BD295E">
          <w:rPr>
            <w:rFonts w:ascii="Arial" w:hAnsi="Arial" w:cs="Arial"/>
            <w:webHidden/>
            <w:sz w:val="18"/>
            <w:szCs w:val="18"/>
            <w:lang w:val="en-US"/>
          </w:rPr>
        </w:r>
        <w:r w:rsidR="00544E7C" w:rsidRPr="00BD295E">
          <w:rPr>
            <w:rFonts w:ascii="Arial" w:hAnsi="Arial" w:cs="Arial"/>
            <w:webHidden/>
            <w:sz w:val="18"/>
            <w:szCs w:val="18"/>
            <w:lang w:val="en-US"/>
          </w:rPr>
          <w:fldChar w:fldCharType="separate"/>
        </w:r>
        <w:r w:rsidR="00544E7C" w:rsidRPr="00BD295E">
          <w:rPr>
            <w:rFonts w:ascii="Arial" w:hAnsi="Arial" w:cs="Arial"/>
            <w:webHidden/>
            <w:sz w:val="18"/>
            <w:szCs w:val="18"/>
            <w:lang w:val="en-US"/>
          </w:rPr>
          <w:t>105</w:t>
        </w:r>
        <w:r w:rsidR="00544E7C" w:rsidRPr="00BD295E">
          <w:rPr>
            <w:rFonts w:ascii="Arial" w:hAnsi="Arial" w:cs="Arial"/>
            <w:webHidden/>
            <w:sz w:val="18"/>
            <w:szCs w:val="18"/>
            <w:lang w:val="en-US"/>
          </w:rPr>
          <w:fldChar w:fldCharType="end"/>
        </w:r>
      </w:hyperlink>
    </w:p>
    <w:p w14:paraId="4E467FB3" w14:textId="77777777" w:rsidR="00544E7C" w:rsidRPr="00BD295E" w:rsidRDefault="002C3947">
      <w:pPr>
        <w:pStyle w:val="39"/>
        <w:tabs>
          <w:tab w:val="right" w:leader="dot" w:pos="9345"/>
        </w:tabs>
        <w:rPr>
          <w:rFonts w:ascii="Arial" w:hAnsi="Arial" w:cs="Arial"/>
          <w:sz w:val="18"/>
          <w:szCs w:val="18"/>
          <w:lang w:val="en-US"/>
        </w:rPr>
      </w:pPr>
      <w:hyperlink w:anchor="_Toc95855296" w:history="1">
        <w:r w:rsidR="00544E7C" w:rsidRPr="00BD295E">
          <w:rPr>
            <w:rStyle w:val="af0"/>
            <w:rFonts w:ascii="Arial" w:eastAsia="Calibri" w:hAnsi="Arial" w:cs="Arial"/>
            <w:b/>
            <w:color w:val="auto"/>
            <w:sz w:val="18"/>
            <w:szCs w:val="18"/>
            <w:lang w:val="en-US"/>
          </w:rPr>
          <w:t>3.6.4.</w:t>
        </w:r>
        <w:r w:rsidR="00544E7C" w:rsidRPr="00BD295E">
          <w:rPr>
            <w:rStyle w:val="af0"/>
            <w:rFonts w:ascii="Arial" w:eastAsia="Calibri" w:hAnsi="Arial" w:cs="Arial"/>
            <w:color w:val="auto"/>
            <w:sz w:val="18"/>
            <w:szCs w:val="18"/>
            <w:lang w:val="en-US"/>
          </w:rPr>
          <w:t xml:space="preserve"> </w:t>
        </w:r>
        <w:r w:rsidR="00544E7C" w:rsidRPr="00BD295E">
          <w:rPr>
            <w:rStyle w:val="af0"/>
            <w:rFonts w:ascii="Arial" w:eastAsia="Calibri" w:hAnsi="Arial" w:cs="Arial"/>
            <w:b/>
            <w:color w:val="auto"/>
            <w:sz w:val="18"/>
            <w:szCs w:val="18"/>
            <w:lang w:val="en-US"/>
          </w:rPr>
          <w:t>Reliability and Repairs</w:t>
        </w:r>
        <w:r w:rsidR="00544E7C" w:rsidRPr="00BD295E">
          <w:rPr>
            <w:rFonts w:ascii="Arial" w:hAnsi="Arial" w:cs="Arial"/>
            <w:webHidden/>
            <w:sz w:val="18"/>
            <w:szCs w:val="18"/>
            <w:lang w:val="en-US"/>
          </w:rPr>
          <w:tab/>
        </w:r>
        <w:r w:rsidR="00544E7C" w:rsidRPr="00BD295E">
          <w:rPr>
            <w:rFonts w:ascii="Arial" w:hAnsi="Arial" w:cs="Arial"/>
            <w:webHidden/>
            <w:sz w:val="18"/>
            <w:szCs w:val="18"/>
            <w:lang w:val="en-US"/>
          </w:rPr>
          <w:fldChar w:fldCharType="begin"/>
        </w:r>
        <w:r w:rsidR="00544E7C" w:rsidRPr="00BD295E">
          <w:rPr>
            <w:rFonts w:ascii="Arial" w:hAnsi="Arial" w:cs="Arial"/>
            <w:webHidden/>
            <w:sz w:val="18"/>
            <w:szCs w:val="18"/>
            <w:lang w:val="en-US"/>
          </w:rPr>
          <w:instrText xml:space="preserve"> PAGEREF _Toc95855296 \h </w:instrText>
        </w:r>
        <w:r w:rsidR="00544E7C" w:rsidRPr="00BD295E">
          <w:rPr>
            <w:rFonts w:ascii="Arial" w:hAnsi="Arial" w:cs="Arial"/>
            <w:webHidden/>
            <w:sz w:val="18"/>
            <w:szCs w:val="18"/>
            <w:lang w:val="en-US"/>
          </w:rPr>
        </w:r>
        <w:r w:rsidR="00544E7C" w:rsidRPr="00BD295E">
          <w:rPr>
            <w:rFonts w:ascii="Arial" w:hAnsi="Arial" w:cs="Arial"/>
            <w:webHidden/>
            <w:sz w:val="18"/>
            <w:szCs w:val="18"/>
            <w:lang w:val="en-US"/>
          </w:rPr>
          <w:fldChar w:fldCharType="separate"/>
        </w:r>
        <w:r w:rsidR="00544E7C" w:rsidRPr="00BD295E">
          <w:rPr>
            <w:rFonts w:ascii="Arial" w:hAnsi="Arial" w:cs="Arial"/>
            <w:webHidden/>
            <w:sz w:val="18"/>
            <w:szCs w:val="18"/>
            <w:lang w:val="en-US"/>
          </w:rPr>
          <w:t>106</w:t>
        </w:r>
        <w:r w:rsidR="00544E7C" w:rsidRPr="00BD295E">
          <w:rPr>
            <w:rFonts w:ascii="Arial" w:hAnsi="Arial" w:cs="Arial"/>
            <w:webHidden/>
            <w:sz w:val="18"/>
            <w:szCs w:val="18"/>
            <w:lang w:val="en-US"/>
          </w:rPr>
          <w:fldChar w:fldCharType="end"/>
        </w:r>
      </w:hyperlink>
    </w:p>
    <w:p w14:paraId="019DC5FB" w14:textId="77777777" w:rsidR="00544E7C" w:rsidRPr="00BD295E" w:rsidRDefault="002C3947">
      <w:pPr>
        <w:pStyle w:val="27"/>
        <w:rPr>
          <w:rFonts w:ascii="Arial" w:eastAsia="Times New Roman" w:hAnsi="Arial" w:cs="Arial"/>
          <w:bCs w:val="0"/>
          <w:noProof w:val="0"/>
          <w:sz w:val="18"/>
          <w:szCs w:val="18"/>
          <w:lang w:val="en-US"/>
        </w:rPr>
      </w:pPr>
      <w:hyperlink w:anchor="_Toc95855297" w:history="1">
        <w:r w:rsidR="00544E7C" w:rsidRPr="00BD295E">
          <w:rPr>
            <w:rStyle w:val="af0"/>
            <w:rFonts w:ascii="Arial" w:hAnsi="Arial" w:cs="Arial"/>
            <w:b/>
            <w:noProof w:val="0"/>
            <w:color w:val="auto"/>
            <w:sz w:val="18"/>
            <w:szCs w:val="18"/>
            <w:lang w:val="en-US"/>
          </w:rPr>
          <w:t>SECTION 4. CORPORATE GOVERNANCE</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_Toc95855297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110</w:t>
        </w:r>
        <w:r w:rsidR="00544E7C" w:rsidRPr="00BD295E">
          <w:rPr>
            <w:rFonts w:ascii="Arial" w:hAnsi="Arial" w:cs="Arial"/>
            <w:noProof w:val="0"/>
            <w:webHidden/>
            <w:sz w:val="18"/>
            <w:szCs w:val="18"/>
            <w:lang w:val="en-US"/>
          </w:rPr>
          <w:fldChar w:fldCharType="end"/>
        </w:r>
      </w:hyperlink>
    </w:p>
    <w:p w14:paraId="1CC0DA65" w14:textId="77777777" w:rsidR="00544E7C" w:rsidRPr="00BD295E" w:rsidRDefault="002C3947">
      <w:pPr>
        <w:pStyle w:val="27"/>
        <w:rPr>
          <w:rFonts w:ascii="Arial" w:eastAsia="Times New Roman" w:hAnsi="Arial" w:cs="Arial"/>
          <w:bCs w:val="0"/>
          <w:noProof w:val="0"/>
          <w:sz w:val="18"/>
          <w:szCs w:val="18"/>
          <w:lang w:val="en-US"/>
        </w:rPr>
      </w:pPr>
      <w:hyperlink w:anchor="_Toc95855298" w:history="1">
        <w:r w:rsidR="00544E7C" w:rsidRPr="00BD295E">
          <w:rPr>
            <w:rStyle w:val="af0"/>
            <w:rFonts w:ascii="Arial" w:hAnsi="Arial" w:cs="Arial"/>
            <w:b/>
            <w:noProof w:val="0"/>
            <w:color w:val="auto"/>
            <w:sz w:val="18"/>
            <w:szCs w:val="18"/>
            <w:lang w:val="en-US"/>
          </w:rPr>
          <w:t>4.1.</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Corporate Governance</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_Toc95855298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110</w:t>
        </w:r>
        <w:r w:rsidR="00544E7C" w:rsidRPr="00BD295E">
          <w:rPr>
            <w:rFonts w:ascii="Arial" w:hAnsi="Arial" w:cs="Arial"/>
            <w:noProof w:val="0"/>
            <w:webHidden/>
            <w:sz w:val="18"/>
            <w:szCs w:val="18"/>
            <w:lang w:val="en-US"/>
          </w:rPr>
          <w:fldChar w:fldCharType="end"/>
        </w:r>
      </w:hyperlink>
    </w:p>
    <w:p w14:paraId="2D870E9D" w14:textId="77777777" w:rsidR="00544E7C" w:rsidRPr="00BD295E" w:rsidRDefault="002C3947">
      <w:pPr>
        <w:pStyle w:val="27"/>
        <w:rPr>
          <w:rFonts w:ascii="Arial" w:eastAsia="Times New Roman" w:hAnsi="Arial" w:cs="Arial"/>
          <w:bCs w:val="0"/>
          <w:noProof w:val="0"/>
          <w:sz w:val="18"/>
          <w:szCs w:val="18"/>
          <w:lang w:val="en-US"/>
        </w:rPr>
      </w:pPr>
      <w:hyperlink w:anchor="_Toc95855299" w:history="1">
        <w:r w:rsidR="00544E7C" w:rsidRPr="00BD295E">
          <w:rPr>
            <w:rStyle w:val="af0"/>
            <w:rFonts w:ascii="Arial" w:hAnsi="Arial" w:cs="Arial"/>
            <w:b/>
            <w:noProof w:val="0"/>
            <w:color w:val="auto"/>
            <w:sz w:val="18"/>
            <w:szCs w:val="18"/>
            <w:lang w:val="en-US"/>
          </w:rPr>
          <w:t>4.2.</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Risk Management</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_Toc95855299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158</w:t>
        </w:r>
        <w:r w:rsidR="00544E7C" w:rsidRPr="00BD295E">
          <w:rPr>
            <w:rFonts w:ascii="Arial" w:hAnsi="Arial" w:cs="Arial"/>
            <w:noProof w:val="0"/>
            <w:webHidden/>
            <w:sz w:val="18"/>
            <w:szCs w:val="18"/>
            <w:lang w:val="en-US"/>
          </w:rPr>
          <w:fldChar w:fldCharType="end"/>
        </w:r>
      </w:hyperlink>
    </w:p>
    <w:p w14:paraId="31486BAC" w14:textId="77777777" w:rsidR="00544E7C" w:rsidRPr="00BD295E" w:rsidRDefault="002C3947">
      <w:pPr>
        <w:pStyle w:val="27"/>
        <w:rPr>
          <w:rFonts w:ascii="Arial" w:eastAsia="Times New Roman" w:hAnsi="Arial" w:cs="Arial"/>
          <w:bCs w:val="0"/>
          <w:noProof w:val="0"/>
          <w:sz w:val="18"/>
          <w:szCs w:val="18"/>
          <w:lang w:val="en-US"/>
        </w:rPr>
      </w:pPr>
      <w:hyperlink w:anchor="_Toc95855300" w:history="1">
        <w:r w:rsidR="00544E7C" w:rsidRPr="00BD295E">
          <w:rPr>
            <w:rStyle w:val="af0"/>
            <w:rFonts w:ascii="Arial" w:hAnsi="Arial" w:cs="Arial"/>
            <w:b/>
            <w:noProof w:val="0"/>
            <w:color w:val="auto"/>
            <w:sz w:val="18"/>
            <w:szCs w:val="18"/>
            <w:lang w:val="en-US"/>
          </w:rPr>
          <w:t>4.3.</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Securities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_Toc95855300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181</w:t>
        </w:r>
        <w:r w:rsidR="00544E7C" w:rsidRPr="00BD295E">
          <w:rPr>
            <w:rFonts w:ascii="Arial" w:hAnsi="Arial" w:cs="Arial"/>
            <w:noProof w:val="0"/>
            <w:webHidden/>
            <w:sz w:val="18"/>
            <w:szCs w:val="18"/>
            <w:lang w:val="en-US"/>
          </w:rPr>
          <w:fldChar w:fldCharType="end"/>
        </w:r>
      </w:hyperlink>
    </w:p>
    <w:p w14:paraId="42578462" w14:textId="77777777" w:rsidR="00544E7C" w:rsidRPr="00BD295E" w:rsidRDefault="002C3947">
      <w:pPr>
        <w:pStyle w:val="27"/>
        <w:rPr>
          <w:rFonts w:ascii="Arial" w:eastAsia="Times New Roman" w:hAnsi="Arial" w:cs="Arial"/>
          <w:bCs w:val="0"/>
          <w:noProof w:val="0"/>
          <w:sz w:val="18"/>
          <w:szCs w:val="18"/>
          <w:lang w:val="en-US"/>
        </w:rPr>
      </w:pPr>
      <w:hyperlink w:anchor="_Toc95855301" w:history="1">
        <w:r w:rsidR="00544E7C" w:rsidRPr="00BD295E">
          <w:rPr>
            <w:rStyle w:val="af0"/>
            <w:rFonts w:ascii="Arial" w:hAnsi="Arial" w:cs="Arial"/>
            <w:b/>
            <w:noProof w:val="0"/>
            <w:color w:val="auto"/>
            <w:sz w:val="18"/>
            <w:szCs w:val="18"/>
            <w:lang w:val="en-US"/>
          </w:rPr>
          <w:t>SECTION 5. SUSTAINABLE DEVELOPMENT</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_Toc95855301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191</w:t>
        </w:r>
        <w:r w:rsidR="00544E7C" w:rsidRPr="00BD295E">
          <w:rPr>
            <w:rFonts w:ascii="Arial" w:hAnsi="Arial" w:cs="Arial"/>
            <w:noProof w:val="0"/>
            <w:webHidden/>
            <w:sz w:val="18"/>
            <w:szCs w:val="18"/>
            <w:lang w:val="en-US"/>
          </w:rPr>
          <w:fldChar w:fldCharType="end"/>
        </w:r>
      </w:hyperlink>
    </w:p>
    <w:p w14:paraId="327E6C19" w14:textId="77777777" w:rsidR="00544E7C" w:rsidRPr="00BD295E" w:rsidRDefault="002C3947">
      <w:pPr>
        <w:pStyle w:val="27"/>
        <w:rPr>
          <w:rFonts w:ascii="Arial" w:eastAsia="Times New Roman" w:hAnsi="Arial" w:cs="Arial"/>
          <w:bCs w:val="0"/>
          <w:noProof w:val="0"/>
          <w:sz w:val="18"/>
          <w:szCs w:val="18"/>
          <w:lang w:val="en-US"/>
        </w:rPr>
      </w:pPr>
      <w:hyperlink w:anchor="_Toc95855302" w:history="1">
        <w:r w:rsidR="00544E7C" w:rsidRPr="00BD295E">
          <w:rPr>
            <w:rStyle w:val="af0"/>
            <w:rFonts w:ascii="Arial" w:hAnsi="Arial" w:cs="Arial"/>
            <w:b/>
            <w:noProof w:val="0"/>
            <w:color w:val="auto"/>
            <w:sz w:val="18"/>
            <w:szCs w:val="18"/>
            <w:lang w:val="en-US"/>
          </w:rPr>
          <w:t>5.1.</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Human Resources Management</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_Toc95855302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191</w:t>
        </w:r>
        <w:r w:rsidR="00544E7C" w:rsidRPr="00BD295E">
          <w:rPr>
            <w:rFonts w:ascii="Arial" w:hAnsi="Arial" w:cs="Arial"/>
            <w:noProof w:val="0"/>
            <w:webHidden/>
            <w:sz w:val="18"/>
            <w:szCs w:val="18"/>
            <w:lang w:val="en-US"/>
          </w:rPr>
          <w:fldChar w:fldCharType="end"/>
        </w:r>
      </w:hyperlink>
    </w:p>
    <w:p w14:paraId="3705B7A0" w14:textId="77777777" w:rsidR="00544E7C" w:rsidRPr="00BD295E" w:rsidRDefault="002C3947">
      <w:pPr>
        <w:pStyle w:val="27"/>
        <w:rPr>
          <w:rFonts w:ascii="Arial" w:eastAsia="Times New Roman" w:hAnsi="Arial" w:cs="Arial"/>
          <w:bCs w:val="0"/>
          <w:noProof w:val="0"/>
          <w:sz w:val="18"/>
          <w:szCs w:val="18"/>
          <w:lang w:val="en-US"/>
        </w:rPr>
      </w:pPr>
      <w:hyperlink w:anchor="_Toc95855303" w:history="1">
        <w:r w:rsidR="00544E7C" w:rsidRPr="00BD295E">
          <w:rPr>
            <w:rStyle w:val="af0"/>
            <w:rFonts w:ascii="Arial" w:hAnsi="Arial" w:cs="Arial"/>
            <w:b/>
            <w:noProof w:val="0"/>
            <w:color w:val="auto"/>
            <w:sz w:val="18"/>
            <w:szCs w:val="18"/>
            <w:lang w:val="en-US"/>
          </w:rPr>
          <w:t>5.2.</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Environmental Policy</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_Toc95855303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203</w:t>
        </w:r>
        <w:r w:rsidR="00544E7C" w:rsidRPr="00BD295E">
          <w:rPr>
            <w:rFonts w:ascii="Arial" w:hAnsi="Arial" w:cs="Arial"/>
            <w:noProof w:val="0"/>
            <w:webHidden/>
            <w:sz w:val="18"/>
            <w:szCs w:val="18"/>
            <w:lang w:val="en-US"/>
          </w:rPr>
          <w:fldChar w:fldCharType="end"/>
        </w:r>
      </w:hyperlink>
    </w:p>
    <w:p w14:paraId="716245F8" w14:textId="77777777" w:rsidR="00544E7C" w:rsidRPr="00BD295E" w:rsidRDefault="002C3947">
      <w:pPr>
        <w:pStyle w:val="27"/>
        <w:rPr>
          <w:rFonts w:ascii="Arial" w:eastAsia="Times New Roman" w:hAnsi="Arial" w:cs="Arial"/>
          <w:bCs w:val="0"/>
          <w:noProof w:val="0"/>
          <w:sz w:val="18"/>
          <w:szCs w:val="18"/>
          <w:lang w:val="en-US"/>
        </w:rPr>
      </w:pPr>
      <w:hyperlink w:anchor="_Toc95855304" w:history="1">
        <w:r w:rsidR="00544E7C" w:rsidRPr="00BD295E">
          <w:rPr>
            <w:rStyle w:val="af0"/>
            <w:rFonts w:ascii="Arial" w:hAnsi="Arial" w:cs="Arial"/>
            <w:b/>
            <w:noProof w:val="0"/>
            <w:color w:val="auto"/>
            <w:sz w:val="18"/>
            <w:szCs w:val="18"/>
            <w:lang w:val="en-US"/>
          </w:rPr>
          <w:t>5.3.</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Procurement</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_Toc95855304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207</w:t>
        </w:r>
        <w:r w:rsidR="00544E7C" w:rsidRPr="00BD295E">
          <w:rPr>
            <w:rFonts w:ascii="Arial" w:hAnsi="Arial" w:cs="Arial"/>
            <w:noProof w:val="0"/>
            <w:webHidden/>
            <w:sz w:val="18"/>
            <w:szCs w:val="18"/>
            <w:lang w:val="en-US"/>
          </w:rPr>
          <w:fldChar w:fldCharType="end"/>
        </w:r>
      </w:hyperlink>
    </w:p>
    <w:p w14:paraId="62233AEB" w14:textId="77777777" w:rsidR="00544E7C" w:rsidRPr="00BD295E" w:rsidRDefault="002C3947">
      <w:pPr>
        <w:pStyle w:val="27"/>
        <w:rPr>
          <w:rFonts w:ascii="Arial" w:eastAsia="Times New Roman" w:hAnsi="Arial" w:cs="Arial"/>
          <w:bCs w:val="0"/>
          <w:noProof w:val="0"/>
          <w:sz w:val="18"/>
          <w:szCs w:val="18"/>
          <w:lang w:val="en-US"/>
        </w:rPr>
      </w:pPr>
      <w:hyperlink w:anchor="_Toc95855305" w:history="1">
        <w:r w:rsidR="00544E7C" w:rsidRPr="00BD295E">
          <w:rPr>
            <w:rStyle w:val="af0"/>
            <w:rFonts w:ascii="Arial" w:hAnsi="Arial" w:cs="Arial"/>
            <w:b/>
            <w:noProof w:val="0"/>
            <w:color w:val="auto"/>
            <w:sz w:val="18"/>
            <w:szCs w:val="18"/>
            <w:lang w:val="en-US"/>
          </w:rPr>
          <w:t>5.4.</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Management systems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_Toc95855305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211</w:t>
        </w:r>
        <w:r w:rsidR="00544E7C" w:rsidRPr="00BD295E">
          <w:rPr>
            <w:rFonts w:ascii="Arial" w:hAnsi="Arial" w:cs="Arial"/>
            <w:noProof w:val="0"/>
            <w:webHidden/>
            <w:sz w:val="18"/>
            <w:szCs w:val="18"/>
            <w:lang w:val="en-US"/>
          </w:rPr>
          <w:fldChar w:fldCharType="end"/>
        </w:r>
      </w:hyperlink>
    </w:p>
    <w:p w14:paraId="7C984513" w14:textId="77777777" w:rsidR="00544E7C" w:rsidRPr="00BD295E" w:rsidRDefault="002C3947">
      <w:pPr>
        <w:pStyle w:val="27"/>
        <w:rPr>
          <w:rFonts w:ascii="Arial" w:eastAsia="Times New Roman" w:hAnsi="Arial" w:cs="Arial"/>
          <w:bCs w:val="0"/>
          <w:noProof w:val="0"/>
          <w:sz w:val="18"/>
          <w:szCs w:val="18"/>
          <w:lang w:val="en-US"/>
        </w:rPr>
      </w:pPr>
      <w:hyperlink w:anchor="_Toc95855306" w:history="1">
        <w:r w:rsidR="00544E7C" w:rsidRPr="00BD295E">
          <w:rPr>
            <w:rStyle w:val="af0"/>
            <w:rFonts w:ascii="Arial" w:hAnsi="Arial" w:cs="Arial"/>
            <w:b/>
            <w:noProof w:val="0"/>
            <w:color w:val="auto"/>
            <w:sz w:val="18"/>
            <w:szCs w:val="18"/>
            <w:lang w:val="en-US"/>
          </w:rPr>
          <w:t>5.5.</w:t>
        </w:r>
        <w:r w:rsidR="00544E7C" w:rsidRPr="00BD295E">
          <w:rPr>
            <w:rFonts w:ascii="Arial" w:eastAsia="Times New Roman" w:hAnsi="Arial" w:cs="Arial"/>
            <w:bCs w:val="0"/>
            <w:noProof w:val="0"/>
            <w:sz w:val="18"/>
            <w:szCs w:val="18"/>
            <w:lang w:val="en-US"/>
          </w:rPr>
          <w:tab/>
        </w:r>
        <w:r w:rsidR="00544E7C" w:rsidRPr="00BD295E">
          <w:rPr>
            <w:rStyle w:val="af0"/>
            <w:rFonts w:ascii="Arial" w:hAnsi="Arial" w:cs="Arial"/>
            <w:b/>
            <w:noProof w:val="0"/>
            <w:color w:val="auto"/>
            <w:sz w:val="18"/>
            <w:szCs w:val="18"/>
            <w:lang w:val="en-US"/>
          </w:rPr>
          <w:t>Public relations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_Toc95855306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212</w:t>
        </w:r>
        <w:r w:rsidR="00544E7C" w:rsidRPr="00BD295E">
          <w:rPr>
            <w:rFonts w:ascii="Arial" w:hAnsi="Arial" w:cs="Arial"/>
            <w:noProof w:val="0"/>
            <w:webHidden/>
            <w:sz w:val="18"/>
            <w:szCs w:val="18"/>
            <w:lang w:val="en-US"/>
          </w:rPr>
          <w:fldChar w:fldCharType="end"/>
        </w:r>
      </w:hyperlink>
    </w:p>
    <w:p w14:paraId="789EE5D5" w14:textId="77777777" w:rsidR="00544E7C" w:rsidRPr="00BD295E" w:rsidRDefault="002C3947">
      <w:pPr>
        <w:pStyle w:val="27"/>
        <w:rPr>
          <w:rFonts w:ascii="Arial" w:eastAsia="Times New Roman" w:hAnsi="Arial" w:cs="Arial"/>
          <w:bCs w:val="0"/>
          <w:noProof w:val="0"/>
          <w:sz w:val="18"/>
          <w:szCs w:val="18"/>
          <w:lang w:val="en-US"/>
        </w:rPr>
      </w:pPr>
      <w:hyperlink w:anchor="_Toc95855307" w:history="1">
        <w:r w:rsidR="00544E7C" w:rsidRPr="00BD295E">
          <w:rPr>
            <w:rStyle w:val="af0"/>
            <w:rFonts w:ascii="Arial" w:hAnsi="Arial" w:cs="Arial"/>
            <w:b/>
            <w:noProof w:val="0"/>
            <w:color w:val="auto"/>
            <w:sz w:val="18"/>
            <w:szCs w:val="18"/>
            <w:lang w:val="en-US"/>
          </w:rPr>
          <w:t>SECTION 6. APPENDICES</w:t>
        </w:r>
        <w:r w:rsidR="00544E7C" w:rsidRPr="00BD295E">
          <w:rPr>
            <w:rFonts w:ascii="Arial" w:hAnsi="Arial" w:cs="Arial"/>
            <w:noProof w:val="0"/>
            <w:webHidden/>
            <w:sz w:val="18"/>
            <w:szCs w:val="18"/>
            <w:lang w:val="en-US"/>
          </w:rPr>
          <w:tab/>
        </w:r>
        <w:r w:rsidR="00544E7C" w:rsidRPr="00BD295E">
          <w:rPr>
            <w:rFonts w:ascii="Arial" w:hAnsi="Arial" w:cs="Arial"/>
            <w:noProof w:val="0"/>
            <w:webHidden/>
            <w:sz w:val="18"/>
            <w:szCs w:val="18"/>
            <w:lang w:val="en-US"/>
          </w:rPr>
          <w:fldChar w:fldCharType="begin"/>
        </w:r>
        <w:r w:rsidR="00544E7C" w:rsidRPr="00BD295E">
          <w:rPr>
            <w:rFonts w:ascii="Arial" w:hAnsi="Arial" w:cs="Arial"/>
            <w:noProof w:val="0"/>
            <w:webHidden/>
            <w:sz w:val="18"/>
            <w:szCs w:val="18"/>
            <w:lang w:val="en-US"/>
          </w:rPr>
          <w:instrText xml:space="preserve"> PAGEREF _Toc95855307 \h </w:instrText>
        </w:r>
        <w:r w:rsidR="00544E7C" w:rsidRPr="00BD295E">
          <w:rPr>
            <w:rFonts w:ascii="Arial" w:hAnsi="Arial" w:cs="Arial"/>
            <w:noProof w:val="0"/>
            <w:webHidden/>
            <w:sz w:val="18"/>
            <w:szCs w:val="18"/>
            <w:lang w:val="en-US"/>
          </w:rPr>
        </w:r>
        <w:r w:rsidR="00544E7C" w:rsidRPr="00BD295E">
          <w:rPr>
            <w:rFonts w:ascii="Arial" w:hAnsi="Arial" w:cs="Arial"/>
            <w:noProof w:val="0"/>
            <w:webHidden/>
            <w:sz w:val="18"/>
            <w:szCs w:val="18"/>
            <w:lang w:val="en-US"/>
          </w:rPr>
          <w:fldChar w:fldCharType="separate"/>
        </w:r>
        <w:r w:rsidR="00544E7C" w:rsidRPr="00BD295E">
          <w:rPr>
            <w:rFonts w:ascii="Arial" w:hAnsi="Arial" w:cs="Arial"/>
            <w:noProof w:val="0"/>
            <w:webHidden/>
            <w:sz w:val="18"/>
            <w:szCs w:val="18"/>
            <w:lang w:val="en-US"/>
          </w:rPr>
          <w:t>219</w:t>
        </w:r>
        <w:r w:rsidR="00544E7C" w:rsidRPr="00BD295E">
          <w:rPr>
            <w:rFonts w:ascii="Arial" w:hAnsi="Arial" w:cs="Arial"/>
            <w:noProof w:val="0"/>
            <w:webHidden/>
            <w:sz w:val="18"/>
            <w:szCs w:val="18"/>
            <w:lang w:val="en-US"/>
          </w:rPr>
          <w:fldChar w:fldCharType="end"/>
        </w:r>
      </w:hyperlink>
    </w:p>
    <w:p w14:paraId="02E40702" w14:textId="77777777" w:rsidR="00FD1F0A" w:rsidRPr="00BD295E" w:rsidRDefault="008A5057" w:rsidP="002C1E76">
      <w:pPr>
        <w:ind w:firstLine="118"/>
        <w:jc w:val="both"/>
        <w:rPr>
          <w:rFonts w:ascii="Arial" w:hAnsi="Arial" w:cs="Arial"/>
          <w:sz w:val="18"/>
          <w:szCs w:val="18"/>
          <w:lang w:val="en-US"/>
        </w:rPr>
      </w:pPr>
      <w:r w:rsidRPr="00BD295E">
        <w:rPr>
          <w:rFonts w:ascii="Arial" w:hAnsi="Arial" w:cs="Arial"/>
          <w:sz w:val="18"/>
          <w:szCs w:val="18"/>
          <w:lang w:val="en-US"/>
        </w:rPr>
        <w:fldChar w:fldCharType="end"/>
      </w:r>
      <w:r w:rsidRPr="00BD295E">
        <w:rPr>
          <w:rFonts w:ascii="Arial" w:hAnsi="Arial" w:cs="Arial"/>
          <w:sz w:val="18"/>
          <w:szCs w:val="18"/>
          <w:lang w:val="en-US"/>
        </w:rPr>
        <w:br w:type="page"/>
      </w:r>
    </w:p>
    <w:p w14:paraId="00ED7720" w14:textId="77777777" w:rsidR="003F6DA4" w:rsidRPr="00BD295E" w:rsidRDefault="008A5057" w:rsidP="00F74594">
      <w:pPr>
        <w:keepNext/>
        <w:jc w:val="both"/>
        <w:outlineLvl w:val="1"/>
        <w:rPr>
          <w:rFonts w:ascii="Arial" w:hAnsi="Arial" w:cs="Arial"/>
          <w:b/>
          <w:sz w:val="18"/>
          <w:szCs w:val="18"/>
          <w:lang w:val="en-US"/>
        </w:rPr>
      </w:pPr>
      <w:bookmarkStart w:id="0" w:name="_Toc509493376"/>
      <w:bookmarkStart w:id="1" w:name="_Toc509497942"/>
      <w:bookmarkStart w:id="2" w:name="_Toc509581244"/>
      <w:bookmarkStart w:id="3" w:name="_Toc510452208"/>
      <w:bookmarkStart w:id="4" w:name="_Toc5026986"/>
      <w:bookmarkStart w:id="5" w:name="_Toc5105955"/>
      <w:bookmarkStart w:id="6" w:name="_Toc5203808"/>
      <w:bookmarkStart w:id="7" w:name="_Toc6230904"/>
      <w:bookmarkStart w:id="8" w:name="_Toc7172552"/>
      <w:bookmarkStart w:id="9" w:name="_Toc7172598"/>
      <w:bookmarkStart w:id="10" w:name="_Toc95855273"/>
      <w:bookmarkStart w:id="11" w:name="_Toc95935332"/>
      <w:r w:rsidRPr="00BD295E">
        <w:rPr>
          <w:rFonts w:ascii="Arial" w:hAnsi="Arial" w:cs="Arial"/>
          <w:b/>
          <w:sz w:val="18"/>
          <w:szCs w:val="18"/>
          <w:lang w:val="en-US"/>
        </w:rPr>
        <w:lastRenderedPageBreak/>
        <w:t>SECTION 1. COMPANY OVERVIEW</w:t>
      </w:r>
      <w:bookmarkEnd w:id="0"/>
      <w:bookmarkEnd w:id="1"/>
      <w:bookmarkEnd w:id="2"/>
      <w:bookmarkEnd w:id="3"/>
      <w:bookmarkEnd w:id="4"/>
      <w:bookmarkEnd w:id="5"/>
      <w:bookmarkEnd w:id="6"/>
      <w:bookmarkEnd w:id="7"/>
      <w:bookmarkEnd w:id="8"/>
      <w:bookmarkEnd w:id="9"/>
      <w:bookmarkEnd w:id="10"/>
      <w:bookmarkEnd w:id="11"/>
    </w:p>
    <w:p w14:paraId="30FFBE3A" w14:textId="77777777" w:rsidR="003F6DA4" w:rsidRPr="00BD295E" w:rsidRDefault="003F6DA4" w:rsidP="00F74594">
      <w:pPr>
        <w:ind w:left="709"/>
        <w:contextualSpacing/>
        <w:jc w:val="both"/>
        <w:rPr>
          <w:rFonts w:ascii="Arial" w:hAnsi="Arial" w:cs="Arial"/>
          <w:sz w:val="18"/>
          <w:szCs w:val="18"/>
          <w:lang w:val="en-US"/>
        </w:rPr>
      </w:pPr>
    </w:p>
    <w:p w14:paraId="5E317900" w14:textId="77777777" w:rsidR="003F6DA4" w:rsidRPr="00BD295E" w:rsidRDefault="008A5057" w:rsidP="00F74594">
      <w:pPr>
        <w:keepNext/>
        <w:numPr>
          <w:ilvl w:val="1"/>
          <w:numId w:val="6"/>
        </w:numPr>
        <w:ind w:firstLine="0"/>
        <w:jc w:val="both"/>
        <w:outlineLvl w:val="1"/>
        <w:rPr>
          <w:rFonts w:ascii="Arial" w:hAnsi="Arial" w:cs="Arial"/>
          <w:sz w:val="18"/>
          <w:szCs w:val="18"/>
          <w:lang w:val="en-US"/>
        </w:rPr>
      </w:pPr>
      <w:bookmarkStart w:id="12" w:name="_Toc509493377"/>
      <w:bookmarkStart w:id="13" w:name="_Toc509497943"/>
      <w:bookmarkStart w:id="14" w:name="_Toc509581245"/>
      <w:bookmarkStart w:id="15" w:name="_Toc510452209"/>
      <w:bookmarkStart w:id="16" w:name="_Toc5026987"/>
      <w:bookmarkStart w:id="17" w:name="_Toc5105956"/>
      <w:bookmarkStart w:id="18" w:name="_Toc5203809"/>
      <w:bookmarkStart w:id="19" w:name="_Toc6230905"/>
      <w:bookmarkStart w:id="20" w:name="_Toc7172553"/>
      <w:bookmarkStart w:id="21" w:name="_Toc7172599"/>
      <w:bookmarkStart w:id="22" w:name="_Toc95855274"/>
      <w:bookmarkStart w:id="23" w:name="_Toc95935333"/>
      <w:r w:rsidRPr="00BD295E">
        <w:rPr>
          <w:rFonts w:ascii="Arial" w:hAnsi="Arial" w:cs="Arial"/>
          <w:b/>
          <w:sz w:val="18"/>
          <w:szCs w:val="18"/>
          <w:lang w:val="en-US"/>
        </w:rPr>
        <w:t xml:space="preserve">General Information. </w:t>
      </w:r>
      <w:r w:rsidRPr="00BD295E">
        <w:rPr>
          <w:rFonts w:ascii="Arial" w:hAnsi="Arial" w:cs="Arial"/>
          <w:b/>
          <w:bCs/>
          <w:sz w:val="18"/>
          <w:szCs w:val="18"/>
          <w:lang w:val="en-US"/>
        </w:rPr>
        <w:t>Assets and Key Metrics</w:t>
      </w:r>
      <w:r w:rsidRPr="00BD295E">
        <w:rPr>
          <w:rFonts w:ascii="Arial" w:hAnsi="Arial" w:cs="Arial"/>
          <w:sz w:val="18"/>
          <w:szCs w:val="18"/>
          <w:lang w:val="en-US"/>
        </w:rPr>
        <w:t>.</w:t>
      </w:r>
      <w:bookmarkEnd w:id="12"/>
      <w:bookmarkEnd w:id="13"/>
      <w:bookmarkEnd w:id="14"/>
      <w:bookmarkEnd w:id="15"/>
      <w:bookmarkEnd w:id="16"/>
      <w:bookmarkEnd w:id="17"/>
      <w:bookmarkEnd w:id="18"/>
      <w:bookmarkEnd w:id="19"/>
      <w:bookmarkEnd w:id="20"/>
      <w:bookmarkEnd w:id="21"/>
      <w:bookmarkEnd w:id="22"/>
      <w:bookmarkEnd w:id="23"/>
    </w:p>
    <w:p w14:paraId="2AFBDC11" w14:textId="77777777" w:rsidR="003F6DA4" w:rsidRPr="00BD295E" w:rsidRDefault="003F6DA4" w:rsidP="00F74594">
      <w:pPr>
        <w:contextualSpacing/>
        <w:jc w:val="both"/>
        <w:rPr>
          <w:rFonts w:ascii="Arial" w:hAnsi="Arial" w:cs="Arial"/>
          <w:sz w:val="18"/>
          <w:szCs w:val="18"/>
          <w:lang w:val="en-US"/>
        </w:rPr>
      </w:pPr>
    </w:p>
    <w:p w14:paraId="1B3638EB" w14:textId="3EDEC45B" w:rsidR="003F6DA4"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 xml:space="preserve">Public Joint Stock Company </w:t>
      </w:r>
      <w:r w:rsidR="000E08A5" w:rsidRPr="00BD295E">
        <w:rPr>
          <w:rFonts w:ascii="Arial" w:hAnsi="Arial" w:cs="Arial"/>
          <w:sz w:val="18"/>
          <w:szCs w:val="18"/>
          <w:lang w:val="en-US"/>
        </w:rPr>
        <w:t xml:space="preserve">“Lenenergo” </w:t>
      </w:r>
      <w:r w:rsidRPr="00BD295E">
        <w:rPr>
          <w:rFonts w:ascii="Arial" w:hAnsi="Arial" w:cs="Arial"/>
          <w:sz w:val="18"/>
          <w:szCs w:val="18"/>
          <w:lang w:val="en-US"/>
        </w:rPr>
        <w:t xml:space="preserve">is one of the largest distribution grid companies of Russia.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provides electricity distribution services to wholesale and retail electricity market players in the Leningrad Region and Saint Petersburg. </w:t>
      </w:r>
    </w:p>
    <w:p w14:paraId="0A324074" w14:textId="77777777" w:rsidR="003F6DA4" w:rsidRPr="00BD295E" w:rsidRDefault="00EE5753" w:rsidP="00F74594">
      <w:pPr>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was founded in line with Executive Orders of the Russian President Nos. 992 (</w:t>
      </w:r>
      <w:r w:rsidR="008B183C" w:rsidRPr="00BD295E">
        <w:rPr>
          <w:rFonts w:ascii="Arial" w:hAnsi="Arial" w:cs="Arial"/>
          <w:sz w:val="18"/>
          <w:szCs w:val="18"/>
          <w:lang w:val="en-US"/>
        </w:rPr>
        <w:t>of</w:t>
      </w:r>
      <w:r w:rsidR="008A5057" w:rsidRPr="00BD295E">
        <w:rPr>
          <w:rFonts w:ascii="Arial" w:hAnsi="Arial" w:cs="Arial"/>
          <w:sz w:val="18"/>
          <w:szCs w:val="18"/>
          <w:lang w:val="en-US"/>
        </w:rPr>
        <w:t xml:space="preserve"> August 14, 1992), 923 (</w:t>
      </w:r>
      <w:r w:rsidR="008B183C" w:rsidRPr="00BD295E">
        <w:rPr>
          <w:rFonts w:ascii="Arial" w:hAnsi="Arial" w:cs="Arial"/>
          <w:sz w:val="18"/>
          <w:szCs w:val="18"/>
          <w:lang w:val="en-US"/>
        </w:rPr>
        <w:t>of</w:t>
      </w:r>
      <w:r w:rsidR="008A5057" w:rsidRPr="00BD295E">
        <w:rPr>
          <w:rFonts w:ascii="Arial" w:hAnsi="Arial" w:cs="Arial"/>
          <w:sz w:val="18"/>
          <w:szCs w:val="18"/>
          <w:lang w:val="en-US"/>
        </w:rPr>
        <w:t xml:space="preserve"> August 15, 1992), 1334 (</w:t>
      </w:r>
      <w:r w:rsidR="008B183C" w:rsidRPr="00BD295E">
        <w:rPr>
          <w:rFonts w:ascii="Arial" w:hAnsi="Arial" w:cs="Arial"/>
          <w:sz w:val="18"/>
          <w:szCs w:val="18"/>
          <w:lang w:val="en-US"/>
        </w:rPr>
        <w:t>of</w:t>
      </w:r>
      <w:r w:rsidR="008A5057" w:rsidRPr="00BD295E">
        <w:rPr>
          <w:rFonts w:ascii="Arial" w:hAnsi="Arial" w:cs="Arial"/>
          <w:sz w:val="18"/>
          <w:szCs w:val="18"/>
          <w:lang w:val="en-US"/>
        </w:rPr>
        <w:t xml:space="preserve"> November 05, 1992), and registered by Resolution No. 2518 of the Registration Chamber of the Saint Petersburg Administration </w:t>
      </w:r>
      <w:r w:rsidR="008B183C" w:rsidRPr="00BD295E">
        <w:rPr>
          <w:rFonts w:ascii="Arial" w:hAnsi="Arial" w:cs="Arial"/>
          <w:sz w:val="18"/>
          <w:szCs w:val="18"/>
          <w:lang w:val="en-US"/>
        </w:rPr>
        <w:t>of</w:t>
      </w:r>
      <w:r w:rsidR="008A5057" w:rsidRPr="00BD295E">
        <w:rPr>
          <w:rFonts w:ascii="Arial" w:hAnsi="Arial" w:cs="Arial"/>
          <w:sz w:val="18"/>
          <w:szCs w:val="18"/>
          <w:lang w:val="en-US"/>
        </w:rPr>
        <w:t xml:space="preserve"> January 22, 1993. The Company is the legal successor of the Lenenergo State Enterprise of Power Industry and Electrification. </w:t>
      </w:r>
    </w:p>
    <w:p w14:paraId="44DF54A4" w14:textId="77777777" w:rsidR="003F6DA4"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Core operations of the Company include:</w:t>
      </w:r>
    </w:p>
    <w:p w14:paraId="46BF01C0" w14:textId="486AEA92" w:rsidR="003F6DA4" w:rsidRPr="00BD295E" w:rsidRDefault="008A5057" w:rsidP="00F74594">
      <w:pPr>
        <w:pStyle w:val="af3"/>
        <w:numPr>
          <w:ilvl w:val="0"/>
          <w:numId w:val="22"/>
        </w:numPr>
        <w:tabs>
          <w:tab w:val="left" w:pos="1134"/>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Rendering electric power transmission </w:t>
      </w:r>
      <w:r w:rsidR="00BF7D8E" w:rsidRPr="00BD295E">
        <w:rPr>
          <w:rFonts w:ascii="Arial" w:hAnsi="Arial" w:cs="Arial"/>
          <w:sz w:val="18"/>
          <w:szCs w:val="18"/>
          <w:lang w:val="en-US"/>
        </w:rPr>
        <w:t>services and</w:t>
      </w:r>
      <w:r w:rsidRPr="00BD295E">
        <w:rPr>
          <w:rFonts w:ascii="Arial" w:hAnsi="Arial" w:cs="Arial"/>
          <w:sz w:val="18"/>
          <w:szCs w:val="18"/>
          <w:lang w:val="en-US"/>
        </w:rPr>
        <w:t xml:space="preserve"> other services inseparably connected with electricity supply to consumers;</w:t>
      </w:r>
    </w:p>
    <w:p w14:paraId="28B30B5A" w14:textId="77777777" w:rsidR="003F6DA4" w:rsidRPr="00BD295E" w:rsidRDefault="008A5057" w:rsidP="00F74594">
      <w:pPr>
        <w:pStyle w:val="af3"/>
        <w:numPr>
          <w:ilvl w:val="0"/>
          <w:numId w:val="22"/>
        </w:numPr>
        <w:tabs>
          <w:tab w:val="left" w:pos="1134"/>
        </w:tabs>
        <w:ind w:left="0" w:firstLine="0"/>
        <w:contextualSpacing w:val="0"/>
        <w:jc w:val="both"/>
        <w:rPr>
          <w:rFonts w:ascii="Arial" w:hAnsi="Arial" w:cs="Arial"/>
          <w:sz w:val="18"/>
          <w:szCs w:val="18"/>
          <w:lang w:val="en-US"/>
        </w:rPr>
      </w:pPr>
      <w:r w:rsidRPr="00BD295E">
        <w:rPr>
          <w:rFonts w:ascii="Arial" w:hAnsi="Arial" w:cs="Arial"/>
          <w:sz w:val="18"/>
          <w:szCs w:val="18"/>
          <w:lang w:val="en-US"/>
        </w:rPr>
        <w:t>Connecting power receiving devices (power plants) of legal entities and individuals to power grids.</w:t>
      </w:r>
    </w:p>
    <w:p w14:paraId="77C7450C" w14:textId="77777777" w:rsidR="003F6DA4"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 xml:space="preserve">In accordance with the Resolution of the Federal Energy Commission of Russia No. 127/8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19, 1997,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included in the Register of Natural Monopolies Regulated and Monitored by the Government under Section I </w:t>
      </w:r>
      <w:r w:rsidRPr="00BD295E">
        <w:rPr>
          <w:rFonts w:ascii="Arial" w:hAnsi="Arial" w:cs="Arial"/>
          <w:i/>
          <w:iCs/>
          <w:sz w:val="18"/>
          <w:szCs w:val="18"/>
          <w:lang w:val="en-US"/>
        </w:rPr>
        <w:t>Electricity and (or) Heat Transmission and Distribution Services</w:t>
      </w:r>
      <w:r w:rsidRPr="00BD295E">
        <w:rPr>
          <w:rFonts w:ascii="Arial" w:hAnsi="Arial" w:cs="Arial"/>
          <w:sz w:val="18"/>
          <w:szCs w:val="18"/>
          <w:lang w:val="en-US"/>
        </w:rPr>
        <w:t>.</w:t>
      </w:r>
    </w:p>
    <w:p w14:paraId="32B0D6E5" w14:textId="77777777" w:rsidR="00260D12"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 xml:space="preserve">Tariffs for the services rendered by the Company are set by the government via regional regulators based on a decision by the Federal Antimonopoly Service. </w:t>
      </w:r>
    </w:p>
    <w:p w14:paraId="4530DAA5" w14:textId="77777777" w:rsidR="00260D12"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 xml:space="preserve">Today,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serves a large market of Saint Petersburg and the Leningrad Region with a total area of 85.3 thousand sq km and a population of 7.2 million people (4.9 per cent of the country’s population).</w:t>
      </w:r>
    </w:p>
    <w:p w14:paraId="7E40C268" w14:textId="77777777" w:rsidR="00260D12" w:rsidRPr="00BD295E" w:rsidRDefault="00260D12" w:rsidP="00F74594">
      <w:pPr>
        <w:jc w:val="both"/>
        <w:rPr>
          <w:rFonts w:ascii="Arial" w:hAnsi="Arial" w:cs="Arial"/>
          <w:sz w:val="18"/>
          <w:szCs w:val="18"/>
          <w:lang w:val="en-US"/>
        </w:rPr>
      </w:pPr>
    </w:p>
    <w:p w14:paraId="156F0127" w14:textId="77777777" w:rsidR="00260D12"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 xml:space="preserve">The area of Saint Petersburg is 1.4 thousand sq km. </w:t>
      </w:r>
    </w:p>
    <w:p w14:paraId="5E8BE1E6" w14:textId="77777777" w:rsidR="00260D12"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The area of the Leningrad Region: 83.9 thousand sq km.</w:t>
      </w:r>
    </w:p>
    <w:p w14:paraId="37661F41" w14:textId="77777777" w:rsidR="00260D12"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 xml:space="preserve">The region’s population: 7.2 million people. </w:t>
      </w:r>
    </w:p>
    <w:p w14:paraId="63C9CD43" w14:textId="77777777" w:rsidR="00260D12"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 of Russia’s population: 4.9%</w:t>
      </w:r>
    </w:p>
    <w:p w14:paraId="4FD47C93" w14:textId="77777777" w:rsidR="003F6DA4" w:rsidRPr="00BD295E" w:rsidRDefault="003F6DA4" w:rsidP="00F74594">
      <w:pPr>
        <w:jc w:val="both"/>
        <w:rPr>
          <w:rFonts w:ascii="Arial" w:hAnsi="Arial" w:cs="Arial"/>
          <w:sz w:val="18"/>
          <w:szCs w:val="18"/>
          <w:lang w:val="en-US"/>
        </w:rPr>
      </w:pPr>
    </w:p>
    <w:p w14:paraId="25BBE932" w14:textId="77777777" w:rsidR="003F6DA4"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The average headcount for 2018 was 7,109 employees (for the Group: 8,178.7 people).</w:t>
      </w:r>
    </w:p>
    <w:p w14:paraId="34EDFC2E" w14:textId="77777777" w:rsidR="003F6DA4" w:rsidRPr="00BD295E" w:rsidRDefault="003F6DA4" w:rsidP="00F74594">
      <w:pPr>
        <w:jc w:val="both"/>
        <w:rPr>
          <w:rFonts w:ascii="Arial" w:hAnsi="Arial" w:cs="Arial"/>
          <w:sz w:val="18"/>
          <w:szCs w:val="18"/>
          <w:lang w:val="en-US"/>
        </w:rPr>
      </w:pPr>
    </w:p>
    <w:p w14:paraId="28F04276" w14:textId="77777777" w:rsidR="003F6DA4" w:rsidRPr="00BD295E" w:rsidRDefault="004F279F" w:rsidP="00F74594">
      <w:pPr>
        <w:jc w:val="both"/>
        <w:rPr>
          <w:rFonts w:ascii="Arial" w:hAnsi="Arial" w:cs="Arial"/>
          <w:b/>
          <w:bCs/>
          <w:iCs/>
          <w:sz w:val="18"/>
          <w:szCs w:val="18"/>
          <w:lang w:val="en-US"/>
        </w:rPr>
      </w:pPr>
      <w:bookmarkStart w:id="24" w:name="_Toc385931245"/>
      <w:r w:rsidRPr="00BD295E">
        <w:rPr>
          <w:rFonts w:ascii="Arial" w:hAnsi="Arial" w:cs="Arial"/>
          <w:b/>
          <w:sz w:val="18"/>
          <w:szCs w:val="18"/>
          <w:lang w:val="en-US"/>
        </w:rPr>
        <w:t>Company</w:t>
      </w:r>
      <w:r w:rsidR="008A5057" w:rsidRPr="00BD295E">
        <w:rPr>
          <w:rFonts w:ascii="Arial" w:hAnsi="Arial" w:cs="Arial"/>
          <w:b/>
          <w:sz w:val="18"/>
          <w:szCs w:val="18"/>
          <w:lang w:val="en-US"/>
        </w:rPr>
        <w:t xml:space="preserve"> Background:</w:t>
      </w:r>
      <w:bookmarkEnd w:id="24"/>
    </w:p>
    <w:p w14:paraId="243262DD"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1886</w:t>
      </w:r>
    </w:p>
    <w:p w14:paraId="3C078264"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On July 16, 1886, Emperor Alexander III approved the Charter of the Electric Lighting Company established by Carl Siemens. This day ushered in the beginning of the “electric” era and is considered to be the foundation date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07220276"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1917</w:t>
      </w:r>
    </w:p>
    <w:p w14:paraId="3EC50AF6"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On December 16 (29), 1917 the Society of 1886 was nationalized.</w:t>
      </w:r>
    </w:p>
    <w:p w14:paraId="28424BA5"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1926</w:t>
      </w:r>
    </w:p>
    <w:p w14:paraId="125CCF56"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On December 19, 1926, the Volkhovskaya Hydro Power Plant was put into operation, the country’s first and most powerful hydro power plant at that time. </w:t>
      </w:r>
    </w:p>
    <w:p w14:paraId="0D8ADA48"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1932</w:t>
      </w:r>
    </w:p>
    <w:p w14:paraId="22E4ACF0"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In 1932, after a number of transformations and name changes, the enterprise was renamed Lenenergo, the name it carries to this day.</w:t>
      </w:r>
    </w:p>
    <w:p w14:paraId="39CB302E"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1933</w:t>
      </w:r>
    </w:p>
    <w:p w14:paraId="43042901"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On December 19, 1933, the Nizhne-Svirskaya Hydro Power Plant, the world’s first power plant built on floating Devonian clays, was put into operation. Energy from the hydro power plant was transmitted to the Chesmenskaya substation in Leningrad via a 240 km long 220 kV power line. </w:t>
      </w:r>
    </w:p>
    <w:p w14:paraId="11A5F278"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1941–1945</w:t>
      </w:r>
    </w:p>
    <w:p w14:paraId="265396AC"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For Lenenergo, the war years and the siege of Leningrad are a separate page in the history of the power industry of Saint Petersburg. Over 1,500 power workers died defending the besieged city or maintaining the operation of the power system. </w:t>
      </w:r>
    </w:p>
    <w:p w14:paraId="6FC81D59"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1942</w:t>
      </w:r>
    </w:p>
    <w:p w14:paraId="6B1AC981"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In the winter of 1942, employees of Lenenergo laid four 10 kV cable lines to the besieged Leningrad. Over 100 km long, this cable was later known as the “cable of life” because it was thanks to this unique technical solution that the power blockade was broken and Leningrad survived.</w:t>
      </w:r>
    </w:p>
    <w:p w14:paraId="7DB14289"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1949</w:t>
      </w:r>
    </w:p>
    <w:p w14:paraId="14527889"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During the Great Patriotic War, Lenenergo suffered considerable damage, having lost 2/3 of its power system capacity. But already in 1949, thanks to the power engineers’ selfless efforts, the capacity and electricity output reached their pre-war levels. </w:t>
      </w:r>
    </w:p>
    <w:p w14:paraId="3AE6CF80"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1964</w:t>
      </w:r>
    </w:p>
    <w:p w14:paraId="43B33006" w14:textId="6E8CB905"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28 regional Selenergo agriculture energy operating divisions were reorganized into eight power grid divisions </w:t>
      </w:r>
      <w:r w:rsidR="00BF7D8E" w:rsidRPr="00BD295E">
        <w:rPr>
          <w:rFonts w:ascii="Arial" w:hAnsi="Arial" w:cs="Arial"/>
          <w:sz w:val="18"/>
          <w:szCs w:val="18"/>
          <w:lang w:val="en-US"/>
        </w:rPr>
        <w:t>of Lenenergo</w:t>
      </w:r>
      <w:r w:rsidRPr="00BD295E">
        <w:rPr>
          <w:rFonts w:ascii="Arial" w:hAnsi="Arial" w:cs="Arial"/>
          <w:sz w:val="18"/>
          <w:szCs w:val="18"/>
          <w:lang w:val="en-US"/>
        </w:rPr>
        <w:t>.</w:t>
      </w:r>
    </w:p>
    <w:p w14:paraId="4C463DCE"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1965</w:t>
      </w:r>
    </w:p>
    <w:p w14:paraId="3DBDE9B1"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From 1965, the company began to build its backbone 330 kV power grid. Vostochnaya, Chudovo, and Yuzhnaya substations and 330 kV lines were put into operation.</w:t>
      </w:r>
    </w:p>
    <w:p w14:paraId="39BB0DAF"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1992</w:t>
      </w:r>
    </w:p>
    <w:p w14:paraId="5808B901"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In 1992, </w:t>
      </w:r>
      <w:r w:rsidR="000D659F" w:rsidRPr="00BD295E">
        <w:rPr>
          <w:rFonts w:ascii="Arial" w:hAnsi="Arial" w:cs="Arial"/>
          <w:sz w:val="18"/>
          <w:szCs w:val="18"/>
          <w:lang w:val="en-US"/>
        </w:rPr>
        <w:t>OJSC “Lenenergo”</w:t>
      </w:r>
      <w:r w:rsidRPr="00BD295E">
        <w:rPr>
          <w:rFonts w:ascii="Arial" w:hAnsi="Arial" w:cs="Arial"/>
          <w:sz w:val="18"/>
          <w:szCs w:val="18"/>
          <w:lang w:val="en-US"/>
        </w:rPr>
        <w:t>, was established through privatization.</w:t>
      </w:r>
    </w:p>
    <w:p w14:paraId="61AE51AC"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2000</w:t>
      </w:r>
    </w:p>
    <w:p w14:paraId="77802C6A"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From 2000 to 2005, five new backbone 110 kV substations were built within the Saint Petersburg power system, more than 120 km of heat supply grids and tens of thousands kilometers of electric grids were reconstructed.</w:t>
      </w:r>
    </w:p>
    <w:p w14:paraId="0B34E528"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2005</w:t>
      </w:r>
    </w:p>
    <w:p w14:paraId="0747F2BF" w14:textId="77777777" w:rsidR="003F6DA4" w:rsidRPr="00BD295E" w:rsidRDefault="000D659F" w:rsidP="00F74594">
      <w:pPr>
        <w:pStyle w:val="af3"/>
        <w:ind w:left="0"/>
        <w:jc w:val="both"/>
        <w:rPr>
          <w:rFonts w:ascii="Arial" w:hAnsi="Arial" w:cs="Arial"/>
          <w:sz w:val="18"/>
          <w:szCs w:val="18"/>
          <w:lang w:val="en-US"/>
        </w:rPr>
      </w:pPr>
      <w:r w:rsidRPr="00BD295E">
        <w:rPr>
          <w:rFonts w:ascii="Arial" w:hAnsi="Arial" w:cs="Arial"/>
          <w:sz w:val="18"/>
          <w:szCs w:val="18"/>
          <w:lang w:val="en-US"/>
        </w:rPr>
        <w:t>OJSC “Lenenergo”</w:t>
      </w:r>
      <w:r w:rsidR="008A5057" w:rsidRPr="00BD295E">
        <w:rPr>
          <w:rFonts w:ascii="Arial" w:hAnsi="Arial" w:cs="Arial"/>
          <w:sz w:val="18"/>
          <w:szCs w:val="18"/>
          <w:lang w:val="en-US"/>
        </w:rPr>
        <w:t xml:space="preserve"> was reorganized through spin-off of the following companies: </w:t>
      </w:r>
      <w:r w:rsidRPr="00BD295E">
        <w:rPr>
          <w:rFonts w:ascii="Arial" w:hAnsi="Arial" w:cs="Arial"/>
          <w:sz w:val="18"/>
          <w:szCs w:val="18"/>
          <w:lang w:val="en-US"/>
        </w:rPr>
        <w:t>OJSC “Saint Petersburg Power Generating Company”</w:t>
      </w:r>
      <w:r w:rsidR="008A5057" w:rsidRPr="00BD295E">
        <w:rPr>
          <w:rFonts w:ascii="Arial" w:hAnsi="Arial" w:cs="Arial"/>
          <w:sz w:val="18"/>
          <w:szCs w:val="18"/>
          <w:lang w:val="en-US"/>
        </w:rPr>
        <w:t xml:space="preserve">; </w:t>
      </w:r>
      <w:r w:rsidRPr="00BD295E">
        <w:rPr>
          <w:rFonts w:ascii="Arial" w:hAnsi="Arial" w:cs="Arial"/>
          <w:sz w:val="18"/>
          <w:szCs w:val="18"/>
          <w:lang w:val="en-US"/>
        </w:rPr>
        <w:t>OJSC “</w:t>
      </w:r>
      <w:r w:rsidR="008A5057" w:rsidRPr="00BD295E">
        <w:rPr>
          <w:rFonts w:ascii="Arial" w:hAnsi="Arial" w:cs="Arial"/>
          <w:sz w:val="18"/>
          <w:szCs w:val="18"/>
          <w:lang w:val="en-US"/>
        </w:rPr>
        <w:t>North-West Power Management Company</w:t>
      </w:r>
      <w:r w:rsidRPr="00BD295E">
        <w:rPr>
          <w:rFonts w:ascii="Arial" w:hAnsi="Arial" w:cs="Arial"/>
          <w:sz w:val="18"/>
          <w:szCs w:val="18"/>
          <w:lang w:val="en-US"/>
        </w:rPr>
        <w:t>”</w:t>
      </w:r>
      <w:r w:rsidR="008A5057" w:rsidRPr="00BD295E">
        <w:rPr>
          <w:rFonts w:ascii="Arial" w:hAnsi="Arial" w:cs="Arial"/>
          <w:sz w:val="18"/>
          <w:szCs w:val="18"/>
          <w:lang w:val="en-US"/>
        </w:rPr>
        <w:t>; OJSC</w:t>
      </w:r>
      <w:r w:rsidRPr="00BD295E">
        <w:rPr>
          <w:rFonts w:ascii="Arial" w:hAnsi="Arial" w:cs="Arial"/>
          <w:sz w:val="18"/>
          <w:szCs w:val="18"/>
          <w:lang w:val="en-US"/>
        </w:rPr>
        <w:t xml:space="preserve"> “Saint Petersburg Power Sales Company”</w:t>
      </w:r>
      <w:r w:rsidR="008A5057" w:rsidRPr="00BD295E">
        <w:rPr>
          <w:rFonts w:ascii="Arial" w:hAnsi="Arial" w:cs="Arial"/>
          <w:sz w:val="18"/>
          <w:szCs w:val="18"/>
          <w:lang w:val="en-US"/>
        </w:rPr>
        <w:t xml:space="preserve">; and </w:t>
      </w:r>
      <w:r w:rsidRPr="00BD295E">
        <w:rPr>
          <w:rFonts w:ascii="Arial" w:hAnsi="Arial" w:cs="Arial"/>
          <w:sz w:val="18"/>
          <w:szCs w:val="18"/>
          <w:lang w:val="en-US"/>
        </w:rPr>
        <w:t>OJSC “</w:t>
      </w:r>
      <w:r w:rsidR="008A5057" w:rsidRPr="00BD295E">
        <w:rPr>
          <w:rFonts w:ascii="Arial" w:hAnsi="Arial" w:cs="Arial"/>
          <w:sz w:val="18"/>
          <w:szCs w:val="18"/>
          <w:lang w:val="en-US"/>
        </w:rPr>
        <w:t>Saint Petersburg Power Transmission Networks</w:t>
      </w:r>
      <w:r w:rsidRPr="00BD295E">
        <w:rPr>
          <w:rFonts w:ascii="Arial" w:hAnsi="Arial" w:cs="Arial"/>
          <w:sz w:val="18"/>
          <w:szCs w:val="18"/>
          <w:lang w:val="en-US"/>
        </w:rPr>
        <w:t>”</w:t>
      </w:r>
      <w:r w:rsidR="008A5057" w:rsidRPr="00BD295E">
        <w:rPr>
          <w:rFonts w:ascii="Arial" w:hAnsi="Arial" w:cs="Arial"/>
          <w:sz w:val="18"/>
          <w:szCs w:val="18"/>
          <w:lang w:val="en-US"/>
        </w:rPr>
        <w:t>.</w:t>
      </w:r>
    </w:p>
    <w:p w14:paraId="6E383A3D"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2008</w:t>
      </w:r>
    </w:p>
    <w:p w14:paraId="7E1F207B"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The city of Saint Petersburg acquired a blocking stake </w:t>
      </w:r>
      <w:r w:rsidR="00042C54" w:rsidRPr="00BD295E">
        <w:rPr>
          <w:rFonts w:ascii="Arial" w:hAnsi="Arial" w:cs="Arial"/>
          <w:sz w:val="18"/>
          <w:szCs w:val="18"/>
          <w:lang w:val="en-US"/>
        </w:rPr>
        <w:t>in</w:t>
      </w:r>
      <w:r w:rsidRPr="00BD295E">
        <w:rPr>
          <w:rFonts w:ascii="Arial" w:hAnsi="Arial" w:cs="Arial"/>
          <w:sz w:val="18"/>
          <w:szCs w:val="18"/>
          <w:lang w:val="en-US"/>
        </w:rPr>
        <w:t xml:space="preserve"> the Company.</w:t>
      </w:r>
    </w:p>
    <w:p w14:paraId="0B2E054C"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2010</w:t>
      </w:r>
    </w:p>
    <w:p w14:paraId="7F8DFCC3" w14:textId="6D3C6026"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As part of its efforts to build a unified power grid company, </w:t>
      </w:r>
      <w:r w:rsidR="000D659F" w:rsidRPr="00BD295E">
        <w:rPr>
          <w:rFonts w:ascii="Arial" w:hAnsi="Arial" w:cs="Arial"/>
          <w:sz w:val="18"/>
          <w:szCs w:val="18"/>
          <w:lang w:val="en-US"/>
        </w:rPr>
        <w:t>OJSC “Lenenergo”</w:t>
      </w:r>
      <w:r w:rsidRPr="00BD295E">
        <w:rPr>
          <w:rFonts w:ascii="Arial" w:hAnsi="Arial" w:cs="Arial"/>
          <w:sz w:val="18"/>
          <w:szCs w:val="18"/>
          <w:lang w:val="en-US"/>
        </w:rPr>
        <w:t xml:space="preserve"> acquired </w:t>
      </w:r>
      <w:r w:rsidR="00BF7D8E" w:rsidRPr="00BD295E">
        <w:rPr>
          <w:rFonts w:ascii="Arial" w:hAnsi="Arial" w:cs="Arial"/>
          <w:sz w:val="18"/>
          <w:szCs w:val="18"/>
          <w:lang w:val="en-US"/>
        </w:rPr>
        <w:t>CJSC “</w:t>
      </w:r>
      <w:r w:rsidRPr="00BD295E">
        <w:rPr>
          <w:rFonts w:ascii="Arial" w:hAnsi="Arial" w:cs="Arial"/>
          <w:sz w:val="18"/>
          <w:szCs w:val="18"/>
          <w:lang w:val="en-US"/>
        </w:rPr>
        <w:t>Tsarsko</w:t>
      </w:r>
      <w:r w:rsidR="00174C5B" w:rsidRPr="00BD295E">
        <w:rPr>
          <w:rFonts w:ascii="Arial" w:hAnsi="Arial" w:cs="Arial"/>
          <w:sz w:val="18"/>
          <w:szCs w:val="18"/>
          <w:lang w:val="en-US"/>
        </w:rPr>
        <w:t>y</w:t>
      </w:r>
      <w:r w:rsidRPr="00BD295E">
        <w:rPr>
          <w:rFonts w:ascii="Arial" w:hAnsi="Arial" w:cs="Arial"/>
          <w:sz w:val="18"/>
          <w:szCs w:val="18"/>
          <w:lang w:val="en-US"/>
        </w:rPr>
        <w:t>e Selo Energy Company</w:t>
      </w:r>
      <w:r w:rsidR="00BF7D8E" w:rsidRPr="00BD295E">
        <w:rPr>
          <w:rFonts w:ascii="Arial" w:hAnsi="Arial" w:cs="Arial"/>
          <w:sz w:val="18"/>
          <w:szCs w:val="18"/>
          <w:lang w:val="en-US"/>
        </w:rPr>
        <w:t>"</w:t>
      </w:r>
      <w:r w:rsidRPr="00BD295E">
        <w:rPr>
          <w:rFonts w:ascii="Arial" w:hAnsi="Arial" w:cs="Arial"/>
          <w:sz w:val="18"/>
          <w:szCs w:val="18"/>
          <w:lang w:val="en-US"/>
        </w:rPr>
        <w:t xml:space="preserve"> (96.95% in the authorized capital) and </w:t>
      </w:r>
      <w:r w:rsidR="00BF7D8E" w:rsidRPr="00BD295E">
        <w:rPr>
          <w:rFonts w:ascii="Arial" w:hAnsi="Arial" w:cs="Arial"/>
          <w:sz w:val="18"/>
          <w:szCs w:val="18"/>
          <w:lang w:val="en-US"/>
        </w:rPr>
        <w:t>CJSC “</w:t>
      </w:r>
      <w:r w:rsidRPr="00BD295E">
        <w:rPr>
          <w:rFonts w:ascii="Arial" w:hAnsi="Arial" w:cs="Arial"/>
          <w:sz w:val="18"/>
          <w:szCs w:val="18"/>
          <w:lang w:val="en-US"/>
        </w:rPr>
        <w:t>Kurortenergo</w:t>
      </w:r>
      <w:r w:rsidR="00BF7D8E" w:rsidRPr="00BD295E">
        <w:rPr>
          <w:rFonts w:ascii="Arial" w:hAnsi="Arial" w:cs="Arial"/>
          <w:sz w:val="18"/>
          <w:szCs w:val="18"/>
          <w:lang w:val="en-US"/>
        </w:rPr>
        <w:t>”</w:t>
      </w:r>
      <w:r w:rsidRPr="00BD295E">
        <w:rPr>
          <w:rFonts w:ascii="Arial" w:hAnsi="Arial" w:cs="Arial"/>
          <w:sz w:val="18"/>
          <w:szCs w:val="18"/>
          <w:lang w:val="en-US"/>
        </w:rPr>
        <w:t xml:space="preserve"> (98.13% in the authorized capital).</w:t>
      </w:r>
    </w:p>
    <w:p w14:paraId="0526C1F9"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2011</w:t>
      </w:r>
    </w:p>
    <w:p w14:paraId="3AEC2E1F"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From January 1, 2011. </w:t>
      </w:r>
      <w:r w:rsidR="000D659F" w:rsidRPr="00BD295E">
        <w:rPr>
          <w:rFonts w:ascii="Arial" w:hAnsi="Arial" w:cs="Arial"/>
          <w:sz w:val="18"/>
          <w:szCs w:val="18"/>
          <w:lang w:val="en-US"/>
        </w:rPr>
        <w:t>OJSC “Lenenergo”</w:t>
      </w:r>
      <w:r w:rsidRPr="00BD295E">
        <w:rPr>
          <w:rFonts w:ascii="Arial" w:hAnsi="Arial" w:cs="Arial"/>
          <w:sz w:val="18"/>
          <w:szCs w:val="18"/>
          <w:lang w:val="en-US"/>
        </w:rPr>
        <w:t xml:space="preserve"> adopted the RAB (Regulatory Asset Base) model – a new system of long-term tariff regulation </w:t>
      </w:r>
    </w:p>
    <w:p w14:paraId="11B22BBD"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focusing on attracting investments in expanding and modernizing infrastructure.</w:t>
      </w:r>
    </w:p>
    <w:p w14:paraId="7B44A848"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2012</w:t>
      </w:r>
    </w:p>
    <w:p w14:paraId="13F8BBF5"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The Agency for Strategic Initiatives selected </w:t>
      </w:r>
      <w:r w:rsidR="000D659F" w:rsidRPr="00BD295E">
        <w:rPr>
          <w:rFonts w:ascii="Arial" w:hAnsi="Arial" w:cs="Arial"/>
          <w:sz w:val="18"/>
          <w:szCs w:val="18"/>
          <w:lang w:val="en-US"/>
        </w:rPr>
        <w:t>OJSC “Lenenergo”</w:t>
      </w:r>
      <w:r w:rsidRPr="00BD295E">
        <w:rPr>
          <w:rFonts w:ascii="Arial" w:hAnsi="Arial" w:cs="Arial"/>
          <w:sz w:val="18"/>
          <w:szCs w:val="18"/>
          <w:lang w:val="en-US"/>
        </w:rPr>
        <w:t xml:space="preserve"> as a partner for implementing the road map for the Improving the Accessibility of Energy infrastructure project. As part of the project, </w:t>
      </w:r>
      <w:r w:rsidR="000D659F" w:rsidRPr="00BD295E">
        <w:rPr>
          <w:rFonts w:ascii="Arial" w:hAnsi="Arial" w:cs="Arial"/>
          <w:sz w:val="18"/>
          <w:szCs w:val="18"/>
          <w:lang w:val="en-US"/>
        </w:rPr>
        <w:t>OJSC “Lenenergo”</w:t>
      </w:r>
      <w:r w:rsidRPr="00BD295E">
        <w:rPr>
          <w:rFonts w:ascii="Arial" w:hAnsi="Arial" w:cs="Arial"/>
          <w:sz w:val="18"/>
          <w:szCs w:val="18"/>
          <w:lang w:val="en-US"/>
        </w:rPr>
        <w:t xml:space="preserve"> served as a platform to test the mechanisms for upgrading the grid connection system to be further rolled out nationwide.</w:t>
      </w:r>
    </w:p>
    <w:p w14:paraId="484F6BC3"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2014</w:t>
      </w:r>
    </w:p>
    <w:p w14:paraId="29E5F5CD"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Establishment of Federal Testing Center, PJSC, the country’s first center focused on testing high-voltage equipment.</w:t>
      </w:r>
    </w:p>
    <w:p w14:paraId="76138AC4" w14:textId="77777777" w:rsidR="003F6DA4"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In December 2014, a Training Complex was launched at the village of Tervolovo, Gatchinsky District, which comprises a training building with 12 specialized classrooms and two year-round training facilities, a 0.4, 10, 35, and 110 kV grid testing facility, and a 110/35/10 kV substation testing facility.</w:t>
      </w:r>
    </w:p>
    <w:p w14:paraId="66BF847A"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2015</w:t>
      </w:r>
    </w:p>
    <w:p w14:paraId="5C4A1F26" w14:textId="063E2EBA" w:rsidR="003F6DA4" w:rsidRPr="00BD295E" w:rsidRDefault="00EE5753" w:rsidP="00F74594">
      <w:pPr>
        <w:pStyle w:val="af3"/>
        <w:ind w:left="0"/>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consoli</w:t>
      </w:r>
      <w:r w:rsidR="00386CB2" w:rsidRPr="00BD295E">
        <w:rPr>
          <w:rFonts w:ascii="Arial" w:hAnsi="Arial" w:cs="Arial"/>
          <w:sz w:val="18"/>
          <w:szCs w:val="18"/>
          <w:lang w:val="en-US"/>
        </w:rPr>
        <w:t xml:space="preserve">dated </w:t>
      </w:r>
      <w:r w:rsidR="008A5057" w:rsidRPr="00BD295E">
        <w:rPr>
          <w:rFonts w:ascii="Arial" w:hAnsi="Arial" w:cs="Arial"/>
          <w:sz w:val="18"/>
          <w:szCs w:val="18"/>
          <w:lang w:val="en-US"/>
        </w:rPr>
        <w:t xml:space="preserve">the largest players in the power transmission market of Saint Petersburg and the Leningrad Region: </w:t>
      </w:r>
      <w:r w:rsidR="006515AB" w:rsidRPr="00BD295E">
        <w:rPr>
          <w:rFonts w:ascii="Arial" w:hAnsi="Arial" w:cs="Arial"/>
          <w:sz w:val="18"/>
          <w:szCs w:val="18"/>
          <w:lang w:val="en-US"/>
        </w:rPr>
        <w:t>JSC “Saint Petersburg Power Grid”</w:t>
      </w:r>
      <w:r w:rsidR="008A5057" w:rsidRPr="00BD295E">
        <w:rPr>
          <w:rFonts w:ascii="Arial" w:hAnsi="Arial" w:cs="Arial"/>
          <w:sz w:val="18"/>
          <w:szCs w:val="18"/>
          <w:lang w:val="en-US"/>
        </w:rPr>
        <w:t xml:space="preserve">, and </w:t>
      </w:r>
      <w:r w:rsidR="00BF7D8E" w:rsidRPr="00BD295E">
        <w:rPr>
          <w:rFonts w:ascii="Arial" w:hAnsi="Arial" w:cs="Arial"/>
          <w:sz w:val="18"/>
          <w:szCs w:val="18"/>
          <w:lang w:val="en-US"/>
        </w:rPr>
        <w:t>OJSC “</w:t>
      </w:r>
      <w:r w:rsidR="008A5057" w:rsidRPr="00BD295E">
        <w:rPr>
          <w:rFonts w:ascii="Arial" w:hAnsi="Arial" w:cs="Arial"/>
          <w:sz w:val="18"/>
          <w:szCs w:val="18"/>
          <w:lang w:val="en-US"/>
        </w:rPr>
        <w:t>Petrodvorets Electric Company</w:t>
      </w:r>
      <w:r w:rsidR="00BF7D8E" w:rsidRPr="00BD295E">
        <w:rPr>
          <w:rFonts w:ascii="Arial" w:hAnsi="Arial" w:cs="Arial"/>
          <w:sz w:val="18"/>
          <w:szCs w:val="18"/>
          <w:lang w:val="en-US"/>
        </w:rPr>
        <w:t>”</w:t>
      </w:r>
      <w:r w:rsidR="008A5057" w:rsidRPr="00BD295E">
        <w:rPr>
          <w:rFonts w:ascii="Arial" w:hAnsi="Arial" w:cs="Arial"/>
          <w:sz w:val="18"/>
          <w:szCs w:val="18"/>
          <w:lang w:val="en-US"/>
        </w:rPr>
        <w:t>.</w:t>
      </w:r>
    </w:p>
    <w:p w14:paraId="2299E50D"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2016</w:t>
      </w:r>
    </w:p>
    <w:p w14:paraId="04F4DAF3" w14:textId="77777777" w:rsidR="003F6DA4" w:rsidRPr="00BD295E" w:rsidRDefault="008A5057" w:rsidP="00F74594">
      <w:pPr>
        <w:pStyle w:val="af3"/>
        <w:ind w:left="0"/>
        <w:jc w:val="both"/>
        <w:rPr>
          <w:rFonts w:ascii="Arial" w:hAnsi="Arial" w:cs="Arial"/>
          <w:sz w:val="18"/>
          <w:szCs w:val="18"/>
          <w:lang w:val="en-US"/>
        </w:rPr>
      </w:pPr>
      <w:r w:rsidRPr="00BD295E">
        <w:rPr>
          <w:rFonts w:ascii="Arial" w:hAnsi="Arial" w:cs="Arial"/>
          <w:sz w:val="18"/>
          <w:szCs w:val="18"/>
          <w:lang w:val="en-US"/>
        </w:rPr>
        <w:t xml:space="preserve">The region’s largest program for grid connection of </w:t>
      </w:r>
      <w:r w:rsidR="000D659F" w:rsidRPr="00BD295E">
        <w:rPr>
          <w:rFonts w:ascii="Arial" w:hAnsi="Arial" w:cs="Arial"/>
          <w:sz w:val="18"/>
          <w:szCs w:val="18"/>
          <w:lang w:val="en-US"/>
        </w:rPr>
        <w:t>customer</w:t>
      </w:r>
      <w:r w:rsidRPr="00BD295E">
        <w:rPr>
          <w:rFonts w:ascii="Arial" w:hAnsi="Arial" w:cs="Arial"/>
          <w:sz w:val="18"/>
          <w:szCs w:val="18"/>
          <w:lang w:val="en-US"/>
        </w:rPr>
        <w:t xml:space="preserve">s to power grids was implemented. A unified center for grid asset operation was built in the region. </w:t>
      </w:r>
    </w:p>
    <w:p w14:paraId="40804ABC" w14:textId="77777777" w:rsidR="003F6DA4" w:rsidRPr="00BD295E" w:rsidRDefault="003F6DA4" w:rsidP="00F74594">
      <w:pPr>
        <w:jc w:val="both"/>
        <w:rPr>
          <w:rFonts w:ascii="Arial" w:hAnsi="Arial" w:cs="Arial"/>
          <w:b/>
          <w:sz w:val="18"/>
          <w:szCs w:val="18"/>
          <w:lang w:val="en-US"/>
        </w:rPr>
      </w:pPr>
    </w:p>
    <w:p w14:paraId="14BFD974" w14:textId="77777777" w:rsidR="003F6DA4" w:rsidRPr="00BD295E" w:rsidRDefault="008A5057" w:rsidP="00F74594">
      <w:pPr>
        <w:jc w:val="both"/>
        <w:rPr>
          <w:rFonts w:ascii="Arial" w:hAnsi="Arial" w:cs="Arial"/>
          <w:b/>
          <w:sz w:val="18"/>
          <w:szCs w:val="18"/>
          <w:lang w:val="en-US"/>
        </w:rPr>
      </w:pPr>
      <w:r w:rsidRPr="00BD295E">
        <w:rPr>
          <w:rFonts w:ascii="Arial" w:hAnsi="Arial" w:cs="Arial"/>
          <w:b/>
          <w:sz w:val="18"/>
          <w:szCs w:val="18"/>
          <w:lang w:val="en-US"/>
        </w:rPr>
        <w:t>Coverage</w:t>
      </w:r>
    </w:p>
    <w:p w14:paraId="1F05F1BD" w14:textId="77777777" w:rsidR="003F6DA4" w:rsidRPr="00BD295E" w:rsidRDefault="00EE5753" w:rsidP="00F74594">
      <w:pPr>
        <w:jc w:val="both"/>
        <w:rPr>
          <w:rFonts w:ascii="Arial" w:hAnsi="Arial" w:cs="Arial"/>
          <w:b/>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is a regional distribution grid company. </w:t>
      </w:r>
      <w:r w:rsidRPr="00BD295E">
        <w:rPr>
          <w:rFonts w:ascii="Arial" w:hAnsi="Arial" w:cs="Arial"/>
          <w:sz w:val="18"/>
          <w:szCs w:val="18"/>
          <w:lang w:val="en-US"/>
        </w:rPr>
        <w:t>PJSC “Lenenergo”</w:t>
      </w:r>
      <w:r w:rsidR="008A5057" w:rsidRPr="00BD295E">
        <w:rPr>
          <w:rFonts w:ascii="Arial" w:hAnsi="Arial" w:cs="Arial"/>
          <w:sz w:val="18"/>
          <w:szCs w:val="18"/>
          <w:lang w:val="en-US"/>
        </w:rPr>
        <w:t xml:space="preserve"> operates in two constituent entities of the Russian Federation: Saint Petersburg and the Leningrad Region, each having its own regulation. </w:t>
      </w:r>
    </w:p>
    <w:p w14:paraId="421794C9" w14:textId="77777777" w:rsidR="003F6DA4"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ab/>
        <w:t xml:space="preserve">Currently,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the largest grid company in the area. Along with </w:t>
      </w:r>
      <w:r w:rsidR="00EE5753" w:rsidRPr="00BD295E">
        <w:rPr>
          <w:rFonts w:ascii="Arial" w:hAnsi="Arial" w:cs="Arial"/>
          <w:sz w:val="18"/>
          <w:szCs w:val="18"/>
          <w:lang w:val="en-US"/>
        </w:rPr>
        <w:t>PJSC “Lenenergo”</w:t>
      </w:r>
      <w:r w:rsidRPr="00BD295E">
        <w:rPr>
          <w:rFonts w:ascii="Arial" w:hAnsi="Arial" w:cs="Arial"/>
          <w:sz w:val="18"/>
          <w:szCs w:val="18"/>
          <w:lang w:val="en-US"/>
        </w:rPr>
        <w:t>, electricity distribution and consumer connection services in Saint Petersburg and the Leningrad Region are provided by:</w:t>
      </w:r>
    </w:p>
    <w:p w14:paraId="1DB3B48B" w14:textId="77777777" w:rsidR="00876919" w:rsidRPr="00BD295E" w:rsidRDefault="008A5057" w:rsidP="00F74594">
      <w:pPr>
        <w:numPr>
          <w:ilvl w:val="0"/>
          <w:numId w:val="168"/>
        </w:numPr>
        <w:ind w:firstLine="0"/>
        <w:jc w:val="both"/>
        <w:rPr>
          <w:rFonts w:ascii="Arial" w:hAnsi="Arial" w:cs="Arial"/>
          <w:sz w:val="18"/>
          <w:szCs w:val="18"/>
          <w:lang w:val="en-US"/>
        </w:rPr>
      </w:pPr>
      <w:r w:rsidRPr="00BD295E">
        <w:rPr>
          <w:rFonts w:ascii="Arial" w:hAnsi="Arial" w:cs="Arial"/>
          <w:sz w:val="18"/>
          <w:szCs w:val="18"/>
          <w:lang w:val="en-US"/>
        </w:rPr>
        <w:t xml:space="preserve">Electricity Transmission Grid Company of North-West, a branch of </w:t>
      </w:r>
      <w:r w:rsidR="00472677" w:rsidRPr="00BD295E">
        <w:rPr>
          <w:rFonts w:ascii="Arial" w:hAnsi="Arial" w:cs="Arial"/>
          <w:sz w:val="18"/>
          <w:szCs w:val="18"/>
          <w:lang w:val="en-US"/>
        </w:rPr>
        <w:t xml:space="preserve">“FGC UES”, PJSC </w:t>
      </w:r>
    </w:p>
    <w:p w14:paraId="122203F4" w14:textId="77777777" w:rsidR="00876919" w:rsidRPr="00BD295E" w:rsidRDefault="008A5057" w:rsidP="00F74594">
      <w:pPr>
        <w:numPr>
          <w:ilvl w:val="0"/>
          <w:numId w:val="168"/>
        </w:numPr>
        <w:ind w:firstLine="0"/>
        <w:jc w:val="both"/>
        <w:rPr>
          <w:rFonts w:ascii="Arial" w:hAnsi="Arial" w:cs="Arial"/>
          <w:sz w:val="18"/>
          <w:szCs w:val="18"/>
          <w:lang w:val="en-US"/>
        </w:rPr>
      </w:pPr>
      <w:r w:rsidRPr="00BD295E">
        <w:rPr>
          <w:rFonts w:ascii="Arial" w:hAnsi="Arial" w:cs="Arial"/>
          <w:sz w:val="18"/>
          <w:szCs w:val="18"/>
          <w:lang w:val="en-US"/>
        </w:rPr>
        <w:t>Leningrad Regional Management Electric Grid Company (LOESK), JSC</w:t>
      </w:r>
    </w:p>
    <w:p w14:paraId="3DFE57BF" w14:textId="77777777" w:rsidR="003F6DA4" w:rsidRPr="00BD295E" w:rsidRDefault="008A5057" w:rsidP="00F74594">
      <w:pPr>
        <w:numPr>
          <w:ilvl w:val="0"/>
          <w:numId w:val="168"/>
        </w:numPr>
        <w:ind w:firstLine="0"/>
        <w:jc w:val="both"/>
        <w:rPr>
          <w:rFonts w:ascii="Arial" w:hAnsi="Arial" w:cs="Arial"/>
          <w:sz w:val="18"/>
          <w:szCs w:val="18"/>
          <w:lang w:val="en-US"/>
        </w:rPr>
      </w:pPr>
      <w:r w:rsidRPr="00BD295E">
        <w:rPr>
          <w:rFonts w:ascii="Arial" w:hAnsi="Arial" w:cs="Arial"/>
          <w:sz w:val="18"/>
          <w:szCs w:val="18"/>
          <w:lang w:val="en-US"/>
        </w:rPr>
        <w:t>A number of related grid companies, whose areas of responsibility are outlined in resolutions of the governments of respective constituent entities of the Russian Federation.</w:t>
      </w:r>
    </w:p>
    <w:p w14:paraId="61790563" w14:textId="77777777" w:rsidR="003F6DA4" w:rsidRPr="00BD295E" w:rsidRDefault="003F6DA4" w:rsidP="00F74594">
      <w:pPr>
        <w:rPr>
          <w:rFonts w:ascii="Arial" w:hAnsi="Arial" w:cs="Arial"/>
          <w:b/>
          <w:sz w:val="18"/>
          <w:szCs w:val="18"/>
          <w:lang w:val="en-US"/>
        </w:rPr>
      </w:pPr>
    </w:p>
    <w:p w14:paraId="7AD0A058" w14:textId="77777777" w:rsidR="003F6DA4" w:rsidRPr="00BD295E" w:rsidRDefault="008A5057" w:rsidP="00F74594">
      <w:pPr>
        <w:pStyle w:val="af3"/>
        <w:jc w:val="both"/>
        <w:rPr>
          <w:rFonts w:ascii="Arial" w:hAnsi="Arial" w:cs="Arial"/>
          <w:b/>
          <w:sz w:val="18"/>
          <w:szCs w:val="18"/>
          <w:lang w:val="en-US"/>
        </w:rPr>
      </w:pPr>
      <w:r w:rsidRPr="00BD295E">
        <w:rPr>
          <w:rFonts w:ascii="Arial" w:hAnsi="Arial" w:cs="Arial"/>
          <w:b/>
          <w:sz w:val="18"/>
          <w:szCs w:val="18"/>
          <w:lang w:val="en-US"/>
        </w:rPr>
        <w:t>Equity structure</w:t>
      </w:r>
    </w:p>
    <w:p w14:paraId="30A45A10" w14:textId="52A6CBDC" w:rsidR="003F6DA4" w:rsidRPr="00BD295E" w:rsidRDefault="008A5057" w:rsidP="00F74594">
      <w:pPr>
        <w:pStyle w:val="ConsPlusNormal"/>
        <w:jc w:val="both"/>
        <w:rPr>
          <w:rFonts w:ascii="Arial" w:hAnsi="Arial" w:cs="Arial"/>
          <w:sz w:val="18"/>
          <w:szCs w:val="18"/>
          <w:lang w:val="en-US"/>
        </w:rPr>
      </w:pPr>
      <w:r w:rsidRPr="00BD295E">
        <w:rPr>
          <w:rFonts w:ascii="Arial" w:hAnsi="Arial" w:cs="Arial"/>
          <w:sz w:val="18"/>
          <w:szCs w:val="18"/>
          <w:lang w:val="en-US"/>
        </w:rPr>
        <w:t>Structure of shareholders owning more than 1% of ordinary shares, including disclosure of nominal holders*</w:t>
      </w:r>
    </w:p>
    <w:p w14:paraId="63E78DC3" w14:textId="45365FAF" w:rsidR="00437538" w:rsidRPr="00BD295E" w:rsidRDefault="00437538" w:rsidP="00437538">
      <w:pPr>
        <w:pStyle w:val="ConsPlusNormal"/>
        <w:spacing w:before="240" w:after="60"/>
        <w:jc w:val="center"/>
        <w:rPr>
          <w:rFonts w:ascii="Arial" w:hAnsi="Arial" w:cs="Arial"/>
          <w:b/>
          <w:bCs/>
          <w:sz w:val="18"/>
          <w:szCs w:val="18"/>
          <w:lang w:val="en-US"/>
        </w:rPr>
      </w:pPr>
      <w:r w:rsidRPr="00BD295E">
        <w:rPr>
          <w:rFonts w:ascii="Arial" w:hAnsi="Arial" w:cs="Arial"/>
          <w:b/>
          <w:bCs/>
          <w:sz w:val="18"/>
          <w:szCs w:val="18"/>
          <w:lang w:val="en-US"/>
        </w:rPr>
        <w:t>Shareholders owning more than 1% of ordinary stocks (nominal holders taken into account)*</w:t>
      </w:r>
    </w:p>
    <w:p w14:paraId="2C1FE8A9" w14:textId="602B229C" w:rsidR="003F6DA4" w:rsidRPr="00BD295E" w:rsidRDefault="00997D07" w:rsidP="00437538">
      <w:pPr>
        <w:pStyle w:val="ConsPlusNormal"/>
        <w:ind w:left="1418"/>
        <w:rPr>
          <w:rFonts w:ascii="Arial" w:hAnsi="Arial" w:cs="Arial"/>
          <w:sz w:val="18"/>
          <w:szCs w:val="18"/>
          <w:lang w:val="en-US"/>
        </w:rPr>
      </w:pPr>
      <w:r w:rsidRPr="00BD295E">
        <w:rPr>
          <w:lang w:val="en-US"/>
        </w:rPr>
        <mc:AlternateContent>
          <mc:Choice Requires="wps">
            <w:drawing>
              <wp:anchor distT="45720" distB="45720" distL="114300" distR="114300" simplePos="0" relativeHeight="251694592" behindDoc="0" locked="0" layoutInCell="1" allowOverlap="1" wp14:anchorId="351E9F94" wp14:editId="5F9487D0">
                <wp:simplePos x="0" y="0"/>
                <wp:positionH relativeFrom="column">
                  <wp:posOffset>3263900</wp:posOffset>
                </wp:positionH>
                <wp:positionV relativeFrom="paragraph">
                  <wp:posOffset>189865</wp:posOffset>
                </wp:positionV>
                <wp:extent cx="1839595" cy="1181735"/>
                <wp:effectExtent l="0" t="0" r="0" b="0"/>
                <wp:wrapNone/>
                <wp:docPr id="5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1181735"/>
                        </a:xfrm>
                        <a:prstGeom prst="rect">
                          <a:avLst/>
                        </a:prstGeom>
                        <a:solidFill>
                          <a:sysClr val="window" lastClr="FFFFFF"/>
                        </a:solidFill>
                        <a:ln w="9525">
                          <a:noFill/>
                          <a:miter lim="800000"/>
                          <a:headEnd/>
                          <a:tailEnd/>
                        </a:ln>
                      </wps:spPr>
                      <wps:txbx>
                        <w:txbxContent>
                          <w:p w14:paraId="6ECA0BCD" w14:textId="04186D9F" w:rsidR="002C3947" w:rsidRPr="00437538" w:rsidRDefault="002C3947" w:rsidP="00437538">
                            <w:pPr>
                              <w:pStyle w:val="ConsPlusNormal"/>
                              <w:ind w:left="210" w:hanging="210"/>
                              <w:rPr>
                                <w:rFonts w:ascii="Arial" w:hAnsi="Arial" w:cs="Arial"/>
                                <w:sz w:val="16"/>
                                <w:szCs w:val="16"/>
                                <w:lang w:val="en-US"/>
                              </w:rPr>
                            </w:pPr>
                            <w:r w:rsidRPr="00437538">
                              <w:rPr>
                                <w:rFonts w:ascii="Wingdings 2" w:hAnsi="Wingdings 2" w:cs="Arial"/>
                                <w:color w:val="5B9BD5"/>
                                <w:sz w:val="16"/>
                                <w:szCs w:val="16"/>
                                <w:lang w:val="en-US"/>
                              </w:rPr>
                              <w:t></w:t>
                            </w:r>
                            <w:r>
                              <w:rPr>
                                <w:rFonts w:ascii="Arial" w:hAnsi="Arial" w:cs="Arial"/>
                                <w:sz w:val="16"/>
                                <w:szCs w:val="16"/>
                                <w:lang w:val="en-US"/>
                              </w:rPr>
                              <w:tab/>
                            </w:r>
                            <w:r w:rsidRPr="00437538">
                              <w:rPr>
                                <w:rFonts w:ascii="Arial" w:hAnsi="Arial" w:cs="Arial"/>
                                <w:sz w:val="16"/>
                                <w:szCs w:val="16"/>
                                <w:lang w:val="en-US"/>
                              </w:rPr>
                              <w:t>PJSC “Rosseti”</w:t>
                            </w:r>
                          </w:p>
                          <w:p w14:paraId="5833A04C" w14:textId="4F63DA0A" w:rsidR="002C3947" w:rsidRPr="00437538" w:rsidRDefault="002C3947" w:rsidP="00437538">
                            <w:pPr>
                              <w:pStyle w:val="ConsPlusNormal"/>
                              <w:spacing w:before="240"/>
                              <w:ind w:left="210" w:hanging="210"/>
                              <w:rPr>
                                <w:rFonts w:ascii="Arial" w:hAnsi="Arial" w:cs="Arial"/>
                                <w:sz w:val="16"/>
                                <w:szCs w:val="16"/>
                                <w:lang w:val="en-US"/>
                              </w:rPr>
                            </w:pPr>
                            <w:r w:rsidRPr="00437538">
                              <w:rPr>
                                <w:rFonts w:ascii="Wingdings 2" w:hAnsi="Wingdings 2" w:cs="Arial"/>
                                <w:color w:val="ED7D31"/>
                                <w:sz w:val="16"/>
                                <w:szCs w:val="16"/>
                                <w:lang w:val="en-US"/>
                              </w:rPr>
                              <w:t></w:t>
                            </w:r>
                            <w:r>
                              <w:rPr>
                                <w:rFonts w:ascii="Arial" w:hAnsi="Arial" w:cs="Arial"/>
                                <w:sz w:val="16"/>
                                <w:szCs w:val="16"/>
                                <w:lang w:val="en-US"/>
                              </w:rPr>
                              <w:tab/>
                            </w:r>
                            <w:r w:rsidRPr="00437538">
                              <w:rPr>
                                <w:rFonts w:ascii="Arial" w:hAnsi="Arial" w:cs="Arial"/>
                                <w:sz w:val="16"/>
                                <w:szCs w:val="16"/>
                                <w:lang w:val="en-US"/>
                              </w:rPr>
                              <w:t>Saint Petersburg represented by the Property Relations Committee</w:t>
                            </w:r>
                          </w:p>
                          <w:p w14:paraId="4F9961F2" w14:textId="198A1719" w:rsidR="002C3947" w:rsidRPr="00437538" w:rsidRDefault="002C3947" w:rsidP="00437538">
                            <w:pPr>
                              <w:pStyle w:val="ConsPlusNormal"/>
                              <w:spacing w:before="240"/>
                              <w:ind w:left="210" w:hanging="210"/>
                              <w:rPr>
                                <w:rFonts w:ascii="Arial" w:hAnsi="Arial" w:cs="Arial"/>
                                <w:sz w:val="16"/>
                                <w:szCs w:val="16"/>
                                <w:lang w:val="en-US"/>
                              </w:rPr>
                            </w:pPr>
                            <w:r w:rsidRPr="00437538">
                              <w:rPr>
                                <w:rFonts w:ascii="Wingdings 2" w:hAnsi="Wingdings 2" w:cs="Arial"/>
                                <w:color w:val="A5A5A5"/>
                                <w:sz w:val="16"/>
                                <w:szCs w:val="16"/>
                                <w:lang w:val="en-US"/>
                              </w:rPr>
                              <w:t></w:t>
                            </w:r>
                            <w:r>
                              <w:rPr>
                                <w:rFonts w:ascii="Arial" w:hAnsi="Arial" w:cs="Arial"/>
                                <w:sz w:val="16"/>
                                <w:szCs w:val="16"/>
                                <w:lang w:val="en-US"/>
                              </w:rPr>
                              <w:tab/>
                            </w:r>
                            <w:r w:rsidRPr="00437538">
                              <w:rPr>
                                <w:rFonts w:ascii="Arial" w:hAnsi="Arial" w:cs="Arial"/>
                                <w:sz w:val="16"/>
                                <w:szCs w:val="16"/>
                                <w:lang w:val="en-US"/>
                              </w:rPr>
                              <w:t>IDGC of Urals, OJSC</w:t>
                            </w:r>
                          </w:p>
                          <w:p w14:paraId="4A4F4EB0" w14:textId="761AB032" w:rsidR="002C3947" w:rsidRPr="00437538" w:rsidRDefault="002C3947" w:rsidP="00437538">
                            <w:pPr>
                              <w:pStyle w:val="ConsPlusNormal"/>
                              <w:spacing w:before="240"/>
                              <w:ind w:left="210" w:hanging="210"/>
                              <w:rPr>
                                <w:rFonts w:ascii="Arial" w:hAnsi="Arial" w:cs="Arial"/>
                                <w:sz w:val="16"/>
                                <w:szCs w:val="16"/>
                                <w:lang w:val="en-US"/>
                              </w:rPr>
                            </w:pPr>
                            <w:r w:rsidRPr="00437538">
                              <w:rPr>
                                <w:rFonts w:ascii="Wingdings 2" w:hAnsi="Wingdings 2" w:cs="Arial"/>
                                <w:color w:val="FFC000"/>
                                <w:sz w:val="16"/>
                                <w:szCs w:val="16"/>
                                <w:lang w:val="en-US"/>
                              </w:rPr>
                              <w:t></w:t>
                            </w:r>
                            <w:r>
                              <w:rPr>
                                <w:rFonts w:ascii="Arial" w:hAnsi="Arial" w:cs="Arial"/>
                                <w:sz w:val="16"/>
                                <w:szCs w:val="16"/>
                                <w:lang w:val="en-US"/>
                              </w:rPr>
                              <w:tab/>
                            </w:r>
                            <w:r w:rsidRPr="00437538">
                              <w:rPr>
                                <w:rFonts w:ascii="Arial" w:hAnsi="Arial" w:cs="Arial"/>
                                <w:sz w:val="16"/>
                                <w:szCs w:val="16"/>
                                <w:lang w:val="en-US"/>
                              </w:rPr>
                              <w:t>Other</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51E9F94" id="_x0000_t202" coordsize="21600,21600" o:spt="202" path="m,l,21600r21600,l21600,xe">
                <v:stroke joinstyle="miter"/>
                <v:path gradientshapeok="t" o:connecttype="rect"/>
              </v:shapetype>
              <v:shape id="Надпись 2" o:spid="_x0000_s1026" type="#_x0000_t202" style="position:absolute;left:0;text-align:left;margin-left:257pt;margin-top:14.95pt;width:144.85pt;height:93.0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" fillcolor="window" stroked="f">
                <v:textbox inset="0,0,0,0">
                  <w:txbxContent>
                    <w:p w14:paraId="6ECA0BCD" w14:textId="04186D9F" w:rsidR="002C3947" w:rsidRPr="00437538" w:rsidRDefault="002C3947" w:rsidP="00437538">
                      <w:pPr>
                        <w:pStyle w:val="ConsPlusNormal"/>
                        <w:ind w:left="210" w:hanging="210"/>
                        <w:rPr>
                          <w:rFonts w:ascii="Arial" w:hAnsi="Arial" w:cs="Arial"/>
                          <w:sz w:val="16"/>
                          <w:szCs w:val="16"/>
                          <w:lang w:val="en-US"/>
                        </w:rPr>
                      </w:pPr>
                      <w:r w:rsidRPr="00437538">
                        <w:rPr>
                          <w:rFonts w:ascii="Wingdings 2" w:hAnsi="Wingdings 2" w:cs="Arial"/>
                          <w:color w:val="5B9BD5"/>
                          <w:sz w:val="16"/>
                          <w:szCs w:val="16"/>
                          <w:lang w:val="en-US"/>
                        </w:rPr>
                        <w:t></w:t>
                      </w:r>
                      <w:r>
                        <w:rPr>
                          <w:rFonts w:ascii="Arial" w:hAnsi="Arial" w:cs="Arial"/>
                          <w:sz w:val="16"/>
                          <w:szCs w:val="16"/>
                          <w:lang w:val="en-US"/>
                        </w:rPr>
                        <w:tab/>
                      </w:r>
                      <w:r w:rsidRPr="00437538">
                        <w:rPr>
                          <w:rFonts w:ascii="Arial" w:hAnsi="Arial" w:cs="Arial"/>
                          <w:sz w:val="16"/>
                          <w:szCs w:val="16"/>
                          <w:lang w:val="en-US"/>
                        </w:rPr>
                        <w:t>PJSC “Rosseti”</w:t>
                      </w:r>
                    </w:p>
                    <w:p w14:paraId="5833A04C" w14:textId="4F63DA0A" w:rsidR="002C3947" w:rsidRPr="00437538" w:rsidRDefault="002C3947" w:rsidP="00437538">
                      <w:pPr>
                        <w:pStyle w:val="ConsPlusNormal"/>
                        <w:spacing w:before="240"/>
                        <w:ind w:left="210" w:hanging="210"/>
                        <w:rPr>
                          <w:rFonts w:ascii="Arial" w:hAnsi="Arial" w:cs="Arial"/>
                          <w:sz w:val="16"/>
                          <w:szCs w:val="16"/>
                          <w:lang w:val="en-US"/>
                        </w:rPr>
                      </w:pPr>
                      <w:r w:rsidRPr="00437538">
                        <w:rPr>
                          <w:rFonts w:ascii="Wingdings 2" w:hAnsi="Wingdings 2" w:cs="Arial"/>
                          <w:color w:val="ED7D31"/>
                          <w:sz w:val="16"/>
                          <w:szCs w:val="16"/>
                          <w:lang w:val="en-US"/>
                        </w:rPr>
                        <w:t></w:t>
                      </w:r>
                      <w:r>
                        <w:rPr>
                          <w:rFonts w:ascii="Arial" w:hAnsi="Arial" w:cs="Arial"/>
                          <w:sz w:val="16"/>
                          <w:szCs w:val="16"/>
                          <w:lang w:val="en-US"/>
                        </w:rPr>
                        <w:tab/>
                      </w:r>
                      <w:r w:rsidRPr="00437538">
                        <w:rPr>
                          <w:rFonts w:ascii="Arial" w:hAnsi="Arial" w:cs="Arial"/>
                          <w:sz w:val="16"/>
                          <w:szCs w:val="16"/>
                          <w:lang w:val="en-US"/>
                        </w:rPr>
                        <w:t>Saint Petersburg represented by the Property Relations Committee</w:t>
                      </w:r>
                    </w:p>
                    <w:p w14:paraId="4F9961F2" w14:textId="198A1719" w:rsidR="002C3947" w:rsidRPr="00437538" w:rsidRDefault="002C3947" w:rsidP="00437538">
                      <w:pPr>
                        <w:pStyle w:val="ConsPlusNormal"/>
                        <w:spacing w:before="240"/>
                        <w:ind w:left="210" w:hanging="210"/>
                        <w:rPr>
                          <w:rFonts w:ascii="Arial" w:hAnsi="Arial" w:cs="Arial"/>
                          <w:sz w:val="16"/>
                          <w:szCs w:val="16"/>
                          <w:lang w:val="en-US"/>
                        </w:rPr>
                      </w:pPr>
                      <w:r w:rsidRPr="00437538">
                        <w:rPr>
                          <w:rFonts w:ascii="Wingdings 2" w:hAnsi="Wingdings 2" w:cs="Arial"/>
                          <w:color w:val="A5A5A5"/>
                          <w:sz w:val="16"/>
                          <w:szCs w:val="16"/>
                          <w:lang w:val="en-US"/>
                        </w:rPr>
                        <w:t></w:t>
                      </w:r>
                      <w:r>
                        <w:rPr>
                          <w:rFonts w:ascii="Arial" w:hAnsi="Arial" w:cs="Arial"/>
                          <w:sz w:val="16"/>
                          <w:szCs w:val="16"/>
                          <w:lang w:val="en-US"/>
                        </w:rPr>
                        <w:tab/>
                      </w:r>
                      <w:r w:rsidRPr="00437538">
                        <w:rPr>
                          <w:rFonts w:ascii="Arial" w:hAnsi="Arial" w:cs="Arial"/>
                          <w:sz w:val="16"/>
                          <w:szCs w:val="16"/>
                          <w:lang w:val="en-US"/>
                        </w:rPr>
                        <w:t>IDGC of Urals, OJSC</w:t>
                      </w:r>
                    </w:p>
                    <w:p w14:paraId="4A4F4EB0" w14:textId="761AB032" w:rsidR="002C3947" w:rsidRPr="00437538" w:rsidRDefault="002C3947" w:rsidP="00437538">
                      <w:pPr>
                        <w:pStyle w:val="ConsPlusNormal"/>
                        <w:spacing w:before="240"/>
                        <w:ind w:left="210" w:hanging="210"/>
                        <w:rPr>
                          <w:rFonts w:ascii="Arial" w:hAnsi="Arial" w:cs="Arial"/>
                          <w:sz w:val="16"/>
                          <w:szCs w:val="16"/>
                          <w:lang w:val="en-US"/>
                        </w:rPr>
                      </w:pPr>
                      <w:r w:rsidRPr="00437538">
                        <w:rPr>
                          <w:rFonts w:ascii="Wingdings 2" w:hAnsi="Wingdings 2" w:cs="Arial"/>
                          <w:color w:val="FFC000"/>
                          <w:sz w:val="16"/>
                          <w:szCs w:val="16"/>
                          <w:lang w:val="en-US"/>
                        </w:rPr>
                        <w:t></w:t>
                      </w:r>
                      <w:r>
                        <w:rPr>
                          <w:rFonts w:ascii="Arial" w:hAnsi="Arial" w:cs="Arial"/>
                          <w:sz w:val="16"/>
                          <w:szCs w:val="16"/>
                          <w:lang w:val="en-US"/>
                        </w:rPr>
                        <w:tab/>
                      </w:r>
                      <w:r w:rsidRPr="00437538">
                        <w:rPr>
                          <w:rFonts w:ascii="Arial" w:hAnsi="Arial" w:cs="Arial"/>
                          <w:sz w:val="16"/>
                          <w:szCs w:val="16"/>
                          <w:lang w:val="en-US"/>
                        </w:rPr>
                        <w:t>Other</w:t>
                      </w:r>
                    </w:p>
                  </w:txbxContent>
                </v:textbox>
              </v:shape>
            </w:pict>
          </mc:Fallback>
        </mc:AlternateContent>
      </w:r>
      <w:r w:rsidRPr="00BD295E">
        <w:rPr>
          <w:rFonts w:ascii="Arial" w:hAnsi="Arial" w:cs="Arial"/>
          <w:sz w:val="18"/>
          <w:szCs w:val="18"/>
          <w:lang w:val="en-US"/>
        </w:rPr>
        <w:drawing>
          <wp:inline distT="0" distB="0" distL="0" distR="0" wp14:anchorId="24586F24" wp14:editId="1CCC56FC">
            <wp:extent cx="1781175" cy="1562100"/>
            <wp:effectExtent l="0" t="0" r="0" b="0"/>
            <wp:docPr id="113"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10">
                      <a:extLst>
                        <a:ext uri="{28A0092B-C50C-407E-A947-70E740481C1C}">
                          <a14:useLocalDpi xmlns:a14="http://schemas.microsoft.com/office/drawing/2010/main" val="0"/>
                        </a:ext>
                      </a:extLst>
                    </a:blip>
                    <a:srcRect l="992" t="16917" r="59201" b="967"/>
                    <a:stretch>
                      <a:fillRect/>
                    </a:stretch>
                  </pic:blipFill>
                  <pic:spPr bwMode="auto">
                    <a:xfrm>
                      <a:off x="0" y="0"/>
                      <a:ext cx="1781175" cy="1562100"/>
                    </a:xfrm>
                    <a:prstGeom prst="rect">
                      <a:avLst/>
                    </a:prstGeom>
                    <a:noFill/>
                    <a:ln>
                      <a:noFill/>
                    </a:ln>
                  </pic:spPr>
                </pic:pic>
              </a:graphicData>
            </a:graphic>
          </wp:inline>
        </w:drawing>
      </w:r>
    </w:p>
    <w:p w14:paraId="5F2D74DB" w14:textId="77777777" w:rsidR="00714CBE" w:rsidRPr="00BD295E" w:rsidRDefault="00714CBE" w:rsidP="003F6DA4">
      <w:pPr>
        <w:pStyle w:val="ConsPlusNormal"/>
        <w:jc w:val="both"/>
        <w:rPr>
          <w:rFonts w:ascii="Arial" w:hAnsi="Arial" w:cs="Arial"/>
          <w:sz w:val="18"/>
          <w:szCs w:val="18"/>
          <w:lang w:val="en-US"/>
        </w:rPr>
      </w:pPr>
    </w:p>
    <w:p w14:paraId="41ACD62C" w14:textId="77777777" w:rsidR="003F6DA4" w:rsidRPr="00BD295E" w:rsidRDefault="008A5057" w:rsidP="003F6DA4">
      <w:pPr>
        <w:pStyle w:val="ConsPlusNormal"/>
        <w:jc w:val="both"/>
        <w:rPr>
          <w:rFonts w:ascii="Arial" w:hAnsi="Arial" w:cs="Arial"/>
          <w:sz w:val="18"/>
          <w:szCs w:val="18"/>
          <w:lang w:val="en-US"/>
        </w:rPr>
      </w:pPr>
      <w:r w:rsidRPr="00BD295E">
        <w:rPr>
          <w:rFonts w:ascii="Arial" w:hAnsi="Arial" w:cs="Arial"/>
          <w:sz w:val="18"/>
          <w:szCs w:val="18"/>
          <w:lang w:val="en-US"/>
        </w:rPr>
        <w:t>Structure of shareholders owning more than 1% of the authorized capital, including disclosure of nominal holders*</w:t>
      </w:r>
    </w:p>
    <w:p w14:paraId="78E004A7" w14:textId="77777777" w:rsidR="00EE36B7" w:rsidRPr="00BD295E" w:rsidRDefault="00EE36B7" w:rsidP="003F6DA4">
      <w:pPr>
        <w:pStyle w:val="ConsPlusNormal"/>
        <w:jc w:val="center"/>
        <w:rPr>
          <w:rFonts w:ascii="Arial" w:hAnsi="Arial" w:cs="Arial"/>
          <w:sz w:val="18"/>
          <w:szCs w:val="18"/>
          <w:lang w:val="en-US"/>
        </w:rPr>
      </w:pPr>
    </w:p>
    <w:p w14:paraId="384A6EF6" w14:textId="77777777" w:rsidR="00EE36B7" w:rsidRPr="00BD295E" w:rsidRDefault="00EE36B7" w:rsidP="004A6955">
      <w:pPr>
        <w:pStyle w:val="ConsPlusNormal"/>
        <w:keepNext/>
        <w:spacing w:after="60"/>
        <w:jc w:val="center"/>
        <w:rPr>
          <w:rFonts w:ascii="Arial" w:hAnsi="Arial" w:cs="Arial"/>
          <w:b/>
          <w:bCs/>
          <w:sz w:val="18"/>
          <w:szCs w:val="18"/>
          <w:lang w:val="en-US"/>
        </w:rPr>
      </w:pPr>
      <w:r w:rsidRPr="00BD295E">
        <w:rPr>
          <w:rFonts w:ascii="Arial" w:hAnsi="Arial" w:cs="Arial"/>
          <w:b/>
          <w:bCs/>
          <w:sz w:val="18"/>
          <w:szCs w:val="18"/>
          <w:lang w:val="en-US"/>
        </w:rPr>
        <w:t>Structure of shareholders owning more than 1% of ordinary shares, including disclosure of nominal holders*</w:t>
      </w:r>
    </w:p>
    <w:p w14:paraId="1EA140AF" w14:textId="1E9EC08A" w:rsidR="003F6DA4" w:rsidRPr="00BD295E" w:rsidRDefault="00997D07" w:rsidP="0032433D">
      <w:pPr>
        <w:pStyle w:val="ConsPlusNormal"/>
        <w:spacing w:after="60"/>
        <w:ind w:left="1276"/>
        <w:rPr>
          <w:rFonts w:ascii="Arial" w:hAnsi="Arial" w:cs="Arial"/>
          <w:sz w:val="18"/>
          <w:szCs w:val="18"/>
          <w:lang w:val="en-US"/>
        </w:rPr>
      </w:pPr>
      <w:r w:rsidRPr="00BD295E">
        <w:rPr>
          <w:rFonts w:ascii="Arial" w:hAnsi="Arial" w:cs="Arial"/>
          <w:sz w:val="18"/>
          <w:szCs w:val="18"/>
          <w:lang w:val="en-US"/>
        </w:rPr>
        <mc:AlternateContent>
          <mc:Choice Requires="wps">
            <w:drawing>
              <wp:anchor distT="45720" distB="45720" distL="114300" distR="114300" simplePos="0" relativeHeight="251695616" behindDoc="0" locked="0" layoutInCell="1" allowOverlap="1" wp14:anchorId="351E9F94" wp14:editId="43408E45">
                <wp:simplePos x="0" y="0"/>
                <wp:positionH relativeFrom="column">
                  <wp:posOffset>3221355</wp:posOffset>
                </wp:positionH>
                <wp:positionV relativeFrom="paragraph">
                  <wp:posOffset>393065</wp:posOffset>
                </wp:positionV>
                <wp:extent cx="1839595" cy="1181735"/>
                <wp:effectExtent l="0" t="0" r="0" b="0"/>
                <wp:wrapNone/>
                <wp:docPr id="5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1181735"/>
                        </a:xfrm>
                        <a:prstGeom prst="rect">
                          <a:avLst/>
                        </a:prstGeom>
                        <a:solidFill>
                          <a:sysClr val="window" lastClr="FFFFFF"/>
                        </a:solidFill>
                        <a:ln w="9525">
                          <a:noFill/>
                          <a:miter lim="800000"/>
                          <a:headEnd/>
                          <a:tailEnd/>
                        </a:ln>
                      </wps:spPr>
                      <wps:txbx>
                        <w:txbxContent>
                          <w:p w14:paraId="08BD11CC" w14:textId="77777777" w:rsidR="002C3947" w:rsidRPr="00437538" w:rsidRDefault="002C3947" w:rsidP="0032433D">
                            <w:pPr>
                              <w:pStyle w:val="ConsPlusNormal"/>
                              <w:ind w:left="210" w:hanging="210"/>
                              <w:rPr>
                                <w:rFonts w:ascii="Arial" w:hAnsi="Arial" w:cs="Arial"/>
                                <w:sz w:val="16"/>
                                <w:szCs w:val="16"/>
                                <w:lang w:val="en-US"/>
                              </w:rPr>
                            </w:pPr>
                            <w:r w:rsidRPr="00437538">
                              <w:rPr>
                                <w:rFonts w:ascii="Wingdings 2" w:hAnsi="Wingdings 2" w:cs="Arial"/>
                                <w:color w:val="5B9BD5"/>
                                <w:sz w:val="16"/>
                                <w:szCs w:val="16"/>
                                <w:lang w:val="en-US"/>
                              </w:rPr>
                              <w:t></w:t>
                            </w:r>
                            <w:r>
                              <w:rPr>
                                <w:rFonts w:ascii="Arial" w:hAnsi="Arial" w:cs="Arial"/>
                                <w:sz w:val="16"/>
                                <w:szCs w:val="16"/>
                                <w:lang w:val="en-US"/>
                              </w:rPr>
                              <w:tab/>
                            </w:r>
                            <w:r w:rsidRPr="00437538">
                              <w:rPr>
                                <w:rFonts w:ascii="Arial" w:hAnsi="Arial" w:cs="Arial"/>
                                <w:sz w:val="16"/>
                                <w:szCs w:val="16"/>
                                <w:lang w:val="en-US"/>
                              </w:rPr>
                              <w:t>PJSC “Rosseti”</w:t>
                            </w:r>
                          </w:p>
                          <w:p w14:paraId="5860841E" w14:textId="77777777" w:rsidR="002C3947" w:rsidRPr="00437538" w:rsidRDefault="002C3947" w:rsidP="0032433D">
                            <w:pPr>
                              <w:pStyle w:val="ConsPlusNormal"/>
                              <w:spacing w:before="240"/>
                              <w:ind w:left="210" w:hanging="210"/>
                              <w:rPr>
                                <w:rFonts w:ascii="Arial" w:hAnsi="Arial" w:cs="Arial"/>
                                <w:sz w:val="16"/>
                                <w:szCs w:val="16"/>
                                <w:lang w:val="en-US"/>
                              </w:rPr>
                            </w:pPr>
                            <w:r w:rsidRPr="00437538">
                              <w:rPr>
                                <w:rFonts w:ascii="Wingdings 2" w:hAnsi="Wingdings 2" w:cs="Arial"/>
                                <w:color w:val="ED7D31"/>
                                <w:sz w:val="16"/>
                                <w:szCs w:val="16"/>
                                <w:lang w:val="en-US"/>
                              </w:rPr>
                              <w:t></w:t>
                            </w:r>
                            <w:r>
                              <w:rPr>
                                <w:rFonts w:ascii="Arial" w:hAnsi="Arial" w:cs="Arial"/>
                                <w:sz w:val="16"/>
                                <w:szCs w:val="16"/>
                                <w:lang w:val="en-US"/>
                              </w:rPr>
                              <w:tab/>
                            </w:r>
                            <w:r w:rsidRPr="00437538">
                              <w:rPr>
                                <w:rFonts w:ascii="Arial" w:hAnsi="Arial" w:cs="Arial"/>
                                <w:sz w:val="16"/>
                                <w:szCs w:val="16"/>
                                <w:lang w:val="en-US"/>
                              </w:rPr>
                              <w:t>Saint Petersburg represented by the Property Relations Committee</w:t>
                            </w:r>
                          </w:p>
                          <w:p w14:paraId="09B96368" w14:textId="77777777" w:rsidR="002C3947" w:rsidRPr="00437538" w:rsidRDefault="002C3947" w:rsidP="0032433D">
                            <w:pPr>
                              <w:pStyle w:val="ConsPlusNormal"/>
                              <w:spacing w:before="240"/>
                              <w:ind w:left="210" w:hanging="210"/>
                              <w:rPr>
                                <w:rFonts w:ascii="Arial" w:hAnsi="Arial" w:cs="Arial"/>
                                <w:sz w:val="16"/>
                                <w:szCs w:val="16"/>
                                <w:lang w:val="en-US"/>
                              </w:rPr>
                            </w:pPr>
                            <w:r w:rsidRPr="00437538">
                              <w:rPr>
                                <w:rFonts w:ascii="Wingdings 2" w:hAnsi="Wingdings 2" w:cs="Arial"/>
                                <w:color w:val="A5A5A5"/>
                                <w:sz w:val="16"/>
                                <w:szCs w:val="16"/>
                                <w:lang w:val="en-US"/>
                              </w:rPr>
                              <w:t></w:t>
                            </w:r>
                            <w:r>
                              <w:rPr>
                                <w:rFonts w:ascii="Arial" w:hAnsi="Arial" w:cs="Arial"/>
                                <w:sz w:val="16"/>
                                <w:szCs w:val="16"/>
                                <w:lang w:val="en-US"/>
                              </w:rPr>
                              <w:tab/>
                            </w:r>
                            <w:r w:rsidRPr="00437538">
                              <w:rPr>
                                <w:rFonts w:ascii="Arial" w:hAnsi="Arial" w:cs="Arial"/>
                                <w:sz w:val="16"/>
                                <w:szCs w:val="16"/>
                                <w:lang w:val="en-US"/>
                              </w:rPr>
                              <w:t>IDGC of Urals, OJSC</w:t>
                            </w:r>
                          </w:p>
                          <w:p w14:paraId="2827492D" w14:textId="77777777" w:rsidR="002C3947" w:rsidRPr="00437538" w:rsidRDefault="002C3947" w:rsidP="0032433D">
                            <w:pPr>
                              <w:pStyle w:val="ConsPlusNormal"/>
                              <w:spacing w:before="240"/>
                              <w:ind w:left="210" w:hanging="210"/>
                              <w:rPr>
                                <w:rFonts w:ascii="Arial" w:hAnsi="Arial" w:cs="Arial"/>
                                <w:sz w:val="16"/>
                                <w:szCs w:val="16"/>
                                <w:lang w:val="en-US"/>
                              </w:rPr>
                            </w:pPr>
                            <w:r w:rsidRPr="00437538">
                              <w:rPr>
                                <w:rFonts w:ascii="Wingdings 2" w:hAnsi="Wingdings 2" w:cs="Arial"/>
                                <w:color w:val="FFC000"/>
                                <w:sz w:val="16"/>
                                <w:szCs w:val="16"/>
                                <w:lang w:val="en-US"/>
                              </w:rPr>
                              <w:t></w:t>
                            </w:r>
                            <w:r>
                              <w:rPr>
                                <w:rFonts w:ascii="Arial" w:hAnsi="Arial" w:cs="Arial"/>
                                <w:sz w:val="16"/>
                                <w:szCs w:val="16"/>
                                <w:lang w:val="en-US"/>
                              </w:rPr>
                              <w:tab/>
                            </w:r>
                            <w:r w:rsidRPr="00437538">
                              <w:rPr>
                                <w:rFonts w:ascii="Arial" w:hAnsi="Arial" w:cs="Arial"/>
                                <w:sz w:val="16"/>
                                <w:szCs w:val="16"/>
                                <w:lang w:val="en-US"/>
                              </w:rPr>
                              <w:t>Other</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1E9F94" id="_x0000_s1027" type="#_x0000_t202" style="position:absolute;left:0;text-align:left;margin-left:253.65pt;margin-top:30.95pt;width:144.85pt;height:93.05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" fillcolor="window" stroked="f">
                <v:textbox inset="0,0,0,0">
                  <w:txbxContent>
                    <w:p w14:paraId="08BD11CC" w14:textId="77777777" w:rsidR="002C3947" w:rsidRPr="00437538" w:rsidRDefault="002C3947" w:rsidP="0032433D">
                      <w:pPr>
                        <w:pStyle w:val="ConsPlusNormal"/>
                        <w:ind w:left="210" w:hanging="210"/>
                        <w:rPr>
                          <w:rFonts w:ascii="Arial" w:hAnsi="Arial" w:cs="Arial"/>
                          <w:sz w:val="16"/>
                          <w:szCs w:val="16"/>
                          <w:lang w:val="en-US"/>
                        </w:rPr>
                      </w:pPr>
                      <w:r w:rsidRPr="00437538">
                        <w:rPr>
                          <w:rFonts w:ascii="Wingdings 2" w:hAnsi="Wingdings 2" w:cs="Arial"/>
                          <w:color w:val="5B9BD5"/>
                          <w:sz w:val="16"/>
                          <w:szCs w:val="16"/>
                          <w:lang w:val="en-US"/>
                        </w:rPr>
                        <w:t></w:t>
                      </w:r>
                      <w:r>
                        <w:rPr>
                          <w:rFonts w:ascii="Arial" w:hAnsi="Arial" w:cs="Arial"/>
                          <w:sz w:val="16"/>
                          <w:szCs w:val="16"/>
                          <w:lang w:val="en-US"/>
                        </w:rPr>
                        <w:tab/>
                      </w:r>
                      <w:r w:rsidRPr="00437538">
                        <w:rPr>
                          <w:rFonts w:ascii="Arial" w:hAnsi="Arial" w:cs="Arial"/>
                          <w:sz w:val="16"/>
                          <w:szCs w:val="16"/>
                          <w:lang w:val="en-US"/>
                        </w:rPr>
                        <w:t>PJSC “Rosseti”</w:t>
                      </w:r>
                    </w:p>
                    <w:p w14:paraId="5860841E" w14:textId="77777777" w:rsidR="002C3947" w:rsidRPr="00437538" w:rsidRDefault="002C3947" w:rsidP="0032433D">
                      <w:pPr>
                        <w:pStyle w:val="ConsPlusNormal"/>
                        <w:spacing w:before="240"/>
                        <w:ind w:left="210" w:hanging="210"/>
                        <w:rPr>
                          <w:rFonts w:ascii="Arial" w:hAnsi="Arial" w:cs="Arial"/>
                          <w:sz w:val="16"/>
                          <w:szCs w:val="16"/>
                          <w:lang w:val="en-US"/>
                        </w:rPr>
                      </w:pPr>
                      <w:r w:rsidRPr="00437538">
                        <w:rPr>
                          <w:rFonts w:ascii="Wingdings 2" w:hAnsi="Wingdings 2" w:cs="Arial"/>
                          <w:color w:val="ED7D31"/>
                          <w:sz w:val="16"/>
                          <w:szCs w:val="16"/>
                          <w:lang w:val="en-US"/>
                        </w:rPr>
                        <w:t></w:t>
                      </w:r>
                      <w:r>
                        <w:rPr>
                          <w:rFonts w:ascii="Arial" w:hAnsi="Arial" w:cs="Arial"/>
                          <w:sz w:val="16"/>
                          <w:szCs w:val="16"/>
                          <w:lang w:val="en-US"/>
                        </w:rPr>
                        <w:tab/>
                      </w:r>
                      <w:r w:rsidRPr="00437538">
                        <w:rPr>
                          <w:rFonts w:ascii="Arial" w:hAnsi="Arial" w:cs="Arial"/>
                          <w:sz w:val="16"/>
                          <w:szCs w:val="16"/>
                          <w:lang w:val="en-US"/>
                        </w:rPr>
                        <w:t>Saint Petersburg represented by the Property Relations Committee</w:t>
                      </w:r>
                    </w:p>
                    <w:p w14:paraId="09B96368" w14:textId="77777777" w:rsidR="002C3947" w:rsidRPr="00437538" w:rsidRDefault="002C3947" w:rsidP="0032433D">
                      <w:pPr>
                        <w:pStyle w:val="ConsPlusNormal"/>
                        <w:spacing w:before="240"/>
                        <w:ind w:left="210" w:hanging="210"/>
                        <w:rPr>
                          <w:rFonts w:ascii="Arial" w:hAnsi="Arial" w:cs="Arial"/>
                          <w:sz w:val="16"/>
                          <w:szCs w:val="16"/>
                          <w:lang w:val="en-US"/>
                        </w:rPr>
                      </w:pPr>
                      <w:r w:rsidRPr="00437538">
                        <w:rPr>
                          <w:rFonts w:ascii="Wingdings 2" w:hAnsi="Wingdings 2" w:cs="Arial"/>
                          <w:color w:val="A5A5A5"/>
                          <w:sz w:val="16"/>
                          <w:szCs w:val="16"/>
                          <w:lang w:val="en-US"/>
                        </w:rPr>
                        <w:t></w:t>
                      </w:r>
                      <w:r>
                        <w:rPr>
                          <w:rFonts w:ascii="Arial" w:hAnsi="Arial" w:cs="Arial"/>
                          <w:sz w:val="16"/>
                          <w:szCs w:val="16"/>
                          <w:lang w:val="en-US"/>
                        </w:rPr>
                        <w:tab/>
                      </w:r>
                      <w:r w:rsidRPr="00437538">
                        <w:rPr>
                          <w:rFonts w:ascii="Arial" w:hAnsi="Arial" w:cs="Arial"/>
                          <w:sz w:val="16"/>
                          <w:szCs w:val="16"/>
                          <w:lang w:val="en-US"/>
                        </w:rPr>
                        <w:t>IDGC of Urals, OJSC</w:t>
                      </w:r>
                    </w:p>
                    <w:p w14:paraId="2827492D" w14:textId="77777777" w:rsidR="002C3947" w:rsidRPr="00437538" w:rsidRDefault="002C3947" w:rsidP="0032433D">
                      <w:pPr>
                        <w:pStyle w:val="ConsPlusNormal"/>
                        <w:spacing w:before="240"/>
                        <w:ind w:left="210" w:hanging="210"/>
                        <w:rPr>
                          <w:rFonts w:ascii="Arial" w:hAnsi="Arial" w:cs="Arial"/>
                          <w:sz w:val="16"/>
                          <w:szCs w:val="16"/>
                          <w:lang w:val="en-US"/>
                        </w:rPr>
                      </w:pPr>
                      <w:r w:rsidRPr="00437538">
                        <w:rPr>
                          <w:rFonts w:ascii="Wingdings 2" w:hAnsi="Wingdings 2" w:cs="Arial"/>
                          <w:color w:val="FFC000"/>
                          <w:sz w:val="16"/>
                          <w:szCs w:val="16"/>
                          <w:lang w:val="en-US"/>
                        </w:rPr>
                        <w:t></w:t>
                      </w:r>
                      <w:r>
                        <w:rPr>
                          <w:rFonts w:ascii="Arial" w:hAnsi="Arial" w:cs="Arial"/>
                          <w:sz w:val="16"/>
                          <w:szCs w:val="16"/>
                          <w:lang w:val="en-US"/>
                        </w:rPr>
                        <w:tab/>
                      </w:r>
                      <w:r w:rsidRPr="00437538">
                        <w:rPr>
                          <w:rFonts w:ascii="Arial" w:hAnsi="Arial" w:cs="Arial"/>
                          <w:sz w:val="16"/>
                          <w:szCs w:val="16"/>
                          <w:lang w:val="en-US"/>
                        </w:rPr>
                        <w:t>Other</w:t>
                      </w:r>
                    </w:p>
                  </w:txbxContent>
                </v:textbox>
              </v:shape>
            </w:pict>
          </mc:Fallback>
        </mc:AlternateContent>
      </w:r>
      <w:r w:rsidRPr="00BD295E">
        <w:rPr>
          <w:rFonts w:ascii="Arial" w:hAnsi="Arial" w:cs="Arial"/>
          <w:sz w:val="18"/>
          <w:szCs w:val="18"/>
          <w:lang w:val="en-US"/>
        </w:rPr>
        <w:drawing>
          <wp:inline distT="0" distB="0" distL="0" distR="0" wp14:anchorId="6FAC7717" wp14:editId="77227B4B">
            <wp:extent cx="2276475" cy="1881505"/>
            <wp:effectExtent l="0" t="0" r="0" b="0"/>
            <wp:docPr id="120"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1">
                      <a:extLst>
                        <a:ext uri="{28A0092B-C50C-407E-A947-70E740481C1C}">
                          <a14:useLocalDpi xmlns:a14="http://schemas.microsoft.com/office/drawing/2010/main" val="0"/>
                        </a:ext>
                      </a:extLst>
                    </a:blip>
                    <a:srcRect l="7855" t="17244" r="43321" b="1204"/>
                    <a:stretch>
                      <a:fillRect/>
                    </a:stretch>
                  </pic:blipFill>
                  <pic:spPr bwMode="auto">
                    <a:xfrm>
                      <a:off x="0" y="0"/>
                      <a:ext cx="2276475" cy="1881505"/>
                    </a:xfrm>
                    <a:prstGeom prst="rect">
                      <a:avLst/>
                    </a:prstGeom>
                    <a:noFill/>
                    <a:ln>
                      <a:noFill/>
                    </a:ln>
                  </pic:spPr>
                </pic:pic>
              </a:graphicData>
            </a:graphic>
          </wp:inline>
        </w:drawing>
      </w:r>
    </w:p>
    <w:p w14:paraId="535ECC44" w14:textId="77777777" w:rsidR="00D47352" w:rsidRPr="00BD295E" w:rsidRDefault="00D47352" w:rsidP="00260D12">
      <w:pPr>
        <w:pStyle w:val="ConsPlusNormal"/>
        <w:jc w:val="both"/>
        <w:rPr>
          <w:rFonts w:ascii="Arial" w:hAnsi="Arial" w:cs="Arial"/>
          <w:sz w:val="18"/>
          <w:szCs w:val="18"/>
          <w:lang w:val="en-US"/>
        </w:rPr>
      </w:pPr>
    </w:p>
    <w:p w14:paraId="76CF2CD5" w14:textId="77777777" w:rsidR="00260D12" w:rsidRPr="00BD295E" w:rsidRDefault="008A5057" w:rsidP="00260D12">
      <w:pPr>
        <w:pStyle w:val="ConsPlusNormal"/>
        <w:jc w:val="both"/>
        <w:rPr>
          <w:rFonts w:ascii="Arial" w:hAnsi="Arial" w:cs="Arial"/>
          <w:sz w:val="18"/>
          <w:szCs w:val="18"/>
          <w:lang w:val="en-US"/>
        </w:rPr>
      </w:pPr>
      <w:r w:rsidRPr="00BD295E">
        <w:rPr>
          <w:rFonts w:ascii="Arial" w:hAnsi="Arial" w:cs="Arial"/>
          <w:sz w:val="18"/>
          <w:szCs w:val="18"/>
          <w:lang w:val="en-US"/>
        </w:rPr>
        <w:t xml:space="preserve">Shareholding structure, % of the authorized capital as at the last record date, May 14, 2018 (before 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June 8, 2018), including disclosure of the nominal holder.</w:t>
      </w:r>
    </w:p>
    <w:p w14:paraId="04F7E94F" w14:textId="77777777" w:rsidR="003F6DA4" w:rsidRPr="00BD295E" w:rsidRDefault="003F6DA4" w:rsidP="003F6DA4">
      <w:pPr>
        <w:pStyle w:val="af1"/>
        <w:ind w:firstLine="720"/>
        <w:rPr>
          <w:rFonts w:ascii="Arial" w:hAnsi="Arial" w:cs="Arial"/>
          <w:b/>
          <w:sz w:val="18"/>
          <w:szCs w:val="18"/>
          <w:lang w:val="en-US"/>
        </w:rPr>
      </w:pPr>
    </w:p>
    <w:p w14:paraId="35BE2DFA" w14:textId="77777777" w:rsidR="00260D12" w:rsidRPr="00BD295E" w:rsidRDefault="008A5057" w:rsidP="00260D12">
      <w:pPr>
        <w:pStyle w:val="af3"/>
        <w:jc w:val="both"/>
        <w:rPr>
          <w:rFonts w:ascii="Arial" w:hAnsi="Arial" w:cs="Arial"/>
          <w:b/>
          <w:sz w:val="18"/>
          <w:szCs w:val="18"/>
          <w:lang w:val="en-US"/>
        </w:rPr>
      </w:pPr>
      <w:r w:rsidRPr="00BD295E">
        <w:rPr>
          <w:rFonts w:ascii="Arial" w:hAnsi="Arial" w:cs="Arial"/>
          <w:b/>
          <w:sz w:val="18"/>
          <w:szCs w:val="18"/>
          <w:lang w:val="en-US"/>
        </w:rPr>
        <w:t>Listing and market capitalization</w:t>
      </w:r>
    </w:p>
    <w:p w14:paraId="5BF6A516" w14:textId="77777777" w:rsidR="00260D12" w:rsidRPr="00BD295E" w:rsidRDefault="008A5057" w:rsidP="00260D12">
      <w:pPr>
        <w:ind w:firstLine="708"/>
        <w:rPr>
          <w:rFonts w:ascii="Arial" w:hAnsi="Arial" w:cs="Arial"/>
          <w:sz w:val="18"/>
          <w:szCs w:val="18"/>
          <w:lang w:val="en-US"/>
        </w:rPr>
      </w:pPr>
      <w:r w:rsidRPr="00BD295E">
        <w:rPr>
          <w:rFonts w:ascii="Arial" w:hAnsi="Arial" w:cs="Arial"/>
          <w:sz w:val="18"/>
          <w:szCs w:val="18"/>
          <w:lang w:val="en-US"/>
        </w:rPr>
        <w:t xml:space="preserve">Ordinary and preference shares in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are included in the Level 3 quotation list.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07"/>
        <w:gridCol w:w="1843"/>
        <w:gridCol w:w="2126"/>
        <w:gridCol w:w="1846"/>
      </w:tblGrid>
      <w:tr w:rsidR="008A5057" w:rsidRPr="00BD295E" w14:paraId="1ECF312C" w14:textId="77777777" w:rsidTr="00260D12">
        <w:trPr>
          <w:tblHeader/>
        </w:trPr>
        <w:tc>
          <w:tcPr>
            <w:tcW w:w="3407" w:type="dxa"/>
            <w:tcBorders>
              <w:top w:val="single" w:sz="4" w:space="0" w:color="auto"/>
              <w:left w:val="single" w:sz="4" w:space="0" w:color="auto"/>
              <w:bottom w:val="single" w:sz="4" w:space="0" w:color="auto"/>
              <w:right w:val="single" w:sz="4" w:space="0" w:color="auto"/>
            </w:tcBorders>
            <w:vAlign w:val="center"/>
            <w:hideMark/>
          </w:tcPr>
          <w:p w14:paraId="202831F5"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Title</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1114C3C"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Security code</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FA67788"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Quotation list</w:t>
            </w:r>
          </w:p>
        </w:tc>
        <w:tc>
          <w:tcPr>
            <w:tcW w:w="1846" w:type="dxa"/>
            <w:tcBorders>
              <w:top w:val="single" w:sz="4" w:space="0" w:color="auto"/>
              <w:left w:val="single" w:sz="4" w:space="0" w:color="auto"/>
              <w:bottom w:val="single" w:sz="4" w:space="0" w:color="auto"/>
              <w:right w:val="single" w:sz="4" w:space="0" w:color="auto"/>
            </w:tcBorders>
            <w:vAlign w:val="center"/>
            <w:hideMark/>
          </w:tcPr>
          <w:p w14:paraId="40447F29"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Trading start</w:t>
            </w:r>
          </w:p>
        </w:tc>
      </w:tr>
      <w:tr w:rsidR="002E01BE" w:rsidRPr="00BD295E" w14:paraId="6BF616C7" w14:textId="77777777" w:rsidTr="00260D12">
        <w:tc>
          <w:tcPr>
            <w:tcW w:w="3407" w:type="dxa"/>
            <w:tcBorders>
              <w:top w:val="single" w:sz="4" w:space="0" w:color="auto"/>
              <w:left w:val="single" w:sz="4" w:space="0" w:color="auto"/>
              <w:bottom w:val="single" w:sz="4" w:space="0" w:color="auto"/>
              <w:right w:val="single" w:sz="4" w:space="0" w:color="auto"/>
            </w:tcBorders>
            <w:vAlign w:val="center"/>
            <w:hideMark/>
          </w:tcPr>
          <w:p w14:paraId="0D9E2055"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Ordinary shares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64B0AF7"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LSNG</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7F04E0C"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Level 3</w:t>
            </w:r>
          </w:p>
        </w:tc>
        <w:tc>
          <w:tcPr>
            <w:tcW w:w="1846" w:type="dxa"/>
            <w:tcBorders>
              <w:top w:val="single" w:sz="4" w:space="0" w:color="auto"/>
              <w:left w:val="single" w:sz="4" w:space="0" w:color="auto"/>
              <w:bottom w:val="single" w:sz="4" w:space="0" w:color="auto"/>
              <w:right w:val="single" w:sz="4" w:space="0" w:color="auto"/>
            </w:tcBorders>
            <w:vAlign w:val="center"/>
            <w:hideMark/>
          </w:tcPr>
          <w:p w14:paraId="28EECB32"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July 16, 2003</w:t>
            </w:r>
          </w:p>
        </w:tc>
      </w:tr>
      <w:tr w:rsidR="002E01BE" w:rsidRPr="00BD295E" w14:paraId="16DB846B" w14:textId="77777777" w:rsidTr="00260D12">
        <w:tc>
          <w:tcPr>
            <w:tcW w:w="3407" w:type="dxa"/>
            <w:tcBorders>
              <w:top w:val="single" w:sz="4" w:space="0" w:color="auto"/>
              <w:left w:val="single" w:sz="4" w:space="0" w:color="auto"/>
              <w:bottom w:val="single" w:sz="4" w:space="0" w:color="auto"/>
              <w:right w:val="single" w:sz="4" w:space="0" w:color="auto"/>
            </w:tcBorders>
            <w:vAlign w:val="center"/>
            <w:hideMark/>
          </w:tcPr>
          <w:p w14:paraId="5AD4B36C"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Type A preference shares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CF41C10"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LSNGP</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BE565E2"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Level 3</w:t>
            </w:r>
          </w:p>
        </w:tc>
        <w:tc>
          <w:tcPr>
            <w:tcW w:w="1846" w:type="dxa"/>
            <w:tcBorders>
              <w:top w:val="single" w:sz="4" w:space="0" w:color="auto"/>
              <w:left w:val="single" w:sz="4" w:space="0" w:color="auto"/>
              <w:bottom w:val="single" w:sz="4" w:space="0" w:color="auto"/>
              <w:right w:val="single" w:sz="4" w:space="0" w:color="auto"/>
            </w:tcBorders>
            <w:vAlign w:val="center"/>
            <w:hideMark/>
          </w:tcPr>
          <w:p w14:paraId="1A82614D" w14:textId="77777777" w:rsidR="00260D12" w:rsidRPr="00BD295E" w:rsidRDefault="008A5057" w:rsidP="00260D12">
            <w:pPr>
              <w:ind w:firstLine="5"/>
              <w:rPr>
                <w:rFonts w:ascii="Arial" w:hAnsi="Arial" w:cs="Arial"/>
                <w:sz w:val="18"/>
                <w:szCs w:val="18"/>
                <w:lang w:val="en-US"/>
              </w:rPr>
            </w:pPr>
            <w:r w:rsidRPr="00BD295E">
              <w:rPr>
                <w:rFonts w:ascii="Arial" w:hAnsi="Arial" w:cs="Arial"/>
                <w:sz w:val="18"/>
                <w:szCs w:val="18"/>
                <w:lang w:val="en-US"/>
              </w:rPr>
              <w:t>July 16, 2003</w:t>
            </w:r>
          </w:p>
        </w:tc>
      </w:tr>
    </w:tbl>
    <w:p w14:paraId="7E73AE3F" w14:textId="77777777" w:rsidR="00260D12" w:rsidRPr="00BD295E" w:rsidRDefault="00260D12" w:rsidP="00260D12">
      <w:pPr>
        <w:rPr>
          <w:rFonts w:ascii="Arial" w:hAnsi="Arial" w:cs="Arial"/>
          <w:b/>
          <w:sz w:val="18"/>
          <w:szCs w:val="18"/>
          <w:lang w:val="en-US"/>
        </w:rPr>
      </w:pPr>
    </w:p>
    <w:p w14:paraId="36F09BA0" w14:textId="77777777" w:rsidR="00260D12" w:rsidRPr="00BD295E" w:rsidRDefault="008A5057" w:rsidP="00260D12">
      <w:pPr>
        <w:ind w:firstLine="708"/>
        <w:rPr>
          <w:rFonts w:ascii="Arial" w:hAnsi="Arial" w:cs="Arial"/>
          <w:sz w:val="18"/>
          <w:szCs w:val="18"/>
          <w:lang w:val="en-US"/>
        </w:rPr>
      </w:pPr>
      <w:r w:rsidRPr="00BD295E">
        <w:rPr>
          <w:rFonts w:ascii="Arial" w:hAnsi="Arial" w:cs="Arial"/>
          <w:sz w:val="18"/>
          <w:szCs w:val="18"/>
          <w:lang w:val="en-US"/>
        </w:rPr>
        <w:t>Market capitalization as at December 31, 2018 – RUB 53,682 million</w:t>
      </w:r>
    </w:p>
    <w:p w14:paraId="478F22F7" w14:textId="77777777" w:rsidR="00260D12" w:rsidRPr="00BD295E" w:rsidRDefault="00260D12" w:rsidP="00260D12">
      <w:pPr>
        <w:ind w:firstLine="708"/>
        <w:rPr>
          <w:rFonts w:ascii="Arial" w:hAnsi="Arial" w:cs="Arial"/>
          <w:sz w:val="18"/>
          <w:szCs w:val="18"/>
          <w:lang w:val="en-US"/>
        </w:rPr>
      </w:pPr>
    </w:p>
    <w:p w14:paraId="593D2F67" w14:textId="77777777" w:rsidR="00260D12" w:rsidRPr="00BD295E" w:rsidRDefault="008A5057" w:rsidP="00260D12">
      <w:pPr>
        <w:ind w:firstLine="708"/>
        <w:rPr>
          <w:rFonts w:ascii="Arial" w:hAnsi="Arial" w:cs="Arial"/>
          <w:sz w:val="18"/>
          <w:szCs w:val="18"/>
          <w:lang w:val="en-US"/>
        </w:rPr>
      </w:pPr>
      <w:r w:rsidRPr="00BD295E">
        <w:rPr>
          <w:rFonts w:ascii="Arial" w:hAnsi="Arial" w:cs="Arial"/>
          <w:sz w:val="18"/>
          <w:szCs w:val="18"/>
          <w:lang w:val="en-US"/>
        </w:rPr>
        <w:t>Credit rating</w:t>
      </w:r>
    </w:p>
    <w:p w14:paraId="1B505BCF" w14:textId="77777777" w:rsidR="003F4530" w:rsidRPr="00BD295E" w:rsidRDefault="003F4530" w:rsidP="00260D12">
      <w:pPr>
        <w:ind w:firstLine="708"/>
        <w:rPr>
          <w:rFonts w:ascii="Arial" w:hAnsi="Arial" w:cs="Arial"/>
          <w:sz w:val="18"/>
          <w:szCs w:val="18"/>
          <w:lang w:val="en-US"/>
        </w:rPr>
      </w:pPr>
    </w:p>
    <w:p w14:paraId="74DEE26C" w14:textId="77777777" w:rsidR="003F4530" w:rsidRPr="00BD295E" w:rsidRDefault="008A5057" w:rsidP="00260D12">
      <w:pPr>
        <w:ind w:firstLine="708"/>
        <w:rPr>
          <w:rFonts w:ascii="Arial" w:hAnsi="Arial" w:cs="Arial"/>
          <w:sz w:val="18"/>
          <w:szCs w:val="18"/>
          <w:lang w:val="en-US"/>
        </w:rPr>
      </w:pPr>
      <w:r w:rsidRPr="00BD295E">
        <w:rPr>
          <w:rFonts w:ascii="Arial" w:hAnsi="Arial" w:cs="Arial"/>
          <w:sz w:val="18"/>
          <w:szCs w:val="18"/>
          <w:lang w:val="en-US"/>
        </w:rPr>
        <w:t>As at December 31, 2018:</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31"/>
        <w:gridCol w:w="2351"/>
        <w:gridCol w:w="1849"/>
        <w:gridCol w:w="1659"/>
      </w:tblGrid>
      <w:tr w:rsidR="008A5057" w:rsidRPr="00BD295E" w14:paraId="33D8362A" w14:textId="77777777" w:rsidTr="00E3510B">
        <w:trPr>
          <w:trHeight w:val="1231"/>
          <w:tblHeader/>
          <w:jc w:val="center"/>
        </w:trPr>
        <w:tc>
          <w:tcPr>
            <w:tcW w:w="3131" w:type="dxa"/>
            <w:tcBorders>
              <w:top w:val="single" w:sz="4" w:space="0" w:color="auto"/>
              <w:left w:val="single" w:sz="4" w:space="0" w:color="auto"/>
              <w:right w:val="single" w:sz="4" w:space="0" w:color="auto"/>
            </w:tcBorders>
            <w:shd w:val="clear" w:color="auto" w:fill="auto"/>
            <w:vAlign w:val="center"/>
            <w:hideMark/>
          </w:tcPr>
          <w:p w14:paraId="25A13B5A" w14:textId="77777777" w:rsidR="00260D12"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Agency</w:t>
            </w:r>
          </w:p>
        </w:tc>
        <w:tc>
          <w:tcPr>
            <w:tcW w:w="2351" w:type="dxa"/>
            <w:tcBorders>
              <w:top w:val="single" w:sz="4" w:space="0" w:color="auto"/>
              <w:left w:val="single" w:sz="4" w:space="0" w:color="auto"/>
              <w:right w:val="single" w:sz="4" w:space="0" w:color="auto"/>
            </w:tcBorders>
            <w:shd w:val="clear" w:color="auto" w:fill="auto"/>
            <w:vAlign w:val="center"/>
            <w:hideMark/>
          </w:tcPr>
          <w:p w14:paraId="356EB7C0" w14:textId="77777777" w:rsidR="00260D12" w:rsidRPr="00BD295E" w:rsidRDefault="00260D12" w:rsidP="00E3510B">
            <w:pPr>
              <w:jc w:val="center"/>
              <w:rPr>
                <w:rFonts w:ascii="Arial" w:hAnsi="Arial" w:cs="Arial"/>
                <w:b/>
                <w:sz w:val="18"/>
                <w:szCs w:val="18"/>
                <w:lang w:val="en-US"/>
              </w:rPr>
            </w:pPr>
          </w:p>
          <w:p w14:paraId="738C023C" w14:textId="77777777" w:rsidR="00260D12"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International rating</w:t>
            </w:r>
          </w:p>
        </w:tc>
        <w:tc>
          <w:tcPr>
            <w:tcW w:w="1849" w:type="dxa"/>
            <w:tcBorders>
              <w:top w:val="single" w:sz="4" w:space="0" w:color="auto"/>
              <w:left w:val="single" w:sz="4" w:space="0" w:color="auto"/>
              <w:right w:val="single" w:sz="4" w:space="0" w:color="auto"/>
            </w:tcBorders>
            <w:shd w:val="clear" w:color="auto" w:fill="auto"/>
            <w:vAlign w:val="center"/>
          </w:tcPr>
          <w:p w14:paraId="5D3EAE8F" w14:textId="77777777" w:rsidR="00DD7517"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Date of assignment/</w:t>
            </w:r>
          </w:p>
          <w:p w14:paraId="48BB7A0B" w14:textId="77777777" w:rsidR="00260D12"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Valid until</w:t>
            </w:r>
          </w:p>
        </w:tc>
        <w:tc>
          <w:tcPr>
            <w:tcW w:w="1659" w:type="dxa"/>
            <w:tcBorders>
              <w:top w:val="single" w:sz="4" w:space="0" w:color="auto"/>
              <w:left w:val="single" w:sz="4" w:space="0" w:color="auto"/>
              <w:right w:val="single" w:sz="4" w:space="0" w:color="auto"/>
            </w:tcBorders>
            <w:shd w:val="clear" w:color="auto" w:fill="auto"/>
            <w:vAlign w:val="center"/>
          </w:tcPr>
          <w:p w14:paraId="5B45C685" w14:textId="77777777" w:rsidR="00260D12" w:rsidRPr="00BD295E" w:rsidRDefault="00260D12" w:rsidP="00E3510B">
            <w:pPr>
              <w:jc w:val="center"/>
              <w:rPr>
                <w:rFonts w:ascii="Arial" w:hAnsi="Arial" w:cs="Arial"/>
                <w:b/>
                <w:sz w:val="18"/>
                <w:szCs w:val="18"/>
                <w:lang w:val="en-US"/>
              </w:rPr>
            </w:pPr>
          </w:p>
          <w:p w14:paraId="1EDDC3F2" w14:textId="77777777" w:rsidR="00260D12" w:rsidRPr="00BD295E" w:rsidRDefault="00260D12" w:rsidP="00E3510B">
            <w:pPr>
              <w:jc w:val="center"/>
              <w:rPr>
                <w:rFonts w:ascii="Arial" w:hAnsi="Arial" w:cs="Arial"/>
                <w:b/>
                <w:sz w:val="18"/>
                <w:szCs w:val="18"/>
                <w:lang w:val="en-US"/>
              </w:rPr>
            </w:pPr>
          </w:p>
          <w:p w14:paraId="3CB2D668" w14:textId="77777777" w:rsidR="00260D12"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Outlook</w:t>
            </w:r>
          </w:p>
        </w:tc>
      </w:tr>
      <w:tr w:rsidR="008A5057" w:rsidRPr="00BD295E" w14:paraId="043AFDB0" w14:textId="77777777" w:rsidTr="00E3510B">
        <w:trPr>
          <w:trHeight w:val="519"/>
          <w:jc w:val="center"/>
        </w:trPr>
        <w:tc>
          <w:tcPr>
            <w:tcW w:w="3131" w:type="dxa"/>
            <w:tcBorders>
              <w:top w:val="single" w:sz="4" w:space="0" w:color="auto"/>
              <w:left w:val="single" w:sz="4" w:space="0" w:color="auto"/>
              <w:right w:val="single" w:sz="4" w:space="0" w:color="auto"/>
            </w:tcBorders>
            <w:shd w:val="clear" w:color="auto" w:fill="auto"/>
            <w:vAlign w:val="center"/>
            <w:hideMark/>
          </w:tcPr>
          <w:p w14:paraId="08A2AFB2" w14:textId="77777777" w:rsidR="00260D12"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Moody’s Investors Service</w:t>
            </w:r>
          </w:p>
        </w:tc>
        <w:tc>
          <w:tcPr>
            <w:tcW w:w="2351" w:type="dxa"/>
            <w:tcBorders>
              <w:top w:val="single" w:sz="4" w:space="0" w:color="auto"/>
              <w:left w:val="single" w:sz="4" w:space="0" w:color="auto"/>
              <w:right w:val="single" w:sz="4" w:space="0" w:color="auto"/>
            </w:tcBorders>
            <w:shd w:val="clear" w:color="auto" w:fill="auto"/>
            <w:vAlign w:val="center"/>
            <w:hideMark/>
          </w:tcPr>
          <w:p w14:paraId="643AE93F" w14:textId="77777777" w:rsidR="00260D12" w:rsidRPr="00BD295E" w:rsidRDefault="00260D12" w:rsidP="00E3510B">
            <w:pPr>
              <w:jc w:val="center"/>
              <w:rPr>
                <w:rFonts w:ascii="Arial" w:hAnsi="Arial" w:cs="Arial"/>
                <w:sz w:val="18"/>
                <w:szCs w:val="18"/>
                <w:lang w:val="en-US"/>
              </w:rPr>
            </w:pPr>
          </w:p>
          <w:p w14:paraId="43130ED2" w14:textId="77777777" w:rsidR="00260D12"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Ba1</w:t>
            </w:r>
          </w:p>
          <w:p w14:paraId="4D2C6E92" w14:textId="77777777" w:rsidR="00260D12" w:rsidRPr="00BD295E" w:rsidRDefault="00260D12" w:rsidP="00E3510B">
            <w:pPr>
              <w:jc w:val="center"/>
              <w:rPr>
                <w:rFonts w:ascii="Arial" w:hAnsi="Arial" w:cs="Arial"/>
                <w:sz w:val="18"/>
                <w:szCs w:val="18"/>
                <w:lang w:val="en-US"/>
              </w:rPr>
            </w:pPr>
          </w:p>
        </w:tc>
        <w:tc>
          <w:tcPr>
            <w:tcW w:w="1849" w:type="dxa"/>
            <w:tcBorders>
              <w:top w:val="single" w:sz="4" w:space="0" w:color="auto"/>
              <w:left w:val="single" w:sz="4" w:space="0" w:color="auto"/>
              <w:right w:val="single" w:sz="4" w:space="0" w:color="auto"/>
            </w:tcBorders>
            <w:shd w:val="clear" w:color="auto" w:fill="auto"/>
            <w:vAlign w:val="center"/>
          </w:tcPr>
          <w:p w14:paraId="3C9AC08A" w14:textId="77777777" w:rsidR="00260D12"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December 7, 2017</w:t>
            </w:r>
          </w:p>
        </w:tc>
        <w:tc>
          <w:tcPr>
            <w:tcW w:w="1659" w:type="dxa"/>
            <w:tcBorders>
              <w:top w:val="single" w:sz="4" w:space="0" w:color="auto"/>
              <w:left w:val="single" w:sz="4" w:space="0" w:color="auto"/>
            </w:tcBorders>
            <w:shd w:val="clear" w:color="auto" w:fill="auto"/>
            <w:vAlign w:val="center"/>
          </w:tcPr>
          <w:p w14:paraId="17D93E62" w14:textId="77777777" w:rsidR="00260D12"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Stable</w:t>
            </w:r>
          </w:p>
        </w:tc>
      </w:tr>
      <w:tr w:rsidR="008A5057" w:rsidRPr="00BD295E" w14:paraId="408C19C5" w14:textId="77777777" w:rsidTr="00E3510B">
        <w:trPr>
          <w:trHeight w:val="551"/>
          <w:jc w:val="center"/>
        </w:trPr>
        <w:tc>
          <w:tcPr>
            <w:tcW w:w="3131" w:type="dxa"/>
            <w:tcBorders>
              <w:left w:val="single" w:sz="4" w:space="0" w:color="auto"/>
              <w:right w:val="single" w:sz="4" w:space="0" w:color="auto"/>
            </w:tcBorders>
            <w:shd w:val="clear" w:color="auto" w:fill="auto"/>
            <w:vAlign w:val="center"/>
          </w:tcPr>
          <w:p w14:paraId="6622F25F" w14:textId="77777777" w:rsidR="00260D12"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ACRA</w:t>
            </w:r>
          </w:p>
        </w:tc>
        <w:tc>
          <w:tcPr>
            <w:tcW w:w="2351" w:type="dxa"/>
            <w:tcBorders>
              <w:left w:val="single" w:sz="4" w:space="0" w:color="auto"/>
              <w:right w:val="single" w:sz="4" w:space="0" w:color="auto"/>
            </w:tcBorders>
            <w:shd w:val="clear" w:color="auto" w:fill="auto"/>
            <w:vAlign w:val="center"/>
          </w:tcPr>
          <w:p w14:paraId="65B91182" w14:textId="60045504" w:rsidR="00260D12" w:rsidRPr="00BD295E" w:rsidRDefault="00260D12" w:rsidP="00E3510B">
            <w:pPr>
              <w:jc w:val="center"/>
              <w:rPr>
                <w:rFonts w:ascii="Arial" w:hAnsi="Arial" w:cs="Arial"/>
                <w:sz w:val="18"/>
                <w:szCs w:val="18"/>
                <w:lang w:val="en-US"/>
              </w:rPr>
            </w:pPr>
          </w:p>
          <w:p w14:paraId="07E190C1" w14:textId="77777777" w:rsidR="00260D12"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АА+</w:t>
            </w:r>
          </w:p>
          <w:p w14:paraId="737AFE7F" w14:textId="77777777" w:rsidR="00260D12" w:rsidRPr="00BD295E" w:rsidRDefault="00260D12" w:rsidP="00E3510B">
            <w:pPr>
              <w:jc w:val="center"/>
              <w:rPr>
                <w:rFonts w:ascii="Arial" w:hAnsi="Arial" w:cs="Arial"/>
                <w:sz w:val="18"/>
                <w:szCs w:val="18"/>
                <w:lang w:val="en-US"/>
              </w:rPr>
            </w:pPr>
          </w:p>
        </w:tc>
        <w:tc>
          <w:tcPr>
            <w:tcW w:w="1849" w:type="dxa"/>
            <w:tcBorders>
              <w:left w:val="single" w:sz="4" w:space="0" w:color="auto"/>
              <w:right w:val="single" w:sz="4" w:space="0" w:color="auto"/>
            </w:tcBorders>
            <w:shd w:val="clear" w:color="auto" w:fill="auto"/>
            <w:vAlign w:val="center"/>
          </w:tcPr>
          <w:p w14:paraId="50824BCA" w14:textId="77777777" w:rsidR="00260D12"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April 11, 2018</w:t>
            </w:r>
          </w:p>
        </w:tc>
        <w:tc>
          <w:tcPr>
            <w:tcW w:w="1659" w:type="dxa"/>
            <w:tcBorders>
              <w:left w:val="single" w:sz="4" w:space="0" w:color="auto"/>
              <w:right w:val="single" w:sz="4" w:space="0" w:color="auto"/>
            </w:tcBorders>
            <w:shd w:val="clear" w:color="auto" w:fill="auto"/>
            <w:vAlign w:val="center"/>
          </w:tcPr>
          <w:p w14:paraId="31A275C0" w14:textId="77777777" w:rsidR="00260D12"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Stable</w:t>
            </w:r>
          </w:p>
        </w:tc>
      </w:tr>
    </w:tbl>
    <w:p w14:paraId="59C57E4B" w14:textId="77777777" w:rsidR="00714CBE" w:rsidRPr="00BD295E" w:rsidRDefault="00714CBE" w:rsidP="00260D12">
      <w:pPr>
        <w:ind w:firstLine="708"/>
        <w:jc w:val="both"/>
        <w:rPr>
          <w:rFonts w:ascii="Arial" w:hAnsi="Arial" w:cs="Arial"/>
          <w:sz w:val="18"/>
          <w:szCs w:val="18"/>
          <w:lang w:val="en-US"/>
        </w:rPr>
      </w:pPr>
    </w:p>
    <w:p w14:paraId="088AFA63" w14:textId="77777777" w:rsidR="00260D12" w:rsidRPr="00BD295E" w:rsidRDefault="008A5057" w:rsidP="00260D12">
      <w:pPr>
        <w:ind w:firstLine="708"/>
        <w:jc w:val="both"/>
        <w:rPr>
          <w:rFonts w:ascii="Arial" w:hAnsi="Arial" w:cs="Arial"/>
          <w:sz w:val="18"/>
          <w:szCs w:val="18"/>
          <w:lang w:val="en-US"/>
        </w:rPr>
      </w:pPr>
      <w:r w:rsidRPr="00BD295E">
        <w:rPr>
          <w:rFonts w:ascii="Arial" w:hAnsi="Arial" w:cs="Arial"/>
          <w:sz w:val="18"/>
          <w:szCs w:val="18"/>
          <w:lang w:val="en-US"/>
        </w:rPr>
        <w:t xml:space="preserve">In April 2018, the ACRA rating agency assigned an AA+ credit rating to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with a stable outlook. </w:t>
      </w:r>
    </w:p>
    <w:p w14:paraId="56B45419" w14:textId="77777777" w:rsidR="00E638C6" w:rsidRPr="00BD295E" w:rsidRDefault="008A5057" w:rsidP="00714CBE">
      <w:pPr>
        <w:ind w:firstLine="708"/>
        <w:jc w:val="both"/>
        <w:rPr>
          <w:rFonts w:ascii="Arial" w:hAnsi="Arial" w:cs="Arial"/>
          <w:b/>
          <w:sz w:val="18"/>
          <w:szCs w:val="18"/>
          <w:lang w:val="en-US"/>
        </w:rPr>
      </w:pPr>
      <w:r w:rsidRPr="00BD295E">
        <w:rPr>
          <w:rFonts w:ascii="Arial" w:hAnsi="Arial" w:cs="Arial"/>
          <w:b/>
          <w:sz w:val="18"/>
          <w:szCs w:val="18"/>
          <w:lang w:val="en-US"/>
        </w:rPr>
        <w:t xml:space="preserve">Event after the reporting date: </w:t>
      </w:r>
    </w:p>
    <w:p w14:paraId="5F0B1C65" w14:textId="77777777" w:rsidR="00E638C6" w:rsidRPr="00BD295E" w:rsidRDefault="008A5057" w:rsidP="00714CBE">
      <w:pPr>
        <w:ind w:firstLine="708"/>
        <w:jc w:val="both"/>
        <w:rPr>
          <w:rFonts w:ascii="Arial" w:hAnsi="Arial" w:cs="Arial"/>
          <w:sz w:val="18"/>
          <w:szCs w:val="18"/>
          <w:lang w:val="en-US"/>
        </w:rPr>
      </w:pPr>
      <w:r w:rsidRPr="00BD295E">
        <w:rPr>
          <w:rFonts w:ascii="Arial" w:hAnsi="Arial" w:cs="Arial"/>
          <w:sz w:val="18"/>
          <w:szCs w:val="18"/>
          <w:lang w:val="en-US"/>
        </w:rPr>
        <w:t>On March 26, 2019, ACRA upgraded Lenenergo’s credit rating to AAA(RU) with a stable outlook, which is the highest rating on ACRA’s scale</w:t>
      </w:r>
    </w:p>
    <w:p w14:paraId="484D3C50" w14:textId="77777777" w:rsidR="00E638C6" w:rsidRPr="00BD295E" w:rsidRDefault="00E638C6" w:rsidP="00260D12">
      <w:pPr>
        <w:ind w:firstLine="708"/>
        <w:jc w:val="both"/>
        <w:rPr>
          <w:rFonts w:ascii="Arial" w:hAnsi="Arial" w:cs="Arial"/>
          <w:sz w:val="18"/>
          <w:szCs w:val="18"/>
          <w:lang w:val="en-US"/>
        </w:rPr>
      </w:pPr>
    </w:p>
    <w:p w14:paraId="560F98EF" w14:textId="77777777" w:rsidR="003F6DA4" w:rsidRPr="00BD295E" w:rsidRDefault="008A5057" w:rsidP="003F6DA4">
      <w:pPr>
        <w:ind w:firstLine="709"/>
        <w:contextualSpacing/>
        <w:rPr>
          <w:rFonts w:ascii="Arial" w:hAnsi="Arial" w:cs="Arial"/>
          <w:sz w:val="18"/>
          <w:szCs w:val="18"/>
          <w:lang w:val="en-US"/>
        </w:rPr>
      </w:pPr>
      <w:r w:rsidRPr="00BD295E">
        <w:rPr>
          <w:rFonts w:ascii="Arial" w:hAnsi="Arial" w:cs="Arial"/>
          <w:sz w:val="18"/>
          <w:szCs w:val="18"/>
          <w:lang w:val="en-US"/>
        </w:rPr>
        <w:t xml:space="preserve">Key performance indicators of the Company for five years </w:t>
      </w:r>
    </w:p>
    <w:tbl>
      <w:tblPr>
        <w:tblW w:w="9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95"/>
        <w:gridCol w:w="1179"/>
        <w:gridCol w:w="946"/>
        <w:gridCol w:w="977"/>
        <w:gridCol w:w="900"/>
        <w:gridCol w:w="881"/>
        <w:gridCol w:w="967"/>
        <w:gridCol w:w="1124"/>
      </w:tblGrid>
      <w:tr w:rsidR="008A5057" w:rsidRPr="00BD295E" w14:paraId="7775CC3C" w14:textId="77777777" w:rsidTr="00B6068A">
        <w:trPr>
          <w:trHeight w:val="757"/>
          <w:tblHeader/>
          <w:jc w:val="center"/>
        </w:trPr>
        <w:tc>
          <w:tcPr>
            <w:tcW w:w="2495" w:type="dxa"/>
            <w:shd w:val="clear" w:color="auto" w:fill="auto"/>
            <w:tcMar>
              <w:top w:w="13" w:type="dxa"/>
              <w:left w:w="105" w:type="dxa"/>
              <w:bottom w:w="0" w:type="dxa"/>
              <w:right w:w="105" w:type="dxa"/>
            </w:tcMar>
            <w:vAlign w:val="center"/>
            <w:hideMark/>
          </w:tcPr>
          <w:p w14:paraId="2F6AFACB" w14:textId="77777777" w:rsidR="00E638C6" w:rsidRPr="00BD295E" w:rsidRDefault="008A5057" w:rsidP="00B6068A">
            <w:pPr>
              <w:jc w:val="both"/>
              <w:rPr>
                <w:rFonts w:ascii="Arial" w:hAnsi="Arial" w:cs="Arial"/>
                <w:sz w:val="18"/>
                <w:szCs w:val="18"/>
                <w:lang w:val="en-US"/>
              </w:rPr>
            </w:pPr>
            <w:bookmarkStart w:id="25" w:name="_Toc410809499"/>
            <w:bookmarkStart w:id="26" w:name="_Toc473737568"/>
            <w:bookmarkStart w:id="27" w:name="_Toc473897966"/>
            <w:bookmarkStart w:id="28" w:name="_Toc473898391"/>
            <w:bookmarkStart w:id="29" w:name="_Toc473904663"/>
            <w:bookmarkStart w:id="30" w:name="_Toc473921923"/>
            <w:r w:rsidRPr="00BD295E">
              <w:rPr>
                <w:rFonts w:ascii="Arial" w:hAnsi="Arial" w:cs="Arial"/>
                <w:b/>
                <w:bCs/>
                <w:sz w:val="18"/>
                <w:szCs w:val="18"/>
                <w:lang w:val="en-US"/>
              </w:rPr>
              <w:t>Indicator</w:t>
            </w:r>
            <w:r w:rsidRPr="00BD295E">
              <w:rPr>
                <w:rFonts w:ascii="Arial" w:hAnsi="Arial" w:cs="Arial"/>
                <w:sz w:val="18"/>
                <w:szCs w:val="18"/>
                <w:lang w:val="en-US"/>
              </w:rPr>
              <w:t xml:space="preserve"> </w:t>
            </w:r>
          </w:p>
        </w:tc>
        <w:tc>
          <w:tcPr>
            <w:tcW w:w="1179" w:type="dxa"/>
            <w:shd w:val="clear" w:color="auto" w:fill="auto"/>
            <w:tcMar>
              <w:top w:w="13" w:type="dxa"/>
              <w:left w:w="105" w:type="dxa"/>
              <w:bottom w:w="0" w:type="dxa"/>
              <w:right w:w="105" w:type="dxa"/>
            </w:tcMar>
            <w:vAlign w:val="center"/>
            <w:hideMark/>
          </w:tcPr>
          <w:p w14:paraId="3623FBCA" w14:textId="77777777" w:rsidR="00E638C6" w:rsidRPr="00BD295E" w:rsidRDefault="008A5057" w:rsidP="00B6068A">
            <w:pPr>
              <w:jc w:val="center"/>
              <w:rPr>
                <w:rFonts w:ascii="Arial" w:hAnsi="Arial" w:cs="Arial"/>
                <w:sz w:val="18"/>
                <w:szCs w:val="18"/>
                <w:lang w:val="en-US"/>
              </w:rPr>
            </w:pPr>
            <w:r w:rsidRPr="00BD295E">
              <w:rPr>
                <w:rFonts w:ascii="Arial" w:hAnsi="Arial" w:cs="Arial"/>
                <w:b/>
                <w:bCs/>
                <w:sz w:val="18"/>
                <w:szCs w:val="18"/>
                <w:lang w:val="en-US"/>
              </w:rPr>
              <w:t>UoM</w:t>
            </w:r>
          </w:p>
        </w:tc>
        <w:tc>
          <w:tcPr>
            <w:tcW w:w="946" w:type="dxa"/>
            <w:shd w:val="clear" w:color="auto" w:fill="auto"/>
            <w:tcMar>
              <w:top w:w="13" w:type="dxa"/>
              <w:left w:w="105" w:type="dxa"/>
              <w:bottom w:w="0" w:type="dxa"/>
              <w:right w:w="105" w:type="dxa"/>
            </w:tcMar>
            <w:vAlign w:val="center"/>
          </w:tcPr>
          <w:p w14:paraId="1D7F3725" w14:textId="77777777" w:rsidR="00E638C6" w:rsidRPr="00BD295E" w:rsidRDefault="008A5057" w:rsidP="00B6068A">
            <w:pPr>
              <w:jc w:val="center"/>
              <w:rPr>
                <w:rFonts w:ascii="Arial" w:hAnsi="Arial" w:cs="Arial"/>
                <w:b/>
                <w:sz w:val="18"/>
                <w:szCs w:val="18"/>
                <w:lang w:val="en-US"/>
              </w:rPr>
            </w:pPr>
            <w:r w:rsidRPr="00BD295E">
              <w:rPr>
                <w:rFonts w:ascii="Arial" w:hAnsi="Arial" w:cs="Arial"/>
                <w:b/>
                <w:sz w:val="18"/>
                <w:szCs w:val="18"/>
                <w:lang w:val="en-US"/>
              </w:rPr>
              <w:t>2014</w:t>
            </w:r>
          </w:p>
        </w:tc>
        <w:tc>
          <w:tcPr>
            <w:tcW w:w="977" w:type="dxa"/>
            <w:shd w:val="clear" w:color="auto" w:fill="auto"/>
            <w:tcMar>
              <w:top w:w="13" w:type="dxa"/>
              <w:left w:w="105" w:type="dxa"/>
              <w:bottom w:w="0" w:type="dxa"/>
              <w:right w:w="105" w:type="dxa"/>
            </w:tcMar>
            <w:vAlign w:val="center"/>
          </w:tcPr>
          <w:p w14:paraId="34735A36" w14:textId="77777777" w:rsidR="00E638C6" w:rsidRPr="00BD295E" w:rsidRDefault="008A5057" w:rsidP="00B6068A">
            <w:pPr>
              <w:jc w:val="center"/>
              <w:rPr>
                <w:rFonts w:ascii="Arial" w:hAnsi="Arial" w:cs="Arial"/>
                <w:b/>
                <w:sz w:val="18"/>
                <w:szCs w:val="18"/>
                <w:lang w:val="en-US"/>
              </w:rPr>
            </w:pPr>
            <w:r w:rsidRPr="00BD295E">
              <w:rPr>
                <w:rFonts w:ascii="Arial" w:hAnsi="Arial" w:cs="Arial"/>
                <w:b/>
                <w:sz w:val="18"/>
                <w:szCs w:val="18"/>
                <w:lang w:val="en-US"/>
              </w:rPr>
              <w:t>2015</w:t>
            </w:r>
          </w:p>
        </w:tc>
        <w:tc>
          <w:tcPr>
            <w:tcW w:w="900" w:type="dxa"/>
            <w:shd w:val="clear" w:color="auto" w:fill="auto"/>
            <w:tcMar>
              <w:top w:w="13" w:type="dxa"/>
              <w:left w:w="108" w:type="dxa"/>
              <w:bottom w:w="0" w:type="dxa"/>
              <w:right w:w="108" w:type="dxa"/>
            </w:tcMar>
            <w:vAlign w:val="center"/>
          </w:tcPr>
          <w:p w14:paraId="4858A64E" w14:textId="77777777" w:rsidR="00E638C6" w:rsidRPr="00BD295E" w:rsidRDefault="008A5057" w:rsidP="00B6068A">
            <w:pPr>
              <w:jc w:val="center"/>
              <w:rPr>
                <w:rFonts w:ascii="Arial" w:hAnsi="Arial" w:cs="Arial"/>
                <w:b/>
                <w:sz w:val="18"/>
                <w:szCs w:val="18"/>
                <w:lang w:val="en-US"/>
              </w:rPr>
            </w:pPr>
            <w:r w:rsidRPr="00BD295E">
              <w:rPr>
                <w:rFonts w:ascii="Arial" w:hAnsi="Arial" w:cs="Arial"/>
                <w:b/>
                <w:sz w:val="18"/>
                <w:szCs w:val="18"/>
                <w:lang w:val="en-US"/>
              </w:rPr>
              <w:t>2016</w:t>
            </w:r>
          </w:p>
        </w:tc>
        <w:tc>
          <w:tcPr>
            <w:tcW w:w="881" w:type="dxa"/>
            <w:shd w:val="clear" w:color="auto" w:fill="auto"/>
            <w:vAlign w:val="center"/>
          </w:tcPr>
          <w:p w14:paraId="0BF0CC44" w14:textId="77777777" w:rsidR="00E638C6" w:rsidRPr="00BD295E" w:rsidRDefault="008A5057" w:rsidP="00B6068A">
            <w:pPr>
              <w:jc w:val="center"/>
              <w:rPr>
                <w:rFonts w:ascii="Arial" w:hAnsi="Arial" w:cs="Arial"/>
                <w:b/>
                <w:sz w:val="18"/>
                <w:szCs w:val="18"/>
                <w:lang w:val="en-US"/>
              </w:rPr>
            </w:pPr>
            <w:r w:rsidRPr="00BD295E">
              <w:rPr>
                <w:rFonts w:ascii="Arial" w:hAnsi="Arial" w:cs="Arial"/>
                <w:b/>
                <w:sz w:val="18"/>
                <w:szCs w:val="18"/>
                <w:lang w:val="en-US"/>
              </w:rPr>
              <w:t>2017</w:t>
            </w:r>
          </w:p>
        </w:tc>
        <w:tc>
          <w:tcPr>
            <w:tcW w:w="967" w:type="dxa"/>
            <w:shd w:val="clear" w:color="auto" w:fill="auto"/>
            <w:vAlign w:val="center"/>
          </w:tcPr>
          <w:p w14:paraId="2FD8FC95" w14:textId="77777777" w:rsidR="00E638C6" w:rsidRPr="00BD295E" w:rsidRDefault="008A5057" w:rsidP="00B6068A">
            <w:pPr>
              <w:jc w:val="center"/>
              <w:rPr>
                <w:rFonts w:ascii="Arial" w:hAnsi="Arial" w:cs="Arial"/>
                <w:b/>
                <w:sz w:val="18"/>
                <w:szCs w:val="18"/>
                <w:lang w:val="en-US"/>
              </w:rPr>
            </w:pPr>
            <w:r w:rsidRPr="00BD295E">
              <w:rPr>
                <w:rFonts w:ascii="Arial" w:hAnsi="Arial" w:cs="Arial"/>
                <w:b/>
                <w:sz w:val="18"/>
                <w:szCs w:val="18"/>
                <w:lang w:val="en-US"/>
              </w:rPr>
              <w:t>2018</w:t>
            </w:r>
          </w:p>
        </w:tc>
        <w:tc>
          <w:tcPr>
            <w:tcW w:w="1124" w:type="dxa"/>
            <w:shd w:val="clear" w:color="auto" w:fill="auto"/>
            <w:tcMar>
              <w:top w:w="13" w:type="dxa"/>
              <w:left w:w="108" w:type="dxa"/>
              <w:bottom w:w="0" w:type="dxa"/>
              <w:right w:w="108" w:type="dxa"/>
            </w:tcMar>
          </w:tcPr>
          <w:p w14:paraId="325EBC97" w14:textId="77777777" w:rsidR="00E638C6" w:rsidRPr="00BD295E" w:rsidRDefault="00C064D1" w:rsidP="00B6068A">
            <w:pPr>
              <w:jc w:val="center"/>
              <w:rPr>
                <w:rFonts w:ascii="Arial" w:hAnsi="Arial" w:cs="Arial"/>
                <w:b/>
                <w:sz w:val="18"/>
                <w:szCs w:val="18"/>
                <w:lang w:val="en-US"/>
              </w:rPr>
            </w:pPr>
            <w:r w:rsidRPr="00BD295E">
              <w:rPr>
                <w:rFonts w:ascii="Arial" w:hAnsi="Arial" w:cs="Arial"/>
                <w:b/>
                <w:sz w:val="18"/>
                <w:szCs w:val="18"/>
                <w:lang w:val="en-US"/>
              </w:rPr>
              <w:t>2018 vs. 2017</w:t>
            </w:r>
            <w:r w:rsidR="008A5057" w:rsidRPr="00BD295E">
              <w:rPr>
                <w:rFonts w:ascii="Arial" w:hAnsi="Arial" w:cs="Arial"/>
                <w:b/>
                <w:sz w:val="18"/>
                <w:szCs w:val="18"/>
                <w:lang w:val="en-US"/>
              </w:rPr>
              <w:t>, % (unless otherwise specified below)</w:t>
            </w:r>
          </w:p>
        </w:tc>
      </w:tr>
      <w:tr w:rsidR="002E01BE" w:rsidRPr="00BD295E" w14:paraId="7A5DE4EC" w14:textId="77777777" w:rsidTr="003F6DA4">
        <w:trPr>
          <w:trHeight w:val="500"/>
          <w:jc w:val="center"/>
        </w:trPr>
        <w:tc>
          <w:tcPr>
            <w:tcW w:w="2495" w:type="dxa"/>
            <w:shd w:val="clear" w:color="auto" w:fill="auto"/>
            <w:tcMar>
              <w:top w:w="13" w:type="dxa"/>
              <w:left w:w="105" w:type="dxa"/>
              <w:bottom w:w="0" w:type="dxa"/>
              <w:right w:w="105" w:type="dxa"/>
            </w:tcMar>
            <w:vAlign w:val="center"/>
            <w:hideMark/>
          </w:tcPr>
          <w:p w14:paraId="7D2922C3"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Electricity distribution services</w:t>
            </w:r>
          </w:p>
        </w:tc>
        <w:tc>
          <w:tcPr>
            <w:tcW w:w="1179" w:type="dxa"/>
            <w:shd w:val="clear" w:color="auto" w:fill="auto"/>
            <w:tcMar>
              <w:top w:w="13" w:type="dxa"/>
              <w:left w:w="105" w:type="dxa"/>
              <w:bottom w:w="0" w:type="dxa"/>
              <w:right w:w="105" w:type="dxa"/>
            </w:tcMar>
            <w:vAlign w:val="center"/>
            <w:hideMark/>
          </w:tcPr>
          <w:p w14:paraId="2E27948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million kWh</w:t>
            </w:r>
          </w:p>
        </w:tc>
        <w:tc>
          <w:tcPr>
            <w:tcW w:w="946" w:type="dxa"/>
            <w:shd w:val="clear" w:color="auto" w:fill="auto"/>
            <w:tcMar>
              <w:top w:w="13" w:type="dxa"/>
              <w:left w:w="105" w:type="dxa"/>
              <w:bottom w:w="0" w:type="dxa"/>
              <w:right w:w="105" w:type="dxa"/>
            </w:tcMar>
            <w:vAlign w:val="center"/>
          </w:tcPr>
          <w:p w14:paraId="3F7A5C28"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28,680</w:t>
            </w:r>
          </w:p>
        </w:tc>
        <w:tc>
          <w:tcPr>
            <w:tcW w:w="977" w:type="dxa"/>
            <w:shd w:val="clear" w:color="auto" w:fill="auto"/>
            <w:tcMar>
              <w:top w:w="13" w:type="dxa"/>
              <w:left w:w="105" w:type="dxa"/>
              <w:bottom w:w="0" w:type="dxa"/>
              <w:right w:w="105" w:type="dxa"/>
            </w:tcMar>
            <w:vAlign w:val="center"/>
          </w:tcPr>
          <w:p w14:paraId="542E453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28,249</w:t>
            </w:r>
          </w:p>
        </w:tc>
        <w:tc>
          <w:tcPr>
            <w:tcW w:w="900" w:type="dxa"/>
            <w:shd w:val="clear" w:color="auto" w:fill="auto"/>
            <w:tcMar>
              <w:top w:w="13" w:type="dxa"/>
              <w:left w:w="108" w:type="dxa"/>
              <w:bottom w:w="0" w:type="dxa"/>
              <w:right w:w="108" w:type="dxa"/>
            </w:tcMar>
            <w:vAlign w:val="center"/>
          </w:tcPr>
          <w:p w14:paraId="0E2160C4"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29,007</w:t>
            </w:r>
          </w:p>
        </w:tc>
        <w:tc>
          <w:tcPr>
            <w:tcW w:w="881" w:type="dxa"/>
            <w:shd w:val="clear" w:color="auto" w:fill="auto"/>
            <w:vAlign w:val="center"/>
          </w:tcPr>
          <w:p w14:paraId="3189EB4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29,669</w:t>
            </w:r>
          </w:p>
        </w:tc>
        <w:tc>
          <w:tcPr>
            <w:tcW w:w="967" w:type="dxa"/>
            <w:shd w:val="clear" w:color="auto" w:fill="auto"/>
            <w:vAlign w:val="center"/>
          </w:tcPr>
          <w:p w14:paraId="13133BB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30,560</w:t>
            </w:r>
          </w:p>
        </w:tc>
        <w:tc>
          <w:tcPr>
            <w:tcW w:w="1124" w:type="dxa"/>
            <w:shd w:val="clear" w:color="auto" w:fill="auto"/>
            <w:tcMar>
              <w:top w:w="13" w:type="dxa"/>
              <w:left w:w="108" w:type="dxa"/>
              <w:bottom w:w="0" w:type="dxa"/>
              <w:right w:w="108" w:type="dxa"/>
            </w:tcMar>
            <w:vAlign w:val="center"/>
          </w:tcPr>
          <w:p w14:paraId="63E59A5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+3.0%</w:t>
            </w:r>
          </w:p>
        </w:tc>
      </w:tr>
      <w:tr w:rsidR="002E01BE" w:rsidRPr="00BD295E" w14:paraId="39910F94" w14:textId="77777777" w:rsidTr="00FC4A5A">
        <w:trPr>
          <w:trHeight w:val="347"/>
          <w:jc w:val="center"/>
        </w:trPr>
        <w:tc>
          <w:tcPr>
            <w:tcW w:w="2495" w:type="dxa"/>
            <w:tcBorders>
              <w:bottom w:val="single" w:sz="4" w:space="0" w:color="auto"/>
            </w:tcBorders>
            <w:shd w:val="clear" w:color="auto" w:fill="auto"/>
            <w:tcMar>
              <w:top w:w="13" w:type="dxa"/>
              <w:left w:w="105" w:type="dxa"/>
              <w:bottom w:w="0" w:type="dxa"/>
              <w:right w:w="105" w:type="dxa"/>
            </w:tcMar>
            <w:vAlign w:val="center"/>
            <w:hideMark/>
          </w:tcPr>
          <w:p w14:paraId="7F242738"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 xml:space="preserve">Power losses </w:t>
            </w:r>
          </w:p>
        </w:tc>
        <w:tc>
          <w:tcPr>
            <w:tcW w:w="1179" w:type="dxa"/>
            <w:tcBorders>
              <w:bottom w:val="single" w:sz="4" w:space="0" w:color="auto"/>
            </w:tcBorders>
            <w:shd w:val="clear" w:color="auto" w:fill="auto"/>
            <w:tcMar>
              <w:top w:w="13" w:type="dxa"/>
              <w:left w:w="105" w:type="dxa"/>
              <w:bottom w:w="0" w:type="dxa"/>
              <w:right w:w="105" w:type="dxa"/>
            </w:tcMar>
            <w:vAlign w:val="center"/>
            <w:hideMark/>
          </w:tcPr>
          <w:p w14:paraId="2901885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w:t>
            </w:r>
          </w:p>
        </w:tc>
        <w:tc>
          <w:tcPr>
            <w:tcW w:w="946" w:type="dxa"/>
            <w:tcBorders>
              <w:bottom w:val="single" w:sz="4" w:space="0" w:color="auto"/>
            </w:tcBorders>
            <w:shd w:val="clear" w:color="auto" w:fill="auto"/>
            <w:tcMar>
              <w:top w:w="13" w:type="dxa"/>
              <w:left w:w="105" w:type="dxa"/>
              <w:bottom w:w="0" w:type="dxa"/>
              <w:right w:w="105" w:type="dxa"/>
            </w:tcMar>
            <w:vAlign w:val="center"/>
          </w:tcPr>
          <w:p w14:paraId="3AD8CC06"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11.06%</w:t>
            </w:r>
          </w:p>
        </w:tc>
        <w:tc>
          <w:tcPr>
            <w:tcW w:w="977" w:type="dxa"/>
            <w:tcBorders>
              <w:bottom w:val="single" w:sz="4" w:space="0" w:color="auto"/>
            </w:tcBorders>
            <w:shd w:val="clear" w:color="auto" w:fill="auto"/>
            <w:tcMar>
              <w:top w:w="13" w:type="dxa"/>
              <w:left w:w="105" w:type="dxa"/>
              <w:bottom w:w="0" w:type="dxa"/>
              <w:right w:w="105" w:type="dxa"/>
            </w:tcMar>
            <w:vAlign w:val="center"/>
          </w:tcPr>
          <w:p w14:paraId="2A17C82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12.23%</w:t>
            </w:r>
          </w:p>
        </w:tc>
        <w:tc>
          <w:tcPr>
            <w:tcW w:w="900" w:type="dxa"/>
            <w:tcBorders>
              <w:bottom w:val="single" w:sz="4" w:space="0" w:color="auto"/>
            </w:tcBorders>
            <w:shd w:val="clear" w:color="auto" w:fill="auto"/>
            <w:tcMar>
              <w:top w:w="13" w:type="dxa"/>
              <w:left w:w="108" w:type="dxa"/>
              <w:bottom w:w="0" w:type="dxa"/>
              <w:right w:w="108" w:type="dxa"/>
            </w:tcMar>
            <w:vAlign w:val="center"/>
          </w:tcPr>
          <w:p w14:paraId="6D66BFC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11.53%</w:t>
            </w:r>
          </w:p>
        </w:tc>
        <w:tc>
          <w:tcPr>
            <w:tcW w:w="881" w:type="dxa"/>
            <w:tcBorders>
              <w:bottom w:val="single" w:sz="4" w:space="0" w:color="auto"/>
            </w:tcBorders>
            <w:shd w:val="clear" w:color="auto" w:fill="auto"/>
            <w:vAlign w:val="center"/>
          </w:tcPr>
          <w:p w14:paraId="19D760C7"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12.05%</w:t>
            </w:r>
          </w:p>
        </w:tc>
        <w:tc>
          <w:tcPr>
            <w:tcW w:w="967" w:type="dxa"/>
            <w:tcBorders>
              <w:bottom w:val="single" w:sz="4" w:space="0" w:color="auto"/>
            </w:tcBorders>
            <w:shd w:val="clear" w:color="auto" w:fill="auto"/>
            <w:vAlign w:val="center"/>
          </w:tcPr>
          <w:p w14:paraId="76A869F6"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11.71%</w:t>
            </w:r>
          </w:p>
        </w:tc>
        <w:tc>
          <w:tcPr>
            <w:tcW w:w="1124" w:type="dxa"/>
            <w:tcBorders>
              <w:bottom w:val="single" w:sz="4" w:space="0" w:color="auto"/>
            </w:tcBorders>
            <w:shd w:val="clear" w:color="auto" w:fill="auto"/>
            <w:tcMar>
              <w:top w:w="13" w:type="dxa"/>
              <w:left w:w="108" w:type="dxa"/>
              <w:bottom w:w="0" w:type="dxa"/>
              <w:right w:w="108" w:type="dxa"/>
            </w:tcMar>
            <w:vAlign w:val="center"/>
          </w:tcPr>
          <w:p w14:paraId="35F600F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0.35 p.p.</w:t>
            </w:r>
          </w:p>
        </w:tc>
      </w:tr>
      <w:tr w:rsidR="002E01BE" w:rsidRPr="00BD295E" w14:paraId="5B59E5B1" w14:textId="77777777" w:rsidTr="00FC4A5A">
        <w:trPr>
          <w:trHeight w:val="579"/>
          <w:jc w:val="center"/>
        </w:trPr>
        <w:tc>
          <w:tcPr>
            <w:tcW w:w="2495" w:type="dxa"/>
            <w:tcBorders>
              <w:bottom w:val="single" w:sz="4" w:space="0" w:color="auto"/>
            </w:tcBorders>
            <w:shd w:val="clear" w:color="auto" w:fill="auto"/>
            <w:tcMar>
              <w:top w:w="13" w:type="dxa"/>
              <w:left w:w="105" w:type="dxa"/>
              <w:bottom w:w="0" w:type="dxa"/>
              <w:right w:w="105" w:type="dxa"/>
            </w:tcMar>
            <w:vAlign w:val="center"/>
            <w:hideMark/>
          </w:tcPr>
          <w:p w14:paraId="0D0F6B8C"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 xml:space="preserve">Connected capacity </w:t>
            </w:r>
          </w:p>
        </w:tc>
        <w:tc>
          <w:tcPr>
            <w:tcW w:w="1179" w:type="dxa"/>
            <w:tcBorders>
              <w:bottom w:val="single" w:sz="4" w:space="0" w:color="auto"/>
            </w:tcBorders>
            <w:shd w:val="clear" w:color="auto" w:fill="auto"/>
            <w:tcMar>
              <w:top w:w="13" w:type="dxa"/>
              <w:left w:w="105" w:type="dxa"/>
              <w:bottom w:w="0" w:type="dxa"/>
              <w:right w:w="105" w:type="dxa"/>
            </w:tcMar>
            <w:vAlign w:val="center"/>
            <w:hideMark/>
          </w:tcPr>
          <w:p w14:paraId="239D97F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MW</w:t>
            </w:r>
          </w:p>
        </w:tc>
        <w:tc>
          <w:tcPr>
            <w:tcW w:w="946" w:type="dxa"/>
            <w:tcBorders>
              <w:bottom w:val="single" w:sz="4" w:space="0" w:color="auto"/>
            </w:tcBorders>
            <w:shd w:val="clear" w:color="auto" w:fill="auto"/>
            <w:tcMar>
              <w:top w:w="13" w:type="dxa"/>
              <w:left w:w="105" w:type="dxa"/>
              <w:bottom w:w="0" w:type="dxa"/>
              <w:right w:w="105" w:type="dxa"/>
            </w:tcMar>
            <w:vAlign w:val="center"/>
          </w:tcPr>
          <w:p w14:paraId="6FDC1B8C"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679</w:t>
            </w:r>
          </w:p>
        </w:tc>
        <w:tc>
          <w:tcPr>
            <w:tcW w:w="977" w:type="dxa"/>
            <w:tcBorders>
              <w:bottom w:val="single" w:sz="4" w:space="0" w:color="auto"/>
            </w:tcBorders>
            <w:shd w:val="clear" w:color="auto" w:fill="auto"/>
            <w:tcMar>
              <w:top w:w="13" w:type="dxa"/>
              <w:left w:w="105" w:type="dxa"/>
              <w:bottom w:w="0" w:type="dxa"/>
              <w:right w:w="105" w:type="dxa"/>
            </w:tcMar>
            <w:vAlign w:val="center"/>
          </w:tcPr>
          <w:p w14:paraId="6A19BFD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380</w:t>
            </w:r>
          </w:p>
        </w:tc>
        <w:tc>
          <w:tcPr>
            <w:tcW w:w="900" w:type="dxa"/>
            <w:tcBorders>
              <w:bottom w:val="single" w:sz="4" w:space="0" w:color="auto"/>
            </w:tcBorders>
            <w:shd w:val="clear" w:color="auto" w:fill="auto"/>
            <w:tcMar>
              <w:top w:w="13" w:type="dxa"/>
              <w:left w:w="108" w:type="dxa"/>
              <w:bottom w:w="0" w:type="dxa"/>
              <w:right w:w="108" w:type="dxa"/>
            </w:tcMar>
            <w:vAlign w:val="center"/>
          </w:tcPr>
          <w:p w14:paraId="78E2AB2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725</w:t>
            </w:r>
          </w:p>
        </w:tc>
        <w:tc>
          <w:tcPr>
            <w:tcW w:w="881" w:type="dxa"/>
            <w:tcBorders>
              <w:bottom w:val="single" w:sz="4" w:space="0" w:color="auto"/>
            </w:tcBorders>
            <w:shd w:val="clear" w:color="auto" w:fill="auto"/>
            <w:vAlign w:val="center"/>
          </w:tcPr>
          <w:p w14:paraId="2ACCA22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1,607</w:t>
            </w:r>
          </w:p>
        </w:tc>
        <w:tc>
          <w:tcPr>
            <w:tcW w:w="967" w:type="dxa"/>
            <w:tcBorders>
              <w:bottom w:val="single" w:sz="4" w:space="0" w:color="auto"/>
            </w:tcBorders>
            <w:shd w:val="clear" w:color="auto" w:fill="auto"/>
            <w:vAlign w:val="center"/>
          </w:tcPr>
          <w:p w14:paraId="07767C6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1,033</w:t>
            </w:r>
          </w:p>
        </w:tc>
        <w:tc>
          <w:tcPr>
            <w:tcW w:w="1124" w:type="dxa"/>
            <w:tcBorders>
              <w:bottom w:val="single" w:sz="4" w:space="0" w:color="auto"/>
            </w:tcBorders>
            <w:shd w:val="clear" w:color="auto" w:fill="auto"/>
            <w:tcMar>
              <w:top w:w="13" w:type="dxa"/>
              <w:left w:w="108" w:type="dxa"/>
              <w:bottom w:w="0" w:type="dxa"/>
              <w:right w:w="108" w:type="dxa"/>
            </w:tcMar>
            <w:vAlign w:val="center"/>
          </w:tcPr>
          <w:p w14:paraId="678E5B8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-35.7%</w:t>
            </w:r>
          </w:p>
        </w:tc>
      </w:tr>
      <w:tr w:rsidR="002E01BE" w:rsidRPr="00BD295E" w14:paraId="52051783" w14:textId="77777777" w:rsidTr="00FC4A5A">
        <w:trPr>
          <w:trHeight w:val="587"/>
          <w:jc w:val="center"/>
        </w:trPr>
        <w:tc>
          <w:tcPr>
            <w:tcW w:w="2495" w:type="dxa"/>
            <w:tcBorders>
              <w:top w:val="single" w:sz="4" w:space="0" w:color="auto"/>
            </w:tcBorders>
            <w:shd w:val="clear" w:color="auto" w:fill="auto"/>
            <w:tcMar>
              <w:top w:w="13" w:type="dxa"/>
              <w:left w:w="105" w:type="dxa"/>
              <w:bottom w:w="0" w:type="dxa"/>
              <w:right w:w="105" w:type="dxa"/>
            </w:tcMar>
            <w:vAlign w:val="center"/>
            <w:hideMark/>
          </w:tcPr>
          <w:p w14:paraId="22CD921E" w14:textId="77777777" w:rsidR="00E638C6" w:rsidRPr="00BD295E" w:rsidRDefault="008A5057" w:rsidP="00B6068A">
            <w:pPr>
              <w:rPr>
                <w:rFonts w:ascii="Arial" w:hAnsi="Arial" w:cs="Arial"/>
                <w:sz w:val="18"/>
                <w:szCs w:val="18"/>
                <w:lang w:val="en-US"/>
              </w:rPr>
            </w:pPr>
            <w:r w:rsidRPr="00BD295E">
              <w:rPr>
                <w:rFonts w:ascii="Arial" w:hAnsi="Arial" w:cs="Arial"/>
                <w:bCs/>
                <w:sz w:val="18"/>
                <w:szCs w:val="18"/>
                <w:lang w:val="en-US"/>
              </w:rPr>
              <w:t>Revenue from product sales, including:</w:t>
            </w:r>
            <w:r w:rsidRPr="00BD295E">
              <w:rPr>
                <w:rFonts w:ascii="Arial" w:hAnsi="Arial" w:cs="Arial"/>
                <w:sz w:val="18"/>
                <w:szCs w:val="18"/>
                <w:lang w:val="en-US"/>
              </w:rPr>
              <w:t xml:space="preserve"> </w:t>
            </w:r>
          </w:p>
        </w:tc>
        <w:tc>
          <w:tcPr>
            <w:tcW w:w="1179" w:type="dxa"/>
            <w:tcBorders>
              <w:top w:val="single" w:sz="4" w:space="0" w:color="auto"/>
            </w:tcBorders>
            <w:shd w:val="clear" w:color="auto" w:fill="auto"/>
            <w:tcMar>
              <w:top w:w="13" w:type="dxa"/>
              <w:left w:w="105" w:type="dxa"/>
              <w:bottom w:w="0" w:type="dxa"/>
              <w:right w:w="105" w:type="dxa"/>
            </w:tcMar>
            <w:vAlign w:val="center"/>
            <w:hideMark/>
          </w:tcPr>
          <w:p w14:paraId="436B421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RUB million</w:t>
            </w:r>
          </w:p>
        </w:tc>
        <w:tc>
          <w:tcPr>
            <w:tcW w:w="946" w:type="dxa"/>
            <w:tcBorders>
              <w:top w:val="single" w:sz="4" w:space="0" w:color="auto"/>
            </w:tcBorders>
            <w:shd w:val="clear" w:color="auto" w:fill="auto"/>
            <w:tcMar>
              <w:top w:w="13" w:type="dxa"/>
              <w:left w:w="105" w:type="dxa"/>
              <w:bottom w:w="0" w:type="dxa"/>
              <w:right w:w="105" w:type="dxa"/>
            </w:tcMar>
            <w:vAlign w:val="center"/>
          </w:tcPr>
          <w:p w14:paraId="04D276B9"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44,722</w:t>
            </w:r>
          </w:p>
        </w:tc>
        <w:tc>
          <w:tcPr>
            <w:tcW w:w="977" w:type="dxa"/>
            <w:tcBorders>
              <w:top w:val="single" w:sz="4" w:space="0" w:color="auto"/>
            </w:tcBorders>
            <w:shd w:val="clear" w:color="auto" w:fill="auto"/>
            <w:tcMar>
              <w:top w:w="13" w:type="dxa"/>
              <w:left w:w="105" w:type="dxa"/>
              <w:bottom w:w="0" w:type="dxa"/>
              <w:right w:w="105" w:type="dxa"/>
            </w:tcMar>
            <w:vAlign w:val="center"/>
          </w:tcPr>
          <w:p w14:paraId="192143F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43,727</w:t>
            </w:r>
          </w:p>
        </w:tc>
        <w:tc>
          <w:tcPr>
            <w:tcW w:w="900" w:type="dxa"/>
            <w:tcBorders>
              <w:top w:val="single" w:sz="4" w:space="0" w:color="auto"/>
            </w:tcBorders>
            <w:shd w:val="clear" w:color="auto" w:fill="auto"/>
            <w:tcMar>
              <w:top w:w="13" w:type="dxa"/>
              <w:left w:w="108" w:type="dxa"/>
              <w:bottom w:w="0" w:type="dxa"/>
              <w:right w:w="108" w:type="dxa"/>
            </w:tcMar>
            <w:vAlign w:val="center"/>
          </w:tcPr>
          <w:p w14:paraId="2C3838E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61,260</w:t>
            </w:r>
          </w:p>
        </w:tc>
        <w:tc>
          <w:tcPr>
            <w:tcW w:w="881" w:type="dxa"/>
            <w:tcBorders>
              <w:top w:val="single" w:sz="4" w:space="0" w:color="auto"/>
            </w:tcBorders>
            <w:shd w:val="clear" w:color="auto" w:fill="auto"/>
            <w:vAlign w:val="center"/>
          </w:tcPr>
          <w:p w14:paraId="03EB291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74,682</w:t>
            </w:r>
          </w:p>
        </w:tc>
        <w:tc>
          <w:tcPr>
            <w:tcW w:w="967" w:type="dxa"/>
            <w:tcBorders>
              <w:top w:val="single" w:sz="4" w:space="0" w:color="auto"/>
            </w:tcBorders>
            <w:shd w:val="clear" w:color="auto" w:fill="auto"/>
            <w:vAlign w:val="center"/>
          </w:tcPr>
          <w:p w14:paraId="6F9536C4"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76,450</w:t>
            </w:r>
          </w:p>
        </w:tc>
        <w:tc>
          <w:tcPr>
            <w:tcW w:w="1124" w:type="dxa"/>
            <w:tcBorders>
              <w:top w:val="single" w:sz="4" w:space="0" w:color="auto"/>
            </w:tcBorders>
            <w:shd w:val="clear" w:color="auto" w:fill="auto"/>
            <w:tcMar>
              <w:top w:w="13" w:type="dxa"/>
              <w:left w:w="108" w:type="dxa"/>
              <w:bottom w:w="0" w:type="dxa"/>
              <w:right w:w="108" w:type="dxa"/>
            </w:tcMar>
            <w:vAlign w:val="center"/>
          </w:tcPr>
          <w:p w14:paraId="4A62F95C"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+2.4%</w:t>
            </w:r>
          </w:p>
        </w:tc>
      </w:tr>
      <w:tr w:rsidR="002E01BE" w:rsidRPr="00BD295E" w14:paraId="092EE702" w14:textId="77777777" w:rsidTr="003F6DA4">
        <w:trPr>
          <w:trHeight w:val="587"/>
          <w:jc w:val="center"/>
        </w:trPr>
        <w:tc>
          <w:tcPr>
            <w:tcW w:w="2495" w:type="dxa"/>
            <w:shd w:val="clear" w:color="auto" w:fill="auto"/>
            <w:tcMar>
              <w:top w:w="13" w:type="dxa"/>
              <w:left w:w="105" w:type="dxa"/>
              <w:bottom w:w="0" w:type="dxa"/>
              <w:right w:w="105" w:type="dxa"/>
            </w:tcMar>
            <w:vAlign w:val="center"/>
          </w:tcPr>
          <w:p w14:paraId="2863D54F" w14:textId="77777777" w:rsidR="00E638C6" w:rsidRPr="00BD295E" w:rsidRDefault="008A5057" w:rsidP="00B6068A">
            <w:pPr>
              <w:rPr>
                <w:rFonts w:ascii="Arial" w:hAnsi="Arial" w:cs="Arial"/>
                <w:bCs/>
                <w:sz w:val="18"/>
                <w:szCs w:val="18"/>
                <w:lang w:val="en-US"/>
              </w:rPr>
            </w:pPr>
            <w:r w:rsidRPr="00BD295E">
              <w:rPr>
                <w:rFonts w:ascii="Arial" w:hAnsi="Arial" w:cs="Arial"/>
                <w:bCs/>
                <w:sz w:val="18"/>
                <w:szCs w:val="18"/>
                <w:lang w:val="en-US"/>
              </w:rPr>
              <w:t>from electricity distribution services</w:t>
            </w:r>
          </w:p>
        </w:tc>
        <w:tc>
          <w:tcPr>
            <w:tcW w:w="1179" w:type="dxa"/>
            <w:shd w:val="clear" w:color="auto" w:fill="auto"/>
            <w:tcMar>
              <w:top w:w="13" w:type="dxa"/>
              <w:left w:w="105" w:type="dxa"/>
              <w:bottom w:w="0" w:type="dxa"/>
              <w:right w:w="105" w:type="dxa"/>
            </w:tcMar>
            <w:vAlign w:val="center"/>
          </w:tcPr>
          <w:p w14:paraId="18FAED9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RUB million</w:t>
            </w:r>
          </w:p>
        </w:tc>
        <w:tc>
          <w:tcPr>
            <w:tcW w:w="946" w:type="dxa"/>
            <w:shd w:val="clear" w:color="auto" w:fill="auto"/>
            <w:tcMar>
              <w:top w:w="13" w:type="dxa"/>
              <w:left w:w="105" w:type="dxa"/>
              <w:bottom w:w="0" w:type="dxa"/>
              <w:right w:w="105" w:type="dxa"/>
            </w:tcMar>
            <w:vAlign w:val="center"/>
          </w:tcPr>
          <w:p w14:paraId="6D78EAE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36,261</w:t>
            </w:r>
          </w:p>
        </w:tc>
        <w:tc>
          <w:tcPr>
            <w:tcW w:w="977" w:type="dxa"/>
            <w:shd w:val="clear" w:color="auto" w:fill="auto"/>
            <w:tcMar>
              <w:top w:w="13" w:type="dxa"/>
              <w:left w:w="105" w:type="dxa"/>
              <w:bottom w:w="0" w:type="dxa"/>
              <w:right w:w="105" w:type="dxa"/>
            </w:tcMar>
            <w:vAlign w:val="center"/>
          </w:tcPr>
          <w:p w14:paraId="52D7A8B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40,684</w:t>
            </w:r>
          </w:p>
        </w:tc>
        <w:tc>
          <w:tcPr>
            <w:tcW w:w="900" w:type="dxa"/>
            <w:shd w:val="clear" w:color="auto" w:fill="auto"/>
            <w:tcMar>
              <w:top w:w="13" w:type="dxa"/>
              <w:left w:w="108" w:type="dxa"/>
              <w:bottom w:w="0" w:type="dxa"/>
              <w:right w:w="108" w:type="dxa"/>
            </w:tcMar>
            <w:vAlign w:val="center"/>
          </w:tcPr>
          <w:p w14:paraId="3670020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54,437</w:t>
            </w:r>
          </w:p>
        </w:tc>
        <w:tc>
          <w:tcPr>
            <w:tcW w:w="881" w:type="dxa"/>
            <w:shd w:val="clear" w:color="auto" w:fill="auto"/>
            <w:vAlign w:val="center"/>
          </w:tcPr>
          <w:p w14:paraId="020B351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60,600</w:t>
            </w:r>
          </w:p>
        </w:tc>
        <w:tc>
          <w:tcPr>
            <w:tcW w:w="967" w:type="dxa"/>
            <w:shd w:val="clear" w:color="auto" w:fill="auto"/>
            <w:vAlign w:val="center"/>
          </w:tcPr>
          <w:p w14:paraId="0301809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68,807</w:t>
            </w:r>
          </w:p>
        </w:tc>
        <w:tc>
          <w:tcPr>
            <w:tcW w:w="1124" w:type="dxa"/>
            <w:shd w:val="clear" w:color="auto" w:fill="auto"/>
            <w:tcMar>
              <w:top w:w="13" w:type="dxa"/>
              <w:left w:w="108" w:type="dxa"/>
              <w:bottom w:w="0" w:type="dxa"/>
              <w:right w:w="108" w:type="dxa"/>
            </w:tcMar>
            <w:vAlign w:val="center"/>
          </w:tcPr>
          <w:p w14:paraId="6BADE4C9"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+13.5%</w:t>
            </w:r>
          </w:p>
        </w:tc>
      </w:tr>
      <w:tr w:rsidR="002E01BE" w:rsidRPr="00BD295E" w14:paraId="069F61C0" w14:textId="77777777" w:rsidTr="003F6DA4">
        <w:trPr>
          <w:trHeight w:val="587"/>
          <w:jc w:val="center"/>
        </w:trPr>
        <w:tc>
          <w:tcPr>
            <w:tcW w:w="2495" w:type="dxa"/>
            <w:shd w:val="clear" w:color="auto" w:fill="auto"/>
            <w:tcMar>
              <w:top w:w="13" w:type="dxa"/>
              <w:left w:w="105" w:type="dxa"/>
              <w:bottom w:w="0" w:type="dxa"/>
              <w:right w:w="105" w:type="dxa"/>
            </w:tcMar>
            <w:vAlign w:val="center"/>
          </w:tcPr>
          <w:p w14:paraId="6760EA9A" w14:textId="77777777" w:rsidR="00E638C6" w:rsidRPr="00BD295E" w:rsidRDefault="008A5057" w:rsidP="00B6068A">
            <w:pPr>
              <w:rPr>
                <w:rFonts w:ascii="Arial" w:hAnsi="Arial" w:cs="Arial"/>
                <w:bCs/>
                <w:sz w:val="18"/>
                <w:szCs w:val="18"/>
                <w:lang w:val="en-US"/>
              </w:rPr>
            </w:pPr>
            <w:r w:rsidRPr="00BD295E">
              <w:rPr>
                <w:rFonts w:ascii="Arial" w:hAnsi="Arial" w:cs="Arial"/>
                <w:bCs/>
                <w:sz w:val="18"/>
                <w:szCs w:val="18"/>
                <w:lang w:val="en-US"/>
              </w:rPr>
              <w:t>from grid connection services</w:t>
            </w:r>
          </w:p>
        </w:tc>
        <w:tc>
          <w:tcPr>
            <w:tcW w:w="1179" w:type="dxa"/>
            <w:shd w:val="clear" w:color="auto" w:fill="auto"/>
            <w:tcMar>
              <w:top w:w="13" w:type="dxa"/>
              <w:left w:w="105" w:type="dxa"/>
              <w:bottom w:w="0" w:type="dxa"/>
              <w:right w:w="105" w:type="dxa"/>
            </w:tcMar>
            <w:vAlign w:val="center"/>
          </w:tcPr>
          <w:p w14:paraId="0C14FC9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RUB million</w:t>
            </w:r>
          </w:p>
        </w:tc>
        <w:tc>
          <w:tcPr>
            <w:tcW w:w="946" w:type="dxa"/>
            <w:shd w:val="clear" w:color="auto" w:fill="auto"/>
            <w:tcMar>
              <w:top w:w="13" w:type="dxa"/>
              <w:left w:w="105" w:type="dxa"/>
              <w:bottom w:w="0" w:type="dxa"/>
              <w:right w:w="105" w:type="dxa"/>
            </w:tcMar>
            <w:vAlign w:val="center"/>
          </w:tcPr>
          <w:p w14:paraId="1C2B4D94"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8,249</w:t>
            </w:r>
          </w:p>
        </w:tc>
        <w:tc>
          <w:tcPr>
            <w:tcW w:w="977" w:type="dxa"/>
            <w:shd w:val="clear" w:color="auto" w:fill="auto"/>
            <w:tcMar>
              <w:top w:w="13" w:type="dxa"/>
              <w:left w:w="105" w:type="dxa"/>
              <w:bottom w:w="0" w:type="dxa"/>
              <w:right w:w="105" w:type="dxa"/>
            </w:tcMar>
            <w:vAlign w:val="center"/>
          </w:tcPr>
          <w:p w14:paraId="444BF1F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2,865</w:t>
            </w:r>
          </w:p>
        </w:tc>
        <w:tc>
          <w:tcPr>
            <w:tcW w:w="900" w:type="dxa"/>
            <w:shd w:val="clear" w:color="auto" w:fill="auto"/>
            <w:tcMar>
              <w:top w:w="13" w:type="dxa"/>
              <w:left w:w="108" w:type="dxa"/>
              <w:bottom w:w="0" w:type="dxa"/>
              <w:right w:w="108" w:type="dxa"/>
            </w:tcMar>
            <w:vAlign w:val="center"/>
          </w:tcPr>
          <w:p w14:paraId="308F853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6,485</w:t>
            </w:r>
          </w:p>
        </w:tc>
        <w:tc>
          <w:tcPr>
            <w:tcW w:w="881" w:type="dxa"/>
            <w:shd w:val="clear" w:color="auto" w:fill="auto"/>
            <w:vAlign w:val="center"/>
          </w:tcPr>
          <w:p w14:paraId="0CF5CCE6"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13,377</w:t>
            </w:r>
          </w:p>
        </w:tc>
        <w:tc>
          <w:tcPr>
            <w:tcW w:w="967" w:type="dxa"/>
            <w:shd w:val="clear" w:color="auto" w:fill="auto"/>
            <w:vAlign w:val="center"/>
          </w:tcPr>
          <w:p w14:paraId="4CC23F16"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7,066</w:t>
            </w:r>
          </w:p>
        </w:tc>
        <w:tc>
          <w:tcPr>
            <w:tcW w:w="1124" w:type="dxa"/>
            <w:shd w:val="clear" w:color="auto" w:fill="auto"/>
            <w:tcMar>
              <w:top w:w="13" w:type="dxa"/>
              <w:left w:w="108" w:type="dxa"/>
              <w:bottom w:w="0" w:type="dxa"/>
              <w:right w:w="108" w:type="dxa"/>
            </w:tcMar>
            <w:vAlign w:val="center"/>
          </w:tcPr>
          <w:p w14:paraId="52FB1D49"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-47.2%</w:t>
            </w:r>
          </w:p>
        </w:tc>
      </w:tr>
      <w:tr w:rsidR="002E01BE" w:rsidRPr="00BD295E" w14:paraId="04D6DB40" w14:textId="77777777" w:rsidTr="003F6DA4">
        <w:trPr>
          <w:trHeight w:val="587"/>
          <w:jc w:val="center"/>
        </w:trPr>
        <w:tc>
          <w:tcPr>
            <w:tcW w:w="2495" w:type="dxa"/>
            <w:shd w:val="clear" w:color="auto" w:fill="auto"/>
            <w:tcMar>
              <w:top w:w="13" w:type="dxa"/>
              <w:left w:w="105" w:type="dxa"/>
              <w:bottom w:w="0" w:type="dxa"/>
              <w:right w:w="105" w:type="dxa"/>
            </w:tcMar>
            <w:vAlign w:val="center"/>
          </w:tcPr>
          <w:p w14:paraId="2B75A944" w14:textId="77777777" w:rsidR="00E638C6" w:rsidRPr="00BD295E" w:rsidRDefault="008A5057" w:rsidP="00B6068A">
            <w:pPr>
              <w:rPr>
                <w:rFonts w:ascii="Arial" w:hAnsi="Arial" w:cs="Arial"/>
                <w:bCs/>
                <w:sz w:val="18"/>
                <w:szCs w:val="18"/>
                <w:lang w:val="en-US"/>
              </w:rPr>
            </w:pPr>
            <w:r w:rsidRPr="00BD295E">
              <w:rPr>
                <w:rFonts w:ascii="Arial" w:hAnsi="Arial" w:cs="Arial"/>
                <w:bCs/>
                <w:sz w:val="18"/>
                <w:szCs w:val="18"/>
                <w:lang w:val="en-US"/>
              </w:rPr>
              <w:t>from other activities</w:t>
            </w:r>
          </w:p>
        </w:tc>
        <w:tc>
          <w:tcPr>
            <w:tcW w:w="1179" w:type="dxa"/>
            <w:shd w:val="clear" w:color="auto" w:fill="auto"/>
            <w:tcMar>
              <w:top w:w="13" w:type="dxa"/>
              <w:left w:w="105" w:type="dxa"/>
              <w:bottom w:w="0" w:type="dxa"/>
              <w:right w:w="105" w:type="dxa"/>
            </w:tcMar>
            <w:vAlign w:val="center"/>
          </w:tcPr>
          <w:p w14:paraId="5BEB571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RUB million</w:t>
            </w:r>
          </w:p>
        </w:tc>
        <w:tc>
          <w:tcPr>
            <w:tcW w:w="946" w:type="dxa"/>
            <w:shd w:val="clear" w:color="auto" w:fill="auto"/>
            <w:tcMar>
              <w:top w:w="13" w:type="dxa"/>
              <w:left w:w="105" w:type="dxa"/>
              <w:bottom w:w="0" w:type="dxa"/>
              <w:right w:w="105" w:type="dxa"/>
            </w:tcMar>
            <w:vAlign w:val="center"/>
          </w:tcPr>
          <w:p w14:paraId="6E79E35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212</w:t>
            </w:r>
          </w:p>
        </w:tc>
        <w:tc>
          <w:tcPr>
            <w:tcW w:w="977" w:type="dxa"/>
            <w:shd w:val="clear" w:color="auto" w:fill="auto"/>
            <w:tcMar>
              <w:top w:w="13" w:type="dxa"/>
              <w:left w:w="105" w:type="dxa"/>
              <w:bottom w:w="0" w:type="dxa"/>
              <w:right w:w="105" w:type="dxa"/>
            </w:tcMar>
            <w:vAlign w:val="center"/>
          </w:tcPr>
          <w:p w14:paraId="5512E7A7"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177</w:t>
            </w:r>
          </w:p>
        </w:tc>
        <w:tc>
          <w:tcPr>
            <w:tcW w:w="900" w:type="dxa"/>
            <w:shd w:val="clear" w:color="auto" w:fill="auto"/>
            <w:tcMar>
              <w:top w:w="13" w:type="dxa"/>
              <w:left w:w="108" w:type="dxa"/>
              <w:bottom w:w="0" w:type="dxa"/>
              <w:right w:w="108" w:type="dxa"/>
            </w:tcMar>
            <w:vAlign w:val="center"/>
          </w:tcPr>
          <w:p w14:paraId="514DDF4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338</w:t>
            </w:r>
          </w:p>
        </w:tc>
        <w:tc>
          <w:tcPr>
            <w:tcW w:w="881" w:type="dxa"/>
            <w:shd w:val="clear" w:color="auto" w:fill="auto"/>
            <w:vAlign w:val="center"/>
          </w:tcPr>
          <w:p w14:paraId="337BE9C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705</w:t>
            </w:r>
          </w:p>
        </w:tc>
        <w:tc>
          <w:tcPr>
            <w:tcW w:w="967" w:type="dxa"/>
            <w:shd w:val="clear" w:color="auto" w:fill="auto"/>
            <w:vAlign w:val="center"/>
          </w:tcPr>
          <w:p w14:paraId="33C3831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577</w:t>
            </w:r>
          </w:p>
        </w:tc>
        <w:tc>
          <w:tcPr>
            <w:tcW w:w="1124" w:type="dxa"/>
            <w:shd w:val="clear" w:color="auto" w:fill="auto"/>
            <w:tcMar>
              <w:top w:w="13" w:type="dxa"/>
              <w:left w:w="108" w:type="dxa"/>
              <w:bottom w:w="0" w:type="dxa"/>
              <w:right w:w="108" w:type="dxa"/>
            </w:tcMar>
            <w:vAlign w:val="center"/>
          </w:tcPr>
          <w:p w14:paraId="6E887AA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-18.2%</w:t>
            </w:r>
          </w:p>
        </w:tc>
      </w:tr>
      <w:tr w:rsidR="002E01BE" w:rsidRPr="00BD295E" w14:paraId="41AFD293" w14:textId="77777777" w:rsidTr="003F6DA4">
        <w:trPr>
          <w:trHeight w:val="347"/>
          <w:jc w:val="center"/>
        </w:trPr>
        <w:tc>
          <w:tcPr>
            <w:tcW w:w="2495" w:type="dxa"/>
            <w:shd w:val="clear" w:color="auto" w:fill="auto"/>
            <w:tcMar>
              <w:top w:w="13" w:type="dxa"/>
              <w:left w:w="105" w:type="dxa"/>
              <w:bottom w:w="0" w:type="dxa"/>
              <w:right w:w="105" w:type="dxa"/>
            </w:tcMar>
            <w:vAlign w:val="center"/>
          </w:tcPr>
          <w:p w14:paraId="41A5D3BB"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Cost of goods sold, selling and administrative expenses</w:t>
            </w:r>
          </w:p>
        </w:tc>
        <w:tc>
          <w:tcPr>
            <w:tcW w:w="1179" w:type="dxa"/>
            <w:shd w:val="clear" w:color="auto" w:fill="auto"/>
            <w:tcMar>
              <w:top w:w="13" w:type="dxa"/>
              <w:left w:w="105" w:type="dxa"/>
              <w:bottom w:w="0" w:type="dxa"/>
              <w:right w:w="105" w:type="dxa"/>
            </w:tcMar>
            <w:vAlign w:val="center"/>
          </w:tcPr>
          <w:p w14:paraId="11B89097"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RUB million</w:t>
            </w:r>
          </w:p>
        </w:tc>
        <w:tc>
          <w:tcPr>
            <w:tcW w:w="946" w:type="dxa"/>
            <w:shd w:val="clear" w:color="auto" w:fill="auto"/>
            <w:tcMar>
              <w:top w:w="13" w:type="dxa"/>
              <w:left w:w="105" w:type="dxa"/>
              <w:bottom w:w="0" w:type="dxa"/>
              <w:right w:w="105" w:type="dxa"/>
            </w:tcMar>
            <w:vAlign w:val="center"/>
          </w:tcPr>
          <w:p w14:paraId="708FBAA8"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39,257</w:t>
            </w:r>
          </w:p>
        </w:tc>
        <w:tc>
          <w:tcPr>
            <w:tcW w:w="977" w:type="dxa"/>
            <w:shd w:val="clear" w:color="auto" w:fill="auto"/>
            <w:tcMar>
              <w:top w:w="13" w:type="dxa"/>
              <w:left w:w="105" w:type="dxa"/>
              <w:bottom w:w="0" w:type="dxa"/>
              <w:right w:w="105" w:type="dxa"/>
            </w:tcMar>
            <w:vAlign w:val="center"/>
          </w:tcPr>
          <w:p w14:paraId="54F8BC0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44,071</w:t>
            </w:r>
          </w:p>
        </w:tc>
        <w:tc>
          <w:tcPr>
            <w:tcW w:w="900" w:type="dxa"/>
            <w:shd w:val="clear" w:color="auto" w:fill="auto"/>
            <w:tcMar>
              <w:top w:w="13" w:type="dxa"/>
              <w:left w:w="108" w:type="dxa"/>
              <w:bottom w:w="0" w:type="dxa"/>
              <w:right w:w="108" w:type="dxa"/>
            </w:tcMar>
            <w:vAlign w:val="center"/>
          </w:tcPr>
          <w:p w14:paraId="65519807"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49,296</w:t>
            </w:r>
          </w:p>
        </w:tc>
        <w:tc>
          <w:tcPr>
            <w:tcW w:w="881" w:type="dxa"/>
            <w:shd w:val="clear" w:color="auto" w:fill="auto"/>
            <w:vAlign w:val="center"/>
          </w:tcPr>
          <w:p w14:paraId="064235B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54,023</w:t>
            </w:r>
          </w:p>
        </w:tc>
        <w:tc>
          <w:tcPr>
            <w:tcW w:w="967" w:type="dxa"/>
            <w:shd w:val="clear" w:color="auto" w:fill="auto"/>
            <w:vAlign w:val="center"/>
          </w:tcPr>
          <w:p w14:paraId="35125F0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57,450</w:t>
            </w:r>
          </w:p>
        </w:tc>
        <w:tc>
          <w:tcPr>
            <w:tcW w:w="1124" w:type="dxa"/>
            <w:shd w:val="clear" w:color="auto" w:fill="auto"/>
            <w:tcMar>
              <w:top w:w="13" w:type="dxa"/>
              <w:left w:w="108" w:type="dxa"/>
              <w:bottom w:w="0" w:type="dxa"/>
              <w:right w:w="108" w:type="dxa"/>
            </w:tcMar>
            <w:vAlign w:val="center"/>
          </w:tcPr>
          <w:p w14:paraId="1CD565D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+6.3%</w:t>
            </w:r>
          </w:p>
        </w:tc>
      </w:tr>
      <w:tr w:rsidR="002E01BE" w:rsidRPr="00BD295E" w14:paraId="52B8DFB9" w14:textId="77777777" w:rsidTr="003F6DA4">
        <w:trPr>
          <w:trHeight w:val="347"/>
          <w:jc w:val="center"/>
        </w:trPr>
        <w:tc>
          <w:tcPr>
            <w:tcW w:w="2495" w:type="dxa"/>
            <w:shd w:val="clear" w:color="auto" w:fill="auto"/>
            <w:tcMar>
              <w:top w:w="13" w:type="dxa"/>
              <w:left w:w="105" w:type="dxa"/>
              <w:bottom w:w="0" w:type="dxa"/>
              <w:right w:w="105" w:type="dxa"/>
            </w:tcMar>
            <w:vAlign w:val="center"/>
          </w:tcPr>
          <w:p w14:paraId="112E2E77"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Profit from sales</w:t>
            </w:r>
          </w:p>
        </w:tc>
        <w:tc>
          <w:tcPr>
            <w:tcW w:w="1179" w:type="dxa"/>
            <w:shd w:val="clear" w:color="auto" w:fill="auto"/>
            <w:tcMar>
              <w:top w:w="13" w:type="dxa"/>
              <w:left w:w="105" w:type="dxa"/>
              <w:bottom w:w="0" w:type="dxa"/>
              <w:right w:w="105" w:type="dxa"/>
            </w:tcMar>
            <w:vAlign w:val="center"/>
          </w:tcPr>
          <w:p w14:paraId="33B955A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RUB million</w:t>
            </w:r>
          </w:p>
        </w:tc>
        <w:tc>
          <w:tcPr>
            <w:tcW w:w="946" w:type="dxa"/>
            <w:shd w:val="clear" w:color="auto" w:fill="auto"/>
            <w:tcMar>
              <w:top w:w="13" w:type="dxa"/>
              <w:left w:w="105" w:type="dxa"/>
              <w:bottom w:w="0" w:type="dxa"/>
              <w:right w:w="105" w:type="dxa"/>
            </w:tcMar>
            <w:vAlign w:val="center"/>
          </w:tcPr>
          <w:p w14:paraId="68170FD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5,466</w:t>
            </w:r>
          </w:p>
        </w:tc>
        <w:tc>
          <w:tcPr>
            <w:tcW w:w="977" w:type="dxa"/>
            <w:shd w:val="clear" w:color="auto" w:fill="auto"/>
            <w:tcMar>
              <w:top w:w="13" w:type="dxa"/>
              <w:left w:w="105" w:type="dxa"/>
              <w:bottom w:w="0" w:type="dxa"/>
              <w:right w:w="105" w:type="dxa"/>
            </w:tcMar>
            <w:vAlign w:val="center"/>
          </w:tcPr>
          <w:p w14:paraId="57C7FC87"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-344</w:t>
            </w:r>
          </w:p>
        </w:tc>
        <w:tc>
          <w:tcPr>
            <w:tcW w:w="900" w:type="dxa"/>
            <w:shd w:val="clear" w:color="auto" w:fill="auto"/>
            <w:tcMar>
              <w:top w:w="13" w:type="dxa"/>
              <w:left w:w="108" w:type="dxa"/>
              <w:bottom w:w="0" w:type="dxa"/>
              <w:right w:w="108" w:type="dxa"/>
            </w:tcMar>
            <w:vAlign w:val="center"/>
          </w:tcPr>
          <w:p w14:paraId="2E2FBB2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11,965</w:t>
            </w:r>
          </w:p>
        </w:tc>
        <w:tc>
          <w:tcPr>
            <w:tcW w:w="881" w:type="dxa"/>
            <w:shd w:val="clear" w:color="auto" w:fill="auto"/>
            <w:vAlign w:val="center"/>
          </w:tcPr>
          <w:p w14:paraId="782CC26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20,659</w:t>
            </w:r>
          </w:p>
        </w:tc>
        <w:tc>
          <w:tcPr>
            <w:tcW w:w="967" w:type="dxa"/>
            <w:shd w:val="clear" w:color="auto" w:fill="auto"/>
            <w:vAlign w:val="center"/>
          </w:tcPr>
          <w:p w14:paraId="6829E7F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19,000</w:t>
            </w:r>
          </w:p>
        </w:tc>
        <w:tc>
          <w:tcPr>
            <w:tcW w:w="1124" w:type="dxa"/>
            <w:shd w:val="clear" w:color="auto" w:fill="auto"/>
            <w:tcMar>
              <w:top w:w="13" w:type="dxa"/>
              <w:left w:w="108" w:type="dxa"/>
              <w:bottom w:w="0" w:type="dxa"/>
              <w:right w:w="108" w:type="dxa"/>
            </w:tcMar>
            <w:vAlign w:val="center"/>
          </w:tcPr>
          <w:p w14:paraId="2AB3E73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-8.0%</w:t>
            </w:r>
          </w:p>
        </w:tc>
      </w:tr>
      <w:tr w:rsidR="002E01BE" w:rsidRPr="00BD295E" w14:paraId="54865265" w14:textId="77777777" w:rsidTr="003F6DA4">
        <w:trPr>
          <w:trHeight w:val="347"/>
          <w:jc w:val="center"/>
        </w:trPr>
        <w:tc>
          <w:tcPr>
            <w:tcW w:w="2495" w:type="dxa"/>
            <w:shd w:val="clear" w:color="auto" w:fill="auto"/>
            <w:tcMar>
              <w:top w:w="13" w:type="dxa"/>
              <w:left w:w="105" w:type="dxa"/>
              <w:bottom w:w="0" w:type="dxa"/>
              <w:right w:w="105" w:type="dxa"/>
            </w:tcMar>
            <w:vAlign w:val="center"/>
          </w:tcPr>
          <w:p w14:paraId="196B9A65"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Profit before tax</w:t>
            </w:r>
          </w:p>
        </w:tc>
        <w:tc>
          <w:tcPr>
            <w:tcW w:w="1179" w:type="dxa"/>
            <w:shd w:val="clear" w:color="auto" w:fill="auto"/>
            <w:tcMar>
              <w:top w:w="13" w:type="dxa"/>
              <w:left w:w="105" w:type="dxa"/>
              <w:bottom w:w="0" w:type="dxa"/>
              <w:right w:w="105" w:type="dxa"/>
            </w:tcMar>
            <w:vAlign w:val="center"/>
          </w:tcPr>
          <w:p w14:paraId="500ED488"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RUB million</w:t>
            </w:r>
          </w:p>
        </w:tc>
        <w:tc>
          <w:tcPr>
            <w:tcW w:w="946" w:type="dxa"/>
            <w:shd w:val="clear" w:color="auto" w:fill="auto"/>
            <w:tcMar>
              <w:top w:w="13" w:type="dxa"/>
              <w:left w:w="105" w:type="dxa"/>
              <w:bottom w:w="0" w:type="dxa"/>
              <w:right w:w="105" w:type="dxa"/>
            </w:tcMar>
            <w:vAlign w:val="center"/>
          </w:tcPr>
          <w:p w14:paraId="63FC35F4"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-8,793</w:t>
            </w:r>
          </w:p>
        </w:tc>
        <w:tc>
          <w:tcPr>
            <w:tcW w:w="977" w:type="dxa"/>
            <w:shd w:val="clear" w:color="auto" w:fill="auto"/>
            <w:tcMar>
              <w:top w:w="13" w:type="dxa"/>
              <w:left w:w="105" w:type="dxa"/>
              <w:bottom w:w="0" w:type="dxa"/>
              <w:right w:w="105" w:type="dxa"/>
            </w:tcMar>
            <w:vAlign w:val="center"/>
          </w:tcPr>
          <w:p w14:paraId="5DAEB598"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-6,529</w:t>
            </w:r>
          </w:p>
        </w:tc>
        <w:tc>
          <w:tcPr>
            <w:tcW w:w="900" w:type="dxa"/>
            <w:shd w:val="clear" w:color="auto" w:fill="auto"/>
            <w:tcMar>
              <w:top w:w="13" w:type="dxa"/>
              <w:left w:w="108" w:type="dxa"/>
              <w:bottom w:w="0" w:type="dxa"/>
              <w:right w:w="108" w:type="dxa"/>
            </w:tcMar>
            <w:vAlign w:val="center"/>
          </w:tcPr>
          <w:p w14:paraId="12796DE6"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10,214</w:t>
            </w:r>
          </w:p>
        </w:tc>
        <w:tc>
          <w:tcPr>
            <w:tcW w:w="881" w:type="dxa"/>
            <w:shd w:val="clear" w:color="auto" w:fill="auto"/>
            <w:vAlign w:val="center"/>
          </w:tcPr>
          <w:p w14:paraId="5779D6B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16,717</w:t>
            </w:r>
          </w:p>
        </w:tc>
        <w:tc>
          <w:tcPr>
            <w:tcW w:w="967" w:type="dxa"/>
            <w:shd w:val="clear" w:color="auto" w:fill="auto"/>
            <w:vAlign w:val="center"/>
          </w:tcPr>
          <w:p w14:paraId="782DF85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13,678</w:t>
            </w:r>
          </w:p>
        </w:tc>
        <w:tc>
          <w:tcPr>
            <w:tcW w:w="1124" w:type="dxa"/>
            <w:shd w:val="clear" w:color="auto" w:fill="auto"/>
            <w:tcMar>
              <w:top w:w="13" w:type="dxa"/>
              <w:left w:w="108" w:type="dxa"/>
              <w:bottom w:w="0" w:type="dxa"/>
              <w:right w:w="108" w:type="dxa"/>
            </w:tcMar>
            <w:vAlign w:val="center"/>
          </w:tcPr>
          <w:p w14:paraId="169E5DE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RUB 3,039 million</w:t>
            </w:r>
          </w:p>
        </w:tc>
      </w:tr>
      <w:tr w:rsidR="002E01BE" w:rsidRPr="00BD295E" w14:paraId="2FA1BC02" w14:textId="77777777" w:rsidTr="003F6DA4">
        <w:trPr>
          <w:trHeight w:val="347"/>
          <w:jc w:val="center"/>
        </w:trPr>
        <w:tc>
          <w:tcPr>
            <w:tcW w:w="2495" w:type="dxa"/>
            <w:shd w:val="clear" w:color="auto" w:fill="auto"/>
            <w:tcMar>
              <w:top w:w="13" w:type="dxa"/>
              <w:left w:w="105" w:type="dxa"/>
              <w:bottom w:w="0" w:type="dxa"/>
              <w:right w:w="105" w:type="dxa"/>
            </w:tcMar>
            <w:vAlign w:val="center"/>
          </w:tcPr>
          <w:p w14:paraId="4013CBDA"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Net profit</w:t>
            </w:r>
          </w:p>
        </w:tc>
        <w:tc>
          <w:tcPr>
            <w:tcW w:w="1179" w:type="dxa"/>
            <w:shd w:val="clear" w:color="auto" w:fill="auto"/>
            <w:tcMar>
              <w:top w:w="13" w:type="dxa"/>
              <w:left w:w="105" w:type="dxa"/>
              <w:bottom w:w="0" w:type="dxa"/>
              <w:right w:w="105" w:type="dxa"/>
            </w:tcMar>
            <w:vAlign w:val="center"/>
          </w:tcPr>
          <w:p w14:paraId="528037E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RUB million</w:t>
            </w:r>
          </w:p>
        </w:tc>
        <w:tc>
          <w:tcPr>
            <w:tcW w:w="946" w:type="dxa"/>
            <w:shd w:val="clear" w:color="auto" w:fill="auto"/>
            <w:tcMar>
              <w:top w:w="13" w:type="dxa"/>
              <w:left w:w="105" w:type="dxa"/>
              <w:bottom w:w="0" w:type="dxa"/>
              <w:right w:w="105" w:type="dxa"/>
            </w:tcMar>
            <w:vAlign w:val="center"/>
          </w:tcPr>
          <w:p w14:paraId="1BED33E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-7,968</w:t>
            </w:r>
          </w:p>
        </w:tc>
        <w:tc>
          <w:tcPr>
            <w:tcW w:w="977" w:type="dxa"/>
            <w:shd w:val="clear" w:color="auto" w:fill="auto"/>
            <w:tcMar>
              <w:top w:w="13" w:type="dxa"/>
              <w:left w:w="105" w:type="dxa"/>
              <w:bottom w:w="0" w:type="dxa"/>
              <w:right w:w="105" w:type="dxa"/>
            </w:tcMar>
            <w:vAlign w:val="center"/>
          </w:tcPr>
          <w:p w14:paraId="75EC9AA6"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-5,916</w:t>
            </w:r>
          </w:p>
        </w:tc>
        <w:tc>
          <w:tcPr>
            <w:tcW w:w="900" w:type="dxa"/>
            <w:shd w:val="clear" w:color="auto" w:fill="auto"/>
            <w:tcMar>
              <w:top w:w="13" w:type="dxa"/>
              <w:left w:w="108" w:type="dxa"/>
              <w:bottom w:w="0" w:type="dxa"/>
              <w:right w:w="108" w:type="dxa"/>
            </w:tcMar>
            <w:vAlign w:val="center"/>
          </w:tcPr>
          <w:p w14:paraId="10F5D6E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7,561</w:t>
            </w:r>
          </w:p>
        </w:tc>
        <w:tc>
          <w:tcPr>
            <w:tcW w:w="881" w:type="dxa"/>
            <w:shd w:val="clear" w:color="auto" w:fill="auto"/>
            <w:vAlign w:val="center"/>
          </w:tcPr>
          <w:p w14:paraId="42432F6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12,561</w:t>
            </w:r>
          </w:p>
        </w:tc>
        <w:tc>
          <w:tcPr>
            <w:tcW w:w="967" w:type="dxa"/>
            <w:shd w:val="clear" w:color="auto" w:fill="auto"/>
            <w:vAlign w:val="center"/>
          </w:tcPr>
          <w:p w14:paraId="267EF63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10,386</w:t>
            </w:r>
          </w:p>
        </w:tc>
        <w:tc>
          <w:tcPr>
            <w:tcW w:w="1124" w:type="dxa"/>
            <w:shd w:val="clear" w:color="auto" w:fill="auto"/>
            <w:tcMar>
              <w:top w:w="13" w:type="dxa"/>
              <w:left w:w="108" w:type="dxa"/>
              <w:bottom w:w="0" w:type="dxa"/>
              <w:right w:w="108" w:type="dxa"/>
            </w:tcMar>
            <w:vAlign w:val="center"/>
          </w:tcPr>
          <w:p w14:paraId="6FB937E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RUB 2,175 million</w:t>
            </w:r>
          </w:p>
        </w:tc>
      </w:tr>
      <w:tr w:rsidR="002E01BE" w:rsidRPr="00BD295E" w14:paraId="42578C27" w14:textId="77777777" w:rsidTr="003F6DA4">
        <w:trPr>
          <w:trHeight w:val="347"/>
          <w:jc w:val="center"/>
        </w:trPr>
        <w:tc>
          <w:tcPr>
            <w:tcW w:w="2495" w:type="dxa"/>
            <w:shd w:val="clear" w:color="auto" w:fill="auto"/>
            <w:tcMar>
              <w:top w:w="13" w:type="dxa"/>
              <w:left w:w="105" w:type="dxa"/>
              <w:bottom w:w="0" w:type="dxa"/>
              <w:right w:w="105" w:type="dxa"/>
            </w:tcMar>
            <w:vAlign w:val="center"/>
          </w:tcPr>
          <w:p w14:paraId="6AB66992"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ROE**</w:t>
            </w:r>
          </w:p>
        </w:tc>
        <w:tc>
          <w:tcPr>
            <w:tcW w:w="1179" w:type="dxa"/>
            <w:shd w:val="clear" w:color="auto" w:fill="auto"/>
            <w:tcMar>
              <w:top w:w="13" w:type="dxa"/>
              <w:left w:w="105" w:type="dxa"/>
              <w:bottom w:w="0" w:type="dxa"/>
              <w:right w:w="105" w:type="dxa"/>
            </w:tcMar>
            <w:vAlign w:val="center"/>
          </w:tcPr>
          <w:p w14:paraId="72FD05D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w:t>
            </w:r>
          </w:p>
        </w:tc>
        <w:tc>
          <w:tcPr>
            <w:tcW w:w="946" w:type="dxa"/>
            <w:shd w:val="clear" w:color="auto" w:fill="auto"/>
            <w:tcMar>
              <w:top w:w="13" w:type="dxa"/>
              <w:left w:w="105" w:type="dxa"/>
              <w:bottom w:w="0" w:type="dxa"/>
              <w:right w:w="105" w:type="dxa"/>
            </w:tcMar>
            <w:vAlign w:val="center"/>
          </w:tcPr>
          <w:p w14:paraId="6FD6EAD7"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-10.78%</w:t>
            </w:r>
          </w:p>
        </w:tc>
        <w:tc>
          <w:tcPr>
            <w:tcW w:w="977" w:type="dxa"/>
            <w:shd w:val="clear" w:color="auto" w:fill="auto"/>
            <w:tcMar>
              <w:top w:w="13" w:type="dxa"/>
              <w:left w:w="105" w:type="dxa"/>
              <w:bottom w:w="0" w:type="dxa"/>
              <w:right w:w="105" w:type="dxa"/>
            </w:tcMar>
            <w:vAlign w:val="center"/>
          </w:tcPr>
          <w:p w14:paraId="22FC282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-6.40%</w:t>
            </w:r>
          </w:p>
        </w:tc>
        <w:tc>
          <w:tcPr>
            <w:tcW w:w="900" w:type="dxa"/>
            <w:shd w:val="clear" w:color="auto" w:fill="auto"/>
            <w:tcMar>
              <w:top w:w="13" w:type="dxa"/>
              <w:left w:w="108" w:type="dxa"/>
              <w:bottom w:w="0" w:type="dxa"/>
              <w:right w:w="108" w:type="dxa"/>
            </w:tcMar>
            <w:vAlign w:val="center"/>
          </w:tcPr>
          <w:p w14:paraId="3E9E19B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6.45%</w:t>
            </w:r>
          </w:p>
        </w:tc>
        <w:tc>
          <w:tcPr>
            <w:tcW w:w="881" w:type="dxa"/>
            <w:shd w:val="clear" w:color="auto" w:fill="auto"/>
            <w:vAlign w:val="center"/>
          </w:tcPr>
          <w:p w14:paraId="524E6E3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9.94%</w:t>
            </w:r>
          </w:p>
        </w:tc>
        <w:tc>
          <w:tcPr>
            <w:tcW w:w="967" w:type="dxa"/>
            <w:shd w:val="clear" w:color="auto" w:fill="auto"/>
            <w:vAlign w:val="center"/>
          </w:tcPr>
          <w:p w14:paraId="25E7AFF7"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7.65%</w:t>
            </w:r>
          </w:p>
        </w:tc>
        <w:tc>
          <w:tcPr>
            <w:tcW w:w="1124" w:type="dxa"/>
            <w:shd w:val="clear" w:color="auto" w:fill="auto"/>
            <w:tcMar>
              <w:top w:w="13" w:type="dxa"/>
              <w:left w:w="108" w:type="dxa"/>
              <w:bottom w:w="0" w:type="dxa"/>
              <w:right w:w="108" w:type="dxa"/>
            </w:tcMar>
            <w:vAlign w:val="center"/>
          </w:tcPr>
          <w:p w14:paraId="44566B1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2.28 p.p.</w:t>
            </w:r>
          </w:p>
        </w:tc>
      </w:tr>
      <w:tr w:rsidR="002E01BE" w:rsidRPr="00BD295E" w14:paraId="77FDAB45" w14:textId="77777777" w:rsidTr="003F6DA4">
        <w:trPr>
          <w:trHeight w:val="347"/>
          <w:jc w:val="center"/>
        </w:trPr>
        <w:tc>
          <w:tcPr>
            <w:tcW w:w="2495" w:type="dxa"/>
            <w:tcBorders>
              <w:bottom w:val="single" w:sz="4" w:space="0" w:color="auto"/>
            </w:tcBorders>
            <w:shd w:val="clear" w:color="auto" w:fill="auto"/>
            <w:tcMar>
              <w:top w:w="13" w:type="dxa"/>
              <w:left w:w="105" w:type="dxa"/>
              <w:bottom w:w="0" w:type="dxa"/>
              <w:right w:w="105" w:type="dxa"/>
            </w:tcMar>
            <w:vAlign w:val="center"/>
            <w:hideMark/>
          </w:tcPr>
          <w:p w14:paraId="33A8877D"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EBITDA***</w:t>
            </w:r>
          </w:p>
        </w:tc>
        <w:tc>
          <w:tcPr>
            <w:tcW w:w="1179" w:type="dxa"/>
            <w:tcBorders>
              <w:bottom w:val="single" w:sz="4" w:space="0" w:color="auto"/>
            </w:tcBorders>
            <w:shd w:val="clear" w:color="auto" w:fill="auto"/>
            <w:tcMar>
              <w:top w:w="13" w:type="dxa"/>
              <w:left w:w="105" w:type="dxa"/>
              <w:bottom w:w="0" w:type="dxa"/>
              <w:right w:w="105" w:type="dxa"/>
            </w:tcMar>
            <w:vAlign w:val="center"/>
            <w:hideMark/>
          </w:tcPr>
          <w:p w14:paraId="63629FA6"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RUB million</w:t>
            </w:r>
          </w:p>
        </w:tc>
        <w:tc>
          <w:tcPr>
            <w:tcW w:w="946" w:type="dxa"/>
            <w:tcBorders>
              <w:bottom w:val="single" w:sz="4" w:space="0" w:color="auto"/>
            </w:tcBorders>
            <w:shd w:val="clear" w:color="auto" w:fill="auto"/>
            <w:tcMar>
              <w:top w:w="13" w:type="dxa"/>
              <w:left w:w="105" w:type="dxa"/>
              <w:bottom w:w="0" w:type="dxa"/>
              <w:right w:w="105" w:type="dxa"/>
            </w:tcMar>
            <w:vAlign w:val="center"/>
          </w:tcPr>
          <w:p w14:paraId="599389F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11,551</w:t>
            </w:r>
          </w:p>
        </w:tc>
        <w:tc>
          <w:tcPr>
            <w:tcW w:w="977" w:type="dxa"/>
            <w:tcBorders>
              <w:bottom w:val="single" w:sz="4" w:space="0" w:color="auto"/>
            </w:tcBorders>
            <w:shd w:val="clear" w:color="auto" w:fill="auto"/>
            <w:tcMar>
              <w:top w:w="13" w:type="dxa"/>
              <w:left w:w="105" w:type="dxa"/>
              <w:bottom w:w="0" w:type="dxa"/>
              <w:right w:w="105" w:type="dxa"/>
            </w:tcMar>
            <w:vAlign w:val="center"/>
          </w:tcPr>
          <w:p w14:paraId="0C20500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7,325</w:t>
            </w:r>
          </w:p>
        </w:tc>
        <w:tc>
          <w:tcPr>
            <w:tcW w:w="900" w:type="dxa"/>
            <w:tcBorders>
              <w:bottom w:val="single" w:sz="4" w:space="0" w:color="auto"/>
            </w:tcBorders>
            <w:shd w:val="clear" w:color="auto" w:fill="auto"/>
            <w:tcMar>
              <w:top w:w="13" w:type="dxa"/>
              <w:left w:w="108" w:type="dxa"/>
              <w:bottom w:w="0" w:type="dxa"/>
              <w:right w:w="108" w:type="dxa"/>
            </w:tcMar>
            <w:vAlign w:val="center"/>
          </w:tcPr>
          <w:p w14:paraId="4EA9DB3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21,661</w:t>
            </w:r>
          </w:p>
        </w:tc>
        <w:tc>
          <w:tcPr>
            <w:tcW w:w="881" w:type="dxa"/>
            <w:tcBorders>
              <w:bottom w:val="single" w:sz="4" w:space="0" w:color="auto"/>
            </w:tcBorders>
            <w:shd w:val="clear" w:color="auto" w:fill="auto"/>
            <w:vAlign w:val="center"/>
          </w:tcPr>
          <w:p w14:paraId="654C27F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28,531</w:t>
            </w:r>
          </w:p>
        </w:tc>
        <w:tc>
          <w:tcPr>
            <w:tcW w:w="967" w:type="dxa"/>
            <w:tcBorders>
              <w:bottom w:val="single" w:sz="4" w:space="0" w:color="auto"/>
            </w:tcBorders>
            <w:shd w:val="clear" w:color="auto" w:fill="auto"/>
            <w:vAlign w:val="center"/>
          </w:tcPr>
          <w:p w14:paraId="35A7390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26,328</w:t>
            </w:r>
          </w:p>
        </w:tc>
        <w:tc>
          <w:tcPr>
            <w:tcW w:w="1124" w:type="dxa"/>
            <w:tcBorders>
              <w:bottom w:val="single" w:sz="4" w:space="0" w:color="auto"/>
            </w:tcBorders>
            <w:shd w:val="clear" w:color="auto" w:fill="auto"/>
            <w:tcMar>
              <w:top w:w="13" w:type="dxa"/>
              <w:left w:w="108" w:type="dxa"/>
              <w:bottom w:w="0" w:type="dxa"/>
              <w:right w:w="108" w:type="dxa"/>
            </w:tcMar>
            <w:vAlign w:val="center"/>
          </w:tcPr>
          <w:p w14:paraId="6B42AD4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-7.7%</w:t>
            </w:r>
          </w:p>
        </w:tc>
      </w:tr>
      <w:tr w:rsidR="002E01BE" w:rsidRPr="00BD295E" w14:paraId="055B3B6C" w14:textId="77777777" w:rsidTr="003F6DA4">
        <w:trPr>
          <w:trHeight w:val="347"/>
          <w:jc w:val="center"/>
        </w:trPr>
        <w:tc>
          <w:tcPr>
            <w:tcW w:w="2495" w:type="dxa"/>
            <w:tcBorders>
              <w:bottom w:val="single" w:sz="12" w:space="0" w:color="auto"/>
            </w:tcBorders>
            <w:shd w:val="clear" w:color="auto" w:fill="auto"/>
            <w:tcMar>
              <w:top w:w="13" w:type="dxa"/>
              <w:left w:w="105" w:type="dxa"/>
              <w:bottom w:w="0" w:type="dxa"/>
              <w:right w:w="105" w:type="dxa"/>
            </w:tcMar>
            <w:vAlign w:val="center"/>
            <w:hideMark/>
          </w:tcPr>
          <w:p w14:paraId="59A05E4A"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 xml:space="preserve">EBITDA margin </w:t>
            </w:r>
          </w:p>
        </w:tc>
        <w:tc>
          <w:tcPr>
            <w:tcW w:w="1179" w:type="dxa"/>
            <w:tcBorders>
              <w:bottom w:val="single" w:sz="12" w:space="0" w:color="auto"/>
            </w:tcBorders>
            <w:shd w:val="clear" w:color="auto" w:fill="auto"/>
            <w:tcMar>
              <w:top w:w="13" w:type="dxa"/>
              <w:left w:w="105" w:type="dxa"/>
              <w:bottom w:w="0" w:type="dxa"/>
              <w:right w:w="105" w:type="dxa"/>
            </w:tcMar>
            <w:vAlign w:val="center"/>
            <w:hideMark/>
          </w:tcPr>
          <w:p w14:paraId="784E303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w:t>
            </w:r>
          </w:p>
        </w:tc>
        <w:tc>
          <w:tcPr>
            <w:tcW w:w="946" w:type="dxa"/>
            <w:tcBorders>
              <w:bottom w:val="single" w:sz="12" w:space="0" w:color="auto"/>
            </w:tcBorders>
            <w:shd w:val="clear" w:color="auto" w:fill="auto"/>
            <w:tcMar>
              <w:top w:w="13" w:type="dxa"/>
              <w:left w:w="105" w:type="dxa"/>
              <w:bottom w:w="0" w:type="dxa"/>
              <w:right w:w="105" w:type="dxa"/>
            </w:tcMar>
            <w:vAlign w:val="center"/>
          </w:tcPr>
          <w:p w14:paraId="6A9BDCE8"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25.83%</w:t>
            </w:r>
          </w:p>
        </w:tc>
        <w:tc>
          <w:tcPr>
            <w:tcW w:w="977" w:type="dxa"/>
            <w:tcBorders>
              <w:bottom w:val="single" w:sz="12" w:space="0" w:color="auto"/>
            </w:tcBorders>
            <w:shd w:val="clear" w:color="auto" w:fill="auto"/>
            <w:tcMar>
              <w:top w:w="13" w:type="dxa"/>
              <w:left w:w="105" w:type="dxa"/>
              <w:bottom w:w="0" w:type="dxa"/>
              <w:right w:w="105" w:type="dxa"/>
            </w:tcMar>
            <w:vAlign w:val="center"/>
          </w:tcPr>
          <w:p w14:paraId="78769C1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16.75%</w:t>
            </w:r>
          </w:p>
        </w:tc>
        <w:tc>
          <w:tcPr>
            <w:tcW w:w="900" w:type="dxa"/>
            <w:tcBorders>
              <w:bottom w:val="single" w:sz="12" w:space="0" w:color="auto"/>
            </w:tcBorders>
            <w:shd w:val="clear" w:color="auto" w:fill="auto"/>
            <w:tcMar>
              <w:top w:w="13" w:type="dxa"/>
              <w:left w:w="108" w:type="dxa"/>
              <w:bottom w:w="0" w:type="dxa"/>
              <w:right w:w="108" w:type="dxa"/>
            </w:tcMar>
            <w:vAlign w:val="center"/>
          </w:tcPr>
          <w:p w14:paraId="794F79E4"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35.36%</w:t>
            </w:r>
          </w:p>
        </w:tc>
        <w:tc>
          <w:tcPr>
            <w:tcW w:w="881" w:type="dxa"/>
            <w:tcBorders>
              <w:bottom w:val="single" w:sz="12" w:space="0" w:color="auto"/>
            </w:tcBorders>
            <w:shd w:val="clear" w:color="auto" w:fill="auto"/>
            <w:vAlign w:val="center"/>
          </w:tcPr>
          <w:p w14:paraId="7904281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38.20%</w:t>
            </w:r>
          </w:p>
        </w:tc>
        <w:tc>
          <w:tcPr>
            <w:tcW w:w="967" w:type="dxa"/>
            <w:tcBorders>
              <w:bottom w:val="single" w:sz="12" w:space="0" w:color="auto"/>
            </w:tcBorders>
            <w:shd w:val="clear" w:color="auto" w:fill="auto"/>
            <w:vAlign w:val="center"/>
          </w:tcPr>
          <w:p w14:paraId="2F8416B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34.44%</w:t>
            </w:r>
          </w:p>
        </w:tc>
        <w:tc>
          <w:tcPr>
            <w:tcW w:w="1124" w:type="dxa"/>
            <w:tcBorders>
              <w:bottom w:val="single" w:sz="12" w:space="0" w:color="auto"/>
            </w:tcBorders>
            <w:shd w:val="clear" w:color="auto" w:fill="auto"/>
            <w:tcMar>
              <w:top w:w="13" w:type="dxa"/>
              <w:left w:w="108" w:type="dxa"/>
              <w:bottom w:w="0" w:type="dxa"/>
              <w:right w:w="108" w:type="dxa"/>
            </w:tcMar>
            <w:vAlign w:val="center"/>
          </w:tcPr>
          <w:p w14:paraId="7967274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3.77 p.p.</w:t>
            </w:r>
          </w:p>
        </w:tc>
      </w:tr>
      <w:tr w:rsidR="002E01BE" w:rsidRPr="00BD295E" w14:paraId="01AF3E94" w14:textId="77777777" w:rsidTr="003F6DA4">
        <w:trPr>
          <w:trHeight w:val="347"/>
          <w:jc w:val="center"/>
        </w:trPr>
        <w:tc>
          <w:tcPr>
            <w:tcW w:w="2495" w:type="dxa"/>
            <w:tcBorders>
              <w:top w:val="single" w:sz="12" w:space="0" w:color="auto"/>
            </w:tcBorders>
            <w:shd w:val="clear" w:color="auto" w:fill="auto"/>
            <w:tcMar>
              <w:top w:w="13" w:type="dxa"/>
              <w:left w:w="105" w:type="dxa"/>
              <w:bottom w:w="0" w:type="dxa"/>
              <w:right w:w="105" w:type="dxa"/>
            </w:tcMar>
            <w:vAlign w:val="center"/>
          </w:tcPr>
          <w:p w14:paraId="18034354"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Leverage (equity to debt)</w:t>
            </w:r>
          </w:p>
        </w:tc>
        <w:tc>
          <w:tcPr>
            <w:tcW w:w="1179" w:type="dxa"/>
            <w:tcBorders>
              <w:top w:val="single" w:sz="12" w:space="0" w:color="auto"/>
            </w:tcBorders>
            <w:shd w:val="clear" w:color="auto" w:fill="auto"/>
            <w:tcMar>
              <w:top w:w="13" w:type="dxa"/>
              <w:left w:w="105" w:type="dxa"/>
              <w:bottom w:w="0" w:type="dxa"/>
              <w:right w:w="105" w:type="dxa"/>
            </w:tcMar>
            <w:vAlign w:val="center"/>
          </w:tcPr>
          <w:p w14:paraId="503A9D9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w:t>
            </w:r>
          </w:p>
        </w:tc>
        <w:tc>
          <w:tcPr>
            <w:tcW w:w="946" w:type="dxa"/>
            <w:tcBorders>
              <w:top w:val="single" w:sz="12" w:space="0" w:color="auto"/>
            </w:tcBorders>
            <w:shd w:val="clear" w:color="auto" w:fill="auto"/>
            <w:tcMar>
              <w:top w:w="13" w:type="dxa"/>
              <w:left w:w="105" w:type="dxa"/>
              <w:bottom w:w="0" w:type="dxa"/>
              <w:right w:w="105" w:type="dxa"/>
            </w:tcMar>
            <w:vAlign w:val="center"/>
          </w:tcPr>
          <w:p w14:paraId="73BDA7C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0.77</w:t>
            </w:r>
          </w:p>
        </w:tc>
        <w:tc>
          <w:tcPr>
            <w:tcW w:w="977" w:type="dxa"/>
            <w:tcBorders>
              <w:top w:val="single" w:sz="12" w:space="0" w:color="auto"/>
            </w:tcBorders>
            <w:shd w:val="clear" w:color="auto" w:fill="auto"/>
            <w:tcMar>
              <w:top w:w="13" w:type="dxa"/>
              <w:left w:w="105" w:type="dxa"/>
              <w:bottom w:w="0" w:type="dxa"/>
              <w:right w:w="105" w:type="dxa"/>
            </w:tcMar>
            <w:vAlign w:val="center"/>
          </w:tcPr>
          <w:p w14:paraId="4DD9DD39"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1.39</w:t>
            </w:r>
          </w:p>
        </w:tc>
        <w:tc>
          <w:tcPr>
            <w:tcW w:w="900" w:type="dxa"/>
            <w:tcBorders>
              <w:top w:val="single" w:sz="12" w:space="0" w:color="auto"/>
            </w:tcBorders>
            <w:shd w:val="clear" w:color="auto" w:fill="auto"/>
            <w:tcMar>
              <w:top w:w="13" w:type="dxa"/>
              <w:left w:w="108" w:type="dxa"/>
              <w:bottom w:w="0" w:type="dxa"/>
              <w:right w:w="108" w:type="dxa"/>
            </w:tcMar>
            <w:vAlign w:val="center"/>
          </w:tcPr>
          <w:p w14:paraId="3A08B77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1.79</w:t>
            </w:r>
          </w:p>
        </w:tc>
        <w:tc>
          <w:tcPr>
            <w:tcW w:w="881" w:type="dxa"/>
            <w:tcBorders>
              <w:top w:val="single" w:sz="12" w:space="0" w:color="auto"/>
            </w:tcBorders>
            <w:shd w:val="clear" w:color="auto" w:fill="auto"/>
            <w:vAlign w:val="center"/>
          </w:tcPr>
          <w:p w14:paraId="7B72147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1.78</w:t>
            </w:r>
          </w:p>
        </w:tc>
        <w:tc>
          <w:tcPr>
            <w:tcW w:w="967" w:type="dxa"/>
            <w:tcBorders>
              <w:top w:val="single" w:sz="12" w:space="0" w:color="auto"/>
            </w:tcBorders>
            <w:shd w:val="clear" w:color="auto" w:fill="auto"/>
            <w:vAlign w:val="center"/>
          </w:tcPr>
          <w:p w14:paraId="6287C55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1.86</w:t>
            </w:r>
          </w:p>
        </w:tc>
        <w:tc>
          <w:tcPr>
            <w:tcW w:w="1124" w:type="dxa"/>
            <w:tcBorders>
              <w:top w:val="single" w:sz="12" w:space="0" w:color="auto"/>
            </w:tcBorders>
            <w:shd w:val="clear" w:color="auto" w:fill="auto"/>
            <w:tcMar>
              <w:top w:w="13" w:type="dxa"/>
              <w:left w:w="108" w:type="dxa"/>
              <w:bottom w:w="0" w:type="dxa"/>
              <w:right w:w="108" w:type="dxa"/>
            </w:tcMar>
            <w:vAlign w:val="center"/>
          </w:tcPr>
          <w:p w14:paraId="0DAB5A2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+ 0.08 p.</w:t>
            </w:r>
          </w:p>
        </w:tc>
      </w:tr>
      <w:tr w:rsidR="002E01BE" w:rsidRPr="00BD295E" w14:paraId="7C9FAFD7" w14:textId="77777777" w:rsidTr="003F6DA4">
        <w:trPr>
          <w:trHeight w:val="352"/>
          <w:jc w:val="center"/>
        </w:trPr>
        <w:tc>
          <w:tcPr>
            <w:tcW w:w="2495" w:type="dxa"/>
            <w:tcBorders>
              <w:bottom w:val="single" w:sz="4" w:space="0" w:color="auto"/>
            </w:tcBorders>
            <w:shd w:val="clear" w:color="auto" w:fill="auto"/>
            <w:tcMar>
              <w:top w:w="13" w:type="dxa"/>
              <w:left w:w="105" w:type="dxa"/>
              <w:bottom w:w="0" w:type="dxa"/>
              <w:right w:w="105" w:type="dxa"/>
            </w:tcMar>
            <w:vAlign w:val="center"/>
            <w:hideMark/>
          </w:tcPr>
          <w:p w14:paraId="3B005928"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Net debt****</w:t>
            </w:r>
          </w:p>
        </w:tc>
        <w:tc>
          <w:tcPr>
            <w:tcW w:w="1179" w:type="dxa"/>
            <w:tcBorders>
              <w:bottom w:val="single" w:sz="4" w:space="0" w:color="auto"/>
            </w:tcBorders>
            <w:shd w:val="clear" w:color="auto" w:fill="auto"/>
            <w:tcMar>
              <w:top w:w="13" w:type="dxa"/>
              <w:left w:w="105" w:type="dxa"/>
              <w:bottom w:w="0" w:type="dxa"/>
              <w:right w:w="105" w:type="dxa"/>
            </w:tcMar>
            <w:vAlign w:val="center"/>
            <w:hideMark/>
          </w:tcPr>
          <w:p w14:paraId="17691F84"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w:t>
            </w:r>
          </w:p>
        </w:tc>
        <w:tc>
          <w:tcPr>
            <w:tcW w:w="946" w:type="dxa"/>
            <w:tcBorders>
              <w:bottom w:val="single" w:sz="4" w:space="0" w:color="auto"/>
            </w:tcBorders>
            <w:shd w:val="clear" w:color="auto" w:fill="auto"/>
            <w:tcMar>
              <w:top w:w="13" w:type="dxa"/>
              <w:left w:w="105" w:type="dxa"/>
              <w:bottom w:w="0" w:type="dxa"/>
              <w:right w:w="105" w:type="dxa"/>
            </w:tcMar>
            <w:vAlign w:val="center"/>
          </w:tcPr>
          <w:p w14:paraId="36EAB61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45,546</w:t>
            </w:r>
          </w:p>
        </w:tc>
        <w:tc>
          <w:tcPr>
            <w:tcW w:w="977" w:type="dxa"/>
            <w:tcBorders>
              <w:bottom w:val="single" w:sz="4" w:space="0" w:color="auto"/>
            </w:tcBorders>
            <w:shd w:val="clear" w:color="auto" w:fill="auto"/>
            <w:tcMar>
              <w:top w:w="13" w:type="dxa"/>
              <w:left w:w="105" w:type="dxa"/>
              <w:bottom w:w="0" w:type="dxa"/>
              <w:right w:w="105" w:type="dxa"/>
            </w:tcMar>
            <w:vAlign w:val="center"/>
          </w:tcPr>
          <w:p w14:paraId="655941FC"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10,172</w:t>
            </w:r>
          </w:p>
        </w:tc>
        <w:tc>
          <w:tcPr>
            <w:tcW w:w="900" w:type="dxa"/>
            <w:tcBorders>
              <w:bottom w:val="single" w:sz="4" w:space="0" w:color="auto"/>
            </w:tcBorders>
            <w:shd w:val="clear" w:color="auto" w:fill="auto"/>
            <w:tcMar>
              <w:top w:w="13" w:type="dxa"/>
              <w:left w:w="108" w:type="dxa"/>
              <w:bottom w:w="0" w:type="dxa"/>
              <w:right w:w="108" w:type="dxa"/>
            </w:tcMar>
            <w:vAlign w:val="center"/>
          </w:tcPr>
          <w:p w14:paraId="2C455D6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24,302</w:t>
            </w:r>
          </w:p>
        </w:tc>
        <w:tc>
          <w:tcPr>
            <w:tcW w:w="881" w:type="dxa"/>
            <w:tcBorders>
              <w:bottom w:val="single" w:sz="4" w:space="0" w:color="auto"/>
            </w:tcBorders>
            <w:shd w:val="clear" w:color="auto" w:fill="auto"/>
            <w:vAlign w:val="center"/>
          </w:tcPr>
          <w:p w14:paraId="7C1C1D3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34,501</w:t>
            </w:r>
          </w:p>
        </w:tc>
        <w:tc>
          <w:tcPr>
            <w:tcW w:w="967" w:type="dxa"/>
            <w:tcBorders>
              <w:bottom w:val="single" w:sz="4" w:space="0" w:color="auto"/>
            </w:tcBorders>
            <w:shd w:val="clear" w:color="auto" w:fill="auto"/>
            <w:vAlign w:val="center"/>
          </w:tcPr>
          <w:p w14:paraId="5D9AA68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29,016</w:t>
            </w:r>
          </w:p>
        </w:tc>
        <w:tc>
          <w:tcPr>
            <w:tcW w:w="1124" w:type="dxa"/>
            <w:tcBorders>
              <w:bottom w:val="single" w:sz="4" w:space="0" w:color="auto"/>
            </w:tcBorders>
            <w:shd w:val="clear" w:color="auto" w:fill="auto"/>
            <w:tcMar>
              <w:top w:w="13" w:type="dxa"/>
              <w:left w:w="108" w:type="dxa"/>
              <w:bottom w:w="0" w:type="dxa"/>
              <w:right w:w="108" w:type="dxa"/>
            </w:tcMar>
            <w:vAlign w:val="center"/>
          </w:tcPr>
          <w:p w14:paraId="10F4063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-15.9%</w:t>
            </w:r>
          </w:p>
        </w:tc>
      </w:tr>
      <w:tr w:rsidR="008A5057" w:rsidRPr="00BD295E" w14:paraId="37D4FDEB" w14:textId="77777777" w:rsidTr="003F6DA4">
        <w:trPr>
          <w:trHeight w:val="352"/>
          <w:jc w:val="center"/>
        </w:trPr>
        <w:tc>
          <w:tcPr>
            <w:tcW w:w="2495" w:type="dxa"/>
            <w:tcBorders>
              <w:bottom w:val="single" w:sz="12" w:space="0" w:color="auto"/>
            </w:tcBorders>
            <w:shd w:val="clear" w:color="auto" w:fill="auto"/>
            <w:tcMar>
              <w:top w:w="13" w:type="dxa"/>
              <w:left w:w="105" w:type="dxa"/>
              <w:bottom w:w="0" w:type="dxa"/>
              <w:right w:w="105" w:type="dxa"/>
            </w:tcMar>
            <w:vAlign w:val="center"/>
          </w:tcPr>
          <w:p w14:paraId="1529C3F8" w14:textId="77777777" w:rsidR="00E638C6" w:rsidRPr="00BD295E" w:rsidRDefault="008A5057" w:rsidP="00B6068A">
            <w:pPr>
              <w:rPr>
                <w:rFonts w:ascii="Arial" w:hAnsi="Arial" w:cs="Arial"/>
                <w:sz w:val="18"/>
                <w:szCs w:val="18"/>
                <w:lang w:val="en-US"/>
              </w:rPr>
            </w:pPr>
            <w:r w:rsidRPr="00BD295E">
              <w:rPr>
                <w:rFonts w:ascii="Arial" w:hAnsi="Arial" w:cs="Arial"/>
                <w:sz w:val="18"/>
                <w:szCs w:val="18"/>
                <w:lang w:val="en-US"/>
              </w:rPr>
              <w:t>Net Debt/EBITDA</w:t>
            </w:r>
          </w:p>
        </w:tc>
        <w:tc>
          <w:tcPr>
            <w:tcW w:w="1179" w:type="dxa"/>
            <w:tcBorders>
              <w:bottom w:val="single" w:sz="12" w:space="0" w:color="auto"/>
            </w:tcBorders>
            <w:shd w:val="clear" w:color="auto" w:fill="auto"/>
            <w:tcMar>
              <w:top w:w="13" w:type="dxa"/>
              <w:left w:w="105" w:type="dxa"/>
              <w:bottom w:w="0" w:type="dxa"/>
              <w:right w:w="105" w:type="dxa"/>
            </w:tcMar>
            <w:vAlign w:val="center"/>
          </w:tcPr>
          <w:p w14:paraId="7E4FB41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w:t>
            </w:r>
          </w:p>
        </w:tc>
        <w:tc>
          <w:tcPr>
            <w:tcW w:w="946" w:type="dxa"/>
            <w:tcBorders>
              <w:bottom w:val="single" w:sz="12" w:space="0" w:color="auto"/>
            </w:tcBorders>
            <w:shd w:val="clear" w:color="auto" w:fill="auto"/>
            <w:tcMar>
              <w:top w:w="13" w:type="dxa"/>
              <w:left w:w="105" w:type="dxa"/>
              <w:bottom w:w="0" w:type="dxa"/>
              <w:right w:w="105" w:type="dxa"/>
            </w:tcMar>
            <w:vAlign w:val="center"/>
          </w:tcPr>
          <w:p w14:paraId="52BDD77C"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3.94</w:t>
            </w:r>
          </w:p>
        </w:tc>
        <w:tc>
          <w:tcPr>
            <w:tcW w:w="977" w:type="dxa"/>
            <w:tcBorders>
              <w:bottom w:val="single" w:sz="12" w:space="0" w:color="auto"/>
            </w:tcBorders>
            <w:shd w:val="clear" w:color="auto" w:fill="auto"/>
            <w:tcMar>
              <w:top w:w="13" w:type="dxa"/>
              <w:left w:w="105" w:type="dxa"/>
              <w:bottom w:w="0" w:type="dxa"/>
              <w:right w:w="105" w:type="dxa"/>
            </w:tcMar>
            <w:vAlign w:val="center"/>
          </w:tcPr>
          <w:p w14:paraId="5800A229"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1.39</w:t>
            </w:r>
          </w:p>
        </w:tc>
        <w:tc>
          <w:tcPr>
            <w:tcW w:w="900" w:type="dxa"/>
            <w:tcBorders>
              <w:bottom w:val="single" w:sz="12" w:space="0" w:color="auto"/>
            </w:tcBorders>
            <w:shd w:val="clear" w:color="auto" w:fill="auto"/>
            <w:tcMar>
              <w:top w:w="13" w:type="dxa"/>
              <w:left w:w="108" w:type="dxa"/>
              <w:bottom w:w="0" w:type="dxa"/>
              <w:right w:w="108" w:type="dxa"/>
            </w:tcMar>
            <w:vAlign w:val="center"/>
          </w:tcPr>
          <w:p w14:paraId="2B59F13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1.12</w:t>
            </w:r>
          </w:p>
        </w:tc>
        <w:tc>
          <w:tcPr>
            <w:tcW w:w="881" w:type="dxa"/>
            <w:tcBorders>
              <w:bottom w:val="single" w:sz="12" w:space="0" w:color="auto"/>
            </w:tcBorders>
            <w:shd w:val="clear" w:color="auto" w:fill="auto"/>
            <w:vAlign w:val="center"/>
          </w:tcPr>
          <w:p w14:paraId="34886BA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1.21</w:t>
            </w:r>
          </w:p>
        </w:tc>
        <w:tc>
          <w:tcPr>
            <w:tcW w:w="967" w:type="dxa"/>
            <w:tcBorders>
              <w:bottom w:val="single" w:sz="12" w:space="0" w:color="auto"/>
            </w:tcBorders>
            <w:shd w:val="clear" w:color="auto" w:fill="auto"/>
            <w:vAlign w:val="center"/>
          </w:tcPr>
          <w:p w14:paraId="7097C6B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1.10</w:t>
            </w:r>
          </w:p>
        </w:tc>
        <w:tc>
          <w:tcPr>
            <w:tcW w:w="1124" w:type="dxa"/>
            <w:tcBorders>
              <w:bottom w:val="single" w:sz="12" w:space="0" w:color="auto"/>
            </w:tcBorders>
            <w:shd w:val="clear" w:color="auto" w:fill="auto"/>
            <w:tcMar>
              <w:top w:w="13" w:type="dxa"/>
              <w:left w:w="108" w:type="dxa"/>
              <w:bottom w:w="0" w:type="dxa"/>
              <w:right w:w="108" w:type="dxa"/>
            </w:tcMar>
            <w:vAlign w:val="center"/>
          </w:tcPr>
          <w:p w14:paraId="09AFC99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-0.11 p.</w:t>
            </w:r>
          </w:p>
        </w:tc>
      </w:tr>
    </w:tbl>
    <w:p w14:paraId="011E0155" w14:textId="77777777" w:rsidR="00E638C6" w:rsidRPr="00BD295E" w:rsidRDefault="008A5057" w:rsidP="00E638C6">
      <w:pPr>
        <w:jc w:val="both"/>
        <w:rPr>
          <w:rFonts w:ascii="Arial" w:hAnsi="Arial" w:cs="Arial"/>
          <w:sz w:val="18"/>
          <w:szCs w:val="18"/>
          <w:lang w:val="en-US"/>
        </w:rPr>
      </w:pPr>
      <w:r w:rsidRPr="00BD295E">
        <w:rPr>
          <w:rFonts w:ascii="Arial" w:hAnsi="Arial" w:cs="Arial"/>
          <w:sz w:val="18"/>
          <w:szCs w:val="18"/>
          <w:lang w:val="en-US"/>
        </w:rPr>
        <w:t xml:space="preserve">Notes: </w:t>
      </w:r>
    </w:p>
    <w:p w14:paraId="7725CF00" w14:textId="77777777" w:rsidR="00E638C6" w:rsidRPr="00BD295E" w:rsidRDefault="008A5057" w:rsidP="00E638C6">
      <w:pPr>
        <w:tabs>
          <w:tab w:val="left" w:pos="1134"/>
        </w:tabs>
        <w:jc w:val="both"/>
        <w:rPr>
          <w:rFonts w:ascii="Arial" w:hAnsi="Arial" w:cs="Arial"/>
          <w:iCs/>
          <w:sz w:val="18"/>
          <w:szCs w:val="18"/>
          <w:lang w:val="en-US"/>
        </w:rPr>
      </w:pPr>
      <w:r w:rsidRPr="00BD295E">
        <w:rPr>
          <w:rFonts w:ascii="Arial" w:hAnsi="Arial" w:cs="Arial"/>
          <w:iCs/>
          <w:sz w:val="18"/>
          <w:szCs w:val="18"/>
          <w:lang w:val="en-US"/>
        </w:rPr>
        <w:t>* Data for 2014–2018 are shown in line with the annual RAS financial statements, subject to retrospective recognition of data</w:t>
      </w:r>
    </w:p>
    <w:p w14:paraId="00832AE4" w14:textId="77777777" w:rsidR="00E638C6" w:rsidRPr="00BD295E" w:rsidRDefault="008A5057" w:rsidP="00E638C6">
      <w:pPr>
        <w:jc w:val="both"/>
        <w:rPr>
          <w:rFonts w:ascii="Arial" w:hAnsi="Arial" w:cs="Arial"/>
          <w:sz w:val="18"/>
          <w:szCs w:val="18"/>
          <w:lang w:val="en-US"/>
        </w:rPr>
      </w:pPr>
      <w:r w:rsidRPr="00BD295E">
        <w:rPr>
          <w:rFonts w:ascii="Arial" w:hAnsi="Arial" w:cs="Arial"/>
          <w:sz w:val="18"/>
          <w:szCs w:val="18"/>
          <w:lang w:val="en-US"/>
        </w:rPr>
        <w:t>** ROE (return on equity) was calculated according to the following formula:</w:t>
      </w:r>
    </w:p>
    <w:p w14:paraId="43111D75" w14:textId="77777777" w:rsidR="00E638C6" w:rsidRPr="00BD295E" w:rsidRDefault="008A5057" w:rsidP="00E638C6">
      <w:pPr>
        <w:jc w:val="both"/>
        <w:rPr>
          <w:rFonts w:ascii="Arial" w:hAnsi="Arial" w:cs="Arial"/>
          <w:sz w:val="18"/>
          <w:szCs w:val="18"/>
          <w:lang w:val="en-US"/>
        </w:rPr>
      </w:pPr>
      <w:r w:rsidRPr="00BD295E">
        <w:rPr>
          <w:rFonts w:ascii="Arial" w:hAnsi="Arial" w:cs="Arial"/>
          <w:sz w:val="18"/>
          <w:szCs w:val="18"/>
          <w:lang w:val="en-US"/>
        </w:rPr>
        <w:t>ROE = (Net Profit/ Average Equity)*100% = [line 2400 F. 2 / ((line 1300 F. 1 report + line 1300 F. 1 baseline) / 2))*100%</w:t>
      </w:r>
    </w:p>
    <w:p w14:paraId="02A3E6ED" w14:textId="77777777" w:rsidR="00E638C6" w:rsidRPr="00BD295E" w:rsidRDefault="008A5057" w:rsidP="00E638C6">
      <w:pPr>
        <w:tabs>
          <w:tab w:val="left" w:pos="1134"/>
        </w:tabs>
        <w:jc w:val="both"/>
        <w:rPr>
          <w:rFonts w:ascii="Arial" w:hAnsi="Arial" w:cs="Arial"/>
          <w:sz w:val="18"/>
          <w:szCs w:val="18"/>
          <w:lang w:val="en-US"/>
        </w:rPr>
      </w:pPr>
      <w:r w:rsidRPr="00BD295E">
        <w:rPr>
          <w:rFonts w:ascii="Arial" w:hAnsi="Arial" w:cs="Arial"/>
          <w:sz w:val="18"/>
          <w:szCs w:val="18"/>
          <w:lang w:val="en-US"/>
        </w:rPr>
        <w:t>*** EBITDA is shown less net provision for impairment of debt financial investments (2014–2018A)</w:t>
      </w:r>
    </w:p>
    <w:p w14:paraId="64DED3BC" w14:textId="01D84155" w:rsidR="00E638C6" w:rsidRPr="00BD295E" w:rsidRDefault="008A5057" w:rsidP="00E638C6">
      <w:pPr>
        <w:jc w:val="both"/>
        <w:rPr>
          <w:rFonts w:ascii="Arial" w:hAnsi="Arial" w:cs="Arial"/>
          <w:sz w:val="18"/>
          <w:szCs w:val="18"/>
          <w:lang w:val="en-US"/>
        </w:rPr>
      </w:pPr>
      <w:r w:rsidRPr="00BD295E">
        <w:rPr>
          <w:rFonts w:ascii="Arial" w:hAnsi="Arial" w:cs="Arial"/>
          <w:sz w:val="18"/>
          <w:szCs w:val="18"/>
          <w:lang w:val="en-US"/>
        </w:rPr>
        <w:t xml:space="preserve">**** Net Debt is calculated as the sum of non-current and current loans and borrowings (balance sheet lines 1410 and 1510), including outstanding interest, less </w:t>
      </w:r>
      <w:r w:rsidR="00BF7D8E" w:rsidRPr="00BD295E">
        <w:rPr>
          <w:rFonts w:ascii="Arial" w:hAnsi="Arial" w:cs="Arial"/>
          <w:sz w:val="18"/>
          <w:szCs w:val="18"/>
          <w:lang w:val="en-US"/>
        </w:rPr>
        <w:t>cash (</w:t>
      </w:r>
      <w:r w:rsidRPr="00BD295E">
        <w:rPr>
          <w:rFonts w:ascii="Arial" w:hAnsi="Arial" w:cs="Arial"/>
          <w:sz w:val="18"/>
          <w:szCs w:val="18"/>
          <w:lang w:val="en-US"/>
        </w:rPr>
        <w:t>balance sheet line 1250) and short-term financial investments (balance sheet line 1240).</w:t>
      </w:r>
    </w:p>
    <w:p w14:paraId="536DB1A2" w14:textId="01A1841B" w:rsidR="00E638C6" w:rsidRPr="00BD295E" w:rsidRDefault="004A6955" w:rsidP="004A6955">
      <w:pPr>
        <w:spacing w:before="360"/>
        <w:jc w:val="center"/>
        <w:rPr>
          <w:rFonts w:ascii="Arial" w:hAnsi="Arial" w:cs="Arial"/>
          <w:b/>
          <w:bCs/>
          <w:sz w:val="18"/>
          <w:szCs w:val="18"/>
          <w:lang w:val="en-US"/>
        </w:rPr>
      </w:pPr>
      <w:r w:rsidRPr="00BD295E">
        <w:rPr>
          <w:rFonts w:ascii="Arial" w:hAnsi="Arial" w:cs="Arial"/>
          <w:b/>
          <w:bCs/>
          <w:iCs/>
          <w:sz w:val="18"/>
          <w:szCs w:val="18"/>
          <w:lang w:val="en-US"/>
        </w:rPr>
        <w:t>Revenue, RUB million</w:t>
      </w:r>
    </w:p>
    <w:p w14:paraId="324478A2" w14:textId="2E847056" w:rsidR="00E638C6" w:rsidRPr="00BD295E" w:rsidRDefault="00997D07" w:rsidP="00E638C6">
      <w:pPr>
        <w:jc w:val="center"/>
        <w:rPr>
          <w:rFonts w:ascii="Arial" w:hAnsi="Arial" w:cs="Arial"/>
          <w:sz w:val="18"/>
          <w:szCs w:val="18"/>
          <w:lang w:val="en-US"/>
        </w:rPr>
      </w:pPr>
      <w:r w:rsidRPr="00BD295E">
        <w:rPr>
          <w:rFonts w:ascii="Arial" w:hAnsi="Arial" w:cs="Arial"/>
          <w:sz w:val="18"/>
          <w:szCs w:val="18"/>
          <w:lang w:val="en-US" w:eastAsia="en-US"/>
        </w:rPr>
        <w:drawing>
          <wp:inline distT="0" distB="0" distL="0" distR="0" wp14:anchorId="2AEA8888" wp14:editId="0BED6D3D">
            <wp:extent cx="5172075" cy="1704975"/>
            <wp:effectExtent l="0" t="0" r="0" b="0"/>
            <wp:docPr id="5" name="Диаграмма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1"/>
                    <pic:cNvPicPr>
                      <a:picLocks noChangeArrowheads="1"/>
                    </pic:cNvPicPr>
                  </pic:nvPicPr>
                  <pic:blipFill>
                    <a:blip r:embed="rId12">
                      <a:extLst>
                        <a:ext uri="{28A0092B-C50C-407E-A947-70E740481C1C}">
                          <a14:useLocalDpi xmlns:a14="http://schemas.microsoft.com/office/drawing/2010/main" val="0"/>
                        </a:ext>
                      </a:extLst>
                    </a:blip>
                    <a:srcRect t="15161" r="-2466" b="-4874"/>
                    <a:stretch>
                      <a:fillRect/>
                    </a:stretch>
                  </pic:blipFill>
                  <pic:spPr bwMode="auto">
                    <a:xfrm>
                      <a:off x="0" y="0"/>
                      <a:ext cx="5172075" cy="1704975"/>
                    </a:xfrm>
                    <a:prstGeom prst="rect">
                      <a:avLst/>
                    </a:prstGeom>
                    <a:noFill/>
                    <a:ln>
                      <a:noFill/>
                    </a:ln>
                  </pic:spPr>
                </pic:pic>
              </a:graphicData>
            </a:graphic>
          </wp:inline>
        </w:drawing>
      </w:r>
    </w:p>
    <w:p w14:paraId="6BDE9D60" w14:textId="77777777" w:rsidR="00E638C6" w:rsidRPr="00BD295E" w:rsidRDefault="008A5057" w:rsidP="00E638C6">
      <w:pPr>
        <w:tabs>
          <w:tab w:val="left" w:pos="1134"/>
        </w:tabs>
        <w:jc w:val="both"/>
        <w:rPr>
          <w:rFonts w:ascii="Arial" w:hAnsi="Arial" w:cs="Arial"/>
          <w:iCs/>
          <w:sz w:val="18"/>
          <w:szCs w:val="18"/>
          <w:lang w:val="en-US"/>
        </w:rPr>
      </w:pPr>
      <w:r w:rsidRPr="00BD295E">
        <w:rPr>
          <w:rFonts w:ascii="Arial" w:hAnsi="Arial" w:cs="Arial"/>
          <w:iCs/>
          <w:sz w:val="18"/>
          <w:szCs w:val="18"/>
          <w:lang w:val="en-US"/>
        </w:rPr>
        <w:t>* Data for 2014–2018 are shown in line with the annual RAS financial statements of the Company, subject to retrospective recognition of data</w:t>
      </w:r>
    </w:p>
    <w:p w14:paraId="5CFBF63A" w14:textId="49220528" w:rsidR="004A6955" w:rsidRPr="00BD295E" w:rsidRDefault="004A6955" w:rsidP="004A6955">
      <w:pPr>
        <w:keepNext/>
        <w:jc w:val="center"/>
        <w:rPr>
          <w:rFonts w:ascii="Arial" w:hAnsi="Arial" w:cs="Arial"/>
          <w:b/>
          <w:bCs/>
          <w:sz w:val="18"/>
          <w:szCs w:val="18"/>
          <w:lang w:val="en-US"/>
        </w:rPr>
      </w:pPr>
      <w:r w:rsidRPr="00BD295E">
        <w:rPr>
          <w:rFonts w:ascii="Arial" w:hAnsi="Arial" w:cs="Arial"/>
          <w:b/>
          <w:bCs/>
          <w:iCs/>
          <w:sz w:val="18"/>
          <w:szCs w:val="18"/>
          <w:lang w:val="en-US"/>
        </w:rPr>
        <w:t>EBITDA, RUB million, EBITDA margin</w:t>
      </w:r>
    </w:p>
    <w:p w14:paraId="32AF154A" w14:textId="7F1411DD" w:rsidR="00E638C6" w:rsidRPr="00BD295E" w:rsidRDefault="00997D07" w:rsidP="00E638C6">
      <w:pPr>
        <w:jc w:val="center"/>
        <w:rPr>
          <w:rFonts w:ascii="Arial" w:hAnsi="Arial" w:cs="Arial"/>
          <w:sz w:val="18"/>
          <w:szCs w:val="18"/>
          <w:lang w:val="en-US"/>
        </w:rPr>
      </w:pPr>
      <w:r w:rsidRPr="00BD295E">
        <w:rPr>
          <w:lang w:val="en-US" w:eastAsia="en-US"/>
        </w:rPr>
        <mc:AlternateContent>
          <mc:Choice Requires="wps">
            <w:drawing>
              <wp:anchor distT="45720" distB="45720" distL="114300" distR="114300" simplePos="0" relativeHeight="251697664" behindDoc="0" locked="0" layoutInCell="1" allowOverlap="1" wp14:anchorId="64A92701" wp14:editId="0DC7419D">
                <wp:simplePos x="0" y="0"/>
                <wp:positionH relativeFrom="column">
                  <wp:posOffset>3392366</wp:posOffset>
                </wp:positionH>
                <wp:positionV relativeFrom="paragraph">
                  <wp:posOffset>1855470</wp:posOffset>
                </wp:positionV>
                <wp:extent cx="1804035" cy="190500"/>
                <wp:effectExtent l="0" t="0" r="5715" b="0"/>
                <wp:wrapNone/>
                <wp:docPr id="5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190500"/>
                        </a:xfrm>
                        <a:prstGeom prst="rect">
                          <a:avLst/>
                        </a:prstGeom>
                        <a:solidFill>
                          <a:sysClr val="window" lastClr="FFFFFF"/>
                        </a:solidFill>
                        <a:ln w="9525">
                          <a:noFill/>
                          <a:miter lim="800000"/>
                          <a:headEnd/>
                          <a:tailEnd/>
                        </a:ln>
                      </wps:spPr>
                      <wps:txbx>
                        <w:txbxContent>
                          <w:p w14:paraId="4E5F1955" w14:textId="1763ED39" w:rsidR="002C3947" w:rsidRPr="00CC44B5" w:rsidRDefault="002C3947">
                            <w:pPr>
                              <w:rPr>
                                <w:rFonts w:ascii="Arial" w:hAnsi="Arial" w:cs="Arial"/>
                                <w:sz w:val="16"/>
                              </w:rPr>
                            </w:pPr>
                            <w:r w:rsidRPr="004A6955">
                              <w:rPr>
                                <w:rFonts w:ascii="Arial" w:hAnsi="Arial" w:cs="Arial"/>
                                <w:sz w:val="16"/>
                              </w:rPr>
                              <w:t>EBITDA margin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A92701" id="_x0000_s1028" type="#_x0000_t202" style="position:absolute;left:0;text-align:left;margin-left:267.1pt;margin-top:146.1pt;width:142.05pt;height:15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" fillcolor="window" stroked="f">
                <v:textbox inset="0,0,0,0">
                  <w:txbxContent>
                    <w:p w14:paraId="4E5F1955" w14:textId="1763ED39" w:rsidR="002C3947" w:rsidRPr="00CC44B5" w:rsidRDefault="002C3947">
                      <w:pPr>
                        <w:rPr>
                          <w:rFonts w:ascii="Arial" w:hAnsi="Arial" w:cs="Arial"/>
                          <w:sz w:val="16"/>
                        </w:rPr>
                      </w:pPr>
                      <w:r w:rsidRPr="004A6955">
                        <w:rPr>
                          <w:rFonts w:ascii="Arial" w:hAnsi="Arial" w:cs="Arial"/>
                          <w:sz w:val="16"/>
                        </w:rPr>
                        <w:t>EBITDA margin</w:t>
                      </w:r>
                    </w:p>
                  </w:txbxContent>
                </v:textbox>
              </v:shape>
            </w:pict>
          </mc:Fallback>
        </mc:AlternateContent>
      </w:r>
      <w:r w:rsidRPr="00BD295E">
        <w:rPr>
          <w:rFonts w:ascii="Arial" w:hAnsi="Arial" w:cs="Arial"/>
          <w:sz w:val="18"/>
          <w:szCs w:val="18"/>
          <w:lang w:val="en-US" w:eastAsia="en-US"/>
        </w:rPr>
        <w:drawing>
          <wp:inline distT="0" distB="0" distL="0" distR="0" wp14:anchorId="0284849B" wp14:editId="00292EEF">
            <wp:extent cx="6296025" cy="2081530"/>
            <wp:effectExtent l="0" t="0" r="0" b="0"/>
            <wp:docPr id="6"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3">
                      <a:extLst>
                        <a:ext uri="{28A0092B-C50C-407E-A947-70E740481C1C}">
                          <a14:useLocalDpi xmlns:a14="http://schemas.microsoft.com/office/drawing/2010/main" val="0"/>
                        </a:ext>
                      </a:extLst>
                    </a:blip>
                    <a:srcRect l="-896" t="7518" r="-2280" b="-3668"/>
                    <a:stretch>
                      <a:fillRect/>
                    </a:stretch>
                  </pic:blipFill>
                  <pic:spPr bwMode="auto">
                    <a:xfrm>
                      <a:off x="0" y="0"/>
                      <a:ext cx="6296025" cy="2081530"/>
                    </a:xfrm>
                    <a:prstGeom prst="rect">
                      <a:avLst/>
                    </a:prstGeom>
                    <a:noFill/>
                    <a:ln>
                      <a:noFill/>
                    </a:ln>
                  </pic:spPr>
                </pic:pic>
              </a:graphicData>
            </a:graphic>
          </wp:inline>
        </w:drawing>
      </w:r>
    </w:p>
    <w:p w14:paraId="77E31210" w14:textId="77777777" w:rsidR="00DD7517" w:rsidRPr="00BD295E" w:rsidRDefault="00DD7517" w:rsidP="00E638C6">
      <w:pPr>
        <w:tabs>
          <w:tab w:val="left" w:pos="1134"/>
        </w:tabs>
        <w:jc w:val="both"/>
        <w:rPr>
          <w:rFonts w:ascii="Arial" w:hAnsi="Arial" w:cs="Arial"/>
          <w:iCs/>
          <w:sz w:val="18"/>
          <w:szCs w:val="18"/>
          <w:lang w:val="en-US"/>
        </w:rPr>
      </w:pPr>
    </w:p>
    <w:p w14:paraId="5D38D9C2" w14:textId="152BDFDD" w:rsidR="00E638C6" w:rsidRPr="00BD295E" w:rsidRDefault="008A5057" w:rsidP="00CD3BC9">
      <w:pPr>
        <w:tabs>
          <w:tab w:val="left" w:pos="1134"/>
        </w:tabs>
        <w:spacing w:after="120"/>
        <w:jc w:val="both"/>
        <w:rPr>
          <w:rFonts w:ascii="Arial" w:hAnsi="Arial" w:cs="Arial"/>
          <w:iCs/>
          <w:sz w:val="18"/>
          <w:szCs w:val="18"/>
          <w:lang w:val="en-US"/>
        </w:rPr>
      </w:pPr>
      <w:r w:rsidRPr="00BD295E">
        <w:rPr>
          <w:rFonts w:ascii="Arial" w:hAnsi="Arial" w:cs="Arial"/>
          <w:iCs/>
          <w:sz w:val="18"/>
          <w:szCs w:val="18"/>
          <w:lang w:val="en-US"/>
        </w:rPr>
        <w:t>* EBITDA (under RAS) is shown less net provision for impairment of debt financial investments (2014–2018A)</w:t>
      </w:r>
    </w:p>
    <w:p w14:paraId="480CDA3B" w14:textId="2B5A73D5" w:rsidR="00E638C6" w:rsidRPr="00BD295E" w:rsidRDefault="00997D07" w:rsidP="00E638C6">
      <w:pPr>
        <w:tabs>
          <w:tab w:val="left" w:pos="1134"/>
        </w:tabs>
        <w:jc w:val="center"/>
        <w:rPr>
          <w:rFonts w:ascii="Arial" w:hAnsi="Arial" w:cs="Arial"/>
          <w:iCs/>
          <w:sz w:val="18"/>
          <w:szCs w:val="18"/>
          <w:lang w:val="en-US"/>
        </w:rPr>
      </w:pPr>
      <w:r w:rsidRPr="00BD295E">
        <w:rPr>
          <w:rFonts w:ascii="Arial" w:hAnsi="Arial" w:cs="Arial"/>
          <w:iCs/>
          <w:sz w:val="18"/>
          <w:szCs w:val="18"/>
          <w:lang w:val="en-US" w:eastAsia="en-US"/>
        </w:rPr>
        <mc:AlternateContent>
          <mc:Choice Requires="wps">
            <w:drawing>
              <wp:anchor distT="45720" distB="45720" distL="114300" distR="114300" simplePos="0" relativeHeight="251698688" behindDoc="0" locked="0" layoutInCell="1" allowOverlap="1" wp14:anchorId="64A92701" wp14:editId="38763EF8">
                <wp:simplePos x="0" y="0"/>
                <wp:positionH relativeFrom="column">
                  <wp:posOffset>2011045</wp:posOffset>
                </wp:positionH>
                <wp:positionV relativeFrom="paragraph">
                  <wp:posOffset>86995</wp:posOffset>
                </wp:positionV>
                <wp:extent cx="1804035" cy="190500"/>
                <wp:effectExtent l="0" t="0" r="0" b="0"/>
                <wp:wrapNone/>
                <wp:docPr id="1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190500"/>
                        </a:xfrm>
                        <a:prstGeom prst="rect">
                          <a:avLst/>
                        </a:prstGeom>
                        <a:solidFill>
                          <a:sysClr val="window" lastClr="FFFFFF"/>
                        </a:solidFill>
                        <a:ln w="9525">
                          <a:noFill/>
                          <a:miter lim="800000"/>
                          <a:headEnd/>
                          <a:tailEnd/>
                        </a:ln>
                      </wps:spPr>
                      <wps:txbx>
                        <w:txbxContent>
                          <w:p w14:paraId="58A4E95D" w14:textId="072E72F5" w:rsidR="002C3947" w:rsidRPr="00CC44B5" w:rsidRDefault="002C3947" w:rsidP="00CD3BC9">
                            <w:pPr>
                              <w:pStyle w:val="1ff8"/>
                              <w:spacing w:before="0"/>
                              <w:rPr>
                                <w:sz w:val="16"/>
                              </w:rPr>
                            </w:pPr>
                            <w:r w:rsidRPr="004A6955">
                              <w:t>Net profit, RUB million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A92701" id="_x0000_s1029" type="#_x0000_t202" style="position:absolute;left:0;text-align:left;margin-left:158.35pt;margin-top:6.85pt;width:142.05pt;height:15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" fillcolor="window" stroked="f">
                <v:textbox inset="0,0,0,0">
                  <w:txbxContent>
                    <w:p w14:paraId="58A4E95D" w14:textId="072E72F5" w:rsidR="002C3947" w:rsidRPr="00CC44B5" w:rsidRDefault="002C3947" w:rsidP="00CD3BC9">
                      <w:pPr>
                        <w:pStyle w:val="1ff8"/>
                        <w:spacing w:before="0"/>
                        <w:rPr>
                          <w:sz w:val="16"/>
                        </w:rPr>
                      </w:pPr>
                      <w:r w:rsidRPr="004A6955">
                        <w:t>Net profit, RUB million</w:t>
                      </w:r>
                    </w:p>
                  </w:txbxContent>
                </v:textbox>
              </v:shape>
            </w:pict>
          </mc:Fallback>
        </mc:AlternateContent>
      </w:r>
      <w:r w:rsidRPr="00BD295E">
        <w:rPr>
          <w:rFonts w:ascii="Arial" w:hAnsi="Arial" w:cs="Arial"/>
          <w:sz w:val="18"/>
          <w:szCs w:val="18"/>
          <w:lang w:val="en-US" w:eastAsia="en-US"/>
        </w:rPr>
        <w:drawing>
          <wp:inline distT="0" distB="0" distL="0" distR="0" wp14:anchorId="30DFCE74" wp14:editId="428083F7">
            <wp:extent cx="5882005" cy="2181225"/>
            <wp:effectExtent l="0" t="0" r="0" b="0"/>
            <wp:docPr id="155" name="Диаграмма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10"/>
                    <pic:cNvPicPr>
                      <a:picLocks noChangeArrowheads="1"/>
                    </pic:cNvPicPr>
                  </pic:nvPicPr>
                  <pic:blipFill>
                    <a:blip r:embed="rId14">
                      <a:extLst>
                        <a:ext uri="{28A0092B-C50C-407E-A947-70E740481C1C}">
                          <a14:useLocalDpi xmlns:a14="http://schemas.microsoft.com/office/drawing/2010/main" val="0"/>
                        </a:ext>
                      </a:extLst>
                    </a:blip>
                    <a:srcRect l="-526" t="-6711" r="-1331" b="-13351"/>
                    <a:stretch>
                      <a:fillRect/>
                    </a:stretch>
                  </pic:blipFill>
                  <pic:spPr bwMode="auto">
                    <a:xfrm>
                      <a:off x="0" y="0"/>
                      <a:ext cx="5882005" cy="2181225"/>
                    </a:xfrm>
                    <a:prstGeom prst="rect">
                      <a:avLst/>
                    </a:prstGeom>
                    <a:noFill/>
                    <a:ln>
                      <a:noFill/>
                    </a:ln>
                  </pic:spPr>
                </pic:pic>
              </a:graphicData>
            </a:graphic>
          </wp:inline>
        </w:drawing>
      </w:r>
    </w:p>
    <w:p w14:paraId="31335094" w14:textId="77777777" w:rsidR="00DD7517" w:rsidRPr="00BD295E" w:rsidRDefault="00DD7517" w:rsidP="00E638C6">
      <w:pPr>
        <w:tabs>
          <w:tab w:val="left" w:pos="1134"/>
        </w:tabs>
        <w:jc w:val="both"/>
        <w:rPr>
          <w:rFonts w:ascii="Arial" w:hAnsi="Arial" w:cs="Arial"/>
          <w:iCs/>
          <w:sz w:val="18"/>
          <w:szCs w:val="18"/>
          <w:lang w:val="en-US"/>
        </w:rPr>
      </w:pPr>
    </w:p>
    <w:p w14:paraId="18A6FBE2" w14:textId="77777777" w:rsidR="00E638C6" w:rsidRPr="00BD295E" w:rsidRDefault="008A5057" w:rsidP="00E638C6">
      <w:pPr>
        <w:tabs>
          <w:tab w:val="left" w:pos="1134"/>
        </w:tabs>
        <w:jc w:val="both"/>
        <w:rPr>
          <w:rFonts w:ascii="Arial" w:hAnsi="Arial" w:cs="Arial"/>
          <w:iCs/>
          <w:sz w:val="18"/>
          <w:szCs w:val="18"/>
          <w:lang w:val="en-US"/>
        </w:rPr>
      </w:pPr>
      <w:r w:rsidRPr="00BD295E">
        <w:rPr>
          <w:rFonts w:ascii="Arial" w:hAnsi="Arial" w:cs="Arial"/>
          <w:iCs/>
          <w:sz w:val="18"/>
          <w:szCs w:val="18"/>
          <w:lang w:val="en-US"/>
        </w:rPr>
        <w:t>* Data for 2014–2018 are shown in line with the annual RAS financial statements of the Company, subject to retrospective recognition of data</w:t>
      </w:r>
    </w:p>
    <w:p w14:paraId="5919D6D4" w14:textId="77777777" w:rsidR="003F6DA4" w:rsidRPr="00BD295E" w:rsidRDefault="003F6DA4" w:rsidP="003F6DA4">
      <w:pPr>
        <w:spacing w:after="160" w:line="259" w:lineRule="auto"/>
        <w:rPr>
          <w:rFonts w:ascii="Arial" w:hAnsi="Arial" w:cs="Arial"/>
          <w:b/>
          <w:sz w:val="18"/>
          <w:szCs w:val="18"/>
          <w:lang w:val="en-US"/>
        </w:rPr>
      </w:pPr>
    </w:p>
    <w:bookmarkEnd w:id="25"/>
    <w:bookmarkEnd w:id="26"/>
    <w:bookmarkEnd w:id="27"/>
    <w:bookmarkEnd w:id="28"/>
    <w:bookmarkEnd w:id="29"/>
    <w:bookmarkEnd w:id="30"/>
    <w:p w14:paraId="4F537907" w14:textId="77777777" w:rsidR="003F6DA4" w:rsidRPr="00BD295E" w:rsidRDefault="008A5057" w:rsidP="003F6DA4">
      <w:pPr>
        <w:tabs>
          <w:tab w:val="left" w:pos="1134"/>
        </w:tabs>
        <w:ind w:firstLine="709"/>
        <w:contextualSpacing/>
        <w:jc w:val="both"/>
        <w:rPr>
          <w:rFonts w:ascii="Arial" w:hAnsi="Arial" w:cs="Arial"/>
          <w:iCs/>
          <w:sz w:val="18"/>
          <w:szCs w:val="18"/>
          <w:lang w:val="en-US"/>
        </w:rPr>
      </w:pPr>
      <w:r w:rsidRPr="00BD295E">
        <w:rPr>
          <w:rFonts w:ascii="Arial" w:hAnsi="Arial" w:cs="Arial"/>
          <w:iCs/>
          <w:sz w:val="18"/>
          <w:szCs w:val="18"/>
          <w:lang w:val="en-US"/>
        </w:rPr>
        <w:t>Changes in assets in 2014–2018*</w:t>
      </w:r>
    </w:p>
    <w:tbl>
      <w:tblPr>
        <w:tblW w:w="9356"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10"/>
        <w:gridCol w:w="1291"/>
        <w:gridCol w:w="877"/>
        <w:gridCol w:w="851"/>
        <w:gridCol w:w="850"/>
        <w:gridCol w:w="709"/>
        <w:gridCol w:w="850"/>
        <w:gridCol w:w="1418"/>
      </w:tblGrid>
      <w:tr w:rsidR="008A5057" w:rsidRPr="00BD295E" w14:paraId="7872065C" w14:textId="77777777" w:rsidTr="0031297B">
        <w:trPr>
          <w:trHeight w:val="20"/>
        </w:trPr>
        <w:tc>
          <w:tcPr>
            <w:tcW w:w="2510" w:type="dxa"/>
            <w:shd w:val="clear" w:color="auto" w:fill="auto"/>
            <w:tcMar>
              <w:top w:w="13" w:type="dxa"/>
              <w:left w:w="105" w:type="dxa"/>
              <w:bottom w:w="0" w:type="dxa"/>
              <w:right w:w="105" w:type="dxa"/>
            </w:tcMar>
            <w:vAlign w:val="center"/>
            <w:hideMark/>
          </w:tcPr>
          <w:p w14:paraId="5056DE9A" w14:textId="77777777" w:rsidR="00E677FB" w:rsidRPr="00BD295E" w:rsidRDefault="008A5057" w:rsidP="0031297B">
            <w:pPr>
              <w:ind w:firstLine="720"/>
              <w:jc w:val="both"/>
              <w:rPr>
                <w:rFonts w:ascii="Arial" w:hAnsi="Arial" w:cs="Arial"/>
                <w:sz w:val="18"/>
                <w:szCs w:val="18"/>
                <w:lang w:val="en-US"/>
              </w:rPr>
            </w:pPr>
            <w:r w:rsidRPr="00BD295E">
              <w:rPr>
                <w:rFonts w:ascii="Arial" w:hAnsi="Arial" w:cs="Arial"/>
                <w:bCs/>
                <w:sz w:val="18"/>
                <w:szCs w:val="18"/>
                <w:lang w:val="en-US"/>
              </w:rPr>
              <w:t>Indicator</w:t>
            </w:r>
            <w:r w:rsidRPr="00BD295E">
              <w:rPr>
                <w:rFonts w:ascii="Arial" w:hAnsi="Arial" w:cs="Arial"/>
                <w:sz w:val="18"/>
                <w:szCs w:val="18"/>
                <w:lang w:val="en-US"/>
              </w:rPr>
              <w:t xml:space="preserve"> </w:t>
            </w:r>
          </w:p>
        </w:tc>
        <w:tc>
          <w:tcPr>
            <w:tcW w:w="1291" w:type="dxa"/>
            <w:shd w:val="clear" w:color="auto" w:fill="auto"/>
            <w:tcMar>
              <w:top w:w="13" w:type="dxa"/>
              <w:left w:w="105" w:type="dxa"/>
              <w:bottom w:w="0" w:type="dxa"/>
              <w:right w:w="105" w:type="dxa"/>
            </w:tcMar>
            <w:vAlign w:val="center"/>
            <w:hideMark/>
          </w:tcPr>
          <w:p w14:paraId="2FA6AAB7" w14:textId="77777777" w:rsidR="00E677FB" w:rsidRPr="00BD295E" w:rsidRDefault="008A5057" w:rsidP="0031297B">
            <w:pPr>
              <w:jc w:val="center"/>
              <w:rPr>
                <w:rFonts w:ascii="Arial" w:hAnsi="Arial" w:cs="Arial"/>
                <w:sz w:val="18"/>
                <w:szCs w:val="18"/>
                <w:lang w:val="en-US"/>
              </w:rPr>
            </w:pPr>
            <w:r w:rsidRPr="00BD295E">
              <w:rPr>
                <w:rFonts w:ascii="Arial" w:hAnsi="Arial" w:cs="Arial"/>
                <w:bCs/>
                <w:sz w:val="18"/>
                <w:szCs w:val="18"/>
                <w:lang w:val="en-US"/>
              </w:rPr>
              <w:t>UoM</w:t>
            </w:r>
          </w:p>
        </w:tc>
        <w:tc>
          <w:tcPr>
            <w:tcW w:w="877" w:type="dxa"/>
            <w:shd w:val="clear" w:color="auto" w:fill="auto"/>
            <w:tcMar>
              <w:top w:w="13" w:type="dxa"/>
              <w:left w:w="105" w:type="dxa"/>
              <w:bottom w:w="0" w:type="dxa"/>
              <w:right w:w="105" w:type="dxa"/>
            </w:tcMar>
            <w:vAlign w:val="center"/>
            <w:hideMark/>
          </w:tcPr>
          <w:p w14:paraId="27EFF01F" w14:textId="77777777" w:rsidR="00E677FB" w:rsidRPr="00BD295E" w:rsidRDefault="008A5057" w:rsidP="0031297B">
            <w:pPr>
              <w:jc w:val="center"/>
              <w:rPr>
                <w:rFonts w:ascii="Arial" w:hAnsi="Arial" w:cs="Arial"/>
                <w:bCs/>
                <w:sz w:val="18"/>
                <w:szCs w:val="18"/>
                <w:lang w:val="en-US"/>
              </w:rPr>
            </w:pPr>
            <w:r w:rsidRPr="00BD295E">
              <w:rPr>
                <w:rFonts w:ascii="Arial" w:hAnsi="Arial" w:cs="Arial"/>
                <w:bCs/>
                <w:sz w:val="18"/>
                <w:szCs w:val="18"/>
                <w:lang w:val="en-US"/>
              </w:rPr>
              <w:t>2014</w:t>
            </w:r>
          </w:p>
        </w:tc>
        <w:tc>
          <w:tcPr>
            <w:tcW w:w="851" w:type="dxa"/>
            <w:shd w:val="clear" w:color="auto" w:fill="auto"/>
            <w:tcMar>
              <w:top w:w="13" w:type="dxa"/>
              <w:left w:w="105" w:type="dxa"/>
              <w:bottom w:w="0" w:type="dxa"/>
              <w:right w:w="105" w:type="dxa"/>
            </w:tcMar>
            <w:vAlign w:val="center"/>
            <w:hideMark/>
          </w:tcPr>
          <w:p w14:paraId="3ADB8D3C" w14:textId="77777777" w:rsidR="00E677FB" w:rsidRPr="00BD295E" w:rsidRDefault="008A5057" w:rsidP="0031297B">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2015</w:t>
            </w:r>
          </w:p>
        </w:tc>
        <w:tc>
          <w:tcPr>
            <w:tcW w:w="850" w:type="dxa"/>
            <w:shd w:val="clear" w:color="auto" w:fill="auto"/>
            <w:tcMar>
              <w:top w:w="13" w:type="dxa"/>
              <w:left w:w="108" w:type="dxa"/>
              <w:bottom w:w="0" w:type="dxa"/>
              <w:right w:w="108" w:type="dxa"/>
            </w:tcMar>
            <w:vAlign w:val="center"/>
            <w:hideMark/>
          </w:tcPr>
          <w:p w14:paraId="13C60493" w14:textId="77777777" w:rsidR="00E677FB" w:rsidRPr="00BD295E" w:rsidRDefault="008A5057" w:rsidP="0031297B">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2016</w:t>
            </w:r>
          </w:p>
        </w:tc>
        <w:tc>
          <w:tcPr>
            <w:tcW w:w="709" w:type="dxa"/>
            <w:shd w:val="clear" w:color="auto" w:fill="auto"/>
            <w:vAlign w:val="center"/>
          </w:tcPr>
          <w:p w14:paraId="2EAA43B6" w14:textId="77777777" w:rsidR="00E677FB" w:rsidRPr="00BD295E" w:rsidRDefault="008A5057" w:rsidP="0031297B">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2017</w:t>
            </w:r>
          </w:p>
        </w:tc>
        <w:tc>
          <w:tcPr>
            <w:tcW w:w="850" w:type="dxa"/>
            <w:shd w:val="clear" w:color="auto" w:fill="auto"/>
            <w:vAlign w:val="center"/>
          </w:tcPr>
          <w:p w14:paraId="54F45B75" w14:textId="77777777" w:rsidR="00E677FB" w:rsidRPr="00BD295E" w:rsidRDefault="008A5057" w:rsidP="0031297B">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2018</w:t>
            </w:r>
          </w:p>
        </w:tc>
        <w:tc>
          <w:tcPr>
            <w:tcW w:w="1418" w:type="dxa"/>
            <w:shd w:val="clear" w:color="auto" w:fill="auto"/>
            <w:tcMar>
              <w:top w:w="13" w:type="dxa"/>
              <w:left w:w="108" w:type="dxa"/>
              <w:bottom w:w="0" w:type="dxa"/>
              <w:right w:w="108" w:type="dxa"/>
            </w:tcMar>
            <w:vAlign w:val="center"/>
            <w:hideMark/>
          </w:tcPr>
          <w:p w14:paraId="3D657624" w14:textId="77777777" w:rsidR="00E677FB" w:rsidRPr="00BD295E" w:rsidRDefault="00C064D1" w:rsidP="0031297B">
            <w:pPr>
              <w:jc w:val="center"/>
              <w:rPr>
                <w:rFonts w:ascii="Arial" w:hAnsi="Arial" w:cs="Arial"/>
                <w:sz w:val="18"/>
                <w:szCs w:val="18"/>
                <w:lang w:val="en-US"/>
              </w:rPr>
            </w:pPr>
            <w:r w:rsidRPr="00BD295E">
              <w:rPr>
                <w:rFonts w:ascii="Arial" w:hAnsi="Arial" w:cs="Arial"/>
                <w:bCs/>
                <w:sz w:val="18"/>
                <w:szCs w:val="18"/>
                <w:lang w:val="en-US"/>
              </w:rPr>
              <w:t>2018 vs. 2017</w:t>
            </w:r>
            <w:r w:rsidR="008A5057" w:rsidRPr="00BD295E">
              <w:rPr>
                <w:rFonts w:ascii="Arial" w:hAnsi="Arial" w:cs="Arial"/>
                <w:bCs/>
                <w:sz w:val="18"/>
                <w:szCs w:val="18"/>
                <w:lang w:val="en-US"/>
              </w:rPr>
              <w:t xml:space="preserve">, % </w:t>
            </w:r>
          </w:p>
        </w:tc>
      </w:tr>
      <w:tr w:rsidR="002E01BE" w:rsidRPr="00BD295E" w14:paraId="21FB3D40" w14:textId="77777777" w:rsidTr="0031297B">
        <w:trPr>
          <w:trHeight w:val="20"/>
        </w:trPr>
        <w:tc>
          <w:tcPr>
            <w:tcW w:w="2510" w:type="dxa"/>
            <w:shd w:val="clear" w:color="auto" w:fill="auto"/>
            <w:tcMar>
              <w:top w:w="13" w:type="dxa"/>
              <w:left w:w="105" w:type="dxa"/>
              <w:bottom w:w="0" w:type="dxa"/>
              <w:right w:w="105" w:type="dxa"/>
            </w:tcMar>
            <w:vAlign w:val="center"/>
            <w:hideMark/>
          </w:tcPr>
          <w:p w14:paraId="496AFBF8" w14:textId="77777777" w:rsidR="00E677FB" w:rsidRPr="00BD295E" w:rsidRDefault="008A5057" w:rsidP="0031297B">
            <w:pPr>
              <w:rPr>
                <w:rFonts w:ascii="Arial" w:hAnsi="Arial" w:cs="Arial"/>
                <w:sz w:val="18"/>
                <w:szCs w:val="18"/>
                <w:lang w:val="en-US"/>
              </w:rPr>
            </w:pPr>
            <w:r w:rsidRPr="00BD295E">
              <w:rPr>
                <w:rFonts w:ascii="Arial" w:hAnsi="Arial" w:cs="Arial"/>
                <w:sz w:val="18"/>
                <w:szCs w:val="18"/>
                <w:lang w:val="en-US"/>
              </w:rPr>
              <w:t>Installed capacity</w:t>
            </w:r>
          </w:p>
        </w:tc>
        <w:tc>
          <w:tcPr>
            <w:tcW w:w="1291" w:type="dxa"/>
            <w:shd w:val="clear" w:color="auto" w:fill="auto"/>
            <w:tcMar>
              <w:top w:w="13" w:type="dxa"/>
              <w:left w:w="105" w:type="dxa"/>
              <w:bottom w:w="0" w:type="dxa"/>
              <w:right w:w="105" w:type="dxa"/>
            </w:tcMar>
            <w:vAlign w:val="center"/>
            <w:hideMark/>
          </w:tcPr>
          <w:p w14:paraId="28513F5F"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MVA</w:t>
            </w:r>
          </w:p>
        </w:tc>
        <w:tc>
          <w:tcPr>
            <w:tcW w:w="877" w:type="dxa"/>
            <w:shd w:val="clear" w:color="auto" w:fill="auto"/>
            <w:tcMar>
              <w:top w:w="13" w:type="dxa"/>
              <w:left w:w="105" w:type="dxa"/>
              <w:bottom w:w="0" w:type="dxa"/>
              <w:right w:w="105" w:type="dxa"/>
            </w:tcMar>
            <w:vAlign w:val="center"/>
            <w:hideMark/>
          </w:tcPr>
          <w:p w14:paraId="4FF8F707"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23,951</w:t>
            </w:r>
          </w:p>
        </w:tc>
        <w:tc>
          <w:tcPr>
            <w:tcW w:w="851" w:type="dxa"/>
            <w:shd w:val="clear" w:color="auto" w:fill="auto"/>
            <w:tcMar>
              <w:top w:w="13" w:type="dxa"/>
              <w:left w:w="105" w:type="dxa"/>
              <w:bottom w:w="0" w:type="dxa"/>
              <w:right w:w="105" w:type="dxa"/>
            </w:tcMar>
            <w:vAlign w:val="center"/>
            <w:hideMark/>
          </w:tcPr>
          <w:p w14:paraId="1D29A761"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24,321</w:t>
            </w:r>
          </w:p>
        </w:tc>
        <w:tc>
          <w:tcPr>
            <w:tcW w:w="850" w:type="dxa"/>
            <w:shd w:val="clear" w:color="auto" w:fill="auto"/>
            <w:tcMar>
              <w:top w:w="13" w:type="dxa"/>
              <w:left w:w="108" w:type="dxa"/>
              <w:bottom w:w="0" w:type="dxa"/>
              <w:right w:w="108" w:type="dxa"/>
            </w:tcMar>
            <w:vAlign w:val="center"/>
            <w:hideMark/>
          </w:tcPr>
          <w:p w14:paraId="6206F3ED"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24,977</w:t>
            </w:r>
          </w:p>
        </w:tc>
        <w:tc>
          <w:tcPr>
            <w:tcW w:w="709" w:type="dxa"/>
            <w:shd w:val="clear" w:color="auto" w:fill="auto"/>
            <w:vAlign w:val="center"/>
          </w:tcPr>
          <w:p w14:paraId="3FC8B413"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26,677</w:t>
            </w:r>
          </w:p>
        </w:tc>
        <w:tc>
          <w:tcPr>
            <w:tcW w:w="850" w:type="dxa"/>
            <w:shd w:val="clear" w:color="auto" w:fill="auto"/>
            <w:vAlign w:val="center"/>
          </w:tcPr>
          <w:p w14:paraId="11B102BD"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27,956</w:t>
            </w:r>
          </w:p>
        </w:tc>
        <w:tc>
          <w:tcPr>
            <w:tcW w:w="1418" w:type="dxa"/>
            <w:shd w:val="clear" w:color="auto" w:fill="auto"/>
            <w:tcMar>
              <w:top w:w="13" w:type="dxa"/>
              <w:left w:w="108" w:type="dxa"/>
              <w:bottom w:w="0" w:type="dxa"/>
              <w:right w:w="108" w:type="dxa"/>
            </w:tcMar>
            <w:vAlign w:val="center"/>
          </w:tcPr>
          <w:p w14:paraId="4EC2CB3A"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4.8</w:t>
            </w:r>
          </w:p>
        </w:tc>
      </w:tr>
      <w:tr w:rsidR="002E01BE" w:rsidRPr="00BD295E" w14:paraId="75F0B528" w14:textId="77777777" w:rsidTr="0031297B">
        <w:trPr>
          <w:trHeight w:val="20"/>
        </w:trPr>
        <w:tc>
          <w:tcPr>
            <w:tcW w:w="2510" w:type="dxa"/>
            <w:shd w:val="clear" w:color="auto" w:fill="auto"/>
            <w:tcMar>
              <w:top w:w="13" w:type="dxa"/>
              <w:left w:w="105" w:type="dxa"/>
              <w:bottom w:w="0" w:type="dxa"/>
              <w:right w:w="105" w:type="dxa"/>
            </w:tcMar>
            <w:vAlign w:val="center"/>
            <w:hideMark/>
          </w:tcPr>
          <w:p w14:paraId="3E69772C" w14:textId="77777777" w:rsidR="00E677FB" w:rsidRPr="00BD295E" w:rsidRDefault="008A5057" w:rsidP="0031297B">
            <w:pPr>
              <w:rPr>
                <w:rFonts w:ascii="Arial" w:hAnsi="Arial" w:cs="Arial"/>
                <w:sz w:val="18"/>
                <w:szCs w:val="18"/>
                <w:lang w:val="en-US"/>
              </w:rPr>
            </w:pPr>
            <w:r w:rsidRPr="00BD295E">
              <w:rPr>
                <w:rFonts w:ascii="Arial" w:hAnsi="Arial" w:cs="Arial"/>
                <w:sz w:val="18"/>
                <w:szCs w:val="18"/>
                <w:lang w:val="en-US"/>
              </w:rPr>
              <w:t>Overhead lines (0.4–110 kV circuits)</w:t>
            </w:r>
          </w:p>
        </w:tc>
        <w:tc>
          <w:tcPr>
            <w:tcW w:w="1291" w:type="dxa"/>
            <w:shd w:val="clear" w:color="auto" w:fill="auto"/>
            <w:tcMar>
              <w:top w:w="13" w:type="dxa"/>
              <w:left w:w="105" w:type="dxa"/>
              <w:bottom w:w="0" w:type="dxa"/>
              <w:right w:w="105" w:type="dxa"/>
            </w:tcMar>
            <w:vAlign w:val="center"/>
            <w:hideMark/>
          </w:tcPr>
          <w:p w14:paraId="6F0DB24A"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 xml:space="preserve"> km</w:t>
            </w:r>
          </w:p>
        </w:tc>
        <w:tc>
          <w:tcPr>
            <w:tcW w:w="877" w:type="dxa"/>
            <w:shd w:val="clear" w:color="auto" w:fill="auto"/>
            <w:tcMar>
              <w:top w:w="13" w:type="dxa"/>
              <w:left w:w="105" w:type="dxa"/>
              <w:bottom w:w="0" w:type="dxa"/>
              <w:right w:w="105" w:type="dxa"/>
            </w:tcMar>
            <w:vAlign w:val="center"/>
            <w:hideMark/>
          </w:tcPr>
          <w:p w14:paraId="7B7DC2E1"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41,832</w:t>
            </w:r>
          </w:p>
        </w:tc>
        <w:tc>
          <w:tcPr>
            <w:tcW w:w="851" w:type="dxa"/>
            <w:shd w:val="clear" w:color="auto" w:fill="auto"/>
            <w:tcMar>
              <w:top w:w="13" w:type="dxa"/>
              <w:left w:w="105" w:type="dxa"/>
              <w:bottom w:w="0" w:type="dxa"/>
              <w:right w:w="105" w:type="dxa"/>
            </w:tcMar>
            <w:vAlign w:val="center"/>
            <w:hideMark/>
          </w:tcPr>
          <w:p w14:paraId="22AA37A3"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42,270</w:t>
            </w:r>
          </w:p>
        </w:tc>
        <w:tc>
          <w:tcPr>
            <w:tcW w:w="850" w:type="dxa"/>
            <w:shd w:val="clear" w:color="auto" w:fill="auto"/>
            <w:tcMar>
              <w:top w:w="13" w:type="dxa"/>
              <w:left w:w="108" w:type="dxa"/>
              <w:bottom w:w="0" w:type="dxa"/>
              <w:right w:w="108" w:type="dxa"/>
            </w:tcMar>
            <w:vAlign w:val="center"/>
            <w:hideMark/>
          </w:tcPr>
          <w:p w14:paraId="77253277"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43,347</w:t>
            </w:r>
          </w:p>
        </w:tc>
        <w:tc>
          <w:tcPr>
            <w:tcW w:w="709" w:type="dxa"/>
            <w:shd w:val="clear" w:color="auto" w:fill="auto"/>
            <w:vAlign w:val="center"/>
          </w:tcPr>
          <w:p w14:paraId="690DFFA8"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44,398</w:t>
            </w:r>
          </w:p>
        </w:tc>
        <w:tc>
          <w:tcPr>
            <w:tcW w:w="850" w:type="dxa"/>
            <w:shd w:val="clear" w:color="auto" w:fill="auto"/>
            <w:vAlign w:val="center"/>
          </w:tcPr>
          <w:p w14:paraId="5915B6C2"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45,571</w:t>
            </w:r>
          </w:p>
        </w:tc>
        <w:tc>
          <w:tcPr>
            <w:tcW w:w="1418" w:type="dxa"/>
            <w:shd w:val="clear" w:color="auto" w:fill="auto"/>
            <w:tcMar>
              <w:top w:w="13" w:type="dxa"/>
              <w:left w:w="108" w:type="dxa"/>
              <w:bottom w:w="0" w:type="dxa"/>
              <w:right w:w="108" w:type="dxa"/>
            </w:tcMar>
            <w:vAlign w:val="center"/>
          </w:tcPr>
          <w:p w14:paraId="31110B71"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2.6</w:t>
            </w:r>
          </w:p>
        </w:tc>
      </w:tr>
      <w:tr w:rsidR="002E01BE" w:rsidRPr="00BD295E" w14:paraId="032677AD" w14:textId="77777777" w:rsidTr="0031297B">
        <w:trPr>
          <w:trHeight w:val="478"/>
        </w:trPr>
        <w:tc>
          <w:tcPr>
            <w:tcW w:w="2510" w:type="dxa"/>
            <w:shd w:val="clear" w:color="auto" w:fill="auto"/>
            <w:tcMar>
              <w:top w:w="13" w:type="dxa"/>
              <w:left w:w="105" w:type="dxa"/>
              <w:bottom w:w="0" w:type="dxa"/>
              <w:right w:w="105" w:type="dxa"/>
            </w:tcMar>
            <w:vAlign w:val="center"/>
          </w:tcPr>
          <w:p w14:paraId="2E62A7D5" w14:textId="77777777" w:rsidR="00E677FB" w:rsidRPr="00BD295E" w:rsidRDefault="008A5057" w:rsidP="0031297B">
            <w:pPr>
              <w:rPr>
                <w:rFonts w:ascii="Arial" w:hAnsi="Arial" w:cs="Arial"/>
                <w:sz w:val="18"/>
                <w:szCs w:val="18"/>
                <w:lang w:val="en-US"/>
              </w:rPr>
            </w:pPr>
            <w:r w:rsidRPr="00BD295E">
              <w:rPr>
                <w:rFonts w:ascii="Arial" w:hAnsi="Arial" w:cs="Arial"/>
                <w:sz w:val="18"/>
                <w:szCs w:val="18"/>
                <w:lang w:val="en-US"/>
              </w:rPr>
              <w:t>Cable lines (0.4–110 kV circuits)</w:t>
            </w:r>
          </w:p>
        </w:tc>
        <w:tc>
          <w:tcPr>
            <w:tcW w:w="1291" w:type="dxa"/>
            <w:shd w:val="clear" w:color="auto" w:fill="auto"/>
            <w:tcMar>
              <w:top w:w="13" w:type="dxa"/>
              <w:left w:w="105" w:type="dxa"/>
              <w:bottom w:w="0" w:type="dxa"/>
              <w:right w:w="105" w:type="dxa"/>
            </w:tcMar>
            <w:vAlign w:val="center"/>
          </w:tcPr>
          <w:p w14:paraId="19CD6A3A"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km</w:t>
            </w:r>
          </w:p>
        </w:tc>
        <w:tc>
          <w:tcPr>
            <w:tcW w:w="877" w:type="dxa"/>
            <w:shd w:val="clear" w:color="auto" w:fill="auto"/>
            <w:tcMar>
              <w:top w:w="13" w:type="dxa"/>
              <w:left w:w="105" w:type="dxa"/>
              <w:bottom w:w="0" w:type="dxa"/>
              <w:right w:w="105" w:type="dxa"/>
            </w:tcMar>
            <w:vAlign w:val="center"/>
          </w:tcPr>
          <w:p w14:paraId="7870F05C"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21,567</w:t>
            </w:r>
          </w:p>
        </w:tc>
        <w:tc>
          <w:tcPr>
            <w:tcW w:w="851" w:type="dxa"/>
            <w:shd w:val="clear" w:color="auto" w:fill="auto"/>
            <w:tcMar>
              <w:top w:w="13" w:type="dxa"/>
              <w:left w:w="105" w:type="dxa"/>
              <w:bottom w:w="0" w:type="dxa"/>
              <w:right w:w="105" w:type="dxa"/>
            </w:tcMar>
            <w:vAlign w:val="center"/>
          </w:tcPr>
          <w:p w14:paraId="1FC1E998"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22,144</w:t>
            </w:r>
          </w:p>
        </w:tc>
        <w:tc>
          <w:tcPr>
            <w:tcW w:w="850" w:type="dxa"/>
            <w:shd w:val="clear" w:color="auto" w:fill="auto"/>
            <w:tcMar>
              <w:top w:w="13" w:type="dxa"/>
              <w:left w:w="108" w:type="dxa"/>
              <w:bottom w:w="0" w:type="dxa"/>
              <w:right w:w="108" w:type="dxa"/>
            </w:tcMar>
            <w:vAlign w:val="center"/>
          </w:tcPr>
          <w:p w14:paraId="6D2B1C8C"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22,497</w:t>
            </w:r>
          </w:p>
        </w:tc>
        <w:tc>
          <w:tcPr>
            <w:tcW w:w="709" w:type="dxa"/>
            <w:shd w:val="clear" w:color="auto" w:fill="auto"/>
            <w:vAlign w:val="center"/>
          </w:tcPr>
          <w:p w14:paraId="29F306C5"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23,160</w:t>
            </w:r>
          </w:p>
        </w:tc>
        <w:tc>
          <w:tcPr>
            <w:tcW w:w="850" w:type="dxa"/>
            <w:shd w:val="clear" w:color="auto" w:fill="auto"/>
            <w:vAlign w:val="center"/>
          </w:tcPr>
          <w:p w14:paraId="6B577A39"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23,832</w:t>
            </w:r>
          </w:p>
        </w:tc>
        <w:tc>
          <w:tcPr>
            <w:tcW w:w="1418" w:type="dxa"/>
            <w:shd w:val="clear" w:color="auto" w:fill="auto"/>
            <w:tcMar>
              <w:top w:w="13" w:type="dxa"/>
              <w:left w:w="108" w:type="dxa"/>
              <w:bottom w:w="0" w:type="dxa"/>
              <w:right w:w="108" w:type="dxa"/>
            </w:tcMar>
            <w:vAlign w:val="center"/>
          </w:tcPr>
          <w:p w14:paraId="15F8C190"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2.9</w:t>
            </w:r>
          </w:p>
        </w:tc>
      </w:tr>
      <w:tr w:rsidR="002E01BE" w:rsidRPr="00BD295E" w14:paraId="50233288" w14:textId="77777777" w:rsidTr="0031297B">
        <w:trPr>
          <w:trHeight w:val="390"/>
        </w:trPr>
        <w:tc>
          <w:tcPr>
            <w:tcW w:w="2510" w:type="dxa"/>
            <w:tcBorders>
              <w:bottom w:val="single" w:sz="4" w:space="0" w:color="auto"/>
            </w:tcBorders>
            <w:shd w:val="clear" w:color="auto" w:fill="auto"/>
            <w:tcMar>
              <w:top w:w="13" w:type="dxa"/>
              <w:left w:w="105" w:type="dxa"/>
              <w:bottom w:w="0" w:type="dxa"/>
              <w:right w:w="105" w:type="dxa"/>
            </w:tcMar>
            <w:vAlign w:val="center"/>
          </w:tcPr>
          <w:p w14:paraId="75C9CA76" w14:textId="77777777" w:rsidR="00E677FB" w:rsidRPr="00BD295E" w:rsidRDefault="008A5057" w:rsidP="0031297B">
            <w:pPr>
              <w:rPr>
                <w:rFonts w:ascii="Arial" w:hAnsi="Arial" w:cs="Arial"/>
                <w:sz w:val="18"/>
                <w:szCs w:val="18"/>
                <w:lang w:val="en-US"/>
              </w:rPr>
            </w:pPr>
            <w:r w:rsidRPr="00BD295E">
              <w:rPr>
                <w:rFonts w:ascii="Arial" w:hAnsi="Arial" w:cs="Arial"/>
                <w:sz w:val="18"/>
                <w:szCs w:val="18"/>
                <w:lang w:val="en-US"/>
              </w:rPr>
              <w:t>35–110 kV substations</w:t>
            </w:r>
          </w:p>
        </w:tc>
        <w:tc>
          <w:tcPr>
            <w:tcW w:w="1291" w:type="dxa"/>
            <w:tcBorders>
              <w:bottom w:val="single" w:sz="4" w:space="0" w:color="auto"/>
            </w:tcBorders>
            <w:shd w:val="clear" w:color="auto" w:fill="auto"/>
            <w:tcMar>
              <w:top w:w="13" w:type="dxa"/>
              <w:left w:w="105" w:type="dxa"/>
              <w:bottom w:w="0" w:type="dxa"/>
              <w:right w:w="105" w:type="dxa"/>
            </w:tcMar>
            <w:vAlign w:val="center"/>
          </w:tcPr>
          <w:p w14:paraId="59690DEC"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Units</w:t>
            </w:r>
          </w:p>
        </w:tc>
        <w:tc>
          <w:tcPr>
            <w:tcW w:w="877" w:type="dxa"/>
            <w:tcBorders>
              <w:bottom w:val="single" w:sz="4" w:space="0" w:color="auto"/>
            </w:tcBorders>
            <w:shd w:val="clear" w:color="auto" w:fill="auto"/>
            <w:tcMar>
              <w:top w:w="13" w:type="dxa"/>
              <w:left w:w="105" w:type="dxa"/>
              <w:bottom w:w="0" w:type="dxa"/>
              <w:right w:w="105" w:type="dxa"/>
            </w:tcMar>
            <w:vAlign w:val="center"/>
          </w:tcPr>
          <w:p w14:paraId="2E480DA6"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379</w:t>
            </w:r>
          </w:p>
        </w:tc>
        <w:tc>
          <w:tcPr>
            <w:tcW w:w="851" w:type="dxa"/>
            <w:tcBorders>
              <w:bottom w:val="single" w:sz="4" w:space="0" w:color="auto"/>
            </w:tcBorders>
            <w:shd w:val="clear" w:color="auto" w:fill="auto"/>
            <w:tcMar>
              <w:top w:w="13" w:type="dxa"/>
              <w:left w:w="105" w:type="dxa"/>
              <w:bottom w:w="0" w:type="dxa"/>
              <w:right w:w="105" w:type="dxa"/>
            </w:tcMar>
            <w:vAlign w:val="center"/>
          </w:tcPr>
          <w:p w14:paraId="1D4056E6"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386</w:t>
            </w:r>
          </w:p>
        </w:tc>
        <w:tc>
          <w:tcPr>
            <w:tcW w:w="850" w:type="dxa"/>
            <w:tcBorders>
              <w:bottom w:val="single" w:sz="4" w:space="0" w:color="auto"/>
            </w:tcBorders>
            <w:shd w:val="clear" w:color="auto" w:fill="auto"/>
            <w:tcMar>
              <w:top w:w="13" w:type="dxa"/>
              <w:left w:w="108" w:type="dxa"/>
              <w:bottom w:w="0" w:type="dxa"/>
              <w:right w:w="108" w:type="dxa"/>
            </w:tcMar>
            <w:vAlign w:val="center"/>
          </w:tcPr>
          <w:p w14:paraId="485274DE"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386</w:t>
            </w:r>
          </w:p>
        </w:tc>
        <w:tc>
          <w:tcPr>
            <w:tcW w:w="709" w:type="dxa"/>
            <w:tcBorders>
              <w:bottom w:val="single" w:sz="4" w:space="0" w:color="auto"/>
            </w:tcBorders>
            <w:shd w:val="clear" w:color="auto" w:fill="auto"/>
            <w:vAlign w:val="center"/>
          </w:tcPr>
          <w:p w14:paraId="1E5A5526"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396</w:t>
            </w:r>
          </w:p>
        </w:tc>
        <w:tc>
          <w:tcPr>
            <w:tcW w:w="850" w:type="dxa"/>
            <w:tcBorders>
              <w:bottom w:val="single" w:sz="4" w:space="0" w:color="auto"/>
            </w:tcBorders>
            <w:shd w:val="clear" w:color="auto" w:fill="auto"/>
            <w:vAlign w:val="center"/>
          </w:tcPr>
          <w:p w14:paraId="0A8146E2"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396</w:t>
            </w:r>
          </w:p>
        </w:tc>
        <w:tc>
          <w:tcPr>
            <w:tcW w:w="1418" w:type="dxa"/>
            <w:tcBorders>
              <w:bottom w:val="single" w:sz="4" w:space="0" w:color="auto"/>
            </w:tcBorders>
            <w:shd w:val="clear" w:color="auto" w:fill="auto"/>
            <w:tcMar>
              <w:top w:w="13" w:type="dxa"/>
              <w:left w:w="108" w:type="dxa"/>
              <w:bottom w:w="0" w:type="dxa"/>
              <w:right w:w="108" w:type="dxa"/>
            </w:tcMar>
            <w:vAlign w:val="center"/>
          </w:tcPr>
          <w:p w14:paraId="1C8908CC"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0</w:t>
            </w:r>
          </w:p>
        </w:tc>
      </w:tr>
      <w:tr w:rsidR="008A5057" w:rsidRPr="00BD295E" w14:paraId="7B5A6EB9" w14:textId="77777777" w:rsidTr="0031297B">
        <w:trPr>
          <w:trHeight w:val="20"/>
        </w:trPr>
        <w:tc>
          <w:tcPr>
            <w:tcW w:w="2510" w:type="dxa"/>
            <w:tcBorders>
              <w:bottom w:val="single" w:sz="12" w:space="0" w:color="auto"/>
            </w:tcBorders>
            <w:shd w:val="clear" w:color="auto" w:fill="auto"/>
            <w:tcMar>
              <w:top w:w="13" w:type="dxa"/>
              <w:left w:w="105" w:type="dxa"/>
              <w:bottom w:w="0" w:type="dxa"/>
              <w:right w:w="105" w:type="dxa"/>
            </w:tcMar>
            <w:vAlign w:val="center"/>
          </w:tcPr>
          <w:p w14:paraId="71565CA0" w14:textId="77777777" w:rsidR="00E677FB" w:rsidRPr="00BD295E" w:rsidRDefault="008A5057" w:rsidP="0031297B">
            <w:pPr>
              <w:rPr>
                <w:rFonts w:ascii="Arial" w:hAnsi="Arial" w:cs="Arial"/>
                <w:sz w:val="18"/>
                <w:szCs w:val="18"/>
                <w:lang w:val="en-US"/>
              </w:rPr>
            </w:pPr>
            <w:r w:rsidRPr="00BD295E">
              <w:rPr>
                <w:rFonts w:ascii="Arial" w:hAnsi="Arial" w:cs="Arial"/>
                <w:sz w:val="18"/>
                <w:szCs w:val="18"/>
                <w:lang w:val="en-US"/>
              </w:rPr>
              <w:t>6–35 kV transformer substations</w:t>
            </w:r>
          </w:p>
        </w:tc>
        <w:tc>
          <w:tcPr>
            <w:tcW w:w="1291" w:type="dxa"/>
            <w:tcBorders>
              <w:bottom w:val="single" w:sz="12" w:space="0" w:color="auto"/>
            </w:tcBorders>
            <w:shd w:val="clear" w:color="auto" w:fill="auto"/>
            <w:tcMar>
              <w:top w:w="13" w:type="dxa"/>
              <w:left w:w="105" w:type="dxa"/>
              <w:bottom w:w="0" w:type="dxa"/>
              <w:right w:w="105" w:type="dxa"/>
            </w:tcMar>
            <w:vAlign w:val="center"/>
          </w:tcPr>
          <w:p w14:paraId="192C626F"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Units</w:t>
            </w:r>
          </w:p>
        </w:tc>
        <w:tc>
          <w:tcPr>
            <w:tcW w:w="877" w:type="dxa"/>
            <w:tcBorders>
              <w:bottom w:val="single" w:sz="12" w:space="0" w:color="auto"/>
            </w:tcBorders>
            <w:shd w:val="clear" w:color="auto" w:fill="auto"/>
            <w:tcMar>
              <w:top w:w="13" w:type="dxa"/>
              <w:left w:w="105" w:type="dxa"/>
              <w:bottom w:w="0" w:type="dxa"/>
              <w:right w:w="105" w:type="dxa"/>
            </w:tcMar>
            <w:vAlign w:val="center"/>
          </w:tcPr>
          <w:p w14:paraId="56C8FCFC"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16,233</w:t>
            </w:r>
          </w:p>
        </w:tc>
        <w:tc>
          <w:tcPr>
            <w:tcW w:w="851" w:type="dxa"/>
            <w:tcBorders>
              <w:bottom w:val="single" w:sz="12" w:space="0" w:color="auto"/>
            </w:tcBorders>
            <w:shd w:val="clear" w:color="auto" w:fill="auto"/>
            <w:tcMar>
              <w:top w:w="13" w:type="dxa"/>
              <w:left w:w="105" w:type="dxa"/>
              <w:bottom w:w="0" w:type="dxa"/>
              <w:right w:w="105" w:type="dxa"/>
            </w:tcMar>
            <w:vAlign w:val="center"/>
          </w:tcPr>
          <w:p w14:paraId="779E4661"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16,564</w:t>
            </w:r>
          </w:p>
        </w:tc>
        <w:tc>
          <w:tcPr>
            <w:tcW w:w="850" w:type="dxa"/>
            <w:tcBorders>
              <w:bottom w:val="single" w:sz="12" w:space="0" w:color="auto"/>
            </w:tcBorders>
            <w:shd w:val="clear" w:color="auto" w:fill="auto"/>
            <w:tcMar>
              <w:top w:w="13" w:type="dxa"/>
              <w:left w:w="108" w:type="dxa"/>
              <w:bottom w:w="0" w:type="dxa"/>
              <w:right w:w="108" w:type="dxa"/>
            </w:tcMar>
            <w:vAlign w:val="center"/>
          </w:tcPr>
          <w:p w14:paraId="0DFEFA97"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17,778</w:t>
            </w:r>
          </w:p>
        </w:tc>
        <w:tc>
          <w:tcPr>
            <w:tcW w:w="709" w:type="dxa"/>
            <w:tcBorders>
              <w:bottom w:val="single" w:sz="12" w:space="0" w:color="auto"/>
            </w:tcBorders>
            <w:shd w:val="clear" w:color="auto" w:fill="auto"/>
            <w:vAlign w:val="center"/>
          </w:tcPr>
          <w:p w14:paraId="09E0365F"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18,479</w:t>
            </w:r>
          </w:p>
        </w:tc>
        <w:tc>
          <w:tcPr>
            <w:tcW w:w="850" w:type="dxa"/>
            <w:tcBorders>
              <w:bottom w:val="single" w:sz="12" w:space="0" w:color="auto"/>
            </w:tcBorders>
            <w:shd w:val="clear" w:color="auto" w:fill="auto"/>
            <w:vAlign w:val="center"/>
          </w:tcPr>
          <w:p w14:paraId="799280DF"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19,442</w:t>
            </w:r>
          </w:p>
        </w:tc>
        <w:tc>
          <w:tcPr>
            <w:tcW w:w="1418" w:type="dxa"/>
            <w:tcBorders>
              <w:bottom w:val="single" w:sz="12" w:space="0" w:color="auto"/>
            </w:tcBorders>
            <w:shd w:val="clear" w:color="auto" w:fill="auto"/>
            <w:tcMar>
              <w:top w:w="13" w:type="dxa"/>
              <w:left w:w="108" w:type="dxa"/>
              <w:bottom w:w="0" w:type="dxa"/>
              <w:right w:w="108" w:type="dxa"/>
            </w:tcMar>
            <w:vAlign w:val="center"/>
          </w:tcPr>
          <w:p w14:paraId="0466EB38" w14:textId="77777777" w:rsidR="00E677FB"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5.2</w:t>
            </w:r>
          </w:p>
        </w:tc>
      </w:tr>
    </w:tbl>
    <w:p w14:paraId="5756B5ED" w14:textId="77777777" w:rsidR="003F6DA4" w:rsidRPr="00BD295E" w:rsidRDefault="008A5057" w:rsidP="007716CA">
      <w:pPr>
        <w:tabs>
          <w:tab w:val="left" w:pos="1134"/>
        </w:tabs>
        <w:jc w:val="both"/>
        <w:rPr>
          <w:rFonts w:ascii="Arial" w:hAnsi="Arial" w:cs="Arial"/>
          <w:iCs/>
          <w:sz w:val="18"/>
          <w:szCs w:val="18"/>
          <w:lang w:val="en-US"/>
        </w:rPr>
      </w:pPr>
      <w:r w:rsidRPr="00BD295E">
        <w:rPr>
          <w:rFonts w:ascii="Arial" w:hAnsi="Arial" w:cs="Arial"/>
          <w:iCs/>
          <w:sz w:val="18"/>
          <w:szCs w:val="18"/>
          <w:lang w:val="en-US"/>
        </w:rPr>
        <w:t>* including trust management</w:t>
      </w:r>
    </w:p>
    <w:p w14:paraId="348E35B7" w14:textId="77777777" w:rsidR="00D55E31" w:rsidRPr="00BD295E" w:rsidRDefault="00D55E31" w:rsidP="007716CA">
      <w:pPr>
        <w:tabs>
          <w:tab w:val="left" w:pos="1134"/>
        </w:tabs>
        <w:jc w:val="both"/>
        <w:rPr>
          <w:rFonts w:ascii="Arial" w:hAnsi="Arial" w:cs="Arial"/>
          <w:iCs/>
          <w:sz w:val="18"/>
          <w:szCs w:val="18"/>
          <w:lang w:val="en-US"/>
        </w:rPr>
      </w:pPr>
    </w:p>
    <w:p w14:paraId="4EAF878B" w14:textId="77777777" w:rsidR="003F6DA4" w:rsidRPr="00BD295E" w:rsidRDefault="008A5057" w:rsidP="00230AF5">
      <w:pPr>
        <w:keepNext/>
        <w:numPr>
          <w:ilvl w:val="1"/>
          <w:numId w:val="6"/>
        </w:numPr>
        <w:spacing w:line="360" w:lineRule="auto"/>
        <w:ind w:left="0" w:firstLine="709"/>
        <w:jc w:val="both"/>
        <w:outlineLvl w:val="1"/>
        <w:rPr>
          <w:rFonts w:ascii="Arial" w:hAnsi="Arial" w:cs="Arial"/>
          <w:b/>
          <w:sz w:val="18"/>
          <w:szCs w:val="18"/>
          <w:lang w:val="en-US"/>
        </w:rPr>
      </w:pPr>
      <w:bookmarkStart w:id="31" w:name="_Toc509493378"/>
      <w:bookmarkStart w:id="32" w:name="_Toc509497944"/>
      <w:bookmarkStart w:id="33" w:name="_Toc509581246"/>
      <w:bookmarkStart w:id="34" w:name="_Toc510452210"/>
      <w:bookmarkStart w:id="35" w:name="_Toc5026988"/>
      <w:bookmarkStart w:id="36" w:name="_Toc5105957"/>
      <w:bookmarkStart w:id="37" w:name="_Toc5203810"/>
      <w:bookmarkStart w:id="38" w:name="_Toc6230906"/>
      <w:bookmarkStart w:id="39" w:name="_Toc7172554"/>
      <w:bookmarkStart w:id="40" w:name="_Toc7172600"/>
      <w:bookmarkStart w:id="41" w:name="_Toc95855275"/>
      <w:bookmarkStart w:id="42" w:name="_Toc95935334"/>
      <w:r w:rsidRPr="00BD295E">
        <w:rPr>
          <w:rFonts w:ascii="Arial" w:hAnsi="Arial" w:cs="Arial"/>
          <w:b/>
          <w:sz w:val="18"/>
          <w:szCs w:val="18"/>
          <w:lang w:val="en-US"/>
        </w:rPr>
        <w:t>Structure and Geography of the Company’s Operations</w:t>
      </w:r>
      <w:bookmarkEnd w:id="31"/>
      <w:bookmarkEnd w:id="32"/>
      <w:bookmarkEnd w:id="33"/>
      <w:bookmarkEnd w:id="34"/>
      <w:bookmarkEnd w:id="35"/>
      <w:bookmarkEnd w:id="36"/>
      <w:bookmarkEnd w:id="37"/>
      <w:bookmarkEnd w:id="38"/>
      <w:bookmarkEnd w:id="39"/>
      <w:bookmarkEnd w:id="40"/>
      <w:bookmarkEnd w:id="41"/>
      <w:bookmarkEnd w:id="42"/>
    </w:p>
    <w:p w14:paraId="3EEFC613" w14:textId="77777777" w:rsidR="003F6DA4" w:rsidRPr="00BD295E" w:rsidRDefault="003F6DA4" w:rsidP="003F6DA4">
      <w:pPr>
        <w:ind w:firstLine="709"/>
        <w:contextualSpacing/>
        <w:jc w:val="both"/>
        <w:rPr>
          <w:rFonts w:ascii="Arial" w:hAnsi="Arial" w:cs="Arial"/>
          <w:sz w:val="18"/>
          <w:szCs w:val="18"/>
          <w:lang w:val="en-US"/>
        </w:rPr>
      </w:pPr>
    </w:p>
    <w:p w14:paraId="0F8E93EF" w14:textId="77777777" w:rsidR="003F6DA4" w:rsidRPr="00BD295E" w:rsidRDefault="008A5057" w:rsidP="003F6DA4">
      <w:pPr>
        <w:jc w:val="both"/>
        <w:rPr>
          <w:rFonts w:ascii="Arial" w:hAnsi="Arial" w:cs="Arial"/>
          <w:sz w:val="18"/>
          <w:szCs w:val="18"/>
          <w:lang w:val="en-US"/>
        </w:rPr>
      </w:pPr>
      <w:r w:rsidRPr="00BD295E">
        <w:rPr>
          <w:rFonts w:ascii="Arial" w:hAnsi="Arial" w:cs="Arial"/>
          <w:sz w:val="18"/>
          <w:szCs w:val="18"/>
          <w:lang w:val="en-US"/>
        </w:rPr>
        <w:t>As at December 31, 2018, Lenenergo Group included the following branches:</w:t>
      </w:r>
    </w:p>
    <w:p w14:paraId="6BCDE0CF" w14:textId="77777777" w:rsidR="00C90D08" w:rsidRPr="00BD295E" w:rsidRDefault="00C90D08" w:rsidP="003F6DA4">
      <w:pPr>
        <w:jc w:val="both"/>
        <w:rPr>
          <w:rFonts w:ascii="Arial" w:hAnsi="Arial" w:cs="Arial"/>
          <w:sz w:val="18"/>
          <w:szCs w:val="18"/>
          <w:lang w:val="en-US"/>
        </w:rPr>
      </w:pPr>
    </w:p>
    <w:tbl>
      <w:tblPr>
        <w:tblW w:w="9190" w:type="dxa"/>
        <w:tblInd w:w="103" w:type="dxa"/>
        <w:tblLook w:val="04A0" w:firstRow="1" w:lastRow="0" w:firstColumn="1" w:lastColumn="0" w:noHBand="0" w:noVBand="1"/>
      </w:tblPr>
      <w:tblGrid>
        <w:gridCol w:w="3549"/>
        <w:gridCol w:w="992"/>
        <w:gridCol w:w="1134"/>
        <w:gridCol w:w="1094"/>
        <w:gridCol w:w="993"/>
        <w:gridCol w:w="1428"/>
      </w:tblGrid>
      <w:tr w:rsidR="008A5057" w:rsidRPr="00BD295E" w14:paraId="3D2B494E" w14:textId="77777777" w:rsidTr="003F6DA4">
        <w:trPr>
          <w:trHeight w:val="300"/>
          <w:tblHeader/>
        </w:trPr>
        <w:tc>
          <w:tcPr>
            <w:tcW w:w="35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64CC0" w14:textId="77777777" w:rsidR="00A273C1" w:rsidRPr="00BD295E" w:rsidRDefault="008A5057" w:rsidP="0031297B">
            <w:pPr>
              <w:contextualSpacing/>
              <w:jc w:val="center"/>
              <w:rPr>
                <w:rFonts w:ascii="Arial" w:hAnsi="Arial" w:cs="Arial"/>
                <w:bCs/>
                <w:sz w:val="18"/>
                <w:szCs w:val="18"/>
                <w:lang w:val="en-US"/>
              </w:rPr>
            </w:pPr>
            <w:r w:rsidRPr="00BD295E">
              <w:rPr>
                <w:rFonts w:ascii="Arial" w:hAnsi="Arial" w:cs="Arial"/>
                <w:bCs/>
                <w:sz w:val="18"/>
                <w:szCs w:val="18"/>
                <w:lang w:val="en-US"/>
              </w:rPr>
              <w:t>Branch</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22B3CCA" w14:textId="77777777" w:rsidR="00A273C1" w:rsidRPr="00BD295E" w:rsidRDefault="008A5057" w:rsidP="0031297B">
            <w:pPr>
              <w:contextualSpacing/>
              <w:jc w:val="center"/>
              <w:rPr>
                <w:rFonts w:ascii="Arial" w:hAnsi="Arial" w:cs="Arial"/>
                <w:bCs/>
                <w:sz w:val="18"/>
                <w:szCs w:val="18"/>
                <w:lang w:val="en-US"/>
              </w:rPr>
            </w:pPr>
            <w:r w:rsidRPr="00BD295E">
              <w:rPr>
                <w:rFonts w:ascii="Arial" w:hAnsi="Arial" w:cs="Arial"/>
                <w:bCs/>
                <w:sz w:val="18"/>
                <w:szCs w:val="18"/>
                <w:lang w:val="en-US"/>
              </w:rPr>
              <w:t>OL by circuit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FC7DF76" w14:textId="77777777" w:rsidR="00A273C1" w:rsidRPr="00BD295E" w:rsidRDefault="008A5057" w:rsidP="0031297B">
            <w:pPr>
              <w:contextualSpacing/>
              <w:jc w:val="center"/>
              <w:rPr>
                <w:rFonts w:ascii="Arial" w:hAnsi="Arial" w:cs="Arial"/>
                <w:bCs/>
                <w:sz w:val="18"/>
                <w:szCs w:val="18"/>
                <w:lang w:val="en-US"/>
              </w:rPr>
            </w:pPr>
            <w:r w:rsidRPr="00BD295E">
              <w:rPr>
                <w:rFonts w:ascii="Arial" w:hAnsi="Arial" w:cs="Arial"/>
                <w:bCs/>
                <w:sz w:val="18"/>
                <w:szCs w:val="18"/>
                <w:lang w:val="en-US"/>
              </w:rPr>
              <w:t>OL by route</w:t>
            </w:r>
          </w:p>
        </w:tc>
        <w:tc>
          <w:tcPr>
            <w:tcW w:w="1094" w:type="dxa"/>
            <w:tcBorders>
              <w:top w:val="single" w:sz="4" w:space="0" w:color="auto"/>
              <w:left w:val="nil"/>
              <w:bottom w:val="single" w:sz="4" w:space="0" w:color="auto"/>
              <w:right w:val="single" w:sz="4" w:space="0" w:color="auto"/>
            </w:tcBorders>
            <w:shd w:val="clear" w:color="auto" w:fill="auto"/>
            <w:noWrap/>
            <w:vAlign w:val="center"/>
            <w:hideMark/>
          </w:tcPr>
          <w:p w14:paraId="01D46FB0" w14:textId="77777777" w:rsidR="00A273C1" w:rsidRPr="00BD295E" w:rsidRDefault="008A5057" w:rsidP="0031297B">
            <w:pPr>
              <w:contextualSpacing/>
              <w:jc w:val="center"/>
              <w:rPr>
                <w:rFonts w:ascii="Arial" w:hAnsi="Arial" w:cs="Arial"/>
                <w:bCs/>
                <w:sz w:val="18"/>
                <w:szCs w:val="18"/>
                <w:lang w:val="en-US"/>
              </w:rPr>
            </w:pPr>
            <w:r w:rsidRPr="00BD295E">
              <w:rPr>
                <w:rFonts w:ascii="Arial" w:hAnsi="Arial" w:cs="Arial"/>
                <w:bCs/>
                <w:sz w:val="18"/>
                <w:szCs w:val="18"/>
                <w:lang w:val="en-US"/>
              </w:rPr>
              <w:t>CL</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DCD60CB" w14:textId="77777777" w:rsidR="00A273C1" w:rsidRPr="00BD295E" w:rsidRDefault="008A5057" w:rsidP="0031297B">
            <w:pPr>
              <w:contextualSpacing/>
              <w:jc w:val="center"/>
              <w:rPr>
                <w:rFonts w:ascii="Arial" w:hAnsi="Arial" w:cs="Arial"/>
                <w:bCs/>
                <w:sz w:val="18"/>
                <w:szCs w:val="18"/>
                <w:lang w:val="en-US"/>
              </w:rPr>
            </w:pPr>
            <w:r w:rsidRPr="00BD295E">
              <w:rPr>
                <w:rFonts w:ascii="Arial" w:hAnsi="Arial" w:cs="Arial"/>
                <w:bCs/>
                <w:sz w:val="18"/>
                <w:szCs w:val="18"/>
                <w:lang w:val="en-US"/>
              </w:rPr>
              <w:t>MVA</w:t>
            </w:r>
          </w:p>
        </w:tc>
        <w:tc>
          <w:tcPr>
            <w:tcW w:w="1428" w:type="dxa"/>
            <w:tcBorders>
              <w:top w:val="single" w:sz="4" w:space="0" w:color="auto"/>
              <w:left w:val="nil"/>
              <w:bottom w:val="single" w:sz="4" w:space="0" w:color="auto"/>
              <w:right w:val="single" w:sz="4" w:space="0" w:color="auto"/>
            </w:tcBorders>
            <w:shd w:val="clear" w:color="auto" w:fill="auto"/>
            <w:noWrap/>
            <w:vAlign w:val="center"/>
            <w:hideMark/>
          </w:tcPr>
          <w:p w14:paraId="5B072BE1" w14:textId="77777777" w:rsidR="00A273C1" w:rsidRPr="00BD295E" w:rsidRDefault="008A5057" w:rsidP="003F6DA4">
            <w:pPr>
              <w:jc w:val="center"/>
              <w:rPr>
                <w:rFonts w:ascii="Arial" w:hAnsi="Arial" w:cs="Arial"/>
                <w:b/>
                <w:bCs/>
                <w:sz w:val="18"/>
                <w:szCs w:val="18"/>
                <w:lang w:val="en-US"/>
              </w:rPr>
            </w:pPr>
            <w:r w:rsidRPr="00BD295E">
              <w:rPr>
                <w:rFonts w:ascii="Arial" w:hAnsi="Arial" w:cs="Arial"/>
                <w:b/>
                <w:bCs/>
                <w:sz w:val="18"/>
                <w:szCs w:val="18"/>
                <w:lang w:val="en-US"/>
              </w:rPr>
              <w:t>Number</w:t>
            </w:r>
          </w:p>
        </w:tc>
      </w:tr>
      <w:tr w:rsidR="002E01BE" w:rsidRPr="00BD295E" w14:paraId="74D5A556" w14:textId="77777777" w:rsidTr="00D55E31">
        <w:trPr>
          <w:trHeight w:val="300"/>
        </w:trPr>
        <w:tc>
          <w:tcPr>
            <w:tcW w:w="3549" w:type="dxa"/>
            <w:tcBorders>
              <w:top w:val="nil"/>
              <w:left w:val="single" w:sz="4" w:space="0" w:color="auto"/>
              <w:bottom w:val="single" w:sz="4" w:space="0" w:color="auto"/>
              <w:right w:val="single" w:sz="4" w:space="0" w:color="auto"/>
            </w:tcBorders>
            <w:shd w:val="clear" w:color="auto" w:fill="auto"/>
            <w:vAlign w:val="bottom"/>
            <w:hideMark/>
          </w:tcPr>
          <w:p w14:paraId="40A804C3" w14:textId="77777777" w:rsidR="003326CA"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Vyborgskiye Power Grid</w:t>
            </w:r>
          </w:p>
        </w:tc>
        <w:tc>
          <w:tcPr>
            <w:tcW w:w="992" w:type="dxa"/>
            <w:tcBorders>
              <w:top w:val="nil"/>
              <w:left w:val="nil"/>
              <w:bottom w:val="single" w:sz="4" w:space="0" w:color="auto"/>
              <w:right w:val="single" w:sz="4" w:space="0" w:color="auto"/>
            </w:tcBorders>
            <w:shd w:val="clear" w:color="auto" w:fill="auto"/>
            <w:noWrap/>
            <w:vAlign w:val="bottom"/>
          </w:tcPr>
          <w:p w14:paraId="08CB7500"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9,369.16</w:t>
            </w:r>
          </w:p>
        </w:tc>
        <w:tc>
          <w:tcPr>
            <w:tcW w:w="1134" w:type="dxa"/>
            <w:tcBorders>
              <w:top w:val="nil"/>
              <w:left w:val="nil"/>
              <w:bottom w:val="single" w:sz="4" w:space="0" w:color="auto"/>
              <w:right w:val="single" w:sz="4" w:space="0" w:color="auto"/>
            </w:tcBorders>
            <w:shd w:val="clear" w:color="auto" w:fill="auto"/>
            <w:noWrap/>
            <w:vAlign w:val="bottom"/>
          </w:tcPr>
          <w:p w14:paraId="00543168"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8,516</w:t>
            </w:r>
          </w:p>
        </w:tc>
        <w:tc>
          <w:tcPr>
            <w:tcW w:w="1094" w:type="dxa"/>
            <w:tcBorders>
              <w:top w:val="nil"/>
              <w:left w:val="nil"/>
              <w:bottom w:val="single" w:sz="4" w:space="0" w:color="auto"/>
              <w:right w:val="single" w:sz="4" w:space="0" w:color="auto"/>
            </w:tcBorders>
            <w:shd w:val="clear" w:color="auto" w:fill="auto"/>
            <w:noWrap/>
            <w:vAlign w:val="bottom"/>
          </w:tcPr>
          <w:p w14:paraId="38F8234C"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431</w:t>
            </w:r>
          </w:p>
        </w:tc>
        <w:tc>
          <w:tcPr>
            <w:tcW w:w="993" w:type="dxa"/>
            <w:tcBorders>
              <w:top w:val="nil"/>
              <w:left w:val="nil"/>
              <w:bottom w:val="single" w:sz="4" w:space="0" w:color="auto"/>
              <w:right w:val="single" w:sz="4" w:space="0" w:color="auto"/>
            </w:tcBorders>
            <w:shd w:val="clear" w:color="auto" w:fill="auto"/>
            <w:noWrap/>
            <w:vAlign w:val="bottom"/>
          </w:tcPr>
          <w:p w14:paraId="226EDD26"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2,169</w:t>
            </w:r>
          </w:p>
        </w:tc>
        <w:tc>
          <w:tcPr>
            <w:tcW w:w="1428" w:type="dxa"/>
            <w:tcBorders>
              <w:top w:val="single" w:sz="4" w:space="0" w:color="auto"/>
              <w:left w:val="nil"/>
              <w:bottom w:val="single" w:sz="4" w:space="0" w:color="auto"/>
              <w:right w:val="single" w:sz="4" w:space="0" w:color="auto"/>
            </w:tcBorders>
            <w:shd w:val="clear" w:color="auto" w:fill="auto"/>
            <w:noWrap/>
            <w:vAlign w:val="center"/>
          </w:tcPr>
          <w:p w14:paraId="1226C80F" w14:textId="77777777" w:rsidR="003326CA" w:rsidRPr="00BD295E" w:rsidRDefault="008A5057">
            <w:pPr>
              <w:spacing w:line="252" w:lineRule="auto"/>
              <w:jc w:val="center"/>
              <w:rPr>
                <w:rFonts w:ascii="Arial" w:eastAsia="Calibri" w:hAnsi="Arial" w:cs="Arial"/>
                <w:sz w:val="18"/>
                <w:szCs w:val="18"/>
                <w:lang w:val="en-US"/>
              </w:rPr>
            </w:pPr>
            <w:r w:rsidRPr="00BD295E">
              <w:rPr>
                <w:rFonts w:ascii="Arial" w:hAnsi="Arial" w:cs="Arial"/>
                <w:sz w:val="18"/>
                <w:szCs w:val="18"/>
                <w:lang w:val="en-US"/>
              </w:rPr>
              <w:t>635</w:t>
            </w:r>
          </w:p>
        </w:tc>
      </w:tr>
      <w:tr w:rsidR="002E01BE" w:rsidRPr="00BD295E" w14:paraId="4FAE2D10" w14:textId="77777777" w:rsidTr="00D55E31">
        <w:trPr>
          <w:trHeight w:val="300"/>
        </w:trPr>
        <w:tc>
          <w:tcPr>
            <w:tcW w:w="3549" w:type="dxa"/>
            <w:tcBorders>
              <w:top w:val="nil"/>
              <w:left w:val="single" w:sz="4" w:space="0" w:color="auto"/>
              <w:bottom w:val="single" w:sz="4" w:space="0" w:color="auto"/>
              <w:right w:val="single" w:sz="4" w:space="0" w:color="auto"/>
            </w:tcBorders>
            <w:shd w:val="clear" w:color="auto" w:fill="auto"/>
            <w:vAlign w:val="bottom"/>
            <w:hideMark/>
          </w:tcPr>
          <w:p w14:paraId="4334D5CB" w14:textId="77777777" w:rsidR="003326CA"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Gatchinskiye Power Grid</w:t>
            </w:r>
          </w:p>
        </w:tc>
        <w:tc>
          <w:tcPr>
            <w:tcW w:w="992" w:type="dxa"/>
            <w:tcBorders>
              <w:top w:val="nil"/>
              <w:left w:val="nil"/>
              <w:bottom w:val="single" w:sz="4" w:space="0" w:color="auto"/>
              <w:right w:val="single" w:sz="4" w:space="0" w:color="auto"/>
            </w:tcBorders>
            <w:shd w:val="clear" w:color="auto" w:fill="auto"/>
            <w:noWrap/>
            <w:vAlign w:val="bottom"/>
          </w:tcPr>
          <w:p w14:paraId="5CFAA8D5"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8,093</w:t>
            </w:r>
          </w:p>
        </w:tc>
        <w:tc>
          <w:tcPr>
            <w:tcW w:w="1134" w:type="dxa"/>
            <w:tcBorders>
              <w:top w:val="nil"/>
              <w:left w:val="nil"/>
              <w:bottom w:val="single" w:sz="4" w:space="0" w:color="auto"/>
              <w:right w:val="single" w:sz="4" w:space="0" w:color="auto"/>
            </w:tcBorders>
            <w:shd w:val="clear" w:color="auto" w:fill="auto"/>
            <w:noWrap/>
            <w:vAlign w:val="bottom"/>
          </w:tcPr>
          <w:p w14:paraId="172BD649"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7,441</w:t>
            </w:r>
          </w:p>
        </w:tc>
        <w:tc>
          <w:tcPr>
            <w:tcW w:w="1094" w:type="dxa"/>
            <w:tcBorders>
              <w:top w:val="nil"/>
              <w:left w:val="nil"/>
              <w:bottom w:val="single" w:sz="4" w:space="0" w:color="auto"/>
              <w:right w:val="single" w:sz="4" w:space="0" w:color="auto"/>
            </w:tcBorders>
            <w:shd w:val="clear" w:color="auto" w:fill="auto"/>
            <w:noWrap/>
            <w:vAlign w:val="bottom"/>
          </w:tcPr>
          <w:p w14:paraId="07C87F5F"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313</w:t>
            </w:r>
          </w:p>
        </w:tc>
        <w:tc>
          <w:tcPr>
            <w:tcW w:w="993" w:type="dxa"/>
            <w:tcBorders>
              <w:top w:val="nil"/>
              <w:left w:val="nil"/>
              <w:bottom w:val="single" w:sz="4" w:space="0" w:color="auto"/>
              <w:right w:val="single" w:sz="4" w:space="0" w:color="auto"/>
            </w:tcBorders>
            <w:shd w:val="clear" w:color="auto" w:fill="auto"/>
            <w:noWrap/>
            <w:vAlign w:val="bottom"/>
          </w:tcPr>
          <w:p w14:paraId="31CB129D"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2,246</w:t>
            </w:r>
          </w:p>
        </w:tc>
        <w:tc>
          <w:tcPr>
            <w:tcW w:w="1428" w:type="dxa"/>
            <w:tcBorders>
              <w:top w:val="single" w:sz="4" w:space="0" w:color="auto"/>
              <w:left w:val="nil"/>
              <w:bottom w:val="single" w:sz="4" w:space="0" w:color="auto"/>
              <w:right w:val="single" w:sz="4" w:space="0" w:color="auto"/>
            </w:tcBorders>
            <w:shd w:val="clear" w:color="auto" w:fill="auto"/>
            <w:noWrap/>
            <w:vAlign w:val="center"/>
          </w:tcPr>
          <w:p w14:paraId="5695E63A" w14:textId="77777777" w:rsidR="003326CA" w:rsidRPr="00BD295E" w:rsidRDefault="008A5057">
            <w:pPr>
              <w:spacing w:line="252" w:lineRule="auto"/>
              <w:jc w:val="center"/>
              <w:rPr>
                <w:rFonts w:ascii="Arial" w:eastAsia="Calibri" w:hAnsi="Arial" w:cs="Arial"/>
                <w:sz w:val="18"/>
                <w:szCs w:val="18"/>
                <w:lang w:val="en-US"/>
              </w:rPr>
            </w:pPr>
            <w:r w:rsidRPr="00BD295E">
              <w:rPr>
                <w:rFonts w:ascii="Arial" w:hAnsi="Arial" w:cs="Arial"/>
                <w:sz w:val="18"/>
                <w:szCs w:val="18"/>
                <w:lang w:val="en-US"/>
              </w:rPr>
              <w:t>590</w:t>
            </w:r>
          </w:p>
        </w:tc>
      </w:tr>
      <w:tr w:rsidR="002E01BE" w:rsidRPr="00BD295E" w14:paraId="452D2409" w14:textId="77777777" w:rsidTr="00D55E31">
        <w:trPr>
          <w:trHeight w:val="300"/>
        </w:trPr>
        <w:tc>
          <w:tcPr>
            <w:tcW w:w="3549" w:type="dxa"/>
            <w:tcBorders>
              <w:top w:val="nil"/>
              <w:left w:val="single" w:sz="4" w:space="0" w:color="auto"/>
              <w:bottom w:val="single" w:sz="4" w:space="0" w:color="auto"/>
              <w:right w:val="single" w:sz="4" w:space="0" w:color="auto"/>
            </w:tcBorders>
            <w:shd w:val="clear" w:color="auto" w:fill="auto"/>
            <w:vAlign w:val="bottom"/>
            <w:hideMark/>
          </w:tcPr>
          <w:p w14:paraId="6803B187" w14:textId="77777777" w:rsidR="003326CA"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Cable Grid</w:t>
            </w:r>
          </w:p>
        </w:tc>
        <w:tc>
          <w:tcPr>
            <w:tcW w:w="992" w:type="dxa"/>
            <w:tcBorders>
              <w:top w:val="nil"/>
              <w:left w:val="nil"/>
              <w:bottom w:val="single" w:sz="4" w:space="0" w:color="auto"/>
              <w:right w:val="single" w:sz="4" w:space="0" w:color="auto"/>
            </w:tcBorders>
            <w:shd w:val="clear" w:color="auto" w:fill="auto"/>
            <w:noWrap/>
            <w:vAlign w:val="bottom"/>
          </w:tcPr>
          <w:p w14:paraId="70BE6567"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61</w:t>
            </w:r>
          </w:p>
        </w:tc>
        <w:tc>
          <w:tcPr>
            <w:tcW w:w="1134" w:type="dxa"/>
            <w:tcBorders>
              <w:top w:val="nil"/>
              <w:left w:val="nil"/>
              <w:bottom w:val="single" w:sz="4" w:space="0" w:color="auto"/>
              <w:right w:val="single" w:sz="4" w:space="0" w:color="auto"/>
            </w:tcBorders>
            <w:shd w:val="clear" w:color="auto" w:fill="auto"/>
            <w:noWrap/>
            <w:vAlign w:val="bottom"/>
          </w:tcPr>
          <w:p w14:paraId="534506B2"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61</w:t>
            </w:r>
          </w:p>
        </w:tc>
        <w:tc>
          <w:tcPr>
            <w:tcW w:w="1094" w:type="dxa"/>
            <w:tcBorders>
              <w:top w:val="nil"/>
              <w:left w:val="nil"/>
              <w:bottom w:val="single" w:sz="4" w:space="0" w:color="auto"/>
              <w:right w:val="single" w:sz="4" w:space="0" w:color="auto"/>
            </w:tcBorders>
            <w:shd w:val="clear" w:color="auto" w:fill="auto"/>
            <w:noWrap/>
            <w:vAlign w:val="bottom"/>
          </w:tcPr>
          <w:p w14:paraId="1A1EB242"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20,221</w:t>
            </w:r>
          </w:p>
        </w:tc>
        <w:tc>
          <w:tcPr>
            <w:tcW w:w="993" w:type="dxa"/>
            <w:tcBorders>
              <w:top w:val="nil"/>
              <w:left w:val="nil"/>
              <w:bottom w:val="single" w:sz="4" w:space="0" w:color="auto"/>
              <w:right w:val="single" w:sz="4" w:space="0" w:color="auto"/>
            </w:tcBorders>
            <w:shd w:val="clear" w:color="auto" w:fill="auto"/>
            <w:noWrap/>
            <w:vAlign w:val="bottom"/>
          </w:tcPr>
          <w:p w14:paraId="26A94E6B"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8,296</w:t>
            </w:r>
          </w:p>
        </w:tc>
        <w:tc>
          <w:tcPr>
            <w:tcW w:w="1428" w:type="dxa"/>
            <w:tcBorders>
              <w:top w:val="single" w:sz="4" w:space="0" w:color="auto"/>
              <w:left w:val="nil"/>
              <w:bottom w:val="single" w:sz="4" w:space="0" w:color="auto"/>
              <w:right w:val="single" w:sz="4" w:space="0" w:color="auto"/>
            </w:tcBorders>
            <w:shd w:val="clear" w:color="auto" w:fill="auto"/>
            <w:noWrap/>
            <w:vAlign w:val="center"/>
          </w:tcPr>
          <w:p w14:paraId="48321A70" w14:textId="77777777" w:rsidR="003326CA" w:rsidRPr="00BD295E" w:rsidRDefault="008A5057">
            <w:pPr>
              <w:spacing w:line="252" w:lineRule="auto"/>
              <w:jc w:val="center"/>
              <w:rPr>
                <w:rFonts w:ascii="Arial" w:eastAsia="Calibri" w:hAnsi="Arial" w:cs="Arial"/>
                <w:sz w:val="18"/>
                <w:szCs w:val="18"/>
                <w:lang w:val="en-US"/>
              </w:rPr>
            </w:pPr>
            <w:r w:rsidRPr="00BD295E">
              <w:rPr>
                <w:rFonts w:ascii="Arial" w:hAnsi="Arial" w:cs="Arial"/>
                <w:sz w:val="18"/>
                <w:szCs w:val="18"/>
                <w:lang w:val="en-US"/>
              </w:rPr>
              <w:t>1,727</w:t>
            </w:r>
          </w:p>
        </w:tc>
      </w:tr>
      <w:tr w:rsidR="002E01BE" w:rsidRPr="00BD295E" w14:paraId="04255891" w14:textId="77777777" w:rsidTr="00D55E31">
        <w:trPr>
          <w:trHeight w:val="300"/>
        </w:trPr>
        <w:tc>
          <w:tcPr>
            <w:tcW w:w="3549" w:type="dxa"/>
            <w:tcBorders>
              <w:top w:val="nil"/>
              <w:left w:val="single" w:sz="4" w:space="0" w:color="auto"/>
              <w:bottom w:val="single" w:sz="4" w:space="0" w:color="auto"/>
              <w:right w:val="single" w:sz="4" w:space="0" w:color="auto"/>
            </w:tcBorders>
            <w:shd w:val="clear" w:color="auto" w:fill="auto"/>
            <w:vAlign w:val="bottom"/>
            <w:hideMark/>
          </w:tcPr>
          <w:p w14:paraId="6FCC55F1" w14:textId="77777777" w:rsidR="003326CA"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Kingiseppskiye Power Grid</w:t>
            </w:r>
          </w:p>
        </w:tc>
        <w:tc>
          <w:tcPr>
            <w:tcW w:w="992" w:type="dxa"/>
            <w:tcBorders>
              <w:top w:val="nil"/>
              <w:left w:val="nil"/>
              <w:bottom w:val="single" w:sz="4" w:space="0" w:color="auto"/>
              <w:right w:val="single" w:sz="4" w:space="0" w:color="auto"/>
            </w:tcBorders>
            <w:shd w:val="clear" w:color="auto" w:fill="auto"/>
            <w:noWrap/>
            <w:vAlign w:val="bottom"/>
          </w:tcPr>
          <w:p w14:paraId="0D09F53E"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8,276</w:t>
            </w:r>
          </w:p>
        </w:tc>
        <w:tc>
          <w:tcPr>
            <w:tcW w:w="1134" w:type="dxa"/>
            <w:tcBorders>
              <w:top w:val="nil"/>
              <w:left w:val="nil"/>
              <w:bottom w:val="single" w:sz="4" w:space="0" w:color="auto"/>
              <w:right w:val="single" w:sz="4" w:space="0" w:color="auto"/>
            </w:tcBorders>
            <w:shd w:val="clear" w:color="auto" w:fill="auto"/>
            <w:noWrap/>
            <w:vAlign w:val="bottom"/>
          </w:tcPr>
          <w:p w14:paraId="5211F435"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7,767</w:t>
            </w:r>
          </w:p>
        </w:tc>
        <w:tc>
          <w:tcPr>
            <w:tcW w:w="1094" w:type="dxa"/>
            <w:tcBorders>
              <w:top w:val="nil"/>
              <w:left w:val="nil"/>
              <w:bottom w:val="single" w:sz="4" w:space="0" w:color="auto"/>
              <w:right w:val="single" w:sz="4" w:space="0" w:color="auto"/>
            </w:tcBorders>
            <w:shd w:val="clear" w:color="auto" w:fill="auto"/>
            <w:noWrap/>
            <w:vAlign w:val="bottom"/>
          </w:tcPr>
          <w:p w14:paraId="15D2874C"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63</w:t>
            </w:r>
          </w:p>
        </w:tc>
        <w:tc>
          <w:tcPr>
            <w:tcW w:w="993" w:type="dxa"/>
            <w:tcBorders>
              <w:top w:val="nil"/>
              <w:left w:val="nil"/>
              <w:bottom w:val="single" w:sz="4" w:space="0" w:color="auto"/>
              <w:right w:val="single" w:sz="4" w:space="0" w:color="auto"/>
            </w:tcBorders>
            <w:shd w:val="clear" w:color="auto" w:fill="auto"/>
            <w:noWrap/>
            <w:vAlign w:val="bottom"/>
          </w:tcPr>
          <w:p w14:paraId="489D339E"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1,324</w:t>
            </w:r>
          </w:p>
        </w:tc>
        <w:tc>
          <w:tcPr>
            <w:tcW w:w="1428" w:type="dxa"/>
            <w:tcBorders>
              <w:top w:val="single" w:sz="4" w:space="0" w:color="auto"/>
              <w:left w:val="nil"/>
              <w:bottom w:val="single" w:sz="4" w:space="0" w:color="auto"/>
              <w:right w:val="single" w:sz="4" w:space="0" w:color="auto"/>
            </w:tcBorders>
            <w:shd w:val="clear" w:color="auto" w:fill="auto"/>
            <w:noWrap/>
            <w:vAlign w:val="center"/>
          </w:tcPr>
          <w:p w14:paraId="51D21967" w14:textId="77777777" w:rsidR="003326CA" w:rsidRPr="00BD295E" w:rsidRDefault="008A5057">
            <w:pPr>
              <w:spacing w:line="252" w:lineRule="auto"/>
              <w:jc w:val="center"/>
              <w:rPr>
                <w:rFonts w:ascii="Arial" w:eastAsia="Calibri" w:hAnsi="Arial" w:cs="Arial"/>
                <w:sz w:val="18"/>
                <w:szCs w:val="18"/>
                <w:lang w:val="en-US"/>
              </w:rPr>
            </w:pPr>
            <w:r w:rsidRPr="00BD295E">
              <w:rPr>
                <w:rFonts w:ascii="Arial" w:hAnsi="Arial" w:cs="Arial"/>
                <w:sz w:val="18"/>
                <w:szCs w:val="18"/>
                <w:lang w:val="en-US"/>
              </w:rPr>
              <w:t>524</w:t>
            </w:r>
          </w:p>
        </w:tc>
      </w:tr>
      <w:tr w:rsidR="002E01BE" w:rsidRPr="00BD295E" w14:paraId="236FF0BE" w14:textId="77777777" w:rsidTr="00D55E31">
        <w:trPr>
          <w:trHeight w:val="600"/>
        </w:trPr>
        <w:tc>
          <w:tcPr>
            <w:tcW w:w="3549" w:type="dxa"/>
            <w:tcBorders>
              <w:top w:val="nil"/>
              <w:left w:val="single" w:sz="4" w:space="0" w:color="auto"/>
              <w:bottom w:val="single" w:sz="4" w:space="0" w:color="auto"/>
              <w:right w:val="single" w:sz="4" w:space="0" w:color="auto"/>
            </w:tcBorders>
            <w:shd w:val="clear" w:color="auto" w:fill="auto"/>
            <w:vAlign w:val="bottom"/>
            <w:hideMark/>
          </w:tcPr>
          <w:p w14:paraId="27C3657B" w14:textId="77777777" w:rsidR="003326CA"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Saint Petersburg High Voltage Power Grid</w:t>
            </w:r>
          </w:p>
        </w:tc>
        <w:tc>
          <w:tcPr>
            <w:tcW w:w="992" w:type="dxa"/>
            <w:tcBorders>
              <w:top w:val="nil"/>
              <w:left w:val="nil"/>
              <w:bottom w:val="single" w:sz="4" w:space="0" w:color="auto"/>
              <w:right w:val="single" w:sz="4" w:space="0" w:color="auto"/>
            </w:tcBorders>
            <w:shd w:val="clear" w:color="auto" w:fill="auto"/>
            <w:noWrap/>
            <w:vAlign w:val="bottom"/>
          </w:tcPr>
          <w:p w14:paraId="0E18D902"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1,847</w:t>
            </w:r>
          </w:p>
        </w:tc>
        <w:tc>
          <w:tcPr>
            <w:tcW w:w="1134" w:type="dxa"/>
            <w:tcBorders>
              <w:top w:val="nil"/>
              <w:left w:val="nil"/>
              <w:bottom w:val="single" w:sz="4" w:space="0" w:color="auto"/>
              <w:right w:val="single" w:sz="4" w:space="0" w:color="auto"/>
            </w:tcBorders>
            <w:shd w:val="clear" w:color="auto" w:fill="auto"/>
            <w:noWrap/>
            <w:vAlign w:val="bottom"/>
          </w:tcPr>
          <w:p w14:paraId="6A49D37A"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1,134</w:t>
            </w:r>
          </w:p>
        </w:tc>
        <w:tc>
          <w:tcPr>
            <w:tcW w:w="1094" w:type="dxa"/>
            <w:tcBorders>
              <w:top w:val="nil"/>
              <w:left w:val="nil"/>
              <w:bottom w:val="single" w:sz="4" w:space="0" w:color="auto"/>
              <w:right w:val="single" w:sz="4" w:space="0" w:color="auto"/>
            </w:tcBorders>
            <w:shd w:val="clear" w:color="auto" w:fill="auto"/>
            <w:noWrap/>
            <w:vAlign w:val="bottom"/>
          </w:tcPr>
          <w:p w14:paraId="2D42E08A"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622</w:t>
            </w:r>
          </w:p>
        </w:tc>
        <w:tc>
          <w:tcPr>
            <w:tcW w:w="993" w:type="dxa"/>
            <w:tcBorders>
              <w:top w:val="nil"/>
              <w:left w:val="nil"/>
              <w:bottom w:val="single" w:sz="4" w:space="0" w:color="auto"/>
              <w:right w:val="single" w:sz="4" w:space="0" w:color="auto"/>
            </w:tcBorders>
            <w:shd w:val="clear" w:color="auto" w:fill="auto"/>
            <w:noWrap/>
            <w:vAlign w:val="bottom"/>
          </w:tcPr>
          <w:p w14:paraId="79ACD337"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10,943</w:t>
            </w:r>
          </w:p>
        </w:tc>
        <w:tc>
          <w:tcPr>
            <w:tcW w:w="1428" w:type="dxa"/>
            <w:tcBorders>
              <w:top w:val="single" w:sz="4" w:space="0" w:color="auto"/>
              <w:left w:val="nil"/>
              <w:bottom w:val="single" w:sz="4" w:space="0" w:color="auto"/>
              <w:right w:val="single" w:sz="4" w:space="0" w:color="auto"/>
            </w:tcBorders>
            <w:shd w:val="clear" w:color="auto" w:fill="auto"/>
            <w:noWrap/>
            <w:vAlign w:val="bottom"/>
          </w:tcPr>
          <w:p w14:paraId="762FD0F3" w14:textId="77777777" w:rsidR="003326CA" w:rsidRPr="00BD295E" w:rsidRDefault="008A5057">
            <w:pPr>
              <w:spacing w:line="276" w:lineRule="auto"/>
              <w:jc w:val="center"/>
              <w:rPr>
                <w:rFonts w:ascii="Arial" w:eastAsia="Calibri" w:hAnsi="Arial" w:cs="Arial"/>
                <w:sz w:val="18"/>
                <w:szCs w:val="18"/>
                <w:lang w:val="en-US"/>
              </w:rPr>
            </w:pPr>
            <w:r w:rsidRPr="00BD295E">
              <w:rPr>
                <w:rFonts w:ascii="Arial" w:hAnsi="Arial" w:cs="Arial"/>
                <w:sz w:val="18"/>
                <w:szCs w:val="18"/>
                <w:lang w:val="en-US"/>
              </w:rPr>
              <w:t>1,061</w:t>
            </w:r>
          </w:p>
        </w:tc>
      </w:tr>
      <w:tr w:rsidR="002E01BE" w:rsidRPr="00BD295E" w14:paraId="7A97726D" w14:textId="77777777" w:rsidTr="00D55E31">
        <w:trPr>
          <w:trHeight w:val="300"/>
        </w:trPr>
        <w:tc>
          <w:tcPr>
            <w:tcW w:w="3549" w:type="dxa"/>
            <w:tcBorders>
              <w:top w:val="nil"/>
              <w:left w:val="single" w:sz="4" w:space="0" w:color="auto"/>
              <w:bottom w:val="single" w:sz="4" w:space="0" w:color="auto"/>
              <w:right w:val="single" w:sz="4" w:space="0" w:color="auto"/>
            </w:tcBorders>
            <w:shd w:val="clear" w:color="auto" w:fill="auto"/>
            <w:vAlign w:val="bottom"/>
            <w:hideMark/>
          </w:tcPr>
          <w:p w14:paraId="1873633F" w14:textId="77777777" w:rsidR="003326CA"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Novoladozhskiye Power Grid</w:t>
            </w:r>
          </w:p>
        </w:tc>
        <w:tc>
          <w:tcPr>
            <w:tcW w:w="992" w:type="dxa"/>
            <w:tcBorders>
              <w:top w:val="nil"/>
              <w:left w:val="nil"/>
              <w:bottom w:val="single" w:sz="4" w:space="0" w:color="auto"/>
              <w:right w:val="single" w:sz="4" w:space="0" w:color="auto"/>
            </w:tcBorders>
            <w:shd w:val="clear" w:color="auto" w:fill="auto"/>
            <w:noWrap/>
            <w:vAlign w:val="bottom"/>
          </w:tcPr>
          <w:p w14:paraId="1DB32089"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7,185</w:t>
            </w:r>
          </w:p>
        </w:tc>
        <w:tc>
          <w:tcPr>
            <w:tcW w:w="1134" w:type="dxa"/>
            <w:tcBorders>
              <w:top w:val="nil"/>
              <w:left w:val="nil"/>
              <w:bottom w:val="single" w:sz="4" w:space="0" w:color="auto"/>
              <w:right w:val="single" w:sz="4" w:space="0" w:color="auto"/>
            </w:tcBorders>
            <w:shd w:val="clear" w:color="auto" w:fill="auto"/>
            <w:noWrap/>
            <w:vAlign w:val="bottom"/>
          </w:tcPr>
          <w:p w14:paraId="7BF3E788"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6,676</w:t>
            </w:r>
          </w:p>
        </w:tc>
        <w:tc>
          <w:tcPr>
            <w:tcW w:w="1094" w:type="dxa"/>
            <w:tcBorders>
              <w:top w:val="nil"/>
              <w:left w:val="nil"/>
              <w:bottom w:val="single" w:sz="4" w:space="0" w:color="auto"/>
              <w:right w:val="single" w:sz="4" w:space="0" w:color="auto"/>
            </w:tcBorders>
            <w:shd w:val="clear" w:color="auto" w:fill="auto"/>
            <w:noWrap/>
            <w:vAlign w:val="bottom"/>
          </w:tcPr>
          <w:p w14:paraId="57063C59"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233</w:t>
            </w:r>
          </w:p>
        </w:tc>
        <w:tc>
          <w:tcPr>
            <w:tcW w:w="993" w:type="dxa"/>
            <w:tcBorders>
              <w:top w:val="nil"/>
              <w:left w:val="nil"/>
              <w:bottom w:val="single" w:sz="4" w:space="0" w:color="auto"/>
              <w:right w:val="single" w:sz="4" w:space="0" w:color="auto"/>
            </w:tcBorders>
            <w:shd w:val="clear" w:color="auto" w:fill="auto"/>
            <w:noWrap/>
            <w:vAlign w:val="bottom"/>
          </w:tcPr>
          <w:p w14:paraId="25460A8F"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1,071</w:t>
            </w:r>
          </w:p>
        </w:tc>
        <w:tc>
          <w:tcPr>
            <w:tcW w:w="1428" w:type="dxa"/>
            <w:tcBorders>
              <w:top w:val="single" w:sz="4" w:space="0" w:color="auto"/>
              <w:left w:val="nil"/>
              <w:bottom w:val="single" w:sz="4" w:space="0" w:color="auto"/>
              <w:right w:val="single" w:sz="4" w:space="0" w:color="auto"/>
            </w:tcBorders>
            <w:shd w:val="clear" w:color="auto" w:fill="auto"/>
            <w:noWrap/>
            <w:vAlign w:val="center"/>
          </w:tcPr>
          <w:p w14:paraId="0B0FDCD4" w14:textId="77777777" w:rsidR="003326CA" w:rsidRPr="00BD295E" w:rsidRDefault="008A5057">
            <w:pPr>
              <w:spacing w:line="252" w:lineRule="auto"/>
              <w:jc w:val="center"/>
              <w:rPr>
                <w:rFonts w:ascii="Arial" w:eastAsia="Calibri" w:hAnsi="Arial" w:cs="Arial"/>
                <w:sz w:val="18"/>
                <w:szCs w:val="18"/>
                <w:lang w:val="en-US"/>
              </w:rPr>
            </w:pPr>
            <w:r w:rsidRPr="00BD295E">
              <w:rPr>
                <w:rFonts w:ascii="Arial" w:hAnsi="Arial" w:cs="Arial"/>
                <w:sz w:val="18"/>
                <w:szCs w:val="18"/>
                <w:lang w:val="en-US"/>
              </w:rPr>
              <w:t>613</w:t>
            </w:r>
          </w:p>
        </w:tc>
      </w:tr>
      <w:tr w:rsidR="002E01BE" w:rsidRPr="00BD295E" w14:paraId="1D5A91EC" w14:textId="77777777" w:rsidTr="00D55E31">
        <w:trPr>
          <w:trHeight w:val="300"/>
        </w:trPr>
        <w:tc>
          <w:tcPr>
            <w:tcW w:w="3549" w:type="dxa"/>
            <w:tcBorders>
              <w:top w:val="nil"/>
              <w:left w:val="single" w:sz="4" w:space="0" w:color="auto"/>
              <w:bottom w:val="single" w:sz="4" w:space="0" w:color="auto"/>
              <w:right w:val="single" w:sz="4" w:space="0" w:color="auto"/>
            </w:tcBorders>
            <w:shd w:val="clear" w:color="auto" w:fill="auto"/>
            <w:vAlign w:val="bottom"/>
            <w:hideMark/>
          </w:tcPr>
          <w:p w14:paraId="1F0DAF65" w14:textId="77777777" w:rsidR="003326CA"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Prigorodniye Power Grid</w:t>
            </w:r>
          </w:p>
        </w:tc>
        <w:tc>
          <w:tcPr>
            <w:tcW w:w="992" w:type="dxa"/>
            <w:tcBorders>
              <w:top w:val="nil"/>
              <w:left w:val="nil"/>
              <w:bottom w:val="single" w:sz="4" w:space="0" w:color="auto"/>
              <w:right w:val="single" w:sz="4" w:space="0" w:color="auto"/>
            </w:tcBorders>
            <w:shd w:val="clear" w:color="auto" w:fill="auto"/>
            <w:noWrap/>
            <w:vAlign w:val="bottom"/>
          </w:tcPr>
          <w:p w14:paraId="6B0E6977"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5,194</w:t>
            </w:r>
          </w:p>
        </w:tc>
        <w:tc>
          <w:tcPr>
            <w:tcW w:w="1134" w:type="dxa"/>
            <w:tcBorders>
              <w:top w:val="nil"/>
              <w:left w:val="nil"/>
              <w:bottom w:val="single" w:sz="4" w:space="0" w:color="auto"/>
              <w:right w:val="single" w:sz="4" w:space="0" w:color="auto"/>
            </w:tcBorders>
            <w:shd w:val="clear" w:color="auto" w:fill="auto"/>
            <w:noWrap/>
            <w:vAlign w:val="bottom"/>
          </w:tcPr>
          <w:p w14:paraId="22F0E7C7"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5,194</w:t>
            </w:r>
          </w:p>
        </w:tc>
        <w:tc>
          <w:tcPr>
            <w:tcW w:w="1094" w:type="dxa"/>
            <w:tcBorders>
              <w:top w:val="nil"/>
              <w:left w:val="nil"/>
              <w:bottom w:val="single" w:sz="4" w:space="0" w:color="auto"/>
              <w:right w:val="single" w:sz="4" w:space="0" w:color="auto"/>
            </w:tcBorders>
            <w:shd w:val="clear" w:color="auto" w:fill="auto"/>
            <w:noWrap/>
            <w:vAlign w:val="bottom"/>
          </w:tcPr>
          <w:p w14:paraId="0EF8865A"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1,897</w:t>
            </w:r>
          </w:p>
        </w:tc>
        <w:tc>
          <w:tcPr>
            <w:tcW w:w="993" w:type="dxa"/>
            <w:tcBorders>
              <w:top w:val="nil"/>
              <w:left w:val="nil"/>
              <w:bottom w:val="single" w:sz="4" w:space="0" w:color="auto"/>
              <w:right w:val="single" w:sz="4" w:space="0" w:color="auto"/>
            </w:tcBorders>
            <w:shd w:val="clear" w:color="auto" w:fill="auto"/>
            <w:noWrap/>
            <w:vAlign w:val="bottom"/>
          </w:tcPr>
          <w:p w14:paraId="6F46E1FD"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1,107</w:t>
            </w:r>
          </w:p>
        </w:tc>
        <w:tc>
          <w:tcPr>
            <w:tcW w:w="1428" w:type="dxa"/>
            <w:tcBorders>
              <w:top w:val="single" w:sz="4" w:space="0" w:color="auto"/>
              <w:left w:val="nil"/>
              <w:bottom w:val="single" w:sz="4" w:space="0" w:color="auto"/>
              <w:right w:val="single" w:sz="4" w:space="0" w:color="auto"/>
            </w:tcBorders>
            <w:shd w:val="clear" w:color="auto" w:fill="auto"/>
            <w:noWrap/>
            <w:vAlign w:val="center"/>
          </w:tcPr>
          <w:p w14:paraId="0D58A910" w14:textId="77777777" w:rsidR="003326CA" w:rsidRPr="00BD295E" w:rsidRDefault="008A5057">
            <w:pPr>
              <w:spacing w:line="252" w:lineRule="auto"/>
              <w:jc w:val="center"/>
              <w:rPr>
                <w:rFonts w:ascii="Arial" w:eastAsia="Calibri" w:hAnsi="Arial" w:cs="Arial"/>
                <w:sz w:val="18"/>
                <w:szCs w:val="18"/>
                <w:lang w:val="en-US"/>
              </w:rPr>
            </w:pPr>
            <w:r w:rsidRPr="00BD295E">
              <w:rPr>
                <w:rFonts w:ascii="Arial" w:hAnsi="Arial" w:cs="Arial"/>
                <w:sz w:val="18"/>
                <w:szCs w:val="18"/>
                <w:lang w:val="en-US"/>
              </w:rPr>
              <w:t>770</w:t>
            </w:r>
          </w:p>
        </w:tc>
      </w:tr>
      <w:tr w:rsidR="002E01BE" w:rsidRPr="00BD295E" w14:paraId="00605955" w14:textId="77777777" w:rsidTr="00D55E31">
        <w:trPr>
          <w:trHeight w:val="300"/>
        </w:trPr>
        <w:tc>
          <w:tcPr>
            <w:tcW w:w="35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9CCCAC" w14:textId="77777777" w:rsidR="003326CA"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Tikhvinskiye Power Grid</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3864B654"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5,187</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0AB3982D"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4,928</w:t>
            </w:r>
          </w:p>
        </w:tc>
        <w:tc>
          <w:tcPr>
            <w:tcW w:w="1094" w:type="dxa"/>
            <w:tcBorders>
              <w:top w:val="single" w:sz="4" w:space="0" w:color="auto"/>
              <w:left w:val="nil"/>
              <w:bottom w:val="single" w:sz="4" w:space="0" w:color="auto"/>
              <w:right w:val="single" w:sz="4" w:space="0" w:color="auto"/>
            </w:tcBorders>
            <w:shd w:val="clear" w:color="auto" w:fill="auto"/>
            <w:noWrap/>
            <w:vAlign w:val="bottom"/>
          </w:tcPr>
          <w:p w14:paraId="26E199CA"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48</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7D5B100" w14:textId="77777777" w:rsidR="003326CA" w:rsidRPr="00BD295E" w:rsidRDefault="008A5057" w:rsidP="0031297B">
            <w:pPr>
              <w:contextualSpacing/>
              <w:jc w:val="right"/>
              <w:rPr>
                <w:rFonts w:ascii="Arial" w:hAnsi="Arial" w:cs="Arial"/>
                <w:sz w:val="18"/>
                <w:szCs w:val="18"/>
                <w:lang w:val="en-US"/>
              </w:rPr>
            </w:pPr>
            <w:r w:rsidRPr="00BD295E">
              <w:rPr>
                <w:rFonts w:ascii="Arial" w:hAnsi="Arial" w:cs="Arial"/>
                <w:sz w:val="18"/>
                <w:szCs w:val="18"/>
                <w:lang w:val="en-US"/>
              </w:rPr>
              <w:t>649</w:t>
            </w:r>
          </w:p>
        </w:tc>
        <w:tc>
          <w:tcPr>
            <w:tcW w:w="1428" w:type="dxa"/>
            <w:tcBorders>
              <w:top w:val="single" w:sz="4" w:space="0" w:color="auto"/>
              <w:left w:val="nil"/>
              <w:bottom w:val="single" w:sz="4" w:space="0" w:color="auto"/>
              <w:right w:val="single" w:sz="4" w:space="0" w:color="auto"/>
            </w:tcBorders>
            <w:shd w:val="clear" w:color="auto" w:fill="auto"/>
            <w:noWrap/>
            <w:vAlign w:val="bottom"/>
          </w:tcPr>
          <w:p w14:paraId="1BF425F1" w14:textId="77777777" w:rsidR="003326CA" w:rsidRPr="00BD295E" w:rsidRDefault="008A5057">
            <w:pPr>
              <w:spacing w:line="252" w:lineRule="auto"/>
              <w:jc w:val="center"/>
              <w:rPr>
                <w:rFonts w:ascii="Arial" w:eastAsia="Calibri" w:hAnsi="Arial" w:cs="Arial"/>
                <w:sz w:val="18"/>
                <w:szCs w:val="18"/>
                <w:lang w:val="en-US"/>
              </w:rPr>
            </w:pPr>
            <w:r w:rsidRPr="00BD295E">
              <w:rPr>
                <w:rFonts w:ascii="Arial" w:hAnsi="Arial" w:cs="Arial"/>
                <w:sz w:val="18"/>
                <w:szCs w:val="18"/>
                <w:lang w:val="en-US"/>
              </w:rPr>
              <w:t>368</w:t>
            </w:r>
          </w:p>
        </w:tc>
      </w:tr>
      <w:tr w:rsidR="002E01BE" w:rsidRPr="00BD295E" w14:paraId="081AFEF7" w14:textId="77777777" w:rsidTr="00D55E31">
        <w:trPr>
          <w:trHeight w:val="355"/>
        </w:trPr>
        <w:tc>
          <w:tcPr>
            <w:tcW w:w="3549" w:type="dxa"/>
            <w:tcBorders>
              <w:top w:val="single" w:sz="4" w:space="0" w:color="auto"/>
              <w:left w:val="single" w:sz="4" w:space="0" w:color="auto"/>
              <w:bottom w:val="single" w:sz="4" w:space="0" w:color="auto"/>
              <w:right w:val="single" w:sz="4" w:space="0" w:color="auto"/>
            </w:tcBorders>
            <w:shd w:val="clear" w:color="auto" w:fill="auto"/>
          </w:tcPr>
          <w:p w14:paraId="0B4FCFFF" w14:textId="77777777" w:rsidR="003326CA"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Directorate of Facilities under Construction</w:t>
            </w:r>
          </w:p>
        </w:tc>
        <w:tc>
          <w:tcPr>
            <w:tcW w:w="992" w:type="dxa"/>
            <w:tcBorders>
              <w:top w:val="single" w:sz="4" w:space="0" w:color="auto"/>
              <w:left w:val="nil"/>
              <w:bottom w:val="single" w:sz="4" w:space="0" w:color="auto"/>
              <w:right w:val="single" w:sz="4" w:space="0" w:color="auto"/>
            </w:tcBorders>
            <w:shd w:val="clear" w:color="auto" w:fill="auto"/>
            <w:noWrap/>
          </w:tcPr>
          <w:p w14:paraId="0FEB335F" w14:textId="77777777" w:rsidR="003326CA" w:rsidRPr="00BD295E" w:rsidRDefault="003326CA" w:rsidP="0031297B">
            <w:pPr>
              <w:contextualSpacing/>
              <w:jc w:val="right"/>
              <w:rPr>
                <w:rFonts w:ascii="Arial" w:hAnsi="Arial" w:cs="Arial"/>
                <w:sz w:val="18"/>
                <w:szCs w:val="18"/>
                <w:lang w:val="en-US"/>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4D1E7B2C" w14:textId="77777777" w:rsidR="003326CA" w:rsidRPr="00BD295E" w:rsidRDefault="003326CA" w:rsidP="0031297B">
            <w:pPr>
              <w:contextualSpacing/>
              <w:jc w:val="right"/>
              <w:rPr>
                <w:rFonts w:ascii="Arial" w:hAnsi="Arial" w:cs="Arial"/>
                <w:sz w:val="18"/>
                <w:szCs w:val="18"/>
                <w:lang w:val="en-US"/>
              </w:rPr>
            </w:pPr>
          </w:p>
        </w:tc>
        <w:tc>
          <w:tcPr>
            <w:tcW w:w="1094" w:type="dxa"/>
            <w:tcBorders>
              <w:top w:val="single" w:sz="4" w:space="0" w:color="auto"/>
              <w:left w:val="nil"/>
              <w:bottom w:val="single" w:sz="4" w:space="0" w:color="auto"/>
              <w:right w:val="single" w:sz="4" w:space="0" w:color="auto"/>
            </w:tcBorders>
            <w:shd w:val="clear" w:color="auto" w:fill="auto"/>
            <w:noWrap/>
            <w:vAlign w:val="bottom"/>
          </w:tcPr>
          <w:p w14:paraId="2568365E" w14:textId="77777777" w:rsidR="003326CA" w:rsidRPr="00BD295E" w:rsidRDefault="003326CA" w:rsidP="0031297B">
            <w:pPr>
              <w:contextualSpacing/>
              <w:jc w:val="right"/>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9FA7B2F" w14:textId="77777777" w:rsidR="003326CA" w:rsidRPr="00BD295E" w:rsidRDefault="003326CA" w:rsidP="0031297B">
            <w:pPr>
              <w:contextualSpacing/>
              <w:jc w:val="right"/>
              <w:rPr>
                <w:rFonts w:ascii="Arial" w:hAnsi="Arial" w:cs="Arial"/>
                <w:sz w:val="18"/>
                <w:szCs w:val="18"/>
                <w:lang w:val="en-US"/>
              </w:rPr>
            </w:pPr>
          </w:p>
        </w:tc>
        <w:tc>
          <w:tcPr>
            <w:tcW w:w="1428" w:type="dxa"/>
            <w:tcBorders>
              <w:top w:val="single" w:sz="4" w:space="0" w:color="auto"/>
              <w:left w:val="nil"/>
              <w:bottom w:val="single" w:sz="4" w:space="0" w:color="auto"/>
              <w:right w:val="single" w:sz="4" w:space="0" w:color="auto"/>
            </w:tcBorders>
            <w:shd w:val="clear" w:color="auto" w:fill="auto"/>
            <w:noWrap/>
            <w:vAlign w:val="bottom"/>
          </w:tcPr>
          <w:p w14:paraId="0954750C" w14:textId="77777777" w:rsidR="003326CA" w:rsidRPr="00BD295E" w:rsidRDefault="008A5057">
            <w:pPr>
              <w:spacing w:line="252" w:lineRule="auto"/>
              <w:jc w:val="center"/>
              <w:rPr>
                <w:rFonts w:ascii="Arial" w:eastAsia="Calibri" w:hAnsi="Arial" w:cs="Arial"/>
                <w:sz w:val="18"/>
                <w:szCs w:val="18"/>
                <w:lang w:val="en-US"/>
              </w:rPr>
            </w:pPr>
            <w:r w:rsidRPr="00BD295E">
              <w:rPr>
                <w:rFonts w:ascii="Arial" w:hAnsi="Arial" w:cs="Arial"/>
                <w:sz w:val="18"/>
                <w:szCs w:val="18"/>
                <w:lang w:val="en-US"/>
              </w:rPr>
              <w:t>81</w:t>
            </w:r>
          </w:p>
        </w:tc>
      </w:tr>
      <w:tr w:rsidR="008A5057" w:rsidRPr="00BD295E" w14:paraId="126E39AB" w14:textId="77777777" w:rsidTr="00D55E31">
        <w:trPr>
          <w:trHeight w:val="300"/>
        </w:trPr>
        <w:tc>
          <w:tcPr>
            <w:tcW w:w="3549" w:type="dxa"/>
            <w:tcBorders>
              <w:top w:val="single" w:sz="4" w:space="0" w:color="auto"/>
              <w:left w:val="single" w:sz="4" w:space="0" w:color="auto"/>
              <w:bottom w:val="single" w:sz="4" w:space="0" w:color="auto"/>
              <w:right w:val="single" w:sz="4" w:space="0" w:color="auto"/>
            </w:tcBorders>
            <w:shd w:val="clear" w:color="auto" w:fill="auto"/>
          </w:tcPr>
          <w:p w14:paraId="0EB406A7" w14:textId="77777777" w:rsidR="00A273C1" w:rsidRPr="00BD295E" w:rsidRDefault="008A5057" w:rsidP="0031297B">
            <w:pPr>
              <w:contextualSpacing/>
              <w:rPr>
                <w:rFonts w:ascii="Arial" w:hAnsi="Arial" w:cs="Arial"/>
                <w:sz w:val="18"/>
                <w:szCs w:val="18"/>
                <w:lang w:val="en-US"/>
              </w:rPr>
            </w:pPr>
            <w:r w:rsidRPr="00BD295E">
              <w:rPr>
                <w:rFonts w:ascii="Arial" w:hAnsi="Arial" w:cs="Arial"/>
                <w:sz w:val="18"/>
                <w:szCs w:val="18"/>
                <w:lang w:val="en-US"/>
              </w:rPr>
              <w:t>Energoouchet*</w:t>
            </w:r>
          </w:p>
        </w:tc>
        <w:tc>
          <w:tcPr>
            <w:tcW w:w="992" w:type="dxa"/>
            <w:tcBorders>
              <w:top w:val="single" w:sz="4" w:space="0" w:color="auto"/>
              <w:left w:val="nil"/>
              <w:bottom w:val="single" w:sz="4" w:space="0" w:color="auto"/>
              <w:right w:val="single" w:sz="4" w:space="0" w:color="auto"/>
            </w:tcBorders>
            <w:shd w:val="clear" w:color="auto" w:fill="auto"/>
            <w:noWrap/>
          </w:tcPr>
          <w:p w14:paraId="2B6FDBA2" w14:textId="77777777" w:rsidR="00A273C1" w:rsidRPr="00BD295E" w:rsidRDefault="00A273C1" w:rsidP="0031297B">
            <w:pPr>
              <w:contextualSpacing/>
              <w:jc w:val="right"/>
              <w:rPr>
                <w:rFonts w:ascii="Arial" w:hAnsi="Arial" w:cs="Arial"/>
                <w:sz w:val="18"/>
                <w:szCs w:val="18"/>
                <w:lang w:val="en-US"/>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7D499AB5" w14:textId="77777777" w:rsidR="00A273C1" w:rsidRPr="00BD295E" w:rsidRDefault="00A273C1" w:rsidP="0031297B">
            <w:pPr>
              <w:contextualSpacing/>
              <w:jc w:val="right"/>
              <w:rPr>
                <w:rFonts w:ascii="Arial" w:hAnsi="Arial" w:cs="Arial"/>
                <w:sz w:val="18"/>
                <w:szCs w:val="18"/>
                <w:lang w:val="en-US"/>
              </w:rPr>
            </w:pPr>
          </w:p>
        </w:tc>
        <w:tc>
          <w:tcPr>
            <w:tcW w:w="1094" w:type="dxa"/>
            <w:tcBorders>
              <w:top w:val="single" w:sz="4" w:space="0" w:color="auto"/>
              <w:left w:val="nil"/>
              <w:bottom w:val="single" w:sz="4" w:space="0" w:color="auto"/>
              <w:right w:val="single" w:sz="4" w:space="0" w:color="auto"/>
            </w:tcBorders>
            <w:shd w:val="clear" w:color="auto" w:fill="auto"/>
            <w:noWrap/>
            <w:vAlign w:val="bottom"/>
          </w:tcPr>
          <w:p w14:paraId="0BC10F30" w14:textId="77777777" w:rsidR="00A273C1" w:rsidRPr="00BD295E" w:rsidRDefault="00A273C1" w:rsidP="0031297B">
            <w:pPr>
              <w:contextualSpacing/>
              <w:jc w:val="right"/>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8705A9D" w14:textId="77777777" w:rsidR="00A273C1" w:rsidRPr="00BD295E" w:rsidRDefault="00A273C1" w:rsidP="0031297B">
            <w:pPr>
              <w:contextualSpacing/>
              <w:jc w:val="right"/>
              <w:rPr>
                <w:rFonts w:ascii="Arial" w:hAnsi="Arial" w:cs="Arial"/>
                <w:sz w:val="18"/>
                <w:szCs w:val="18"/>
                <w:lang w:val="en-US"/>
              </w:rPr>
            </w:pPr>
          </w:p>
        </w:tc>
        <w:tc>
          <w:tcPr>
            <w:tcW w:w="1428" w:type="dxa"/>
            <w:tcBorders>
              <w:top w:val="single" w:sz="4" w:space="0" w:color="auto"/>
              <w:left w:val="nil"/>
              <w:bottom w:val="single" w:sz="4" w:space="0" w:color="auto"/>
              <w:right w:val="single" w:sz="4" w:space="0" w:color="auto"/>
            </w:tcBorders>
            <w:shd w:val="clear" w:color="auto" w:fill="auto"/>
            <w:noWrap/>
            <w:vAlign w:val="bottom"/>
          </w:tcPr>
          <w:p w14:paraId="5950F906" w14:textId="77777777" w:rsidR="00A273C1" w:rsidRPr="00BD295E" w:rsidRDefault="00A273C1" w:rsidP="003F6DA4">
            <w:pPr>
              <w:jc w:val="center"/>
              <w:rPr>
                <w:rFonts w:ascii="Arial" w:hAnsi="Arial" w:cs="Arial"/>
                <w:sz w:val="18"/>
                <w:szCs w:val="18"/>
                <w:lang w:val="en-US"/>
              </w:rPr>
            </w:pPr>
          </w:p>
        </w:tc>
      </w:tr>
    </w:tbl>
    <w:p w14:paraId="29A70A79" w14:textId="77777777" w:rsidR="003F6DA4" w:rsidRPr="00BD295E" w:rsidRDefault="008A5057" w:rsidP="003F6DA4">
      <w:pPr>
        <w:jc w:val="both"/>
        <w:rPr>
          <w:rFonts w:ascii="Arial" w:hAnsi="Arial" w:cs="Arial"/>
          <w:sz w:val="18"/>
          <w:szCs w:val="18"/>
          <w:lang w:val="en-US"/>
        </w:rPr>
      </w:pPr>
      <w:r w:rsidRPr="00BD295E">
        <w:rPr>
          <w:rFonts w:ascii="Arial" w:hAnsi="Arial" w:cs="Arial"/>
          <w:sz w:val="18"/>
          <w:szCs w:val="18"/>
          <w:lang w:val="en-US"/>
        </w:rPr>
        <w:t>* Not operating</w:t>
      </w:r>
    </w:p>
    <w:p w14:paraId="08498406" w14:textId="77777777" w:rsidR="003F6DA4" w:rsidRPr="00BD295E" w:rsidRDefault="003F6DA4" w:rsidP="003F6DA4">
      <w:pPr>
        <w:tabs>
          <w:tab w:val="left" w:pos="142"/>
          <w:tab w:val="left" w:pos="993"/>
        </w:tabs>
        <w:ind w:firstLine="709"/>
        <w:jc w:val="both"/>
        <w:rPr>
          <w:rFonts w:ascii="Arial" w:hAnsi="Arial" w:cs="Arial"/>
          <w:sz w:val="18"/>
          <w:szCs w:val="18"/>
          <w:lang w:val="en-US"/>
        </w:rPr>
      </w:pPr>
    </w:p>
    <w:p w14:paraId="075A9946" w14:textId="77777777" w:rsidR="003F6DA4" w:rsidRPr="00BD295E" w:rsidRDefault="008A5057" w:rsidP="003F6DA4">
      <w:pPr>
        <w:tabs>
          <w:tab w:val="left" w:pos="142"/>
          <w:tab w:val="left" w:pos="993"/>
        </w:tabs>
        <w:ind w:firstLine="709"/>
        <w:jc w:val="both"/>
        <w:rPr>
          <w:rFonts w:ascii="Arial" w:hAnsi="Arial" w:cs="Arial"/>
          <w:sz w:val="18"/>
          <w:szCs w:val="18"/>
          <w:lang w:val="en-US"/>
        </w:rPr>
      </w:pPr>
      <w:r w:rsidRPr="00BD295E">
        <w:rPr>
          <w:rFonts w:ascii="Arial" w:hAnsi="Arial" w:cs="Arial"/>
          <w:sz w:val="18"/>
          <w:szCs w:val="18"/>
          <w:lang w:val="en-US"/>
        </w:rPr>
        <w:t>As at December 31, 2018, Lenenergo Group included the following legal entities:</w:t>
      </w:r>
    </w:p>
    <w:p w14:paraId="39B6C3A9" w14:textId="1A02201C" w:rsidR="003F6DA4" w:rsidRPr="00BD295E" w:rsidRDefault="008A5057" w:rsidP="00CA2271">
      <w:pPr>
        <w:pStyle w:val="af3"/>
        <w:numPr>
          <w:ilvl w:val="0"/>
          <w:numId w:val="27"/>
        </w:numPr>
        <w:tabs>
          <w:tab w:val="left" w:pos="142"/>
          <w:tab w:val="left" w:pos="993"/>
        </w:tabs>
        <w:autoSpaceDE w:val="0"/>
        <w:autoSpaceDN w:val="0"/>
        <w:adjustRightInd w:val="0"/>
        <w:contextualSpacing w:val="0"/>
        <w:rPr>
          <w:rFonts w:ascii="Arial" w:hAnsi="Arial" w:cs="Arial"/>
          <w:sz w:val="18"/>
          <w:szCs w:val="18"/>
          <w:lang w:val="en-US"/>
        </w:rPr>
      </w:pPr>
      <w:r w:rsidRPr="00BD295E">
        <w:rPr>
          <w:rFonts w:ascii="Arial" w:hAnsi="Arial" w:cs="Arial"/>
          <w:b/>
          <w:sz w:val="18"/>
          <w:szCs w:val="18"/>
          <w:lang w:val="en-US"/>
        </w:rPr>
        <w:t>Joint Stock Company</w:t>
      </w:r>
      <w:r w:rsidRPr="00BD295E">
        <w:rPr>
          <w:rFonts w:ascii="Arial" w:hAnsi="Arial" w:cs="Arial"/>
          <w:sz w:val="18"/>
          <w:szCs w:val="18"/>
          <w:lang w:val="en-US"/>
        </w:rPr>
        <w:t xml:space="preserve"> </w:t>
      </w:r>
      <w:r w:rsidR="00BF7D8E" w:rsidRPr="00BD295E">
        <w:rPr>
          <w:rFonts w:ascii="Arial" w:hAnsi="Arial" w:cs="Arial"/>
          <w:sz w:val="18"/>
          <w:szCs w:val="18"/>
          <w:lang w:val="en-US"/>
        </w:rPr>
        <w:t>“</w:t>
      </w:r>
      <w:r w:rsidR="00BF7D8E" w:rsidRPr="00BD295E">
        <w:rPr>
          <w:rFonts w:ascii="Arial" w:hAnsi="Arial" w:cs="Arial"/>
          <w:b/>
          <w:sz w:val="18"/>
          <w:szCs w:val="18"/>
          <w:lang w:val="en-US"/>
        </w:rPr>
        <w:t>Kurortenergo”</w:t>
      </w:r>
    </w:p>
    <w:p w14:paraId="337CEAD5" w14:textId="77777777" w:rsidR="003F6DA4" w:rsidRPr="00BD295E" w:rsidRDefault="008A5057" w:rsidP="003F6DA4">
      <w:pPr>
        <w:pStyle w:val="af3"/>
        <w:tabs>
          <w:tab w:val="left" w:pos="142"/>
          <w:tab w:val="left" w:pos="993"/>
        </w:tabs>
        <w:autoSpaceDE w:val="0"/>
        <w:autoSpaceDN w:val="0"/>
        <w:adjustRightInd w:val="0"/>
        <w:ind w:left="1069"/>
        <w:rPr>
          <w:rFonts w:ascii="Arial" w:hAnsi="Arial" w:cs="Arial"/>
          <w:sz w:val="18"/>
          <w:szCs w:val="18"/>
          <w:lang w:val="en-US"/>
        </w:rPr>
      </w:pPr>
      <w:r w:rsidRPr="00BD295E">
        <w:rPr>
          <w:rFonts w:ascii="Arial" w:hAnsi="Arial" w:cs="Arial"/>
          <w:sz w:val="18"/>
          <w:szCs w:val="18"/>
          <w:lang w:val="en-US"/>
        </w:rPr>
        <w:t xml:space="preserve">Share of </w:t>
      </w:r>
      <w:r w:rsidR="00EE5753" w:rsidRPr="00BD295E">
        <w:rPr>
          <w:rFonts w:ascii="Arial" w:hAnsi="Arial" w:cs="Arial"/>
          <w:sz w:val="18"/>
          <w:szCs w:val="18"/>
          <w:lang w:val="en-US"/>
        </w:rPr>
        <w:t>PJSC “Lenenergo”</w:t>
      </w:r>
      <w:r w:rsidRPr="00BD295E">
        <w:rPr>
          <w:rFonts w:ascii="Arial" w:hAnsi="Arial" w:cs="Arial"/>
          <w:sz w:val="18"/>
          <w:szCs w:val="18"/>
          <w:lang w:val="en-US"/>
        </w:rPr>
        <w:t>: 98.13% (99.75% in JSC).</w:t>
      </w:r>
    </w:p>
    <w:p w14:paraId="5A49CF4F" w14:textId="77777777" w:rsidR="003F6DA4" w:rsidRPr="00BD295E" w:rsidRDefault="008A5057" w:rsidP="003F6DA4">
      <w:pPr>
        <w:tabs>
          <w:tab w:val="left" w:pos="142"/>
          <w:tab w:val="left" w:pos="993"/>
        </w:tabs>
        <w:ind w:firstLine="709"/>
        <w:jc w:val="both"/>
        <w:rPr>
          <w:rFonts w:ascii="Arial" w:hAnsi="Arial" w:cs="Arial"/>
          <w:sz w:val="18"/>
          <w:szCs w:val="18"/>
          <w:lang w:val="en-US"/>
        </w:rPr>
      </w:pPr>
      <w:r w:rsidRPr="00BD295E">
        <w:rPr>
          <w:rFonts w:ascii="Arial" w:hAnsi="Arial" w:cs="Arial"/>
          <w:sz w:val="18"/>
          <w:szCs w:val="18"/>
          <w:lang w:val="en-US"/>
        </w:rPr>
        <w:t xml:space="preserve">Core operations: </w:t>
      </w:r>
    </w:p>
    <w:p w14:paraId="5CA2F30C" w14:textId="7305958E" w:rsidR="003F6DA4" w:rsidRPr="00BD295E" w:rsidRDefault="00BF7D8E" w:rsidP="00CA2271">
      <w:pPr>
        <w:numPr>
          <w:ilvl w:val="0"/>
          <w:numId w:val="23"/>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Electricity transmission</w:t>
      </w:r>
      <w:r w:rsidR="008A5057" w:rsidRPr="00BD295E">
        <w:rPr>
          <w:rFonts w:ascii="Arial" w:hAnsi="Arial" w:cs="Arial"/>
          <w:sz w:val="18"/>
          <w:szCs w:val="18"/>
          <w:lang w:val="en-US"/>
        </w:rPr>
        <w:t xml:space="preserve"> and distribution services</w:t>
      </w:r>
    </w:p>
    <w:p w14:paraId="7252FC08" w14:textId="77777777" w:rsidR="003F6DA4" w:rsidRPr="00BD295E" w:rsidRDefault="008A5057" w:rsidP="00CA2271">
      <w:pPr>
        <w:numPr>
          <w:ilvl w:val="0"/>
          <w:numId w:val="23"/>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Grid connection</w:t>
      </w:r>
    </w:p>
    <w:p w14:paraId="749BB597" w14:textId="77777777" w:rsidR="003F6DA4" w:rsidRPr="00BD295E" w:rsidRDefault="008A5057" w:rsidP="00CA2271">
      <w:pPr>
        <w:numPr>
          <w:ilvl w:val="0"/>
          <w:numId w:val="23"/>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Street lighting</w:t>
      </w:r>
    </w:p>
    <w:p w14:paraId="14925745" w14:textId="77777777" w:rsidR="003F6DA4" w:rsidRPr="00BD295E" w:rsidRDefault="003F6DA4" w:rsidP="003F6DA4">
      <w:pPr>
        <w:tabs>
          <w:tab w:val="left" w:pos="142"/>
          <w:tab w:val="left" w:pos="993"/>
        </w:tabs>
        <w:ind w:firstLine="709"/>
        <w:jc w:val="both"/>
        <w:rPr>
          <w:rFonts w:ascii="Arial" w:hAnsi="Arial" w:cs="Arial"/>
          <w:sz w:val="18"/>
          <w:szCs w:val="18"/>
          <w:lang w:val="en-US"/>
        </w:rPr>
      </w:pPr>
    </w:p>
    <w:p w14:paraId="4D2ABDD2" w14:textId="2C13B2A4" w:rsidR="003F6DA4" w:rsidRPr="00BD295E" w:rsidRDefault="008A5057" w:rsidP="00CA2271">
      <w:pPr>
        <w:pStyle w:val="af3"/>
        <w:numPr>
          <w:ilvl w:val="0"/>
          <w:numId w:val="27"/>
        </w:numPr>
        <w:tabs>
          <w:tab w:val="left" w:pos="142"/>
          <w:tab w:val="left" w:pos="993"/>
        </w:tabs>
        <w:contextualSpacing w:val="0"/>
        <w:jc w:val="both"/>
        <w:rPr>
          <w:rFonts w:ascii="Arial" w:hAnsi="Arial" w:cs="Arial"/>
          <w:sz w:val="18"/>
          <w:szCs w:val="18"/>
          <w:lang w:val="en-US"/>
        </w:rPr>
      </w:pPr>
      <w:r w:rsidRPr="00BD295E">
        <w:rPr>
          <w:rFonts w:ascii="Arial" w:hAnsi="Arial" w:cs="Arial"/>
          <w:b/>
          <w:sz w:val="18"/>
          <w:szCs w:val="18"/>
          <w:lang w:val="en-US"/>
        </w:rPr>
        <w:t>Joint Stock Company</w:t>
      </w:r>
      <w:r w:rsidR="00BF7D8E" w:rsidRPr="00BD295E">
        <w:rPr>
          <w:rFonts w:ascii="Arial" w:hAnsi="Arial" w:cs="Arial"/>
          <w:b/>
          <w:sz w:val="18"/>
          <w:szCs w:val="18"/>
          <w:lang w:val="en-US"/>
        </w:rPr>
        <w:t xml:space="preserve"> “Lenenergospetsremont”</w:t>
      </w:r>
    </w:p>
    <w:p w14:paraId="7BC0ED43" w14:textId="77777777" w:rsidR="003F6DA4" w:rsidRPr="00BD295E" w:rsidRDefault="008A5057" w:rsidP="003F6DA4">
      <w:pPr>
        <w:pStyle w:val="af3"/>
        <w:tabs>
          <w:tab w:val="left" w:pos="142"/>
          <w:tab w:val="left" w:pos="993"/>
        </w:tabs>
        <w:ind w:left="1069"/>
        <w:jc w:val="both"/>
        <w:rPr>
          <w:rFonts w:ascii="Arial" w:hAnsi="Arial" w:cs="Arial"/>
          <w:sz w:val="18"/>
          <w:szCs w:val="18"/>
          <w:lang w:val="en-US"/>
        </w:rPr>
      </w:pPr>
      <w:r w:rsidRPr="00BD295E">
        <w:rPr>
          <w:rFonts w:ascii="Arial" w:hAnsi="Arial" w:cs="Arial"/>
          <w:sz w:val="18"/>
          <w:szCs w:val="18"/>
          <w:lang w:val="en-US"/>
        </w:rPr>
        <w:t xml:space="preserve">Share of </w:t>
      </w:r>
      <w:r w:rsidR="00EE5753" w:rsidRPr="00BD295E">
        <w:rPr>
          <w:rFonts w:ascii="Arial" w:hAnsi="Arial" w:cs="Arial"/>
          <w:sz w:val="18"/>
          <w:szCs w:val="18"/>
          <w:lang w:val="en-US"/>
        </w:rPr>
        <w:t>PJSC “Lenenergo”</w:t>
      </w:r>
      <w:r w:rsidRPr="00BD295E">
        <w:rPr>
          <w:rFonts w:ascii="Arial" w:hAnsi="Arial" w:cs="Arial"/>
          <w:sz w:val="18"/>
          <w:szCs w:val="18"/>
          <w:lang w:val="en-US"/>
        </w:rPr>
        <w:t>: 100%</w:t>
      </w:r>
    </w:p>
    <w:p w14:paraId="335B2A96" w14:textId="77777777" w:rsidR="003F6DA4" w:rsidRPr="00BD295E" w:rsidRDefault="008A5057" w:rsidP="003F6DA4">
      <w:pPr>
        <w:tabs>
          <w:tab w:val="left" w:pos="142"/>
          <w:tab w:val="left" w:pos="993"/>
        </w:tabs>
        <w:ind w:firstLine="709"/>
        <w:jc w:val="both"/>
        <w:rPr>
          <w:rFonts w:ascii="Arial" w:hAnsi="Arial" w:cs="Arial"/>
          <w:sz w:val="18"/>
          <w:szCs w:val="18"/>
          <w:lang w:val="en-US"/>
        </w:rPr>
      </w:pPr>
      <w:r w:rsidRPr="00BD295E">
        <w:rPr>
          <w:rFonts w:ascii="Arial" w:hAnsi="Arial" w:cs="Arial"/>
          <w:bCs/>
          <w:sz w:val="18"/>
          <w:szCs w:val="18"/>
          <w:lang w:val="en-US"/>
        </w:rPr>
        <w:t>Core operations:</w:t>
      </w:r>
    </w:p>
    <w:p w14:paraId="4B7D9116" w14:textId="77777777" w:rsidR="003F6DA4" w:rsidRPr="00BD295E" w:rsidRDefault="008A5057" w:rsidP="00CA2271">
      <w:pPr>
        <w:numPr>
          <w:ilvl w:val="0"/>
          <w:numId w:val="24"/>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Construction, installation, and FEED engineering services for consumers of the Kurortny District of Saint Petersburg.</w:t>
      </w:r>
    </w:p>
    <w:p w14:paraId="2B33D59B" w14:textId="77777777" w:rsidR="003F6DA4" w:rsidRPr="00BD295E" w:rsidRDefault="003F6DA4" w:rsidP="003F6DA4">
      <w:pPr>
        <w:tabs>
          <w:tab w:val="left" w:pos="142"/>
          <w:tab w:val="left" w:pos="993"/>
        </w:tabs>
        <w:ind w:firstLine="709"/>
        <w:jc w:val="both"/>
        <w:rPr>
          <w:rFonts w:ascii="Arial" w:hAnsi="Arial" w:cs="Arial"/>
          <w:sz w:val="18"/>
          <w:szCs w:val="18"/>
          <w:lang w:val="en-US"/>
        </w:rPr>
      </w:pPr>
    </w:p>
    <w:p w14:paraId="7E966243" w14:textId="29FA8C39" w:rsidR="003F6DA4" w:rsidRPr="00BD295E" w:rsidRDefault="00BF7D8E" w:rsidP="00CA2271">
      <w:pPr>
        <w:pStyle w:val="af3"/>
        <w:numPr>
          <w:ilvl w:val="0"/>
          <w:numId w:val="27"/>
        </w:numPr>
        <w:tabs>
          <w:tab w:val="left" w:pos="142"/>
          <w:tab w:val="left" w:pos="993"/>
        </w:tabs>
        <w:contextualSpacing w:val="0"/>
        <w:jc w:val="both"/>
        <w:rPr>
          <w:rFonts w:ascii="Arial" w:hAnsi="Arial" w:cs="Arial"/>
          <w:bCs/>
          <w:sz w:val="18"/>
          <w:szCs w:val="18"/>
          <w:lang w:val="en-US"/>
        </w:rPr>
      </w:pPr>
      <w:r w:rsidRPr="00BD295E">
        <w:rPr>
          <w:rFonts w:ascii="Arial" w:hAnsi="Arial" w:cs="Arial"/>
          <w:b/>
          <w:bCs/>
          <w:sz w:val="18"/>
          <w:szCs w:val="18"/>
          <w:lang w:val="en-US"/>
        </w:rPr>
        <w:t>Joint Stock Company “</w:t>
      </w:r>
      <w:r w:rsidR="008A5057" w:rsidRPr="00BD295E">
        <w:rPr>
          <w:rFonts w:ascii="Arial" w:hAnsi="Arial" w:cs="Arial"/>
          <w:b/>
          <w:bCs/>
          <w:sz w:val="18"/>
          <w:szCs w:val="18"/>
          <w:lang w:val="en-US"/>
        </w:rPr>
        <w:t>Energy Service Company Lenenergo</w:t>
      </w:r>
      <w:r w:rsidRPr="00BD295E">
        <w:rPr>
          <w:rFonts w:ascii="Arial" w:hAnsi="Arial" w:cs="Arial"/>
          <w:b/>
          <w:bCs/>
          <w:sz w:val="18"/>
          <w:szCs w:val="18"/>
          <w:lang w:val="en-US"/>
        </w:rPr>
        <w:t>”</w:t>
      </w:r>
    </w:p>
    <w:p w14:paraId="6A44A510" w14:textId="77777777" w:rsidR="003F6DA4" w:rsidRPr="00BD295E" w:rsidRDefault="008A5057" w:rsidP="003F6DA4">
      <w:pPr>
        <w:pStyle w:val="af3"/>
        <w:tabs>
          <w:tab w:val="left" w:pos="142"/>
          <w:tab w:val="left" w:pos="993"/>
        </w:tabs>
        <w:ind w:left="1069"/>
        <w:jc w:val="both"/>
        <w:rPr>
          <w:rFonts w:ascii="Arial" w:hAnsi="Arial" w:cs="Arial"/>
          <w:bCs/>
          <w:sz w:val="18"/>
          <w:szCs w:val="18"/>
          <w:lang w:val="en-US"/>
        </w:rPr>
      </w:pPr>
      <w:r w:rsidRPr="00BD295E">
        <w:rPr>
          <w:rFonts w:ascii="Arial" w:hAnsi="Arial" w:cs="Arial"/>
          <w:bCs/>
          <w:sz w:val="18"/>
          <w:szCs w:val="18"/>
          <w:lang w:val="en-US"/>
        </w:rPr>
        <w:t xml:space="preserve">Share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100%</w:t>
      </w:r>
    </w:p>
    <w:p w14:paraId="667D5969" w14:textId="77777777" w:rsidR="003F6DA4" w:rsidRPr="00BD295E" w:rsidRDefault="008A5057" w:rsidP="003F6DA4">
      <w:pPr>
        <w:tabs>
          <w:tab w:val="left" w:pos="142"/>
          <w:tab w:val="left" w:pos="993"/>
        </w:tabs>
        <w:ind w:firstLine="709"/>
        <w:jc w:val="both"/>
        <w:rPr>
          <w:rFonts w:ascii="Arial" w:hAnsi="Arial" w:cs="Arial"/>
          <w:sz w:val="18"/>
          <w:szCs w:val="18"/>
          <w:lang w:val="en-US"/>
        </w:rPr>
      </w:pPr>
      <w:r w:rsidRPr="00BD295E">
        <w:rPr>
          <w:rFonts w:ascii="Arial" w:hAnsi="Arial" w:cs="Arial"/>
          <w:bCs/>
          <w:sz w:val="18"/>
          <w:szCs w:val="18"/>
          <w:lang w:val="en-US"/>
        </w:rPr>
        <w:t>Core operations:</w:t>
      </w:r>
    </w:p>
    <w:p w14:paraId="71DC01FC" w14:textId="77777777" w:rsidR="003F6DA4" w:rsidRPr="00BD295E" w:rsidRDefault="008A5057" w:rsidP="00CA2271">
      <w:pPr>
        <w:numPr>
          <w:ilvl w:val="0"/>
          <w:numId w:val="25"/>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Face-to-face and remote customer service:  Call Center, Customer Service Center;</w:t>
      </w:r>
    </w:p>
    <w:p w14:paraId="20450F85" w14:textId="77777777" w:rsidR="003F6DA4" w:rsidRPr="00BD295E" w:rsidRDefault="008A5057" w:rsidP="00CA2271">
      <w:pPr>
        <w:numPr>
          <w:ilvl w:val="0"/>
          <w:numId w:val="25"/>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Surveys of the consumers’ electrical installations;</w:t>
      </w:r>
    </w:p>
    <w:p w14:paraId="1471153F" w14:textId="77777777" w:rsidR="003F6DA4" w:rsidRPr="00BD295E" w:rsidRDefault="008A5057" w:rsidP="00CA2271">
      <w:pPr>
        <w:numPr>
          <w:ilvl w:val="0"/>
          <w:numId w:val="25"/>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Implementation of commercial projects;</w:t>
      </w:r>
    </w:p>
    <w:p w14:paraId="5148C0A4" w14:textId="77777777" w:rsidR="003F6DA4" w:rsidRPr="00BD295E" w:rsidRDefault="008A5057" w:rsidP="00CA2271">
      <w:pPr>
        <w:numPr>
          <w:ilvl w:val="0"/>
          <w:numId w:val="25"/>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Detecting and addressing non-contractual electricity consumption.</w:t>
      </w:r>
    </w:p>
    <w:p w14:paraId="6F133A9A" w14:textId="77777777" w:rsidR="003F6DA4" w:rsidRPr="00BD295E" w:rsidRDefault="003F6DA4" w:rsidP="003F6DA4">
      <w:pPr>
        <w:tabs>
          <w:tab w:val="left" w:pos="142"/>
          <w:tab w:val="left" w:pos="993"/>
        </w:tabs>
        <w:ind w:firstLine="709"/>
        <w:jc w:val="both"/>
        <w:rPr>
          <w:rFonts w:ascii="Arial" w:hAnsi="Arial" w:cs="Arial"/>
          <w:sz w:val="18"/>
          <w:szCs w:val="18"/>
          <w:lang w:val="en-US"/>
        </w:rPr>
      </w:pPr>
    </w:p>
    <w:p w14:paraId="4FBC1CC8" w14:textId="76F92407" w:rsidR="003F6DA4" w:rsidRPr="00BD295E" w:rsidRDefault="00BF7D8E" w:rsidP="00CA2271">
      <w:pPr>
        <w:pStyle w:val="af3"/>
        <w:numPr>
          <w:ilvl w:val="0"/>
          <w:numId w:val="27"/>
        </w:numPr>
        <w:tabs>
          <w:tab w:val="left" w:pos="142"/>
          <w:tab w:val="left" w:pos="993"/>
        </w:tabs>
        <w:contextualSpacing w:val="0"/>
        <w:jc w:val="both"/>
        <w:rPr>
          <w:rFonts w:ascii="Arial" w:hAnsi="Arial" w:cs="Arial"/>
          <w:bCs/>
          <w:sz w:val="18"/>
          <w:szCs w:val="18"/>
          <w:lang w:val="en-US"/>
        </w:rPr>
      </w:pPr>
      <w:r w:rsidRPr="00BD295E">
        <w:rPr>
          <w:rFonts w:ascii="Arial" w:hAnsi="Arial" w:cs="Arial"/>
          <w:b/>
          <w:bCs/>
          <w:sz w:val="18"/>
          <w:szCs w:val="18"/>
          <w:lang w:val="en-US"/>
        </w:rPr>
        <w:t>Joint Stock Company “</w:t>
      </w:r>
      <w:r w:rsidR="008A5057" w:rsidRPr="00BD295E">
        <w:rPr>
          <w:rFonts w:ascii="Arial" w:hAnsi="Arial" w:cs="Arial"/>
          <w:b/>
          <w:bCs/>
          <w:sz w:val="18"/>
          <w:szCs w:val="18"/>
          <w:lang w:val="en-US"/>
        </w:rPr>
        <w:t>Tsarskoye Selo Energy Company</w:t>
      </w:r>
      <w:r w:rsidRPr="00BD295E">
        <w:rPr>
          <w:rFonts w:ascii="Arial" w:hAnsi="Arial" w:cs="Arial"/>
          <w:b/>
          <w:bCs/>
          <w:sz w:val="18"/>
          <w:szCs w:val="18"/>
          <w:lang w:val="en-US"/>
        </w:rPr>
        <w:t>”</w:t>
      </w:r>
    </w:p>
    <w:p w14:paraId="7EA901CA" w14:textId="77777777" w:rsidR="003F6DA4" w:rsidRPr="00BD295E" w:rsidRDefault="008A5057" w:rsidP="003F6DA4">
      <w:pPr>
        <w:pStyle w:val="af3"/>
        <w:tabs>
          <w:tab w:val="left" w:pos="142"/>
          <w:tab w:val="left" w:pos="993"/>
        </w:tabs>
        <w:ind w:left="1069"/>
        <w:jc w:val="both"/>
        <w:rPr>
          <w:rFonts w:ascii="Arial" w:hAnsi="Arial" w:cs="Arial"/>
          <w:bCs/>
          <w:sz w:val="18"/>
          <w:szCs w:val="18"/>
          <w:lang w:val="en-US"/>
        </w:rPr>
      </w:pPr>
      <w:r w:rsidRPr="00BD295E">
        <w:rPr>
          <w:rFonts w:ascii="Arial" w:hAnsi="Arial" w:cs="Arial"/>
          <w:bCs/>
          <w:sz w:val="18"/>
          <w:szCs w:val="18"/>
          <w:lang w:val="en-US"/>
        </w:rPr>
        <w:t xml:space="preserve">Share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96.95% (98.93% in JSC).</w:t>
      </w:r>
    </w:p>
    <w:p w14:paraId="34B69A1F" w14:textId="77777777" w:rsidR="003F6DA4" w:rsidRPr="00BD295E" w:rsidRDefault="008A5057" w:rsidP="003F6DA4">
      <w:pPr>
        <w:tabs>
          <w:tab w:val="left" w:pos="142"/>
          <w:tab w:val="left" w:pos="993"/>
        </w:tabs>
        <w:ind w:firstLine="709"/>
        <w:jc w:val="both"/>
        <w:rPr>
          <w:rFonts w:ascii="Arial" w:hAnsi="Arial" w:cs="Arial"/>
          <w:sz w:val="18"/>
          <w:szCs w:val="18"/>
          <w:lang w:val="en-US"/>
        </w:rPr>
      </w:pPr>
      <w:r w:rsidRPr="00BD295E">
        <w:rPr>
          <w:rFonts w:ascii="Arial" w:hAnsi="Arial" w:cs="Arial"/>
          <w:bCs/>
          <w:sz w:val="18"/>
          <w:szCs w:val="18"/>
          <w:lang w:val="en-US"/>
        </w:rPr>
        <w:t>Core operations:</w:t>
      </w:r>
    </w:p>
    <w:p w14:paraId="5C4354ED" w14:textId="614EB292" w:rsidR="003F6DA4" w:rsidRPr="00BD295E" w:rsidRDefault="008A5057" w:rsidP="00CA2271">
      <w:pPr>
        <w:numPr>
          <w:ilvl w:val="0"/>
          <w:numId w:val="26"/>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 xml:space="preserve"> </w:t>
      </w:r>
      <w:r w:rsidR="002C3947" w:rsidRPr="00BD295E">
        <w:rPr>
          <w:rFonts w:ascii="Arial" w:hAnsi="Arial" w:cs="Arial"/>
          <w:sz w:val="18"/>
          <w:szCs w:val="18"/>
          <w:lang w:val="en-US"/>
        </w:rPr>
        <w:t>Electricity transmission</w:t>
      </w:r>
      <w:r w:rsidRPr="00BD295E">
        <w:rPr>
          <w:rFonts w:ascii="Arial" w:hAnsi="Arial" w:cs="Arial"/>
          <w:sz w:val="18"/>
          <w:szCs w:val="18"/>
          <w:lang w:val="en-US"/>
        </w:rPr>
        <w:t xml:space="preserve"> and distribution services</w:t>
      </w:r>
    </w:p>
    <w:p w14:paraId="1E1DF4BF" w14:textId="77777777" w:rsidR="003F6DA4" w:rsidRPr="00BD295E" w:rsidRDefault="008A5057" w:rsidP="00CA2271">
      <w:pPr>
        <w:numPr>
          <w:ilvl w:val="0"/>
          <w:numId w:val="26"/>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 xml:space="preserve"> Grid connection</w:t>
      </w:r>
    </w:p>
    <w:p w14:paraId="7E430565" w14:textId="77777777" w:rsidR="003F6DA4" w:rsidRPr="00BD295E" w:rsidRDefault="008A5057" w:rsidP="00CA2271">
      <w:pPr>
        <w:numPr>
          <w:ilvl w:val="0"/>
          <w:numId w:val="26"/>
        </w:numPr>
        <w:tabs>
          <w:tab w:val="left" w:pos="142"/>
          <w:tab w:val="left" w:pos="993"/>
        </w:tabs>
        <w:ind w:left="0" w:firstLine="709"/>
        <w:jc w:val="both"/>
        <w:rPr>
          <w:rFonts w:ascii="Arial" w:hAnsi="Arial" w:cs="Arial"/>
          <w:sz w:val="18"/>
          <w:szCs w:val="18"/>
          <w:lang w:val="en-US"/>
        </w:rPr>
      </w:pPr>
      <w:r w:rsidRPr="00BD295E">
        <w:rPr>
          <w:rFonts w:ascii="Arial" w:hAnsi="Arial" w:cs="Arial"/>
          <w:sz w:val="18"/>
          <w:szCs w:val="18"/>
          <w:lang w:val="en-US"/>
        </w:rPr>
        <w:t xml:space="preserve"> Street lighting</w:t>
      </w:r>
    </w:p>
    <w:p w14:paraId="6C32F4DE" w14:textId="77777777" w:rsidR="003F6DA4" w:rsidRPr="00BD295E" w:rsidRDefault="003F6DA4" w:rsidP="003F6DA4">
      <w:pPr>
        <w:tabs>
          <w:tab w:val="left" w:pos="142"/>
          <w:tab w:val="left" w:pos="993"/>
        </w:tabs>
        <w:ind w:left="709"/>
        <w:jc w:val="both"/>
        <w:rPr>
          <w:rFonts w:ascii="Arial" w:hAnsi="Arial" w:cs="Arial"/>
          <w:sz w:val="18"/>
          <w:szCs w:val="18"/>
          <w:lang w:val="en-US"/>
        </w:rPr>
      </w:pPr>
    </w:p>
    <w:p w14:paraId="79E8C82E" w14:textId="73796FBF" w:rsidR="003F6DA4" w:rsidRPr="00BD295E" w:rsidRDefault="00BF7D8E" w:rsidP="00CA2271">
      <w:pPr>
        <w:pStyle w:val="af3"/>
        <w:numPr>
          <w:ilvl w:val="0"/>
          <w:numId w:val="27"/>
        </w:numPr>
        <w:tabs>
          <w:tab w:val="left" w:pos="142"/>
          <w:tab w:val="left" w:pos="993"/>
        </w:tabs>
        <w:contextualSpacing w:val="0"/>
        <w:jc w:val="both"/>
        <w:rPr>
          <w:rFonts w:ascii="Arial" w:hAnsi="Arial" w:cs="Arial"/>
          <w:b/>
          <w:sz w:val="18"/>
          <w:szCs w:val="18"/>
          <w:lang w:val="en-US"/>
        </w:rPr>
      </w:pPr>
      <w:r w:rsidRPr="00BD295E">
        <w:rPr>
          <w:rFonts w:ascii="Arial" w:hAnsi="Arial" w:cs="Arial"/>
          <w:b/>
          <w:sz w:val="18"/>
          <w:szCs w:val="18"/>
          <w:lang w:val="en-US"/>
        </w:rPr>
        <w:t>Joint Stock Company “</w:t>
      </w:r>
      <w:r w:rsidR="008A5057" w:rsidRPr="00BD295E">
        <w:rPr>
          <w:rFonts w:ascii="Arial" w:hAnsi="Arial" w:cs="Arial"/>
          <w:b/>
          <w:sz w:val="18"/>
          <w:szCs w:val="18"/>
          <w:lang w:val="en-US"/>
        </w:rPr>
        <w:t>Saint Petersburg Power Grid</w:t>
      </w:r>
      <w:r w:rsidRPr="00BD295E">
        <w:rPr>
          <w:rFonts w:ascii="Arial" w:hAnsi="Arial" w:cs="Arial"/>
          <w:b/>
          <w:sz w:val="18"/>
          <w:szCs w:val="18"/>
          <w:lang w:val="en-US"/>
        </w:rPr>
        <w:t>”</w:t>
      </w:r>
      <w:r w:rsidR="008A5057" w:rsidRPr="00BD295E">
        <w:rPr>
          <w:rFonts w:ascii="Arial" w:hAnsi="Arial" w:cs="Arial"/>
          <w:b/>
          <w:sz w:val="18"/>
          <w:szCs w:val="18"/>
          <w:lang w:val="en-US"/>
        </w:rPr>
        <w:t>*</w:t>
      </w:r>
    </w:p>
    <w:p w14:paraId="72547D53" w14:textId="77777777" w:rsidR="003F6DA4" w:rsidRPr="00BD295E" w:rsidRDefault="008A5057" w:rsidP="003F6DA4">
      <w:pPr>
        <w:pStyle w:val="af3"/>
        <w:tabs>
          <w:tab w:val="left" w:pos="142"/>
          <w:tab w:val="left" w:pos="993"/>
        </w:tabs>
        <w:ind w:left="1069"/>
        <w:jc w:val="both"/>
        <w:rPr>
          <w:rFonts w:ascii="Arial" w:hAnsi="Arial" w:cs="Arial"/>
          <w:sz w:val="18"/>
          <w:szCs w:val="18"/>
          <w:lang w:val="en-US"/>
        </w:rPr>
      </w:pPr>
      <w:r w:rsidRPr="00BD295E">
        <w:rPr>
          <w:rFonts w:ascii="Arial" w:hAnsi="Arial" w:cs="Arial"/>
          <w:sz w:val="18"/>
          <w:szCs w:val="18"/>
          <w:lang w:val="en-US"/>
        </w:rPr>
        <w:t xml:space="preserve">Share of </w:t>
      </w:r>
      <w:r w:rsidR="00EE5753" w:rsidRPr="00BD295E">
        <w:rPr>
          <w:rFonts w:ascii="Arial" w:hAnsi="Arial" w:cs="Arial"/>
          <w:sz w:val="18"/>
          <w:szCs w:val="18"/>
          <w:lang w:val="en-US"/>
        </w:rPr>
        <w:t>PJSC “Lenenergo”</w:t>
      </w:r>
      <w:r w:rsidRPr="00BD295E">
        <w:rPr>
          <w:rFonts w:ascii="Arial" w:hAnsi="Arial" w:cs="Arial"/>
          <w:sz w:val="18"/>
          <w:szCs w:val="18"/>
          <w:lang w:val="en-US"/>
        </w:rPr>
        <w:t>: 100%</w:t>
      </w:r>
    </w:p>
    <w:p w14:paraId="2E58D9A8" w14:textId="77777777" w:rsidR="003F6DA4" w:rsidRPr="00BD295E" w:rsidRDefault="003F6DA4" w:rsidP="003F6DA4">
      <w:pPr>
        <w:pStyle w:val="af3"/>
        <w:tabs>
          <w:tab w:val="left" w:pos="142"/>
          <w:tab w:val="left" w:pos="993"/>
        </w:tabs>
        <w:ind w:left="1069"/>
        <w:jc w:val="both"/>
        <w:rPr>
          <w:rFonts w:ascii="Arial" w:hAnsi="Arial" w:cs="Arial"/>
          <w:sz w:val="18"/>
          <w:szCs w:val="18"/>
          <w:lang w:val="en-US"/>
        </w:rPr>
      </w:pPr>
    </w:p>
    <w:p w14:paraId="21A2C94A" w14:textId="6A90D9C0" w:rsidR="003F6DA4" w:rsidRPr="00BD295E" w:rsidRDefault="008A5057" w:rsidP="00CA2271">
      <w:pPr>
        <w:pStyle w:val="af3"/>
        <w:numPr>
          <w:ilvl w:val="0"/>
          <w:numId w:val="27"/>
        </w:numPr>
        <w:tabs>
          <w:tab w:val="left" w:pos="142"/>
          <w:tab w:val="left" w:pos="993"/>
        </w:tabs>
        <w:contextualSpacing w:val="0"/>
        <w:jc w:val="both"/>
        <w:rPr>
          <w:rFonts w:ascii="Arial" w:hAnsi="Arial" w:cs="Arial"/>
          <w:b/>
          <w:sz w:val="18"/>
          <w:szCs w:val="18"/>
          <w:lang w:val="en-US"/>
        </w:rPr>
      </w:pPr>
      <w:r w:rsidRPr="00BD295E">
        <w:rPr>
          <w:rFonts w:ascii="Arial" w:hAnsi="Arial" w:cs="Arial"/>
          <w:b/>
          <w:sz w:val="18"/>
          <w:szCs w:val="18"/>
          <w:lang w:val="en-US"/>
        </w:rPr>
        <w:t>Joint Stock Company*</w:t>
      </w:r>
      <w:r w:rsidR="00BF7D8E" w:rsidRPr="00BD295E">
        <w:rPr>
          <w:rFonts w:ascii="Arial" w:hAnsi="Arial" w:cs="Arial"/>
          <w:b/>
          <w:sz w:val="18"/>
          <w:szCs w:val="18"/>
          <w:lang w:val="en-US"/>
        </w:rPr>
        <w:t>” Petrodvorets Power Grid”</w:t>
      </w:r>
    </w:p>
    <w:p w14:paraId="7D10EBC1" w14:textId="77777777" w:rsidR="003F6DA4" w:rsidRPr="00BD295E" w:rsidRDefault="008A5057" w:rsidP="003F6DA4">
      <w:pPr>
        <w:pStyle w:val="af3"/>
        <w:tabs>
          <w:tab w:val="left" w:pos="142"/>
          <w:tab w:val="left" w:pos="993"/>
        </w:tabs>
        <w:ind w:left="1069"/>
        <w:jc w:val="both"/>
        <w:rPr>
          <w:rFonts w:ascii="Arial" w:hAnsi="Arial" w:cs="Arial"/>
          <w:sz w:val="18"/>
          <w:szCs w:val="18"/>
          <w:lang w:val="en-US"/>
        </w:rPr>
      </w:pPr>
      <w:r w:rsidRPr="00BD295E">
        <w:rPr>
          <w:rFonts w:ascii="Arial" w:hAnsi="Arial" w:cs="Arial"/>
          <w:sz w:val="18"/>
          <w:szCs w:val="18"/>
          <w:lang w:val="en-US"/>
        </w:rPr>
        <w:t xml:space="preserve">Share of </w:t>
      </w:r>
      <w:r w:rsidR="00EE5753" w:rsidRPr="00BD295E">
        <w:rPr>
          <w:rFonts w:ascii="Arial" w:hAnsi="Arial" w:cs="Arial"/>
          <w:sz w:val="18"/>
          <w:szCs w:val="18"/>
          <w:lang w:val="en-US"/>
        </w:rPr>
        <w:t>PJSC “Lenenergo”</w:t>
      </w:r>
      <w:r w:rsidRPr="00BD295E">
        <w:rPr>
          <w:rFonts w:ascii="Arial" w:hAnsi="Arial" w:cs="Arial"/>
          <w:sz w:val="18"/>
          <w:szCs w:val="18"/>
          <w:lang w:val="en-US"/>
        </w:rPr>
        <w:t>: 60.1% (80.1% in JSC).</w:t>
      </w:r>
    </w:p>
    <w:p w14:paraId="0D313D15" w14:textId="77777777" w:rsidR="003F6DA4" w:rsidRPr="00BD295E" w:rsidRDefault="008A5057" w:rsidP="003F6DA4">
      <w:pPr>
        <w:tabs>
          <w:tab w:val="left" w:pos="142"/>
          <w:tab w:val="left" w:pos="993"/>
        </w:tabs>
        <w:jc w:val="both"/>
        <w:rPr>
          <w:rFonts w:ascii="Arial" w:hAnsi="Arial" w:cs="Arial"/>
          <w:sz w:val="18"/>
          <w:szCs w:val="18"/>
          <w:lang w:val="en-US"/>
        </w:rPr>
      </w:pPr>
      <w:r w:rsidRPr="00BD295E">
        <w:rPr>
          <w:rFonts w:ascii="Arial" w:hAnsi="Arial" w:cs="Arial"/>
          <w:sz w:val="18"/>
          <w:szCs w:val="18"/>
          <w:lang w:val="en-US"/>
        </w:rPr>
        <w:t xml:space="preserve">* Apart of the business consolidation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of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the power grid assets of these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were leased to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performing operational functions, while the management and operational staff were transferred to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p>
    <w:p w14:paraId="35010CBF" w14:textId="77777777" w:rsidR="003F6DA4" w:rsidRPr="00BD295E" w:rsidRDefault="003F6DA4" w:rsidP="003F6DA4">
      <w:pPr>
        <w:jc w:val="both"/>
        <w:rPr>
          <w:rFonts w:ascii="Arial" w:hAnsi="Arial" w:cs="Arial"/>
          <w:sz w:val="18"/>
          <w:szCs w:val="18"/>
          <w:lang w:val="en-US"/>
        </w:rPr>
      </w:pPr>
    </w:p>
    <w:p w14:paraId="0452C51F" w14:textId="77777777" w:rsidR="003F6DA4" w:rsidRPr="00BD295E" w:rsidRDefault="008A5057" w:rsidP="006614B1">
      <w:pPr>
        <w:keepNext/>
        <w:numPr>
          <w:ilvl w:val="1"/>
          <w:numId w:val="6"/>
        </w:numPr>
        <w:spacing w:line="360" w:lineRule="auto"/>
        <w:ind w:hanging="129"/>
        <w:jc w:val="both"/>
        <w:outlineLvl w:val="1"/>
        <w:rPr>
          <w:rFonts w:ascii="Arial" w:hAnsi="Arial" w:cs="Arial"/>
          <w:b/>
          <w:sz w:val="18"/>
          <w:szCs w:val="18"/>
          <w:lang w:val="en-US"/>
        </w:rPr>
      </w:pPr>
      <w:bookmarkStart w:id="43" w:name="_Toc509493379"/>
      <w:bookmarkStart w:id="44" w:name="_Toc509497945"/>
      <w:bookmarkStart w:id="45" w:name="_Toc509581247"/>
      <w:bookmarkStart w:id="46" w:name="_Toc510452211"/>
      <w:bookmarkStart w:id="47" w:name="_Toc5026989"/>
      <w:bookmarkStart w:id="48" w:name="_Toc5105958"/>
      <w:bookmarkStart w:id="49" w:name="_Toc5203811"/>
      <w:bookmarkStart w:id="50" w:name="_Toc6230907"/>
      <w:bookmarkStart w:id="51" w:name="_Toc7172555"/>
      <w:bookmarkStart w:id="52" w:name="_Toc7172601"/>
      <w:bookmarkStart w:id="53" w:name="_Toc95855276"/>
      <w:bookmarkStart w:id="54" w:name="_Toc95935335"/>
      <w:r w:rsidRPr="00BD295E">
        <w:rPr>
          <w:rFonts w:ascii="Arial" w:hAnsi="Arial" w:cs="Arial"/>
          <w:b/>
          <w:sz w:val="18"/>
          <w:szCs w:val="18"/>
          <w:lang w:val="en-US"/>
        </w:rPr>
        <w:t>Key Milestones of the Reporting Period</w:t>
      </w:r>
      <w:bookmarkEnd w:id="43"/>
      <w:bookmarkEnd w:id="44"/>
      <w:bookmarkEnd w:id="45"/>
      <w:bookmarkEnd w:id="46"/>
      <w:bookmarkEnd w:id="47"/>
      <w:bookmarkEnd w:id="48"/>
      <w:bookmarkEnd w:id="49"/>
      <w:bookmarkEnd w:id="50"/>
      <w:bookmarkEnd w:id="51"/>
      <w:bookmarkEnd w:id="52"/>
      <w:bookmarkEnd w:id="53"/>
      <w:bookmarkEnd w:id="54"/>
      <w:r w:rsidRPr="00BD295E">
        <w:rPr>
          <w:rFonts w:ascii="Arial" w:hAnsi="Arial" w:cs="Arial"/>
          <w:b/>
          <w:sz w:val="18"/>
          <w:szCs w:val="18"/>
          <w:lang w:val="en-US"/>
        </w:rPr>
        <w:t xml:space="preserve"> </w:t>
      </w:r>
    </w:p>
    <w:p w14:paraId="7660DF8B" w14:textId="77777777" w:rsidR="003F6DA4" w:rsidRPr="00BD295E" w:rsidRDefault="003F6DA4" w:rsidP="003F6DA4">
      <w:pPr>
        <w:rPr>
          <w:rFonts w:ascii="Arial" w:hAnsi="Arial" w:cs="Arial"/>
          <w:sz w:val="18"/>
          <w:szCs w:val="18"/>
          <w:lang w:val="en-US"/>
        </w:rPr>
      </w:pPr>
    </w:p>
    <w:p w14:paraId="7D6CDAEB"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January</w:t>
      </w:r>
    </w:p>
    <w:p w14:paraId="54175A4A"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1EEF9889"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b/>
          <w:bCs/>
          <w:color w:val="auto"/>
          <w:sz w:val="18"/>
          <w:szCs w:val="18"/>
          <w:lang w:val="en-US"/>
        </w:rPr>
        <w:t>- On January 12, 2018</w:t>
      </w:r>
      <w:r w:rsidRPr="00BD295E">
        <w:rPr>
          <w:rStyle w:val="afffffff4"/>
          <w:rFonts w:ascii="Arial" w:hAnsi="Arial" w:cs="Arial"/>
          <w:color w:val="auto"/>
          <w:sz w:val="18"/>
          <w:szCs w:val="18"/>
          <w:lang w:val="en-US"/>
        </w:rPr>
        <w:t xml:space="preserve">, Pavel Livinsky presented the new CEO of Lenenergo, Andrey Ryumin, to the Company’s team. </w:t>
      </w:r>
    </w:p>
    <w:p w14:paraId="68BB7677"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Lenenergo’s Board of Directors unanimously elected him as the new head of the electric grid company.</w:t>
      </w:r>
    </w:p>
    <w:p w14:paraId="7ABCA3FF"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31EC55A3" w14:textId="2D1E011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00EE29F8" w:rsidRPr="00BD295E">
        <w:rPr>
          <w:rStyle w:val="afffffff4"/>
          <w:rFonts w:ascii="Arial" w:hAnsi="Arial" w:cs="Arial"/>
          <w:color w:val="auto"/>
          <w:sz w:val="18"/>
          <w:szCs w:val="18"/>
          <w:lang w:val="en-US"/>
        </w:rPr>
        <w:t xml:space="preserve"> </w:t>
      </w:r>
      <w:r w:rsidRPr="00BD295E">
        <w:rPr>
          <w:rStyle w:val="afffffff4"/>
          <w:rFonts w:ascii="Arial" w:hAnsi="Arial" w:cs="Arial"/>
          <w:color w:val="auto"/>
          <w:sz w:val="18"/>
          <w:szCs w:val="18"/>
          <w:lang w:val="en-US"/>
        </w:rPr>
        <w:t>took part in the ceremony held to mark the 74th anniversary of the full lifting of the siege of Leningrad</w:t>
      </w:r>
    </w:p>
    <w:p w14:paraId="529E2C8C"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Power engineers, headed by the Company’s CEO Andrey Ryumin, laid flowers at the monument to Motherland and the memorial plaque commemorating the feats of workers of the power industry buried at Piskarevskoye Cemetery.</w:t>
      </w:r>
    </w:p>
    <w:p w14:paraId="191FEB00" w14:textId="22B3F23E" w:rsidR="00701648" w:rsidRPr="00BD295E" w:rsidRDefault="00701648">
      <w:pPr>
        <w:rPr>
          <w:rStyle w:val="afffffff4"/>
          <w:rFonts w:ascii="Arial" w:eastAsia="Calibri" w:hAnsi="Arial" w:cs="Arial"/>
          <w:i w:val="0"/>
          <w:color w:val="auto"/>
          <w:sz w:val="18"/>
          <w:szCs w:val="18"/>
          <w:lang w:val="en-US" w:eastAsia="en-US"/>
        </w:rPr>
      </w:pPr>
      <w:r w:rsidRPr="00BD295E">
        <w:rPr>
          <w:rStyle w:val="afffffff4"/>
          <w:rFonts w:ascii="Arial" w:hAnsi="Arial" w:cs="Arial"/>
          <w:i w:val="0"/>
          <w:color w:val="auto"/>
          <w:sz w:val="18"/>
          <w:szCs w:val="18"/>
          <w:lang w:val="en-US"/>
        </w:rPr>
        <w:br w:type="page"/>
      </w:r>
    </w:p>
    <w:p w14:paraId="7887274D" w14:textId="001B582F"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February</w:t>
      </w:r>
    </w:p>
    <w:p w14:paraId="73FBC009"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1C031E45"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Lenenergo took part in the Russian Investment Forum in Sochi.</w:t>
      </w:r>
    </w:p>
    <w:p w14:paraId="3EAD006D"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A delegation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headed by its CEO Andrey Ryumin, took part in the events held at the Territory of Russian Grids congress and exhibition venue. The discussion focused on the outlooks and global trends in the development of modern smart energy solutions.</w:t>
      </w:r>
    </w:p>
    <w:p w14:paraId="0DF63AC1"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3A38B9D5"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Governor of the Leningrad Region Alexander Drozdenko visited the 110 kV Luga substation after its upgrade.</w:t>
      </w:r>
    </w:p>
    <w:p w14:paraId="2D3DF14E" w14:textId="01107E83"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Alexander Drozdenko and Andrey Ryumin, CEO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inspected the equipment of the key power source of the Luzhsky District after its retrofitting. The facility’s </w:t>
      </w:r>
      <w:r w:rsidR="00BF7D8E" w:rsidRPr="00BD295E">
        <w:rPr>
          <w:rStyle w:val="afffffff4"/>
          <w:rFonts w:ascii="Arial" w:hAnsi="Arial" w:cs="Arial"/>
          <w:color w:val="auto"/>
          <w:sz w:val="18"/>
          <w:szCs w:val="18"/>
          <w:lang w:val="en-US"/>
        </w:rPr>
        <w:t>capacity increased</w:t>
      </w:r>
      <w:r w:rsidRPr="00BD295E">
        <w:rPr>
          <w:rStyle w:val="afffffff4"/>
          <w:rFonts w:ascii="Arial" w:hAnsi="Arial" w:cs="Arial"/>
          <w:color w:val="auto"/>
          <w:sz w:val="18"/>
          <w:szCs w:val="18"/>
          <w:lang w:val="en-US"/>
        </w:rPr>
        <w:t xml:space="preserve"> by more than one and a half times, from 80 to 126 MVA.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built a new 35 kV switchgear and fully retrofitted a 110 kV outdoor switchgear.</w:t>
      </w:r>
    </w:p>
    <w:p w14:paraId="3C5EF768"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224621DB"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b/>
          <w:bCs/>
          <w:color w:val="auto"/>
          <w:sz w:val="18"/>
          <w:szCs w:val="18"/>
          <w:lang w:val="en-US"/>
        </w:rPr>
        <w:t>- On February 5, 2018</w:t>
      </w:r>
      <w:r w:rsidRPr="00BD295E">
        <w:rPr>
          <w:rStyle w:val="afffffff4"/>
          <w:rFonts w:ascii="Arial" w:hAnsi="Arial" w:cs="Arial"/>
          <w:color w:val="auto"/>
          <w:sz w:val="18"/>
          <w:szCs w:val="18"/>
          <w:lang w:val="en-US"/>
        </w:rPr>
        <w:t>, at the Extraordinary General Meeting of Lenenergo's shareholders, new members of the Company’s Board of Directors were elected.</w:t>
      </w:r>
    </w:p>
    <w:p w14:paraId="778D9690"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0DD60182" w14:textId="7C310113"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Pavel Livinsky, CEO of </w:t>
      </w:r>
      <w:r w:rsidR="00BF106F" w:rsidRPr="00BD295E">
        <w:rPr>
          <w:rStyle w:val="afffffff4"/>
          <w:rFonts w:ascii="Arial" w:hAnsi="Arial" w:cs="Arial"/>
          <w:color w:val="auto"/>
          <w:sz w:val="18"/>
          <w:szCs w:val="18"/>
          <w:lang w:val="en-US"/>
        </w:rPr>
        <w:t>PJSC “</w:t>
      </w:r>
      <w:r w:rsidR="00BF7D8E" w:rsidRPr="00BD295E">
        <w:rPr>
          <w:rStyle w:val="afffffff4"/>
          <w:rFonts w:ascii="Arial" w:hAnsi="Arial" w:cs="Arial"/>
          <w:color w:val="auto"/>
          <w:sz w:val="18"/>
          <w:szCs w:val="18"/>
          <w:lang w:val="en-US"/>
        </w:rPr>
        <w:t>Rossetti</w:t>
      </w:r>
      <w:r w:rsidR="00BF106F" w:rsidRPr="00BD295E">
        <w:rPr>
          <w:rStyle w:val="afffffff4"/>
          <w:rFonts w:ascii="Arial" w:hAnsi="Arial" w:cs="Arial"/>
          <w:color w:val="auto"/>
          <w:sz w:val="18"/>
          <w:szCs w:val="18"/>
          <w:lang w:val="en-US"/>
        </w:rPr>
        <w:t>”</w:t>
      </w:r>
      <w:r w:rsidRPr="00BD295E">
        <w:rPr>
          <w:rStyle w:val="afffffff4"/>
          <w:rFonts w:ascii="Arial" w:hAnsi="Arial" w:cs="Arial"/>
          <w:color w:val="auto"/>
          <w:sz w:val="18"/>
          <w:szCs w:val="18"/>
          <w:lang w:val="en-US"/>
        </w:rPr>
        <w:t xml:space="preserve">, held a meeting with the current and former employees of the Company as well as with and the Council of Young Talents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at which he outlined the key objectives of the Group, i.e. ensuring the reliability of electricity supply and the need to roll out geolocation solutions across the electric grid industry.</w:t>
      </w:r>
    </w:p>
    <w:p w14:paraId="6604A0FB"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5AA0A555"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March</w:t>
      </w:r>
    </w:p>
    <w:p w14:paraId="5FF39A26"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1F6D8FB4"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b/>
          <w:bCs/>
          <w:color w:val="auto"/>
          <w:sz w:val="18"/>
          <w:szCs w:val="18"/>
          <w:lang w:val="en-US"/>
        </w:rPr>
        <w:t>- On March 28, 2018</w:t>
      </w: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received the Made in Russia award for its project: Application of Underground Transformer Substations in a Constrained Urban Environment. </w:t>
      </w:r>
    </w:p>
    <w:p w14:paraId="492EB572"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The first underground transformer substation was installed in late 2016 in the Admiralteysky District of Saint Petersburg. The pilot project used a cluster-based approach to infrastructure upgrade of the electric power facilities through the use of smart compact solutions that fit into the urban architecture.</w:t>
      </w:r>
    </w:p>
    <w:p w14:paraId="1FF3B414"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635018B0"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conducted a series of drills in the run-up to the presidential election in Russia.</w:t>
      </w:r>
    </w:p>
    <w:p w14:paraId="12D00556"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More than 70 crews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were involved in large-scale drills designed to check the preparedness of the electric power grid industry of Saint Petersburg and the Leningrad Region to ensure reliable operation during the Russian presidential election.</w:t>
      </w:r>
    </w:p>
    <w:p w14:paraId="51696F36"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54DC4295" w14:textId="6AD88063"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As part of the delegation of </w:t>
      </w:r>
      <w:r w:rsidR="00BF106F" w:rsidRPr="00BD295E">
        <w:rPr>
          <w:rStyle w:val="afffffff4"/>
          <w:rFonts w:ascii="Arial" w:hAnsi="Arial" w:cs="Arial"/>
          <w:color w:val="auto"/>
          <w:sz w:val="18"/>
          <w:szCs w:val="18"/>
          <w:lang w:val="en-US"/>
        </w:rPr>
        <w:t>PJSC “</w:t>
      </w:r>
      <w:r w:rsidR="00BF7D8E" w:rsidRPr="00BD295E">
        <w:rPr>
          <w:rStyle w:val="afffffff4"/>
          <w:rFonts w:ascii="Arial" w:hAnsi="Arial" w:cs="Arial"/>
          <w:color w:val="auto"/>
          <w:sz w:val="18"/>
          <w:szCs w:val="18"/>
          <w:lang w:val="en-US"/>
        </w:rPr>
        <w:t>Rossetti</w:t>
      </w:r>
      <w:r w:rsidR="00BF106F" w:rsidRPr="00BD295E">
        <w:rPr>
          <w:rStyle w:val="afffffff4"/>
          <w:rFonts w:ascii="Arial" w:hAnsi="Arial" w:cs="Arial"/>
          <w:color w:val="auto"/>
          <w:sz w:val="18"/>
          <w:szCs w:val="18"/>
          <w:lang w:val="en-US"/>
        </w:rPr>
        <w:t>”</w:t>
      </w:r>
      <w:r w:rsidRPr="00BD295E">
        <w:rPr>
          <w:rStyle w:val="afffffff4"/>
          <w:rFonts w:ascii="Arial" w:hAnsi="Arial" w:cs="Arial"/>
          <w:color w:val="auto"/>
          <w:sz w:val="18"/>
          <w:szCs w:val="18"/>
          <w:lang w:val="en-US"/>
        </w:rPr>
        <w:t xml:space="preserve">, representatives of Lenenergo and MOESK took part in a conference on improving the business climate, best practices and reforms in Shanghai. </w:t>
      </w:r>
    </w:p>
    <w:p w14:paraId="20F33169" w14:textId="3992A1EC"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The event was organized by the Chinese Ministry of </w:t>
      </w:r>
      <w:r w:rsidR="00BF7D8E" w:rsidRPr="00BD295E">
        <w:rPr>
          <w:rStyle w:val="afffffff4"/>
          <w:rFonts w:ascii="Arial" w:hAnsi="Arial" w:cs="Arial"/>
          <w:color w:val="auto"/>
          <w:sz w:val="18"/>
          <w:szCs w:val="18"/>
          <w:lang w:val="en-US"/>
        </w:rPr>
        <w:t>Finance together</w:t>
      </w:r>
      <w:r w:rsidRPr="00BD295E">
        <w:rPr>
          <w:rStyle w:val="afffffff4"/>
          <w:rFonts w:ascii="Arial" w:hAnsi="Arial" w:cs="Arial"/>
          <w:color w:val="auto"/>
          <w:sz w:val="18"/>
          <w:szCs w:val="18"/>
          <w:lang w:val="en-US"/>
        </w:rPr>
        <w:t xml:space="preserve"> with the World Bank’s team. Lenenergo and MOESK, as authors of best practices, were invited by the World Bank to present their achievements. </w:t>
      </w:r>
    </w:p>
    <w:p w14:paraId="2CBB5679" w14:textId="77777777" w:rsidR="00F975A7" w:rsidRPr="00BD295E" w:rsidRDefault="00F975A7" w:rsidP="00F74594">
      <w:pPr>
        <w:pStyle w:val="affff6"/>
        <w:jc w:val="both"/>
        <w:rPr>
          <w:rFonts w:ascii="Arial" w:hAnsi="Arial" w:cs="Arial"/>
          <w:iCs/>
          <w:sz w:val="18"/>
          <w:szCs w:val="18"/>
          <w:lang w:val="en-US"/>
        </w:rPr>
      </w:pPr>
    </w:p>
    <w:p w14:paraId="29F124D1"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April</w:t>
      </w:r>
    </w:p>
    <w:p w14:paraId="231E3CFF"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5A16B8A9"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organized a round table on grid connection at the Russian International Energy Forum. At a round table on Affordable Connection: Experience and Outlooks, experts discussed potential improvements to the grid connection process. </w:t>
      </w:r>
    </w:p>
    <w:p w14:paraId="34B703D0"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6C1A02EC" w14:textId="78AA2790"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Heads of </w:t>
      </w:r>
      <w:r w:rsidR="00BF106F" w:rsidRPr="00BD295E">
        <w:rPr>
          <w:rStyle w:val="afffffff4"/>
          <w:rFonts w:ascii="Arial" w:hAnsi="Arial" w:cs="Arial"/>
          <w:color w:val="auto"/>
          <w:sz w:val="18"/>
          <w:szCs w:val="18"/>
          <w:lang w:val="en-US"/>
        </w:rPr>
        <w:t>PJSC “</w:t>
      </w:r>
      <w:r w:rsidR="00BF7D8E" w:rsidRPr="00BD295E">
        <w:rPr>
          <w:rStyle w:val="afffffff4"/>
          <w:rFonts w:ascii="Arial" w:hAnsi="Arial" w:cs="Arial"/>
          <w:color w:val="auto"/>
          <w:sz w:val="18"/>
          <w:szCs w:val="18"/>
          <w:lang w:val="en-US"/>
        </w:rPr>
        <w:t>Rossetti</w:t>
      </w:r>
      <w:r w:rsidR="00BF106F" w:rsidRPr="00BD295E">
        <w:rPr>
          <w:rStyle w:val="afffffff4"/>
          <w:rFonts w:ascii="Arial" w:hAnsi="Arial" w:cs="Arial"/>
          <w:color w:val="auto"/>
          <w:sz w:val="18"/>
          <w:szCs w:val="18"/>
          <w:lang w:val="en-US"/>
        </w:rPr>
        <w:t>”</w:t>
      </w:r>
      <w:r w:rsidRPr="00BD295E">
        <w:rPr>
          <w:rStyle w:val="afffffff4"/>
          <w:rFonts w:ascii="Arial" w:hAnsi="Arial" w:cs="Arial"/>
          <w:color w:val="auto"/>
          <w:sz w:val="18"/>
          <w:szCs w:val="18"/>
          <w:lang w:val="en-US"/>
        </w:rPr>
        <w:t xml:space="preserve"> and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discussed with the Governor of Saint Petersburg the development of the region's electric grid industry</w:t>
      </w:r>
    </w:p>
    <w:p w14:paraId="3CEF1910"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At a working meeting, they summed up the performance of the regional distribution grid industry over the past heat deficit period and discussed its further development. Georgy Poltavchenko praised the performance of the power industry during peak loads and expressed his gratitude for the reliable electricity supply to consumers despite challenging weather. </w:t>
      </w:r>
    </w:p>
    <w:p w14:paraId="3BA14212"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34707C6A"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b/>
          <w:bCs/>
          <w:color w:val="auto"/>
          <w:sz w:val="18"/>
          <w:szCs w:val="18"/>
          <w:lang w:val="en-US"/>
        </w:rPr>
        <w:t>On April 4, 2018,</w:t>
      </w:r>
      <w:r w:rsidRPr="00BD295E">
        <w:rPr>
          <w:rStyle w:val="afffffff4"/>
          <w:rFonts w:ascii="Arial" w:hAnsi="Arial" w:cs="Arial"/>
          <w:color w:val="auto"/>
          <w:sz w:val="18"/>
          <w:szCs w:val="18"/>
          <w:lang w:val="en-US"/>
        </w:rPr>
        <w:t xml:space="preserve"> the Russian Minister of Energy delivered ministerial awards to employees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w:t>
      </w:r>
    </w:p>
    <w:p w14:paraId="5A61BA1C"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The awardees included representatives of the Company’s branches: Cable Grid and Novoladozhskiye Power Grid. The award ceremony was held at the State Kremlin Palace in Moscow.</w:t>
      </w:r>
    </w:p>
    <w:p w14:paraId="722DA893"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5CA8F886" w14:textId="77777777" w:rsidR="00F975A7" w:rsidRPr="00BD295E" w:rsidRDefault="008A5057" w:rsidP="00F74594">
      <w:pPr>
        <w:pStyle w:val="afffff0"/>
        <w:spacing w:line="240" w:lineRule="auto"/>
        <w:ind w:firstLine="0"/>
        <w:jc w:val="both"/>
        <w:rPr>
          <w:rFonts w:ascii="Arial" w:hAnsi="Arial" w:cs="Arial"/>
          <w:i w:val="0"/>
          <w:color w:val="auto"/>
          <w:spacing w:val="0"/>
          <w:sz w:val="18"/>
          <w:szCs w:val="18"/>
          <w:lang w:val="en-US"/>
        </w:rPr>
      </w:pPr>
      <w:r w:rsidRPr="00BD295E">
        <w:rPr>
          <w:rStyle w:val="afffffff4"/>
          <w:rFonts w:ascii="Arial" w:hAnsi="Arial" w:cs="Arial"/>
          <w:color w:val="auto"/>
          <w:sz w:val="18"/>
          <w:szCs w:val="18"/>
          <w:lang w:val="en-US"/>
        </w:rPr>
        <w:t xml:space="preserve">- </w:t>
      </w:r>
      <w:r w:rsidRPr="00BD295E">
        <w:rPr>
          <w:rFonts w:ascii="Arial" w:hAnsi="Arial" w:cs="Arial"/>
          <w:b/>
          <w:bCs/>
          <w:color w:val="auto"/>
          <w:sz w:val="18"/>
          <w:szCs w:val="18"/>
          <w:lang w:val="en-US"/>
        </w:rPr>
        <w:t>On April 23, 2018</w:t>
      </w:r>
      <w:r w:rsidRPr="00BD295E">
        <w:rPr>
          <w:rFonts w:ascii="Arial" w:hAnsi="Arial" w:cs="Arial"/>
          <w:color w:val="auto"/>
          <w:sz w:val="18"/>
          <w:szCs w:val="18"/>
          <w:lang w:val="en-US"/>
        </w:rPr>
        <w:t xml:space="preserve">, </w:t>
      </w:r>
      <w:r w:rsidR="00EE5753" w:rsidRPr="00BD295E">
        <w:rPr>
          <w:rFonts w:ascii="Arial" w:hAnsi="Arial" w:cs="Arial"/>
          <w:color w:val="auto"/>
          <w:sz w:val="18"/>
          <w:szCs w:val="18"/>
          <w:lang w:val="en-US"/>
        </w:rPr>
        <w:t>PJSC “Lenenergo”</w:t>
      </w:r>
      <w:r w:rsidRPr="00BD295E">
        <w:rPr>
          <w:rFonts w:ascii="Arial" w:hAnsi="Arial" w:cs="Arial"/>
          <w:color w:val="auto"/>
          <w:sz w:val="18"/>
          <w:szCs w:val="18"/>
          <w:lang w:val="en-US"/>
        </w:rPr>
        <w:t xml:space="preserve"> made a public presentation of its development plans for the coming years.</w:t>
      </w:r>
      <w:r w:rsidRPr="00BD295E">
        <w:rPr>
          <w:rFonts w:ascii="Arial" w:hAnsi="Arial" w:cs="Arial"/>
          <w:i w:val="0"/>
          <w:color w:val="auto"/>
          <w:sz w:val="18"/>
          <w:szCs w:val="18"/>
          <w:lang w:val="en-US"/>
        </w:rPr>
        <w:t xml:space="preserve"> </w:t>
      </w:r>
      <w:r w:rsidRPr="00BD295E">
        <w:rPr>
          <w:rFonts w:ascii="Arial" w:hAnsi="Arial" w:cs="Arial"/>
          <w:bCs/>
          <w:i w:val="0"/>
          <w:color w:val="auto"/>
          <w:sz w:val="18"/>
          <w:szCs w:val="18"/>
          <w:lang w:val="en-US"/>
        </w:rPr>
        <w:t xml:space="preserve">The Saint Petersburg Center for Import Substitution and Localization held a public discussion of the patterns and programs for perspective development of the electricity industry of Saint Petersburg for 2018–2022 and the draft amendments to the investment program of </w:t>
      </w:r>
      <w:r w:rsidR="00EE5753" w:rsidRPr="00BD295E">
        <w:rPr>
          <w:rFonts w:ascii="Arial" w:hAnsi="Arial" w:cs="Arial"/>
          <w:bCs/>
          <w:i w:val="0"/>
          <w:color w:val="auto"/>
          <w:sz w:val="18"/>
          <w:szCs w:val="18"/>
          <w:lang w:val="en-US"/>
        </w:rPr>
        <w:t>PJSC “Lenenergo”</w:t>
      </w:r>
      <w:r w:rsidRPr="00BD295E">
        <w:rPr>
          <w:rFonts w:ascii="Arial" w:hAnsi="Arial" w:cs="Arial"/>
          <w:bCs/>
          <w:i w:val="0"/>
          <w:color w:val="auto"/>
          <w:sz w:val="18"/>
          <w:szCs w:val="18"/>
          <w:lang w:val="en-US"/>
        </w:rPr>
        <w:t>.</w:t>
      </w:r>
    </w:p>
    <w:p w14:paraId="595326E3"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May</w:t>
      </w:r>
    </w:p>
    <w:p w14:paraId="6607B61E"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50E28D11"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b/>
          <w:bCs/>
          <w:color w:val="auto"/>
          <w:sz w:val="18"/>
          <w:szCs w:val="18"/>
          <w:lang w:val="en-US"/>
        </w:rPr>
        <w:t>On May 24, 2018,</w:t>
      </w: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and the Severo-Zapadny Bank of Sberbank signed a strategic cooperation agreement.</w:t>
      </w:r>
    </w:p>
    <w:p w14:paraId="1E4A9BCC"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The parties expressed their intention to build a long-term and mutually beneficial strategic partnership, including through a program for digitization of electric grid facilities. The agreement was signed as part of the Saint Petersburg International Economic Forum.</w:t>
      </w:r>
    </w:p>
    <w:p w14:paraId="2F4793B0"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67F991B7"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Pr="00BD295E">
        <w:rPr>
          <w:rStyle w:val="afffffff4"/>
          <w:rFonts w:ascii="Arial" w:hAnsi="Arial" w:cs="Arial"/>
          <w:b/>
          <w:bCs/>
          <w:color w:val="auto"/>
          <w:sz w:val="18"/>
          <w:szCs w:val="18"/>
          <w:lang w:val="en-US"/>
        </w:rPr>
        <w:t>On May 24, 2018</w:t>
      </w: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and Gazprombank signed a strategic cooperation agreement at the Saint Petersburg International Economic Forum. The document provides for building a long-term partnership, enhancing cooperation, and developing comprehensive banking services for the company.</w:t>
      </w:r>
    </w:p>
    <w:p w14:paraId="6C57FDF5"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06B6901A"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held a large-scale drill in the run-up for the FIFA World Cup.</w:t>
      </w:r>
    </w:p>
    <w:p w14:paraId="24C2DEBC"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The drill included interaction between employees and hands-on procedures to be followed by them at the Krestovskaya 110 kV substation, which supplies electricity to the Saint-Petersburg stadium, with electricity supply set up for the hotel, training ground, and other facilities.</w:t>
      </w:r>
    </w:p>
    <w:p w14:paraId="62E788FE"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677F690A" w14:textId="1A719D09"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Pavel Livinsky, CEO of </w:t>
      </w:r>
      <w:r w:rsidR="00BF106F" w:rsidRPr="00BD295E">
        <w:rPr>
          <w:rStyle w:val="afffffff4"/>
          <w:rFonts w:ascii="Arial" w:hAnsi="Arial" w:cs="Arial"/>
          <w:color w:val="auto"/>
          <w:sz w:val="18"/>
          <w:szCs w:val="18"/>
          <w:lang w:val="en-US"/>
        </w:rPr>
        <w:t>PJSC “</w:t>
      </w:r>
      <w:r w:rsidR="00BF7D8E" w:rsidRPr="00BD295E">
        <w:rPr>
          <w:rStyle w:val="afffffff4"/>
          <w:rFonts w:ascii="Arial" w:hAnsi="Arial" w:cs="Arial"/>
          <w:color w:val="auto"/>
          <w:sz w:val="18"/>
          <w:szCs w:val="18"/>
          <w:lang w:val="en-US"/>
        </w:rPr>
        <w:t>Rossetti</w:t>
      </w:r>
      <w:r w:rsidR="00BF106F" w:rsidRPr="00BD295E">
        <w:rPr>
          <w:rStyle w:val="afffffff4"/>
          <w:rFonts w:ascii="Arial" w:hAnsi="Arial" w:cs="Arial"/>
          <w:color w:val="auto"/>
          <w:sz w:val="18"/>
          <w:szCs w:val="18"/>
          <w:lang w:val="en-US"/>
        </w:rPr>
        <w:t>”</w:t>
      </w:r>
      <w:r w:rsidRPr="00BD295E">
        <w:rPr>
          <w:rStyle w:val="afffffff4"/>
          <w:rFonts w:ascii="Arial" w:hAnsi="Arial" w:cs="Arial"/>
          <w:color w:val="auto"/>
          <w:sz w:val="18"/>
          <w:szCs w:val="18"/>
          <w:lang w:val="en-US"/>
        </w:rPr>
        <w:t xml:space="preserve">, visited the Customer Service Center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w:t>
      </w:r>
    </w:p>
    <w:p w14:paraId="1DED8CA3"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During the meeting, Andrei Ryumin told Pavel Livinsky about the work of the Customer Service Center, which helped Lenenergo increase the availability of its electric grid infrastructure, optimize, and significantly simplify the grid connection procedure. </w:t>
      </w:r>
    </w:p>
    <w:p w14:paraId="3D390130"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4EEF5C36" w14:textId="77777777" w:rsidR="00F975A7" w:rsidRPr="00BD295E" w:rsidRDefault="008A5057" w:rsidP="00F74594">
      <w:pPr>
        <w:pStyle w:val="affff6"/>
        <w:jc w:val="both"/>
        <w:rPr>
          <w:rFonts w:ascii="Arial" w:hAnsi="Arial" w:cs="Arial"/>
          <w:sz w:val="18"/>
          <w:szCs w:val="18"/>
          <w:lang w:val="en-US"/>
        </w:rPr>
      </w:pPr>
      <w:r w:rsidRPr="00BD295E">
        <w:rPr>
          <w:rStyle w:val="afffffff4"/>
          <w:rFonts w:ascii="Arial" w:hAnsi="Arial" w:cs="Arial"/>
          <w:color w:val="auto"/>
          <w:sz w:val="18"/>
          <w:szCs w:val="18"/>
          <w:lang w:val="en-US"/>
        </w:rPr>
        <w:t>- The modernization of Lenenergo’s grid connection procedure</w:t>
      </w:r>
      <w:r w:rsidRPr="00BD295E">
        <w:rPr>
          <w:rFonts w:ascii="Arial" w:hAnsi="Arial" w:cs="Arial"/>
          <w:sz w:val="18"/>
          <w:szCs w:val="18"/>
          <w:lang w:val="en-US"/>
        </w:rPr>
        <w:t xml:space="preserve"> had a positive impact on the position of Saint Petersburg and the Leningrad Region, which moved 13 positions up in the national investment climate rating compiled by the Agency for Strategic Initiatives, from the 17th to the 4th place, while the Leningrad Region improved its position by eight positions, from the 20th to the 12th place.</w:t>
      </w:r>
      <w:r w:rsidRPr="00BD295E">
        <w:rPr>
          <w:rFonts w:ascii="Arial" w:hAnsi="Arial" w:cs="Arial"/>
          <w:bCs/>
          <w:sz w:val="18"/>
          <w:szCs w:val="18"/>
          <w:lang w:val="en-US"/>
        </w:rPr>
        <w:t xml:space="preserve"> This breakthrough has been achieved, among other things, through the Company’s efforts to simplify the grid connection procedure.</w:t>
      </w:r>
      <w:r w:rsidRPr="00BD295E">
        <w:rPr>
          <w:rFonts w:ascii="Arial" w:hAnsi="Arial" w:cs="Arial"/>
          <w:sz w:val="18"/>
          <w:szCs w:val="18"/>
          <w:lang w:val="en-US"/>
        </w:rPr>
        <w:t xml:space="preserve"> Experts have praised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improved grid connection performance across its operating regions.</w:t>
      </w:r>
    </w:p>
    <w:p w14:paraId="4FB17249"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657A3F39"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June</w:t>
      </w:r>
    </w:p>
    <w:p w14:paraId="1DD84C58"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0DF58F42"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provided the capacity for the construction of the new stage of the Maly Drama Theater. </w:t>
      </w:r>
    </w:p>
    <w:p w14:paraId="20858ECD"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3EC40E50" w14:textId="429DA494" w:rsidR="00F975A7" w:rsidRPr="00BD295E" w:rsidRDefault="008A5057" w:rsidP="00F74594">
      <w:pPr>
        <w:pStyle w:val="affff6"/>
        <w:jc w:val="both"/>
        <w:rPr>
          <w:rFonts w:ascii="Arial" w:hAnsi="Arial" w:cs="Arial"/>
          <w:sz w:val="18"/>
          <w:szCs w:val="18"/>
          <w:lang w:val="en-US"/>
        </w:rPr>
      </w:pPr>
      <w:r w:rsidRPr="00BD295E">
        <w:rPr>
          <w:rFonts w:ascii="Arial" w:hAnsi="Arial" w:cs="Arial"/>
          <w:sz w:val="18"/>
          <w:szCs w:val="18"/>
          <w:lang w:val="en-US"/>
        </w:rPr>
        <w:t xml:space="preserve">- 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held </w:t>
      </w:r>
      <w:r w:rsidRPr="00BD295E">
        <w:rPr>
          <w:rFonts w:ascii="Arial" w:hAnsi="Arial" w:cs="Arial"/>
          <w:b/>
          <w:bCs/>
          <w:sz w:val="18"/>
          <w:szCs w:val="18"/>
          <w:lang w:val="en-US"/>
        </w:rPr>
        <w:t>on June 8, 2018.</w:t>
      </w:r>
      <w:r w:rsidRPr="00BD295E">
        <w:rPr>
          <w:rFonts w:ascii="Arial" w:hAnsi="Arial" w:cs="Arial"/>
          <w:sz w:val="18"/>
          <w:szCs w:val="18"/>
          <w:lang w:val="en-US"/>
        </w:rPr>
        <w:t xml:space="preserve"> Pavel Livinsky, CEO of </w:t>
      </w:r>
      <w:r w:rsidR="00BF106F" w:rsidRPr="00BD295E">
        <w:rPr>
          <w:rFonts w:ascii="Arial" w:hAnsi="Arial" w:cs="Arial"/>
          <w:sz w:val="18"/>
          <w:szCs w:val="18"/>
          <w:lang w:val="en-US"/>
        </w:rPr>
        <w:t>PJSC “</w:t>
      </w:r>
      <w:r w:rsidR="00BF7D8E" w:rsidRPr="00BD295E">
        <w:rPr>
          <w:rFonts w:ascii="Arial" w:hAnsi="Arial" w:cs="Arial"/>
          <w:sz w:val="18"/>
          <w:szCs w:val="18"/>
          <w:lang w:val="en-US"/>
        </w:rPr>
        <w:t>Rossetti</w:t>
      </w:r>
      <w:r w:rsidR="00BF106F" w:rsidRPr="00BD295E">
        <w:rPr>
          <w:rFonts w:ascii="Arial" w:hAnsi="Arial" w:cs="Arial"/>
          <w:sz w:val="18"/>
          <w:szCs w:val="18"/>
          <w:lang w:val="en-US"/>
        </w:rPr>
        <w:t>”</w:t>
      </w:r>
      <w:r w:rsidRPr="00BD295E">
        <w:rPr>
          <w:rFonts w:ascii="Arial" w:hAnsi="Arial" w:cs="Arial"/>
          <w:sz w:val="18"/>
          <w:szCs w:val="18"/>
          <w:lang w:val="en-US"/>
        </w:rPr>
        <w:t>, was elected Chairman of the Company’s Board of Directors.</w:t>
      </w:r>
    </w:p>
    <w:p w14:paraId="0265E39D" w14:textId="77777777" w:rsidR="00F975A7" w:rsidRPr="00BD295E" w:rsidRDefault="008A5057" w:rsidP="00F74594">
      <w:pPr>
        <w:pStyle w:val="affff6"/>
        <w:jc w:val="both"/>
        <w:rPr>
          <w:rFonts w:ascii="Arial" w:hAnsi="Arial" w:cs="Arial"/>
          <w:bCs/>
          <w:sz w:val="18"/>
          <w:szCs w:val="18"/>
          <w:lang w:val="en-US"/>
        </w:rPr>
      </w:pPr>
      <w:r w:rsidRPr="00BD295E">
        <w:rPr>
          <w:rFonts w:ascii="Arial" w:hAnsi="Arial" w:cs="Arial"/>
          <w:sz w:val="18"/>
          <w:szCs w:val="18"/>
          <w:lang w:val="en-US"/>
        </w:rPr>
        <w:t xml:space="preserve">The Annual General Meeting also refreshed the composition of the Company’s Board of Directors and </w:t>
      </w:r>
      <w:r w:rsidR="00293DDA" w:rsidRPr="00BD295E">
        <w:rPr>
          <w:rFonts w:ascii="Arial" w:hAnsi="Arial" w:cs="Arial"/>
          <w:sz w:val="18"/>
          <w:szCs w:val="18"/>
          <w:lang w:val="en-US"/>
        </w:rPr>
        <w:t>Internal Audit Commission</w:t>
      </w:r>
      <w:r w:rsidRPr="00BD295E">
        <w:rPr>
          <w:rFonts w:ascii="Arial" w:hAnsi="Arial" w:cs="Arial"/>
          <w:sz w:val="18"/>
          <w:szCs w:val="18"/>
          <w:lang w:val="en-US"/>
        </w:rPr>
        <w:t>, and approved the payout of RUB 2.4 billion in dividends for 2017.</w:t>
      </w:r>
    </w:p>
    <w:p w14:paraId="19D9BBA1"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50FFCECE"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July</w:t>
      </w:r>
    </w:p>
    <w:p w14:paraId="00AD91FA"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1DC5CED5"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ensured reliable electricity supply to facilities involved in the events of the FIFA World Cup. </w:t>
      </w:r>
    </w:p>
    <w:p w14:paraId="489C7EE5" w14:textId="0E72CAF3"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Since June 2018, 94 emergency crews on 99 vehicles were on duty </w:t>
      </w:r>
      <w:r w:rsidR="00BF7D8E" w:rsidRPr="00BD295E">
        <w:rPr>
          <w:rStyle w:val="afffffff4"/>
          <w:rFonts w:ascii="Arial" w:hAnsi="Arial" w:cs="Arial"/>
          <w:color w:val="auto"/>
          <w:sz w:val="18"/>
          <w:szCs w:val="18"/>
          <w:lang w:val="en-US"/>
        </w:rPr>
        <w:t>at PJSC</w:t>
      </w:r>
      <w:r w:rsidR="00EE5753" w:rsidRPr="00BD295E">
        <w:rPr>
          <w:rStyle w:val="afffffff4"/>
          <w:rFonts w:ascii="Arial" w:hAnsi="Arial" w:cs="Arial"/>
          <w:color w:val="auto"/>
          <w:sz w:val="18"/>
          <w:szCs w:val="18"/>
          <w:lang w:val="en-US"/>
        </w:rPr>
        <w:t xml:space="preserve"> “Lenenergo”</w:t>
      </w:r>
      <w:r w:rsidRPr="00BD295E">
        <w:rPr>
          <w:rStyle w:val="afffffff4"/>
          <w:rFonts w:ascii="Arial" w:hAnsi="Arial" w:cs="Arial"/>
          <w:color w:val="auto"/>
          <w:sz w:val="18"/>
          <w:szCs w:val="18"/>
          <w:lang w:val="en-US"/>
        </w:rPr>
        <w:t xml:space="preserve"> on a 24/7 basis. In particular, 27 emergency crews were serving the Saint Petersburg stadium. The grid company’s highly coordinated efforts helped ensure the energy system’s </w:t>
      </w:r>
      <w:r w:rsidR="00BF7D8E" w:rsidRPr="00BD295E">
        <w:rPr>
          <w:rStyle w:val="afffffff4"/>
          <w:rFonts w:ascii="Arial" w:hAnsi="Arial" w:cs="Arial"/>
          <w:color w:val="auto"/>
          <w:sz w:val="18"/>
          <w:szCs w:val="18"/>
          <w:lang w:val="en-US"/>
        </w:rPr>
        <w:t>reliability during</w:t>
      </w:r>
      <w:r w:rsidRPr="00BD295E">
        <w:rPr>
          <w:rStyle w:val="afffffff4"/>
          <w:rFonts w:ascii="Arial" w:hAnsi="Arial" w:cs="Arial"/>
          <w:color w:val="auto"/>
          <w:sz w:val="18"/>
          <w:szCs w:val="18"/>
          <w:lang w:val="en-US"/>
        </w:rPr>
        <w:t xml:space="preserve"> the World Cup. </w:t>
      </w:r>
    </w:p>
    <w:p w14:paraId="0BEBA549" w14:textId="13C07F9F" w:rsidR="00F975A7" w:rsidRPr="00BD295E" w:rsidRDefault="00F975A7" w:rsidP="00F74594">
      <w:pPr>
        <w:pStyle w:val="affff6"/>
        <w:jc w:val="both"/>
        <w:rPr>
          <w:rStyle w:val="afffffff4"/>
          <w:rFonts w:ascii="Arial" w:hAnsi="Arial" w:cs="Arial"/>
          <w:b/>
          <w:i w:val="0"/>
          <w:color w:val="auto"/>
          <w:sz w:val="18"/>
          <w:szCs w:val="18"/>
          <w:lang w:val="en-US"/>
        </w:rPr>
      </w:pPr>
    </w:p>
    <w:p w14:paraId="6A30A554"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August</w:t>
      </w:r>
    </w:p>
    <w:p w14:paraId="6743701D"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2130F841" w14:textId="58A01D2A"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Employees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won in several categories of the qualifying round of the Young Specialists Professional Skills Championship of </w:t>
      </w:r>
      <w:r w:rsidR="00BF106F" w:rsidRPr="00BD295E">
        <w:rPr>
          <w:rStyle w:val="afffffff4"/>
          <w:rFonts w:ascii="Arial" w:hAnsi="Arial" w:cs="Arial"/>
          <w:color w:val="auto"/>
          <w:sz w:val="18"/>
          <w:szCs w:val="18"/>
          <w:lang w:val="en-US"/>
        </w:rPr>
        <w:t>PJSC “</w:t>
      </w:r>
      <w:r w:rsidR="00BF7D8E" w:rsidRPr="00BD295E">
        <w:rPr>
          <w:rStyle w:val="afffffff4"/>
          <w:rFonts w:ascii="Arial" w:hAnsi="Arial" w:cs="Arial"/>
          <w:color w:val="auto"/>
          <w:sz w:val="18"/>
          <w:szCs w:val="18"/>
          <w:lang w:val="en-US"/>
        </w:rPr>
        <w:t>Rossetti</w:t>
      </w:r>
      <w:r w:rsidR="00BF106F" w:rsidRPr="00BD295E">
        <w:rPr>
          <w:rStyle w:val="afffffff4"/>
          <w:rFonts w:ascii="Arial" w:hAnsi="Arial" w:cs="Arial"/>
          <w:color w:val="auto"/>
          <w:sz w:val="18"/>
          <w:szCs w:val="18"/>
          <w:lang w:val="en-US"/>
        </w:rPr>
        <w:t>”</w:t>
      </w:r>
      <w:r w:rsidRPr="00BD295E">
        <w:rPr>
          <w:rStyle w:val="afffffff4"/>
          <w:rFonts w:ascii="Arial" w:hAnsi="Arial" w:cs="Arial"/>
          <w:color w:val="auto"/>
          <w:sz w:val="18"/>
          <w:szCs w:val="18"/>
          <w:lang w:val="en-US"/>
        </w:rPr>
        <w:t xml:space="preserve"> based on WorldSkills’s methodology.</w:t>
      </w:r>
    </w:p>
    <w:p w14:paraId="6EB0A8C8"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0A47F253"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Nationwide drills of power engineers were completed in Daghestan.</w:t>
      </w:r>
    </w:p>
    <w:p w14:paraId="052822C3" w14:textId="4891DE8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During the closing ceremony, employees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were awarded certificates of honor and letters of acknowledgement from the leadership of the Republic and </w:t>
      </w:r>
      <w:r w:rsidR="00BF106F" w:rsidRPr="00BD295E">
        <w:rPr>
          <w:rStyle w:val="afffffff4"/>
          <w:rFonts w:ascii="Arial" w:hAnsi="Arial" w:cs="Arial"/>
          <w:color w:val="auto"/>
          <w:sz w:val="18"/>
          <w:szCs w:val="18"/>
          <w:lang w:val="en-US"/>
        </w:rPr>
        <w:t>PJSC “</w:t>
      </w:r>
      <w:r w:rsidR="00BF7D8E" w:rsidRPr="00BD295E">
        <w:rPr>
          <w:rStyle w:val="afffffff4"/>
          <w:rFonts w:ascii="Arial" w:hAnsi="Arial" w:cs="Arial"/>
          <w:color w:val="auto"/>
          <w:sz w:val="18"/>
          <w:szCs w:val="18"/>
          <w:lang w:val="en-US"/>
        </w:rPr>
        <w:t>Rossetti</w:t>
      </w:r>
      <w:r w:rsidR="00BF106F" w:rsidRPr="00BD295E">
        <w:rPr>
          <w:rStyle w:val="afffffff4"/>
          <w:rFonts w:ascii="Arial" w:hAnsi="Arial" w:cs="Arial"/>
          <w:color w:val="auto"/>
          <w:sz w:val="18"/>
          <w:szCs w:val="18"/>
          <w:lang w:val="en-US"/>
        </w:rPr>
        <w:t>”</w:t>
      </w:r>
      <w:r w:rsidRPr="00BD295E">
        <w:rPr>
          <w:rStyle w:val="afffffff4"/>
          <w:rFonts w:ascii="Arial" w:hAnsi="Arial" w:cs="Arial"/>
          <w:color w:val="auto"/>
          <w:sz w:val="18"/>
          <w:szCs w:val="18"/>
          <w:lang w:val="en-US"/>
        </w:rPr>
        <w:t>.</w:t>
      </w:r>
    </w:p>
    <w:p w14:paraId="6FCA46B0"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3E06C274"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September</w:t>
      </w:r>
    </w:p>
    <w:p w14:paraId="245EA100"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5D535411"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launched the Reliable People photo exhibition dedicated to energy industry workers at Bolshaya Morskaya Street.</w:t>
      </w:r>
    </w:p>
    <w:p w14:paraId="60CCEC90"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309C28BB"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Pr="00BD295E">
        <w:rPr>
          <w:rStyle w:val="afffffff4"/>
          <w:rFonts w:ascii="Arial" w:hAnsi="Arial" w:cs="Arial"/>
          <w:b/>
          <w:bCs/>
          <w:color w:val="auto"/>
          <w:sz w:val="18"/>
          <w:szCs w:val="18"/>
          <w:lang w:val="en-US"/>
        </w:rPr>
        <w:t>On September 19, 2018</w:t>
      </w: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held an opening ceremony to launch a large-scale drill for its power engineers.</w:t>
      </w:r>
    </w:p>
    <w:p w14:paraId="71D34E4B" w14:textId="77777777" w:rsidR="00F975A7" w:rsidRPr="00BD295E" w:rsidRDefault="008A5057" w:rsidP="00F74594">
      <w:pPr>
        <w:pStyle w:val="affff6"/>
        <w:jc w:val="both"/>
        <w:rPr>
          <w:rFonts w:ascii="Arial" w:eastAsia="Times New Roman" w:hAnsi="Arial" w:cs="Arial"/>
          <w:sz w:val="18"/>
          <w:szCs w:val="18"/>
          <w:lang w:val="en-US"/>
        </w:rPr>
      </w:pPr>
      <w:r w:rsidRPr="00BD295E">
        <w:rPr>
          <w:rStyle w:val="afffffff4"/>
          <w:rFonts w:ascii="Arial" w:hAnsi="Arial" w:cs="Arial"/>
          <w:color w:val="auto"/>
          <w:sz w:val="18"/>
          <w:szCs w:val="18"/>
          <w:lang w:val="en-US"/>
        </w:rPr>
        <w:t xml:space="preserve">The drill program provided for involving specialists from all branches of the Company to work at the Kingiseppsky, Luzhsky, Slantsevsky, and Volosovsky Districts. </w:t>
      </w:r>
      <w:r w:rsidRPr="00BD295E">
        <w:rPr>
          <w:rFonts w:ascii="Arial" w:hAnsi="Arial" w:cs="Arial"/>
          <w:sz w:val="18"/>
          <w:szCs w:val="18"/>
          <w:lang w:val="en-US"/>
        </w:rPr>
        <w:t>A total of more than 800 people and 64 vehicles were involved in the drill.</w:t>
      </w:r>
    </w:p>
    <w:p w14:paraId="526F9492"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1DA392A9"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October</w:t>
      </w:r>
    </w:p>
    <w:p w14:paraId="273E2D45"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175B7BAC"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Pr="00BD295E">
        <w:rPr>
          <w:rStyle w:val="afffffff4"/>
          <w:rFonts w:ascii="Arial" w:hAnsi="Arial" w:cs="Arial"/>
          <w:b/>
          <w:bCs/>
          <w:color w:val="auto"/>
          <w:sz w:val="18"/>
          <w:szCs w:val="18"/>
          <w:lang w:val="en-US"/>
        </w:rPr>
        <w:t>On October 1, 2018</w:t>
      </w:r>
      <w:r w:rsidRPr="00BD295E">
        <w:rPr>
          <w:rStyle w:val="afffffff4"/>
          <w:rFonts w:ascii="Arial" w:hAnsi="Arial" w:cs="Arial"/>
          <w:color w:val="auto"/>
          <w:sz w:val="18"/>
          <w:szCs w:val="18"/>
          <w:lang w:val="en-US"/>
        </w:rPr>
        <w:t xml:space="preserve">, new equipment was put into operation at the Krasny Treugolnik substation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w:t>
      </w:r>
    </w:p>
    <w:p w14:paraId="2BA43387"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The first phase of the substation’s upgrade was completed, with the facility now operating at 110 kV, which significantly increased the reliability of electricity supply to consumers.</w:t>
      </w:r>
    </w:p>
    <w:p w14:paraId="555984CE"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6648A69B"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participated in the Russian Energy Week.</w:t>
      </w:r>
    </w:p>
    <w:p w14:paraId="0C2C6500"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Andrey Ryumin, the Company’s CEO, took part in the open meeting on Digitization of Grids in Practice: Ways and Solutions, and Igor Kuzmin, Deputy CEO – Chief Engineer of the Company, discussed the effects of the electric grid digitization at a meeting with Chief Engineers of electric grid companies. </w:t>
      </w:r>
    </w:p>
    <w:p w14:paraId="1E2B5891"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7FF1628D"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won the contest for The Best HR Technologies of Saint Petersburg in the Best HR Technology in HR Management category. The winning project of the Company was titled Employee’s Online Account.</w:t>
      </w:r>
    </w:p>
    <w:p w14:paraId="6A5EBE0C"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4FADB1E4" w14:textId="0827BDA6"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A new career guidance project with </w:t>
      </w:r>
      <w:r w:rsidR="00BF7D8E" w:rsidRPr="00BD295E">
        <w:rPr>
          <w:rStyle w:val="afffffff4"/>
          <w:rFonts w:ascii="Arial" w:hAnsi="Arial" w:cs="Arial"/>
          <w:color w:val="auto"/>
          <w:sz w:val="18"/>
          <w:szCs w:val="18"/>
          <w:lang w:val="en-US"/>
        </w:rPr>
        <w:t>the Natural</w:t>
      </w:r>
      <w:r w:rsidRPr="00BD295E">
        <w:rPr>
          <w:rStyle w:val="afffffff4"/>
          <w:rFonts w:ascii="Arial" w:hAnsi="Arial" w:cs="Arial"/>
          <w:color w:val="auto"/>
          <w:sz w:val="18"/>
          <w:szCs w:val="18"/>
          <w:lang w:val="en-US"/>
        </w:rPr>
        <w:t xml:space="preserve"> Science Lyceum of Peter the Great Saint Petersburg Polytechnic University was launched. </w:t>
      </w:r>
    </w:p>
    <w:p w14:paraId="558E685F"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The project provides for establishing industry-oriented educational groups at the Lyceum for students who plan to work at an electric grid company.</w:t>
      </w:r>
    </w:p>
    <w:p w14:paraId="5346D79B"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5FCA4001" w14:textId="65A5A250"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held a citywide training drill for addressing process </w:t>
      </w:r>
      <w:r w:rsidR="00BF7D8E" w:rsidRPr="00BD295E">
        <w:rPr>
          <w:rStyle w:val="afffffff4"/>
          <w:rFonts w:ascii="Arial" w:hAnsi="Arial" w:cs="Arial"/>
          <w:color w:val="auto"/>
          <w:sz w:val="18"/>
          <w:szCs w:val="18"/>
          <w:lang w:val="en-US"/>
        </w:rPr>
        <w:t>faults at</w:t>
      </w:r>
      <w:r w:rsidRPr="00BD295E">
        <w:rPr>
          <w:rStyle w:val="afffffff4"/>
          <w:rFonts w:ascii="Arial" w:hAnsi="Arial" w:cs="Arial"/>
          <w:color w:val="auto"/>
          <w:sz w:val="18"/>
          <w:szCs w:val="18"/>
          <w:lang w:val="en-US"/>
        </w:rPr>
        <w:t xml:space="preserve"> electric grid facilities of Saint Petersburg involving all resource supplying organizations of the city.</w:t>
      </w:r>
    </w:p>
    <w:p w14:paraId="6D065960" w14:textId="77777777" w:rsidR="00F975A7" w:rsidRPr="00BD295E" w:rsidRDefault="00F975A7" w:rsidP="00F74594">
      <w:pPr>
        <w:pStyle w:val="affff6"/>
        <w:jc w:val="both"/>
        <w:rPr>
          <w:rStyle w:val="afffffff4"/>
          <w:rFonts w:ascii="Arial" w:hAnsi="Arial" w:cs="Arial"/>
          <w:b/>
          <w:color w:val="auto"/>
          <w:sz w:val="18"/>
          <w:szCs w:val="18"/>
          <w:lang w:val="en-US"/>
        </w:rPr>
      </w:pPr>
    </w:p>
    <w:p w14:paraId="279FB11C"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November</w:t>
      </w:r>
    </w:p>
    <w:p w14:paraId="345A551E"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0880207E"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received a certificate of readiness for the 2018/-2019 heating season.</w:t>
      </w:r>
    </w:p>
    <w:p w14:paraId="366B24EA"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The Company was assigned the maximum readiness index of 1.</w:t>
      </w:r>
    </w:p>
    <w:p w14:paraId="4774061D"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491B6FF6"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The Council of Young Specialists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was included in the Youth Council of the Electricity Industry of the Russian Ministry of Energy.</w:t>
      </w:r>
    </w:p>
    <w:p w14:paraId="3CA2F9A6"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53502182"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At the 3rd Forum of Working Youth, Alexander Beglov, Acting Governor of Saint Petersburg, delivered letters of gratitude to the Company’s employee dynasties.</w:t>
      </w:r>
    </w:p>
    <w:p w14:paraId="442247A7"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722399D2" w14:textId="271BFE33" w:rsidR="00F975A7" w:rsidRPr="00BD295E" w:rsidRDefault="008A5057" w:rsidP="00F74594">
      <w:pPr>
        <w:pStyle w:val="affff6"/>
        <w:jc w:val="both"/>
        <w:rPr>
          <w:rFonts w:ascii="Arial" w:hAnsi="Arial" w:cs="Arial"/>
          <w:bCs/>
          <w:sz w:val="18"/>
          <w:szCs w:val="18"/>
          <w:lang w:val="en-US"/>
        </w:rPr>
      </w:pPr>
      <w:r w:rsidRPr="00BD295E">
        <w:rPr>
          <w:rStyle w:val="afffffff4"/>
          <w:rFonts w:ascii="Arial" w:hAnsi="Arial" w:cs="Arial"/>
          <w:color w:val="auto"/>
          <w:sz w:val="18"/>
          <w:szCs w:val="18"/>
          <w:lang w:val="en-US"/>
        </w:rPr>
        <w:t>-</w:t>
      </w:r>
      <w:r w:rsidRPr="00BD295E">
        <w:rPr>
          <w:rFonts w:ascii="Arial" w:hAnsi="Arial" w:cs="Arial"/>
          <w:sz w:val="18"/>
          <w:szCs w:val="18"/>
          <w:lang w:val="en-US"/>
        </w:rPr>
        <w:t xml:space="preserve">The Electric Grid Connection metric of the Russian Federation was recognized by the World Bank Group's Doing Business rating as the best global practice. Experts confirmed the successfulness and effectiveness of all reforms previously announced at the Russian electricity supply industry and aimed at simplifying the grid connection process. </w:t>
      </w:r>
      <w:r w:rsidRPr="00BD295E">
        <w:rPr>
          <w:rFonts w:ascii="Arial" w:hAnsi="Arial" w:cs="Arial"/>
          <w:bCs/>
          <w:sz w:val="18"/>
          <w:szCs w:val="18"/>
          <w:lang w:val="en-US"/>
        </w:rPr>
        <w:t xml:space="preserve">The practices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and </w:t>
      </w:r>
      <w:r w:rsidR="00472677" w:rsidRPr="00BD295E">
        <w:rPr>
          <w:rFonts w:ascii="Arial" w:hAnsi="Arial" w:cs="Arial"/>
          <w:bCs/>
          <w:sz w:val="18"/>
          <w:szCs w:val="18"/>
          <w:lang w:val="en-US"/>
        </w:rPr>
        <w:t xml:space="preserve">“MOESK”, </w:t>
      </w:r>
      <w:r w:rsidR="00BF7D8E" w:rsidRPr="00BD295E">
        <w:rPr>
          <w:rFonts w:ascii="Arial" w:hAnsi="Arial" w:cs="Arial"/>
          <w:bCs/>
          <w:sz w:val="18"/>
          <w:szCs w:val="18"/>
          <w:lang w:val="en-US"/>
        </w:rPr>
        <w:t>PJSC are</w:t>
      </w:r>
      <w:r w:rsidRPr="00BD295E">
        <w:rPr>
          <w:rFonts w:ascii="Arial" w:hAnsi="Arial" w:cs="Arial"/>
          <w:bCs/>
          <w:sz w:val="18"/>
          <w:szCs w:val="18"/>
          <w:lang w:val="en-US"/>
        </w:rPr>
        <w:t xml:space="preserve"> rolled out in other countries to scale their successful experience.</w:t>
      </w:r>
    </w:p>
    <w:p w14:paraId="5AD10A6B" w14:textId="77777777" w:rsidR="00F975A7" w:rsidRPr="00BD295E" w:rsidRDefault="00F975A7" w:rsidP="00F74594">
      <w:pPr>
        <w:pStyle w:val="affff6"/>
        <w:jc w:val="both"/>
        <w:rPr>
          <w:rFonts w:ascii="Arial" w:hAnsi="Arial" w:cs="Arial"/>
          <w:bCs/>
          <w:sz w:val="18"/>
          <w:szCs w:val="18"/>
          <w:lang w:val="en-US"/>
        </w:rPr>
      </w:pPr>
    </w:p>
    <w:p w14:paraId="208991E6" w14:textId="77777777" w:rsidR="00F975A7" w:rsidRPr="00BD295E" w:rsidRDefault="008A5057" w:rsidP="00F74594">
      <w:pPr>
        <w:pStyle w:val="affff6"/>
        <w:jc w:val="both"/>
        <w:rPr>
          <w:rFonts w:ascii="Arial" w:hAnsi="Arial" w:cs="Arial"/>
          <w:sz w:val="18"/>
          <w:szCs w:val="18"/>
          <w:lang w:val="en-US"/>
        </w:rPr>
      </w:pPr>
      <w:r w:rsidRPr="00BD295E">
        <w:rPr>
          <w:rFonts w:ascii="Arial" w:hAnsi="Arial" w:cs="Arial"/>
          <w:sz w:val="18"/>
          <w:szCs w:val="18"/>
          <w:lang w:val="en-US"/>
        </w:rPr>
        <w:t xml:space="preserve">- As part of an investment team of the Leningrad Region, specialists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held a series of meetings with the business community of the Region (cities of Gatchina, Sosnovy Bor, etc.). </w:t>
      </w:r>
    </w:p>
    <w:p w14:paraId="58AEF507"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Specific steps to improve the investment climate in the Leningrad Region were discussed at off-site meetings, in particular grid connection, which is supervised by the National Rating.</w:t>
      </w:r>
    </w:p>
    <w:p w14:paraId="4AFAEA87"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170426D8"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December</w:t>
      </w:r>
    </w:p>
    <w:p w14:paraId="1552F23B"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2A237908"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Pr="00BD295E">
        <w:rPr>
          <w:rStyle w:val="afffffff4"/>
          <w:rFonts w:ascii="Arial" w:hAnsi="Arial" w:cs="Arial"/>
          <w:b/>
          <w:bCs/>
          <w:color w:val="auto"/>
          <w:sz w:val="18"/>
          <w:szCs w:val="18"/>
          <w:lang w:val="en-US"/>
        </w:rPr>
        <w:t>On December 21, 2018</w:t>
      </w: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launched the Leningrad Region’s first-ever automated electric grid district based on the facilities of the Vsevolozhsky Electric Grid District</w:t>
      </w:r>
    </w:p>
    <w:p w14:paraId="2DE6F934"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The commissioning ceremony was attended by Governor of the Leningrad Region Alexander Drozdenko. The pilot project is part of the Company’s program for digital transformation of controls and processes of electric grids and substations. </w:t>
      </w:r>
    </w:p>
    <w:p w14:paraId="10F31CCE"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59A4C74D"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Pr="00BD295E">
        <w:rPr>
          <w:rStyle w:val="afffffff4"/>
          <w:rFonts w:ascii="Arial" w:hAnsi="Arial" w:cs="Arial"/>
          <w:b/>
          <w:bCs/>
          <w:color w:val="auto"/>
          <w:sz w:val="18"/>
          <w:szCs w:val="18"/>
          <w:lang w:val="en-US"/>
        </w:rPr>
        <w:t>On December 21, 2018</w:t>
      </w: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completed a large-scale drill of power engineers in the Leningrad Region.</w:t>
      </w:r>
    </w:p>
    <w:p w14:paraId="217EC538"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The Company’s management summed up the results of the three-month performance by its employees, while specialists who distinguished themselves during the drill were awarded certificates of acknowledgement from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and the Government of the Leningrad Region.</w:t>
      </w:r>
    </w:p>
    <w:p w14:paraId="1760AC92"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72C90B7E" w14:textId="4CBF0AF4"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upgraded the online accounts of its customers. The innovations allow </w:t>
      </w:r>
      <w:r w:rsidR="000D659F" w:rsidRPr="00BD295E">
        <w:rPr>
          <w:rStyle w:val="afffffff4"/>
          <w:rFonts w:ascii="Arial" w:hAnsi="Arial" w:cs="Arial"/>
          <w:color w:val="auto"/>
          <w:sz w:val="18"/>
          <w:szCs w:val="18"/>
          <w:lang w:val="en-US"/>
        </w:rPr>
        <w:t>customer</w:t>
      </w:r>
      <w:r w:rsidRPr="00BD295E">
        <w:rPr>
          <w:rStyle w:val="afffffff4"/>
          <w:rFonts w:ascii="Arial" w:hAnsi="Arial" w:cs="Arial"/>
          <w:color w:val="auto"/>
          <w:sz w:val="18"/>
          <w:szCs w:val="18"/>
          <w:lang w:val="en-US"/>
        </w:rPr>
        <w:t xml:space="preserve">s to connect to Lenenergo’s electric grids by using the functionality of their online accounts, without visiting to the customer service center. For ease of use, the interface of the online account was </w:t>
      </w:r>
      <w:r w:rsidR="00BF7D8E" w:rsidRPr="00BD295E">
        <w:rPr>
          <w:rStyle w:val="afffffff4"/>
          <w:rFonts w:ascii="Arial" w:hAnsi="Arial" w:cs="Arial"/>
          <w:color w:val="auto"/>
          <w:sz w:val="18"/>
          <w:szCs w:val="18"/>
          <w:lang w:val="en-US"/>
        </w:rPr>
        <w:t>updated</w:t>
      </w:r>
      <w:r w:rsidRPr="00BD295E">
        <w:rPr>
          <w:rStyle w:val="afffffff4"/>
          <w:rFonts w:ascii="Arial" w:hAnsi="Arial" w:cs="Arial"/>
          <w:color w:val="auto"/>
          <w:sz w:val="18"/>
          <w:szCs w:val="18"/>
          <w:lang w:val="en-US"/>
        </w:rPr>
        <w:t>, including convenient navigation tools, a calculator to estimate the cost of the procedure, and other functions added to the interface.</w:t>
      </w:r>
    </w:p>
    <w:p w14:paraId="25CAD24B"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70F241EA" w14:textId="77777777" w:rsidR="00F975A7" w:rsidRPr="00BD295E" w:rsidRDefault="008A5057" w:rsidP="00F74594">
      <w:pPr>
        <w:pStyle w:val="affff6"/>
        <w:jc w:val="both"/>
        <w:rPr>
          <w:rFonts w:ascii="Arial" w:hAnsi="Arial" w:cs="Arial"/>
          <w:sz w:val="18"/>
          <w:szCs w:val="18"/>
          <w:lang w:val="en-US"/>
        </w:rPr>
      </w:pPr>
      <w:r w:rsidRPr="00BD295E">
        <w:rPr>
          <w:rStyle w:val="afffffff4"/>
          <w:rFonts w:ascii="Arial" w:hAnsi="Arial" w:cs="Arial"/>
          <w:color w:val="auto"/>
          <w:sz w:val="18"/>
          <w:szCs w:val="18"/>
          <w:lang w:val="en-US"/>
        </w:rPr>
        <w:t>-</w:t>
      </w:r>
      <w:r w:rsidR="00EE5753" w:rsidRPr="00BD295E">
        <w:rPr>
          <w:rStyle w:val="afffffff4"/>
          <w:rFonts w:ascii="Arial" w:hAnsi="Arial" w:cs="Arial"/>
          <w:color w:val="auto"/>
          <w:sz w:val="18"/>
          <w:szCs w:val="18"/>
          <w:lang w:val="en-US"/>
        </w:rPr>
        <w:t xml:space="preserve">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held a Farmer’s Day..</w:t>
      </w:r>
    </w:p>
    <w:p w14:paraId="18D79077" w14:textId="77777777" w:rsidR="00F975A7" w:rsidRPr="00BD295E" w:rsidRDefault="008A5057" w:rsidP="00F74594">
      <w:pPr>
        <w:pStyle w:val="affff6"/>
        <w:jc w:val="both"/>
        <w:rPr>
          <w:rFonts w:ascii="Arial" w:hAnsi="Arial" w:cs="Arial"/>
          <w:sz w:val="18"/>
          <w:szCs w:val="18"/>
          <w:lang w:val="en-US"/>
        </w:rPr>
      </w:pPr>
      <w:r w:rsidRPr="00BD295E">
        <w:rPr>
          <w:rFonts w:ascii="Arial" w:hAnsi="Arial" w:cs="Arial"/>
          <w:sz w:val="18"/>
          <w:szCs w:val="18"/>
          <w:lang w:val="en-US"/>
        </w:rPr>
        <w:t>Together with the Association of Farmer</w:t>
      </w:r>
      <w:r w:rsidR="00EE5753" w:rsidRPr="00BD295E">
        <w:rPr>
          <w:rFonts w:ascii="Arial" w:hAnsi="Arial" w:cs="Arial"/>
          <w:sz w:val="18"/>
          <w:szCs w:val="18"/>
          <w:lang w:val="en-US"/>
        </w:rPr>
        <w:t>s</w:t>
      </w:r>
      <w:r w:rsidRPr="00BD295E">
        <w:rPr>
          <w:rFonts w:ascii="Arial" w:hAnsi="Arial" w:cs="Arial"/>
          <w:sz w:val="18"/>
          <w:szCs w:val="18"/>
          <w:lang w:val="en-US"/>
        </w:rPr>
        <w:t xml:space="preserve"> and </w:t>
      </w:r>
      <w:r w:rsidR="00EE5753" w:rsidRPr="00BD295E">
        <w:rPr>
          <w:rFonts w:ascii="Arial" w:hAnsi="Arial" w:cs="Arial"/>
          <w:sz w:val="18"/>
          <w:szCs w:val="18"/>
          <w:lang w:val="en-US"/>
        </w:rPr>
        <w:t>Farmer</w:t>
      </w:r>
      <w:r w:rsidRPr="00BD295E">
        <w:rPr>
          <w:rFonts w:ascii="Arial" w:hAnsi="Arial" w:cs="Arial"/>
          <w:sz w:val="18"/>
          <w:szCs w:val="18"/>
          <w:lang w:val="en-US"/>
        </w:rPr>
        <w:t xml:space="preserve"> Cooperatives, the Company organized a meeting between representatives of the Company and farmers of the Leningrad Region. The participants discussed relevant matters related to grid connection, the lack of engineering corridors, as well as developed solutions for grid connection on a case-by-case basis. </w:t>
      </w:r>
    </w:p>
    <w:p w14:paraId="20CDF2C9"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17E7BC6C"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2019</w:t>
      </w:r>
    </w:p>
    <w:p w14:paraId="303445F0"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606BE5B2"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 xml:space="preserve">January </w:t>
      </w:r>
    </w:p>
    <w:p w14:paraId="2657D1E1"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121B7404" w14:textId="5576B4A1"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bCs/>
          <w:color w:val="auto"/>
          <w:sz w:val="18"/>
          <w:szCs w:val="18"/>
          <w:lang w:val="en-US"/>
        </w:rPr>
        <w:t xml:space="preserve">- </w:t>
      </w:r>
      <w:r w:rsidRPr="00BD295E">
        <w:rPr>
          <w:rStyle w:val="afffffff4"/>
          <w:rFonts w:ascii="Arial" w:hAnsi="Arial" w:cs="Arial"/>
          <w:b/>
          <w:bCs/>
          <w:color w:val="auto"/>
          <w:sz w:val="18"/>
          <w:szCs w:val="18"/>
          <w:lang w:val="en-US"/>
        </w:rPr>
        <w:t>On January 18, 2019</w:t>
      </w:r>
      <w:r w:rsidRPr="00BD295E">
        <w:rPr>
          <w:rStyle w:val="afffffff4"/>
          <w:rFonts w:ascii="Arial" w:hAnsi="Arial" w:cs="Arial"/>
          <w:color w:val="auto"/>
          <w:sz w:val="18"/>
          <w:szCs w:val="18"/>
          <w:lang w:val="en-US"/>
        </w:rPr>
        <w:t xml:space="preserve"> Pavel Livinsky, CEO of </w:t>
      </w:r>
      <w:r w:rsidR="00BF7D8E" w:rsidRPr="00BD295E">
        <w:rPr>
          <w:rStyle w:val="afffffff4"/>
          <w:rFonts w:ascii="Arial" w:hAnsi="Arial" w:cs="Arial"/>
          <w:color w:val="auto"/>
          <w:sz w:val="18"/>
          <w:szCs w:val="18"/>
          <w:lang w:val="en-US"/>
        </w:rPr>
        <w:t>Rossetti</w:t>
      </w:r>
      <w:r w:rsidRPr="00BD295E">
        <w:rPr>
          <w:rStyle w:val="afffffff4"/>
          <w:rFonts w:ascii="Arial" w:hAnsi="Arial" w:cs="Arial"/>
          <w:color w:val="auto"/>
          <w:sz w:val="18"/>
          <w:szCs w:val="18"/>
          <w:lang w:val="en-US"/>
        </w:rPr>
        <w:t xml:space="preserve">, held a meeting of the electric grid industry headquarters on addressing the consequences of a snow storm in the Leningrad Region. </w:t>
      </w:r>
    </w:p>
    <w:p w14:paraId="423E77AC"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w:t>
      </w:r>
      <w:r w:rsidRPr="00BD295E">
        <w:rPr>
          <w:rStyle w:val="afffffff4"/>
          <w:rFonts w:ascii="Arial" w:hAnsi="Arial" w:cs="Arial"/>
          <w:b/>
          <w:bCs/>
          <w:color w:val="auto"/>
          <w:sz w:val="18"/>
          <w:szCs w:val="18"/>
          <w:lang w:val="en-US"/>
        </w:rPr>
        <w:t>On January 25, 2019</w:t>
      </w:r>
      <w:r w:rsidRPr="00BD295E">
        <w:rPr>
          <w:rStyle w:val="afffffff4"/>
          <w:rFonts w:ascii="Arial" w:hAnsi="Arial" w:cs="Arial"/>
          <w:color w:val="auto"/>
          <w:sz w:val="18"/>
          <w:szCs w:val="18"/>
          <w:lang w:val="en-US"/>
        </w:rPr>
        <w:t xml:space="preserve">, a historical peak of electricity consumption was recorded in Saint Petersburg and the Leningrad Region. </w:t>
      </w:r>
    </w:p>
    <w:p w14:paraId="7181E07E"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At 11:00 a.m., electricity consumption in the city and the Region reached 7,719 MW. The peak loads did not affect the reliability of electricity supply to consumers.</w:t>
      </w:r>
    </w:p>
    <w:p w14:paraId="1E8E27E7" w14:textId="65F6B174" w:rsidR="00701648" w:rsidRPr="00BD295E" w:rsidRDefault="00701648">
      <w:pPr>
        <w:rPr>
          <w:rStyle w:val="afffffff4"/>
          <w:rFonts w:ascii="Arial" w:eastAsia="Calibri" w:hAnsi="Arial" w:cs="Arial"/>
          <w:i w:val="0"/>
          <w:color w:val="auto"/>
          <w:sz w:val="18"/>
          <w:szCs w:val="18"/>
          <w:lang w:val="en-US" w:eastAsia="en-US"/>
        </w:rPr>
      </w:pPr>
      <w:r w:rsidRPr="00BD295E">
        <w:rPr>
          <w:rStyle w:val="afffffff4"/>
          <w:rFonts w:ascii="Arial" w:hAnsi="Arial" w:cs="Arial"/>
          <w:i w:val="0"/>
          <w:color w:val="auto"/>
          <w:sz w:val="18"/>
          <w:szCs w:val="18"/>
          <w:lang w:val="en-US"/>
        </w:rPr>
        <w:br w:type="page"/>
      </w:r>
    </w:p>
    <w:p w14:paraId="4E9D9292" w14:textId="5030E30C"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February</w:t>
      </w:r>
    </w:p>
    <w:p w14:paraId="0E0CDA16" w14:textId="77777777" w:rsidR="00F975A7" w:rsidRPr="00BD295E" w:rsidRDefault="00F975A7" w:rsidP="00F74594">
      <w:pPr>
        <w:pStyle w:val="affff6"/>
        <w:jc w:val="both"/>
        <w:rPr>
          <w:rStyle w:val="afffffff4"/>
          <w:rFonts w:ascii="Arial" w:hAnsi="Arial" w:cs="Arial"/>
          <w:b/>
          <w:i w:val="0"/>
          <w:color w:val="auto"/>
          <w:sz w:val="18"/>
          <w:szCs w:val="18"/>
          <w:lang w:val="en-US"/>
        </w:rPr>
      </w:pPr>
    </w:p>
    <w:p w14:paraId="1E1738D0"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A workshop on grid connection was organized by Lenenergo.</w:t>
      </w:r>
    </w:p>
    <w:p w14:paraId="7BEB4D97" w14:textId="77777777"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The Company’s specialists responsible for grid connection, and employees of the Customer Service Center discussed the implementation of the Electric Grid Connection target model as part of a program to accelerate infrastructure connection as well as shared best practices implemented at Lenenergo.</w:t>
      </w:r>
    </w:p>
    <w:p w14:paraId="0D0C8562"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3465A6E4" w14:textId="1D3310FD"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 Management of </w:t>
      </w:r>
      <w:r w:rsidR="00EE5753" w:rsidRPr="00BD295E">
        <w:rPr>
          <w:rStyle w:val="afffffff4"/>
          <w:rFonts w:ascii="Arial" w:hAnsi="Arial" w:cs="Arial"/>
          <w:color w:val="auto"/>
          <w:sz w:val="18"/>
          <w:szCs w:val="18"/>
          <w:lang w:val="en-US"/>
        </w:rPr>
        <w:t>PJSC “Lenenergo”</w:t>
      </w:r>
      <w:r w:rsidRPr="00BD295E">
        <w:rPr>
          <w:rStyle w:val="afffffff4"/>
          <w:rFonts w:ascii="Arial" w:hAnsi="Arial" w:cs="Arial"/>
          <w:color w:val="auto"/>
          <w:sz w:val="18"/>
          <w:szCs w:val="18"/>
          <w:lang w:val="en-US"/>
        </w:rPr>
        <w:t xml:space="preserve"> took part in the Russian Investment Forum in Sochi as part of </w:t>
      </w:r>
      <w:r w:rsidR="00BF7D8E" w:rsidRPr="00BD295E">
        <w:rPr>
          <w:rStyle w:val="afffffff4"/>
          <w:rFonts w:ascii="Arial" w:hAnsi="Arial" w:cs="Arial"/>
          <w:color w:val="auto"/>
          <w:sz w:val="18"/>
          <w:szCs w:val="18"/>
          <w:lang w:val="en-US"/>
        </w:rPr>
        <w:t>Rossetti</w:t>
      </w:r>
      <w:r w:rsidRPr="00BD295E">
        <w:rPr>
          <w:rStyle w:val="afffffff4"/>
          <w:rFonts w:ascii="Arial" w:hAnsi="Arial" w:cs="Arial"/>
          <w:color w:val="auto"/>
          <w:sz w:val="18"/>
          <w:szCs w:val="18"/>
          <w:lang w:val="en-US"/>
        </w:rPr>
        <w:t xml:space="preserve"> Group’s delegation. </w:t>
      </w:r>
    </w:p>
    <w:p w14:paraId="3AC04BB3" w14:textId="1C2FF463" w:rsidR="00F975A7" w:rsidRPr="00BD295E" w:rsidRDefault="008A5057" w:rsidP="00F74594">
      <w:pPr>
        <w:pStyle w:val="affff6"/>
        <w:jc w:val="both"/>
        <w:rPr>
          <w:rStyle w:val="afffffff4"/>
          <w:rFonts w:ascii="Arial" w:hAnsi="Arial" w:cs="Arial"/>
          <w:i w:val="0"/>
          <w:color w:val="auto"/>
          <w:sz w:val="18"/>
          <w:szCs w:val="18"/>
          <w:lang w:val="en-US"/>
        </w:rPr>
      </w:pPr>
      <w:r w:rsidRPr="00BD295E">
        <w:rPr>
          <w:rStyle w:val="afffffff4"/>
          <w:rFonts w:ascii="Arial" w:hAnsi="Arial" w:cs="Arial"/>
          <w:color w:val="auto"/>
          <w:sz w:val="18"/>
          <w:szCs w:val="18"/>
          <w:lang w:val="en-US"/>
        </w:rPr>
        <w:t xml:space="preserve">One of the key platforms of the forum was the </w:t>
      </w:r>
      <w:r w:rsidR="00BF7D8E" w:rsidRPr="00BD295E">
        <w:rPr>
          <w:rStyle w:val="afffffff4"/>
          <w:rFonts w:ascii="Arial" w:hAnsi="Arial" w:cs="Arial"/>
          <w:color w:val="auto"/>
          <w:sz w:val="18"/>
          <w:szCs w:val="18"/>
          <w:lang w:val="en-US"/>
        </w:rPr>
        <w:t>Rossetti</w:t>
      </w:r>
      <w:r w:rsidRPr="00BD295E">
        <w:rPr>
          <w:rStyle w:val="afffffff4"/>
          <w:rFonts w:ascii="Arial" w:hAnsi="Arial" w:cs="Arial"/>
          <w:color w:val="auto"/>
          <w:sz w:val="18"/>
          <w:szCs w:val="18"/>
          <w:lang w:val="en-US"/>
        </w:rPr>
        <w:t xml:space="preserve"> Territory, where Pavel Livinsky, CEO of </w:t>
      </w:r>
      <w:r w:rsidR="00BF106F" w:rsidRPr="00BD295E">
        <w:rPr>
          <w:rStyle w:val="afffffff4"/>
          <w:rFonts w:ascii="Arial" w:hAnsi="Arial" w:cs="Arial"/>
          <w:color w:val="auto"/>
          <w:sz w:val="18"/>
          <w:szCs w:val="18"/>
          <w:lang w:val="en-US"/>
        </w:rPr>
        <w:t>PJSC “</w:t>
      </w:r>
      <w:r w:rsidR="00BF7D8E" w:rsidRPr="00BD295E">
        <w:rPr>
          <w:rStyle w:val="afffffff4"/>
          <w:rFonts w:ascii="Arial" w:hAnsi="Arial" w:cs="Arial"/>
          <w:color w:val="auto"/>
          <w:sz w:val="18"/>
          <w:szCs w:val="18"/>
          <w:lang w:val="en-US"/>
        </w:rPr>
        <w:t>Rossetti</w:t>
      </w:r>
      <w:r w:rsidR="00BF106F" w:rsidRPr="00BD295E">
        <w:rPr>
          <w:rStyle w:val="afffffff4"/>
          <w:rFonts w:ascii="Arial" w:hAnsi="Arial" w:cs="Arial"/>
          <w:color w:val="auto"/>
          <w:sz w:val="18"/>
          <w:szCs w:val="18"/>
          <w:lang w:val="en-US"/>
        </w:rPr>
        <w:t>”</w:t>
      </w:r>
      <w:r w:rsidRPr="00BD295E">
        <w:rPr>
          <w:rStyle w:val="afffffff4"/>
          <w:rFonts w:ascii="Arial" w:hAnsi="Arial" w:cs="Arial"/>
          <w:color w:val="auto"/>
          <w:sz w:val="18"/>
          <w:szCs w:val="18"/>
          <w:lang w:val="en-US"/>
        </w:rPr>
        <w:t>, presented the Digital Transformation 2030 concept.</w:t>
      </w:r>
    </w:p>
    <w:p w14:paraId="7E24E7D1"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68DE3C4D" w14:textId="77777777" w:rsidR="00F975A7" w:rsidRPr="00BD295E" w:rsidRDefault="008A5057" w:rsidP="00F74594">
      <w:pPr>
        <w:pStyle w:val="affff6"/>
        <w:jc w:val="both"/>
        <w:rPr>
          <w:rStyle w:val="afffffff4"/>
          <w:rFonts w:ascii="Arial" w:hAnsi="Arial" w:cs="Arial"/>
          <w:b/>
          <w:i w:val="0"/>
          <w:color w:val="auto"/>
          <w:sz w:val="18"/>
          <w:szCs w:val="18"/>
          <w:lang w:val="en-US"/>
        </w:rPr>
      </w:pPr>
      <w:r w:rsidRPr="00BD295E">
        <w:rPr>
          <w:rStyle w:val="afffffff4"/>
          <w:rFonts w:ascii="Arial" w:hAnsi="Arial" w:cs="Arial"/>
          <w:b/>
          <w:color w:val="auto"/>
          <w:sz w:val="18"/>
          <w:szCs w:val="18"/>
          <w:lang w:val="en-US"/>
        </w:rPr>
        <w:t>March</w:t>
      </w:r>
    </w:p>
    <w:p w14:paraId="30BC4E15" w14:textId="77777777" w:rsidR="00F975A7" w:rsidRPr="00BD295E" w:rsidRDefault="00F975A7" w:rsidP="00F74594">
      <w:pPr>
        <w:pStyle w:val="affff6"/>
        <w:jc w:val="both"/>
        <w:rPr>
          <w:rStyle w:val="afffffff4"/>
          <w:rFonts w:ascii="Arial" w:hAnsi="Arial" w:cs="Arial"/>
          <w:i w:val="0"/>
          <w:color w:val="auto"/>
          <w:sz w:val="18"/>
          <w:szCs w:val="18"/>
          <w:lang w:val="en-US"/>
        </w:rPr>
      </w:pPr>
    </w:p>
    <w:p w14:paraId="430C5BFD" w14:textId="1775412D" w:rsidR="00F975A7" w:rsidRPr="00BD295E" w:rsidRDefault="008A5057" w:rsidP="00F74594">
      <w:pPr>
        <w:pStyle w:val="affff6"/>
        <w:jc w:val="both"/>
        <w:rPr>
          <w:rFonts w:ascii="Arial" w:hAnsi="Arial" w:cs="Arial"/>
          <w:sz w:val="18"/>
          <w:szCs w:val="18"/>
          <w:lang w:val="en-US"/>
        </w:rPr>
      </w:pPr>
      <w:r w:rsidRPr="00BD295E">
        <w:rPr>
          <w:rStyle w:val="afffffff4"/>
          <w:rFonts w:ascii="Arial" w:hAnsi="Arial" w:cs="Arial"/>
          <w:color w:val="auto"/>
          <w:sz w:val="18"/>
          <w:szCs w:val="18"/>
          <w:lang w:val="en-US"/>
        </w:rPr>
        <w:t xml:space="preserve">- </w:t>
      </w:r>
      <w:r w:rsidRPr="00BD295E">
        <w:rPr>
          <w:rStyle w:val="afffffff4"/>
          <w:rFonts w:ascii="Arial" w:hAnsi="Arial" w:cs="Arial"/>
          <w:b/>
          <w:color w:val="auto"/>
          <w:sz w:val="18"/>
          <w:szCs w:val="18"/>
          <w:lang w:val="en-US"/>
        </w:rPr>
        <w:t xml:space="preserve">On March 22, </w:t>
      </w:r>
      <w:r w:rsidR="00BF7D8E" w:rsidRPr="00BD295E">
        <w:rPr>
          <w:rStyle w:val="afffffff4"/>
          <w:rFonts w:ascii="Arial" w:hAnsi="Arial" w:cs="Arial"/>
          <w:b/>
          <w:color w:val="auto"/>
          <w:sz w:val="18"/>
          <w:szCs w:val="18"/>
          <w:lang w:val="en-US"/>
        </w:rPr>
        <w:t>2019,</w:t>
      </w:r>
      <w:r w:rsidR="00BF7D8E" w:rsidRPr="00BD295E">
        <w:rPr>
          <w:rStyle w:val="afffffff4"/>
          <w:rFonts w:ascii="Arial" w:hAnsi="Arial" w:cs="Arial"/>
          <w:color w:val="auto"/>
          <w:sz w:val="18"/>
          <w:szCs w:val="18"/>
          <w:lang w:val="en-US"/>
        </w:rPr>
        <w:t xml:space="preserve"> </w:t>
      </w:r>
      <w:r w:rsidR="00BF7D8E" w:rsidRPr="00BD295E">
        <w:rPr>
          <w:rFonts w:ascii="Arial" w:hAnsi="Arial" w:cs="Arial"/>
          <w:sz w:val="18"/>
          <w:szCs w:val="18"/>
          <w:lang w:val="en-US"/>
        </w:rPr>
        <w:t>PJSC</w:t>
      </w:r>
      <w:r w:rsidR="00EE5753" w:rsidRPr="00BD295E">
        <w:rPr>
          <w:rFonts w:ascii="Arial" w:hAnsi="Arial" w:cs="Arial"/>
          <w:sz w:val="18"/>
          <w:szCs w:val="18"/>
          <w:lang w:val="en-US"/>
        </w:rPr>
        <w:t xml:space="preserve"> “Lenenergo”</w:t>
      </w:r>
      <w:r w:rsidRPr="00BD295E">
        <w:rPr>
          <w:rFonts w:ascii="Arial" w:hAnsi="Arial" w:cs="Arial"/>
          <w:sz w:val="18"/>
          <w:szCs w:val="18"/>
          <w:lang w:val="en-US"/>
        </w:rPr>
        <w:t xml:space="preserve"> received a diploma of the winner of the Made in Russia contest for its project </w:t>
      </w:r>
      <w:r w:rsidRPr="00BD295E">
        <w:rPr>
          <w:rFonts w:ascii="Arial" w:hAnsi="Arial" w:cs="Arial"/>
          <w:i/>
          <w:iCs/>
          <w:sz w:val="18"/>
          <w:szCs w:val="18"/>
          <w:lang w:val="en-US"/>
        </w:rPr>
        <w:t>Reinforced Concrete Supports of 110 kV Overhead Lines from Centrifuged Sectional</w:t>
      </w:r>
      <w:r w:rsidRPr="00BD295E">
        <w:rPr>
          <w:rFonts w:ascii="Arial" w:hAnsi="Arial" w:cs="Arial"/>
          <w:sz w:val="18"/>
          <w:szCs w:val="18"/>
          <w:lang w:val="en-US"/>
        </w:rPr>
        <w:t>i</w:t>
      </w:r>
      <w:r w:rsidRPr="00BD295E">
        <w:rPr>
          <w:rFonts w:ascii="Arial" w:hAnsi="Arial" w:cs="Arial"/>
          <w:i/>
          <w:iCs/>
          <w:sz w:val="18"/>
          <w:szCs w:val="18"/>
          <w:lang w:val="en-US"/>
        </w:rPr>
        <w:t>zed Poles</w:t>
      </w:r>
      <w:r w:rsidRPr="00BD295E">
        <w:rPr>
          <w:rFonts w:ascii="Arial" w:hAnsi="Arial" w:cs="Arial"/>
          <w:sz w:val="18"/>
          <w:szCs w:val="18"/>
          <w:lang w:val="en-US"/>
        </w:rPr>
        <w:t>.</w:t>
      </w:r>
      <w:r w:rsidRPr="00BD295E">
        <w:rPr>
          <w:rFonts w:ascii="Arial" w:hAnsi="Arial" w:cs="Arial"/>
          <w:bCs/>
          <w:sz w:val="18"/>
          <w:szCs w:val="18"/>
          <w:lang w:val="en-US"/>
        </w:rPr>
        <w:t xml:space="preserve">. </w:t>
      </w:r>
    </w:p>
    <w:p w14:paraId="4C31C304" w14:textId="77777777" w:rsidR="00F975A7" w:rsidRPr="00BD295E" w:rsidRDefault="00F975A7" w:rsidP="003F6DA4">
      <w:pPr>
        <w:rPr>
          <w:rFonts w:ascii="Arial" w:hAnsi="Arial" w:cs="Arial"/>
          <w:sz w:val="18"/>
          <w:szCs w:val="18"/>
          <w:lang w:val="en-US"/>
        </w:rPr>
      </w:pPr>
    </w:p>
    <w:p w14:paraId="2C133C95" w14:textId="77777777" w:rsidR="003F6DA4" w:rsidRPr="00BD295E" w:rsidRDefault="008A5057" w:rsidP="003F6DA4">
      <w:pPr>
        <w:rPr>
          <w:rFonts w:ascii="Arial" w:hAnsi="Arial" w:cs="Arial"/>
          <w:sz w:val="18"/>
          <w:szCs w:val="18"/>
          <w:lang w:val="en-US"/>
        </w:rPr>
      </w:pPr>
      <w:r w:rsidRPr="00BD295E">
        <w:rPr>
          <w:rFonts w:ascii="Arial" w:hAnsi="Arial" w:cs="Arial"/>
          <w:sz w:val="18"/>
          <w:szCs w:val="18"/>
          <w:lang w:val="en-US"/>
        </w:rPr>
        <w:br w:type="page"/>
      </w:r>
    </w:p>
    <w:p w14:paraId="7907E895" w14:textId="77777777" w:rsidR="003F6DA4" w:rsidRPr="00BD295E" w:rsidRDefault="008A5057" w:rsidP="00F74594">
      <w:pPr>
        <w:keepNext/>
        <w:jc w:val="both"/>
        <w:outlineLvl w:val="1"/>
        <w:rPr>
          <w:rFonts w:ascii="Arial" w:hAnsi="Arial" w:cs="Arial"/>
          <w:b/>
          <w:sz w:val="18"/>
          <w:szCs w:val="18"/>
          <w:lang w:val="en-US"/>
        </w:rPr>
      </w:pPr>
      <w:bookmarkStart w:id="55" w:name="_Toc509493380"/>
      <w:bookmarkStart w:id="56" w:name="_Toc509497946"/>
      <w:bookmarkStart w:id="57" w:name="_Toc509581248"/>
      <w:bookmarkStart w:id="58" w:name="_Toc510452212"/>
      <w:bookmarkStart w:id="59" w:name="_Toc5026990"/>
      <w:bookmarkStart w:id="60" w:name="_Toc5105959"/>
      <w:bookmarkStart w:id="61" w:name="_Toc5203812"/>
      <w:bookmarkStart w:id="62" w:name="_Toc6230908"/>
      <w:bookmarkStart w:id="63" w:name="_Toc7172556"/>
      <w:bookmarkStart w:id="64" w:name="_Toc7172602"/>
      <w:bookmarkStart w:id="65" w:name="_Toc95855277"/>
      <w:bookmarkStart w:id="66" w:name="_Toc95935336"/>
      <w:r w:rsidRPr="00BD295E">
        <w:rPr>
          <w:rFonts w:ascii="Arial" w:hAnsi="Arial" w:cs="Arial"/>
          <w:b/>
          <w:sz w:val="18"/>
          <w:szCs w:val="18"/>
          <w:lang w:val="en-US"/>
        </w:rPr>
        <w:t xml:space="preserve">SECTION 2. </w:t>
      </w:r>
      <w:bookmarkEnd w:id="55"/>
      <w:bookmarkEnd w:id="56"/>
      <w:bookmarkEnd w:id="57"/>
      <w:r w:rsidRPr="00BD295E">
        <w:rPr>
          <w:rFonts w:ascii="Arial" w:hAnsi="Arial" w:cs="Arial"/>
          <w:b/>
          <w:sz w:val="18"/>
          <w:szCs w:val="18"/>
          <w:lang w:val="en-US"/>
        </w:rPr>
        <w:t>STRATEGIC DEVELOPMENT PR</w:t>
      </w:r>
      <w:r w:rsidRPr="00BD295E">
        <w:rPr>
          <w:rFonts w:ascii="Arial" w:hAnsi="Arial" w:cs="Arial"/>
          <w:b/>
          <w:bCs/>
          <w:sz w:val="18"/>
          <w:szCs w:val="18"/>
          <w:lang w:val="en-US"/>
        </w:rPr>
        <w:t>IORITIES</w:t>
      </w:r>
      <w:bookmarkEnd w:id="58"/>
      <w:bookmarkEnd w:id="59"/>
      <w:bookmarkEnd w:id="60"/>
      <w:bookmarkEnd w:id="61"/>
      <w:bookmarkEnd w:id="62"/>
      <w:bookmarkEnd w:id="63"/>
      <w:bookmarkEnd w:id="64"/>
      <w:bookmarkEnd w:id="65"/>
      <w:bookmarkEnd w:id="66"/>
    </w:p>
    <w:p w14:paraId="3F728EC5" w14:textId="77777777" w:rsidR="003F6DA4" w:rsidRPr="00BD295E" w:rsidRDefault="003F6DA4" w:rsidP="00F74594">
      <w:pPr>
        <w:jc w:val="both"/>
        <w:rPr>
          <w:rFonts w:ascii="Arial" w:hAnsi="Arial" w:cs="Arial"/>
          <w:b/>
          <w:sz w:val="18"/>
          <w:szCs w:val="18"/>
          <w:lang w:val="en-US"/>
        </w:rPr>
      </w:pPr>
    </w:p>
    <w:p w14:paraId="28DBF21C" w14:textId="77777777" w:rsidR="003F6DA4" w:rsidRPr="00BD295E" w:rsidRDefault="008A5057" w:rsidP="00F74594">
      <w:pPr>
        <w:keepNext/>
        <w:numPr>
          <w:ilvl w:val="1"/>
          <w:numId w:val="8"/>
        </w:numPr>
        <w:ind w:firstLine="0"/>
        <w:jc w:val="both"/>
        <w:outlineLvl w:val="1"/>
        <w:rPr>
          <w:rFonts w:ascii="Arial" w:hAnsi="Arial" w:cs="Arial"/>
          <w:b/>
          <w:sz w:val="18"/>
          <w:szCs w:val="18"/>
          <w:lang w:val="en-US"/>
        </w:rPr>
      </w:pPr>
      <w:bookmarkStart w:id="67" w:name="_Toc509493381"/>
      <w:bookmarkStart w:id="68" w:name="_Toc509497947"/>
      <w:bookmarkStart w:id="69" w:name="_Toc509581249"/>
      <w:bookmarkStart w:id="70" w:name="_Toc510452213"/>
      <w:bookmarkStart w:id="71" w:name="_Toc5026991"/>
      <w:bookmarkStart w:id="72" w:name="_Toc5105960"/>
      <w:bookmarkStart w:id="73" w:name="_Toc5203813"/>
      <w:bookmarkStart w:id="74" w:name="_Toc6230909"/>
      <w:bookmarkStart w:id="75" w:name="_Toc7172557"/>
      <w:bookmarkStart w:id="76" w:name="_Toc7172603"/>
      <w:bookmarkStart w:id="77" w:name="_Toc95855278"/>
      <w:bookmarkStart w:id="78" w:name="_Toc95935337"/>
      <w:r w:rsidRPr="00BD295E">
        <w:rPr>
          <w:rFonts w:ascii="Arial" w:hAnsi="Arial" w:cs="Arial"/>
          <w:b/>
          <w:sz w:val="18"/>
          <w:szCs w:val="18"/>
          <w:lang w:val="en-US"/>
        </w:rPr>
        <w:t>Market Overview</w:t>
      </w:r>
      <w:bookmarkEnd w:id="67"/>
      <w:bookmarkEnd w:id="68"/>
      <w:bookmarkEnd w:id="69"/>
      <w:bookmarkEnd w:id="70"/>
      <w:bookmarkEnd w:id="71"/>
      <w:bookmarkEnd w:id="72"/>
      <w:bookmarkEnd w:id="73"/>
      <w:bookmarkEnd w:id="74"/>
      <w:bookmarkEnd w:id="75"/>
      <w:bookmarkEnd w:id="76"/>
      <w:bookmarkEnd w:id="77"/>
      <w:bookmarkEnd w:id="78"/>
    </w:p>
    <w:p w14:paraId="18E3EE25" w14:textId="77777777" w:rsidR="003F6DA4" w:rsidRPr="00BD295E" w:rsidRDefault="003F6DA4" w:rsidP="00F74594">
      <w:pPr>
        <w:autoSpaceDE w:val="0"/>
        <w:autoSpaceDN w:val="0"/>
        <w:adjustRightInd w:val="0"/>
        <w:rPr>
          <w:rFonts w:ascii="Arial" w:hAnsi="Arial" w:cs="Arial"/>
          <w:sz w:val="18"/>
          <w:szCs w:val="18"/>
          <w:lang w:val="en-US"/>
        </w:rPr>
      </w:pPr>
    </w:p>
    <w:p w14:paraId="7B33D056" w14:textId="77777777" w:rsidR="003F6DA4" w:rsidRPr="00BD295E" w:rsidRDefault="008A5057" w:rsidP="00F74594">
      <w:pPr>
        <w:autoSpaceDE w:val="0"/>
        <w:autoSpaceDN w:val="0"/>
        <w:adjustRightInd w:val="0"/>
        <w:rPr>
          <w:rFonts w:ascii="Arial" w:hAnsi="Arial" w:cs="Arial"/>
          <w:b/>
          <w:sz w:val="18"/>
          <w:szCs w:val="18"/>
          <w:lang w:val="en-US"/>
        </w:rPr>
      </w:pPr>
      <w:r w:rsidRPr="00BD295E">
        <w:rPr>
          <w:rFonts w:ascii="Arial" w:hAnsi="Arial" w:cs="Arial"/>
          <w:b/>
          <w:sz w:val="18"/>
          <w:szCs w:val="18"/>
          <w:lang w:val="en-US"/>
        </w:rPr>
        <w:t>Macroeconomic situation in Russia</w:t>
      </w:r>
    </w:p>
    <w:p w14:paraId="0DCC7DB7" w14:textId="77777777" w:rsidR="003F6DA4" w:rsidRPr="00BD295E" w:rsidRDefault="003F6DA4" w:rsidP="00F74594">
      <w:pPr>
        <w:autoSpaceDE w:val="0"/>
        <w:autoSpaceDN w:val="0"/>
        <w:adjustRightInd w:val="0"/>
        <w:rPr>
          <w:rFonts w:ascii="Arial" w:hAnsi="Arial" w:cs="Arial"/>
          <w:sz w:val="18"/>
          <w:szCs w:val="18"/>
          <w:lang w:val="en-US"/>
        </w:rPr>
      </w:pPr>
    </w:p>
    <w:p w14:paraId="78FF7C5D" w14:textId="77777777" w:rsidR="00E638C6" w:rsidRPr="00BD295E" w:rsidRDefault="008A5057" w:rsidP="00F74594">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A competent stabilization policy of recent years helped the country overcome the worst phase of the crisis, address the threat to financial stability, and create conditions for renewed economic growth and lower inflation in Russia.</w:t>
      </w:r>
    </w:p>
    <w:p w14:paraId="7C530666" w14:textId="77777777" w:rsidR="00E638C6"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In 2018, inflation remained at a relevantly low level. The task of maintaining a low inflationary pressure in the economy was supported by a moderately tight monetary policy that ensured that interest rates were at a level that made savings more attractive, increased appetite for debt and, accordingly, boosted consumer and investment demand that were in line with supply expansion capabilities.</w:t>
      </w:r>
    </w:p>
    <w:p w14:paraId="182978C2" w14:textId="77777777" w:rsidR="00E638C6"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The impact of external conditions on the economy in 2018 was ambiguous. On the one hand, higher global oil prices supported the growth of the Russian economy. On the other hand, they put an upward pressure on domestic prices for petroleum products and, consequently, on consumer prices in general.</w:t>
      </w:r>
    </w:p>
    <w:p w14:paraId="0A0A6E24" w14:textId="77777777" w:rsidR="00E638C6"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At the same time, the domestic economic situation remained generally positive during 2018. The Russian economy continued to grow at a rate consistent with its long-term potential; meanwhile, economic growth was not accompanied with a growing excessive inflationary pressure. Consumer demand was supported by expanded lending while households' ruble deposits continued to grow. Consumer demand was also supported by growing salaries. Amid the ongoing conservative budget policy and the continued budget consolidation strategy, the increase in government expenses remained restrained.</w:t>
      </w:r>
    </w:p>
    <w:p w14:paraId="4D300F61" w14:textId="77777777" w:rsidR="00856950"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 xml:space="preserve">The increase in domestic and external demand supported the economic growth. In line with the second estimate of GDP based on data from the Federal State Statistics Service, the index of GDP physical volume in 2018 was 102.3%, while for 2017 it was 101.6%. </w:t>
      </w:r>
    </w:p>
    <w:p w14:paraId="47CACDD6" w14:textId="77777777" w:rsidR="00E638C6"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Meanwhile, the economy’s output is close to its maximum potential, as indicated, among other things, by the labor and capital utilization rates. Unemployment remains low, close to natural levels, i.e. the economy is functioning at a full employment level.</w:t>
      </w:r>
    </w:p>
    <w:p w14:paraId="4A475D2A" w14:textId="77777777" w:rsidR="00E638C6"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Along the continued low inflation rates, Russia’s economic development will be promoted in the longer term by measures taken to support financial stability and sustainability in the financial sector and the payment system. Structural policy measures, subject to continued public financial stability, will be decisive for strengthening the foundation for sustainable growth, diversification of the Russian economy, and for reducing its exposure to external factors.</w:t>
      </w:r>
    </w:p>
    <w:p w14:paraId="2ECDE69B" w14:textId="77777777" w:rsidR="00E638C6" w:rsidRPr="00BD295E" w:rsidRDefault="008A5057" w:rsidP="00F74594">
      <w:pPr>
        <w:jc w:val="both"/>
        <w:rPr>
          <w:rFonts w:ascii="Arial" w:hAnsi="Arial" w:cs="Arial"/>
          <w:sz w:val="18"/>
          <w:szCs w:val="18"/>
          <w:lang w:val="en-US"/>
        </w:rPr>
      </w:pPr>
      <w:r w:rsidRPr="00BD295E">
        <w:rPr>
          <w:rFonts w:ascii="Arial" w:hAnsi="Arial" w:cs="Arial"/>
          <w:sz w:val="18"/>
          <w:szCs w:val="18"/>
          <w:lang w:val="en-US"/>
        </w:rPr>
        <w:t>In 2019, mainly during in its first half, a number of constraints will moderately slow down the growth of domestic demand. These include an increase in VAT, a slowdown in the growth of the economy’s proceeds from exports as a result of a gradual decline in oil prices, as well as a certain slowdown in the growth of lending amidst a moderately tight monetary policy of the Bank of Russia and the revised market expectations regarding the speed of transition to a neutral policy.</w:t>
      </w:r>
    </w:p>
    <w:p w14:paraId="2C1493B0" w14:textId="77777777" w:rsidR="00E638C6" w:rsidRPr="00BD295E" w:rsidRDefault="00E638C6" w:rsidP="00E638C6">
      <w:pPr>
        <w:autoSpaceDE w:val="0"/>
        <w:autoSpaceDN w:val="0"/>
        <w:adjustRightInd w:val="0"/>
        <w:ind w:firstLine="709"/>
        <w:jc w:val="both"/>
        <w:rPr>
          <w:rFonts w:ascii="Arial" w:hAnsi="Arial" w:cs="Arial"/>
          <w:sz w:val="18"/>
          <w:szCs w:val="18"/>
          <w:lang w:val="en-US"/>
        </w:rPr>
      </w:pPr>
    </w:p>
    <w:p w14:paraId="2C729670" w14:textId="77777777" w:rsidR="00E638C6" w:rsidRPr="00BD295E" w:rsidRDefault="008A5057" w:rsidP="00E638C6">
      <w:pPr>
        <w:autoSpaceDE w:val="0"/>
        <w:autoSpaceDN w:val="0"/>
        <w:adjustRightInd w:val="0"/>
        <w:ind w:firstLine="709"/>
        <w:jc w:val="both"/>
        <w:rPr>
          <w:rFonts w:ascii="Arial" w:hAnsi="Arial" w:cs="Arial"/>
          <w:b/>
          <w:sz w:val="18"/>
          <w:szCs w:val="18"/>
          <w:lang w:val="en-US"/>
        </w:rPr>
      </w:pPr>
      <w:r w:rsidRPr="00BD295E">
        <w:rPr>
          <w:rFonts w:ascii="Arial" w:hAnsi="Arial" w:cs="Arial"/>
          <w:b/>
          <w:sz w:val="18"/>
          <w:szCs w:val="18"/>
          <w:lang w:val="en-US"/>
        </w:rPr>
        <w:t>Russia’s macroeconomic performance in 2017–2018, %</w:t>
      </w:r>
      <w:r w:rsidRPr="00BD295E">
        <w:rPr>
          <w:rFonts w:ascii="Arial" w:hAnsi="Arial" w:cs="Arial"/>
          <w:b/>
          <w:sz w:val="18"/>
          <w:szCs w:val="18"/>
          <w:vertAlign w:val="superscript"/>
          <w:lang w:val="en-US"/>
        </w:rPr>
        <w:t>1</w:t>
      </w:r>
    </w:p>
    <w:tbl>
      <w:tblPr>
        <w:tblW w:w="8978" w:type="dxa"/>
        <w:jc w:val="center"/>
        <w:tblLook w:val="04A0" w:firstRow="1" w:lastRow="0" w:firstColumn="1" w:lastColumn="0" w:noHBand="0" w:noVBand="1"/>
      </w:tblPr>
      <w:tblGrid>
        <w:gridCol w:w="6280"/>
        <w:gridCol w:w="2698"/>
      </w:tblGrid>
      <w:tr w:rsidR="008A5057" w:rsidRPr="00BD295E" w14:paraId="52E79B81" w14:textId="77777777" w:rsidTr="00B6068A">
        <w:trPr>
          <w:trHeight w:val="449"/>
          <w:tblHeader/>
          <w:jc w:val="center"/>
        </w:trPr>
        <w:tc>
          <w:tcPr>
            <w:tcW w:w="62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215D0" w14:textId="77777777" w:rsidR="00E638C6" w:rsidRPr="00BD295E" w:rsidRDefault="008A5057" w:rsidP="00B6068A">
            <w:pPr>
              <w:jc w:val="center"/>
              <w:rPr>
                <w:rFonts w:ascii="Arial" w:hAnsi="Arial" w:cs="Arial"/>
                <w:b/>
                <w:bCs/>
                <w:sz w:val="18"/>
                <w:szCs w:val="18"/>
                <w:lang w:val="en-US"/>
              </w:rPr>
            </w:pPr>
            <w:r w:rsidRPr="00BD295E">
              <w:rPr>
                <w:rFonts w:ascii="Arial" w:hAnsi="Arial" w:cs="Arial"/>
                <w:b/>
                <w:bCs/>
                <w:sz w:val="18"/>
                <w:szCs w:val="18"/>
                <w:lang w:val="en-US"/>
              </w:rPr>
              <w:t>Indicators</w:t>
            </w:r>
          </w:p>
        </w:tc>
        <w:tc>
          <w:tcPr>
            <w:tcW w:w="2698" w:type="dxa"/>
            <w:tcBorders>
              <w:top w:val="single" w:sz="4" w:space="0" w:color="auto"/>
              <w:left w:val="nil"/>
              <w:bottom w:val="single" w:sz="4" w:space="0" w:color="auto"/>
              <w:right w:val="single" w:sz="4" w:space="0" w:color="auto"/>
            </w:tcBorders>
            <w:shd w:val="clear" w:color="auto" w:fill="auto"/>
            <w:vAlign w:val="center"/>
            <w:hideMark/>
          </w:tcPr>
          <w:p w14:paraId="420B9F35" w14:textId="77777777" w:rsidR="00E638C6" w:rsidRPr="00BD295E" w:rsidRDefault="00C064D1" w:rsidP="00B6068A">
            <w:pPr>
              <w:jc w:val="center"/>
              <w:rPr>
                <w:rFonts w:ascii="Arial" w:hAnsi="Arial" w:cs="Arial"/>
                <w:b/>
                <w:bCs/>
                <w:sz w:val="18"/>
                <w:szCs w:val="18"/>
                <w:lang w:val="en-US"/>
              </w:rPr>
            </w:pPr>
            <w:r w:rsidRPr="00BD295E">
              <w:rPr>
                <w:rFonts w:ascii="Arial" w:hAnsi="Arial" w:cs="Arial"/>
                <w:b/>
                <w:bCs/>
                <w:sz w:val="18"/>
                <w:szCs w:val="18"/>
                <w:lang w:val="en-US"/>
              </w:rPr>
              <w:t>2018 vs. 2017</w:t>
            </w:r>
            <w:r w:rsidR="008A5057" w:rsidRPr="00BD295E">
              <w:rPr>
                <w:rFonts w:ascii="Arial" w:hAnsi="Arial" w:cs="Arial"/>
                <w:b/>
                <w:bCs/>
                <w:sz w:val="18"/>
                <w:szCs w:val="18"/>
                <w:lang w:val="en-US"/>
              </w:rPr>
              <w:t>,%</w:t>
            </w:r>
          </w:p>
        </w:tc>
      </w:tr>
      <w:tr w:rsidR="002E01BE" w:rsidRPr="00BD295E" w14:paraId="67D9D65D" w14:textId="77777777" w:rsidTr="00B6068A">
        <w:trPr>
          <w:trHeight w:val="255"/>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1A45893E"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Real accrued wages</w:t>
            </w:r>
            <w:r w:rsidRPr="00BD295E">
              <w:rPr>
                <w:rFonts w:ascii="Arial" w:hAnsi="Arial" w:cs="Arial"/>
                <w:sz w:val="18"/>
                <w:szCs w:val="18"/>
                <w:vertAlign w:val="superscript"/>
                <w:lang w:val="en-US"/>
              </w:rPr>
              <w:t>2</w:t>
            </w:r>
          </w:p>
        </w:tc>
        <w:tc>
          <w:tcPr>
            <w:tcW w:w="2698" w:type="dxa"/>
            <w:tcBorders>
              <w:top w:val="nil"/>
              <w:left w:val="nil"/>
              <w:bottom w:val="single" w:sz="4" w:space="0" w:color="auto"/>
              <w:right w:val="single" w:sz="4" w:space="0" w:color="auto"/>
            </w:tcBorders>
            <w:shd w:val="clear" w:color="auto" w:fill="auto"/>
            <w:noWrap/>
            <w:vAlign w:val="bottom"/>
          </w:tcPr>
          <w:p w14:paraId="78AEE025"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106.8%</w:t>
            </w:r>
          </w:p>
        </w:tc>
      </w:tr>
      <w:tr w:rsidR="002E01BE" w:rsidRPr="00BD295E" w14:paraId="58242E20" w14:textId="77777777" w:rsidTr="00B6068A">
        <w:trPr>
          <w:trHeight w:val="255"/>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2B018F6B"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Real disposable cash income</w:t>
            </w:r>
            <w:r w:rsidRPr="00BD295E">
              <w:rPr>
                <w:rFonts w:ascii="Arial" w:hAnsi="Arial" w:cs="Arial"/>
                <w:sz w:val="18"/>
                <w:szCs w:val="18"/>
                <w:vertAlign w:val="superscript"/>
                <w:lang w:val="en-US"/>
              </w:rPr>
              <w:t>2</w:t>
            </w:r>
          </w:p>
        </w:tc>
        <w:tc>
          <w:tcPr>
            <w:tcW w:w="2698" w:type="dxa"/>
            <w:tcBorders>
              <w:top w:val="nil"/>
              <w:left w:val="nil"/>
              <w:bottom w:val="single" w:sz="4" w:space="0" w:color="auto"/>
              <w:right w:val="single" w:sz="4" w:space="0" w:color="auto"/>
            </w:tcBorders>
            <w:shd w:val="clear" w:color="auto" w:fill="auto"/>
            <w:noWrap/>
            <w:vAlign w:val="bottom"/>
          </w:tcPr>
          <w:p w14:paraId="75E7C958"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100.3%</w:t>
            </w:r>
          </w:p>
        </w:tc>
      </w:tr>
      <w:tr w:rsidR="002E01BE" w:rsidRPr="00BD295E" w14:paraId="73F19C4A" w14:textId="77777777" w:rsidTr="00B6068A">
        <w:trPr>
          <w:trHeight w:val="281"/>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7F0A76E2"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Industrial goods producer price index</w:t>
            </w:r>
            <w:r w:rsidRPr="00BD295E">
              <w:rPr>
                <w:rFonts w:ascii="Arial" w:hAnsi="Arial" w:cs="Arial"/>
                <w:sz w:val="18"/>
                <w:szCs w:val="18"/>
                <w:vertAlign w:val="superscript"/>
                <w:lang w:val="en-US"/>
              </w:rPr>
              <w:t>3</w:t>
            </w:r>
          </w:p>
        </w:tc>
        <w:tc>
          <w:tcPr>
            <w:tcW w:w="2698" w:type="dxa"/>
            <w:tcBorders>
              <w:top w:val="nil"/>
              <w:left w:val="nil"/>
              <w:bottom w:val="single" w:sz="4" w:space="0" w:color="auto"/>
              <w:right w:val="single" w:sz="4" w:space="0" w:color="auto"/>
            </w:tcBorders>
            <w:shd w:val="clear" w:color="auto" w:fill="auto"/>
            <w:noWrap/>
            <w:vAlign w:val="bottom"/>
          </w:tcPr>
          <w:p w14:paraId="4F7FC69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111.7%</w:t>
            </w:r>
          </w:p>
        </w:tc>
      </w:tr>
      <w:tr w:rsidR="002E01BE" w:rsidRPr="00BD295E" w14:paraId="79396DAB" w14:textId="77777777" w:rsidTr="00B6068A">
        <w:trPr>
          <w:trHeight w:val="255"/>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1705A724"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Consumer price index</w:t>
            </w:r>
            <w:r w:rsidRPr="00BD295E">
              <w:rPr>
                <w:rFonts w:ascii="Arial" w:hAnsi="Arial" w:cs="Arial"/>
                <w:sz w:val="18"/>
                <w:szCs w:val="18"/>
                <w:vertAlign w:val="superscript"/>
                <w:lang w:val="en-US"/>
              </w:rPr>
              <w:t>3</w:t>
            </w:r>
          </w:p>
        </w:tc>
        <w:tc>
          <w:tcPr>
            <w:tcW w:w="2698" w:type="dxa"/>
            <w:tcBorders>
              <w:top w:val="nil"/>
              <w:left w:val="nil"/>
              <w:bottom w:val="single" w:sz="4" w:space="0" w:color="auto"/>
              <w:right w:val="single" w:sz="4" w:space="0" w:color="auto"/>
            </w:tcBorders>
            <w:shd w:val="clear" w:color="auto" w:fill="auto"/>
            <w:noWrap/>
            <w:vAlign w:val="bottom"/>
          </w:tcPr>
          <w:p w14:paraId="4EE9C50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104.3%</w:t>
            </w:r>
          </w:p>
        </w:tc>
      </w:tr>
      <w:tr w:rsidR="002E01BE" w:rsidRPr="00BD295E" w14:paraId="282ECAE1" w14:textId="77777777" w:rsidTr="00B6068A">
        <w:trPr>
          <w:trHeight w:val="255"/>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2B31332E"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Imports</w:t>
            </w:r>
            <w:r w:rsidRPr="00BD295E">
              <w:rPr>
                <w:rFonts w:ascii="Arial" w:hAnsi="Arial" w:cs="Arial"/>
                <w:b/>
                <w:sz w:val="18"/>
                <w:szCs w:val="18"/>
                <w:vertAlign w:val="superscript"/>
                <w:lang w:val="en-US"/>
              </w:rPr>
              <w:t>4</w:t>
            </w:r>
          </w:p>
        </w:tc>
        <w:tc>
          <w:tcPr>
            <w:tcW w:w="2698" w:type="dxa"/>
            <w:tcBorders>
              <w:top w:val="nil"/>
              <w:left w:val="nil"/>
              <w:bottom w:val="single" w:sz="4" w:space="0" w:color="auto"/>
              <w:right w:val="single" w:sz="4" w:space="0" w:color="auto"/>
            </w:tcBorders>
            <w:shd w:val="clear" w:color="auto" w:fill="auto"/>
            <w:noWrap/>
            <w:vAlign w:val="bottom"/>
          </w:tcPr>
          <w:p w14:paraId="1985418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104.6%</w:t>
            </w:r>
          </w:p>
        </w:tc>
      </w:tr>
      <w:tr w:rsidR="002E01BE" w:rsidRPr="00BD295E" w14:paraId="5F5063E2" w14:textId="77777777" w:rsidTr="00B6068A">
        <w:trPr>
          <w:trHeight w:val="255"/>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2629EB7D"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Exports</w:t>
            </w:r>
            <w:r w:rsidRPr="00BD295E">
              <w:rPr>
                <w:rFonts w:ascii="Arial" w:hAnsi="Arial" w:cs="Arial"/>
                <w:b/>
                <w:sz w:val="18"/>
                <w:szCs w:val="18"/>
                <w:vertAlign w:val="superscript"/>
                <w:lang w:val="en-US"/>
              </w:rPr>
              <w:t>4</w:t>
            </w:r>
          </w:p>
        </w:tc>
        <w:tc>
          <w:tcPr>
            <w:tcW w:w="2698" w:type="dxa"/>
            <w:tcBorders>
              <w:top w:val="nil"/>
              <w:left w:val="nil"/>
              <w:bottom w:val="single" w:sz="4" w:space="0" w:color="auto"/>
              <w:right w:val="single" w:sz="4" w:space="0" w:color="auto"/>
            </w:tcBorders>
            <w:shd w:val="clear" w:color="auto" w:fill="auto"/>
            <w:noWrap/>
            <w:vAlign w:val="bottom"/>
          </w:tcPr>
          <w:p w14:paraId="313BD468"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125.6%</w:t>
            </w:r>
          </w:p>
        </w:tc>
      </w:tr>
      <w:tr w:rsidR="002E01BE" w:rsidRPr="00BD295E" w14:paraId="1886EB21" w14:textId="77777777" w:rsidTr="00B6068A">
        <w:trPr>
          <w:trHeight w:val="255"/>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2A14C798"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Retail turnover</w:t>
            </w:r>
          </w:p>
        </w:tc>
        <w:tc>
          <w:tcPr>
            <w:tcW w:w="2698" w:type="dxa"/>
            <w:tcBorders>
              <w:top w:val="nil"/>
              <w:left w:val="nil"/>
              <w:bottom w:val="single" w:sz="4" w:space="0" w:color="auto"/>
              <w:right w:val="single" w:sz="4" w:space="0" w:color="auto"/>
            </w:tcBorders>
            <w:shd w:val="clear" w:color="auto" w:fill="auto"/>
            <w:noWrap/>
            <w:vAlign w:val="bottom"/>
          </w:tcPr>
          <w:p w14:paraId="7A39DAAC"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102.6%</w:t>
            </w:r>
          </w:p>
        </w:tc>
      </w:tr>
      <w:tr w:rsidR="002E01BE" w:rsidRPr="00BD295E" w14:paraId="03C1B61F" w14:textId="77777777" w:rsidTr="00B6068A">
        <w:trPr>
          <w:trHeight w:val="261"/>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0AF7012C"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Agriculture output</w:t>
            </w:r>
          </w:p>
        </w:tc>
        <w:tc>
          <w:tcPr>
            <w:tcW w:w="2698" w:type="dxa"/>
            <w:tcBorders>
              <w:top w:val="nil"/>
              <w:left w:val="nil"/>
              <w:bottom w:val="single" w:sz="4" w:space="0" w:color="auto"/>
              <w:right w:val="single" w:sz="4" w:space="0" w:color="auto"/>
            </w:tcBorders>
            <w:shd w:val="clear" w:color="auto" w:fill="auto"/>
            <w:noWrap/>
            <w:vAlign w:val="bottom"/>
          </w:tcPr>
          <w:p w14:paraId="40F4A098"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99.4%</w:t>
            </w:r>
          </w:p>
        </w:tc>
      </w:tr>
      <w:tr w:rsidR="002E01BE" w:rsidRPr="00BD295E" w14:paraId="39A0FB4A" w14:textId="77777777" w:rsidTr="00B6068A">
        <w:trPr>
          <w:trHeight w:val="255"/>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39748101"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Investments in fixed capital</w:t>
            </w:r>
            <w:r w:rsidRPr="00BD295E">
              <w:rPr>
                <w:rFonts w:ascii="Arial" w:hAnsi="Arial" w:cs="Arial"/>
                <w:sz w:val="18"/>
                <w:szCs w:val="18"/>
                <w:vertAlign w:val="superscript"/>
                <w:lang w:val="en-US"/>
              </w:rPr>
              <w:t>5</w:t>
            </w:r>
          </w:p>
        </w:tc>
        <w:tc>
          <w:tcPr>
            <w:tcW w:w="2698" w:type="dxa"/>
            <w:tcBorders>
              <w:top w:val="nil"/>
              <w:left w:val="nil"/>
              <w:bottom w:val="single" w:sz="4" w:space="0" w:color="auto"/>
              <w:right w:val="single" w:sz="4" w:space="0" w:color="auto"/>
            </w:tcBorders>
            <w:shd w:val="clear" w:color="auto" w:fill="auto"/>
            <w:noWrap/>
            <w:vAlign w:val="bottom"/>
          </w:tcPr>
          <w:p w14:paraId="4585D09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104.3%</w:t>
            </w:r>
          </w:p>
        </w:tc>
      </w:tr>
      <w:tr w:rsidR="002E01BE" w:rsidRPr="00BD295E" w14:paraId="05907C2A" w14:textId="77777777" w:rsidTr="00B6068A">
        <w:trPr>
          <w:trHeight w:val="255"/>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6FD52111"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Industrial output (index)</w:t>
            </w:r>
          </w:p>
        </w:tc>
        <w:tc>
          <w:tcPr>
            <w:tcW w:w="2698" w:type="dxa"/>
            <w:tcBorders>
              <w:top w:val="nil"/>
              <w:left w:val="nil"/>
              <w:bottom w:val="single" w:sz="4" w:space="0" w:color="auto"/>
              <w:right w:val="single" w:sz="4" w:space="0" w:color="auto"/>
            </w:tcBorders>
            <w:shd w:val="clear" w:color="auto" w:fill="auto"/>
            <w:noWrap/>
            <w:vAlign w:val="bottom"/>
          </w:tcPr>
          <w:p w14:paraId="5E628B8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102.9%</w:t>
            </w:r>
          </w:p>
        </w:tc>
      </w:tr>
      <w:tr w:rsidR="008A5057" w:rsidRPr="00BD295E" w14:paraId="08E4E398" w14:textId="77777777" w:rsidTr="00B6068A">
        <w:trPr>
          <w:trHeight w:val="255"/>
          <w:jc w:val="center"/>
        </w:trPr>
        <w:tc>
          <w:tcPr>
            <w:tcW w:w="6280" w:type="dxa"/>
            <w:tcBorders>
              <w:top w:val="nil"/>
              <w:left w:val="single" w:sz="4" w:space="0" w:color="auto"/>
              <w:bottom w:val="single" w:sz="4" w:space="0" w:color="auto"/>
              <w:right w:val="single" w:sz="4" w:space="0" w:color="auto"/>
            </w:tcBorders>
            <w:shd w:val="clear" w:color="auto" w:fill="auto"/>
            <w:vAlign w:val="center"/>
            <w:hideMark/>
          </w:tcPr>
          <w:p w14:paraId="12F805DE" w14:textId="77777777" w:rsidR="00E638C6" w:rsidRPr="00BD295E" w:rsidRDefault="008A5057" w:rsidP="00B6068A">
            <w:pPr>
              <w:jc w:val="both"/>
              <w:rPr>
                <w:rFonts w:ascii="Arial" w:hAnsi="Arial" w:cs="Arial"/>
                <w:sz w:val="18"/>
                <w:szCs w:val="18"/>
                <w:lang w:val="en-US"/>
              </w:rPr>
            </w:pPr>
            <w:r w:rsidRPr="00BD295E">
              <w:rPr>
                <w:rFonts w:ascii="Arial" w:hAnsi="Arial" w:cs="Arial"/>
                <w:sz w:val="18"/>
                <w:szCs w:val="18"/>
                <w:lang w:val="en-US"/>
              </w:rPr>
              <w:t>GDP</w:t>
            </w:r>
            <w:r w:rsidRPr="00BD295E">
              <w:rPr>
                <w:rFonts w:ascii="Arial" w:hAnsi="Arial" w:cs="Arial"/>
                <w:b/>
                <w:sz w:val="18"/>
                <w:szCs w:val="18"/>
                <w:vertAlign w:val="superscript"/>
                <w:lang w:val="en-US"/>
              </w:rPr>
              <w:t>6</w:t>
            </w:r>
          </w:p>
        </w:tc>
        <w:tc>
          <w:tcPr>
            <w:tcW w:w="2698" w:type="dxa"/>
            <w:tcBorders>
              <w:top w:val="nil"/>
              <w:left w:val="nil"/>
              <w:bottom w:val="single" w:sz="4" w:space="0" w:color="auto"/>
              <w:right w:val="single" w:sz="4" w:space="0" w:color="auto"/>
            </w:tcBorders>
            <w:shd w:val="clear" w:color="auto" w:fill="auto"/>
            <w:noWrap/>
            <w:vAlign w:val="bottom"/>
          </w:tcPr>
          <w:p w14:paraId="5005C86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102.3%</w:t>
            </w:r>
          </w:p>
        </w:tc>
      </w:tr>
    </w:tbl>
    <w:p w14:paraId="4FFBF417" w14:textId="05B34918" w:rsidR="00E638C6" w:rsidRPr="00BD295E" w:rsidRDefault="008A5057" w:rsidP="00E744ED">
      <w:pPr>
        <w:autoSpaceDE w:val="0"/>
        <w:autoSpaceDN w:val="0"/>
        <w:adjustRightInd w:val="0"/>
        <w:jc w:val="both"/>
        <w:rPr>
          <w:rFonts w:ascii="Arial" w:hAnsi="Arial" w:cs="Arial"/>
          <w:sz w:val="12"/>
          <w:szCs w:val="12"/>
          <w:lang w:val="en-US"/>
        </w:rPr>
      </w:pPr>
      <w:r w:rsidRPr="00BD295E">
        <w:rPr>
          <w:rFonts w:ascii="Arial" w:hAnsi="Arial" w:cs="Arial"/>
          <w:sz w:val="12"/>
          <w:szCs w:val="12"/>
          <w:lang w:val="en-US"/>
        </w:rPr>
        <w:t>Notes to the table:</w:t>
      </w:r>
    </w:p>
    <w:p w14:paraId="470AB4B0" w14:textId="77777777" w:rsidR="00080500" w:rsidRPr="00BD295E" w:rsidRDefault="00080500" w:rsidP="00080500">
      <w:pPr>
        <w:pStyle w:val="1ff8"/>
        <w:spacing w:before="0"/>
        <w:jc w:val="both"/>
        <w:rPr>
          <w:b w:val="0"/>
          <w:bCs w:val="0"/>
          <w:iCs w:val="0"/>
          <w:sz w:val="12"/>
          <w:szCs w:val="12"/>
        </w:rPr>
      </w:pPr>
      <w:r w:rsidRPr="00BD295E">
        <w:rPr>
          <w:b w:val="0"/>
          <w:bCs w:val="0"/>
          <w:iCs w:val="0"/>
          <w:sz w:val="12"/>
          <w:szCs w:val="12"/>
        </w:rPr>
        <w:t>1) The key economic and social welfare metrics for Russia are as reported at the website of the Russian Federal Statistics Service (Rosstat) at http://www.gks.ru, including in the Social Welfare and Economic Conditions in Russia report posted at the website.</w:t>
      </w:r>
    </w:p>
    <w:p w14:paraId="00C29B02" w14:textId="77777777" w:rsidR="00080500" w:rsidRPr="00BD295E" w:rsidRDefault="00080500" w:rsidP="00080500">
      <w:pPr>
        <w:pStyle w:val="1ff8"/>
        <w:spacing w:before="0"/>
        <w:jc w:val="both"/>
        <w:rPr>
          <w:b w:val="0"/>
          <w:bCs w:val="0"/>
          <w:iCs w:val="0"/>
          <w:sz w:val="12"/>
          <w:szCs w:val="12"/>
        </w:rPr>
      </w:pPr>
      <w:r w:rsidRPr="00BD295E">
        <w:rPr>
          <w:b w:val="0"/>
          <w:bCs w:val="0"/>
          <w:iCs w:val="0"/>
          <w:sz w:val="12"/>
          <w:szCs w:val="12"/>
        </w:rPr>
        <w:t>2) The Real Wages (actual average monthly payroll) and Real Expendable Income figures for 2018 are as monitored by the Russian Federal Statistics Service (reported in the Social Welfare and Economic Conditions in Russia report).</w:t>
      </w:r>
    </w:p>
    <w:p w14:paraId="44C151C0" w14:textId="77777777" w:rsidR="00080500" w:rsidRPr="00BD295E" w:rsidRDefault="00080500" w:rsidP="00080500">
      <w:pPr>
        <w:pStyle w:val="1ff8"/>
        <w:spacing w:before="0"/>
        <w:jc w:val="both"/>
        <w:rPr>
          <w:b w:val="0"/>
          <w:bCs w:val="0"/>
          <w:iCs w:val="0"/>
          <w:sz w:val="12"/>
          <w:szCs w:val="12"/>
        </w:rPr>
      </w:pPr>
      <w:r w:rsidRPr="00BD295E">
        <w:rPr>
          <w:b w:val="0"/>
          <w:bCs w:val="0"/>
          <w:iCs w:val="0"/>
          <w:sz w:val="12"/>
          <w:szCs w:val="12"/>
        </w:rPr>
        <w:t>3) The Industrial Producer Price Index and Consumer Price Index figures are stated as y-o-y percentage (%) as of December 2018. The Industrial Producer Price Index figure stated covers the following sectors: Mineral Extraction; Manufacturing; Power, Gas and Steam Supply and Air Conditioning; Water Supply, Drainage, Waste Management and Disposal, and Pollution Response.</w:t>
      </w:r>
    </w:p>
    <w:p w14:paraId="476A0B2B" w14:textId="77777777" w:rsidR="00080500" w:rsidRPr="00BD295E" w:rsidRDefault="00080500" w:rsidP="00080500">
      <w:pPr>
        <w:pStyle w:val="1ff8"/>
        <w:spacing w:before="0"/>
        <w:jc w:val="both"/>
        <w:rPr>
          <w:b w:val="0"/>
          <w:bCs w:val="0"/>
          <w:iCs w:val="0"/>
          <w:sz w:val="12"/>
          <w:szCs w:val="12"/>
        </w:rPr>
      </w:pPr>
      <w:r w:rsidRPr="00BD295E">
        <w:rPr>
          <w:b w:val="0"/>
          <w:bCs w:val="0"/>
          <w:iCs w:val="0"/>
          <w:sz w:val="12"/>
          <w:szCs w:val="12"/>
        </w:rPr>
        <w:t>In annualized terms, the y-o-y figures as of January-December 2018 were:</w:t>
      </w:r>
    </w:p>
    <w:p w14:paraId="4A3B3C73" w14:textId="77777777" w:rsidR="00080500" w:rsidRPr="00BD295E" w:rsidRDefault="00080500" w:rsidP="00080500">
      <w:pPr>
        <w:pStyle w:val="1ff8"/>
        <w:spacing w:before="0"/>
        <w:jc w:val="both"/>
        <w:rPr>
          <w:b w:val="0"/>
          <w:bCs w:val="0"/>
          <w:iCs w:val="0"/>
          <w:sz w:val="12"/>
          <w:szCs w:val="12"/>
        </w:rPr>
      </w:pPr>
      <w:r w:rsidRPr="00BD295E">
        <w:rPr>
          <w:b w:val="0"/>
          <w:bCs w:val="0"/>
          <w:iCs w:val="0"/>
          <w:sz w:val="12"/>
          <w:szCs w:val="12"/>
        </w:rPr>
        <w:t>- 111.9% (Industrial Producer Price Index);</w:t>
      </w:r>
    </w:p>
    <w:p w14:paraId="5D8ADAB9" w14:textId="77777777" w:rsidR="00080500" w:rsidRPr="00BD295E" w:rsidRDefault="00080500" w:rsidP="00080500">
      <w:pPr>
        <w:pStyle w:val="1ff8"/>
        <w:spacing w:before="0"/>
        <w:jc w:val="both"/>
        <w:rPr>
          <w:b w:val="0"/>
          <w:bCs w:val="0"/>
          <w:iCs w:val="0"/>
          <w:sz w:val="12"/>
          <w:szCs w:val="12"/>
        </w:rPr>
      </w:pPr>
      <w:r w:rsidRPr="00BD295E">
        <w:rPr>
          <w:b w:val="0"/>
          <w:bCs w:val="0"/>
          <w:iCs w:val="0"/>
          <w:sz w:val="12"/>
          <w:szCs w:val="12"/>
        </w:rPr>
        <w:t>- 102.9% (Consumer Price Index (CPI)). For information: the CPI y-o-y figure for 2017 was 103,7%.</w:t>
      </w:r>
    </w:p>
    <w:p w14:paraId="32F5C7F8" w14:textId="77777777" w:rsidR="00080500" w:rsidRPr="00BD295E" w:rsidRDefault="00080500" w:rsidP="00080500">
      <w:pPr>
        <w:pStyle w:val="1ff8"/>
        <w:spacing w:before="0"/>
        <w:jc w:val="both"/>
        <w:rPr>
          <w:b w:val="0"/>
          <w:bCs w:val="0"/>
          <w:iCs w:val="0"/>
          <w:sz w:val="12"/>
          <w:szCs w:val="12"/>
        </w:rPr>
      </w:pPr>
      <w:r w:rsidRPr="00BD295E">
        <w:rPr>
          <w:b w:val="0"/>
          <w:bCs w:val="0"/>
          <w:iCs w:val="0"/>
          <w:sz w:val="12"/>
          <w:szCs w:val="12"/>
        </w:rPr>
        <w:t>4) The Imports and Exports lines show the y-o-y percentages for January-December 2018 calculated based on actual prices as reported by the Bank of Russia based on the balance of payments as of February 11, 2019.</w:t>
      </w:r>
    </w:p>
    <w:p w14:paraId="1A0549FD" w14:textId="77777777" w:rsidR="00080500" w:rsidRPr="00BD295E" w:rsidRDefault="00080500" w:rsidP="00080500">
      <w:pPr>
        <w:pStyle w:val="1ff8"/>
        <w:spacing w:before="0"/>
        <w:jc w:val="both"/>
        <w:rPr>
          <w:b w:val="0"/>
          <w:bCs w:val="0"/>
          <w:iCs w:val="0"/>
          <w:sz w:val="12"/>
          <w:szCs w:val="12"/>
        </w:rPr>
      </w:pPr>
      <w:r w:rsidRPr="00BD295E">
        <w:rPr>
          <w:b w:val="0"/>
          <w:bCs w:val="0"/>
          <w:iCs w:val="0"/>
          <w:sz w:val="12"/>
          <w:szCs w:val="12"/>
        </w:rPr>
        <w:t>5) The Capital Investments line shows the y-o-y percentage for January-December 2018 based on the Rosstat’s current data. The data for 2017 were updated based on annual reports and final investment volumes calculations that are not directly observable pursuant to the Guidelines for Assessing, Updating and Publishing the Statistical Data for Construction and Capital Investments approved by Rosstat’s Order No. 544 of September 26, 2016);</w:t>
      </w:r>
    </w:p>
    <w:p w14:paraId="4A07DC95" w14:textId="3DD4396A" w:rsidR="00080500" w:rsidRPr="00BD295E" w:rsidRDefault="00080500" w:rsidP="00080500">
      <w:pPr>
        <w:autoSpaceDE w:val="0"/>
        <w:autoSpaceDN w:val="0"/>
        <w:adjustRightInd w:val="0"/>
        <w:jc w:val="both"/>
        <w:rPr>
          <w:rFonts w:ascii="Arial" w:hAnsi="Arial" w:cs="Arial"/>
          <w:sz w:val="12"/>
          <w:szCs w:val="12"/>
          <w:lang w:val="en-US"/>
        </w:rPr>
      </w:pPr>
      <w:r w:rsidRPr="00BD295E">
        <w:rPr>
          <w:rFonts w:ascii="Arial" w:hAnsi="Arial" w:cs="Arial"/>
          <w:sz w:val="12"/>
          <w:szCs w:val="12"/>
          <w:lang w:val="en-US"/>
        </w:rPr>
        <w:t>6) The GDP volume is shown as a y-o-y percentage based on the second calculation of the GDP as reported by the Russian Federal Statistics Service (The GDP price deflator for 2018 versus 2017 was 110.3%).</w:t>
      </w:r>
    </w:p>
    <w:p w14:paraId="396182B5" w14:textId="492A38E4" w:rsidR="00080500" w:rsidRPr="00BD295E" w:rsidRDefault="00080500">
      <w:pPr>
        <w:rPr>
          <w:rFonts w:ascii="Arial" w:hAnsi="Arial" w:cs="Arial"/>
          <w:sz w:val="12"/>
          <w:szCs w:val="12"/>
          <w:lang w:val="en-US"/>
        </w:rPr>
      </w:pPr>
      <w:r w:rsidRPr="00BD295E">
        <w:rPr>
          <w:rFonts w:ascii="Arial" w:hAnsi="Arial" w:cs="Arial"/>
          <w:sz w:val="12"/>
          <w:szCs w:val="12"/>
          <w:lang w:val="en-US"/>
        </w:rPr>
        <w:br w:type="page"/>
      </w:r>
    </w:p>
    <w:p w14:paraId="5AD41821" w14:textId="4ACD566C" w:rsidR="00E11796" w:rsidRPr="00BD295E" w:rsidRDefault="00E11796" w:rsidP="00E744ED">
      <w:pPr>
        <w:pStyle w:val="1ff8"/>
        <w:spacing w:before="0"/>
      </w:pPr>
      <w:r w:rsidRPr="00BD295E">
        <w:t>Changes in GDP, RUB billion</w:t>
      </w:r>
    </w:p>
    <w:p w14:paraId="3AB0F822" w14:textId="340D8442" w:rsidR="00E638C6" w:rsidRPr="00BD295E" w:rsidRDefault="00997D07" w:rsidP="00E638C6">
      <w:pPr>
        <w:autoSpaceDE w:val="0"/>
        <w:autoSpaceDN w:val="0"/>
        <w:adjustRightInd w:val="0"/>
        <w:rPr>
          <w:rFonts w:ascii="Arial" w:hAnsi="Arial" w:cs="Arial"/>
          <w:sz w:val="18"/>
          <w:szCs w:val="18"/>
          <w:lang w:val="en-US"/>
        </w:rPr>
      </w:pPr>
      <w:r w:rsidRPr="00BD295E">
        <w:rPr>
          <w:rFonts w:ascii="Arial" w:hAnsi="Arial" w:cs="Arial"/>
          <w:sz w:val="18"/>
          <w:szCs w:val="18"/>
          <w:lang w:val="en-US" w:eastAsia="en-US"/>
        </w:rPr>
        <w:drawing>
          <wp:inline distT="0" distB="0" distL="0" distR="0" wp14:anchorId="15000F10" wp14:editId="0A9C9505">
            <wp:extent cx="5810250" cy="1628775"/>
            <wp:effectExtent l="0" t="0" r="0" b="0"/>
            <wp:docPr id="170" name="Диаграмма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12"/>
                    <pic:cNvPicPr>
                      <a:picLocks noChangeArrowheads="1"/>
                    </pic:cNvPicPr>
                  </pic:nvPicPr>
                  <pic:blipFill>
                    <a:blip r:embed="rId15">
                      <a:extLst>
                        <a:ext uri="{28A0092B-C50C-407E-A947-70E740481C1C}">
                          <a14:useLocalDpi xmlns:a14="http://schemas.microsoft.com/office/drawing/2010/main" val="0"/>
                        </a:ext>
                      </a:extLst>
                    </a:blip>
                    <a:srcRect l="-2188" t="9576" r="-2097" b="8389"/>
                    <a:stretch>
                      <a:fillRect/>
                    </a:stretch>
                  </pic:blipFill>
                  <pic:spPr bwMode="auto">
                    <a:xfrm>
                      <a:off x="0" y="0"/>
                      <a:ext cx="5810250" cy="1628775"/>
                    </a:xfrm>
                    <a:prstGeom prst="rect">
                      <a:avLst/>
                    </a:prstGeom>
                    <a:noFill/>
                    <a:ln>
                      <a:noFill/>
                    </a:ln>
                  </pic:spPr>
                </pic:pic>
              </a:graphicData>
            </a:graphic>
          </wp:inline>
        </w:drawing>
      </w:r>
    </w:p>
    <w:p w14:paraId="23AD823E" w14:textId="3943637C" w:rsidR="00E11796" w:rsidRPr="00BD295E" w:rsidRDefault="00E11796" w:rsidP="00E11796">
      <w:pPr>
        <w:autoSpaceDE w:val="0"/>
        <w:autoSpaceDN w:val="0"/>
        <w:adjustRightInd w:val="0"/>
        <w:jc w:val="center"/>
        <w:rPr>
          <w:rFonts w:ascii="Arial" w:hAnsi="Arial" w:cs="Arial"/>
          <w:sz w:val="18"/>
          <w:szCs w:val="18"/>
          <w:lang w:val="en-US"/>
        </w:rPr>
      </w:pPr>
      <w:r w:rsidRPr="00BD295E">
        <w:rPr>
          <w:rFonts w:ascii="Arial" w:hAnsi="Arial" w:cs="Arial"/>
          <w:color w:val="5B9BD5"/>
          <w:sz w:val="18"/>
          <w:szCs w:val="18"/>
          <w:lang w:val="en-US"/>
        </w:rPr>
        <w:sym w:font="Wingdings 2" w:char="F0A2"/>
      </w:r>
      <w:r w:rsidRPr="00BD295E">
        <w:rPr>
          <w:rFonts w:ascii="Arial" w:hAnsi="Arial" w:cs="Arial"/>
          <w:sz w:val="18"/>
          <w:szCs w:val="18"/>
          <w:lang w:val="en-US"/>
        </w:rPr>
        <w:t xml:space="preserve"> GDP,* RUB billion</w:t>
      </w:r>
    </w:p>
    <w:p w14:paraId="694C4F1B" w14:textId="2F83AE74" w:rsidR="00E11796" w:rsidRPr="00BD295E" w:rsidRDefault="00E11796" w:rsidP="00E11796">
      <w:pPr>
        <w:pStyle w:val="1ff8"/>
      </w:pPr>
      <w:r w:rsidRPr="00BD295E">
        <w:t>Changes in CPI</w:t>
      </w:r>
    </w:p>
    <w:p w14:paraId="322C0A91" w14:textId="5EB24B7B" w:rsidR="00E638C6" w:rsidRPr="00BD295E" w:rsidRDefault="00997D07" w:rsidP="00E638C6">
      <w:pPr>
        <w:autoSpaceDE w:val="0"/>
        <w:autoSpaceDN w:val="0"/>
        <w:adjustRightInd w:val="0"/>
        <w:jc w:val="center"/>
        <w:rPr>
          <w:rFonts w:ascii="Arial" w:hAnsi="Arial" w:cs="Arial"/>
          <w:sz w:val="18"/>
          <w:szCs w:val="18"/>
          <w:lang w:val="en-US"/>
        </w:rPr>
      </w:pPr>
      <w:r w:rsidRPr="00BD295E">
        <w:rPr>
          <w:rFonts w:ascii="Arial" w:hAnsi="Arial" w:cs="Arial"/>
          <w:sz w:val="18"/>
          <w:szCs w:val="18"/>
          <w:lang w:val="en-US" w:eastAsia="en-US"/>
        </w:rPr>
        <w:drawing>
          <wp:inline distT="0" distB="0" distL="0" distR="0" wp14:anchorId="3E4E97E7" wp14:editId="55B6BE60">
            <wp:extent cx="5248275" cy="2005330"/>
            <wp:effectExtent l="0" t="0" r="0" b="0"/>
            <wp:docPr id="174" name="Диаграмма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6"/>
                    <pic:cNvPicPr>
                      <a:picLocks noChangeArrowheads="1"/>
                    </pic:cNvPicPr>
                  </pic:nvPicPr>
                  <pic:blipFill>
                    <a:blip r:embed="rId16">
                      <a:extLst>
                        <a:ext uri="{28A0092B-C50C-407E-A947-70E740481C1C}">
                          <a14:useLocalDpi xmlns:a14="http://schemas.microsoft.com/office/drawing/2010/main" val="0"/>
                        </a:ext>
                      </a:extLst>
                    </a:blip>
                    <a:srcRect t="6664" b="7906"/>
                    <a:stretch>
                      <a:fillRect/>
                    </a:stretch>
                  </pic:blipFill>
                  <pic:spPr bwMode="auto">
                    <a:xfrm>
                      <a:off x="0" y="0"/>
                      <a:ext cx="5248275" cy="2005330"/>
                    </a:xfrm>
                    <a:prstGeom prst="rect">
                      <a:avLst/>
                    </a:prstGeom>
                    <a:noFill/>
                    <a:ln>
                      <a:noFill/>
                    </a:ln>
                  </pic:spPr>
                </pic:pic>
              </a:graphicData>
            </a:graphic>
          </wp:inline>
        </w:drawing>
      </w:r>
    </w:p>
    <w:p w14:paraId="2054D053" w14:textId="3213E8A9" w:rsidR="00E11796" w:rsidRPr="00BD295E" w:rsidRDefault="00E11796" w:rsidP="00E11796">
      <w:pPr>
        <w:autoSpaceDE w:val="0"/>
        <w:autoSpaceDN w:val="0"/>
        <w:adjustRightInd w:val="0"/>
        <w:jc w:val="center"/>
        <w:rPr>
          <w:rFonts w:ascii="Arial" w:hAnsi="Arial" w:cs="Arial"/>
          <w:sz w:val="18"/>
          <w:szCs w:val="18"/>
          <w:lang w:val="en-US"/>
        </w:rPr>
      </w:pPr>
      <w:r w:rsidRPr="00BD295E">
        <w:rPr>
          <w:rFonts w:ascii="Arial" w:hAnsi="Arial" w:cs="Arial"/>
          <w:color w:val="5B9BD5"/>
          <w:sz w:val="18"/>
          <w:szCs w:val="18"/>
          <w:lang w:val="en-US"/>
        </w:rPr>
        <w:sym w:font="Wingdings 2" w:char="F0A2"/>
      </w:r>
      <w:r w:rsidRPr="00BD295E">
        <w:rPr>
          <w:rFonts w:ascii="Arial" w:hAnsi="Arial" w:cs="Arial"/>
          <w:sz w:val="18"/>
          <w:szCs w:val="18"/>
          <w:lang w:val="en-US"/>
        </w:rPr>
        <w:t xml:space="preserve"> Consumer price index, %**</w:t>
      </w:r>
    </w:p>
    <w:p w14:paraId="10F6D2AC" w14:textId="77777777" w:rsidR="00E11796" w:rsidRPr="00BD295E" w:rsidRDefault="00E11796" w:rsidP="00E638C6">
      <w:pPr>
        <w:autoSpaceDE w:val="0"/>
        <w:autoSpaceDN w:val="0"/>
        <w:adjustRightInd w:val="0"/>
        <w:jc w:val="center"/>
        <w:rPr>
          <w:rFonts w:ascii="Arial" w:hAnsi="Arial" w:cs="Arial"/>
          <w:sz w:val="18"/>
          <w:szCs w:val="18"/>
          <w:lang w:val="en-US"/>
        </w:rPr>
      </w:pPr>
    </w:p>
    <w:p w14:paraId="1CB51337" w14:textId="77777777" w:rsidR="001C6A92" w:rsidRPr="00BD295E" w:rsidRDefault="001C6A92" w:rsidP="00E638C6">
      <w:pPr>
        <w:tabs>
          <w:tab w:val="left" w:pos="1134"/>
        </w:tabs>
        <w:jc w:val="both"/>
        <w:rPr>
          <w:rFonts w:ascii="Arial" w:hAnsi="Arial" w:cs="Arial"/>
          <w:sz w:val="18"/>
          <w:szCs w:val="18"/>
          <w:lang w:val="en-US"/>
        </w:rPr>
      </w:pPr>
    </w:p>
    <w:p w14:paraId="69AEE138" w14:textId="62E53CDF" w:rsidR="001C6A92" w:rsidRPr="00BD295E" w:rsidRDefault="00E11796" w:rsidP="00E11796">
      <w:pPr>
        <w:pStyle w:val="1ff8"/>
        <w:ind w:right="991"/>
      </w:pPr>
      <w:r w:rsidRPr="00BD295E">
        <w:t>Investments in fixed assets, RUB billion</w:t>
      </w:r>
    </w:p>
    <w:p w14:paraId="7503230B" w14:textId="58CD1200" w:rsidR="001C6A92" w:rsidRPr="00BD295E" w:rsidRDefault="00997D07" w:rsidP="00E638C6">
      <w:pPr>
        <w:tabs>
          <w:tab w:val="left" w:pos="1134"/>
        </w:tabs>
        <w:jc w:val="both"/>
        <w:rPr>
          <w:rFonts w:ascii="Arial" w:hAnsi="Arial" w:cs="Arial"/>
          <w:sz w:val="18"/>
          <w:szCs w:val="18"/>
          <w:lang w:val="en-US"/>
        </w:rPr>
      </w:pPr>
      <w:r w:rsidRPr="00BD295E">
        <w:rPr>
          <w:rFonts w:ascii="Arial" w:hAnsi="Arial" w:cs="Arial"/>
          <w:sz w:val="18"/>
          <w:szCs w:val="18"/>
          <w:lang w:val="en-US" w:eastAsia="en-US"/>
        </w:rPr>
        <w:drawing>
          <wp:inline distT="0" distB="0" distL="0" distR="0" wp14:anchorId="68265082" wp14:editId="262AF386">
            <wp:extent cx="5476875" cy="1881505"/>
            <wp:effectExtent l="0" t="0" r="0" b="0"/>
            <wp:docPr id="10" name="Диаграмма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3"/>
                    <pic:cNvPicPr>
                      <a:picLocks noChangeArrowheads="1"/>
                    </pic:cNvPicPr>
                  </pic:nvPicPr>
                  <pic:blipFill>
                    <a:blip r:embed="rId17">
                      <a:extLst>
                        <a:ext uri="{28A0092B-C50C-407E-A947-70E740481C1C}">
                          <a14:useLocalDpi xmlns:a14="http://schemas.microsoft.com/office/drawing/2010/main" val="0"/>
                        </a:ext>
                      </a:extLst>
                    </a:blip>
                    <a:srcRect l="-2679" t="9087" r="-1917" b="9032"/>
                    <a:stretch>
                      <a:fillRect/>
                    </a:stretch>
                  </pic:blipFill>
                  <pic:spPr bwMode="auto">
                    <a:xfrm>
                      <a:off x="0" y="0"/>
                      <a:ext cx="5476875" cy="1881505"/>
                    </a:xfrm>
                    <a:prstGeom prst="rect">
                      <a:avLst/>
                    </a:prstGeom>
                    <a:noFill/>
                    <a:ln>
                      <a:noFill/>
                    </a:ln>
                  </pic:spPr>
                </pic:pic>
              </a:graphicData>
            </a:graphic>
          </wp:inline>
        </w:drawing>
      </w:r>
    </w:p>
    <w:p w14:paraId="47ECBAAC" w14:textId="0043CAFF" w:rsidR="00E11796" w:rsidRPr="00BD295E" w:rsidRDefault="00E11796" w:rsidP="00E11796">
      <w:pPr>
        <w:autoSpaceDE w:val="0"/>
        <w:autoSpaceDN w:val="0"/>
        <w:adjustRightInd w:val="0"/>
        <w:ind w:right="991"/>
        <w:jc w:val="center"/>
        <w:rPr>
          <w:rFonts w:ascii="Arial" w:hAnsi="Arial" w:cs="Arial"/>
          <w:sz w:val="18"/>
          <w:szCs w:val="18"/>
          <w:lang w:val="en-US"/>
        </w:rPr>
      </w:pPr>
      <w:r w:rsidRPr="00BD295E">
        <w:rPr>
          <w:rFonts w:ascii="Arial" w:hAnsi="Arial" w:cs="Arial"/>
          <w:color w:val="5B9BD5"/>
          <w:sz w:val="18"/>
          <w:szCs w:val="18"/>
          <w:lang w:val="en-US"/>
        </w:rPr>
        <w:sym w:font="Wingdings 2" w:char="F0A2"/>
      </w:r>
      <w:r w:rsidRPr="00BD295E">
        <w:rPr>
          <w:rFonts w:ascii="Arial" w:hAnsi="Arial" w:cs="Arial"/>
          <w:sz w:val="18"/>
          <w:szCs w:val="18"/>
          <w:lang w:val="en-US"/>
        </w:rPr>
        <w:t xml:space="preserve"> Investments in fixed assets***</w:t>
      </w:r>
    </w:p>
    <w:p w14:paraId="4F48FF9F" w14:textId="77777777" w:rsidR="001C6A92" w:rsidRPr="00BD295E" w:rsidRDefault="001C6A92" w:rsidP="00E638C6">
      <w:pPr>
        <w:tabs>
          <w:tab w:val="left" w:pos="1134"/>
        </w:tabs>
        <w:jc w:val="both"/>
        <w:rPr>
          <w:rFonts w:ascii="Arial" w:hAnsi="Arial" w:cs="Arial"/>
          <w:sz w:val="18"/>
          <w:szCs w:val="18"/>
          <w:lang w:val="en-US"/>
        </w:rPr>
      </w:pPr>
    </w:p>
    <w:p w14:paraId="3E83448A" w14:textId="77777777" w:rsidR="00856950" w:rsidRPr="00BD295E" w:rsidRDefault="008A5057" w:rsidP="00F74594">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 GDP is shown in </w:t>
      </w:r>
      <w:r w:rsidR="00F74594" w:rsidRPr="00BD295E">
        <w:rPr>
          <w:rFonts w:ascii="Arial" w:hAnsi="Arial" w:cs="Arial"/>
          <w:sz w:val="18"/>
          <w:szCs w:val="18"/>
          <w:lang w:val="en-US"/>
        </w:rPr>
        <w:t>the current</w:t>
      </w:r>
      <w:r w:rsidRPr="00BD295E">
        <w:rPr>
          <w:rFonts w:ascii="Arial" w:hAnsi="Arial" w:cs="Arial"/>
          <w:sz w:val="18"/>
          <w:szCs w:val="18"/>
          <w:lang w:val="en-US"/>
        </w:rPr>
        <w:t xml:space="preserve"> (market) prices, RUB billion, for 2018 – in line with the second estimate of GDP based on the data from the Federal State Statistics Service. GDP data starting from 2014 were revised in March 2019, are not comparable with the 2011–2014 data published earlier, and are shown in line with the data from the National Accounts section of the official website of the Federal State Statistics Service.</w:t>
      </w:r>
    </w:p>
    <w:p w14:paraId="4CE92A70" w14:textId="77777777" w:rsidR="00E638C6" w:rsidRPr="00BD295E" w:rsidRDefault="008A5057" w:rsidP="00F74594">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 CPI in the chart is shown in line with data from the analytical tables published on the official website of the Federal State Statistics Service at </w:t>
      </w:r>
      <w:hyperlink r:id="rId18" w:history="1">
        <w:r w:rsidRPr="00BD295E">
          <w:rPr>
            <w:rFonts w:ascii="Arial" w:hAnsi="Arial" w:cs="Arial"/>
            <w:sz w:val="18"/>
            <w:szCs w:val="18"/>
            <w:lang w:val="en-US"/>
          </w:rPr>
          <w:t>http://www.gks.ru/</w:t>
        </w:r>
      </w:hyperlink>
      <w:r w:rsidRPr="00BD295E">
        <w:rPr>
          <w:rFonts w:ascii="Arial" w:hAnsi="Arial" w:cs="Arial"/>
          <w:sz w:val="18"/>
          <w:szCs w:val="18"/>
          <w:lang w:val="en-US"/>
        </w:rPr>
        <w:t>, as at December year-on-year (in %).</w:t>
      </w:r>
    </w:p>
    <w:p w14:paraId="280DEF65" w14:textId="77777777" w:rsidR="00E638C6" w:rsidRPr="00BD295E" w:rsidRDefault="008A5057" w:rsidP="00F74594">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Information on investments in fixed capital is shown in line with the data of the Federal State Statistics Service; and for 2018, in line with the real-time data for 12M 2018. Data for 2017 are adjusted based on annual reports and final assessments of investments not captured by direct statistical methods.</w:t>
      </w:r>
    </w:p>
    <w:p w14:paraId="39A5ADF7" w14:textId="55D136DE" w:rsidR="00807967" w:rsidRPr="00BD295E" w:rsidRDefault="00807967">
      <w:pPr>
        <w:rPr>
          <w:rFonts w:ascii="Arial" w:hAnsi="Arial" w:cs="Arial"/>
          <w:b/>
          <w:sz w:val="18"/>
          <w:szCs w:val="18"/>
          <w:lang w:val="en-US"/>
        </w:rPr>
      </w:pPr>
      <w:r w:rsidRPr="00BD295E">
        <w:rPr>
          <w:rFonts w:ascii="Arial" w:hAnsi="Arial" w:cs="Arial"/>
          <w:b/>
          <w:sz w:val="18"/>
          <w:szCs w:val="18"/>
          <w:lang w:val="en-US"/>
        </w:rPr>
        <w:br w:type="page"/>
      </w:r>
    </w:p>
    <w:p w14:paraId="240FA005" w14:textId="66215D8E" w:rsidR="003F6DA4" w:rsidRPr="00BD295E" w:rsidRDefault="008A5057" w:rsidP="00F74594">
      <w:pPr>
        <w:tabs>
          <w:tab w:val="left" w:pos="1134"/>
        </w:tabs>
        <w:spacing w:after="120"/>
        <w:jc w:val="both"/>
        <w:rPr>
          <w:rFonts w:ascii="Arial" w:hAnsi="Arial" w:cs="Arial"/>
          <w:b/>
          <w:sz w:val="18"/>
          <w:szCs w:val="18"/>
          <w:lang w:val="en-US"/>
        </w:rPr>
      </w:pPr>
      <w:r w:rsidRPr="00BD295E">
        <w:rPr>
          <w:rFonts w:ascii="Arial" w:hAnsi="Arial" w:cs="Arial"/>
          <w:b/>
          <w:sz w:val="18"/>
          <w:szCs w:val="18"/>
          <w:lang w:val="en-US"/>
        </w:rPr>
        <w:t>Electricity Market</w:t>
      </w:r>
    </w:p>
    <w:p w14:paraId="067A97A4" w14:textId="77777777" w:rsidR="003F6DA4" w:rsidRPr="00BD295E" w:rsidRDefault="003F6DA4" w:rsidP="00F74594">
      <w:pPr>
        <w:tabs>
          <w:tab w:val="left" w:pos="1134"/>
        </w:tabs>
        <w:spacing w:after="120"/>
        <w:jc w:val="both"/>
        <w:rPr>
          <w:rFonts w:ascii="Arial" w:hAnsi="Arial" w:cs="Arial"/>
          <w:b/>
          <w:sz w:val="18"/>
          <w:szCs w:val="18"/>
          <w:lang w:val="en-US"/>
        </w:rPr>
      </w:pPr>
    </w:p>
    <w:p w14:paraId="28182E6B" w14:textId="77777777" w:rsidR="003F6DA4" w:rsidRPr="00BD295E" w:rsidRDefault="008A5057" w:rsidP="00F74594">
      <w:pPr>
        <w:tabs>
          <w:tab w:val="left" w:pos="1134"/>
        </w:tabs>
        <w:spacing w:after="120"/>
        <w:jc w:val="both"/>
        <w:rPr>
          <w:rFonts w:ascii="Arial" w:hAnsi="Arial" w:cs="Arial"/>
          <w:b/>
          <w:sz w:val="18"/>
          <w:szCs w:val="18"/>
          <w:lang w:val="en-US"/>
        </w:rPr>
      </w:pPr>
      <w:r w:rsidRPr="00BD295E">
        <w:rPr>
          <w:rFonts w:ascii="Arial" w:hAnsi="Arial" w:cs="Arial"/>
          <w:b/>
          <w:sz w:val="18"/>
          <w:szCs w:val="18"/>
          <w:lang w:val="en-US"/>
        </w:rPr>
        <w:t>Structure of the Russian electricity industry</w:t>
      </w:r>
    </w:p>
    <w:p w14:paraId="42B98F6B" w14:textId="77777777" w:rsidR="003F6DA4" w:rsidRPr="00BD295E" w:rsidRDefault="008A5057" w:rsidP="00F74594">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The electricity industry is a backbone industry of the Russian economy, which accounts for a significant share of GDP. Changes in electricity demand directly depend on Russia’s economic growth rate and heavily correlate with GDP. </w:t>
      </w:r>
    </w:p>
    <w:p w14:paraId="63BFDFD3" w14:textId="77777777" w:rsidR="003F6DA4" w:rsidRPr="00BD295E" w:rsidRDefault="003F6DA4" w:rsidP="00F74594">
      <w:pPr>
        <w:pStyle w:val="bodytext"/>
        <w:shd w:val="clear" w:color="auto" w:fill="FFFFFF"/>
        <w:spacing w:before="0" w:beforeAutospacing="0" w:after="120" w:afterAutospacing="0"/>
        <w:contextualSpacing/>
        <w:jc w:val="both"/>
        <w:rPr>
          <w:rFonts w:ascii="Arial" w:eastAsia="Calibri" w:hAnsi="Arial" w:cs="Arial"/>
          <w:sz w:val="18"/>
          <w:szCs w:val="18"/>
          <w:lang w:val="en-US" w:eastAsia="en-US"/>
        </w:rPr>
      </w:pPr>
    </w:p>
    <w:p w14:paraId="52FA8754" w14:textId="77777777" w:rsidR="00850333" w:rsidRPr="00BD295E" w:rsidRDefault="008A5057" w:rsidP="00F74594">
      <w:pPr>
        <w:pStyle w:val="bodytext"/>
        <w:shd w:val="clear" w:color="auto" w:fill="FFFFFF"/>
        <w:spacing w:before="0" w:beforeAutospacing="0" w:after="120" w:afterAutospacing="0"/>
        <w:contextualSpacing/>
        <w:jc w:val="both"/>
        <w:rPr>
          <w:rFonts w:ascii="Arial" w:hAnsi="Arial" w:cs="Arial"/>
          <w:sz w:val="18"/>
          <w:szCs w:val="18"/>
          <w:lang w:val="en-US"/>
        </w:rPr>
      </w:pPr>
      <w:r w:rsidRPr="00BD295E">
        <w:rPr>
          <w:rFonts w:ascii="Arial" w:hAnsi="Arial" w:cs="Arial"/>
          <w:sz w:val="18"/>
          <w:szCs w:val="18"/>
          <w:lang w:val="en-US"/>
        </w:rPr>
        <w:t xml:space="preserve">The unified energy system (UES) of Russia comprises 70 regional energy systems, which in turn form seven unified energy systems (East, Siberia, Urals, Middle Volga, South, Center, and North-West). Russia also has a number of standalone energy systems (Taimyr, Kamchatka, Sakhalin, Magadan, Chukotka, as well as the energy systems of Yakutia, the Republic of Crimea, and Sevastopol). The UES of Russia power systems are connected by 220–500 kV+ high-voltage interconnection power lines and operate synchronously. </w:t>
      </w:r>
    </w:p>
    <w:p w14:paraId="70268E02" w14:textId="77777777" w:rsidR="003F6DA4" w:rsidRPr="00BD295E" w:rsidRDefault="008A5057" w:rsidP="00F74594">
      <w:pPr>
        <w:pStyle w:val="bodytext"/>
        <w:shd w:val="clear" w:color="auto" w:fill="FFFFFF"/>
        <w:spacing w:before="0" w:beforeAutospacing="0" w:after="120" w:afterAutospacing="0"/>
        <w:contextualSpacing/>
        <w:jc w:val="both"/>
        <w:rPr>
          <w:rFonts w:ascii="Arial" w:eastAsia="Calibri" w:hAnsi="Arial" w:cs="Arial"/>
          <w:sz w:val="18"/>
          <w:szCs w:val="18"/>
          <w:lang w:val="en-US"/>
        </w:rPr>
      </w:pPr>
      <w:r w:rsidRPr="00BD295E">
        <w:rPr>
          <w:rFonts w:ascii="Arial" w:hAnsi="Arial" w:cs="Arial"/>
          <w:sz w:val="18"/>
          <w:szCs w:val="18"/>
          <w:shd w:val="clear" w:color="auto" w:fill="FFFFFF"/>
          <w:lang w:val="en-US"/>
        </w:rPr>
        <w:t xml:space="preserve">Today’s Russian electricity industry includes about 805 power plants with a capacity of over 5 MW, which make up the Unified Energy System. </w:t>
      </w:r>
    </w:p>
    <w:p w14:paraId="1222E388" w14:textId="77777777" w:rsidR="003F6DA4" w:rsidRPr="00BD295E" w:rsidRDefault="003F6DA4" w:rsidP="00F74594">
      <w:pPr>
        <w:autoSpaceDE w:val="0"/>
        <w:autoSpaceDN w:val="0"/>
        <w:adjustRightInd w:val="0"/>
        <w:rPr>
          <w:rFonts w:ascii="Arial" w:eastAsia="Calibri" w:hAnsi="Arial" w:cs="Arial"/>
          <w:sz w:val="18"/>
          <w:szCs w:val="18"/>
          <w:lang w:val="en-US" w:eastAsia="en-US"/>
        </w:rPr>
      </w:pPr>
    </w:p>
    <w:p w14:paraId="5F7F952C" w14:textId="77777777" w:rsidR="003F6DA4" w:rsidRPr="00BD295E" w:rsidRDefault="008A5057" w:rsidP="00F74594">
      <w:pPr>
        <w:autoSpaceDE w:val="0"/>
        <w:autoSpaceDN w:val="0"/>
        <w:adjustRightInd w:val="0"/>
        <w:rPr>
          <w:rFonts w:ascii="Arial" w:eastAsia="Calibri" w:hAnsi="Arial" w:cs="Arial"/>
          <w:b/>
          <w:sz w:val="18"/>
          <w:szCs w:val="18"/>
          <w:lang w:val="en-US"/>
        </w:rPr>
      </w:pPr>
      <w:r w:rsidRPr="00BD295E">
        <w:rPr>
          <w:rFonts w:ascii="Arial" w:hAnsi="Arial" w:cs="Arial"/>
          <w:b/>
          <w:sz w:val="18"/>
          <w:szCs w:val="18"/>
          <w:lang w:val="en-US"/>
        </w:rPr>
        <w:t>Electricity Market Players</w:t>
      </w:r>
    </w:p>
    <w:p w14:paraId="3C8A9EBD" w14:textId="77777777" w:rsidR="003F6DA4" w:rsidRPr="00BD295E" w:rsidRDefault="003F6DA4" w:rsidP="00F74594">
      <w:pPr>
        <w:autoSpaceDE w:val="0"/>
        <w:autoSpaceDN w:val="0"/>
        <w:adjustRightInd w:val="0"/>
        <w:rPr>
          <w:rFonts w:ascii="Arial" w:eastAsia="Calibri" w:hAnsi="Arial" w:cs="Arial"/>
          <w:sz w:val="18"/>
          <w:szCs w:val="18"/>
          <w:lang w:val="en-US" w:eastAsia="en-US"/>
        </w:rPr>
      </w:pPr>
    </w:p>
    <w:p w14:paraId="2CF885C3" w14:textId="77777777" w:rsidR="003F6DA4" w:rsidRPr="00BD295E" w:rsidRDefault="008A5057"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The value chain in the electricity industry is broken down into the following elements: generation, transmission, distribution, sales, dispatching services, and maintenance. Since 2008, the grid, distribution, and dispatch functions have been controlled by the government; with both private and state-owned companies operating in the generation and sales markets.</w:t>
      </w:r>
    </w:p>
    <w:p w14:paraId="55306028" w14:textId="77777777" w:rsidR="003F6DA4" w:rsidRPr="00BD295E" w:rsidRDefault="003F6DA4"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p>
    <w:p w14:paraId="3BE5C1F6" w14:textId="159B04B0" w:rsidR="003F6DA4" w:rsidRPr="00BD295E" w:rsidRDefault="008A5057"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 xml:space="preserve">Generating companies are engaged in electricity and heat generation. The largest players include </w:t>
      </w:r>
      <w:r w:rsidR="00BF7D8E" w:rsidRPr="00BD295E">
        <w:rPr>
          <w:rFonts w:ascii="Arial" w:hAnsi="Arial" w:cs="Arial"/>
          <w:sz w:val="18"/>
          <w:szCs w:val="18"/>
          <w:shd w:val="clear" w:color="auto" w:fill="FFFFFF"/>
          <w:lang w:val="en-US"/>
        </w:rPr>
        <w:t xml:space="preserve">PJSC </w:t>
      </w:r>
      <w:r w:rsidRPr="00BD295E">
        <w:rPr>
          <w:rFonts w:ascii="Arial" w:hAnsi="Arial" w:cs="Arial"/>
          <w:sz w:val="18"/>
          <w:szCs w:val="18"/>
          <w:shd w:val="clear" w:color="auto" w:fill="FFFFFF"/>
          <w:lang w:val="en-US"/>
        </w:rPr>
        <w:t xml:space="preserve">Inter RAO, </w:t>
      </w:r>
      <w:r w:rsidR="00BF7D8E" w:rsidRPr="00BD295E">
        <w:rPr>
          <w:rFonts w:ascii="Arial" w:hAnsi="Arial" w:cs="Arial"/>
          <w:sz w:val="18"/>
          <w:szCs w:val="18"/>
          <w:shd w:val="clear" w:color="auto" w:fill="FFFFFF"/>
          <w:lang w:val="en-US"/>
        </w:rPr>
        <w:t xml:space="preserve">LLC </w:t>
      </w:r>
      <w:r w:rsidRPr="00BD295E">
        <w:rPr>
          <w:rFonts w:ascii="Arial" w:hAnsi="Arial" w:cs="Arial"/>
          <w:sz w:val="18"/>
          <w:szCs w:val="18"/>
          <w:shd w:val="clear" w:color="auto" w:fill="FFFFFF"/>
          <w:lang w:val="en-US"/>
        </w:rPr>
        <w:t>Gazprom Energoholding, PJSC</w:t>
      </w:r>
      <w:r w:rsidR="00BF7D8E" w:rsidRPr="00BD295E">
        <w:rPr>
          <w:rFonts w:ascii="Arial" w:hAnsi="Arial" w:cs="Arial"/>
          <w:sz w:val="18"/>
          <w:szCs w:val="18"/>
          <w:shd w:val="clear" w:color="auto" w:fill="FFFFFF"/>
          <w:lang w:val="en-US"/>
        </w:rPr>
        <w:t xml:space="preserve"> RusHydro</w:t>
      </w:r>
      <w:r w:rsidRPr="00BD295E">
        <w:rPr>
          <w:rFonts w:ascii="Arial" w:hAnsi="Arial" w:cs="Arial"/>
          <w:sz w:val="18"/>
          <w:szCs w:val="18"/>
          <w:shd w:val="clear" w:color="auto" w:fill="FFFFFF"/>
          <w:lang w:val="en-US"/>
        </w:rPr>
        <w:t xml:space="preserve">, </w:t>
      </w:r>
      <w:r w:rsidR="00BF7D8E" w:rsidRPr="00BD295E">
        <w:rPr>
          <w:rFonts w:ascii="Arial" w:hAnsi="Arial" w:cs="Arial"/>
          <w:sz w:val="18"/>
          <w:szCs w:val="18"/>
          <w:shd w:val="clear" w:color="auto" w:fill="FFFFFF"/>
          <w:lang w:val="en-US"/>
        </w:rPr>
        <w:t xml:space="preserve">JSC </w:t>
      </w:r>
      <w:r w:rsidRPr="00BD295E">
        <w:rPr>
          <w:rFonts w:ascii="Arial" w:hAnsi="Arial" w:cs="Arial"/>
          <w:sz w:val="18"/>
          <w:szCs w:val="18"/>
          <w:shd w:val="clear" w:color="auto" w:fill="FFFFFF"/>
          <w:lang w:val="en-US"/>
        </w:rPr>
        <w:t xml:space="preserve">Concern Rosenergoatom, </w:t>
      </w:r>
      <w:r w:rsidR="00BF7D8E" w:rsidRPr="00BD295E">
        <w:rPr>
          <w:rFonts w:ascii="Arial" w:hAnsi="Arial" w:cs="Arial"/>
          <w:sz w:val="18"/>
          <w:szCs w:val="18"/>
          <w:shd w:val="clear" w:color="auto" w:fill="FFFFFF"/>
          <w:lang w:val="en-US"/>
        </w:rPr>
        <w:t xml:space="preserve">JSC </w:t>
      </w:r>
      <w:r w:rsidRPr="00BD295E">
        <w:rPr>
          <w:rFonts w:ascii="Arial" w:hAnsi="Arial" w:cs="Arial"/>
          <w:sz w:val="18"/>
          <w:szCs w:val="18"/>
          <w:shd w:val="clear" w:color="auto" w:fill="FFFFFF"/>
          <w:lang w:val="en-US"/>
        </w:rPr>
        <w:t xml:space="preserve">Eurosibenergo, </w:t>
      </w:r>
      <w:r w:rsidR="00BF7D8E" w:rsidRPr="00BD295E">
        <w:rPr>
          <w:rFonts w:ascii="Arial" w:hAnsi="Arial" w:cs="Arial"/>
          <w:sz w:val="18"/>
          <w:szCs w:val="18"/>
          <w:shd w:val="clear" w:color="auto" w:fill="FFFFFF"/>
          <w:lang w:val="en-US"/>
        </w:rPr>
        <w:t xml:space="preserve">PJSC </w:t>
      </w:r>
      <w:r w:rsidRPr="00BD295E">
        <w:rPr>
          <w:rFonts w:ascii="Arial" w:hAnsi="Arial" w:cs="Arial"/>
          <w:sz w:val="18"/>
          <w:szCs w:val="18"/>
          <w:shd w:val="clear" w:color="auto" w:fill="FFFFFF"/>
          <w:lang w:val="en-US"/>
        </w:rPr>
        <w:t xml:space="preserve">Enel Russia, </w:t>
      </w:r>
      <w:r w:rsidR="00BF7D8E" w:rsidRPr="00BD295E">
        <w:rPr>
          <w:rFonts w:ascii="Arial" w:hAnsi="Arial" w:cs="Arial"/>
          <w:sz w:val="18"/>
          <w:szCs w:val="18"/>
          <w:shd w:val="clear" w:color="auto" w:fill="FFFFFF"/>
          <w:lang w:val="en-US"/>
        </w:rPr>
        <w:t xml:space="preserve">PJSC </w:t>
      </w:r>
      <w:r w:rsidRPr="00BD295E">
        <w:rPr>
          <w:rFonts w:ascii="Arial" w:hAnsi="Arial" w:cs="Arial"/>
          <w:sz w:val="18"/>
          <w:szCs w:val="18"/>
          <w:shd w:val="clear" w:color="auto" w:fill="FFFFFF"/>
          <w:lang w:val="en-US"/>
        </w:rPr>
        <w:t xml:space="preserve">Unipro, </w:t>
      </w:r>
      <w:r w:rsidR="00BF7D8E" w:rsidRPr="00BD295E">
        <w:rPr>
          <w:rFonts w:ascii="Arial" w:hAnsi="Arial" w:cs="Arial"/>
          <w:sz w:val="18"/>
          <w:szCs w:val="18"/>
          <w:shd w:val="clear" w:color="auto" w:fill="FFFFFF"/>
          <w:lang w:val="en-US"/>
        </w:rPr>
        <w:t xml:space="preserve">PJSC </w:t>
      </w:r>
      <w:r w:rsidRPr="00BD295E">
        <w:rPr>
          <w:rFonts w:ascii="Arial" w:hAnsi="Arial" w:cs="Arial"/>
          <w:sz w:val="18"/>
          <w:szCs w:val="18"/>
          <w:shd w:val="clear" w:color="auto" w:fill="FFFFFF"/>
          <w:lang w:val="en-US"/>
        </w:rPr>
        <w:t xml:space="preserve">Fortum, </w:t>
      </w:r>
      <w:r w:rsidR="00BF7D8E" w:rsidRPr="00BD295E">
        <w:rPr>
          <w:rFonts w:ascii="Arial" w:hAnsi="Arial" w:cs="Arial"/>
          <w:sz w:val="18"/>
          <w:szCs w:val="18"/>
          <w:shd w:val="clear" w:color="auto" w:fill="FFFFFF"/>
          <w:lang w:val="en-US"/>
        </w:rPr>
        <w:t xml:space="preserve">PJSC </w:t>
      </w:r>
      <w:r w:rsidRPr="00BD295E">
        <w:rPr>
          <w:rFonts w:ascii="Arial" w:hAnsi="Arial" w:cs="Arial"/>
          <w:sz w:val="18"/>
          <w:szCs w:val="18"/>
          <w:shd w:val="clear" w:color="auto" w:fill="FFFFFF"/>
          <w:lang w:val="en-US"/>
        </w:rPr>
        <w:t xml:space="preserve">Quadra, and </w:t>
      </w:r>
      <w:r w:rsidR="00BF7D8E" w:rsidRPr="00BD295E">
        <w:rPr>
          <w:rFonts w:ascii="Arial" w:hAnsi="Arial" w:cs="Arial"/>
          <w:sz w:val="18"/>
          <w:szCs w:val="18"/>
          <w:shd w:val="clear" w:color="auto" w:fill="FFFFFF"/>
          <w:lang w:val="en-US"/>
        </w:rPr>
        <w:t>PJSC “</w:t>
      </w:r>
      <w:r w:rsidRPr="00BD295E">
        <w:rPr>
          <w:rFonts w:ascii="Arial" w:hAnsi="Arial" w:cs="Arial"/>
          <w:sz w:val="18"/>
          <w:szCs w:val="18"/>
          <w:shd w:val="clear" w:color="auto" w:fill="FFFFFF"/>
          <w:lang w:val="en-US"/>
        </w:rPr>
        <w:t>OGK-2</w:t>
      </w:r>
      <w:r w:rsidR="00BF7D8E" w:rsidRPr="00BD295E">
        <w:rPr>
          <w:rFonts w:ascii="Arial" w:hAnsi="Arial" w:cs="Arial"/>
          <w:sz w:val="18"/>
          <w:szCs w:val="18"/>
          <w:shd w:val="clear" w:color="auto" w:fill="FFFFFF"/>
          <w:lang w:val="en-US"/>
        </w:rPr>
        <w:t>”</w:t>
      </w:r>
      <w:r w:rsidRPr="00BD295E">
        <w:rPr>
          <w:rFonts w:ascii="Arial" w:hAnsi="Arial" w:cs="Arial"/>
          <w:sz w:val="18"/>
          <w:szCs w:val="18"/>
          <w:shd w:val="clear" w:color="auto" w:fill="FFFFFF"/>
          <w:lang w:val="en-US"/>
        </w:rPr>
        <w:t>.</w:t>
      </w:r>
    </w:p>
    <w:p w14:paraId="784ED5A0" w14:textId="784D7145" w:rsidR="003F6DA4" w:rsidRPr="00BD295E" w:rsidRDefault="008A5057"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 xml:space="preserve">Distribution companies distribute electricity through the Unified National Electric Grid and provide grid connection services to consumers. As a natural monopoly, the major operator, </w:t>
      </w:r>
      <w:r w:rsidR="00BF106F" w:rsidRPr="00BD295E">
        <w:rPr>
          <w:rFonts w:ascii="Arial" w:hAnsi="Arial" w:cs="Arial"/>
          <w:sz w:val="18"/>
          <w:szCs w:val="18"/>
          <w:shd w:val="clear" w:color="auto" w:fill="FFFFFF"/>
          <w:lang w:val="en-US"/>
        </w:rPr>
        <w:t>PJSC “</w:t>
      </w:r>
      <w:r w:rsidR="00BF7D8E" w:rsidRPr="00BD295E">
        <w:rPr>
          <w:rFonts w:ascii="Arial" w:hAnsi="Arial" w:cs="Arial"/>
          <w:sz w:val="18"/>
          <w:szCs w:val="18"/>
          <w:shd w:val="clear" w:color="auto" w:fill="FFFFFF"/>
          <w:lang w:val="en-US"/>
        </w:rPr>
        <w:t>Rossetti</w:t>
      </w:r>
      <w:r w:rsidR="00BF106F" w:rsidRPr="00BD295E">
        <w:rPr>
          <w:rFonts w:ascii="Arial" w:hAnsi="Arial" w:cs="Arial"/>
          <w:sz w:val="18"/>
          <w:szCs w:val="18"/>
          <w:shd w:val="clear" w:color="auto" w:fill="FFFFFF"/>
          <w:lang w:val="en-US"/>
        </w:rPr>
        <w:t>”</w:t>
      </w:r>
      <w:r w:rsidRPr="00BD295E">
        <w:rPr>
          <w:rFonts w:ascii="Arial" w:hAnsi="Arial" w:cs="Arial"/>
          <w:sz w:val="18"/>
          <w:szCs w:val="18"/>
          <w:shd w:val="clear" w:color="auto" w:fill="FFFFFF"/>
          <w:lang w:val="en-US"/>
        </w:rPr>
        <w:t xml:space="preserve">, brings together interregional distribution grids (IDGCs) and </w:t>
      </w:r>
      <w:r w:rsidR="00472677" w:rsidRPr="00BD295E">
        <w:rPr>
          <w:rFonts w:ascii="Arial" w:hAnsi="Arial" w:cs="Arial"/>
          <w:sz w:val="18"/>
          <w:szCs w:val="18"/>
          <w:shd w:val="clear" w:color="auto" w:fill="FFFFFF"/>
          <w:lang w:val="en-US"/>
        </w:rPr>
        <w:t>FGC UES</w:t>
      </w:r>
      <w:r w:rsidR="00BF7D8E" w:rsidRPr="00BD295E">
        <w:rPr>
          <w:rFonts w:ascii="Arial" w:hAnsi="Arial" w:cs="Arial"/>
          <w:sz w:val="18"/>
          <w:szCs w:val="18"/>
          <w:shd w:val="clear" w:color="auto" w:fill="FFFFFF"/>
          <w:lang w:val="en-US"/>
        </w:rPr>
        <w:t>,</w:t>
      </w:r>
      <w:r w:rsidRPr="00BD295E">
        <w:rPr>
          <w:rFonts w:ascii="Arial" w:hAnsi="Arial" w:cs="Arial"/>
          <w:sz w:val="18"/>
          <w:szCs w:val="18"/>
          <w:shd w:val="clear" w:color="auto" w:fill="FFFFFF"/>
          <w:lang w:val="en-US"/>
        </w:rPr>
        <w:t xml:space="preserve"> </w:t>
      </w:r>
      <w:r w:rsidR="00BF7D8E" w:rsidRPr="00BD295E">
        <w:rPr>
          <w:rFonts w:ascii="Arial" w:hAnsi="Arial" w:cs="Arial"/>
          <w:sz w:val="18"/>
          <w:szCs w:val="18"/>
          <w:shd w:val="clear" w:color="auto" w:fill="FFFFFF"/>
          <w:lang w:val="en-US"/>
        </w:rPr>
        <w:t>PJSC (</w:t>
      </w:r>
      <w:hyperlink r:id="rId19" w:history="1">
        <w:r w:rsidRPr="00BD295E">
          <w:rPr>
            <w:rFonts w:ascii="Arial" w:hAnsi="Arial" w:cs="Arial"/>
            <w:sz w:val="18"/>
            <w:szCs w:val="18"/>
            <w:shd w:val="clear" w:color="auto" w:fill="FFFFFF"/>
            <w:lang w:val="en-US"/>
          </w:rPr>
          <w:t>www.rosseti.ru</w:t>
        </w:r>
      </w:hyperlink>
      <w:r w:rsidR="00BF7D8E" w:rsidRPr="00BD295E">
        <w:rPr>
          <w:rFonts w:ascii="Arial" w:hAnsi="Arial" w:cs="Arial"/>
          <w:sz w:val="18"/>
          <w:szCs w:val="18"/>
          <w:shd w:val="clear" w:color="auto" w:fill="FFFFFF"/>
          <w:lang w:val="en-US"/>
        </w:rPr>
        <w:t>)</w:t>
      </w:r>
    </w:p>
    <w:p w14:paraId="03666479" w14:textId="6A1BB293" w:rsidR="003F6DA4" w:rsidRPr="00BD295E" w:rsidRDefault="008A5057"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 xml:space="preserve">Dispatch control in the electric power industry is exercised solely by System Operator of the United Power System, JSC and its regional branches. </w:t>
      </w:r>
      <w:hyperlink r:id="rId20" w:history="1">
        <w:r w:rsidRPr="00BD295E">
          <w:rPr>
            <w:rFonts w:ascii="Arial" w:hAnsi="Arial" w:cs="Arial"/>
            <w:sz w:val="18"/>
            <w:szCs w:val="18"/>
            <w:shd w:val="clear" w:color="auto" w:fill="FFFFFF"/>
            <w:lang w:val="en-US"/>
          </w:rPr>
          <w:t>www.so-ups.ru</w:t>
        </w:r>
      </w:hyperlink>
    </w:p>
    <w:p w14:paraId="0A29277D" w14:textId="77777777" w:rsidR="003F6DA4" w:rsidRPr="00BD295E" w:rsidRDefault="008A5057"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Sales companies sell electricity generated or purchased by them to consumers.</w:t>
      </w:r>
    </w:p>
    <w:p w14:paraId="67DC9C5B" w14:textId="77777777" w:rsidR="003F6DA4" w:rsidRPr="00BD295E" w:rsidRDefault="003F6DA4"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p>
    <w:p w14:paraId="156746DF" w14:textId="77777777" w:rsidR="003F6DA4" w:rsidRPr="00BD295E" w:rsidRDefault="008A5057"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 xml:space="preserve">The wholesale and retail electricity markets are operated and monitored by the Association Nonprofit Partnership Council for Organizing Efficient System of Trading at Wholesale and Retail Electricity and Capacity Market (Association NP Market Council). </w:t>
      </w:r>
      <w:hyperlink r:id="rId21" w:history="1">
        <w:r w:rsidRPr="00BD295E">
          <w:rPr>
            <w:rFonts w:ascii="Arial" w:hAnsi="Arial" w:cs="Arial"/>
            <w:sz w:val="18"/>
            <w:szCs w:val="18"/>
            <w:shd w:val="clear" w:color="auto" w:fill="FFFFFF"/>
            <w:lang w:val="en-US"/>
          </w:rPr>
          <w:t>www.np-sr.ru</w:t>
        </w:r>
      </w:hyperlink>
      <w:r w:rsidRPr="00BD295E">
        <w:rPr>
          <w:rFonts w:ascii="Arial" w:hAnsi="Arial" w:cs="Arial"/>
          <w:sz w:val="18"/>
          <w:szCs w:val="18"/>
          <w:shd w:val="clear" w:color="auto" w:fill="FFFFFF"/>
          <w:lang w:val="en-US"/>
        </w:rPr>
        <w:t xml:space="preserve"> </w:t>
      </w:r>
    </w:p>
    <w:p w14:paraId="36169D7F" w14:textId="77777777" w:rsidR="003F6DA4" w:rsidRPr="00BD295E" w:rsidRDefault="003F6DA4"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p>
    <w:p w14:paraId="1CA4EBBA" w14:textId="77777777" w:rsidR="003F6DA4" w:rsidRPr="00BD295E" w:rsidRDefault="008A5057" w:rsidP="00F74594">
      <w:pPr>
        <w:autoSpaceDE w:val="0"/>
        <w:autoSpaceDN w:val="0"/>
        <w:adjustRightInd w:val="0"/>
        <w:rPr>
          <w:rFonts w:ascii="Arial" w:eastAsia="Calibri" w:hAnsi="Arial" w:cs="Arial"/>
          <w:b/>
          <w:bCs/>
          <w:sz w:val="18"/>
          <w:szCs w:val="18"/>
          <w:lang w:val="en-US"/>
        </w:rPr>
      </w:pPr>
      <w:r w:rsidRPr="00BD295E">
        <w:rPr>
          <w:rFonts w:ascii="Arial" w:hAnsi="Arial" w:cs="Arial"/>
          <w:b/>
          <w:sz w:val="18"/>
          <w:szCs w:val="18"/>
          <w:lang w:val="en-US"/>
        </w:rPr>
        <w:t>Electricity Market Model</w:t>
      </w:r>
    </w:p>
    <w:p w14:paraId="7DF40932" w14:textId="1EE87811" w:rsidR="003F6DA4" w:rsidRPr="00BD295E" w:rsidRDefault="003F6DA4" w:rsidP="003F6DA4">
      <w:pPr>
        <w:tabs>
          <w:tab w:val="left" w:pos="1134"/>
        </w:tabs>
        <w:spacing w:after="120"/>
        <w:contextualSpacing/>
        <w:jc w:val="both"/>
        <w:rPr>
          <w:rFonts w:ascii="Arial" w:hAnsi="Arial" w:cs="Arial"/>
          <w:sz w:val="18"/>
          <w:szCs w:val="18"/>
          <w:shd w:val="clear" w:color="auto" w:fill="FFFFFF"/>
          <w:lang w:val="en-US"/>
        </w:rPr>
      </w:pPr>
    </w:p>
    <w:tbl>
      <w:tblPr>
        <w:tblW w:w="5000" w:type="pct"/>
        <w:tblLayout w:type="fixed"/>
        <w:tblCellMar>
          <w:top w:w="28" w:type="dxa"/>
          <w:left w:w="28" w:type="dxa"/>
          <w:bottom w:w="28" w:type="dxa"/>
          <w:right w:w="28" w:type="dxa"/>
        </w:tblCellMar>
        <w:tblLook w:val="04A0" w:firstRow="1" w:lastRow="0" w:firstColumn="1" w:lastColumn="0" w:noHBand="0" w:noVBand="1"/>
      </w:tblPr>
      <w:tblGrid>
        <w:gridCol w:w="1448"/>
        <w:gridCol w:w="1629"/>
        <w:gridCol w:w="1743"/>
        <w:gridCol w:w="1738"/>
        <w:gridCol w:w="2797"/>
      </w:tblGrid>
      <w:tr w:rsidR="0009364E" w:rsidRPr="00BD295E" w14:paraId="5D6F8E4B" w14:textId="77777777" w:rsidTr="00E17E19">
        <w:trPr>
          <w:trHeight w:val="113"/>
        </w:trPr>
        <w:tc>
          <w:tcPr>
            <w:tcW w:w="9411" w:type="dxa"/>
            <w:gridSpan w:val="5"/>
            <w:shd w:val="clear" w:color="auto" w:fill="auto"/>
            <w:tcMar>
              <w:top w:w="28" w:type="dxa"/>
              <w:left w:w="28" w:type="dxa"/>
              <w:bottom w:w="28" w:type="dxa"/>
              <w:right w:w="28" w:type="dxa"/>
            </w:tcMar>
          </w:tcPr>
          <w:p w14:paraId="41365BE1" w14:textId="6DEB80BA" w:rsidR="0009364E" w:rsidRPr="00BD295E" w:rsidRDefault="00997D07" w:rsidP="0009364E">
            <w:pPr>
              <w:autoSpaceDE w:val="0"/>
              <w:autoSpaceDN w:val="0"/>
              <w:adjustRightInd w:val="0"/>
              <w:contextualSpacing/>
              <w:rPr>
                <w:rFonts w:ascii="Arial Narrow" w:hAnsi="Arial Narrow" w:cs="Arial"/>
                <w:sz w:val="18"/>
                <w:szCs w:val="18"/>
                <w:lang w:val="en-US"/>
              </w:rPr>
            </w:pPr>
            <w:r w:rsidRPr="00BD295E">
              <w:rPr>
                <w:rFonts w:ascii="Arial" w:hAnsi="Arial" w:cs="Arial"/>
                <w:sz w:val="18"/>
                <w:szCs w:val="18"/>
                <w:shd w:val="clear" w:color="auto" w:fill="FFFFFF"/>
                <w:lang w:val="en-US" w:eastAsia="en-US"/>
              </w:rPr>
              <w:drawing>
                <wp:inline distT="0" distB="0" distL="0" distR="0" wp14:anchorId="32AD841F" wp14:editId="660F242B">
                  <wp:extent cx="5939155" cy="1024255"/>
                  <wp:effectExtent l="0" t="0" r="0" b="0"/>
                  <wp:docPr id="483" name="Рисунок 1033" descr="\\Energo\le\DKU\Investor Relations\ОБЯЗАТЕЛЬНОЕ РАСКРЫТИЕ\Обязательные к раскрытию Эмитентами ЦБ\годовой отчёт\ГО_18\Согласование ПАО Россети\Нов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 descr="\\Energo\le\DKU\Investor Relations\ОБЯЗАТЕЛЬНОЕ РАСКРЫТИЕ\Обязательные к раскрытию Эмитентами ЦБ\годовой отчёт\ГО_18\Согласование ПАО Россети\Новый рисунок.bmp"/>
                          <pic:cNvPicPr>
                            <a:picLocks noChangeAspect="1" noChangeArrowheads="1"/>
                          </pic:cNvPicPr>
                        </pic:nvPicPr>
                        <pic:blipFill>
                          <a:blip r:embed="rId22">
                            <a:extLst>
                              <a:ext uri="{28A0092B-C50C-407E-A947-70E740481C1C}">
                                <a14:useLocalDpi xmlns:a14="http://schemas.microsoft.com/office/drawing/2010/main" val="0"/>
                              </a:ext>
                            </a:extLst>
                          </a:blip>
                          <a:srcRect t="7123" b="70963"/>
                          <a:stretch>
                            <a:fillRect/>
                          </a:stretch>
                        </pic:blipFill>
                        <pic:spPr bwMode="auto">
                          <a:xfrm>
                            <a:off x="0" y="0"/>
                            <a:ext cx="5939155" cy="1024255"/>
                          </a:xfrm>
                          <a:prstGeom prst="rect">
                            <a:avLst/>
                          </a:prstGeom>
                          <a:noFill/>
                          <a:ln>
                            <a:noFill/>
                          </a:ln>
                        </pic:spPr>
                      </pic:pic>
                    </a:graphicData>
                  </a:graphic>
                </wp:inline>
              </w:drawing>
            </w:r>
          </w:p>
        </w:tc>
      </w:tr>
      <w:tr w:rsidR="0009364E" w:rsidRPr="00BD295E" w14:paraId="70CA1D67" w14:textId="77777777" w:rsidTr="006054DB">
        <w:trPr>
          <w:trHeight w:val="113"/>
        </w:trPr>
        <w:tc>
          <w:tcPr>
            <w:tcW w:w="3096" w:type="dxa"/>
            <w:gridSpan w:val="2"/>
            <w:tcBorders>
              <w:right w:val="single" w:sz="48" w:space="0" w:color="FFFFFF"/>
            </w:tcBorders>
            <w:shd w:val="clear" w:color="auto" w:fill="auto"/>
            <w:tcMar>
              <w:top w:w="28" w:type="dxa"/>
              <w:left w:w="28" w:type="dxa"/>
              <w:bottom w:w="28" w:type="dxa"/>
              <w:right w:w="28" w:type="dxa"/>
            </w:tcMar>
          </w:tcPr>
          <w:p w14:paraId="1611C013" w14:textId="77777777" w:rsidR="00841C6B" w:rsidRPr="00BD295E" w:rsidRDefault="002E01BE" w:rsidP="0009364E">
            <w:pPr>
              <w:autoSpaceDE w:val="0"/>
              <w:autoSpaceDN w:val="0"/>
              <w:adjustRightInd w:val="0"/>
              <w:spacing w:after="240"/>
              <w:contextualSpacing/>
              <w:jc w:val="center"/>
              <w:rPr>
                <w:rFonts w:ascii="Arial Narrow" w:hAnsi="Arial Narrow" w:cs="Arial"/>
                <w:color w:val="7F7F7F"/>
                <w:sz w:val="22"/>
                <w:szCs w:val="22"/>
                <w:lang w:val="en-US"/>
              </w:rPr>
            </w:pPr>
            <w:r w:rsidRPr="00BD295E">
              <w:rPr>
                <w:rFonts w:ascii="Arial Narrow" w:hAnsi="Arial Narrow" w:cs="Arial"/>
                <w:color w:val="7F7F7F"/>
                <w:sz w:val="22"/>
                <w:szCs w:val="22"/>
                <w:lang w:val="en-US"/>
              </w:rPr>
              <w:t>ELECTRICITY GENERATION</w:t>
            </w:r>
          </w:p>
        </w:tc>
        <w:tc>
          <w:tcPr>
            <w:tcW w:w="3501" w:type="dxa"/>
            <w:gridSpan w:val="2"/>
            <w:tcBorders>
              <w:left w:val="single" w:sz="48" w:space="0" w:color="FFFFFF"/>
              <w:right w:val="single" w:sz="48" w:space="0" w:color="FFFFFF"/>
            </w:tcBorders>
            <w:shd w:val="clear" w:color="auto" w:fill="auto"/>
          </w:tcPr>
          <w:p w14:paraId="42024496" w14:textId="77777777" w:rsidR="00841C6B" w:rsidRPr="00BD295E" w:rsidRDefault="002E01BE" w:rsidP="00A86CF4">
            <w:pPr>
              <w:autoSpaceDE w:val="0"/>
              <w:autoSpaceDN w:val="0"/>
              <w:adjustRightInd w:val="0"/>
              <w:spacing w:after="240"/>
              <w:contextualSpacing/>
              <w:jc w:val="center"/>
              <w:rPr>
                <w:rFonts w:ascii="Arial Narrow" w:hAnsi="Arial Narrow" w:cs="Arial"/>
                <w:color w:val="7F7F7F"/>
                <w:sz w:val="22"/>
                <w:szCs w:val="22"/>
                <w:lang w:val="en-US"/>
              </w:rPr>
            </w:pPr>
            <w:r w:rsidRPr="00BD295E">
              <w:rPr>
                <w:rFonts w:ascii="Arial Narrow" w:hAnsi="Arial Narrow" w:cs="Arial"/>
                <w:color w:val="7F7F7F"/>
                <w:sz w:val="22"/>
                <w:szCs w:val="22"/>
                <w:lang w:val="en-US"/>
              </w:rPr>
              <w:t>TRANSMISSION AND DISTRIBUTION</w:t>
            </w:r>
          </w:p>
        </w:tc>
        <w:tc>
          <w:tcPr>
            <w:tcW w:w="2814" w:type="dxa"/>
            <w:tcBorders>
              <w:left w:val="single" w:sz="48" w:space="0" w:color="FFFFFF"/>
            </w:tcBorders>
            <w:shd w:val="clear" w:color="auto" w:fill="auto"/>
          </w:tcPr>
          <w:p w14:paraId="6C0E045C" w14:textId="77777777" w:rsidR="00841C6B" w:rsidRPr="00BD295E" w:rsidRDefault="002E01BE" w:rsidP="0009364E">
            <w:pPr>
              <w:autoSpaceDE w:val="0"/>
              <w:autoSpaceDN w:val="0"/>
              <w:adjustRightInd w:val="0"/>
              <w:spacing w:after="240"/>
              <w:contextualSpacing/>
              <w:jc w:val="center"/>
              <w:rPr>
                <w:rFonts w:ascii="Arial Narrow" w:hAnsi="Arial Narrow" w:cs="Arial"/>
                <w:color w:val="7F7F7F"/>
                <w:sz w:val="22"/>
                <w:szCs w:val="22"/>
                <w:lang w:val="en-US"/>
              </w:rPr>
            </w:pPr>
            <w:r w:rsidRPr="00BD295E">
              <w:rPr>
                <w:rFonts w:ascii="Arial Narrow" w:hAnsi="Arial Narrow" w:cs="Arial"/>
                <w:color w:val="7F7F7F"/>
                <w:sz w:val="22"/>
                <w:szCs w:val="22"/>
                <w:lang w:val="en-US"/>
              </w:rPr>
              <w:t>SALES</w:t>
            </w:r>
          </w:p>
        </w:tc>
      </w:tr>
      <w:tr w:rsidR="00A86CF4" w:rsidRPr="00BD295E" w14:paraId="12BCE8F5" w14:textId="77777777" w:rsidTr="006054DB">
        <w:trPr>
          <w:trHeight w:val="113"/>
        </w:trPr>
        <w:tc>
          <w:tcPr>
            <w:tcW w:w="3096" w:type="dxa"/>
            <w:gridSpan w:val="2"/>
            <w:tcBorders>
              <w:right w:val="single" w:sz="48" w:space="0" w:color="FFFFFF"/>
            </w:tcBorders>
            <w:shd w:val="clear" w:color="auto" w:fill="auto"/>
            <w:tcMar>
              <w:top w:w="28" w:type="dxa"/>
              <w:left w:w="28" w:type="dxa"/>
              <w:bottom w:w="28" w:type="dxa"/>
              <w:right w:w="28" w:type="dxa"/>
            </w:tcMar>
          </w:tcPr>
          <w:p w14:paraId="28A3A99F" w14:textId="77777777" w:rsidR="00A86CF4" w:rsidRPr="00BD295E" w:rsidRDefault="00A86CF4" w:rsidP="0009364E">
            <w:pPr>
              <w:autoSpaceDE w:val="0"/>
              <w:autoSpaceDN w:val="0"/>
              <w:adjustRightInd w:val="0"/>
              <w:spacing w:after="240"/>
              <w:contextualSpacing/>
              <w:jc w:val="center"/>
              <w:rPr>
                <w:rFonts w:ascii="Arial Narrow" w:hAnsi="Arial Narrow" w:cs="Arial"/>
                <w:color w:val="7F7F7F"/>
                <w:sz w:val="22"/>
                <w:szCs w:val="22"/>
                <w:lang w:val="en-US"/>
              </w:rPr>
            </w:pPr>
          </w:p>
        </w:tc>
        <w:tc>
          <w:tcPr>
            <w:tcW w:w="3501" w:type="dxa"/>
            <w:gridSpan w:val="2"/>
            <w:tcBorders>
              <w:left w:val="single" w:sz="48" w:space="0" w:color="FFFFFF"/>
              <w:right w:val="single" w:sz="48" w:space="0" w:color="FFFFFF"/>
            </w:tcBorders>
            <w:shd w:val="clear" w:color="auto" w:fill="auto"/>
          </w:tcPr>
          <w:p w14:paraId="29AF06D7" w14:textId="77777777" w:rsidR="00A86CF4" w:rsidRPr="00BD295E" w:rsidRDefault="00A86CF4" w:rsidP="00A86CF4">
            <w:pPr>
              <w:autoSpaceDE w:val="0"/>
              <w:autoSpaceDN w:val="0"/>
              <w:adjustRightInd w:val="0"/>
              <w:spacing w:after="240"/>
              <w:contextualSpacing/>
              <w:jc w:val="center"/>
              <w:rPr>
                <w:rFonts w:ascii="Arial Narrow" w:hAnsi="Arial Narrow" w:cs="Arial"/>
                <w:color w:val="7F7F7F"/>
                <w:sz w:val="22"/>
                <w:szCs w:val="22"/>
                <w:lang w:val="en-US"/>
              </w:rPr>
            </w:pPr>
          </w:p>
        </w:tc>
        <w:tc>
          <w:tcPr>
            <w:tcW w:w="2814" w:type="dxa"/>
            <w:tcBorders>
              <w:left w:val="single" w:sz="48" w:space="0" w:color="FFFFFF"/>
            </w:tcBorders>
            <w:shd w:val="clear" w:color="auto" w:fill="auto"/>
          </w:tcPr>
          <w:p w14:paraId="3AA623EC" w14:textId="77777777" w:rsidR="00A86CF4" w:rsidRPr="00BD295E" w:rsidRDefault="00A86CF4" w:rsidP="0009364E">
            <w:pPr>
              <w:autoSpaceDE w:val="0"/>
              <w:autoSpaceDN w:val="0"/>
              <w:adjustRightInd w:val="0"/>
              <w:spacing w:after="240"/>
              <w:contextualSpacing/>
              <w:jc w:val="center"/>
              <w:rPr>
                <w:rFonts w:ascii="Arial Narrow" w:hAnsi="Arial Narrow" w:cs="Arial"/>
                <w:color w:val="7F7F7F"/>
                <w:sz w:val="22"/>
                <w:szCs w:val="22"/>
                <w:lang w:val="en-US"/>
              </w:rPr>
            </w:pPr>
          </w:p>
        </w:tc>
      </w:tr>
      <w:tr w:rsidR="00BC0424" w:rsidRPr="00BD295E" w14:paraId="3EC147EF" w14:textId="77777777" w:rsidTr="006054DB">
        <w:tc>
          <w:tcPr>
            <w:tcW w:w="1457" w:type="dxa"/>
            <w:tcBorders>
              <w:right w:val="single" w:sz="24" w:space="0" w:color="FFFFFF"/>
            </w:tcBorders>
            <w:shd w:val="clear" w:color="auto" w:fill="263D4F"/>
            <w:vAlign w:val="center"/>
          </w:tcPr>
          <w:p w14:paraId="14D6EC7C" w14:textId="77777777" w:rsidR="002E01BE" w:rsidRPr="00BD295E" w:rsidRDefault="002E01BE" w:rsidP="0009364E">
            <w:pPr>
              <w:autoSpaceDE w:val="0"/>
              <w:autoSpaceDN w:val="0"/>
              <w:adjustRightInd w:val="0"/>
              <w:contextualSpacing/>
              <w:jc w:val="center"/>
              <w:rPr>
                <w:rFonts w:ascii="Arial Narrow" w:hAnsi="Arial Narrow" w:cs="Arial"/>
                <w:color w:val="FFFFFF"/>
                <w:sz w:val="18"/>
                <w:szCs w:val="18"/>
                <w:lang w:val="en-US"/>
              </w:rPr>
            </w:pPr>
            <w:r w:rsidRPr="00BD295E">
              <w:rPr>
                <w:rFonts w:ascii="Arial Narrow" w:hAnsi="Arial Narrow" w:cs="Arial"/>
                <w:color w:val="FFFFFF"/>
                <w:sz w:val="18"/>
                <w:szCs w:val="18"/>
                <w:lang w:val="en-US"/>
              </w:rPr>
              <w:t>NUCLEAR POWER PLANTS</w:t>
            </w:r>
          </w:p>
        </w:tc>
        <w:tc>
          <w:tcPr>
            <w:tcW w:w="1639" w:type="dxa"/>
            <w:tcBorders>
              <w:left w:val="single" w:sz="24" w:space="0" w:color="FFFFFF"/>
              <w:right w:val="single" w:sz="48" w:space="0" w:color="FFFFFF"/>
            </w:tcBorders>
            <w:shd w:val="clear" w:color="auto" w:fill="263D4F"/>
            <w:vAlign w:val="center"/>
          </w:tcPr>
          <w:p w14:paraId="143B1276" w14:textId="77777777" w:rsidR="002E01BE" w:rsidRPr="00BD295E" w:rsidRDefault="002E01BE" w:rsidP="0009364E">
            <w:pPr>
              <w:autoSpaceDE w:val="0"/>
              <w:autoSpaceDN w:val="0"/>
              <w:adjustRightInd w:val="0"/>
              <w:contextualSpacing/>
              <w:jc w:val="center"/>
              <w:rPr>
                <w:rFonts w:ascii="Arial Narrow" w:hAnsi="Arial Narrow" w:cs="Arial"/>
                <w:color w:val="FFFFFF"/>
                <w:sz w:val="18"/>
                <w:szCs w:val="18"/>
                <w:lang w:val="en-US"/>
              </w:rPr>
            </w:pPr>
            <w:r w:rsidRPr="00BD295E">
              <w:rPr>
                <w:rFonts w:ascii="Arial Narrow" w:hAnsi="Arial Narrow" w:cs="Arial"/>
                <w:color w:val="FFFFFF"/>
                <w:sz w:val="18"/>
                <w:szCs w:val="18"/>
                <w:lang w:val="en-US"/>
              </w:rPr>
              <w:t>HYDRO POWER PLANTS</w:t>
            </w:r>
          </w:p>
        </w:tc>
        <w:tc>
          <w:tcPr>
            <w:tcW w:w="3501" w:type="dxa"/>
            <w:gridSpan w:val="2"/>
            <w:tcBorders>
              <w:left w:val="single" w:sz="48" w:space="0" w:color="FFFFFF"/>
              <w:right w:val="single" w:sz="48" w:space="0" w:color="FFFFFF"/>
            </w:tcBorders>
            <w:shd w:val="clear" w:color="auto" w:fill="005A6B"/>
            <w:vAlign w:val="center"/>
          </w:tcPr>
          <w:p w14:paraId="3940024C" w14:textId="77777777" w:rsidR="002E01BE" w:rsidRPr="00BD295E" w:rsidRDefault="00BF106F" w:rsidP="0009364E">
            <w:pPr>
              <w:autoSpaceDE w:val="0"/>
              <w:autoSpaceDN w:val="0"/>
              <w:adjustRightInd w:val="0"/>
              <w:contextualSpacing/>
              <w:jc w:val="center"/>
              <w:rPr>
                <w:rFonts w:ascii="Arial Narrow" w:hAnsi="Arial Narrow" w:cs="Arial"/>
                <w:color w:val="FFFFFF"/>
                <w:sz w:val="18"/>
                <w:szCs w:val="18"/>
                <w:lang w:val="en-US"/>
              </w:rPr>
            </w:pPr>
            <w:r w:rsidRPr="00BD295E">
              <w:rPr>
                <w:rFonts w:ascii="Arial Narrow" w:hAnsi="Arial Narrow" w:cs="Arial"/>
                <w:color w:val="FFFFFF"/>
                <w:sz w:val="18"/>
                <w:szCs w:val="18"/>
                <w:lang w:val="en-US"/>
              </w:rPr>
              <w:t>PJSC “ROSSETI”</w:t>
            </w:r>
          </w:p>
        </w:tc>
        <w:tc>
          <w:tcPr>
            <w:tcW w:w="2814" w:type="dxa"/>
            <w:tcBorders>
              <w:left w:val="single" w:sz="48" w:space="0" w:color="FFFFFF"/>
            </w:tcBorders>
            <w:shd w:val="clear" w:color="auto" w:fill="00849D"/>
            <w:vAlign w:val="center"/>
          </w:tcPr>
          <w:p w14:paraId="67A4F7BF" w14:textId="77777777" w:rsidR="002E01BE" w:rsidRPr="00BD295E" w:rsidRDefault="002E01BE" w:rsidP="0009364E">
            <w:pPr>
              <w:autoSpaceDE w:val="0"/>
              <w:autoSpaceDN w:val="0"/>
              <w:adjustRightInd w:val="0"/>
              <w:contextualSpacing/>
              <w:jc w:val="center"/>
              <w:rPr>
                <w:rFonts w:ascii="Arial Narrow" w:hAnsi="Arial Narrow" w:cs="Arial"/>
                <w:color w:val="FFFFFF"/>
                <w:sz w:val="18"/>
                <w:szCs w:val="18"/>
                <w:lang w:val="en-US"/>
              </w:rPr>
            </w:pPr>
            <w:r w:rsidRPr="00BD295E">
              <w:rPr>
                <w:rFonts w:ascii="Arial Narrow" w:hAnsi="Arial Narrow" w:cs="Arial"/>
                <w:color w:val="FFFFFF"/>
                <w:sz w:val="18"/>
                <w:szCs w:val="18"/>
                <w:lang w:val="en-US"/>
              </w:rPr>
              <w:t>END CONSUMERS</w:t>
            </w:r>
          </w:p>
        </w:tc>
      </w:tr>
      <w:tr w:rsidR="009940A7" w:rsidRPr="00BD295E" w14:paraId="62210242" w14:textId="77777777" w:rsidTr="006054DB">
        <w:tc>
          <w:tcPr>
            <w:tcW w:w="1457" w:type="dxa"/>
            <w:tcBorders>
              <w:right w:val="single" w:sz="24" w:space="0" w:color="FFFFFF"/>
            </w:tcBorders>
            <w:shd w:val="clear" w:color="auto" w:fill="auto"/>
          </w:tcPr>
          <w:p w14:paraId="5216DA27" w14:textId="77777777" w:rsidR="009940A7" w:rsidRPr="00BD295E" w:rsidRDefault="009940A7" w:rsidP="00A86CF4">
            <w:pPr>
              <w:autoSpaceDE w:val="0"/>
              <w:autoSpaceDN w:val="0"/>
              <w:adjustRightInd w:val="0"/>
              <w:spacing w:before="120" w:after="120"/>
              <w:contextualSpacing/>
              <w:rPr>
                <w:rFonts w:ascii="Arial Narrow" w:hAnsi="Arial Narrow" w:cs="Arial"/>
                <w:b/>
                <w:bCs/>
                <w:sz w:val="10"/>
                <w:szCs w:val="10"/>
                <w:lang w:val="en-US"/>
              </w:rPr>
            </w:pPr>
          </w:p>
        </w:tc>
        <w:tc>
          <w:tcPr>
            <w:tcW w:w="1639" w:type="dxa"/>
            <w:tcBorders>
              <w:left w:val="single" w:sz="24" w:space="0" w:color="FFFFFF"/>
              <w:right w:val="single" w:sz="48" w:space="0" w:color="FFFFFF"/>
            </w:tcBorders>
            <w:shd w:val="clear" w:color="auto" w:fill="auto"/>
          </w:tcPr>
          <w:p w14:paraId="51BBF610" w14:textId="77777777" w:rsidR="009940A7" w:rsidRPr="00BD295E" w:rsidRDefault="009940A7" w:rsidP="00E17E19">
            <w:pPr>
              <w:autoSpaceDE w:val="0"/>
              <w:autoSpaceDN w:val="0"/>
              <w:adjustRightInd w:val="0"/>
              <w:spacing w:before="120" w:after="120"/>
              <w:contextualSpacing/>
              <w:rPr>
                <w:rFonts w:ascii="Arial Narrow" w:hAnsi="Arial Narrow" w:cs="Arial"/>
                <w:b/>
                <w:bCs/>
                <w:sz w:val="10"/>
                <w:szCs w:val="10"/>
                <w:lang w:val="en-US"/>
              </w:rPr>
            </w:pPr>
          </w:p>
        </w:tc>
        <w:tc>
          <w:tcPr>
            <w:tcW w:w="1753" w:type="dxa"/>
            <w:tcBorders>
              <w:left w:val="single" w:sz="48" w:space="0" w:color="FFFFFF"/>
            </w:tcBorders>
            <w:shd w:val="clear" w:color="auto" w:fill="auto"/>
          </w:tcPr>
          <w:p w14:paraId="32DBB33B" w14:textId="77777777" w:rsidR="009940A7" w:rsidRPr="00BD295E" w:rsidRDefault="009940A7" w:rsidP="00E17E19">
            <w:pPr>
              <w:autoSpaceDE w:val="0"/>
              <w:autoSpaceDN w:val="0"/>
              <w:adjustRightInd w:val="0"/>
              <w:spacing w:before="120"/>
              <w:contextualSpacing/>
              <w:rPr>
                <w:rFonts w:ascii="Arial Narrow" w:hAnsi="Arial Narrow" w:cs="Arial"/>
                <w:b/>
                <w:bCs/>
                <w:sz w:val="10"/>
                <w:szCs w:val="10"/>
                <w:lang w:val="en-US"/>
              </w:rPr>
            </w:pPr>
          </w:p>
        </w:tc>
        <w:tc>
          <w:tcPr>
            <w:tcW w:w="1748" w:type="dxa"/>
            <w:tcBorders>
              <w:right w:val="single" w:sz="48" w:space="0" w:color="FFFFFF"/>
            </w:tcBorders>
            <w:shd w:val="clear" w:color="auto" w:fill="auto"/>
          </w:tcPr>
          <w:p w14:paraId="3177BC18" w14:textId="77777777" w:rsidR="009940A7" w:rsidRPr="00BD295E" w:rsidRDefault="009940A7" w:rsidP="00E17E19">
            <w:pPr>
              <w:autoSpaceDE w:val="0"/>
              <w:autoSpaceDN w:val="0"/>
              <w:adjustRightInd w:val="0"/>
              <w:spacing w:before="120" w:after="120"/>
              <w:contextualSpacing/>
              <w:rPr>
                <w:rFonts w:ascii="Arial Narrow" w:hAnsi="Arial Narrow" w:cs="Arial"/>
                <w:b/>
                <w:bCs/>
                <w:sz w:val="10"/>
                <w:szCs w:val="10"/>
                <w:lang w:val="en-US"/>
              </w:rPr>
            </w:pPr>
          </w:p>
        </w:tc>
        <w:tc>
          <w:tcPr>
            <w:tcW w:w="2814" w:type="dxa"/>
            <w:tcBorders>
              <w:left w:val="single" w:sz="48" w:space="0" w:color="FFFFFF"/>
            </w:tcBorders>
            <w:shd w:val="clear" w:color="auto" w:fill="auto"/>
          </w:tcPr>
          <w:p w14:paraId="5977C081" w14:textId="77777777" w:rsidR="009940A7" w:rsidRPr="00BD295E" w:rsidRDefault="009940A7" w:rsidP="00E17E19">
            <w:pPr>
              <w:autoSpaceDE w:val="0"/>
              <w:autoSpaceDN w:val="0"/>
              <w:adjustRightInd w:val="0"/>
              <w:spacing w:before="120"/>
              <w:contextualSpacing/>
              <w:rPr>
                <w:rFonts w:ascii="Arial Narrow" w:hAnsi="Arial Narrow" w:cs="Arial"/>
                <w:b/>
                <w:bCs/>
                <w:sz w:val="10"/>
                <w:szCs w:val="10"/>
                <w:lang w:val="en-US"/>
              </w:rPr>
            </w:pPr>
          </w:p>
        </w:tc>
      </w:tr>
      <w:tr w:rsidR="00E17E19" w:rsidRPr="00BD295E" w14:paraId="1393AA9C" w14:textId="77777777" w:rsidTr="006054DB">
        <w:tc>
          <w:tcPr>
            <w:tcW w:w="1457" w:type="dxa"/>
            <w:vMerge w:val="restart"/>
            <w:tcBorders>
              <w:right w:val="single" w:sz="24" w:space="0" w:color="FFFFFF"/>
            </w:tcBorders>
            <w:shd w:val="clear" w:color="auto" w:fill="auto"/>
          </w:tcPr>
          <w:p w14:paraId="27F0033F" w14:textId="77777777" w:rsidR="00E17E19" w:rsidRPr="00BD295E" w:rsidRDefault="00E17E19" w:rsidP="009940A7">
            <w:pPr>
              <w:autoSpaceDE w:val="0"/>
              <w:autoSpaceDN w:val="0"/>
              <w:adjustRightInd w:val="0"/>
              <w:contextualSpacing/>
              <w:rPr>
                <w:rFonts w:ascii="Arial Narrow" w:hAnsi="Arial Narrow" w:cs="Arial"/>
                <w:b/>
                <w:bCs/>
                <w:sz w:val="16"/>
                <w:szCs w:val="16"/>
                <w:lang w:val="en-US"/>
              </w:rPr>
            </w:pPr>
            <w:r w:rsidRPr="00BD295E">
              <w:rPr>
                <w:rFonts w:ascii="Arial Narrow" w:hAnsi="Arial Narrow" w:cs="Arial"/>
                <w:b/>
                <w:bCs/>
                <w:sz w:val="16"/>
                <w:szCs w:val="16"/>
                <w:lang w:val="en-US"/>
              </w:rPr>
              <w:t>Rosenergoatom, JSC</w:t>
            </w:r>
          </w:p>
          <w:p w14:paraId="17F164BB" w14:textId="3DB95CA2" w:rsidR="00E17E19" w:rsidRPr="00BD295E" w:rsidRDefault="00E17E19" w:rsidP="009940A7">
            <w:pPr>
              <w:autoSpaceDE w:val="0"/>
              <w:autoSpaceDN w:val="0"/>
              <w:adjustRightInd w:val="0"/>
              <w:contextualSpacing/>
              <w:rPr>
                <w:rFonts w:ascii="Arial Narrow" w:hAnsi="Arial Narrow" w:cs="Arial"/>
                <w:b/>
                <w:bCs/>
                <w:sz w:val="16"/>
                <w:szCs w:val="16"/>
                <w:lang w:val="en-US"/>
              </w:rPr>
            </w:pPr>
            <w:r w:rsidRPr="00BD295E">
              <w:rPr>
                <w:rFonts w:ascii="Arial Narrow" w:hAnsi="Arial Narrow" w:cs="Arial"/>
                <w:sz w:val="16"/>
                <w:szCs w:val="16"/>
                <w:lang w:val="en-US"/>
              </w:rPr>
              <w:t>Generation of electricity (capacity) at power</w:t>
            </w:r>
          </w:p>
        </w:tc>
        <w:tc>
          <w:tcPr>
            <w:tcW w:w="1639" w:type="dxa"/>
            <w:vMerge w:val="restart"/>
            <w:tcBorders>
              <w:left w:val="single" w:sz="24" w:space="0" w:color="FFFFFF"/>
              <w:right w:val="single" w:sz="48" w:space="0" w:color="FFFFFF"/>
            </w:tcBorders>
            <w:shd w:val="clear" w:color="auto" w:fill="auto"/>
          </w:tcPr>
          <w:p w14:paraId="31132026" w14:textId="77777777" w:rsidR="00E17E19" w:rsidRPr="00BD295E" w:rsidRDefault="00E17E19" w:rsidP="009940A7">
            <w:pPr>
              <w:autoSpaceDE w:val="0"/>
              <w:autoSpaceDN w:val="0"/>
              <w:adjustRightInd w:val="0"/>
              <w:contextualSpacing/>
              <w:rPr>
                <w:rFonts w:ascii="Arial Narrow" w:hAnsi="Arial Narrow" w:cs="Arial"/>
                <w:b/>
                <w:bCs/>
                <w:sz w:val="16"/>
                <w:szCs w:val="16"/>
                <w:lang w:val="en-US"/>
              </w:rPr>
            </w:pPr>
            <w:r w:rsidRPr="00BD295E">
              <w:rPr>
                <w:rFonts w:ascii="Arial Narrow" w:hAnsi="Arial Narrow" w:cs="Arial"/>
                <w:b/>
                <w:bCs/>
                <w:sz w:val="16"/>
                <w:szCs w:val="16"/>
                <w:lang w:val="en-US"/>
              </w:rPr>
              <w:t>RusHydro, PJSC</w:t>
            </w:r>
            <w:r w:rsidRPr="00BD295E">
              <w:rPr>
                <w:rFonts w:ascii="Arial Narrow" w:hAnsi="Arial Narrow" w:cs="Arial"/>
                <w:b/>
                <w:bCs/>
                <w:sz w:val="16"/>
                <w:szCs w:val="16"/>
                <w:vertAlign w:val="superscript"/>
                <w:lang w:val="en-US"/>
              </w:rPr>
              <w:t>10</w:t>
            </w:r>
          </w:p>
          <w:p w14:paraId="22B229A9" w14:textId="45C52C2B" w:rsidR="00E17E19" w:rsidRPr="00BD295E" w:rsidRDefault="00E17E19" w:rsidP="009940A7">
            <w:pPr>
              <w:autoSpaceDE w:val="0"/>
              <w:autoSpaceDN w:val="0"/>
              <w:adjustRightInd w:val="0"/>
              <w:contextualSpacing/>
              <w:rPr>
                <w:rFonts w:ascii="Arial Narrow" w:hAnsi="Arial Narrow" w:cs="Arial"/>
                <w:b/>
                <w:bCs/>
                <w:sz w:val="16"/>
                <w:szCs w:val="16"/>
                <w:lang w:val="en-US"/>
              </w:rPr>
            </w:pPr>
            <w:r w:rsidRPr="00BD295E">
              <w:rPr>
                <w:rFonts w:ascii="Arial Narrow" w:hAnsi="Arial Narrow" w:cs="Arial"/>
                <w:sz w:val="16"/>
                <w:szCs w:val="16"/>
                <w:lang w:val="en-US"/>
              </w:rPr>
              <w:t>Generation of electricity (capacity) at hydro power plants</w:t>
            </w:r>
          </w:p>
        </w:tc>
        <w:tc>
          <w:tcPr>
            <w:tcW w:w="1753" w:type="dxa"/>
            <w:tcBorders>
              <w:left w:val="single" w:sz="48" w:space="0" w:color="FFFFFF"/>
            </w:tcBorders>
            <w:shd w:val="clear" w:color="auto" w:fill="auto"/>
          </w:tcPr>
          <w:p w14:paraId="27F4F610" w14:textId="77777777" w:rsidR="00E17E19" w:rsidRPr="00BD295E" w:rsidRDefault="00E17E19" w:rsidP="009940A7">
            <w:pPr>
              <w:autoSpaceDE w:val="0"/>
              <w:autoSpaceDN w:val="0"/>
              <w:adjustRightInd w:val="0"/>
              <w:spacing w:before="120"/>
              <w:contextualSpacing/>
              <w:rPr>
                <w:rFonts w:ascii="Arial Narrow" w:hAnsi="Arial Narrow" w:cs="Arial"/>
                <w:b/>
                <w:bCs/>
                <w:sz w:val="16"/>
                <w:szCs w:val="16"/>
                <w:lang w:val="en-US"/>
              </w:rPr>
            </w:pPr>
            <w:r w:rsidRPr="00BD295E">
              <w:rPr>
                <w:rFonts w:ascii="Arial Narrow" w:hAnsi="Arial Narrow" w:cs="Arial"/>
                <w:b/>
                <w:bCs/>
                <w:sz w:val="16"/>
                <w:szCs w:val="16"/>
                <w:lang w:val="en-US"/>
              </w:rPr>
              <w:t xml:space="preserve">“FGC UES”, PJSC </w:t>
            </w:r>
          </w:p>
        </w:tc>
        <w:tc>
          <w:tcPr>
            <w:tcW w:w="1748" w:type="dxa"/>
            <w:tcBorders>
              <w:right w:val="single" w:sz="48" w:space="0" w:color="FFFFFF"/>
            </w:tcBorders>
            <w:shd w:val="clear" w:color="auto" w:fill="auto"/>
          </w:tcPr>
          <w:p w14:paraId="7B908A18" w14:textId="77777777" w:rsidR="00E17E19" w:rsidRPr="00BD295E" w:rsidRDefault="00E17E19" w:rsidP="009940A7">
            <w:pPr>
              <w:autoSpaceDE w:val="0"/>
              <w:autoSpaceDN w:val="0"/>
              <w:adjustRightInd w:val="0"/>
              <w:spacing w:before="120"/>
              <w:contextualSpacing/>
              <w:rPr>
                <w:rFonts w:ascii="Arial Narrow" w:hAnsi="Arial Narrow" w:cs="Arial"/>
                <w:b/>
                <w:bCs/>
                <w:sz w:val="16"/>
                <w:szCs w:val="16"/>
                <w:lang w:val="en-US"/>
              </w:rPr>
            </w:pPr>
            <w:r w:rsidRPr="00BD295E">
              <w:rPr>
                <w:rFonts w:ascii="Arial Narrow" w:hAnsi="Arial Narrow" w:cs="Arial"/>
                <w:b/>
                <w:bCs/>
                <w:sz w:val="16"/>
                <w:szCs w:val="16"/>
                <w:lang w:val="en-US"/>
              </w:rPr>
              <w:t>Interregional Distribution Grid Companies (IDGCs)</w:t>
            </w:r>
          </w:p>
        </w:tc>
        <w:tc>
          <w:tcPr>
            <w:tcW w:w="2814" w:type="dxa"/>
            <w:tcBorders>
              <w:left w:val="single" w:sz="48" w:space="0" w:color="FFFFFF"/>
            </w:tcBorders>
            <w:shd w:val="clear" w:color="auto" w:fill="auto"/>
          </w:tcPr>
          <w:p w14:paraId="730EA317" w14:textId="77777777" w:rsidR="00E17E19" w:rsidRPr="00BD295E" w:rsidRDefault="00E17E19" w:rsidP="009940A7">
            <w:pPr>
              <w:autoSpaceDE w:val="0"/>
              <w:autoSpaceDN w:val="0"/>
              <w:adjustRightInd w:val="0"/>
              <w:spacing w:before="120"/>
              <w:contextualSpacing/>
              <w:rPr>
                <w:rFonts w:ascii="Arial Narrow" w:hAnsi="Arial Narrow" w:cs="Arial"/>
                <w:b/>
                <w:bCs/>
                <w:sz w:val="16"/>
                <w:szCs w:val="16"/>
                <w:lang w:val="en-US"/>
              </w:rPr>
            </w:pPr>
            <w:r w:rsidRPr="00BD295E">
              <w:rPr>
                <w:rFonts w:ascii="Arial Narrow" w:hAnsi="Arial Narrow" w:cs="Arial"/>
                <w:b/>
                <w:bCs/>
                <w:sz w:val="16"/>
                <w:szCs w:val="16"/>
                <w:lang w:val="en-US"/>
              </w:rPr>
              <w:t>Industrial consumers and households</w:t>
            </w:r>
          </w:p>
        </w:tc>
      </w:tr>
      <w:tr w:rsidR="00E17E19" w:rsidRPr="00BD295E" w14:paraId="1DD68C48" w14:textId="77777777" w:rsidTr="006054DB">
        <w:tc>
          <w:tcPr>
            <w:tcW w:w="1457" w:type="dxa"/>
            <w:vMerge/>
            <w:tcBorders>
              <w:right w:val="single" w:sz="24" w:space="0" w:color="FFFFFF"/>
            </w:tcBorders>
            <w:shd w:val="clear" w:color="auto" w:fill="auto"/>
          </w:tcPr>
          <w:p w14:paraId="2304E2E3" w14:textId="2E44FECE" w:rsidR="00E17E19" w:rsidRPr="00BD295E" w:rsidRDefault="00E17E19" w:rsidP="0009364E">
            <w:pPr>
              <w:autoSpaceDE w:val="0"/>
              <w:autoSpaceDN w:val="0"/>
              <w:adjustRightInd w:val="0"/>
              <w:contextualSpacing/>
              <w:rPr>
                <w:rFonts w:ascii="Arial Narrow" w:hAnsi="Arial Narrow" w:cs="Arial"/>
                <w:sz w:val="16"/>
                <w:szCs w:val="16"/>
                <w:lang w:val="en-US"/>
              </w:rPr>
            </w:pPr>
          </w:p>
        </w:tc>
        <w:tc>
          <w:tcPr>
            <w:tcW w:w="1639" w:type="dxa"/>
            <w:vMerge/>
            <w:tcBorders>
              <w:left w:val="single" w:sz="24" w:space="0" w:color="FFFFFF"/>
              <w:right w:val="single" w:sz="48" w:space="0" w:color="FFFFFF"/>
            </w:tcBorders>
            <w:shd w:val="clear" w:color="auto" w:fill="auto"/>
          </w:tcPr>
          <w:p w14:paraId="0D80EB7F" w14:textId="5623A8E4" w:rsidR="00E17E19" w:rsidRPr="00BD295E" w:rsidRDefault="00E17E19" w:rsidP="0009364E">
            <w:pPr>
              <w:autoSpaceDE w:val="0"/>
              <w:autoSpaceDN w:val="0"/>
              <w:adjustRightInd w:val="0"/>
              <w:contextualSpacing/>
              <w:rPr>
                <w:rFonts w:ascii="Arial Narrow" w:hAnsi="Arial Narrow" w:cs="Arial"/>
                <w:sz w:val="16"/>
                <w:szCs w:val="16"/>
                <w:lang w:val="en-US"/>
              </w:rPr>
            </w:pPr>
          </w:p>
        </w:tc>
        <w:tc>
          <w:tcPr>
            <w:tcW w:w="1753" w:type="dxa"/>
            <w:tcBorders>
              <w:left w:val="single" w:sz="48" w:space="0" w:color="FFFFFF"/>
            </w:tcBorders>
            <w:shd w:val="clear" w:color="auto" w:fill="auto"/>
          </w:tcPr>
          <w:p w14:paraId="25D71020" w14:textId="77777777" w:rsidR="00E17E19" w:rsidRPr="00BD295E" w:rsidRDefault="00E17E19" w:rsidP="0009364E">
            <w:pPr>
              <w:autoSpaceDE w:val="0"/>
              <w:autoSpaceDN w:val="0"/>
              <w:adjustRightInd w:val="0"/>
              <w:contextualSpacing/>
              <w:rPr>
                <w:rFonts w:ascii="Arial Narrow" w:hAnsi="Arial Narrow" w:cs="Arial"/>
                <w:sz w:val="16"/>
                <w:szCs w:val="16"/>
                <w:lang w:val="en-US"/>
              </w:rPr>
            </w:pPr>
            <w:r w:rsidRPr="00BD295E">
              <w:rPr>
                <w:rFonts w:ascii="Arial Narrow" w:hAnsi="Arial Narrow" w:cs="Arial"/>
                <w:sz w:val="16"/>
                <w:szCs w:val="16"/>
                <w:lang w:val="en-US"/>
              </w:rPr>
              <w:t>Backbone high-voltage grids (220+ V)</w:t>
            </w:r>
          </w:p>
        </w:tc>
        <w:tc>
          <w:tcPr>
            <w:tcW w:w="1748" w:type="dxa"/>
            <w:tcBorders>
              <w:right w:val="single" w:sz="48" w:space="0" w:color="FFFFFF"/>
            </w:tcBorders>
            <w:shd w:val="clear" w:color="auto" w:fill="auto"/>
          </w:tcPr>
          <w:p w14:paraId="46925CD0" w14:textId="77777777" w:rsidR="00E17E19" w:rsidRPr="00BD295E" w:rsidRDefault="00E17E19" w:rsidP="00E17E19">
            <w:pPr>
              <w:autoSpaceDE w:val="0"/>
              <w:autoSpaceDN w:val="0"/>
              <w:adjustRightInd w:val="0"/>
              <w:spacing w:after="120"/>
              <w:contextualSpacing/>
              <w:rPr>
                <w:rFonts w:ascii="Arial Narrow" w:hAnsi="Arial Narrow" w:cs="Arial"/>
                <w:sz w:val="16"/>
                <w:szCs w:val="16"/>
                <w:lang w:val="en-US"/>
              </w:rPr>
            </w:pPr>
            <w:r w:rsidRPr="00BD295E">
              <w:rPr>
                <w:rFonts w:ascii="Arial Narrow" w:hAnsi="Arial Narrow" w:cs="Arial"/>
                <w:sz w:val="16"/>
                <w:szCs w:val="16"/>
                <w:lang w:val="en-US"/>
              </w:rPr>
              <w:t>Transmission/distribution of electricity via territorial electric grids</w:t>
            </w:r>
          </w:p>
        </w:tc>
        <w:tc>
          <w:tcPr>
            <w:tcW w:w="2814" w:type="dxa"/>
            <w:tcBorders>
              <w:left w:val="single" w:sz="48" w:space="0" w:color="FFFFFF"/>
            </w:tcBorders>
            <w:shd w:val="clear" w:color="auto" w:fill="auto"/>
          </w:tcPr>
          <w:p w14:paraId="77FF7273" w14:textId="77777777" w:rsidR="00E17E19" w:rsidRPr="00BD295E" w:rsidRDefault="00E17E19" w:rsidP="0009364E">
            <w:pPr>
              <w:autoSpaceDE w:val="0"/>
              <w:autoSpaceDN w:val="0"/>
              <w:adjustRightInd w:val="0"/>
              <w:contextualSpacing/>
              <w:rPr>
                <w:rFonts w:ascii="Arial Narrow" w:hAnsi="Arial Narrow" w:cs="Arial"/>
                <w:sz w:val="16"/>
                <w:szCs w:val="16"/>
                <w:lang w:val="en-US"/>
              </w:rPr>
            </w:pPr>
          </w:p>
        </w:tc>
      </w:tr>
      <w:tr w:rsidR="009940A7" w:rsidRPr="00BD295E" w14:paraId="589F2BA5" w14:textId="77777777" w:rsidTr="006054DB">
        <w:tc>
          <w:tcPr>
            <w:tcW w:w="1457" w:type="dxa"/>
            <w:tcBorders>
              <w:right w:val="single" w:sz="24" w:space="0" w:color="FFFFFF"/>
            </w:tcBorders>
            <w:shd w:val="clear" w:color="auto" w:fill="auto"/>
          </w:tcPr>
          <w:p w14:paraId="1F1EDE54" w14:textId="77777777" w:rsidR="009940A7" w:rsidRPr="00BD295E" w:rsidRDefault="009940A7" w:rsidP="0009364E">
            <w:pPr>
              <w:autoSpaceDE w:val="0"/>
              <w:autoSpaceDN w:val="0"/>
              <w:adjustRightInd w:val="0"/>
              <w:contextualSpacing/>
              <w:rPr>
                <w:rFonts w:ascii="Arial Narrow" w:hAnsi="Arial Narrow" w:cs="Arial"/>
                <w:sz w:val="10"/>
                <w:szCs w:val="10"/>
                <w:lang w:val="en-US"/>
              </w:rPr>
            </w:pPr>
          </w:p>
        </w:tc>
        <w:tc>
          <w:tcPr>
            <w:tcW w:w="1639" w:type="dxa"/>
            <w:tcBorders>
              <w:left w:val="single" w:sz="24" w:space="0" w:color="FFFFFF"/>
              <w:right w:val="single" w:sz="48" w:space="0" w:color="FFFFFF"/>
            </w:tcBorders>
            <w:shd w:val="clear" w:color="auto" w:fill="auto"/>
          </w:tcPr>
          <w:p w14:paraId="7E440CE9" w14:textId="77777777" w:rsidR="009940A7" w:rsidRPr="00BD295E" w:rsidRDefault="009940A7" w:rsidP="0009364E">
            <w:pPr>
              <w:autoSpaceDE w:val="0"/>
              <w:autoSpaceDN w:val="0"/>
              <w:adjustRightInd w:val="0"/>
              <w:contextualSpacing/>
              <w:rPr>
                <w:rFonts w:ascii="Arial Narrow" w:hAnsi="Arial Narrow" w:cs="Arial"/>
                <w:sz w:val="10"/>
                <w:szCs w:val="10"/>
                <w:lang w:val="en-US"/>
              </w:rPr>
            </w:pPr>
          </w:p>
        </w:tc>
        <w:tc>
          <w:tcPr>
            <w:tcW w:w="1753" w:type="dxa"/>
            <w:tcBorders>
              <w:left w:val="single" w:sz="48" w:space="0" w:color="FFFFFF"/>
            </w:tcBorders>
            <w:shd w:val="clear" w:color="auto" w:fill="auto"/>
          </w:tcPr>
          <w:p w14:paraId="13B04307" w14:textId="77777777" w:rsidR="009940A7" w:rsidRPr="00BD295E" w:rsidRDefault="009940A7" w:rsidP="0009364E">
            <w:pPr>
              <w:autoSpaceDE w:val="0"/>
              <w:autoSpaceDN w:val="0"/>
              <w:adjustRightInd w:val="0"/>
              <w:contextualSpacing/>
              <w:rPr>
                <w:rFonts w:ascii="Arial Narrow" w:hAnsi="Arial Narrow" w:cs="Arial"/>
                <w:sz w:val="10"/>
                <w:szCs w:val="10"/>
                <w:lang w:val="en-US"/>
              </w:rPr>
            </w:pPr>
          </w:p>
        </w:tc>
        <w:tc>
          <w:tcPr>
            <w:tcW w:w="1748" w:type="dxa"/>
            <w:tcBorders>
              <w:right w:val="single" w:sz="48" w:space="0" w:color="FFFFFF"/>
            </w:tcBorders>
            <w:shd w:val="clear" w:color="auto" w:fill="auto"/>
          </w:tcPr>
          <w:p w14:paraId="6C082B19" w14:textId="77777777" w:rsidR="009940A7" w:rsidRPr="00BD295E" w:rsidRDefault="009940A7" w:rsidP="00E17E19">
            <w:pPr>
              <w:autoSpaceDE w:val="0"/>
              <w:autoSpaceDN w:val="0"/>
              <w:adjustRightInd w:val="0"/>
              <w:spacing w:after="120"/>
              <w:contextualSpacing/>
              <w:rPr>
                <w:rFonts w:ascii="Arial Narrow" w:hAnsi="Arial Narrow" w:cs="Arial"/>
                <w:sz w:val="10"/>
                <w:szCs w:val="10"/>
                <w:lang w:val="en-US"/>
              </w:rPr>
            </w:pPr>
          </w:p>
        </w:tc>
        <w:tc>
          <w:tcPr>
            <w:tcW w:w="2814" w:type="dxa"/>
            <w:tcBorders>
              <w:left w:val="single" w:sz="48" w:space="0" w:color="FFFFFF"/>
            </w:tcBorders>
            <w:shd w:val="clear" w:color="auto" w:fill="auto"/>
          </w:tcPr>
          <w:p w14:paraId="106A49D5" w14:textId="77777777" w:rsidR="009940A7" w:rsidRPr="00BD295E" w:rsidRDefault="009940A7" w:rsidP="0009364E">
            <w:pPr>
              <w:autoSpaceDE w:val="0"/>
              <w:autoSpaceDN w:val="0"/>
              <w:adjustRightInd w:val="0"/>
              <w:contextualSpacing/>
              <w:rPr>
                <w:rFonts w:ascii="Arial Narrow" w:hAnsi="Arial Narrow" w:cs="Arial"/>
                <w:sz w:val="10"/>
                <w:szCs w:val="10"/>
                <w:lang w:val="en-US"/>
              </w:rPr>
            </w:pPr>
          </w:p>
        </w:tc>
      </w:tr>
      <w:tr w:rsidR="00E17E19" w:rsidRPr="00BD295E" w14:paraId="63A956A0" w14:textId="77777777" w:rsidTr="006054DB">
        <w:tc>
          <w:tcPr>
            <w:tcW w:w="3096" w:type="dxa"/>
            <w:gridSpan w:val="2"/>
            <w:tcBorders>
              <w:right w:val="single" w:sz="48" w:space="0" w:color="FFFFFF"/>
            </w:tcBorders>
            <w:shd w:val="clear" w:color="auto" w:fill="263D4F"/>
            <w:vAlign w:val="center"/>
          </w:tcPr>
          <w:p w14:paraId="4A1B4B21" w14:textId="5ED0C565" w:rsidR="00E17E19" w:rsidRPr="00BD295E" w:rsidRDefault="00E17E19" w:rsidP="0009364E">
            <w:pPr>
              <w:autoSpaceDE w:val="0"/>
              <w:autoSpaceDN w:val="0"/>
              <w:adjustRightInd w:val="0"/>
              <w:contextualSpacing/>
              <w:jc w:val="center"/>
              <w:rPr>
                <w:rFonts w:ascii="Arial Narrow" w:hAnsi="Arial Narrow" w:cs="Arial"/>
                <w:color w:val="FFFFFF"/>
                <w:sz w:val="18"/>
                <w:szCs w:val="18"/>
                <w:lang w:val="en-US"/>
              </w:rPr>
            </w:pPr>
            <w:r w:rsidRPr="00BD295E">
              <w:rPr>
                <w:rFonts w:ascii="Arial Narrow" w:hAnsi="Arial Narrow" w:cs="Arial"/>
                <w:color w:val="FFFFFF"/>
                <w:sz w:val="18"/>
                <w:szCs w:val="18"/>
                <w:lang w:val="en-US"/>
              </w:rPr>
              <w:t>TPPs</w:t>
            </w:r>
          </w:p>
        </w:tc>
        <w:tc>
          <w:tcPr>
            <w:tcW w:w="1753" w:type="dxa"/>
            <w:vMerge w:val="restart"/>
            <w:tcBorders>
              <w:left w:val="single" w:sz="48" w:space="0" w:color="FFFFFF"/>
            </w:tcBorders>
            <w:shd w:val="clear" w:color="auto" w:fill="auto"/>
          </w:tcPr>
          <w:p w14:paraId="141E128C" w14:textId="2D678A63" w:rsidR="00E17E19" w:rsidRPr="00BD295E" w:rsidRDefault="00E17E19" w:rsidP="0009364E">
            <w:pPr>
              <w:autoSpaceDE w:val="0"/>
              <w:autoSpaceDN w:val="0"/>
              <w:adjustRightInd w:val="0"/>
              <w:contextualSpacing/>
              <w:rPr>
                <w:rFonts w:ascii="Arial Narrow" w:hAnsi="Arial Narrow" w:cs="Arial"/>
                <w:sz w:val="18"/>
                <w:szCs w:val="18"/>
                <w:lang w:val="en-US"/>
              </w:rPr>
            </w:pPr>
            <w:r w:rsidRPr="00BD295E">
              <w:rPr>
                <w:rFonts w:ascii="Arial Narrow" w:hAnsi="Arial Narrow" w:cs="Arial"/>
                <w:sz w:val="16"/>
                <w:szCs w:val="16"/>
                <w:lang w:val="en-US"/>
              </w:rPr>
              <w:t>Electricity distribution via the grids of the United National Electric Grid</w:t>
            </w:r>
          </w:p>
        </w:tc>
        <w:tc>
          <w:tcPr>
            <w:tcW w:w="1748" w:type="dxa"/>
            <w:vMerge w:val="restart"/>
            <w:tcBorders>
              <w:right w:val="single" w:sz="48" w:space="0" w:color="FFFFFF"/>
            </w:tcBorders>
            <w:shd w:val="clear" w:color="auto" w:fill="auto"/>
          </w:tcPr>
          <w:p w14:paraId="60BA4B5D" w14:textId="4FBD2EF5" w:rsidR="00E17E19" w:rsidRPr="00BD295E" w:rsidRDefault="00E17E19" w:rsidP="009940A7">
            <w:pPr>
              <w:autoSpaceDE w:val="0"/>
              <w:autoSpaceDN w:val="0"/>
              <w:adjustRightInd w:val="0"/>
              <w:spacing w:after="120"/>
              <w:contextualSpacing/>
              <w:rPr>
                <w:rFonts w:ascii="Arial Narrow" w:hAnsi="Arial Narrow" w:cs="Arial"/>
                <w:color w:val="00849D"/>
                <w:sz w:val="18"/>
                <w:szCs w:val="18"/>
                <w:lang w:val="en-US"/>
              </w:rPr>
            </w:pPr>
            <w:r w:rsidRPr="00BD295E">
              <w:rPr>
                <w:rFonts w:ascii="Arial Narrow" w:hAnsi="Arial Narrow" w:cs="Arial"/>
                <w:sz w:val="16"/>
                <w:szCs w:val="16"/>
                <w:lang w:val="en-US"/>
              </w:rPr>
              <w:t xml:space="preserve">IDGCs include </w:t>
            </w:r>
            <w:r w:rsidRPr="00BD295E">
              <w:rPr>
                <w:rFonts w:ascii="Arial Narrow" w:hAnsi="Arial Narrow" w:cs="Arial"/>
                <w:b/>
                <w:bCs/>
                <w:sz w:val="16"/>
                <w:szCs w:val="16"/>
                <w:lang w:val="en-US"/>
              </w:rPr>
              <w:t>PJSC “Lenenergo”</w:t>
            </w:r>
          </w:p>
        </w:tc>
        <w:tc>
          <w:tcPr>
            <w:tcW w:w="2814" w:type="dxa"/>
            <w:tcBorders>
              <w:left w:val="single" w:sz="48" w:space="0" w:color="FFFFFF"/>
            </w:tcBorders>
            <w:shd w:val="clear" w:color="auto" w:fill="auto"/>
          </w:tcPr>
          <w:p w14:paraId="65EA2C10" w14:textId="77777777" w:rsidR="00E17E19" w:rsidRPr="00BD295E" w:rsidRDefault="00E17E19" w:rsidP="0009364E">
            <w:pPr>
              <w:autoSpaceDE w:val="0"/>
              <w:autoSpaceDN w:val="0"/>
              <w:adjustRightInd w:val="0"/>
              <w:contextualSpacing/>
              <w:rPr>
                <w:rFonts w:ascii="Arial Narrow" w:hAnsi="Arial Narrow" w:cs="Arial"/>
                <w:sz w:val="18"/>
                <w:szCs w:val="18"/>
                <w:lang w:val="en-US"/>
              </w:rPr>
            </w:pPr>
          </w:p>
        </w:tc>
      </w:tr>
      <w:tr w:rsidR="00E17E19" w:rsidRPr="00BD295E" w14:paraId="511B0DCE" w14:textId="77777777" w:rsidTr="006054DB">
        <w:tc>
          <w:tcPr>
            <w:tcW w:w="1457" w:type="dxa"/>
            <w:vMerge w:val="restart"/>
            <w:shd w:val="clear" w:color="auto" w:fill="auto"/>
          </w:tcPr>
          <w:p w14:paraId="61AF0FCC" w14:textId="77777777" w:rsidR="00E17E19" w:rsidRPr="00BD295E" w:rsidRDefault="00E17E19" w:rsidP="00E17E19">
            <w:pPr>
              <w:autoSpaceDE w:val="0"/>
              <w:autoSpaceDN w:val="0"/>
              <w:adjustRightInd w:val="0"/>
              <w:spacing w:before="120" w:after="120"/>
              <w:contextualSpacing/>
              <w:rPr>
                <w:rFonts w:ascii="Arial Narrow" w:hAnsi="Arial Narrow" w:cs="Arial"/>
                <w:b/>
                <w:bCs/>
                <w:sz w:val="16"/>
                <w:szCs w:val="16"/>
                <w:lang w:val="en-US"/>
              </w:rPr>
            </w:pPr>
            <w:r w:rsidRPr="00BD295E">
              <w:rPr>
                <w:rFonts w:ascii="Arial Narrow" w:hAnsi="Arial Narrow" w:cs="Arial"/>
                <w:b/>
                <w:bCs/>
                <w:sz w:val="16"/>
                <w:szCs w:val="16"/>
                <w:lang w:val="en-US"/>
              </w:rPr>
              <w:t>TGC</w:t>
            </w:r>
            <w:r w:rsidRPr="00BD295E">
              <w:rPr>
                <w:rFonts w:ascii="Arial Narrow" w:hAnsi="Arial Narrow" w:cs="Arial"/>
                <w:b/>
                <w:bCs/>
                <w:sz w:val="16"/>
                <w:szCs w:val="16"/>
                <w:vertAlign w:val="superscript"/>
                <w:lang w:val="en-US"/>
              </w:rPr>
              <w:t>10</w:t>
            </w:r>
          </w:p>
          <w:p w14:paraId="533EB8C7" w14:textId="13FDF953" w:rsidR="00E17E19" w:rsidRPr="00BD295E" w:rsidRDefault="00E17E19" w:rsidP="0009364E">
            <w:pPr>
              <w:autoSpaceDE w:val="0"/>
              <w:autoSpaceDN w:val="0"/>
              <w:adjustRightInd w:val="0"/>
              <w:contextualSpacing/>
              <w:rPr>
                <w:rFonts w:ascii="Arial Narrow" w:hAnsi="Arial Narrow" w:cs="Arial"/>
                <w:b/>
                <w:bCs/>
                <w:sz w:val="16"/>
                <w:szCs w:val="16"/>
                <w:lang w:val="en-US"/>
              </w:rPr>
            </w:pPr>
            <w:r w:rsidRPr="00BD295E">
              <w:rPr>
                <w:rFonts w:ascii="Arial Narrow" w:hAnsi="Arial Narrow" w:cs="Arial"/>
                <w:sz w:val="16"/>
                <w:szCs w:val="16"/>
                <w:lang w:val="en-US"/>
              </w:rPr>
              <w:t>Territorial generating companies</w:t>
            </w:r>
          </w:p>
        </w:tc>
        <w:tc>
          <w:tcPr>
            <w:tcW w:w="1639" w:type="dxa"/>
            <w:vMerge w:val="restart"/>
            <w:tcBorders>
              <w:right w:val="single" w:sz="48" w:space="0" w:color="FFFFFF"/>
            </w:tcBorders>
            <w:shd w:val="clear" w:color="auto" w:fill="auto"/>
          </w:tcPr>
          <w:p w14:paraId="2407FC16" w14:textId="77777777" w:rsidR="00E17E19" w:rsidRPr="00BD295E" w:rsidRDefault="00E17E19" w:rsidP="00E17E19">
            <w:pPr>
              <w:autoSpaceDE w:val="0"/>
              <w:autoSpaceDN w:val="0"/>
              <w:adjustRightInd w:val="0"/>
              <w:spacing w:before="120" w:after="120"/>
              <w:contextualSpacing/>
              <w:rPr>
                <w:rFonts w:ascii="Arial Narrow" w:hAnsi="Arial Narrow" w:cs="Arial"/>
                <w:b/>
                <w:bCs/>
                <w:sz w:val="16"/>
                <w:szCs w:val="16"/>
                <w:lang w:val="en-US"/>
              </w:rPr>
            </w:pPr>
            <w:r w:rsidRPr="00BD295E">
              <w:rPr>
                <w:rFonts w:ascii="Arial Narrow" w:hAnsi="Arial Narrow" w:cs="Arial"/>
                <w:b/>
                <w:bCs/>
                <w:sz w:val="16"/>
                <w:szCs w:val="16"/>
                <w:lang w:val="en-US"/>
              </w:rPr>
              <w:t>OGC</w:t>
            </w:r>
            <w:r w:rsidRPr="00BD295E">
              <w:rPr>
                <w:rFonts w:ascii="Arial Narrow" w:hAnsi="Arial Narrow" w:cs="Arial"/>
                <w:b/>
                <w:bCs/>
                <w:sz w:val="16"/>
                <w:szCs w:val="16"/>
                <w:vertAlign w:val="superscript"/>
                <w:lang w:val="en-US"/>
              </w:rPr>
              <w:t>10</w:t>
            </w:r>
          </w:p>
          <w:p w14:paraId="28438F5F" w14:textId="615EA0BF" w:rsidR="00E17E19" w:rsidRPr="00BD295E" w:rsidRDefault="00E17E19" w:rsidP="009940A7">
            <w:pPr>
              <w:autoSpaceDE w:val="0"/>
              <w:autoSpaceDN w:val="0"/>
              <w:adjustRightInd w:val="0"/>
              <w:contextualSpacing/>
              <w:rPr>
                <w:rFonts w:ascii="Arial Narrow" w:hAnsi="Arial Narrow" w:cs="Arial"/>
                <w:b/>
                <w:bCs/>
                <w:sz w:val="16"/>
                <w:szCs w:val="16"/>
                <w:lang w:val="en-US"/>
              </w:rPr>
            </w:pPr>
            <w:r w:rsidRPr="00BD295E">
              <w:rPr>
                <w:rFonts w:ascii="Arial Narrow" w:hAnsi="Arial Narrow" w:cs="Arial"/>
                <w:sz w:val="16"/>
                <w:szCs w:val="16"/>
                <w:lang w:val="en-US"/>
              </w:rPr>
              <w:t>Heat generating companies operating in the wholesale market</w:t>
            </w:r>
          </w:p>
        </w:tc>
        <w:tc>
          <w:tcPr>
            <w:tcW w:w="1753" w:type="dxa"/>
            <w:vMerge/>
            <w:tcBorders>
              <w:left w:val="single" w:sz="48" w:space="0" w:color="FFFFFF"/>
            </w:tcBorders>
            <w:shd w:val="clear" w:color="auto" w:fill="auto"/>
          </w:tcPr>
          <w:p w14:paraId="42E00AA0" w14:textId="77777777" w:rsidR="00E17E19" w:rsidRPr="00BD295E" w:rsidRDefault="00E17E19" w:rsidP="0009364E">
            <w:pPr>
              <w:autoSpaceDE w:val="0"/>
              <w:autoSpaceDN w:val="0"/>
              <w:adjustRightInd w:val="0"/>
              <w:contextualSpacing/>
              <w:rPr>
                <w:rFonts w:ascii="Arial Narrow" w:hAnsi="Arial Narrow" w:cs="Arial"/>
                <w:sz w:val="18"/>
                <w:szCs w:val="18"/>
                <w:lang w:val="en-US"/>
              </w:rPr>
            </w:pPr>
          </w:p>
        </w:tc>
        <w:tc>
          <w:tcPr>
            <w:tcW w:w="1748" w:type="dxa"/>
            <w:vMerge/>
            <w:tcBorders>
              <w:right w:val="single" w:sz="48" w:space="0" w:color="FFFFFF"/>
            </w:tcBorders>
            <w:shd w:val="clear" w:color="auto" w:fill="auto"/>
          </w:tcPr>
          <w:p w14:paraId="2804712C" w14:textId="7692E3B7" w:rsidR="00E17E19" w:rsidRPr="00BD295E" w:rsidRDefault="00E17E19" w:rsidP="0009364E">
            <w:pPr>
              <w:autoSpaceDE w:val="0"/>
              <w:autoSpaceDN w:val="0"/>
              <w:adjustRightInd w:val="0"/>
              <w:contextualSpacing/>
              <w:rPr>
                <w:rFonts w:ascii="Arial Narrow" w:hAnsi="Arial Narrow" w:cs="Arial"/>
                <w:sz w:val="18"/>
                <w:szCs w:val="18"/>
                <w:lang w:val="en-US"/>
              </w:rPr>
            </w:pPr>
          </w:p>
        </w:tc>
        <w:tc>
          <w:tcPr>
            <w:tcW w:w="2814" w:type="dxa"/>
            <w:tcBorders>
              <w:left w:val="single" w:sz="48" w:space="0" w:color="FFFFFF"/>
            </w:tcBorders>
            <w:shd w:val="clear" w:color="auto" w:fill="auto"/>
          </w:tcPr>
          <w:p w14:paraId="4D765EAE" w14:textId="77777777" w:rsidR="00E17E19" w:rsidRPr="00BD295E" w:rsidRDefault="00E17E19" w:rsidP="0009364E">
            <w:pPr>
              <w:autoSpaceDE w:val="0"/>
              <w:autoSpaceDN w:val="0"/>
              <w:adjustRightInd w:val="0"/>
              <w:contextualSpacing/>
              <w:rPr>
                <w:rFonts w:ascii="Arial Narrow" w:hAnsi="Arial Narrow" w:cs="Arial"/>
                <w:sz w:val="18"/>
                <w:szCs w:val="18"/>
                <w:lang w:val="en-US"/>
              </w:rPr>
            </w:pPr>
          </w:p>
        </w:tc>
      </w:tr>
      <w:tr w:rsidR="00E17E19" w:rsidRPr="00BD295E" w14:paraId="3109C993" w14:textId="77777777" w:rsidTr="006054DB">
        <w:tc>
          <w:tcPr>
            <w:tcW w:w="1457" w:type="dxa"/>
            <w:vMerge/>
            <w:shd w:val="clear" w:color="auto" w:fill="auto"/>
          </w:tcPr>
          <w:p w14:paraId="15ED7473" w14:textId="4FAE02D2" w:rsidR="00E17E19" w:rsidRPr="00BD295E" w:rsidRDefault="00E17E19" w:rsidP="0009364E">
            <w:pPr>
              <w:autoSpaceDE w:val="0"/>
              <w:autoSpaceDN w:val="0"/>
              <w:adjustRightInd w:val="0"/>
              <w:contextualSpacing/>
              <w:rPr>
                <w:rFonts w:ascii="Arial Narrow" w:hAnsi="Arial Narrow" w:cs="Arial"/>
                <w:sz w:val="16"/>
                <w:szCs w:val="16"/>
                <w:lang w:val="en-US"/>
              </w:rPr>
            </w:pPr>
          </w:p>
        </w:tc>
        <w:tc>
          <w:tcPr>
            <w:tcW w:w="1639" w:type="dxa"/>
            <w:vMerge/>
            <w:tcBorders>
              <w:right w:val="single" w:sz="48" w:space="0" w:color="FFFFFF"/>
            </w:tcBorders>
            <w:shd w:val="clear" w:color="auto" w:fill="auto"/>
          </w:tcPr>
          <w:p w14:paraId="519926BC" w14:textId="6F9E3945" w:rsidR="00E17E19" w:rsidRPr="00BD295E" w:rsidRDefault="00E17E19" w:rsidP="0009364E">
            <w:pPr>
              <w:autoSpaceDE w:val="0"/>
              <w:autoSpaceDN w:val="0"/>
              <w:adjustRightInd w:val="0"/>
              <w:contextualSpacing/>
              <w:rPr>
                <w:rFonts w:ascii="Arial Narrow" w:hAnsi="Arial Narrow" w:cs="Arial"/>
                <w:sz w:val="16"/>
                <w:szCs w:val="16"/>
                <w:lang w:val="en-US"/>
              </w:rPr>
            </w:pPr>
          </w:p>
        </w:tc>
        <w:tc>
          <w:tcPr>
            <w:tcW w:w="1753" w:type="dxa"/>
            <w:tcBorders>
              <w:left w:val="single" w:sz="48" w:space="0" w:color="FFFFFF"/>
            </w:tcBorders>
            <w:shd w:val="clear" w:color="auto" w:fill="auto"/>
          </w:tcPr>
          <w:p w14:paraId="7B6FD4A8" w14:textId="77777777" w:rsidR="00E17E19" w:rsidRPr="00BD295E" w:rsidRDefault="00E17E19" w:rsidP="0009364E">
            <w:pPr>
              <w:autoSpaceDE w:val="0"/>
              <w:autoSpaceDN w:val="0"/>
              <w:adjustRightInd w:val="0"/>
              <w:contextualSpacing/>
              <w:rPr>
                <w:rFonts w:ascii="Arial Narrow" w:hAnsi="Arial Narrow" w:cs="Arial"/>
                <w:sz w:val="16"/>
                <w:szCs w:val="16"/>
                <w:lang w:val="en-US"/>
              </w:rPr>
            </w:pPr>
          </w:p>
        </w:tc>
        <w:tc>
          <w:tcPr>
            <w:tcW w:w="1748" w:type="dxa"/>
            <w:tcBorders>
              <w:right w:val="single" w:sz="48" w:space="0" w:color="FFFFFF"/>
            </w:tcBorders>
            <w:shd w:val="clear" w:color="auto" w:fill="auto"/>
          </w:tcPr>
          <w:p w14:paraId="0C3E337C" w14:textId="27BF583A" w:rsidR="00E17E19" w:rsidRPr="00BD295E" w:rsidRDefault="009940A7" w:rsidP="0009364E">
            <w:pPr>
              <w:autoSpaceDE w:val="0"/>
              <w:autoSpaceDN w:val="0"/>
              <w:adjustRightInd w:val="0"/>
              <w:contextualSpacing/>
              <w:rPr>
                <w:rFonts w:ascii="Arial Narrow" w:hAnsi="Arial Narrow" w:cs="Arial"/>
                <w:sz w:val="16"/>
                <w:szCs w:val="16"/>
                <w:lang w:val="en-US"/>
              </w:rPr>
            </w:pPr>
            <w:r w:rsidRPr="00BD295E">
              <w:rPr>
                <w:rFonts w:ascii="Arial Narrow" w:hAnsi="Arial Narrow" w:cs="Arial"/>
                <w:color w:val="00849D"/>
                <w:sz w:val="16"/>
                <w:szCs w:val="16"/>
                <w:lang w:val="en-US"/>
              </w:rPr>
              <w:t>ALLIED GRID ORGANIZATIONS</w:t>
            </w:r>
          </w:p>
        </w:tc>
        <w:tc>
          <w:tcPr>
            <w:tcW w:w="2814" w:type="dxa"/>
            <w:tcBorders>
              <w:left w:val="single" w:sz="48" w:space="0" w:color="FFFFFF"/>
            </w:tcBorders>
            <w:shd w:val="clear" w:color="auto" w:fill="auto"/>
          </w:tcPr>
          <w:p w14:paraId="4949D8AA" w14:textId="77777777" w:rsidR="00E17E19" w:rsidRPr="00BD295E" w:rsidRDefault="00E17E19" w:rsidP="0009364E">
            <w:pPr>
              <w:autoSpaceDE w:val="0"/>
              <w:autoSpaceDN w:val="0"/>
              <w:adjustRightInd w:val="0"/>
              <w:contextualSpacing/>
              <w:rPr>
                <w:rFonts w:ascii="Arial Narrow" w:hAnsi="Arial Narrow" w:cs="Arial"/>
                <w:sz w:val="16"/>
                <w:szCs w:val="16"/>
                <w:lang w:val="en-US"/>
              </w:rPr>
            </w:pPr>
          </w:p>
        </w:tc>
      </w:tr>
      <w:tr w:rsidR="009940A7" w:rsidRPr="00BD295E" w14:paraId="167ED5C4" w14:textId="77777777" w:rsidTr="006054DB">
        <w:tc>
          <w:tcPr>
            <w:tcW w:w="1457" w:type="dxa"/>
            <w:shd w:val="clear" w:color="auto" w:fill="auto"/>
          </w:tcPr>
          <w:p w14:paraId="5CBE51B8" w14:textId="77777777" w:rsidR="009940A7" w:rsidRPr="00BD295E" w:rsidRDefault="009940A7" w:rsidP="0009364E">
            <w:pPr>
              <w:autoSpaceDE w:val="0"/>
              <w:autoSpaceDN w:val="0"/>
              <w:adjustRightInd w:val="0"/>
              <w:contextualSpacing/>
              <w:rPr>
                <w:rFonts w:ascii="Arial Narrow" w:hAnsi="Arial Narrow" w:cs="Arial"/>
                <w:sz w:val="10"/>
                <w:szCs w:val="10"/>
                <w:lang w:val="en-US"/>
              </w:rPr>
            </w:pPr>
          </w:p>
        </w:tc>
        <w:tc>
          <w:tcPr>
            <w:tcW w:w="1639" w:type="dxa"/>
            <w:tcBorders>
              <w:right w:val="single" w:sz="48" w:space="0" w:color="FFFFFF"/>
            </w:tcBorders>
            <w:shd w:val="clear" w:color="auto" w:fill="auto"/>
          </w:tcPr>
          <w:p w14:paraId="0C51E54D" w14:textId="77777777" w:rsidR="009940A7" w:rsidRPr="00BD295E" w:rsidRDefault="009940A7" w:rsidP="0009364E">
            <w:pPr>
              <w:autoSpaceDE w:val="0"/>
              <w:autoSpaceDN w:val="0"/>
              <w:adjustRightInd w:val="0"/>
              <w:contextualSpacing/>
              <w:rPr>
                <w:rFonts w:ascii="Arial Narrow" w:hAnsi="Arial Narrow" w:cs="Arial"/>
                <w:sz w:val="10"/>
                <w:szCs w:val="10"/>
                <w:lang w:val="en-US"/>
              </w:rPr>
            </w:pPr>
          </w:p>
        </w:tc>
        <w:tc>
          <w:tcPr>
            <w:tcW w:w="1753" w:type="dxa"/>
            <w:tcBorders>
              <w:left w:val="single" w:sz="48" w:space="0" w:color="FFFFFF"/>
            </w:tcBorders>
            <w:shd w:val="clear" w:color="auto" w:fill="auto"/>
          </w:tcPr>
          <w:p w14:paraId="3CD66C33" w14:textId="77777777" w:rsidR="009940A7" w:rsidRPr="00BD295E" w:rsidRDefault="009940A7" w:rsidP="0009364E">
            <w:pPr>
              <w:autoSpaceDE w:val="0"/>
              <w:autoSpaceDN w:val="0"/>
              <w:adjustRightInd w:val="0"/>
              <w:contextualSpacing/>
              <w:rPr>
                <w:rFonts w:ascii="Arial Narrow" w:hAnsi="Arial Narrow" w:cs="Arial"/>
                <w:sz w:val="10"/>
                <w:szCs w:val="10"/>
                <w:lang w:val="en-US"/>
              </w:rPr>
            </w:pPr>
          </w:p>
        </w:tc>
        <w:tc>
          <w:tcPr>
            <w:tcW w:w="1748" w:type="dxa"/>
            <w:tcBorders>
              <w:right w:val="single" w:sz="48" w:space="0" w:color="FFFFFF"/>
            </w:tcBorders>
            <w:shd w:val="clear" w:color="auto" w:fill="auto"/>
          </w:tcPr>
          <w:p w14:paraId="0901C755" w14:textId="77777777" w:rsidR="009940A7" w:rsidRPr="00BD295E" w:rsidRDefault="009940A7" w:rsidP="0009364E">
            <w:pPr>
              <w:autoSpaceDE w:val="0"/>
              <w:autoSpaceDN w:val="0"/>
              <w:adjustRightInd w:val="0"/>
              <w:contextualSpacing/>
              <w:rPr>
                <w:rFonts w:ascii="Arial Narrow" w:hAnsi="Arial Narrow" w:cs="Arial"/>
                <w:sz w:val="10"/>
                <w:szCs w:val="10"/>
                <w:lang w:val="en-US"/>
              </w:rPr>
            </w:pPr>
          </w:p>
        </w:tc>
        <w:tc>
          <w:tcPr>
            <w:tcW w:w="2814" w:type="dxa"/>
            <w:tcBorders>
              <w:left w:val="single" w:sz="48" w:space="0" w:color="FFFFFF"/>
            </w:tcBorders>
            <w:shd w:val="clear" w:color="auto" w:fill="auto"/>
          </w:tcPr>
          <w:p w14:paraId="2448C373" w14:textId="77777777" w:rsidR="009940A7" w:rsidRPr="00BD295E" w:rsidRDefault="009940A7" w:rsidP="0009364E">
            <w:pPr>
              <w:autoSpaceDE w:val="0"/>
              <w:autoSpaceDN w:val="0"/>
              <w:adjustRightInd w:val="0"/>
              <w:contextualSpacing/>
              <w:rPr>
                <w:rFonts w:ascii="Arial Narrow" w:hAnsi="Arial Narrow" w:cs="Arial"/>
                <w:sz w:val="10"/>
                <w:szCs w:val="10"/>
                <w:lang w:val="en-US"/>
              </w:rPr>
            </w:pPr>
          </w:p>
        </w:tc>
      </w:tr>
      <w:tr w:rsidR="00E17E19" w:rsidRPr="00BD295E" w14:paraId="0C521C0D" w14:textId="77777777" w:rsidTr="006054DB">
        <w:tc>
          <w:tcPr>
            <w:tcW w:w="3096" w:type="dxa"/>
            <w:gridSpan w:val="2"/>
            <w:tcBorders>
              <w:right w:val="single" w:sz="48" w:space="0" w:color="FFFFFF"/>
            </w:tcBorders>
            <w:shd w:val="clear" w:color="auto" w:fill="263D4F"/>
          </w:tcPr>
          <w:p w14:paraId="7D7637B4" w14:textId="0338AD66" w:rsidR="00E17E19" w:rsidRPr="00BD295E" w:rsidRDefault="00E17E19" w:rsidP="00E17E19">
            <w:pPr>
              <w:autoSpaceDE w:val="0"/>
              <w:autoSpaceDN w:val="0"/>
              <w:adjustRightInd w:val="0"/>
              <w:contextualSpacing/>
              <w:jc w:val="center"/>
              <w:rPr>
                <w:rFonts w:ascii="Arial Narrow" w:hAnsi="Arial Narrow" w:cs="Arial"/>
                <w:color w:val="FFFFFF"/>
                <w:sz w:val="16"/>
                <w:szCs w:val="16"/>
                <w:lang w:val="en-US"/>
              </w:rPr>
            </w:pPr>
            <w:r w:rsidRPr="00BD295E">
              <w:rPr>
                <w:rFonts w:ascii="Arial Narrow" w:hAnsi="Arial Narrow" w:cs="Arial"/>
                <w:color w:val="FFFFFF"/>
                <w:sz w:val="18"/>
                <w:szCs w:val="18"/>
                <w:lang w:val="en-US"/>
              </w:rPr>
              <w:t>RETAIL MARKET GENERATION</w:t>
            </w:r>
          </w:p>
        </w:tc>
        <w:tc>
          <w:tcPr>
            <w:tcW w:w="1753" w:type="dxa"/>
            <w:tcBorders>
              <w:left w:val="single" w:sz="48" w:space="0" w:color="FFFFFF"/>
            </w:tcBorders>
            <w:shd w:val="clear" w:color="auto" w:fill="auto"/>
          </w:tcPr>
          <w:p w14:paraId="3B43FC9C" w14:textId="77777777" w:rsidR="00E17E19" w:rsidRPr="00BD295E" w:rsidRDefault="00E17E19" w:rsidP="0009364E">
            <w:pPr>
              <w:autoSpaceDE w:val="0"/>
              <w:autoSpaceDN w:val="0"/>
              <w:adjustRightInd w:val="0"/>
              <w:contextualSpacing/>
              <w:rPr>
                <w:rFonts w:ascii="Arial Narrow" w:hAnsi="Arial Narrow" w:cs="Arial"/>
                <w:sz w:val="16"/>
                <w:szCs w:val="16"/>
                <w:lang w:val="en-US"/>
              </w:rPr>
            </w:pPr>
          </w:p>
        </w:tc>
        <w:tc>
          <w:tcPr>
            <w:tcW w:w="1748" w:type="dxa"/>
            <w:tcBorders>
              <w:right w:val="single" w:sz="48" w:space="0" w:color="FFFFFF"/>
            </w:tcBorders>
            <w:shd w:val="clear" w:color="auto" w:fill="auto"/>
          </w:tcPr>
          <w:p w14:paraId="3A3ECF34" w14:textId="77777777" w:rsidR="00E17E19" w:rsidRPr="00BD295E" w:rsidRDefault="00E17E19" w:rsidP="0009364E">
            <w:pPr>
              <w:autoSpaceDE w:val="0"/>
              <w:autoSpaceDN w:val="0"/>
              <w:adjustRightInd w:val="0"/>
              <w:contextualSpacing/>
              <w:rPr>
                <w:rFonts w:ascii="Arial Narrow" w:hAnsi="Arial Narrow" w:cs="Arial"/>
                <w:sz w:val="16"/>
                <w:szCs w:val="16"/>
                <w:lang w:val="en-US"/>
              </w:rPr>
            </w:pPr>
          </w:p>
        </w:tc>
        <w:tc>
          <w:tcPr>
            <w:tcW w:w="2814" w:type="dxa"/>
            <w:tcBorders>
              <w:left w:val="single" w:sz="48" w:space="0" w:color="FFFFFF"/>
            </w:tcBorders>
            <w:shd w:val="clear" w:color="auto" w:fill="auto"/>
          </w:tcPr>
          <w:p w14:paraId="169FD243" w14:textId="77777777" w:rsidR="00E17E19" w:rsidRPr="00BD295E" w:rsidRDefault="00E17E19" w:rsidP="0009364E">
            <w:pPr>
              <w:autoSpaceDE w:val="0"/>
              <w:autoSpaceDN w:val="0"/>
              <w:adjustRightInd w:val="0"/>
              <w:contextualSpacing/>
              <w:rPr>
                <w:rFonts w:ascii="Arial Narrow" w:hAnsi="Arial Narrow" w:cs="Arial"/>
                <w:sz w:val="16"/>
                <w:szCs w:val="16"/>
                <w:lang w:val="en-US"/>
              </w:rPr>
            </w:pPr>
          </w:p>
        </w:tc>
      </w:tr>
      <w:tr w:rsidR="00E17E19" w:rsidRPr="00BD295E" w14:paraId="6B074BB3" w14:textId="77777777" w:rsidTr="006054DB">
        <w:tc>
          <w:tcPr>
            <w:tcW w:w="1457" w:type="dxa"/>
            <w:shd w:val="clear" w:color="auto" w:fill="auto"/>
          </w:tcPr>
          <w:p w14:paraId="71A7455B" w14:textId="77777777" w:rsidR="00E17E19" w:rsidRPr="00BD295E" w:rsidRDefault="00E17E19" w:rsidP="0009364E">
            <w:pPr>
              <w:autoSpaceDE w:val="0"/>
              <w:autoSpaceDN w:val="0"/>
              <w:adjustRightInd w:val="0"/>
              <w:contextualSpacing/>
              <w:rPr>
                <w:rFonts w:ascii="Arial Narrow" w:hAnsi="Arial Narrow" w:cs="Arial"/>
                <w:sz w:val="10"/>
                <w:szCs w:val="10"/>
                <w:lang w:val="en-US"/>
              </w:rPr>
            </w:pPr>
          </w:p>
        </w:tc>
        <w:tc>
          <w:tcPr>
            <w:tcW w:w="1639" w:type="dxa"/>
            <w:tcBorders>
              <w:right w:val="single" w:sz="48" w:space="0" w:color="FFFFFF"/>
            </w:tcBorders>
            <w:shd w:val="clear" w:color="auto" w:fill="auto"/>
          </w:tcPr>
          <w:p w14:paraId="391CB1CA" w14:textId="77777777" w:rsidR="00E17E19" w:rsidRPr="00BD295E" w:rsidRDefault="00E17E19" w:rsidP="0009364E">
            <w:pPr>
              <w:autoSpaceDE w:val="0"/>
              <w:autoSpaceDN w:val="0"/>
              <w:adjustRightInd w:val="0"/>
              <w:contextualSpacing/>
              <w:rPr>
                <w:rFonts w:ascii="Arial Narrow" w:hAnsi="Arial Narrow" w:cs="Arial"/>
                <w:sz w:val="10"/>
                <w:szCs w:val="10"/>
                <w:lang w:val="en-US"/>
              </w:rPr>
            </w:pPr>
          </w:p>
        </w:tc>
        <w:tc>
          <w:tcPr>
            <w:tcW w:w="1753" w:type="dxa"/>
            <w:tcBorders>
              <w:left w:val="single" w:sz="48" w:space="0" w:color="FFFFFF"/>
            </w:tcBorders>
            <w:shd w:val="clear" w:color="auto" w:fill="auto"/>
          </w:tcPr>
          <w:p w14:paraId="1CDD646F" w14:textId="77777777" w:rsidR="00E17E19" w:rsidRPr="00BD295E" w:rsidRDefault="00E17E19" w:rsidP="0009364E">
            <w:pPr>
              <w:autoSpaceDE w:val="0"/>
              <w:autoSpaceDN w:val="0"/>
              <w:adjustRightInd w:val="0"/>
              <w:contextualSpacing/>
              <w:rPr>
                <w:rFonts w:ascii="Arial Narrow" w:hAnsi="Arial Narrow" w:cs="Arial"/>
                <w:sz w:val="10"/>
                <w:szCs w:val="10"/>
                <w:lang w:val="en-US"/>
              </w:rPr>
            </w:pPr>
          </w:p>
        </w:tc>
        <w:tc>
          <w:tcPr>
            <w:tcW w:w="1748" w:type="dxa"/>
            <w:tcBorders>
              <w:right w:val="single" w:sz="48" w:space="0" w:color="FFFFFF"/>
            </w:tcBorders>
            <w:shd w:val="clear" w:color="auto" w:fill="auto"/>
          </w:tcPr>
          <w:p w14:paraId="7462A5D3" w14:textId="77777777" w:rsidR="00E17E19" w:rsidRPr="00BD295E" w:rsidRDefault="00E17E19" w:rsidP="0009364E">
            <w:pPr>
              <w:autoSpaceDE w:val="0"/>
              <w:autoSpaceDN w:val="0"/>
              <w:adjustRightInd w:val="0"/>
              <w:contextualSpacing/>
              <w:rPr>
                <w:rFonts w:ascii="Arial Narrow" w:hAnsi="Arial Narrow" w:cs="Arial"/>
                <w:sz w:val="10"/>
                <w:szCs w:val="10"/>
                <w:lang w:val="en-US"/>
              </w:rPr>
            </w:pPr>
          </w:p>
        </w:tc>
        <w:tc>
          <w:tcPr>
            <w:tcW w:w="2814" w:type="dxa"/>
            <w:tcBorders>
              <w:left w:val="single" w:sz="48" w:space="0" w:color="FFFFFF"/>
            </w:tcBorders>
            <w:shd w:val="clear" w:color="auto" w:fill="auto"/>
          </w:tcPr>
          <w:p w14:paraId="07809601" w14:textId="77777777" w:rsidR="00E17E19" w:rsidRPr="00BD295E" w:rsidRDefault="00E17E19" w:rsidP="0009364E">
            <w:pPr>
              <w:autoSpaceDE w:val="0"/>
              <w:autoSpaceDN w:val="0"/>
              <w:adjustRightInd w:val="0"/>
              <w:contextualSpacing/>
              <w:rPr>
                <w:rFonts w:ascii="Arial Narrow" w:hAnsi="Arial Narrow" w:cs="Arial"/>
                <w:sz w:val="10"/>
                <w:szCs w:val="10"/>
                <w:lang w:val="en-US"/>
              </w:rPr>
            </w:pPr>
          </w:p>
        </w:tc>
      </w:tr>
      <w:tr w:rsidR="002E01BE" w:rsidRPr="00BD295E" w14:paraId="147C481E" w14:textId="77777777" w:rsidTr="00E17E19">
        <w:tc>
          <w:tcPr>
            <w:tcW w:w="6597" w:type="dxa"/>
            <w:gridSpan w:val="4"/>
            <w:shd w:val="clear" w:color="auto" w:fill="939598"/>
          </w:tcPr>
          <w:p w14:paraId="5F86E1BE" w14:textId="77777777" w:rsidR="002E01BE" w:rsidRPr="00BD295E" w:rsidRDefault="002E01BE" w:rsidP="00E17E19">
            <w:pPr>
              <w:jc w:val="center"/>
              <w:rPr>
                <w:rFonts w:ascii="Arial Narrow" w:hAnsi="Arial Narrow" w:cs="Arial"/>
                <w:b/>
                <w:bCs/>
                <w:color w:val="FFFFFF"/>
                <w:sz w:val="18"/>
                <w:szCs w:val="18"/>
                <w:lang w:val="en-US"/>
              </w:rPr>
            </w:pPr>
            <w:r w:rsidRPr="00BD295E">
              <w:rPr>
                <w:rFonts w:ascii="Arial Narrow" w:hAnsi="Arial Narrow" w:cs="Arial"/>
                <w:b/>
                <w:bCs/>
                <w:color w:val="FFFFFF"/>
                <w:sz w:val="20"/>
                <w:szCs w:val="20"/>
                <w:lang w:val="en-US"/>
              </w:rPr>
              <w:t>RAO ES EAST, PJSC</w:t>
            </w:r>
          </w:p>
        </w:tc>
        <w:tc>
          <w:tcPr>
            <w:tcW w:w="2814" w:type="dxa"/>
            <w:shd w:val="clear" w:color="auto" w:fill="auto"/>
          </w:tcPr>
          <w:p w14:paraId="548F31F4" w14:textId="77777777" w:rsidR="002E01BE" w:rsidRPr="00BD295E" w:rsidRDefault="002E01BE" w:rsidP="0009364E">
            <w:pPr>
              <w:autoSpaceDE w:val="0"/>
              <w:autoSpaceDN w:val="0"/>
              <w:adjustRightInd w:val="0"/>
              <w:contextualSpacing/>
              <w:rPr>
                <w:rFonts w:ascii="Arial Narrow" w:hAnsi="Arial Narrow" w:cs="Arial"/>
                <w:sz w:val="18"/>
                <w:szCs w:val="18"/>
                <w:lang w:val="en-US"/>
              </w:rPr>
            </w:pPr>
          </w:p>
        </w:tc>
      </w:tr>
    </w:tbl>
    <w:p w14:paraId="34A814FF" w14:textId="2550F246" w:rsidR="003F6DA4" w:rsidRPr="00BD295E" w:rsidRDefault="008A5057" w:rsidP="00F74594">
      <w:pPr>
        <w:pStyle w:val="bodytext"/>
        <w:shd w:val="clear" w:color="auto" w:fill="FFFFFF"/>
        <w:spacing w:before="0" w:beforeAutospacing="0" w:after="120" w:afterAutospacing="0"/>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 xml:space="preserve">Federal Law No. 36-FZ </w:t>
      </w:r>
      <w:r w:rsidRPr="00BD295E">
        <w:rPr>
          <w:rFonts w:ascii="Arial" w:hAnsi="Arial" w:cs="Arial"/>
          <w:i/>
          <w:iCs/>
          <w:sz w:val="18"/>
          <w:szCs w:val="18"/>
          <w:shd w:val="clear" w:color="auto" w:fill="FFFFFF"/>
          <w:lang w:val="en-US"/>
        </w:rPr>
        <w:t>On the Operation of the Electricity Industry and Amendments to Certain Legislative Acts of the Russian Federation with Regard to the Enactment of the Federal Law On the Electricity Industry</w:t>
      </w:r>
      <w:r w:rsidRPr="00BD295E">
        <w:rPr>
          <w:rFonts w:ascii="Arial" w:hAnsi="Arial" w:cs="Arial"/>
          <w:sz w:val="18"/>
          <w:szCs w:val="18"/>
          <w:shd w:val="clear" w:color="auto" w:fill="FFFFFF"/>
          <w:lang w:val="en-US"/>
        </w:rPr>
        <w:t xml:space="preserve">, </w:t>
      </w:r>
      <w:r w:rsidR="008B183C" w:rsidRPr="00BD295E">
        <w:rPr>
          <w:rFonts w:ascii="Arial" w:hAnsi="Arial" w:cs="Arial"/>
          <w:sz w:val="18"/>
          <w:szCs w:val="18"/>
          <w:shd w:val="clear" w:color="auto" w:fill="FFFFFF"/>
          <w:lang w:val="en-US"/>
        </w:rPr>
        <w:t>of</w:t>
      </w:r>
      <w:r w:rsidRPr="00BD295E">
        <w:rPr>
          <w:rFonts w:ascii="Arial" w:hAnsi="Arial" w:cs="Arial"/>
          <w:sz w:val="18"/>
          <w:szCs w:val="18"/>
          <w:shd w:val="clear" w:color="auto" w:fill="FFFFFF"/>
          <w:lang w:val="en-US"/>
        </w:rPr>
        <w:t xml:space="preserve"> March 26, 2003, prohibits combining electricity transmission and dispatching (markets qualified as “natural monopolies”) with electricity generation and sales (markets qualified as “competitive”) by one legal entity or a group of affiliates within the same pricing zone of the wholesale market. </w:t>
      </w:r>
    </w:p>
    <w:p w14:paraId="2F3A55C0" w14:textId="77777777" w:rsidR="003F6DA4" w:rsidRPr="00BD295E" w:rsidRDefault="003F6DA4" w:rsidP="00850333">
      <w:pPr>
        <w:pStyle w:val="bodytext"/>
        <w:shd w:val="clear" w:color="auto" w:fill="FFFFFF"/>
        <w:spacing w:before="0" w:beforeAutospacing="0" w:after="120" w:afterAutospacing="0"/>
        <w:ind w:firstLine="708"/>
        <w:contextualSpacing/>
        <w:jc w:val="both"/>
        <w:rPr>
          <w:rFonts w:ascii="Arial" w:hAnsi="Arial" w:cs="Arial"/>
          <w:sz w:val="18"/>
          <w:szCs w:val="18"/>
          <w:shd w:val="clear" w:color="auto" w:fill="FFFFFF"/>
          <w:lang w:val="en-US"/>
        </w:rPr>
      </w:pPr>
    </w:p>
    <w:p w14:paraId="6BF87BCB" w14:textId="77777777" w:rsidR="003F6DA4" w:rsidRPr="00BD295E" w:rsidRDefault="008A5057" w:rsidP="003F6DA4">
      <w:pPr>
        <w:tabs>
          <w:tab w:val="left" w:pos="1134"/>
        </w:tabs>
        <w:spacing w:after="120"/>
        <w:contextualSpacing/>
        <w:jc w:val="both"/>
        <w:rPr>
          <w:rFonts w:ascii="Arial" w:hAnsi="Arial" w:cs="Arial"/>
          <w:b/>
          <w:sz w:val="18"/>
          <w:szCs w:val="18"/>
          <w:lang w:val="en-US"/>
        </w:rPr>
      </w:pPr>
      <w:r w:rsidRPr="00BD295E">
        <w:rPr>
          <w:rFonts w:ascii="Arial" w:hAnsi="Arial" w:cs="Arial"/>
          <w:b/>
          <w:sz w:val="18"/>
          <w:szCs w:val="18"/>
          <w:lang w:val="en-US"/>
        </w:rPr>
        <w:t xml:space="preserve">Key Indicators of Russia’s Electricity Industry </w:t>
      </w:r>
    </w:p>
    <w:p w14:paraId="36B1FACE" w14:textId="77777777" w:rsidR="003F6DA4" w:rsidRPr="00BD295E" w:rsidRDefault="003F6DA4" w:rsidP="003F6DA4">
      <w:pPr>
        <w:tabs>
          <w:tab w:val="left" w:pos="1134"/>
        </w:tabs>
        <w:spacing w:after="120"/>
        <w:contextualSpacing/>
        <w:jc w:val="both"/>
        <w:rPr>
          <w:rFonts w:ascii="Arial" w:hAnsi="Arial" w:cs="Arial"/>
          <w:b/>
          <w:sz w:val="18"/>
          <w:szCs w:val="18"/>
          <w:lang w:val="en-US"/>
        </w:rPr>
      </w:pPr>
    </w:p>
    <w:p w14:paraId="64EF8594" w14:textId="77777777" w:rsidR="003F6DA4" w:rsidRPr="00BD295E" w:rsidRDefault="008A5057" w:rsidP="00850333">
      <w:pPr>
        <w:pStyle w:val="bodytext"/>
        <w:shd w:val="clear" w:color="auto" w:fill="FFFFFF"/>
        <w:spacing w:before="0" w:beforeAutospacing="0" w:after="120" w:afterAutospacing="0"/>
        <w:ind w:firstLine="708"/>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 xml:space="preserve">As at December 31, 2018, the total installed capacity of the country’s power plants was 243.2 GW, up 0.1% year-on-year. </w:t>
      </w:r>
    </w:p>
    <w:p w14:paraId="53E46950" w14:textId="77777777" w:rsidR="003F6DA4" w:rsidRPr="00BD295E" w:rsidRDefault="008A5057" w:rsidP="00850333">
      <w:pPr>
        <w:pStyle w:val="bodytext"/>
        <w:shd w:val="clear" w:color="auto" w:fill="FFFFFF"/>
        <w:spacing w:before="0" w:beforeAutospacing="0" w:after="120" w:afterAutospacing="0"/>
        <w:ind w:firstLine="708"/>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 xml:space="preserve">The increase in the installed capacity of the UES of Russia’s power plants due to the commissioning of new, as well as the modernization of the existing generating equipment of power plants </w:t>
      </w:r>
      <w:r w:rsidR="00174C5B" w:rsidRPr="00BD295E">
        <w:rPr>
          <w:rFonts w:ascii="Arial" w:hAnsi="Arial" w:cs="Arial"/>
          <w:sz w:val="18"/>
          <w:szCs w:val="18"/>
          <w:shd w:val="clear" w:color="auto" w:fill="FFFFFF"/>
          <w:lang w:val="en-US"/>
        </w:rPr>
        <w:t>totaled</w:t>
      </w:r>
      <w:r w:rsidRPr="00BD295E">
        <w:rPr>
          <w:rFonts w:ascii="Arial" w:hAnsi="Arial" w:cs="Arial"/>
          <w:sz w:val="18"/>
          <w:szCs w:val="18"/>
          <w:shd w:val="clear" w:color="auto" w:fill="FFFFFF"/>
          <w:lang w:val="en-US"/>
        </w:rPr>
        <w:t xml:space="preserve"> 5.1 GW. A total of 4.8 GW of new capacity was commissioned in 2018 at power plants of the UES of Russia, including the power plants of industrial enterprises. 1.9 GW of inefficient and obsolete generating equipment was decommissioned.</w:t>
      </w:r>
    </w:p>
    <w:p w14:paraId="7CA90723" w14:textId="77777777" w:rsidR="003F6DA4" w:rsidRPr="00BD295E" w:rsidRDefault="008A5057" w:rsidP="00850333">
      <w:pPr>
        <w:pStyle w:val="bodytext"/>
        <w:shd w:val="clear" w:color="auto" w:fill="FFFFFF"/>
        <w:spacing w:before="0" w:beforeAutospacing="0" w:after="120" w:afterAutospacing="0"/>
        <w:ind w:firstLine="708"/>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In 2018, the installed capacity of the fleet of operating power plants had the following structure by generation type: thermal power plants 63.7%, hydro power plants 17.2%, nuclear power plants -19.2 %, wind 0.02%, and solar 0.07%.</w:t>
      </w:r>
    </w:p>
    <w:p w14:paraId="7B83CB30" w14:textId="77777777" w:rsidR="003F6DA4" w:rsidRPr="00BD295E" w:rsidRDefault="008A5057" w:rsidP="00850333">
      <w:pPr>
        <w:pStyle w:val="bodytext"/>
        <w:shd w:val="clear" w:color="auto" w:fill="FFFFFF"/>
        <w:spacing w:before="0" w:beforeAutospacing="0" w:after="120" w:afterAutospacing="0"/>
        <w:ind w:firstLine="708"/>
        <w:contextualSpacing/>
        <w:jc w:val="both"/>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Every year, all power plants in the country generate about one trillion kWh of electricity. 1,070.9 billion kWh of electricity was generated in 2018, up 1.6% year-on-year.</w:t>
      </w:r>
    </w:p>
    <w:p w14:paraId="0A16EBD9" w14:textId="77777777" w:rsidR="003F6DA4" w:rsidRPr="00BD295E" w:rsidRDefault="003F6DA4" w:rsidP="00850333">
      <w:pPr>
        <w:pStyle w:val="bodytext"/>
        <w:shd w:val="clear" w:color="auto" w:fill="FFFFFF"/>
        <w:spacing w:before="0" w:beforeAutospacing="0" w:after="120" w:afterAutospacing="0"/>
        <w:ind w:firstLine="708"/>
        <w:contextualSpacing/>
        <w:jc w:val="both"/>
        <w:rPr>
          <w:rFonts w:ascii="Arial" w:hAnsi="Arial" w:cs="Arial"/>
          <w:sz w:val="18"/>
          <w:szCs w:val="18"/>
          <w:shd w:val="clear" w:color="auto" w:fill="FFFFFF"/>
          <w:lang w:val="en-US"/>
        </w:rPr>
      </w:pPr>
    </w:p>
    <w:p w14:paraId="2C629D9A" w14:textId="77777777" w:rsidR="003F6DA4" w:rsidRPr="00BD295E" w:rsidRDefault="008A5057" w:rsidP="003F6DA4">
      <w:pPr>
        <w:autoSpaceDE w:val="0"/>
        <w:autoSpaceDN w:val="0"/>
        <w:adjustRightInd w:val="0"/>
        <w:spacing w:after="120"/>
        <w:jc w:val="both"/>
        <w:rPr>
          <w:rFonts w:ascii="Arial" w:hAnsi="Arial" w:cs="Arial"/>
          <w:b/>
          <w:sz w:val="18"/>
          <w:szCs w:val="18"/>
          <w:lang w:val="en-US"/>
        </w:rPr>
      </w:pPr>
      <w:r w:rsidRPr="00BD295E">
        <w:rPr>
          <w:rFonts w:ascii="Arial" w:hAnsi="Arial" w:cs="Arial"/>
          <w:b/>
          <w:sz w:val="18"/>
          <w:szCs w:val="18"/>
          <w:lang w:val="en-US"/>
        </w:rPr>
        <w:t>Installed capacity of the UES of Russia’s power plants as at the end of 2018, %</w:t>
      </w:r>
      <w:r w:rsidRPr="00BD295E">
        <w:rPr>
          <w:rStyle w:val="aff0"/>
          <w:rFonts w:ascii="Arial" w:hAnsi="Arial" w:cs="Arial"/>
          <w:b/>
          <w:sz w:val="18"/>
          <w:szCs w:val="18"/>
          <w:lang w:val="en-US"/>
        </w:rPr>
        <w:footnoteReference w:id="1"/>
      </w:r>
    </w:p>
    <w:p w14:paraId="5E44F882" w14:textId="521C1BC3" w:rsidR="003F6DA4" w:rsidRPr="00BD295E" w:rsidRDefault="00997D07" w:rsidP="003F6DA4">
      <w:pPr>
        <w:autoSpaceDE w:val="0"/>
        <w:autoSpaceDN w:val="0"/>
        <w:adjustRightInd w:val="0"/>
        <w:spacing w:after="120"/>
        <w:jc w:val="both"/>
        <w:rPr>
          <w:rFonts w:ascii="Arial" w:hAnsi="Arial" w:cs="Arial"/>
          <w:sz w:val="18"/>
          <w:szCs w:val="18"/>
          <w:lang w:val="en-US"/>
        </w:rPr>
      </w:pPr>
      <w:r w:rsidRPr="00BD295E">
        <w:rPr>
          <w:rFonts w:ascii="Arial" w:hAnsi="Arial" w:cs="Arial"/>
          <w:b/>
          <w:bCs/>
          <w:color w:val="7F7F7F"/>
          <w:sz w:val="20"/>
          <w:szCs w:val="20"/>
          <w:lang w:val="en-US" w:eastAsia="en-US"/>
        </w:rPr>
        <mc:AlternateContent>
          <mc:Choice Requires="wps">
            <w:drawing>
              <wp:anchor distT="45720" distB="45720" distL="114300" distR="114300" simplePos="0" relativeHeight="251704832" behindDoc="0" locked="0" layoutInCell="1" allowOverlap="1" wp14:anchorId="1061CAF6" wp14:editId="0F9494C6">
                <wp:simplePos x="0" y="0"/>
                <wp:positionH relativeFrom="column">
                  <wp:posOffset>2096770</wp:posOffset>
                </wp:positionH>
                <wp:positionV relativeFrom="paragraph">
                  <wp:posOffset>1529715</wp:posOffset>
                </wp:positionV>
                <wp:extent cx="427990" cy="146050"/>
                <wp:effectExtent l="0" t="0" r="0" b="0"/>
                <wp:wrapNone/>
                <wp:docPr id="1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632463" w14:textId="171AB314" w:rsidR="002C3947" w:rsidRPr="006054DB" w:rsidRDefault="002C3947" w:rsidP="006054DB">
                            <w:pPr>
                              <w:rPr>
                                <w:rFonts w:ascii="Arial" w:hAnsi="Arial" w:cs="Arial"/>
                                <w:b/>
                                <w:bCs/>
                                <w:sz w:val="18"/>
                                <w:szCs w:val="28"/>
                              </w:rPr>
                            </w:pPr>
                            <w:r w:rsidRPr="006054DB">
                              <w:rPr>
                                <w:rFonts w:ascii="Arial" w:hAnsi="Arial" w:cs="Arial"/>
                                <w:b/>
                                <w:bCs/>
                                <w:sz w:val="18"/>
                                <w:szCs w:val="28"/>
                              </w:rPr>
                              <w:t>Wind</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0" type="#_x0000_t202" style="position:absolute;left:0;text-align:left;margin-left:165.1pt;margin-top:120.45pt;width:33.7pt;height:11.5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" stroked="f">
                <v:textbox inset="0,0,0,0">
                  <w:txbxContent>
                    <w:p w14:paraId="6E632463" w14:textId="171AB314" w:rsidR="002C3947" w:rsidRPr="006054DB" w:rsidRDefault="002C3947" w:rsidP="006054DB">
                      <w:pPr>
                        <w:rPr>
                          <w:rFonts w:ascii="Arial" w:hAnsi="Arial" w:cs="Arial"/>
                          <w:b/>
                          <w:bCs/>
                          <w:sz w:val="18"/>
                          <w:szCs w:val="28"/>
                        </w:rPr>
                      </w:pPr>
                      <w:r w:rsidRPr="006054DB">
                        <w:rPr>
                          <w:rFonts w:ascii="Arial" w:hAnsi="Arial" w:cs="Arial"/>
                          <w:b/>
                          <w:bCs/>
                          <w:sz w:val="18"/>
                          <w:szCs w:val="28"/>
                        </w:rPr>
                        <w:t>Wind</w:t>
                      </w:r>
                    </w:p>
                  </w:txbxContent>
                </v:textbox>
              </v:shape>
            </w:pict>
          </mc:Fallback>
        </mc:AlternateContent>
      </w:r>
      <w:r w:rsidRPr="00BD295E">
        <w:rPr>
          <w:rFonts w:ascii="Arial" w:hAnsi="Arial" w:cs="Arial"/>
          <w:b/>
          <w:bCs/>
          <w:color w:val="7F7F7F"/>
          <w:sz w:val="20"/>
          <w:szCs w:val="20"/>
          <w:lang w:val="en-US" w:eastAsia="en-US"/>
        </w:rPr>
        <mc:AlternateContent>
          <mc:Choice Requires="wps">
            <w:drawing>
              <wp:anchor distT="45720" distB="45720" distL="114300" distR="114300" simplePos="0" relativeHeight="251703808" behindDoc="0" locked="0" layoutInCell="1" allowOverlap="1" wp14:anchorId="1061CAF6" wp14:editId="79E7B3D2">
                <wp:simplePos x="0" y="0"/>
                <wp:positionH relativeFrom="column">
                  <wp:posOffset>2372360</wp:posOffset>
                </wp:positionH>
                <wp:positionV relativeFrom="paragraph">
                  <wp:posOffset>1198880</wp:posOffset>
                </wp:positionV>
                <wp:extent cx="427990" cy="146050"/>
                <wp:effectExtent l="4445" t="635" r="0" b="0"/>
                <wp:wrapNone/>
                <wp:docPr id="1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4ECE4" w14:textId="523670EC" w:rsidR="002C3947" w:rsidRPr="006054DB" w:rsidRDefault="002C3947" w:rsidP="006054DB">
                            <w:pPr>
                              <w:rPr>
                                <w:rFonts w:ascii="Arial" w:hAnsi="Arial" w:cs="Arial"/>
                                <w:b/>
                                <w:bCs/>
                                <w:sz w:val="18"/>
                                <w:szCs w:val="28"/>
                              </w:rPr>
                            </w:pPr>
                            <w:r w:rsidRPr="006054DB">
                              <w:rPr>
                                <w:rFonts w:ascii="Arial" w:hAnsi="Arial" w:cs="Arial"/>
                                <w:b/>
                                <w:bCs/>
                                <w:sz w:val="18"/>
                                <w:szCs w:val="28"/>
                              </w:rPr>
                              <w:t>Solar</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1" type="#_x0000_t202" style="position:absolute;left:0;text-align:left;margin-left:186.8pt;margin-top:94.4pt;width:33.7pt;height:11.5pt;z-index:25170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" stroked="f">
                <v:textbox inset="0,0,0,0">
                  <w:txbxContent>
                    <w:p w14:paraId="3A34ECE4" w14:textId="523670EC" w:rsidR="002C3947" w:rsidRPr="006054DB" w:rsidRDefault="002C3947" w:rsidP="006054DB">
                      <w:pPr>
                        <w:rPr>
                          <w:rFonts w:ascii="Arial" w:hAnsi="Arial" w:cs="Arial"/>
                          <w:b/>
                          <w:bCs/>
                          <w:sz w:val="18"/>
                          <w:szCs w:val="28"/>
                        </w:rPr>
                      </w:pPr>
                      <w:r w:rsidRPr="006054DB">
                        <w:rPr>
                          <w:rFonts w:ascii="Arial" w:hAnsi="Arial" w:cs="Arial"/>
                          <w:b/>
                          <w:bCs/>
                          <w:sz w:val="18"/>
                          <w:szCs w:val="28"/>
                        </w:rPr>
                        <w:t>Solar</w:t>
                      </w:r>
                    </w:p>
                  </w:txbxContent>
                </v:textbox>
              </v:shape>
            </w:pict>
          </mc:Fallback>
        </mc:AlternateContent>
      </w:r>
      <w:r w:rsidRPr="00BD295E">
        <w:rPr>
          <w:rFonts w:ascii="Arial" w:hAnsi="Arial" w:cs="Arial"/>
          <w:b/>
          <w:bCs/>
          <w:color w:val="7F7F7F"/>
          <w:sz w:val="20"/>
          <w:szCs w:val="20"/>
          <w:lang w:val="en-US" w:eastAsia="en-US"/>
        </w:rPr>
        <mc:AlternateContent>
          <mc:Choice Requires="wps">
            <w:drawing>
              <wp:anchor distT="45720" distB="45720" distL="114300" distR="114300" simplePos="0" relativeHeight="251702784" behindDoc="0" locked="0" layoutInCell="1" allowOverlap="1" wp14:anchorId="1061CAF6" wp14:editId="3820E542">
                <wp:simplePos x="0" y="0"/>
                <wp:positionH relativeFrom="column">
                  <wp:posOffset>2416175</wp:posOffset>
                </wp:positionH>
                <wp:positionV relativeFrom="paragraph">
                  <wp:posOffset>638175</wp:posOffset>
                </wp:positionV>
                <wp:extent cx="427990" cy="146050"/>
                <wp:effectExtent l="635" t="1905" r="0" b="4445"/>
                <wp:wrapNone/>
                <wp:docPr id="1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C186A1" w14:textId="6E9F591D" w:rsidR="002C3947" w:rsidRPr="006054DB" w:rsidRDefault="002C3947" w:rsidP="006054DB">
                            <w:pPr>
                              <w:rPr>
                                <w:rFonts w:ascii="Arial" w:hAnsi="Arial" w:cs="Arial"/>
                                <w:b/>
                                <w:bCs/>
                                <w:sz w:val="18"/>
                                <w:szCs w:val="28"/>
                              </w:rPr>
                            </w:pPr>
                            <w:r w:rsidRPr="006054DB">
                              <w:rPr>
                                <w:rFonts w:ascii="Arial" w:hAnsi="Arial" w:cs="Arial"/>
                                <w:b/>
                                <w:bCs/>
                                <w:sz w:val="18"/>
                                <w:szCs w:val="28"/>
                              </w:rPr>
                              <w:t>NPPs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2" type="#_x0000_t202" style="position:absolute;left:0;text-align:left;margin-left:190.25pt;margin-top:50.25pt;width:33.7pt;height:11.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" stroked="f">
                <v:textbox inset="0,0,0,0">
                  <w:txbxContent>
                    <w:p w14:paraId="08C186A1" w14:textId="6E9F591D" w:rsidR="002C3947" w:rsidRPr="006054DB" w:rsidRDefault="002C3947" w:rsidP="006054DB">
                      <w:pPr>
                        <w:rPr>
                          <w:rFonts w:ascii="Arial" w:hAnsi="Arial" w:cs="Arial"/>
                          <w:b/>
                          <w:bCs/>
                          <w:sz w:val="18"/>
                          <w:szCs w:val="28"/>
                        </w:rPr>
                      </w:pPr>
                      <w:r w:rsidRPr="006054DB">
                        <w:rPr>
                          <w:rFonts w:ascii="Arial" w:hAnsi="Arial" w:cs="Arial"/>
                          <w:b/>
                          <w:bCs/>
                          <w:sz w:val="18"/>
                          <w:szCs w:val="28"/>
                        </w:rPr>
                        <w:t>NPPs</w:t>
                      </w:r>
                    </w:p>
                  </w:txbxContent>
                </v:textbox>
              </v:shape>
            </w:pict>
          </mc:Fallback>
        </mc:AlternateContent>
      </w:r>
      <w:r w:rsidRPr="00BD295E">
        <w:rPr>
          <w:lang w:val="en-US" w:eastAsia="en-US"/>
        </w:rPr>
        <mc:AlternateContent>
          <mc:Choice Requires="wps">
            <w:drawing>
              <wp:anchor distT="45720" distB="45720" distL="114300" distR="114300" simplePos="0" relativeHeight="251701760" behindDoc="0" locked="0" layoutInCell="1" allowOverlap="1" wp14:anchorId="1061CAF6" wp14:editId="0FAF480E">
                <wp:simplePos x="0" y="0"/>
                <wp:positionH relativeFrom="column">
                  <wp:posOffset>2103120</wp:posOffset>
                </wp:positionH>
                <wp:positionV relativeFrom="paragraph">
                  <wp:posOffset>187960</wp:posOffset>
                </wp:positionV>
                <wp:extent cx="427990" cy="146050"/>
                <wp:effectExtent l="1905" t="0" r="0" b="0"/>
                <wp:wrapNone/>
                <wp:docPr id="1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4359A3" w14:textId="2426A020" w:rsidR="002C3947" w:rsidRPr="006054DB" w:rsidRDefault="002C3947" w:rsidP="006054DB">
                            <w:pPr>
                              <w:rPr>
                                <w:rFonts w:ascii="Arial" w:hAnsi="Arial" w:cs="Arial"/>
                                <w:b/>
                                <w:bCs/>
                                <w:sz w:val="18"/>
                                <w:szCs w:val="28"/>
                              </w:rPr>
                            </w:pPr>
                            <w:r w:rsidRPr="006054DB">
                              <w:rPr>
                                <w:rFonts w:ascii="Arial" w:hAnsi="Arial" w:cs="Arial"/>
                                <w:b/>
                                <w:bCs/>
                                <w:sz w:val="18"/>
                                <w:szCs w:val="28"/>
                              </w:rPr>
                              <w:t>HPPs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3" type="#_x0000_t202" style="position:absolute;left:0;text-align:left;margin-left:165.6pt;margin-top:14.8pt;width:33.7pt;height:11.5pt;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" stroked="f">
                <v:textbox inset="0,0,0,0">
                  <w:txbxContent>
                    <w:p w14:paraId="284359A3" w14:textId="2426A020" w:rsidR="002C3947" w:rsidRPr="006054DB" w:rsidRDefault="002C3947" w:rsidP="006054DB">
                      <w:pPr>
                        <w:rPr>
                          <w:rFonts w:ascii="Arial" w:hAnsi="Arial" w:cs="Arial"/>
                          <w:b/>
                          <w:bCs/>
                          <w:sz w:val="18"/>
                          <w:szCs w:val="28"/>
                        </w:rPr>
                      </w:pPr>
                      <w:r w:rsidRPr="006054DB">
                        <w:rPr>
                          <w:rFonts w:ascii="Arial" w:hAnsi="Arial" w:cs="Arial"/>
                          <w:b/>
                          <w:bCs/>
                          <w:sz w:val="18"/>
                          <w:szCs w:val="28"/>
                        </w:rPr>
                        <w:t>HPPs</w:t>
                      </w:r>
                    </w:p>
                  </w:txbxContent>
                </v:textbox>
              </v:shape>
            </w:pict>
          </mc:Fallback>
        </mc:AlternateContent>
      </w:r>
      <w:r w:rsidRPr="00BD295E">
        <w:rPr>
          <w:lang w:val="en-US" w:eastAsia="en-US"/>
        </w:rPr>
        <mc:AlternateContent>
          <mc:Choice Requires="wps">
            <w:drawing>
              <wp:anchor distT="45720" distB="45720" distL="114300" distR="114300" simplePos="0" relativeHeight="251700736" behindDoc="0" locked="0" layoutInCell="1" allowOverlap="1" wp14:anchorId="1061CAF6" wp14:editId="128C2AE3">
                <wp:simplePos x="0" y="0"/>
                <wp:positionH relativeFrom="column">
                  <wp:posOffset>378460</wp:posOffset>
                </wp:positionH>
                <wp:positionV relativeFrom="paragraph">
                  <wp:posOffset>993775</wp:posOffset>
                </wp:positionV>
                <wp:extent cx="427990" cy="190500"/>
                <wp:effectExtent l="1270" t="0" r="0" b="4445"/>
                <wp:wrapNone/>
                <wp:docPr id="1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9B8CC7" w14:textId="0276B23B" w:rsidR="002C3947" w:rsidRPr="006054DB" w:rsidRDefault="002C3947">
                            <w:pPr>
                              <w:rPr>
                                <w:rFonts w:ascii="Arial" w:hAnsi="Arial" w:cs="Arial"/>
                                <w:b/>
                                <w:bCs/>
                                <w:sz w:val="18"/>
                                <w:szCs w:val="28"/>
                              </w:rPr>
                            </w:pPr>
                            <w:r w:rsidRPr="006054DB">
                              <w:rPr>
                                <w:rFonts w:ascii="Arial" w:hAnsi="Arial" w:cs="Arial"/>
                                <w:b/>
                                <w:bCs/>
                                <w:sz w:val="18"/>
                                <w:szCs w:val="28"/>
                              </w:rPr>
                              <w:t>TPPs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4" type="#_x0000_t202" style="position:absolute;left:0;text-align:left;margin-left:29.8pt;margin-top:78.25pt;width:33.7pt;height:1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" stroked="f">
                <v:textbox inset="0,0,0,0">
                  <w:txbxContent>
                    <w:p w14:paraId="789B8CC7" w14:textId="0276B23B" w:rsidR="002C3947" w:rsidRPr="006054DB" w:rsidRDefault="002C3947">
                      <w:pPr>
                        <w:rPr>
                          <w:rFonts w:ascii="Arial" w:hAnsi="Arial" w:cs="Arial"/>
                          <w:b/>
                          <w:bCs/>
                          <w:sz w:val="18"/>
                          <w:szCs w:val="28"/>
                        </w:rPr>
                      </w:pPr>
                      <w:r w:rsidRPr="006054DB">
                        <w:rPr>
                          <w:rFonts w:ascii="Arial" w:hAnsi="Arial" w:cs="Arial"/>
                          <w:b/>
                          <w:bCs/>
                          <w:sz w:val="18"/>
                          <w:szCs w:val="28"/>
                        </w:rPr>
                        <w:t>TPPs</w:t>
                      </w:r>
                    </w:p>
                  </w:txbxContent>
                </v:textbox>
              </v:shape>
            </w:pict>
          </mc:Fallback>
        </mc:AlternateContent>
      </w:r>
      <w:r w:rsidRPr="00BD295E">
        <w:rPr>
          <w:rFonts w:ascii="Arial" w:hAnsi="Arial" w:cs="Arial"/>
          <w:sz w:val="18"/>
          <w:szCs w:val="18"/>
          <w:lang w:val="en-US" w:eastAsia="en-US"/>
        </w:rPr>
        <w:drawing>
          <wp:inline distT="0" distB="0" distL="0" distR="0" wp14:anchorId="0382587A" wp14:editId="46214C2E">
            <wp:extent cx="3138805" cy="1852930"/>
            <wp:effectExtent l="0" t="0" r="0" b="0"/>
            <wp:docPr id="12" name="Рисунок 1031" descr="https://so-ups.ru/uploads/pics/structure-generation-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1" descr="https://so-ups.ru/uploads/pics/structure-generation-18-1.jpg"/>
                    <pic:cNvPicPr>
                      <a:picLocks noChangeAspect="1" noChangeArrowheads="1"/>
                    </pic:cNvPicPr>
                  </pic:nvPicPr>
                  <pic:blipFill>
                    <a:blip r:embed="rId23">
                      <a:extLst>
                        <a:ext uri="{28A0092B-C50C-407E-A947-70E740481C1C}">
                          <a14:useLocalDpi xmlns:a14="http://schemas.microsoft.com/office/drawing/2010/main" val="0"/>
                        </a:ext>
                      </a:extLst>
                    </a:blip>
                    <a:srcRect b="15840"/>
                    <a:stretch>
                      <a:fillRect/>
                    </a:stretch>
                  </pic:blipFill>
                  <pic:spPr bwMode="auto">
                    <a:xfrm>
                      <a:off x="0" y="0"/>
                      <a:ext cx="3138805" cy="1852930"/>
                    </a:xfrm>
                    <a:prstGeom prst="rect">
                      <a:avLst/>
                    </a:prstGeom>
                    <a:noFill/>
                    <a:ln>
                      <a:noFill/>
                    </a:ln>
                  </pic:spPr>
                </pic:pic>
              </a:graphicData>
            </a:graphic>
          </wp:inline>
        </w:drawing>
      </w:r>
    </w:p>
    <w:p w14:paraId="07D9BC8B" w14:textId="035B8E9F" w:rsidR="006054DB" w:rsidRPr="00BD295E" w:rsidRDefault="006054DB" w:rsidP="006054DB">
      <w:pPr>
        <w:autoSpaceDE w:val="0"/>
        <w:autoSpaceDN w:val="0"/>
        <w:adjustRightInd w:val="0"/>
        <w:spacing w:after="120"/>
        <w:ind w:right="4393"/>
        <w:jc w:val="center"/>
        <w:rPr>
          <w:rFonts w:ascii="Arial" w:hAnsi="Arial" w:cs="Arial"/>
          <w:b/>
          <w:bCs/>
          <w:color w:val="7F7F7F"/>
          <w:sz w:val="20"/>
          <w:szCs w:val="20"/>
          <w:lang w:val="en-US"/>
        </w:rPr>
      </w:pPr>
      <w:r w:rsidRPr="00BD295E">
        <w:rPr>
          <w:rFonts w:ascii="Arial" w:hAnsi="Arial" w:cs="Arial"/>
          <w:b/>
          <w:bCs/>
          <w:color w:val="7F7F7F"/>
          <w:sz w:val="20"/>
          <w:szCs w:val="20"/>
          <w:lang w:val="en-US"/>
        </w:rPr>
        <w:t>Electricity generation breakdown within the UES of Russia, % (as at January 1, 2019)</w:t>
      </w:r>
    </w:p>
    <w:p w14:paraId="4903A0CA" w14:textId="77777777" w:rsidR="00A60BEB" w:rsidRPr="00BD295E" w:rsidRDefault="00A60BEB" w:rsidP="003F6DA4">
      <w:pPr>
        <w:autoSpaceDE w:val="0"/>
        <w:autoSpaceDN w:val="0"/>
        <w:adjustRightInd w:val="0"/>
        <w:spacing w:after="120"/>
        <w:jc w:val="both"/>
        <w:rPr>
          <w:rFonts w:ascii="Arial" w:hAnsi="Arial" w:cs="Arial"/>
          <w:sz w:val="18"/>
          <w:szCs w:val="18"/>
          <w:lang w:val="en-US"/>
        </w:rPr>
      </w:pPr>
    </w:p>
    <w:p w14:paraId="2B3C2FA3" w14:textId="77777777" w:rsidR="003F6DA4" w:rsidRPr="00BD295E" w:rsidRDefault="008A5057" w:rsidP="003F6DA4">
      <w:pPr>
        <w:autoSpaceDE w:val="0"/>
        <w:autoSpaceDN w:val="0"/>
        <w:adjustRightInd w:val="0"/>
        <w:spacing w:after="120"/>
        <w:jc w:val="both"/>
        <w:rPr>
          <w:rFonts w:ascii="Arial" w:hAnsi="Arial" w:cs="Arial"/>
          <w:b/>
          <w:sz w:val="18"/>
          <w:szCs w:val="18"/>
          <w:lang w:val="en-US"/>
        </w:rPr>
      </w:pPr>
      <w:r w:rsidRPr="00BD295E">
        <w:rPr>
          <w:rFonts w:ascii="Arial" w:hAnsi="Arial" w:cs="Arial"/>
          <w:b/>
          <w:sz w:val="18"/>
          <w:szCs w:val="18"/>
          <w:lang w:val="en-US"/>
        </w:rPr>
        <w:t>Electricity generation by type of the UES of Russia’s power plants as at the end of 2018, %</w:t>
      </w:r>
      <w:r w:rsidRPr="00BD295E">
        <w:rPr>
          <w:rStyle w:val="aff0"/>
          <w:rFonts w:ascii="Arial" w:hAnsi="Arial" w:cs="Arial"/>
          <w:b/>
          <w:sz w:val="18"/>
          <w:szCs w:val="18"/>
          <w:lang w:val="en-US"/>
        </w:rPr>
        <w:footnoteReference w:id="2"/>
      </w:r>
    </w:p>
    <w:p w14:paraId="3EFC5A47" w14:textId="263DAFE4" w:rsidR="003F6DA4" w:rsidRPr="00BD295E" w:rsidRDefault="00997D07" w:rsidP="003F6DA4">
      <w:pPr>
        <w:autoSpaceDE w:val="0"/>
        <w:autoSpaceDN w:val="0"/>
        <w:adjustRightInd w:val="0"/>
        <w:spacing w:after="120"/>
        <w:jc w:val="both"/>
        <w:rPr>
          <w:rFonts w:ascii="Arial" w:hAnsi="Arial" w:cs="Arial"/>
          <w:sz w:val="18"/>
          <w:szCs w:val="18"/>
          <w:lang w:val="en-US"/>
        </w:rPr>
      </w:pPr>
      <w:r w:rsidRPr="00BD295E">
        <w:rPr>
          <w:rFonts w:ascii="Arial" w:hAnsi="Arial" w:cs="Arial"/>
          <w:b/>
          <w:bCs/>
          <w:color w:val="7F7F7F"/>
          <w:sz w:val="20"/>
          <w:szCs w:val="20"/>
          <w:lang w:val="en-US" w:eastAsia="en-US"/>
        </w:rPr>
        <mc:AlternateContent>
          <mc:Choice Requires="wps">
            <w:drawing>
              <wp:anchor distT="45720" distB="45720" distL="114300" distR="114300" simplePos="0" relativeHeight="251709952" behindDoc="0" locked="0" layoutInCell="1" allowOverlap="1" wp14:anchorId="1061CAF6" wp14:editId="0071BBC9">
                <wp:simplePos x="0" y="0"/>
                <wp:positionH relativeFrom="column">
                  <wp:posOffset>2349500</wp:posOffset>
                </wp:positionH>
                <wp:positionV relativeFrom="paragraph">
                  <wp:posOffset>1111885</wp:posOffset>
                </wp:positionV>
                <wp:extent cx="427990" cy="146050"/>
                <wp:effectExtent l="635" t="0" r="0" b="0"/>
                <wp:wrapNone/>
                <wp:docPr id="1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9A6CC0"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Wind</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5" type="#_x0000_t202" style="position:absolute;left:0;text-align:left;margin-left:185pt;margin-top:87.55pt;width:33.7pt;height:11.5pt;z-index:25170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" stroked="f">
                <v:textbox inset="0,0,0,0">
                  <w:txbxContent>
                    <w:p w14:paraId="269A6CC0"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Wind</w:t>
                      </w:r>
                    </w:p>
                  </w:txbxContent>
                </v:textbox>
              </v:shape>
            </w:pict>
          </mc:Fallback>
        </mc:AlternateContent>
      </w:r>
      <w:r w:rsidRPr="00BD295E">
        <w:rPr>
          <w:rFonts w:ascii="Arial" w:hAnsi="Arial" w:cs="Arial"/>
          <w:b/>
          <w:bCs/>
          <w:color w:val="7F7F7F"/>
          <w:sz w:val="20"/>
          <w:szCs w:val="20"/>
          <w:lang w:val="en-US" w:eastAsia="en-US"/>
        </w:rPr>
        <mc:AlternateContent>
          <mc:Choice Requires="wps">
            <w:drawing>
              <wp:anchor distT="45720" distB="45720" distL="114300" distR="114300" simplePos="0" relativeHeight="251708928" behindDoc="0" locked="0" layoutInCell="1" allowOverlap="1" wp14:anchorId="1061CAF6" wp14:editId="64FD30EF">
                <wp:simplePos x="0" y="0"/>
                <wp:positionH relativeFrom="column">
                  <wp:posOffset>2071370</wp:posOffset>
                </wp:positionH>
                <wp:positionV relativeFrom="paragraph">
                  <wp:posOffset>1497330</wp:posOffset>
                </wp:positionV>
                <wp:extent cx="427990" cy="146050"/>
                <wp:effectExtent l="0" t="1270" r="1905" b="0"/>
                <wp:wrapNone/>
                <wp:docPr id="1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8E1A79"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Solar</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6" type="#_x0000_t202" style="position:absolute;left:0;text-align:left;margin-left:163.1pt;margin-top:117.9pt;width:33.7pt;height:11.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" stroked="f">
                <v:textbox inset="0,0,0,0">
                  <w:txbxContent>
                    <w:p w14:paraId="408E1A79"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Solar</w:t>
                      </w:r>
                    </w:p>
                  </w:txbxContent>
                </v:textbox>
              </v:shape>
            </w:pict>
          </mc:Fallback>
        </mc:AlternateContent>
      </w:r>
      <w:r w:rsidRPr="00BD295E">
        <w:rPr>
          <w:rFonts w:ascii="Arial" w:hAnsi="Arial" w:cs="Arial"/>
          <w:b/>
          <w:bCs/>
          <w:color w:val="7F7F7F"/>
          <w:sz w:val="20"/>
          <w:szCs w:val="20"/>
          <w:lang w:val="en-US" w:eastAsia="en-US"/>
        </w:rPr>
        <mc:AlternateContent>
          <mc:Choice Requires="wps">
            <w:drawing>
              <wp:anchor distT="45720" distB="45720" distL="114300" distR="114300" simplePos="0" relativeHeight="251707904" behindDoc="0" locked="0" layoutInCell="1" allowOverlap="1" wp14:anchorId="1061CAF6" wp14:editId="6B4D2F5E">
                <wp:simplePos x="0" y="0"/>
                <wp:positionH relativeFrom="column">
                  <wp:posOffset>2366010</wp:posOffset>
                </wp:positionH>
                <wp:positionV relativeFrom="paragraph">
                  <wp:posOffset>583565</wp:posOffset>
                </wp:positionV>
                <wp:extent cx="427990" cy="146050"/>
                <wp:effectExtent l="0" t="1905" r="2540" b="4445"/>
                <wp:wrapNone/>
                <wp:docPr id="1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711DB9"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NPPs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7" type="#_x0000_t202" style="position:absolute;left:0;text-align:left;margin-left:186.3pt;margin-top:45.95pt;width:33.7pt;height:11.5pt;z-index:25170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" stroked="f">
                <v:textbox inset="0,0,0,0">
                  <w:txbxContent>
                    <w:p w14:paraId="5A711DB9"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NPPs</w:t>
                      </w:r>
                    </w:p>
                  </w:txbxContent>
                </v:textbox>
              </v:shape>
            </w:pict>
          </mc:Fallback>
        </mc:AlternateContent>
      </w:r>
      <w:r w:rsidRPr="00BD295E">
        <w:rPr>
          <w:rFonts w:ascii="Arial" w:hAnsi="Arial" w:cs="Arial"/>
          <w:b/>
          <w:bCs/>
          <w:color w:val="7F7F7F"/>
          <w:sz w:val="20"/>
          <w:szCs w:val="20"/>
          <w:lang w:val="en-US" w:eastAsia="en-US"/>
        </w:rPr>
        <mc:AlternateContent>
          <mc:Choice Requires="wps">
            <w:drawing>
              <wp:anchor distT="45720" distB="45720" distL="114300" distR="114300" simplePos="0" relativeHeight="251706880" behindDoc="0" locked="0" layoutInCell="1" allowOverlap="1" wp14:anchorId="1061CAF6" wp14:editId="499B698A">
                <wp:simplePos x="0" y="0"/>
                <wp:positionH relativeFrom="column">
                  <wp:posOffset>2066925</wp:posOffset>
                </wp:positionH>
                <wp:positionV relativeFrom="paragraph">
                  <wp:posOffset>136525</wp:posOffset>
                </wp:positionV>
                <wp:extent cx="427990" cy="146050"/>
                <wp:effectExtent l="3810" t="2540" r="0" b="3810"/>
                <wp:wrapNone/>
                <wp:docPr id="1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9BE370"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HPPs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8" type="#_x0000_t202" style="position:absolute;left:0;text-align:left;margin-left:162.75pt;margin-top:10.75pt;width:33.7pt;height:11.5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" stroked="f">
                <v:textbox inset="0,0,0,0">
                  <w:txbxContent>
                    <w:p w14:paraId="3F9BE370"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HPPs</w:t>
                      </w:r>
                    </w:p>
                  </w:txbxContent>
                </v:textbox>
              </v:shape>
            </w:pict>
          </mc:Fallback>
        </mc:AlternateContent>
      </w:r>
      <w:r w:rsidRPr="00BD295E">
        <w:rPr>
          <w:rFonts w:ascii="Arial" w:hAnsi="Arial" w:cs="Arial"/>
          <w:b/>
          <w:bCs/>
          <w:color w:val="7F7F7F"/>
          <w:sz w:val="20"/>
          <w:szCs w:val="20"/>
          <w:lang w:val="en-US" w:eastAsia="en-US"/>
        </w:rPr>
        <mc:AlternateContent>
          <mc:Choice Requires="wps">
            <w:drawing>
              <wp:anchor distT="45720" distB="45720" distL="114300" distR="114300" simplePos="0" relativeHeight="251705856" behindDoc="0" locked="0" layoutInCell="1" allowOverlap="1" wp14:anchorId="1061CAF6" wp14:editId="15668D72">
                <wp:simplePos x="0" y="0"/>
                <wp:positionH relativeFrom="column">
                  <wp:posOffset>316230</wp:posOffset>
                </wp:positionH>
                <wp:positionV relativeFrom="paragraph">
                  <wp:posOffset>1049020</wp:posOffset>
                </wp:positionV>
                <wp:extent cx="427990" cy="145415"/>
                <wp:effectExtent l="0" t="635" r="4445" b="0"/>
                <wp:wrapNone/>
                <wp:docPr id="1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145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AE8E75"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TPPs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1CAF6" id="_x0000_s1039" type="#_x0000_t202" style="position:absolute;left:0;text-align:left;margin-left:24.9pt;margin-top:82.6pt;width:33.7pt;height:11.45pt;z-index:2517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" stroked="f">
                <v:textbox inset="0,0,0,0">
                  <w:txbxContent>
                    <w:p w14:paraId="2CAE8E75" w14:textId="77777777" w:rsidR="002C3947" w:rsidRPr="006054DB" w:rsidRDefault="002C3947" w:rsidP="006054DB">
                      <w:pPr>
                        <w:rPr>
                          <w:rFonts w:ascii="Arial" w:hAnsi="Arial" w:cs="Arial"/>
                          <w:b/>
                          <w:bCs/>
                          <w:sz w:val="18"/>
                          <w:szCs w:val="28"/>
                        </w:rPr>
                      </w:pPr>
                      <w:r w:rsidRPr="006054DB">
                        <w:rPr>
                          <w:rFonts w:ascii="Arial" w:hAnsi="Arial" w:cs="Arial"/>
                          <w:b/>
                          <w:bCs/>
                          <w:sz w:val="18"/>
                          <w:szCs w:val="28"/>
                        </w:rPr>
                        <w:t>TPPs</w:t>
                      </w:r>
                    </w:p>
                  </w:txbxContent>
                </v:textbox>
              </v:shape>
            </w:pict>
          </mc:Fallback>
        </mc:AlternateContent>
      </w:r>
      <w:r w:rsidRPr="00BD295E">
        <w:rPr>
          <w:rFonts w:ascii="Arial" w:hAnsi="Arial" w:cs="Arial"/>
          <w:sz w:val="18"/>
          <w:szCs w:val="18"/>
          <w:lang w:val="en-US" w:eastAsia="en-US"/>
        </w:rPr>
        <w:drawing>
          <wp:inline distT="0" distB="0" distL="0" distR="0" wp14:anchorId="3A89034F" wp14:editId="5EF26EE2">
            <wp:extent cx="3138805" cy="1824355"/>
            <wp:effectExtent l="0" t="0" r="0" b="0"/>
            <wp:docPr id="13" name="Рисунок 1032" descr="https://so-ups.ru/uploads/pics/structure-power-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2" descr="https://so-ups.ru/uploads/pics/structure-power-18-1.jpg"/>
                    <pic:cNvPicPr>
                      <a:picLocks noChangeAspect="1" noChangeArrowheads="1"/>
                    </pic:cNvPicPr>
                  </pic:nvPicPr>
                  <pic:blipFill>
                    <a:blip r:embed="rId24">
                      <a:extLst>
                        <a:ext uri="{28A0092B-C50C-407E-A947-70E740481C1C}">
                          <a14:useLocalDpi xmlns:a14="http://schemas.microsoft.com/office/drawing/2010/main" val="0"/>
                        </a:ext>
                      </a:extLst>
                    </a:blip>
                    <a:srcRect b="17052"/>
                    <a:stretch>
                      <a:fillRect/>
                    </a:stretch>
                  </pic:blipFill>
                  <pic:spPr bwMode="auto">
                    <a:xfrm>
                      <a:off x="0" y="0"/>
                      <a:ext cx="3138805" cy="1824355"/>
                    </a:xfrm>
                    <a:prstGeom prst="rect">
                      <a:avLst/>
                    </a:prstGeom>
                    <a:noFill/>
                    <a:ln>
                      <a:noFill/>
                    </a:ln>
                  </pic:spPr>
                </pic:pic>
              </a:graphicData>
            </a:graphic>
          </wp:inline>
        </w:drawing>
      </w:r>
    </w:p>
    <w:p w14:paraId="5A112156" w14:textId="39628DC2" w:rsidR="006054DB" w:rsidRPr="00BD295E" w:rsidRDefault="006054DB" w:rsidP="006054DB">
      <w:pPr>
        <w:autoSpaceDE w:val="0"/>
        <w:autoSpaceDN w:val="0"/>
        <w:adjustRightInd w:val="0"/>
        <w:spacing w:after="120"/>
        <w:ind w:right="4393"/>
        <w:jc w:val="center"/>
        <w:rPr>
          <w:rFonts w:ascii="Arial" w:hAnsi="Arial" w:cs="Arial"/>
          <w:b/>
          <w:bCs/>
          <w:color w:val="7F7F7F"/>
          <w:sz w:val="20"/>
          <w:szCs w:val="20"/>
          <w:lang w:val="en-US"/>
        </w:rPr>
      </w:pPr>
      <w:r w:rsidRPr="00BD295E">
        <w:rPr>
          <w:rFonts w:ascii="Arial" w:hAnsi="Arial" w:cs="Arial"/>
          <w:b/>
          <w:bCs/>
          <w:color w:val="7F7F7F"/>
          <w:sz w:val="20"/>
          <w:szCs w:val="20"/>
          <w:lang w:val="en-US"/>
        </w:rPr>
        <w:t>Installed capacity breakdown within the UES of Russia by power plant type, % (as at January 1, 2019)</w:t>
      </w:r>
    </w:p>
    <w:p w14:paraId="2B692B15" w14:textId="0FB1AF44" w:rsidR="00191233" w:rsidRPr="00BD295E" w:rsidRDefault="00191233">
      <w:pPr>
        <w:rPr>
          <w:rFonts w:ascii="Arial" w:hAnsi="Arial" w:cs="Arial"/>
          <w:b/>
          <w:sz w:val="18"/>
          <w:szCs w:val="18"/>
          <w:lang w:val="en-US"/>
        </w:rPr>
      </w:pPr>
      <w:r w:rsidRPr="00BD295E">
        <w:rPr>
          <w:rFonts w:ascii="Arial" w:hAnsi="Arial" w:cs="Arial"/>
          <w:b/>
          <w:sz w:val="18"/>
          <w:szCs w:val="18"/>
          <w:lang w:val="en-US"/>
        </w:rPr>
        <w:br w:type="page"/>
      </w:r>
    </w:p>
    <w:p w14:paraId="7CA6A0DD" w14:textId="38E19B9E" w:rsidR="003F6DA4" w:rsidRPr="00BD295E" w:rsidRDefault="008A5057" w:rsidP="000A1E65">
      <w:pPr>
        <w:autoSpaceDE w:val="0"/>
        <w:autoSpaceDN w:val="0"/>
        <w:adjustRightInd w:val="0"/>
        <w:contextualSpacing/>
        <w:jc w:val="both"/>
        <w:rPr>
          <w:rFonts w:ascii="Arial" w:hAnsi="Arial" w:cs="Arial"/>
          <w:b/>
          <w:sz w:val="18"/>
          <w:szCs w:val="18"/>
          <w:lang w:val="en-US"/>
        </w:rPr>
      </w:pPr>
      <w:r w:rsidRPr="00BD295E">
        <w:rPr>
          <w:rFonts w:ascii="Arial" w:hAnsi="Arial" w:cs="Arial"/>
          <w:b/>
          <w:sz w:val="18"/>
          <w:szCs w:val="18"/>
          <w:lang w:val="en-US"/>
        </w:rPr>
        <w:t>The integrated energy system of Saint Petersburg and the Leningrad Region</w:t>
      </w:r>
    </w:p>
    <w:p w14:paraId="1F762F21" w14:textId="77777777" w:rsidR="003F6DA4" w:rsidRPr="00BD295E" w:rsidRDefault="003F6DA4" w:rsidP="000A1E65">
      <w:pPr>
        <w:jc w:val="both"/>
        <w:rPr>
          <w:rFonts w:ascii="Arial" w:hAnsi="Arial" w:cs="Arial"/>
          <w:sz w:val="18"/>
          <w:szCs w:val="18"/>
          <w:lang w:val="en-US"/>
        </w:rPr>
      </w:pPr>
    </w:p>
    <w:p w14:paraId="13FACDBF" w14:textId="77777777" w:rsidR="003F6DA4" w:rsidRPr="00BD295E" w:rsidRDefault="008A5057" w:rsidP="000A1E65">
      <w:pPr>
        <w:jc w:val="both"/>
        <w:rPr>
          <w:rFonts w:ascii="Arial" w:hAnsi="Arial" w:cs="Arial"/>
          <w:sz w:val="18"/>
          <w:szCs w:val="18"/>
          <w:lang w:val="en-US"/>
        </w:rPr>
      </w:pPr>
      <w:r w:rsidRPr="00BD295E">
        <w:rPr>
          <w:rFonts w:ascii="Arial" w:hAnsi="Arial" w:cs="Arial"/>
          <w:sz w:val="18"/>
          <w:szCs w:val="18"/>
          <w:lang w:val="en-US"/>
        </w:rPr>
        <w:t xml:space="preserve">The energy systems of Saint Petersburg and the Leningrad Region are part of an integrated energy system of the North-West, serving as the basis of the Leningrad Regional Dispatching Administration. </w:t>
      </w:r>
    </w:p>
    <w:p w14:paraId="17B3DA2D" w14:textId="77777777" w:rsidR="003F6DA4" w:rsidRPr="00BD295E" w:rsidRDefault="008A5057" w:rsidP="000A1E65">
      <w:pPr>
        <w:jc w:val="both"/>
        <w:rPr>
          <w:rFonts w:ascii="Arial" w:hAnsi="Arial" w:cs="Arial"/>
          <w:sz w:val="18"/>
          <w:szCs w:val="18"/>
          <w:lang w:val="en-US"/>
        </w:rPr>
      </w:pPr>
      <w:r w:rsidRPr="00BD295E">
        <w:rPr>
          <w:rFonts w:ascii="Arial" w:hAnsi="Arial" w:cs="Arial"/>
          <w:sz w:val="18"/>
          <w:szCs w:val="18"/>
          <w:lang w:val="en-US"/>
        </w:rPr>
        <w:t xml:space="preserve">The energy system of the Northwest combines eight energy systems located across ten constituent entities of the Russian Federation in the Northwestern Federal District: Saint Petersburg, the Murmansk, Kaliningrad, Leningrad, Novgorod, Pskov, and Arkhangelsk Regions, the Republics of Karelia and Komi, and the Nenets Autonomous District. </w:t>
      </w:r>
    </w:p>
    <w:p w14:paraId="69C5B641" w14:textId="77777777" w:rsidR="003F6DA4" w:rsidRPr="00BD295E" w:rsidRDefault="008A5057" w:rsidP="000A1E65">
      <w:pPr>
        <w:jc w:val="both"/>
        <w:rPr>
          <w:rFonts w:ascii="Arial" w:hAnsi="Arial" w:cs="Arial"/>
          <w:sz w:val="18"/>
          <w:szCs w:val="18"/>
          <w:lang w:val="en-US"/>
        </w:rPr>
      </w:pPr>
      <w:r w:rsidRPr="00BD295E">
        <w:rPr>
          <w:rFonts w:ascii="Arial" w:hAnsi="Arial" w:cs="Arial"/>
          <w:sz w:val="18"/>
          <w:szCs w:val="18"/>
          <w:lang w:val="en-US"/>
        </w:rPr>
        <w:t xml:space="preserve">The installed capacity of the power plants of Saint Petersburg’s and the Leningrad Region’ energy systems totals 13,096.6 MW. </w:t>
      </w:r>
    </w:p>
    <w:p w14:paraId="60EDC782" w14:textId="77777777" w:rsidR="003F6DA4" w:rsidRPr="00BD295E" w:rsidRDefault="008A5057" w:rsidP="000A1E65">
      <w:pPr>
        <w:jc w:val="both"/>
        <w:rPr>
          <w:rFonts w:ascii="Arial" w:hAnsi="Arial" w:cs="Arial"/>
          <w:sz w:val="18"/>
          <w:szCs w:val="18"/>
          <w:lang w:val="en-US"/>
        </w:rPr>
      </w:pPr>
      <w:r w:rsidRPr="00BD295E">
        <w:rPr>
          <w:rFonts w:ascii="Arial" w:hAnsi="Arial" w:cs="Arial"/>
          <w:sz w:val="18"/>
          <w:szCs w:val="18"/>
          <w:lang w:val="en-US"/>
        </w:rPr>
        <w:t>The electricity system of Saint Petersburg and the Leningrad Region consists of 638 110–750 kV power transmission lines with a total length of 12,498.7 km, and 386 transformer substations with a total installed capacity of 50,430.2 MVA.</w:t>
      </w:r>
    </w:p>
    <w:p w14:paraId="1D0BB5A6" w14:textId="77777777" w:rsidR="003F6DA4" w:rsidRPr="00BD295E" w:rsidRDefault="008A5057" w:rsidP="000A1E65">
      <w:pPr>
        <w:jc w:val="both"/>
        <w:rPr>
          <w:rFonts w:ascii="Arial" w:hAnsi="Arial" w:cs="Arial"/>
          <w:sz w:val="18"/>
          <w:szCs w:val="18"/>
          <w:lang w:val="en-US"/>
        </w:rPr>
      </w:pPr>
      <w:r w:rsidRPr="00BD295E">
        <w:rPr>
          <w:rFonts w:ascii="Arial" w:hAnsi="Arial" w:cs="Arial"/>
          <w:sz w:val="18"/>
          <w:szCs w:val="18"/>
          <w:lang w:val="en-US"/>
        </w:rPr>
        <w:t>In 2017, power plants of Saint Petersburg’s and the Leningrad Region’s energy systems generated 65.1 billion kWh of electricity, while electricity consumption in the area was 47.0 billion kWh.</w:t>
      </w:r>
    </w:p>
    <w:p w14:paraId="6544589A" w14:textId="77777777" w:rsidR="003F6DA4" w:rsidRPr="00BD295E" w:rsidRDefault="003F6DA4" w:rsidP="000A1E65">
      <w:pPr>
        <w:autoSpaceDE w:val="0"/>
        <w:autoSpaceDN w:val="0"/>
        <w:adjustRightInd w:val="0"/>
        <w:jc w:val="both"/>
        <w:rPr>
          <w:rFonts w:ascii="Arial" w:hAnsi="Arial" w:cs="Arial"/>
          <w:b/>
          <w:sz w:val="18"/>
          <w:szCs w:val="18"/>
          <w:lang w:val="en-US"/>
        </w:rPr>
      </w:pPr>
    </w:p>
    <w:p w14:paraId="0A07E7BC" w14:textId="77777777" w:rsidR="003F6DA4" w:rsidRPr="00BD295E" w:rsidRDefault="008A5057" w:rsidP="000A1E65">
      <w:pPr>
        <w:jc w:val="both"/>
        <w:rPr>
          <w:rFonts w:ascii="Arial" w:hAnsi="Arial" w:cs="Arial"/>
          <w:b/>
          <w:sz w:val="18"/>
          <w:szCs w:val="18"/>
          <w:lang w:val="en-US"/>
        </w:rPr>
      </w:pPr>
      <w:r w:rsidRPr="00BD295E">
        <w:rPr>
          <w:rFonts w:ascii="Arial" w:hAnsi="Arial" w:cs="Arial"/>
          <w:b/>
          <w:sz w:val="18"/>
          <w:szCs w:val="18"/>
          <w:lang w:val="en-US"/>
        </w:rPr>
        <w:t>The Company’s operating regions</w:t>
      </w:r>
    </w:p>
    <w:p w14:paraId="6C51DE54" w14:textId="77777777" w:rsidR="003F6DA4" w:rsidRPr="00BD295E" w:rsidRDefault="003F6DA4" w:rsidP="000A1E65">
      <w:pPr>
        <w:jc w:val="both"/>
        <w:rPr>
          <w:rFonts w:ascii="Arial" w:hAnsi="Arial" w:cs="Arial"/>
          <w:b/>
          <w:sz w:val="18"/>
          <w:szCs w:val="18"/>
          <w:lang w:val="en-US"/>
        </w:rPr>
      </w:pPr>
    </w:p>
    <w:p w14:paraId="1BCB1DDA" w14:textId="77777777" w:rsidR="003F6DA4" w:rsidRPr="00BD295E" w:rsidRDefault="008A5057" w:rsidP="000A1E65">
      <w:pPr>
        <w:jc w:val="both"/>
        <w:rPr>
          <w:rFonts w:ascii="Arial" w:hAnsi="Arial" w:cs="Arial"/>
          <w:sz w:val="18"/>
          <w:szCs w:val="18"/>
          <w:lang w:val="en-US"/>
        </w:rPr>
      </w:pPr>
      <w:r w:rsidRPr="00BD295E">
        <w:rPr>
          <w:rFonts w:ascii="Arial" w:hAnsi="Arial" w:cs="Arial"/>
          <w:sz w:val="18"/>
          <w:szCs w:val="18"/>
          <w:lang w:val="en-US"/>
        </w:rPr>
        <w:t>Companies of Lenenergo Group serve Saint Petersburg and the Leningrad Region.</w:t>
      </w:r>
    </w:p>
    <w:p w14:paraId="5A44E5DF" w14:textId="77777777" w:rsidR="00E638C6" w:rsidRPr="00BD295E" w:rsidRDefault="008A5057" w:rsidP="000A1E65">
      <w:pPr>
        <w:jc w:val="both"/>
        <w:rPr>
          <w:rFonts w:ascii="Arial" w:hAnsi="Arial" w:cs="Arial"/>
          <w:sz w:val="18"/>
          <w:szCs w:val="18"/>
          <w:lang w:val="en-US"/>
        </w:rPr>
      </w:pPr>
      <w:r w:rsidRPr="00BD295E">
        <w:rPr>
          <w:rFonts w:ascii="Arial" w:hAnsi="Arial" w:cs="Arial"/>
          <w:sz w:val="18"/>
          <w:szCs w:val="18"/>
          <w:lang w:val="en-US"/>
        </w:rPr>
        <w:t xml:space="preserve">The key highlights of the social and economic development in the operating regions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2018 are shown in the table below:</w:t>
      </w:r>
    </w:p>
    <w:p w14:paraId="20338643" w14:textId="77777777" w:rsidR="00E638C6" w:rsidRPr="00BD295E" w:rsidRDefault="00E638C6" w:rsidP="00E638C6">
      <w:pPr>
        <w:ind w:firstLine="709"/>
        <w:jc w:val="both"/>
        <w:rPr>
          <w:rFonts w:ascii="Arial" w:hAnsi="Arial" w:cs="Arial"/>
          <w:sz w:val="18"/>
          <w:szCs w:val="18"/>
          <w:lang w:val="en-US"/>
        </w:rPr>
      </w:pPr>
    </w:p>
    <w:tbl>
      <w:tblPr>
        <w:tblW w:w="9786" w:type="dxa"/>
        <w:jc w:val="center"/>
        <w:tblLook w:val="04A0" w:firstRow="1" w:lastRow="0" w:firstColumn="1" w:lastColumn="0" w:noHBand="0" w:noVBand="1"/>
      </w:tblPr>
      <w:tblGrid>
        <w:gridCol w:w="5755"/>
        <w:gridCol w:w="2090"/>
        <w:gridCol w:w="1941"/>
      </w:tblGrid>
      <w:tr w:rsidR="008A5057" w:rsidRPr="00BD295E" w14:paraId="629A797C" w14:textId="77777777" w:rsidTr="00B6068A">
        <w:trPr>
          <w:cantSplit/>
          <w:trHeight w:val="20"/>
          <w:tblHeader/>
          <w:jc w:val="center"/>
        </w:trPr>
        <w:tc>
          <w:tcPr>
            <w:tcW w:w="575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B2818B"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Indicator</w:t>
            </w:r>
          </w:p>
        </w:tc>
        <w:tc>
          <w:tcPr>
            <w:tcW w:w="2090" w:type="dxa"/>
            <w:tcBorders>
              <w:top w:val="single" w:sz="8" w:space="0" w:color="auto"/>
              <w:left w:val="nil"/>
              <w:bottom w:val="single" w:sz="8" w:space="0" w:color="auto"/>
              <w:right w:val="single" w:sz="8" w:space="0" w:color="auto"/>
            </w:tcBorders>
            <w:shd w:val="clear" w:color="auto" w:fill="auto"/>
            <w:vAlign w:val="center"/>
            <w:hideMark/>
          </w:tcPr>
          <w:p w14:paraId="22209D18"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Saint Petersburg</w:t>
            </w:r>
          </w:p>
        </w:tc>
        <w:tc>
          <w:tcPr>
            <w:tcW w:w="1941" w:type="dxa"/>
            <w:tcBorders>
              <w:top w:val="single" w:sz="8" w:space="0" w:color="auto"/>
              <w:left w:val="nil"/>
              <w:bottom w:val="single" w:sz="8" w:space="0" w:color="auto"/>
              <w:right w:val="single" w:sz="8" w:space="0" w:color="auto"/>
            </w:tcBorders>
            <w:shd w:val="clear" w:color="auto" w:fill="auto"/>
            <w:vAlign w:val="center"/>
            <w:hideMark/>
          </w:tcPr>
          <w:p w14:paraId="5837754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Leningrad Region</w:t>
            </w:r>
          </w:p>
        </w:tc>
      </w:tr>
      <w:tr w:rsidR="008A5057" w:rsidRPr="00BD295E" w14:paraId="501A6840"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5B336456"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Consumer price index</w:t>
            </w:r>
          </w:p>
        </w:tc>
        <w:tc>
          <w:tcPr>
            <w:tcW w:w="2090" w:type="dxa"/>
            <w:tcBorders>
              <w:top w:val="nil"/>
              <w:left w:val="nil"/>
              <w:bottom w:val="single" w:sz="8" w:space="0" w:color="auto"/>
              <w:right w:val="single" w:sz="8" w:space="0" w:color="auto"/>
            </w:tcBorders>
            <w:shd w:val="clear" w:color="000000" w:fill="BFBFBF"/>
            <w:vAlign w:val="center"/>
            <w:hideMark/>
          </w:tcPr>
          <w:p w14:paraId="5D9D0C5C" w14:textId="77777777" w:rsidR="00E638C6" w:rsidRPr="00BD295E" w:rsidRDefault="00E638C6" w:rsidP="00B6068A">
            <w:pPr>
              <w:ind w:firstLine="709"/>
              <w:jc w:val="both"/>
              <w:rPr>
                <w:rFonts w:ascii="Arial" w:hAnsi="Arial" w:cs="Arial"/>
                <w:sz w:val="18"/>
                <w:szCs w:val="18"/>
                <w:lang w:val="en-US"/>
              </w:rPr>
            </w:pPr>
          </w:p>
        </w:tc>
        <w:tc>
          <w:tcPr>
            <w:tcW w:w="1941" w:type="dxa"/>
            <w:tcBorders>
              <w:top w:val="nil"/>
              <w:left w:val="nil"/>
              <w:bottom w:val="single" w:sz="8" w:space="0" w:color="auto"/>
              <w:right w:val="single" w:sz="8" w:space="0" w:color="auto"/>
            </w:tcBorders>
            <w:shd w:val="clear" w:color="000000" w:fill="BFBFBF"/>
            <w:vAlign w:val="center"/>
            <w:hideMark/>
          </w:tcPr>
          <w:p w14:paraId="6CF00C72" w14:textId="77777777" w:rsidR="00E638C6" w:rsidRPr="00BD295E" w:rsidRDefault="00E638C6" w:rsidP="00B6068A">
            <w:pPr>
              <w:ind w:firstLine="709"/>
              <w:jc w:val="both"/>
              <w:rPr>
                <w:rFonts w:ascii="Arial" w:hAnsi="Arial" w:cs="Arial"/>
                <w:sz w:val="18"/>
                <w:szCs w:val="18"/>
                <w:lang w:val="en-US"/>
              </w:rPr>
            </w:pPr>
          </w:p>
        </w:tc>
      </w:tr>
      <w:tr w:rsidR="008A5057" w:rsidRPr="00BD295E" w14:paraId="467119F9"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201E3C63"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Year-on-year change for December 2018, %</w:t>
            </w:r>
          </w:p>
        </w:tc>
        <w:tc>
          <w:tcPr>
            <w:tcW w:w="2090" w:type="dxa"/>
            <w:tcBorders>
              <w:top w:val="nil"/>
              <w:left w:val="nil"/>
              <w:bottom w:val="single" w:sz="8" w:space="0" w:color="auto"/>
              <w:right w:val="single" w:sz="8" w:space="0" w:color="auto"/>
            </w:tcBorders>
            <w:shd w:val="clear" w:color="auto" w:fill="auto"/>
            <w:vAlign w:val="center"/>
          </w:tcPr>
          <w:p w14:paraId="42FF7356"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103.9</w:t>
            </w:r>
          </w:p>
        </w:tc>
        <w:tc>
          <w:tcPr>
            <w:tcW w:w="1941" w:type="dxa"/>
            <w:tcBorders>
              <w:top w:val="nil"/>
              <w:left w:val="nil"/>
              <w:bottom w:val="single" w:sz="8" w:space="0" w:color="auto"/>
              <w:right w:val="single" w:sz="8" w:space="0" w:color="auto"/>
            </w:tcBorders>
            <w:shd w:val="clear" w:color="auto" w:fill="auto"/>
            <w:vAlign w:val="center"/>
          </w:tcPr>
          <w:p w14:paraId="5CF88E1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104.0</w:t>
            </w:r>
          </w:p>
        </w:tc>
      </w:tr>
      <w:tr w:rsidR="008A5057" w:rsidRPr="00BD295E" w14:paraId="71406DA6" w14:textId="77777777" w:rsidTr="00B6068A">
        <w:trPr>
          <w:cantSplit/>
          <w:trHeight w:val="20"/>
          <w:jc w:val="center"/>
        </w:trPr>
        <w:tc>
          <w:tcPr>
            <w:tcW w:w="5755" w:type="dxa"/>
            <w:tcBorders>
              <w:top w:val="nil"/>
              <w:left w:val="single" w:sz="8" w:space="0" w:color="auto"/>
              <w:bottom w:val="single" w:sz="12" w:space="0" w:color="auto"/>
              <w:right w:val="single" w:sz="8" w:space="0" w:color="auto"/>
            </w:tcBorders>
            <w:shd w:val="clear" w:color="auto" w:fill="auto"/>
            <w:vAlign w:val="center"/>
            <w:hideMark/>
          </w:tcPr>
          <w:p w14:paraId="7BFE2FB5"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For reference: Year-on-year change for December 2017, %</w:t>
            </w:r>
          </w:p>
        </w:tc>
        <w:tc>
          <w:tcPr>
            <w:tcW w:w="2090" w:type="dxa"/>
            <w:tcBorders>
              <w:top w:val="nil"/>
              <w:left w:val="nil"/>
              <w:bottom w:val="single" w:sz="12" w:space="0" w:color="auto"/>
              <w:right w:val="single" w:sz="8" w:space="0" w:color="auto"/>
            </w:tcBorders>
            <w:shd w:val="clear" w:color="auto" w:fill="auto"/>
            <w:vAlign w:val="center"/>
          </w:tcPr>
          <w:p w14:paraId="6179332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103.7</w:t>
            </w:r>
          </w:p>
        </w:tc>
        <w:tc>
          <w:tcPr>
            <w:tcW w:w="1941" w:type="dxa"/>
            <w:tcBorders>
              <w:top w:val="nil"/>
              <w:left w:val="nil"/>
              <w:bottom w:val="single" w:sz="12" w:space="0" w:color="auto"/>
              <w:right w:val="single" w:sz="8" w:space="0" w:color="auto"/>
            </w:tcBorders>
            <w:shd w:val="clear" w:color="auto" w:fill="auto"/>
            <w:vAlign w:val="center"/>
          </w:tcPr>
          <w:p w14:paraId="01AD527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102.7</w:t>
            </w:r>
          </w:p>
        </w:tc>
      </w:tr>
      <w:tr w:rsidR="008A5057" w:rsidRPr="00BD295E" w14:paraId="1FD4D4E2"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4FBB66C7"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 xml:space="preserve">Industrial output </w:t>
            </w:r>
          </w:p>
        </w:tc>
        <w:tc>
          <w:tcPr>
            <w:tcW w:w="2090" w:type="dxa"/>
            <w:tcBorders>
              <w:top w:val="nil"/>
              <w:left w:val="nil"/>
              <w:bottom w:val="single" w:sz="8" w:space="0" w:color="auto"/>
              <w:right w:val="single" w:sz="8" w:space="0" w:color="auto"/>
            </w:tcBorders>
            <w:shd w:val="clear" w:color="000000" w:fill="BFBFBF"/>
            <w:vAlign w:val="center"/>
          </w:tcPr>
          <w:p w14:paraId="6362B93B" w14:textId="77777777" w:rsidR="00E638C6" w:rsidRPr="00BD295E" w:rsidRDefault="00E638C6" w:rsidP="00B6068A">
            <w:pPr>
              <w:jc w:val="center"/>
              <w:rPr>
                <w:rFonts w:ascii="Arial" w:hAnsi="Arial" w:cs="Arial"/>
                <w:sz w:val="18"/>
                <w:szCs w:val="18"/>
                <w:lang w:val="en-US"/>
              </w:rPr>
            </w:pPr>
          </w:p>
        </w:tc>
        <w:tc>
          <w:tcPr>
            <w:tcW w:w="1941" w:type="dxa"/>
            <w:tcBorders>
              <w:top w:val="nil"/>
              <w:left w:val="nil"/>
              <w:bottom w:val="single" w:sz="8" w:space="0" w:color="auto"/>
              <w:right w:val="single" w:sz="8" w:space="0" w:color="auto"/>
            </w:tcBorders>
            <w:shd w:val="clear" w:color="000000" w:fill="BFBFBF"/>
            <w:vAlign w:val="center"/>
          </w:tcPr>
          <w:p w14:paraId="5D68FD93" w14:textId="77777777" w:rsidR="00E638C6" w:rsidRPr="00BD295E" w:rsidRDefault="00E638C6" w:rsidP="00B6068A">
            <w:pPr>
              <w:jc w:val="center"/>
              <w:rPr>
                <w:rFonts w:ascii="Arial" w:hAnsi="Arial" w:cs="Arial"/>
                <w:sz w:val="18"/>
                <w:szCs w:val="18"/>
                <w:lang w:val="en-US"/>
              </w:rPr>
            </w:pPr>
          </w:p>
        </w:tc>
      </w:tr>
      <w:tr w:rsidR="008A5057" w:rsidRPr="00BD295E" w14:paraId="1E63D3B7"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42F7ABD5"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Year-on-year change for 12M 2018, %</w:t>
            </w:r>
          </w:p>
        </w:tc>
        <w:tc>
          <w:tcPr>
            <w:tcW w:w="2090" w:type="dxa"/>
            <w:tcBorders>
              <w:top w:val="nil"/>
              <w:left w:val="nil"/>
              <w:bottom w:val="single" w:sz="8" w:space="0" w:color="auto"/>
              <w:right w:val="single" w:sz="8" w:space="0" w:color="auto"/>
            </w:tcBorders>
            <w:shd w:val="clear" w:color="auto" w:fill="auto"/>
            <w:vAlign w:val="center"/>
          </w:tcPr>
          <w:p w14:paraId="3287DA07"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105.0</w:t>
            </w:r>
          </w:p>
        </w:tc>
        <w:tc>
          <w:tcPr>
            <w:tcW w:w="1941" w:type="dxa"/>
            <w:tcBorders>
              <w:top w:val="nil"/>
              <w:left w:val="nil"/>
              <w:bottom w:val="single" w:sz="8" w:space="0" w:color="auto"/>
              <w:right w:val="single" w:sz="8" w:space="0" w:color="auto"/>
            </w:tcBorders>
            <w:shd w:val="clear" w:color="auto" w:fill="auto"/>
            <w:vAlign w:val="center"/>
          </w:tcPr>
          <w:p w14:paraId="20C41B9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104.9</w:t>
            </w:r>
          </w:p>
        </w:tc>
      </w:tr>
      <w:tr w:rsidR="008A5057" w:rsidRPr="00BD295E" w14:paraId="529A9CA7" w14:textId="77777777" w:rsidTr="00B6068A">
        <w:trPr>
          <w:cantSplit/>
          <w:trHeight w:val="20"/>
          <w:jc w:val="center"/>
        </w:trPr>
        <w:tc>
          <w:tcPr>
            <w:tcW w:w="5755" w:type="dxa"/>
            <w:tcBorders>
              <w:top w:val="nil"/>
              <w:left w:val="single" w:sz="8" w:space="0" w:color="auto"/>
              <w:bottom w:val="single" w:sz="12" w:space="0" w:color="auto"/>
              <w:right w:val="single" w:sz="8" w:space="0" w:color="auto"/>
            </w:tcBorders>
            <w:shd w:val="clear" w:color="auto" w:fill="auto"/>
            <w:vAlign w:val="center"/>
            <w:hideMark/>
          </w:tcPr>
          <w:p w14:paraId="76BDD51D"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For reference: Year-on-year change for 12M 2017, %</w:t>
            </w:r>
          </w:p>
        </w:tc>
        <w:tc>
          <w:tcPr>
            <w:tcW w:w="2090" w:type="dxa"/>
            <w:tcBorders>
              <w:top w:val="nil"/>
              <w:left w:val="nil"/>
              <w:bottom w:val="single" w:sz="12" w:space="0" w:color="auto"/>
              <w:right w:val="single" w:sz="8" w:space="0" w:color="auto"/>
            </w:tcBorders>
            <w:shd w:val="clear" w:color="auto" w:fill="auto"/>
            <w:vAlign w:val="center"/>
          </w:tcPr>
          <w:p w14:paraId="6BA5BE3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105.5</w:t>
            </w:r>
          </w:p>
        </w:tc>
        <w:tc>
          <w:tcPr>
            <w:tcW w:w="1941" w:type="dxa"/>
            <w:tcBorders>
              <w:top w:val="nil"/>
              <w:left w:val="nil"/>
              <w:bottom w:val="single" w:sz="12" w:space="0" w:color="auto"/>
              <w:right w:val="single" w:sz="8" w:space="0" w:color="auto"/>
            </w:tcBorders>
            <w:shd w:val="clear" w:color="auto" w:fill="auto"/>
            <w:vAlign w:val="center"/>
          </w:tcPr>
          <w:p w14:paraId="507FD1A6"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100.2</w:t>
            </w:r>
          </w:p>
        </w:tc>
      </w:tr>
      <w:tr w:rsidR="008A5057" w:rsidRPr="00BD295E" w14:paraId="1900DF40"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10789A39"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Change in real cash income</w:t>
            </w:r>
          </w:p>
        </w:tc>
        <w:tc>
          <w:tcPr>
            <w:tcW w:w="2090" w:type="dxa"/>
            <w:tcBorders>
              <w:top w:val="nil"/>
              <w:left w:val="nil"/>
              <w:bottom w:val="single" w:sz="8" w:space="0" w:color="auto"/>
              <w:right w:val="single" w:sz="8" w:space="0" w:color="auto"/>
            </w:tcBorders>
            <w:shd w:val="clear" w:color="000000" w:fill="BFBFBF"/>
            <w:vAlign w:val="center"/>
          </w:tcPr>
          <w:p w14:paraId="7DC1313A" w14:textId="77777777" w:rsidR="00E638C6" w:rsidRPr="00BD295E" w:rsidRDefault="00E638C6" w:rsidP="00B6068A">
            <w:pPr>
              <w:jc w:val="center"/>
              <w:rPr>
                <w:rFonts w:ascii="Arial" w:hAnsi="Arial" w:cs="Arial"/>
                <w:sz w:val="18"/>
                <w:szCs w:val="18"/>
                <w:lang w:val="en-US"/>
              </w:rPr>
            </w:pPr>
          </w:p>
        </w:tc>
        <w:tc>
          <w:tcPr>
            <w:tcW w:w="1941" w:type="dxa"/>
            <w:tcBorders>
              <w:top w:val="nil"/>
              <w:left w:val="nil"/>
              <w:bottom w:val="single" w:sz="8" w:space="0" w:color="auto"/>
              <w:right w:val="single" w:sz="8" w:space="0" w:color="auto"/>
            </w:tcBorders>
            <w:shd w:val="clear" w:color="000000" w:fill="BFBFBF"/>
            <w:vAlign w:val="center"/>
          </w:tcPr>
          <w:p w14:paraId="778A8AEF" w14:textId="77777777" w:rsidR="00E638C6" w:rsidRPr="00BD295E" w:rsidRDefault="00E638C6" w:rsidP="00B6068A">
            <w:pPr>
              <w:jc w:val="center"/>
              <w:rPr>
                <w:rFonts w:ascii="Arial" w:hAnsi="Arial" w:cs="Arial"/>
                <w:sz w:val="18"/>
                <w:szCs w:val="18"/>
                <w:lang w:val="en-US"/>
              </w:rPr>
            </w:pPr>
          </w:p>
        </w:tc>
      </w:tr>
      <w:tr w:rsidR="008A5057" w:rsidRPr="00BD295E" w14:paraId="25B0BF34"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5181476E"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Year-on-year change for 12M 2018, %**</w:t>
            </w:r>
          </w:p>
        </w:tc>
        <w:tc>
          <w:tcPr>
            <w:tcW w:w="2090" w:type="dxa"/>
            <w:tcBorders>
              <w:top w:val="nil"/>
              <w:left w:val="nil"/>
              <w:bottom w:val="single" w:sz="8" w:space="0" w:color="auto"/>
              <w:right w:val="single" w:sz="8" w:space="0" w:color="auto"/>
            </w:tcBorders>
            <w:shd w:val="clear" w:color="auto" w:fill="auto"/>
            <w:vAlign w:val="center"/>
          </w:tcPr>
          <w:p w14:paraId="679E351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98.3</w:t>
            </w:r>
          </w:p>
        </w:tc>
        <w:tc>
          <w:tcPr>
            <w:tcW w:w="1941" w:type="dxa"/>
            <w:tcBorders>
              <w:top w:val="nil"/>
              <w:left w:val="nil"/>
              <w:bottom w:val="single" w:sz="8" w:space="0" w:color="auto"/>
              <w:right w:val="single" w:sz="8" w:space="0" w:color="auto"/>
            </w:tcBorders>
            <w:shd w:val="clear" w:color="auto" w:fill="auto"/>
            <w:vAlign w:val="center"/>
          </w:tcPr>
          <w:p w14:paraId="3B682719"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100.9</w:t>
            </w:r>
          </w:p>
        </w:tc>
      </w:tr>
      <w:tr w:rsidR="008A5057" w:rsidRPr="00BD295E" w14:paraId="7663361F" w14:textId="77777777" w:rsidTr="00B6068A">
        <w:trPr>
          <w:cantSplit/>
          <w:trHeight w:val="20"/>
          <w:jc w:val="center"/>
        </w:trPr>
        <w:tc>
          <w:tcPr>
            <w:tcW w:w="5755" w:type="dxa"/>
            <w:tcBorders>
              <w:top w:val="nil"/>
              <w:left w:val="single" w:sz="8" w:space="0" w:color="auto"/>
              <w:bottom w:val="single" w:sz="12" w:space="0" w:color="auto"/>
              <w:right w:val="single" w:sz="8" w:space="0" w:color="auto"/>
            </w:tcBorders>
            <w:shd w:val="clear" w:color="auto" w:fill="auto"/>
            <w:vAlign w:val="center"/>
            <w:hideMark/>
          </w:tcPr>
          <w:p w14:paraId="08A3EE8F"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For reference: Year-on-year change for 12M 2017, %**</w:t>
            </w:r>
          </w:p>
        </w:tc>
        <w:tc>
          <w:tcPr>
            <w:tcW w:w="2090" w:type="dxa"/>
            <w:tcBorders>
              <w:top w:val="nil"/>
              <w:left w:val="nil"/>
              <w:bottom w:val="single" w:sz="12" w:space="0" w:color="auto"/>
              <w:right w:val="single" w:sz="8" w:space="0" w:color="auto"/>
            </w:tcBorders>
            <w:shd w:val="clear" w:color="auto" w:fill="auto"/>
            <w:vAlign w:val="center"/>
          </w:tcPr>
          <w:p w14:paraId="14038E1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99.3</w:t>
            </w:r>
          </w:p>
        </w:tc>
        <w:tc>
          <w:tcPr>
            <w:tcW w:w="1941" w:type="dxa"/>
            <w:tcBorders>
              <w:top w:val="nil"/>
              <w:left w:val="nil"/>
              <w:bottom w:val="single" w:sz="12" w:space="0" w:color="auto"/>
              <w:right w:val="single" w:sz="8" w:space="0" w:color="auto"/>
            </w:tcBorders>
            <w:shd w:val="clear" w:color="auto" w:fill="auto"/>
            <w:vAlign w:val="center"/>
          </w:tcPr>
          <w:p w14:paraId="676DB26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100.2</w:t>
            </w:r>
          </w:p>
        </w:tc>
      </w:tr>
      <w:tr w:rsidR="008A5057" w:rsidRPr="00BD295E" w14:paraId="67FAF879"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57202F62" w14:textId="1710A03B"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 xml:space="preserve">Performance against the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budget for 2018 ***, RUB billion, including </w:t>
            </w:r>
          </w:p>
        </w:tc>
        <w:tc>
          <w:tcPr>
            <w:tcW w:w="2090" w:type="dxa"/>
            <w:tcBorders>
              <w:top w:val="nil"/>
              <w:left w:val="nil"/>
              <w:bottom w:val="single" w:sz="8" w:space="0" w:color="auto"/>
              <w:right w:val="single" w:sz="8" w:space="0" w:color="auto"/>
            </w:tcBorders>
            <w:shd w:val="clear" w:color="auto" w:fill="auto"/>
            <w:vAlign w:val="center"/>
          </w:tcPr>
          <w:p w14:paraId="08C6A0A4"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9.8</w:t>
            </w:r>
          </w:p>
        </w:tc>
        <w:tc>
          <w:tcPr>
            <w:tcW w:w="1941" w:type="dxa"/>
            <w:tcBorders>
              <w:top w:val="nil"/>
              <w:left w:val="nil"/>
              <w:bottom w:val="single" w:sz="8" w:space="0" w:color="auto"/>
              <w:right w:val="single" w:sz="8" w:space="0" w:color="auto"/>
            </w:tcBorders>
            <w:shd w:val="clear" w:color="auto" w:fill="auto"/>
            <w:vAlign w:val="center"/>
          </w:tcPr>
          <w:p w14:paraId="470D657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14.7</w:t>
            </w:r>
          </w:p>
        </w:tc>
      </w:tr>
      <w:tr w:rsidR="008A5057" w:rsidRPr="00BD295E" w14:paraId="259327EF"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221B1D2A"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 xml:space="preserve">Income in 2018 (year-on-year growth, %) </w:t>
            </w:r>
          </w:p>
        </w:tc>
        <w:tc>
          <w:tcPr>
            <w:tcW w:w="2090" w:type="dxa"/>
            <w:tcBorders>
              <w:top w:val="nil"/>
              <w:left w:val="nil"/>
              <w:bottom w:val="single" w:sz="8" w:space="0" w:color="auto"/>
              <w:right w:val="single" w:sz="8" w:space="0" w:color="auto"/>
            </w:tcBorders>
            <w:shd w:val="clear" w:color="auto" w:fill="auto"/>
            <w:vAlign w:val="center"/>
          </w:tcPr>
          <w:p w14:paraId="053A9A9F"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589.5 (112.9%)</w:t>
            </w:r>
          </w:p>
        </w:tc>
        <w:tc>
          <w:tcPr>
            <w:tcW w:w="1941" w:type="dxa"/>
            <w:tcBorders>
              <w:top w:val="nil"/>
              <w:left w:val="nil"/>
              <w:bottom w:val="single" w:sz="8" w:space="0" w:color="auto"/>
              <w:right w:val="single" w:sz="8" w:space="0" w:color="auto"/>
            </w:tcBorders>
            <w:shd w:val="clear" w:color="auto" w:fill="auto"/>
            <w:vAlign w:val="center"/>
          </w:tcPr>
          <w:p w14:paraId="344A6861"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xml:space="preserve">  168.8 (126.1%)</w:t>
            </w:r>
          </w:p>
        </w:tc>
      </w:tr>
      <w:tr w:rsidR="008A5057" w:rsidRPr="00BD295E" w14:paraId="39EC30AE" w14:textId="77777777" w:rsidTr="00B6068A">
        <w:trPr>
          <w:cantSplit/>
          <w:trHeight w:val="20"/>
          <w:jc w:val="center"/>
        </w:trPr>
        <w:tc>
          <w:tcPr>
            <w:tcW w:w="5755" w:type="dxa"/>
            <w:tcBorders>
              <w:top w:val="nil"/>
              <w:left w:val="single" w:sz="8" w:space="0" w:color="auto"/>
              <w:bottom w:val="single" w:sz="12" w:space="0" w:color="auto"/>
              <w:right w:val="single" w:sz="8" w:space="0" w:color="auto"/>
            </w:tcBorders>
            <w:shd w:val="clear" w:color="auto" w:fill="auto"/>
            <w:vAlign w:val="center"/>
            <w:hideMark/>
          </w:tcPr>
          <w:p w14:paraId="196FB55F"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Expenses in 2018 (year-on-year growth, %)</w:t>
            </w:r>
          </w:p>
        </w:tc>
        <w:tc>
          <w:tcPr>
            <w:tcW w:w="2090" w:type="dxa"/>
            <w:tcBorders>
              <w:top w:val="nil"/>
              <w:left w:val="nil"/>
              <w:bottom w:val="single" w:sz="12" w:space="0" w:color="auto"/>
              <w:right w:val="single" w:sz="8" w:space="0" w:color="auto"/>
            </w:tcBorders>
            <w:shd w:val="clear" w:color="auto" w:fill="auto"/>
            <w:vAlign w:val="center"/>
          </w:tcPr>
          <w:p w14:paraId="6D8DC42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xml:space="preserve"> 579.7 (102.6%)</w:t>
            </w:r>
          </w:p>
        </w:tc>
        <w:tc>
          <w:tcPr>
            <w:tcW w:w="1941" w:type="dxa"/>
            <w:tcBorders>
              <w:top w:val="nil"/>
              <w:left w:val="nil"/>
              <w:bottom w:val="single" w:sz="12" w:space="0" w:color="auto"/>
              <w:right w:val="single" w:sz="8" w:space="0" w:color="auto"/>
            </w:tcBorders>
            <w:shd w:val="clear" w:color="auto" w:fill="auto"/>
            <w:vAlign w:val="center"/>
          </w:tcPr>
          <w:p w14:paraId="72AB8A79"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xml:space="preserve">  154.1 (108.1%)</w:t>
            </w:r>
          </w:p>
        </w:tc>
      </w:tr>
      <w:tr w:rsidR="008A5057" w:rsidRPr="00BD295E" w14:paraId="3336076F" w14:textId="77777777" w:rsidTr="00B6068A">
        <w:trPr>
          <w:cantSplit/>
          <w:trHeight w:val="20"/>
          <w:jc w:val="center"/>
        </w:trPr>
        <w:tc>
          <w:tcPr>
            <w:tcW w:w="5755" w:type="dxa"/>
            <w:tcBorders>
              <w:top w:val="nil"/>
              <w:left w:val="single" w:sz="8" w:space="0" w:color="auto"/>
              <w:bottom w:val="single" w:sz="12" w:space="0" w:color="auto"/>
              <w:right w:val="single" w:sz="8" w:space="0" w:color="auto"/>
            </w:tcBorders>
            <w:shd w:val="clear" w:color="auto" w:fill="auto"/>
            <w:vAlign w:val="center"/>
            <w:hideMark/>
          </w:tcPr>
          <w:p w14:paraId="35144C44"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State debt of the entity as at December 31, 2018, RUB billion (year-on-year growth in 2018, %)</w:t>
            </w:r>
          </w:p>
        </w:tc>
        <w:tc>
          <w:tcPr>
            <w:tcW w:w="2090" w:type="dxa"/>
            <w:tcBorders>
              <w:top w:val="nil"/>
              <w:left w:val="nil"/>
              <w:bottom w:val="single" w:sz="12" w:space="0" w:color="auto"/>
              <w:right w:val="single" w:sz="8" w:space="0" w:color="auto"/>
            </w:tcBorders>
            <w:shd w:val="clear" w:color="auto" w:fill="auto"/>
            <w:vAlign w:val="center"/>
          </w:tcPr>
          <w:p w14:paraId="66BEAA5D"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xml:space="preserve"> 30.1 (86.4%)</w:t>
            </w:r>
          </w:p>
        </w:tc>
        <w:tc>
          <w:tcPr>
            <w:tcW w:w="1941" w:type="dxa"/>
            <w:tcBorders>
              <w:top w:val="nil"/>
              <w:left w:val="nil"/>
              <w:bottom w:val="single" w:sz="12" w:space="0" w:color="auto"/>
              <w:right w:val="single" w:sz="8" w:space="0" w:color="auto"/>
            </w:tcBorders>
            <w:shd w:val="clear" w:color="auto" w:fill="auto"/>
            <w:vAlign w:val="center"/>
          </w:tcPr>
          <w:p w14:paraId="3B9A8D93"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3.5 (88.4%)</w:t>
            </w:r>
          </w:p>
        </w:tc>
      </w:tr>
      <w:tr w:rsidR="008A5057" w:rsidRPr="00BD295E" w14:paraId="6B1B83B2"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3AC80EA8"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Foreign trade turnover (goods)****, USD million (for 12M 2018), including</w:t>
            </w:r>
          </w:p>
        </w:tc>
        <w:tc>
          <w:tcPr>
            <w:tcW w:w="2090" w:type="dxa"/>
            <w:tcBorders>
              <w:top w:val="nil"/>
              <w:left w:val="nil"/>
              <w:bottom w:val="single" w:sz="8" w:space="0" w:color="auto"/>
              <w:right w:val="single" w:sz="8" w:space="0" w:color="auto"/>
            </w:tcBorders>
            <w:shd w:val="clear" w:color="auto" w:fill="auto"/>
            <w:vAlign w:val="center"/>
          </w:tcPr>
          <w:p w14:paraId="27E71B00"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49,198 (110.1%)</w:t>
            </w:r>
          </w:p>
        </w:tc>
        <w:tc>
          <w:tcPr>
            <w:tcW w:w="1941" w:type="dxa"/>
            <w:tcBorders>
              <w:top w:val="nil"/>
              <w:left w:val="nil"/>
              <w:bottom w:val="single" w:sz="8" w:space="0" w:color="auto"/>
              <w:right w:val="single" w:sz="8" w:space="0" w:color="auto"/>
            </w:tcBorders>
            <w:shd w:val="clear" w:color="auto" w:fill="auto"/>
            <w:vAlign w:val="center"/>
          </w:tcPr>
          <w:p w14:paraId="68038BE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11,225 (121.5%)</w:t>
            </w:r>
          </w:p>
        </w:tc>
      </w:tr>
      <w:tr w:rsidR="008A5057" w:rsidRPr="00BD295E" w14:paraId="75F4B033"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19982EE4"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Exports**** (year-on-year growth for 12M 2018, %)</w:t>
            </w:r>
          </w:p>
        </w:tc>
        <w:tc>
          <w:tcPr>
            <w:tcW w:w="2090" w:type="dxa"/>
            <w:tcBorders>
              <w:top w:val="nil"/>
              <w:left w:val="nil"/>
              <w:bottom w:val="single" w:sz="8" w:space="0" w:color="auto"/>
              <w:right w:val="single" w:sz="8" w:space="0" w:color="auto"/>
            </w:tcBorders>
            <w:shd w:val="clear" w:color="auto" w:fill="auto"/>
            <w:vAlign w:val="center"/>
          </w:tcPr>
          <w:p w14:paraId="7E4B919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26,452 (121.2%)</w:t>
            </w:r>
          </w:p>
        </w:tc>
        <w:tc>
          <w:tcPr>
            <w:tcW w:w="1941" w:type="dxa"/>
            <w:tcBorders>
              <w:top w:val="nil"/>
              <w:left w:val="nil"/>
              <w:bottom w:val="single" w:sz="8" w:space="0" w:color="auto"/>
              <w:right w:val="single" w:sz="8" w:space="0" w:color="auto"/>
            </w:tcBorders>
            <w:shd w:val="clear" w:color="auto" w:fill="auto"/>
            <w:vAlign w:val="center"/>
          </w:tcPr>
          <w:p w14:paraId="341DCAAA"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7,109 (125.7%)</w:t>
            </w:r>
          </w:p>
        </w:tc>
      </w:tr>
      <w:tr w:rsidR="008A5057" w:rsidRPr="00BD295E" w14:paraId="391D60D3" w14:textId="77777777" w:rsidTr="00B6068A">
        <w:trPr>
          <w:cantSplit/>
          <w:trHeight w:val="20"/>
          <w:jc w:val="center"/>
        </w:trPr>
        <w:tc>
          <w:tcPr>
            <w:tcW w:w="5755" w:type="dxa"/>
            <w:tcBorders>
              <w:top w:val="nil"/>
              <w:left w:val="single" w:sz="8" w:space="0" w:color="auto"/>
              <w:bottom w:val="single" w:sz="12" w:space="0" w:color="auto"/>
              <w:right w:val="single" w:sz="8" w:space="0" w:color="auto"/>
            </w:tcBorders>
            <w:shd w:val="clear" w:color="auto" w:fill="auto"/>
            <w:vAlign w:val="center"/>
            <w:hideMark/>
          </w:tcPr>
          <w:p w14:paraId="47188991"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 xml:space="preserve">Imports**** (year-on-year growth for 12M 2017, %) </w:t>
            </w:r>
          </w:p>
        </w:tc>
        <w:tc>
          <w:tcPr>
            <w:tcW w:w="2090" w:type="dxa"/>
            <w:tcBorders>
              <w:top w:val="nil"/>
              <w:left w:val="nil"/>
              <w:bottom w:val="single" w:sz="12" w:space="0" w:color="auto"/>
              <w:right w:val="single" w:sz="8" w:space="0" w:color="auto"/>
            </w:tcBorders>
            <w:shd w:val="clear" w:color="auto" w:fill="auto"/>
            <w:vAlign w:val="center"/>
          </w:tcPr>
          <w:p w14:paraId="13624F07"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22,746 (99.5%)</w:t>
            </w:r>
          </w:p>
        </w:tc>
        <w:tc>
          <w:tcPr>
            <w:tcW w:w="1941" w:type="dxa"/>
            <w:tcBorders>
              <w:top w:val="nil"/>
              <w:left w:val="nil"/>
              <w:bottom w:val="single" w:sz="12" w:space="0" w:color="auto"/>
              <w:right w:val="single" w:sz="8" w:space="0" w:color="auto"/>
            </w:tcBorders>
            <w:shd w:val="clear" w:color="auto" w:fill="auto"/>
            <w:vAlign w:val="center"/>
          </w:tcPr>
          <w:p w14:paraId="3D7E80BB"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4,116 (114.8%)</w:t>
            </w:r>
          </w:p>
        </w:tc>
      </w:tr>
      <w:tr w:rsidR="008A5057" w:rsidRPr="00BD295E" w14:paraId="5B63F083" w14:textId="77777777" w:rsidTr="00B6068A">
        <w:trPr>
          <w:cantSplit/>
          <w:trHeight w:val="20"/>
          <w:jc w:val="center"/>
        </w:trPr>
        <w:tc>
          <w:tcPr>
            <w:tcW w:w="5755" w:type="dxa"/>
            <w:tcBorders>
              <w:top w:val="nil"/>
              <w:left w:val="single" w:sz="8" w:space="0" w:color="auto"/>
              <w:bottom w:val="single" w:sz="12" w:space="0" w:color="auto"/>
              <w:right w:val="single" w:sz="8" w:space="0" w:color="auto"/>
            </w:tcBorders>
            <w:shd w:val="clear" w:color="auto" w:fill="auto"/>
            <w:vAlign w:val="center"/>
            <w:hideMark/>
          </w:tcPr>
          <w:p w14:paraId="37183ECB"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Investments in fixed capital for 12M 2018, RUB billion (year-on-year growth, %)*****</w:t>
            </w:r>
          </w:p>
        </w:tc>
        <w:tc>
          <w:tcPr>
            <w:tcW w:w="2090" w:type="dxa"/>
            <w:tcBorders>
              <w:top w:val="nil"/>
              <w:left w:val="nil"/>
              <w:bottom w:val="single" w:sz="12" w:space="0" w:color="auto"/>
              <w:right w:val="single" w:sz="8" w:space="0" w:color="auto"/>
            </w:tcBorders>
            <w:shd w:val="clear" w:color="auto" w:fill="auto"/>
            <w:vAlign w:val="center"/>
          </w:tcPr>
          <w:p w14:paraId="382DB7C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xml:space="preserve">  747.4 (104.3%)</w:t>
            </w:r>
          </w:p>
        </w:tc>
        <w:tc>
          <w:tcPr>
            <w:tcW w:w="1941" w:type="dxa"/>
            <w:tcBorders>
              <w:top w:val="nil"/>
              <w:left w:val="nil"/>
              <w:bottom w:val="single" w:sz="12" w:space="0" w:color="auto"/>
              <w:right w:val="single" w:sz="8" w:space="0" w:color="auto"/>
            </w:tcBorders>
            <w:shd w:val="clear" w:color="auto" w:fill="auto"/>
            <w:vAlign w:val="center"/>
          </w:tcPr>
          <w:p w14:paraId="4CF12D4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466.9 (126.8%)</w:t>
            </w:r>
          </w:p>
        </w:tc>
      </w:tr>
      <w:tr w:rsidR="008A5057" w:rsidRPr="00BD295E" w14:paraId="3D3DA11E" w14:textId="77777777" w:rsidTr="00B6068A">
        <w:trPr>
          <w:cantSplit/>
          <w:trHeight w:val="20"/>
          <w:jc w:val="center"/>
        </w:trPr>
        <w:tc>
          <w:tcPr>
            <w:tcW w:w="5755" w:type="dxa"/>
            <w:tcBorders>
              <w:top w:val="nil"/>
              <w:left w:val="single" w:sz="8" w:space="0" w:color="auto"/>
              <w:bottom w:val="single" w:sz="8" w:space="0" w:color="auto"/>
              <w:right w:val="single" w:sz="8" w:space="0" w:color="auto"/>
            </w:tcBorders>
            <w:shd w:val="clear" w:color="auto" w:fill="auto"/>
            <w:vAlign w:val="center"/>
            <w:hideMark/>
          </w:tcPr>
          <w:p w14:paraId="240EB000" w14:textId="77777777" w:rsidR="00E638C6" w:rsidRPr="00BD295E" w:rsidRDefault="008A5057" w:rsidP="00B6068A">
            <w:pPr>
              <w:ind w:firstLine="709"/>
              <w:jc w:val="both"/>
              <w:rPr>
                <w:rFonts w:ascii="Arial" w:hAnsi="Arial" w:cs="Arial"/>
                <w:sz w:val="18"/>
                <w:szCs w:val="18"/>
                <w:lang w:val="en-US"/>
              </w:rPr>
            </w:pPr>
            <w:r w:rsidRPr="00BD295E">
              <w:rPr>
                <w:rFonts w:ascii="Arial" w:hAnsi="Arial" w:cs="Arial"/>
                <w:sz w:val="18"/>
                <w:szCs w:val="18"/>
                <w:lang w:val="en-US"/>
              </w:rPr>
              <w:t>Homes commissioned, total area in thousands sq m (year-on-year growth in 2018, %)</w:t>
            </w:r>
          </w:p>
        </w:tc>
        <w:tc>
          <w:tcPr>
            <w:tcW w:w="2090" w:type="dxa"/>
            <w:tcBorders>
              <w:top w:val="nil"/>
              <w:left w:val="nil"/>
              <w:bottom w:val="single" w:sz="8" w:space="0" w:color="auto"/>
              <w:right w:val="single" w:sz="8" w:space="0" w:color="auto"/>
            </w:tcBorders>
            <w:shd w:val="clear" w:color="auto" w:fill="auto"/>
            <w:vAlign w:val="center"/>
          </w:tcPr>
          <w:p w14:paraId="6282C4BE"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xml:space="preserve">  3,950.3 (111.7%)</w:t>
            </w:r>
          </w:p>
        </w:tc>
        <w:tc>
          <w:tcPr>
            <w:tcW w:w="1941" w:type="dxa"/>
            <w:tcBorders>
              <w:top w:val="nil"/>
              <w:left w:val="nil"/>
              <w:bottom w:val="single" w:sz="8" w:space="0" w:color="auto"/>
              <w:right w:val="single" w:sz="8" w:space="0" w:color="auto"/>
            </w:tcBorders>
            <w:shd w:val="clear" w:color="auto" w:fill="auto"/>
            <w:vAlign w:val="center"/>
          </w:tcPr>
          <w:p w14:paraId="4DC29792" w14:textId="77777777" w:rsidR="00E638C6" w:rsidRPr="00BD295E" w:rsidRDefault="008A5057" w:rsidP="00B6068A">
            <w:pPr>
              <w:jc w:val="center"/>
              <w:rPr>
                <w:rFonts w:ascii="Arial" w:hAnsi="Arial" w:cs="Arial"/>
                <w:sz w:val="18"/>
                <w:szCs w:val="18"/>
                <w:lang w:val="en-US"/>
              </w:rPr>
            </w:pPr>
            <w:r w:rsidRPr="00BD295E">
              <w:rPr>
                <w:rFonts w:ascii="Arial" w:hAnsi="Arial" w:cs="Arial"/>
                <w:sz w:val="18"/>
                <w:szCs w:val="18"/>
                <w:lang w:val="en-US"/>
              </w:rPr>
              <w:t xml:space="preserve"> 2,643.3 (100.7%)</w:t>
            </w:r>
          </w:p>
        </w:tc>
      </w:tr>
    </w:tbl>
    <w:p w14:paraId="005AD704" w14:textId="77777777" w:rsidR="00E638C6" w:rsidRPr="00BD295E" w:rsidRDefault="008A5057" w:rsidP="00E638C6">
      <w:pPr>
        <w:pStyle w:val="afe"/>
        <w:ind w:firstLine="0"/>
        <w:jc w:val="both"/>
        <w:rPr>
          <w:rFonts w:ascii="Arial" w:hAnsi="Arial" w:cs="Arial"/>
          <w:sz w:val="18"/>
          <w:szCs w:val="18"/>
          <w:lang w:val="en-US"/>
        </w:rPr>
      </w:pPr>
      <w:r w:rsidRPr="00BD295E">
        <w:rPr>
          <w:rStyle w:val="aff0"/>
          <w:rFonts w:ascii="Arial" w:hAnsi="Arial" w:cs="Arial"/>
          <w:sz w:val="18"/>
          <w:szCs w:val="18"/>
          <w:lang w:val="en-US"/>
        </w:rPr>
        <w:sym w:font="Symbol" w:char="F02A"/>
      </w:r>
      <w:r w:rsidRPr="00BD295E">
        <w:rPr>
          <w:rFonts w:ascii="Arial" w:hAnsi="Arial" w:cs="Arial"/>
          <w:sz w:val="18"/>
          <w:szCs w:val="18"/>
          <w:lang w:val="en-US"/>
        </w:rPr>
        <w:t>The table contains data from the Federal State Statistics Service of the Russian Federation (</w:t>
      </w:r>
      <w:hyperlink r:id="rId25" w:history="1">
        <w:r w:rsidRPr="00BD295E">
          <w:rPr>
            <w:rStyle w:val="af0"/>
            <w:rFonts w:ascii="Arial" w:hAnsi="Arial" w:cs="Arial"/>
            <w:color w:val="auto"/>
            <w:sz w:val="18"/>
            <w:szCs w:val="18"/>
            <w:lang w:val="en-US"/>
          </w:rPr>
          <w:t>http://www.gks.ru</w:t>
        </w:r>
      </w:hyperlink>
      <w:r w:rsidRPr="00BD295E">
        <w:rPr>
          <w:rFonts w:ascii="Arial" w:hAnsi="Arial" w:cs="Arial"/>
          <w:sz w:val="18"/>
          <w:szCs w:val="18"/>
          <w:lang w:val="en-US"/>
        </w:rPr>
        <w:t xml:space="preserve">), including the Department of the Federal State Statistics Service for Saint Petersburg and the Leningrad Region (Petrostat before January 1, 2017 </w:t>
      </w:r>
      <w:hyperlink r:id="rId26" w:history="1">
        <w:r w:rsidRPr="00BD295E">
          <w:rPr>
            <w:rStyle w:val="af0"/>
            <w:rFonts w:ascii="Arial" w:hAnsi="Arial" w:cs="Arial"/>
            <w:color w:val="auto"/>
            <w:sz w:val="18"/>
            <w:szCs w:val="18"/>
            <w:lang w:val="en-US"/>
          </w:rPr>
          <w:t>http://petrostat.gks.ru</w:t>
        </w:r>
      </w:hyperlink>
      <w:r w:rsidRPr="00BD295E">
        <w:rPr>
          <w:rFonts w:ascii="Arial" w:hAnsi="Arial" w:cs="Arial"/>
          <w:sz w:val="18"/>
          <w:szCs w:val="18"/>
          <w:lang w:val="en-US"/>
        </w:rPr>
        <w:t>), the Finance Committee of Saint Petersburg, the Official Portal of the Administrations of the Leningrad Region (</w:t>
      </w:r>
      <w:hyperlink r:id="rId27" w:history="1">
        <w:r w:rsidRPr="00BD295E">
          <w:rPr>
            <w:rStyle w:val="af0"/>
            <w:rFonts w:ascii="Arial" w:hAnsi="Arial" w:cs="Arial"/>
            <w:color w:val="auto"/>
            <w:sz w:val="18"/>
            <w:szCs w:val="18"/>
            <w:lang w:val="en-US"/>
          </w:rPr>
          <w:t>http://lenobl.ru/finance)</w:t>
        </w:r>
      </w:hyperlink>
      <w:r w:rsidRPr="00BD295E">
        <w:rPr>
          <w:rFonts w:ascii="Arial" w:hAnsi="Arial" w:cs="Arial"/>
          <w:sz w:val="18"/>
          <w:szCs w:val="18"/>
          <w:lang w:val="en-US"/>
        </w:rPr>
        <w:t>) and Saint Petersburg (</w:t>
      </w:r>
      <w:hyperlink r:id="rId28" w:history="1">
        <w:r w:rsidRPr="00BD295E">
          <w:rPr>
            <w:rStyle w:val="af0"/>
            <w:rFonts w:ascii="Arial" w:hAnsi="Arial" w:cs="Arial"/>
            <w:color w:val="auto"/>
            <w:sz w:val="18"/>
            <w:szCs w:val="18"/>
            <w:lang w:val="en-US"/>
          </w:rPr>
          <w:t>http://www.gov.spb.ru</w:t>
        </w:r>
      </w:hyperlink>
      <w:r w:rsidRPr="00BD295E">
        <w:rPr>
          <w:rFonts w:ascii="Arial" w:hAnsi="Arial" w:cs="Arial"/>
          <w:sz w:val="18"/>
          <w:szCs w:val="18"/>
          <w:lang w:val="en-US"/>
        </w:rPr>
        <w:t>), and data from the Ministry of Economic Development of the Russian Federation (</w:t>
      </w:r>
      <w:hyperlink r:id="rId29" w:history="1">
        <w:r w:rsidRPr="00BD295E">
          <w:rPr>
            <w:rStyle w:val="af0"/>
            <w:rFonts w:ascii="Arial" w:hAnsi="Arial" w:cs="Arial"/>
            <w:color w:val="auto"/>
            <w:sz w:val="18"/>
            <w:szCs w:val="18"/>
            <w:lang w:val="en-US"/>
          </w:rPr>
          <w:t>http://www.economy.gov.ru</w:t>
        </w:r>
      </w:hyperlink>
      <w:r w:rsidRPr="00BD295E">
        <w:rPr>
          <w:rFonts w:ascii="Arial" w:hAnsi="Arial" w:cs="Arial"/>
          <w:sz w:val="18"/>
          <w:szCs w:val="18"/>
          <w:lang w:val="en-US"/>
        </w:rPr>
        <w:t xml:space="preserve">), including data from operational statistical reporting at the time of preparing this report. </w:t>
      </w:r>
    </w:p>
    <w:p w14:paraId="37F76322" w14:textId="77777777" w:rsidR="00E638C6" w:rsidRPr="00BD295E" w:rsidRDefault="008A5057" w:rsidP="00E638C6">
      <w:pPr>
        <w:jc w:val="both"/>
        <w:rPr>
          <w:rStyle w:val="af0"/>
          <w:rFonts w:ascii="Arial" w:hAnsi="Arial" w:cs="Arial"/>
          <w:color w:val="auto"/>
          <w:sz w:val="18"/>
          <w:szCs w:val="18"/>
          <w:lang w:val="en-US"/>
        </w:rPr>
      </w:pPr>
      <w:r w:rsidRPr="00BD295E">
        <w:rPr>
          <w:rFonts w:ascii="Arial" w:hAnsi="Arial" w:cs="Arial"/>
          <w:sz w:val="18"/>
          <w:szCs w:val="18"/>
          <w:lang w:val="en-US"/>
        </w:rPr>
        <w:t xml:space="preserve">The methodology for determining the majority of indicators is published on the official website of the Department of the Federal State Statistics Service for Saint Petersburg and the Leningrad Region </w:t>
      </w:r>
      <w:hyperlink r:id="rId30" w:history="1">
        <w:r w:rsidRPr="00BD295E">
          <w:rPr>
            <w:rStyle w:val="af0"/>
            <w:rFonts w:ascii="Arial" w:hAnsi="Arial" w:cs="Arial"/>
            <w:color w:val="auto"/>
            <w:sz w:val="18"/>
            <w:szCs w:val="18"/>
            <w:lang w:val="en-US"/>
          </w:rPr>
          <w:t>http://petrostat.gks.ru</w:t>
        </w:r>
      </w:hyperlink>
    </w:p>
    <w:p w14:paraId="28A2EF6A" w14:textId="77777777" w:rsidR="00E638C6" w:rsidRPr="00BD295E" w:rsidRDefault="008A5057" w:rsidP="00E638C6">
      <w:pPr>
        <w:jc w:val="both"/>
        <w:rPr>
          <w:rFonts w:ascii="Arial" w:hAnsi="Arial" w:cs="Arial"/>
          <w:sz w:val="18"/>
          <w:szCs w:val="18"/>
          <w:lang w:val="en-US"/>
        </w:rPr>
      </w:pPr>
      <w:r w:rsidRPr="00BD295E">
        <w:rPr>
          <w:rFonts w:ascii="Arial" w:hAnsi="Arial" w:cs="Arial"/>
          <w:sz w:val="18"/>
          <w:szCs w:val="18"/>
          <w:lang w:val="en-US"/>
        </w:rPr>
        <w:t>Information about changes in the indicators shown in the table in percent, including those shown in the table in brackets (</w:t>
      </w:r>
      <w:r w:rsidRPr="00BD295E">
        <w:rPr>
          <w:rFonts w:ascii="Arial" w:hAnsi="Arial" w:cs="Arial"/>
          <w:i/>
          <w:iCs/>
          <w:sz w:val="18"/>
          <w:szCs w:val="18"/>
          <w:lang w:val="en-US"/>
        </w:rPr>
        <w:t>growth</w:t>
      </w:r>
      <w:r w:rsidRPr="00BD295E">
        <w:rPr>
          <w:rFonts w:ascii="Arial" w:hAnsi="Arial" w:cs="Arial"/>
          <w:sz w:val="18"/>
          <w:szCs w:val="18"/>
          <w:lang w:val="en-US"/>
        </w:rPr>
        <w:t xml:space="preserve"> rates), is given in accordance with the methodology used by the Federal State Statistics Service using the formula below: </w:t>
      </w:r>
      <w:r w:rsidRPr="00BD295E">
        <w:rPr>
          <w:rFonts w:ascii="Arial" w:hAnsi="Arial" w:cs="Arial"/>
          <w:b/>
          <w:i/>
          <w:sz w:val="18"/>
          <w:szCs w:val="18"/>
          <w:lang w:val="en-US"/>
        </w:rPr>
        <w:t>Indicator for the reporting period/indicator for the baseline period *100</w:t>
      </w:r>
    </w:p>
    <w:p w14:paraId="0DC77221" w14:textId="16E73D10" w:rsidR="00E638C6" w:rsidRPr="00BD295E" w:rsidRDefault="008A5057" w:rsidP="00E638C6">
      <w:pPr>
        <w:jc w:val="both"/>
        <w:rPr>
          <w:rFonts w:ascii="Arial" w:hAnsi="Arial" w:cs="Arial"/>
          <w:sz w:val="18"/>
          <w:szCs w:val="18"/>
          <w:lang w:val="en-US"/>
        </w:rPr>
      </w:pPr>
      <w:r w:rsidRPr="00BD295E">
        <w:rPr>
          <w:rFonts w:ascii="Arial" w:hAnsi="Arial" w:cs="Arial"/>
          <w:sz w:val="18"/>
          <w:szCs w:val="18"/>
          <w:lang w:val="en-US"/>
        </w:rPr>
        <w:t xml:space="preserve">** Information shown is in line with the </w:t>
      </w:r>
      <w:r w:rsidRPr="00BD295E">
        <w:rPr>
          <w:rFonts w:ascii="Arial" w:hAnsi="Arial" w:cs="Arial"/>
          <w:i/>
          <w:iCs/>
          <w:sz w:val="18"/>
          <w:szCs w:val="18"/>
          <w:lang w:val="en-US"/>
        </w:rPr>
        <w:t>Social and Economic Situation in Saint Petersburg in January–December 2018</w:t>
      </w:r>
      <w:r w:rsidRPr="00BD295E">
        <w:rPr>
          <w:rFonts w:ascii="Arial" w:hAnsi="Arial" w:cs="Arial"/>
          <w:sz w:val="18"/>
          <w:szCs w:val="18"/>
          <w:lang w:val="en-US"/>
        </w:rPr>
        <w:t xml:space="preserve">, </w:t>
      </w:r>
      <w:r w:rsidRPr="00BD295E">
        <w:rPr>
          <w:rFonts w:ascii="Arial" w:hAnsi="Arial" w:cs="Arial"/>
          <w:i/>
          <w:iCs/>
          <w:sz w:val="18"/>
          <w:szCs w:val="18"/>
          <w:lang w:val="en-US"/>
        </w:rPr>
        <w:t>Social and Economic Situation in the Leningrad Region in January–December 2018</w:t>
      </w:r>
      <w:r w:rsidRPr="00BD295E">
        <w:rPr>
          <w:rFonts w:ascii="Arial" w:hAnsi="Arial" w:cs="Arial"/>
          <w:sz w:val="18"/>
          <w:szCs w:val="18"/>
          <w:lang w:val="en-US"/>
        </w:rPr>
        <w:t xml:space="preserve">, and </w:t>
      </w:r>
      <w:r w:rsidRPr="00BD295E">
        <w:rPr>
          <w:rFonts w:ascii="Arial" w:hAnsi="Arial" w:cs="Arial"/>
          <w:i/>
          <w:iCs/>
          <w:sz w:val="18"/>
          <w:szCs w:val="18"/>
          <w:lang w:val="en-US"/>
        </w:rPr>
        <w:t>Summary of the Social and Economic Situation in Saint Petersburg and the Leningrad Region</w:t>
      </w:r>
      <w:r w:rsidRPr="00BD295E">
        <w:rPr>
          <w:rFonts w:ascii="Arial" w:hAnsi="Arial" w:cs="Arial"/>
          <w:sz w:val="18"/>
          <w:szCs w:val="18"/>
          <w:lang w:val="en-US"/>
        </w:rPr>
        <w:t xml:space="preserve"> </w:t>
      </w:r>
      <w:r w:rsidRPr="00BD295E">
        <w:rPr>
          <w:rFonts w:ascii="Arial" w:hAnsi="Arial" w:cs="Arial"/>
          <w:i/>
          <w:iCs/>
          <w:sz w:val="18"/>
          <w:szCs w:val="18"/>
          <w:lang w:val="en-US"/>
        </w:rPr>
        <w:t>in January 2019</w:t>
      </w:r>
      <w:r w:rsidRPr="00BD295E">
        <w:rPr>
          <w:rFonts w:ascii="Arial" w:hAnsi="Arial" w:cs="Arial"/>
          <w:sz w:val="18"/>
          <w:szCs w:val="18"/>
          <w:lang w:val="en-US"/>
        </w:rPr>
        <w:t xml:space="preserve"> reports of the Department of the Federal State Statistics Service for Saint Petersburg and the Leningrad Region. Data for 2017 were </w:t>
      </w:r>
      <w:r w:rsidR="00BF7D8E" w:rsidRPr="00BD295E">
        <w:rPr>
          <w:rFonts w:ascii="Arial" w:hAnsi="Arial" w:cs="Arial"/>
          <w:sz w:val="18"/>
          <w:szCs w:val="18"/>
          <w:lang w:val="en-US"/>
        </w:rPr>
        <w:t>updated</w:t>
      </w:r>
      <w:r w:rsidRPr="00BD295E">
        <w:rPr>
          <w:rFonts w:ascii="Arial" w:hAnsi="Arial" w:cs="Arial"/>
          <w:sz w:val="18"/>
          <w:szCs w:val="18"/>
          <w:lang w:val="en-US"/>
        </w:rPr>
        <w:t xml:space="preserve"> by Rosstat in accordance with the annual calculations of cash income and expenses for 2017 (Letter No. KL-06-1/5567-TO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26, 2018).</w:t>
      </w:r>
    </w:p>
    <w:p w14:paraId="37720D71" w14:textId="428A6CF6" w:rsidR="00E638C6" w:rsidRPr="00BD295E" w:rsidRDefault="008A5057" w:rsidP="00E638C6">
      <w:pPr>
        <w:jc w:val="both"/>
        <w:rPr>
          <w:rFonts w:ascii="Arial" w:hAnsi="Arial" w:cs="Arial"/>
          <w:sz w:val="18"/>
          <w:szCs w:val="18"/>
          <w:lang w:val="en-US"/>
        </w:rPr>
      </w:pPr>
      <w:r w:rsidRPr="00BD295E">
        <w:rPr>
          <w:rFonts w:ascii="Arial" w:hAnsi="Arial" w:cs="Arial"/>
          <w:sz w:val="18"/>
          <w:szCs w:val="18"/>
          <w:lang w:val="en-US"/>
        </w:rPr>
        <w:t xml:space="preserve">*** Information on performance against the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budget of Saint Petersburg and the Leningrad Region is shown based on the real-time data from the Federal Treasury for 12M 2018 in accordance with the information contained in the </w:t>
      </w:r>
      <w:r w:rsidRPr="00BD295E">
        <w:rPr>
          <w:rFonts w:ascii="Arial" w:hAnsi="Arial" w:cs="Arial"/>
          <w:i/>
          <w:iCs/>
          <w:sz w:val="18"/>
          <w:szCs w:val="18"/>
          <w:lang w:val="en-US"/>
        </w:rPr>
        <w:t>Social and Economic Situation in the Northwestern Federal District in 2018</w:t>
      </w:r>
      <w:r w:rsidRPr="00BD295E">
        <w:rPr>
          <w:rFonts w:ascii="Arial" w:hAnsi="Arial" w:cs="Arial"/>
          <w:sz w:val="18"/>
          <w:szCs w:val="18"/>
          <w:lang w:val="en-US"/>
        </w:rPr>
        <w:t xml:space="preserve"> statistical compilation (</w:t>
      </w:r>
      <w:hyperlink r:id="rId31" w:history="1">
        <w:r w:rsidRPr="00BD295E">
          <w:rPr>
            <w:rFonts w:ascii="Arial" w:hAnsi="Arial" w:cs="Arial"/>
            <w:sz w:val="18"/>
            <w:szCs w:val="18"/>
            <w:u w:val="single"/>
            <w:lang w:val="en-US"/>
          </w:rPr>
          <w:t>http://www.gks.ru</w:t>
        </w:r>
      </w:hyperlink>
      <w:r w:rsidRPr="00BD295E">
        <w:rPr>
          <w:rFonts w:ascii="Arial" w:hAnsi="Arial" w:cs="Arial"/>
          <w:sz w:val="18"/>
          <w:szCs w:val="18"/>
          <w:lang w:val="en-US"/>
        </w:rPr>
        <w:t xml:space="preserve">) and according to the report on performance against the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budget of the relevant constituent of the Russian Federation as at January 1, 2019 of the Finance Committee of the Leningrad Region.</w:t>
      </w:r>
    </w:p>
    <w:p w14:paraId="2D7A7D65" w14:textId="77777777" w:rsidR="00E638C6" w:rsidRPr="00BD295E" w:rsidRDefault="008A5057" w:rsidP="00E638C6">
      <w:pPr>
        <w:jc w:val="both"/>
        <w:rPr>
          <w:rFonts w:ascii="Arial" w:hAnsi="Arial" w:cs="Arial"/>
          <w:sz w:val="18"/>
          <w:szCs w:val="18"/>
          <w:lang w:val="en-US"/>
        </w:rPr>
      </w:pPr>
      <w:r w:rsidRPr="00BD295E">
        <w:rPr>
          <w:rFonts w:ascii="Arial" w:hAnsi="Arial" w:cs="Arial"/>
          <w:sz w:val="18"/>
          <w:szCs w:val="18"/>
          <w:lang w:val="en-US"/>
        </w:rPr>
        <w:t xml:space="preserve">**** Foreign trade turnover (including exports and imports and their changes in percent) are shown for 12M 2018 based on the real-time data of the Department of the Federal State Statistics Service for Saint Petersburg and the Leningrad Region, in accordance with the </w:t>
      </w:r>
      <w:r w:rsidRPr="00BD295E">
        <w:rPr>
          <w:rFonts w:ascii="Arial" w:hAnsi="Arial" w:cs="Arial"/>
          <w:i/>
          <w:iCs/>
          <w:sz w:val="18"/>
          <w:szCs w:val="18"/>
          <w:lang w:val="en-US"/>
        </w:rPr>
        <w:t>Social and Economic Situation in Saint Petersburg in January 2019</w:t>
      </w:r>
      <w:r w:rsidRPr="00BD295E">
        <w:rPr>
          <w:rFonts w:ascii="Arial" w:hAnsi="Arial" w:cs="Arial"/>
          <w:sz w:val="18"/>
          <w:szCs w:val="18"/>
          <w:lang w:val="en-US"/>
        </w:rPr>
        <w:t xml:space="preserve"> and </w:t>
      </w:r>
      <w:r w:rsidRPr="00BD295E">
        <w:rPr>
          <w:rFonts w:ascii="Arial" w:hAnsi="Arial" w:cs="Arial"/>
          <w:i/>
          <w:iCs/>
          <w:sz w:val="18"/>
          <w:szCs w:val="18"/>
          <w:lang w:val="en-US"/>
        </w:rPr>
        <w:t>Social and Economic Situation in the Leningrad Region in January 2019</w:t>
      </w:r>
      <w:r w:rsidRPr="00BD295E">
        <w:rPr>
          <w:rFonts w:ascii="Arial" w:hAnsi="Arial" w:cs="Arial"/>
          <w:sz w:val="18"/>
          <w:szCs w:val="18"/>
          <w:lang w:val="en-US"/>
        </w:rPr>
        <w:t xml:space="preserve"> reports.</w:t>
      </w:r>
    </w:p>
    <w:p w14:paraId="4F296142" w14:textId="77777777" w:rsidR="00E638C6" w:rsidRPr="00BD295E" w:rsidRDefault="008A5057" w:rsidP="00E638C6">
      <w:pPr>
        <w:jc w:val="both"/>
        <w:rPr>
          <w:rFonts w:ascii="Arial" w:hAnsi="Arial" w:cs="Arial"/>
          <w:sz w:val="18"/>
          <w:szCs w:val="18"/>
          <w:lang w:val="en-US"/>
        </w:rPr>
      </w:pPr>
      <w:r w:rsidRPr="00BD295E">
        <w:rPr>
          <w:rFonts w:ascii="Arial" w:hAnsi="Arial" w:cs="Arial"/>
          <w:sz w:val="18"/>
          <w:szCs w:val="18"/>
          <w:lang w:val="en-US"/>
        </w:rPr>
        <w:t xml:space="preserve">***** The information is in line with the </w:t>
      </w:r>
      <w:r w:rsidRPr="00BD295E">
        <w:rPr>
          <w:rFonts w:ascii="Arial" w:hAnsi="Arial" w:cs="Arial"/>
          <w:i/>
          <w:iCs/>
          <w:sz w:val="18"/>
          <w:szCs w:val="18"/>
          <w:lang w:val="en-US"/>
        </w:rPr>
        <w:t>Investments in Fixed Capital by Constituent Entities of the Russian Federation in January–December 2018</w:t>
      </w:r>
      <w:r w:rsidRPr="00BD295E">
        <w:rPr>
          <w:rFonts w:ascii="Arial" w:hAnsi="Arial" w:cs="Arial"/>
          <w:sz w:val="18"/>
          <w:szCs w:val="18"/>
          <w:lang w:val="en-US"/>
        </w:rPr>
        <w:t xml:space="preserve"> analytical tables on the official website of the Federal State Statistics Service for January–December 2018 (including the update on investments at the federal level for previous periods, which are not captured by direct statistical methods).</w:t>
      </w:r>
    </w:p>
    <w:p w14:paraId="01850B74" w14:textId="77777777" w:rsidR="00D55E31" w:rsidRPr="00BD295E" w:rsidRDefault="00D55E31" w:rsidP="00E638C6">
      <w:pPr>
        <w:ind w:firstLine="709"/>
        <w:jc w:val="both"/>
        <w:rPr>
          <w:rFonts w:ascii="Arial" w:hAnsi="Arial" w:cs="Arial"/>
          <w:sz w:val="18"/>
          <w:szCs w:val="18"/>
          <w:lang w:val="en-US"/>
        </w:rPr>
      </w:pPr>
    </w:p>
    <w:p w14:paraId="681518E3" w14:textId="77777777" w:rsidR="00E638C6" w:rsidRPr="00BD295E" w:rsidRDefault="008A5057" w:rsidP="00143660">
      <w:pPr>
        <w:jc w:val="both"/>
        <w:rPr>
          <w:rFonts w:ascii="Arial" w:hAnsi="Arial" w:cs="Arial"/>
          <w:sz w:val="18"/>
          <w:szCs w:val="18"/>
          <w:lang w:val="en-US"/>
        </w:rPr>
      </w:pPr>
      <w:r w:rsidRPr="00BD295E">
        <w:rPr>
          <w:rFonts w:ascii="Arial" w:hAnsi="Arial" w:cs="Arial"/>
          <w:sz w:val="18"/>
          <w:szCs w:val="18"/>
          <w:lang w:val="en-US"/>
        </w:rPr>
        <w:t xml:space="preserve">Since the business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directly depend on the economic situation in the country as a whole and in the operating regions of the Company in particular, the situation in the regional economy is an integral element of its strategic development.</w:t>
      </w:r>
    </w:p>
    <w:p w14:paraId="0C689BB4" w14:textId="77777777" w:rsidR="00E638C6" w:rsidRPr="00BD295E" w:rsidRDefault="008A5057" w:rsidP="00143660">
      <w:pPr>
        <w:jc w:val="both"/>
        <w:rPr>
          <w:rFonts w:ascii="Arial" w:hAnsi="Arial" w:cs="Arial"/>
          <w:sz w:val="18"/>
          <w:szCs w:val="18"/>
          <w:lang w:val="en-US"/>
        </w:rPr>
      </w:pPr>
      <w:r w:rsidRPr="00BD295E">
        <w:rPr>
          <w:rFonts w:ascii="Arial" w:hAnsi="Arial" w:cs="Arial"/>
          <w:sz w:val="18"/>
          <w:szCs w:val="18"/>
          <w:lang w:val="en-US"/>
        </w:rPr>
        <w:t xml:space="preserve">Improvements across a number of economic metrics and parameters in the Company’s operating regions generally have a positive impact on the operation and performance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42A022A" w14:textId="77777777" w:rsidR="00E638C6" w:rsidRPr="00BD295E" w:rsidRDefault="00E638C6" w:rsidP="00143660">
      <w:pPr>
        <w:jc w:val="both"/>
        <w:rPr>
          <w:rFonts w:ascii="Arial" w:hAnsi="Arial" w:cs="Arial"/>
          <w:sz w:val="18"/>
          <w:szCs w:val="18"/>
          <w:lang w:val="en-US"/>
        </w:rPr>
      </w:pPr>
    </w:p>
    <w:p w14:paraId="7AA1BA74" w14:textId="77777777" w:rsidR="003F6DA4" w:rsidRPr="00BD295E" w:rsidRDefault="008A5057" w:rsidP="00143660">
      <w:pPr>
        <w:jc w:val="both"/>
        <w:rPr>
          <w:rFonts w:ascii="Arial" w:hAnsi="Arial" w:cs="Arial"/>
          <w:b/>
          <w:sz w:val="18"/>
          <w:szCs w:val="18"/>
          <w:lang w:val="en-US"/>
        </w:rPr>
      </w:pPr>
      <w:r w:rsidRPr="00BD295E">
        <w:rPr>
          <w:rFonts w:ascii="Arial" w:hAnsi="Arial" w:cs="Arial"/>
          <w:b/>
          <w:sz w:val="18"/>
          <w:szCs w:val="18"/>
          <w:lang w:val="en-US"/>
        </w:rPr>
        <w:t>Position of the Company in the Industry</w:t>
      </w:r>
    </w:p>
    <w:p w14:paraId="297AF2FF" w14:textId="77777777" w:rsidR="003F6DA4" w:rsidRPr="00BD295E" w:rsidRDefault="003F6DA4" w:rsidP="00143660">
      <w:pPr>
        <w:jc w:val="both"/>
        <w:rPr>
          <w:rFonts w:ascii="Arial" w:hAnsi="Arial" w:cs="Arial"/>
          <w:sz w:val="18"/>
          <w:szCs w:val="18"/>
          <w:lang w:val="en-US"/>
        </w:rPr>
      </w:pPr>
    </w:p>
    <w:p w14:paraId="6CC8E80A" w14:textId="77777777" w:rsidR="003F6DA4" w:rsidRPr="00BD295E" w:rsidRDefault="008A5057" w:rsidP="00143660">
      <w:pPr>
        <w:jc w:val="both"/>
        <w:rPr>
          <w:rFonts w:ascii="Arial" w:hAnsi="Arial" w:cs="Arial"/>
          <w:sz w:val="18"/>
          <w:szCs w:val="18"/>
          <w:lang w:val="en-US"/>
        </w:rPr>
      </w:pPr>
      <w:r w:rsidRPr="00BD295E">
        <w:rPr>
          <w:rFonts w:ascii="Arial" w:hAnsi="Arial" w:cs="Arial"/>
          <w:sz w:val="18"/>
          <w:szCs w:val="18"/>
          <w:lang w:val="en-US"/>
        </w:rPr>
        <w:t xml:space="preserve">There are three tiers of grid companies in the Russian electricity industry.  </w:t>
      </w:r>
    </w:p>
    <w:p w14:paraId="727ACBCE" w14:textId="77777777" w:rsidR="003F6DA4" w:rsidRPr="00BD295E" w:rsidRDefault="008A5057" w:rsidP="00143660">
      <w:pPr>
        <w:jc w:val="both"/>
        <w:rPr>
          <w:rFonts w:ascii="Arial" w:hAnsi="Arial" w:cs="Arial"/>
          <w:sz w:val="18"/>
          <w:szCs w:val="18"/>
          <w:lang w:val="en-US"/>
        </w:rPr>
      </w:pPr>
      <w:r w:rsidRPr="00BD295E">
        <w:rPr>
          <w:rFonts w:ascii="Arial" w:hAnsi="Arial" w:cs="Arial"/>
          <w:sz w:val="18"/>
          <w:szCs w:val="18"/>
          <w:lang w:val="en-US"/>
        </w:rPr>
        <w:t xml:space="preserve">Tier 1: </w:t>
      </w:r>
    </w:p>
    <w:p w14:paraId="6BE9878F" w14:textId="77777777" w:rsidR="003F6DA4" w:rsidRPr="00BD295E" w:rsidRDefault="008A5057" w:rsidP="00143660">
      <w:pPr>
        <w:jc w:val="both"/>
        <w:rPr>
          <w:rFonts w:ascii="Arial" w:hAnsi="Arial" w:cs="Arial"/>
          <w:sz w:val="18"/>
          <w:szCs w:val="18"/>
          <w:lang w:val="en-US"/>
        </w:rPr>
      </w:pPr>
      <w:r w:rsidRPr="00BD295E">
        <w:rPr>
          <w:rFonts w:ascii="Arial" w:hAnsi="Arial" w:cs="Arial"/>
          <w:sz w:val="18"/>
          <w:szCs w:val="18"/>
          <w:lang w:val="en-US"/>
        </w:rPr>
        <w:t>A federal grid company with 220+ kV grids, operating throughout the Russian Federation</w:t>
      </w:r>
    </w:p>
    <w:p w14:paraId="79025E2D" w14:textId="77777777" w:rsidR="003F6DA4" w:rsidRPr="00BD295E" w:rsidRDefault="008A5057" w:rsidP="00143660">
      <w:pPr>
        <w:jc w:val="both"/>
        <w:rPr>
          <w:rFonts w:ascii="Arial" w:hAnsi="Arial" w:cs="Arial"/>
          <w:sz w:val="18"/>
          <w:szCs w:val="18"/>
          <w:lang w:val="en-US"/>
        </w:rPr>
      </w:pPr>
      <w:r w:rsidRPr="00BD295E">
        <w:rPr>
          <w:rFonts w:ascii="Arial" w:hAnsi="Arial" w:cs="Arial"/>
          <w:sz w:val="18"/>
          <w:szCs w:val="18"/>
          <w:lang w:val="en-US"/>
        </w:rPr>
        <w:t xml:space="preserve">Tier 2: </w:t>
      </w:r>
    </w:p>
    <w:p w14:paraId="6AE3CD78" w14:textId="77777777" w:rsidR="003F6DA4" w:rsidRPr="00BD295E" w:rsidRDefault="008A5057" w:rsidP="00143660">
      <w:pPr>
        <w:jc w:val="both"/>
        <w:rPr>
          <w:rFonts w:ascii="Arial" w:hAnsi="Arial" w:cs="Arial"/>
          <w:sz w:val="18"/>
          <w:szCs w:val="18"/>
          <w:lang w:val="en-US"/>
        </w:rPr>
      </w:pPr>
      <w:r w:rsidRPr="00BD295E">
        <w:rPr>
          <w:rFonts w:ascii="Arial" w:hAnsi="Arial" w:cs="Arial"/>
          <w:sz w:val="18"/>
          <w:szCs w:val="18"/>
          <w:lang w:val="en-US"/>
        </w:rPr>
        <w:t>Regional distribution grid companies, which were set up after the AO-energo reform. These organizations own 110-0.4 kV grids and provide services in certain constituent entities of the Russian Federation</w:t>
      </w:r>
    </w:p>
    <w:p w14:paraId="404E6ECD" w14:textId="77777777" w:rsidR="003F6DA4" w:rsidRPr="00BD295E" w:rsidRDefault="008A5057" w:rsidP="00143660">
      <w:pPr>
        <w:jc w:val="both"/>
        <w:rPr>
          <w:rFonts w:ascii="Arial" w:hAnsi="Arial" w:cs="Arial"/>
          <w:sz w:val="18"/>
          <w:szCs w:val="18"/>
          <w:lang w:val="en-US"/>
        </w:rPr>
      </w:pPr>
      <w:r w:rsidRPr="00BD295E">
        <w:rPr>
          <w:rFonts w:ascii="Arial" w:hAnsi="Arial" w:cs="Arial"/>
          <w:sz w:val="18"/>
          <w:szCs w:val="18"/>
          <w:lang w:val="en-US"/>
        </w:rPr>
        <w:t xml:space="preserve">Tier 3: </w:t>
      </w:r>
    </w:p>
    <w:p w14:paraId="1BFD9234" w14:textId="77777777" w:rsidR="003F6DA4" w:rsidRPr="00BD295E" w:rsidRDefault="000D659F" w:rsidP="00143660">
      <w:pPr>
        <w:jc w:val="both"/>
        <w:rPr>
          <w:rFonts w:ascii="Arial" w:hAnsi="Arial" w:cs="Arial"/>
          <w:sz w:val="18"/>
          <w:szCs w:val="18"/>
          <w:lang w:val="en-US"/>
        </w:rPr>
      </w:pPr>
      <w:r w:rsidRPr="00BD295E">
        <w:rPr>
          <w:rFonts w:ascii="Arial" w:hAnsi="Arial" w:cs="Arial"/>
          <w:sz w:val="18"/>
          <w:szCs w:val="18"/>
          <w:lang w:val="en-US"/>
        </w:rPr>
        <w:t>Local grids</w:t>
      </w:r>
      <w:r w:rsidR="008A5057" w:rsidRPr="00BD295E">
        <w:rPr>
          <w:rFonts w:ascii="Arial" w:hAnsi="Arial" w:cs="Arial"/>
          <w:sz w:val="18"/>
          <w:szCs w:val="18"/>
          <w:lang w:val="en-US"/>
        </w:rPr>
        <w:t xml:space="preserve"> (TGOs), which own mostly 0.4-10 kV grids</w:t>
      </w:r>
    </w:p>
    <w:p w14:paraId="69DEA5A9" w14:textId="77777777" w:rsidR="003F6DA4" w:rsidRPr="00BD295E" w:rsidRDefault="003F6DA4" w:rsidP="00143660">
      <w:pPr>
        <w:jc w:val="both"/>
        <w:rPr>
          <w:rFonts w:ascii="Arial" w:hAnsi="Arial" w:cs="Arial"/>
          <w:sz w:val="18"/>
          <w:szCs w:val="18"/>
          <w:lang w:val="en-US"/>
        </w:rPr>
      </w:pPr>
    </w:p>
    <w:p w14:paraId="1D863D42" w14:textId="77777777" w:rsidR="003F6DA4" w:rsidRPr="00BD295E" w:rsidRDefault="00EE5753" w:rsidP="00143660">
      <w:pPr>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operates at the second tier of the electricity system, being the main grid company in two regions with separate tariff regulation, i.e. Saint Petersburg and the Leningrad Region. </w:t>
      </w:r>
    </w:p>
    <w:p w14:paraId="41E8BFEE" w14:textId="77777777" w:rsidR="003F6DA4" w:rsidRPr="00BD295E" w:rsidRDefault="003F6DA4" w:rsidP="00143660">
      <w:pPr>
        <w:jc w:val="both"/>
        <w:rPr>
          <w:rFonts w:ascii="Arial" w:hAnsi="Arial" w:cs="Arial"/>
          <w:sz w:val="18"/>
          <w:szCs w:val="18"/>
          <w:lang w:val="en-US"/>
        </w:rPr>
      </w:pPr>
    </w:p>
    <w:p w14:paraId="1917D4B8" w14:textId="19663106" w:rsidR="003F6DA4" w:rsidRPr="00BD295E" w:rsidRDefault="008A5057" w:rsidP="00143660">
      <w:pPr>
        <w:jc w:val="both"/>
        <w:rPr>
          <w:rFonts w:ascii="Arial" w:hAnsi="Arial" w:cs="Arial"/>
          <w:b/>
          <w:sz w:val="18"/>
          <w:szCs w:val="18"/>
          <w:lang w:val="en-US"/>
        </w:rPr>
      </w:pPr>
      <w:r w:rsidRPr="00BD295E">
        <w:rPr>
          <w:rFonts w:ascii="Arial" w:hAnsi="Arial" w:cs="Arial"/>
          <w:b/>
          <w:sz w:val="18"/>
          <w:szCs w:val="18"/>
          <w:lang w:val="en-US"/>
        </w:rPr>
        <w:t>Map of Operational Flows</w:t>
      </w:r>
    </w:p>
    <w:p w14:paraId="64E7B076" w14:textId="25768CD7" w:rsidR="00BC0424" w:rsidRPr="00BD295E" w:rsidRDefault="00E70F60" w:rsidP="003F6DA4">
      <w:pPr>
        <w:jc w:val="both"/>
        <w:rPr>
          <w:rFonts w:ascii="Arial" w:hAnsi="Arial" w:cs="Arial"/>
          <w:sz w:val="18"/>
          <w:szCs w:val="18"/>
          <w:lang w:val="en-US"/>
        </w:rPr>
      </w:pP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58080" behindDoc="0" locked="0" layoutInCell="1" allowOverlap="1" wp14:anchorId="5005EC38" wp14:editId="273AB407">
                <wp:simplePos x="0" y="0"/>
                <wp:positionH relativeFrom="column">
                  <wp:posOffset>384810</wp:posOffset>
                </wp:positionH>
                <wp:positionV relativeFrom="paragraph">
                  <wp:posOffset>4681659</wp:posOffset>
                </wp:positionV>
                <wp:extent cx="5602561" cy="357420"/>
                <wp:effectExtent l="0" t="0" r="0" b="5080"/>
                <wp:wrapNone/>
                <wp:docPr id="5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2561" cy="357420"/>
                        </a:xfrm>
                        <a:prstGeom prst="rect">
                          <a:avLst/>
                        </a:prstGeom>
                        <a:solidFill>
                          <a:schemeClr val="bg1"/>
                        </a:solidFill>
                        <a:ln w="9525">
                          <a:noFill/>
                          <a:miter lim="800000"/>
                          <a:headEnd/>
                          <a:tailEnd/>
                        </a:ln>
                      </wps:spPr>
                      <wps:txbx>
                        <w:txbxContent>
                          <w:p w14:paraId="733F3EC1" w14:textId="63137B5E" w:rsidR="002C3947" w:rsidRPr="008B6746" w:rsidRDefault="002C3947" w:rsidP="008B6746">
                            <w:pPr>
                              <w:rPr>
                                <w:rFonts w:ascii="Arial" w:hAnsi="Arial" w:cs="Arial"/>
                                <w:b/>
                                <w:bCs/>
                                <w:sz w:val="12"/>
                                <w:szCs w:val="20"/>
                              </w:rPr>
                            </w:pPr>
                            <w:r w:rsidRPr="008B6746">
                              <w:rPr>
                                <w:rFonts w:ascii="Arial" w:hAnsi="Arial" w:cs="Arial"/>
                                <w:b/>
                                <w:bCs/>
                                <w:sz w:val="12"/>
                                <w:szCs w:val="20"/>
                              </w:rPr>
                              <w:t>WHOLESALE ELECTRICITY MARKET</w:t>
                            </w:r>
                          </w:p>
                          <w:p w14:paraId="6BCAAFC6" w14:textId="12D573D1" w:rsidR="002C3947" w:rsidRPr="008B6746" w:rsidRDefault="002C3947" w:rsidP="008B6746">
                            <w:pPr>
                              <w:spacing w:before="80"/>
                              <w:rPr>
                                <w:rFonts w:ascii="Arial" w:hAnsi="Arial" w:cs="Arial"/>
                                <w:b/>
                                <w:bCs/>
                                <w:sz w:val="12"/>
                                <w:szCs w:val="20"/>
                              </w:rPr>
                            </w:pPr>
                            <w:r w:rsidRPr="008B6746">
                              <w:rPr>
                                <w:rFonts w:ascii="Arial" w:hAnsi="Arial" w:cs="Arial"/>
                                <w:b/>
                                <w:bCs/>
                                <w:sz w:val="12"/>
                                <w:szCs w:val="20"/>
                              </w:rPr>
                              <w:t>DISTRIBUTION SERVICES (TOP-DOWN SYSTEM, MRR OF ALLIED GRID ORGANIZATIONS AND MRR OF FGCS ARE PART OF MRR OF LENENERGO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005EC38" id="_x0000_s1040" type="#_x0000_t202" style="position:absolute;left:0;text-align:left;margin-left:30.3pt;margin-top:368.65pt;width:441.15pt;height:28.15pt;z-index:25175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" fillcolor="white [3212]" stroked="f">
                <v:textbox inset="0,0,0,0">
                  <w:txbxContent>
                    <w:p w14:paraId="733F3EC1" w14:textId="63137B5E" w:rsidR="002C3947" w:rsidRPr="008B6746" w:rsidRDefault="002C3947" w:rsidP="008B6746">
                      <w:pPr>
                        <w:rPr>
                          <w:rFonts w:ascii="Arial" w:hAnsi="Arial" w:cs="Arial"/>
                          <w:b/>
                          <w:bCs/>
                          <w:sz w:val="12"/>
                          <w:szCs w:val="20"/>
                        </w:rPr>
                      </w:pPr>
                      <w:r w:rsidRPr="008B6746">
                        <w:rPr>
                          <w:rFonts w:ascii="Arial" w:hAnsi="Arial" w:cs="Arial"/>
                          <w:b/>
                          <w:bCs/>
                          <w:sz w:val="12"/>
                          <w:szCs w:val="20"/>
                        </w:rPr>
                        <w:t>WHOLESALE ELECTRICITY MARKET</w:t>
                      </w:r>
                    </w:p>
                    <w:p w14:paraId="6BCAAFC6" w14:textId="12D573D1" w:rsidR="002C3947" w:rsidRPr="008B6746" w:rsidRDefault="002C3947" w:rsidP="008B6746">
                      <w:pPr>
                        <w:spacing w:before="80"/>
                        <w:rPr>
                          <w:rFonts w:ascii="Arial" w:hAnsi="Arial" w:cs="Arial"/>
                          <w:b/>
                          <w:bCs/>
                          <w:sz w:val="12"/>
                          <w:szCs w:val="20"/>
                        </w:rPr>
                      </w:pPr>
                      <w:r w:rsidRPr="008B6746">
                        <w:rPr>
                          <w:rFonts w:ascii="Arial" w:hAnsi="Arial" w:cs="Arial"/>
                          <w:b/>
                          <w:bCs/>
                          <w:sz w:val="12"/>
                          <w:szCs w:val="20"/>
                        </w:rPr>
                        <w:t>DISTRIBUTION SERVICES (TOP-DOWN SYSTEM, MRR OF ALLIED GRID ORGANIZATIONS AND MRR OF FGCS ARE PART OF MRR OF LENENERGO</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56032" behindDoc="0" locked="0" layoutInCell="1" allowOverlap="1" wp14:anchorId="386EE25B" wp14:editId="7B7E876F">
                <wp:simplePos x="0" y="0"/>
                <wp:positionH relativeFrom="column">
                  <wp:posOffset>4200420</wp:posOffset>
                </wp:positionH>
                <wp:positionV relativeFrom="paragraph">
                  <wp:posOffset>3764913</wp:posOffset>
                </wp:positionV>
                <wp:extent cx="741258" cy="473582"/>
                <wp:effectExtent l="0" t="0" r="1905" b="3175"/>
                <wp:wrapNone/>
                <wp:docPr id="5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258" cy="473582"/>
                        </a:xfrm>
                        <a:prstGeom prst="rect">
                          <a:avLst/>
                        </a:prstGeom>
                        <a:solidFill>
                          <a:schemeClr val="bg1"/>
                        </a:solidFill>
                        <a:ln w="9525">
                          <a:noFill/>
                          <a:miter lim="800000"/>
                          <a:headEnd/>
                          <a:tailEnd/>
                        </a:ln>
                      </wps:spPr>
                      <wps:txbx>
                        <w:txbxContent>
                          <w:p w14:paraId="4AD505CD" w14:textId="74A655B8" w:rsidR="002C3947" w:rsidRPr="00E70F60" w:rsidRDefault="002C3947" w:rsidP="00E70F60">
                            <w:pPr>
                              <w:rPr>
                                <w:rFonts w:ascii="Arial" w:hAnsi="Arial" w:cs="Arial"/>
                                <w:b/>
                                <w:bCs/>
                                <w:sz w:val="10"/>
                                <w:szCs w:val="18"/>
                              </w:rPr>
                            </w:pPr>
                            <w:r w:rsidRPr="00E70F60">
                              <w:rPr>
                                <w:rFonts w:ascii="Arial" w:hAnsi="Arial" w:cs="Arial"/>
                                <w:b/>
                                <w:bCs/>
                                <w:sz w:val="10"/>
                                <w:szCs w:val="18"/>
                              </w:rPr>
                              <w:t>MAJOR ALLIED GRID ORGANIZATIONS, UNECO, JSC IN SAINT PETERSBURG, LOESK, JSC IN THE LENINGRAD REGION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6EE25B" id="_x0000_s1041" type="#_x0000_t202" style="position:absolute;left:0;text-align:left;margin-left:330.75pt;margin-top:296.45pt;width:58.35pt;height:37.3pt;z-index:25175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" fillcolor="white [3212]" stroked="f">
                <v:textbox inset="0,0,0,0">
                  <w:txbxContent>
                    <w:p w14:paraId="4AD505CD" w14:textId="74A655B8" w:rsidR="002C3947" w:rsidRPr="00E70F60" w:rsidRDefault="002C3947" w:rsidP="00E70F60">
                      <w:pPr>
                        <w:rPr>
                          <w:rFonts w:ascii="Arial" w:hAnsi="Arial" w:cs="Arial"/>
                          <w:b/>
                          <w:bCs/>
                          <w:sz w:val="10"/>
                          <w:szCs w:val="18"/>
                        </w:rPr>
                      </w:pPr>
                      <w:r w:rsidRPr="00E70F60">
                        <w:rPr>
                          <w:rFonts w:ascii="Arial" w:hAnsi="Arial" w:cs="Arial"/>
                          <w:b/>
                          <w:bCs/>
                          <w:sz w:val="10"/>
                          <w:szCs w:val="18"/>
                        </w:rPr>
                        <w:t>MAJOR ALLIED GRID ORGANIZATIONS, UNECO, JSC IN SAINT PETERSBURG, LOESK, JSC IN THE LENINGRAD REGION</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53984" behindDoc="0" locked="0" layoutInCell="1" allowOverlap="1" wp14:anchorId="06490E65" wp14:editId="6920B650">
                <wp:simplePos x="0" y="0"/>
                <wp:positionH relativeFrom="column">
                  <wp:posOffset>36803</wp:posOffset>
                </wp:positionH>
                <wp:positionV relativeFrom="paragraph">
                  <wp:posOffset>3917253</wp:posOffset>
                </wp:positionV>
                <wp:extent cx="741258" cy="473582"/>
                <wp:effectExtent l="0" t="0" r="1905" b="3175"/>
                <wp:wrapNone/>
                <wp:docPr id="5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258" cy="473582"/>
                        </a:xfrm>
                        <a:prstGeom prst="rect">
                          <a:avLst/>
                        </a:prstGeom>
                        <a:solidFill>
                          <a:schemeClr val="bg1"/>
                        </a:solidFill>
                        <a:ln w="9525">
                          <a:noFill/>
                          <a:miter lim="800000"/>
                          <a:headEnd/>
                          <a:tailEnd/>
                        </a:ln>
                      </wps:spPr>
                      <wps:txbx>
                        <w:txbxContent>
                          <w:p w14:paraId="6858EE20" w14:textId="4A908EFC" w:rsidR="002C3947" w:rsidRPr="00E70F60" w:rsidRDefault="002C3947" w:rsidP="00E70F60">
                            <w:pPr>
                              <w:rPr>
                                <w:rFonts w:ascii="Arial" w:hAnsi="Arial" w:cs="Arial"/>
                                <w:b/>
                                <w:bCs/>
                                <w:sz w:val="10"/>
                                <w:szCs w:val="18"/>
                              </w:rPr>
                            </w:pPr>
                            <w:r w:rsidRPr="00E70F60">
                              <w:rPr>
                                <w:rFonts w:ascii="Arial" w:hAnsi="Arial" w:cs="Arial"/>
                                <w:b/>
                                <w:bCs/>
                                <w:sz w:val="10"/>
                                <w:szCs w:val="18"/>
                              </w:rPr>
                              <w:t>ELECTRICITY TRANSMISSION GRID COMPANY OF NORTH-WEST, A BRANCH OF “FGC UES”, PJSC</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6490E65" id="_x0000_s1042" type="#_x0000_t202" style="position:absolute;left:0;text-align:left;margin-left:2.9pt;margin-top:308.45pt;width:58.35pt;height:37.3pt;z-index:25175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" fillcolor="white [3212]" stroked="f">
                <v:textbox inset="0,0,0,0">
                  <w:txbxContent>
                    <w:p w14:paraId="6858EE20" w14:textId="4A908EFC" w:rsidR="002C3947" w:rsidRPr="00E70F60" w:rsidRDefault="002C3947" w:rsidP="00E70F60">
                      <w:pPr>
                        <w:rPr>
                          <w:rFonts w:ascii="Arial" w:hAnsi="Arial" w:cs="Arial"/>
                          <w:b/>
                          <w:bCs/>
                          <w:sz w:val="10"/>
                          <w:szCs w:val="18"/>
                        </w:rPr>
                      </w:pPr>
                      <w:r w:rsidRPr="00E70F60">
                        <w:rPr>
                          <w:rFonts w:ascii="Arial" w:hAnsi="Arial" w:cs="Arial"/>
                          <w:b/>
                          <w:bCs/>
                          <w:sz w:val="10"/>
                          <w:szCs w:val="18"/>
                        </w:rPr>
                        <w:t>ELECTRICITY TRANSMISSION GRID COMPANY OF NORTH-WEST, A BRANCH OF “FGC UES”, PJSC</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51936" behindDoc="0" locked="0" layoutInCell="1" allowOverlap="1" wp14:anchorId="01ADC060" wp14:editId="378D6AEA">
                <wp:simplePos x="0" y="0"/>
                <wp:positionH relativeFrom="margin">
                  <wp:posOffset>3058974</wp:posOffset>
                </wp:positionH>
                <wp:positionV relativeFrom="paragraph">
                  <wp:posOffset>2141854</wp:posOffset>
                </wp:positionV>
                <wp:extent cx="556881" cy="110664"/>
                <wp:effectExtent l="19050" t="95250" r="15240" b="80010"/>
                <wp:wrapNone/>
                <wp:docPr id="5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590932">
                          <a:off x="0" y="0"/>
                          <a:ext cx="556881" cy="110664"/>
                        </a:xfrm>
                        <a:prstGeom prst="rect">
                          <a:avLst/>
                        </a:prstGeom>
                        <a:noFill/>
                        <a:ln w="9525">
                          <a:noFill/>
                          <a:miter lim="800000"/>
                          <a:headEnd/>
                          <a:tailEnd/>
                        </a:ln>
                      </wps:spPr>
                      <wps:txbx>
                        <w:txbxContent>
                          <w:p w14:paraId="3B303D78"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ELECTRICITY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ADC060" id="_x0000_s1043" type="#_x0000_t202" style="position:absolute;left:0;text-align:left;margin-left:240.85pt;margin-top:168.65pt;width:43.85pt;height:8.7pt;rotation:-1102171fd;z-index:25175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" filled="f" stroked="f">
                <v:textbox inset="0,0,0,0">
                  <w:txbxContent>
                    <w:p w14:paraId="3B303D78"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ELECTRICITY</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49888" behindDoc="0" locked="0" layoutInCell="1" allowOverlap="1" wp14:anchorId="461D8363" wp14:editId="72B85930">
                <wp:simplePos x="0" y="0"/>
                <wp:positionH relativeFrom="margin">
                  <wp:posOffset>1308282</wp:posOffset>
                </wp:positionH>
                <wp:positionV relativeFrom="paragraph">
                  <wp:posOffset>2115002</wp:posOffset>
                </wp:positionV>
                <wp:extent cx="556881" cy="110664"/>
                <wp:effectExtent l="19050" t="95250" r="15240" b="80010"/>
                <wp:wrapNone/>
                <wp:docPr id="5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992670">
                          <a:off x="0" y="0"/>
                          <a:ext cx="556881" cy="110664"/>
                        </a:xfrm>
                        <a:prstGeom prst="rect">
                          <a:avLst/>
                        </a:prstGeom>
                        <a:noFill/>
                        <a:ln w="9525">
                          <a:noFill/>
                          <a:miter lim="800000"/>
                          <a:headEnd/>
                          <a:tailEnd/>
                        </a:ln>
                      </wps:spPr>
                      <wps:txbx>
                        <w:txbxContent>
                          <w:p w14:paraId="13E40BDA"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ELECTRICITY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1D8363" id="_x0000_s1044" type="#_x0000_t202" style="position:absolute;left:0;text-align:left;margin-left:103pt;margin-top:166.55pt;width:43.85pt;height:8.7pt;rotation:1084260fd;z-index:25174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" filled="f" stroked="f">
                <v:textbox inset="0,0,0,0">
                  <w:txbxContent>
                    <w:p w14:paraId="13E40BDA"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ELECTRICITY</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47840" behindDoc="0" locked="0" layoutInCell="1" allowOverlap="1" wp14:anchorId="10CAF673" wp14:editId="22FB0B0F">
                <wp:simplePos x="0" y="0"/>
                <wp:positionH relativeFrom="margin">
                  <wp:posOffset>1550535</wp:posOffset>
                </wp:positionH>
                <wp:positionV relativeFrom="paragraph">
                  <wp:posOffset>3222579</wp:posOffset>
                </wp:positionV>
                <wp:extent cx="556881" cy="110664"/>
                <wp:effectExtent l="0" t="190500" r="0" b="194310"/>
                <wp:wrapNone/>
                <wp:docPr id="5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965167">
                          <a:off x="0" y="0"/>
                          <a:ext cx="556881" cy="110664"/>
                        </a:xfrm>
                        <a:prstGeom prst="rect">
                          <a:avLst/>
                        </a:prstGeom>
                        <a:noFill/>
                        <a:ln w="9525">
                          <a:noFill/>
                          <a:miter lim="800000"/>
                          <a:headEnd/>
                          <a:tailEnd/>
                        </a:ln>
                      </wps:spPr>
                      <wps:txbx>
                        <w:txbxContent>
                          <w:p w14:paraId="242BD0BB"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ELECTRICITY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CAF673" id="_x0000_s1045" type="#_x0000_t202" style="position:absolute;left:0;text-align:left;margin-left:122.1pt;margin-top:253.75pt;width:43.85pt;height:8.7pt;rotation:-2877940fd;z-index:25174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" filled="f" stroked="f">
                <v:textbox inset="0,0,0,0">
                  <w:txbxContent>
                    <w:p w14:paraId="242BD0BB"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ELECTRICITY</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45792" behindDoc="0" locked="0" layoutInCell="1" allowOverlap="1" wp14:anchorId="222CC6E0" wp14:editId="7E95CFC1">
                <wp:simplePos x="0" y="0"/>
                <wp:positionH relativeFrom="margin">
                  <wp:posOffset>2856596</wp:posOffset>
                </wp:positionH>
                <wp:positionV relativeFrom="paragraph">
                  <wp:posOffset>3222712</wp:posOffset>
                </wp:positionV>
                <wp:extent cx="556881" cy="110664"/>
                <wp:effectExtent l="0" t="190500" r="0" b="175260"/>
                <wp:wrapNone/>
                <wp:docPr id="5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559861">
                          <a:off x="0" y="0"/>
                          <a:ext cx="556881" cy="110664"/>
                        </a:xfrm>
                        <a:prstGeom prst="rect">
                          <a:avLst/>
                        </a:prstGeom>
                        <a:noFill/>
                        <a:ln w="9525">
                          <a:noFill/>
                          <a:miter lim="800000"/>
                          <a:headEnd/>
                          <a:tailEnd/>
                        </a:ln>
                      </wps:spPr>
                      <wps:txbx>
                        <w:txbxContent>
                          <w:p w14:paraId="79F6D205"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ELECTRICITY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22CC6E0" id="_x0000_s1046" type="#_x0000_t202" style="position:absolute;left:0;text-align:left;margin-left:224.95pt;margin-top:253.75pt;width:43.85pt;height:8.7pt;rotation:2796051fd;z-index:25174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" filled="f" stroked="f">
                <v:textbox inset="0,0,0,0">
                  <w:txbxContent>
                    <w:p w14:paraId="79F6D205"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ELECTRICITY</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43744" behindDoc="0" locked="0" layoutInCell="1" allowOverlap="1" wp14:anchorId="6DE7F37E" wp14:editId="1232EF85">
                <wp:simplePos x="0" y="0"/>
                <wp:positionH relativeFrom="column">
                  <wp:posOffset>1138869</wp:posOffset>
                </wp:positionH>
                <wp:positionV relativeFrom="paragraph">
                  <wp:posOffset>2889250</wp:posOffset>
                </wp:positionV>
                <wp:extent cx="783346" cy="241071"/>
                <wp:effectExtent l="0" t="228600" r="0" b="235585"/>
                <wp:wrapNone/>
                <wp:docPr id="5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169600">
                          <a:off x="0" y="0"/>
                          <a:ext cx="783346" cy="241071"/>
                        </a:xfrm>
                        <a:prstGeom prst="rect">
                          <a:avLst/>
                        </a:prstGeom>
                        <a:noFill/>
                        <a:ln w="9525">
                          <a:noFill/>
                          <a:miter lim="800000"/>
                          <a:headEnd/>
                          <a:tailEnd/>
                        </a:ln>
                      </wps:spPr>
                      <wps:txbx>
                        <w:txbxContent>
                          <w:p w14:paraId="4D1A3E31"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FEE FOR ELECTRICITY DISTRIBUTION SERVICES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E7F37E" id="_x0000_s1047" type="#_x0000_t202" style="position:absolute;left:0;text-align:left;margin-left:89.65pt;margin-top:227.5pt;width:61.7pt;height:19pt;rotation:-2654645fd;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" filled="f" stroked="f">
                <v:textbox inset="0,0,0,0">
                  <w:txbxContent>
                    <w:p w14:paraId="4D1A3E31"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FEE FOR ELECTRICITY DISTRIBUTION SERVICES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41696" behindDoc="0" locked="0" layoutInCell="1" allowOverlap="1" wp14:anchorId="2806F068" wp14:editId="555A4570">
                <wp:simplePos x="0" y="0"/>
                <wp:positionH relativeFrom="column">
                  <wp:posOffset>3140341</wp:posOffset>
                </wp:positionH>
                <wp:positionV relativeFrom="paragraph">
                  <wp:posOffset>2907258</wp:posOffset>
                </wp:positionV>
                <wp:extent cx="783346" cy="241071"/>
                <wp:effectExtent l="175895" t="0" r="250190" b="0"/>
                <wp:wrapNone/>
                <wp:docPr id="5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834470">
                          <a:off x="0" y="0"/>
                          <a:ext cx="783346" cy="241071"/>
                        </a:xfrm>
                        <a:prstGeom prst="rect">
                          <a:avLst/>
                        </a:prstGeom>
                        <a:solidFill>
                          <a:schemeClr val="bg1"/>
                        </a:solidFill>
                        <a:ln w="9525">
                          <a:noFill/>
                          <a:miter lim="800000"/>
                          <a:headEnd/>
                          <a:tailEnd/>
                        </a:ln>
                      </wps:spPr>
                      <wps:txbx>
                        <w:txbxContent>
                          <w:p w14:paraId="3D06622B"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FEE FOR ELECTRICITY DISTRIBUTION SERVICES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06F068" id="_x0000_s1048" type="#_x0000_t202" style="position:absolute;left:0;text-align:left;margin-left:247.25pt;margin-top:228.9pt;width:61.7pt;height:19pt;rotation:3095997fd;z-index:25174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" fillcolor="white [3212]" stroked="f">
                <v:textbox inset="0,0,0,0">
                  <w:txbxContent>
                    <w:p w14:paraId="3D06622B" w14:textId="77777777" w:rsidR="002C3947" w:rsidRPr="00E70F60" w:rsidRDefault="002C3947" w:rsidP="00E70F60">
                      <w:pPr>
                        <w:jc w:val="center"/>
                        <w:rPr>
                          <w:rFonts w:ascii="Arial" w:hAnsi="Arial" w:cs="Arial"/>
                          <w:sz w:val="10"/>
                          <w:szCs w:val="18"/>
                        </w:rPr>
                      </w:pPr>
                      <w:r w:rsidRPr="00E70F60">
                        <w:rPr>
                          <w:rFonts w:ascii="Arial" w:hAnsi="Arial" w:cs="Arial"/>
                          <w:sz w:val="10"/>
                          <w:szCs w:val="18"/>
                        </w:rPr>
                        <w:t>FEE FOR ELECTRICITY DISTRIBUTION SERVICES</w:t>
                      </w:r>
                    </w:p>
                  </w:txbxContent>
                </v:textbox>
              </v:shape>
            </w:pict>
          </mc:Fallback>
        </mc:AlternateContent>
      </w:r>
      <w:r w:rsidR="008E2767"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39648" behindDoc="0" locked="0" layoutInCell="1" allowOverlap="1" wp14:anchorId="7D70247A" wp14:editId="2BB3A7AB">
                <wp:simplePos x="0" y="0"/>
                <wp:positionH relativeFrom="column">
                  <wp:posOffset>207354</wp:posOffset>
                </wp:positionH>
                <wp:positionV relativeFrom="paragraph">
                  <wp:posOffset>3074622</wp:posOffset>
                </wp:positionV>
                <wp:extent cx="794160" cy="151543"/>
                <wp:effectExtent l="73660" t="2540" r="137160" b="3810"/>
                <wp:wrapNone/>
                <wp:docPr id="5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034724">
                          <a:off x="0" y="0"/>
                          <a:ext cx="794160" cy="151543"/>
                        </a:xfrm>
                        <a:prstGeom prst="rect">
                          <a:avLst/>
                        </a:prstGeom>
                        <a:solidFill>
                          <a:schemeClr val="bg1"/>
                        </a:solidFill>
                        <a:ln w="9525">
                          <a:noFill/>
                          <a:miter lim="800000"/>
                          <a:headEnd/>
                          <a:tailEnd/>
                        </a:ln>
                      </wps:spPr>
                      <wps:txbx>
                        <w:txbxContent>
                          <w:p w14:paraId="3A1964A3" w14:textId="77777777" w:rsidR="002C3947" w:rsidRPr="009940A7" w:rsidRDefault="002C3947" w:rsidP="008E2767">
                            <w:pPr>
                              <w:jc w:val="center"/>
                              <w:rPr>
                                <w:rFonts w:ascii="Arial" w:hAnsi="Arial" w:cs="Arial"/>
                                <w:sz w:val="12"/>
                                <w:szCs w:val="20"/>
                              </w:rPr>
                            </w:pPr>
                            <w:r w:rsidRPr="009940A7">
                              <w:rPr>
                                <w:rFonts w:ascii="Arial" w:hAnsi="Arial" w:cs="Arial"/>
                                <w:sz w:val="12"/>
                                <w:szCs w:val="20"/>
                              </w:rPr>
                              <w:t>ELECTRICITY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70247A" id="_x0000_s1049" type="#_x0000_t202" style="position:absolute;left:0;text-align:left;margin-left:16.35pt;margin-top:242.1pt;width:62.55pt;height:11.95pt;rotation:-7171032fd;z-index:25173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" fillcolor="white [3212]" stroked="f">
                <v:textbox inset="0,0,0,0">
                  <w:txbxContent>
                    <w:p w14:paraId="3A1964A3" w14:textId="77777777" w:rsidR="002C3947" w:rsidRPr="009940A7" w:rsidRDefault="002C3947" w:rsidP="008E2767">
                      <w:pPr>
                        <w:jc w:val="center"/>
                        <w:rPr>
                          <w:rFonts w:ascii="Arial" w:hAnsi="Arial" w:cs="Arial"/>
                          <w:sz w:val="12"/>
                          <w:szCs w:val="20"/>
                        </w:rPr>
                      </w:pPr>
                      <w:r w:rsidRPr="009940A7">
                        <w:rPr>
                          <w:rFonts w:ascii="Arial" w:hAnsi="Arial" w:cs="Arial"/>
                          <w:sz w:val="12"/>
                          <w:szCs w:val="20"/>
                        </w:rPr>
                        <w:t>ELECTRICITY</w:t>
                      </w:r>
                    </w:p>
                  </w:txbxContent>
                </v:textbox>
              </v:shape>
            </w:pict>
          </mc:Fallback>
        </mc:AlternateContent>
      </w:r>
      <w:r w:rsidR="008E2767"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37600" behindDoc="0" locked="0" layoutInCell="1" allowOverlap="1" wp14:anchorId="227A77C5" wp14:editId="1E712B51">
                <wp:simplePos x="0" y="0"/>
                <wp:positionH relativeFrom="column">
                  <wp:posOffset>3977506</wp:posOffset>
                </wp:positionH>
                <wp:positionV relativeFrom="paragraph">
                  <wp:posOffset>3056574</wp:posOffset>
                </wp:positionV>
                <wp:extent cx="794160" cy="151543"/>
                <wp:effectExtent l="130810" t="21590" r="137160" b="3810"/>
                <wp:wrapNone/>
                <wp:docPr id="5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534070">
                          <a:off x="0" y="0"/>
                          <a:ext cx="794160" cy="151543"/>
                        </a:xfrm>
                        <a:prstGeom prst="rect">
                          <a:avLst/>
                        </a:prstGeom>
                        <a:solidFill>
                          <a:schemeClr val="bg1"/>
                        </a:solidFill>
                        <a:ln w="9525">
                          <a:noFill/>
                          <a:miter lim="800000"/>
                          <a:headEnd/>
                          <a:tailEnd/>
                        </a:ln>
                      </wps:spPr>
                      <wps:txbx>
                        <w:txbxContent>
                          <w:p w14:paraId="722E08A7" w14:textId="031D7214" w:rsidR="002C3947" w:rsidRPr="00E70F60" w:rsidRDefault="002C3947" w:rsidP="008E2767">
                            <w:pPr>
                              <w:jc w:val="center"/>
                              <w:rPr>
                                <w:rFonts w:ascii="Arial" w:hAnsi="Arial" w:cs="Arial"/>
                                <w:sz w:val="10"/>
                                <w:szCs w:val="18"/>
                              </w:rPr>
                            </w:pPr>
                            <w:r w:rsidRPr="00E70F60">
                              <w:rPr>
                                <w:rFonts w:ascii="Arial" w:hAnsi="Arial" w:cs="Arial"/>
                                <w:sz w:val="10"/>
                                <w:szCs w:val="18"/>
                              </w:rPr>
                              <w:t>ELECTRICITY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27A77C5" id="_x0000_s1050" type="#_x0000_t202" style="position:absolute;left:0;text-align:left;margin-left:313.2pt;margin-top:240.7pt;width:62.55pt;height:11.95pt;rotation:7136947fd;z-index:25173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" fillcolor="white [3212]" stroked="f">
                <v:textbox inset="0,0,0,0">
                  <w:txbxContent>
                    <w:p w14:paraId="722E08A7" w14:textId="031D7214" w:rsidR="002C3947" w:rsidRPr="00E70F60" w:rsidRDefault="002C3947" w:rsidP="008E2767">
                      <w:pPr>
                        <w:jc w:val="center"/>
                        <w:rPr>
                          <w:rFonts w:ascii="Arial" w:hAnsi="Arial" w:cs="Arial"/>
                          <w:sz w:val="10"/>
                          <w:szCs w:val="18"/>
                        </w:rPr>
                      </w:pPr>
                      <w:r w:rsidRPr="00E70F60">
                        <w:rPr>
                          <w:rFonts w:ascii="Arial" w:hAnsi="Arial" w:cs="Arial"/>
                          <w:sz w:val="10"/>
                          <w:szCs w:val="18"/>
                        </w:rPr>
                        <w:t>ELECTRICITY</w:t>
                      </w:r>
                    </w:p>
                  </w:txbxContent>
                </v:textbox>
              </v:shape>
            </w:pict>
          </mc:Fallback>
        </mc:AlternateContent>
      </w:r>
      <w:r w:rsidR="00A06C18"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35552" behindDoc="0" locked="0" layoutInCell="1" allowOverlap="1" wp14:anchorId="69096D8B" wp14:editId="5FA9E34F">
                <wp:simplePos x="0" y="0"/>
                <wp:positionH relativeFrom="column">
                  <wp:posOffset>2600325</wp:posOffset>
                </wp:positionH>
                <wp:positionV relativeFrom="paragraph">
                  <wp:posOffset>1405890</wp:posOffset>
                </wp:positionV>
                <wp:extent cx="783346" cy="411033"/>
                <wp:effectExtent l="0" t="0" r="0" b="8255"/>
                <wp:wrapNone/>
                <wp:docPr id="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346" cy="411033"/>
                        </a:xfrm>
                        <a:prstGeom prst="rect">
                          <a:avLst/>
                        </a:prstGeom>
                        <a:solidFill>
                          <a:schemeClr val="bg1"/>
                        </a:solidFill>
                        <a:ln w="9525">
                          <a:noFill/>
                          <a:miter lim="800000"/>
                          <a:headEnd/>
                          <a:tailEnd/>
                        </a:ln>
                      </wps:spPr>
                      <wps:txbx>
                        <w:txbxContent>
                          <w:p w14:paraId="286456A3" w14:textId="7A16E108" w:rsidR="002C3947" w:rsidRPr="00A06C18" w:rsidRDefault="002C3947" w:rsidP="00A06C18">
                            <w:pPr>
                              <w:rPr>
                                <w:rFonts w:ascii="Arial" w:hAnsi="Arial" w:cs="Arial"/>
                                <w:b/>
                                <w:bCs/>
                                <w:sz w:val="12"/>
                                <w:szCs w:val="20"/>
                              </w:rPr>
                            </w:pPr>
                            <w:r w:rsidRPr="00A06C18">
                              <w:rPr>
                                <w:rFonts w:ascii="Arial" w:hAnsi="Arial" w:cs="Arial"/>
                                <w:b/>
                                <w:bCs/>
                                <w:sz w:val="12"/>
                                <w:szCs w:val="20"/>
                              </w:rPr>
                              <w:t>PAYMENT FOR NETWORK LOSSES OF PJSC “LENENERGO”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096D8B" id="_x0000_s1051" type="#_x0000_t202" style="position:absolute;left:0;text-align:left;margin-left:204.75pt;margin-top:110.7pt;width:61.7pt;height:32.35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" fillcolor="white [3212]" stroked="f">
                <v:textbox inset="0,0,0,0">
                  <w:txbxContent>
                    <w:p w14:paraId="286456A3" w14:textId="7A16E108" w:rsidR="002C3947" w:rsidRPr="00A06C18" w:rsidRDefault="002C3947" w:rsidP="00A06C18">
                      <w:pPr>
                        <w:rPr>
                          <w:rFonts w:ascii="Arial" w:hAnsi="Arial" w:cs="Arial"/>
                          <w:b/>
                          <w:bCs/>
                          <w:sz w:val="12"/>
                          <w:szCs w:val="20"/>
                        </w:rPr>
                      </w:pPr>
                      <w:r w:rsidRPr="00A06C18">
                        <w:rPr>
                          <w:rFonts w:ascii="Arial" w:hAnsi="Arial" w:cs="Arial"/>
                          <w:b/>
                          <w:bCs/>
                          <w:sz w:val="12"/>
                          <w:szCs w:val="20"/>
                        </w:rPr>
                        <w:t>PAYMENT FOR NETWORK LOSSES OF PJSC “LENENERGO”</w:t>
                      </w:r>
                    </w:p>
                  </w:txbxContent>
                </v:textbox>
              </v:shape>
            </w:pict>
          </mc:Fallback>
        </mc:AlternateContent>
      </w:r>
      <w:r w:rsidR="00A06C18"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33504" behindDoc="0" locked="0" layoutInCell="1" allowOverlap="1" wp14:anchorId="33F403D2" wp14:editId="138225F8">
                <wp:simplePos x="0" y="0"/>
                <wp:positionH relativeFrom="column">
                  <wp:posOffset>1594485</wp:posOffset>
                </wp:positionH>
                <wp:positionV relativeFrom="paragraph">
                  <wp:posOffset>1405890</wp:posOffset>
                </wp:positionV>
                <wp:extent cx="783346" cy="411033"/>
                <wp:effectExtent l="0" t="0" r="0" b="8255"/>
                <wp:wrapNone/>
                <wp:docPr id="5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346" cy="411033"/>
                        </a:xfrm>
                        <a:prstGeom prst="rect">
                          <a:avLst/>
                        </a:prstGeom>
                        <a:solidFill>
                          <a:schemeClr val="bg1"/>
                        </a:solidFill>
                        <a:ln w="9525">
                          <a:noFill/>
                          <a:miter lim="800000"/>
                          <a:headEnd/>
                          <a:tailEnd/>
                        </a:ln>
                      </wps:spPr>
                      <wps:txbx>
                        <w:txbxContent>
                          <w:p w14:paraId="6984546D" w14:textId="5562D3CE" w:rsidR="002C3947" w:rsidRPr="00A06C18" w:rsidRDefault="002C3947" w:rsidP="00A06C18">
                            <w:pPr>
                              <w:jc w:val="right"/>
                              <w:rPr>
                                <w:rFonts w:ascii="Arial" w:hAnsi="Arial" w:cs="Arial"/>
                                <w:b/>
                                <w:bCs/>
                                <w:sz w:val="12"/>
                                <w:szCs w:val="20"/>
                              </w:rPr>
                            </w:pPr>
                            <w:r w:rsidRPr="00A06C18">
                              <w:rPr>
                                <w:rFonts w:ascii="Arial" w:hAnsi="Arial" w:cs="Arial"/>
                                <w:b/>
                                <w:bCs/>
                                <w:sz w:val="12"/>
                                <w:szCs w:val="20"/>
                              </w:rPr>
                              <w:t>FEE FOR ELECTRICITY DISTRIBUTION SERVICES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3F403D2" id="_x0000_s1052" type="#_x0000_t202" style="position:absolute;left:0;text-align:left;margin-left:125.55pt;margin-top:110.7pt;width:61.7pt;height:32.35pt;z-index:25173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" fillcolor="white [3212]" stroked="f">
                <v:textbox inset="0,0,0,0">
                  <w:txbxContent>
                    <w:p w14:paraId="6984546D" w14:textId="5562D3CE" w:rsidR="002C3947" w:rsidRPr="00A06C18" w:rsidRDefault="002C3947" w:rsidP="00A06C18">
                      <w:pPr>
                        <w:jc w:val="right"/>
                        <w:rPr>
                          <w:rFonts w:ascii="Arial" w:hAnsi="Arial" w:cs="Arial"/>
                          <w:b/>
                          <w:bCs/>
                          <w:sz w:val="12"/>
                          <w:szCs w:val="20"/>
                        </w:rPr>
                      </w:pPr>
                      <w:r w:rsidRPr="00A06C18">
                        <w:rPr>
                          <w:rFonts w:ascii="Arial" w:hAnsi="Arial" w:cs="Arial"/>
                          <w:b/>
                          <w:bCs/>
                          <w:sz w:val="12"/>
                          <w:szCs w:val="20"/>
                        </w:rPr>
                        <w:t>FEE FOR ELECTRICITY DISTRIBUTION SERVICES</w:t>
                      </w:r>
                    </w:p>
                  </w:txbxContent>
                </v:textbox>
              </v:shape>
            </w:pict>
          </mc:Fallback>
        </mc:AlternateContent>
      </w:r>
      <w:r w:rsidR="009940A7"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31456" behindDoc="0" locked="0" layoutInCell="1" allowOverlap="1" wp14:anchorId="4F7F3EB2" wp14:editId="52E02075">
                <wp:simplePos x="0" y="0"/>
                <wp:positionH relativeFrom="column">
                  <wp:posOffset>3307624</wp:posOffset>
                </wp:positionH>
                <wp:positionV relativeFrom="paragraph">
                  <wp:posOffset>930728</wp:posOffset>
                </wp:positionV>
                <wp:extent cx="794160" cy="151543"/>
                <wp:effectExtent l="0" t="247650" r="0" b="248920"/>
                <wp:wrapNone/>
                <wp:docPr id="5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336059">
                          <a:off x="0" y="0"/>
                          <a:ext cx="794160" cy="151543"/>
                        </a:xfrm>
                        <a:prstGeom prst="rect">
                          <a:avLst/>
                        </a:prstGeom>
                        <a:solidFill>
                          <a:schemeClr val="bg1"/>
                        </a:solidFill>
                        <a:ln w="9525">
                          <a:noFill/>
                          <a:miter lim="800000"/>
                          <a:headEnd/>
                          <a:tailEnd/>
                        </a:ln>
                      </wps:spPr>
                      <wps:txbx>
                        <w:txbxContent>
                          <w:p w14:paraId="5CA26A9B" w14:textId="0C2476BE" w:rsidR="002C3947" w:rsidRPr="009940A7" w:rsidRDefault="002C3947" w:rsidP="009940A7">
                            <w:pPr>
                              <w:jc w:val="center"/>
                              <w:rPr>
                                <w:rFonts w:ascii="Arial" w:hAnsi="Arial" w:cs="Arial"/>
                                <w:sz w:val="12"/>
                                <w:szCs w:val="20"/>
                              </w:rPr>
                            </w:pPr>
                            <w:r w:rsidRPr="009940A7">
                              <w:rPr>
                                <w:rFonts w:ascii="Arial" w:hAnsi="Arial" w:cs="Arial"/>
                                <w:sz w:val="12"/>
                                <w:szCs w:val="20"/>
                              </w:rPr>
                              <w:t>ELECTRICITY FEE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F7F3EB2" id="_x0000_s1053" type="#_x0000_t202" style="position:absolute;left:0;text-align:left;margin-left:260.45pt;margin-top:73.3pt;width:62.55pt;height:11.95pt;rotation:2551599fd;z-index:25173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" fillcolor="white [3212]" stroked="f">
                <v:textbox inset="0,0,0,0">
                  <w:txbxContent>
                    <w:p w14:paraId="5CA26A9B" w14:textId="0C2476BE" w:rsidR="002C3947" w:rsidRPr="009940A7" w:rsidRDefault="002C3947" w:rsidP="009940A7">
                      <w:pPr>
                        <w:jc w:val="center"/>
                        <w:rPr>
                          <w:rFonts w:ascii="Arial" w:hAnsi="Arial" w:cs="Arial"/>
                          <w:sz w:val="12"/>
                          <w:szCs w:val="20"/>
                        </w:rPr>
                      </w:pPr>
                      <w:r w:rsidRPr="009940A7">
                        <w:rPr>
                          <w:rFonts w:ascii="Arial" w:hAnsi="Arial" w:cs="Arial"/>
                          <w:sz w:val="12"/>
                          <w:szCs w:val="20"/>
                        </w:rPr>
                        <w:t>ELECTRICITY FEE</w:t>
                      </w:r>
                    </w:p>
                  </w:txbxContent>
                </v:textbox>
              </v:shape>
            </w:pict>
          </mc:Fallback>
        </mc:AlternateContent>
      </w:r>
      <w:r w:rsidR="009940A7"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29408" behindDoc="0" locked="0" layoutInCell="1" allowOverlap="1" wp14:anchorId="0158AABF" wp14:editId="02400D85">
                <wp:simplePos x="0" y="0"/>
                <wp:positionH relativeFrom="column">
                  <wp:posOffset>102235</wp:posOffset>
                </wp:positionH>
                <wp:positionV relativeFrom="paragraph">
                  <wp:posOffset>1119701</wp:posOffset>
                </wp:positionV>
                <wp:extent cx="783346" cy="276483"/>
                <wp:effectExtent l="0" t="0" r="0" b="9525"/>
                <wp:wrapNone/>
                <wp:docPr id="5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346" cy="276483"/>
                        </a:xfrm>
                        <a:prstGeom prst="rect">
                          <a:avLst/>
                        </a:prstGeom>
                        <a:solidFill>
                          <a:schemeClr val="bg1"/>
                        </a:solidFill>
                        <a:ln w="9525">
                          <a:noFill/>
                          <a:miter lim="800000"/>
                          <a:headEnd/>
                          <a:tailEnd/>
                        </a:ln>
                      </wps:spPr>
                      <wps:txbx>
                        <w:txbxContent>
                          <w:p w14:paraId="20994914" w14:textId="3D59F120" w:rsidR="002C3947" w:rsidRPr="009940A7" w:rsidRDefault="002C3947" w:rsidP="009940A7">
                            <w:pPr>
                              <w:rPr>
                                <w:rFonts w:ascii="Arial" w:hAnsi="Arial" w:cs="Arial"/>
                                <w:sz w:val="10"/>
                                <w:szCs w:val="18"/>
                              </w:rPr>
                            </w:pPr>
                            <w:r w:rsidRPr="009940A7">
                              <w:rPr>
                                <w:rFonts w:ascii="Arial" w:hAnsi="Arial" w:cs="Arial"/>
                                <w:sz w:val="10"/>
                                <w:szCs w:val="18"/>
                              </w:rPr>
                              <w:t>TGC-1, OGK-6, NW distribution grids, Leningrad NPP, etc.</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58AABF" id="_x0000_s1054" type="#_x0000_t202" style="position:absolute;left:0;text-align:left;margin-left:8.05pt;margin-top:88.15pt;width:61.7pt;height:21.75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" fillcolor="white [3212]" stroked="f">
                <v:textbox inset="0,0,0,0">
                  <w:txbxContent>
                    <w:p w14:paraId="20994914" w14:textId="3D59F120" w:rsidR="002C3947" w:rsidRPr="009940A7" w:rsidRDefault="002C3947" w:rsidP="009940A7">
                      <w:pPr>
                        <w:rPr>
                          <w:rFonts w:ascii="Arial" w:hAnsi="Arial" w:cs="Arial"/>
                          <w:sz w:val="10"/>
                          <w:szCs w:val="18"/>
                        </w:rPr>
                      </w:pPr>
                      <w:r w:rsidRPr="009940A7">
                        <w:rPr>
                          <w:rFonts w:ascii="Arial" w:hAnsi="Arial" w:cs="Arial"/>
                          <w:sz w:val="10"/>
                          <w:szCs w:val="18"/>
                        </w:rPr>
                        <w:t>TGC-1, OGK-6, NW distribution grids, Leningrad NPP, etc.</w:t>
                      </w:r>
                    </w:p>
                  </w:txbxContent>
                </v:textbox>
              </v:shape>
            </w:pict>
          </mc:Fallback>
        </mc:AlternateContent>
      </w:r>
      <w:r w:rsidR="009940A7"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27360" behindDoc="0" locked="0" layoutInCell="1" allowOverlap="1" wp14:anchorId="0500D99C" wp14:editId="17DE803A">
                <wp:simplePos x="0" y="0"/>
                <wp:positionH relativeFrom="column">
                  <wp:posOffset>801231</wp:posOffset>
                </wp:positionH>
                <wp:positionV relativeFrom="paragraph">
                  <wp:posOffset>870903</wp:posOffset>
                </wp:positionV>
                <wp:extent cx="1164416" cy="151543"/>
                <wp:effectExtent l="0" t="323850" r="0" b="325120"/>
                <wp:wrapNone/>
                <wp:docPr id="5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83327">
                          <a:off x="0" y="0"/>
                          <a:ext cx="1164416" cy="151543"/>
                        </a:xfrm>
                        <a:prstGeom prst="rect">
                          <a:avLst/>
                        </a:prstGeom>
                        <a:solidFill>
                          <a:schemeClr val="bg1"/>
                        </a:solidFill>
                        <a:ln w="9525">
                          <a:noFill/>
                          <a:miter lim="800000"/>
                          <a:headEnd/>
                          <a:tailEnd/>
                        </a:ln>
                      </wps:spPr>
                      <wps:txbx>
                        <w:txbxContent>
                          <w:p w14:paraId="3D35218B" w14:textId="06756883" w:rsidR="002C3947" w:rsidRPr="009940A7" w:rsidRDefault="002C3947" w:rsidP="009940A7">
                            <w:pPr>
                              <w:jc w:val="center"/>
                              <w:rPr>
                                <w:rFonts w:ascii="Arial" w:hAnsi="Arial" w:cs="Arial"/>
                                <w:sz w:val="12"/>
                                <w:szCs w:val="20"/>
                              </w:rPr>
                            </w:pPr>
                            <w:r w:rsidRPr="009940A7">
                              <w:rPr>
                                <w:rFonts w:ascii="Arial" w:hAnsi="Arial" w:cs="Arial"/>
                                <w:sz w:val="12"/>
                                <w:szCs w:val="20"/>
                              </w:rPr>
                              <w:t>ELECTRICITY ACQUISITION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00D99C" id="_x0000_s1055" type="#_x0000_t202" style="position:absolute;left:0;text-align:left;margin-left:63.1pt;margin-top:68.6pt;width:91.7pt;height:11.95pt;rotation:-2311971fd;z-index:25172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" fillcolor="white [3212]" stroked="f">
                <v:textbox inset="0,0,0,0">
                  <w:txbxContent>
                    <w:p w14:paraId="3D35218B" w14:textId="06756883" w:rsidR="002C3947" w:rsidRPr="009940A7" w:rsidRDefault="002C3947" w:rsidP="009940A7">
                      <w:pPr>
                        <w:jc w:val="center"/>
                        <w:rPr>
                          <w:rFonts w:ascii="Arial" w:hAnsi="Arial" w:cs="Arial"/>
                          <w:sz w:val="12"/>
                          <w:szCs w:val="20"/>
                        </w:rPr>
                      </w:pPr>
                      <w:r w:rsidRPr="009940A7">
                        <w:rPr>
                          <w:rFonts w:ascii="Arial" w:hAnsi="Arial" w:cs="Arial"/>
                          <w:sz w:val="12"/>
                          <w:szCs w:val="20"/>
                        </w:rPr>
                        <w:t>ELECTRICITY ACQUISITION</w:t>
                      </w:r>
                    </w:p>
                  </w:txbxContent>
                </v:textbox>
              </v:shape>
            </w:pict>
          </mc:Fallback>
        </mc:AlternateContent>
      </w:r>
      <w:r w:rsidR="009940A7"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25312" behindDoc="0" locked="0" layoutInCell="1" allowOverlap="1" wp14:anchorId="14C60543" wp14:editId="48E06527">
                <wp:simplePos x="0" y="0"/>
                <wp:positionH relativeFrom="column">
                  <wp:posOffset>3042111</wp:posOffset>
                </wp:positionH>
                <wp:positionV relativeFrom="paragraph">
                  <wp:posOffset>247739</wp:posOffset>
                </wp:positionV>
                <wp:extent cx="2230898" cy="461668"/>
                <wp:effectExtent l="0" t="0" r="0" b="0"/>
                <wp:wrapNone/>
                <wp:docPr id="5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898" cy="461668"/>
                        </a:xfrm>
                        <a:prstGeom prst="rect">
                          <a:avLst/>
                        </a:prstGeom>
                        <a:solidFill>
                          <a:schemeClr val="bg1"/>
                        </a:solidFill>
                        <a:ln w="9525">
                          <a:noFill/>
                          <a:miter lim="800000"/>
                          <a:headEnd/>
                          <a:tailEnd/>
                        </a:ln>
                      </wps:spPr>
                      <wps:txbx>
                        <w:txbxContent>
                          <w:p w14:paraId="134F0A30" w14:textId="2F0BC561" w:rsidR="002C3947" w:rsidRPr="009940A7" w:rsidRDefault="002C3947" w:rsidP="009940A7">
                            <w:pPr>
                              <w:pStyle w:val="af3"/>
                              <w:numPr>
                                <w:ilvl w:val="0"/>
                                <w:numId w:val="170"/>
                              </w:numPr>
                              <w:ind w:left="142" w:hanging="142"/>
                              <w:rPr>
                                <w:rFonts w:ascii="Arial" w:hAnsi="Arial" w:cs="Arial"/>
                                <w:sz w:val="10"/>
                                <w:szCs w:val="18"/>
                              </w:rPr>
                            </w:pPr>
                            <w:r w:rsidRPr="009940A7">
                              <w:rPr>
                                <w:rFonts w:ascii="Arial" w:hAnsi="Arial" w:cs="Arial"/>
                                <w:sz w:val="10"/>
                                <w:szCs w:val="18"/>
                              </w:rPr>
                              <w:t>INDEPENDENT ENERGY RETAILERS</w:t>
                            </w:r>
                          </w:p>
                          <w:p w14:paraId="5A46A196" w14:textId="24AE354A" w:rsidR="002C3947" w:rsidRPr="009940A7" w:rsidRDefault="002C3947" w:rsidP="009940A7">
                            <w:pPr>
                              <w:pStyle w:val="af3"/>
                              <w:numPr>
                                <w:ilvl w:val="0"/>
                                <w:numId w:val="170"/>
                              </w:numPr>
                              <w:ind w:left="142" w:hanging="142"/>
                              <w:rPr>
                                <w:rFonts w:ascii="Arial" w:hAnsi="Arial" w:cs="Arial"/>
                                <w:sz w:val="10"/>
                                <w:szCs w:val="18"/>
                              </w:rPr>
                            </w:pPr>
                            <w:r w:rsidRPr="009940A7">
                              <w:rPr>
                                <w:rFonts w:ascii="Arial" w:hAnsi="Arial" w:cs="Arial"/>
                                <w:sz w:val="10"/>
                                <w:szCs w:val="18"/>
                              </w:rPr>
                              <w:t>GUARANTEEING SUPPLIERS PSK, JSC, RKS-ENERGO, LLC, RUS-ENEERGOSBYT, LLC, ENERGIYA-HOLDING, LLC,</w:t>
                            </w:r>
                          </w:p>
                          <w:p w14:paraId="7C7ACBAF" w14:textId="741A4193" w:rsidR="002C3947" w:rsidRPr="009940A7" w:rsidRDefault="002C3947" w:rsidP="009940A7">
                            <w:pPr>
                              <w:pStyle w:val="af3"/>
                              <w:numPr>
                                <w:ilvl w:val="0"/>
                                <w:numId w:val="170"/>
                              </w:numPr>
                              <w:ind w:left="142" w:hanging="142"/>
                              <w:rPr>
                                <w:rFonts w:ascii="Arial" w:hAnsi="Arial" w:cs="Arial"/>
                                <w:sz w:val="10"/>
                                <w:szCs w:val="18"/>
                              </w:rPr>
                            </w:pPr>
                            <w:r w:rsidRPr="009940A7">
                              <w:rPr>
                                <w:rFonts w:ascii="Arial" w:hAnsi="Arial" w:cs="Arial"/>
                                <w:sz w:val="10"/>
                                <w:szCs w:val="18"/>
                              </w:rPr>
                              <w:t>DIRECT CONSUMERS PARTICIPATING IN THE WHOLESALE AND RETAIL ELECTRICITY MARKETS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C60543" id="_x0000_s1056" type="#_x0000_t202" style="position:absolute;left:0;text-align:left;margin-left:239.55pt;margin-top:19.5pt;width:175.65pt;height:36.35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" fillcolor="white [3212]" stroked="f">
                <v:textbox inset="0,0,0,0">
                  <w:txbxContent>
                    <w:p w14:paraId="134F0A30" w14:textId="2F0BC561" w:rsidR="002C3947" w:rsidRPr="009940A7" w:rsidRDefault="002C3947" w:rsidP="009940A7">
                      <w:pPr>
                        <w:pStyle w:val="af3"/>
                        <w:numPr>
                          <w:ilvl w:val="0"/>
                          <w:numId w:val="170"/>
                        </w:numPr>
                        <w:ind w:left="142" w:hanging="142"/>
                        <w:rPr>
                          <w:rFonts w:ascii="Arial" w:hAnsi="Arial" w:cs="Arial"/>
                          <w:sz w:val="10"/>
                          <w:szCs w:val="18"/>
                        </w:rPr>
                      </w:pPr>
                      <w:r w:rsidRPr="009940A7">
                        <w:rPr>
                          <w:rFonts w:ascii="Arial" w:hAnsi="Arial" w:cs="Arial"/>
                          <w:sz w:val="10"/>
                          <w:szCs w:val="18"/>
                        </w:rPr>
                        <w:t>INDEPENDENT ENERGY RETAILERS</w:t>
                      </w:r>
                    </w:p>
                    <w:p w14:paraId="5A46A196" w14:textId="24AE354A" w:rsidR="002C3947" w:rsidRPr="009940A7" w:rsidRDefault="002C3947" w:rsidP="009940A7">
                      <w:pPr>
                        <w:pStyle w:val="af3"/>
                        <w:numPr>
                          <w:ilvl w:val="0"/>
                          <w:numId w:val="170"/>
                        </w:numPr>
                        <w:ind w:left="142" w:hanging="142"/>
                        <w:rPr>
                          <w:rFonts w:ascii="Arial" w:hAnsi="Arial" w:cs="Arial"/>
                          <w:sz w:val="10"/>
                          <w:szCs w:val="18"/>
                        </w:rPr>
                      </w:pPr>
                      <w:r w:rsidRPr="009940A7">
                        <w:rPr>
                          <w:rFonts w:ascii="Arial" w:hAnsi="Arial" w:cs="Arial"/>
                          <w:sz w:val="10"/>
                          <w:szCs w:val="18"/>
                        </w:rPr>
                        <w:t>GUARANTEEING SUPPLIERS PSK, JSC, RKS-ENERGO, LLC, RUS-ENEERGOSBYT, LLC, ENERGIYA-HOLDING, LLC,</w:t>
                      </w:r>
                    </w:p>
                    <w:p w14:paraId="7C7ACBAF" w14:textId="741A4193" w:rsidR="002C3947" w:rsidRPr="009940A7" w:rsidRDefault="002C3947" w:rsidP="009940A7">
                      <w:pPr>
                        <w:pStyle w:val="af3"/>
                        <w:numPr>
                          <w:ilvl w:val="0"/>
                          <w:numId w:val="170"/>
                        </w:numPr>
                        <w:ind w:left="142" w:hanging="142"/>
                        <w:rPr>
                          <w:rFonts w:ascii="Arial" w:hAnsi="Arial" w:cs="Arial"/>
                          <w:sz w:val="10"/>
                          <w:szCs w:val="18"/>
                        </w:rPr>
                      </w:pPr>
                      <w:r w:rsidRPr="009940A7">
                        <w:rPr>
                          <w:rFonts w:ascii="Arial" w:hAnsi="Arial" w:cs="Arial"/>
                          <w:sz w:val="10"/>
                          <w:szCs w:val="18"/>
                        </w:rPr>
                        <w:t>DIRECT CONSUMERS PARTICIPATING IN THE WHOLESALE AND RETAIL ELECTRICITY MARKETS</w:t>
                      </w:r>
                    </w:p>
                  </w:txbxContent>
                </v:textbox>
              </v:shape>
            </w:pict>
          </mc:Fallback>
        </mc:AlternateContent>
      </w:r>
      <w:r w:rsidR="009940A7" w:rsidRPr="00BD295E">
        <w:rPr>
          <w:rFonts w:ascii="Arial" w:hAnsi="Arial" w:cs="Arial"/>
          <w:sz w:val="18"/>
          <w:szCs w:val="18"/>
          <w:lang w:val="en-US" w:eastAsia="en-US"/>
        </w:rPr>
        <mc:AlternateContent>
          <mc:Choice Requires="wps">
            <w:drawing>
              <wp:anchor distT="0" distB="0" distL="114300" distR="114300" simplePos="0" relativeHeight="251723264" behindDoc="0" locked="0" layoutInCell="1" allowOverlap="1" wp14:anchorId="025B3C52" wp14:editId="70582557">
                <wp:simplePos x="0" y="0"/>
                <wp:positionH relativeFrom="column">
                  <wp:posOffset>224986</wp:posOffset>
                </wp:positionH>
                <wp:positionV relativeFrom="paragraph">
                  <wp:posOffset>1492250</wp:posOffset>
                </wp:positionV>
                <wp:extent cx="1045454" cy="1045454"/>
                <wp:effectExtent l="0" t="0" r="2540" b="2540"/>
                <wp:wrapNone/>
                <wp:docPr id="520" name="Oval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454" cy="1045454"/>
                        </a:xfrm>
                        <a:prstGeom prst="ellipse">
                          <a:avLst/>
                        </a:prstGeom>
                        <a:solidFill>
                          <a:srgbClr val="3073A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9EFACE" w14:textId="321C83AB" w:rsidR="002C3947" w:rsidRPr="009940A7" w:rsidRDefault="002C3947" w:rsidP="009940A7">
                            <w:pPr>
                              <w:jc w:val="center"/>
                              <w:rPr>
                                <w:rFonts w:asciiTheme="minorHAnsi" w:hAnsiTheme="minorHAnsi" w:cstheme="minorHAnsi"/>
                                <w:b/>
                                <w:bCs/>
                                <w:color w:val="FFFFFF" w:themeColor="background1"/>
                                <w:sz w:val="14"/>
                                <w:szCs w:val="14"/>
                              </w:rPr>
                            </w:pPr>
                            <w:r w:rsidRPr="009940A7">
                              <w:rPr>
                                <w:rFonts w:asciiTheme="minorHAnsi" w:hAnsiTheme="minorHAnsi" w:cstheme="minorHAnsi"/>
                                <w:b/>
                                <w:bCs/>
                                <w:color w:val="FFFFFF" w:themeColor="background1"/>
                                <w:sz w:val="18"/>
                                <w:szCs w:val="18"/>
                              </w:rPr>
                              <w:t>WHOLESALE ELECTRICITY MARKET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25B3C52" id="Oval 196" o:spid="_x0000_s1057" style="position:absolute;left:0;text-align:left;margin-left:17.7pt;margin-top:117.5pt;width:82.3pt;height:82.3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" fillcolor="#3073a0" stroked="f">
                <v:textbox inset="0,0,0,0">
                  <w:txbxContent>
                    <w:p w14:paraId="6C9EFACE" w14:textId="321C83AB" w:rsidR="002C3947" w:rsidRPr="009940A7" w:rsidRDefault="002C3947" w:rsidP="009940A7">
                      <w:pPr>
                        <w:jc w:val="center"/>
                        <w:rPr>
                          <w:rFonts w:asciiTheme="minorHAnsi" w:hAnsiTheme="minorHAnsi" w:cstheme="minorHAnsi"/>
                          <w:b/>
                          <w:bCs/>
                          <w:color w:val="FFFFFF" w:themeColor="background1"/>
                          <w:sz w:val="14"/>
                          <w:szCs w:val="14"/>
                        </w:rPr>
                      </w:pPr>
                      <w:r w:rsidRPr="009940A7">
                        <w:rPr>
                          <w:rFonts w:asciiTheme="minorHAnsi" w:hAnsiTheme="minorHAnsi" w:cstheme="minorHAnsi"/>
                          <w:b/>
                          <w:bCs/>
                          <w:color w:val="FFFFFF" w:themeColor="background1"/>
                          <w:sz w:val="18"/>
                          <w:szCs w:val="18"/>
                        </w:rPr>
                        <w:t>WHOLESALE ELECTRICITY MARKET</w:t>
                      </w:r>
                    </w:p>
                  </w:txbxContent>
                </v:textbox>
              </v:oval>
            </w:pict>
          </mc:Fallback>
        </mc:AlternateContent>
      </w:r>
      <w:r w:rsidR="009940A7" w:rsidRPr="00BD295E">
        <w:rPr>
          <w:rFonts w:ascii="Arial" w:hAnsi="Arial" w:cs="Arial"/>
          <w:sz w:val="18"/>
          <w:szCs w:val="18"/>
          <w:lang w:val="en-US" w:eastAsia="en-US"/>
        </w:rPr>
        <mc:AlternateContent>
          <mc:Choice Requires="wps">
            <w:drawing>
              <wp:anchor distT="0" distB="0" distL="114300" distR="114300" simplePos="0" relativeHeight="251721216" behindDoc="0" locked="0" layoutInCell="1" allowOverlap="1" wp14:anchorId="38A0DEF2" wp14:editId="4AA64F02">
                <wp:simplePos x="0" y="0"/>
                <wp:positionH relativeFrom="column">
                  <wp:posOffset>3025579</wp:posOffset>
                </wp:positionH>
                <wp:positionV relativeFrom="paragraph">
                  <wp:posOffset>3477260</wp:posOffset>
                </wp:positionV>
                <wp:extent cx="1045454" cy="1045454"/>
                <wp:effectExtent l="0" t="0" r="2540" b="2540"/>
                <wp:wrapNone/>
                <wp:docPr id="519" name="Oval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454" cy="1045454"/>
                        </a:xfrm>
                        <a:prstGeom prst="ellipse">
                          <a:avLst/>
                        </a:prstGeom>
                        <a:solidFill>
                          <a:srgbClr val="59B9DD"/>
                        </a:solidFill>
                        <a:ln>
                          <a:noFill/>
                        </a:ln>
                      </wps:spPr>
                      <wps:txbx>
                        <w:txbxContent>
                          <w:p w14:paraId="57A55305" w14:textId="7C6EBF27" w:rsidR="002C3947" w:rsidRDefault="002C3947" w:rsidP="009940A7">
                            <w:pPr>
                              <w:jc w:val="center"/>
                              <w:rPr>
                                <w:rFonts w:asciiTheme="minorHAnsi" w:hAnsiTheme="minorHAnsi" w:cstheme="minorHAnsi"/>
                                <w:b/>
                                <w:bCs/>
                                <w:color w:val="FFFFFF" w:themeColor="background1"/>
                                <w:sz w:val="18"/>
                                <w:szCs w:val="18"/>
                              </w:rPr>
                            </w:pPr>
                            <w:r w:rsidRPr="009940A7">
                              <w:rPr>
                                <w:rFonts w:asciiTheme="minorHAnsi" w:hAnsiTheme="minorHAnsi" w:cstheme="minorHAnsi"/>
                                <w:b/>
                                <w:bCs/>
                                <w:color w:val="FFFFFF" w:themeColor="background1"/>
                                <w:sz w:val="18"/>
                                <w:szCs w:val="18"/>
                              </w:rPr>
                              <w:t>ALLIED GRID ORGANIZA</w:t>
                            </w:r>
                            <w:r>
                              <w:rPr>
                                <w:rFonts w:asciiTheme="minorHAnsi" w:hAnsiTheme="minorHAnsi" w:cstheme="minorHAnsi"/>
                                <w:b/>
                                <w:bCs/>
                                <w:color w:val="FFFFFF" w:themeColor="background1"/>
                                <w:sz w:val="18"/>
                                <w:szCs w:val="18"/>
                                <w:lang w:val="ru-RU"/>
                              </w:rPr>
                              <w:t>-</w:t>
                            </w:r>
                            <w:r w:rsidRPr="009940A7">
                              <w:rPr>
                                <w:rFonts w:asciiTheme="minorHAnsi" w:hAnsiTheme="minorHAnsi" w:cstheme="minorHAnsi"/>
                                <w:b/>
                                <w:bCs/>
                                <w:color w:val="FFFFFF" w:themeColor="background1"/>
                                <w:sz w:val="18"/>
                                <w:szCs w:val="18"/>
                              </w:rPr>
                              <w:t>TIONS,</w:t>
                            </w:r>
                          </w:p>
                          <w:p w14:paraId="4172AE84" w14:textId="7D37903C" w:rsidR="002C3947" w:rsidRPr="009940A7" w:rsidRDefault="002C3947" w:rsidP="009940A7">
                            <w:pPr>
                              <w:jc w:val="center"/>
                              <w:rPr>
                                <w:rFonts w:asciiTheme="minorHAnsi" w:hAnsiTheme="minorHAnsi" w:cstheme="minorHAnsi"/>
                                <w:b/>
                                <w:bCs/>
                                <w:color w:val="FFFFFF" w:themeColor="background1"/>
                                <w:sz w:val="10"/>
                                <w:szCs w:val="10"/>
                              </w:rPr>
                            </w:pPr>
                            <w:r w:rsidRPr="009940A7">
                              <w:rPr>
                                <w:rFonts w:asciiTheme="minorHAnsi" w:hAnsiTheme="minorHAnsi" w:cstheme="minorHAnsi"/>
                                <w:b/>
                                <w:bCs/>
                                <w:color w:val="FFFFFF" w:themeColor="background1"/>
                                <w:sz w:val="14"/>
                                <w:szCs w:val="14"/>
                              </w:rPr>
                              <w:t>0.4-10 kV grids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8A0DEF2" id="_x0000_s1058" style="position:absolute;left:0;text-align:left;margin-left:238.25pt;margin-top:273.8pt;width:82.3pt;height:82.3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" fillcolor="#59b9dd" stroked="f">
                <v:textbox inset="0,0,0,0">
                  <w:txbxContent>
                    <w:p w14:paraId="57A55305" w14:textId="7C6EBF27" w:rsidR="002C3947" w:rsidRDefault="002C3947" w:rsidP="009940A7">
                      <w:pPr>
                        <w:jc w:val="center"/>
                        <w:rPr>
                          <w:rFonts w:asciiTheme="minorHAnsi" w:hAnsiTheme="minorHAnsi" w:cstheme="minorHAnsi"/>
                          <w:b/>
                          <w:bCs/>
                          <w:color w:val="FFFFFF" w:themeColor="background1"/>
                          <w:sz w:val="18"/>
                          <w:szCs w:val="18"/>
                        </w:rPr>
                      </w:pPr>
                      <w:r w:rsidRPr="009940A7">
                        <w:rPr>
                          <w:rFonts w:asciiTheme="minorHAnsi" w:hAnsiTheme="minorHAnsi" w:cstheme="minorHAnsi"/>
                          <w:b/>
                          <w:bCs/>
                          <w:color w:val="FFFFFF" w:themeColor="background1"/>
                          <w:sz w:val="18"/>
                          <w:szCs w:val="18"/>
                        </w:rPr>
                        <w:t>ALLIED GRID ORGANIZA</w:t>
                      </w:r>
                      <w:r>
                        <w:rPr>
                          <w:rFonts w:asciiTheme="minorHAnsi" w:hAnsiTheme="minorHAnsi" w:cstheme="minorHAnsi"/>
                          <w:b/>
                          <w:bCs/>
                          <w:color w:val="FFFFFF" w:themeColor="background1"/>
                          <w:sz w:val="18"/>
                          <w:szCs w:val="18"/>
                          <w:lang w:val="ru-RU"/>
                        </w:rPr>
                        <w:t>-</w:t>
                      </w:r>
                      <w:r w:rsidRPr="009940A7">
                        <w:rPr>
                          <w:rFonts w:asciiTheme="minorHAnsi" w:hAnsiTheme="minorHAnsi" w:cstheme="minorHAnsi"/>
                          <w:b/>
                          <w:bCs/>
                          <w:color w:val="FFFFFF" w:themeColor="background1"/>
                          <w:sz w:val="18"/>
                          <w:szCs w:val="18"/>
                        </w:rPr>
                        <w:t>TIONS,</w:t>
                      </w:r>
                    </w:p>
                    <w:p w14:paraId="4172AE84" w14:textId="7D37903C" w:rsidR="002C3947" w:rsidRPr="009940A7" w:rsidRDefault="002C3947" w:rsidP="009940A7">
                      <w:pPr>
                        <w:jc w:val="center"/>
                        <w:rPr>
                          <w:rFonts w:asciiTheme="minorHAnsi" w:hAnsiTheme="minorHAnsi" w:cstheme="minorHAnsi"/>
                          <w:b/>
                          <w:bCs/>
                          <w:color w:val="FFFFFF" w:themeColor="background1"/>
                          <w:sz w:val="10"/>
                          <w:szCs w:val="10"/>
                        </w:rPr>
                      </w:pPr>
                      <w:r w:rsidRPr="009940A7">
                        <w:rPr>
                          <w:rFonts w:asciiTheme="minorHAnsi" w:hAnsiTheme="minorHAnsi" w:cstheme="minorHAnsi"/>
                          <w:b/>
                          <w:bCs/>
                          <w:color w:val="FFFFFF" w:themeColor="background1"/>
                          <w:sz w:val="14"/>
                          <w:szCs w:val="14"/>
                        </w:rPr>
                        <w:t>0.4-10 kV grids</w:t>
                      </w:r>
                    </w:p>
                  </w:txbxContent>
                </v:textbox>
              </v:oval>
            </w:pict>
          </mc:Fallback>
        </mc:AlternateContent>
      </w:r>
      <w:r w:rsidR="009940A7" w:rsidRPr="00BD295E">
        <w:rPr>
          <w:rFonts w:ascii="Arial" w:hAnsi="Arial" w:cs="Arial"/>
          <w:sz w:val="18"/>
          <w:szCs w:val="18"/>
          <w:lang w:val="en-US" w:eastAsia="en-US"/>
        </w:rPr>
        <mc:AlternateContent>
          <mc:Choice Requires="wps">
            <w:drawing>
              <wp:anchor distT="0" distB="0" distL="114300" distR="114300" simplePos="0" relativeHeight="251719168" behindDoc="0" locked="0" layoutInCell="1" allowOverlap="1" wp14:anchorId="189212BF" wp14:editId="37480006">
                <wp:simplePos x="0" y="0"/>
                <wp:positionH relativeFrom="column">
                  <wp:posOffset>897451</wp:posOffset>
                </wp:positionH>
                <wp:positionV relativeFrom="paragraph">
                  <wp:posOffset>3481705</wp:posOffset>
                </wp:positionV>
                <wp:extent cx="1045454" cy="1045454"/>
                <wp:effectExtent l="0" t="0" r="2540" b="2540"/>
                <wp:wrapNone/>
                <wp:docPr id="518" name="Oval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454" cy="1045454"/>
                        </a:xfrm>
                        <a:prstGeom prst="ellipse">
                          <a:avLst/>
                        </a:prstGeom>
                        <a:solidFill>
                          <a:srgbClr val="3073A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7E428E1" w14:textId="6035B035" w:rsidR="002C3947" w:rsidRDefault="002C3947" w:rsidP="009940A7">
                            <w:pPr>
                              <w:jc w:val="center"/>
                              <w:rPr>
                                <w:rFonts w:asciiTheme="minorHAnsi" w:hAnsiTheme="minorHAnsi" w:cstheme="minorHAnsi"/>
                                <w:b/>
                                <w:bCs/>
                                <w:color w:val="FFFFFF" w:themeColor="background1"/>
                                <w:sz w:val="18"/>
                                <w:szCs w:val="18"/>
                              </w:rPr>
                            </w:pPr>
                            <w:r w:rsidRPr="009940A7">
                              <w:rPr>
                                <w:rFonts w:asciiTheme="minorHAnsi" w:hAnsiTheme="minorHAnsi" w:cstheme="minorHAnsi"/>
                                <w:b/>
                                <w:bCs/>
                                <w:color w:val="FFFFFF" w:themeColor="background1"/>
                                <w:sz w:val="18"/>
                                <w:szCs w:val="18"/>
                              </w:rPr>
                              <w:t>TRANSMIS</w:t>
                            </w:r>
                            <w:r>
                              <w:rPr>
                                <w:rFonts w:asciiTheme="minorHAnsi" w:hAnsiTheme="minorHAnsi" w:cstheme="minorHAnsi"/>
                                <w:b/>
                                <w:bCs/>
                                <w:color w:val="FFFFFF" w:themeColor="background1"/>
                                <w:sz w:val="18"/>
                                <w:szCs w:val="18"/>
                                <w:lang w:val="ru-RU"/>
                              </w:rPr>
                              <w:t>-</w:t>
                            </w:r>
                            <w:r w:rsidRPr="009940A7">
                              <w:rPr>
                                <w:rFonts w:asciiTheme="minorHAnsi" w:hAnsiTheme="minorHAnsi" w:cstheme="minorHAnsi"/>
                                <w:b/>
                                <w:bCs/>
                                <w:color w:val="FFFFFF" w:themeColor="background1"/>
                                <w:sz w:val="18"/>
                                <w:szCs w:val="18"/>
                              </w:rPr>
                              <w:t>SION GRIDS (FGC UES),</w:t>
                            </w:r>
                          </w:p>
                          <w:p w14:paraId="7DDE9091" w14:textId="10B3AC42" w:rsidR="002C3947" w:rsidRPr="009940A7" w:rsidRDefault="002C3947" w:rsidP="009940A7">
                            <w:pPr>
                              <w:jc w:val="center"/>
                              <w:rPr>
                                <w:rFonts w:asciiTheme="minorHAnsi" w:hAnsiTheme="minorHAnsi" w:cstheme="minorHAnsi"/>
                                <w:b/>
                                <w:bCs/>
                                <w:color w:val="FFFFFF" w:themeColor="background1"/>
                                <w:sz w:val="14"/>
                                <w:szCs w:val="14"/>
                              </w:rPr>
                            </w:pPr>
                            <w:r w:rsidRPr="009940A7">
                              <w:rPr>
                                <w:rFonts w:asciiTheme="minorHAnsi" w:hAnsiTheme="minorHAnsi" w:cstheme="minorHAnsi"/>
                                <w:b/>
                                <w:bCs/>
                                <w:color w:val="FFFFFF" w:themeColor="background1"/>
                                <w:sz w:val="14"/>
                                <w:szCs w:val="14"/>
                              </w:rPr>
                              <w:t>220+ kV grids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89212BF" id="_x0000_s1059" style="position:absolute;left:0;text-align:left;margin-left:70.65pt;margin-top:274.15pt;width:82.3pt;height:82.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" fillcolor="#3073a0" stroked="f">
                <v:textbox inset="0,0,0,0">
                  <w:txbxContent>
                    <w:p w14:paraId="57E428E1" w14:textId="6035B035" w:rsidR="002C3947" w:rsidRDefault="002C3947" w:rsidP="009940A7">
                      <w:pPr>
                        <w:jc w:val="center"/>
                        <w:rPr>
                          <w:rFonts w:asciiTheme="minorHAnsi" w:hAnsiTheme="minorHAnsi" w:cstheme="minorHAnsi"/>
                          <w:b/>
                          <w:bCs/>
                          <w:color w:val="FFFFFF" w:themeColor="background1"/>
                          <w:sz w:val="18"/>
                          <w:szCs w:val="18"/>
                        </w:rPr>
                      </w:pPr>
                      <w:r w:rsidRPr="009940A7">
                        <w:rPr>
                          <w:rFonts w:asciiTheme="minorHAnsi" w:hAnsiTheme="minorHAnsi" w:cstheme="minorHAnsi"/>
                          <w:b/>
                          <w:bCs/>
                          <w:color w:val="FFFFFF" w:themeColor="background1"/>
                          <w:sz w:val="18"/>
                          <w:szCs w:val="18"/>
                        </w:rPr>
                        <w:t>TRANSMIS</w:t>
                      </w:r>
                      <w:r>
                        <w:rPr>
                          <w:rFonts w:asciiTheme="minorHAnsi" w:hAnsiTheme="minorHAnsi" w:cstheme="minorHAnsi"/>
                          <w:b/>
                          <w:bCs/>
                          <w:color w:val="FFFFFF" w:themeColor="background1"/>
                          <w:sz w:val="18"/>
                          <w:szCs w:val="18"/>
                          <w:lang w:val="ru-RU"/>
                        </w:rPr>
                        <w:t>-</w:t>
                      </w:r>
                      <w:r w:rsidRPr="009940A7">
                        <w:rPr>
                          <w:rFonts w:asciiTheme="minorHAnsi" w:hAnsiTheme="minorHAnsi" w:cstheme="minorHAnsi"/>
                          <w:b/>
                          <w:bCs/>
                          <w:color w:val="FFFFFF" w:themeColor="background1"/>
                          <w:sz w:val="18"/>
                          <w:szCs w:val="18"/>
                        </w:rPr>
                        <w:t>SION GRIDS (FGC UES),</w:t>
                      </w:r>
                    </w:p>
                    <w:p w14:paraId="7DDE9091" w14:textId="10B3AC42" w:rsidR="002C3947" w:rsidRPr="009940A7" w:rsidRDefault="002C3947" w:rsidP="009940A7">
                      <w:pPr>
                        <w:jc w:val="center"/>
                        <w:rPr>
                          <w:rFonts w:asciiTheme="minorHAnsi" w:hAnsiTheme="minorHAnsi" w:cstheme="minorHAnsi"/>
                          <w:b/>
                          <w:bCs/>
                          <w:color w:val="FFFFFF" w:themeColor="background1"/>
                          <w:sz w:val="14"/>
                          <w:szCs w:val="14"/>
                        </w:rPr>
                      </w:pPr>
                      <w:r w:rsidRPr="009940A7">
                        <w:rPr>
                          <w:rFonts w:asciiTheme="minorHAnsi" w:hAnsiTheme="minorHAnsi" w:cstheme="minorHAnsi"/>
                          <w:b/>
                          <w:bCs/>
                          <w:color w:val="FFFFFF" w:themeColor="background1"/>
                          <w:sz w:val="14"/>
                          <w:szCs w:val="14"/>
                        </w:rPr>
                        <w:t>220+ kV grids</w:t>
                      </w:r>
                    </w:p>
                  </w:txbxContent>
                </v:textbox>
              </v:oval>
            </w:pict>
          </mc:Fallback>
        </mc:AlternateContent>
      </w:r>
      <w:r w:rsidR="009940A7" w:rsidRPr="00BD295E">
        <w:rPr>
          <w:rFonts w:ascii="Arial" w:hAnsi="Arial" w:cs="Arial"/>
          <w:sz w:val="18"/>
          <w:szCs w:val="18"/>
          <w:lang w:val="en-US" w:eastAsia="en-US"/>
        </w:rPr>
        <mc:AlternateContent>
          <mc:Choice Requires="wps">
            <w:drawing>
              <wp:anchor distT="0" distB="0" distL="114300" distR="114300" simplePos="0" relativeHeight="251717120" behindDoc="0" locked="0" layoutInCell="1" allowOverlap="1" wp14:anchorId="2F3A3CB5" wp14:editId="70D26A62">
                <wp:simplePos x="0" y="0"/>
                <wp:positionH relativeFrom="column">
                  <wp:posOffset>1894840</wp:posOffset>
                </wp:positionH>
                <wp:positionV relativeFrom="paragraph">
                  <wp:posOffset>1942026</wp:posOffset>
                </wp:positionV>
                <wp:extent cx="1188422" cy="1188422"/>
                <wp:effectExtent l="0" t="0" r="0" b="0"/>
                <wp:wrapNone/>
                <wp:docPr id="517" name="Oval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422" cy="1188422"/>
                        </a:xfrm>
                        <a:prstGeom prst="ellipse">
                          <a:avLst/>
                        </a:prstGeom>
                        <a:solidFill>
                          <a:srgbClr val="59B9DD"/>
                        </a:solidFill>
                        <a:ln>
                          <a:noFill/>
                        </a:ln>
                      </wps:spPr>
                      <wps:txbx>
                        <w:txbxContent>
                          <w:p w14:paraId="7DED6AFB" w14:textId="2CDF8012" w:rsidR="002C3947" w:rsidRPr="009940A7" w:rsidRDefault="002C3947" w:rsidP="009940A7">
                            <w:pPr>
                              <w:jc w:val="center"/>
                              <w:rPr>
                                <w:rFonts w:asciiTheme="minorHAnsi" w:hAnsiTheme="minorHAnsi" w:cstheme="minorHAnsi"/>
                                <w:b/>
                                <w:bCs/>
                                <w:color w:val="FFFFFF" w:themeColor="background1"/>
                                <w:sz w:val="14"/>
                                <w:szCs w:val="14"/>
                              </w:rPr>
                            </w:pPr>
                            <w:r w:rsidRPr="009940A7">
                              <w:rPr>
                                <w:rFonts w:asciiTheme="minorHAnsi" w:hAnsiTheme="minorHAnsi" w:cstheme="minorHAnsi"/>
                                <w:b/>
                                <w:bCs/>
                                <w:color w:val="FFFFFF" w:themeColor="background1"/>
                                <w:sz w:val="18"/>
                                <w:szCs w:val="18"/>
                              </w:rPr>
                              <w:t xml:space="preserve">DISTRIBUTION GRID COMPANY PJSC “LENENERGO”, </w:t>
                            </w:r>
                            <w:r w:rsidRPr="009940A7">
                              <w:rPr>
                                <w:rFonts w:asciiTheme="minorHAnsi" w:hAnsiTheme="minorHAnsi" w:cstheme="minorHAnsi"/>
                                <w:b/>
                                <w:bCs/>
                                <w:color w:val="FFFFFF" w:themeColor="background1"/>
                                <w:sz w:val="14"/>
                                <w:szCs w:val="14"/>
                              </w:rPr>
                              <w:t>0.4-110 kV grids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F3A3CB5" id="_x0000_s1060" style="position:absolute;left:0;text-align:left;margin-left:149.2pt;margin-top:152.9pt;width:93.6pt;height:93.6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" fillcolor="#59b9dd" stroked="f">
                <v:textbox inset="0,0,0,0">
                  <w:txbxContent>
                    <w:p w14:paraId="7DED6AFB" w14:textId="2CDF8012" w:rsidR="002C3947" w:rsidRPr="009940A7" w:rsidRDefault="002C3947" w:rsidP="009940A7">
                      <w:pPr>
                        <w:jc w:val="center"/>
                        <w:rPr>
                          <w:rFonts w:asciiTheme="minorHAnsi" w:hAnsiTheme="minorHAnsi" w:cstheme="minorHAnsi"/>
                          <w:b/>
                          <w:bCs/>
                          <w:color w:val="FFFFFF" w:themeColor="background1"/>
                          <w:sz w:val="14"/>
                          <w:szCs w:val="14"/>
                        </w:rPr>
                      </w:pPr>
                      <w:r w:rsidRPr="009940A7">
                        <w:rPr>
                          <w:rFonts w:asciiTheme="minorHAnsi" w:hAnsiTheme="minorHAnsi" w:cstheme="minorHAnsi"/>
                          <w:b/>
                          <w:bCs/>
                          <w:color w:val="FFFFFF" w:themeColor="background1"/>
                          <w:sz w:val="18"/>
                          <w:szCs w:val="18"/>
                        </w:rPr>
                        <w:t xml:space="preserve">DISTRIBUTION GRID COMPANY PJSC “LENENERGO”, </w:t>
                      </w:r>
                      <w:r w:rsidRPr="009940A7">
                        <w:rPr>
                          <w:rFonts w:asciiTheme="minorHAnsi" w:hAnsiTheme="minorHAnsi" w:cstheme="minorHAnsi"/>
                          <w:b/>
                          <w:bCs/>
                          <w:color w:val="FFFFFF" w:themeColor="background1"/>
                          <w:sz w:val="14"/>
                          <w:szCs w:val="14"/>
                        </w:rPr>
                        <w:t>0.4-110 kV grids</w:t>
                      </w:r>
                    </w:p>
                  </w:txbxContent>
                </v:textbox>
              </v:oval>
            </w:pict>
          </mc:Fallback>
        </mc:AlternateContent>
      </w:r>
      <w:r w:rsidR="009940A7" w:rsidRPr="00BD295E">
        <w:rPr>
          <w:rFonts w:ascii="Arial" w:hAnsi="Arial" w:cs="Arial"/>
          <w:sz w:val="18"/>
          <w:szCs w:val="18"/>
          <w:lang w:val="en-US" w:eastAsia="en-US"/>
        </w:rPr>
        <mc:AlternateContent>
          <mc:Choice Requires="wps">
            <w:drawing>
              <wp:anchor distT="0" distB="0" distL="114300" distR="114300" simplePos="0" relativeHeight="251715072" behindDoc="0" locked="0" layoutInCell="1" allowOverlap="1" wp14:anchorId="53FD9E45" wp14:editId="2C6ED392">
                <wp:simplePos x="0" y="0"/>
                <wp:positionH relativeFrom="column">
                  <wp:posOffset>3708400</wp:posOffset>
                </wp:positionH>
                <wp:positionV relativeFrom="paragraph">
                  <wp:posOffset>1509834</wp:posOffset>
                </wp:positionV>
                <wp:extent cx="1018540" cy="1018540"/>
                <wp:effectExtent l="0" t="0" r="0" b="0"/>
                <wp:wrapNone/>
                <wp:docPr id="516" name="Oval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8540" cy="1018540"/>
                        </a:xfrm>
                        <a:prstGeom prst="ellipse">
                          <a:avLst/>
                        </a:prstGeom>
                        <a:solidFill>
                          <a:srgbClr val="8F9BA3"/>
                        </a:solidFill>
                        <a:ln>
                          <a:noFill/>
                        </a:ln>
                      </wps:spPr>
                      <wps:txbx>
                        <w:txbxContent>
                          <w:p w14:paraId="362A00C4" w14:textId="12645E6C" w:rsidR="002C3947" w:rsidRPr="009940A7" w:rsidRDefault="002C3947" w:rsidP="009940A7">
                            <w:pPr>
                              <w:jc w:val="center"/>
                              <w:rPr>
                                <w:rFonts w:asciiTheme="minorHAnsi" w:hAnsiTheme="minorHAnsi" w:cstheme="minorHAnsi"/>
                                <w:b/>
                                <w:bCs/>
                                <w:color w:val="FFFFFF" w:themeColor="background1"/>
                                <w:sz w:val="18"/>
                                <w:szCs w:val="18"/>
                              </w:rPr>
                            </w:pPr>
                            <w:r w:rsidRPr="009940A7">
                              <w:rPr>
                                <w:rFonts w:asciiTheme="minorHAnsi" w:hAnsiTheme="minorHAnsi" w:cstheme="minorHAnsi"/>
                                <w:b/>
                                <w:bCs/>
                                <w:color w:val="FFFFFF" w:themeColor="background1"/>
                                <w:sz w:val="18"/>
                                <w:szCs w:val="18"/>
                              </w:rPr>
                              <w:t>END CONSUMERS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3FD9E45" id="_x0000_s1061" style="position:absolute;left:0;text-align:left;margin-left:292pt;margin-top:118.9pt;width:80.2pt;height:80.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" fillcolor="#8f9ba3" stroked="f">
                <v:textbox inset="0,0,0,0">
                  <w:txbxContent>
                    <w:p w14:paraId="362A00C4" w14:textId="12645E6C" w:rsidR="002C3947" w:rsidRPr="009940A7" w:rsidRDefault="002C3947" w:rsidP="009940A7">
                      <w:pPr>
                        <w:jc w:val="center"/>
                        <w:rPr>
                          <w:rFonts w:asciiTheme="minorHAnsi" w:hAnsiTheme="minorHAnsi" w:cstheme="minorHAnsi"/>
                          <w:b/>
                          <w:bCs/>
                          <w:color w:val="FFFFFF" w:themeColor="background1"/>
                          <w:sz w:val="18"/>
                          <w:szCs w:val="18"/>
                        </w:rPr>
                      </w:pPr>
                      <w:r w:rsidRPr="009940A7">
                        <w:rPr>
                          <w:rFonts w:asciiTheme="minorHAnsi" w:hAnsiTheme="minorHAnsi" w:cstheme="minorHAnsi"/>
                          <w:b/>
                          <w:bCs/>
                          <w:color w:val="FFFFFF" w:themeColor="background1"/>
                          <w:sz w:val="18"/>
                          <w:szCs w:val="18"/>
                        </w:rPr>
                        <w:t>END CONSUMERS</w:t>
                      </w:r>
                    </w:p>
                  </w:txbxContent>
                </v:textbox>
              </v:oval>
            </w:pict>
          </mc:Fallback>
        </mc:AlternateContent>
      </w:r>
      <w:r w:rsidR="00997D07" w:rsidRPr="00BD295E">
        <w:rPr>
          <w:rFonts w:ascii="Arial" w:hAnsi="Arial" w:cs="Arial"/>
          <w:sz w:val="18"/>
          <w:szCs w:val="18"/>
          <w:lang w:val="en-US" w:eastAsia="en-US"/>
        </w:rPr>
        <mc:AlternateContent>
          <mc:Choice Requires="wps">
            <w:drawing>
              <wp:anchor distT="0" distB="0" distL="114300" distR="114300" simplePos="0" relativeHeight="251713024" behindDoc="0" locked="0" layoutInCell="1" allowOverlap="1" wp14:anchorId="15FC5121" wp14:editId="72D5F88C">
                <wp:simplePos x="0" y="0"/>
                <wp:positionH relativeFrom="column">
                  <wp:posOffset>1973141</wp:posOffset>
                </wp:positionH>
                <wp:positionV relativeFrom="paragraph">
                  <wp:posOffset>254000</wp:posOffset>
                </wp:positionV>
                <wp:extent cx="1018540" cy="1018540"/>
                <wp:effectExtent l="0" t="0" r="0" b="0"/>
                <wp:wrapNone/>
                <wp:docPr id="115" name="Oval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8540" cy="1018540"/>
                        </a:xfrm>
                        <a:prstGeom prst="ellipse">
                          <a:avLst/>
                        </a:prstGeom>
                        <a:solidFill>
                          <a:srgbClr val="3073A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0708BCB" w14:textId="727521AB" w:rsidR="002C3947" w:rsidRPr="009940A7" w:rsidRDefault="002C3947" w:rsidP="00997D07">
                            <w:pPr>
                              <w:jc w:val="center"/>
                              <w:rPr>
                                <w:rFonts w:asciiTheme="minorHAnsi" w:hAnsiTheme="minorHAnsi" w:cstheme="minorHAnsi"/>
                                <w:b/>
                                <w:bCs/>
                                <w:color w:val="FFFFFF" w:themeColor="background1"/>
                                <w:sz w:val="18"/>
                                <w:szCs w:val="18"/>
                              </w:rPr>
                            </w:pPr>
                            <w:r w:rsidRPr="009940A7">
                              <w:rPr>
                                <w:rFonts w:asciiTheme="minorHAnsi" w:hAnsiTheme="minorHAnsi" w:cstheme="minorHAnsi"/>
                                <w:b/>
                                <w:bCs/>
                                <w:color w:val="FFFFFF" w:themeColor="background1"/>
                                <w:sz w:val="18"/>
                                <w:szCs w:val="18"/>
                              </w:rPr>
                              <w:t>ENERGY RETAILERS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5FC5121" id="_x0000_s1062" style="position:absolute;left:0;text-align:left;margin-left:155.35pt;margin-top:20pt;width:80.2pt;height:80.2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" fillcolor="#3073a0" stroked="f">
                <v:textbox>
                  <w:txbxContent>
                    <w:p w14:paraId="00708BCB" w14:textId="727521AB" w:rsidR="002C3947" w:rsidRPr="009940A7" w:rsidRDefault="002C3947" w:rsidP="00997D07">
                      <w:pPr>
                        <w:jc w:val="center"/>
                        <w:rPr>
                          <w:rFonts w:asciiTheme="minorHAnsi" w:hAnsiTheme="minorHAnsi" w:cstheme="minorHAnsi"/>
                          <w:b/>
                          <w:bCs/>
                          <w:color w:val="FFFFFF" w:themeColor="background1"/>
                          <w:sz w:val="18"/>
                          <w:szCs w:val="18"/>
                        </w:rPr>
                      </w:pPr>
                      <w:r w:rsidRPr="009940A7">
                        <w:rPr>
                          <w:rFonts w:asciiTheme="minorHAnsi" w:hAnsiTheme="minorHAnsi" w:cstheme="minorHAnsi"/>
                          <w:b/>
                          <w:bCs/>
                          <w:color w:val="FFFFFF" w:themeColor="background1"/>
                          <w:sz w:val="18"/>
                          <w:szCs w:val="18"/>
                        </w:rPr>
                        <w:t>ENERGY RETAILERS</w:t>
                      </w:r>
                    </w:p>
                  </w:txbxContent>
                </v:textbox>
              </v:oval>
            </w:pict>
          </mc:Fallback>
        </mc:AlternateContent>
      </w:r>
      <w:r w:rsidR="00997D07" w:rsidRPr="00BD295E">
        <w:rPr>
          <w:rFonts w:ascii="Arial" w:hAnsi="Arial" w:cs="Arial"/>
          <w:sz w:val="18"/>
          <w:szCs w:val="18"/>
          <w:lang w:val="en-US" w:eastAsia="en-US"/>
        </w:rPr>
        <w:drawing>
          <wp:inline distT="0" distB="0" distL="0" distR="0" wp14:anchorId="3D046552" wp14:editId="0F66EC71">
            <wp:extent cx="5076825" cy="5120005"/>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32">
                      <a:extLst>
                        <a:ext uri="{28A0092B-C50C-407E-A947-70E740481C1C}">
                          <a14:useLocalDpi xmlns:a14="http://schemas.microsoft.com/office/drawing/2010/main" val="0"/>
                        </a:ext>
                      </a:extLst>
                    </a:blip>
                    <a:srcRect l="6635" t="14429" r="5591" b="4630"/>
                    <a:stretch>
                      <a:fillRect/>
                    </a:stretch>
                  </pic:blipFill>
                  <pic:spPr bwMode="auto">
                    <a:xfrm>
                      <a:off x="0" y="0"/>
                      <a:ext cx="5076825" cy="5120005"/>
                    </a:xfrm>
                    <a:prstGeom prst="rect">
                      <a:avLst/>
                    </a:prstGeom>
                    <a:noFill/>
                    <a:ln>
                      <a:noFill/>
                    </a:ln>
                  </pic:spPr>
                </pic:pic>
              </a:graphicData>
            </a:graphic>
          </wp:inline>
        </w:drawing>
      </w:r>
      <w:r w:rsidR="00997D07" w:rsidRPr="00BD295E">
        <w:rPr>
          <w:lang w:val="en-US" w:eastAsia="en-US"/>
        </w:rPr>
        <mc:AlternateContent>
          <mc:Choice Requires="wps">
            <w:drawing>
              <wp:anchor distT="45720" distB="45720" distL="114300" distR="114300" simplePos="0" relativeHeight="251712000" behindDoc="0" locked="0" layoutInCell="1" allowOverlap="1" wp14:anchorId="536A2861" wp14:editId="0AE10604">
                <wp:simplePos x="0" y="0"/>
                <wp:positionH relativeFrom="column">
                  <wp:posOffset>-50800</wp:posOffset>
                </wp:positionH>
                <wp:positionV relativeFrom="paragraph">
                  <wp:posOffset>788035</wp:posOffset>
                </wp:positionV>
                <wp:extent cx="1017905" cy="190500"/>
                <wp:effectExtent l="0" t="0" r="0" b="0"/>
                <wp:wrapNone/>
                <wp:docPr id="1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190500"/>
                        </a:xfrm>
                        <a:prstGeom prst="rect">
                          <a:avLst/>
                        </a:prstGeom>
                        <a:solidFill>
                          <a:sysClr val="window" lastClr="FFFFFF"/>
                        </a:solidFill>
                        <a:ln w="9525">
                          <a:noFill/>
                          <a:miter lim="800000"/>
                          <a:headEnd/>
                          <a:tailEnd/>
                        </a:ln>
                      </wps:spPr>
                      <wps:txbx>
                        <w:txbxContent>
                          <w:p w14:paraId="4338A0A6" w14:textId="77777777" w:rsidR="002C3947" w:rsidRPr="00CC44B5" w:rsidRDefault="002C3947">
                            <w:pPr>
                              <w:rPr>
                                <w:rFonts w:ascii="Arial" w:hAnsi="Arial" w:cs="Arial"/>
                                <w:sz w:val="16"/>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36A2861" id="_x0000_s1063" type="#_x0000_t202" style="position:absolute;left:0;text-align:left;margin-left:-4pt;margin-top:62.05pt;width:80.15pt;height:15pt;z-index:2517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" fillcolor="window" stroked="f">
                <v:textbox inset="0,0,0,0">
                  <w:txbxContent>
                    <w:p w14:paraId="4338A0A6" w14:textId="77777777" w:rsidR="002C3947" w:rsidRPr="00CC44B5" w:rsidRDefault="002C3947">
                      <w:pPr>
                        <w:rPr>
                          <w:rFonts w:ascii="Arial" w:hAnsi="Arial" w:cs="Arial"/>
                          <w:sz w:val="16"/>
                        </w:rPr>
                      </w:pPr>
                    </w:p>
                  </w:txbxContent>
                </v:textbox>
              </v:shape>
            </w:pict>
          </mc:Fallback>
        </mc:AlternateContent>
      </w:r>
    </w:p>
    <w:p w14:paraId="2B6C2ED5" w14:textId="77777777" w:rsidR="003F6DA4"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 xml:space="preserve">The major generating companies in Saint Petersburg and the Leningrad Region include: TGC-1, PJSC; Leningradskaya NPP; OGK-6, PJSC; S-3 GRES, etc. </w:t>
      </w:r>
    </w:p>
    <w:p w14:paraId="704D73A6" w14:textId="3D7EB3E8" w:rsidR="003F6DA4"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 xml:space="preserve">Electricity is supplied to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from Electricity Transmission Grid Company of North-West (a branch of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w:t>
      </w:r>
      <w:r w:rsidRPr="00BD295E">
        <w:rPr>
          <w:rFonts w:ascii="Arial" w:hAnsi="Arial" w:cs="Arial"/>
          <w:sz w:val="18"/>
          <w:szCs w:val="18"/>
          <w:lang w:val="en-US"/>
        </w:rPr>
        <w:t xml:space="preserve"> and directly from generating companies. Electricity transmission services are provided to guaranteeing suppliers, independent energy retailers, and direct consumers operating in the wholesale electricity market. Major consumers include the following power sales companies: Petersburg Power Sales Company, JSC (75.7%), RUSENERGOSBYT, LLC (6.5%), RKS-Energo, LLC (7.9%).</w:t>
      </w:r>
    </w:p>
    <w:p w14:paraId="665A9213" w14:textId="77777777" w:rsidR="003F6DA4"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 xml:space="preserve">To meet its obligations to supply electricity to consumers in the region, Lenenergo Group uses the services of 27 related grid organizations. The largest TGO in the Company’s operating region is LOESK, JSC operating in the Leningrad Region. </w:t>
      </w:r>
    </w:p>
    <w:p w14:paraId="3BA2DCF6" w14:textId="77777777" w:rsidR="003F6DA4" w:rsidRPr="00BD295E" w:rsidRDefault="003F6DA4" w:rsidP="00272EC7">
      <w:pPr>
        <w:jc w:val="both"/>
        <w:rPr>
          <w:rFonts w:ascii="Arial" w:hAnsi="Arial" w:cs="Arial"/>
          <w:b/>
          <w:sz w:val="18"/>
          <w:szCs w:val="18"/>
          <w:lang w:val="en-US"/>
        </w:rPr>
      </w:pPr>
    </w:p>
    <w:p w14:paraId="72039F15" w14:textId="77777777" w:rsidR="003F6DA4" w:rsidRPr="00BD295E" w:rsidRDefault="008A5057" w:rsidP="00272EC7">
      <w:pPr>
        <w:jc w:val="both"/>
        <w:rPr>
          <w:rFonts w:ascii="Arial" w:hAnsi="Arial" w:cs="Arial"/>
          <w:b/>
          <w:sz w:val="18"/>
          <w:szCs w:val="18"/>
          <w:lang w:val="en-US"/>
        </w:rPr>
      </w:pPr>
      <w:r w:rsidRPr="00BD295E">
        <w:rPr>
          <w:rFonts w:ascii="Arial" w:hAnsi="Arial" w:cs="Arial"/>
          <w:b/>
          <w:sz w:val="18"/>
          <w:szCs w:val="18"/>
          <w:lang w:val="en-US"/>
        </w:rPr>
        <w:t xml:space="preserve">Market share of </w:t>
      </w:r>
      <w:r w:rsidR="00EE5753" w:rsidRPr="00BD295E">
        <w:rPr>
          <w:rFonts w:ascii="Arial" w:hAnsi="Arial" w:cs="Arial"/>
          <w:b/>
          <w:sz w:val="18"/>
          <w:szCs w:val="18"/>
          <w:lang w:val="en-US"/>
        </w:rPr>
        <w:t>PJSC “LENENERGO”</w:t>
      </w:r>
    </w:p>
    <w:p w14:paraId="0FFAE10B" w14:textId="77777777" w:rsidR="003F6DA4" w:rsidRPr="00BD295E" w:rsidRDefault="003F6DA4" w:rsidP="00272EC7">
      <w:pPr>
        <w:jc w:val="both"/>
        <w:rPr>
          <w:rFonts w:ascii="Arial" w:hAnsi="Arial" w:cs="Arial"/>
          <w:sz w:val="18"/>
          <w:szCs w:val="18"/>
          <w:lang w:val="en-US"/>
        </w:rPr>
      </w:pPr>
    </w:p>
    <w:p w14:paraId="26981294" w14:textId="77777777" w:rsidR="00162DD0"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The share of Lenenergo’s electricity distribution in the total electricity consumption by internal consumers of energy retailers operating in Saint Petersburg and the Leningrad Region, including consumers directly connected to electricity facilities of generating companies, for the last three years is shown below:</w:t>
      </w:r>
    </w:p>
    <w:p w14:paraId="330D785B" w14:textId="77777777" w:rsidR="00162DD0" w:rsidRPr="00BD295E" w:rsidRDefault="008A5057" w:rsidP="00162DD0">
      <w:pPr>
        <w:ind w:firstLine="709"/>
        <w:jc w:val="both"/>
        <w:rPr>
          <w:rFonts w:ascii="Arial" w:hAnsi="Arial" w:cs="Arial"/>
          <w:sz w:val="18"/>
          <w:szCs w:val="18"/>
          <w:lang w:val="en-US"/>
        </w:rPr>
      </w:pPr>
      <w:r w:rsidRPr="00BD295E">
        <w:rPr>
          <w:rFonts w:ascii="Arial" w:hAnsi="Arial" w:cs="Arial"/>
          <w:sz w:val="18"/>
          <w:szCs w:val="18"/>
          <w:lang w:val="en-US"/>
        </w:rPr>
        <w:t>– 2016 70.0 %.</w:t>
      </w:r>
    </w:p>
    <w:p w14:paraId="26CF0491" w14:textId="77777777" w:rsidR="00162DD0" w:rsidRPr="00BD295E" w:rsidRDefault="008A5057" w:rsidP="00162DD0">
      <w:pPr>
        <w:ind w:firstLine="709"/>
        <w:jc w:val="both"/>
        <w:rPr>
          <w:rFonts w:ascii="Arial" w:hAnsi="Arial" w:cs="Arial"/>
          <w:sz w:val="18"/>
          <w:szCs w:val="18"/>
          <w:lang w:val="en-US"/>
        </w:rPr>
      </w:pPr>
      <w:r w:rsidRPr="00BD295E">
        <w:rPr>
          <w:rFonts w:ascii="Arial" w:hAnsi="Arial" w:cs="Arial"/>
          <w:sz w:val="18"/>
          <w:szCs w:val="18"/>
          <w:lang w:val="en-US"/>
        </w:rPr>
        <w:t>– 2017 72.6%.</w:t>
      </w:r>
    </w:p>
    <w:p w14:paraId="6EEEE96B" w14:textId="77777777" w:rsidR="00162DD0" w:rsidRPr="00BD295E" w:rsidRDefault="008A5057" w:rsidP="00162DD0">
      <w:pPr>
        <w:ind w:firstLine="709"/>
        <w:jc w:val="both"/>
        <w:rPr>
          <w:rFonts w:ascii="Arial" w:hAnsi="Arial" w:cs="Arial"/>
          <w:sz w:val="18"/>
          <w:szCs w:val="18"/>
          <w:lang w:val="en-US"/>
        </w:rPr>
      </w:pPr>
      <w:r w:rsidRPr="00BD295E">
        <w:rPr>
          <w:rFonts w:ascii="Arial" w:hAnsi="Arial" w:cs="Arial"/>
          <w:sz w:val="18"/>
          <w:szCs w:val="18"/>
          <w:lang w:val="en-US"/>
        </w:rPr>
        <w:t>– 2018 81.9%.</w:t>
      </w:r>
    </w:p>
    <w:p w14:paraId="5E7D974B" w14:textId="77777777" w:rsidR="00162DD0" w:rsidRPr="00BD295E" w:rsidRDefault="00162DD0" w:rsidP="00162DD0">
      <w:pPr>
        <w:ind w:firstLine="709"/>
        <w:jc w:val="both"/>
        <w:rPr>
          <w:rFonts w:ascii="Arial" w:hAnsi="Arial" w:cs="Arial"/>
          <w:sz w:val="18"/>
          <w:szCs w:val="18"/>
          <w:lang w:val="en-US"/>
        </w:rPr>
      </w:pPr>
    </w:p>
    <w:p w14:paraId="132207F8" w14:textId="77777777" w:rsidR="00162DD0"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 xml:space="preserve">The increase in the share of electricity distribution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the electricity services market is due to the signing of contracts for the lease of electric grid equipment of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 and, as a consequence, a decrease in the supply to grids of territorial related organizations connected to Lenenergo’s grids and the increase in the share of end consumers.</w:t>
      </w:r>
    </w:p>
    <w:p w14:paraId="1B9861E7" w14:textId="77777777" w:rsidR="00162DD0"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 xml:space="preserve">Taking into account net supply of electricity to end consumers by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(Kurortenergo, PJSC, </w:t>
      </w:r>
      <w:r w:rsidR="00174C5B" w:rsidRPr="00BD295E">
        <w:rPr>
          <w:rFonts w:ascii="Arial" w:hAnsi="Arial" w:cs="Arial"/>
          <w:sz w:val="18"/>
          <w:szCs w:val="18"/>
          <w:lang w:val="en-US"/>
        </w:rPr>
        <w:t>Tsarskoye</w:t>
      </w:r>
      <w:r w:rsidRPr="00BD295E">
        <w:rPr>
          <w:rFonts w:ascii="Arial" w:hAnsi="Arial" w:cs="Arial"/>
          <w:sz w:val="18"/>
          <w:szCs w:val="18"/>
          <w:lang w:val="en-US"/>
        </w:rPr>
        <w:t xml:space="preserve"> Selo Energy Company, PJSC, and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the share of Lenenergo Group in the electricity services market is as follows:</w:t>
      </w:r>
    </w:p>
    <w:p w14:paraId="3FF0A639" w14:textId="77777777" w:rsidR="00162DD0" w:rsidRPr="00BD295E" w:rsidRDefault="008A5057" w:rsidP="00162DD0">
      <w:pPr>
        <w:ind w:firstLine="709"/>
        <w:jc w:val="both"/>
        <w:rPr>
          <w:rFonts w:ascii="Arial" w:hAnsi="Arial" w:cs="Arial"/>
          <w:sz w:val="18"/>
          <w:szCs w:val="18"/>
          <w:lang w:val="en-US"/>
        </w:rPr>
      </w:pPr>
      <w:r w:rsidRPr="00BD295E">
        <w:rPr>
          <w:rFonts w:ascii="Arial" w:hAnsi="Arial" w:cs="Arial"/>
          <w:sz w:val="18"/>
          <w:szCs w:val="18"/>
          <w:lang w:val="en-US"/>
        </w:rPr>
        <w:t>– 2016 78.10 %.</w:t>
      </w:r>
    </w:p>
    <w:p w14:paraId="0E25A13E" w14:textId="77777777" w:rsidR="00162DD0" w:rsidRPr="00BD295E" w:rsidRDefault="008A5057" w:rsidP="00162DD0">
      <w:pPr>
        <w:ind w:firstLine="709"/>
        <w:jc w:val="both"/>
        <w:rPr>
          <w:rFonts w:ascii="Arial" w:hAnsi="Arial" w:cs="Arial"/>
          <w:sz w:val="18"/>
          <w:szCs w:val="18"/>
          <w:lang w:val="en-US"/>
        </w:rPr>
      </w:pPr>
      <w:r w:rsidRPr="00BD295E">
        <w:rPr>
          <w:rFonts w:ascii="Arial" w:hAnsi="Arial" w:cs="Arial"/>
          <w:sz w:val="18"/>
          <w:szCs w:val="18"/>
          <w:lang w:val="en-US"/>
        </w:rPr>
        <w:t>– 2017 80.49 %.</w:t>
      </w:r>
    </w:p>
    <w:p w14:paraId="54A77468" w14:textId="77777777" w:rsidR="00162DD0" w:rsidRPr="00BD295E" w:rsidRDefault="008A5057" w:rsidP="00162DD0">
      <w:pPr>
        <w:ind w:firstLine="709"/>
        <w:jc w:val="both"/>
        <w:rPr>
          <w:rFonts w:ascii="Arial" w:hAnsi="Arial" w:cs="Arial"/>
          <w:sz w:val="18"/>
          <w:szCs w:val="18"/>
          <w:lang w:val="en-US"/>
        </w:rPr>
      </w:pPr>
      <w:r w:rsidRPr="00BD295E">
        <w:rPr>
          <w:rFonts w:ascii="Arial" w:hAnsi="Arial" w:cs="Arial"/>
          <w:sz w:val="18"/>
          <w:szCs w:val="18"/>
          <w:lang w:val="en-US"/>
        </w:rPr>
        <w:t>– 2018 89.38 %.</w:t>
      </w:r>
    </w:p>
    <w:p w14:paraId="37298C0E" w14:textId="77777777" w:rsidR="003F6DA4" w:rsidRPr="00BD295E" w:rsidRDefault="003F6DA4" w:rsidP="003F6DA4">
      <w:pPr>
        <w:jc w:val="both"/>
        <w:rPr>
          <w:rFonts w:ascii="Arial" w:hAnsi="Arial" w:cs="Arial"/>
          <w:sz w:val="18"/>
          <w:szCs w:val="18"/>
          <w:lang w:val="en-US"/>
        </w:rPr>
      </w:pPr>
    </w:p>
    <w:p w14:paraId="4FEEB97F" w14:textId="77777777" w:rsidR="003F6DA4" w:rsidRPr="00BD295E" w:rsidRDefault="008A5057" w:rsidP="006614B1">
      <w:pPr>
        <w:keepNext/>
        <w:numPr>
          <w:ilvl w:val="1"/>
          <w:numId w:val="8"/>
        </w:numPr>
        <w:ind w:left="709" w:hanging="142"/>
        <w:jc w:val="both"/>
        <w:outlineLvl w:val="1"/>
        <w:rPr>
          <w:rFonts w:ascii="Arial" w:hAnsi="Arial" w:cs="Arial"/>
          <w:b/>
          <w:sz w:val="18"/>
          <w:szCs w:val="18"/>
          <w:lang w:val="en-US"/>
        </w:rPr>
      </w:pPr>
      <w:bookmarkStart w:id="79" w:name="_Toc509493382"/>
      <w:bookmarkStart w:id="80" w:name="_Toc509497948"/>
      <w:bookmarkStart w:id="81" w:name="_Toc509581250"/>
      <w:bookmarkStart w:id="82" w:name="_Toc510452214"/>
      <w:bookmarkStart w:id="83" w:name="_Toc5026992"/>
      <w:bookmarkStart w:id="84" w:name="_Toc5105961"/>
      <w:bookmarkStart w:id="85" w:name="_Toc5203814"/>
      <w:bookmarkStart w:id="86" w:name="_Toc6230910"/>
      <w:bookmarkStart w:id="87" w:name="_Toc7172558"/>
      <w:bookmarkStart w:id="88" w:name="_Toc7172604"/>
      <w:bookmarkStart w:id="89" w:name="_Toc95855279"/>
      <w:bookmarkStart w:id="90" w:name="_Toc95935338"/>
      <w:r w:rsidRPr="00BD295E">
        <w:rPr>
          <w:rFonts w:ascii="Arial" w:hAnsi="Arial" w:cs="Arial"/>
          <w:b/>
          <w:sz w:val="18"/>
          <w:szCs w:val="18"/>
          <w:lang w:val="en-US"/>
        </w:rPr>
        <w:t>The Company’s Mission and Strategic Development Priorities</w:t>
      </w:r>
      <w:bookmarkEnd w:id="79"/>
      <w:bookmarkEnd w:id="80"/>
      <w:bookmarkEnd w:id="81"/>
      <w:bookmarkEnd w:id="82"/>
      <w:bookmarkEnd w:id="83"/>
      <w:bookmarkEnd w:id="84"/>
      <w:bookmarkEnd w:id="85"/>
      <w:bookmarkEnd w:id="86"/>
      <w:bookmarkEnd w:id="87"/>
      <w:bookmarkEnd w:id="88"/>
      <w:bookmarkEnd w:id="89"/>
      <w:bookmarkEnd w:id="90"/>
    </w:p>
    <w:p w14:paraId="144F10C2" w14:textId="77777777" w:rsidR="003F6DA4" w:rsidRPr="00BD295E" w:rsidRDefault="003F6DA4" w:rsidP="003F6DA4">
      <w:pPr>
        <w:ind w:firstLine="709"/>
        <w:contextualSpacing/>
        <w:jc w:val="both"/>
        <w:rPr>
          <w:rFonts w:ascii="Arial" w:hAnsi="Arial" w:cs="Arial"/>
          <w:sz w:val="18"/>
          <w:szCs w:val="18"/>
          <w:lang w:val="en-US"/>
        </w:rPr>
      </w:pPr>
    </w:p>
    <w:p w14:paraId="3842B13A" w14:textId="77777777" w:rsidR="003F6DA4"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The mission of the Company is to ensure reliable and uninterrupted supply of high-quality and green electricity to consumers while meeting the mounting demand for electricity and capacity.</w:t>
      </w:r>
    </w:p>
    <w:p w14:paraId="7195D43C" w14:textId="77777777" w:rsidR="003F6DA4"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 xml:space="preserve">The industry’s development areas are outlined in the Strategy for the Development of the Electric Grid Sector of the Russian Federation, as approved by Directive No. 511-r of the Government of the Russian Federation, </w:t>
      </w:r>
      <w:r w:rsidR="008B183C" w:rsidRPr="00BD295E">
        <w:rPr>
          <w:rFonts w:ascii="Arial" w:hAnsi="Arial" w:cs="Arial"/>
          <w:sz w:val="18"/>
          <w:szCs w:val="18"/>
          <w:lang w:val="en-US"/>
        </w:rPr>
        <w:t>of</w:t>
      </w:r>
      <w:r w:rsidRPr="00BD295E">
        <w:rPr>
          <w:rFonts w:ascii="Arial" w:hAnsi="Arial" w:cs="Arial"/>
          <w:sz w:val="18"/>
          <w:szCs w:val="18"/>
          <w:lang w:val="en-US"/>
        </w:rPr>
        <w:t xml:space="preserve"> April 3, 2014. </w:t>
      </w:r>
    </w:p>
    <w:p w14:paraId="1BFBFDA8" w14:textId="77777777" w:rsidR="003F6DA4"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In accordance with the Strategy, the key goal (mission) of the electric grid sector is to ensure a reliable, high-quality, and affordable energy supply to consumers in the Russian Federation on a long-term basis. The industry’s strategy is aimed at organizing a grid infrastructure that is as effective as possible and meets global standards. At the same time, electricity transmission/distribution tariffs should ensure an acceptable level of electricity costs for the Russian economy and the industry’s investment appeal through an adequate return on capital.</w:t>
      </w:r>
    </w:p>
    <w:p w14:paraId="2D3ED340" w14:textId="77777777" w:rsidR="003F6DA4"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At the same time, electricity transmission/distribution tariffs should ensure an acceptable level of electricity costs for the Russian economy and the industry’s investment appeal through an adequate return on capital.</w:t>
      </w:r>
    </w:p>
    <w:p w14:paraId="5E3B0116" w14:textId="77777777" w:rsidR="003F6DA4" w:rsidRPr="00BD295E" w:rsidRDefault="008A5057" w:rsidP="00272EC7">
      <w:pPr>
        <w:jc w:val="both"/>
        <w:rPr>
          <w:rFonts w:ascii="Arial" w:hAnsi="Arial" w:cs="Arial"/>
          <w:sz w:val="18"/>
          <w:szCs w:val="18"/>
          <w:lang w:val="en-US"/>
        </w:rPr>
      </w:pPr>
      <w:r w:rsidRPr="00BD295E">
        <w:rPr>
          <w:rFonts w:ascii="Arial" w:hAnsi="Arial" w:cs="Arial"/>
          <w:sz w:val="18"/>
          <w:szCs w:val="18"/>
          <w:lang w:val="en-US"/>
        </w:rPr>
        <w:t xml:space="preserve">The strategic priorities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are aligned with the development strategy of the electric grid industry of the Russian Federation:</w:t>
      </w:r>
    </w:p>
    <w:p w14:paraId="18A583BC"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sz w:val="18"/>
          <w:szCs w:val="18"/>
          <w:lang w:val="en-US"/>
        </w:rPr>
        <w:t xml:space="preserve">ensuring reliable, high-quality, and affordable electricity supply to consumers; </w:t>
      </w:r>
    </w:p>
    <w:p w14:paraId="20BB7580"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sz w:val="18"/>
          <w:szCs w:val="18"/>
          <w:lang w:val="en-US"/>
        </w:rPr>
        <w:t>building and developing electric grid infrastructure that meets the needs of the relevant operating region;</w:t>
      </w:r>
    </w:p>
    <w:p w14:paraId="52977DCD"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sz w:val="18"/>
          <w:szCs w:val="18"/>
          <w:lang w:val="en-US"/>
        </w:rPr>
        <w:t>ensuring highly effective organization, operations, and investments</w:t>
      </w:r>
    </w:p>
    <w:p w14:paraId="18C1F432"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sz w:val="18"/>
          <w:szCs w:val="18"/>
          <w:lang w:val="en-US"/>
        </w:rPr>
        <w:t>unlocking the Company’s R&amp;D and innovation potential, and contributing to the innovative development of the electricity industry;</w:t>
      </w:r>
    </w:p>
    <w:p w14:paraId="63C1EA05"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sz w:val="18"/>
          <w:szCs w:val="18"/>
          <w:lang w:val="en-US"/>
        </w:rPr>
        <w:t>enhancing the Company’s investment case and profile while improving engagements with all stakeholders.</w:t>
      </w:r>
    </w:p>
    <w:p w14:paraId="213BA313" w14:textId="77777777" w:rsidR="003F6DA4" w:rsidRPr="00BD295E" w:rsidRDefault="008A5057" w:rsidP="00272EC7">
      <w:pPr>
        <w:tabs>
          <w:tab w:val="left" w:pos="284"/>
        </w:tabs>
        <w:jc w:val="both"/>
        <w:rPr>
          <w:rFonts w:ascii="Arial" w:hAnsi="Arial" w:cs="Arial"/>
          <w:sz w:val="18"/>
          <w:szCs w:val="18"/>
          <w:lang w:val="en-US"/>
        </w:rPr>
      </w:pPr>
      <w:r w:rsidRPr="00BD295E">
        <w:rPr>
          <w:rFonts w:ascii="Arial" w:hAnsi="Arial" w:cs="Arial"/>
          <w:sz w:val="18"/>
          <w:szCs w:val="18"/>
          <w:lang w:val="en-US"/>
        </w:rPr>
        <w:t xml:space="preserve">In its operations,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seeks to meet the interests of all stakeholders, including related grid organizations, employees, consumers, public authorities, and the investment community.</w:t>
      </w:r>
    </w:p>
    <w:p w14:paraId="07EBE0E7" w14:textId="77777777" w:rsidR="003F6DA4" w:rsidRPr="00BD295E" w:rsidRDefault="008A5057" w:rsidP="00272EC7">
      <w:pPr>
        <w:tabs>
          <w:tab w:val="left" w:pos="284"/>
        </w:tabs>
        <w:jc w:val="both"/>
        <w:rPr>
          <w:rFonts w:ascii="Arial" w:hAnsi="Arial" w:cs="Arial"/>
          <w:sz w:val="18"/>
          <w:szCs w:val="18"/>
          <w:lang w:val="en-US"/>
        </w:rPr>
      </w:pPr>
      <w:r w:rsidRPr="00BD295E">
        <w:rPr>
          <w:rFonts w:ascii="Arial" w:hAnsi="Arial" w:cs="Arial"/>
          <w:sz w:val="18"/>
          <w:szCs w:val="18"/>
          <w:lang w:val="en-US"/>
        </w:rPr>
        <w:tab/>
        <w:t xml:space="preserve">Priorities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aimed at meeting the interests of key stakeholders:</w:t>
      </w:r>
    </w:p>
    <w:p w14:paraId="7F1FBEF4"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b/>
          <w:sz w:val="18"/>
          <w:szCs w:val="18"/>
          <w:lang w:val="en-US"/>
        </w:rPr>
        <w:t>Consumers.</w:t>
      </w:r>
      <w:r w:rsidRPr="00BD295E">
        <w:rPr>
          <w:rFonts w:ascii="Arial" w:hAnsi="Arial" w:cs="Arial"/>
          <w:sz w:val="18"/>
          <w:szCs w:val="18"/>
          <w:lang w:val="en-US"/>
        </w:rPr>
        <w:t xml:space="preserve"> </w:t>
      </w:r>
    </w:p>
    <w:p w14:paraId="7FED89F4" w14:textId="77777777" w:rsidR="003F6DA4" w:rsidRPr="00BD295E" w:rsidRDefault="008A5057" w:rsidP="00272EC7">
      <w:pPr>
        <w:tabs>
          <w:tab w:val="left" w:pos="284"/>
        </w:tabs>
        <w:jc w:val="both"/>
        <w:rPr>
          <w:rFonts w:ascii="Arial" w:hAnsi="Arial" w:cs="Arial"/>
          <w:sz w:val="18"/>
          <w:szCs w:val="18"/>
          <w:lang w:val="en-US"/>
        </w:rPr>
      </w:pPr>
      <w:r w:rsidRPr="00BD295E">
        <w:rPr>
          <w:rFonts w:ascii="Arial" w:hAnsi="Arial" w:cs="Arial"/>
          <w:sz w:val="18"/>
          <w:szCs w:val="18"/>
          <w:lang w:val="en-US"/>
        </w:rPr>
        <w:t>Building a framework for reliable measurement of electricity supply quality and reliability against international standards, increasing responsibility for achieving quality and reliability targets. Achieving high utilization of commissioned capacities through better demand management, revised closing criteria for electricity supply centers, and a phased-in approach to construction.</w:t>
      </w:r>
    </w:p>
    <w:p w14:paraId="56D24475"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b/>
          <w:bCs/>
          <w:sz w:val="18"/>
          <w:szCs w:val="18"/>
          <w:lang w:val="en-US"/>
        </w:rPr>
        <w:t>Investment community.</w:t>
      </w:r>
      <w:r w:rsidRPr="00BD295E">
        <w:rPr>
          <w:rFonts w:ascii="Arial" w:hAnsi="Arial" w:cs="Arial"/>
          <w:sz w:val="18"/>
          <w:szCs w:val="18"/>
          <w:lang w:val="en-US"/>
        </w:rPr>
        <w:t xml:space="preserve"> </w:t>
      </w:r>
    </w:p>
    <w:p w14:paraId="5B992F38" w14:textId="77777777" w:rsidR="003F6DA4" w:rsidRPr="00BD295E" w:rsidRDefault="008A5057" w:rsidP="00272EC7">
      <w:pPr>
        <w:tabs>
          <w:tab w:val="left" w:pos="284"/>
        </w:tabs>
        <w:jc w:val="both"/>
        <w:rPr>
          <w:rFonts w:ascii="Arial" w:hAnsi="Arial" w:cs="Arial"/>
          <w:sz w:val="18"/>
          <w:szCs w:val="18"/>
          <w:lang w:val="en-US"/>
        </w:rPr>
      </w:pPr>
      <w:r w:rsidRPr="00BD295E">
        <w:rPr>
          <w:rFonts w:ascii="Arial" w:hAnsi="Arial" w:cs="Arial"/>
          <w:sz w:val="18"/>
          <w:szCs w:val="18"/>
          <w:lang w:val="en-US"/>
        </w:rPr>
        <w:t>Retaining the RAB (regulatory asset base) tariff regulation, making the process of pricing and preparing investment programs more transparent.</w:t>
      </w:r>
    </w:p>
    <w:p w14:paraId="1EB554B5"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b/>
          <w:bCs/>
          <w:sz w:val="18"/>
          <w:szCs w:val="18"/>
          <w:lang w:val="en-US"/>
        </w:rPr>
        <w:t>Staff.</w:t>
      </w:r>
    </w:p>
    <w:p w14:paraId="2D7F63AB" w14:textId="77777777" w:rsidR="003F6DA4" w:rsidRPr="00BD295E" w:rsidRDefault="008A5057" w:rsidP="00272EC7">
      <w:pPr>
        <w:tabs>
          <w:tab w:val="left" w:pos="284"/>
        </w:tabs>
        <w:jc w:val="both"/>
        <w:rPr>
          <w:rFonts w:ascii="Arial" w:hAnsi="Arial" w:cs="Arial"/>
          <w:sz w:val="18"/>
          <w:szCs w:val="18"/>
          <w:lang w:val="en-US"/>
        </w:rPr>
      </w:pPr>
      <w:r w:rsidRPr="00BD295E">
        <w:rPr>
          <w:rFonts w:ascii="Arial" w:hAnsi="Arial" w:cs="Arial"/>
          <w:sz w:val="18"/>
          <w:szCs w:val="18"/>
          <w:lang w:val="en-US"/>
        </w:rPr>
        <w:t>Professional growth, including training and knowledge sharing. Enhancing the focus on achieving KPIs. Effective performance appraisal and promotion of best employees.</w:t>
      </w:r>
    </w:p>
    <w:p w14:paraId="0B1F6EA4"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b/>
          <w:bCs/>
          <w:sz w:val="18"/>
          <w:szCs w:val="18"/>
          <w:lang w:val="en-US"/>
        </w:rPr>
        <w:t>Related grid organizations.</w:t>
      </w:r>
    </w:p>
    <w:p w14:paraId="4FE4430C" w14:textId="77777777" w:rsidR="003F6DA4" w:rsidRPr="00BD295E" w:rsidRDefault="008A5057" w:rsidP="00272EC7">
      <w:pPr>
        <w:tabs>
          <w:tab w:val="left" w:pos="284"/>
        </w:tabs>
        <w:jc w:val="both"/>
        <w:rPr>
          <w:rFonts w:ascii="Arial" w:hAnsi="Arial" w:cs="Arial"/>
          <w:sz w:val="18"/>
          <w:szCs w:val="18"/>
          <w:lang w:val="en-US"/>
        </w:rPr>
      </w:pPr>
      <w:r w:rsidRPr="00BD295E">
        <w:rPr>
          <w:rFonts w:ascii="Arial" w:hAnsi="Arial" w:cs="Arial"/>
          <w:sz w:val="18"/>
          <w:szCs w:val="18"/>
          <w:lang w:val="en-US"/>
        </w:rPr>
        <w:t>Ensuring the coordinated development of the region’s electricity industry. Implementing a single technical policy for stage-by-stage construction.</w:t>
      </w:r>
    </w:p>
    <w:p w14:paraId="02ED096A" w14:textId="77777777" w:rsidR="003F6DA4" w:rsidRPr="00BD295E" w:rsidRDefault="008A5057" w:rsidP="00272EC7">
      <w:pPr>
        <w:numPr>
          <w:ilvl w:val="0"/>
          <w:numId w:val="29"/>
        </w:numPr>
        <w:tabs>
          <w:tab w:val="left" w:pos="284"/>
        </w:tabs>
        <w:ind w:left="0" w:firstLine="0"/>
        <w:jc w:val="both"/>
        <w:rPr>
          <w:rFonts w:ascii="Arial" w:hAnsi="Arial" w:cs="Arial"/>
          <w:sz w:val="18"/>
          <w:szCs w:val="18"/>
          <w:lang w:val="en-US"/>
        </w:rPr>
      </w:pPr>
      <w:r w:rsidRPr="00BD295E">
        <w:rPr>
          <w:rFonts w:ascii="Arial" w:hAnsi="Arial" w:cs="Arial"/>
          <w:b/>
          <w:bCs/>
          <w:sz w:val="18"/>
          <w:szCs w:val="18"/>
          <w:lang w:val="en-US"/>
        </w:rPr>
        <w:t>Public authorities.</w:t>
      </w:r>
      <w:r w:rsidRPr="00BD295E">
        <w:rPr>
          <w:rFonts w:ascii="Arial" w:hAnsi="Arial" w:cs="Arial"/>
          <w:sz w:val="18"/>
          <w:szCs w:val="18"/>
          <w:lang w:val="en-US"/>
        </w:rPr>
        <w:t xml:space="preserve"> </w:t>
      </w:r>
    </w:p>
    <w:p w14:paraId="5A8EEA1E" w14:textId="77777777" w:rsidR="003F6DA4" w:rsidRPr="00BD295E" w:rsidRDefault="008A5057" w:rsidP="00272EC7">
      <w:pPr>
        <w:tabs>
          <w:tab w:val="left" w:pos="284"/>
        </w:tabs>
        <w:jc w:val="both"/>
        <w:rPr>
          <w:rFonts w:ascii="Arial" w:hAnsi="Arial" w:cs="Arial"/>
          <w:sz w:val="18"/>
          <w:szCs w:val="18"/>
          <w:lang w:val="en-US"/>
        </w:rPr>
      </w:pPr>
      <w:r w:rsidRPr="00BD295E">
        <w:rPr>
          <w:rFonts w:ascii="Arial" w:hAnsi="Arial" w:cs="Arial"/>
          <w:sz w:val="18"/>
          <w:szCs w:val="18"/>
          <w:lang w:val="en-US"/>
        </w:rPr>
        <w:t>Meeting the needs of the economy of Saint-Petersburg and the Leningrad Region for new grid connections.</w:t>
      </w:r>
    </w:p>
    <w:p w14:paraId="37B86D19" w14:textId="77777777" w:rsidR="003F6DA4" w:rsidRPr="00BD295E" w:rsidRDefault="003F6DA4" w:rsidP="00272EC7">
      <w:pPr>
        <w:rPr>
          <w:rFonts w:ascii="Arial" w:hAnsi="Arial" w:cs="Arial"/>
          <w:b/>
          <w:sz w:val="18"/>
          <w:szCs w:val="18"/>
          <w:lang w:val="en-US"/>
        </w:rPr>
      </w:pPr>
    </w:p>
    <w:p w14:paraId="393E2DA7" w14:textId="77777777" w:rsidR="003F6DA4" w:rsidRPr="00BD295E" w:rsidRDefault="008A5057" w:rsidP="00272EC7">
      <w:pPr>
        <w:rPr>
          <w:rFonts w:ascii="Arial" w:hAnsi="Arial" w:cs="Arial"/>
          <w:b/>
          <w:sz w:val="18"/>
          <w:szCs w:val="18"/>
          <w:lang w:val="en-US"/>
        </w:rPr>
      </w:pPr>
      <w:r w:rsidRPr="00BD295E">
        <w:rPr>
          <w:rFonts w:ascii="Arial" w:hAnsi="Arial" w:cs="Arial"/>
          <w:b/>
          <w:sz w:val="18"/>
          <w:szCs w:val="18"/>
          <w:lang w:val="en-US"/>
        </w:rPr>
        <w:t xml:space="preserve">Development outlooks of </w:t>
      </w:r>
      <w:r w:rsidR="00EE5753" w:rsidRPr="00BD295E">
        <w:rPr>
          <w:rFonts w:ascii="Arial" w:hAnsi="Arial" w:cs="Arial"/>
          <w:b/>
          <w:sz w:val="18"/>
          <w:szCs w:val="18"/>
          <w:lang w:val="en-US"/>
        </w:rPr>
        <w:t>PJSC “Lenenergo”</w:t>
      </w:r>
      <w:r w:rsidRPr="00BD295E">
        <w:rPr>
          <w:rFonts w:ascii="Arial" w:hAnsi="Arial" w:cs="Arial"/>
          <w:b/>
          <w:sz w:val="18"/>
          <w:szCs w:val="18"/>
          <w:lang w:val="en-US"/>
        </w:rPr>
        <w:t>:</w:t>
      </w:r>
    </w:p>
    <w:p w14:paraId="216A23C8" w14:textId="77777777" w:rsidR="00D55E31" w:rsidRPr="00BD295E" w:rsidRDefault="00D55E31" w:rsidP="00272EC7">
      <w:pPr>
        <w:rPr>
          <w:rFonts w:ascii="Arial" w:hAnsi="Arial" w:cs="Arial"/>
          <w:sz w:val="18"/>
          <w:szCs w:val="18"/>
          <w:lang w:val="en-US"/>
        </w:rPr>
      </w:pPr>
    </w:p>
    <w:p w14:paraId="7FEB6766" w14:textId="77777777" w:rsidR="003F6DA4" w:rsidRPr="00BD295E" w:rsidRDefault="008A5057" w:rsidP="00272EC7">
      <w:pPr>
        <w:rPr>
          <w:rFonts w:ascii="Arial" w:hAnsi="Arial" w:cs="Arial"/>
          <w:sz w:val="18"/>
          <w:szCs w:val="18"/>
          <w:lang w:val="en-US"/>
        </w:rPr>
      </w:pPr>
      <w:r w:rsidRPr="00BD295E">
        <w:rPr>
          <w:rFonts w:ascii="Arial" w:hAnsi="Arial" w:cs="Arial"/>
          <w:sz w:val="18"/>
          <w:szCs w:val="18"/>
          <w:lang w:val="en-US"/>
        </w:rPr>
        <w:t>- Increasing the Company’s shareholders value through return on investments by increasing effectiveness and profitability of Lenenergo’s business processes;</w:t>
      </w:r>
    </w:p>
    <w:p w14:paraId="04EAB9A8" w14:textId="77777777" w:rsidR="003F6DA4" w:rsidRPr="00BD295E" w:rsidRDefault="008A5057" w:rsidP="00272EC7">
      <w:pPr>
        <w:rPr>
          <w:rFonts w:ascii="Arial" w:hAnsi="Arial" w:cs="Arial"/>
          <w:sz w:val="18"/>
          <w:szCs w:val="18"/>
          <w:lang w:val="en-US"/>
        </w:rPr>
      </w:pPr>
      <w:r w:rsidRPr="00BD295E">
        <w:rPr>
          <w:rFonts w:ascii="Arial" w:hAnsi="Arial" w:cs="Arial"/>
          <w:sz w:val="18"/>
          <w:szCs w:val="18"/>
          <w:lang w:val="en-US"/>
        </w:rPr>
        <w:t>- Increasing the share in the electricity market of Saint Petersburg and the Leningrad Region through consolidation of electric grid assets, as well as through effective competition for customers;</w:t>
      </w:r>
    </w:p>
    <w:p w14:paraId="3BE1106A" w14:textId="77777777" w:rsidR="003F6DA4" w:rsidRPr="00BD295E" w:rsidRDefault="008A5057" w:rsidP="00272EC7">
      <w:pPr>
        <w:rPr>
          <w:rFonts w:ascii="Arial" w:hAnsi="Arial" w:cs="Arial"/>
          <w:sz w:val="18"/>
          <w:szCs w:val="18"/>
          <w:lang w:val="en-US"/>
        </w:rPr>
      </w:pPr>
      <w:r w:rsidRPr="00BD295E">
        <w:rPr>
          <w:rFonts w:ascii="Arial" w:hAnsi="Arial" w:cs="Arial"/>
          <w:sz w:val="18"/>
          <w:szCs w:val="18"/>
          <w:lang w:val="en-US"/>
        </w:rPr>
        <w:t>- Enhancing the investment case and transparency of the Company’s operations, as well as building up financial, social, intellectual, and other types of capital.</w:t>
      </w:r>
    </w:p>
    <w:p w14:paraId="443F76B1" w14:textId="77777777" w:rsidR="003F6DA4" w:rsidRPr="00BD295E" w:rsidRDefault="003F6DA4" w:rsidP="00272EC7">
      <w:pPr>
        <w:autoSpaceDE w:val="0"/>
        <w:autoSpaceDN w:val="0"/>
        <w:jc w:val="both"/>
        <w:rPr>
          <w:rFonts w:ascii="Arial" w:hAnsi="Arial" w:cs="Arial"/>
          <w:sz w:val="18"/>
          <w:szCs w:val="18"/>
          <w:lang w:val="en-US"/>
        </w:rPr>
      </w:pPr>
    </w:p>
    <w:p w14:paraId="51B94961" w14:textId="77777777" w:rsidR="003D61E3" w:rsidRPr="00BD295E" w:rsidRDefault="008A5057" w:rsidP="006614B1">
      <w:pPr>
        <w:keepNext/>
        <w:numPr>
          <w:ilvl w:val="1"/>
          <w:numId w:val="8"/>
        </w:numPr>
        <w:ind w:left="0" w:firstLine="709"/>
        <w:jc w:val="both"/>
        <w:outlineLvl w:val="1"/>
        <w:rPr>
          <w:rFonts w:ascii="Arial" w:hAnsi="Arial" w:cs="Arial"/>
          <w:b/>
          <w:sz w:val="18"/>
          <w:szCs w:val="18"/>
          <w:lang w:val="en-US"/>
        </w:rPr>
      </w:pPr>
      <w:bookmarkStart w:id="91" w:name="_Toc5026993"/>
      <w:bookmarkStart w:id="92" w:name="_Toc5105962"/>
      <w:bookmarkStart w:id="93" w:name="_Toc5203815"/>
      <w:bookmarkStart w:id="94" w:name="_Toc6230911"/>
      <w:bookmarkStart w:id="95" w:name="_Toc7172559"/>
      <w:bookmarkStart w:id="96" w:name="_Toc7172605"/>
      <w:bookmarkStart w:id="97" w:name="_Toc95855280"/>
      <w:bookmarkStart w:id="98" w:name="_Toc95935339"/>
      <w:r w:rsidRPr="00BD295E">
        <w:rPr>
          <w:rFonts w:ascii="Arial" w:hAnsi="Arial" w:cs="Arial"/>
          <w:b/>
          <w:sz w:val="18"/>
          <w:szCs w:val="18"/>
          <w:lang w:val="en-US"/>
        </w:rPr>
        <w:t xml:space="preserve">Report of the Board of Directors </w:t>
      </w:r>
      <w:r w:rsidR="00472677" w:rsidRPr="00BD295E">
        <w:rPr>
          <w:rFonts w:ascii="Arial" w:hAnsi="Arial" w:cs="Arial"/>
          <w:b/>
          <w:sz w:val="18"/>
          <w:szCs w:val="18"/>
          <w:lang w:val="en-US"/>
        </w:rPr>
        <w:t>on Promoting</w:t>
      </w:r>
      <w:r w:rsidRPr="00BD295E">
        <w:rPr>
          <w:rFonts w:ascii="Arial" w:hAnsi="Arial" w:cs="Arial"/>
          <w:b/>
          <w:sz w:val="18"/>
          <w:szCs w:val="18"/>
          <w:lang w:val="en-US"/>
        </w:rPr>
        <w:t xml:space="preserve"> the Company’s Priority Areas</w:t>
      </w:r>
      <w:bookmarkEnd w:id="91"/>
      <w:bookmarkEnd w:id="92"/>
      <w:bookmarkEnd w:id="93"/>
      <w:bookmarkEnd w:id="94"/>
      <w:bookmarkEnd w:id="95"/>
      <w:bookmarkEnd w:id="96"/>
      <w:bookmarkEnd w:id="97"/>
      <w:bookmarkEnd w:id="98"/>
    </w:p>
    <w:p w14:paraId="4C40E95A" w14:textId="77777777" w:rsidR="003D61E3" w:rsidRPr="00BD295E" w:rsidRDefault="003D61E3" w:rsidP="003D61E3">
      <w:pPr>
        <w:autoSpaceDE w:val="0"/>
        <w:autoSpaceDN w:val="0"/>
        <w:ind w:firstLine="567"/>
        <w:jc w:val="both"/>
        <w:rPr>
          <w:rFonts w:ascii="Arial" w:hAnsi="Arial" w:cs="Arial"/>
          <w:sz w:val="18"/>
          <w:szCs w:val="18"/>
          <w:lang w:val="en-US"/>
        </w:rPr>
      </w:pPr>
    </w:p>
    <w:p w14:paraId="7144F6BC" w14:textId="77777777" w:rsidR="00E974E4" w:rsidRPr="00BD295E" w:rsidRDefault="008A5057" w:rsidP="00272EC7">
      <w:pPr>
        <w:autoSpaceDE w:val="0"/>
        <w:autoSpaceDN w:val="0"/>
        <w:jc w:val="both"/>
        <w:rPr>
          <w:rFonts w:ascii="Arial" w:hAnsi="Arial" w:cs="Arial"/>
          <w:sz w:val="18"/>
          <w:szCs w:val="18"/>
          <w:lang w:val="en-US"/>
        </w:rPr>
      </w:pPr>
      <w:r w:rsidRPr="00BD295E">
        <w:rPr>
          <w:rFonts w:ascii="Arial" w:hAnsi="Arial" w:cs="Arial"/>
          <w:sz w:val="18"/>
          <w:szCs w:val="18"/>
          <w:lang w:val="en-US"/>
        </w:rPr>
        <w:t xml:space="preserve">According to the Articles of Association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competence of the Board of Directors includes the determination of the Company’s priority business areas. Information on the Company’s progress in these areas is annually submitted to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in the form of an annual report.</w:t>
      </w:r>
    </w:p>
    <w:p w14:paraId="7DBA90B7" w14:textId="77777777" w:rsidR="00E974E4" w:rsidRPr="00BD295E" w:rsidRDefault="008A5057" w:rsidP="00272EC7">
      <w:pPr>
        <w:autoSpaceDE w:val="0"/>
        <w:autoSpaceDN w:val="0"/>
        <w:jc w:val="both"/>
        <w:rPr>
          <w:rFonts w:ascii="Arial" w:hAnsi="Arial" w:cs="Arial"/>
          <w:sz w:val="18"/>
          <w:szCs w:val="18"/>
          <w:lang w:val="en-US"/>
        </w:rPr>
      </w:pPr>
      <w:r w:rsidRPr="00BD295E">
        <w:rPr>
          <w:rFonts w:ascii="Arial" w:hAnsi="Arial" w:cs="Arial"/>
          <w:sz w:val="18"/>
          <w:szCs w:val="18"/>
          <w:lang w:val="en-US"/>
        </w:rPr>
        <w:t xml:space="preserve">On November 15, 2018, Lenenergo’s Board of Directors determined (Minutes No.13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16, 2018) determined that another priority area would be to organize the necessary activities and ensure the performance of transactions for replacing outdoor lighting facilities owned by companies of Lenenergo Group for electric grid facilities owned by the city of Saint Petersburg.</w:t>
      </w:r>
    </w:p>
    <w:p w14:paraId="794EB796" w14:textId="63D66312" w:rsidR="00E974E4" w:rsidRPr="00BD295E" w:rsidRDefault="008A5057" w:rsidP="00272EC7">
      <w:pPr>
        <w:autoSpaceDE w:val="0"/>
        <w:autoSpaceDN w:val="0"/>
        <w:jc w:val="both"/>
        <w:rPr>
          <w:rFonts w:ascii="Arial" w:hAnsi="Arial" w:cs="Arial"/>
          <w:sz w:val="18"/>
          <w:szCs w:val="18"/>
          <w:lang w:val="en-US"/>
        </w:rPr>
      </w:pPr>
      <w:r w:rsidRPr="00BD295E">
        <w:rPr>
          <w:rFonts w:ascii="Arial" w:hAnsi="Arial" w:cs="Arial"/>
          <w:sz w:val="18"/>
          <w:szCs w:val="18"/>
          <w:lang w:val="en-US"/>
        </w:rPr>
        <w:t xml:space="preserve">Importantly, during the reporting period, one of the key objectives included the implementation of the </w:t>
      </w:r>
      <w:r w:rsidR="00BF7D8E" w:rsidRPr="00BD295E">
        <w:rPr>
          <w:rFonts w:ascii="Arial" w:hAnsi="Arial" w:cs="Arial"/>
          <w:sz w:val="18"/>
          <w:szCs w:val="18"/>
          <w:lang w:val="en-US"/>
        </w:rPr>
        <w:t>updated</w:t>
      </w:r>
      <w:r w:rsidRPr="00BD295E">
        <w:rPr>
          <w:rFonts w:ascii="Arial" w:hAnsi="Arial" w:cs="Arial"/>
          <w:sz w:val="18"/>
          <w:szCs w:val="18"/>
          <w:lang w:val="en-US"/>
        </w:rPr>
        <w:t xml:space="preserve"> Plan for development of the System for Managing Production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 2019, which provides for improvements to maintenance and repair cost accounting , as well as automation of processes related to the assessment of the technical condition of facilities that are to be renovated in order to maximize the effectiveness of the new technical upgrade and renovation program. </w:t>
      </w:r>
    </w:p>
    <w:p w14:paraId="5BE5E01D" w14:textId="77777777" w:rsidR="00E974E4" w:rsidRPr="00BD295E" w:rsidRDefault="008A5057" w:rsidP="00272EC7">
      <w:pPr>
        <w:autoSpaceDE w:val="0"/>
        <w:autoSpaceDN w:val="0"/>
        <w:jc w:val="both"/>
        <w:rPr>
          <w:rFonts w:ascii="Arial" w:hAnsi="Arial" w:cs="Arial"/>
          <w:sz w:val="18"/>
          <w:szCs w:val="18"/>
          <w:lang w:val="en-US"/>
        </w:rPr>
      </w:pPr>
      <w:r w:rsidRPr="00BD295E">
        <w:rPr>
          <w:rFonts w:ascii="Arial" w:hAnsi="Arial" w:cs="Arial"/>
          <w:sz w:val="18"/>
          <w:szCs w:val="18"/>
          <w:lang w:val="en-US"/>
        </w:rPr>
        <w:t xml:space="preserve">The document was reviewed and approved by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on October 10, 2018 (Minutes No. 9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12, 2018).</w:t>
      </w:r>
    </w:p>
    <w:p w14:paraId="1CD3A4A9" w14:textId="77777777" w:rsidR="00E974E4" w:rsidRPr="00BD295E" w:rsidRDefault="008A5057" w:rsidP="00272EC7">
      <w:pPr>
        <w:autoSpaceDE w:val="0"/>
        <w:autoSpaceDN w:val="0"/>
        <w:jc w:val="both"/>
        <w:rPr>
          <w:rFonts w:ascii="Arial" w:hAnsi="Arial" w:cs="Arial"/>
          <w:sz w:val="18"/>
          <w:szCs w:val="18"/>
          <w:lang w:val="en-US"/>
        </w:rPr>
      </w:pPr>
      <w:r w:rsidRPr="00BD295E">
        <w:rPr>
          <w:rFonts w:ascii="Arial" w:hAnsi="Arial" w:cs="Arial"/>
          <w:sz w:val="18"/>
          <w:szCs w:val="18"/>
          <w:lang w:val="en-US"/>
        </w:rPr>
        <w:t>The Company is focused on achieving its key business objectives as detailed in the Company’s Articles of Association, namely: maintaining the effective operation of electric grid facilities, and ensuring reliable energy supply to consumers.</w:t>
      </w:r>
    </w:p>
    <w:p w14:paraId="7E609EFD" w14:textId="77777777" w:rsidR="00E974E4" w:rsidRPr="00BD295E" w:rsidRDefault="008A5057" w:rsidP="00272EC7">
      <w:pPr>
        <w:autoSpaceDE w:val="0"/>
        <w:autoSpaceDN w:val="0"/>
        <w:jc w:val="both"/>
        <w:rPr>
          <w:rFonts w:ascii="Arial" w:hAnsi="Arial" w:cs="Arial"/>
          <w:sz w:val="18"/>
          <w:szCs w:val="18"/>
          <w:lang w:val="en-US"/>
        </w:rPr>
      </w:pPr>
      <w:r w:rsidRPr="00BD295E">
        <w:rPr>
          <w:rFonts w:ascii="Arial" w:hAnsi="Arial" w:cs="Arial"/>
          <w:sz w:val="18"/>
          <w:szCs w:val="18"/>
          <w:lang w:val="en-US"/>
        </w:rPr>
        <w:t xml:space="preserve">At the same time, financial and economic performance and grid connection affordability remain a priority for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Achieving these objectives will help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become one of the most attractive investment targets in the market, as well as balance the interests of electricity suppliers and consumers across its operating regions: the Leningrad Region and Saint Petersburg.</w:t>
      </w:r>
    </w:p>
    <w:p w14:paraId="5BC04792" w14:textId="77777777" w:rsidR="003F6DA4" w:rsidRPr="00BD295E" w:rsidRDefault="003F6DA4" w:rsidP="003F6DA4">
      <w:pPr>
        <w:autoSpaceDE w:val="0"/>
        <w:autoSpaceDN w:val="0"/>
        <w:ind w:firstLine="567"/>
        <w:jc w:val="both"/>
        <w:rPr>
          <w:rFonts w:ascii="Arial" w:hAnsi="Arial" w:cs="Arial"/>
          <w:sz w:val="18"/>
          <w:szCs w:val="18"/>
          <w:lang w:val="en-US"/>
        </w:rPr>
      </w:pPr>
    </w:p>
    <w:p w14:paraId="7A868906" w14:textId="77777777" w:rsidR="003F6DA4" w:rsidRPr="00BD295E" w:rsidRDefault="008A5057" w:rsidP="006614B1">
      <w:pPr>
        <w:keepNext/>
        <w:numPr>
          <w:ilvl w:val="1"/>
          <w:numId w:val="8"/>
        </w:numPr>
        <w:ind w:firstLine="231"/>
        <w:jc w:val="both"/>
        <w:outlineLvl w:val="1"/>
        <w:rPr>
          <w:rFonts w:ascii="Arial" w:hAnsi="Arial" w:cs="Arial"/>
          <w:b/>
          <w:sz w:val="18"/>
          <w:szCs w:val="18"/>
          <w:lang w:val="en-US"/>
        </w:rPr>
      </w:pPr>
      <w:bookmarkStart w:id="99" w:name="_Toc509493383"/>
      <w:bookmarkStart w:id="100" w:name="_Toc509497949"/>
      <w:bookmarkStart w:id="101" w:name="_Toc509581251"/>
      <w:bookmarkStart w:id="102" w:name="_Toc510452215"/>
      <w:bookmarkStart w:id="103" w:name="_Toc5026994"/>
      <w:bookmarkStart w:id="104" w:name="_Toc5105963"/>
      <w:bookmarkStart w:id="105" w:name="_Toc5203816"/>
      <w:bookmarkStart w:id="106" w:name="_Toc6230912"/>
      <w:bookmarkStart w:id="107" w:name="_Toc7172560"/>
      <w:bookmarkStart w:id="108" w:name="_Toc7172606"/>
      <w:bookmarkStart w:id="109" w:name="_Toc95855281"/>
      <w:bookmarkStart w:id="110" w:name="_Toc95935340"/>
      <w:r w:rsidRPr="00BD295E">
        <w:rPr>
          <w:rFonts w:ascii="Arial" w:hAnsi="Arial" w:cs="Arial"/>
          <w:b/>
          <w:sz w:val="18"/>
          <w:szCs w:val="18"/>
          <w:lang w:val="en-US"/>
        </w:rPr>
        <w:t>Key Performance Indicators</w:t>
      </w:r>
      <w:bookmarkEnd w:id="99"/>
      <w:bookmarkEnd w:id="100"/>
      <w:bookmarkEnd w:id="101"/>
      <w:bookmarkEnd w:id="102"/>
      <w:bookmarkEnd w:id="103"/>
      <w:bookmarkEnd w:id="104"/>
      <w:bookmarkEnd w:id="105"/>
      <w:bookmarkEnd w:id="106"/>
      <w:bookmarkEnd w:id="107"/>
      <w:bookmarkEnd w:id="108"/>
      <w:bookmarkEnd w:id="109"/>
      <w:bookmarkEnd w:id="110"/>
    </w:p>
    <w:p w14:paraId="164394FB" w14:textId="77777777" w:rsidR="003F6DA4" w:rsidRPr="00BD295E" w:rsidRDefault="003F6DA4" w:rsidP="003F6DA4">
      <w:pPr>
        <w:rPr>
          <w:rFonts w:ascii="Arial" w:hAnsi="Arial" w:cs="Arial"/>
          <w:sz w:val="18"/>
          <w:szCs w:val="18"/>
          <w:lang w:val="en-US"/>
        </w:rPr>
      </w:pPr>
    </w:p>
    <w:p w14:paraId="39B726F1" w14:textId="77777777" w:rsidR="00AB063C" w:rsidRPr="00BD295E" w:rsidRDefault="008A5057" w:rsidP="00272EC7">
      <w:pPr>
        <w:contextualSpacing/>
        <w:jc w:val="both"/>
        <w:rPr>
          <w:rFonts w:ascii="Arial" w:hAnsi="Arial" w:cs="Arial"/>
          <w:sz w:val="18"/>
          <w:szCs w:val="18"/>
          <w:lang w:val="en-US"/>
        </w:rPr>
      </w:pPr>
      <w:r w:rsidRPr="00BD295E">
        <w:rPr>
          <w:rFonts w:ascii="Arial" w:hAnsi="Arial" w:cs="Arial"/>
          <w:sz w:val="18"/>
          <w:szCs w:val="18"/>
          <w:lang w:val="en-US"/>
        </w:rPr>
        <w:t>Achievement of the Company’s priority development goals is measured using a system of key performance indicators (KPI) applied at the Company.</w:t>
      </w:r>
    </w:p>
    <w:p w14:paraId="425DC983" w14:textId="77777777" w:rsidR="00AB063C" w:rsidRPr="00BD295E" w:rsidRDefault="008A5057" w:rsidP="00272EC7">
      <w:pPr>
        <w:contextualSpacing/>
        <w:jc w:val="both"/>
        <w:rPr>
          <w:rFonts w:ascii="Arial" w:hAnsi="Arial" w:cs="Arial"/>
          <w:sz w:val="18"/>
          <w:szCs w:val="18"/>
          <w:lang w:val="en-US"/>
        </w:rPr>
      </w:pPr>
      <w:r w:rsidRPr="00BD295E">
        <w:rPr>
          <w:rFonts w:ascii="Arial" w:hAnsi="Arial" w:cs="Arial"/>
          <w:sz w:val="18"/>
          <w:szCs w:val="18"/>
          <w:lang w:val="en-US"/>
        </w:rPr>
        <w:t>The system of key performance indicators of the Company’s CEO is based on:</w:t>
      </w:r>
    </w:p>
    <w:p w14:paraId="230877E4" w14:textId="77777777" w:rsidR="00AB063C" w:rsidRPr="00BD295E" w:rsidRDefault="008A5057" w:rsidP="00272EC7">
      <w:pPr>
        <w:contextualSpacing/>
        <w:jc w:val="both"/>
        <w:rPr>
          <w:rFonts w:ascii="Arial" w:hAnsi="Arial" w:cs="Arial"/>
          <w:sz w:val="18"/>
          <w:szCs w:val="18"/>
          <w:lang w:val="en-US"/>
        </w:rPr>
      </w:pPr>
      <w:r w:rsidRPr="00BD295E">
        <w:rPr>
          <w:rFonts w:ascii="Arial" w:hAnsi="Arial" w:cs="Arial"/>
          <w:sz w:val="18"/>
          <w:szCs w:val="18"/>
          <w:lang w:val="en-US"/>
        </w:rPr>
        <w:t>- Article 15.45 of the Company’s Articles of Association;</w:t>
      </w:r>
    </w:p>
    <w:p w14:paraId="16EC1C61" w14:textId="77777777" w:rsidR="00AB063C" w:rsidRPr="00BD295E" w:rsidRDefault="008A5057" w:rsidP="00272EC7">
      <w:pPr>
        <w:contextualSpacing/>
        <w:jc w:val="both"/>
        <w:rPr>
          <w:rFonts w:ascii="Arial" w:hAnsi="Arial" w:cs="Arial"/>
          <w:sz w:val="18"/>
          <w:szCs w:val="18"/>
          <w:lang w:val="en-US"/>
        </w:rPr>
      </w:pPr>
      <w:r w:rsidRPr="00BD295E">
        <w:rPr>
          <w:rFonts w:ascii="Arial" w:hAnsi="Arial" w:cs="Arial"/>
          <w:sz w:val="18"/>
          <w:szCs w:val="18"/>
          <w:lang w:val="en-US"/>
        </w:rPr>
        <w:t xml:space="preserve">- Resolution of the Company’s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July 14, 2017 (Minutes No. 31 </w:t>
      </w:r>
      <w:r w:rsidR="008B183C" w:rsidRPr="00BD295E">
        <w:rPr>
          <w:rFonts w:ascii="Arial" w:hAnsi="Arial" w:cs="Arial"/>
          <w:sz w:val="18"/>
          <w:szCs w:val="18"/>
          <w:lang w:val="en-US"/>
        </w:rPr>
        <w:t>of</w:t>
      </w:r>
      <w:r w:rsidRPr="00BD295E">
        <w:rPr>
          <w:rFonts w:ascii="Arial" w:hAnsi="Arial" w:cs="Arial"/>
          <w:sz w:val="18"/>
          <w:szCs w:val="18"/>
          <w:lang w:val="en-US"/>
        </w:rPr>
        <w:t xml:space="preserve"> April 19, 2017) on Item No. 2 </w:t>
      </w:r>
      <w:r w:rsidRPr="00BD295E">
        <w:rPr>
          <w:rFonts w:ascii="Arial" w:hAnsi="Arial" w:cs="Arial"/>
          <w:i/>
          <w:iCs/>
          <w:sz w:val="18"/>
          <w:szCs w:val="18"/>
          <w:lang w:val="en-US"/>
        </w:rPr>
        <w:t>On approval of a Methodology for calculating and evaluating the CEO’s performance against KPIs</w:t>
      </w:r>
      <w:r w:rsidRPr="00BD295E">
        <w:rPr>
          <w:rFonts w:ascii="Arial" w:hAnsi="Arial" w:cs="Arial"/>
          <w:sz w:val="18"/>
          <w:szCs w:val="18"/>
          <w:lang w:val="en-US"/>
        </w:rPr>
        <w:t>.</w:t>
      </w:r>
    </w:p>
    <w:p w14:paraId="7B0971B4" w14:textId="77777777" w:rsidR="00AB063C" w:rsidRPr="00BD295E" w:rsidRDefault="008A5057" w:rsidP="00272EC7">
      <w:pPr>
        <w:contextualSpacing/>
        <w:jc w:val="both"/>
        <w:rPr>
          <w:rFonts w:ascii="Arial" w:hAnsi="Arial" w:cs="Arial"/>
          <w:sz w:val="18"/>
          <w:szCs w:val="18"/>
          <w:lang w:val="en-US"/>
        </w:rPr>
      </w:pPr>
      <w:r w:rsidRPr="00BD295E">
        <w:rPr>
          <w:rFonts w:ascii="Arial" w:hAnsi="Arial" w:cs="Arial"/>
          <w:sz w:val="18"/>
          <w:szCs w:val="18"/>
          <w:lang w:val="en-US"/>
        </w:rPr>
        <w:t>In line with the above resolution of the Company’s Board of Directors, the following list of KPIs with the following target values has been set for 2018:</w:t>
      </w:r>
    </w:p>
    <w:p w14:paraId="345BF6A2" w14:textId="77777777" w:rsidR="00AB063C" w:rsidRPr="00BD295E" w:rsidRDefault="00AB063C" w:rsidP="00AB063C">
      <w:pPr>
        <w:ind w:left="-426" w:firstLine="284"/>
        <w:jc w:val="both"/>
        <w:rPr>
          <w:rFonts w:ascii="Arial" w:hAnsi="Arial" w:cs="Arial"/>
          <w:sz w:val="18"/>
          <w:szCs w:val="18"/>
          <w:lang w:val="en-US"/>
        </w:rPr>
      </w:pPr>
    </w:p>
    <w:p w14:paraId="47118296" w14:textId="77777777" w:rsidR="00AB063C" w:rsidRPr="00BD295E" w:rsidRDefault="008A5057" w:rsidP="00AB063C">
      <w:pPr>
        <w:ind w:left="-426" w:firstLine="284"/>
        <w:jc w:val="both"/>
        <w:rPr>
          <w:rFonts w:ascii="Arial" w:hAnsi="Arial" w:cs="Arial"/>
          <w:sz w:val="18"/>
          <w:szCs w:val="18"/>
          <w:lang w:val="en-US"/>
        </w:rPr>
      </w:pPr>
      <w:r w:rsidRPr="00BD295E">
        <w:rPr>
          <w:rFonts w:ascii="Arial" w:hAnsi="Arial" w:cs="Arial"/>
          <w:sz w:val="18"/>
          <w:szCs w:val="18"/>
          <w:lang w:val="en-US"/>
        </w:rPr>
        <w:t>QUARTERLY PERFORMANCE: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2431"/>
        <w:gridCol w:w="2213"/>
        <w:gridCol w:w="2319"/>
      </w:tblGrid>
      <w:tr w:rsidR="008A5057" w:rsidRPr="00BD295E" w14:paraId="43ABD201" w14:textId="77777777" w:rsidTr="0050394F">
        <w:trPr>
          <w:trHeight w:val="397"/>
          <w:tblHeader/>
        </w:trPr>
        <w:tc>
          <w:tcPr>
            <w:tcW w:w="1274" w:type="pct"/>
            <w:tcBorders>
              <w:top w:val="single" w:sz="4" w:space="0" w:color="auto"/>
              <w:left w:val="single" w:sz="4" w:space="0" w:color="auto"/>
              <w:bottom w:val="single" w:sz="4" w:space="0" w:color="auto"/>
              <w:right w:val="single" w:sz="4" w:space="0" w:color="auto"/>
            </w:tcBorders>
            <w:vAlign w:val="center"/>
            <w:hideMark/>
          </w:tcPr>
          <w:p w14:paraId="05CB9740" w14:textId="77777777" w:rsidR="00AB063C" w:rsidRPr="00BD295E" w:rsidRDefault="003912DF" w:rsidP="0050394F">
            <w:pPr>
              <w:jc w:val="center"/>
              <w:rPr>
                <w:rFonts w:ascii="Arial" w:hAnsi="Arial" w:cs="Arial"/>
                <w:sz w:val="18"/>
                <w:szCs w:val="18"/>
                <w:lang w:val="en-US"/>
              </w:rPr>
            </w:pPr>
            <w:r w:rsidRPr="00BD295E">
              <w:rPr>
                <w:rFonts w:ascii="Arial" w:hAnsi="Arial" w:cs="Arial"/>
                <w:sz w:val="18"/>
                <w:szCs w:val="18"/>
                <w:lang w:val="en-US"/>
              </w:rPr>
              <w:t>Indicators</w:t>
            </w:r>
          </w:p>
        </w:tc>
        <w:tc>
          <w:tcPr>
            <w:tcW w:w="1300" w:type="pct"/>
            <w:tcBorders>
              <w:top w:val="single" w:sz="4" w:space="0" w:color="auto"/>
              <w:left w:val="single" w:sz="4" w:space="0" w:color="auto"/>
              <w:bottom w:val="single" w:sz="4" w:space="0" w:color="auto"/>
              <w:right w:val="single" w:sz="4" w:space="0" w:color="auto"/>
            </w:tcBorders>
          </w:tcPr>
          <w:p w14:paraId="6E763529" w14:textId="77777777" w:rsidR="00AB063C" w:rsidRPr="00BD295E" w:rsidRDefault="008A5057" w:rsidP="0050394F">
            <w:pPr>
              <w:jc w:val="center"/>
              <w:rPr>
                <w:rFonts w:ascii="Arial" w:hAnsi="Arial" w:cs="Arial"/>
                <w:sz w:val="18"/>
                <w:szCs w:val="18"/>
                <w:lang w:val="en-US"/>
              </w:rPr>
            </w:pPr>
            <w:r w:rsidRPr="00BD295E">
              <w:rPr>
                <w:rFonts w:ascii="Arial" w:hAnsi="Arial" w:cs="Arial"/>
                <w:sz w:val="18"/>
                <w:szCs w:val="18"/>
                <w:lang w:val="en-US"/>
              </w:rPr>
              <w:t>Results achieved in 2017</w:t>
            </w:r>
          </w:p>
        </w:tc>
        <w:tc>
          <w:tcPr>
            <w:tcW w:w="1184" w:type="pct"/>
            <w:tcBorders>
              <w:top w:val="single" w:sz="4" w:space="0" w:color="auto"/>
              <w:left w:val="single" w:sz="4" w:space="0" w:color="auto"/>
              <w:bottom w:val="single" w:sz="4" w:space="0" w:color="auto"/>
              <w:right w:val="single" w:sz="4" w:space="0" w:color="auto"/>
            </w:tcBorders>
            <w:vAlign w:val="center"/>
            <w:hideMark/>
          </w:tcPr>
          <w:p w14:paraId="47E2479A" w14:textId="77777777" w:rsidR="00AB063C" w:rsidRPr="00BD295E" w:rsidRDefault="008A5057" w:rsidP="0050394F">
            <w:pPr>
              <w:jc w:val="center"/>
              <w:rPr>
                <w:rFonts w:ascii="Arial" w:hAnsi="Arial" w:cs="Arial"/>
                <w:sz w:val="18"/>
                <w:szCs w:val="18"/>
                <w:lang w:val="en-US"/>
              </w:rPr>
            </w:pPr>
            <w:r w:rsidRPr="00BD295E">
              <w:rPr>
                <w:rFonts w:ascii="Arial" w:hAnsi="Arial" w:cs="Arial"/>
                <w:sz w:val="18"/>
                <w:szCs w:val="18"/>
                <w:lang w:val="en-US"/>
              </w:rPr>
              <w:t>2018 target</w:t>
            </w:r>
          </w:p>
        </w:tc>
        <w:tc>
          <w:tcPr>
            <w:tcW w:w="1241" w:type="pct"/>
            <w:tcBorders>
              <w:top w:val="single" w:sz="4" w:space="0" w:color="auto"/>
              <w:left w:val="single" w:sz="4" w:space="0" w:color="auto"/>
              <w:bottom w:val="single" w:sz="4" w:space="0" w:color="auto"/>
              <w:right w:val="single" w:sz="4" w:space="0" w:color="auto"/>
            </w:tcBorders>
          </w:tcPr>
          <w:p w14:paraId="4EE1B364" w14:textId="77777777" w:rsidR="00AB063C" w:rsidRPr="00BD295E" w:rsidRDefault="008A5057" w:rsidP="0050394F">
            <w:pPr>
              <w:jc w:val="center"/>
              <w:rPr>
                <w:rFonts w:ascii="Arial" w:hAnsi="Arial" w:cs="Arial"/>
                <w:sz w:val="18"/>
                <w:szCs w:val="18"/>
                <w:lang w:val="en-US"/>
              </w:rPr>
            </w:pPr>
            <w:r w:rsidRPr="00BD295E">
              <w:rPr>
                <w:rFonts w:ascii="Arial" w:hAnsi="Arial" w:cs="Arial"/>
                <w:sz w:val="18"/>
                <w:szCs w:val="18"/>
                <w:lang w:val="en-US"/>
              </w:rPr>
              <w:t>Results achieved in 2018</w:t>
            </w:r>
          </w:p>
        </w:tc>
      </w:tr>
      <w:tr w:rsidR="008A5057" w:rsidRPr="00BD295E" w14:paraId="0556DBEE" w14:textId="77777777" w:rsidTr="0050394F">
        <w:trPr>
          <w:trHeight w:val="1319"/>
        </w:trPr>
        <w:tc>
          <w:tcPr>
            <w:tcW w:w="1274" w:type="pct"/>
            <w:tcBorders>
              <w:top w:val="single" w:sz="4" w:space="0" w:color="auto"/>
              <w:left w:val="single" w:sz="4" w:space="0" w:color="auto"/>
              <w:bottom w:val="single" w:sz="4" w:space="0" w:color="auto"/>
              <w:right w:val="single" w:sz="4" w:space="0" w:color="auto"/>
            </w:tcBorders>
            <w:shd w:val="clear" w:color="auto" w:fill="auto"/>
            <w:vAlign w:val="center"/>
          </w:tcPr>
          <w:p w14:paraId="31A43F90" w14:textId="5ED92B08" w:rsidR="00AB063C" w:rsidRPr="00BD295E" w:rsidRDefault="00BF7D8E" w:rsidP="0050394F">
            <w:pPr>
              <w:rPr>
                <w:rFonts w:ascii="Arial" w:hAnsi="Arial" w:cs="Arial"/>
                <w:sz w:val="18"/>
                <w:szCs w:val="18"/>
                <w:lang w:val="en-US"/>
              </w:rPr>
            </w:pPr>
            <w:r w:rsidRPr="00BD295E">
              <w:rPr>
                <w:rFonts w:ascii="Arial" w:hAnsi="Arial" w:cs="Arial"/>
                <w:sz w:val="18"/>
                <w:szCs w:val="18"/>
                <w:lang w:val="en-US"/>
              </w:rPr>
              <w:t>Consolidated</w:t>
            </w:r>
            <w:r w:rsidR="008A5057" w:rsidRPr="00BD295E">
              <w:rPr>
                <w:rFonts w:ascii="Arial" w:hAnsi="Arial" w:cs="Arial"/>
                <w:sz w:val="18"/>
                <w:szCs w:val="18"/>
                <w:lang w:val="en-US"/>
              </w:rPr>
              <w:t xml:space="preserve"> EBITDA</w:t>
            </w:r>
          </w:p>
        </w:tc>
        <w:tc>
          <w:tcPr>
            <w:tcW w:w="1300" w:type="pct"/>
            <w:tcBorders>
              <w:top w:val="single" w:sz="4" w:space="0" w:color="auto"/>
              <w:left w:val="single" w:sz="4" w:space="0" w:color="auto"/>
              <w:bottom w:val="single" w:sz="4" w:space="0" w:color="auto"/>
              <w:right w:val="single" w:sz="4" w:space="0" w:color="auto"/>
            </w:tcBorders>
            <w:shd w:val="clear" w:color="auto" w:fill="auto"/>
          </w:tcPr>
          <w:p w14:paraId="052750EE" w14:textId="77777777" w:rsidR="00AB063C" w:rsidRPr="00BD295E" w:rsidRDefault="008A5057" w:rsidP="0050394F">
            <w:pPr>
              <w:spacing w:line="252" w:lineRule="auto"/>
              <w:jc w:val="center"/>
              <w:rPr>
                <w:rFonts w:ascii="Arial" w:eastAsia="Calibri" w:hAnsi="Arial" w:cs="Arial"/>
                <w:sz w:val="18"/>
                <w:szCs w:val="18"/>
                <w:lang w:val="en-US"/>
              </w:rPr>
            </w:pPr>
            <w:r w:rsidRPr="00BD295E">
              <w:rPr>
                <w:rFonts w:ascii="Arial" w:hAnsi="Arial" w:cs="Arial"/>
                <w:sz w:val="18"/>
                <w:szCs w:val="18"/>
                <w:lang w:val="en-US"/>
              </w:rPr>
              <w:t xml:space="preserve">1 quarter ≥ 0 </w:t>
            </w:r>
          </w:p>
          <w:p w14:paraId="5058773A" w14:textId="77777777" w:rsidR="00AB063C" w:rsidRPr="00BD295E" w:rsidRDefault="008A5057" w:rsidP="0050394F">
            <w:pPr>
              <w:spacing w:line="252" w:lineRule="auto"/>
              <w:ind w:left="-28" w:firstLine="28"/>
              <w:contextualSpacing/>
              <w:jc w:val="center"/>
              <w:rPr>
                <w:rFonts w:ascii="Arial" w:hAnsi="Arial" w:cs="Arial"/>
                <w:sz w:val="18"/>
                <w:szCs w:val="18"/>
                <w:lang w:val="en-US"/>
              </w:rPr>
            </w:pPr>
            <w:r w:rsidRPr="00BD295E">
              <w:rPr>
                <w:rFonts w:ascii="Arial" w:hAnsi="Arial" w:cs="Arial"/>
                <w:sz w:val="18"/>
                <w:szCs w:val="18"/>
                <w:lang w:val="en-US"/>
              </w:rPr>
              <w:t>2 quarter ≥ 0</w:t>
            </w:r>
          </w:p>
          <w:p w14:paraId="6CE2D1D2" w14:textId="77777777" w:rsidR="00AB063C" w:rsidRPr="00BD295E" w:rsidRDefault="008A5057" w:rsidP="0050394F">
            <w:pPr>
              <w:spacing w:line="252" w:lineRule="auto"/>
              <w:ind w:left="-28" w:firstLine="28"/>
              <w:contextualSpacing/>
              <w:jc w:val="center"/>
              <w:rPr>
                <w:rFonts w:ascii="Arial" w:hAnsi="Arial" w:cs="Arial"/>
                <w:sz w:val="18"/>
                <w:szCs w:val="18"/>
                <w:lang w:val="en-US"/>
              </w:rPr>
            </w:pPr>
            <w:r w:rsidRPr="00BD295E">
              <w:rPr>
                <w:rFonts w:ascii="Arial" w:hAnsi="Arial" w:cs="Arial"/>
                <w:sz w:val="18"/>
                <w:szCs w:val="18"/>
                <w:lang w:val="en-US"/>
              </w:rPr>
              <w:t>3 quarter ≥ 0</w:t>
            </w:r>
          </w:p>
          <w:p w14:paraId="549858C1" w14:textId="77777777" w:rsidR="00AB063C" w:rsidRPr="00BD295E" w:rsidRDefault="008A5057" w:rsidP="0050394F">
            <w:pPr>
              <w:pStyle w:val="af3"/>
              <w:ind w:left="-28" w:firstLine="28"/>
              <w:jc w:val="center"/>
              <w:rPr>
                <w:rFonts w:ascii="Arial" w:hAnsi="Arial" w:cs="Arial"/>
                <w:sz w:val="18"/>
                <w:szCs w:val="18"/>
                <w:lang w:val="en-US"/>
              </w:rPr>
            </w:pPr>
            <w:r w:rsidRPr="00BD295E">
              <w:rPr>
                <w:rFonts w:ascii="Arial" w:hAnsi="Arial" w:cs="Arial"/>
                <w:sz w:val="18"/>
                <w:szCs w:val="18"/>
                <w:lang w:val="en-US"/>
              </w:rPr>
              <w:t>4 quarter ≥ 5.3%</w:t>
            </w:r>
          </w:p>
        </w:tc>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14:paraId="7391BA81" w14:textId="77777777" w:rsidR="00AB063C" w:rsidRPr="00BD295E" w:rsidRDefault="008A5057" w:rsidP="0050394F">
            <w:pPr>
              <w:pStyle w:val="af3"/>
              <w:ind w:left="0"/>
              <w:jc w:val="center"/>
              <w:rPr>
                <w:rFonts w:ascii="Arial" w:hAnsi="Arial" w:cs="Arial"/>
                <w:sz w:val="18"/>
                <w:szCs w:val="18"/>
                <w:lang w:val="en-US"/>
              </w:rPr>
            </w:pPr>
            <w:r w:rsidRPr="00BD295E">
              <w:rPr>
                <w:rFonts w:ascii="Arial" w:hAnsi="Arial" w:cs="Arial"/>
                <w:sz w:val="18"/>
                <w:szCs w:val="18"/>
                <w:lang w:val="en-US"/>
              </w:rPr>
              <w:t xml:space="preserve">For Q1, 1H, and 9M 2018 ≥ 0; for 12 M 2018 ≥ 3.0%   </w:t>
            </w:r>
          </w:p>
          <w:p w14:paraId="38ACD143" w14:textId="77777777" w:rsidR="00AB063C" w:rsidRPr="00BD295E" w:rsidRDefault="008A5057" w:rsidP="0050394F">
            <w:pPr>
              <w:pStyle w:val="af3"/>
              <w:ind w:left="0"/>
              <w:jc w:val="center"/>
              <w:rPr>
                <w:rFonts w:ascii="Arial" w:hAnsi="Arial" w:cs="Arial"/>
                <w:b/>
                <w:bCs/>
                <w:sz w:val="18"/>
                <w:szCs w:val="18"/>
                <w:lang w:val="en-US"/>
              </w:rPr>
            </w:pPr>
            <w:r w:rsidRPr="00BD295E">
              <w:rPr>
                <w:rFonts w:ascii="Arial" w:hAnsi="Arial" w:cs="Arial"/>
                <w:sz w:val="18"/>
                <w:szCs w:val="18"/>
                <w:lang w:val="en-US"/>
              </w:rPr>
              <w:t xml:space="preserve">For the full year ≥ 3.0%. </w:t>
            </w:r>
            <w:r w:rsidRPr="00BD295E">
              <w:rPr>
                <w:rFonts w:ascii="Arial" w:hAnsi="Arial" w:cs="Arial"/>
                <w:bCs/>
                <w:sz w:val="18"/>
                <w:szCs w:val="18"/>
                <w:lang w:val="en-US"/>
              </w:rPr>
              <w:t xml:space="preserve"> </w:t>
            </w:r>
          </w:p>
        </w:tc>
        <w:tc>
          <w:tcPr>
            <w:tcW w:w="1241" w:type="pct"/>
            <w:tcBorders>
              <w:top w:val="single" w:sz="4" w:space="0" w:color="auto"/>
              <w:left w:val="single" w:sz="4" w:space="0" w:color="auto"/>
              <w:bottom w:val="single" w:sz="4" w:space="0" w:color="auto"/>
              <w:right w:val="single" w:sz="4" w:space="0" w:color="auto"/>
            </w:tcBorders>
            <w:shd w:val="clear" w:color="auto" w:fill="auto"/>
          </w:tcPr>
          <w:p w14:paraId="58E4CE7B" w14:textId="77777777" w:rsidR="00AB063C" w:rsidRPr="00BD295E" w:rsidRDefault="008A5057" w:rsidP="0050394F">
            <w:pPr>
              <w:pStyle w:val="af3"/>
              <w:ind w:left="0"/>
              <w:jc w:val="center"/>
              <w:rPr>
                <w:rFonts w:ascii="Arial" w:hAnsi="Arial" w:cs="Arial"/>
                <w:sz w:val="18"/>
                <w:szCs w:val="18"/>
                <w:lang w:val="en-US"/>
              </w:rPr>
            </w:pPr>
            <w:r w:rsidRPr="00BD295E">
              <w:rPr>
                <w:rFonts w:ascii="Arial" w:hAnsi="Arial" w:cs="Arial"/>
                <w:sz w:val="18"/>
                <w:szCs w:val="18"/>
                <w:lang w:val="en-US"/>
              </w:rPr>
              <w:t>1 quarter ≥ 0</w:t>
            </w:r>
            <w:r w:rsidRPr="00BD295E">
              <w:rPr>
                <w:rFonts w:ascii="Arial" w:hAnsi="Arial" w:cs="Arial"/>
                <w:bCs/>
                <w:sz w:val="18"/>
                <w:szCs w:val="18"/>
                <w:lang w:val="en-US"/>
              </w:rPr>
              <w:t xml:space="preserve"> </w:t>
            </w:r>
            <w:r w:rsidRPr="00BD295E">
              <w:rPr>
                <w:rFonts w:ascii="Arial" w:hAnsi="Arial" w:cs="Arial"/>
                <w:sz w:val="18"/>
                <w:szCs w:val="18"/>
                <w:lang w:val="en-US"/>
              </w:rPr>
              <w:t xml:space="preserve"> </w:t>
            </w:r>
          </w:p>
          <w:p w14:paraId="5CD22809" w14:textId="77777777" w:rsidR="00AB063C" w:rsidRPr="00BD295E" w:rsidRDefault="008A5057" w:rsidP="0050394F">
            <w:pPr>
              <w:pStyle w:val="af3"/>
              <w:ind w:left="0"/>
              <w:jc w:val="center"/>
              <w:rPr>
                <w:rFonts w:ascii="Arial" w:hAnsi="Arial" w:cs="Arial"/>
                <w:sz w:val="18"/>
                <w:szCs w:val="18"/>
                <w:lang w:val="en-US"/>
              </w:rPr>
            </w:pPr>
            <w:r w:rsidRPr="00BD295E">
              <w:rPr>
                <w:rFonts w:ascii="Arial" w:hAnsi="Arial" w:cs="Arial"/>
                <w:sz w:val="18"/>
                <w:szCs w:val="18"/>
                <w:lang w:val="en-US"/>
              </w:rPr>
              <w:t>2 quarter ≥ 0</w:t>
            </w:r>
          </w:p>
        </w:tc>
      </w:tr>
      <w:tr w:rsidR="008A5057" w:rsidRPr="00BD295E" w14:paraId="38E8E9BC" w14:textId="77777777" w:rsidTr="0050394F">
        <w:trPr>
          <w:trHeight w:val="340"/>
        </w:trPr>
        <w:tc>
          <w:tcPr>
            <w:tcW w:w="1274" w:type="pct"/>
            <w:tcBorders>
              <w:top w:val="single" w:sz="4" w:space="0" w:color="auto"/>
              <w:left w:val="single" w:sz="4" w:space="0" w:color="auto"/>
              <w:bottom w:val="single" w:sz="4" w:space="0" w:color="auto"/>
              <w:right w:val="single" w:sz="4" w:space="0" w:color="auto"/>
            </w:tcBorders>
            <w:shd w:val="clear" w:color="auto" w:fill="auto"/>
            <w:vAlign w:val="center"/>
          </w:tcPr>
          <w:p w14:paraId="703FFA32" w14:textId="6A1C2FBA" w:rsidR="00AB063C" w:rsidRPr="00BD295E" w:rsidRDefault="00BF7D8E" w:rsidP="0050394F">
            <w:pPr>
              <w:rPr>
                <w:rFonts w:ascii="Arial" w:hAnsi="Arial" w:cs="Arial"/>
                <w:sz w:val="18"/>
                <w:szCs w:val="18"/>
                <w:lang w:val="en-US"/>
              </w:rPr>
            </w:pPr>
            <w:r w:rsidRPr="00BD295E">
              <w:rPr>
                <w:rFonts w:ascii="Arial" w:hAnsi="Arial" w:cs="Arial"/>
                <w:sz w:val="18"/>
                <w:szCs w:val="18"/>
                <w:lang w:val="en-US"/>
              </w:rPr>
              <w:t>Consolidated</w:t>
            </w:r>
            <w:r w:rsidR="008A5057" w:rsidRPr="00BD295E">
              <w:rPr>
                <w:rFonts w:ascii="Arial" w:hAnsi="Arial" w:cs="Arial"/>
                <w:sz w:val="18"/>
                <w:szCs w:val="18"/>
                <w:lang w:val="en-US"/>
              </w:rPr>
              <w:t xml:space="preserve"> Net Debt/EBITDA</w:t>
            </w:r>
          </w:p>
        </w:tc>
        <w:tc>
          <w:tcPr>
            <w:tcW w:w="1300" w:type="pct"/>
            <w:tcBorders>
              <w:top w:val="single" w:sz="4" w:space="0" w:color="auto"/>
              <w:left w:val="single" w:sz="4" w:space="0" w:color="auto"/>
              <w:bottom w:val="single" w:sz="4" w:space="0" w:color="auto"/>
              <w:right w:val="single" w:sz="4" w:space="0" w:color="auto"/>
            </w:tcBorders>
            <w:shd w:val="clear" w:color="auto" w:fill="auto"/>
          </w:tcPr>
          <w:p w14:paraId="616E4DF8" w14:textId="77777777" w:rsidR="00AB063C" w:rsidRPr="00BD295E" w:rsidRDefault="008A5057" w:rsidP="0050394F">
            <w:pPr>
              <w:spacing w:line="252" w:lineRule="auto"/>
              <w:jc w:val="center"/>
              <w:rPr>
                <w:rFonts w:ascii="Arial" w:eastAsia="Calibri" w:hAnsi="Arial" w:cs="Arial"/>
                <w:sz w:val="18"/>
                <w:szCs w:val="18"/>
                <w:lang w:val="en-US"/>
              </w:rPr>
            </w:pPr>
            <w:r w:rsidRPr="00BD295E">
              <w:rPr>
                <w:rFonts w:ascii="Arial" w:hAnsi="Arial" w:cs="Arial"/>
                <w:sz w:val="18"/>
                <w:szCs w:val="18"/>
                <w:lang w:val="en-US"/>
              </w:rPr>
              <w:t xml:space="preserve">1 quarter ≤ 3.0 </w:t>
            </w:r>
          </w:p>
          <w:p w14:paraId="5FB1FC08" w14:textId="77777777" w:rsidR="00AB063C" w:rsidRPr="00BD295E" w:rsidRDefault="008A5057" w:rsidP="0050394F">
            <w:pPr>
              <w:spacing w:line="252" w:lineRule="auto"/>
              <w:ind w:left="-28" w:firstLine="28"/>
              <w:contextualSpacing/>
              <w:jc w:val="center"/>
              <w:rPr>
                <w:rFonts w:ascii="Arial" w:hAnsi="Arial" w:cs="Arial"/>
                <w:sz w:val="18"/>
                <w:szCs w:val="18"/>
                <w:lang w:val="en-US"/>
              </w:rPr>
            </w:pPr>
            <w:r w:rsidRPr="00BD295E">
              <w:rPr>
                <w:rFonts w:ascii="Arial" w:hAnsi="Arial" w:cs="Arial"/>
                <w:sz w:val="18"/>
                <w:szCs w:val="18"/>
                <w:lang w:val="en-US"/>
              </w:rPr>
              <w:t>2 quarter ≤ 3.0</w:t>
            </w:r>
          </w:p>
          <w:p w14:paraId="4A1EB00C" w14:textId="77777777" w:rsidR="00AB063C" w:rsidRPr="00BD295E" w:rsidRDefault="008A5057" w:rsidP="0050394F">
            <w:pPr>
              <w:spacing w:line="252" w:lineRule="auto"/>
              <w:ind w:left="-28" w:firstLine="28"/>
              <w:contextualSpacing/>
              <w:jc w:val="center"/>
              <w:rPr>
                <w:rFonts w:ascii="Arial" w:hAnsi="Arial" w:cs="Arial"/>
                <w:sz w:val="18"/>
                <w:szCs w:val="18"/>
                <w:lang w:val="en-US"/>
              </w:rPr>
            </w:pPr>
            <w:r w:rsidRPr="00BD295E">
              <w:rPr>
                <w:rFonts w:ascii="Arial" w:hAnsi="Arial" w:cs="Arial"/>
                <w:sz w:val="18"/>
                <w:szCs w:val="18"/>
                <w:lang w:val="en-US"/>
              </w:rPr>
              <w:t>3 quarter ≤ 3.0</w:t>
            </w:r>
          </w:p>
          <w:p w14:paraId="1654A0D7"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sz w:val="18"/>
                <w:szCs w:val="18"/>
                <w:lang w:val="en-US"/>
              </w:rPr>
              <w:t>4 quarter ≤ 3.0</w:t>
            </w:r>
          </w:p>
        </w:tc>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14:paraId="47AB21D6"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bCs/>
                <w:sz w:val="18"/>
                <w:szCs w:val="18"/>
                <w:lang w:val="en-US"/>
              </w:rPr>
              <w:t>Q1, 2, 3, 4 ≤ 3,0</w:t>
            </w:r>
          </w:p>
        </w:tc>
        <w:tc>
          <w:tcPr>
            <w:tcW w:w="1241" w:type="pct"/>
            <w:tcBorders>
              <w:top w:val="single" w:sz="4" w:space="0" w:color="auto"/>
              <w:left w:val="single" w:sz="4" w:space="0" w:color="auto"/>
              <w:bottom w:val="single" w:sz="4" w:space="0" w:color="auto"/>
              <w:right w:val="single" w:sz="4" w:space="0" w:color="auto"/>
            </w:tcBorders>
            <w:shd w:val="clear" w:color="auto" w:fill="auto"/>
          </w:tcPr>
          <w:p w14:paraId="0B3DDE65" w14:textId="77777777" w:rsidR="00AB063C" w:rsidRPr="00BD295E" w:rsidRDefault="008A5057" w:rsidP="0050394F">
            <w:pPr>
              <w:pStyle w:val="af3"/>
              <w:ind w:left="0"/>
              <w:jc w:val="center"/>
              <w:rPr>
                <w:rFonts w:ascii="Arial" w:hAnsi="Arial" w:cs="Arial"/>
                <w:sz w:val="18"/>
                <w:szCs w:val="18"/>
                <w:lang w:val="en-US"/>
              </w:rPr>
            </w:pPr>
            <w:r w:rsidRPr="00BD295E">
              <w:rPr>
                <w:rFonts w:ascii="Arial" w:hAnsi="Arial" w:cs="Arial"/>
                <w:sz w:val="18"/>
                <w:szCs w:val="18"/>
                <w:lang w:val="en-US"/>
              </w:rPr>
              <w:t>1 quarter ≤ 3.0</w:t>
            </w:r>
            <w:r w:rsidRPr="00BD295E">
              <w:rPr>
                <w:rFonts w:ascii="Arial" w:hAnsi="Arial" w:cs="Arial"/>
                <w:bCs/>
                <w:sz w:val="18"/>
                <w:szCs w:val="18"/>
                <w:lang w:val="en-US"/>
              </w:rPr>
              <w:t xml:space="preserve"> </w:t>
            </w:r>
            <w:r w:rsidRPr="00BD295E">
              <w:rPr>
                <w:rFonts w:ascii="Arial" w:hAnsi="Arial" w:cs="Arial"/>
                <w:sz w:val="18"/>
                <w:szCs w:val="18"/>
                <w:lang w:val="en-US"/>
              </w:rPr>
              <w:t xml:space="preserve"> </w:t>
            </w:r>
          </w:p>
          <w:p w14:paraId="5F897F63"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sz w:val="18"/>
                <w:szCs w:val="18"/>
                <w:lang w:val="en-US"/>
              </w:rPr>
              <w:t>2 quarter ≤ 3.0</w:t>
            </w:r>
            <w:r w:rsidRPr="00BD295E">
              <w:rPr>
                <w:rFonts w:ascii="Arial" w:hAnsi="Arial" w:cs="Arial"/>
                <w:bCs/>
                <w:sz w:val="18"/>
                <w:szCs w:val="18"/>
                <w:lang w:val="en-US"/>
              </w:rPr>
              <w:t xml:space="preserve"> </w:t>
            </w:r>
          </w:p>
        </w:tc>
      </w:tr>
      <w:tr w:rsidR="008A5057" w:rsidRPr="00BD295E" w14:paraId="190BFCD1" w14:textId="77777777" w:rsidTr="0050394F">
        <w:trPr>
          <w:trHeight w:val="340"/>
        </w:trPr>
        <w:tc>
          <w:tcPr>
            <w:tcW w:w="1274" w:type="pct"/>
            <w:tcBorders>
              <w:top w:val="single" w:sz="4" w:space="0" w:color="auto"/>
              <w:left w:val="single" w:sz="4" w:space="0" w:color="auto"/>
              <w:bottom w:val="single" w:sz="4" w:space="0" w:color="auto"/>
              <w:right w:val="single" w:sz="4" w:space="0" w:color="auto"/>
            </w:tcBorders>
            <w:shd w:val="clear" w:color="auto" w:fill="auto"/>
            <w:vAlign w:val="center"/>
          </w:tcPr>
          <w:p w14:paraId="5A5B92EF" w14:textId="77777777" w:rsidR="00AB063C" w:rsidRPr="00BD295E" w:rsidRDefault="008A5057" w:rsidP="0050394F">
            <w:pPr>
              <w:rPr>
                <w:rFonts w:ascii="Arial" w:hAnsi="Arial" w:cs="Arial"/>
                <w:sz w:val="18"/>
                <w:szCs w:val="18"/>
                <w:lang w:val="en-US"/>
              </w:rPr>
            </w:pPr>
            <w:r w:rsidRPr="00BD295E">
              <w:rPr>
                <w:rFonts w:ascii="Arial" w:hAnsi="Arial" w:cs="Arial"/>
                <w:sz w:val="18"/>
                <w:szCs w:val="18"/>
                <w:lang w:val="en-US"/>
              </w:rPr>
              <w:t xml:space="preserve">Implementation of an action plan to reduce receivables of the Company’s </w:t>
            </w:r>
            <w:r w:rsidR="006515AB" w:rsidRPr="00BD295E">
              <w:rPr>
                <w:rFonts w:ascii="Arial" w:hAnsi="Arial" w:cs="Arial"/>
                <w:sz w:val="18"/>
                <w:szCs w:val="18"/>
                <w:lang w:val="en-US"/>
              </w:rPr>
              <w:t>subsidiaries and affiliates</w:t>
            </w:r>
          </w:p>
        </w:tc>
        <w:tc>
          <w:tcPr>
            <w:tcW w:w="1300" w:type="pct"/>
            <w:tcBorders>
              <w:top w:val="single" w:sz="4" w:space="0" w:color="auto"/>
              <w:left w:val="single" w:sz="4" w:space="0" w:color="auto"/>
              <w:bottom w:val="single" w:sz="4" w:space="0" w:color="auto"/>
              <w:right w:val="single" w:sz="4" w:space="0" w:color="auto"/>
            </w:tcBorders>
            <w:shd w:val="clear" w:color="auto" w:fill="auto"/>
          </w:tcPr>
          <w:p w14:paraId="0620B92A" w14:textId="77777777" w:rsidR="00AB063C" w:rsidRPr="00BD295E" w:rsidRDefault="008A5057" w:rsidP="0050394F">
            <w:pPr>
              <w:spacing w:line="252" w:lineRule="auto"/>
              <w:jc w:val="center"/>
              <w:rPr>
                <w:rFonts w:ascii="Arial" w:eastAsia="Calibri" w:hAnsi="Arial" w:cs="Arial"/>
                <w:sz w:val="18"/>
                <w:szCs w:val="18"/>
                <w:lang w:val="en-US"/>
              </w:rPr>
            </w:pPr>
            <w:r w:rsidRPr="00BD295E">
              <w:rPr>
                <w:rFonts w:ascii="Arial" w:hAnsi="Arial" w:cs="Arial"/>
                <w:sz w:val="18"/>
                <w:szCs w:val="18"/>
                <w:lang w:val="en-US"/>
              </w:rPr>
              <w:t xml:space="preserve">1 quarter ≥ 100.0% </w:t>
            </w:r>
          </w:p>
          <w:p w14:paraId="306C27AC" w14:textId="77777777" w:rsidR="00AB063C" w:rsidRPr="00BD295E" w:rsidRDefault="008A5057" w:rsidP="0050394F">
            <w:pPr>
              <w:spacing w:line="252" w:lineRule="auto"/>
              <w:ind w:left="-28" w:firstLine="28"/>
              <w:contextualSpacing/>
              <w:jc w:val="center"/>
              <w:rPr>
                <w:rFonts w:ascii="Arial" w:hAnsi="Arial" w:cs="Arial"/>
                <w:sz w:val="18"/>
                <w:szCs w:val="18"/>
                <w:lang w:val="en-US"/>
              </w:rPr>
            </w:pPr>
            <w:r w:rsidRPr="00BD295E">
              <w:rPr>
                <w:rFonts w:ascii="Arial" w:hAnsi="Arial" w:cs="Arial"/>
                <w:sz w:val="18"/>
                <w:szCs w:val="18"/>
                <w:lang w:val="en-US"/>
              </w:rPr>
              <w:t>2 quarter ≥ 100.0%</w:t>
            </w:r>
          </w:p>
          <w:p w14:paraId="403AB9CA" w14:textId="77777777" w:rsidR="00AB063C" w:rsidRPr="00BD295E" w:rsidRDefault="008A5057" w:rsidP="0050394F">
            <w:pPr>
              <w:spacing w:line="252" w:lineRule="auto"/>
              <w:ind w:left="-28" w:firstLine="28"/>
              <w:contextualSpacing/>
              <w:jc w:val="center"/>
              <w:rPr>
                <w:rFonts w:ascii="Arial" w:hAnsi="Arial" w:cs="Arial"/>
                <w:sz w:val="18"/>
                <w:szCs w:val="18"/>
                <w:lang w:val="en-US"/>
              </w:rPr>
            </w:pPr>
            <w:r w:rsidRPr="00BD295E">
              <w:rPr>
                <w:rFonts w:ascii="Arial" w:hAnsi="Arial" w:cs="Arial"/>
                <w:sz w:val="18"/>
                <w:szCs w:val="18"/>
                <w:lang w:val="en-US"/>
              </w:rPr>
              <w:t>3 quarter ≥ 100.0%</w:t>
            </w:r>
          </w:p>
          <w:p w14:paraId="27F65F17"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sz w:val="18"/>
                <w:szCs w:val="18"/>
                <w:lang w:val="en-US"/>
              </w:rPr>
              <w:t>4 quarter ≥ 100.0%</w:t>
            </w:r>
          </w:p>
        </w:tc>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14:paraId="31AAADA1"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bCs/>
                <w:sz w:val="18"/>
                <w:szCs w:val="18"/>
                <w:lang w:val="en-US"/>
              </w:rPr>
              <w:t xml:space="preserve"> ≤ 100.0%</w:t>
            </w:r>
          </w:p>
        </w:tc>
        <w:tc>
          <w:tcPr>
            <w:tcW w:w="1241" w:type="pct"/>
            <w:tcBorders>
              <w:top w:val="single" w:sz="4" w:space="0" w:color="auto"/>
              <w:left w:val="single" w:sz="4" w:space="0" w:color="auto"/>
              <w:bottom w:val="single" w:sz="4" w:space="0" w:color="auto"/>
              <w:right w:val="single" w:sz="4" w:space="0" w:color="auto"/>
            </w:tcBorders>
            <w:shd w:val="clear" w:color="auto" w:fill="auto"/>
          </w:tcPr>
          <w:p w14:paraId="7BD3BCC5" w14:textId="77777777" w:rsidR="00AB063C" w:rsidRPr="00BD295E" w:rsidRDefault="008A5057" w:rsidP="0050394F">
            <w:pPr>
              <w:pStyle w:val="af3"/>
              <w:ind w:left="0"/>
              <w:jc w:val="center"/>
              <w:rPr>
                <w:rFonts w:ascii="Arial" w:hAnsi="Arial" w:cs="Arial"/>
                <w:sz w:val="18"/>
                <w:szCs w:val="18"/>
                <w:lang w:val="en-US"/>
              </w:rPr>
            </w:pPr>
            <w:r w:rsidRPr="00BD295E">
              <w:rPr>
                <w:rFonts w:ascii="Arial" w:hAnsi="Arial" w:cs="Arial"/>
                <w:sz w:val="18"/>
                <w:szCs w:val="18"/>
                <w:lang w:val="en-US"/>
              </w:rPr>
              <w:t>1 quarter ≥ 100.0%</w:t>
            </w:r>
            <w:r w:rsidRPr="00BD295E">
              <w:rPr>
                <w:rFonts w:ascii="Arial" w:hAnsi="Arial" w:cs="Arial"/>
                <w:bCs/>
                <w:sz w:val="18"/>
                <w:szCs w:val="18"/>
                <w:lang w:val="en-US"/>
              </w:rPr>
              <w:t xml:space="preserve"> </w:t>
            </w:r>
            <w:r w:rsidRPr="00BD295E">
              <w:rPr>
                <w:rFonts w:ascii="Arial" w:hAnsi="Arial" w:cs="Arial"/>
                <w:sz w:val="18"/>
                <w:szCs w:val="18"/>
                <w:lang w:val="en-US"/>
              </w:rPr>
              <w:t xml:space="preserve"> </w:t>
            </w:r>
          </w:p>
          <w:p w14:paraId="04FDD61E"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sz w:val="18"/>
                <w:szCs w:val="18"/>
                <w:lang w:val="en-US"/>
              </w:rPr>
              <w:t>2 quarter ≥ 100.0%</w:t>
            </w:r>
          </w:p>
        </w:tc>
      </w:tr>
      <w:tr w:rsidR="008A5057" w:rsidRPr="00BD295E" w14:paraId="37670AA0" w14:textId="77777777" w:rsidTr="0050394F">
        <w:trPr>
          <w:trHeight w:val="397"/>
        </w:trPr>
        <w:tc>
          <w:tcPr>
            <w:tcW w:w="1274" w:type="pct"/>
            <w:tcBorders>
              <w:top w:val="single" w:sz="4" w:space="0" w:color="auto"/>
              <w:left w:val="single" w:sz="4" w:space="0" w:color="auto"/>
              <w:bottom w:val="single" w:sz="4" w:space="0" w:color="auto"/>
              <w:right w:val="single" w:sz="4" w:space="0" w:color="auto"/>
            </w:tcBorders>
            <w:shd w:val="clear" w:color="auto" w:fill="auto"/>
            <w:vAlign w:val="center"/>
          </w:tcPr>
          <w:p w14:paraId="7BEE8F13" w14:textId="77777777" w:rsidR="00AB063C" w:rsidRPr="00BD295E" w:rsidRDefault="008A5057" w:rsidP="0050394F">
            <w:pPr>
              <w:rPr>
                <w:rFonts w:ascii="Arial" w:hAnsi="Arial" w:cs="Arial"/>
                <w:sz w:val="18"/>
                <w:szCs w:val="18"/>
                <w:lang w:val="en-US"/>
              </w:rPr>
            </w:pPr>
            <w:r w:rsidRPr="00BD295E">
              <w:rPr>
                <w:rFonts w:ascii="Arial" w:hAnsi="Arial" w:cs="Arial"/>
                <w:sz w:val="18"/>
                <w:szCs w:val="18"/>
                <w:lang w:val="en-US"/>
              </w:rPr>
              <w:t>No increase in major accidents</w:t>
            </w:r>
          </w:p>
        </w:tc>
        <w:tc>
          <w:tcPr>
            <w:tcW w:w="1300" w:type="pct"/>
            <w:tcBorders>
              <w:top w:val="single" w:sz="4" w:space="0" w:color="auto"/>
              <w:left w:val="single" w:sz="4" w:space="0" w:color="auto"/>
              <w:bottom w:val="single" w:sz="4" w:space="0" w:color="auto"/>
              <w:right w:val="single" w:sz="4" w:space="0" w:color="auto"/>
            </w:tcBorders>
            <w:shd w:val="clear" w:color="auto" w:fill="auto"/>
          </w:tcPr>
          <w:p w14:paraId="09F3D21A" w14:textId="77777777" w:rsidR="00AB063C" w:rsidRPr="00BD295E" w:rsidRDefault="008A5057" w:rsidP="0050394F">
            <w:pPr>
              <w:spacing w:line="252" w:lineRule="auto"/>
              <w:jc w:val="center"/>
              <w:rPr>
                <w:rFonts w:ascii="Arial" w:eastAsia="Calibri" w:hAnsi="Arial" w:cs="Arial"/>
                <w:sz w:val="18"/>
                <w:szCs w:val="18"/>
                <w:lang w:val="en-US"/>
              </w:rPr>
            </w:pPr>
            <w:r w:rsidRPr="00BD295E">
              <w:rPr>
                <w:rFonts w:ascii="Arial" w:hAnsi="Arial" w:cs="Arial"/>
                <w:sz w:val="18"/>
                <w:szCs w:val="18"/>
                <w:lang w:val="en-US"/>
              </w:rPr>
              <w:t>Q1 – No increase</w:t>
            </w:r>
          </w:p>
          <w:p w14:paraId="69CFEF35" w14:textId="77777777" w:rsidR="00AB063C" w:rsidRPr="00BD295E" w:rsidRDefault="008A5057" w:rsidP="0050394F">
            <w:pPr>
              <w:spacing w:line="252" w:lineRule="auto"/>
              <w:jc w:val="center"/>
              <w:rPr>
                <w:rFonts w:ascii="Arial" w:hAnsi="Arial" w:cs="Arial"/>
                <w:sz w:val="18"/>
                <w:szCs w:val="18"/>
                <w:lang w:val="en-US"/>
              </w:rPr>
            </w:pPr>
            <w:r w:rsidRPr="00BD295E">
              <w:rPr>
                <w:rFonts w:ascii="Arial" w:hAnsi="Arial" w:cs="Arial"/>
                <w:sz w:val="18"/>
                <w:szCs w:val="18"/>
                <w:lang w:val="en-US"/>
              </w:rPr>
              <w:t>Q2 – No increase</w:t>
            </w:r>
          </w:p>
          <w:p w14:paraId="6918B432" w14:textId="77777777" w:rsidR="00AB063C" w:rsidRPr="00BD295E" w:rsidRDefault="008A5057" w:rsidP="0050394F">
            <w:pPr>
              <w:spacing w:line="252" w:lineRule="auto"/>
              <w:jc w:val="center"/>
              <w:rPr>
                <w:rFonts w:ascii="Arial" w:hAnsi="Arial" w:cs="Arial"/>
                <w:sz w:val="18"/>
                <w:szCs w:val="18"/>
                <w:lang w:val="en-US"/>
              </w:rPr>
            </w:pPr>
            <w:r w:rsidRPr="00BD295E">
              <w:rPr>
                <w:rFonts w:ascii="Arial" w:hAnsi="Arial" w:cs="Arial"/>
                <w:sz w:val="18"/>
                <w:szCs w:val="18"/>
                <w:lang w:val="en-US"/>
              </w:rPr>
              <w:t>Q3 – No increase</w:t>
            </w:r>
          </w:p>
          <w:p w14:paraId="73C5CA3D"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sz w:val="18"/>
                <w:szCs w:val="18"/>
                <w:lang w:val="en-US"/>
              </w:rPr>
              <w:t>Q4 – No increase</w:t>
            </w:r>
          </w:p>
        </w:tc>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14:paraId="05EC6B78"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bCs/>
                <w:sz w:val="18"/>
                <w:szCs w:val="18"/>
                <w:lang w:val="en-US"/>
              </w:rPr>
              <w:t>No increase</w:t>
            </w:r>
          </w:p>
        </w:tc>
        <w:tc>
          <w:tcPr>
            <w:tcW w:w="1241" w:type="pct"/>
            <w:tcBorders>
              <w:top w:val="single" w:sz="4" w:space="0" w:color="auto"/>
              <w:left w:val="single" w:sz="4" w:space="0" w:color="auto"/>
              <w:bottom w:val="single" w:sz="4" w:space="0" w:color="auto"/>
              <w:right w:val="single" w:sz="4" w:space="0" w:color="auto"/>
            </w:tcBorders>
            <w:shd w:val="clear" w:color="auto" w:fill="auto"/>
          </w:tcPr>
          <w:p w14:paraId="59E37DE2" w14:textId="77777777" w:rsidR="00AB063C" w:rsidRPr="00BD295E" w:rsidRDefault="008A5057" w:rsidP="0050394F">
            <w:pPr>
              <w:pStyle w:val="af3"/>
              <w:ind w:left="0"/>
              <w:jc w:val="center"/>
              <w:rPr>
                <w:rFonts w:ascii="Arial" w:hAnsi="Arial" w:cs="Arial"/>
                <w:sz w:val="18"/>
                <w:szCs w:val="18"/>
                <w:lang w:val="en-US"/>
              </w:rPr>
            </w:pPr>
            <w:r w:rsidRPr="00BD295E">
              <w:rPr>
                <w:rFonts w:ascii="Arial" w:hAnsi="Arial" w:cs="Arial"/>
                <w:sz w:val="18"/>
                <w:szCs w:val="18"/>
                <w:lang w:val="en-US"/>
              </w:rPr>
              <w:t>Q1 – No increase</w:t>
            </w:r>
          </w:p>
          <w:p w14:paraId="07613626"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sz w:val="18"/>
                <w:szCs w:val="18"/>
                <w:lang w:val="en-US"/>
              </w:rPr>
              <w:t>Q2 – No increase</w:t>
            </w:r>
          </w:p>
        </w:tc>
      </w:tr>
      <w:tr w:rsidR="008A5057" w:rsidRPr="00BD295E" w14:paraId="52667B3C" w14:textId="77777777" w:rsidTr="0050394F">
        <w:tc>
          <w:tcPr>
            <w:tcW w:w="1274" w:type="pct"/>
            <w:tcBorders>
              <w:top w:val="single" w:sz="4" w:space="0" w:color="auto"/>
              <w:left w:val="single" w:sz="4" w:space="0" w:color="auto"/>
              <w:bottom w:val="single" w:sz="4" w:space="0" w:color="auto"/>
              <w:right w:val="single" w:sz="4" w:space="0" w:color="auto"/>
            </w:tcBorders>
            <w:shd w:val="clear" w:color="auto" w:fill="auto"/>
            <w:vAlign w:val="center"/>
          </w:tcPr>
          <w:p w14:paraId="070F6628" w14:textId="77777777" w:rsidR="00AB063C" w:rsidRPr="00BD295E" w:rsidRDefault="008A5057" w:rsidP="0050394F">
            <w:pPr>
              <w:rPr>
                <w:rFonts w:ascii="Arial" w:hAnsi="Arial" w:cs="Arial"/>
                <w:sz w:val="18"/>
                <w:szCs w:val="18"/>
                <w:lang w:val="en-US"/>
              </w:rPr>
            </w:pPr>
            <w:r w:rsidRPr="00BD295E">
              <w:rPr>
                <w:rFonts w:ascii="Arial" w:hAnsi="Arial" w:cs="Arial"/>
                <w:sz w:val="18"/>
                <w:szCs w:val="18"/>
                <w:lang w:val="en-US"/>
              </w:rPr>
              <w:t>No increase in the number of persons injured in accidents</w:t>
            </w:r>
          </w:p>
        </w:tc>
        <w:tc>
          <w:tcPr>
            <w:tcW w:w="1300" w:type="pct"/>
            <w:tcBorders>
              <w:top w:val="single" w:sz="4" w:space="0" w:color="auto"/>
              <w:left w:val="single" w:sz="4" w:space="0" w:color="auto"/>
              <w:bottom w:val="single" w:sz="4" w:space="0" w:color="auto"/>
              <w:right w:val="single" w:sz="4" w:space="0" w:color="auto"/>
            </w:tcBorders>
            <w:shd w:val="clear" w:color="auto" w:fill="auto"/>
          </w:tcPr>
          <w:p w14:paraId="74CED1B0" w14:textId="77777777" w:rsidR="00AB063C" w:rsidRPr="00BD295E" w:rsidRDefault="008A5057" w:rsidP="0050394F">
            <w:pPr>
              <w:spacing w:line="252" w:lineRule="auto"/>
              <w:jc w:val="center"/>
              <w:rPr>
                <w:rFonts w:ascii="Arial" w:eastAsia="Calibri" w:hAnsi="Arial" w:cs="Arial"/>
                <w:sz w:val="18"/>
                <w:szCs w:val="18"/>
                <w:lang w:val="en-US"/>
              </w:rPr>
            </w:pPr>
            <w:r w:rsidRPr="00BD295E">
              <w:rPr>
                <w:rFonts w:ascii="Arial" w:hAnsi="Arial" w:cs="Arial"/>
                <w:sz w:val="18"/>
                <w:szCs w:val="18"/>
                <w:lang w:val="en-US"/>
              </w:rPr>
              <w:t>Q1 – No increase</w:t>
            </w:r>
          </w:p>
          <w:p w14:paraId="3D4F3FE1" w14:textId="77777777" w:rsidR="00AB063C" w:rsidRPr="00BD295E" w:rsidRDefault="008A5057" w:rsidP="0050394F">
            <w:pPr>
              <w:spacing w:line="252" w:lineRule="auto"/>
              <w:jc w:val="center"/>
              <w:rPr>
                <w:rFonts w:ascii="Arial" w:hAnsi="Arial" w:cs="Arial"/>
                <w:sz w:val="18"/>
                <w:szCs w:val="18"/>
                <w:lang w:val="en-US"/>
              </w:rPr>
            </w:pPr>
            <w:r w:rsidRPr="00BD295E">
              <w:rPr>
                <w:rFonts w:ascii="Arial" w:hAnsi="Arial" w:cs="Arial"/>
                <w:sz w:val="18"/>
                <w:szCs w:val="18"/>
                <w:lang w:val="en-US"/>
              </w:rPr>
              <w:t>Q2 – An increase</w:t>
            </w:r>
          </w:p>
          <w:p w14:paraId="245266CB" w14:textId="77777777" w:rsidR="00AB063C" w:rsidRPr="00BD295E" w:rsidRDefault="008A5057" w:rsidP="0050394F">
            <w:pPr>
              <w:spacing w:line="252" w:lineRule="auto"/>
              <w:jc w:val="center"/>
              <w:rPr>
                <w:rFonts w:ascii="Arial" w:hAnsi="Arial" w:cs="Arial"/>
                <w:sz w:val="18"/>
                <w:szCs w:val="18"/>
                <w:lang w:val="en-US"/>
              </w:rPr>
            </w:pPr>
            <w:r w:rsidRPr="00BD295E">
              <w:rPr>
                <w:rFonts w:ascii="Arial" w:hAnsi="Arial" w:cs="Arial"/>
                <w:sz w:val="18"/>
                <w:szCs w:val="18"/>
                <w:lang w:val="en-US"/>
              </w:rPr>
              <w:t>Q3 – No increase</w:t>
            </w:r>
          </w:p>
          <w:p w14:paraId="083E3B3D"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sz w:val="18"/>
                <w:szCs w:val="18"/>
                <w:lang w:val="en-US"/>
              </w:rPr>
              <w:t>Q4 – An increase</w:t>
            </w:r>
          </w:p>
        </w:tc>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14:paraId="56733D32"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bCs/>
                <w:sz w:val="18"/>
                <w:szCs w:val="18"/>
                <w:lang w:val="en-US"/>
              </w:rPr>
              <w:t>No increase</w:t>
            </w:r>
          </w:p>
        </w:tc>
        <w:tc>
          <w:tcPr>
            <w:tcW w:w="1241" w:type="pct"/>
            <w:tcBorders>
              <w:top w:val="single" w:sz="4" w:space="0" w:color="auto"/>
              <w:left w:val="single" w:sz="4" w:space="0" w:color="auto"/>
              <w:bottom w:val="single" w:sz="4" w:space="0" w:color="auto"/>
              <w:right w:val="single" w:sz="4" w:space="0" w:color="auto"/>
            </w:tcBorders>
            <w:shd w:val="clear" w:color="auto" w:fill="auto"/>
          </w:tcPr>
          <w:p w14:paraId="1DFF7D2F" w14:textId="77777777" w:rsidR="00AB063C" w:rsidRPr="00BD295E" w:rsidRDefault="008A5057" w:rsidP="0050394F">
            <w:pPr>
              <w:pStyle w:val="af3"/>
              <w:ind w:left="0"/>
              <w:jc w:val="center"/>
              <w:rPr>
                <w:rFonts w:ascii="Arial" w:hAnsi="Arial" w:cs="Arial"/>
                <w:sz w:val="18"/>
                <w:szCs w:val="18"/>
                <w:lang w:val="en-US"/>
              </w:rPr>
            </w:pPr>
            <w:r w:rsidRPr="00BD295E">
              <w:rPr>
                <w:rFonts w:ascii="Arial" w:hAnsi="Arial" w:cs="Arial"/>
                <w:sz w:val="18"/>
                <w:szCs w:val="18"/>
                <w:lang w:val="en-US"/>
              </w:rPr>
              <w:t>Q1 – No increase</w:t>
            </w:r>
          </w:p>
          <w:p w14:paraId="6D723BA1" w14:textId="77777777" w:rsidR="00AB063C" w:rsidRPr="00BD295E" w:rsidRDefault="008A5057" w:rsidP="0050394F">
            <w:pPr>
              <w:pStyle w:val="af3"/>
              <w:ind w:left="0"/>
              <w:jc w:val="center"/>
              <w:rPr>
                <w:rFonts w:ascii="Arial" w:hAnsi="Arial" w:cs="Arial"/>
                <w:bCs/>
                <w:sz w:val="18"/>
                <w:szCs w:val="18"/>
                <w:lang w:val="en-US"/>
              </w:rPr>
            </w:pPr>
            <w:r w:rsidRPr="00BD295E">
              <w:rPr>
                <w:rFonts w:ascii="Arial" w:hAnsi="Arial" w:cs="Arial"/>
                <w:sz w:val="18"/>
                <w:szCs w:val="18"/>
                <w:lang w:val="en-US"/>
              </w:rPr>
              <w:t>Q2 – No increase</w:t>
            </w:r>
          </w:p>
        </w:tc>
      </w:tr>
    </w:tbl>
    <w:p w14:paraId="40928E6E" w14:textId="77777777" w:rsidR="00AB063C" w:rsidRPr="00BD295E" w:rsidRDefault="00AB063C" w:rsidP="00AB063C">
      <w:pPr>
        <w:ind w:left="-426" w:firstLine="284"/>
        <w:jc w:val="both"/>
        <w:rPr>
          <w:rFonts w:ascii="Arial" w:hAnsi="Arial" w:cs="Arial"/>
          <w:sz w:val="18"/>
          <w:szCs w:val="18"/>
          <w:lang w:val="en-US"/>
        </w:rPr>
      </w:pPr>
    </w:p>
    <w:p w14:paraId="516EDF70" w14:textId="77777777" w:rsidR="00AB063C" w:rsidRPr="00BD295E" w:rsidRDefault="00AB063C" w:rsidP="00AB063C">
      <w:pPr>
        <w:ind w:left="-426" w:firstLine="284"/>
        <w:jc w:val="both"/>
        <w:rPr>
          <w:rFonts w:ascii="Arial" w:hAnsi="Arial" w:cs="Arial"/>
          <w:sz w:val="18"/>
          <w:szCs w:val="18"/>
          <w:lang w:val="en-US"/>
        </w:rPr>
      </w:pPr>
    </w:p>
    <w:p w14:paraId="257E9E7C" w14:textId="77777777" w:rsidR="00AB063C" w:rsidRPr="00BD295E" w:rsidRDefault="008A5057" w:rsidP="00AB063C">
      <w:pPr>
        <w:ind w:left="-426" w:firstLine="284"/>
        <w:jc w:val="both"/>
        <w:rPr>
          <w:rFonts w:ascii="Arial" w:hAnsi="Arial" w:cs="Arial"/>
          <w:sz w:val="18"/>
          <w:szCs w:val="18"/>
          <w:lang w:val="en-US"/>
        </w:rPr>
      </w:pPr>
      <w:r w:rsidRPr="00BD295E">
        <w:rPr>
          <w:rFonts w:ascii="Arial" w:hAnsi="Arial" w:cs="Arial"/>
          <w:sz w:val="18"/>
          <w:szCs w:val="18"/>
          <w:lang w:val="en-US"/>
        </w:rPr>
        <w:t>ANNUAL PERFORMANCE: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4"/>
        <w:gridCol w:w="3076"/>
        <w:gridCol w:w="3075"/>
      </w:tblGrid>
      <w:tr w:rsidR="008A5057" w:rsidRPr="00BD295E" w14:paraId="5EA3AE60" w14:textId="77777777" w:rsidTr="0050394F">
        <w:trPr>
          <w:trHeight w:val="454"/>
          <w:tblHeader/>
        </w:trPr>
        <w:tc>
          <w:tcPr>
            <w:tcW w:w="1709" w:type="pct"/>
            <w:tcBorders>
              <w:top w:val="single" w:sz="4" w:space="0" w:color="auto"/>
              <w:left w:val="single" w:sz="4" w:space="0" w:color="auto"/>
              <w:bottom w:val="single" w:sz="4" w:space="0" w:color="auto"/>
              <w:right w:val="single" w:sz="4" w:space="0" w:color="auto"/>
            </w:tcBorders>
            <w:vAlign w:val="center"/>
            <w:hideMark/>
          </w:tcPr>
          <w:p w14:paraId="0592C9E0" w14:textId="77777777" w:rsidR="00AB063C" w:rsidRPr="00BD295E" w:rsidRDefault="008A5057" w:rsidP="0050394F">
            <w:pPr>
              <w:jc w:val="center"/>
              <w:rPr>
                <w:rFonts w:ascii="Arial" w:hAnsi="Arial" w:cs="Arial"/>
                <w:sz w:val="18"/>
                <w:szCs w:val="18"/>
                <w:lang w:val="en-US"/>
              </w:rPr>
            </w:pPr>
            <w:r w:rsidRPr="00BD295E">
              <w:rPr>
                <w:rFonts w:ascii="Arial" w:hAnsi="Arial" w:cs="Arial"/>
                <w:sz w:val="18"/>
                <w:szCs w:val="18"/>
                <w:lang w:val="en-US"/>
              </w:rPr>
              <w:t>Structure</w:t>
            </w:r>
          </w:p>
        </w:tc>
        <w:tc>
          <w:tcPr>
            <w:tcW w:w="1646" w:type="pct"/>
            <w:tcBorders>
              <w:top w:val="single" w:sz="4" w:space="0" w:color="auto"/>
              <w:left w:val="single" w:sz="4" w:space="0" w:color="auto"/>
              <w:bottom w:val="single" w:sz="4" w:space="0" w:color="auto"/>
              <w:right w:val="single" w:sz="4" w:space="0" w:color="auto"/>
            </w:tcBorders>
          </w:tcPr>
          <w:p w14:paraId="6B574D25" w14:textId="77777777" w:rsidR="00AB063C" w:rsidRPr="00BD295E" w:rsidRDefault="008A5057" w:rsidP="0050394F">
            <w:pPr>
              <w:ind w:hanging="6"/>
              <w:jc w:val="center"/>
              <w:rPr>
                <w:rFonts w:ascii="Arial" w:hAnsi="Arial" w:cs="Arial"/>
                <w:sz w:val="18"/>
                <w:szCs w:val="18"/>
                <w:lang w:val="en-US"/>
              </w:rPr>
            </w:pPr>
            <w:r w:rsidRPr="00BD295E">
              <w:rPr>
                <w:rFonts w:ascii="Arial" w:hAnsi="Arial" w:cs="Arial"/>
                <w:sz w:val="18"/>
                <w:szCs w:val="18"/>
                <w:lang w:val="en-US"/>
              </w:rPr>
              <w:t>Results achieved in 2017</w:t>
            </w:r>
          </w:p>
        </w:tc>
        <w:tc>
          <w:tcPr>
            <w:tcW w:w="1645" w:type="pct"/>
            <w:tcBorders>
              <w:top w:val="single" w:sz="4" w:space="0" w:color="auto"/>
              <w:left w:val="single" w:sz="4" w:space="0" w:color="auto"/>
              <w:bottom w:val="single" w:sz="4" w:space="0" w:color="auto"/>
              <w:right w:val="single" w:sz="4" w:space="0" w:color="auto"/>
            </w:tcBorders>
            <w:vAlign w:val="center"/>
            <w:hideMark/>
          </w:tcPr>
          <w:p w14:paraId="0F377C2E" w14:textId="77777777" w:rsidR="00AB063C" w:rsidRPr="00BD295E" w:rsidRDefault="008A5057" w:rsidP="0050394F">
            <w:pPr>
              <w:ind w:hanging="6"/>
              <w:jc w:val="center"/>
              <w:rPr>
                <w:rFonts w:ascii="Arial" w:hAnsi="Arial" w:cs="Arial"/>
                <w:sz w:val="18"/>
                <w:szCs w:val="18"/>
                <w:lang w:val="en-US"/>
              </w:rPr>
            </w:pPr>
            <w:r w:rsidRPr="00BD295E">
              <w:rPr>
                <w:rFonts w:ascii="Arial" w:hAnsi="Arial" w:cs="Arial"/>
                <w:sz w:val="18"/>
                <w:szCs w:val="18"/>
                <w:lang w:val="en-US"/>
              </w:rPr>
              <w:t>2018 target</w:t>
            </w:r>
          </w:p>
        </w:tc>
      </w:tr>
      <w:tr w:rsidR="008A5057" w:rsidRPr="00BD295E" w14:paraId="5E6F1411" w14:textId="77777777" w:rsidTr="0050394F">
        <w:trPr>
          <w:trHeight w:val="340"/>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48658585" w14:textId="34F52106" w:rsidR="00AB063C" w:rsidRPr="00BD295E" w:rsidRDefault="00BF7D8E" w:rsidP="0050394F">
            <w:pPr>
              <w:rPr>
                <w:rFonts w:ascii="Arial" w:hAnsi="Arial" w:cs="Arial"/>
                <w:bCs/>
                <w:sz w:val="18"/>
                <w:szCs w:val="18"/>
                <w:lang w:val="en-US"/>
              </w:rPr>
            </w:pPr>
            <w:r w:rsidRPr="00BD295E">
              <w:rPr>
                <w:rFonts w:ascii="Arial" w:hAnsi="Arial" w:cs="Arial"/>
                <w:bCs/>
                <w:sz w:val="18"/>
                <w:szCs w:val="18"/>
                <w:lang w:val="en-US"/>
              </w:rPr>
              <w:t>Consolidated</w:t>
            </w:r>
            <w:r w:rsidR="008A5057" w:rsidRPr="00BD295E">
              <w:rPr>
                <w:rFonts w:ascii="Arial" w:hAnsi="Arial" w:cs="Arial"/>
                <w:bCs/>
                <w:sz w:val="18"/>
                <w:szCs w:val="18"/>
                <w:lang w:val="en-US"/>
              </w:rPr>
              <w:t xml:space="preserve"> net cash flow</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79C027B0" w14:textId="77777777" w:rsidR="00AB063C" w:rsidRPr="00BD295E" w:rsidRDefault="008A5057" w:rsidP="0050394F">
            <w:pPr>
              <w:jc w:val="center"/>
              <w:rPr>
                <w:rFonts w:ascii="Arial" w:hAnsi="Arial" w:cs="Arial"/>
                <w:bCs/>
                <w:sz w:val="18"/>
                <w:szCs w:val="18"/>
                <w:lang w:val="en-US"/>
              </w:rPr>
            </w:pPr>
            <w:r w:rsidRPr="00BD295E">
              <w:rPr>
                <w:rFonts w:ascii="Arial" w:hAnsi="Arial" w:cs="Arial"/>
                <w:bCs/>
                <w:sz w:val="18"/>
                <w:szCs w:val="18"/>
                <w:lang w:val="en-US"/>
              </w:rPr>
              <w:t>– RUB 7,526.6 million</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5BBF8C1D" w14:textId="77777777" w:rsidR="00AB063C" w:rsidRPr="00BD295E" w:rsidRDefault="008A5057" w:rsidP="0050394F">
            <w:pPr>
              <w:pStyle w:val="affff6"/>
              <w:tabs>
                <w:tab w:val="left" w:pos="6467"/>
              </w:tabs>
              <w:jc w:val="center"/>
              <w:rPr>
                <w:rFonts w:ascii="Arial" w:eastAsia="Times New Roman" w:hAnsi="Arial" w:cs="Arial"/>
                <w:b/>
                <w:sz w:val="18"/>
                <w:szCs w:val="18"/>
                <w:lang w:val="en-US"/>
              </w:rPr>
            </w:pPr>
            <w:r w:rsidRPr="00BD295E">
              <w:rPr>
                <w:rFonts w:ascii="Arial" w:hAnsi="Arial" w:cs="Arial"/>
                <w:bCs/>
                <w:sz w:val="18"/>
                <w:szCs w:val="18"/>
                <w:lang w:val="en-US"/>
              </w:rPr>
              <w:t>≥ – RUB 1,792.7 million</w:t>
            </w:r>
          </w:p>
        </w:tc>
      </w:tr>
      <w:tr w:rsidR="008A5057" w:rsidRPr="00BD295E" w14:paraId="5B879B1D" w14:textId="77777777" w:rsidTr="0050394F">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6661C0B7" w14:textId="77777777" w:rsidR="00AB063C" w:rsidRPr="00BD295E" w:rsidRDefault="008A5057" w:rsidP="0050394F">
            <w:pPr>
              <w:rPr>
                <w:rFonts w:ascii="Arial" w:hAnsi="Arial" w:cs="Arial"/>
                <w:bCs/>
                <w:sz w:val="18"/>
                <w:szCs w:val="18"/>
                <w:lang w:val="en-US"/>
              </w:rPr>
            </w:pPr>
            <w:r w:rsidRPr="00BD295E">
              <w:rPr>
                <w:rFonts w:ascii="Arial" w:hAnsi="Arial" w:cs="Arial"/>
                <w:bCs/>
                <w:sz w:val="18"/>
                <w:szCs w:val="18"/>
                <w:lang w:val="en-US"/>
              </w:rPr>
              <w:t>Decrease in per unit operating (costs)</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4F2B25F0"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11.0%</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455B52E3" w14:textId="77777777" w:rsidR="00AB063C" w:rsidRPr="00BD295E" w:rsidRDefault="008A5057" w:rsidP="0050394F">
            <w:pPr>
              <w:ind w:hanging="3"/>
              <w:jc w:val="center"/>
              <w:rPr>
                <w:rFonts w:ascii="Arial" w:hAnsi="Arial" w:cs="Arial"/>
                <w:b/>
                <w:bCs/>
                <w:sz w:val="18"/>
                <w:szCs w:val="18"/>
                <w:lang w:val="en-US"/>
              </w:rPr>
            </w:pPr>
            <w:r w:rsidRPr="00BD295E">
              <w:rPr>
                <w:rFonts w:ascii="Arial" w:hAnsi="Arial" w:cs="Arial"/>
                <w:bCs/>
                <w:sz w:val="18"/>
                <w:szCs w:val="18"/>
                <w:lang w:val="en-US"/>
              </w:rPr>
              <w:t>≥ 2.0%</w:t>
            </w:r>
          </w:p>
        </w:tc>
      </w:tr>
      <w:tr w:rsidR="008A5057" w:rsidRPr="00BD295E" w14:paraId="60FAE74E" w14:textId="77777777" w:rsidTr="0050394F">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7C56A0C4" w14:textId="77777777" w:rsidR="00AB063C" w:rsidRPr="00BD295E" w:rsidRDefault="008A5057" w:rsidP="0050394F">
            <w:pPr>
              <w:rPr>
                <w:rFonts w:ascii="Arial" w:hAnsi="Arial" w:cs="Arial"/>
                <w:bCs/>
                <w:sz w:val="18"/>
                <w:szCs w:val="18"/>
                <w:lang w:val="en-US"/>
              </w:rPr>
            </w:pPr>
            <w:r w:rsidRPr="00BD295E">
              <w:rPr>
                <w:rFonts w:ascii="Arial" w:hAnsi="Arial" w:cs="Arial"/>
                <w:bCs/>
                <w:sz w:val="18"/>
                <w:szCs w:val="18"/>
                <w:lang w:val="en-US"/>
              </w:rPr>
              <w:t>Increase of electric grid equipment capacity utilization</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22627B5D" w14:textId="77777777" w:rsidR="00AB063C" w:rsidRPr="00BD295E" w:rsidRDefault="008A5057" w:rsidP="0050394F">
            <w:pPr>
              <w:pStyle w:val="af3"/>
              <w:ind w:hanging="686"/>
              <w:jc w:val="center"/>
              <w:rPr>
                <w:rFonts w:ascii="Arial" w:hAnsi="Arial" w:cs="Arial"/>
                <w:bCs/>
                <w:sz w:val="18"/>
                <w:szCs w:val="18"/>
                <w:lang w:val="en-US"/>
              </w:rPr>
            </w:pPr>
            <w:r w:rsidRPr="00BD295E">
              <w:rPr>
                <w:rFonts w:ascii="Arial" w:hAnsi="Arial" w:cs="Arial"/>
                <w:bCs/>
                <w:sz w:val="18"/>
                <w:szCs w:val="18"/>
                <w:lang w:val="en-US"/>
              </w:rPr>
              <w:t>Achieved</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37235183" w14:textId="77777777" w:rsidR="00AB063C" w:rsidRPr="00BD295E" w:rsidRDefault="008A5057" w:rsidP="0050394F">
            <w:pPr>
              <w:pStyle w:val="af3"/>
              <w:ind w:hanging="686"/>
              <w:jc w:val="center"/>
              <w:rPr>
                <w:rFonts w:ascii="Arial" w:hAnsi="Arial" w:cs="Arial"/>
                <w:bCs/>
                <w:sz w:val="18"/>
                <w:szCs w:val="18"/>
                <w:lang w:val="en-US"/>
              </w:rPr>
            </w:pPr>
            <w:r w:rsidRPr="00BD295E">
              <w:rPr>
                <w:rFonts w:ascii="Arial" w:hAnsi="Arial" w:cs="Arial"/>
                <w:bCs/>
                <w:sz w:val="18"/>
                <w:szCs w:val="18"/>
                <w:lang w:val="en-US"/>
              </w:rPr>
              <w:t xml:space="preserve"> Achieved</w:t>
            </w:r>
          </w:p>
        </w:tc>
      </w:tr>
      <w:tr w:rsidR="008A5057" w:rsidRPr="00BD295E" w14:paraId="7203B3F7" w14:textId="77777777" w:rsidTr="0050394F">
        <w:trPr>
          <w:trHeight w:val="340"/>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14887793" w14:textId="77777777" w:rsidR="00AB063C" w:rsidRPr="00BD295E" w:rsidRDefault="008A5057" w:rsidP="0050394F">
            <w:pPr>
              <w:rPr>
                <w:rFonts w:ascii="Arial" w:hAnsi="Arial" w:cs="Arial"/>
                <w:bCs/>
                <w:sz w:val="18"/>
                <w:szCs w:val="18"/>
                <w:lang w:val="en-US"/>
              </w:rPr>
            </w:pPr>
            <w:r w:rsidRPr="00BD295E">
              <w:rPr>
                <w:rFonts w:ascii="Arial" w:hAnsi="Arial" w:cs="Arial"/>
                <w:bCs/>
                <w:sz w:val="18"/>
                <w:szCs w:val="18"/>
                <w:lang w:val="en-US"/>
              </w:rPr>
              <w:t>Electricity losses</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52600CE1"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11.47%</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49DB02B5"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 11.51%</w:t>
            </w:r>
            <w:r w:rsidRPr="00BD295E">
              <w:rPr>
                <w:rFonts w:ascii="Arial" w:hAnsi="Arial" w:cs="Arial"/>
                <w:bCs/>
                <w:sz w:val="18"/>
                <w:szCs w:val="18"/>
                <w:vertAlign w:val="superscript"/>
                <w:lang w:val="en-US"/>
              </w:rPr>
              <w:t xml:space="preserve"> </w:t>
            </w:r>
          </w:p>
        </w:tc>
      </w:tr>
      <w:tr w:rsidR="008A5057" w:rsidRPr="00BD295E" w14:paraId="4106B487" w14:textId="77777777" w:rsidTr="0050394F">
        <w:trPr>
          <w:trHeight w:val="340"/>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131BFF3F" w14:textId="77777777" w:rsidR="00AB063C" w:rsidRPr="00BD295E" w:rsidRDefault="008A5057" w:rsidP="0050394F">
            <w:pPr>
              <w:rPr>
                <w:rFonts w:ascii="Arial" w:hAnsi="Arial" w:cs="Arial"/>
                <w:bCs/>
                <w:sz w:val="18"/>
                <w:szCs w:val="18"/>
                <w:lang w:val="en-US"/>
              </w:rPr>
            </w:pPr>
            <w:r w:rsidRPr="00BD295E">
              <w:rPr>
                <w:rFonts w:ascii="Arial" w:hAnsi="Arial" w:cs="Arial"/>
                <w:bCs/>
                <w:sz w:val="18"/>
                <w:szCs w:val="18"/>
                <w:lang w:val="en-US"/>
              </w:rPr>
              <w:t>Decrease in per unit investment costs</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341BD8BF"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0.87</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2B56EE74"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 1.00</w:t>
            </w:r>
          </w:p>
        </w:tc>
      </w:tr>
      <w:tr w:rsidR="008A5057" w:rsidRPr="00BD295E" w14:paraId="0EA4342A" w14:textId="77777777" w:rsidTr="0050394F">
        <w:trPr>
          <w:trHeight w:val="340"/>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39487776" w14:textId="77777777" w:rsidR="00AB063C" w:rsidRPr="00BD295E" w:rsidRDefault="008A5057" w:rsidP="0050394F">
            <w:pPr>
              <w:rPr>
                <w:rFonts w:ascii="Arial" w:hAnsi="Arial" w:cs="Arial"/>
                <w:bCs/>
                <w:sz w:val="18"/>
                <w:szCs w:val="18"/>
                <w:lang w:val="en-US"/>
              </w:rPr>
            </w:pPr>
            <w:r w:rsidRPr="00BD295E">
              <w:rPr>
                <w:rFonts w:ascii="Arial" w:hAnsi="Arial" w:cs="Arial"/>
                <w:bCs/>
                <w:sz w:val="18"/>
                <w:szCs w:val="18"/>
                <w:lang w:val="en-US"/>
              </w:rPr>
              <w:t>Increase in labor productivity</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2C1BAA3B"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5.54%</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3C5E7466"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 2.00%</w:t>
            </w:r>
          </w:p>
        </w:tc>
      </w:tr>
      <w:tr w:rsidR="008A5057" w:rsidRPr="00BD295E" w14:paraId="7B060067" w14:textId="77777777" w:rsidTr="0050394F">
        <w:trPr>
          <w:trHeight w:val="340"/>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4C71F132" w14:textId="77777777" w:rsidR="00AB063C" w:rsidRPr="00BD295E" w:rsidRDefault="008A5057" w:rsidP="0050394F">
            <w:pPr>
              <w:rPr>
                <w:rFonts w:ascii="Arial" w:hAnsi="Arial" w:cs="Arial"/>
                <w:bCs/>
                <w:sz w:val="18"/>
                <w:szCs w:val="18"/>
                <w:lang w:val="en-US"/>
              </w:rPr>
            </w:pPr>
            <w:r w:rsidRPr="00BD295E">
              <w:rPr>
                <w:rFonts w:ascii="Arial" w:hAnsi="Arial" w:cs="Arial"/>
                <w:bCs/>
                <w:sz w:val="18"/>
                <w:szCs w:val="18"/>
                <w:lang w:val="en-US"/>
              </w:rPr>
              <w:t>Innovation effectiveness</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4A3EDF02"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93%</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68FE3361"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 xml:space="preserve">≤ 90% </w:t>
            </w:r>
          </w:p>
        </w:tc>
      </w:tr>
      <w:tr w:rsidR="008A5057" w:rsidRPr="00BD295E" w14:paraId="551128FC" w14:textId="77777777" w:rsidTr="0050394F">
        <w:trPr>
          <w:trHeight w:val="340"/>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304A6C66" w14:textId="77777777" w:rsidR="00AB063C" w:rsidRPr="00BD295E" w:rsidRDefault="008A5057" w:rsidP="0050394F">
            <w:pPr>
              <w:rPr>
                <w:rFonts w:ascii="Arial" w:hAnsi="Arial" w:cs="Arial"/>
                <w:bCs/>
                <w:sz w:val="18"/>
                <w:szCs w:val="18"/>
                <w:lang w:val="en-US"/>
              </w:rPr>
            </w:pPr>
            <w:r w:rsidRPr="00BD295E">
              <w:rPr>
                <w:rFonts w:ascii="Arial" w:hAnsi="Arial" w:cs="Arial"/>
                <w:bCs/>
                <w:sz w:val="18"/>
                <w:szCs w:val="18"/>
                <w:lang w:val="en-US"/>
              </w:rPr>
              <w:t>Performance against the commissioning schedule</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322D5DFF"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62%</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117BCA6B"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 90%</w:t>
            </w:r>
          </w:p>
        </w:tc>
      </w:tr>
      <w:tr w:rsidR="008A5057" w:rsidRPr="00BD295E" w14:paraId="735B5AC1" w14:textId="77777777" w:rsidTr="0050394F">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0E5E3BA5" w14:textId="77777777" w:rsidR="00AB063C" w:rsidRPr="00BD295E" w:rsidRDefault="008A5057" w:rsidP="0050394F">
            <w:pPr>
              <w:rPr>
                <w:rFonts w:ascii="Arial" w:hAnsi="Arial" w:cs="Arial"/>
                <w:bCs/>
                <w:sz w:val="18"/>
                <w:szCs w:val="18"/>
                <w:lang w:val="en-US"/>
              </w:rPr>
            </w:pPr>
            <w:r w:rsidRPr="00BD295E">
              <w:rPr>
                <w:rFonts w:ascii="Arial" w:hAnsi="Arial" w:cs="Arial"/>
                <w:bCs/>
                <w:sz w:val="18"/>
                <w:szCs w:val="18"/>
                <w:lang w:val="en-US"/>
              </w:rPr>
              <w:t>Performance against grid connection timelines</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5022D23A"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1.1</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62E7D821"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 1.1</w:t>
            </w:r>
          </w:p>
        </w:tc>
      </w:tr>
      <w:tr w:rsidR="008A5057" w:rsidRPr="00BD295E" w14:paraId="36E269B1" w14:textId="77777777" w:rsidTr="0050394F">
        <w:trPr>
          <w:trHeight w:val="340"/>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14:paraId="12B5861E" w14:textId="77777777" w:rsidR="00AB063C" w:rsidRPr="00BD295E" w:rsidRDefault="008A5057" w:rsidP="0050394F">
            <w:pPr>
              <w:rPr>
                <w:rFonts w:ascii="Arial" w:hAnsi="Arial" w:cs="Arial"/>
                <w:bCs/>
                <w:sz w:val="18"/>
                <w:szCs w:val="18"/>
                <w:lang w:val="en-US"/>
              </w:rPr>
            </w:pPr>
            <w:r w:rsidRPr="00BD295E">
              <w:rPr>
                <w:rFonts w:ascii="Arial" w:hAnsi="Arial" w:cs="Arial"/>
                <w:bCs/>
                <w:sz w:val="18"/>
                <w:szCs w:val="18"/>
                <w:lang w:val="en-US"/>
              </w:rPr>
              <w:t>Achievement of the service reliability level</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58E6E4DE"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0.61</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tcPr>
          <w:p w14:paraId="2CE70CCA" w14:textId="77777777" w:rsidR="00AB063C" w:rsidRPr="00BD295E" w:rsidRDefault="008A5057" w:rsidP="0050394F">
            <w:pPr>
              <w:ind w:hanging="3"/>
              <w:jc w:val="center"/>
              <w:rPr>
                <w:rFonts w:ascii="Arial" w:hAnsi="Arial" w:cs="Arial"/>
                <w:bCs/>
                <w:sz w:val="18"/>
                <w:szCs w:val="18"/>
                <w:lang w:val="en-US"/>
              </w:rPr>
            </w:pPr>
            <w:r w:rsidRPr="00BD295E">
              <w:rPr>
                <w:rFonts w:ascii="Arial" w:hAnsi="Arial" w:cs="Arial"/>
                <w:bCs/>
                <w:sz w:val="18"/>
                <w:szCs w:val="18"/>
                <w:lang w:val="en-US"/>
              </w:rPr>
              <w:t>≤ 1.00</w:t>
            </w:r>
          </w:p>
        </w:tc>
      </w:tr>
    </w:tbl>
    <w:p w14:paraId="26FD69A5" w14:textId="77777777" w:rsidR="000E42B1" w:rsidRPr="00BD295E" w:rsidRDefault="000E42B1" w:rsidP="00AC79FB">
      <w:pPr>
        <w:contextualSpacing/>
        <w:jc w:val="both"/>
        <w:rPr>
          <w:rFonts w:ascii="Arial" w:hAnsi="Arial" w:cs="Arial"/>
          <w:sz w:val="18"/>
          <w:szCs w:val="18"/>
          <w:lang w:val="en-US"/>
        </w:rPr>
      </w:pPr>
    </w:p>
    <w:p w14:paraId="62CA9736" w14:textId="77777777" w:rsidR="00AB063C" w:rsidRPr="00BD295E" w:rsidRDefault="008A5057" w:rsidP="00AC79FB">
      <w:pPr>
        <w:contextualSpacing/>
        <w:jc w:val="both"/>
        <w:rPr>
          <w:rFonts w:ascii="Arial" w:hAnsi="Arial" w:cs="Arial"/>
          <w:sz w:val="18"/>
          <w:szCs w:val="18"/>
          <w:lang w:val="en-US"/>
        </w:rPr>
      </w:pPr>
      <w:r w:rsidRPr="00BD295E">
        <w:rPr>
          <w:rFonts w:ascii="Arial" w:hAnsi="Arial" w:cs="Arial"/>
          <w:sz w:val="18"/>
          <w:szCs w:val="18"/>
          <w:lang w:val="en-US"/>
        </w:rPr>
        <w:t>The actual performance data for Q3 and Q4 2018 and for 12M 2018, subject to the dates and procedure for preparing the reports that served as the source for calculating such data, were not summarized and approved by the Company’s Board of Directors.</w:t>
      </w:r>
    </w:p>
    <w:p w14:paraId="1117DC45" w14:textId="77777777" w:rsidR="00AB063C" w:rsidRPr="00BD295E" w:rsidRDefault="008A5057" w:rsidP="00AC79FB">
      <w:pPr>
        <w:contextualSpacing/>
        <w:jc w:val="both"/>
        <w:rPr>
          <w:rFonts w:ascii="Arial" w:hAnsi="Arial" w:cs="Arial"/>
          <w:sz w:val="18"/>
          <w:szCs w:val="18"/>
          <w:lang w:val="en-US"/>
        </w:rPr>
      </w:pPr>
      <w:r w:rsidRPr="00BD295E">
        <w:rPr>
          <w:rFonts w:ascii="Arial" w:hAnsi="Arial" w:cs="Arial"/>
          <w:sz w:val="18"/>
          <w:szCs w:val="18"/>
          <w:lang w:val="en-US"/>
        </w:rPr>
        <w:t xml:space="preserve">In 2018, in order to avoid discrepancies in the interpretation of the Methodology and to prevent unjustified reputational risks for the Company, Clause 1.7. of the Methodology was amended regarding the interpretation of when a target should be viewed as met subject to objective grounds (Minutes No. 42 </w:t>
      </w:r>
      <w:r w:rsidR="008B183C" w:rsidRPr="00BD295E">
        <w:rPr>
          <w:rFonts w:ascii="Arial" w:hAnsi="Arial" w:cs="Arial"/>
          <w:sz w:val="18"/>
          <w:szCs w:val="18"/>
          <w:lang w:val="en-US"/>
        </w:rPr>
        <w:t>of</w:t>
      </w:r>
      <w:r w:rsidRPr="00BD295E">
        <w:rPr>
          <w:rFonts w:ascii="Arial" w:hAnsi="Arial" w:cs="Arial"/>
          <w:sz w:val="18"/>
          <w:szCs w:val="18"/>
          <w:lang w:val="en-US"/>
        </w:rPr>
        <w:t xml:space="preserve"> June 6, 2018).  </w:t>
      </w:r>
    </w:p>
    <w:p w14:paraId="5B69FAE3" w14:textId="77777777" w:rsidR="00AB063C" w:rsidRPr="00BD295E" w:rsidRDefault="008A5057" w:rsidP="00AC79FB">
      <w:pPr>
        <w:contextualSpacing/>
        <w:jc w:val="both"/>
        <w:rPr>
          <w:rFonts w:ascii="Arial" w:hAnsi="Arial" w:cs="Arial"/>
          <w:sz w:val="18"/>
          <w:szCs w:val="18"/>
          <w:lang w:val="en-US"/>
        </w:rPr>
      </w:pPr>
      <w:r w:rsidRPr="00BD295E">
        <w:rPr>
          <w:rFonts w:ascii="Arial" w:hAnsi="Arial" w:cs="Arial"/>
          <w:sz w:val="18"/>
          <w:szCs w:val="18"/>
          <w:lang w:val="en-US"/>
        </w:rPr>
        <w:t>A comparison of 2018 data against 2017 data is given in the tables below.</w:t>
      </w:r>
    </w:p>
    <w:p w14:paraId="0BCABCAC" w14:textId="77777777" w:rsidR="00AB063C" w:rsidRPr="00BD295E" w:rsidRDefault="008A5057" w:rsidP="00AC79FB">
      <w:pPr>
        <w:contextualSpacing/>
        <w:jc w:val="both"/>
        <w:rPr>
          <w:rFonts w:ascii="Arial" w:hAnsi="Arial" w:cs="Arial"/>
          <w:sz w:val="18"/>
          <w:szCs w:val="18"/>
          <w:lang w:val="en-US"/>
        </w:rPr>
      </w:pPr>
      <w:r w:rsidRPr="00BD295E">
        <w:rPr>
          <w:rFonts w:ascii="Arial" w:hAnsi="Arial" w:cs="Arial"/>
          <w:sz w:val="18"/>
          <w:szCs w:val="18"/>
          <w:lang w:val="en-US"/>
        </w:rPr>
        <w:t>The system of key performance indicators applied by the Company is interrelated with the size of the variable part of management remuneration: a specific weight set for each indicator is applied to the amount of bonuses to be paid, with quarterly and annual bonuses paid for achieving relevant KPIs.</w:t>
      </w:r>
    </w:p>
    <w:p w14:paraId="7BB4BCAA" w14:textId="77777777" w:rsidR="00AB063C" w:rsidRPr="00BD295E" w:rsidRDefault="00AB063C" w:rsidP="00AB063C">
      <w:pPr>
        <w:rPr>
          <w:rFonts w:ascii="Arial" w:hAnsi="Arial" w:cs="Arial"/>
          <w:sz w:val="18"/>
          <w:szCs w:val="18"/>
          <w:lang w:val="en-US"/>
        </w:rPr>
      </w:pPr>
    </w:p>
    <w:p w14:paraId="5FB6D013" w14:textId="77777777" w:rsidR="00906126" w:rsidRPr="00BD295E" w:rsidRDefault="008A5057" w:rsidP="00906126">
      <w:pPr>
        <w:keepNext/>
        <w:numPr>
          <w:ilvl w:val="1"/>
          <w:numId w:val="8"/>
        </w:numPr>
        <w:ind w:firstLine="231"/>
        <w:jc w:val="both"/>
        <w:outlineLvl w:val="1"/>
        <w:rPr>
          <w:rFonts w:ascii="Arial" w:hAnsi="Arial" w:cs="Arial"/>
          <w:b/>
          <w:sz w:val="18"/>
          <w:szCs w:val="18"/>
          <w:lang w:val="en-US"/>
        </w:rPr>
      </w:pPr>
      <w:bookmarkStart w:id="111" w:name="_Toc6230913"/>
      <w:bookmarkStart w:id="112" w:name="_Toc7172561"/>
      <w:bookmarkStart w:id="113" w:name="_Toc7172607"/>
      <w:bookmarkStart w:id="114" w:name="_Toc95855282"/>
      <w:bookmarkStart w:id="115" w:name="_Toc95935341"/>
      <w:r w:rsidRPr="00BD295E">
        <w:rPr>
          <w:rFonts w:ascii="Arial" w:hAnsi="Arial" w:cs="Arial"/>
          <w:b/>
          <w:sz w:val="18"/>
          <w:szCs w:val="18"/>
          <w:lang w:val="en-US"/>
        </w:rPr>
        <w:t>Customer Engagement</w:t>
      </w:r>
      <w:bookmarkEnd w:id="111"/>
      <w:bookmarkEnd w:id="112"/>
      <w:bookmarkEnd w:id="113"/>
      <w:bookmarkEnd w:id="114"/>
      <w:bookmarkEnd w:id="115"/>
    </w:p>
    <w:p w14:paraId="03594EBC" w14:textId="77777777" w:rsidR="00906126" w:rsidRPr="00BD295E" w:rsidRDefault="00906126" w:rsidP="00906126">
      <w:pPr>
        <w:ind w:firstLine="709"/>
        <w:contextualSpacing/>
        <w:jc w:val="both"/>
        <w:rPr>
          <w:rFonts w:ascii="Arial" w:hAnsi="Arial" w:cs="Arial"/>
          <w:sz w:val="18"/>
          <w:szCs w:val="18"/>
          <w:lang w:val="en-US"/>
        </w:rPr>
      </w:pPr>
    </w:p>
    <w:p w14:paraId="142E3002" w14:textId="77777777" w:rsidR="00906126" w:rsidRPr="00BD295E" w:rsidRDefault="008A5057" w:rsidP="00FA6082">
      <w:pPr>
        <w:numPr>
          <w:ilvl w:val="0"/>
          <w:numId w:val="162"/>
        </w:numPr>
        <w:tabs>
          <w:tab w:val="left" w:pos="0"/>
        </w:tabs>
        <w:ind w:left="0" w:firstLine="567"/>
        <w:contextualSpacing/>
        <w:jc w:val="both"/>
        <w:rPr>
          <w:rFonts w:ascii="Arial" w:hAnsi="Arial" w:cs="Arial"/>
          <w:b/>
          <w:sz w:val="18"/>
          <w:szCs w:val="18"/>
          <w:lang w:val="en-US"/>
        </w:rPr>
      </w:pPr>
      <w:r w:rsidRPr="00BD295E">
        <w:rPr>
          <w:rFonts w:ascii="Arial" w:hAnsi="Arial" w:cs="Arial"/>
          <w:b/>
          <w:sz w:val="18"/>
          <w:szCs w:val="18"/>
          <w:lang w:val="en-US"/>
        </w:rPr>
        <w:t xml:space="preserve">Description of customer relations guidelines </w:t>
      </w:r>
    </w:p>
    <w:p w14:paraId="4AF4688F" w14:textId="77777777" w:rsidR="00906126" w:rsidRPr="00BD295E" w:rsidRDefault="00906126" w:rsidP="00906126">
      <w:pPr>
        <w:tabs>
          <w:tab w:val="left" w:pos="142"/>
          <w:tab w:val="left" w:pos="1276"/>
        </w:tabs>
        <w:ind w:left="709"/>
        <w:contextualSpacing/>
        <w:jc w:val="both"/>
        <w:rPr>
          <w:rFonts w:ascii="Arial" w:hAnsi="Arial" w:cs="Arial"/>
          <w:sz w:val="18"/>
          <w:szCs w:val="18"/>
          <w:lang w:val="en-US"/>
        </w:rPr>
      </w:pPr>
    </w:p>
    <w:p w14:paraId="1D5C19C2" w14:textId="77777777" w:rsidR="00906126" w:rsidRPr="00BD295E" w:rsidRDefault="008A5057" w:rsidP="00AC79FB">
      <w:pPr>
        <w:jc w:val="both"/>
        <w:rPr>
          <w:rFonts w:ascii="Arial" w:hAnsi="Arial" w:cs="Arial"/>
          <w:sz w:val="18"/>
          <w:szCs w:val="18"/>
          <w:lang w:val="en-US"/>
        </w:rPr>
      </w:pPr>
      <w:r w:rsidRPr="00BD295E">
        <w:rPr>
          <w:rFonts w:ascii="Arial" w:hAnsi="Arial" w:cs="Arial"/>
          <w:sz w:val="18"/>
          <w:szCs w:val="18"/>
          <w:lang w:val="en-US"/>
        </w:rPr>
        <w:t>The main principles of customer relations include ensuring better availability of grid connection procedures and customer focus achieved through a centralized customer service system.</w:t>
      </w:r>
    </w:p>
    <w:p w14:paraId="7154D8DA" w14:textId="485B163C" w:rsidR="00906126" w:rsidRPr="00BD295E" w:rsidRDefault="008A5057" w:rsidP="00AC79FB">
      <w:pPr>
        <w:jc w:val="both"/>
        <w:rPr>
          <w:rFonts w:ascii="Arial" w:hAnsi="Arial" w:cs="Arial"/>
          <w:sz w:val="18"/>
          <w:szCs w:val="18"/>
          <w:lang w:val="en-US"/>
        </w:rPr>
      </w:pPr>
      <w:r w:rsidRPr="00BD295E">
        <w:rPr>
          <w:rFonts w:ascii="Arial" w:hAnsi="Arial" w:cs="Arial"/>
          <w:sz w:val="18"/>
          <w:szCs w:val="18"/>
          <w:lang w:val="en-US"/>
        </w:rPr>
        <w:t xml:space="preserve">The Centralized Customer Service System standard was approved by resolution of the Board of Directors (Minutes No. 13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19, 2011), with the </w:t>
      </w:r>
      <w:r w:rsidR="00BF7D8E" w:rsidRPr="00BD295E">
        <w:rPr>
          <w:rFonts w:ascii="Arial" w:hAnsi="Arial" w:cs="Arial"/>
          <w:sz w:val="18"/>
          <w:szCs w:val="18"/>
          <w:lang w:val="en-US"/>
        </w:rPr>
        <w:t>updated</w:t>
      </w:r>
      <w:r w:rsidRPr="00BD295E">
        <w:rPr>
          <w:rFonts w:ascii="Arial" w:hAnsi="Arial" w:cs="Arial"/>
          <w:sz w:val="18"/>
          <w:szCs w:val="18"/>
          <w:lang w:val="en-US"/>
        </w:rPr>
        <w:t xml:space="preserve"> version approved by the Board of Directors (Minutes No. 39 </w:t>
      </w:r>
      <w:r w:rsidR="008B183C" w:rsidRPr="00BD295E">
        <w:rPr>
          <w:rFonts w:ascii="Arial" w:hAnsi="Arial" w:cs="Arial"/>
          <w:sz w:val="18"/>
          <w:szCs w:val="18"/>
          <w:lang w:val="en-US"/>
        </w:rPr>
        <w:t>of</w:t>
      </w:r>
      <w:r w:rsidRPr="00BD295E">
        <w:rPr>
          <w:rFonts w:ascii="Arial" w:hAnsi="Arial" w:cs="Arial"/>
          <w:sz w:val="18"/>
          <w:szCs w:val="18"/>
          <w:lang w:val="en-US"/>
        </w:rPr>
        <w:t xml:space="preserve"> June 19, 2015), as well as by Order No. 404 of Lenenergo,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10, 2015.</w:t>
      </w:r>
    </w:p>
    <w:p w14:paraId="5F1017EF" w14:textId="08DEAA6E" w:rsidR="00906126" w:rsidRPr="00BD295E" w:rsidRDefault="008A5057" w:rsidP="00906126">
      <w:pPr>
        <w:ind w:firstLine="709"/>
        <w:jc w:val="both"/>
        <w:rPr>
          <w:rFonts w:ascii="Arial" w:hAnsi="Arial" w:cs="Arial"/>
          <w:sz w:val="18"/>
          <w:szCs w:val="18"/>
          <w:lang w:val="en-US"/>
        </w:rPr>
      </w:pPr>
      <w:r w:rsidRPr="00BD295E">
        <w:rPr>
          <w:rFonts w:ascii="Arial" w:hAnsi="Arial" w:cs="Arial"/>
          <w:sz w:val="18"/>
          <w:szCs w:val="18"/>
          <w:lang w:val="en-US"/>
        </w:rPr>
        <w:t>The centralized service system include</w:t>
      </w:r>
      <w:r w:rsidR="00BD295E">
        <w:rPr>
          <w:rFonts w:ascii="Arial" w:hAnsi="Arial" w:cs="Arial"/>
          <w:sz w:val="18"/>
          <w:szCs w:val="18"/>
          <w:lang w:val="en-US"/>
        </w:rPr>
        <w:t>s</w:t>
      </w:r>
      <w:r w:rsidRPr="00BD295E">
        <w:rPr>
          <w:rFonts w:ascii="Arial" w:hAnsi="Arial" w:cs="Arial"/>
          <w:sz w:val="18"/>
          <w:szCs w:val="18"/>
          <w:lang w:val="en-US"/>
        </w:rPr>
        <w:t>:</w:t>
      </w:r>
    </w:p>
    <w:p w14:paraId="077305AB" w14:textId="77777777" w:rsidR="00906126" w:rsidRPr="00BD295E" w:rsidRDefault="008A5057" w:rsidP="00FA6082">
      <w:pPr>
        <w:numPr>
          <w:ilvl w:val="0"/>
          <w:numId w:val="166"/>
        </w:numPr>
        <w:contextualSpacing/>
        <w:jc w:val="both"/>
        <w:rPr>
          <w:rFonts w:ascii="Arial" w:hAnsi="Arial" w:cs="Arial"/>
          <w:sz w:val="18"/>
          <w:szCs w:val="18"/>
          <w:lang w:val="en-US"/>
        </w:rPr>
      </w:pPr>
      <w:r w:rsidRPr="00BD295E">
        <w:rPr>
          <w:rFonts w:ascii="Arial" w:hAnsi="Arial" w:cs="Arial"/>
          <w:sz w:val="18"/>
          <w:szCs w:val="18"/>
          <w:lang w:val="en-US"/>
        </w:rPr>
        <w:t xml:space="preserve">sufficient awareness of consumers about the </w:t>
      </w:r>
      <w:r w:rsidR="00174C5B" w:rsidRPr="00BD295E">
        <w:rPr>
          <w:rFonts w:ascii="Arial" w:hAnsi="Arial" w:cs="Arial"/>
          <w:sz w:val="18"/>
          <w:szCs w:val="18"/>
          <w:lang w:val="en-US"/>
        </w:rPr>
        <w:t>Company</w:t>
      </w:r>
      <w:r w:rsidRPr="00BD295E">
        <w:rPr>
          <w:rFonts w:ascii="Arial" w:hAnsi="Arial" w:cs="Arial"/>
          <w:sz w:val="18"/>
          <w:szCs w:val="18"/>
          <w:lang w:val="en-US"/>
        </w:rPr>
        <w:t xml:space="preserve"> and services;</w:t>
      </w:r>
    </w:p>
    <w:p w14:paraId="62AD1C6E" w14:textId="77777777" w:rsidR="00906126" w:rsidRPr="00BD295E" w:rsidRDefault="008A5057" w:rsidP="00FA6082">
      <w:pPr>
        <w:numPr>
          <w:ilvl w:val="0"/>
          <w:numId w:val="166"/>
        </w:numPr>
        <w:contextualSpacing/>
        <w:jc w:val="both"/>
        <w:rPr>
          <w:rFonts w:ascii="Arial" w:hAnsi="Arial" w:cs="Arial"/>
          <w:sz w:val="18"/>
          <w:szCs w:val="18"/>
          <w:lang w:val="en-US"/>
        </w:rPr>
      </w:pPr>
      <w:r w:rsidRPr="00BD295E">
        <w:rPr>
          <w:rFonts w:ascii="Arial" w:hAnsi="Arial" w:cs="Arial"/>
          <w:sz w:val="18"/>
          <w:szCs w:val="18"/>
          <w:lang w:val="en-US"/>
        </w:rPr>
        <w:t>physical accessibility and comfortable face-to-face customer journey;</w:t>
      </w:r>
    </w:p>
    <w:p w14:paraId="2628815A" w14:textId="77777777" w:rsidR="00906126" w:rsidRPr="00BD295E" w:rsidRDefault="008A5057" w:rsidP="00FA6082">
      <w:pPr>
        <w:numPr>
          <w:ilvl w:val="0"/>
          <w:numId w:val="166"/>
        </w:numPr>
        <w:contextualSpacing/>
        <w:jc w:val="both"/>
        <w:rPr>
          <w:rFonts w:ascii="Arial" w:hAnsi="Arial" w:cs="Arial"/>
          <w:sz w:val="18"/>
          <w:szCs w:val="18"/>
          <w:lang w:val="en-US"/>
        </w:rPr>
      </w:pPr>
      <w:r w:rsidRPr="00BD295E">
        <w:rPr>
          <w:rFonts w:ascii="Arial" w:hAnsi="Arial" w:cs="Arial"/>
          <w:sz w:val="18"/>
          <w:szCs w:val="18"/>
          <w:lang w:val="en-US"/>
        </w:rPr>
        <w:t>convenient and prompt remote and interactive service;</w:t>
      </w:r>
    </w:p>
    <w:p w14:paraId="7AF727EB" w14:textId="77777777" w:rsidR="00906126" w:rsidRPr="00BD295E" w:rsidRDefault="008A5057" w:rsidP="00FA6082">
      <w:pPr>
        <w:numPr>
          <w:ilvl w:val="0"/>
          <w:numId w:val="166"/>
        </w:numPr>
        <w:contextualSpacing/>
        <w:jc w:val="both"/>
        <w:rPr>
          <w:rFonts w:ascii="Arial" w:hAnsi="Arial" w:cs="Arial"/>
          <w:sz w:val="18"/>
          <w:szCs w:val="18"/>
          <w:lang w:val="en-US"/>
        </w:rPr>
      </w:pPr>
      <w:r w:rsidRPr="00BD295E">
        <w:rPr>
          <w:rFonts w:ascii="Arial" w:hAnsi="Arial" w:cs="Arial"/>
          <w:sz w:val="18"/>
          <w:szCs w:val="18"/>
          <w:lang w:val="en-US"/>
        </w:rPr>
        <w:t>qualified service;</w:t>
      </w:r>
    </w:p>
    <w:p w14:paraId="76C3547C" w14:textId="77777777" w:rsidR="00906126" w:rsidRPr="00BD295E" w:rsidRDefault="008A5057" w:rsidP="00FA6082">
      <w:pPr>
        <w:numPr>
          <w:ilvl w:val="0"/>
          <w:numId w:val="166"/>
        </w:numPr>
        <w:contextualSpacing/>
        <w:jc w:val="both"/>
        <w:rPr>
          <w:rFonts w:ascii="Arial" w:hAnsi="Arial" w:cs="Arial"/>
          <w:sz w:val="18"/>
          <w:szCs w:val="18"/>
          <w:lang w:val="en-US"/>
        </w:rPr>
      </w:pPr>
      <w:r w:rsidRPr="00BD295E">
        <w:rPr>
          <w:rFonts w:ascii="Arial" w:hAnsi="Arial" w:cs="Arial"/>
          <w:sz w:val="18"/>
          <w:szCs w:val="18"/>
          <w:lang w:val="en-US"/>
        </w:rPr>
        <w:t xml:space="preserve">transparent business processes of customer service; </w:t>
      </w:r>
    </w:p>
    <w:p w14:paraId="3E8D0B76" w14:textId="77777777" w:rsidR="00906126" w:rsidRPr="00BD295E" w:rsidRDefault="008A5057" w:rsidP="00FA6082">
      <w:pPr>
        <w:numPr>
          <w:ilvl w:val="0"/>
          <w:numId w:val="166"/>
        </w:numPr>
        <w:contextualSpacing/>
        <w:jc w:val="both"/>
        <w:rPr>
          <w:rFonts w:ascii="Arial" w:hAnsi="Arial" w:cs="Arial"/>
          <w:sz w:val="18"/>
          <w:szCs w:val="18"/>
          <w:lang w:val="en-US"/>
        </w:rPr>
      </w:pPr>
      <w:r w:rsidRPr="00BD295E">
        <w:rPr>
          <w:rFonts w:ascii="Arial" w:hAnsi="Arial" w:cs="Arial"/>
          <w:sz w:val="18"/>
          <w:szCs w:val="18"/>
          <w:lang w:val="en-US"/>
        </w:rPr>
        <w:t>fair and prompt review of customer complaints.</w:t>
      </w:r>
    </w:p>
    <w:p w14:paraId="43FD95CB" w14:textId="77777777" w:rsidR="00906126" w:rsidRPr="00BD295E" w:rsidRDefault="008A5057" w:rsidP="00AC79FB">
      <w:pPr>
        <w:jc w:val="both"/>
        <w:rPr>
          <w:rFonts w:ascii="Arial" w:hAnsi="Arial" w:cs="Arial"/>
          <w:sz w:val="18"/>
          <w:szCs w:val="18"/>
          <w:lang w:val="en-US"/>
        </w:rPr>
      </w:pPr>
      <w:r w:rsidRPr="00BD295E">
        <w:rPr>
          <w:rFonts w:ascii="Arial" w:hAnsi="Arial" w:cs="Arial"/>
          <w:sz w:val="18"/>
          <w:szCs w:val="18"/>
          <w:lang w:val="en-US"/>
        </w:rPr>
        <w:t>The above principles aim to maximize customer satisfaction with our services. The centralized customer service system is implemented through:</w:t>
      </w:r>
    </w:p>
    <w:p w14:paraId="7268641C" w14:textId="77777777" w:rsidR="00906126" w:rsidRPr="00BD295E" w:rsidRDefault="008A5057" w:rsidP="00FA6082">
      <w:pPr>
        <w:numPr>
          <w:ilvl w:val="0"/>
          <w:numId w:val="165"/>
        </w:numPr>
        <w:contextualSpacing/>
        <w:jc w:val="both"/>
        <w:rPr>
          <w:rFonts w:ascii="Arial" w:hAnsi="Arial" w:cs="Arial"/>
          <w:sz w:val="18"/>
          <w:szCs w:val="18"/>
          <w:lang w:val="en-US"/>
        </w:rPr>
      </w:pPr>
      <w:r w:rsidRPr="00BD295E">
        <w:rPr>
          <w:rFonts w:ascii="Arial" w:hAnsi="Arial" w:cs="Arial"/>
          <w:sz w:val="18"/>
          <w:szCs w:val="18"/>
          <w:lang w:val="en-US"/>
        </w:rPr>
        <w:t>continuously developing new and updating existing information, including on the Company’s official website;</w:t>
      </w:r>
    </w:p>
    <w:p w14:paraId="29D57E6F" w14:textId="77777777" w:rsidR="00906126" w:rsidRPr="00BD295E" w:rsidRDefault="008A5057" w:rsidP="00FA6082">
      <w:pPr>
        <w:numPr>
          <w:ilvl w:val="0"/>
          <w:numId w:val="165"/>
        </w:numPr>
        <w:contextualSpacing/>
        <w:jc w:val="both"/>
        <w:rPr>
          <w:rFonts w:ascii="Arial" w:hAnsi="Arial" w:cs="Arial"/>
          <w:sz w:val="18"/>
          <w:szCs w:val="18"/>
          <w:lang w:val="en-US"/>
        </w:rPr>
      </w:pPr>
      <w:r w:rsidRPr="00BD295E">
        <w:rPr>
          <w:rFonts w:ascii="Arial" w:hAnsi="Arial" w:cs="Arial"/>
          <w:sz w:val="18"/>
          <w:szCs w:val="18"/>
          <w:lang w:val="en-US"/>
        </w:rPr>
        <w:t>expanding customer relations channels by engaging with Multi-Functional Centers (MFC) that provide state and municipal services;</w:t>
      </w:r>
    </w:p>
    <w:p w14:paraId="7E603054" w14:textId="77777777" w:rsidR="00906126" w:rsidRPr="00BD295E" w:rsidRDefault="008A5057" w:rsidP="00FA6082">
      <w:pPr>
        <w:numPr>
          <w:ilvl w:val="0"/>
          <w:numId w:val="165"/>
        </w:numPr>
        <w:contextualSpacing/>
        <w:rPr>
          <w:rFonts w:ascii="Arial" w:hAnsi="Arial" w:cs="Arial"/>
          <w:sz w:val="18"/>
          <w:szCs w:val="18"/>
          <w:lang w:val="en-US"/>
        </w:rPr>
      </w:pPr>
      <w:r w:rsidRPr="00BD295E">
        <w:rPr>
          <w:rFonts w:ascii="Arial" w:hAnsi="Arial" w:cs="Arial"/>
          <w:sz w:val="18"/>
          <w:szCs w:val="18"/>
          <w:lang w:val="en-US"/>
        </w:rPr>
        <w:t>improving the Company’s online services;</w:t>
      </w:r>
    </w:p>
    <w:p w14:paraId="4B2AF5B5" w14:textId="77777777" w:rsidR="00906126" w:rsidRPr="00BD295E" w:rsidRDefault="008A5057" w:rsidP="00FA6082">
      <w:pPr>
        <w:numPr>
          <w:ilvl w:val="0"/>
          <w:numId w:val="165"/>
        </w:numPr>
        <w:contextualSpacing/>
        <w:jc w:val="both"/>
        <w:rPr>
          <w:rFonts w:ascii="Arial" w:hAnsi="Arial" w:cs="Arial"/>
          <w:sz w:val="18"/>
          <w:szCs w:val="18"/>
          <w:lang w:val="en-US"/>
        </w:rPr>
      </w:pPr>
      <w:r w:rsidRPr="00BD295E">
        <w:rPr>
          <w:rFonts w:ascii="Arial" w:hAnsi="Arial" w:cs="Arial"/>
          <w:sz w:val="18"/>
          <w:szCs w:val="18"/>
          <w:lang w:val="en-US"/>
        </w:rPr>
        <w:t>regularly holding workshops for the Customer Service Center’s employees to improve their knowledge and skills;</w:t>
      </w:r>
    </w:p>
    <w:p w14:paraId="4A210FDF" w14:textId="77777777" w:rsidR="00906126" w:rsidRPr="00BD295E" w:rsidRDefault="008A5057" w:rsidP="00FA6082">
      <w:pPr>
        <w:numPr>
          <w:ilvl w:val="0"/>
          <w:numId w:val="165"/>
        </w:numPr>
        <w:contextualSpacing/>
        <w:jc w:val="both"/>
        <w:rPr>
          <w:rFonts w:ascii="Arial" w:hAnsi="Arial" w:cs="Arial"/>
          <w:sz w:val="18"/>
          <w:szCs w:val="18"/>
          <w:lang w:val="en-US"/>
        </w:rPr>
      </w:pPr>
      <w:r w:rsidRPr="00BD295E">
        <w:rPr>
          <w:rFonts w:ascii="Arial" w:hAnsi="Arial" w:cs="Arial"/>
          <w:sz w:val="18"/>
          <w:szCs w:val="18"/>
          <w:lang w:val="en-US"/>
        </w:rPr>
        <w:t>monitoring the quality of service and assessing customer satisfaction;</w:t>
      </w:r>
    </w:p>
    <w:p w14:paraId="716AC629" w14:textId="77777777" w:rsidR="00906126" w:rsidRPr="00BD295E" w:rsidRDefault="008A5057" w:rsidP="00FA6082">
      <w:pPr>
        <w:numPr>
          <w:ilvl w:val="0"/>
          <w:numId w:val="165"/>
        </w:numPr>
        <w:contextualSpacing/>
        <w:jc w:val="both"/>
        <w:rPr>
          <w:rFonts w:ascii="Arial" w:hAnsi="Arial" w:cs="Arial"/>
          <w:sz w:val="18"/>
          <w:szCs w:val="18"/>
          <w:lang w:val="en-US"/>
        </w:rPr>
      </w:pPr>
      <w:r w:rsidRPr="00BD295E">
        <w:rPr>
          <w:rFonts w:ascii="Arial" w:hAnsi="Arial" w:cs="Arial"/>
          <w:sz w:val="18"/>
          <w:szCs w:val="18"/>
          <w:lang w:val="en-US"/>
        </w:rPr>
        <w:t xml:space="preserve">implementing of a system to process all complaints received by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840FF2B" w14:textId="77777777" w:rsidR="00906126" w:rsidRPr="00BD295E" w:rsidRDefault="00906126" w:rsidP="00906126">
      <w:pPr>
        <w:tabs>
          <w:tab w:val="left" w:pos="142"/>
          <w:tab w:val="left" w:pos="1276"/>
        </w:tabs>
        <w:ind w:left="709"/>
        <w:contextualSpacing/>
        <w:jc w:val="both"/>
        <w:rPr>
          <w:rFonts w:ascii="Arial" w:hAnsi="Arial" w:cs="Arial"/>
          <w:sz w:val="18"/>
          <w:szCs w:val="18"/>
          <w:lang w:val="en-US"/>
        </w:rPr>
      </w:pPr>
    </w:p>
    <w:p w14:paraId="6089DA3A" w14:textId="77777777" w:rsidR="00906126" w:rsidRPr="00BD295E" w:rsidRDefault="008A5057" w:rsidP="00FA6082">
      <w:pPr>
        <w:numPr>
          <w:ilvl w:val="0"/>
          <w:numId w:val="162"/>
        </w:numPr>
        <w:tabs>
          <w:tab w:val="left" w:pos="0"/>
        </w:tabs>
        <w:ind w:left="567" w:firstLine="0"/>
        <w:contextualSpacing/>
        <w:jc w:val="both"/>
        <w:rPr>
          <w:rFonts w:ascii="Arial" w:hAnsi="Arial" w:cs="Arial"/>
          <w:b/>
          <w:sz w:val="18"/>
          <w:szCs w:val="18"/>
          <w:lang w:val="en-US"/>
        </w:rPr>
      </w:pPr>
      <w:r w:rsidRPr="00BD295E">
        <w:rPr>
          <w:rFonts w:ascii="Arial" w:hAnsi="Arial" w:cs="Arial"/>
          <w:b/>
          <w:sz w:val="18"/>
          <w:szCs w:val="18"/>
          <w:lang w:val="en-US"/>
        </w:rPr>
        <w:t>Key customer service formats and methods</w:t>
      </w:r>
    </w:p>
    <w:p w14:paraId="2385D976" w14:textId="77777777" w:rsidR="00906126" w:rsidRPr="00BD295E" w:rsidRDefault="00906126" w:rsidP="00906126">
      <w:pPr>
        <w:ind w:firstLine="709"/>
        <w:jc w:val="both"/>
        <w:rPr>
          <w:rFonts w:ascii="Arial" w:hAnsi="Arial" w:cs="Arial"/>
          <w:sz w:val="18"/>
          <w:szCs w:val="18"/>
          <w:lang w:val="en-US"/>
        </w:rPr>
      </w:pPr>
    </w:p>
    <w:p w14:paraId="60F4370B" w14:textId="77777777" w:rsidR="00906126" w:rsidRPr="00BD295E" w:rsidRDefault="008A5057" w:rsidP="00AC79FB">
      <w:pPr>
        <w:jc w:val="both"/>
        <w:rPr>
          <w:rFonts w:ascii="Arial" w:hAnsi="Arial" w:cs="Arial"/>
          <w:sz w:val="18"/>
          <w:szCs w:val="18"/>
          <w:lang w:val="en-US"/>
        </w:rPr>
      </w:pPr>
      <w:r w:rsidRPr="00BD295E">
        <w:rPr>
          <w:rFonts w:ascii="Arial" w:hAnsi="Arial" w:cs="Arial"/>
          <w:sz w:val="18"/>
          <w:szCs w:val="18"/>
          <w:lang w:val="en-US"/>
        </w:rPr>
        <w:t>The Company engages with its customers both face-to-face and remotely.</w:t>
      </w:r>
    </w:p>
    <w:p w14:paraId="13F07D29" w14:textId="77777777" w:rsidR="00906126" w:rsidRPr="00BD295E" w:rsidRDefault="008A5057" w:rsidP="00AC79FB">
      <w:pPr>
        <w:jc w:val="both"/>
        <w:rPr>
          <w:rFonts w:ascii="Arial" w:hAnsi="Arial" w:cs="Arial"/>
          <w:sz w:val="18"/>
          <w:szCs w:val="18"/>
          <w:lang w:val="en-US"/>
        </w:rPr>
      </w:pPr>
      <w:r w:rsidRPr="00BD295E">
        <w:rPr>
          <w:rFonts w:ascii="Arial" w:hAnsi="Arial" w:cs="Arial"/>
          <w:sz w:val="18"/>
          <w:szCs w:val="18"/>
          <w:lang w:val="en-US"/>
        </w:rPr>
        <w:t>In Saint Petersburg, face-to-face services are provided via the Customer Service Center, while in the Leningrad Region face-to-face services are provided via local Customer Service Centers and via Multi-Functional Centers (MFC) that provide state and municipal services.</w:t>
      </w:r>
    </w:p>
    <w:p w14:paraId="0BFE5169" w14:textId="77777777" w:rsidR="00906126" w:rsidRPr="00BD295E" w:rsidRDefault="008A5057" w:rsidP="00AC79FB">
      <w:pPr>
        <w:jc w:val="both"/>
        <w:rPr>
          <w:rFonts w:ascii="Arial" w:hAnsi="Arial" w:cs="Arial"/>
          <w:sz w:val="18"/>
          <w:szCs w:val="18"/>
          <w:lang w:val="en-US"/>
        </w:rPr>
      </w:pPr>
      <w:r w:rsidRPr="00BD295E">
        <w:rPr>
          <w:rFonts w:ascii="Arial" w:hAnsi="Arial" w:cs="Arial"/>
          <w:sz w:val="18"/>
          <w:szCs w:val="18"/>
          <w:lang w:val="en-US"/>
        </w:rPr>
        <w:t>In Saint Petersburg, face-to-face services are provided via the Customer Service Center, while in the Leningrad Region face-to-face services are provided via local Customer Service Centers and via Multi-Functional Centers (MFC) that provide state and municipal services.</w:t>
      </w:r>
    </w:p>
    <w:p w14:paraId="3685CF82" w14:textId="77777777" w:rsidR="00906126" w:rsidRPr="00BD295E" w:rsidRDefault="008A5057" w:rsidP="00FA6082">
      <w:pPr>
        <w:numPr>
          <w:ilvl w:val="0"/>
          <w:numId w:val="163"/>
        </w:numPr>
        <w:contextualSpacing/>
        <w:jc w:val="both"/>
        <w:rPr>
          <w:rFonts w:ascii="Arial" w:hAnsi="Arial" w:cs="Arial"/>
          <w:sz w:val="18"/>
          <w:szCs w:val="18"/>
          <w:lang w:val="en-US"/>
        </w:rPr>
      </w:pPr>
      <w:r w:rsidRPr="00BD295E">
        <w:rPr>
          <w:rFonts w:ascii="Arial" w:hAnsi="Arial" w:cs="Arial"/>
          <w:sz w:val="18"/>
          <w:szCs w:val="18"/>
          <w:lang w:val="en-US"/>
        </w:rPr>
        <w:t>Lenenergo’s customer online account;</w:t>
      </w:r>
    </w:p>
    <w:p w14:paraId="46768811" w14:textId="77777777" w:rsidR="00906126" w:rsidRPr="00BD295E" w:rsidRDefault="008A5057" w:rsidP="00FA6082">
      <w:pPr>
        <w:numPr>
          <w:ilvl w:val="0"/>
          <w:numId w:val="163"/>
        </w:numPr>
        <w:contextualSpacing/>
        <w:jc w:val="both"/>
        <w:rPr>
          <w:rFonts w:ascii="Arial" w:hAnsi="Arial" w:cs="Arial"/>
          <w:sz w:val="18"/>
          <w:szCs w:val="18"/>
          <w:lang w:val="en-US"/>
        </w:rPr>
      </w:pPr>
      <w:r w:rsidRPr="00BD295E">
        <w:rPr>
          <w:rFonts w:ascii="Arial" w:hAnsi="Arial" w:cs="Arial"/>
          <w:sz w:val="18"/>
          <w:szCs w:val="18"/>
          <w:lang w:val="en-US"/>
        </w:rPr>
        <w:t xml:space="preserve">Electric grid services portal of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4C4EC5D9" w14:textId="77777777" w:rsidR="00906126" w:rsidRPr="00BD295E" w:rsidRDefault="008A5057" w:rsidP="00FA6082">
      <w:pPr>
        <w:numPr>
          <w:ilvl w:val="0"/>
          <w:numId w:val="163"/>
        </w:numPr>
        <w:contextualSpacing/>
        <w:jc w:val="both"/>
        <w:rPr>
          <w:rFonts w:ascii="Arial" w:hAnsi="Arial" w:cs="Arial"/>
          <w:sz w:val="18"/>
          <w:szCs w:val="18"/>
          <w:lang w:val="en-US"/>
        </w:rPr>
      </w:pPr>
      <w:r w:rsidRPr="00BD295E">
        <w:rPr>
          <w:rFonts w:ascii="Arial" w:hAnsi="Arial" w:cs="Arial"/>
          <w:sz w:val="18"/>
          <w:szCs w:val="18"/>
          <w:lang w:val="en-US"/>
        </w:rPr>
        <w:t>Portal of the unified construction sector system.</w:t>
      </w:r>
    </w:p>
    <w:p w14:paraId="0508EF3A" w14:textId="77777777" w:rsidR="00906126" w:rsidRPr="00BD295E" w:rsidRDefault="008A5057" w:rsidP="00AC79FB">
      <w:pPr>
        <w:jc w:val="both"/>
        <w:rPr>
          <w:rFonts w:ascii="Arial" w:hAnsi="Arial" w:cs="Arial"/>
          <w:sz w:val="18"/>
          <w:szCs w:val="18"/>
          <w:lang w:val="en-US"/>
        </w:rPr>
      </w:pPr>
      <w:r w:rsidRPr="00BD295E">
        <w:rPr>
          <w:rFonts w:ascii="Arial" w:hAnsi="Arial" w:cs="Arial"/>
          <w:sz w:val="18"/>
          <w:szCs w:val="18"/>
          <w:lang w:val="en-US"/>
        </w:rPr>
        <w:t>Lenenergo’s Customer Online Account (COA) is a full-featured online reception with the functionality of the Customer Service Center. COA services allow the user to go through the entire procedure of grid connection remotely:</w:t>
      </w:r>
    </w:p>
    <w:p w14:paraId="42CE2BEF" w14:textId="77777777" w:rsidR="00906126" w:rsidRPr="00BD295E" w:rsidRDefault="008A5057" w:rsidP="00FA6082">
      <w:pPr>
        <w:numPr>
          <w:ilvl w:val="0"/>
          <w:numId w:val="164"/>
        </w:numPr>
        <w:contextualSpacing/>
        <w:jc w:val="both"/>
        <w:rPr>
          <w:rFonts w:ascii="Arial" w:hAnsi="Arial" w:cs="Arial"/>
          <w:sz w:val="18"/>
          <w:szCs w:val="18"/>
          <w:lang w:val="en-US"/>
        </w:rPr>
      </w:pPr>
      <w:r w:rsidRPr="00BD295E">
        <w:rPr>
          <w:rFonts w:ascii="Arial" w:hAnsi="Arial" w:cs="Arial"/>
          <w:sz w:val="18"/>
          <w:szCs w:val="18"/>
          <w:lang w:val="en-US"/>
        </w:rPr>
        <w:t>get an online consultation;</w:t>
      </w:r>
    </w:p>
    <w:p w14:paraId="7A783B93" w14:textId="77777777" w:rsidR="00906126" w:rsidRPr="00BD295E" w:rsidRDefault="008A5057" w:rsidP="00FA6082">
      <w:pPr>
        <w:numPr>
          <w:ilvl w:val="0"/>
          <w:numId w:val="164"/>
        </w:numPr>
        <w:contextualSpacing/>
        <w:jc w:val="both"/>
        <w:rPr>
          <w:rFonts w:ascii="Arial" w:hAnsi="Arial" w:cs="Arial"/>
          <w:sz w:val="18"/>
          <w:szCs w:val="18"/>
          <w:lang w:val="en-US"/>
        </w:rPr>
      </w:pPr>
      <w:r w:rsidRPr="00BD295E">
        <w:rPr>
          <w:rFonts w:ascii="Arial" w:hAnsi="Arial" w:cs="Arial"/>
          <w:sz w:val="18"/>
          <w:szCs w:val="18"/>
          <w:lang w:val="en-US"/>
        </w:rPr>
        <w:t>submit an application;</w:t>
      </w:r>
    </w:p>
    <w:p w14:paraId="719268BD" w14:textId="77777777" w:rsidR="00906126" w:rsidRPr="00BD295E" w:rsidRDefault="008A5057" w:rsidP="00FA6082">
      <w:pPr>
        <w:numPr>
          <w:ilvl w:val="0"/>
          <w:numId w:val="164"/>
        </w:numPr>
        <w:contextualSpacing/>
        <w:jc w:val="both"/>
        <w:rPr>
          <w:rFonts w:ascii="Arial" w:hAnsi="Arial" w:cs="Arial"/>
          <w:sz w:val="18"/>
          <w:szCs w:val="18"/>
          <w:lang w:val="en-US"/>
        </w:rPr>
      </w:pPr>
      <w:r w:rsidRPr="00BD295E">
        <w:rPr>
          <w:rFonts w:ascii="Arial" w:hAnsi="Arial" w:cs="Arial"/>
          <w:sz w:val="18"/>
          <w:szCs w:val="18"/>
          <w:lang w:val="en-US"/>
        </w:rPr>
        <w:t>track the processing of the application;</w:t>
      </w:r>
    </w:p>
    <w:p w14:paraId="18C9220F" w14:textId="77777777" w:rsidR="00906126" w:rsidRPr="00BD295E" w:rsidRDefault="008A5057" w:rsidP="00FA6082">
      <w:pPr>
        <w:numPr>
          <w:ilvl w:val="0"/>
          <w:numId w:val="164"/>
        </w:numPr>
        <w:contextualSpacing/>
        <w:jc w:val="both"/>
        <w:rPr>
          <w:rFonts w:ascii="Arial" w:hAnsi="Arial" w:cs="Arial"/>
          <w:sz w:val="18"/>
          <w:szCs w:val="18"/>
          <w:lang w:val="en-US"/>
        </w:rPr>
      </w:pPr>
      <w:r w:rsidRPr="00BD295E">
        <w:rPr>
          <w:rFonts w:ascii="Arial" w:hAnsi="Arial" w:cs="Arial"/>
          <w:sz w:val="18"/>
          <w:szCs w:val="18"/>
          <w:lang w:val="en-US"/>
        </w:rPr>
        <w:t>receive notifications on changes in the status of the application and readiness of documents;</w:t>
      </w:r>
    </w:p>
    <w:p w14:paraId="772C559D" w14:textId="77777777" w:rsidR="00906126" w:rsidRPr="00BD295E" w:rsidRDefault="008A5057" w:rsidP="00FA6082">
      <w:pPr>
        <w:numPr>
          <w:ilvl w:val="0"/>
          <w:numId w:val="164"/>
        </w:numPr>
        <w:contextualSpacing/>
        <w:jc w:val="both"/>
        <w:rPr>
          <w:rFonts w:ascii="Arial" w:hAnsi="Arial" w:cs="Arial"/>
          <w:sz w:val="18"/>
          <w:szCs w:val="18"/>
          <w:lang w:val="en-US"/>
        </w:rPr>
      </w:pPr>
      <w:r w:rsidRPr="00BD295E">
        <w:rPr>
          <w:rFonts w:ascii="Arial" w:hAnsi="Arial" w:cs="Arial"/>
          <w:sz w:val="18"/>
          <w:szCs w:val="18"/>
          <w:lang w:val="en-US"/>
        </w:rPr>
        <w:t>receive a grid connection contract and sign it with an electronic digital signature;</w:t>
      </w:r>
    </w:p>
    <w:p w14:paraId="7ADD62C4" w14:textId="77777777" w:rsidR="00906126" w:rsidRPr="00BD295E" w:rsidRDefault="008A5057" w:rsidP="00FA6082">
      <w:pPr>
        <w:numPr>
          <w:ilvl w:val="0"/>
          <w:numId w:val="164"/>
        </w:numPr>
        <w:contextualSpacing/>
        <w:jc w:val="both"/>
        <w:rPr>
          <w:rFonts w:ascii="Arial" w:hAnsi="Arial" w:cs="Arial"/>
          <w:sz w:val="18"/>
          <w:szCs w:val="18"/>
          <w:lang w:val="en-US"/>
        </w:rPr>
      </w:pPr>
      <w:r w:rsidRPr="00BD295E">
        <w:rPr>
          <w:rFonts w:ascii="Arial" w:hAnsi="Arial" w:cs="Arial"/>
          <w:sz w:val="18"/>
          <w:szCs w:val="18"/>
          <w:lang w:val="en-US"/>
        </w:rPr>
        <w:t>make the payment under the contract;</w:t>
      </w:r>
    </w:p>
    <w:p w14:paraId="1A22E76D" w14:textId="77777777" w:rsidR="00906126" w:rsidRPr="00BD295E" w:rsidRDefault="008A5057" w:rsidP="00FA6082">
      <w:pPr>
        <w:numPr>
          <w:ilvl w:val="0"/>
          <w:numId w:val="164"/>
        </w:numPr>
        <w:contextualSpacing/>
        <w:jc w:val="both"/>
        <w:rPr>
          <w:rFonts w:ascii="Arial" w:hAnsi="Arial" w:cs="Arial"/>
          <w:sz w:val="18"/>
          <w:szCs w:val="18"/>
          <w:lang w:val="en-US"/>
        </w:rPr>
      </w:pPr>
      <w:r w:rsidRPr="00BD295E">
        <w:rPr>
          <w:rFonts w:ascii="Arial" w:hAnsi="Arial" w:cs="Arial"/>
          <w:sz w:val="18"/>
          <w:szCs w:val="18"/>
          <w:lang w:val="en-US"/>
        </w:rPr>
        <w:t>notify the grid organization of the fulfillment of technical specifications.</w:t>
      </w:r>
    </w:p>
    <w:p w14:paraId="4814FB91" w14:textId="77777777" w:rsidR="00906126" w:rsidRPr="00BD295E" w:rsidRDefault="00906126" w:rsidP="00906126">
      <w:pPr>
        <w:ind w:left="1429"/>
        <w:contextualSpacing/>
        <w:jc w:val="both"/>
        <w:rPr>
          <w:rFonts w:ascii="Arial" w:hAnsi="Arial" w:cs="Arial"/>
          <w:sz w:val="18"/>
          <w:szCs w:val="18"/>
          <w:lang w:val="en-US"/>
        </w:rPr>
      </w:pPr>
    </w:p>
    <w:p w14:paraId="6803C1A4" w14:textId="77777777" w:rsidR="00906126" w:rsidRPr="00BD295E" w:rsidRDefault="008A5057" w:rsidP="00FA6082">
      <w:pPr>
        <w:numPr>
          <w:ilvl w:val="0"/>
          <w:numId w:val="162"/>
        </w:numPr>
        <w:tabs>
          <w:tab w:val="left" w:pos="0"/>
        </w:tabs>
        <w:ind w:left="0" w:firstLine="567"/>
        <w:contextualSpacing/>
        <w:jc w:val="both"/>
        <w:rPr>
          <w:rFonts w:ascii="Arial" w:hAnsi="Arial" w:cs="Arial"/>
          <w:b/>
          <w:sz w:val="18"/>
          <w:szCs w:val="18"/>
          <w:lang w:val="en-US"/>
        </w:rPr>
      </w:pPr>
      <w:r w:rsidRPr="00BD295E">
        <w:rPr>
          <w:rFonts w:ascii="Arial" w:hAnsi="Arial" w:cs="Arial"/>
          <w:b/>
          <w:sz w:val="18"/>
          <w:szCs w:val="18"/>
          <w:lang w:val="en-US"/>
        </w:rPr>
        <w:t>Measures implemented in the reporting period and planned for the next period.</w:t>
      </w:r>
    </w:p>
    <w:p w14:paraId="732893DB" w14:textId="77777777" w:rsidR="00906126" w:rsidRPr="00BD295E" w:rsidRDefault="00906126" w:rsidP="00906126">
      <w:pPr>
        <w:tabs>
          <w:tab w:val="left" w:pos="0"/>
        </w:tabs>
        <w:ind w:firstLine="709"/>
        <w:contextualSpacing/>
        <w:jc w:val="both"/>
        <w:rPr>
          <w:rFonts w:ascii="Arial" w:hAnsi="Arial" w:cs="Arial"/>
          <w:sz w:val="18"/>
          <w:szCs w:val="18"/>
          <w:lang w:val="en-US"/>
        </w:rPr>
      </w:pPr>
    </w:p>
    <w:p w14:paraId="76BD2C3F" w14:textId="77777777" w:rsidR="00906126" w:rsidRPr="00BD295E" w:rsidRDefault="008A5057" w:rsidP="00FA6082">
      <w:pPr>
        <w:numPr>
          <w:ilvl w:val="1"/>
          <w:numId w:val="162"/>
        </w:numPr>
        <w:tabs>
          <w:tab w:val="left" w:pos="0"/>
        </w:tabs>
        <w:ind w:left="0" w:firstLine="567"/>
        <w:contextualSpacing/>
        <w:jc w:val="both"/>
        <w:rPr>
          <w:rFonts w:ascii="Arial" w:hAnsi="Arial" w:cs="Arial"/>
          <w:b/>
          <w:sz w:val="18"/>
          <w:szCs w:val="18"/>
          <w:lang w:val="en-US"/>
        </w:rPr>
      </w:pPr>
      <w:r w:rsidRPr="00BD295E">
        <w:rPr>
          <w:rFonts w:ascii="Arial" w:hAnsi="Arial" w:cs="Arial"/>
          <w:b/>
          <w:sz w:val="18"/>
          <w:szCs w:val="18"/>
          <w:lang w:val="en-US"/>
        </w:rPr>
        <w:t>Measures aimed at improving the quality of face-to-face customer service, including the opening of new and renovation of existing customer service offices.</w:t>
      </w:r>
    </w:p>
    <w:p w14:paraId="5257581C" w14:textId="77777777" w:rsidR="00906126" w:rsidRPr="00BD295E" w:rsidRDefault="00906126" w:rsidP="00906126">
      <w:pPr>
        <w:tabs>
          <w:tab w:val="left" w:pos="0"/>
        </w:tabs>
        <w:ind w:left="567"/>
        <w:contextualSpacing/>
        <w:jc w:val="both"/>
        <w:rPr>
          <w:rFonts w:ascii="Arial" w:hAnsi="Arial" w:cs="Arial"/>
          <w:b/>
          <w:sz w:val="18"/>
          <w:szCs w:val="18"/>
          <w:lang w:val="en-US"/>
        </w:rPr>
      </w:pPr>
    </w:p>
    <w:p w14:paraId="7BDC014F" w14:textId="77777777" w:rsidR="00906126" w:rsidRPr="00BD295E" w:rsidRDefault="008A5057" w:rsidP="00AC79FB">
      <w:pPr>
        <w:tabs>
          <w:tab w:val="left" w:pos="0"/>
        </w:tabs>
        <w:contextualSpacing/>
        <w:jc w:val="both"/>
        <w:rPr>
          <w:rFonts w:ascii="Arial" w:hAnsi="Arial" w:cs="Arial"/>
          <w:sz w:val="18"/>
          <w:szCs w:val="18"/>
          <w:u w:val="single"/>
          <w:lang w:val="en-US"/>
        </w:rPr>
      </w:pPr>
      <w:r w:rsidRPr="00BD295E">
        <w:rPr>
          <w:rFonts w:ascii="Arial" w:hAnsi="Arial" w:cs="Arial"/>
          <w:sz w:val="18"/>
          <w:szCs w:val="18"/>
          <w:lang w:val="en-US"/>
        </w:rPr>
        <w:t>To improve the quality of face-to-face customer service in the reporting period, training workshops were held on a regular basis for the employees of the Customer Service Center; new functionality was introduced to record all oral complaints during face-to-face contacts, which enabled the Company to optimize its timely handling of complaints.</w:t>
      </w:r>
    </w:p>
    <w:p w14:paraId="422B3D6B"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In addition, in 2018, to improve physical accessibility and customer convenience, 24 MFCs started accepting applications in Boksitogorsk, Vsevolozhsk, Volosovo, Volkhov, Vyborg, Gatchina, Kingisepp, Kirishi, Kirovsk, Kommunar, Lodeynoye Polye, Luga, Nikolskoye, Pikalevo, Podporozhye, Priozersk, Roshchino, Sertolovo, Slantsy, Sosnovo, Sosnovy Bor, Telman, Tikhvin, and Tosno.</w:t>
      </w:r>
    </w:p>
    <w:p w14:paraId="0FE00652"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 xml:space="preserve">In 2019, the number of MFCs accepting applications for connection to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will be increased. In total, the Company is planning to cooperate with 30 centers.</w:t>
      </w:r>
    </w:p>
    <w:p w14:paraId="205F201A"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Also, going forward, the Company will introduce a customer service quality assessment system using tablets installed in service windows of customer service centers.</w:t>
      </w:r>
    </w:p>
    <w:p w14:paraId="7C5F54A4" w14:textId="77777777" w:rsidR="00906126" w:rsidRPr="00BD295E" w:rsidRDefault="00906126" w:rsidP="00906126">
      <w:pPr>
        <w:tabs>
          <w:tab w:val="left" w:pos="0"/>
        </w:tabs>
        <w:ind w:firstLine="709"/>
        <w:contextualSpacing/>
        <w:jc w:val="both"/>
        <w:rPr>
          <w:rFonts w:ascii="Arial" w:hAnsi="Arial" w:cs="Arial"/>
          <w:sz w:val="18"/>
          <w:szCs w:val="18"/>
          <w:lang w:val="en-US"/>
        </w:rPr>
      </w:pPr>
    </w:p>
    <w:p w14:paraId="703F178E" w14:textId="77777777" w:rsidR="00906126" w:rsidRPr="00BD295E" w:rsidRDefault="008A5057" w:rsidP="00FA6082">
      <w:pPr>
        <w:numPr>
          <w:ilvl w:val="1"/>
          <w:numId w:val="162"/>
        </w:numPr>
        <w:tabs>
          <w:tab w:val="left" w:pos="0"/>
        </w:tabs>
        <w:ind w:left="0" w:firstLine="709"/>
        <w:contextualSpacing/>
        <w:jc w:val="both"/>
        <w:rPr>
          <w:rFonts w:ascii="Arial" w:hAnsi="Arial" w:cs="Arial"/>
          <w:b/>
          <w:sz w:val="18"/>
          <w:szCs w:val="18"/>
          <w:lang w:val="en-US"/>
        </w:rPr>
      </w:pPr>
      <w:r w:rsidRPr="00BD295E">
        <w:rPr>
          <w:rFonts w:ascii="Arial" w:hAnsi="Arial" w:cs="Arial"/>
          <w:b/>
          <w:sz w:val="18"/>
          <w:szCs w:val="18"/>
          <w:lang w:val="en-US"/>
        </w:rPr>
        <w:t xml:space="preserve"> Development and upgrade of the service contact center’s equipment.</w:t>
      </w:r>
    </w:p>
    <w:p w14:paraId="3F7785B7" w14:textId="77777777" w:rsidR="00906126" w:rsidRPr="00BD295E" w:rsidRDefault="00906126" w:rsidP="00906126">
      <w:pPr>
        <w:tabs>
          <w:tab w:val="left" w:pos="0"/>
        </w:tabs>
        <w:ind w:left="709"/>
        <w:contextualSpacing/>
        <w:jc w:val="both"/>
        <w:rPr>
          <w:rFonts w:ascii="Arial" w:hAnsi="Arial" w:cs="Arial"/>
          <w:b/>
          <w:sz w:val="18"/>
          <w:szCs w:val="18"/>
          <w:lang w:val="en-US"/>
        </w:rPr>
      </w:pPr>
    </w:p>
    <w:p w14:paraId="6751A34E"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 xml:space="preserve">During the reporting period, the functionality of the contact center was supplemented with the processing of complaints and requests filed in writing (automated data management system) and from the </w:t>
      </w:r>
      <w:r w:rsidRPr="00BD295E">
        <w:rPr>
          <w:rFonts w:ascii="Arial" w:hAnsi="Arial" w:cs="Arial"/>
          <w:i/>
          <w:iCs/>
          <w:sz w:val="18"/>
          <w:szCs w:val="18"/>
          <w:lang w:val="en-US"/>
        </w:rPr>
        <w:t>Our Saint Petersburg</w:t>
      </w:r>
      <w:r w:rsidRPr="00BD295E">
        <w:rPr>
          <w:rFonts w:ascii="Arial" w:hAnsi="Arial" w:cs="Arial"/>
          <w:sz w:val="18"/>
          <w:szCs w:val="18"/>
          <w:lang w:val="en-US"/>
        </w:rPr>
        <w:t xml:space="preserve"> Portal. In addition, the list of topics of requests managed via KIDO TP (Follow-Up of Performance against Contractual Obligations for Grid Connection) was expanded, making it possible to register complaints on quality. Templates of standard responses to consumer requests on various topics were developed (in accordance with Order No. 527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11, 2018).</w:t>
      </w:r>
    </w:p>
    <w:p w14:paraId="41F2E1C5"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Equipment was also partially replaced due to wear and tear.</w:t>
      </w:r>
    </w:p>
    <w:p w14:paraId="1DCC14C4"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In 2019, the Company is planning to expand the staff of its contact center to process requests submitted via the city portal, purchase additional telephone equipment and CRM software for auto-detection of incoming call numbers, and for speech recognition and synthesis.</w:t>
      </w:r>
    </w:p>
    <w:p w14:paraId="394560A5" w14:textId="77777777" w:rsidR="00906126" w:rsidRPr="00BD295E" w:rsidRDefault="00906126" w:rsidP="00906126">
      <w:pPr>
        <w:tabs>
          <w:tab w:val="left" w:pos="0"/>
        </w:tabs>
        <w:ind w:firstLine="709"/>
        <w:contextualSpacing/>
        <w:jc w:val="both"/>
        <w:rPr>
          <w:rFonts w:ascii="Arial" w:hAnsi="Arial" w:cs="Arial"/>
          <w:sz w:val="18"/>
          <w:szCs w:val="18"/>
          <w:lang w:val="en-US"/>
        </w:rPr>
      </w:pPr>
    </w:p>
    <w:p w14:paraId="359971AF" w14:textId="6F6AFCCB" w:rsidR="00906126" w:rsidRPr="00BD295E" w:rsidRDefault="008A5057" w:rsidP="00FA6082">
      <w:pPr>
        <w:numPr>
          <w:ilvl w:val="1"/>
          <w:numId w:val="162"/>
        </w:numPr>
        <w:tabs>
          <w:tab w:val="left" w:pos="0"/>
        </w:tabs>
        <w:ind w:left="0" w:firstLine="567"/>
        <w:contextualSpacing/>
        <w:jc w:val="both"/>
        <w:rPr>
          <w:rFonts w:ascii="Arial" w:hAnsi="Arial" w:cs="Arial"/>
          <w:b/>
          <w:sz w:val="18"/>
          <w:szCs w:val="18"/>
          <w:lang w:val="en-US"/>
        </w:rPr>
      </w:pPr>
      <w:r w:rsidRPr="00BD295E">
        <w:rPr>
          <w:rFonts w:ascii="Arial" w:hAnsi="Arial" w:cs="Arial"/>
          <w:b/>
          <w:sz w:val="18"/>
          <w:szCs w:val="18"/>
          <w:lang w:val="en-US"/>
        </w:rPr>
        <w:t xml:space="preserve"> Improving the quality and accessibility of the Company’s services, including the launch of new interactive and online services.</w:t>
      </w:r>
    </w:p>
    <w:p w14:paraId="5AAB14F3" w14:textId="77777777" w:rsidR="00906126" w:rsidRPr="00BD295E" w:rsidRDefault="00906126" w:rsidP="00906126">
      <w:pPr>
        <w:tabs>
          <w:tab w:val="left" w:pos="0"/>
        </w:tabs>
        <w:ind w:left="567"/>
        <w:contextualSpacing/>
        <w:jc w:val="both"/>
        <w:rPr>
          <w:rFonts w:ascii="Arial" w:hAnsi="Arial" w:cs="Arial"/>
          <w:b/>
          <w:sz w:val="18"/>
          <w:szCs w:val="18"/>
          <w:lang w:val="en-US"/>
        </w:rPr>
      </w:pPr>
    </w:p>
    <w:p w14:paraId="704F87F7"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 xml:space="preserve">During the reporting period the Lenenergo customer online account was upgraded by increasing the data processing and delivery speed, improving navigation, introducing functions for saving a request template and filing an unlimited number of requests via the same account, adding an online customer messenger, and organizing the receipt and registration of online requests. In addition, the grid connection system was integrated with the portal of the Unified Construction Inspections System and the State Services portal, which enables customers to file requests from these websites. </w:t>
      </w:r>
    </w:p>
    <w:p w14:paraId="361FF8D4"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Going forward, the Company is planning to:</w:t>
      </w:r>
    </w:p>
    <w:p w14:paraId="0399BEA7" w14:textId="77777777" w:rsidR="00906126" w:rsidRPr="00BD295E" w:rsidRDefault="008A5057" w:rsidP="00FA6082">
      <w:pPr>
        <w:numPr>
          <w:ilvl w:val="0"/>
          <w:numId w:val="167"/>
        </w:numPr>
        <w:tabs>
          <w:tab w:val="left" w:pos="0"/>
        </w:tabs>
        <w:contextualSpacing/>
        <w:jc w:val="both"/>
        <w:rPr>
          <w:rFonts w:ascii="Arial" w:hAnsi="Arial" w:cs="Arial"/>
          <w:sz w:val="18"/>
          <w:szCs w:val="18"/>
          <w:lang w:val="en-US"/>
        </w:rPr>
      </w:pPr>
      <w:r w:rsidRPr="00BD295E">
        <w:rPr>
          <w:rFonts w:ascii="Arial" w:hAnsi="Arial" w:cs="Arial"/>
          <w:sz w:val="18"/>
          <w:szCs w:val="18"/>
          <w:lang w:val="en-US"/>
        </w:rPr>
        <w:t>launch a mobile application based on the customer online account on the AIOS and Android platforms;</w:t>
      </w:r>
    </w:p>
    <w:p w14:paraId="3C33B3C8" w14:textId="77777777" w:rsidR="00906126" w:rsidRPr="00BD295E" w:rsidRDefault="008A5057" w:rsidP="00FA6082">
      <w:pPr>
        <w:numPr>
          <w:ilvl w:val="0"/>
          <w:numId w:val="167"/>
        </w:numPr>
        <w:tabs>
          <w:tab w:val="left" w:pos="0"/>
        </w:tabs>
        <w:contextualSpacing/>
        <w:jc w:val="both"/>
        <w:rPr>
          <w:rFonts w:ascii="Arial" w:hAnsi="Arial" w:cs="Arial"/>
          <w:sz w:val="18"/>
          <w:szCs w:val="18"/>
          <w:lang w:val="en-US"/>
        </w:rPr>
      </w:pPr>
      <w:r w:rsidRPr="00BD295E">
        <w:rPr>
          <w:rFonts w:ascii="Arial" w:hAnsi="Arial" w:cs="Arial"/>
          <w:sz w:val="18"/>
          <w:szCs w:val="18"/>
          <w:lang w:val="en-US"/>
        </w:rPr>
        <w:t>use tablets at Service Centers near the reception windows for customers to indicate the location of their power receiving devices at the stage of filing applications;</w:t>
      </w:r>
    </w:p>
    <w:p w14:paraId="2684D274" w14:textId="77777777" w:rsidR="00906126" w:rsidRPr="00BD295E" w:rsidRDefault="008A5057" w:rsidP="00FA6082">
      <w:pPr>
        <w:numPr>
          <w:ilvl w:val="0"/>
          <w:numId w:val="167"/>
        </w:numPr>
        <w:tabs>
          <w:tab w:val="left" w:pos="0"/>
        </w:tabs>
        <w:contextualSpacing/>
        <w:jc w:val="both"/>
        <w:rPr>
          <w:rFonts w:ascii="Arial" w:hAnsi="Arial" w:cs="Arial"/>
          <w:sz w:val="18"/>
          <w:szCs w:val="18"/>
          <w:lang w:val="en-US"/>
        </w:rPr>
      </w:pPr>
      <w:r w:rsidRPr="00BD295E">
        <w:rPr>
          <w:rFonts w:ascii="Arial" w:hAnsi="Arial" w:cs="Arial"/>
          <w:sz w:val="18"/>
          <w:szCs w:val="18"/>
          <w:lang w:val="en-US"/>
        </w:rPr>
        <w:t>launch a GIS system in order to reduce design and construction timelines under grid connection applications;</w:t>
      </w:r>
    </w:p>
    <w:p w14:paraId="508A7AF7" w14:textId="77777777" w:rsidR="00906126" w:rsidRPr="00BD295E" w:rsidRDefault="008A5057" w:rsidP="00FA6082">
      <w:pPr>
        <w:numPr>
          <w:ilvl w:val="0"/>
          <w:numId w:val="167"/>
        </w:numPr>
        <w:tabs>
          <w:tab w:val="left" w:pos="0"/>
        </w:tabs>
        <w:contextualSpacing/>
        <w:jc w:val="both"/>
        <w:rPr>
          <w:rFonts w:ascii="Arial" w:hAnsi="Arial" w:cs="Arial"/>
          <w:sz w:val="18"/>
          <w:szCs w:val="18"/>
          <w:lang w:val="en-US"/>
        </w:rPr>
      </w:pPr>
      <w:r w:rsidRPr="00BD295E">
        <w:rPr>
          <w:rFonts w:ascii="Arial" w:hAnsi="Arial" w:cs="Arial"/>
          <w:sz w:val="18"/>
          <w:szCs w:val="18"/>
          <w:lang w:val="en-US"/>
        </w:rPr>
        <w:t>launch automatic assignment and delivery of online account numbers for payment of consumed electricity by customers who have entered into a grid connection agreement;</w:t>
      </w:r>
    </w:p>
    <w:p w14:paraId="6B9C32DD" w14:textId="77777777" w:rsidR="00906126" w:rsidRPr="00BD295E" w:rsidRDefault="008A5057" w:rsidP="00FA6082">
      <w:pPr>
        <w:numPr>
          <w:ilvl w:val="0"/>
          <w:numId w:val="167"/>
        </w:numPr>
        <w:tabs>
          <w:tab w:val="left" w:pos="0"/>
        </w:tabs>
        <w:contextualSpacing/>
        <w:jc w:val="both"/>
        <w:rPr>
          <w:rFonts w:ascii="Arial" w:hAnsi="Arial" w:cs="Arial"/>
          <w:sz w:val="18"/>
          <w:szCs w:val="18"/>
          <w:lang w:val="en-US"/>
        </w:rPr>
      </w:pPr>
      <w:r w:rsidRPr="00BD295E">
        <w:rPr>
          <w:rFonts w:ascii="Arial" w:hAnsi="Arial" w:cs="Arial"/>
          <w:sz w:val="18"/>
          <w:szCs w:val="18"/>
          <w:lang w:val="en-US"/>
        </w:rPr>
        <w:t xml:space="preserve">reduce the time for grid connection to 45 days in order to improve the accessibility and quality of services provided to </w:t>
      </w:r>
      <w:r w:rsidR="000D659F" w:rsidRPr="00BD295E">
        <w:rPr>
          <w:rFonts w:ascii="Arial" w:hAnsi="Arial" w:cs="Arial"/>
          <w:sz w:val="18"/>
          <w:szCs w:val="18"/>
          <w:lang w:val="en-US"/>
        </w:rPr>
        <w:t>customer</w:t>
      </w:r>
      <w:r w:rsidRPr="00BD295E">
        <w:rPr>
          <w:rFonts w:ascii="Arial" w:hAnsi="Arial" w:cs="Arial"/>
          <w:sz w:val="18"/>
          <w:szCs w:val="18"/>
          <w:lang w:val="en-US"/>
        </w:rPr>
        <w:t>s covered by the Target Model program.</w:t>
      </w:r>
    </w:p>
    <w:p w14:paraId="62584005" w14:textId="77777777" w:rsidR="00906126" w:rsidRPr="00BD295E" w:rsidRDefault="00906126" w:rsidP="00906126">
      <w:pPr>
        <w:tabs>
          <w:tab w:val="left" w:pos="0"/>
        </w:tabs>
        <w:ind w:firstLine="709"/>
        <w:contextualSpacing/>
        <w:jc w:val="both"/>
        <w:rPr>
          <w:rFonts w:ascii="Arial" w:hAnsi="Arial" w:cs="Arial"/>
          <w:sz w:val="18"/>
          <w:szCs w:val="18"/>
          <w:lang w:val="en-US"/>
        </w:rPr>
      </w:pPr>
    </w:p>
    <w:p w14:paraId="6E9CE3D8" w14:textId="77777777" w:rsidR="00906126" w:rsidRPr="00BD295E" w:rsidRDefault="008A5057" w:rsidP="00FA6082">
      <w:pPr>
        <w:numPr>
          <w:ilvl w:val="1"/>
          <w:numId w:val="162"/>
        </w:numPr>
        <w:tabs>
          <w:tab w:val="left" w:pos="0"/>
        </w:tabs>
        <w:ind w:left="0" w:firstLine="567"/>
        <w:contextualSpacing/>
        <w:jc w:val="both"/>
        <w:rPr>
          <w:rFonts w:ascii="Arial" w:hAnsi="Arial" w:cs="Arial"/>
          <w:b/>
          <w:sz w:val="18"/>
          <w:szCs w:val="18"/>
          <w:lang w:val="en-US"/>
        </w:rPr>
      </w:pPr>
      <w:r w:rsidRPr="00BD295E">
        <w:rPr>
          <w:rFonts w:ascii="Arial" w:hAnsi="Arial" w:cs="Arial"/>
          <w:b/>
          <w:sz w:val="18"/>
          <w:szCs w:val="18"/>
          <w:lang w:val="en-US"/>
        </w:rPr>
        <w:t>Improving consumer confidence, including holding roundtable discussions with consumers, and establishing the Company’s Consumer Councils.</w:t>
      </w:r>
    </w:p>
    <w:p w14:paraId="13DDC21E" w14:textId="77777777" w:rsidR="00906126" w:rsidRPr="00BD295E" w:rsidRDefault="00906126" w:rsidP="00906126">
      <w:pPr>
        <w:tabs>
          <w:tab w:val="left" w:pos="0"/>
        </w:tabs>
        <w:ind w:left="567"/>
        <w:contextualSpacing/>
        <w:jc w:val="both"/>
        <w:rPr>
          <w:rFonts w:ascii="Arial" w:hAnsi="Arial" w:cs="Arial"/>
          <w:b/>
          <w:sz w:val="18"/>
          <w:szCs w:val="18"/>
          <w:lang w:val="en-US"/>
        </w:rPr>
      </w:pPr>
    </w:p>
    <w:p w14:paraId="3D6CBB10"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In 2018, round tables, public receptions, meetups, and webinars were held on a regular basis to raise awareness and increase consumer loyalty on matters related to the implementation of the grid connection procedure, addressing non-contractual consumption, and advising small- and medium-sized businesses on grid connection.</w:t>
      </w:r>
    </w:p>
    <w:p w14:paraId="0F511734" w14:textId="77777777" w:rsidR="00906126" w:rsidRPr="00BD295E" w:rsidRDefault="008A5057" w:rsidP="00AC79FB">
      <w:pPr>
        <w:tabs>
          <w:tab w:val="left" w:pos="0"/>
        </w:tabs>
        <w:contextualSpacing/>
        <w:jc w:val="both"/>
        <w:rPr>
          <w:rFonts w:ascii="Arial" w:hAnsi="Arial" w:cs="Arial"/>
          <w:sz w:val="18"/>
          <w:szCs w:val="18"/>
          <w:lang w:val="en-US"/>
        </w:rPr>
      </w:pPr>
      <w:r w:rsidRPr="00BD295E">
        <w:rPr>
          <w:rFonts w:ascii="Arial" w:hAnsi="Arial" w:cs="Arial"/>
          <w:sz w:val="18"/>
          <w:szCs w:val="18"/>
          <w:lang w:val="en-US"/>
        </w:rPr>
        <w:t>Going forward, these activities will be complemented by monthly participation in meetings held at the Business Environment Improvement Task Force.</w:t>
      </w:r>
    </w:p>
    <w:p w14:paraId="34F3D6D2" w14:textId="77777777" w:rsidR="00906126" w:rsidRPr="00BD295E" w:rsidRDefault="00906126" w:rsidP="00906126">
      <w:pPr>
        <w:tabs>
          <w:tab w:val="left" w:pos="0"/>
        </w:tabs>
        <w:ind w:left="709"/>
        <w:contextualSpacing/>
        <w:jc w:val="both"/>
        <w:rPr>
          <w:rFonts w:ascii="Arial" w:hAnsi="Arial" w:cs="Arial"/>
          <w:sz w:val="18"/>
          <w:szCs w:val="18"/>
          <w:lang w:val="en-US"/>
        </w:rPr>
      </w:pPr>
    </w:p>
    <w:p w14:paraId="09850139" w14:textId="77777777" w:rsidR="00906126" w:rsidRPr="00BD295E" w:rsidRDefault="008A5057" w:rsidP="00FA6082">
      <w:pPr>
        <w:numPr>
          <w:ilvl w:val="1"/>
          <w:numId w:val="162"/>
        </w:numPr>
        <w:tabs>
          <w:tab w:val="left" w:pos="0"/>
        </w:tabs>
        <w:ind w:left="0" w:firstLine="567"/>
        <w:contextualSpacing/>
        <w:jc w:val="both"/>
        <w:rPr>
          <w:rFonts w:ascii="Arial" w:hAnsi="Arial" w:cs="Arial"/>
          <w:b/>
          <w:sz w:val="18"/>
          <w:szCs w:val="18"/>
          <w:lang w:val="en-US"/>
        </w:rPr>
      </w:pPr>
      <w:r w:rsidRPr="00BD295E">
        <w:rPr>
          <w:rFonts w:ascii="Arial" w:hAnsi="Arial" w:cs="Arial"/>
          <w:b/>
          <w:sz w:val="18"/>
          <w:szCs w:val="18"/>
          <w:lang w:val="en-US"/>
        </w:rPr>
        <w:t>Improving transparency and openness of the Company’s activities.</w:t>
      </w:r>
    </w:p>
    <w:p w14:paraId="4E8C8D65" w14:textId="77777777" w:rsidR="00906126" w:rsidRPr="00BD295E" w:rsidRDefault="00906126" w:rsidP="00906126">
      <w:pPr>
        <w:tabs>
          <w:tab w:val="left" w:pos="0"/>
        </w:tabs>
        <w:ind w:left="567"/>
        <w:contextualSpacing/>
        <w:jc w:val="both"/>
        <w:rPr>
          <w:rFonts w:ascii="Arial" w:hAnsi="Arial" w:cs="Arial"/>
          <w:b/>
          <w:sz w:val="18"/>
          <w:szCs w:val="18"/>
          <w:lang w:val="en-US"/>
        </w:rPr>
      </w:pPr>
    </w:p>
    <w:p w14:paraId="0119438C" w14:textId="77777777" w:rsidR="00906126" w:rsidRPr="00BD295E" w:rsidRDefault="000D659F" w:rsidP="00AC79FB">
      <w:pPr>
        <w:tabs>
          <w:tab w:val="left" w:pos="142"/>
          <w:tab w:val="left" w:pos="1276"/>
        </w:tabs>
        <w:contextualSpacing/>
        <w:jc w:val="both"/>
        <w:rPr>
          <w:rFonts w:ascii="Arial" w:hAnsi="Arial" w:cs="Arial"/>
          <w:sz w:val="18"/>
          <w:szCs w:val="18"/>
          <w:lang w:val="en-US"/>
        </w:rPr>
      </w:pPr>
      <w:r w:rsidRPr="00BD295E">
        <w:rPr>
          <w:rFonts w:ascii="Arial" w:hAnsi="Arial" w:cs="Arial"/>
          <w:sz w:val="18"/>
          <w:szCs w:val="18"/>
          <w:lang w:val="en-US"/>
        </w:rPr>
        <w:t>Customer</w:t>
      </w:r>
      <w:r w:rsidR="008A5057" w:rsidRPr="00BD295E">
        <w:rPr>
          <w:rFonts w:ascii="Arial" w:hAnsi="Arial" w:cs="Arial"/>
          <w:sz w:val="18"/>
          <w:szCs w:val="18"/>
          <w:lang w:val="en-US"/>
        </w:rPr>
        <w:t xml:space="preserve">s are informed about existing connection opportunities, and information concerning grid connection at all stages of the procedure is disclosed, via Customer Online Accounts on the Company’s official website and through face-to-face and remote customer support services, including via the unified contact center number (8 800 700 1471). </w:t>
      </w:r>
    </w:p>
    <w:p w14:paraId="4140FBE5" w14:textId="77777777" w:rsidR="00906126" w:rsidRPr="00BD295E" w:rsidRDefault="008A5057" w:rsidP="00AC79FB">
      <w:pPr>
        <w:tabs>
          <w:tab w:val="left" w:pos="142"/>
          <w:tab w:val="left" w:pos="1276"/>
        </w:tabs>
        <w:contextualSpacing/>
        <w:jc w:val="both"/>
        <w:rPr>
          <w:rFonts w:ascii="Arial" w:hAnsi="Arial" w:cs="Arial"/>
          <w:sz w:val="18"/>
          <w:szCs w:val="18"/>
          <w:lang w:val="en-US"/>
        </w:rPr>
      </w:pPr>
      <w:r w:rsidRPr="00BD295E">
        <w:rPr>
          <w:rFonts w:ascii="Arial" w:hAnsi="Arial" w:cs="Arial"/>
          <w:sz w:val="18"/>
          <w:szCs w:val="18"/>
          <w:lang w:val="en-US"/>
        </w:rPr>
        <w:t xml:space="preserve">In addition, all Customer Service Centers offer handouts with guidelines and have information stands in accordance with the requirements for organizing customer service offices approved by Order No. 186 of the Russian Ministry of Energy </w:t>
      </w:r>
      <w:r w:rsidRPr="00BD295E">
        <w:rPr>
          <w:rFonts w:ascii="Arial" w:hAnsi="Arial" w:cs="Arial"/>
          <w:i/>
          <w:iCs/>
          <w:sz w:val="18"/>
          <w:szCs w:val="18"/>
          <w:lang w:val="en-US"/>
        </w:rPr>
        <w:t>On Uniform Quality Standards for Customer Service Offered by Grid Companies to Their Customers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15, 2014. The sufficiency of consumer awareness is assessed through telephone surveys and personal interviews with visitors of customer service centers.</w:t>
      </w:r>
    </w:p>
    <w:p w14:paraId="750C5635" w14:textId="77777777" w:rsidR="00906126" w:rsidRPr="00BD295E" w:rsidRDefault="00906126" w:rsidP="00906126">
      <w:pPr>
        <w:tabs>
          <w:tab w:val="left" w:pos="142"/>
          <w:tab w:val="left" w:pos="1276"/>
        </w:tabs>
        <w:ind w:firstLine="709"/>
        <w:contextualSpacing/>
        <w:jc w:val="both"/>
        <w:rPr>
          <w:rFonts w:ascii="Arial" w:hAnsi="Arial" w:cs="Arial"/>
          <w:sz w:val="18"/>
          <w:szCs w:val="18"/>
          <w:lang w:val="en-US"/>
        </w:rPr>
      </w:pPr>
    </w:p>
    <w:p w14:paraId="755428A3" w14:textId="77777777" w:rsidR="00906126" w:rsidRPr="00BD295E" w:rsidRDefault="008A5057" w:rsidP="00FA6082">
      <w:pPr>
        <w:numPr>
          <w:ilvl w:val="0"/>
          <w:numId w:val="162"/>
        </w:numPr>
        <w:tabs>
          <w:tab w:val="left" w:pos="0"/>
        </w:tabs>
        <w:ind w:left="567" w:firstLine="0"/>
        <w:contextualSpacing/>
        <w:jc w:val="both"/>
        <w:rPr>
          <w:rFonts w:ascii="Arial" w:hAnsi="Arial" w:cs="Arial"/>
          <w:b/>
          <w:sz w:val="18"/>
          <w:szCs w:val="18"/>
          <w:lang w:val="en-US"/>
        </w:rPr>
      </w:pPr>
      <w:r w:rsidRPr="00BD295E">
        <w:rPr>
          <w:rFonts w:ascii="Arial" w:hAnsi="Arial" w:cs="Arial"/>
          <w:b/>
          <w:sz w:val="18"/>
          <w:szCs w:val="18"/>
          <w:lang w:val="en-US"/>
        </w:rPr>
        <w:t>Assessing performance against the approved service reliability and quality metrics for the reporting period.</w:t>
      </w:r>
    </w:p>
    <w:p w14:paraId="38A7D8F2" w14:textId="77777777" w:rsidR="00906126" w:rsidRPr="00BD295E" w:rsidRDefault="00906126" w:rsidP="00906126">
      <w:pPr>
        <w:tabs>
          <w:tab w:val="left" w:pos="0"/>
        </w:tabs>
        <w:ind w:left="567"/>
        <w:contextualSpacing/>
        <w:jc w:val="both"/>
        <w:rPr>
          <w:rFonts w:ascii="Arial" w:hAnsi="Arial" w:cs="Arial"/>
          <w:b/>
          <w:sz w:val="18"/>
          <w:szCs w:val="18"/>
          <w:lang w:val="en-US"/>
        </w:rPr>
      </w:pPr>
    </w:p>
    <w:p w14:paraId="1A3A8CC4" w14:textId="28C09FE3" w:rsidR="00906126" w:rsidRPr="00BD295E" w:rsidRDefault="008A5057" w:rsidP="00AC79FB">
      <w:pPr>
        <w:contextualSpacing/>
        <w:jc w:val="both"/>
        <w:rPr>
          <w:rFonts w:ascii="Arial" w:hAnsi="Arial" w:cs="Arial"/>
          <w:sz w:val="18"/>
          <w:szCs w:val="18"/>
          <w:lang w:val="en-US"/>
        </w:rPr>
      </w:pPr>
      <w:r w:rsidRPr="00BD295E">
        <w:rPr>
          <w:rFonts w:ascii="Arial" w:hAnsi="Arial" w:cs="Arial"/>
          <w:sz w:val="18"/>
          <w:szCs w:val="18"/>
          <w:lang w:val="en-US"/>
        </w:rPr>
        <w:t xml:space="preserve">As part of the customer-oriented customer service policy and development of an integrated service system, the Company worked on improving the quality of its face-to-face customer service, connected new MFC-based customer engagement channels, made a decision to expand the contact center’s staff, upgraded and launched an </w:t>
      </w:r>
      <w:r w:rsidR="00BF7D8E" w:rsidRPr="00BD295E">
        <w:rPr>
          <w:rFonts w:ascii="Arial" w:hAnsi="Arial" w:cs="Arial"/>
          <w:sz w:val="18"/>
          <w:szCs w:val="18"/>
          <w:lang w:val="en-US"/>
        </w:rPr>
        <w:t>updated</w:t>
      </w:r>
      <w:r w:rsidRPr="00BD295E">
        <w:rPr>
          <w:rFonts w:ascii="Arial" w:hAnsi="Arial" w:cs="Arial"/>
          <w:sz w:val="18"/>
          <w:szCs w:val="18"/>
          <w:lang w:val="en-US"/>
        </w:rPr>
        <w:t xml:space="preserve"> customer online account, integrated the grid connection system with portals of State Services and the Unified Construction Inspection System, and held roundtables and meetings with small- and medium-sized businesses.</w:t>
      </w:r>
    </w:p>
    <w:p w14:paraId="5336EE4E" w14:textId="77777777" w:rsidR="00906126" w:rsidRPr="00BD295E" w:rsidRDefault="008A5057" w:rsidP="00AC79FB">
      <w:pPr>
        <w:contextualSpacing/>
        <w:jc w:val="both"/>
        <w:rPr>
          <w:rFonts w:ascii="Arial" w:hAnsi="Arial" w:cs="Arial"/>
          <w:sz w:val="18"/>
          <w:szCs w:val="18"/>
          <w:lang w:val="en-US"/>
        </w:rPr>
      </w:pPr>
      <w:r w:rsidRPr="00BD295E">
        <w:rPr>
          <w:rFonts w:ascii="Arial" w:hAnsi="Arial" w:cs="Arial"/>
          <w:sz w:val="18"/>
          <w:szCs w:val="18"/>
          <w:lang w:val="en-US"/>
        </w:rPr>
        <w:t>The actual service quality metrics describe the Company’s core activities (grid connection and electricity distribution) and are calculated based on the Calculation Methodology approved by the Russian Ministry of Energy, No. 1256 of November 29, 2016. Service quality metrics are calculated based on the total number of requests from service consumers (service applications and contracts, requests for reference information, etc.). Quality service targets for long-term regulation period are approved by the executive authorities of constituent entities of the Russian Federation. Service targets set by regulators for 2018 are deemed to have been achieved, which is a result of the implementation of our customer-oriented approach.</w:t>
      </w:r>
    </w:p>
    <w:p w14:paraId="7D60FB87" w14:textId="77777777" w:rsidR="00906126" w:rsidRPr="00BD295E" w:rsidRDefault="00906126" w:rsidP="00D55E31">
      <w:pPr>
        <w:ind w:firstLine="709"/>
        <w:contextualSpacing/>
        <w:jc w:val="both"/>
        <w:rPr>
          <w:rFonts w:ascii="Arial" w:hAnsi="Arial" w:cs="Arial"/>
          <w:sz w:val="18"/>
          <w:szCs w:val="18"/>
          <w:lang w:val="en-US"/>
        </w:rPr>
      </w:pPr>
    </w:p>
    <w:p w14:paraId="0C9E580B" w14:textId="77777777" w:rsidR="003F6DA4" w:rsidRPr="00BD295E" w:rsidRDefault="008A5057" w:rsidP="006614B1">
      <w:pPr>
        <w:keepNext/>
        <w:numPr>
          <w:ilvl w:val="1"/>
          <w:numId w:val="8"/>
        </w:numPr>
        <w:ind w:firstLine="231"/>
        <w:jc w:val="both"/>
        <w:outlineLvl w:val="1"/>
        <w:rPr>
          <w:rFonts w:ascii="Arial" w:hAnsi="Arial" w:cs="Arial"/>
          <w:b/>
          <w:sz w:val="18"/>
          <w:szCs w:val="18"/>
          <w:lang w:val="en-US"/>
        </w:rPr>
      </w:pPr>
      <w:bookmarkStart w:id="116" w:name="_Toc480202226"/>
      <w:bookmarkStart w:id="117" w:name="_Toc509493384"/>
      <w:bookmarkStart w:id="118" w:name="_Toc509497950"/>
      <w:bookmarkStart w:id="119" w:name="_Toc509581252"/>
      <w:bookmarkStart w:id="120" w:name="_Toc510452216"/>
      <w:bookmarkStart w:id="121" w:name="_Toc5026995"/>
      <w:bookmarkStart w:id="122" w:name="_Toc5105964"/>
      <w:bookmarkStart w:id="123" w:name="_Toc5203817"/>
      <w:bookmarkStart w:id="124" w:name="_Toc6230914"/>
      <w:bookmarkStart w:id="125" w:name="_Toc7172562"/>
      <w:bookmarkStart w:id="126" w:name="_Toc7172608"/>
      <w:bookmarkStart w:id="127" w:name="_Toc95855283"/>
      <w:bookmarkStart w:id="128" w:name="_Toc95935342"/>
      <w:bookmarkEnd w:id="116"/>
      <w:r w:rsidRPr="00BD295E">
        <w:rPr>
          <w:rFonts w:ascii="Arial" w:hAnsi="Arial" w:cs="Arial"/>
          <w:b/>
          <w:sz w:val="18"/>
          <w:szCs w:val="18"/>
          <w:lang w:val="en-US"/>
        </w:rPr>
        <w:t>Business Model</w:t>
      </w:r>
      <w:bookmarkEnd w:id="117"/>
      <w:bookmarkEnd w:id="118"/>
      <w:bookmarkEnd w:id="119"/>
      <w:bookmarkEnd w:id="120"/>
      <w:bookmarkEnd w:id="121"/>
      <w:bookmarkEnd w:id="122"/>
      <w:bookmarkEnd w:id="123"/>
      <w:bookmarkEnd w:id="124"/>
      <w:bookmarkEnd w:id="125"/>
      <w:bookmarkEnd w:id="126"/>
      <w:bookmarkEnd w:id="127"/>
      <w:bookmarkEnd w:id="128"/>
      <w:r w:rsidRPr="00BD295E">
        <w:rPr>
          <w:rFonts w:ascii="Arial" w:hAnsi="Arial" w:cs="Arial"/>
          <w:b/>
          <w:sz w:val="18"/>
          <w:szCs w:val="18"/>
          <w:lang w:val="en-US"/>
        </w:rPr>
        <w:t xml:space="preserve"> </w:t>
      </w:r>
    </w:p>
    <w:p w14:paraId="31A443FC" w14:textId="77777777" w:rsidR="003F6DA4" w:rsidRPr="00BD295E" w:rsidRDefault="003F6DA4" w:rsidP="003F6DA4">
      <w:pPr>
        <w:ind w:firstLine="709"/>
        <w:contextualSpacing/>
        <w:jc w:val="both"/>
        <w:rPr>
          <w:rFonts w:ascii="Arial" w:hAnsi="Arial" w:cs="Arial"/>
          <w:sz w:val="18"/>
          <w:szCs w:val="18"/>
          <w:lang w:val="en-US"/>
        </w:rPr>
      </w:pPr>
    </w:p>
    <w:p w14:paraId="05D0F7E9" w14:textId="77777777" w:rsidR="003F6DA4" w:rsidRPr="00BD295E" w:rsidRDefault="008A5057" w:rsidP="00AC79FB">
      <w:pPr>
        <w:contextualSpacing/>
        <w:jc w:val="both"/>
        <w:rPr>
          <w:rFonts w:ascii="Arial" w:hAnsi="Arial" w:cs="Arial"/>
          <w:sz w:val="18"/>
          <w:szCs w:val="18"/>
          <w:lang w:val="en-US"/>
        </w:rPr>
      </w:pPr>
      <w:r w:rsidRPr="00BD295E">
        <w:rPr>
          <w:rFonts w:ascii="Arial" w:hAnsi="Arial" w:cs="Arial"/>
          <w:sz w:val="18"/>
          <w:szCs w:val="18"/>
          <w:lang w:val="en-US"/>
        </w:rPr>
        <w:t xml:space="preserve">The activities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have a strong social focus: we help millions of people in our operating region communicate, share, create, learn, and grow. We realize that demonstrating stable positive financial performance is not enough for long-term value creation. Consumers for whom we work expect us to continuously improve the quality and reliability of our services, which directly impact the quality of their daily lives.</w:t>
      </w:r>
    </w:p>
    <w:p w14:paraId="3CC3658F" w14:textId="77777777" w:rsidR="003F6DA4" w:rsidRPr="00BD295E" w:rsidRDefault="003F6DA4" w:rsidP="003F6DA4">
      <w:pPr>
        <w:jc w:val="both"/>
        <w:rPr>
          <w:rFonts w:ascii="Arial" w:hAnsi="Arial" w:cs="Arial"/>
          <w:sz w:val="18"/>
          <w:szCs w:val="1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4"/>
        <w:gridCol w:w="1914"/>
        <w:gridCol w:w="1796"/>
        <w:gridCol w:w="3091"/>
      </w:tblGrid>
      <w:tr w:rsidR="00AC79FB" w:rsidRPr="00BD295E" w14:paraId="78099D2B" w14:textId="77777777" w:rsidTr="00E3510B">
        <w:tc>
          <w:tcPr>
            <w:tcW w:w="1361" w:type="pct"/>
            <w:shd w:val="clear" w:color="auto" w:fill="auto"/>
            <w:vAlign w:val="center"/>
          </w:tcPr>
          <w:p w14:paraId="2F1BF678" w14:textId="77777777" w:rsidR="003F6DA4" w:rsidRPr="00BD295E" w:rsidRDefault="008A5057" w:rsidP="003F6DA4">
            <w:pPr>
              <w:rPr>
                <w:rFonts w:ascii="Arial" w:hAnsi="Arial" w:cs="Arial"/>
                <w:b/>
                <w:sz w:val="18"/>
                <w:szCs w:val="18"/>
                <w:lang w:val="en-US"/>
              </w:rPr>
            </w:pPr>
            <w:r w:rsidRPr="00BD295E">
              <w:rPr>
                <w:rFonts w:ascii="Arial" w:hAnsi="Arial" w:cs="Arial"/>
                <w:b/>
                <w:sz w:val="18"/>
                <w:szCs w:val="18"/>
                <w:lang w:val="en-US"/>
              </w:rPr>
              <w:t xml:space="preserve"> Basis for value creation</w:t>
            </w:r>
          </w:p>
        </w:tc>
        <w:tc>
          <w:tcPr>
            <w:tcW w:w="1985" w:type="pct"/>
            <w:gridSpan w:val="2"/>
            <w:shd w:val="clear" w:color="auto" w:fill="auto"/>
            <w:vAlign w:val="center"/>
          </w:tcPr>
          <w:p w14:paraId="5ECB1310" w14:textId="77777777" w:rsidR="003F6DA4"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What we do</w:t>
            </w:r>
          </w:p>
        </w:tc>
        <w:tc>
          <w:tcPr>
            <w:tcW w:w="1654" w:type="pct"/>
            <w:shd w:val="clear" w:color="auto" w:fill="auto"/>
            <w:vAlign w:val="center"/>
          </w:tcPr>
          <w:p w14:paraId="2FA732DE" w14:textId="77777777" w:rsidR="003F6DA4"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Creating stakeholder value</w:t>
            </w:r>
          </w:p>
          <w:p w14:paraId="3C573143" w14:textId="77777777" w:rsidR="003F6DA4" w:rsidRPr="00BD295E" w:rsidRDefault="008A5057" w:rsidP="00E3510B">
            <w:pPr>
              <w:jc w:val="center"/>
              <w:rPr>
                <w:rFonts w:ascii="Arial" w:hAnsi="Arial" w:cs="Arial"/>
                <w:sz w:val="18"/>
                <w:szCs w:val="18"/>
                <w:lang w:val="en-US"/>
              </w:rPr>
            </w:pPr>
            <w:r w:rsidRPr="00BD295E">
              <w:rPr>
                <w:rFonts w:ascii="Arial" w:hAnsi="Arial" w:cs="Arial"/>
                <w:b/>
                <w:sz w:val="18"/>
                <w:szCs w:val="18"/>
                <w:lang w:val="en-US"/>
              </w:rPr>
              <w:t>(Group 2018 IFRS financial performance)</w:t>
            </w:r>
          </w:p>
        </w:tc>
      </w:tr>
      <w:tr w:rsidR="00AC79FB" w:rsidRPr="00BD295E" w14:paraId="68605D62" w14:textId="77777777" w:rsidTr="00E3510B">
        <w:tc>
          <w:tcPr>
            <w:tcW w:w="1361" w:type="pct"/>
            <w:vMerge w:val="restart"/>
            <w:shd w:val="clear" w:color="auto" w:fill="auto"/>
          </w:tcPr>
          <w:p w14:paraId="23DF85EA" w14:textId="77777777" w:rsidR="003F6DA4" w:rsidRPr="00BD295E" w:rsidRDefault="003F6DA4" w:rsidP="003F6DA4">
            <w:pPr>
              <w:rPr>
                <w:rFonts w:ascii="Arial" w:hAnsi="Arial" w:cs="Arial"/>
                <w:b/>
                <w:sz w:val="18"/>
                <w:szCs w:val="18"/>
                <w:lang w:val="en-US"/>
              </w:rPr>
            </w:pPr>
          </w:p>
          <w:p w14:paraId="51212F42" w14:textId="77777777" w:rsidR="003F6DA4" w:rsidRPr="00BD295E" w:rsidRDefault="008A5057" w:rsidP="003F6DA4">
            <w:pPr>
              <w:rPr>
                <w:rFonts w:ascii="Arial" w:hAnsi="Arial" w:cs="Arial"/>
                <w:b/>
                <w:sz w:val="18"/>
                <w:szCs w:val="18"/>
                <w:lang w:val="en-US"/>
              </w:rPr>
            </w:pPr>
            <w:r w:rsidRPr="00BD295E">
              <w:rPr>
                <w:rFonts w:ascii="Arial" w:hAnsi="Arial" w:cs="Arial"/>
                <w:b/>
                <w:sz w:val="18"/>
                <w:szCs w:val="18"/>
                <w:lang w:val="en-US"/>
              </w:rPr>
              <w:t>Stability and sustainability driver</w:t>
            </w:r>
          </w:p>
          <w:p w14:paraId="011EDB3C" w14:textId="77777777" w:rsidR="003F6DA4" w:rsidRPr="00BD295E" w:rsidRDefault="003F6DA4" w:rsidP="003F6DA4">
            <w:pPr>
              <w:rPr>
                <w:rFonts w:ascii="Arial" w:hAnsi="Arial" w:cs="Arial"/>
                <w:sz w:val="18"/>
                <w:szCs w:val="18"/>
                <w:lang w:val="en-US"/>
              </w:rPr>
            </w:pPr>
          </w:p>
          <w:p w14:paraId="17CD41A0" w14:textId="77777777" w:rsidR="003F6DA4" w:rsidRPr="00BD295E" w:rsidRDefault="00EE5753" w:rsidP="003F6DA4">
            <w:pPr>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is a socially oriented infrastructure company. </w:t>
            </w:r>
          </w:p>
          <w:p w14:paraId="385B4CC7" w14:textId="77777777" w:rsidR="003F6DA4" w:rsidRPr="00BD295E" w:rsidRDefault="008A5057" w:rsidP="003F6DA4">
            <w:pPr>
              <w:rPr>
                <w:rFonts w:ascii="Arial" w:hAnsi="Arial" w:cs="Arial"/>
                <w:sz w:val="18"/>
                <w:szCs w:val="18"/>
                <w:lang w:val="en-US"/>
              </w:rPr>
            </w:pPr>
            <w:r w:rsidRPr="00BD295E">
              <w:rPr>
                <w:rFonts w:ascii="Arial" w:hAnsi="Arial" w:cs="Arial"/>
                <w:sz w:val="18"/>
                <w:szCs w:val="18"/>
                <w:lang w:val="en-US"/>
              </w:rPr>
              <w:t xml:space="preserve">By ensuring the reliability of electricity supply, the Company performs a socially significant function and is therefore monitored and supported by the government and municipal authorities. The Company’s Board of Directors includes representatives of major shareholders: the state-owned company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and the City of Saint Petersburg, as well as a representative of the Russian Ministry of Energy. </w:t>
            </w:r>
          </w:p>
          <w:p w14:paraId="219D2F5F" w14:textId="77777777" w:rsidR="003F6DA4" w:rsidRPr="00BD295E" w:rsidRDefault="003F6DA4" w:rsidP="00E3510B">
            <w:pPr>
              <w:spacing w:after="200" w:line="276" w:lineRule="auto"/>
              <w:rPr>
                <w:rFonts w:ascii="Arial" w:hAnsi="Arial" w:cs="Arial"/>
                <w:b/>
                <w:sz w:val="18"/>
                <w:szCs w:val="18"/>
                <w:lang w:val="en-US"/>
              </w:rPr>
            </w:pPr>
          </w:p>
          <w:p w14:paraId="262F0CCE" w14:textId="77777777" w:rsidR="003F6DA4" w:rsidRPr="00BD295E" w:rsidRDefault="008A5057" w:rsidP="00E3510B">
            <w:pPr>
              <w:spacing w:after="200" w:line="276" w:lineRule="auto"/>
              <w:rPr>
                <w:rFonts w:ascii="Arial" w:hAnsi="Arial" w:cs="Arial"/>
                <w:b/>
                <w:sz w:val="18"/>
                <w:szCs w:val="18"/>
                <w:lang w:val="en-US"/>
              </w:rPr>
            </w:pPr>
            <w:r w:rsidRPr="00BD295E">
              <w:rPr>
                <w:rFonts w:ascii="Arial" w:hAnsi="Arial" w:cs="Arial"/>
                <w:b/>
                <w:sz w:val="18"/>
                <w:szCs w:val="18"/>
                <w:lang w:val="en-US"/>
              </w:rPr>
              <w:t>Our key advantages</w:t>
            </w:r>
          </w:p>
          <w:p w14:paraId="760B04A3" w14:textId="77777777" w:rsidR="003F6DA4" w:rsidRPr="00BD295E" w:rsidRDefault="008A5057" w:rsidP="00E3510B">
            <w:pPr>
              <w:pStyle w:val="af3"/>
              <w:numPr>
                <w:ilvl w:val="0"/>
                <w:numId w:val="67"/>
              </w:numPr>
              <w:ind w:left="284" w:hanging="284"/>
              <w:rPr>
                <w:rFonts w:ascii="Arial" w:hAnsi="Arial" w:cs="Arial"/>
                <w:sz w:val="18"/>
                <w:szCs w:val="18"/>
                <w:lang w:val="en-US"/>
              </w:rPr>
            </w:pPr>
            <w:r w:rsidRPr="00BD295E">
              <w:rPr>
                <w:rFonts w:ascii="Arial" w:hAnsi="Arial" w:cs="Arial"/>
                <w:sz w:val="18"/>
                <w:szCs w:val="18"/>
                <w:lang w:val="en-US"/>
              </w:rPr>
              <w:t xml:space="preserve">Position of a natural monopoly in the steadily developing market of Saint Petersburg and the Leningrad Region. </w:t>
            </w:r>
          </w:p>
          <w:p w14:paraId="1FBDDE33" w14:textId="77777777" w:rsidR="003F6DA4" w:rsidRPr="00BD295E" w:rsidRDefault="008A5057" w:rsidP="00E3510B">
            <w:pPr>
              <w:pStyle w:val="af3"/>
              <w:numPr>
                <w:ilvl w:val="0"/>
                <w:numId w:val="67"/>
              </w:numPr>
              <w:ind w:left="284" w:hanging="284"/>
              <w:rPr>
                <w:rFonts w:ascii="Arial" w:hAnsi="Arial" w:cs="Arial"/>
                <w:sz w:val="18"/>
                <w:szCs w:val="18"/>
                <w:lang w:val="en-US"/>
              </w:rPr>
            </w:pPr>
            <w:r w:rsidRPr="00BD295E">
              <w:rPr>
                <w:rFonts w:ascii="Arial" w:hAnsi="Arial" w:cs="Arial"/>
                <w:sz w:val="18"/>
                <w:szCs w:val="18"/>
                <w:lang w:val="en-US"/>
              </w:rPr>
              <w:t xml:space="preserve">Diversified consumer base, including large-scale industry, small- and medium-sized businesses, and households. </w:t>
            </w:r>
          </w:p>
          <w:p w14:paraId="5201FD1A" w14:textId="77777777" w:rsidR="003F6DA4" w:rsidRPr="00BD295E" w:rsidRDefault="008A5057" w:rsidP="00E3510B">
            <w:pPr>
              <w:pStyle w:val="af3"/>
              <w:numPr>
                <w:ilvl w:val="0"/>
                <w:numId w:val="67"/>
              </w:numPr>
              <w:ind w:left="284" w:hanging="284"/>
              <w:rPr>
                <w:rFonts w:ascii="Arial" w:hAnsi="Arial" w:cs="Arial"/>
                <w:sz w:val="18"/>
                <w:szCs w:val="18"/>
                <w:lang w:val="en-US"/>
              </w:rPr>
            </w:pPr>
            <w:r w:rsidRPr="00BD295E">
              <w:rPr>
                <w:rFonts w:ascii="Arial" w:hAnsi="Arial" w:cs="Arial"/>
                <w:sz w:val="18"/>
                <w:szCs w:val="18"/>
                <w:lang w:val="en-US"/>
              </w:rPr>
              <w:t xml:space="preserve">Implementation of a large-scale long-term investment program to ensure growth and development.  </w:t>
            </w:r>
          </w:p>
          <w:p w14:paraId="3157BF97" w14:textId="77777777" w:rsidR="003F6DA4" w:rsidRPr="00BD295E" w:rsidRDefault="008A5057" w:rsidP="00E3510B">
            <w:pPr>
              <w:pStyle w:val="af3"/>
              <w:numPr>
                <w:ilvl w:val="0"/>
                <w:numId w:val="67"/>
              </w:numPr>
              <w:ind w:left="284" w:hanging="284"/>
              <w:rPr>
                <w:rFonts w:ascii="Arial" w:hAnsi="Arial" w:cs="Arial"/>
                <w:sz w:val="18"/>
                <w:szCs w:val="18"/>
                <w:lang w:val="en-US"/>
              </w:rPr>
            </w:pPr>
            <w:r w:rsidRPr="00BD295E">
              <w:rPr>
                <w:rFonts w:ascii="Arial" w:hAnsi="Arial" w:cs="Arial"/>
                <w:sz w:val="18"/>
                <w:szCs w:val="18"/>
                <w:lang w:val="en-US"/>
              </w:rPr>
              <w:t xml:space="preserve">Highly qualified, experienced, and trained staff. </w:t>
            </w:r>
          </w:p>
          <w:p w14:paraId="0E5DC1F9" w14:textId="77777777" w:rsidR="003F6DA4" w:rsidRPr="00BD295E" w:rsidRDefault="008A5057" w:rsidP="00E3510B">
            <w:pPr>
              <w:pStyle w:val="af3"/>
              <w:numPr>
                <w:ilvl w:val="0"/>
                <w:numId w:val="67"/>
              </w:numPr>
              <w:ind w:left="284" w:hanging="284"/>
              <w:rPr>
                <w:rFonts w:ascii="Arial" w:hAnsi="Arial" w:cs="Arial"/>
                <w:sz w:val="18"/>
                <w:szCs w:val="18"/>
                <w:lang w:val="en-US"/>
              </w:rPr>
            </w:pPr>
            <w:r w:rsidRPr="00BD295E">
              <w:rPr>
                <w:rFonts w:ascii="Arial" w:hAnsi="Arial" w:cs="Arial"/>
                <w:sz w:val="18"/>
                <w:szCs w:val="18"/>
                <w:lang w:val="en-US"/>
              </w:rPr>
              <w:t>Stable financial position and availability of financial resources.</w:t>
            </w:r>
          </w:p>
          <w:p w14:paraId="3DE73730" w14:textId="77777777" w:rsidR="003F6DA4" w:rsidRPr="00BD295E" w:rsidRDefault="008A5057" w:rsidP="00E3510B">
            <w:pPr>
              <w:pStyle w:val="af3"/>
              <w:ind w:left="284"/>
              <w:rPr>
                <w:rFonts w:ascii="Arial" w:hAnsi="Arial" w:cs="Arial"/>
                <w:sz w:val="18"/>
                <w:szCs w:val="18"/>
                <w:lang w:val="en-US"/>
              </w:rPr>
            </w:pPr>
            <w:r w:rsidRPr="00BD295E">
              <w:rPr>
                <w:rFonts w:ascii="Arial" w:hAnsi="Arial" w:cs="Arial"/>
                <w:sz w:val="18"/>
                <w:szCs w:val="18"/>
                <w:lang w:val="en-US"/>
              </w:rPr>
              <w:t xml:space="preserve">Our solid reputation as a reliable borrower is confirmed by Moody’s long-term credit rating of Ba1 (stable outlook). </w:t>
            </w:r>
          </w:p>
        </w:tc>
        <w:tc>
          <w:tcPr>
            <w:tcW w:w="1985" w:type="pct"/>
            <w:gridSpan w:val="2"/>
            <w:shd w:val="clear" w:color="auto" w:fill="auto"/>
          </w:tcPr>
          <w:p w14:paraId="6A3CFC16" w14:textId="77777777" w:rsidR="003F6DA4" w:rsidRPr="00BD295E" w:rsidRDefault="003F6DA4" w:rsidP="003F6DA4">
            <w:pPr>
              <w:rPr>
                <w:rFonts w:ascii="Arial" w:hAnsi="Arial" w:cs="Arial"/>
                <w:sz w:val="18"/>
                <w:szCs w:val="18"/>
                <w:lang w:val="en-US"/>
              </w:rPr>
            </w:pPr>
          </w:p>
          <w:p w14:paraId="409FB50E" w14:textId="77777777" w:rsidR="003F6DA4" w:rsidRPr="00BD295E" w:rsidRDefault="008A5057" w:rsidP="003F6DA4">
            <w:pPr>
              <w:rPr>
                <w:rFonts w:ascii="Arial" w:eastAsia="Calibri" w:hAnsi="Arial" w:cs="Arial"/>
                <w:sz w:val="18"/>
                <w:szCs w:val="18"/>
                <w:lang w:val="en-US"/>
              </w:rPr>
            </w:pPr>
            <w:r w:rsidRPr="00BD295E">
              <w:rPr>
                <w:rFonts w:ascii="Arial" w:hAnsi="Arial" w:cs="Arial"/>
                <w:sz w:val="18"/>
                <w:szCs w:val="18"/>
                <w:lang w:val="en-US"/>
              </w:rPr>
              <w:t xml:space="preserve">Our core businesses (electricity distribution and grid connection) are regulated by the government. The Federal Antimonopoly Service and Regional Energy Commissions for Saint Petersburg and the Leningrad Region, respectively, set tariffs and quality standards for services provided by us to protect consumer interests. </w:t>
            </w:r>
          </w:p>
          <w:p w14:paraId="49F1A47D" w14:textId="77777777" w:rsidR="003F6DA4" w:rsidRPr="00BD295E" w:rsidRDefault="003F6DA4" w:rsidP="00E3510B">
            <w:pPr>
              <w:jc w:val="center"/>
              <w:rPr>
                <w:rFonts w:ascii="Arial" w:eastAsia="Calibri" w:hAnsi="Arial" w:cs="Arial"/>
                <w:b/>
                <w:sz w:val="18"/>
                <w:szCs w:val="18"/>
                <w:lang w:val="en-US"/>
              </w:rPr>
            </w:pPr>
          </w:p>
          <w:p w14:paraId="56403769" w14:textId="77777777" w:rsidR="00AC79FB" w:rsidRPr="00BD295E" w:rsidRDefault="008A5057" w:rsidP="003F6DA4">
            <w:pPr>
              <w:rPr>
                <w:rFonts w:ascii="Arial" w:hAnsi="Arial" w:cs="Arial"/>
                <w:sz w:val="18"/>
                <w:szCs w:val="18"/>
                <w:lang w:val="en-US"/>
              </w:rPr>
            </w:pPr>
            <w:r w:rsidRPr="00BD295E">
              <w:rPr>
                <w:rFonts w:ascii="Arial" w:hAnsi="Arial" w:cs="Arial"/>
                <w:sz w:val="18"/>
                <w:szCs w:val="18"/>
                <w:lang w:val="en-US"/>
              </w:rPr>
              <w:t>IFRS revenue by type of operating activities for 2018, RUB billion.</w:t>
            </w:r>
          </w:p>
          <w:p w14:paraId="789A957A" w14:textId="068252CB" w:rsidR="00AC79FB" w:rsidRPr="00BD295E" w:rsidRDefault="00AC79FB" w:rsidP="003F6DA4">
            <w:pPr>
              <w:rPr>
                <w:rFonts w:ascii="Arial" w:eastAsia="Calibri" w:hAnsi="Arial" w:cs="Arial"/>
                <w:sz w:val="18"/>
                <w:szCs w:val="18"/>
                <w:lang w:val="en-US"/>
              </w:rPr>
            </w:pPr>
          </w:p>
          <w:p w14:paraId="55DAC3D8" w14:textId="77777777" w:rsidR="003F6DA4" w:rsidRPr="00BD295E" w:rsidRDefault="003F6DA4" w:rsidP="003F6DA4">
            <w:pPr>
              <w:rPr>
                <w:rFonts w:ascii="Arial" w:eastAsia="Calibri" w:hAnsi="Arial" w:cs="Arial"/>
                <w:b/>
                <w:sz w:val="18"/>
                <w:szCs w:val="18"/>
                <w:lang w:val="en-US"/>
              </w:rPr>
            </w:pPr>
          </w:p>
          <w:p w14:paraId="195C3231" w14:textId="09D01B4F" w:rsidR="00385050" w:rsidRPr="00BD295E" w:rsidRDefault="00385050" w:rsidP="003F6DA4">
            <w:pPr>
              <w:rPr>
                <w:rFonts w:ascii="Arial" w:eastAsia="Calibri" w:hAnsi="Arial" w:cs="Arial"/>
                <w:b/>
                <w:sz w:val="18"/>
                <w:szCs w:val="18"/>
                <w:lang w:val="en-US"/>
              </w:rPr>
            </w:pPr>
            <w:r w:rsidRPr="00BD295E">
              <w:rPr>
                <w:rFonts w:ascii="Arial" w:hAnsi="Arial" w:cs="Arial"/>
                <w:sz w:val="18"/>
                <w:szCs w:val="18"/>
                <w:lang w:val="en-US" w:eastAsia="en-US"/>
              </w:rPr>
              <w:drawing>
                <wp:inline distT="0" distB="0" distL="0" distR="0" wp14:anchorId="00FE4324" wp14:editId="17C548B0">
                  <wp:extent cx="2175510" cy="1967865"/>
                  <wp:effectExtent l="0" t="0" r="0" b="0"/>
                  <wp:docPr id="552" name="Диаграмма 5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91FEF16" w14:textId="449814A1" w:rsidR="00385050" w:rsidRPr="00BD295E" w:rsidRDefault="00385050" w:rsidP="003F6DA4">
            <w:pPr>
              <w:rPr>
                <w:rFonts w:ascii="Arial" w:eastAsia="Calibri" w:hAnsi="Arial" w:cs="Arial"/>
                <w:b/>
                <w:sz w:val="18"/>
                <w:szCs w:val="18"/>
                <w:lang w:val="en-US"/>
              </w:rPr>
            </w:pPr>
          </w:p>
        </w:tc>
        <w:tc>
          <w:tcPr>
            <w:tcW w:w="1654" w:type="pct"/>
            <w:vMerge w:val="restart"/>
            <w:shd w:val="clear" w:color="auto" w:fill="auto"/>
          </w:tcPr>
          <w:p w14:paraId="6924062B" w14:textId="77777777" w:rsidR="003F6DA4" w:rsidRPr="00BD295E" w:rsidRDefault="003F6DA4" w:rsidP="003F6DA4">
            <w:pPr>
              <w:rPr>
                <w:rFonts w:ascii="Arial" w:hAnsi="Arial" w:cs="Arial"/>
                <w:b/>
                <w:sz w:val="18"/>
                <w:szCs w:val="18"/>
                <w:lang w:val="en-US"/>
              </w:rPr>
            </w:pPr>
          </w:p>
          <w:p w14:paraId="260D7E08" w14:textId="77777777" w:rsidR="003F6DA4" w:rsidRPr="00BD295E" w:rsidRDefault="008A5057" w:rsidP="003F6DA4">
            <w:pPr>
              <w:rPr>
                <w:rFonts w:ascii="Arial" w:hAnsi="Arial" w:cs="Arial"/>
                <w:b/>
                <w:sz w:val="18"/>
                <w:szCs w:val="18"/>
                <w:lang w:val="en-US"/>
              </w:rPr>
            </w:pPr>
            <w:r w:rsidRPr="00BD295E">
              <w:rPr>
                <w:rFonts w:ascii="Arial" w:hAnsi="Arial" w:cs="Arial"/>
                <w:b/>
                <w:sz w:val="18"/>
                <w:szCs w:val="18"/>
                <w:lang w:val="en-US"/>
              </w:rPr>
              <w:t xml:space="preserve">A. Consumers </w:t>
            </w:r>
          </w:p>
          <w:p w14:paraId="6EA8CDA6" w14:textId="77777777" w:rsidR="003F6DA4" w:rsidRPr="00BD295E" w:rsidRDefault="008A5057" w:rsidP="00E3510B">
            <w:pPr>
              <w:shd w:val="clear" w:color="auto" w:fill="FFFFFF"/>
              <w:textAlignment w:val="baseline"/>
              <w:rPr>
                <w:rFonts w:ascii="Arial" w:hAnsi="Arial" w:cs="Arial"/>
                <w:sz w:val="18"/>
                <w:szCs w:val="18"/>
                <w:lang w:val="en-US"/>
              </w:rPr>
            </w:pPr>
            <w:r w:rsidRPr="00BD295E">
              <w:rPr>
                <w:rFonts w:ascii="Arial" w:hAnsi="Arial" w:cs="Arial"/>
                <w:sz w:val="18"/>
                <w:szCs w:val="18"/>
                <w:lang w:val="en-US"/>
              </w:rPr>
              <w:t>The Company ensures timely connection and high-quality uninterrupted electricity supply</w:t>
            </w:r>
          </w:p>
          <w:p w14:paraId="5CE643DA" w14:textId="77777777" w:rsidR="003F6DA4" w:rsidRPr="00BD295E" w:rsidRDefault="003F6DA4" w:rsidP="00E3510B">
            <w:pPr>
              <w:shd w:val="clear" w:color="auto" w:fill="FFFFFF"/>
              <w:textAlignment w:val="baseline"/>
              <w:rPr>
                <w:rFonts w:ascii="Arial" w:hAnsi="Arial" w:cs="Arial"/>
                <w:b/>
                <w:sz w:val="18"/>
                <w:szCs w:val="18"/>
                <w:lang w:val="en-US"/>
              </w:rPr>
            </w:pPr>
          </w:p>
          <w:p w14:paraId="08C5E76D" w14:textId="77777777" w:rsidR="003F6DA4" w:rsidRPr="00BD295E" w:rsidRDefault="008A5057" w:rsidP="00E3510B">
            <w:pPr>
              <w:shd w:val="clear" w:color="auto" w:fill="FFFFFF"/>
              <w:textAlignment w:val="baseline"/>
              <w:rPr>
                <w:rFonts w:ascii="Arial" w:hAnsi="Arial" w:cs="Arial"/>
                <w:sz w:val="18"/>
                <w:szCs w:val="18"/>
                <w:lang w:val="en-US"/>
              </w:rPr>
            </w:pPr>
            <w:r w:rsidRPr="00BD295E">
              <w:rPr>
                <w:rFonts w:ascii="Arial" w:hAnsi="Arial" w:cs="Arial"/>
                <w:sz w:val="18"/>
                <w:szCs w:val="18"/>
                <w:lang w:val="en-US"/>
              </w:rPr>
              <w:t>Net power output – 30,560 million kWh</w:t>
            </w:r>
          </w:p>
          <w:p w14:paraId="2B4C0349" w14:textId="77777777" w:rsidR="003F6DA4" w:rsidRPr="00BD295E" w:rsidRDefault="008A5057" w:rsidP="00E3510B">
            <w:pPr>
              <w:shd w:val="clear" w:color="auto" w:fill="FFFFFF"/>
              <w:textAlignment w:val="baseline"/>
              <w:rPr>
                <w:rFonts w:ascii="Arial" w:hAnsi="Arial" w:cs="Arial"/>
                <w:sz w:val="18"/>
                <w:szCs w:val="18"/>
                <w:lang w:val="en-US"/>
              </w:rPr>
            </w:pPr>
            <w:r w:rsidRPr="00BD295E">
              <w:rPr>
                <w:rFonts w:ascii="Arial" w:hAnsi="Arial" w:cs="Arial"/>
                <w:sz w:val="18"/>
                <w:szCs w:val="18"/>
                <w:lang w:val="en-US"/>
              </w:rPr>
              <w:t>Connected capacity – 1,033 MW</w:t>
            </w:r>
          </w:p>
          <w:p w14:paraId="1E26D453" w14:textId="77777777" w:rsidR="003F6DA4" w:rsidRPr="00BD295E" w:rsidRDefault="003F6DA4" w:rsidP="003F6DA4">
            <w:pPr>
              <w:rPr>
                <w:rFonts w:ascii="Arial" w:hAnsi="Arial" w:cs="Arial"/>
                <w:sz w:val="18"/>
                <w:szCs w:val="18"/>
                <w:lang w:val="en-US"/>
              </w:rPr>
            </w:pPr>
          </w:p>
          <w:p w14:paraId="52AC2E98" w14:textId="77777777" w:rsidR="003F6DA4" w:rsidRPr="00BD295E" w:rsidRDefault="008A5057" w:rsidP="003F6DA4">
            <w:pPr>
              <w:rPr>
                <w:rFonts w:ascii="Arial" w:hAnsi="Arial" w:cs="Arial"/>
                <w:sz w:val="18"/>
                <w:szCs w:val="18"/>
                <w:lang w:val="en-US"/>
              </w:rPr>
            </w:pPr>
            <w:r w:rsidRPr="00BD295E">
              <w:rPr>
                <w:rFonts w:ascii="Arial" w:hAnsi="Arial" w:cs="Arial"/>
                <w:b/>
                <w:sz w:val="18"/>
                <w:szCs w:val="18"/>
                <w:lang w:val="en-US"/>
              </w:rPr>
              <w:t>B. Staff</w:t>
            </w:r>
          </w:p>
          <w:p w14:paraId="32847122" w14:textId="77777777" w:rsidR="003F6DA4" w:rsidRPr="00BD295E" w:rsidRDefault="003F6DA4" w:rsidP="003F6DA4">
            <w:pPr>
              <w:rPr>
                <w:rFonts w:ascii="Arial" w:hAnsi="Arial" w:cs="Arial"/>
                <w:sz w:val="18"/>
                <w:szCs w:val="18"/>
                <w:lang w:val="en-US"/>
              </w:rPr>
            </w:pPr>
          </w:p>
          <w:p w14:paraId="1DF4FF1E"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The Company maintains its status of a reliable and stable employer offering convenient working conditions, a decent salary, and a benefit package.</w:t>
            </w:r>
          </w:p>
          <w:p w14:paraId="5AEBEC9A"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 </w:t>
            </w:r>
          </w:p>
          <w:p w14:paraId="27E0AD75" w14:textId="1F282B66"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Empl</w:t>
            </w:r>
            <w:r w:rsidR="00396716" w:rsidRPr="00BD295E">
              <w:rPr>
                <w:rFonts w:ascii="Arial" w:hAnsi="Arial" w:cs="Arial"/>
                <w:sz w:val="18"/>
                <w:szCs w:val="18"/>
                <w:lang w:val="en-US"/>
              </w:rPr>
              <w:t>oyee compensation expenses – RUB</w:t>
            </w:r>
            <w:r w:rsidRPr="00BD295E">
              <w:rPr>
                <w:rFonts w:ascii="Arial" w:hAnsi="Arial" w:cs="Arial"/>
                <w:sz w:val="18"/>
                <w:szCs w:val="18"/>
                <w:lang w:val="en-US"/>
              </w:rPr>
              <w:t xml:space="preserve"> 8,328 million.</w:t>
            </w:r>
          </w:p>
          <w:p w14:paraId="716B2F5A" w14:textId="77777777" w:rsidR="003F6DA4" w:rsidRPr="00BD295E" w:rsidRDefault="003F6DA4" w:rsidP="00E3510B">
            <w:pPr>
              <w:autoSpaceDE w:val="0"/>
              <w:autoSpaceDN w:val="0"/>
              <w:adjustRightInd w:val="0"/>
              <w:rPr>
                <w:rFonts w:ascii="Arial" w:hAnsi="Arial" w:cs="Arial"/>
                <w:sz w:val="18"/>
                <w:szCs w:val="18"/>
                <w:lang w:val="en-US"/>
              </w:rPr>
            </w:pPr>
          </w:p>
          <w:p w14:paraId="38048555" w14:textId="77777777" w:rsidR="003F6DA4" w:rsidRPr="00BD295E" w:rsidRDefault="008A5057" w:rsidP="003F6DA4">
            <w:pPr>
              <w:rPr>
                <w:rFonts w:ascii="Arial" w:hAnsi="Arial" w:cs="Arial"/>
                <w:b/>
                <w:sz w:val="18"/>
                <w:szCs w:val="18"/>
                <w:lang w:val="en-US"/>
              </w:rPr>
            </w:pPr>
            <w:r w:rsidRPr="00BD295E">
              <w:rPr>
                <w:rFonts w:ascii="Arial" w:hAnsi="Arial" w:cs="Arial"/>
                <w:b/>
                <w:sz w:val="18"/>
                <w:szCs w:val="18"/>
                <w:lang w:val="en-US"/>
              </w:rPr>
              <w:t>C. Shareholders, investment community</w:t>
            </w:r>
          </w:p>
          <w:p w14:paraId="207BEE9D" w14:textId="77777777" w:rsidR="003F6DA4" w:rsidRPr="00BD295E" w:rsidRDefault="003F6DA4" w:rsidP="003F6DA4">
            <w:pPr>
              <w:rPr>
                <w:rFonts w:ascii="Arial" w:hAnsi="Arial" w:cs="Arial"/>
                <w:b/>
                <w:sz w:val="18"/>
                <w:szCs w:val="18"/>
                <w:lang w:val="en-US"/>
              </w:rPr>
            </w:pPr>
          </w:p>
          <w:p w14:paraId="4D7DC39E" w14:textId="77777777" w:rsidR="003F6DA4" w:rsidRPr="00BD295E" w:rsidRDefault="008A5057" w:rsidP="003F6DA4">
            <w:pPr>
              <w:rPr>
                <w:rFonts w:ascii="Arial" w:hAnsi="Arial" w:cs="Arial"/>
                <w:sz w:val="18"/>
                <w:szCs w:val="18"/>
                <w:lang w:val="en-US"/>
              </w:rPr>
            </w:pPr>
            <w:r w:rsidRPr="00BD295E">
              <w:rPr>
                <w:rFonts w:ascii="Arial" w:hAnsi="Arial" w:cs="Arial"/>
                <w:sz w:val="18"/>
                <w:szCs w:val="18"/>
                <w:lang w:val="en-US"/>
              </w:rPr>
              <w:t xml:space="preserve">Our effective corporate governance system is designed to balance the interests for all shareholders, including protection of minority shareholders’ rights and guarantee repayment to creditors. </w:t>
            </w:r>
          </w:p>
          <w:p w14:paraId="6CC66248" w14:textId="77777777" w:rsidR="003F6DA4" w:rsidRPr="00BD295E" w:rsidRDefault="003F6DA4" w:rsidP="00E3510B">
            <w:pPr>
              <w:autoSpaceDE w:val="0"/>
              <w:autoSpaceDN w:val="0"/>
              <w:adjustRightInd w:val="0"/>
              <w:rPr>
                <w:rFonts w:ascii="Arial" w:hAnsi="Arial" w:cs="Arial"/>
                <w:sz w:val="18"/>
                <w:szCs w:val="18"/>
                <w:lang w:val="en-US"/>
              </w:rPr>
            </w:pPr>
          </w:p>
          <w:p w14:paraId="11B554DA"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Interest paid on borrowings – RUB 2,382 million  </w:t>
            </w:r>
          </w:p>
          <w:p w14:paraId="7484E9DC" w14:textId="77777777" w:rsidR="003F6DA4" w:rsidRPr="00BD295E" w:rsidRDefault="003F6DA4" w:rsidP="00E3510B">
            <w:pPr>
              <w:autoSpaceDE w:val="0"/>
              <w:autoSpaceDN w:val="0"/>
              <w:adjustRightInd w:val="0"/>
              <w:rPr>
                <w:rFonts w:ascii="Arial" w:hAnsi="Arial" w:cs="Arial"/>
                <w:sz w:val="18"/>
                <w:szCs w:val="18"/>
                <w:lang w:val="en-US"/>
              </w:rPr>
            </w:pPr>
          </w:p>
          <w:p w14:paraId="2A0CA5BE"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Dividends paid – RUB 2,420 million.  </w:t>
            </w:r>
          </w:p>
          <w:p w14:paraId="423F3793" w14:textId="77777777" w:rsidR="003F6DA4" w:rsidRPr="00BD295E" w:rsidRDefault="003F6DA4" w:rsidP="00E3510B">
            <w:pPr>
              <w:autoSpaceDE w:val="0"/>
              <w:autoSpaceDN w:val="0"/>
              <w:adjustRightInd w:val="0"/>
              <w:rPr>
                <w:rFonts w:ascii="Arial" w:hAnsi="Arial" w:cs="Arial"/>
                <w:sz w:val="18"/>
                <w:szCs w:val="18"/>
                <w:lang w:val="en-US"/>
              </w:rPr>
            </w:pPr>
          </w:p>
          <w:p w14:paraId="0E43DC2B" w14:textId="77777777" w:rsidR="003F6DA4" w:rsidRPr="00BD295E" w:rsidRDefault="008A5057" w:rsidP="00E3510B">
            <w:pPr>
              <w:autoSpaceDE w:val="0"/>
              <w:autoSpaceDN w:val="0"/>
              <w:adjustRightInd w:val="0"/>
              <w:rPr>
                <w:rFonts w:ascii="Arial" w:hAnsi="Arial" w:cs="Arial"/>
                <w:b/>
                <w:sz w:val="18"/>
                <w:szCs w:val="18"/>
                <w:lang w:val="en-US"/>
              </w:rPr>
            </w:pPr>
            <w:r w:rsidRPr="00BD295E">
              <w:rPr>
                <w:rFonts w:ascii="Arial" w:hAnsi="Arial" w:cs="Arial"/>
                <w:b/>
                <w:sz w:val="18"/>
                <w:szCs w:val="18"/>
                <w:lang w:val="en-US"/>
              </w:rPr>
              <w:t>C. Governmental authorities and the operating region</w:t>
            </w:r>
          </w:p>
          <w:p w14:paraId="5C622853" w14:textId="77777777" w:rsidR="003F6DA4" w:rsidRPr="00BD295E" w:rsidRDefault="003F6DA4" w:rsidP="00E3510B">
            <w:pPr>
              <w:autoSpaceDE w:val="0"/>
              <w:autoSpaceDN w:val="0"/>
              <w:adjustRightInd w:val="0"/>
              <w:rPr>
                <w:rFonts w:ascii="Arial" w:hAnsi="Arial" w:cs="Arial"/>
                <w:b/>
                <w:sz w:val="18"/>
                <w:szCs w:val="18"/>
                <w:lang w:val="en-US"/>
              </w:rPr>
            </w:pPr>
          </w:p>
          <w:p w14:paraId="3CB1D5AA"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While being a major employer and taxpayer, the Company also continuously develops its grid infrastructure to meet the social and industrial needs of its operating region. </w:t>
            </w:r>
          </w:p>
          <w:p w14:paraId="0D5EA89D" w14:textId="77777777" w:rsidR="003F6DA4" w:rsidRPr="00BD295E" w:rsidRDefault="003F6DA4" w:rsidP="00E3510B">
            <w:pPr>
              <w:autoSpaceDE w:val="0"/>
              <w:autoSpaceDN w:val="0"/>
              <w:adjustRightInd w:val="0"/>
              <w:rPr>
                <w:rFonts w:ascii="Arial" w:hAnsi="Arial" w:cs="Arial"/>
                <w:sz w:val="18"/>
                <w:szCs w:val="18"/>
                <w:lang w:val="en-US"/>
              </w:rPr>
            </w:pPr>
          </w:p>
          <w:p w14:paraId="037737F3"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Increase in capacity:</w:t>
            </w:r>
          </w:p>
          <w:p w14:paraId="0FAA1F80"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 </w:t>
            </w:r>
          </w:p>
          <w:tbl>
            <w:tblPr>
              <w:tblW w:w="1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tblGrid>
            <w:tr w:rsidR="008A5057" w:rsidRPr="00BD295E" w14:paraId="3868B392" w14:textId="77777777" w:rsidTr="00E3510B">
              <w:trPr>
                <w:trHeight w:val="271"/>
              </w:trPr>
              <w:tc>
                <w:tcPr>
                  <w:tcW w:w="1828" w:type="dxa"/>
                  <w:shd w:val="clear" w:color="auto" w:fill="auto"/>
                  <w:noWrap/>
                  <w:hideMark/>
                </w:tcPr>
                <w:p w14:paraId="0C872A26" w14:textId="77777777" w:rsidR="003F6DA4" w:rsidRPr="00BD295E" w:rsidRDefault="008A5057" w:rsidP="00705A20">
                  <w:pPr>
                    <w:rPr>
                      <w:rFonts w:ascii="Arial" w:hAnsi="Arial" w:cs="Arial"/>
                      <w:sz w:val="18"/>
                      <w:szCs w:val="18"/>
                      <w:lang w:val="en-US"/>
                    </w:rPr>
                  </w:pPr>
                  <w:r w:rsidRPr="00BD295E">
                    <w:rPr>
                      <w:rFonts w:ascii="Arial" w:hAnsi="Arial" w:cs="Arial"/>
                      <w:sz w:val="18"/>
                      <w:szCs w:val="18"/>
                      <w:lang w:val="en-US"/>
                    </w:rPr>
                    <w:t>MVA – 958</w:t>
                  </w:r>
                </w:p>
              </w:tc>
            </w:tr>
            <w:tr w:rsidR="008A5057" w:rsidRPr="00BD295E" w14:paraId="3F53E279" w14:textId="77777777" w:rsidTr="00E3510B">
              <w:trPr>
                <w:trHeight w:val="271"/>
              </w:trPr>
              <w:tc>
                <w:tcPr>
                  <w:tcW w:w="1828" w:type="dxa"/>
                  <w:shd w:val="clear" w:color="auto" w:fill="auto"/>
                  <w:noWrap/>
                  <w:hideMark/>
                </w:tcPr>
                <w:p w14:paraId="23BDB19F" w14:textId="77777777" w:rsidR="003F6DA4" w:rsidRPr="00BD295E" w:rsidRDefault="008A5057" w:rsidP="00705A20">
                  <w:pPr>
                    <w:rPr>
                      <w:rFonts w:ascii="Arial" w:hAnsi="Arial" w:cs="Arial"/>
                      <w:sz w:val="18"/>
                      <w:szCs w:val="18"/>
                      <w:lang w:val="en-US"/>
                    </w:rPr>
                  </w:pPr>
                  <w:r w:rsidRPr="00BD295E">
                    <w:rPr>
                      <w:rFonts w:ascii="Arial" w:hAnsi="Arial" w:cs="Arial"/>
                      <w:sz w:val="18"/>
                      <w:szCs w:val="18"/>
                      <w:lang w:val="en-US"/>
                    </w:rPr>
                    <w:t>Km – 1,464</w:t>
                  </w:r>
                </w:p>
              </w:tc>
            </w:tr>
          </w:tbl>
          <w:p w14:paraId="10242143"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 </w:t>
            </w:r>
          </w:p>
          <w:p w14:paraId="551CD0FE" w14:textId="77777777" w:rsidR="003F6DA4" w:rsidRPr="00BD295E" w:rsidRDefault="008A5057" w:rsidP="00E3510B">
            <w:pPr>
              <w:autoSpaceDE w:val="0"/>
              <w:autoSpaceDN w:val="0"/>
              <w:adjustRightInd w:val="0"/>
              <w:rPr>
                <w:rFonts w:ascii="Arial" w:hAnsi="Arial" w:cs="Arial"/>
                <w:bCs/>
                <w:sz w:val="18"/>
                <w:szCs w:val="18"/>
                <w:lang w:val="en-US"/>
              </w:rPr>
            </w:pPr>
            <w:r w:rsidRPr="00BD295E">
              <w:rPr>
                <w:rFonts w:ascii="Arial" w:hAnsi="Arial" w:cs="Arial"/>
                <w:bCs/>
                <w:sz w:val="18"/>
                <w:szCs w:val="18"/>
                <w:lang w:val="en-US"/>
              </w:rPr>
              <w:t>Paid profit tax – RUB 3,466 million</w:t>
            </w:r>
          </w:p>
          <w:p w14:paraId="4D8A8F51" w14:textId="77777777" w:rsidR="003F6DA4" w:rsidRPr="00BD295E" w:rsidRDefault="003F6DA4" w:rsidP="00E3510B">
            <w:pPr>
              <w:autoSpaceDE w:val="0"/>
              <w:autoSpaceDN w:val="0"/>
              <w:adjustRightInd w:val="0"/>
              <w:rPr>
                <w:rFonts w:ascii="Arial" w:hAnsi="Arial" w:cs="Arial"/>
                <w:sz w:val="18"/>
                <w:szCs w:val="18"/>
                <w:lang w:val="en-US"/>
              </w:rPr>
            </w:pPr>
          </w:p>
          <w:p w14:paraId="57A8F79B"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Employed by Group companies  </w:t>
            </w:r>
          </w:p>
          <w:p w14:paraId="082FE5B4"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1,215 employees</w:t>
            </w:r>
          </w:p>
          <w:p w14:paraId="308BEF8D" w14:textId="77777777" w:rsidR="003F6DA4" w:rsidRPr="00BD295E" w:rsidRDefault="003F6DA4" w:rsidP="00E3510B">
            <w:pPr>
              <w:autoSpaceDE w:val="0"/>
              <w:autoSpaceDN w:val="0"/>
              <w:adjustRightInd w:val="0"/>
              <w:rPr>
                <w:rFonts w:ascii="Arial" w:hAnsi="Arial" w:cs="Arial"/>
                <w:sz w:val="18"/>
                <w:szCs w:val="18"/>
                <w:lang w:val="en-US"/>
              </w:rPr>
            </w:pPr>
          </w:p>
          <w:p w14:paraId="0371C0CE" w14:textId="77777777" w:rsidR="003F6DA4" w:rsidRPr="00BD295E" w:rsidRDefault="008A5057" w:rsidP="00E3510B">
            <w:pPr>
              <w:autoSpaceDE w:val="0"/>
              <w:autoSpaceDN w:val="0"/>
              <w:adjustRightInd w:val="0"/>
              <w:rPr>
                <w:rFonts w:ascii="Arial" w:hAnsi="Arial" w:cs="Arial"/>
                <w:b/>
                <w:sz w:val="18"/>
                <w:szCs w:val="18"/>
                <w:lang w:val="en-US"/>
              </w:rPr>
            </w:pPr>
            <w:r w:rsidRPr="00BD295E">
              <w:rPr>
                <w:rFonts w:ascii="Arial" w:hAnsi="Arial" w:cs="Arial"/>
                <w:b/>
                <w:sz w:val="18"/>
                <w:szCs w:val="18"/>
                <w:lang w:val="en-US"/>
              </w:rPr>
              <w:t xml:space="preserve">E. Members of the regional energy system </w:t>
            </w:r>
          </w:p>
          <w:p w14:paraId="3DFE4460" w14:textId="77777777" w:rsidR="003F6DA4" w:rsidRPr="00BD295E" w:rsidRDefault="003F6DA4" w:rsidP="00E3510B">
            <w:pPr>
              <w:autoSpaceDE w:val="0"/>
              <w:autoSpaceDN w:val="0"/>
              <w:adjustRightInd w:val="0"/>
              <w:rPr>
                <w:rFonts w:ascii="Arial" w:hAnsi="Arial" w:cs="Arial"/>
                <w:b/>
                <w:sz w:val="18"/>
                <w:szCs w:val="18"/>
                <w:lang w:val="en-US"/>
              </w:rPr>
            </w:pPr>
          </w:p>
          <w:p w14:paraId="5E91F0CA"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The Company effectively engages with all participants in the regional energy system, based on principles of mutual respect, in order to maximize mutually beneficial economic relations and guarantee well-coordinated work for the benefit of consumers.</w:t>
            </w:r>
          </w:p>
          <w:p w14:paraId="1FCF4E06" w14:textId="77777777" w:rsidR="003F6DA4" w:rsidRPr="00BD295E" w:rsidRDefault="003F6DA4" w:rsidP="00E3510B">
            <w:pPr>
              <w:autoSpaceDE w:val="0"/>
              <w:autoSpaceDN w:val="0"/>
              <w:adjustRightInd w:val="0"/>
              <w:rPr>
                <w:rFonts w:ascii="Arial" w:hAnsi="Arial" w:cs="Arial"/>
                <w:b/>
                <w:sz w:val="18"/>
                <w:szCs w:val="18"/>
                <w:lang w:val="en-US"/>
              </w:rPr>
            </w:pPr>
          </w:p>
          <w:p w14:paraId="6EF11172" w14:textId="1EFE6CC5"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Electricity distribution costs (payments to related grid organizations and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w:t>
            </w:r>
            <w:r w:rsidR="00E35C34" w:rsidRPr="00BD295E">
              <w:rPr>
                <w:rFonts w:ascii="Arial" w:hAnsi="Arial" w:cs="Arial"/>
                <w:sz w:val="18"/>
                <w:szCs w:val="18"/>
                <w:lang w:val="en-US"/>
              </w:rPr>
              <w:t xml:space="preserve"> – RUB</w:t>
            </w:r>
            <w:r w:rsidRPr="00BD295E">
              <w:rPr>
                <w:rFonts w:ascii="Arial" w:hAnsi="Arial" w:cs="Arial"/>
                <w:sz w:val="18"/>
                <w:szCs w:val="18"/>
                <w:lang w:val="en-US"/>
              </w:rPr>
              <w:t xml:space="preserve"> 18,745 million.</w:t>
            </w:r>
          </w:p>
          <w:p w14:paraId="31373761" w14:textId="77777777" w:rsidR="003F6DA4" w:rsidRPr="00BD295E" w:rsidRDefault="003F6DA4" w:rsidP="00E3510B">
            <w:pPr>
              <w:autoSpaceDE w:val="0"/>
              <w:autoSpaceDN w:val="0"/>
              <w:adjustRightInd w:val="0"/>
              <w:rPr>
                <w:rFonts w:ascii="Arial" w:hAnsi="Arial" w:cs="Arial"/>
                <w:sz w:val="18"/>
                <w:szCs w:val="18"/>
                <w:lang w:val="en-US"/>
              </w:rPr>
            </w:pPr>
          </w:p>
          <w:p w14:paraId="2E544C8C" w14:textId="77777777" w:rsidR="003F6DA4" w:rsidRPr="00BD295E" w:rsidRDefault="008A5057" w:rsidP="00E3510B">
            <w:pPr>
              <w:autoSpaceDE w:val="0"/>
              <w:autoSpaceDN w:val="0"/>
              <w:adjustRightInd w:val="0"/>
              <w:rPr>
                <w:rFonts w:ascii="Arial" w:hAnsi="Arial" w:cs="Arial"/>
                <w:b/>
                <w:sz w:val="18"/>
                <w:szCs w:val="18"/>
                <w:lang w:val="en-US"/>
              </w:rPr>
            </w:pPr>
            <w:r w:rsidRPr="00BD295E">
              <w:rPr>
                <w:rFonts w:ascii="Arial" w:hAnsi="Arial" w:cs="Arial"/>
                <w:b/>
                <w:sz w:val="18"/>
                <w:szCs w:val="18"/>
                <w:lang w:val="en-US"/>
              </w:rPr>
              <w:t>F. Trade payables</w:t>
            </w:r>
          </w:p>
          <w:p w14:paraId="73095532"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The Company established itself as an honest and reliable partner aiming to build transparent, long-term, and mutually beneficial relations. </w:t>
            </w:r>
          </w:p>
          <w:p w14:paraId="48166429" w14:textId="77777777" w:rsidR="003F6DA4" w:rsidRPr="00BD295E" w:rsidRDefault="003F6DA4" w:rsidP="00E3510B">
            <w:pPr>
              <w:autoSpaceDE w:val="0"/>
              <w:autoSpaceDN w:val="0"/>
              <w:adjustRightInd w:val="0"/>
              <w:rPr>
                <w:rFonts w:ascii="Arial" w:hAnsi="Arial" w:cs="Arial"/>
                <w:b/>
                <w:sz w:val="18"/>
                <w:szCs w:val="18"/>
                <w:lang w:val="en-US"/>
              </w:rPr>
            </w:pPr>
          </w:p>
          <w:p w14:paraId="1E0D629F" w14:textId="77777777" w:rsidR="003F6DA4" w:rsidRPr="00BD295E" w:rsidRDefault="008A5057" w:rsidP="00E3510B">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Purchases made</w:t>
            </w:r>
          </w:p>
          <w:p w14:paraId="028D2C8E" w14:textId="77777777" w:rsidR="003F6DA4" w:rsidRPr="00BD295E" w:rsidRDefault="008A5057" w:rsidP="00E3510B">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995</w:t>
            </w:r>
          </w:p>
          <w:p w14:paraId="7CF2FF4D" w14:textId="77777777" w:rsidR="003F6DA4" w:rsidRPr="00BD295E" w:rsidRDefault="008A5057" w:rsidP="00E3510B">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 xml:space="preserve">The total amount of purchases </w:t>
            </w:r>
          </w:p>
          <w:p w14:paraId="11392444" w14:textId="77777777" w:rsidR="003F6DA4" w:rsidRPr="00BD295E" w:rsidRDefault="008A5057" w:rsidP="00E3510B">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 RUB 32,818 million, including VAT</w:t>
            </w:r>
          </w:p>
          <w:p w14:paraId="5830EF7C" w14:textId="77777777" w:rsidR="003F6DA4" w:rsidRPr="00BD295E" w:rsidRDefault="003F6DA4" w:rsidP="00E3510B">
            <w:pPr>
              <w:autoSpaceDE w:val="0"/>
              <w:autoSpaceDN w:val="0"/>
              <w:adjustRightInd w:val="0"/>
              <w:rPr>
                <w:rFonts w:ascii="Arial" w:hAnsi="Arial" w:cs="Arial"/>
                <w:sz w:val="18"/>
                <w:szCs w:val="18"/>
                <w:lang w:val="en-US"/>
              </w:rPr>
            </w:pPr>
          </w:p>
        </w:tc>
      </w:tr>
      <w:tr w:rsidR="00AC79FB" w:rsidRPr="00BD295E" w14:paraId="64BF92D2" w14:textId="77777777" w:rsidTr="00E3510B">
        <w:tc>
          <w:tcPr>
            <w:tcW w:w="1361" w:type="pct"/>
            <w:vMerge/>
            <w:shd w:val="clear" w:color="auto" w:fill="auto"/>
          </w:tcPr>
          <w:p w14:paraId="53EB63AC" w14:textId="77777777" w:rsidR="003F6DA4" w:rsidRPr="00BD295E" w:rsidRDefault="003F6DA4" w:rsidP="003F6DA4">
            <w:pPr>
              <w:rPr>
                <w:rFonts w:ascii="Arial" w:eastAsia="Calibri" w:hAnsi="Arial" w:cs="Arial"/>
                <w:sz w:val="18"/>
                <w:szCs w:val="18"/>
                <w:lang w:val="en-US"/>
              </w:rPr>
            </w:pPr>
          </w:p>
        </w:tc>
        <w:tc>
          <w:tcPr>
            <w:tcW w:w="1024" w:type="pct"/>
            <w:shd w:val="clear" w:color="auto" w:fill="auto"/>
            <w:vAlign w:val="center"/>
          </w:tcPr>
          <w:p w14:paraId="085BACFB" w14:textId="77777777" w:rsidR="003F6DA4" w:rsidRPr="00BD295E" w:rsidRDefault="008A5057" w:rsidP="00E3510B">
            <w:pPr>
              <w:jc w:val="center"/>
              <w:rPr>
                <w:rFonts w:ascii="Arial" w:eastAsia="Calibri" w:hAnsi="Arial" w:cs="Arial"/>
                <w:b/>
                <w:sz w:val="18"/>
                <w:szCs w:val="18"/>
                <w:lang w:val="en-US"/>
              </w:rPr>
            </w:pPr>
            <w:r w:rsidRPr="00BD295E">
              <w:rPr>
                <w:rFonts w:ascii="Arial" w:hAnsi="Arial" w:cs="Arial"/>
                <w:b/>
                <w:sz w:val="18"/>
                <w:szCs w:val="18"/>
                <w:lang w:val="en-US"/>
              </w:rPr>
              <w:t>Electricity distribution</w:t>
            </w:r>
          </w:p>
        </w:tc>
        <w:tc>
          <w:tcPr>
            <w:tcW w:w="961" w:type="pct"/>
            <w:shd w:val="clear" w:color="auto" w:fill="auto"/>
            <w:vAlign w:val="center"/>
          </w:tcPr>
          <w:p w14:paraId="4007D773" w14:textId="77777777" w:rsidR="003F6DA4" w:rsidRPr="00BD295E" w:rsidRDefault="008A5057" w:rsidP="00E3510B">
            <w:pPr>
              <w:jc w:val="center"/>
              <w:rPr>
                <w:rFonts w:ascii="Arial" w:eastAsia="Calibri" w:hAnsi="Arial" w:cs="Arial"/>
                <w:b/>
                <w:sz w:val="18"/>
                <w:szCs w:val="18"/>
                <w:lang w:val="en-US"/>
              </w:rPr>
            </w:pPr>
            <w:r w:rsidRPr="00BD295E">
              <w:rPr>
                <w:rFonts w:ascii="Arial" w:hAnsi="Arial" w:cs="Arial"/>
                <w:b/>
                <w:sz w:val="18"/>
                <w:szCs w:val="18"/>
                <w:lang w:val="en-US"/>
              </w:rPr>
              <w:t>Grid connection</w:t>
            </w:r>
          </w:p>
        </w:tc>
        <w:tc>
          <w:tcPr>
            <w:tcW w:w="1654" w:type="pct"/>
            <w:vMerge/>
            <w:shd w:val="clear" w:color="auto" w:fill="auto"/>
          </w:tcPr>
          <w:p w14:paraId="07E12E72" w14:textId="77777777" w:rsidR="003F6DA4" w:rsidRPr="00BD295E" w:rsidRDefault="003F6DA4" w:rsidP="00E3510B">
            <w:pPr>
              <w:autoSpaceDE w:val="0"/>
              <w:autoSpaceDN w:val="0"/>
              <w:adjustRightInd w:val="0"/>
              <w:rPr>
                <w:rFonts w:ascii="Arial" w:hAnsi="Arial" w:cs="Arial"/>
                <w:sz w:val="18"/>
                <w:szCs w:val="18"/>
                <w:lang w:val="en-US"/>
              </w:rPr>
            </w:pPr>
          </w:p>
        </w:tc>
      </w:tr>
      <w:tr w:rsidR="00AC79FB" w:rsidRPr="00BD295E" w14:paraId="01A91443" w14:textId="77777777" w:rsidTr="00E3510B">
        <w:tc>
          <w:tcPr>
            <w:tcW w:w="1361" w:type="pct"/>
            <w:vMerge/>
            <w:shd w:val="clear" w:color="auto" w:fill="auto"/>
          </w:tcPr>
          <w:p w14:paraId="2470601A" w14:textId="77777777" w:rsidR="003F6DA4" w:rsidRPr="00BD295E" w:rsidRDefault="003F6DA4" w:rsidP="003F6DA4">
            <w:pPr>
              <w:rPr>
                <w:rFonts w:ascii="Arial" w:hAnsi="Arial" w:cs="Arial"/>
                <w:sz w:val="18"/>
                <w:szCs w:val="18"/>
                <w:lang w:val="en-US"/>
              </w:rPr>
            </w:pPr>
          </w:p>
        </w:tc>
        <w:tc>
          <w:tcPr>
            <w:tcW w:w="1024" w:type="pct"/>
            <w:shd w:val="clear" w:color="auto" w:fill="auto"/>
          </w:tcPr>
          <w:p w14:paraId="062388CF"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Electricity is supplied to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from FGC UES and generating companies. The Company then distributes electricity to guaranteeing suppliers, independent energy retailers, and direct consumers operating in the wholesale electricity market.</w:t>
            </w:r>
          </w:p>
          <w:p w14:paraId="1C442BFE" w14:textId="77777777" w:rsidR="003F6DA4" w:rsidRPr="00BD295E" w:rsidRDefault="003F6DA4" w:rsidP="00E3510B">
            <w:pPr>
              <w:autoSpaceDE w:val="0"/>
              <w:autoSpaceDN w:val="0"/>
              <w:adjustRightInd w:val="0"/>
              <w:rPr>
                <w:rFonts w:ascii="Arial" w:hAnsi="Arial" w:cs="Arial"/>
                <w:sz w:val="18"/>
                <w:szCs w:val="18"/>
                <w:lang w:val="en-US"/>
              </w:rPr>
            </w:pPr>
          </w:p>
          <w:p w14:paraId="7E586AFD" w14:textId="77777777" w:rsidR="003F6DA4" w:rsidRPr="00BD295E" w:rsidRDefault="008A5057" w:rsidP="00E3510B">
            <w:pPr>
              <w:autoSpaceDE w:val="0"/>
              <w:autoSpaceDN w:val="0"/>
              <w:adjustRightInd w:val="0"/>
              <w:rPr>
                <w:rFonts w:ascii="Arial" w:hAnsi="Arial" w:cs="Arial"/>
                <w:b/>
                <w:sz w:val="18"/>
                <w:szCs w:val="18"/>
                <w:lang w:val="en-US"/>
              </w:rPr>
            </w:pPr>
            <w:r w:rsidRPr="00BD295E">
              <w:rPr>
                <w:rFonts w:ascii="Arial" w:hAnsi="Arial" w:cs="Arial"/>
                <w:b/>
                <w:sz w:val="18"/>
                <w:szCs w:val="18"/>
                <w:lang w:val="en-US"/>
              </w:rPr>
              <w:t>How we generate profit</w:t>
            </w:r>
          </w:p>
          <w:p w14:paraId="210D6333" w14:textId="77777777" w:rsidR="003F6DA4" w:rsidRPr="00BD295E" w:rsidRDefault="003F6DA4" w:rsidP="00E3510B">
            <w:pPr>
              <w:autoSpaceDE w:val="0"/>
              <w:autoSpaceDN w:val="0"/>
              <w:adjustRightInd w:val="0"/>
              <w:rPr>
                <w:rFonts w:ascii="Arial" w:hAnsi="Arial" w:cs="Arial"/>
                <w:b/>
                <w:sz w:val="18"/>
                <w:szCs w:val="18"/>
                <w:lang w:val="en-US"/>
              </w:rPr>
            </w:pPr>
          </w:p>
          <w:p w14:paraId="19A35599" w14:textId="66A6AB49"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Almost all of our electricity distribution revenues are generated on a top-down basis. Under this pattern, payments collected by sales companies are transferred to the higher-level territorial grid organization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which settles accounts with the lower-level territorial grid companies and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w:t>
            </w:r>
          </w:p>
          <w:p w14:paraId="2A179FA8" w14:textId="77777777" w:rsidR="003F6DA4" w:rsidRPr="00BD295E" w:rsidRDefault="003F6DA4" w:rsidP="00E3510B">
            <w:pPr>
              <w:autoSpaceDE w:val="0"/>
              <w:autoSpaceDN w:val="0"/>
              <w:adjustRightInd w:val="0"/>
              <w:rPr>
                <w:rFonts w:ascii="Arial" w:hAnsi="Arial" w:cs="Arial"/>
                <w:sz w:val="18"/>
                <w:szCs w:val="18"/>
                <w:lang w:val="en-US"/>
              </w:rPr>
            </w:pPr>
          </w:p>
          <w:p w14:paraId="6754B809" w14:textId="77777777" w:rsidR="003F6DA4" w:rsidRPr="00BD295E" w:rsidRDefault="003F6DA4" w:rsidP="00E3510B">
            <w:pPr>
              <w:autoSpaceDE w:val="0"/>
              <w:autoSpaceDN w:val="0"/>
              <w:adjustRightInd w:val="0"/>
              <w:rPr>
                <w:rFonts w:ascii="Arial" w:hAnsi="Arial" w:cs="Arial"/>
                <w:sz w:val="18"/>
                <w:szCs w:val="18"/>
                <w:lang w:val="en-US"/>
              </w:rPr>
            </w:pPr>
          </w:p>
          <w:p w14:paraId="38252077" w14:textId="77777777" w:rsidR="003F6DA4" w:rsidRPr="00BD295E" w:rsidRDefault="003F6DA4" w:rsidP="00E3510B">
            <w:pPr>
              <w:autoSpaceDE w:val="0"/>
              <w:autoSpaceDN w:val="0"/>
              <w:adjustRightInd w:val="0"/>
              <w:rPr>
                <w:rFonts w:ascii="Arial" w:hAnsi="Arial" w:cs="Arial"/>
                <w:sz w:val="18"/>
                <w:szCs w:val="18"/>
                <w:lang w:val="en-US"/>
              </w:rPr>
            </w:pPr>
          </w:p>
          <w:p w14:paraId="035B3DFD" w14:textId="77777777" w:rsidR="003F6DA4" w:rsidRPr="00BD295E" w:rsidRDefault="003F6DA4" w:rsidP="00E3510B">
            <w:pPr>
              <w:autoSpaceDE w:val="0"/>
              <w:autoSpaceDN w:val="0"/>
              <w:adjustRightInd w:val="0"/>
              <w:rPr>
                <w:rFonts w:ascii="Arial" w:hAnsi="Arial" w:cs="Arial"/>
                <w:sz w:val="18"/>
                <w:szCs w:val="18"/>
                <w:lang w:val="en-US"/>
              </w:rPr>
            </w:pPr>
          </w:p>
        </w:tc>
        <w:tc>
          <w:tcPr>
            <w:tcW w:w="961" w:type="pct"/>
            <w:shd w:val="clear" w:color="auto" w:fill="auto"/>
          </w:tcPr>
          <w:p w14:paraId="5E65D4B2" w14:textId="77777777" w:rsidR="003F6DA4" w:rsidRPr="00BD295E" w:rsidRDefault="003F6DA4" w:rsidP="003F6DA4">
            <w:pPr>
              <w:rPr>
                <w:rFonts w:ascii="Arial" w:hAnsi="Arial" w:cs="Arial"/>
                <w:sz w:val="18"/>
                <w:szCs w:val="18"/>
                <w:lang w:val="en-US"/>
              </w:rPr>
            </w:pPr>
          </w:p>
          <w:p w14:paraId="039D9CF1" w14:textId="77777777" w:rsidR="003F6DA4" w:rsidRPr="00BD295E" w:rsidRDefault="008A5057" w:rsidP="003F6DA4">
            <w:pPr>
              <w:rPr>
                <w:rFonts w:ascii="Arial" w:hAnsi="Arial" w:cs="Arial"/>
                <w:sz w:val="18"/>
                <w:szCs w:val="18"/>
                <w:lang w:val="en-US"/>
              </w:rPr>
            </w:pPr>
            <w:r w:rsidRPr="00BD295E">
              <w:rPr>
                <w:rFonts w:ascii="Arial" w:hAnsi="Arial" w:cs="Arial"/>
                <w:sz w:val="18"/>
                <w:szCs w:val="18"/>
                <w:lang w:val="en-US"/>
              </w:rPr>
              <w:t xml:space="preserve">The Company connects new consumers to its electric grids on receipt of their applications, technical specifications developed and agreed by the parties, and a relevant agreement signed between the parties. </w:t>
            </w:r>
          </w:p>
          <w:p w14:paraId="509A68B8" w14:textId="77777777" w:rsidR="003F6DA4" w:rsidRPr="00BD295E" w:rsidRDefault="003F6DA4" w:rsidP="003F6DA4">
            <w:pPr>
              <w:rPr>
                <w:rFonts w:ascii="Arial" w:hAnsi="Arial" w:cs="Arial"/>
                <w:sz w:val="18"/>
                <w:szCs w:val="18"/>
                <w:lang w:val="en-US"/>
              </w:rPr>
            </w:pPr>
          </w:p>
          <w:p w14:paraId="4EB04A43" w14:textId="77777777" w:rsidR="003F6DA4" w:rsidRPr="00BD295E" w:rsidRDefault="008A5057" w:rsidP="00E3510B">
            <w:pPr>
              <w:autoSpaceDE w:val="0"/>
              <w:autoSpaceDN w:val="0"/>
              <w:adjustRightInd w:val="0"/>
              <w:rPr>
                <w:rFonts w:ascii="Arial" w:hAnsi="Arial" w:cs="Arial"/>
                <w:b/>
                <w:sz w:val="18"/>
                <w:szCs w:val="18"/>
                <w:lang w:val="en-US"/>
              </w:rPr>
            </w:pPr>
            <w:r w:rsidRPr="00BD295E">
              <w:rPr>
                <w:rFonts w:ascii="Arial" w:hAnsi="Arial" w:cs="Arial"/>
                <w:b/>
                <w:sz w:val="18"/>
                <w:szCs w:val="18"/>
                <w:lang w:val="en-US"/>
              </w:rPr>
              <w:t>How we generate profit</w:t>
            </w:r>
          </w:p>
          <w:p w14:paraId="5C1DCA00" w14:textId="77777777" w:rsidR="003F6DA4" w:rsidRPr="00BD295E" w:rsidRDefault="003F6DA4" w:rsidP="00E3510B">
            <w:pPr>
              <w:autoSpaceDE w:val="0"/>
              <w:autoSpaceDN w:val="0"/>
              <w:adjustRightInd w:val="0"/>
              <w:rPr>
                <w:rFonts w:ascii="Arial" w:hAnsi="Arial" w:cs="Arial"/>
                <w:b/>
                <w:sz w:val="18"/>
                <w:szCs w:val="18"/>
                <w:lang w:val="en-US"/>
              </w:rPr>
            </w:pPr>
          </w:p>
          <w:p w14:paraId="7DDB3DC9" w14:textId="77777777" w:rsidR="003F6DA4" w:rsidRPr="00BD295E" w:rsidRDefault="008A5057" w:rsidP="003F6DA4">
            <w:pPr>
              <w:rPr>
                <w:rFonts w:ascii="Arial" w:hAnsi="Arial" w:cs="Arial"/>
                <w:sz w:val="18"/>
                <w:szCs w:val="18"/>
                <w:lang w:val="en-US"/>
              </w:rPr>
            </w:pPr>
            <w:r w:rsidRPr="00BD295E">
              <w:rPr>
                <w:rFonts w:ascii="Arial" w:hAnsi="Arial" w:cs="Arial"/>
                <w:sz w:val="18"/>
                <w:szCs w:val="18"/>
                <w:lang w:val="en-US"/>
              </w:rPr>
              <w:t xml:space="preserve">Grid connection revenue is an unstable source of income due to the impossibility of accurate planning, which is due to frequent changes in the plans of </w:t>
            </w:r>
            <w:r w:rsidR="000D659F" w:rsidRPr="00BD295E">
              <w:rPr>
                <w:rFonts w:ascii="Arial" w:hAnsi="Arial" w:cs="Arial"/>
                <w:sz w:val="18"/>
                <w:szCs w:val="18"/>
                <w:lang w:val="en-US"/>
              </w:rPr>
              <w:t>customer</w:t>
            </w:r>
            <w:r w:rsidRPr="00BD295E">
              <w:rPr>
                <w:rFonts w:ascii="Arial" w:hAnsi="Arial" w:cs="Arial"/>
                <w:sz w:val="18"/>
                <w:szCs w:val="18"/>
                <w:lang w:val="en-US"/>
              </w:rPr>
              <w:t>s driven by changes in external economic conditions, their financial situation, etc.</w:t>
            </w:r>
          </w:p>
          <w:p w14:paraId="5EDE356A"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The fee for grid connection for a particular </w:t>
            </w:r>
            <w:r w:rsidR="000D659F" w:rsidRPr="00BD295E">
              <w:rPr>
                <w:rFonts w:ascii="Arial" w:hAnsi="Arial" w:cs="Arial"/>
                <w:sz w:val="18"/>
                <w:szCs w:val="18"/>
                <w:lang w:val="en-US"/>
              </w:rPr>
              <w:t>customer</w:t>
            </w:r>
            <w:r w:rsidRPr="00BD295E">
              <w:rPr>
                <w:rFonts w:ascii="Arial" w:hAnsi="Arial" w:cs="Arial"/>
                <w:sz w:val="18"/>
                <w:szCs w:val="18"/>
                <w:lang w:val="en-US"/>
              </w:rPr>
              <w:t xml:space="preserve"> is only assessed for those activities that are provided for under the issued technical specifications for grid connection.</w:t>
            </w:r>
          </w:p>
          <w:p w14:paraId="0DB404D8"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 The fee does not include expenses related to the development of existing infrastructure (construction of electricity supply sources, development of the electric grid).</w:t>
            </w:r>
          </w:p>
          <w:p w14:paraId="4E2A8412" w14:textId="77777777" w:rsidR="003F6DA4" w:rsidRPr="00BD295E" w:rsidRDefault="008A5057" w:rsidP="00E3510B">
            <w:pPr>
              <w:autoSpaceDE w:val="0"/>
              <w:autoSpaceDN w:val="0"/>
              <w:adjustRightInd w:val="0"/>
              <w:rPr>
                <w:rFonts w:ascii="Arial" w:hAnsi="Arial" w:cs="Arial"/>
                <w:sz w:val="18"/>
                <w:szCs w:val="18"/>
                <w:lang w:val="en-US"/>
              </w:rPr>
            </w:pPr>
            <w:r w:rsidRPr="00BD295E">
              <w:rPr>
                <w:rFonts w:ascii="Arial" w:hAnsi="Arial" w:cs="Arial"/>
                <w:sz w:val="18"/>
                <w:szCs w:val="18"/>
                <w:lang w:val="en-US"/>
              </w:rPr>
              <w:t xml:space="preserve"> These expenses are accounted for in the target investment program, the implementation of which is funded with proceeds from electricity distribution.</w:t>
            </w:r>
          </w:p>
          <w:p w14:paraId="501989D2" w14:textId="77777777" w:rsidR="003F6DA4" w:rsidRPr="00BD295E" w:rsidRDefault="003F6DA4" w:rsidP="003F6DA4">
            <w:pPr>
              <w:rPr>
                <w:rFonts w:ascii="Arial" w:hAnsi="Arial" w:cs="Arial"/>
                <w:sz w:val="18"/>
                <w:szCs w:val="18"/>
                <w:lang w:val="en-US"/>
              </w:rPr>
            </w:pPr>
          </w:p>
        </w:tc>
        <w:tc>
          <w:tcPr>
            <w:tcW w:w="1654" w:type="pct"/>
            <w:vMerge/>
            <w:shd w:val="clear" w:color="auto" w:fill="auto"/>
          </w:tcPr>
          <w:p w14:paraId="7EC90A9D" w14:textId="77777777" w:rsidR="003F6DA4" w:rsidRPr="00BD295E" w:rsidRDefault="003F6DA4" w:rsidP="00E3510B">
            <w:pPr>
              <w:autoSpaceDE w:val="0"/>
              <w:autoSpaceDN w:val="0"/>
              <w:adjustRightInd w:val="0"/>
              <w:rPr>
                <w:rFonts w:ascii="Arial" w:hAnsi="Arial" w:cs="Arial"/>
                <w:sz w:val="18"/>
                <w:szCs w:val="18"/>
                <w:lang w:val="en-US"/>
              </w:rPr>
            </w:pPr>
          </w:p>
        </w:tc>
      </w:tr>
      <w:tr w:rsidR="00AC79FB" w:rsidRPr="00BD295E" w14:paraId="4E3F1198" w14:textId="77777777" w:rsidTr="00E3510B">
        <w:trPr>
          <w:trHeight w:val="932"/>
        </w:trPr>
        <w:tc>
          <w:tcPr>
            <w:tcW w:w="1361" w:type="pct"/>
            <w:vMerge/>
            <w:shd w:val="clear" w:color="auto" w:fill="auto"/>
          </w:tcPr>
          <w:p w14:paraId="4E7AFF1E" w14:textId="77777777" w:rsidR="003F6DA4" w:rsidRPr="00BD295E" w:rsidRDefault="003F6DA4" w:rsidP="003F6DA4">
            <w:pPr>
              <w:rPr>
                <w:rFonts w:ascii="Arial" w:eastAsia="Calibri" w:hAnsi="Arial" w:cs="Arial"/>
                <w:sz w:val="18"/>
                <w:szCs w:val="18"/>
                <w:lang w:val="en-US"/>
              </w:rPr>
            </w:pPr>
          </w:p>
        </w:tc>
        <w:tc>
          <w:tcPr>
            <w:tcW w:w="1985" w:type="pct"/>
            <w:gridSpan w:val="2"/>
            <w:shd w:val="clear" w:color="auto" w:fill="auto"/>
          </w:tcPr>
          <w:p w14:paraId="5F9A0541" w14:textId="77777777" w:rsidR="003F6DA4" w:rsidRPr="00BD295E" w:rsidRDefault="008A5057" w:rsidP="00E3510B">
            <w:pPr>
              <w:spacing w:after="160" w:line="259" w:lineRule="auto"/>
              <w:jc w:val="both"/>
              <w:rPr>
                <w:rFonts w:ascii="Arial" w:hAnsi="Arial" w:cs="Arial"/>
                <w:sz w:val="18"/>
                <w:szCs w:val="18"/>
                <w:lang w:val="en-US"/>
              </w:rPr>
            </w:pPr>
            <w:r w:rsidRPr="00BD295E">
              <w:rPr>
                <w:rFonts w:ascii="Arial" w:hAnsi="Arial" w:cs="Arial"/>
                <w:sz w:val="18"/>
                <w:szCs w:val="18"/>
                <w:lang w:val="en-US"/>
              </w:rPr>
              <w:t>* Other revenue mainly includes revenue from repair and maintenance services, property rental, and revenue from subsidiaries, which includes maintenance and repair services, street lighting maintenance, electrical installation, and design and survey operations.</w:t>
            </w:r>
          </w:p>
        </w:tc>
        <w:tc>
          <w:tcPr>
            <w:tcW w:w="1654" w:type="pct"/>
            <w:vMerge/>
            <w:shd w:val="clear" w:color="auto" w:fill="auto"/>
          </w:tcPr>
          <w:p w14:paraId="32C86E5F" w14:textId="77777777" w:rsidR="003F6DA4" w:rsidRPr="00BD295E" w:rsidRDefault="003F6DA4" w:rsidP="00E3510B">
            <w:pPr>
              <w:autoSpaceDE w:val="0"/>
              <w:autoSpaceDN w:val="0"/>
              <w:adjustRightInd w:val="0"/>
              <w:rPr>
                <w:rFonts w:ascii="Arial" w:hAnsi="Arial" w:cs="Arial"/>
                <w:b/>
                <w:sz w:val="18"/>
                <w:szCs w:val="18"/>
                <w:lang w:val="en-US"/>
              </w:rPr>
            </w:pPr>
          </w:p>
        </w:tc>
      </w:tr>
    </w:tbl>
    <w:p w14:paraId="6492E150" w14:textId="77777777" w:rsidR="00C95FF1" w:rsidRPr="00BD295E" w:rsidRDefault="008A5057">
      <w:pPr>
        <w:spacing w:after="160" w:line="259" w:lineRule="auto"/>
        <w:rPr>
          <w:rFonts w:ascii="Arial" w:hAnsi="Arial" w:cs="Arial"/>
          <w:sz w:val="18"/>
          <w:szCs w:val="18"/>
          <w:lang w:val="en-US"/>
        </w:rPr>
      </w:pPr>
      <w:r w:rsidRPr="00BD295E">
        <w:rPr>
          <w:rFonts w:ascii="Arial" w:hAnsi="Arial" w:cs="Arial"/>
          <w:sz w:val="18"/>
          <w:szCs w:val="18"/>
          <w:lang w:val="en-US"/>
        </w:rPr>
        <w:br w:type="page"/>
      </w:r>
    </w:p>
    <w:p w14:paraId="71DAA5E2" w14:textId="77777777" w:rsidR="00FD1F0A" w:rsidRPr="00BD295E" w:rsidRDefault="008A5057" w:rsidP="00164BE3">
      <w:pPr>
        <w:keepNext/>
        <w:ind w:firstLine="118"/>
        <w:jc w:val="both"/>
        <w:outlineLvl w:val="1"/>
        <w:rPr>
          <w:rFonts w:ascii="Arial" w:hAnsi="Arial" w:cs="Arial"/>
          <w:b/>
          <w:sz w:val="18"/>
          <w:szCs w:val="18"/>
          <w:lang w:val="en-US"/>
        </w:rPr>
      </w:pPr>
      <w:bookmarkStart w:id="129" w:name="_Toc509493385"/>
      <w:bookmarkStart w:id="130" w:name="_Toc509497951"/>
      <w:bookmarkStart w:id="131" w:name="_Toc509581253"/>
      <w:bookmarkStart w:id="132" w:name="_Toc510452217"/>
      <w:bookmarkStart w:id="133" w:name="_Toc5026996"/>
      <w:bookmarkStart w:id="134" w:name="_Toc5105965"/>
      <w:bookmarkStart w:id="135" w:name="_Toc5203818"/>
      <w:bookmarkStart w:id="136" w:name="_Toc6230915"/>
      <w:bookmarkStart w:id="137" w:name="_Toc7172563"/>
      <w:bookmarkStart w:id="138" w:name="_Toc7172609"/>
      <w:bookmarkStart w:id="139" w:name="_Toc95855284"/>
      <w:bookmarkStart w:id="140" w:name="_Toc95935343"/>
      <w:r w:rsidRPr="00BD295E">
        <w:rPr>
          <w:rFonts w:ascii="Arial" w:hAnsi="Arial" w:cs="Arial"/>
          <w:b/>
          <w:sz w:val="18"/>
          <w:szCs w:val="18"/>
          <w:lang w:val="en-US"/>
        </w:rPr>
        <w:t>SECTION 3. PERFORMANCE</w:t>
      </w:r>
      <w:bookmarkEnd w:id="129"/>
      <w:bookmarkEnd w:id="130"/>
      <w:bookmarkEnd w:id="131"/>
      <w:bookmarkEnd w:id="132"/>
      <w:bookmarkEnd w:id="133"/>
      <w:bookmarkEnd w:id="134"/>
      <w:bookmarkEnd w:id="135"/>
      <w:bookmarkEnd w:id="136"/>
      <w:bookmarkEnd w:id="137"/>
      <w:bookmarkEnd w:id="138"/>
      <w:bookmarkEnd w:id="139"/>
      <w:bookmarkEnd w:id="140"/>
    </w:p>
    <w:p w14:paraId="6C1AB78D" w14:textId="77777777" w:rsidR="00FD1F0A" w:rsidRPr="00BD295E" w:rsidRDefault="00FD1F0A" w:rsidP="00164BE3">
      <w:pPr>
        <w:ind w:firstLine="709"/>
        <w:jc w:val="both"/>
        <w:rPr>
          <w:rFonts w:ascii="Arial" w:hAnsi="Arial" w:cs="Arial"/>
          <w:b/>
          <w:sz w:val="18"/>
          <w:szCs w:val="18"/>
          <w:lang w:val="en-US"/>
        </w:rPr>
      </w:pPr>
    </w:p>
    <w:p w14:paraId="58007E27" w14:textId="77777777" w:rsidR="002B65C5" w:rsidRPr="00BD295E" w:rsidRDefault="008A5057" w:rsidP="00CA2271">
      <w:pPr>
        <w:pStyle w:val="af3"/>
        <w:keepNext/>
        <w:numPr>
          <w:ilvl w:val="0"/>
          <w:numId w:val="103"/>
        </w:numPr>
        <w:ind w:left="0" w:firstLine="709"/>
        <w:jc w:val="both"/>
        <w:outlineLvl w:val="1"/>
        <w:rPr>
          <w:rFonts w:ascii="Arial" w:hAnsi="Arial" w:cs="Arial"/>
          <w:b/>
          <w:sz w:val="18"/>
          <w:szCs w:val="18"/>
          <w:lang w:val="en-US"/>
        </w:rPr>
      </w:pPr>
      <w:bookmarkStart w:id="141" w:name="_Toc509493386"/>
      <w:bookmarkStart w:id="142" w:name="_Toc509497952"/>
      <w:bookmarkStart w:id="143" w:name="_Toc509581254"/>
      <w:bookmarkStart w:id="144" w:name="_Toc510452218"/>
      <w:bookmarkStart w:id="145" w:name="_Toc5026997"/>
      <w:bookmarkStart w:id="146" w:name="_Toc5105966"/>
      <w:bookmarkStart w:id="147" w:name="_Toc5203819"/>
      <w:bookmarkStart w:id="148" w:name="_Toc6230916"/>
      <w:bookmarkStart w:id="149" w:name="_Toc7172564"/>
      <w:bookmarkStart w:id="150" w:name="_Toc7172610"/>
      <w:bookmarkStart w:id="151" w:name="_Toc95855285"/>
      <w:bookmarkStart w:id="152" w:name="_Toc95935344"/>
      <w:r w:rsidRPr="00BD295E">
        <w:rPr>
          <w:rFonts w:ascii="Arial" w:hAnsi="Arial" w:cs="Arial"/>
          <w:b/>
          <w:sz w:val="18"/>
          <w:szCs w:val="18"/>
          <w:lang w:val="en-US"/>
        </w:rPr>
        <w:t>Tariff Regulation</w:t>
      </w:r>
      <w:bookmarkEnd w:id="141"/>
      <w:bookmarkEnd w:id="142"/>
      <w:bookmarkEnd w:id="143"/>
      <w:bookmarkEnd w:id="144"/>
      <w:bookmarkEnd w:id="145"/>
      <w:bookmarkEnd w:id="146"/>
      <w:bookmarkEnd w:id="147"/>
      <w:bookmarkEnd w:id="148"/>
      <w:bookmarkEnd w:id="149"/>
      <w:bookmarkEnd w:id="150"/>
      <w:bookmarkEnd w:id="151"/>
      <w:bookmarkEnd w:id="152"/>
    </w:p>
    <w:p w14:paraId="25F48798" w14:textId="77777777" w:rsidR="00FC699D" w:rsidRPr="00BD295E" w:rsidRDefault="00FC699D" w:rsidP="003F6DA4">
      <w:pPr>
        <w:ind w:firstLine="708"/>
        <w:jc w:val="both"/>
        <w:rPr>
          <w:rFonts w:ascii="Arial" w:eastAsia="Calibri" w:hAnsi="Arial" w:cs="Arial"/>
          <w:sz w:val="18"/>
          <w:szCs w:val="18"/>
          <w:lang w:val="en-US"/>
        </w:rPr>
      </w:pPr>
    </w:p>
    <w:p w14:paraId="31029B80" w14:textId="77777777" w:rsidR="006E16B5" w:rsidRPr="00BD295E" w:rsidRDefault="008A5057" w:rsidP="00C872BF">
      <w:pPr>
        <w:jc w:val="both"/>
        <w:rPr>
          <w:rFonts w:ascii="Arial" w:hAnsi="Arial" w:cs="Arial"/>
          <w:b/>
          <w:sz w:val="18"/>
          <w:szCs w:val="18"/>
          <w:lang w:val="en-US"/>
        </w:rPr>
      </w:pPr>
      <w:r w:rsidRPr="00BD295E">
        <w:rPr>
          <w:rFonts w:ascii="Arial" w:hAnsi="Arial" w:cs="Arial"/>
          <w:b/>
          <w:sz w:val="18"/>
          <w:szCs w:val="18"/>
          <w:lang w:val="en-US"/>
        </w:rPr>
        <w:t>Electricity distribution services</w:t>
      </w:r>
    </w:p>
    <w:p w14:paraId="4C1449B4" w14:textId="77777777" w:rsidR="006E16B5" w:rsidRPr="00BD295E" w:rsidRDefault="008A5057" w:rsidP="00C872BF">
      <w:pPr>
        <w:jc w:val="both"/>
        <w:rPr>
          <w:rFonts w:ascii="Arial" w:hAnsi="Arial" w:cs="Arial"/>
          <w:sz w:val="18"/>
          <w:szCs w:val="18"/>
          <w:lang w:val="en-US"/>
        </w:rPr>
      </w:pPr>
      <w:r w:rsidRPr="00BD295E">
        <w:rPr>
          <w:rFonts w:ascii="Arial" w:hAnsi="Arial" w:cs="Arial"/>
          <w:sz w:val="18"/>
          <w:szCs w:val="18"/>
          <w:lang w:val="en-US"/>
        </w:rPr>
        <w:t xml:space="preserve">In accordance with Order No.487-e/4 of the Federal Tariff Service of Russia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28, 2010, from January 1, 2011, the industry transitioned to RAB-based long-term tariff regulation for electricity transmission/distribution services. </w:t>
      </w:r>
    </w:p>
    <w:p w14:paraId="415C4DD1" w14:textId="5E5EF9C3" w:rsidR="006E16B5" w:rsidRPr="00BD295E" w:rsidRDefault="008A5057" w:rsidP="00C872BF">
      <w:pPr>
        <w:jc w:val="both"/>
        <w:rPr>
          <w:rFonts w:ascii="Arial" w:hAnsi="Arial" w:cs="Arial"/>
          <w:sz w:val="18"/>
          <w:szCs w:val="18"/>
          <w:lang w:val="en-US"/>
        </w:rPr>
      </w:pPr>
      <w:r w:rsidRPr="00BD295E">
        <w:rPr>
          <w:rFonts w:ascii="Arial" w:hAnsi="Arial" w:cs="Arial"/>
          <w:sz w:val="18"/>
          <w:szCs w:val="18"/>
          <w:lang w:val="en-US"/>
        </w:rPr>
        <w:t xml:space="preserve">In pursuance of Resolution No.1178 of the Government of the Russian Federation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29, </w:t>
      </w:r>
      <w:r w:rsidR="002C3947" w:rsidRPr="00BD295E">
        <w:rPr>
          <w:rFonts w:ascii="Arial" w:hAnsi="Arial" w:cs="Arial"/>
          <w:sz w:val="18"/>
          <w:szCs w:val="18"/>
          <w:lang w:val="en-US"/>
        </w:rPr>
        <w:t>2011,</w:t>
      </w:r>
      <w:r w:rsidRPr="00BD295E">
        <w:rPr>
          <w:rFonts w:ascii="Arial" w:hAnsi="Arial" w:cs="Arial"/>
          <w:sz w:val="18"/>
          <w:szCs w:val="18"/>
          <w:lang w:val="en-US"/>
        </w:rPr>
        <w:t xml:space="preserve"> the previously approved parameters of long-term tariff regulation for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were revised.</w:t>
      </w:r>
    </w:p>
    <w:p w14:paraId="0D221316" w14:textId="1FF08046" w:rsidR="006E16B5" w:rsidRPr="00BD295E" w:rsidRDefault="008A5057" w:rsidP="00C872BF">
      <w:pPr>
        <w:jc w:val="both"/>
        <w:rPr>
          <w:rFonts w:ascii="Arial" w:hAnsi="Arial" w:cs="Arial"/>
          <w:sz w:val="18"/>
          <w:szCs w:val="18"/>
          <w:lang w:val="en-US"/>
        </w:rPr>
      </w:pPr>
      <w:r w:rsidRPr="00BD295E">
        <w:rPr>
          <w:rFonts w:ascii="Arial" w:hAnsi="Arial" w:cs="Arial"/>
          <w:sz w:val="18"/>
          <w:szCs w:val="18"/>
          <w:lang w:val="en-US"/>
        </w:rPr>
        <w:t xml:space="preserve">Order No. 1335/17 of the Federal Antimonopoly Service of Russia </w:t>
      </w:r>
      <w:r w:rsidR="008B183C" w:rsidRPr="00BD295E">
        <w:rPr>
          <w:rFonts w:ascii="Arial" w:hAnsi="Arial" w:cs="Arial"/>
          <w:sz w:val="18"/>
          <w:szCs w:val="18"/>
          <w:lang w:val="en-US"/>
        </w:rPr>
        <w:t>of</w:t>
      </w:r>
      <w:r w:rsidR="00A1723E" w:rsidRPr="00BD295E">
        <w:rPr>
          <w:rFonts w:ascii="Arial" w:hAnsi="Arial" w:cs="Arial"/>
          <w:sz w:val="18"/>
          <w:szCs w:val="18"/>
          <w:lang w:val="en-US"/>
        </w:rPr>
        <w:t xml:space="preserve"> October 10</w:t>
      </w:r>
      <w:r w:rsidRPr="00BD295E">
        <w:rPr>
          <w:rFonts w:ascii="Arial" w:hAnsi="Arial" w:cs="Arial"/>
          <w:sz w:val="18"/>
          <w:szCs w:val="18"/>
          <w:lang w:val="en-US"/>
        </w:rPr>
        <w:t xml:space="preserve">, 2017 approved the parameters for extending the first long-term regulation period for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until 2020.</w:t>
      </w:r>
    </w:p>
    <w:p w14:paraId="5D43D1B4" w14:textId="77777777" w:rsidR="004D469C" w:rsidRPr="00BD295E" w:rsidRDefault="004D469C" w:rsidP="004D469C">
      <w:pPr>
        <w:pStyle w:val="1ff8"/>
        <w:ind w:left="1134" w:right="991"/>
      </w:pPr>
      <w:r w:rsidRPr="00BD295E">
        <w:t>Actual revenue by type of operations of PJSC “Lenenergo” in 2016–2018,</w:t>
      </w:r>
    </w:p>
    <w:p w14:paraId="6F42E365" w14:textId="2B39A38B" w:rsidR="006E16B5" w:rsidRPr="00BD295E" w:rsidRDefault="004D469C" w:rsidP="004D469C">
      <w:pPr>
        <w:pStyle w:val="1ff8"/>
        <w:spacing w:before="0"/>
        <w:ind w:left="1134" w:right="991"/>
      </w:pPr>
      <w:r w:rsidRPr="00BD295E">
        <w:t>RUB million</w:t>
      </w:r>
    </w:p>
    <w:p w14:paraId="741A8091" w14:textId="39E48A19" w:rsidR="006E16B5" w:rsidRPr="00BD295E" w:rsidRDefault="007C31A4" w:rsidP="006E16B5">
      <w:pPr>
        <w:ind w:firstLine="709"/>
        <w:jc w:val="both"/>
        <w:rPr>
          <w:rFonts w:ascii="Arial" w:hAnsi="Arial" w:cs="Arial"/>
          <w:sz w:val="18"/>
          <w:szCs w:val="18"/>
          <w:lang w:val="en-US"/>
        </w:rPr>
      </w:pP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62176" behindDoc="0" locked="0" layoutInCell="1" allowOverlap="1" wp14:anchorId="0F92BB26" wp14:editId="61C55344">
                <wp:simplePos x="0" y="0"/>
                <wp:positionH relativeFrom="column">
                  <wp:posOffset>4570126</wp:posOffset>
                </wp:positionH>
                <wp:positionV relativeFrom="paragraph">
                  <wp:posOffset>635496</wp:posOffset>
                </wp:positionV>
                <wp:extent cx="1057368" cy="714840"/>
                <wp:effectExtent l="0" t="0" r="9525" b="9525"/>
                <wp:wrapNone/>
                <wp:docPr id="5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368" cy="714840"/>
                        </a:xfrm>
                        <a:prstGeom prst="rect">
                          <a:avLst/>
                        </a:prstGeom>
                        <a:solidFill>
                          <a:schemeClr val="bg1"/>
                        </a:solidFill>
                        <a:ln w="9525">
                          <a:noFill/>
                          <a:miter lim="800000"/>
                          <a:headEnd/>
                          <a:tailEnd/>
                        </a:ln>
                      </wps:spPr>
                      <wps:txbx>
                        <w:txbxContent>
                          <w:p w14:paraId="31A17425" w14:textId="55AA871C" w:rsidR="002C3947" w:rsidRPr="007C31A4" w:rsidRDefault="002C3947" w:rsidP="007C31A4">
                            <w:pPr>
                              <w:rPr>
                                <w:rFonts w:ascii="Arial" w:hAnsi="Arial" w:cs="Arial"/>
                                <w:sz w:val="16"/>
                              </w:rPr>
                            </w:pPr>
                            <w:r w:rsidRPr="007C31A4">
                              <w:rPr>
                                <w:rFonts w:ascii="Arial" w:hAnsi="Arial" w:cs="Arial"/>
                                <w:color w:val="BDD7EE"/>
                                <w:sz w:val="16"/>
                              </w:rPr>
                              <w:sym w:font="Wingdings 2" w:char="F0A2"/>
                            </w:r>
                            <w:r>
                              <w:rPr>
                                <w:rFonts w:ascii="Arial" w:hAnsi="Arial" w:cs="Arial"/>
                                <w:sz w:val="16"/>
                              </w:rPr>
                              <w:t xml:space="preserve"> </w:t>
                            </w:r>
                            <w:r w:rsidRPr="007C31A4">
                              <w:rPr>
                                <w:rFonts w:ascii="Arial" w:hAnsi="Arial" w:cs="Arial"/>
                                <w:sz w:val="16"/>
                              </w:rPr>
                              <w:t>Other</w:t>
                            </w:r>
                          </w:p>
                          <w:p w14:paraId="19F1767A" w14:textId="17BF1C9E" w:rsidR="002C3947" w:rsidRPr="007C31A4" w:rsidRDefault="002C3947" w:rsidP="007C31A4">
                            <w:pPr>
                              <w:spacing w:before="120"/>
                              <w:rPr>
                                <w:rFonts w:ascii="Arial" w:hAnsi="Arial" w:cs="Arial"/>
                                <w:sz w:val="16"/>
                              </w:rPr>
                            </w:pPr>
                            <w:r w:rsidRPr="007C31A4">
                              <w:rPr>
                                <w:rFonts w:ascii="Arial" w:hAnsi="Arial" w:cs="Arial"/>
                                <w:color w:val="333F50"/>
                                <w:sz w:val="16"/>
                              </w:rPr>
                              <w:sym w:font="Wingdings 2" w:char="F0A2"/>
                            </w:r>
                            <w:r>
                              <w:rPr>
                                <w:rFonts w:ascii="Arial" w:hAnsi="Arial" w:cs="Arial"/>
                                <w:sz w:val="16"/>
                              </w:rPr>
                              <w:t xml:space="preserve"> </w:t>
                            </w:r>
                            <w:r w:rsidRPr="007C31A4">
                              <w:rPr>
                                <w:rFonts w:ascii="Arial" w:hAnsi="Arial" w:cs="Arial"/>
                                <w:sz w:val="16"/>
                              </w:rPr>
                              <w:t>Grid connection</w:t>
                            </w:r>
                          </w:p>
                          <w:p w14:paraId="7A1099FA" w14:textId="3FB216B8" w:rsidR="002C3947" w:rsidRPr="00CC44B5" w:rsidRDefault="002C3947" w:rsidP="007C31A4">
                            <w:pPr>
                              <w:spacing w:before="120"/>
                              <w:rPr>
                                <w:rFonts w:ascii="Arial" w:hAnsi="Arial" w:cs="Arial"/>
                                <w:sz w:val="16"/>
                              </w:rPr>
                            </w:pPr>
                            <w:r w:rsidRPr="007C31A4">
                              <w:rPr>
                                <w:rFonts w:ascii="Arial" w:hAnsi="Arial" w:cs="Arial"/>
                                <w:color w:val="5B9BD5"/>
                                <w:sz w:val="16"/>
                              </w:rPr>
                              <w:sym w:font="Wingdings 2" w:char="F0A2"/>
                            </w:r>
                            <w:r>
                              <w:rPr>
                                <w:rFonts w:ascii="Arial" w:hAnsi="Arial" w:cs="Arial"/>
                                <w:sz w:val="16"/>
                              </w:rPr>
                              <w:t xml:space="preserve"> </w:t>
                            </w:r>
                            <w:r w:rsidRPr="007C31A4">
                              <w:rPr>
                                <w:rFonts w:ascii="Arial" w:hAnsi="Arial" w:cs="Arial"/>
                                <w:sz w:val="16"/>
                              </w:rPr>
                              <w:t>Distribution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F92BB26" id="_x0000_s1064" type="#_x0000_t202" style="position:absolute;left:0;text-align:left;margin-left:359.85pt;margin-top:50.05pt;width:83.25pt;height:56.3pt;z-index:25176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" fillcolor="white [3212]" stroked="f">
                <v:textbox inset="0,0,0,0">
                  <w:txbxContent>
                    <w:p w14:paraId="31A17425" w14:textId="55AA871C" w:rsidR="002C3947" w:rsidRPr="007C31A4" w:rsidRDefault="002C3947" w:rsidP="007C31A4">
                      <w:pPr>
                        <w:rPr>
                          <w:rFonts w:ascii="Arial" w:hAnsi="Arial" w:cs="Arial"/>
                          <w:sz w:val="16"/>
                        </w:rPr>
                      </w:pPr>
                      <w:r w:rsidRPr="007C31A4">
                        <w:rPr>
                          <w:rFonts w:ascii="Arial" w:hAnsi="Arial" w:cs="Arial"/>
                          <w:color w:val="BDD7EE"/>
                          <w:sz w:val="16"/>
                        </w:rPr>
                        <w:sym w:font="Wingdings 2" w:char="F0A2"/>
                      </w:r>
                      <w:r>
                        <w:rPr>
                          <w:rFonts w:ascii="Arial" w:hAnsi="Arial" w:cs="Arial"/>
                          <w:sz w:val="16"/>
                        </w:rPr>
                        <w:t xml:space="preserve"> </w:t>
                      </w:r>
                      <w:r w:rsidRPr="007C31A4">
                        <w:rPr>
                          <w:rFonts w:ascii="Arial" w:hAnsi="Arial" w:cs="Arial"/>
                          <w:sz w:val="16"/>
                        </w:rPr>
                        <w:t>Other</w:t>
                      </w:r>
                    </w:p>
                    <w:p w14:paraId="19F1767A" w14:textId="17BF1C9E" w:rsidR="002C3947" w:rsidRPr="007C31A4" w:rsidRDefault="002C3947" w:rsidP="007C31A4">
                      <w:pPr>
                        <w:spacing w:before="120"/>
                        <w:rPr>
                          <w:rFonts w:ascii="Arial" w:hAnsi="Arial" w:cs="Arial"/>
                          <w:sz w:val="16"/>
                        </w:rPr>
                      </w:pPr>
                      <w:r w:rsidRPr="007C31A4">
                        <w:rPr>
                          <w:rFonts w:ascii="Arial" w:hAnsi="Arial" w:cs="Arial"/>
                          <w:color w:val="333F50"/>
                          <w:sz w:val="16"/>
                        </w:rPr>
                        <w:sym w:font="Wingdings 2" w:char="F0A2"/>
                      </w:r>
                      <w:r>
                        <w:rPr>
                          <w:rFonts w:ascii="Arial" w:hAnsi="Arial" w:cs="Arial"/>
                          <w:sz w:val="16"/>
                        </w:rPr>
                        <w:t xml:space="preserve"> </w:t>
                      </w:r>
                      <w:r w:rsidRPr="007C31A4">
                        <w:rPr>
                          <w:rFonts w:ascii="Arial" w:hAnsi="Arial" w:cs="Arial"/>
                          <w:sz w:val="16"/>
                        </w:rPr>
                        <w:t>Grid connection</w:t>
                      </w:r>
                    </w:p>
                    <w:p w14:paraId="7A1099FA" w14:textId="3FB216B8" w:rsidR="002C3947" w:rsidRPr="00CC44B5" w:rsidRDefault="002C3947" w:rsidP="007C31A4">
                      <w:pPr>
                        <w:spacing w:before="120"/>
                        <w:rPr>
                          <w:rFonts w:ascii="Arial" w:hAnsi="Arial" w:cs="Arial"/>
                          <w:sz w:val="16"/>
                        </w:rPr>
                      </w:pPr>
                      <w:r w:rsidRPr="007C31A4">
                        <w:rPr>
                          <w:rFonts w:ascii="Arial" w:hAnsi="Arial" w:cs="Arial"/>
                          <w:color w:val="5B9BD5"/>
                          <w:sz w:val="16"/>
                        </w:rPr>
                        <w:sym w:font="Wingdings 2" w:char="F0A2"/>
                      </w:r>
                      <w:r>
                        <w:rPr>
                          <w:rFonts w:ascii="Arial" w:hAnsi="Arial" w:cs="Arial"/>
                          <w:sz w:val="16"/>
                        </w:rPr>
                        <w:t xml:space="preserve"> </w:t>
                      </w:r>
                      <w:r w:rsidRPr="007C31A4">
                        <w:rPr>
                          <w:rFonts w:ascii="Arial" w:hAnsi="Arial" w:cs="Arial"/>
                          <w:sz w:val="16"/>
                        </w:rPr>
                        <w:t>Distribution</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60128" behindDoc="0" locked="0" layoutInCell="1" allowOverlap="1" wp14:anchorId="520FE74D" wp14:editId="11F4DEA4">
                <wp:simplePos x="0" y="0"/>
                <wp:positionH relativeFrom="column">
                  <wp:posOffset>611697</wp:posOffset>
                </wp:positionH>
                <wp:positionV relativeFrom="paragraph">
                  <wp:posOffset>403173</wp:posOffset>
                </wp:positionV>
                <wp:extent cx="217430" cy="1161616"/>
                <wp:effectExtent l="0" t="0" r="0" b="635"/>
                <wp:wrapNone/>
                <wp:docPr id="5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30" cy="1161616"/>
                        </a:xfrm>
                        <a:prstGeom prst="rect">
                          <a:avLst/>
                        </a:prstGeom>
                        <a:solidFill>
                          <a:schemeClr val="bg1"/>
                        </a:solidFill>
                        <a:ln w="9525">
                          <a:noFill/>
                          <a:miter lim="800000"/>
                          <a:headEnd/>
                          <a:tailEnd/>
                        </a:ln>
                      </wps:spPr>
                      <wps:txbx>
                        <w:txbxContent>
                          <w:p w14:paraId="635E5C49" w14:textId="69474D87" w:rsidR="002C3947" w:rsidRPr="007C31A4" w:rsidRDefault="002C3947" w:rsidP="007C31A4">
                            <w:pPr>
                              <w:jc w:val="center"/>
                              <w:rPr>
                                <w:rFonts w:ascii="Arial" w:hAnsi="Arial" w:cs="Arial"/>
                                <w:b/>
                                <w:bCs/>
                                <w:sz w:val="16"/>
                              </w:rPr>
                            </w:pPr>
                            <w:r w:rsidRPr="007C31A4">
                              <w:rPr>
                                <w:rFonts w:ascii="Arial" w:hAnsi="Arial" w:cs="Arial"/>
                                <w:b/>
                                <w:bCs/>
                                <w:sz w:val="16"/>
                              </w:rPr>
                              <w:t>RUB million</w:t>
                            </w:r>
                          </w:p>
                        </w:txbxContent>
                      </wps:txbx>
                      <wps:bodyPr rot="0" vert="vert270"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0FE74D" id="_x0000_s1065" type="#_x0000_t202" style="position:absolute;left:0;text-align:left;margin-left:48.15pt;margin-top:31.75pt;width:17.1pt;height:91.45pt;z-index:25176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" fillcolor="white [3212]" stroked="f">
                <v:textbox style="layout-flow:vertical;mso-layout-flow-alt:bottom-to-top" inset="0,0,0,0">
                  <w:txbxContent>
                    <w:p w14:paraId="635E5C49" w14:textId="69474D87" w:rsidR="002C3947" w:rsidRPr="007C31A4" w:rsidRDefault="002C3947" w:rsidP="007C31A4">
                      <w:pPr>
                        <w:jc w:val="center"/>
                        <w:rPr>
                          <w:rFonts w:ascii="Arial" w:hAnsi="Arial" w:cs="Arial"/>
                          <w:b/>
                          <w:bCs/>
                          <w:sz w:val="16"/>
                        </w:rPr>
                      </w:pPr>
                      <w:r w:rsidRPr="007C31A4">
                        <w:rPr>
                          <w:rFonts w:ascii="Arial" w:hAnsi="Arial" w:cs="Arial"/>
                          <w:b/>
                          <w:bCs/>
                          <w:sz w:val="16"/>
                        </w:rPr>
                        <w:t>RUB million</w:t>
                      </w:r>
                    </w:p>
                  </w:txbxContent>
                </v:textbox>
              </v:shape>
            </w:pict>
          </mc:Fallback>
        </mc:AlternateContent>
      </w:r>
      <w:r w:rsidRPr="00BD295E">
        <w:rPr>
          <w:rFonts w:ascii="Arial" w:hAnsi="Arial" w:cs="Arial"/>
          <w:sz w:val="18"/>
          <w:szCs w:val="18"/>
          <w:lang w:val="en-US" w:eastAsia="en-US"/>
        </w:rPr>
        <w:drawing>
          <wp:inline distT="0" distB="0" distL="0" distR="0" wp14:anchorId="5D1D0EDF" wp14:editId="0ABF2E42">
            <wp:extent cx="4885371" cy="2331735"/>
            <wp:effectExtent l="0" t="0" r="0" b="0"/>
            <wp:docPr id="16" name="Диаграмма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4"/>
                    <pic:cNvPicPr>
                      <a:picLocks noChangeArrowheads="1"/>
                    </pic:cNvPicPr>
                  </pic:nvPicPr>
                  <pic:blipFill rotWithShape="1">
                    <a:blip r:embed="rId34">
                      <a:extLst>
                        <a:ext uri="{28A0092B-C50C-407E-A947-70E740481C1C}">
                          <a14:useLocalDpi xmlns:a14="http://schemas.microsoft.com/office/drawing/2010/main" val="0"/>
                        </a:ext>
                      </a:extLst>
                    </a:blip>
                    <a:srcRect l="-4825" t="12233" r="-2483" b="-4631"/>
                    <a:stretch/>
                  </pic:blipFill>
                  <pic:spPr bwMode="auto">
                    <a:xfrm>
                      <a:off x="0" y="0"/>
                      <a:ext cx="4886325" cy="2332190"/>
                    </a:xfrm>
                    <a:prstGeom prst="rect">
                      <a:avLst/>
                    </a:prstGeom>
                    <a:noFill/>
                    <a:ln>
                      <a:noFill/>
                    </a:ln>
                    <a:extLst>
                      <a:ext uri="{53640926-AAD7-44D8-BBD7-CCE9431645EC}">
                        <a14:shadowObscured xmlns:a14="http://schemas.microsoft.com/office/drawing/2010/main"/>
                      </a:ext>
                    </a:extLst>
                  </pic:spPr>
                </pic:pic>
              </a:graphicData>
            </a:graphic>
          </wp:inline>
        </w:drawing>
      </w:r>
    </w:p>
    <w:p w14:paraId="6B2670BE" w14:textId="77777777" w:rsidR="007C31A4" w:rsidRPr="00BD295E" w:rsidRDefault="007C31A4" w:rsidP="007C31A4">
      <w:pPr>
        <w:jc w:val="both"/>
        <w:rPr>
          <w:rFonts w:ascii="Arial" w:hAnsi="Arial" w:cs="Arial"/>
          <w:sz w:val="18"/>
          <w:szCs w:val="18"/>
          <w:lang w:val="en-US"/>
        </w:rPr>
      </w:pPr>
    </w:p>
    <w:p w14:paraId="66B0B313" w14:textId="77777777" w:rsidR="006E16B5" w:rsidRPr="00BD295E" w:rsidRDefault="008A5057" w:rsidP="00C872BF">
      <w:pPr>
        <w:spacing w:before="240"/>
        <w:jc w:val="both"/>
        <w:rPr>
          <w:rFonts w:ascii="Arial" w:hAnsi="Arial" w:cs="Arial"/>
          <w:sz w:val="18"/>
          <w:szCs w:val="18"/>
          <w:lang w:val="en-US"/>
        </w:rPr>
      </w:pPr>
      <w:r w:rsidRPr="00BD295E">
        <w:rPr>
          <w:rFonts w:ascii="Arial" w:hAnsi="Arial" w:cs="Arial"/>
          <w:sz w:val="18"/>
          <w:szCs w:val="18"/>
          <w:lang w:val="en-US"/>
        </w:rPr>
        <w:t>* Revenue from electricity distribution is shown net of load losses</w:t>
      </w:r>
    </w:p>
    <w:p w14:paraId="23D2DD09" w14:textId="77777777" w:rsidR="006E16B5" w:rsidRPr="00BD295E" w:rsidRDefault="008A5057" w:rsidP="00C872BF">
      <w:pPr>
        <w:spacing w:before="240"/>
        <w:jc w:val="both"/>
        <w:rPr>
          <w:rFonts w:ascii="Arial" w:hAnsi="Arial" w:cs="Arial"/>
          <w:sz w:val="18"/>
          <w:szCs w:val="18"/>
          <w:lang w:val="en-US"/>
        </w:rPr>
      </w:pPr>
      <w:r w:rsidRPr="00BD295E">
        <w:rPr>
          <w:rFonts w:ascii="Arial" w:hAnsi="Arial" w:cs="Arial"/>
          <w:sz w:val="18"/>
          <w:szCs w:val="18"/>
          <w:lang w:val="en-US"/>
        </w:rPr>
        <w:t xml:space="preserve">In 2018, revenue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increased by RUB 1,174 million, including:</w:t>
      </w:r>
    </w:p>
    <w:p w14:paraId="6B7662C8" w14:textId="77777777" w:rsidR="006E16B5" w:rsidRPr="00BD295E" w:rsidRDefault="008A5057" w:rsidP="00C872BF">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 Grid connection revenue for 2018 totaled RUB 7,066 million, which is lower than in 2017 by RUB 6,311 million, because the Company met more obligations than planned in 2017, the Company also closed a large volume of property contracts as a result of engaging with </w:t>
      </w:r>
      <w:r w:rsidR="000D659F" w:rsidRPr="00BD295E">
        <w:rPr>
          <w:rFonts w:ascii="Arial" w:hAnsi="Arial" w:cs="Arial"/>
          <w:sz w:val="18"/>
          <w:szCs w:val="18"/>
          <w:lang w:val="en-US"/>
        </w:rPr>
        <w:t>customer</w:t>
      </w:r>
      <w:r w:rsidRPr="00BD295E">
        <w:rPr>
          <w:rFonts w:ascii="Arial" w:hAnsi="Arial" w:cs="Arial"/>
          <w:sz w:val="18"/>
          <w:szCs w:val="18"/>
          <w:lang w:val="en-US"/>
        </w:rPr>
        <w:t xml:space="preserve">s on </w:t>
      </w:r>
      <w:r w:rsidR="00174C5B" w:rsidRPr="00BD295E">
        <w:rPr>
          <w:rFonts w:ascii="Arial" w:hAnsi="Arial" w:cs="Arial"/>
          <w:sz w:val="18"/>
          <w:szCs w:val="18"/>
          <w:lang w:val="en-US"/>
        </w:rPr>
        <w:t>offsetting</w:t>
      </w:r>
      <w:r w:rsidRPr="00BD295E">
        <w:rPr>
          <w:rFonts w:ascii="Arial" w:hAnsi="Arial" w:cs="Arial"/>
          <w:sz w:val="18"/>
          <w:szCs w:val="18"/>
          <w:lang w:val="en-US"/>
        </w:rPr>
        <w:t xml:space="preserve"> mutual obligations, and implemented large agreements previously signed by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37B87B8F" w14:textId="77777777" w:rsidR="006E16B5" w:rsidRPr="00BD295E" w:rsidRDefault="008A5057" w:rsidP="00C872BF">
      <w:pPr>
        <w:spacing w:before="240"/>
        <w:jc w:val="both"/>
        <w:rPr>
          <w:rFonts w:ascii="Arial" w:hAnsi="Arial" w:cs="Arial"/>
          <w:sz w:val="18"/>
          <w:szCs w:val="18"/>
          <w:lang w:val="en-US"/>
        </w:rPr>
      </w:pPr>
      <w:r w:rsidRPr="00BD295E">
        <w:rPr>
          <w:rFonts w:ascii="Arial" w:hAnsi="Arial" w:cs="Arial"/>
          <w:sz w:val="18"/>
          <w:szCs w:val="18"/>
          <w:lang w:val="en-US"/>
        </w:rPr>
        <w:t>- In 2018, electricity distribution revenue exceeded the figure of 2017 by RUB 7,613 million due to the increase in tariff rates in accordance with the tariff decisions of regulatory authorities (+9% increase in the average tariff for electricity distribution services), as well as an increase in the volume of net supply of electricity to consumers by 1,592 million kWh (+5% year-on-year).</w:t>
      </w:r>
    </w:p>
    <w:p w14:paraId="3B68DBD1" w14:textId="77777777" w:rsidR="006E16B5" w:rsidRPr="00BD295E" w:rsidRDefault="008A5057" w:rsidP="00C872BF">
      <w:pPr>
        <w:spacing w:before="240"/>
        <w:jc w:val="both"/>
        <w:rPr>
          <w:rFonts w:ascii="Arial" w:hAnsi="Arial" w:cs="Arial"/>
          <w:b/>
          <w:sz w:val="18"/>
          <w:szCs w:val="18"/>
          <w:lang w:val="en-US"/>
        </w:rPr>
      </w:pPr>
      <w:r w:rsidRPr="00BD295E">
        <w:rPr>
          <w:rFonts w:ascii="Arial" w:hAnsi="Arial" w:cs="Arial"/>
          <w:b/>
          <w:sz w:val="18"/>
          <w:szCs w:val="18"/>
          <w:lang w:val="en-US"/>
        </w:rPr>
        <w:t>Analysis of the approved net supply of electricity by constituent entity of the Russian Federation, million kWh</w:t>
      </w:r>
    </w:p>
    <w:tbl>
      <w:tblPr>
        <w:tblW w:w="936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1"/>
        <w:gridCol w:w="1417"/>
        <w:gridCol w:w="1418"/>
        <w:gridCol w:w="1417"/>
        <w:gridCol w:w="1418"/>
      </w:tblGrid>
      <w:tr w:rsidR="008A5057" w:rsidRPr="00BD295E" w14:paraId="5B5B0A5E" w14:textId="77777777" w:rsidTr="00D108C0">
        <w:trPr>
          <w:trHeight w:val="458"/>
        </w:trPr>
        <w:tc>
          <w:tcPr>
            <w:tcW w:w="3691" w:type="dxa"/>
            <w:vMerge w:val="restart"/>
            <w:shd w:val="clear" w:color="auto" w:fill="auto"/>
            <w:vAlign w:val="center"/>
            <w:hideMark/>
          </w:tcPr>
          <w:p w14:paraId="40C5A39D"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Branch</w:t>
            </w:r>
          </w:p>
        </w:tc>
        <w:tc>
          <w:tcPr>
            <w:tcW w:w="1417" w:type="dxa"/>
            <w:vMerge w:val="restart"/>
            <w:shd w:val="clear" w:color="auto" w:fill="auto"/>
            <w:vAlign w:val="center"/>
            <w:hideMark/>
          </w:tcPr>
          <w:p w14:paraId="79228AD5"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2016</w:t>
            </w:r>
          </w:p>
        </w:tc>
        <w:tc>
          <w:tcPr>
            <w:tcW w:w="1418" w:type="dxa"/>
            <w:vMerge w:val="restart"/>
            <w:shd w:val="clear" w:color="auto" w:fill="auto"/>
            <w:vAlign w:val="center"/>
            <w:hideMark/>
          </w:tcPr>
          <w:p w14:paraId="3D35148D"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2017</w:t>
            </w:r>
          </w:p>
        </w:tc>
        <w:tc>
          <w:tcPr>
            <w:tcW w:w="1417" w:type="dxa"/>
            <w:vMerge w:val="restart"/>
            <w:shd w:val="clear" w:color="auto" w:fill="auto"/>
            <w:vAlign w:val="center"/>
            <w:hideMark/>
          </w:tcPr>
          <w:p w14:paraId="386232C6"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2018</w:t>
            </w:r>
          </w:p>
        </w:tc>
        <w:tc>
          <w:tcPr>
            <w:tcW w:w="1418" w:type="dxa"/>
            <w:vMerge w:val="restart"/>
            <w:shd w:val="clear" w:color="auto" w:fill="auto"/>
            <w:vAlign w:val="center"/>
            <w:hideMark/>
          </w:tcPr>
          <w:p w14:paraId="2A42AFB2" w14:textId="77777777" w:rsidR="006E16B5" w:rsidRPr="00BD295E" w:rsidRDefault="00C064D1" w:rsidP="00D108C0">
            <w:pPr>
              <w:jc w:val="center"/>
              <w:rPr>
                <w:rFonts w:ascii="Arial" w:hAnsi="Arial" w:cs="Arial"/>
                <w:b/>
                <w:bCs/>
                <w:sz w:val="18"/>
                <w:szCs w:val="18"/>
                <w:lang w:val="en-US"/>
              </w:rPr>
            </w:pPr>
            <w:r w:rsidRPr="00BD295E">
              <w:rPr>
                <w:rFonts w:ascii="Arial" w:hAnsi="Arial" w:cs="Arial"/>
                <w:b/>
                <w:bCs/>
                <w:sz w:val="18"/>
                <w:szCs w:val="18"/>
                <w:lang w:val="en-US"/>
              </w:rPr>
              <w:t>2018 vs. 2017</w:t>
            </w:r>
            <w:r w:rsidR="008A5057" w:rsidRPr="00BD295E">
              <w:rPr>
                <w:rFonts w:ascii="Arial" w:hAnsi="Arial" w:cs="Arial"/>
                <w:b/>
                <w:bCs/>
                <w:sz w:val="18"/>
                <w:szCs w:val="18"/>
                <w:lang w:val="en-US"/>
              </w:rPr>
              <w:t>, %</w:t>
            </w:r>
          </w:p>
        </w:tc>
      </w:tr>
      <w:tr w:rsidR="008A5057" w:rsidRPr="00BD295E" w14:paraId="0A16B6A6" w14:textId="77777777" w:rsidTr="00D108C0">
        <w:trPr>
          <w:trHeight w:val="458"/>
        </w:trPr>
        <w:tc>
          <w:tcPr>
            <w:tcW w:w="3691" w:type="dxa"/>
            <w:vMerge/>
            <w:vAlign w:val="center"/>
            <w:hideMark/>
          </w:tcPr>
          <w:p w14:paraId="4EA995A9" w14:textId="77777777" w:rsidR="006E16B5" w:rsidRPr="00BD295E" w:rsidRDefault="006E16B5" w:rsidP="00D108C0">
            <w:pPr>
              <w:rPr>
                <w:rFonts w:ascii="Arial" w:hAnsi="Arial" w:cs="Arial"/>
                <w:b/>
                <w:bCs/>
                <w:sz w:val="18"/>
                <w:szCs w:val="18"/>
                <w:lang w:val="en-US"/>
              </w:rPr>
            </w:pPr>
          </w:p>
        </w:tc>
        <w:tc>
          <w:tcPr>
            <w:tcW w:w="1417" w:type="dxa"/>
            <w:vMerge/>
            <w:vAlign w:val="center"/>
            <w:hideMark/>
          </w:tcPr>
          <w:p w14:paraId="5ADF423E" w14:textId="77777777" w:rsidR="006E16B5" w:rsidRPr="00BD295E" w:rsidRDefault="006E16B5" w:rsidP="00D108C0">
            <w:pPr>
              <w:rPr>
                <w:rFonts w:ascii="Arial" w:hAnsi="Arial" w:cs="Arial"/>
                <w:b/>
                <w:bCs/>
                <w:sz w:val="18"/>
                <w:szCs w:val="18"/>
                <w:lang w:val="en-US"/>
              </w:rPr>
            </w:pPr>
          </w:p>
        </w:tc>
        <w:tc>
          <w:tcPr>
            <w:tcW w:w="1418" w:type="dxa"/>
            <w:vMerge/>
            <w:vAlign w:val="center"/>
            <w:hideMark/>
          </w:tcPr>
          <w:p w14:paraId="41FD3A29" w14:textId="77777777" w:rsidR="006E16B5" w:rsidRPr="00BD295E" w:rsidRDefault="006E16B5" w:rsidP="00D108C0">
            <w:pPr>
              <w:rPr>
                <w:rFonts w:ascii="Arial" w:hAnsi="Arial" w:cs="Arial"/>
                <w:b/>
                <w:bCs/>
                <w:sz w:val="18"/>
                <w:szCs w:val="18"/>
                <w:lang w:val="en-US"/>
              </w:rPr>
            </w:pPr>
          </w:p>
        </w:tc>
        <w:tc>
          <w:tcPr>
            <w:tcW w:w="1417" w:type="dxa"/>
            <w:vMerge/>
            <w:vAlign w:val="center"/>
            <w:hideMark/>
          </w:tcPr>
          <w:p w14:paraId="2AAD177B" w14:textId="77777777" w:rsidR="006E16B5" w:rsidRPr="00BD295E" w:rsidRDefault="006E16B5" w:rsidP="00D108C0">
            <w:pPr>
              <w:rPr>
                <w:rFonts w:ascii="Arial" w:hAnsi="Arial" w:cs="Arial"/>
                <w:b/>
                <w:bCs/>
                <w:sz w:val="18"/>
                <w:szCs w:val="18"/>
                <w:lang w:val="en-US"/>
              </w:rPr>
            </w:pPr>
          </w:p>
        </w:tc>
        <w:tc>
          <w:tcPr>
            <w:tcW w:w="1418" w:type="dxa"/>
            <w:vMerge/>
            <w:vAlign w:val="center"/>
            <w:hideMark/>
          </w:tcPr>
          <w:p w14:paraId="4D6A8254" w14:textId="77777777" w:rsidR="006E16B5" w:rsidRPr="00BD295E" w:rsidRDefault="006E16B5" w:rsidP="00D108C0">
            <w:pPr>
              <w:rPr>
                <w:rFonts w:ascii="Arial" w:hAnsi="Arial" w:cs="Arial"/>
                <w:b/>
                <w:bCs/>
                <w:sz w:val="18"/>
                <w:szCs w:val="18"/>
                <w:lang w:val="en-US"/>
              </w:rPr>
            </w:pPr>
          </w:p>
        </w:tc>
      </w:tr>
      <w:tr w:rsidR="008A5057" w:rsidRPr="00BD295E" w14:paraId="7105B476" w14:textId="77777777" w:rsidTr="00D108C0">
        <w:trPr>
          <w:trHeight w:val="240"/>
        </w:trPr>
        <w:tc>
          <w:tcPr>
            <w:tcW w:w="3691" w:type="dxa"/>
            <w:shd w:val="clear" w:color="auto" w:fill="auto"/>
            <w:hideMark/>
          </w:tcPr>
          <w:p w14:paraId="2469A186" w14:textId="77777777" w:rsidR="006E16B5" w:rsidRPr="00BD295E" w:rsidRDefault="008A5057" w:rsidP="00D108C0">
            <w:pPr>
              <w:jc w:val="both"/>
              <w:rPr>
                <w:rFonts w:ascii="Arial" w:hAnsi="Arial" w:cs="Arial"/>
                <w:sz w:val="18"/>
                <w:szCs w:val="18"/>
                <w:lang w:val="en-US"/>
              </w:rPr>
            </w:pPr>
            <w:r w:rsidRPr="00BD295E">
              <w:rPr>
                <w:rFonts w:ascii="Arial" w:hAnsi="Arial" w:cs="Arial"/>
                <w:sz w:val="18"/>
                <w:szCs w:val="18"/>
                <w:lang w:val="en-US"/>
              </w:rPr>
              <w:t>Saint Petersburg</w:t>
            </w:r>
          </w:p>
        </w:tc>
        <w:tc>
          <w:tcPr>
            <w:tcW w:w="1417" w:type="dxa"/>
            <w:shd w:val="clear" w:color="auto" w:fill="auto"/>
            <w:vAlign w:val="center"/>
            <w:hideMark/>
          </w:tcPr>
          <w:p w14:paraId="03665365"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18,255</w:t>
            </w:r>
          </w:p>
        </w:tc>
        <w:tc>
          <w:tcPr>
            <w:tcW w:w="1418" w:type="dxa"/>
            <w:shd w:val="clear" w:color="auto" w:fill="auto"/>
            <w:vAlign w:val="center"/>
            <w:hideMark/>
          </w:tcPr>
          <w:p w14:paraId="079A08A3"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17,903</w:t>
            </w:r>
          </w:p>
        </w:tc>
        <w:tc>
          <w:tcPr>
            <w:tcW w:w="1417" w:type="dxa"/>
            <w:shd w:val="clear" w:color="auto" w:fill="auto"/>
            <w:vAlign w:val="center"/>
          </w:tcPr>
          <w:p w14:paraId="3B49F882"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19,004</w:t>
            </w:r>
          </w:p>
        </w:tc>
        <w:tc>
          <w:tcPr>
            <w:tcW w:w="1418" w:type="dxa"/>
            <w:shd w:val="clear" w:color="auto" w:fill="auto"/>
            <w:vAlign w:val="center"/>
            <w:hideMark/>
          </w:tcPr>
          <w:p w14:paraId="1FCF5BE9"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w:t>
            </w:r>
          </w:p>
        </w:tc>
      </w:tr>
      <w:tr w:rsidR="008A5057" w:rsidRPr="00BD295E" w14:paraId="5387ABD8" w14:textId="77777777" w:rsidTr="00D108C0">
        <w:trPr>
          <w:trHeight w:val="240"/>
        </w:trPr>
        <w:tc>
          <w:tcPr>
            <w:tcW w:w="3691" w:type="dxa"/>
            <w:shd w:val="clear" w:color="auto" w:fill="auto"/>
            <w:hideMark/>
          </w:tcPr>
          <w:p w14:paraId="02E90344" w14:textId="77777777" w:rsidR="006E16B5" w:rsidRPr="00BD295E" w:rsidRDefault="008A5057" w:rsidP="00D108C0">
            <w:pPr>
              <w:jc w:val="both"/>
              <w:rPr>
                <w:rFonts w:ascii="Arial" w:hAnsi="Arial" w:cs="Arial"/>
                <w:sz w:val="18"/>
                <w:szCs w:val="18"/>
                <w:lang w:val="en-US"/>
              </w:rPr>
            </w:pPr>
            <w:r w:rsidRPr="00BD295E">
              <w:rPr>
                <w:rFonts w:ascii="Arial" w:hAnsi="Arial" w:cs="Arial"/>
                <w:sz w:val="18"/>
                <w:szCs w:val="18"/>
                <w:lang w:val="en-US"/>
              </w:rPr>
              <w:t>Leningrad Region</w:t>
            </w:r>
          </w:p>
        </w:tc>
        <w:tc>
          <w:tcPr>
            <w:tcW w:w="1417" w:type="dxa"/>
            <w:shd w:val="clear" w:color="auto" w:fill="auto"/>
            <w:vAlign w:val="center"/>
            <w:hideMark/>
          </w:tcPr>
          <w:p w14:paraId="402EE680"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12,163</w:t>
            </w:r>
          </w:p>
        </w:tc>
        <w:tc>
          <w:tcPr>
            <w:tcW w:w="1418" w:type="dxa"/>
            <w:shd w:val="clear" w:color="auto" w:fill="auto"/>
            <w:vAlign w:val="center"/>
            <w:hideMark/>
          </w:tcPr>
          <w:p w14:paraId="624D8914"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12,385</w:t>
            </w:r>
          </w:p>
        </w:tc>
        <w:tc>
          <w:tcPr>
            <w:tcW w:w="1417" w:type="dxa"/>
            <w:shd w:val="clear" w:color="auto" w:fill="auto"/>
            <w:vAlign w:val="center"/>
          </w:tcPr>
          <w:p w14:paraId="5390A72C"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12,876</w:t>
            </w:r>
          </w:p>
        </w:tc>
        <w:tc>
          <w:tcPr>
            <w:tcW w:w="1418" w:type="dxa"/>
            <w:shd w:val="clear" w:color="auto" w:fill="auto"/>
            <w:vAlign w:val="center"/>
            <w:hideMark/>
          </w:tcPr>
          <w:p w14:paraId="6F6A13D4"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w:t>
            </w:r>
          </w:p>
        </w:tc>
      </w:tr>
      <w:tr w:rsidR="008A5057" w:rsidRPr="00BD295E" w14:paraId="527D1EC1" w14:textId="77777777" w:rsidTr="00D108C0">
        <w:trPr>
          <w:trHeight w:val="240"/>
        </w:trPr>
        <w:tc>
          <w:tcPr>
            <w:tcW w:w="3691" w:type="dxa"/>
            <w:shd w:val="clear" w:color="auto" w:fill="auto"/>
            <w:hideMark/>
          </w:tcPr>
          <w:p w14:paraId="16D852D1" w14:textId="77777777" w:rsidR="006E16B5" w:rsidRPr="00BD295E" w:rsidRDefault="008A5057" w:rsidP="00D108C0">
            <w:pPr>
              <w:rPr>
                <w:rFonts w:ascii="Arial" w:hAnsi="Arial" w:cs="Arial"/>
                <w:b/>
                <w:bCs/>
                <w:sz w:val="18"/>
                <w:szCs w:val="18"/>
                <w:lang w:val="en-US"/>
              </w:rPr>
            </w:pPr>
            <w:r w:rsidRPr="00BD295E">
              <w:rPr>
                <w:rFonts w:ascii="Arial" w:hAnsi="Arial" w:cs="Arial"/>
                <w:b/>
                <w:bCs/>
                <w:sz w:val="18"/>
                <w:szCs w:val="18"/>
                <w:lang w:val="en-US"/>
              </w:rPr>
              <w:t xml:space="preserve">Total for </w:t>
            </w:r>
            <w:r w:rsidR="00EE5753" w:rsidRPr="00BD295E">
              <w:rPr>
                <w:rFonts w:ascii="Arial" w:hAnsi="Arial" w:cs="Arial"/>
                <w:b/>
                <w:bCs/>
                <w:sz w:val="18"/>
                <w:szCs w:val="18"/>
                <w:lang w:val="en-US"/>
              </w:rPr>
              <w:t>PJSC “Lenenergo”</w:t>
            </w:r>
          </w:p>
        </w:tc>
        <w:tc>
          <w:tcPr>
            <w:tcW w:w="1417" w:type="dxa"/>
            <w:shd w:val="clear" w:color="auto" w:fill="auto"/>
            <w:vAlign w:val="center"/>
            <w:hideMark/>
          </w:tcPr>
          <w:p w14:paraId="03EDCB22"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30,418</w:t>
            </w:r>
          </w:p>
        </w:tc>
        <w:tc>
          <w:tcPr>
            <w:tcW w:w="1418" w:type="dxa"/>
            <w:shd w:val="clear" w:color="auto" w:fill="auto"/>
            <w:vAlign w:val="center"/>
            <w:hideMark/>
          </w:tcPr>
          <w:p w14:paraId="54969B76"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30,288</w:t>
            </w:r>
          </w:p>
        </w:tc>
        <w:tc>
          <w:tcPr>
            <w:tcW w:w="1417" w:type="dxa"/>
            <w:shd w:val="clear" w:color="auto" w:fill="auto"/>
            <w:vAlign w:val="center"/>
          </w:tcPr>
          <w:p w14:paraId="30D6DBFA"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31,880</w:t>
            </w:r>
          </w:p>
        </w:tc>
        <w:tc>
          <w:tcPr>
            <w:tcW w:w="1418" w:type="dxa"/>
            <w:shd w:val="clear" w:color="auto" w:fill="auto"/>
            <w:vAlign w:val="center"/>
            <w:hideMark/>
          </w:tcPr>
          <w:p w14:paraId="3DC1E50E"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5%</w:t>
            </w:r>
          </w:p>
        </w:tc>
      </w:tr>
      <w:tr w:rsidR="008A5057" w:rsidRPr="00BD295E" w14:paraId="40C54FBC" w14:textId="77777777" w:rsidTr="00D108C0">
        <w:trPr>
          <w:trHeight w:val="240"/>
        </w:trPr>
        <w:tc>
          <w:tcPr>
            <w:tcW w:w="3691" w:type="dxa"/>
            <w:shd w:val="clear" w:color="auto" w:fill="auto"/>
            <w:hideMark/>
          </w:tcPr>
          <w:p w14:paraId="2511B5B2" w14:textId="77777777" w:rsidR="006E16B5" w:rsidRPr="00BD295E" w:rsidRDefault="008A5057" w:rsidP="00D108C0">
            <w:pPr>
              <w:jc w:val="both"/>
              <w:rPr>
                <w:rFonts w:ascii="Arial" w:hAnsi="Arial" w:cs="Arial"/>
                <w:sz w:val="18"/>
                <w:szCs w:val="18"/>
                <w:lang w:val="en-US"/>
              </w:rPr>
            </w:pPr>
            <w:r w:rsidRPr="00BD295E">
              <w:rPr>
                <w:rFonts w:ascii="Arial" w:hAnsi="Arial" w:cs="Arial"/>
                <w:sz w:val="18"/>
                <w:szCs w:val="18"/>
                <w:lang w:val="en-US"/>
              </w:rPr>
              <w:t>Growth, %</w:t>
            </w:r>
          </w:p>
        </w:tc>
        <w:tc>
          <w:tcPr>
            <w:tcW w:w="1417" w:type="dxa"/>
            <w:shd w:val="clear" w:color="auto" w:fill="auto"/>
            <w:vAlign w:val="center"/>
            <w:hideMark/>
          </w:tcPr>
          <w:p w14:paraId="33743080"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w:t>
            </w:r>
          </w:p>
        </w:tc>
        <w:tc>
          <w:tcPr>
            <w:tcW w:w="1418" w:type="dxa"/>
            <w:shd w:val="clear" w:color="auto" w:fill="auto"/>
            <w:vAlign w:val="center"/>
            <w:hideMark/>
          </w:tcPr>
          <w:p w14:paraId="0B75793E"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0%</w:t>
            </w:r>
          </w:p>
        </w:tc>
        <w:tc>
          <w:tcPr>
            <w:tcW w:w="1417" w:type="dxa"/>
            <w:shd w:val="clear" w:color="auto" w:fill="auto"/>
            <w:vAlign w:val="center"/>
          </w:tcPr>
          <w:p w14:paraId="34B8F1BA"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5%</w:t>
            </w:r>
          </w:p>
        </w:tc>
        <w:tc>
          <w:tcPr>
            <w:tcW w:w="1418" w:type="dxa"/>
            <w:shd w:val="clear" w:color="auto" w:fill="auto"/>
            <w:vAlign w:val="center"/>
          </w:tcPr>
          <w:p w14:paraId="361E3ADF" w14:textId="77777777" w:rsidR="006E16B5" w:rsidRPr="00BD295E" w:rsidRDefault="006E16B5" w:rsidP="00D108C0">
            <w:pPr>
              <w:jc w:val="center"/>
              <w:rPr>
                <w:rFonts w:ascii="Arial" w:hAnsi="Arial" w:cs="Arial"/>
                <w:sz w:val="18"/>
                <w:szCs w:val="18"/>
                <w:lang w:val="en-US"/>
              </w:rPr>
            </w:pPr>
          </w:p>
        </w:tc>
      </w:tr>
    </w:tbl>
    <w:p w14:paraId="6C90A727" w14:textId="77777777" w:rsidR="006E16B5" w:rsidRPr="00BD295E" w:rsidRDefault="008A5057" w:rsidP="006E16B5">
      <w:pPr>
        <w:keepNext/>
        <w:shd w:val="clear" w:color="auto" w:fill="FFFFFF"/>
        <w:spacing w:before="120"/>
        <w:jc w:val="both"/>
        <w:rPr>
          <w:rFonts w:ascii="Arial" w:hAnsi="Arial" w:cs="Arial"/>
          <w:b/>
          <w:sz w:val="18"/>
          <w:szCs w:val="18"/>
          <w:lang w:val="en-US"/>
        </w:rPr>
      </w:pPr>
      <w:r w:rsidRPr="00BD295E">
        <w:rPr>
          <w:rFonts w:ascii="Arial" w:hAnsi="Arial" w:cs="Arial"/>
          <w:b/>
          <w:sz w:val="18"/>
          <w:szCs w:val="18"/>
          <w:lang w:val="en-US"/>
        </w:rPr>
        <w:t>Analysis of changes in the approved average tariff* for electricity distribution by constituent entity of the Russian Federation, kopecks/kWh</w:t>
      </w:r>
    </w:p>
    <w:tbl>
      <w:tblPr>
        <w:tblW w:w="936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1"/>
        <w:gridCol w:w="1417"/>
        <w:gridCol w:w="1418"/>
        <w:gridCol w:w="1417"/>
        <w:gridCol w:w="1418"/>
      </w:tblGrid>
      <w:tr w:rsidR="008A5057" w:rsidRPr="00BD295E" w14:paraId="195E1656" w14:textId="77777777" w:rsidTr="00D108C0">
        <w:trPr>
          <w:trHeight w:val="458"/>
        </w:trPr>
        <w:tc>
          <w:tcPr>
            <w:tcW w:w="3691" w:type="dxa"/>
            <w:vMerge w:val="restart"/>
            <w:shd w:val="clear" w:color="auto" w:fill="auto"/>
            <w:vAlign w:val="center"/>
            <w:hideMark/>
          </w:tcPr>
          <w:p w14:paraId="0469646E"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Branch</w:t>
            </w:r>
          </w:p>
        </w:tc>
        <w:tc>
          <w:tcPr>
            <w:tcW w:w="1417" w:type="dxa"/>
            <w:vMerge w:val="restart"/>
            <w:shd w:val="clear" w:color="auto" w:fill="auto"/>
            <w:vAlign w:val="center"/>
            <w:hideMark/>
          </w:tcPr>
          <w:p w14:paraId="5A3E7ABE"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2016</w:t>
            </w:r>
          </w:p>
        </w:tc>
        <w:tc>
          <w:tcPr>
            <w:tcW w:w="1418" w:type="dxa"/>
            <w:vMerge w:val="restart"/>
            <w:shd w:val="clear" w:color="auto" w:fill="auto"/>
            <w:vAlign w:val="center"/>
            <w:hideMark/>
          </w:tcPr>
          <w:p w14:paraId="29F7C05D"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2017</w:t>
            </w:r>
          </w:p>
        </w:tc>
        <w:tc>
          <w:tcPr>
            <w:tcW w:w="1417" w:type="dxa"/>
            <w:vMerge w:val="restart"/>
            <w:shd w:val="clear" w:color="auto" w:fill="auto"/>
            <w:vAlign w:val="center"/>
            <w:hideMark/>
          </w:tcPr>
          <w:p w14:paraId="209B747F"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2018</w:t>
            </w:r>
          </w:p>
        </w:tc>
        <w:tc>
          <w:tcPr>
            <w:tcW w:w="1418" w:type="dxa"/>
            <w:vMerge w:val="restart"/>
            <w:shd w:val="clear" w:color="auto" w:fill="auto"/>
            <w:vAlign w:val="center"/>
            <w:hideMark/>
          </w:tcPr>
          <w:p w14:paraId="06D0F545" w14:textId="77777777" w:rsidR="006E16B5" w:rsidRPr="00BD295E" w:rsidRDefault="00C064D1" w:rsidP="00D108C0">
            <w:pPr>
              <w:jc w:val="center"/>
              <w:rPr>
                <w:rFonts w:ascii="Arial" w:hAnsi="Arial" w:cs="Arial"/>
                <w:b/>
                <w:bCs/>
                <w:sz w:val="18"/>
                <w:szCs w:val="18"/>
                <w:lang w:val="en-US"/>
              </w:rPr>
            </w:pPr>
            <w:r w:rsidRPr="00BD295E">
              <w:rPr>
                <w:rFonts w:ascii="Arial" w:hAnsi="Arial" w:cs="Arial"/>
                <w:b/>
                <w:bCs/>
                <w:sz w:val="18"/>
                <w:szCs w:val="18"/>
                <w:lang w:val="en-US"/>
              </w:rPr>
              <w:t>2018 vs. 2017</w:t>
            </w:r>
            <w:r w:rsidR="008A5057" w:rsidRPr="00BD295E">
              <w:rPr>
                <w:rFonts w:ascii="Arial" w:hAnsi="Arial" w:cs="Arial"/>
                <w:b/>
                <w:bCs/>
                <w:sz w:val="18"/>
                <w:szCs w:val="18"/>
                <w:lang w:val="en-US"/>
              </w:rPr>
              <w:t>, %</w:t>
            </w:r>
          </w:p>
        </w:tc>
      </w:tr>
      <w:tr w:rsidR="008A5057" w:rsidRPr="00BD295E" w14:paraId="0E462F11" w14:textId="77777777" w:rsidTr="00D108C0">
        <w:trPr>
          <w:trHeight w:val="458"/>
        </w:trPr>
        <w:tc>
          <w:tcPr>
            <w:tcW w:w="3691" w:type="dxa"/>
            <w:vMerge/>
            <w:vAlign w:val="center"/>
            <w:hideMark/>
          </w:tcPr>
          <w:p w14:paraId="498B928B" w14:textId="77777777" w:rsidR="006E16B5" w:rsidRPr="00BD295E" w:rsidRDefault="006E16B5" w:rsidP="00D108C0">
            <w:pPr>
              <w:rPr>
                <w:rFonts w:ascii="Arial" w:hAnsi="Arial" w:cs="Arial"/>
                <w:b/>
                <w:bCs/>
                <w:sz w:val="18"/>
                <w:szCs w:val="18"/>
                <w:lang w:val="en-US"/>
              </w:rPr>
            </w:pPr>
          </w:p>
        </w:tc>
        <w:tc>
          <w:tcPr>
            <w:tcW w:w="1417" w:type="dxa"/>
            <w:vMerge/>
            <w:vAlign w:val="center"/>
            <w:hideMark/>
          </w:tcPr>
          <w:p w14:paraId="0A81CC45" w14:textId="77777777" w:rsidR="006E16B5" w:rsidRPr="00BD295E" w:rsidRDefault="006E16B5" w:rsidP="00D108C0">
            <w:pPr>
              <w:rPr>
                <w:rFonts w:ascii="Arial" w:hAnsi="Arial" w:cs="Arial"/>
                <w:b/>
                <w:bCs/>
                <w:sz w:val="18"/>
                <w:szCs w:val="18"/>
                <w:lang w:val="en-US"/>
              </w:rPr>
            </w:pPr>
          </w:p>
        </w:tc>
        <w:tc>
          <w:tcPr>
            <w:tcW w:w="1418" w:type="dxa"/>
            <w:vMerge/>
            <w:vAlign w:val="center"/>
            <w:hideMark/>
          </w:tcPr>
          <w:p w14:paraId="30862A84" w14:textId="77777777" w:rsidR="006E16B5" w:rsidRPr="00BD295E" w:rsidRDefault="006E16B5" w:rsidP="00D108C0">
            <w:pPr>
              <w:rPr>
                <w:rFonts w:ascii="Arial" w:hAnsi="Arial" w:cs="Arial"/>
                <w:b/>
                <w:bCs/>
                <w:sz w:val="18"/>
                <w:szCs w:val="18"/>
                <w:lang w:val="en-US"/>
              </w:rPr>
            </w:pPr>
          </w:p>
        </w:tc>
        <w:tc>
          <w:tcPr>
            <w:tcW w:w="1417" w:type="dxa"/>
            <w:vMerge/>
            <w:vAlign w:val="center"/>
            <w:hideMark/>
          </w:tcPr>
          <w:p w14:paraId="2619CD51" w14:textId="77777777" w:rsidR="006E16B5" w:rsidRPr="00BD295E" w:rsidRDefault="006E16B5" w:rsidP="00D108C0">
            <w:pPr>
              <w:rPr>
                <w:rFonts w:ascii="Arial" w:hAnsi="Arial" w:cs="Arial"/>
                <w:b/>
                <w:bCs/>
                <w:sz w:val="18"/>
                <w:szCs w:val="18"/>
                <w:lang w:val="en-US"/>
              </w:rPr>
            </w:pPr>
          </w:p>
        </w:tc>
        <w:tc>
          <w:tcPr>
            <w:tcW w:w="1418" w:type="dxa"/>
            <w:vMerge/>
            <w:vAlign w:val="center"/>
            <w:hideMark/>
          </w:tcPr>
          <w:p w14:paraId="46E65B37" w14:textId="77777777" w:rsidR="006E16B5" w:rsidRPr="00BD295E" w:rsidRDefault="006E16B5" w:rsidP="00D108C0">
            <w:pPr>
              <w:rPr>
                <w:rFonts w:ascii="Arial" w:hAnsi="Arial" w:cs="Arial"/>
                <w:b/>
                <w:bCs/>
                <w:sz w:val="18"/>
                <w:szCs w:val="18"/>
                <w:lang w:val="en-US"/>
              </w:rPr>
            </w:pPr>
          </w:p>
        </w:tc>
      </w:tr>
      <w:tr w:rsidR="008A5057" w:rsidRPr="00BD295E" w14:paraId="763C03BE" w14:textId="77777777" w:rsidTr="00D108C0">
        <w:trPr>
          <w:trHeight w:val="240"/>
        </w:trPr>
        <w:tc>
          <w:tcPr>
            <w:tcW w:w="3691" w:type="dxa"/>
            <w:shd w:val="clear" w:color="auto" w:fill="auto"/>
            <w:hideMark/>
          </w:tcPr>
          <w:p w14:paraId="358849BC" w14:textId="77777777" w:rsidR="006E16B5" w:rsidRPr="00BD295E" w:rsidRDefault="008A5057" w:rsidP="00D108C0">
            <w:pPr>
              <w:jc w:val="both"/>
              <w:rPr>
                <w:rFonts w:ascii="Arial" w:hAnsi="Arial" w:cs="Arial"/>
                <w:sz w:val="18"/>
                <w:szCs w:val="18"/>
                <w:lang w:val="en-US"/>
              </w:rPr>
            </w:pPr>
            <w:r w:rsidRPr="00BD295E">
              <w:rPr>
                <w:rFonts w:ascii="Arial" w:hAnsi="Arial" w:cs="Arial"/>
                <w:sz w:val="18"/>
                <w:szCs w:val="18"/>
                <w:lang w:val="en-US"/>
              </w:rPr>
              <w:t>Saint Petersburg</w:t>
            </w:r>
          </w:p>
        </w:tc>
        <w:tc>
          <w:tcPr>
            <w:tcW w:w="1417" w:type="dxa"/>
            <w:shd w:val="clear" w:color="auto" w:fill="auto"/>
            <w:vAlign w:val="center"/>
            <w:hideMark/>
          </w:tcPr>
          <w:p w14:paraId="488191BB"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 209.58 </w:t>
            </w:r>
          </w:p>
        </w:tc>
        <w:tc>
          <w:tcPr>
            <w:tcW w:w="1418" w:type="dxa"/>
            <w:shd w:val="clear" w:color="auto" w:fill="auto"/>
            <w:vAlign w:val="center"/>
            <w:hideMark/>
          </w:tcPr>
          <w:p w14:paraId="2DC08402"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 224.88 </w:t>
            </w:r>
          </w:p>
        </w:tc>
        <w:tc>
          <w:tcPr>
            <w:tcW w:w="1417" w:type="dxa"/>
            <w:shd w:val="clear" w:color="auto" w:fill="auto"/>
            <w:vAlign w:val="center"/>
          </w:tcPr>
          <w:p w14:paraId="4D9508BB"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 240.22   </w:t>
            </w:r>
          </w:p>
        </w:tc>
        <w:tc>
          <w:tcPr>
            <w:tcW w:w="1418" w:type="dxa"/>
            <w:shd w:val="clear" w:color="auto" w:fill="auto"/>
            <w:vAlign w:val="center"/>
            <w:hideMark/>
          </w:tcPr>
          <w:p w14:paraId="697CDD20"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7%</w:t>
            </w:r>
          </w:p>
        </w:tc>
      </w:tr>
      <w:tr w:rsidR="008A5057" w:rsidRPr="00BD295E" w14:paraId="2B1A9691" w14:textId="77777777" w:rsidTr="00D108C0">
        <w:trPr>
          <w:trHeight w:val="240"/>
        </w:trPr>
        <w:tc>
          <w:tcPr>
            <w:tcW w:w="3691" w:type="dxa"/>
            <w:shd w:val="clear" w:color="auto" w:fill="auto"/>
            <w:hideMark/>
          </w:tcPr>
          <w:p w14:paraId="7768782C" w14:textId="77777777" w:rsidR="006E16B5" w:rsidRPr="00BD295E" w:rsidRDefault="008A5057" w:rsidP="00D108C0">
            <w:pPr>
              <w:jc w:val="both"/>
              <w:rPr>
                <w:rFonts w:ascii="Arial" w:hAnsi="Arial" w:cs="Arial"/>
                <w:sz w:val="18"/>
                <w:szCs w:val="18"/>
                <w:lang w:val="en-US"/>
              </w:rPr>
            </w:pPr>
            <w:r w:rsidRPr="00BD295E">
              <w:rPr>
                <w:rFonts w:ascii="Arial" w:hAnsi="Arial" w:cs="Arial"/>
                <w:sz w:val="18"/>
                <w:szCs w:val="18"/>
                <w:lang w:val="en-US"/>
              </w:rPr>
              <w:t>Leningrad Region</w:t>
            </w:r>
          </w:p>
        </w:tc>
        <w:tc>
          <w:tcPr>
            <w:tcW w:w="1417" w:type="dxa"/>
            <w:shd w:val="clear" w:color="auto" w:fill="auto"/>
            <w:vAlign w:val="center"/>
            <w:hideMark/>
          </w:tcPr>
          <w:p w14:paraId="7DD71C67"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 168.18 </w:t>
            </w:r>
          </w:p>
        </w:tc>
        <w:tc>
          <w:tcPr>
            <w:tcW w:w="1418" w:type="dxa"/>
            <w:shd w:val="clear" w:color="auto" w:fill="auto"/>
            <w:vAlign w:val="center"/>
            <w:hideMark/>
          </w:tcPr>
          <w:p w14:paraId="40699554"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 177.91 </w:t>
            </w:r>
          </w:p>
        </w:tc>
        <w:tc>
          <w:tcPr>
            <w:tcW w:w="1417" w:type="dxa"/>
            <w:shd w:val="clear" w:color="auto" w:fill="auto"/>
            <w:vAlign w:val="center"/>
          </w:tcPr>
          <w:p w14:paraId="2D927F60"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 201.25   </w:t>
            </w:r>
          </w:p>
        </w:tc>
        <w:tc>
          <w:tcPr>
            <w:tcW w:w="1418" w:type="dxa"/>
            <w:shd w:val="clear" w:color="auto" w:fill="auto"/>
            <w:vAlign w:val="center"/>
            <w:hideMark/>
          </w:tcPr>
          <w:p w14:paraId="682D40C4"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13%</w:t>
            </w:r>
          </w:p>
        </w:tc>
      </w:tr>
      <w:tr w:rsidR="008A5057" w:rsidRPr="00BD295E" w14:paraId="54F55AF5" w14:textId="77777777" w:rsidTr="00D108C0">
        <w:trPr>
          <w:trHeight w:val="240"/>
        </w:trPr>
        <w:tc>
          <w:tcPr>
            <w:tcW w:w="3691" w:type="dxa"/>
            <w:shd w:val="clear" w:color="auto" w:fill="auto"/>
            <w:hideMark/>
          </w:tcPr>
          <w:p w14:paraId="360EF9B7" w14:textId="77777777" w:rsidR="006E16B5" w:rsidRPr="00BD295E" w:rsidRDefault="008A5057" w:rsidP="00D108C0">
            <w:pPr>
              <w:rPr>
                <w:rFonts w:ascii="Arial" w:hAnsi="Arial" w:cs="Arial"/>
                <w:b/>
                <w:bCs/>
                <w:sz w:val="18"/>
                <w:szCs w:val="18"/>
                <w:lang w:val="en-US"/>
              </w:rPr>
            </w:pPr>
            <w:r w:rsidRPr="00BD295E">
              <w:rPr>
                <w:rFonts w:ascii="Arial" w:hAnsi="Arial" w:cs="Arial"/>
                <w:b/>
                <w:bCs/>
                <w:sz w:val="18"/>
                <w:szCs w:val="18"/>
                <w:lang w:val="en-US"/>
              </w:rPr>
              <w:t xml:space="preserve">Total for </w:t>
            </w:r>
            <w:r w:rsidR="00EE5753" w:rsidRPr="00BD295E">
              <w:rPr>
                <w:rFonts w:ascii="Arial" w:hAnsi="Arial" w:cs="Arial"/>
                <w:b/>
                <w:bCs/>
                <w:sz w:val="18"/>
                <w:szCs w:val="18"/>
                <w:lang w:val="en-US"/>
              </w:rPr>
              <w:t>PJSC “Lenenergo”</w:t>
            </w:r>
          </w:p>
        </w:tc>
        <w:tc>
          <w:tcPr>
            <w:tcW w:w="1417" w:type="dxa"/>
            <w:shd w:val="clear" w:color="auto" w:fill="auto"/>
            <w:vAlign w:val="center"/>
            <w:hideMark/>
          </w:tcPr>
          <w:p w14:paraId="778EAE6E"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 xml:space="preserve"> 193.03 </w:t>
            </w:r>
          </w:p>
        </w:tc>
        <w:tc>
          <w:tcPr>
            <w:tcW w:w="1418" w:type="dxa"/>
            <w:shd w:val="clear" w:color="auto" w:fill="auto"/>
            <w:vAlign w:val="center"/>
            <w:hideMark/>
          </w:tcPr>
          <w:p w14:paraId="37C6A0B5"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 xml:space="preserve"> 205.68 </w:t>
            </w:r>
          </w:p>
        </w:tc>
        <w:tc>
          <w:tcPr>
            <w:tcW w:w="1417" w:type="dxa"/>
            <w:shd w:val="clear" w:color="auto" w:fill="auto"/>
            <w:vAlign w:val="center"/>
          </w:tcPr>
          <w:p w14:paraId="5A100536"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 xml:space="preserve"> 224.48   </w:t>
            </w:r>
          </w:p>
        </w:tc>
        <w:tc>
          <w:tcPr>
            <w:tcW w:w="1418" w:type="dxa"/>
            <w:shd w:val="clear" w:color="auto" w:fill="auto"/>
            <w:vAlign w:val="center"/>
            <w:hideMark/>
          </w:tcPr>
          <w:p w14:paraId="33A4D111"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9%</w:t>
            </w:r>
          </w:p>
        </w:tc>
      </w:tr>
      <w:tr w:rsidR="008A5057" w:rsidRPr="00BD295E" w14:paraId="12E6F403" w14:textId="77777777" w:rsidTr="00D108C0">
        <w:trPr>
          <w:trHeight w:val="240"/>
        </w:trPr>
        <w:tc>
          <w:tcPr>
            <w:tcW w:w="3691" w:type="dxa"/>
            <w:shd w:val="clear" w:color="auto" w:fill="auto"/>
            <w:hideMark/>
          </w:tcPr>
          <w:p w14:paraId="63AF446A" w14:textId="77777777" w:rsidR="006E16B5" w:rsidRPr="00BD295E" w:rsidRDefault="008A5057" w:rsidP="00D108C0">
            <w:pPr>
              <w:jc w:val="both"/>
              <w:rPr>
                <w:rFonts w:ascii="Arial" w:hAnsi="Arial" w:cs="Arial"/>
                <w:sz w:val="18"/>
                <w:szCs w:val="18"/>
                <w:lang w:val="en-US"/>
              </w:rPr>
            </w:pPr>
            <w:r w:rsidRPr="00BD295E">
              <w:rPr>
                <w:rFonts w:ascii="Arial" w:hAnsi="Arial" w:cs="Arial"/>
                <w:sz w:val="18"/>
                <w:szCs w:val="18"/>
                <w:lang w:val="en-US"/>
              </w:rPr>
              <w:t>Growth, %</w:t>
            </w:r>
          </w:p>
        </w:tc>
        <w:tc>
          <w:tcPr>
            <w:tcW w:w="1417" w:type="dxa"/>
            <w:shd w:val="clear" w:color="auto" w:fill="auto"/>
            <w:vAlign w:val="center"/>
            <w:hideMark/>
          </w:tcPr>
          <w:p w14:paraId="55E0876C"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20%</w:t>
            </w:r>
          </w:p>
        </w:tc>
        <w:tc>
          <w:tcPr>
            <w:tcW w:w="1418" w:type="dxa"/>
            <w:shd w:val="clear" w:color="auto" w:fill="auto"/>
            <w:vAlign w:val="center"/>
            <w:hideMark/>
          </w:tcPr>
          <w:p w14:paraId="21B8302C"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7%</w:t>
            </w:r>
          </w:p>
        </w:tc>
        <w:tc>
          <w:tcPr>
            <w:tcW w:w="1417" w:type="dxa"/>
            <w:shd w:val="clear" w:color="auto" w:fill="auto"/>
          </w:tcPr>
          <w:p w14:paraId="321CDE14"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w:t>
            </w:r>
          </w:p>
        </w:tc>
        <w:tc>
          <w:tcPr>
            <w:tcW w:w="1418" w:type="dxa"/>
            <w:shd w:val="clear" w:color="auto" w:fill="auto"/>
          </w:tcPr>
          <w:p w14:paraId="188073CB" w14:textId="77777777" w:rsidR="006E16B5" w:rsidRPr="00BD295E" w:rsidRDefault="006E16B5" w:rsidP="00D108C0">
            <w:pPr>
              <w:jc w:val="center"/>
              <w:rPr>
                <w:rFonts w:ascii="Arial" w:hAnsi="Arial" w:cs="Arial"/>
                <w:b/>
                <w:bCs/>
                <w:sz w:val="18"/>
                <w:szCs w:val="18"/>
                <w:lang w:val="en-US"/>
              </w:rPr>
            </w:pPr>
          </w:p>
        </w:tc>
      </w:tr>
    </w:tbl>
    <w:p w14:paraId="412BD295" w14:textId="77777777" w:rsidR="006E16B5" w:rsidRPr="00BD295E" w:rsidRDefault="008A5057" w:rsidP="006E16B5">
      <w:pPr>
        <w:shd w:val="clear" w:color="auto" w:fill="FFFFFF"/>
        <w:jc w:val="both"/>
        <w:rPr>
          <w:rFonts w:ascii="Arial" w:hAnsi="Arial" w:cs="Arial"/>
          <w:sz w:val="18"/>
          <w:szCs w:val="18"/>
          <w:lang w:val="en-US"/>
        </w:rPr>
      </w:pPr>
      <w:r w:rsidRPr="00BD295E">
        <w:rPr>
          <w:rFonts w:ascii="Arial" w:hAnsi="Arial" w:cs="Arial"/>
          <w:sz w:val="18"/>
          <w:szCs w:val="18"/>
          <w:lang w:val="en-US"/>
        </w:rPr>
        <w:t xml:space="preserve">* The approved average tariff for electricity distribution services is calculated as the ratio of the required gross revenue for each year to net supply in general (taking into account the net supply to the “other consumers” and “households” groups). </w:t>
      </w:r>
    </w:p>
    <w:p w14:paraId="493A8082" w14:textId="77777777" w:rsidR="006E16B5" w:rsidRPr="00BD295E" w:rsidRDefault="006E16B5" w:rsidP="006E16B5">
      <w:pPr>
        <w:shd w:val="clear" w:color="auto" w:fill="FFFFFF"/>
        <w:ind w:firstLine="567"/>
        <w:jc w:val="both"/>
        <w:rPr>
          <w:rFonts w:ascii="Arial" w:hAnsi="Arial" w:cs="Arial"/>
          <w:sz w:val="18"/>
          <w:szCs w:val="18"/>
          <w:lang w:val="en-US"/>
        </w:rPr>
      </w:pPr>
    </w:p>
    <w:p w14:paraId="6460E805" w14:textId="77777777" w:rsidR="006E16B5" w:rsidRPr="00BD295E" w:rsidRDefault="008A5057" w:rsidP="00C872BF">
      <w:pPr>
        <w:shd w:val="clear" w:color="auto" w:fill="FFFFFF"/>
        <w:jc w:val="both"/>
        <w:rPr>
          <w:rFonts w:ascii="Arial" w:hAnsi="Arial" w:cs="Arial"/>
          <w:sz w:val="18"/>
          <w:szCs w:val="18"/>
          <w:lang w:val="en-US"/>
        </w:rPr>
      </w:pPr>
      <w:r w:rsidRPr="00BD295E">
        <w:rPr>
          <w:rFonts w:ascii="Arial" w:hAnsi="Arial" w:cs="Arial"/>
          <w:sz w:val="18"/>
          <w:szCs w:val="18"/>
          <w:lang w:val="en-US"/>
        </w:rPr>
        <w:t xml:space="preserve">Changes in tariffs in 2018 in Saint Petersburg were driven by a decision of the Tariffs Committee of Saint Petersburg outlined in its Directive No. 276-r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 regarding amendments to Directive No. 625-r of the Tariffs Committee of Saint Petersburg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30, 2014, which set unified (</w:t>
      </w:r>
      <w:r w:rsidR="000A385C" w:rsidRPr="00BD295E">
        <w:rPr>
          <w:rFonts w:ascii="Arial" w:hAnsi="Arial" w:cs="Arial"/>
          <w:sz w:val="18"/>
          <w:szCs w:val="18"/>
          <w:lang w:val="en-US"/>
        </w:rPr>
        <w:t>pool</w:t>
      </w:r>
      <w:r w:rsidRPr="00BD295E">
        <w:rPr>
          <w:rFonts w:ascii="Arial" w:hAnsi="Arial" w:cs="Arial"/>
          <w:sz w:val="18"/>
          <w:szCs w:val="18"/>
          <w:lang w:val="en-US"/>
        </w:rPr>
        <w:t xml:space="preserve">) tariffs for electricity distribution via grids of Saint Petersburg to other consumers (Annex No. 3 to the Directive), as well as to households and equivalent categories of consumers (Annex No. 4 to the Directive) for 2018. </w:t>
      </w:r>
    </w:p>
    <w:p w14:paraId="74B1FE20" w14:textId="77777777" w:rsidR="00C872BF" w:rsidRPr="00BD295E" w:rsidRDefault="00C872BF" w:rsidP="00C872BF">
      <w:pPr>
        <w:jc w:val="both"/>
        <w:rPr>
          <w:rFonts w:ascii="Arial" w:hAnsi="Arial" w:cs="Arial"/>
          <w:sz w:val="18"/>
          <w:szCs w:val="18"/>
          <w:lang w:val="en-US"/>
        </w:rPr>
      </w:pPr>
    </w:p>
    <w:p w14:paraId="6B6F0A8F" w14:textId="77777777" w:rsidR="006E16B5" w:rsidRPr="00BD295E" w:rsidRDefault="008A5057" w:rsidP="00C872BF">
      <w:pPr>
        <w:jc w:val="both"/>
        <w:rPr>
          <w:rFonts w:ascii="Arial" w:hAnsi="Arial" w:cs="Arial"/>
          <w:sz w:val="18"/>
          <w:szCs w:val="18"/>
          <w:lang w:val="en-US"/>
        </w:rPr>
      </w:pPr>
      <w:r w:rsidRPr="00BD295E">
        <w:rPr>
          <w:rFonts w:ascii="Arial" w:hAnsi="Arial" w:cs="Arial"/>
          <w:sz w:val="18"/>
          <w:szCs w:val="18"/>
          <w:lang w:val="en-US"/>
        </w:rPr>
        <w:t xml:space="preserve">Changes in tariffs in 2018 in the Leningrad Region were driven by Order 659-p of the Tariffs and Pricing Policy Committee of the Leningrad Region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 regarding amendments to Order No. 535-p of the Tariffs and Pricing Policy Committee of the Leningrad Region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30, 2015, which set unified (</w:t>
      </w:r>
      <w:r w:rsidR="000A385C" w:rsidRPr="00BD295E">
        <w:rPr>
          <w:rFonts w:ascii="Arial" w:hAnsi="Arial" w:cs="Arial"/>
          <w:sz w:val="18"/>
          <w:szCs w:val="18"/>
          <w:lang w:val="en-US"/>
        </w:rPr>
        <w:t>pool</w:t>
      </w:r>
      <w:r w:rsidRPr="00BD295E">
        <w:rPr>
          <w:rFonts w:ascii="Arial" w:hAnsi="Arial" w:cs="Arial"/>
          <w:sz w:val="18"/>
          <w:szCs w:val="18"/>
          <w:lang w:val="en-US"/>
        </w:rPr>
        <w:t xml:space="preserve">) tariffs for electricity distribution via grids of the Leningrad Region to other consumers (Annex No. 1 to the Order), as well as to households and equivalent categories of consumers (Annex No. 2 to the Order) for 2018. </w:t>
      </w:r>
    </w:p>
    <w:p w14:paraId="1DF4F062" w14:textId="03593999" w:rsidR="006E16B5" w:rsidRPr="00BD295E" w:rsidRDefault="008A5057" w:rsidP="006E16B5">
      <w:pPr>
        <w:keepNext/>
        <w:spacing w:before="240"/>
        <w:jc w:val="both"/>
        <w:rPr>
          <w:rFonts w:ascii="Arial" w:hAnsi="Arial" w:cs="Arial"/>
          <w:b/>
          <w:bCs/>
          <w:sz w:val="18"/>
          <w:szCs w:val="18"/>
          <w:lang w:val="en-US"/>
        </w:rPr>
      </w:pPr>
      <w:r w:rsidRPr="00BD295E">
        <w:rPr>
          <w:rFonts w:ascii="Arial" w:hAnsi="Arial" w:cs="Arial"/>
          <w:b/>
          <w:bCs/>
          <w:sz w:val="18"/>
          <w:szCs w:val="18"/>
          <w:lang w:val="en-US"/>
        </w:rPr>
        <w:t>Saint Petersburg</w:t>
      </w:r>
    </w:p>
    <w:p w14:paraId="58B6B0BF" w14:textId="2E6D925B" w:rsidR="006E16B5" w:rsidRPr="00BD295E" w:rsidRDefault="007C31A4" w:rsidP="006E16B5">
      <w:pPr>
        <w:spacing w:before="240"/>
        <w:jc w:val="both"/>
        <w:rPr>
          <w:rFonts w:ascii="Arial" w:hAnsi="Arial" w:cs="Arial"/>
          <w:sz w:val="18"/>
          <w:szCs w:val="18"/>
          <w:lang w:val="en-US"/>
        </w:rPr>
      </w:pP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68320" behindDoc="0" locked="0" layoutInCell="1" allowOverlap="1" wp14:anchorId="038B08E7" wp14:editId="21E62637">
                <wp:simplePos x="0" y="0"/>
                <wp:positionH relativeFrom="column">
                  <wp:posOffset>4983480</wp:posOffset>
                </wp:positionH>
                <wp:positionV relativeFrom="paragraph">
                  <wp:posOffset>1753235</wp:posOffset>
                </wp:positionV>
                <wp:extent cx="1000777" cy="783346"/>
                <wp:effectExtent l="0" t="0" r="8890" b="0"/>
                <wp:wrapNone/>
                <wp:docPr id="5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77" cy="783346"/>
                        </a:xfrm>
                        <a:prstGeom prst="rect">
                          <a:avLst/>
                        </a:prstGeom>
                        <a:solidFill>
                          <a:schemeClr val="bg1"/>
                        </a:solidFill>
                        <a:ln w="9525">
                          <a:noFill/>
                          <a:miter lim="800000"/>
                          <a:headEnd/>
                          <a:tailEnd/>
                        </a:ln>
                      </wps:spPr>
                      <wps:txbx>
                        <w:txbxContent>
                          <w:p w14:paraId="4B1435B2" w14:textId="2946CCEC" w:rsidR="002C3947" w:rsidRPr="00CC44B5" w:rsidRDefault="002C3947" w:rsidP="007C31A4">
                            <w:pPr>
                              <w:rPr>
                                <w:rFonts w:ascii="Arial" w:hAnsi="Arial" w:cs="Arial"/>
                                <w:sz w:val="16"/>
                              </w:rPr>
                            </w:pPr>
                            <w:r w:rsidRPr="007C31A4">
                              <w:rPr>
                                <w:rFonts w:ascii="Arial" w:hAnsi="Arial" w:cs="Arial"/>
                                <w:sz w:val="16"/>
                              </w:rPr>
                              <w:t>Growth rate for Other Consumers in 2H vs 1H,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B08E7" id="_x0000_s1066" type="#_x0000_t202" style="position:absolute;left:0;text-align:left;margin-left:392.4pt;margin-top:138.05pt;width:78.8pt;height:61.7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" fillcolor="white [3212]" stroked="f">
                <v:textbox inset="0,0,0,0">
                  <w:txbxContent>
                    <w:p w14:paraId="4B1435B2" w14:textId="2946CCEC" w:rsidR="002C3947" w:rsidRPr="00CC44B5" w:rsidRDefault="002C3947" w:rsidP="007C31A4">
                      <w:pPr>
                        <w:rPr>
                          <w:rFonts w:ascii="Arial" w:hAnsi="Arial" w:cs="Arial"/>
                          <w:sz w:val="16"/>
                        </w:rPr>
                      </w:pPr>
                      <w:r w:rsidRPr="007C31A4">
                        <w:rPr>
                          <w:rFonts w:ascii="Arial" w:hAnsi="Arial" w:cs="Arial"/>
                          <w:sz w:val="16"/>
                        </w:rPr>
                        <w:t>Growth rate for Other Consumers in 2H vs 1H, %</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66272" behindDoc="0" locked="0" layoutInCell="1" allowOverlap="1" wp14:anchorId="3E5F3C86" wp14:editId="680D1431">
                <wp:simplePos x="0" y="0"/>
                <wp:positionH relativeFrom="column">
                  <wp:posOffset>4983480</wp:posOffset>
                </wp:positionH>
                <wp:positionV relativeFrom="paragraph">
                  <wp:posOffset>1000125</wp:posOffset>
                </wp:positionV>
                <wp:extent cx="1000777" cy="580808"/>
                <wp:effectExtent l="0" t="0" r="8890" b="0"/>
                <wp:wrapNone/>
                <wp:docPr id="5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77" cy="580808"/>
                        </a:xfrm>
                        <a:prstGeom prst="rect">
                          <a:avLst/>
                        </a:prstGeom>
                        <a:solidFill>
                          <a:schemeClr val="bg1"/>
                        </a:solidFill>
                        <a:ln w="9525">
                          <a:noFill/>
                          <a:miter lim="800000"/>
                          <a:headEnd/>
                          <a:tailEnd/>
                        </a:ln>
                      </wps:spPr>
                      <wps:txbx>
                        <w:txbxContent>
                          <w:p w14:paraId="419D725D" w14:textId="62D33E0A" w:rsidR="002C3947" w:rsidRPr="00CC44B5" w:rsidRDefault="002C3947" w:rsidP="007C31A4">
                            <w:pPr>
                              <w:rPr>
                                <w:rFonts w:ascii="Arial" w:hAnsi="Arial" w:cs="Arial"/>
                                <w:sz w:val="16"/>
                              </w:rPr>
                            </w:pPr>
                            <w:r w:rsidRPr="007C31A4">
                              <w:rPr>
                                <w:rFonts w:ascii="Arial" w:hAnsi="Arial" w:cs="Arial"/>
                                <w:sz w:val="16"/>
                              </w:rPr>
                              <w:t>Growth rate of the average pool tariff in 2H vs 1H,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F3C86" id="_x0000_s1067" type="#_x0000_t202" style="position:absolute;left:0;text-align:left;margin-left:392.4pt;margin-top:78.75pt;width:78.8pt;height:45.75pt;z-index:25176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" fillcolor="white [3212]" stroked="f">
                <v:textbox inset="0,0,0,0">
                  <w:txbxContent>
                    <w:p w14:paraId="419D725D" w14:textId="62D33E0A" w:rsidR="002C3947" w:rsidRPr="00CC44B5" w:rsidRDefault="002C3947" w:rsidP="007C31A4">
                      <w:pPr>
                        <w:rPr>
                          <w:rFonts w:ascii="Arial" w:hAnsi="Arial" w:cs="Arial"/>
                          <w:sz w:val="16"/>
                        </w:rPr>
                      </w:pPr>
                      <w:r w:rsidRPr="007C31A4">
                        <w:rPr>
                          <w:rFonts w:ascii="Arial" w:hAnsi="Arial" w:cs="Arial"/>
                          <w:sz w:val="16"/>
                        </w:rPr>
                        <w:t>Growth rate of the average pool tariff in 2H vs 1H, %</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64224" behindDoc="0" locked="0" layoutInCell="1" allowOverlap="1" wp14:anchorId="28AB7FD3" wp14:editId="58CC97F5">
                <wp:simplePos x="0" y="0"/>
                <wp:positionH relativeFrom="column">
                  <wp:posOffset>4983480</wp:posOffset>
                </wp:positionH>
                <wp:positionV relativeFrom="paragraph">
                  <wp:posOffset>213360</wp:posOffset>
                </wp:positionV>
                <wp:extent cx="1000777" cy="580808"/>
                <wp:effectExtent l="0" t="0" r="8890" b="0"/>
                <wp:wrapNone/>
                <wp:docPr id="5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77" cy="580808"/>
                        </a:xfrm>
                        <a:prstGeom prst="rect">
                          <a:avLst/>
                        </a:prstGeom>
                        <a:solidFill>
                          <a:schemeClr val="bg1"/>
                        </a:solidFill>
                        <a:ln w="9525">
                          <a:noFill/>
                          <a:miter lim="800000"/>
                          <a:headEnd/>
                          <a:tailEnd/>
                        </a:ln>
                      </wps:spPr>
                      <wps:txbx>
                        <w:txbxContent>
                          <w:p w14:paraId="115707AB" w14:textId="5EE76393" w:rsidR="002C3947" w:rsidRPr="00CC44B5" w:rsidRDefault="002C3947">
                            <w:pPr>
                              <w:rPr>
                                <w:rFonts w:ascii="Arial" w:hAnsi="Arial" w:cs="Arial"/>
                                <w:sz w:val="16"/>
                              </w:rPr>
                            </w:pPr>
                            <w:r w:rsidRPr="007C31A4">
                              <w:rPr>
                                <w:rFonts w:ascii="Arial" w:hAnsi="Arial" w:cs="Arial"/>
                                <w:sz w:val="16"/>
                              </w:rPr>
                              <w:t>Growth rate of the pool-based MRR, in 2H vs 1H,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B7FD3" id="_x0000_s1068" type="#_x0000_t202" style="position:absolute;left:0;text-align:left;margin-left:392.4pt;margin-top:16.8pt;width:78.8pt;height:45.75pt;z-index:25176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" fillcolor="white [3212]" stroked="f">
                <v:textbox inset="0,0,0,0">
                  <w:txbxContent>
                    <w:p w14:paraId="115707AB" w14:textId="5EE76393" w:rsidR="002C3947" w:rsidRPr="00CC44B5" w:rsidRDefault="002C3947">
                      <w:pPr>
                        <w:rPr>
                          <w:rFonts w:ascii="Arial" w:hAnsi="Arial" w:cs="Arial"/>
                          <w:sz w:val="16"/>
                        </w:rPr>
                      </w:pPr>
                      <w:r w:rsidRPr="007C31A4">
                        <w:rPr>
                          <w:rFonts w:ascii="Arial" w:hAnsi="Arial" w:cs="Arial"/>
                          <w:sz w:val="16"/>
                        </w:rPr>
                        <w:t>Growth rate of the pool-based MRR, in 2H vs 1H, %</w:t>
                      </w:r>
                    </w:p>
                  </w:txbxContent>
                </v:textbox>
              </v:shape>
            </w:pict>
          </mc:Fallback>
        </mc:AlternateContent>
      </w:r>
      <w:r w:rsidR="00997D07" w:rsidRPr="00BD295E">
        <w:rPr>
          <w:rFonts w:ascii="Arial" w:hAnsi="Arial" w:cs="Arial"/>
          <w:sz w:val="18"/>
          <w:szCs w:val="18"/>
          <w:lang w:val="en-US" w:eastAsia="en-US"/>
        </w:rPr>
        <w:drawing>
          <wp:inline distT="0" distB="0" distL="0" distR="0" wp14:anchorId="5FC891B3" wp14:editId="21F5954D">
            <wp:extent cx="6024880" cy="2438400"/>
            <wp:effectExtent l="0" t="0" r="0" b="0"/>
            <wp:docPr id="17" name="Диаграмма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5"/>
                    <pic:cNvPicPr>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4880" cy="2438400"/>
                    </a:xfrm>
                    <a:prstGeom prst="rect">
                      <a:avLst/>
                    </a:prstGeom>
                    <a:noFill/>
                    <a:ln>
                      <a:noFill/>
                    </a:ln>
                  </pic:spPr>
                </pic:pic>
              </a:graphicData>
            </a:graphic>
          </wp:inline>
        </w:drawing>
      </w:r>
    </w:p>
    <w:p w14:paraId="555F1656" w14:textId="1BE00BC9" w:rsidR="006E16B5" w:rsidRPr="00BD295E" w:rsidRDefault="006E16B5" w:rsidP="006E16B5">
      <w:pPr>
        <w:jc w:val="both"/>
        <w:rPr>
          <w:rFonts w:ascii="Arial" w:hAnsi="Arial" w:cs="Arial"/>
          <w:b/>
          <w:bCs/>
          <w:sz w:val="18"/>
          <w:szCs w:val="18"/>
          <w:lang w:val="en-US"/>
        </w:rPr>
      </w:pPr>
    </w:p>
    <w:p w14:paraId="3BE8BD41" w14:textId="39E4E6CC" w:rsidR="006E16B5" w:rsidRPr="00BD295E" w:rsidRDefault="008A5057" w:rsidP="006E16B5">
      <w:pPr>
        <w:keepNext/>
        <w:spacing w:after="240"/>
        <w:jc w:val="both"/>
        <w:rPr>
          <w:rFonts w:ascii="Arial" w:hAnsi="Arial" w:cs="Arial"/>
          <w:b/>
          <w:bCs/>
          <w:sz w:val="18"/>
          <w:szCs w:val="18"/>
          <w:lang w:val="en-US"/>
        </w:rPr>
      </w:pPr>
      <w:r w:rsidRPr="00BD295E">
        <w:rPr>
          <w:rFonts w:ascii="Arial" w:hAnsi="Arial" w:cs="Arial"/>
          <w:b/>
          <w:bCs/>
          <w:sz w:val="18"/>
          <w:szCs w:val="18"/>
          <w:lang w:val="en-US"/>
        </w:rPr>
        <w:t>Leningrad Region</w:t>
      </w:r>
    </w:p>
    <w:p w14:paraId="6AB1428C" w14:textId="39AC6E42" w:rsidR="006E16B5" w:rsidRPr="00BD295E" w:rsidRDefault="007C31A4" w:rsidP="006E16B5">
      <w:pPr>
        <w:jc w:val="both"/>
        <w:rPr>
          <w:rFonts w:ascii="Arial" w:hAnsi="Arial" w:cs="Arial"/>
          <w:sz w:val="18"/>
          <w:szCs w:val="18"/>
          <w:lang w:val="en-US"/>
        </w:rPr>
      </w:pP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74464" behindDoc="0" locked="0" layoutInCell="1" allowOverlap="1" wp14:anchorId="270EBDDC" wp14:editId="3107C503">
                <wp:simplePos x="0" y="0"/>
                <wp:positionH relativeFrom="column">
                  <wp:posOffset>4769642</wp:posOffset>
                </wp:positionH>
                <wp:positionV relativeFrom="paragraph">
                  <wp:posOffset>1669198</wp:posOffset>
                </wp:positionV>
                <wp:extent cx="1000777" cy="756539"/>
                <wp:effectExtent l="0" t="0" r="8890" b="5715"/>
                <wp:wrapNone/>
                <wp:docPr id="5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77" cy="756539"/>
                        </a:xfrm>
                        <a:prstGeom prst="rect">
                          <a:avLst/>
                        </a:prstGeom>
                        <a:solidFill>
                          <a:schemeClr val="bg1"/>
                        </a:solidFill>
                        <a:ln w="9525">
                          <a:noFill/>
                          <a:miter lim="800000"/>
                          <a:headEnd/>
                          <a:tailEnd/>
                        </a:ln>
                      </wps:spPr>
                      <wps:txbx>
                        <w:txbxContent>
                          <w:p w14:paraId="4F2691CC" w14:textId="425876AB" w:rsidR="002C3947" w:rsidRPr="00CC44B5" w:rsidRDefault="002C3947" w:rsidP="007C31A4">
                            <w:pPr>
                              <w:rPr>
                                <w:rFonts w:ascii="Arial" w:hAnsi="Arial" w:cs="Arial"/>
                                <w:sz w:val="16"/>
                              </w:rPr>
                            </w:pPr>
                            <w:r w:rsidRPr="007C31A4">
                              <w:rPr>
                                <w:rFonts w:ascii="Arial" w:hAnsi="Arial" w:cs="Arial"/>
                                <w:sz w:val="16"/>
                              </w:rPr>
                              <w:t>Growth rate for Other Consumers in 2H vs 1H,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0EBDDC" id="_x0000_s1069" type="#_x0000_t202" style="position:absolute;left:0;text-align:left;margin-left:375.55pt;margin-top:131.45pt;width:78.8pt;height:59.55pt;z-index:25177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" fillcolor="white [3212]" stroked="f">
                <v:textbox inset="0,0,0,0">
                  <w:txbxContent>
                    <w:p w14:paraId="4F2691CC" w14:textId="425876AB" w:rsidR="002C3947" w:rsidRPr="00CC44B5" w:rsidRDefault="002C3947" w:rsidP="007C31A4">
                      <w:pPr>
                        <w:rPr>
                          <w:rFonts w:ascii="Arial" w:hAnsi="Arial" w:cs="Arial"/>
                          <w:sz w:val="16"/>
                        </w:rPr>
                      </w:pPr>
                      <w:r w:rsidRPr="007C31A4">
                        <w:rPr>
                          <w:rFonts w:ascii="Arial" w:hAnsi="Arial" w:cs="Arial"/>
                          <w:sz w:val="16"/>
                        </w:rPr>
                        <w:t>Growth rate for Other Consumers in 2H vs 1H, %</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72416" behindDoc="0" locked="0" layoutInCell="1" allowOverlap="1" wp14:anchorId="61ECD3D9" wp14:editId="7914D697">
                <wp:simplePos x="0" y="0"/>
                <wp:positionH relativeFrom="column">
                  <wp:posOffset>4769485</wp:posOffset>
                </wp:positionH>
                <wp:positionV relativeFrom="paragraph">
                  <wp:posOffset>912495</wp:posOffset>
                </wp:positionV>
                <wp:extent cx="1000777" cy="762497"/>
                <wp:effectExtent l="0" t="0" r="8890" b="0"/>
                <wp:wrapNone/>
                <wp:docPr id="5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77" cy="762497"/>
                        </a:xfrm>
                        <a:prstGeom prst="rect">
                          <a:avLst/>
                        </a:prstGeom>
                        <a:solidFill>
                          <a:schemeClr val="bg1"/>
                        </a:solidFill>
                        <a:ln w="9525">
                          <a:noFill/>
                          <a:miter lim="800000"/>
                          <a:headEnd/>
                          <a:tailEnd/>
                        </a:ln>
                      </wps:spPr>
                      <wps:txbx>
                        <w:txbxContent>
                          <w:p w14:paraId="63C5A9E0" w14:textId="0A29C7D1" w:rsidR="002C3947" w:rsidRPr="00CC44B5" w:rsidRDefault="002C3947" w:rsidP="007C31A4">
                            <w:pPr>
                              <w:rPr>
                                <w:rFonts w:ascii="Arial" w:hAnsi="Arial" w:cs="Arial"/>
                                <w:sz w:val="16"/>
                              </w:rPr>
                            </w:pPr>
                            <w:r w:rsidRPr="007C31A4">
                              <w:rPr>
                                <w:rFonts w:ascii="Arial" w:hAnsi="Arial" w:cs="Arial"/>
                                <w:sz w:val="16"/>
                              </w:rPr>
                              <w:t>Growth rate of the average pool tariff in 2H vs 1H,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CD3D9" id="_x0000_s1070" type="#_x0000_t202" style="position:absolute;left:0;text-align:left;margin-left:375.55pt;margin-top:71.85pt;width:78.8pt;height:60.05pt;z-index:25177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" fillcolor="white [3212]" stroked="f">
                <v:textbox inset="0,0,0,0">
                  <w:txbxContent>
                    <w:p w14:paraId="63C5A9E0" w14:textId="0A29C7D1" w:rsidR="002C3947" w:rsidRPr="00CC44B5" w:rsidRDefault="002C3947" w:rsidP="007C31A4">
                      <w:pPr>
                        <w:rPr>
                          <w:rFonts w:ascii="Arial" w:hAnsi="Arial" w:cs="Arial"/>
                          <w:sz w:val="16"/>
                        </w:rPr>
                      </w:pPr>
                      <w:r w:rsidRPr="007C31A4">
                        <w:rPr>
                          <w:rFonts w:ascii="Arial" w:hAnsi="Arial" w:cs="Arial"/>
                          <w:sz w:val="16"/>
                        </w:rPr>
                        <w:t>Growth rate of the average pool tariff in 2H vs 1H, %</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70368" behindDoc="0" locked="0" layoutInCell="1" allowOverlap="1" wp14:anchorId="6BF88F0F" wp14:editId="2F795C96">
                <wp:simplePos x="0" y="0"/>
                <wp:positionH relativeFrom="column">
                  <wp:posOffset>4769485</wp:posOffset>
                </wp:positionH>
                <wp:positionV relativeFrom="paragraph">
                  <wp:posOffset>143510</wp:posOffset>
                </wp:positionV>
                <wp:extent cx="1000777" cy="580808"/>
                <wp:effectExtent l="0" t="0" r="8890" b="0"/>
                <wp:wrapNone/>
                <wp:docPr id="5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77" cy="580808"/>
                        </a:xfrm>
                        <a:prstGeom prst="rect">
                          <a:avLst/>
                        </a:prstGeom>
                        <a:solidFill>
                          <a:schemeClr val="bg1"/>
                        </a:solidFill>
                        <a:ln w="9525">
                          <a:noFill/>
                          <a:miter lim="800000"/>
                          <a:headEnd/>
                          <a:tailEnd/>
                        </a:ln>
                      </wps:spPr>
                      <wps:txbx>
                        <w:txbxContent>
                          <w:p w14:paraId="710F5D9A" w14:textId="6625B8B2" w:rsidR="002C3947" w:rsidRPr="00CC44B5" w:rsidRDefault="002C3947" w:rsidP="007C31A4">
                            <w:pPr>
                              <w:rPr>
                                <w:rFonts w:ascii="Arial" w:hAnsi="Arial" w:cs="Arial"/>
                                <w:sz w:val="16"/>
                              </w:rPr>
                            </w:pPr>
                            <w:r w:rsidRPr="007C31A4">
                              <w:rPr>
                                <w:rFonts w:ascii="Arial" w:hAnsi="Arial" w:cs="Arial"/>
                                <w:sz w:val="16"/>
                              </w:rPr>
                              <w:t>Growth rate of the pool-based MRR, in 2H vs 1H,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88F0F" id="_x0000_s1071" type="#_x0000_t202" style="position:absolute;left:0;text-align:left;margin-left:375.55pt;margin-top:11.3pt;width:78.8pt;height:45.75pt;z-index:25177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" fillcolor="white [3212]" stroked="f">
                <v:textbox inset="0,0,0,0">
                  <w:txbxContent>
                    <w:p w14:paraId="710F5D9A" w14:textId="6625B8B2" w:rsidR="002C3947" w:rsidRPr="00CC44B5" w:rsidRDefault="002C3947" w:rsidP="007C31A4">
                      <w:pPr>
                        <w:rPr>
                          <w:rFonts w:ascii="Arial" w:hAnsi="Arial" w:cs="Arial"/>
                          <w:sz w:val="16"/>
                        </w:rPr>
                      </w:pPr>
                      <w:r w:rsidRPr="007C31A4">
                        <w:rPr>
                          <w:rFonts w:ascii="Arial" w:hAnsi="Arial" w:cs="Arial"/>
                          <w:sz w:val="16"/>
                        </w:rPr>
                        <w:t>Growth rate of the pool-based MRR, in 2H vs 1H, %</w:t>
                      </w:r>
                    </w:p>
                  </w:txbxContent>
                </v:textbox>
              </v:shape>
            </w:pict>
          </mc:Fallback>
        </mc:AlternateContent>
      </w:r>
      <w:r w:rsidR="00997D07" w:rsidRPr="00BD295E">
        <w:rPr>
          <w:rFonts w:ascii="Arial" w:hAnsi="Arial" w:cs="Arial"/>
          <w:sz w:val="18"/>
          <w:szCs w:val="18"/>
          <w:lang w:val="en-US" w:eastAsia="en-US"/>
        </w:rPr>
        <w:drawing>
          <wp:inline distT="0" distB="0" distL="0" distR="0" wp14:anchorId="2C8A725F" wp14:editId="5FDA5049">
            <wp:extent cx="5853430" cy="2438400"/>
            <wp:effectExtent l="0" t="0" r="0" b="0"/>
            <wp:docPr id="18" name="Диаграмма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6"/>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3430" cy="2438400"/>
                    </a:xfrm>
                    <a:prstGeom prst="rect">
                      <a:avLst/>
                    </a:prstGeom>
                    <a:noFill/>
                    <a:ln>
                      <a:noFill/>
                    </a:ln>
                  </pic:spPr>
                </pic:pic>
              </a:graphicData>
            </a:graphic>
          </wp:inline>
        </w:drawing>
      </w:r>
    </w:p>
    <w:p w14:paraId="2D52F031" w14:textId="77777777" w:rsidR="006E16B5" w:rsidRPr="00BD295E" w:rsidRDefault="006E16B5" w:rsidP="006E16B5">
      <w:pPr>
        <w:shd w:val="clear" w:color="auto" w:fill="FFFFFF"/>
        <w:ind w:firstLine="708"/>
        <w:jc w:val="both"/>
        <w:rPr>
          <w:rFonts w:ascii="Arial" w:hAnsi="Arial" w:cs="Arial"/>
          <w:sz w:val="18"/>
          <w:szCs w:val="18"/>
          <w:lang w:val="en-US"/>
        </w:rPr>
      </w:pPr>
    </w:p>
    <w:p w14:paraId="570C9621" w14:textId="77777777" w:rsidR="00B20A51" w:rsidRPr="00BD295E" w:rsidRDefault="00B20A51" w:rsidP="00B20A51">
      <w:pPr>
        <w:shd w:val="clear" w:color="auto" w:fill="FFFFFF"/>
        <w:jc w:val="both"/>
        <w:rPr>
          <w:rFonts w:ascii="Arial" w:hAnsi="Arial" w:cs="Arial"/>
          <w:sz w:val="18"/>
          <w:szCs w:val="18"/>
          <w:lang w:val="en-US"/>
        </w:rPr>
      </w:pPr>
    </w:p>
    <w:p w14:paraId="18E85059" w14:textId="77777777" w:rsidR="006E16B5" w:rsidRPr="00BD295E" w:rsidRDefault="008A5057" w:rsidP="006E16B5">
      <w:pPr>
        <w:shd w:val="clear" w:color="auto" w:fill="FFFFFF"/>
        <w:ind w:firstLine="708"/>
        <w:jc w:val="both"/>
        <w:rPr>
          <w:rFonts w:ascii="Arial" w:hAnsi="Arial" w:cs="Arial"/>
          <w:sz w:val="18"/>
          <w:szCs w:val="18"/>
          <w:lang w:val="en-US"/>
        </w:rPr>
      </w:pPr>
      <w:r w:rsidRPr="00BD295E">
        <w:rPr>
          <w:rFonts w:ascii="Arial" w:hAnsi="Arial" w:cs="Arial"/>
          <w:sz w:val="18"/>
          <w:szCs w:val="18"/>
          <w:lang w:val="en-US"/>
        </w:rPr>
        <w:t xml:space="preserve">Detailed information on tariffs established for electricity distribution in the Company’s operating regions for 2018 and 2019 is provided in Appendix 6.5. </w:t>
      </w:r>
    </w:p>
    <w:p w14:paraId="235F3070" w14:textId="77777777" w:rsidR="006E16B5" w:rsidRPr="00BD295E" w:rsidRDefault="006E16B5" w:rsidP="006E16B5">
      <w:pPr>
        <w:jc w:val="both"/>
        <w:rPr>
          <w:rFonts w:ascii="Arial" w:hAnsi="Arial" w:cs="Arial"/>
          <w:sz w:val="18"/>
          <w:szCs w:val="18"/>
          <w:lang w:val="en-US"/>
        </w:rPr>
      </w:pPr>
    </w:p>
    <w:p w14:paraId="15D204D1" w14:textId="03D359F3" w:rsidR="006E16B5" w:rsidRPr="00BD295E" w:rsidRDefault="008A5057" w:rsidP="006E16B5">
      <w:pPr>
        <w:keepNext/>
        <w:shd w:val="clear" w:color="auto" w:fill="FFFFFF"/>
        <w:spacing w:after="120"/>
        <w:ind w:firstLine="567"/>
        <w:jc w:val="both"/>
        <w:rPr>
          <w:rFonts w:ascii="Arial" w:hAnsi="Arial" w:cs="Arial"/>
          <w:b/>
          <w:sz w:val="18"/>
          <w:szCs w:val="18"/>
          <w:lang w:val="en-US"/>
        </w:rPr>
      </w:pPr>
      <w:r w:rsidRPr="00BD295E">
        <w:rPr>
          <w:rFonts w:ascii="Arial" w:hAnsi="Arial" w:cs="Arial"/>
          <w:b/>
          <w:sz w:val="18"/>
          <w:szCs w:val="18"/>
          <w:lang w:val="en-US"/>
        </w:rPr>
        <w:t>Changes in approved minimum regulated revenue for electricity distrib</w:t>
      </w:r>
      <w:r w:rsidR="00E35C34" w:rsidRPr="00BD295E">
        <w:rPr>
          <w:rFonts w:ascii="Arial" w:hAnsi="Arial" w:cs="Arial"/>
          <w:b/>
          <w:sz w:val="18"/>
          <w:szCs w:val="18"/>
          <w:lang w:val="en-US"/>
        </w:rPr>
        <w:t>ution services in 2016–2018, RUB</w:t>
      </w:r>
      <w:r w:rsidRPr="00BD295E">
        <w:rPr>
          <w:rFonts w:ascii="Arial" w:hAnsi="Arial" w:cs="Arial"/>
          <w:b/>
          <w:sz w:val="18"/>
          <w:szCs w:val="18"/>
          <w:lang w:val="en-US"/>
        </w:rPr>
        <w:t xml:space="preserve"> million:</w:t>
      </w:r>
    </w:p>
    <w:tbl>
      <w:tblPr>
        <w:tblW w:w="9321" w:type="dxa"/>
        <w:jc w:val="center"/>
        <w:tblLook w:val="04A0" w:firstRow="1" w:lastRow="0" w:firstColumn="1" w:lastColumn="0" w:noHBand="0" w:noVBand="1"/>
      </w:tblPr>
      <w:tblGrid>
        <w:gridCol w:w="2535"/>
        <w:gridCol w:w="848"/>
        <w:gridCol w:w="855"/>
        <w:gridCol w:w="841"/>
        <w:gridCol w:w="855"/>
        <w:gridCol w:w="842"/>
        <w:gridCol w:w="862"/>
        <w:gridCol w:w="841"/>
        <w:gridCol w:w="842"/>
      </w:tblGrid>
      <w:tr w:rsidR="008A5057" w:rsidRPr="00BD295E" w14:paraId="34B22B3D" w14:textId="77777777" w:rsidTr="00D108C0">
        <w:trPr>
          <w:trHeight w:val="255"/>
          <w:tblHeader/>
          <w:jc w:val="center"/>
        </w:trPr>
        <w:tc>
          <w:tcPr>
            <w:tcW w:w="25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50F8E62"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Branch</w:t>
            </w:r>
          </w:p>
        </w:tc>
        <w:tc>
          <w:tcPr>
            <w:tcW w:w="1703" w:type="dxa"/>
            <w:gridSpan w:val="2"/>
            <w:tcBorders>
              <w:top w:val="single" w:sz="4" w:space="0" w:color="auto"/>
              <w:left w:val="nil"/>
              <w:bottom w:val="single" w:sz="4" w:space="0" w:color="auto"/>
              <w:right w:val="single" w:sz="4" w:space="0" w:color="auto"/>
            </w:tcBorders>
            <w:shd w:val="clear" w:color="auto" w:fill="auto"/>
            <w:hideMark/>
          </w:tcPr>
          <w:p w14:paraId="30D611E1"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2016</w:t>
            </w:r>
          </w:p>
        </w:tc>
        <w:tc>
          <w:tcPr>
            <w:tcW w:w="1696" w:type="dxa"/>
            <w:gridSpan w:val="2"/>
            <w:tcBorders>
              <w:top w:val="single" w:sz="4" w:space="0" w:color="auto"/>
              <w:left w:val="nil"/>
              <w:bottom w:val="single" w:sz="4" w:space="0" w:color="auto"/>
              <w:right w:val="single" w:sz="4" w:space="0" w:color="auto"/>
            </w:tcBorders>
            <w:shd w:val="clear" w:color="auto" w:fill="auto"/>
            <w:hideMark/>
          </w:tcPr>
          <w:p w14:paraId="1F78BB22"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2017</w:t>
            </w:r>
          </w:p>
        </w:tc>
        <w:tc>
          <w:tcPr>
            <w:tcW w:w="1704" w:type="dxa"/>
            <w:gridSpan w:val="2"/>
            <w:tcBorders>
              <w:top w:val="single" w:sz="4" w:space="0" w:color="auto"/>
              <w:left w:val="nil"/>
              <w:bottom w:val="single" w:sz="4" w:space="0" w:color="auto"/>
              <w:right w:val="single" w:sz="4" w:space="0" w:color="auto"/>
            </w:tcBorders>
            <w:shd w:val="clear" w:color="auto" w:fill="auto"/>
          </w:tcPr>
          <w:p w14:paraId="75AFCB62"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2018</w:t>
            </w:r>
          </w:p>
        </w:tc>
        <w:tc>
          <w:tcPr>
            <w:tcW w:w="1683" w:type="dxa"/>
            <w:gridSpan w:val="2"/>
            <w:tcBorders>
              <w:top w:val="single" w:sz="4" w:space="0" w:color="auto"/>
              <w:left w:val="nil"/>
              <w:bottom w:val="single" w:sz="4" w:space="0" w:color="auto"/>
              <w:right w:val="single" w:sz="4" w:space="0" w:color="auto"/>
            </w:tcBorders>
            <w:shd w:val="clear" w:color="auto" w:fill="auto"/>
          </w:tcPr>
          <w:p w14:paraId="741A6C1B" w14:textId="77777777" w:rsidR="006E16B5" w:rsidRPr="00BD295E" w:rsidRDefault="00C064D1" w:rsidP="00D108C0">
            <w:pPr>
              <w:jc w:val="center"/>
              <w:rPr>
                <w:rFonts w:ascii="Arial" w:hAnsi="Arial" w:cs="Arial"/>
                <w:b/>
                <w:bCs/>
                <w:sz w:val="18"/>
                <w:szCs w:val="18"/>
                <w:lang w:val="en-US"/>
              </w:rPr>
            </w:pPr>
            <w:r w:rsidRPr="00BD295E">
              <w:rPr>
                <w:rFonts w:ascii="Arial" w:hAnsi="Arial" w:cs="Arial"/>
                <w:b/>
                <w:bCs/>
                <w:sz w:val="18"/>
                <w:szCs w:val="18"/>
                <w:lang w:val="en-US"/>
              </w:rPr>
              <w:t>2018 vs. 2017</w:t>
            </w:r>
            <w:r w:rsidR="008A5057" w:rsidRPr="00BD295E">
              <w:rPr>
                <w:rFonts w:ascii="Arial" w:hAnsi="Arial" w:cs="Arial"/>
                <w:b/>
                <w:bCs/>
                <w:sz w:val="18"/>
                <w:szCs w:val="18"/>
                <w:lang w:val="en-US"/>
              </w:rPr>
              <w:t>, %</w:t>
            </w:r>
          </w:p>
        </w:tc>
      </w:tr>
      <w:tr w:rsidR="008A5057" w:rsidRPr="00BD295E" w14:paraId="71BBF72E" w14:textId="77777777" w:rsidTr="00D108C0">
        <w:trPr>
          <w:trHeight w:val="255"/>
          <w:tblHeader/>
          <w:jc w:val="center"/>
        </w:trPr>
        <w:tc>
          <w:tcPr>
            <w:tcW w:w="25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2319E80" w14:textId="77777777" w:rsidR="006E16B5" w:rsidRPr="00BD295E" w:rsidRDefault="006E16B5" w:rsidP="00D108C0">
            <w:pPr>
              <w:rPr>
                <w:rFonts w:ascii="Arial" w:hAnsi="Arial" w:cs="Arial"/>
                <w:b/>
                <w:bCs/>
                <w:sz w:val="18"/>
                <w:szCs w:val="18"/>
                <w:lang w:val="en-US"/>
              </w:rPr>
            </w:pPr>
          </w:p>
        </w:tc>
        <w:tc>
          <w:tcPr>
            <w:tcW w:w="848" w:type="dxa"/>
            <w:tcBorders>
              <w:top w:val="nil"/>
              <w:left w:val="nil"/>
              <w:bottom w:val="single" w:sz="4" w:space="0" w:color="auto"/>
              <w:right w:val="single" w:sz="4" w:space="0" w:color="auto"/>
            </w:tcBorders>
            <w:shd w:val="clear" w:color="auto" w:fill="auto"/>
            <w:hideMark/>
          </w:tcPr>
          <w:p w14:paraId="349A5816" w14:textId="77777777" w:rsidR="006E16B5" w:rsidRPr="00BD295E" w:rsidRDefault="006E16B5" w:rsidP="00D108C0">
            <w:pPr>
              <w:jc w:val="center"/>
              <w:rPr>
                <w:rFonts w:ascii="Arial" w:hAnsi="Arial" w:cs="Arial"/>
                <w:b/>
                <w:bCs/>
                <w:sz w:val="18"/>
                <w:szCs w:val="18"/>
                <w:lang w:val="en-US"/>
              </w:rPr>
            </w:pPr>
          </w:p>
        </w:tc>
        <w:tc>
          <w:tcPr>
            <w:tcW w:w="855" w:type="dxa"/>
            <w:tcBorders>
              <w:top w:val="nil"/>
              <w:left w:val="nil"/>
              <w:bottom w:val="single" w:sz="4" w:space="0" w:color="auto"/>
              <w:right w:val="single" w:sz="4" w:space="0" w:color="auto"/>
            </w:tcBorders>
            <w:shd w:val="clear" w:color="auto" w:fill="auto"/>
            <w:hideMark/>
          </w:tcPr>
          <w:p w14:paraId="203217B0"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own</w:t>
            </w:r>
          </w:p>
        </w:tc>
        <w:tc>
          <w:tcPr>
            <w:tcW w:w="841" w:type="dxa"/>
            <w:tcBorders>
              <w:top w:val="nil"/>
              <w:left w:val="nil"/>
              <w:bottom w:val="single" w:sz="4" w:space="0" w:color="auto"/>
              <w:right w:val="single" w:sz="4" w:space="0" w:color="auto"/>
            </w:tcBorders>
            <w:shd w:val="clear" w:color="auto" w:fill="auto"/>
            <w:hideMark/>
          </w:tcPr>
          <w:p w14:paraId="3CC390A8" w14:textId="77777777" w:rsidR="006E16B5" w:rsidRPr="00BD295E" w:rsidRDefault="006E16B5" w:rsidP="00D108C0">
            <w:pPr>
              <w:jc w:val="center"/>
              <w:rPr>
                <w:rFonts w:ascii="Arial" w:hAnsi="Arial" w:cs="Arial"/>
                <w:b/>
                <w:bCs/>
                <w:sz w:val="18"/>
                <w:szCs w:val="18"/>
                <w:lang w:val="en-US"/>
              </w:rPr>
            </w:pPr>
          </w:p>
        </w:tc>
        <w:tc>
          <w:tcPr>
            <w:tcW w:w="855" w:type="dxa"/>
            <w:tcBorders>
              <w:top w:val="nil"/>
              <w:left w:val="nil"/>
              <w:bottom w:val="single" w:sz="4" w:space="0" w:color="auto"/>
              <w:right w:val="single" w:sz="4" w:space="0" w:color="auto"/>
            </w:tcBorders>
            <w:shd w:val="clear" w:color="auto" w:fill="auto"/>
            <w:hideMark/>
          </w:tcPr>
          <w:p w14:paraId="35914F14"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own</w:t>
            </w:r>
          </w:p>
        </w:tc>
        <w:tc>
          <w:tcPr>
            <w:tcW w:w="842" w:type="dxa"/>
            <w:tcBorders>
              <w:top w:val="nil"/>
              <w:left w:val="nil"/>
              <w:bottom w:val="single" w:sz="4" w:space="0" w:color="auto"/>
              <w:right w:val="single" w:sz="4" w:space="0" w:color="auto"/>
            </w:tcBorders>
            <w:shd w:val="clear" w:color="auto" w:fill="auto"/>
          </w:tcPr>
          <w:p w14:paraId="22938823" w14:textId="77777777" w:rsidR="006E16B5" w:rsidRPr="00BD295E" w:rsidRDefault="006E16B5" w:rsidP="00D108C0">
            <w:pPr>
              <w:jc w:val="center"/>
              <w:rPr>
                <w:rFonts w:ascii="Arial" w:hAnsi="Arial" w:cs="Arial"/>
                <w:b/>
                <w:bCs/>
                <w:sz w:val="18"/>
                <w:szCs w:val="18"/>
                <w:lang w:val="en-US"/>
              </w:rPr>
            </w:pPr>
          </w:p>
        </w:tc>
        <w:tc>
          <w:tcPr>
            <w:tcW w:w="862" w:type="dxa"/>
            <w:tcBorders>
              <w:top w:val="nil"/>
              <w:left w:val="nil"/>
              <w:bottom w:val="single" w:sz="4" w:space="0" w:color="auto"/>
              <w:right w:val="single" w:sz="4" w:space="0" w:color="auto"/>
            </w:tcBorders>
            <w:shd w:val="clear" w:color="auto" w:fill="auto"/>
          </w:tcPr>
          <w:p w14:paraId="10DA6057"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own</w:t>
            </w:r>
          </w:p>
        </w:tc>
        <w:tc>
          <w:tcPr>
            <w:tcW w:w="841" w:type="dxa"/>
            <w:tcBorders>
              <w:top w:val="nil"/>
              <w:left w:val="nil"/>
              <w:bottom w:val="single" w:sz="4" w:space="0" w:color="auto"/>
              <w:right w:val="single" w:sz="4" w:space="0" w:color="auto"/>
            </w:tcBorders>
            <w:shd w:val="clear" w:color="auto" w:fill="auto"/>
          </w:tcPr>
          <w:p w14:paraId="24AE90DF" w14:textId="77777777" w:rsidR="006E16B5" w:rsidRPr="00BD295E" w:rsidRDefault="006E16B5" w:rsidP="00D108C0">
            <w:pPr>
              <w:jc w:val="center"/>
              <w:rPr>
                <w:rFonts w:ascii="Arial" w:hAnsi="Arial" w:cs="Arial"/>
                <w:b/>
                <w:bCs/>
                <w:sz w:val="18"/>
                <w:szCs w:val="18"/>
                <w:lang w:val="en-US"/>
              </w:rPr>
            </w:pPr>
          </w:p>
        </w:tc>
        <w:tc>
          <w:tcPr>
            <w:tcW w:w="842" w:type="dxa"/>
            <w:tcBorders>
              <w:top w:val="nil"/>
              <w:left w:val="nil"/>
              <w:bottom w:val="single" w:sz="4" w:space="0" w:color="auto"/>
              <w:right w:val="single" w:sz="4" w:space="0" w:color="auto"/>
            </w:tcBorders>
            <w:shd w:val="clear" w:color="auto" w:fill="auto"/>
          </w:tcPr>
          <w:p w14:paraId="57F87561"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own</w:t>
            </w:r>
          </w:p>
        </w:tc>
      </w:tr>
      <w:tr w:rsidR="008A5057" w:rsidRPr="00BD295E" w14:paraId="3898415A" w14:textId="77777777" w:rsidTr="00D108C0">
        <w:trPr>
          <w:trHeight w:val="252"/>
          <w:jc w:val="center"/>
        </w:trPr>
        <w:tc>
          <w:tcPr>
            <w:tcW w:w="2535" w:type="dxa"/>
            <w:tcBorders>
              <w:top w:val="nil"/>
              <w:left w:val="single" w:sz="4" w:space="0" w:color="auto"/>
              <w:bottom w:val="single" w:sz="4" w:space="0" w:color="auto"/>
              <w:right w:val="single" w:sz="4" w:space="0" w:color="auto"/>
            </w:tcBorders>
            <w:shd w:val="clear" w:color="auto" w:fill="auto"/>
            <w:hideMark/>
          </w:tcPr>
          <w:p w14:paraId="5306A3F5" w14:textId="77777777" w:rsidR="006E16B5" w:rsidRPr="00BD295E" w:rsidRDefault="008A5057" w:rsidP="00D108C0">
            <w:pPr>
              <w:jc w:val="both"/>
              <w:rPr>
                <w:rFonts w:ascii="Arial" w:hAnsi="Arial" w:cs="Arial"/>
                <w:sz w:val="18"/>
                <w:szCs w:val="18"/>
                <w:lang w:val="en-US"/>
              </w:rPr>
            </w:pPr>
            <w:r w:rsidRPr="00BD295E">
              <w:rPr>
                <w:rFonts w:ascii="Arial" w:hAnsi="Arial" w:cs="Arial"/>
                <w:sz w:val="18"/>
                <w:szCs w:val="18"/>
                <w:lang w:val="en-US"/>
              </w:rPr>
              <w:t>Saint Petersburg</w:t>
            </w:r>
          </w:p>
        </w:tc>
        <w:tc>
          <w:tcPr>
            <w:tcW w:w="848" w:type="dxa"/>
            <w:tcBorders>
              <w:top w:val="nil"/>
              <w:left w:val="nil"/>
              <w:bottom w:val="single" w:sz="4" w:space="0" w:color="auto"/>
              <w:right w:val="single" w:sz="4" w:space="0" w:color="auto"/>
            </w:tcBorders>
            <w:shd w:val="clear" w:color="auto" w:fill="auto"/>
            <w:hideMark/>
          </w:tcPr>
          <w:p w14:paraId="40CCDEC5"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38,260</w:t>
            </w:r>
          </w:p>
        </w:tc>
        <w:tc>
          <w:tcPr>
            <w:tcW w:w="855" w:type="dxa"/>
            <w:tcBorders>
              <w:top w:val="nil"/>
              <w:left w:val="nil"/>
              <w:bottom w:val="single" w:sz="4" w:space="0" w:color="auto"/>
              <w:right w:val="single" w:sz="4" w:space="0" w:color="auto"/>
            </w:tcBorders>
            <w:shd w:val="clear" w:color="auto" w:fill="auto"/>
            <w:hideMark/>
          </w:tcPr>
          <w:p w14:paraId="0E8B1392"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22,057</w:t>
            </w:r>
          </w:p>
        </w:tc>
        <w:tc>
          <w:tcPr>
            <w:tcW w:w="841" w:type="dxa"/>
            <w:tcBorders>
              <w:top w:val="nil"/>
              <w:left w:val="nil"/>
              <w:bottom w:val="single" w:sz="4" w:space="0" w:color="auto"/>
              <w:right w:val="single" w:sz="4" w:space="0" w:color="auto"/>
            </w:tcBorders>
            <w:shd w:val="clear" w:color="auto" w:fill="auto"/>
            <w:hideMark/>
          </w:tcPr>
          <w:p w14:paraId="087A8004"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40,260</w:t>
            </w:r>
          </w:p>
        </w:tc>
        <w:tc>
          <w:tcPr>
            <w:tcW w:w="855" w:type="dxa"/>
            <w:tcBorders>
              <w:top w:val="nil"/>
              <w:left w:val="nil"/>
              <w:bottom w:val="single" w:sz="4" w:space="0" w:color="auto"/>
              <w:right w:val="single" w:sz="4" w:space="0" w:color="auto"/>
            </w:tcBorders>
            <w:shd w:val="clear" w:color="auto" w:fill="auto"/>
            <w:hideMark/>
          </w:tcPr>
          <w:p w14:paraId="5E8DC0DD"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23,963</w:t>
            </w:r>
          </w:p>
        </w:tc>
        <w:tc>
          <w:tcPr>
            <w:tcW w:w="842" w:type="dxa"/>
            <w:tcBorders>
              <w:top w:val="nil"/>
              <w:left w:val="nil"/>
              <w:bottom w:val="single" w:sz="4" w:space="0" w:color="auto"/>
              <w:right w:val="single" w:sz="4" w:space="0" w:color="auto"/>
            </w:tcBorders>
            <w:shd w:val="clear" w:color="auto" w:fill="auto"/>
          </w:tcPr>
          <w:p w14:paraId="7F2CCCF3"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45,653</w:t>
            </w:r>
          </w:p>
        </w:tc>
        <w:tc>
          <w:tcPr>
            <w:tcW w:w="862" w:type="dxa"/>
            <w:tcBorders>
              <w:top w:val="nil"/>
              <w:left w:val="nil"/>
              <w:bottom w:val="single" w:sz="4" w:space="0" w:color="auto"/>
              <w:right w:val="single" w:sz="4" w:space="0" w:color="auto"/>
            </w:tcBorders>
            <w:shd w:val="clear" w:color="auto" w:fill="auto"/>
          </w:tcPr>
          <w:p w14:paraId="74BF9157"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31,166</w:t>
            </w:r>
          </w:p>
        </w:tc>
        <w:tc>
          <w:tcPr>
            <w:tcW w:w="841" w:type="dxa"/>
            <w:tcBorders>
              <w:top w:val="nil"/>
              <w:left w:val="nil"/>
              <w:bottom w:val="single" w:sz="4" w:space="0" w:color="auto"/>
              <w:right w:val="single" w:sz="4" w:space="0" w:color="auto"/>
            </w:tcBorders>
            <w:shd w:val="clear" w:color="auto" w:fill="auto"/>
          </w:tcPr>
          <w:p w14:paraId="7437BB9A"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13%</w:t>
            </w:r>
          </w:p>
        </w:tc>
        <w:tc>
          <w:tcPr>
            <w:tcW w:w="842" w:type="dxa"/>
            <w:tcBorders>
              <w:top w:val="nil"/>
              <w:left w:val="nil"/>
              <w:bottom w:val="single" w:sz="4" w:space="0" w:color="auto"/>
              <w:right w:val="single" w:sz="4" w:space="0" w:color="auto"/>
            </w:tcBorders>
            <w:shd w:val="clear" w:color="auto" w:fill="auto"/>
          </w:tcPr>
          <w:p w14:paraId="1924ECAC"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30%</w:t>
            </w:r>
          </w:p>
        </w:tc>
      </w:tr>
      <w:tr w:rsidR="008A5057" w:rsidRPr="00BD295E" w14:paraId="38D6C7D2" w14:textId="77777777" w:rsidTr="00D108C0">
        <w:trPr>
          <w:trHeight w:val="269"/>
          <w:jc w:val="center"/>
        </w:trPr>
        <w:tc>
          <w:tcPr>
            <w:tcW w:w="2535" w:type="dxa"/>
            <w:tcBorders>
              <w:top w:val="nil"/>
              <w:left w:val="single" w:sz="4" w:space="0" w:color="auto"/>
              <w:bottom w:val="single" w:sz="4" w:space="0" w:color="auto"/>
              <w:right w:val="single" w:sz="4" w:space="0" w:color="auto"/>
            </w:tcBorders>
            <w:shd w:val="clear" w:color="auto" w:fill="auto"/>
            <w:hideMark/>
          </w:tcPr>
          <w:p w14:paraId="440FDC62" w14:textId="77777777" w:rsidR="006E16B5" w:rsidRPr="00BD295E" w:rsidRDefault="008A5057" w:rsidP="00D108C0">
            <w:pPr>
              <w:jc w:val="both"/>
              <w:rPr>
                <w:rFonts w:ascii="Arial" w:hAnsi="Arial" w:cs="Arial"/>
                <w:sz w:val="18"/>
                <w:szCs w:val="18"/>
                <w:lang w:val="en-US"/>
              </w:rPr>
            </w:pPr>
            <w:r w:rsidRPr="00BD295E">
              <w:rPr>
                <w:rFonts w:ascii="Arial" w:hAnsi="Arial" w:cs="Arial"/>
                <w:sz w:val="18"/>
                <w:szCs w:val="18"/>
                <w:lang w:val="en-US"/>
              </w:rPr>
              <w:t>Leningrad Region</w:t>
            </w:r>
          </w:p>
        </w:tc>
        <w:tc>
          <w:tcPr>
            <w:tcW w:w="848" w:type="dxa"/>
            <w:tcBorders>
              <w:top w:val="nil"/>
              <w:left w:val="nil"/>
              <w:bottom w:val="single" w:sz="4" w:space="0" w:color="auto"/>
              <w:right w:val="single" w:sz="4" w:space="0" w:color="auto"/>
            </w:tcBorders>
            <w:shd w:val="clear" w:color="auto" w:fill="auto"/>
            <w:vAlign w:val="center"/>
            <w:hideMark/>
          </w:tcPr>
          <w:p w14:paraId="2F866868"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20,456</w:t>
            </w:r>
          </w:p>
        </w:tc>
        <w:tc>
          <w:tcPr>
            <w:tcW w:w="855" w:type="dxa"/>
            <w:tcBorders>
              <w:top w:val="nil"/>
              <w:left w:val="nil"/>
              <w:bottom w:val="single" w:sz="4" w:space="0" w:color="auto"/>
              <w:right w:val="single" w:sz="4" w:space="0" w:color="auto"/>
            </w:tcBorders>
            <w:shd w:val="clear" w:color="auto" w:fill="auto"/>
            <w:vAlign w:val="center"/>
            <w:hideMark/>
          </w:tcPr>
          <w:p w14:paraId="52601839"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7,734</w:t>
            </w:r>
          </w:p>
        </w:tc>
        <w:tc>
          <w:tcPr>
            <w:tcW w:w="841" w:type="dxa"/>
            <w:tcBorders>
              <w:top w:val="nil"/>
              <w:left w:val="nil"/>
              <w:bottom w:val="single" w:sz="4" w:space="0" w:color="auto"/>
              <w:right w:val="single" w:sz="4" w:space="0" w:color="auto"/>
            </w:tcBorders>
            <w:shd w:val="clear" w:color="auto" w:fill="auto"/>
            <w:vAlign w:val="center"/>
            <w:hideMark/>
          </w:tcPr>
          <w:p w14:paraId="4B8E369F"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22,035</w:t>
            </w:r>
          </w:p>
        </w:tc>
        <w:tc>
          <w:tcPr>
            <w:tcW w:w="855" w:type="dxa"/>
            <w:tcBorders>
              <w:top w:val="nil"/>
              <w:left w:val="nil"/>
              <w:bottom w:val="single" w:sz="4" w:space="0" w:color="auto"/>
              <w:right w:val="single" w:sz="4" w:space="0" w:color="auto"/>
            </w:tcBorders>
            <w:shd w:val="clear" w:color="auto" w:fill="auto"/>
            <w:vAlign w:val="center"/>
            <w:hideMark/>
          </w:tcPr>
          <w:p w14:paraId="29D24B87"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8,664</w:t>
            </w:r>
          </w:p>
        </w:tc>
        <w:tc>
          <w:tcPr>
            <w:tcW w:w="842" w:type="dxa"/>
            <w:tcBorders>
              <w:top w:val="nil"/>
              <w:left w:val="nil"/>
              <w:bottom w:val="single" w:sz="4" w:space="0" w:color="auto"/>
              <w:right w:val="single" w:sz="4" w:space="0" w:color="auto"/>
            </w:tcBorders>
            <w:shd w:val="clear" w:color="auto" w:fill="auto"/>
            <w:vAlign w:val="center"/>
          </w:tcPr>
          <w:p w14:paraId="03A844C0"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25,912</w:t>
            </w:r>
          </w:p>
        </w:tc>
        <w:tc>
          <w:tcPr>
            <w:tcW w:w="862" w:type="dxa"/>
            <w:tcBorders>
              <w:top w:val="nil"/>
              <w:left w:val="nil"/>
              <w:bottom w:val="single" w:sz="4" w:space="0" w:color="auto"/>
              <w:right w:val="single" w:sz="4" w:space="0" w:color="auto"/>
            </w:tcBorders>
            <w:shd w:val="clear" w:color="auto" w:fill="auto"/>
            <w:vAlign w:val="center"/>
          </w:tcPr>
          <w:p w14:paraId="696230E5"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11,667</w:t>
            </w:r>
          </w:p>
        </w:tc>
        <w:tc>
          <w:tcPr>
            <w:tcW w:w="841" w:type="dxa"/>
            <w:tcBorders>
              <w:top w:val="nil"/>
              <w:left w:val="nil"/>
              <w:bottom w:val="single" w:sz="4" w:space="0" w:color="auto"/>
              <w:right w:val="single" w:sz="4" w:space="0" w:color="auto"/>
            </w:tcBorders>
            <w:shd w:val="clear" w:color="auto" w:fill="auto"/>
            <w:vAlign w:val="center"/>
          </w:tcPr>
          <w:p w14:paraId="76FAB567"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18%</w:t>
            </w:r>
          </w:p>
        </w:tc>
        <w:tc>
          <w:tcPr>
            <w:tcW w:w="842" w:type="dxa"/>
            <w:tcBorders>
              <w:top w:val="nil"/>
              <w:left w:val="nil"/>
              <w:bottom w:val="single" w:sz="4" w:space="0" w:color="auto"/>
              <w:right w:val="single" w:sz="4" w:space="0" w:color="auto"/>
            </w:tcBorders>
            <w:shd w:val="clear" w:color="auto" w:fill="auto"/>
            <w:vAlign w:val="center"/>
          </w:tcPr>
          <w:p w14:paraId="0B0E260F" w14:textId="77777777" w:rsidR="006E16B5"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35%</w:t>
            </w:r>
          </w:p>
        </w:tc>
      </w:tr>
      <w:tr w:rsidR="008A5057" w:rsidRPr="00BD295E" w14:paraId="14055F9D" w14:textId="77777777" w:rsidTr="00D108C0">
        <w:trPr>
          <w:trHeight w:val="274"/>
          <w:jc w:val="center"/>
        </w:trPr>
        <w:tc>
          <w:tcPr>
            <w:tcW w:w="2535" w:type="dxa"/>
            <w:tcBorders>
              <w:top w:val="nil"/>
              <w:left w:val="single" w:sz="4" w:space="0" w:color="auto"/>
              <w:bottom w:val="single" w:sz="4" w:space="0" w:color="auto"/>
              <w:right w:val="single" w:sz="4" w:space="0" w:color="auto"/>
            </w:tcBorders>
            <w:shd w:val="clear" w:color="auto" w:fill="auto"/>
            <w:hideMark/>
          </w:tcPr>
          <w:p w14:paraId="22BC89E0" w14:textId="77777777" w:rsidR="006E16B5" w:rsidRPr="00BD295E" w:rsidRDefault="008A5057" w:rsidP="00D108C0">
            <w:pPr>
              <w:rPr>
                <w:rFonts w:ascii="Arial" w:hAnsi="Arial" w:cs="Arial"/>
                <w:b/>
                <w:bCs/>
                <w:sz w:val="18"/>
                <w:szCs w:val="18"/>
                <w:lang w:val="en-US"/>
              </w:rPr>
            </w:pPr>
            <w:r w:rsidRPr="00BD295E">
              <w:rPr>
                <w:rFonts w:ascii="Arial" w:hAnsi="Arial" w:cs="Arial"/>
                <w:b/>
                <w:bCs/>
                <w:sz w:val="18"/>
                <w:szCs w:val="18"/>
                <w:lang w:val="en-US"/>
              </w:rPr>
              <w:t xml:space="preserve">Total for </w:t>
            </w:r>
            <w:r w:rsidR="00EE5753" w:rsidRPr="00BD295E">
              <w:rPr>
                <w:rFonts w:ascii="Arial" w:hAnsi="Arial" w:cs="Arial"/>
                <w:b/>
                <w:bCs/>
                <w:sz w:val="18"/>
                <w:szCs w:val="18"/>
                <w:lang w:val="en-US"/>
              </w:rPr>
              <w:t>PJSC “Lenenergo”</w:t>
            </w:r>
          </w:p>
        </w:tc>
        <w:tc>
          <w:tcPr>
            <w:tcW w:w="848" w:type="dxa"/>
            <w:tcBorders>
              <w:top w:val="nil"/>
              <w:left w:val="nil"/>
              <w:bottom w:val="single" w:sz="4" w:space="0" w:color="auto"/>
              <w:right w:val="single" w:sz="4" w:space="0" w:color="auto"/>
            </w:tcBorders>
            <w:shd w:val="clear" w:color="auto" w:fill="auto"/>
            <w:vAlign w:val="center"/>
            <w:hideMark/>
          </w:tcPr>
          <w:p w14:paraId="36020DE6"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58,716</w:t>
            </w:r>
          </w:p>
        </w:tc>
        <w:tc>
          <w:tcPr>
            <w:tcW w:w="855" w:type="dxa"/>
            <w:tcBorders>
              <w:top w:val="nil"/>
              <w:left w:val="nil"/>
              <w:bottom w:val="single" w:sz="4" w:space="0" w:color="auto"/>
              <w:right w:val="single" w:sz="4" w:space="0" w:color="auto"/>
            </w:tcBorders>
            <w:shd w:val="clear" w:color="auto" w:fill="auto"/>
            <w:vAlign w:val="center"/>
            <w:hideMark/>
          </w:tcPr>
          <w:p w14:paraId="07DBFAE3"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29,791</w:t>
            </w:r>
          </w:p>
        </w:tc>
        <w:tc>
          <w:tcPr>
            <w:tcW w:w="841" w:type="dxa"/>
            <w:tcBorders>
              <w:top w:val="nil"/>
              <w:left w:val="nil"/>
              <w:bottom w:val="single" w:sz="4" w:space="0" w:color="auto"/>
              <w:right w:val="single" w:sz="4" w:space="0" w:color="auto"/>
            </w:tcBorders>
            <w:shd w:val="clear" w:color="auto" w:fill="auto"/>
            <w:vAlign w:val="center"/>
            <w:hideMark/>
          </w:tcPr>
          <w:p w14:paraId="1D349123"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62,296</w:t>
            </w:r>
          </w:p>
        </w:tc>
        <w:tc>
          <w:tcPr>
            <w:tcW w:w="855" w:type="dxa"/>
            <w:tcBorders>
              <w:top w:val="nil"/>
              <w:left w:val="nil"/>
              <w:bottom w:val="single" w:sz="4" w:space="0" w:color="auto"/>
              <w:right w:val="single" w:sz="4" w:space="0" w:color="auto"/>
            </w:tcBorders>
            <w:shd w:val="clear" w:color="auto" w:fill="auto"/>
            <w:vAlign w:val="center"/>
            <w:hideMark/>
          </w:tcPr>
          <w:p w14:paraId="04B0A7D0"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32,626</w:t>
            </w:r>
          </w:p>
        </w:tc>
        <w:tc>
          <w:tcPr>
            <w:tcW w:w="842" w:type="dxa"/>
            <w:tcBorders>
              <w:top w:val="nil"/>
              <w:left w:val="nil"/>
              <w:bottom w:val="single" w:sz="4" w:space="0" w:color="auto"/>
              <w:right w:val="single" w:sz="4" w:space="0" w:color="auto"/>
            </w:tcBorders>
            <w:shd w:val="clear" w:color="auto" w:fill="auto"/>
            <w:vAlign w:val="center"/>
          </w:tcPr>
          <w:p w14:paraId="08227D9B"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71,565</w:t>
            </w:r>
          </w:p>
        </w:tc>
        <w:tc>
          <w:tcPr>
            <w:tcW w:w="862" w:type="dxa"/>
            <w:tcBorders>
              <w:top w:val="nil"/>
              <w:left w:val="nil"/>
              <w:bottom w:val="single" w:sz="4" w:space="0" w:color="auto"/>
              <w:right w:val="single" w:sz="4" w:space="0" w:color="auto"/>
            </w:tcBorders>
            <w:shd w:val="clear" w:color="auto" w:fill="auto"/>
            <w:vAlign w:val="center"/>
          </w:tcPr>
          <w:p w14:paraId="2E3948C6"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42,834</w:t>
            </w:r>
          </w:p>
        </w:tc>
        <w:tc>
          <w:tcPr>
            <w:tcW w:w="841" w:type="dxa"/>
            <w:tcBorders>
              <w:top w:val="nil"/>
              <w:left w:val="nil"/>
              <w:bottom w:val="single" w:sz="4" w:space="0" w:color="auto"/>
              <w:right w:val="single" w:sz="4" w:space="0" w:color="auto"/>
            </w:tcBorders>
            <w:shd w:val="clear" w:color="auto" w:fill="auto"/>
            <w:vAlign w:val="center"/>
          </w:tcPr>
          <w:p w14:paraId="66A9A6E0"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15%</w:t>
            </w:r>
          </w:p>
        </w:tc>
        <w:tc>
          <w:tcPr>
            <w:tcW w:w="842" w:type="dxa"/>
            <w:tcBorders>
              <w:top w:val="nil"/>
              <w:left w:val="nil"/>
              <w:bottom w:val="single" w:sz="4" w:space="0" w:color="auto"/>
              <w:right w:val="single" w:sz="4" w:space="0" w:color="auto"/>
            </w:tcBorders>
            <w:shd w:val="clear" w:color="auto" w:fill="auto"/>
            <w:vAlign w:val="center"/>
          </w:tcPr>
          <w:p w14:paraId="1573BC24" w14:textId="77777777" w:rsidR="006E16B5" w:rsidRPr="00BD295E" w:rsidRDefault="008A5057" w:rsidP="00D108C0">
            <w:pPr>
              <w:jc w:val="center"/>
              <w:rPr>
                <w:rFonts w:ascii="Arial" w:hAnsi="Arial" w:cs="Arial"/>
                <w:b/>
                <w:bCs/>
                <w:sz w:val="18"/>
                <w:szCs w:val="18"/>
                <w:lang w:val="en-US"/>
              </w:rPr>
            </w:pPr>
            <w:r w:rsidRPr="00BD295E">
              <w:rPr>
                <w:rFonts w:ascii="Arial" w:hAnsi="Arial" w:cs="Arial"/>
                <w:b/>
                <w:bCs/>
                <w:sz w:val="18"/>
                <w:szCs w:val="18"/>
                <w:lang w:val="en-US"/>
              </w:rPr>
              <w:t>31%</w:t>
            </w:r>
          </w:p>
        </w:tc>
      </w:tr>
    </w:tbl>
    <w:p w14:paraId="2D31B5CB" w14:textId="77777777" w:rsidR="006E16B5" w:rsidRPr="00BD295E" w:rsidRDefault="006E16B5" w:rsidP="006E16B5">
      <w:pPr>
        <w:ind w:firstLine="709"/>
        <w:jc w:val="both"/>
        <w:rPr>
          <w:rFonts w:ascii="Arial" w:hAnsi="Arial" w:cs="Arial"/>
          <w:sz w:val="18"/>
          <w:szCs w:val="18"/>
          <w:lang w:val="en-US"/>
        </w:rPr>
      </w:pPr>
    </w:p>
    <w:p w14:paraId="67180995" w14:textId="77777777" w:rsidR="006E16B5" w:rsidRPr="00BD295E" w:rsidRDefault="008A5057" w:rsidP="006E16B5">
      <w:pPr>
        <w:ind w:firstLine="709"/>
        <w:jc w:val="both"/>
        <w:rPr>
          <w:rFonts w:ascii="Arial" w:hAnsi="Arial" w:cs="Arial"/>
          <w:sz w:val="18"/>
          <w:szCs w:val="18"/>
          <w:lang w:val="en-US"/>
        </w:rPr>
      </w:pPr>
      <w:r w:rsidRPr="00BD295E">
        <w:rPr>
          <w:rFonts w:ascii="Arial" w:hAnsi="Arial" w:cs="Arial"/>
          <w:sz w:val="18"/>
          <w:szCs w:val="18"/>
          <w:lang w:val="en-US"/>
        </w:rPr>
        <w:t xml:space="preserve">In 2018, the approved minimum regulated revenue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increased year-on-year: </w:t>
      </w:r>
    </w:p>
    <w:p w14:paraId="203474FE" w14:textId="2AF5D3F5" w:rsidR="006E16B5" w:rsidRPr="00BD295E" w:rsidRDefault="00396716" w:rsidP="006E16B5">
      <w:pPr>
        <w:ind w:firstLine="709"/>
        <w:jc w:val="both"/>
        <w:rPr>
          <w:rFonts w:ascii="Arial" w:hAnsi="Arial" w:cs="Arial"/>
          <w:sz w:val="18"/>
          <w:szCs w:val="18"/>
          <w:lang w:val="en-US"/>
        </w:rPr>
      </w:pPr>
      <w:r w:rsidRPr="00BD295E">
        <w:rPr>
          <w:rFonts w:ascii="Arial" w:hAnsi="Arial" w:cs="Arial"/>
          <w:sz w:val="18"/>
          <w:szCs w:val="18"/>
          <w:lang w:val="en-US"/>
        </w:rPr>
        <w:t>1. For Saint Petersburg by RUB</w:t>
      </w:r>
      <w:r w:rsidR="008A5057" w:rsidRPr="00BD295E">
        <w:rPr>
          <w:rFonts w:ascii="Arial" w:hAnsi="Arial" w:cs="Arial"/>
          <w:sz w:val="18"/>
          <w:szCs w:val="18"/>
          <w:lang w:val="en-US"/>
        </w:rPr>
        <w:t xml:space="preserve"> 5,392 million (up 13%):</w:t>
      </w:r>
    </w:p>
    <w:p w14:paraId="17790247" w14:textId="77777777" w:rsidR="006E16B5" w:rsidRPr="00BD295E" w:rsidRDefault="008A5057" w:rsidP="006E16B5">
      <w:pPr>
        <w:ind w:firstLine="709"/>
        <w:jc w:val="both"/>
        <w:rPr>
          <w:rFonts w:ascii="Arial" w:hAnsi="Arial" w:cs="Arial"/>
          <w:sz w:val="18"/>
          <w:szCs w:val="18"/>
          <w:lang w:val="en-US"/>
        </w:rPr>
      </w:pPr>
      <w:r w:rsidRPr="00BD295E">
        <w:rPr>
          <w:rFonts w:ascii="Arial" w:hAnsi="Arial" w:cs="Arial"/>
          <w:sz w:val="18"/>
          <w:szCs w:val="18"/>
          <w:lang w:val="en-US"/>
        </w:rPr>
        <w:t>- by RUB 2,915 million as a result of a 7% increase in the electricity distribution tariff;</w:t>
      </w:r>
    </w:p>
    <w:p w14:paraId="185914A5" w14:textId="2115F79B" w:rsidR="006E16B5" w:rsidRPr="00BD295E" w:rsidRDefault="00396716" w:rsidP="006E16B5">
      <w:pPr>
        <w:ind w:firstLine="709"/>
        <w:jc w:val="both"/>
        <w:rPr>
          <w:rFonts w:ascii="Arial" w:hAnsi="Arial" w:cs="Arial"/>
          <w:sz w:val="18"/>
          <w:szCs w:val="18"/>
          <w:lang w:val="en-US"/>
        </w:rPr>
      </w:pPr>
      <w:r w:rsidRPr="00BD295E">
        <w:rPr>
          <w:rFonts w:ascii="Arial" w:hAnsi="Arial" w:cs="Arial"/>
          <w:sz w:val="18"/>
          <w:szCs w:val="18"/>
          <w:lang w:val="en-US"/>
        </w:rPr>
        <w:t>- by RUB</w:t>
      </w:r>
      <w:r w:rsidR="008A5057" w:rsidRPr="00BD295E">
        <w:rPr>
          <w:rFonts w:ascii="Arial" w:hAnsi="Arial" w:cs="Arial"/>
          <w:sz w:val="18"/>
          <w:szCs w:val="18"/>
          <w:lang w:val="en-US"/>
        </w:rPr>
        <w:t xml:space="preserve"> 2,477 million due to a year-on-year increase in the approved net supply of electricity in 2018 by 1,101 million kWh. (up 6%).</w:t>
      </w:r>
    </w:p>
    <w:p w14:paraId="2C79AFEC" w14:textId="77777777" w:rsidR="006E16B5" w:rsidRPr="00BD295E" w:rsidRDefault="008A5057" w:rsidP="006E16B5">
      <w:pPr>
        <w:ind w:firstLine="709"/>
        <w:jc w:val="both"/>
        <w:rPr>
          <w:rFonts w:ascii="Arial" w:hAnsi="Arial" w:cs="Arial"/>
          <w:sz w:val="18"/>
          <w:szCs w:val="18"/>
          <w:lang w:val="en-US"/>
        </w:rPr>
      </w:pPr>
      <w:r w:rsidRPr="00BD295E">
        <w:rPr>
          <w:rFonts w:ascii="Arial" w:hAnsi="Arial" w:cs="Arial"/>
          <w:sz w:val="18"/>
          <w:szCs w:val="18"/>
          <w:lang w:val="en-US"/>
        </w:rPr>
        <w:t>2. for the Leningrad Region by RUB 3,877 million (up 18%):</w:t>
      </w:r>
    </w:p>
    <w:p w14:paraId="535EAA21" w14:textId="77777777" w:rsidR="006E16B5" w:rsidRPr="00BD295E" w:rsidRDefault="008A5057" w:rsidP="006E16B5">
      <w:pPr>
        <w:ind w:firstLine="709"/>
        <w:jc w:val="both"/>
        <w:rPr>
          <w:rFonts w:ascii="Arial" w:hAnsi="Arial" w:cs="Arial"/>
          <w:sz w:val="18"/>
          <w:szCs w:val="18"/>
          <w:lang w:val="en-US"/>
        </w:rPr>
      </w:pPr>
      <w:r w:rsidRPr="00BD295E">
        <w:rPr>
          <w:rFonts w:ascii="Arial" w:hAnsi="Arial" w:cs="Arial"/>
          <w:sz w:val="18"/>
          <w:szCs w:val="18"/>
          <w:lang w:val="en-US"/>
        </w:rPr>
        <w:t>- by RUB 3,004 million as a result of a 13% increase in the electricity distribution tariff;</w:t>
      </w:r>
    </w:p>
    <w:p w14:paraId="71B19312" w14:textId="1F300672" w:rsidR="006E16B5" w:rsidRPr="00BD295E" w:rsidRDefault="00396716" w:rsidP="006E16B5">
      <w:pPr>
        <w:ind w:firstLine="709"/>
        <w:jc w:val="both"/>
        <w:rPr>
          <w:rFonts w:ascii="Arial" w:hAnsi="Arial" w:cs="Arial"/>
          <w:sz w:val="18"/>
          <w:szCs w:val="18"/>
          <w:lang w:val="en-US"/>
        </w:rPr>
      </w:pPr>
      <w:r w:rsidRPr="00BD295E">
        <w:rPr>
          <w:rFonts w:ascii="Arial" w:hAnsi="Arial" w:cs="Arial"/>
          <w:sz w:val="18"/>
          <w:szCs w:val="18"/>
          <w:lang w:val="en-US"/>
        </w:rPr>
        <w:t>- by RUB</w:t>
      </w:r>
      <w:r w:rsidR="008A5057" w:rsidRPr="00BD295E">
        <w:rPr>
          <w:rFonts w:ascii="Arial" w:hAnsi="Arial" w:cs="Arial"/>
          <w:sz w:val="18"/>
          <w:szCs w:val="18"/>
          <w:lang w:val="en-US"/>
        </w:rPr>
        <w:t xml:space="preserve"> 873 million due to a year-on-year increase in the approved net supply of electricity in 2018 by 491 m</w:t>
      </w:r>
      <w:r w:rsidR="008F2360" w:rsidRPr="00BD295E">
        <w:rPr>
          <w:rFonts w:ascii="Arial" w:hAnsi="Arial" w:cs="Arial"/>
          <w:sz w:val="18"/>
          <w:szCs w:val="18"/>
          <w:lang w:val="en-US"/>
        </w:rPr>
        <w:t>illion kWh. (an increase of 4%).</w:t>
      </w:r>
    </w:p>
    <w:p w14:paraId="10740907" w14:textId="77777777" w:rsidR="008F2360" w:rsidRPr="00BD295E" w:rsidRDefault="008F2360" w:rsidP="006E16B5">
      <w:pPr>
        <w:ind w:firstLine="709"/>
        <w:jc w:val="both"/>
        <w:rPr>
          <w:rFonts w:ascii="Arial" w:hAnsi="Arial" w:cs="Arial"/>
          <w:sz w:val="18"/>
          <w:szCs w:val="18"/>
          <w:lang w:val="en-US"/>
        </w:rPr>
      </w:pPr>
    </w:p>
    <w:p w14:paraId="446406A2" w14:textId="751C70D9" w:rsidR="006E16B5" w:rsidRPr="00BD295E" w:rsidRDefault="008A5057" w:rsidP="006E16B5">
      <w:pPr>
        <w:keepNext/>
        <w:ind w:firstLine="709"/>
        <w:jc w:val="both"/>
        <w:rPr>
          <w:rFonts w:ascii="Arial" w:hAnsi="Arial" w:cs="Arial"/>
          <w:sz w:val="18"/>
          <w:szCs w:val="18"/>
          <w:lang w:val="en-US"/>
        </w:rPr>
      </w:pPr>
      <w:r w:rsidRPr="00BD295E">
        <w:rPr>
          <w:rFonts w:ascii="Arial" w:hAnsi="Arial" w:cs="Arial"/>
          <w:sz w:val="18"/>
          <w:szCs w:val="18"/>
          <w:lang w:val="en-US"/>
        </w:rPr>
        <w:t>Changes in the breakdown of approved revenue from electricity distrib</w:t>
      </w:r>
      <w:r w:rsidR="00396716" w:rsidRPr="00BD295E">
        <w:rPr>
          <w:rFonts w:ascii="Arial" w:hAnsi="Arial" w:cs="Arial"/>
          <w:sz w:val="18"/>
          <w:szCs w:val="18"/>
          <w:lang w:val="en-US"/>
        </w:rPr>
        <w:t>ution services in 2016–2018, RUB</w:t>
      </w:r>
      <w:r w:rsidRPr="00BD295E">
        <w:rPr>
          <w:rFonts w:ascii="Arial" w:hAnsi="Arial" w:cs="Arial"/>
          <w:sz w:val="18"/>
          <w:szCs w:val="18"/>
          <w:lang w:val="en-US"/>
        </w:rPr>
        <w:t xml:space="preserve"> million</w:t>
      </w:r>
    </w:p>
    <w:p w14:paraId="3AC0D851" w14:textId="618BDDD6" w:rsidR="00B61322" w:rsidRPr="00BD295E" w:rsidRDefault="00B61322" w:rsidP="00B61322">
      <w:pPr>
        <w:pStyle w:val="1ff8"/>
        <w:ind w:right="2976"/>
        <w:rPr>
          <w:sz w:val="20"/>
          <w:szCs w:val="20"/>
        </w:rPr>
      </w:pPr>
      <w:r w:rsidRPr="00BD295E">
        <w:rPr>
          <w:sz w:val="20"/>
          <w:szCs w:val="20"/>
        </w:rPr>
        <w:t>Saint Petersburg</w:t>
      </w:r>
    </w:p>
    <w:p w14:paraId="4C5F60AC" w14:textId="45B18830" w:rsidR="006E16B5" w:rsidRPr="00BD295E" w:rsidRDefault="00B61322" w:rsidP="006E16B5">
      <w:pPr>
        <w:keepNext/>
        <w:jc w:val="both"/>
        <w:rPr>
          <w:rFonts w:ascii="Arial" w:hAnsi="Arial" w:cs="Arial"/>
          <w:b/>
          <w:sz w:val="18"/>
          <w:szCs w:val="18"/>
          <w:lang w:val="en-US"/>
        </w:rPr>
      </w:pP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78560" behindDoc="0" locked="0" layoutInCell="1" allowOverlap="1" wp14:anchorId="46C2651D" wp14:editId="5DF636F7">
                <wp:simplePos x="0" y="0"/>
                <wp:positionH relativeFrom="column">
                  <wp:posOffset>4159050</wp:posOffset>
                </wp:positionH>
                <wp:positionV relativeFrom="paragraph">
                  <wp:posOffset>386605</wp:posOffset>
                </wp:positionV>
                <wp:extent cx="1825822" cy="1936026"/>
                <wp:effectExtent l="0" t="0" r="3175" b="7620"/>
                <wp:wrapNone/>
                <wp:docPr id="5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822" cy="1936026"/>
                        </a:xfrm>
                        <a:prstGeom prst="rect">
                          <a:avLst/>
                        </a:prstGeom>
                        <a:solidFill>
                          <a:schemeClr val="bg1"/>
                        </a:solidFill>
                        <a:ln w="9525">
                          <a:noFill/>
                          <a:miter lim="800000"/>
                          <a:headEnd/>
                          <a:tailEnd/>
                        </a:ln>
                      </wps:spPr>
                      <wps:txbx>
                        <w:txbxContent>
                          <w:p w14:paraId="48DEA4AC" w14:textId="2EDB804C" w:rsidR="002C3947" w:rsidRPr="00B61322" w:rsidRDefault="002C3947" w:rsidP="00B61322">
                            <w:pPr>
                              <w:ind w:left="284" w:hanging="284"/>
                              <w:rPr>
                                <w:rFonts w:ascii="Arial" w:hAnsi="Arial" w:cs="Arial"/>
                                <w:sz w:val="16"/>
                              </w:rPr>
                            </w:pPr>
                            <w:r w:rsidRPr="00B61322">
                              <w:rPr>
                                <w:rFonts w:ascii="Arial" w:hAnsi="Arial" w:cs="Arial"/>
                                <w:color w:val="D6DCE5"/>
                                <w:sz w:val="16"/>
                              </w:rPr>
                              <w:sym w:font="Wingdings 2" w:char="F0A2"/>
                            </w:r>
                            <w:r w:rsidRPr="00B61322">
                              <w:rPr>
                                <w:rFonts w:ascii="Arial" w:hAnsi="Arial" w:cs="Arial"/>
                                <w:color w:val="D6DCE5"/>
                                <w:sz w:val="16"/>
                              </w:rPr>
                              <w:tab/>
                            </w:r>
                            <w:r w:rsidRPr="00B61322">
                              <w:rPr>
                                <w:rFonts w:ascii="Arial" w:hAnsi="Arial" w:cs="Arial"/>
                                <w:sz w:val="16"/>
                              </w:rPr>
                              <w:t>Grid losses of PJSC “Lenenergo”</w:t>
                            </w:r>
                          </w:p>
                          <w:p w14:paraId="20603B5E" w14:textId="6B0BC3EE" w:rsidR="002C3947" w:rsidRPr="00B61322" w:rsidRDefault="002C3947" w:rsidP="00B61322">
                            <w:pPr>
                              <w:spacing w:before="360"/>
                              <w:ind w:left="284" w:hanging="284"/>
                              <w:rPr>
                                <w:rFonts w:ascii="Arial" w:hAnsi="Arial" w:cs="Arial"/>
                                <w:sz w:val="16"/>
                              </w:rPr>
                            </w:pPr>
                            <w:r w:rsidRPr="00B61322">
                              <w:rPr>
                                <w:rFonts w:ascii="Arial" w:hAnsi="Arial" w:cs="Arial"/>
                                <w:color w:val="ADB9CA"/>
                                <w:sz w:val="16"/>
                              </w:rPr>
                              <w:sym w:font="Wingdings 2" w:char="F0A2"/>
                            </w:r>
                            <w:r w:rsidRPr="00B61322">
                              <w:rPr>
                                <w:rFonts w:ascii="Arial" w:hAnsi="Arial" w:cs="Arial"/>
                                <w:color w:val="ADB9CA"/>
                                <w:sz w:val="16"/>
                              </w:rPr>
                              <w:tab/>
                            </w:r>
                            <w:r w:rsidRPr="00B61322">
                              <w:rPr>
                                <w:rFonts w:ascii="Arial" w:hAnsi="Arial" w:cs="Arial"/>
                                <w:sz w:val="16"/>
                              </w:rPr>
                              <w:t>Other TGOs</w:t>
                            </w:r>
                          </w:p>
                          <w:p w14:paraId="26D259AB" w14:textId="164FC852" w:rsidR="002C3947" w:rsidRPr="00B61322" w:rsidRDefault="002C3947" w:rsidP="00B61322">
                            <w:pPr>
                              <w:spacing w:before="360"/>
                              <w:ind w:left="284" w:hanging="284"/>
                              <w:rPr>
                                <w:rFonts w:ascii="Arial" w:hAnsi="Arial" w:cs="Arial"/>
                                <w:sz w:val="16"/>
                              </w:rPr>
                            </w:pPr>
                            <w:r w:rsidRPr="00B61322">
                              <w:rPr>
                                <w:rFonts w:ascii="Arial" w:hAnsi="Arial" w:cs="Arial"/>
                                <w:color w:val="8497B0"/>
                                <w:sz w:val="16"/>
                              </w:rPr>
                              <w:sym w:font="Wingdings 2" w:char="F0A2"/>
                            </w:r>
                            <w:r>
                              <w:rPr>
                                <w:rFonts w:ascii="Arial" w:hAnsi="Arial" w:cs="Arial"/>
                                <w:sz w:val="16"/>
                              </w:rPr>
                              <w:tab/>
                            </w:r>
                            <w:r w:rsidRPr="00B61322">
                              <w:rPr>
                                <w:rFonts w:ascii="Arial" w:hAnsi="Arial" w:cs="Arial"/>
                                <w:sz w:val="16"/>
                              </w:rPr>
                              <w:t xml:space="preserve"> “FGC UES”, PJSC </w:t>
                            </w:r>
                          </w:p>
                          <w:p w14:paraId="6CDDCE2C" w14:textId="3B828462" w:rsidR="002C3947" w:rsidRPr="00CC44B5" w:rsidRDefault="002C3947" w:rsidP="00B61322">
                            <w:pPr>
                              <w:spacing w:before="360"/>
                              <w:ind w:left="284" w:hanging="284"/>
                              <w:rPr>
                                <w:rFonts w:ascii="Arial" w:hAnsi="Arial" w:cs="Arial"/>
                                <w:sz w:val="16"/>
                              </w:rPr>
                            </w:pPr>
                            <w:r w:rsidRPr="00B61322">
                              <w:rPr>
                                <w:rFonts w:ascii="Arial" w:hAnsi="Arial" w:cs="Arial"/>
                                <w:color w:val="333F50"/>
                                <w:sz w:val="16"/>
                              </w:rPr>
                              <w:sym w:font="Wingdings 2" w:char="F0A2"/>
                            </w:r>
                            <w:r>
                              <w:rPr>
                                <w:rFonts w:ascii="Arial" w:hAnsi="Arial" w:cs="Arial"/>
                                <w:sz w:val="16"/>
                              </w:rPr>
                              <w:tab/>
                            </w:r>
                            <w:r w:rsidRPr="00B61322">
                              <w:rPr>
                                <w:rFonts w:ascii="Arial" w:hAnsi="Arial" w:cs="Arial"/>
                                <w:sz w:val="16"/>
                              </w:rPr>
                              <w:t>Own MRR of PJSC “Lenenergo”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C2651D" id="_x0000_s1072" type="#_x0000_t202" style="position:absolute;left:0;text-align:left;margin-left:327.5pt;margin-top:30.45pt;width:143.75pt;height:152.45pt;z-index:25177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" fillcolor="white [3212]" stroked="f">
                <v:textbox inset="0,0,0,0">
                  <w:txbxContent>
                    <w:p w14:paraId="48DEA4AC" w14:textId="2EDB804C" w:rsidR="002C3947" w:rsidRPr="00B61322" w:rsidRDefault="002C3947" w:rsidP="00B61322">
                      <w:pPr>
                        <w:ind w:left="284" w:hanging="284"/>
                        <w:rPr>
                          <w:rFonts w:ascii="Arial" w:hAnsi="Arial" w:cs="Arial"/>
                          <w:sz w:val="16"/>
                        </w:rPr>
                      </w:pPr>
                      <w:r w:rsidRPr="00B61322">
                        <w:rPr>
                          <w:rFonts w:ascii="Arial" w:hAnsi="Arial" w:cs="Arial"/>
                          <w:color w:val="D6DCE5"/>
                          <w:sz w:val="16"/>
                        </w:rPr>
                        <w:sym w:font="Wingdings 2" w:char="F0A2"/>
                      </w:r>
                      <w:r w:rsidRPr="00B61322">
                        <w:rPr>
                          <w:rFonts w:ascii="Arial" w:hAnsi="Arial" w:cs="Arial"/>
                          <w:color w:val="D6DCE5"/>
                          <w:sz w:val="16"/>
                        </w:rPr>
                        <w:tab/>
                      </w:r>
                      <w:r w:rsidRPr="00B61322">
                        <w:rPr>
                          <w:rFonts w:ascii="Arial" w:hAnsi="Arial" w:cs="Arial"/>
                          <w:sz w:val="16"/>
                        </w:rPr>
                        <w:t>Grid losses of PJSC “Lenenergo”</w:t>
                      </w:r>
                    </w:p>
                    <w:p w14:paraId="20603B5E" w14:textId="6B0BC3EE" w:rsidR="002C3947" w:rsidRPr="00B61322" w:rsidRDefault="002C3947" w:rsidP="00B61322">
                      <w:pPr>
                        <w:spacing w:before="360"/>
                        <w:ind w:left="284" w:hanging="284"/>
                        <w:rPr>
                          <w:rFonts w:ascii="Arial" w:hAnsi="Arial" w:cs="Arial"/>
                          <w:sz w:val="16"/>
                        </w:rPr>
                      </w:pPr>
                      <w:r w:rsidRPr="00B61322">
                        <w:rPr>
                          <w:rFonts w:ascii="Arial" w:hAnsi="Arial" w:cs="Arial"/>
                          <w:color w:val="ADB9CA"/>
                          <w:sz w:val="16"/>
                        </w:rPr>
                        <w:sym w:font="Wingdings 2" w:char="F0A2"/>
                      </w:r>
                      <w:r w:rsidRPr="00B61322">
                        <w:rPr>
                          <w:rFonts w:ascii="Arial" w:hAnsi="Arial" w:cs="Arial"/>
                          <w:color w:val="ADB9CA"/>
                          <w:sz w:val="16"/>
                        </w:rPr>
                        <w:tab/>
                      </w:r>
                      <w:r w:rsidRPr="00B61322">
                        <w:rPr>
                          <w:rFonts w:ascii="Arial" w:hAnsi="Arial" w:cs="Arial"/>
                          <w:sz w:val="16"/>
                        </w:rPr>
                        <w:t>Other TGOs</w:t>
                      </w:r>
                    </w:p>
                    <w:p w14:paraId="26D259AB" w14:textId="164FC852" w:rsidR="002C3947" w:rsidRPr="00B61322" w:rsidRDefault="002C3947" w:rsidP="00B61322">
                      <w:pPr>
                        <w:spacing w:before="360"/>
                        <w:ind w:left="284" w:hanging="284"/>
                        <w:rPr>
                          <w:rFonts w:ascii="Arial" w:hAnsi="Arial" w:cs="Arial"/>
                          <w:sz w:val="16"/>
                        </w:rPr>
                      </w:pPr>
                      <w:r w:rsidRPr="00B61322">
                        <w:rPr>
                          <w:rFonts w:ascii="Arial" w:hAnsi="Arial" w:cs="Arial"/>
                          <w:color w:val="8497B0"/>
                          <w:sz w:val="16"/>
                        </w:rPr>
                        <w:sym w:font="Wingdings 2" w:char="F0A2"/>
                      </w:r>
                      <w:r>
                        <w:rPr>
                          <w:rFonts w:ascii="Arial" w:hAnsi="Arial" w:cs="Arial"/>
                          <w:sz w:val="16"/>
                        </w:rPr>
                        <w:tab/>
                      </w:r>
                      <w:r w:rsidRPr="00B61322">
                        <w:rPr>
                          <w:rFonts w:ascii="Arial" w:hAnsi="Arial" w:cs="Arial"/>
                          <w:sz w:val="16"/>
                        </w:rPr>
                        <w:t xml:space="preserve"> “FGC UES”, PJSC </w:t>
                      </w:r>
                    </w:p>
                    <w:p w14:paraId="6CDDCE2C" w14:textId="3B828462" w:rsidR="002C3947" w:rsidRPr="00CC44B5" w:rsidRDefault="002C3947" w:rsidP="00B61322">
                      <w:pPr>
                        <w:spacing w:before="360"/>
                        <w:ind w:left="284" w:hanging="284"/>
                        <w:rPr>
                          <w:rFonts w:ascii="Arial" w:hAnsi="Arial" w:cs="Arial"/>
                          <w:sz w:val="16"/>
                        </w:rPr>
                      </w:pPr>
                      <w:r w:rsidRPr="00B61322">
                        <w:rPr>
                          <w:rFonts w:ascii="Arial" w:hAnsi="Arial" w:cs="Arial"/>
                          <w:color w:val="333F50"/>
                          <w:sz w:val="16"/>
                        </w:rPr>
                        <w:sym w:font="Wingdings 2" w:char="F0A2"/>
                      </w:r>
                      <w:r>
                        <w:rPr>
                          <w:rFonts w:ascii="Arial" w:hAnsi="Arial" w:cs="Arial"/>
                          <w:sz w:val="16"/>
                        </w:rPr>
                        <w:tab/>
                      </w:r>
                      <w:r w:rsidRPr="00B61322">
                        <w:rPr>
                          <w:rFonts w:ascii="Arial" w:hAnsi="Arial" w:cs="Arial"/>
                          <w:sz w:val="16"/>
                        </w:rPr>
                        <w:t>Own MRR of PJSC “Lenenergo”</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76512" behindDoc="0" locked="0" layoutInCell="1" allowOverlap="1" wp14:anchorId="5CE28E9B" wp14:editId="6E72D7D4">
                <wp:simplePos x="0" y="0"/>
                <wp:positionH relativeFrom="margin">
                  <wp:align>left</wp:align>
                </wp:positionH>
                <wp:positionV relativeFrom="paragraph">
                  <wp:posOffset>905200</wp:posOffset>
                </wp:positionV>
                <wp:extent cx="217430" cy="1161616"/>
                <wp:effectExtent l="0" t="0" r="0" b="635"/>
                <wp:wrapNone/>
                <wp:docPr id="5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30" cy="1161616"/>
                        </a:xfrm>
                        <a:prstGeom prst="rect">
                          <a:avLst/>
                        </a:prstGeom>
                        <a:solidFill>
                          <a:schemeClr val="bg1"/>
                        </a:solidFill>
                        <a:ln w="9525">
                          <a:noFill/>
                          <a:miter lim="800000"/>
                          <a:headEnd/>
                          <a:tailEnd/>
                        </a:ln>
                      </wps:spPr>
                      <wps:txbx>
                        <w:txbxContent>
                          <w:p w14:paraId="08485304" w14:textId="77777777" w:rsidR="002C3947" w:rsidRPr="007C31A4" w:rsidRDefault="002C3947" w:rsidP="00B61322">
                            <w:pPr>
                              <w:jc w:val="center"/>
                              <w:rPr>
                                <w:rFonts w:ascii="Arial" w:hAnsi="Arial" w:cs="Arial"/>
                                <w:b/>
                                <w:bCs/>
                                <w:sz w:val="16"/>
                              </w:rPr>
                            </w:pPr>
                            <w:r w:rsidRPr="007C31A4">
                              <w:rPr>
                                <w:rFonts w:ascii="Arial" w:hAnsi="Arial" w:cs="Arial"/>
                                <w:b/>
                                <w:bCs/>
                                <w:sz w:val="16"/>
                              </w:rPr>
                              <w:t>RUB million</w:t>
                            </w:r>
                          </w:p>
                        </w:txbxContent>
                      </wps:txbx>
                      <wps:bodyPr rot="0" vert="vert270"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E28E9B" id="_x0000_s1073" type="#_x0000_t202" style="position:absolute;left:0;text-align:left;margin-left:0;margin-top:71.3pt;width:17.1pt;height:91.45pt;z-index:251776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" fillcolor="white [3212]" stroked="f">
                <v:textbox style="layout-flow:vertical;mso-layout-flow-alt:bottom-to-top" inset="0,0,0,0">
                  <w:txbxContent>
                    <w:p w14:paraId="08485304" w14:textId="77777777" w:rsidR="002C3947" w:rsidRPr="007C31A4" w:rsidRDefault="002C3947" w:rsidP="00B61322">
                      <w:pPr>
                        <w:jc w:val="center"/>
                        <w:rPr>
                          <w:rFonts w:ascii="Arial" w:hAnsi="Arial" w:cs="Arial"/>
                          <w:b/>
                          <w:bCs/>
                          <w:sz w:val="16"/>
                        </w:rPr>
                      </w:pPr>
                      <w:r w:rsidRPr="007C31A4">
                        <w:rPr>
                          <w:rFonts w:ascii="Arial" w:hAnsi="Arial" w:cs="Arial"/>
                          <w:b/>
                          <w:bCs/>
                          <w:sz w:val="16"/>
                        </w:rPr>
                        <w:t>RUB million</w:t>
                      </w:r>
                    </w:p>
                  </w:txbxContent>
                </v:textbox>
                <w10:wrap anchorx="margin"/>
              </v:shape>
            </w:pict>
          </mc:Fallback>
        </mc:AlternateContent>
      </w:r>
      <w:r w:rsidR="00997D07" w:rsidRPr="00BD295E">
        <w:rPr>
          <w:rFonts w:ascii="Arial" w:hAnsi="Arial" w:cs="Arial"/>
          <w:sz w:val="18"/>
          <w:szCs w:val="18"/>
          <w:lang w:val="en-US" w:eastAsia="en-US"/>
        </w:rPr>
        <w:drawing>
          <wp:inline distT="0" distB="0" distL="0" distR="0" wp14:anchorId="56526108" wp14:editId="496C66FE">
            <wp:extent cx="5581650" cy="2925532"/>
            <wp:effectExtent l="0" t="0" r="0" b="0"/>
            <wp:docPr id="19" name="Диаграмма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7"/>
                    <pic:cNvPicPr>
                      <a:picLocks noChangeArrowheads="1"/>
                    </pic:cNvPicPr>
                  </pic:nvPicPr>
                  <pic:blipFill rotWithShape="1">
                    <a:blip r:embed="rId37">
                      <a:extLst>
                        <a:ext uri="{28A0092B-C50C-407E-A947-70E740481C1C}">
                          <a14:useLocalDpi xmlns:a14="http://schemas.microsoft.com/office/drawing/2010/main" val="0"/>
                        </a:ext>
                      </a:extLst>
                    </a:blip>
                    <a:srcRect l="-1698" t="5706" r="-1995" b="-10485"/>
                    <a:stretch/>
                  </pic:blipFill>
                  <pic:spPr bwMode="auto">
                    <a:xfrm>
                      <a:off x="0" y="0"/>
                      <a:ext cx="5581650" cy="2925532"/>
                    </a:xfrm>
                    <a:prstGeom prst="rect">
                      <a:avLst/>
                    </a:prstGeom>
                    <a:noFill/>
                    <a:ln>
                      <a:noFill/>
                    </a:ln>
                    <a:extLst>
                      <a:ext uri="{53640926-AAD7-44D8-BBD7-CCE9431645EC}">
                        <a14:shadowObscured xmlns:a14="http://schemas.microsoft.com/office/drawing/2010/main"/>
                      </a:ext>
                    </a:extLst>
                  </pic:spPr>
                </pic:pic>
              </a:graphicData>
            </a:graphic>
          </wp:inline>
        </w:drawing>
      </w:r>
    </w:p>
    <w:p w14:paraId="738F9624" w14:textId="77777777" w:rsidR="00B20A51" w:rsidRPr="00BD295E" w:rsidRDefault="00B20A51" w:rsidP="00B20A51">
      <w:pPr>
        <w:jc w:val="both"/>
        <w:rPr>
          <w:rFonts w:ascii="Arial" w:hAnsi="Arial" w:cs="Arial"/>
          <w:sz w:val="18"/>
          <w:szCs w:val="18"/>
          <w:lang w:val="en-US"/>
        </w:rPr>
      </w:pPr>
    </w:p>
    <w:p w14:paraId="667FE740"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Year-on-year changes in the approved minimum regulated revenue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Saint Petersburg in 2018 (up by RUB 5,392 million or 13%) were driven by the following factors:</w:t>
      </w:r>
    </w:p>
    <w:p w14:paraId="53D76BF9"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1. The Company’s own MRR for 2018 was increased year-on-year by RUB 7,204 million </w:t>
      </w:r>
      <w:r w:rsidRPr="00BD295E">
        <w:rPr>
          <w:rFonts w:ascii="Arial" w:hAnsi="Arial" w:cs="Arial"/>
          <w:sz w:val="18"/>
          <w:szCs w:val="18"/>
          <w:lang w:val="en-US"/>
        </w:rPr>
        <w:br/>
        <w:t>(+ 30%) due to the following factors:</w:t>
      </w:r>
    </w:p>
    <w:p w14:paraId="0A56149D"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1.1 When determining the own MRR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2017, the Tariffs Committee of Saint Petersburg applied the negative “smoothing” mechanism in the amount of RUB (–1,213) million, for 2018 the amount of “smoothing” was approved at RUB (+5,201) million: as a result, in 2018 the own MRR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increased year-on-year by RUB 6,414 million.</w:t>
      </w:r>
    </w:p>
    <w:p w14:paraId="236186C1"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1.2. Increase in non-controlled expenses by RUB 2,994 million (+81%) mainly due to property lease expenses (increase by RUB 1,890 million) and profit tax (increase by RUB 836 million);</w:t>
      </w:r>
    </w:p>
    <w:p w14:paraId="6F7B6B09"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1.3. An increase of controlled expenses by RUB 822 million (+21%) due to an increase in the amount of equipment serviced and the inflation level; </w:t>
      </w:r>
    </w:p>
    <w:p w14:paraId="6CC618B3"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1.4. A decrease in the amount of MRR adjustment for 2018 based on the actual performance for 2016 relative to the adjustment of MRR for 2017 based on the performance for 2015 by RUB 2,966 million (–41%);</w:t>
      </w:r>
    </w:p>
    <w:p w14:paraId="06AE828B" w14:textId="2D6CE9D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1.5. Decrease in ROE by RUB 55 </w:t>
      </w:r>
      <w:r w:rsidR="002C3947" w:rsidRPr="00BD295E">
        <w:rPr>
          <w:rFonts w:ascii="Arial" w:hAnsi="Arial" w:cs="Arial"/>
          <w:sz w:val="18"/>
          <w:szCs w:val="18"/>
          <w:lang w:val="en-US"/>
        </w:rPr>
        <w:t>million (</w:t>
      </w:r>
      <w:r w:rsidRPr="00BD295E">
        <w:rPr>
          <w:rFonts w:ascii="Arial" w:hAnsi="Arial" w:cs="Arial"/>
          <w:sz w:val="18"/>
          <w:szCs w:val="18"/>
          <w:lang w:val="en-US"/>
        </w:rPr>
        <w:t xml:space="preserve">–1%), as well as an increase in ROE by RUB 25 million (+1%) in line with the planned implementation of the investment program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6FD2B72E" w14:textId="77777777" w:rsidR="006E16B5" w:rsidRPr="00BD295E" w:rsidRDefault="006E16B5" w:rsidP="000E42B1">
      <w:pPr>
        <w:jc w:val="both"/>
        <w:rPr>
          <w:rFonts w:ascii="Arial" w:hAnsi="Arial" w:cs="Arial"/>
          <w:sz w:val="18"/>
          <w:szCs w:val="18"/>
          <w:lang w:val="en-US"/>
        </w:rPr>
      </w:pPr>
    </w:p>
    <w:p w14:paraId="01CA51C2" w14:textId="707600D8"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2. Increase in service costs of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 by</w:t>
      </w:r>
      <w:r w:rsidR="00396716" w:rsidRPr="00BD295E">
        <w:rPr>
          <w:rFonts w:ascii="Arial" w:hAnsi="Arial" w:cs="Arial"/>
          <w:sz w:val="18"/>
          <w:szCs w:val="18"/>
          <w:lang w:val="en-US"/>
        </w:rPr>
        <w:t xml:space="preserve"> RUB</w:t>
      </w:r>
      <w:r w:rsidRPr="00BD295E">
        <w:rPr>
          <w:rFonts w:ascii="Arial" w:hAnsi="Arial" w:cs="Arial"/>
          <w:sz w:val="18"/>
          <w:szCs w:val="18"/>
          <w:lang w:val="en-US"/>
        </w:rPr>
        <w:t xml:space="preserve"> 739 million (+14%) in accordance with the decision of the regulator;</w:t>
      </w:r>
    </w:p>
    <w:p w14:paraId="49AF1E46" w14:textId="07484C01"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3. Increase in exp</w:t>
      </w:r>
      <w:r w:rsidR="00396716" w:rsidRPr="00BD295E">
        <w:rPr>
          <w:rFonts w:ascii="Arial" w:hAnsi="Arial" w:cs="Arial"/>
          <w:sz w:val="18"/>
          <w:szCs w:val="18"/>
          <w:lang w:val="en-US"/>
        </w:rPr>
        <w:t>enses for payment of loss by RUB</w:t>
      </w:r>
      <w:r w:rsidRPr="00BD295E">
        <w:rPr>
          <w:rFonts w:ascii="Arial" w:hAnsi="Arial" w:cs="Arial"/>
          <w:sz w:val="18"/>
          <w:szCs w:val="18"/>
          <w:lang w:val="en-US"/>
        </w:rPr>
        <w:t xml:space="preserve"> 1,107 million (+23%) in line with the price forecast in the Wholesale Electricity (Capacity) Market and the approved standard amount of losses;</w:t>
      </w:r>
    </w:p>
    <w:p w14:paraId="5E293002" w14:textId="13FCCE45"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4. Decrease in expenses for </w:t>
      </w:r>
      <w:r w:rsidR="00396716" w:rsidRPr="00BD295E">
        <w:rPr>
          <w:rFonts w:ascii="Arial" w:hAnsi="Arial" w:cs="Arial"/>
          <w:sz w:val="18"/>
          <w:szCs w:val="18"/>
          <w:lang w:val="en-US"/>
        </w:rPr>
        <w:t>services of related grids by RUB</w:t>
      </w:r>
      <w:r w:rsidRPr="00BD295E">
        <w:rPr>
          <w:rFonts w:ascii="Arial" w:hAnsi="Arial" w:cs="Arial"/>
          <w:sz w:val="18"/>
          <w:szCs w:val="18"/>
          <w:lang w:val="en-US"/>
        </w:rPr>
        <w:t xml:space="preserve"> 3,658 million (–59%) in line with the decision of the regulator (due to the signing of a contract for the operation of grid assets of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by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6D239FA1" w14:textId="73102FA4" w:rsidR="006E16B5" w:rsidRPr="00BD295E" w:rsidRDefault="00B61322" w:rsidP="00B61322">
      <w:pPr>
        <w:pStyle w:val="1ff8"/>
        <w:ind w:right="2125"/>
        <w:rPr>
          <w:rFonts w:eastAsia="Calibri"/>
          <w:sz w:val="20"/>
          <w:szCs w:val="20"/>
          <w:lang w:eastAsia="en-US"/>
        </w:rPr>
      </w:pPr>
      <w:r w:rsidRPr="00BD295E">
        <w:rPr>
          <w:sz w:val="20"/>
          <w:szCs w:val="20"/>
        </w:rPr>
        <w:t>Leningrad Region</w:t>
      </w:r>
    </w:p>
    <w:p w14:paraId="0AAFDAB4" w14:textId="516EA3F5" w:rsidR="006E16B5" w:rsidRPr="00BD295E" w:rsidRDefault="00E9426C" w:rsidP="006E16B5">
      <w:pPr>
        <w:pStyle w:val="af3"/>
        <w:tabs>
          <w:tab w:val="left" w:pos="567"/>
        </w:tabs>
        <w:ind w:left="0"/>
        <w:jc w:val="both"/>
        <w:rPr>
          <w:rFonts w:ascii="Arial" w:eastAsia="Calibri" w:hAnsi="Arial" w:cs="Arial"/>
          <w:sz w:val="18"/>
          <w:szCs w:val="18"/>
          <w:lang w:val="en-US"/>
        </w:rPr>
      </w:pPr>
      <w:r w:rsidRPr="00BD295E">
        <w:rPr>
          <w:rFonts w:ascii="Arial" w:hAnsi="Arial" w:cs="Arial"/>
          <w:sz w:val="18"/>
          <w:szCs w:val="18"/>
          <w:lang w:val="en-US" w:eastAsia="en-US"/>
        </w:rPr>
        <mc:AlternateContent>
          <mc:Choice Requires="wps">
            <w:drawing>
              <wp:anchor distT="45720" distB="45720" distL="114300" distR="114300" simplePos="0" relativeHeight="251780608" behindDoc="0" locked="0" layoutInCell="1" allowOverlap="1" wp14:anchorId="5AF9C6DC" wp14:editId="075FF692">
                <wp:simplePos x="0" y="0"/>
                <wp:positionH relativeFrom="margin">
                  <wp:posOffset>123180</wp:posOffset>
                </wp:positionH>
                <wp:positionV relativeFrom="paragraph">
                  <wp:posOffset>705249</wp:posOffset>
                </wp:positionV>
                <wp:extent cx="217170" cy="1575427"/>
                <wp:effectExtent l="0" t="0" r="0" b="6350"/>
                <wp:wrapNone/>
                <wp:docPr id="5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575427"/>
                        </a:xfrm>
                        <a:prstGeom prst="rect">
                          <a:avLst/>
                        </a:prstGeom>
                        <a:solidFill>
                          <a:schemeClr val="bg1"/>
                        </a:solidFill>
                        <a:ln w="9525">
                          <a:noFill/>
                          <a:miter lim="800000"/>
                          <a:headEnd/>
                          <a:tailEnd/>
                        </a:ln>
                      </wps:spPr>
                      <wps:txbx>
                        <w:txbxContent>
                          <w:p w14:paraId="7ADAB87B" w14:textId="77777777" w:rsidR="002C3947" w:rsidRPr="007C31A4" w:rsidRDefault="002C3947" w:rsidP="00B61322">
                            <w:pPr>
                              <w:jc w:val="center"/>
                              <w:rPr>
                                <w:rFonts w:ascii="Arial" w:hAnsi="Arial" w:cs="Arial"/>
                                <w:b/>
                                <w:bCs/>
                                <w:sz w:val="16"/>
                              </w:rPr>
                            </w:pPr>
                            <w:r w:rsidRPr="007C31A4">
                              <w:rPr>
                                <w:rFonts w:ascii="Arial" w:hAnsi="Arial" w:cs="Arial"/>
                                <w:b/>
                                <w:bCs/>
                                <w:sz w:val="16"/>
                              </w:rPr>
                              <w:t>RUB million</w:t>
                            </w:r>
                          </w:p>
                        </w:txbxContent>
                      </wps:txbx>
                      <wps:bodyPr rot="0" vert="vert270"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F9C6DC" id="_x0000_s1074" type="#_x0000_t202" style="position:absolute;left:0;text-align:left;margin-left:9.7pt;margin-top:55.55pt;width:17.1pt;height:124.05pt;z-index:25178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" fillcolor="white [3212]" stroked="f">
                <v:textbox style="layout-flow:vertical;mso-layout-flow-alt:bottom-to-top" inset="0,0,0,0">
                  <w:txbxContent>
                    <w:p w14:paraId="7ADAB87B" w14:textId="77777777" w:rsidR="002C3947" w:rsidRPr="007C31A4" w:rsidRDefault="002C3947" w:rsidP="00B61322">
                      <w:pPr>
                        <w:jc w:val="center"/>
                        <w:rPr>
                          <w:rFonts w:ascii="Arial" w:hAnsi="Arial" w:cs="Arial"/>
                          <w:b/>
                          <w:bCs/>
                          <w:sz w:val="16"/>
                        </w:rPr>
                      </w:pPr>
                      <w:r w:rsidRPr="007C31A4">
                        <w:rPr>
                          <w:rFonts w:ascii="Arial" w:hAnsi="Arial" w:cs="Arial"/>
                          <w:b/>
                          <w:bCs/>
                          <w:sz w:val="16"/>
                        </w:rPr>
                        <w:t>RUB million</w:t>
                      </w:r>
                    </w:p>
                  </w:txbxContent>
                </v:textbox>
                <w10:wrap anchorx="margin"/>
              </v:shape>
            </w:pict>
          </mc:Fallback>
        </mc:AlternateContent>
      </w:r>
      <w:r w:rsidR="00B61322" w:rsidRPr="00BD295E">
        <w:rPr>
          <w:rFonts w:ascii="Arial" w:hAnsi="Arial" w:cs="Arial"/>
          <w:sz w:val="18"/>
          <w:szCs w:val="18"/>
          <w:lang w:val="en-US" w:eastAsia="en-US"/>
        </w:rPr>
        <mc:AlternateContent>
          <mc:Choice Requires="wps">
            <w:drawing>
              <wp:anchor distT="45720" distB="45720" distL="114300" distR="114300" simplePos="0" relativeHeight="251781632" behindDoc="0" locked="0" layoutInCell="1" allowOverlap="1" wp14:anchorId="59F0ED0D" wp14:editId="6E337502">
                <wp:simplePos x="0" y="0"/>
                <wp:positionH relativeFrom="column">
                  <wp:posOffset>4434664</wp:posOffset>
                </wp:positionH>
                <wp:positionV relativeFrom="paragraph">
                  <wp:posOffset>450666</wp:posOffset>
                </wp:positionV>
                <wp:extent cx="1825822" cy="1936026"/>
                <wp:effectExtent l="0" t="0" r="3175" b="7620"/>
                <wp:wrapNone/>
                <wp:docPr id="5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822" cy="1936026"/>
                        </a:xfrm>
                        <a:prstGeom prst="rect">
                          <a:avLst/>
                        </a:prstGeom>
                        <a:solidFill>
                          <a:schemeClr val="bg1"/>
                        </a:solidFill>
                        <a:ln w="9525">
                          <a:noFill/>
                          <a:miter lim="800000"/>
                          <a:headEnd/>
                          <a:tailEnd/>
                        </a:ln>
                      </wps:spPr>
                      <wps:txbx>
                        <w:txbxContent>
                          <w:p w14:paraId="54304A49" w14:textId="77777777" w:rsidR="002C3947" w:rsidRPr="00B61322" w:rsidRDefault="002C3947" w:rsidP="00B61322">
                            <w:pPr>
                              <w:ind w:left="284" w:hanging="284"/>
                              <w:rPr>
                                <w:rFonts w:ascii="Arial" w:hAnsi="Arial" w:cs="Arial"/>
                                <w:sz w:val="16"/>
                              </w:rPr>
                            </w:pPr>
                            <w:r w:rsidRPr="00B61322">
                              <w:rPr>
                                <w:rFonts w:ascii="Arial" w:hAnsi="Arial" w:cs="Arial"/>
                                <w:color w:val="D6DCE5"/>
                                <w:sz w:val="16"/>
                              </w:rPr>
                              <w:sym w:font="Wingdings 2" w:char="F0A2"/>
                            </w:r>
                            <w:r w:rsidRPr="00B61322">
                              <w:rPr>
                                <w:rFonts w:ascii="Arial" w:hAnsi="Arial" w:cs="Arial"/>
                                <w:color w:val="D6DCE5"/>
                                <w:sz w:val="16"/>
                              </w:rPr>
                              <w:tab/>
                            </w:r>
                            <w:r w:rsidRPr="00B61322">
                              <w:rPr>
                                <w:rFonts w:ascii="Arial" w:hAnsi="Arial" w:cs="Arial"/>
                                <w:sz w:val="16"/>
                              </w:rPr>
                              <w:t>Grid losses of PJSC “Lenenergo”</w:t>
                            </w:r>
                          </w:p>
                          <w:p w14:paraId="5B9EC65B" w14:textId="77777777" w:rsidR="002C3947" w:rsidRPr="00B61322" w:rsidRDefault="002C3947" w:rsidP="00B61322">
                            <w:pPr>
                              <w:spacing w:before="360"/>
                              <w:ind w:left="284" w:hanging="284"/>
                              <w:rPr>
                                <w:rFonts w:ascii="Arial" w:hAnsi="Arial" w:cs="Arial"/>
                                <w:sz w:val="16"/>
                              </w:rPr>
                            </w:pPr>
                            <w:r w:rsidRPr="00B61322">
                              <w:rPr>
                                <w:rFonts w:ascii="Arial" w:hAnsi="Arial" w:cs="Arial"/>
                                <w:color w:val="ADB9CA"/>
                                <w:sz w:val="16"/>
                              </w:rPr>
                              <w:sym w:font="Wingdings 2" w:char="F0A2"/>
                            </w:r>
                            <w:r w:rsidRPr="00B61322">
                              <w:rPr>
                                <w:rFonts w:ascii="Arial" w:hAnsi="Arial" w:cs="Arial"/>
                                <w:color w:val="ADB9CA"/>
                                <w:sz w:val="16"/>
                              </w:rPr>
                              <w:tab/>
                            </w:r>
                            <w:r w:rsidRPr="00B61322">
                              <w:rPr>
                                <w:rFonts w:ascii="Arial" w:hAnsi="Arial" w:cs="Arial"/>
                                <w:sz w:val="16"/>
                              </w:rPr>
                              <w:t>Other TGOs</w:t>
                            </w:r>
                          </w:p>
                          <w:p w14:paraId="752C8A37" w14:textId="77777777" w:rsidR="002C3947" w:rsidRPr="00B61322" w:rsidRDefault="002C3947" w:rsidP="00B61322">
                            <w:pPr>
                              <w:spacing w:before="360"/>
                              <w:ind w:left="284" w:hanging="284"/>
                              <w:rPr>
                                <w:rFonts w:ascii="Arial" w:hAnsi="Arial" w:cs="Arial"/>
                                <w:sz w:val="16"/>
                              </w:rPr>
                            </w:pPr>
                            <w:r w:rsidRPr="00B61322">
                              <w:rPr>
                                <w:rFonts w:ascii="Arial" w:hAnsi="Arial" w:cs="Arial"/>
                                <w:color w:val="8497B0"/>
                                <w:sz w:val="16"/>
                              </w:rPr>
                              <w:sym w:font="Wingdings 2" w:char="F0A2"/>
                            </w:r>
                            <w:r>
                              <w:rPr>
                                <w:rFonts w:ascii="Arial" w:hAnsi="Arial" w:cs="Arial"/>
                                <w:sz w:val="16"/>
                              </w:rPr>
                              <w:tab/>
                            </w:r>
                            <w:r w:rsidRPr="00B61322">
                              <w:rPr>
                                <w:rFonts w:ascii="Arial" w:hAnsi="Arial" w:cs="Arial"/>
                                <w:sz w:val="16"/>
                              </w:rPr>
                              <w:t xml:space="preserve"> “FGC UES”, PJSC </w:t>
                            </w:r>
                          </w:p>
                          <w:p w14:paraId="48BF552B" w14:textId="77777777" w:rsidR="002C3947" w:rsidRPr="00CC44B5" w:rsidRDefault="002C3947" w:rsidP="00B61322">
                            <w:pPr>
                              <w:spacing w:before="360"/>
                              <w:ind w:left="284" w:hanging="284"/>
                              <w:rPr>
                                <w:rFonts w:ascii="Arial" w:hAnsi="Arial" w:cs="Arial"/>
                                <w:sz w:val="16"/>
                              </w:rPr>
                            </w:pPr>
                            <w:r w:rsidRPr="00B61322">
                              <w:rPr>
                                <w:rFonts w:ascii="Arial" w:hAnsi="Arial" w:cs="Arial"/>
                                <w:color w:val="333F50"/>
                                <w:sz w:val="16"/>
                              </w:rPr>
                              <w:sym w:font="Wingdings 2" w:char="F0A2"/>
                            </w:r>
                            <w:r>
                              <w:rPr>
                                <w:rFonts w:ascii="Arial" w:hAnsi="Arial" w:cs="Arial"/>
                                <w:sz w:val="16"/>
                              </w:rPr>
                              <w:tab/>
                            </w:r>
                            <w:r w:rsidRPr="00B61322">
                              <w:rPr>
                                <w:rFonts w:ascii="Arial" w:hAnsi="Arial" w:cs="Arial"/>
                                <w:sz w:val="16"/>
                              </w:rPr>
                              <w:t>Own MRR of PJSC “Lenenergo”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F0ED0D" id="_x0000_s1075" type="#_x0000_t202" style="position:absolute;left:0;text-align:left;margin-left:349.2pt;margin-top:35.5pt;width:143.75pt;height:152.45pt;z-index:25178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" fillcolor="white [3212]" stroked="f">
                <v:textbox inset="0,0,0,0">
                  <w:txbxContent>
                    <w:p w14:paraId="54304A49" w14:textId="77777777" w:rsidR="002C3947" w:rsidRPr="00B61322" w:rsidRDefault="002C3947" w:rsidP="00B61322">
                      <w:pPr>
                        <w:ind w:left="284" w:hanging="284"/>
                        <w:rPr>
                          <w:rFonts w:ascii="Arial" w:hAnsi="Arial" w:cs="Arial"/>
                          <w:sz w:val="16"/>
                        </w:rPr>
                      </w:pPr>
                      <w:r w:rsidRPr="00B61322">
                        <w:rPr>
                          <w:rFonts w:ascii="Arial" w:hAnsi="Arial" w:cs="Arial"/>
                          <w:color w:val="D6DCE5"/>
                          <w:sz w:val="16"/>
                        </w:rPr>
                        <w:sym w:font="Wingdings 2" w:char="F0A2"/>
                      </w:r>
                      <w:r w:rsidRPr="00B61322">
                        <w:rPr>
                          <w:rFonts w:ascii="Arial" w:hAnsi="Arial" w:cs="Arial"/>
                          <w:color w:val="D6DCE5"/>
                          <w:sz w:val="16"/>
                        </w:rPr>
                        <w:tab/>
                      </w:r>
                      <w:r w:rsidRPr="00B61322">
                        <w:rPr>
                          <w:rFonts w:ascii="Arial" w:hAnsi="Arial" w:cs="Arial"/>
                          <w:sz w:val="16"/>
                        </w:rPr>
                        <w:t>Grid losses of PJSC “Lenenergo”</w:t>
                      </w:r>
                    </w:p>
                    <w:p w14:paraId="5B9EC65B" w14:textId="77777777" w:rsidR="002C3947" w:rsidRPr="00B61322" w:rsidRDefault="002C3947" w:rsidP="00B61322">
                      <w:pPr>
                        <w:spacing w:before="360"/>
                        <w:ind w:left="284" w:hanging="284"/>
                        <w:rPr>
                          <w:rFonts w:ascii="Arial" w:hAnsi="Arial" w:cs="Arial"/>
                          <w:sz w:val="16"/>
                        </w:rPr>
                      </w:pPr>
                      <w:r w:rsidRPr="00B61322">
                        <w:rPr>
                          <w:rFonts w:ascii="Arial" w:hAnsi="Arial" w:cs="Arial"/>
                          <w:color w:val="ADB9CA"/>
                          <w:sz w:val="16"/>
                        </w:rPr>
                        <w:sym w:font="Wingdings 2" w:char="F0A2"/>
                      </w:r>
                      <w:r w:rsidRPr="00B61322">
                        <w:rPr>
                          <w:rFonts w:ascii="Arial" w:hAnsi="Arial" w:cs="Arial"/>
                          <w:color w:val="ADB9CA"/>
                          <w:sz w:val="16"/>
                        </w:rPr>
                        <w:tab/>
                      </w:r>
                      <w:r w:rsidRPr="00B61322">
                        <w:rPr>
                          <w:rFonts w:ascii="Arial" w:hAnsi="Arial" w:cs="Arial"/>
                          <w:sz w:val="16"/>
                        </w:rPr>
                        <w:t>Other TGOs</w:t>
                      </w:r>
                    </w:p>
                    <w:p w14:paraId="752C8A37" w14:textId="77777777" w:rsidR="002C3947" w:rsidRPr="00B61322" w:rsidRDefault="002C3947" w:rsidP="00B61322">
                      <w:pPr>
                        <w:spacing w:before="360"/>
                        <w:ind w:left="284" w:hanging="284"/>
                        <w:rPr>
                          <w:rFonts w:ascii="Arial" w:hAnsi="Arial" w:cs="Arial"/>
                          <w:sz w:val="16"/>
                        </w:rPr>
                      </w:pPr>
                      <w:r w:rsidRPr="00B61322">
                        <w:rPr>
                          <w:rFonts w:ascii="Arial" w:hAnsi="Arial" w:cs="Arial"/>
                          <w:color w:val="8497B0"/>
                          <w:sz w:val="16"/>
                        </w:rPr>
                        <w:sym w:font="Wingdings 2" w:char="F0A2"/>
                      </w:r>
                      <w:r>
                        <w:rPr>
                          <w:rFonts w:ascii="Arial" w:hAnsi="Arial" w:cs="Arial"/>
                          <w:sz w:val="16"/>
                        </w:rPr>
                        <w:tab/>
                      </w:r>
                      <w:r w:rsidRPr="00B61322">
                        <w:rPr>
                          <w:rFonts w:ascii="Arial" w:hAnsi="Arial" w:cs="Arial"/>
                          <w:sz w:val="16"/>
                        </w:rPr>
                        <w:t xml:space="preserve"> “FGC UES”, PJSC </w:t>
                      </w:r>
                    </w:p>
                    <w:p w14:paraId="48BF552B" w14:textId="77777777" w:rsidR="002C3947" w:rsidRPr="00CC44B5" w:rsidRDefault="002C3947" w:rsidP="00B61322">
                      <w:pPr>
                        <w:spacing w:before="360"/>
                        <w:ind w:left="284" w:hanging="284"/>
                        <w:rPr>
                          <w:rFonts w:ascii="Arial" w:hAnsi="Arial" w:cs="Arial"/>
                          <w:sz w:val="16"/>
                        </w:rPr>
                      </w:pPr>
                      <w:r w:rsidRPr="00B61322">
                        <w:rPr>
                          <w:rFonts w:ascii="Arial" w:hAnsi="Arial" w:cs="Arial"/>
                          <w:color w:val="333F50"/>
                          <w:sz w:val="16"/>
                        </w:rPr>
                        <w:sym w:font="Wingdings 2" w:char="F0A2"/>
                      </w:r>
                      <w:r>
                        <w:rPr>
                          <w:rFonts w:ascii="Arial" w:hAnsi="Arial" w:cs="Arial"/>
                          <w:sz w:val="16"/>
                        </w:rPr>
                        <w:tab/>
                      </w:r>
                      <w:r w:rsidRPr="00B61322">
                        <w:rPr>
                          <w:rFonts w:ascii="Arial" w:hAnsi="Arial" w:cs="Arial"/>
                          <w:sz w:val="16"/>
                        </w:rPr>
                        <w:t>Own MRR of PJSC “Lenenergo”</w:t>
                      </w:r>
                    </w:p>
                  </w:txbxContent>
                </v:textbox>
              </v:shape>
            </w:pict>
          </mc:Fallback>
        </mc:AlternateContent>
      </w:r>
      <w:r w:rsidR="00997D07" w:rsidRPr="00BD295E">
        <w:rPr>
          <w:rFonts w:ascii="Arial" w:hAnsi="Arial" w:cs="Arial"/>
          <w:sz w:val="18"/>
          <w:szCs w:val="18"/>
          <w:lang w:val="en-US" w:eastAsia="en-US"/>
        </w:rPr>
        <w:drawing>
          <wp:inline distT="0" distB="0" distL="0" distR="0" wp14:anchorId="3161446D" wp14:editId="189DD2D0">
            <wp:extent cx="5943600" cy="3150533"/>
            <wp:effectExtent l="0" t="0" r="0" b="0"/>
            <wp:docPr id="20" name="Диаграмма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8"/>
                    <pic:cNvPicPr>
                      <a:picLocks noChangeArrowheads="1"/>
                    </pic:cNvPicPr>
                  </pic:nvPicPr>
                  <pic:blipFill rotWithShape="1">
                    <a:blip r:embed="rId38">
                      <a:extLst>
                        <a:ext uri="{28A0092B-C50C-407E-A947-70E740481C1C}">
                          <a14:useLocalDpi xmlns:a14="http://schemas.microsoft.com/office/drawing/2010/main" val="0"/>
                        </a:ext>
                      </a:extLst>
                    </a:blip>
                    <a:srcRect l="-3549" t="6452" r="-4659" b="-7583"/>
                    <a:stretch/>
                  </pic:blipFill>
                  <pic:spPr bwMode="auto">
                    <a:xfrm>
                      <a:off x="0" y="0"/>
                      <a:ext cx="5943600" cy="3150533"/>
                    </a:xfrm>
                    <a:prstGeom prst="rect">
                      <a:avLst/>
                    </a:prstGeom>
                    <a:noFill/>
                    <a:ln>
                      <a:noFill/>
                    </a:ln>
                    <a:extLst>
                      <a:ext uri="{53640926-AAD7-44D8-BBD7-CCE9431645EC}">
                        <a14:shadowObscured xmlns:a14="http://schemas.microsoft.com/office/drawing/2010/main"/>
                      </a:ext>
                    </a:extLst>
                  </pic:spPr>
                </pic:pic>
              </a:graphicData>
            </a:graphic>
          </wp:inline>
        </w:drawing>
      </w:r>
    </w:p>
    <w:p w14:paraId="084F5941"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Year-on-year changes in the approved minimum regulated revenue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the Leningrad Region in 2018 (up by RUB 3,877 million or 18%) were driven by the following factors:</w:t>
      </w:r>
    </w:p>
    <w:p w14:paraId="671FD00D" w14:textId="486D9A39"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1. The Company’s own MRR for 2018 was increased year-</w:t>
      </w:r>
      <w:r w:rsidR="008F2360" w:rsidRPr="00BD295E">
        <w:rPr>
          <w:rFonts w:ascii="Arial" w:hAnsi="Arial" w:cs="Arial"/>
          <w:sz w:val="18"/>
          <w:szCs w:val="18"/>
          <w:lang w:val="en-US"/>
        </w:rPr>
        <w:t>on-year by RUB 3,003 million (</w:t>
      </w:r>
      <w:r w:rsidRPr="00BD295E">
        <w:rPr>
          <w:rFonts w:ascii="Arial" w:hAnsi="Arial" w:cs="Arial"/>
          <w:sz w:val="18"/>
          <w:szCs w:val="18"/>
          <w:lang w:val="en-US"/>
        </w:rPr>
        <w:t>+35%) due to the following factors:</w:t>
      </w:r>
    </w:p>
    <w:p w14:paraId="4A7D80D4"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1.1 When determining the own MRR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2017, the Tariffs Committee of the Leningrad Region applied the negative “smoothing” mechanism in the amount of RUB (–1,489) million, for 2018 the amount of “smoothing” was approved at RUB (+189) million: as a result, in 2018 the own MRR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increased year-on-year by RUB 1,678.</w:t>
      </w:r>
    </w:p>
    <w:p w14:paraId="4BC41364"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1.2.  An increase in ROE by RUB 659 million (+28%), as well as an increase in ROE by RUB 188 million (+7%) in line with the planned implementation of the investment program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3C28BD05"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1.3. An increase in the amount of MRR adjustment for 2018 based on the actual performance for 2016 relative to the adjustment of MRR for 2017 based on the performance for 2015 by RUB 514 million (+606%).</w:t>
      </w:r>
    </w:p>
    <w:p w14:paraId="01E82C8E"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1.4. Increase in non-controlled expenses by RUB 158 million (+13%) mainly due to property lease expenses (increase by RUB 99 million) and profit tax (increase by RUB 35 million);</w:t>
      </w:r>
    </w:p>
    <w:p w14:paraId="4301FEDB"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1.5. An increase of controlled expenses by RUB 53 million (+2%) due to an increase in the amount of equipment serviced and the inflation level; </w:t>
      </w:r>
    </w:p>
    <w:p w14:paraId="3E9AE50A" w14:textId="77777777" w:rsidR="006E16B5" w:rsidRPr="00BD295E" w:rsidRDefault="006E16B5" w:rsidP="000E42B1">
      <w:pPr>
        <w:jc w:val="both"/>
        <w:rPr>
          <w:rFonts w:ascii="Arial" w:hAnsi="Arial" w:cs="Arial"/>
          <w:sz w:val="18"/>
          <w:szCs w:val="18"/>
          <w:lang w:val="en-US"/>
        </w:rPr>
      </w:pPr>
    </w:p>
    <w:p w14:paraId="57517411" w14:textId="724E763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2. Increase in service costs of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 by</w:t>
      </w:r>
      <w:r w:rsidR="00396716" w:rsidRPr="00BD295E">
        <w:rPr>
          <w:rFonts w:ascii="Arial" w:hAnsi="Arial" w:cs="Arial"/>
          <w:sz w:val="18"/>
          <w:szCs w:val="18"/>
          <w:lang w:val="en-US"/>
        </w:rPr>
        <w:t xml:space="preserve"> RUB</w:t>
      </w:r>
      <w:r w:rsidRPr="00BD295E">
        <w:rPr>
          <w:rFonts w:ascii="Arial" w:hAnsi="Arial" w:cs="Arial"/>
          <w:sz w:val="18"/>
          <w:szCs w:val="18"/>
          <w:lang w:val="en-US"/>
        </w:rPr>
        <w:t xml:space="preserve"> 246 million (+9%) in accordance with the decision of the regulator;</w:t>
      </w:r>
    </w:p>
    <w:p w14:paraId="6ADE9C4C" w14:textId="48D0DEE6"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3. Increase in exp</w:t>
      </w:r>
      <w:r w:rsidR="00396716" w:rsidRPr="00BD295E">
        <w:rPr>
          <w:rFonts w:ascii="Arial" w:hAnsi="Arial" w:cs="Arial"/>
          <w:sz w:val="18"/>
          <w:szCs w:val="18"/>
          <w:lang w:val="en-US"/>
        </w:rPr>
        <w:t>enses for payment of loss by RUB</w:t>
      </w:r>
      <w:r w:rsidRPr="00BD295E">
        <w:rPr>
          <w:rFonts w:ascii="Arial" w:hAnsi="Arial" w:cs="Arial"/>
          <w:sz w:val="18"/>
          <w:szCs w:val="18"/>
          <w:lang w:val="en-US"/>
        </w:rPr>
        <w:t xml:space="preserve"> 244 million (+9%) in line with the price forecast in the Wholesale Electricity (Capacity) Market and the approved standard amount of losses;</w:t>
      </w:r>
    </w:p>
    <w:p w14:paraId="791EED91" w14:textId="46CDFBBB"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4. Decrease in expenses for servic</w:t>
      </w:r>
      <w:r w:rsidR="00396716" w:rsidRPr="00BD295E">
        <w:rPr>
          <w:rFonts w:ascii="Arial" w:hAnsi="Arial" w:cs="Arial"/>
          <w:sz w:val="18"/>
          <w:szCs w:val="18"/>
          <w:lang w:val="en-US"/>
        </w:rPr>
        <w:t>es of related grids by RUB</w:t>
      </w:r>
      <w:r w:rsidRPr="00BD295E">
        <w:rPr>
          <w:rFonts w:ascii="Arial" w:hAnsi="Arial" w:cs="Arial"/>
          <w:sz w:val="18"/>
          <w:szCs w:val="18"/>
          <w:lang w:val="en-US"/>
        </w:rPr>
        <w:t xml:space="preserve"> 385 million. (+5%) in accordance with the decision of the regulator.</w:t>
      </w:r>
    </w:p>
    <w:p w14:paraId="328CCB7D" w14:textId="77777777" w:rsidR="006E16B5" w:rsidRPr="00BD295E" w:rsidRDefault="006E16B5" w:rsidP="000E42B1">
      <w:pPr>
        <w:rPr>
          <w:rFonts w:ascii="Arial" w:hAnsi="Arial" w:cs="Arial"/>
          <w:b/>
          <w:sz w:val="18"/>
          <w:szCs w:val="18"/>
          <w:lang w:val="en-US"/>
        </w:rPr>
      </w:pPr>
    </w:p>
    <w:p w14:paraId="5E673EF8" w14:textId="77777777" w:rsidR="009D5388" w:rsidRPr="00BD295E" w:rsidRDefault="008A5057" w:rsidP="000E42B1">
      <w:pPr>
        <w:rPr>
          <w:rFonts w:ascii="Arial" w:hAnsi="Arial" w:cs="Arial"/>
          <w:b/>
          <w:sz w:val="18"/>
          <w:szCs w:val="18"/>
          <w:lang w:val="en-US"/>
        </w:rPr>
      </w:pPr>
      <w:r w:rsidRPr="00BD295E">
        <w:rPr>
          <w:rFonts w:ascii="Arial" w:hAnsi="Arial" w:cs="Arial"/>
          <w:b/>
          <w:sz w:val="18"/>
          <w:szCs w:val="18"/>
          <w:lang w:val="en-US"/>
        </w:rPr>
        <w:t>Grid connection rates</w:t>
      </w:r>
    </w:p>
    <w:p w14:paraId="39E791A7" w14:textId="77777777" w:rsidR="009D5388" w:rsidRPr="00BD295E" w:rsidRDefault="009D5388" w:rsidP="000E42B1">
      <w:pPr>
        <w:rPr>
          <w:rFonts w:ascii="Arial" w:hAnsi="Arial" w:cs="Arial"/>
          <w:b/>
          <w:sz w:val="18"/>
          <w:szCs w:val="18"/>
          <w:lang w:val="en-US"/>
        </w:rPr>
      </w:pPr>
    </w:p>
    <w:p w14:paraId="03CB7A2E" w14:textId="77777777" w:rsidR="006E16B5" w:rsidRPr="00BD295E" w:rsidRDefault="008A5057" w:rsidP="000E42B1">
      <w:pPr>
        <w:jc w:val="both"/>
        <w:rPr>
          <w:rFonts w:ascii="Arial" w:hAnsi="Arial" w:cs="Arial"/>
          <w:b/>
          <w:sz w:val="18"/>
          <w:szCs w:val="18"/>
          <w:lang w:val="en-US"/>
        </w:rPr>
      </w:pPr>
      <w:r w:rsidRPr="00BD295E">
        <w:rPr>
          <w:rFonts w:ascii="Arial" w:hAnsi="Arial" w:cs="Arial"/>
          <w:b/>
          <w:sz w:val="18"/>
          <w:szCs w:val="18"/>
          <w:lang w:val="en-US"/>
        </w:rPr>
        <w:t>Grid connection fee rates set by the regulator</w:t>
      </w:r>
    </w:p>
    <w:p w14:paraId="301AE744" w14:textId="77777777" w:rsidR="006E16B5" w:rsidRPr="00BD295E" w:rsidRDefault="006E16B5" w:rsidP="000E42B1">
      <w:pPr>
        <w:jc w:val="both"/>
        <w:rPr>
          <w:rFonts w:ascii="Arial" w:hAnsi="Arial" w:cs="Arial"/>
          <w:sz w:val="18"/>
          <w:szCs w:val="18"/>
          <w:lang w:val="en-US"/>
        </w:rPr>
      </w:pPr>
    </w:p>
    <w:p w14:paraId="1326EA28"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Executive authorities of constituent entities of the Russian Federation responsible for state tariff regulation approved the following for 2018:</w:t>
      </w:r>
    </w:p>
    <w:p w14:paraId="56F1BAD3" w14:textId="77777777" w:rsidR="006E16B5" w:rsidRPr="00BD295E" w:rsidRDefault="008A5057" w:rsidP="006E16B5">
      <w:pPr>
        <w:widowControl w:val="0"/>
        <w:autoSpaceDE w:val="0"/>
        <w:autoSpaceDN w:val="0"/>
        <w:adjustRightInd w:val="0"/>
        <w:ind w:firstLine="1276"/>
        <w:jc w:val="both"/>
        <w:rPr>
          <w:rFonts w:ascii="Arial" w:hAnsi="Arial" w:cs="Arial"/>
          <w:sz w:val="18"/>
          <w:szCs w:val="18"/>
          <w:lang w:val="en-US"/>
        </w:rPr>
      </w:pPr>
      <w:r w:rsidRPr="00BD295E">
        <w:rPr>
          <w:rFonts w:ascii="Arial" w:hAnsi="Arial" w:cs="Arial"/>
          <w:sz w:val="18"/>
          <w:szCs w:val="18"/>
          <w:lang w:val="en-US"/>
        </w:rPr>
        <w:t xml:space="preserve">- standardized tariff rates </w:t>
      </w:r>
    </w:p>
    <w:p w14:paraId="129916A2" w14:textId="77777777" w:rsidR="006E16B5" w:rsidRPr="00BD295E" w:rsidRDefault="008A5057" w:rsidP="006E16B5">
      <w:pPr>
        <w:widowControl w:val="0"/>
        <w:autoSpaceDE w:val="0"/>
        <w:autoSpaceDN w:val="0"/>
        <w:adjustRightInd w:val="0"/>
        <w:ind w:firstLine="1276"/>
        <w:jc w:val="both"/>
        <w:rPr>
          <w:rFonts w:ascii="Arial" w:hAnsi="Arial" w:cs="Arial"/>
          <w:sz w:val="18"/>
          <w:szCs w:val="18"/>
          <w:lang w:val="en-US"/>
        </w:rPr>
      </w:pPr>
      <w:r w:rsidRPr="00BD295E">
        <w:rPr>
          <w:rFonts w:ascii="Arial" w:hAnsi="Arial" w:cs="Arial"/>
          <w:sz w:val="18"/>
          <w:szCs w:val="18"/>
          <w:lang w:val="en-US"/>
        </w:rPr>
        <w:t xml:space="preserve">- rates per maximum capacity unit (RUB/kWh) </w:t>
      </w:r>
    </w:p>
    <w:p w14:paraId="1606007F" w14:textId="77777777" w:rsidR="006E16B5" w:rsidRPr="00BD295E" w:rsidRDefault="008A5057" w:rsidP="006E16B5">
      <w:pPr>
        <w:widowControl w:val="0"/>
        <w:autoSpaceDE w:val="0"/>
        <w:autoSpaceDN w:val="0"/>
        <w:adjustRightInd w:val="0"/>
        <w:ind w:firstLine="1276"/>
        <w:jc w:val="both"/>
        <w:rPr>
          <w:rFonts w:ascii="Arial" w:hAnsi="Arial" w:cs="Arial"/>
          <w:sz w:val="18"/>
          <w:szCs w:val="18"/>
          <w:lang w:val="en-US"/>
        </w:rPr>
      </w:pPr>
      <w:r w:rsidRPr="00BD295E">
        <w:rPr>
          <w:rFonts w:ascii="Arial" w:hAnsi="Arial" w:cs="Arial"/>
          <w:sz w:val="18"/>
          <w:szCs w:val="18"/>
          <w:lang w:val="en-US"/>
        </w:rPr>
        <w:t xml:space="preserve">- grid connection fee rate; </w:t>
      </w:r>
    </w:p>
    <w:p w14:paraId="7F4DD216" w14:textId="77777777" w:rsidR="006E16B5" w:rsidRPr="00BD295E" w:rsidRDefault="008A5057" w:rsidP="000E42B1">
      <w:pPr>
        <w:tabs>
          <w:tab w:val="left" w:pos="851"/>
        </w:tabs>
        <w:jc w:val="both"/>
        <w:rPr>
          <w:rFonts w:ascii="Arial" w:hAnsi="Arial" w:cs="Arial"/>
          <w:sz w:val="18"/>
          <w:szCs w:val="18"/>
          <w:lang w:val="en-US"/>
        </w:rPr>
      </w:pPr>
      <w:r w:rsidRPr="00BD295E">
        <w:rPr>
          <w:rFonts w:ascii="Arial" w:hAnsi="Arial" w:cs="Arial"/>
          <w:sz w:val="18"/>
          <w:szCs w:val="18"/>
          <w:lang w:val="en-US"/>
        </w:rPr>
        <w:t xml:space="preserve">From 2018, Order No. 1135/17 of the Federal Antimonopoly Service of Russia, </w:t>
      </w:r>
      <w:r w:rsidRPr="00BD295E">
        <w:rPr>
          <w:rFonts w:ascii="Arial" w:hAnsi="Arial" w:cs="Arial"/>
          <w:i/>
          <w:iCs/>
          <w:sz w:val="18"/>
          <w:szCs w:val="18"/>
          <w:lang w:val="en-US"/>
        </w:rPr>
        <w:t>On approving the guidelines for determining the amount of payment for electric grid connection</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August 29, 2017, has changed the pricing principles for grid connection fee rates. For 2018, regulators approved unified fee rates per unit of maximum capacity and standardized tariff rates for all </w:t>
      </w:r>
      <w:r w:rsidR="000D659F" w:rsidRPr="00BD295E">
        <w:rPr>
          <w:rFonts w:ascii="Arial" w:hAnsi="Arial" w:cs="Arial"/>
          <w:sz w:val="18"/>
          <w:szCs w:val="18"/>
          <w:lang w:val="en-US"/>
        </w:rPr>
        <w:t>local grids</w:t>
      </w:r>
      <w:r w:rsidRPr="00BD295E">
        <w:rPr>
          <w:rFonts w:ascii="Arial" w:hAnsi="Arial" w:cs="Arial"/>
          <w:sz w:val="18"/>
          <w:szCs w:val="18"/>
          <w:lang w:val="en-US"/>
        </w:rPr>
        <w:t xml:space="preserve"> of a constituent entity of the Russian Federation based on the average actual costs for the previous three years for all TGOs in the respective region.</w:t>
      </w:r>
    </w:p>
    <w:p w14:paraId="6781A0E8" w14:textId="77777777" w:rsidR="006E16B5" w:rsidRPr="00BD295E" w:rsidRDefault="006E16B5" w:rsidP="000E42B1">
      <w:pPr>
        <w:jc w:val="both"/>
        <w:rPr>
          <w:rFonts w:ascii="Arial" w:hAnsi="Arial" w:cs="Arial"/>
          <w:sz w:val="18"/>
          <w:szCs w:val="18"/>
          <w:lang w:val="en-US"/>
        </w:rPr>
      </w:pPr>
    </w:p>
    <w:p w14:paraId="7306DB7D" w14:textId="0C9EF19D" w:rsidR="006E16B5" w:rsidRPr="00BD295E" w:rsidRDefault="008A5057" w:rsidP="000E42B1">
      <w:pPr>
        <w:numPr>
          <w:ilvl w:val="0"/>
          <w:numId w:val="68"/>
        </w:numPr>
        <w:tabs>
          <w:tab w:val="left" w:pos="709"/>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In its Directive No. 253-r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 the Tariff Committee of Saint Petersburg approved the tariff rates for 2018 for electric grid connection in Saint Petersburg for all </w:t>
      </w:r>
      <w:r w:rsidR="000D659F" w:rsidRPr="00BD295E">
        <w:rPr>
          <w:rFonts w:ascii="Arial" w:hAnsi="Arial" w:cs="Arial"/>
          <w:sz w:val="18"/>
          <w:szCs w:val="18"/>
          <w:lang w:val="en-US"/>
        </w:rPr>
        <w:t>local grids</w:t>
      </w:r>
      <w:r w:rsidRPr="00BD295E">
        <w:rPr>
          <w:rFonts w:ascii="Arial" w:hAnsi="Arial" w:cs="Arial"/>
          <w:sz w:val="18"/>
          <w:szCs w:val="18"/>
          <w:lang w:val="en-US"/>
        </w:rPr>
        <w:t xml:space="preserve">, including for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of Lenenergo: </w:t>
      </w:r>
      <w:r w:rsidR="006515AB" w:rsidRPr="00BD295E">
        <w:rPr>
          <w:rFonts w:ascii="Arial" w:hAnsi="Arial" w:cs="Arial"/>
          <w:sz w:val="18"/>
          <w:szCs w:val="18"/>
          <w:lang w:val="en-US"/>
        </w:rPr>
        <w:t>JSC “Kurortenergo”</w:t>
      </w:r>
      <w:r w:rsidRPr="00BD295E">
        <w:rPr>
          <w:rFonts w:ascii="Arial" w:hAnsi="Arial" w:cs="Arial"/>
          <w:sz w:val="18"/>
          <w:szCs w:val="18"/>
          <w:lang w:val="en-US"/>
        </w:rPr>
        <w:t xml:space="preserve">, Tsarskoye Selo Energy </w:t>
      </w:r>
      <w:r w:rsidR="002C3947" w:rsidRPr="00BD295E">
        <w:rPr>
          <w:rFonts w:ascii="Arial" w:hAnsi="Arial" w:cs="Arial"/>
          <w:sz w:val="18"/>
          <w:szCs w:val="18"/>
          <w:lang w:val="en-US"/>
        </w:rPr>
        <w:t>Company,</w:t>
      </w:r>
      <w:r w:rsidRPr="00BD295E">
        <w:rPr>
          <w:rFonts w:ascii="Arial" w:hAnsi="Arial" w:cs="Arial"/>
          <w:sz w:val="18"/>
          <w:szCs w:val="18"/>
          <w:lang w:val="en-US"/>
        </w:rPr>
        <w:t xml:space="preserve"> JSC, and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For 2018, the regulator approved fee rates per unit of maximum capacity at voltage levels below 35 kV and connected capacity of less than 8,900 kW with differentiation by voltage level and by connected capacity and with a cost breakdown for each activity, as well as standardized tariff rates for calculating the grid connection fee in prices applicable during the regulated period.</w:t>
      </w:r>
    </w:p>
    <w:p w14:paraId="691F4A3C" w14:textId="77777777" w:rsidR="006E16B5" w:rsidRPr="00BD295E" w:rsidRDefault="008A5057" w:rsidP="000E42B1">
      <w:pPr>
        <w:tabs>
          <w:tab w:val="left" w:pos="851"/>
        </w:tabs>
        <w:jc w:val="both"/>
        <w:rPr>
          <w:rFonts w:ascii="Arial" w:hAnsi="Arial" w:cs="Arial"/>
          <w:sz w:val="18"/>
          <w:szCs w:val="18"/>
          <w:lang w:val="en-US"/>
        </w:rPr>
      </w:pPr>
      <w:r w:rsidRPr="00BD295E">
        <w:rPr>
          <w:rFonts w:ascii="Arial" w:hAnsi="Arial" w:cs="Arial"/>
          <w:sz w:val="18"/>
          <w:szCs w:val="18"/>
          <w:lang w:val="en-US"/>
        </w:rPr>
        <w:tab/>
        <w:t xml:space="preserve">  For 2018, in line with the Guidelines of the Federal Antimonopoly Service of Russia, a standardized tariff rate was approved for the first time for organization services </w:t>
      </w:r>
      <w:r w:rsidR="00174C5B" w:rsidRPr="00BD295E">
        <w:rPr>
          <w:rFonts w:ascii="Arial" w:hAnsi="Arial" w:cs="Arial"/>
          <w:sz w:val="18"/>
          <w:szCs w:val="18"/>
          <w:lang w:val="en-US"/>
        </w:rPr>
        <w:t>i</w:t>
      </w:r>
      <w:r w:rsidRPr="00BD295E">
        <w:rPr>
          <w:rFonts w:ascii="Arial" w:hAnsi="Arial" w:cs="Arial"/>
          <w:sz w:val="18"/>
          <w:szCs w:val="18"/>
          <w:lang w:val="en-US"/>
        </w:rPr>
        <w:t xml:space="preserve">n the amount of RUB 39,420 per connection. </w:t>
      </w:r>
    </w:p>
    <w:p w14:paraId="706FDB80" w14:textId="77777777" w:rsidR="006E16B5" w:rsidRPr="00BD295E" w:rsidRDefault="008A5057" w:rsidP="000E42B1">
      <w:pPr>
        <w:tabs>
          <w:tab w:val="left" w:pos="851"/>
        </w:tabs>
        <w:jc w:val="both"/>
        <w:rPr>
          <w:rFonts w:ascii="Arial" w:hAnsi="Arial" w:cs="Arial"/>
          <w:sz w:val="18"/>
          <w:szCs w:val="18"/>
          <w:lang w:val="en-US"/>
        </w:rPr>
      </w:pPr>
      <w:r w:rsidRPr="00BD295E">
        <w:rPr>
          <w:rFonts w:ascii="Arial" w:hAnsi="Arial" w:cs="Arial"/>
          <w:sz w:val="18"/>
          <w:szCs w:val="18"/>
          <w:lang w:val="en-US"/>
        </w:rPr>
        <w:tab/>
      </w:r>
    </w:p>
    <w:p w14:paraId="0E44B96F" w14:textId="77777777" w:rsidR="006E16B5" w:rsidRPr="00BD295E" w:rsidRDefault="008A5057" w:rsidP="000E42B1">
      <w:pPr>
        <w:numPr>
          <w:ilvl w:val="0"/>
          <w:numId w:val="68"/>
        </w:numPr>
        <w:tabs>
          <w:tab w:val="left" w:pos="709"/>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Resolution No. 648-p of the Tariffs and Pricing Policy Committee of the Leningrad Region,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26, 2017, approved unified rates for all territorial grid companies operating in the Leningrad Region. For 2018, the regulator approved fee rates per unit of maximum capacity at voltage levels below 35 kV and connected capacity of less than 8,900 kW with differentiation by voltage level and by connected capacity and with a cost breakdown for each activity, as well as standardized tariff rates for calculating the grid connection fee in prices applicable during the regulated period.</w:t>
      </w:r>
    </w:p>
    <w:p w14:paraId="7D8A9B95" w14:textId="77777777" w:rsidR="006E16B5" w:rsidRPr="00BD295E" w:rsidRDefault="008A5057" w:rsidP="000E42B1">
      <w:pPr>
        <w:tabs>
          <w:tab w:val="left" w:pos="709"/>
          <w:tab w:val="left" w:pos="1134"/>
        </w:tabs>
        <w:jc w:val="both"/>
        <w:rPr>
          <w:rFonts w:ascii="Arial" w:hAnsi="Arial" w:cs="Arial"/>
          <w:sz w:val="18"/>
          <w:szCs w:val="18"/>
          <w:lang w:val="en-US"/>
        </w:rPr>
      </w:pPr>
      <w:r w:rsidRPr="00BD295E">
        <w:rPr>
          <w:rFonts w:ascii="Arial" w:hAnsi="Arial" w:cs="Arial"/>
          <w:sz w:val="18"/>
          <w:szCs w:val="18"/>
          <w:lang w:val="en-US"/>
        </w:rPr>
        <w:tab/>
        <w:t>For 2018, in line with the Guidelines of the Federal Antimonopoly Service of Russia, a standardized tariff rate was approved for the first time for organization services in the amount of RUB 31,139 per connection.</w:t>
      </w:r>
    </w:p>
    <w:p w14:paraId="497F8F2D" w14:textId="77777777" w:rsidR="006E16B5" w:rsidRPr="00BD295E" w:rsidRDefault="008A5057" w:rsidP="000E42B1">
      <w:pPr>
        <w:tabs>
          <w:tab w:val="left" w:pos="426"/>
          <w:tab w:val="left" w:pos="851"/>
        </w:tabs>
        <w:jc w:val="both"/>
        <w:rPr>
          <w:rFonts w:ascii="Arial" w:hAnsi="Arial" w:cs="Arial"/>
          <w:sz w:val="18"/>
          <w:szCs w:val="18"/>
          <w:lang w:val="en-US"/>
        </w:rPr>
      </w:pPr>
      <w:r w:rsidRPr="00BD295E">
        <w:rPr>
          <w:rFonts w:ascii="Arial" w:hAnsi="Arial" w:cs="Arial"/>
          <w:sz w:val="18"/>
          <w:szCs w:val="18"/>
          <w:lang w:val="en-US"/>
        </w:rPr>
        <w:tab/>
      </w:r>
      <w:r w:rsidRPr="00BD295E">
        <w:rPr>
          <w:rFonts w:ascii="Arial" w:hAnsi="Arial" w:cs="Arial"/>
          <w:sz w:val="18"/>
          <w:szCs w:val="18"/>
          <w:lang w:val="en-US"/>
        </w:rPr>
        <w:tab/>
        <w:t xml:space="preserve">The fee per </w:t>
      </w:r>
      <w:r w:rsidR="000D659F" w:rsidRPr="00BD295E">
        <w:rPr>
          <w:rFonts w:ascii="Arial" w:hAnsi="Arial" w:cs="Arial"/>
          <w:sz w:val="18"/>
          <w:szCs w:val="18"/>
          <w:lang w:val="en-US"/>
        </w:rPr>
        <w:t>Customer</w:t>
      </w:r>
      <w:r w:rsidRPr="00BD295E">
        <w:rPr>
          <w:rFonts w:ascii="Arial" w:hAnsi="Arial" w:cs="Arial"/>
          <w:sz w:val="18"/>
          <w:szCs w:val="18"/>
          <w:lang w:val="en-US"/>
        </w:rPr>
        <w:t xml:space="preserve"> applying for grid connection of power receiving devices with a maximum capacity not exceeding 15 kW inclusive (taking into account the capacity previously connected at the relevant connection point) does not exceed RUB 550, including VAT, for connection of facilities qualifying under the third reliability category (one source of electricity supply), provided that the distance from the borders of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’s site to the electric grid facilities at a voltage level of up to 20 kV inclusive, to the voltage level requested by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from the grid organization to which the application was submitted, does not exceed 300 </w:t>
      </w:r>
      <w:r w:rsidR="00174C5B" w:rsidRPr="00BD295E">
        <w:rPr>
          <w:rFonts w:ascii="Arial" w:hAnsi="Arial" w:cs="Arial"/>
          <w:sz w:val="18"/>
          <w:szCs w:val="18"/>
          <w:lang w:val="en-US"/>
        </w:rPr>
        <w:t>meters</w:t>
      </w:r>
      <w:r w:rsidRPr="00BD295E">
        <w:rPr>
          <w:rFonts w:ascii="Arial" w:hAnsi="Arial" w:cs="Arial"/>
          <w:sz w:val="18"/>
          <w:szCs w:val="18"/>
          <w:lang w:val="en-US"/>
        </w:rPr>
        <w:t xml:space="preserve"> in cities and towns and does not exceed 500 meters in rural areas.</w:t>
      </w:r>
    </w:p>
    <w:p w14:paraId="3DA4887D" w14:textId="77777777" w:rsidR="006E16B5" w:rsidRPr="00BD295E" w:rsidRDefault="008A5057" w:rsidP="000E42B1">
      <w:pPr>
        <w:tabs>
          <w:tab w:val="left" w:pos="851"/>
        </w:tabs>
        <w:jc w:val="both"/>
        <w:rPr>
          <w:rFonts w:ascii="Arial" w:hAnsi="Arial" w:cs="Arial"/>
          <w:sz w:val="18"/>
          <w:szCs w:val="18"/>
          <w:lang w:val="en-US"/>
        </w:rPr>
      </w:pPr>
      <w:r w:rsidRPr="00BD295E">
        <w:rPr>
          <w:rFonts w:ascii="Arial" w:hAnsi="Arial" w:cs="Arial"/>
          <w:sz w:val="18"/>
          <w:szCs w:val="18"/>
          <w:lang w:val="en-US"/>
        </w:rPr>
        <w:t xml:space="preserve">Small- and medium-sized enterprises have the right to pay for connection of devices with a maximum capacity of up to 150 kW in installments for up to three years. </w:t>
      </w:r>
    </w:p>
    <w:p w14:paraId="6C1506C3" w14:textId="77777777" w:rsidR="006E16B5" w:rsidRPr="00BD295E" w:rsidRDefault="008A5057" w:rsidP="000E42B1">
      <w:pPr>
        <w:tabs>
          <w:tab w:val="left" w:pos="851"/>
        </w:tabs>
        <w:jc w:val="both"/>
        <w:rPr>
          <w:rFonts w:ascii="Arial" w:hAnsi="Arial" w:cs="Arial"/>
          <w:sz w:val="18"/>
          <w:szCs w:val="18"/>
          <w:lang w:val="en-US"/>
        </w:rPr>
      </w:pPr>
      <w:r w:rsidRPr="00BD295E">
        <w:rPr>
          <w:rFonts w:ascii="Arial" w:hAnsi="Arial" w:cs="Arial"/>
          <w:sz w:val="18"/>
          <w:szCs w:val="18"/>
          <w:lang w:val="en-US"/>
        </w:rPr>
        <w:t xml:space="preserve">In addition, since October 1, 2017, </w:t>
      </w:r>
      <w:r w:rsidR="000D659F" w:rsidRPr="00BD295E">
        <w:rPr>
          <w:rFonts w:ascii="Arial" w:hAnsi="Arial" w:cs="Arial"/>
          <w:sz w:val="18"/>
          <w:szCs w:val="18"/>
          <w:lang w:val="en-US"/>
        </w:rPr>
        <w:t>customer</w:t>
      </w:r>
      <w:r w:rsidRPr="00BD295E">
        <w:rPr>
          <w:rFonts w:ascii="Arial" w:hAnsi="Arial" w:cs="Arial"/>
          <w:sz w:val="18"/>
          <w:szCs w:val="18"/>
          <w:lang w:val="en-US"/>
        </w:rPr>
        <w:t xml:space="preserve">s with a connected capacity of up to 150 kW do not have to pay the grid company’s last mile costs. </w:t>
      </w:r>
    </w:p>
    <w:p w14:paraId="7DB1617E" w14:textId="77777777" w:rsidR="006E16B5" w:rsidRPr="00BD295E" w:rsidRDefault="006E16B5" w:rsidP="000E42B1">
      <w:pPr>
        <w:jc w:val="both"/>
        <w:rPr>
          <w:rFonts w:ascii="Arial" w:hAnsi="Arial" w:cs="Arial"/>
          <w:sz w:val="18"/>
          <w:szCs w:val="18"/>
          <w:lang w:val="en-US"/>
        </w:rPr>
      </w:pPr>
    </w:p>
    <w:p w14:paraId="18F62C51"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Information on the approved grid connection tariffs for 2018–2019 is provided in Appendix 6.6. to this Report.</w:t>
      </w:r>
    </w:p>
    <w:p w14:paraId="370ED78C"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Lost income due to interrupted electricity consumption caused by the implementation of organizational and technical measures when connecting a group of </w:t>
      </w:r>
      <w:r w:rsidR="000D659F" w:rsidRPr="00BD295E">
        <w:rPr>
          <w:rFonts w:ascii="Arial" w:hAnsi="Arial" w:cs="Arial"/>
          <w:sz w:val="18"/>
          <w:szCs w:val="18"/>
          <w:lang w:val="en-US"/>
        </w:rPr>
        <w:t>customer</w:t>
      </w:r>
      <w:r w:rsidRPr="00BD295E">
        <w:rPr>
          <w:rFonts w:ascii="Arial" w:hAnsi="Arial" w:cs="Arial"/>
          <w:sz w:val="18"/>
          <w:szCs w:val="18"/>
          <w:lang w:val="en-US"/>
        </w:rPr>
        <w:t>s that have the right to a discount to a grid of up to 15 kW are classified by regulators as non-controlled expenses in the tariffs for electricity distribution for 2018 in the following amount:</w:t>
      </w:r>
    </w:p>
    <w:p w14:paraId="4F6FF192" w14:textId="6D2E6F60" w:rsidR="006E16B5" w:rsidRPr="00BD295E" w:rsidRDefault="00396716" w:rsidP="000E42B1">
      <w:pPr>
        <w:jc w:val="both"/>
        <w:rPr>
          <w:rFonts w:ascii="Arial" w:hAnsi="Arial" w:cs="Arial"/>
          <w:sz w:val="18"/>
          <w:szCs w:val="18"/>
          <w:lang w:val="en-US"/>
        </w:rPr>
      </w:pPr>
      <w:r w:rsidRPr="00BD295E">
        <w:rPr>
          <w:rFonts w:ascii="Arial" w:hAnsi="Arial" w:cs="Arial"/>
          <w:sz w:val="18"/>
          <w:szCs w:val="18"/>
          <w:lang w:val="en-US"/>
        </w:rPr>
        <w:t>for Saint Petersburg – RUB</w:t>
      </w:r>
      <w:r w:rsidR="008A5057" w:rsidRPr="00BD295E">
        <w:rPr>
          <w:rFonts w:ascii="Arial" w:hAnsi="Arial" w:cs="Arial"/>
          <w:sz w:val="18"/>
          <w:szCs w:val="18"/>
          <w:lang w:val="en-US"/>
        </w:rPr>
        <w:t xml:space="preserve"> 2,970.09 thousand</w:t>
      </w:r>
    </w:p>
    <w:p w14:paraId="14935478" w14:textId="77777777" w:rsidR="006E16B5"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for the Leningrad Region – RUB 90,441.65 thousand</w:t>
      </w:r>
    </w:p>
    <w:p w14:paraId="731C3EAE" w14:textId="77777777" w:rsidR="006E16B5" w:rsidRPr="00BD295E" w:rsidRDefault="006E16B5" w:rsidP="006E16B5">
      <w:pPr>
        <w:jc w:val="both"/>
        <w:rPr>
          <w:rFonts w:ascii="Arial" w:hAnsi="Arial" w:cs="Arial"/>
          <w:b/>
          <w:i/>
          <w:sz w:val="18"/>
          <w:szCs w:val="18"/>
          <w:lang w:val="en-US"/>
        </w:rPr>
      </w:pPr>
    </w:p>
    <w:p w14:paraId="1D9D972B" w14:textId="77777777" w:rsidR="00FD1F0A" w:rsidRPr="00BD295E" w:rsidRDefault="008A5057" w:rsidP="00CA2271">
      <w:pPr>
        <w:pStyle w:val="af3"/>
        <w:keepNext/>
        <w:numPr>
          <w:ilvl w:val="0"/>
          <w:numId w:val="103"/>
        </w:numPr>
        <w:ind w:left="0" w:firstLine="709"/>
        <w:jc w:val="both"/>
        <w:outlineLvl w:val="1"/>
        <w:rPr>
          <w:rFonts w:ascii="Arial" w:hAnsi="Arial" w:cs="Arial"/>
          <w:b/>
          <w:sz w:val="18"/>
          <w:szCs w:val="18"/>
          <w:lang w:val="en-US"/>
        </w:rPr>
      </w:pPr>
      <w:bookmarkStart w:id="153" w:name="_Toc509493387"/>
      <w:bookmarkStart w:id="154" w:name="_Toc509497953"/>
      <w:bookmarkStart w:id="155" w:name="_Toc509581255"/>
      <w:bookmarkStart w:id="156" w:name="_Toc510452219"/>
      <w:bookmarkStart w:id="157" w:name="_Toc5026998"/>
      <w:bookmarkStart w:id="158" w:name="_Toc5105967"/>
      <w:bookmarkStart w:id="159" w:name="_Toc5203820"/>
      <w:bookmarkStart w:id="160" w:name="_Toc6230917"/>
      <w:bookmarkStart w:id="161" w:name="_Toc7172565"/>
      <w:bookmarkStart w:id="162" w:name="_Toc7172611"/>
      <w:bookmarkStart w:id="163" w:name="_Toc95855286"/>
      <w:bookmarkStart w:id="164" w:name="_Toc95935345"/>
      <w:r w:rsidRPr="00BD295E">
        <w:rPr>
          <w:rFonts w:ascii="Arial" w:hAnsi="Arial" w:cs="Arial"/>
          <w:b/>
          <w:sz w:val="18"/>
          <w:szCs w:val="18"/>
          <w:lang w:val="en-US"/>
        </w:rPr>
        <w:t>Operational Performance</w:t>
      </w:r>
      <w:bookmarkEnd w:id="153"/>
      <w:bookmarkEnd w:id="154"/>
      <w:bookmarkEnd w:id="155"/>
      <w:bookmarkEnd w:id="156"/>
      <w:bookmarkEnd w:id="157"/>
      <w:bookmarkEnd w:id="158"/>
      <w:bookmarkEnd w:id="159"/>
      <w:bookmarkEnd w:id="160"/>
      <w:bookmarkEnd w:id="161"/>
      <w:bookmarkEnd w:id="162"/>
      <w:bookmarkEnd w:id="163"/>
      <w:bookmarkEnd w:id="164"/>
    </w:p>
    <w:p w14:paraId="41BD0D22" w14:textId="77777777" w:rsidR="00FD1F0A" w:rsidRPr="00BD295E" w:rsidRDefault="00FD1F0A" w:rsidP="00164BE3">
      <w:pPr>
        <w:ind w:firstLine="709"/>
        <w:jc w:val="both"/>
        <w:rPr>
          <w:rFonts w:ascii="Arial" w:hAnsi="Arial" w:cs="Arial"/>
          <w:b/>
          <w:sz w:val="18"/>
          <w:szCs w:val="18"/>
          <w:lang w:val="en-US"/>
        </w:rPr>
      </w:pPr>
    </w:p>
    <w:p w14:paraId="0CADBA41" w14:textId="77777777" w:rsidR="007F758A" w:rsidRPr="00BD295E" w:rsidRDefault="008A5057" w:rsidP="008814BB">
      <w:pPr>
        <w:pStyle w:val="30"/>
        <w:rPr>
          <w:rFonts w:ascii="Arial" w:hAnsi="Arial" w:cs="Arial"/>
          <w:b/>
          <w:sz w:val="18"/>
          <w:szCs w:val="18"/>
          <w:lang w:val="en-US"/>
        </w:rPr>
      </w:pPr>
      <w:bookmarkStart w:id="165" w:name="_Toc509493388"/>
      <w:bookmarkStart w:id="166" w:name="_Toc509497954"/>
      <w:bookmarkStart w:id="167" w:name="_Toc509581256"/>
      <w:bookmarkStart w:id="168" w:name="_Toc510452220"/>
      <w:bookmarkStart w:id="169" w:name="_Toc5026999"/>
      <w:bookmarkStart w:id="170" w:name="_Toc5105968"/>
      <w:bookmarkStart w:id="171" w:name="_Toc5203821"/>
      <w:bookmarkStart w:id="172" w:name="_Toc6230918"/>
      <w:bookmarkStart w:id="173" w:name="_Toc7172566"/>
      <w:bookmarkStart w:id="174" w:name="_Toc7172612"/>
      <w:bookmarkStart w:id="175" w:name="_Toc95855287"/>
      <w:bookmarkStart w:id="176" w:name="_Toc95935346"/>
      <w:bookmarkStart w:id="177" w:name="_Toc257655885"/>
      <w:r w:rsidRPr="00BD295E">
        <w:rPr>
          <w:rFonts w:ascii="Arial" w:hAnsi="Arial" w:cs="Arial"/>
          <w:b/>
          <w:sz w:val="18"/>
          <w:szCs w:val="18"/>
          <w:lang w:val="en-US"/>
        </w:rPr>
        <w:t>3.2.1. Electricity Distribution Services</w:t>
      </w:r>
      <w:bookmarkEnd w:id="165"/>
      <w:bookmarkEnd w:id="166"/>
      <w:bookmarkEnd w:id="167"/>
      <w:bookmarkEnd w:id="168"/>
      <w:bookmarkEnd w:id="169"/>
      <w:bookmarkEnd w:id="170"/>
      <w:bookmarkEnd w:id="171"/>
      <w:bookmarkEnd w:id="172"/>
      <w:bookmarkEnd w:id="173"/>
      <w:bookmarkEnd w:id="174"/>
      <w:bookmarkEnd w:id="175"/>
      <w:bookmarkEnd w:id="176"/>
    </w:p>
    <w:p w14:paraId="7FCF0E79" w14:textId="77777777" w:rsidR="00075C14" w:rsidRPr="00BD295E" w:rsidRDefault="00075C14" w:rsidP="00075C14">
      <w:pPr>
        <w:tabs>
          <w:tab w:val="left" w:pos="1134"/>
        </w:tabs>
        <w:ind w:firstLine="720"/>
        <w:jc w:val="both"/>
        <w:rPr>
          <w:rFonts w:ascii="Arial" w:hAnsi="Arial" w:cs="Arial"/>
          <w:sz w:val="18"/>
          <w:szCs w:val="18"/>
          <w:lang w:val="en-US"/>
        </w:rPr>
      </w:pPr>
      <w:bookmarkStart w:id="178" w:name="_Toc473737590"/>
      <w:bookmarkStart w:id="179" w:name="_Toc473897988"/>
      <w:bookmarkStart w:id="180" w:name="_Toc473898413"/>
      <w:bookmarkStart w:id="181" w:name="_Toc473904685"/>
      <w:bookmarkStart w:id="182" w:name="_Toc473921945"/>
    </w:p>
    <w:p w14:paraId="456B475F" w14:textId="77777777" w:rsidR="00162DD0" w:rsidRPr="00BD295E" w:rsidRDefault="008A5057" w:rsidP="00162DD0">
      <w:pPr>
        <w:contextualSpacing/>
        <w:jc w:val="both"/>
        <w:rPr>
          <w:rFonts w:ascii="Arial" w:hAnsi="Arial" w:cs="Arial"/>
          <w:sz w:val="18"/>
          <w:szCs w:val="18"/>
          <w:lang w:val="en-US"/>
        </w:rPr>
      </w:pPr>
      <w:r w:rsidRPr="00BD295E">
        <w:rPr>
          <w:rFonts w:ascii="Arial" w:hAnsi="Arial" w:cs="Arial"/>
          <w:sz w:val="18"/>
          <w:szCs w:val="18"/>
          <w:lang w:val="en-US"/>
        </w:rPr>
        <w:t>Amount of electricity distribution services in 2016–2018</w:t>
      </w:r>
    </w:p>
    <w:tbl>
      <w:tblPr>
        <w:tblW w:w="10162" w:type="dxa"/>
        <w:jc w:val="center"/>
        <w:tblLayout w:type="fixed"/>
        <w:tblLook w:val="04A0" w:firstRow="1" w:lastRow="0" w:firstColumn="1" w:lastColumn="0" w:noHBand="0" w:noVBand="1"/>
      </w:tblPr>
      <w:tblGrid>
        <w:gridCol w:w="1464"/>
        <w:gridCol w:w="723"/>
        <w:gridCol w:w="723"/>
        <w:gridCol w:w="722"/>
        <w:gridCol w:w="722"/>
        <w:gridCol w:w="722"/>
        <w:gridCol w:w="723"/>
        <w:gridCol w:w="722"/>
        <w:gridCol w:w="722"/>
        <w:gridCol w:w="723"/>
        <w:gridCol w:w="778"/>
        <w:gridCol w:w="709"/>
        <w:gridCol w:w="709"/>
      </w:tblGrid>
      <w:tr w:rsidR="008A5057" w:rsidRPr="00BD295E" w14:paraId="147AB96C" w14:textId="77777777" w:rsidTr="00162DD0">
        <w:trPr>
          <w:trHeight w:val="329"/>
          <w:jc w:val="center"/>
        </w:trPr>
        <w:tc>
          <w:tcPr>
            <w:tcW w:w="1464" w:type="dxa"/>
            <w:tcBorders>
              <w:top w:val="single" w:sz="8" w:space="0" w:color="auto"/>
              <w:left w:val="single" w:sz="8" w:space="0" w:color="auto"/>
              <w:bottom w:val="nil"/>
              <w:right w:val="single" w:sz="8" w:space="0" w:color="auto"/>
            </w:tcBorders>
            <w:shd w:val="clear" w:color="auto" w:fill="auto"/>
            <w:hideMark/>
          </w:tcPr>
          <w:p w14:paraId="3F9DD477" w14:textId="77777777" w:rsidR="00162DD0" w:rsidRPr="00BD295E" w:rsidRDefault="00162DD0" w:rsidP="00162DD0">
            <w:pPr>
              <w:jc w:val="center"/>
              <w:rPr>
                <w:rFonts w:ascii="Arial" w:hAnsi="Arial" w:cs="Arial"/>
                <w:sz w:val="14"/>
                <w:szCs w:val="14"/>
                <w:lang w:val="en-US"/>
              </w:rPr>
            </w:pPr>
          </w:p>
        </w:tc>
        <w:tc>
          <w:tcPr>
            <w:tcW w:w="2168" w:type="dxa"/>
            <w:gridSpan w:val="3"/>
            <w:tcBorders>
              <w:top w:val="single" w:sz="8" w:space="0" w:color="auto"/>
              <w:left w:val="nil"/>
              <w:bottom w:val="nil"/>
              <w:right w:val="single" w:sz="8" w:space="0" w:color="000000"/>
            </w:tcBorders>
            <w:shd w:val="clear" w:color="auto" w:fill="auto"/>
            <w:vAlign w:val="bottom"/>
            <w:hideMark/>
          </w:tcPr>
          <w:p w14:paraId="24ECA19D"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 xml:space="preserve"> Electricity supply to networks, million kWh</w:t>
            </w:r>
          </w:p>
        </w:tc>
        <w:tc>
          <w:tcPr>
            <w:tcW w:w="2167" w:type="dxa"/>
            <w:gridSpan w:val="3"/>
            <w:tcBorders>
              <w:top w:val="single" w:sz="8" w:space="0" w:color="auto"/>
              <w:left w:val="nil"/>
              <w:bottom w:val="nil"/>
              <w:right w:val="single" w:sz="8" w:space="0" w:color="000000"/>
            </w:tcBorders>
            <w:shd w:val="clear" w:color="auto" w:fill="auto"/>
            <w:vAlign w:val="bottom"/>
            <w:hideMark/>
          </w:tcPr>
          <w:p w14:paraId="2500C959"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Electricity supply from grids, million kWh</w:t>
            </w:r>
          </w:p>
        </w:tc>
        <w:tc>
          <w:tcPr>
            <w:tcW w:w="2167" w:type="dxa"/>
            <w:gridSpan w:val="3"/>
            <w:tcBorders>
              <w:top w:val="single" w:sz="8" w:space="0" w:color="auto"/>
              <w:left w:val="nil"/>
              <w:bottom w:val="nil"/>
              <w:right w:val="single" w:sz="8" w:space="0" w:color="000000"/>
            </w:tcBorders>
            <w:shd w:val="clear" w:color="auto" w:fill="auto"/>
            <w:hideMark/>
          </w:tcPr>
          <w:p w14:paraId="2A390F7C"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Electricity losses, million kWh</w:t>
            </w:r>
          </w:p>
        </w:tc>
        <w:tc>
          <w:tcPr>
            <w:tcW w:w="2196" w:type="dxa"/>
            <w:gridSpan w:val="3"/>
            <w:tcBorders>
              <w:top w:val="single" w:sz="8" w:space="0" w:color="auto"/>
              <w:left w:val="nil"/>
              <w:bottom w:val="nil"/>
              <w:right w:val="single" w:sz="8" w:space="0" w:color="000000"/>
            </w:tcBorders>
            <w:shd w:val="clear" w:color="auto" w:fill="auto"/>
            <w:hideMark/>
          </w:tcPr>
          <w:p w14:paraId="6A13CBB4"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Electricity losses, %</w:t>
            </w:r>
          </w:p>
        </w:tc>
      </w:tr>
      <w:tr w:rsidR="008A5057" w:rsidRPr="00BD295E" w14:paraId="789301EC" w14:textId="77777777" w:rsidTr="00162DD0">
        <w:trPr>
          <w:trHeight w:val="458"/>
          <w:jc w:val="center"/>
        </w:trPr>
        <w:tc>
          <w:tcPr>
            <w:tcW w:w="1464" w:type="dxa"/>
            <w:vMerge w:val="restart"/>
            <w:tcBorders>
              <w:top w:val="single" w:sz="8" w:space="0" w:color="auto"/>
              <w:left w:val="single" w:sz="8" w:space="0" w:color="auto"/>
              <w:bottom w:val="single" w:sz="4" w:space="0" w:color="auto"/>
              <w:right w:val="single" w:sz="8" w:space="0" w:color="auto"/>
            </w:tcBorders>
            <w:shd w:val="clear" w:color="auto" w:fill="auto"/>
            <w:hideMark/>
          </w:tcPr>
          <w:p w14:paraId="43280F78" w14:textId="77777777" w:rsidR="00162DD0" w:rsidRPr="00BD295E" w:rsidRDefault="008A5057" w:rsidP="00162DD0">
            <w:pPr>
              <w:jc w:val="both"/>
              <w:rPr>
                <w:rFonts w:ascii="Arial" w:hAnsi="Arial" w:cs="Arial"/>
                <w:sz w:val="14"/>
                <w:szCs w:val="14"/>
                <w:lang w:val="en-US"/>
              </w:rPr>
            </w:pPr>
            <w:r w:rsidRPr="00BD295E">
              <w:rPr>
                <w:rFonts w:ascii="Arial" w:hAnsi="Arial" w:cs="Arial"/>
                <w:sz w:val="14"/>
                <w:szCs w:val="14"/>
                <w:lang w:val="en-US"/>
              </w:rPr>
              <w:t> </w:t>
            </w:r>
          </w:p>
        </w:tc>
        <w:tc>
          <w:tcPr>
            <w:tcW w:w="723" w:type="dxa"/>
            <w:vMerge w:val="restart"/>
            <w:tcBorders>
              <w:top w:val="single" w:sz="8" w:space="0" w:color="auto"/>
              <w:left w:val="single" w:sz="8" w:space="0" w:color="auto"/>
              <w:bottom w:val="single" w:sz="4" w:space="0" w:color="auto"/>
              <w:right w:val="single" w:sz="4" w:space="0" w:color="auto"/>
            </w:tcBorders>
            <w:shd w:val="clear" w:color="auto" w:fill="auto"/>
            <w:hideMark/>
          </w:tcPr>
          <w:p w14:paraId="72E64103"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2016</w:t>
            </w:r>
          </w:p>
          <w:p w14:paraId="065908CE" w14:textId="77777777" w:rsidR="00162DD0" w:rsidRPr="00BD295E" w:rsidRDefault="00162DD0" w:rsidP="00162DD0">
            <w:pPr>
              <w:jc w:val="center"/>
              <w:rPr>
                <w:rFonts w:ascii="Arial" w:hAnsi="Arial" w:cs="Arial"/>
                <w:sz w:val="14"/>
                <w:szCs w:val="14"/>
                <w:lang w:val="en-US"/>
              </w:rPr>
            </w:pPr>
          </w:p>
        </w:tc>
        <w:tc>
          <w:tcPr>
            <w:tcW w:w="723" w:type="dxa"/>
            <w:vMerge w:val="restart"/>
            <w:tcBorders>
              <w:top w:val="single" w:sz="8" w:space="0" w:color="auto"/>
              <w:left w:val="single" w:sz="4" w:space="0" w:color="auto"/>
              <w:bottom w:val="single" w:sz="4" w:space="0" w:color="auto"/>
              <w:right w:val="single" w:sz="4" w:space="0" w:color="auto"/>
            </w:tcBorders>
            <w:shd w:val="clear" w:color="auto" w:fill="auto"/>
            <w:hideMark/>
          </w:tcPr>
          <w:p w14:paraId="20B36BED"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2017</w:t>
            </w:r>
          </w:p>
          <w:p w14:paraId="1E403991" w14:textId="77777777" w:rsidR="00162DD0" w:rsidRPr="00BD295E" w:rsidRDefault="00162DD0" w:rsidP="00162DD0">
            <w:pPr>
              <w:jc w:val="center"/>
              <w:rPr>
                <w:rFonts w:ascii="Arial" w:hAnsi="Arial" w:cs="Arial"/>
                <w:sz w:val="14"/>
                <w:szCs w:val="14"/>
                <w:lang w:val="en-US"/>
              </w:rPr>
            </w:pPr>
          </w:p>
        </w:tc>
        <w:tc>
          <w:tcPr>
            <w:tcW w:w="722" w:type="dxa"/>
            <w:vMerge w:val="restart"/>
            <w:tcBorders>
              <w:top w:val="single" w:sz="8" w:space="0" w:color="auto"/>
              <w:left w:val="single" w:sz="4" w:space="0" w:color="auto"/>
              <w:bottom w:val="single" w:sz="4" w:space="0" w:color="auto"/>
              <w:right w:val="single" w:sz="8" w:space="0" w:color="auto"/>
            </w:tcBorders>
            <w:shd w:val="clear" w:color="auto" w:fill="auto"/>
            <w:hideMark/>
          </w:tcPr>
          <w:p w14:paraId="20ED3AAE"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2018</w:t>
            </w:r>
          </w:p>
          <w:p w14:paraId="47F0F83B" w14:textId="77777777" w:rsidR="00162DD0" w:rsidRPr="00BD295E" w:rsidRDefault="00162DD0" w:rsidP="00162DD0">
            <w:pPr>
              <w:jc w:val="center"/>
              <w:rPr>
                <w:rFonts w:ascii="Arial" w:hAnsi="Arial" w:cs="Arial"/>
                <w:sz w:val="14"/>
                <w:szCs w:val="14"/>
                <w:lang w:val="en-US"/>
              </w:rPr>
            </w:pPr>
          </w:p>
        </w:tc>
        <w:tc>
          <w:tcPr>
            <w:tcW w:w="722" w:type="dxa"/>
            <w:vMerge w:val="restart"/>
            <w:tcBorders>
              <w:top w:val="single" w:sz="8" w:space="0" w:color="auto"/>
              <w:left w:val="single" w:sz="8" w:space="0" w:color="auto"/>
              <w:bottom w:val="single" w:sz="4" w:space="0" w:color="auto"/>
              <w:right w:val="single" w:sz="4" w:space="0" w:color="auto"/>
            </w:tcBorders>
            <w:shd w:val="clear" w:color="auto" w:fill="auto"/>
            <w:hideMark/>
          </w:tcPr>
          <w:p w14:paraId="026FD32B"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2016</w:t>
            </w:r>
          </w:p>
          <w:p w14:paraId="1704C309" w14:textId="77777777" w:rsidR="00162DD0" w:rsidRPr="00BD295E" w:rsidRDefault="00162DD0" w:rsidP="00162DD0">
            <w:pPr>
              <w:jc w:val="center"/>
              <w:rPr>
                <w:rFonts w:ascii="Arial" w:hAnsi="Arial" w:cs="Arial"/>
                <w:sz w:val="14"/>
                <w:szCs w:val="14"/>
                <w:lang w:val="en-US"/>
              </w:rPr>
            </w:pPr>
          </w:p>
        </w:tc>
        <w:tc>
          <w:tcPr>
            <w:tcW w:w="722" w:type="dxa"/>
            <w:vMerge w:val="restart"/>
            <w:tcBorders>
              <w:top w:val="single" w:sz="8" w:space="0" w:color="auto"/>
              <w:left w:val="single" w:sz="4" w:space="0" w:color="auto"/>
              <w:bottom w:val="single" w:sz="4" w:space="0" w:color="auto"/>
              <w:right w:val="single" w:sz="4" w:space="0" w:color="auto"/>
            </w:tcBorders>
            <w:shd w:val="clear" w:color="auto" w:fill="auto"/>
            <w:hideMark/>
          </w:tcPr>
          <w:p w14:paraId="2CBADC68"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2017</w:t>
            </w:r>
          </w:p>
          <w:p w14:paraId="17A64BBD" w14:textId="77777777" w:rsidR="00162DD0" w:rsidRPr="00BD295E" w:rsidRDefault="00162DD0" w:rsidP="00162DD0">
            <w:pPr>
              <w:jc w:val="center"/>
              <w:rPr>
                <w:rFonts w:ascii="Arial" w:hAnsi="Arial" w:cs="Arial"/>
                <w:sz w:val="14"/>
                <w:szCs w:val="14"/>
                <w:lang w:val="en-US"/>
              </w:rPr>
            </w:pPr>
          </w:p>
        </w:tc>
        <w:tc>
          <w:tcPr>
            <w:tcW w:w="723" w:type="dxa"/>
            <w:vMerge w:val="restart"/>
            <w:tcBorders>
              <w:top w:val="single" w:sz="8" w:space="0" w:color="auto"/>
              <w:left w:val="single" w:sz="4" w:space="0" w:color="auto"/>
              <w:bottom w:val="single" w:sz="4" w:space="0" w:color="auto"/>
              <w:right w:val="single" w:sz="8" w:space="0" w:color="auto"/>
            </w:tcBorders>
            <w:shd w:val="clear" w:color="auto" w:fill="auto"/>
            <w:hideMark/>
          </w:tcPr>
          <w:p w14:paraId="61B44FD9"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2018</w:t>
            </w:r>
          </w:p>
          <w:p w14:paraId="5D682EE4" w14:textId="77777777" w:rsidR="00162DD0" w:rsidRPr="00BD295E" w:rsidRDefault="00162DD0" w:rsidP="00162DD0">
            <w:pPr>
              <w:jc w:val="center"/>
              <w:rPr>
                <w:rFonts w:ascii="Arial" w:hAnsi="Arial" w:cs="Arial"/>
                <w:sz w:val="14"/>
                <w:szCs w:val="14"/>
                <w:lang w:val="en-US"/>
              </w:rPr>
            </w:pPr>
          </w:p>
        </w:tc>
        <w:tc>
          <w:tcPr>
            <w:tcW w:w="722" w:type="dxa"/>
            <w:vMerge w:val="restart"/>
            <w:tcBorders>
              <w:top w:val="single" w:sz="8" w:space="0" w:color="auto"/>
              <w:left w:val="single" w:sz="8" w:space="0" w:color="auto"/>
              <w:bottom w:val="single" w:sz="4" w:space="0" w:color="auto"/>
              <w:right w:val="single" w:sz="4" w:space="0" w:color="auto"/>
            </w:tcBorders>
            <w:shd w:val="clear" w:color="auto" w:fill="auto"/>
            <w:hideMark/>
          </w:tcPr>
          <w:p w14:paraId="00DBD2B9"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2016</w:t>
            </w:r>
          </w:p>
          <w:p w14:paraId="0C2FBA48" w14:textId="77777777" w:rsidR="00162DD0" w:rsidRPr="00BD295E" w:rsidRDefault="00162DD0" w:rsidP="00162DD0">
            <w:pPr>
              <w:jc w:val="center"/>
              <w:rPr>
                <w:rFonts w:ascii="Arial" w:hAnsi="Arial" w:cs="Arial"/>
                <w:sz w:val="14"/>
                <w:szCs w:val="14"/>
                <w:lang w:val="en-US"/>
              </w:rPr>
            </w:pPr>
          </w:p>
        </w:tc>
        <w:tc>
          <w:tcPr>
            <w:tcW w:w="722" w:type="dxa"/>
            <w:vMerge w:val="restart"/>
            <w:tcBorders>
              <w:top w:val="single" w:sz="8" w:space="0" w:color="auto"/>
              <w:left w:val="single" w:sz="4" w:space="0" w:color="auto"/>
              <w:bottom w:val="single" w:sz="4" w:space="0" w:color="auto"/>
              <w:right w:val="single" w:sz="4" w:space="0" w:color="auto"/>
            </w:tcBorders>
            <w:shd w:val="clear" w:color="auto" w:fill="auto"/>
            <w:hideMark/>
          </w:tcPr>
          <w:p w14:paraId="1E0A230B"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2017</w:t>
            </w:r>
          </w:p>
          <w:p w14:paraId="05EF1589" w14:textId="77777777" w:rsidR="00162DD0" w:rsidRPr="00BD295E" w:rsidRDefault="00162DD0" w:rsidP="00162DD0">
            <w:pPr>
              <w:jc w:val="center"/>
              <w:rPr>
                <w:rFonts w:ascii="Arial" w:hAnsi="Arial" w:cs="Arial"/>
                <w:sz w:val="14"/>
                <w:szCs w:val="14"/>
                <w:lang w:val="en-US"/>
              </w:rPr>
            </w:pPr>
          </w:p>
        </w:tc>
        <w:tc>
          <w:tcPr>
            <w:tcW w:w="723" w:type="dxa"/>
            <w:vMerge w:val="restart"/>
            <w:tcBorders>
              <w:top w:val="single" w:sz="8" w:space="0" w:color="auto"/>
              <w:left w:val="single" w:sz="4" w:space="0" w:color="auto"/>
              <w:bottom w:val="single" w:sz="4" w:space="0" w:color="auto"/>
              <w:right w:val="single" w:sz="8" w:space="0" w:color="auto"/>
            </w:tcBorders>
            <w:shd w:val="clear" w:color="auto" w:fill="auto"/>
            <w:hideMark/>
          </w:tcPr>
          <w:p w14:paraId="4019CAE6"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2018</w:t>
            </w:r>
          </w:p>
          <w:p w14:paraId="3889BC80" w14:textId="77777777" w:rsidR="00162DD0" w:rsidRPr="00BD295E" w:rsidRDefault="00162DD0" w:rsidP="00162DD0">
            <w:pPr>
              <w:jc w:val="center"/>
              <w:rPr>
                <w:rFonts w:ascii="Arial" w:hAnsi="Arial" w:cs="Arial"/>
                <w:sz w:val="14"/>
                <w:szCs w:val="14"/>
                <w:lang w:val="en-US"/>
              </w:rPr>
            </w:pPr>
          </w:p>
        </w:tc>
        <w:tc>
          <w:tcPr>
            <w:tcW w:w="778" w:type="dxa"/>
            <w:vMerge w:val="restart"/>
            <w:tcBorders>
              <w:top w:val="single" w:sz="8" w:space="0" w:color="auto"/>
              <w:left w:val="single" w:sz="8" w:space="0" w:color="auto"/>
              <w:bottom w:val="single" w:sz="4" w:space="0" w:color="auto"/>
              <w:right w:val="single" w:sz="4" w:space="0" w:color="auto"/>
            </w:tcBorders>
            <w:shd w:val="clear" w:color="auto" w:fill="auto"/>
            <w:hideMark/>
          </w:tcPr>
          <w:p w14:paraId="17113BB1"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2016</w:t>
            </w:r>
          </w:p>
          <w:p w14:paraId="0B2BA9D4" w14:textId="77777777" w:rsidR="00162DD0" w:rsidRPr="00BD295E" w:rsidRDefault="00162DD0" w:rsidP="00162DD0">
            <w:pPr>
              <w:jc w:val="center"/>
              <w:rPr>
                <w:rFonts w:ascii="Arial" w:hAnsi="Arial" w:cs="Arial"/>
                <w:sz w:val="14"/>
                <w:szCs w:val="14"/>
                <w:lang w:val="en-US"/>
              </w:rPr>
            </w:pPr>
          </w:p>
        </w:tc>
        <w:tc>
          <w:tcPr>
            <w:tcW w:w="709" w:type="dxa"/>
            <w:vMerge w:val="restart"/>
            <w:tcBorders>
              <w:top w:val="single" w:sz="8" w:space="0" w:color="auto"/>
              <w:left w:val="single" w:sz="4" w:space="0" w:color="auto"/>
              <w:bottom w:val="single" w:sz="4" w:space="0" w:color="auto"/>
              <w:right w:val="single" w:sz="4" w:space="0" w:color="auto"/>
            </w:tcBorders>
            <w:shd w:val="clear" w:color="auto" w:fill="auto"/>
            <w:hideMark/>
          </w:tcPr>
          <w:p w14:paraId="251EEA28"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2017</w:t>
            </w:r>
          </w:p>
          <w:p w14:paraId="2E09C697" w14:textId="77777777" w:rsidR="00162DD0" w:rsidRPr="00BD295E" w:rsidRDefault="00162DD0" w:rsidP="00162DD0">
            <w:pPr>
              <w:jc w:val="center"/>
              <w:rPr>
                <w:rFonts w:ascii="Arial" w:hAnsi="Arial" w:cs="Arial"/>
                <w:sz w:val="14"/>
                <w:szCs w:val="14"/>
                <w:lang w:val="en-US"/>
              </w:rPr>
            </w:pPr>
          </w:p>
        </w:tc>
        <w:tc>
          <w:tcPr>
            <w:tcW w:w="709" w:type="dxa"/>
            <w:vMerge w:val="restart"/>
            <w:tcBorders>
              <w:top w:val="single" w:sz="8" w:space="0" w:color="auto"/>
              <w:left w:val="single" w:sz="4" w:space="0" w:color="auto"/>
              <w:bottom w:val="single" w:sz="4" w:space="0" w:color="auto"/>
              <w:right w:val="single" w:sz="8" w:space="0" w:color="auto"/>
            </w:tcBorders>
            <w:shd w:val="clear" w:color="auto" w:fill="auto"/>
            <w:hideMark/>
          </w:tcPr>
          <w:p w14:paraId="48146253" w14:textId="77777777" w:rsidR="00162DD0" w:rsidRPr="00BD295E" w:rsidRDefault="008A5057" w:rsidP="00162DD0">
            <w:pPr>
              <w:jc w:val="center"/>
              <w:rPr>
                <w:rFonts w:ascii="Arial" w:hAnsi="Arial" w:cs="Arial"/>
                <w:sz w:val="14"/>
                <w:szCs w:val="14"/>
                <w:lang w:val="en-US"/>
              </w:rPr>
            </w:pPr>
            <w:r w:rsidRPr="00BD295E">
              <w:rPr>
                <w:rFonts w:ascii="Arial" w:hAnsi="Arial" w:cs="Arial"/>
                <w:sz w:val="14"/>
                <w:szCs w:val="14"/>
                <w:lang w:val="en-US"/>
              </w:rPr>
              <w:t>2018</w:t>
            </w:r>
          </w:p>
          <w:p w14:paraId="510CF154" w14:textId="77777777" w:rsidR="00162DD0" w:rsidRPr="00BD295E" w:rsidRDefault="00162DD0" w:rsidP="00162DD0">
            <w:pPr>
              <w:jc w:val="center"/>
              <w:rPr>
                <w:rFonts w:ascii="Arial" w:hAnsi="Arial" w:cs="Arial"/>
                <w:sz w:val="14"/>
                <w:szCs w:val="14"/>
                <w:lang w:val="en-US"/>
              </w:rPr>
            </w:pPr>
          </w:p>
        </w:tc>
      </w:tr>
      <w:tr w:rsidR="008A5057" w:rsidRPr="00BD295E" w14:paraId="0FA63942" w14:textId="77777777" w:rsidTr="00162DD0">
        <w:trPr>
          <w:trHeight w:val="458"/>
          <w:jc w:val="center"/>
        </w:trPr>
        <w:tc>
          <w:tcPr>
            <w:tcW w:w="1464" w:type="dxa"/>
            <w:vMerge/>
            <w:tcBorders>
              <w:top w:val="single" w:sz="8" w:space="0" w:color="auto"/>
              <w:left w:val="single" w:sz="8" w:space="0" w:color="auto"/>
              <w:bottom w:val="single" w:sz="4" w:space="0" w:color="auto"/>
              <w:right w:val="single" w:sz="8" w:space="0" w:color="auto"/>
            </w:tcBorders>
            <w:vAlign w:val="center"/>
            <w:hideMark/>
          </w:tcPr>
          <w:p w14:paraId="3ABDB5D8" w14:textId="77777777" w:rsidR="00162DD0" w:rsidRPr="00BD295E" w:rsidRDefault="00162DD0" w:rsidP="00162DD0">
            <w:pPr>
              <w:rPr>
                <w:rFonts w:ascii="Arial" w:hAnsi="Arial" w:cs="Arial"/>
                <w:sz w:val="14"/>
                <w:szCs w:val="14"/>
                <w:lang w:val="en-US"/>
              </w:rPr>
            </w:pPr>
          </w:p>
        </w:tc>
        <w:tc>
          <w:tcPr>
            <w:tcW w:w="723" w:type="dxa"/>
            <w:vMerge/>
            <w:tcBorders>
              <w:top w:val="single" w:sz="8" w:space="0" w:color="auto"/>
              <w:left w:val="single" w:sz="8" w:space="0" w:color="auto"/>
              <w:bottom w:val="single" w:sz="4" w:space="0" w:color="auto"/>
              <w:right w:val="single" w:sz="4" w:space="0" w:color="auto"/>
            </w:tcBorders>
            <w:hideMark/>
          </w:tcPr>
          <w:p w14:paraId="1AF5E3BB" w14:textId="77777777" w:rsidR="00162DD0" w:rsidRPr="00BD295E" w:rsidRDefault="00162DD0" w:rsidP="00162DD0">
            <w:pPr>
              <w:rPr>
                <w:rFonts w:ascii="Arial" w:hAnsi="Arial" w:cs="Arial"/>
                <w:sz w:val="14"/>
                <w:szCs w:val="14"/>
                <w:lang w:val="en-US"/>
              </w:rPr>
            </w:pPr>
          </w:p>
        </w:tc>
        <w:tc>
          <w:tcPr>
            <w:tcW w:w="723" w:type="dxa"/>
            <w:vMerge/>
            <w:tcBorders>
              <w:top w:val="single" w:sz="8" w:space="0" w:color="auto"/>
              <w:left w:val="single" w:sz="4" w:space="0" w:color="auto"/>
              <w:bottom w:val="single" w:sz="4" w:space="0" w:color="auto"/>
              <w:right w:val="single" w:sz="4" w:space="0" w:color="auto"/>
            </w:tcBorders>
            <w:hideMark/>
          </w:tcPr>
          <w:p w14:paraId="662E429D" w14:textId="77777777" w:rsidR="00162DD0" w:rsidRPr="00BD295E" w:rsidRDefault="00162DD0" w:rsidP="00162DD0">
            <w:pPr>
              <w:rPr>
                <w:rFonts w:ascii="Arial" w:hAnsi="Arial" w:cs="Arial"/>
                <w:sz w:val="14"/>
                <w:szCs w:val="14"/>
                <w:lang w:val="en-US"/>
              </w:rPr>
            </w:pPr>
          </w:p>
        </w:tc>
        <w:tc>
          <w:tcPr>
            <w:tcW w:w="722" w:type="dxa"/>
            <w:vMerge/>
            <w:tcBorders>
              <w:top w:val="single" w:sz="8" w:space="0" w:color="auto"/>
              <w:left w:val="single" w:sz="4" w:space="0" w:color="auto"/>
              <w:bottom w:val="single" w:sz="4" w:space="0" w:color="auto"/>
              <w:right w:val="single" w:sz="8" w:space="0" w:color="auto"/>
            </w:tcBorders>
            <w:hideMark/>
          </w:tcPr>
          <w:p w14:paraId="17BE7E65" w14:textId="77777777" w:rsidR="00162DD0" w:rsidRPr="00BD295E" w:rsidRDefault="00162DD0" w:rsidP="00162DD0">
            <w:pPr>
              <w:rPr>
                <w:rFonts w:ascii="Arial" w:hAnsi="Arial" w:cs="Arial"/>
                <w:sz w:val="14"/>
                <w:szCs w:val="14"/>
                <w:lang w:val="en-US"/>
              </w:rPr>
            </w:pPr>
          </w:p>
        </w:tc>
        <w:tc>
          <w:tcPr>
            <w:tcW w:w="722" w:type="dxa"/>
            <w:vMerge/>
            <w:tcBorders>
              <w:top w:val="single" w:sz="8" w:space="0" w:color="auto"/>
              <w:left w:val="single" w:sz="8" w:space="0" w:color="auto"/>
              <w:bottom w:val="single" w:sz="4" w:space="0" w:color="auto"/>
              <w:right w:val="single" w:sz="4" w:space="0" w:color="auto"/>
            </w:tcBorders>
            <w:hideMark/>
          </w:tcPr>
          <w:p w14:paraId="020397C0" w14:textId="77777777" w:rsidR="00162DD0" w:rsidRPr="00BD295E" w:rsidRDefault="00162DD0" w:rsidP="00162DD0">
            <w:pPr>
              <w:rPr>
                <w:rFonts w:ascii="Arial" w:hAnsi="Arial" w:cs="Arial"/>
                <w:sz w:val="14"/>
                <w:szCs w:val="14"/>
                <w:lang w:val="en-US"/>
              </w:rPr>
            </w:pPr>
          </w:p>
        </w:tc>
        <w:tc>
          <w:tcPr>
            <w:tcW w:w="722" w:type="dxa"/>
            <w:vMerge/>
            <w:tcBorders>
              <w:top w:val="single" w:sz="8" w:space="0" w:color="auto"/>
              <w:left w:val="single" w:sz="4" w:space="0" w:color="auto"/>
              <w:bottom w:val="single" w:sz="4" w:space="0" w:color="auto"/>
              <w:right w:val="single" w:sz="4" w:space="0" w:color="auto"/>
            </w:tcBorders>
            <w:hideMark/>
          </w:tcPr>
          <w:p w14:paraId="5EE156EC" w14:textId="77777777" w:rsidR="00162DD0" w:rsidRPr="00BD295E" w:rsidRDefault="00162DD0" w:rsidP="00162DD0">
            <w:pPr>
              <w:rPr>
                <w:rFonts w:ascii="Arial" w:hAnsi="Arial" w:cs="Arial"/>
                <w:sz w:val="14"/>
                <w:szCs w:val="14"/>
                <w:lang w:val="en-US"/>
              </w:rPr>
            </w:pPr>
          </w:p>
        </w:tc>
        <w:tc>
          <w:tcPr>
            <w:tcW w:w="723" w:type="dxa"/>
            <w:vMerge/>
            <w:tcBorders>
              <w:top w:val="single" w:sz="8" w:space="0" w:color="auto"/>
              <w:left w:val="single" w:sz="4" w:space="0" w:color="auto"/>
              <w:bottom w:val="single" w:sz="4" w:space="0" w:color="auto"/>
              <w:right w:val="single" w:sz="8" w:space="0" w:color="auto"/>
            </w:tcBorders>
            <w:hideMark/>
          </w:tcPr>
          <w:p w14:paraId="05D08218" w14:textId="77777777" w:rsidR="00162DD0" w:rsidRPr="00BD295E" w:rsidRDefault="00162DD0" w:rsidP="00162DD0">
            <w:pPr>
              <w:rPr>
                <w:rFonts w:ascii="Arial" w:hAnsi="Arial" w:cs="Arial"/>
                <w:sz w:val="14"/>
                <w:szCs w:val="14"/>
                <w:lang w:val="en-US"/>
              </w:rPr>
            </w:pPr>
          </w:p>
        </w:tc>
        <w:tc>
          <w:tcPr>
            <w:tcW w:w="722" w:type="dxa"/>
            <w:vMerge/>
            <w:tcBorders>
              <w:top w:val="single" w:sz="8" w:space="0" w:color="auto"/>
              <w:left w:val="single" w:sz="8" w:space="0" w:color="auto"/>
              <w:bottom w:val="single" w:sz="4" w:space="0" w:color="auto"/>
              <w:right w:val="single" w:sz="4" w:space="0" w:color="auto"/>
            </w:tcBorders>
            <w:hideMark/>
          </w:tcPr>
          <w:p w14:paraId="2B1B7B7B" w14:textId="77777777" w:rsidR="00162DD0" w:rsidRPr="00BD295E" w:rsidRDefault="00162DD0" w:rsidP="00162DD0">
            <w:pPr>
              <w:rPr>
                <w:rFonts w:ascii="Arial" w:hAnsi="Arial" w:cs="Arial"/>
                <w:sz w:val="14"/>
                <w:szCs w:val="14"/>
                <w:lang w:val="en-US"/>
              </w:rPr>
            </w:pPr>
          </w:p>
        </w:tc>
        <w:tc>
          <w:tcPr>
            <w:tcW w:w="722" w:type="dxa"/>
            <w:vMerge/>
            <w:tcBorders>
              <w:top w:val="single" w:sz="8" w:space="0" w:color="auto"/>
              <w:left w:val="single" w:sz="4" w:space="0" w:color="auto"/>
              <w:bottom w:val="single" w:sz="4" w:space="0" w:color="auto"/>
              <w:right w:val="single" w:sz="4" w:space="0" w:color="auto"/>
            </w:tcBorders>
            <w:hideMark/>
          </w:tcPr>
          <w:p w14:paraId="585CF054" w14:textId="77777777" w:rsidR="00162DD0" w:rsidRPr="00BD295E" w:rsidRDefault="00162DD0" w:rsidP="00162DD0">
            <w:pPr>
              <w:rPr>
                <w:rFonts w:ascii="Arial" w:hAnsi="Arial" w:cs="Arial"/>
                <w:sz w:val="14"/>
                <w:szCs w:val="14"/>
                <w:lang w:val="en-US"/>
              </w:rPr>
            </w:pPr>
          </w:p>
        </w:tc>
        <w:tc>
          <w:tcPr>
            <w:tcW w:w="723" w:type="dxa"/>
            <w:vMerge/>
            <w:tcBorders>
              <w:top w:val="single" w:sz="8" w:space="0" w:color="auto"/>
              <w:left w:val="single" w:sz="4" w:space="0" w:color="auto"/>
              <w:bottom w:val="single" w:sz="4" w:space="0" w:color="auto"/>
              <w:right w:val="single" w:sz="8" w:space="0" w:color="auto"/>
            </w:tcBorders>
            <w:hideMark/>
          </w:tcPr>
          <w:p w14:paraId="007CADC5" w14:textId="77777777" w:rsidR="00162DD0" w:rsidRPr="00BD295E" w:rsidRDefault="00162DD0" w:rsidP="00162DD0">
            <w:pPr>
              <w:rPr>
                <w:rFonts w:ascii="Arial" w:hAnsi="Arial" w:cs="Arial"/>
                <w:sz w:val="14"/>
                <w:szCs w:val="14"/>
                <w:lang w:val="en-US"/>
              </w:rPr>
            </w:pPr>
          </w:p>
        </w:tc>
        <w:tc>
          <w:tcPr>
            <w:tcW w:w="778" w:type="dxa"/>
            <w:vMerge/>
            <w:tcBorders>
              <w:top w:val="single" w:sz="8" w:space="0" w:color="auto"/>
              <w:left w:val="single" w:sz="8" w:space="0" w:color="auto"/>
              <w:bottom w:val="single" w:sz="4" w:space="0" w:color="auto"/>
              <w:right w:val="single" w:sz="4" w:space="0" w:color="auto"/>
            </w:tcBorders>
            <w:hideMark/>
          </w:tcPr>
          <w:p w14:paraId="4A231D95" w14:textId="77777777" w:rsidR="00162DD0" w:rsidRPr="00BD295E" w:rsidRDefault="00162DD0" w:rsidP="00162DD0">
            <w:pPr>
              <w:rPr>
                <w:rFonts w:ascii="Arial" w:hAnsi="Arial" w:cs="Arial"/>
                <w:sz w:val="14"/>
                <w:szCs w:val="14"/>
                <w:lang w:val="en-US"/>
              </w:rPr>
            </w:pPr>
          </w:p>
        </w:tc>
        <w:tc>
          <w:tcPr>
            <w:tcW w:w="709" w:type="dxa"/>
            <w:vMerge/>
            <w:tcBorders>
              <w:top w:val="single" w:sz="8" w:space="0" w:color="auto"/>
              <w:left w:val="single" w:sz="4" w:space="0" w:color="auto"/>
              <w:bottom w:val="single" w:sz="4" w:space="0" w:color="auto"/>
              <w:right w:val="single" w:sz="4" w:space="0" w:color="auto"/>
            </w:tcBorders>
            <w:hideMark/>
          </w:tcPr>
          <w:p w14:paraId="4032ADC1" w14:textId="77777777" w:rsidR="00162DD0" w:rsidRPr="00BD295E" w:rsidRDefault="00162DD0" w:rsidP="00162DD0">
            <w:pPr>
              <w:rPr>
                <w:rFonts w:ascii="Arial" w:hAnsi="Arial" w:cs="Arial"/>
                <w:sz w:val="14"/>
                <w:szCs w:val="14"/>
                <w:lang w:val="en-US"/>
              </w:rPr>
            </w:pPr>
          </w:p>
        </w:tc>
        <w:tc>
          <w:tcPr>
            <w:tcW w:w="709" w:type="dxa"/>
            <w:vMerge/>
            <w:tcBorders>
              <w:top w:val="single" w:sz="8" w:space="0" w:color="auto"/>
              <w:left w:val="single" w:sz="4" w:space="0" w:color="auto"/>
              <w:bottom w:val="single" w:sz="4" w:space="0" w:color="auto"/>
              <w:right w:val="single" w:sz="8" w:space="0" w:color="auto"/>
            </w:tcBorders>
            <w:hideMark/>
          </w:tcPr>
          <w:p w14:paraId="73409522" w14:textId="77777777" w:rsidR="00162DD0" w:rsidRPr="00BD295E" w:rsidRDefault="00162DD0" w:rsidP="00162DD0">
            <w:pPr>
              <w:rPr>
                <w:rFonts w:ascii="Arial" w:hAnsi="Arial" w:cs="Arial"/>
                <w:sz w:val="14"/>
                <w:szCs w:val="14"/>
                <w:lang w:val="en-US"/>
              </w:rPr>
            </w:pPr>
          </w:p>
        </w:tc>
      </w:tr>
      <w:tr w:rsidR="008A5057" w:rsidRPr="00BD295E" w14:paraId="5797FBDA" w14:textId="77777777" w:rsidTr="00162DD0">
        <w:trPr>
          <w:trHeight w:val="681"/>
          <w:jc w:val="center"/>
        </w:trPr>
        <w:tc>
          <w:tcPr>
            <w:tcW w:w="1464" w:type="dxa"/>
            <w:tcBorders>
              <w:top w:val="nil"/>
              <w:left w:val="single" w:sz="8" w:space="0" w:color="auto"/>
              <w:bottom w:val="single" w:sz="4" w:space="0" w:color="auto"/>
              <w:right w:val="single" w:sz="8" w:space="0" w:color="auto"/>
            </w:tcBorders>
            <w:shd w:val="clear" w:color="auto" w:fill="auto"/>
            <w:hideMark/>
          </w:tcPr>
          <w:p w14:paraId="76EF4ED9" w14:textId="77777777" w:rsidR="00162DD0" w:rsidRPr="00BD295E" w:rsidRDefault="008A5057" w:rsidP="00162DD0">
            <w:pPr>
              <w:jc w:val="both"/>
              <w:rPr>
                <w:rFonts w:ascii="Arial" w:hAnsi="Arial" w:cs="Arial"/>
                <w:sz w:val="14"/>
                <w:szCs w:val="14"/>
                <w:lang w:val="en-US"/>
              </w:rPr>
            </w:pPr>
            <w:r w:rsidRPr="00BD295E">
              <w:rPr>
                <w:rFonts w:ascii="Arial" w:hAnsi="Arial" w:cs="Arial"/>
                <w:sz w:val="14"/>
                <w:szCs w:val="14"/>
                <w:lang w:val="en-US"/>
              </w:rPr>
              <w:t xml:space="preserve">Lenenergo Group (including </w:t>
            </w:r>
            <w:r w:rsidR="006515AB" w:rsidRPr="00BD295E">
              <w:rPr>
                <w:rFonts w:ascii="Arial" w:hAnsi="Arial" w:cs="Arial"/>
                <w:sz w:val="14"/>
                <w:szCs w:val="14"/>
                <w:lang w:val="en-US"/>
              </w:rPr>
              <w:t>subsidiaries and affiliates</w:t>
            </w:r>
            <w:r w:rsidRPr="00BD295E">
              <w:rPr>
                <w:rFonts w:ascii="Arial" w:hAnsi="Arial" w:cs="Arial"/>
                <w:sz w:val="14"/>
                <w:szCs w:val="14"/>
                <w:lang w:val="en-US"/>
              </w:rPr>
              <w:t>)</w:t>
            </w:r>
          </w:p>
        </w:tc>
        <w:tc>
          <w:tcPr>
            <w:tcW w:w="723"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55B0CBAC"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41,117</w:t>
            </w:r>
          </w:p>
        </w:tc>
        <w:tc>
          <w:tcPr>
            <w:tcW w:w="723" w:type="dxa"/>
            <w:tcBorders>
              <w:top w:val="single" w:sz="4" w:space="0" w:color="auto"/>
              <w:left w:val="nil"/>
              <w:bottom w:val="single" w:sz="4" w:space="0" w:color="auto"/>
              <w:right w:val="single" w:sz="4" w:space="0" w:color="auto"/>
            </w:tcBorders>
            <w:shd w:val="clear" w:color="auto" w:fill="auto"/>
            <w:vAlign w:val="center"/>
            <w:hideMark/>
          </w:tcPr>
          <w:p w14:paraId="7A82749A"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38,717</w:t>
            </w:r>
          </w:p>
        </w:tc>
        <w:tc>
          <w:tcPr>
            <w:tcW w:w="722" w:type="dxa"/>
            <w:tcBorders>
              <w:top w:val="single" w:sz="4" w:space="0" w:color="auto"/>
              <w:left w:val="nil"/>
              <w:bottom w:val="single" w:sz="4" w:space="0" w:color="auto"/>
              <w:right w:val="single" w:sz="8" w:space="0" w:color="auto"/>
            </w:tcBorders>
            <w:shd w:val="clear" w:color="auto" w:fill="auto"/>
            <w:vAlign w:val="center"/>
            <w:hideMark/>
          </w:tcPr>
          <w:p w14:paraId="79C02018"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38,264</w:t>
            </w:r>
          </w:p>
        </w:tc>
        <w:tc>
          <w:tcPr>
            <w:tcW w:w="722" w:type="dxa"/>
            <w:tcBorders>
              <w:top w:val="single" w:sz="4" w:space="0" w:color="auto"/>
              <w:left w:val="nil"/>
              <w:bottom w:val="single" w:sz="4" w:space="0" w:color="auto"/>
              <w:right w:val="single" w:sz="4" w:space="0" w:color="auto"/>
            </w:tcBorders>
            <w:shd w:val="clear" w:color="auto" w:fill="auto"/>
            <w:vAlign w:val="center"/>
            <w:hideMark/>
          </w:tcPr>
          <w:p w14:paraId="5A9C2524"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36,632</w:t>
            </w:r>
          </w:p>
        </w:tc>
        <w:tc>
          <w:tcPr>
            <w:tcW w:w="722" w:type="dxa"/>
            <w:tcBorders>
              <w:top w:val="single" w:sz="4" w:space="0" w:color="auto"/>
              <w:left w:val="nil"/>
              <w:bottom w:val="single" w:sz="4" w:space="0" w:color="auto"/>
              <w:right w:val="single" w:sz="4" w:space="0" w:color="auto"/>
            </w:tcBorders>
            <w:shd w:val="clear" w:color="auto" w:fill="auto"/>
            <w:vAlign w:val="center"/>
            <w:hideMark/>
          </w:tcPr>
          <w:p w14:paraId="3349A9A0"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34,278</w:t>
            </w:r>
          </w:p>
        </w:tc>
        <w:tc>
          <w:tcPr>
            <w:tcW w:w="723" w:type="dxa"/>
            <w:tcBorders>
              <w:top w:val="single" w:sz="4" w:space="0" w:color="auto"/>
              <w:left w:val="nil"/>
              <w:bottom w:val="single" w:sz="4" w:space="0" w:color="auto"/>
              <w:right w:val="single" w:sz="8" w:space="0" w:color="auto"/>
            </w:tcBorders>
            <w:shd w:val="clear" w:color="auto" w:fill="auto"/>
            <w:vAlign w:val="center"/>
            <w:hideMark/>
          </w:tcPr>
          <w:p w14:paraId="2BFD26E8"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33,926</w:t>
            </w:r>
          </w:p>
        </w:tc>
        <w:tc>
          <w:tcPr>
            <w:tcW w:w="722" w:type="dxa"/>
            <w:tcBorders>
              <w:top w:val="single" w:sz="4" w:space="0" w:color="auto"/>
              <w:left w:val="nil"/>
              <w:bottom w:val="single" w:sz="4" w:space="0" w:color="auto"/>
              <w:right w:val="single" w:sz="4" w:space="0" w:color="auto"/>
            </w:tcBorders>
            <w:shd w:val="clear" w:color="auto" w:fill="auto"/>
            <w:vAlign w:val="center"/>
            <w:hideMark/>
          </w:tcPr>
          <w:p w14:paraId="29CA6C92"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4,485</w:t>
            </w:r>
          </w:p>
        </w:tc>
        <w:tc>
          <w:tcPr>
            <w:tcW w:w="722" w:type="dxa"/>
            <w:tcBorders>
              <w:top w:val="single" w:sz="4" w:space="0" w:color="auto"/>
              <w:left w:val="nil"/>
              <w:bottom w:val="single" w:sz="4" w:space="0" w:color="auto"/>
              <w:right w:val="single" w:sz="4" w:space="0" w:color="auto"/>
            </w:tcBorders>
            <w:shd w:val="clear" w:color="auto" w:fill="auto"/>
            <w:vAlign w:val="center"/>
            <w:hideMark/>
          </w:tcPr>
          <w:p w14:paraId="55B3F228"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4,440</w:t>
            </w:r>
          </w:p>
        </w:tc>
        <w:tc>
          <w:tcPr>
            <w:tcW w:w="723" w:type="dxa"/>
            <w:tcBorders>
              <w:top w:val="single" w:sz="4" w:space="0" w:color="auto"/>
              <w:left w:val="nil"/>
              <w:bottom w:val="single" w:sz="4" w:space="0" w:color="auto"/>
              <w:right w:val="single" w:sz="8" w:space="0" w:color="auto"/>
            </w:tcBorders>
            <w:shd w:val="clear" w:color="auto" w:fill="auto"/>
            <w:vAlign w:val="center"/>
            <w:hideMark/>
          </w:tcPr>
          <w:p w14:paraId="735DCF8E"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4,338</w:t>
            </w:r>
          </w:p>
        </w:tc>
        <w:tc>
          <w:tcPr>
            <w:tcW w:w="778" w:type="dxa"/>
            <w:tcBorders>
              <w:top w:val="single" w:sz="4" w:space="0" w:color="auto"/>
              <w:left w:val="nil"/>
              <w:bottom w:val="single" w:sz="4" w:space="0" w:color="auto"/>
              <w:right w:val="single" w:sz="4" w:space="0" w:color="auto"/>
            </w:tcBorders>
            <w:shd w:val="clear" w:color="auto" w:fill="auto"/>
            <w:vAlign w:val="center"/>
            <w:hideMark/>
          </w:tcPr>
          <w:p w14:paraId="70F0716B"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10.91%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533C195F"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11.47%</w:t>
            </w:r>
          </w:p>
        </w:tc>
        <w:tc>
          <w:tcPr>
            <w:tcW w:w="709" w:type="dxa"/>
            <w:tcBorders>
              <w:top w:val="single" w:sz="4" w:space="0" w:color="auto"/>
              <w:left w:val="nil"/>
              <w:bottom w:val="single" w:sz="4" w:space="0" w:color="auto"/>
              <w:right w:val="single" w:sz="8" w:space="0" w:color="auto"/>
            </w:tcBorders>
            <w:shd w:val="clear" w:color="auto" w:fill="auto"/>
            <w:vAlign w:val="center"/>
            <w:hideMark/>
          </w:tcPr>
          <w:p w14:paraId="43A622F5"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11.34%</w:t>
            </w:r>
          </w:p>
        </w:tc>
      </w:tr>
      <w:tr w:rsidR="008A5057" w:rsidRPr="00BD295E" w14:paraId="2D8BF8B1" w14:textId="77777777" w:rsidTr="00162DD0">
        <w:trPr>
          <w:trHeight w:val="565"/>
          <w:jc w:val="center"/>
        </w:trPr>
        <w:tc>
          <w:tcPr>
            <w:tcW w:w="1464" w:type="dxa"/>
            <w:tcBorders>
              <w:top w:val="nil"/>
              <w:left w:val="single" w:sz="8" w:space="0" w:color="auto"/>
              <w:bottom w:val="single" w:sz="4" w:space="0" w:color="auto"/>
              <w:right w:val="single" w:sz="8" w:space="0" w:color="auto"/>
            </w:tcBorders>
            <w:shd w:val="clear" w:color="auto" w:fill="auto"/>
            <w:vAlign w:val="bottom"/>
            <w:hideMark/>
          </w:tcPr>
          <w:p w14:paraId="7CA5B4C8" w14:textId="210E712E" w:rsidR="00162DD0" w:rsidRPr="00BD295E" w:rsidRDefault="00EE5753" w:rsidP="00162DD0">
            <w:pPr>
              <w:rPr>
                <w:rFonts w:ascii="Arial" w:hAnsi="Arial" w:cs="Arial"/>
                <w:sz w:val="14"/>
                <w:szCs w:val="14"/>
                <w:lang w:val="en-US"/>
              </w:rPr>
            </w:pPr>
            <w:r w:rsidRPr="00BD295E">
              <w:rPr>
                <w:rFonts w:ascii="Arial" w:hAnsi="Arial" w:cs="Arial"/>
                <w:sz w:val="14"/>
                <w:szCs w:val="14"/>
                <w:lang w:val="en-US"/>
              </w:rPr>
              <w:t xml:space="preserve">PJSC </w:t>
            </w:r>
            <w:r w:rsidR="00C203EF" w:rsidRPr="00BD295E">
              <w:rPr>
                <w:rFonts w:ascii="Arial" w:hAnsi="Arial" w:cs="Arial"/>
                <w:sz w:val="14"/>
                <w:szCs w:val="14"/>
                <w:lang w:val="en-US"/>
              </w:rPr>
              <w:br/>
            </w:r>
            <w:r w:rsidRPr="00BD295E">
              <w:rPr>
                <w:rFonts w:ascii="Arial" w:hAnsi="Arial" w:cs="Arial"/>
                <w:sz w:val="14"/>
                <w:szCs w:val="14"/>
                <w:lang w:val="en-US"/>
              </w:rPr>
              <w:t>“Lenenergo”</w:t>
            </w:r>
            <w:r w:rsidR="008A5057" w:rsidRPr="00BD295E">
              <w:rPr>
                <w:rFonts w:ascii="Arial" w:hAnsi="Arial" w:cs="Arial"/>
                <w:sz w:val="14"/>
                <w:szCs w:val="14"/>
                <w:lang w:val="en-US"/>
              </w:rPr>
              <w:t xml:space="preserve"> </w:t>
            </w:r>
          </w:p>
        </w:tc>
        <w:tc>
          <w:tcPr>
            <w:tcW w:w="723" w:type="dxa"/>
            <w:tcBorders>
              <w:top w:val="nil"/>
              <w:left w:val="single" w:sz="8" w:space="0" w:color="auto"/>
              <w:bottom w:val="single" w:sz="4" w:space="0" w:color="auto"/>
              <w:right w:val="single" w:sz="4" w:space="0" w:color="auto"/>
            </w:tcBorders>
            <w:shd w:val="clear" w:color="auto" w:fill="auto"/>
            <w:vAlign w:val="center"/>
            <w:hideMark/>
          </w:tcPr>
          <w:p w14:paraId="7C154DA5"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34,160</w:t>
            </w:r>
          </w:p>
        </w:tc>
        <w:tc>
          <w:tcPr>
            <w:tcW w:w="723" w:type="dxa"/>
            <w:tcBorders>
              <w:top w:val="nil"/>
              <w:left w:val="nil"/>
              <w:bottom w:val="single" w:sz="4" w:space="0" w:color="auto"/>
              <w:right w:val="single" w:sz="4" w:space="0" w:color="auto"/>
            </w:tcBorders>
            <w:shd w:val="clear" w:color="auto" w:fill="auto"/>
            <w:vAlign w:val="center"/>
            <w:hideMark/>
          </w:tcPr>
          <w:p w14:paraId="5850AFD9"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34,791</w:t>
            </w:r>
          </w:p>
        </w:tc>
        <w:tc>
          <w:tcPr>
            <w:tcW w:w="722" w:type="dxa"/>
            <w:tcBorders>
              <w:top w:val="nil"/>
              <w:left w:val="nil"/>
              <w:bottom w:val="single" w:sz="4" w:space="0" w:color="auto"/>
              <w:right w:val="single" w:sz="8" w:space="0" w:color="auto"/>
            </w:tcBorders>
            <w:shd w:val="clear" w:color="auto" w:fill="auto"/>
            <w:vAlign w:val="center"/>
            <w:hideMark/>
          </w:tcPr>
          <w:p w14:paraId="2A76E9E1"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35,558</w:t>
            </w:r>
          </w:p>
        </w:tc>
        <w:tc>
          <w:tcPr>
            <w:tcW w:w="722" w:type="dxa"/>
            <w:tcBorders>
              <w:top w:val="nil"/>
              <w:left w:val="nil"/>
              <w:bottom w:val="single" w:sz="4" w:space="0" w:color="auto"/>
              <w:right w:val="single" w:sz="4" w:space="0" w:color="auto"/>
            </w:tcBorders>
            <w:shd w:val="clear" w:color="auto" w:fill="auto"/>
            <w:vAlign w:val="center"/>
            <w:hideMark/>
          </w:tcPr>
          <w:p w14:paraId="2EF7329C"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30,220</w:t>
            </w:r>
          </w:p>
        </w:tc>
        <w:tc>
          <w:tcPr>
            <w:tcW w:w="722" w:type="dxa"/>
            <w:tcBorders>
              <w:top w:val="nil"/>
              <w:left w:val="nil"/>
              <w:bottom w:val="single" w:sz="4" w:space="0" w:color="auto"/>
              <w:right w:val="single" w:sz="4" w:space="0" w:color="auto"/>
            </w:tcBorders>
            <w:shd w:val="clear" w:color="auto" w:fill="auto"/>
            <w:vAlign w:val="center"/>
            <w:hideMark/>
          </w:tcPr>
          <w:p w14:paraId="5C5D444A"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30,598</w:t>
            </w:r>
          </w:p>
        </w:tc>
        <w:tc>
          <w:tcPr>
            <w:tcW w:w="723" w:type="dxa"/>
            <w:tcBorders>
              <w:top w:val="nil"/>
              <w:left w:val="nil"/>
              <w:bottom w:val="single" w:sz="4" w:space="0" w:color="auto"/>
              <w:right w:val="single" w:sz="8" w:space="0" w:color="auto"/>
            </w:tcBorders>
            <w:shd w:val="clear" w:color="auto" w:fill="auto"/>
            <w:vAlign w:val="center"/>
            <w:hideMark/>
          </w:tcPr>
          <w:p w14:paraId="0111BEE0"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31,396</w:t>
            </w:r>
          </w:p>
        </w:tc>
        <w:tc>
          <w:tcPr>
            <w:tcW w:w="722" w:type="dxa"/>
            <w:tcBorders>
              <w:top w:val="nil"/>
              <w:left w:val="nil"/>
              <w:bottom w:val="single" w:sz="4" w:space="0" w:color="auto"/>
              <w:right w:val="single" w:sz="4" w:space="0" w:color="auto"/>
            </w:tcBorders>
            <w:shd w:val="clear" w:color="auto" w:fill="auto"/>
            <w:vAlign w:val="center"/>
            <w:hideMark/>
          </w:tcPr>
          <w:p w14:paraId="20D451BF"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3,940</w:t>
            </w:r>
          </w:p>
        </w:tc>
        <w:tc>
          <w:tcPr>
            <w:tcW w:w="722" w:type="dxa"/>
            <w:tcBorders>
              <w:top w:val="nil"/>
              <w:left w:val="nil"/>
              <w:bottom w:val="single" w:sz="4" w:space="0" w:color="auto"/>
              <w:right w:val="single" w:sz="4" w:space="0" w:color="auto"/>
            </w:tcBorders>
            <w:shd w:val="clear" w:color="auto" w:fill="auto"/>
            <w:vAlign w:val="center"/>
            <w:hideMark/>
          </w:tcPr>
          <w:p w14:paraId="0C50D2F9"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4,193</w:t>
            </w:r>
          </w:p>
        </w:tc>
        <w:tc>
          <w:tcPr>
            <w:tcW w:w="723" w:type="dxa"/>
            <w:tcBorders>
              <w:top w:val="nil"/>
              <w:left w:val="nil"/>
              <w:bottom w:val="single" w:sz="4" w:space="0" w:color="auto"/>
              <w:right w:val="single" w:sz="8" w:space="0" w:color="auto"/>
            </w:tcBorders>
            <w:shd w:val="clear" w:color="auto" w:fill="auto"/>
            <w:vAlign w:val="center"/>
            <w:hideMark/>
          </w:tcPr>
          <w:p w14:paraId="13BA5D7C"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4,162</w:t>
            </w:r>
          </w:p>
        </w:tc>
        <w:tc>
          <w:tcPr>
            <w:tcW w:w="778" w:type="dxa"/>
            <w:tcBorders>
              <w:top w:val="nil"/>
              <w:left w:val="nil"/>
              <w:bottom w:val="single" w:sz="4" w:space="0" w:color="auto"/>
              <w:right w:val="single" w:sz="4" w:space="0" w:color="auto"/>
            </w:tcBorders>
            <w:shd w:val="clear" w:color="auto" w:fill="auto"/>
            <w:vAlign w:val="center"/>
            <w:hideMark/>
          </w:tcPr>
          <w:p w14:paraId="6FA110A9"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11.53%</w:t>
            </w:r>
          </w:p>
        </w:tc>
        <w:tc>
          <w:tcPr>
            <w:tcW w:w="709" w:type="dxa"/>
            <w:tcBorders>
              <w:top w:val="nil"/>
              <w:left w:val="nil"/>
              <w:bottom w:val="single" w:sz="4" w:space="0" w:color="auto"/>
              <w:right w:val="single" w:sz="4" w:space="0" w:color="auto"/>
            </w:tcBorders>
            <w:shd w:val="clear" w:color="auto" w:fill="auto"/>
            <w:vAlign w:val="center"/>
            <w:hideMark/>
          </w:tcPr>
          <w:p w14:paraId="110904D8"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12.05%</w:t>
            </w:r>
          </w:p>
        </w:tc>
        <w:tc>
          <w:tcPr>
            <w:tcW w:w="709" w:type="dxa"/>
            <w:tcBorders>
              <w:top w:val="nil"/>
              <w:left w:val="nil"/>
              <w:bottom w:val="single" w:sz="4" w:space="0" w:color="auto"/>
              <w:right w:val="single" w:sz="8" w:space="0" w:color="auto"/>
            </w:tcBorders>
            <w:shd w:val="clear" w:color="auto" w:fill="auto"/>
            <w:vAlign w:val="center"/>
            <w:hideMark/>
          </w:tcPr>
          <w:p w14:paraId="220B7B75"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11.71%</w:t>
            </w:r>
          </w:p>
        </w:tc>
      </w:tr>
      <w:tr w:rsidR="008A5057" w:rsidRPr="00BD295E" w14:paraId="2DC536FA" w14:textId="77777777" w:rsidTr="00162DD0">
        <w:trPr>
          <w:trHeight w:val="549"/>
          <w:jc w:val="center"/>
        </w:trPr>
        <w:tc>
          <w:tcPr>
            <w:tcW w:w="1464" w:type="dxa"/>
            <w:tcBorders>
              <w:top w:val="nil"/>
              <w:left w:val="single" w:sz="8" w:space="0" w:color="auto"/>
              <w:bottom w:val="single" w:sz="4" w:space="0" w:color="auto"/>
              <w:right w:val="single" w:sz="8" w:space="0" w:color="auto"/>
            </w:tcBorders>
            <w:shd w:val="clear" w:color="auto" w:fill="auto"/>
            <w:vAlign w:val="bottom"/>
            <w:hideMark/>
          </w:tcPr>
          <w:p w14:paraId="6DD07930" w14:textId="77777777" w:rsidR="00162DD0" w:rsidRPr="00BD295E" w:rsidRDefault="008A5057" w:rsidP="00162DD0">
            <w:pPr>
              <w:rPr>
                <w:rFonts w:ascii="Arial" w:hAnsi="Arial" w:cs="Arial"/>
                <w:sz w:val="14"/>
                <w:szCs w:val="14"/>
                <w:lang w:val="en-US"/>
              </w:rPr>
            </w:pPr>
            <w:r w:rsidRPr="00BD295E">
              <w:rPr>
                <w:rFonts w:ascii="Arial" w:hAnsi="Arial" w:cs="Arial"/>
                <w:sz w:val="14"/>
                <w:szCs w:val="14"/>
                <w:lang w:val="en-US"/>
              </w:rPr>
              <w:t>Saint Petersburg</w:t>
            </w:r>
          </w:p>
        </w:tc>
        <w:tc>
          <w:tcPr>
            <w:tcW w:w="723" w:type="dxa"/>
            <w:tcBorders>
              <w:top w:val="nil"/>
              <w:left w:val="single" w:sz="8" w:space="0" w:color="auto"/>
              <w:bottom w:val="single" w:sz="4" w:space="0" w:color="auto"/>
              <w:right w:val="single" w:sz="4" w:space="0" w:color="auto"/>
            </w:tcBorders>
            <w:shd w:val="clear" w:color="auto" w:fill="auto"/>
            <w:vAlign w:val="center"/>
            <w:hideMark/>
          </w:tcPr>
          <w:p w14:paraId="71C60CF0"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21,484</w:t>
            </w:r>
          </w:p>
        </w:tc>
        <w:tc>
          <w:tcPr>
            <w:tcW w:w="723" w:type="dxa"/>
            <w:tcBorders>
              <w:top w:val="nil"/>
              <w:left w:val="nil"/>
              <w:bottom w:val="single" w:sz="4" w:space="0" w:color="auto"/>
              <w:right w:val="single" w:sz="4" w:space="0" w:color="auto"/>
            </w:tcBorders>
            <w:shd w:val="clear" w:color="auto" w:fill="auto"/>
            <w:vAlign w:val="center"/>
            <w:hideMark/>
          </w:tcPr>
          <w:p w14:paraId="55EB3F9C"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21,826</w:t>
            </w:r>
          </w:p>
        </w:tc>
        <w:tc>
          <w:tcPr>
            <w:tcW w:w="722" w:type="dxa"/>
            <w:tcBorders>
              <w:top w:val="nil"/>
              <w:left w:val="nil"/>
              <w:bottom w:val="single" w:sz="4" w:space="0" w:color="auto"/>
              <w:right w:val="single" w:sz="8" w:space="0" w:color="auto"/>
            </w:tcBorders>
            <w:shd w:val="clear" w:color="auto" w:fill="auto"/>
            <w:vAlign w:val="center"/>
            <w:hideMark/>
          </w:tcPr>
          <w:p w14:paraId="3CF41738"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22,204</w:t>
            </w:r>
          </w:p>
        </w:tc>
        <w:tc>
          <w:tcPr>
            <w:tcW w:w="722" w:type="dxa"/>
            <w:tcBorders>
              <w:top w:val="nil"/>
              <w:left w:val="nil"/>
              <w:bottom w:val="single" w:sz="4" w:space="0" w:color="auto"/>
              <w:right w:val="single" w:sz="4" w:space="0" w:color="auto"/>
            </w:tcBorders>
            <w:shd w:val="clear" w:color="auto" w:fill="auto"/>
            <w:vAlign w:val="center"/>
            <w:hideMark/>
          </w:tcPr>
          <w:p w14:paraId="7B2B871F"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18,874</w:t>
            </w:r>
          </w:p>
        </w:tc>
        <w:tc>
          <w:tcPr>
            <w:tcW w:w="722" w:type="dxa"/>
            <w:tcBorders>
              <w:top w:val="nil"/>
              <w:left w:val="nil"/>
              <w:bottom w:val="single" w:sz="4" w:space="0" w:color="auto"/>
              <w:right w:val="single" w:sz="4" w:space="0" w:color="auto"/>
            </w:tcBorders>
            <w:shd w:val="clear" w:color="auto" w:fill="auto"/>
            <w:vAlign w:val="center"/>
            <w:hideMark/>
          </w:tcPr>
          <w:p w14:paraId="4FEBB0EA"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18,999</w:t>
            </w:r>
          </w:p>
        </w:tc>
        <w:tc>
          <w:tcPr>
            <w:tcW w:w="723" w:type="dxa"/>
            <w:tcBorders>
              <w:top w:val="nil"/>
              <w:left w:val="nil"/>
              <w:bottom w:val="single" w:sz="4" w:space="0" w:color="auto"/>
              <w:right w:val="single" w:sz="4" w:space="0" w:color="auto"/>
            </w:tcBorders>
            <w:shd w:val="clear" w:color="auto" w:fill="auto"/>
            <w:vAlign w:val="center"/>
            <w:hideMark/>
          </w:tcPr>
          <w:p w14:paraId="1FEED634"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19,416</w:t>
            </w:r>
          </w:p>
        </w:tc>
        <w:tc>
          <w:tcPr>
            <w:tcW w:w="722" w:type="dxa"/>
            <w:tcBorders>
              <w:top w:val="nil"/>
              <w:left w:val="single" w:sz="8" w:space="0" w:color="auto"/>
              <w:bottom w:val="single" w:sz="4" w:space="0" w:color="auto"/>
              <w:right w:val="single" w:sz="4" w:space="0" w:color="auto"/>
            </w:tcBorders>
            <w:shd w:val="clear" w:color="auto" w:fill="auto"/>
            <w:vAlign w:val="center"/>
            <w:hideMark/>
          </w:tcPr>
          <w:p w14:paraId="289C5086"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2,610</w:t>
            </w:r>
          </w:p>
        </w:tc>
        <w:tc>
          <w:tcPr>
            <w:tcW w:w="722" w:type="dxa"/>
            <w:tcBorders>
              <w:top w:val="nil"/>
              <w:left w:val="nil"/>
              <w:bottom w:val="single" w:sz="4" w:space="0" w:color="auto"/>
              <w:right w:val="single" w:sz="4" w:space="0" w:color="auto"/>
            </w:tcBorders>
            <w:shd w:val="clear" w:color="auto" w:fill="auto"/>
            <w:vAlign w:val="center"/>
            <w:hideMark/>
          </w:tcPr>
          <w:p w14:paraId="0FC9F109"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2,828</w:t>
            </w:r>
          </w:p>
        </w:tc>
        <w:tc>
          <w:tcPr>
            <w:tcW w:w="723" w:type="dxa"/>
            <w:tcBorders>
              <w:top w:val="nil"/>
              <w:left w:val="nil"/>
              <w:bottom w:val="single" w:sz="4" w:space="0" w:color="auto"/>
              <w:right w:val="single" w:sz="8" w:space="0" w:color="auto"/>
            </w:tcBorders>
            <w:shd w:val="clear" w:color="auto" w:fill="auto"/>
            <w:vAlign w:val="center"/>
            <w:hideMark/>
          </w:tcPr>
          <w:p w14:paraId="51309D44"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2,788</w:t>
            </w:r>
          </w:p>
        </w:tc>
        <w:tc>
          <w:tcPr>
            <w:tcW w:w="778" w:type="dxa"/>
            <w:tcBorders>
              <w:top w:val="nil"/>
              <w:left w:val="nil"/>
              <w:bottom w:val="single" w:sz="4" w:space="0" w:color="auto"/>
              <w:right w:val="single" w:sz="4" w:space="0" w:color="auto"/>
            </w:tcBorders>
            <w:shd w:val="clear" w:color="auto" w:fill="auto"/>
            <w:vAlign w:val="center"/>
            <w:hideMark/>
          </w:tcPr>
          <w:p w14:paraId="510E1FFB"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12.15%</w:t>
            </w:r>
          </w:p>
        </w:tc>
        <w:tc>
          <w:tcPr>
            <w:tcW w:w="709" w:type="dxa"/>
            <w:tcBorders>
              <w:top w:val="nil"/>
              <w:left w:val="nil"/>
              <w:bottom w:val="single" w:sz="4" w:space="0" w:color="auto"/>
              <w:right w:val="single" w:sz="4" w:space="0" w:color="auto"/>
            </w:tcBorders>
            <w:shd w:val="clear" w:color="auto" w:fill="auto"/>
            <w:vAlign w:val="center"/>
            <w:hideMark/>
          </w:tcPr>
          <w:p w14:paraId="25EDB7B4"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12.95%</w:t>
            </w:r>
          </w:p>
        </w:tc>
        <w:tc>
          <w:tcPr>
            <w:tcW w:w="709" w:type="dxa"/>
            <w:tcBorders>
              <w:top w:val="nil"/>
              <w:left w:val="nil"/>
              <w:bottom w:val="single" w:sz="4" w:space="0" w:color="auto"/>
              <w:right w:val="single" w:sz="8" w:space="0" w:color="auto"/>
            </w:tcBorders>
            <w:shd w:val="clear" w:color="auto" w:fill="auto"/>
            <w:vAlign w:val="center"/>
            <w:hideMark/>
          </w:tcPr>
          <w:p w14:paraId="2BAD2DDD"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12.56%</w:t>
            </w:r>
          </w:p>
        </w:tc>
      </w:tr>
      <w:tr w:rsidR="008A5057" w:rsidRPr="00BD295E" w14:paraId="1630A8CC" w14:textId="77777777" w:rsidTr="00162DD0">
        <w:trPr>
          <w:trHeight w:val="691"/>
          <w:jc w:val="center"/>
        </w:trPr>
        <w:tc>
          <w:tcPr>
            <w:tcW w:w="1464" w:type="dxa"/>
            <w:tcBorders>
              <w:top w:val="nil"/>
              <w:left w:val="single" w:sz="8" w:space="0" w:color="auto"/>
              <w:bottom w:val="single" w:sz="8" w:space="0" w:color="auto"/>
              <w:right w:val="single" w:sz="8" w:space="0" w:color="auto"/>
            </w:tcBorders>
            <w:shd w:val="clear" w:color="auto" w:fill="auto"/>
            <w:vAlign w:val="bottom"/>
            <w:hideMark/>
          </w:tcPr>
          <w:p w14:paraId="01DAD770" w14:textId="77777777" w:rsidR="00162DD0" w:rsidRPr="00BD295E" w:rsidRDefault="008A5057" w:rsidP="00162DD0">
            <w:pPr>
              <w:rPr>
                <w:rFonts w:ascii="Arial" w:hAnsi="Arial" w:cs="Arial"/>
                <w:sz w:val="14"/>
                <w:szCs w:val="14"/>
                <w:lang w:val="en-US"/>
              </w:rPr>
            </w:pPr>
            <w:r w:rsidRPr="00BD295E">
              <w:rPr>
                <w:rFonts w:ascii="Arial" w:hAnsi="Arial" w:cs="Arial"/>
                <w:sz w:val="14"/>
                <w:szCs w:val="14"/>
                <w:lang w:val="en-US"/>
              </w:rPr>
              <w:t>Leningrad Region</w:t>
            </w:r>
          </w:p>
        </w:tc>
        <w:tc>
          <w:tcPr>
            <w:tcW w:w="723" w:type="dxa"/>
            <w:tcBorders>
              <w:top w:val="single" w:sz="4" w:space="0" w:color="auto"/>
              <w:left w:val="single" w:sz="8" w:space="0" w:color="auto"/>
              <w:bottom w:val="single" w:sz="8" w:space="0" w:color="auto"/>
              <w:right w:val="single" w:sz="4" w:space="0" w:color="auto"/>
            </w:tcBorders>
            <w:shd w:val="clear" w:color="auto" w:fill="auto"/>
            <w:vAlign w:val="center"/>
            <w:hideMark/>
          </w:tcPr>
          <w:p w14:paraId="43878328"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12,676</w:t>
            </w:r>
          </w:p>
        </w:tc>
        <w:tc>
          <w:tcPr>
            <w:tcW w:w="723" w:type="dxa"/>
            <w:tcBorders>
              <w:top w:val="single" w:sz="4" w:space="0" w:color="auto"/>
              <w:left w:val="nil"/>
              <w:bottom w:val="single" w:sz="8" w:space="0" w:color="auto"/>
              <w:right w:val="single" w:sz="4" w:space="0" w:color="auto"/>
            </w:tcBorders>
            <w:shd w:val="clear" w:color="auto" w:fill="auto"/>
            <w:vAlign w:val="center"/>
            <w:hideMark/>
          </w:tcPr>
          <w:p w14:paraId="40BF7A76"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12,965</w:t>
            </w:r>
          </w:p>
        </w:tc>
        <w:tc>
          <w:tcPr>
            <w:tcW w:w="722" w:type="dxa"/>
            <w:tcBorders>
              <w:top w:val="single" w:sz="4" w:space="0" w:color="auto"/>
              <w:left w:val="nil"/>
              <w:bottom w:val="single" w:sz="8" w:space="0" w:color="auto"/>
              <w:right w:val="single" w:sz="8" w:space="0" w:color="auto"/>
            </w:tcBorders>
            <w:shd w:val="clear" w:color="auto" w:fill="auto"/>
            <w:vAlign w:val="center"/>
            <w:hideMark/>
          </w:tcPr>
          <w:p w14:paraId="0CC9E50D"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13,355</w:t>
            </w:r>
          </w:p>
        </w:tc>
        <w:tc>
          <w:tcPr>
            <w:tcW w:w="722" w:type="dxa"/>
            <w:tcBorders>
              <w:top w:val="single" w:sz="4" w:space="0" w:color="auto"/>
              <w:left w:val="nil"/>
              <w:bottom w:val="single" w:sz="8" w:space="0" w:color="auto"/>
              <w:right w:val="single" w:sz="4" w:space="0" w:color="auto"/>
            </w:tcBorders>
            <w:shd w:val="clear" w:color="auto" w:fill="auto"/>
            <w:vAlign w:val="center"/>
            <w:hideMark/>
          </w:tcPr>
          <w:p w14:paraId="3864D194"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11,346</w:t>
            </w:r>
          </w:p>
        </w:tc>
        <w:tc>
          <w:tcPr>
            <w:tcW w:w="722" w:type="dxa"/>
            <w:tcBorders>
              <w:top w:val="single" w:sz="4" w:space="0" w:color="auto"/>
              <w:left w:val="nil"/>
              <w:bottom w:val="single" w:sz="8" w:space="0" w:color="auto"/>
              <w:right w:val="single" w:sz="4" w:space="0" w:color="auto"/>
            </w:tcBorders>
            <w:shd w:val="clear" w:color="auto" w:fill="auto"/>
            <w:vAlign w:val="center"/>
            <w:hideMark/>
          </w:tcPr>
          <w:p w14:paraId="0EC8FAE7"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11,599</w:t>
            </w:r>
          </w:p>
        </w:tc>
        <w:tc>
          <w:tcPr>
            <w:tcW w:w="723" w:type="dxa"/>
            <w:tcBorders>
              <w:top w:val="single" w:sz="4" w:space="0" w:color="auto"/>
              <w:left w:val="nil"/>
              <w:bottom w:val="single" w:sz="8" w:space="0" w:color="auto"/>
              <w:right w:val="single" w:sz="4" w:space="0" w:color="auto"/>
            </w:tcBorders>
            <w:shd w:val="clear" w:color="auto" w:fill="auto"/>
            <w:vAlign w:val="center"/>
            <w:hideMark/>
          </w:tcPr>
          <w:p w14:paraId="4F4E251E"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11,981</w:t>
            </w:r>
          </w:p>
        </w:tc>
        <w:tc>
          <w:tcPr>
            <w:tcW w:w="722" w:type="dxa"/>
            <w:tcBorders>
              <w:top w:val="single" w:sz="4" w:space="0" w:color="auto"/>
              <w:left w:val="single" w:sz="8" w:space="0" w:color="auto"/>
              <w:bottom w:val="single" w:sz="8" w:space="0" w:color="auto"/>
              <w:right w:val="single" w:sz="4" w:space="0" w:color="auto"/>
            </w:tcBorders>
            <w:shd w:val="clear" w:color="auto" w:fill="auto"/>
            <w:vAlign w:val="center"/>
            <w:hideMark/>
          </w:tcPr>
          <w:p w14:paraId="03F2C865"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1,330</w:t>
            </w:r>
          </w:p>
        </w:tc>
        <w:tc>
          <w:tcPr>
            <w:tcW w:w="722" w:type="dxa"/>
            <w:tcBorders>
              <w:top w:val="single" w:sz="4" w:space="0" w:color="auto"/>
              <w:left w:val="nil"/>
              <w:bottom w:val="single" w:sz="8" w:space="0" w:color="auto"/>
              <w:right w:val="single" w:sz="4" w:space="0" w:color="auto"/>
            </w:tcBorders>
            <w:shd w:val="clear" w:color="auto" w:fill="auto"/>
            <w:vAlign w:val="center"/>
            <w:hideMark/>
          </w:tcPr>
          <w:p w14:paraId="13FE6BAA"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1,366</w:t>
            </w:r>
          </w:p>
        </w:tc>
        <w:tc>
          <w:tcPr>
            <w:tcW w:w="723" w:type="dxa"/>
            <w:tcBorders>
              <w:top w:val="single" w:sz="4" w:space="0" w:color="auto"/>
              <w:left w:val="nil"/>
              <w:bottom w:val="single" w:sz="8" w:space="0" w:color="auto"/>
              <w:right w:val="single" w:sz="8" w:space="0" w:color="auto"/>
            </w:tcBorders>
            <w:shd w:val="clear" w:color="auto" w:fill="auto"/>
            <w:vAlign w:val="center"/>
            <w:hideMark/>
          </w:tcPr>
          <w:p w14:paraId="2275093D"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1,374</w:t>
            </w:r>
          </w:p>
        </w:tc>
        <w:tc>
          <w:tcPr>
            <w:tcW w:w="778" w:type="dxa"/>
            <w:tcBorders>
              <w:top w:val="single" w:sz="4" w:space="0" w:color="auto"/>
              <w:left w:val="nil"/>
              <w:bottom w:val="single" w:sz="8" w:space="0" w:color="auto"/>
              <w:right w:val="single" w:sz="4" w:space="0" w:color="auto"/>
            </w:tcBorders>
            <w:shd w:val="clear" w:color="auto" w:fill="auto"/>
            <w:vAlign w:val="center"/>
            <w:hideMark/>
          </w:tcPr>
          <w:p w14:paraId="7EF030A3"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10.49%</w:t>
            </w:r>
          </w:p>
        </w:tc>
        <w:tc>
          <w:tcPr>
            <w:tcW w:w="709" w:type="dxa"/>
            <w:tcBorders>
              <w:top w:val="single" w:sz="4" w:space="0" w:color="auto"/>
              <w:left w:val="nil"/>
              <w:bottom w:val="single" w:sz="8" w:space="0" w:color="auto"/>
              <w:right w:val="single" w:sz="4" w:space="0" w:color="auto"/>
            </w:tcBorders>
            <w:shd w:val="clear" w:color="auto" w:fill="auto"/>
            <w:vAlign w:val="center"/>
            <w:hideMark/>
          </w:tcPr>
          <w:p w14:paraId="5F86E85B"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10.53%</w:t>
            </w:r>
          </w:p>
        </w:tc>
        <w:tc>
          <w:tcPr>
            <w:tcW w:w="709" w:type="dxa"/>
            <w:tcBorders>
              <w:top w:val="single" w:sz="4" w:space="0" w:color="auto"/>
              <w:left w:val="nil"/>
              <w:bottom w:val="single" w:sz="8" w:space="0" w:color="auto"/>
              <w:right w:val="single" w:sz="8" w:space="0" w:color="auto"/>
            </w:tcBorders>
            <w:shd w:val="clear" w:color="auto" w:fill="auto"/>
            <w:vAlign w:val="center"/>
            <w:hideMark/>
          </w:tcPr>
          <w:p w14:paraId="558CD0BC" w14:textId="77777777" w:rsidR="00162DD0" w:rsidRPr="00BD295E" w:rsidRDefault="008A5057" w:rsidP="00162DD0">
            <w:pPr>
              <w:jc w:val="right"/>
              <w:rPr>
                <w:rFonts w:ascii="Arial" w:hAnsi="Arial" w:cs="Arial"/>
                <w:sz w:val="14"/>
                <w:szCs w:val="14"/>
                <w:lang w:val="en-US"/>
              </w:rPr>
            </w:pPr>
            <w:r w:rsidRPr="00BD295E">
              <w:rPr>
                <w:rFonts w:ascii="Arial" w:hAnsi="Arial" w:cs="Arial"/>
                <w:sz w:val="14"/>
                <w:szCs w:val="14"/>
                <w:lang w:val="en-US"/>
              </w:rPr>
              <w:t>10.29%</w:t>
            </w:r>
          </w:p>
        </w:tc>
      </w:tr>
    </w:tbl>
    <w:p w14:paraId="63C84E2F" w14:textId="77777777" w:rsidR="00162DD0" w:rsidRPr="00BD295E" w:rsidRDefault="00162DD0" w:rsidP="000E42B1">
      <w:pPr>
        <w:jc w:val="both"/>
        <w:rPr>
          <w:rFonts w:ascii="Arial" w:hAnsi="Arial" w:cs="Arial"/>
          <w:sz w:val="18"/>
          <w:szCs w:val="18"/>
          <w:lang w:val="en-US"/>
        </w:rPr>
      </w:pPr>
    </w:p>
    <w:p w14:paraId="166C4422" w14:textId="04A123EC" w:rsidR="00162DD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In 2018, 35,558 million kWh of electricity was supplied to the Company’s grids from grids of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 and</w:t>
      </w:r>
      <w:r w:rsidRPr="00BD295E">
        <w:rPr>
          <w:rFonts w:ascii="Arial" w:hAnsi="Arial" w:cs="Arial"/>
          <w:sz w:val="18"/>
          <w:szCs w:val="18"/>
          <w:lang w:val="en-US"/>
        </w:rPr>
        <w:t xml:space="preserve"> electricity generating companies. Of this amount, the Company distributed 31,396 million kWh of electricity to consumers and territorial grid companies. Electricity losses totaled 4,162 million kWh or 11.71% of the electricity supplied to the grid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527E84C6" w14:textId="5F225500" w:rsidR="00F21FFB" w:rsidRPr="00BD295E" w:rsidRDefault="00F21FFB">
      <w:pPr>
        <w:rPr>
          <w:rFonts w:ascii="Arial" w:hAnsi="Arial" w:cs="Arial"/>
          <w:sz w:val="18"/>
          <w:szCs w:val="18"/>
          <w:lang w:val="en-US"/>
        </w:rPr>
      </w:pPr>
      <w:r w:rsidRPr="00BD295E">
        <w:rPr>
          <w:rFonts w:ascii="Arial" w:hAnsi="Arial" w:cs="Arial"/>
          <w:sz w:val="18"/>
          <w:szCs w:val="18"/>
          <w:lang w:val="en-US"/>
        </w:rPr>
        <w:br w:type="page"/>
      </w:r>
    </w:p>
    <w:p w14:paraId="4323C541" w14:textId="77777777" w:rsidR="00162DD0" w:rsidRPr="00BD295E" w:rsidRDefault="00162DD0" w:rsidP="00162DD0">
      <w:pPr>
        <w:ind w:firstLine="708"/>
        <w:jc w:val="both"/>
        <w:rPr>
          <w:rFonts w:ascii="Arial" w:hAnsi="Arial" w:cs="Arial"/>
          <w:sz w:val="18"/>
          <w:szCs w:val="18"/>
          <w:lang w:val="en-US"/>
        </w:rPr>
      </w:pPr>
    </w:p>
    <w:p w14:paraId="5AB87127" w14:textId="77777777" w:rsidR="00162DD0" w:rsidRPr="00BD295E" w:rsidRDefault="008A5057" w:rsidP="00162DD0">
      <w:pPr>
        <w:jc w:val="center"/>
        <w:rPr>
          <w:rFonts w:ascii="Arial" w:hAnsi="Arial" w:cs="Arial"/>
          <w:b/>
          <w:sz w:val="18"/>
          <w:szCs w:val="18"/>
          <w:lang w:val="en-US"/>
        </w:rPr>
      </w:pPr>
      <w:r w:rsidRPr="00BD295E">
        <w:rPr>
          <w:rFonts w:ascii="Arial" w:hAnsi="Arial" w:cs="Arial"/>
          <w:b/>
          <w:sz w:val="18"/>
          <w:szCs w:val="18"/>
          <w:lang w:val="en-US"/>
        </w:rPr>
        <w:t>Net supply of electricity by region, million kWh</w:t>
      </w:r>
    </w:p>
    <w:p w14:paraId="70D9BB1C" w14:textId="77777777" w:rsidR="00162DD0" w:rsidRPr="00BD295E" w:rsidRDefault="008A5057" w:rsidP="00162DD0">
      <w:pPr>
        <w:ind w:left="2124"/>
        <w:jc w:val="both"/>
        <w:rPr>
          <w:rFonts w:ascii="Arial" w:hAnsi="Arial" w:cs="Arial"/>
          <w:b/>
          <w:sz w:val="18"/>
          <w:szCs w:val="18"/>
          <w:lang w:val="en-US"/>
        </w:rPr>
      </w:pPr>
      <w:r w:rsidRPr="00BD295E">
        <w:rPr>
          <w:rFonts w:ascii="Arial" w:hAnsi="Arial" w:cs="Arial"/>
          <w:b/>
          <w:sz w:val="18"/>
          <w:szCs w:val="18"/>
          <w:lang w:val="en-US"/>
        </w:rPr>
        <w:t xml:space="preserve">        29,007             29,669            30,560</w:t>
      </w:r>
    </w:p>
    <w:p w14:paraId="6BEC081F" w14:textId="77777777" w:rsidR="00B20A51" w:rsidRPr="00BD295E" w:rsidRDefault="00B20A51" w:rsidP="00162DD0">
      <w:pPr>
        <w:ind w:firstLine="708"/>
        <w:jc w:val="center"/>
        <w:rPr>
          <w:rFonts w:ascii="Arial" w:hAnsi="Arial" w:cs="Arial"/>
          <w:sz w:val="18"/>
          <w:szCs w:val="18"/>
          <w:lang w:val="en-US"/>
        </w:rPr>
      </w:pPr>
    </w:p>
    <w:p w14:paraId="59007D47" w14:textId="530F7882" w:rsidR="00162DD0" w:rsidRPr="00BD295E" w:rsidRDefault="00997D07" w:rsidP="00162DD0">
      <w:pPr>
        <w:ind w:firstLine="708"/>
        <w:jc w:val="center"/>
        <w:rPr>
          <w:rFonts w:ascii="Arial" w:hAnsi="Arial" w:cs="Arial"/>
          <w:sz w:val="18"/>
          <w:szCs w:val="18"/>
          <w:lang w:val="en-US"/>
        </w:rPr>
      </w:pPr>
      <w:r w:rsidRPr="00BD295E">
        <w:rPr>
          <w:rFonts w:ascii="Arial" w:hAnsi="Arial" w:cs="Arial"/>
          <w:sz w:val="18"/>
          <w:szCs w:val="18"/>
          <w:lang w:val="en-US" w:eastAsia="en-US"/>
        </w:rPr>
        <w:drawing>
          <wp:inline distT="0" distB="0" distL="0" distR="0" wp14:anchorId="7B8ADF3D" wp14:editId="560262AD">
            <wp:extent cx="4314825" cy="2300605"/>
            <wp:effectExtent l="0" t="0" r="0" b="4445"/>
            <wp:docPr id="21" name="Диаграмма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A5471E9" w14:textId="77777777" w:rsidR="00B20A51" w:rsidRPr="00BD295E" w:rsidRDefault="00B20A51" w:rsidP="00B20A51">
      <w:pPr>
        <w:tabs>
          <w:tab w:val="left" w:pos="1080"/>
          <w:tab w:val="left" w:pos="1320"/>
        </w:tabs>
        <w:contextualSpacing/>
        <w:jc w:val="both"/>
        <w:rPr>
          <w:rFonts w:ascii="Arial" w:hAnsi="Arial" w:cs="Arial"/>
          <w:sz w:val="18"/>
          <w:szCs w:val="18"/>
          <w:lang w:val="en-US"/>
        </w:rPr>
      </w:pPr>
    </w:p>
    <w:p w14:paraId="44A2E8C9" w14:textId="77777777" w:rsidR="00162DD0" w:rsidRPr="00BD295E" w:rsidRDefault="008A5057" w:rsidP="00B20A51">
      <w:pPr>
        <w:tabs>
          <w:tab w:val="left" w:pos="1080"/>
          <w:tab w:val="left" w:pos="1320"/>
        </w:tabs>
        <w:contextualSpacing/>
        <w:jc w:val="both"/>
        <w:rPr>
          <w:rFonts w:ascii="Arial" w:hAnsi="Arial" w:cs="Arial"/>
          <w:i/>
          <w:snapToGrid w:val="0"/>
          <w:sz w:val="18"/>
          <w:szCs w:val="18"/>
          <w:lang w:val="en-US"/>
        </w:rPr>
      </w:pPr>
      <w:r w:rsidRPr="00BD295E">
        <w:rPr>
          <w:rFonts w:ascii="Arial" w:hAnsi="Arial" w:cs="Arial"/>
          <w:sz w:val="18"/>
          <w:szCs w:val="18"/>
          <w:lang w:val="en-US"/>
        </w:rPr>
        <w:t xml:space="preserve">In 2018, the net supply of electricity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increased by 891.6 million kWh (up 3.0%) year-on-year, including an increase in net supply for Saint Petersburg by 507.0 million kWh (2.7%) and for the Leningrad Region by 384.5 million kWh (3.5%)  The increase in net supply of electricity from the grid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due to the contract for leasing electric grid equipment of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valid throughout 2018 (and from April 1 in 2017), the acquisition of new consumers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who previously paid for electricity distribution to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as well as a year-on-year increase in consumption by households.  </w:t>
      </w:r>
    </w:p>
    <w:p w14:paraId="38C94B80" w14:textId="77777777" w:rsidR="00B83A94" w:rsidRPr="00BD295E" w:rsidRDefault="00B83A94" w:rsidP="00162DD0">
      <w:pPr>
        <w:tabs>
          <w:tab w:val="left" w:pos="1080"/>
          <w:tab w:val="left" w:pos="1320"/>
        </w:tabs>
        <w:ind w:firstLine="720"/>
        <w:contextualSpacing/>
        <w:jc w:val="both"/>
        <w:rPr>
          <w:rFonts w:ascii="Arial" w:hAnsi="Arial" w:cs="Arial"/>
          <w:sz w:val="18"/>
          <w:szCs w:val="18"/>
          <w:lang w:val="en-US"/>
        </w:rPr>
      </w:pPr>
    </w:p>
    <w:p w14:paraId="1D62373B" w14:textId="77777777" w:rsidR="00162DD0" w:rsidRPr="00BD295E" w:rsidRDefault="008A5057" w:rsidP="00162DD0">
      <w:pPr>
        <w:tabs>
          <w:tab w:val="left" w:pos="1080"/>
          <w:tab w:val="left" w:pos="1320"/>
        </w:tabs>
        <w:ind w:firstLine="720"/>
        <w:contextualSpacing/>
        <w:jc w:val="both"/>
        <w:rPr>
          <w:rFonts w:ascii="Arial" w:hAnsi="Arial" w:cs="Arial"/>
          <w:sz w:val="18"/>
          <w:szCs w:val="18"/>
          <w:lang w:val="en-US"/>
        </w:rPr>
      </w:pPr>
      <w:r w:rsidRPr="00BD295E">
        <w:rPr>
          <w:rFonts w:ascii="Arial" w:hAnsi="Arial" w:cs="Arial"/>
          <w:sz w:val="18"/>
          <w:szCs w:val="18"/>
          <w:lang w:val="en-US"/>
        </w:rPr>
        <w:t>Last mile customers</w:t>
      </w:r>
    </w:p>
    <w:p w14:paraId="5BEDA215" w14:textId="280EB5E7" w:rsidR="00162DD0" w:rsidRPr="00BD295E" w:rsidRDefault="008A5057" w:rsidP="000E42B1">
      <w:pPr>
        <w:tabs>
          <w:tab w:val="left" w:pos="1080"/>
          <w:tab w:val="left" w:pos="1320"/>
        </w:tabs>
        <w:contextualSpacing/>
        <w:jc w:val="both"/>
        <w:rPr>
          <w:rFonts w:ascii="Arial" w:hAnsi="Arial" w:cs="Arial"/>
          <w:sz w:val="18"/>
          <w:szCs w:val="18"/>
          <w:lang w:val="en-US"/>
        </w:rPr>
      </w:pPr>
      <w:r w:rsidRPr="00BD295E">
        <w:rPr>
          <w:rFonts w:ascii="Arial" w:hAnsi="Arial" w:cs="Arial"/>
          <w:sz w:val="18"/>
          <w:szCs w:val="18"/>
          <w:lang w:val="en-US"/>
        </w:rPr>
        <w:t xml:space="preserve">As from January 1, 2014, the last mile mechanism was no longer applicable in Saint Petersburg and the Leningrad Region, and the amount of consumption by all facilities connected directly to the grids of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 was</w:t>
      </w:r>
      <w:r w:rsidRPr="00BD295E">
        <w:rPr>
          <w:rFonts w:ascii="Arial" w:hAnsi="Arial" w:cs="Arial"/>
          <w:sz w:val="18"/>
          <w:szCs w:val="18"/>
          <w:lang w:val="en-US"/>
        </w:rPr>
        <w:t xml:space="preserve"> completely excluded from the amount of services provided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exclusion of last mile consumers did not affect the amount of electricity distribution services and revenue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between 2014 and 2018.  </w:t>
      </w:r>
    </w:p>
    <w:p w14:paraId="466FDCB1" w14:textId="77777777" w:rsidR="00162DD0" w:rsidRPr="00BD295E" w:rsidRDefault="00162DD0" w:rsidP="00162DD0">
      <w:pPr>
        <w:tabs>
          <w:tab w:val="left" w:pos="1320"/>
          <w:tab w:val="left" w:pos="1418"/>
        </w:tabs>
        <w:ind w:right="849"/>
        <w:jc w:val="center"/>
        <w:rPr>
          <w:rFonts w:ascii="Arial" w:hAnsi="Arial" w:cs="Arial"/>
          <w:b/>
          <w:bCs/>
          <w:sz w:val="18"/>
          <w:szCs w:val="18"/>
          <w:lang w:val="en-US"/>
        </w:rPr>
      </w:pPr>
    </w:p>
    <w:p w14:paraId="4C723CB4" w14:textId="77777777" w:rsidR="00162DD0" w:rsidRPr="00BD295E" w:rsidRDefault="008A5057" w:rsidP="00162DD0">
      <w:pPr>
        <w:tabs>
          <w:tab w:val="left" w:pos="1320"/>
          <w:tab w:val="left" w:pos="1418"/>
        </w:tabs>
        <w:ind w:right="849"/>
        <w:jc w:val="center"/>
        <w:rPr>
          <w:rFonts w:ascii="Arial" w:hAnsi="Arial" w:cs="Arial"/>
          <w:b/>
          <w:bCs/>
          <w:sz w:val="18"/>
          <w:szCs w:val="18"/>
          <w:lang w:val="en-US"/>
        </w:rPr>
      </w:pPr>
      <w:r w:rsidRPr="00BD295E">
        <w:rPr>
          <w:rFonts w:ascii="Arial" w:hAnsi="Arial" w:cs="Arial"/>
          <w:b/>
          <w:bCs/>
          <w:sz w:val="18"/>
          <w:szCs w:val="18"/>
          <w:lang w:val="en-US"/>
        </w:rPr>
        <w:t xml:space="preserve">Net supply of electricity by </w:t>
      </w:r>
      <w:r w:rsidR="00EE5753" w:rsidRPr="00BD295E">
        <w:rPr>
          <w:rFonts w:ascii="Arial" w:hAnsi="Arial" w:cs="Arial"/>
          <w:b/>
          <w:bCs/>
          <w:sz w:val="18"/>
          <w:szCs w:val="18"/>
          <w:lang w:val="en-US"/>
        </w:rPr>
        <w:t>PJSC “Lenenergo”</w:t>
      </w:r>
      <w:r w:rsidRPr="00BD295E">
        <w:rPr>
          <w:rFonts w:ascii="Arial" w:hAnsi="Arial" w:cs="Arial"/>
          <w:b/>
          <w:bCs/>
          <w:sz w:val="18"/>
          <w:szCs w:val="18"/>
          <w:lang w:val="en-US"/>
        </w:rPr>
        <w:t xml:space="preserve"> by group of its customers, million kWh</w:t>
      </w:r>
    </w:p>
    <w:tbl>
      <w:tblPr>
        <w:tblW w:w="9708" w:type="dxa"/>
        <w:tblLook w:val="04A0" w:firstRow="1" w:lastRow="0" w:firstColumn="1" w:lastColumn="0" w:noHBand="0" w:noVBand="1"/>
      </w:tblPr>
      <w:tblGrid>
        <w:gridCol w:w="2754"/>
        <w:gridCol w:w="1321"/>
        <w:gridCol w:w="1200"/>
        <w:gridCol w:w="1201"/>
        <w:gridCol w:w="1081"/>
        <w:gridCol w:w="2151"/>
      </w:tblGrid>
      <w:tr w:rsidR="008A5057" w:rsidRPr="00BD295E" w14:paraId="6A284E88" w14:textId="77777777" w:rsidTr="00162DD0">
        <w:trPr>
          <w:trHeight w:val="786"/>
        </w:trPr>
        <w:tc>
          <w:tcPr>
            <w:tcW w:w="2754" w:type="dxa"/>
            <w:vMerge w:val="restar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58FAD6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Category</w:t>
            </w:r>
          </w:p>
        </w:tc>
        <w:tc>
          <w:tcPr>
            <w:tcW w:w="6954" w:type="dxa"/>
            <w:gridSpan w:val="5"/>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03FBB3AB" w14:textId="77777777" w:rsidR="00162DD0" w:rsidRPr="00BD295E" w:rsidRDefault="00EE5753" w:rsidP="00162DD0">
            <w:pPr>
              <w:jc w:val="center"/>
              <w:rPr>
                <w:rFonts w:ascii="Arial" w:hAnsi="Arial" w:cs="Arial"/>
                <w:sz w:val="18"/>
                <w:szCs w:val="18"/>
                <w:lang w:val="en-US"/>
              </w:rPr>
            </w:pPr>
            <w:r w:rsidRPr="00BD295E">
              <w:rPr>
                <w:rFonts w:ascii="Arial" w:hAnsi="Arial" w:cs="Arial"/>
                <w:sz w:val="18"/>
                <w:szCs w:val="18"/>
                <w:lang w:val="en-US"/>
              </w:rPr>
              <w:t>PJSC “Lenenergo”</w:t>
            </w:r>
          </w:p>
        </w:tc>
      </w:tr>
      <w:tr w:rsidR="008A5057" w:rsidRPr="00BD295E" w14:paraId="68D05851" w14:textId="77777777" w:rsidTr="00162DD0">
        <w:trPr>
          <w:trHeight w:val="642"/>
        </w:trPr>
        <w:tc>
          <w:tcPr>
            <w:tcW w:w="2754" w:type="dxa"/>
            <w:vMerge/>
            <w:tcBorders>
              <w:top w:val="single" w:sz="8" w:space="0" w:color="auto"/>
              <w:left w:val="single" w:sz="8" w:space="0" w:color="auto"/>
              <w:bottom w:val="single" w:sz="4" w:space="0" w:color="auto"/>
              <w:right w:val="single" w:sz="4" w:space="0" w:color="auto"/>
            </w:tcBorders>
            <w:shd w:val="clear" w:color="auto" w:fill="auto"/>
            <w:vAlign w:val="center"/>
            <w:hideMark/>
          </w:tcPr>
          <w:p w14:paraId="2759A614" w14:textId="77777777" w:rsidR="00162DD0" w:rsidRPr="00BD295E" w:rsidRDefault="00162DD0" w:rsidP="00162DD0">
            <w:pPr>
              <w:rPr>
                <w:rFonts w:ascii="Arial" w:hAnsi="Arial" w:cs="Arial"/>
                <w:sz w:val="18"/>
                <w:szCs w:val="18"/>
                <w:lang w:val="en-US"/>
              </w:rPr>
            </w:pPr>
          </w:p>
        </w:tc>
        <w:tc>
          <w:tcPr>
            <w:tcW w:w="132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5450B9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2,016</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4DB17F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2,017</w:t>
            </w:r>
          </w:p>
        </w:tc>
        <w:tc>
          <w:tcPr>
            <w:tcW w:w="1201" w:type="dxa"/>
            <w:tcBorders>
              <w:top w:val="single" w:sz="4" w:space="0" w:color="auto"/>
              <w:left w:val="nil"/>
              <w:bottom w:val="single" w:sz="4" w:space="0" w:color="auto"/>
              <w:right w:val="nil"/>
            </w:tcBorders>
            <w:shd w:val="clear" w:color="auto" w:fill="auto"/>
            <w:noWrap/>
            <w:vAlign w:val="center"/>
            <w:hideMark/>
          </w:tcPr>
          <w:p w14:paraId="5432623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2,018</w:t>
            </w:r>
          </w:p>
        </w:tc>
        <w:tc>
          <w:tcPr>
            <w:tcW w:w="3232" w:type="dxa"/>
            <w:gridSpan w:val="2"/>
            <w:tcBorders>
              <w:top w:val="single" w:sz="4" w:space="0" w:color="auto"/>
              <w:left w:val="single" w:sz="4" w:space="0" w:color="auto"/>
              <w:bottom w:val="single" w:sz="4" w:space="0" w:color="auto"/>
              <w:right w:val="single" w:sz="8" w:space="0" w:color="000000"/>
            </w:tcBorders>
            <w:shd w:val="clear" w:color="auto" w:fill="auto"/>
            <w:vAlign w:val="center"/>
            <w:hideMark/>
          </w:tcPr>
          <w:p w14:paraId="2BEE1CB7"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Change 2018/2017</w:t>
            </w:r>
          </w:p>
        </w:tc>
      </w:tr>
      <w:tr w:rsidR="008A5057" w:rsidRPr="00BD295E" w14:paraId="565DC804" w14:textId="77777777" w:rsidTr="00162DD0">
        <w:trPr>
          <w:trHeight w:val="321"/>
        </w:trPr>
        <w:tc>
          <w:tcPr>
            <w:tcW w:w="2754" w:type="dxa"/>
            <w:tcBorders>
              <w:top w:val="single" w:sz="4" w:space="0" w:color="auto"/>
              <w:left w:val="single" w:sz="8" w:space="0" w:color="auto"/>
              <w:bottom w:val="single" w:sz="4" w:space="0" w:color="auto"/>
              <w:right w:val="nil"/>
            </w:tcBorders>
            <w:shd w:val="clear" w:color="auto" w:fill="auto"/>
            <w:vAlign w:val="bottom"/>
            <w:hideMark/>
          </w:tcPr>
          <w:p w14:paraId="1BD91257"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Industrial consumers </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1513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7,574.35</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54B4D0D7"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9,023.78</w:t>
            </w:r>
          </w:p>
        </w:tc>
        <w:tc>
          <w:tcPr>
            <w:tcW w:w="1201" w:type="dxa"/>
            <w:tcBorders>
              <w:top w:val="single" w:sz="4" w:space="0" w:color="auto"/>
              <w:left w:val="nil"/>
              <w:bottom w:val="single" w:sz="4" w:space="0" w:color="auto"/>
              <w:right w:val="single" w:sz="4" w:space="0" w:color="auto"/>
            </w:tcBorders>
            <w:shd w:val="clear" w:color="auto" w:fill="auto"/>
            <w:noWrap/>
            <w:vAlign w:val="bottom"/>
            <w:hideMark/>
          </w:tcPr>
          <w:p w14:paraId="37BCB4A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7,923.26</w:t>
            </w:r>
          </w:p>
        </w:tc>
        <w:tc>
          <w:tcPr>
            <w:tcW w:w="1081" w:type="dxa"/>
            <w:tcBorders>
              <w:top w:val="single" w:sz="4" w:space="0" w:color="auto"/>
              <w:left w:val="nil"/>
              <w:bottom w:val="single" w:sz="4" w:space="0" w:color="auto"/>
              <w:right w:val="single" w:sz="4" w:space="0" w:color="auto"/>
            </w:tcBorders>
            <w:shd w:val="clear" w:color="auto" w:fill="auto"/>
            <w:noWrap/>
            <w:vAlign w:val="bottom"/>
            <w:hideMark/>
          </w:tcPr>
          <w:p w14:paraId="5D6C324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-1,100.51</w:t>
            </w:r>
          </w:p>
        </w:tc>
        <w:tc>
          <w:tcPr>
            <w:tcW w:w="2151" w:type="dxa"/>
            <w:tcBorders>
              <w:top w:val="single" w:sz="4" w:space="0" w:color="auto"/>
              <w:left w:val="nil"/>
              <w:bottom w:val="single" w:sz="4" w:space="0" w:color="auto"/>
              <w:right w:val="single" w:sz="8" w:space="0" w:color="auto"/>
            </w:tcBorders>
            <w:shd w:val="clear" w:color="auto" w:fill="auto"/>
            <w:noWrap/>
            <w:vAlign w:val="bottom"/>
            <w:hideMark/>
          </w:tcPr>
          <w:p w14:paraId="1AD0C68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-14.5%</w:t>
            </w:r>
          </w:p>
        </w:tc>
      </w:tr>
      <w:tr w:rsidR="008A5057" w:rsidRPr="00BD295E" w14:paraId="348F58A1" w14:textId="77777777" w:rsidTr="00162DD0">
        <w:trPr>
          <w:trHeight w:val="321"/>
        </w:trPr>
        <w:tc>
          <w:tcPr>
            <w:tcW w:w="2754" w:type="dxa"/>
            <w:tcBorders>
              <w:top w:val="single" w:sz="4" w:space="0" w:color="auto"/>
              <w:left w:val="single" w:sz="8" w:space="0" w:color="auto"/>
              <w:bottom w:val="single" w:sz="4" w:space="0" w:color="auto"/>
              <w:right w:val="nil"/>
            </w:tcBorders>
            <w:shd w:val="clear" w:color="auto" w:fill="auto"/>
            <w:vAlign w:val="bottom"/>
            <w:hideMark/>
          </w:tcPr>
          <w:p w14:paraId="66CF358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Transport</w:t>
            </w:r>
          </w:p>
        </w:tc>
        <w:tc>
          <w:tcPr>
            <w:tcW w:w="1321" w:type="dxa"/>
            <w:tcBorders>
              <w:top w:val="nil"/>
              <w:left w:val="single" w:sz="4" w:space="0" w:color="auto"/>
              <w:bottom w:val="single" w:sz="4" w:space="0" w:color="auto"/>
              <w:right w:val="single" w:sz="4" w:space="0" w:color="auto"/>
            </w:tcBorders>
            <w:shd w:val="clear" w:color="auto" w:fill="auto"/>
            <w:noWrap/>
            <w:vAlign w:val="bottom"/>
            <w:hideMark/>
          </w:tcPr>
          <w:p w14:paraId="3644F0A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758.72</w:t>
            </w:r>
          </w:p>
        </w:tc>
        <w:tc>
          <w:tcPr>
            <w:tcW w:w="1200" w:type="dxa"/>
            <w:tcBorders>
              <w:top w:val="nil"/>
              <w:left w:val="nil"/>
              <w:bottom w:val="single" w:sz="4" w:space="0" w:color="auto"/>
              <w:right w:val="single" w:sz="4" w:space="0" w:color="auto"/>
            </w:tcBorders>
            <w:shd w:val="clear" w:color="auto" w:fill="auto"/>
            <w:noWrap/>
            <w:vAlign w:val="bottom"/>
            <w:hideMark/>
          </w:tcPr>
          <w:p w14:paraId="0DD11F7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674.53</w:t>
            </w:r>
          </w:p>
        </w:tc>
        <w:tc>
          <w:tcPr>
            <w:tcW w:w="1201" w:type="dxa"/>
            <w:tcBorders>
              <w:top w:val="nil"/>
              <w:left w:val="nil"/>
              <w:bottom w:val="single" w:sz="4" w:space="0" w:color="auto"/>
              <w:right w:val="single" w:sz="4" w:space="0" w:color="auto"/>
            </w:tcBorders>
            <w:shd w:val="clear" w:color="auto" w:fill="auto"/>
            <w:noWrap/>
            <w:vAlign w:val="bottom"/>
            <w:hideMark/>
          </w:tcPr>
          <w:p w14:paraId="2AB2030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624.55</w:t>
            </w:r>
          </w:p>
        </w:tc>
        <w:tc>
          <w:tcPr>
            <w:tcW w:w="1081" w:type="dxa"/>
            <w:tcBorders>
              <w:top w:val="nil"/>
              <w:left w:val="nil"/>
              <w:bottom w:val="single" w:sz="4" w:space="0" w:color="auto"/>
              <w:right w:val="single" w:sz="4" w:space="0" w:color="auto"/>
            </w:tcBorders>
            <w:shd w:val="clear" w:color="auto" w:fill="auto"/>
            <w:noWrap/>
            <w:vAlign w:val="bottom"/>
            <w:hideMark/>
          </w:tcPr>
          <w:p w14:paraId="0A2B371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-49.98</w:t>
            </w:r>
          </w:p>
        </w:tc>
        <w:tc>
          <w:tcPr>
            <w:tcW w:w="2151" w:type="dxa"/>
            <w:tcBorders>
              <w:top w:val="nil"/>
              <w:left w:val="nil"/>
              <w:bottom w:val="single" w:sz="4" w:space="0" w:color="auto"/>
              <w:right w:val="single" w:sz="8" w:space="0" w:color="auto"/>
            </w:tcBorders>
            <w:shd w:val="clear" w:color="auto" w:fill="auto"/>
            <w:noWrap/>
            <w:vAlign w:val="bottom"/>
            <w:hideMark/>
          </w:tcPr>
          <w:p w14:paraId="36ECC6B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-6.6%</w:t>
            </w:r>
          </w:p>
        </w:tc>
      </w:tr>
      <w:tr w:rsidR="008A5057" w:rsidRPr="00BD295E" w14:paraId="4C021AF6" w14:textId="77777777" w:rsidTr="00162DD0">
        <w:trPr>
          <w:trHeight w:val="321"/>
        </w:trPr>
        <w:tc>
          <w:tcPr>
            <w:tcW w:w="2754" w:type="dxa"/>
            <w:tcBorders>
              <w:top w:val="single" w:sz="4" w:space="0" w:color="auto"/>
              <w:left w:val="single" w:sz="8" w:space="0" w:color="auto"/>
              <w:bottom w:val="single" w:sz="4" w:space="0" w:color="auto"/>
              <w:right w:val="nil"/>
            </w:tcBorders>
            <w:shd w:val="clear" w:color="auto" w:fill="auto"/>
            <w:vAlign w:val="bottom"/>
            <w:hideMark/>
          </w:tcPr>
          <w:p w14:paraId="7A47FAA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Agriculture </w:t>
            </w:r>
          </w:p>
        </w:tc>
        <w:tc>
          <w:tcPr>
            <w:tcW w:w="1321" w:type="dxa"/>
            <w:tcBorders>
              <w:top w:val="nil"/>
              <w:left w:val="single" w:sz="4" w:space="0" w:color="auto"/>
              <w:bottom w:val="single" w:sz="4" w:space="0" w:color="auto"/>
              <w:right w:val="single" w:sz="4" w:space="0" w:color="auto"/>
            </w:tcBorders>
            <w:shd w:val="clear" w:color="auto" w:fill="auto"/>
            <w:noWrap/>
            <w:vAlign w:val="bottom"/>
            <w:hideMark/>
          </w:tcPr>
          <w:p w14:paraId="366763D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317.86</w:t>
            </w:r>
          </w:p>
        </w:tc>
        <w:tc>
          <w:tcPr>
            <w:tcW w:w="1200" w:type="dxa"/>
            <w:tcBorders>
              <w:top w:val="nil"/>
              <w:left w:val="nil"/>
              <w:bottom w:val="single" w:sz="4" w:space="0" w:color="auto"/>
              <w:right w:val="single" w:sz="4" w:space="0" w:color="auto"/>
            </w:tcBorders>
            <w:shd w:val="clear" w:color="auto" w:fill="auto"/>
            <w:noWrap/>
            <w:vAlign w:val="bottom"/>
            <w:hideMark/>
          </w:tcPr>
          <w:p w14:paraId="376DBEC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290.43</w:t>
            </w:r>
          </w:p>
        </w:tc>
        <w:tc>
          <w:tcPr>
            <w:tcW w:w="1201" w:type="dxa"/>
            <w:tcBorders>
              <w:top w:val="nil"/>
              <w:left w:val="nil"/>
              <w:bottom w:val="single" w:sz="4" w:space="0" w:color="auto"/>
              <w:right w:val="single" w:sz="4" w:space="0" w:color="auto"/>
            </w:tcBorders>
            <w:shd w:val="clear" w:color="auto" w:fill="auto"/>
            <w:noWrap/>
            <w:vAlign w:val="bottom"/>
            <w:hideMark/>
          </w:tcPr>
          <w:p w14:paraId="083C3D9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351.41</w:t>
            </w:r>
          </w:p>
        </w:tc>
        <w:tc>
          <w:tcPr>
            <w:tcW w:w="1081" w:type="dxa"/>
            <w:tcBorders>
              <w:top w:val="nil"/>
              <w:left w:val="nil"/>
              <w:bottom w:val="single" w:sz="4" w:space="0" w:color="auto"/>
              <w:right w:val="single" w:sz="4" w:space="0" w:color="auto"/>
            </w:tcBorders>
            <w:shd w:val="clear" w:color="auto" w:fill="auto"/>
            <w:noWrap/>
            <w:vAlign w:val="bottom"/>
            <w:hideMark/>
          </w:tcPr>
          <w:p w14:paraId="0A14BD2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60.98</w:t>
            </w:r>
          </w:p>
        </w:tc>
        <w:tc>
          <w:tcPr>
            <w:tcW w:w="2151" w:type="dxa"/>
            <w:tcBorders>
              <w:top w:val="nil"/>
              <w:left w:val="nil"/>
              <w:bottom w:val="single" w:sz="4" w:space="0" w:color="auto"/>
              <w:right w:val="single" w:sz="8" w:space="0" w:color="auto"/>
            </w:tcBorders>
            <w:shd w:val="clear" w:color="auto" w:fill="auto"/>
            <w:noWrap/>
            <w:vAlign w:val="bottom"/>
            <w:hideMark/>
          </w:tcPr>
          <w:p w14:paraId="58A84F9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19.2%</w:t>
            </w:r>
          </w:p>
        </w:tc>
      </w:tr>
      <w:tr w:rsidR="008A5057" w:rsidRPr="00BD295E" w14:paraId="04B8673E" w14:textId="77777777" w:rsidTr="00162DD0">
        <w:trPr>
          <w:trHeight w:val="321"/>
        </w:trPr>
        <w:tc>
          <w:tcPr>
            <w:tcW w:w="2754" w:type="dxa"/>
            <w:tcBorders>
              <w:top w:val="single" w:sz="4" w:space="0" w:color="auto"/>
              <w:left w:val="single" w:sz="8" w:space="0" w:color="auto"/>
              <w:bottom w:val="single" w:sz="4" w:space="0" w:color="auto"/>
              <w:right w:val="nil"/>
            </w:tcBorders>
            <w:shd w:val="clear" w:color="auto" w:fill="auto"/>
            <w:vAlign w:val="bottom"/>
            <w:hideMark/>
          </w:tcPr>
          <w:p w14:paraId="07D137AC"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Non-industrial consumers</w:t>
            </w:r>
          </w:p>
        </w:tc>
        <w:tc>
          <w:tcPr>
            <w:tcW w:w="1321" w:type="dxa"/>
            <w:tcBorders>
              <w:top w:val="nil"/>
              <w:left w:val="single" w:sz="4" w:space="0" w:color="auto"/>
              <w:bottom w:val="single" w:sz="4" w:space="0" w:color="auto"/>
              <w:right w:val="single" w:sz="4" w:space="0" w:color="auto"/>
            </w:tcBorders>
            <w:shd w:val="clear" w:color="auto" w:fill="auto"/>
            <w:noWrap/>
            <w:vAlign w:val="bottom"/>
            <w:hideMark/>
          </w:tcPr>
          <w:p w14:paraId="00516EF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4,334.16</w:t>
            </w:r>
          </w:p>
        </w:tc>
        <w:tc>
          <w:tcPr>
            <w:tcW w:w="1200" w:type="dxa"/>
            <w:tcBorders>
              <w:top w:val="nil"/>
              <w:left w:val="nil"/>
              <w:bottom w:val="single" w:sz="4" w:space="0" w:color="auto"/>
              <w:right w:val="single" w:sz="4" w:space="0" w:color="auto"/>
            </w:tcBorders>
            <w:shd w:val="clear" w:color="auto" w:fill="auto"/>
            <w:noWrap/>
            <w:vAlign w:val="bottom"/>
            <w:hideMark/>
          </w:tcPr>
          <w:p w14:paraId="4F1ADD6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4,941.64</w:t>
            </w:r>
          </w:p>
        </w:tc>
        <w:tc>
          <w:tcPr>
            <w:tcW w:w="1201" w:type="dxa"/>
            <w:tcBorders>
              <w:top w:val="nil"/>
              <w:left w:val="nil"/>
              <w:bottom w:val="single" w:sz="4" w:space="0" w:color="auto"/>
              <w:right w:val="single" w:sz="4" w:space="0" w:color="auto"/>
            </w:tcBorders>
            <w:shd w:val="clear" w:color="auto" w:fill="auto"/>
            <w:noWrap/>
            <w:vAlign w:val="bottom"/>
            <w:hideMark/>
          </w:tcPr>
          <w:p w14:paraId="54ABE8C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7,758.45</w:t>
            </w:r>
          </w:p>
        </w:tc>
        <w:tc>
          <w:tcPr>
            <w:tcW w:w="1081" w:type="dxa"/>
            <w:tcBorders>
              <w:top w:val="nil"/>
              <w:left w:val="nil"/>
              <w:bottom w:val="single" w:sz="4" w:space="0" w:color="auto"/>
              <w:right w:val="single" w:sz="4" w:space="0" w:color="auto"/>
            </w:tcBorders>
            <w:shd w:val="clear" w:color="auto" w:fill="auto"/>
            <w:noWrap/>
            <w:vAlign w:val="bottom"/>
            <w:hideMark/>
          </w:tcPr>
          <w:p w14:paraId="620DB29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2,816.80</w:t>
            </w:r>
          </w:p>
        </w:tc>
        <w:tc>
          <w:tcPr>
            <w:tcW w:w="2151" w:type="dxa"/>
            <w:tcBorders>
              <w:top w:val="nil"/>
              <w:left w:val="nil"/>
              <w:bottom w:val="single" w:sz="4" w:space="0" w:color="auto"/>
              <w:right w:val="single" w:sz="8" w:space="0" w:color="auto"/>
            </w:tcBorders>
            <w:shd w:val="clear" w:color="auto" w:fill="auto"/>
            <w:noWrap/>
            <w:vAlign w:val="bottom"/>
            <w:hideMark/>
          </w:tcPr>
          <w:p w14:paraId="42885F2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65.0%</w:t>
            </w:r>
          </w:p>
        </w:tc>
      </w:tr>
      <w:tr w:rsidR="008A5057" w:rsidRPr="00BD295E" w14:paraId="4D21A913" w14:textId="77777777" w:rsidTr="00162DD0">
        <w:trPr>
          <w:trHeight w:val="273"/>
        </w:trPr>
        <w:tc>
          <w:tcPr>
            <w:tcW w:w="2754" w:type="dxa"/>
            <w:tcBorders>
              <w:top w:val="single" w:sz="4" w:space="0" w:color="auto"/>
              <w:left w:val="single" w:sz="8" w:space="0" w:color="auto"/>
              <w:bottom w:val="single" w:sz="4" w:space="0" w:color="auto"/>
              <w:right w:val="nil"/>
            </w:tcBorders>
            <w:shd w:val="clear" w:color="auto" w:fill="auto"/>
            <w:vAlign w:val="bottom"/>
            <w:hideMark/>
          </w:tcPr>
          <w:p w14:paraId="315D6ED8"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Public consumers</w:t>
            </w:r>
          </w:p>
        </w:tc>
        <w:tc>
          <w:tcPr>
            <w:tcW w:w="1321" w:type="dxa"/>
            <w:tcBorders>
              <w:top w:val="nil"/>
              <w:left w:val="single" w:sz="4" w:space="0" w:color="auto"/>
              <w:bottom w:val="single" w:sz="4" w:space="0" w:color="auto"/>
              <w:right w:val="single" w:sz="4" w:space="0" w:color="auto"/>
            </w:tcBorders>
            <w:shd w:val="clear" w:color="auto" w:fill="auto"/>
            <w:noWrap/>
            <w:vAlign w:val="bottom"/>
            <w:hideMark/>
          </w:tcPr>
          <w:p w14:paraId="68722C9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259.75</w:t>
            </w:r>
          </w:p>
        </w:tc>
        <w:tc>
          <w:tcPr>
            <w:tcW w:w="1200" w:type="dxa"/>
            <w:tcBorders>
              <w:top w:val="nil"/>
              <w:left w:val="nil"/>
              <w:bottom w:val="single" w:sz="4" w:space="0" w:color="auto"/>
              <w:right w:val="single" w:sz="4" w:space="0" w:color="auto"/>
            </w:tcBorders>
            <w:shd w:val="clear" w:color="auto" w:fill="auto"/>
            <w:noWrap/>
            <w:vAlign w:val="bottom"/>
            <w:hideMark/>
          </w:tcPr>
          <w:p w14:paraId="7F25415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253.80</w:t>
            </w:r>
          </w:p>
        </w:tc>
        <w:tc>
          <w:tcPr>
            <w:tcW w:w="1201" w:type="dxa"/>
            <w:tcBorders>
              <w:top w:val="nil"/>
              <w:left w:val="nil"/>
              <w:bottom w:val="single" w:sz="4" w:space="0" w:color="auto"/>
              <w:right w:val="single" w:sz="4" w:space="0" w:color="auto"/>
            </w:tcBorders>
            <w:shd w:val="clear" w:color="auto" w:fill="auto"/>
            <w:noWrap/>
            <w:vAlign w:val="bottom"/>
            <w:hideMark/>
          </w:tcPr>
          <w:p w14:paraId="5348B86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1,805.91</w:t>
            </w:r>
          </w:p>
        </w:tc>
        <w:tc>
          <w:tcPr>
            <w:tcW w:w="1081" w:type="dxa"/>
            <w:tcBorders>
              <w:top w:val="nil"/>
              <w:left w:val="nil"/>
              <w:bottom w:val="single" w:sz="4" w:space="0" w:color="auto"/>
              <w:right w:val="single" w:sz="4" w:space="0" w:color="auto"/>
            </w:tcBorders>
            <w:shd w:val="clear" w:color="auto" w:fill="auto"/>
            <w:noWrap/>
            <w:vAlign w:val="bottom"/>
            <w:hideMark/>
          </w:tcPr>
          <w:p w14:paraId="27D7A6A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1,552.11</w:t>
            </w:r>
          </w:p>
        </w:tc>
        <w:tc>
          <w:tcPr>
            <w:tcW w:w="2151" w:type="dxa"/>
            <w:tcBorders>
              <w:top w:val="nil"/>
              <w:left w:val="nil"/>
              <w:bottom w:val="single" w:sz="4" w:space="0" w:color="auto"/>
              <w:right w:val="single" w:sz="8" w:space="0" w:color="auto"/>
            </w:tcBorders>
            <w:shd w:val="clear" w:color="auto" w:fill="auto"/>
            <w:noWrap/>
            <w:vAlign w:val="bottom"/>
            <w:hideMark/>
          </w:tcPr>
          <w:p w14:paraId="17204C7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597.5%</w:t>
            </w:r>
          </w:p>
        </w:tc>
      </w:tr>
      <w:tr w:rsidR="008A5057" w:rsidRPr="00BD295E" w14:paraId="31CEEA06" w14:textId="77777777" w:rsidTr="00162DD0">
        <w:trPr>
          <w:trHeight w:val="321"/>
        </w:trPr>
        <w:tc>
          <w:tcPr>
            <w:tcW w:w="2754" w:type="dxa"/>
            <w:tcBorders>
              <w:top w:val="single" w:sz="4" w:space="0" w:color="auto"/>
              <w:left w:val="single" w:sz="8" w:space="0" w:color="auto"/>
              <w:bottom w:val="single" w:sz="4" w:space="0" w:color="auto"/>
              <w:right w:val="nil"/>
            </w:tcBorders>
            <w:shd w:val="clear" w:color="auto" w:fill="auto"/>
            <w:vAlign w:val="bottom"/>
            <w:hideMark/>
          </w:tcPr>
          <w:p w14:paraId="1F601AD1"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Households and equivalent consumers </w:t>
            </w:r>
          </w:p>
        </w:tc>
        <w:tc>
          <w:tcPr>
            <w:tcW w:w="1321" w:type="dxa"/>
            <w:tcBorders>
              <w:top w:val="nil"/>
              <w:left w:val="single" w:sz="4" w:space="0" w:color="auto"/>
              <w:bottom w:val="single" w:sz="4" w:space="0" w:color="auto"/>
              <w:right w:val="single" w:sz="4" w:space="0" w:color="auto"/>
            </w:tcBorders>
            <w:shd w:val="clear" w:color="auto" w:fill="auto"/>
            <w:noWrap/>
            <w:vAlign w:val="bottom"/>
            <w:hideMark/>
          </w:tcPr>
          <w:p w14:paraId="44F1806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6,870.87</w:t>
            </w:r>
          </w:p>
        </w:tc>
        <w:tc>
          <w:tcPr>
            <w:tcW w:w="1200" w:type="dxa"/>
            <w:tcBorders>
              <w:top w:val="nil"/>
              <w:left w:val="nil"/>
              <w:bottom w:val="single" w:sz="4" w:space="0" w:color="auto"/>
              <w:right w:val="single" w:sz="4" w:space="0" w:color="auto"/>
            </w:tcBorders>
            <w:shd w:val="clear" w:color="auto" w:fill="auto"/>
            <w:noWrap/>
            <w:vAlign w:val="bottom"/>
            <w:hideMark/>
          </w:tcPr>
          <w:p w14:paraId="7FD76C9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6,944.63</w:t>
            </w:r>
          </w:p>
        </w:tc>
        <w:tc>
          <w:tcPr>
            <w:tcW w:w="1201" w:type="dxa"/>
            <w:tcBorders>
              <w:top w:val="nil"/>
              <w:left w:val="nil"/>
              <w:bottom w:val="single" w:sz="4" w:space="0" w:color="auto"/>
              <w:right w:val="single" w:sz="4" w:space="0" w:color="auto"/>
            </w:tcBorders>
            <w:shd w:val="clear" w:color="auto" w:fill="auto"/>
            <w:noWrap/>
            <w:vAlign w:val="bottom"/>
            <w:hideMark/>
          </w:tcPr>
          <w:p w14:paraId="066CFAA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7,250.63</w:t>
            </w:r>
          </w:p>
        </w:tc>
        <w:tc>
          <w:tcPr>
            <w:tcW w:w="1081" w:type="dxa"/>
            <w:tcBorders>
              <w:top w:val="nil"/>
              <w:left w:val="nil"/>
              <w:bottom w:val="single" w:sz="4" w:space="0" w:color="auto"/>
              <w:right w:val="single" w:sz="4" w:space="0" w:color="auto"/>
            </w:tcBorders>
            <w:shd w:val="clear" w:color="auto" w:fill="auto"/>
            <w:noWrap/>
            <w:vAlign w:val="bottom"/>
            <w:hideMark/>
          </w:tcPr>
          <w:p w14:paraId="1DD7A10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306.00</w:t>
            </w:r>
          </w:p>
        </w:tc>
        <w:tc>
          <w:tcPr>
            <w:tcW w:w="2151" w:type="dxa"/>
            <w:tcBorders>
              <w:top w:val="nil"/>
              <w:left w:val="nil"/>
              <w:bottom w:val="single" w:sz="4" w:space="0" w:color="auto"/>
              <w:right w:val="single" w:sz="8" w:space="0" w:color="auto"/>
            </w:tcBorders>
            <w:shd w:val="clear" w:color="auto" w:fill="auto"/>
            <w:noWrap/>
            <w:vAlign w:val="bottom"/>
            <w:hideMark/>
          </w:tcPr>
          <w:p w14:paraId="74490EE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4.5%</w:t>
            </w:r>
          </w:p>
        </w:tc>
      </w:tr>
      <w:tr w:rsidR="008A5057" w:rsidRPr="00BD295E" w14:paraId="24885F43" w14:textId="77777777" w:rsidTr="00162DD0">
        <w:trPr>
          <w:trHeight w:val="321"/>
        </w:trPr>
        <w:tc>
          <w:tcPr>
            <w:tcW w:w="2754" w:type="dxa"/>
            <w:tcBorders>
              <w:top w:val="single" w:sz="4" w:space="0" w:color="auto"/>
              <w:left w:val="single" w:sz="8" w:space="0" w:color="auto"/>
              <w:bottom w:val="single" w:sz="4" w:space="0" w:color="auto"/>
              <w:right w:val="nil"/>
            </w:tcBorders>
            <w:shd w:val="clear" w:color="auto" w:fill="auto"/>
            <w:vAlign w:val="bottom"/>
            <w:hideMark/>
          </w:tcPr>
          <w:p w14:paraId="69F4C41D" w14:textId="77777777" w:rsidR="00162DD0" w:rsidRPr="00BD295E" w:rsidRDefault="000D659F" w:rsidP="00162DD0">
            <w:pPr>
              <w:rPr>
                <w:rFonts w:ascii="Arial" w:hAnsi="Arial" w:cs="Arial"/>
                <w:sz w:val="18"/>
                <w:szCs w:val="18"/>
                <w:lang w:val="en-US"/>
              </w:rPr>
            </w:pPr>
            <w:r w:rsidRPr="00BD295E">
              <w:rPr>
                <w:rFonts w:ascii="Arial" w:hAnsi="Arial" w:cs="Arial"/>
                <w:sz w:val="18"/>
                <w:szCs w:val="18"/>
                <w:lang w:val="en-US"/>
              </w:rPr>
              <w:t>Local grids</w:t>
            </w:r>
          </w:p>
        </w:tc>
        <w:tc>
          <w:tcPr>
            <w:tcW w:w="1321" w:type="dxa"/>
            <w:tcBorders>
              <w:top w:val="nil"/>
              <w:left w:val="single" w:sz="4" w:space="0" w:color="auto"/>
              <w:bottom w:val="single" w:sz="4" w:space="0" w:color="auto"/>
              <w:right w:val="single" w:sz="4" w:space="0" w:color="auto"/>
            </w:tcBorders>
            <w:shd w:val="clear" w:color="auto" w:fill="auto"/>
            <w:noWrap/>
            <w:vAlign w:val="bottom"/>
            <w:hideMark/>
          </w:tcPr>
          <w:p w14:paraId="6E1487D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10,104.78</w:t>
            </w:r>
          </w:p>
        </w:tc>
        <w:tc>
          <w:tcPr>
            <w:tcW w:w="1200" w:type="dxa"/>
            <w:tcBorders>
              <w:top w:val="nil"/>
              <w:left w:val="nil"/>
              <w:bottom w:val="single" w:sz="4" w:space="0" w:color="auto"/>
              <w:right w:val="single" w:sz="4" w:space="0" w:color="auto"/>
            </w:tcBorders>
            <w:shd w:val="clear" w:color="auto" w:fill="auto"/>
            <w:noWrap/>
            <w:vAlign w:val="bottom"/>
            <w:hideMark/>
          </w:tcPr>
          <w:p w14:paraId="24AD28B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8,469.19</w:t>
            </w:r>
          </w:p>
        </w:tc>
        <w:tc>
          <w:tcPr>
            <w:tcW w:w="1201" w:type="dxa"/>
            <w:tcBorders>
              <w:top w:val="nil"/>
              <w:left w:val="nil"/>
              <w:bottom w:val="single" w:sz="4" w:space="0" w:color="auto"/>
              <w:right w:val="single" w:sz="4" w:space="0" w:color="auto"/>
            </w:tcBorders>
            <w:shd w:val="clear" w:color="auto" w:fill="auto"/>
            <w:noWrap/>
            <w:vAlign w:val="bottom"/>
            <w:hideMark/>
          </w:tcPr>
          <w:p w14:paraId="2200B37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5,682.10</w:t>
            </w:r>
          </w:p>
        </w:tc>
        <w:tc>
          <w:tcPr>
            <w:tcW w:w="1081" w:type="dxa"/>
            <w:tcBorders>
              <w:top w:val="nil"/>
              <w:left w:val="nil"/>
              <w:bottom w:val="single" w:sz="4" w:space="0" w:color="auto"/>
              <w:right w:val="single" w:sz="4" w:space="0" w:color="auto"/>
            </w:tcBorders>
            <w:shd w:val="clear" w:color="auto" w:fill="auto"/>
            <w:noWrap/>
            <w:vAlign w:val="bottom"/>
            <w:hideMark/>
          </w:tcPr>
          <w:p w14:paraId="0FF125FC"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-2,787.09</w:t>
            </w:r>
          </w:p>
        </w:tc>
        <w:tc>
          <w:tcPr>
            <w:tcW w:w="2151" w:type="dxa"/>
            <w:tcBorders>
              <w:top w:val="nil"/>
              <w:left w:val="nil"/>
              <w:bottom w:val="single" w:sz="4" w:space="0" w:color="auto"/>
              <w:right w:val="single" w:sz="8" w:space="0" w:color="auto"/>
            </w:tcBorders>
            <w:shd w:val="clear" w:color="auto" w:fill="auto"/>
            <w:noWrap/>
            <w:vAlign w:val="bottom"/>
            <w:hideMark/>
          </w:tcPr>
          <w:p w14:paraId="314AFAE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-27.6%</w:t>
            </w:r>
          </w:p>
        </w:tc>
      </w:tr>
      <w:tr w:rsidR="008A5057" w:rsidRPr="00BD295E" w14:paraId="017400B8" w14:textId="77777777" w:rsidTr="00162DD0">
        <w:trPr>
          <w:trHeight w:val="337"/>
        </w:trPr>
        <w:tc>
          <w:tcPr>
            <w:tcW w:w="2754" w:type="dxa"/>
            <w:tcBorders>
              <w:top w:val="single" w:sz="4" w:space="0" w:color="auto"/>
              <w:left w:val="single" w:sz="8" w:space="0" w:color="auto"/>
              <w:bottom w:val="single" w:sz="8" w:space="0" w:color="auto"/>
              <w:right w:val="nil"/>
            </w:tcBorders>
            <w:shd w:val="clear" w:color="auto" w:fill="auto"/>
            <w:vAlign w:val="bottom"/>
            <w:hideMark/>
          </w:tcPr>
          <w:p w14:paraId="1EBB6409"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Total</w:t>
            </w:r>
          </w:p>
        </w:tc>
        <w:tc>
          <w:tcPr>
            <w:tcW w:w="1321"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15F966D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30,220.48</w:t>
            </w:r>
          </w:p>
        </w:tc>
        <w:tc>
          <w:tcPr>
            <w:tcW w:w="1200" w:type="dxa"/>
            <w:tcBorders>
              <w:top w:val="single" w:sz="4" w:space="0" w:color="auto"/>
              <w:left w:val="nil"/>
              <w:bottom w:val="single" w:sz="8" w:space="0" w:color="auto"/>
              <w:right w:val="single" w:sz="4" w:space="0" w:color="auto"/>
            </w:tcBorders>
            <w:shd w:val="clear" w:color="auto" w:fill="auto"/>
            <w:noWrap/>
            <w:vAlign w:val="bottom"/>
            <w:hideMark/>
          </w:tcPr>
          <w:p w14:paraId="1BEA269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30,598.00</w:t>
            </w:r>
          </w:p>
        </w:tc>
        <w:tc>
          <w:tcPr>
            <w:tcW w:w="1201" w:type="dxa"/>
            <w:tcBorders>
              <w:top w:val="single" w:sz="4" w:space="0" w:color="auto"/>
              <w:left w:val="nil"/>
              <w:bottom w:val="single" w:sz="8" w:space="0" w:color="auto"/>
              <w:right w:val="single" w:sz="4" w:space="0" w:color="auto"/>
            </w:tcBorders>
            <w:shd w:val="clear" w:color="auto" w:fill="auto"/>
            <w:noWrap/>
            <w:vAlign w:val="bottom"/>
            <w:hideMark/>
          </w:tcPr>
          <w:p w14:paraId="00D706F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31,396.31</w:t>
            </w:r>
          </w:p>
        </w:tc>
        <w:tc>
          <w:tcPr>
            <w:tcW w:w="1081" w:type="dxa"/>
            <w:tcBorders>
              <w:top w:val="single" w:sz="4" w:space="0" w:color="auto"/>
              <w:left w:val="nil"/>
              <w:bottom w:val="single" w:sz="8" w:space="0" w:color="auto"/>
              <w:right w:val="single" w:sz="4" w:space="0" w:color="auto"/>
            </w:tcBorders>
            <w:shd w:val="clear" w:color="auto" w:fill="auto"/>
            <w:noWrap/>
            <w:vAlign w:val="bottom"/>
            <w:hideMark/>
          </w:tcPr>
          <w:p w14:paraId="5433B7C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798.31</w:t>
            </w:r>
          </w:p>
        </w:tc>
        <w:tc>
          <w:tcPr>
            <w:tcW w:w="2151" w:type="dxa"/>
            <w:tcBorders>
              <w:top w:val="single" w:sz="4" w:space="0" w:color="auto"/>
              <w:left w:val="nil"/>
              <w:bottom w:val="single" w:sz="8" w:space="0" w:color="auto"/>
              <w:right w:val="single" w:sz="8" w:space="0" w:color="auto"/>
            </w:tcBorders>
            <w:shd w:val="clear" w:color="auto" w:fill="auto"/>
            <w:noWrap/>
            <w:vAlign w:val="bottom"/>
            <w:hideMark/>
          </w:tcPr>
          <w:p w14:paraId="5F1D488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2.6%</w:t>
            </w:r>
          </w:p>
        </w:tc>
      </w:tr>
    </w:tbl>
    <w:p w14:paraId="5A4C439F" w14:textId="77777777" w:rsidR="00162DD0" w:rsidRPr="00BD295E" w:rsidRDefault="008A5057" w:rsidP="00162DD0">
      <w:pPr>
        <w:tabs>
          <w:tab w:val="left" w:pos="1080"/>
          <w:tab w:val="left" w:pos="1320"/>
        </w:tabs>
        <w:ind w:right="1274"/>
        <w:jc w:val="both"/>
        <w:rPr>
          <w:rFonts w:ascii="Arial" w:hAnsi="Arial" w:cs="Arial"/>
          <w:bCs/>
          <w:sz w:val="18"/>
          <w:szCs w:val="18"/>
          <w:lang w:val="en-US"/>
        </w:rPr>
      </w:pPr>
      <w:r w:rsidRPr="00BD295E">
        <w:rPr>
          <w:rFonts w:ascii="Arial" w:hAnsi="Arial" w:cs="Arial"/>
          <w:bCs/>
          <w:sz w:val="18"/>
          <w:szCs w:val="18"/>
          <w:lang w:val="en-US"/>
        </w:rPr>
        <w:tab/>
      </w:r>
    </w:p>
    <w:p w14:paraId="3ACB0E1E" w14:textId="77777777" w:rsidR="00162DD0" w:rsidRPr="00BD295E" w:rsidRDefault="008A5057" w:rsidP="00162DD0">
      <w:pPr>
        <w:tabs>
          <w:tab w:val="left" w:pos="1080"/>
          <w:tab w:val="left" w:pos="1320"/>
        </w:tabs>
        <w:ind w:right="-2"/>
        <w:jc w:val="both"/>
        <w:rPr>
          <w:rFonts w:ascii="Arial" w:hAnsi="Arial" w:cs="Arial"/>
          <w:b/>
          <w:bCs/>
          <w:sz w:val="18"/>
          <w:szCs w:val="18"/>
          <w:lang w:val="en-US"/>
        </w:rPr>
      </w:pPr>
      <w:r w:rsidRPr="00BD295E">
        <w:rPr>
          <w:rFonts w:ascii="Arial" w:hAnsi="Arial" w:cs="Arial"/>
          <w:bCs/>
          <w:sz w:val="18"/>
          <w:szCs w:val="18"/>
          <w:lang w:val="en-US"/>
        </w:rPr>
        <w:tab/>
      </w:r>
      <w:r w:rsidRPr="00BD295E">
        <w:rPr>
          <w:rFonts w:ascii="Arial" w:hAnsi="Arial" w:cs="Arial"/>
          <w:sz w:val="18"/>
          <w:szCs w:val="18"/>
          <w:lang w:val="en-US"/>
        </w:rPr>
        <w:t xml:space="preserve">The increase in the share of electricity distribution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the electricity services market is due to the signing of contracts for the lease of electric grid equipment of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 and, as a consequence, a decrease in the supply to grids of territorial related organizations connected to Lenenergo’s grids and the increase in the share of end consumers.</w:t>
      </w:r>
    </w:p>
    <w:p w14:paraId="1AE974A9" w14:textId="77777777" w:rsidR="00C90D08" w:rsidRPr="00BD295E" w:rsidRDefault="00C90D08" w:rsidP="00162DD0">
      <w:pPr>
        <w:tabs>
          <w:tab w:val="left" w:pos="1080"/>
          <w:tab w:val="left" w:pos="1320"/>
          <w:tab w:val="left" w:pos="2054"/>
          <w:tab w:val="center" w:pos="4394"/>
        </w:tabs>
        <w:ind w:left="709" w:right="-2"/>
        <w:jc w:val="center"/>
        <w:rPr>
          <w:rFonts w:ascii="Arial" w:hAnsi="Arial" w:cs="Arial"/>
          <w:bCs/>
          <w:sz w:val="18"/>
          <w:szCs w:val="18"/>
          <w:lang w:val="en-US"/>
        </w:rPr>
      </w:pPr>
    </w:p>
    <w:p w14:paraId="092D301E" w14:textId="77777777" w:rsidR="00162DD0" w:rsidRPr="00BD295E" w:rsidRDefault="008A5057" w:rsidP="003159D9">
      <w:pPr>
        <w:keepNext/>
        <w:tabs>
          <w:tab w:val="left" w:pos="1080"/>
          <w:tab w:val="left" w:pos="1320"/>
          <w:tab w:val="left" w:pos="2054"/>
          <w:tab w:val="center" w:pos="4394"/>
        </w:tabs>
        <w:ind w:left="709"/>
        <w:jc w:val="center"/>
        <w:rPr>
          <w:rFonts w:ascii="Arial" w:hAnsi="Arial" w:cs="Arial"/>
          <w:bCs/>
          <w:sz w:val="18"/>
          <w:szCs w:val="18"/>
          <w:lang w:val="en-US"/>
        </w:rPr>
      </w:pPr>
      <w:r w:rsidRPr="00BD295E">
        <w:rPr>
          <w:rFonts w:ascii="Arial" w:hAnsi="Arial" w:cs="Arial"/>
          <w:bCs/>
          <w:sz w:val="18"/>
          <w:szCs w:val="18"/>
          <w:lang w:val="en-US"/>
        </w:rPr>
        <w:t xml:space="preserve">Structure of electricity supply from networks by consumer group </w:t>
      </w:r>
    </w:p>
    <w:p w14:paraId="259BB5A2" w14:textId="77777777" w:rsidR="00162DD0" w:rsidRPr="00BD295E" w:rsidRDefault="008A5057" w:rsidP="003159D9">
      <w:pPr>
        <w:keepNext/>
        <w:tabs>
          <w:tab w:val="left" w:pos="1080"/>
          <w:tab w:val="left" w:pos="1320"/>
          <w:tab w:val="left" w:pos="2054"/>
          <w:tab w:val="center" w:pos="4394"/>
        </w:tabs>
        <w:ind w:left="709"/>
        <w:jc w:val="center"/>
        <w:rPr>
          <w:rFonts w:ascii="Arial" w:hAnsi="Arial" w:cs="Arial"/>
          <w:bCs/>
          <w:sz w:val="18"/>
          <w:szCs w:val="18"/>
          <w:lang w:val="en-US"/>
        </w:rPr>
      </w:pPr>
      <w:r w:rsidRPr="00BD295E">
        <w:rPr>
          <w:rFonts w:ascii="Arial" w:hAnsi="Arial" w:cs="Arial"/>
          <w:bCs/>
          <w:sz w:val="18"/>
          <w:szCs w:val="18"/>
          <w:lang w:val="en-US"/>
        </w:rPr>
        <w:t xml:space="preserve">  Lenenergo Group (including </w:t>
      </w:r>
      <w:r w:rsidR="006515AB" w:rsidRPr="00BD295E">
        <w:rPr>
          <w:rFonts w:ascii="Arial" w:hAnsi="Arial" w:cs="Arial"/>
          <w:bCs/>
          <w:sz w:val="18"/>
          <w:szCs w:val="18"/>
          <w:lang w:val="en-US"/>
        </w:rPr>
        <w:t>subsidiaries and affiliates</w:t>
      </w:r>
      <w:r w:rsidRPr="00BD295E">
        <w:rPr>
          <w:rFonts w:ascii="Arial" w:hAnsi="Arial" w:cs="Arial"/>
          <w:bCs/>
          <w:sz w:val="18"/>
          <w:szCs w:val="18"/>
          <w:lang w:val="en-US"/>
        </w:rPr>
        <w:t>), million kWh</w:t>
      </w:r>
    </w:p>
    <w:tbl>
      <w:tblPr>
        <w:tblW w:w="6380" w:type="dxa"/>
        <w:tblInd w:w="1805" w:type="dxa"/>
        <w:tblLook w:val="04A0" w:firstRow="1" w:lastRow="0" w:firstColumn="1" w:lastColumn="0" w:noHBand="0" w:noVBand="1"/>
      </w:tblPr>
      <w:tblGrid>
        <w:gridCol w:w="5100"/>
        <w:gridCol w:w="1280"/>
      </w:tblGrid>
      <w:tr w:rsidR="008A5057" w:rsidRPr="00BD295E" w14:paraId="4DCEEB96" w14:textId="77777777" w:rsidTr="00162DD0">
        <w:trPr>
          <w:trHeight w:val="458"/>
        </w:trPr>
        <w:tc>
          <w:tcPr>
            <w:tcW w:w="51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3CD4F"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Lenenergo Group</w:t>
            </w:r>
          </w:p>
        </w:tc>
        <w:tc>
          <w:tcPr>
            <w:tcW w:w="12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8382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2,018</w:t>
            </w:r>
          </w:p>
        </w:tc>
      </w:tr>
      <w:tr w:rsidR="008A5057" w:rsidRPr="00BD295E" w14:paraId="25EF3535" w14:textId="77777777" w:rsidTr="00162DD0">
        <w:trPr>
          <w:trHeight w:val="458"/>
        </w:trPr>
        <w:tc>
          <w:tcPr>
            <w:tcW w:w="5100" w:type="dxa"/>
            <w:vMerge/>
            <w:tcBorders>
              <w:top w:val="single" w:sz="4" w:space="0" w:color="auto"/>
              <w:left w:val="single" w:sz="4" w:space="0" w:color="auto"/>
              <w:bottom w:val="single" w:sz="4" w:space="0" w:color="auto"/>
              <w:right w:val="single" w:sz="4" w:space="0" w:color="auto"/>
            </w:tcBorders>
            <w:vAlign w:val="center"/>
            <w:hideMark/>
          </w:tcPr>
          <w:p w14:paraId="1630B4FC" w14:textId="77777777" w:rsidR="00162DD0" w:rsidRPr="00BD295E" w:rsidRDefault="00162DD0" w:rsidP="00162DD0">
            <w:pPr>
              <w:rPr>
                <w:rFonts w:ascii="Arial" w:hAnsi="Arial" w:cs="Arial"/>
                <w:b/>
                <w:bCs/>
                <w:sz w:val="18"/>
                <w:szCs w:val="18"/>
                <w:lang w:val="en-US"/>
              </w:rPr>
            </w:pPr>
          </w:p>
        </w:tc>
        <w:tc>
          <w:tcPr>
            <w:tcW w:w="1280" w:type="dxa"/>
            <w:vMerge/>
            <w:tcBorders>
              <w:top w:val="single" w:sz="4" w:space="0" w:color="auto"/>
              <w:left w:val="single" w:sz="4" w:space="0" w:color="auto"/>
              <w:bottom w:val="single" w:sz="4" w:space="0" w:color="auto"/>
              <w:right w:val="single" w:sz="4" w:space="0" w:color="auto"/>
            </w:tcBorders>
            <w:vAlign w:val="center"/>
            <w:hideMark/>
          </w:tcPr>
          <w:p w14:paraId="659BD2B4" w14:textId="77777777" w:rsidR="00162DD0" w:rsidRPr="00BD295E" w:rsidRDefault="00162DD0" w:rsidP="00162DD0">
            <w:pPr>
              <w:rPr>
                <w:rFonts w:ascii="Arial" w:hAnsi="Arial" w:cs="Arial"/>
                <w:sz w:val="18"/>
                <w:szCs w:val="18"/>
                <w:lang w:val="en-US"/>
              </w:rPr>
            </w:pPr>
          </w:p>
        </w:tc>
      </w:tr>
      <w:tr w:rsidR="008A5057" w:rsidRPr="00BD295E" w14:paraId="5DB426A3" w14:textId="77777777" w:rsidTr="00162DD0">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D908B8"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Industrial consumers </w:t>
            </w:r>
          </w:p>
        </w:tc>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75306C3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8,010.12</w:t>
            </w:r>
          </w:p>
        </w:tc>
      </w:tr>
      <w:tr w:rsidR="008A5057" w:rsidRPr="00BD295E" w14:paraId="3584046F" w14:textId="77777777" w:rsidTr="00162DD0">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3B1EF1"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Transport</w:t>
            </w:r>
          </w:p>
        </w:tc>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6E1EFAA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624.55</w:t>
            </w:r>
          </w:p>
        </w:tc>
      </w:tr>
      <w:tr w:rsidR="008A5057" w:rsidRPr="00BD295E" w14:paraId="3F09A482" w14:textId="77777777" w:rsidTr="00162DD0">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AAEFB7"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Agriculture and food industry</w:t>
            </w:r>
          </w:p>
        </w:tc>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4CBB0DB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351.41</w:t>
            </w:r>
          </w:p>
        </w:tc>
      </w:tr>
      <w:tr w:rsidR="008A5057" w:rsidRPr="00BD295E" w14:paraId="0C219287" w14:textId="77777777" w:rsidTr="00162DD0">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F8DB3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Non-industrial consumers</w:t>
            </w:r>
          </w:p>
        </w:tc>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38FE3AC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8,126.04</w:t>
            </w:r>
          </w:p>
        </w:tc>
      </w:tr>
      <w:tr w:rsidR="008A5057" w:rsidRPr="00BD295E" w14:paraId="3DE82C54" w14:textId="77777777" w:rsidTr="00162DD0">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FEFB4A"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Public consumers</w:t>
            </w:r>
          </w:p>
        </w:tc>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16FB333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1,867.26</w:t>
            </w:r>
          </w:p>
        </w:tc>
      </w:tr>
      <w:tr w:rsidR="008A5057" w:rsidRPr="00BD295E" w14:paraId="5763AFE0" w14:textId="77777777" w:rsidTr="00162DD0">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F97593"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Households and equivalent consumers</w:t>
            </w:r>
          </w:p>
        </w:tc>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132040D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7,639.86</w:t>
            </w:r>
          </w:p>
        </w:tc>
      </w:tr>
      <w:tr w:rsidR="008A5057" w:rsidRPr="00BD295E" w14:paraId="6FD43EBE" w14:textId="77777777" w:rsidTr="00162DD0">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5EFA52" w14:textId="77777777" w:rsidR="00162DD0" w:rsidRPr="00BD295E" w:rsidRDefault="000D659F" w:rsidP="00162DD0">
            <w:pPr>
              <w:rPr>
                <w:rFonts w:ascii="Arial" w:hAnsi="Arial" w:cs="Arial"/>
                <w:sz w:val="18"/>
                <w:szCs w:val="18"/>
                <w:lang w:val="en-US"/>
              </w:rPr>
            </w:pPr>
            <w:r w:rsidRPr="00BD295E">
              <w:rPr>
                <w:rFonts w:ascii="Arial" w:hAnsi="Arial" w:cs="Arial"/>
                <w:sz w:val="18"/>
                <w:szCs w:val="18"/>
                <w:lang w:val="en-US"/>
              </w:rPr>
              <w:t>Local grids</w:t>
            </w:r>
          </w:p>
        </w:tc>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24B5DC6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4,777.06</w:t>
            </w:r>
          </w:p>
        </w:tc>
      </w:tr>
      <w:tr w:rsidR="008A5057" w:rsidRPr="00BD295E" w14:paraId="319A1ACA" w14:textId="77777777" w:rsidTr="00162DD0">
        <w:trPr>
          <w:trHeight w:val="300"/>
        </w:trPr>
        <w:tc>
          <w:tcPr>
            <w:tcW w:w="5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77E02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Total</w:t>
            </w:r>
          </w:p>
        </w:tc>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5DDE3B6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31,396.31</w:t>
            </w:r>
          </w:p>
        </w:tc>
      </w:tr>
    </w:tbl>
    <w:p w14:paraId="00028397" w14:textId="77777777" w:rsidR="00162DD0" w:rsidRPr="00BD295E" w:rsidRDefault="00162DD0" w:rsidP="00162DD0">
      <w:pPr>
        <w:tabs>
          <w:tab w:val="left" w:pos="1080"/>
          <w:tab w:val="left" w:pos="1320"/>
          <w:tab w:val="left" w:pos="2054"/>
          <w:tab w:val="center" w:pos="4394"/>
          <w:tab w:val="left" w:pos="10063"/>
        </w:tabs>
        <w:ind w:left="709" w:right="-2"/>
        <w:jc w:val="center"/>
        <w:rPr>
          <w:rFonts w:ascii="Arial" w:hAnsi="Arial" w:cs="Arial"/>
          <w:bCs/>
          <w:sz w:val="18"/>
          <w:szCs w:val="18"/>
          <w:lang w:val="en-US"/>
        </w:rPr>
      </w:pPr>
    </w:p>
    <w:p w14:paraId="7B7EE0EA" w14:textId="77777777" w:rsidR="00162DD0" w:rsidRPr="00BD295E" w:rsidRDefault="008A5057" w:rsidP="00162DD0">
      <w:pPr>
        <w:ind w:left="820" w:right="1274"/>
        <w:jc w:val="center"/>
        <w:rPr>
          <w:rFonts w:ascii="Arial" w:eastAsia="Calibri" w:hAnsi="Arial" w:cs="Arial"/>
          <w:bCs/>
          <w:sz w:val="18"/>
          <w:szCs w:val="18"/>
          <w:lang w:val="en-US"/>
        </w:rPr>
      </w:pPr>
      <w:r w:rsidRPr="00BD295E">
        <w:rPr>
          <w:rFonts w:ascii="Arial" w:hAnsi="Arial" w:cs="Arial"/>
          <w:bCs/>
          <w:sz w:val="18"/>
          <w:szCs w:val="18"/>
          <w:lang w:val="en-US"/>
        </w:rPr>
        <w:t>Electricity supply by end consumer group in 2018</w:t>
      </w:r>
    </w:p>
    <w:p w14:paraId="784616B3" w14:textId="583EA3F8" w:rsidR="00385050" w:rsidRPr="00BD295E" w:rsidRDefault="00385050" w:rsidP="00385050">
      <w:pPr>
        <w:tabs>
          <w:tab w:val="left" w:pos="10063"/>
        </w:tabs>
        <w:ind w:right="-2"/>
        <w:jc w:val="center"/>
        <w:rPr>
          <w:rFonts w:ascii="Arial" w:eastAsia="Calibri" w:hAnsi="Arial" w:cs="Arial"/>
          <w:b/>
          <w:bCs/>
          <w:sz w:val="18"/>
          <w:szCs w:val="18"/>
          <w:lang w:val="en-US"/>
        </w:rPr>
      </w:pPr>
      <w:r w:rsidRPr="00BD295E">
        <w:rPr>
          <w:rFonts w:ascii="Arial" w:hAnsi="Arial" w:cs="Arial"/>
          <w:sz w:val="18"/>
          <w:szCs w:val="18"/>
          <w:lang w:val="en-US" w:eastAsia="en-US"/>
        </w:rPr>
        <w:drawing>
          <wp:inline distT="0" distB="0" distL="0" distR="0" wp14:anchorId="40F453F8" wp14:editId="27727BFE">
            <wp:extent cx="4242435" cy="2712720"/>
            <wp:effectExtent l="0" t="0" r="5715" b="11430"/>
            <wp:docPr id="554" name="Диаграмма 5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D875F87" w14:textId="3D83C53B" w:rsidR="00162DD0" w:rsidRPr="00BD295E" w:rsidRDefault="00162DD0" w:rsidP="00162DD0">
      <w:pPr>
        <w:tabs>
          <w:tab w:val="left" w:pos="10063"/>
        </w:tabs>
        <w:ind w:right="-2"/>
        <w:jc w:val="center"/>
        <w:rPr>
          <w:rFonts w:ascii="Arial" w:eastAsia="Calibri" w:hAnsi="Arial" w:cs="Arial"/>
          <w:b/>
          <w:bCs/>
          <w:sz w:val="18"/>
          <w:szCs w:val="18"/>
          <w:lang w:val="en-US"/>
        </w:rPr>
      </w:pPr>
    </w:p>
    <w:p w14:paraId="75EB80C8" w14:textId="368A9642" w:rsidR="00385050" w:rsidRPr="00BD295E" w:rsidRDefault="00385050" w:rsidP="00385050">
      <w:pPr>
        <w:tabs>
          <w:tab w:val="left" w:pos="10063"/>
        </w:tabs>
        <w:ind w:right="-2"/>
        <w:jc w:val="center"/>
        <w:rPr>
          <w:rFonts w:ascii="Arial" w:eastAsia="Calibri" w:hAnsi="Arial" w:cs="Arial"/>
          <w:b/>
          <w:bCs/>
          <w:sz w:val="18"/>
          <w:szCs w:val="18"/>
          <w:lang w:val="en-US"/>
        </w:rPr>
      </w:pPr>
      <w:r w:rsidRPr="00BD295E">
        <w:rPr>
          <w:rFonts w:ascii="Arial" w:hAnsi="Arial" w:cs="Arial"/>
          <w:sz w:val="18"/>
          <w:szCs w:val="18"/>
          <w:lang w:val="en-US" w:eastAsia="en-US"/>
        </w:rPr>
        <w:drawing>
          <wp:inline distT="0" distB="0" distL="0" distR="0" wp14:anchorId="0978AF58" wp14:editId="0CC2CEE5">
            <wp:extent cx="4201795" cy="2236470"/>
            <wp:effectExtent l="0" t="0" r="8255" b="11430"/>
            <wp:docPr id="555" name="Диаграмма 5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D26DEFA" w14:textId="77777777" w:rsidR="00162DD0" w:rsidRPr="00BD295E" w:rsidRDefault="00162DD0" w:rsidP="00162DD0">
      <w:pPr>
        <w:tabs>
          <w:tab w:val="left" w:pos="10063"/>
        </w:tabs>
        <w:ind w:right="-2"/>
        <w:jc w:val="center"/>
        <w:rPr>
          <w:rFonts w:ascii="Arial" w:eastAsia="Calibri" w:hAnsi="Arial" w:cs="Arial"/>
          <w:b/>
          <w:bCs/>
          <w:sz w:val="18"/>
          <w:szCs w:val="18"/>
          <w:lang w:val="en-US"/>
        </w:rPr>
      </w:pPr>
    </w:p>
    <w:p w14:paraId="544CFA0D" w14:textId="77777777" w:rsidR="00162DD0" w:rsidRPr="00BD295E" w:rsidRDefault="00162DD0" w:rsidP="00162DD0">
      <w:pPr>
        <w:rPr>
          <w:rFonts w:ascii="Arial" w:eastAsia="Calibri" w:hAnsi="Arial" w:cs="Arial"/>
          <w:bCs/>
          <w:sz w:val="18"/>
          <w:szCs w:val="18"/>
          <w:lang w:val="en-US"/>
        </w:rPr>
      </w:pPr>
    </w:p>
    <w:p w14:paraId="28219606" w14:textId="77777777" w:rsidR="00162DD0" w:rsidRPr="00BD295E" w:rsidRDefault="008A5057" w:rsidP="000E42B1">
      <w:pPr>
        <w:jc w:val="both"/>
        <w:rPr>
          <w:rFonts w:ascii="Arial" w:hAnsi="Arial" w:cs="Arial"/>
          <w:bCs/>
          <w:sz w:val="18"/>
          <w:szCs w:val="18"/>
          <w:lang w:val="en-US"/>
        </w:rPr>
      </w:pPr>
      <w:r w:rsidRPr="00BD295E">
        <w:rPr>
          <w:rFonts w:ascii="Arial" w:hAnsi="Arial" w:cs="Arial"/>
          <w:sz w:val="18"/>
          <w:szCs w:val="18"/>
          <w:lang w:val="en-US"/>
        </w:rPr>
        <w:t xml:space="preserve">In the above breakdown of electricity supply by consumer group, supply from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 industrial consumers has the largest share: in total 25.2% for </w:t>
      </w:r>
      <w:r w:rsidR="00EE5753" w:rsidRPr="00BD295E">
        <w:rPr>
          <w:rFonts w:ascii="Arial" w:hAnsi="Arial" w:cs="Arial"/>
          <w:sz w:val="18"/>
          <w:szCs w:val="18"/>
          <w:lang w:val="en-US"/>
        </w:rPr>
        <w:t>PJSC “Lenenergo”</w:t>
      </w:r>
      <w:r w:rsidRPr="00BD295E">
        <w:rPr>
          <w:rFonts w:ascii="Arial" w:hAnsi="Arial" w:cs="Arial"/>
          <w:sz w:val="18"/>
          <w:szCs w:val="18"/>
          <w:lang w:val="en-US"/>
        </w:rPr>
        <w:t>, including 28.7% for Saint Petersburg and 25.2% for the Leningrad Region in the total consumption.</w:t>
      </w:r>
      <w:r w:rsidRPr="00BD295E">
        <w:rPr>
          <w:rFonts w:ascii="Arial" w:hAnsi="Arial" w:cs="Arial"/>
          <w:bCs/>
          <w:sz w:val="18"/>
          <w:szCs w:val="18"/>
          <w:lang w:val="en-US"/>
        </w:rPr>
        <w:t xml:space="preserve"> Such structure of electricity consumption is due to the fact that a number of large Russian industrial enterprises with well-developed infrastructure are located in Saint Petersburg and the Leningrad Region. </w:t>
      </w:r>
    </w:p>
    <w:p w14:paraId="2B851ABB" w14:textId="77777777" w:rsidR="00162DD0" w:rsidRPr="00BD295E" w:rsidRDefault="008A5057" w:rsidP="000E42B1">
      <w:pPr>
        <w:jc w:val="both"/>
        <w:rPr>
          <w:rFonts w:ascii="Arial" w:hAnsi="Arial" w:cs="Arial"/>
          <w:bCs/>
          <w:sz w:val="18"/>
          <w:szCs w:val="18"/>
          <w:lang w:val="en-US"/>
        </w:rPr>
      </w:pPr>
      <w:r w:rsidRPr="00BD295E">
        <w:rPr>
          <w:rFonts w:ascii="Arial" w:hAnsi="Arial" w:cs="Arial"/>
          <w:bCs/>
          <w:sz w:val="18"/>
          <w:szCs w:val="18"/>
          <w:lang w:val="en-US"/>
        </w:rPr>
        <w:t>Agriculture (1.1%) and state (municipal) organizations and other budget-funded consumers (2%) have the smallest shares in total electricity consumption.</w:t>
      </w:r>
    </w:p>
    <w:p w14:paraId="2C5F3467" w14:textId="77777777" w:rsidR="00162DD0" w:rsidRPr="00BD295E" w:rsidRDefault="008A5057" w:rsidP="000E42B1">
      <w:pPr>
        <w:jc w:val="both"/>
        <w:rPr>
          <w:rFonts w:ascii="Arial" w:hAnsi="Arial" w:cs="Arial"/>
          <w:bCs/>
          <w:sz w:val="18"/>
          <w:szCs w:val="18"/>
          <w:lang w:val="en-US"/>
        </w:rPr>
      </w:pPr>
      <w:r w:rsidRPr="00BD295E">
        <w:rPr>
          <w:rFonts w:ascii="Arial" w:hAnsi="Arial" w:cs="Arial"/>
          <w:bCs/>
          <w:sz w:val="18"/>
          <w:szCs w:val="18"/>
          <w:lang w:val="en-US"/>
        </w:rPr>
        <w:t xml:space="preserve">The supply to TGO networks is 18.1%, while in Saint Petersburg this value stands at 9.2%, down compared to previous periods due to the signing of contracts for leasing electric grid equipment of </w:t>
      </w:r>
      <w:r w:rsidR="006515AB" w:rsidRPr="00BD295E">
        <w:rPr>
          <w:rFonts w:ascii="Arial" w:hAnsi="Arial" w:cs="Arial"/>
          <w:bCs/>
          <w:sz w:val="18"/>
          <w:szCs w:val="18"/>
          <w:lang w:val="en-US"/>
        </w:rPr>
        <w:t>JSC “Saint Petersburg Power Grid”</w:t>
      </w:r>
      <w:r w:rsidRPr="00BD295E">
        <w:rPr>
          <w:rFonts w:ascii="Arial" w:hAnsi="Arial" w:cs="Arial"/>
          <w:bCs/>
          <w:sz w:val="18"/>
          <w:szCs w:val="18"/>
          <w:lang w:val="en-US"/>
        </w:rPr>
        <w:t xml:space="preserve"> and </w:t>
      </w:r>
      <w:r w:rsidR="00A07300" w:rsidRPr="00BD295E">
        <w:rPr>
          <w:rFonts w:ascii="Arial" w:hAnsi="Arial" w:cs="Arial"/>
          <w:bCs/>
          <w:sz w:val="18"/>
          <w:szCs w:val="18"/>
          <w:lang w:val="en-US"/>
        </w:rPr>
        <w:t>JSC “Petrodvorets Electric Company”</w:t>
      </w:r>
      <w:r w:rsidRPr="00BD295E">
        <w:rPr>
          <w:rFonts w:ascii="Arial" w:hAnsi="Arial" w:cs="Arial"/>
          <w:bCs/>
          <w:sz w:val="18"/>
          <w:szCs w:val="18"/>
          <w:lang w:val="en-US"/>
        </w:rPr>
        <w:t xml:space="preserve"> from April 1, 2017.   In the Leningrad Region, the share of TGOs is 32.6%.</w:t>
      </w:r>
    </w:p>
    <w:p w14:paraId="5B6A1D4C" w14:textId="4B16EF41" w:rsidR="00BC44EB" w:rsidRPr="00BD295E" w:rsidRDefault="00BC44EB">
      <w:pPr>
        <w:rPr>
          <w:rFonts w:ascii="Arial" w:eastAsia="Calibri" w:hAnsi="Arial" w:cs="Arial"/>
          <w:b/>
          <w:bCs/>
          <w:sz w:val="18"/>
          <w:szCs w:val="18"/>
          <w:lang w:val="en-US"/>
        </w:rPr>
      </w:pPr>
      <w:r w:rsidRPr="00BD295E">
        <w:rPr>
          <w:rFonts w:ascii="Arial" w:eastAsia="Calibri" w:hAnsi="Arial" w:cs="Arial"/>
          <w:b/>
          <w:bCs/>
          <w:sz w:val="18"/>
          <w:szCs w:val="18"/>
          <w:lang w:val="en-US"/>
        </w:rPr>
        <w:br w:type="page"/>
      </w:r>
    </w:p>
    <w:p w14:paraId="10F2CA33" w14:textId="03F3A954" w:rsidR="00162DD0" w:rsidRPr="00BD295E" w:rsidRDefault="008A5057" w:rsidP="00BC44EB">
      <w:pPr>
        <w:jc w:val="both"/>
        <w:rPr>
          <w:rFonts w:ascii="Arial" w:hAnsi="Arial" w:cs="Arial"/>
          <w:bCs/>
          <w:sz w:val="18"/>
          <w:szCs w:val="18"/>
          <w:lang w:val="en-US"/>
        </w:rPr>
      </w:pPr>
      <w:r w:rsidRPr="00BD295E">
        <w:rPr>
          <w:rFonts w:ascii="Arial" w:hAnsi="Arial" w:cs="Arial"/>
          <w:sz w:val="18"/>
          <w:szCs w:val="18"/>
          <w:lang w:val="en-US"/>
        </w:rPr>
        <w:t>The table below shows the changes in the amount of electricity distribution services by voltage level:</w:t>
      </w:r>
    </w:p>
    <w:p w14:paraId="4D43B4FB" w14:textId="77777777" w:rsidR="00162DD0" w:rsidRPr="00BD295E" w:rsidRDefault="00162DD0" w:rsidP="00162DD0">
      <w:pPr>
        <w:rPr>
          <w:rFonts w:ascii="Arial" w:hAnsi="Arial" w:cs="Arial"/>
          <w:b/>
          <w:bCs/>
          <w:sz w:val="18"/>
          <w:szCs w:val="18"/>
          <w:lang w:val="en-US"/>
        </w:rPr>
      </w:pPr>
    </w:p>
    <w:p w14:paraId="3982F2B3" w14:textId="77777777" w:rsidR="00162DD0" w:rsidRPr="00BD295E" w:rsidRDefault="008A5057" w:rsidP="00162DD0">
      <w:pPr>
        <w:jc w:val="center"/>
        <w:rPr>
          <w:rFonts w:ascii="Arial" w:hAnsi="Arial" w:cs="Arial"/>
          <w:b/>
          <w:bCs/>
          <w:sz w:val="18"/>
          <w:szCs w:val="18"/>
          <w:lang w:val="en-US"/>
        </w:rPr>
      </w:pPr>
      <w:r w:rsidRPr="00BD295E">
        <w:rPr>
          <w:rFonts w:ascii="Arial" w:hAnsi="Arial" w:cs="Arial"/>
          <w:sz w:val="18"/>
          <w:szCs w:val="18"/>
          <w:lang w:val="en-US"/>
        </w:rPr>
        <w:t xml:space="preserve">Amount of electricity distribution services provided by voltage level for </w:t>
      </w:r>
      <w:r w:rsidR="00EE5753" w:rsidRPr="00BD295E">
        <w:rPr>
          <w:rFonts w:ascii="Arial" w:hAnsi="Arial" w:cs="Arial"/>
          <w:sz w:val="18"/>
          <w:szCs w:val="18"/>
          <w:lang w:val="en-US"/>
        </w:rPr>
        <w:t>PJSC “Lenenergo”</w:t>
      </w:r>
      <w:r w:rsidRPr="00BD295E">
        <w:rPr>
          <w:rFonts w:ascii="Arial" w:hAnsi="Arial" w:cs="Arial"/>
          <w:sz w:val="18"/>
          <w:szCs w:val="18"/>
          <w:lang w:val="en-US"/>
        </w:rPr>
        <w:t>, million kWh</w:t>
      </w:r>
    </w:p>
    <w:tbl>
      <w:tblPr>
        <w:tblW w:w="7680" w:type="dxa"/>
        <w:tblInd w:w="1129" w:type="dxa"/>
        <w:tblLook w:val="04A0" w:firstRow="1" w:lastRow="0" w:firstColumn="1" w:lastColumn="0" w:noHBand="0" w:noVBand="1"/>
      </w:tblPr>
      <w:tblGrid>
        <w:gridCol w:w="1300"/>
        <w:gridCol w:w="1426"/>
        <w:gridCol w:w="1426"/>
        <w:gridCol w:w="1426"/>
        <w:gridCol w:w="2102"/>
      </w:tblGrid>
      <w:tr w:rsidR="008A5057" w:rsidRPr="00BD295E" w14:paraId="10FD32DF" w14:textId="77777777" w:rsidTr="00162DD0">
        <w:trPr>
          <w:trHeight w:val="435"/>
        </w:trPr>
        <w:tc>
          <w:tcPr>
            <w:tcW w:w="1300" w:type="dxa"/>
            <w:vMerge w:val="restart"/>
            <w:tcBorders>
              <w:top w:val="single" w:sz="8" w:space="0" w:color="auto"/>
              <w:left w:val="single" w:sz="8" w:space="0" w:color="auto"/>
              <w:bottom w:val="single" w:sz="8" w:space="0" w:color="000000"/>
              <w:right w:val="nil"/>
            </w:tcBorders>
            <w:shd w:val="clear" w:color="auto" w:fill="auto"/>
            <w:vAlign w:val="center"/>
            <w:hideMark/>
          </w:tcPr>
          <w:p w14:paraId="6FA59DF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Voltage level</w:t>
            </w:r>
          </w:p>
        </w:tc>
        <w:tc>
          <w:tcPr>
            <w:tcW w:w="6380" w:type="dxa"/>
            <w:gridSpan w:val="4"/>
            <w:tcBorders>
              <w:top w:val="single" w:sz="8" w:space="0" w:color="auto"/>
              <w:left w:val="single" w:sz="8" w:space="0" w:color="auto"/>
              <w:bottom w:val="nil"/>
              <w:right w:val="single" w:sz="8" w:space="0" w:color="000000"/>
            </w:tcBorders>
            <w:shd w:val="clear" w:color="auto" w:fill="auto"/>
            <w:noWrap/>
            <w:vAlign w:val="center"/>
            <w:hideMark/>
          </w:tcPr>
          <w:p w14:paraId="3FAAA809" w14:textId="77777777" w:rsidR="00162DD0" w:rsidRPr="00BD295E" w:rsidRDefault="00EE5753" w:rsidP="00162DD0">
            <w:pPr>
              <w:jc w:val="center"/>
              <w:rPr>
                <w:rFonts w:ascii="Arial" w:hAnsi="Arial" w:cs="Arial"/>
                <w:sz w:val="18"/>
                <w:szCs w:val="18"/>
                <w:lang w:val="en-US"/>
              </w:rPr>
            </w:pPr>
            <w:r w:rsidRPr="00BD295E">
              <w:rPr>
                <w:rFonts w:ascii="Arial" w:hAnsi="Arial" w:cs="Arial"/>
                <w:sz w:val="18"/>
                <w:szCs w:val="18"/>
                <w:lang w:val="en-US"/>
              </w:rPr>
              <w:t>PJSC “Lenenergo”</w:t>
            </w:r>
          </w:p>
        </w:tc>
      </w:tr>
      <w:tr w:rsidR="008A5057" w:rsidRPr="00BD295E" w14:paraId="3735FCFE" w14:textId="77777777" w:rsidTr="00162DD0">
        <w:trPr>
          <w:trHeight w:val="615"/>
        </w:trPr>
        <w:tc>
          <w:tcPr>
            <w:tcW w:w="1300" w:type="dxa"/>
            <w:vMerge/>
            <w:tcBorders>
              <w:top w:val="single" w:sz="8" w:space="0" w:color="auto"/>
              <w:left w:val="single" w:sz="8" w:space="0" w:color="auto"/>
              <w:bottom w:val="single" w:sz="8" w:space="0" w:color="000000"/>
              <w:right w:val="nil"/>
            </w:tcBorders>
            <w:shd w:val="clear" w:color="auto" w:fill="auto"/>
            <w:vAlign w:val="center"/>
            <w:hideMark/>
          </w:tcPr>
          <w:p w14:paraId="5C954111" w14:textId="77777777" w:rsidR="00162DD0" w:rsidRPr="00BD295E" w:rsidRDefault="00162DD0" w:rsidP="00162DD0">
            <w:pPr>
              <w:rPr>
                <w:rFonts w:ascii="Arial" w:hAnsi="Arial" w:cs="Arial"/>
                <w:sz w:val="18"/>
                <w:szCs w:val="18"/>
                <w:lang w:val="en-US"/>
              </w:rPr>
            </w:pPr>
          </w:p>
        </w:tc>
        <w:tc>
          <w:tcPr>
            <w:tcW w:w="142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4EE21E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2016</w:t>
            </w:r>
          </w:p>
        </w:tc>
        <w:tc>
          <w:tcPr>
            <w:tcW w:w="1426" w:type="dxa"/>
            <w:tcBorders>
              <w:top w:val="single" w:sz="8" w:space="0" w:color="auto"/>
              <w:left w:val="nil"/>
              <w:bottom w:val="single" w:sz="8" w:space="0" w:color="auto"/>
              <w:right w:val="single" w:sz="4" w:space="0" w:color="auto"/>
            </w:tcBorders>
            <w:shd w:val="clear" w:color="auto" w:fill="auto"/>
            <w:noWrap/>
            <w:vAlign w:val="center"/>
            <w:hideMark/>
          </w:tcPr>
          <w:p w14:paraId="1E96CCD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2017</w:t>
            </w:r>
          </w:p>
        </w:tc>
        <w:tc>
          <w:tcPr>
            <w:tcW w:w="1426" w:type="dxa"/>
            <w:tcBorders>
              <w:top w:val="single" w:sz="8" w:space="0" w:color="auto"/>
              <w:left w:val="nil"/>
              <w:bottom w:val="single" w:sz="8" w:space="0" w:color="auto"/>
              <w:right w:val="single" w:sz="4" w:space="0" w:color="auto"/>
            </w:tcBorders>
            <w:shd w:val="clear" w:color="auto" w:fill="auto"/>
            <w:noWrap/>
            <w:vAlign w:val="center"/>
            <w:hideMark/>
          </w:tcPr>
          <w:p w14:paraId="1A3D49F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2018</w:t>
            </w:r>
          </w:p>
        </w:tc>
        <w:tc>
          <w:tcPr>
            <w:tcW w:w="2102" w:type="dxa"/>
            <w:tcBorders>
              <w:top w:val="single" w:sz="8" w:space="0" w:color="auto"/>
              <w:left w:val="nil"/>
              <w:bottom w:val="single" w:sz="8" w:space="0" w:color="auto"/>
              <w:right w:val="single" w:sz="8" w:space="0" w:color="auto"/>
            </w:tcBorders>
            <w:shd w:val="clear" w:color="auto" w:fill="auto"/>
            <w:vAlign w:val="center"/>
            <w:hideMark/>
          </w:tcPr>
          <w:p w14:paraId="3C4B7E3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Change 2018/2017</w:t>
            </w:r>
          </w:p>
        </w:tc>
      </w:tr>
      <w:tr w:rsidR="008A5057" w:rsidRPr="00BD295E" w14:paraId="6C229228" w14:textId="77777777" w:rsidTr="00162DD0">
        <w:trPr>
          <w:trHeight w:val="345"/>
        </w:trPr>
        <w:tc>
          <w:tcPr>
            <w:tcW w:w="1300" w:type="dxa"/>
            <w:tcBorders>
              <w:top w:val="nil"/>
              <w:left w:val="single" w:sz="8" w:space="0" w:color="auto"/>
              <w:bottom w:val="single" w:sz="8" w:space="0" w:color="auto"/>
              <w:right w:val="nil"/>
            </w:tcBorders>
            <w:shd w:val="clear" w:color="auto" w:fill="auto"/>
            <w:noWrap/>
            <w:vAlign w:val="bottom"/>
            <w:hideMark/>
          </w:tcPr>
          <w:p w14:paraId="2D375D2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Total </w:t>
            </w:r>
          </w:p>
        </w:tc>
        <w:tc>
          <w:tcPr>
            <w:tcW w:w="1426" w:type="dxa"/>
            <w:tcBorders>
              <w:top w:val="nil"/>
              <w:left w:val="single" w:sz="4" w:space="0" w:color="auto"/>
              <w:bottom w:val="single" w:sz="8" w:space="0" w:color="auto"/>
              <w:right w:val="single" w:sz="4" w:space="0" w:color="auto"/>
            </w:tcBorders>
            <w:shd w:val="clear" w:color="auto" w:fill="auto"/>
            <w:noWrap/>
            <w:vAlign w:val="bottom"/>
            <w:hideMark/>
          </w:tcPr>
          <w:p w14:paraId="3FFDD34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29,007.37</w:t>
            </w:r>
          </w:p>
        </w:tc>
        <w:tc>
          <w:tcPr>
            <w:tcW w:w="1426" w:type="dxa"/>
            <w:tcBorders>
              <w:top w:val="nil"/>
              <w:left w:val="nil"/>
              <w:bottom w:val="single" w:sz="8" w:space="0" w:color="auto"/>
              <w:right w:val="single" w:sz="4" w:space="0" w:color="auto"/>
            </w:tcBorders>
            <w:shd w:val="clear" w:color="auto" w:fill="auto"/>
            <w:noWrap/>
            <w:vAlign w:val="bottom"/>
            <w:hideMark/>
          </w:tcPr>
          <w:p w14:paraId="079EF50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29,668.70</w:t>
            </w:r>
          </w:p>
        </w:tc>
        <w:tc>
          <w:tcPr>
            <w:tcW w:w="1426" w:type="dxa"/>
            <w:tcBorders>
              <w:top w:val="nil"/>
              <w:left w:val="nil"/>
              <w:bottom w:val="single" w:sz="8" w:space="0" w:color="auto"/>
              <w:right w:val="single" w:sz="4" w:space="0" w:color="auto"/>
            </w:tcBorders>
            <w:shd w:val="clear" w:color="auto" w:fill="auto"/>
            <w:noWrap/>
            <w:vAlign w:val="bottom"/>
            <w:hideMark/>
          </w:tcPr>
          <w:p w14:paraId="782BDEA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30,560.29</w:t>
            </w:r>
          </w:p>
        </w:tc>
        <w:tc>
          <w:tcPr>
            <w:tcW w:w="2102" w:type="dxa"/>
            <w:tcBorders>
              <w:top w:val="nil"/>
              <w:left w:val="nil"/>
              <w:bottom w:val="single" w:sz="8" w:space="0" w:color="auto"/>
              <w:right w:val="single" w:sz="8" w:space="0" w:color="auto"/>
            </w:tcBorders>
            <w:shd w:val="clear" w:color="auto" w:fill="auto"/>
            <w:noWrap/>
            <w:vAlign w:val="bottom"/>
            <w:hideMark/>
          </w:tcPr>
          <w:p w14:paraId="4609417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891.59</w:t>
            </w:r>
          </w:p>
        </w:tc>
      </w:tr>
      <w:tr w:rsidR="008A5057" w:rsidRPr="00BD295E" w14:paraId="144064F1" w14:textId="77777777" w:rsidTr="00162DD0">
        <w:trPr>
          <w:trHeight w:val="300"/>
        </w:trPr>
        <w:tc>
          <w:tcPr>
            <w:tcW w:w="1300" w:type="dxa"/>
            <w:tcBorders>
              <w:top w:val="nil"/>
              <w:left w:val="single" w:sz="8" w:space="0" w:color="auto"/>
              <w:bottom w:val="single" w:sz="4" w:space="0" w:color="auto"/>
              <w:right w:val="nil"/>
            </w:tcBorders>
            <w:shd w:val="clear" w:color="auto" w:fill="auto"/>
            <w:noWrap/>
            <w:vAlign w:val="bottom"/>
            <w:hideMark/>
          </w:tcPr>
          <w:p w14:paraId="054DED6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HV</w:t>
            </w:r>
          </w:p>
        </w:tc>
        <w:tc>
          <w:tcPr>
            <w:tcW w:w="1426" w:type="dxa"/>
            <w:tcBorders>
              <w:top w:val="nil"/>
              <w:left w:val="single" w:sz="8" w:space="0" w:color="auto"/>
              <w:bottom w:val="single" w:sz="4" w:space="0" w:color="auto"/>
              <w:right w:val="single" w:sz="4" w:space="0" w:color="auto"/>
            </w:tcBorders>
            <w:shd w:val="clear" w:color="auto" w:fill="auto"/>
            <w:noWrap/>
            <w:vAlign w:val="bottom"/>
            <w:hideMark/>
          </w:tcPr>
          <w:p w14:paraId="1998B55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7,204.76</w:t>
            </w:r>
          </w:p>
        </w:tc>
        <w:tc>
          <w:tcPr>
            <w:tcW w:w="1426" w:type="dxa"/>
            <w:tcBorders>
              <w:top w:val="nil"/>
              <w:left w:val="nil"/>
              <w:bottom w:val="single" w:sz="4" w:space="0" w:color="auto"/>
              <w:right w:val="single" w:sz="4" w:space="0" w:color="auto"/>
            </w:tcBorders>
            <w:shd w:val="clear" w:color="auto" w:fill="auto"/>
            <w:noWrap/>
            <w:vAlign w:val="bottom"/>
            <w:hideMark/>
          </w:tcPr>
          <w:p w14:paraId="1270FA2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7,253.33</w:t>
            </w:r>
          </w:p>
        </w:tc>
        <w:tc>
          <w:tcPr>
            <w:tcW w:w="1426" w:type="dxa"/>
            <w:tcBorders>
              <w:top w:val="nil"/>
              <w:left w:val="nil"/>
              <w:bottom w:val="single" w:sz="4" w:space="0" w:color="auto"/>
              <w:right w:val="single" w:sz="4" w:space="0" w:color="auto"/>
            </w:tcBorders>
            <w:shd w:val="clear" w:color="auto" w:fill="auto"/>
            <w:noWrap/>
            <w:vAlign w:val="bottom"/>
            <w:hideMark/>
          </w:tcPr>
          <w:p w14:paraId="1338C10C"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7,354.70</w:t>
            </w:r>
          </w:p>
        </w:tc>
        <w:tc>
          <w:tcPr>
            <w:tcW w:w="2102" w:type="dxa"/>
            <w:tcBorders>
              <w:top w:val="nil"/>
              <w:left w:val="nil"/>
              <w:bottom w:val="single" w:sz="4" w:space="0" w:color="auto"/>
              <w:right w:val="single" w:sz="8" w:space="0" w:color="auto"/>
            </w:tcBorders>
            <w:shd w:val="clear" w:color="auto" w:fill="auto"/>
            <w:noWrap/>
            <w:vAlign w:val="bottom"/>
            <w:hideMark/>
          </w:tcPr>
          <w:p w14:paraId="0352A2E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101.36</w:t>
            </w:r>
          </w:p>
        </w:tc>
      </w:tr>
      <w:tr w:rsidR="008A5057" w:rsidRPr="00BD295E" w14:paraId="01F51205" w14:textId="77777777" w:rsidTr="00162DD0">
        <w:trPr>
          <w:trHeight w:val="300"/>
        </w:trPr>
        <w:tc>
          <w:tcPr>
            <w:tcW w:w="1300" w:type="dxa"/>
            <w:tcBorders>
              <w:top w:val="nil"/>
              <w:left w:val="single" w:sz="8" w:space="0" w:color="auto"/>
              <w:bottom w:val="single" w:sz="4" w:space="0" w:color="auto"/>
              <w:right w:val="nil"/>
            </w:tcBorders>
            <w:shd w:val="clear" w:color="auto" w:fill="auto"/>
            <w:noWrap/>
            <w:vAlign w:val="bottom"/>
            <w:hideMark/>
          </w:tcPr>
          <w:p w14:paraId="056D300C"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Medium voltage 1</w:t>
            </w:r>
          </w:p>
        </w:tc>
        <w:tc>
          <w:tcPr>
            <w:tcW w:w="1426" w:type="dxa"/>
            <w:tcBorders>
              <w:top w:val="nil"/>
              <w:left w:val="single" w:sz="8" w:space="0" w:color="auto"/>
              <w:bottom w:val="single" w:sz="4" w:space="0" w:color="auto"/>
              <w:right w:val="single" w:sz="4" w:space="0" w:color="auto"/>
            </w:tcBorders>
            <w:shd w:val="clear" w:color="auto" w:fill="auto"/>
            <w:noWrap/>
            <w:vAlign w:val="bottom"/>
            <w:hideMark/>
          </w:tcPr>
          <w:p w14:paraId="48D8F33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726.94</w:t>
            </w:r>
          </w:p>
        </w:tc>
        <w:tc>
          <w:tcPr>
            <w:tcW w:w="1426" w:type="dxa"/>
            <w:tcBorders>
              <w:top w:val="nil"/>
              <w:left w:val="nil"/>
              <w:bottom w:val="single" w:sz="4" w:space="0" w:color="auto"/>
              <w:right w:val="single" w:sz="4" w:space="0" w:color="auto"/>
            </w:tcBorders>
            <w:shd w:val="clear" w:color="auto" w:fill="auto"/>
            <w:noWrap/>
            <w:vAlign w:val="bottom"/>
            <w:hideMark/>
          </w:tcPr>
          <w:p w14:paraId="45F7109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684.33</w:t>
            </w:r>
          </w:p>
        </w:tc>
        <w:tc>
          <w:tcPr>
            <w:tcW w:w="1426" w:type="dxa"/>
            <w:tcBorders>
              <w:top w:val="nil"/>
              <w:left w:val="nil"/>
              <w:bottom w:val="single" w:sz="4" w:space="0" w:color="auto"/>
              <w:right w:val="single" w:sz="4" w:space="0" w:color="auto"/>
            </w:tcBorders>
            <w:shd w:val="clear" w:color="auto" w:fill="auto"/>
            <w:noWrap/>
            <w:vAlign w:val="bottom"/>
            <w:hideMark/>
          </w:tcPr>
          <w:p w14:paraId="324476F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731.19</w:t>
            </w:r>
          </w:p>
        </w:tc>
        <w:tc>
          <w:tcPr>
            <w:tcW w:w="2102" w:type="dxa"/>
            <w:tcBorders>
              <w:top w:val="nil"/>
              <w:left w:val="nil"/>
              <w:bottom w:val="single" w:sz="4" w:space="0" w:color="auto"/>
              <w:right w:val="single" w:sz="8" w:space="0" w:color="auto"/>
            </w:tcBorders>
            <w:shd w:val="clear" w:color="auto" w:fill="auto"/>
            <w:noWrap/>
            <w:vAlign w:val="bottom"/>
            <w:hideMark/>
          </w:tcPr>
          <w:p w14:paraId="079533E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46.86</w:t>
            </w:r>
          </w:p>
        </w:tc>
      </w:tr>
      <w:tr w:rsidR="008A5057" w:rsidRPr="00BD295E" w14:paraId="62E09F22" w14:textId="77777777" w:rsidTr="00162DD0">
        <w:trPr>
          <w:trHeight w:val="300"/>
        </w:trPr>
        <w:tc>
          <w:tcPr>
            <w:tcW w:w="1300" w:type="dxa"/>
            <w:tcBorders>
              <w:top w:val="nil"/>
              <w:left w:val="single" w:sz="8" w:space="0" w:color="auto"/>
              <w:bottom w:val="single" w:sz="4" w:space="0" w:color="auto"/>
              <w:right w:val="nil"/>
            </w:tcBorders>
            <w:shd w:val="clear" w:color="auto" w:fill="auto"/>
            <w:noWrap/>
            <w:vAlign w:val="bottom"/>
            <w:hideMark/>
          </w:tcPr>
          <w:p w14:paraId="31C0E8E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Medium voltage 2</w:t>
            </w:r>
          </w:p>
        </w:tc>
        <w:tc>
          <w:tcPr>
            <w:tcW w:w="1426" w:type="dxa"/>
            <w:tcBorders>
              <w:top w:val="nil"/>
              <w:left w:val="single" w:sz="8" w:space="0" w:color="auto"/>
              <w:bottom w:val="single" w:sz="4" w:space="0" w:color="auto"/>
              <w:right w:val="single" w:sz="4" w:space="0" w:color="auto"/>
            </w:tcBorders>
            <w:shd w:val="clear" w:color="auto" w:fill="auto"/>
            <w:noWrap/>
            <w:vAlign w:val="bottom"/>
            <w:hideMark/>
          </w:tcPr>
          <w:p w14:paraId="50B41B1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11,067.72</w:t>
            </w:r>
          </w:p>
        </w:tc>
        <w:tc>
          <w:tcPr>
            <w:tcW w:w="1426" w:type="dxa"/>
            <w:tcBorders>
              <w:top w:val="nil"/>
              <w:left w:val="nil"/>
              <w:bottom w:val="single" w:sz="4" w:space="0" w:color="auto"/>
              <w:right w:val="single" w:sz="4" w:space="0" w:color="auto"/>
            </w:tcBorders>
            <w:shd w:val="clear" w:color="auto" w:fill="auto"/>
            <w:noWrap/>
            <w:vAlign w:val="bottom"/>
            <w:hideMark/>
          </w:tcPr>
          <w:p w14:paraId="2880608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11,559.96</w:t>
            </w:r>
          </w:p>
        </w:tc>
        <w:tc>
          <w:tcPr>
            <w:tcW w:w="1426" w:type="dxa"/>
            <w:tcBorders>
              <w:top w:val="nil"/>
              <w:left w:val="nil"/>
              <w:bottom w:val="single" w:sz="4" w:space="0" w:color="auto"/>
              <w:right w:val="single" w:sz="4" w:space="0" w:color="auto"/>
            </w:tcBorders>
            <w:shd w:val="clear" w:color="auto" w:fill="auto"/>
            <w:noWrap/>
            <w:vAlign w:val="bottom"/>
            <w:hideMark/>
          </w:tcPr>
          <w:p w14:paraId="6003073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12,203.20</w:t>
            </w:r>
          </w:p>
        </w:tc>
        <w:tc>
          <w:tcPr>
            <w:tcW w:w="2102" w:type="dxa"/>
            <w:tcBorders>
              <w:top w:val="nil"/>
              <w:left w:val="nil"/>
              <w:bottom w:val="single" w:sz="4" w:space="0" w:color="auto"/>
              <w:right w:val="single" w:sz="8" w:space="0" w:color="auto"/>
            </w:tcBorders>
            <w:shd w:val="clear" w:color="auto" w:fill="auto"/>
            <w:noWrap/>
            <w:vAlign w:val="bottom"/>
            <w:hideMark/>
          </w:tcPr>
          <w:p w14:paraId="6F386DF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643.24</w:t>
            </w:r>
          </w:p>
        </w:tc>
      </w:tr>
      <w:tr w:rsidR="008A5057" w:rsidRPr="00BD295E" w14:paraId="110F62C1" w14:textId="77777777" w:rsidTr="00162DD0">
        <w:trPr>
          <w:trHeight w:val="315"/>
        </w:trPr>
        <w:tc>
          <w:tcPr>
            <w:tcW w:w="1300" w:type="dxa"/>
            <w:tcBorders>
              <w:top w:val="nil"/>
              <w:left w:val="single" w:sz="8" w:space="0" w:color="auto"/>
              <w:bottom w:val="single" w:sz="8" w:space="0" w:color="auto"/>
              <w:right w:val="nil"/>
            </w:tcBorders>
            <w:shd w:val="clear" w:color="auto" w:fill="auto"/>
            <w:noWrap/>
            <w:vAlign w:val="bottom"/>
            <w:hideMark/>
          </w:tcPr>
          <w:p w14:paraId="5E45D0E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LV</w:t>
            </w:r>
          </w:p>
        </w:tc>
        <w:tc>
          <w:tcPr>
            <w:tcW w:w="1426" w:type="dxa"/>
            <w:tcBorders>
              <w:top w:val="nil"/>
              <w:left w:val="single" w:sz="8" w:space="0" w:color="auto"/>
              <w:bottom w:val="single" w:sz="8" w:space="0" w:color="auto"/>
              <w:right w:val="single" w:sz="4" w:space="0" w:color="auto"/>
            </w:tcBorders>
            <w:shd w:val="clear" w:color="auto" w:fill="auto"/>
            <w:noWrap/>
            <w:vAlign w:val="bottom"/>
            <w:hideMark/>
          </w:tcPr>
          <w:p w14:paraId="376C7A9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10,007.95</w:t>
            </w:r>
          </w:p>
        </w:tc>
        <w:tc>
          <w:tcPr>
            <w:tcW w:w="1426" w:type="dxa"/>
            <w:tcBorders>
              <w:top w:val="nil"/>
              <w:left w:val="nil"/>
              <w:bottom w:val="single" w:sz="8" w:space="0" w:color="auto"/>
              <w:right w:val="single" w:sz="4" w:space="0" w:color="auto"/>
            </w:tcBorders>
            <w:shd w:val="clear" w:color="auto" w:fill="auto"/>
            <w:noWrap/>
            <w:vAlign w:val="bottom"/>
            <w:hideMark/>
          </w:tcPr>
          <w:p w14:paraId="57A908E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10,171.08</w:t>
            </w:r>
          </w:p>
        </w:tc>
        <w:tc>
          <w:tcPr>
            <w:tcW w:w="1426" w:type="dxa"/>
            <w:tcBorders>
              <w:top w:val="nil"/>
              <w:left w:val="nil"/>
              <w:bottom w:val="single" w:sz="8" w:space="0" w:color="auto"/>
              <w:right w:val="single" w:sz="4" w:space="0" w:color="auto"/>
            </w:tcBorders>
            <w:shd w:val="clear" w:color="auto" w:fill="auto"/>
            <w:noWrap/>
            <w:vAlign w:val="bottom"/>
            <w:hideMark/>
          </w:tcPr>
          <w:p w14:paraId="0AC6F89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10,271.20</w:t>
            </w:r>
          </w:p>
        </w:tc>
        <w:tc>
          <w:tcPr>
            <w:tcW w:w="2102" w:type="dxa"/>
            <w:tcBorders>
              <w:top w:val="nil"/>
              <w:left w:val="nil"/>
              <w:bottom w:val="single" w:sz="8" w:space="0" w:color="auto"/>
              <w:right w:val="single" w:sz="8" w:space="0" w:color="auto"/>
            </w:tcBorders>
            <w:shd w:val="clear" w:color="auto" w:fill="auto"/>
            <w:noWrap/>
            <w:vAlign w:val="bottom"/>
            <w:hideMark/>
          </w:tcPr>
          <w:p w14:paraId="0E3B393C"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100.13</w:t>
            </w:r>
          </w:p>
        </w:tc>
      </w:tr>
    </w:tbl>
    <w:p w14:paraId="164C432F" w14:textId="77777777" w:rsidR="00162DD0" w:rsidRPr="00BD295E" w:rsidRDefault="00162DD0" w:rsidP="00162DD0">
      <w:pPr>
        <w:jc w:val="both"/>
        <w:rPr>
          <w:rFonts w:ascii="Arial" w:hAnsi="Arial" w:cs="Arial"/>
          <w:bCs/>
          <w:sz w:val="18"/>
          <w:szCs w:val="18"/>
          <w:lang w:val="en-US"/>
        </w:rPr>
      </w:pPr>
    </w:p>
    <w:p w14:paraId="06BA16FA" w14:textId="77777777" w:rsidR="00162DD0" w:rsidRPr="00BD295E" w:rsidRDefault="008A5057" w:rsidP="00162DD0">
      <w:pPr>
        <w:ind w:firstLine="709"/>
        <w:jc w:val="both"/>
        <w:rPr>
          <w:rFonts w:ascii="Arial" w:hAnsi="Arial" w:cs="Arial"/>
          <w:bCs/>
          <w:sz w:val="18"/>
          <w:szCs w:val="18"/>
          <w:lang w:val="en-US"/>
        </w:rPr>
      </w:pPr>
      <w:r w:rsidRPr="00BD295E">
        <w:rPr>
          <w:rFonts w:ascii="Arial" w:hAnsi="Arial" w:cs="Arial"/>
          <w:bCs/>
          <w:sz w:val="18"/>
          <w:szCs w:val="18"/>
          <w:lang w:val="en-US"/>
        </w:rPr>
        <w:t xml:space="preserve">In 2018, there was an increase in consumption at all voltage levels, which was due to stronger consumption by industrial and smaller consumers, increased consumption by households and equivalent consumers, as well as by the inclusion of consumers of </w:t>
      </w:r>
      <w:r w:rsidR="006515AB" w:rsidRPr="00BD295E">
        <w:rPr>
          <w:rFonts w:ascii="Arial" w:hAnsi="Arial" w:cs="Arial"/>
          <w:bCs/>
          <w:sz w:val="18"/>
          <w:szCs w:val="18"/>
          <w:lang w:val="en-US"/>
        </w:rPr>
        <w:t>JSC “Saint Petersburg Power Grid”</w:t>
      </w:r>
      <w:r w:rsidRPr="00BD295E">
        <w:rPr>
          <w:rFonts w:ascii="Arial" w:hAnsi="Arial" w:cs="Arial"/>
          <w:bCs/>
          <w:sz w:val="18"/>
          <w:szCs w:val="18"/>
          <w:lang w:val="en-US"/>
        </w:rPr>
        <w:t xml:space="preserve"> in the net supply by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w:t>
      </w:r>
    </w:p>
    <w:p w14:paraId="2C103170" w14:textId="77777777" w:rsidR="00162DD0" w:rsidRPr="00BD295E" w:rsidRDefault="00162DD0" w:rsidP="00162DD0">
      <w:pPr>
        <w:ind w:firstLine="709"/>
        <w:jc w:val="both"/>
        <w:rPr>
          <w:rFonts w:ascii="Arial" w:hAnsi="Arial" w:cs="Arial"/>
          <w:bCs/>
          <w:sz w:val="18"/>
          <w:szCs w:val="18"/>
          <w:lang w:val="en-US"/>
        </w:rPr>
      </w:pPr>
    </w:p>
    <w:p w14:paraId="04456D82" w14:textId="758BE982" w:rsidR="00162DD0" w:rsidRPr="00BD295E" w:rsidRDefault="00997D07" w:rsidP="00162DD0">
      <w:pPr>
        <w:ind w:firstLine="709"/>
        <w:jc w:val="center"/>
        <w:rPr>
          <w:rFonts w:ascii="Arial" w:hAnsi="Arial" w:cs="Arial"/>
          <w:bCs/>
          <w:sz w:val="18"/>
          <w:szCs w:val="18"/>
          <w:lang w:val="en-US"/>
        </w:rPr>
      </w:pPr>
      <w:r w:rsidRPr="00BD295E">
        <w:rPr>
          <w:rFonts w:ascii="Arial" w:hAnsi="Arial" w:cs="Arial"/>
          <w:sz w:val="18"/>
          <w:szCs w:val="18"/>
          <w:lang w:val="en-US" w:eastAsia="en-US"/>
        </w:rPr>
        <w:drawing>
          <wp:inline distT="0" distB="0" distL="0" distR="0" wp14:anchorId="3E37612D" wp14:editId="34816B7C">
            <wp:extent cx="4286250" cy="2300605"/>
            <wp:effectExtent l="0" t="0" r="0" b="4445"/>
            <wp:docPr id="24" name="Диаграмма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57C7780" w14:textId="77777777" w:rsidR="00162DD0" w:rsidRPr="00BD295E" w:rsidRDefault="00162DD0" w:rsidP="00162DD0">
      <w:pPr>
        <w:ind w:firstLine="709"/>
        <w:jc w:val="both"/>
        <w:rPr>
          <w:rFonts w:ascii="Arial" w:hAnsi="Arial" w:cs="Arial"/>
          <w:bCs/>
          <w:sz w:val="18"/>
          <w:szCs w:val="18"/>
          <w:lang w:val="en-US"/>
        </w:rPr>
      </w:pPr>
    </w:p>
    <w:p w14:paraId="33013750" w14:textId="77777777" w:rsidR="00162DD0" w:rsidRPr="00BD295E" w:rsidRDefault="004F279F" w:rsidP="00162DD0">
      <w:pPr>
        <w:jc w:val="both"/>
        <w:rPr>
          <w:rFonts w:ascii="Arial" w:hAnsi="Arial" w:cs="Arial"/>
          <w:sz w:val="18"/>
          <w:szCs w:val="18"/>
          <w:lang w:val="en-US"/>
        </w:rPr>
      </w:pPr>
      <w:r w:rsidRPr="00BD295E">
        <w:rPr>
          <w:rFonts w:ascii="Arial" w:hAnsi="Arial" w:cs="Arial"/>
          <w:sz w:val="18"/>
          <w:szCs w:val="18"/>
          <w:lang w:val="en-US"/>
        </w:rPr>
        <w:t xml:space="preserve">If we </w:t>
      </w:r>
      <w:r w:rsidR="008A5057" w:rsidRPr="00BD295E">
        <w:rPr>
          <w:rFonts w:ascii="Arial" w:hAnsi="Arial" w:cs="Arial"/>
          <w:sz w:val="18"/>
          <w:szCs w:val="18"/>
          <w:lang w:val="en-US"/>
        </w:rPr>
        <w:t>analyz</w:t>
      </w:r>
      <w:r w:rsidRPr="00BD295E">
        <w:rPr>
          <w:rFonts w:ascii="Arial" w:hAnsi="Arial" w:cs="Arial"/>
          <w:sz w:val="18"/>
          <w:szCs w:val="18"/>
          <w:lang w:val="en-US"/>
        </w:rPr>
        <w:t>e</w:t>
      </w:r>
      <w:r w:rsidR="008A5057" w:rsidRPr="00BD295E">
        <w:rPr>
          <w:rFonts w:ascii="Arial" w:hAnsi="Arial" w:cs="Arial"/>
          <w:sz w:val="18"/>
          <w:szCs w:val="18"/>
          <w:lang w:val="en-US"/>
        </w:rPr>
        <w:t xml:space="preserve"> the structure of electricity supply by voltage level it should be noted that the </w:t>
      </w:r>
      <w:r w:rsidR="00E50ECE" w:rsidRPr="00BD295E">
        <w:rPr>
          <w:rFonts w:ascii="Arial" w:hAnsi="Arial" w:cs="Arial"/>
          <w:sz w:val="18"/>
          <w:szCs w:val="18"/>
          <w:lang w:val="en-US"/>
        </w:rPr>
        <w:t>greatest portion</w:t>
      </w:r>
      <w:r w:rsidR="008A5057" w:rsidRPr="00BD295E">
        <w:rPr>
          <w:rFonts w:ascii="Arial" w:hAnsi="Arial" w:cs="Arial"/>
          <w:sz w:val="18"/>
          <w:szCs w:val="18"/>
          <w:lang w:val="en-US"/>
        </w:rPr>
        <w:t xml:space="preserve"> (39.9%) falls on medium voltage 2 (6–10 kV), with low voltage accounting for 33.6% and high voltage for 24.1%. The electricity supply </w:t>
      </w:r>
      <w:r w:rsidR="000D659F" w:rsidRPr="00BD295E">
        <w:rPr>
          <w:rFonts w:ascii="Arial" w:hAnsi="Arial" w:cs="Arial"/>
          <w:sz w:val="18"/>
          <w:szCs w:val="18"/>
          <w:lang w:val="en-US"/>
        </w:rPr>
        <w:t xml:space="preserve">structure </w:t>
      </w:r>
      <w:r w:rsidR="008A5057" w:rsidRPr="00BD295E">
        <w:rPr>
          <w:rFonts w:ascii="Arial" w:hAnsi="Arial" w:cs="Arial"/>
          <w:sz w:val="18"/>
          <w:szCs w:val="18"/>
          <w:lang w:val="en-US"/>
        </w:rPr>
        <w:t xml:space="preserve">by voltage is similar to </w:t>
      </w:r>
      <w:r w:rsidR="000D659F" w:rsidRPr="00BD295E">
        <w:rPr>
          <w:rFonts w:ascii="Arial" w:hAnsi="Arial" w:cs="Arial"/>
          <w:sz w:val="18"/>
          <w:szCs w:val="18"/>
          <w:lang w:val="en-US"/>
        </w:rPr>
        <w:t xml:space="preserve">that </w:t>
      </w:r>
      <w:r w:rsidR="008A5057" w:rsidRPr="00BD295E">
        <w:rPr>
          <w:rFonts w:ascii="Arial" w:hAnsi="Arial" w:cs="Arial"/>
          <w:sz w:val="18"/>
          <w:szCs w:val="18"/>
          <w:lang w:val="en-US"/>
        </w:rPr>
        <w:t xml:space="preserve">by consumer group, </w:t>
      </w:r>
      <w:r w:rsidR="000D659F" w:rsidRPr="00BD295E">
        <w:rPr>
          <w:rFonts w:ascii="Arial" w:hAnsi="Arial" w:cs="Arial"/>
          <w:sz w:val="18"/>
          <w:szCs w:val="18"/>
          <w:lang w:val="en-US"/>
        </w:rPr>
        <w:t>since</w:t>
      </w:r>
      <w:r w:rsidR="008A5057" w:rsidRPr="00BD295E">
        <w:rPr>
          <w:rFonts w:ascii="Arial" w:hAnsi="Arial" w:cs="Arial"/>
          <w:sz w:val="18"/>
          <w:szCs w:val="18"/>
          <w:lang w:val="en-US"/>
        </w:rPr>
        <w:t xml:space="preserve"> the bulk of services provided to industrial consumers is priced as for high voltage, to non-industrial consumers as for medium voltage 2, and to households as for low voltage. Since 20–35 kV equipment has an insignificant share in the structure of Lenenergo’s grid equipment, medium voltage 1 has the lowest share (2.4%) in total net supply.</w:t>
      </w:r>
    </w:p>
    <w:p w14:paraId="50B3D709" w14:textId="77777777" w:rsidR="00162DD0" w:rsidRPr="00BD295E" w:rsidRDefault="00162DD0" w:rsidP="00162DD0">
      <w:pPr>
        <w:tabs>
          <w:tab w:val="left" w:pos="0"/>
        </w:tabs>
        <w:jc w:val="both"/>
        <w:rPr>
          <w:rFonts w:ascii="Arial" w:hAnsi="Arial" w:cs="Arial"/>
          <w:b/>
          <w:bCs/>
          <w:sz w:val="18"/>
          <w:szCs w:val="18"/>
          <w:lang w:val="en-US"/>
        </w:rPr>
      </w:pPr>
    </w:p>
    <w:p w14:paraId="1E4D43BC" w14:textId="77777777" w:rsidR="00162DD0" w:rsidRPr="00BD295E" w:rsidRDefault="008A5057" w:rsidP="00162DD0">
      <w:pPr>
        <w:tabs>
          <w:tab w:val="left" w:pos="0"/>
        </w:tabs>
        <w:jc w:val="center"/>
        <w:rPr>
          <w:rFonts w:ascii="Arial" w:hAnsi="Arial" w:cs="Arial"/>
          <w:bCs/>
          <w:sz w:val="18"/>
          <w:szCs w:val="18"/>
          <w:lang w:val="en-US"/>
        </w:rPr>
      </w:pPr>
      <w:r w:rsidRPr="00BD295E">
        <w:rPr>
          <w:rFonts w:ascii="Arial" w:hAnsi="Arial" w:cs="Arial"/>
          <w:bCs/>
          <w:sz w:val="18"/>
          <w:szCs w:val="18"/>
          <w:lang w:val="en-US"/>
        </w:rPr>
        <w:t>Electricity consum</w:t>
      </w:r>
      <w:r w:rsidR="004F279F" w:rsidRPr="00BD295E">
        <w:rPr>
          <w:rFonts w:ascii="Arial" w:hAnsi="Arial" w:cs="Arial"/>
          <w:bCs/>
          <w:sz w:val="18"/>
          <w:szCs w:val="18"/>
          <w:lang w:val="en-US"/>
        </w:rPr>
        <w:t>ed</w:t>
      </w:r>
      <w:r w:rsidRPr="00BD295E">
        <w:rPr>
          <w:rFonts w:ascii="Arial" w:hAnsi="Arial" w:cs="Arial"/>
          <w:bCs/>
          <w:sz w:val="18"/>
          <w:szCs w:val="18"/>
          <w:lang w:val="en-US"/>
        </w:rPr>
        <w:t xml:space="preserve"> from </w:t>
      </w:r>
      <w:r w:rsidR="004F279F" w:rsidRPr="00BD295E">
        <w:rPr>
          <w:rFonts w:ascii="Arial" w:hAnsi="Arial" w:cs="Arial"/>
          <w:bCs/>
          <w:sz w:val="18"/>
          <w:szCs w:val="18"/>
          <w:lang w:val="en-US"/>
        </w:rPr>
        <w:t xml:space="preserve">the PJSC “Lenenergo” </w:t>
      </w:r>
      <w:r w:rsidRPr="00BD295E">
        <w:rPr>
          <w:rFonts w:ascii="Arial" w:hAnsi="Arial" w:cs="Arial"/>
          <w:bCs/>
          <w:sz w:val="18"/>
          <w:szCs w:val="18"/>
          <w:lang w:val="en-US"/>
        </w:rPr>
        <w:t>grids by major consumers in 2018</w:t>
      </w:r>
    </w:p>
    <w:tbl>
      <w:tblPr>
        <w:tblW w:w="9680" w:type="dxa"/>
        <w:tblInd w:w="118" w:type="dxa"/>
        <w:tblLook w:val="04A0" w:firstRow="1" w:lastRow="0" w:firstColumn="1" w:lastColumn="0" w:noHBand="0" w:noVBand="1"/>
      </w:tblPr>
      <w:tblGrid>
        <w:gridCol w:w="1510"/>
        <w:gridCol w:w="3900"/>
        <w:gridCol w:w="2280"/>
        <w:gridCol w:w="1990"/>
      </w:tblGrid>
      <w:tr w:rsidR="008A5057" w:rsidRPr="00BD295E" w14:paraId="3B4F0E12" w14:textId="77777777" w:rsidTr="00C90D08">
        <w:trPr>
          <w:trHeight w:val="458"/>
        </w:trPr>
        <w:tc>
          <w:tcPr>
            <w:tcW w:w="15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52C3BCC"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Branch</w:t>
            </w:r>
          </w:p>
        </w:tc>
        <w:tc>
          <w:tcPr>
            <w:tcW w:w="3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CFEB2E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Consumer</w:t>
            </w:r>
          </w:p>
        </w:tc>
        <w:tc>
          <w:tcPr>
            <w:tcW w:w="22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223730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Consumption volume, million kWh</w:t>
            </w:r>
          </w:p>
        </w:tc>
        <w:tc>
          <w:tcPr>
            <w:tcW w:w="19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FFFB0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Share in net supply, %</w:t>
            </w:r>
          </w:p>
        </w:tc>
      </w:tr>
      <w:tr w:rsidR="008A5057" w:rsidRPr="00BD295E" w14:paraId="2CC3275C" w14:textId="77777777" w:rsidTr="00C90D08">
        <w:trPr>
          <w:trHeight w:val="464"/>
        </w:trPr>
        <w:tc>
          <w:tcPr>
            <w:tcW w:w="1510" w:type="dxa"/>
            <w:vMerge/>
            <w:tcBorders>
              <w:top w:val="single" w:sz="8" w:space="0" w:color="auto"/>
              <w:left w:val="single" w:sz="8" w:space="0" w:color="auto"/>
              <w:bottom w:val="single" w:sz="8" w:space="0" w:color="000000"/>
              <w:right w:val="single" w:sz="8" w:space="0" w:color="auto"/>
            </w:tcBorders>
            <w:vAlign w:val="center"/>
            <w:hideMark/>
          </w:tcPr>
          <w:p w14:paraId="62DB950A" w14:textId="77777777" w:rsidR="00162DD0" w:rsidRPr="00BD295E" w:rsidRDefault="00162DD0" w:rsidP="00162DD0">
            <w:pPr>
              <w:rPr>
                <w:rFonts w:ascii="Arial" w:hAnsi="Arial" w:cs="Arial"/>
                <w:sz w:val="18"/>
                <w:szCs w:val="18"/>
                <w:lang w:val="en-US"/>
              </w:rPr>
            </w:pPr>
          </w:p>
        </w:tc>
        <w:tc>
          <w:tcPr>
            <w:tcW w:w="3900" w:type="dxa"/>
            <w:vMerge/>
            <w:tcBorders>
              <w:top w:val="single" w:sz="8" w:space="0" w:color="auto"/>
              <w:left w:val="single" w:sz="8" w:space="0" w:color="auto"/>
              <w:bottom w:val="single" w:sz="8" w:space="0" w:color="000000"/>
              <w:right w:val="single" w:sz="8" w:space="0" w:color="auto"/>
            </w:tcBorders>
            <w:vAlign w:val="center"/>
            <w:hideMark/>
          </w:tcPr>
          <w:p w14:paraId="1CF18BEF" w14:textId="77777777" w:rsidR="00162DD0" w:rsidRPr="00BD295E" w:rsidRDefault="00162DD0" w:rsidP="00162DD0">
            <w:pPr>
              <w:rPr>
                <w:rFonts w:ascii="Arial" w:hAnsi="Arial" w:cs="Arial"/>
                <w:sz w:val="18"/>
                <w:szCs w:val="18"/>
                <w:lang w:val="en-US"/>
              </w:rPr>
            </w:pPr>
          </w:p>
        </w:tc>
        <w:tc>
          <w:tcPr>
            <w:tcW w:w="2280" w:type="dxa"/>
            <w:vMerge/>
            <w:tcBorders>
              <w:top w:val="single" w:sz="8" w:space="0" w:color="auto"/>
              <w:left w:val="single" w:sz="8" w:space="0" w:color="auto"/>
              <w:bottom w:val="single" w:sz="8" w:space="0" w:color="000000"/>
              <w:right w:val="single" w:sz="8" w:space="0" w:color="auto"/>
            </w:tcBorders>
            <w:vAlign w:val="center"/>
            <w:hideMark/>
          </w:tcPr>
          <w:p w14:paraId="7992077E" w14:textId="77777777" w:rsidR="00162DD0" w:rsidRPr="00BD295E" w:rsidRDefault="00162DD0" w:rsidP="00162DD0">
            <w:pPr>
              <w:rPr>
                <w:rFonts w:ascii="Arial" w:hAnsi="Arial" w:cs="Arial"/>
                <w:sz w:val="18"/>
                <w:szCs w:val="18"/>
                <w:lang w:val="en-US"/>
              </w:rPr>
            </w:pPr>
          </w:p>
        </w:tc>
        <w:tc>
          <w:tcPr>
            <w:tcW w:w="1990" w:type="dxa"/>
            <w:vMerge/>
            <w:tcBorders>
              <w:top w:val="single" w:sz="8" w:space="0" w:color="auto"/>
              <w:left w:val="single" w:sz="8" w:space="0" w:color="auto"/>
              <w:bottom w:val="single" w:sz="8" w:space="0" w:color="000000"/>
              <w:right w:val="single" w:sz="8" w:space="0" w:color="auto"/>
            </w:tcBorders>
            <w:vAlign w:val="center"/>
            <w:hideMark/>
          </w:tcPr>
          <w:p w14:paraId="72366B66" w14:textId="77777777" w:rsidR="00162DD0" w:rsidRPr="00BD295E" w:rsidRDefault="00162DD0" w:rsidP="00162DD0">
            <w:pPr>
              <w:rPr>
                <w:rFonts w:ascii="Arial" w:hAnsi="Arial" w:cs="Arial"/>
                <w:sz w:val="18"/>
                <w:szCs w:val="18"/>
                <w:lang w:val="en-US"/>
              </w:rPr>
            </w:pPr>
          </w:p>
        </w:tc>
      </w:tr>
      <w:tr w:rsidR="008A5057" w:rsidRPr="00BD295E" w14:paraId="604A6699" w14:textId="77777777" w:rsidTr="00C90D08">
        <w:trPr>
          <w:trHeight w:val="464"/>
        </w:trPr>
        <w:tc>
          <w:tcPr>
            <w:tcW w:w="1510" w:type="dxa"/>
            <w:vMerge/>
            <w:tcBorders>
              <w:top w:val="single" w:sz="8" w:space="0" w:color="auto"/>
              <w:left w:val="single" w:sz="8" w:space="0" w:color="auto"/>
              <w:bottom w:val="single" w:sz="8" w:space="0" w:color="000000"/>
              <w:right w:val="single" w:sz="8" w:space="0" w:color="auto"/>
            </w:tcBorders>
            <w:vAlign w:val="center"/>
            <w:hideMark/>
          </w:tcPr>
          <w:p w14:paraId="55C9BF46" w14:textId="77777777" w:rsidR="00162DD0" w:rsidRPr="00BD295E" w:rsidRDefault="00162DD0" w:rsidP="00162DD0">
            <w:pPr>
              <w:rPr>
                <w:rFonts w:ascii="Arial" w:hAnsi="Arial" w:cs="Arial"/>
                <w:sz w:val="18"/>
                <w:szCs w:val="18"/>
                <w:lang w:val="en-US"/>
              </w:rPr>
            </w:pPr>
          </w:p>
        </w:tc>
        <w:tc>
          <w:tcPr>
            <w:tcW w:w="3900" w:type="dxa"/>
            <w:vMerge/>
            <w:tcBorders>
              <w:top w:val="single" w:sz="8" w:space="0" w:color="auto"/>
              <w:left w:val="single" w:sz="8" w:space="0" w:color="auto"/>
              <w:bottom w:val="single" w:sz="8" w:space="0" w:color="000000"/>
              <w:right w:val="single" w:sz="8" w:space="0" w:color="auto"/>
            </w:tcBorders>
            <w:vAlign w:val="center"/>
            <w:hideMark/>
          </w:tcPr>
          <w:p w14:paraId="37BBCBE1" w14:textId="77777777" w:rsidR="00162DD0" w:rsidRPr="00BD295E" w:rsidRDefault="00162DD0" w:rsidP="00162DD0">
            <w:pPr>
              <w:rPr>
                <w:rFonts w:ascii="Arial" w:hAnsi="Arial" w:cs="Arial"/>
                <w:sz w:val="18"/>
                <w:szCs w:val="18"/>
                <w:lang w:val="en-US"/>
              </w:rPr>
            </w:pPr>
          </w:p>
        </w:tc>
        <w:tc>
          <w:tcPr>
            <w:tcW w:w="2280" w:type="dxa"/>
            <w:vMerge/>
            <w:tcBorders>
              <w:top w:val="single" w:sz="8" w:space="0" w:color="auto"/>
              <w:left w:val="single" w:sz="8" w:space="0" w:color="auto"/>
              <w:bottom w:val="single" w:sz="8" w:space="0" w:color="000000"/>
              <w:right w:val="single" w:sz="8" w:space="0" w:color="auto"/>
            </w:tcBorders>
            <w:vAlign w:val="center"/>
            <w:hideMark/>
          </w:tcPr>
          <w:p w14:paraId="3A893C59" w14:textId="77777777" w:rsidR="00162DD0" w:rsidRPr="00BD295E" w:rsidRDefault="00162DD0" w:rsidP="00162DD0">
            <w:pPr>
              <w:rPr>
                <w:rFonts w:ascii="Arial" w:hAnsi="Arial" w:cs="Arial"/>
                <w:sz w:val="18"/>
                <w:szCs w:val="18"/>
                <w:lang w:val="en-US"/>
              </w:rPr>
            </w:pPr>
          </w:p>
        </w:tc>
        <w:tc>
          <w:tcPr>
            <w:tcW w:w="1990" w:type="dxa"/>
            <w:vMerge/>
            <w:tcBorders>
              <w:top w:val="single" w:sz="8" w:space="0" w:color="auto"/>
              <w:left w:val="single" w:sz="8" w:space="0" w:color="auto"/>
              <w:bottom w:val="single" w:sz="8" w:space="0" w:color="000000"/>
              <w:right w:val="single" w:sz="8" w:space="0" w:color="auto"/>
            </w:tcBorders>
            <w:vAlign w:val="center"/>
            <w:hideMark/>
          </w:tcPr>
          <w:p w14:paraId="3DDCF25B" w14:textId="77777777" w:rsidR="00162DD0" w:rsidRPr="00BD295E" w:rsidRDefault="00162DD0" w:rsidP="00162DD0">
            <w:pPr>
              <w:rPr>
                <w:rFonts w:ascii="Arial" w:hAnsi="Arial" w:cs="Arial"/>
                <w:sz w:val="18"/>
                <w:szCs w:val="18"/>
                <w:lang w:val="en-US"/>
              </w:rPr>
            </w:pPr>
          </w:p>
        </w:tc>
      </w:tr>
      <w:tr w:rsidR="008A5057" w:rsidRPr="00BD295E" w14:paraId="71B57CFE" w14:textId="77777777" w:rsidTr="00C90D08">
        <w:trPr>
          <w:trHeight w:val="435"/>
        </w:trPr>
        <w:tc>
          <w:tcPr>
            <w:tcW w:w="5410" w:type="dxa"/>
            <w:gridSpan w:val="2"/>
            <w:tcBorders>
              <w:top w:val="single" w:sz="8" w:space="0" w:color="auto"/>
              <w:left w:val="single" w:sz="8" w:space="0" w:color="auto"/>
              <w:bottom w:val="single" w:sz="8" w:space="0" w:color="auto"/>
              <w:right w:val="single" w:sz="8" w:space="0" w:color="000000"/>
            </w:tcBorders>
            <w:shd w:val="clear" w:color="auto" w:fill="auto"/>
            <w:hideMark/>
          </w:tcPr>
          <w:p w14:paraId="214ED7BF"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Net supply of electricity in 2018</w:t>
            </w:r>
          </w:p>
        </w:tc>
        <w:tc>
          <w:tcPr>
            <w:tcW w:w="2280" w:type="dxa"/>
            <w:tcBorders>
              <w:top w:val="nil"/>
              <w:left w:val="nil"/>
              <w:bottom w:val="single" w:sz="8" w:space="0" w:color="auto"/>
              <w:right w:val="single" w:sz="8" w:space="0" w:color="auto"/>
            </w:tcBorders>
            <w:shd w:val="clear" w:color="auto" w:fill="auto"/>
            <w:vAlign w:val="center"/>
            <w:hideMark/>
          </w:tcPr>
          <w:p w14:paraId="68B77DE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30,560.3 </w:t>
            </w:r>
          </w:p>
        </w:tc>
        <w:tc>
          <w:tcPr>
            <w:tcW w:w="1990" w:type="dxa"/>
            <w:tcBorders>
              <w:top w:val="nil"/>
              <w:left w:val="nil"/>
              <w:bottom w:val="nil"/>
              <w:right w:val="single" w:sz="8" w:space="0" w:color="auto"/>
            </w:tcBorders>
            <w:shd w:val="clear" w:color="auto" w:fill="auto"/>
            <w:vAlign w:val="center"/>
            <w:hideMark/>
          </w:tcPr>
          <w:p w14:paraId="6265AD4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100%</w:t>
            </w:r>
          </w:p>
        </w:tc>
      </w:tr>
      <w:tr w:rsidR="008A5057" w:rsidRPr="00BD295E" w14:paraId="2516917D" w14:textId="77777777" w:rsidTr="00C90D08">
        <w:trPr>
          <w:trHeight w:val="255"/>
        </w:trPr>
        <w:tc>
          <w:tcPr>
            <w:tcW w:w="1510" w:type="dxa"/>
            <w:vMerge w:val="restart"/>
            <w:tcBorders>
              <w:top w:val="nil"/>
              <w:left w:val="single" w:sz="8" w:space="0" w:color="auto"/>
              <w:bottom w:val="nil"/>
              <w:right w:val="nil"/>
            </w:tcBorders>
            <w:shd w:val="clear" w:color="auto" w:fill="auto"/>
            <w:hideMark/>
          </w:tcPr>
          <w:p w14:paraId="5A89144F" w14:textId="77777777" w:rsidR="00162DD0" w:rsidRPr="00BD295E" w:rsidRDefault="008A5057" w:rsidP="00162DD0">
            <w:pPr>
              <w:jc w:val="both"/>
              <w:rPr>
                <w:rFonts w:ascii="Arial" w:hAnsi="Arial" w:cs="Arial"/>
                <w:sz w:val="18"/>
                <w:szCs w:val="18"/>
                <w:lang w:val="en-US"/>
              </w:rPr>
            </w:pPr>
            <w:r w:rsidRPr="00BD295E">
              <w:rPr>
                <w:rFonts w:ascii="Arial" w:hAnsi="Arial" w:cs="Arial"/>
                <w:sz w:val="18"/>
                <w:szCs w:val="18"/>
                <w:lang w:val="en-US"/>
              </w:rPr>
              <w:t>Saint Petersburg</w:t>
            </w:r>
          </w:p>
        </w:tc>
        <w:tc>
          <w:tcPr>
            <w:tcW w:w="3900" w:type="dxa"/>
            <w:tcBorders>
              <w:top w:val="nil"/>
              <w:left w:val="single" w:sz="8" w:space="0" w:color="auto"/>
              <w:bottom w:val="single" w:sz="4" w:space="0" w:color="auto"/>
              <w:right w:val="single" w:sz="8" w:space="0" w:color="auto"/>
            </w:tcBorders>
            <w:shd w:val="clear" w:color="auto" w:fill="auto"/>
            <w:noWrap/>
            <w:vAlign w:val="center"/>
            <w:hideMark/>
          </w:tcPr>
          <w:p w14:paraId="57DCF43D"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GUP Vodokanal</w:t>
            </w:r>
          </w:p>
        </w:tc>
        <w:tc>
          <w:tcPr>
            <w:tcW w:w="2280" w:type="dxa"/>
            <w:tcBorders>
              <w:top w:val="nil"/>
              <w:left w:val="nil"/>
              <w:bottom w:val="single" w:sz="4" w:space="0" w:color="auto"/>
              <w:right w:val="single" w:sz="8" w:space="0" w:color="auto"/>
            </w:tcBorders>
            <w:shd w:val="clear" w:color="auto" w:fill="auto"/>
            <w:noWrap/>
            <w:vAlign w:val="center"/>
            <w:hideMark/>
          </w:tcPr>
          <w:p w14:paraId="5292A45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378.1 </w:t>
            </w:r>
          </w:p>
        </w:tc>
        <w:tc>
          <w:tcPr>
            <w:tcW w:w="1990" w:type="dxa"/>
            <w:tcBorders>
              <w:top w:val="single" w:sz="8" w:space="0" w:color="auto"/>
              <w:left w:val="nil"/>
              <w:bottom w:val="single" w:sz="4" w:space="0" w:color="auto"/>
              <w:right w:val="single" w:sz="8" w:space="0" w:color="auto"/>
            </w:tcBorders>
            <w:shd w:val="clear" w:color="auto" w:fill="auto"/>
            <w:hideMark/>
          </w:tcPr>
          <w:p w14:paraId="5EB6C7A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1.24%</w:t>
            </w:r>
          </w:p>
        </w:tc>
      </w:tr>
      <w:tr w:rsidR="008A5057" w:rsidRPr="00BD295E" w14:paraId="53683BCD" w14:textId="77777777" w:rsidTr="00C90D08">
        <w:trPr>
          <w:trHeight w:val="255"/>
        </w:trPr>
        <w:tc>
          <w:tcPr>
            <w:tcW w:w="1510" w:type="dxa"/>
            <w:vMerge/>
            <w:tcBorders>
              <w:top w:val="nil"/>
              <w:left w:val="single" w:sz="8" w:space="0" w:color="auto"/>
              <w:bottom w:val="nil"/>
              <w:right w:val="nil"/>
            </w:tcBorders>
            <w:shd w:val="clear" w:color="auto" w:fill="auto"/>
            <w:vAlign w:val="center"/>
            <w:hideMark/>
          </w:tcPr>
          <w:p w14:paraId="6DD81BE2" w14:textId="77777777" w:rsidR="00162DD0" w:rsidRPr="00BD295E" w:rsidRDefault="00162DD0" w:rsidP="00162DD0">
            <w:pPr>
              <w:rPr>
                <w:rFonts w:ascii="Arial" w:hAnsi="Arial" w:cs="Arial"/>
                <w:sz w:val="18"/>
                <w:szCs w:val="18"/>
                <w:lang w:val="en-US"/>
              </w:rPr>
            </w:pPr>
          </w:p>
        </w:tc>
        <w:tc>
          <w:tcPr>
            <w:tcW w:w="3900" w:type="dxa"/>
            <w:tcBorders>
              <w:top w:val="nil"/>
              <w:left w:val="single" w:sz="8" w:space="0" w:color="auto"/>
              <w:bottom w:val="single" w:sz="4" w:space="0" w:color="auto"/>
              <w:right w:val="single" w:sz="8" w:space="0" w:color="auto"/>
            </w:tcBorders>
            <w:shd w:val="clear" w:color="auto" w:fill="auto"/>
            <w:noWrap/>
            <w:vAlign w:val="center"/>
            <w:hideMark/>
          </w:tcPr>
          <w:p w14:paraId="16B2A524"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GUP PETERBURGSKIY METROPOLITEN</w:t>
            </w:r>
          </w:p>
        </w:tc>
        <w:tc>
          <w:tcPr>
            <w:tcW w:w="2280" w:type="dxa"/>
            <w:tcBorders>
              <w:top w:val="nil"/>
              <w:left w:val="nil"/>
              <w:bottom w:val="single" w:sz="4" w:space="0" w:color="auto"/>
              <w:right w:val="nil"/>
            </w:tcBorders>
            <w:shd w:val="clear" w:color="auto" w:fill="auto"/>
            <w:noWrap/>
            <w:vAlign w:val="center"/>
            <w:hideMark/>
          </w:tcPr>
          <w:p w14:paraId="5E76094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559.0 </w:t>
            </w:r>
          </w:p>
        </w:tc>
        <w:tc>
          <w:tcPr>
            <w:tcW w:w="1990" w:type="dxa"/>
            <w:tcBorders>
              <w:top w:val="nil"/>
              <w:left w:val="single" w:sz="8" w:space="0" w:color="auto"/>
              <w:bottom w:val="single" w:sz="4" w:space="0" w:color="auto"/>
              <w:right w:val="single" w:sz="8" w:space="0" w:color="auto"/>
            </w:tcBorders>
            <w:shd w:val="clear" w:color="auto" w:fill="auto"/>
            <w:hideMark/>
          </w:tcPr>
          <w:p w14:paraId="714DDEC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1.83%</w:t>
            </w:r>
          </w:p>
        </w:tc>
      </w:tr>
      <w:tr w:rsidR="008A5057" w:rsidRPr="00BD295E" w14:paraId="65F6CB99" w14:textId="77777777" w:rsidTr="00C90D08">
        <w:trPr>
          <w:trHeight w:val="255"/>
        </w:trPr>
        <w:tc>
          <w:tcPr>
            <w:tcW w:w="1510" w:type="dxa"/>
            <w:vMerge/>
            <w:tcBorders>
              <w:top w:val="nil"/>
              <w:left w:val="single" w:sz="8" w:space="0" w:color="auto"/>
              <w:bottom w:val="nil"/>
              <w:right w:val="nil"/>
            </w:tcBorders>
            <w:shd w:val="clear" w:color="auto" w:fill="auto"/>
            <w:vAlign w:val="center"/>
            <w:hideMark/>
          </w:tcPr>
          <w:p w14:paraId="60CB1AA3" w14:textId="77777777" w:rsidR="00162DD0" w:rsidRPr="00BD295E" w:rsidRDefault="00162DD0" w:rsidP="00162DD0">
            <w:pPr>
              <w:rPr>
                <w:rFonts w:ascii="Arial" w:hAnsi="Arial" w:cs="Arial"/>
                <w:sz w:val="18"/>
                <w:szCs w:val="18"/>
                <w:lang w:val="en-US"/>
              </w:rPr>
            </w:pPr>
          </w:p>
        </w:tc>
        <w:tc>
          <w:tcPr>
            <w:tcW w:w="390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6AC9C005" w14:textId="77777777" w:rsidR="00162DD0" w:rsidRPr="00BD295E" w:rsidRDefault="004F279F" w:rsidP="004F279F">
            <w:pPr>
              <w:ind w:firstLineChars="100" w:firstLine="180"/>
              <w:rPr>
                <w:rFonts w:ascii="Arial" w:hAnsi="Arial" w:cs="Arial"/>
                <w:sz w:val="18"/>
                <w:szCs w:val="18"/>
                <w:lang w:val="en-US"/>
              </w:rPr>
            </w:pPr>
            <w:r w:rsidRPr="00BD295E">
              <w:rPr>
                <w:rFonts w:ascii="Arial" w:hAnsi="Arial" w:cs="Arial"/>
                <w:sz w:val="18"/>
                <w:szCs w:val="18"/>
                <w:lang w:val="en-US"/>
              </w:rPr>
              <w:t>CJSC “</w:t>
            </w:r>
            <w:r w:rsidR="008A5057" w:rsidRPr="00BD295E">
              <w:rPr>
                <w:rFonts w:ascii="Arial" w:hAnsi="Arial" w:cs="Arial"/>
                <w:sz w:val="18"/>
                <w:szCs w:val="18"/>
                <w:lang w:val="en-US"/>
              </w:rPr>
              <w:t>Philip Morris Izhora</w:t>
            </w:r>
            <w:r w:rsidRPr="00BD295E">
              <w:rPr>
                <w:rFonts w:ascii="Arial" w:hAnsi="Arial" w:cs="Arial"/>
                <w:sz w:val="18"/>
                <w:szCs w:val="18"/>
                <w:lang w:val="en-US"/>
              </w:rPr>
              <w:t>”</w:t>
            </w:r>
          </w:p>
        </w:tc>
        <w:tc>
          <w:tcPr>
            <w:tcW w:w="2280" w:type="dxa"/>
            <w:tcBorders>
              <w:top w:val="single" w:sz="4" w:space="0" w:color="auto"/>
              <w:left w:val="nil"/>
              <w:bottom w:val="single" w:sz="4" w:space="0" w:color="auto"/>
              <w:right w:val="single" w:sz="8" w:space="0" w:color="auto"/>
            </w:tcBorders>
            <w:shd w:val="clear" w:color="auto" w:fill="auto"/>
            <w:noWrap/>
            <w:vAlign w:val="center"/>
            <w:hideMark/>
          </w:tcPr>
          <w:p w14:paraId="58D873B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105.9 </w:t>
            </w:r>
          </w:p>
        </w:tc>
        <w:tc>
          <w:tcPr>
            <w:tcW w:w="1990" w:type="dxa"/>
            <w:tcBorders>
              <w:top w:val="nil"/>
              <w:left w:val="nil"/>
              <w:bottom w:val="single" w:sz="4" w:space="0" w:color="auto"/>
              <w:right w:val="single" w:sz="8" w:space="0" w:color="auto"/>
            </w:tcBorders>
            <w:shd w:val="clear" w:color="auto" w:fill="auto"/>
            <w:hideMark/>
          </w:tcPr>
          <w:p w14:paraId="02DCA6C7"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0.35%</w:t>
            </w:r>
          </w:p>
        </w:tc>
      </w:tr>
      <w:tr w:rsidR="008A5057" w:rsidRPr="00BD295E" w14:paraId="1C425FD5" w14:textId="77777777" w:rsidTr="00C90D08">
        <w:trPr>
          <w:trHeight w:val="255"/>
        </w:trPr>
        <w:tc>
          <w:tcPr>
            <w:tcW w:w="1510" w:type="dxa"/>
            <w:vMerge/>
            <w:tcBorders>
              <w:top w:val="nil"/>
              <w:left w:val="single" w:sz="8" w:space="0" w:color="auto"/>
              <w:bottom w:val="nil"/>
              <w:right w:val="nil"/>
            </w:tcBorders>
            <w:shd w:val="clear" w:color="auto" w:fill="auto"/>
            <w:vAlign w:val="center"/>
            <w:hideMark/>
          </w:tcPr>
          <w:p w14:paraId="47EDAC56" w14:textId="77777777" w:rsidR="00162DD0" w:rsidRPr="00BD295E" w:rsidRDefault="00162DD0" w:rsidP="00162DD0">
            <w:pPr>
              <w:rPr>
                <w:rFonts w:ascii="Arial" w:hAnsi="Arial" w:cs="Arial"/>
                <w:sz w:val="18"/>
                <w:szCs w:val="18"/>
                <w:lang w:val="en-US"/>
              </w:rPr>
            </w:pPr>
          </w:p>
        </w:tc>
        <w:tc>
          <w:tcPr>
            <w:tcW w:w="3900" w:type="dxa"/>
            <w:tcBorders>
              <w:top w:val="nil"/>
              <w:left w:val="single" w:sz="8" w:space="0" w:color="auto"/>
              <w:bottom w:val="single" w:sz="4" w:space="0" w:color="auto"/>
              <w:right w:val="single" w:sz="8" w:space="0" w:color="auto"/>
            </w:tcBorders>
            <w:shd w:val="clear" w:color="auto" w:fill="auto"/>
            <w:noWrap/>
            <w:vAlign w:val="center"/>
            <w:hideMark/>
          </w:tcPr>
          <w:p w14:paraId="03F94479" w14:textId="77777777" w:rsidR="00162DD0" w:rsidRPr="00BD295E" w:rsidRDefault="004F279F" w:rsidP="004F279F">
            <w:pPr>
              <w:ind w:firstLineChars="100" w:firstLine="180"/>
              <w:rPr>
                <w:rFonts w:ascii="Arial" w:hAnsi="Arial" w:cs="Arial"/>
                <w:sz w:val="18"/>
                <w:szCs w:val="18"/>
                <w:lang w:val="en-US"/>
              </w:rPr>
            </w:pPr>
            <w:r w:rsidRPr="00BD295E">
              <w:rPr>
                <w:rFonts w:ascii="Arial" w:hAnsi="Arial" w:cs="Arial"/>
                <w:sz w:val="18"/>
                <w:szCs w:val="18"/>
                <w:lang w:val="en-US"/>
              </w:rPr>
              <w:t>OJSC “</w:t>
            </w:r>
            <w:r w:rsidR="008A5057" w:rsidRPr="00BD295E">
              <w:rPr>
                <w:rFonts w:ascii="Arial" w:hAnsi="Arial" w:cs="Arial"/>
                <w:sz w:val="18"/>
                <w:szCs w:val="18"/>
                <w:lang w:val="en-US"/>
              </w:rPr>
              <w:t>Admiralteyskiye Verfi</w:t>
            </w:r>
            <w:r w:rsidRPr="00BD295E">
              <w:rPr>
                <w:rFonts w:ascii="Arial" w:hAnsi="Arial" w:cs="Arial"/>
                <w:sz w:val="18"/>
                <w:szCs w:val="18"/>
                <w:lang w:val="en-US"/>
              </w:rPr>
              <w:t>”</w:t>
            </w:r>
          </w:p>
        </w:tc>
        <w:tc>
          <w:tcPr>
            <w:tcW w:w="2280" w:type="dxa"/>
            <w:tcBorders>
              <w:top w:val="nil"/>
              <w:left w:val="nil"/>
              <w:bottom w:val="single" w:sz="4" w:space="0" w:color="auto"/>
              <w:right w:val="single" w:sz="8" w:space="0" w:color="auto"/>
            </w:tcBorders>
            <w:shd w:val="clear" w:color="auto" w:fill="auto"/>
            <w:noWrap/>
            <w:vAlign w:val="center"/>
            <w:hideMark/>
          </w:tcPr>
          <w:p w14:paraId="0CC498A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82.6 </w:t>
            </w:r>
          </w:p>
        </w:tc>
        <w:tc>
          <w:tcPr>
            <w:tcW w:w="1990" w:type="dxa"/>
            <w:tcBorders>
              <w:top w:val="nil"/>
              <w:left w:val="nil"/>
              <w:bottom w:val="single" w:sz="4" w:space="0" w:color="auto"/>
              <w:right w:val="single" w:sz="8" w:space="0" w:color="auto"/>
            </w:tcBorders>
            <w:shd w:val="clear" w:color="auto" w:fill="auto"/>
            <w:hideMark/>
          </w:tcPr>
          <w:p w14:paraId="6D20BEB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0.27%</w:t>
            </w:r>
          </w:p>
        </w:tc>
      </w:tr>
      <w:tr w:rsidR="008A5057" w:rsidRPr="00BD295E" w14:paraId="1066D3E8" w14:textId="77777777" w:rsidTr="00C90D08">
        <w:trPr>
          <w:trHeight w:val="255"/>
        </w:trPr>
        <w:tc>
          <w:tcPr>
            <w:tcW w:w="1510" w:type="dxa"/>
            <w:vMerge/>
            <w:tcBorders>
              <w:top w:val="nil"/>
              <w:left w:val="single" w:sz="8" w:space="0" w:color="auto"/>
              <w:bottom w:val="nil"/>
              <w:right w:val="nil"/>
            </w:tcBorders>
            <w:shd w:val="clear" w:color="auto" w:fill="auto"/>
            <w:vAlign w:val="center"/>
            <w:hideMark/>
          </w:tcPr>
          <w:p w14:paraId="39633BEE" w14:textId="77777777" w:rsidR="00162DD0" w:rsidRPr="00BD295E" w:rsidRDefault="00162DD0" w:rsidP="00162DD0">
            <w:pPr>
              <w:rPr>
                <w:rFonts w:ascii="Arial" w:hAnsi="Arial" w:cs="Arial"/>
                <w:sz w:val="18"/>
                <w:szCs w:val="18"/>
                <w:lang w:val="en-US"/>
              </w:rPr>
            </w:pPr>
          </w:p>
        </w:tc>
        <w:tc>
          <w:tcPr>
            <w:tcW w:w="390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2EFEF33A"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PJSC</w:t>
            </w:r>
            <w:r w:rsidR="004F279F" w:rsidRPr="00BD295E">
              <w:rPr>
                <w:rFonts w:ascii="Arial" w:hAnsi="Arial" w:cs="Arial"/>
                <w:sz w:val="18"/>
                <w:szCs w:val="18"/>
                <w:lang w:val="en-US"/>
              </w:rPr>
              <w:t xml:space="preserve"> “Svetlana”</w:t>
            </w:r>
          </w:p>
        </w:tc>
        <w:tc>
          <w:tcPr>
            <w:tcW w:w="2280" w:type="dxa"/>
            <w:tcBorders>
              <w:top w:val="single" w:sz="4" w:space="0" w:color="auto"/>
              <w:left w:val="nil"/>
              <w:bottom w:val="nil"/>
              <w:right w:val="single" w:sz="8" w:space="0" w:color="auto"/>
            </w:tcBorders>
            <w:shd w:val="clear" w:color="auto" w:fill="auto"/>
            <w:noWrap/>
            <w:vAlign w:val="center"/>
            <w:hideMark/>
          </w:tcPr>
          <w:p w14:paraId="05C5C2C7"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56.3 </w:t>
            </w:r>
          </w:p>
        </w:tc>
        <w:tc>
          <w:tcPr>
            <w:tcW w:w="1990" w:type="dxa"/>
            <w:tcBorders>
              <w:top w:val="nil"/>
              <w:left w:val="nil"/>
              <w:bottom w:val="single" w:sz="4" w:space="0" w:color="auto"/>
              <w:right w:val="single" w:sz="8" w:space="0" w:color="auto"/>
            </w:tcBorders>
            <w:shd w:val="clear" w:color="auto" w:fill="auto"/>
            <w:hideMark/>
          </w:tcPr>
          <w:p w14:paraId="0ECE037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0.18%</w:t>
            </w:r>
          </w:p>
        </w:tc>
      </w:tr>
      <w:tr w:rsidR="008A5057" w:rsidRPr="00BD295E" w14:paraId="6A12DA0D" w14:textId="77777777" w:rsidTr="00C90D08">
        <w:trPr>
          <w:trHeight w:val="255"/>
        </w:trPr>
        <w:tc>
          <w:tcPr>
            <w:tcW w:w="1510" w:type="dxa"/>
            <w:vMerge/>
            <w:tcBorders>
              <w:top w:val="nil"/>
              <w:left w:val="single" w:sz="8" w:space="0" w:color="auto"/>
              <w:bottom w:val="nil"/>
              <w:right w:val="nil"/>
            </w:tcBorders>
            <w:shd w:val="clear" w:color="auto" w:fill="auto"/>
            <w:vAlign w:val="center"/>
            <w:hideMark/>
          </w:tcPr>
          <w:p w14:paraId="53DC1431" w14:textId="77777777" w:rsidR="00162DD0" w:rsidRPr="00BD295E" w:rsidRDefault="00162DD0" w:rsidP="00162DD0">
            <w:pPr>
              <w:rPr>
                <w:rFonts w:ascii="Arial" w:hAnsi="Arial" w:cs="Arial"/>
                <w:sz w:val="18"/>
                <w:szCs w:val="18"/>
                <w:lang w:val="en-US"/>
              </w:rPr>
            </w:pPr>
          </w:p>
        </w:tc>
        <w:tc>
          <w:tcPr>
            <w:tcW w:w="390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CFF7C62" w14:textId="77777777" w:rsidR="00162DD0" w:rsidRPr="00BD295E" w:rsidRDefault="004F279F" w:rsidP="004F279F">
            <w:pPr>
              <w:ind w:firstLineChars="100" w:firstLine="180"/>
              <w:rPr>
                <w:rFonts w:ascii="Arial" w:hAnsi="Arial" w:cs="Arial"/>
                <w:sz w:val="18"/>
                <w:szCs w:val="18"/>
                <w:lang w:val="en-US"/>
              </w:rPr>
            </w:pPr>
            <w:r w:rsidRPr="00BD295E">
              <w:rPr>
                <w:rFonts w:ascii="Arial" w:hAnsi="Arial" w:cs="Arial"/>
                <w:sz w:val="18"/>
                <w:szCs w:val="18"/>
                <w:lang w:val="en-US"/>
              </w:rPr>
              <w:t>LLC “</w:t>
            </w:r>
            <w:r w:rsidR="008A5057" w:rsidRPr="00BD295E">
              <w:rPr>
                <w:rFonts w:ascii="Arial" w:hAnsi="Arial" w:cs="Arial"/>
                <w:sz w:val="18"/>
                <w:szCs w:val="18"/>
                <w:lang w:val="en-US"/>
              </w:rPr>
              <w:t>Hyundai Motor Manufacturing Rus</w:t>
            </w:r>
            <w:r w:rsidRPr="00BD295E">
              <w:rPr>
                <w:rFonts w:ascii="Arial" w:hAnsi="Arial" w:cs="Arial"/>
                <w:sz w:val="18"/>
                <w:szCs w:val="18"/>
                <w:lang w:val="en-US"/>
              </w:rPr>
              <w:t>”</w:t>
            </w:r>
          </w:p>
        </w:tc>
        <w:tc>
          <w:tcPr>
            <w:tcW w:w="2280" w:type="dxa"/>
            <w:tcBorders>
              <w:top w:val="single" w:sz="4" w:space="0" w:color="auto"/>
              <w:left w:val="nil"/>
              <w:bottom w:val="single" w:sz="4" w:space="0" w:color="auto"/>
              <w:right w:val="nil"/>
            </w:tcBorders>
            <w:shd w:val="clear" w:color="auto" w:fill="auto"/>
            <w:noWrap/>
            <w:vAlign w:val="center"/>
            <w:hideMark/>
          </w:tcPr>
          <w:p w14:paraId="30539A9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73.6 </w:t>
            </w:r>
          </w:p>
        </w:tc>
        <w:tc>
          <w:tcPr>
            <w:tcW w:w="1990" w:type="dxa"/>
            <w:tcBorders>
              <w:top w:val="nil"/>
              <w:left w:val="single" w:sz="8" w:space="0" w:color="auto"/>
              <w:bottom w:val="single" w:sz="4" w:space="0" w:color="auto"/>
              <w:right w:val="single" w:sz="8" w:space="0" w:color="auto"/>
            </w:tcBorders>
            <w:shd w:val="clear" w:color="auto" w:fill="auto"/>
            <w:hideMark/>
          </w:tcPr>
          <w:p w14:paraId="125F38C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0.24%</w:t>
            </w:r>
          </w:p>
        </w:tc>
      </w:tr>
      <w:tr w:rsidR="008A5057" w:rsidRPr="00BD295E" w14:paraId="28A5CA3E" w14:textId="77777777" w:rsidTr="00C90D08">
        <w:trPr>
          <w:trHeight w:val="270"/>
        </w:trPr>
        <w:tc>
          <w:tcPr>
            <w:tcW w:w="1510" w:type="dxa"/>
            <w:vMerge/>
            <w:tcBorders>
              <w:top w:val="nil"/>
              <w:left w:val="single" w:sz="8" w:space="0" w:color="auto"/>
              <w:bottom w:val="nil"/>
              <w:right w:val="nil"/>
            </w:tcBorders>
            <w:shd w:val="clear" w:color="auto" w:fill="auto"/>
            <w:vAlign w:val="center"/>
            <w:hideMark/>
          </w:tcPr>
          <w:p w14:paraId="70440CCC" w14:textId="77777777" w:rsidR="00162DD0" w:rsidRPr="00BD295E" w:rsidRDefault="00162DD0" w:rsidP="00162DD0">
            <w:pPr>
              <w:rPr>
                <w:rFonts w:ascii="Arial" w:hAnsi="Arial" w:cs="Arial"/>
                <w:sz w:val="18"/>
                <w:szCs w:val="18"/>
                <w:lang w:val="en-US"/>
              </w:rPr>
            </w:pPr>
          </w:p>
        </w:tc>
        <w:tc>
          <w:tcPr>
            <w:tcW w:w="3900" w:type="dxa"/>
            <w:tcBorders>
              <w:top w:val="nil"/>
              <w:left w:val="single" w:sz="8" w:space="0" w:color="auto"/>
              <w:bottom w:val="single" w:sz="4" w:space="0" w:color="auto"/>
              <w:right w:val="single" w:sz="8" w:space="0" w:color="auto"/>
            </w:tcBorders>
            <w:shd w:val="clear" w:color="auto" w:fill="auto"/>
            <w:noWrap/>
            <w:vAlign w:val="center"/>
            <w:hideMark/>
          </w:tcPr>
          <w:p w14:paraId="7DABD369"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LLC</w:t>
            </w:r>
            <w:r w:rsidR="004F279F" w:rsidRPr="00BD295E">
              <w:rPr>
                <w:rFonts w:ascii="Arial" w:hAnsi="Arial" w:cs="Arial"/>
                <w:sz w:val="18"/>
                <w:szCs w:val="18"/>
                <w:lang w:val="en-US"/>
              </w:rPr>
              <w:t xml:space="preserve"> “Nissan Manufacturing RUS”</w:t>
            </w:r>
          </w:p>
        </w:tc>
        <w:tc>
          <w:tcPr>
            <w:tcW w:w="2280" w:type="dxa"/>
            <w:tcBorders>
              <w:top w:val="nil"/>
              <w:left w:val="nil"/>
              <w:bottom w:val="single" w:sz="4" w:space="0" w:color="auto"/>
              <w:right w:val="nil"/>
            </w:tcBorders>
            <w:shd w:val="clear" w:color="auto" w:fill="auto"/>
            <w:noWrap/>
            <w:vAlign w:val="center"/>
            <w:hideMark/>
          </w:tcPr>
          <w:p w14:paraId="43DA532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35.7 </w:t>
            </w:r>
          </w:p>
        </w:tc>
        <w:tc>
          <w:tcPr>
            <w:tcW w:w="1990" w:type="dxa"/>
            <w:tcBorders>
              <w:top w:val="nil"/>
              <w:left w:val="single" w:sz="8" w:space="0" w:color="auto"/>
              <w:bottom w:val="single" w:sz="4" w:space="0" w:color="auto"/>
              <w:right w:val="single" w:sz="8" w:space="0" w:color="auto"/>
            </w:tcBorders>
            <w:shd w:val="clear" w:color="auto" w:fill="auto"/>
            <w:hideMark/>
          </w:tcPr>
          <w:p w14:paraId="29B53B0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0.12%</w:t>
            </w:r>
          </w:p>
        </w:tc>
      </w:tr>
      <w:tr w:rsidR="008A5057" w:rsidRPr="00BD295E" w14:paraId="62DDA378" w14:textId="77777777" w:rsidTr="00C90D08">
        <w:trPr>
          <w:trHeight w:val="255"/>
        </w:trPr>
        <w:tc>
          <w:tcPr>
            <w:tcW w:w="1510" w:type="dxa"/>
            <w:vMerge w:val="restart"/>
            <w:tcBorders>
              <w:top w:val="single" w:sz="8" w:space="0" w:color="auto"/>
              <w:left w:val="single" w:sz="8" w:space="0" w:color="auto"/>
              <w:bottom w:val="nil"/>
              <w:right w:val="single" w:sz="8" w:space="0" w:color="auto"/>
            </w:tcBorders>
            <w:shd w:val="clear" w:color="auto" w:fill="auto"/>
            <w:hideMark/>
          </w:tcPr>
          <w:p w14:paraId="7B4C726E" w14:textId="77777777" w:rsidR="00162DD0" w:rsidRPr="00BD295E" w:rsidRDefault="008A5057" w:rsidP="00162DD0">
            <w:pPr>
              <w:jc w:val="both"/>
              <w:rPr>
                <w:rFonts w:ascii="Arial" w:hAnsi="Arial" w:cs="Arial"/>
                <w:sz w:val="18"/>
                <w:szCs w:val="18"/>
                <w:lang w:val="en-US"/>
              </w:rPr>
            </w:pPr>
            <w:r w:rsidRPr="00BD295E">
              <w:rPr>
                <w:rFonts w:ascii="Arial" w:hAnsi="Arial" w:cs="Arial"/>
                <w:sz w:val="18"/>
                <w:szCs w:val="18"/>
                <w:lang w:val="en-US"/>
              </w:rPr>
              <w:t>Leningrad Region</w:t>
            </w:r>
          </w:p>
        </w:tc>
        <w:tc>
          <w:tcPr>
            <w:tcW w:w="3900" w:type="dxa"/>
            <w:tcBorders>
              <w:top w:val="single" w:sz="8" w:space="0" w:color="auto"/>
              <w:left w:val="nil"/>
              <w:bottom w:val="single" w:sz="4" w:space="0" w:color="auto"/>
              <w:right w:val="single" w:sz="8" w:space="0" w:color="auto"/>
            </w:tcBorders>
            <w:shd w:val="clear" w:color="auto" w:fill="auto"/>
            <w:vAlign w:val="center"/>
            <w:hideMark/>
          </w:tcPr>
          <w:p w14:paraId="3ECED1DC"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 xml:space="preserve">LLC </w:t>
            </w:r>
            <w:r w:rsidR="004F279F" w:rsidRPr="00BD295E">
              <w:rPr>
                <w:rFonts w:ascii="Arial" w:hAnsi="Arial" w:cs="Arial"/>
                <w:sz w:val="18"/>
                <w:szCs w:val="18"/>
                <w:lang w:val="en-US"/>
              </w:rPr>
              <w:t>“Transneftbaltika”</w:t>
            </w:r>
          </w:p>
        </w:tc>
        <w:tc>
          <w:tcPr>
            <w:tcW w:w="2280" w:type="dxa"/>
            <w:tcBorders>
              <w:top w:val="single" w:sz="8" w:space="0" w:color="auto"/>
              <w:left w:val="nil"/>
              <w:bottom w:val="single" w:sz="4" w:space="0" w:color="auto"/>
              <w:right w:val="single" w:sz="8" w:space="0" w:color="auto"/>
            </w:tcBorders>
            <w:shd w:val="clear" w:color="auto" w:fill="auto"/>
            <w:noWrap/>
            <w:vAlign w:val="center"/>
            <w:hideMark/>
          </w:tcPr>
          <w:p w14:paraId="1F55ADF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66.0 </w:t>
            </w:r>
          </w:p>
        </w:tc>
        <w:tc>
          <w:tcPr>
            <w:tcW w:w="1990" w:type="dxa"/>
            <w:tcBorders>
              <w:top w:val="single" w:sz="8" w:space="0" w:color="auto"/>
              <w:left w:val="nil"/>
              <w:bottom w:val="single" w:sz="4" w:space="0" w:color="auto"/>
              <w:right w:val="single" w:sz="8" w:space="0" w:color="auto"/>
            </w:tcBorders>
            <w:shd w:val="clear" w:color="auto" w:fill="auto"/>
            <w:hideMark/>
          </w:tcPr>
          <w:p w14:paraId="35002D7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0.22%</w:t>
            </w:r>
          </w:p>
        </w:tc>
      </w:tr>
      <w:tr w:rsidR="008A5057" w:rsidRPr="00BD295E" w14:paraId="3EE61B85" w14:textId="77777777" w:rsidTr="00C90D08">
        <w:trPr>
          <w:trHeight w:val="255"/>
        </w:trPr>
        <w:tc>
          <w:tcPr>
            <w:tcW w:w="1510" w:type="dxa"/>
            <w:vMerge/>
            <w:tcBorders>
              <w:top w:val="single" w:sz="8" w:space="0" w:color="auto"/>
              <w:left w:val="single" w:sz="8" w:space="0" w:color="auto"/>
              <w:bottom w:val="nil"/>
              <w:right w:val="single" w:sz="8" w:space="0" w:color="auto"/>
            </w:tcBorders>
            <w:shd w:val="clear" w:color="auto" w:fill="auto"/>
            <w:vAlign w:val="center"/>
            <w:hideMark/>
          </w:tcPr>
          <w:p w14:paraId="6BD51FFD" w14:textId="77777777" w:rsidR="00162DD0" w:rsidRPr="00BD295E" w:rsidRDefault="00162DD0" w:rsidP="00162DD0">
            <w:pPr>
              <w:rPr>
                <w:rFonts w:ascii="Arial" w:hAnsi="Arial" w:cs="Arial"/>
                <w:sz w:val="18"/>
                <w:szCs w:val="18"/>
                <w:lang w:val="en-US"/>
              </w:rPr>
            </w:pPr>
          </w:p>
        </w:tc>
        <w:tc>
          <w:tcPr>
            <w:tcW w:w="3900" w:type="dxa"/>
            <w:tcBorders>
              <w:top w:val="nil"/>
              <w:left w:val="nil"/>
              <w:bottom w:val="single" w:sz="4" w:space="0" w:color="auto"/>
              <w:right w:val="single" w:sz="8" w:space="0" w:color="auto"/>
            </w:tcBorders>
            <w:shd w:val="clear" w:color="auto" w:fill="auto"/>
            <w:vAlign w:val="center"/>
            <w:hideMark/>
          </w:tcPr>
          <w:p w14:paraId="6A390E3D"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CJSC</w:t>
            </w:r>
            <w:r w:rsidR="004F279F" w:rsidRPr="00BD295E">
              <w:rPr>
                <w:rFonts w:ascii="Arial" w:hAnsi="Arial" w:cs="Arial"/>
                <w:sz w:val="18"/>
                <w:szCs w:val="18"/>
                <w:lang w:val="en-US"/>
              </w:rPr>
              <w:t xml:space="preserve"> “Tikhvinskiy Ferrosplavny Zavod”</w:t>
            </w:r>
          </w:p>
        </w:tc>
        <w:tc>
          <w:tcPr>
            <w:tcW w:w="2280" w:type="dxa"/>
            <w:tcBorders>
              <w:top w:val="nil"/>
              <w:left w:val="nil"/>
              <w:bottom w:val="single" w:sz="4" w:space="0" w:color="auto"/>
              <w:right w:val="single" w:sz="8" w:space="0" w:color="auto"/>
            </w:tcBorders>
            <w:shd w:val="clear" w:color="auto" w:fill="auto"/>
            <w:noWrap/>
            <w:vAlign w:val="center"/>
            <w:hideMark/>
          </w:tcPr>
          <w:p w14:paraId="29E4389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363.2 </w:t>
            </w:r>
          </w:p>
        </w:tc>
        <w:tc>
          <w:tcPr>
            <w:tcW w:w="1990" w:type="dxa"/>
            <w:tcBorders>
              <w:top w:val="nil"/>
              <w:left w:val="nil"/>
              <w:bottom w:val="single" w:sz="4" w:space="0" w:color="auto"/>
              <w:right w:val="single" w:sz="8" w:space="0" w:color="auto"/>
            </w:tcBorders>
            <w:shd w:val="clear" w:color="auto" w:fill="auto"/>
            <w:hideMark/>
          </w:tcPr>
          <w:p w14:paraId="335AD690"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1.19%</w:t>
            </w:r>
          </w:p>
        </w:tc>
      </w:tr>
      <w:tr w:rsidR="008A5057" w:rsidRPr="00BD295E" w14:paraId="41B373E1" w14:textId="77777777" w:rsidTr="00C90D08">
        <w:trPr>
          <w:trHeight w:val="255"/>
        </w:trPr>
        <w:tc>
          <w:tcPr>
            <w:tcW w:w="1510" w:type="dxa"/>
            <w:vMerge/>
            <w:tcBorders>
              <w:top w:val="single" w:sz="8" w:space="0" w:color="auto"/>
              <w:left w:val="single" w:sz="8" w:space="0" w:color="auto"/>
              <w:bottom w:val="nil"/>
              <w:right w:val="single" w:sz="8" w:space="0" w:color="auto"/>
            </w:tcBorders>
            <w:shd w:val="clear" w:color="auto" w:fill="auto"/>
            <w:vAlign w:val="center"/>
            <w:hideMark/>
          </w:tcPr>
          <w:p w14:paraId="1CBA828D" w14:textId="77777777" w:rsidR="00162DD0" w:rsidRPr="00BD295E" w:rsidRDefault="00162DD0" w:rsidP="00162DD0">
            <w:pPr>
              <w:rPr>
                <w:rFonts w:ascii="Arial" w:hAnsi="Arial" w:cs="Arial"/>
                <w:sz w:val="18"/>
                <w:szCs w:val="18"/>
                <w:lang w:val="en-US"/>
              </w:rPr>
            </w:pPr>
          </w:p>
        </w:tc>
        <w:tc>
          <w:tcPr>
            <w:tcW w:w="3900" w:type="dxa"/>
            <w:tcBorders>
              <w:top w:val="single" w:sz="4" w:space="0" w:color="auto"/>
              <w:left w:val="nil"/>
              <w:bottom w:val="single" w:sz="4" w:space="0" w:color="auto"/>
              <w:right w:val="single" w:sz="8" w:space="0" w:color="auto"/>
            </w:tcBorders>
            <w:shd w:val="clear" w:color="auto" w:fill="auto"/>
            <w:noWrap/>
            <w:vAlign w:val="center"/>
            <w:hideMark/>
          </w:tcPr>
          <w:p w14:paraId="3A2F2EC5"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OJSC</w:t>
            </w:r>
            <w:r w:rsidR="004F279F" w:rsidRPr="00BD295E">
              <w:rPr>
                <w:rFonts w:ascii="Arial" w:hAnsi="Arial" w:cs="Arial"/>
                <w:sz w:val="18"/>
                <w:szCs w:val="18"/>
                <w:lang w:val="en-US"/>
              </w:rPr>
              <w:t xml:space="preserve"> “VLK”</w:t>
            </w:r>
          </w:p>
        </w:tc>
        <w:tc>
          <w:tcPr>
            <w:tcW w:w="2280" w:type="dxa"/>
            <w:tcBorders>
              <w:top w:val="single" w:sz="4" w:space="0" w:color="auto"/>
              <w:left w:val="nil"/>
              <w:bottom w:val="single" w:sz="4" w:space="0" w:color="auto"/>
              <w:right w:val="single" w:sz="8" w:space="0" w:color="auto"/>
            </w:tcBorders>
            <w:shd w:val="clear" w:color="auto" w:fill="auto"/>
            <w:noWrap/>
            <w:vAlign w:val="center"/>
            <w:hideMark/>
          </w:tcPr>
          <w:p w14:paraId="3F22035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120.0 </w:t>
            </w:r>
          </w:p>
        </w:tc>
        <w:tc>
          <w:tcPr>
            <w:tcW w:w="1990" w:type="dxa"/>
            <w:tcBorders>
              <w:top w:val="single" w:sz="4" w:space="0" w:color="auto"/>
              <w:left w:val="nil"/>
              <w:bottom w:val="single" w:sz="4" w:space="0" w:color="auto"/>
              <w:right w:val="single" w:sz="8" w:space="0" w:color="auto"/>
            </w:tcBorders>
            <w:shd w:val="clear" w:color="auto" w:fill="auto"/>
            <w:hideMark/>
          </w:tcPr>
          <w:p w14:paraId="16E747A0"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0.39%</w:t>
            </w:r>
          </w:p>
        </w:tc>
      </w:tr>
      <w:tr w:rsidR="008A5057" w:rsidRPr="00BD295E" w14:paraId="3E953C78" w14:textId="77777777" w:rsidTr="00C90D08">
        <w:trPr>
          <w:trHeight w:val="510"/>
        </w:trPr>
        <w:tc>
          <w:tcPr>
            <w:tcW w:w="1510" w:type="dxa"/>
            <w:vMerge/>
            <w:tcBorders>
              <w:top w:val="single" w:sz="8" w:space="0" w:color="auto"/>
              <w:left w:val="single" w:sz="8" w:space="0" w:color="auto"/>
              <w:bottom w:val="nil"/>
              <w:right w:val="single" w:sz="8" w:space="0" w:color="auto"/>
            </w:tcBorders>
            <w:shd w:val="clear" w:color="auto" w:fill="auto"/>
            <w:vAlign w:val="center"/>
            <w:hideMark/>
          </w:tcPr>
          <w:p w14:paraId="1C7165C4" w14:textId="77777777" w:rsidR="00162DD0" w:rsidRPr="00BD295E" w:rsidRDefault="00162DD0" w:rsidP="00162DD0">
            <w:pPr>
              <w:rPr>
                <w:rFonts w:ascii="Arial" w:hAnsi="Arial" w:cs="Arial"/>
                <w:sz w:val="18"/>
                <w:szCs w:val="18"/>
                <w:lang w:val="en-US"/>
              </w:rPr>
            </w:pPr>
          </w:p>
        </w:tc>
        <w:tc>
          <w:tcPr>
            <w:tcW w:w="3900" w:type="dxa"/>
            <w:tcBorders>
              <w:top w:val="nil"/>
              <w:left w:val="nil"/>
              <w:bottom w:val="single" w:sz="4" w:space="0" w:color="auto"/>
              <w:right w:val="single" w:sz="8" w:space="0" w:color="auto"/>
            </w:tcBorders>
            <w:shd w:val="clear" w:color="auto" w:fill="auto"/>
            <w:vAlign w:val="center"/>
            <w:hideMark/>
          </w:tcPr>
          <w:p w14:paraId="4559E0AD" w14:textId="77777777" w:rsidR="00162DD0" w:rsidRPr="00BD295E" w:rsidRDefault="008A5057" w:rsidP="004F279F">
            <w:pPr>
              <w:ind w:firstLineChars="100" w:firstLine="180"/>
              <w:rPr>
                <w:rFonts w:ascii="Arial" w:hAnsi="Arial" w:cs="Arial"/>
                <w:sz w:val="18"/>
                <w:szCs w:val="18"/>
                <w:lang w:val="en-US"/>
              </w:rPr>
            </w:pPr>
            <w:r w:rsidRPr="00BD295E">
              <w:rPr>
                <w:rFonts w:ascii="Arial" w:hAnsi="Arial" w:cs="Arial"/>
                <w:sz w:val="18"/>
                <w:szCs w:val="18"/>
                <w:lang w:val="en-US"/>
              </w:rPr>
              <w:t xml:space="preserve">OJSC </w:t>
            </w:r>
            <w:r w:rsidR="004F279F" w:rsidRPr="00BD295E">
              <w:rPr>
                <w:rFonts w:ascii="Arial" w:hAnsi="Arial" w:cs="Arial"/>
                <w:sz w:val="18"/>
                <w:szCs w:val="18"/>
                <w:lang w:val="en-US"/>
              </w:rPr>
              <w:t>“Saint Petersburg Cardboard and Printing Factory”</w:t>
            </w:r>
            <w:r w:rsidRPr="00BD295E">
              <w:rPr>
                <w:rFonts w:ascii="Arial" w:hAnsi="Arial" w:cs="Arial"/>
                <w:sz w:val="18"/>
                <w:szCs w:val="18"/>
                <w:lang w:val="en-US"/>
              </w:rPr>
              <w:t>(JSC</w:t>
            </w:r>
            <w:r w:rsidR="004F279F" w:rsidRPr="00BD295E">
              <w:rPr>
                <w:rFonts w:ascii="Arial" w:hAnsi="Arial" w:cs="Arial"/>
                <w:sz w:val="18"/>
                <w:szCs w:val="18"/>
                <w:lang w:val="en-US"/>
              </w:rPr>
              <w:t xml:space="preserve"> “Knauf Petrobord”</w:t>
            </w:r>
            <w:r w:rsidRPr="00BD295E">
              <w:rPr>
                <w:rFonts w:ascii="Arial" w:hAnsi="Arial" w:cs="Arial"/>
                <w:sz w:val="18"/>
                <w:szCs w:val="18"/>
                <w:lang w:val="en-US"/>
              </w:rPr>
              <w:t>)</w:t>
            </w:r>
          </w:p>
        </w:tc>
        <w:tc>
          <w:tcPr>
            <w:tcW w:w="2280" w:type="dxa"/>
            <w:tcBorders>
              <w:top w:val="nil"/>
              <w:left w:val="nil"/>
              <w:bottom w:val="single" w:sz="4" w:space="0" w:color="auto"/>
              <w:right w:val="single" w:sz="8" w:space="0" w:color="auto"/>
            </w:tcBorders>
            <w:shd w:val="clear" w:color="auto" w:fill="auto"/>
            <w:noWrap/>
            <w:vAlign w:val="center"/>
            <w:hideMark/>
          </w:tcPr>
          <w:p w14:paraId="240D29D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117.7 </w:t>
            </w:r>
          </w:p>
        </w:tc>
        <w:tc>
          <w:tcPr>
            <w:tcW w:w="1990" w:type="dxa"/>
            <w:tcBorders>
              <w:top w:val="nil"/>
              <w:left w:val="nil"/>
              <w:bottom w:val="single" w:sz="4" w:space="0" w:color="auto"/>
              <w:right w:val="single" w:sz="8" w:space="0" w:color="auto"/>
            </w:tcBorders>
            <w:shd w:val="clear" w:color="auto" w:fill="auto"/>
            <w:vAlign w:val="bottom"/>
            <w:hideMark/>
          </w:tcPr>
          <w:p w14:paraId="280ABA2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0.39%</w:t>
            </w:r>
          </w:p>
        </w:tc>
      </w:tr>
      <w:tr w:rsidR="008A5057" w:rsidRPr="00BD295E" w14:paraId="24CD7282" w14:textId="77777777" w:rsidTr="00C90D08">
        <w:trPr>
          <w:trHeight w:val="255"/>
        </w:trPr>
        <w:tc>
          <w:tcPr>
            <w:tcW w:w="1510" w:type="dxa"/>
            <w:vMerge/>
            <w:tcBorders>
              <w:top w:val="single" w:sz="8" w:space="0" w:color="auto"/>
              <w:left w:val="single" w:sz="8" w:space="0" w:color="auto"/>
              <w:bottom w:val="nil"/>
              <w:right w:val="single" w:sz="8" w:space="0" w:color="auto"/>
            </w:tcBorders>
            <w:shd w:val="clear" w:color="auto" w:fill="auto"/>
            <w:vAlign w:val="center"/>
            <w:hideMark/>
          </w:tcPr>
          <w:p w14:paraId="7E3DA58D" w14:textId="77777777" w:rsidR="00162DD0" w:rsidRPr="00BD295E" w:rsidRDefault="00162DD0" w:rsidP="00162DD0">
            <w:pPr>
              <w:rPr>
                <w:rFonts w:ascii="Arial" w:hAnsi="Arial" w:cs="Arial"/>
                <w:sz w:val="18"/>
                <w:szCs w:val="18"/>
                <w:lang w:val="en-US"/>
              </w:rPr>
            </w:pPr>
          </w:p>
        </w:tc>
        <w:tc>
          <w:tcPr>
            <w:tcW w:w="3900" w:type="dxa"/>
            <w:tcBorders>
              <w:top w:val="nil"/>
              <w:left w:val="nil"/>
              <w:bottom w:val="single" w:sz="4" w:space="0" w:color="auto"/>
              <w:right w:val="single" w:sz="8" w:space="0" w:color="auto"/>
            </w:tcBorders>
            <w:shd w:val="clear" w:color="auto" w:fill="auto"/>
            <w:noWrap/>
            <w:vAlign w:val="center"/>
            <w:hideMark/>
          </w:tcPr>
          <w:p w14:paraId="1E0509E3"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GUP Vodokanal</w:t>
            </w:r>
          </w:p>
        </w:tc>
        <w:tc>
          <w:tcPr>
            <w:tcW w:w="2280" w:type="dxa"/>
            <w:tcBorders>
              <w:top w:val="single" w:sz="4" w:space="0" w:color="auto"/>
              <w:left w:val="nil"/>
              <w:bottom w:val="nil"/>
              <w:right w:val="single" w:sz="8" w:space="0" w:color="auto"/>
            </w:tcBorders>
            <w:shd w:val="clear" w:color="auto" w:fill="auto"/>
            <w:noWrap/>
            <w:vAlign w:val="center"/>
            <w:hideMark/>
          </w:tcPr>
          <w:p w14:paraId="4259001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73.4 </w:t>
            </w:r>
          </w:p>
        </w:tc>
        <w:tc>
          <w:tcPr>
            <w:tcW w:w="1990" w:type="dxa"/>
            <w:tcBorders>
              <w:top w:val="nil"/>
              <w:left w:val="nil"/>
              <w:bottom w:val="nil"/>
              <w:right w:val="single" w:sz="8" w:space="0" w:color="auto"/>
            </w:tcBorders>
            <w:shd w:val="clear" w:color="auto" w:fill="auto"/>
            <w:hideMark/>
          </w:tcPr>
          <w:p w14:paraId="6B6535C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0.24%</w:t>
            </w:r>
          </w:p>
        </w:tc>
      </w:tr>
      <w:tr w:rsidR="008A5057" w:rsidRPr="00BD295E" w14:paraId="068B561A" w14:textId="77777777" w:rsidTr="00C90D08">
        <w:trPr>
          <w:trHeight w:val="255"/>
        </w:trPr>
        <w:tc>
          <w:tcPr>
            <w:tcW w:w="1510" w:type="dxa"/>
            <w:vMerge/>
            <w:tcBorders>
              <w:top w:val="single" w:sz="8" w:space="0" w:color="auto"/>
              <w:left w:val="single" w:sz="8" w:space="0" w:color="auto"/>
              <w:bottom w:val="nil"/>
              <w:right w:val="single" w:sz="8" w:space="0" w:color="auto"/>
            </w:tcBorders>
            <w:shd w:val="clear" w:color="auto" w:fill="auto"/>
            <w:vAlign w:val="center"/>
            <w:hideMark/>
          </w:tcPr>
          <w:p w14:paraId="78AE9CE5" w14:textId="77777777" w:rsidR="00162DD0" w:rsidRPr="00BD295E" w:rsidRDefault="00162DD0" w:rsidP="00162DD0">
            <w:pPr>
              <w:rPr>
                <w:rFonts w:ascii="Arial" w:hAnsi="Arial" w:cs="Arial"/>
                <w:sz w:val="18"/>
                <w:szCs w:val="18"/>
                <w:lang w:val="en-US"/>
              </w:rPr>
            </w:pPr>
          </w:p>
        </w:tc>
        <w:tc>
          <w:tcPr>
            <w:tcW w:w="3900" w:type="dxa"/>
            <w:tcBorders>
              <w:top w:val="nil"/>
              <w:left w:val="nil"/>
              <w:bottom w:val="single" w:sz="4" w:space="0" w:color="auto"/>
              <w:right w:val="single" w:sz="8" w:space="0" w:color="auto"/>
            </w:tcBorders>
            <w:shd w:val="clear" w:color="auto" w:fill="auto"/>
            <w:noWrap/>
            <w:vAlign w:val="center"/>
            <w:hideMark/>
          </w:tcPr>
          <w:p w14:paraId="5DC5FBD2" w14:textId="77777777" w:rsidR="00162DD0" w:rsidRPr="00BD295E" w:rsidRDefault="004F279F" w:rsidP="004F279F">
            <w:pPr>
              <w:ind w:firstLineChars="100" w:firstLine="180"/>
              <w:rPr>
                <w:rFonts w:ascii="Arial" w:hAnsi="Arial" w:cs="Arial"/>
                <w:sz w:val="18"/>
                <w:szCs w:val="18"/>
                <w:lang w:val="en-US"/>
              </w:rPr>
            </w:pPr>
            <w:r w:rsidRPr="00BD295E">
              <w:rPr>
                <w:rFonts w:ascii="Arial" w:hAnsi="Arial" w:cs="Arial"/>
                <w:sz w:val="18"/>
                <w:szCs w:val="18"/>
                <w:lang w:val="en-US"/>
              </w:rPr>
              <w:t>OJSC “</w:t>
            </w:r>
            <w:r w:rsidR="008A5057" w:rsidRPr="00BD295E">
              <w:rPr>
                <w:rFonts w:ascii="Arial" w:hAnsi="Arial" w:cs="Arial"/>
                <w:sz w:val="18"/>
                <w:szCs w:val="18"/>
                <w:lang w:val="en-US"/>
              </w:rPr>
              <w:t>ROSTERMINALUGOL</w:t>
            </w:r>
            <w:r w:rsidRPr="00BD295E">
              <w:rPr>
                <w:rFonts w:ascii="Arial" w:hAnsi="Arial" w:cs="Arial"/>
                <w:sz w:val="18"/>
                <w:szCs w:val="18"/>
                <w:lang w:val="en-US"/>
              </w:rPr>
              <w:t>”</w:t>
            </w:r>
          </w:p>
        </w:tc>
        <w:tc>
          <w:tcPr>
            <w:tcW w:w="2280" w:type="dxa"/>
            <w:tcBorders>
              <w:top w:val="single" w:sz="4" w:space="0" w:color="auto"/>
              <w:left w:val="nil"/>
              <w:bottom w:val="nil"/>
              <w:right w:val="single" w:sz="8" w:space="0" w:color="auto"/>
            </w:tcBorders>
            <w:shd w:val="clear" w:color="auto" w:fill="auto"/>
            <w:noWrap/>
            <w:vAlign w:val="center"/>
            <w:hideMark/>
          </w:tcPr>
          <w:p w14:paraId="0F5A803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54.6 </w:t>
            </w:r>
          </w:p>
        </w:tc>
        <w:tc>
          <w:tcPr>
            <w:tcW w:w="1990" w:type="dxa"/>
            <w:tcBorders>
              <w:top w:val="single" w:sz="4" w:space="0" w:color="auto"/>
              <w:left w:val="nil"/>
              <w:bottom w:val="nil"/>
              <w:right w:val="single" w:sz="8" w:space="0" w:color="auto"/>
            </w:tcBorders>
            <w:shd w:val="clear" w:color="auto" w:fill="auto"/>
            <w:hideMark/>
          </w:tcPr>
          <w:p w14:paraId="1DF62237"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0.18%</w:t>
            </w:r>
          </w:p>
        </w:tc>
      </w:tr>
      <w:tr w:rsidR="008A5057" w:rsidRPr="00BD295E" w14:paraId="5EF9D909" w14:textId="77777777" w:rsidTr="00C90D08">
        <w:trPr>
          <w:trHeight w:val="255"/>
        </w:trPr>
        <w:tc>
          <w:tcPr>
            <w:tcW w:w="1510" w:type="dxa"/>
            <w:vMerge/>
            <w:tcBorders>
              <w:top w:val="single" w:sz="8" w:space="0" w:color="auto"/>
              <w:left w:val="single" w:sz="8" w:space="0" w:color="auto"/>
              <w:bottom w:val="nil"/>
              <w:right w:val="single" w:sz="8" w:space="0" w:color="auto"/>
            </w:tcBorders>
            <w:shd w:val="clear" w:color="auto" w:fill="auto"/>
            <w:vAlign w:val="center"/>
            <w:hideMark/>
          </w:tcPr>
          <w:p w14:paraId="2A72C6D0" w14:textId="77777777" w:rsidR="00162DD0" w:rsidRPr="00BD295E" w:rsidRDefault="00162DD0" w:rsidP="00162DD0">
            <w:pPr>
              <w:rPr>
                <w:rFonts w:ascii="Arial" w:hAnsi="Arial" w:cs="Arial"/>
                <w:sz w:val="18"/>
                <w:szCs w:val="18"/>
                <w:lang w:val="en-US"/>
              </w:rPr>
            </w:pPr>
          </w:p>
        </w:tc>
        <w:tc>
          <w:tcPr>
            <w:tcW w:w="3900" w:type="dxa"/>
            <w:tcBorders>
              <w:top w:val="nil"/>
              <w:left w:val="nil"/>
              <w:bottom w:val="single" w:sz="4" w:space="0" w:color="auto"/>
              <w:right w:val="single" w:sz="8" w:space="0" w:color="auto"/>
            </w:tcBorders>
            <w:shd w:val="clear" w:color="auto" w:fill="auto"/>
            <w:noWrap/>
            <w:vAlign w:val="center"/>
            <w:hideMark/>
          </w:tcPr>
          <w:p w14:paraId="1041E937"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LLC</w:t>
            </w:r>
            <w:r w:rsidR="004F279F" w:rsidRPr="00BD295E">
              <w:rPr>
                <w:rFonts w:ascii="Arial" w:hAnsi="Arial" w:cs="Arial"/>
                <w:sz w:val="18"/>
                <w:szCs w:val="18"/>
                <w:lang w:val="en-US"/>
              </w:rPr>
              <w:t xml:space="preserve"> “NOKIAN TYRES”</w:t>
            </w:r>
          </w:p>
        </w:tc>
        <w:tc>
          <w:tcPr>
            <w:tcW w:w="2280" w:type="dxa"/>
            <w:tcBorders>
              <w:top w:val="single" w:sz="4" w:space="0" w:color="auto"/>
              <w:left w:val="nil"/>
              <w:bottom w:val="nil"/>
              <w:right w:val="single" w:sz="8" w:space="0" w:color="auto"/>
            </w:tcBorders>
            <w:shd w:val="clear" w:color="auto" w:fill="auto"/>
            <w:noWrap/>
            <w:vAlign w:val="center"/>
            <w:hideMark/>
          </w:tcPr>
          <w:p w14:paraId="4B9C99A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87.8 </w:t>
            </w:r>
          </w:p>
        </w:tc>
        <w:tc>
          <w:tcPr>
            <w:tcW w:w="1990" w:type="dxa"/>
            <w:tcBorders>
              <w:top w:val="single" w:sz="4" w:space="0" w:color="auto"/>
              <w:left w:val="nil"/>
              <w:bottom w:val="nil"/>
              <w:right w:val="single" w:sz="8" w:space="0" w:color="auto"/>
            </w:tcBorders>
            <w:shd w:val="clear" w:color="auto" w:fill="auto"/>
            <w:hideMark/>
          </w:tcPr>
          <w:p w14:paraId="51C0729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0.29%</w:t>
            </w:r>
          </w:p>
        </w:tc>
      </w:tr>
      <w:tr w:rsidR="008A5057" w:rsidRPr="00BD295E" w14:paraId="735B8BA4" w14:textId="77777777" w:rsidTr="004F279F">
        <w:trPr>
          <w:trHeight w:val="255"/>
        </w:trPr>
        <w:tc>
          <w:tcPr>
            <w:tcW w:w="1510" w:type="dxa"/>
            <w:vMerge/>
            <w:tcBorders>
              <w:top w:val="single" w:sz="8" w:space="0" w:color="auto"/>
              <w:left w:val="single" w:sz="8" w:space="0" w:color="auto"/>
              <w:bottom w:val="nil"/>
              <w:right w:val="single" w:sz="8" w:space="0" w:color="auto"/>
            </w:tcBorders>
            <w:shd w:val="clear" w:color="auto" w:fill="auto"/>
            <w:vAlign w:val="center"/>
            <w:hideMark/>
          </w:tcPr>
          <w:p w14:paraId="32080C9B" w14:textId="77777777" w:rsidR="00162DD0" w:rsidRPr="00BD295E" w:rsidRDefault="00162DD0" w:rsidP="00162DD0">
            <w:pPr>
              <w:rPr>
                <w:rFonts w:ascii="Arial" w:hAnsi="Arial" w:cs="Arial"/>
                <w:sz w:val="18"/>
                <w:szCs w:val="18"/>
                <w:lang w:val="en-US"/>
              </w:rPr>
            </w:pPr>
          </w:p>
        </w:tc>
        <w:tc>
          <w:tcPr>
            <w:tcW w:w="3900" w:type="dxa"/>
            <w:tcBorders>
              <w:top w:val="nil"/>
              <w:left w:val="nil"/>
              <w:bottom w:val="single" w:sz="4" w:space="0" w:color="auto"/>
              <w:right w:val="single" w:sz="8" w:space="0" w:color="auto"/>
            </w:tcBorders>
            <w:shd w:val="clear" w:color="auto" w:fill="auto"/>
            <w:noWrap/>
            <w:vAlign w:val="center"/>
            <w:hideMark/>
          </w:tcPr>
          <w:p w14:paraId="79D86415" w14:textId="77777777" w:rsidR="00162DD0" w:rsidRPr="00BD295E" w:rsidRDefault="008A5057" w:rsidP="00162DD0">
            <w:pPr>
              <w:ind w:firstLineChars="100" w:firstLine="180"/>
              <w:rPr>
                <w:rFonts w:ascii="Arial" w:hAnsi="Arial" w:cs="Arial"/>
                <w:sz w:val="18"/>
                <w:szCs w:val="18"/>
                <w:lang w:val="en-US"/>
              </w:rPr>
            </w:pPr>
            <w:r w:rsidRPr="00BD295E">
              <w:rPr>
                <w:rFonts w:ascii="Arial" w:hAnsi="Arial" w:cs="Arial"/>
                <w:sz w:val="18"/>
                <w:szCs w:val="18"/>
                <w:lang w:val="en-US"/>
              </w:rPr>
              <w:t>CJSC</w:t>
            </w:r>
            <w:r w:rsidR="004F279F" w:rsidRPr="00BD295E">
              <w:rPr>
                <w:rFonts w:ascii="Arial" w:hAnsi="Arial" w:cs="Arial"/>
                <w:sz w:val="18"/>
                <w:szCs w:val="18"/>
                <w:lang w:val="en-US"/>
              </w:rPr>
              <w:t xml:space="preserve"> “International Paper”</w:t>
            </w:r>
          </w:p>
        </w:tc>
        <w:tc>
          <w:tcPr>
            <w:tcW w:w="2280" w:type="dxa"/>
            <w:tcBorders>
              <w:top w:val="single" w:sz="4" w:space="0" w:color="auto"/>
              <w:left w:val="nil"/>
              <w:bottom w:val="nil"/>
              <w:right w:val="single" w:sz="8" w:space="0" w:color="auto"/>
            </w:tcBorders>
            <w:shd w:val="clear" w:color="auto" w:fill="auto"/>
            <w:noWrap/>
            <w:vAlign w:val="center"/>
            <w:hideMark/>
          </w:tcPr>
          <w:p w14:paraId="7D84684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545.8 </w:t>
            </w:r>
          </w:p>
        </w:tc>
        <w:tc>
          <w:tcPr>
            <w:tcW w:w="1990" w:type="dxa"/>
            <w:tcBorders>
              <w:top w:val="single" w:sz="4" w:space="0" w:color="auto"/>
              <w:left w:val="nil"/>
              <w:bottom w:val="nil"/>
              <w:right w:val="single" w:sz="8" w:space="0" w:color="auto"/>
            </w:tcBorders>
            <w:shd w:val="clear" w:color="auto" w:fill="auto"/>
            <w:hideMark/>
          </w:tcPr>
          <w:p w14:paraId="5BA2106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1.79%</w:t>
            </w:r>
          </w:p>
        </w:tc>
      </w:tr>
      <w:tr w:rsidR="008A5057" w:rsidRPr="00BD295E" w14:paraId="360DD9EF" w14:textId="77777777" w:rsidTr="004F279F">
        <w:trPr>
          <w:trHeight w:val="255"/>
        </w:trPr>
        <w:tc>
          <w:tcPr>
            <w:tcW w:w="1510" w:type="dxa"/>
            <w:vMerge/>
            <w:tcBorders>
              <w:top w:val="single" w:sz="8" w:space="0" w:color="auto"/>
              <w:left w:val="single" w:sz="8" w:space="0" w:color="auto"/>
              <w:bottom w:val="nil"/>
              <w:right w:val="single" w:sz="8" w:space="0" w:color="auto"/>
            </w:tcBorders>
            <w:shd w:val="clear" w:color="auto" w:fill="auto"/>
            <w:vAlign w:val="center"/>
            <w:hideMark/>
          </w:tcPr>
          <w:p w14:paraId="1A08FF14" w14:textId="77777777" w:rsidR="00162DD0" w:rsidRPr="00BD295E" w:rsidRDefault="00162DD0" w:rsidP="00162DD0">
            <w:pPr>
              <w:rPr>
                <w:rFonts w:ascii="Arial" w:hAnsi="Arial" w:cs="Arial"/>
                <w:sz w:val="18"/>
                <w:szCs w:val="18"/>
                <w:lang w:val="en-US"/>
              </w:rPr>
            </w:pPr>
          </w:p>
        </w:tc>
        <w:tc>
          <w:tcPr>
            <w:tcW w:w="3900" w:type="dxa"/>
            <w:tcBorders>
              <w:top w:val="single" w:sz="4" w:space="0" w:color="auto"/>
              <w:left w:val="nil"/>
              <w:bottom w:val="single" w:sz="4" w:space="0" w:color="auto"/>
              <w:right w:val="single" w:sz="8" w:space="0" w:color="auto"/>
            </w:tcBorders>
            <w:shd w:val="clear" w:color="auto" w:fill="auto"/>
            <w:noWrap/>
            <w:vAlign w:val="center"/>
            <w:hideMark/>
          </w:tcPr>
          <w:p w14:paraId="662E5657" w14:textId="77777777" w:rsidR="00162DD0" w:rsidRPr="00BD295E" w:rsidRDefault="004F279F" w:rsidP="004F279F">
            <w:pPr>
              <w:ind w:firstLineChars="100" w:firstLine="180"/>
              <w:rPr>
                <w:rFonts w:ascii="Arial" w:hAnsi="Arial" w:cs="Arial"/>
                <w:sz w:val="18"/>
                <w:szCs w:val="18"/>
                <w:lang w:val="en-US"/>
              </w:rPr>
            </w:pPr>
            <w:r w:rsidRPr="00BD295E">
              <w:rPr>
                <w:rFonts w:ascii="Arial" w:hAnsi="Arial" w:cs="Arial"/>
                <w:sz w:val="18"/>
                <w:szCs w:val="18"/>
                <w:lang w:val="en-US"/>
              </w:rPr>
              <w:t>LLC “</w:t>
            </w:r>
            <w:r w:rsidR="008A5057" w:rsidRPr="00BD295E">
              <w:rPr>
                <w:rFonts w:ascii="Arial" w:hAnsi="Arial" w:cs="Arial"/>
                <w:sz w:val="18"/>
                <w:szCs w:val="18"/>
                <w:lang w:val="en-US"/>
              </w:rPr>
              <w:t>PG Fosforit</w:t>
            </w:r>
            <w:r w:rsidRPr="00BD295E">
              <w:rPr>
                <w:rFonts w:ascii="Arial" w:hAnsi="Arial" w:cs="Arial"/>
                <w:sz w:val="18"/>
                <w:szCs w:val="18"/>
                <w:lang w:val="en-US"/>
              </w:rPr>
              <w:t>”</w:t>
            </w:r>
          </w:p>
        </w:tc>
        <w:tc>
          <w:tcPr>
            <w:tcW w:w="2280" w:type="dxa"/>
            <w:tcBorders>
              <w:top w:val="single" w:sz="4" w:space="0" w:color="auto"/>
              <w:left w:val="nil"/>
              <w:bottom w:val="nil"/>
              <w:right w:val="single" w:sz="8" w:space="0" w:color="auto"/>
            </w:tcBorders>
            <w:shd w:val="clear" w:color="auto" w:fill="auto"/>
            <w:noWrap/>
            <w:vAlign w:val="center"/>
            <w:hideMark/>
          </w:tcPr>
          <w:p w14:paraId="1AB32AA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60.4 </w:t>
            </w:r>
          </w:p>
        </w:tc>
        <w:tc>
          <w:tcPr>
            <w:tcW w:w="1990" w:type="dxa"/>
            <w:tcBorders>
              <w:top w:val="single" w:sz="4" w:space="0" w:color="auto"/>
              <w:left w:val="nil"/>
              <w:bottom w:val="nil"/>
              <w:right w:val="single" w:sz="8" w:space="0" w:color="auto"/>
            </w:tcBorders>
            <w:shd w:val="clear" w:color="auto" w:fill="auto"/>
            <w:hideMark/>
          </w:tcPr>
          <w:p w14:paraId="6678742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w:t>
            </w:r>
          </w:p>
        </w:tc>
      </w:tr>
      <w:tr w:rsidR="008A5057" w:rsidRPr="00BD295E" w14:paraId="5D7C2F4C" w14:textId="77777777" w:rsidTr="004F279F">
        <w:trPr>
          <w:trHeight w:val="270"/>
        </w:trPr>
        <w:tc>
          <w:tcPr>
            <w:tcW w:w="1510" w:type="dxa"/>
            <w:vMerge/>
            <w:tcBorders>
              <w:top w:val="single" w:sz="8" w:space="0" w:color="auto"/>
              <w:left w:val="single" w:sz="8" w:space="0" w:color="auto"/>
              <w:bottom w:val="nil"/>
              <w:right w:val="single" w:sz="8" w:space="0" w:color="auto"/>
            </w:tcBorders>
            <w:shd w:val="clear" w:color="auto" w:fill="auto"/>
            <w:vAlign w:val="center"/>
            <w:hideMark/>
          </w:tcPr>
          <w:p w14:paraId="4C6E7BC4" w14:textId="77777777" w:rsidR="00162DD0" w:rsidRPr="00BD295E" w:rsidRDefault="00162DD0" w:rsidP="00162DD0">
            <w:pPr>
              <w:rPr>
                <w:rFonts w:ascii="Arial" w:hAnsi="Arial" w:cs="Arial"/>
                <w:sz w:val="18"/>
                <w:szCs w:val="18"/>
                <w:lang w:val="en-US"/>
              </w:rPr>
            </w:pPr>
          </w:p>
        </w:tc>
        <w:tc>
          <w:tcPr>
            <w:tcW w:w="3900" w:type="dxa"/>
            <w:tcBorders>
              <w:top w:val="single" w:sz="4" w:space="0" w:color="auto"/>
              <w:left w:val="nil"/>
              <w:bottom w:val="single" w:sz="8" w:space="0" w:color="auto"/>
              <w:right w:val="single" w:sz="8" w:space="0" w:color="auto"/>
            </w:tcBorders>
            <w:shd w:val="clear" w:color="auto" w:fill="auto"/>
            <w:noWrap/>
            <w:vAlign w:val="center"/>
            <w:hideMark/>
          </w:tcPr>
          <w:p w14:paraId="458EF528" w14:textId="77777777" w:rsidR="00162DD0" w:rsidRPr="00BD295E" w:rsidRDefault="004F279F" w:rsidP="004F279F">
            <w:pPr>
              <w:ind w:firstLineChars="100" w:firstLine="180"/>
              <w:rPr>
                <w:rFonts w:ascii="Arial" w:hAnsi="Arial" w:cs="Arial"/>
                <w:sz w:val="18"/>
                <w:szCs w:val="18"/>
                <w:lang w:val="en-US"/>
              </w:rPr>
            </w:pPr>
            <w:r w:rsidRPr="00BD295E">
              <w:rPr>
                <w:rFonts w:ascii="Arial" w:hAnsi="Arial" w:cs="Arial"/>
                <w:sz w:val="18"/>
                <w:szCs w:val="18"/>
                <w:lang w:val="en-US"/>
              </w:rPr>
              <w:t xml:space="preserve">Aleksandrov </w:t>
            </w:r>
            <w:r w:rsidR="008A5057" w:rsidRPr="00BD295E">
              <w:rPr>
                <w:rFonts w:ascii="Arial" w:hAnsi="Arial" w:cs="Arial"/>
                <w:sz w:val="18"/>
                <w:szCs w:val="18"/>
                <w:lang w:val="en-US"/>
              </w:rPr>
              <w:t xml:space="preserve">FGUP NTI </w:t>
            </w:r>
          </w:p>
        </w:tc>
        <w:tc>
          <w:tcPr>
            <w:tcW w:w="2280" w:type="dxa"/>
            <w:tcBorders>
              <w:top w:val="single" w:sz="4" w:space="0" w:color="auto"/>
              <w:left w:val="nil"/>
              <w:bottom w:val="single" w:sz="8" w:space="0" w:color="auto"/>
              <w:right w:val="single" w:sz="8" w:space="0" w:color="auto"/>
            </w:tcBorders>
            <w:shd w:val="clear" w:color="auto" w:fill="auto"/>
            <w:noWrap/>
            <w:vAlign w:val="center"/>
            <w:hideMark/>
          </w:tcPr>
          <w:p w14:paraId="185FC90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47.3 </w:t>
            </w:r>
          </w:p>
        </w:tc>
        <w:tc>
          <w:tcPr>
            <w:tcW w:w="1990" w:type="dxa"/>
            <w:tcBorders>
              <w:top w:val="single" w:sz="4" w:space="0" w:color="auto"/>
              <w:left w:val="nil"/>
              <w:bottom w:val="single" w:sz="8" w:space="0" w:color="auto"/>
              <w:right w:val="single" w:sz="8" w:space="0" w:color="auto"/>
            </w:tcBorders>
            <w:shd w:val="clear" w:color="auto" w:fill="auto"/>
            <w:hideMark/>
          </w:tcPr>
          <w:p w14:paraId="2DB03F6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0.15%</w:t>
            </w:r>
          </w:p>
        </w:tc>
      </w:tr>
      <w:tr w:rsidR="008A5057" w:rsidRPr="00BD295E" w14:paraId="407BDF3D" w14:textId="77777777" w:rsidTr="00C90D08">
        <w:trPr>
          <w:trHeight w:val="360"/>
        </w:trPr>
        <w:tc>
          <w:tcPr>
            <w:tcW w:w="5410" w:type="dxa"/>
            <w:gridSpan w:val="2"/>
            <w:tcBorders>
              <w:top w:val="single" w:sz="8" w:space="0" w:color="auto"/>
              <w:left w:val="single" w:sz="8" w:space="0" w:color="auto"/>
              <w:bottom w:val="single" w:sz="8" w:space="0" w:color="auto"/>
              <w:right w:val="single" w:sz="8" w:space="0" w:color="000000"/>
            </w:tcBorders>
            <w:shd w:val="clear" w:color="auto" w:fill="auto"/>
            <w:hideMark/>
          </w:tcPr>
          <w:p w14:paraId="002F6642" w14:textId="77777777" w:rsidR="00162DD0" w:rsidRPr="00BD295E" w:rsidRDefault="008A5057" w:rsidP="004F279F">
            <w:pPr>
              <w:rPr>
                <w:rFonts w:ascii="Arial" w:hAnsi="Arial" w:cs="Arial"/>
                <w:sz w:val="18"/>
                <w:szCs w:val="18"/>
                <w:lang w:val="en-US"/>
              </w:rPr>
            </w:pPr>
            <w:r w:rsidRPr="00BD295E">
              <w:rPr>
                <w:rFonts w:ascii="Arial" w:hAnsi="Arial" w:cs="Arial"/>
                <w:sz w:val="18"/>
                <w:szCs w:val="18"/>
                <w:lang w:val="en-US"/>
              </w:rPr>
              <w:t xml:space="preserve">Total </w:t>
            </w:r>
            <w:r w:rsidR="004F279F" w:rsidRPr="00BD295E">
              <w:rPr>
                <w:rFonts w:ascii="Arial" w:hAnsi="Arial" w:cs="Arial"/>
                <w:sz w:val="18"/>
                <w:szCs w:val="18"/>
                <w:lang w:val="en-US"/>
              </w:rPr>
              <w:t>(</w:t>
            </w:r>
            <w:r w:rsidRPr="00BD295E">
              <w:rPr>
                <w:rFonts w:ascii="Arial" w:hAnsi="Arial" w:cs="Arial"/>
                <w:sz w:val="18"/>
                <w:szCs w:val="18"/>
                <w:lang w:val="en-US"/>
              </w:rPr>
              <w:t>major consumers</w:t>
            </w:r>
            <w:r w:rsidR="004F279F" w:rsidRPr="00BD295E">
              <w:rPr>
                <w:rFonts w:ascii="Arial" w:hAnsi="Arial" w:cs="Arial"/>
                <w:sz w:val="18"/>
                <w:szCs w:val="18"/>
                <w:lang w:val="en-US"/>
              </w:rPr>
              <w:t>):</w:t>
            </w:r>
          </w:p>
        </w:tc>
        <w:tc>
          <w:tcPr>
            <w:tcW w:w="2280" w:type="dxa"/>
            <w:tcBorders>
              <w:top w:val="nil"/>
              <w:left w:val="nil"/>
              <w:bottom w:val="single" w:sz="8" w:space="0" w:color="auto"/>
              <w:right w:val="single" w:sz="8" w:space="0" w:color="auto"/>
            </w:tcBorders>
            <w:shd w:val="clear" w:color="auto" w:fill="auto"/>
            <w:hideMark/>
          </w:tcPr>
          <w:p w14:paraId="357297D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xml:space="preserve">2,827.3 </w:t>
            </w:r>
          </w:p>
        </w:tc>
        <w:tc>
          <w:tcPr>
            <w:tcW w:w="1990" w:type="dxa"/>
            <w:tcBorders>
              <w:top w:val="nil"/>
              <w:left w:val="nil"/>
              <w:bottom w:val="single" w:sz="8" w:space="0" w:color="auto"/>
              <w:right w:val="single" w:sz="8" w:space="0" w:color="auto"/>
            </w:tcBorders>
            <w:shd w:val="clear" w:color="auto" w:fill="auto"/>
            <w:hideMark/>
          </w:tcPr>
          <w:p w14:paraId="0836FC5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9.25%</w:t>
            </w:r>
          </w:p>
        </w:tc>
      </w:tr>
    </w:tbl>
    <w:p w14:paraId="6B2FF921" w14:textId="77777777" w:rsidR="00162DD0" w:rsidRPr="00BD295E" w:rsidRDefault="00162DD0" w:rsidP="00162DD0">
      <w:pPr>
        <w:ind w:firstLine="567"/>
        <w:jc w:val="both"/>
        <w:rPr>
          <w:rFonts w:ascii="Arial" w:hAnsi="Arial" w:cs="Arial"/>
          <w:bCs/>
          <w:sz w:val="18"/>
          <w:szCs w:val="18"/>
          <w:lang w:val="en-US"/>
        </w:rPr>
      </w:pPr>
    </w:p>
    <w:p w14:paraId="2A755C41" w14:textId="77777777" w:rsidR="00162DD0" w:rsidRPr="00BD295E" w:rsidRDefault="008A5057" w:rsidP="000E42B1">
      <w:pPr>
        <w:jc w:val="both"/>
        <w:rPr>
          <w:rFonts w:ascii="Arial" w:hAnsi="Arial" w:cs="Arial"/>
          <w:bCs/>
          <w:sz w:val="18"/>
          <w:szCs w:val="18"/>
          <w:lang w:val="en-US"/>
        </w:rPr>
      </w:pPr>
      <w:r w:rsidRPr="00BD295E">
        <w:rPr>
          <w:rFonts w:ascii="Arial" w:hAnsi="Arial" w:cs="Arial"/>
          <w:bCs/>
          <w:sz w:val="18"/>
          <w:szCs w:val="18"/>
          <w:lang w:val="en-US"/>
        </w:rPr>
        <w:t>The table shows electricity consumption only for major industrial consumers in Saint Petersburg and the Leningrad Region. For the two regions in total, the number of consumers with installed capacity over 670 kW is about 2,300.</w:t>
      </w:r>
    </w:p>
    <w:p w14:paraId="7360E76D" w14:textId="77777777" w:rsidR="00162DD0" w:rsidRPr="00BD295E" w:rsidRDefault="00162DD0" w:rsidP="00162DD0">
      <w:pPr>
        <w:ind w:firstLine="567"/>
        <w:jc w:val="both"/>
        <w:rPr>
          <w:rFonts w:ascii="Arial" w:hAnsi="Arial" w:cs="Arial"/>
          <w:bCs/>
          <w:sz w:val="18"/>
          <w:szCs w:val="18"/>
          <w:lang w:val="en-US"/>
        </w:rPr>
      </w:pPr>
    </w:p>
    <w:p w14:paraId="679B3B2E" w14:textId="77777777" w:rsidR="00162DD0" w:rsidRPr="00BD295E" w:rsidRDefault="008A5057" w:rsidP="00162DD0">
      <w:pPr>
        <w:tabs>
          <w:tab w:val="left" w:pos="0"/>
        </w:tabs>
        <w:jc w:val="center"/>
        <w:rPr>
          <w:rFonts w:ascii="Arial" w:hAnsi="Arial" w:cs="Arial"/>
          <w:b/>
          <w:bCs/>
          <w:sz w:val="18"/>
          <w:szCs w:val="18"/>
          <w:lang w:val="en-US"/>
        </w:rPr>
      </w:pPr>
      <w:bookmarkStart w:id="183" w:name="_Toc410809523"/>
      <w:r w:rsidRPr="00BD295E">
        <w:rPr>
          <w:rFonts w:ascii="Arial" w:hAnsi="Arial" w:cs="Arial"/>
          <w:b/>
          <w:bCs/>
          <w:sz w:val="18"/>
          <w:szCs w:val="18"/>
          <w:lang w:val="en-US"/>
        </w:rPr>
        <w:t>Electricity losses Energy saving and energy efficiency program.</w:t>
      </w:r>
      <w:bookmarkEnd w:id="183"/>
    </w:p>
    <w:p w14:paraId="493A33D8" w14:textId="77777777" w:rsidR="00162DD0" w:rsidRPr="00BD295E" w:rsidRDefault="00162DD0" w:rsidP="00162DD0">
      <w:pPr>
        <w:ind w:firstLine="720"/>
        <w:jc w:val="center"/>
        <w:rPr>
          <w:rFonts w:ascii="Arial" w:hAnsi="Arial" w:cs="Arial"/>
          <w:b/>
          <w:sz w:val="18"/>
          <w:szCs w:val="18"/>
          <w:lang w:val="en-US"/>
        </w:rPr>
      </w:pPr>
    </w:p>
    <w:p w14:paraId="58E3C108" w14:textId="77777777" w:rsidR="00162DD0" w:rsidRPr="00BD295E" w:rsidRDefault="008A5057" w:rsidP="00162DD0">
      <w:pPr>
        <w:ind w:firstLine="720"/>
        <w:jc w:val="center"/>
        <w:rPr>
          <w:rFonts w:ascii="Arial" w:hAnsi="Arial" w:cs="Arial"/>
          <w:sz w:val="18"/>
          <w:szCs w:val="18"/>
          <w:lang w:val="en-US"/>
        </w:rPr>
      </w:pPr>
      <w:r w:rsidRPr="00BD295E">
        <w:rPr>
          <w:rFonts w:ascii="Arial" w:hAnsi="Arial" w:cs="Arial"/>
          <w:sz w:val="18"/>
          <w:szCs w:val="18"/>
          <w:lang w:val="en-US"/>
        </w:rPr>
        <w:t>Electricity losses in 2016–2018</w:t>
      </w:r>
    </w:p>
    <w:tbl>
      <w:tblPr>
        <w:tblW w:w="9814" w:type="dxa"/>
        <w:tblInd w:w="93" w:type="dxa"/>
        <w:tblLook w:val="04A0" w:firstRow="1" w:lastRow="0" w:firstColumn="1" w:lastColumn="0" w:noHBand="0" w:noVBand="1"/>
      </w:tblPr>
      <w:tblGrid>
        <w:gridCol w:w="2280"/>
        <w:gridCol w:w="1039"/>
        <w:gridCol w:w="876"/>
        <w:gridCol w:w="1021"/>
        <w:gridCol w:w="876"/>
        <w:gridCol w:w="1094"/>
        <w:gridCol w:w="876"/>
        <w:gridCol w:w="876"/>
        <w:gridCol w:w="876"/>
      </w:tblGrid>
      <w:tr w:rsidR="008A5057" w:rsidRPr="00BD295E" w14:paraId="3AAF9467" w14:textId="77777777" w:rsidTr="00162DD0">
        <w:trPr>
          <w:trHeight w:val="561"/>
        </w:trPr>
        <w:tc>
          <w:tcPr>
            <w:tcW w:w="228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3471286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Branch</w:t>
            </w:r>
          </w:p>
        </w:tc>
        <w:tc>
          <w:tcPr>
            <w:tcW w:w="1915" w:type="dxa"/>
            <w:gridSpan w:val="2"/>
            <w:tcBorders>
              <w:top w:val="single" w:sz="4" w:space="0" w:color="auto"/>
              <w:left w:val="nil"/>
              <w:bottom w:val="single" w:sz="4" w:space="0" w:color="auto"/>
              <w:right w:val="single" w:sz="4" w:space="0" w:color="auto"/>
            </w:tcBorders>
            <w:shd w:val="clear" w:color="auto" w:fill="auto"/>
            <w:vAlign w:val="bottom"/>
            <w:hideMark/>
          </w:tcPr>
          <w:p w14:paraId="7427986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2016</w:t>
            </w:r>
          </w:p>
        </w:tc>
        <w:tc>
          <w:tcPr>
            <w:tcW w:w="1897" w:type="dxa"/>
            <w:gridSpan w:val="2"/>
            <w:tcBorders>
              <w:top w:val="single" w:sz="4" w:space="0" w:color="auto"/>
              <w:left w:val="nil"/>
              <w:bottom w:val="single" w:sz="4" w:space="0" w:color="auto"/>
              <w:right w:val="single" w:sz="4" w:space="0" w:color="auto"/>
            </w:tcBorders>
            <w:shd w:val="clear" w:color="auto" w:fill="auto"/>
            <w:vAlign w:val="bottom"/>
            <w:hideMark/>
          </w:tcPr>
          <w:p w14:paraId="2E0DE4C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2017</w:t>
            </w:r>
          </w:p>
        </w:tc>
        <w:tc>
          <w:tcPr>
            <w:tcW w:w="1970" w:type="dxa"/>
            <w:gridSpan w:val="2"/>
            <w:tcBorders>
              <w:top w:val="single" w:sz="4" w:space="0" w:color="auto"/>
              <w:left w:val="nil"/>
              <w:bottom w:val="single" w:sz="4" w:space="0" w:color="auto"/>
              <w:right w:val="single" w:sz="4" w:space="0" w:color="auto"/>
            </w:tcBorders>
            <w:shd w:val="clear" w:color="auto" w:fill="auto"/>
            <w:vAlign w:val="bottom"/>
            <w:hideMark/>
          </w:tcPr>
          <w:p w14:paraId="660FA0C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2018</w:t>
            </w:r>
          </w:p>
        </w:tc>
        <w:tc>
          <w:tcPr>
            <w:tcW w:w="1752" w:type="dxa"/>
            <w:gridSpan w:val="2"/>
            <w:tcBorders>
              <w:top w:val="single" w:sz="4" w:space="0" w:color="auto"/>
              <w:left w:val="nil"/>
              <w:bottom w:val="single" w:sz="4" w:space="0" w:color="auto"/>
              <w:right w:val="single" w:sz="4" w:space="0" w:color="auto"/>
            </w:tcBorders>
            <w:shd w:val="clear" w:color="auto" w:fill="auto"/>
            <w:vAlign w:val="bottom"/>
            <w:hideMark/>
          </w:tcPr>
          <w:p w14:paraId="0096F7D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Change 2018/2017</w:t>
            </w:r>
          </w:p>
        </w:tc>
      </w:tr>
      <w:tr w:rsidR="008A5057" w:rsidRPr="00BD295E" w14:paraId="3EA4C4E1" w14:textId="77777777" w:rsidTr="00162DD0">
        <w:trPr>
          <w:trHeight w:val="330"/>
        </w:trPr>
        <w:tc>
          <w:tcPr>
            <w:tcW w:w="22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CDD1951" w14:textId="77777777" w:rsidR="00162DD0" w:rsidRPr="00BD295E" w:rsidRDefault="00162DD0" w:rsidP="00162DD0">
            <w:pPr>
              <w:rPr>
                <w:rFonts w:ascii="Arial" w:hAnsi="Arial" w:cs="Arial"/>
                <w:sz w:val="18"/>
                <w:szCs w:val="18"/>
                <w:lang w:val="en-US"/>
              </w:rPr>
            </w:pPr>
          </w:p>
        </w:tc>
        <w:tc>
          <w:tcPr>
            <w:tcW w:w="1039" w:type="dxa"/>
            <w:tcBorders>
              <w:top w:val="nil"/>
              <w:left w:val="nil"/>
              <w:bottom w:val="single" w:sz="4" w:space="0" w:color="auto"/>
              <w:right w:val="single" w:sz="4" w:space="0" w:color="auto"/>
            </w:tcBorders>
            <w:shd w:val="clear" w:color="auto" w:fill="auto"/>
            <w:vAlign w:val="bottom"/>
            <w:hideMark/>
          </w:tcPr>
          <w:p w14:paraId="4921454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million kWh</w:t>
            </w:r>
          </w:p>
        </w:tc>
        <w:tc>
          <w:tcPr>
            <w:tcW w:w="876" w:type="dxa"/>
            <w:tcBorders>
              <w:top w:val="nil"/>
              <w:left w:val="nil"/>
              <w:bottom w:val="single" w:sz="4" w:space="0" w:color="auto"/>
              <w:right w:val="single" w:sz="4" w:space="0" w:color="auto"/>
            </w:tcBorders>
            <w:shd w:val="clear" w:color="auto" w:fill="auto"/>
            <w:vAlign w:val="bottom"/>
            <w:hideMark/>
          </w:tcPr>
          <w:p w14:paraId="1C6C144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w:t>
            </w:r>
          </w:p>
        </w:tc>
        <w:tc>
          <w:tcPr>
            <w:tcW w:w="1021" w:type="dxa"/>
            <w:tcBorders>
              <w:top w:val="nil"/>
              <w:left w:val="nil"/>
              <w:bottom w:val="single" w:sz="4" w:space="0" w:color="auto"/>
              <w:right w:val="single" w:sz="4" w:space="0" w:color="auto"/>
            </w:tcBorders>
            <w:shd w:val="clear" w:color="auto" w:fill="auto"/>
            <w:vAlign w:val="bottom"/>
            <w:hideMark/>
          </w:tcPr>
          <w:p w14:paraId="7953C7C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million kWh</w:t>
            </w:r>
          </w:p>
        </w:tc>
        <w:tc>
          <w:tcPr>
            <w:tcW w:w="876" w:type="dxa"/>
            <w:tcBorders>
              <w:top w:val="nil"/>
              <w:left w:val="nil"/>
              <w:bottom w:val="single" w:sz="4" w:space="0" w:color="auto"/>
              <w:right w:val="single" w:sz="4" w:space="0" w:color="auto"/>
            </w:tcBorders>
            <w:shd w:val="clear" w:color="auto" w:fill="auto"/>
            <w:vAlign w:val="bottom"/>
            <w:hideMark/>
          </w:tcPr>
          <w:p w14:paraId="1E25110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w:t>
            </w:r>
          </w:p>
        </w:tc>
        <w:tc>
          <w:tcPr>
            <w:tcW w:w="1094" w:type="dxa"/>
            <w:tcBorders>
              <w:top w:val="nil"/>
              <w:left w:val="nil"/>
              <w:bottom w:val="single" w:sz="4" w:space="0" w:color="auto"/>
              <w:right w:val="single" w:sz="4" w:space="0" w:color="auto"/>
            </w:tcBorders>
            <w:shd w:val="clear" w:color="auto" w:fill="auto"/>
            <w:vAlign w:val="bottom"/>
            <w:hideMark/>
          </w:tcPr>
          <w:p w14:paraId="0F0A7E9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million kWh</w:t>
            </w:r>
          </w:p>
        </w:tc>
        <w:tc>
          <w:tcPr>
            <w:tcW w:w="876" w:type="dxa"/>
            <w:tcBorders>
              <w:top w:val="nil"/>
              <w:left w:val="nil"/>
              <w:bottom w:val="single" w:sz="4" w:space="0" w:color="auto"/>
              <w:right w:val="single" w:sz="4" w:space="0" w:color="auto"/>
            </w:tcBorders>
            <w:shd w:val="clear" w:color="auto" w:fill="auto"/>
            <w:vAlign w:val="bottom"/>
            <w:hideMark/>
          </w:tcPr>
          <w:p w14:paraId="20A6A91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w:t>
            </w:r>
          </w:p>
        </w:tc>
        <w:tc>
          <w:tcPr>
            <w:tcW w:w="876" w:type="dxa"/>
            <w:tcBorders>
              <w:top w:val="nil"/>
              <w:left w:val="nil"/>
              <w:bottom w:val="single" w:sz="4" w:space="0" w:color="auto"/>
              <w:right w:val="single" w:sz="4" w:space="0" w:color="auto"/>
            </w:tcBorders>
            <w:shd w:val="clear" w:color="auto" w:fill="auto"/>
            <w:vAlign w:val="bottom"/>
            <w:hideMark/>
          </w:tcPr>
          <w:p w14:paraId="34B2A3F7"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w:t>
            </w:r>
          </w:p>
        </w:tc>
        <w:tc>
          <w:tcPr>
            <w:tcW w:w="876" w:type="dxa"/>
            <w:tcBorders>
              <w:top w:val="nil"/>
              <w:left w:val="nil"/>
              <w:bottom w:val="single" w:sz="4" w:space="0" w:color="auto"/>
              <w:right w:val="single" w:sz="4" w:space="0" w:color="auto"/>
            </w:tcBorders>
            <w:shd w:val="clear" w:color="auto" w:fill="auto"/>
            <w:vAlign w:val="bottom"/>
            <w:hideMark/>
          </w:tcPr>
          <w:p w14:paraId="4448F9D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p.p.</w:t>
            </w:r>
          </w:p>
        </w:tc>
      </w:tr>
      <w:tr w:rsidR="008A5057" w:rsidRPr="00BD295E" w14:paraId="27FD3C5E" w14:textId="77777777" w:rsidTr="00162DD0">
        <w:trPr>
          <w:trHeight w:val="494"/>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221D28A" w14:textId="77777777" w:rsidR="00162DD0" w:rsidRPr="00BD295E" w:rsidRDefault="008A5057" w:rsidP="00162DD0">
            <w:pPr>
              <w:jc w:val="both"/>
              <w:rPr>
                <w:rFonts w:ascii="Arial" w:hAnsi="Arial" w:cs="Arial"/>
                <w:sz w:val="18"/>
                <w:szCs w:val="18"/>
                <w:lang w:val="en-US"/>
              </w:rPr>
            </w:pPr>
            <w:r w:rsidRPr="00BD295E">
              <w:rPr>
                <w:rFonts w:ascii="Arial" w:hAnsi="Arial" w:cs="Arial"/>
                <w:sz w:val="18"/>
                <w:szCs w:val="18"/>
                <w:lang w:val="en-US"/>
              </w:rPr>
              <w:t>Saint Petersburg</w:t>
            </w:r>
          </w:p>
        </w:tc>
        <w:tc>
          <w:tcPr>
            <w:tcW w:w="10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96DA10"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2,609.57</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1438812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12.15%</w:t>
            </w:r>
          </w:p>
        </w:tc>
        <w:tc>
          <w:tcPr>
            <w:tcW w:w="1021" w:type="dxa"/>
            <w:tcBorders>
              <w:top w:val="single" w:sz="4" w:space="0" w:color="auto"/>
              <w:left w:val="nil"/>
              <w:bottom w:val="single" w:sz="4" w:space="0" w:color="auto"/>
              <w:right w:val="single" w:sz="4" w:space="0" w:color="auto"/>
            </w:tcBorders>
            <w:shd w:val="clear" w:color="auto" w:fill="auto"/>
            <w:noWrap/>
            <w:vAlign w:val="bottom"/>
            <w:hideMark/>
          </w:tcPr>
          <w:p w14:paraId="56BFEAB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2,827.54</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1B9C731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12.95%</w:t>
            </w:r>
          </w:p>
        </w:tc>
        <w:tc>
          <w:tcPr>
            <w:tcW w:w="1094" w:type="dxa"/>
            <w:tcBorders>
              <w:top w:val="single" w:sz="4" w:space="0" w:color="auto"/>
              <w:left w:val="nil"/>
              <w:bottom w:val="single" w:sz="4" w:space="0" w:color="auto"/>
              <w:right w:val="single" w:sz="4" w:space="0" w:color="auto"/>
            </w:tcBorders>
            <w:shd w:val="clear" w:color="auto" w:fill="auto"/>
            <w:noWrap/>
            <w:vAlign w:val="bottom"/>
            <w:hideMark/>
          </w:tcPr>
          <w:p w14:paraId="5BF8999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2,788.05</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6B2A0ED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12.56%</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478798F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-1.4%</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3804B76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-0.40%</w:t>
            </w:r>
          </w:p>
        </w:tc>
      </w:tr>
      <w:tr w:rsidR="008A5057" w:rsidRPr="00BD295E" w14:paraId="1BC1C130" w14:textId="77777777" w:rsidTr="00162DD0">
        <w:trPr>
          <w:trHeight w:val="578"/>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901BA57" w14:textId="77777777" w:rsidR="00162DD0" w:rsidRPr="00BD295E" w:rsidRDefault="008A5057" w:rsidP="00162DD0">
            <w:pPr>
              <w:jc w:val="both"/>
              <w:rPr>
                <w:rFonts w:ascii="Arial" w:hAnsi="Arial" w:cs="Arial"/>
                <w:sz w:val="18"/>
                <w:szCs w:val="18"/>
                <w:lang w:val="en-US"/>
              </w:rPr>
            </w:pPr>
            <w:r w:rsidRPr="00BD295E">
              <w:rPr>
                <w:rFonts w:ascii="Arial" w:hAnsi="Arial" w:cs="Arial"/>
                <w:sz w:val="18"/>
                <w:szCs w:val="18"/>
                <w:lang w:val="en-US"/>
              </w:rPr>
              <w:t>Leningrad Region</w:t>
            </w:r>
          </w:p>
        </w:tc>
        <w:tc>
          <w:tcPr>
            <w:tcW w:w="1039" w:type="dxa"/>
            <w:tcBorders>
              <w:top w:val="nil"/>
              <w:left w:val="single" w:sz="4" w:space="0" w:color="auto"/>
              <w:bottom w:val="single" w:sz="4" w:space="0" w:color="auto"/>
              <w:right w:val="single" w:sz="4" w:space="0" w:color="auto"/>
            </w:tcBorders>
            <w:shd w:val="clear" w:color="auto" w:fill="auto"/>
            <w:noWrap/>
            <w:vAlign w:val="bottom"/>
            <w:hideMark/>
          </w:tcPr>
          <w:p w14:paraId="12566D6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1,330.13</w:t>
            </w:r>
          </w:p>
        </w:tc>
        <w:tc>
          <w:tcPr>
            <w:tcW w:w="876" w:type="dxa"/>
            <w:tcBorders>
              <w:top w:val="nil"/>
              <w:left w:val="nil"/>
              <w:bottom w:val="single" w:sz="4" w:space="0" w:color="auto"/>
              <w:right w:val="single" w:sz="4" w:space="0" w:color="auto"/>
            </w:tcBorders>
            <w:shd w:val="clear" w:color="auto" w:fill="auto"/>
            <w:noWrap/>
            <w:vAlign w:val="bottom"/>
            <w:hideMark/>
          </w:tcPr>
          <w:p w14:paraId="18B0D5E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10.49%</w:t>
            </w:r>
          </w:p>
        </w:tc>
        <w:tc>
          <w:tcPr>
            <w:tcW w:w="1021" w:type="dxa"/>
            <w:tcBorders>
              <w:top w:val="nil"/>
              <w:left w:val="nil"/>
              <w:bottom w:val="single" w:sz="4" w:space="0" w:color="auto"/>
              <w:right w:val="single" w:sz="4" w:space="0" w:color="auto"/>
            </w:tcBorders>
            <w:shd w:val="clear" w:color="auto" w:fill="auto"/>
            <w:noWrap/>
            <w:vAlign w:val="bottom"/>
            <w:hideMark/>
          </w:tcPr>
          <w:p w14:paraId="530BAB1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1,365.66</w:t>
            </w:r>
          </w:p>
        </w:tc>
        <w:tc>
          <w:tcPr>
            <w:tcW w:w="876" w:type="dxa"/>
            <w:tcBorders>
              <w:top w:val="nil"/>
              <w:left w:val="nil"/>
              <w:bottom w:val="single" w:sz="4" w:space="0" w:color="auto"/>
              <w:right w:val="single" w:sz="4" w:space="0" w:color="auto"/>
            </w:tcBorders>
            <w:shd w:val="clear" w:color="auto" w:fill="auto"/>
            <w:noWrap/>
            <w:vAlign w:val="bottom"/>
            <w:hideMark/>
          </w:tcPr>
          <w:p w14:paraId="01AF112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10.53%</w:t>
            </w:r>
          </w:p>
        </w:tc>
        <w:tc>
          <w:tcPr>
            <w:tcW w:w="1094" w:type="dxa"/>
            <w:tcBorders>
              <w:top w:val="nil"/>
              <w:left w:val="nil"/>
              <w:bottom w:val="single" w:sz="4" w:space="0" w:color="auto"/>
              <w:right w:val="single" w:sz="4" w:space="0" w:color="auto"/>
            </w:tcBorders>
            <w:shd w:val="clear" w:color="auto" w:fill="auto"/>
            <w:noWrap/>
            <w:vAlign w:val="bottom"/>
            <w:hideMark/>
          </w:tcPr>
          <w:p w14:paraId="34310A4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1,374.12</w:t>
            </w:r>
          </w:p>
        </w:tc>
        <w:tc>
          <w:tcPr>
            <w:tcW w:w="876" w:type="dxa"/>
            <w:tcBorders>
              <w:top w:val="nil"/>
              <w:left w:val="nil"/>
              <w:bottom w:val="single" w:sz="4" w:space="0" w:color="auto"/>
              <w:right w:val="single" w:sz="4" w:space="0" w:color="auto"/>
            </w:tcBorders>
            <w:shd w:val="clear" w:color="auto" w:fill="auto"/>
            <w:noWrap/>
            <w:vAlign w:val="bottom"/>
            <w:hideMark/>
          </w:tcPr>
          <w:p w14:paraId="5864708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10.29%</w:t>
            </w:r>
          </w:p>
        </w:tc>
        <w:tc>
          <w:tcPr>
            <w:tcW w:w="876" w:type="dxa"/>
            <w:tcBorders>
              <w:top w:val="nil"/>
              <w:left w:val="nil"/>
              <w:bottom w:val="single" w:sz="4" w:space="0" w:color="auto"/>
              <w:right w:val="single" w:sz="4" w:space="0" w:color="auto"/>
            </w:tcBorders>
            <w:shd w:val="clear" w:color="auto" w:fill="auto"/>
            <w:noWrap/>
            <w:vAlign w:val="bottom"/>
            <w:hideMark/>
          </w:tcPr>
          <w:p w14:paraId="203EE6D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0.6%</w:t>
            </w:r>
          </w:p>
        </w:tc>
        <w:tc>
          <w:tcPr>
            <w:tcW w:w="876" w:type="dxa"/>
            <w:tcBorders>
              <w:top w:val="nil"/>
              <w:left w:val="nil"/>
              <w:bottom w:val="single" w:sz="4" w:space="0" w:color="auto"/>
              <w:right w:val="single" w:sz="4" w:space="0" w:color="auto"/>
            </w:tcBorders>
            <w:shd w:val="clear" w:color="auto" w:fill="auto"/>
            <w:noWrap/>
            <w:vAlign w:val="bottom"/>
            <w:hideMark/>
          </w:tcPr>
          <w:p w14:paraId="282B2F4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-0.24%</w:t>
            </w:r>
          </w:p>
        </w:tc>
      </w:tr>
      <w:tr w:rsidR="008A5057" w:rsidRPr="00BD295E" w14:paraId="1CD0C614" w14:textId="77777777" w:rsidTr="00162DD0">
        <w:trPr>
          <w:trHeight w:val="478"/>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31D14B8" w14:textId="77777777" w:rsidR="00162DD0" w:rsidRPr="00BD295E" w:rsidRDefault="00EE5753" w:rsidP="00162DD0">
            <w:pPr>
              <w:jc w:val="both"/>
              <w:rPr>
                <w:rFonts w:ascii="Arial" w:hAnsi="Arial" w:cs="Arial"/>
                <w:sz w:val="18"/>
                <w:szCs w:val="18"/>
                <w:lang w:val="en-US"/>
              </w:rPr>
            </w:pPr>
            <w:r w:rsidRPr="00BD295E">
              <w:rPr>
                <w:rFonts w:ascii="Arial" w:hAnsi="Arial" w:cs="Arial"/>
                <w:sz w:val="18"/>
                <w:szCs w:val="18"/>
                <w:lang w:val="en-US"/>
              </w:rPr>
              <w:t>PJSC “Lenenergo”</w:t>
            </w:r>
          </w:p>
        </w:tc>
        <w:tc>
          <w:tcPr>
            <w:tcW w:w="1039" w:type="dxa"/>
            <w:tcBorders>
              <w:top w:val="nil"/>
              <w:left w:val="single" w:sz="4" w:space="0" w:color="auto"/>
              <w:bottom w:val="single" w:sz="4" w:space="0" w:color="auto"/>
              <w:right w:val="single" w:sz="4" w:space="0" w:color="auto"/>
            </w:tcBorders>
            <w:shd w:val="clear" w:color="auto" w:fill="auto"/>
            <w:noWrap/>
            <w:vAlign w:val="bottom"/>
            <w:hideMark/>
          </w:tcPr>
          <w:p w14:paraId="3DB0BF38"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3,939.70</w:t>
            </w:r>
          </w:p>
        </w:tc>
        <w:tc>
          <w:tcPr>
            <w:tcW w:w="876" w:type="dxa"/>
            <w:tcBorders>
              <w:top w:val="nil"/>
              <w:left w:val="nil"/>
              <w:bottom w:val="single" w:sz="4" w:space="0" w:color="auto"/>
              <w:right w:val="single" w:sz="4" w:space="0" w:color="auto"/>
            </w:tcBorders>
            <w:shd w:val="clear" w:color="auto" w:fill="auto"/>
            <w:noWrap/>
            <w:vAlign w:val="bottom"/>
            <w:hideMark/>
          </w:tcPr>
          <w:p w14:paraId="40A4A23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11.53%</w:t>
            </w:r>
          </w:p>
        </w:tc>
        <w:tc>
          <w:tcPr>
            <w:tcW w:w="1021" w:type="dxa"/>
            <w:tcBorders>
              <w:top w:val="nil"/>
              <w:left w:val="nil"/>
              <w:bottom w:val="single" w:sz="4" w:space="0" w:color="auto"/>
              <w:right w:val="single" w:sz="4" w:space="0" w:color="auto"/>
            </w:tcBorders>
            <w:shd w:val="clear" w:color="auto" w:fill="auto"/>
            <w:noWrap/>
            <w:vAlign w:val="bottom"/>
            <w:hideMark/>
          </w:tcPr>
          <w:p w14:paraId="06F097F0"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4,193.20</w:t>
            </w:r>
          </w:p>
        </w:tc>
        <w:tc>
          <w:tcPr>
            <w:tcW w:w="876" w:type="dxa"/>
            <w:tcBorders>
              <w:top w:val="nil"/>
              <w:left w:val="nil"/>
              <w:bottom w:val="single" w:sz="4" w:space="0" w:color="auto"/>
              <w:right w:val="single" w:sz="4" w:space="0" w:color="auto"/>
            </w:tcBorders>
            <w:shd w:val="clear" w:color="auto" w:fill="auto"/>
            <w:noWrap/>
            <w:vAlign w:val="bottom"/>
            <w:hideMark/>
          </w:tcPr>
          <w:p w14:paraId="5701983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12.05%</w:t>
            </w:r>
          </w:p>
        </w:tc>
        <w:tc>
          <w:tcPr>
            <w:tcW w:w="1094" w:type="dxa"/>
            <w:tcBorders>
              <w:top w:val="nil"/>
              <w:left w:val="nil"/>
              <w:bottom w:val="single" w:sz="4" w:space="0" w:color="auto"/>
              <w:right w:val="single" w:sz="4" w:space="0" w:color="auto"/>
            </w:tcBorders>
            <w:shd w:val="clear" w:color="auto" w:fill="auto"/>
            <w:noWrap/>
            <w:vAlign w:val="bottom"/>
            <w:hideMark/>
          </w:tcPr>
          <w:p w14:paraId="733A7C5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4,162.17</w:t>
            </w:r>
          </w:p>
        </w:tc>
        <w:tc>
          <w:tcPr>
            <w:tcW w:w="876" w:type="dxa"/>
            <w:tcBorders>
              <w:top w:val="nil"/>
              <w:left w:val="nil"/>
              <w:bottom w:val="single" w:sz="4" w:space="0" w:color="auto"/>
              <w:right w:val="single" w:sz="4" w:space="0" w:color="auto"/>
            </w:tcBorders>
            <w:shd w:val="clear" w:color="auto" w:fill="auto"/>
            <w:noWrap/>
            <w:vAlign w:val="bottom"/>
            <w:hideMark/>
          </w:tcPr>
          <w:p w14:paraId="25C1963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12.56%</w:t>
            </w:r>
          </w:p>
        </w:tc>
        <w:tc>
          <w:tcPr>
            <w:tcW w:w="876" w:type="dxa"/>
            <w:tcBorders>
              <w:top w:val="nil"/>
              <w:left w:val="nil"/>
              <w:bottom w:val="single" w:sz="4" w:space="0" w:color="auto"/>
              <w:right w:val="single" w:sz="4" w:space="0" w:color="auto"/>
            </w:tcBorders>
            <w:shd w:val="clear" w:color="auto" w:fill="auto"/>
            <w:noWrap/>
            <w:vAlign w:val="bottom"/>
            <w:hideMark/>
          </w:tcPr>
          <w:p w14:paraId="0EAD5A4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-0.7%</w:t>
            </w:r>
          </w:p>
        </w:tc>
        <w:tc>
          <w:tcPr>
            <w:tcW w:w="876" w:type="dxa"/>
            <w:tcBorders>
              <w:top w:val="nil"/>
              <w:left w:val="nil"/>
              <w:bottom w:val="single" w:sz="4" w:space="0" w:color="auto"/>
              <w:right w:val="single" w:sz="4" w:space="0" w:color="auto"/>
            </w:tcBorders>
            <w:shd w:val="clear" w:color="auto" w:fill="auto"/>
            <w:noWrap/>
            <w:vAlign w:val="bottom"/>
            <w:hideMark/>
          </w:tcPr>
          <w:p w14:paraId="2B6D57D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0.50%</w:t>
            </w:r>
          </w:p>
        </w:tc>
      </w:tr>
      <w:tr w:rsidR="008A5057" w:rsidRPr="00BD295E" w14:paraId="053B6F24" w14:textId="77777777" w:rsidTr="00162DD0">
        <w:trPr>
          <w:trHeight w:val="429"/>
        </w:trPr>
        <w:tc>
          <w:tcPr>
            <w:tcW w:w="2280" w:type="dxa"/>
            <w:tcBorders>
              <w:top w:val="single" w:sz="4" w:space="0" w:color="auto"/>
              <w:left w:val="single" w:sz="4" w:space="0" w:color="auto"/>
              <w:bottom w:val="single" w:sz="4" w:space="0" w:color="auto"/>
              <w:right w:val="nil"/>
            </w:tcBorders>
            <w:shd w:val="clear" w:color="auto" w:fill="auto"/>
            <w:noWrap/>
            <w:vAlign w:val="bottom"/>
            <w:hideMark/>
          </w:tcPr>
          <w:p w14:paraId="104BAC5C"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Lenenergo Group</w:t>
            </w:r>
          </w:p>
        </w:tc>
        <w:tc>
          <w:tcPr>
            <w:tcW w:w="1039" w:type="dxa"/>
            <w:tcBorders>
              <w:top w:val="nil"/>
              <w:left w:val="single" w:sz="4" w:space="0" w:color="auto"/>
              <w:bottom w:val="single" w:sz="4" w:space="0" w:color="auto"/>
              <w:right w:val="single" w:sz="4" w:space="0" w:color="auto"/>
            </w:tcBorders>
            <w:shd w:val="clear" w:color="auto" w:fill="auto"/>
            <w:noWrap/>
            <w:vAlign w:val="bottom"/>
            <w:hideMark/>
          </w:tcPr>
          <w:p w14:paraId="421FF6A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4,485.29</w:t>
            </w:r>
          </w:p>
        </w:tc>
        <w:tc>
          <w:tcPr>
            <w:tcW w:w="876" w:type="dxa"/>
            <w:tcBorders>
              <w:top w:val="nil"/>
              <w:left w:val="nil"/>
              <w:bottom w:val="single" w:sz="4" w:space="0" w:color="auto"/>
              <w:right w:val="single" w:sz="4" w:space="0" w:color="auto"/>
            </w:tcBorders>
            <w:shd w:val="clear" w:color="auto" w:fill="auto"/>
            <w:noWrap/>
            <w:vAlign w:val="bottom"/>
            <w:hideMark/>
          </w:tcPr>
          <w:p w14:paraId="5F46251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10.91%</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A5EB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4,439.56</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25E16203" w14:textId="77777777" w:rsidR="00162DD0" w:rsidRPr="00BD295E" w:rsidRDefault="008A5057" w:rsidP="00162DD0">
            <w:pPr>
              <w:jc w:val="right"/>
              <w:rPr>
                <w:rFonts w:ascii="Arial" w:hAnsi="Arial" w:cs="Arial"/>
                <w:sz w:val="18"/>
                <w:szCs w:val="18"/>
                <w:lang w:val="en-US"/>
              </w:rPr>
            </w:pPr>
            <w:r w:rsidRPr="00BD295E">
              <w:rPr>
                <w:rFonts w:ascii="Arial" w:hAnsi="Arial" w:cs="Arial"/>
                <w:sz w:val="18"/>
                <w:szCs w:val="18"/>
                <w:lang w:val="en-US"/>
              </w:rPr>
              <w:t>11.47%</w:t>
            </w:r>
          </w:p>
        </w:tc>
        <w:tc>
          <w:tcPr>
            <w:tcW w:w="1094" w:type="dxa"/>
            <w:tcBorders>
              <w:top w:val="single" w:sz="4" w:space="0" w:color="auto"/>
              <w:left w:val="nil"/>
              <w:bottom w:val="single" w:sz="4" w:space="0" w:color="auto"/>
              <w:right w:val="single" w:sz="4" w:space="0" w:color="auto"/>
            </w:tcBorders>
            <w:shd w:val="clear" w:color="auto" w:fill="auto"/>
            <w:noWrap/>
            <w:vAlign w:val="bottom"/>
            <w:hideMark/>
          </w:tcPr>
          <w:p w14:paraId="5279CF67"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4,337.50</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261672BE" w14:textId="77777777" w:rsidR="00162DD0" w:rsidRPr="00BD295E" w:rsidRDefault="008A5057" w:rsidP="00162DD0">
            <w:pPr>
              <w:jc w:val="right"/>
              <w:rPr>
                <w:rFonts w:ascii="Arial" w:hAnsi="Arial" w:cs="Arial"/>
                <w:sz w:val="18"/>
                <w:szCs w:val="18"/>
                <w:lang w:val="en-US"/>
              </w:rPr>
            </w:pPr>
            <w:r w:rsidRPr="00BD295E">
              <w:rPr>
                <w:rFonts w:ascii="Arial" w:hAnsi="Arial" w:cs="Arial"/>
                <w:sz w:val="18"/>
                <w:szCs w:val="18"/>
                <w:lang w:val="en-US"/>
              </w:rPr>
              <w:t>11.34%</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14:paraId="463CB21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-2.3%</w:t>
            </w:r>
          </w:p>
        </w:tc>
        <w:tc>
          <w:tcPr>
            <w:tcW w:w="876" w:type="dxa"/>
            <w:tcBorders>
              <w:top w:val="nil"/>
              <w:left w:val="nil"/>
              <w:bottom w:val="single" w:sz="4" w:space="0" w:color="auto"/>
              <w:right w:val="single" w:sz="4" w:space="0" w:color="auto"/>
            </w:tcBorders>
            <w:shd w:val="clear" w:color="auto" w:fill="auto"/>
            <w:noWrap/>
            <w:vAlign w:val="bottom"/>
            <w:hideMark/>
          </w:tcPr>
          <w:p w14:paraId="21884E9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-0.13%</w:t>
            </w:r>
          </w:p>
        </w:tc>
      </w:tr>
    </w:tbl>
    <w:p w14:paraId="542376B8" w14:textId="77777777" w:rsidR="00162DD0" w:rsidRPr="00BD295E" w:rsidRDefault="00162DD0" w:rsidP="00162DD0">
      <w:pPr>
        <w:ind w:firstLine="720"/>
        <w:jc w:val="center"/>
        <w:rPr>
          <w:rFonts w:ascii="Arial" w:hAnsi="Arial" w:cs="Arial"/>
          <w:b/>
          <w:sz w:val="18"/>
          <w:szCs w:val="18"/>
          <w:lang w:val="en-US"/>
        </w:rPr>
      </w:pPr>
    </w:p>
    <w:p w14:paraId="6F8E44FC" w14:textId="77777777" w:rsidR="00162DD0" w:rsidRPr="00BD295E" w:rsidRDefault="00162DD0" w:rsidP="00162DD0">
      <w:pPr>
        <w:rPr>
          <w:rFonts w:ascii="Arial" w:hAnsi="Arial" w:cs="Arial"/>
          <w:sz w:val="18"/>
          <w:szCs w:val="18"/>
          <w:lang w:val="en-US"/>
        </w:rPr>
      </w:pPr>
    </w:p>
    <w:p w14:paraId="3FF97713" w14:textId="4B8CF39D" w:rsidR="00162DD0" w:rsidRPr="00BD295E" w:rsidRDefault="00997D07" w:rsidP="00162DD0">
      <w:pPr>
        <w:ind w:firstLine="708"/>
        <w:jc w:val="both"/>
        <w:rPr>
          <w:rFonts w:ascii="Arial" w:hAnsi="Arial" w:cs="Arial"/>
          <w:sz w:val="18"/>
          <w:szCs w:val="18"/>
          <w:lang w:val="en-US"/>
        </w:rPr>
      </w:pPr>
      <w:r w:rsidRPr="00BD295E">
        <w:rPr>
          <w:rFonts w:ascii="Arial" w:hAnsi="Arial" w:cs="Arial"/>
          <w:sz w:val="18"/>
          <w:szCs w:val="18"/>
          <w:lang w:val="en-US" w:eastAsia="en-US"/>
        </w:rPr>
        <w:drawing>
          <wp:inline distT="0" distB="0" distL="0" distR="0" wp14:anchorId="6D97C440" wp14:editId="062A06D5">
            <wp:extent cx="4638675" cy="2329180"/>
            <wp:effectExtent l="0" t="0" r="9525" b="13970"/>
            <wp:docPr id="25" name="Диаграмма 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02B8974" w14:textId="77777777" w:rsidR="00B20A51" w:rsidRPr="00BD295E" w:rsidRDefault="00B20A51" w:rsidP="00B20A51">
      <w:pPr>
        <w:jc w:val="both"/>
        <w:rPr>
          <w:rFonts w:ascii="Arial" w:hAnsi="Arial" w:cs="Arial"/>
          <w:sz w:val="18"/>
          <w:szCs w:val="18"/>
          <w:lang w:val="en-US"/>
        </w:rPr>
      </w:pPr>
    </w:p>
    <w:p w14:paraId="014509D3" w14:textId="77777777" w:rsidR="00162DD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For 12M 2018A, electricity losses in the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totaled 4,162.2 million kWh or 11.71% of the supply to consumer networks and decreased year-on-year by 31.0 million kWh or 0.34 p.p. </w:t>
      </w:r>
    </w:p>
    <w:p w14:paraId="50969F98" w14:textId="77777777" w:rsidR="00162DD0" w:rsidRPr="00BD295E" w:rsidRDefault="00162DD0" w:rsidP="00162DD0">
      <w:pPr>
        <w:ind w:firstLine="708"/>
        <w:jc w:val="both"/>
        <w:rPr>
          <w:rFonts w:ascii="Arial" w:hAnsi="Arial" w:cs="Arial"/>
          <w:sz w:val="18"/>
          <w:szCs w:val="18"/>
          <w:lang w:val="en-US"/>
        </w:rPr>
      </w:pPr>
    </w:p>
    <w:p w14:paraId="3D75700C" w14:textId="77777777" w:rsidR="00162DD0" w:rsidRPr="00BD295E" w:rsidRDefault="008A5057" w:rsidP="000E42B1">
      <w:pPr>
        <w:ind w:right="565"/>
        <w:rPr>
          <w:rFonts w:ascii="Arial" w:hAnsi="Arial" w:cs="Arial"/>
          <w:sz w:val="18"/>
          <w:szCs w:val="18"/>
          <w:lang w:val="en-US"/>
        </w:rPr>
      </w:pPr>
      <w:r w:rsidRPr="00BD295E">
        <w:rPr>
          <w:rFonts w:ascii="Arial" w:hAnsi="Arial" w:cs="Arial"/>
          <w:sz w:val="18"/>
          <w:szCs w:val="18"/>
          <w:lang w:val="en-US"/>
        </w:rPr>
        <w:t xml:space="preserve">Analysis of changes in the relative value of losses under comparable conditions (without </w:t>
      </w:r>
      <w:r w:rsidR="000D659F" w:rsidRPr="00BD295E">
        <w:rPr>
          <w:rFonts w:ascii="Arial" w:hAnsi="Arial" w:cs="Arial"/>
          <w:sz w:val="18"/>
          <w:szCs w:val="18"/>
          <w:lang w:val="en-US"/>
        </w:rPr>
        <w:t>including the consolidated</w:t>
      </w:r>
      <w:r w:rsidRPr="00BD295E">
        <w:rPr>
          <w:rFonts w:ascii="Arial" w:hAnsi="Arial" w:cs="Arial"/>
          <w:sz w:val="18"/>
          <w:szCs w:val="18"/>
          <w:lang w:val="en-US"/>
        </w:rPr>
        <w:t xml:space="preserve"> electric grid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w:t>
      </w:r>
    </w:p>
    <w:tbl>
      <w:tblPr>
        <w:tblW w:w="9561" w:type="dxa"/>
        <w:tblInd w:w="118" w:type="dxa"/>
        <w:tblLook w:val="04A0" w:firstRow="1" w:lastRow="0" w:firstColumn="1" w:lastColumn="0" w:noHBand="0" w:noVBand="1"/>
      </w:tblPr>
      <w:tblGrid>
        <w:gridCol w:w="5257"/>
        <w:gridCol w:w="1490"/>
        <w:gridCol w:w="1366"/>
        <w:gridCol w:w="1448"/>
      </w:tblGrid>
      <w:tr w:rsidR="008A5057" w:rsidRPr="00BD295E" w14:paraId="7FC12360" w14:textId="77777777" w:rsidTr="00162DD0">
        <w:trPr>
          <w:trHeight w:val="212"/>
        </w:trPr>
        <w:tc>
          <w:tcPr>
            <w:tcW w:w="5257" w:type="dxa"/>
            <w:tcBorders>
              <w:top w:val="single" w:sz="8" w:space="0" w:color="auto"/>
              <w:left w:val="single" w:sz="8" w:space="0" w:color="auto"/>
              <w:bottom w:val="nil"/>
              <w:right w:val="single" w:sz="4" w:space="0" w:color="auto"/>
            </w:tcBorders>
            <w:shd w:val="clear" w:color="auto" w:fill="auto"/>
            <w:noWrap/>
            <w:vAlign w:val="bottom"/>
            <w:hideMark/>
          </w:tcPr>
          <w:p w14:paraId="5D585BE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w:t>
            </w:r>
          </w:p>
        </w:tc>
        <w:tc>
          <w:tcPr>
            <w:tcW w:w="1490" w:type="dxa"/>
            <w:tcBorders>
              <w:top w:val="single" w:sz="8" w:space="0" w:color="auto"/>
              <w:left w:val="nil"/>
              <w:bottom w:val="nil"/>
              <w:right w:val="single" w:sz="8" w:space="0" w:color="auto"/>
            </w:tcBorders>
            <w:shd w:val="clear" w:color="auto" w:fill="auto"/>
            <w:noWrap/>
            <w:vAlign w:val="bottom"/>
            <w:hideMark/>
          </w:tcPr>
          <w:p w14:paraId="21CA2A5F"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2016</w:t>
            </w:r>
          </w:p>
        </w:tc>
        <w:tc>
          <w:tcPr>
            <w:tcW w:w="1366" w:type="dxa"/>
            <w:tcBorders>
              <w:top w:val="single" w:sz="8" w:space="0" w:color="auto"/>
              <w:left w:val="single" w:sz="4" w:space="0" w:color="auto"/>
              <w:bottom w:val="nil"/>
              <w:right w:val="single" w:sz="8" w:space="0" w:color="auto"/>
            </w:tcBorders>
            <w:shd w:val="clear" w:color="auto" w:fill="auto"/>
            <w:noWrap/>
            <w:vAlign w:val="bottom"/>
            <w:hideMark/>
          </w:tcPr>
          <w:p w14:paraId="63C8519B"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2017</w:t>
            </w:r>
          </w:p>
        </w:tc>
        <w:tc>
          <w:tcPr>
            <w:tcW w:w="1448" w:type="dxa"/>
            <w:tcBorders>
              <w:top w:val="single" w:sz="8" w:space="0" w:color="auto"/>
              <w:left w:val="single" w:sz="4" w:space="0" w:color="auto"/>
              <w:bottom w:val="nil"/>
              <w:right w:val="single" w:sz="8" w:space="0" w:color="auto"/>
            </w:tcBorders>
            <w:shd w:val="clear" w:color="auto" w:fill="auto"/>
            <w:noWrap/>
            <w:vAlign w:val="bottom"/>
            <w:hideMark/>
          </w:tcPr>
          <w:p w14:paraId="16EF9202"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2018</w:t>
            </w:r>
          </w:p>
        </w:tc>
      </w:tr>
      <w:tr w:rsidR="008A5057" w:rsidRPr="00BD295E" w14:paraId="16B9081E" w14:textId="77777777" w:rsidTr="00162DD0">
        <w:trPr>
          <w:trHeight w:val="236"/>
        </w:trPr>
        <w:tc>
          <w:tcPr>
            <w:tcW w:w="5257" w:type="dxa"/>
            <w:tcBorders>
              <w:top w:val="single" w:sz="8" w:space="0" w:color="auto"/>
              <w:left w:val="single" w:sz="8" w:space="0" w:color="auto"/>
              <w:bottom w:val="single" w:sz="8" w:space="0" w:color="auto"/>
              <w:right w:val="nil"/>
            </w:tcBorders>
            <w:shd w:val="clear" w:color="auto" w:fill="auto"/>
            <w:noWrap/>
            <w:vAlign w:val="bottom"/>
            <w:hideMark/>
          </w:tcPr>
          <w:p w14:paraId="2F77131C"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Saint Petersburg </w:t>
            </w:r>
          </w:p>
        </w:tc>
        <w:tc>
          <w:tcPr>
            <w:tcW w:w="1490" w:type="dxa"/>
            <w:tcBorders>
              <w:top w:val="single" w:sz="8" w:space="0" w:color="auto"/>
              <w:left w:val="nil"/>
              <w:bottom w:val="single" w:sz="8" w:space="0" w:color="auto"/>
              <w:right w:val="nil"/>
            </w:tcBorders>
            <w:shd w:val="clear" w:color="auto" w:fill="auto"/>
            <w:noWrap/>
            <w:vAlign w:val="bottom"/>
            <w:hideMark/>
          </w:tcPr>
          <w:p w14:paraId="0624EF1E"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w:t>
            </w:r>
          </w:p>
        </w:tc>
        <w:tc>
          <w:tcPr>
            <w:tcW w:w="1366" w:type="dxa"/>
            <w:tcBorders>
              <w:top w:val="single" w:sz="8" w:space="0" w:color="auto"/>
              <w:left w:val="nil"/>
              <w:bottom w:val="single" w:sz="8" w:space="0" w:color="auto"/>
              <w:right w:val="single" w:sz="8" w:space="0" w:color="auto"/>
            </w:tcBorders>
            <w:shd w:val="clear" w:color="auto" w:fill="auto"/>
            <w:noWrap/>
            <w:vAlign w:val="bottom"/>
            <w:hideMark/>
          </w:tcPr>
          <w:p w14:paraId="51F6127C"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w:t>
            </w:r>
          </w:p>
        </w:tc>
        <w:tc>
          <w:tcPr>
            <w:tcW w:w="1448" w:type="dxa"/>
            <w:tcBorders>
              <w:top w:val="single" w:sz="8" w:space="0" w:color="auto"/>
              <w:left w:val="nil"/>
              <w:bottom w:val="single" w:sz="8" w:space="0" w:color="auto"/>
              <w:right w:val="single" w:sz="8" w:space="0" w:color="auto"/>
            </w:tcBorders>
            <w:shd w:val="clear" w:color="auto" w:fill="auto"/>
            <w:noWrap/>
            <w:vAlign w:val="bottom"/>
            <w:hideMark/>
          </w:tcPr>
          <w:p w14:paraId="68300EEA"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w:t>
            </w:r>
          </w:p>
        </w:tc>
      </w:tr>
      <w:tr w:rsidR="008A5057" w:rsidRPr="00BD295E" w14:paraId="5E7E73D3"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537929F5"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Electricity supply to networks </w:t>
            </w:r>
          </w:p>
        </w:tc>
        <w:tc>
          <w:tcPr>
            <w:tcW w:w="1490" w:type="dxa"/>
            <w:tcBorders>
              <w:top w:val="nil"/>
              <w:left w:val="nil"/>
              <w:bottom w:val="single" w:sz="4" w:space="0" w:color="auto"/>
              <w:right w:val="single" w:sz="8" w:space="0" w:color="auto"/>
            </w:tcBorders>
            <w:shd w:val="clear" w:color="auto" w:fill="auto"/>
            <w:noWrap/>
            <w:vAlign w:val="bottom"/>
            <w:hideMark/>
          </w:tcPr>
          <w:p w14:paraId="6A4B8BA5"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21,483.74   </w:t>
            </w:r>
          </w:p>
        </w:tc>
        <w:tc>
          <w:tcPr>
            <w:tcW w:w="1366" w:type="dxa"/>
            <w:tcBorders>
              <w:top w:val="nil"/>
              <w:left w:val="nil"/>
              <w:bottom w:val="single" w:sz="4" w:space="0" w:color="auto"/>
              <w:right w:val="single" w:sz="8" w:space="0" w:color="auto"/>
            </w:tcBorders>
            <w:shd w:val="clear" w:color="auto" w:fill="auto"/>
            <w:noWrap/>
            <w:vAlign w:val="bottom"/>
            <w:hideMark/>
          </w:tcPr>
          <w:p w14:paraId="6F392B81"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21,826.18   </w:t>
            </w:r>
          </w:p>
        </w:tc>
        <w:tc>
          <w:tcPr>
            <w:tcW w:w="1448" w:type="dxa"/>
            <w:tcBorders>
              <w:top w:val="nil"/>
              <w:left w:val="nil"/>
              <w:bottom w:val="single" w:sz="4" w:space="0" w:color="auto"/>
              <w:right w:val="single" w:sz="8" w:space="0" w:color="auto"/>
            </w:tcBorders>
            <w:shd w:val="clear" w:color="auto" w:fill="auto"/>
            <w:noWrap/>
            <w:vAlign w:val="bottom"/>
            <w:hideMark/>
          </w:tcPr>
          <w:p w14:paraId="7F46E9A6"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22,203.86   </w:t>
            </w:r>
          </w:p>
        </w:tc>
      </w:tr>
      <w:tr w:rsidR="008A5057" w:rsidRPr="00BD295E" w14:paraId="4B430FAD"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342E3C7F" w14:textId="77777777" w:rsidR="00162DD0" w:rsidRPr="00BD295E" w:rsidRDefault="008A5057" w:rsidP="000D659F">
            <w:pPr>
              <w:rPr>
                <w:rFonts w:ascii="Arial" w:hAnsi="Arial" w:cs="Arial"/>
                <w:sz w:val="18"/>
                <w:szCs w:val="18"/>
                <w:lang w:val="en-US"/>
              </w:rPr>
            </w:pPr>
            <w:r w:rsidRPr="00BD295E">
              <w:rPr>
                <w:rFonts w:ascii="Arial" w:hAnsi="Arial" w:cs="Arial"/>
                <w:sz w:val="18"/>
                <w:szCs w:val="18"/>
                <w:lang w:val="en-US"/>
              </w:rPr>
              <w:t xml:space="preserve"> </w:t>
            </w:r>
            <w:r w:rsidR="000D659F" w:rsidRPr="00BD295E">
              <w:rPr>
                <w:rFonts w:ascii="Arial" w:hAnsi="Arial" w:cs="Arial"/>
                <w:sz w:val="18"/>
                <w:szCs w:val="18"/>
                <w:lang w:val="en-US"/>
              </w:rPr>
              <w:t>C</w:t>
            </w:r>
            <w:r w:rsidRPr="00BD295E">
              <w:rPr>
                <w:rFonts w:ascii="Arial" w:hAnsi="Arial" w:cs="Arial"/>
                <w:sz w:val="18"/>
                <w:szCs w:val="18"/>
                <w:lang w:val="en-US"/>
              </w:rPr>
              <w:t xml:space="preserve">apacity provided </w:t>
            </w:r>
          </w:p>
        </w:tc>
        <w:tc>
          <w:tcPr>
            <w:tcW w:w="1490" w:type="dxa"/>
            <w:tcBorders>
              <w:top w:val="nil"/>
              <w:left w:val="nil"/>
              <w:bottom w:val="single" w:sz="4" w:space="0" w:color="auto"/>
              <w:right w:val="single" w:sz="8" w:space="0" w:color="auto"/>
            </w:tcBorders>
            <w:shd w:val="clear" w:color="auto" w:fill="auto"/>
            <w:noWrap/>
            <w:vAlign w:val="bottom"/>
            <w:hideMark/>
          </w:tcPr>
          <w:p w14:paraId="6CD39B9E"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w:t>
            </w:r>
          </w:p>
        </w:tc>
        <w:tc>
          <w:tcPr>
            <w:tcW w:w="1366" w:type="dxa"/>
            <w:tcBorders>
              <w:top w:val="nil"/>
              <w:left w:val="nil"/>
              <w:bottom w:val="single" w:sz="4" w:space="0" w:color="auto"/>
              <w:right w:val="single" w:sz="8" w:space="0" w:color="auto"/>
            </w:tcBorders>
            <w:shd w:val="clear" w:color="auto" w:fill="auto"/>
            <w:noWrap/>
            <w:vAlign w:val="bottom"/>
            <w:hideMark/>
          </w:tcPr>
          <w:p w14:paraId="0D05E12E"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w:t>
            </w:r>
          </w:p>
        </w:tc>
        <w:tc>
          <w:tcPr>
            <w:tcW w:w="1448" w:type="dxa"/>
            <w:tcBorders>
              <w:top w:val="nil"/>
              <w:left w:val="nil"/>
              <w:bottom w:val="single" w:sz="4" w:space="0" w:color="auto"/>
              <w:right w:val="single" w:sz="8" w:space="0" w:color="auto"/>
            </w:tcBorders>
            <w:shd w:val="clear" w:color="auto" w:fill="auto"/>
            <w:noWrap/>
            <w:vAlign w:val="bottom"/>
            <w:hideMark/>
          </w:tcPr>
          <w:p w14:paraId="359C6107"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w:t>
            </w:r>
          </w:p>
        </w:tc>
      </w:tr>
      <w:tr w:rsidR="008A5057" w:rsidRPr="00BD295E" w14:paraId="660CF256" w14:textId="77777777" w:rsidTr="00162DD0">
        <w:trPr>
          <w:trHeight w:val="401"/>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66BD3A49" w14:textId="77777777" w:rsidR="00162DD0" w:rsidRPr="00BD295E" w:rsidRDefault="008A5057" w:rsidP="00E50ECE">
            <w:pPr>
              <w:rPr>
                <w:rFonts w:ascii="Arial" w:hAnsi="Arial" w:cs="Arial"/>
                <w:sz w:val="18"/>
                <w:szCs w:val="18"/>
                <w:lang w:val="en-US"/>
              </w:rPr>
            </w:pPr>
            <w:r w:rsidRPr="00BD295E">
              <w:rPr>
                <w:rFonts w:ascii="Arial" w:hAnsi="Arial" w:cs="Arial"/>
                <w:sz w:val="18"/>
                <w:szCs w:val="18"/>
                <w:lang w:val="en-US"/>
              </w:rPr>
              <w:t xml:space="preserve"> Consolidation of electric grid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E50ECE" w:rsidRPr="00BD295E">
              <w:rPr>
                <w:rFonts w:ascii="Arial" w:hAnsi="Arial" w:cs="Arial"/>
                <w:sz w:val="18"/>
                <w:szCs w:val="18"/>
                <w:lang w:val="en-US"/>
              </w:rPr>
              <w:t>JSC “</w:t>
            </w:r>
            <w:r w:rsidRPr="00BD295E">
              <w:rPr>
                <w:rFonts w:ascii="Arial" w:hAnsi="Arial" w:cs="Arial"/>
                <w:sz w:val="18"/>
                <w:szCs w:val="18"/>
                <w:lang w:val="en-US"/>
              </w:rPr>
              <w:t>Saint Petersburg Power Grid</w:t>
            </w:r>
            <w:r w:rsidR="00E50ECE" w:rsidRPr="00BD295E">
              <w:rPr>
                <w:rFonts w:ascii="Arial" w:hAnsi="Arial" w:cs="Arial"/>
                <w:sz w:val="18"/>
                <w:szCs w:val="18"/>
                <w:lang w:val="en-US"/>
              </w:rPr>
              <w:t>”</w:t>
            </w:r>
            <w:r w:rsidRPr="00BD295E">
              <w:rPr>
                <w:rFonts w:ascii="Arial" w:hAnsi="Arial" w:cs="Arial"/>
                <w:sz w:val="18"/>
                <w:szCs w:val="18"/>
                <w:lang w:val="en-US"/>
              </w:rPr>
              <w:t xml:space="preserve">, and </w:t>
            </w:r>
            <w:r w:rsidR="00E50ECE" w:rsidRPr="00BD295E">
              <w:rPr>
                <w:rFonts w:ascii="Arial" w:hAnsi="Arial" w:cs="Arial"/>
                <w:sz w:val="18"/>
                <w:szCs w:val="18"/>
                <w:lang w:val="en-US"/>
              </w:rPr>
              <w:t>JSC “</w:t>
            </w:r>
            <w:r w:rsidRPr="00BD295E">
              <w:rPr>
                <w:rFonts w:ascii="Arial" w:hAnsi="Arial" w:cs="Arial"/>
                <w:sz w:val="18"/>
                <w:szCs w:val="18"/>
                <w:lang w:val="en-US"/>
              </w:rPr>
              <w:t>Petrodvorets Electric Company</w:t>
            </w:r>
            <w:r w:rsidR="00E50ECE" w:rsidRPr="00BD295E">
              <w:rPr>
                <w:rFonts w:ascii="Arial" w:hAnsi="Arial" w:cs="Arial"/>
                <w:sz w:val="18"/>
                <w:szCs w:val="18"/>
                <w:lang w:val="en-US"/>
              </w:rPr>
              <w:t>”</w:t>
            </w:r>
            <w:r w:rsidRPr="00BD295E">
              <w:rPr>
                <w:rFonts w:ascii="Arial" w:hAnsi="Arial" w:cs="Arial"/>
                <w:sz w:val="18"/>
                <w:szCs w:val="18"/>
                <w:lang w:val="en-US"/>
              </w:rPr>
              <w:t xml:space="preserve"> (electricity supply to networks) </w:t>
            </w:r>
          </w:p>
        </w:tc>
        <w:tc>
          <w:tcPr>
            <w:tcW w:w="1490" w:type="dxa"/>
            <w:tcBorders>
              <w:top w:val="nil"/>
              <w:left w:val="nil"/>
              <w:bottom w:val="single" w:sz="4" w:space="0" w:color="auto"/>
              <w:right w:val="single" w:sz="8" w:space="0" w:color="auto"/>
            </w:tcBorders>
            <w:shd w:val="clear" w:color="auto" w:fill="auto"/>
            <w:noWrap/>
            <w:vAlign w:val="bottom"/>
            <w:hideMark/>
          </w:tcPr>
          <w:p w14:paraId="0471E59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w:t>
            </w:r>
          </w:p>
        </w:tc>
        <w:tc>
          <w:tcPr>
            <w:tcW w:w="1366" w:type="dxa"/>
            <w:tcBorders>
              <w:top w:val="nil"/>
              <w:left w:val="nil"/>
              <w:bottom w:val="single" w:sz="4" w:space="0" w:color="auto"/>
              <w:right w:val="single" w:sz="8" w:space="0" w:color="auto"/>
            </w:tcBorders>
            <w:shd w:val="clear" w:color="auto" w:fill="auto"/>
            <w:noWrap/>
            <w:vAlign w:val="bottom"/>
            <w:hideMark/>
          </w:tcPr>
          <w:p w14:paraId="20811730"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436.29   </w:t>
            </w:r>
          </w:p>
        </w:tc>
        <w:tc>
          <w:tcPr>
            <w:tcW w:w="1448" w:type="dxa"/>
            <w:tcBorders>
              <w:top w:val="nil"/>
              <w:left w:val="nil"/>
              <w:bottom w:val="single" w:sz="4" w:space="0" w:color="auto"/>
              <w:right w:val="single" w:sz="8" w:space="0" w:color="auto"/>
            </w:tcBorders>
            <w:shd w:val="clear" w:color="auto" w:fill="auto"/>
            <w:noWrap/>
            <w:vAlign w:val="bottom"/>
            <w:hideMark/>
          </w:tcPr>
          <w:p w14:paraId="13635DAA"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436.29   </w:t>
            </w:r>
          </w:p>
        </w:tc>
      </w:tr>
      <w:tr w:rsidR="008A5057" w:rsidRPr="00BD295E" w14:paraId="4032636B" w14:textId="77777777" w:rsidTr="00162DD0">
        <w:trPr>
          <w:trHeight w:val="377"/>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9B9B43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Electricity supply to networks under comparable conditions </w:t>
            </w:r>
          </w:p>
        </w:tc>
        <w:tc>
          <w:tcPr>
            <w:tcW w:w="1490" w:type="dxa"/>
            <w:tcBorders>
              <w:top w:val="nil"/>
              <w:left w:val="nil"/>
              <w:bottom w:val="single" w:sz="4" w:space="0" w:color="auto"/>
              <w:right w:val="single" w:sz="8" w:space="0" w:color="auto"/>
            </w:tcBorders>
            <w:shd w:val="clear" w:color="auto" w:fill="auto"/>
            <w:noWrap/>
            <w:vAlign w:val="bottom"/>
            <w:hideMark/>
          </w:tcPr>
          <w:p w14:paraId="0442ABAC"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21,483.74   </w:t>
            </w:r>
          </w:p>
        </w:tc>
        <w:tc>
          <w:tcPr>
            <w:tcW w:w="1366" w:type="dxa"/>
            <w:tcBorders>
              <w:top w:val="single" w:sz="4" w:space="0" w:color="auto"/>
              <w:left w:val="nil"/>
              <w:bottom w:val="single" w:sz="4" w:space="0" w:color="auto"/>
              <w:right w:val="single" w:sz="8" w:space="0" w:color="auto"/>
            </w:tcBorders>
            <w:shd w:val="clear" w:color="auto" w:fill="auto"/>
            <w:noWrap/>
            <w:vAlign w:val="bottom"/>
            <w:hideMark/>
          </w:tcPr>
          <w:p w14:paraId="0CC0A03B"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21,389.89   </w:t>
            </w:r>
          </w:p>
        </w:tc>
        <w:tc>
          <w:tcPr>
            <w:tcW w:w="1448" w:type="dxa"/>
            <w:tcBorders>
              <w:top w:val="single" w:sz="4" w:space="0" w:color="auto"/>
              <w:left w:val="nil"/>
              <w:bottom w:val="single" w:sz="4" w:space="0" w:color="auto"/>
              <w:right w:val="single" w:sz="8" w:space="0" w:color="auto"/>
            </w:tcBorders>
            <w:shd w:val="clear" w:color="auto" w:fill="auto"/>
            <w:noWrap/>
            <w:vAlign w:val="bottom"/>
            <w:hideMark/>
          </w:tcPr>
          <w:p w14:paraId="54CFBA7E"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21,767.57   </w:t>
            </w:r>
          </w:p>
        </w:tc>
      </w:tr>
      <w:tr w:rsidR="008A5057" w:rsidRPr="00BD295E" w14:paraId="26E12947" w14:textId="77777777" w:rsidTr="00162DD0">
        <w:trPr>
          <w:trHeight w:val="401"/>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681CCC1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Consolidation of electric grid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E50ECE" w:rsidRPr="00BD295E">
              <w:rPr>
                <w:rFonts w:ascii="Arial" w:hAnsi="Arial" w:cs="Arial"/>
                <w:sz w:val="18"/>
                <w:szCs w:val="18"/>
                <w:lang w:val="en-US"/>
              </w:rPr>
              <w:t xml:space="preserve">JSC “Saint Petersburg Power Grid”, and JSC “Petrodvorets Electric Company </w:t>
            </w:r>
            <w:r w:rsidRPr="00BD295E">
              <w:rPr>
                <w:rFonts w:ascii="Arial" w:hAnsi="Arial" w:cs="Arial"/>
                <w:sz w:val="18"/>
                <w:szCs w:val="18"/>
                <w:lang w:val="en-US"/>
              </w:rPr>
              <w:t xml:space="preserve">(losses) </w:t>
            </w:r>
          </w:p>
        </w:tc>
        <w:tc>
          <w:tcPr>
            <w:tcW w:w="1490" w:type="dxa"/>
            <w:tcBorders>
              <w:top w:val="nil"/>
              <w:left w:val="nil"/>
              <w:bottom w:val="single" w:sz="4" w:space="0" w:color="auto"/>
              <w:right w:val="single" w:sz="8" w:space="0" w:color="auto"/>
            </w:tcBorders>
            <w:shd w:val="clear" w:color="auto" w:fill="auto"/>
            <w:noWrap/>
            <w:vAlign w:val="bottom"/>
            <w:hideMark/>
          </w:tcPr>
          <w:p w14:paraId="33CDC45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w:t>
            </w:r>
          </w:p>
        </w:tc>
        <w:tc>
          <w:tcPr>
            <w:tcW w:w="1366" w:type="dxa"/>
            <w:tcBorders>
              <w:top w:val="nil"/>
              <w:left w:val="nil"/>
              <w:bottom w:val="single" w:sz="4" w:space="0" w:color="auto"/>
              <w:right w:val="single" w:sz="8" w:space="0" w:color="auto"/>
            </w:tcBorders>
            <w:shd w:val="clear" w:color="auto" w:fill="auto"/>
            <w:noWrap/>
            <w:vAlign w:val="bottom"/>
            <w:hideMark/>
          </w:tcPr>
          <w:p w14:paraId="77F192AB"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289.24   </w:t>
            </w:r>
          </w:p>
        </w:tc>
        <w:tc>
          <w:tcPr>
            <w:tcW w:w="1448" w:type="dxa"/>
            <w:tcBorders>
              <w:top w:val="nil"/>
              <w:left w:val="nil"/>
              <w:bottom w:val="single" w:sz="4" w:space="0" w:color="auto"/>
              <w:right w:val="single" w:sz="8" w:space="0" w:color="auto"/>
            </w:tcBorders>
            <w:shd w:val="clear" w:color="auto" w:fill="auto"/>
            <w:noWrap/>
            <w:vAlign w:val="bottom"/>
            <w:hideMark/>
          </w:tcPr>
          <w:p w14:paraId="0994A741"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289.24   </w:t>
            </w:r>
          </w:p>
        </w:tc>
      </w:tr>
      <w:tr w:rsidR="008A5057" w:rsidRPr="00BD295E" w14:paraId="6153D9E8" w14:textId="77777777" w:rsidTr="00162DD0">
        <w:trPr>
          <w:trHeight w:val="200"/>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6F95945"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Actual losses </w:t>
            </w:r>
          </w:p>
        </w:tc>
        <w:tc>
          <w:tcPr>
            <w:tcW w:w="1490" w:type="dxa"/>
            <w:tcBorders>
              <w:top w:val="nil"/>
              <w:left w:val="nil"/>
              <w:bottom w:val="single" w:sz="4" w:space="0" w:color="auto"/>
              <w:right w:val="single" w:sz="8" w:space="0" w:color="auto"/>
            </w:tcBorders>
            <w:shd w:val="clear" w:color="auto" w:fill="auto"/>
            <w:noWrap/>
            <w:vAlign w:val="bottom"/>
            <w:hideMark/>
          </w:tcPr>
          <w:p w14:paraId="46E262B0"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2,609.57   </w:t>
            </w:r>
          </w:p>
        </w:tc>
        <w:tc>
          <w:tcPr>
            <w:tcW w:w="1366" w:type="dxa"/>
            <w:tcBorders>
              <w:top w:val="single" w:sz="4" w:space="0" w:color="auto"/>
              <w:left w:val="nil"/>
              <w:bottom w:val="single" w:sz="4" w:space="0" w:color="auto"/>
              <w:right w:val="single" w:sz="8" w:space="0" w:color="auto"/>
            </w:tcBorders>
            <w:shd w:val="clear" w:color="auto" w:fill="auto"/>
            <w:noWrap/>
            <w:vAlign w:val="bottom"/>
            <w:hideMark/>
          </w:tcPr>
          <w:p w14:paraId="75F0E3BC"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2,827.54   </w:t>
            </w:r>
          </w:p>
        </w:tc>
        <w:tc>
          <w:tcPr>
            <w:tcW w:w="1448" w:type="dxa"/>
            <w:tcBorders>
              <w:top w:val="single" w:sz="4" w:space="0" w:color="auto"/>
              <w:left w:val="nil"/>
              <w:bottom w:val="single" w:sz="4" w:space="0" w:color="auto"/>
              <w:right w:val="single" w:sz="8" w:space="0" w:color="auto"/>
            </w:tcBorders>
            <w:shd w:val="clear" w:color="auto" w:fill="auto"/>
            <w:noWrap/>
            <w:vAlign w:val="bottom"/>
            <w:hideMark/>
          </w:tcPr>
          <w:p w14:paraId="355D8F6B"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2,788.05   </w:t>
            </w:r>
          </w:p>
        </w:tc>
      </w:tr>
      <w:tr w:rsidR="008A5057" w:rsidRPr="00BD295E" w14:paraId="56FD1942"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68DB718B"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Percentage of actual losses </w:t>
            </w:r>
          </w:p>
        </w:tc>
        <w:tc>
          <w:tcPr>
            <w:tcW w:w="1490" w:type="dxa"/>
            <w:tcBorders>
              <w:top w:val="nil"/>
              <w:left w:val="nil"/>
              <w:bottom w:val="single" w:sz="4" w:space="0" w:color="auto"/>
              <w:right w:val="single" w:sz="8" w:space="0" w:color="auto"/>
            </w:tcBorders>
            <w:shd w:val="clear" w:color="auto" w:fill="auto"/>
            <w:noWrap/>
            <w:vAlign w:val="bottom"/>
            <w:hideMark/>
          </w:tcPr>
          <w:p w14:paraId="459FE0A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12.15%</w:t>
            </w:r>
          </w:p>
        </w:tc>
        <w:tc>
          <w:tcPr>
            <w:tcW w:w="1366" w:type="dxa"/>
            <w:tcBorders>
              <w:top w:val="nil"/>
              <w:left w:val="nil"/>
              <w:bottom w:val="single" w:sz="4" w:space="0" w:color="auto"/>
              <w:right w:val="single" w:sz="8" w:space="0" w:color="auto"/>
            </w:tcBorders>
            <w:shd w:val="clear" w:color="auto" w:fill="auto"/>
            <w:noWrap/>
            <w:vAlign w:val="bottom"/>
            <w:hideMark/>
          </w:tcPr>
          <w:p w14:paraId="217A238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12.95%</w:t>
            </w:r>
          </w:p>
        </w:tc>
        <w:tc>
          <w:tcPr>
            <w:tcW w:w="1448" w:type="dxa"/>
            <w:tcBorders>
              <w:top w:val="nil"/>
              <w:left w:val="nil"/>
              <w:bottom w:val="single" w:sz="4" w:space="0" w:color="auto"/>
              <w:right w:val="single" w:sz="8" w:space="0" w:color="auto"/>
            </w:tcBorders>
            <w:shd w:val="clear" w:color="auto" w:fill="auto"/>
            <w:noWrap/>
            <w:vAlign w:val="bottom"/>
            <w:hideMark/>
          </w:tcPr>
          <w:p w14:paraId="65B11EF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12.56%</w:t>
            </w:r>
          </w:p>
        </w:tc>
      </w:tr>
      <w:tr w:rsidR="008A5057" w:rsidRPr="00BD295E" w14:paraId="6D2D2CD4"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46BECFAB"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Losses under comparable conditions </w:t>
            </w:r>
          </w:p>
        </w:tc>
        <w:tc>
          <w:tcPr>
            <w:tcW w:w="1490" w:type="dxa"/>
            <w:tcBorders>
              <w:top w:val="nil"/>
              <w:left w:val="nil"/>
              <w:bottom w:val="single" w:sz="4" w:space="0" w:color="auto"/>
              <w:right w:val="single" w:sz="8" w:space="0" w:color="auto"/>
            </w:tcBorders>
            <w:shd w:val="clear" w:color="auto" w:fill="auto"/>
            <w:noWrap/>
            <w:vAlign w:val="bottom"/>
            <w:hideMark/>
          </w:tcPr>
          <w:p w14:paraId="2131B308"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2,609.57   </w:t>
            </w:r>
          </w:p>
        </w:tc>
        <w:tc>
          <w:tcPr>
            <w:tcW w:w="1366" w:type="dxa"/>
            <w:tcBorders>
              <w:top w:val="nil"/>
              <w:left w:val="nil"/>
              <w:bottom w:val="single" w:sz="4" w:space="0" w:color="auto"/>
              <w:right w:val="single" w:sz="8" w:space="0" w:color="auto"/>
            </w:tcBorders>
            <w:shd w:val="clear" w:color="auto" w:fill="auto"/>
            <w:noWrap/>
            <w:vAlign w:val="bottom"/>
            <w:hideMark/>
          </w:tcPr>
          <w:p w14:paraId="0AAE0091"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2,538.30   </w:t>
            </w:r>
          </w:p>
        </w:tc>
        <w:tc>
          <w:tcPr>
            <w:tcW w:w="1448" w:type="dxa"/>
            <w:tcBorders>
              <w:top w:val="nil"/>
              <w:left w:val="nil"/>
              <w:bottom w:val="single" w:sz="4" w:space="0" w:color="auto"/>
              <w:right w:val="single" w:sz="8" w:space="0" w:color="auto"/>
            </w:tcBorders>
            <w:shd w:val="clear" w:color="auto" w:fill="auto"/>
            <w:noWrap/>
            <w:vAlign w:val="bottom"/>
            <w:hideMark/>
          </w:tcPr>
          <w:p w14:paraId="5058792A"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2,498.81   </w:t>
            </w:r>
          </w:p>
        </w:tc>
      </w:tr>
      <w:tr w:rsidR="008A5057" w:rsidRPr="00BD295E" w14:paraId="47694627" w14:textId="77777777" w:rsidTr="00162DD0">
        <w:trPr>
          <w:trHeight w:val="212"/>
        </w:trPr>
        <w:tc>
          <w:tcPr>
            <w:tcW w:w="5257" w:type="dxa"/>
            <w:tcBorders>
              <w:top w:val="nil"/>
              <w:left w:val="single" w:sz="8" w:space="0" w:color="auto"/>
              <w:bottom w:val="single" w:sz="8" w:space="0" w:color="auto"/>
              <w:right w:val="single" w:sz="4" w:space="0" w:color="auto"/>
            </w:tcBorders>
            <w:shd w:val="clear" w:color="auto" w:fill="auto"/>
            <w:vAlign w:val="bottom"/>
            <w:hideMark/>
          </w:tcPr>
          <w:p w14:paraId="791DA26B"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Percentage of losses under comparable conditions </w:t>
            </w:r>
          </w:p>
        </w:tc>
        <w:tc>
          <w:tcPr>
            <w:tcW w:w="1490" w:type="dxa"/>
            <w:tcBorders>
              <w:top w:val="nil"/>
              <w:left w:val="nil"/>
              <w:bottom w:val="single" w:sz="8" w:space="0" w:color="auto"/>
              <w:right w:val="single" w:sz="8" w:space="0" w:color="auto"/>
            </w:tcBorders>
            <w:shd w:val="clear" w:color="auto" w:fill="auto"/>
            <w:noWrap/>
            <w:vAlign w:val="bottom"/>
            <w:hideMark/>
          </w:tcPr>
          <w:p w14:paraId="00ECE82C"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12.15%</w:t>
            </w:r>
          </w:p>
        </w:tc>
        <w:tc>
          <w:tcPr>
            <w:tcW w:w="1366" w:type="dxa"/>
            <w:tcBorders>
              <w:top w:val="nil"/>
              <w:left w:val="nil"/>
              <w:bottom w:val="single" w:sz="8" w:space="0" w:color="auto"/>
              <w:right w:val="single" w:sz="8" w:space="0" w:color="auto"/>
            </w:tcBorders>
            <w:shd w:val="clear" w:color="auto" w:fill="auto"/>
            <w:noWrap/>
            <w:vAlign w:val="bottom"/>
            <w:hideMark/>
          </w:tcPr>
          <w:p w14:paraId="1B9398DC"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11.87%</w:t>
            </w:r>
          </w:p>
        </w:tc>
        <w:tc>
          <w:tcPr>
            <w:tcW w:w="1448" w:type="dxa"/>
            <w:tcBorders>
              <w:top w:val="nil"/>
              <w:left w:val="nil"/>
              <w:bottom w:val="single" w:sz="8" w:space="0" w:color="auto"/>
              <w:right w:val="single" w:sz="8" w:space="0" w:color="auto"/>
            </w:tcBorders>
            <w:shd w:val="clear" w:color="auto" w:fill="auto"/>
            <w:noWrap/>
            <w:vAlign w:val="bottom"/>
            <w:hideMark/>
          </w:tcPr>
          <w:p w14:paraId="085BDE3C"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11.48%</w:t>
            </w:r>
          </w:p>
        </w:tc>
      </w:tr>
      <w:tr w:rsidR="008A5057" w:rsidRPr="00BD295E" w14:paraId="0CA04897" w14:textId="77777777" w:rsidTr="00162DD0">
        <w:trPr>
          <w:trHeight w:val="248"/>
        </w:trPr>
        <w:tc>
          <w:tcPr>
            <w:tcW w:w="5257" w:type="dxa"/>
            <w:tcBorders>
              <w:top w:val="nil"/>
              <w:left w:val="single" w:sz="8" w:space="0" w:color="auto"/>
              <w:bottom w:val="single" w:sz="8" w:space="0" w:color="auto"/>
              <w:right w:val="nil"/>
            </w:tcBorders>
            <w:shd w:val="clear" w:color="auto" w:fill="auto"/>
            <w:noWrap/>
            <w:vAlign w:val="bottom"/>
            <w:hideMark/>
          </w:tcPr>
          <w:p w14:paraId="2CB517A7"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Leningrad Region  </w:t>
            </w:r>
          </w:p>
        </w:tc>
        <w:tc>
          <w:tcPr>
            <w:tcW w:w="1490" w:type="dxa"/>
            <w:tcBorders>
              <w:top w:val="nil"/>
              <w:left w:val="nil"/>
              <w:bottom w:val="single" w:sz="8" w:space="0" w:color="auto"/>
              <w:right w:val="nil"/>
            </w:tcBorders>
            <w:shd w:val="clear" w:color="auto" w:fill="auto"/>
            <w:noWrap/>
            <w:vAlign w:val="bottom"/>
            <w:hideMark/>
          </w:tcPr>
          <w:p w14:paraId="3A593CC8"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w:t>
            </w:r>
          </w:p>
        </w:tc>
        <w:tc>
          <w:tcPr>
            <w:tcW w:w="1366" w:type="dxa"/>
            <w:tcBorders>
              <w:top w:val="nil"/>
              <w:left w:val="nil"/>
              <w:bottom w:val="single" w:sz="8" w:space="0" w:color="auto"/>
              <w:right w:val="single" w:sz="8" w:space="0" w:color="auto"/>
            </w:tcBorders>
            <w:shd w:val="clear" w:color="auto" w:fill="auto"/>
            <w:noWrap/>
            <w:vAlign w:val="bottom"/>
            <w:hideMark/>
          </w:tcPr>
          <w:p w14:paraId="0C7D99B4"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w:t>
            </w:r>
          </w:p>
        </w:tc>
        <w:tc>
          <w:tcPr>
            <w:tcW w:w="1448" w:type="dxa"/>
            <w:tcBorders>
              <w:top w:val="nil"/>
              <w:left w:val="nil"/>
              <w:bottom w:val="single" w:sz="8" w:space="0" w:color="auto"/>
              <w:right w:val="single" w:sz="8" w:space="0" w:color="auto"/>
            </w:tcBorders>
            <w:shd w:val="clear" w:color="auto" w:fill="auto"/>
            <w:noWrap/>
            <w:vAlign w:val="bottom"/>
            <w:hideMark/>
          </w:tcPr>
          <w:p w14:paraId="497E4816"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w:t>
            </w:r>
          </w:p>
        </w:tc>
      </w:tr>
      <w:tr w:rsidR="008A5057" w:rsidRPr="00BD295E" w14:paraId="65028DA2"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7C0D7F1A"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Electricity supply to networks </w:t>
            </w:r>
          </w:p>
        </w:tc>
        <w:tc>
          <w:tcPr>
            <w:tcW w:w="1490" w:type="dxa"/>
            <w:tcBorders>
              <w:top w:val="nil"/>
              <w:left w:val="nil"/>
              <w:bottom w:val="single" w:sz="4" w:space="0" w:color="auto"/>
              <w:right w:val="single" w:sz="8" w:space="0" w:color="auto"/>
            </w:tcBorders>
            <w:shd w:val="clear" w:color="auto" w:fill="auto"/>
            <w:noWrap/>
            <w:vAlign w:val="bottom"/>
            <w:hideMark/>
          </w:tcPr>
          <w:p w14:paraId="2CD1F5C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12,676.44   </w:t>
            </w:r>
          </w:p>
        </w:tc>
        <w:tc>
          <w:tcPr>
            <w:tcW w:w="1366" w:type="dxa"/>
            <w:tcBorders>
              <w:top w:val="nil"/>
              <w:left w:val="nil"/>
              <w:bottom w:val="single" w:sz="4" w:space="0" w:color="auto"/>
              <w:right w:val="single" w:sz="8" w:space="0" w:color="auto"/>
            </w:tcBorders>
            <w:shd w:val="clear" w:color="auto" w:fill="auto"/>
            <w:noWrap/>
            <w:vAlign w:val="bottom"/>
            <w:hideMark/>
          </w:tcPr>
          <w:p w14:paraId="0DCE3AA5"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12,965.01   </w:t>
            </w:r>
          </w:p>
        </w:tc>
        <w:tc>
          <w:tcPr>
            <w:tcW w:w="1448" w:type="dxa"/>
            <w:tcBorders>
              <w:top w:val="nil"/>
              <w:left w:val="nil"/>
              <w:bottom w:val="single" w:sz="4" w:space="0" w:color="auto"/>
              <w:right w:val="single" w:sz="8" w:space="0" w:color="auto"/>
            </w:tcBorders>
            <w:shd w:val="clear" w:color="auto" w:fill="auto"/>
            <w:noWrap/>
            <w:vAlign w:val="bottom"/>
            <w:hideMark/>
          </w:tcPr>
          <w:p w14:paraId="3BAC88A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13,354.63   </w:t>
            </w:r>
          </w:p>
        </w:tc>
      </w:tr>
      <w:tr w:rsidR="008A5057" w:rsidRPr="00BD295E" w14:paraId="40C1BCB1"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2E007770"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w:t>
            </w:r>
            <w:r w:rsidR="000D659F" w:rsidRPr="00BD295E">
              <w:rPr>
                <w:rFonts w:ascii="Arial" w:hAnsi="Arial" w:cs="Arial"/>
                <w:sz w:val="18"/>
                <w:szCs w:val="18"/>
                <w:lang w:val="en-US"/>
              </w:rPr>
              <w:t>Capacity provided</w:t>
            </w:r>
            <w:r w:rsidRPr="00BD295E">
              <w:rPr>
                <w:rFonts w:ascii="Arial" w:hAnsi="Arial" w:cs="Arial"/>
                <w:sz w:val="18"/>
                <w:szCs w:val="18"/>
                <w:lang w:val="en-US"/>
              </w:rPr>
              <w:t xml:space="preserve"> </w:t>
            </w:r>
          </w:p>
        </w:tc>
        <w:tc>
          <w:tcPr>
            <w:tcW w:w="1490" w:type="dxa"/>
            <w:tcBorders>
              <w:top w:val="nil"/>
              <w:left w:val="nil"/>
              <w:bottom w:val="single" w:sz="4" w:space="0" w:color="auto"/>
              <w:right w:val="single" w:sz="8" w:space="0" w:color="auto"/>
            </w:tcBorders>
            <w:shd w:val="clear" w:color="auto" w:fill="auto"/>
            <w:vAlign w:val="bottom"/>
            <w:hideMark/>
          </w:tcPr>
          <w:p w14:paraId="62F2D9A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w:t>
            </w:r>
          </w:p>
        </w:tc>
        <w:tc>
          <w:tcPr>
            <w:tcW w:w="1366" w:type="dxa"/>
            <w:tcBorders>
              <w:top w:val="nil"/>
              <w:left w:val="nil"/>
              <w:bottom w:val="single" w:sz="4" w:space="0" w:color="auto"/>
              <w:right w:val="single" w:sz="8" w:space="0" w:color="auto"/>
            </w:tcBorders>
            <w:shd w:val="clear" w:color="auto" w:fill="auto"/>
            <w:vAlign w:val="bottom"/>
            <w:hideMark/>
          </w:tcPr>
          <w:p w14:paraId="1993DC71"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w:t>
            </w:r>
          </w:p>
        </w:tc>
        <w:tc>
          <w:tcPr>
            <w:tcW w:w="1448" w:type="dxa"/>
            <w:tcBorders>
              <w:top w:val="nil"/>
              <w:left w:val="nil"/>
              <w:bottom w:val="single" w:sz="4" w:space="0" w:color="auto"/>
              <w:right w:val="single" w:sz="8" w:space="0" w:color="auto"/>
            </w:tcBorders>
            <w:shd w:val="clear" w:color="auto" w:fill="auto"/>
            <w:vAlign w:val="bottom"/>
            <w:hideMark/>
          </w:tcPr>
          <w:p w14:paraId="587CA48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w:t>
            </w:r>
          </w:p>
        </w:tc>
      </w:tr>
      <w:tr w:rsidR="008A5057" w:rsidRPr="00BD295E" w14:paraId="7DC530B5" w14:textId="77777777" w:rsidTr="00162DD0">
        <w:trPr>
          <w:trHeight w:val="413"/>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370BBB9"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Consolidation of electric grid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 xml:space="preserve"> (electricity supply to networks) </w:t>
            </w:r>
          </w:p>
        </w:tc>
        <w:tc>
          <w:tcPr>
            <w:tcW w:w="1490" w:type="dxa"/>
            <w:tcBorders>
              <w:top w:val="nil"/>
              <w:left w:val="nil"/>
              <w:bottom w:val="single" w:sz="4" w:space="0" w:color="auto"/>
              <w:right w:val="single" w:sz="8" w:space="0" w:color="auto"/>
            </w:tcBorders>
            <w:shd w:val="clear" w:color="auto" w:fill="auto"/>
            <w:vAlign w:val="bottom"/>
            <w:hideMark/>
          </w:tcPr>
          <w:p w14:paraId="76DE97D9"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w:t>
            </w:r>
          </w:p>
        </w:tc>
        <w:tc>
          <w:tcPr>
            <w:tcW w:w="1366" w:type="dxa"/>
            <w:tcBorders>
              <w:top w:val="nil"/>
              <w:left w:val="nil"/>
              <w:bottom w:val="single" w:sz="4" w:space="0" w:color="auto"/>
              <w:right w:val="single" w:sz="8" w:space="0" w:color="auto"/>
            </w:tcBorders>
            <w:shd w:val="clear" w:color="auto" w:fill="auto"/>
            <w:vAlign w:val="bottom"/>
            <w:hideMark/>
          </w:tcPr>
          <w:p w14:paraId="5474526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w:t>
            </w:r>
          </w:p>
        </w:tc>
        <w:tc>
          <w:tcPr>
            <w:tcW w:w="1448" w:type="dxa"/>
            <w:tcBorders>
              <w:top w:val="nil"/>
              <w:left w:val="nil"/>
              <w:bottom w:val="single" w:sz="4" w:space="0" w:color="auto"/>
              <w:right w:val="single" w:sz="8" w:space="0" w:color="auto"/>
            </w:tcBorders>
            <w:shd w:val="clear" w:color="auto" w:fill="auto"/>
            <w:vAlign w:val="bottom"/>
            <w:hideMark/>
          </w:tcPr>
          <w:p w14:paraId="0D89E28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 </w:t>
            </w:r>
          </w:p>
        </w:tc>
      </w:tr>
      <w:tr w:rsidR="008A5057" w:rsidRPr="00BD295E" w14:paraId="47DAF57F" w14:textId="77777777" w:rsidTr="00162DD0">
        <w:trPr>
          <w:trHeight w:val="200"/>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0EA88C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Electricity supply to networks under comparable conditions </w:t>
            </w:r>
          </w:p>
        </w:tc>
        <w:tc>
          <w:tcPr>
            <w:tcW w:w="1490" w:type="dxa"/>
            <w:tcBorders>
              <w:top w:val="nil"/>
              <w:left w:val="nil"/>
              <w:bottom w:val="single" w:sz="4" w:space="0" w:color="auto"/>
              <w:right w:val="single" w:sz="8" w:space="0" w:color="auto"/>
            </w:tcBorders>
            <w:shd w:val="clear" w:color="auto" w:fill="auto"/>
            <w:noWrap/>
            <w:vAlign w:val="bottom"/>
            <w:hideMark/>
          </w:tcPr>
          <w:p w14:paraId="108D882B"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12,676.44   </w:t>
            </w:r>
          </w:p>
        </w:tc>
        <w:tc>
          <w:tcPr>
            <w:tcW w:w="1366" w:type="dxa"/>
            <w:tcBorders>
              <w:top w:val="nil"/>
              <w:left w:val="nil"/>
              <w:bottom w:val="single" w:sz="4" w:space="0" w:color="auto"/>
              <w:right w:val="single" w:sz="8" w:space="0" w:color="auto"/>
            </w:tcBorders>
            <w:shd w:val="clear" w:color="auto" w:fill="auto"/>
            <w:noWrap/>
            <w:vAlign w:val="bottom"/>
            <w:hideMark/>
          </w:tcPr>
          <w:p w14:paraId="20AD9F9B"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12,965.01   </w:t>
            </w:r>
          </w:p>
        </w:tc>
        <w:tc>
          <w:tcPr>
            <w:tcW w:w="1448" w:type="dxa"/>
            <w:tcBorders>
              <w:top w:val="nil"/>
              <w:left w:val="nil"/>
              <w:bottom w:val="single" w:sz="4" w:space="0" w:color="auto"/>
              <w:right w:val="single" w:sz="8" w:space="0" w:color="auto"/>
            </w:tcBorders>
            <w:shd w:val="clear" w:color="auto" w:fill="auto"/>
            <w:noWrap/>
            <w:vAlign w:val="bottom"/>
            <w:hideMark/>
          </w:tcPr>
          <w:p w14:paraId="3FD0C9D0"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13,354.63   </w:t>
            </w:r>
          </w:p>
        </w:tc>
      </w:tr>
      <w:tr w:rsidR="008A5057" w:rsidRPr="00BD295E" w14:paraId="10574F77" w14:textId="77777777" w:rsidTr="00162DD0">
        <w:trPr>
          <w:trHeight w:val="425"/>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608E72C"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Consolidation of electric grid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 xml:space="preserve"> (losses) </w:t>
            </w:r>
          </w:p>
        </w:tc>
        <w:tc>
          <w:tcPr>
            <w:tcW w:w="1490" w:type="dxa"/>
            <w:tcBorders>
              <w:top w:val="nil"/>
              <w:left w:val="nil"/>
              <w:bottom w:val="single" w:sz="4" w:space="0" w:color="auto"/>
              <w:right w:val="single" w:sz="8" w:space="0" w:color="auto"/>
            </w:tcBorders>
            <w:shd w:val="clear" w:color="auto" w:fill="auto"/>
            <w:noWrap/>
            <w:vAlign w:val="bottom"/>
            <w:hideMark/>
          </w:tcPr>
          <w:p w14:paraId="0E995B41"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w:t>
            </w:r>
          </w:p>
        </w:tc>
        <w:tc>
          <w:tcPr>
            <w:tcW w:w="1366" w:type="dxa"/>
            <w:tcBorders>
              <w:top w:val="nil"/>
              <w:left w:val="nil"/>
              <w:bottom w:val="single" w:sz="4" w:space="0" w:color="auto"/>
              <w:right w:val="single" w:sz="8" w:space="0" w:color="auto"/>
            </w:tcBorders>
            <w:shd w:val="clear" w:color="auto" w:fill="auto"/>
            <w:noWrap/>
            <w:vAlign w:val="bottom"/>
            <w:hideMark/>
          </w:tcPr>
          <w:p w14:paraId="2C4E7F0B"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5.84   </w:t>
            </w:r>
          </w:p>
        </w:tc>
        <w:tc>
          <w:tcPr>
            <w:tcW w:w="1448" w:type="dxa"/>
            <w:tcBorders>
              <w:top w:val="nil"/>
              <w:left w:val="nil"/>
              <w:bottom w:val="single" w:sz="4" w:space="0" w:color="auto"/>
              <w:right w:val="single" w:sz="8" w:space="0" w:color="auto"/>
            </w:tcBorders>
            <w:shd w:val="clear" w:color="auto" w:fill="auto"/>
            <w:noWrap/>
            <w:vAlign w:val="bottom"/>
            <w:hideMark/>
          </w:tcPr>
          <w:p w14:paraId="5A6C85D6"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5.84   </w:t>
            </w:r>
          </w:p>
        </w:tc>
      </w:tr>
      <w:tr w:rsidR="008A5057" w:rsidRPr="00BD295E" w14:paraId="57441F95" w14:textId="77777777" w:rsidTr="00162DD0">
        <w:trPr>
          <w:trHeight w:val="200"/>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0905137"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Actual losses </w:t>
            </w:r>
          </w:p>
        </w:tc>
        <w:tc>
          <w:tcPr>
            <w:tcW w:w="1490" w:type="dxa"/>
            <w:tcBorders>
              <w:top w:val="nil"/>
              <w:left w:val="nil"/>
              <w:bottom w:val="single" w:sz="4" w:space="0" w:color="auto"/>
              <w:right w:val="single" w:sz="8" w:space="0" w:color="auto"/>
            </w:tcBorders>
            <w:shd w:val="clear" w:color="auto" w:fill="auto"/>
            <w:noWrap/>
            <w:vAlign w:val="bottom"/>
            <w:hideMark/>
          </w:tcPr>
          <w:p w14:paraId="3B885B4F"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1,330.13   </w:t>
            </w:r>
          </w:p>
        </w:tc>
        <w:tc>
          <w:tcPr>
            <w:tcW w:w="1366" w:type="dxa"/>
            <w:tcBorders>
              <w:top w:val="nil"/>
              <w:left w:val="nil"/>
              <w:bottom w:val="single" w:sz="4" w:space="0" w:color="auto"/>
              <w:right w:val="single" w:sz="8" w:space="0" w:color="auto"/>
            </w:tcBorders>
            <w:shd w:val="clear" w:color="auto" w:fill="auto"/>
            <w:noWrap/>
            <w:vAlign w:val="bottom"/>
            <w:hideMark/>
          </w:tcPr>
          <w:p w14:paraId="7923C59B"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1,365.66   </w:t>
            </w:r>
          </w:p>
        </w:tc>
        <w:tc>
          <w:tcPr>
            <w:tcW w:w="1448" w:type="dxa"/>
            <w:tcBorders>
              <w:top w:val="nil"/>
              <w:left w:val="nil"/>
              <w:bottom w:val="single" w:sz="4" w:space="0" w:color="auto"/>
              <w:right w:val="single" w:sz="8" w:space="0" w:color="auto"/>
            </w:tcBorders>
            <w:shd w:val="clear" w:color="auto" w:fill="auto"/>
            <w:noWrap/>
            <w:vAlign w:val="bottom"/>
            <w:hideMark/>
          </w:tcPr>
          <w:p w14:paraId="6C60C3CA"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1,374.12   </w:t>
            </w:r>
          </w:p>
        </w:tc>
      </w:tr>
      <w:tr w:rsidR="008A5057" w:rsidRPr="00BD295E" w14:paraId="6384B347"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6B7C7310"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Percentage of actual losses </w:t>
            </w:r>
          </w:p>
        </w:tc>
        <w:tc>
          <w:tcPr>
            <w:tcW w:w="1490" w:type="dxa"/>
            <w:tcBorders>
              <w:top w:val="nil"/>
              <w:left w:val="nil"/>
              <w:bottom w:val="single" w:sz="4" w:space="0" w:color="auto"/>
              <w:right w:val="single" w:sz="8" w:space="0" w:color="auto"/>
            </w:tcBorders>
            <w:shd w:val="clear" w:color="auto" w:fill="auto"/>
            <w:noWrap/>
            <w:vAlign w:val="bottom"/>
            <w:hideMark/>
          </w:tcPr>
          <w:p w14:paraId="2057282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10.49%</w:t>
            </w:r>
          </w:p>
        </w:tc>
        <w:tc>
          <w:tcPr>
            <w:tcW w:w="1366" w:type="dxa"/>
            <w:tcBorders>
              <w:top w:val="nil"/>
              <w:left w:val="nil"/>
              <w:bottom w:val="single" w:sz="4" w:space="0" w:color="auto"/>
              <w:right w:val="single" w:sz="8" w:space="0" w:color="auto"/>
            </w:tcBorders>
            <w:shd w:val="clear" w:color="auto" w:fill="auto"/>
            <w:noWrap/>
            <w:vAlign w:val="bottom"/>
            <w:hideMark/>
          </w:tcPr>
          <w:p w14:paraId="4AABECA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10.53%</w:t>
            </w:r>
          </w:p>
        </w:tc>
        <w:tc>
          <w:tcPr>
            <w:tcW w:w="1448" w:type="dxa"/>
            <w:tcBorders>
              <w:top w:val="nil"/>
              <w:left w:val="nil"/>
              <w:bottom w:val="single" w:sz="4" w:space="0" w:color="auto"/>
              <w:right w:val="single" w:sz="8" w:space="0" w:color="auto"/>
            </w:tcBorders>
            <w:shd w:val="clear" w:color="auto" w:fill="auto"/>
            <w:noWrap/>
            <w:vAlign w:val="bottom"/>
            <w:hideMark/>
          </w:tcPr>
          <w:p w14:paraId="40A3B5D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10.29%</w:t>
            </w:r>
          </w:p>
        </w:tc>
      </w:tr>
      <w:tr w:rsidR="008A5057" w:rsidRPr="00BD295E" w14:paraId="4A0CDED1"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74DE9C6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Losses under comparable conditions </w:t>
            </w:r>
          </w:p>
        </w:tc>
        <w:tc>
          <w:tcPr>
            <w:tcW w:w="1490" w:type="dxa"/>
            <w:tcBorders>
              <w:top w:val="nil"/>
              <w:left w:val="nil"/>
              <w:bottom w:val="single" w:sz="4" w:space="0" w:color="auto"/>
              <w:right w:val="single" w:sz="8" w:space="0" w:color="auto"/>
            </w:tcBorders>
            <w:shd w:val="clear" w:color="auto" w:fill="auto"/>
            <w:noWrap/>
            <w:vAlign w:val="bottom"/>
            <w:hideMark/>
          </w:tcPr>
          <w:p w14:paraId="1B224388"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1,330.13   </w:t>
            </w:r>
          </w:p>
        </w:tc>
        <w:tc>
          <w:tcPr>
            <w:tcW w:w="1366" w:type="dxa"/>
            <w:tcBorders>
              <w:top w:val="nil"/>
              <w:left w:val="nil"/>
              <w:bottom w:val="single" w:sz="4" w:space="0" w:color="auto"/>
              <w:right w:val="single" w:sz="8" w:space="0" w:color="auto"/>
            </w:tcBorders>
            <w:shd w:val="clear" w:color="auto" w:fill="auto"/>
            <w:noWrap/>
            <w:vAlign w:val="bottom"/>
            <w:hideMark/>
          </w:tcPr>
          <w:p w14:paraId="0C85697D"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1,359.82   </w:t>
            </w:r>
          </w:p>
        </w:tc>
        <w:tc>
          <w:tcPr>
            <w:tcW w:w="1448" w:type="dxa"/>
            <w:tcBorders>
              <w:top w:val="nil"/>
              <w:left w:val="nil"/>
              <w:bottom w:val="single" w:sz="4" w:space="0" w:color="auto"/>
              <w:right w:val="single" w:sz="8" w:space="0" w:color="auto"/>
            </w:tcBorders>
            <w:shd w:val="clear" w:color="auto" w:fill="auto"/>
            <w:noWrap/>
            <w:vAlign w:val="bottom"/>
            <w:hideMark/>
          </w:tcPr>
          <w:p w14:paraId="752C92E9"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1,368.28   </w:t>
            </w:r>
          </w:p>
        </w:tc>
      </w:tr>
      <w:tr w:rsidR="008A5057" w:rsidRPr="00BD295E" w14:paraId="54D7FEC6" w14:textId="77777777" w:rsidTr="00162DD0">
        <w:trPr>
          <w:trHeight w:val="212"/>
        </w:trPr>
        <w:tc>
          <w:tcPr>
            <w:tcW w:w="5257" w:type="dxa"/>
            <w:tcBorders>
              <w:top w:val="nil"/>
              <w:left w:val="single" w:sz="8" w:space="0" w:color="auto"/>
              <w:bottom w:val="single" w:sz="8" w:space="0" w:color="auto"/>
              <w:right w:val="single" w:sz="4" w:space="0" w:color="auto"/>
            </w:tcBorders>
            <w:shd w:val="clear" w:color="auto" w:fill="auto"/>
            <w:vAlign w:val="bottom"/>
            <w:hideMark/>
          </w:tcPr>
          <w:p w14:paraId="6ACCE099"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Percentage of losses under comparable conditions </w:t>
            </w:r>
          </w:p>
        </w:tc>
        <w:tc>
          <w:tcPr>
            <w:tcW w:w="1490" w:type="dxa"/>
            <w:tcBorders>
              <w:top w:val="nil"/>
              <w:left w:val="nil"/>
              <w:bottom w:val="single" w:sz="8" w:space="0" w:color="auto"/>
              <w:right w:val="single" w:sz="8" w:space="0" w:color="auto"/>
            </w:tcBorders>
            <w:shd w:val="clear" w:color="auto" w:fill="auto"/>
            <w:noWrap/>
            <w:vAlign w:val="bottom"/>
            <w:hideMark/>
          </w:tcPr>
          <w:p w14:paraId="50D14445"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10.49%</w:t>
            </w:r>
          </w:p>
        </w:tc>
        <w:tc>
          <w:tcPr>
            <w:tcW w:w="1366" w:type="dxa"/>
            <w:tcBorders>
              <w:top w:val="nil"/>
              <w:left w:val="nil"/>
              <w:bottom w:val="single" w:sz="8" w:space="0" w:color="auto"/>
              <w:right w:val="single" w:sz="8" w:space="0" w:color="auto"/>
            </w:tcBorders>
            <w:shd w:val="clear" w:color="auto" w:fill="auto"/>
            <w:noWrap/>
            <w:vAlign w:val="bottom"/>
            <w:hideMark/>
          </w:tcPr>
          <w:p w14:paraId="0734DA1F"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10.49%</w:t>
            </w:r>
          </w:p>
        </w:tc>
        <w:tc>
          <w:tcPr>
            <w:tcW w:w="1448" w:type="dxa"/>
            <w:tcBorders>
              <w:top w:val="nil"/>
              <w:left w:val="nil"/>
              <w:bottom w:val="single" w:sz="8" w:space="0" w:color="auto"/>
              <w:right w:val="single" w:sz="8" w:space="0" w:color="auto"/>
            </w:tcBorders>
            <w:shd w:val="clear" w:color="auto" w:fill="auto"/>
            <w:noWrap/>
            <w:vAlign w:val="bottom"/>
            <w:hideMark/>
          </w:tcPr>
          <w:p w14:paraId="11A07C94"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10.25%</w:t>
            </w:r>
          </w:p>
        </w:tc>
      </w:tr>
      <w:tr w:rsidR="008A5057" w:rsidRPr="00BD295E" w14:paraId="155FB167" w14:textId="77777777" w:rsidTr="00162DD0">
        <w:trPr>
          <w:trHeight w:val="248"/>
        </w:trPr>
        <w:tc>
          <w:tcPr>
            <w:tcW w:w="5257" w:type="dxa"/>
            <w:tcBorders>
              <w:top w:val="nil"/>
              <w:left w:val="single" w:sz="8" w:space="0" w:color="auto"/>
              <w:bottom w:val="single" w:sz="8" w:space="0" w:color="auto"/>
              <w:right w:val="nil"/>
            </w:tcBorders>
            <w:shd w:val="clear" w:color="auto" w:fill="auto"/>
            <w:noWrap/>
            <w:vAlign w:val="bottom"/>
            <w:hideMark/>
          </w:tcPr>
          <w:p w14:paraId="7D55D6EE"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Total </w:t>
            </w:r>
          </w:p>
        </w:tc>
        <w:tc>
          <w:tcPr>
            <w:tcW w:w="1490" w:type="dxa"/>
            <w:tcBorders>
              <w:top w:val="nil"/>
              <w:left w:val="nil"/>
              <w:bottom w:val="single" w:sz="8" w:space="0" w:color="auto"/>
              <w:right w:val="nil"/>
            </w:tcBorders>
            <w:shd w:val="clear" w:color="auto" w:fill="auto"/>
            <w:noWrap/>
            <w:vAlign w:val="bottom"/>
            <w:hideMark/>
          </w:tcPr>
          <w:p w14:paraId="612362F8"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w:t>
            </w:r>
          </w:p>
        </w:tc>
        <w:tc>
          <w:tcPr>
            <w:tcW w:w="1366" w:type="dxa"/>
            <w:tcBorders>
              <w:top w:val="nil"/>
              <w:left w:val="nil"/>
              <w:bottom w:val="single" w:sz="8" w:space="0" w:color="auto"/>
              <w:right w:val="single" w:sz="8" w:space="0" w:color="auto"/>
            </w:tcBorders>
            <w:shd w:val="clear" w:color="auto" w:fill="auto"/>
            <w:noWrap/>
            <w:vAlign w:val="bottom"/>
            <w:hideMark/>
          </w:tcPr>
          <w:p w14:paraId="25989D56"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w:t>
            </w:r>
          </w:p>
        </w:tc>
        <w:tc>
          <w:tcPr>
            <w:tcW w:w="1448" w:type="dxa"/>
            <w:tcBorders>
              <w:top w:val="nil"/>
              <w:left w:val="nil"/>
              <w:bottom w:val="single" w:sz="8" w:space="0" w:color="auto"/>
              <w:right w:val="single" w:sz="8" w:space="0" w:color="auto"/>
            </w:tcBorders>
            <w:shd w:val="clear" w:color="auto" w:fill="auto"/>
            <w:noWrap/>
            <w:vAlign w:val="bottom"/>
            <w:hideMark/>
          </w:tcPr>
          <w:p w14:paraId="6AD8AC87"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w:t>
            </w:r>
          </w:p>
        </w:tc>
      </w:tr>
      <w:tr w:rsidR="008A5057" w:rsidRPr="00BD295E" w14:paraId="74D55324"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132587B9"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Electricity supply to networks </w:t>
            </w:r>
          </w:p>
        </w:tc>
        <w:tc>
          <w:tcPr>
            <w:tcW w:w="1490" w:type="dxa"/>
            <w:tcBorders>
              <w:top w:val="nil"/>
              <w:left w:val="nil"/>
              <w:bottom w:val="single" w:sz="4" w:space="0" w:color="auto"/>
              <w:right w:val="single" w:sz="8" w:space="0" w:color="auto"/>
            </w:tcBorders>
            <w:shd w:val="clear" w:color="auto" w:fill="auto"/>
            <w:noWrap/>
            <w:vAlign w:val="bottom"/>
            <w:hideMark/>
          </w:tcPr>
          <w:p w14:paraId="21D48CBD"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34,160.18   </w:t>
            </w:r>
          </w:p>
        </w:tc>
        <w:tc>
          <w:tcPr>
            <w:tcW w:w="1366" w:type="dxa"/>
            <w:tcBorders>
              <w:top w:val="nil"/>
              <w:left w:val="nil"/>
              <w:bottom w:val="single" w:sz="4" w:space="0" w:color="auto"/>
              <w:right w:val="single" w:sz="8" w:space="0" w:color="auto"/>
            </w:tcBorders>
            <w:shd w:val="clear" w:color="auto" w:fill="auto"/>
            <w:noWrap/>
            <w:vAlign w:val="bottom"/>
            <w:hideMark/>
          </w:tcPr>
          <w:p w14:paraId="722801E7"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34,791.20   </w:t>
            </w:r>
          </w:p>
        </w:tc>
        <w:tc>
          <w:tcPr>
            <w:tcW w:w="1448" w:type="dxa"/>
            <w:tcBorders>
              <w:top w:val="nil"/>
              <w:left w:val="nil"/>
              <w:bottom w:val="single" w:sz="4" w:space="0" w:color="auto"/>
              <w:right w:val="single" w:sz="8" w:space="0" w:color="auto"/>
            </w:tcBorders>
            <w:shd w:val="clear" w:color="auto" w:fill="auto"/>
            <w:noWrap/>
            <w:vAlign w:val="bottom"/>
            <w:hideMark/>
          </w:tcPr>
          <w:p w14:paraId="03DDF38E"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35,558.49   </w:t>
            </w:r>
          </w:p>
        </w:tc>
      </w:tr>
      <w:tr w:rsidR="008A5057" w:rsidRPr="00BD295E" w14:paraId="1BDA14E5"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36E39400"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w:t>
            </w:r>
            <w:r w:rsidR="000D659F" w:rsidRPr="00BD295E">
              <w:rPr>
                <w:rFonts w:ascii="Arial" w:hAnsi="Arial" w:cs="Arial"/>
                <w:sz w:val="18"/>
                <w:szCs w:val="18"/>
                <w:lang w:val="en-US"/>
              </w:rPr>
              <w:t>Capacity provided</w:t>
            </w:r>
            <w:r w:rsidRPr="00BD295E">
              <w:rPr>
                <w:rFonts w:ascii="Arial" w:hAnsi="Arial" w:cs="Arial"/>
                <w:sz w:val="18"/>
                <w:szCs w:val="18"/>
                <w:lang w:val="en-US"/>
              </w:rPr>
              <w:t xml:space="preserve"> </w:t>
            </w:r>
          </w:p>
        </w:tc>
        <w:tc>
          <w:tcPr>
            <w:tcW w:w="1490" w:type="dxa"/>
            <w:tcBorders>
              <w:top w:val="nil"/>
              <w:left w:val="nil"/>
              <w:bottom w:val="single" w:sz="4" w:space="0" w:color="auto"/>
              <w:right w:val="single" w:sz="8" w:space="0" w:color="auto"/>
            </w:tcBorders>
            <w:shd w:val="clear" w:color="auto" w:fill="auto"/>
            <w:noWrap/>
            <w:vAlign w:val="bottom"/>
            <w:hideMark/>
          </w:tcPr>
          <w:p w14:paraId="53B18AA8"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     </w:t>
            </w:r>
          </w:p>
        </w:tc>
        <w:tc>
          <w:tcPr>
            <w:tcW w:w="1366" w:type="dxa"/>
            <w:tcBorders>
              <w:top w:val="nil"/>
              <w:left w:val="nil"/>
              <w:bottom w:val="single" w:sz="4" w:space="0" w:color="auto"/>
              <w:right w:val="single" w:sz="8" w:space="0" w:color="auto"/>
            </w:tcBorders>
            <w:shd w:val="clear" w:color="auto" w:fill="auto"/>
            <w:noWrap/>
            <w:vAlign w:val="bottom"/>
            <w:hideMark/>
          </w:tcPr>
          <w:p w14:paraId="5D2133E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     </w:t>
            </w:r>
          </w:p>
        </w:tc>
        <w:tc>
          <w:tcPr>
            <w:tcW w:w="1448" w:type="dxa"/>
            <w:tcBorders>
              <w:top w:val="nil"/>
              <w:left w:val="nil"/>
              <w:bottom w:val="single" w:sz="4" w:space="0" w:color="auto"/>
              <w:right w:val="single" w:sz="8" w:space="0" w:color="auto"/>
            </w:tcBorders>
            <w:shd w:val="clear" w:color="auto" w:fill="auto"/>
            <w:noWrap/>
            <w:vAlign w:val="bottom"/>
            <w:hideMark/>
          </w:tcPr>
          <w:p w14:paraId="5DD051AC"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     </w:t>
            </w:r>
          </w:p>
        </w:tc>
      </w:tr>
      <w:tr w:rsidR="008A5057" w:rsidRPr="00BD295E" w14:paraId="79C5A464" w14:textId="77777777" w:rsidTr="00162DD0">
        <w:trPr>
          <w:trHeight w:val="401"/>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8604DC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Consolidation of electric grid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 xml:space="preserve"> (electricity supply to networks) </w:t>
            </w:r>
          </w:p>
        </w:tc>
        <w:tc>
          <w:tcPr>
            <w:tcW w:w="1490" w:type="dxa"/>
            <w:tcBorders>
              <w:top w:val="nil"/>
              <w:left w:val="nil"/>
              <w:bottom w:val="single" w:sz="4" w:space="0" w:color="auto"/>
              <w:right w:val="single" w:sz="8" w:space="0" w:color="auto"/>
            </w:tcBorders>
            <w:shd w:val="clear" w:color="auto" w:fill="auto"/>
            <w:noWrap/>
            <w:vAlign w:val="bottom"/>
            <w:hideMark/>
          </w:tcPr>
          <w:p w14:paraId="41941100"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w:t>
            </w:r>
          </w:p>
        </w:tc>
        <w:tc>
          <w:tcPr>
            <w:tcW w:w="1366" w:type="dxa"/>
            <w:tcBorders>
              <w:top w:val="nil"/>
              <w:left w:val="nil"/>
              <w:bottom w:val="single" w:sz="4" w:space="0" w:color="auto"/>
              <w:right w:val="single" w:sz="8" w:space="0" w:color="auto"/>
            </w:tcBorders>
            <w:shd w:val="clear" w:color="auto" w:fill="auto"/>
            <w:noWrap/>
            <w:vAlign w:val="bottom"/>
            <w:hideMark/>
          </w:tcPr>
          <w:p w14:paraId="685CFAB3"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436.29   </w:t>
            </w:r>
          </w:p>
        </w:tc>
        <w:tc>
          <w:tcPr>
            <w:tcW w:w="1448" w:type="dxa"/>
            <w:tcBorders>
              <w:top w:val="nil"/>
              <w:left w:val="nil"/>
              <w:bottom w:val="single" w:sz="4" w:space="0" w:color="auto"/>
              <w:right w:val="single" w:sz="8" w:space="0" w:color="auto"/>
            </w:tcBorders>
            <w:shd w:val="clear" w:color="auto" w:fill="auto"/>
            <w:noWrap/>
            <w:vAlign w:val="bottom"/>
            <w:hideMark/>
          </w:tcPr>
          <w:p w14:paraId="520A8CBA"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436.29   </w:t>
            </w:r>
          </w:p>
        </w:tc>
      </w:tr>
      <w:tr w:rsidR="008A5057" w:rsidRPr="00BD295E" w14:paraId="7FE108A5" w14:textId="77777777" w:rsidTr="00162DD0">
        <w:trPr>
          <w:trHeight w:val="200"/>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E4094F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Electricity supply to networks under comparable conditions </w:t>
            </w:r>
          </w:p>
        </w:tc>
        <w:tc>
          <w:tcPr>
            <w:tcW w:w="1490" w:type="dxa"/>
            <w:tcBorders>
              <w:top w:val="nil"/>
              <w:left w:val="nil"/>
              <w:bottom w:val="single" w:sz="4" w:space="0" w:color="auto"/>
              <w:right w:val="single" w:sz="8" w:space="0" w:color="auto"/>
            </w:tcBorders>
            <w:shd w:val="clear" w:color="auto" w:fill="auto"/>
            <w:noWrap/>
            <w:vAlign w:val="bottom"/>
            <w:hideMark/>
          </w:tcPr>
          <w:p w14:paraId="7E9F1B98"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34,160.18   </w:t>
            </w:r>
          </w:p>
        </w:tc>
        <w:tc>
          <w:tcPr>
            <w:tcW w:w="1366" w:type="dxa"/>
            <w:tcBorders>
              <w:top w:val="nil"/>
              <w:left w:val="nil"/>
              <w:bottom w:val="single" w:sz="4" w:space="0" w:color="auto"/>
              <w:right w:val="single" w:sz="8" w:space="0" w:color="auto"/>
            </w:tcBorders>
            <w:shd w:val="clear" w:color="auto" w:fill="auto"/>
            <w:noWrap/>
            <w:vAlign w:val="bottom"/>
            <w:hideMark/>
          </w:tcPr>
          <w:p w14:paraId="38F296F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34,354.91   </w:t>
            </w:r>
          </w:p>
        </w:tc>
        <w:tc>
          <w:tcPr>
            <w:tcW w:w="1448" w:type="dxa"/>
            <w:tcBorders>
              <w:top w:val="nil"/>
              <w:left w:val="nil"/>
              <w:bottom w:val="single" w:sz="4" w:space="0" w:color="auto"/>
              <w:right w:val="single" w:sz="8" w:space="0" w:color="auto"/>
            </w:tcBorders>
            <w:shd w:val="clear" w:color="auto" w:fill="auto"/>
            <w:noWrap/>
            <w:vAlign w:val="bottom"/>
            <w:hideMark/>
          </w:tcPr>
          <w:p w14:paraId="4D959E26"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35,122.20   </w:t>
            </w:r>
          </w:p>
        </w:tc>
      </w:tr>
      <w:tr w:rsidR="008A5057" w:rsidRPr="00BD295E" w14:paraId="596BCD21" w14:textId="77777777" w:rsidTr="00162DD0">
        <w:trPr>
          <w:trHeight w:val="436"/>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71590E8"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Consolidation of electric grid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 xml:space="preserve"> (losses) </w:t>
            </w:r>
          </w:p>
        </w:tc>
        <w:tc>
          <w:tcPr>
            <w:tcW w:w="1490" w:type="dxa"/>
            <w:tcBorders>
              <w:top w:val="nil"/>
              <w:left w:val="nil"/>
              <w:bottom w:val="single" w:sz="4" w:space="0" w:color="auto"/>
              <w:right w:val="single" w:sz="8" w:space="0" w:color="auto"/>
            </w:tcBorders>
            <w:shd w:val="clear" w:color="auto" w:fill="auto"/>
            <w:noWrap/>
            <w:vAlign w:val="bottom"/>
            <w:hideMark/>
          </w:tcPr>
          <w:p w14:paraId="116514F0"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w:t>
            </w:r>
          </w:p>
        </w:tc>
        <w:tc>
          <w:tcPr>
            <w:tcW w:w="1366" w:type="dxa"/>
            <w:tcBorders>
              <w:top w:val="nil"/>
              <w:left w:val="nil"/>
              <w:bottom w:val="single" w:sz="4" w:space="0" w:color="auto"/>
              <w:right w:val="single" w:sz="8" w:space="0" w:color="auto"/>
            </w:tcBorders>
            <w:shd w:val="clear" w:color="auto" w:fill="auto"/>
            <w:noWrap/>
            <w:vAlign w:val="bottom"/>
            <w:hideMark/>
          </w:tcPr>
          <w:p w14:paraId="6DE0EA0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295.08   </w:t>
            </w:r>
          </w:p>
        </w:tc>
        <w:tc>
          <w:tcPr>
            <w:tcW w:w="1448" w:type="dxa"/>
            <w:tcBorders>
              <w:top w:val="nil"/>
              <w:left w:val="nil"/>
              <w:bottom w:val="single" w:sz="4" w:space="0" w:color="auto"/>
              <w:right w:val="single" w:sz="8" w:space="0" w:color="auto"/>
            </w:tcBorders>
            <w:shd w:val="clear" w:color="auto" w:fill="auto"/>
            <w:noWrap/>
            <w:vAlign w:val="bottom"/>
            <w:hideMark/>
          </w:tcPr>
          <w:p w14:paraId="687E897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295.08   </w:t>
            </w:r>
          </w:p>
        </w:tc>
      </w:tr>
      <w:tr w:rsidR="008A5057" w:rsidRPr="00BD295E" w14:paraId="283E561F" w14:textId="77777777" w:rsidTr="00162DD0">
        <w:trPr>
          <w:trHeight w:val="200"/>
        </w:trPr>
        <w:tc>
          <w:tcPr>
            <w:tcW w:w="5257"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A9485A"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Actual losses </w:t>
            </w:r>
          </w:p>
        </w:tc>
        <w:tc>
          <w:tcPr>
            <w:tcW w:w="1490" w:type="dxa"/>
            <w:tcBorders>
              <w:top w:val="nil"/>
              <w:left w:val="nil"/>
              <w:bottom w:val="single" w:sz="4" w:space="0" w:color="auto"/>
              <w:right w:val="single" w:sz="8" w:space="0" w:color="auto"/>
            </w:tcBorders>
            <w:shd w:val="clear" w:color="auto" w:fill="auto"/>
            <w:noWrap/>
            <w:vAlign w:val="bottom"/>
            <w:hideMark/>
          </w:tcPr>
          <w:p w14:paraId="5449649C"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3,939.70   </w:t>
            </w:r>
          </w:p>
        </w:tc>
        <w:tc>
          <w:tcPr>
            <w:tcW w:w="1366" w:type="dxa"/>
            <w:tcBorders>
              <w:top w:val="nil"/>
              <w:left w:val="nil"/>
              <w:bottom w:val="single" w:sz="4" w:space="0" w:color="auto"/>
              <w:right w:val="single" w:sz="8" w:space="0" w:color="auto"/>
            </w:tcBorders>
            <w:shd w:val="clear" w:color="auto" w:fill="auto"/>
            <w:noWrap/>
            <w:vAlign w:val="bottom"/>
            <w:hideMark/>
          </w:tcPr>
          <w:p w14:paraId="1EA58C31"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4,193.20   </w:t>
            </w:r>
          </w:p>
        </w:tc>
        <w:tc>
          <w:tcPr>
            <w:tcW w:w="1448" w:type="dxa"/>
            <w:tcBorders>
              <w:top w:val="nil"/>
              <w:left w:val="nil"/>
              <w:bottom w:val="single" w:sz="4" w:space="0" w:color="auto"/>
              <w:right w:val="single" w:sz="8" w:space="0" w:color="auto"/>
            </w:tcBorders>
            <w:shd w:val="clear" w:color="auto" w:fill="auto"/>
            <w:noWrap/>
            <w:vAlign w:val="bottom"/>
            <w:hideMark/>
          </w:tcPr>
          <w:p w14:paraId="4FFFED45"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4,162.17   </w:t>
            </w:r>
          </w:p>
        </w:tc>
      </w:tr>
      <w:tr w:rsidR="008A5057" w:rsidRPr="00BD295E" w14:paraId="1A195A8A"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7A7AA5DF"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 Percentage of actual losses </w:t>
            </w:r>
          </w:p>
        </w:tc>
        <w:tc>
          <w:tcPr>
            <w:tcW w:w="1490" w:type="dxa"/>
            <w:tcBorders>
              <w:top w:val="nil"/>
              <w:left w:val="nil"/>
              <w:bottom w:val="single" w:sz="4" w:space="0" w:color="auto"/>
              <w:right w:val="single" w:sz="8" w:space="0" w:color="auto"/>
            </w:tcBorders>
            <w:shd w:val="clear" w:color="auto" w:fill="auto"/>
            <w:noWrap/>
            <w:vAlign w:val="bottom"/>
            <w:hideMark/>
          </w:tcPr>
          <w:p w14:paraId="4E3A4835"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11.53%</w:t>
            </w:r>
          </w:p>
        </w:tc>
        <w:tc>
          <w:tcPr>
            <w:tcW w:w="1366" w:type="dxa"/>
            <w:tcBorders>
              <w:top w:val="nil"/>
              <w:left w:val="nil"/>
              <w:bottom w:val="single" w:sz="4" w:space="0" w:color="auto"/>
              <w:right w:val="single" w:sz="8" w:space="0" w:color="auto"/>
            </w:tcBorders>
            <w:shd w:val="clear" w:color="auto" w:fill="auto"/>
            <w:noWrap/>
            <w:vAlign w:val="bottom"/>
            <w:hideMark/>
          </w:tcPr>
          <w:p w14:paraId="2CF0FE2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12.05%</w:t>
            </w:r>
          </w:p>
        </w:tc>
        <w:tc>
          <w:tcPr>
            <w:tcW w:w="1448" w:type="dxa"/>
            <w:tcBorders>
              <w:top w:val="nil"/>
              <w:left w:val="nil"/>
              <w:bottom w:val="single" w:sz="4" w:space="0" w:color="auto"/>
              <w:right w:val="single" w:sz="8" w:space="0" w:color="auto"/>
            </w:tcBorders>
            <w:shd w:val="clear" w:color="auto" w:fill="auto"/>
            <w:noWrap/>
            <w:vAlign w:val="bottom"/>
            <w:hideMark/>
          </w:tcPr>
          <w:p w14:paraId="34541E40"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11.71%</w:t>
            </w:r>
          </w:p>
        </w:tc>
      </w:tr>
      <w:tr w:rsidR="008A5057" w:rsidRPr="00BD295E" w14:paraId="2DC87EFF" w14:textId="77777777" w:rsidTr="00162DD0">
        <w:trPr>
          <w:trHeight w:val="200"/>
        </w:trPr>
        <w:tc>
          <w:tcPr>
            <w:tcW w:w="5257" w:type="dxa"/>
            <w:tcBorders>
              <w:top w:val="nil"/>
              <w:left w:val="single" w:sz="8" w:space="0" w:color="auto"/>
              <w:bottom w:val="single" w:sz="4" w:space="0" w:color="auto"/>
              <w:right w:val="single" w:sz="4" w:space="0" w:color="auto"/>
            </w:tcBorders>
            <w:shd w:val="clear" w:color="auto" w:fill="auto"/>
            <w:vAlign w:val="bottom"/>
            <w:hideMark/>
          </w:tcPr>
          <w:p w14:paraId="59B31914" w14:textId="77777777" w:rsidR="00162DD0" w:rsidRPr="00BD295E" w:rsidRDefault="008A5057" w:rsidP="00E07F74">
            <w:pPr>
              <w:rPr>
                <w:rFonts w:ascii="Arial" w:hAnsi="Arial" w:cs="Arial"/>
                <w:sz w:val="18"/>
                <w:szCs w:val="18"/>
                <w:lang w:val="en-US"/>
              </w:rPr>
            </w:pPr>
            <w:r w:rsidRPr="00BD295E">
              <w:rPr>
                <w:rFonts w:ascii="Arial" w:hAnsi="Arial" w:cs="Arial"/>
                <w:sz w:val="18"/>
                <w:szCs w:val="18"/>
                <w:lang w:val="en-US"/>
              </w:rPr>
              <w:t xml:space="preserve"> Losses under comparable conditions </w:t>
            </w:r>
          </w:p>
        </w:tc>
        <w:tc>
          <w:tcPr>
            <w:tcW w:w="1490" w:type="dxa"/>
            <w:tcBorders>
              <w:top w:val="nil"/>
              <w:left w:val="nil"/>
              <w:bottom w:val="single" w:sz="4" w:space="0" w:color="auto"/>
              <w:right w:val="single" w:sz="8" w:space="0" w:color="auto"/>
            </w:tcBorders>
            <w:shd w:val="clear" w:color="auto" w:fill="auto"/>
            <w:noWrap/>
            <w:vAlign w:val="bottom"/>
            <w:hideMark/>
          </w:tcPr>
          <w:p w14:paraId="46D5EFE7"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3,939.70   </w:t>
            </w:r>
          </w:p>
        </w:tc>
        <w:tc>
          <w:tcPr>
            <w:tcW w:w="1366" w:type="dxa"/>
            <w:tcBorders>
              <w:top w:val="nil"/>
              <w:left w:val="nil"/>
              <w:bottom w:val="single" w:sz="4" w:space="0" w:color="auto"/>
              <w:right w:val="single" w:sz="8" w:space="0" w:color="auto"/>
            </w:tcBorders>
            <w:shd w:val="clear" w:color="auto" w:fill="auto"/>
            <w:noWrap/>
            <w:vAlign w:val="bottom"/>
            <w:hideMark/>
          </w:tcPr>
          <w:p w14:paraId="18615061"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3,898.12   </w:t>
            </w:r>
          </w:p>
        </w:tc>
        <w:tc>
          <w:tcPr>
            <w:tcW w:w="1448" w:type="dxa"/>
            <w:tcBorders>
              <w:top w:val="nil"/>
              <w:left w:val="nil"/>
              <w:bottom w:val="single" w:sz="4" w:space="0" w:color="auto"/>
              <w:right w:val="single" w:sz="8" w:space="0" w:color="auto"/>
            </w:tcBorders>
            <w:shd w:val="clear" w:color="auto" w:fill="auto"/>
            <w:noWrap/>
            <w:vAlign w:val="bottom"/>
            <w:hideMark/>
          </w:tcPr>
          <w:p w14:paraId="68555C72"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3,867.09   </w:t>
            </w:r>
          </w:p>
        </w:tc>
      </w:tr>
      <w:tr w:rsidR="008A5057" w:rsidRPr="00BD295E" w14:paraId="2D21AA56" w14:textId="77777777" w:rsidTr="00162DD0">
        <w:trPr>
          <w:trHeight w:val="212"/>
        </w:trPr>
        <w:tc>
          <w:tcPr>
            <w:tcW w:w="5257" w:type="dxa"/>
            <w:tcBorders>
              <w:top w:val="nil"/>
              <w:left w:val="single" w:sz="8" w:space="0" w:color="auto"/>
              <w:bottom w:val="single" w:sz="8" w:space="0" w:color="auto"/>
              <w:right w:val="single" w:sz="4" w:space="0" w:color="auto"/>
            </w:tcBorders>
            <w:shd w:val="clear" w:color="auto" w:fill="auto"/>
            <w:vAlign w:val="bottom"/>
            <w:hideMark/>
          </w:tcPr>
          <w:p w14:paraId="7FBCC098" w14:textId="77777777" w:rsidR="00162DD0" w:rsidRPr="00BD295E" w:rsidRDefault="008A5057" w:rsidP="00162DD0">
            <w:pPr>
              <w:rPr>
                <w:rFonts w:ascii="Arial" w:hAnsi="Arial" w:cs="Arial"/>
                <w:b/>
                <w:bCs/>
                <w:sz w:val="18"/>
                <w:szCs w:val="18"/>
                <w:lang w:val="en-US"/>
              </w:rPr>
            </w:pPr>
            <w:r w:rsidRPr="00BD295E">
              <w:rPr>
                <w:rFonts w:ascii="Arial" w:hAnsi="Arial" w:cs="Arial"/>
                <w:b/>
                <w:bCs/>
                <w:sz w:val="18"/>
                <w:szCs w:val="18"/>
                <w:lang w:val="en-US"/>
              </w:rPr>
              <w:t xml:space="preserve"> Percentage of losses under comparable conditions </w:t>
            </w:r>
          </w:p>
        </w:tc>
        <w:tc>
          <w:tcPr>
            <w:tcW w:w="1490" w:type="dxa"/>
            <w:tcBorders>
              <w:top w:val="nil"/>
              <w:left w:val="nil"/>
              <w:bottom w:val="single" w:sz="8" w:space="0" w:color="auto"/>
              <w:right w:val="single" w:sz="8" w:space="0" w:color="auto"/>
            </w:tcBorders>
            <w:shd w:val="clear" w:color="auto" w:fill="auto"/>
            <w:noWrap/>
            <w:vAlign w:val="bottom"/>
            <w:hideMark/>
          </w:tcPr>
          <w:p w14:paraId="07357DC2"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11.53%</w:t>
            </w:r>
          </w:p>
        </w:tc>
        <w:tc>
          <w:tcPr>
            <w:tcW w:w="1366" w:type="dxa"/>
            <w:tcBorders>
              <w:top w:val="nil"/>
              <w:left w:val="nil"/>
              <w:bottom w:val="single" w:sz="8" w:space="0" w:color="auto"/>
              <w:right w:val="single" w:sz="8" w:space="0" w:color="auto"/>
            </w:tcBorders>
            <w:shd w:val="clear" w:color="auto" w:fill="auto"/>
            <w:noWrap/>
            <w:vAlign w:val="bottom"/>
            <w:hideMark/>
          </w:tcPr>
          <w:p w14:paraId="2A263CBE"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11.35%</w:t>
            </w:r>
          </w:p>
        </w:tc>
        <w:tc>
          <w:tcPr>
            <w:tcW w:w="1448" w:type="dxa"/>
            <w:tcBorders>
              <w:top w:val="nil"/>
              <w:left w:val="nil"/>
              <w:bottom w:val="single" w:sz="8" w:space="0" w:color="auto"/>
              <w:right w:val="single" w:sz="8" w:space="0" w:color="auto"/>
            </w:tcBorders>
            <w:shd w:val="clear" w:color="auto" w:fill="auto"/>
            <w:noWrap/>
            <w:vAlign w:val="bottom"/>
            <w:hideMark/>
          </w:tcPr>
          <w:p w14:paraId="17F50085" w14:textId="77777777" w:rsidR="00162DD0" w:rsidRPr="00BD295E" w:rsidRDefault="008A5057" w:rsidP="00162DD0">
            <w:pPr>
              <w:jc w:val="center"/>
              <w:rPr>
                <w:rFonts w:ascii="Arial" w:hAnsi="Arial" w:cs="Arial"/>
                <w:b/>
                <w:bCs/>
                <w:sz w:val="18"/>
                <w:szCs w:val="18"/>
                <w:lang w:val="en-US"/>
              </w:rPr>
            </w:pPr>
            <w:r w:rsidRPr="00BD295E">
              <w:rPr>
                <w:rFonts w:ascii="Arial" w:hAnsi="Arial" w:cs="Arial"/>
                <w:b/>
                <w:bCs/>
                <w:sz w:val="18"/>
                <w:szCs w:val="18"/>
                <w:lang w:val="en-US"/>
              </w:rPr>
              <w:t>11.01%</w:t>
            </w:r>
          </w:p>
        </w:tc>
      </w:tr>
    </w:tbl>
    <w:p w14:paraId="7F906BAC" w14:textId="77777777" w:rsidR="00162DD0" w:rsidRPr="00BD295E" w:rsidRDefault="00162DD0" w:rsidP="00162DD0">
      <w:pPr>
        <w:ind w:firstLine="708"/>
        <w:jc w:val="center"/>
        <w:rPr>
          <w:rFonts w:ascii="Arial" w:hAnsi="Arial" w:cs="Arial"/>
          <w:b/>
          <w:sz w:val="18"/>
          <w:szCs w:val="18"/>
          <w:lang w:val="en-US"/>
        </w:rPr>
      </w:pPr>
    </w:p>
    <w:p w14:paraId="627F9BCB" w14:textId="77777777" w:rsidR="00E50ECE" w:rsidRPr="00BD295E" w:rsidRDefault="00E50ECE" w:rsidP="00162DD0">
      <w:pPr>
        <w:tabs>
          <w:tab w:val="left" w:pos="9356"/>
        </w:tabs>
        <w:jc w:val="center"/>
        <w:rPr>
          <w:rFonts w:ascii="Arial" w:hAnsi="Arial" w:cs="Arial"/>
          <w:sz w:val="18"/>
          <w:szCs w:val="18"/>
          <w:lang w:val="en-US"/>
        </w:rPr>
      </w:pPr>
      <w:r w:rsidRPr="00BD295E">
        <w:rPr>
          <w:rFonts w:ascii="Arial" w:hAnsi="Arial" w:cs="Arial"/>
          <w:sz w:val="18"/>
          <w:szCs w:val="18"/>
          <w:lang w:val="en-US"/>
        </w:rPr>
        <w:t>Absolute and relative c</w:t>
      </w:r>
      <w:r w:rsidR="008A5057" w:rsidRPr="00BD295E">
        <w:rPr>
          <w:rFonts w:ascii="Arial" w:hAnsi="Arial" w:cs="Arial"/>
          <w:sz w:val="18"/>
          <w:szCs w:val="18"/>
          <w:lang w:val="en-US"/>
        </w:rPr>
        <w:t xml:space="preserve">hanges in </w:t>
      </w:r>
      <w:r w:rsidRPr="00BD295E">
        <w:rPr>
          <w:rFonts w:ascii="Arial" w:hAnsi="Arial" w:cs="Arial"/>
          <w:sz w:val="18"/>
          <w:szCs w:val="18"/>
          <w:lang w:val="en-US"/>
        </w:rPr>
        <w:t xml:space="preserve">network </w:t>
      </w:r>
      <w:r w:rsidR="008A5057" w:rsidRPr="00BD295E">
        <w:rPr>
          <w:rFonts w:ascii="Arial" w:hAnsi="Arial" w:cs="Arial"/>
          <w:sz w:val="18"/>
          <w:szCs w:val="18"/>
          <w:lang w:val="en-US"/>
        </w:rPr>
        <w:t xml:space="preserve">losses </w:t>
      </w:r>
      <w:r w:rsidRPr="00BD295E">
        <w:rPr>
          <w:rFonts w:ascii="Arial" w:hAnsi="Arial" w:cs="Arial"/>
          <w:sz w:val="18"/>
          <w:szCs w:val="18"/>
          <w:lang w:val="en-US"/>
        </w:rPr>
        <w:t xml:space="preserve">for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grids</w:t>
      </w:r>
      <w:r w:rsidR="008A5057" w:rsidRPr="00BD295E">
        <w:rPr>
          <w:rFonts w:ascii="Arial" w:hAnsi="Arial" w:cs="Arial"/>
          <w:sz w:val="18"/>
          <w:szCs w:val="18"/>
          <w:lang w:val="en-US"/>
        </w:rPr>
        <w:t xml:space="preserve"> </w:t>
      </w:r>
    </w:p>
    <w:p w14:paraId="5488B3C1" w14:textId="77777777" w:rsidR="00162DD0" w:rsidRPr="00BD295E" w:rsidRDefault="008A5057" w:rsidP="00162DD0">
      <w:pPr>
        <w:tabs>
          <w:tab w:val="left" w:pos="9356"/>
        </w:tabs>
        <w:jc w:val="center"/>
        <w:rPr>
          <w:rFonts w:ascii="Arial" w:hAnsi="Arial" w:cs="Arial"/>
          <w:sz w:val="18"/>
          <w:szCs w:val="18"/>
          <w:lang w:val="en-US"/>
        </w:rPr>
      </w:pPr>
      <w:r w:rsidRPr="00BD295E">
        <w:rPr>
          <w:rFonts w:ascii="Arial" w:hAnsi="Arial" w:cs="Arial"/>
          <w:sz w:val="18"/>
          <w:szCs w:val="18"/>
          <w:lang w:val="en-US"/>
        </w:rPr>
        <w:t>(actual and under comparable conditions)</w:t>
      </w:r>
    </w:p>
    <w:p w14:paraId="1B64DA5E" w14:textId="357D1C89" w:rsidR="00162DD0" w:rsidRPr="00BD295E" w:rsidRDefault="00997D07" w:rsidP="00162DD0">
      <w:pPr>
        <w:tabs>
          <w:tab w:val="left" w:pos="9356"/>
        </w:tabs>
        <w:jc w:val="center"/>
        <w:rPr>
          <w:rFonts w:ascii="Arial" w:hAnsi="Arial" w:cs="Arial"/>
          <w:sz w:val="18"/>
          <w:szCs w:val="18"/>
          <w:lang w:val="en-US"/>
        </w:rPr>
      </w:pPr>
      <w:r w:rsidRPr="00BD295E">
        <w:rPr>
          <w:rFonts w:ascii="Arial" w:hAnsi="Arial" w:cs="Arial"/>
          <w:sz w:val="18"/>
          <w:szCs w:val="18"/>
          <w:lang w:val="en-US" w:eastAsia="en-US"/>
        </w:rPr>
        <w:drawing>
          <wp:inline distT="0" distB="0" distL="0" distR="0" wp14:anchorId="7250C156" wp14:editId="2D206957">
            <wp:extent cx="4410075" cy="2171700"/>
            <wp:effectExtent l="0" t="0" r="0" b="0"/>
            <wp:docPr id="26" name="Диаграмма 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E86BFF0" w14:textId="77777777" w:rsidR="00162DD0" w:rsidRPr="00BD295E" w:rsidRDefault="00162DD0" w:rsidP="00162DD0">
      <w:pPr>
        <w:tabs>
          <w:tab w:val="left" w:pos="9356"/>
        </w:tabs>
        <w:jc w:val="center"/>
        <w:rPr>
          <w:rFonts w:ascii="Arial" w:hAnsi="Arial" w:cs="Arial"/>
          <w:sz w:val="18"/>
          <w:szCs w:val="18"/>
          <w:lang w:val="en-US"/>
        </w:rPr>
      </w:pPr>
    </w:p>
    <w:p w14:paraId="227E4C15" w14:textId="77777777" w:rsidR="00162DD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Considering the changes in electricity losses in the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2018 under comparable conditions, we can conclude that the amount of electricity losses in the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under comparable conditions (3,867.1 million kWh or 11.01% of the electricity supply to networks) was lower by 31.0 million kWh or by 0.34 p.p. compared to losses in comparable conditions for 2017 (3,898.1 million kWh or 11.35% of the electricity supply to networks).</w:t>
      </w:r>
    </w:p>
    <w:p w14:paraId="623978B3" w14:textId="5A586CF9" w:rsidR="008B5178" w:rsidRPr="00BD295E" w:rsidRDefault="008B5178">
      <w:pPr>
        <w:rPr>
          <w:rFonts w:ascii="Arial" w:hAnsi="Arial" w:cs="Arial"/>
          <w:sz w:val="18"/>
          <w:szCs w:val="18"/>
          <w:lang w:val="en-US"/>
        </w:rPr>
      </w:pPr>
      <w:r w:rsidRPr="00BD295E">
        <w:rPr>
          <w:rFonts w:ascii="Arial" w:hAnsi="Arial" w:cs="Arial"/>
          <w:sz w:val="18"/>
          <w:szCs w:val="18"/>
          <w:lang w:val="en-US"/>
        </w:rPr>
        <w:br w:type="page"/>
      </w:r>
    </w:p>
    <w:p w14:paraId="51D8584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Changes in actual electricity losses compared to targets for 2016–2018</w:t>
      </w:r>
    </w:p>
    <w:tbl>
      <w:tblPr>
        <w:tblW w:w="9940" w:type="dxa"/>
        <w:tblInd w:w="93" w:type="dxa"/>
        <w:tblLook w:val="04A0" w:firstRow="1" w:lastRow="0" w:firstColumn="1" w:lastColumn="0" w:noHBand="0" w:noVBand="1"/>
      </w:tblPr>
      <w:tblGrid>
        <w:gridCol w:w="3620"/>
        <w:gridCol w:w="1460"/>
        <w:gridCol w:w="1480"/>
        <w:gridCol w:w="1780"/>
        <w:gridCol w:w="1600"/>
      </w:tblGrid>
      <w:tr w:rsidR="008A5057" w:rsidRPr="00BD295E" w14:paraId="173A89EF" w14:textId="77777777" w:rsidTr="00162DD0">
        <w:trPr>
          <w:trHeight w:val="630"/>
        </w:trPr>
        <w:tc>
          <w:tcPr>
            <w:tcW w:w="3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F48D2"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Indicator</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0C59A6DD"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2016</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66632873"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2017*</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0513BE8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2018</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61806F4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2018 (Lenenergo Group)</w:t>
            </w:r>
          </w:p>
        </w:tc>
      </w:tr>
      <w:tr w:rsidR="008A5057" w:rsidRPr="00BD295E" w14:paraId="619A461D" w14:textId="77777777" w:rsidTr="00162DD0">
        <w:trPr>
          <w:trHeight w:val="765"/>
        </w:trPr>
        <w:tc>
          <w:tcPr>
            <w:tcW w:w="3620" w:type="dxa"/>
            <w:tcBorders>
              <w:top w:val="nil"/>
              <w:left w:val="single" w:sz="4" w:space="0" w:color="auto"/>
              <w:bottom w:val="single" w:sz="4" w:space="0" w:color="auto"/>
              <w:right w:val="single" w:sz="4" w:space="0" w:color="auto"/>
            </w:tcBorders>
            <w:shd w:val="clear" w:color="auto" w:fill="auto"/>
            <w:hideMark/>
          </w:tcPr>
          <w:p w14:paraId="3BCA48B3" w14:textId="77777777" w:rsidR="00162DD0" w:rsidRPr="00BD295E" w:rsidRDefault="008A5057" w:rsidP="000D659F">
            <w:pPr>
              <w:rPr>
                <w:rFonts w:ascii="Arial" w:hAnsi="Arial" w:cs="Arial"/>
                <w:sz w:val="18"/>
                <w:szCs w:val="18"/>
                <w:lang w:val="en-US"/>
              </w:rPr>
            </w:pPr>
            <w:r w:rsidRPr="00BD295E">
              <w:rPr>
                <w:rFonts w:ascii="Arial" w:hAnsi="Arial" w:cs="Arial"/>
                <w:sz w:val="18"/>
                <w:szCs w:val="18"/>
                <w:lang w:val="en-US"/>
              </w:rPr>
              <w:t xml:space="preserve">Standard losses (electricity losses </w:t>
            </w:r>
            <w:r w:rsidR="000D659F" w:rsidRPr="00BD295E">
              <w:rPr>
                <w:rFonts w:ascii="Arial" w:hAnsi="Arial" w:cs="Arial"/>
                <w:sz w:val="18"/>
                <w:szCs w:val="18"/>
                <w:lang w:val="en-US"/>
              </w:rPr>
              <w:t>covered by the tariff regulators decisions</w:t>
            </w:r>
            <w:r w:rsidRPr="00BD295E">
              <w:rPr>
                <w:rFonts w:ascii="Arial" w:hAnsi="Arial" w:cs="Arial"/>
                <w:sz w:val="18"/>
                <w:szCs w:val="18"/>
                <w:lang w:val="en-US"/>
              </w:rPr>
              <w:t>), million kWh</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53E1AE"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3,563.6</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5F05A434"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3,894.1</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7679507B"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4,166.7</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14:paraId="2711669C"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4,333.5</w:t>
            </w:r>
          </w:p>
        </w:tc>
      </w:tr>
      <w:tr w:rsidR="008A5057" w:rsidRPr="00BD295E" w14:paraId="3F91D84D" w14:textId="77777777" w:rsidTr="00162DD0">
        <w:trPr>
          <w:trHeight w:val="840"/>
        </w:trPr>
        <w:tc>
          <w:tcPr>
            <w:tcW w:w="3620" w:type="dxa"/>
            <w:tcBorders>
              <w:top w:val="nil"/>
              <w:left w:val="single" w:sz="4" w:space="0" w:color="auto"/>
              <w:bottom w:val="single" w:sz="4" w:space="0" w:color="auto"/>
              <w:right w:val="single" w:sz="4" w:space="0" w:color="auto"/>
            </w:tcBorders>
            <w:shd w:val="clear" w:color="auto" w:fill="auto"/>
            <w:hideMark/>
          </w:tcPr>
          <w:p w14:paraId="76809F66"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 xml:space="preserve">Standard losses (electricity losses </w:t>
            </w:r>
            <w:r w:rsidR="000D659F" w:rsidRPr="00BD295E">
              <w:rPr>
                <w:rFonts w:ascii="Arial" w:hAnsi="Arial" w:cs="Arial"/>
                <w:sz w:val="18"/>
                <w:szCs w:val="18"/>
                <w:lang w:val="en-US"/>
              </w:rPr>
              <w:t>covered by the tariff regulators decisions</w:t>
            </w:r>
            <w:r w:rsidRPr="00BD295E">
              <w:rPr>
                <w:rFonts w:ascii="Arial" w:hAnsi="Arial" w:cs="Arial"/>
                <w:sz w:val="18"/>
                <w:szCs w:val="18"/>
                <w:lang w:val="en-US"/>
              </w:rPr>
              <w:t>), million kWh</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3F6FF63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10.61</w:t>
            </w:r>
          </w:p>
        </w:tc>
        <w:tc>
          <w:tcPr>
            <w:tcW w:w="1480" w:type="dxa"/>
            <w:tcBorders>
              <w:top w:val="nil"/>
              <w:left w:val="nil"/>
              <w:bottom w:val="single" w:sz="4" w:space="0" w:color="auto"/>
              <w:right w:val="single" w:sz="4" w:space="0" w:color="auto"/>
            </w:tcBorders>
            <w:shd w:val="clear" w:color="auto" w:fill="auto"/>
            <w:vAlign w:val="center"/>
            <w:hideMark/>
          </w:tcPr>
          <w:p w14:paraId="4545F7BF"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11.57</w:t>
            </w:r>
          </w:p>
        </w:tc>
        <w:tc>
          <w:tcPr>
            <w:tcW w:w="1780" w:type="dxa"/>
            <w:tcBorders>
              <w:top w:val="nil"/>
              <w:left w:val="nil"/>
              <w:bottom w:val="single" w:sz="4" w:space="0" w:color="auto"/>
              <w:right w:val="single" w:sz="4" w:space="0" w:color="auto"/>
            </w:tcBorders>
            <w:shd w:val="clear" w:color="auto" w:fill="auto"/>
            <w:vAlign w:val="center"/>
            <w:hideMark/>
          </w:tcPr>
          <w:p w14:paraId="283E2AB6"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11.83</w:t>
            </w:r>
          </w:p>
        </w:tc>
        <w:tc>
          <w:tcPr>
            <w:tcW w:w="1600" w:type="dxa"/>
            <w:tcBorders>
              <w:top w:val="nil"/>
              <w:left w:val="nil"/>
              <w:bottom w:val="single" w:sz="4" w:space="0" w:color="auto"/>
              <w:right w:val="single" w:sz="4" w:space="0" w:color="auto"/>
            </w:tcBorders>
            <w:shd w:val="clear" w:color="auto" w:fill="auto"/>
            <w:vAlign w:val="center"/>
            <w:hideMark/>
          </w:tcPr>
          <w:p w14:paraId="73F9572A" w14:textId="77777777" w:rsidR="00162DD0"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11.69</w:t>
            </w:r>
          </w:p>
        </w:tc>
      </w:tr>
      <w:tr w:rsidR="008A5057" w:rsidRPr="00BD295E" w14:paraId="621B1276" w14:textId="77777777" w:rsidTr="00162DD0">
        <w:trPr>
          <w:trHeight w:val="345"/>
        </w:trPr>
        <w:tc>
          <w:tcPr>
            <w:tcW w:w="3620" w:type="dxa"/>
            <w:tcBorders>
              <w:top w:val="nil"/>
              <w:left w:val="single" w:sz="4" w:space="0" w:color="auto"/>
              <w:bottom w:val="single" w:sz="4" w:space="0" w:color="auto"/>
              <w:right w:val="single" w:sz="4" w:space="0" w:color="auto"/>
            </w:tcBorders>
            <w:shd w:val="clear" w:color="auto" w:fill="auto"/>
            <w:hideMark/>
          </w:tcPr>
          <w:p w14:paraId="5923C721"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Losses under the business plan, %</w:t>
            </w:r>
          </w:p>
        </w:tc>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4C9B2FEE"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11.89</w:t>
            </w:r>
          </w:p>
        </w:tc>
        <w:tc>
          <w:tcPr>
            <w:tcW w:w="1480" w:type="dxa"/>
            <w:tcBorders>
              <w:top w:val="nil"/>
              <w:left w:val="nil"/>
              <w:bottom w:val="single" w:sz="4" w:space="0" w:color="auto"/>
              <w:right w:val="single" w:sz="4" w:space="0" w:color="auto"/>
            </w:tcBorders>
            <w:shd w:val="clear" w:color="auto" w:fill="auto"/>
            <w:noWrap/>
            <w:vAlign w:val="center"/>
            <w:hideMark/>
          </w:tcPr>
          <w:p w14:paraId="788A895C"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11.31</w:t>
            </w:r>
          </w:p>
        </w:tc>
        <w:tc>
          <w:tcPr>
            <w:tcW w:w="1780" w:type="dxa"/>
            <w:tcBorders>
              <w:top w:val="nil"/>
              <w:left w:val="nil"/>
              <w:bottom w:val="single" w:sz="4" w:space="0" w:color="auto"/>
              <w:right w:val="single" w:sz="4" w:space="0" w:color="auto"/>
            </w:tcBorders>
            <w:shd w:val="clear" w:color="auto" w:fill="auto"/>
            <w:noWrap/>
            <w:vAlign w:val="center"/>
            <w:hideMark/>
          </w:tcPr>
          <w:p w14:paraId="75C48EB2"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12.05</w:t>
            </w:r>
          </w:p>
        </w:tc>
        <w:tc>
          <w:tcPr>
            <w:tcW w:w="1600" w:type="dxa"/>
            <w:tcBorders>
              <w:top w:val="nil"/>
              <w:left w:val="nil"/>
              <w:bottom w:val="single" w:sz="4" w:space="0" w:color="auto"/>
              <w:right w:val="single" w:sz="4" w:space="0" w:color="auto"/>
            </w:tcBorders>
            <w:shd w:val="clear" w:color="auto" w:fill="auto"/>
            <w:noWrap/>
            <w:vAlign w:val="center"/>
            <w:hideMark/>
          </w:tcPr>
          <w:p w14:paraId="10A341AC"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11.51</w:t>
            </w:r>
          </w:p>
        </w:tc>
      </w:tr>
      <w:tr w:rsidR="008A5057" w:rsidRPr="00BD295E" w14:paraId="60111D26" w14:textId="77777777" w:rsidTr="00162DD0">
        <w:trPr>
          <w:trHeight w:val="345"/>
        </w:trPr>
        <w:tc>
          <w:tcPr>
            <w:tcW w:w="3620" w:type="dxa"/>
            <w:tcBorders>
              <w:top w:val="nil"/>
              <w:left w:val="single" w:sz="4" w:space="0" w:color="auto"/>
              <w:bottom w:val="single" w:sz="4" w:space="0" w:color="auto"/>
              <w:right w:val="single" w:sz="4" w:space="0" w:color="auto"/>
            </w:tcBorders>
            <w:shd w:val="clear" w:color="auto" w:fill="auto"/>
            <w:hideMark/>
          </w:tcPr>
          <w:p w14:paraId="43A034CC"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Actual losses, %</w:t>
            </w:r>
          </w:p>
        </w:tc>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74166094"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11.53</w:t>
            </w:r>
          </w:p>
        </w:tc>
        <w:tc>
          <w:tcPr>
            <w:tcW w:w="1480" w:type="dxa"/>
            <w:tcBorders>
              <w:top w:val="nil"/>
              <w:left w:val="nil"/>
              <w:bottom w:val="single" w:sz="4" w:space="0" w:color="auto"/>
              <w:right w:val="single" w:sz="4" w:space="0" w:color="auto"/>
            </w:tcBorders>
            <w:shd w:val="clear" w:color="auto" w:fill="auto"/>
            <w:noWrap/>
            <w:vAlign w:val="center"/>
            <w:hideMark/>
          </w:tcPr>
          <w:p w14:paraId="1984123E"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12.05</w:t>
            </w:r>
          </w:p>
        </w:tc>
        <w:tc>
          <w:tcPr>
            <w:tcW w:w="1780" w:type="dxa"/>
            <w:tcBorders>
              <w:top w:val="nil"/>
              <w:left w:val="nil"/>
              <w:bottom w:val="single" w:sz="4" w:space="0" w:color="auto"/>
              <w:right w:val="single" w:sz="4" w:space="0" w:color="auto"/>
            </w:tcBorders>
            <w:shd w:val="clear" w:color="auto" w:fill="auto"/>
            <w:noWrap/>
            <w:vAlign w:val="center"/>
            <w:hideMark/>
          </w:tcPr>
          <w:p w14:paraId="7ABC8D64"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11.71</w:t>
            </w:r>
          </w:p>
        </w:tc>
        <w:tc>
          <w:tcPr>
            <w:tcW w:w="1600" w:type="dxa"/>
            <w:tcBorders>
              <w:top w:val="nil"/>
              <w:left w:val="nil"/>
              <w:bottom w:val="single" w:sz="4" w:space="0" w:color="auto"/>
              <w:right w:val="single" w:sz="4" w:space="0" w:color="auto"/>
            </w:tcBorders>
            <w:shd w:val="clear" w:color="auto" w:fill="auto"/>
            <w:noWrap/>
            <w:vAlign w:val="center"/>
            <w:hideMark/>
          </w:tcPr>
          <w:p w14:paraId="2E89305D"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11.34</w:t>
            </w:r>
          </w:p>
        </w:tc>
      </w:tr>
      <w:tr w:rsidR="008A5057" w:rsidRPr="00BD295E" w14:paraId="49A66E2D" w14:textId="77777777" w:rsidTr="00162DD0">
        <w:trPr>
          <w:trHeight w:val="390"/>
        </w:trPr>
        <w:tc>
          <w:tcPr>
            <w:tcW w:w="3620" w:type="dxa"/>
            <w:tcBorders>
              <w:top w:val="nil"/>
              <w:left w:val="single" w:sz="4" w:space="0" w:color="auto"/>
              <w:bottom w:val="single" w:sz="4" w:space="0" w:color="auto"/>
              <w:right w:val="single" w:sz="4" w:space="0" w:color="auto"/>
            </w:tcBorders>
            <w:shd w:val="clear" w:color="auto" w:fill="auto"/>
            <w:hideMark/>
          </w:tcPr>
          <w:p w14:paraId="0B9831F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Actual/plan variance, p.p.</w:t>
            </w:r>
          </w:p>
        </w:tc>
        <w:tc>
          <w:tcPr>
            <w:tcW w:w="1460" w:type="dxa"/>
            <w:tcBorders>
              <w:top w:val="nil"/>
              <w:left w:val="single" w:sz="4" w:space="0" w:color="auto"/>
              <w:bottom w:val="single" w:sz="4" w:space="0" w:color="auto"/>
              <w:right w:val="single" w:sz="4" w:space="0" w:color="auto"/>
            </w:tcBorders>
            <w:shd w:val="clear" w:color="auto" w:fill="auto"/>
            <w:noWrap/>
            <w:vAlign w:val="center"/>
            <w:hideMark/>
          </w:tcPr>
          <w:p w14:paraId="68C0BD0B"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-0.36</w:t>
            </w:r>
          </w:p>
        </w:tc>
        <w:tc>
          <w:tcPr>
            <w:tcW w:w="1480" w:type="dxa"/>
            <w:tcBorders>
              <w:top w:val="nil"/>
              <w:left w:val="nil"/>
              <w:bottom w:val="single" w:sz="4" w:space="0" w:color="auto"/>
              <w:right w:val="single" w:sz="4" w:space="0" w:color="auto"/>
            </w:tcBorders>
            <w:shd w:val="clear" w:color="auto" w:fill="auto"/>
            <w:noWrap/>
            <w:vAlign w:val="center"/>
            <w:hideMark/>
          </w:tcPr>
          <w:p w14:paraId="45214EAD"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0.75</w:t>
            </w:r>
          </w:p>
        </w:tc>
        <w:tc>
          <w:tcPr>
            <w:tcW w:w="1780" w:type="dxa"/>
            <w:tcBorders>
              <w:top w:val="nil"/>
              <w:left w:val="nil"/>
              <w:bottom w:val="single" w:sz="4" w:space="0" w:color="auto"/>
              <w:right w:val="single" w:sz="4" w:space="0" w:color="auto"/>
            </w:tcBorders>
            <w:shd w:val="clear" w:color="auto" w:fill="auto"/>
            <w:noWrap/>
            <w:vAlign w:val="center"/>
            <w:hideMark/>
          </w:tcPr>
          <w:p w14:paraId="29D40A1B"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-0.34</w:t>
            </w:r>
          </w:p>
        </w:tc>
        <w:tc>
          <w:tcPr>
            <w:tcW w:w="1600" w:type="dxa"/>
            <w:tcBorders>
              <w:top w:val="nil"/>
              <w:left w:val="nil"/>
              <w:bottom w:val="single" w:sz="4" w:space="0" w:color="auto"/>
              <w:right w:val="single" w:sz="4" w:space="0" w:color="auto"/>
            </w:tcBorders>
            <w:shd w:val="clear" w:color="auto" w:fill="auto"/>
            <w:noWrap/>
            <w:vAlign w:val="center"/>
            <w:hideMark/>
          </w:tcPr>
          <w:p w14:paraId="46947DAF" w14:textId="77777777" w:rsidR="00162DD0" w:rsidRPr="00BD295E" w:rsidRDefault="008A5057" w:rsidP="00162DD0">
            <w:pPr>
              <w:jc w:val="center"/>
              <w:rPr>
                <w:rFonts w:ascii="Arial" w:hAnsi="Arial" w:cs="Arial"/>
                <w:b/>
                <w:bCs/>
                <w:i/>
                <w:iCs/>
                <w:sz w:val="18"/>
                <w:szCs w:val="18"/>
                <w:lang w:val="en-US"/>
              </w:rPr>
            </w:pPr>
            <w:r w:rsidRPr="00BD295E">
              <w:rPr>
                <w:rFonts w:ascii="Arial" w:hAnsi="Arial" w:cs="Arial"/>
                <w:b/>
                <w:bCs/>
                <w:i/>
                <w:iCs/>
                <w:sz w:val="18"/>
                <w:szCs w:val="18"/>
                <w:lang w:val="en-US"/>
              </w:rPr>
              <w:t>-0.17</w:t>
            </w:r>
          </w:p>
        </w:tc>
      </w:tr>
    </w:tbl>
    <w:p w14:paraId="10DD98C1" w14:textId="77777777" w:rsidR="00162DD0" w:rsidRPr="00BD295E" w:rsidRDefault="008A5057" w:rsidP="00162DD0">
      <w:pPr>
        <w:jc w:val="both"/>
        <w:rPr>
          <w:rFonts w:ascii="Arial" w:hAnsi="Arial" w:cs="Arial"/>
          <w:i/>
          <w:sz w:val="18"/>
          <w:szCs w:val="18"/>
          <w:lang w:val="en-US"/>
        </w:rPr>
      </w:pPr>
      <w:r w:rsidRPr="00BD295E">
        <w:rPr>
          <w:rFonts w:ascii="Arial" w:hAnsi="Arial" w:cs="Arial"/>
          <w:b/>
          <w:i/>
          <w:sz w:val="18"/>
          <w:szCs w:val="18"/>
          <w:lang w:val="en-US"/>
        </w:rPr>
        <w:t xml:space="preserve"> </w:t>
      </w:r>
      <w:r w:rsidRPr="00BD295E">
        <w:rPr>
          <w:rFonts w:ascii="Arial" w:hAnsi="Arial" w:cs="Arial"/>
          <w:i/>
          <w:sz w:val="18"/>
          <w:szCs w:val="18"/>
          <w:lang w:val="en-US"/>
        </w:rPr>
        <w:t xml:space="preserve">* The approved business plan of </w:t>
      </w:r>
      <w:r w:rsidR="00EE5753" w:rsidRPr="00BD295E">
        <w:rPr>
          <w:rFonts w:ascii="Arial" w:hAnsi="Arial" w:cs="Arial"/>
          <w:i/>
          <w:sz w:val="18"/>
          <w:szCs w:val="18"/>
          <w:lang w:val="en-US"/>
        </w:rPr>
        <w:t>PJSC “Lenenergo”</w:t>
      </w:r>
      <w:r w:rsidRPr="00BD295E">
        <w:rPr>
          <w:rFonts w:ascii="Arial" w:hAnsi="Arial" w:cs="Arial"/>
          <w:i/>
          <w:sz w:val="18"/>
          <w:szCs w:val="18"/>
          <w:lang w:val="en-US"/>
        </w:rPr>
        <w:t xml:space="preserve"> for 2017 did not take into account the contract for leasing electric grid equipment signed with </w:t>
      </w:r>
      <w:r w:rsidR="006515AB" w:rsidRPr="00BD295E">
        <w:rPr>
          <w:rFonts w:ascii="Arial" w:hAnsi="Arial" w:cs="Arial"/>
          <w:i/>
          <w:sz w:val="18"/>
          <w:szCs w:val="18"/>
          <w:lang w:val="en-US"/>
        </w:rPr>
        <w:t>JSC “Saint Petersburg Power Grid”</w:t>
      </w:r>
      <w:r w:rsidRPr="00BD295E">
        <w:rPr>
          <w:rFonts w:ascii="Arial" w:hAnsi="Arial" w:cs="Arial"/>
          <w:i/>
          <w:sz w:val="18"/>
          <w:szCs w:val="18"/>
          <w:lang w:val="en-US"/>
        </w:rPr>
        <w:t>.</w:t>
      </w:r>
    </w:p>
    <w:p w14:paraId="2039E6E0" w14:textId="77777777" w:rsidR="00162DD0" w:rsidRPr="00BD295E" w:rsidRDefault="00162DD0" w:rsidP="000E42B1">
      <w:pPr>
        <w:jc w:val="both"/>
        <w:rPr>
          <w:rFonts w:ascii="Arial" w:hAnsi="Arial" w:cs="Arial"/>
          <w:sz w:val="18"/>
          <w:szCs w:val="18"/>
          <w:lang w:val="en-US"/>
        </w:rPr>
      </w:pPr>
    </w:p>
    <w:p w14:paraId="685AF325" w14:textId="77777777" w:rsidR="00162DD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Electricity losses across Lenenergo Group for 2018 totaled 11.34% of the electricity supply to networks, which is 0.17 p.p. lower than the business plan target. </w:t>
      </w:r>
    </w:p>
    <w:p w14:paraId="042EAF22" w14:textId="77777777" w:rsidR="00075C14" w:rsidRPr="00BD295E" w:rsidRDefault="00075C14" w:rsidP="000E42B1">
      <w:pPr>
        <w:jc w:val="both"/>
        <w:rPr>
          <w:rFonts w:ascii="Arial" w:hAnsi="Arial" w:cs="Arial"/>
          <w:sz w:val="18"/>
          <w:szCs w:val="18"/>
          <w:lang w:val="en-US"/>
        </w:rPr>
      </w:pPr>
    </w:p>
    <w:p w14:paraId="0E0152EB" w14:textId="77777777" w:rsidR="00075C14" w:rsidRPr="00BD295E" w:rsidRDefault="008A5057" w:rsidP="000E42B1">
      <w:pPr>
        <w:tabs>
          <w:tab w:val="left" w:pos="1080"/>
          <w:tab w:val="left" w:pos="1320"/>
        </w:tabs>
        <w:jc w:val="both"/>
        <w:rPr>
          <w:rFonts w:ascii="Arial" w:hAnsi="Arial" w:cs="Arial"/>
          <w:b/>
          <w:snapToGrid w:val="0"/>
          <w:sz w:val="18"/>
          <w:szCs w:val="18"/>
          <w:lang w:val="en-US"/>
        </w:rPr>
      </w:pPr>
      <w:bookmarkStart w:id="184" w:name="_Toc470269996"/>
      <w:r w:rsidRPr="00BD295E">
        <w:rPr>
          <w:rFonts w:ascii="Arial" w:hAnsi="Arial" w:cs="Arial"/>
          <w:b/>
          <w:snapToGrid w:val="0"/>
          <w:sz w:val="18"/>
          <w:szCs w:val="18"/>
          <w:lang w:val="en-US"/>
        </w:rPr>
        <w:t>Energy Saving and Energy Efficiency.</w:t>
      </w:r>
      <w:bookmarkEnd w:id="184"/>
    </w:p>
    <w:p w14:paraId="63D6B140" w14:textId="77777777" w:rsidR="00FC699D" w:rsidRPr="00BD295E" w:rsidRDefault="00FC699D" w:rsidP="000E42B1">
      <w:pPr>
        <w:tabs>
          <w:tab w:val="left" w:pos="1080"/>
          <w:tab w:val="left" w:pos="1320"/>
        </w:tabs>
        <w:jc w:val="both"/>
        <w:rPr>
          <w:rFonts w:ascii="Arial" w:hAnsi="Arial" w:cs="Arial"/>
          <w:b/>
          <w:snapToGrid w:val="0"/>
          <w:sz w:val="18"/>
          <w:szCs w:val="18"/>
          <w:lang w:val="en-US"/>
        </w:rPr>
      </w:pPr>
    </w:p>
    <w:p w14:paraId="3E5AC0B6"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 xml:space="preserve">In 2018, energy saving and energy efficiency efforts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were organized in accordance with Federal Law No. 261-FZ of the Russian Federation, On energy saving and energy efficiency improvements and on amendments to certain legislative acts of the Russian Federation, Resolution No. 340 of the Russian Government, On the procedure for setting requirements to the energy saving and energy efficiency programs of organizations engaged in regulated activities, </w:t>
      </w:r>
      <w:r w:rsidR="008B183C" w:rsidRPr="00BD295E">
        <w:rPr>
          <w:rFonts w:ascii="Arial" w:hAnsi="Arial" w:cs="Arial"/>
          <w:sz w:val="18"/>
          <w:szCs w:val="18"/>
          <w:lang w:val="en-US"/>
        </w:rPr>
        <w:t>of</w:t>
      </w:r>
      <w:r w:rsidRPr="00BD295E">
        <w:rPr>
          <w:rFonts w:ascii="Arial" w:hAnsi="Arial" w:cs="Arial"/>
          <w:sz w:val="18"/>
          <w:szCs w:val="18"/>
          <w:lang w:val="en-US"/>
        </w:rPr>
        <w:t xml:space="preserve"> May 15, 2010, Resolution No. 977 of the Russian Government, </w:t>
      </w:r>
      <w:r w:rsidRPr="00BD295E">
        <w:rPr>
          <w:rFonts w:ascii="Arial" w:hAnsi="Arial" w:cs="Arial"/>
          <w:i/>
          <w:iCs/>
          <w:sz w:val="18"/>
          <w:szCs w:val="18"/>
          <w:lang w:val="en-US"/>
        </w:rPr>
        <w:t>On investment programs of electricity industry companies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1, 2009 (as amended by Resolutions No. 484 </w:t>
      </w:r>
      <w:r w:rsidR="008B183C" w:rsidRPr="00BD295E">
        <w:rPr>
          <w:rFonts w:ascii="Arial" w:hAnsi="Arial" w:cs="Arial"/>
          <w:sz w:val="18"/>
          <w:szCs w:val="18"/>
          <w:lang w:val="en-US"/>
        </w:rPr>
        <w:t>of</w:t>
      </w:r>
      <w:r w:rsidRPr="00BD295E">
        <w:rPr>
          <w:rFonts w:ascii="Arial" w:hAnsi="Arial" w:cs="Arial"/>
          <w:sz w:val="18"/>
          <w:szCs w:val="18"/>
          <w:lang w:val="en-US"/>
        </w:rPr>
        <w:t xml:space="preserve"> June 30, 2010 and No. 1178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29, 2011, resolutions of executive authorities of constituent entities of the Russian Federation related to state regulation of tariffs with respect to organizations engaged in electricity distribution. (specify details of applicable resolutions), as well as in accordance with the Energy Saving and Energy Efficiency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2015–2019 (the “Program”), approved by Resolution No. 13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4, 2014.</w:t>
      </w:r>
    </w:p>
    <w:p w14:paraId="3A9FE580"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 xml:space="preserve">In order to ensure the implementation of the Program managers were appointed at the executive arm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at branches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accordance with Order No. 561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organization of energy saving and energy efficiency efforts at </w:t>
      </w:r>
      <w:r w:rsidR="00BF106F" w:rsidRPr="00BD295E">
        <w:rPr>
          <w:rFonts w:ascii="Arial" w:hAnsi="Arial" w:cs="Arial"/>
          <w:i/>
          <w:iCs/>
          <w:sz w:val="18"/>
          <w:szCs w:val="18"/>
          <w:lang w:val="en-US"/>
        </w:rPr>
        <w:t>PJSC “Rosseti”</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9, 2013, responsible for monitoring the implementation of the Program, with working groups set up to analyze the progress on the Program (Order No. 661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21, 2013). On July 20, 2017,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(Minutes No. 5) approved a Program on Measures to Reduce Electricity Losses for the Period up to 2021.</w:t>
      </w:r>
    </w:p>
    <w:p w14:paraId="2334421C"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During the reporting period, the Company’s employees underwent advanced training in energy saving and energy efficiency.</w:t>
      </w:r>
    </w:p>
    <w:p w14:paraId="26D8E126" w14:textId="77777777" w:rsidR="00156B3B" w:rsidRPr="00BD295E" w:rsidRDefault="00156B3B" w:rsidP="00156B3B">
      <w:pPr>
        <w:ind w:firstLine="709"/>
        <w:contextualSpacing/>
        <w:jc w:val="both"/>
        <w:rPr>
          <w:rFonts w:ascii="Arial" w:hAnsi="Arial" w:cs="Arial"/>
          <w:sz w:val="18"/>
          <w:szCs w:val="18"/>
          <w:lang w:val="en-US"/>
        </w:rPr>
      </w:pPr>
    </w:p>
    <w:tbl>
      <w:tblPr>
        <w:tblW w:w="5000" w:type="pct"/>
        <w:tblLayout w:type="fixed"/>
        <w:tblLook w:val="04A0" w:firstRow="1" w:lastRow="0" w:firstColumn="1" w:lastColumn="0" w:noHBand="0" w:noVBand="1"/>
      </w:tblPr>
      <w:tblGrid>
        <w:gridCol w:w="401"/>
        <w:gridCol w:w="1363"/>
        <w:gridCol w:w="1105"/>
        <w:gridCol w:w="1156"/>
        <w:gridCol w:w="1264"/>
        <w:gridCol w:w="1038"/>
        <w:gridCol w:w="967"/>
        <w:gridCol w:w="919"/>
        <w:gridCol w:w="1122"/>
      </w:tblGrid>
      <w:tr w:rsidR="008A5057" w:rsidRPr="00BD295E" w14:paraId="693223D0" w14:textId="77777777" w:rsidTr="00850333">
        <w:trPr>
          <w:trHeight w:val="315"/>
        </w:trPr>
        <w:tc>
          <w:tcPr>
            <w:tcW w:w="215"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9423263" w14:textId="77777777" w:rsidR="00156B3B" w:rsidRPr="00BD295E" w:rsidRDefault="0052069E" w:rsidP="0052069E">
            <w:pPr>
              <w:contextualSpacing/>
              <w:jc w:val="both"/>
              <w:rPr>
                <w:rFonts w:ascii="Arial" w:hAnsi="Arial" w:cs="Arial"/>
                <w:b/>
                <w:bCs/>
                <w:sz w:val="18"/>
                <w:szCs w:val="18"/>
                <w:lang w:val="en-US"/>
              </w:rPr>
            </w:pPr>
            <w:r w:rsidRPr="00BD295E">
              <w:rPr>
                <w:rFonts w:ascii="Arial" w:hAnsi="Arial" w:cs="Arial"/>
                <w:b/>
                <w:bCs/>
                <w:sz w:val="18"/>
                <w:szCs w:val="18"/>
                <w:lang w:val="en-US"/>
              </w:rPr>
              <w:t>#</w:t>
            </w:r>
          </w:p>
        </w:tc>
        <w:tc>
          <w:tcPr>
            <w:tcW w:w="730"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B93FA06" w14:textId="77777777" w:rsidR="00156B3B" w:rsidRPr="00BD295E" w:rsidRDefault="008A5057" w:rsidP="00156B3B">
            <w:pPr>
              <w:contextualSpacing/>
              <w:jc w:val="both"/>
              <w:rPr>
                <w:rFonts w:ascii="Arial" w:hAnsi="Arial" w:cs="Arial"/>
                <w:b/>
                <w:bCs/>
                <w:sz w:val="14"/>
                <w:szCs w:val="14"/>
                <w:lang w:val="en-US"/>
              </w:rPr>
            </w:pPr>
            <w:r w:rsidRPr="00BD295E">
              <w:rPr>
                <w:rFonts w:ascii="Arial" w:hAnsi="Arial" w:cs="Arial"/>
                <w:b/>
                <w:bCs/>
                <w:sz w:val="14"/>
                <w:szCs w:val="14"/>
                <w:lang w:val="en-US"/>
              </w:rPr>
              <w:t>Full name</w:t>
            </w:r>
          </w:p>
        </w:tc>
        <w:tc>
          <w:tcPr>
            <w:tcW w:w="592"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6EB8DE5" w14:textId="77777777" w:rsidR="00156B3B" w:rsidRPr="00BD295E" w:rsidRDefault="008A5057" w:rsidP="00156B3B">
            <w:pPr>
              <w:contextualSpacing/>
              <w:jc w:val="both"/>
              <w:rPr>
                <w:rFonts w:ascii="Arial" w:hAnsi="Arial" w:cs="Arial"/>
                <w:b/>
                <w:bCs/>
                <w:sz w:val="14"/>
                <w:szCs w:val="14"/>
                <w:lang w:val="en-US"/>
              </w:rPr>
            </w:pPr>
            <w:r w:rsidRPr="00BD295E">
              <w:rPr>
                <w:rFonts w:ascii="Arial" w:hAnsi="Arial" w:cs="Arial"/>
                <w:b/>
                <w:bCs/>
                <w:sz w:val="14"/>
                <w:szCs w:val="14"/>
                <w:lang w:val="en-US"/>
              </w:rPr>
              <w:t>Title</w:t>
            </w:r>
          </w:p>
        </w:tc>
        <w:tc>
          <w:tcPr>
            <w:tcW w:w="3463" w:type="pct"/>
            <w:gridSpan w:val="6"/>
            <w:tcBorders>
              <w:top w:val="single" w:sz="8" w:space="0" w:color="000000"/>
              <w:left w:val="nil"/>
              <w:bottom w:val="single" w:sz="8" w:space="0" w:color="000000"/>
              <w:right w:val="single" w:sz="8" w:space="0" w:color="000000"/>
            </w:tcBorders>
            <w:shd w:val="clear" w:color="000000" w:fill="FFFFFF"/>
            <w:vAlign w:val="center"/>
            <w:hideMark/>
          </w:tcPr>
          <w:p w14:paraId="75AF8299" w14:textId="77777777" w:rsidR="00156B3B" w:rsidRPr="00BD295E" w:rsidRDefault="008A5057" w:rsidP="00156B3B">
            <w:pPr>
              <w:contextualSpacing/>
              <w:jc w:val="both"/>
              <w:rPr>
                <w:rFonts w:ascii="Arial" w:hAnsi="Arial" w:cs="Arial"/>
                <w:b/>
                <w:bCs/>
                <w:sz w:val="14"/>
                <w:szCs w:val="14"/>
                <w:lang w:val="en-US"/>
              </w:rPr>
            </w:pPr>
            <w:r w:rsidRPr="00BD295E">
              <w:rPr>
                <w:rFonts w:ascii="Arial" w:hAnsi="Arial" w:cs="Arial"/>
                <w:b/>
                <w:bCs/>
                <w:sz w:val="14"/>
                <w:szCs w:val="14"/>
                <w:lang w:val="en-US"/>
              </w:rPr>
              <w:t xml:space="preserve">Upskilling </w:t>
            </w:r>
            <w:r w:rsidR="0052069E" w:rsidRPr="00BD295E">
              <w:rPr>
                <w:rFonts w:ascii="Arial" w:hAnsi="Arial" w:cs="Arial"/>
                <w:b/>
                <w:bCs/>
                <w:sz w:val="14"/>
                <w:szCs w:val="14"/>
                <w:lang w:val="en-US"/>
              </w:rPr>
              <w:t xml:space="preserve">and further education </w:t>
            </w:r>
            <w:r w:rsidRPr="00BD295E">
              <w:rPr>
                <w:rFonts w:ascii="Arial" w:hAnsi="Arial" w:cs="Arial"/>
                <w:b/>
                <w:bCs/>
                <w:sz w:val="14"/>
                <w:szCs w:val="14"/>
                <w:lang w:val="en-US"/>
              </w:rPr>
              <w:t>parameters</w:t>
            </w:r>
          </w:p>
        </w:tc>
      </w:tr>
      <w:tr w:rsidR="008A5057" w:rsidRPr="00BD295E" w14:paraId="166792E8" w14:textId="77777777" w:rsidTr="007E5383">
        <w:trPr>
          <w:trHeight w:val="2415"/>
        </w:trPr>
        <w:tc>
          <w:tcPr>
            <w:tcW w:w="21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94C2B2" w14:textId="77777777" w:rsidR="00156B3B" w:rsidRPr="00BD295E" w:rsidRDefault="00156B3B" w:rsidP="00156B3B">
            <w:pPr>
              <w:contextualSpacing/>
              <w:jc w:val="both"/>
              <w:rPr>
                <w:rFonts w:ascii="Arial" w:hAnsi="Arial" w:cs="Arial"/>
                <w:b/>
                <w:bCs/>
                <w:sz w:val="18"/>
                <w:szCs w:val="18"/>
                <w:lang w:val="en-US"/>
              </w:rPr>
            </w:pPr>
          </w:p>
        </w:tc>
        <w:tc>
          <w:tcPr>
            <w:tcW w:w="730"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FE023A" w14:textId="77777777" w:rsidR="00156B3B" w:rsidRPr="00BD295E" w:rsidRDefault="00156B3B" w:rsidP="00156B3B">
            <w:pPr>
              <w:contextualSpacing/>
              <w:jc w:val="both"/>
              <w:rPr>
                <w:rFonts w:ascii="Arial" w:hAnsi="Arial" w:cs="Arial"/>
                <w:b/>
                <w:bCs/>
                <w:sz w:val="14"/>
                <w:szCs w:val="14"/>
                <w:lang w:val="en-US"/>
              </w:rPr>
            </w:pPr>
          </w:p>
        </w:tc>
        <w:tc>
          <w:tcPr>
            <w:tcW w:w="592"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A8438F" w14:textId="77777777" w:rsidR="00156B3B" w:rsidRPr="00BD295E" w:rsidRDefault="00156B3B" w:rsidP="00156B3B">
            <w:pPr>
              <w:contextualSpacing/>
              <w:jc w:val="both"/>
              <w:rPr>
                <w:rFonts w:ascii="Arial" w:hAnsi="Arial" w:cs="Arial"/>
                <w:b/>
                <w:bCs/>
                <w:sz w:val="14"/>
                <w:szCs w:val="14"/>
                <w:lang w:val="en-US"/>
              </w:rPr>
            </w:pPr>
          </w:p>
        </w:tc>
        <w:tc>
          <w:tcPr>
            <w:tcW w:w="619"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0D34B2A6" w14:textId="77777777" w:rsidR="00156B3B" w:rsidRPr="00BD295E" w:rsidRDefault="008A5057" w:rsidP="00156B3B">
            <w:pPr>
              <w:contextualSpacing/>
              <w:jc w:val="both"/>
              <w:rPr>
                <w:rFonts w:ascii="Arial" w:hAnsi="Arial" w:cs="Arial"/>
                <w:b/>
                <w:bCs/>
                <w:sz w:val="14"/>
                <w:szCs w:val="14"/>
                <w:lang w:val="en-US"/>
              </w:rPr>
            </w:pPr>
            <w:r w:rsidRPr="00BD295E">
              <w:rPr>
                <w:rFonts w:ascii="Arial" w:hAnsi="Arial" w:cs="Arial"/>
                <w:b/>
                <w:bCs/>
                <w:sz w:val="14"/>
                <w:szCs w:val="14"/>
                <w:lang w:val="en-US"/>
              </w:rPr>
              <w:t>Information on the educational organization that conducted the training (name, address, license)</w:t>
            </w:r>
          </w:p>
        </w:tc>
        <w:tc>
          <w:tcPr>
            <w:tcW w:w="677"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39B63AC9" w14:textId="77777777" w:rsidR="00156B3B" w:rsidRPr="00BD295E" w:rsidRDefault="008A5057" w:rsidP="00156B3B">
            <w:pPr>
              <w:contextualSpacing/>
              <w:jc w:val="both"/>
              <w:rPr>
                <w:rFonts w:ascii="Arial" w:hAnsi="Arial" w:cs="Arial"/>
                <w:b/>
                <w:bCs/>
                <w:sz w:val="14"/>
                <w:szCs w:val="14"/>
                <w:lang w:val="en-US"/>
              </w:rPr>
            </w:pPr>
            <w:r w:rsidRPr="00BD295E">
              <w:rPr>
                <w:rFonts w:ascii="Arial" w:hAnsi="Arial" w:cs="Arial"/>
                <w:b/>
                <w:bCs/>
                <w:sz w:val="14"/>
                <w:szCs w:val="14"/>
                <w:lang w:val="en-US"/>
              </w:rPr>
              <w:t>Name and type of the training course (training, retraining, upskilling)</w:t>
            </w:r>
          </w:p>
        </w:tc>
        <w:tc>
          <w:tcPr>
            <w:tcW w:w="556" w:type="pct"/>
            <w:tcBorders>
              <w:top w:val="nil"/>
              <w:left w:val="nil"/>
              <w:bottom w:val="nil"/>
              <w:right w:val="nil"/>
            </w:tcBorders>
            <w:shd w:val="clear" w:color="000000" w:fill="FFFFFF"/>
            <w:vAlign w:val="center"/>
            <w:hideMark/>
          </w:tcPr>
          <w:p w14:paraId="1EF9F881" w14:textId="77777777" w:rsidR="00156B3B" w:rsidRPr="00BD295E" w:rsidRDefault="008A5057" w:rsidP="00156B3B">
            <w:pPr>
              <w:contextualSpacing/>
              <w:jc w:val="both"/>
              <w:rPr>
                <w:rFonts w:ascii="Arial" w:hAnsi="Arial" w:cs="Arial"/>
                <w:b/>
                <w:bCs/>
                <w:sz w:val="14"/>
                <w:szCs w:val="14"/>
                <w:lang w:val="en-US"/>
              </w:rPr>
            </w:pPr>
            <w:r w:rsidRPr="00BD295E">
              <w:rPr>
                <w:rFonts w:ascii="Arial" w:hAnsi="Arial" w:cs="Arial"/>
                <w:b/>
                <w:bCs/>
                <w:sz w:val="14"/>
                <w:szCs w:val="14"/>
                <w:lang w:val="en-US"/>
              </w:rPr>
              <w:t>Training start date</w:t>
            </w:r>
          </w:p>
        </w:tc>
        <w:tc>
          <w:tcPr>
            <w:tcW w:w="518" w:type="pct"/>
            <w:tcBorders>
              <w:top w:val="nil"/>
              <w:left w:val="single" w:sz="8" w:space="0" w:color="000000"/>
              <w:bottom w:val="nil"/>
              <w:right w:val="single" w:sz="8" w:space="0" w:color="000000"/>
            </w:tcBorders>
            <w:shd w:val="clear" w:color="000000" w:fill="FFFFFF"/>
            <w:vAlign w:val="center"/>
            <w:hideMark/>
          </w:tcPr>
          <w:p w14:paraId="76BF2B47" w14:textId="77777777" w:rsidR="00156B3B" w:rsidRPr="00BD295E" w:rsidRDefault="008A5057" w:rsidP="00156B3B">
            <w:pPr>
              <w:contextualSpacing/>
              <w:jc w:val="both"/>
              <w:rPr>
                <w:rFonts w:ascii="Arial" w:hAnsi="Arial" w:cs="Arial"/>
                <w:b/>
                <w:bCs/>
                <w:sz w:val="14"/>
                <w:szCs w:val="14"/>
                <w:lang w:val="en-US"/>
              </w:rPr>
            </w:pPr>
            <w:r w:rsidRPr="00BD295E">
              <w:rPr>
                <w:rFonts w:ascii="Arial" w:hAnsi="Arial" w:cs="Arial"/>
                <w:b/>
                <w:bCs/>
                <w:sz w:val="14"/>
                <w:szCs w:val="14"/>
                <w:lang w:val="en-US"/>
              </w:rPr>
              <w:t>Training end date</w:t>
            </w:r>
          </w:p>
        </w:tc>
        <w:tc>
          <w:tcPr>
            <w:tcW w:w="492"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1EEC2866" w14:textId="77777777" w:rsidR="00156B3B" w:rsidRPr="00BD295E" w:rsidRDefault="008A5057" w:rsidP="00156B3B">
            <w:pPr>
              <w:contextualSpacing/>
              <w:jc w:val="both"/>
              <w:rPr>
                <w:rFonts w:ascii="Arial" w:hAnsi="Arial" w:cs="Arial"/>
                <w:b/>
                <w:bCs/>
                <w:sz w:val="14"/>
                <w:szCs w:val="14"/>
                <w:lang w:val="en-US"/>
              </w:rPr>
            </w:pPr>
            <w:r w:rsidRPr="00BD295E">
              <w:rPr>
                <w:rFonts w:ascii="Arial" w:hAnsi="Arial" w:cs="Arial"/>
                <w:b/>
                <w:bCs/>
                <w:sz w:val="14"/>
                <w:szCs w:val="14"/>
                <w:lang w:val="en-US"/>
              </w:rPr>
              <w:t>Education proof (diploma, certificate, etc.)</w:t>
            </w:r>
          </w:p>
        </w:tc>
        <w:tc>
          <w:tcPr>
            <w:tcW w:w="601"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64D69038" w14:textId="77777777" w:rsidR="00156B3B" w:rsidRPr="00BD295E" w:rsidRDefault="008A5057" w:rsidP="00156B3B">
            <w:pPr>
              <w:contextualSpacing/>
              <w:jc w:val="both"/>
              <w:rPr>
                <w:rFonts w:ascii="Arial" w:hAnsi="Arial" w:cs="Arial"/>
                <w:b/>
                <w:bCs/>
                <w:sz w:val="14"/>
                <w:szCs w:val="14"/>
                <w:lang w:val="en-US"/>
              </w:rPr>
            </w:pPr>
            <w:r w:rsidRPr="00BD295E">
              <w:rPr>
                <w:rFonts w:ascii="Arial" w:hAnsi="Arial" w:cs="Arial"/>
                <w:b/>
                <w:bCs/>
                <w:sz w:val="14"/>
                <w:szCs w:val="14"/>
                <w:lang w:val="en-US"/>
              </w:rPr>
              <w:t>Information on certification and qualifications</w:t>
            </w:r>
          </w:p>
        </w:tc>
      </w:tr>
      <w:tr w:rsidR="008A5057" w:rsidRPr="00BD295E" w14:paraId="0A3EF806" w14:textId="77777777" w:rsidTr="007E5383">
        <w:trPr>
          <w:trHeight w:val="315"/>
        </w:trPr>
        <w:tc>
          <w:tcPr>
            <w:tcW w:w="21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7B8A9A" w14:textId="77777777" w:rsidR="00156B3B" w:rsidRPr="00BD295E" w:rsidRDefault="00156B3B" w:rsidP="00156B3B">
            <w:pPr>
              <w:contextualSpacing/>
              <w:jc w:val="both"/>
              <w:rPr>
                <w:rFonts w:ascii="Arial" w:hAnsi="Arial" w:cs="Arial"/>
                <w:b/>
                <w:bCs/>
                <w:sz w:val="18"/>
                <w:szCs w:val="18"/>
                <w:lang w:val="en-US"/>
              </w:rPr>
            </w:pPr>
          </w:p>
        </w:tc>
        <w:tc>
          <w:tcPr>
            <w:tcW w:w="730"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80F1E4" w14:textId="77777777" w:rsidR="00156B3B" w:rsidRPr="00BD295E" w:rsidRDefault="00156B3B" w:rsidP="00156B3B">
            <w:pPr>
              <w:contextualSpacing/>
              <w:jc w:val="both"/>
              <w:rPr>
                <w:rFonts w:ascii="Arial" w:hAnsi="Arial" w:cs="Arial"/>
                <w:b/>
                <w:bCs/>
                <w:sz w:val="14"/>
                <w:szCs w:val="14"/>
                <w:lang w:val="en-US"/>
              </w:rPr>
            </w:pPr>
          </w:p>
        </w:tc>
        <w:tc>
          <w:tcPr>
            <w:tcW w:w="592"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CC774A" w14:textId="77777777" w:rsidR="00156B3B" w:rsidRPr="00BD295E" w:rsidRDefault="00156B3B" w:rsidP="00156B3B">
            <w:pPr>
              <w:contextualSpacing/>
              <w:jc w:val="both"/>
              <w:rPr>
                <w:rFonts w:ascii="Arial" w:hAnsi="Arial" w:cs="Arial"/>
                <w:b/>
                <w:bCs/>
                <w:sz w:val="14"/>
                <w:szCs w:val="14"/>
                <w:lang w:val="en-US"/>
              </w:rPr>
            </w:pPr>
          </w:p>
        </w:tc>
        <w:tc>
          <w:tcPr>
            <w:tcW w:w="619" w:type="pct"/>
            <w:vMerge/>
            <w:tcBorders>
              <w:top w:val="nil"/>
              <w:left w:val="single" w:sz="8" w:space="0" w:color="000000"/>
              <w:bottom w:val="single" w:sz="8" w:space="0" w:color="000000"/>
              <w:right w:val="single" w:sz="8" w:space="0" w:color="000000"/>
            </w:tcBorders>
            <w:shd w:val="clear" w:color="auto" w:fill="auto"/>
            <w:vAlign w:val="center"/>
            <w:hideMark/>
          </w:tcPr>
          <w:p w14:paraId="7C094C50" w14:textId="77777777" w:rsidR="00156B3B" w:rsidRPr="00BD295E" w:rsidRDefault="00156B3B" w:rsidP="00156B3B">
            <w:pPr>
              <w:contextualSpacing/>
              <w:jc w:val="both"/>
              <w:rPr>
                <w:rFonts w:ascii="Arial" w:hAnsi="Arial" w:cs="Arial"/>
                <w:b/>
                <w:bCs/>
                <w:sz w:val="14"/>
                <w:szCs w:val="14"/>
                <w:lang w:val="en-US"/>
              </w:rPr>
            </w:pPr>
          </w:p>
        </w:tc>
        <w:tc>
          <w:tcPr>
            <w:tcW w:w="677" w:type="pct"/>
            <w:vMerge/>
            <w:tcBorders>
              <w:top w:val="nil"/>
              <w:left w:val="single" w:sz="8" w:space="0" w:color="000000"/>
              <w:bottom w:val="single" w:sz="8" w:space="0" w:color="000000"/>
              <w:right w:val="single" w:sz="8" w:space="0" w:color="000000"/>
            </w:tcBorders>
            <w:shd w:val="clear" w:color="auto" w:fill="auto"/>
            <w:vAlign w:val="center"/>
            <w:hideMark/>
          </w:tcPr>
          <w:p w14:paraId="0BC191A0" w14:textId="77777777" w:rsidR="00156B3B" w:rsidRPr="00BD295E" w:rsidRDefault="00156B3B" w:rsidP="00156B3B">
            <w:pPr>
              <w:contextualSpacing/>
              <w:jc w:val="both"/>
              <w:rPr>
                <w:rFonts w:ascii="Arial" w:hAnsi="Arial" w:cs="Arial"/>
                <w:b/>
                <w:bCs/>
                <w:sz w:val="14"/>
                <w:szCs w:val="14"/>
                <w:lang w:val="en-US"/>
              </w:rPr>
            </w:pPr>
          </w:p>
        </w:tc>
        <w:tc>
          <w:tcPr>
            <w:tcW w:w="556" w:type="pct"/>
            <w:tcBorders>
              <w:top w:val="nil"/>
              <w:left w:val="nil"/>
              <w:bottom w:val="single" w:sz="8" w:space="0" w:color="000000"/>
              <w:right w:val="nil"/>
            </w:tcBorders>
            <w:shd w:val="clear" w:color="000000" w:fill="FFFFFF"/>
            <w:vAlign w:val="center"/>
            <w:hideMark/>
          </w:tcPr>
          <w:p w14:paraId="1BFC64A5" w14:textId="77777777" w:rsidR="00156B3B" w:rsidRPr="00BD295E" w:rsidRDefault="00156B3B" w:rsidP="00156B3B">
            <w:pPr>
              <w:contextualSpacing/>
              <w:jc w:val="both"/>
              <w:rPr>
                <w:rFonts w:ascii="Arial" w:hAnsi="Arial" w:cs="Arial"/>
                <w:b/>
                <w:bCs/>
                <w:sz w:val="14"/>
                <w:szCs w:val="14"/>
                <w:lang w:val="en-US"/>
              </w:rPr>
            </w:pPr>
          </w:p>
        </w:tc>
        <w:tc>
          <w:tcPr>
            <w:tcW w:w="518" w:type="pct"/>
            <w:tcBorders>
              <w:top w:val="nil"/>
              <w:left w:val="single" w:sz="8" w:space="0" w:color="000000"/>
              <w:bottom w:val="single" w:sz="8" w:space="0" w:color="000000"/>
              <w:right w:val="single" w:sz="8" w:space="0" w:color="000000"/>
            </w:tcBorders>
            <w:shd w:val="clear" w:color="000000" w:fill="FFFFFF"/>
            <w:vAlign w:val="center"/>
            <w:hideMark/>
          </w:tcPr>
          <w:p w14:paraId="3CADC64A" w14:textId="77777777" w:rsidR="00156B3B" w:rsidRPr="00BD295E" w:rsidRDefault="00156B3B" w:rsidP="00156B3B">
            <w:pPr>
              <w:contextualSpacing/>
              <w:jc w:val="both"/>
              <w:rPr>
                <w:rFonts w:ascii="Arial" w:hAnsi="Arial" w:cs="Arial"/>
                <w:b/>
                <w:bCs/>
                <w:sz w:val="14"/>
                <w:szCs w:val="14"/>
                <w:lang w:val="en-US"/>
              </w:rPr>
            </w:pPr>
          </w:p>
        </w:tc>
        <w:tc>
          <w:tcPr>
            <w:tcW w:w="492" w:type="pct"/>
            <w:vMerge/>
            <w:tcBorders>
              <w:top w:val="nil"/>
              <w:left w:val="single" w:sz="8" w:space="0" w:color="000000"/>
              <w:bottom w:val="single" w:sz="8" w:space="0" w:color="000000"/>
              <w:right w:val="single" w:sz="8" w:space="0" w:color="000000"/>
            </w:tcBorders>
            <w:shd w:val="clear" w:color="auto" w:fill="auto"/>
            <w:vAlign w:val="center"/>
            <w:hideMark/>
          </w:tcPr>
          <w:p w14:paraId="719CCF22" w14:textId="77777777" w:rsidR="00156B3B" w:rsidRPr="00BD295E" w:rsidRDefault="00156B3B" w:rsidP="00156B3B">
            <w:pPr>
              <w:contextualSpacing/>
              <w:jc w:val="both"/>
              <w:rPr>
                <w:rFonts w:ascii="Arial" w:hAnsi="Arial" w:cs="Arial"/>
                <w:b/>
                <w:bCs/>
                <w:sz w:val="14"/>
                <w:szCs w:val="14"/>
                <w:lang w:val="en-US"/>
              </w:rPr>
            </w:pPr>
          </w:p>
        </w:tc>
        <w:tc>
          <w:tcPr>
            <w:tcW w:w="601" w:type="pct"/>
            <w:vMerge/>
            <w:tcBorders>
              <w:top w:val="nil"/>
              <w:left w:val="single" w:sz="8" w:space="0" w:color="000000"/>
              <w:bottom w:val="single" w:sz="8" w:space="0" w:color="000000"/>
              <w:right w:val="single" w:sz="8" w:space="0" w:color="000000"/>
            </w:tcBorders>
            <w:shd w:val="clear" w:color="auto" w:fill="auto"/>
            <w:vAlign w:val="center"/>
            <w:hideMark/>
          </w:tcPr>
          <w:p w14:paraId="27C34BC8" w14:textId="77777777" w:rsidR="00156B3B" w:rsidRPr="00BD295E" w:rsidRDefault="00156B3B" w:rsidP="00156B3B">
            <w:pPr>
              <w:contextualSpacing/>
              <w:jc w:val="both"/>
              <w:rPr>
                <w:rFonts w:ascii="Arial" w:hAnsi="Arial" w:cs="Arial"/>
                <w:b/>
                <w:bCs/>
                <w:sz w:val="14"/>
                <w:szCs w:val="14"/>
                <w:lang w:val="en-US"/>
              </w:rPr>
            </w:pPr>
          </w:p>
        </w:tc>
      </w:tr>
      <w:tr w:rsidR="008A5057" w:rsidRPr="00BD295E" w14:paraId="0A52CED8" w14:textId="77777777" w:rsidTr="007E5383">
        <w:trPr>
          <w:trHeight w:val="915"/>
        </w:trPr>
        <w:tc>
          <w:tcPr>
            <w:tcW w:w="215" w:type="pct"/>
            <w:tcBorders>
              <w:top w:val="nil"/>
              <w:left w:val="single" w:sz="8" w:space="0" w:color="000000"/>
              <w:bottom w:val="single" w:sz="8" w:space="0" w:color="000000"/>
              <w:right w:val="single" w:sz="8" w:space="0" w:color="000000"/>
            </w:tcBorders>
            <w:shd w:val="clear" w:color="000000" w:fill="FFFFFF"/>
            <w:vAlign w:val="center"/>
            <w:hideMark/>
          </w:tcPr>
          <w:p w14:paraId="2CBDB2C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w:t>
            </w:r>
          </w:p>
        </w:tc>
        <w:tc>
          <w:tcPr>
            <w:tcW w:w="730" w:type="pct"/>
            <w:tcBorders>
              <w:top w:val="nil"/>
              <w:left w:val="nil"/>
              <w:bottom w:val="single" w:sz="8" w:space="0" w:color="000000"/>
              <w:right w:val="single" w:sz="8" w:space="0" w:color="000000"/>
            </w:tcBorders>
            <w:shd w:val="clear" w:color="000000" w:fill="FFFFFF"/>
            <w:vAlign w:val="center"/>
            <w:hideMark/>
          </w:tcPr>
          <w:p w14:paraId="048069C4"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Ilya Povetkin</w:t>
            </w:r>
          </w:p>
        </w:tc>
        <w:tc>
          <w:tcPr>
            <w:tcW w:w="592" w:type="pct"/>
            <w:tcBorders>
              <w:top w:val="nil"/>
              <w:left w:val="nil"/>
              <w:bottom w:val="single" w:sz="8" w:space="0" w:color="000000"/>
              <w:right w:val="single" w:sz="8" w:space="0" w:color="000000"/>
            </w:tcBorders>
            <w:shd w:val="clear" w:color="000000" w:fill="FFFFFF"/>
            <w:vAlign w:val="center"/>
            <w:hideMark/>
          </w:tcPr>
          <w:p w14:paraId="4D664624" w14:textId="129FE866"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Director for Electricity Metering and Distribution</w:t>
            </w:r>
            <w:r w:rsidR="0085739F" w:rsidRPr="00BD295E">
              <w:rPr>
                <w:rFonts w:ascii="Arial" w:hAnsi="Arial" w:cs="Arial"/>
                <w:sz w:val="14"/>
                <w:szCs w:val="14"/>
                <w:lang w:val="en-US"/>
              </w:rPr>
              <w:t xml:space="preserve"> </w:t>
            </w:r>
            <w:r w:rsidR="00E50ECE" w:rsidRPr="00BD295E">
              <w:rPr>
                <w:rFonts w:ascii="Arial" w:hAnsi="Arial" w:cs="Arial"/>
                <w:sz w:val="14"/>
                <w:szCs w:val="14"/>
                <w:lang w:val="en-US"/>
              </w:rPr>
              <w:t>Department Head</w:t>
            </w:r>
          </w:p>
        </w:tc>
        <w:tc>
          <w:tcPr>
            <w:tcW w:w="619" w:type="pct"/>
            <w:tcBorders>
              <w:top w:val="nil"/>
              <w:left w:val="nil"/>
              <w:bottom w:val="single" w:sz="8" w:space="0" w:color="000000"/>
              <w:right w:val="single" w:sz="8" w:space="0" w:color="000000"/>
            </w:tcBorders>
            <w:shd w:val="clear" w:color="000000" w:fill="FFFFFF"/>
            <w:vAlign w:val="center"/>
            <w:hideMark/>
          </w:tcPr>
          <w:p w14:paraId="679DA6EC" w14:textId="77777777" w:rsidR="00156B3B" w:rsidRPr="00BD295E" w:rsidRDefault="00E50ECE" w:rsidP="00156B3B">
            <w:pPr>
              <w:contextualSpacing/>
              <w:jc w:val="both"/>
              <w:rPr>
                <w:rFonts w:ascii="Arial" w:hAnsi="Arial" w:cs="Arial"/>
                <w:sz w:val="14"/>
                <w:szCs w:val="14"/>
                <w:lang w:val="en-US"/>
              </w:rPr>
            </w:pPr>
            <w:r w:rsidRPr="00BD295E">
              <w:rPr>
                <w:rFonts w:ascii="Arial" w:hAnsi="Arial" w:cs="Arial"/>
                <w:sz w:val="14"/>
                <w:szCs w:val="14"/>
                <w:lang w:val="en-US"/>
              </w:rPr>
              <w:t>LLC “FINEX Kachestvo”</w:t>
            </w:r>
          </w:p>
        </w:tc>
        <w:tc>
          <w:tcPr>
            <w:tcW w:w="677" w:type="pct"/>
            <w:tcBorders>
              <w:top w:val="nil"/>
              <w:left w:val="nil"/>
              <w:bottom w:val="single" w:sz="8" w:space="0" w:color="000000"/>
              <w:right w:val="single" w:sz="8" w:space="0" w:color="000000"/>
            </w:tcBorders>
            <w:shd w:val="clear" w:color="000000" w:fill="FFFFFF"/>
            <w:vAlign w:val="center"/>
            <w:hideMark/>
          </w:tcPr>
          <w:p w14:paraId="26198F64"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Training course on Basics and Methodology of Energy Management Due to Transition to the New Version of ISO  50001: 2018</w:t>
            </w:r>
          </w:p>
        </w:tc>
        <w:tc>
          <w:tcPr>
            <w:tcW w:w="556" w:type="pct"/>
            <w:tcBorders>
              <w:top w:val="nil"/>
              <w:left w:val="nil"/>
              <w:bottom w:val="single" w:sz="8" w:space="0" w:color="000000"/>
              <w:right w:val="single" w:sz="8" w:space="0" w:color="000000"/>
            </w:tcBorders>
            <w:shd w:val="clear" w:color="000000" w:fill="FFFFFF"/>
            <w:vAlign w:val="center"/>
            <w:hideMark/>
          </w:tcPr>
          <w:p w14:paraId="3D9EB922"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518" w:type="pct"/>
            <w:tcBorders>
              <w:top w:val="nil"/>
              <w:left w:val="nil"/>
              <w:bottom w:val="single" w:sz="8" w:space="0" w:color="000000"/>
              <w:right w:val="single" w:sz="8" w:space="0" w:color="000000"/>
            </w:tcBorders>
            <w:shd w:val="clear" w:color="000000" w:fill="FFFFFF"/>
            <w:vAlign w:val="center"/>
            <w:hideMark/>
          </w:tcPr>
          <w:p w14:paraId="0D3123F9"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492" w:type="pct"/>
            <w:tcBorders>
              <w:top w:val="nil"/>
              <w:left w:val="nil"/>
              <w:bottom w:val="single" w:sz="8" w:space="0" w:color="000000"/>
              <w:right w:val="single" w:sz="8" w:space="0" w:color="000000"/>
            </w:tcBorders>
            <w:shd w:val="clear" w:color="000000" w:fill="FFFFFF"/>
            <w:vAlign w:val="center"/>
            <w:hideMark/>
          </w:tcPr>
          <w:p w14:paraId="313DBA09"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Certificate</w:t>
            </w:r>
          </w:p>
        </w:tc>
        <w:tc>
          <w:tcPr>
            <w:tcW w:w="601" w:type="pct"/>
            <w:tcBorders>
              <w:top w:val="nil"/>
              <w:left w:val="nil"/>
              <w:bottom w:val="single" w:sz="8" w:space="0" w:color="000000"/>
              <w:right w:val="single" w:sz="8" w:space="0" w:color="000000"/>
            </w:tcBorders>
            <w:shd w:val="clear" w:color="000000" w:fill="FFFFFF"/>
            <w:vAlign w:val="center"/>
            <w:hideMark/>
          </w:tcPr>
          <w:p w14:paraId="2816B60D"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Certified</w:t>
            </w:r>
          </w:p>
        </w:tc>
      </w:tr>
      <w:tr w:rsidR="008A5057" w:rsidRPr="00BD295E" w14:paraId="5A958BA0" w14:textId="77777777" w:rsidTr="007E5383">
        <w:trPr>
          <w:trHeight w:val="915"/>
        </w:trPr>
        <w:tc>
          <w:tcPr>
            <w:tcW w:w="215" w:type="pct"/>
            <w:tcBorders>
              <w:top w:val="nil"/>
              <w:left w:val="single" w:sz="8" w:space="0" w:color="000000"/>
              <w:bottom w:val="single" w:sz="8" w:space="0" w:color="000000"/>
              <w:right w:val="single" w:sz="8" w:space="0" w:color="000000"/>
            </w:tcBorders>
            <w:shd w:val="clear" w:color="000000" w:fill="FFFFFF"/>
            <w:vAlign w:val="center"/>
            <w:hideMark/>
          </w:tcPr>
          <w:p w14:paraId="25D5D7D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w:t>
            </w:r>
          </w:p>
        </w:tc>
        <w:tc>
          <w:tcPr>
            <w:tcW w:w="730" w:type="pct"/>
            <w:tcBorders>
              <w:top w:val="nil"/>
              <w:left w:val="nil"/>
              <w:bottom w:val="single" w:sz="8" w:space="0" w:color="000000"/>
              <w:right w:val="single" w:sz="8" w:space="0" w:color="000000"/>
            </w:tcBorders>
            <w:shd w:val="clear" w:color="000000" w:fill="FFFFFF"/>
            <w:vAlign w:val="center"/>
            <w:hideMark/>
          </w:tcPr>
          <w:p w14:paraId="17C5FC65"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Marina Barysheva</w:t>
            </w:r>
          </w:p>
        </w:tc>
        <w:tc>
          <w:tcPr>
            <w:tcW w:w="592" w:type="pct"/>
            <w:tcBorders>
              <w:top w:val="nil"/>
              <w:left w:val="nil"/>
              <w:bottom w:val="single" w:sz="8" w:space="0" w:color="000000"/>
              <w:right w:val="single" w:sz="8" w:space="0" w:color="000000"/>
            </w:tcBorders>
            <w:shd w:val="clear" w:color="000000" w:fill="FFFFFF"/>
            <w:vAlign w:val="center"/>
            <w:hideMark/>
          </w:tcPr>
          <w:p w14:paraId="21706564" w14:textId="169FE8AD"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Director for Electricity Metering and Distribution</w:t>
            </w:r>
            <w:r w:rsidR="007E5383" w:rsidRPr="00BD295E">
              <w:rPr>
                <w:rFonts w:ascii="Arial" w:hAnsi="Arial" w:cs="Arial"/>
                <w:sz w:val="14"/>
                <w:szCs w:val="14"/>
                <w:lang w:val="en-US"/>
              </w:rPr>
              <w:t xml:space="preserve"> </w:t>
            </w:r>
            <w:r w:rsidR="00E50ECE" w:rsidRPr="00BD295E">
              <w:rPr>
                <w:rFonts w:ascii="Arial" w:hAnsi="Arial" w:cs="Arial"/>
                <w:sz w:val="14"/>
                <w:szCs w:val="14"/>
                <w:lang w:val="en-US"/>
              </w:rPr>
              <w:t>Department Head</w:t>
            </w:r>
          </w:p>
        </w:tc>
        <w:tc>
          <w:tcPr>
            <w:tcW w:w="619" w:type="pct"/>
            <w:tcBorders>
              <w:top w:val="nil"/>
              <w:left w:val="nil"/>
              <w:bottom w:val="single" w:sz="8" w:space="0" w:color="000000"/>
              <w:right w:val="single" w:sz="8" w:space="0" w:color="000000"/>
            </w:tcBorders>
            <w:shd w:val="clear" w:color="000000" w:fill="FFFFFF"/>
            <w:vAlign w:val="center"/>
            <w:hideMark/>
          </w:tcPr>
          <w:p w14:paraId="6FEE77BB" w14:textId="77777777" w:rsidR="00156B3B" w:rsidRPr="00BD295E" w:rsidRDefault="00E50ECE" w:rsidP="00156B3B">
            <w:pPr>
              <w:contextualSpacing/>
              <w:jc w:val="both"/>
              <w:rPr>
                <w:rFonts w:ascii="Arial" w:hAnsi="Arial" w:cs="Arial"/>
                <w:sz w:val="14"/>
                <w:szCs w:val="14"/>
                <w:lang w:val="en-US"/>
              </w:rPr>
            </w:pPr>
            <w:r w:rsidRPr="00BD295E">
              <w:rPr>
                <w:rFonts w:ascii="Arial" w:hAnsi="Arial" w:cs="Arial"/>
                <w:sz w:val="14"/>
                <w:szCs w:val="14"/>
                <w:lang w:val="en-US"/>
              </w:rPr>
              <w:t>LLC “FINEX Kachestvo”</w:t>
            </w:r>
          </w:p>
        </w:tc>
        <w:tc>
          <w:tcPr>
            <w:tcW w:w="677" w:type="pct"/>
            <w:tcBorders>
              <w:top w:val="nil"/>
              <w:left w:val="nil"/>
              <w:bottom w:val="single" w:sz="8" w:space="0" w:color="000000"/>
              <w:right w:val="single" w:sz="8" w:space="0" w:color="000000"/>
            </w:tcBorders>
            <w:shd w:val="clear" w:color="000000" w:fill="FFFFFF"/>
            <w:vAlign w:val="center"/>
            <w:hideMark/>
          </w:tcPr>
          <w:p w14:paraId="2A7428F0"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Training course on Basics and Methodology of Energy Management Due to Transition to the New Version of ISO  50001: 2018</w:t>
            </w:r>
          </w:p>
        </w:tc>
        <w:tc>
          <w:tcPr>
            <w:tcW w:w="556" w:type="pct"/>
            <w:tcBorders>
              <w:top w:val="nil"/>
              <w:left w:val="nil"/>
              <w:bottom w:val="single" w:sz="8" w:space="0" w:color="000000"/>
              <w:right w:val="single" w:sz="8" w:space="0" w:color="000000"/>
            </w:tcBorders>
            <w:shd w:val="clear" w:color="000000" w:fill="FFFFFF"/>
            <w:vAlign w:val="center"/>
            <w:hideMark/>
          </w:tcPr>
          <w:p w14:paraId="45533729"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518" w:type="pct"/>
            <w:tcBorders>
              <w:top w:val="nil"/>
              <w:left w:val="nil"/>
              <w:bottom w:val="single" w:sz="8" w:space="0" w:color="000000"/>
              <w:right w:val="single" w:sz="8" w:space="0" w:color="000000"/>
            </w:tcBorders>
            <w:shd w:val="clear" w:color="000000" w:fill="FFFFFF"/>
            <w:vAlign w:val="center"/>
            <w:hideMark/>
          </w:tcPr>
          <w:p w14:paraId="2477EDAC"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492" w:type="pct"/>
            <w:tcBorders>
              <w:top w:val="nil"/>
              <w:left w:val="nil"/>
              <w:bottom w:val="single" w:sz="8" w:space="0" w:color="000000"/>
              <w:right w:val="single" w:sz="8" w:space="0" w:color="000000"/>
            </w:tcBorders>
            <w:shd w:val="clear" w:color="000000" w:fill="FFFFFF"/>
            <w:vAlign w:val="center"/>
            <w:hideMark/>
          </w:tcPr>
          <w:p w14:paraId="27E5A7CB"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Certificate</w:t>
            </w:r>
          </w:p>
        </w:tc>
        <w:tc>
          <w:tcPr>
            <w:tcW w:w="601" w:type="pct"/>
            <w:tcBorders>
              <w:top w:val="nil"/>
              <w:left w:val="nil"/>
              <w:bottom w:val="single" w:sz="8" w:space="0" w:color="000000"/>
              <w:right w:val="single" w:sz="8" w:space="0" w:color="000000"/>
            </w:tcBorders>
            <w:shd w:val="clear" w:color="000000" w:fill="FFFFFF"/>
            <w:vAlign w:val="center"/>
            <w:hideMark/>
          </w:tcPr>
          <w:p w14:paraId="3062D516"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Certified</w:t>
            </w:r>
          </w:p>
        </w:tc>
      </w:tr>
      <w:tr w:rsidR="008A5057" w:rsidRPr="00BD295E" w14:paraId="11420799" w14:textId="77777777" w:rsidTr="007E5383">
        <w:trPr>
          <w:trHeight w:val="915"/>
        </w:trPr>
        <w:tc>
          <w:tcPr>
            <w:tcW w:w="215" w:type="pct"/>
            <w:tcBorders>
              <w:top w:val="nil"/>
              <w:left w:val="single" w:sz="8" w:space="0" w:color="000000"/>
              <w:bottom w:val="single" w:sz="8" w:space="0" w:color="000000"/>
              <w:right w:val="single" w:sz="8" w:space="0" w:color="000000"/>
            </w:tcBorders>
            <w:shd w:val="clear" w:color="000000" w:fill="FFFFFF"/>
            <w:vAlign w:val="center"/>
            <w:hideMark/>
          </w:tcPr>
          <w:p w14:paraId="361A62C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w:t>
            </w:r>
          </w:p>
        </w:tc>
        <w:tc>
          <w:tcPr>
            <w:tcW w:w="730" w:type="pct"/>
            <w:tcBorders>
              <w:top w:val="nil"/>
              <w:left w:val="nil"/>
              <w:bottom w:val="single" w:sz="8" w:space="0" w:color="000000"/>
              <w:right w:val="single" w:sz="8" w:space="0" w:color="000000"/>
            </w:tcBorders>
            <w:shd w:val="clear" w:color="000000" w:fill="FFFFFF"/>
            <w:vAlign w:val="center"/>
            <w:hideMark/>
          </w:tcPr>
          <w:p w14:paraId="2D4C241E"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Aleksandr Yuriev</w:t>
            </w:r>
          </w:p>
        </w:tc>
        <w:tc>
          <w:tcPr>
            <w:tcW w:w="592" w:type="pct"/>
            <w:tcBorders>
              <w:top w:val="nil"/>
              <w:left w:val="nil"/>
              <w:bottom w:val="single" w:sz="8" w:space="0" w:color="000000"/>
              <w:right w:val="single" w:sz="8" w:space="0" w:color="000000"/>
            </w:tcBorders>
            <w:shd w:val="clear" w:color="000000" w:fill="FFFFFF"/>
            <w:vAlign w:val="center"/>
            <w:hideMark/>
          </w:tcPr>
          <w:p w14:paraId="5D1252BC" w14:textId="4360DE72"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Director for Electricity Metering and Distribution</w:t>
            </w:r>
            <w:r w:rsidR="007E5383" w:rsidRPr="00BD295E">
              <w:rPr>
                <w:rFonts w:ascii="Arial" w:hAnsi="Arial" w:cs="Arial"/>
                <w:sz w:val="14"/>
                <w:szCs w:val="14"/>
                <w:lang w:val="en-US"/>
              </w:rPr>
              <w:t xml:space="preserve"> </w:t>
            </w:r>
            <w:r w:rsidR="00E50ECE" w:rsidRPr="00BD295E">
              <w:rPr>
                <w:rFonts w:ascii="Arial" w:hAnsi="Arial" w:cs="Arial"/>
                <w:sz w:val="14"/>
                <w:szCs w:val="14"/>
                <w:lang w:val="en-US"/>
              </w:rPr>
              <w:t>Department Head</w:t>
            </w:r>
          </w:p>
        </w:tc>
        <w:tc>
          <w:tcPr>
            <w:tcW w:w="619" w:type="pct"/>
            <w:tcBorders>
              <w:top w:val="nil"/>
              <w:left w:val="nil"/>
              <w:bottom w:val="single" w:sz="8" w:space="0" w:color="000000"/>
              <w:right w:val="single" w:sz="8" w:space="0" w:color="000000"/>
            </w:tcBorders>
            <w:shd w:val="clear" w:color="000000" w:fill="FFFFFF"/>
            <w:vAlign w:val="center"/>
            <w:hideMark/>
          </w:tcPr>
          <w:p w14:paraId="22FCED36" w14:textId="77777777" w:rsidR="00156B3B" w:rsidRPr="00BD295E" w:rsidRDefault="00E50ECE" w:rsidP="00156B3B">
            <w:pPr>
              <w:contextualSpacing/>
              <w:jc w:val="both"/>
              <w:rPr>
                <w:rFonts w:ascii="Arial" w:hAnsi="Arial" w:cs="Arial"/>
                <w:sz w:val="14"/>
                <w:szCs w:val="14"/>
                <w:lang w:val="en-US"/>
              </w:rPr>
            </w:pPr>
            <w:r w:rsidRPr="00BD295E">
              <w:rPr>
                <w:rFonts w:ascii="Arial" w:hAnsi="Arial" w:cs="Arial"/>
                <w:sz w:val="14"/>
                <w:szCs w:val="14"/>
                <w:lang w:val="en-US"/>
              </w:rPr>
              <w:t>LLC “FINEX Kachestvo”</w:t>
            </w:r>
          </w:p>
        </w:tc>
        <w:tc>
          <w:tcPr>
            <w:tcW w:w="677" w:type="pct"/>
            <w:tcBorders>
              <w:top w:val="nil"/>
              <w:left w:val="nil"/>
              <w:bottom w:val="single" w:sz="8" w:space="0" w:color="000000"/>
              <w:right w:val="single" w:sz="8" w:space="0" w:color="000000"/>
            </w:tcBorders>
            <w:shd w:val="clear" w:color="000000" w:fill="FFFFFF"/>
            <w:vAlign w:val="center"/>
            <w:hideMark/>
          </w:tcPr>
          <w:p w14:paraId="5C24EE35"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Training course on Basics and Methodology of Energy Management Due to Transition to the New Version of ISO  50001: 2018</w:t>
            </w:r>
          </w:p>
        </w:tc>
        <w:tc>
          <w:tcPr>
            <w:tcW w:w="556" w:type="pct"/>
            <w:tcBorders>
              <w:top w:val="nil"/>
              <w:left w:val="nil"/>
              <w:bottom w:val="single" w:sz="8" w:space="0" w:color="000000"/>
              <w:right w:val="single" w:sz="8" w:space="0" w:color="000000"/>
            </w:tcBorders>
            <w:shd w:val="clear" w:color="000000" w:fill="FFFFFF"/>
            <w:vAlign w:val="center"/>
            <w:hideMark/>
          </w:tcPr>
          <w:p w14:paraId="0FD34CEF"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518" w:type="pct"/>
            <w:tcBorders>
              <w:top w:val="nil"/>
              <w:left w:val="nil"/>
              <w:bottom w:val="single" w:sz="8" w:space="0" w:color="000000"/>
              <w:right w:val="single" w:sz="8" w:space="0" w:color="000000"/>
            </w:tcBorders>
            <w:shd w:val="clear" w:color="000000" w:fill="FFFFFF"/>
            <w:vAlign w:val="center"/>
            <w:hideMark/>
          </w:tcPr>
          <w:p w14:paraId="383B32F5"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492" w:type="pct"/>
            <w:tcBorders>
              <w:top w:val="nil"/>
              <w:left w:val="nil"/>
              <w:bottom w:val="single" w:sz="8" w:space="0" w:color="000000"/>
              <w:right w:val="single" w:sz="8" w:space="0" w:color="000000"/>
            </w:tcBorders>
            <w:shd w:val="clear" w:color="000000" w:fill="FFFFFF"/>
            <w:vAlign w:val="center"/>
            <w:hideMark/>
          </w:tcPr>
          <w:p w14:paraId="521EBB71"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Certificate</w:t>
            </w:r>
          </w:p>
        </w:tc>
        <w:tc>
          <w:tcPr>
            <w:tcW w:w="601" w:type="pct"/>
            <w:tcBorders>
              <w:top w:val="nil"/>
              <w:left w:val="nil"/>
              <w:bottom w:val="single" w:sz="8" w:space="0" w:color="000000"/>
              <w:right w:val="single" w:sz="8" w:space="0" w:color="000000"/>
            </w:tcBorders>
            <w:shd w:val="clear" w:color="000000" w:fill="FFFFFF"/>
            <w:vAlign w:val="center"/>
            <w:hideMark/>
          </w:tcPr>
          <w:p w14:paraId="0009C11C"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Certified</w:t>
            </w:r>
          </w:p>
        </w:tc>
      </w:tr>
      <w:tr w:rsidR="008A5057" w:rsidRPr="00BD295E" w14:paraId="166B527F" w14:textId="77777777" w:rsidTr="007E5383">
        <w:trPr>
          <w:trHeight w:val="915"/>
        </w:trPr>
        <w:tc>
          <w:tcPr>
            <w:tcW w:w="215" w:type="pct"/>
            <w:tcBorders>
              <w:top w:val="nil"/>
              <w:left w:val="single" w:sz="8" w:space="0" w:color="000000"/>
              <w:bottom w:val="single" w:sz="8" w:space="0" w:color="000000"/>
              <w:right w:val="single" w:sz="8" w:space="0" w:color="000000"/>
            </w:tcBorders>
            <w:shd w:val="clear" w:color="000000" w:fill="FFFFFF"/>
            <w:vAlign w:val="center"/>
            <w:hideMark/>
          </w:tcPr>
          <w:p w14:paraId="2D2A237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4</w:t>
            </w:r>
          </w:p>
        </w:tc>
        <w:tc>
          <w:tcPr>
            <w:tcW w:w="730" w:type="pct"/>
            <w:tcBorders>
              <w:top w:val="nil"/>
              <w:left w:val="nil"/>
              <w:bottom w:val="single" w:sz="8" w:space="0" w:color="000000"/>
              <w:right w:val="single" w:sz="8" w:space="0" w:color="000000"/>
            </w:tcBorders>
            <w:shd w:val="clear" w:color="000000" w:fill="FFFFFF"/>
            <w:vAlign w:val="center"/>
            <w:hideMark/>
          </w:tcPr>
          <w:p w14:paraId="449E89A6"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Igor Karpov</w:t>
            </w:r>
          </w:p>
        </w:tc>
        <w:tc>
          <w:tcPr>
            <w:tcW w:w="592" w:type="pct"/>
            <w:tcBorders>
              <w:top w:val="nil"/>
              <w:left w:val="nil"/>
              <w:bottom w:val="single" w:sz="8" w:space="0" w:color="000000"/>
              <w:right w:val="single" w:sz="8" w:space="0" w:color="000000"/>
            </w:tcBorders>
            <w:shd w:val="clear" w:color="000000" w:fill="FFFFFF"/>
            <w:vAlign w:val="center"/>
            <w:hideMark/>
          </w:tcPr>
          <w:p w14:paraId="111386A4" w14:textId="27FB25FF" w:rsidR="00156B3B" w:rsidRPr="00BD295E" w:rsidRDefault="008A5057" w:rsidP="007E5383">
            <w:pPr>
              <w:contextualSpacing/>
              <w:jc w:val="both"/>
              <w:rPr>
                <w:rFonts w:ascii="Arial" w:hAnsi="Arial" w:cs="Arial"/>
                <w:sz w:val="14"/>
                <w:szCs w:val="14"/>
                <w:lang w:val="en-US"/>
              </w:rPr>
            </w:pPr>
            <w:r w:rsidRPr="00BD295E">
              <w:rPr>
                <w:rFonts w:ascii="Arial" w:hAnsi="Arial" w:cs="Arial"/>
                <w:sz w:val="14"/>
                <w:szCs w:val="14"/>
                <w:lang w:val="en-US"/>
              </w:rPr>
              <w:t>Chief Specialist</w:t>
            </w:r>
            <w:r w:rsidR="007E5383" w:rsidRPr="00BD295E">
              <w:rPr>
                <w:rFonts w:ascii="Arial" w:hAnsi="Arial" w:cs="Arial"/>
                <w:sz w:val="14"/>
                <w:szCs w:val="14"/>
                <w:lang w:val="en-US"/>
              </w:rPr>
              <w:t>,</w:t>
            </w:r>
            <w:r w:rsidRPr="00BD295E">
              <w:rPr>
                <w:rFonts w:ascii="Arial" w:hAnsi="Arial" w:cs="Arial"/>
                <w:sz w:val="14"/>
                <w:szCs w:val="14"/>
                <w:lang w:val="en-US"/>
              </w:rPr>
              <w:t xml:space="preserve"> </w:t>
            </w:r>
            <w:r w:rsidR="007E5383" w:rsidRPr="00BD295E">
              <w:rPr>
                <w:rFonts w:ascii="Arial" w:hAnsi="Arial" w:cs="Arial"/>
                <w:sz w:val="14"/>
                <w:szCs w:val="14"/>
                <w:lang w:val="en-US"/>
              </w:rPr>
              <w:br/>
            </w:r>
            <w:r w:rsidRPr="00BD295E">
              <w:rPr>
                <w:rFonts w:ascii="Arial" w:hAnsi="Arial" w:cs="Arial"/>
                <w:sz w:val="14"/>
                <w:szCs w:val="14"/>
                <w:lang w:val="en-US"/>
              </w:rPr>
              <w:t xml:space="preserve">the Electricity Billing Metering Control Service </w:t>
            </w:r>
          </w:p>
        </w:tc>
        <w:tc>
          <w:tcPr>
            <w:tcW w:w="619" w:type="pct"/>
            <w:tcBorders>
              <w:top w:val="nil"/>
              <w:left w:val="nil"/>
              <w:bottom w:val="single" w:sz="8" w:space="0" w:color="000000"/>
              <w:right w:val="single" w:sz="8" w:space="0" w:color="000000"/>
            </w:tcBorders>
            <w:shd w:val="clear" w:color="000000" w:fill="FFFFFF"/>
            <w:vAlign w:val="center"/>
            <w:hideMark/>
          </w:tcPr>
          <w:p w14:paraId="3520F32F" w14:textId="77777777" w:rsidR="00156B3B" w:rsidRPr="00BD295E" w:rsidRDefault="00E50ECE" w:rsidP="00156B3B">
            <w:pPr>
              <w:contextualSpacing/>
              <w:jc w:val="both"/>
              <w:rPr>
                <w:rFonts w:ascii="Arial" w:hAnsi="Arial" w:cs="Arial"/>
                <w:sz w:val="14"/>
                <w:szCs w:val="14"/>
                <w:lang w:val="en-US"/>
              </w:rPr>
            </w:pPr>
            <w:r w:rsidRPr="00BD295E">
              <w:rPr>
                <w:rFonts w:ascii="Arial" w:hAnsi="Arial" w:cs="Arial"/>
                <w:sz w:val="14"/>
                <w:szCs w:val="14"/>
                <w:lang w:val="en-US"/>
              </w:rPr>
              <w:t>LLC “FINEX Kachestvo”</w:t>
            </w:r>
          </w:p>
        </w:tc>
        <w:tc>
          <w:tcPr>
            <w:tcW w:w="677" w:type="pct"/>
            <w:tcBorders>
              <w:top w:val="nil"/>
              <w:left w:val="nil"/>
              <w:bottom w:val="single" w:sz="8" w:space="0" w:color="000000"/>
              <w:right w:val="single" w:sz="8" w:space="0" w:color="000000"/>
            </w:tcBorders>
            <w:shd w:val="clear" w:color="000000" w:fill="FFFFFF"/>
            <w:vAlign w:val="center"/>
            <w:hideMark/>
          </w:tcPr>
          <w:p w14:paraId="4C1E0EFE"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Training course on Basics and Methodology of Energy Management Due to Transition to the New Version of ISO  50001: 2018</w:t>
            </w:r>
          </w:p>
        </w:tc>
        <w:tc>
          <w:tcPr>
            <w:tcW w:w="556" w:type="pct"/>
            <w:tcBorders>
              <w:top w:val="nil"/>
              <w:left w:val="nil"/>
              <w:bottom w:val="single" w:sz="8" w:space="0" w:color="000000"/>
              <w:right w:val="single" w:sz="8" w:space="0" w:color="000000"/>
            </w:tcBorders>
            <w:shd w:val="clear" w:color="000000" w:fill="FFFFFF"/>
            <w:vAlign w:val="center"/>
            <w:hideMark/>
          </w:tcPr>
          <w:p w14:paraId="3831F39A"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518" w:type="pct"/>
            <w:tcBorders>
              <w:top w:val="nil"/>
              <w:left w:val="nil"/>
              <w:bottom w:val="single" w:sz="8" w:space="0" w:color="000000"/>
              <w:right w:val="single" w:sz="8" w:space="0" w:color="000000"/>
            </w:tcBorders>
            <w:shd w:val="clear" w:color="000000" w:fill="FFFFFF"/>
            <w:vAlign w:val="center"/>
            <w:hideMark/>
          </w:tcPr>
          <w:p w14:paraId="6F5B1FCD"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492" w:type="pct"/>
            <w:tcBorders>
              <w:top w:val="nil"/>
              <w:left w:val="nil"/>
              <w:bottom w:val="single" w:sz="8" w:space="0" w:color="000000"/>
              <w:right w:val="single" w:sz="8" w:space="0" w:color="000000"/>
            </w:tcBorders>
            <w:shd w:val="clear" w:color="000000" w:fill="FFFFFF"/>
            <w:vAlign w:val="center"/>
            <w:hideMark/>
          </w:tcPr>
          <w:p w14:paraId="15DFF8E8"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Certificate</w:t>
            </w:r>
          </w:p>
        </w:tc>
        <w:tc>
          <w:tcPr>
            <w:tcW w:w="601" w:type="pct"/>
            <w:tcBorders>
              <w:top w:val="nil"/>
              <w:left w:val="nil"/>
              <w:bottom w:val="single" w:sz="8" w:space="0" w:color="000000"/>
              <w:right w:val="single" w:sz="8" w:space="0" w:color="000000"/>
            </w:tcBorders>
            <w:shd w:val="clear" w:color="000000" w:fill="FFFFFF"/>
            <w:vAlign w:val="center"/>
            <w:hideMark/>
          </w:tcPr>
          <w:p w14:paraId="4C5C9274"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Certified</w:t>
            </w:r>
          </w:p>
        </w:tc>
      </w:tr>
      <w:tr w:rsidR="008A5057" w:rsidRPr="00BD295E" w14:paraId="6E9D0F8D" w14:textId="77777777" w:rsidTr="007E5383">
        <w:trPr>
          <w:trHeight w:val="915"/>
        </w:trPr>
        <w:tc>
          <w:tcPr>
            <w:tcW w:w="215" w:type="pct"/>
            <w:tcBorders>
              <w:top w:val="nil"/>
              <w:left w:val="single" w:sz="8" w:space="0" w:color="000000"/>
              <w:bottom w:val="single" w:sz="8" w:space="0" w:color="000000"/>
              <w:right w:val="single" w:sz="8" w:space="0" w:color="000000"/>
            </w:tcBorders>
            <w:shd w:val="clear" w:color="000000" w:fill="FFFFFF"/>
            <w:vAlign w:val="center"/>
            <w:hideMark/>
          </w:tcPr>
          <w:p w14:paraId="2E488A4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5</w:t>
            </w:r>
          </w:p>
        </w:tc>
        <w:tc>
          <w:tcPr>
            <w:tcW w:w="730" w:type="pct"/>
            <w:tcBorders>
              <w:top w:val="nil"/>
              <w:left w:val="nil"/>
              <w:bottom w:val="single" w:sz="8" w:space="0" w:color="000000"/>
              <w:right w:val="single" w:sz="8" w:space="0" w:color="000000"/>
            </w:tcBorders>
            <w:shd w:val="clear" w:color="000000" w:fill="FFFFFF"/>
            <w:vAlign w:val="center"/>
            <w:hideMark/>
          </w:tcPr>
          <w:p w14:paraId="2FECE1B1"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Aleksandr Vorobyev</w:t>
            </w:r>
          </w:p>
        </w:tc>
        <w:tc>
          <w:tcPr>
            <w:tcW w:w="592" w:type="pct"/>
            <w:tcBorders>
              <w:top w:val="nil"/>
              <w:left w:val="nil"/>
              <w:bottom w:val="single" w:sz="8" w:space="0" w:color="000000"/>
              <w:right w:val="single" w:sz="8" w:space="0" w:color="000000"/>
            </w:tcBorders>
            <w:shd w:val="clear" w:color="000000" w:fill="FFFFFF"/>
            <w:vAlign w:val="center"/>
            <w:hideMark/>
          </w:tcPr>
          <w:p w14:paraId="2D9B035E" w14:textId="2693C9DB" w:rsidR="00156B3B" w:rsidRPr="00BD295E" w:rsidRDefault="007E5383" w:rsidP="007E5383">
            <w:pPr>
              <w:contextualSpacing/>
              <w:jc w:val="both"/>
              <w:rPr>
                <w:rFonts w:ascii="Arial" w:hAnsi="Arial" w:cs="Arial"/>
                <w:sz w:val="14"/>
                <w:szCs w:val="14"/>
                <w:lang w:val="en-US"/>
              </w:rPr>
            </w:pPr>
            <w:r w:rsidRPr="00BD295E">
              <w:rPr>
                <w:rFonts w:ascii="Arial" w:hAnsi="Arial" w:cs="Arial"/>
                <w:sz w:val="14"/>
                <w:szCs w:val="14"/>
                <w:lang w:val="en-US"/>
              </w:rPr>
              <w:t xml:space="preserve">Chief Specialist, </w:t>
            </w:r>
            <w:r w:rsidRPr="00BD295E">
              <w:rPr>
                <w:rFonts w:ascii="Arial" w:hAnsi="Arial" w:cs="Arial"/>
                <w:sz w:val="14"/>
                <w:szCs w:val="14"/>
                <w:lang w:val="en-US"/>
              </w:rPr>
              <w:br/>
            </w:r>
            <w:r w:rsidR="008A5057" w:rsidRPr="00BD295E">
              <w:rPr>
                <w:rFonts w:ascii="Arial" w:hAnsi="Arial" w:cs="Arial"/>
                <w:sz w:val="14"/>
                <w:szCs w:val="14"/>
                <w:lang w:val="en-US"/>
              </w:rPr>
              <w:t>the Quality Management Service</w:t>
            </w:r>
          </w:p>
        </w:tc>
        <w:tc>
          <w:tcPr>
            <w:tcW w:w="619" w:type="pct"/>
            <w:tcBorders>
              <w:top w:val="nil"/>
              <w:left w:val="nil"/>
              <w:bottom w:val="single" w:sz="8" w:space="0" w:color="000000"/>
              <w:right w:val="single" w:sz="8" w:space="0" w:color="000000"/>
            </w:tcBorders>
            <w:shd w:val="clear" w:color="000000" w:fill="FFFFFF"/>
            <w:vAlign w:val="center"/>
            <w:hideMark/>
          </w:tcPr>
          <w:p w14:paraId="2EDCEC3D" w14:textId="77777777" w:rsidR="00156B3B" w:rsidRPr="00BD295E" w:rsidRDefault="00E50ECE" w:rsidP="00156B3B">
            <w:pPr>
              <w:contextualSpacing/>
              <w:jc w:val="both"/>
              <w:rPr>
                <w:rFonts w:ascii="Arial" w:hAnsi="Arial" w:cs="Arial"/>
                <w:sz w:val="14"/>
                <w:szCs w:val="14"/>
                <w:lang w:val="en-US"/>
              </w:rPr>
            </w:pPr>
            <w:r w:rsidRPr="00BD295E">
              <w:rPr>
                <w:rFonts w:ascii="Arial" w:hAnsi="Arial" w:cs="Arial"/>
                <w:sz w:val="14"/>
                <w:szCs w:val="14"/>
                <w:lang w:val="en-US"/>
              </w:rPr>
              <w:t>LLC “FINEX Kachestvo”</w:t>
            </w:r>
          </w:p>
        </w:tc>
        <w:tc>
          <w:tcPr>
            <w:tcW w:w="677" w:type="pct"/>
            <w:tcBorders>
              <w:top w:val="nil"/>
              <w:left w:val="nil"/>
              <w:bottom w:val="single" w:sz="8" w:space="0" w:color="000000"/>
              <w:right w:val="single" w:sz="8" w:space="0" w:color="000000"/>
            </w:tcBorders>
            <w:shd w:val="clear" w:color="000000" w:fill="FFFFFF"/>
            <w:vAlign w:val="center"/>
            <w:hideMark/>
          </w:tcPr>
          <w:p w14:paraId="6C5FB7C0"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Training course on Basics and Methodology of Energy Management Due to Transition to the New Version of ISO  50001: 2018</w:t>
            </w:r>
          </w:p>
        </w:tc>
        <w:tc>
          <w:tcPr>
            <w:tcW w:w="556" w:type="pct"/>
            <w:tcBorders>
              <w:top w:val="nil"/>
              <w:left w:val="nil"/>
              <w:bottom w:val="single" w:sz="8" w:space="0" w:color="000000"/>
              <w:right w:val="single" w:sz="8" w:space="0" w:color="000000"/>
            </w:tcBorders>
            <w:shd w:val="clear" w:color="000000" w:fill="FFFFFF"/>
            <w:vAlign w:val="center"/>
            <w:hideMark/>
          </w:tcPr>
          <w:p w14:paraId="2F19278E"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518" w:type="pct"/>
            <w:tcBorders>
              <w:top w:val="nil"/>
              <w:left w:val="nil"/>
              <w:bottom w:val="single" w:sz="8" w:space="0" w:color="000000"/>
              <w:right w:val="single" w:sz="8" w:space="0" w:color="000000"/>
            </w:tcBorders>
            <w:shd w:val="clear" w:color="000000" w:fill="FFFFFF"/>
            <w:vAlign w:val="center"/>
            <w:hideMark/>
          </w:tcPr>
          <w:p w14:paraId="730F2E27"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October 26, 2018</w:t>
            </w:r>
          </w:p>
        </w:tc>
        <w:tc>
          <w:tcPr>
            <w:tcW w:w="492" w:type="pct"/>
            <w:tcBorders>
              <w:top w:val="nil"/>
              <w:left w:val="nil"/>
              <w:bottom w:val="single" w:sz="8" w:space="0" w:color="000000"/>
              <w:right w:val="single" w:sz="8" w:space="0" w:color="000000"/>
            </w:tcBorders>
            <w:shd w:val="clear" w:color="000000" w:fill="FFFFFF"/>
            <w:vAlign w:val="center"/>
            <w:hideMark/>
          </w:tcPr>
          <w:p w14:paraId="286A7785"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Certificate</w:t>
            </w:r>
          </w:p>
        </w:tc>
        <w:tc>
          <w:tcPr>
            <w:tcW w:w="601" w:type="pct"/>
            <w:tcBorders>
              <w:top w:val="nil"/>
              <w:left w:val="nil"/>
              <w:bottom w:val="single" w:sz="8" w:space="0" w:color="000000"/>
              <w:right w:val="single" w:sz="8" w:space="0" w:color="000000"/>
            </w:tcBorders>
            <w:shd w:val="clear" w:color="000000" w:fill="FFFFFF"/>
            <w:vAlign w:val="center"/>
            <w:hideMark/>
          </w:tcPr>
          <w:p w14:paraId="1777EBC8" w14:textId="77777777" w:rsidR="00156B3B" w:rsidRPr="00BD295E" w:rsidRDefault="008A5057" w:rsidP="00156B3B">
            <w:pPr>
              <w:contextualSpacing/>
              <w:jc w:val="both"/>
              <w:rPr>
                <w:rFonts w:ascii="Arial" w:hAnsi="Arial" w:cs="Arial"/>
                <w:sz w:val="14"/>
                <w:szCs w:val="14"/>
                <w:lang w:val="en-US"/>
              </w:rPr>
            </w:pPr>
            <w:r w:rsidRPr="00BD295E">
              <w:rPr>
                <w:rFonts w:ascii="Arial" w:hAnsi="Arial" w:cs="Arial"/>
                <w:sz w:val="14"/>
                <w:szCs w:val="14"/>
                <w:lang w:val="en-US"/>
              </w:rPr>
              <w:t>Certified</w:t>
            </w:r>
          </w:p>
        </w:tc>
      </w:tr>
    </w:tbl>
    <w:p w14:paraId="1A6A8165" w14:textId="77777777" w:rsidR="00156B3B" w:rsidRPr="00BD295E" w:rsidRDefault="00156B3B" w:rsidP="00156B3B">
      <w:pPr>
        <w:pStyle w:val="afffff3"/>
        <w:ind w:firstLine="709"/>
        <w:contextualSpacing/>
        <w:rPr>
          <w:rFonts w:ascii="Arial" w:eastAsia="Calibri" w:hAnsi="Arial" w:cs="Arial"/>
          <w:snapToGrid/>
          <w:sz w:val="18"/>
          <w:szCs w:val="18"/>
          <w:lang w:val="en-US" w:eastAsia="en-US"/>
        </w:rPr>
      </w:pPr>
    </w:p>
    <w:p w14:paraId="02F2CC32" w14:textId="77777777" w:rsidR="00156B3B" w:rsidRPr="00BD295E" w:rsidRDefault="008A5057" w:rsidP="000E42B1">
      <w:pPr>
        <w:pStyle w:val="afffff3"/>
        <w:ind w:firstLine="0"/>
        <w:contextualSpacing/>
        <w:rPr>
          <w:rFonts w:ascii="Arial" w:eastAsia="Calibri" w:hAnsi="Arial" w:cs="Arial"/>
          <w:snapToGrid/>
          <w:sz w:val="18"/>
          <w:szCs w:val="18"/>
          <w:lang w:val="en-US"/>
        </w:rPr>
      </w:pPr>
      <w:r w:rsidRPr="00BD295E">
        <w:rPr>
          <w:rFonts w:ascii="Arial" w:hAnsi="Arial" w:cs="Arial"/>
          <w:snapToGrid/>
          <w:sz w:val="18"/>
          <w:szCs w:val="18"/>
          <w:lang w:val="en-US"/>
        </w:rPr>
        <w:t xml:space="preserve">This training course on </w:t>
      </w:r>
      <w:r w:rsidRPr="00BD295E">
        <w:rPr>
          <w:rFonts w:ascii="Arial" w:hAnsi="Arial" w:cs="Arial"/>
          <w:i/>
          <w:iCs/>
          <w:snapToGrid/>
          <w:sz w:val="18"/>
          <w:szCs w:val="18"/>
          <w:lang w:val="en-US"/>
        </w:rPr>
        <w:t>Basics and Methodology of Energy Management Due to Transition to the New Version of ISO 50001:2018</w:t>
      </w:r>
      <w:r w:rsidRPr="00BD295E">
        <w:rPr>
          <w:rFonts w:ascii="Arial" w:hAnsi="Arial" w:cs="Arial"/>
          <w:snapToGrid/>
          <w:sz w:val="18"/>
          <w:szCs w:val="18"/>
          <w:lang w:val="en-US"/>
        </w:rPr>
        <w:t xml:space="preserve"> was also passed by responsible representatives of Lenenergo branches in the format of a video conference.</w:t>
      </w:r>
    </w:p>
    <w:p w14:paraId="37905F19" w14:textId="77777777" w:rsidR="00156B3B" w:rsidRPr="00BD295E" w:rsidRDefault="00EE5753" w:rsidP="000E42B1">
      <w:pPr>
        <w:contextualSpacing/>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has not in place any energy management system certified to the GOST R ISO 500012012 national standard.</w:t>
      </w:r>
    </w:p>
    <w:p w14:paraId="389D201F"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The following energy saving and energy efficiency targets were adopted under the Energy Saving and Energy Efficiency Program:</w:t>
      </w:r>
    </w:p>
    <w:p w14:paraId="7EE60E2A" w14:textId="77777777" w:rsidR="00156B3B" w:rsidRPr="00BD295E" w:rsidRDefault="008A5057" w:rsidP="00156B3B">
      <w:pPr>
        <w:ind w:firstLine="709"/>
        <w:contextualSpacing/>
        <w:jc w:val="both"/>
        <w:rPr>
          <w:rFonts w:ascii="Arial" w:hAnsi="Arial" w:cs="Arial"/>
          <w:sz w:val="18"/>
          <w:szCs w:val="18"/>
          <w:lang w:val="en-US"/>
        </w:rPr>
      </w:pPr>
      <w:r w:rsidRPr="00BD295E">
        <w:rPr>
          <w:rFonts w:ascii="Arial" w:hAnsi="Arial" w:cs="Arial"/>
          <w:sz w:val="18"/>
          <w:szCs w:val="18"/>
          <w:lang w:val="en-US"/>
        </w:rPr>
        <w:tab/>
        <w:t>reducing electricity losses during transmission and distribution through electric grids;</w:t>
      </w:r>
    </w:p>
    <w:p w14:paraId="5ABA5758" w14:textId="77777777" w:rsidR="00156B3B" w:rsidRPr="00BD295E" w:rsidRDefault="008A5057" w:rsidP="00156B3B">
      <w:pPr>
        <w:ind w:firstLine="709"/>
        <w:contextualSpacing/>
        <w:jc w:val="both"/>
        <w:rPr>
          <w:rFonts w:ascii="Arial" w:hAnsi="Arial" w:cs="Arial"/>
          <w:sz w:val="18"/>
          <w:szCs w:val="18"/>
          <w:lang w:val="en-US"/>
        </w:rPr>
      </w:pPr>
      <w:r w:rsidRPr="00BD295E">
        <w:rPr>
          <w:rFonts w:ascii="Arial" w:hAnsi="Arial" w:cs="Arial"/>
          <w:sz w:val="18"/>
          <w:szCs w:val="18"/>
          <w:lang w:val="en-US"/>
        </w:rPr>
        <w:tab/>
        <w:t>reducing energy resources consumption for auxiliary needs;</w:t>
      </w:r>
    </w:p>
    <w:p w14:paraId="39B5AF00" w14:textId="77777777" w:rsidR="00156B3B" w:rsidRPr="00BD295E" w:rsidRDefault="008A5057" w:rsidP="00156B3B">
      <w:pPr>
        <w:ind w:firstLine="709"/>
        <w:contextualSpacing/>
        <w:jc w:val="both"/>
        <w:rPr>
          <w:rFonts w:ascii="Arial" w:hAnsi="Arial" w:cs="Arial"/>
          <w:sz w:val="18"/>
          <w:szCs w:val="18"/>
          <w:lang w:val="en-US"/>
        </w:rPr>
      </w:pPr>
      <w:r w:rsidRPr="00BD295E">
        <w:rPr>
          <w:rFonts w:ascii="Arial" w:hAnsi="Arial" w:cs="Arial"/>
          <w:sz w:val="18"/>
          <w:szCs w:val="18"/>
          <w:lang w:val="en-US"/>
        </w:rPr>
        <w:tab/>
        <w:t xml:space="preserve">installing electricity meters across the retail market in accordance with the Smart Electricity Metering Development Program included in the </w:t>
      </w:r>
      <w:r w:rsidR="00E50ECE" w:rsidRPr="00BD295E">
        <w:rPr>
          <w:rFonts w:ascii="Arial" w:hAnsi="Arial" w:cs="Arial"/>
          <w:sz w:val="18"/>
          <w:szCs w:val="18"/>
          <w:lang w:val="en-US"/>
        </w:rPr>
        <w:t>action plan</w:t>
      </w:r>
      <w:r w:rsidRPr="00BD295E">
        <w:rPr>
          <w:rFonts w:ascii="Arial" w:hAnsi="Arial" w:cs="Arial"/>
          <w:sz w:val="18"/>
          <w:szCs w:val="18"/>
          <w:lang w:val="en-US"/>
        </w:rPr>
        <w:t xml:space="preserve"> to reduce electricity losses;</w:t>
      </w:r>
    </w:p>
    <w:p w14:paraId="0A075949" w14:textId="77777777" w:rsidR="00156B3B" w:rsidRPr="00BD295E" w:rsidRDefault="008A5057" w:rsidP="00156B3B">
      <w:pPr>
        <w:ind w:firstLine="709"/>
        <w:contextualSpacing/>
        <w:jc w:val="both"/>
        <w:rPr>
          <w:rFonts w:ascii="Arial" w:hAnsi="Arial" w:cs="Arial"/>
          <w:sz w:val="18"/>
          <w:szCs w:val="18"/>
          <w:lang w:val="en-US"/>
        </w:rPr>
      </w:pPr>
      <w:r w:rsidRPr="00BD295E">
        <w:rPr>
          <w:rFonts w:ascii="Arial" w:hAnsi="Arial" w:cs="Arial"/>
          <w:sz w:val="18"/>
          <w:szCs w:val="18"/>
          <w:lang w:val="en-US"/>
        </w:rPr>
        <w:tab/>
        <w:t>the number of LED-based lighting devices.</w:t>
      </w:r>
    </w:p>
    <w:p w14:paraId="56F90788" w14:textId="77777777" w:rsidR="00156B3B" w:rsidRPr="00BD295E" w:rsidRDefault="00156B3B" w:rsidP="00156B3B">
      <w:pPr>
        <w:ind w:firstLine="709"/>
        <w:contextualSpacing/>
        <w:jc w:val="both"/>
        <w:rPr>
          <w:rFonts w:ascii="Arial" w:hAnsi="Arial" w:cs="Arial"/>
          <w:sz w:val="18"/>
          <w:szCs w:val="18"/>
          <w:lang w:val="en-US"/>
        </w:rPr>
      </w:pPr>
    </w:p>
    <w:p w14:paraId="2AA2C739"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Planned vs actual energy efficiency performance for the reporting year.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3876"/>
        <w:gridCol w:w="2918"/>
        <w:gridCol w:w="1017"/>
        <w:gridCol w:w="1017"/>
      </w:tblGrid>
      <w:tr w:rsidR="008A5057" w:rsidRPr="00BD295E" w14:paraId="4AA7271D" w14:textId="77777777" w:rsidTr="00E3510B">
        <w:trPr>
          <w:trHeight w:val="255"/>
        </w:trPr>
        <w:tc>
          <w:tcPr>
            <w:tcW w:w="345" w:type="pct"/>
            <w:vMerge w:val="restart"/>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41C18EE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No.</w:t>
            </w:r>
          </w:p>
        </w:tc>
        <w:tc>
          <w:tcPr>
            <w:tcW w:w="2251" w:type="pct"/>
            <w:vMerge w:val="restart"/>
            <w:tcBorders>
              <w:top w:val="single" w:sz="4" w:space="0" w:color="auto"/>
              <w:left w:val="single" w:sz="4" w:space="0" w:color="auto"/>
              <w:bottom w:val="single" w:sz="4" w:space="0" w:color="auto"/>
              <w:right w:val="single" w:sz="4" w:space="0" w:color="auto"/>
            </w:tcBorders>
            <w:shd w:val="clear" w:color="auto" w:fill="D5DCE4"/>
            <w:vAlign w:val="center"/>
            <w:hideMark/>
          </w:tcPr>
          <w:p w14:paraId="399317E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b/>
                <w:sz w:val="18"/>
                <w:szCs w:val="18"/>
                <w:lang w:val="en-US"/>
              </w:rPr>
              <w:t>Indicator</w:t>
            </w:r>
          </w:p>
        </w:tc>
        <w:tc>
          <w:tcPr>
            <w:tcW w:w="1248" w:type="pct"/>
            <w:vMerge w:val="restart"/>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5B09657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b/>
                <w:sz w:val="18"/>
                <w:szCs w:val="18"/>
                <w:lang w:val="en-US"/>
              </w:rPr>
              <w:t>UoM</w:t>
            </w:r>
          </w:p>
        </w:tc>
        <w:tc>
          <w:tcPr>
            <w:tcW w:w="1156" w:type="pct"/>
            <w:gridSpan w:val="2"/>
            <w:tcBorders>
              <w:top w:val="single" w:sz="4" w:space="0" w:color="auto"/>
              <w:left w:val="single" w:sz="4" w:space="0" w:color="auto"/>
              <w:bottom w:val="single" w:sz="4" w:space="0" w:color="auto"/>
              <w:right w:val="single" w:sz="4" w:space="0" w:color="auto"/>
            </w:tcBorders>
            <w:shd w:val="clear" w:color="auto" w:fill="D5DCE4"/>
            <w:vAlign w:val="center"/>
            <w:hideMark/>
          </w:tcPr>
          <w:p w14:paraId="128670E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b/>
                <w:sz w:val="18"/>
                <w:szCs w:val="18"/>
                <w:lang w:val="en-US"/>
              </w:rPr>
              <w:t>2018</w:t>
            </w:r>
          </w:p>
        </w:tc>
      </w:tr>
      <w:tr w:rsidR="008A5057" w:rsidRPr="00BD295E" w14:paraId="3A629895" w14:textId="77777777" w:rsidTr="00E3510B">
        <w:trPr>
          <w:trHeight w:val="269"/>
        </w:trPr>
        <w:tc>
          <w:tcPr>
            <w:tcW w:w="345" w:type="pct"/>
            <w:vMerge/>
            <w:tcBorders>
              <w:top w:val="single" w:sz="4" w:space="0" w:color="auto"/>
              <w:left w:val="single" w:sz="4" w:space="0" w:color="auto"/>
              <w:bottom w:val="single" w:sz="4" w:space="0" w:color="auto"/>
              <w:right w:val="single" w:sz="4" w:space="0" w:color="auto"/>
            </w:tcBorders>
            <w:shd w:val="clear" w:color="auto" w:fill="D5DCE4"/>
            <w:vAlign w:val="center"/>
            <w:hideMark/>
          </w:tcPr>
          <w:p w14:paraId="09945669"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shd w:val="clear" w:color="auto" w:fill="D5DCE4"/>
            <w:vAlign w:val="center"/>
            <w:hideMark/>
          </w:tcPr>
          <w:p w14:paraId="1AC3A994" w14:textId="77777777" w:rsidR="00156B3B" w:rsidRPr="00BD295E" w:rsidRDefault="00156B3B" w:rsidP="00156B3B">
            <w:pPr>
              <w:contextualSpacing/>
              <w:jc w:val="both"/>
              <w:rPr>
                <w:rFonts w:ascii="Arial" w:hAnsi="Arial" w:cs="Arial"/>
                <w:sz w:val="18"/>
                <w:szCs w:val="18"/>
                <w:lang w:val="en-US"/>
              </w:rPr>
            </w:pPr>
          </w:p>
        </w:tc>
        <w:tc>
          <w:tcPr>
            <w:tcW w:w="1248" w:type="pct"/>
            <w:vMerge/>
            <w:tcBorders>
              <w:top w:val="single" w:sz="4" w:space="0" w:color="auto"/>
              <w:left w:val="single" w:sz="4" w:space="0" w:color="auto"/>
              <w:bottom w:val="single" w:sz="4" w:space="0" w:color="auto"/>
              <w:right w:val="single" w:sz="4" w:space="0" w:color="auto"/>
            </w:tcBorders>
            <w:shd w:val="clear" w:color="auto" w:fill="D5DCE4"/>
            <w:vAlign w:val="center"/>
            <w:hideMark/>
          </w:tcPr>
          <w:p w14:paraId="5F4D456A" w14:textId="77777777" w:rsidR="00156B3B" w:rsidRPr="00BD295E" w:rsidRDefault="00156B3B" w:rsidP="00156B3B">
            <w:pPr>
              <w:contextualSpacing/>
              <w:jc w:val="both"/>
              <w:rPr>
                <w:rFonts w:ascii="Arial" w:hAnsi="Arial" w:cs="Arial"/>
                <w:sz w:val="18"/>
                <w:szCs w:val="18"/>
                <w:lang w:val="en-US"/>
              </w:rPr>
            </w:pPr>
          </w:p>
        </w:tc>
        <w:tc>
          <w:tcPr>
            <w:tcW w:w="623" w:type="pct"/>
            <w:tcBorders>
              <w:top w:val="single" w:sz="4" w:space="0" w:color="auto"/>
              <w:left w:val="single" w:sz="4" w:space="0" w:color="auto"/>
              <w:bottom w:val="single" w:sz="4" w:space="0" w:color="auto"/>
              <w:right w:val="single" w:sz="4" w:space="0" w:color="auto"/>
            </w:tcBorders>
            <w:shd w:val="clear" w:color="auto" w:fill="D5DCE4"/>
            <w:vAlign w:val="center"/>
            <w:hideMark/>
          </w:tcPr>
          <w:p w14:paraId="326CEB9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b/>
                <w:sz w:val="18"/>
                <w:szCs w:val="18"/>
                <w:lang w:val="en-US"/>
              </w:rPr>
              <w:t>Plan</w:t>
            </w:r>
          </w:p>
        </w:tc>
        <w:tc>
          <w:tcPr>
            <w:tcW w:w="533" w:type="pct"/>
            <w:tcBorders>
              <w:top w:val="single" w:sz="4" w:space="0" w:color="auto"/>
              <w:left w:val="single" w:sz="4" w:space="0" w:color="auto"/>
              <w:bottom w:val="single" w:sz="4" w:space="0" w:color="auto"/>
              <w:right w:val="single" w:sz="4" w:space="0" w:color="auto"/>
            </w:tcBorders>
            <w:shd w:val="clear" w:color="auto" w:fill="D5DCE4"/>
            <w:vAlign w:val="center"/>
            <w:hideMark/>
          </w:tcPr>
          <w:p w14:paraId="1797ECC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b/>
                <w:sz w:val="18"/>
                <w:szCs w:val="18"/>
                <w:lang w:val="en-US"/>
              </w:rPr>
              <w:t>Actual</w:t>
            </w:r>
          </w:p>
        </w:tc>
      </w:tr>
      <w:tr w:rsidR="008A5057" w:rsidRPr="00BD295E" w14:paraId="1292F7ED" w14:textId="77777777" w:rsidTr="00850333">
        <w:trPr>
          <w:trHeight w:val="255"/>
        </w:trPr>
        <w:tc>
          <w:tcPr>
            <w:tcW w:w="345" w:type="pct"/>
            <w:vMerge w:val="restart"/>
            <w:tcBorders>
              <w:top w:val="single" w:sz="4" w:space="0" w:color="auto"/>
              <w:left w:val="single" w:sz="4" w:space="0" w:color="auto"/>
              <w:bottom w:val="single" w:sz="4" w:space="0" w:color="auto"/>
              <w:right w:val="single" w:sz="4" w:space="0" w:color="auto"/>
            </w:tcBorders>
            <w:noWrap/>
            <w:vAlign w:val="center"/>
            <w:hideMark/>
          </w:tcPr>
          <w:p w14:paraId="7384584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w:t>
            </w:r>
          </w:p>
        </w:tc>
        <w:tc>
          <w:tcPr>
            <w:tcW w:w="2251" w:type="pct"/>
            <w:vMerge w:val="restart"/>
            <w:tcBorders>
              <w:top w:val="single" w:sz="4" w:space="0" w:color="auto"/>
              <w:left w:val="single" w:sz="4" w:space="0" w:color="auto"/>
              <w:bottom w:val="single" w:sz="4" w:space="0" w:color="auto"/>
              <w:right w:val="single" w:sz="4" w:space="0" w:color="auto"/>
            </w:tcBorders>
            <w:vAlign w:val="center"/>
            <w:hideMark/>
          </w:tcPr>
          <w:p w14:paraId="373AA46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Electricity losses</w:t>
            </w:r>
          </w:p>
        </w:tc>
        <w:tc>
          <w:tcPr>
            <w:tcW w:w="1248" w:type="pct"/>
            <w:tcBorders>
              <w:top w:val="single" w:sz="4" w:space="0" w:color="auto"/>
              <w:left w:val="single" w:sz="4" w:space="0" w:color="auto"/>
              <w:bottom w:val="single" w:sz="4" w:space="0" w:color="auto"/>
              <w:right w:val="single" w:sz="4" w:space="0" w:color="auto"/>
            </w:tcBorders>
            <w:noWrap/>
            <w:vAlign w:val="center"/>
            <w:hideMark/>
          </w:tcPr>
          <w:p w14:paraId="5FC302AD"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million kWh</w:t>
            </w:r>
          </w:p>
        </w:tc>
        <w:tc>
          <w:tcPr>
            <w:tcW w:w="623" w:type="pct"/>
            <w:tcBorders>
              <w:top w:val="single" w:sz="4" w:space="0" w:color="auto"/>
              <w:left w:val="single" w:sz="4" w:space="0" w:color="auto"/>
              <w:bottom w:val="single" w:sz="4" w:space="0" w:color="auto"/>
              <w:right w:val="single" w:sz="4" w:space="0" w:color="auto"/>
            </w:tcBorders>
          </w:tcPr>
          <w:p w14:paraId="574A843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4,257.53</w:t>
            </w:r>
          </w:p>
        </w:tc>
        <w:tc>
          <w:tcPr>
            <w:tcW w:w="533" w:type="pct"/>
            <w:tcBorders>
              <w:top w:val="single" w:sz="4" w:space="0" w:color="auto"/>
              <w:left w:val="single" w:sz="4" w:space="0" w:color="auto"/>
              <w:bottom w:val="single" w:sz="4" w:space="0" w:color="auto"/>
              <w:right w:val="single" w:sz="4" w:space="0" w:color="auto"/>
            </w:tcBorders>
          </w:tcPr>
          <w:p w14:paraId="60BECB8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4,162.20</w:t>
            </w:r>
          </w:p>
        </w:tc>
      </w:tr>
      <w:tr w:rsidR="008A5057" w:rsidRPr="00BD295E" w14:paraId="36B863B0" w14:textId="77777777" w:rsidTr="00850333">
        <w:trPr>
          <w:trHeight w:val="255"/>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2B3DF892"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0375B8BB"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noWrap/>
            <w:vAlign w:val="bottom"/>
            <w:hideMark/>
          </w:tcPr>
          <w:p w14:paraId="563CA08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RUB million, net of VAT</w:t>
            </w:r>
          </w:p>
        </w:tc>
        <w:tc>
          <w:tcPr>
            <w:tcW w:w="623" w:type="pct"/>
            <w:tcBorders>
              <w:top w:val="single" w:sz="4" w:space="0" w:color="auto"/>
              <w:left w:val="single" w:sz="4" w:space="0" w:color="auto"/>
              <w:bottom w:val="single" w:sz="4" w:space="0" w:color="auto"/>
              <w:right w:val="single" w:sz="4" w:space="0" w:color="auto"/>
            </w:tcBorders>
          </w:tcPr>
          <w:p w14:paraId="6EE7E0B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10,362.36</w:t>
            </w:r>
          </w:p>
        </w:tc>
        <w:tc>
          <w:tcPr>
            <w:tcW w:w="533" w:type="pct"/>
            <w:tcBorders>
              <w:top w:val="single" w:sz="4" w:space="0" w:color="auto"/>
              <w:left w:val="single" w:sz="4" w:space="0" w:color="auto"/>
              <w:bottom w:val="single" w:sz="4" w:space="0" w:color="auto"/>
              <w:right w:val="single" w:sz="4" w:space="0" w:color="auto"/>
            </w:tcBorders>
          </w:tcPr>
          <w:p w14:paraId="50A3CB3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8,858.28</w:t>
            </w:r>
          </w:p>
        </w:tc>
      </w:tr>
      <w:tr w:rsidR="008A5057" w:rsidRPr="00BD295E" w14:paraId="35CEC522" w14:textId="77777777" w:rsidTr="00850333">
        <w:trPr>
          <w:trHeight w:val="56"/>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5AD514D4"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3B8CE434"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noWrap/>
            <w:vAlign w:val="bottom"/>
            <w:hideMark/>
          </w:tcPr>
          <w:p w14:paraId="271B7AE8" w14:textId="77777777" w:rsidR="00156B3B" w:rsidRPr="00BD295E" w:rsidRDefault="008A5057" w:rsidP="00156B3B">
            <w:pPr>
              <w:contextualSpacing/>
              <w:jc w:val="both"/>
              <w:rPr>
                <w:rFonts w:ascii="Arial" w:hAnsi="Arial" w:cs="Arial"/>
                <w:bCs/>
                <w:sz w:val="18"/>
                <w:szCs w:val="18"/>
                <w:lang w:val="en-US"/>
              </w:rPr>
            </w:pPr>
            <w:r w:rsidRPr="00BD295E">
              <w:rPr>
                <w:rFonts w:ascii="Arial" w:hAnsi="Arial" w:cs="Arial"/>
                <w:bCs/>
                <w:sz w:val="18"/>
                <w:szCs w:val="18"/>
                <w:lang w:val="en-US"/>
              </w:rPr>
              <w:t>% of electricity supply to networks</w:t>
            </w:r>
          </w:p>
        </w:tc>
        <w:tc>
          <w:tcPr>
            <w:tcW w:w="623" w:type="pct"/>
            <w:tcBorders>
              <w:top w:val="single" w:sz="4" w:space="0" w:color="auto"/>
              <w:left w:val="single" w:sz="4" w:space="0" w:color="auto"/>
              <w:bottom w:val="single" w:sz="4" w:space="0" w:color="auto"/>
              <w:right w:val="single" w:sz="4" w:space="0" w:color="auto"/>
            </w:tcBorders>
          </w:tcPr>
          <w:p w14:paraId="6446CBDA" w14:textId="77777777" w:rsidR="00156B3B" w:rsidRPr="00BD295E" w:rsidRDefault="008A5057" w:rsidP="00156B3B">
            <w:pPr>
              <w:contextualSpacing/>
              <w:jc w:val="both"/>
              <w:rPr>
                <w:rFonts w:ascii="Arial" w:hAnsi="Arial" w:cs="Arial"/>
                <w:bCs/>
                <w:sz w:val="18"/>
                <w:szCs w:val="18"/>
                <w:lang w:val="en-US"/>
              </w:rPr>
            </w:pPr>
            <w:r w:rsidRPr="00BD295E">
              <w:rPr>
                <w:rFonts w:ascii="Arial" w:hAnsi="Arial" w:cs="Arial"/>
                <w:bCs/>
                <w:sz w:val="18"/>
                <w:szCs w:val="18"/>
                <w:lang w:val="en-US"/>
              </w:rPr>
              <w:t>12.05</w:t>
            </w:r>
          </w:p>
        </w:tc>
        <w:tc>
          <w:tcPr>
            <w:tcW w:w="533" w:type="pct"/>
            <w:tcBorders>
              <w:top w:val="single" w:sz="4" w:space="0" w:color="auto"/>
              <w:left w:val="single" w:sz="4" w:space="0" w:color="auto"/>
              <w:bottom w:val="single" w:sz="4" w:space="0" w:color="auto"/>
              <w:right w:val="single" w:sz="4" w:space="0" w:color="auto"/>
            </w:tcBorders>
          </w:tcPr>
          <w:p w14:paraId="0B076588" w14:textId="77777777" w:rsidR="00156B3B" w:rsidRPr="00BD295E" w:rsidRDefault="008A5057" w:rsidP="00156B3B">
            <w:pPr>
              <w:contextualSpacing/>
              <w:jc w:val="both"/>
              <w:rPr>
                <w:rFonts w:ascii="Arial" w:hAnsi="Arial" w:cs="Arial"/>
                <w:bCs/>
                <w:sz w:val="18"/>
                <w:szCs w:val="18"/>
                <w:lang w:val="en-US"/>
              </w:rPr>
            </w:pPr>
            <w:r w:rsidRPr="00BD295E">
              <w:rPr>
                <w:rFonts w:ascii="Arial" w:hAnsi="Arial" w:cs="Arial"/>
                <w:bCs/>
                <w:sz w:val="18"/>
                <w:szCs w:val="18"/>
                <w:lang w:val="en-US"/>
              </w:rPr>
              <w:t>11.71</w:t>
            </w:r>
          </w:p>
        </w:tc>
      </w:tr>
      <w:tr w:rsidR="008A5057" w:rsidRPr="00BD295E" w14:paraId="61F62D6C" w14:textId="77777777" w:rsidTr="00850333">
        <w:trPr>
          <w:trHeight w:val="56"/>
        </w:trPr>
        <w:tc>
          <w:tcPr>
            <w:tcW w:w="345" w:type="pct"/>
            <w:vMerge w:val="restart"/>
            <w:tcBorders>
              <w:top w:val="single" w:sz="4" w:space="0" w:color="auto"/>
              <w:left w:val="single" w:sz="4" w:space="0" w:color="auto"/>
              <w:bottom w:val="single" w:sz="4" w:space="0" w:color="auto"/>
              <w:right w:val="single" w:sz="4" w:space="0" w:color="auto"/>
            </w:tcBorders>
            <w:noWrap/>
            <w:vAlign w:val="center"/>
            <w:hideMark/>
          </w:tcPr>
          <w:p w14:paraId="586D821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w:t>
            </w:r>
          </w:p>
        </w:tc>
        <w:tc>
          <w:tcPr>
            <w:tcW w:w="2251" w:type="pct"/>
            <w:vMerge w:val="restart"/>
            <w:tcBorders>
              <w:top w:val="single" w:sz="4" w:space="0" w:color="auto"/>
              <w:left w:val="single" w:sz="4" w:space="0" w:color="auto"/>
              <w:bottom w:val="single" w:sz="4" w:space="0" w:color="auto"/>
              <w:right w:val="single" w:sz="4" w:space="0" w:color="auto"/>
            </w:tcBorders>
            <w:hideMark/>
          </w:tcPr>
          <w:p w14:paraId="7C23A26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Consumption for process needs of substations</w:t>
            </w:r>
          </w:p>
        </w:tc>
        <w:tc>
          <w:tcPr>
            <w:tcW w:w="1248" w:type="pct"/>
            <w:tcBorders>
              <w:top w:val="single" w:sz="4" w:space="0" w:color="auto"/>
              <w:left w:val="single" w:sz="4" w:space="0" w:color="auto"/>
              <w:bottom w:val="single" w:sz="4" w:space="0" w:color="auto"/>
              <w:right w:val="single" w:sz="4" w:space="0" w:color="auto"/>
            </w:tcBorders>
            <w:noWrap/>
            <w:vAlign w:val="center"/>
            <w:hideMark/>
          </w:tcPr>
          <w:p w14:paraId="7E1A86FC"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million kWh</w:t>
            </w:r>
          </w:p>
        </w:tc>
        <w:tc>
          <w:tcPr>
            <w:tcW w:w="623" w:type="pct"/>
            <w:tcBorders>
              <w:top w:val="single" w:sz="4" w:space="0" w:color="auto"/>
              <w:left w:val="single" w:sz="4" w:space="0" w:color="auto"/>
              <w:bottom w:val="single" w:sz="4" w:space="0" w:color="auto"/>
              <w:right w:val="single" w:sz="4" w:space="0" w:color="auto"/>
            </w:tcBorders>
          </w:tcPr>
          <w:p w14:paraId="5AB960A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37.84</w:t>
            </w:r>
          </w:p>
        </w:tc>
        <w:tc>
          <w:tcPr>
            <w:tcW w:w="533" w:type="pct"/>
            <w:tcBorders>
              <w:top w:val="single" w:sz="4" w:space="0" w:color="auto"/>
              <w:left w:val="single" w:sz="4" w:space="0" w:color="auto"/>
              <w:bottom w:val="single" w:sz="4" w:space="0" w:color="auto"/>
              <w:right w:val="single" w:sz="4" w:space="0" w:color="auto"/>
            </w:tcBorders>
          </w:tcPr>
          <w:p w14:paraId="14BE41FC"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50.97</w:t>
            </w:r>
          </w:p>
        </w:tc>
      </w:tr>
      <w:tr w:rsidR="008A5057" w:rsidRPr="00BD295E" w14:paraId="5C2AC97D" w14:textId="77777777" w:rsidTr="00850333">
        <w:trPr>
          <w:trHeight w:val="178"/>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3C397003"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028AEC86"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noWrap/>
            <w:vAlign w:val="center"/>
            <w:hideMark/>
          </w:tcPr>
          <w:p w14:paraId="26A0847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of electricity losses</w:t>
            </w:r>
          </w:p>
        </w:tc>
        <w:tc>
          <w:tcPr>
            <w:tcW w:w="623" w:type="pct"/>
            <w:tcBorders>
              <w:top w:val="single" w:sz="4" w:space="0" w:color="auto"/>
              <w:left w:val="single" w:sz="4" w:space="0" w:color="auto"/>
              <w:bottom w:val="single" w:sz="4" w:space="0" w:color="auto"/>
              <w:right w:val="single" w:sz="4" w:space="0" w:color="auto"/>
            </w:tcBorders>
          </w:tcPr>
          <w:p w14:paraId="770643A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0.89</w:t>
            </w:r>
          </w:p>
        </w:tc>
        <w:tc>
          <w:tcPr>
            <w:tcW w:w="533" w:type="pct"/>
            <w:tcBorders>
              <w:top w:val="single" w:sz="4" w:space="0" w:color="auto"/>
              <w:left w:val="single" w:sz="4" w:space="0" w:color="auto"/>
              <w:bottom w:val="single" w:sz="4" w:space="0" w:color="auto"/>
              <w:right w:val="single" w:sz="4" w:space="0" w:color="auto"/>
            </w:tcBorders>
          </w:tcPr>
          <w:p w14:paraId="465F96D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1.22</w:t>
            </w:r>
          </w:p>
        </w:tc>
      </w:tr>
      <w:tr w:rsidR="008A5057" w:rsidRPr="00BD295E" w14:paraId="23367DB5" w14:textId="77777777" w:rsidTr="00850333">
        <w:trPr>
          <w:trHeight w:val="56"/>
        </w:trPr>
        <w:tc>
          <w:tcPr>
            <w:tcW w:w="345" w:type="pct"/>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80A54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w:t>
            </w:r>
          </w:p>
        </w:tc>
        <w:tc>
          <w:tcPr>
            <w:tcW w:w="2251"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1250E7E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Total energy consumption for auxiliary needs of administrative and production buildings, including:</w:t>
            </w:r>
          </w:p>
        </w:tc>
        <w:tc>
          <w:tcPr>
            <w:tcW w:w="12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DDB72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RUB million, net of VAT</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08C72C8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135.68 </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C04121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138.54 </w:t>
            </w:r>
          </w:p>
        </w:tc>
      </w:tr>
      <w:tr w:rsidR="008A5057" w:rsidRPr="00BD295E" w14:paraId="7B761CC9" w14:textId="77777777" w:rsidTr="00850333">
        <w:trPr>
          <w:trHeight w:val="199"/>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7C814691"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067D2343"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vAlign w:val="center"/>
            <w:hideMark/>
          </w:tcPr>
          <w:p w14:paraId="09BE7B1D"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t.o.e.</w:t>
            </w:r>
          </w:p>
        </w:tc>
        <w:tc>
          <w:tcPr>
            <w:tcW w:w="623" w:type="pct"/>
            <w:tcBorders>
              <w:top w:val="single" w:sz="4" w:space="0" w:color="auto"/>
              <w:left w:val="single" w:sz="4" w:space="0" w:color="auto"/>
              <w:bottom w:val="single" w:sz="4" w:space="0" w:color="auto"/>
              <w:right w:val="single" w:sz="4" w:space="0" w:color="auto"/>
            </w:tcBorders>
          </w:tcPr>
          <w:p w14:paraId="6B85BCB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4.70 </w:t>
            </w:r>
          </w:p>
        </w:tc>
        <w:tc>
          <w:tcPr>
            <w:tcW w:w="533" w:type="pct"/>
            <w:tcBorders>
              <w:top w:val="single" w:sz="4" w:space="0" w:color="auto"/>
              <w:left w:val="single" w:sz="4" w:space="0" w:color="auto"/>
              <w:bottom w:val="single" w:sz="4" w:space="0" w:color="auto"/>
              <w:right w:val="single" w:sz="4" w:space="0" w:color="auto"/>
            </w:tcBorders>
          </w:tcPr>
          <w:p w14:paraId="04A650C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4.50</w:t>
            </w:r>
          </w:p>
        </w:tc>
      </w:tr>
      <w:tr w:rsidR="008A5057" w:rsidRPr="00BD295E" w14:paraId="72B4AAA1" w14:textId="77777777" w:rsidTr="00850333">
        <w:trPr>
          <w:trHeight w:val="80"/>
        </w:trPr>
        <w:tc>
          <w:tcPr>
            <w:tcW w:w="345" w:type="pct"/>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D3B4F3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3.1.</w:t>
            </w:r>
          </w:p>
        </w:tc>
        <w:tc>
          <w:tcPr>
            <w:tcW w:w="2251"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6759F48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electricity</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01069DE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million kWh</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75E4B65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24.37</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233A7A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23.96</w:t>
            </w:r>
          </w:p>
        </w:tc>
      </w:tr>
      <w:tr w:rsidR="008A5057" w:rsidRPr="00BD295E" w14:paraId="3F1D468F" w14:textId="77777777" w:rsidTr="00850333">
        <w:trPr>
          <w:trHeight w:val="56"/>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1802DC53"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40CB1D1E"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hideMark/>
          </w:tcPr>
          <w:p w14:paraId="4B28CDE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t.o.e.</w:t>
            </w:r>
          </w:p>
        </w:tc>
        <w:tc>
          <w:tcPr>
            <w:tcW w:w="623" w:type="pct"/>
            <w:tcBorders>
              <w:top w:val="single" w:sz="4" w:space="0" w:color="auto"/>
              <w:left w:val="single" w:sz="4" w:space="0" w:color="auto"/>
              <w:bottom w:val="single" w:sz="4" w:space="0" w:color="auto"/>
              <w:right w:val="single" w:sz="4" w:space="0" w:color="auto"/>
            </w:tcBorders>
          </w:tcPr>
          <w:p w14:paraId="776F239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2.93</w:t>
            </w:r>
          </w:p>
        </w:tc>
        <w:tc>
          <w:tcPr>
            <w:tcW w:w="533" w:type="pct"/>
            <w:tcBorders>
              <w:top w:val="single" w:sz="4" w:space="0" w:color="auto"/>
              <w:left w:val="single" w:sz="4" w:space="0" w:color="auto"/>
              <w:bottom w:val="single" w:sz="4" w:space="0" w:color="auto"/>
              <w:right w:val="single" w:sz="4" w:space="0" w:color="auto"/>
            </w:tcBorders>
          </w:tcPr>
          <w:p w14:paraId="7DB5B63D"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2.88</w:t>
            </w:r>
          </w:p>
        </w:tc>
      </w:tr>
      <w:tr w:rsidR="008A5057" w:rsidRPr="00BD295E" w14:paraId="5521C8C6" w14:textId="77777777" w:rsidTr="00850333">
        <w:trPr>
          <w:trHeight w:val="102"/>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6128B44A"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71995AA3"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hideMark/>
          </w:tcPr>
          <w:p w14:paraId="233724A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RUB million, net of VAT</w:t>
            </w:r>
          </w:p>
        </w:tc>
        <w:tc>
          <w:tcPr>
            <w:tcW w:w="623" w:type="pct"/>
            <w:tcBorders>
              <w:top w:val="single" w:sz="4" w:space="0" w:color="auto"/>
              <w:left w:val="single" w:sz="4" w:space="0" w:color="auto"/>
              <w:bottom w:val="single" w:sz="4" w:space="0" w:color="auto"/>
              <w:right w:val="single" w:sz="4" w:space="0" w:color="auto"/>
            </w:tcBorders>
          </w:tcPr>
          <w:p w14:paraId="1586549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113.25</w:t>
            </w:r>
          </w:p>
        </w:tc>
        <w:tc>
          <w:tcPr>
            <w:tcW w:w="533" w:type="pct"/>
            <w:tcBorders>
              <w:top w:val="single" w:sz="4" w:space="0" w:color="auto"/>
              <w:left w:val="single" w:sz="4" w:space="0" w:color="auto"/>
              <w:bottom w:val="single" w:sz="4" w:space="0" w:color="auto"/>
              <w:right w:val="single" w:sz="4" w:space="0" w:color="auto"/>
            </w:tcBorders>
          </w:tcPr>
          <w:p w14:paraId="5D670B1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119.57</w:t>
            </w:r>
          </w:p>
        </w:tc>
      </w:tr>
      <w:tr w:rsidR="008A5057" w:rsidRPr="00BD295E" w14:paraId="3E02E2DF" w14:textId="77777777" w:rsidTr="00850333">
        <w:trPr>
          <w:trHeight w:val="345"/>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0C203617"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4AC7C1E2"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hideMark/>
          </w:tcPr>
          <w:p w14:paraId="6C65D76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million kWh/sq m</w:t>
            </w:r>
          </w:p>
        </w:tc>
        <w:tc>
          <w:tcPr>
            <w:tcW w:w="623" w:type="pct"/>
            <w:tcBorders>
              <w:top w:val="single" w:sz="4" w:space="0" w:color="auto"/>
              <w:left w:val="single" w:sz="4" w:space="0" w:color="auto"/>
              <w:bottom w:val="single" w:sz="4" w:space="0" w:color="auto"/>
              <w:right w:val="single" w:sz="4" w:space="0" w:color="auto"/>
            </w:tcBorders>
          </w:tcPr>
          <w:p w14:paraId="1A05CEF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0.000947</w:t>
            </w:r>
          </w:p>
        </w:tc>
        <w:tc>
          <w:tcPr>
            <w:tcW w:w="533" w:type="pct"/>
            <w:tcBorders>
              <w:top w:val="single" w:sz="4" w:space="0" w:color="auto"/>
              <w:left w:val="single" w:sz="4" w:space="0" w:color="auto"/>
              <w:bottom w:val="single" w:sz="4" w:space="0" w:color="auto"/>
              <w:right w:val="single" w:sz="4" w:space="0" w:color="auto"/>
            </w:tcBorders>
          </w:tcPr>
          <w:p w14:paraId="6BE1519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0.000908</w:t>
            </w:r>
          </w:p>
        </w:tc>
      </w:tr>
      <w:tr w:rsidR="008A5057" w:rsidRPr="00BD295E" w14:paraId="1192F4C7" w14:textId="77777777" w:rsidTr="00850333">
        <w:trPr>
          <w:trHeight w:val="462"/>
        </w:trPr>
        <w:tc>
          <w:tcPr>
            <w:tcW w:w="345" w:type="pct"/>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FC64BAC"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3.2.</w:t>
            </w:r>
          </w:p>
        </w:tc>
        <w:tc>
          <w:tcPr>
            <w:tcW w:w="2251"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4551C3F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heat (building heating systems)</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6CD8140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Gcal</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388531F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12,400.06</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8DA163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11,384.18 </w:t>
            </w:r>
          </w:p>
        </w:tc>
      </w:tr>
      <w:tr w:rsidR="008A5057" w:rsidRPr="00BD295E" w14:paraId="0C45C5A4" w14:textId="77777777" w:rsidTr="00850333">
        <w:trPr>
          <w:trHeight w:val="249"/>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4DC543FE"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23CE4EFA"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hideMark/>
          </w:tcPr>
          <w:p w14:paraId="3CB88F4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t.o.e.</w:t>
            </w:r>
          </w:p>
        </w:tc>
        <w:tc>
          <w:tcPr>
            <w:tcW w:w="623" w:type="pct"/>
            <w:tcBorders>
              <w:top w:val="single" w:sz="4" w:space="0" w:color="auto"/>
              <w:left w:val="single" w:sz="4" w:space="0" w:color="auto"/>
              <w:bottom w:val="single" w:sz="4" w:space="0" w:color="auto"/>
              <w:right w:val="single" w:sz="4" w:space="0" w:color="auto"/>
            </w:tcBorders>
          </w:tcPr>
          <w:p w14:paraId="0F5D9B6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1.77</w:t>
            </w:r>
          </w:p>
        </w:tc>
        <w:tc>
          <w:tcPr>
            <w:tcW w:w="533" w:type="pct"/>
            <w:tcBorders>
              <w:top w:val="single" w:sz="4" w:space="0" w:color="auto"/>
              <w:left w:val="single" w:sz="4" w:space="0" w:color="auto"/>
              <w:bottom w:val="single" w:sz="4" w:space="0" w:color="auto"/>
              <w:right w:val="single" w:sz="4" w:space="0" w:color="auto"/>
            </w:tcBorders>
          </w:tcPr>
          <w:p w14:paraId="15201EA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1.63</w:t>
            </w:r>
          </w:p>
        </w:tc>
      </w:tr>
      <w:tr w:rsidR="008A5057" w:rsidRPr="00BD295E" w14:paraId="12F67947" w14:textId="77777777" w:rsidTr="00850333">
        <w:trPr>
          <w:trHeight w:val="300"/>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6BBBE28B"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21EED0A8"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hideMark/>
          </w:tcPr>
          <w:p w14:paraId="61C76EB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RUB million, net of VAT</w:t>
            </w:r>
          </w:p>
        </w:tc>
        <w:tc>
          <w:tcPr>
            <w:tcW w:w="623" w:type="pct"/>
            <w:tcBorders>
              <w:top w:val="single" w:sz="4" w:space="0" w:color="auto"/>
              <w:left w:val="single" w:sz="4" w:space="0" w:color="auto"/>
              <w:bottom w:val="single" w:sz="4" w:space="0" w:color="auto"/>
              <w:right w:val="single" w:sz="4" w:space="0" w:color="auto"/>
            </w:tcBorders>
          </w:tcPr>
          <w:p w14:paraId="3AEF000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22.42 </w:t>
            </w:r>
          </w:p>
        </w:tc>
        <w:tc>
          <w:tcPr>
            <w:tcW w:w="533" w:type="pct"/>
            <w:tcBorders>
              <w:top w:val="single" w:sz="4" w:space="0" w:color="auto"/>
              <w:left w:val="single" w:sz="4" w:space="0" w:color="auto"/>
              <w:bottom w:val="single" w:sz="4" w:space="0" w:color="auto"/>
              <w:right w:val="single" w:sz="4" w:space="0" w:color="auto"/>
            </w:tcBorders>
          </w:tcPr>
          <w:p w14:paraId="7DDFEF9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18.98</w:t>
            </w:r>
          </w:p>
        </w:tc>
      </w:tr>
      <w:tr w:rsidR="008A5057" w:rsidRPr="00BD295E" w14:paraId="23C848D2" w14:textId="77777777" w:rsidTr="00850333">
        <w:trPr>
          <w:trHeight w:val="345"/>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149745FA"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0A644F9B"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hideMark/>
          </w:tcPr>
          <w:p w14:paraId="454EA13C"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Gcal/m</w:t>
            </w:r>
            <w:r w:rsidRPr="00BD295E">
              <w:rPr>
                <w:rFonts w:ascii="Arial" w:hAnsi="Arial" w:cs="Arial"/>
                <w:sz w:val="18"/>
                <w:szCs w:val="18"/>
                <w:vertAlign w:val="superscript"/>
                <w:lang w:val="en-US"/>
              </w:rPr>
              <w:t xml:space="preserve">3 </w:t>
            </w:r>
          </w:p>
        </w:tc>
        <w:tc>
          <w:tcPr>
            <w:tcW w:w="623" w:type="pct"/>
            <w:tcBorders>
              <w:top w:val="single" w:sz="4" w:space="0" w:color="auto"/>
              <w:left w:val="single" w:sz="4" w:space="0" w:color="auto"/>
              <w:bottom w:val="single" w:sz="4" w:space="0" w:color="auto"/>
              <w:right w:val="single" w:sz="4" w:space="0" w:color="auto"/>
            </w:tcBorders>
          </w:tcPr>
          <w:p w14:paraId="748C4FE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0.102  </w:t>
            </w:r>
          </w:p>
        </w:tc>
        <w:tc>
          <w:tcPr>
            <w:tcW w:w="533" w:type="pct"/>
            <w:tcBorders>
              <w:top w:val="single" w:sz="4" w:space="0" w:color="auto"/>
              <w:left w:val="single" w:sz="4" w:space="0" w:color="auto"/>
              <w:bottom w:val="single" w:sz="4" w:space="0" w:color="auto"/>
              <w:right w:val="single" w:sz="4" w:space="0" w:color="auto"/>
            </w:tcBorders>
          </w:tcPr>
          <w:p w14:paraId="45E2AB0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0.0921</w:t>
            </w:r>
          </w:p>
        </w:tc>
      </w:tr>
      <w:tr w:rsidR="008A5057" w:rsidRPr="00BD295E" w14:paraId="479B99B3" w14:textId="77777777" w:rsidTr="00850333">
        <w:trPr>
          <w:trHeight w:val="332"/>
        </w:trPr>
        <w:tc>
          <w:tcPr>
            <w:tcW w:w="345" w:type="pct"/>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59E5DE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4.</w:t>
            </w:r>
          </w:p>
        </w:tc>
        <w:tc>
          <w:tcPr>
            <w:tcW w:w="2251"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3784666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Total natural resources consumption for auxiliary needs of administrative and production buildings, including:</w:t>
            </w:r>
          </w:p>
        </w:tc>
        <w:tc>
          <w:tcPr>
            <w:tcW w:w="12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59DD0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RUB million, net of VAT</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2B8049C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12.31</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39C209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8.41</w:t>
            </w:r>
          </w:p>
        </w:tc>
      </w:tr>
      <w:tr w:rsidR="008A5057" w:rsidRPr="00BD295E" w14:paraId="65540F3E" w14:textId="77777777" w:rsidTr="00850333">
        <w:trPr>
          <w:trHeight w:val="279"/>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37643547"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1A5CC90D"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vAlign w:val="center"/>
            <w:hideMark/>
          </w:tcPr>
          <w:p w14:paraId="7499AC8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m</w:t>
            </w:r>
            <w:r w:rsidRPr="00BD295E">
              <w:rPr>
                <w:rFonts w:ascii="Arial" w:hAnsi="Arial" w:cs="Arial"/>
                <w:sz w:val="18"/>
                <w:szCs w:val="18"/>
                <w:vertAlign w:val="superscript"/>
                <w:lang w:val="en-US"/>
              </w:rPr>
              <w:t>3</w:t>
            </w:r>
          </w:p>
        </w:tc>
        <w:tc>
          <w:tcPr>
            <w:tcW w:w="623" w:type="pct"/>
            <w:tcBorders>
              <w:top w:val="single" w:sz="4" w:space="0" w:color="auto"/>
              <w:left w:val="single" w:sz="4" w:space="0" w:color="auto"/>
              <w:bottom w:val="single" w:sz="4" w:space="0" w:color="auto"/>
              <w:right w:val="single" w:sz="4" w:space="0" w:color="auto"/>
            </w:tcBorders>
          </w:tcPr>
          <w:p w14:paraId="467D52D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355.39</w:t>
            </w:r>
          </w:p>
        </w:tc>
        <w:tc>
          <w:tcPr>
            <w:tcW w:w="533" w:type="pct"/>
            <w:tcBorders>
              <w:top w:val="single" w:sz="4" w:space="0" w:color="auto"/>
              <w:left w:val="single" w:sz="4" w:space="0" w:color="auto"/>
              <w:bottom w:val="single" w:sz="4" w:space="0" w:color="auto"/>
              <w:right w:val="single" w:sz="4" w:space="0" w:color="auto"/>
            </w:tcBorders>
          </w:tcPr>
          <w:p w14:paraId="50E110F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232.43</w:t>
            </w:r>
          </w:p>
        </w:tc>
      </w:tr>
      <w:tr w:rsidR="008A5057" w:rsidRPr="00BD295E" w14:paraId="7CB29522" w14:textId="77777777" w:rsidTr="00850333">
        <w:trPr>
          <w:trHeight w:val="345"/>
        </w:trPr>
        <w:tc>
          <w:tcPr>
            <w:tcW w:w="345" w:type="pct"/>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4D9BCF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4.2</w:t>
            </w:r>
          </w:p>
        </w:tc>
        <w:tc>
          <w:tcPr>
            <w:tcW w:w="2251"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10339B8A" w14:textId="77777777" w:rsidR="00156B3B" w:rsidRPr="00BD295E" w:rsidRDefault="008A5057" w:rsidP="00156B3B">
            <w:pPr>
              <w:contextualSpacing/>
              <w:jc w:val="both"/>
              <w:rPr>
                <w:rFonts w:ascii="Arial" w:hAnsi="Arial" w:cs="Arial"/>
                <w:i/>
                <w:iCs/>
                <w:sz w:val="18"/>
                <w:szCs w:val="18"/>
                <w:lang w:val="en-US"/>
              </w:rPr>
            </w:pPr>
            <w:r w:rsidRPr="00BD295E">
              <w:rPr>
                <w:rFonts w:ascii="Arial" w:hAnsi="Arial" w:cs="Arial"/>
                <w:i/>
                <w:iCs/>
                <w:sz w:val="18"/>
                <w:szCs w:val="18"/>
                <w:lang w:val="en-US"/>
              </w:rPr>
              <w:t>cold water supply</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26E2B30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m</w:t>
            </w:r>
            <w:r w:rsidRPr="00BD295E">
              <w:rPr>
                <w:rFonts w:ascii="Arial" w:hAnsi="Arial" w:cs="Arial"/>
                <w:sz w:val="18"/>
                <w:szCs w:val="18"/>
                <w:vertAlign w:val="superscript"/>
                <w:lang w:val="en-US"/>
              </w:rPr>
              <w:t>3</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61FA1E3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355.39</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3659FDC"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232.43</w:t>
            </w:r>
          </w:p>
        </w:tc>
      </w:tr>
      <w:tr w:rsidR="008A5057" w:rsidRPr="00BD295E" w14:paraId="0D79976F" w14:textId="77777777" w:rsidTr="00850333">
        <w:trPr>
          <w:trHeight w:val="300"/>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6A102DDD"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09BC6283" w14:textId="77777777" w:rsidR="00156B3B" w:rsidRPr="00BD295E" w:rsidRDefault="00156B3B" w:rsidP="00156B3B">
            <w:pPr>
              <w:contextualSpacing/>
              <w:jc w:val="both"/>
              <w:rPr>
                <w:rFonts w:ascii="Arial" w:hAnsi="Arial" w:cs="Arial"/>
                <w:i/>
                <w:iCs/>
                <w:sz w:val="18"/>
                <w:szCs w:val="18"/>
                <w:lang w:val="en-US"/>
              </w:rPr>
            </w:pPr>
          </w:p>
        </w:tc>
        <w:tc>
          <w:tcPr>
            <w:tcW w:w="1248" w:type="pct"/>
            <w:tcBorders>
              <w:top w:val="single" w:sz="4" w:space="0" w:color="auto"/>
              <w:left w:val="single" w:sz="4" w:space="0" w:color="auto"/>
              <w:bottom w:val="single" w:sz="4" w:space="0" w:color="auto"/>
              <w:right w:val="single" w:sz="4" w:space="0" w:color="auto"/>
            </w:tcBorders>
            <w:hideMark/>
          </w:tcPr>
          <w:p w14:paraId="1B1BEC4C"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RUB million, net of VAT</w:t>
            </w:r>
          </w:p>
        </w:tc>
        <w:tc>
          <w:tcPr>
            <w:tcW w:w="623" w:type="pct"/>
            <w:tcBorders>
              <w:top w:val="single" w:sz="4" w:space="0" w:color="auto"/>
              <w:left w:val="single" w:sz="4" w:space="0" w:color="auto"/>
              <w:bottom w:val="single" w:sz="4" w:space="0" w:color="auto"/>
              <w:right w:val="single" w:sz="4" w:space="0" w:color="auto"/>
            </w:tcBorders>
          </w:tcPr>
          <w:p w14:paraId="1944D5A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12.31</w:t>
            </w:r>
          </w:p>
        </w:tc>
        <w:tc>
          <w:tcPr>
            <w:tcW w:w="533" w:type="pct"/>
            <w:tcBorders>
              <w:top w:val="single" w:sz="4" w:space="0" w:color="auto"/>
              <w:left w:val="single" w:sz="4" w:space="0" w:color="auto"/>
              <w:bottom w:val="single" w:sz="4" w:space="0" w:color="auto"/>
              <w:right w:val="single" w:sz="4" w:space="0" w:color="auto"/>
            </w:tcBorders>
          </w:tcPr>
          <w:p w14:paraId="00C4804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8.41</w:t>
            </w:r>
          </w:p>
        </w:tc>
      </w:tr>
      <w:tr w:rsidR="008A5057" w:rsidRPr="00BD295E" w14:paraId="6FB88894" w14:textId="77777777" w:rsidTr="00850333">
        <w:trPr>
          <w:trHeight w:val="300"/>
        </w:trPr>
        <w:tc>
          <w:tcPr>
            <w:tcW w:w="345" w:type="pct"/>
            <w:vMerge w:val="restar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CB331E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5</w:t>
            </w:r>
          </w:p>
        </w:tc>
        <w:tc>
          <w:tcPr>
            <w:tcW w:w="2251"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518F23B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Total motor fuel consumption by motor and special vehicles, including:</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7B59A75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liters</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397588D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5,448.30</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D0EE6C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3,478.54   </w:t>
            </w:r>
          </w:p>
        </w:tc>
      </w:tr>
      <w:tr w:rsidR="008A5057" w:rsidRPr="00BD295E" w14:paraId="09019478" w14:textId="77777777" w:rsidTr="00850333">
        <w:trPr>
          <w:trHeight w:val="300"/>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155C94C6"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1BC41EEA"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hideMark/>
          </w:tcPr>
          <w:p w14:paraId="4DE2A63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t.o.e.</w:t>
            </w:r>
          </w:p>
        </w:tc>
        <w:tc>
          <w:tcPr>
            <w:tcW w:w="623" w:type="pct"/>
            <w:tcBorders>
              <w:top w:val="single" w:sz="4" w:space="0" w:color="auto"/>
              <w:left w:val="single" w:sz="4" w:space="0" w:color="auto"/>
              <w:bottom w:val="single" w:sz="4" w:space="0" w:color="auto"/>
              <w:right w:val="single" w:sz="4" w:space="0" w:color="auto"/>
            </w:tcBorders>
          </w:tcPr>
          <w:p w14:paraId="0B0F501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6.42</w:t>
            </w:r>
          </w:p>
        </w:tc>
        <w:tc>
          <w:tcPr>
            <w:tcW w:w="533" w:type="pct"/>
            <w:tcBorders>
              <w:top w:val="single" w:sz="4" w:space="0" w:color="auto"/>
              <w:left w:val="single" w:sz="4" w:space="0" w:color="auto"/>
              <w:bottom w:val="single" w:sz="4" w:space="0" w:color="auto"/>
              <w:right w:val="single" w:sz="4" w:space="0" w:color="auto"/>
            </w:tcBorders>
          </w:tcPr>
          <w:p w14:paraId="6580607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4.10</w:t>
            </w:r>
          </w:p>
        </w:tc>
      </w:tr>
      <w:tr w:rsidR="008A5057" w:rsidRPr="00BD295E" w14:paraId="1B6B8BFF" w14:textId="77777777" w:rsidTr="00850333">
        <w:trPr>
          <w:trHeight w:val="390"/>
        </w:trPr>
        <w:tc>
          <w:tcPr>
            <w:tcW w:w="345" w:type="pct"/>
            <w:vMerge/>
            <w:tcBorders>
              <w:top w:val="single" w:sz="4" w:space="0" w:color="auto"/>
              <w:left w:val="single" w:sz="4" w:space="0" w:color="auto"/>
              <w:bottom w:val="single" w:sz="4" w:space="0" w:color="auto"/>
              <w:right w:val="single" w:sz="4" w:space="0" w:color="auto"/>
            </w:tcBorders>
            <w:vAlign w:val="center"/>
            <w:hideMark/>
          </w:tcPr>
          <w:p w14:paraId="1CA96DE7" w14:textId="77777777" w:rsidR="00156B3B" w:rsidRPr="00BD295E" w:rsidRDefault="00156B3B" w:rsidP="00156B3B">
            <w:pPr>
              <w:contextualSpacing/>
              <w:jc w:val="both"/>
              <w:rPr>
                <w:rFonts w:ascii="Arial" w:hAnsi="Arial" w:cs="Arial"/>
                <w:sz w:val="18"/>
                <w:szCs w:val="18"/>
                <w:lang w:val="en-US"/>
              </w:rPr>
            </w:pPr>
          </w:p>
        </w:tc>
        <w:tc>
          <w:tcPr>
            <w:tcW w:w="2251" w:type="pct"/>
            <w:vMerge/>
            <w:tcBorders>
              <w:top w:val="single" w:sz="4" w:space="0" w:color="auto"/>
              <w:left w:val="single" w:sz="4" w:space="0" w:color="auto"/>
              <w:bottom w:val="single" w:sz="4" w:space="0" w:color="auto"/>
              <w:right w:val="single" w:sz="4" w:space="0" w:color="auto"/>
            </w:tcBorders>
            <w:vAlign w:val="center"/>
            <w:hideMark/>
          </w:tcPr>
          <w:p w14:paraId="2AE9F423" w14:textId="77777777" w:rsidR="00156B3B" w:rsidRPr="00BD295E" w:rsidRDefault="00156B3B" w:rsidP="00156B3B">
            <w:pPr>
              <w:contextualSpacing/>
              <w:jc w:val="both"/>
              <w:rPr>
                <w:rFonts w:ascii="Arial" w:hAnsi="Arial" w:cs="Arial"/>
                <w:sz w:val="18"/>
                <w:szCs w:val="18"/>
                <w:lang w:val="en-US"/>
              </w:rPr>
            </w:pPr>
          </w:p>
        </w:tc>
        <w:tc>
          <w:tcPr>
            <w:tcW w:w="1248" w:type="pct"/>
            <w:tcBorders>
              <w:top w:val="single" w:sz="4" w:space="0" w:color="auto"/>
              <w:left w:val="single" w:sz="4" w:space="0" w:color="auto"/>
              <w:bottom w:val="single" w:sz="4" w:space="0" w:color="auto"/>
              <w:right w:val="single" w:sz="4" w:space="0" w:color="auto"/>
            </w:tcBorders>
            <w:hideMark/>
          </w:tcPr>
          <w:p w14:paraId="6C47A58C"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RUB million, net of VAT</w:t>
            </w:r>
          </w:p>
        </w:tc>
        <w:tc>
          <w:tcPr>
            <w:tcW w:w="623" w:type="pct"/>
            <w:tcBorders>
              <w:top w:val="single" w:sz="4" w:space="0" w:color="auto"/>
              <w:left w:val="single" w:sz="4" w:space="0" w:color="auto"/>
              <w:bottom w:val="single" w:sz="4" w:space="0" w:color="auto"/>
              <w:right w:val="single" w:sz="4" w:space="0" w:color="auto"/>
            </w:tcBorders>
          </w:tcPr>
          <w:p w14:paraId="13A6ECF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189.00</w:t>
            </w:r>
          </w:p>
        </w:tc>
        <w:tc>
          <w:tcPr>
            <w:tcW w:w="533" w:type="pct"/>
            <w:tcBorders>
              <w:top w:val="single" w:sz="4" w:space="0" w:color="auto"/>
              <w:left w:val="single" w:sz="4" w:space="0" w:color="auto"/>
              <w:bottom w:val="single" w:sz="4" w:space="0" w:color="auto"/>
              <w:right w:val="single" w:sz="4" w:space="0" w:color="auto"/>
            </w:tcBorders>
          </w:tcPr>
          <w:p w14:paraId="05DD720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122.00</w:t>
            </w:r>
          </w:p>
        </w:tc>
      </w:tr>
      <w:tr w:rsidR="008A5057" w:rsidRPr="00BD295E" w14:paraId="122D2CFD"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7E6843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5.1.</w:t>
            </w:r>
          </w:p>
        </w:tc>
        <w:tc>
          <w:tcPr>
            <w:tcW w:w="2251" w:type="pct"/>
            <w:tcBorders>
              <w:top w:val="single" w:sz="4" w:space="0" w:color="auto"/>
              <w:left w:val="single" w:sz="4" w:space="0" w:color="auto"/>
              <w:bottom w:val="single" w:sz="4" w:space="0" w:color="auto"/>
              <w:right w:val="single" w:sz="4" w:space="0" w:color="auto"/>
            </w:tcBorders>
            <w:shd w:val="clear" w:color="auto" w:fill="FFFFFF"/>
            <w:hideMark/>
          </w:tcPr>
          <w:p w14:paraId="316BE064" w14:textId="77777777" w:rsidR="00156B3B" w:rsidRPr="00BD295E" w:rsidRDefault="008A5057" w:rsidP="00156B3B">
            <w:pPr>
              <w:contextualSpacing/>
              <w:jc w:val="both"/>
              <w:rPr>
                <w:rFonts w:ascii="Arial" w:hAnsi="Arial" w:cs="Arial"/>
                <w:i/>
                <w:iCs/>
                <w:sz w:val="18"/>
                <w:szCs w:val="18"/>
                <w:lang w:val="en-US"/>
              </w:rPr>
            </w:pPr>
            <w:r w:rsidRPr="00BD295E">
              <w:rPr>
                <w:rFonts w:ascii="Arial" w:hAnsi="Arial" w:cs="Arial"/>
                <w:i/>
                <w:iCs/>
                <w:sz w:val="18"/>
                <w:szCs w:val="18"/>
                <w:lang w:val="en-US"/>
              </w:rPr>
              <w:t>gasoline, including:</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128C3A1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liters</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289C5A9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2,907.30</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14B55F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1,864.54</w:t>
            </w:r>
          </w:p>
        </w:tc>
      </w:tr>
      <w:tr w:rsidR="008A5057" w:rsidRPr="00BD295E" w14:paraId="3AC34249"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A2393FD" w14:textId="77777777" w:rsidR="00156B3B" w:rsidRPr="00BD295E" w:rsidRDefault="00156B3B" w:rsidP="00156B3B">
            <w:pPr>
              <w:contextualSpacing/>
              <w:jc w:val="both"/>
              <w:rPr>
                <w:rFonts w:ascii="Arial" w:hAnsi="Arial" w:cs="Arial"/>
                <w:sz w:val="18"/>
                <w:szCs w:val="18"/>
                <w:lang w:val="en-US"/>
              </w:rPr>
            </w:pPr>
          </w:p>
        </w:tc>
        <w:tc>
          <w:tcPr>
            <w:tcW w:w="2251" w:type="pct"/>
            <w:tcBorders>
              <w:top w:val="single" w:sz="4" w:space="0" w:color="auto"/>
              <w:left w:val="single" w:sz="4" w:space="0" w:color="auto"/>
              <w:bottom w:val="single" w:sz="4" w:space="0" w:color="auto"/>
              <w:right w:val="single" w:sz="4" w:space="0" w:color="auto"/>
            </w:tcBorders>
            <w:shd w:val="clear" w:color="auto" w:fill="FFFFFF"/>
            <w:hideMark/>
          </w:tcPr>
          <w:p w14:paraId="71F145F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50154A7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t.o.e.</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5BD7040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3.29</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2C1AAD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2.11</w:t>
            </w:r>
          </w:p>
        </w:tc>
      </w:tr>
      <w:tr w:rsidR="008A5057" w:rsidRPr="00BD295E" w14:paraId="5B0FD6FC"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FD2B7FE" w14:textId="77777777" w:rsidR="00156B3B" w:rsidRPr="00BD295E" w:rsidRDefault="00156B3B" w:rsidP="00156B3B">
            <w:pPr>
              <w:contextualSpacing/>
              <w:jc w:val="both"/>
              <w:rPr>
                <w:rFonts w:ascii="Arial" w:hAnsi="Arial" w:cs="Arial"/>
                <w:sz w:val="18"/>
                <w:szCs w:val="18"/>
                <w:lang w:val="en-US"/>
              </w:rPr>
            </w:pPr>
          </w:p>
        </w:tc>
        <w:tc>
          <w:tcPr>
            <w:tcW w:w="2251" w:type="pct"/>
            <w:tcBorders>
              <w:top w:val="single" w:sz="4" w:space="0" w:color="auto"/>
              <w:left w:val="single" w:sz="4" w:space="0" w:color="auto"/>
              <w:bottom w:val="single" w:sz="4" w:space="0" w:color="auto"/>
              <w:right w:val="single" w:sz="4" w:space="0" w:color="auto"/>
            </w:tcBorders>
            <w:shd w:val="clear" w:color="auto" w:fill="FFFFFF"/>
            <w:hideMark/>
          </w:tcPr>
          <w:p w14:paraId="01E9847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768A653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RUB million, net of VAT</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365A1FD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100.00</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A8352E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64.00</w:t>
            </w:r>
          </w:p>
        </w:tc>
      </w:tr>
      <w:tr w:rsidR="008A5057" w:rsidRPr="00BD295E" w14:paraId="691F7816"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9B75971" w14:textId="77777777" w:rsidR="00156B3B" w:rsidRPr="00BD295E" w:rsidRDefault="00156B3B" w:rsidP="00156B3B">
            <w:pPr>
              <w:contextualSpacing/>
              <w:jc w:val="both"/>
              <w:rPr>
                <w:rFonts w:ascii="Arial" w:hAnsi="Arial" w:cs="Arial"/>
                <w:sz w:val="18"/>
                <w:szCs w:val="18"/>
                <w:lang w:val="en-US"/>
              </w:rPr>
            </w:pPr>
          </w:p>
        </w:tc>
        <w:tc>
          <w:tcPr>
            <w:tcW w:w="2251" w:type="pct"/>
            <w:tcBorders>
              <w:top w:val="single" w:sz="4" w:space="0" w:color="auto"/>
              <w:left w:val="single" w:sz="4" w:space="0" w:color="auto"/>
              <w:bottom w:val="single" w:sz="4" w:space="0" w:color="auto"/>
              <w:right w:val="single" w:sz="4" w:space="0" w:color="auto"/>
            </w:tcBorders>
            <w:shd w:val="clear" w:color="auto" w:fill="FFFFFF"/>
            <w:hideMark/>
          </w:tcPr>
          <w:p w14:paraId="59EEF9F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3FF9A37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liters per 100 km</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6700374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29.07</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E54DFE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18.65</w:t>
            </w:r>
          </w:p>
        </w:tc>
      </w:tr>
      <w:tr w:rsidR="008A5057" w:rsidRPr="00BD295E" w14:paraId="21FB0FD1"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4EE0E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5.2.</w:t>
            </w:r>
          </w:p>
        </w:tc>
        <w:tc>
          <w:tcPr>
            <w:tcW w:w="2251" w:type="pct"/>
            <w:tcBorders>
              <w:top w:val="single" w:sz="4" w:space="0" w:color="auto"/>
              <w:left w:val="single" w:sz="4" w:space="0" w:color="auto"/>
              <w:bottom w:val="single" w:sz="4" w:space="0" w:color="auto"/>
              <w:right w:val="single" w:sz="4" w:space="0" w:color="auto"/>
            </w:tcBorders>
            <w:shd w:val="clear" w:color="auto" w:fill="FFFFFF"/>
            <w:hideMark/>
          </w:tcPr>
          <w:p w14:paraId="2816A987" w14:textId="77777777" w:rsidR="00156B3B" w:rsidRPr="00BD295E" w:rsidRDefault="008A5057" w:rsidP="00156B3B">
            <w:pPr>
              <w:contextualSpacing/>
              <w:jc w:val="both"/>
              <w:rPr>
                <w:rFonts w:ascii="Arial" w:hAnsi="Arial" w:cs="Arial"/>
                <w:i/>
                <w:iCs/>
                <w:sz w:val="18"/>
                <w:szCs w:val="18"/>
                <w:lang w:val="en-US"/>
              </w:rPr>
            </w:pPr>
            <w:r w:rsidRPr="00BD295E">
              <w:rPr>
                <w:rFonts w:ascii="Arial" w:hAnsi="Arial" w:cs="Arial"/>
                <w:i/>
                <w:iCs/>
                <w:sz w:val="18"/>
                <w:szCs w:val="18"/>
                <w:lang w:val="en-US"/>
              </w:rPr>
              <w:t>diesel fuel, including:</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08726F1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liters</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291CB76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2,541.00</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4DB4891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1,614.00</w:t>
            </w:r>
          </w:p>
        </w:tc>
      </w:tr>
      <w:tr w:rsidR="008A5057" w:rsidRPr="00BD295E" w14:paraId="12F50392"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79A9912" w14:textId="77777777" w:rsidR="00156B3B" w:rsidRPr="00BD295E" w:rsidRDefault="00156B3B" w:rsidP="00156B3B">
            <w:pPr>
              <w:contextualSpacing/>
              <w:jc w:val="both"/>
              <w:rPr>
                <w:rFonts w:ascii="Arial" w:hAnsi="Arial" w:cs="Arial"/>
                <w:sz w:val="18"/>
                <w:szCs w:val="18"/>
                <w:lang w:val="en-US"/>
              </w:rPr>
            </w:pPr>
          </w:p>
        </w:tc>
        <w:tc>
          <w:tcPr>
            <w:tcW w:w="2251" w:type="pct"/>
            <w:tcBorders>
              <w:top w:val="single" w:sz="4" w:space="0" w:color="auto"/>
              <w:left w:val="single" w:sz="4" w:space="0" w:color="auto"/>
              <w:bottom w:val="single" w:sz="4" w:space="0" w:color="auto"/>
              <w:right w:val="single" w:sz="4" w:space="0" w:color="auto"/>
            </w:tcBorders>
            <w:shd w:val="clear" w:color="auto" w:fill="FFFFFF"/>
            <w:hideMark/>
          </w:tcPr>
          <w:p w14:paraId="40EF20B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30C6791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t.o.e.</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491FA60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3.13</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E30D8A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1.99</w:t>
            </w:r>
          </w:p>
        </w:tc>
      </w:tr>
      <w:tr w:rsidR="008A5057" w:rsidRPr="00BD295E" w14:paraId="4330ED91"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C96BDA5" w14:textId="77777777" w:rsidR="00156B3B" w:rsidRPr="00BD295E" w:rsidRDefault="00156B3B" w:rsidP="00156B3B">
            <w:pPr>
              <w:contextualSpacing/>
              <w:jc w:val="both"/>
              <w:rPr>
                <w:rFonts w:ascii="Arial" w:hAnsi="Arial" w:cs="Arial"/>
                <w:sz w:val="18"/>
                <w:szCs w:val="18"/>
                <w:lang w:val="en-US"/>
              </w:rPr>
            </w:pPr>
          </w:p>
        </w:tc>
        <w:tc>
          <w:tcPr>
            <w:tcW w:w="2251" w:type="pct"/>
            <w:tcBorders>
              <w:top w:val="single" w:sz="4" w:space="0" w:color="auto"/>
              <w:left w:val="single" w:sz="4" w:space="0" w:color="auto"/>
              <w:bottom w:val="single" w:sz="4" w:space="0" w:color="auto"/>
              <w:right w:val="single" w:sz="4" w:space="0" w:color="auto"/>
            </w:tcBorders>
            <w:shd w:val="clear" w:color="auto" w:fill="FFFFFF"/>
            <w:hideMark/>
          </w:tcPr>
          <w:p w14:paraId="1DF6595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0ECDC50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RUB million, net of VAT</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070D864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89.00</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2CE408C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58.00</w:t>
            </w:r>
          </w:p>
        </w:tc>
      </w:tr>
      <w:tr w:rsidR="008A5057" w:rsidRPr="00BD295E" w14:paraId="487F8835"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16AD84" w14:textId="77777777" w:rsidR="00156B3B" w:rsidRPr="00BD295E" w:rsidRDefault="00156B3B" w:rsidP="00156B3B">
            <w:pPr>
              <w:contextualSpacing/>
              <w:jc w:val="both"/>
              <w:rPr>
                <w:rFonts w:ascii="Arial" w:hAnsi="Arial" w:cs="Arial"/>
                <w:sz w:val="18"/>
                <w:szCs w:val="18"/>
                <w:lang w:val="en-US"/>
              </w:rPr>
            </w:pPr>
          </w:p>
        </w:tc>
        <w:tc>
          <w:tcPr>
            <w:tcW w:w="2251" w:type="pct"/>
            <w:tcBorders>
              <w:top w:val="single" w:sz="4" w:space="0" w:color="auto"/>
              <w:left w:val="single" w:sz="4" w:space="0" w:color="auto"/>
              <w:bottom w:val="single" w:sz="4" w:space="0" w:color="auto"/>
              <w:right w:val="single" w:sz="4" w:space="0" w:color="auto"/>
            </w:tcBorders>
            <w:shd w:val="clear" w:color="auto" w:fill="FFFFFF"/>
            <w:hideMark/>
          </w:tcPr>
          <w:p w14:paraId="4C0B72A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w:t>
            </w:r>
          </w:p>
        </w:tc>
        <w:tc>
          <w:tcPr>
            <w:tcW w:w="1248" w:type="pct"/>
            <w:tcBorders>
              <w:top w:val="single" w:sz="4" w:space="0" w:color="auto"/>
              <w:left w:val="single" w:sz="4" w:space="0" w:color="auto"/>
              <w:bottom w:val="single" w:sz="4" w:space="0" w:color="auto"/>
              <w:right w:val="single" w:sz="4" w:space="0" w:color="auto"/>
            </w:tcBorders>
            <w:shd w:val="clear" w:color="auto" w:fill="auto"/>
            <w:hideMark/>
          </w:tcPr>
          <w:p w14:paraId="6E393D8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thousand liters per 100 km</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24F9BF2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25.41</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C28137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16.14</w:t>
            </w:r>
          </w:p>
        </w:tc>
      </w:tr>
      <w:tr w:rsidR="008A5057" w:rsidRPr="00BD295E" w14:paraId="4792736E"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vAlign w:val="center"/>
            <w:hideMark/>
          </w:tcPr>
          <w:p w14:paraId="5F993A22"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6.</w:t>
            </w:r>
          </w:p>
        </w:tc>
        <w:tc>
          <w:tcPr>
            <w:tcW w:w="2251" w:type="pct"/>
            <w:tcBorders>
              <w:top w:val="single" w:sz="4" w:space="0" w:color="auto"/>
              <w:left w:val="single" w:sz="4" w:space="0" w:color="auto"/>
              <w:bottom w:val="single" w:sz="4" w:space="0" w:color="auto"/>
              <w:right w:val="single" w:sz="4" w:space="0" w:color="auto"/>
            </w:tcBorders>
            <w:vAlign w:val="center"/>
            <w:hideMark/>
          </w:tcPr>
          <w:p w14:paraId="1458253D" w14:textId="77777777" w:rsidR="00156B3B" w:rsidRPr="00BD295E" w:rsidRDefault="008A5057" w:rsidP="00156B3B">
            <w:pPr>
              <w:contextualSpacing/>
              <w:jc w:val="both"/>
              <w:rPr>
                <w:rFonts w:ascii="Arial" w:hAnsi="Arial" w:cs="Arial"/>
                <w:i/>
                <w:iCs/>
                <w:sz w:val="18"/>
                <w:szCs w:val="18"/>
                <w:lang w:val="en-US"/>
              </w:rPr>
            </w:pPr>
            <w:r w:rsidRPr="00BD295E">
              <w:rPr>
                <w:rFonts w:ascii="Arial" w:hAnsi="Arial" w:cs="Arial"/>
                <w:sz w:val="18"/>
                <w:szCs w:val="18"/>
                <w:lang w:val="en-US"/>
              </w:rPr>
              <w:t>Energy-saving lighting devices, including LED-based</w:t>
            </w:r>
          </w:p>
        </w:tc>
        <w:tc>
          <w:tcPr>
            <w:tcW w:w="1248" w:type="pct"/>
            <w:tcBorders>
              <w:top w:val="single" w:sz="4" w:space="0" w:color="auto"/>
              <w:left w:val="single" w:sz="4" w:space="0" w:color="auto"/>
              <w:bottom w:val="single" w:sz="4" w:space="0" w:color="auto"/>
              <w:right w:val="single" w:sz="4" w:space="0" w:color="auto"/>
            </w:tcBorders>
            <w:vAlign w:val="center"/>
            <w:hideMark/>
          </w:tcPr>
          <w:p w14:paraId="1499447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w:t>
            </w:r>
          </w:p>
        </w:tc>
        <w:tc>
          <w:tcPr>
            <w:tcW w:w="623" w:type="pct"/>
            <w:tcBorders>
              <w:top w:val="single" w:sz="4" w:space="0" w:color="auto"/>
              <w:left w:val="single" w:sz="4" w:space="0" w:color="auto"/>
              <w:bottom w:val="single" w:sz="4" w:space="0" w:color="auto"/>
              <w:right w:val="single" w:sz="4" w:space="0" w:color="auto"/>
            </w:tcBorders>
          </w:tcPr>
          <w:p w14:paraId="56E36E2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30</w:t>
            </w:r>
          </w:p>
        </w:tc>
        <w:tc>
          <w:tcPr>
            <w:tcW w:w="533" w:type="pct"/>
            <w:tcBorders>
              <w:top w:val="single" w:sz="4" w:space="0" w:color="auto"/>
              <w:left w:val="single" w:sz="4" w:space="0" w:color="auto"/>
              <w:bottom w:val="single" w:sz="4" w:space="0" w:color="auto"/>
              <w:right w:val="single" w:sz="4" w:space="0" w:color="auto"/>
            </w:tcBorders>
          </w:tcPr>
          <w:p w14:paraId="6E04C1F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31</w:t>
            </w:r>
          </w:p>
        </w:tc>
      </w:tr>
      <w:tr w:rsidR="008A5057" w:rsidRPr="00BD295E" w14:paraId="3A8D2368"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vAlign w:val="center"/>
          </w:tcPr>
          <w:p w14:paraId="5863141B" w14:textId="77777777" w:rsidR="00156B3B" w:rsidRPr="00BD295E" w:rsidRDefault="00156B3B" w:rsidP="00156B3B">
            <w:pPr>
              <w:contextualSpacing/>
              <w:jc w:val="both"/>
              <w:rPr>
                <w:rFonts w:ascii="Arial" w:hAnsi="Arial" w:cs="Arial"/>
                <w:sz w:val="18"/>
                <w:szCs w:val="18"/>
                <w:lang w:val="en-US"/>
              </w:rPr>
            </w:pPr>
          </w:p>
        </w:tc>
        <w:tc>
          <w:tcPr>
            <w:tcW w:w="2251" w:type="pct"/>
            <w:tcBorders>
              <w:top w:val="single" w:sz="4" w:space="0" w:color="auto"/>
              <w:left w:val="single" w:sz="4" w:space="0" w:color="auto"/>
              <w:bottom w:val="single" w:sz="4" w:space="0" w:color="auto"/>
              <w:right w:val="single" w:sz="4" w:space="0" w:color="auto"/>
            </w:tcBorders>
            <w:vAlign w:val="center"/>
            <w:hideMark/>
          </w:tcPr>
          <w:p w14:paraId="6C074525" w14:textId="77777777" w:rsidR="00156B3B" w:rsidRPr="00BD295E" w:rsidRDefault="008A5057" w:rsidP="00156B3B">
            <w:pPr>
              <w:contextualSpacing/>
              <w:jc w:val="both"/>
              <w:rPr>
                <w:rFonts w:ascii="Arial" w:hAnsi="Arial" w:cs="Arial"/>
                <w:i/>
                <w:iCs/>
                <w:sz w:val="18"/>
                <w:szCs w:val="18"/>
                <w:lang w:val="en-US"/>
              </w:rPr>
            </w:pPr>
            <w:r w:rsidRPr="00BD295E">
              <w:rPr>
                <w:rFonts w:ascii="Arial" w:hAnsi="Arial" w:cs="Arial"/>
                <w:sz w:val="18"/>
                <w:szCs w:val="18"/>
                <w:lang w:val="en-US"/>
              </w:rPr>
              <w:t>Number of lighting devices used, including:</w:t>
            </w:r>
          </w:p>
        </w:tc>
        <w:tc>
          <w:tcPr>
            <w:tcW w:w="1248" w:type="pct"/>
            <w:tcBorders>
              <w:top w:val="single" w:sz="4" w:space="0" w:color="auto"/>
              <w:left w:val="single" w:sz="4" w:space="0" w:color="auto"/>
              <w:bottom w:val="single" w:sz="4" w:space="0" w:color="auto"/>
              <w:right w:val="single" w:sz="4" w:space="0" w:color="auto"/>
            </w:tcBorders>
            <w:vAlign w:val="center"/>
            <w:hideMark/>
          </w:tcPr>
          <w:p w14:paraId="6DF4878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Units</w:t>
            </w:r>
          </w:p>
        </w:tc>
        <w:tc>
          <w:tcPr>
            <w:tcW w:w="623" w:type="pct"/>
            <w:tcBorders>
              <w:top w:val="single" w:sz="4" w:space="0" w:color="auto"/>
              <w:left w:val="single" w:sz="4" w:space="0" w:color="auto"/>
              <w:bottom w:val="single" w:sz="4" w:space="0" w:color="auto"/>
              <w:right w:val="single" w:sz="4" w:space="0" w:color="auto"/>
            </w:tcBorders>
          </w:tcPr>
          <w:p w14:paraId="58FF9C2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23,200</w:t>
            </w:r>
          </w:p>
        </w:tc>
        <w:tc>
          <w:tcPr>
            <w:tcW w:w="533" w:type="pct"/>
            <w:tcBorders>
              <w:top w:val="single" w:sz="4" w:space="0" w:color="auto"/>
              <w:left w:val="single" w:sz="4" w:space="0" w:color="auto"/>
              <w:bottom w:val="single" w:sz="4" w:space="0" w:color="auto"/>
              <w:right w:val="single" w:sz="4" w:space="0" w:color="auto"/>
            </w:tcBorders>
          </w:tcPr>
          <w:p w14:paraId="6116963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23,783</w:t>
            </w:r>
          </w:p>
        </w:tc>
      </w:tr>
      <w:tr w:rsidR="008A5057" w:rsidRPr="00BD295E" w14:paraId="60FB87C9"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vAlign w:val="center"/>
          </w:tcPr>
          <w:p w14:paraId="53941071" w14:textId="77777777" w:rsidR="00156B3B" w:rsidRPr="00BD295E" w:rsidRDefault="00156B3B" w:rsidP="00156B3B">
            <w:pPr>
              <w:contextualSpacing/>
              <w:jc w:val="both"/>
              <w:rPr>
                <w:rFonts w:ascii="Arial" w:hAnsi="Arial" w:cs="Arial"/>
                <w:sz w:val="18"/>
                <w:szCs w:val="18"/>
                <w:lang w:val="en-US"/>
              </w:rPr>
            </w:pPr>
          </w:p>
        </w:tc>
        <w:tc>
          <w:tcPr>
            <w:tcW w:w="2251" w:type="pct"/>
            <w:tcBorders>
              <w:top w:val="single" w:sz="4" w:space="0" w:color="auto"/>
              <w:left w:val="single" w:sz="4" w:space="0" w:color="auto"/>
              <w:bottom w:val="single" w:sz="4" w:space="0" w:color="auto"/>
              <w:right w:val="single" w:sz="4" w:space="0" w:color="auto"/>
            </w:tcBorders>
            <w:vAlign w:val="center"/>
            <w:hideMark/>
          </w:tcPr>
          <w:p w14:paraId="724799B6" w14:textId="77777777" w:rsidR="00156B3B" w:rsidRPr="00BD295E" w:rsidRDefault="008A5057" w:rsidP="00156B3B">
            <w:pPr>
              <w:contextualSpacing/>
              <w:jc w:val="both"/>
              <w:rPr>
                <w:rFonts w:ascii="Arial" w:hAnsi="Arial" w:cs="Arial"/>
                <w:i/>
                <w:iCs/>
                <w:sz w:val="18"/>
                <w:szCs w:val="18"/>
                <w:lang w:val="en-US"/>
              </w:rPr>
            </w:pPr>
            <w:r w:rsidRPr="00BD295E">
              <w:rPr>
                <w:rFonts w:ascii="Arial" w:hAnsi="Arial" w:cs="Arial"/>
                <w:sz w:val="18"/>
                <w:szCs w:val="18"/>
                <w:lang w:val="en-US"/>
              </w:rPr>
              <w:t>with energy saving lamps (net of LED-based)</w:t>
            </w:r>
          </w:p>
        </w:tc>
        <w:tc>
          <w:tcPr>
            <w:tcW w:w="1248" w:type="pct"/>
            <w:tcBorders>
              <w:top w:val="single" w:sz="4" w:space="0" w:color="auto"/>
              <w:left w:val="single" w:sz="4" w:space="0" w:color="auto"/>
              <w:bottom w:val="single" w:sz="4" w:space="0" w:color="auto"/>
              <w:right w:val="single" w:sz="4" w:space="0" w:color="auto"/>
            </w:tcBorders>
            <w:vAlign w:val="center"/>
            <w:hideMark/>
          </w:tcPr>
          <w:p w14:paraId="3FE0D31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Units</w:t>
            </w:r>
          </w:p>
        </w:tc>
        <w:tc>
          <w:tcPr>
            <w:tcW w:w="623" w:type="pct"/>
            <w:tcBorders>
              <w:top w:val="single" w:sz="4" w:space="0" w:color="auto"/>
              <w:left w:val="single" w:sz="4" w:space="0" w:color="auto"/>
              <w:bottom w:val="single" w:sz="4" w:space="0" w:color="auto"/>
              <w:right w:val="single" w:sz="4" w:space="0" w:color="auto"/>
            </w:tcBorders>
          </w:tcPr>
          <w:p w14:paraId="2F0E78C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10,000</w:t>
            </w:r>
          </w:p>
        </w:tc>
        <w:tc>
          <w:tcPr>
            <w:tcW w:w="533" w:type="pct"/>
            <w:tcBorders>
              <w:top w:val="single" w:sz="4" w:space="0" w:color="auto"/>
              <w:left w:val="single" w:sz="4" w:space="0" w:color="auto"/>
              <w:bottom w:val="single" w:sz="4" w:space="0" w:color="auto"/>
              <w:right w:val="single" w:sz="4" w:space="0" w:color="auto"/>
            </w:tcBorders>
          </w:tcPr>
          <w:p w14:paraId="593BAA2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10,665</w:t>
            </w:r>
          </w:p>
        </w:tc>
      </w:tr>
      <w:tr w:rsidR="008A5057" w:rsidRPr="00BD295E" w14:paraId="3D132538" w14:textId="77777777" w:rsidTr="00850333">
        <w:trPr>
          <w:trHeight w:val="300"/>
        </w:trPr>
        <w:tc>
          <w:tcPr>
            <w:tcW w:w="345" w:type="pct"/>
            <w:tcBorders>
              <w:top w:val="single" w:sz="4" w:space="0" w:color="auto"/>
              <w:left w:val="single" w:sz="4" w:space="0" w:color="auto"/>
              <w:bottom w:val="single" w:sz="4" w:space="0" w:color="auto"/>
              <w:right w:val="single" w:sz="4" w:space="0" w:color="auto"/>
            </w:tcBorders>
            <w:vAlign w:val="center"/>
          </w:tcPr>
          <w:p w14:paraId="2C952042" w14:textId="77777777" w:rsidR="00156B3B" w:rsidRPr="00BD295E" w:rsidRDefault="00156B3B" w:rsidP="00156B3B">
            <w:pPr>
              <w:contextualSpacing/>
              <w:jc w:val="both"/>
              <w:rPr>
                <w:rFonts w:ascii="Arial" w:hAnsi="Arial" w:cs="Arial"/>
                <w:sz w:val="18"/>
                <w:szCs w:val="18"/>
                <w:lang w:val="en-US"/>
              </w:rPr>
            </w:pPr>
          </w:p>
        </w:tc>
        <w:tc>
          <w:tcPr>
            <w:tcW w:w="2251" w:type="pct"/>
            <w:tcBorders>
              <w:top w:val="single" w:sz="4" w:space="0" w:color="auto"/>
              <w:left w:val="single" w:sz="4" w:space="0" w:color="auto"/>
              <w:bottom w:val="single" w:sz="4" w:space="0" w:color="auto"/>
              <w:right w:val="single" w:sz="4" w:space="0" w:color="auto"/>
            </w:tcBorders>
            <w:vAlign w:val="center"/>
            <w:hideMark/>
          </w:tcPr>
          <w:p w14:paraId="70034F94" w14:textId="77777777" w:rsidR="00156B3B" w:rsidRPr="00BD295E" w:rsidRDefault="008A5057" w:rsidP="00156B3B">
            <w:pPr>
              <w:contextualSpacing/>
              <w:jc w:val="both"/>
              <w:rPr>
                <w:rFonts w:ascii="Arial" w:hAnsi="Arial" w:cs="Arial"/>
                <w:i/>
                <w:iCs/>
                <w:sz w:val="18"/>
                <w:szCs w:val="18"/>
                <w:lang w:val="en-US"/>
              </w:rPr>
            </w:pPr>
            <w:r w:rsidRPr="00BD295E">
              <w:rPr>
                <w:rFonts w:ascii="Arial" w:hAnsi="Arial" w:cs="Arial"/>
                <w:sz w:val="18"/>
                <w:szCs w:val="18"/>
                <w:lang w:val="en-US"/>
              </w:rPr>
              <w:t>using LED-based</w:t>
            </w:r>
          </w:p>
        </w:tc>
        <w:tc>
          <w:tcPr>
            <w:tcW w:w="1248" w:type="pct"/>
            <w:tcBorders>
              <w:top w:val="single" w:sz="4" w:space="0" w:color="auto"/>
              <w:left w:val="single" w:sz="4" w:space="0" w:color="auto"/>
              <w:bottom w:val="single" w:sz="4" w:space="0" w:color="auto"/>
              <w:right w:val="single" w:sz="4" w:space="0" w:color="auto"/>
            </w:tcBorders>
            <w:vAlign w:val="center"/>
            <w:hideMark/>
          </w:tcPr>
          <w:p w14:paraId="4A10C52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Units</w:t>
            </w:r>
          </w:p>
        </w:tc>
        <w:tc>
          <w:tcPr>
            <w:tcW w:w="623" w:type="pct"/>
            <w:tcBorders>
              <w:top w:val="single" w:sz="4" w:space="0" w:color="auto"/>
              <w:left w:val="single" w:sz="4" w:space="0" w:color="auto"/>
              <w:bottom w:val="single" w:sz="4" w:space="0" w:color="auto"/>
              <w:right w:val="single" w:sz="4" w:space="0" w:color="auto"/>
            </w:tcBorders>
          </w:tcPr>
          <w:p w14:paraId="0068EBC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7,100</w:t>
            </w:r>
          </w:p>
        </w:tc>
        <w:tc>
          <w:tcPr>
            <w:tcW w:w="533" w:type="pct"/>
            <w:tcBorders>
              <w:top w:val="single" w:sz="4" w:space="0" w:color="auto"/>
              <w:left w:val="single" w:sz="4" w:space="0" w:color="auto"/>
              <w:bottom w:val="single" w:sz="4" w:space="0" w:color="auto"/>
              <w:right w:val="single" w:sz="4" w:space="0" w:color="auto"/>
            </w:tcBorders>
          </w:tcPr>
          <w:p w14:paraId="5428D22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7,286</w:t>
            </w:r>
          </w:p>
        </w:tc>
      </w:tr>
      <w:tr w:rsidR="008A5057" w:rsidRPr="00BD295E" w14:paraId="4FC3274D" w14:textId="77777777" w:rsidTr="00850333">
        <w:trPr>
          <w:trHeight w:val="56"/>
        </w:trPr>
        <w:tc>
          <w:tcPr>
            <w:tcW w:w="345" w:type="pct"/>
            <w:tcBorders>
              <w:top w:val="single" w:sz="4" w:space="0" w:color="auto"/>
              <w:left w:val="single" w:sz="4" w:space="0" w:color="auto"/>
              <w:bottom w:val="single" w:sz="4" w:space="0" w:color="auto"/>
              <w:right w:val="single" w:sz="4" w:space="0" w:color="auto"/>
            </w:tcBorders>
            <w:vAlign w:val="center"/>
          </w:tcPr>
          <w:p w14:paraId="2287B1A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7</w:t>
            </w:r>
          </w:p>
        </w:tc>
        <w:tc>
          <w:tcPr>
            <w:tcW w:w="2251" w:type="pct"/>
            <w:tcBorders>
              <w:top w:val="single" w:sz="4" w:space="0" w:color="auto"/>
              <w:left w:val="single" w:sz="4" w:space="0" w:color="auto"/>
              <w:bottom w:val="single" w:sz="4" w:space="0" w:color="auto"/>
              <w:right w:val="single" w:sz="4" w:space="0" w:color="auto"/>
            </w:tcBorders>
            <w:vAlign w:val="center"/>
          </w:tcPr>
          <w:p w14:paraId="4AB74B7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Modern electricity meters in the retail market</w:t>
            </w:r>
          </w:p>
        </w:tc>
        <w:tc>
          <w:tcPr>
            <w:tcW w:w="1248" w:type="pct"/>
            <w:tcBorders>
              <w:top w:val="single" w:sz="4" w:space="0" w:color="auto"/>
              <w:left w:val="single" w:sz="4" w:space="0" w:color="auto"/>
              <w:bottom w:val="single" w:sz="4" w:space="0" w:color="auto"/>
              <w:right w:val="single" w:sz="4" w:space="0" w:color="auto"/>
            </w:tcBorders>
            <w:vAlign w:val="center"/>
          </w:tcPr>
          <w:p w14:paraId="74D7722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w:t>
            </w:r>
          </w:p>
        </w:tc>
        <w:tc>
          <w:tcPr>
            <w:tcW w:w="623" w:type="pct"/>
            <w:tcBorders>
              <w:top w:val="single" w:sz="4" w:space="0" w:color="auto"/>
              <w:left w:val="single" w:sz="4" w:space="0" w:color="auto"/>
              <w:bottom w:val="single" w:sz="4" w:space="0" w:color="auto"/>
              <w:right w:val="single" w:sz="4" w:space="0" w:color="auto"/>
            </w:tcBorders>
          </w:tcPr>
          <w:p w14:paraId="0843B63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11.8</w:t>
            </w:r>
            <w:r w:rsidRPr="00BD295E">
              <w:rPr>
                <w:rFonts w:ascii="Arial" w:hAnsi="Arial" w:cs="Arial"/>
                <w:b/>
                <w:sz w:val="18"/>
                <w:szCs w:val="18"/>
                <w:lang w:val="en-US"/>
              </w:rPr>
              <w:t>*</w:t>
            </w:r>
          </w:p>
        </w:tc>
        <w:tc>
          <w:tcPr>
            <w:tcW w:w="533" w:type="pct"/>
            <w:tcBorders>
              <w:top w:val="single" w:sz="4" w:space="0" w:color="auto"/>
              <w:left w:val="single" w:sz="4" w:space="0" w:color="auto"/>
              <w:bottom w:val="single" w:sz="4" w:space="0" w:color="auto"/>
              <w:right w:val="single" w:sz="4" w:space="0" w:color="auto"/>
            </w:tcBorders>
          </w:tcPr>
          <w:p w14:paraId="28B2005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14.8</w:t>
            </w:r>
          </w:p>
        </w:tc>
      </w:tr>
    </w:tbl>
    <w:p w14:paraId="0CC782D4" w14:textId="77777777" w:rsidR="00156B3B" w:rsidRPr="00BD295E" w:rsidRDefault="008A5057" w:rsidP="00156B3B">
      <w:pPr>
        <w:ind w:firstLine="709"/>
        <w:contextualSpacing/>
        <w:jc w:val="both"/>
        <w:rPr>
          <w:rFonts w:ascii="Arial" w:hAnsi="Arial" w:cs="Arial"/>
          <w:sz w:val="18"/>
          <w:szCs w:val="18"/>
          <w:lang w:val="en-US"/>
        </w:rPr>
      </w:pPr>
      <w:r w:rsidRPr="00BD295E">
        <w:rPr>
          <w:rFonts w:ascii="Arial" w:hAnsi="Arial" w:cs="Arial"/>
          <w:sz w:val="18"/>
          <w:szCs w:val="18"/>
          <w:lang w:val="en-US"/>
        </w:rPr>
        <w:t xml:space="preserve">* The target (indicator) was adopted in accordance with the </w:t>
      </w:r>
      <w:r w:rsidRPr="00BD295E">
        <w:rPr>
          <w:rFonts w:ascii="Arial" w:hAnsi="Arial" w:cs="Arial"/>
          <w:i/>
          <w:iCs/>
          <w:sz w:val="18"/>
          <w:szCs w:val="18"/>
          <w:lang w:val="en-US"/>
        </w:rPr>
        <w:t>Energy Efficiency and Energy Sector</w:t>
      </w:r>
      <w:r w:rsidRPr="00BD295E">
        <w:rPr>
          <w:rFonts w:ascii="Arial" w:hAnsi="Arial" w:cs="Arial"/>
          <w:sz w:val="18"/>
          <w:szCs w:val="18"/>
          <w:lang w:val="en-US"/>
        </w:rPr>
        <w:t xml:space="preserve"> </w:t>
      </w:r>
      <w:r w:rsidRPr="00BD295E">
        <w:rPr>
          <w:rFonts w:ascii="Arial" w:hAnsi="Arial" w:cs="Arial"/>
          <w:i/>
          <w:iCs/>
          <w:sz w:val="18"/>
          <w:szCs w:val="18"/>
          <w:lang w:val="en-US"/>
        </w:rPr>
        <w:t>Development</w:t>
      </w:r>
      <w:r w:rsidRPr="00BD295E">
        <w:rPr>
          <w:rFonts w:ascii="Arial" w:hAnsi="Arial" w:cs="Arial"/>
          <w:sz w:val="18"/>
          <w:szCs w:val="18"/>
          <w:lang w:val="en-US"/>
        </w:rPr>
        <w:t xml:space="preserve"> State Program of the Russian Federation, approved by Resolution No. 321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April 15, 2014.</w:t>
      </w:r>
    </w:p>
    <w:p w14:paraId="5CF2A7ED" w14:textId="77777777" w:rsidR="00156B3B" w:rsidRPr="00BD295E" w:rsidRDefault="00156B3B" w:rsidP="00156B3B">
      <w:pPr>
        <w:ind w:firstLine="709"/>
        <w:contextualSpacing/>
        <w:jc w:val="both"/>
        <w:rPr>
          <w:rFonts w:ascii="Arial" w:hAnsi="Arial" w:cs="Arial"/>
          <w:sz w:val="18"/>
          <w:szCs w:val="18"/>
          <w:lang w:val="en-US"/>
        </w:rPr>
      </w:pPr>
    </w:p>
    <w:p w14:paraId="64210FAE" w14:textId="77777777" w:rsidR="00156B3B" w:rsidRPr="00BD295E" w:rsidRDefault="008A5057" w:rsidP="005842E3">
      <w:pPr>
        <w:contextualSpacing/>
        <w:jc w:val="both"/>
        <w:rPr>
          <w:rFonts w:ascii="Arial" w:hAnsi="Arial" w:cs="Arial"/>
          <w:sz w:val="18"/>
          <w:szCs w:val="18"/>
          <w:lang w:val="en-US"/>
        </w:rPr>
      </w:pPr>
      <w:r w:rsidRPr="00BD295E">
        <w:rPr>
          <w:rFonts w:ascii="Arial" w:hAnsi="Arial" w:cs="Arial"/>
          <w:sz w:val="18"/>
          <w:szCs w:val="18"/>
          <w:lang w:val="en-US"/>
        </w:rPr>
        <w:t>No other energy resources were used by the Company.</w:t>
      </w:r>
    </w:p>
    <w:p w14:paraId="63636538" w14:textId="77777777" w:rsidR="00156B3B" w:rsidRPr="00BD295E" w:rsidRDefault="008A5057" w:rsidP="005842E3">
      <w:pPr>
        <w:contextualSpacing/>
        <w:jc w:val="both"/>
        <w:rPr>
          <w:rFonts w:ascii="Arial" w:hAnsi="Arial" w:cs="Arial"/>
          <w:sz w:val="18"/>
          <w:szCs w:val="18"/>
          <w:lang w:val="en-US"/>
        </w:rPr>
      </w:pPr>
      <w:r w:rsidRPr="00BD295E">
        <w:rPr>
          <w:rFonts w:ascii="Arial" w:hAnsi="Arial" w:cs="Arial"/>
          <w:sz w:val="18"/>
          <w:szCs w:val="18"/>
          <w:lang w:val="en-US"/>
        </w:rPr>
        <w:t>The key target measures that reduce the consumption of resources for auxiliary needs include: introduction of energy-efficient lighting devices, replacement of street mercury-based lamps with LED and sodium lamps, replacement of windows with plastic or wood windows with multi-chamber insulating glass units, sealing of buildings, heat insulation of flat roofs, heat insulation of upper floor ceilings.</w:t>
      </w:r>
    </w:p>
    <w:p w14:paraId="772EFB78" w14:textId="77777777" w:rsidR="00156B3B" w:rsidRPr="00BD295E" w:rsidRDefault="00EE5753" w:rsidP="005842E3">
      <w:pPr>
        <w:contextualSpacing/>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has in place an energy service contract to save energy and enhance energy efficiency of the lighting system at Luzhsky Electric Grid District of Kingiseppskiye Power Grid (a branch of </w:t>
      </w:r>
      <w:r w:rsidRPr="00BD295E">
        <w:rPr>
          <w:rFonts w:ascii="Arial" w:hAnsi="Arial" w:cs="Arial"/>
          <w:sz w:val="18"/>
          <w:szCs w:val="18"/>
          <w:lang w:val="en-US"/>
        </w:rPr>
        <w:t>PJSC “Lenenergo”</w:t>
      </w:r>
      <w:r w:rsidR="008A5057" w:rsidRPr="00BD295E">
        <w:rPr>
          <w:rFonts w:ascii="Arial" w:hAnsi="Arial" w:cs="Arial"/>
          <w:sz w:val="18"/>
          <w:szCs w:val="18"/>
          <w:lang w:val="en-US"/>
        </w:rPr>
        <w:t>). In fact, savings (a cumulative total for 2017–2018) reached RUB 686 thousand (net of VAT), which is equivalent to 28% of the target savings.  The energy service contract is valid until the end of 2023.</w:t>
      </w:r>
    </w:p>
    <w:p w14:paraId="60721A89" w14:textId="1DE304D3"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In 2018, the effect from the implementation of target measures to reduce consumption of resources for auxiliary needs across the Company totaled 4.5 thousand t.o.e. (232 million liters of cold water) for a total of RUB 8.41 million vs the targeted 4.7 thousand t.o.e. (355 million liters of c</w:t>
      </w:r>
      <w:r w:rsidR="00396716" w:rsidRPr="00BD295E">
        <w:rPr>
          <w:rFonts w:ascii="Arial" w:hAnsi="Arial" w:cs="Arial"/>
          <w:sz w:val="18"/>
          <w:szCs w:val="18"/>
          <w:lang w:val="en-US"/>
        </w:rPr>
        <w:t>old water) for a total of RUB</w:t>
      </w:r>
      <w:r w:rsidRPr="00BD295E">
        <w:rPr>
          <w:rFonts w:ascii="Arial" w:hAnsi="Arial" w:cs="Arial"/>
          <w:sz w:val="18"/>
          <w:szCs w:val="18"/>
          <w:lang w:val="en-US"/>
        </w:rPr>
        <w:t xml:space="preserve"> 12 million. As a result, our energy consumption was reduced by 4.14%.</w:t>
      </w:r>
    </w:p>
    <w:p w14:paraId="1470E1FF"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 xml:space="preserve">During 2017–2018,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conducted an energy audit and registered Energy Certificate No. E-015/24018 as a result. The reduction in energy (electricity) consumption for auxiliary needs of administrative and production buildings was driven by a number of measures taken based on the energy audit conducted by the Company. The Company carried out routine maintenance of its buildings and structures, with the local microclimate meeting GOST 304942011 standard requirements. Heating boilers were modernized.</w:t>
      </w:r>
    </w:p>
    <w:p w14:paraId="499AC083"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 xml:space="preserve">The reduction in the motor fuel consumption was driven by higher effectiveness of fuel consumption control for vehicles, special equipment, and construction machinery of </w:t>
      </w:r>
      <w:r w:rsidR="00EE5753" w:rsidRPr="00BD295E">
        <w:rPr>
          <w:rFonts w:ascii="Arial" w:hAnsi="Arial" w:cs="Arial"/>
          <w:sz w:val="18"/>
          <w:szCs w:val="18"/>
          <w:lang w:val="en-US"/>
        </w:rPr>
        <w:t>PJSC “Lenenergo”</w:t>
      </w:r>
      <w:r w:rsidRPr="00BD295E">
        <w:rPr>
          <w:rFonts w:ascii="Arial" w:hAnsi="Arial" w:cs="Arial"/>
          <w:sz w:val="18"/>
          <w:szCs w:val="18"/>
          <w:lang w:val="en-US"/>
        </w:rPr>
        <w:t>. The Company’s vehicle fleet was equipped with a GLONASS-based geo-positioning and control system. At present, 100% vehicles are equipped with the GLONASS system.</w:t>
      </w:r>
    </w:p>
    <w:p w14:paraId="50D8495D"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As a result of implementing the Smart Electricity Metering Development Program in 2018, the percentage of modern electricity meters installed in the retail market reached 14.8%, which is higher than the 11.8% target.</w:t>
      </w:r>
    </w:p>
    <w:p w14:paraId="14836495"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The energy saving and energy efficiency program is mainly funded through the Company’s RUB 5,482 million investment program.</w:t>
      </w:r>
    </w:p>
    <w:p w14:paraId="0FB65BE8" w14:textId="77777777" w:rsidR="00156B3B" w:rsidRPr="00BD295E" w:rsidRDefault="00156B3B" w:rsidP="000E42B1">
      <w:pPr>
        <w:contextualSpacing/>
        <w:jc w:val="both"/>
        <w:rPr>
          <w:rFonts w:ascii="Arial" w:hAnsi="Arial" w:cs="Arial"/>
          <w:b/>
          <w:sz w:val="18"/>
          <w:szCs w:val="18"/>
          <w:lang w:val="en-US"/>
        </w:rPr>
      </w:pPr>
    </w:p>
    <w:p w14:paraId="61F09A76" w14:textId="77777777" w:rsidR="00156B3B" w:rsidRPr="00BD295E" w:rsidRDefault="00EE5753" w:rsidP="000E42B1">
      <w:pPr>
        <w:contextualSpacing/>
        <w:jc w:val="both"/>
        <w:rPr>
          <w:rFonts w:ascii="Arial" w:hAnsi="Arial" w:cs="Arial"/>
          <w:b/>
          <w:sz w:val="18"/>
          <w:szCs w:val="18"/>
          <w:lang w:val="en-US"/>
        </w:rPr>
      </w:pPr>
      <w:r w:rsidRPr="00BD295E">
        <w:rPr>
          <w:rFonts w:ascii="Arial" w:hAnsi="Arial" w:cs="Arial"/>
          <w:b/>
          <w:sz w:val="18"/>
          <w:szCs w:val="18"/>
          <w:lang w:val="en-US"/>
        </w:rPr>
        <w:t>PJSC “Lenenergo”</w:t>
      </w:r>
      <w:r w:rsidR="008A5057" w:rsidRPr="00BD295E">
        <w:rPr>
          <w:rFonts w:ascii="Arial" w:hAnsi="Arial" w:cs="Arial"/>
          <w:b/>
          <w:sz w:val="18"/>
          <w:szCs w:val="18"/>
          <w:lang w:val="en-US"/>
        </w:rPr>
        <w:t xml:space="preserve"> has put in place a range of measures to reduce electricity losses as one of its top priorities.</w:t>
      </w:r>
    </w:p>
    <w:p w14:paraId="66629022"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In 2018, the effect from measures taken to reduce electricity losses across the Company totaled 240.65 million kWh or RUB 760.76 million (in physical and value terms, respectively).</w:t>
      </w:r>
    </w:p>
    <w:p w14:paraId="6E405E70"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 xml:space="preserve">As part of the </w:t>
      </w:r>
      <w:r w:rsidR="00E50ECE" w:rsidRPr="00BD295E">
        <w:rPr>
          <w:rFonts w:ascii="Arial" w:hAnsi="Arial" w:cs="Arial"/>
          <w:sz w:val="18"/>
          <w:szCs w:val="18"/>
          <w:lang w:val="en-US"/>
        </w:rPr>
        <w:t>action plan</w:t>
      </w:r>
      <w:r w:rsidRPr="00BD295E">
        <w:rPr>
          <w:rFonts w:ascii="Arial" w:hAnsi="Arial" w:cs="Arial"/>
          <w:sz w:val="18"/>
          <w:szCs w:val="18"/>
          <w:lang w:val="en-US"/>
        </w:rPr>
        <w:t xml:space="preserve"> to reduce electricity losses in the electric grid complex of </w:t>
      </w:r>
      <w:r w:rsidR="00EE5753" w:rsidRPr="00BD295E">
        <w:rPr>
          <w:rFonts w:ascii="Arial" w:hAnsi="Arial" w:cs="Arial"/>
          <w:sz w:val="18"/>
          <w:szCs w:val="18"/>
          <w:lang w:val="en-US"/>
        </w:rPr>
        <w:t>PJSC “Lenenergo”</w:t>
      </w:r>
      <w:r w:rsidRPr="00BD295E">
        <w:rPr>
          <w:rFonts w:ascii="Arial" w:hAnsi="Arial" w:cs="Arial"/>
          <w:sz w:val="18"/>
          <w:szCs w:val="18"/>
          <w:lang w:val="en-US"/>
        </w:rPr>
        <w:t>, a range of measures was taken, including organizational and technical activities as well as a smart electricity metering development program.</w:t>
      </w:r>
    </w:p>
    <w:p w14:paraId="3673D2B8"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 xml:space="preserve">The effect from organizational measures was driven by the identification of non-metered consumption of electricity. The following measures were taken as part of technical activities: </w:t>
      </w:r>
    </w:p>
    <w:p w14:paraId="1467A334"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ab/>
        <w:t xml:space="preserve">replacement of overloaded, installation and commissioning of additional power transformers at operating substations; </w:t>
      </w:r>
    </w:p>
    <w:p w14:paraId="66ECCADE"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ab/>
        <w:t>optimization of electric grid load through construction (renovation) of substations and transmission lines;</w:t>
      </w:r>
    </w:p>
    <w:p w14:paraId="252FA3B5"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ab/>
        <w:t>replacement of wires on overloaded power lines.</w:t>
      </w:r>
    </w:p>
    <w:p w14:paraId="2FA8104D"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5.9 thousand billing metering devices and 2.3 thousand technical metering devices were installed and replaced in 2018. Installation of electricity meters reduced our electricity losses by 108.61 million kWh, RUB 270.82 million, as well as increased the metered amount of electricity distribution services by RUB 618.21 million (net of VAT) in value terms.</w:t>
      </w:r>
    </w:p>
    <w:p w14:paraId="5D8620A1"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 xml:space="preserve">Measures to reduce losses are funded out of the Company’s investment program. </w:t>
      </w:r>
    </w:p>
    <w:p w14:paraId="7D9EA557" w14:textId="77777777" w:rsidR="00156B3B" w:rsidRPr="00BD295E" w:rsidRDefault="00156B3B" w:rsidP="000E42B1">
      <w:pPr>
        <w:contextualSpacing/>
        <w:jc w:val="both"/>
        <w:rPr>
          <w:rFonts w:ascii="Arial" w:hAnsi="Arial" w:cs="Arial"/>
          <w:sz w:val="18"/>
          <w:szCs w:val="18"/>
          <w:lang w:val="en-US"/>
        </w:rPr>
      </w:pPr>
    </w:p>
    <w:p w14:paraId="4A39E72D"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Key activities to reduce electricity losses taken in 2018:</w:t>
      </w:r>
    </w:p>
    <w:tbl>
      <w:tblPr>
        <w:tblW w:w="5000" w:type="pct"/>
        <w:tblLook w:val="04A0" w:firstRow="1" w:lastRow="0" w:firstColumn="1" w:lastColumn="0" w:noHBand="0" w:noVBand="1"/>
      </w:tblPr>
      <w:tblGrid>
        <w:gridCol w:w="521"/>
        <w:gridCol w:w="6245"/>
        <w:gridCol w:w="1258"/>
        <w:gridCol w:w="1311"/>
      </w:tblGrid>
      <w:tr w:rsidR="008A5057" w:rsidRPr="00BD295E" w14:paraId="71A34038" w14:textId="77777777" w:rsidTr="00850333">
        <w:trPr>
          <w:trHeight w:val="510"/>
        </w:trPr>
        <w:tc>
          <w:tcPr>
            <w:tcW w:w="279" w:type="pct"/>
            <w:vMerge w:val="restart"/>
            <w:tcBorders>
              <w:top w:val="single" w:sz="8" w:space="0" w:color="auto"/>
              <w:left w:val="single" w:sz="8" w:space="0" w:color="auto"/>
              <w:bottom w:val="single" w:sz="8" w:space="0" w:color="auto"/>
              <w:right w:val="single" w:sz="8" w:space="0" w:color="auto"/>
            </w:tcBorders>
            <w:shd w:val="clear" w:color="000000" w:fill="C6D9F1"/>
            <w:vAlign w:val="center"/>
            <w:hideMark/>
          </w:tcPr>
          <w:p w14:paraId="2A668AD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No.</w:t>
            </w:r>
          </w:p>
        </w:tc>
        <w:tc>
          <w:tcPr>
            <w:tcW w:w="3345" w:type="pct"/>
            <w:vMerge w:val="restart"/>
            <w:tcBorders>
              <w:top w:val="single" w:sz="8" w:space="0" w:color="auto"/>
              <w:left w:val="single" w:sz="8" w:space="0" w:color="auto"/>
              <w:bottom w:val="single" w:sz="8" w:space="0" w:color="auto"/>
              <w:right w:val="single" w:sz="8" w:space="0" w:color="auto"/>
            </w:tcBorders>
            <w:shd w:val="clear" w:color="000000" w:fill="C6D9F1"/>
            <w:vAlign w:val="center"/>
            <w:hideMark/>
          </w:tcPr>
          <w:p w14:paraId="3AE8CCE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Activity</w:t>
            </w:r>
          </w:p>
        </w:tc>
        <w:tc>
          <w:tcPr>
            <w:tcW w:w="1376" w:type="pct"/>
            <w:gridSpan w:val="2"/>
            <w:tcBorders>
              <w:top w:val="single" w:sz="8" w:space="0" w:color="auto"/>
              <w:left w:val="nil"/>
              <w:bottom w:val="single" w:sz="8" w:space="0" w:color="auto"/>
              <w:right w:val="single" w:sz="8" w:space="0" w:color="000000"/>
            </w:tcBorders>
            <w:shd w:val="clear" w:color="000000" w:fill="C6D9F1"/>
            <w:vAlign w:val="center"/>
            <w:hideMark/>
          </w:tcPr>
          <w:p w14:paraId="100A2E6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Reduction of electricity losses,</w:t>
            </w:r>
          </w:p>
        </w:tc>
      </w:tr>
      <w:tr w:rsidR="008A5057" w:rsidRPr="00BD295E" w14:paraId="155A1065" w14:textId="77777777" w:rsidTr="00850333">
        <w:trPr>
          <w:trHeight w:val="315"/>
        </w:trPr>
        <w:tc>
          <w:tcPr>
            <w:tcW w:w="279"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1EE38886" w14:textId="77777777" w:rsidR="00156B3B" w:rsidRPr="00BD295E" w:rsidRDefault="00156B3B" w:rsidP="00156B3B">
            <w:pPr>
              <w:contextualSpacing/>
              <w:jc w:val="both"/>
              <w:rPr>
                <w:rFonts w:ascii="Arial" w:hAnsi="Arial" w:cs="Arial"/>
                <w:sz w:val="18"/>
                <w:szCs w:val="18"/>
                <w:lang w:val="en-US"/>
              </w:rPr>
            </w:pPr>
          </w:p>
        </w:tc>
        <w:tc>
          <w:tcPr>
            <w:tcW w:w="3345"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19F950FA" w14:textId="77777777" w:rsidR="00156B3B" w:rsidRPr="00BD295E" w:rsidRDefault="00156B3B" w:rsidP="00156B3B">
            <w:pPr>
              <w:contextualSpacing/>
              <w:jc w:val="both"/>
              <w:rPr>
                <w:rFonts w:ascii="Arial" w:hAnsi="Arial" w:cs="Arial"/>
                <w:sz w:val="18"/>
                <w:szCs w:val="18"/>
                <w:lang w:val="en-US"/>
              </w:rPr>
            </w:pPr>
          </w:p>
        </w:tc>
        <w:tc>
          <w:tcPr>
            <w:tcW w:w="1376" w:type="pct"/>
            <w:gridSpan w:val="2"/>
            <w:tcBorders>
              <w:top w:val="single" w:sz="8" w:space="0" w:color="auto"/>
              <w:left w:val="nil"/>
              <w:bottom w:val="single" w:sz="8" w:space="0" w:color="auto"/>
              <w:right w:val="single" w:sz="8" w:space="0" w:color="000000"/>
            </w:tcBorders>
            <w:shd w:val="clear" w:color="000000" w:fill="C6D9F1"/>
            <w:vAlign w:val="center"/>
            <w:hideMark/>
          </w:tcPr>
          <w:p w14:paraId="0CA4479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million kWh</w:t>
            </w:r>
          </w:p>
        </w:tc>
      </w:tr>
      <w:tr w:rsidR="008A5057" w:rsidRPr="00BD295E" w14:paraId="4A0F5502" w14:textId="77777777" w:rsidTr="00850333">
        <w:trPr>
          <w:trHeight w:val="315"/>
        </w:trPr>
        <w:tc>
          <w:tcPr>
            <w:tcW w:w="279"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3B33A532" w14:textId="77777777" w:rsidR="00156B3B" w:rsidRPr="00BD295E" w:rsidRDefault="00156B3B" w:rsidP="00156B3B">
            <w:pPr>
              <w:contextualSpacing/>
              <w:jc w:val="both"/>
              <w:rPr>
                <w:rFonts w:ascii="Arial" w:hAnsi="Arial" w:cs="Arial"/>
                <w:sz w:val="18"/>
                <w:szCs w:val="18"/>
                <w:lang w:val="en-US"/>
              </w:rPr>
            </w:pPr>
          </w:p>
        </w:tc>
        <w:tc>
          <w:tcPr>
            <w:tcW w:w="3345"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475532F9" w14:textId="77777777" w:rsidR="00156B3B" w:rsidRPr="00BD295E" w:rsidRDefault="00156B3B" w:rsidP="00156B3B">
            <w:pPr>
              <w:contextualSpacing/>
              <w:jc w:val="both"/>
              <w:rPr>
                <w:rFonts w:ascii="Arial" w:hAnsi="Arial" w:cs="Arial"/>
                <w:sz w:val="18"/>
                <w:szCs w:val="18"/>
                <w:lang w:val="en-US"/>
              </w:rPr>
            </w:pPr>
          </w:p>
        </w:tc>
        <w:tc>
          <w:tcPr>
            <w:tcW w:w="674" w:type="pct"/>
            <w:tcBorders>
              <w:top w:val="single" w:sz="8" w:space="0" w:color="auto"/>
              <w:left w:val="nil"/>
              <w:bottom w:val="single" w:sz="8" w:space="0" w:color="auto"/>
              <w:right w:val="single" w:sz="8" w:space="0" w:color="auto"/>
            </w:tcBorders>
            <w:shd w:val="clear" w:color="000000" w:fill="C6D9F1"/>
            <w:vAlign w:val="center"/>
            <w:hideMark/>
          </w:tcPr>
          <w:p w14:paraId="2A91630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2018P</w:t>
            </w:r>
          </w:p>
        </w:tc>
        <w:tc>
          <w:tcPr>
            <w:tcW w:w="702" w:type="pct"/>
            <w:tcBorders>
              <w:top w:val="single" w:sz="8" w:space="0" w:color="auto"/>
              <w:left w:val="nil"/>
              <w:bottom w:val="single" w:sz="8" w:space="0" w:color="auto"/>
              <w:right w:val="single" w:sz="8" w:space="0" w:color="auto"/>
            </w:tcBorders>
            <w:shd w:val="clear" w:color="000000" w:fill="C6D9F1"/>
            <w:vAlign w:val="center"/>
            <w:hideMark/>
          </w:tcPr>
          <w:p w14:paraId="2691FFC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2018A</w:t>
            </w:r>
          </w:p>
        </w:tc>
      </w:tr>
      <w:tr w:rsidR="008A5057" w:rsidRPr="00BD295E" w14:paraId="45EF9D7E" w14:textId="77777777" w:rsidTr="00850333">
        <w:trPr>
          <w:trHeight w:val="782"/>
        </w:trPr>
        <w:tc>
          <w:tcPr>
            <w:tcW w:w="2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93CF90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1</w:t>
            </w:r>
          </w:p>
        </w:tc>
        <w:tc>
          <w:tcPr>
            <w:tcW w:w="3345" w:type="pct"/>
            <w:tcBorders>
              <w:top w:val="single" w:sz="8" w:space="0" w:color="auto"/>
              <w:left w:val="nil"/>
              <w:bottom w:val="single" w:sz="8" w:space="0" w:color="auto"/>
              <w:right w:val="single" w:sz="8" w:space="0" w:color="auto"/>
            </w:tcBorders>
            <w:shd w:val="clear" w:color="auto" w:fill="auto"/>
            <w:vAlign w:val="center"/>
            <w:hideMark/>
          </w:tcPr>
          <w:p w14:paraId="432A707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Reduction of asymmetrical (non-uniform) phase loading</w:t>
            </w:r>
          </w:p>
        </w:tc>
        <w:tc>
          <w:tcPr>
            <w:tcW w:w="674" w:type="pct"/>
            <w:tcBorders>
              <w:top w:val="single" w:sz="8" w:space="0" w:color="auto"/>
              <w:left w:val="nil"/>
              <w:bottom w:val="single" w:sz="8" w:space="0" w:color="auto"/>
              <w:right w:val="single" w:sz="8" w:space="0" w:color="auto"/>
            </w:tcBorders>
            <w:shd w:val="clear" w:color="auto" w:fill="auto"/>
            <w:vAlign w:val="center"/>
            <w:hideMark/>
          </w:tcPr>
          <w:p w14:paraId="4E284BE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6.69</w:t>
            </w:r>
          </w:p>
        </w:tc>
        <w:tc>
          <w:tcPr>
            <w:tcW w:w="702" w:type="pct"/>
            <w:tcBorders>
              <w:top w:val="single" w:sz="8" w:space="0" w:color="auto"/>
              <w:left w:val="nil"/>
              <w:bottom w:val="single" w:sz="8" w:space="0" w:color="auto"/>
              <w:right w:val="single" w:sz="8" w:space="0" w:color="auto"/>
            </w:tcBorders>
            <w:shd w:val="clear" w:color="auto" w:fill="auto"/>
            <w:vAlign w:val="center"/>
            <w:hideMark/>
          </w:tcPr>
          <w:p w14:paraId="7AF5E21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11.26</w:t>
            </w:r>
          </w:p>
        </w:tc>
      </w:tr>
      <w:tr w:rsidR="008A5057" w:rsidRPr="00BD295E" w14:paraId="5074019E" w14:textId="77777777" w:rsidTr="00850333">
        <w:trPr>
          <w:trHeight w:val="836"/>
        </w:trPr>
        <w:tc>
          <w:tcPr>
            <w:tcW w:w="2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479BE7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w:t>
            </w:r>
          </w:p>
        </w:tc>
        <w:tc>
          <w:tcPr>
            <w:tcW w:w="3345" w:type="pct"/>
            <w:tcBorders>
              <w:top w:val="single" w:sz="8" w:space="0" w:color="auto"/>
              <w:left w:val="nil"/>
              <w:bottom w:val="single" w:sz="8" w:space="0" w:color="auto"/>
              <w:right w:val="single" w:sz="8" w:space="0" w:color="auto"/>
            </w:tcBorders>
            <w:shd w:val="clear" w:color="auto" w:fill="auto"/>
            <w:vAlign w:val="center"/>
            <w:hideMark/>
          </w:tcPr>
          <w:p w14:paraId="1D8CD75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Shutdown of transformers at substations with seasonal load</w:t>
            </w:r>
          </w:p>
        </w:tc>
        <w:tc>
          <w:tcPr>
            <w:tcW w:w="674" w:type="pct"/>
            <w:tcBorders>
              <w:top w:val="single" w:sz="8" w:space="0" w:color="auto"/>
              <w:left w:val="nil"/>
              <w:bottom w:val="single" w:sz="8" w:space="0" w:color="auto"/>
              <w:right w:val="single" w:sz="8" w:space="0" w:color="auto"/>
            </w:tcBorders>
            <w:shd w:val="clear" w:color="auto" w:fill="auto"/>
            <w:vAlign w:val="center"/>
            <w:hideMark/>
          </w:tcPr>
          <w:p w14:paraId="3F2CEA1C"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1.25</w:t>
            </w:r>
          </w:p>
        </w:tc>
        <w:tc>
          <w:tcPr>
            <w:tcW w:w="702" w:type="pct"/>
            <w:tcBorders>
              <w:top w:val="single" w:sz="8" w:space="0" w:color="auto"/>
              <w:left w:val="nil"/>
              <w:bottom w:val="single" w:sz="8" w:space="0" w:color="auto"/>
              <w:right w:val="single" w:sz="8" w:space="0" w:color="auto"/>
            </w:tcBorders>
            <w:shd w:val="clear" w:color="auto" w:fill="auto"/>
            <w:vAlign w:val="center"/>
            <w:hideMark/>
          </w:tcPr>
          <w:p w14:paraId="391E0A0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5.17</w:t>
            </w:r>
          </w:p>
        </w:tc>
      </w:tr>
      <w:tr w:rsidR="008A5057" w:rsidRPr="00BD295E" w14:paraId="5B6DCE18" w14:textId="77777777" w:rsidTr="00850333">
        <w:trPr>
          <w:trHeight w:val="820"/>
        </w:trPr>
        <w:tc>
          <w:tcPr>
            <w:tcW w:w="2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D6ED80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w:t>
            </w:r>
          </w:p>
        </w:tc>
        <w:tc>
          <w:tcPr>
            <w:tcW w:w="3345" w:type="pct"/>
            <w:tcBorders>
              <w:top w:val="single" w:sz="8" w:space="0" w:color="auto"/>
              <w:left w:val="nil"/>
              <w:bottom w:val="single" w:sz="8" w:space="0" w:color="auto"/>
              <w:right w:val="single" w:sz="8" w:space="0" w:color="auto"/>
            </w:tcBorders>
            <w:shd w:val="clear" w:color="auto" w:fill="auto"/>
            <w:vAlign w:val="center"/>
            <w:hideMark/>
          </w:tcPr>
          <w:p w14:paraId="70623EE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Shutdown of transformers in low-load conditions at substations with two or more transformers</w:t>
            </w:r>
          </w:p>
        </w:tc>
        <w:tc>
          <w:tcPr>
            <w:tcW w:w="674" w:type="pct"/>
            <w:tcBorders>
              <w:top w:val="single" w:sz="8" w:space="0" w:color="auto"/>
              <w:left w:val="nil"/>
              <w:bottom w:val="single" w:sz="8" w:space="0" w:color="auto"/>
              <w:right w:val="single" w:sz="8" w:space="0" w:color="auto"/>
            </w:tcBorders>
            <w:shd w:val="clear" w:color="auto" w:fill="auto"/>
            <w:vAlign w:val="center"/>
            <w:hideMark/>
          </w:tcPr>
          <w:p w14:paraId="04145D9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6.08</w:t>
            </w:r>
          </w:p>
        </w:tc>
        <w:tc>
          <w:tcPr>
            <w:tcW w:w="702" w:type="pct"/>
            <w:tcBorders>
              <w:top w:val="single" w:sz="8" w:space="0" w:color="auto"/>
              <w:left w:val="nil"/>
              <w:bottom w:val="single" w:sz="8" w:space="0" w:color="auto"/>
              <w:right w:val="single" w:sz="8" w:space="0" w:color="auto"/>
            </w:tcBorders>
            <w:shd w:val="clear" w:color="auto" w:fill="auto"/>
            <w:vAlign w:val="center"/>
            <w:hideMark/>
          </w:tcPr>
          <w:p w14:paraId="1C5747E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10.94</w:t>
            </w:r>
          </w:p>
        </w:tc>
      </w:tr>
      <w:tr w:rsidR="008A5057" w:rsidRPr="00BD295E" w14:paraId="47602D26" w14:textId="77777777" w:rsidTr="00850333">
        <w:trPr>
          <w:trHeight w:val="832"/>
        </w:trPr>
        <w:tc>
          <w:tcPr>
            <w:tcW w:w="2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E88478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4</w:t>
            </w:r>
          </w:p>
        </w:tc>
        <w:tc>
          <w:tcPr>
            <w:tcW w:w="3345" w:type="pct"/>
            <w:tcBorders>
              <w:top w:val="single" w:sz="8" w:space="0" w:color="auto"/>
              <w:left w:val="nil"/>
              <w:bottom w:val="single" w:sz="8" w:space="0" w:color="auto"/>
              <w:right w:val="single" w:sz="8" w:space="0" w:color="auto"/>
            </w:tcBorders>
            <w:shd w:val="clear" w:color="auto" w:fill="auto"/>
            <w:vAlign w:val="center"/>
            <w:hideMark/>
          </w:tcPr>
          <w:p w14:paraId="6D2C296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Replacement of wires on overloaded power lines</w:t>
            </w:r>
          </w:p>
        </w:tc>
        <w:tc>
          <w:tcPr>
            <w:tcW w:w="674" w:type="pct"/>
            <w:tcBorders>
              <w:top w:val="single" w:sz="8" w:space="0" w:color="auto"/>
              <w:left w:val="nil"/>
              <w:bottom w:val="single" w:sz="8" w:space="0" w:color="auto"/>
              <w:right w:val="single" w:sz="8" w:space="0" w:color="auto"/>
            </w:tcBorders>
            <w:shd w:val="clear" w:color="auto" w:fill="auto"/>
            <w:vAlign w:val="center"/>
            <w:hideMark/>
          </w:tcPr>
          <w:p w14:paraId="523E4DA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2.18</w:t>
            </w:r>
          </w:p>
        </w:tc>
        <w:tc>
          <w:tcPr>
            <w:tcW w:w="702" w:type="pct"/>
            <w:tcBorders>
              <w:top w:val="single" w:sz="8" w:space="0" w:color="auto"/>
              <w:left w:val="nil"/>
              <w:bottom w:val="single" w:sz="8" w:space="0" w:color="auto"/>
              <w:right w:val="single" w:sz="8" w:space="0" w:color="auto"/>
            </w:tcBorders>
            <w:shd w:val="clear" w:color="auto" w:fill="auto"/>
            <w:vAlign w:val="center"/>
            <w:hideMark/>
          </w:tcPr>
          <w:p w14:paraId="3B36FBA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0.98</w:t>
            </w:r>
          </w:p>
        </w:tc>
      </w:tr>
      <w:tr w:rsidR="008A5057" w:rsidRPr="00BD295E" w14:paraId="67333BFF" w14:textId="77777777" w:rsidTr="00850333">
        <w:trPr>
          <w:trHeight w:val="830"/>
        </w:trPr>
        <w:tc>
          <w:tcPr>
            <w:tcW w:w="2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4FB0E69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5</w:t>
            </w:r>
          </w:p>
        </w:tc>
        <w:tc>
          <w:tcPr>
            <w:tcW w:w="3345" w:type="pct"/>
            <w:tcBorders>
              <w:top w:val="single" w:sz="8" w:space="0" w:color="auto"/>
              <w:left w:val="nil"/>
              <w:bottom w:val="single" w:sz="8" w:space="0" w:color="auto"/>
              <w:right w:val="single" w:sz="8" w:space="0" w:color="auto"/>
            </w:tcBorders>
            <w:shd w:val="clear" w:color="auto" w:fill="auto"/>
            <w:vAlign w:val="center"/>
            <w:hideMark/>
          </w:tcPr>
          <w:p w14:paraId="508B1C40"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Replacement of overloaded, and installation and commissioning of additional, power transformers at operating substations</w:t>
            </w:r>
          </w:p>
        </w:tc>
        <w:tc>
          <w:tcPr>
            <w:tcW w:w="674" w:type="pct"/>
            <w:tcBorders>
              <w:top w:val="single" w:sz="8" w:space="0" w:color="auto"/>
              <w:left w:val="nil"/>
              <w:bottom w:val="single" w:sz="8" w:space="0" w:color="auto"/>
              <w:right w:val="single" w:sz="8" w:space="0" w:color="auto"/>
            </w:tcBorders>
            <w:shd w:val="clear" w:color="auto" w:fill="auto"/>
            <w:vAlign w:val="center"/>
            <w:hideMark/>
          </w:tcPr>
          <w:p w14:paraId="03C7A49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27.72</w:t>
            </w:r>
          </w:p>
        </w:tc>
        <w:tc>
          <w:tcPr>
            <w:tcW w:w="702" w:type="pct"/>
            <w:tcBorders>
              <w:top w:val="single" w:sz="8" w:space="0" w:color="auto"/>
              <w:left w:val="nil"/>
              <w:bottom w:val="single" w:sz="8" w:space="0" w:color="auto"/>
              <w:right w:val="single" w:sz="8" w:space="0" w:color="auto"/>
            </w:tcBorders>
            <w:shd w:val="clear" w:color="auto" w:fill="auto"/>
            <w:vAlign w:val="center"/>
            <w:hideMark/>
          </w:tcPr>
          <w:p w14:paraId="1D01C019"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29.83</w:t>
            </w:r>
          </w:p>
        </w:tc>
      </w:tr>
      <w:tr w:rsidR="008A5057" w:rsidRPr="00BD295E" w14:paraId="4F6F7558" w14:textId="77777777" w:rsidTr="00850333">
        <w:trPr>
          <w:trHeight w:val="828"/>
        </w:trPr>
        <w:tc>
          <w:tcPr>
            <w:tcW w:w="2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391995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6</w:t>
            </w:r>
          </w:p>
        </w:tc>
        <w:tc>
          <w:tcPr>
            <w:tcW w:w="3345" w:type="pct"/>
            <w:tcBorders>
              <w:top w:val="single" w:sz="8" w:space="0" w:color="auto"/>
              <w:left w:val="nil"/>
              <w:bottom w:val="single" w:sz="8" w:space="0" w:color="auto"/>
              <w:right w:val="single" w:sz="8" w:space="0" w:color="auto"/>
            </w:tcBorders>
            <w:shd w:val="clear" w:color="auto" w:fill="auto"/>
            <w:vAlign w:val="center"/>
            <w:hideMark/>
          </w:tcPr>
          <w:p w14:paraId="73B3F05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Measures to improve billing and technical electricity metering</w:t>
            </w:r>
          </w:p>
        </w:tc>
        <w:tc>
          <w:tcPr>
            <w:tcW w:w="674" w:type="pct"/>
            <w:tcBorders>
              <w:top w:val="single" w:sz="8" w:space="0" w:color="auto"/>
              <w:left w:val="nil"/>
              <w:bottom w:val="single" w:sz="8" w:space="0" w:color="auto"/>
              <w:right w:val="single" w:sz="8" w:space="0" w:color="auto"/>
            </w:tcBorders>
            <w:shd w:val="clear" w:color="auto" w:fill="auto"/>
            <w:vAlign w:val="center"/>
            <w:hideMark/>
          </w:tcPr>
          <w:p w14:paraId="591969F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105.30</w:t>
            </w:r>
          </w:p>
        </w:tc>
        <w:tc>
          <w:tcPr>
            <w:tcW w:w="702" w:type="pct"/>
            <w:tcBorders>
              <w:top w:val="single" w:sz="8" w:space="0" w:color="auto"/>
              <w:left w:val="nil"/>
              <w:bottom w:val="single" w:sz="8" w:space="0" w:color="auto"/>
              <w:right w:val="single" w:sz="8" w:space="0" w:color="auto"/>
            </w:tcBorders>
            <w:shd w:val="clear" w:color="auto" w:fill="auto"/>
            <w:vAlign w:val="center"/>
            <w:hideMark/>
          </w:tcPr>
          <w:p w14:paraId="3F021F1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108.61</w:t>
            </w:r>
          </w:p>
        </w:tc>
      </w:tr>
      <w:tr w:rsidR="008A5057" w:rsidRPr="00BD295E" w14:paraId="4C6A8BF1" w14:textId="77777777" w:rsidTr="00850333">
        <w:trPr>
          <w:trHeight w:val="699"/>
        </w:trPr>
        <w:tc>
          <w:tcPr>
            <w:tcW w:w="2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1F58F7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7</w:t>
            </w:r>
          </w:p>
        </w:tc>
        <w:tc>
          <w:tcPr>
            <w:tcW w:w="3345" w:type="pct"/>
            <w:tcBorders>
              <w:top w:val="single" w:sz="8" w:space="0" w:color="auto"/>
              <w:left w:val="nil"/>
              <w:bottom w:val="single" w:sz="8" w:space="0" w:color="auto"/>
              <w:right w:val="single" w:sz="8" w:space="0" w:color="auto"/>
            </w:tcBorders>
            <w:shd w:val="clear" w:color="auto" w:fill="auto"/>
            <w:vAlign w:val="center"/>
            <w:hideMark/>
          </w:tcPr>
          <w:p w14:paraId="448D30D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Detection of non-metered electricity consumption via raids</w:t>
            </w:r>
          </w:p>
        </w:tc>
        <w:tc>
          <w:tcPr>
            <w:tcW w:w="674" w:type="pct"/>
            <w:tcBorders>
              <w:top w:val="single" w:sz="8" w:space="0" w:color="auto"/>
              <w:left w:val="nil"/>
              <w:bottom w:val="single" w:sz="8" w:space="0" w:color="auto"/>
              <w:right w:val="single" w:sz="8" w:space="0" w:color="auto"/>
            </w:tcBorders>
            <w:shd w:val="clear" w:color="auto" w:fill="auto"/>
            <w:vAlign w:val="center"/>
            <w:hideMark/>
          </w:tcPr>
          <w:p w14:paraId="7798019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145.87</w:t>
            </w:r>
          </w:p>
        </w:tc>
        <w:tc>
          <w:tcPr>
            <w:tcW w:w="702" w:type="pct"/>
            <w:tcBorders>
              <w:top w:val="single" w:sz="8" w:space="0" w:color="auto"/>
              <w:left w:val="nil"/>
              <w:bottom w:val="single" w:sz="8" w:space="0" w:color="auto"/>
              <w:right w:val="single" w:sz="8" w:space="0" w:color="auto"/>
            </w:tcBorders>
            <w:shd w:val="clear" w:color="auto" w:fill="auto"/>
            <w:vAlign w:val="center"/>
            <w:hideMark/>
          </w:tcPr>
          <w:p w14:paraId="1D832D3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73.86</w:t>
            </w:r>
          </w:p>
        </w:tc>
      </w:tr>
      <w:tr w:rsidR="008A5057" w:rsidRPr="00BD295E" w14:paraId="28173BA1" w14:textId="77777777" w:rsidTr="00850333">
        <w:trPr>
          <w:trHeight w:val="680"/>
        </w:trPr>
        <w:tc>
          <w:tcPr>
            <w:tcW w:w="279"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E878B25" w14:textId="77777777" w:rsidR="00156B3B" w:rsidRPr="00BD295E" w:rsidRDefault="008A5057" w:rsidP="00156B3B">
            <w:pPr>
              <w:contextualSpacing/>
              <w:jc w:val="both"/>
              <w:rPr>
                <w:rFonts w:ascii="Arial" w:hAnsi="Arial" w:cs="Arial"/>
                <w:i/>
                <w:iCs/>
                <w:sz w:val="18"/>
                <w:szCs w:val="18"/>
                <w:lang w:val="en-US"/>
              </w:rPr>
            </w:pPr>
            <w:r w:rsidRPr="00BD295E">
              <w:rPr>
                <w:rFonts w:ascii="Arial" w:hAnsi="Arial" w:cs="Arial"/>
                <w:i/>
                <w:iCs/>
                <w:sz w:val="18"/>
                <w:szCs w:val="18"/>
                <w:lang w:val="en-US"/>
              </w:rPr>
              <w:t> </w:t>
            </w:r>
          </w:p>
        </w:tc>
        <w:tc>
          <w:tcPr>
            <w:tcW w:w="3345" w:type="pct"/>
            <w:tcBorders>
              <w:top w:val="single" w:sz="8" w:space="0" w:color="auto"/>
              <w:left w:val="nil"/>
              <w:bottom w:val="single" w:sz="8" w:space="0" w:color="auto"/>
              <w:right w:val="single" w:sz="8" w:space="0" w:color="auto"/>
            </w:tcBorders>
            <w:shd w:val="clear" w:color="auto" w:fill="auto"/>
            <w:vAlign w:val="center"/>
            <w:hideMark/>
          </w:tcPr>
          <w:p w14:paraId="20F1E82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iCs/>
                <w:sz w:val="18"/>
                <w:szCs w:val="18"/>
                <w:lang w:val="en-US"/>
              </w:rPr>
              <w:t>Total</w:t>
            </w:r>
          </w:p>
        </w:tc>
        <w:tc>
          <w:tcPr>
            <w:tcW w:w="674" w:type="pct"/>
            <w:tcBorders>
              <w:top w:val="single" w:sz="8" w:space="0" w:color="auto"/>
              <w:left w:val="nil"/>
              <w:bottom w:val="single" w:sz="8" w:space="0" w:color="auto"/>
              <w:right w:val="single" w:sz="8" w:space="0" w:color="auto"/>
            </w:tcBorders>
            <w:shd w:val="clear" w:color="auto" w:fill="auto"/>
            <w:vAlign w:val="center"/>
            <w:hideMark/>
          </w:tcPr>
          <w:p w14:paraId="7B64E91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295.09</w:t>
            </w:r>
          </w:p>
        </w:tc>
        <w:tc>
          <w:tcPr>
            <w:tcW w:w="702" w:type="pct"/>
            <w:tcBorders>
              <w:top w:val="single" w:sz="8" w:space="0" w:color="auto"/>
              <w:left w:val="nil"/>
              <w:bottom w:val="single" w:sz="8" w:space="0" w:color="auto"/>
              <w:right w:val="single" w:sz="8" w:space="0" w:color="auto"/>
            </w:tcBorders>
            <w:shd w:val="clear" w:color="auto" w:fill="auto"/>
            <w:vAlign w:val="center"/>
            <w:hideMark/>
          </w:tcPr>
          <w:p w14:paraId="694F73B8"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240.65</w:t>
            </w:r>
          </w:p>
        </w:tc>
      </w:tr>
    </w:tbl>
    <w:p w14:paraId="1E57448A" w14:textId="77777777" w:rsidR="00156B3B" w:rsidRPr="00BD295E" w:rsidRDefault="00156B3B" w:rsidP="00156B3B">
      <w:pPr>
        <w:ind w:firstLine="709"/>
        <w:contextualSpacing/>
        <w:jc w:val="both"/>
        <w:rPr>
          <w:rFonts w:ascii="Arial" w:hAnsi="Arial" w:cs="Arial"/>
          <w:sz w:val="18"/>
          <w:szCs w:val="18"/>
          <w:lang w:val="en-US"/>
        </w:rPr>
      </w:pPr>
    </w:p>
    <w:p w14:paraId="14ED2CB0"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Electricity losses were decreased through implementing a program for upgrading electricity metering systems and addressing objectives under electricity distribution contracts. The 18% variance between the effect in physical terms and the targets was due to the adjustments to the process of assessing the effect from organizational and technical measures, which resulted in the exclusion of additional electricity meters from the calculations.</w:t>
      </w:r>
    </w:p>
    <w:p w14:paraId="69D82B82" w14:textId="77777777" w:rsidR="00156B3B" w:rsidRPr="00BD295E" w:rsidRDefault="00156B3B" w:rsidP="00156B3B">
      <w:pPr>
        <w:ind w:firstLine="709"/>
        <w:contextualSpacing/>
        <w:jc w:val="both"/>
        <w:rPr>
          <w:rFonts w:ascii="Arial" w:hAnsi="Arial" w:cs="Arial"/>
          <w:sz w:val="18"/>
          <w:szCs w:val="18"/>
          <w:lang w:val="en-US"/>
        </w:rPr>
      </w:pPr>
      <w:bookmarkStart w:id="185" w:name="_Toc473737589"/>
      <w:bookmarkStart w:id="186" w:name="_Toc473897987"/>
      <w:bookmarkStart w:id="187" w:name="_Toc473898412"/>
      <w:bookmarkStart w:id="188" w:name="_Toc473904684"/>
    </w:p>
    <w:p w14:paraId="250A16AF"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Detection of illegal electricity consumption.</w:t>
      </w:r>
      <w:bookmarkEnd w:id="185"/>
      <w:bookmarkEnd w:id="186"/>
      <w:bookmarkEnd w:id="187"/>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1137"/>
        <w:gridCol w:w="1397"/>
        <w:gridCol w:w="1137"/>
        <w:gridCol w:w="1972"/>
        <w:gridCol w:w="1137"/>
        <w:gridCol w:w="858"/>
      </w:tblGrid>
      <w:tr w:rsidR="008A5057" w:rsidRPr="00BD295E" w14:paraId="778C140D" w14:textId="77777777" w:rsidTr="00E3510B">
        <w:trPr>
          <w:trHeight w:val="300"/>
        </w:trPr>
        <w:tc>
          <w:tcPr>
            <w:tcW w:w="890" w:type="pct"/>
            <w:vMerge w:val="restart"/>
            <w:shd w:val="clear" w:color="auto" w:fill="D5DCE4"/>
            <w:vAlign w:val="center"/>
            <w:hideMark/>
          </w:tcPr>
          <w:p w14:paraId="0F15061A"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Branch/IDGC</w:t>
            </w:r>
          </w:p>
        </w:tc>
        <w:tc>
          <w:tcPr>
            <w:tcW w:w="3035" w:type="pct"/>
            <w:gridSpan w:val="4"/>
            <w:shd w:val="clear" w:color="auto" w:fill="D5DCE4"/>
            <w:vAlign w:val="center"/>
            <w:hideMark/>
          </w:tcPr>
          <w:p w14:paraId="3497D4B5"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Non-metered electricity consumption</w:t>
            </w:r>
          </w:p>
        </w:tc>
        <w:tc>
          <w:tcPr>
            <w:tcW w:w="1075" w:type="pct"/>
            <w:gridSpan w:val="2"/>
            <w:vMerge w:val="restart"/>
            <w:shd w:val="clear" w:color="auto" w:fill="D5DCE4"/>
            <w:vAlign w:val="center"/>
            <w:hideMark/>
          </w:tcPr>
          <w:p w14:paraId="3FC8059C"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Non-contractual electricity consumption</w:t>
            </w:r>
          </w:p>
        </w:tc>
      </w:tr>
      <w:tr w:rsidR="008A5057" w:rsidRPr="00BD295E" w14:paraId="360A9C9E" w14:textId="77777777" w:rsidTr="00E3510B">
        <w:trPr>
          <w:trHeight w:val="1020"/>
        </w:trPr>
        <w:tc>
          <w:tcPr>
            <w:tcW w:w="890" w:type="pct"/>
            <w:vMerge/>
            <w:shd w:val="clear" w:color="auto" w:fill="D5DCE4"/>
            <w:vAlign w:val="center"/>
            <w:hideMark/>
          </w:tcPr>
          <w:p w14:paraId="53EA2385" w14:textId="77777777" w:rsidR="00156B3B" w:rsidRPr="00BD295E" w:rsidRDefault="00156B3B" w:rsidP="00156B3B">
            <w:pPr>
              <w:contextualSpacing/>
              <w:jc w:val="both"/>
              <w:rPr>
                <w:rFonts w:ascii="Arial" w:hAnsi="Arial" w:cs="Arial"/>
                <w:sz w:val="18"/>
                <w:szCs w:val="18"/>
                <w:lang w:val="en-US"/>
              </w:rPr>
            </w:pPr>
          </w:p>
        </w:tc>
        <w:tc>
          <w:tcPr>
            <w:tcW w:w="1364" w:type="pct"/>
            <w:gridSpan w:val="2"/>
            <w:shd w:val="clear" w:color="auto" w:fill="D5DCE4"/>
            <w:vAlign w:val="center"/>
            <w:hideMark/>
          </w:tcPr>
          <w:p w14:paraId="5861754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Amount of detected non-metered consumption</w:t>
            </w:r>
          </w:p>
        </w:tc>
        <w:tc>
          <w:tcPr>
            <w:tcW w:w="1671" w:type="pct"/>
            <w:gridSpan w:val="2"/>
            <w:shd w:val="clear" w:color="auto" w:fill="D5DCE4"/>
            <w:vAlign w:val="center"/>
            <w:hideMark/>
          </w:tcPr>
          <w:p w14:paraId="2DDC844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Amount of detected non-metered consumption included in the amount of services provided (including non-metered consumption for prior periods)</w:t>
            </w:r>
          </w:p>
        </w:tc>
        <w:tc>
          <w:tcPr>
            <w:tcW w:w="1075" w:type="pct"/>
            <w:gridSpan w:val="2"/>
            <w:vMerge/>
            <w:shd w:val="clear" w:color="auto" w:fill="D5DCE4"/>
            <w:vAlign w:val="center"/>
            <w:hideMark/>
          </w:tcPr>
          <w:p w14:paraId="7FCB51B5" w14:textId="77777777" w:rsidR="00156B3B" w:rsidRPr="00BD295E" w:rsidRDefault="00156B3B" w:rsidP="00156B3B">
            <w:pPr>
              <w:contextualSpacing/>
              <w:jc w:val="both"/>
              <w:rPr>
                <w:rFonts w:ascii="Arial" w:hAnsi="Arial" w:cs="Arial"/>
                <w:sz w:val="18"/>
                <w:szCs w:val="18"/>
                <w:lang w:val="en-US"/>
              </w:rPr>
            </w:pPr>
          </w:p>
        </w:tc>
      </w:tr>
      <w:tr w:rsidR="008A5057" w:rsidRPr="00BD295E" w14:paraId="4354FFC2" w14:textId="77777777" w:rsidTr="00E3510B">
        <w:trPr>
          <w:trHeight w:val="1123"/>
        </w:trPr>
        <w:tc>
          <w:tcPr>
            <w:tcW w:w="890" w:type="pct"/>
            <w:vMerge/>
            <w:shd w:val="clear" w:color="auto" w:fill="D5DCE4"/>
            <w:vAlign w:val="center"/>
            <w:hideMark/>
          </w:tcPr>
          <w:p w14:paraId="502729A5" w14:textId="77777777" w:rsidR="00156B3B" w:rsidRPr="00BD295E" w:rsidRDefault="00156B3B" w:rsidP="00156B3B">
            <w:pPr>
              <w:contextualSpacing/>
              <w:jc w:val="both"/>
              <w:rPr>
                <w:rFonts w:ascii="Arial" w:hAnsi="Arial" w:cs="Arial"/>
                <w:sz w:val="18"/>
                <w:szCs w:val="18"/>
                <w:lang w:val="en-US"/>
              </w:rPr>
            </w:pPr>
          </w:p>
        </w:tc>
        <w:tc>
          <w:tcPr>
            <w:tcW w:w="556" w:type="pct"/>
            <w:shd w:val="clear" w:color="auto" w:fill="D5DCE4"/>
            <w:noWrap/>
            <w:vAlign w:val="center"/>
            <w:hideMark/>
          </w:tcPr>
          <w:p w14:paraId="09758D6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million kWh</w:t>
            </w:r>
          </w:p>
        </w:tc>
        <w:tc>
          <w:tcPr>
            <w:tcW w:w="808" w:type="pct"/>
            <w:shd w:val="clear" w:color="auto" w:fill="D5DCE4"/>
            <w:vAlign w:val="center"/>
            <w:hideMark/>
          </w:tcPr>
          <w:p w14:paraId="7DBDDEC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RUB million </w:t>
            </w:r>
          </w:p>
          <w:p w14:paraId="7817C9D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net of VAT (the cost of electricity distribution services is shown)</w:t>
            </w:r>
          </w:p>
        </w:tc>
        <w:tc>
          <w:tcPr>
            <w:tcW w:w="556" w:type="pct"/>
            <w:shd w:val="clear" w:color="auto" w:fill="D5DCE4"/>
            <w:noWrap/>
            <w:vAlign w:val="center"/>
            <w:hideMark/>
          </w:tcPr>
          <w:p w14:paraId="43A6FF44"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million kWh</w:t>
            </w:r>
          </w:p>
        </w:tc>
        <w:tc>
          <w:tcPr>
            <w:tcW w:w="1115" w:type="pct"/>
            <w:shd w:val="clear" w:color="auto" w:fill="D5DCE4"/>
            <w:vAlign w:val="center"/>
            <w:hideMark/>
          </w:tcPr>
          <w:p w14:paraId="789BBC86"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RUB million </w:t>
            </w:r>
          </w:p>
          <w:p w14:paraId="099C654E"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net of VAT (the cost of electricity distribution services is shown)</w:t>
            </w:r>
          </w:p>
        </w:tc>
        <w:tc>
          <w:tcPr>
            <w:tcW w:w="556" w:type="pct"/>
            <w:shd w:val="clear" w:color="auto" w:fill="D5DCE4"/>
            <w:noWrap/>
            <w:vAlign w:val="center"/>
            <w:hideMark/>
          </w:tcPr>
          <w:p w14:paraId="4FE7284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million kWh</w:t>
            </w:r>
          </w:p>
        </w:tc>
        <w:tc>
          <w:tcPr>
            <w:tcW w:w="519" w:type="pct"/>
            <w:shd w:val="clear" w:color="auto" w:fill="D5DCE4"/>
            <w:vAlign w:val="center"/>
            <w:hideMark/>
          </w:tcPr>
          <w:p w14:paraId="72019F9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 xml:space="preserve">RUB million, net of VAT </w:t>
            </w:r>
          </w:p>
        </w:tc>
      </w:tr>
      <w:tr w:rsidR="008A5057" w:rsidRPr="00BD295E" w14:paraId="287AF714" w14:textId="77777777" w:rsidTr="00850333">
        <w:trPr>
          <w:trHeight w:val="255"/>
        </w:trPr>
        <w:tc>
          <w:tcPr>
            <w:tcW w:w="890" w:type="pct"/>
            <w:shd w:val="clear" w:color="auto" w:fill="FFFFFF"/>
            <w:noWrap/>
            <w:vAlign w:val="bottom"/>
            <w:hideMark/>
          </w:tcPr>
          <w:p w14:paraId="2EE49875" w14:textId="77777777" w:rsidR="00156B3B" w:rsidRPr="00BD295E" w:rsidRDefault="00EE5753" w:rsidP="00156B3B">
            <w:pPr>
              <w:contextualSpacing/>
              <w:jc w:val="both"/>
              <w:rPr>
                <w:rFonts w:ascii="Arial" w:hAnsi="Arial" w:cs="Arial"/>
                <w:sz w:val="18"/>
                <w:szCs w:val="18"/>
                <w:lang w:val="en-US"/>
              </w:rPr>
            </w:pPr>
            <w:r w:rsidRPr="00BD295E">
              <w:rPr>
                <w:rFonts w:ascii="Arial" w:hAnsi="Arial" w:cs="Arial"/>
                <w:sz w:val="18"/>
                <w:szCs w:val="18"/>
                <w:lang w:val="en-US"/>
              </w:rPr>
              <w:t>PJSC “Lenenergo”</w:t>
            </w:r>
          </w:p>
        </w:tc>
        <w:tc>
          <w:tcPr>
            <w:tcW w:w="556" w:type="pct"/>
            <w:shd w:val="clear" w:color="auto" w:fill="FFFFFF"/>
            <w:noWrap/>
          </w:tcPr>
          <w:p w14:paraId="12B9985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24.94</w:t>
            </w:r>
          </w:p>
        </w:tc>
        <w:tc>
          <w:tcPr>
            <w:tcW w:w="808" w:type="pct"/>
            <w:shd w:val="clear" w:color="auto" w:fill="FFFFFF"/>
            <w:noWrap/>
          </w:tcPr>
          <w:p w14:paraId="75155721"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82.31</w:t>
            </w:r>
          </w:p>
        </w:tc>
        <w:tc>
          <w:tcPr>
            <w:tcW w:w="556" w:type="pct"/>
            <w:shd w:val="clear" w:color="auto" w:fill="FFFFFF"/>
            <w:noWrap/>
          </w:tcPr>
          <w:p w14:paraId="4EBC88EB"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24.94</w:t>
            </w:r>
          </w:p>
        </w:tc>
        <w:tc>
          <w:tcPr>
            <w:tcW w:w="1115" w:type="pct"/>
            <w:shd w:val="clear" w:color="auto" w:fill="FFFFFF"/>
            <w:noWrap/>
          </w:tcPr>
          <w:p w14:paraId="31DD89FF"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82.31</w:t>
            </w:r>
          </w:p>
        </w:tc>
        <w:tc>
          <w:tcPr>
            <w:tcW w:w="556" w:type="pct"/>
            <w:shd w:val="clear" w:color="auto" w:fill="FFFFFF"/>
            <w:noWrap/>
          </w:tcPr>
          <w:p w14:paraId="1B03C153"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75.93</w:t>
            </w:r>
          </w:p>
        </w:tc>
        <w:tc>
          <w:tcPr>
            <w:tcW w:w="519" w:type="pct"/>
            <w:shd w:val="clear" w:color="auto" w:fill="FFFFFF"/>
            <w:noWrap/>
          </w:tcPr>
          <w:p w14:paraId="7A1C3DC7" w14:textId="77777777" w:rsidR="00156B3B" w:rsidRPr="00BD295E" w:rsidRDefault="008A5057" w:rsidP="00156B3B">
            <w:pPr>
              <w:contextualSpacing/>
              <w:jc w:val="both"/>
              <w:rPr>
                <w:rFonts w:ascii="Arial" w:hAnsi="Arial" w:cs="Arial"/>
                <w:sz w:val="18"/>
                <w:szCs w:val="18"/>
                <w:lang w:val="en-US"/>
              </w:rPr>
            </w:pPr>
            <w:r w:rsidRPr="00BD295E">
              <w:rPr>
                <w:rFonts w:ascii="Arial" w:hAnsi="Arial" w:cs="Arial"/>
                <w:sz w:val="18"/>
                <w:szCs w:val="18"/>
                <w:lang w:val="en-US"/>
              </w:rPr>
              <w:t>380.18</w:t>
            </w:r>
          </w:p>
        </w:tc>
      </w:tr>
    </w:tbl>
    <w:p w14:paraId="10657071" w14:textId="77777777" w:rsidR="00156B3B" w:rsidRPr="00BD295E" w:rsidRDefault="00156B3B" w:rsidP="00156B3B">
      <w:pPr>
        <w:ind w:firstLine="709"/>
        <w:contextualSpacing/>
        <w:jc w:val="both"/>
        <w:rPr>
          <w:rFonts w:ascii="Arial" w:hAnsi="Arial" w:cs="Arial"/>
          <w:sz w:val="18"/>
          <w:szCs w:val="18"/>
          <w:lang w:val="en-US"/>
        </w:rPr>
      </w:pPr>
    </w:p>
    <w:p w14:paraId="1E975F0B" w14:textId="77777777" w:rsidR="00156B3B" w:rsidRPr="00BD295E" w:rsidRDefault="008A5057" w:rsidP="000E42B1">
      <w:pPr>
        <w:contextualSpacing/>
        <w:jc w:val="both"/>
        <w:rPr>
          <w:rFonts w:ascii="Arial" w:hAnsi="Arial" w:cs="Arial"/>
          <w:sz w:val="18"/>
          <w:szCs w:val="18"/>
          <w:lang w:val="en-US"/>
        </w:rPr>
      </w:pPr>
      <w:r w:rsidRPr="00BD295E">
        <w:rPr>
          <w:rFonts w:ascii="Arial" w:hAnsi="Arial" w:cs="Arial"/>
          <w:sz w:val="18"/>
          <w:szCs w:val="18"/>
          <w:lang w:val="en-US"/>
        </w:rPr>
        <w:t xml:space="preserve">In order to assess the amount of electricity distribution services,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conducts periodic inspections of the respective facilities of its retail and corporate consumers. When conducting the inspections, the Company’s specialists record the readings from billing systems and visually inspect metering devices.</w:t>
      </w:r>
    </w:p>
    <w:p w14:paraId="3025E11E" w14:textId="77777777" w:rsidR="00075C14" w:rsidRPr="00BD295E" w:rsidRDefault="00075C14" w:rsidP="00075C14">
      <w:pPr>
        <w:rPr>
          <w:rFonts w:ascii="Arial" w:hAnsi="Arial" w:cs="Arial"/>
          <w:sz w:val="18"/>
          <w:szCs w:val="18"/>
          <w:lang w:val="en-US"/>
        </w:rPr>
      </w:pPr>
    </w:p>
    <w:p w14:paraId="383A179D" w14:textId="77777777" w:rsidR="00075C14" w:rsidRPr="00BD295E" w:rsidRDefault="008A5057" w:rsidP="008814BB">
      <w:pPr>
        <w:pStyle w:val="afffff8"/>
        <w:outlineLvl w:val="2"/>
        <w:rPr>
          <w:rFonts w:ascii="Arial" w:hAnsi="Arial" w:cs="Arial"/>
          <w:b/>
          <w:sz w:val="18"/>
          <w:szCs w:val="18"/>
          <w:lang w:val="en-US"/>
        </w:rPr>
      </w:pPr>
      <w:bookmarkStart w:id="189" w:name="_Toc506469820"/>
      <w:bookmarkStart w:id="190" w:name="_Toc509493389"/>
      <w:bookmarkStart w:id="191" w:name="_Toc509497955"/>
      <w:bookmarkStart w:id="192" w:name="_Toc509581257"/>
      <w:bookmarkStart w:id="193" w:name="_Toc510452221"/>
      <w:bookmarkStart w:id="194" w:name="_Toc5027000"/>
      <w:bookmarkStart w:id="195" w:name="_Toc5105969"/>
      <w:bookmarkStart w:id="196" w:name="_Toc5203822"/>
      <w:bookmarkStart w:id="197" w:name="_Toc6230919"/>
      <w:bookmarkStart w:id="198" w:name="_Toc7172567"/>
      <w:bookmarkStart w:id="199" w:name="_Toc7172613"/>
      <w:bookmarkStart w:id="200" w:name="_Toc95855288"/>
      <w:bookmarkStart w:id="201" w:name="_Toc95935347"/>
      <w:bookmarkEnd w:id="178"/>
      <w:bookmarkEnd w:id="179"/>
      <w:bookmarkEnd w:id="180"/>
      <w:bookmarkEnd w:id="181"/>
      <w:bookmarkEnd w:id="182"/>
      <w:r w:rsidRPr="00BD295E">
        <w:rPr>
          <w:rFonts w:ascii="Arial" w:hAnsi="Arial" w:cs="Arial"/>
          <w:b/>
          <w:sz w:val="18"/>
          <w:szCs w:val="18"/>
          <w:lang w:val="en-US"/>
        </w:rPr>
        <w:t>3.2.2. Sales of Grid Connection Services and Breakdown of Connected Capacity</w:t>
      </w:r>
      <w:bookmarkEnd w:id="189"/>
      <w:bookmarkEnd w:id="190"/>
      <w:bookmarkEnd w:id="191"/>
      <w:bookmarkEnd w:id="192"/>
      <w:bookmarkEnd w:id="193"/>
      <w:bookmarkEnd w:id="194"/>
      <w:bookmarkEnd w:id="195"/>
      <w:bookmarkEnd w:id="196"/>
      <w:bookmarkEnd w:id="197"/>
      <w:bookmarkEnd w:id="198"/>
      <w:bookmarkEnd w:id="199"/>
      <w:bookmarkEnd w:id="200"/>
      <w:bookmarkEnd w:id="201"/>
    </w:p>
    <w:p w14:paraId="27A8A21A" w14:textId="77777777" w:rsidR="008D04FE" w:rsidRPr="00BD295E" w:rsidRDefault="008A5057" w:rsidP="000E42B1">
      <w:pPr>
        <w:jc w:val="both"/>
        <w:rPr>
          <w:rFonts w:ascii="Arial" w:hAnsi="Arial" w:cs="Arial"/>
          <w:b/>
          <w:sz w:val="18"/>
          <w:szCs w:val="18"/>
          <w:lang w:val="en-US"/>
        </w:rPr>
      </w:pPr>
      <w:r w:rsidRPr="00BD295E">
        <w:rPr>
          <w:rFonts w:ascii="Arial" w:hAnsi="Arial" w:cs="Arial"/>
          <w:b/>
          <w:sz w:val="18"/>
          <w:szCs w:val="18"/>
          <w:lang w:val="en-US"/>
        </w:rPr>
        <w:t xml:space="preserve">Grid connection services </w:t>
      </w:r>
    </w:p>
    <w:p w14:paraId="0B5F7E8A" w14:textId="77777777" w:rsidR="0031297B" w:rsidRPr="00BD295E" w:rsidRDefault="0031297B" w:rsidP="0031297B">
      <w:pPr>
        <w:ind w:firstLine="709"/>
        <w:jc w:val="both"/>
        <w:rPr>
          <w:rFonts w:ascii="Arial" w:hAnsi="Arial" w:cs="Arial"/>
          <w:b/>
          <w:sz w:val="18"/>
          <w:szCs w:val="18"/>
          <w:lang w:val="en-US"/>
        </w:rPr>
      </w:pPr>
    </w:p>
    <w:p w14:paraId="6986255C" w14:textId="77777777" w:rsidR="008D04FE"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When organizing grid connection in the reporting period,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guided by the following legislative and regulatory documents: </w:t>
      </w:r>
    </w:p>
    <w:p w14:paraId="5A542139" w14:textId="77777777" w:rsidR="008D04FE" w:rsidRPr="00BD295E" w:rsidRDefault="008D04FE" w:rsidP="008D04FE">
      <w:pPr>
        <w:ind w:firstLine="709"/>
        <w:jc w:val="both"/>
        <w:rPr>
          <w:rFonts w:ascii="Arial" w:hAnsi="Arial" w:cs="Arial"/>
          <w:sz w:val="18"/>
          <w:szCs w:val="18"/>
          <w:lang w:val="en-US"/>
        </w:rPr>
      </w:pPr>
    </w:p>
    <w:p w14:paraId="688B69A3" w14:textId="77777777" w:rsidR="008D04FE" w:rsidRPr="00BD295E" w:rsidRDefault="008A5057" w:rsidP="00CA2271">
      <w:pPr>
        <w:pStyle w:val="af3"/>
        <w:numPr>
          <w:ilvl w:val="0"/>
          <w:numId w:val="106"/>
        </w:numPr>
        <w:tabs>
          <w:tab w:val="left" w:pos="1134"/>
        </w:tabs>
        <w:jc w:val="both"/>
        <w:rPr>
          <w:rFonts w:ascii="Arial" w:hAnsi="Arial" w:cs="Arial"/>
          <w:sz w:val="18"/>
          <w:szCs w:val="18"/>
          <w:lang w:val="en-US"/>
        </w:rPr>
      </w:pPr>
      <w:r w:rsidRPr="00BD295E">
        <w:rPr>
          <w:rFonts w:ascii="Arial" w:hAnsi="Arial" w:cs="Arial"/>
          <w:sz w:val="18"/>
          <w:szCs w:val="18"/>
          <w:lang w:val="en-US"/>
        </w:rPr>
        <w:t xml:space="preserve">Russian Civil Code (Article 426, Articles 779–783); </w:t>
      </w:r>
    </w:p>
    <w:p w14:paraId="47607B90" w14:textId="77777777" w:rsidR="008D04FE" w:rsidRPr="00BD295E" w:rsidRDefault="008A5057" w:rsidP="00CA2271">
      <w:pPr>
        <w:pStyle w:val="af3"/>
        <w:numPr>
          <w:ilvl w:val="0"/>
          <w:numId w:val="106"/>
        </w:numPr>
        <w:tabs>
          <w:tab w:val="left" w:pos="1134"/>
        </w:tabs>
        <w:jc w:val="both"/>
        <w:rPr>
          <w:rFonts w:ascii="Arial" w:hAnsi="Arial" w:cs="Arial"/>
          <w:sz w:val="18"/>
          <w:szCs w:val="18"/>
          <w:lang w:val="en-US"/>
        </w:rPr>
      </w:pPr>
      <w:r w:rsidRPr="00BD295E">
        <w:rPr>
          <w:rFonts w:ascii="Arial" w:hAnsi="Arial" w:cs="Arial"/>
          <w:sz w:val="18"/>
          <w:szCs w:val="18"/>
          <w:lang w:val="en-US"/>
        </w:rPr>
        <w:t xml:space="preserve">Federal Law No. 35-FZ, </w:t>
      </w:r>
      <w:r w:rsidRPr="00BD295E">
        <w:rPr>
          <w:rFonts w:ascii="Arial" w:hAnsi="Arial" w:cs="Arial"/>
          <w:i/>
          <w:iCs/>
          <w:sz w:val="18"/>
          <w:szCs w:val="18"/>
          <w:lang w:val="en-US"/>
        </w:rPr>
        <w:t>On the Electricity Industry</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March 26, 2003</w:t>
      </w:r>
    </w:p>
    <w:p w14:paraId="5B712BFC" w14:textId="77777777" w:rsidR="008D04FE" w:rsidRPr="00BD295E" w:rsidRDefault="008A5057" w:rsidP="00CA2271">
      <w:pPr>
        <w:pStyle w:val="af3"/>
        <w:numPr>
          <w:ilvl w:val="0"/>
          <w:numId w:val="106"/>
        </w:numPr>
        <w:tabs>
          <w:tab w:val="left" w:pos="1134"/>
        </w:tabs>
        <w:jc w:val="both"/>
        <w:rPr>
          <w:rFonts w:ascii="Arial" w:hAnsi="Arial" w:cs="Arial"/>
          <w:sz w:val="18"/>
          <w:szCs w:val="18"/>
          <w:lang w:val="en-US"/>
        </w:rPr>
      </w:pPr>
      <w:r w:rsidRPr="00BD295E">
        <w:rPr>
          <w:rFonts w:ascii="Arial" w:hAnsi="Arial" w:cs="Arial"/>
          <w:sz w:val="18"/>
          <w:szCs w:val="18"/>
          <w:lang w:val="en-US"/>
        </w:rPr>
        <w:t xml:space="preserve">Resolution No. 1178 of the Government of the Russian Federation, </w:t>
      </w:r>
      <w:r w:rsidRPr="00BD295E">
        <w:rPr>
          <w:rFonts w:ascii="Arial" w:hAnsi="Arial" w:cs="Arial"/>
          <w:i/>
          <w:iCs/>
          <w:sz w:val="18"/>
          <w:szCs w:val="18"/>
          <w:lang w:val="en-US"/>
        </w:rPr>
        <w:t>On Pricing with Regard to Regulated Prices (Tariffs) in the Electricity Industry</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29, 2011; </w:t>
      </w:r>
    </w:p>
    <w:p w14:paraId="1FB1593C" w14:textId="77777777" w:rsidR="008D04FE" w:rsidRPr="00BD295E" w:rsidRDefault="008A5057" w:rsidP="00CA2271">
      <w:pPr>
        <w:pStyle w:val="af3"/>
        <w:numPr>
          <w:ilvl w:val="0"/>
          <w:numId w:val="106"/>
        </w:numPr>
        <w:tabs>
          <w:tab w:val="left" w:pos="1134"/>
        </w:tabs>
        <w:jc w:val="both"/>
        <w:rPr>
          <w:rFonts w:ascii="Arial" w:hAnsi="Arial" w:cs="Arial"/>
          <w:sz w:val="18"/>
          <w:szCs w:val="18"/>
          <w:lang w:val="en-US"/>
        </w:rPr>
      </w:pPr>
      <w:r w:rsidRPr="00BD295E">
        <w:rPr>
          <w:rFonts w:ascii="Arial" w:hAnsi="Arial" w:cs="Arial"/>
          <w:sz w:val="18"/>
          <w:szCs w:val="18"/>
          <w:lang w:val="en-US"/>
        </w:rPr>
        <w:t xml:space="preserve">Order No. 209 of the FTS of Russia, </w:t>
      </w:r>
      <w:r w:rsidRPr="00BD295E">
        <w:rPr>
          <w:rFonts w:ascii="Arial" w:hAnsi="Arial" w:cs="Arial"/>
          <w:i/>
          <w:iCs/>
          <w:sz w:val="18"/>
          <w:szCs w:val="18"/>
          <w:lang w:val="en-US"/>
        </w:rPr>
        <w:t>On Approval of the Guidelines for Determining the Electric Grid Connection Fee</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11, 2012 (registered with the Ministry of Justice of Russia under No. 25948 on November 28, 2012);</w:t>
      </w:r>
    </w:p>
    <w:p w14:paraId="71B921D8" w14:textId="77777777" w:rsidR="008D04FE" w:rsidRPr="00BD295E" w:rsidRDefault="008A5057" w:rsidP="00CA2271">
      <w:pPr>
        <w:pStyle w:val="af3"/>
        <w:numPr>
          <w:ilvl w:val="0"/>
          <w:numId w:val="106"/>
        </w:numPr>
        <w:tabs>
          <w:tab w:val="left" w:pos="1134"/>
        </w:tabs>
        <w:jc w:val="both"/>
        <w:rPr>
          <w:rFonts w:ascii="Arial" w:hAnsi="Arial" w:cs="Arial"/>
          <w:sz w:val="18"/>
          <w:szCs w:val="18"/>
          <w:lang w:val="en-US"/>
        </w:rPr>
      </w:pPr>
      <w:r w:rsidRPr="00BD295E">
        <w:rPr>
          <w:rFonts w:ascii="Arial" w:hAnsi="Arial" w:cs="Arial"/>
          <w:sz w:val="18"/>
          <w:szCs w:val="18"/>
          <w:lang w:val="en-US"/>
        </w:rPr>
        <w:t xml:space="preserve">Resolution No. 861 of the Russian Government, </w:t>
      </w:r>
      <w:r w:rsidRPr="00BD295E">
        <w:rPr>
          <w:rFonts w:ascii="Arial" w:hAnsi="Arial" w:cs="Arial"/>
          <w:i/>
          <w:iCs/>
          <w:sz w:val="18"/>
          <w:szCs w:val="18"/>
          <w:lang w:val="en-US"/>
        </w:rPr>
        <w:t>On Approval of Rules for Non-Discriminatory Access to Electricity Distribution Services and Provision of Such Services, Rules for Non-discriminatory Access to Operational Dispatch Control Services in the Electricity Industry and Provision of Such Services, Rules for Non-discriminatory Access to the Services of the Wholesale Market Trade System Operator and Provision of Such Services, and Rules for Electric Grid Connection of Electricity Receiving Devices (Power Units) of Legal Entities and Individuals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2004;</w:t>
      </w:r>
    </w:p>
    <w:p w14:paraId="66544D82" w14:textId="77777777" w:rsidR="008D04FE" w:rsidRPr="00BD295E" w:rsidRDefault="008A5057" w:rsidP="00CA2271">
      <w:pPr>
        <w:pStyle w:val="af3"/>
        <w:numPr>
          <w:ilvl w:val="0"/>
          <w:numId w:val="106"/>
        </w:numPr>
        <w:tabs>
          <w:tab w:val="left" w:pos="1134"/>
        </w:tabs>
        <w:jc w:val="both"/>
        <w:rPr>
          <w:rFonts w:ascii="Arial" w:hAnsi="Arial" w:cs="Arial"/>
          <w:sz w:val="18"/>
          <w:szCs w:val="18"/>
          <w:lang w:val="en-US"/>
        </w:rPr>
      </w:pPr>
      <w:r w:rsidRPr="00BD295E">
        <w:rPr>
          <w:rFonts w:ascii="Arial" w:hAnsi="Arial" w:cs="Arial"/>
          <w:sz w:val="18"/>
          <w:szCs w:val="18"/>
          <w:lang w:val="en-US"/>
        </w:rPr>
        <w:t xml:space="preserve">Order No. 1135/17 of the Federal Antimonopoly Service, </w:t>
      </w:r>
      <w:r w:rsidRPr="00BD295E">
        <w:rPr>
          <w:rFonts w:ascii="Arial" w:hAnsi="Arial" w:cs="Arial"/>
          <w:i/>
          <w:iCs/>
          <w:sz w:val="18"/>
          <w:szCs w:val="18"/>
          <w:lang w:val="en-US"/>
        </w:rPr>
        <w:t>On approval of Guidelines for Determining the Fee for Electric Grid Connection</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August 29, 2017;</w:t>
      </w:r>
    </w:p>
    <w:p w14:paraId="4B2E5FC0" w14:textId="77777777" w:rsidR="008D04FE" w:rsidRPr="00BD295E" w:rsidRDefault="008A5057" w:rsidP="00CA2271">
      <w:pPr>
        <w:pStyle w:val="af3"/>
        <w:numPr>
          <w:ilvl w:val="0"/>
          <w:numId w:val="106"/>
        </w:numPr>
        <w:tabs>
          <w:tab w:val="left" w:pos="1134"/>
        </w:tabs>
        <w:jc w:val="both"/>
        <w:rPr>
          <w:rFonts w:ascii="Arial" w:hAnsi="Arial" w:cs="Arial"/>
          <w:sz w:val="18"/>
          <w:szCs w:val="18"/>
          <w:lang w:val="en-US"/>
        </w:rPr>
      </w:pPr>
      <w:r w:rsidRPr="00BD295E">
        <w:rPr>
          <w:rFonts w:ascii="Arial" w:hAnsi="Arial" w:cs="Arial"/>
          <w:i/>
          <w:iCs/>
          <w:sz w:val="18"/>
          <w:szCs w:val="18"/>
          <w:lang w:val="en-US"/>
        </w:rPr>
        <w:t>On establishing the fee for grid connection of electricity receiving devices with a maximum capacity not exceeding 15 kW inclusive (taking into account the capacity previously connected at the relevant connection point), standardized tariff rates, rates per unit of maximum capacity, formulas for calculating the fee for grid connection of electricity receiving devices of electricity consumers, electric grid facilities owned by grid organizations and other entities, and to electric grids of grid organizations of the Leningrad Region in the Leningrad Region for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26, 2017;</w:t>
      </w:r>
    </w:p>
    <w:p w14:paraId="4D1C1554" w14:textId="77777777" w:rsidR="008D04FE" w:rsidRPr="00BD295E" w:rsidRDefault="008A5057" w:rsidP="00CA2271">
      <w:pPr>
        <w:numPr>
          <w:ilvl w:val="0"/>
          <w:numId w:val="106"/>
        </w:numPr>
        <w:tabs>
          <w:tab w:val="left" w:pos="1134"/>
        </w:tabs>
        <w:contextualSpacing/>
        <w:jc w:val="both"/>
        <w:rPr>
          <w:rFonts w:ascii="Arial" w:hAnsi="Arial" w:cs="Arial"/>
          <w:sz w:val="18"/>
          <w:szCs w:val="18"/>
          <w:lang w:val="en-US"/>
        </w:rPr>
      </w:pPr>
      <w:r w:rsidRPr="00BD295E">
        <w:rPr>
          <w:rFonts w:ascii="Arial" w:hAnsi="Arial" w:cs="Arial"/>
          <w:sz w:val="18"/>
          <w:szCs w:val="18"/>
          <w:lang w:val="en-US"/>
        </w:rPr>
        <w:t xml:space="preserve">Directive No. 253-r of the Tariffs Committee of Saint Petersburg, </w:t>
      </w:r>
      <w:r w:rsidRPr="00BD295E">
        <w:rPr>
          <w:rFonts w:ascii="Arial" w:hAnsi="Arial" w:cs="Arial"/>
          <w:i/>
          <w:iCs/>
          <w:sz w:val="18"/>
          <w:szCs w:val="18"/>
          <w:lang w:val="en-US"/>
        </w:rPr>
        <w:t xml:space="preserve">On setting standardized tariff rates, rates per unit of maximum capacity, formulas for calculating the fee for electric grid connection to </w:t>
      </w:r>
      <w:r w:rsidR="000D659F" w:rsidRPr="00BD295E">
        <w:rPr>
          <w:rFonts w:ascii="Arial" w:hAnsi="Arial" w:cs="Arial"/>
          <w:i/>
          <w:iCs/>
          <w:sz w:val="18"/>
          <w:szCs w:val="18"/>
          <w:lang w:val="en-US"/>
        </w:rPr>
        <w:t>local grids</w:t>
      </w:r>
      <w:r w:rsidRPr="00BD295E">
        <w:rPr>
          <w:rFonts w:ascii="Arial" w:hAnsi="Arial" w:cs="Arial"/>
          <w:i/>
          <w:iCs/>
          <w:sz w:val="18"/>
          <w:szCs w:val="18"/>
          <w:lang w:val="en-US"/>
        </w:rPr>
        <w:t xml:space="preserve"> in Saint Petersburg for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w:t>
      </w:r>
      <w:bookmarkStart w:id="202" w:name="_GoBack"/>
      <w:bookmarkEnd w:id="202"/>
    </w:p>
    <w:p w14:paraId="496B036B" w14:textId="77777777" w:rsidR="008D04FE" w:rsidRPr="00BD295E" w:rsidRDefault="008A5057" w:rsidP="00CA2271">
      <w:pPr>
        <w:numPr>
          <w:ilvl w:val="0"/>
          <w:numId w:val="106"/>
        </w:numPr>
        <w:tabs>
          <w:tab w:val="left" w:pos="1134"/>
        </w:tabs>
        <w:contextualSpacing/>
        <w:jc w:val="both"/>
        <w:rPr>
          <w:rFonts w:ascii="Arial" w:hAnsi="Arial" w:cs="Arial"/>
          <w:sz w:val="18"/>
          <w:szCs w:val="18"/>
          <w:lang w:val="en-US"/>
        </w:rPr>
      </w:pPr>
      <w:r w:rsidRPr="00BD295E">
        <w:rPr>
          <w:rFonts w:ascii="Arial" w:hAnsi="Arial" w:cs="Arial"/>
          <w:sz w:val="18"/>
          <w:szCs w:val="18"/>
          <w:lang w:val="en-US"/>
        </w:rPr>
        <w:t xml:space="preserve">Resolution No. 977 of the Russian Government, </w:t>
      </w:r>
      <w:r w:rsidRPr="00BD295E">
        <w:rPr>
          <w:rFonts w:ascii="Arial" w:hAnsi="Arial" w:cs="Arial"/>
          <w:i/>
          <w:iCs/>
          <w:sz w:val="18"/>
          <w:szCs w:val="18"/>
          <w:lang w:val="en-US"/>
        </w:rPr>
        <w:t>On investment programs of the electricity industry entities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17, 2009;</w:t>
      </w:r>
    </w:p>
    <w:p w14:paraId="296EF9C9" w14:textId="4C24599A" w:rsidR="008D04FE" w:rsidRPr="00BD295E" w:rsidRDefault="008A5057" w:rsidP="00CA2271">
      <w:pPr>
        <w:numPr>
          <w:ilvl w:val="0"/>
          <w:numId w:val="106"/>
        </w:numPr>
        <w:tabs>
          <w:tab w:val="left" w:pos="1134"/>
        </w:tabs>
        <w:contextualSpacing/>
        <w:jc w:val="both"/>
        <w:rPr>
          <w:rFonts w:ascii="Arial" w:hAnsi="Arial" w:cs="Arial"/>
          <w:sz w:val="18"/>
          <w:szCs w:val="18"/>
          <w:lang w:val="en-US"/>
        </w:rPr>
      </w:pPr>
      <w:r w:rsidRPr="00BD295E">
        <w:rPr>
          <w:rFonts w:ascii="Arial" w:hAnsi="Arial" w:cs="Arial"/>
          <w:sz w:val="18"/>
          <w:szCs w:val="18"/>
          <w:lang w:val="en-US"/>
        </w:rPr>
        <w:t xml:space="preserve">Resolution No. 823 of the Russian Government, </w:t>
      </w:r>
      <w:r w:rsidRPr="00BD295E">
        <w:rPr>
          <w:rFonts w:ascii="Arial" w:hAnsi="Arial" w:cs="Arial"/>
          <w:i/>
          <w:iCs/>
          <w:sz w:val="18"/>
          <w:szCs w:val="18"/>
          <w:lang w:val="en-US"/>
        </w:rPr>
        <w:t xml:space="preserve">On the Electricity Industry </w:t>
      </w:r>
      <w:r w:rsidR="004F729F" w:rsidRPr="00BD295E">
        <w:rPr>
          <w:rFonts w:ascii="Arial" w:hAnsi="Arial" w:cs="Arial"/>
          <w:i/>
          <w:iCs/>
          <w:sz w:val="18"/>
          <w:szCs w:val="18"/>
          <w:lang w:val="en-US"/>
        </w:rPr>
        <w:t>Long-</w:t>
      </w:r>
      <w:r w:rsidR="003D49A2" w:rsidRPr="00BD295E">
        <w:rPr>
          <w:rFonts w:ascii="Arial" w:hAnsi="Arial" w:cs="Arial"/>
          <w:i/>
          <w:iCs/>
          <w:sz w:val="18"/>
          <w:szCs w:val="18"/>
          <w:lang w:val="en-US"/>
        </w:rPr>
        <w:t>term Development</w:t>
      </w:r>
      <w:r w:rsidRPr="00BD295E">
        <w:rPr>
          <w:rFonts w:ascii="Arial" w:hAnsi="Arial" w:cs="Arial"/>
          <w:i/>
          <w:iCs/>
          <w:sz w:val="18"/>
          <w:szCs w:val="18"/>
          <w:lang w:val="en-US"/>
        </w:rPr>
        <w:t xml:space="preserve"> Patterns and Programs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17, 2009;</w:t>
      </w:r>
    </w:p>
    <w:p w14:paraId="21716CA9" w14:textId="77777777" w:rsidR="008D04FE" w:rsidRPr="00BD295E" w:rsidRDefault="008A5057" w:rsidP="00CA2271">
      <w:pPr>
        <w:numPr>
          <w:ilvl w:val="0"/>
          <w:numId w:val="106"/>
        </w:numPr>
        <w:tabs>
          <w:tab w:val="left" w:pos="1134"/>
        </w:tabs>
        <w:contextualSpacing/>
        <w:jc w:val="both"/>
        <w:rPr>
          <w:rFonts w:ascii="Arial" w:hAnsi="Arial" w:cs="Arial"/>
          <w:sz w:val="18"/>
          <w:szCs w:val="18"/>
          <w:lang w:val="en-US"/>
        </w:rPr>
      </w:pPr>
      <w:r w:rsidRPr="00BD295E">
        <w:rPr>
          <w:rFonts w:ascii="Arial" w:hAnsi="Arial" w:cs="Arial"/>
          <w:sz w:val="18"/>
          <w:szCs w:val="18"/>
          <w:lang w:val="en-US"/>
        </w:rPr>
        <w:t xml:space="preserve">Order No. 186 of the Russian Ministry of Energy, </w:t>
      </w:r>
      <w:r w:rsidRPr="00BD295E">
        <w:rPr>
          <w:rFonts w:ascii="Arial" w:hAnsi="Arial" w:cs="Arial"/>
          <w:i/>
          <w:iCs/>
          <w:sz w:val="18"/>
          <w:szCs w:val="18"/>
          <w:lang w:val="en-US"/>
        </w:rPr>
        <w:t>On the Unified Service Quality Standards for Grid Organizations</w:t>
      </w:r>
      <w:r w:rsidRPr="00BD295E">
        <w:rPr>
          <w:rFonts w:ascii="Arial" w:hAnsi="Arial" w:cs="Arial"/>
          <w:sz w:val="18"/>
          <w:szCs w:val="18"/>
          <w:lang w:val="en-US"/>
        </w:rPr>
        <w:t xml:space="preserve"> </w:t>
      </w:r>
      <w:r w:rsidRPr="00BD295E">
        <w:rPr>
          <w:rFonts w:ascii="Arial" w:hAnsi="Arial" w:cs="Arial"/>
          <w:i/>
          <w:iCs/>
          <w:sz w:val="18"/>
          <w:szCs w:val="18"/>
          <w:lang w:val="en-US"/>
        </w:rPr>
        <w:t>Servicing Their Customers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15, 2014;</w:t>
      </w:r>
    </w:p>
    <w:p w14:paraId="176264AA" w14:textId="77777777" w:rsidR="008D04FE" w:rsidRPr="00BD295E" w:rsidRDefault="008A5057" w:rsidP="00CA2271">
      <w:pPr>
        <w:numPr>
          <w:ilvl w:val="0"/>
          <w:numId w:val="106"/>
        </w:numPr>
        <w:tabs>
          <w:tab w:val="left" w:pos="1134"/>
        </w:tabs>
        <w:contextualSpacing/>
        <w:jc w:val="both"/>
        <w:rPr>
          <w:rFonts w:ascii="Arial" w:hAnsi="Arial" w:cs="Arial"/>
          <w:sz w:val="18"/>
          <w:szCs w:val="18"/>
          <w:lang w:val="en-US"/>
        </w:rPr>
      </w:pPr>
      <w:r w:rsidRPr="00BD295E">
        <w:rPr>
          <w:rFonts w:ascii="Arial" w:hAnsi="Arial" w:cs="Arial"/>
          <w:sz w:val="18"/>
          <w:szCs w:val="18"/>
          <w:lang w:val="en-US"/>
        </w:rPr>
        <w:t xml:space="preserve">Resolution No. 24 of the Russian Government, </w:t>
      </w:r>
      <w:r w:rsidRPr="00BD295E">
        <w:rPr>
          <w:rFonts w:ascii="Arial" w:hAnsi="Arial" w:cs="Arial"/>
          <w:i/>
          <w:iCs/>
          <w:sz w:val="18"/>
          <w:szCs w:val="18"/>
          <w:lang w:val="en-US"/>
        </w:rPr>
        <w:t>On approval of disclosure standards by wholesale and retail electricity market players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21, 2004;</w:t>
      </w:r>
    </w:p>
    <w:p w14:paraId="34BC9C5C" w14:textId="77777777" w:rsidR="008D04FE" w:rsidRPr="00BD295E" w:rsidRDefault="008A5057" w:rsidP="00CA2271">
      <w:pPr>
        <w:numPr>
          <w:ilvl w:val="0"/>
          <w:numId w:val="106"/>
        </w:numPr>
        <w:tabs>
          <w:tab w:val="left" w:pos="1134"/>
        </w:tabs>
        <w:contextualSpacing/>
        <w:jc w:val="both"/>
        <w:rPr>
          <w:rFonts w:ascii="Arial" w:hAnsi="Arial" w:cs="Arial"/>
          <w:sz w:val="18"/>
          <w:szCs w:val="18"/>
          <w:lang w:val="en-US"/>
        </w:rPr>
      </w:pPr>
      <w:r w:rsidRPr="00BD295E">
        <w:rPr>
          <w:rFonts w:ascii="Arial" w:hAnsi="Arial" w:cs="Arial"/>
          <w:sz w:val="18"/>
          <w:szCs w:val="18"/>
          <w:lang w:val="en-US"/>
        </w:rPr>
        <w:t xml:space="preserve">Order No. 1042 of the Russian Ministry of Energy, </w:t>
      </w:r>
      <w:r w:rsidRPr="00BD295E">
        <w:rPr>
          <w:rFonts w:ascii="Arial" w:hAnsi="Arial" w:cs="Arial"/>
          <w:i/>
          <w:iCs/>
          <w:sz w:val="18"/>
          <w:szCs w:val="18"/>
          <w:lang w:val="en-US"/>
        </w:rPr>
        <w:t xml:space="preserve">On approval of the investment program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for 2016–2020</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28, 2015;</w:t>
      </w:r>
    </w:p>
    <w:p w14:paraId="42C73DA7" w14:textId="77777777" w:rsidR="008D04FE" w:rsidRPr="00BD295E" w:rsidRDefault="008A5057" w:rsidP="00CA2271">
      <w:pPr>
        <w:numPr>
          <w:ilvl w:val="0"/>
          <w:numId w:val="106"/>
        </w:numPr>
        <w:tabs>
          <w:tab w:val="left" w:pos="1134"/>
        </w:tabs>
        <w:contextualSpacing/>
        <w:jc w:val="both"/>
        <w:rPr>
          <w:rFonts w:ascii="Arial" w:hAnsi="Arial" w:cs="Arial"/>
          <w:sz w:val="18"/>
          <w:szCs w:val="18"/>
          <w:lang w:val="en-US"/>
        </w:rPr>
      </w:pPr>
      <w:r w:rsidRPr="00BD295E">
        <w:rPr>
          <w:rFonts w:ascii="Arial" w:hAnsi="Arial" w:cs="Arial"/>
          <w:sz w:val="18"/>
          <w:szCs w:val="18"/>
          <w:lang w:val="en-US"/>
        </w:rPr>
        <w:t xml:space="preserve">Directive No. 1144-r of the Russian Government, </w:t>
      </w:r>
      <w:r w:rsidRPr="00BD295E">
        <w:rPr>
          <w:rFonts w:ascii="Arial" w:hAnsi="Arial" w:cs="Arial"/>
          <w:i/>
          <w:iCs/>
          <w:sz w:val="18"/>
          <w:szCs w:val="18"/>
          <w:lang w:val="en-US"/>
        </w:rPr>
        <w:t>On approval of the Energy Infrastructure Accessibility Improvement road map</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30, 2012 (revised on September 14, 2016).</w:t>
      </w:r>
    </w:p>
    <w:p w14:paraId="70950D67" w14:textId="77777777" w:rsidR="008D04FE" w:rsidRPr="00BD295E" w:rsidRDefault="008D04FE" w:rsidP="008D04FE">
      <w:pPr>
        <w:rPr>
          <w:rFonts w:ascii="Arial" w:hAnsi="Arial" w:cs="Arial"/>
          <w:sz w:val="18"/>
          <w:szCs w:val="18"/>
          <w:lang w:val="en-US"/>
        </w:rPr>
      </w:pPr>
    </w:p>
    <w:p w14:paraId="21300B2D" w14:textId="77777777" w:rsidR="008D04FE" w:rsidRPr="00BD295E" w:rsidRDefault="008A5057" w:rsidP="000E42B1">
      <w:pPr>
        <w:jc w:val="both"/>
        <w:rPr>
          <w:rFonts w:ascii="Arial" w:hAnsi="Arial" w:cs="Arial"/>
          <w:b/>
          <w:sz w:val="18"/>
          <w:szCs w:val="18"/>
          <w:lang w:val="en-US"/>
        </w:rPr>
      </w:pPr>
      <w:r w:rsidRPr="00BD295E">
        <w:rPr>
          <w:rFonts w:ascii="Arial" w:hAnsi="Arial" w:cs="Arial"/>
          <w:b/>
          <w:sz w:val="18"/>
          <w:szCs w:val="18"/>
          <w:lang w:val="en-US"/>
        </w:rPr>
        <w:t>Sales of Grid Connection Services and Breakdown of Connected Capacity</w:t>
      </w:r>
    </w:p>
    <w:p w14:paraId="4B298068" w14:textId="77777777" w:rsidR="008D04FE"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completed grid connection under 30,108 contracts for 943 MW, slightly down by 7.6% year-on-year in physical terms (excluding temporarily connected facilities). The number of contracts closed in the Leningrad Region in the total amount of completed obligations totaled 74% (22,401 contracts for 532 MW). </w:t>
      </w:r>
    </w:p>
    <w:p w14:paraId="1230056D" w14:textId="77777777" w:rsidR="008D04FE"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In 2018, the amount of connected capacity remained flat year-on-year (net of connection of </w:t>
      </w:r>
      <w:r w:rsidR="00DE61D5" w:rsidRPr="00BD295E">
        <w:rPr>
          <w:rFonts w:ascii="Arial" w:hAnsi="Arial" w:cs="Arial"/>
          <w:sz w:val="18"/>
          <w:szCs w:val="18"/>
          <w:lang w:val="en-US"/>
        </w:rPr>
        <w:t>power generation facilities</w:t>
      </w:r>
      <w:r w:rsidRPr="00BD295E">
        <w:rPr>
          <w:rFonts w:ascii="Arial" w:hAnsi="Arial" w:cs="Arial"/>
          <w:sz w:val="18"/>
          <w:szCs w:val="18"/>
          <w:lang w:val="en-US"/>
        </w:rPr>
        <w:t xml:space="preserve">) totaling 943 MW in absolute terms. </w:t>
      </w:r>
    </w:p>
    <w:p w14:paraId="574CF2CC" w14:textId="77777777" w:rsidR="000E42B1" w:rsidRPr="00BD295E" w:rsidRDefault="000E42B1" w:rsidP="000E42B1">
      <w:pPr>
        <w:tabs>
          <w:tab w:val="left" w:pos="709"/>
          <w:tab w:val="left" w:pos="851"/>
        </w:tabs>
        <w:jc w:val="both"/>
        <w:rPr>
          <w:rFonts w:ascii="Arial" w:hAnsi="Arial" w:cs="Arial"/>
          <w:sz w:val="18"/>
          <w:szCs w:val="18"/>
          <w:lang w:val="en-US"/>
        </w:rPr>
      </w:pPr>
    </w:p>
    <w:p w14:paraId="3E0B71E6" w14:textId="77777777" w:rsidR="008D04FE" w:rsidRPr="00BD295E" w:rsidRDefault="00E50ECE" w:rsidP="000E42B1">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G</w:t>
      </w:r>
      <w:r w:rsidR="008A5057" w:rsidRPr="00BD295E">
        <w:rPr>
          <w:rFonts w:ascii="Arial" w:hAnsi="Arial" w:cs="Arial"/>
          <w:sz w:val="18"/>
          <w:szCs w:val="18"/>
          <w:lang w:val="en-US"/>
        </w:rPr>
        <w:t>rid connection contracts</w:t>
      </w:r>
      <w:r w:rsidRPr="00BD295E">
        <w:rPr>
          <w:rFonts w:ascii="Arial" w:hAnsi="Arial" w:cs="Arial"/>
          <w:sz w:val="18"/>
          <w:szCs w:val="18"/>
          <w:lang w:val="en-US"/>
        </w:rPr>
        <w:t xml:space="preserve"> fulfilled</w:t>
      </w:r>
      <w:r w:rsidR="008A5057" w:rsidRPr="00BD295E">
        <w:rPr>
          <w:rFonts w:ascii="Arial" w:hAnsi="Arial" w:cs="Arial"/>
          <w:sz w:val="18"/>
          <w:szCs w:val="18"/>
          <w:lang w:val="en-US"/>
        </w:rPr>
        <w:t>*</w:t>
      </w:r>
    </w:p>
    <w:tbl>
      <w:tblPr>
        <w:tblW w:w="496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924"/>
        <w:gridCol w:w="880"/>
        <w:gridCol w:w="952"/>
        <w:gridCol w:w="882"/>
        <w:gridCol w:w="945"/>
        <w:gridCol w:w="870"/>
        <w:gridCol w:w="874"/>
        <w:gridCol w:w="865"/>
      </w:tblGrid>
      <w:tr w:rsidR="008A5057" w:rsidRPr="00BD295E" w14:paraId="7F88206C" w14:textId="77777777" w:rsidTr="00D108C0">
        <w:trPr>
          <w:trHeight w:val="282"/>
        </w:trPr>
        <w:tc>
          <w:tcPr>
            <w:tcW w:w="1125" w:type="pct"/>
            <w:shd w:val="clear" w:color="auto" w:fill="auto"/>
            <w:hideMark/>
          </w:tcPr>
          <w:p w14:paraId="581D4CB6" w14:textId="77777777" w:rsidR="008D04FE" w:rsidRPr="00BD295E" w:rsidRDefault="008D04FE" w:rsidP="00D108C0">
            <w:pPr>
              <w:jc w:val="both"/>
              <w:rPr>
                <w:rFonts w:ascii="Arial" w:hAnsi="Arial" w:cs="Arial"/>
                <w:bCs/>
                <w:sz w:val="18"/>
                <w:szCs w:val="18"/>
                <w:lang w:val="en-US"/>
              </w:rPr>
            </w:pPr>
          </w:p>
        </w:tc>
        <w:tc>
          <w:tcPr>
            <w:tcW w:w="972" w:type="pct"/>
            <w:gridSpan w:val="2"/>
            <w:shd w:val="clear" w:color="auto" w:fill="auto"/>
            <w:hideMark/>
          </w:tcPr>
          <w:p w14:paraId="7714B8E2"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2016</w:t>
            </w:r>
          </w:p>
        </w:tc>
        <w:tc>
          <w:tcPr>
            <w:tcW w:w="988" w:type="pct"/>
            <w:gridSpan w:val="2"/>
            <w:shd w:val="clear" w:color="auto" w:fill="auto"/>
            <w:hideMark/>
          </w:tcPr>
          <w:p w14:paraId="71059CFA"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2017</w:t>
            </w:r>
          </w:p>
        </w:tc>
        <w:tc>
          <w:tcPr>
            <w:tcW w:w="978" w:type="pct"/>
            <w:gridSpan w:val="2"/>
            <w:shd w:val="clear" w:color="auto" w:fill="auto"/>
          </w:tcPr>
          <w:p w14:paraId="7F640BCB"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2018</w:t>
            </w:r>
          </w:p>
        </w:tc>
        <w:tc>
          <w:tcPr>
            <w:tcW w:w="937" w:type="pct"/>
            <w:gridSpan w:val="2"/>
            <w:shd w:val="clear" w:color="auto" w:fill="auto"/>
          </w:tcPr>
          <w:p w14:paraId="3C255705" w14:textId="77777777" w:rsidR="008D04FE" w:rsidRPr="00BD295E" w:rsidRDefault="00C064D1" w:rsidP="00D108C0">
            <w:pPr>
              <w:jc w:val="center"/>
              <w:rPr>
                <w:rFonts w:ascii="Arial" w:hAnsi="Arial" w:cs="Arial"/>
                <w:bCs/>
                <w:sz w:val="18"/>
                <w:szCs w:val="18"/>
                <w:lang w:val="en-US"/>
              </w:rPr>
            </w:pPr>
            <w:r w:rsidRPr="00BD295E">
              <w:rPr>
                <w:rFonts w:ascii="Arial" w:hAnsi="Arial" w:cs="Arial"/>
                <w:bCs/>
                <w:sz w:val="18"/>
                <w:szCs w:val="18"/>
                <w:lang w:val="en-US"/>
              </w:rPr>
              <w:t>2018 vs. 2017</w:t>
            </w:r>
            <w:r w:rsidR="008A5057" w:rsidRPr="00BD295E">
              <w:rPr>
                <w:rFonts w:ascii="Arial" w:hAnsi="Arial" w:cs="Arial"/>
                <w:bCs/>
                <w:sz w:val="18"/>
                <w:szCs w:val="18"/>
                <w:lang w:val="en-US"/>
              </w:rPr>
              <w:t>, %</w:t>
            </w:r>
          </w:p>
        </w:tc>
      </w:tr>
      <w:tr w:rsidR="008A5057" w:rsidRPr="00BD295E" w14:paraId="79147C15" w14:textId="77777777" w:rsidTr="00D108C0">
        <w:trPr>
          <w:trHeight w:val="282"/>
        </w:trPr>
        <w:tc>
          <w:tcPr>
            <w:tcW w:w="1125" w:type="pct"/>
            <w:shd w:val="clear" w:color="auto" w:fill="auto"/>
            <w:hideMark/>
          </w:tcPr>
          <w:p w14:paraId="2450C5A0" w14:textId="77777777" w:rsidR="008D04FE" w:rsidRPr="00BD295E" w:rsidRDefault="008D04FE" w:rsidP="00D108C0">
            <w:pPr>
              <w:jc w:val="both"/>
              <w:rPr>
                <w:rFonts w:ascii="Arial" w:hAnsi="Arial" w:cs="Arial"/>
                <w:bCs/>
                <w:sz w:val="18"/>
                <w:szCs w:val="18"/>
                <w:lang w:val="en-US"/>
              </w:rPr>
            </w:pPr>
          </w:p>
        </w:tc>
        <w:tc>
          <w:tcPr>
            <w:tcW w:w="498" w:type="pct"/>
            <w:shd w:val="clear" w:color="auto" w:fill="auto"/>
            <w:hideMark/>
          </w:tcPr>
          <w:p w14:paraId="49BA3E4D"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Units</w:t>
            </w:r>
          </w:p>
        </w:tc>
        <w:tc>
          <w:tcPr>
            <w:tcW w:w="474" w:type="pct"/>
            <w:shd w:val="clear" w:color="auto" w:fill="auto"/>
          </w:tcPr>
          <w:p w14:paraId="08F4EC23"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MW</w:t>
            </w:r>
          </w:p>
        </w:tc>
        <w:tc>
          <w:tcPr>
            <w:tcW w:w="513" w:type="pct"/>
            <w:shd w:val="clear" w:color="auto" w:fill="auto"/>
            <w:hideMark/>
          </w:tcPr>
          <w:p w14:paraId="3713BE3A"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Units</w:t>
            </w:r>
          </w:p>
        </w:tc>
        <w:tc>
          <w:tcPr>
            <w:tcW w:w="475" w:type="pct"/>
            <w:shd w:val="clear" w:color="auto" w:fill="auto"/>
          </w:tcPr>
          <w:p w14:paraId="0B7583CD"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MW</w:t>
            </w:r>
          </w:p>
        </w:tc>
        <w:tc>
          <w:tcPr>
            <w:tcW w:w="509" w:type="pct"/>
            <w:shd w:val="clear" w:color="auto" w:fill="auto"/>
          </w:tcPr>
          <w:p w14:paraId="364E02F3"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Units</w:t>
            </w:r>
          </w:p>
        </w:tc>
        <w:tc>
          <w:tcPr>
            <w:tcW w:w="469" w:type="pct"/>
            <w:shd w:val="clear" w:color="auto" w:fill="auto"/>
          </w:tcPr>
          <w:p w14:paraId="69D3F5F2"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MW</w:t>
            </w:r>
          </w:p>
        </w:tc>
        <w:tc>
          <w:tcPr>
            <w:tcW w:w="471" w:type="pct"/>
            <w:shd w:val="clear" w:color="auto" w:fill="auto"/>
          </w:tcPr>
          <w:p w14:paraId="038F44AC"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Units</w:t>
            </w:r>
          </w:p>
        </w:tc>
        <w:tc>
          <w:tcPr>
            <w:tcW w:w="466" w:type="pct"/>
            <w:shd w:val="clear" w:color="auto" w:fill="auto"/>
          </w:tcPr>
          <w:p w14:paraId="2A4A2259" w14:textId="77777777" w:rsidR="008D04FE" w:rsidRPr="00BD295E" w:rsidRDefault="008A5057" w:rsidP="00D108C0">
            <w:pPr>
              <w:jc w:val="center"/>
              <w:rPr>
                <w:rFonts w:ascii="Arial" w:hAnsi="Arial" w:cs="Arial"/>
                <w:bCs/>
                <w:sz w:val="18"/>
                <w:szCs w:val="18"/>
                <w:lang w:val="en-US"/>
              </w:rPr>
            </w:pPr>
            <w:r w:rsidRPr="00BD295E">
              <w:rPr>
                <w:rFonts w:ascii="Arial" w:hAnsi="Arial" w:cs="Arial"/>
                <w:bCs/>
                <w:sz w:val="18"/>
                <w:szCs w:val="18"/>
                <w:lang w:val="en-US"/>
              </w:rPr>
              <w:t>MW</w:t>
            </w:r>
          </w:p>
        </w:tc>
      </w:tr>
      <w:tr w:rsidR="008A5057" w:rsidRPr="00BD295E" w14:paraId="6DA87986" w14:textId="77777777" w:rsidTr="00D108C0">
        <w:trPr>
          <w:trHeight w:val="252"/>
        </w:trPr>
        <w:tc>
          <w:tcPr>
            <w:tcW w:w="1125" w:type="pct"/>
            <w:shd w:val="clear" w:color="auto" w:fill="auto"/>
            <w:hideMark/>
          </w:tcPr>
          <w:p w14:paraId="21E923F9" w14:textId="77777777" w:rsidR="008D04FE" w:rsidRPr="00BD295E" w:rsidRDefault="00EE5753" w:rsidP="00D108C0">
            <w:pPr>
              <w:jc w:val="center"/>
              <w:rPr>
                <w:rFonts w:ascii="Arial" w:hAnsi="Arial" w:cs="Arial"/>
                <w:sz w:val="18"/>
                <w:szCs w:val="18"/>
                <w:lang w:val="en-US"/>
              </w:rPr>
            </w:pPr>
            <w:r w:rsidRPr="00BD295E">
              <w:rPr>
                <w:rFonts w:ascii="Arial" w:hAnsi="Arial" w:cs="Arial"/>
                <w:sz w:val="18"/>
                <w:szCs w:val="18"/>
                <w:lang w:val="en-US"/>
              </w:rPr>
              <w:t>PJSC “Lenenergo”</w:t>
            </w:r>
          </w:p>
        </w:tc>
        <w:tc>
          <w:tcPr>
            <w:tcW w:w="498" w:type="pct"/>
            <w:shd w:val="clear" w:color="auto" w:fill="auto"/>
            <w:vAlign w:val="center"/>
          </w:tcPr>
          <w:p w14:paraId="0815C22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31,868</w:t>
            </w:r>
          </w:p>
        </w:tc>
        <w:tc>
          <w:tcPr>
            <w:tcW w:w="474" w:type="pct"/>
            <w:shd w:val="clear" w:color="auto" w:fill="auto"/>
            <w:vAlign w:val="center"/>
          </w:tcPr>
          <w:p w14:paraId="45C5281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725</w:t>
            </w:r>
          </w:p>
        </w:tc>
        <w:tc>
          <w:tcPr>
            <w:tcW w:w="513" w:type="pct"/>
            <w:shd w:val="clear" w:color="auto" w:fill="auto"/>
            <w:vAlign w:val="center"/>
          </w:tcPr>
          <w:p w14:paraId="379F7B0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32,568</w:t>
            </w:r>
          </w:p>
        </w:tc>
        <w:tc>
          <w:tcPr>
            <w:tcW w:w="475" w:type="pct"/>
            <w:shd w:val="clear" w:color="auto" w:fill="auto"/>
            <w:vAlign w:val="center"/>
          </w:tcPr>
          <w:p w14:paraId="7C3FADBB"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956</w:t>
            </w:r>
          </w:p>
        </w:tc>
        <w:tc>
          <w:tcPr>
            <w:tcW w:w="509" w:type="pct"/>
            <w:shd w:val="clear" w:color="auto" w:fill="auto"/>
            <w:vAlign w:val="center"/>
          </w:tcPr>
          <w:p w14:paraId="31F8D83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30,108**</w:t>
            </w:r>
          </w:p>
        </w:tc>
        <w:tc>
          <w:tcPr>
            <w:tcW w:w="469" w:type="pct"/>
            <w:shd w:val="clear" w:color="auto" w:fill="auto"/>
            <w:vAlign w:val="center"/>
          </w:tcPr>
          <w:p w14:paraId="328C9F5C"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943</w:t>
            </w:r>
          </w:p>
        </w:tc>
        <w:tc>
          <w:tcPr>
            <w:tcW w:w="471" w:type="pct"/>
            <w:shd w:val="clear" w:color="auto" w:fill="auto"/>
            <w:vAlign w:val="center"/>
          </w:tcPr>
          <w:p w14:paraId="57CA684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92%</w:t>
            </w:r>
          </w:p>
        </w:tc>
        <w:tc>
          <w:tcPr>
            <w:tcW w:w="466" w:type="pct"/>
            <w:shd w:val="clear" w:color="auto" w:fill="auto"/>
            <w:vAlign w:val="center"/>
          </w:tcPr>
          <w:p w14:paraId="0B0F8686"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99%</w:t>
            </w:r>
          </w:p>
        </w:tc>
      </w:tr>
      <w:tr w:rsidR="008A5057" w:rsidRPr="00BD295E" w14:paraId="56E3770D" w14:textId="77777777" w:rsidTr="00D108C0">
        <w:trPr>
          <w:trHeight w:val="252"/>
        </w:trPr>
        <w:tc>
          <w:tcPr>
            <w:tcW w:w="1125" w:type="pct"/>
            <w:shd w:val="clear" w:color="auto" w:fill="auto"/>
            <w:hideMark/>
          </w:tcPr>
          <w:p w14:paraId="734B086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Saint Petersburg</w:t>
            </w:r>
          </w:p>
        </w:tc>
        <w:tc>
          <w:tcPr>
            <w:tcW w:w="498" w:type="pct"/>
            <w:shd w:val="clear" w:color="auto" w:fill="auto"/>
            <w:vAlign w:val="center"/>
          </w:tcPr>
          <w:p w14:paraId="208D7770"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7,930</w:t>
            </w:r>
          </w:p>
        </w:tc>
        <w:tc>
          <w:tcPr>
            <w:tcW w:w="474" w:type="pct"/>
            <w:shd w:val="clear" w:color="auto" w:fill="auto"/>
            <w:vAlign w:val="center"/>
          </w:tcPr>
          <w:p w14:paraId="6E2BC37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258</w:t>
            </w:r>
          </w:p>
        </w:tc>
        <w:tc>
          <w:tcPr>
            <w:tcW w:w="513" w:type="pct"/>
            <w:shd w:val="clear" w:color="auto" w:fill="auto"/>
            <w:vAlign w:val="center"/>
          </w:tcPr>
          <w:p w14:paraId="1FF602B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5,840</w:t>
            </w:r>
          </w:p>
        </w:tc>
        <w:tc>
          <w:tcPr>
            <w:tcW w:w="475" w:type="pct"/>
            <w:shd w:val="clear" w:color="auto" w:fill="auto"/>
            <w:vAlign w:val="center"/>
          </w:tcPr>
          <w:p w14:paraId="3BD3351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407</w:t>
            </w:r>
          </w:p>
        </w:tc>
        <w:tc>
          <w:tcPr>
            <w:tcW w:w="509" w:type="pct"/>
            <w:shd w:val="clear" w:color="auto" w:fill="auto"/>
            <w:vAlign w:val="center"/>
          </w:tcPr>
          <w:p w14:paraId="30A7C06B"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7,707</w:t>
            </w:r>
          </w:p>
        </w:tc>
        <w:tc>
          <w:tcPr>
            <w:tcW w:w="469" w:type="pct"/>
            <w:shd w:val="clear" w:color="auto" w:fill="auto"/>
            <w:vAlign w:val="center"/>
          </w:tcPr>
          <w:p w14:paraId="2E8D8A4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410</w:t>
            </w:r>
          </w:p>
        </w:tc>
        <w:tc>
          <w:tcPr>
            <w:tcW w:w="471" w:type="pct"/>
            <w:shd w:val="clear" w:color="auto" w:fill="auto"/>
            <w:vAlign w:val="center"/>
          </w:tcPr>
          <w:p w14:paraId="06FEDBF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132%</w:t>
            </w:r>
          </w:p>
        </w:tc>
        <w:tc>
          <w:tcPr>
            <w:tcW w:w="466" w:type="pct"/>
            <w:shd w:val="clear" w:color="auto" w:fill="auto"/>
            <w:vAlign w:val="center"/>
          </w:tcPr>
          <w:p w14:paraId="7A48D36A"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101%</w:t>
            </w:r>
          </w:p>
        </w:tc>
      </w:tr>
      <w:tr w:rsidR="008A5057" w:rsidRPr="00BD295E" w14:paraId="15B6D876" w14:textId="77777777" w:rsidTr="00D108C0">
        <w:trPr>
          <w:trHeight w:val="611"/>
        </w:trPr>
        <w:tc>
          <w:tcPr>
            <w:tcW w:w="1125" w:type="pct"/>
            <w:shd w:val="clear" w:color="auto" w:fill="auto"/>
            <w:hideMark/>
          </w:tcPr>
          <w:p w14:paraId="6F5B1D2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Leningrad Region</w:t>
            </w:r>
          </w:p>
        </w:tc>
        <w:tc>
          <w:tcPr>
            <w:tcW w:w="498" w:type="pct"/>
            <w:shd w:val="clear" w:color="auto" w:fill="auto"/>
            <w:vAlign w:val="center"/>
          </w:tcPr>
          <w:p w14:paraId="1579CBB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23,938</w:t>
            </w:r>
          </w:p>
        </w:tc>
        <w:tc>
          <w:tcPr>
            <w:tcW w:w="474" w:type="pct"/>
            <w:shd w:val="clear" w:color="auto" w:fill="auto"/>
            <w:vAlign w:val="center"/>
          </w:tcPr>
          <w:p w14:paraId="7C89ED9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467</w:t>
            </w:r>
          </w:p>
        </w:tc>
        <w:tc>
          <w:tcPr>
            <w:tcW w:w="513" w:type="pct"/>
            <w:shd w:val="clear" w:color="auto" w:fill="auto"/>
            <w:vAlign w:val="center"/>
          </w:tcPr>
          <w:p w14:paraId="526CDB8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26,728</w:t>
            </w:r>
          </w:p>
        </w:tc>
        <w:tc>
          <w:tcPr>
            <w:tcW w:w="475" w:type="pct"/>
            <w:shd w:val="clear" w:color="auto" w:fill="auto"/>
            <w:vAlign w:val="center"/>
          </w:tcPr>
          <w:p w14:paraId="352F897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549</w:t>
            </w:r>
          </w:p>
        </w:tc>
        <w:tc>
          <w:tcPr>
            <w:tcW w:w="509" w:type="pct"/>
            <w:shd w:val="clear" w:color="auto" w:fill="auto"/>
            <w:vAlign w:val="center"/>
          </w:tcPr>
          <w:p w14:paraId="7BB95A8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22,401</w:t>
            </w:r>
          </w:p>
        </w:tc>
        <w:tc>
          <w:tcPr>
            <w:tcW w:w="469" w:type="pct"/>
            <w:shd w:val="clear" w:color="auto" w:fill="auto"/>
            <w:vAlign w:val="center"/>
          </w:tcPr>
          <w:p w14:paraId="10D27450"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532</w:t>
            </w:r>
          </w:p>
        </w:tc>
        <w:tc>
          <w:tcPr>
            <w:tcW w:w="471" w:type="pct"/>
            <w:shd w:val="clear" w:color="auto" w:fill="auto"/>
            <w:vAlign w:val="center"/>
          </w:tcPr>
          <w:p w14:paraId="74C4EC5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84%</w:t>
            </w:r>
          </w:p>
        </w:tc>
        <w:tc>
          <w:tcPr>
            <w:tcW w:w="466" w:type="pct"/>
            <w:shd w:val="clear" w:color="auto" w:fill="auto"/>
            <w:vAlign w:val="center"/>
          </w:tcPr>
          <w:p w14:paraId="41AC9AA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97%</w:t>
            </w:r>
          </w:p>
        </w:tc>
      </w:tr>
      <w:tr w:rsidR="008A5057" w:rsidRPr="00BD295E" w14:paraId="1B7B0378" w14:textId="77777777" w:rsidTr="00D108C0">
        <w:trPr>
          <w:trHeight w:val="355"/>
        </w:trPr>
        <w:tc>
          <w:tcPr>
            <w:tcW w:w="1125" w:type="pct"/>
            <w:shd w:val="clear" w:color="auto" w:fill="auto"/>
          </w:tcPr>
          <w:p w14:paraId="229AD2C7" w14:textId="77777777" w:rsidR="00E50ECE" w:rsidRPr="00BD295E" w:rsidRDefault="008A5057" w:rsidP="00E50ECE">
            <w:pPr>
              <w:jc w:val="center"/>
              <w:rPr>
                <w:rFonts w:ascii="Arial" w:hAnsi="Arial" w:cs="Arial"/>
                <w:sz w:val="18"/>
                <w:szCs w:val="18"/>
                <w:lang w:val="en-US"/>
              </w:rPr>
            </w:pPr>
            <w:r w:rsidRPr="00BD295E">
              <w:rPr>
                <w:rFonts w:ascii="Arial" w:hAnsi="Arial" w:cs="Arial"/>
                <w:sz w:val="18"/>
                <w:szCs w:val="18"/>
                <w:lang w:val="en-US"/>
              </w:rPr>
              <w:t>Companies manage</w:t>
            </w:r>
            <w:r w:rsidR="00E50ECE" w:rsidRPr="00BD295E">
              <w:rPr>
                <w:rFonts w:ascii="Arial" w:hAnsi="Arial" w:cs="Arial"/>
                <w:sz w:val="18"/>
                <w:szCs w:val="18"/>
                <w:lang w:val="en-US"/>
              </w:rPr>
              <w:t xml:space="preserve">d </w:t>
            </w:r>
          </w:p>
          <w:p w14:paraId="2894E0B4" w14:textId="77777777" w:rsidR="008D04FE" w:rsidRPr="00BD295E" w:rsidRDefault="00E50ECE" w:rsidP="00E50ECE">
            <w:pPr>
              <w:jc w:val="center"/>
              <w:rPr>
                <w:rFonts w:ascii="Arial" w:hAnsi="Arial" w:cs="Arial"/>
                <w:sz w:val="18"/>
                <w:szCs w:val="18"/>
                <w:lang w:val="en-US"/>
              </w:rPr>
            </w:pPr>
            <w:r w:rsidRPr="00BD295E">
              <w:rPr>
                <w:rFonts w:ascii="Arial" w:hAnsi="Arial" w:cs="Arial"/>
                <w:sz w:val="18"/>
                <w:szCs w:val="18"/>
                <w:lang w:val="en-US"/>
              </w:rPr>
              <w:t>by</w:t>
            </w:r>
            <w:r w:rsidR="008A5057" w:rsidRPr="00BD295E">
              <w:rPr>
                <w:rFonts w:ascii="Arial" w:hAnsi="Arial" w:cs="Arial"/>
                <w:sz w:val="18"/>
                <w:szCs w:val="18"/>
                <w:lang w:val="en-US"/>
              </w:rPr>
              <w:t xml:space="preserve"> </w:t>
            </w:r>
            <w:r w:rsidR="00EE5753" w:rsidRPr="00BD295E">
              <w:rPr>
                <w:rFonts w:ascii="Arial" w:hAnsi="Arial" w:cs="Arial"/>
                <w:sz w:val="18"/>
                <w:szCs w:val="18"/>
                <w:lang w:val="en-US"/>
              </w:rPr>
              <w:t>PJSC “Lenenergo”</w:t>
            </w:r>
          </w:p>
        </w:tc>
        <w:tc>
          <w:tcPr>
            <w:tcW w:w="498" w:type="pct"/>
            <w:shd w:val="clear" w:color="auto" w:fill="auto"/>
            <w:vAlign w:val="center"/>
          </w:tcPr>
          <w:p w14:paraId="727D2D0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1,323</w:t>
            </w:r>
          </w:p>
        </w:tc>
        <w:tc>
          <w:tcPr>
            <w:tcW w:w="474" w:type="pct"/>
            <w:shd w:val="clear" w:color="auto" w:fill="auto"/>
            <w:vAlign w:val="center"/>
          </w:tcPr>
          <w:p w14:paraId="47349AD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149</w:t>
            </w:r>
          </w:p>
        </w:tc>
        <w:tc>
          <w:tcPr>
            <w:tcW w:w="513" w:type="pct"/>
            <w:shd w:val="clear" w:color="auto" w:fill="auto"/>
            <w:vAlign w:val="center"/>
          </w:tcPr>
          <w:p w14:paraId="4825005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1,529</w:t>
            </w:r>
          </w:p>
        </w:tc>
        <w:tc>
          <w:tcPr>
            <w:tcW w:w="475" w:type="pct"/>
            <w:shd w:val="clear" w:color="auto" w:fill="auto"/>
            <w:vAlign w:val="center"/>
          </w:tcPr>
          <w:p w14:paraId="4E8B32CB"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118</w:t>
            </w:r>
          </w:p>
        </w:tc>
        <w:tc>
          <w:tcPr>
            <w:tcW w:w="509" w:type="pct"/>
            <w:shd w:val="clear" w:color="auto" w:fill="auto"/>
            <w:vAlign w:val="center"/>
          </w:tcPr>
          <w:p w14:paraId="4D28752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972</w:t>
            </w:r>
          </w:p>
        </w:tc>
        <w:tc>
          <w:tcPr>
            <w:tcW w:w="469" w:type="pct"/>
            <w:shd w:val="clear" w:color="auto" w:fill="auto"/>
            <w:vAlign w:val="center"/>
          </w:tcPr>
          <w:p w14:paraId="2422559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64</w:t>
            </w:r>
          </w:p>
        </w:tc>
        <w:tc>
          <w:tcPr>
            <w:tcW w:w="471" w:type="pct"/>
            <w:shd w:val="clear" w:color="auto" w:fill="auto"/>
            <w:vAlign w:val="center"/>
          </w:tcPr>
          <w:p w14:paraId="543A838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64%</w:t>
            </w:r>
          </w:p>
        </w:tc>
        <w:tc>
          <w:tcPr>
            <w:tcW w:w="466" w:type="pct"/>
            <w:shd w:val="clear" w:color="auto" w:fill="auto"/>
            <w:vAlign w:val="center"/>
          </w:tcPr>
          <w:p w14:paraId="63D5C88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55%</w:t>
            </w:r>
          </w:p>
        </w:tc>
      </w:tr>
    </w:tbl>
    <w:p w14:paraId="5940C1F2" w14:textId="25F6A25D" w:rsidR="008D04FE" w:rsidRPr="00BD295E" w:rsidRDefault="008A5057" w:rsidP="008D04FE">
      <w:pPr>
        <w:pStyle w:val="af3"/>
        <w:tabs>
          <w:tab w:val="left" w:pos="0"/>
          <w:tab w:val="left" w:pos="851"/>
        </w:tabs>
        <w:ind w:left="0" w:firstLine="720"/>
        <w:jc w:val="both"/>
        <w:rPr>
          <w:rFonts w:ascii="Arial" w:hAnsi="Arial" w:cs="Arial"/>
          <w:sz w:val="12"/>
          <w:szCs w:val="12"/>
          <w:lang w:val="en-US"/>
        </w:rPr>
      </w:pPr>
      <w:r w:rsidRPr="00BD295E">
        <w:rPr>
          <w:rFonts w:ascii="Arial" w:hAnsi="Arial" w:cs="Arial"/>
          <w:sz w:val="18"/>
          <w:szCs w:val="18"/>
          <w:lang w:val="en-US"/>
        </w:rPr>
        <w:t xml:space="preserve">* </w:t>
      </w:r>
      <w:r w:rsidRPr="00BD295E">
        <w:rPr>
          <w:rFonts w:ascii="Arial" w:hAnsi="Arial" w:cs="Arial"/>
          <w:sz w:val="12"/>
          <w:szCs w:val="12"/>
          <w:lang w:val="en-US"/>
        </w:rPr>
        <w:t>Net of connected</w:t>
      </w:r>
      <w:r w:rsidR="00E50ECE" w:rsidRPr="00BD295E">
        <w:rPr>
          <w:rFonts w:ascii="Arial" w:hAnsi="Arial" w:cs="Arial"/>
          <w:sz w:val="12"/>
          <w:szCs w:val="12"/>
          <w:lang w:val="en-US"/>
        </w:rPr>
        <w:t xml:space="preserve"> power</w:t>
      </w:r>
      <w:r w:rsidR="00DE61D5" w:rsidRPr="00BD295E">
        <w:rPr>
          <w:rFonts w:ascii="Arial" w:hAnsi="Arial" w:cs="Arial"/>
          <w:sz w:val="12"/>
          <w:szCs w:val="12"/>
          <w:lang w:val="en-US"/>
        </w:rPr>
        <w:t xml:space="preserve"> generation facilities</w:t>
      </w:r>
      <w:r w:rsidRPr="00BD295E">
        <w:rPr>
          <w:rFonts w:ascii="Arial" w:hAnsi="Arial" w:cs="Arial"/>
          <w:sz w:val="12"/>
          <w:szCs w:val="12"/>
          <w:lang w:val="en-US"/>
        </w:rPr>
        <w:t xml:space="preserve"> and temporarily connected facilities (permanent grid connection).</w:t>
      </w:r>
    </w:p>
    <w:p w14:paraId="245D5953" w14:textId="5C5997F5" w:rsidR="008D04FE" w:rsidRPr="00BD295E" w:rsidRDefault="008A5057" w:rsidP="008D04FE">
      <w:pPr>
        <w:pStyle w:val="af3"/>
        <w:tabs>
          <w:tab w:val="left" w:pos="0"/>
          <w:tab w:val="left" w:pos="851"/>
        </w:tabs>
        <w:ind w:left="0" w:firstLine="720"/>
        <w:jc w:val="both"/>
        <w:rPr>
          <w:rFonts w:ascii="Arial" w:hAnsi="Arial" w:cs="Arial"/>
          <w:sz w:val="12"/>
          <w:szCs w:val="12"/>
          <w:lang w:val="en-US"/>
        </w:rPr>
      </w:pPr>
      <w:r w:rsidRPr="00BD295E">
        <w:rPr>
          <w:rFonts w:ascii="Arial" w:hAnsi="Arial" w:cs="Arial"/>
          <w:sz w:val="12"/>
          <w:szCs w:val="12"/>
          <w:lang w:val="en-US"/>
        </w:rPr>
        <w:t xml:space="preserve">In 2018, </w:t>
      </w:r>
      <w:r w:rsidR="00EE5753" w:rsidRPr="00BD295E">
        <w:rPr>
          <w:rFonts w:ascii="Arial" w:hAnsi="Arial" w:cs="Arial"/>
          <w:sz w:val="12"/>
          <w:szCs w:val="12"/>
          <w:lang w:val="en-US"/>
        </w:rPr>
        <w:t>PJSC “Lenenergo”</w:t>
      </w:r>
      <w:r w:rsidRPr="00BD295E">
        <w:rPr>
          <w:rFonts w:ascii="Arial" w:hAnsi="Arial" w:cs="Arial"/>
          <w:sz w:val="12"/>
          <w:szCs w:val="12"/>
          <w:lang w:val="en-US"/>
        </w:rPr>
        <w:t xml:space="preserve"> connected four </w:t>
      </w:r>
      <w:r w:rsidR="00E50ECE" w:rsidRPr="00BD295E">
        <w:rPr>
          <w:rFonts w:ascii="Arial" w:hAnsi="Arial" w:cs="Arial"/>
          <w:sz w:val="12"/>
          <w:szCs w:val="12"/>
          <w:lang w:val="en-US"/>
        </w:rPr>
        <w:t>power</w:t>
      </w:r>
      <w:r w:rsidR="00DE61D5" w:rsidRPr="00BD295E">
        <w:rPr>
          <w:rFonts w:ascii="Arial" w:hAnsi="Arial" w:cs="Arial"/>
          <w:sz w:val="12"/>
          <w:szCs w:val="12"/>
          <w:lang w:val="en-US"/>
        </w:rPr>
        <w:t xml:space="preserve"> generation facilities</w:t>
      </w:r>
      <w:r w:rsidRPr="00BD295E">
        <w:rPr>
          <w:rFonts w:ascii="Arial" w:hAnsi="Arial" w:cs="Arial"/>
          <w:sz w:val="12"/>
          <w:szCs w:val="12"/>
          <w:lang w:val="en-US"/>
        </w:rPr>
        <w:t xml:space="preserve"> with a total capacity of 90 MW.</w:t>
      </w:r>
    </w:p>
    <w:p w14:paraId="2C389B06" w14:textId="77777777" w:rsidR="008D04FE" w:rsidRPr="00BD295E" w:rsidRDefault="008A5057" w:rsidP="008D04FE">
      <w:pPr>
        <w:tabs>
          <w:tab w:val="left" w:pos="709"/>
          <w:tab w:val="left" w:pos="851"/>
        </w:tabs>
        <w:ind w:firstLine="709"/>
        <w:jc w:val="both"/>
        <w:rPr>
          <w:rFonts w:ascii="Arial" w:hAnsi="Arial" w:cs="Arial"/>
          <w:sz w:val="12"/>
          <w:szCs w:val="12"/>
          <w:lang w:val="en-US"/>
        </w:rPr>
      </w:pPr>
      <w:r w:rsidRPr="00BD295E">
        <w:rPr>
          <w:rFonts w:ascii="Arial" w:hAnsi="Arial" w:cs="Arial"/>
          <w:sz w:val="12"/>
          <w:szCs w:val="12"/>
          <w:lang w:val="en-US"/>
        </w:rPr>
        <w:t xml:space="preserve">** Subject to measures taken by the grid organization, including notices of the grid organization’s readiness for grid connection, </w:t>
      </w:r>
      <w:r w:rsidR="00E50ECE" w:rsidRPr="00BD295E">
        <w:rPr>
          <w:rFonts w:ascii="Arial" w:hAnsi="Arial" w:cs="Arial"/>
          <w:sz w:val="12"/>
          <w:szCs w:val="12"/>
          <w:lang w:val="en-US"/>
        </w:rPr>
        <w:t xml:space="preserve">the </w:t>
      </w:r>
      <w:r w:rsidRPr="00BD295E">
        <w:rPr>
          <w:rFonts w:ascii="Arial" w:hAnsi="Arial" w:cs="Arial"/>
          <w:sz w:val="12"/>
          <w:szCs w:val="12"/>
          <w:lang w:val="en-US"/>
        </w:rPr>
        <w:t xml:space="preserve">contracts </w:t>
      </w:r>
      <w:r w:rsidR="00E50ECE" w:rsidRPr="00BD295E">
        <w:rPr>
          <w:rFonts w:ascii="Arial" w:hAnsi="Arial" w:cs="Arial"/>
          <w:sz w:val="12"/>
          <w:szCs w:val="12"/>
          <w:lang w:val="en-US"/>
        </w:rPr>
        <w:t xml:space="preserve">fulfilled </w:t>
      </w:r>
      <w:r w:rsidRPr="00BD295E">
        <w:rPr>
          <w:rFonts w:ascii="Arial" w:hAnsi="Arial" w:cs="Arial"/>
          <w:sz w:val="12"/>
          <w:szCs w:val="12"/>
          <w:lang w:val="en-US"/>
        </w:rPr>
        <w:t xml:space="preserve">by </w:t>
      </w:r>
      <w:r w:rsidR="00EE5753" w:rsidRPr="00BD295E">
        <w:rPr>
          <w:rFonts w:ascii="Arial" w:hAnsi="Arial" w:cs="Arial"/>
          <w:sz w:val="12"/>
          <w:szCs w:val="12"/>
          <w:lang w:val="en-US"/>
        </w:rPr>
        <w:t>PJSC “Lenenergo”</w:t>
      </w:r>
      <w:r w:rsidRPr="00BD295E">
        <w:rPr>
          <w:rFonts w:ascii="Arial" w:hAnsi="Arial" w:cs="Arial"/>
          <w:sz w:val="12"/>
          <w:szCs w:val="12"/>
          <w:lang w:val="en-US"/>
        </w:rPr>
        <w:t xml:space="preserve"> in 2018 totaled 51,435 (</w:t>
      </w:r>
      <w:r w:rsidR="00E50ECE" w:rsidRPr="00BD295E">
        <w:rPr>
          <w:rFonts w:ascii="Arial" w:hAnsi="Arial" w:cs="Arial"/>
          <w:sz w:val="12"/>
          <w:szCs w:val="12"/>
          <w:lang w:val="en-US"/>
        </w:rPr>
        <w:t xml:space="preserve">for </w:t>
      </w:r>
      <w:r w:rsidRPr="00BD295E">
        <w:rPr>
          <w:rFonts w:ascii="Arial" w:hAnsi="Arial" w:cs="Arial"/>
          <w:sz w:val="12"/>
          <w:szCs w:val="12"/>
          <w:lang w:val="en-US"/>
        </w:rPr>
        <w:t>permanent grid connection).</w:t>
      </w:r>
    </w:p>
    <w:p w14:paraId="129FEECD" w14:textId="2C344BAD" w:rsidR="00B20A51" w:rsidRPr="00BD295E" w:rsidRDefault="00997D07" w:rsidP="008D04FE">
      <w:pPr>
        <w:tabs>
          <w:tab w:val="left" w:pos="709"/>
          <w:tab w:val="left" w:pos="851"/>
        </w:tabs>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38272" behindDoc="0" locked="0" layoutInCell="1" allowOverlap="1" wp14:anchorId="1EDF9E89" wp14:editId="498C7368">
                <wp:simplePos x="0" y="0"/>
                <wp:positionH relativeFrom="column">
                  <wp:posOffset>5349240</wp:posOffset>
                </wp:positionH>
                <wp:positionV relativeFrom="paragraph">
                  <wp:posOffset>270510</wp:posOffset>
                </wp:positionV>
                <wp:extent cx="600075" cy="295275"/>
                <wp:effectExtent l="0" t="0" r="0" b="0"/>
                <wp:wrapNone/>
                <wp:docPr id="112" name="Поле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8F8552" w14:textId="77777777" w:rsidR="002C3947" w:rsidRDefault="002C3947" w:rsidP="008D04FE">
                            <w:r>
                              <w:t>MW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DF9E89" id="Поле 169" o:spid="_x0000_s1076" type="#_x0000_t202" style="position:absolute;left:0;text-align:left;margin-left:421.2pt;margin-top:21.3pt;width:47.25pt;height:23.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" filled="f" stroked="f" strokeweight=".5pt">
                <v:textbox>
                  <w:txbxContent>
                    <w:p w14:paraId="108F8552" w14:textId="77777777" w:rsidR="002C3947" w:rsidRDefault="002C3947" w:rsidP="008D04FE">
                      <w:r>
                        <w:t>MW</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39296" behindDoc="0" locked="0" layoutInCell="1" allowOverlap="1" wp14:anchorId="03D1B70E" wp14:editId="38811DF7">
                <wp:simplePos x="0" y="0"/>
                <wp:positionH relativeFrom="column">
                  <wp:posOffset>-3810</wp:posOffset>
                </wp:positionH>
                <wp:positionV relativeFrom="paragraph">
                  <wp:posOffset>280035</wp:posOffset>
                </wp:positionV>
                <wp:extent cx="600075" cy="295275"/>
                <wp:effectExtent l="0" t="0" r="0" b="0"/>
                <wp:wrapNone/>
                <wp:docPr id="111" name="Поле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9C0CBC" w14:textId="77777777" w:rsidR="002C3947" w:rsidRDefault="002C3947" w:rsidP="008D04FE">
                            <w:r>
                              <w:t>Units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D1B70E" id="Поле 170" o:spid="_x0000_s1077" type="#_x0000_t202" style="position:absolute;left:0;text-align:left;margin-left:-.3pt;margin-top:22.05pt;width:47.25pt;height:23.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" filled="f" stroked="f" strokeweight=".5pt">
                <v:textbox>
                  <w:txbxContent>
                    <w:p w14:paraId="5A9C0CBC" w14:textId="77777777" w:rsidR="002C3947" w:rsidRDefault="002C3947" w:rsidP="008D04FE">
                      <w:r>
                        <w:t>Units</w:t>
                      </w:r>
                    </w:p>
                  </w:txbxContent>
                </v:textbox>
              </v:shape>
            </w:pict>
          </mc:Fallback>
        </mc:AlternateContent>
      </w:r>
      <w:r w:rsidRPr="00BD295E">
        <w:rPr>
          <w:rFonts w:ascii="Arial" w:hAnsi="Arial" w:cs="Arial"/>
          <w:sz w:val="18"/>
          <w:szCs w:val="18"/>
          <w:lang w:val="en-US" w:eastAsia="en-US"/>
        </w:rPr>
        <w:drawing>
          <wp:inline distT="0" distB="0" distL="0" distR="0" wp14:anchorId="1F15E446" wp14:editId="00D8E6AF">
            <wp:extent cx="4958080" cy="3215005"/>
            <wp:effectExtent l="0" t="0" r="0" b="4445"/>
            <wp:docPr id="27"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93FAE49" w14:textId="77777777" w:rsidR="008D04FE" w:rsidRPr="00BD295E" w:rsidRDefault="008A5057" w:rsidP="00B20A51">
      <w:pPr>
        <w:tabs>
          <w:tab w:val="left" w:pos="709"/>
          <w:tab w:val="left" w:pos="851"/>
        </w:tabs>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 </w:t>
      </w:r>
    </w:p>
    <w:p w14:paraId="3AAEC31E" w14:textId="77777777" w:rsidR="00203764" w:rsidRPr="00BD295E" w:rsidRDefault="00203764" w:rsidP="00B20A51">
      <w:pPr>
        <w:jc w:val="both"/>
        <w:rPr>
          <w:rFonts w:ascii="Arial" w:hAnsi="Arial" w:cs="Arial"/>
          <w:sz w:val="18"/>
          <w:szCs w:val="18"/>
          <w:lang w:val="en-US"/>
        </w:rPr>
      </w:pPr>
      <w:bookmarkStart w:id="203" w:name="_Toc473737596"/>
      <w:bookmarkStart w:id="204" w:name="_Toc473897994"/>
      <w:bookmarkStart w:id="205" w:name="_Toc473898419"/>
      <w:bookmarkStart w:id="206" w:name="_Toc473904691"/>
    </w:p>
    <w:p w14:paraId="3B0DDE31" w14:textId="63226CA4" w:rsidR="008D04FE" w:rsidRPr="00BD295E" w:rsidRDefault="008A5057" w:rsidP="00B20A51">
      <w:pPr>
        <w:jc w:val="both"/>
        <w:rPr>
          <w:rFonts w:ascii="Arial" w:hAnsi="Arial" w:cs="Arial"/>
          <w:sz w:val="18"/>
          <w:szCs w:val="18"/>
          <w:lang w:val="en-US"/>
        </w:rPr>
      </w:pPr>
      <w:r w:rsidRPr="00BD295E">
        <w:rPr>
          <w:rFonts w:ascii="Arial" w:hAnsi="Arial" w:cs="Arial"/>
          <w:sz w:val="18"/>
          <w:szCs w:val="18"/>
          <w:lang w:val="en-US"/>
        </w:rPr>
        <w:t xml:space="preserve">The amount of connected capacity has been declining over the last three years, including in 2018 year-on-year across the 670+ kW consumers, primarily due the decrease in the connected capacity across </w:t>
      </w:r>
      <w:r w:rsidR="00DE61D5" w:rsidRPr="00BD295E">
        <w:rPr>
          <w:rFonts w:ascii="Arial" w:hAnsi="Arial" w:cs="Arial"/>
          <w:sz w:val="18"/>
          <w:szCs w:val="18"/>
          <w:lang w:val="en-US"/>
        </w:rPr>
        <w:t>power generation facilities</w:t>
      </w:r>
      <w:r w:rsidRPr="00BD295E">
        <w:rPr>
          <w:rFonts w:ascii="Arial" w:hAnsi="Arial" w:cs="Arial"/>
          <w:sz w:val="18"/>
          <w:szCs w:val="18"/>
          <w:lang w:val="en-US"/>
        </w:rPr>
        <w:t>.</w:t>
      </w:r>
    </w:p>
    <w:p w14:paraId="1E11D612" w14:textId="77777777" w:rsidR="008D04FE" w:rsidRPr="00BD295E" w:rsidRDefault="008A5057" w:rsidP="00B20A51">
      <w:pPr>
        <w:jc w:val="both"/>
        <w:rPr>
          <w:rFonts w:ascii="Arial" w:hAnsi="Arial" w:cs="Arial"/>
          <w:sz w:val="18"/>
          <w:szCs w:val="18"/>
          <w:lang w:val="en-US"/>
        </w:rPr>
      </w:pPr>
      <w:r w:rsidRPr="00BD295E">
        <w:rPr>
          <w:rFonts w:ascii="Arial" w:hAnsi="Arial" w:cs="Arial"/>
          <w:sz w:val="18"/>
          <w:szCs w:val="18"/>
          <w:lang w:val="en-US"/>
        </w:rPr>
        <w:t xml:space="preserve">Among other categories of </w:t>
      </w:r>
      <w:r w:rsidR="000D659F" w:rsidRPr="00BD295E">
        <w:rPr>
          <w:rFonts w:ascii="Arial" w:hAnsi="Arial" w:cs="Arial"/>
          <w:sz w:val="18"/>
          <w:szCs w:val="18"/>
          <w:lang w:val="en-US"/>
        </w:rPr>
        <w:t>customer</w:t>
      </w:r>
      <w:r w:rsidRPr="00BD295E">
        <w:rPr>
          <w:rFonts w:ascii="Arial" w:hAnsi="Arial" w:cs="Arial"/>
          <w:sz w:val="18"/>
          <w:szCs w:val="18"/>
          <w:lang w:val="en-US"/>
        </w:rPr>
        <w:t>s, only the 15 –150 kW consumers demonstrated a year-on-year increase.</w:t>
      </w:r>
    </w:p>
    <w:p w14:paraId="2D4E22F8" w14:textId="5F3AA1FE" w:rsidR="00B20A51" w:rsidRPr="00BD295E" w:rsidRDefault="00997D07" w:rsidP="008D04FE">
      <w:pPr>
        <w:rPr>
          <w:rFonts w:ascii="Arial" w:hAnsi="Arial" w:cs="Arial"/>
          <w:sz w:val="18"/>
          <w:szCs w:val="18"/>
          <w:lang w:val="en-US"/>
        </w:rPr>
      </w:pPr>
      <w:r w:rsidRPr="00BD295E">
        <w:rPr>
          <w:rFonts w:ascii="Arial" w:hAnsi="Arial" w:cs="Arial"/>
          <w:sz w:val="18"/>
          <w:szCs w:val="18"/>
          <w:lang w:val="en-US" w:eastAsia="en-US"/>
        </w:rPr>
        <w:drawing>
          <wp:inline distT="0" distB="0" distL="0" distR="0" wp14:anchorId="25E317CA" wp14:editId="3FA72881">
            <wp:extent cx="5748655" cy="3409950"/>
            <wp:effectExtent l="0" t="0" r="4445" b="0"/>
            <wp:docPr id="28" name="Диаграмма 1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8A5057" w:rsidRPr="00BD295E">
        <w:rPr>
          <w:rFonts w:ascii="Arial" w:hAnsi="Arial" w:cs="Arial"/>
          <w:sz w:val="18"/>
          <w:szCs w:val="18"/>
          <w:lang w:val="en-US"/>
        </w:rPr>
        <w:t xml:space="preserve">* </w:t>
      </w:r>
    </w:p>
    <w:p w14:paraId="0D32E410" w14:textId="77777777" w:rsidR="008D04FE" w:rsidRPr="00BD295E" w:rsidRDefault="008A5057" w:rsidP="008D04FE">
      <w:pPr>
        <w:rPr>
          <w:rFonts w:ascii="Arial" w:hAnsi="Arial" w:cs="Arial"/>
          <w:sz w:val="18"/>
          <w:szCs w:val="18"/>
          <w:lang w:val="en-US"/>
        </w:rPr>
      </w:pPr>
      <w:r w:rsidRPr="00BD295E">
        <w:rPr>
          <w:rFonts w:ascii="Arial" w:hAnsi="Arial" w:cs="Arial"/>
          <w:sz w:val="18"/>
          <w:szCs w:val="18"/>
          <w:lang w:val="en-US"/>
        </w:rPr>
        <w:t xml:space="preserve">Including connection of </w:t>
      </w:r>
      <w:r w:rsidR="00DE61D5" w:rsidRPr="00BD295E">
        <w:rPr>
          <w:rFonts w:ascii="Arial" w:hAnsi="Arial" w:cs="Arial"/>
          <w:sz w:val="18"/>
          <w:szCs w:val="18"/>
          <w:lang w:val="en-US"/>
        </w:rPr>
        <w:t>power generation facilities</w:t>
      </w:r>
      <w:r w:rsidRPr="00BD295E">
        <w:rPr>
          <w:rFonts w:ascii="Arial" w:hAnsi="Arial" w:cs="Arial"/>
          <w:sz w:val="18"/>
          <w:szCs w:val="18"/>
          <w:lang w:val="en-US"/>
        </w:rPr>
        <w:t xml:space="preserve"> (permanent grid connection)</w:t>
      </w:r>
    </w:p>
    <w:p w14:paraId="7463F694" w14:textId="77777777" w:rsidR="008D04FE" w:rsidRPr="00BD295E" w:rsidRDefault="008D04FE" w:rsidP="008D04FE">
      <w:pPr>
        <w:jc w:val="both"/>
        <w:rPr>
          <w:rFonts w:ascii="Arial" w:hAnsi="Arial" w:cs="Arial"/>
          <w:sz w:val="18"/>
          <w:szCs w:val="18"/>
          <w:lang w:val="en-US"/>
        </w:rPr>
      </w:pPr>
    </w:p>
    <w:p w14:paraId="39F77185" w14:textId="77777777" w:rsidR="008D04FE" w:rsidRPr="00BD295E" w:rsidRDefault="008A5057" w:rsidP="008D04FE">
      <w:pPr>
        <w:jc w:val="both"/>
        <w:rPr>
          <w:rFonts w:ascii="Arial" w:hAnsi="Arial" w:cs="Arial"/>
          <w:sz w:val="18"/>
          <w:szCs w:val="18"/>
          <w:lang w:val="en-US"/>
        </w:rPr>
      </w:pPr>
      <w:r w:rsidRPr="00BD295E">
        <w:rPr>
          <w:rFonts w:ascii="Arial" w:hAnsi="Arial" w:cs="Arial"/>
          <w:sz w:val="18"/>
          <w:szCs w:val="18"/>
          <w:lang w:val="en-US"/>
        </w:rPr>
        <w:t xml:space="preserve">Major </w:t>
      </w:r>
      <w:r w:rsidR="000D659F" w:rsidRPr="00BD295E">
        <w:rPr>
          <w:rFonts w:ascii="Arial" w:hAnsi="Arial" w:cs="Arial"/>
          <w:sz w:val="18"/>
          <w:szCs w:val="18"/>
          <w:lang w:val="en-US"/>
        </w:rPr>
        <w:t>customer</w:t>
      </w:r>
      <w:r w:rsidRPr="00BD295E">
        <w:rPr>
          <w:rFonts w:ascii="Arial" w:hAnsi="Arial" w:cs="Arial"/>
          <w:sz w:val="18"/>
          <w:szCs w:val="18"/>
          <w:lang w:val="en-US"/>
        </w:rPr>
        <w:t>s (670+ kW) account for more than half of connected capacity in Saint Petersburg, representing 67% of the region’s total capacity.</w:t>
      </w:r>
    </w:p>
    <w:p w14:paraId="64CAC891" w14:textId="4D3CFB3B" w:rsidR="008D04FE" w:rsidRPr="00BD295E" w:rsidRDefault="00997D07" w:rsidP="008D04FE">
      <w:pPr>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22912" behindDoc="0" locked="0" layoutInCell="1" allowOverlap="1" wp14:anchorId="1F6839ED" wp14:editId="28833961">
                <wp:simplePos x="0" y="0"/>
                <wp:positionH relativeFrom="column">
                  <wp:posOffset>3175</wp:posOffset>
                </wp:positionH>
                <wp:positionV relativeFrom="paragraph">
                  <wp:posOffset>1728470</wp:posOffset>
                </wp:positionV>
                <wp:extent cx="438150" cy="257175"/>
                <wp:effectExtent l="0" t="1270" r="2540" b="0"/>
                <wp:wrapNone/>
                <wp:docPr id="1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16152D" w14:textId="77777777" w:rsidR="002C3947" w:rsidRPr="00D72D5C" w:rsidRDefault="002C3947" w:rsidP="008D04FE">
                            <w:pPr>
                              <w:rPr>
                                <w:rFonts w:cs="Arial"/>
                              </w:rPr>
                            </w:pPr>
                            <w:r>
                              <w:t>410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6839ED" id="_x0000_s1078" type="#_x0000_t202" style="position:absolute;left:0;text-align:left;margin-left:.25pt;margin-top:136.1pt;width:34.5pt;height:20.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" stroked="f">
                <v:textbox>
                  <w:txbxContent>
                    <w:p w14:paraId="5F16152D" w14:textId="77777777" w:rsidR="002C3947" w:rsidRPr="00D72D5C" w:rsidRDefault="002C3947" w:rsidP="008D04FE">
                      <w:pPr>
                        <w:rPr>
                          <w:rFonts w:cs="Arial"/>
                        </w:rPr>
                      </w:pPr>
                      <w:r>
                        <w:t>410</w:t>
                      </w:r>
                    </w:p>
                  </w:txbxContent>
                </v:textbox>
              </v:shape>
            </w:pict>
          </mc:Fallback>
        </mc:AlternateContent>
      </w:r>
      <w:r w:rsidRPr="00BD295E">
        <w:rPr>
          <w:rFonts w:ascii="Arial" w:hAnsi="Arial" w:cs="Arial"/>
          <w:sz w:val="18"/>
          <w:szCs w:val="18"/>
          <w:lang w:val="en-US" w:eastAsia="en-US"/>
        </w:rPr>
        <w:drawing>
          <wp:inline distT="0" distB="0" distL="0" distR="0" wp14:anchorId="1414695E" wp14:editId="12288381">
            <wp:extent cx="4533900" cy="3367405"/>
            <wp:effectExtent l="0" t="0" r="0" b="4445"/>
            <wp:docPr id="29" name="Диаграмма 1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FD114EE" w14:textId="77777777" w:rsidR="00B20A51" w:rsidRPr="00BD295E" w:rsidRDefault="00B20A51" w:rsidP="008D04FE">
      <w:pPr>
        <w:jc w:val="both"/>
        <w:rPr>
          <w:rFonts w:ascii="Arial" w:hAnsi="Arial" w:cs="Arial"/>
          <w:sz w:val="12"/>
          <w:szCs w:val="12"/>
          <w:lang w:val="en-US"/>
        </w:rPr>
      </w:pPr>
    </w:p>
    <w:p w14:paraId="531CD32A" w14:textId="77777777" w:rsidR="008D04FE" w:rsidRPr="00BD295E" w:rsidRDefault="008A5057" w:rsidP="008D04FE">
      <w:pPr>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w:t>
      </w:r>
    </w:p>
    <w:p w14:paraId="4104111D" w14:textId="77777777" w:rsidR="00203764" w:rsidRPr="00BD295E" w:rsidRDefault="00203764" w:rsidP="008D04FE">
      <w:pPr>
        <w:jc w:val="both"/>
        <w:rPr>
          <w:rFonts w:ascii="Arial" w:hAnsi="Arial" w:cs="Arial"/>
          <w:sz w:val="18"/>
          <w:szCs w:val="18"/>
          <w:lang w:val="en-US"/>
        </w:rPr>
      </w:pPr>
    </w:p>
    <w:p w14:paraId="13DDD0E5" w14:textId="1222181F" w:rsidR="008D04FE" w:rsidRPr="00BD295E" w:rsidRDefault="008A5057" w:rsidP="008D04FE">
      <w:pPr>
        <w:jc w:val="both"/>
        <w:rPr>
          <w:rFonts w:ascii="Arial" w:hAnsi="Arial" w:cs="Arial"/>
          <w:sz w:val="18"/>
          <w:szCs w:val="18"/>
          <w:lang w:val="en-US"/>
        </w:rPr>
      </w:pPr>
      <w:r w:rsidRPr="00BD295E">
        <w:rPr>
          <w:rFonts w:ascii="Arial" w:hAnsi="Arial" w:cs="Arial"/>
          <w:sz w:val="18"/>
          <w:szCs w:val="18"/>
          <w:lang w:val="en-US"/>
        </w:rPr>
        <w:t>“</w:t>
      </w:r>
      <w:r w:rsidR="000E42B1" w:rsidRPr="00BD295E">
        <w:rPr>
          <w:rFonts w:ascii="Arial" w:hAnsi="Arial" w:cs="Arial"/>
          <w:sz w:val="18"/>
          <w:szCs w:val="18"/>
          <w:lang w:val="en-US"/>
        </w:rPr>
        <w:t xml:space="preserve">Up to </w:t>
      </w:r>
      <w:r w:rsidRPr="00BD295E">
        <w:rPr>
          <w:rFonts w:ascii="Arial" w:hAnsi="Arial" w:cs="Arial"/>
          <w:sz w:val="18"/>
          <w:szCs w:val="18"/>
          <w:lang w:val="en-US"/>
        </w:rPr>
        <w:t xml:space="preserve">15 kW” </w:t>
      </w:r>
      <w:r w:rsidR="000D659F" w:rsidRPr="00BD295E">
        <w:rPr>
          <w:rFonts w:ascii="Arial" w:hAnsi="Arial" w:cs="Arial"/>
          <w:sz w:val="18"/>
          <w:szCs w:val="18"/>
          <w:lang w:val="en-US"/>
        </w:rPr>
        <w:t>customer</w:t>
      </w:r>
      <w:r w:rsidRPr="00BD295E">
        <w:rPr>
          <w:rFonts w:ascii="Arial" w:hAnsi="Arial" w:cs="Arial"/>
          <w:sz w:val="18"/>
          <w:szCs w:val="18"/>
          <w:lang w:val="en-US"/>
        </w:rPr>
        <w:t>s account for the largest share in connected capacity in the Leningrad Region, which represents 52% of the total connected capacity in the region.</w:t>
      </w:r>
    </w:p>
    <w:p w14:paraId="3FA3A47A" w14:textId="77777777" w:rsidR="008D04FE" w:rsidRPr="00BD295E" w:rsidRDefault="008D04FE" w:rsidP="008D04FE">
      <w:pPr>
        <w:pStyle w:val="af3"/>
        <w:jc w:val="both"/>
        <w:rPr>
          <w:rFonts w:ascii="Arial" w:hAnsi="Arial" w:cs="Arial"/>
          <w:sz w:val="18"/>
          <w:szCs w:val="18"/>
          <w:lang w:val="en-US"/>
        </w:rPr>
      </w:pPr>
    </w:p>
    <w:p w14:paraId="28C87B8D" w14:textId="2E388E57" w:rsidR="00C847E0" w:rsidRPr="00BD295E" w:rsidRDefault="00C847E0" w:rsidP="00C847E0">
      <w:pPr>
        <w:pStyle w:val="1ff8"/>
        <w:ind w:right="1842"/>
        <w:rPr>
          <w:rFonts w:asciiTheme="minorHAnsi" w:hAnsiTheme="minorHAnsi" w:cstheme="minorHAnsi"/>
          <w:b w:val="0"/>
          <w:bCs w:val="0"/>
          <w:sz w:val="24"/>
          <w:szCs w:val="24"/>
        </w:rPr>
      </w:pPr>
      <w:r w:rsidRPr="00BD295E">
        <w:rPr>
          <w:rFonts w:asciiTheme="minorHAnsi" w:hAnsiTheme="minorHAnsi" w:cstheme="minorHAnsi"/>
          <w:b w:val="0"/>
          <w:bCs w:val="0"/>
          <w:sz w:val="24"/>
          <w:szCs w:val="24"/>
        </w:rPr>
        <w:t>Connected capacity in the Leningrad Region in 2018 by wattage, MW (%)</w:t>
      </w:r>
    </w:p>
    <w:p w14:paraId="03E9BA82" w14:textId="65DACE0C" w:rsidR="00B20A51" w:rsidRPr="00BD295E" w:rsidRDefault="002606EA" w:rsidP="008D04FE">
      <w:pPr>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24960" behindDoc="0" locked="0" layoutInCell="1" allowOverlap="1" wp14:anchorId="7C830885" wp14:editId="443DE44D">
                <wp:simplePos x="0" y="0"/>
                <wp:positionH relativeFrom="column">
                  <wp:posOffset>302895</wp:posOffset>
                </wp:positionH>
                <wp:positionV relativeFrom="paragraph">
                  <wp:posOffset>265430</wp:posOffset>
                </wp:positionV>
                <wp:extent cx="259715" cy="2275840"/>
                <wp:effectExtent l="11430" t="10160" r="5080" b="9525"/>
                <wp:wrapNone/>
                <wp:docPr id="109" name="Левая фигурная скобк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275840"/>
                        </a:xfrm>
                        <a:prstGeom prst="leftBrace">
                          <a:avLst>
                            <a:gd name="adj1" fmla="val 8317"/>
                            <a:gd name="adj2" fmla="val 50000"/>
                          </a:avLst>
                        </a:prstGeom>
                        <a:noFill/>
                        <a:ln w="6350" algn="ctr">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19171BD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 o:spid="_x0000_s1026" type="#_x0000_t87" style="position:absolute;margin-left:23.85pt;margin-top:20.9pt;width:20.45pt;height:179.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" adj="205" strokecolor="#5b9bd5" strokeweight=".5pt">
                <v:stroke joinstyle="miter"/>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23936" behindDoc="0" locked="0" layoutInCell="1" allowOverlap="1" wp14:anchorId="49EAC4D6" wp14:editId="791C0D79">
                <wp:simplePos x="0" y="0"/>
                <wp:positionH relativeFrom="column">
                  <wp:posOffset>-236855</wp:posOffset>
                </wp:positionH>
                <wp:positionV relativeFrom="paragraph">
                  <wp:posOffset>1265555</wp:posOffset>
                </wp:positionV>
                <wp:extent cx="438150" cy="257175"/>
                <wp:effectExtent l="0" t="3810" r="4445" b="0"/>
                <wp:wrapNone/>
                <wp:docPr id="1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BBDF89" w14:textId="77777777" w:rsidR="002C3947" w:rsidRPr="00D72D5C" w:rsidRDefault="002C3947" w:rsidP="008D04FE">
                            <w:pPr>
                              <w:rPr>
                                <w:rFonts w:cs="Arial"/>
                              </w:rPr>
                            </w:pPr>
                            <w:r>
                              <w:t>532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AC4D6" id="_x0000_s1079" type="#_x0000_t202" style="position:absolute;left:0;text-align:left;margin-left:-18.65pt;margin-top:99.65pt;width:34.5pt;height:20.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" stroked="f">
                <v:textbox>
                  <w:txbxContent>
                    <w:p w14:paraId="7CBBDF89" w14:textId="77777777" w:rsidR="002C3947" w:rsidRPr="00D72D5C" w:rsidRDefault="002C3947" w:rsidP="008D04FE">
                      <w:pPr>
                        <w:rPr>
                          <w:rFonts w:cs="Arial"/>
                        </w:rPr>
                      </w:pPr>
                      <w:r>
                        <w:t>532</w:t>
                      </w:r>
                    </w:p>
                  </w:txbxContent>
                </v:textbox>
              </v:shape>
            </w:pict>
          </mc:Fallback>
        </mc:AlternateContent>
      </w:r>
      <w:r w:rsidR="00C847E0"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83680" behindDoc="0" locked="0" layoutInCell="1" allowOverlap="1" wp14:anchorId="39C94380" wp14:editId="1A296289">
                <wp:simplePos x="0" y="0"/>
                <wp:positionH relativeFrom="column">
                  <wp:posOffset>3646805</wp:posOffset>
                </wp:positionH>
                <wp:positionV relativeFrom="paragraph">
                  <wp:posOffset>572770</wp:posOffset>
                </wp:positionV>
                <wp:extent cx="1844675" cy="1282700"/>
                <wp:effectExtent l="0" t="0" r="3175" b="0"/>
                <wp:wrapNone/>
                <wp:docPr id="5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675" cy="1282700"/>
                        </a:xfrm>
                        <a:prstGeom prst="rect">
                          <a:avLst/>
                        </a:prstGeom>
                        <a:solidFill>
                          <a:schemeClr val="bg1"/>
                        </a:solidFill>
                        <a:ln w="9525">
                          <a:noFill/>
                          <a:miter lim="800000"/>
                          <a:headEnd/>
                          <a:tailEnd/>
                        </a:ln>
                      </wps:spPr>
                      <wps:txbx>
                        <w:txbxContent>
                          <w:p w14:paraId="2F1443B4" w14:textId="22935106" w:rsidR="002C3947" w:rsidRDefault="002C3947" w:rsidP="002606EA">
                            <w:pPr>
                              <w:rPr>
                                <w:rFonts w:asciiTheme="minorHAnsi" w:hAnsiTheme="minorHAnsi" w:cstheme="minorHAnsi"/>
                                <w:sz w:val="20"/>
                                <w:szCs w:val="32"/>
                              </w:rPr>
                            </w:pPr>
                            <w:r w:rsidRPr="002606EA">
                              <w:rPr>
                                <w:rFonts w:asciiTheme="minorHAnsi" w:hAnsiTheme="minorHAnsi" w:cstheme="minorHAnsi"/>
                                <w:color w:val="8497B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up to 15 kW</w:t>
                            </w:r>
                          </w:p>
                          <w:p w14:paraId="1D69072D" w14:textId="529DC36A" w:rsidR="002C3947" w:rsidRPr="002606EA" w:rsidRDefault="002C3947" w:rsidP="002606EA">
                            <w:pPr>
                              <w:spacing w:before="80"/>
                              <w:rPr>
                                <w:rFonts w:asciiTheme="minorHAnsi" w:hAnsiTheme="minorHAnsi" w:cstheme="minorHAnsi"/>
                                <w:sz w:val="20"/>
                                <w:szCs w:val="32"/>
                              </w:rPr>
                            </w:pPr>
                            <w:r w:rsidRPr="002606EA">
                              <w:rPr>
                                <w:rFonts w:asciiTheme="minorHAnsi" w:hAnsiTheme="minorHAnsi" w:cstheme="minorHAnsi"/>
                                <w:color w:val="FFFF0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15-150 kW</w:t>
                            </w:r>
                          </w:p>
                          <w:p w14:paraId="3361B2A9" w14:textId="02B4C0AF" w:rsidR="002C3947" w:rsidRPr="002606EA" w:rsidRDefault="002C3947" w:rsidP="002606EA">
                            <w:pPr>
                              <w:spacing w:before="80"/>
                              <w:rPr>
                                <w:rFonts w:asciiTheme="minorHAnsi" w:hAnsiTheme="minorHAnsi" w:cstheme="minorHAnsi"/>
                                <w:sz w:val="20"/>
                                <w:szCs w:val="32"/>
                              </w:rPr>
                            </w:pPr>
                            <w:r w:rsidRPr="002606EA">
                              <w:rPr>
                                <w:rFonts w:asciiTheme="minorHAnsi" w:hAnsiTheme="minorHAnsi" w:cstheme="minorHAnsi"/>
                                <w:color w:val="92D05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150-670 kW</w:t>
                            </w:r>
                          </w:p>
                          <w:p w14:paraId="33214D2F" w14:textId="50563CB9" w:rsidR="002C3947" w:rsidRPr="002606EA" w:rsidRDefault="002C3947" w:rsidP="002606EA">
                            <w:pPr>
                              <w:spacing w:before="80"/>
                              <w:rPr>
                                <w:rFonts w:asciiTheme="minorHAnsi" w:hAnsiTheme="minorHAnsi" w:cstheme="minorHAnsi"/>
                                <w:sz w:val="20"/>
                                <w:szCs w:val="32"/>
                              </w:rPr>
                            </w:pPr>
                            <w:r w:rsidRPr="002606EA">
                              <w:rPr>
                                <w:rFonts w:asciiTheme="minorHAnsi" w:hAnsiTheme="minorHAnsi" w:cstheme="minorHAnsi"/>
                                <w:color w:val="B4C7E7"/>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670+ kW</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C94380" id="_x0000_s1080" type="#_x0000_t202" style="position:absolute;left:0;text-align:left;margin-left:287.15pt;margin-top:45.1pt;width:145.25pt;height:101pt;z-index:251783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" fillcolor="white [3212]" stroked="f">
                <v:textbox inset="0,0,0,0">
                  <w:txbxContent>
                    <w:p w14:paraId="2F1443B4" w14:textId="22935106" w:rsidR="002C3947" w:rsidRDefault="002C3947" w:rsidP="002606EA">
                      <w:pPr>
                        <w:rPr>
                          <w:rFonts w:asciiTheme="minorHAnsi" w:hAnsiTheme="minorHAnsi" w:cstheme="minorHAnsi"/>
                          <w:sz w:val="20"/>
                          <w:szCs w:val="32"/>
                        </w:rPr>
                      </w:pPr>
                      <w:r w:rsidRPr="002606EA">
                        <w:rPr>
                          <w:rFonts w:asciiTheme="minorHAnsi" w:hAnsiTheme="minorHAnsi" w:cstheme="minorHAnsi"/>
                          <w:color w:val="8497B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up to 15 kW</w:t>
                      </w:r>
                    </w:p>
                    <w:p w14:paraId="1D69072D" w14:textId="529DC36A" w:rsidR="002C3947" w:rsidRPr="002606EA" w:rsidRDefault="002C3947" w:rsidP="002606EA">
                      <w:pPr>
                        <w:spacing w:before="80"/>
                        <w:rPr>
                          <w:rFonts w:asciiTheme="minorHAnsi" w:hAnsiTheme="minorHAnsi" w:cstheme="minorHAnsi"/>
                          <w:sz w:val="20"/>
                          <w:szCs w:val="32"/>
                        </w:rPr>
                      </w:pPr>
                      <w:r w:rsidRPr="002606EA">
                        <w:rPr>
                          <w:rFonts w:asciiTheme="minorHAnsi" w:hAnsiTheme="minorHAnsi" w:cstheme="minorHAnsi"/>
                          <w:color w:val="FFFF0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15-150 kW</w:t>
                      </w:r>
                    </w:p>
                    <w:p w14:paraId="3361B2A9" w14:textId="02B4C0AF" w:rsidR="002C3947" w:rsidRPr="002606EA" w:rsidRDefault="002C3947" w:rsidP="002606EA">
                      <w:pPr>
                        <w:spacing w:before="80"/>
                        <w:rPr>
                          <w:rFonts w:asciiTheme="minorHAnsi" w:hAnsiTheme="minorHAnsi" w:cstheme="minorHAnsi"/>
                          <w:sz w:val="20"/>
                          <w:szCs w:val="32"/>
                        </w:rPr>
                      </w:pPr>
                      <w:r w:rsidRPr="002606EA">
                        <w:rPr>
                          <w:rFonts w:asciiTheme="minorHAnsi" w:hAnsiTheme="minorHAnsi" w:cstheme="minorHAnsi"/>
                          <w:color w:val="92D05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150-670 kW</w:t>
                      </w:r>
                    </w:p>
                    <w:p w14:paraId="33214D2F" w14:textId="50563CB9" w:rsidR="002C3947" w:rsidRPr="002606EA" w:rsidRDefault="002C3947" w:rsidP="002606EA">
                      <w:pPr>
                        <w:spacing w:before="80"/>
                        <w:rPr>
                          <w:rFonts w:asciiTheme="minorHAnsi" w:hAnsiTheme="minorHAnsi" w:cstheme="minorHAnsi"/>
                          <w:sz w:val="20"/>
                          <w:szCs w:val="32"/>
                        </w:rPr>
                      </w:pPr>
                      <w:r w:rsidRPr="002606EA">
                        <w:rPr>
                          <w:rFonts w:asciiTheme="minorHAnsi" w:hAnsiTheme="minorHAnsi" w:cstheme="minorHAnsi"/>
                          <w:color w:val="B4C7E7"/>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670+ kW</w:t>
                      </w:r>
                    </w:p>
                  </w:txbxContent>
                </v:textbox>
              </v:shape>
            </w:pict>
          </mc:Fallback>
        </mc:AlternateContent>
      </w:r>
      <w:r w:rsidR="00997D07" w:rsidRPr="00BD295E">
        <w:rPr>
          <w:rFonts w:ascii="Arial" w:hAnsi="Arial" w:cs="Arial"/>
          <w:sz w:val="18"/>
          <w:szCs w:val="18"/>
          <w:lang w:val="en-US" w:eastAsia="en-US"/>
        </w:rPr>
        <w:drawing>
          <wp:inline distT="0" distB="0" distL="0" distR="0" wp14:anchorId="6E1AEB7A" wp14:editId="5E8C4F3B">
            <wp:extent cx="4710430" cy="2748280"/>
            <wp:effectExtent l="0" t="0" r="0" b="0"/>
            <wp:docPr id="30" name="Диаграмма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75"/>
                    <pic:cNvPicPr>
                      <a:picLocks noChangeArrowheads="1"/>
                    </pic:cNvPicPr>
                  </pic:nvPicPr>
                  <pic:blipFill rotWithShape="1">
                    <a:blip r:embed="rId48">
                      <a:extLst>
                        <a:ext uri="{28A0092B-C50C-407E-A947-70E740481C1C}">
                          <a14:useLocalDpi xmlns:a14="http://schemas.microsoft.com/office/drawing/2010/main" val="0"/>
                        </a:ext>
                      </a:extLst>
                    </a:blip>
                    <a:srcRect t="12712" b="-40"/>
                    <a:stretch/>
                  </pic:blipFill>
                  <pic:spPr bwMode="auto">
                    <a:xfrm>
                      <a:off x="0" y="0"/>
                      <a:ext cx="4710430" cy="2748280"/>
                    </a:xfrm>
                    <a:prstGeom prst="rect">
                      <a:avLst/>
                    </a:prstGeom>
                    <a:noFill/>
                    <a:ln>
                      <a:noFill/>
                    </a:ln>
                    <a:extLst>
                      <a:ext uri="{53640926-AAD7-44D8-BBD7-CCE9431645EC}">
                        <a14:shadowObscured xmlns:a14="http://schemas.microsoft.com/office/drawing/2010/main"/>
                      </a:ext>
                    </a:extLst>
                  </pic:spPr>
                </pic:pic>
              </a:graphicData>
            </a:graphic>
          </wp:inline>
        </w:drawing>
      </w:r>
    </w:p>
    <w:p w14:paraId="78A4CDCA" w14:textId="77777777" w:rsidR="00B20A51" w:rsidRPr="00BD295E" w:rsidRDefault="00B20A51" w:rsidP="008D04FE">
      <w:pPr>
        <w:jc w:val="both"/>
        <w:rPr>
          <w:rFonts w:ascii="Arial" w:hAnsi="Arial" w:cs="Arial"/>
          <w:sz w:val="18"/>
          <w:szCs w:val="18"/>
          <w:lang w:val="en-US"/>
        </w:rPr>
      </w:pPr>
    </w:p>
    <w:p w14:paraId="6577C03B" w14:textId="77777777" w:rsidR="008D04FE" w:rsidRPr="00BD295E" w:rsidRDefault="008A5057" w:rsidP="008D04FE">
      <w:pPr>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w:t>
      </w:r>
    </w:p>
    <w:p w14:paraId="4602E0A4" w14:textId="77777777" w:rsidR="00203764" w:rsidRPr="00BD295E" w:rsidRDefault="00203764" w:rsidP="00595F2B">
      <w:pPr>
        <w:tabs>
          <w:tab w:val="left" w:pos="709"/>
          <w:tab w:val="left" w:pos="851"/>
        </w:tabs>
        <w:jc w:val="both"/>
        <w:rPr>
          <w:rFonts w:ascii="Arial" w:hAnsi="Arial" w:cs="Arial"/>
          <w:sz w:val="18"/>
          <w:szCs w:val="18"/>
          <w:lang w:val="en-US"/>
        </w:rPr>
      </w:pPr>
    </w:p>
    <w:p w14:paraId="3E168F65" w14:textId="7C5AE4A7" w:rsidR="008D04FE" w:rsidRPr="00BD295E" w:rsidRDefault="008A5057" w:rsidP="00595F2B">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 xml:space="preserve">In 2018, companies under the management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provided connection of 64 MW or about 7% of the connected capacity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(excluding </w:t>
      </w:r>
      <w:r w:rsidR="00DE61D5" w:rsidRPr="00BD295E">
        <w:rPr>
          <w:rFonts w:ascii="Arial" w:hAnsi="Arial" w:cs="Arial"/>
          <w:sz w:val="18"/>
          <w:szCs w:val="18"/>
          <w:lang w:val="en-US"/>
        </w:rPr>
        <w:t>power generation facilities</w:t>
      </w:r>
      <w:r w:rsidRPr="00BD295E">
        <w:rPr>
          <w:rFonts w:ascii="Arial" w:hAnsi="Arial" w:cs="Arial"/>
          <w:sz w:val="18"/>
          <w:szCs w:val="18"/>
          <w:lang w:val="en-US"/>
        </w:rPr>
        <w:t>).</w:t>
      </w:r>
    </w:p>
    <w:p w14:paraId="0287E81E" w14:textId="3537D1BE" w:rsidR="008D04FE" w:rsidRPr="00BD295E" w:rsidRDefault="00997D07" w:rsidP="008D04FE">
      <w:pPr>
        <w:tabs>
          <w:tab w:val="left" w:pos="709"/>
          <w:tab w:val="left" w:pos="851"/>
        </w:tabs>
        <w:ind w:left="426" w:hanging="142"/>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27008" behindDoc="0" locked="0" layoutInCell="1" allowOverlap="1" wp14:anchorId="4E8E1C95" wp14:editId="417B60A8">
                <wp:simplePos x="0" y="0"/>
                <wp:positionH relativeFrom="column">
                  <wp:posOffset>-11430</wp:posOffset>
                </wp:positionH>
                <wp:positionV relativeFrom="paragraph">
                  <wp:posOffset>1651000</wp:posOffset>
                </wp:positionV>
                <wp:extent cx="438150" cy="257175"/>
                <wp:effectExtent l="1905" t="0" r="0" b="1905"/>
                <wp:wrapNone/>
                <wp:docPr id="1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226023" w14:textId="77777777" w:rsidR="002C3947" w:rsidRPr="00D72D5C" w:rsidRDefault="002C3947" w:rsidP="008D04FE">
                            <w:pPr>
                              <w:rPr>
                                <w:rFonts w:cs="Arial"/>
                              </w:rPr>
                            </w:pPr>
                            <w:r>
                              <w:t>64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8E1C95" id="_x0000_s1081" type="#_x0000_t202" style="position:absolute;left:0;text-align:left;margin-left:-.9pt;margin-top:130pt;width:34.5pt;height:20.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" stroked="f">
                <v:textbox>
                  <w:txbxContent>
                    <w:p w14:paraId="72226023" w14:textId="77777777" w:rsidR="002C3947" w:rsidRPr="00D72D5C" w:rsidRDefault="002C3947" w:rsidP="008D04FE">
                      <w:pPr>
                        <w:rPr>
                          <w:rFonts w:cs="Arial"/>
                        </w:rPr>
                      </w:pPr>
                      <w:r>
                        <w:t>64</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25984" behindDoc="0" locked="0" layoutInCell="1" allowOverlap="1" wp14:anchorId="3CEB6DF9" wp14:editId="4F9FDFBA">
                <wp:simplePos x="0" y="0"/>
                <wp:positionH relativeFrom="column">
                  <wp:posOffset>454025</wp:posOffset>
                </wp:positionH>
                <wp:positionV relativeFrom="paragraph">
                  <wp:posOffset>746760</wp:posOffset>
                </wp:positionV>
                <wp:extent cx="238125" cy="2050415"/>
                <wp:effectExtent l="10160" t="8255" r="8890" b="8255"/>
                <wp:wrapNone/>
                <wp:docPr id="106" name="Левая фигурная скобк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125" cy="2050415"/>
                        </a:xfrm>
                        <a:prstGeom prst="leftBrace">
                          <a:avLst>
                            <a:gd name="adj1" fmla="val 8332"/>
                            <a:gd name="adj2" fmla="val 50000"/>
                          </a:avLst>
                        </a:prstGeom>
                        <a:noFill/>
                        <a:ln w="6350" algn="ctr">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E407986" id="Левая фигурная скобка 1" o:spid="_x0000_s1026" type="#_x0000_t87" style="position:absolute;margin-left:35.75pt;margin-top:58.8pt;width:18.75pt;height:161.4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" adj="209" strokecolor="#5b9bd5" strokeweight=".5pt">
                <v:stroke joinstyle="miter"/>
              </v:shape>
            </w:pict>
          </mc:Fallback>
        </mc:AlternateContent>
      </w:r>
      <w:r w:rsidRPr="00BD295E">
        <w:rPr>
          <w:rFonts w:ascii="Arial" w:hAnsi="Arial" w:cs="Arial"/>
          <w:sz w:val="18"/>
          <w:szCs w:val="18"/>
          <w:lang w:val="en-US" w:eastAsia="en-US"/>
        </w:rPr>
        <w:drawing>
          <wp:inline distT="0" distB="0" distL="0" distR="0" wp14:anchorId="19C8873B" wp14:editId="013428DF">
            <wp:extent cx="4200525" cy="2933700"/>
            <wp:effectExtent l="0" t="0" r="0" b="0"/>
            <wp:docPr id="31" name="Диаграмма 1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A67EA70" w14:textId="77777777" w:rsidR="00B20A51" w:rsidRPr="00BD295E" w:rsidRDefault="00B20A51" w:rsidP="00B20A51">
      <w:pPr>
        <w:tabs>
          <w:tab w:val="left" w:pos="709"/>
        </w:tabs>
        <w:jc w:val="both"/>
        <w:rPr>
          <w:rFonts w:ascii="Arial" w:hAnsi="Arial" w:cs="Arial"/>
          <w:sz w:val="18"/>
          <w:szCs w:val="18"/>
          <w:lang w:val="en-US"/>
        </w:rPr>
      </w:pPr>
    </w:p>
    <w:p w14:paraId="2F99B11E" w14:textId="77777777" w:rsidR="008D04FE" w:rsidRPr="00BD295E" w:rsidRDefault="008A5057" w:rsidP="00B20A51">
      <w:pPr>
        <w:tabs>
          <w:tab w:val="left" w:pos="709"/>
        </w:tabs>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w:t>
      </w:r>
    </w:p>
    <w:p w14:paraId="590AF9CA" w14:textId="77777777" w:rsidR="00203764" w:rsidRPr="00BD295E" w:rsidRDefault="00203764" w:rsidP="00B20A51">
      <w:pPr>
        <w:tabs>
          <w:tab w:val="left" w:pos="709"/>
        </w:tabs>
        <w:jc w:val="both"/>
        <w:rPr>
          <w:rFonts w:ascii="Arial" w:hAnsi="Arial" w:cs="Arial"/>
          <w:sz w:val="18"/>
          <w:szCs w:val="18"/>
          <w:lang w:val="en-US"/>
        </w:rPr>
      </w:pPr>
    </w:p>
    <w:p w14:paraId="362C8AFD" w14:textId="60773A78" w:rsidR="008D04FE" w:rsidRPr="00BD295E" w:rsidRDefault="008A5057" w:rsidP="00B20A51">
      <w:pPr>
        <w:tabs>
          <w:tab w:val="left" w:pos="709"/>
        </w:tabs>
        <w:jc w:val="both"/>
        <w:rPr>
          <w:rFonts w:ascii="Arial" w:hAnsi="Arial" w:cs="Arial"/>
          <w:sz w:val="18"/>
          <w:szCs w:val="18"/>
          <w:lang w:val="en-US"/>
        </w:rPr>
      </w:pPr>
      <w:r w:rsidRPr="00BD295E">
        <w:rPr>
          <w:rFonts w:ascii="Arial" w:hAnsi="Arial" w:cs="Arial"/>
          <w:sz w:val="18"/>
          <w:szCs w:val="18"/>
          <w:lang w:val="en-US"/>
        </w:rPr>
        <w:t>Construction sector facilities has the largest share among other economic sectors of Saint Petersburg in 2018 (54%).</w:t>
      </w:r>
      <w:r w:rsidRPr="00BD295E">
        <w:rPr>
          <w:rFonts w:ascii="Arial" w:hAnsi="Arial" w:cs="Arial"/>
          <w:sz w:val="18"/>
          <w:szCs w:val="18"/>
          <w:lang w:val="en-US"/>
        </w:rPr>
        <w:br/>
        <w:t xml:space="preserve">The connected capacity for the above categories, Including electricity, gas, and water distribution companies, accounts for 70% of total connected capacity in the region.  </w:t>
      </w:r>
    </w:p>
    <w:p w14:paraId="65DCE380" w14:textId="77777777" w:rsidR="008D04FE" w:rsidRPr="00BD295E" w:rsidRDefault="008A5057" w:rsidP="00B20A51">
      <w:pPr>
        <w:tabs>
          <w:tab w:val="left" w:pos="709"/>
        </w:tabs>
        <w:jc w:val="both"/>
        <w:rPr>
          <w:rFonts w:ascii="Arial" w:hAnsi="Arial" w:cs="Arial"/>
          <w:sz w:val="18"/>
          <w:szCs w:val="18"/>
          <w:lang w:val="en-US"/>
        </w:rPr>
      </w:pPr>
      <w:r w:rsidRPr="00BD295E">
        <w:rPr>
          <w:rFonts w:ascii="Arial" w:hAnsi="Arial" w:cs="Arial"/>
          <w:sz w:val="18"/>
          <w:szCs w:val="18"/>
          <w:lang w:val="en-US"/>
        </w:rPr>
        <w:t>A comparison of the structure of Saint Petersburg’s economic sectors in 2018 and 2017 shows a 14% year-on-year increase in the specific weight of the construction industry in 2018 (from 40% to 54%), while the share of applications from electricity, gas, and water distribution companies stayed flat year-on-year (~16%).</w:t>
      </w:r>
    </w:p>
    <w:p w14:paraId="66108C4D" w14:textId="1B6C36A1" w:rsidR="008D04FE" w:rsidRPr="00BD295E" w:rsidRDefault="00997D07" w:rsidP="008D04FE">
      <w:pPr>
        <w:tabs>
          <w:tab w:val="left" w:pos="709"/>
          <w:tab w:val="left" w:pos="851"/>
        </w:tabs>
        <w:ind w:left="426" w:hanging="142"/>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28032" behindDoc="0" locked="0" layoutInCell="1" allowOverlap="1" wp14:anchorId="2EE6CE3D" wp14:editId="4974A860">
                <wp:simplePos x="0" y="0"/>
                <wp:positionH relativeFrom="column">
                  <wp:posOffset>-432435</wp:posOffset>
                </wp:positionH>
                <wp:positionV relativeFrom="paragraph">
                  <wp:posOffset>1754505</wp:posOffset>
                </wp:positionV>
                <wp:extent cx="438150" cy="257175"/>
                <wp:effectExtent l="0" t="0" r="0" b="0"/>
                <wp:wrapNone/>
                <wp:docPr id="1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4738B5" w14:textId="77777777" w:rsidR="002C3947" w:rsidRPr="00D72D5C" w:rsidRDefault="002C3947" w:rsidP="008D04FE">
                            <w:pPr>
                              <w:rPr>
                                <w:rFonts w:cs="Arial"/>
                              </w:rPr>
                            </w:pPr>
                            <w:r>
                              <w:t>410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E6CE3D" id="_x0000_s1082" type="#_x0000_t202" style="position:absolute;left:0;text-align:left;margin-left:-34.05pt;margin-top:138.15pt;width:34.5pt;height:20.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" stroked="f">
                <v:textbox>
                  <w:txbxContent>
                    <w:p w14:paraId="404738B5" w14:textId="77777777" w:rsidR="002C3947" w:rsidRPr="00D72D5C" w:rsidRDefault="002C3947" w:rsidP="008D04FE">
                      <w:pPr>
                        <w:rPr>
                          <w:rFonts w:cs="Arial"/>
                        </w:rPr>
                      </w:pPr>
                      <w:r>
                        <w:t>410</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36224" behindDoc="0" locked="0" layoutInCell="1" allowOverlap="1" wp14:anchorId="6782B966" wp14:editId="2470A27D">
                <wp:simplePos x="0" y="0"/>
                <wp:positionH relativeFrom="column">
                  <wp:posOffset>6350</wp:posOffset>
                </wp:positionH>
                <wp:positionV relativeFrom="paragraph">
                  <wp:posOffset>646430</wp:posOffset>
                </wp:positionV>
                <wp:extent cx="238125" cy="2409190"/>
                <wp:effectExtent l="10160" t="6350" r="8890" b="13335"/>
                <wp:wrapNone/>
                <wp:docPr id="104" name="Левая фигурная скобк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125" cy="2409190"/>
                        </a:xfrm>
                        <a:prstGeom prst="leftBrace">
                          <a:avLst>
                            <a:gd name="adj1" fmla="val 8337"/>
                            <a:gd name="adj2" fmla="val 50000"/>
                          </a:avLst>
                        </a:prstGeom>
                        <a:noFill/>
                        <a:ln w="6350" algn="ctr">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D828C0" id="Левая фигурная скобка 1" o:spid="_x0000_s1026" type="#_x0000_t87" style="position:absolute;margin-left:.5pt;margin-top:50.9pt;width:18.75pt;height:189.7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" adj="178" strokecolor="#5b9bd5" strokeweight=".5pt">
                <v:stroke joinstyle="miter"/>
              </v:shape>
            </w:pict>
          </mc:Fallback>
        </mc:AlternateContent>
      </w:r>
      <w:r w:rsidRPr="00BD295E">
        <w:rPr>
          <w:rFonts w:ascii="Arial" w:hAnsi="Arial" w:cs="Arial"/>
          <w:sz w:val="18"/>
          <w:szCs w:val="18"/>
          <w:lang w:val="en-US" w:eastAsia="en-US"/>
        </w:rPr>
        <w:drawing>
          <wp:inline distT="0" distB="0" distL="0" distR="0" wp14:anchorId="3CF8A917" wp14:editId="78DC3902">
            <wp:extent cx="4405630" cy="3390900"/>
            <wp:effectExtent l="0" t="0" r="0" b="0"/>
            <wp:docPr id="32" name="Диаграмма 1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72AE6F1" w14:textId="77777777" w:rsidR="008D04FE" w:rsidRPr="00BD295E" w:rsidRDefault="008A5057" w:rsidP="008D04FE">
      <w:pPr>
        <w:tabs>
          <w:tab w:val="left" w:pos="709"/>
          <w:tab w:val="left" w:pos="851"/>
        </w:tabs>
        <w:ind w:firstLine="284"/>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w:t>
      </w:r>
    </w:p>
    <w:p w14:paraId="53EA84F0" w14:textId="250320F1" w:rsidR="008D04FE" w:rsidRPr="00BD295E" w:rsidRDefault="008A5057" w:rsidP="001E2918">
      <w:pPr>
        <w:tabs>
          <w:tab w:val="left" w:pos="709"/>
          <w:tab w:val="left" w:pos="851"/>
        </w:tabs>
        <w:ind w:left="284"/>
        <w:jc w:val="both"/>
        <w:rPr>
          <w:rFonts w:ascii="Arial" w:hAnsi="Arial" w:cs="Arial"/>
          <w:sz w:val="18"/>
          <w:szCs w:val="18"/>
          <w:lang w:val="en-US"/>
        </w:rPr>
      </w:pPr>
      <w:r w:rsidRPr="00BD295E">
        <w:rPr>
          <w:rFonts w:ascii="Arial" w:hAnsi="Arial" w:cs="Arial"/>
          <w:sz w:val="18"/>
          <w:szCs w:val="18"/>
          <w:lang w:val="en-US"/>
        </w:rPr>
        <w:t xml:space="preserve">An analysis of the structure of the </w:t>
      </w:r>
      <w:r w:rsidR="00174C5B" w:rsidRPr="00BD295E">
        <w:rPr>
          <w:rFonts w:ascii="Arial" w:hAnsi="Arial" w:cs="Arial"/>
          <w:sz w:val="18"/>
          <w:szCs w:val="18"/>
          <w:lang w:val="en-US"/>
        </w:rPr>
        <w:t>Leningrad</w:t>
      </w:r>
      <w:r w:rsidRPr="00BD295E">
        <w:rPr>
          <w:rFonts w:ascii="Arial" w:hAnsi="Arial" w:cs="Arial"/>
          <w:sz w:val="18"/>
          <w:szCs w:val="18"/>
          <w:lang w:val="en-US"/>
        </w:rPr>
        <w:t xml:space="preserve"> Region’s economic sectors in 2018 shows a slowdown in the region’s construction industry, resulting in a 29.5% year-on-year decrease in the connected capacity (from 122 MW in 2017 to 86 MW in 2018). The share of retail customers’ capacity in the total capacity connected in 2018 is 51%.</w:t>
      </w:r>
    </w:p>
    <w:p w14:paraId="66FADFC6" w14:textId="7BFE2261" w:rsidR="008D04FE" w:rsidRPr="00BD295E" w:rsidRDefault="00997D07" w:rsidP="008D04FE">
      <w:pPr>
        <w:tabs>
          <w:tab w:val="left" w:pos="709"/>
          <w:tab w:val="left" w:pos="851"/>
        </w:tabs>
        <w:ind w:left="426" w:hanging="142"/>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29056" behindDoc="0" locked="0" layoutInCell="1" allowOverlap="1" wp14:anchorId="1D0F6396" wp14:editId="65B56C06">
                <wp:simplePos x="0" y="0"/>
                <wp:positionH relativeFrom="column">
                  <wp:posOffset>-70485</wp:posOffset>
                </wp:positionH>
                <wp:positionV relativeFrom="paragraph">
                  <wp:posOffset>668655</wp:posOffset>
                </wp:positionV>
                <wp:extent cx="259715" cy="2297430"/>
                <wp:effectExtent l="9525" t="5715" r="6985" b="11430"/>
                <wp:wrapNone/>
                <wp:docPr id="103" name="Левая фигурная скобк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297430"/>
                        </a:xfrm>
                        <a:prstGeom prst="leftBrace">
                          <a:avLst>
                            <a:gd name="adj1" fmla="val 8314"/>
                            <a:gd name="adj2" fmla="val 50000"/>
                          </a:avLst>
                        </a:prstGeom>
                        <a:noFill/>
                        <a:ln w="6350" algn="ctr">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shape w14:anchorId="13234881" id="Левая фигурная скобка 1" o:spid="_x0000_s1026" type="#_x0000_t87" style="position:absolute;margin-left:-5.55pt;margin-top:52.65pt;width:20.45pt;height:180.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" adj="203" strokecolor="#5b9bd5" strokeweight=".5pt">
                <v:stroke joinstyle="miter"/>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37248" behindDoc="0" locked="0" layoutInCell="1" allowOverlap="1" wp14:anchorId="726C29B0" wp14:editId="7249DD33">
                <wp:simplePos x="0" y="0"/>
                <wp:positionH relativeFrom="column">
                  <wp:posOffset>-430530</wp:posOffset>
                </wp:positionH>
                <wp:positionV relativeFrom="paragraph">
                  <wp:posOffset>1592580</wp:posOffset>
                </wp:positionV>
                <wp:extent cx="438150" cy="257175"/>
                <wp:effectExtent l="1905" t="0" r="0" b="3810"/>
                <wp:wrapNone/>
                <wp:docPr id="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EDB0E2" w14:textId="77777777" w:rsidR="002C3947" w:rsidRPr="00D72D5C" w:rsidRDefault="002C3947" w:rsidP="008D04FE">
                            <w:pPr>
                              <w:rPr>
                                <w:rFonts w:cs="Arial"/>
                              </w:rPr>
                            </w:pPr>
                            <w:r>
                              <w:t>532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6C29B0" id="_x0000_s1083" type="#_x0000_t202" style="position:absolute;left:0;text-align:left;margin-left:-33.9pt;margin-top:125.4pt;width:34.5pt;height:20.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" stroked="f">
                <v:textbox>
                  <w:txbxContent>
                    <w:p w14:paraId="3AEDB0E2" w14:textId="77777777" w:rsidR="002C3947" w:rsidRPr="00D72D5C" w:rsidRDefault="002C3947" w:rsidP="008D04FE">
                      <w:pPr>
                        <w:rPr>
                          <w:rFonts w:cs="Arial"/>
                        </w:rPr>
                      </w:pPr>
                      <w:r>
                        <w:t>532</w:t>
                      </w:r>
                    </w:p>
                  </w:txbxContent>
                </v:textbox>
              </v:shape>
            </w:pict>
          </mc:Fallback>
        </mc:AlternateContent>
      </w:r>
      <w:r w:rsidRPr="00BD295E">
        <w:rPr>
          <w:rFonts w:ascii="Arial" w:hAnsi="Arial" w:cs="Arial"/>
          <w:sz w:val="18"/>
          <w:szCs w:val="18"/>
          <w:lang w:val="en-US" w:eastAsia="en-US"/>
        </w:rPr>
        <w:drawing>
          <wp:inline distT="0" distB="0" distL="0" distR="0" wp14:anchorId="2A7BBC36" wp14:editId="09EEF2F5">
            <wp:extent cx="4729480" cy="3181350"/>
            <wp:effectExtent l="0" t="0" r="0" b="0"/>
            <wp:docPr id="33" name="Диаграмма 1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4F52A4A" w14:textId="77777777" w:rsidR="00B20A51" w:rsidRPr="00BD295E" w:rsidRDefault="00B20A51" w:rsidP="00B20A51">
      <w:pPr>
        <w:pStyle w:val="af3"/>
        <w:ind w:left="0"/>
        <w:jc w:val="both"/>
        <w:rPr>
          <w:rFonts w:ascii="Arial" w:hAnsi="Arial" w:cs="Arial"/>
          <w:sz w:val="18"/>
          <w:szCs w:val="18"/>
          <w:lang w:val="en-US"/>
        </w:rPr>
      </w:pPr>
    </w:p>
    <w:p w14:paraId="2C6432A6" w14:textId="77777777" w:rsidR="008D04FE" w:rsidRPr="00BD295E" w:rsidRDefault="008A5057" w:rsidP="00B20A51">
      <w:pPr>
        <w:pStyle w:val="af3"/>
        <w:ind w:left="0"/>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w:t>
      </w:r>
    </w:p>
    <w:p w14:paraId="1AF7D503" w14:textId="77777777" w:rsidR="008D04FE" w:rsidRPr="00BD295E" w:rsidRDefault="008D04FE" w:rsidP="008D04FE">
      <w:pPr>
        <w:rPr>
          <w:rFonts w:ascii="Arial" w:hAnsi="Arial" w:cs="Arial"/>
          <w:b/>
          <w:sz w:val="18"/>
          <w:szCs w:val="18"/>
          <w:lang w:val="en-US"/>
        </w:rPr>
      </w:pPr>
    </w:p>
    <w:p w14:paraId="30B38B3D" w14:textId="77777777" w:rsidR="008D04FE" w:rsidRPr="00BD295E" w:rsidRDefault="008A5057" w:rsidP="008D04FE">
      <w:pPr>
        <w:rPr>
          <w:rFonts w:ascii="Arial" w:hAnsi="Arial" w:cs="Arial"/>
          <w:b/>
          <w:sz w:val="18"/>
          <w:szCs w:val="18"/>
          <w:lang w:val="en-US"/>
        </w:rPr>
      </w:pPr>
      <w:r w:rsidRPr="00BD295E">
        <w:rPr>
          <w:rFonts w:ascii="Arial" w:hAnsi="Arial" w:cs="Arial"/>
          <w:b/>
          <w:sz w:val="18"/>
          <w:szCs w:val="18"/>
          <w:lang w:val="en-US"/>
        </w:rPr>
        <w:tab/>
      </w:r>
      <w:r w:rsidR="00DE61D5" w:rsidRPr="00BD295E">
        <w:rPr>
          <w:rFonts w:ascii="Arial" w:hAnsi="Arial" w:cs="Arial"/>
          <w:b/>
          <w:sz w:val="18"/>
          <w:szCs w:val="18"/>
          <w:lang w:val="en-US"/>
        </w:rPr>
        <w:t>G</w:t>
      </w:r>
      <w:r w:rsidRPr="00BD295E">
        <w:rPr>
          <w:rFonts w:ascii="Arial" w:hAnsi="Arial" w:cs="Arial"/>
          <w:b/>
          <w:sz w:val="18"/>
          <w:szCs w:val="18"/>
          <w:lang w:val="en-US"/>
        </w:rPr>
        <w:t>rid connection</w:t>
      </w:r>
      <w:bookmarkEnd w:id="203"/>
      <w:bookmarkEnd w:id="204"/>
      <w:bookmarkEnd w:id="205"/>
      <w:bookmarkEnd w:id="206"/>
      <w:r w:rsidR="00DE61D5" w:rsidRPr="00BD295E">
        <w:rPr>
          <w:rFonts w:ascii="Arial" w:hAnsi="Arial" w:cs="Arial"/>
          <w:b/>
          <w:sz w:val="18"/>
          <w:szCs w:val="18"/>
          <w:lang w:val="en-US"/>
        </w:rPr>
        <w:t xml:space="preserve"> demand</w:t>
      </w:r>
    </w:p>
    <w:p w14:paraId="72F17102" w14:textId="74F779BC" w:rsidR="008D04FE" w:rsidRPr="00BD295E" w:rsidRDefault="008A5057" w:rsidP="008D04FE">
      <w:pPr>
        <w:jc w:val="both"/>
        <w:rPr>
          <w:rFonts w:ascii="Arial" w:hAnsi="Arial" w:cs="Arial"/>
          <w:sz w:val="18"/>
          <w:szCs w:val="18"/>
          <w:lang w:val="en-US"/>
        </w:rPr>
      </w:pPr>
      <w:r w:rsidRPr="00BD295E">
        <w:rPr>
          <w:rFonts w:ascii="Arial" w:hAnsi="Arial" w:cs="Arial"/>
          <w:sz w:val="18"/>
          <w:szCs w:val="18"/>
          <w:lang w:val="en-US"/>
        </w:rPr>
        <w:tab/>
        <w:t xml:space="preserve">For 12M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received 36,528 </w:t>
      </w:r>
      <w:r w:rsidR="00DE61D5" w:rsidRPr="00BD295E">
        <w:rPr>
          <w:rFonts w:ascii="Arial" w:hAnsi="Arial" w:cs="Arial"/>
          <w:sz w:val="18"/>
          <w:szCs w:val="18"/>
          <w:lang w:val="en-US"/>
        </w:rPr>
        <w:t xml:space="preserve">grid connection </w:t>
      </w:r>
      <w:r w:rsidR="002C3947" w:rsidRPr="00BD295E">
        <w:rPr>
          <w:rFonts w:ascii="Arial" w:hAnsi="Arial" w:cs="Arial"/>
          <w:sz w:val="18"/>
          <w:szCs w:val="18"/>
          <w:lang w:val="en-US"/>
        </w:rPr>
        <w:t>applications from</w:t>
      </w:r>
      <w:r w:rsidRPr="00BD295E">
        <w:rPr>
          <w:rFonts w:ascii="Arial" w:hAnsi="Arial" w:cs="Arial"/>
          <w:sz w:val="18"/>
          <w:szCs w:val="18"/>
          <w:lang w:val="en-US"/>
        </w:rPr>
        <w:t xml:space="preserve"> consumers for a total capacity of 2,208 MW (net of temporarily connected </w:t>
      </w:r>
      <w:r w:rsidR="000D659F" w:rsidRPr="00BD295E">
        <w:rPr>
          <w:rFonts w:ascii="Arial" w:hAnsi="Arial" w:cs="Arial"/>
          <w:sz w:val="18"/>
          <w:szCs w:val="18"/>
          <w:lang w:val="en-US"/>
        </w:rPr>
        <w:t>customer</w:t>
      </w:r>
      <w:r w:rsidRPr="00BD295E">
        <w:rPr>
          <w:rFonts w:ascii="Arial" w:hAnsi="Arial" w:cs="Arial"/>
          <w:sz w:val="18"/>
          <w:szCs w:val="18"/>
          <w:lang w:val="en-US"/>
        </w:rPr>
        <w:t xml:space="preserve">s and connected </w:t>
      </w:r>
      <w:r w:rsidR="00DE61D5" w:rsidRPr="00BD295E">
        <w:rPr>
          <w:rFonts w:ascii="Arial" w:hAnsi="Arial" w:cs="Arial"/>
          <w:sz w:val="18"/>
          <w:szCs w:val="18"/>
          <w:lang w:val="en-US"/>
        </w:rPr>
        <w:t>power generation facilities</w:t>
      </w:r>
      <w:r w:rsidRPr="00BD295E">
        <w:rPr>
          <w:rFonts w:ascii="Arial" w:hAnsi="Arial" w:cs="Arial"/>
          <w:sz w:val="18"/>
          <w:szCs w:val="18"/>
          <w:lang w:val="en-US"/>
        </w:rPr>
        <w:t xml:space="preserve">). Most applications were submitted by </w:t>
      </w:r>
      <w:r w:rsidR="000D659F" w:rsidRPr="00BD295E">
        <w:rPr>
          <w:rFonts w:ascii="Arial" w:hAnsi="Arial" w:cs="Arial"/>
          <w:sz w:val="18"/>
          <w:szCs w:val="18"/>
          <w:lang w:val="en-US"/>
        </w:rPr>
        <w:t>customer</w:t>
      </w:r>
      <w:r w:rsidRPr="00BD295E">
        <w:rPr>
          <w:rFonts w:ascii="Arial" w:hAnsi="Arial" w:cs="Arial"/>
          <w:sz w:val="18"/>
          <w:szCs w:val="18"/>
          <w:lang w:val="en-US"/>
        </w:rPr>
        <w:t xml:space="preserve">s from the Leningrad Region, a total of 25,434 applications for 1,176 MW.  </w:t>
      </w:r>
    </w:p>
    <w:p w14:paraId="33894F5D" w14:textId="77777777" w:rsidR="008D04FE" w:rsidRPr="00BD295E" w:rsidRDefault="008A5057" w:rsidP="008D04FE">
      <w:pPr>
        <w:jc w:val="both"/>
        <w:rPr>
          <w:rFonts w:ascii="Arial" w:hAnsi="Arial" w:cs="Arial"/>
          <w:sz w:val="18"/>
          <w:szCs w:val="18"/>
          <w:lang w:val="en-US"/>
        </w:rPr>
      </w:pPr>
      <w:r w:rsidRPr="00BD295E">
        <w:rPr>
          <w:rFonts w:ascii="Arial" w:hAnsi="Arial" w:cs="Arial"/>
          <w:sz w:val="18"/>
          <w:szCs w:val="18"/>
          <w:lang w:val="en-US"/>
        </w:rPr>
        <w:tab/>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signed 31,673 grid connection contracts for a total 991 MW, 70% of which were signed with </w:t>
      </w:r>
      <w:r w:rsidR="000D659F" w:rsidRPr="00BD295E">
        <w:rPr>
          <w:rFonts w:ascii="Arial" w:hAnsi="Arial" w:cs="Arial"/>
          <w:sz w:val="18"/>
          <w:szCs w:val="18"/>
          <w:lang w:val="en-US"/>
        </w:rPr>
        <w:t>customer</w:t>
      </w:r>
      <w:r w:rsidRPr="00BD295E">
        <w:rPr>
          <w:rFonts w:ascii="Arial" w:hAnsi="Arial" w:cs="Arial"/>
          <w:sz w:val="18"/>
          <w:szCs w:val="18"/>
          <w:lang w:val="en-US"/>
        </w:rPr>
        <w:t>s from the Leningrad Region (permanent grid connection).</w:t>
      </w:r>
    </w:p>
    <w:p w14:paraId="35B68385" w14:textId="77777777" w:rsidR="008D04FE" w:rsidRPr="00BD295E" w:rsidRDefault="008A5057" w:rsidP="008D04FE">
      <w:pPr>
        <w:tabs>
          <w:tab w:val="left" w:pos="709"/>
          <w:tab w:val="left" w:pos="851"/>
        </w:tabs>
        <w:ind w:firstLine="709"/>
        <w:jc w:val="both"/>
        <w:rPr>
          <w:rFonts w:ascii="Arial" w:hAnsi="Arial" w:cs="Arial"/>
          <w:sz w:val="18"/>
          <w:szCs w:val="18"/>
          <w:lang w:val="en-US"/>
        </w:rPr>
      </w:pPr>
      <w:r w:rsidRPr="00BD295E">
        <w:rPr>
          <w:rFonts w:ascii="Arial" w:hAnsi="Arial" w:cs="Arial"/>
          <w:sz w:val="18"/>
          <w:szCs w:val="18"/>
          <w:lang w:val="en-US"/>
        </w:rPr>
        <w:t>Changes in demand for grid connection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4"/>
        <w:gridCol w:w="960"/>
        <w:gridCol w:w="825"/>
        <w:gridCol w:w="842"/>
        <w:gridCol w:w="943"/>
        <w:gridCol w:w="770"/>
        <w:gridCol w:w="32"/>
        <w:gridCol w:w="802"/>
        <w:gridCol w:w="1082"/>
        <w:gridCol w:w="1118"/>
      </w:tblGrid>
      <w:tr w:rsidR="008A5057" w:rsidRPr="00BD295E" w14:paraId="2A7C4215" w14:textId="77777777" w:rsidTr="00D108C0">
        <w:trPr>
          <w:trHeight w:val="226"/>
          <w:tblHeader/>
        </w:trPr>
        <w:tc>
          <w:tcPr>
            <w:tcW w:w="1734" w:type="dxa"/>
            <w:vMerge w:val="restart"/>
            <w:shd w:val="clear" w:color="auto" w:fill="auto"/>
          </w:tcPr>
          <w:p w14:paraId="35E04BE6" w14:textId="77777777" w:rsidR="008D04FE" w:rsidRPr="00BD295E" w:rsidRDefault="008D04FE" w:rsidP="00D108C0">
            <w:pPr>
              <w:tabs>
                <w:tab w:val="left" w:pos="709"/>
                <w:tab w:val="left" w:pos="851"/>
              </w:tabs>
              <w:jc w:val="both"/>
              <w:rPr>
                <w:rFonts w:ascii="Arial" w:hAnsi="Arial" w:cs="Arial"/>
                <w:sz w:val="18"/>
                <w:szCs w:val="18"/>
                <w:lang w:val="en-US"/>
              </w:rPr>
            </w:pPr>
          </w:p>
        </w:tc>
        <w:tc>
          <w:tcPr>
            <w:tcW w:w="1785" w:type="dxa"/>
            <w:gridSpan w:val="2"/>
            <w:shd w:val="clear" w:color="auto" w:fill="auto"/>
            <w:vAlign w:val="center"/>
          </w:tcPr>
          <w:p w14:paraId="78CC9470"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2016</w:t>
            </w:r>
          </w:p>
        </w:tc>
        <w:tc>
          <w:tcPr>
            <w:tcW w:w="1785" w:type="dxa"/>
            <w:gridSpan w:val="2"/>
            <w:shd w:val="clear" w:color="auto" w:fill="auto"/>
            <w:vAlign w:val="center"/>
          </w:tcPr>
          <w:p w14:paraId="5B677D61"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2017</w:t>
            </w:r>
          </w:p>
        </w:tc>
        <w:tc>
          <w:tcPr>
            <w:tcW w:w="1604" w:type="dxa"/>
            <w:gridSpan w:val="3"/>
            <w:shd w:val="clear" w:color="auto" w:fill="auto"/>
            <w:vAlign w:val="center"/>
          </w:tcPr>
          <w:p w14:paraId="2C41D346"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2018</w:t>
            </w:r>
          </w:p>
        </w:tc>
        <w:tc>
          <w:tcPr>
            <w:tcW w:w="2200" w:type="dxa"/>
            <w:gridSpan w:val="2"/>
            <w:shd w:val="clear" w:color="auto" w:fill="auto"/>
          </w:tcPr>
          <w:p w14:paraId="7452E085" w14:textId="77777777" w:rsidR="008D04FE" w:rsidRPr="00BD295E" w:rsidRDefault="00C064D1" w:rsidP="00D108C0">
            <w:pPr>
              <w:tabs>
                <w:tab w:val="left" w:pos="709"/>
                <w:tab w:val="left" w:pos="851"/>
              </w:tabs>
              <w:jc w:val="center"/>
              <w:rPr>
                <w:rFonts w:ascii="Arial" w:hAnsi="Arial" w:cs="Arial"/>
                <w:sz w:val="18"/>
                <w:szCs w:val="18"/>
                <w:lang w:val="en-US"/>
              </w:rPr>
            </w:pPr>
            <w:r w:rsidRPr="00BD295E">
              <w:rPr>
                <w:rFonts w:ascii="Arial" w:hAnsi="Arial" w:cs="Arial"/>
                <w:bCs/>
                <w:sz w:val="18"/>
                <w:szCs w:val="18"/>
                <w:lang w:val="en-US"/>
              </w:rPr>
              <w:t>2018 vs. 2017</w:t>
            </w:r>
            <w:r w:rsidR="008A5057" w:rsidRPr="00BD295E">
              <w:rPr>
                <w:rFonts w:ascii="Arial" w:hAnsi="Arial" w:cs="Arial"/>
                <w:bCs/>
                <w:sz w:val="18"/>
                <w:szCs w:val="18"/>
                <w:lang w:val="en-US"/>
              </w:rPr>
              <w:t>, %</w:t>
            </w:r>
          </w:p>
        </w:tc>
      </w:tr>
      <w:tr w:rsidR="008A5057" w:rsidRPr="00BD295E" w14:paraId="32AFD3EB" w14:textId="77777777" w:rsidTr="00D108C0">
        <w:trPr>
          <w:trHeight w:val="144"/>
          <w:tblHeader/>
        </w:trPr>
        <w:tc>
          <w:tcPr>
            <w:tcW w:w="1734" w:type="dxa"/>
            <w:vMerge/>
            <w:shd w:val="clear" w:color="auto" w:fill="auto"/>
          </w:tcPr>
          <w:p w14:paraId="7BFFEB87" w14:textId="77777777" w:rsidR="008D04FE" w:rsidRPr="00BD295E" w:rsidRDefault="008D04FE" w:rsidP="00D108C0">
            <w:pPr>
              <w:tabs>
                <w:tab w:val="left" w:pos="709"/>
                <w:tab w:val="left" w:pos="851"/>
              </w:tabs>
              <w:jc w:val="both"/>
              <w:rPr>
                <w:rFonts w:ascii="Arial" w:hAnsi="Arial" w:cs="Arial"/>
                <w:sz w:val="18"/>
                <w:szCs w:val="18"/>
                <w:lang w:val="en-US"/>
              </w:rPr>
            </w:pPr>
          </w:p>
        </w:tc>
        <w:tc>
          <w:tcPr>
            <w:tcW w:w="960" w:type="dxa"/>
            <w:shd w:val="clear" w:color="auto" w:fill="auto"/>
            <w:vAlign w:val="center"/>
          </w:tcPr>
          <w:p w14:paraId="23FB9A52"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Units</w:t>
            </w:r>
          </w:p>
        </w:tc>
        <w:tc>
          <w:tcPr>
            <w:tcW w:w="825" w:type="dxa"/>
            <w:shd w:val="clear" w:color="auto" w:fill="auto"/>
            <w:vAlign w:val="center"/>
          </w:tcPr>
          <w:p w14:paraId="065C146F"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MW</w:t>
            </w:r>
          </w:p>
        </w:tc>
        <w:tc>
          <w:tcPr>
            <w:tcW w:w="842" w:type="dxa"/>
            <w:shd w:val="clear" w:color="auto" w:fill="auto"/>
            <w:vAlign w:val="center"/>
          </w:tcPr>
          <w:p w14:paraId="1588953B"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Units</w:t>
            </w:r>
          </w:p>
        </w:tc>
        <w:tc>
          <w:tcPr>
            <w:tcW w:w="943" w:type="dxa"/>
            <w:shd w:val="clear" w:color="auto" w:fill="auto"/>
            <w:vAlign w:val="center"/>
          </w:tcPr>
          <w:p w14:paraId="33D1C709"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MW</w:t>
            </w:r>
          </w:p>
        </w:tc>
        <w:tc>
          <w:tcPr>
            <w:tcW w:w="770" w:type="dxa"/>
            <w:shd w:val="clear" w:color="auto" w:fill="auto"/>
            <w:vAlign w:val="center"/>
          </w:tcPr>
          <w:p w14:paraId="11CD6C81"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Units</w:t>
            </w:r>
          </w:p>
        </w:tc>
        <w:tc>
          <w:tcPr>
            <w:tcW w:w="834" w:type="dxa"/>
            <w:gridSpan w:val="2"/>
            <w:shd w:val="clear" w:color="auto" w:fill="auto"/>
            <w:vAlign w:val="center"/>
          </w:tcPr>
          <w:p w14:paraId="10C8483D"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MW</w:t>
            </w:r>
          </w:p>
        </w:tc>
        <w:tc>
          <w:tcPr>
            <w:tcW w:w="1082" w:type="dxa"/>
            <w:shd w:val="clear" w:color="auto" w:fill="auto"/>
            <w:vAlign w:val="center"/>
          </w:tcPr>
          <w:p w14:paraId="6E88088D"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Units</w:t>
            </w:r>
          </w:p>
        </w:tc>
        <w:tc>
          <w:tcPr>
            <w:tcW w:w="1118" w:type="dxa"/>
            <w:shd w:val="clear" w:color="auto" w:fill="auto"/>
            <w:vAlign w:val="center"/>
          </w:tcPr>
          <w:p w14:paraId="73BCF27E" w14:textId="77777777" w:rsidR="008D04FE" w:rsidRPr="00BD295E" w:rsidRDefault="008A5057" w:rsidP="00D108C0">
            <w:pPr>
              <w:tabs>
                <w:tab w:val="left" w:pos="709"/>
                <w:tab w:val="left" w:pos="851"/>
              </w:tabs>
              <w:jc w:val="center"/>
              <w:rPr>
                <w:rFonts w:ascii="Arial" w:hAnsi="Arial" w:cs="Arial"/>
                <w:sz w:val="18"/>
                <w:szCs w:val="18"/>
                <w:lang w:val="en-US"/>
              </w:rPr>
            </w:pPr>
            <w:r w:rsidRPr="00BD295E">
              <w:rPr>
                <w:rFonts w:ascii="Arial" w:hAnsi="Arial" w:cs="Arial"/>
                <w:sz w:val="18"/>
                <w:szCs w:val="18"/>
                <w:lang w:val="en-US"/>
              </w:rPr>
              <w:t>MW</w:t>
            </w:r>
          </w:p>
        </w:tc>
      </w:tr>
      <w:tr w:rsidR="008A5057" w:rsidRPr="00BD295E" w14:paraId="2623FE72" w14:textId="77777777" w:rsidTr="00D108C0">
        <w:trPr>
          <w:trHeight w:val="226"/>
        </w:trPr>
        <w:tc>
          <w:tcPr>
            <w:tcW w:w="9108" w:type="dxa"/>
            <w:gridSpan w:val="10"/>
            <w:shd w:val="clear" w:color="auto" w:fill="auto"/>
          </w:tcPr>
          <w:p w14:paraId="1E61B9DC" w14:textId="77777777" w:rsidR="008D04FE" w:rsidRPr="00BD295E" w:rsidRDefault="00DE61D5" w:rsidP="00D108C0">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 xml:space="preserve">Grid connection applications </w:t>
            </w:r>
            <w:r w:rsidR="008A5057" w:rsidRPr="00BD295E">
              <w:rPr>
                <w:rFonts w:ascii="Arial" w:hAnsi="Arial" w:cs="Arial"/>
                <w:sz w:val="18"/>
                <w:szCs w:val="18"/>
                <w:lang w:val="en-US"/>
              </w:rPr>
              <w:t xml:space="preserve"> (during the relevant period)</w:t>
            </w:r>
          </w:p>
        </w:tc>
      </w:tr>
      <w:tr w:rsidR="008A5057" w:rsidRPr="00BD295E" w14:paraId="0B5098A6" w14:textId="77777777" w:rsidTr="00D108C0">
        <w:trPr>
          <w:trHeight w:val="451"/>
        </w:trPr>
        <w:tc>
          <w:tcPr>
            <w:tcW w:w="1734" w:type="dxa"/>
            <w:shd w:val="clear" w:color="auto" w:fill="auto"/>
          </w:tcPr>
          <w:p w14:paraId="4DE526DE" w14:textId="77777777" w:rsidR="008D04FE" w:rsidRPr="00BD295E" w:rsidRDefault="00EE5753" w:rsidP="00D108C0">
            <w:pPr>
              <w:jc w:val="center"/>
              <w:rPr>
                <w:rFonts w:ascii="Arial" w:hAnsi="Arial" w:cs="Arial"/>
                <w:sz w:val="18"/>
                <w:szCs w:val="18"/>
                <w:lang w:val="en-US"/>
              </w:rPr>
            </w:pPr>
            <w:r w:rsidRPr="00BD295E">
              <w:rPr>
                <w:rFonts w:ascii="Arial" w:hAnsi="Arial" w:cs="Arial"/>
                <w:sz w:val="18"/>
                <w:szCs w:val="18"/>
                <w:lang w:val="en-US"/>
              </w:rPr>
              <w:t>PJSC “Lenenergo”</w:t>
            </w:r>
          </w:p>
        </w:tc>
        <w:tc>
          <w:tcPr>
            <w:tcW w:w="960" w:type="dxa"/>
            <w:shd w:val="clear" w:color="auto" w:fill="auto"/>
            <w:vAlign w:val="center"/>
          </w:tcPr>
          <w:p w14:paraId="6B10E91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28,904</w:t>
            </w:r>
          </w:p>
        </w:tc>
        <w:tc>
          <w:tcPr>
            <w:tcW w:w="825" w:type="dxa"/>
            <w:shd w:val="clear" w:color="auto" w:fill="auto"/>
            <w:vAlign w:val="center"/>
          </w:tcPr>
          <w:p w14:paraId="02CBEEE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1,841</w:t>
            </w:r>
          </w:p>
        </w:tc>
        <w:tc>
          <w:tcPr>
            <w:tcW w:w="842" w:type="dxa"/>
            <w:shd w:val="clear" w:color="auto" w:fill="auto"/>
            <w:vAlign w:val="center"/>
          </w:tcPr>
          <w:p w14:paraId="6498E70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39,062</w:t>
            </w:r>
          </w:p>
        </w:tc>
        <w:tc>
          <w:tcPr>
            <w:tcW w:w="943" w:type="dxa"/>
            <w:shd w:val="clear" w:color="auto" w:fill="auto"/>
            <w:vAlign w:val="center"/>
          </w:tcPr>
          <w:p w14:paraId="58E348CA"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2,160</w:t>
            </w:r>
          </w:p>
        </w:tc>
        <w:tc>
          <w:tcPr>
            <w:tcW w:w="770" w:type="dxa"/>
            <w:shd w:val="clear" w:color="auto" w:fill="auto"/>
            <w:vAlign w:val="center"/>
          </w:tcPr>
          <w:p w14:paraId="226C510A"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36,528</w:t>
            </w:r>
          </w:p>
        </w:tc>
        <w:tc>
          <w:tcPr>
            <w:tcW w:w="834" w:type="dxa"/>
            <w:gridSpan w:val="2"/>
            <w:shd w:val="clear" w:color="auto" w:fill="auto"/>
            <w:vAlign w:val="center"/>
          </w:tcPr>
          <w:p w14:paraId="306DB670"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2,208</w:t>
            </w:r>
          </w:p>
        </w:tc>
        <w:tc>
          <w:tcPr>
            <w:tcW w:w="1082" w:type="dxa"/>
            <w:shd w:val="clear" w:color="auto" w:fill="auto"/>
            <w:vAlign w:val="center"/>
          </w:tcPr>
          <w:p w14:paraId="7BFCBD4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94%</w:t>
            </w:r>
          </w:p>
        </w:tc>
        <w:tc>
          <w:tcPr>
            <w:tcW w:w="1118" w:type="dxa"/>
            <w:shd w:val="clear" w:color="auto" w:fill="auto"/>
            <w:vAlign w:val="center"/>
          </w:tcPr>
          <w:p w14:paraId="29F7324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102%</w:t>
            </w:r>
          </w:p>
        </w:tc>
      </w:tr>
      <w:tr w:rsidR="008A5057" w:rsidRPr="00BD295E" w14:paraId="45E94934" w14:textId="77777777" w:rsidTr="00D108C0">
        <w:trPr>
          <w:trHeight w:val="451"/>
        </w:trPr>
        <w:tc>
          <w:tcPr>
            <w:tcW w:w="1734" w:type="dxa"/>
            <w:shd w:val="clear" w:color="auto" w:fill="auto"/>
            <w:vAlign w:val="center"/>
          </w:tcPr>
          <w:p w14:paraId="2DFCDD6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Saint Petersburg</w:t>
            </w:r>
          </w:p>
        </w:tc>
        <w:tc>
          <w:tcPr>
            <w:tcW w:w="960" w:type="dxa"/>
            <w:shd w:val="clear" w:color="auto" w:fill="auto"/>
            <w:vAlign w:val="center"/>
          </w:tcPr>
          <w:p w14:paraId="58C60AE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8,312</w:t>
            </w:r>
          </w:p>
        </w:tc>
        <w:tc>
          <w:tcPr>
            <w:tcW w:w="825" w:type="dxa"/>
            <w:shd w:val="clear" w:color="auto" w:fill="auto"/>
            <w:vAlign w:val="center"/>
          </w:tcPr>
          <w:p w14:paraId="409E6936"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984</w:t>
            </w:r>
          </w:p>
        </w:tc>
        <w:tc>
          <w:tcPr>
            <w:tcW w:w="842" w:type="dxa"/>
            <w:shd w:val="clear" w:color="auto" w:fill="auto"/>
            <w:vAlign w:val="center"/>
          </w:tcPr>
          <w:p w14:paraId="1837162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11,898</w:t>
            </w:r>
          </w:p>
        </w:tc>
        <w:tc>
          <w:tcPr>
            <w:tcW w:w="943" w:type="dxa"/>
            <w:shd w:val="clear" w:color="auto" w:fill="auto"/>
            <w:vAlign w:val="center"/>
          </w:tcPr>
          <w:p w14:paraId="1459D8B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1,002</w:t>
            </w:r>
          </w:p>
        </w:tc>
        <w:tc>
          <w:tcPr>
            <w:tcW w:w="770" w:type="dxa"/>
            <w:shd w:val="clear" w:color="auto" w:fill="auto"/>
            <w:vAlign w:val="center"/>
          </w:tcPr>
          <w:p w14:paraId="55DAE82C"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11,094</w:t>
            </w:r>
          </w:p>
        </w:tc>
        <w:tc>
          <w:tcPr>
            <w:tcW w:w="834" w:type="dxa"/>
            <w:gridSpan w:val="2"/>
            <w:shd w:val="clear" w:color="auto" w:fill="auto"/>
            <w:vAlign w:val="center"/>
          </w:tcPr>
          <w:p w14:paraId="4A09D31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1,032</w:t>
            </w:r>
          </w:p>
        </w:tc>
        <w:tc>
          <w:tcPr>
            <w:tcW w:w="1082" w:type="dxa"/>
            <w:shd w:val="clear" w:color="auto" w:fill="auto"/>
            <w:vAlign w:val="center"/>
          </w:tcPr>
          <w:p w14:paraId="75F359B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93%</w:t>
            </w:r>
          </w:p>
        </w:tc>
        <w:tc>
          <w:tcPr>
            <w:tcW w:w="1118" w:type="dxa"/>
            <w:shd w:val="clear" w:color="auto" w:fill="auto"/>
            <w:vAlign w:val="center"/>
          </w:tcPr>
          <w:p w14:paraId="13C69FB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103%</w:t>
            </w:r>
          </w:p>
        </w:tc>
      </w:tr>
      <w:tr w:rsidR="008A5057" w:rsidRPr="00BD295E" w14:paraId="49707EAA" w14:textId="77777777" w:rsidTr="00D108C0">
        <w:trPr>
          <w:trHeight w:val="466"/>
        </w:trPr>
        <w:tc>
          <w:tcPr>
            <w:tcW w:w="1734" w:type="dxa"/>
            <w:shd w:val="clear" w:color="auto" w:fill="auto"/>
          </w:tcPr>
          <w:p w14:paraId="21AA2C0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Leningrad Region</w:t>
            </w:r>
          </w:p>
        </w:tc>
        <w:tc>
          <w:tcPr>
            <w:tcW w:w="960" w:type="dxa"/>
            <w:shd w:val="clear" w:color="auto" w:fill="auto"/>
            <w:vAlign w:val="center"/>
          </w:tcPr>
          <w:p w14:paraId="1868D89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20,592</w:t>
            </w:r>
          </w:p>
        </w:tc>
        <w:tc>
          <w:tcPr>
            <w:tcW w:w="825" w:type="dxa"/>
            <w:shd w:val="clear" w:color="auto" w:fill="auto"/>
            <w:vAlign w:val="center"/>
          </w:tcPr>
          <w:p w14:paraId="094A3250"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857</w:t>
            </w:r>
          </w:p>
        </w:tc>
        <w:tc>
          <w:tcPr>
            <w:tcW w:w="842" w:type="dxa"/>
            <w:shd w:val="clear" w:color="auto" w:fill="auto"/>
            <w:vAlign w:val="center"/>
          </w:tcPr>
          <w:p w14:paraId="7E78DA8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27,164</w:t>
            </w:r>
          </w:p>
        </w:tc>
        <w:tc>
          <w:tcPr>
            <w:tcW w:w="943" w:type="dxa"/>
            <w:shd w:val="clear" w:color="auto" w:fill="auto"/>
            <w:vAlign w:val="center"/>
          </w:tcPr>
          <w:p w14:paraId="7D64B1C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1,158</w:t>
            </w:r>
          </w:p>
        </w:tc>
        <w:tc>
          <w:tcPr>
            <w:tcW w:w="770" w:type="dxa"/>
            <w:shd w:val="clear" w:color="auto" w:fill="auto"/>
            <w:vAlign w:val="center"/>
          </w:tcPr>
          <w:p w14:paraId="1B06056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25,434</w:t>
            </w:r>
          </w:p>
        </w:tc>
        <w:tc>
          <w:tcPr>
            <w:tcW w:w="834" w:type="dxa"/>
            <w:gridSpan w:val="2"/>
            <w:shd w:val="clear" w:color="auto" w:fill="auto"/>
            <w:vAlign w:val="center"/>
          </w:tcPr>
          <w:p w14:paraId="5109101C"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1,176</w:t>
            </w:r>
          </w:p>
        </w:tc>
        <w:tc>
          <w:tcPr>
            <w:tcW w:w="1082" w:type="dxa"/>
            <w:shd w:val="clear" w:color="auto" w:fill="auto"/>
            <w:vAlign w:val="center"/>
          </w:tcPr>
          <w:p w14:paraId="63BBF30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94%</w:t>
            </w:r>
          </w:p>
        </w:tc>
        <w:tc>
          <w:tcPr>
            <w:tcW w:w="1118" w:type="dxa"/>
            <w:shd w:val="clear" w:color="auto" w:fill="auto"/>
            <w:vAlign w:val="center"/>
          </w:tcPr>
          <w:p w14:paraId="3C66A90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102%</w:t>
            </w:r>
          </w:p>
        </w:tc>
      </w:tr>
      <w:tr w:rsidR="008A5057" w:rsidRPr="00BD295E" w14:paraId="6ABEC6CF" w14:textId="77777777" w:rsidTr="00D108C0">
        <w:trPr>
          <w:trHeight w:val="853"/>
        </w:trPr>
        <w:tc>
          <w:tcPr>
            <w:tcW w:w="1734" w:type="dxa"/>
            <w:shd w:val="clear" w:color="auto" w:fill="auto"/>
          </w:tcPr>
          <w:p w14:paraId="7BB80DE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Companies under management of </w:t>
            </w:r>
          </w:p>
          <w:p w14:paraId="5EFA686D" w14:textId="77777777" w:rsidR="008D04FE" w:rsidRPr="00BD295E" w:rsidRDefault="008D04FE" w:rsidP="00D108C0">
            <w:pPr>
              <w:jc w:val="center"/>
              <w:rPr>
                <w:rFonts w:ascii="Arial" w:hAnsi="Arial" w:cs="Arial"/>
                <w:sz w:val="18"/>
                <w:szCs w:val="18"/>
                <w:lang w:val="en-US"/>
              </w:rPr>
            </w:pPr>
          </w:p>
          <w:p w14:paraId="47851436" w14:textId="77777777" w:rsidR="008D04FE" w:rsidRPr="00BD295E" w:rsidRDefault="00EE5753" w:rsidP="00D108C0">
            <w:pPr>
              <w:jc w:val="center"/>
              <w:rPr>
                <w:rFonts w:ascii="Arial" w:hAnsi="Arial" w:cs="Arial"/>
                <w:sz w:val="18"/>
                <w:szCs w:val="18"/>
                <w:lang w:val="en-US"/>
              </w:rPr>
            </w:pPr>
            <w:r w:rsidRPr="00BD295E">
              <w:rPr>
                <w:rFonts w:ascii="Arial" w:hAnsi="Arial" w:cs="Arial"/>
                <w:sz w:val="18"/>
                <w:szCs w:val="18"/>
                <w:lang w:val="en-US"/>
              </w:rPr>
              <w:t>PJSC “Lenenergo”</w:t>
            </w:r>
          </w:p>
        </w:tc>
        <w:tc>
          <w:tcPr>
            <w:tcW w:w="960" w:type="dxa"/>
            <w:shd w:val="clear" w:color="auto" w:fill="auto"/>
            <w:vAlign w:val="center"/>
          </w:tcPr>
          <w:p w14:paraId="576523B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2,406</w:t>
            </w:r>
          </w:p>
        </w:tc>
        <w:tc>
          <w:tcPr>
            <w:tcW w:w="825" w:type="dxa"/>
            <w:shd w:val="clear" w:color="auto" w:fill="auto"/>
            <w:vAlign w:val="center"/>
          </w:tcPr>
          <w:p w14:paraId="5E1759D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696</w:t>
            </w:r>
          </w:p>
        </w:tc>
        <w:tc>
          <w:tcPr>
            <w:tcW w:w="842" w:type="dxa"/>
            <w:shd w:val="clear" w:color="auto" w:fill="auto"/>
            <w:vAlign w:val="center"/>
          </w:tcPr>
          <w:p w14:paraId="40DDDEA6"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1,460</w:t>
            </w:r>
          </w:p>
        </w:tc>
        <w:tc>
          <w:tcPr>
            <w:tcW w:w="943" w:type="dxa"/>
            <w:shd w:val="clear" w:color="auto" w:fill="auto"/>
            <w:vAlign w:val="center"/>
          </w:tcPr>
          <w:p w14:paraId="1AB36ED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154</w:t>
            </w:r>
          </w:p>
        </w:tc>
        <w:tc>
          <w:tcPr>
            <w:tcW w:w="770" w:type="dxa"/>
            <w:shd w:val="clear" w:color="auto" w:fill="auto"/>
            <w:vAlign w:val="center"/>
          </w:tcPr>
          <w:p w14:paraId="70AFA3C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1,246</w:t>
            </w:r>
          </w:p>
        </w:tc>
        <w:tc>
          <w:tcPr>
            <w:tcW w:w="834" w:type="dxa"/>
            <w:gridSpan w:val="2"/>
            <w:shd w:val="clear" w:color="auto" w:fill="auto"/>
            <w:vAlign w:val="center"/>
          </w:tcPr>
          <w:p w14:paraId="1D2A6D7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62</w:t>
            </w:r>
          </w:p>
        </w:tc>
        <w:tc>
          <w:tcPr>
            <w:tcW w:w="1082" w:type="dxa"/>
            <w:shd w:val="clear" w:color="auto" w:fill="auto"/>
            <w:vAlign w:val="center"/>
          </w:tcPr>
          <w:p w14:paraId="7FB76C2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85%</w:t>
            </w:r>
          </w:p>
        </w:tc>
        <w:tc>
          <w:tcPr>
            <w:tcW w:w="1118" w:type="dxa"/>
            <w:shd w:val="clear" w:color="auto" w:fill="auto"/>
            <w:vAlign w:val="center"/>
          </w:tcPr>
          <w:p w14:paraId="3ABC741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40%</w:t>
            </w:r>
          </w:p>
        </w:tc>
      </w:tr>
      <w:tr w:rsidR="008A5057" w:rsidRPr="00BD295E" w14:paraId="6373B7BD" w14:textId="77777777" w:rsidTr="00D108C0">
        <w:trPr>
          <w:trHeight w:val="325"/>
        </w:trPr>
        <w:tc>
          <w:tcPr>
            <w:tcW w:w="9108" w:type="dxa"/>
            <w:gridSpan w:val="10"/>
            <w:shd w:val="clear" w:color="auto" w:fill="auto"/>
          </w:tcPr>
          <w:p w14:paraId="33DDEA56" w14:textId="77777777" w:rsidR="008D04FE" w:rsidRPr="00BD295E" w:rsidRDefault="008A5057" w:rsidP="00D108C0">
            <w:pPr>
              <w:rPr>
                <w:rFonts w:ascii="Arial" w:hAnsi="Arial" w:cs="Arial"/>
                <w:sz w:val="18"/>
                <w:szCs w:val="18"/>
                <w:lang w:val="en-US"/>
              </w:rPr>
            </w:pPr>
            <w:r w:rsidRPr="00BD295E">
              <w:rPr>
                <w:rFonts w:ascii="Arial" w:hAnsi="Arial" w:cs="Arial"/>
                <w:sz w:val="18"/>
                <w:szCs w:val="18"/>
                <w:lang w:val="en-US"/>
              </w:rPr>
              <w:t>Grid connection (including carried-over applications)</w:t>
            </w:r>
          </w:p>
        </w:tc>
      </w:tr>
      <w:tr w:rsidR="008A5057" w:rsidRPr="00BD295E" w14:paraId="43B3C9C1" w14:textId="77777777" w:rsidTr="00D108C0">
        <w:trPr>
          <w:trHeight w:val="451"/>
        </w:trPr>
        <w:tc>
          <w:tcPr>
            <w:tcW w:w="1734" w:type="dxa"/>
            <w:shd w:val="clear" w:color="auto" w:fill="auto"/>
          </w:tcPr>
          <w:p w14:paraId="695CA6F9" w14:textId="77777777" w:rsidR="008D04FE" w:rsidRPr="00BD295E" w:rsidRDefault="00EE5753" w:rsidP="00D108C0">
            <w:pPr>
              <w:jc w:val="center"/>
              <w:rPr>
                <w:rFonts w:ascii="Arial" w:hAnsi="Arial" w:cs="Arial"/>
                <w:sz w:val="18"/>
                <w:szCs w:val="18"/>
                <w:lang w:val="en-US"/>
              </w:rPr>
            </w:pPr>
            <w:r w:rsidRPr="00BD295E">
              <w:rPr>
                <w:rFonts w:ascii="Arial" w:hAnsi="Arial" w:cs="Arial"/>
                <w:sz w:val="18"/>
                <w:szCs w:val="18"/>
                <w:lang w:val="en-US"/>
              </w:rPr>
              <w:t>PJSC “Lenenergo”</w:t>
            </w:r>
          </w:p>
        </w:tc>
        <w:tc>
          <w:tcPr>
            <w:tcW w:w="960" w:type="dxa"/>
            <w:shd w:val="clear" w:color="auto" w:fill="auto"/>
            <w:vAlign w:val="center"/>
          </w:tcPr>
          <w:p w14:paraId="227E8C1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33,777</w:t>
            </w:r>
          </w:p>
        </w:tc>
        <w:tc>
          <w:tcPr>
            <w:tcW w:w="825" w:type="dxa"/>
            <w:shd w:val="clear" w:color="auto" w:fill="auto"/>
            <w:vAlign w:val="center"/>
          </w:tcPr>
          <w:p w14:paraId="6BD0AB2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3,346</w:t>
            </w:r>
          </w:p>
        </w:tc>
        <w:tc>
          <w:tcPr>
            <w:tcW w:w="842" w:type="dxa"/>
            <w:shd w:val="clear" w:color="auto" w:fill="auto"/>
            <w:vAlign w:val="center"/>
          </w:tcPr>
          <w:p w14:paraId="3F424FA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42,155</w:t>
            </w:r>
          </w:p>
        </w:tc>
        <w:tc>
          <w:tcPr>
            <w:tcW w:w="943" w:type="dxa"/>
            <w:shd w:val="clear" w:color="auto" w:fill="auto"/>
            <w:vAlign w:val="center"/>
          </w:tcPr>
          <w:p w14:paraId="6DF7AAB0"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2,701</w:t>
            </w:r>
          </w:p>
        </w:tc>
        <w:tc>
          <w:tcPr>
            <w:tcW w:w="770" w:type="dxa"/>
            <w:shd w:val="clear" w:color="auto" w:fill="auto"/>
            <w:vAlign w:val="center"/>
          </w:tcPr>
          <w:p w14:paraId="515C120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39,816</w:t>
            </w:r>
          </w:p>
        </w:tc>
        <w:tc>
          <w:tcPr>
            <w:tcW w:w="834" w:type="dxa"/>
            <w:gridSpan w:val="2"/>
            <w:shd w:val="clear" w:color="auto" w:fill="auto"/>
            <w:vAlign w:val="center"/>
          </w:tcPr>
          <w:p w14:paraId="542C8C8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2,793</w:t>
            </w:r>
          </w:p>
        </w:tc>
        <w:tc>
          <w:tcPr>
            <w:tcW w:w="1082" w:type="dxa"/>
            <w:shd w:val="clear" w:color="auto" w:fill="auto"/>
            <w:vAlign w:val="center"/>
          </w:tcPr>
          <w:p w14:paraId="4C1900A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94%</w:t>
            </w:r>
          </w:p>
        </w:tc>
        <w:tc>
          <w:tcPr>
            <w:tcW w:w="1118" w:type="dxa"/>
            <w:shd w:val="clear" w:color="auto" w:fill="auto"/>
            <w:vAlign w:val="center"/>
          </w:tcPr>
          <w:p w14:paraId="763AAAB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103%</w:t>
            </w:r>
          </w:p>
        </w:tc>
      </w:tr>
      <w:tr w:rsidR="008A5057" w:rsidRPr="00BD295E" w14:paraId="37953A58" w14:textId="77777777" w:rsidTr="00D108C0">
        <w:trPr>
          <w:trHeight w:val="451"/>
        </w:trPr>
        <w:tc>
          <w:tcPr>
            <w:tcW w:w="1734" w:type="dxa"/>
            <w:shd w:val="clear" w:color="auto" w:fill="auto"/>
            <w:vAlign w:val="center"/>
          </w:tcPr>
          <w:p w14:paraId="634FCF7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Saint Petersburg</w:t>
            </w:r>
          </w:p>
        </w:tc>
        <w:tc>
          <w:tcPr>
            <w:tcW w:w="960" w:type="dxa"/>
            <w:shd w:val="clear" w:color="auto" w:fill="auto"/>
            <w:vAlign w:val="center"/>
          </w:tcPr>
          <w:p w14:paraId="07D63C8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9,252</w:t>
            </w:r>
          </w:p>
        </w:tc>
        <w:tc>
          <w:tcPr>
            <w:tcW w:w="825" w:type="dxa"/>
            <w:shd w:val="clear" w:color="auto" w:fill="auto"/>
            <w:vAlign w:val="center"/>
          </w:tcPr>
          <w:p w14:paraId="40DDDBE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1,529</w:t>
            </w:r>
          </w:p>
        </w:tc>
        <w:tc>
          <w:tcPr>
            <w:tcW w:w="842" w:type="dxa"/>
            <w:shd w:val="clear" w:color="auto" w:fill="auto"/>
            <w:vAlign w:val="center"/>
          </w:tcPr>
          <w:p w14:paraId="1A499E8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12,720</w:t>
            </w:r>
          </w:p>
        </w:tc>
        <w:tc>
          <w:tcPr>
            <w:tcW w:w="943" w:type="dxa"/>
            <w:shd w:val="clear" w:color="auto" w:fill="auto"/>
            <w:vAlign w:val="center"/>
          </w:tcPr>
          <w:p w14:paraId="1553A60B"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1,198</w:t>
            </w:r>
          </w:p>
        </w:tc>
        <w:tc>
          <w:tcPr>
            <w:tcW w:w="770" w:type="dxa"/>
            <w:shd w:val="clear" w:color="auto" w:fill="auto"/>
            <w:vAlign w:val="center"/>
          </w:tcPr>
          <w:p w14:paraId="4515B74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12,989</w:t>
            </w:r>
          </w:p>
        </w:tc>
        <w:tc>
          <w:tcPr>
            <w:tcW w:w="834" w:type="dxa"/>
            <w:gridSpan w:val="2"/>
            <w:shd w:val="clear" w:color="auto" w:fill="auto"/>
            <w:vAlign w:val="center"/>
          </w:tcPr>
          <w:p w14:paraId="6D25235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1,295</w:t>
            </w:r>
          </w:p>
        </w:tc>
        <w:tc>
          <w:tcPr>
            <w:tcW w:w="1082" w:type="dxa"/>
            <w:shd w:val="clear" w:color="auto" w:fill="auto"/>
            <w:vAlign w:val="center"/>
          </w:tcPr>
          <w:p w14:paraId="44C9A6C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102%</w:t>
            </w:r>
          </w:p>
        </w:tc>
        <w:tc>
          <w:tcPr>
            <w:tcW w:w="1118" w:type="dxa"/>
            <w:shd w:val="clear" w:color="auto" w:fill="auto"/>
            <w:vAlign w:val="center"/>
          </w:tcPr>
          <w:p w14:paraId="071123C0"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108%</w:t>
            </w:r>
          </w:p>
        </w:tc>
      </w:tr>
      <w:tr w:rsidR="008A5057" w:rsidRPr="00BD295E" w14:paraId="78685A37" w14:textId="77777777" w:rsidTr="00D108C0">
        <w:trPr>
          <w:trHeight w:val="451"/>
        </w:trPr>
        <w:tc>
          <w:tcPr>
            <w:tcW w:w="1734" w:type="dxa"/>
            <w:shd w:val="clear" w:color="auto" w:fill="auto"/>
          </w:tcPr>
          <w:p w14:paraId="72EC014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Leningrad Region</w:t>
            </w:r>
          </w:p>
        </w:tc>
        <w:tc>
          <w:tcPr>
            <w:tcW w:w="960" w:type="dxa"/>
            <w:shd w:val="clear" w:color="auto" w:fill="auto"/>
            <w:vAlign w:val="center"/>
          </w:tcPr>
          <w:p w14:paraId="62FA13A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24,525</w:t>
            </w:r>
          </w:p>
        </w:tc>
        <w:tc>
          <w:tcPr>
            <w:tcW w:w="825" w:type="dxa"/>
            <w:shd w:val="clear" w:color="auto" w:fill="auto"/>
            <w:vAlign w:val="center"/>
          </w:tcPr>
          <w:p w14:paraId="2ED0C81C"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1,817</w:t>
            </w:r>
          </w:p>
        </w:tc>
        <w:tc>
          <w:tcPr>
            <w:tcW w:w="842" w:type="dxa"/>
            <w:shd w:val="clear" w:color="auto" w:fill="auto"/>
            <w:vAlign w:val="center"/>
          </w:tcPr>
          <w:p w14:paraId="1A9996D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29,435</w:t>
            </w:r>
          </w:p>
        </w:tc>
        <w:tc>
          <w:tcPr>
            <w:tcW w:w="943" w:type="dxa"/>
            <w:shd w:val="clear" w:color="auto" w:fill="auto"/>
            <w:vAlign w:val="center"/>
          </w:tcPr>
          <w:p w14:paraId="113D7B1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1,503</w:t>
            </w:r>
          </w:p>
        </w:tc>
        <w:tc>
          <w:tcPr>
            <w:tcW w:w="770" w:type="dxa"/>
            <w:shd w:val="clear" w:color="auto" w:fill="auto"/>
            <w:vAlign w:val="center"/>
          </w:tcPr>
          <w:p w14:paraId="7EA732C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26,827</w:t>
            </w:r>
          </w:p>
        </w:tc>
        <w:tc>
          <w:tcPr>
            <w:tcW w:w="834" w:type="dxa"/>
            <w:gridSpan w:val="2"/>
            <w:shd w:val="clear" w:color="auto" w:fill="auto"/>
            <w:vAlign w:val="center"/>
          </w:tcPr>
          <w:p w14:paraId="6F5338C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1,499</w:t>
            </w:r>
          </w:p>
        </w:tc>
        <w:tc>
          <w:tcPr>
            <w:tcW w:w="1082" w:type="dxa"/>
            <w:shd w:val="clear" w:color="auto" w:fill="auto"/>
            <w:vAlign w:val="center"/>
          </w:tcPr>
          <w:p w14:paraId="66B637A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91%</w:t>
            </w:r>
          </w:p>
        </w:tc>
        <w:tc>
          <w:tcPr>
            <w:tcW w:w="1118" w:type="dxa"/>
            <w:shd w:val="clear" w:color="auto" w:fill="auto"/>
            <w:vAlign w:val="center"/>
          </w:tcPr>
          <w:p w14:paraId="7783051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100%</w:t>
            </w:r>
          </w:p>
        </w:tc>
      </w:tr>
      <w:tr w:rsidR="008A5057" w:rsidRPr="00BD295E" w14:paraId="751021F2" w14:textId="77777777" w:rsidTr="00D108C0">
        <w:trPr>
          <w:trHeight w:val="1203"/>
        </w:trPr>
        <w:tc>
          <w:tcPr>
            <w:tcW w:w="1734" w:type="dxa"/>
            <w:shd w:val="clear" w:color="auto" w:fill="auto"/>
          </w:tcPr>
          <w:p w14:paraId="5659D5C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Companies under management of </w:t>
            </w:r>
            <w:r w:rsidR="00EE5753" w:rsidRPr="00BD295E">
              <w:rPr>
                <w:rFonts w:ascii="Arial" w:hAnsi="Arial" w:cs="Arial"/>
                <w:sz w:val="18"/>
                <w:szCs w:val="18"/>
                <w:lang w:val="en-US"/>
              </w:rPr>
              <w:t>PJSC “Lenenergo”</w:t>
            </w:r>
          </w:p>
        </w:tc>
        <w:tc>
          <w:tcPr>
            <w:tcW w:w="960" w:type="dxa"/>
            <w:shd w:val="clear" w:color="auto" w:fill="auto"/>
            <w:vAlign w:val="center"/>
          </w:tcPr>
          <w:p w14:paraId="4F6C3A5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2,635</w:t>
            </w:r>
          </w:p>
        </w:tc>
        <w:tc>
          <w:tcPr>
            <w:tcW w:w="825" w:type="dxa"/>
            <w:shd w:val="clear" w:color="auto" w:fill="auto"/>
            <w:vAlign w:val="center"/>
          </w:tcPr>
          <w:p w14:paraId="06071B2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716</w:t>
            </w:r>
          </w:p>
        </w:tc>
        <w:tc>
          <w:tcPr>
            <w:tcW w:w="842" w:type="dxa"/>
            <w:shd w:val="clear" w:color="auto" w:fill="auto"/>
            <w:vAlign w:val="center"/>
          </w:tcPr>
          <w:p w14:paraId="59A8C70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1,707</w:t>
            </w:r>
          </w:p>
        </w:tc>
        <w:tc>
          <w:tcPr>
            <w:tcW w:w="943" w:type="dxa"/>
            <w:shd w:val="clear" w:color="auto" w:fill="auto"/>
            <w:vAlign w:val="center"/>
          </w:tcPr>
          <w:p w14:paraId="3AE87C6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357</w:t>
            </w:r>
          </w:p>
        </w:tc>
        <w:tc>
          <w:tcPr>
            <w:tcW w:w="770" w:type="dxa"/>
            <w:shd w:val="clear" w:color="auto" w:fill="auto"/>
            <w:vAlign w:val="center"/>
          </w:tcPr>
          <w:p w14:paraId="03F8ACD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1,310</w:t>
            </w:r>
          </w:p>
        </w:tc>
        <w:tc>
          <w:tcPr>
            <w:tcW w:w="834" w:type="dxa"/>
            <w:gridSpan w:val="2"/>
            <w:shd w:val="clear" w:color="auto" w:fill="auto"/>
            <w:vAlign w:val="center"/>
          </w:tcPr>
          <w:p w14:paraId="760AB95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69</w:t>
            </w:r>
          </w:p>
        </w:tc>
        <w:tc>
          <w:tcPr>
            <w:tcW w:w="1082" w:type="dxa"/>
            <w:shd w:val="clear" w:color="auto" w:fill="auto"/>
            <w:vAlign w:val="center"/>
          </w:tcPr>
          <w:p w14:paraId="14765D7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77%</w:t>
            </w:r>
          </w:p>
        </w:tc>
        <w:tc>
          <w:tcPr>
            <w:tcW w:w="1118" w:type="dxa"/>
            <w:shd w:val="clear" w:color="auto" w:fill="auto"/>
            <w:vAlign w:val="center"/>
          </w:tcPr>
          <w:p w14:paraId="1BED2E26"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19%</w:t>
            </w:r>
          </w:p>
        </w:tc>
      </w:tr>
      <w:tr w:rsidR="008A5057" w:rsidRPr="00BD295E" w14:paraId="3CD0F0C0" w14:textId="77777777" w:rsidTr="00D108C0">
        <w:trPr>
          <w:trHeight w:val="226"/>
        </w:trPr>
        <w:tc>
          <w:tcPr>
            <w:tcW w:w="9108" w:type="dxa"/>
            <w:gridSpan w:val="10"/>
            <w:shd w:val="clear" w:color="auto" w:fill="auto"/>
          </w:tcPr>
          <w:p w14:paraId="06F33F52" w14:textId="77777777" w:rsidR="008D04FE" w:rsidRPr="00BD295E" w:rsidRDefault="008A5057" w:rsidP="00D108C0">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Grid connection contracts signed</w:t>
            </w:r>
          </w:p>
        </w:tc>
      </w:tr>
      <w:tr w:rsidR="008A5057" w:rsidRPr="00BD295E" w14:paraId="0AFCA049" w14:textId="77777777" w:rsidTr="00D108C0">
        <w:trPr>
          <w:trHeight w:val="451"/>
        </w:trPr>
        <w:tc>
          <w:tcPr>
            <w:tcW w:w="1734" w:type="dxa"/>
            <w:shd w:val="clear" w:color="auto" w:fill="auto"/>
          </w:tcPr>
          <w:p w14:paraId="36B0C5ED" w14:textId="77777777" w:rsidR="008D04FE" w:rsidRPr="00BD295E" w:rsidRDefault="00EE5753" w:rsidP="00D108C0">
            <w:pPr>
              <w:jc w:val="center"/>
              <w:rPr>
                <w:rFonts w:ascii="Arial" w:hAnsi="Arial" w:cs="Arial"/>
                <w:sz w:val="18"/>
                <w:szCs w:val="18"/>
                <w:lang w:val="en-US"/>
              </w:rPr>
            </w:pPr>
            <w:r w:rsidRPr="00BD295E">
              <w:rPr>
                <w:rFonts w:ascii="Arial" w:hAnsi="Arial" w:cs="Arial"/>
                <w:sz w:val="18"/>
                <w:szCs w:val="18"/>
                <w:lang w:val="en-US"/>
              </w:rPr>
              <w:t>PJSC “Lenenergo”</w:t>
            </w:r>
          </w:p>
        </w:tc>
        <w:tc>
          <w:tcPr>
            <w:tcW w:w="960" w:type="dxa"/>
            <w:shd w:val="clear" w:color="auto" w:fill="auto"/>
            <w:vAlign w:val="center"/>
          </w:tcPr>
          <w:p w14:paraId="36A5D636"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21,022</w:t>
            </w:r>
          </w:p>
        </w:tc>
        <w:tc>
          <w:tcPr>
            <w:tcW w:w="825" w:type="dxa"/>
            <w:shd w:val="clear" w:color="auto" w:fill="auto"/>
            <w:vAlign w:val="center"/>
          </w:tcPr>
          <w:p w14:paraId="1317A98A"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713</w:t>
            </w:r>
          </w:p>
        </w:tc>
        <w:tc>
          <w:tcPr>
            <w:tcW w:w="842" w:type="dxa"/>
            <w:shd w:val="clear" w:color="auto" w:fill="auto"/>
            <w:vAlign w:val="center"/>
          </w:tcPr>
          <w:p w14:paraId="0DCFD76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29,759</w:t>
            </w:r>
          </w:p>
        </w:tc>
        <w:tc>
          <w:tcPr>
            <w:tcW w:w="943" w:type="dxa"/>
            <w:shd w:val="clear" w:color="auto" w:fill="auto"/>
            <w:vAlign w:val="center"/>
          </w:tcPr>
          <w:p w14:paraId="7987035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923</w:t>
            </w:r>
          </w:p>
        </w:tc>
        <w:tc>
          <w:tcPr>
            <w:tcW w:w="802" w:type="dxa"/>
            <w:gridSpan w:val="2"/>
            <w:shd w:val="clear" w:color="auto" w:fill="auto"/>
            <w:vAlign w:val="center"/>
          </w:tcPr>
          <w:p w14:paraId="4B9950D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31,673</w:t>
            </w:r>
          </w:p>
        </w:tc>
        <w:tc>
          <w:tcPr>
            <w:tcW w:w="802" w:type="dxa"/>
            <w:shd w:val="clear" w:color="auto" w:fill="auto"/>
            <w:vAlign w:val="center"/>
          </w:tcPr>
          <w:p w14:paraId="53C02A2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991</w:t>
            </w:r>
          </w:p>
        </w:tc>
        <w:tc>
          <w:tcPr>
            <w:tcW w:w="1082" w:type="dxa"/>
            <w:shd w:val="clear" w:color="auto" w:fill="auto"/>
            <w:vAlign w:val="center"/>
          </w:tcPr>
          <w:p w14:paraId="0E1D8A96"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106%</w:t>
            </w:r>
          </w:p>
        </w:tc>
        <w:tc>
          <w:tcPr>
            <w:tcW w:w="1118" w:type="dxa"/>
            <w:shd w:val="clear" w:color="auto" w:fill="auto"/>
            <w:vAlign w:val="center"/>
          </w:tcPr>
          <w:p w14:paraId="1E5A585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107%</w:t>
            </w:r>
          </w:p>
        </w:tc>
      </w:tr>
      <w:tr w:rsidR="008A5057" w:rsidRPr="00BD295E" w14:paraId="77EC9E08" w14:textId="77777777" w:rsidTr="00D108C0">
        <w:trPr>
          <w:trHeight w:val="466"/>
        </w:trPr>
        <w:tc>
          <w:tcPr>
            <w:tcW w:w="1734" w:type="dxa"/>
            <w:shd w:val="clear" w:color="auto" w:fill="auto"/>
            <w:vAlign w:val="center"/>
          </w:tcPr>
          <w:p w14:paraId="189DC25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Saint Petersburg</w:t>
            </w:r>
          </w:p>
        </w:tc>
        <w:tc>
          <w:tcPr>
            <w:tcW w:w="960" w:type="dxa"/>
            <w:shd w:val="clear" w:color="auto" w:fill="auto"/>
            <w:vAlign w:val="center"/>
          </w:tcPr>
          <w:p w14:paraId="7735A22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5,952</w:t>
            </w:r>
          </w:p>
        </w:tc>
        <w:tc>
          <w:tcPr>
            <w:tcW w:w="825" w:type="dxa"/>
            <w:shd w:val="clear" w:color="auto" w:fill="auto"/>
            <w:vAlign w:val="center"/>
          </w:tcPr>
          <w:p w14:paraId="5F9A997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301</w:t>
            </w:r>
          </w:p>
        </w:tc>
        <w:tc>
          <w:tcPr>
            <w:tcW w:w="842" w:type="dxa"/>
            <w:shd w:val="clear" w:color="auto" w:fill="auto"/>
            <w:vAlign w:val="center"/>
          </w:tcPr>
          <w:p w14:paraId="48FF633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6,496</w:t>
            </w:r>
          </w:p>
        </w:tc>
        <w:tc>
          <w:tcPr>
            <w:tcW w:w="943" w:type="dxa"/>
            <w:shd w:val="clear" w:color="auto" w:fill="auto"/>
            <w:vAlign w:val="center"/>
          </w:tcPr>
          <w:p w14:paraId="088D48A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404</w:t>
            </w:r>
          </w:p>
        </w:tc>
        <w:tc>
          <w:tcPr>
            <w:tcW w:w="802" w:type="dxa"/>
            <w:gridSpan w:val="2"/>
            <w:shd w:val="clear" w:color="auto" w:fill="auto"/>
            <w:vAlign w:val="center"/>
          </w:tcPr>
          <w:p w14:paraId="2F28560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9,464</w:t>
            </w:r>
          </w:p>
        </w:tc>
        <w:tc>
          <w:tcPr>
            <w:tcW w:w="802" w:type="dxa"/>
            <w:shd w:val="clear" w:color="auto" w:fill="auto"/>
            <w:vAlign w:val="center"/>
          </w:tcPr>
          <w:p w14:paraId="397928F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387</w:t>
            </w:r>
          </w:p>
        </w:tc>
        <w:tc>
          <w:tcPr>
            <w:tcW w:w="1082" w:type="dxa"/>
            <w:shd w:val="clear" w:color="auto" w:fill="auto"/>
            <w:vAlign w:val="center"/>
          </w:tcPr>
          <w:p w14:paraId="7824ED6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146%</w:t>
            </w:r>
          </w:p>
        </w:tc>
        <w:tc>
          <w:tcPr>
            <w:tcW w:w="1118" w:type="dxa"/>
            <w:shd w:val="clear" w:color="auto" w:fill="auto"/>
            <w:vAlign w:val="center"/>
          </w:tcPr>
          <w:p w14:paraId="3BB3B326"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96%</w:t>
            </w:r>
          </w:p>
        </w:tc>
      </w:tr>
      <w:tr w:rsidR="008A5057" w:rsidRPr="00BD295E" w14:paraId="180CB40B" w14:textId="77777777" w:rsidTr="00D108C0">
        <w:trPr>
          <w:trHeight w:val="451"/>
        </w:trPr>
        <w:tc>
          <w:tcPr>
            <w:tcW w:w="1734" w:type="dxa"/>
            <w:shd w:val="clear" w:color="auto" w:fill="auto"/>
          </w:tcPr>
          <w:p w14:paraId="4B7781F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Leningrad Region</w:t>
            </w:r>
          </w:p>
        </w:tc>
        <w:tc>
          <w:tcPr>
            <w:tcW w:w="960" w:type="dxa"/>
            <w:shd w:val="clear" w:color="auto" w:fill="auto"/>
            <w:vAlign w:val="center"/>
          </w:tcPr>
          <w:p w14:paraId="42C160F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15,070</w:t>
            </w:r>
          </w:p>
        </w:tc>
        <w:tc>
          <w:tcPr>
            <w:tcW w:w="825" w:type="dxa"/>
            <w:shd w:val="clear" w:color="auto" w:fill="auto"/>
            <w:vAlign w:val="center"/>
          </w:tcPr>
          <w:p w14:paraId="0FB15F6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411</w:t>
            </w:r>
          </w:p>
        </w:tc>
        <w:tc>
          <w:tcPr>
            <w:tcW w:w="842" w:type="dxa"/>
            <w:shd w:val="clear" w:color="auto" w:fill="auto"/>
            <w:vAlign w:val="center"/>
          </w:tcPr>
          <w:p w14:paraId="22A51E4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23,263</w:t>
            </w:r>
          </w:p>
        </w:tc>
        <w:tc>
          <w:tcPr>
            <w:tcW w:w="943" w:type="dxa"/>
            <w:shd w:val="clear" w:color="auto" w:fill="auto"/>
            <w:vAlign w:val="center"/>
          </w:tcPr>
          <w:p w14:paraId="33873DF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519</w:t>
            </w:r>
          </w:p>
        </w:tc>
        <w:tc>
          <w:tcPr>
            <w:tcW w:w="802" w:type="dxa"/>
            <w:gridSpan w:val="2"/>
            <w:shd w:val="clear" w:color="auto" w:fill="auto"/>
            <w:vAlign w:val="center"/>
          </w:tcPr>
          <w:p w14:paraId="6660309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22,209</w:t>
            </w:r>
          </w:p>
        </w:tc>
        <w:tc>
          <w:tcPr>
            <w:tcW w:w="802" w:type="dxa"/>
            <w:shd w:val="clear" w:color="auto" w:fill="auto"/>
            <w:vAlign w:val="center"/>
          </w:tcPr>
          <w:p w14:paraId="1334521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604</w:t>
            </w:r>
          </w:p>
        </w:tc>
        <w:tc>
          <w:tcPr>
            <w:tcW w:w="1082" w:type="dxa"/>
            <w:shd w:val="clear" w:color="auto" w:fill="auto"/>
            <w:vAlign w:val="center"/>
          </w:tcPr>
          <w:p w14:paraId="593D27C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95%</w:t>
            </w:r>
          </w:p>
        </w:tc>
        <w:tc>
          <w:tcPr>
            <w:tcW w:w="1118" w:type="dxa"/>
            <w:shd w:val="clear" w:color="auto" w:fill="auto"/>
            <w:vAlign w:val="center"/>
          </w:tcPr>
          <w:p w14:paraId="1A2BA95A"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116%</w:t>
            </w:r>
          </w:p>
        </w:tc>
      </w:tr>
      <w:tr w:rsidR="008A5057" w:rsidRPr="00BD295E" w14:paraId="17275FBB" w14:textId="77777777" w:rsidTr="00D108C0">
        <w:trPr>
          <w:trHeight w:val="466"/>
        </w:trPr>
        <w:tc>
          <w:tcPr>
            <w:tcW w:w="1734" w:type="dxa"/>
            <w:shd w:val="clear" w:color="auto" w:fill="auto"/>
          </w:tcPr>
          <w:p w14:paraId="3A63D560"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Companies under management of </w:t>
            </w:r>
            <w:r w:rsidR="00EE5753" w:rsidRPr="00BD295E">
              <w:rPr>
                <w:rFonts w:ascii="Arial" w:hAnsi="Arial" w:cs="Arial"/>
                <w:sz w:val="18"/>
                <w:szCs w:val="18"/>
                <w:lang w:val="en-US"/>
              </w:rPr>
              <w:t>PJSC “Lenenergo”</w:t>
            </w:r>
          </w:p>
        </w:tc>
        <w:tc>
          <w:tcPr>
            <w:tcW w:w="960" w:type="dxa"/>
            <w:shd w:val="clear" w:color="auto" w:fill="auto"/>
            <w:vAlign w:val="center"/>
          </w:tcPr>
          <w:p w14:paraId="22FD9360"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1,738</w:t>
            </w:r>
          </w:p>
        </w:tc>
        <w:tc>
          <w:tcPr>
            <w:tcW w:w="825" w:type="dxa"/>
            <w:shd w:val="clear" w:color="auto" w:fill="auto"/>
            <w:vAlign w:val="center"/>
          </w:tcPr>
          <w:p w14:paraId="750B98F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129</w:t>
            </w:r>
          </w:p>
        </w:tc>
        <w:tc>
          <w:tcPr>
            <w:tcW w:w="842" w:type="dxa"/>
            <w:shd w:val="clear" w:color="auto" w:fill="auto"/>
            <w:vAlign w:val="center"/>
          </w:tcPr>
          <w:p w14:paraId="58F967A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986</w:t>
            </w:r>
          </w:p>
        </w:tc>
        <w:tc>
          <w:tcPr>
            <w:tcW w:w="943" w:type="dxa"/>
            <w:shd w:val="clear" w:color="auto" w:fill="auto"/>
            <w:vAlign w:val="center"/>
          </w:tcPr>
          <w:p w14:paraId="730A0C4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61</w:t>
            </w:r>
          </w:p>
        </w:tc>
        <w:tc>
          <w:tcPr>
            <w:tcW w:w="802" w:type="dxa"/>
            <w:gridSpan w:val="2"/>
            <w:shd w:val="clear" w:color="auto" w:fill="auto"/>
            <w:vAlign w:val="center"/>
          </w:tcPr>
          <w:p w14:paraId="6385790C"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980</w:t>
            </w:r>
          </w:p>
        </w:tc>
        <w:tc>
          <w:tcPr>
            <w:tcW w:w="802" w:type="dxa"/>
            <w:shd w:val="clear" w:color="auto" w:fill="auto"/>
            <w:vAlign w:val="center"/>
          </w:tcPr>
          <w:p w14:paraId="1281B46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39</w:t>
            </w:r>
          </w:p>
        </w:tc>
        <w:tc>
          <w:tcPr>
            <w:tcW w:w="1082" w:type="dxa"/>
            <w:shd w:val="clear" w:color="auto" w:fill="auto"/>
            <w:vAlign w:val="center"/>
          </w:tcPr>
          <w:p w14:paraId="14F199C0"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99%</w:t>
            </w:r>
          </w:p>
        </w:tc>
        <w:tc>
          <w:tcPr>
            <w:tcW w:w="1118" w:type="dxa"/>
            <w:shd w:val="clear" w:color="auto" w:fill="auto"/>
            <w:vAlign w:val="center"/>
          </w:tcPr>
          <w:p w14:paraId="13A40A2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65%</w:t>
            </w:r>
          </w:p>
        </w:tc>
      </w:tr>
    </w:tbl>
    <w:p w14:paraId="5C903451" w14:textId="77777777" w:rsidR="008D04FE" w:rsidRPr="00BD295E" w:rsidRDefault="008A5057" w:rsidP="008D04FE">
      <w:pPr>
        <w:pStyle w:val="af3"/>
        <w:tabs>
          <w:tab w:val="left" w:pos="709"/>
          <w:tab w:val="left" w:pos="851"/>
        </w:tabs>
        <w:ind w:left="-142"/>
        <w:jc w:val="both"/>
        <w:rPr>
          <w:rFonts w:ascii="Arial" w:hAnsi="Arial" w:cs="Arial"/>
          <w:sz w:val="12"/>
          <w:szCs w:val="12"/>
          <w:lang w:val="en-US"/>
        </w:rPr>
      </w:pPr>
      <w:r w:rsidRPr="00BD295E">
        <w:rPr>
          <w:rFonts w:ascii="Arial" w:hAnsi="Arial" w:cs="Arial"/>
          <w:sz w:val="12"/>
          <w:szCs w:val="12"/>
          <w:lang w:val="en-US"/>
        </w:rPr>
        <w:t xml:space="preserve">* Net of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 </w:t>
      </w:r>
    </w:p>
    <w:p w14:paraId="2333E7C9" w14:textId="77777777" w:rsidR="008D04FE" w:rsidRPr="00BD295E" w:rsidRDefault="008D04FE" w:rsidP="008D04FE">
      <w:pPr>
        <w:pStyle w:val="af3"/>
        <w:tabs>
          <w:tab w:val="left" w:pos="709"/>
          <w:tab w:val="left" w:pos="851"/>
        </w:tabs>
        <w:ind w:left="-142"/>
        <w:jc w:val="both"/>
        <w:rPr>
          <w:rFonts w:ascii="Arial" w:hAnsi="Arial" w:cs="Arial"/>
          <w:sz w:val="18"/>
          <w:szCs w:val="18"/>
          <w:lang w:val="en-US"/>
        </w:rPr>
      </w:pPr>
    </w:p>
    <w:p w14:paraId="194FD420" w14:textId="56161D92" w:rsidR="008D04FE" w:rsidRPr="00BD295E" w:rsidRDefault="008A5057" w:rsidP="008D04FE">
      <w:pPr>
        <w:pStyle w:val="af3"/>
        <w:tabs>
          <w:tab w:val="left" w:pos="709"/>
          <w:tab w:val="left" w:pos="851"/>
        </w:tabs>
        <w:ind w:left="-142"/>
        <w:jc w:val="both"/>
        <w:rPr>
          <w:rFonts w:ascii="Arial" w:hAnsi="Arial" w:cs="Arial"/>
          <w:sz w:val="18"/>
          <w:szCs w:val="18"/>
          <w:lang w:val="en-US"/>
        </w:rPr>
      </w:pPr>
      <w:r w:rsidRPr="00BD295E">
        <w:rPr>
          <w:rFonts w:ascii="Arial" w:hAnsi="Arial" w:cs="Arial"/>
          <w:sz w:val="18"/>
          <w:szCs w:val="18"/>
          <w:lang w:val="en-US"/>
        </w:rPr>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received 11 </w:t>
      </w:r>
      <w:r w:rsidR="00DE61D5" w:rsidRPr="00BD295E">
        <w:rPr>
          <w:rFonts w:ascii="Arial" w:hAnsi="Arial" w:cs="Arial"/>
          <w:sz w:val="18"/>
          <w:szCs w:val="18"/>
          <w:lang w:val="en-US"/>
        </w:rPr>
        <w:t xml:space="preserve">grid connection </w:t>
      </w:r>
      <w:r w:rsidR="002C3947" w:rsidRPr="00BD295E">
        <w:rPr>
          <w:rFonts w:ascii="Arial" w:hAnsi="Arial" w:cs="Arial"/>
          <w:sz w:val="18"/>
          <w:szCs w:val="18"/>
          <w:lang w:val="en-US"/>
        </w:rPr>
        <w:t>applications of</w:t>
      </w:r>
      <w:r w:rsidRPr="00BD295E">
        <w:rPr>
          <w:rFonts w:ascii="Arial" w:hAnsi="Arial" w:cs="Arial"/>
          <w:sz w:val="18"/>
          <w:szCs w:val="18"/>
          <w:lang w:val="en-US"/>
        </w:rPr>
        <w:t xml:space="preserve"> </w:t>
      </w:r>
      <w:r w:rsidR="00DE61D5" w:rsidRPr="00BD295E">
        <w:rPr>
          <w:rFonts w:ascii="Arial" w:hAnsi="Arial" w:cs="Arial"/>
          <w:sz w:val="18"/>
          <w:szCs w:val="18"/>
          <w:lang w:val="en-US"/>
        </w:rPr>
        <w:t>power generation facilities</w:t>
      </w:r>
      <w:r w:rsidRPr="00BD295E">
        <w:rPr>
          <w:rFonts w:ascii="Arial" w:hAnsi="Arial" w:cs="Arial"/>
          <w:sz w:val="18"/>
          <w:szCs w:val="18"/>
          <w:lang w:val="en-US"/>
        </w:rPr>
        <w:t xml:space="preserve"> for a total of 66.8 MW and signed three grid connection contracts for a total of 196.3 MW.  </w:t>
      </w:r>
    </w:p>
    <w:p w14:paraId="26899BC1" w14:textId="77777777" w:rsidR="008D04FE" w:rsidRPr="00BD295E" w:rsidRDefault="008A5057" w:rsidP="008D04FE">
      <w:pPr>
        <w:pStyle w:val="af3"/>
        <w:tabs>
          <w:tab w:val="left" w:pos="709"/>
          <w:tab w:val="left" w:pos="851"/>
        </w:tabs>
        <w:ind w:left="1069"/>
        <w:jc w:val="both"/>
        <w:rPr>
          <w:rFonts w:ascii="Arial" w:hAnsi="Arial" w:cs="Arial"/>
          <w:sz w:val="18"/>
          <w:szCs w:val="18"/>
          <w:lang w:val="en-US"/>
        </w:rPr>
      </w:pPr>
      <w:r w:rsidRPr="00BD295E">
        <w:rPr>
          <w:rFonts w:ascii="Arial" w:hAnsi="Arial" w:cs="Arial"/>
          <w:sz w:val="18"/>
          <w:szCs w:val="18"/>
          <w:lang w:val="en-US"/>
        </w:rPr>
        <w:t xml:space="preserve"> </w:t>
      </w:r>
    </w:p>
    <w:p w14:paraId="08290393" w14:textId="0ECDFA05" w:rsidR="00B20A51" w:rsidRPr="00BD295E" w:rsidRDefault="00997D07" w:rsidP="008D04FE">
      <w:pPr>
        <w:pStyle w:val="af3"/>
        <w:tabs>
          <w:tab w:val="left" w:pos="709"/>
          <w:tab w:val="left" w:pos="851"/>
        </w:tabs>
        <w:ind w:left="0"/>
        <w:jc w:val="both"/>
        <w:rPr>
          <w:rFonts w:ascii="Arial" w:hAnsi="Arial" w:cs="Arial"/>
          <w:sz w:val="18"/>
          <w:szCs w:val="18"/>
          <w:lang w:val="en-US"/>
        </w:rPr>
      </w:pPr>
      <w:r w:rsidRPr="00BD295E">
        <w:rPr>
          <w:rFonts w:ascii="Arial" w:hAnsi="Arial" w:cs="Arial"/>
          <w:sz w:val="18"/>
          <w:szCs w:val="18"/>
          <w:lang w:val="en-US" w:eastAsia="en-US"/>
        </w:rPr>
        <w:drawing>
          <wp:inline distT="0" distB="0" distL="0" distR="0" wp14:anchorId="67F029D3" wp14:editId="616D5A4B">
            <wp:extent cx="6029325" cy="3224530"/>
            <wp:effectExtent l="0" t="0" r="0" b="0"/>
            <wp:docPr id="3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5117E2D" w14:textId="77777777" w:rsidR="008D04FE" w:rsidRPr="00BD295E" w:rsidRDefault="008A5057" w:rsidP="008D04FE">
      <w:pPr>
        <w:pStyle w:val="af3"/>
        <w:tabs>
          <w:tab w:val="left" w:pos="709"/>
          <w:tab w:val="left" w:pos="851"/>
        </w:tabs>
        <w:ind w:left="0"/>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w:t>
      </w:r>
    </w:p>
    <w:p w14:paraId="1B225FB0" w14:textId="77777777" w:rsidR="008D04FE" w:rsidRPr="00BD295E" w:rsidRDefault="008D04FE" w:rsidP="008D04FE">
      <w:pPr>
        <w:jc w:val="both"/>
        <w:rPr>
          <w:rFonts w:ascii="Arial" w:hAnsi="Arial" w:cs="Arial"/>
          <w:sz w:val="18"/>
          <w:szCs w:val="18"/>
          <w:lang w:val="en-US"/>
        </w:rPr>
      </w:pPr>
    </w:p>
    <w:p w14:paraId="56AA3660" w14:textId="1D9213F5" w:rsidR="008D04FE" w:rsidRPr="00BD295E" w:rsidRDefault="008A5057" w:rsidP="00CF192C">
      <w:pPr>
        <w:jc w:val="both"/>
        <w:rPr>
          <w:rFonts w:ascii="Arial" w:hAnsi="Arial" w:cs="Arial"/>
          <w:sz w:val="18"/>
          <w:szCs w:val="18"/>
          <w:lang w:val="en-US"/>
        </w:rPr>
      </w:pPr>
      <w:r w:rsidRPr="00BD295E">
        <w:rPr>
          <w:rFonts w:ascii="Arial" w:hAnsi="Arial" w:cs="Arial"/>
          <w:sz w:val="18"/>
          <w:szCs w:val="18"/>
          <w:lang w:val="en-US"/>
        </w:rPr>
        <w:t xml:space="preserve">During the reporting period,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improved its ratio between the number of applications and signed contracts, hitting a record high ratio of 87% since 2016.</w:t>
      </w:r>
    </w:p>
    <w:p w14:paraId="00FC4ED2" w14:textId="6D7904D7" w:rsidR="00070203" w:rsidRPr="00BD295E" w:rsidRDefault="00070203" w:rsidP="00070203">
      <w:pPr>
        <w:pStyle w:val="1ff8"/>
        <w:ind w:left="1418" w:right="2692"/>
        <w:rPr>
          <w:rFonts w:asciiTheme="minorHAnsi" w:hAnsiTheme="minorHAnsi" w:cstheme="minorHAnsi"/>
          <w:b w:val="0"/>
          <w:bCs w:val="0"/>
          <w:sz w:val="24"/>
          <w:szCs w:val="24"/>
        </w:rPr>
      </w:pPr>
      <w:r w:rsidRPr="00BD295E">
        <w:rPr>
          <w:rFonts w:asciiTheme="minorHAnsi" w:hAnsiTheme="minorHAnsi" w:cstheme="minorHAnsi"/>
          <w:b w:val="0"/>
          <w:bCs w:val="0"/>
          <w:sz w:val="24"/>
          <w:szCs w:val="24"/>
        </w:rPr>
        <w:t>Breakdown of contracted capacity in Saint Petersburg in 2018, MW (%)*</w:t>
      </w:r>
    </w:p>
    <w:p w14:paraId="5AF4D697" w14:textId="6A202082" w:rsidR="00B20A51" w:rsidRPr="00BD295E" w:rsidRDefault="00070203" w:rsidP="008D04FE">
      <w:pPr>
        <w:tabs>
          <w:tab w:val="left" w:pos="709"/>
          <w:tab w:val="left" w:pos="851"/>
        </w:tabs>
        <w:ind w:firstLine="709"/>
        <w:jc w:val="both"/>
        <w:rPr>
          <w:rFonts w:ascii="Arial" w:hAnsi="Arial" w:cs="Arial"/>
          <w:sz w:val="18"/>
          <w:szCs w:val="18"/>
          <w:lang w:val="en-US"/>
        </w:rPr>
      </w:pP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85728" behindDoc="0" locked="0" layoutInCell="1" allowOverlap="1" wp14:anchorId="3F47600A" wp14:editId="3B4985B0">
                <wp:simplePos x="0" y="0"/>
                <wp:positionH relativeFrom="column">
                  <wp:posOffset>3742841</wp:posOffset>
                </wp:positionH>
                <wp:positionV relativeFrom="paragraph">
                  <wp:posOffset>629828</wp:posOffset>
                </wp:positionV>
                <wp:extent cx="1844675" cy="1282700"/>
                <wp:effectExtent l="0" t="0" r="3175" b="0"/>
                <wp:wrapNone/>
                <wp:docPr id="5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675" cy="1282700"/>
                        </a:xfrm>
                        <a:prstGeom prst="rect">
                          <a:avLst/>
                        </a:prstGeom>
                        <a:solidFill>
                          <a:schemeClr val="bg1"/>
                        </a:solidFill>
                        <a:ln w="9525">
                          <a:noFill/>
                          <a:miter lim="800000"/>
                          <a:headEnd/>
                          <a:tailEnd/>
                        </a:ln>
                      </wps:spPr>
                      <wps:txbx>
                        <w:txbxContent>
                          <w:p w14:paraId="5E9E8B90" w14:textId="77777777" w:rsidR="002C3947" w:rsidRDefault="002C3947" w:rsidP="00070203">
                            <w:pPr>
                              <w:rPr>
                                <w:rFonts w:asciiTheme="minorHAnsi" w:hAnsiTheme="minorHAnsi" w:cstheme="minorHAnsi"/>
                                <w:sz w:val="20"/>
                                <w:szCs w:val="32"/>
                              </w:rPr>
                            </w:pPr>
                            <w:r w:rsidRPr="002606EA">
                              <w:rPr>
                                <w:rFonts w:asciiTheme="minorHAnsi" w:hAnsiTheme="minorHAnsi" w:cstheme="minorHAnsi"/>
                                <w:color w:val="8497B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up to 15 kW</w:t>
                            </w:r>
                          </w:p>
                          <w:p w14:paraId="035CED01" w14:textId="77777777" w:rsidR="002C3947" w:rsidRPr="002606EA" w:rsidRDefault="002C3947" w:rsidP="00070203">
                            <w:pPr>
                              <w:spacing w:before="80"/>
                              <w:rPr>
                                <w:rFonts w:asciiTheme="minorHAnsi" w:hAnsiTheme="minorHAnsi" w:cstheme="minorHAnsi"/>
                                <w:sz w:val="20"/>
                                <w:szCs w:val="32"/>
                              </w:rPr>
                            </w:pPr>
                            <w:r w:rsidRPr="002606EA">
                              <w:rPr>
                                <w:rFonts w:asciiTheme="minorHAnsi" w:hAnsiTheme="minorHAnsi" w:cstheme="minorHAnsi"/>
                                <w:color w:val="FFFF0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15-150 kW</w:t>
                            </w:r>
                          </w:p>
                          <w:p w14:paraId="1EFD031A" w14:textId="77777777" w:rsidR="002C3947" w:rsidRPr="002606EA" w:rsidRDefault="002C3947" w:rsidP="00070203">
                            <w:pPr>
                              <w:spacing w:before="80"/>
                              <w:rPr>
                                <w:rFonts w:asciiTheme="minorHAnsi" w:hAnsiTheme="minorHAnsi" w:cstheme="minorHAnsi"/>
                                <w:sz w:val="20"/>
                                <w:szCs w:val="32"/>
                              </w:rPr>
                            </w:pPr>
                            <w:r w:rsidRPr="002606EA">
                              <w:rPr>
                                <w:rFonts w:asciiTheme="minorHAnsi" w:hAnsiTheme="minorHAnsi" w:cstheme="minorHAnsi"/>
                                <w:color w:val="92D05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150-670 kW</w:t>
                            </w:r>
                          </w:p>
                          <w:p w14:paraId="6B6CB7B6" w14:textId="77777777" w:rsidR="002C3947" w:rsidRPr="002606EA" w:rsidRDefault="002C3947" w:rsidP="00070203">
                            <w:pPr>
                              <w:spacing w:before="80"/>
                              <w:rPr>
                                <w:rFonts w:asciiTheme="minorHAnsi" w:hAnsiTheme="minorHAnsi" w:cstheme="minorHAnsi"/>
                                <w:sz w:val="20"/>
                                <w:szCs w:val="32"/>
                              </w:rPr>
                            </w:pPr>
                            <w:r w:rsidRPr="002606EA">
                              <w:rPr>
                                <w:rFonts w:asciiTheme="minorHAnsi" w:hAnsiTheme="minorHAnsi" w:cstheme="minorHAnsi"/>
                                <w:color w:val="B4C7E7"/>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670+ kW</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47600A" id="_x0000_s1084" type="#_x0000_t202" style="position:absolute;left:0;text-align:left;margin-left:294.7pt;margin-top:49.6pt;width:145.25pt;height:101pt;z-index:251785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" fillcolor="white [3212]" stroked="f">
                <v:textbox inset="0,0,0,0">
                  <w:txbxContent>
                    <w:p w14:paraId="5E9E8B90" w14:textId="77777777" w:rsidR="002C3947" w:rsidRDefault="002C3947" w:rsidP="00070203">
                      <w:pPr>
                        <w:rPr>
                          <w:rFonts w:asciiTheme="minorHAnsi" w:hAnsiTheme="minorHAnsi" w:cstheme="minorHAnsi"/>
                          <w:sz w:val="20"/>
                          <w:szCs w:val="32"/>
                        </w:rPr>
                      </w:pPr>
                      <w:r w:rsidRPr="002606EA">
                        <w:rPr>
                          <w:rFonts w:asciiTheme="minorHAnsi" w:hAnsiTheme="minorHAnsi" w:cstheme="minorHAnsi"/>
                          <w:color w:val="8497B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up to 15 kW</w:t>
                      </w:r>
                    </w:p>
                    <w:p w14:paraId="035CED01" w14:textId="77777777" w:rsidR="002C3947" w:rsidRPr="002606EA" w:rsidRDefault="002C3947" w:rsidP="00070203">
                      <w:pPr>
                        <w:spacing w:before="80"/>
                        <w:rPr>
                          <w:rFonts w:asciiTheme="minorHAnsi" w:hAnsiTheme="minorHAnsi" w:cstheme="minorHAnsi"/>
                          <w:sz w:val="20"/>
                          <w:szCs w:val="32"/>
                        </w:rPr>
                      </w:pPr>
                      <w:r w:rsidRPr="002606EA">
                        <w:rPr>
                          <w:rFonts w:asciiTheme="minorHAnsi" w:hAnsiTheme="minorHAnsi" w:cstheme="minorHAnsi"/>
                          <w:color w:val="FFFF0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15-150 kW</w:t>
                      </w:r>
                    </w:p>
                    <w:p w14:paraId="1EFD031A" w14:textId="77777777" w:rsidR="002C3947" w:rsidRPr="002606EA" w:rsidRDefault="002C3947" w:rsidP="00070203">
                      <w:pPr>
                        <w:spacing w:before="80"/>
                        <w:rPr>
                          <w:rFonts w:asciiTheme="minorHAnsi" w:hAnsiTheme="minorHAnsi" w:cstheme="minorHAnsi"/>
                          <w:sz w:val="20"/>
                          <w:szCs w:val="32"/>
                        </w:rPr>
                      </w:pPr>
                      <w:r w:rsidRPr="002606EA">
                        <w:rPr>
                          <w:rFonts w:asciiTheme="minorHAnsi" w:hAnsiTheme="minorHAnsi" w:cstheme="minorHAnsi"/>
                          <w:color w:val="92D05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150-670 kW</w:t>
                      </w:r>
                    </w:p>
                    <w:p w14:paraId="6B6CB7B6" w14:textId="77777777" w:rsidR="002C3947" w:rsidRPr="002606EA" w:rsidRDefault="002C3947" w:rsidP="00070203">
                      <w:pPr>
                        <w:spacing w:before="80"/>
                        <w:rPr>
                          <w:rFonts w:asciiTheme="minorHAnsi" w:hAnsiTheme="minorHAnsi" w:cstheme="minorHAnsi"/>
                          <w:sz w:val="20"/>
                          <w:szCs w:val="32"/>
                        </w:rPr>
                      </w:pPr>
                      <w:r w:rsidRPr="002606EA">
                        <w:rPr>
                          <w:rFonts w:asciiTheme="minorHAnsi" w:hAnsiTheme="minorHAnsi" w:cstheme="minorHAnsi"/>
                          <w:color w:val="B4C7E7"/>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670+ kW</w:t>
                      </w:r>
                    </w:p>
                  </w:txbxContent>
                </v:textbox>
              </v:shape>
            </w:pict>
          </mc:Fallback>
        </mc:AlternateContent>
      </w:r>
      <w:r w:rsidR="00997D07" w:rsidRPr="00BD295E">
        <w:rPr>
          <w:rFonts w:ascii="Arial" w:hAnsi="Arial" w:cs="Arial"/>
          <w:sz w:val="18"/>
          <w:szCs w:val="18"/>
          <w:lang w:val="en-US" w:eastAsia="en-US"/>
        </w:rPr>
        <mc:AlternateContent>
          <mc:Choice Requires="wps">
            <w:drawing>
              <wp:anchor distT="0" distB="0" distL="114300" distR="114300" simplePos="0" relativeHeight="251631104" behindDoc="0" locked="0" layoutInCell="1" allowOverlap="1" wp14:anchorId="3A88279E" wp14:editId="3C505ABA">
                <wp:simplePos x="0" y="0"/>
                <wp:positionH relativeFrom="column">
                  <wp:posOffset>118745</wp:posOffset>
                </wp:positionH>
                <wp:positionV relativeFrom="paragraph">
                  <wp:posOffset>1686560</wp:posOffset>
                </wp:positionV>
                <wp:extent cx="571500" cy="257175"/>
                <wp:effectExtent l="0" t="0" r="1270" b="1905"/>
                <wp:wrapNone/>
                <wp:docPr id="5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91F255" w14:textId="77777777" w:rsidR="002C3947" w:rsidRPr="00D72D5C" w:rsidRDefault="002C3947" w:rsidP="008D04FE">
                            <w:pPr>
                              <w:rPr>
                                <w:rFonts w:cs="Arial"/>
                              </w:rPr>
                            </w:pPr>
                            <w:r>
                              <w:t>1,032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88279E" id="_x0000_s1085" type="#_x0000_t202" style="position:absolute;left:0;text-align:left;margin-left:9.35pt;margin-top:132.8pt;width:45pt;height:20.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" stroked="f">
                <v:textbox>
                  <w:txbxContent>
                    <w:p w14:paraId="7A91F255" w14:textId="77777777" w:rsidR="002C3947" w:rsidRPr="00D72D5C" w:rsidRDefault="002C3947" w:rsidP="008D04FE">
                      <w:pPr>
                        <w:rPr>
                          <w:rFonts w:cs="Arial"/>
                        </w:rPr>
                      </w:pPr>
                      <w:r>
                        <w:t>1,032</w:t>
                      </w:r>
                    </w:p>
                  </w:txbxContent>
                </v:textbox>
              </v:shape>
            </w:pict>
          </mc:Fallback>
        </mc:AlternateContent>
      </w:r>
      <w:r w:rsidR="00997D07" w:rsidRPr="00BD295E">
        <w:rPr>
          <w:rFonts w:ascii="Arial" w:hAnsi="Arial" w:cs="Arial"/>
          <w:sz w:val="18"/>
          <w:szCs w:val="18"/>
          <w:lang w:val="en-US" w:eastAsia="en-US"/>
        </w:rPr>
        <mc:AlternateContent>
          <mc:Choice Requires="wps">
            <w:drawing>
              <wp:anchor distT="0" distB="0" distL="114300" distR="114300" simplePos="0" relativeHeight="251630080" behindDoc="0" locked="0" layoutInCell="1" allowOverlap="1" wp14:anchorId="1464BAC8" wp14:editId="7F3F6586">
                <wp:simplePos x="0" y="0"/>
                <wp:positionH relativeFrom="column">
                  <wp:posOffset>727710</wp:posOffset>
                </wp:positionH>
                <wp:positionV relativeFrom="paragraph">
                  <wp:posOffset>604520</wp:posOffset>
                </wp:positionV>
                <wp:extent cx="267335" cy="2345055"/>
                <wp:effectExtent l="7620" t="11430" r="10795" b="5715"/>
                <wp:wrapNone/>
                <wp:docPr id="510" name="Левая фигурная скобк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335" cy="2345055"/>
                        </a:xfrm>
                        <a:prstGeom prst="leftBrace">
                          <a:avLst>
                            <a:gd name="adj1" fmla="val 8325"/>
                            <a:gd name="adj2" fmla="val 50000"/>
                          </a:avLst>
                        </a:prstGeom>
                        <a:noFill/>
                        <a:ln w="6350" algn="ctr">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D5B50FE" id="Левая фигурная скобка 1" o:spid="_x0000_s1026" type="#_x0000_t87" style="position:absolute;margin-left:57.3pt;margin-top:47.6pt;width:21.05pt;height:184.6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" adj="205" strokecolor="#5b9bd5" strokeweight=".5pt">
                <v:stroke joinstyle="miter"/>
              </v:shape>
            </w:pict>
          </mc:Fallback>
        </mc:AlternateContent>
      </w:r>
      <w:r w:rsidR="00997D07" w:rsidRPr="00BD295E">
        <w:rPr>
          <w:rFonts w:ascii="Arial" w:hAnsi="Arial" w:cs="Arial"/>
          <w:sz w:val="18"/>
          <w:szCs w:val="18"/>
          <w:lang w:val="en-US" w:eastAsia="en-US"/>
        </w:rPr>
        <w:drawing>
          <wp:inline distT="0" distB="0" distL="0" distR="0" wp14:anchorId="03816510" wp14:editId="5795ACA8">
            <wp:extent cx="4391025" cy="2956768"/>
            <wp:effectExtent l="0" t="0" r="0" b="0"/>
            <wp:docPr id="35" name="Диаграмма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79"/>
                    <pic:cNvPicPr>
                      <a:picLocks noChangeArrowheads="1"/>
                    </pic:cNvPicPr>
                  </pic:nvPicPr>
                  <pic:blipFill rotWithShape="1">
                    <a:blip r:embed="rId53">
                      <a:extLst>
                        <a:ext uri="{28A0092B-C50C-407E-A947-70E740481C1C}">
                          <a14:useLocalDpi xmlns:a14="http://schemas.microsoft.com/office/drawing/2010/main" val="0"/>
                        </a:ext>
                      </a:extLst>
                    </a:blip>
                    <a:srcRect l="-1" t="11947" r="-43" b="-18"/>
                    <a:stretch/>
                  </pic:blipFill>
                  <pic:spPr bwMode="auto">
                    <a:xfrm>
                      <a:off x="0" y="0"/>
                      <a:ext cx="4391025" cy="2956768"/>
                    </a:xfrm>
                    <a:prstGeom prst="rect">
                      <a:avLst/>
                    </a:prstGeom>
                    <a:noFill/>
                    <a:ln>
                      <a:noFill/>
                    </a:ln>
                    <a:extLst>
                      <a:ext uri="{53640926-AAD7-44D8-BBD7-CCE9431645EC}">
                        <a14:shadowObscured xmlns:a14="http://schemas.microsoft.com/office/drawing/2010/main"/>
                      </a:ext>
                    </a:extLst>
                  </pic:spPr>
                </pic:pic>
              </a:graphicData>
            </a:graphic>
          </wp:inline>
        </w:drawing>
      </w:r>
    </w:p>
    <w:p w14:paraId="29FF8CBA" w14:textId="77777777" w:rsidR="00B20A51" w:rsidRPr="00BD295E" w:rsidRDefault="00B20A51" w:rsidP="008D04FE">
      <w:pPr>
        <w:tabs>
          <w:tab w:val="left" w:pos="709"/>
          <w:tab w:val="left" w:pos="851"/>
        </w:tabs>
        <w:ind w:firstLine="709"/>
        <w:jc w:val="both"/>
        <w:rPr>
          <w:rFonts w:ascii="Arial" w:hAnsi="Arial" w:cs="Arial"/>
          <w:sz w:val="18"/>
          <w:szCs w:val="18"/>
          <w:lang w:val="en-US"/>
        </w:rPr>
      </w:pPr>
    </w:p>
    <w:p w14:paraId="4BC6914A" w14:textId="77777777" w:rsidR="008D04FE" w:rsidRPr="00BD295E" w:rsidRDefault="008A5057" w:rsidP="00B20A51">
      <w:pPr>
        <w:tabs>
          <w:tab w:val="left" w:pos="709"/>
          <w:tab w:val="left" w:pos="851"/>
        </w:tabs>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w:t>
      </w:r>
    </w:p>
    <w:p w14:paraId="1BC095EF" w14:textId="71CA3E61" w:rsidR="008D04FE" w:rsidRPr="00BD295E" w:rsidRDefault="008A5057" w:rsidP="008D04FE">
      <w:pPr>
        <w:jc w:val="both"/>
        <w:rPr>
          <w:rFonts w:ascii="Arial" w:hAnsi="Arial" w:cs="Arial"/>
          <w:sz w:val="18"/>
          <w:szCs w:val="18"/>
          <w:lang w:val="en-US"/>
        </w:rPr>
      </w:pPr>
      <w:r w:rsidRPr="00BD295E">
        <w:rPr>
          <w:rFonts w:ascii="Arial" w:hAnsi="Arial" w:cs="Arial"/>
          <w:sz w:val="18"/>
          <w:szCs w:val="18"/>
          <w:lang w:val="en-US"/>
        </w:rPr>
        <w:t xml:space="preserve">670+ kW </w:t>
      </w:r>
      <w:r w:rsidR="000D659F" w:rsidRPr="00BD295E">
        <w:rPr>
          <w:rFonts w:ascii="Arial" w:hAnsi="Arial" w:cs="Arial"/>
          <w:sz w:val="18"/>
          <w:szCs w:val="18"/>
          <w:lang w:val="en-US"/>
        </w:rPr>
        <w:t>customer</w:t>
      </w:r>
      <w:r w:rsidRPr="00BD295E">
        <w:rPr>
          <w:rFonts w:ascii="Arial" w:hAnsi="Arial" w:cs="Arial"/>
          <w:sz w:val="18"/>
          <w:szCs w:val="18"/>
          <w:lang w:val="en-US"/>
        </w:rPr>
        <w:t xml:space="preserve">s provided the major contribution to the total requested capacity in Saint Petersburg and the Leningrad Region, accounting for 74% and 46% of </w:t>
      </w:r>
      <w:r w:rsidR="00153E0B" w:rsidRPr="00BD295E">
        <w:rPr>
          <w:rFonts w:ascii="Arial" w:hAnsi="Arial" w:cs="Arial"/>
          <w:sz w:val="18"/>
          <w:szCs w:val="18"/>
          <w:lang w:val="en-US"/>
        </w:rPr>
        <w:t>the total demand, respectively.</w:t>
      </w:r>
      <w:r w:rsidRPr="00BD295E">
        <w:rPr>
          <w:rFonts w:ascii="Arial" w:hAnsi="Arial" w:cs="Arial"/>
          <w:sz w:val="18"/>
          <w:szCs w:val="18"/>
          <w:lang w:val="en-US"/>
        </w:rPr>
        <w:t xml:space="preserve"> The 150–670 kW category was the second largest in Saint Petersburg, accounting for ~ 11% of the demand for capacity (117 MW). The “</w:t>
      </w:r>
      <w:r w:rsidR="000E42B1" w:rsidRPr="00BD295E">
        <w:rPr>
          <w:rFonts w:ascii="Arial" w:hAnsi="Arial" w:cs="Arial"/>
          <w:sz w:val="18"/>
          <w:szCs w:val="18"/>
          <w:lang w:val="en-US"/>
        </w:rPr>
        <w:t>up to</w:t>
      </w:r>
      <w:r w:rsidRPr="00BD295E">
        <w:rPr>
          <w:rFonts w:ascii="Arial" w:hAnsi="Arial" w:cs="Arial"/>
          <w:sz w:val="18"/>
          <w:szCs w:val="18"/>
          <w:lang w:val="en-US"/>
        </w:rPr>
        <w:t xml:space="preserve"> 15 kW” category was the second largest in the Leningrad region, accounting for ~25% (299 MW). </w:t>
      </w:r>
    </w:p>
    <w:p w14:paraId="4644A154" w14:textId="1D37FE31" w:rsidR="008D04FE" w:rsidRPr="00BD295E" w:rsidRDefault="00997D07" w:rsidP="008D04FE">
      <w:pPr>
        <w:tabs>
          <w:tab w:val="left" w:pos="709"/>
          <w:tab w:val="left" w:pos="851"/>
        </w:tabs>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33152" behindDoc="0" locked="0" layoutInCell="1" allowOverlap="1" wp14:anchorId="775E5116" wp14:editId="6EFA8E75">
                <wp:simplePos x="0" y="0"/>
                <wp:positionH relativeFrom="column">
                  <wp:posOffset>160655</wp:posOffset>
                </wp:positionH>
                <wp:positionV relativeFrom="paragraph">
                  <wp:posOffset>1915160</wp:posOffset>
                </wp:positionV>
                <wp:extent cx="571500" cy="257175"/>
                <wp:effectExtent l="2540" t="2540" r="0" b="0"/>
                <wp:wrapNone/>
                <wp:docPr id="5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79E7D3" w14:textId="77777777" w:rsidR="002C3947" w:rsidRPr="00D72D5C" w:rsidRDefault="002C3947" w:rsidP="008D04FE">
                            <w:pPr>
                              <w:rPr>
                                <w:rFonts w:cs="Arial"/>
                              </w:rPr>
                            </w:pPr>
                            <w:r>
                              <w:t>1,176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5E5116" id="_x0000_s1086" type="#_x0000_t202" style="position:absolute;left:0;text-align:left;margin-left:12.65pt;margin-top:150.8pt;width:45pt;height:20.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" stroked="f">
                <v:textbox>
                  <w:txbxContent>
                    <w:p w14:paraId="4C79E7D3" w14:textId="77777777" w:rsidR="002C3947" w:rsidRPr="00D72D5C" w:rsidRDefault="002C3947" w:rsidP="008D04FE">
                      <w:pPr>
                        <w:rPr>
                          <w:rFonts w:cs="Arial"/>
                        </w:rPr>
                      </w:pPr>
                      <w:r>
                        <w:t>1,176</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32128" behindDoc="0" locked="0" layoutInCell="1" allowOverlap="1" wp14:anchorId="7859AF4D" wp14:editId="3DC09CBD">
                <wp:simplePos x="0" y="0"/>
                <wp:positionH relativeFrom="column">
                  <wp:posOffset>729615</wp:posOffset>
                </wp:positionH>
                <wp:positionV relativeFrom="paragraph">
                  <wp:posOffset>810260</wp:posOffset>
                </wp:positionV>
                <wp:extent cx="259715" cy="2494915"/>
                <wp:effectExtent l="9525" t="12065" r="6985" b="7620"/>
                <wp:wrapNone/>
                <wp:docPr id="508" name="Левая фигурная скобк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494915"/>
                        </a:xfrm>
                        <a:prstGeom prst="leftBrace">
                          <a:avLst>
                            <a:gd name="adj1" fmla="val 8317"/>
                            <a:gd name="adj2" fmla="val 50000"/>
                          </a:avLst>
                        </a:prstGeom>
                        <a:noFill/>
                        <a:ln w="6350" algn="ctr">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B442B5A" id="Левая фигурная скобка 1" o:spid="_x0000_s1026" type="#_x0000_t87" style="position:absolute;margin-left:57.45pt;margin-top:63.8pt;width:20.45pt;height:196.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" adj="187" strokecolor="#5b9bd5" strokeweight=".5pt">
                <v:stroke joinstyle="miter"/>
              </v:shape>
            </w:pict>
          </mc:Fallback>
        </mc:AlternateContent>
      </w:r>
      <w:r w:rsidRPr="00BD295E">
        <w:rPr>
          <w:rFonts w:ascii="Arial" w:hAnsi="Arial" w:cs="Arial"/>
          <w:sz w:val="18"/>
          <w:szCs w:val="18"/>
          <w:lang w:val="en-US" w:eastAsia="en-US"/>
        </w:rPr>
        <w:drawing>
          <wp:inline distT="0" distB="0" distL="0" distR="0" wp14:anchorId="160ECF63" wp14:editId="4EAC9B3C">
            <wp:extent cx="4653280" cy="3657600"/>
            <wp:effectExtent l="0" t="0" r="0" b="0"/>
            <wp:docPr id="36" name="Диаграмма 1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F614957" w14:textId="77777777" w:rsidR="00B20A51" w:rsidRPr="00BD295E" w:rsidRDefault="00B20A51" w:rsidP="00B20A51">
      <w:pPr>
        <w:pStyle w:val="af3"/>
        <w:ind w:left="0"/>
        <w:jc w:val="both"/>
        <w:rPr>
          <w:rFonts w:ascii="Arial" w:hAnsi="Arial" w:cs="Arial"/>
          <w:sz w:val="18"/>
          <w:szCs w:val="18"/>
          <w:lang w:val="en-US"/>
        </w:rPr>
      </w:pPr>
    </w:p>
    <w:p w14:paraId="12477017" w14:textId="77777777" w:rsidR="008D04FE" w:rsidRPr="00BD295E" w:rsidRDefault="008A5057" w:rsidP="00B20A51">
      <w:pPr>
        <w:pStyle w:val="af3"/>
        <w:ind w:left="0"/>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w:t>
      </w:r>
    </w:p>
    <w:p w14:paraId="59A3E1E5" w14:textId="77777777" w:rsidR="008D04FE" w:rsidRPr="00BD295E" w:rsidRDefault="008D04FE" w:rsidP="008D04FE">
      <w:pPr>
        <w:tabs>
          <w:tab w:val="left" w:pos="709"/>
          <w:tab w:val="left" w:pos="851"/>
        </w:tabs>
        <w:ind w:firstLine="709"/>
        <w:jc w:val="both"/>
        <w:rPr>
          <w:rFonts w:ascii="Arial" w:hAnsi="Arial" w:cs="Arial"/>
          <w:sz w:val="18"/>
          <w:szCs w:val="18"/>
          <w:lang w:val="en-US"/>
        </w:rPr>
      </w:pPr>
    </w:p>
    <w:p w14:paraId="7F1DE93A" w14:textId="29A51A5A" w:rsidR="008D04FE" w:rsidRPr="00BD295E" w:rsidRDefault="008A5057" w:rsidP="00B20A51">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 xml:space="preserve">The total capacity requested by </w:t>
      </w:r>
      <w:r w:rsidR="000D659F" w:rsidRPr="00BD295E">
        <w:rPr>
          <w:rFonts w:ascii="Arial" w:hAnsi="Arial" w:cs="Arial"/>
          <w:sz w:val="18"/>
          <w:szCs w:val="18"/>
          <w:lang w:val="en-US"/>
        </w:rPr>
        <w:t>customer</w:t>
      </w:r>
      <w:r w:rsidRPr="00BD295E">
        <w:rPr>
          <w:rFonts w:ascii="Arial" w:hAnsi="Arial" w:cs="Arial"/>
          <w:sz w:val="18"/>
          <w:szCs w:val="18"/>
          <w:lang w:val="en-US"/>
        </w:rPr>
        <w:t xml:space="preserve">s across the companies under the management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about 3% of the total demand for capacity across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2018, amounting to 62.4 MW in absolute terms.</w:t>
      </w:r>
    </w:p>
    <w:p w14:paraId="3DF0AFA9" w14:textId="558FAC60" w:rsidR="00EC0845" w:rsidRPr="00BD295E" w:rsidRDefault="00EC0845" w:rsidP="00EC0845">
      <w:pPr>
        <w:pStyle w:val="1ff8"/>
        <w:rPr>
          <w:rFonts w:asciiTheme="minorHAnsi" w:hAnsiTheme="minorHAnsi" w:cstheme="minorHAnsi"/>
          <w:b w:val="0"/>
          <w:bCs w:val="0"/>
          <w:sz w:val="24"/>
          <w:szCs w:val="24"/>
        </w:rPr>
      </w:pPr>
      <w:r w:rsidRPr="00BD295E">
        <w:rPr>
          <w:rFonts w:asciiTheme="minorHAnsi" w:hAnsiTheme="minorHAnsi" w:cstheme="minorHAnsi"/>
          <w:b w:val="0"/>
          <w:bCs w:val="0"/>
          <w:sz w:val="24"/>
          <w:szCs w:val="24"/>
        </w:rPr>
        <w:t>Breakdown of contracted capacity across the Group in 2018, MW (%)*</w:t>
      </w:r>
    </w:p>
    <w:p w14:paraId="39894A82" w14:textId="6B8E8EB4" w:rsidR="00B20A51" w:rsidRPr="00BD295E" w:rsidRDefault="00EC0845" w:rsidP="008D04FE">
      <w:pPr>
        <w:pStyle w:val="af3"/>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35200" behindDoc="0" locked="0" layoutInCell="1" allowOverlap="1" wp14:anchorId="23A715FC" wp14:editId="781E3587">
                <wp:simplePos x="0" y="0"/>
                <wp:positionH relativeFrom="column">
                  <wp:posOffset>207010</wp:posOffset>
                </wp:positionH>
                <wp:positionV relativeFrom="paragraph">
                  <wp:posOffset>1298575</wp:posOffset>
                </wp:positionV>
                <wp:extent cx="571500" cy="257175"/>
                <wp:effectExtent l="0" t="0" r="2540" b="1270"/>
                <wp:wrapNone/>
                <wp:docPr id="5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03030" w14:textId="77777777" w:rsidR="002C3947" w:rsidRPr="00D72D5C" w:rsidRDefault="002C3947" w:rsidP="008D04FE">
                            <w:pPr>
                              <w:rPr>
                                <w:rFonts w:cs="Arial"/>
                              </w:rPr>
                            </w:pPr>
                            <w:r>
                              <w:t>62.4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A715FC" id="_x0000_s1087" type="#_x0000_t202" style="position:absolute;left:0;text-align:left;margin-left:16.3pt;margin-top:102.25pt;width:45pt;height:20.2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" filled="f" stroked="f">
                <v:textbox>
                  <w:txbxContent>
                    <w:p w14:paraId="7AA03030" w14:textId="77777777" w:rsidR="002C3947" w:rsidRPr="00D72D5C" w:rsidRDefault="002C3947" w:rsidP="008D04FE">
                      <w:pPr>
                        <w:rPr>
                          <w:rFonts w:cs="Arial"/>
                        </w:rPr>
                      </w:pPr>
                      <w:r>
                        <w:t>62.4</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34176" behindDoc="0" locked="0" layoutInCell="1" allowOverlap="1" wp14:anchorId="5C032582" wp14:editId="3CC1F69A">
                <wp:simplePos x="0" y="0"/>
                <wp:positionH relativeFrom="column">
                  <wp:posOffset>620728</wp:posOffset>
                </wp:positionH>
                <wp:positionV relativeFrom="paragraph">
                  <wp:posOffset>171502</wp:posOffset>
                </wp:positionV>
                <wp:extent cx="259715" cy="2494915"/>
                <wp:effectExtent l="10795" t="5080" r="5715" b="5080"/>
                <wp:wrapNone/>
                <wp:docPr id="506" name="Левая фигурная скобк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494915"/>
                        </a:xfrm>
                        <a:prstGeom prst="leftBrace">
                          <a:avLst>
                            <a:gd name="adj1" fmla="val 8317"/>
                            <a:gd name="adj2" fmla="val 50000"/>
                          </a:avLst>
                        </a:prstGeom>
                        <a:noFill/>
                        <a:ln w="6350" algn="ctr">
                          <a:solidFill>
                            <a:srgbClr val="5B9BD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8CA1A55" id="Левая фигурная скобка 1" o:spid="_x0000_s1026" type="#_x0000_t87" style="position:absolute;margin-left:48.9pt;margin-top:13.5pt;width:20.45pt;height:196.4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" adj="187" strokecolor="#5b9bd5" strokeweight=".5pt">
                <v:stroke joinstyle="miter"/>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87776" behindDoc="0" locked="0" layoutInCell="1" allowOverlap="1" wp14:anchorId="0C1CC443" wp14:editId="60E1BE9A">
                <wp:simplePos x="0" y="0"/>
                <wp:positionH relativeFrom="column">
                  <wp:posOffset>3796644</wp:posOffset>
                </wp:positionH>
                <wp:positionV relativeFrom="paragraph">
                  <wp:posOffset>602054</wp:posOffset>
                </wp:positionV>
                <wp:extent cx="1844675" cy="1282700"/>
                <wp:effectExtent l="0" t="0" r="3175" b="0"/>
                <wp:wrapNone/>
                <wp:docPr id="5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675" cy="1282700"/>
                        </a:xfrm>
                        <a:prstGeom prst="rect">
                          <a:avLst/>
                        </a:prstGeom>
                        <a:solidFill>
                          <a:schemeClr val="bg1"/>
                        </a:solidFill>
                        <a:ln w="9525">
                          <a:noFill/>
                          <a:miter lim="800000"/>
                          <a:headEnd/>
                          <a:tailEnd/>
                        </a:ln>
                      </wps:spPr>
                      <wps:txbx>
                        <w:txbxContent>
                          <w:p w14:paraId="0004C7D3" w14:textId="77777777" w:rsidR="002C3947" w:rsidRDefault="002C3947" w:rsidP="00EC0845">
                            <w:pPr>
                              <w:rPr>
                                <w:rFonts w:asciiTheme="minorHAnsi" w:hAnsiTheme="minorHAnsi" w:cstheme="minorHAnsi"/>
                                <w:sz w:val="20"/>
                                <w:szCs w:val="32"/>
                              </w:rPr>
                            </w:pPr>
                            <w:r w:rsidRPr="002606EA">
                              <w:rPr>
                                <w:rFonts w:asciiTheme="minorHAnsi" w:hAnsiTheme="minorHAnsi" w:cstheme="minorHAnsi"/>
                                <w:color w:val="8497B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up to 15 kW</w:t>
                            </w:r>
                          </w:p>
                          <w:p w14:paraId="52729290" w14:textId="77777777" w:rsidR="002C3947" w:rsidRPr="002606EA" w:rsidRDefault="002C3947" w:rsidP="00EC0845">
                            <w:pPr>
                              <w:spacing w:before="80"/>
                              <w:rPr>
                                <w:rFonts w:asciiTheme="minorHAnsi" w:hAnsiTheme="minorHAnsi" w:cstheme="minorHAnsi"/>
                                <w:sz w:val="20"/>
                                <w:szCs w:val="32"/>
                              </w:rPr>
                            </w:pPr>
                            <w:r w:rsidRPr="002606EA">
                              <w:rPr>
                                <w:rFonts w:asciiTheme="minorHAnsi" w:hAnsiTheme="minorHAnsi" w:cstheme="minorHAnsi"/>
                                <w:color w:val="FFFF0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15-150 kW</w:t>
                            </w:r>
                          </w:p>
                          <w:p w14:paraId="106D7EE6" w14:textId="77777777" w:rsidR="002C3947" w:rsidRPr="002606EA" w:rsidRDefault="002C3947" w:rsidP="00EC0845">
                            <w:pPr>
                              <w:spacing w:before="80"/>
                              <w:rPr>
                                <w:rFonts w:asciiTheme="minorHAnsi" w:hAnsiTheme="minorHAnsi" w:cstheme="minorHAnsi"/>
                                <w:sz w:val="20"/>
                                <w:szCs w:val="32"/>
                              </w:rPr>
                            </w:pPr>
                            <w:r w:rsidRPr="002606EA">
                              <w:rPr>
                                <w:rFonts w:asciiTheme="minorHAnsi" w:hAnsiTheme="minorHAnsi" w:cstheme="minorHAnsi"/>
                                <w:color w:val="92D05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150-670 kW</w:t>
                            </w:r>
                          </w:p>
                          <w:p w14:paraId="53AA0410" w14:textId="77777777" w:rsidR="002C3947" w:rsidRPr="002606EA" w:rsidRDefault="002C3947" w:rsidP="00EC0845">
                            <w:pPr>
                              <w:spacing w:before="80"/>
                              <w:rPr>
                                <w:rFonts w:asciiTheme="minorHAnsi" w:hAnsiTheme="minorHAnsi" w:cstheme="minorHAnsi"/>
                                <w:sz w:val="20"/>
                                <w:szCs w:val="32"/>
                              </w:rPr>
                            </w:pPr>
                            <w:r w:rsidRPr="002606EA">
                              <w:rPr>
                                <w:rFonts w:asciiTheme="minorHAnsi" w:hAnsiTheme="minorHAnsi" w:cstheme="minorHAnsi"/>
                                <w:color w:val="B4C7E7"/>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670+ kW</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1CC443" id="_x0000_s1088" type="#_x0000_t202" style="position:absolute;left:0;text-align:left;margin-left:298.95pt;margin-top:47.4pt;width:145.25pt;height:101pt;z-index:25178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" fillcolor="white [3212]" stroked="f">
                <v:textbox inset="0,0,0,0">
                  <w:txbxContent>
                    <w:p w14:paraId="0004C7D3" w14:textId="77777777" w:rsidR="002C3947" w:rsidRDefault="002C3947" w:rsidP="00EC0845">
                      <w:pPr>
                        <w:rPr>
                          <w:rFonts w:asciiTheme="minorHAnsi" w:hAnsiTheme="minorHAnsi" w:cstheme="minorHAnsi"/>
                          <w:sz w:val="20"/>
                          <w:szCs w:val="32"/>
                        </w:rPr>
                      </w:pPr>
                      <w:r w:rsidRPr="002606EA">
                        <w:rPr>
                          <w:rFonts w:asciiTheme="minorHAnsi" w:hAnsiTheme="minorHAnsi" w:cstheme="minorHAnsi"/>
                          <w:color w:val="8497B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up to 15 kW</w:t>
                      </w:r>
                    </w:p>
                    <w:p w14:paraId="52729290" w14:textId="77777777" w:rsidR="002C3947" w:rsidRPr="002606EA" w:rsidRDefault="002C3947" w:rsidP="00EC0845">
                      <w:pPr>
                        <w:spacing w:before="80"/>
                        <w:rPr>
                          <w:rFonts w:asciiTheme="minorHAnsi" w:hAnsiTheme="minorHAnsi" w:cstheme="minorHAnsi"/>
                          <w:sz w:val="20"/>
                          <w:szCs w:val="32"/>
                        </w:rPr>
                      </w:pPr>
                      <w:r w:rsidRPr="002606EA">
                        <w:rPr>
                          <w:rFonts w:asciiTheme="minorHAnsi" w:hAnsiTheme="minorHAnsi" w:cstheme="minorHAnsi"/>
                          <w:color w:val="FFFF0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15-150 kW</w:t>
                      </w:r>
                    </w:p>
                    <w:p w14:paraId="106D7EE6" w14:textId="77777777" w:rsidR="002C3947" w:rsidRPr="002606EA" w:rsidRDefault="002C3947" w:rsidP="00EC0845">
                      <w:pPr>
                        <w:spacing w:before="80"/>
                        <w:rPr>
                          <w:rFonts w:asciiTheme="minorHAnsi" w:hAnsiTheme="minorHAnsi" w:cstheme="minorHAnsi"/>
                          <w:sz w:val="20"/>
                          <w:szCs w:val="32"/>
                        </w:rPr>
                      </w:pPr>
                      <w:r w:rsidRPr="002606EA">
                        <w:rPr>
                          <w:rFonts w:asciiTheme="minorHAnsi" w:hAnsiTheme="minorHAnsi" w:cstheme="minorHAnsi"/>
                          <w:color w:val="92D050"/>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150-670 kW</w:t>
                      </w:r>
                    </w:p>
                    <w:p w14:paraId="53AA0410" w14:textId="77777777" w:rsidR="002C3947" w:rsidRPr="002606EA" w:rsidRDefault="002C3947" w:rsidP="00EC0845">
                      <w:pPr>
                        <w:spacing w:before="80"/>
                        <w:rPr>
                          <w:rFonts w:asciiTheme="minorHAnsi" w:hAnsiTheme="minorHAnsi" w:cstheme="minorHAnsi"/>
                          <w:sz w:val="20"/>
                          <w:szCs w:val="32"/>
                        </w:rPr>
                      </w:pPr>
                      <w:r w:rsidRPr="002606EA">
                        <w:rPr>
                          <w:rFonts w:asciiTheme="minorHAnsi" w:hAnsiTheme="minorHAnsi" w:cstheme="minorHAnsi"/>
                          <w:color w:val="B4C7E7"/>
                          <w:sz w:val="16"/>
                        </w:rPr>
                        <w:sym w:font="Wingdings 2" w:char="F0A2"/>
                      </w:r>
                      <w:r>
                        <w:rPr>
                          <w:rFonts w:asciiTheme="minorHAnsi" w:hAnsiTheme="minorHAnsi" w:cstheme="minorHAnsi"/>
                          <w:sz w:val="20"/>
                          <w:szCs w:val="32"/>
                        </w:rPr>
                        <w:t xml:space="preserve"> </w:t>
                      </w:r>
                      <w:r w:rsidRPr="002606EA">
                        <w:rPr>
                          <w:rFonts w:asciiTheme="minorHAnsi" w:hAnsiTheme="minorHAnsi" w:cstheme="minorHAnsi"/>
                          <w:sz w:val="20"/>
                          <w:szCs w:val="32"/>
                        </w:rPr>
                        <w:t>670+ kW</w:t>
                      </w:r>
                    </w:p>
                  </w:txbxContent>
                </v:textbox>
              </v:shape>
            </w:pict>
          </mc:Fallback>
        </mc:AlternateContent>
      </w:r>
      <w:r w:rsidR="00997D07" w:rsidRPr="00BD295E">
        <w:rPr>
          <w:rFonts w:ascii="Arial" w:hAnsi="Arial" w:cs="Arial"/>
          <w:sz w:val="18"/>
          <w:szCs w:val="18"/>
          <w:lang w:val="en-US" w:eastAsia="en-US"/>
        </w:rPr>
        <w:drawing>
          <wp:inline distT="0" distB="0" distL="0" distR="0" wp14:anchorId="5136C1C3" wp14:editId="7200F432">
            <wp:extent cx="4333875" cy="3034455"/>
            <wp:effectExtent l="0" t="0" r="0" b="0"/>
            <wp:docPr id="37" name="Диаграмма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81"/>
                    <pic:cNvPicPr>
                      <a:picLocks noChangeArrowheads="1"/>
                    </pic:cNvPicPr>
                  </pic:nvPicPr>
                  <pic:blipFill rotWithShape="1">
                    <a:blip r:embed="rId55">
                      <a:extLst>
                        <a:ext uri="{28A0092B-C50C-407E-A947-70E740481C1C}">
                          <a14:useLocalDpi xmlns:a14="http://schemas.microsoft.com/office/drawing/2010/main" val="0"/>
                        </a:ext>
                      </a:extLst>
                    </a:blip>
                    <a:srcRect t="15839"/>
                    <a:stretch/>
                  </pic:blipFill>
                  <pic:spPr bwMode="auto">
                    <a:xfrm>
                      <a:off x="0" y="0"/>
                      <a:ext cx="4333875" cy="3034455"/>
                    </a:xfrm>
                    <a:prstGeom prst="rect">
                      <a:avLst/>
                    </a:prstGeom>
                    <a:noFill/>
                    <a:ln>
                      <a:noFill/>
                    </a:ln>
                    <a:extLst>
                      <a:ext uri="{53640926-AAD7-44D8-BBD7-CCE9431645EC}">
                        <a14:shadowObscured xmlns:a14="http://schemas.microsoft.com/office/drawing/2010/main"/>
                      </a:ext>
                    </a:extLst>
                  </pic:spPr>
                </pic:pic>
              </a:graphicData>
            </a:graphic>
          </wp:inline>
        </w:drawing>
      </w:r>
    </w:p>
    <w:p w14:paraId="4B813EFC" w14:textId="77777777" w:rsidR="00B20A51" w:rsidRPr="00BD295E" w:rsidRDefault="00B20A51" w:rsidP="00B20A51">
      <w:pPr>
        <w:pStyle w:val="af3"/>
        <w:ind w:left="0"/>
        <w:jc w:val="both"/>
        <w:rPr>
          <w:rFonts w:ascii="Arial" w:hAnsi="Arial" w:cs="Arial"/>
          <w:sz w:val="18"/>
          <w:szCs w:val="18"/>
          <w:lang w:val="en-US"/>
        </w:rPr>
      </w:pPr>
    </w:p>
    <w:p w14:paraId="385A3A17" w14:textId="77777777" w:rsidR="008D04FE" w:rsidRPr="00BD295E" w:rsidRDefault="008A5057" w:rsidP="000E42B1">
      <w:pPr>
        <w:pStyle w:val="af3"/>
        <w:ind w:left="0"/>
        <w:jc w:val="both"/>
        <w:rPr>
          <w:rFonts w:ascii="Arial" w:hAnsi="Arial" w:cs="Arial"/>
          <w:sz w:val="12"/>
          <w:szCs w:val="12"/>
          <w:lang w:val="en-US"/>
        </w:rPr>
      </w:pPr>
      <w:r w:rsidRPr="00BD295E">
        <w:rPr>
          <w:rFonts w:ascii="Arial" w:hAnsi="Arial" w:cs="Arial"/>
          <w:sz w:val="12"/>
          <w:szCs w:val="12"/>
          <w:lang w:val="en-US"/>
        </w:rPr>
        <w:t xml:space="preserve">* Net of connected </w:t>
      </w:r>
      <w:r w:rsidR="00DE61D5" w:rsidRPr="00BD295E">
        <w:rPr>
          <w:rFonts w:ascii="Arial" w:hAnsi="Arial" w:cs="Arial"/>
          <w:sz w:val="12"/>
          <w:szCs w:val="12"/>
          <w:lang w:val="en-US"/>
        </w:rPr>
        <w:t>power generation facilities</w:t>
      </w:r>
      <w:r w:rsidRPr="00BD295E">
        <w:rPr>
          <w:rFonts w:ascii="Arial" w:hAnsi="Arial" w:cs="Arial"/>
          <w:sz w:val="12"/>
          <w:szCs w:val="12"/>
          <w:lang w:val="en-US"/>
        </w:rPr>
        <w:t xml:space="preserve"> (permanent grid connection)</w:t>
      </w:r>
    </w:p>
    <w:p w14:paraId="78735773" w14:textId="77777777" w:rsidR="008D04FE" w:rsidRPr="00BD295E" w:rsidRDefault="008D04FE" w:rsidP="000E42B1">
      <w:pPr>
        <w:tabs>
          <w:tab w:val="left" w:pos="709"/>
          <w:tab w:val="left" w:pos="851"/>
        </w:tabs>
        <w:jc w:val="both"/>
        <w:rPr>
          <w:rFonts w:ascii="Arial" w:hAnsi="Arial" w:cs="Arial"/>
          <w:sz w:val="18"/>
          <w:szCs w:val="18"/>
          <w:lang w:val="en-US"/>
        </w:rPr>
      </w:pPr>
    </w:p>
    <w:p w14:paraId="7BEEC179" w14:textId="77777777" w:rsidR="008D04FE" w:rsidRPr="00BD295E" w:rsidRDefault="008A5057" w:rsidP="000E42B1">
      <w:pPr>
        <w:rPr>
          <w:rFonts w:ascii="Arial" w:hAnsi="Arial" w:cs="Arial"/>
          <w:b/>
          <w:sz w:val="18"/>
          <w:szCs w:val="18"/>
          <w:lang w:val="en-US"/>
        </w:rPr>
      </w:pPr>
      <w:bookmarkStart w:id="207" w:name="_Toc473737598"/>
      <w:bookmarkStart w:id="208" w:name="_Toc473897996"/>
      <w:bookmarkStart w:id="209" w:name="_Toc473898421"/>
      <w:bookmarkStart w:id="210" w:name="_Toc473904693"/>
      <w:r w:rsidRPr="00BD295E">
        <w:rPr>
          <w:rFonts w:ascii="Arial" w:hAnsi="Arial" w:cs="Arial"/>
          <w:b/>
          <w:sz w:val="18"/>
          <w:szCs w:val="18"/>
          <w:lang w:val="en-US"/>
        </w:rPr>
        <w:t>Performance of obligations under overdue grid connection contracts</w:t>
      </w:r>
      <w:bookmarkEnd w:id="207"/>
      <w:bookmarkEnd w:id="208"/>
      <w:bookmarkEnd w:id="209"/>
      <w:bookmarkEnd w:id="210"/>
    </w:p>
    <w:p w14:paraId="118131FA" w14:textId="77777777" w:rsidR="008D04FE" w:rsidRPr="00BD295E" w:rsidRDefault="008A5057" w:rsidP="00F51CB3">
      <w:pPr>
        <w:pStyle w:val="16"/>
        <w:spacing w:before="0" w:beforeAutospacing="0" w:after="120" w:afterAutospacing="0" w:line="233" w:lineRule="auto"/>
        <w:jc w:val="both"/>
        <w:rPr>
          <w:rFonts w:ascii="Arial" w:eastAsia="Calibri" w:hAnsi="Arial" w:cs="Arial"/>
          <w:sz w:val="18"/>
          <w:szCs w:val="18"/>
          <w:lang w:val="en-US"/>
        </w:rPr>
      </w:pPr>
      <w:r w:rsidRPr="00BD295E">
        <w:rPr>
          <w:rFonts w:ascii="Arial" w:hAnsi="Arial" w:cs="Arial"/>
          <w:sz w:val="18"/>
          <w:szCs w:val="18"/>
          <w:lang w:val="en-US"/>
        </w:rPr>
        <w:t xml:space="preserve">As at January 1, 2019, the number of overdue contracts (net of contracts for temporary grid connection and for connection of </w:t>
      </w:r>
      <w:r w:rsidR="00DE61D5" w:rsidRPr="00BD295E">
        <w:rPr>
          <w:rFonts w:ascii="Arial" w:hAnsi="Arial" w:cs="Arial"/>
          <w:sz w:val="18"/>
          <w:szCs w:val="18"/>
          <w:lang w:val="en-US"/>
        </w:rPr>
        <w:t>power generation facilities</w:t>
      </w:r>
      <w:r w:rsidRPr="00BD295E">
        <w:rPr>
          <w:rFonts w:ascii="Arial" w:hAnsi="Arial" w:cs="Arial"/>
          <w:sz w:val="18"/>
          <w:szCs w:val="18"/>
          <w:lang w:val="en-US"/>
        </w:rPr>
        <w:t xml:space="preserve">) amounted to 12,769 contracts for a total of 476.3 MW, which represents 49% of the total amount of outstanding obligations.  Out of the above amount, the grid organization performed its obligations under 12,218 contracts, which accounts for 96% of the total amount of overdue contracts. For the remaining 551 outstanding contracts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Company has received notifications on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’s readiness for grid connection only for 43 contracts (which represents 0.1% of the amount of contracts signed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2018).</w:t>
      </w:r>
    </w:p>
    <w:p w14:paraId="2466F068" w14:textId="77777777" w:rsidR="008D04FE" w:rsidRPr="00BD295E" w:rsidRDefault="008A5057" w:rsidP="00F51CB3">
      <w:pPr>
        <w:pStyle w:val="16"/>
        <w:spacing w:before="0" w:beforeAutospacing="0" w:after="120" w:afterAutospacing="0" w:line="233" w:lineRule="auto"/>
        <w:jc w:val="both"/>
        <w:rPr>
          <w:rFonts w:ascii="Arial" w:eastAsia="Calibri" w:hAnsi="Arial" w:cs="Arial"/>
          <w:sz w:val="18"/>
          <w:szCs w:val="18"/>
          <w:lang w:val="en-US"/>
        </w:rPr>
      </w:pPr>
      <w:r w:rsidRPr="00BD295E">
        <w:rPr>
          <w:rFonts w:ascii="Arial" w:hAnsi="Arial" w:cs="Arial"/>
          <w:sz w:val="18"/>
          <w:szCs w:val="18"/>
          <w:lang w:val="en-US"/>
        </w:rPr>
        <w:t>The reasons for overdue contracts include: problems with grid connection hindered by third parties and land owners when constructing the networks, delays in obtaining permits for passing power lines through forested areas of the State Forest Fund, etc.</w:t>
      </w:r>
    </w:p>
    <w:p w14:paraId="1C217C2F" w14:textId="77777777" w:rsidR="008D04FE" w:rsidRPr="00BD295E" w:rsidRDefault="008A5057" w:rsidP="00F51CB3">
      <w:pPr>
        <w:pStyle w:val="16"/>
        <w:spacing w:before="0" w:beforeAutospacing="0" w:after="120" w:afterAutospacing="0" w:line="233" w:lineRule="auto"/>
        <w:jc w:val="both"/>
        <w:rPr>
          <w:rFonts w:ascii="Arial" w:eastAsia="Calibri" w:hAnsi="Arial" w:cs="Arial"/>
          <w:sz w:val="18"/>
          <w:szCs w:val="18"/>
          <w:lang w:val="en-US"/>
        </w:rPr>
      </w:pPr>
      <w:r w:rsidRPr="00BD295E">
        <w:rPr>
          <w:rFonts w:ascii="Arial" w:hAnsi="Arial" w:cs="Arial"/>
          <w:sz w:val="18"/>
          <w:szCs w:val="18"/>
          <w:lang w:val="en-US"/>
        </w:rPr>
        <w:t xml:space="preserve">Companies under management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had 469 overdue contracts for a total of 70 MW, which corresponds to 41% of the total number of active contracts of these companies as at January 1, 2019.</w:t>
      </w:r>
    </w:p>
    <w:p w14:paraId="4BA5C59B" w14:textId="77777777" w:rsidR="008D04FE" w:rsidRPr="00BD295E" w:rsidRDefault="008A5057" w:rsidP="00F51CB3">
      <w:pPr>
        <w:pStyle w:val="16"/>
        <w:spacing w:before="0" w:beforeAutospacing="0" w:after="120" w:afterAutospacing="0" w:line="233" w:lineRule="auto"/>
        <w:jc w:val="both"/>
        <w:rPr>
          <w:rFonts w:ascii="Arial" w:eastAsia="Calibri" w:hAnsi="Arial" w:cs="Arial"/>
          <w:sz w:val="18"/>
          <w:szCs w:val="18"/>
          <w:lang w:val="en-US"/>
        </w:rPr>
      </w:pPr>
      <w:r w:rsidRPr="00BD295E">
        <w:rPr>
          <w:rFonts w:ascii="Arial" w:hAnsi="Arial" w:cs="Arial"/>
          <w:sz w:val="18"/>
          <w:szCs w:val="18"/>
          <w:lang w:val="en-US"/>
        </w:rPr>
        <w:t xml:space="preserve">In order to reduce the amount of overdue contractual obligations,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takes a range of measures:</w:t>
      </w:r>
    </w:p>
    <w:p w14:paraId="319A9D6E" w14:textId="77777777" w:rsidR="008D04FE" w:rsidRPr="00BD295E" w:rsidRDefault="008A5057" w:rsidP="00F51CB3">
      <w:pPr>
        <w:pStyle w:val="16"/>
        <w:spacing w:before="0" w:beforeAutospacing="0" w:after="120" w:afterAutospacing="0" w:line="233" w:lineRule="auto"/>
        <w:jc w:val="both"/>
        <w:rPr>
          <w:rFonts w:ascii="Arial" w:eastAsia="Calibri" w:hAnsi="Arial" w:cs="Arial"/>
          <w:sz w:val="18"/>
          <w:szCs w:val="18"/>
          <w:lang w:val="en-US"/>
        </w:rPr>
      </w:pPr>
      <w:r w:rsidRPr="00BD295E">
        <w:rPr>
          <w:rFonts w:ascii="Arial" w:hAnsi="Arial" w:cs="Arial"/>
          <w:sz w:val="18"/>
          <w:szCs w:val="18"/>
          <w:lang w:val="en-US"/>
        </w:rPr>
        <w:t>1.  Engagement with counterparties to accelerate the completion of grid connection, including coordination of the counterparty’s engagement with the core business units and branches of the Company;</w:t>
      </w:r>
    </w:p>
    <w:p w14:paraId="139661CD" w14:textId="77777777" w:rsidR="008D04FE" w:rsidRPr="00BD295E" w:rsidRDefault="008A5057" w:rsidP="00F51CB3">
      <w:pPr>
        <w:pStyle w:val="16"/>
        <w:spacing w:before="0" w:beforeAutospacing="0" w:after="120" w:afterAutospacing="0" w:line="233" w:lineRule="auto"/>
        <w:jc w:val="both"/>
        <w:rPr>
          <w:rFonts w:ascii="Arial" w:eastAsia="Calibri" w:hAnsi="Arial" w:cs="Arial"/>
          <w:sz w:val="18"/>
          <w:szCs w:val="18"/>
          <w:lang w:val="en-US"/>
        </w:rPr>
      </w:pPr>
      <w:r w:rsidRPr="00BD295E">
        <w:rPr>
          <w:rFonts w:ascii="Arial" w:hAnsi="Arial" w:cs="Arial"/>
          <w:sz w:val="18"/>
          <w:szCs w:val="18"/>
          <w:lang w:val="en-US"/>
        </w:rPr>
        <w:t>2. Notifications and complaint management, and termination of grid connection contracts in cases where the contractor failed to fulfill its contractual obligations, including the failure to implement measures provided for in the technical specifications, and delay in paying connection fees in accordance with the Company’s organizational and administrative documents, etc.</w:t>
      </w:r>
    </w:p>
    <w:p w14:paraId="0B32AAFA" w14:textId="746D1815" w:rsidR="008D04FE" w:rsidRPr="00BD295E" w:rsidRDefault="008A5057" w:rsidP="00F51CB3">
      <w:pPr>
        <w:spacing w:line="233" w:lineRule="auto"/>
        <w:jc w:val="both"/>
        <w:rPr>
          <w:rFonts w:ascii="Arial" w:hAnsi="Arial" w:cs="Arial"/>
          <w:sz w:val="18"/>
          <w:szCs w:val="18"/>
          <w:lang w:val="en-US"/>
        </w:rPr>
      </w:pPr>
      <w:r w:rsidRPr="00BD295E">
        <w:rPr>
          <w:rFonts w:ascii="Arial" w:hAnsi="Arial" w:cs="Arial"/>
          <w:sz w:val="18"/>
          <w:szCs w:val="18"/>
          <w:lang w:val="en-US"/>
        </w:rPr>
        <w:tab/>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connected over 1 thousand government-funded facilities as well as other socially significant </w:t>
      </w:r>
      <w:r w:rsidR="002C3947" w:rsidRPr="00BD295E">
        <w:rPr>
          <w:rFonts w:ascii="Arial" w:hAnsi="Arial" w:cs="Arial"/>
          <w:sz w:val="18"/>
          <w:szCs w:val="18"/>
          <w:lang w:val="en-US"/>
        </w:rPr>
        <w:t>facilities to</w:t>
      </w:r>
      <w:r w:rsidRPr="00BD295E">
        <w:rPr>
          <w:rFonts w:ascii="Arial" w:hAnsi="Arial" w:cs="Arial"/>
          <w:sz w:val="18"/>
          <w:szCs w:val="18"/>
          <w:lang w:val="en-US"/>
        </w:rPr>
        <w:t xml:space="preserve"> its grids.</w:t>
      </w:r>
    </w:p>
    <w:p w14:paraId="31D5E075" w14:textId="77777777" w:rsidR="008D04FE" w:rsidRPr="00BD295E" w:rsidRDefault="008A5057" w:rsidP="00F51CB3">
      <w:pPr>
        <w:spacing w:line="233" w:lineRule="auto"/>
        <w:jc w:val="both"/>
        <w:rPr>
          <w:rFonts w:ascii="Arial" w:hAnsi="Arial" w:cs="Arial"/>
          <w:sz w:val="18"/>
          <w:szCs w:val="18"/>
          <w:lang w:val="en-US"/>
        </w:rPr>
      </w:pPr>
      <w:r w:rsidRPr="00BD295E">
        <w:rPr>
          <w:rFonts w:ascii="Arial" w:hAnsi="Arial" w:cs="Arial"/>
          <w:sz w:val="18"/>
          <w:szCs w:val="18"/>
          <w:lang w:val="en-US"/>
        </w:rPr>
        <w:t xml:space="preserve"> </w:t>
      </w:r>
      <w:r w:rsidRPr="00BD295E">
        <w:rPr>
          <w:rFonts w:ascii="Arial" w:hAnsi="Arial" w:cs="Arial"/>
          <w:sz w:val="18"/>
          <w:szCs w:val="18"/>
          <w:lang w:val="en-US"/>
        </w:rPr>
        <w:tab/>
        <w:t xml:space="preserve">Most </w:t>
      </w:r>
      <w:r w:rsidR="000D659F" w:rsidRPr="00BD295E">
        <w:rPr>
          <w:rFonts w:ascii="Arial" w:hAnsi="Arial" w:cs="Arial"/>
          <w:sz w:val="18"/>
          <w:szCs w:val="18"/>
          <w:lang w:val="en-US"/>
        </w:rPr>
        <w:t>customer</w:t>
      </w:r>
      <w:r w:rsidRPr="00BD295E">
        <w:rPr>
          <w:rFonts w:ascii="Arial" w:hAnsi="Arial" w:cs="Arial"/>
          <w:sz w:val="18"/>
          <w:szCs w:val="18"/>
          <w:lang w:val="en-US"/>
        </w:rPr>
        <w:t>s in this category (more than 600 applications) are located in Saint Petersburg and include applications for connection of:</w:t>
      </w:r>
    </w:p>
    <w:p w14:paraId="7510C5B6" w14:textId="77777777" w:rsidR="008D04FE" w:rsidRPr="00BD295E" w:rsidRDefault="008A5057" w:rsidP="00F51CB3">
      <w:pPr>
        <w:spacing w:line="233" w:lineRule="auto"/>
        <w:jc w:val="both"/>
        <w:rPr>
          <w:rFonts w:ascii="Arial" w:hAnsi="Arial" w:cs="Arial"/>
          <w:sz w:val="18"/>
          <w:szCs w:val="18"/>
          <w:lang w:val="en-US"/>
        </w:rPr>
      </w:pPr>
      <w:r w:rsidRPr="00BD295E">
        <w:rPr>
          <w:rFonts w:ascii="Arial" w:hAnsi="Arial" w:cs="Arial"/>
          <w:sz w:val="18"/>
          <w:szCs w:val="18"/>
          <w:lang w:val="en-US"/>
        </w:rPr>
        <w:tab/>
        <w:t>- healthcare institutions in the Frunzensky, Krasnoselsky, Vyborgsky, and other districts of the city (eight polyclinics), more than 10 standard and special childcare cent</w:t>
      </w:r>
      <w:r w:rsidR="00174C5B" w:rsidRPr="00BD295E">
        <w:rPr>
          <w:rFonts w:ascii="Arial" w:hAnsi="Arial" w:cs="Arial"/>
          <w:sz w:val="18"/>
          <w:szCs w:val="18"/>
          <w:lang w:val="en-US"/>
        </w:rPr>
        <w:t>e</w:t>
      </w:r>
      <w:r w:rsidRPr="00BD295E">
        <w:rPr>
          <w:rFonts w:ascii="Arial" w:hAnsi="Arial" w:cs="Arial"/>
          <w:sz w:val="18"/>
          <w:szCs w:val="18"/>
          <w:lang w:val="en-US"/>
        </w:rPr>
        <w:t xml:space="preserve">rs, general education schools of the Central and Pushkinsky Districts, as well as a number of facilities of high social significance: Saint Petersburg Search and Rescue Service, the Center of Social renovation of Disabled People, including Disabled Children of the Kolpinsky District </w:t>
      </w:r>
      <w:r w:rsidRPr="00BD295E">
        <w:rPr>
          <w:rFonts w:ascii="Arial" w:hAnsi="Arial" w:cs="Arial"/>
          <w:i/>
          <w:iCs/>
          <w:sz w:val="18"/>
          <w:szCs w:val="18"/>
          <w:lang w:val="en-US"/>
        </w:rPr>
        <w:t>Podderzhka</w:t>
      </w:r>
      <w:r w:rsidRPr="00BD295E">
        <w:rPr>
          <w:rFonts w:ascii="Arial" w:hAnsi="Arial" w:cs="Arial"/>
          <w:sz w:val="18"/>
          <w:szCs w:val="18"/>
          <w:lang w:val="en-US"/>
        </w:rPr>
        <w:t>, the Saint-Petersburg University of State Fire Service of EMERCOM of Russia, etc.</w:t>
      </w:r>
    </w:p>
    <w:p w14:paraId="1F7DD5D3" w14:textId="77777777" w:rsidR="008D04FE" w:rsidRPr="00BD295E" w:rsidRDefault="008A5057" w:rsidP="00F51CB3">
      <w:pPr>
        <w:spacing w:line="233" w:lineRule="auto"/>
        <w:jc w:val="both"/>
        <w:rPr>
          <w:rFonts w:ascii="Arial" w:hAnsi="Arial" w:cs="Arial"/>
          <w:sz w:val="18"/>
          <w:szCs w:val="18"/>
          <w:lang w:val="en-US"/>
        </w:rPr>
      </w:pPr>
      <w:r w:rsidRPr="00BD295E">
        <w:rPr>
          <w:rFonts w:ascii="Arial" w:hAnsi="Arial" w:cs="Arial"/>
          <w:sz w:val="18"/>
          <w:szCs w:val="18"/>
          <w:lang w:val="en-US"/>
        </w:rPr>
        <w:tab/>
        <w:t>In the Leningrad Region such facilities included:</w:t>
      </w:r>
    </w:p>
    <w:p w14:paraId="3980B920" w14:textId="77777777" w:rsidR="008D04FE" w:rsidRPr="00BD295E" w:rsidRDefault="008A5057" w:rsidP="00F51CB3">
      <w:pPr>
        <w:spacing w:line="233" w:lineRule="auto"/>
        <w:jc w:val="both"/>
        <w:rPr>
          <w:rFonts w:ascii="Arial" w:hAnsi="Arial" w:cs="Arial"/>
          <w:sz w:val="18"/>
          <w:szCs w:val="18"/>
          <w:lang w:val="en-US"/>
        </w:rPr>
      </w:pPr>
      <w:r w:rsidRPr="00BD295E">
        <w:rPr>
          <w:rFonts w:ascii="Arial" w:hAnsi="Arial" w:cs="Arial"/>
          <w:sz w:val="18"/>
          <w:szCs w:val="18"/>
          <w:lang w:val="en-US"/>
        </w:rPr>
        <w:tab/>
        <w:t xml:space="preserve">- Slantsevskaya Interdistrict Hospital, Bolshekolpansky Cultural, Sports, and Youth Policy Center of the Gatchinsky District, Priozersky District Police Department, Center for Logistical Support of Umpire Court Districts of the Leningrad Region, outpatient clinics and first-aid stations of the Construction Department of the Leningrad Region, </w:t>
      </w:r>
      <w:r w:rsidRPr="00BD295E">
        <w:rPr>
          <w:rFonts w:ascii="Arial" w:hAnsi="Arial" w:cs="Arial"/>
          <w:i/>
          <w:iCs/>
          <w:sz w:val="18"/>
          <w:szCs w:val="18"/>
          <w:lang w:val="en-US"/>
        </w:rPr>
        <w:t>Yunost</w:t>
      </w:r>
      <w:r w:rsidRPr="00BD295E">
        <w:rPr>
          <w:rFonts w:ascii="Arial" w:hAnsi="Arial" w:cs="Arial"/>
          <w:sz w:val="18"/>
          <w:szCs w:val="18"/>
          <w:lang w:val="en-US"/>
        </w:rPr>
        <w:t xml:space="preserve"> sports complex (a stadium for 1,500 seats) of the Administration of the Priozersky Municipal District of the Leningrad Region, etc.</w:t>
      </w:r>
    </w:p>
    <w:p w14:paraId="1A4AC051" w14:textId="77777777" w:rsidR="008D04FE" w:rsidRPr="00BD295E" w:rsidRDefault="008A5057" w:rsidP="00F51CB3">
      <w:pPr>
        <w:spacing w:line="233" w:lineRule="auto"/>
        <w:jc w:val="both"/>
        <w:rPr>
          <w:rFonts w:ascii="Arial" w:hAnsi="Arial" w:cs="Arial"/>
          <w:sz w:val="18"/>
          <w:szCs w:val="18"/>
          <w:lang w:val="en-US"/>
        </w:rPr>
      </w:pPr>
      <w:r w:rsidRPr="00BD295E">
        <w:rPr>
          <w:rFonts w:ascii="Arial" w:hAnsi="Arial" w:cs="Arial"/>
          <w:sz w:val="18"/>
          <w:szCs w:val="18"/>
          <w:lang w:val="en-US"/>
        </w:rPr>
        <w:t xml:space="preserve">As part of the FIFA World Cup, the facilities of Magistral Dvukh Stolits, LLC (RTP) in the Leningrad Region used for the construction of the Moscow – Saint Petersburg high-speed highway were also connected to the Company’s grids. </w:t>
      </w:r>
    </w:p>
    <w:p w14:paraId="40C0A60A" w14:textId="77777777" w:rsidR="008D04FE" w:rsidRPr="00BD295E" w:rsidRDefault="008D04FE" w:rsidP="000E42B1">
      <w:pPr>
        <w:rPr>
          <w:rFonts w:ascii="Arial" w:hAnsi="Arial" w:cs="Arial"/>
          <w:b/>
          <w:sz w:val="18"/>
          <w:szCs w:val="18"/>
          <w:lang w:val="en-US"/>
        </w:rPr>
      </w:pPr>
    </w:p>
    <w:p w14:paraId="39AE9377" w14:textId="77777777" w:rsidR="008D04FE" w:rsidRPr="00BD295E" w:rsidRDefault="008A5057" w:rsidP="000E42B1">
      <w:pPr>
        <w:rPr>
          <w:rFonts w:ascii="Arial" w:hAnsi="Arial" w:cs="Arial"/>
          <w:b/>
          <w:sz w:val="18"/>
          <w:szCs w:val="18"/>
          <w:lang w:val="en-US"/>
        </w:rPr>
      </w:pPr>
      <w:bookmarkStart w:id="211" w:name="_Toc473737600"/>
      <w:bookmarkStart w:id="212" w:name="_Toc473897998"/>
      <w:bookmarkStart w:id="213" w:name="_Toc473898423"/>
      <w:bookmarkStart w:id="214" w:name="_Toc473904695"/>
      <w:bookmarkStart w:id="215" w:name="_Toc506469825"/>
      <w:r w:rsidRPr="00BD295E">
        <w:rPr>
          <w:rFonts w:ascii="Arial" w:hAnsi="Arial" w:cs="Arial"/>
          <w:b/>
          <w:sz w:val="18"/>
          <w:szCs w:val="18"/>
          <w:lang w:val="en-US"/>
        </w:rPr>
        <w:t>Revenue from grid connection services</w:t>
      </w:r>
      <w:bookmarkEnd w:id="211"/>
      <w:bookmarkEnd w:id="212"/>
      <w:bookmarkEnd w:id="213"/>
      <w:bookmarkEnd w:id="214"/>
      <w:bookmarkEnd w:id="215"/>
    </w:p>
    <w:p w14:paraId="795C2128" w14:textId="77777777" w:rsidR="00C90D08" w:rsidRPr="00BD295E" w:rsidRDefault="00C90D08" w:rsidP="000E42B1">
      <w:pPr>
        <w:rPr>
          <w:rFonts w:ascii="Arial" w:hAnsi="Arial" w:cs="Arial"/>
          <w:b/>
          <w:sz w:val="18"/>
          <w:szCs w:val="18"/>
          <w:lang w:val="en-US"/>
        </w:rPr>
      </w:pPr>
    </w:p>
    <w:p w14:paraId="5E70EF12" w14:textId="77777777" w:rsidR="008D04FE" w:rsidRPr="00BD295E" w:rsidRDefault="008A5057" w:rsidP="000E42B1">
      <w:pPr>
        <w:rPr>
          <w:rFonts w:ascii="Arial" w:hAnsi="Arial" w:cs="Arial"/>
          <w:sz w:val="18"/>
          <w:szCs w:val="18"/>
          <w:lang w:val="en-US"/>
        </w:rPr>
      </w:pPr>
      <w:r w:rsidRPr="00BD295E">
        <w:rPr>
          <w:rFonts w:ascii="Arial" w:hAnsi="Arial" w:cs="Arial"/>
          <w:sz w:val="18"/>
          <w:szCs w:val="18"/>
          <w:lang w:val="en-US"/>
        </w:rPr>
        <w:t>Structure of revenue from grid connection services*</w:t>
      </w:r>
    </w:p>
    <w:tbl>
      <w:tblPr>
        <w:tblW w:w="95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147"/>
        <w:gridCol w:w="1247"/>
        <w:gridCol w:w="1425"/>
        <w:gridCol w:w="1248"/>
        <w:gridCol w:w="8"/>
        <w:gridCol w:w="1134"/>
        <w:gridCol w:w="1142"/>
      </w:tblGrid>
      <w:tr w:rsidR="008A5057" w:rsidRPr="00BD295E" w14:paraId="70A75BAB" w14:textId="77777777" w:rsidTr="00E3510B">
        <w:trPr>
          <w:trHeight w:val="742"/>
        </w:trPr>
        <w:tc>
          <w:tcPr>
            <w:tcW w:w="2155" w:type="dxa"/>
            <w:shd w:val="clear" w:color="auto" w:fill="auto"/>
            <w:vAlign w:val="center"/>
            <w:hideMark/>
          </w:tcPr>
          <w:p w14:paraId="2D9062FA" w14:textId="77777777" w:rsidR="008D04FE" w:rsidRPr="00BD295E" w:rsidRDefault="008A5057" w:rsidP="00E3510B">
            <w:pPr>
              <w:jc w:val="center"/>
              <w:rPr>
                <w:rFonts w:ascii="Arial" w:hAnsi="Arial" w:cs="Arial"/>
                <w:bCs/>
                <w:sz w:val="18"/>
                <w:szCs w:val="18"/>
                <w:lang w:val="en-US"/>
              </w:rPr>
            </w:pPr>
            <w:r w:rsidRPr="00BD295E">
              <w:rPr>
                <w:rFonts w:ascii="Arial" w:hAnsi="Arial" w:cs="Arial"/>
                <w:bCs/>
                <w:sz w:val="18"/>
                <w:szCs w:val="18"/>
                <w:lang w:val="en-US"/>
              </w:rPr>
              <w:t>Indicator</w:t>
            </w:r>
          </w:p>
        </w:tc>
        <w:tc>
          <w:tcPr>
            <w:tcW w:w="1147" w:type="dxa"/>
            <w:shd w:val="clear" w:color="auto" w:fill="auto"/>
            <w:vAlign w:val="center"/>
            <w:hideMark/>
          </w:tcPr>
          <w:p w14:paraId="1731D7B5" w14:textId="77777777" w:rsidR="008D04FE" w:rsidRPr="00BD295E" w:rsidRDefault="008A5057" w:rsidP="00E3510B">
            <w:pPr>
              <w:jc w:val="center"/>
              <w:rPr>
                <w:rFonts w:ascii="Arial" w:hAnsi="Arial" w:cs="Arial"/>
                <w:bCs/>
                <w:sz w:val="18"/>
                <w:szCs w:val="18"/>
                <w:lang w:val="en-US"/>
              </w:rPr>
            </w:pPr>
            <w:r w:rsidRPr="00BD295E">
              <w:rPr>
                <w:rFonts w:ascii="Arial" w:hAnsi="Arial" w:cs="Arial"/>
                <w:bCs/>
                <w:sz w:val="18"/>
                <w:szCs w:val="18"/>
                <w:lang w:val="en-US"/>
              </w:rPr>
              <w:t>UOM</w:t>
            </w:r>
          </w:p>
        </w:tc>
        <w:tc>
          <w:tcPr>
            <w:tcW w:w="1247" w:type="dxa"/>
            <w:shd w:val="clear" w:color="auto" w:fill="auto"/>
            <w:vAlign w:val="center"/>
            <w:hideMark/>
          </w:tcPr>
          <w:p w14:paraId="6E2CE7C9" w14:textId="77777777" w:rsidR="008D04FE" w:rsidRPr="00BD295E" w:rsidRDefault="008A5057" w:rsidP="00E3510B">
            <w:pPr>
              <w:jc w:val="center"/>
              <w:rPr>
                <w:rFonts w:ascii="Arial" w:hAnsi="Arial" w:cs="Arial"/>
                <w:bCs/>
                <w:sz w:val="18"/>
                <w:szCs w:val="18"/>
                <w:lang w:val="en-US"/>
              </w:rPr>
            </w:pPr>
            <w:r w:rsidRPr="00BD295E">
              <w:rPr>
                <w:rFonts w:ascii="Arial" w:hAnsi="Arial" w:cs="Arial"/>
                <w:bCs/>
                <w:sz w:val="18"/>
                <w:szCs w:val="18"/>
                <w:lang w:val="en-US"/>
              </w:rPr>
              <w:t>2016</w:t>
            </w:r>
          </w:p>
        </w:tc>
        <w:tc>
          <w:tcPr>
            <w:tcW w:w="1425" w:type="dxa"/>
            <w:shd w:val="clear" w:color="auto" w:fill="auto"/>
            <w:vAlign w:val="center"/>
            <w:hideMark/>
          </w:tcPr>
          <w:p w14:paraId="4BC4EA3A" w14:textId="77777777" w:rsidR="008D04FE" w:rsidRPr="00BD295E" w:rsidRDefault="008A5057" w:rsidP="00E3510B">
            <w:pPr>
              <w:jc w:val="center"/>
              <w:rPr>
                <w:rFonts w:ascii="Arial" w:hAnsi="Arial" w:cs="Arial"/>
                <w:bCs/>
                <w:sz w:val="18"/>
                <w:szCs w:val="18"/>
                <w:lang w:val="en-US"/>
              </w:rPr>
            </w:pPr>
            <w:r w:rsidRPr="00BD295E">
              <w:rPr>
                <w:rFonts w:ascii="Arial" w:hAnsi="Arial" w:cs="Arial"/>
                <w:bCs/>
                <w:sz w:val="18"/>
                <w:szCs w:val="18"/>
                <w:lang w:val="en-US"/>
              </w:rPr>
              <w:t>2017</w:t>
            </w:r>
          </w:p>
        </w:tc>
        <w:tc>
          <w:tcPr>
            <w:tcW w:w="1248" w:type="dxa"/>
            <w:shd w:val="clear" w:color="auto" w:fill="auto"/>
            <w:vAlign w:val="center"/>
            <w:hideMark/>
          </w:tcPr>
          <w:p w14:paraId="5C5A959A" w14:textId="77777777" w:rsidR="008D04FE" w:rsidRPr="00BD295E" w:rsidRDefault="008A5057" w:rsidP="00E3510B">
            <w:pPr>
              <w:jc w:val="center"/>
              <w:rPr>
                <w:rFonts w:ascii="Arial" w:hAnsi="Arial" w:cs="Arial"/>
                <w:bCs/>
                <w:sz w:val="18"/>
                <w:szCs w:val="18"/>
                <w:lang w:val="en-US"/>
              </w:rPr>
            </w:pPr>
            <w:r w:rsidRPr="00BD295E">
              <w:rPr>
                <w:rFonts w:ascii="Arial" w:hAnsi="Arial" w:cs="Arial"/>
                <w:bCs/>
                <w:sz w:val="18"/>
                <w:szCs w:val="18"/>
                <w:lang w:val="en-US"/>
              </w:rPr>
              <w:t>2018</w:t>
            </w:r>
          </w:p>
        </w:tc>
        <w:tc>
          <w:tcPr>
            <w:tcW w:w="1142" w:type="dxa"/>
            <w:gridSpan w:val="2"/>
            <w:shd w:val="clear" w:color="auto" w:fill="auto"/>
            <w:vAlign w:val="center"/>
          </w:tcPr>
          <w:p w14:paraId="1A2A0951" w14:textId="77777777" w:rsidR="008D04FE" w:rsidRPr="00BD295E" w:rsidRDefault="00C064D1" w:rsidP="00E3510B">
            <w:pPr>
              <w:jc w:val="center"/>
              <w:rPr>
                <w:rFonts w:ascii="Arial" w:hAnsi="Arial" w:cs="Arial"/>
                <w:bCs/>
                <w:sz w:val="18"/>
                <w:szCs w:val="18"/>
                <w:lang w:val="en-US"/>
              </w:rPr>
            </w:pPr>
            <w:r w:rsidRPr="00BD295E">
              <w:rPr>
                <w:rFonts w:ascii="Arial" w:hAnsi="Arial" w:cs="Arial"/>
                <w:bCs/>
                <w:sz w:val="18"/>
                <w:szCs w:val="18"/>
                <w:lang w:val="en-US"/>
              </w:rPr>
              <w:t>2018 vs. 2017</w:t>
            </w:r>
            <w:r w:rsidR="008A5057" w:rsidRPr="00BD295E">
              <w:rPr>
                <w:rFonts w:ascii="Arial" w:hAnsi="Arial" w:cs="Arial"/>
                <w:bCs/>
                <w:sz w:val="18"/>
                <w:szCs w:val="18"/>
                <w:lang w:val="en-US"/>
              </w:rPr>
              <w:t>, %</w:t>
            </w:r>
          </w:p>
        </w:tc>
        <w:tc>
          <w:tcPr>
            <w:tcW w:w="1142" w:type="dxa"/>
            <w:shd w:val="clear" w:color="auto" w:fill="auto"/>
            <w:vAlign w:val="center"/>
          </w:tcPr>
          <w:p w14:paraId="59B43022" w14:textId="77777777" w:rsidR="008D04FE" w:rsidRPr="00BD295E" w:rsidRDefault="008A5057" w:rsidP="00E3510B">
            <w:pPr>
              <w:jc w:val="center"/>
              <w:rPr>
                <w:rFonts w:ascii="Arial" w:hAnsi="Arial" w:cs="Arial"/>
                <w:bCs/>
                <w:sz w:val="18"/>
                <w:szCs w:val="18"/>
                <w:lang w:val="en-US"/>
              </w:rPr>
            </w:pPr>
            <w:r w:rsidRPr="00BD295E">
              <w:rPr>
                <w:rFonts w:ascii="Arial" w:hAnsi="Arial" w:cs="Arial"/>
                <w:bCs/>
                <w:sz w:val="18"/>
                <w:szCs w:val="18"/>
                <w:lang w:val="en-US"/>
              </w:rPr>
              <w:t>2018 to 2016, %</w:t>
            </w:r>
          </w:p>
        </w:tc>
      </w:tr>
      <w:tr w:rsidR="008A5057" w:rsidRPr="00BD295E" w14:paraId="15BA687E" w14:textId="77777777" w:rsidTr="00E3510B">
        <w:trPr>
          <w:trHeight w:val="20"/>
        </w:trPr>
        <w:tc>
          <w:tcPr>
            <w:tcW w:w="7230" w:type="dxa"/>
            <w:gridSpan w:val="6"/>
            <w:shd w:val="clear" w:color="auto" w:fill="auto"/>
            <w:hideMark/>
          </w:tcPr>
          <w:p w14:paraId="5F74AEB9" w14:textId="77777777" w:rsidR="008D04FE" w:rsidRPr="00BD295E" w:rsidRDefault="008A5057" w:rsidP="00D108C0">
            <w:pPr>
              <w:rPr>
                <w:rFonts w:ascii="Arial" w:hAnsi="Arial" w:cs="Arial"/>
                <w:b/>
                <w:bCs/>
                <w:sz w:val="18"/>
                <w:szCs w:val="18"/>
                <w:lang w:val="en-US"/>
              </w:rPr>
            </w:pPr>
            <w:r w:rsidRPr="00BD295E">
              <w:rPr>
                <w:rFonts w:ascii="Arial" w:hAnsi="Arial" w:cs="Arial"/>
                <w:b/>
                <w:bCs/>
                <w:sz w:val="18"/>
                <w:szCs w:val="18"/>
                <w:lang w:val="en-US"/>
              </w:rPr>
              <w:t>Leningrad Region</w:t>
            </w:r>
          </w:p>
        </w:tc>
        <w:tc>
          <w:tcPr>
            <w:tcW w:w="1134" w:type="dxa"/>
            <w:shd w:val="clear" w:color="auto" w:fill="auto"/>
          </w:tcPr>
          <w:p w14:paraId="1A5FD5F0" w14:textId="77777777" w:rsidR="008D04FE" w:rsidRPr="00BD295E" w:rsidRDefault="008D04FE" w:rsidP="00D108C0">
            <w:pPr>
              <w:rPr>
                <w:rFonts w:ascii="Arial" w:hAnsi="Arial" w:cs="Arial"/>
                <w:bCs/>
                <w:sz w:val="18"/>
                <w:szCs w:val="18"/>
                <w:lang w:val="en-US"/>
              </w:rPr>
            </w:pPr>
          </w:p>
        </w:tc>
        <w:tc>
          <w:tcPr>
            <w:tcW w:w="1142" w:type="dxa"/>
            <w:shd w:val="clear" w:color="auto" w:fill="auto"/>
            <w:vAlign w:val="center"/>
          </w:tcPr>
          <w:p w14:paraId="699F0CC9" w14:textId="77777777" w:rsidR="008D04FE" w:rsidRPr="00BD295E" w:rsidRDefault="008D04FE" w:rsidP="00E3510B">
            <w:pPr>
              <w:jc w:val="center"/>
              <w:rPr>
                <w:rFonts w:ascii="Arial" w:hAnsi="Arial" w:cs="Arial"/>
                <w:bCs/>
                <w:sz w:val="18"/>
                <w:szCs w:val="18"/>
                <w:lang w:val="en-US"/>
              </w:rPr>
            </w:pPr>
          </w:p>
        </w:tc>
      </w:tr>
      <w:tr w:rsidR="008A5057" w:rsidRPr="00BD295E" w14:paraId="73F6B07E" w14:textId="77777777" w:rsidTr="00E3510B">
        <w:trPr>
          <w:trHeight w:val="20"/>
        </w:trPr>
        <w:tc>
          <w:tcPr>
            <w:tcW w:w="2155" w:type="dxa"/>
            <w:shd w:val="clear" w:color="auto" w:fill="auto"/>
            <w:hideMark/>
          </w:tcPr>
          <w:p w14:paraId="2B476BB6" w14:textId="77777777" w:rsidR="008D04FE"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Revenue</w:t>
            </w:r>
          </w:p>
        </w:tc>
        <w:tc>
          <w:tcPr>
            <w:tcW w:w="1147" w:type="dxa"/>
            <w:shd w:val="clear" w:color="auto" w:fill="auto"/>
            <w:hideMark/>
          </w:tcPr>
          <w:p w14:paraId="6DFBF8F6"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RUB million, net of VAT</w:t>
            </w:r>
          </w:p>
        </w:tc>
        <w:tc>
          <w:tcPr>
            <w:tcW w:w="1247" w:type="dxa"/>
            <w:shd w:val="clear" w:color="auto" w:fill="auto"/>
            <w:vAlign w:val="center"/>
            <w:hideMark/>
          </w:tcPr>
          <w:p w14:paraId="768AD905"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1,300</w:t>
            </w:r>
          </w:p>
        </w:tc>
        <w:tc>
          <w:tcPr>
            <w:tcW w:w="1425" w:type="dxa"/>
            <w:shd w:val="clear" w:color="auto" w:fill="auto"/>
            <w:vAlign w:val="center"/>
            <w:hideMark/>
          </w:tcPr>
          <w:p w14:paraId="47B48522"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1,590</w:t>
            </w:r>
          </w:p>
        </w:tc>
        <w:tc>
          <w:tcPr>
            <w:tcW w:w="1248" w:type="dxa"/>
            <w:shd w:val="clear" w:color="auto" w:fill="auto"/>
            <w:vAlign w:val="center"/>
            <w:hideMark/>
          </w:tcPr>
          <w:p w14:paraId="73644DFA"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1,098</w:t>
            </w:r>
          </w:p>
        </w:tc>
        <w:tc>
          <w:tcPr>
            <w:tcW w:w="1142" w:type="dxa"/>
            <w:gridSpan w:val="2"/>
            <w:shd w:val="clear" w:color="auto" w:fill="auto"/>
            <w:vAlign w:val="center"/>
            <w:hideMark/>
          </w:tcPr>
          <w:p w14:paraId="6A106DD9"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-31%</w:t>
            </w:r>
          </w:p>
        </w:tc>
        <w:tc>
          <w:tcPr>
            <w:tcW w:w="1142" w:type="dxa"/>
            <w:shd w:val="clear" w:color="auto" w:fill="auto"/>
            <w:vAlign w:val="center"/>
          </w:tcPr>
          <w:p w14:paraId="13530BC1"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-16%</w:t>
            </w:r>
          </w:p>
        </w:tc>
      </w:tr>
      <w:tr w:rsidR="008A5057" w:rsidRPr="00BD295E" w14:paraId="73CF0701" w14:textId="77777777" w:rsidTr="00E3510B">
        <w:trPr>
          <w:trHeight w:val="20"/>
        </w:trPr>
        <w:tc>
          <w:tcPr>
            <w:tcW w:w="2155" w:type="dxa"/>
            <w:shd w:val="clear" w:color="auto" w:fill="auto"/>
            <w:hideMark/>
          </w:tcPr>
          <w:p w14:paraId="59DDD99E" w14:textId="77777777" w:rsidR="008D04FE"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Connected capacity**</w:t>
            </w:r>
          </w:p>
        </w:tc>
        <w:tc>
          <w:tcPr>
            <w:tcW w:w="1147" w:type="dxa"/>
            <w:shd w:val="clear" w:color="auto" w:fill="auto"/>
            <w:hideMark/>
          </w:tcPr>
          <w:p w14:paraId="2EF26861"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MW</w:t>
            </w:r>
          </w:p>
        </w:tc>
        <w:tc>
          <w:tcPr>
            <w:tcW w:w="1247" w:type="dxa"/>
            <w:shd w:val="clear" w:color="auto" w:fill="auto"/>
            <w:vAlign w:val="center"/>
            <w:hideMark/>
          </w:tcPr>
          <w:p w14:paraId="249B0CE2"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467</w:t>
            </w:r>
          </w:p>
        </w:tc>
        <w:tc>
          <w:tcPr>
            <w:tcW w:w="1425" w:type="dxa"/>
            <w:shd w:val="clear" w:color="auto" w:fill="auto"/>
            <w:vAlign w:val="center"/>
            <w:hideMark/>
          </w:tcPr>
          <w:p w14:paraId="6B4A040E"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621</w:t>
            </w:r>
          </w:p>
        </w:tc>
        <w:tc>
          <w:tcPr>
            <w:tcW w:w="1248" w:type="dxa"/>
            <w:shd w:val="clear" w:color="auto" w:fill="auto"/>
            <w:vAlign w:val="center"/>
            <w:hideMark/>
          </w:tcPr>
          <w:p w14:paraId="118A71A5"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560</w:t>
            </w:r>
          </w:p>
        </w:tc>
        <w:tc>
          <w:tcPr>
            <w:tcW w:w="1142" w:type="dxa"/>
            <w:gridSpan w:val="2"/>
            <w:shd w:val="clear" w:color="auto" w:fill="auto"/>
            <w:vAlign w:val="center"/>
            <w:hideMark/>
          </w:tcPr>
          <w:p w14:paraId="0736716E"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w:t>
            </w:r>
          </w:p>
        </w:tc>
        <w:tc>
          <w:tcPr>
            <w:tcW w:w="1142" w:type="dxa"/>
            <w:shd w:val="clear" w:color="auto" w:fill="auto"/>
            <w:vAlign w:val="center"/>
          </w:tcPr>
          <w:p w14:paraId="4EAA3C10"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w:t>
            </w:r>
          </w:p>
        </w:tc>
      </w:tr>
      <w:tr w:rsidR="008A5057" w:rsidRPr="00BD295E" w14:paraId="57F1A930" w14:textId="77777777" w:rsidTr="00E3510B">
        <w:trPr>
          <w:trHeight w:val="20"/>
        </w:trPr>
        <w:tc>
          <w:tcPr>
            <w:tcW w:w="2155" w:type="dxa"/>
            <w:shd w:val="clear" w:color="auto" w:fill="auto"/>
            <w:hideMark/>
          </w:tcPr>
          <w:p w14:paraId="684C9F5B" w14:textId="77777777" w:rsidR="008D04FE"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Average rate under the closed contracts</w:t>
            </w:r>
          </w:p>
        </w:tc>
        <w:tc>
          <w:tcPr>
            <w:tcW w:w="1147" w:type="dxa"/>
            <w:shd w:val="clear" w:color="auto" w:fill="auto"/>
            <w:hideMark/>
          </w:tcPr>
          <w:p w14:paraId="5E8A58C6"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RUB thousand</w:t>
            </w:r>
            <w:r w:rsidRPr="00BD295E">
              <w:rPr>
                <w:rFonts w:ascii="Arial" w:hAnsi="Arial" w:cs="Arial"/>
                <w:sz w:val="18"/>
                <w:szCs w:val="18"/>
                <w:lang w:val="en-US"/>
              </w:rPr>
              <w:br/>
              <w:t>per kW</w:t>
            </w:r>
          </w:p>
        </w:tc>
        <w:tc>
          <w:tcPr>
            <w:tcW w:w="1247" w:type="dxa"/>
            <w:shd w:val="clear" w:color="auto" w:fill="auto"/>
            <w:vAlign w:val="center"/>
            <w:hideMark/>
          </w:tcPr>
          <w:p w14:paraId="7C7C8149"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2.8</w:t>
            </w:r>
          </w:p>
        </w:tc>
        <w:tc>
          <w:tcPr>
            <w:tcW w:w="1425" w:type="dxa"/>
            <w:shd w:val="clear" w:color="auto" w:fill="auto"/>
            <w:vAlign w:val="center"/>
            <w:hideMark/>
          </w:tcPr>
          <w:p w14:paraId="4F78DA29"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2.6</w:t>
            </w:r>
          </w:p>
        </w:tc>
        <w:tc>
          <w:tcPr>
            <w:tcW w:w="1248" w:type="dxa"/>
            <w:shd w:val="clear" w:color="auto" w:fill="auto"/>
            <w:vAlign w:val="center"/>
            <w:hideMark/>
          </w:tcPr>
          <w:p w14:paraId="6A562E7C"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w:t>
            </w:r>
          </w:p>
        </w:tc>
        <w:tc>
          <w:tcPr>
            <w:tcW w:w="1142" w:type="dxa"/>
            <w:gridSpan w:val="2"/>
            <w:shd w:val="clear" w:color="auto" w:fill="auto"/>
            <w:vAlign w:val="center"/>
            <w:hideMark/>
          </w:tcPr>
          <w:p w14:paraId="074231DA"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-23%</w:t>
            </w:r>
          </w:p>
        </w:tc>
        <w:tc>
          <w:tcPr>
            <w:tcW w:w="1142" w:type="dxa"/>
            <w:shd w:val="clear" w:color="auto" w:fill="auto"/>
            <w:vAlign w:val="center"/>
          </w:tcPr>
          <w:p w14:paraId="117F33C4"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-30%</w:t>
            </w:r>
          </w:p>
        </w:tc>
      </w:tr>
      <w:tr w:rsidR="008A5057" w:rsidRPr="00BD295E" w14:paraId="5A35ED35" w14:textId="77777777" w:rsidTr="00E3510B">
        <w:trPr>
          <w:trHeight w:val="20"/>
        </w:trPr>
        <w:tc>
          <w:tcPr>
            <w:tcW w:w="7230" w:type="dxa"/>
            <w:gridSpan w:val="6"/>
            <w:shd w:val="clear" w:color="auto" w:fill="auto"/>
            <w:hideMark/>
          </w:tcPr>
          <w:p w14:paraId="6CF47F1C" w14:textId="77777777" w:rsidR="008D04FE" w:rsidRPr="00BD295E" w:rsidRDefault="008A5057" w:rsidP="00D108C0">
            <w:pPr>
              <w:rPr>
                <w:rFonts w:ascii="Arial" w:hAnsi="Arial" w:cs="Arial"/>
                <w:b/>
                <w:bCs/>
                <w:sz w:val="18"/>
                <w:szCs w:val="18"/>
                <w:lang w:val="en-US"/>
              </w:rPr>
            </w:pPr>
            <w:r w:rsidRPr="00BD295E">
              <w:rPr>
                <w:rFonts w:ascii="Arial" w:hAnsi="Arial" w:cs="Arial"/>
                <w:b/>
                <w:bCs/>
                <w:sz w:val="18"/>
                <w:szCs w:val="18"/>
                <w:lang w:val="en-US"/>
              </w:rPr>
              <w:t>Saint Petersburg</w:t>
            </w:r>
          </w:p>
        </w:tc>
        <w:tc>
          <w:tcPr>
            <w:tcW w:w="1134" w:type="dxa"/>
            <w:shd w:val="clear" w:color="auto" w:fill="auto"/>
          </w:tcPr>
          <w:p w14:paraId="7ABD4BDB" w14:textId="77777777" w:rsidR="008D04FE" w:rsidRPr="00BD295E" w:rsidRDefault="008D04FE" w:rsidP="00D108C0">
            <w:pPr>
              <w:rPr>
                <w:rFonts w:ascii="Arial" w:hAnsi="Arial" w:cs="Arial"/>
                <w:bCs/>
                <w:sz w:val="18"/>
                <w:szCs w:val="18"/>
                <w:lang w:val="en-US"/>
              </w:rPr>
            </w:pPr>
          </w:p>
        </w:tc>
        <w:tc>
          <w:tcPr>
            <w:tcW w:w="1142" w:type="dxa"/>
            <w:shd w:val="clear" w:color="auto" w:fill="auto"/>
            <w:vAlign w:val="center"/>
          </w:tcPr>
          <w:p w14:paraId="4B1405F9" w14:textId="77777777" w:rsidR="008D04FE" w:rsidRPr="00BD295E" w:rsidRDefault="008D04FE" w:rsidP="00E3510B">
            <w:pPr>
              <w:jc w:val="center"/>
              <w:rPr>
                <w:rFonts w:ascii="Arial" w:hAnsi="Arial" w:cs="Arial"/>
                <w:bCs/>
                <w:sz w:val="18"/>
                <w:szCs w:val="18"/>
                <w:lang w:val="en-US"/>
              </w:rPr>
            </w:pPr>
          </w:p>
        </w:tc>
      </w:tr>
      <w:tr w:rsidR="008A5057" w:rsidRPr="00BD295E" w14:paraId="445A8CB1" w14:textId="77777777" w:rsidTr="00E3510B">
        <w:trPr>
          <w:trHeight w:val="20"/>
        </w:trPr>
        <w:tc>
          <w:tcPr>
            <w:tcW w:w="2155" w:type="dxa"/>
            <w:shd w:val="clear" w:color="auto" w:fill="auto"/>
            <w:hideMark/>
          </w:tcPr>
          <w:p w14:paraId="61D9FC98" w14:textId="77777777" w:rsidR="008D04FE"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Revenue</w:t>
            </w:r>
          </w:p>
        </w:tc>
        <w:tc>
          <w:tcPr>
            <w:tcW w:w="1147" w:type="dxa"/>
            <w:shd w:val="clear" w:color="auto" w:fill="auto"/>
            <w:hideMark/>
          </w:tcPr>
          <w:p w14:paraId="02BC341B"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RUB million</w:t>
            </w:r>
          </w:p>
          <w:p w14:paraId="09279DF8"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net of VAT</w:t>
            </w:r>
          </w:p>
        </w:tc>
        <w:tc>
          <w:tcPr>
            <w:tcW w:w="1247" w:type="dxa"/>
            <w:shd w:val="clear" w:color="auto" w:fill="auto"/>
            <w:vAlign w:val="center"/>
            <w:hideMark/>
          </w:tcPr>
          <w:p w14:paraId="4FE3E260"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5,185</w:t>
            </w:r>
          </w:p>
        </w:tc>
        <w:tc>
          <w:tcPr>
            <w:tcW w:w="1425" w:type="dxa"/>
            <w:shd w:val="clear" w:color="auto" w:fill="auto"/>
            <w:vAlign w:val="center"/>
            <w:hideMark/>
          </w:tcPr>
          <w:p w14:paraId="74705EF2"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11,787</w:t>
            </w:r>
          </w:p>
        </w:tc>
        <w:tc>
          <w:tcPr>
            <w:tcW w:w="1248" w:type="dxa"/>
            <w:shd w:val="clear" w:color="auto" w:fill="auto"/>
            <w:vAlign w:val="center"/>
            <w:hideMark/>
          </w:tcPr>
          <w:p w14:paraId="15F751EB"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5,968</w:t>
            </w:r>
          </w:p>
        </w:tc>
        <w:tc>
          <w:tcPr>
            <w:tcW w:w="1142" w:type="dxa"/>
            <w:gridSpan w:val="2"/>
            <w:shd w:val="clear" w:color="auto" w:fill="auto"/>
            <w:vAlign w:val="center"/>
            <w:hideMark/>
          </w:tcPr>
          <w:p w14:paraId="4C0E5C58"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-49%</w:t>
            </w:r>
          </w:p>
        </w:tc>
        <w:tc>
          <w:tcPr>
            <w:tcW w:w="1142" w:type="dxa"/>
            <w:shd w:val="clear" w:color="auto" w:fill="auto"/>
            <w:vAlign w:val="center"/>
          </w:tcPr>
          <w:p w14:paraId="5DF969BE"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15%</w:t>
            </w:r>
          </w:p>
        </w:tc>
      </w:tr>
      <w:tr w:rsidR="008A5057" w:rsidRPr="00BD295E" w14:paraId="23C92A36" w14:textId="77777777" w:rsidTr="00E3510B">
        <w:trPr>
          <w:trHeight w:val="20"/>
        </w:trPr>
        <w:tc>
          <w:tcPr>
            <w:tcW w:w="2155" w:type="dxa"/>
            <w:shd w:val="clear" w:color="auto" w:fill="auto"/>
            <w:hideMark/>
          </w:tcPr>
          <w:p w14:paraId="60D44701" w14:textId="77777777" w:rsidR="008D04FE"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Connected capacity**</w:t>
            </w:r>
          </w:p>
        </w:tc>
        <w:tc>
          <w:tcPr>
            <w:tcW w:w="1147" w:type="dxa"/>
            <w:shd w:val="clear" w:color="auto" w:fill="auto"/>
            <w:hideMark/>
          </w:tcPr>
          <w:p w14:paraId="4AB4CFFF"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MW</w:t>
            </w:r>
          </w:p>
        </w:tc>
        <w:tc>
          <w:tcPr>
            <w:tcW w:w="1247" w:type="dxa"/>
            <w:shd w:val="clear" w:color="auto" w:fill="auto"/>
            <w:vAlign w:val="center"/>
            <w:hideMark/>
          </w:tcPr>
          <w:p w14:paraId="159C534A"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258</w:t>
            </w:r>
          </w:p>
        </w:tc>
        <w:tc>
          <w:tcPr>
            <w:tcW w:w="1425" w:type="dxa"/>
            <w:shd w:val="clear" w:color="auto" w:fill="auto"/>
            <w:vAlign w:val="center"/>
            <w:hideMark/>
          </w:tcPr>
          <w:p w14:paraId="2933F5B5"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985</w:t>
            </w:r>
          </w:p>
        </w:tc>
        <w:tc>
          <w:tcPr>
            <w:tcW w:w="1248" w:type="dxa"/>
            <w:shd w:val="clear" w:color="auto" w:fill="auto"/>
            <w:vAlign w:val="center"/>
            <w:hideMark/>
          </w:tcPr>
          <w:p w14:paraId="4965E098"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472</w:t>
            </w:r>
          </w:p>
        </w:tc>
        <w:tc>
          <w:tcPr>
            <w:tcW w:w="1142" w:type="dxa"/>
            <w:gridSpan w:val="2"/>
            <w:shd w:val="clear" w:color="auto" w:fill="auto"/>
            <w:vAlign w:val="center"/>
            <w:hideMark/>
          </w:tcPr>
          <w:p w14:paraId="6465F7C4"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-52%</w:t>
            </w:r>
          </w:p>
        </w:tc>
        <w:tc>
          <w:tcPr>
            <w:tcW w:w="1142" w:type="dxa"/>
            <w:shd w:val="clear" w:color="auto" w:fill="auto"/>
            <w:vAlign w:val="center"/>
          </w:tcPr>
          <w:p w14:paraId="36DEFE29"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83%</w:t>
            </w:r>
          </w:p>
        </w:tc>
      </w:tr>
      <w:tr w:rsidR="008A5057" w:rsidRPr="00BD295E" w14:paraId="098AF482" w14:textId="77777777" w:rsidTr="00E3510B">
        <w:trPr>
          <w:trHeight w:val="20"/>
        </w:trPr>
        <w:tc>
          <w:tcPr>
            <w:tcW w:w="2155" w:type="dxa"/>
            <w:shd w:val="clear" w:color="auto" w:fill="auto"/>
            <w:hideMark/>
          </w:tcPr>
          <w:p w14:paraId="77651FBF" w14:textId="77777777" w:rsidR="008D04FE"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Average rate under the closed contracts</w:t>
            </w:r>
          </w:p>
        </w:tc>
        <w:tc>
          <w:tcPr>
            <w:tcW w:w="1147" w:type="dxa"/>
            <w:shd w:val="clear" w:color="auto" w:fill="auto"/>
            <w:hideMark/>
          </w:tcPr>
          <w:p w14:paraId="7D7FE32F"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RUB thousand per kW</w:t>
            </w:r>
          </w:p>
        </w:tc>
        <w:tc>
          <w:tcPr>
            <w:tcW w:w="1247" w:type="dxa"/>
            <w:shd w:val="clear" w:color="auto" w:fill="auto"/>
            <w:vAlign w:val="center"/>
            <w:hideMark/>
          </w:tcPr>
          <w:p w14:paraId="2E3B8B92"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w:t>
            </w:r>
          </w:p>
        </w:tc>
        <w:tc>
          <w:tcPr>
            <w:tcW w:w="1425" w:type="dxa"/>
            <w:shd w:val="clear" w:color="auto" w:fill="auto"/>
            <w:vAlign w:val="center"/>
            <w:hideMark/>
          </w:tcPr>
          <w:p w14:paraId="3D661F81"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12.0</w:t>
            </w:r>
          </w:p>
        </w:tc>
        <w:tc>
          <w:tcPr>
            <w:tcW w:w="1248" w:type="dxa"/>
            <w:shd w:val="clear" w:color="auto" w:fill="auto"/>
            <w:vAlign w:val="center"/>
            <w:hideMark/>
          </w:tcPr>
          <w:p w14:paraId="11D36BF0"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12.6</w:t>
            </w:r>
          </w:p>
        </w:tc>
        <w:tc>
          <w:tcPr>
            <w:tcW w:w="1142" w:type="dxa"/>
            <w:gridSpan w:val="2"/>
            <w:shd w:val="clear" w:color="auto" w:fill="auto"/>
            <w:vAlign w:val="center"/>
            <w:hideMark/>
          </w:tcPr>
          <w:p w14:paraId="76E08204"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6%</w:t>
            </w:r>
          </w:p>
        </w:tc>
        <w:tc>
          <w:tcPr>
            <w:tcW w:w="1142" w:type="dxa"/>
            <w:shd w:val="clear" w:color="auto" w:fill="auto"/>
            <w:vAlign w:val="center"/>
          </w:tcPr>
          <w:p w14:paraId="1DE8DDA0"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-37%</w:t>
            </w:r>
          </w:p>
        </w:tc>
      </w:tr>
      <w:tr w:rsidR="008A5057" w:rsidRPr="00BD295E" w14:paraId="2AA80A18" w14:textId="77777777" w:rsidTr="00E3510B">
        <w:trPr>
          <w:trHeight w:val="20"/>
        </w:trPr>
        <w:tc>
          <w:tcPr>
            <w:tcW w:w="7230" w:type="dxa"/>
            <w:gridSpan w:val="6"/>
            <w:shd w:val="clear" w:color="auto" w:fill="auto"/>
            <w:hideMark/>
          </w:tcPr>
          <w:p w14:paraId="32D2C73D" w14:textId="77777777" w:rsidR="008D04FE" w:rsidRPr="00BD295E" w:rsidRDefault="008A5057" w:rsidP="00D108C0">
            <w:pPr>
              <w:rPr>
                <w:rFonts w:ascii="Arial" w:hAnsi="Arial" w:cs="Arial"/>
                <w:b/>
                <w:bCs/>
                <w:sz w:val="18"/>
                <w:szCs w:val="18"/>
                <w:lang w:val="en-US"/>
              </w:rPr>
            </w:pPr>
            <w:r w:rsidRPr="00BD295E">
              <w:rPr>
                <w:rFonts w:ascii="Arial" w:hAnsi="Arial" w:cs="Arial"/>
                <w:b/>
                <w:bCs/>
                <w:sz w:val="18"/>
                <w:szCs w:val="18"/>
                <w:lang w:val="en-US"/>
              </w:rPr>
              <w:t xml:space="preserve">Total for </w:t>
            </w:r>
            <w:r w:rsidR="00EE5753" w:rsidRPr="00BD295E">
              <w:rPr>
                <w:rFonts w:ascii="Arial" w:hAnsi="Arial" w:cs="Arial"/>
                <w:b/>
                <w:bCs/>
                <w:sz w:val="18"/>
                <w:szCs w:val="18"/>
                <w:lang w:val="en-US"/>
              </w:rPr>
              <w:t>PJSC “Lenenergo”</w:t>
            </w:r>
          </w:p>
        </w:tc>
        <w:tc>
          <w:tcPr>
            <w:tcW w:w="1134" w:type="dxa"/>
            <w:shd w:val="clear" w:color="auto" w:fill="auto"/>
          </w:tcPr>
          <w:p w14:paraId="5B3248D9" w14:textId="77777777" w:rsidR="008D04FE" w:rsidRPr="00BD295E" w:rsidRDefault="008D04FE" w:rsidP="00D108C0">
            <w:pPr>
              <w:rPr>
                <w:rFonts w:ascii="Arial" w:hAnsi="Arial" w:cs="Arial"/>
                <w:bCs/>
                <w:sz w:val="18"/>
                <w:szCs w:val="18"/>
                <w:lang w:val="en-US"/>
              </w:rPr>
            </w:pPr>
          </w:p>
        </w:tc>
        <w:tc>
          <w:tcPr>
            <w:tcW w:w="1142" w:type="dxa"/>
            <w:shd w:val="clear" w:color="auto" w:fill="auto"/>
            <w:vAlign w:val="center"/>
          </w:tcPr>
          <w:p w14:paraId="332196EE" w14:textId="77777777" w:rsidR="008D04FE" w:rsidRPr="00BD295E" w:rsidRDefault="008D04FE" w:rsidP="00E3510B">
            <w:pPr>
              <w:jc w:val="center"/>
              <w:rPr>
                <w:rFonts w:ascii="Arial" w:hAnsi="Arial" w:cs="Arial"/>
                <w:bCs/>
                <w:sz w:val="18"/>
                <w:szCs w:val="18"/>
                <w:lang w:val="en-US"/>
              </w:rPr>
            </w:pPr>
          </w:p>
        </w:tc>
      </w:tr>
      <w:tr w:rsidR="008A5057" w:rsidRPr="00BD295E" w14:paraId="4CDF3DB7" w14:textId="77777777" w:rsidTr="00E3510B">
        <w:trPr>
          <w:trHeight w:val="20"/>
        </w:trPr>
        <w:tc>
          <w:tcPr>
            <w:tcW w:w="2155" w:type="dxa"/>
            <w:shd w:val="clear" w:color="auto" w:fill="auto"/>
            <w:hideMark/>
          </w:tcPr>
          <w:p w14:paraId="0B980833" w14:textId="77777777" w:rsidR="008D04FE"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Revenue</w:t>
            </w:r>
          </w:p>
        </w:tc>
        <w:tc>
          <w:tcPr>
            <w:tcW w:w="1147" w:type="dxa"/>
            <w:shd w:val="clear" w:color="auto" w:fill="auto"/>
            <w:hideMark/>
          </w:tcPr>
          <w:p w14:paraId="627F38F5"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RUB million</w:t>
            </w:r>
          </w:p>
          <w:p w14:paraId="45B90431"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(net of VAT)</w:t>
            </w:r>
          </w:p>
        </w:tc>
        <w:tc>
          <w:tcPr>
            <w:tcW w:w="1247" w:type="dxa"/>
            <w:shd w:val="clear" w:color="auto" w:fill="auto"/>
            <w:vAlign w:val="center"/>
            <w:hideMark/>
          </w:tcPr>
          <w:p w14:paraId="65E2A8EF"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6,485</w:t>
            </w:r>
          </w:p>
        </w:tc>
        <w:tc>
          <w:tcPr>
            <w:tcW w:w="1425" w:type="dxa"/>
            <w:shd w:val="clear" w:color="auto" w:fill="auto"/>
            <w:vAlign w:val="center"/>
            <w:hideMark/>
          </w:tcPr>
          <w:p w14:paraId="4377D08F"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13,377</w:t>
            </w:r>
          </w:p>
        </w:tc>
        <w:tc>
          <w:tcPr>
            <w:tcW w:w="1248" w:type="dxa"/>
            <w:shd w:val="clear" w:color="auto" w:fill="auto"/>
            <w:vAlign w:val="center"/>
            <w:hideMark/>
          </w:tcPr>
          <w:p w14:paraId="6688E1D4"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7,066</w:t>
            </w:r>
          </w:p>
        </w:tc>
        <w:tc>
          <w:tcPr>
            <w:tcW w:w="1142" w:type="dxa"/>
            <w:gridSpan w:val="2"/>
            <w:shd w:val="clear" w:color="auto" w:fill="auto"/>
            <w:vAlign w:val="center"/>
            <w:hideMark/>
          </w:tcPr>
          <w:p w14:paraId="2C4C60BA"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-47%</w:t>
            </w:r>
          </w:p>
        </w:tc>
        <w:tc>
          <w:tcPr>
            <w:tcW w:w="1142" w:type="dxa"/>
            <w:shd w:val="clear" w:color="auto" w:fill="auto"/>
            <w:vAlign w:val="center"/>
          </w:tcPr>
          <w:p w14:paraId="092789D4"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w:t>
            </w:r>
          </w:p>
        </w:tc>
      </w:tr>
      <w:tr w:rsidR="008A5057" w:rsidRPr="00BD295E" w14:paraId="0E377210" w14:textId="77777777" w:rsidTr="00E3510B">
        <w:trPr>
          <w:trHeight w:val="20"/>
        </w:trPr>
        <w:tc>
          <w:tcPr>
            <w:tcW w:w="2155" w:type="dxa"/>
            <w:shd w:val="clear" w:color="auto" w:fill="auto"/>
            <w:hideMark/>
          </w:tcPr>
          <w:p w14:paraId="2B4F7C0F" w14:textId="77777777" w:rsidR="008D04FE"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Connected capacity**</w:t>
            </w:r>
          </w:p>
        </w:tc>
        <w:tc>
          <w:tcPr>
            <w:tcW w:w="1147" w:type="dxa"/>
            <w:shd w:val="clear" w:color="auto" w:fill="auto"/>
            <w:hideMark/>
          </w:tcPr>
          <w:p w14:paraId="2357187A"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MW</w:t>
            </w:r>
          </w:p>
        </w:tc>
        <w:tc>
          <w:tcPr>
            <w:tcW w:w="1247" w:type="dxa"/>
            <w:shd w:val="clear" w:color="auto" w:fill="auto"/>
            <w:vAlign w:val="center"/>
            <w:hideMark/>
          </w:tcPr>
          <w:p w14:paraId="5F52CFAB"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725</w:t>
            </w:r>
          </w:p>
        </w:tc>
        <w:tc>
          <w:tcPr>
            <w:tcW w:w="1425" w:type="dxa"/>
            <w:shd w:val="clear" w:color="auto" w:fill="auto"/>
            <w:vAlign w:val="center"/>
            <w:hideMark/>
          </w:tcPr>
          <w:p w14:paraId="06F5BAAD"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1,607</w:t>
            </w:r>
          </w:p>
        </w:tc>
        <w:tc>
          <w:tcPr>
            <w:tcW w:w="1248" w:type="dxa"/>
            <w:shd w:val="clear" w:color="auto" w:fill="auto"/>
            <w:vAlign w:val="center"/>
            <w:hideMark/>
          </w:tcPr>
          <w:p w14:paraId="1C073360"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1,033</w:t>
            </w:r>
          </w:p>
        </w:tc>
        <w:tc>
          <w:tcPr>
            <w:tcW w:w="1142" w:type="dxa"/>
            <w:gridSpan w:val="2"/>
            <w:shd w:val="clear" w:color="auto" w:fill="auto"/>
            <w:vAlign w:val="center"/>
            <w:hideMark/>
          </w:tcPr>
          <w:p w14:paraId="5B4AAA03"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-36%</w:t>
            </w:r>
          </w:p>
        </w:tc>
        <w:tc>
          <w:tcPr>
            <w:tcW w:w="1142" w:type="dxa"/>
            <w:shd w:val="clear" w:color="auto" w:fill="auto"/>
            <w:vAlign w:val="center"/>
          </w:tcPr>
          <w:p w14:paraId="5A692183"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42%</w:t>
            </w:r>
          </w:p>
        </w:tc>
      </w:tr>
      <w:tr w:rsidR="008A5057" w:rsidRPr="00BD295E" w14:paraId="2CD7F587" w14:textId="77777777" w:rsidTr="00E3510B">
        <w:trPr>
          <w:trHeight w:val="20"/>
        </w:trPr>
        <w:tc>
          <w:tcPr>
            <w:tcW w:w="2155" w:type="dxa"/>
            <w:shd w:val="clear" w:color="auto" w:fill="auto"/>
            <w:hideMark/>
          </w:tcPr>
          <w:p w14:paraId="001F90A1" w14:textId="77777777" w:rsidR="008D04FE"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Average rate under the closed contracts</w:t>
            </w:r>
          </w:p>
        </w:tc>
        <w:tc>
          <w:tcPr>
            <w:tcW w:w="1147" w:type="dxa"/>
            <w:shd w:val="clear" w:color="auto" w:fill="auto"/>
            <w:hideMark/>
          </w:tcPr>
          <w:p w14:paraId="55FC2889"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RUB thousand per kW</w:t>
            </w:r>
          </w:p>
        </w:tc>
        <w:tc>
          <w:tcPr>
            <w:tcW w:w="1247" w:type="dxa"/>
            <w:shd w:val="clear" w:color="auto" w:fill="auto"/>
            <w:vAlign w:val="center"/>
            <w:hideMark/>
          </w:tcPr>
          <w:p w14:paraId="45ABE484"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8.9</w:t>
            </w:r>
          </w:p>
        </w:tc>
        <w:tc>
          <w:tcPr>
            <w:tcW w:w="1425" w:type="dxa"/>
            <w:shd w:val="clear" w:color="auto" w:fill="auto"/>
            <w:vAlign w:val="center"/>
            <w:hideMark/>
          </w:tcPr>
          <w:p w14:paraId="6E6A6E86"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8.3</w:t>
            </w:r>
          </w:p>
        </w:tc>
        <w:tc>
          <w:tcPr>
            <w:tcW w:w="1248" w:type="dxa"/>
            <w:shd w:val="clear" w:color="auto" w:fill="auto"/>
            <w:vAlign w:val="center"/>
            <w:hideMark/>
          </w:tcPr>
          <w:p w14:paraId="041EEAF7"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6.8</w:t>
            </w:r>
          </w:p>
        </w:tc>
        <w:tc>
          <w:tcPr>
            <w:tcW w:w="1142" w:type="dxa"/>
            <w:gridSpan w:val="2"/>
            <w:shd w:val="clear" w:color="auto" w:fill="auto"/>
            <w:vAlign w:val="center"/>
            <w:hideMark/>
          </w:tcPr>
          <w:p w14:paraId="3128C8F1"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-18%</w:t>
            </w:r>
          </w:p>
        </w:tc>
        <w:tc>
          <w:tcPr>
            <w:tcW w:w="1142" w:type="dxa"/>
            <w:shd w:val="clear" w:color="auto" w:fill="auto"/>
            <w:vAlign w:val="center"/>
          </w:tcPr>
          <w:p w14:paraId="04B19CC5" w14:textId="77777777" w:rsidR="008D04FE"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-24%</w:t>
            </w:r>
          </w:p>
        </w:tc>
      </w:tr>
    </w:tbl>
    <w:p w14:paraId="73F30C37" w14:textId="77777777" w:rsidR="008D04FE" w:rsidRPr="00BD295E" w:rsidRDefault="008A5057" w:rsidP="008D04FE">
      <w:pPr>
        <w:pStyle w:val="af3"/>
        <w:ind w:left="0"/>
        <w:jc w:val="both"/>
        <w:rPr>
          <w:rFonts w:ascii="Arial" w:eastAsia="Calibri" w:hAnsi="Arial" w:cs="Arial"/>
          <w:sz w:val="12"/>
          <w:szCs w:val="12"/>
          <w:lang w:val="en-US"/>
        </w:rPr>
      </w:pPr>
      <w:r w:rsidRPr="00BD295E">
        <w:rPr>
          <w:rFonts w:ascii="Arial" w:hAnsi="Arial" w:cs="Arial"/>
          <w:sz w:val="12"/>
          <w:szCs w:val="12"/>
          <w:lang w:val="en-US"/>
        </w:rPr>
        <w:t xml:space="preserve">* Including connection of </w:t>
      </w:r>
      <w:r w:rsidR="00DE61D5" w:rsidRPr="00BD295E">
        <w:rPr>
          <w:rFonts w:ascii="Arial" w:hAnsi="Arial" w:cs="Arial"/>
          <w:sz w:val="12"/>
          <w:szCs w:val="12"/>
          <w:lang w:val="en-US"/>
        </w:rPr>
        <w:t>power generation facilities</w:t>
      </w:r>
      <w:r w:rsidRPr="00BD295E">
        <w:rPr>
          <w:rFonts w:ascii="Arial" w:hAnsi="Arial" w:cs="Arial"/>
          <w:sz w:val="12"/>
          <w:szCs w:val="12"/>
          <w:lang w:val="en-US"/>
        </w:rPr>
        <w:t>.</w:t>
      </w:r>
    </w:p>
    <w:p w14:paraId="02FB3981" w14:textId="13B6951E" w:rsidR="008D04FE" w:rsidRPr="00BD295E" w:rsidRDefault="008A5057" w:rsidP="00F51CB3">
      <w:pPr>
        <w:pStyle w:val="af3"/>
        <w:ind w:left="0"/>
        <w:jc w:val="both"/>
        <w:rPr>
          <w:rFonts w:ascii="Arial" w:eastAsia="Calibri" w:hAnsi="Arial" w:cs="Arial"/>
          <w:sz w:val="12"/>
          <w:szCs w:val="12"/>
          <w:lang w:val="en-US"/>
        </w:rPr>
      </w:pPr>
      <w:r w:rsidRPr="00BD295E">
        <w:rPr>
          <w:rFonts w:ascii="Arial" w:hAnsi="Arial" w:cs="Arial"/>
          <w:sz w:val="12"/>
          <w:szCs w:val="12"/>
          <w:lang w:val="en-US"/>
        </w:rPr>
        <w:t>** Permanent grid connection</w:t>
      </w:r>
    </w:p>
    <w:p w14:paraId="7AD9AEBA" w14:textId="77777777" w:rsidR="008D04FE" w:rsidRPr="00BD295E" w:rsidRDefault="008A5057" w:rsidP="000E42B1">
      <w:pPr>
        <w:pStyle w:val="af3"/>
        <w:spacing w:before="120" w:after="200"/>
        <w:ind w:left="0"/>
        <w:jc w:val="both"/>
        <w:rPr>
          <w:rFonts w:ascii="Arial" w:eastAsia="Calibri" w:hAnsi="Arial" w:cs="Arial"/>
          <w:sz w:val="18"/>
          <w:szCs w:val="18"/>
          <w:lang w:val="en-US"/>
        </w:rPr>
      </w:pPr>
      <w:r w:rsidRPr="00BD295E">
        <w:rPr>
          <w:rFonts w:ascii="Arial" w:hAnsi="Arial" w:cs="Arial"/>
          <w:sz w:val="18"/>
          <w:szCs w:val="18"/>
          <w:lang w:val="en-US"/>
        </w:rPr>
        <w:t xml:space="preserve">In 2018, revenue actually decreased year-on-year by RUB 6,311 million, net of VAT. The decrease was due to the fact that in the process of consolidating the assets of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 xml:space="preserve">, some of the contracts signed by companies under the management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were closed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2H 2017 for a total amount of RUB 4,273 million, net of VAT. The increase in this indicator in 2017 was due to the large number of completed grid connection contracts under a program for discharging overdue contracts launched in 2016, including as part of a program for government support for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0C10FD80" w14:textId="77777777" w:rsidR="008D04FE" w:rsidRPr="00BD295E" w:rsidRDefault="008A5057" w:rsidP="000E42B1">
      <w:pPr>
        <w:pStyle w:val="af3"/>
        <w:tabs>
          <w:tab w:val="left" w:pos="993"/>
        </w:tabs>
        <w:spacing w:after="200"/>
        <w:ind w:left="0"/>
        <w:jc w:val="both"/>
        <w:rPr>
          <w:rFonts w:ascii="Arial" w:eastAsia="Calibri" w:hAnsi="Arial" w:cs="Arial"/>
          <w:sz w:val="18"/>
          <w:szCs w:val="18"/>
          <w:lang w:val="en-US"/>
        </w:rPr>
      </w:pPr>
      <w:r w:rsidRPr="00BD295E">
        <w:rPr>
          <w:rFonts w:ascii="Arial" w:hAnsi="Arial" w:cs="Arial"/>
          <w:sz w:val="18"/>
          <w:szCs w:val="18"/>
          <w:lang w:val="en-US"/>
        </w:rPr>
        <w:t xml:space="preserve">In 2018, connected capacity was 1,033 MW, which is less by 574 MW year-on-year. This variance was due to the fact that in 2017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closed contracts previously signed by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 xml:space="preserve"> and transferred to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when consolidating the respective assets (in 2017, 123 MW of capacity was connected under contracts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and when connecting large </w:t>
      </w:r>
      <w:r w:rsidR="00DE61D5" w:rsidRPr="00BD295E">
        <w:rPr>
          <w:rFonts w:ascii="Arial" w:hAnsi="Arial" w:cs="Arial"/>
          <w:sz w:val="18"/>
          <w:szCs w:val="18"/>
          <w:lang w:val="en-US"/>
        </w:rPr>
        <w:t>power generation facilities</w:t>
      </w:r>
      <w:r w:rsidRPr="00BD295E">
        <w:rPr>
          <w:rFonts w:ascii="Arial" w:hAnsi="Arial" w:cs="Arial"/>
          <w:sz w:val="18"/>
          <w:szCs w:val="18"/>
          <w:lang w:val="en-US"/>
        </w:rPr>
        <w:t xml:space="preserve"> (including TGC-1, JSC with 360 MW of connected capacity).  </w:t>
      </w:r>
      <w:r w:rsidRPr="00BD295E">
        <w:rPr>
          <w:rFonts w:ascii="Arial" w:hAnsi="Arial" w:cs="Arial"/>
          <w:sz w:val="18"/>
          <w:szCs w:val="18"/>
          <w:lang w:val="en-US"/>
        </w:rPr>
        <w:tab/>
      </w:r>
    </w:p>
    <w:p w14:paraId="02D9DF83" w14:textId="77777777" w:rsidR="008D04FE" w:rsidRPr="00BD295E" w:rsidRDefault="008A5057" w:rsidP="000E42B1">
      <w:pPr>
        <w:pStyle w:val="af3"/>
        <w:tabs>
          <w:tab w:val="left" w:pos="993"/>
        </w:tabs>
        <w:spacing w:after="200"/>
        <w:ind w:left="0"/>
        <w:jc w:val="both"/>
        <w:rPr>
          <w:rFonts w:ascii="Arial" w:eastAsia="Calibri" w:hAnsi="Arial" w:cs="Arial"/>
          <w:sz w:val="18"/>
          <w:szCs w:val="18"/>
          <w:lang w:val="en-US"/>
        </w:rPr>
      </w:pPr>
      <w:r w:rsidRPr="00BD295E">
        <w:rPr>
          <w:rFonts w:ascii="Arial" w:hAnsi="Arial" w:cs="Arial"/>
          <w:sz w:val="18"/>
          <w:szCs w:val="18"/>
          <w:lang w:val="en-US"/>
        </w:rPr>
        <w:t xml:space="preserve">Given the unprecedentedly high level of revenue from grid connection services in 2017, exceeding the average annual value for the last five years (on average RUB 67 billion per year), a comparison of 2018 against a comparable period of 2016 was also added to the table on the structure of revenue from grid connection services. </w:t>
      </w:r>
    </w:p>
    <w:p w14:paraId="7B60470E" w14:textId="77777777" w:rsidR="008D04FE"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ab/>
        <w:t xml:space="preserve">The average rate under the closed contracts is calculated as the ratio of grid connection revenue (thousand rubles) </w:t>
      </w:r>
      <w:r w:rsidRPr="00BD295E">
        <w:rPr>
          <w:rFonts w:ascii="Arial" w:hAnsi="Arial" w:cs="Arial"/>
          <w:sz w:val="18"/>
          <w:szCs w:val="18"/>
          <w:lang w:val="en-US"/>
        </w:rPr>
        <w:br/>
        <w:t xml:space="preserve">to the amount of connected capacity (MW), including connection of </w:t>
      </w:r>
      <w:r w:rsidR="00DE61D5" w:rsidRPr="00BD295E">
        <w:rPr>
          <w:rFonts w:ascii="Arial" w:hAnsi="Arial" w:cs="Arial"/>
          <w:sz w:val="18"/>
          <w:szCs w:val="18"/>
          <w:lang w:val="en-US"/>
        </w:rPr>
        <w:t>power generation facilities</w:t>
      </w:r>
      <w:r w:rsidRPr="00BD295E">
        <w:rPr>
          <w:rFonts w:ascii="Arial" w:hAnsi="Arial" w:cs="Arial"/>
          <w:sz w:val="18"/>
          <w:szCs w:val="18"/>
          <w:lang w:val="en-US"/>
        </w:rPr>
        <w:t xml:space="preserve"> and subject to all categories of contracts signed, including those signed at individual rates, etc.</w:t>
      </w:r>
    </w:p>
    <w:p w14:paraId="3792D335" w14:textId="41EBED32" w:rsidR="008D04FE"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ab/>
        <w:t xml:space="preserve">The average rate under the closed contracts is calculated as the ratio of grid connection revenue (thousand rubles) </w:t>
      </w:r>
      <w:r w:rsidRPr="00BD295E">
        <w:rPr>
          <w:rFonts w:ascii="Arial" w:hAnsi="Arial" w:cs="Arial"/>
          <w:sz w:val="18"/>
          <w:szCs w:val="18"/>
          <w:lang w:val="en-US"/>
        </w:rPr>
        <w:br/>
        <w:t xml:space="preserve">to the amount of connected capacity (MW), including connection of </w:t>
      </w:r>
      <w:r w:rsidR="00DE61D5" w:rsidRPr="00BD295E">
        <w:rPr>
          <w:rFonts w:ascii="Arial" w:hAnsi="Arial" w:cs="Arial"/>
          <w:sz w:val="18"/>
          <w:szCs w:val="18"/>
          <w:lang w:val="en-US"/>
        </w:rPr>
        <w:t>power generation facilities</w:t>
      </w:r>
      <w:r w:rsidRPr="00BD295E">
        <w:rPr>
          <w:rFonts w:ascii="Arial" w:hAnsi="Arial" w:cs="Arial"/>
          <w:sz w:val="18"/>
          <w:szCs w:val="18"/>
          <w:lang w:val="en-US"/>
        </w:rPr>
        <w:t xml:space="preserve"> and subject to all categories of contracts signed, including those signed at individual rates, etc.</w:t>
      </w:r>
    </w:p>
    <w:p w14:paraId="16BD710C" w14:textId="12F77C3F" w:rsidR="008D04FE" w:rsidRPr="00BD295E" w:rsidRDefault="00E3531A" w:rsidP="008D04FE">
      <w:pPr>
        <w:jc w:val="both"/>
        <w:rPr>
          <w:rFonts w:ascii="Arial" w:eastAsia="Calibri" w:hAnsi="Arial" w:cs="Arial"/>
          <w:sz w:val="18"/>
          <w:szCs w:val="18"/>
          <w:lang w:val="en-US"/>
        </w:rPr>
      </w:pPr>
      <w:r w:rsidRPr="00BD295E">
        <w:rPr>
          <w:rFonts w:ascii="Arial Narrow" w:eastAsia="Calibri" w:hAnsi="Arial Narrow" w:cs="Arial"/>
          <w:b/>
          <w:bCs/>
          <w:color w:val="44596B"/>
          <w:sz w:val="18"/>
          <w:szCs w:val="18"/>
          <w:lang w:val="en-US" w:eastAsia="en-US"/>
        </w:rPr>
        <mc:AlternateContent>
          <mc:Choice Requires="wps">
            <w:drawing>
              <wp:anchor distT="45720" distB="45720" distL="114300" distR="114300" simplePos="0" relativeHeight="251789824" behindDoc="0" locked="0" layoutInCell="1" allowOverlap="1" wp14:anchorId="0A706432" wp14:editId="192456D1">
                <wp:simplePos x="0" y="0"/>
                <wp:positionH relativeFrom="column">
                  <wp:posOffset>939165</wp:posOffset>
                </wp:positionH>
                <wp:positionV relativeFrom="paragraph">
                  <wp:posOffset>42545</wp:posOffset>
                </wp:positionV>
                <wp:extent cx="3732530" cy="349885"/>
                <wp:effectExtent l="0" t="0" r="1270" b="0"/>
                <wp:wrapNone/>
                <wp:docPr id="5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2530" cy="349885"/>
                        </a:xfrm>
                        <a:prstGeom prst="rect">
                          <a:avLst/>
                        </a:prstGeom>
                        <a:solidFill>
                          <a:schemeClr val="bg1"/>
                        </a:solidFill>
                        <a:ln w="9525">
                          <a:noFill/>
                          <a:miter lim="800000"/>
                          <a:headEnd/>
                          <a:tailEnd/>
                        </a:ln>
                      </wps:spPr>
                      <wps:txbx>
                        <w:txbxContent>
                          <w:p w14:paraId="151AA667" w14:textId="77777777" w:rsidR="002C3947" w:rsidRDefault="002C3947" w:rsidP="00EC0845">
                            <w:pPr>
                              <w:pStyle w:val="1ff8"/>
                              <w:spacing w:before="0"/>
                              <w:rPr>
                                <w:rFonts w:asciiTheme="minorHAnsi" w:hAnsiTheme="minorHAnsi" w:cstheme="minorHAnsi"/>
                                <w:b w:val="0"/>
                                <w:bCs w:val="0"/>
                                <w:sz w:val="22"/>
                                <w:szCs w:val="22"/>
                              </w:rPr>
                            </w:pPr>
                            <w:r w:rsidRPr="00EC0845">
                              <w:rPr>
                                <w:rFonts w:asciiTheme="minorHAnsi" w:hAnsiTheme="minorHAnsi" w:cstheme="minorHAnsi"/>
                                <w:b w:val="0"/>
                                <w:bCs w:val="0"/>
                                <w:sz w:val="22"/>
                                <w:szCs w:val="22"/>
                              </w:rPr>
                              <w:t>Average rate under the closed contracts,</w:t>
                            </w:r>
                          </w:p>
                          <w:p w14:paraId="3DB39531" w14:textId="2F6407A9" w:rsidR="002C3947" w:rsidRPr="00CC44B5" w:rsidRDefault="002C3947" w:rsidP="00EC0845">
                            <w:pPr>
                              <w:pStyle w:val="1ff8"/>
                              <w:spacing w:before="0"/>
                              <w:rPr>
                                <w:sz w:val="16"/>
                              </w:rPr>
                            </w:pPr>
                            <w:r w:rsidRPr="00EC0845">
                              <w:rPr>
                                <w:rFonts w:asciiTheme="minorHAnsi" w:hAnsiTheme="minorHAnsi" w:cstheme="minorHAnsi"/>
                                <w:b w:val="0"/>
                                <w:bCs w:val="0"/>
                                <w:sz w:val="22"/>
                                <w:szCs w:val="22"/>
                              </w:rPr>
                              <w:t>RUB thousand /kW net of VAT*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706432" id="_x0000_s1089" type="#_x0000_t202" style="position:absolute;left:0;text-align:left;margin-left:73.95pt;margin-top:3.35pt;width:293.9pt;height:27.55pt;z-index:251789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" fillcolor="white [3212]" stroked="f">
                <v:textbox inset="0,0,0,0">
                  <w:txbxContent>
                    <w:p w14:paraId="151AA667" w14:textId="77777777" w:rsidR="002C3947" w:rsidRDefault="002C3947" w:rsidP="00EC0845">
                      <w:pPr>
                        <w:pStyle w:val="1ff8"/>
                        <w:spacing w:before="0"/>
                        <w:rPr>
                          <w:rFonts w:asciiTheme="minorHAnsi" w:hAnsiTheme="minorHAnsi" w:cstheme="minorHAnsi"/>
                          <w:b w:val="0"/>
                          <w:bCs w:val="0"/>
                          <w:sz w:val="22"/>
                          <w:szCs w:val="22"/>
                        </w:rPr>
                      </w:pPr>
                      <w:r w:rsidRPr="00EC0845">
                        <w:rPr>
                          <w:rFonts w:asciiTheme="minorHAnsi" w:hAnsiTheme="minorHAnsi" w:cstheme="minorHAnsi"/>
                          <w:b w:val="0"/>
                          <w:bCs w:val="0"/>
                          <w:sz w:val="22"/>
                          <w:szCs w:val="22"/>
                        </w:rPr>
                        <w:t>Average rate under the closed contracts,</w:t>
                      </w:r>
                    </w:p>
                    <w:p w14:paraId="3DB39531" w14:textId="2F6407A9" w:rsidR="002C3947" w:rsidRPr="00CC44B5" w:rsidRDefault="002C3947" w:rsidP="00EC0845">
                      <w:pPr>
                        <w:pStyle w:val="1ff8"/>
                        <w:spacing w:before="0"/>
                        <w:rPr>
                          <w:sz w:val="16"/>
                        </w:rPr>
                      </w:pPr>
                      <w:r w:rsidRPr="00EC0845">
                        <w:rPr>
                          <w:rFonts w:asciiTheme="minorHAnsi" w:hAnsiTheme="minorHAnsi" w:cstheme="minorHAnsi"/>
                          <w:b w:val="0"/>
                          <w:bCs w:val="0"/>
                          <w:sz w:val="22"/>
                          <w:szCs w:val="22"/>
                        </w:rPr>
                        <w:t>RUB thousand /kW net of VAT*</w:t>
                      </w:r>
                    </w:p>
                  </w:txbxContent>
                </v:textbox>
              </v:shape>
            </w:pict>
          </mc:Fallback>
        </mc:AlternateContent>
      </w:r>
      <w:r w:rsidR="00997D07" w:rsidRPr="00BD295E">
        <w:rPr>
          <w:rFonts w:ascii="Arial" w:hAnsi="Arial" w:cs="Arial"/>
          <w:sz w:val="18"/>
          <w:szCs w:val="18"/>
          <w:lang w:val="en-US" w:eastAsia="en-US"/>
        </w:rPr>
        <w:drawing>
          <wp:inline distT="0" distB="0" distL="0" distR="0" wp14:anchorId="3CB4238A" wp14:editId="27E92C7E">
            <wp:extent cx="5253355" cy="2705100"/>
            <wp:effectExtent l="0" t="0" r="0" b="0"/>
            <wp:docPr id="38" name="Диаграмма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82"/>
                    <pic:cNvPicPr>
                      <a:picLocks noChangeArrowheads="1"/>
                    </pic:cNvPicPr>
                  </pic:nvPicPr>
                  <pic:blipFill>
                    <a:blip r:embed="rId56">
                      <a:extLst>
                        <a:ext uri="{28A0092B-C50C-407E-A947-70E740481C1C}">
                          <a14:useLocalDpi xmlns:a14="http://schemas.microsoft.com/office/drawing/2010/main" val="0"/>
                        </a:ext>
                      </a:extLst>
                    </a:blip>
                    <a:srcRect r="-60"/>
                    <a:stretch>
                      <a:fillRect/>
                    </a:stretch>
                  </pic:blipFill>
                  <pic:spPr bwMode="auto">
                    <a:xfrm>
                      <a:off x="0" y="0"/>
                      <a:ext cx="5253355" cy="2705100"/>
                    </a:xfrm>
                    <a:prstGeom prst="rect">
                      <a:avLst/>
                    </a:prstGeom>
                    <a:noFill/>
                    <a:ln>
                      <a:noFill/>
                    </a:ln>
                  </pic:spPr>
                </pic:pic>
              </a:graphicData>
            </a:graphic>
          </wp:inline>
        </w:drawing>
      </w:r>
    </w:p>
    <w:p w14:paraId="1C1D3500" w14:textId="77777777" w:rsidR="008D04FE" w:rsidRPr="00BD295E" w:rsidRDefault="008A5057" w:rsidP="008D04FE">
      <w:pPr>
        <w:jc w:val="both"/>
        <w:rPr>
          <w:rFonts w:ascii="Arial" w:eastAsia="Calibri" w:hAnsi="Arial" w:cs="Arial"/>
          <w:sz w:val="12"/>
          <w:szCs w:val="12"/>
          <w:lang w:val="en-US"/>
        </w:rPr>
      </w:pPr>
      <w:r w:rsidRPr="00BD295E">
        <w:rPr>
          <w:rFonts w:ascii="Arial" w:hAnsi="Arial" w:cs="Arial"/>
          <w:sz w:val="12"/>
          <w:szCs w:val="12"/>
          <w:lang w:val="en-US"/>
        </w:rPr>
        <w:t xml:space="preserve">* Including connection of </w:t>
      </w:r>
      <w:r w:rsidR="00DE61D5" w:rsidRPr="00BD295E">
        <w:rPr>
          <w:rFonts w:ascii="Arial" w:hAnsi="Arial" w:cs="Arial"/>
          <w:sz w:val="12"/>
          <w:szCs w:val="12"/>
          <w:lang w:val="en-US"/>
        </w:rPr>
        <w:t>power generation facilities</w:t>
      </w:r>
      <w:r w:rsidRPr="00BD295E">
        <w:rPr>
          <w:rFonts w:ascii="Arial" w:hAnsi="Arial" w:cs="Arial"/>
          <w:sz w:val="12"/>
          <w:szCs w:val="12"/>
          <w:lang w:val="en-US"/>
        </w:rPr>
        <w:t>.</w:t>
      </w:r>
    </w:p>
    <w:p w14:paraId="2786F66D" w14:textId="64310198" w:rsidR="00E3531A" w:rsidRPr="00BD295E" w:rsidRDefault="00E3531A">
      <w:pPr>
        <w:rPr>
          <w:rFonts w:ascii="Arial" w:hAnsi="Arial" w:cs="Arial"/>
          <w:sz w:val="18"/>
          <w:szCs w:val="18"/>
          <w:lang w:val="en-US"/>
        </w:rPr>
      </w:pPr>
      <w:r w:rsidRPr="00BD295E">
        <w:rPr>
          <w:rFonts w:ascii="Arial" w:hAnsi="Arial" w:cs="Arial"/>
          <w:sz w:val="18"/>
          <w:szCs w:val="18"/>
          <w:lang w:val="en-US"/>
        </w:rPr>
        <w:br w:type="page"/>
      </w:r>
    </w:p>
    <w:p w14:paraId="47171AC1" w14:textId="77777777" w:rsidR="007F758A" w:rsidRPr="00BD295E" w:rsidRDefault="007F758A" w:rsidP="007F758A">
      <w:pPr>
        <w:tabs>
          <w:tab w:val="left" w:pos="1134"/>
        </w:tabs>
        <w:ind w:firstLine="709"/>
        <w:jc w:val="both"/>
        <w:rPr>
          <w:rFonts w:ascii="Arial" w:hAnsi="Arial" w:cs="Arial"/>
          <w:sz w:val="18"/>
          <w:szCs w:val="18"/>
          <w:lang w:val="en-US"/>
        </w:rPr>
      </w:pPr>
    </w:p>
    <w:p w14:paraId="7FA87AA0" w14:textId="77777777" w:rsidR="00791F3A" w:rsidRPr="00BD295E" w:rsidRDefault="008A5057" w:rsidP="00791F3A">
      <w:pPr>
        <w:keepNext/>
        <w:spacing w:line="360" w:lineRule="auto"/>
        <w:ind w:firstLine="709"/>
        <w:jc w:val="both"/>
        <w:outlineLvl w:val="1"/>
        <w:rPr>
          <w:rFonts w:ascii="Arial" w:hAnsi="Arial" w:cs="Arial"/>
          <w:b/>
          <w:sz w:val="18"/>
          <w:szCs w:val="18"/>
          <w:lang w:val="en-US"/>
        </w:rPr>
      </w:pPr>
      <w:bookmarkStart w:id="216" w:name="_Toc509493390"/>
      <w:bookmarkStart w:id="217" w:name="_Toc509497956"/>
      <w:bookmarkStart w:id="218" w:name="_Toc509581258"/>
      <w:bookmarkStart w:id="219" w:name="_Toc510452222"/>
      <w:bookmarkStart w:id="220" w:name="_Toc5027001"/>
      <w:bookmarkStart w:id="221" w:name="_Toc5105970"/>
      <w:bookmarkStart w:id="222" w:name="_Toc5203823"/>
      <w:bookmarkStart w:id="223" w:name="_Toc6230920"/>
      <w:bookmarkStart w:id="224" w:name="_Toc7172568"/>
      <w:bookmarkStart w:id="225" w:name="_Toc7172614"/>
      <w:bookmarkStart w:id="226" w:name="_Toc95855289"/>
      <w:bookmarkStart w:id="227" w:name="_Toc95935348"/>
      <w:r w:rsidRPr="00BD295E">
        <w:rPr>
          <w:rFonts w:ascii="Arial" w:hAnsi="Arial" w:cs="Arial"/>
          <w:b/>
          <w:sz w:val="18"/>
          <w:szCs w:val="18"/>
          <w:lang w:val="en-US"/>
        </w:rPr>
        <w:t>3.3. Financial Performance</w:t>
      </w:r>
      <w:bookmarkEnd w:id="216"/>
      <w:bookmarkEnd w:id="217"/>
      <w:bookmarkEnd w:id="218"/>
      <w:bookmarkEnd w:id="219"/>
      <w:bookmarkEnd w:id="220"/>
      <w:bookmarkEnd w:id="221"/>
      <w:bookmarkEnd w:id="222"/>
      <w:bookmarkEnd w:id="223"/>
      <w:bookmarkEnd w:id="224"/>
      <w:bookmarkEnd w:id="225"/>
      <w:bookmarkEnd w:id="226"/>
      <w:bookmarkEnd w:id="227"/>
    </w:p>
    <w:p w14:paraId="7D7553D1" w14:textId="77777777" w:rsidR="00D108C0" w:rsidRPr="00BD295E" w:rsidRDefault="008A5057" w:rsidP="00D108C0">
      <w:pPr>
        <w:pStyle w:val="18"/>
        <w:spacing w:after="0"/>
        <w:ind w:left="0" w:firstLine="709"/>
        <w:rPr>
          <w:rFonts w:ascii="Arial" w:hAnsi="Arial" w:cs="Arial"/>
          <w:b/>
          <w:sz w:val="18"/>
          <w:szCs w:val="18"/>
          <w:lang w:val="en-US"/>
        </w:rPr>
      </w:pPr>
      <w:r w:rsidRPr="00BD295E">
        <w:rPr>
          <w:rFonts w:ascii="Arial" w:hAnsi="Arial" w:cs="Arial"/>
          <w:b/>
          <w:sz w:val="18"/>
          <w:szCs w:val="18"/>
          <w:lang w:val="en-US"/>
        </w:rPr>
        <w:t>Financial and Economic Activities</w:t>
      </w:r>
    </w:p>
    <w:p w14:paraId="191D7755" w14:textId="5F3B0B5D" w:rsidR="00C90D08" w:rsidRPr="00BD295E" w:rsidRDefault="00EC0845" w:rsidP="00EC0845">
      <w:pPr>
        <w:pStyle w:val="1ff8"/>
        <w:rPr>
          <w:b w:val="0"/>
          <w:bCs w:val="0"/>
        </w:rPr>
      </w:pPr>
      <w:r w:rsidRPr="00BD295E">
        <w:rPr>
          <w:b w:val="0"/>
          <w:bCs w:val="0"/>
        </w:rPr>
        <w:t>Financial and economic performance, RUB million, %</w:t>
      </w:r>
    </w:p>
    <w:p w14:paraId="1A77BBD7" w14:textId="3BBCE46B" w:rsidR="00D108C0" w:rsidRPr="00BD295E" w:rsidRDefault="00EC0845" w:rsidP="00D108C0">
      <w:pPr>
        <w:pStyle w:val="18"/>
        <w:spacing w:after="0"/>
        <w:ind w:left="0" w:firstLine="0"/>
        <w:jc w:val="center"/>
        <w:rPr>
          <w:rFonts w:ascii="Arial" w:hAnsi="Arial" w:cs="Arial"/>
          <w:bCs/>
          <w:sz w:val="18"/>
          <w:szCs w:val="18"/>
          <w:lang w:val="en-US"/>
        </w:rPr>
      </w:pP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93920" behindDoc="0" locked="0" layoutInCell="1" allowOverlap="1" wp14:anchorId="5893B150" wp14:editId="3572E9F0">
                <wp:simplePos x="0" y="0"/>
                <wp:positionH relativeFrom="margin">
                  <wp:posOffset>3480435</wp:posOffset>
                </wp:positionH>
                <wp:positionV relativeFrom="paragraph">
                  <wp:posOffset>2711861</wp:posOffset>
                </wp:positionV>
                <wp:extent cx="2304696" cy="414350"/>
                <wp:effectExtent l="0" t="0" r="635" b="5080"/>
                <wp:wrapNone/>
                <wp:docPr id="5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696" cy="414350"/>
                        </a:xfrm>
                        <a:prstGeom prst="rect">
                          <a:avLst/>
                        </a:prstGeom>
                        <a:solidFill>
                          <a:schemeClr val="bg1"/>
                        </a:solidFill>
                        <a:ln w="9525">
                          <a:noFill/>
                          <a:miter lim="800000"/>
                          <a:headEnd/>
                          <a:tailEnd/>
                        </a:ln>
                      </wps:spPr>
                      <wps:txbx>
                        <w:txbxContent>
                          <w:p w14:paraId="19D093C9" w14:textId="77777777" w:rsidR="002C3947" w:rsidRPr="00EC0845" w:rsidRDefault="002C3947" w:rsidP="00EC0845">
                            <w:pPr>
                              <w:spacing w:before="70"/>
                              <w:rPr>
                                <w:rFonts w:ascii="Arial" w:hAnsi="Arial" w:cs="Arial"/>
                                <w:sz w:val="18"/>
                                <w:szCs w:val="18"/>
                                <w:lang w:val="en-US"/>
                              </w:rPr>
                            </w:pPr>
                            <w:r w:rsidRPr="00EC0845">
                              <w:rPr>
                                <w:rFonts w:ascii="Arial" w:hAnsi="Arial" w:cs="Arial"/>
                                <w:sz w:val="18"/>
                                <w:szCs w:val="18"/>
                                <w:lang w:val="en-US"/>
                              </w:rPr>
                              <w:t>EBITDA*</w:t>
                            </w:r>
                          </w:p>
                          <w:p w14:paraId="795CE3A2" w14:textId="71C247E1" w:rsidR="002C3947" w:rsidRPr="00CC44B5" w:rsidRDefault="002C3947" w:rsidP="00EC0845">
                            <w:pPr>
                              <w:spacing w:before="70"/>
                              <w:rPr>
                                <w:rFonts w:ascii="Arial" w:hAnsi="Arial" w:cs="Arial"/>
                                <w:sz w:val="16"/>
                              </w:rPr>
                            </w:pPr>
                            <w:r w:rsidRPr="00EC0845">
                              <w:rPr>
                                <w:rFonts w:ascii="Arial" w:hAnsi="Arial" w:cs="Arial"/>
                                <w:sz w:val="18"/>
                                <w:szCs w:val="18"/>
                                <w:lang w:val="en-US"/>
                              </w:rPr>
                              <w:t>EBITDA margin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93B150" id="_x0000_s1090" type="#_x0000_t202" style="position:absolute;left:0;text-align:left;margin-left:274.05pt;margin-top:213.55pt;width:181.45pt;height:32.65pt;z-index:251793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" fillcolor="white [3212]" stroked="f">
                <v:textbox inset="0,0,0,0">
                  <w:txbxContent>
                    <w:p w14:paraId="19D093C9" w14:textId="77777777" w:rsidR="002C3947" w:rsidRPr="00EC0845" w:rsidRDefault="002C3947" w:rsidP="00EC0845">
                      <w:pPr>
                        <w:spacing w:before="70"/>
                        <w:rPr>
                          <w:rFonts w:ascii="Arial" w:hAnsi="Arial" w:cs="Arial"/>
                          <w:sz w:val="18"/>
                          <w:szCs w:val="18"/>
                          <w:lang w:val="en-US"/>
                        </w:rPr>
                      </w:pPr>
                      <w:r w:rsidRPr="00EC0845">
                        <w:rPr>
                          <w:rFonts w:ascii="Arial" w:hAnsi="Arial" w:cs="Arial"/>
                          <w:sz w:val="18"/>
                          <w:szCs w:val="18"/>
                          <w:lang w:val="en-US"/>
                        </w:rPr>
                        <w:t>EBITDA*</w:t>
                      </w:r>
                    </w:p>
                    <w:p w14:paraId="795CE3A2" w14:textId="71C247E1" w:rsidR="002C3947" w:rsidRPr="00CC44B5" w:rsidRDefault="002C3947" w:rsidP="00EC0845">
                      <w:pPr>
                        <w:spacing w:before="70"/>
                        <w:rPr>
                          <w:rFonts w:ascii="Arial" w:hAnsi="Arial" w:cs="Arial"/>
                          <w:sz w:val="16"/>
                        </w:rPr>
                      </w:pPr>
                      <w:r w:rsidRPr="00EC0845">
                        <w:rPr>
                          <w:rFonts w:ascii="Arial" w:hAnsi="Arial" w:cs="Arial"/>
                          <w:sz w:val="18"/>
                          <w:szCs w:val="18"/>
                          <w:lang w:val="en-US"/>
                        </w:rPr>
                        <w:t>EBITDA margin</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91872" behindDoc="0" locked="0" layoutInCell="1" allowOverlap="1" wp14:anchorId="282AB9FD" wp14:editId="73D57763">
                <wp:simplePos x="0" y="0"/>
                <wp:positionH relativeFrom="column">
                  <wp:posOffset>752699</wp:posOffset>
                </wp:positionH>
                <wp:positionV relativeFrom="paragraph">
                  <wp:posOffset>2764790</wp:posOffset>
                </wp:positionV>
                <wp:extent cx="2304696" cy="554079"/>
                <wp:effectExtent l="0" t="0" r="635" b="0"/>
                <wp:wrapNone/>
                <wp:docPr id="5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696" cy="554079"/>
                        </a:xfrm>
                        <a:prstGeom prst="rect">
                          <a:avLst/>
                        </a:prstGeom>
                        <a:solidFill>
                          <a:schemeClr val="bg1"/>
                        </a:solidFill>
                        <a:ln w="9525">
                          <a:noFill/>
                          <a:miter lim="800000"/>
                          <a:headEnd/>
                          <a:tailEnd/>
                        </a:ln>
                      </wps:spPr>
                      <wps:txbx>
                        <w:txbxContent>
                          <w:p w14:paraId="4ACB0744" w14:textId="77777777" w:rsidR="002C3947" w:rsidRPr="00EC0845" w:rsidRDefault="002C3947" w:rsidP="00EC0845">
                            <w:pPr>
                              <w:rPr>
                                <w:rFonts w:ascii="Arial" w:hAnsi="Arial" w:cs="Arial"/>
                                <w:sz w:val="18"/>
                                <w:szCs w:val="18"/>
                                <w:lang w:val="en-US"/>
                              </w:rPr>
                            </w:pPr>
                            <w:r w:rsidRPr="00EC0845">
                              <w:rPr>
                                <w:rFonts w:ascii="Arial" w:hAnsi="Arial" w:cs="Arial"/>
                                <w:sz w:val="18"/>
                                <w:szCs w:val="18"/>
                                <w:lang w:val="en-US"/>
                              </w:rPr>
                              <w:t>Revenue</w:t>
                            </w:r>
                          </w:p>
                          <w:p w14:paraId="69E2A4D3" w14:textId="77777777" w:rsidR="002C3947" w:rsidRPr="00EC0845" w:rsidRDefault="002C3947" w:rsidP="00EC0845">
                            <w:pPr>
                              <w:spacing w:before="70"/>
                              <w:rPr>
                                <w:rFonts w:ascii="Arial" w:hAnsi="Arial" w:cs="Arial"/>
                                <w:sz w:val="18"/>
                                <w:szCs w:val="18"/>
                                <w:lang w:val="en-US"/>
                              </w:rPr>
                            </w:pPr>
                            <w:r w:rsidRPr="00EC0845">
                              <w:rPr>
                                <w:rFonts w:ascii="Arial" w:hAnsi="Arial" w:cs="Arial"/>
                                <w:sz w:val="18"/>
                                <w:szCs w:val="18"/>
                                <w:lang w:val="en-US"/>
                              </w:rPr>
                              <w:t>Net profit</w:t>
                            </w:r>
                          </w:p>
                          <w:p w14:paraId="4A96C47D" w14:textId="36DA2CC9" w:rsidR="002C3947" w:rsidRPr="00CC44B5" w:rsidRDefault="002C3947" w:rsidP="00EC0845">
                            <w:pPr>
                              <w:spacing w:before="70"/>
                              <w:rPr>
                                <w:rFonts w:ascii="Arial" w:hAnsi="Arial" w:cs="Arial"/>
                                <w:sz w:val="16"/>
                              </w:rPr>
                            </w:pPr>
                            <w:r w:rsidRPr="00EC0845">
                              <w:rPr>
                                <w:rFonts w:ascii="Arial" w:hAnsi="Arial" w:cs="Arial"/>
                                <w:sz w:val="18"/>
                                <w:szCs w:val="18"/>
                                <w:lang w:val="en-US"/>
                              </w:rPr>
                              <w:t>Net profit margin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2AB9FD" id="_x0000_s1091" type="#_x0000_t202" style="position:absolute;left:0;text-align:left;margin-left:59.25pt;margin-top:217.7pt;width:181.45pt;height:43.65pt;z-index:25179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" fillcolor="white [3212]" stroked="f">
                <v:textbox inset="0,0,0,0">
                  <w:txbxContent>
                    <w:p w14:paraId="4ACB0744" w14:textId="77777777" w:rsidR="002C3947" w:rsidRPr="00EC0845" w:rsidRDefault="002C3947" w:rsidP="00EC0845">
                      <w:pPr>
                        <w:rPr>
                          <w:rFonts w:ascii="Arial" w:hAnsi="Arial" w:cs="Arial"/>
                          <w:sz w:val="18"/>
                          <w:szCs w:val="18"/>
                          <w:lang w:val="en-US"/>
                        </w:rPr>
                      </w:pPr>
                      <w:r w:rsidRPr="00EC0845">
                        <w:rPr>
                          <w:rFonts w:ascii="Arial" w:hAnsi="Arial" w:cs="Arial"/>
                          <w:sz w:val="18"/>
                          <w:szCs w:val="18"/>
                          <w:lang w:val="en-US"/>
                        </w:rPr>
                        <w:t>Revenue</w:t>
                      </w:r>
                    </w:p>
                    <w:p w14:paraId="69E2A4D3" w14:textId="77777777" w:rsidR="002C3947" w:rsidRPr="00EC0845" w:rsidRDefault="002C3947" w:rsidP="00EC0845">
                      <w:pPr>
                        <w:spacing w:before="70"/>
                        <w:rPr>
                          <w:rFonts w:ascii="Arial" w:hAnsi="Arial" w:cs="Arial"/>
                          <w:sz w:val="18"/>
                          <w:szCs w:val="18"/>
                          <w:lang w:val="en-US"/>
                        </w:rPr>
                      </w:pPr>
                      <w:r w:rsidRPr="00EC0845">
                        <w:rPr>
                          <w:rFonts w:ascii="Arial" w:hAnsi="Arial" w:cs="Arial"/>
                          <w:sz w:val="18"/>
                          <w:szCs w:val="18"/>
                          <w:lang w:val="en-US"/>
                        </w:rPr>
                        <w:t>Net profit</w:t>
                      </w:r>
                    </w:p>
                    <w:p w14:paraId="4A96C47D" w14:textId="36DA2CC9" w:rsidR="002C3947" w:rsidRPr="00CC44B5" w:rsidRDefault="002C3947" w:rsidP="00EC0845">
                      <w:pPr>
                        <w:spacing w:before="70"/>
                        <w:rPr>
                          <w:rFonts w:ascii="Arial" w:hAnsi="Arial" w:cs="Arial"/>
                          <w:sz w:val="16"/>
                        </w:rPr>
                      </w:pPr>
                      <w:r w:rsidRPr="00EC0845">
                        <w:rPr>
                          <w:rFonts w:ascii="Arial" w:hAnsi="Arial" w:cs="Arial"/>
                          <w:sz w:val="18"/>
                          <w:szCs w:val="18"/>
                          <w:lang w:val="en-US"/>
                        </w:rPr>
                        <w:t>Net profit margin</w:t>
                      </w:r>
                    </w:p>
                  </w:txbxContent>
                </v:textbox>
              </v:shape>
            </w:pict>
          </mc:Fallback>
        </mc:AlternateContent>
      </w:r>
      <w:r w:rsidR="00997D07" w:rsidRPr="00BD295E">
        <w:rPr>
          <w:rFonts w:ascii="Arial" w:hAnsi="Arial" w:cs="Arial"/>
          <w:sz w:val="18"/>
          <w:szCs w:val="18"/>
          <w:lang w:val="en-US" w:eastAsia="en-US"/>
        </w:rPr>
        <w:drawing>
          <wp:inline distT="0" distB="0" distL="0" distR="0" wp14:anchorId="65C44CD5" wp14:editId="612C4E35">
            <wp:extent cx="5934075" cy="3397203"/>
            <wp:effectExtent l="0" t="0" r="0" b="0"/>
            <wp:docPr id="39" name="Диаграмма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83"/>
                    <pic:cNvPicPr>
                      <a:picLocks noChangeArrowheads="1"/>
                    </pic:cNvPicPr>
                  </pic:nvPicPr>
                  <pic:blipFill rotWithShape="1">
                    <a:blip r:embed="rId57">
                      <a:extLst>
                        <a:ext uri="{28A0092B-C50C-407E-A947-70E740481C1C}">
                          <a14:useLocalDpi xmlns:a14="http://schemas.microsoft.com/office/drawing/2010/main" val="0"/>
                        </a:ext>
                      </a:extLst>
                    </a:blip>
                    <a:srcRect l="-209" t="5661" r="-2800" b="-2406"/>
                    <a:stretch/>
                  </pic:blipFill>
                  <pic:spPr bwMode="auto">
                    <a:xfrm>
                      <a:off x="0" y="0"/>
                      <a:ext cx="5934075" cy="3397203"/>
                    </a:xfrm>
                    <a:prstGeom prst="rect">
                      <a:avLst/>
                    </a:prstGeom>
                    <a:noFill/>
                    <a:ln>
                      <a:noFill/>
                    </a:ln>
                    <a:extLst>
                      <a:ext uri="{53640926-AAD7-44D8-BBD7-CCE9431645EC}">
                        <a14:shadowObscured xmlns:a14="http://schemas.microsoft.com/office/drawing/2010/main"/>
                      </a:ext>
                    </a:extLst>
                  </pic:spPr>
                </pic:pic>
              </a:graphicData>
            </a:graphic>
          </wp:inline>
        </w:drawing>
      </w:r>
    </w:p>
    <w:p w14:paraId="7E6DF746" w14:textId="77777777" w:rsidR="00D108C0" w:rsidRPr="00BD295E" w:rsidRDefault="00D108C0" w:rsidP="00D108C0">
      <w:pPr>
        <w:pStyle w:val="18"/>
        <w:spacing w:after="0"/>
        <w:ind w:left="0" w:firstLine="0"/>
        <w:rPr>
          <w:rFonts w:ascii="Arial" w:hAnsi="Arial" w:cs="Arial"/>
          <w:bCs/>
          <w:sz w:val="18"/>
          <w:szCs w:val="18"/>
          <w:lang w:val="en-US"/>
        </w:rPr>
      </w:pPr>
    </w:p>
    <w:p w14:paraId="5A033194" w14:textId="77777777" w:rsidR="00D108C0" w:rsidRPr="00BD295E" w:rsidRDefault="008A5057" w:rsidP="00D108C0">
      <w:pPr>
        <w:tabs>
          <w:tab w:val="left" w:pos="1134"/>
        </w:tabs>
        <w:jc w:val="both"/>
        <w:rPr>
          <w:rFonts w:ascii="Arial" w:hAnsi="Arial" w:cs="Arial"/>
          <w:iCs/>
          <w:sz w:val="12"/>
          <w:szCs w:val="12"/>
          <w:lang w:val="en-US"/>
        </w:rPr>
      </w:pPr>
      <w:r w:rsidRPr="00BD295E">
        <w:rPr>
          <w:rFonts w:ascii="Arial" w:hAnsi="Arial" w:cs="Arial"/>
          <w:iCs/>
          <w:sz w:val="12"/>
          <w:szCs w:val="12"/>
          <w:lang w:val="en-US"/>
        </w:rPr>
        <w:t>Note: * Data for 2016–2018 are shown the chart in line with the annual RAS financial statements of the Company for 2018, subject to retrospective recognition of data</w:t>
      </w:r>
    </w:p>
    <w:p w14:paraId="4791CFA9" w14:textId="77777777" w:rsidR="00D108C0" w:rsidRPr="00BD295E" w:rsidRDefault="008A5057" w:rsidP="00D108C0">
      <w:pPr>
        <w:tabs>
          <w:tab w:val="left" w:pos="1134"/>
        </w:tabs>
        <w:jc w:val="both"/>
        <w:rPr>
          <w:rFonts w:ascii="Arial" w:hAnsi="Arial" w:cs="Arial"/>
          <w:iCs/>
          <w:sz w:val="12"/>
          <w:szCs w:val="12"/>
          <w:lang w:val="en-US"/>
        </w:rPr>
      </w:pPr>
      <w:r w:rsidRPr="00BD295E">
        <w:rPr>
          <w:rFonts w:ascii="Arial" w:hAnsi="Arial" w:cs="Arial"/>
          <w:iCs/>
          <w:sz w:val="12"/>
          <w:szCs w:val="12"/>
          <w:lang w:val="en-US"/>
        </w:rPr>
        <w:t xml:space="preserve">EBITDA is shown less net provision for impairment of debt financial investments </w:t>
      </w:r>
    </w:p>
    <w:p w14:paraId="3FD85884" w14:textId="77777777" w:rsidR="00D108C0" w:rsidRPr="00BD295E" w:rsidRDefault="00D108C0" w:rsidP="00D108C0">
      <w:pPr>
        <w:pStyle w:val="18"/>
        <w:spacing w:after="0" w:line="240" w:lineRule="atLeast"/>
        <w:ind w:left="0" w:firstLine="709"/>
        <w:rPr>
          <w:rFonts w:ascii="Arial" w:hAnsi="Arial" w:cs="Arial"/>
          <w:bCs/>
          <w:sz w:val="18"/>
          <w:szCs w:val="18"/>
          <w:lang w:val="en-US"/>
        </w:rPr>
      </w:pPr>
    </w:p>
    <w:p w14:paraId="69C89CC9" w14:textId="77777777" w:rsidR="00D108C0" w:rsidRPr="00BD295E" w:rsidRDefault="008A5057" w:rsidP="00B20A51">
      <w:pPr>
        <w:pStyle w:val="18"/>
        <w:spacing w:after="0"/>
        <w:ind w:left="0" w:firstLine="0"/>
        <w:rPr>
          <w:rFonts w:ascii="Arial" w:hAnsi="Arial" w:cs="Arial"/>
          <w:bCs/>
          <w:sz w:val="18"/>
          <w:szCs w:val="18"/>
          <w:lang w:val="en-US"/>
        </w:rPr>
      </w:pPr>
      <w:r w:rsidRPr="00BD295E">
        <w:rPr>
          <w:rFonts w:ascii="Arial" w:hAnsi="Arial" w:cs="Arial"/>
          <w:bCs/>
          <w:sz w:val="18"/>
          <w:szCs w:val="18"/>
          <w:lang w:val="en-US"/>
        </w:rPr>
        <w:t xml:space="preserve">In 2018, net profit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totaled RUB 10,386 million. Despite a slight year-on-year decrease in the financial results, revenue from electricity distribution increased by 14%. The financial position of the Company is stable, with leverage decreasing and the Net Debt/EBITDA ratio at a comfortable 1.10.</w:t>
      </w:r>
    </w:p>
    <w:p w14:paraId="5033CD3F" w14:textId="77777777" w:rsidR="00D108C0" w:rsidRPr="00BD295E" w:rsidRDefault="00D108C0" w:rsidP="00D108C0">
      <w:pPr>
        <w:pStyle w:val="18"/>
        <w:spacing w:after="0"/>
        <w:ind w:left="0" w:firstLine="709"/>
        <w:rPr>
          <w:rFonts w:ascii="Arial" w:hAnsi="Arial" w:cs="Arial"/>
          <w:bCs/>
          <w:sz w:val="18"/>
          <w:szCs w:val="18"/>
          <w:lang w:val="en-US"/>
        </w:rPr>
      </w:pPr>
    </w:p>
    <w:p w14:paraId="6E55B7E2" w14:textId="77777777" w:rsidR="00D108C0" w:rsidRPr="00BD295E" w:rsidRDefault="008A5057" w:rsidP="00D108C0">
      <w:pPr>
        <w:widowControl w:val="0"/>
        <w:autoSpaceDE w:val="0"/>
        <w:autoSpaceDN w:val="0"/>
        <w:adjustRightInd w:val="0"/>
        <w:ind w:firstLine="709"/>
        <w:rPr>
          <w:rFonts w:ascii="Arial" w:hAnsi="Arial" w:cs="Arial"/>
          <w:sz w:val="18"/>
          <w:szCs w:val="18"/>
          <w:lang w:val="en-US"/>
        </w:rPr>
      </w:pPr>
      <w:r w:rsidRPr="00BD295E">
        <w:rPr>
          <w:rFonts w:ascii="Arial" w:hAnsi="Arial" w:cs="Arial"/>
          <w:sz w:val="18"/>
          <w:szCs w:val="18"/>
          <w:lang w:val="en-US"/>
        </w:rPr>
        <w:t>Financial and economic highlights, RUB million</w:t>
      </w:r>
    </w:p>
    <w:tbl>
      <w:tblPr>
        <w:tblW w:w="9284" w:type="dxa"/>
        <w:jc w:val="center"/>
        <w:tblLook w:val="04A0" w:firstRow="1" w:lastRow="0" w:firstColumn="1" w:lastColumn="0" w:noHBand="0" w:noVBand="1"/>
      </w:tblPr>
      <w:tblGrid>
        <w:gridCol w:w="960"/>
        <w:gridCol w:w="4817"/>
        <w:gridCol w:w="1203"/>
        <w:gridCol w:w="1170"/>
        <w:gridCol w:w="1134"/>
      </w:tblGrid>
      <w:tr w:rsidR="008A5057" w:rsidRPr="00BD295E" w14:paraId="12108CE1" w14:textId="77777777" w:rsidTr="00D108C0">
        <w:trPr>
          <w:trHeight w:val="2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7C5CAC" w14:textId="77777777" w:rsidR="00D108C0" w:rsidRPr="00BD295E" w:rsidRDefault="008A5057" w:rsidP="00D108C0">
            <w:pPr>
              <w:pStyle w:val="16"/>
              <w:rPr>
                <w:rFonts w:ascii="Arial" w:hAnsi="Arial" w:cs="Arial"/>
                <w:b/>
                <w:sz w:val="18"/>
                <w:szCs w:val="18"/>
                <w:lang w:val="en-US"/>
              </w:rPr>
            </w:pPr>
            <w:r w:rsidRPr="00BD295E">
              <w:rPr>
                <w:rFonts w:ascii="Arial" w:hAnsi="Arial" w:cs="Arial"/>
                <w:b/>
                <w:sz w:val="18"/>
                <w:szCs w:val="18"/>
                <w:lang w:val="en-US"/>
              </w:rPr>
              <w:t>No.</w:t>
            </w:r>
          </w:p>
        </w:tc>
        <w:tc>
          <w:tcPr>
            <w:tcW w:w="4817" w:type="dxa"/>
            <w:tcBorders>
              <w:top w:val="single" w:sz="4" w:space="0" w:color="auto"/>
              <w:left w:val="nil"/>
              <w:bottom w:val="single" w:sz="4" w:space="0" w:color="auto"/>
              <w:right w:val="single" w:sz="4" w:space="0" w:color="auto"/>
            </w:tcBorders>
            <w:shd w:val="clear" w:color="auto" w:fill="auto"/>
            <w:noWrap/>
            <w:vAlign w:val="bottom"/>
            <w:hideMark/>
          </w:tcPr>
          <w:p w14:paraId="62FC3130" w14:textId="77777777" w:rsidR="00D108C0" w:rsidRPr="00BD295E" w:rsidRDefault="008A5057" w:rsidP="00D108C0">
            <w:pPr>
              <w:pStyle w:val="16"/>
              <w:rPr>
                <w:rFonts w:ascii="Arial" w:hAnsi="Arial" w:cs="Arial"/>
                <w:b/>
                <w:sz w:val="18"/>
                <w:szCs w:val="18"/>
                <w:lang w:val="en-US"/>
              </w:rPr>
            </w:pPr>
            <w:r w:rsidRPr="00BD295E">
              <w:rPr>
                <w:rFonts w:ascii="Arial" w:hAnsi="Arial" w:cs="Arial"/>
                <w:b/>
                <w:sz w:val="18"/>
                <w:szCs w:val="18"/>
                <w:lang w:val="en-US"/>
              </w:rPr>
              <w:t>Indicator</w:t>
            </w:r>
          </w:p>
        </w:tc>
        <w:tc>
          <w:tcPr>
            <w:tcW w:w="1203" w:type="dxa"/>
            <w:tcBorders>
              <w:top w:val="single" w:sz="4" w:space="0" w:color="auto"/>
              <w:left w:val="nil"/>
              <w:bottom w:val="single" w:sz="4" w:space="0" w:color="auto"/>
              <w:right w:val="single" w:sz="4" w:space="0" w:color="auto"/>
            </w:tcBorders>
            <w:shd w:val="clear" w:color="auto" w:fill="auto"/>
            <w:noWrap/>
            <w:vAlign w:val="bottom"/>
            <w:hideMark/>
          </w:tcPr>
          <w:p w14:paraId="7FF7DE31" w14:textId="77777777" w:rsidR="00D108C0" w:rsidRPr="00BD295E" w:rsidRDefault="008A5057" w:rsidP="00D108C0">
            <w:pPr>
              <w:pStyle w:val="16"/>
              <w:jc w:val="center"/>
              <w:rPr>
                <w:rFonts w:ascii="Arial" w:hAnsi="Arial" w:cs="Arial"/>
                <w:b/>
                <w:sz w:val="18"/>
                <w:szCs w:val="18"/>
                <w:lang w:val="en-US"/>
              </w:rPr>
            </w:pPr>
            <w:r w:rsidRPr="00BD295E">
              <w:rPr>
                <w:rFonts w:ascii="Arial" w:hAnsi="Arial" w:cs="Arial"/>
                <w:b/>
                <w:sz w:val="18"/>
                <w:szCs w:val="18"/>
                <w:lang w:val="en-US"/>
              </w:rPr>
              <w:t>2018</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6314033F" w14:textId="77777777" w:rsidR="00D108C0" w:rsidRPr="00BD295E" w:rsidRDefault="008A5057" w:rsidP="00D108C0">
            <w:pPr>
              <w:pStyle w:val="16"/>
              <w:jc w:val="center"/>
              <w:rPr>
                <w:rFonts w:ascii="Arial" w:hAnsi="Arial" w:cs="Arial"/>
                <w:b/>
                <w:sz w:val="18"/>
                <w:szCs w:val="18"/>
                <w:lang w:val="en-US"/>
              </w:rPr>
            </w:pPr>
            <w:r w:rsidRPr="00BD295E">
              <w:rPr>
                <w:rFonts w:ascii="Arial" w:hAnsi="Arial" w:cs="Arial"/>
                <w:b/>
                <w:sz w:val="18"/>
                <w:szCs w:val="18"/>
                <w:lang w:val="en-US"/>
              </w:rPr>
              <w:t>2017*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1CD750F" w14:textId="77777777" w:rsidR="00D108C0" w:rsidRPr="00BD295E" w:rsidRDefault="008A5057" w:rsidP="00D108C0">
            <w:pPr>
              <w:pStyle w:val="16"/>
              <w:jc w:val="center"/>
              <w:rPr>
                <w:rFonts w:ascii="Arial" w:hAnsi="Arial" w:cs="Arial"/>
                <w:b/>
                <w:sz w:val="18"/>
                <w:szCs w:val="18"/>
                <w:lang w:val="en-US"/>
              </w:rPr>
            </w:pPr>
            <w:r w:rsidRPr="00BD295E">
              <w:rPr>
                <w:rFonts w:ascii="Arial" w:hAnsi="Arial" w:cs="Arial"/>
                <w:b/>
                <w:sz w:val="18"/>
                <w:szCs w:val="18"/>
                <w:lang w:val="en-US"/>
              </w:rPr>
              <w:t>2016*</w:t>
            </w:r>
          </w:p>
        </w:tc>
      </w:tr>
      <w:tr w:rsidR="008A5057" w:rsidRPr="00BD295E" w14:paraId="7DBDDDD2"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1FF951B5"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w:t>
            </w:r>
          </w:p>
        </w:tc>
        <w:tc>
          <w:tcPr>
            <w:tcW w:w="4817" w:type="dxa"/>
            <w:tcBorders>
              <w:top w:val="nil"/>
              <w:left w:val="nil"/>
              <w:bottom w:val="single" w:sz="4" w:space="0" w:color="auto"/>
              <w:right w:val="single" w:sz="4" w:space="0" w:color="auto"/>
            </w:tcBorders>
            <w:shd w:val="clear" w:color="auto" w:fill="auto"/>
            <w:hideMark/>
          </w:tcPr>
          <w:p w14:paraId="3AC0488C"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Revenue from product (services) sales, including:</w:t>
            </w:r>
          </w:p>
        </w:tc>
        <w:tc>
          <w:tcPr>
            <w:tcW w:w="1203" w:type="dxa"/>
            <w:tcBorders>
              <w:top w:val="nil"/>
              <w:left w:val="nil"/>
              <w:bottom w:val="single" w:sz="4" w:space="0" w:color="auto"/>
              <w:right w:val="single" w:sz="4" w:space="0" w:color="auto"/>
            </w:tcBorders>
            <w:shd w:val="clear" w:color="auto" w:fill="auto"/>
          </w:tcPr>
          <w:p w14:paraId="7DABFABF"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76,450</w:t>
            </w:r>
          </w:p>
        </w:tc>
        <w:tc>
          <w:tcPr>
            <w:tcW w:w="1170" w:type="dxa"/>
            <w:tcBorders>
              <w:top w:val="nil"/>
              <w:left w:val="nil"/>
              <w:bottom w:val="single" w:sz="4" w:space="0" w:color="auto"/>
              <w:right w:val="single" w:sz="4" w:space="0" w:color="auto"/>
            </w:tcBorders>
            <w:shd w:val="clear" w:color="auto" w:fill="auto"/>
            <w:hideMark/>
          </w:tcPr>
          <w:p w14:paraId="49BF7410"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74,682</w:t>
            </w:r>
          </w:p>
        </w:tc>
        <w:tc>
          <w:tcPr>
            <w:tcW w:w="1134" w:type="dxa"/>
            <w:tcBorders>
              <w:top w:val="nil"/>
              <w:left w:val="nil"/>
              <w:bottom w:val="single" w:sz="4" w:space="0" w:color="auto"/>
              <w:right w:val="single" w:sz="4" w:space="0" w:color="auto"/>
            </w:tcBorders>
            <w:shd w:val="clear" w:color="auto" w:fill="auto"/>
            <w:hideMark/>
          </w:tcPr>
          <w:p w14:paraId="50D45B42"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61,260</w:t>
            </w:r>
          </w:p>
        </w:tc>
      </w:tr>
      <w:tr w:rsidR="008A5057" w:rsidRPr="00BD295E" w14:paraId="4BAE634A"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77F3C23D"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1.1</w:t>
            </w:r>
          </w:p>
        </w:tc>
        <w:tc>
          <w:tcPr>
            <w:tcW w:w="4817" w:type="dxa"/>
            <w:tcBorders>
              <w:top w:val="nil"/>
              <w:left w:val="nil"/>
              <w:bottom w:val="single" w:sz="4" w:space="0" w:color="auto"/>
              <w:right w:val="single" w:sz="4" w:space="0" w:color="auto"/>
            </w:tcBorders>
            <w:shd w:val="clear" w:color="auto" w:fill="auto"/>
            <w:hideMark/>
          </w:tcPr>
          <w:p w14:paraId="5D6F8F3A"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From electricity distribution</w:t>
            </w:r>
          </w:p>
        </w:tc>
        <w:tc>
          <w:tcPr>
            <w:tcW w:w="1203" w:type="dxa"/>
            <w:tcBorders>
              <w:top w:val="nil"/>
              <w:left w:val="nil"/>
              <w:bottom w:val="single" w:sz="4" w:space="0" w:color="auto"/>
              <w:right w:val="single" w:sz="4" w:space="0" w:color="auto"/>
            </w:tcBorders>
            <w:shd w:val="clear" w:color="auto" w:fill="auto"/>
          </w:tcPr>
          <w:p w14:paraId="1BD681A9"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68,807</w:t>
            </w:r>
          </w:p>
        </w:tc>
        <w:tc>
          <w:tcPr>
            <w:tcW w:w="1170" w:type="dxa"/>
            <w:tcBorders>
              <w:top w:val="nil"/>
              <w:left w:val="nil"/>
              <w:bottom w:val="single" w:sz="4" w:space="0" w:color="auto"/>
              <w:right w:val="single" w:sz="4" w:space="0" w:color="auto"/>
            </w:tcBorders>
            <w:shd w:val="clear" w:color="auto" w:fill="auto"/>
            <w:hideMark/>
          </w:tcPr>
          <w:p w14:paraId="0F38DEDA"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60,600</w:t>
            </w:r>
          </w:p>
        </w:tc>
        <w:tc>
          <w:tcPr>
            <w:tcW w:w="1134" w:type="dxa"/>
            <w:tcBorders>
              <w:top w:val="nil"/>
              <w:left w:val="nil"/>
              <w:bottom w:val="single" w:sz="4" w:space="0" w:color="auto"/>
              <w:right w:val="single" w:sz="4" w:space="0" w:color="auto"/>
            </w:tcBorders>
            <w:shd w:val="clear" w:color="auto" w:fill="auto"/>
            <w:hideMark/>
          </w:tcPr>
          <w:p w14:paraId="13CA1C5A"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54,437</w:t>
            </w:r>
          </w:p>
        </w:tc>
      </w:tr>
      <w:tr w:rsidR="008A5057" w:rsidRPr="00BD295E" w14:paraId="5A4D1737"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7C23E95E"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1.2.</w:t>
            </w:r>
          </w:p>
        </w:tc>
        <w:tc>
          <w:tcPr>
            <w:tcW w:w="4817" w:type="dxa"/>
            <w:tcBorders>
              <w:top w:val="nil"/>
              <w:left w:val="nil"/>
              <w:bottom w:val="single" w:sz="4" w:space="0" w:color="auto"/>
              <w:right w:val="single" w:sz="4" w:space="0" w:color="auto"/>
            </w:tcBorders>
            <w:shd w:val="clear" w:color="auto" w:fill="auto"/>
            <w:hideMark/>
          </w:tcPr>
          <w:p w14:paraId="08BCB30A"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From grid connection</w:t>
            </w:r>
          </w:p>
        </w:tc>
        <w:tc>
          <w:tcPr>
            <w:tcW w:w="1203" w:type="dxa"/>
            <w:tcBorders>
              <w:top w:val="nil"/>
              <w:left w:val="nil"/>
              <w:bottom w:val="single" w:sz="4" w:space="0" w:color="auto"/>
              <w:right w:val="single" w:sz="4" w:space="0" w:color="auto"/>
            </w:tcBorders>
            <w:shd w:val="clear" w:color="auto" w:fill="auto"/>
          </w:tcPr>
          <w:p w14:paraId="4A2D2BB9"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7,066</w:t>
            </w:r>
          </w:p>
        </w:tc>
        <w:tc>
          <w:tcPr>
            <w:tcW w:w="1170" w:type="dxa"/>
            <w:tcBorders>
              <w:top w:val="nil"/>
              <w:left w:val="nil"/>
              <w:bottom w:val="single" w:sz="4" w:space="0" w:color="auto"/>
              <w:right w:val="single" w:sz="4" w:space="0" w:color="auto"/>
            </w:tcBorders>
            <w:shd w:val="clear" w:color="auto" w:fill="auto"/>
            <w:hideMark/>
          </w:tcPr>
          <w:p w14:paraId="41F32EAD"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13,377</w:t>
            </w:r>
          </w:p>
        </w:tc>
        <w:tc>
          <w:tcPr>
            <w:tcW w:w="1134" w:type="dxa"/>
            <w:tcBorders>
              <w:top w:val="nil"/>
              <w:left w:val="nil"/>
              <w:bottom w:val="single" w:sz="4" w:space="0" w:color="auto"/>
              <w:right w:val="single" w:sz="4" w:space="0" w:color="auto"/>
            </w:tcBorders>
            <w:shd w:val="clear" w:color="auto" w:fill="auto"/>
            <w:hideMark/>
          </w:tcPr>
          <w:p w14:paraId="29526DDA"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6,485</w:t>
            </w:r>
          </w:p>
        </w:tc>
      </w:tr>
      <w:tr w:rsidR="008A5057" w:rsidRPr="00BD295E" w14:paraId="2C0EF912"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5A807CB5"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1.3.</w:t>
            </w:r>
          </w:p>
        </w:tc>
        <w:tc>
          <w:tcPr>
            <w:tcW w:w="4817" w:type="dxa"/>
            <w:tcBorders>
              <w:top w:val="nil"/>
              <w:left w:val="nil"/>
              <w:bottom w:val="single" w:sz="4" w:space="0" w:color="auto"/>
              <w:right w:val="single" w:sz="4" w:space="0" w:color="auto"/>
            </w:tcBorders>
            <w:shd w:val="clear" w:color="auto" w:fill="auto"/>
            <w:hideMark/>
          </w:tcPr>
          <w:p w14:paraId="0E3D22E5"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From electricity distribution</w:t>
            </w:r>
          </w:p>
        </w:tc>
        <w:tc>
          <w:tcPr>
            <w:tcW w:w="1203" w:type="dxa"/>
            <w:tcBorders>
              <w:top w:val="nil"/>
              <w:left w:val="nil"/>
              <w:bottom w:val="single" w:sz="4" w:space="0" w:color="auto"/>
              <w:right w:val="single" w:sz="4" w:space="0" w:color="auto"/>
            </w:tcBorders>
            <w:shd w:val="clear" w:color="auto" w:fill="auto"/>
          </w:tcPr>
          <w:p w14:paraId="5A705753"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0</w:t>
            </w:r>
          </w:p>
        </w:tc>
        <w:tc>
          <w:tcPr>
            <w:tcW w:w="1170" w:type="dxa"/>
            <w:tcBorders>
              <w:top w:val="nil"/>
              <w:left w:val="nil"/>
              <w:bottom w:val="single" w:sz="4" w:space="0" w:color="auto"/>
              <w:right w:val="single" w:sz="4" w:space="0" w:color="auto"/>
            </w:tcBorders>
            <w:shd w:val="clear" w:color="auto" w:fill="auto"/>
            <w:hideMark/>
          </w:tcPr>
          <w:p w14:paraId="22D2E478"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0</w:t>
            </w:r>
          </w:p>
        </w:tc>
        <w:tc>
          <w:tcPr>
            <w:tcW w:w="1134" w:type="dxa"/>
            <w:tcBorders>
              <w:top w:val="nil"/>
              <w:left w:val="nil"/>
              <w:bottom w:val="single" w:sz="4" w:space="0" w:color="auto"/>
              <w:right w:val="single" w:sz="4" w:space="0" w:color="auto"/>
            </w:tcBorders>
            <w:shd w:val="clear" w:color="auto" w:fill="auto"/>
            <w:hideMark/>
          </w:tcPr>
          <w:p w14:paraId="0F9396DB"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0</w:t>
            </w:r>
          </w:p>
        </w:tc>
      </w:tr>
      <w:tr w:rsidR="008A5057" w:rsidRPr="00BD295E" w14:paraId="79A6CFA7"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5575F324"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1.4.</w:t>
            </w:r>
          </w:p>
        </w:tc>
        <w:tc>
          <w:tcPr>
            <w:tcW w:w="4817" w:type="dxa"/>
            <w:tcBorders>
              <w:top w:val="nil"/>
              <w:left w:val="nil"/>
              <w:bottom w:val="single" w:sz="4" w:space="0" w:color="auto"/>
              <w:right w:val="single" w:sz="4" w:space="0" w:color="auto"/>
            </w:tcBorders>
            <w:shd w:val="clear" w:color="auto" w:fill="auto"/>
            <w:hideMark/>
          </w:tcPr>
          <w:p w14:paraId="28FD907C"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From other activities</w:t>
            </w:r>
          </w:p>
        </w:tc>
        <w:tc>
          <w:tcPr>
            <w:tcW w:w="1203" w:type="dxa"/>
            <w:tcBorders>
              <w:top w:val="nil"/>
              <w:left w:val="nil"/>
              <w:bottom w:val="single" w:sz="4" w:space="0" w:color="auto"/>
              <w:right w:val="single" w:sz="4" w:space="0" w:color="auto"/>
            </w:tcBorders>
            <w:shd w:val="clear" w:color="auto" w:fill="auto"/>
          </w:tcPr>
          <w:p w14:paraId="229CA7CF"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577</w:t>
            </w:r>
          </w:p>
        </w:tc>
        <w:tc>
          <w:tcPr>
            <w:tcW w:w="1170" w:type="dxa"/>
            <w:tcBorders>
              <w:top w:val="nil"/>
              <w:left w:val="nil"/>
              <w:bottom w:val="single" w:sz="4" w:space="0" w:color="auto"/>
              <w:right w:val="single" w:sz="4" w:space="0" w:color="auto"/>
            </w:tcBorders>
            <w:shd w:val="clear" w:color="auto" w:fill="auto"/>
            <w:hideMark/>
          </w:tcPr>
          <w:p w14:paraId="6EDE83F7"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705</w:t>
            </w:r>
          </w:p>
        </w:tc>
        <w:tc>
          <w:tcPr>
            <w:tcW w:w="1134" w:type="dxa"/>
            <w:tcBorders>
              <w:top w:val="nil"/>
              <w:left w:val="nil"/>
              <w:bottom w:val="single" w:sz="4" w:space="0" w:color="auto"/>
              <w:right w:val="single" w:sz="4" w:space="0" w:color="auto"/>
            </w:tcBorders>
            <w:shd w:val="clear" w:color="auto" w:fill="auto"/>
            <w:hideMark/>
          </w:tcPr>
          <w:p w14:paraId="69799DC7"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338</w:t>
            </w:r>
          </w:p>
        </w:tc>
      </w:tr>
      <w:tr w:rsidR="008A5057" w:rsidRPr="00BD295E" w14:paraId="65A20F3E"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0F793D3F"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2</w:t>
            </w:r>
          </w:p>
        </w:tc>
        <w:tc>
          <w:tcPr>
            <w:tcW w:w="4817" w:type="dxa"/>
            <w:tcBorders>
              <w:top w:val="nil"/>
              <w:left w:val="nil"/>
              <w:bottom w:val="single" w:sz="4" w:space="0" w:color="auto"/>
              <w:right w:val="single" w:sz="4" w:space="0" w:color="auto"/>
            </w:tcBorders>
            <w:shd w:val="clear" w:color="auto" w:fill="auto"/>
            <w:hideMark/>
          </w:tcPr>
          <w:p w14:paraId="392F4BDD"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Costs of goods (services) sold</w:t>
            </w:r>
          </w:p>
        </w:tc>
        <w:tc>
          <w:tcPr>
            <w:tcW w:w="1203" w:type="dxa"/>
            <w:tcBorders>
              <w:top w:val="nil"/>
              <w:left w:val="nil"/>
              <w:bottom w:val="single" w:sz="4" w:space="0" w:color="auto"/>
              <w:right w:val="single" w:sz="4" w:space="0" w:color="auto"/>
            </w:tcBorders>
            <w:shd w:val="clear" w:color="auto" w:fill="auto"/>
          </w:tcPr>
          <w:p w14:paraId="667E3D0B"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-57,252</w:t>
            </w:r>
          </w:p>
        </w:tc>
        <w:tc>
          <w:tcPr>
            <w:tcW w:w="1170" w:type="dxa"/>
            <w:tcBorders>
              <w:top w:val="nil"/>
              <w:left w:val="nil"/>
              <w:bottom w:val="single" w:sz="4" w:space="0" w:color="auto"/>
              <w:right w:val="single" w:sz="4" w:space="0" w:color="auto"/>
            </w:tcBorders>
            <w:shd w:val="clear" w:color="auto" w:fill="auto"/>
            <w:hideMark/>
          </w:tcPr>
          <w:p w14:paraId="13F8AE15" w14:textId="77777777" w:rsidR="00D108C0" w:rsidRPr="00BD295E" w:rsidRDefault="008A5057" w:rsidP="009E7B27">
            <w:pPr>
              <w:tabs>
                <w:tab w:val="left" w:pos="0"/>
              </w:tabs>
              <w:contextualSpacing/>
              <w:rPr>
                <w:rFonts w:ascii="Arial" w:hAnsi="Arial" w:cs="Arial"/>
                <w:sz w:val="18"/>
                <w:szCs w:val="18"/>
                <w:lang w:val="en-US"/>
              </w:rPr>
            </w:pPr>
            <w:bookmarkStart w:id="228" w:name="_Toc5027002"/>
            <w:r w:rsidRPr="00BD295E">
              <w:rPr>
                <w:rFonts w:ascii="Arial" w:hAnsi="Arial" w:cs="Arial"/>
                <w:sz w:val="18"/>
                <w:szCs w:val="18"/>
                <w:lang w:val="en-US"/>
              </w:rPr>
              <w:t>-53,917</w:t>
            </w:r>
            <w:bookmarkEnd w:id="228"/>
          </w:p>
        </w:tc>
        <w:tc>
          <w:tcPr>
            <w:tcW w:w="1134" w:type="dxa"/>
            <w:tcBorders>
              <w:top w:val="nil"/>
              <w:left w:val="nil"/>
              <w:bottom w:val="single" w:sz="4" w:space="0" w:color="auto"/>
              <w:right w:val="single" w:sz="4" w:space="0" w:color="auto"/>
            </w:tcBorders>
            <w:shd w:val="clear" w:color="auto" w:fill="auto"/>
            <w:hideMark/>
          </w:tcPr>
          <w:p w14:paraId="463B225C"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-49,186</w:t>
            </w:r>
          </w:p>
        </w:tc>
      </w:tr>
      <w:tr w:rsidR="008A5057" w:rsidRPr="00BD295E" w14:paraId="11AE58DD"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152FA5FA"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3</w:t>
            </w:r>
          </w:p>
        </w:tc>
        <w:tc>
          <w:tcPr>
            <w:tcW w:w="4817" w:type="dxa"/>
            <w:tcBorders>
              <w:top w:val="nil"/>
              <w:left w:val="nil"/>
              <w:bottom w:val="single" w:sz="4" w:space="0" w:color="auto"/>
              <w:right w:val="single" w:sz="4" w:space="0" w:color="auto"/>
            </w:tcBorders>
            <w:shd w:val="clear" w:color="auto" w:fill="auto"/>
            <w:hideMark/>
          </w:tcPr>
          <w:p w14:paraId="5FFF233D"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Gross profit</w:t>
            </w:r>
          </w:p>
        </w:tc>
        <w:tc>
          <w:tcPr>
            <w:tcW w:w="1203" w:type="dxa"/>
            <w:tcBorders>
              <w:top w:val="nil"/>
              <w:left w:val="nil"/>
              <w:bottom w:val="single" w:sz="4" w:space="0" w:color="auto"/>
              <w:right w:val="single" w:sz="4" w:space="0" w:color="auto"/>
            </w:tcBorders>
            <w:shd w:val="clear" w:color="auto" w:fill="auto"/>
          </w:tcPr>
          <w:p w14:paraId="59F7B692"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19,198</w:t>
            </w:r>
          </w:p>
        </w:tc>
        <w:tc>
          <w:tcPr>
            <w:tcW w:w="1170" w:type="dxa"/>
            <w:tcBorders>
              <w:top w:val="nil"/>
              <w:left w:val="nil"/>
              <w:bottom w:val="single" w:sz="4" w:space="0" w:color="auto"/>
              <w:right w:val="single" w:sz="4" w:space="0" w:color="auto"/>
            </w:tcBorders>
            <w:shd w:val="clear" w:color="auto" w:fill="auto"/>
            <w:hideMark/>
          </w:tcPr>
          <w:p w14:paraId="0F23EFF6" w14:textId="77777777" w:rsidR="00D108C0" w:rsidRPr="00BD295E" w:rsidRDefault="008A5057" w:rsidP="009E7B27">
            <w:pPr>
              <w:tabs>
                <w:tab w:val="left" w:pos="0"/>
              </w:tabs>
              <w:contextualSpacing/>
              <w:rPr>
                <w:rFonts w:ascii="Arial" w:hAnsi="Arial" w:cs="Arial"/>
                <w:sz w:val="18"/>
                <w:szCs w:val="18"/>
                <w:lang w:val="en-US"/>
              </w:rPr>
            </w:pPr>
            <w:bookmarkStart w:id="229" w:name="_Toc5027003"/>
            <w:r w:rsidRPr="00BD295E">
              <w:rPr>
                <w:rFonts w:ascii="Arial" w:hAnsi="Arial" w:cs="Arial"/>
                <w:sz w:val="18"/>
                <w:szCs w:val="18"/>
                <w:lang w:val="en-US"/>
              </w:rPr>
              <w:t>20,765</w:t>
            </w:r>
            <w:bookmarkEnd w:id="229"/>
          </w:p>
        </w:tc>
        <w:tc>
          <w:tcPr>
            <w:tcW w:w="1134" w:type="dxa"/>
            <w:tcBorders>
              <w:top w:val="nil"/>
              <w:left w:val="nil"/>
              <w:bottom w:val="single" w:sz="4" w:space="0" w:color="auto"/>
              <w:right w:val="single" w:sz="4" w:space="0" w:color="auto"/>
            </w:tcBorders>
            <w:shd w:val="clear" w:color="auto" w:fill="auto"/>
            <w:hideMark/>
          </w:tcPr>
          <w:p w14:paraId="70B95993"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12,074</w:t>
            </w:r>
          </w:p>
        </w:tc>
      </w:tr>
      <w:tr w:rsidR="008A5057" w:rsidRPr="00BD295E" w14:paraId="6FF7BE90"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6893BE85"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4</w:t>
            </w:r>
          </w:p>
        </w:tc>
        <w:tc>
          <w:tcPr>
            <w:tcW w:w="4817" w:type="dxa"/>
            <w:tcBorders>
              <w:top w:val="nil"/>
              <w:left w:val="nil"/>
              <w:bottom w:val="single" w:sz="4" w:space="0" w:color="auto"/>
              <w:right w:val="single" w:sz="4" w:space="0" w:color="auto"/>
            </w:tcBorders>
            <w:shd w:val="clear" w:color="auto" w:fill="auto"/>
            <w:hideMark/>
          </w:tcPr>
          <w:p w14:paraId="0700E2EA"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Administrative expenses</w:t>
            </w:r>
          </w:p>
        </w:tc>
        <w:tc>
          <w:tcPr>
            <w:tcW w:w="1203" w:type="dxa"/>
            <w:tcBorders>
              <w:top w:val="nil"/>
              <w:left w:val="nil"/>
              <w:bottom w:val="single" w:sz="4" w:space="0" w:color="auto"/>
              <w:right w:val="single" w:sz="4" w:space="0" w:color="auto"/>
            </w:tcBorders>
            <w:shd w:val="clear" w:color="auto" w:fill="auto"/>
          </w:tcPr>
          <w:p w14:paraId="480DE261"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-198</w:t>
            </w:r>
          </w:p>
        </w:tc>
        <w:tc>
          <w:tcPr>
            <w:tcW w:w="1170" w:type="dxa"/>
            <w:tcBorders>
              <w:top w:val="nil"/>
              <w:left w:val="nil"/>
              <w:bottom w:val="single" w:sz="4" w:space="0" w:color="auto"/>
              <w:right w:val="single" w:sz="4" w:space="0" w:color="auto"/>
            </w:tcBorders>
            <w:shd w:val="clear" w:color="auto" w:fill="auto"/>
            <w:hideMark/>
          </w:tcPr>
          <w:p w14:paraId="57B285FE" w14:textId="77777777" w:rsidR="00D108C0" w:rsidRPr="00BD295E" w:rsidRDefault="008A5057" w:rsidP="009E7B27">
            <w:pPr>
              <w:tabs>
                <w:tab w:val="left" w:pos="0"/>
              </w:tabs>
              <w:contextualSpacing/>
              <w:rPr>
                <w:rFonts w:ascii="Arial" w:hAnsi="Arial" w:cs="Arial"/>
                <w:sz w:val="18"/>
                <w:szCs w:val="18"/>
                <w:lang w:val="en-US"/>
              </w:rPr>
            </w:pPr>
            <w:bookmarkStart w:id="230" w:name="_Toc5027004"/>
            <w:r w:rsidRPr="00BD295E">
              <w:rPr>
                <w:rFonts w:ascii="Arial" w:hAnsi="Arial" w:cs="Arial"/>
                <w:sz w:val="18"/>
                <w:szCs w:val="18"/>
                <w:lang w:val="en-US"/>
              </w:rPr>
              <w:t>-106</w:t>
            </w:r>
            <w:bookmarkEnd w:id="230"/>
          </w:p>
        </w:tc>
        <w:tc>
          <w:tcPr>
            <w:tcW w:w="1134" w:type="dxa"/>
            <w:tcBorders>
              <w:top w:val="nil"/>
              <w:left w:val="nil"/>
              <w:bottom w:val="single" w:sz="4" w:space="0" w:color="auto"/>
              <w:right w:val="single" w:sz="4" w:space="0" w:color="auto"/>
            </w:tcBorders>
            <w:shd w:val="clear" w:color="auto" w:fill="auto"/>
            <w:hideMark/>
          </w:tcPr>
          <w:p w14:paraId="76CB4A8B"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-110</w:t>
            </w:r>
          </w:p>
        </w:tc>
      </w:tr>
      <w:tr w:rsidR="008A5057" w:rsidRPr="00BD295E" w14:paraId="7097F74F"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0E569520"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5</w:t>
            </w:r>
          </w:p>
        </w:tc>
        <w:tc>
          <w:tcPr>
            <w:tcW w:w="4817" w:type="dxa"/>
            <w:tcBorders>
              <w:top w:val="nil"/>
              <w:left w:val="nil"/>
              <w:bottom w:val="single" w:sz="4" w:space="0" w:color="auto"/>
              <w:right w:val="single" w:sz="4" w:space="0" w:color="auto"/>
            </w:tcBorders>
            <w:shd w:val="clear" w:color="auto" w:fill="auto"/>
            <w:hideMark/>
          </w:tcPr>
          <w:p w14:paraId="2AA39503"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Selling expenses</w:t>
            </w:r>
          </w:p>
        </w:tc>
        <w:tc>
          <w:tcPr>
            <w:tcW w:w="1203" w:type="dxa"/>
            <w:tcBorders>
              <w:top w:val="nil"/>
              <w:left w:val="nil"/>
              <w:bottom w:val="single" w:sz="4" w:space="0" w:color="auto"/>
              <w:right w:val="single" w:sz="4" w:space="0" w:color="auto"/>
            </w:tcBorders>
            <w:shd w:val="clear" w:color="auto" w:fill="auto"/>
          </w:tcPr>
          <w:p w14:paraId="60986A41"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0</w:t>
            </w:r>
          </w:p>
        </w:tc>
        <w:tc>
          <w:tcPr>
            <w:tcW w:w="1170" w:type="dxa"/>
            <w:tcBorders>
              <w:top w:val="nil"/>
              <w:left w:val="nil"/>
              <w:bottom w:val="single" w:sz="4" w:space="0" w:color="auto"/>
              <w:right w:val="single" w:sz="4" w:space="0" w:color="auto"/>
            </w:tcBorders>
            <w:shd w:val="clear" w:color="auto" w:fill="auto"/>
            <w:hideMark/>
          </w:tcPr>
          <w:p w14:paraId="52313B78" w14:textId="77777777" w:rsidR="00D108C0" w:rsidRPr="00BD295E" w:rsidRDefault="008A5057" w:rsidP="009E7B27">
            <w:pPr>
              <w:tabs>
                <w:tab w:val="left" w:pos="0"/>
              </w:tabs>
              <w:contextualSpacing/>
              <w:rPr>
                <w:rFonts w:ascii="Arial" w:hAnsi="Arial" w:cs="Arial"/>
                <w:sz w:val="18"/>
                <w:szCs w:val="18"/>
                <w:lang w:val="en-US"/>
              </w:rPr>
            </w:pPr>
            <w:bookmarkStart w:id="231" w:name="_Toc5027005"/>
            <w:r w:rsidRPr="00BD295E">
              <w:rPr>
                <w:rFonts w:ascii="Arial" w:hAnsi="Arial" w:cs="Arial"/>
                <w:sz w:val="18"/>
                <w:szCs w:val="18"/>
                <w:lang w:val="en-US"/>
              </w:rPr>
              <w:t>0</w:t>
            </w:r>
            <w:bookmarkEnd w:id="231"/>
          </w:p>
        </w:tc>
        <w:tc>
          <w:tcPr>
            <w:tcW w:w="1134" w:type="dxa"/>
            <w:tcBorders>
              <w:top w:val="nil"/>
              <w:left w:val="nil"/>
              <w:bottom w:val="single" w:sz="4" w:space="0" w:color="auto"/>
              <w:right w:val="single" w:sz="4" w:space="0" w:color="auto"/>
            </w:tcBorders>
            <w:shd w:val="clear" w:color="auto" w:fill="auto"/>
            <w:hideMark/>
          </w:tcPr>
          <w:p w14:paraId="45C34E19"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0</w:t>
            </w:r>
          </w:p>
        </w:tc>
      </w:tr>
      <w:tr w:rsidR="008A5057" w:rsidRPr="00BD295E" w14:paraId="33BADD55"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10F796ED"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6</w:t>
            </w:r>
          </w:p>
        </w:tc>
        <w:tc>
          <w:tcPr>
            <w:tcW w:w="4817" w:type="dxa"/>
            <w:tcBorders>
              <w:top w:val="nil"/>
              <w:left w:val="nil"/>
              <w:bottom w:val="single" w:sz="4" w:space="0" w:color="auto"/>
              <w:right w:val="single" w:sz="4" w:space="0" w:color="auto"/>
            </w:tcBorders>
            <w:shd w:val="clear" w:color="auto" w:fill="auto"/>
            <w:hideMark/>
          </w:tcPr>
          <w:p w14:paraId="0565B414"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Profit (loss) from sales</w:t>
            </w:r>
          </w:p>
        </w:tc>
        <w:tc>
          <w:tcPr>
            <w:tcW w:w="1203" w:type="dxa"/>
            <w:tcBorders>
              <w:top w:val="nil"/>
              <w:left w:val="nil"/>
              <w:bottom w:val="single" w:sz="4" w:space="0" w:color="auto"/>
              <w:right w:val="single" w:sz="4" w:space="0" w:color="auto"/>
            </w:tcBorders>
            <w:shd w:val="clear" w:color="auto" w:fill="auto"/>
          </w:tcPr>
          <w:p w14:paraId="29BA1CAA"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19,000</w:t>
            </w:r>
          </w:p>
        </w:tc>
        <w:tc>
          <w:tcPr>
            <w:tcW w:w="1170" w:type="dxa"/>
            <w:tcBorders>
              <w:top w:val="nil"/>
              <w:left w:val="nil"/>
              <w:bottom w:val="single" w:sz="4" w:space="0" w:color="auto"/>
              <w:right w:val="single" w:sz="4" w:space="0" w:color="auto"/>
            </w:tcBorders>
            <w:shd w:val="clear" w:color="auto" w:fill="auto"/>
            <w:hideMark/>
          </w:tcPr>
          <w:p w14:paraId="63EA5E7A" w14:textId="77777777" w:rsidR="00D108C0" w:rsidRPr="00BD295E" w:rsidRDefault="008A5057" w:rsidP="009E7B27">
            <w:pPr>
              <w:tabs>
                <w:tab w:val="left" w:pos="0"/>
              </w:tabs>
              <w:contextualSpacing/>
              <w:rPr>
                <w:rFonts w:ascii="Arial" w:hAnsi="Arial" w:cs="Arial"/>
                <w:sz w:val="18"/>
                <w:szCs w:val="18"/>
                <w:lang w:val="en-US"/>
              </w:rPr>
            </w:pPr>
            <w:bookmarkStart w:id="232" w:name="_Toc5027006"/>
            <w:r w:rsidRPr="00BD295E">
              <w:rPr>
                <w:rFonts w:ascii="Arial" w:hAnsi="Arial" w:cs="Arial"/>
                <w:sz w:val="18"/>
                <w:szCs w:val="18"/>
                <w:lang w:val="en-US"/>
              </w:rPr>
              <w:t>20,659</w:t>
            </w:r>
            <w:bookmarkEnd w:id="232"/>
          </w:p>
        </w:tc>
        <w:tc>
          <w:tcPr>
            <w:tcW w:w="1134" w:type="dxa"/>
            <w:tcBorders>
              <w:top w:val="nil"/>
              <w:left w:val="nil"/>
              <w:bottom w:val="single" w:sz="4" w:space="0" w:color="auto"/>
              <w:right w:val="single" w:sz="4" w:space="0" w:color="auto"/>
            </w:tcBorders>
            <w:shd w:val="clear" w:color="auto" w:fill="auto"/>
            <w:hideMark/>
          </w:tcPr>
          <w:p w14:paraId="31375B6B"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11,965</w:t>
            </w:r>
          </w:p>
        </w:tc>
      </w:tr>
      <w:tr w:rsidR="008A5057" w:rsidRPr="00BD295E" w14:paraId="72FA5901"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22C9C7F8"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7</w:t>
            </w:r>
          </w:p>
        </w:tc>
        <w:tc>
          <w:tcPr>
            <w:tcW w:w="4817" w:type="dxa"/>
            <w:tcBorders>
              <w:top w:val="nil"/>
              <w:left w:val="nil"/>
              <w:bottom w:val="single" w:sz="4" w:space="0" w:color="auto"/>
              <w:right w:val="single" w:sz="4" w:space="0" w:color="auto"/>
            </w:tcBorders>
            <w:shd w:val="clear" w:color="auto" w:fill="auto"/>
            <w:hideMark/>
          </w:tcPr>
          <w:p w14:paraId="32093083"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Interest receivable</w:t>
            </w:r>
          </w:p>
        </w:tc>
        <w:tc>
          <w:tcPr>
            <w:tcW w:w="1203" w:type="dxa"/>
            <w:tcBorders>
              <w:top w:val="nil"/>
              <w:left w:val="nil"/>
              <w:bottom w:val="single" w:sz="4" w:space="0" w:color="auto"/>
              <w:right w:val="single" w:sz="4" w:space="0" w:color="auto"/>
            </w:tcBorders>
            <w:shd w:val="clear" w:color="auto" w:fill="auto"/>
          </w:tcPr>
          <w:p w14:paraId="2596ED01"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331</w:t>
            </w:r>
          </w:p>
        </w:tc>
        <w:tc>
          <w:tcPr>
            <w:tcW w:w="1170" w:type="dxa"/>
            <w:tcBorders>
              <w:top w:val="nil"/>
              <w:left w:val="nil"/>
              <w:bottom w:val="single" w:sz="4" w:space="0" w:color="auto"/>
              <w:right w:val="single" w:sz="4" w:space="0" w:color="auto"/>
            </w:tcBorders>
            <w:shd w:val="clear" w:color="auto" w:fill="auto"/>
            <w:hideMark/>
          </w:tcPr>
          <w:p w14:paraId="2A0F09EB"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547</w:t>
            </w:r>
          </w:p>
        </w:tc>
        <w:tc>
          <w:tcPr>
            <w:tcW w:w="1134" w:type="dxa"/>
            <w:tcBorders>
              <w:top w:val="nil"/>
              <w:left w:val="nil"/>
              <w:bottom w:val="single" w:sz="4" w:space="0" w:color="auto"/>
              <w:right w:val="single" w:sz="4" w:space="0" w:color="auto"/>
            </w:tcBorders>
            <w:shd w:val="clear" w:color="auto" w:fill="auto"/>
            <w:hideMark/>
          </w:tcPr>
          <w:p w14:paraId="1DFC4BF3"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1,845</w:t>
            </w:r>
          </w:p>
        </w:tc>
      </w:tr>
      <w:tr w:rsidR="008A5057" w:rsidRPr="00BD295E" w14:paraId="43DA5F5F"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09357041"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8</w:t>
            </w:r>
          </w:p>
        </w:tc>
        <w:tc>
          <w:tcPr>
            <w:tcW w:w="4817" w:type="dxa"/>
            <w:tcBorders>
              <w:top w:val="nil"/>
              <w:left w:val="nil"/>
              <w:bottom w:val="single" w:sz="4" w:space="0" w:color="auto"/>
              <w:right w:val="single" w:sz="4" w:space="0" w:color="auto"/>
            </w:tcBorders>
            <w:shd w:val="clear" w:color="auto" w:fill="auto"/>
            <w:hideMark/>
          </w:tcPr>
          <w:p w14:paraId="62202EE0"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Interest payable</w:t>
            </w:r>
          </w:p>
        </w:tc>
        <w:tc>
          <w:tcPr>
            <w:tcW w:w="1203" w:type="dxa"/>
            <w:tcBorders>
              <w:top w:val="nil"/>
              <w:left w:val="nil"/>
              <w:bottom w:val="single" w:sz="4" w:space="0" w:color="auto"/>
              <w:right w:val="single" w:sz="4" w:space="0" w:color="auto"/>
            </w:tcBorders>
            <w:shd w:val="clear" w:color="auto" w:fill="auto"/>
          </w:tcPr>
          <w:p w14:paraId="07B3293C"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-1,065</w:t>
            </w:r>
          </w:p>
        </w:tc>
        <w:tc>
          <w:tcPr>
            <w:tcW w:w="1170" w:type="dxa"/>
            <w:tcBorders>
              <w:top w:val="nil"/>
              <w:left w:val="nil"/>
              <w:bottom w:val="single" w:sz="4" w:space="0" w:color="auto"/>
              <w:right w:val="single" w:sz="4" w:space="0" w:color="auto"/>
            </w:tcBorders>
            <w:shd w:val="clear" w:color="auto" w:fill="auto"/>
            <w:hideMark/>
          </w:tcPr>
          <w:p w14:paraId="7F419ED0" w14:textId="77777777" w:rsidR="00D108C0" w:rsidRPr="00BD295E" w:rsidRDefault="008A5057" w:rsidP="009E7B27">
            <w:pPr>
              <w:tabs>
                <w:tab w:val="left" w:pos="0"/>
              </w:tabs>
              <w:contextualSpacing/>
              <w:rPr>
                <w:rFonts w:ascii="Arial" w:hAnsi="Arial" w:cs="Arial"/>
                <w:sz w:val="18"/>
                <w:szCs w:val="18"/>
                <w:lang w:val="en-US"/>
              </w:rPr>
            </w:pPr>
            <w:bookmarkStart w:id="233" w:name="_Toc5027007"/>
            <w:r w:rsidRPr="00BD295E">
              <w:rPr>
                <w:rFonts w:ascii="Arial" w:hAnsi="Arial" w:cs="Arial"/>
                <w:sz w:val="18"/>
                <w:szCs w:val="18"/>
                <w:lang w:val="en-US"/>
              </w:rPr>
              <w:t>-1,383</w:t>
            </w:r>
            <w:bookmarkEnd w:id="233"/>
          </w:p>
        </w:tc>
        <w:tc>
          <w:tcPr>
            <w:tcW w:w="1134" w:type="dxa"/>
            <w:tcBorders>
              <w:top w:val="nil"/>
              <w:left w:val="nil"/>
              <w:bottom w:val="single" w:sz="4" w:space="0" w:color="auto"/>
              <w:right w:val="single" w:sz="4" w:space="0" w:color="auto"/>
            </w:tcBorders>
            <w:shd w:val="clear" w:color="auto" w:fill="auto"/>
            <w:hideMark/>
          </w:tcPr>
          <w:p w14:paraId="13767E5D"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-1,730</w:t>
            </w:r>
          </w:p>
        </w:tc>
      </w:tr>
      <w:tr w:rsidR="008A5057" w:rsidRPr="00BD295E" w14:paraId="5ECC8B45"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2B899216"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9</w:t>
            </w:r>
          </w:p>
        </w:tc>
        <w:tc>
          <w:tcPr>
            <w:tcW w:w="4817" w:type="dxa"/>
            <w:tcBorders>
              <w:top w:val="nil"/>
              <w:left w:val="nil"/>
              <w:bottom w:val="single" w:sz="4" w:space="0" w:color="auto"/>
              <w:right w:val="single" w:sz="4" w:space="0" w:color="auto"/>
            </w:tcBorders>
            <w:shd w:val="clear" w:color="auto" w:fill="auto"/>
            <w:hideMark/>
          </w:tcPr>
          <w:p w14:paraId="57B60FE9"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Income from interests in other organizations</w:t>
            </w:r>
          </w:p>
        </w:tc>
        <w:tc>
          <w:tcPr>
            <w:tcW w:w="1203" w:type="dxa"/>
            <w:tcBorders>
              <w:top w:val="nil"/>
              <w:left w:val="nil"/>
              <w:bottom w:val="single" w:sz="4" w:space="0" w:color="auto"/>
              <w:right w:val="single" w:sz="4" w:space="0" w:color="auto"/>
            </w:tcBorders>
            <w:shd w:val="clear" w:color="auto" w:fill="auto"/>
          </w:tcPr>
          <w:p w14:paraId="7E8D4724"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w:t>
            </w:r>
          </w:p>
        </w:tc>
        <w:tc>
          <w:tcPr>
            <w:tcW w:w="1170" w:type="dxa"/>
            <w:tcBorders>
              <w:top w:val="nil"/>
              <w:left w:val="nil"/>
              <w:bottom w:val="single" w:sz="4" w:space="0" w:color="auto"/>
              <w:right w:val="single" w:sz="4" w:space="0" w:color="auto"/>
            </w:tcBorders>
            <w:shd w:val="clear" w:color="auto" w:fill="auto"/>
            <w:hideMark/>
          </w:tcPr>
          <w:p w14:paraId="0CEF26B1" w14:textId="77777777" w:rsidR="00D108C0" w:rsidRPr="00BD295E" w:rsidRDefault="008A5057" w:rsidP="009E7B27">
            <w:pPr>
              <w:tabs>
                <w:tab w:val="left" w:pos="0"/>
              </w:tabs>
              <w:contextualSpacing/>
              <w:rPr>
                <w:rFonts w:ascii="Arial" w:hAnsi="Arial" w:cs="Arial"/>
                <w:sz w:val="18"/>
                <w:szCs w:val="18"/>
                <w:lang w:val="en-US"/>
              </w:rPr>
            </w:pPr>
            <w:bookmarkStart w:id="234" w:name="_Toc5027008"/>
            <w:r w:rsidRPr="00BD295E">
              <w:rPr>
                <w:rFonts w:ascii="Arial" w:hAnsi="Arial" w:cs="Arial"/>
                <w:sz w:val="18"/>
                <w:szCs w:val="18"/>
                <w:lang w:val="en-US"/>
              </w:rPr>
              <w:t>1</w:t>
            </w:r>
            <w:bookmarkEnd w:id="234"/>
          </w:p>
        </w:tc>
        <w:tc>
          <w:tcPr>
            <w:tcW w:w="1134" w:type="dxa"/>
            <w:tcBorders>
              <w:top w:val="nil"/>
              <w:left w:val="nil"/>
              <w:bottom w:val="single" w:sz="4" w:space="0" w:color="auto"/>
              <w:right w:val="single" w:sz="4" w:space="0" w:color="auto"/>
            </w:tcBorders>
            <w:shd w:val="clear" w:color="auto" w:fill="auto"/>
            <w:hideMark/>
          </w:tcPr>
          <w:p w14:paraId="4DAC1C75"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w:t>
            </w:r>
          </w:p>
        </w:tc>
      </w:tr>
      <w:tr w:rsidR="008A5057" w:rsidRPr="00BD295E" w14:paraId="7ED9A894"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6807BCF1"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10</w:t>
            </w:r>
          </w:p>
        </w:tc>
        <w:tc>
          <w:tcPr>
            <w:tcW w:w="4817" w:type="dxa"/>
            <w:tcBorders>
              <w:top w:val="nil"/>
              <w:left w:val="nil"/>
              <w:bottom w:val="single" w:sz="4" w:space="0" w:color="auto"/>
              <w:right w:val="single" w:sz="4" w:space="0" w:color="auto"/>
            </w:tcBorders>
            <w:shd w:val="clear" w:color="auto" w:fill="auto"/>
            <w:hideMark/>
          </w:tcPr>
          <w:p w14:paraId="0BE85274"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Other income</w:t>
            </w:r>
          </w:p>
        </w:tc>
        <w:tc>
          <w:tcPr>
            <w:tcW w:w="1203" w:type="dxa"/>
            <w:tcBorders>
              <w:top w:val="nil"/>
              <w:left w:val="nil"/>
              <w:bottom w:val="single" w:sz="4" w:space="0" w:color="auto"/>
              <w:right w:val="single" w:sz="4" w:space="0" w:color="auto"/>
            </w:tcBorders>
            <w:shd w:val="clear" w:color="auto" w:fill="auto"/>
          </w:tcPr>
          <w:p w14:paraId="6AAFEB01"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4,091</w:t>
            </w:r>
          </w:p>
        </w:tc>
        <w:tc>
          <w:tcPr>
            <w:tcW w:w="1170" w:type="dxa"/>
            <w:tcBorders>
              <w:top w:val="nil"/>
              <w:left w:val="nil"/>
              <w:bottom w:val="single" w:sz="4" w:space="0" w:color="auto"/>
              <w:right w:val="single" w:sz="4" w:space="0" w:color="auto"/>
            </w:tcBorders>
            <w:shd w:val="clear" w:color="auto" w:fill="auto"/>
            <w:hideMark/>
          </w:tcPr>
          <w:p w14:paraId="79D76E69" w14:textId="77777777" w:rsidR="00D108C0" w:rsidRPr="00BD295E" w:rsidRDefault="008A5057" w:rsidP="009E7B27">
            <w:pPr>
              <w:tabs>
                <w:tab w:val="left" w:pos="0"/>
              </w:tabs>
              <w:contextualSpacing/>
              <w:rPr>
                <w:rFonts w:ascii="Arial" w:hAnsi="Arial" w:cs="Arial"/>
                <w:sz w:val="18"/>
                <w:szCs w:val="18"/>
                <w:lang w:val="en-US"/>
              </w:rPr>
            </w:pPr>
            <w:bookmarkStart w:id="235" w:name="_Toc5027009"/>
            <w:r w:rsidRPr="00BD295E">
              <w:rPr>
                <w:rFonts w:ascii="Arial" w:hAnsi="Arial" w:cs="Arial"/>
                <w:sz w:val="18"/>
                <w:szCs w:val="18"/>
                <w:lang w:val="en-US"/>
              </w:rPr>
              <w:t>5,174</w:t>
            </w:r>
            <w:bookmarkEnd w:id="235"/>
          </w:p>
        </w:tc>
        <w:tc>
          <w:tcPr>
            <w:tcW w:w="1134" w:type="dxa"/>
            <w:tcBorders>
              <w:top w:val="nil"/>
              <w:left w:val="nil"/>
              <w:bottom w:val="single" w:sz="4" w:space="0" w:color="auto"/>
              <w:right w:val="single" w:sz="4" w:space="0" w:color="auto"/>
            </w:tcBorders>
            <w:shd w:val="clear" w:color="auto" w:fill="auto"/>
            <w:hideMark/>
          </w:tcPr>
          <w:p w14:paraId="58B3A54F"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6,779</w:t>
            </w:r>
          </w:p>
        </w:tc>
      </w:tr>
      <w:tr w:rsidR="008A5057" w:rsidRPr="00BD295E" w14:paraId="7BF0CD71"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7F2530A5"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11</w:t>
            </w:r>
          </w:p>
        </w:tc>
        <w:tc>
          <w:tcPr>
            <w:tcW w:w="4817" w:type="dxa"/>
            <w:tcBorders>
              <w:top w:val="nil"/>
              <w:left w:val="nil"/>
              <w:bottom w:val="single" w:sz="4" w:space="0" w:color="auto"/>
              <w:right w:val="single" w:sz="4" w:space="0" w:color="auto"/>
            </w:tcBorders>
            <w:shd w:val="clear" w:color="auto" w:fill="auto"/>
            <w:hideMark/>
          </w:tcPr>
          <w:p w14:paraId="50C825F2"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Other expenses</w:t>
            </w:r>
          </w:p>
        </w:tc>
        <w:tc>
          <w:tcPr>
            <w:tcW w:w="1203" w:type="dxa"/>
            <w:tcBorders>
              <w:top w:val="nil"/>
              <w:left w:val="nil"/>
              <w:bottom w:val="single" w:sz="4" w:space="0" w:color="auto"/>
              <w:right w:val="single" w:sz="4" w:space="0" w:color="auto"/>
            </w:tcBorders>
            <w:shd w:val="clear" w:color="auto" w:fill="auto"/>
          </w:tcPr>
          <w:p w14:paraId="2964A66F"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-8,679</w:t>
            </w:r>
          </w:p>
        </w:tc>
        <w:tc>
          <w:tcPr>
            <w:tcW w:w="1170" w:type="dxa"/>
            <w:tcBorders>
              <w:top w:val="nil"/>
              <w:left w:val="nil"/>
              <w:bottom w:val="single" w:sz="4" w:space="0" w:color="auto"/>
              <w:right w:val="single" w:sz="4" w:space="0" w:color="auto"/>
            </w:tcBorders>
            <w:shd w:val="clear" w:color="auto" w:fill="auto"/>
            <w:hideMark/>
          </w:tcPr>
          <w:p w14:paraId="1551AAEC" w14:textId="77777777" w:rsidR="00D108C0" w:rsidRPr="00BD295E" w:rsidRDefault="008A5057" w:rsidP="009E7B27">
            <w:pPr>
              <w:tabs>
                <w:tab w:val="left" w:pos="0"/>
              </w:tabs>
              <w:contextualSpacing/>
              <w:rPr>
                <w:rFonts w:ascii="Arial" w:hAnsi="Arial" w:cs="Arial"/>
                <w:sz w:val="18"/>
                <w:szCs w:val="18"/>
                <w:lang w:val="en-US"/>
              </w:rPr>
            </w:pPr>
            <w:bookmarkStart w:id="236" w:name="_Toc5027010"/>
            <w:r w:rsidRPr="00BD295E">
              <w:rPr>
                <w:rFonts w:ascii="Arial" w:hAnsi="Arial" w:cs="Arial"/>
                <w:sz w:val="18"/>
                <w:szCs w:val="18"/>
                <w:lang w:val="en-US"/>
              </w:rPr>
              <w:t>-8,281</w:t>
            </w:r>
            <w:bookmarkEnd w:id="236"/>
          </w:p>
        </w:tc>
        <w:tc>
          <w:tcPr>
            <w:tcW w:w="1134" w:type="dxa"/>
            <w:tcBorders>
              <w:top w:val="nil"/>
              <w:left w:val="nil"/>
              <w:bottom w:val="single" w:sz="4" w:space="0" w:color="auto"/>
              <w:right w:val="single" w:sz="4" w:space="0" w:color="auto"/>
            </w:tcBorders>
            <w:shd w:val="clear" w:color="auto" w:fill="auto"/>
            <w:hideMark/>
          </w:tcPr>
          <w:p w14:paraId="7916D4DB"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-8,646</w:t>
            </w:r>
          </w:p>
        </w:tc>
      </w:tr>
      <w:tr w:rsidR="008A5057" w:rsidRPr="00BD295E" w14:paraId="6B83B24B"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600659DD"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12</w:t>
            </w:r>
          </w:p>
        </w:tc>
        <w:tc>
          <w:tcPr>
            <w:tcW w:w="4817" w:type="dxa"/>
            <w:tcBorders>
              <w:top w:val="nil"/>
              <w:left w:val="nil"/>
              <w:bottom w:val="single" w:sz="4" w:space="0" w:color="auto"/>
              <w:right w:val="single" w:sz="4" w:space="0" w:color="auto"/>
            </w:tcBorders>
            <w:shd w:val="clear" w:color="auto" w:fill="auto"/>
            <w:hideMark/>
          </w:tcPr>
          <w:p w14:paraId="6EB27030"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Profit (loss) before tax</w:t>
            </w:r>
          </w:p>
        </w:tc>
        <w:tc>
          <w:tcPr>
            <w:tcW w:w="1203" w:type="dxa"/>
            <w:tcBorders>
              <w:top w:val="nil"/>
              <w:left w:val="nil"/>
              <w:bottom w:val="single" w:sz="4" w:space="0" w:color="auto"/>
              <w:right w:val="single" w:sz="4" w:space="0" w:color="auto"/>
            </w:tcBorders>
            <w:shd w:val="clear" w:color="auto" w:fill="auto"/>
          </w:tcPr>
          <w:p w14:paraId="4E86D9C6"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13,678</w:t>
            </w:r>
          </w:p>
        </w:tc>
        <w:tc>
          <w:tcPr>
            <w:tcW w:w="1170" w:type="dxa"/>
            <w:tcBorders>
              <w:top w:val="nil"/>
              <w:left w:val="nil"/>
              <w:bottom w:val="single" w:sz="4" w:space="0" w:color="auto"/>
              <w:right w:val="single" w:sz="4" w:space="0" w:color="auto"/>
            </w:tcBorders>
            <w:shd w:val="clear" w:color="auto" w:fill="auto"/>
            <w:hideMark/>
          </w:tcPr>
          <w:p w14:paraId="265D4FFB" w14:textId="77777777" w:rsidR="00D108C0" w:rsidRPr="00BD295E" w:rsidRDefault="008A5057" w:rsidP="009E7B27">
            <w:pPr>
              <w:tabs>
                <w:tab w:val="left" w:pos="0"/>
              </w:tabs>
              <w:contextualSpacing/>
              <w:rPr>
                <w:rFonts w:ascii="Arial" w:hAnsi="Arial" w:cs="Arial"/>
                <w:sz w:val="18"/>
                <w:szCs w:val="18"/>
                <w:lang w:val="en-US"/>
              </w:rPr>
            </w:pPr>
            <w:bookmarkStart w:id="237" w:name="_Toc5027011"/>
            <w:r w:rsidRPr="00BD295E">
              <w:rPr>
                <w:rFonts w:ascii="Arial" w:hAnsi="Arial" w:cs="Arial"/>
                <w:sz w:val="18"/>
                <w:szCs w:val="18"/>
                <w:lang w:val="en-US"/>
              </w:rPr>
              <w:t>16,717</w:t>
            </w:r>
            <w:bookmarkEnd w:id="237"/>
          </w:p>
        </w:tc>
        <w:tc>
          <w:tcPr>
            <w:tcW w:w="1134" w:type="dxa"/>
            <w:tcBorders>
              <w:top w:val="nil"/>
              <w:left w:val="nil"/>
              <w:bottom w:val="single" w:sz="4" w:space="0" w:color="auto"/>
              <w:right w:val="single" w:sz="4" w:space="0" w:color="auto"/>
            </w:tcBorders>
            <w:shd w:val="clear" w:color="auto" w:fill="auto"/>
            <w:hideMark/>
          </w:tcPr>
          <w:p w14:paraId="64D21BDC"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10,214</w:t>
            </w:r>
          </w:p>
        </w:tc>
      </w:tr>
      <w:tr w:rsidR="008A5057" w:rsidRPr="00BD295E" w14:paraId="65228315"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365BCC40"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13</w:t>
            </w:r>
          </w:p>
        </w:tc>
        <w:tc>
          <w:tcPr>
            <w:tcW w:w="4817" w:type="dxa"/>
            <w:tcBorders>
              <w:top w:val="nil"/>
              <w:left w:val="nil"/>
              <w:bottom w:val="single" w:sz="4" w:space="0" w:color="auto"/>
              <w:right w:val="single" w:sz="4" w:space="0" w:color="auto"/>
            </w:tcBorders>
            <w:shd w:val="clear" w:color="auto" w:fill="auto"/>
            <w:hideMark/>
          </w:tcPr>
          <w:p w14:paraId="7AB78764"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Profit tax and other payments</w:t>
            </w:r>
          </w:p>
        </w:tc>
        <w:tc>
          <w:tcPr>
            <w:tcW w:w="1203" w:type="dxa"/>
            <w:tcBorders>
              <w:top w:val="nil"/>
              <w:left w:val="nil"/>
              <w:bottom w:val="single" w:sz="4" w:space="0" w:color="auto"/>
              <w:right w:val="single" w:sz="4" w:space="0" w:color="auto"/>
            </w:tcBorders>
            <w:shd w:val="clear" w:color="auto" w:fill="auto"/>
          </w:tcPr>
          <w:p w14:paraId="6DD206DB"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-3,292</w:t>
            </w:r>
          </w:p>
        </w:tc>
        <w:tc>
          <w:tcPr>
            <w:tcW w:w="1170" w:type="dxa"/>
            <w:tcBorders>
              <w:top w:val="nil"/>
              <w:left w:val="nil"/>
              <w:bottom w:val="single" w:sz="4" w:space="0" w:color="auto"/>
              <w:right w:val="single" w:sz="4" w:space="0" w:color="auto"/>
            </w:tcBorders>
            <w:shd w:val="clear" w:color="auto" w:fill="auto"/>
            <w:hideMark/>
          </w:tcPr>
          <w:p w14:paraId="2D5DDF65"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-4,156</w:t>
            </w:r>
          </w:p>
        </w:tc>
        <w:tc>
          <w:tcPr>
            <w:tcW w:w="1134" w:type="dxa"/>
            <w:tcBorders>
              <w:top w:val="nil"/>
              <w:left w:val="nil"/>
              <w:bottom w:val="single" w:sz="4" w:space="0" w:color="auto"/>
              <w:right w:val="single" w:sz="4" w:space="0" w:color="auto"/>
            </w:tcBorders>
            <w:shd w:val="clear" w:color="auto" w:fill="auto"/>
            <w:hideMark/>
          </w:tcPr>
          <w:p w14:paraId="054FE576"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-2,652</w:t>
            </w:r>
          </w:p>
        </w:tc>
      </w:tr>
      <w:tr w:rsidR="008A5057" w:rsidRPr="00BD295E" w14:paraId="6A527436"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780BA4B4"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14</w:t>
            </w:r>
          </w:p>
        </w:tc>
        <w:tc>
          <w:tcPr>
            <w:tcW w:w="4817" w:type="dxa"/>
            <w:tcBorders>
              <w:top w:val="nil"/>
              <w:left w:val="nil"/>
              <w:bottom w:val="single" w:sz="4" w:space="0" w:color="auto"/>
              <w:right w:val="single" w:sz="4" w:space="0" w:color="auto"/>
            </w:tcBorders>
            <w:shd w:val="clear" w:color="auto" w:fill="auto"/>
            <w:hideMark/>
          </w:tcPr>
          <w:p w14:paraId="71BA72B1"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Net profit (loss)</w:t>
            </w:r>
          </w:p>
        </w:tc>
        <w:tc>
          <w:tcPr>
            <w:tcW w:w="1203" w:type="dxa"/>
            <w:tcBorders>
              <w:top w:val="nil"/>
              <w:left w:val="nil"/>
              <w:bottom w:val="single" w:sz="4" w:space="0" w:color="auto"/>
              <w:right w:val="single" w:sz="4" w:space="0" w:color="auto"/>
            </w:tcBorders>
            <w:shd w:val="clear" w:color="auto" w:fill="auto"/>
          </w:tcPr>
          <w:p w14:paraId="18CEE052"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10,386</w:t>
            </w:r>
          </w:p>
        </w:tc>
        <w:tc>
          <w:tcPr>
            <w:tcW w:w="1170" w:type="dxa"/>
            <w:tcBorders>
              <w:top w:val="nil"/>
              <w:left w:val="nil"/>
              <w:bottom w:val="single" w:sz="4" w:space="0" w:color="auto"/>
              <w:right w:val="single" w:sz="4" w:space="0" w:color="auto"/>
            </w:tcBorders>
            <w:shd w:val="clear" w:color="auto" w:fill="auto"/>
            <w:hideMark/>
          </w:tcPr>
          <w:p w14:paraId="5380728B"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12,561</w:t>
            </w:r>
          </w:p>
        </w:tc>
        <w:tc>
          <w:tcPr>
            <w:tcW w:w="1134" w:type="dxa"/>
            <w:tcBorders>
              <w:top w:val="nil"/>
              <w:left w:val="nil"/>
              <w:bottom w:val="single" w:sz="4" w:space="0" w:color="auto"/>
              <w:right w:val="single" w:sz="4" w:space="0" w:color="auto"/>
            </w:tcBorders>
            <w:shd w:val="clear" w:color="auto" w:fill="auto"/>
            <w:hideMark/>
          </w:tcPr>
          <w:p w14:paraId="01B726A7"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7,561</w:t>
            </w:r>
          </w:p>
        </w:tc>
      </w:tr>
      <w:tr w:rsidR="008A5057" w:rsidRPr="00BD295E" w14:paraId="57EDEB38" w14:textId="77777777" w:rsidTr="009E7B27">
        <w:trPr>
          <w:trHeight w:val="20"/>
          <w:jc w:val="center"/>
        </w:trPr>
        <w:tc>
          <w:tcPr>
            <w:tcW w:w="960" w:type="dxa"/>
            <w:tcBorders>
              <w:top w:val="nil"/>
              <w:left w:val="single" w:sz="4" w:space="0" w:color="auto"/>
              <w:bottom w:val="single" w:sz="4" w:space="0" w:color="auto"/>
              <w:right w:val="single" w:sz="4" w:space="0" w:color="auto"/>
            </w:tcBorders>
            <w:shd w:val="clear" w:color="auto" w:fill="auto"/>
            <w:hideMark/>
          </w:tcPr>
          <w:p w14:paraId="78412783"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15</w:t>
            </w:r>
          </w:p>
        </w:tc>
        <w:tc>
          <w:tcPr>
            <w:tcW w:w="4817" w:type="dxa"/>
            <w:tcBorders>
              <w:top w:val="nil"/>
              <w:left w:val="nil"/>
              <w:bottom w:val="single" w:sz="4" w:space="0" w:color="auto"/>
              <w:right w:val="single" w:sz="4" w:space="0" w:color="auto"/>
            </w:tcBorders>
            <w:shd w:val="clear" w:color="auto" w:fill="auto"/>
            <w:hideMark/>
          </w:tcPr>
          <w:p w14:paraId="7695D302"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EBITDA**</w:t>
            </w:r>
          </w:p>
        </w:tc>
        <w:tc>
          <w:tcPr>
            <w:tcW w:w="1203" w:type="dxa"/>
            <w:tcBorders>
              <w:top w:val="nil"/>
              <w:left w:val="nil"/>
              <w:bottom w:val="single" w:sz="4" w:space="0" w:color="auto"/>
              <w:right w:val="single" w:sz="4" w:space="0" w:color="auto"/>
            </w:tcBorders>
            <w:shd w:val="clear" w:color="auto" w:fill="auto"/>
          </w:tcPr>
          <w:p w14:paraId="6CCCEED5"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26,328</w:t>
            </w:r>
          </w:p>
        </w:tc>
        <w:tc>
          <w:tcPr>
            <w:tcW w:w="1170" w:type="dxa"/>
            <w:tcBorders>
              <w:top w:val="nil"/>
              <w:left w:val="nil"/>
              <w:bottom w:val="single" w:sz="4" w:space="0" w:color="auto"/>
              <w:right w:val="single" w:sz="4" w:space="0" w:color="auto"/>
            </w:tcBorders>
            <w:shd w:val="clear" w:color="auto" w:fill="auto"/>
            <w:hideMark/>
          </w:tcPr>
          <w:p w14:paraId="0CF34C01"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28,531</w:t>
            </w:r>
          </w:p>
        </w:tc>
        <w:tc>
          <w:tcPr>
            <w:tcW w:w="1134" w:type="dxa"/>
            <w:tcBorders>
              <w:top w:val="nil"/>
              <w:left w:val="nil"/>
              <w:bottom w:val="single" w:sz="4" w:space="0" w:color="auto"/>
              <w:right w:val="single" w:sz="4" w:space="0" w:color="auto"/>
            </w:tcBorders>
            <w:shd w:val="clear" w:color="auto" w:fill="auto"/>
            <w:hideMark/>
          </w:tcPr>
          <w:p w14:paraId="6CB7881E" w14:textId="77777777" w:rsidR="00D108C0" w:rsidRPr="00BD295E" w:rsidRDefault="008A5057" w:rsidP="009E7B27">
            <w:pPr>
              <w:tabs>
                <w:tab w:val="left" w:pos="0"/>
              </w:tabs>
              <w:contextualSpacing/>
              <w:rPr>
                <w:rFonts w:ascii="Arial" w:hAnsi="Arial" w:cs="Arial"/>
                <w:sz w:val="18"/>
                <w:szCs w:val="18"/>
                <w:lang w:val="en-US"/>
              </w:rPr>
            </w:pPr>
            <w:r w:rsidRPr="00BD295E">
              <w:rPr>
                <w:rFonts w:ascii="Arial" w:hAnsi="Arial" w:cs="Arial"/>
                <w:sz w:val="18"/>
                <w:szCs w:val="18"/>
                <w:lang w:val="en-US"/>
              </w:rPr>
              <w:t>21,661</w:t>
            </w:r>
          </w:p>
        </w:tc>
      </w:tr>
    </w:tbl>
    <w:p w14:paraId="5D65BB27" w14:textId="77777777" w:rsidR="00D108C0" w:rsidRPr="00BD295E" w:rsidRDefault="008A5057" w:rsidP="00D108C0">
      <w:pPr>
        <w:tabs>
          <w:tab w:val="left" w:pos="1134"/>
        </w:tabs>
        <w:jc w:val="both"/>
        <w:rPr>
          <w:rFonts w:ascii="Arial" w:hAnsi="Arial" w:cs="Arial"/>
          <w:iCs/>
          <w:sz w:val="12"/>
          <w:szCs w:val="12"/>
          <w:lang w:val="en-US"/>
        </w:rPr>
      </w:pPr>
      <w:r w:rsidRPr="00BD295E">
        <w:rPr>
          <w:rFonts w:ascii="Arial" w:hAnsi="Arial" w:cs="Arial"/>
          <w:iCs/>
          <w:sz w:val="12"/>
          <w:szCs w:val="12"/>
          <w:lang w:val="en-US"/>
        </w:rPr>
        <w:t>* Data for 2016–2017 are shown in line with the annual financial statements for 2018, subject to retrospective recognition of data</w:t>
      </w:r>
    </w:p>
    <w:p w14:paraId="22C9B205" w14:textId="77777777" w:rsidR="00D108C0" w:rsidRPr="00BD295E" w:rsidRDefault="008A5057" w:rsidP="00D108C0">
      <w:pPr>
        <w:tabs>
          <w:tab w:val="left" w:pos="1134"/>
        </w:tabs>
        <w:jc w:val="both"/>
        <w:rPr>
          <w:rFonts w:ascii="Arial" w:hAnsi="Arial" w:cs="Arial"/>
          <w:iCs/>
          <w:sz w:val="12"/>
          <w:szCs w:val="12"/>
          <w:lang w:val="en-US"/>
        </w:rPr>
      </w:pPr>
      <w:r w:rsidRPr="00BD295E">
        <w:rPr>
          <w:rFonts w:ascii="Arial" w:hAnsi="Arial" w:cs="Arial"/>
          <w:sz w:val="12"/>
          <w:szCs w:val="12"/>
          <w:lang w:val="en-US"/>
        </w:rPr>
        <w:t>** EBITDA is shown less net provision for impairment of debt financial investments (2016–2018A) using the formula below:</w:t>
      </w:r>
      <w:r w:rsidRPr="00BD295E">
        <w:rPr>
          <w:rFonts w:ascii="Arial" w:hAnsi="Arial" w:cs="Arial"/>
          <w:iCs/>
          <w:sz w:val="12"/>
          <w:szCs w:val="12"/>
          <w:lang w:val="en-US"/>
        </w:rPr>
        <w:t xml:space="preserve"> </w:t>
      </w:r>
      <w:r w:rsidRPr="00BD295E">
        <w:rPr>
          <w:rFonts w:ascii="Arial" w:hAnsi="Arial" w:cs="Arial"/>
          <w:sz w:val="12"/>
          <w:szCs w:val="12"/>
          <w:lang w:val="en-US"/>
        </w:rPr>
        <w:t>EBITDA = Earnings Before Interest, Tax, Depreciation and Amortization less net provision for impairment of debt-based financial investments = Line 2300 f.+ | line 2330 f. 2 | + line 6514 f Explanatory Note 2.1 + line 6554 f. Explanatory Note 2.1. + line 6564 f. Explanatory Note 2.1. - Net provision for impairment of debt financial investments</w:t>
      </w:r>
    </w:p>
    <w:p w14:paraId="2EBF1E0B" w14:textId="77777777" w:rsidR="00D108C0" w:rsidRPr="00BD295E" w:rsidRDefault="00D108C0" w:rsidP="00D108C0">
      <w:pPr>
        <w:tabs>
          <w:tab w:val="left" w:pos="1134"/>
        </w:tabs>
        <w:jc w:val="both"/>
        <w:rPr>
          <w:rFonts w:ascii="Arial" w:hAnsi="Arial" w:cs="Arial"/>
          <w:iCs/>
          <w:sz w:val="18"/>
          <w:szCs w:val="18"/>
          <w:lang w:val="en-US"/>
        </w:rPr>
      </w:pPr>
    </w:p>
    <w:p w14:paraId="74F0569F" w14:textId="77777777" w:rsidR="00D108C0" w:rsidRPr="00BD295E" w:rsidRDefault="008A5057" w:rsidP="000E42B1">
      <w:pPr>
        <w:tabs>
          <w:tab w:val="left" w:pos="0"/>
        </w:tabs>
        <w:jc w:val="both"/>
        <w:rPr>
          <w:rFonts w:ascii="Arial" w:hAnsi="Arial" w:cs="Arial"/>
          <w:sz w:val="18"/>
          <w:szCs w:val="18"/>
          <w:lang w:val="en-US"/>
        </w:rPr>
      </w:pPr>
      <w:r w:rsidRPr="00BD295E">
        <w:rPr>
          <w:rFonts w:ascii="Arial" w:hAnsi="Arial" w:cs="Arial"/>
          <w:b/>
          <w:bCs/>
          <w:sz w:val="18"/>
          <w:szCs w:val="18"/>
          <w:lang w:val="en-US"/>
        </w:rPr>
        <w:t>Revenue</w:t>
      </w:r>
      <w:r w:rsidRPr="00BD295E">
        <w:rPr>
          <w:rFonts w:ascii="Arial" w:hAnsi="Arial" w:cs="Arial"/>
          <w:sz w:val="18"/>
          <w:szCs w:val="18"/>
          <w:lang w:val="en-US"/>
        </w:rPr>
        <w:t xml:space="preserve"> from sales of products (services) at year-end 2018 was RUB 76,450 million, or RUB 1,768 million (2.4%) higher year-on-year.  This increase was due to growth in revenue from grid distribution services, while revenue from grid connection and other activities decreased.</w:t>
      </w:r>
    </w:p>
    <w:p w14:paraId="43380EAB" w14:textId="77777777" w:rsidR="00D108C0" w:rsidRPr="00BD295E" w:rsidRDefault="008A5057" w:rsidP="000E42B1">
      <w:pPr>
        <w:pStyle w:val="af7"/>
        <w:spacing w:line="240" w:lineRule="auto"/>
        <w:rPr>
          <w:rFonts w:ascii="Arial" w:hAnsi="Arial" w:cs="Arial"/>
          <w:bCs/>
          <w:strike/>
          <w:sz w:val="18"/>
          <w:szCs w:val="18"/>
          <w:lang w:val="en-US"/>
        </w:rPr>
      </w:pPr>
      <w:r w:rsidRPr="00BD295E">
        <w:rPr>
          <w:rFonts w:ascii="Arial" w:hAnsi="Arial" w:cs="Arial"/>
          <w:bCs/>
          <w:sz w:val="18"/>
          <w:szCs w:val="18"/>
          <w:lang w:val="en-US"/>
        </w:rPr>
        <w:t xml:space="preserve">The increase in revenue from electricity distribution for 2018 is RUB 8,207 million, up 13.5% year-on-year, driven by </w:t>
      </w:r>
    </w:p>
    <w:p w14:paraId="5897882B" w14:textId="77777777" w:rsidR="00D108C0" w:rsidRPr="00BD295E" w:rsidRDefault="008A5057" w:rsidP="00CA2271">
      <w:pPr>
        <w:pStyle w:val="af3"/>
        <w:numPr>
          <w:ilvl w:val="0"/>
          <w:numId w:val="107"/>
        </w:numPr>
        <w:jc w:val="both"/>
        <w:rPr>
          <w:rFonts w:ascii="Arial" w:hAnsi="Arial" w:cs="Arial"/>
          <w:sz w:val="18"/>
          <w:szCs w:val="18"/>
          <w:lang w:val="en-US"/>
        </w:rPr>
      </w:pPr>
      <w:r w:rsidRPr="00BD295E">
        <w:rPr>
          <w:rFonts w:ascii="Arial" w:hAnsi="Arial" w:cs="Arial"/>
          <w:sz w:val="18"/>
          <w:szCs w:val="18"/>
          <w:lang w:val="en-US"/>
        </w:rPr>
        <w:t xml:space="preserve">an increase in tariff rates, taking into account the application of a mechanism for returning the “smoothing” effect with regard to the own MRR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by the Tariffs and Pricing Policy Committee of the Leningrad Region in 2018;</w:t>
      </w:r>
    </w:p>
    <w:p w14:paraId="484FAF7D" w14:textId="77777777" w:rsidR="00D108C0" w:rsidRPr="00BD295E" w:rsidRDefault="008A5057" w:rsidP="00CA2271">
      <w:pPr>
        <w:pStyle w:val="af3"/>
        <w:numPr>
          <w:ilvl w:val="0"/>
          <w:numId w:val="107"/>
        </w:numPr>
        <w:jc w:val="both"/>
        <w:rPr>
          <w:rFonts w:ascii="Arial" w:hAnsi="Arial" w:cs="Arial"/>
          <w:sz w:val="18"/>
          <w:szCs w:val="18"/>
          <w:lang w:val="en-US"/>
        </w:rPr>
      </w:pPr>
      <w:r w:rsidRPr="00BD295E">
        <w:rPr>
          <w:rFonts w:ascii="Arial" w:hAnsi="Arial" w:cs="Arial"/>
          <w:sz w:val="18"/>
          <w:szCs w:val="18"/>
          <w:lang w:val="en-US"/>
        </w:rPr>
        <w:t xml:space="preserve">inclusion of consumers from the former operation area of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in the calculations of net supply from April 1, 2017.</w:t>
      </w:r>
    </w:p>
    <w:p w14:paraId="340C2E65" w14:textId="77777777" w:rsidR="00D108C0" w:rsidRPr="00BD295E" w:rsidRDefault="00D108C0" w:rsidP="00D108C0">
      <w:pPr>
        <w:pStyle w:val="af7"/>
        <w:spacing w:line="240" w:lineRule="auto"/>
        <w:ind w:firstLine="709"/>
        <w:rPr>
          <w:rFonts w:ascii="Arial" w:hAnsi="Arial" w:cs="Arial"/>
          <w:bCs/>
          <w:strike/>
          <w:sz w:val="18"/>
          <w:szCs w:val="18"/>
          <w:lang w:val="en-US"/>
        </w:rPr>
      </w:pPr>
    </w:p>
    <w:p w14:paraId="525CA651" w14:textId="77777777" w:rsidR="00D108C0" w:rsidRPr="00BD295E" w:rsidRDefault="008A5057" w:rsidP="000E42B1">
      <w:pPr>
        <w:pStyle w:val="af7"/>
        <w:spacing w:line="240" w:lineRule="auto"/>
        <w:rPr>
          <w:rFonts w:ascii="Arial" w:hAnsi="Arial" w:cs="Arial"/>
          <w:bCs/>
          <w:sz w:val="18"/>
          <w:szCs w:val="18"/>
          <w:lang w:val="en-US"/>
        </w:rPr>
      </w:pPr>
      <w:r w:rsidRPr="00BD295E">
        <w:rPr>
          <w:rFonts w:ascii="Arial" w:hAnsi="Arial" w:cs="Arial"/>
          <w:bCs/>
          <w:sz w:val="18"/>
          <w:szCs w:val="18"/>
          <w:lang w:val="en-US"/>
        </w:rPr>
        <w:t>In 2018, grid connection revenue in 2018 declined by RUB 6,311 million or 47.2% year-on-year.</w:t>
      </w:r>
    </w:p>
    <w:p w14:paraId="47655228" w14:textId="77777777" w:rsidR="00D108C0" w:rsidRPr="00BD295E" w:rsidRDefault="008A5057" w:rsidP="000E42B1">
      <w:pPr>
        <w:tabs>
          <w:tab w:val="left" w:pos="851"/>
        </w:tabs>
        <w:contextualSpacing/>
        <w:jc w:val="both"/>
        <w:rPr>
          <w:rFonts w:ascii="Arial" w:hAnsi="Arial" w:cs="Arial"/>
          <w:sz w:val="18"/>
          <w:szCs w:val="18"/>
          <w:lang w:val="en-US"/>
        </w:rPr>
      </w:pPr>
      <w:r w:rsidRPr="00BD295E">
        <w:rPr>
          <w:rFonts w:ascii="Arial" w:hAnsi="Arial" w:cs="Arial"/>
          <w:sz w:val="18"/>
          <w:szCs w:val="18"/>
          <w:lang w:val="en-US"/>
        </w:rPr>
        <w:t>The revenue decline was primarily driven by the abnormally high gr</w:t>
      </w:r>
      <w:r w:rsidR="00174C5B" w:rsidRPr="00BD295E">
        <w:rPr>
          <w:rFonts w:ascii="Arial" w:hAnsi="Arial" w:cs="Arial"/>
          <w:sz w:val="18"/>
          <w:szCs w:val="18"/>
          <w:lang w:val="en-US"/>
        </w:rPr>
        <w:t>id</w:t>
      </w:r>
      <w:r w:rsidRPr="00BD295E">
        <w:rPr>
          <w:rFonts w:ascii="Arial" w:hAnsi="Arial" w:cs="Arial"/>
          <w:sz w:val="18"/>
          <w:szCs w:val="18"/>
          <w:lang w:val="en-US"/>
        </w:rPr>
        <w:t xml:space="preserve"> connection in 2017, which was significantly above the annual average for the last five years (an average of RUB 67 billion per year). The increase in this indicator in 2017 was due to the large number of completed grid connection contracts under a program for discharging overdue contracts launched in 2016, including as part of a program for government support for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150DB57B" w14:textId="77777777" w:rsidR="00D108C0" w:rsidRPr="00BD295E" w:rsidRDefault="008A5057" w:rsidP="000E42B1">
      <w:pPr>
        <w:pStyle w:val="af3"/>
        <w:ind w:left="0"/>
        <w:jc w:val="both"/>
        <w:rPr>
          <w:rFonts w:ascii="Arial" w:hAnsi="Arial" w:cs="Arial"/>
          <w:sz w:val="18"/>
          <w:szCs w:val="18"/>
          <w:lang w:val="en-US"/>
        </w:rPr>
      </w:pPr>
      <w:r w:rsidRPr="00BD295E">
        <w:rPr>
          <w:rFonts w:ascii="Arial" w:hAnsi="Arial" w:cs="Arial"/>
          <w:sz w:val="18"/>
          <w:szCs w:val="18"/>
          <w:lang w:val="en-US"/>
        </w:rPr>
        <w:t xml:space="preserve">Revenue from other activities for 2018 decreased by 18.2% year-on-year (RUB 128 million), due to the changes made from April 1, 2017 in the list of facilities serviced under contracts for routine maintenance of electric grid equipment signed with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6515AB" w:rsidRPr="00BD295E">
        <w:rPr>
          <w:rFonts w:ascii="Arial" w:hAnsi="Arial" w:cs="Arial"/>
          <w:sz w:val="18"/>
          <w:szCs w:val="18"/>
          <w:lang w:val="en-US"/>
        </w:rPr>
        <w:t>JSC “Petrodvorets Power Grid”</w:t>
      </w:r>
      <w:r w:rsidRPr="00BD295E">
        <w:rPr>
          <w:rFonts w:ascii="Arial" w:hAnsi="Arial" w:cs="Arial"/>
          <w:sz w:val="18"/>
          <w:szCs w:val="18"/>
          <w:lang w:val="en-US"/>
        </w:rPr>
        <w:t xml:space="preserve"> due to the signing of lease agreements as part of the consolidation of these companies by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49F7E735" w14:textId="77777777" w:rsidR="00D108C0" w:rsidRPr="00BD295E" w:rsidRDefault="008A5057" w:rsidP="000E42B1">
      <w:pPr>
        <w:jc w:val="both"/>
        <w:rPr>
          <w:rFonts w:ascii="Arial" w:hAnsi="Arial" w:cs="Arial"/>
          <w:sz w:val="18"/>
          <w:szCs w:val="18"/>
          <w:lang w:val="en-US"/>
        </w:rPr>
      </w:pPr>
      <w:r w:rsidRPr="00BD295E">
        <w:rPr>
          <w:rFonts w:ascii="Arial" w:hAnsi="Arial" w:cs="Arial"/>
          <w:b/>
          <w:bCs/>
          <w:sz w:val="18"/>
          <w:szCs w:val="18"/>
          <w:lang w:val="en-US"/>
        </w:rPr>
        <w:t>Cost of sales (including administrative and selling expenses)</w:t>
      </w:r>
      <w:r w:rsidRPr="00BD295E">
        <w:rPr>
          <w:rFonts w:ascii="Arial" w:hAnsi="Arial" w:cs="Arial"/>
          <w:sz w:val="18"/>
          <w:szCs w:val="18"/>
          <w:lang w:val="en-US"/>
        </w:rPr>
        <w:t xml:space="preserve"> totaled RUB 57,450 million, which is by RUB 3,427 million, or up 6.3% year-on-year.</w:t>
      </w:r>
    </w:p>
    <w:p w14:paraId="466DA695" w14:textId="77777777" w:rsidR="00D108C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Operational performance was influenced by the completion of the consolidation of electric grid assets of Saint Petersburg Power Grid, Saint Petersburg Power Grid’s and </w:t>
      </w:r>
      <w:r w:rsidR="006515AB" w:rsidRPr="00BD295E">
        <w:rPr>
          <w:rFonts w:ascii="Arial" w:hAnsi="Arial" w:cs="Arial"/>
          <w:sz w:val="18"/>
          <w:szCs w:val="18"/>
          <w:lang w:val="en-US"/>
        </w:rPr>
        <w:t>JSC “Petrodvorets Power Grid”</w:t>
      </w:r>
      <w:r w:rsidRPr="00BD295E">
        <w:rPr>
          <w:rFonts w:ascii="Arial" w:hAnsi="Arial" w:cs="Arial"/>
          <w:sz w:val="18"/>
          <w:szCs w:val="18"/>
          <w:lang w:val="en-US"/>
        </w:rPr>
        <w:t xml:space="preserve"> through the signing of lease agreements valid from April 1, 2017 as part of streamlining business processes within Lenenergo Group.</w:t>
      </w:r>
    </w:p>
    <w:p w14:paraId="779C8328" w14:textId="77777777" w:rsidR="00D108C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In general, the year-on-year increase in cost of sales for 2018 was primarily driven by higher non-controllable expenses of the Company, including:</w:t>
      </w:r>
    </w:p>
    <w:p w14:paraId="4A609E5A" w14:textId="77777777" w:rsidR="00D108C0" w:rsidRPr="00BD295E" w:rsidRDefault="008A5057" w:rsidP="00CA2271">
      <w:pPr>
        <w:pStyle w:val="af3"/>
        <w:numPr>
          <w:ilvl w:val="0"/>
          <w:numId w:val="107"/>
        </w:numPr>
        <w:jc w:val="both"/>
        <w:rPr>
          <w:rFonts w:ascii="Arial" w:hAnsi="Arial" w:cs="Arial"/>
          <w:sz w:val="18"/>
          <w:szCs w:val="18"/>
          <w:lang w:val="en-US"/>
        </w:rPr>
      </w:pPr>
      <w:r w:rsidRPr="00BD295E">
        <w:rPr>
          <w:rFonts w:ascii="Arial" w:hAnsi="Arial" w:cs="Arial"/>
          <w:sz w:val="18"/>
          <w:szCs w:val="18"/>
          <w:lang w:val="en-US"/>
        </w:rPr>
        <w:t>an increase in expenses for third-party electricity purchased to offset losses due to the increase in the average tariff;</w:t>
      </w:r>
    </w:p>
    <w:p w14:paraId="77A7B03E" w14:textId="0F1DED97" w:rsidR="00D108C0" w:rsidRPr="00BD295E" w:rsidRDefault="008A5057" w:rsidP="00CA2271">
      <w:pPr>
        <w:pStyle w:val="af3"/>
        <w:numPr>
          <w:ilvl w:val="0"/>
          <w:numId w:val="107"/>
        </w:numPr>
        <w:jc w:val="both"/>
        <w:rPr>
          <w:rFonts w:ascii="Arial" w:hAnsi="Arial" w:cs="Arial"/>
          <w:sz w:val="18"/>
          <w:szCs w:val="18"/>
          <w:lang w:val="en-US"/>
        </w:rPr>
      </w:pPr>
      <w:r w:rsidRPr="00BD295E">
        <w:rPr>
          <w:rFonts w:ascii="Arial" w:hAnsi="Arial" w:cs="Arial"/>
          <w:sz w:val="18"/>
          <w:szCs w:val="18"/>
          <w:lang w:val="en-US"/>
        </w:rPr>
        <w:t xml:space="preserve">an increase in expenses for services of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 for</w:t>
      </w:r>
      <w:r w:rsidRPr="00BD295E">
        <w:rPr>
          <w:rFonts w:ascii="Arial" w:hAnsi="Arial" w:cs="Arial"/>
          <w:sz w:val="18"/>
          <w:szCs w:val="18"/>
          <w:lang w:val="en-US"/>
        </w:rPr>
        <w:t xml:space="preserve"> electricity distribution due to a higher maintenance tariff rate and an increase in the demand for capacity;</w:t>
      </w:r>
    </w:p>
    <w:p w14:paraId="77213AA6" w14:textId="77777777" w:rsidR="00D108C0" w:rsidRPr="00BD295E" w:rsidRDefault="008A5057" w:rsidP="00CA2271">
      <w:pPr>
        <w:pStyle w:val="af3"/>
        <w:numPr>
          <w:ilvl w:val="0"/>
          <w:numId w:val="107"/>
        </w:numPr>
        <w:jc w:val="both"/>
        <w:rPr>
          <w:rFonts w:ascii="Arial" w:hAnsi="Arial" w:cs="Arial"/>
          <w:sz w:val="18"/>
          <w:szCs w:val="18"/>
          <w:lang w:val="en-US"/>
        </w:rPr>
      </w:pPr>
      <w:r w:rsidRPr="00BD295E">
        <w:rPr>
          <w:rFonts w:ascii="Arial" w:hAnsi="Arial" w:cs="Arial"/>
          <w:sz w:val="18"/>
          <w:szCs w:val="18"/>
          <w:lang w:val="en-US"/>
        </w:rPr>
        <w:t>an increase in depreciation on completion of the investment program in 2017–2018;</w:t>
      </w:r>
    </w:p>
    <w:p w14:paraId="50D3E385" w14:textId="77777777" w:rsidR="00D108C0" w:rsidRPr="00BD295E" w:rsidRDefault="008A5057" w:rsidP="00CA2271">
      <w:pPr>
        <w:pStyle w:val="af3"/>
        <w:numPr>
          <w:ilvl w:val="0"/>
          <w:numId w:val="107"/>
        </w:numPr>
        <w:jc w:val="both"/>
        <w:rPr>
          <w:rFonts w:ascii="Arial" w:hAnsi="Arial" w:cs="Arial"/>
          <w:sz w:val="18"/>
          <w:szCs w:val="18"/>
          <w:lang w:val="en-US"/>
        </w:rPr>
      </w:pPr>
      <w:r w:rsidRPr="00BD295E">
        <w:rPr>
          <w:rFonts w:ascii="Arial" w:hAnsi="Arial" w:cs="Arial"/>
          <w:sz w:val="18"/>
          <w:szCs w:val="18"/>
          <w:lang w:val="en-US"/>
        </w:rPr>
        <w:t>an increase in taxes, including property tax, due to amendments to the Tax Code and legislation of constituent entities of the Russian Federation.</w:t>
      </w:r>
    </w:p>
    <w:p w14:paraId="6BCC50D6" w14:textId="77777777" w:rsidR="00D108C0" w:rsidRPr="00BD295E" w:rsidRDefault="008A5057" w:rsidP="000E42B1">
      <w:pPr>
        <w:tabs>
          <w:tab w:val="left" w:pos="851"/>
          <w:tab w:val="left" w:pos="993"/>
        </w:tabs>
        <w:jc w:val="both"/>
        <w:rPr>
          <w:rFonts w:ascii="Arial" w:eastAsia="Calibri" w:hAnsi="Arial" w:cs="Arial"/>
          <w:sz w:val="18"/>
          <w:szCs w:val="18"/>
          <w:lang w:val="en-US"/>
        </w:rPr>
      </w:pPr>
      <w:r w:rsidRPr="00BD295E">
        <w:rPr>
          <w:rFonts w:ascii="Arial" w:hAnsi="Arial" w:cs="Arial"/>
          <w:b/>
          <w:bCs/>
          <w:sz w:val="18"/>
          <w:szCs w:val="18"/>
          <w:lang w:val="en-US"/>
        </w:rPr>
        <w:t>Profit from sales</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 totaled RUB 19,000 million, down by RUB 1,659 million or 8.0% year-on-year (in 2017, the Company’s profit from sales was RUB 20,659 million), mainly due to the cost of sales growth rates exceeding the growth rates of revenue from sales.</w:t>
      </w:r>
    </w:p>
    <w:p w14:paraId="184614AF" w14:textId="77777777" w:rsidR="00D108C0" w:rsidRPr="00BD295E" w:rsidRDefault="008A5057" w:rsidP="000E42B1">
      <w:pPr>
        <w:tabs>
          <w:tab w:val="left" w:pos="851"/>
          <w:tab w:val="left" w:pos="993"/>
        </w:tabs>
        <w:jc w:val="both"/>
        <w:rPr>
          <w:rFonts w:ascii="Arial" w:hAnsi="Arial" w:cs="Arial"/>
          <w:sz w:val="18"/>
          <w:szCs w:val="18"/>
          <w:lang w:val="en-US"/>
        </w:rPr>
      </w:pPr>
      <w:r w:rsidRPr="00BD295E">
        <w:rPr>
          <w:rFonts w:ascii="Arial" w:hAnsi="Arial" w:cs="Arial"/>
          <w:b/>
          <w:bCs/>
          <w:sz w:val="18"/>
          <w:szCs w:val="18"/>
          <w:lang w:val="en-US"/>
        </w:rPr>
        <w:t>The balance of other income and expenses</w:t>
      </w:r>
      <w:r w:rsidRPr="00BD295E">
        <w:rPr>
          <w:rFonts w:ascii="Arial" w:hAnsi="Arial" w:cs="Arial"/>
          <w:sz w:val="18"/>
          <w:szCs w:val="18"/>
          <w:lang w:val="en-US"/>
        </w:rPr>
        <w:t xml:space="preserve"> (including the interest balance) for 2018 decreased by RUB 1,380 million or 35.0% due to:</w:t>
      </w:r>
    </w:p>
    <w:p w14:paraId="539449A0" w14:textId="77777777" w:rsidR="00D108C0" w:rsidRPr="00BD295E" w:rsidRDefault="008A5057" w:rsidP="000E42B1">
      <w:pPr>
        <w:tabs>
          <w:tab w:val="left" w:pos="851"/>
          <w:tab w:val="left" w:pos="993"/>
        </w:tabs>
        <w:jc w:val="both"/>
        <w:rPr>
          <w:rFonts w:ascii="Arial" w:hAnsi="Arial" w:cs="Arial"/>
          <w:sz w:val="18"/>
          <w:szCs w:val="18"/>
          <w:lang w:val="en-US"/>
        </w:rPr>
      </w:pPr>
      <w:r w:rsidRPr="00BD295E">
        <w:rPr>
          <w:rFonts w:ascii="Arial" w:hAnsi="Arial" w:cs="Arial"/>
          <w:sz w:val="18"/>
          <w:szCs w:val="18"/>
          <w:lang w:val="en-US"/>
        </w:rPr>
        <w:t>a decrease in other income (driven by a decline in reversed allowances, in income from penalties for breach of contractual obligations, and in income from detected non-contractual electricity consumption);</w:t>
      </w:r>
    </w:p>
    <w:p w14:paraId="7AD966F9" w14:textId="77777777" w:rsidR="00D108C0" w:rsidRPr="00BD295E" w:rsidRDefault="008A5057" w:rsidP="000E42B1">
      <w:pPr>
        <w:tabs>
          <w:tab w:val="left" w:pos="851"/>
          <w:tab w:val="left" w:pos="993"/>
        </w:tabs>
        <w:jc w:val="both"/>
        <w:rPr>
          <w:rFonts w:ascii="Arial" w:hAnsi="Arial" w:cs="Arial"/>
          <w:sz w:val="18"/>
          <w:szCs w:val="18"/>
          <w:lang w:val="en-US"/>
        </w:rPr>
      </w:pPr>
      <w:r w:rsidRPr="00BD295E">
        <w:rPr>
          <w:rFonts w:ascii="Arial" w:hAnsi="Arial" w:cs="Arial"/>
          <w:sz w:val="18"/>
          <w:szCs w:val="18"/>
          <w:lang w:val="en-US"/>
        </w:rPr>
        <w:t xml:space="preserve">a decrease in interest receivable (driven by a decline in interest income from depositing cash with a minimum balance requirement), </w:t>
      </w:r>
    </w:p>
    <w:p w14:paraId="01505539" w14:textId="77777777" w:rsidR="00D108C0" w:rsidRPr="00BD295E" w:rsidRDefault="008A5057" w:rsidP="000E42B1">
      <w:pPr>
        <w:tabs>
          <w:tab w:val="left" w:pos="851"/>
          <w:tab w:val="left" w:pos="993"/>
        </w:tabs>
        <w:jc w:val="both"/>
        <w:rPr>
          <w:rFonts w:ascii="Arial" w:hAnsi="Arial" w:cs="Arial"/>
          <w:sz w:val="18"/>
          <w:szCs w:val="18"/>
          <w:lang w:val="en-US"/>
        </w:rPr>
      </w:pPr>
      <w:r w:rsidRPr="00BD295E">
        <w:rPr>
          <w:rFonts w:ascii="Arial" w:hAnsi="Arial" w:cs="Arial"/>
          <w:sz w:val="18"/>
          <w:szCs w:val="18"/>
          <w:lang w:val="en-US"/>
        </w:rPr>
        <w:t>an increase in other expenses through an increase in allocations to allowances on the back of a decrease in property-related expenses, penalties, and other sanctions for breach of contractual terms, and losses of prior periods.</w:t>
      </w:r>
    </w:p>
    <w:p w14:paraId="01E21B71" w14:textId="77777777" w:rsidR="00D108C0" w:rsidRPr="00BD295E" w:rsidRDefault="008A5057" w:rsidP="000E42B1">
      <w:pPr>
        <w:tabs>
          <w:tab w:val="left" w:pos="851"/>
          <w:tab w:val="left" w:pos="993"/>
        </w:tabs>
        <w:jc w:val="both"/>
        <w:rPr>
          <w:rFonts w:ascii="Arial" w:hAnsi="Arial" w:cs="Arial"/>
          <w:sz w:val="18"/>
          <w:szCs w:val="18"/>
          <w:lang w:val="en-US"/>
        </w:rPr>
      </w:pPr>
      <w:r w:rsidRPr="00BD295E">
        <w:rPr>
          <w:rFonts w:ascii="Arial" w:hAnsi="Arial" w:cs="Arial"/>
          <w:sz w:val="18"/>
          <w:szCs w:val="18"/>
          <w:lang w:val="en-US"/>
        </w:rPr>
        <w:t>At the same time, there was a decrease in interest payable due to a decline in the weighted average borrowing rate as a result of the optimization of Lenenergo’s debt portfolio.</w:t>
      </w:r>
    </w:p>
    <w:p w14:paraId="5A436636" w14:textId="77777777" w:rsidR="00D108C0" w:rsidRPr="00BD295E" w:rsidRDefault="008A5057" w:rsidP="000E42B1">
      <w:pPr>
        <w:jc w:val="both"/>
        <w:rPr>
          <w:rFonts w:ascii="Arial" w:hAnsi="Arial" w:cs="Arial"/>
          <w:sz w:val="18"/>
          <w:szCs w:val="18"/>
          <w:lang w:val="en-US"/>
        </w:rPr>
      </w:pPr>
      <w:r w:rsidRPr="00BD295E">
        <w:rPr>
          <w:rFonts w:ascii="Arial" w:hAnsi="Arial" w:cs="Arial"/>
          <w:b/>
          <w:bCs/>
          <w:sz w:val="18"/>
          <w:szCs w:val="18"/>
          <w:lang w:val="en-US"/>
        </w:rPr>
        <w:t xml:space="preserve">Profit before tax </w:t>
      </w:r>
      <w:r w:rsidRPr="00BD295E">
        <w:rPr>
          <w:rFonts w:ascii="Arial" w:hAnsi="Arial" w:cs="Arial"/>
          <w:sz w:val="18"/>
          <w:szCs w:val="18"/>
          <w:lang w:val="en-US"/>
        </w:rPr>
        <w:t>for 2018 was RUB 13,678 million, down RUB 3,039 million year-on-year (2017 profit before tax was RUB 16,717 million) driven by lower gross profit and a worse balance between other income and expenses.</w:t>
      </w:r>
    </w:p>
    <w:p w14:paraId="66B518BD" w14:textId="77777777" w:rsidR="00D108C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The year-on-year decrease in </w:t>
      </w:r>
      <w:r w:rsidRPr="00BD295E">
        <w:rPr>
          <w:rFonts w:ascii="Arial" w:hAnsi="Arial" w:cs="Arial"/>
          <w:b/>
          <w:bCs/>
          <w:sz w:val="18"/>
          <w:szCs w:val="18"/>
          <w:lang w:val="en-US"/>
        </w:rPr>
        <w:t>profit tax</w:t>
      </w:r>
      <w:r w:rsidRPr="00BD295E">
        <w:rPr>
          <w:rFonts w:ascii="Arial" w:hAnsi="Arial" w:cs="Arial"/>
          <w:sz w:val="18"/>
          <w:szCs w:val="18"/>
          <w:lang w:val="en-US"/>
        </w:rPr>
        <w:t xml:space="preserve"> for 2018 was RUB 864 million, or 20.8%,</w:t>
      </w:r>
    </w:p>
    <w:p w14:paraId="4C830A90" w14:textId="77777777" w:rsidR="00D108C0" w:rsidRPr="00BD295E" w:rsidRDefault="008A5057" w:rsidP="000E42B1">
      <w:pPr>
        <w:jc w:val="both"/>
        <w:rPr>
          <w:rFonts w:ascii="Arial" w:hAnsi="Arial" w:cs="Arial"/>
          <w:sz w:val="18"/>
          <w:szCs w:val="18"/>
          <w:lang w:val="en-US"/>
        </w:rPr>
      </w:pPr>
      <w:r w:rsidRPr="00BD295E">
        <w:rPr>
          <w:rFonts w:ascii="Arial" w:hAnsi="Arial" w:cs="Arial"/>
          <w:b/>
          <w:bCs/>
          <w:sz w:val="18"/>
          <w:szCs w:val="18"/>
          <w:lang w:val="en-US"/>
        </w:rPr>
        <w:t>Net profit</w:t>
      </w:r>
      <w:r w:rsidRPr="00BD295E">
        <w:rPr>
          <w:rFonts w:ascii="Arial" w:hAnsi="Arial" w:cs="Arial"/>
          <w:sz w:val="18"/>
          <w:szCs w:val="18"/>
          <w:lang w:val="en-US"/>
        </w:rPr>
        <w:t xml:space="preserve"> for 2018 is RUB 10,386 million, down by RUB 2,175 million or 17.3% year-on-year due to lower gross profit from grid connection services.</w:t>
      </w:r>
    </w:p>
    <w:p w14:paraId="5A391279" w14:textId="77777777" w:rsidR="006E7D4A" w:rsidRPr="00BD295E" w:rsidRDefault="006E7D4A" w:rsidP="000E42B1">
      <w:pPr>
        <w:jc w:val="both"/>
        <w:rPr>
          <w:rFonts w:ascii="Arial" w:hAnsi="Arial" w:cs="Arial"/>
          <w:b/>
          <w:sz w:val="18"/>
          <w:szCs w:val="18"/>
          <w:lang w:val="en-US"/>
        </w:rPr>
      </w:pPr>
    </w:p>
    <w:p w14:paraId="5A8695D4" w14:textId="77777777" w:rsidR="006E7D4A" w:rsidRPr="00BD295E" w:rsidRDefault="008A5057" w:rsidP="000E42B1">
      <w:pPr>
        <w:jc w:val="both"/>
        <w:rPr>
          <w:rFonts w:ascii="Arial" w:hAnsi="Arial" w:cs="Arial"/>
          <w:b/>
          <w:sz w:val="18"/>
          <w:szCs w:val="18"/>
          <w:lang w:val="en-US"/>
        </w:rPr>
      </w:pPr>
      <w:r w:rsidRPr="00BD295E">
        <w:rPr>
          <w:rFonts w:ascii="Arial" w:hAnsi="Arial" w:cs="Arial"/>
          <w:b/>
          <w:sz w:val="18"/>
          <w:szCs w:val="18"/>
          <w:lang w:val="en-US"/>
        </w:rPr>
        <w:t>Operational excellence and cost reduction program</w:t>
      </w:r>
    </w:p>
    <w:p w14:paraId="782ED91A" w14:textId="77777777" w:rsidR="006E7D4A" w:rsidRPr="00BD295E" w:rsidRDefault="006E7D4A" w:rsidP="000E42B1">
      <w:pPr>
        <w:jc w:val="both"/>
        <w:rPr>
          <w:rFonts w:ascii="Arial" w:hAnsi="Arial" w:cs="Arial"/>
          <w:sz w:val="18"/>
          <w:szCs w:val="18"/>
          <w:lang w:val="en-US"/>
        </w:rPr>
      </w:pPr>
    </w:p>
    <w:p w14:paraId="384BBAA6" w14:textId="77777777" w:rsidR="00D108C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As part of implementing item “a” of paragraph 1 in the List of Instructions of the Russian President following the meeting on improving the performance of government-owned companies held on December 9, 2014 (No. Pr3013),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has developed an operational excellence and cost reduction program, approved by the Company’s Board of Directors (Minutes No. 34 </w:t>
      </w:r>
      <w:r w:rsidR="008B183C" w:rsidRPr="00BD295E">
        <w:rPr>
          <w:rFonts w:ascii="Arial" w:hAnsi="Arial" w:cs="Arial"/>
          <w:sz w:val="18"/>
          <w:szCs w:val="18"/>
          <w:lang w:val="en-US"/>
        </w:rPr>
        <w:t>of</w:t>
      </w:r>
      <w:r w:rsidRPr="00BD295E">
        <w:rPr>
          <w:rFonts w:ascii="Arial" w:hAnsi="Arial" w:cs="Arial"/>
          <w:sz w:val="18"/>
          <w:szCs w:val="18"/>
          <w:lang w:val="en-US"/>
        </w:rPr>
        <w:t xml:space="preserve"> April 4, 2018). The implementation of the Program is reflected in the business plan, investment program, energy saving and energy efficiency program, innovative development program, and other target programs developed by the Company. </w:t>
      </w:r>
    </w:p>
    <w:p w14:paraId="4C44440D" w14:textId="77777777" w:rsidR="00D108C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The Program’s performance indicators capture the targets set by the Russian Government’s Directive No. 2303p-P13 </w:t>
      </w:r>
      <w:r w:rsidR="008B183C" w:rsidRPr="00BD295E">
        <w:rPr>
          <w:rFonts w:ascii="Arial" w:hAnsi="Arial" w:cs="Arial"/>
          <w:sz w:val="18"/>
          <w:szCs w:val="18"/>
          <w:lang w:val="en-US"/>
        </w:rPr>
        <w:t>of</w:t>
      </w:r>
      <w:r w:rsidRPr="00BD295E">
        <w:rPr>
          <w:rFonts w:ascii="Arial" w:hAnsi="Arial" w:cs="Arial"/>
          <w:sz w:val="18"/>
          <w:szCs w:val="18"/>
          <w:lang w:val="en-US"/>
        </w:rPr>
        <w:t xml:space="preserve"> April 16, 2015 to reduce operating expenses by at least 2%–3% annually.</w:t>
      </w:r>
    </w:p>
    <w:p w14:paraId="71F38714" w14:textId="77777777" w:rsidR="000D5C9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 xml:space="preserve">Management estimates that In 2018 per unit operating expenses decreased 9.1% year-on-year. The indicator is calculated in accordance with the Guidelines for Calculating and Assessing Performance against KPIs of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approved by Resolution No. 31 of Lenenergo’s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April 19, 2017 (as amended, Minutes No. 42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June 6, 2018).</w:t>
      </w:r>
    </w:p>
    <w:p w14:paraId="2691FABC" w14:textId="77777777" w:rsidR="00D108C0" w:rsidRPr="00BD295E" w:rsidRDefault="008A5057" w:rsidP="000E42B1">
      <w:pPr>
        <w:jc w:val="both"/>
        <w:rPr>
          <w:rFonts w:ascii="Arial" w:hAnsi="Arial" w:cs="Arial"/>
          <w:sz w:val="18"/>
          <w:szCs w:val="18"/>
          <w:lang w:val="en-US"/>
        </w:rPr>
      </w:pPr>
      <w:r w:rsidRPr="00BD295E">
        <w:rPr>
          <w:rFonts w:ascii="Arial" w:hAnsi="Arial" w:cs="Arial"/>
          <w:sz w:val="18"/>
          <w:szCs w:val="18"/>
          <w:lang w:val="en-US"/>
        </w:rPr>
        <w:t>The indicators are achieved through the implementation of the Operational Excellence and Cost Reduction Program in place at the Company across the following areas:</w:t>
      </w:r>
    </w:p>
    <w:p w14:paraId="494CCA80" w14:textId="77777777" w:rsidR="00D108C0" w:rsidRPr="00BD295E" w:rsidRDefault="008A5057" w:rsidP="00CA2271">
      <w:pPr>
        <w:numPr>
          <w:ilvl w:val="0"/>
          <w:numId w:val="69"/>
        </w:numPr>
        <w:tabs>
          <w:tab w:val="left" w:pos="851"/>
        </w:tabs>
        <w:ind w:left="0" w:firstLine="709"/>
        <w:contextualSpacing/>
        <w:jc w:val="both"/>
        <w:rPr>
          <w:rFonts w:ascii="Arial" w:hAnsi="Arial" w:cs="Arial"/>
          <w:sz w:val="18"/>
          <w:szCs w:val="18"/>
          <w:lang w:val="en-US"/>
        </w:rPr>
      </w:pPr>
      <w:r w:rsidRPr="00BD295E">
        <w:rPr>
          <w:rFonts w:ascii="Arial" w:hAnsi="Arial" w:cs="Arial"/>
          <w:sz w:val="18"/>
          <w:szCs w:val="18"/>
          <w:lang w:val="en-US"/>
        </w:rPr>
        <w:t>Improving the management of maintenance and repair of equipment, buildings, and facilities;</w:t>
      </w:r>
    </w:p>
    <w:p w14:paraId="22015FED" w14:textId="77777777" w:rsidR="00D108C0" w:rsidRPr="00BD295E" w:rsidRDefault="008A5057" w:rsidP="00CA2271">
      <w:pPr>
        <w:numPr>
          <w:ilvl w:val="0"/>
          <w:numId w:val="69"/>
        </w:numPr>
        <w:tabs>
          <w:tab w:val="left" w:pos="851"/>
        </w:tabs>
        <w:ind w:left="0" w:firstLine="709"/>
        <w:contextualSpacing/>
        <w:jc w:val="both"/>
        <w:rPr>
          <w:rFonts w:ascii="Arial" w:hAnsi="Arial" w:cs="Arial"/>
          <w:sz w:val="18"/>
          <w:szCs w:val="18"/>
          <w:lang w:val="en-US"/>
        </w:rPr>
      </w:pPr>
      <w:r w:rsidRPr="00BD295E">
        <w:rPr>
          <w:rFonts w:ascii="Arial" w:hAnsi="Arial" w:cs="Arial"/>
          <w:sz w:val="18"/>
          <w:szCs w:val="18"/>
          <w:lang w:val="en-US"/>
        </w:rPr>
        <w:t>improving the working capital management;</w:t>
      </w:r>
    </w:p>
    <w:p w14:paraId="29C9CF41" w14:textId="77777777" w:rsidR="00D108C0" w:rsidRPr="00BD295E" w:rsidRDefault="008A5057" w:rsidP="00CA2271">
      <w:pPr>
        <w:numPr>
          <w:ilvl w:val="0"/>
          <w:numId w:val="69"/>
        </w:numPr>
        <w:tabs>
          <w:tab w:val="left" w:pos="851"/>
        </w:tabs>
        <w:ind w:left="0" w:firstLine="709"/>
        <w:contextualSpacing/>
        <w:jc w:val="both"/>
        <w:rPr>
          <w:rFonts w:ascii="Arial" w:hAnsi="Arial" w:cs="Arial"/>
          <w:sz w:val="18"/>
          <w:szCs w:val="18"/>
          <w:lang w:val="en-US"/>
        </w:rPr>
      </w:pPr>
      <w:r w:rsidRPr="00BD295E">
        <w:rPr>
          <w:rFonts w:ascii="Arial" w:hAnsi="Arial" w:cs="Arial"/>
          <w:sz w:val="18"/>
          <w:szCs w:val="18"/>
          <w:lang w:val="en-US"/>
        </w:rPr>
        <w:t>improving the fixed assets management;</w:t>
      </w:r>
    </w:p>
    <w:p w14:paraId="3E20C761" w14:textId="77777777" w:rsidR="00D108C0" w:rsidRPr="00BD295E" w:rsidRDefault="008A5057" w:rsidP="00CA2271">
      <w:pPr>
        <w:numPr>
          <w:ilvl w:val="0"/>
          <w:numId w:val="69"/>
        </w:numPr>
        <w:tabs>
          <w:tab w:val="left" w:pos="851"/>
        </w:tabs>
        <w:ind w:left="0" w:firstLine="709"/>
        <w:contextualSpacing/>
        <w:jc w:val="both"/>
        <w:rPr>
          <w:rFonts w:ascii="Arial" w:hAnsi="Arial" w:cs="Arial"/>
          <w:sz w:val="18"/>
          <w:szCs w:val="18"/>
          <w:lang w:val="en-US"/>
        </w:rPr>
      </w:pPr>
      <w:r w:rsidRPr="00BD295E">
        <w:rPr>
          <w:rFonts w:ascii="Arial" w:hAnsi="Arial" w:cs="Arial"/>
          <w:sz w:val="18"/>
          <w:szCs w:val="18"/>
          <w:lang w:val="en-US"/>
        </w:rPr>
        <w:t>improving the procurement and supply chain management;</w:t>
      </w:r>
    </w:p>
    <w:p w14:paraId="0A8DBB1E" w14:textId="5389C91C" w:rsidR="00D108C0" w:rsidRPr="00BD295E" w:rsidRDefault="008A5057" w:rsidP="00CA2271">
      <w:pPr>
        <w:numPr>
          <w:ilvl w:val="0"/>
          <w:numId w:val="69"/>
        </w:numPr>
        <w:tabs>
          <w:tab w:val="left" w:pos="851"/>
        </w:tabs>
        <w:ind w:left="0" w:firstLine="709"/>
        <w:contextualSpacing/>
        <w:jc w:val="both"/>
        <w:rPr>
          <w:rFonts w:ascii="Arial" w:hAnsi="Arial" w:cs="Arial"/>
          <w:sz w:val="18"/>
          <w:szCs w:val="18"/>
          <w:lang w:val="en-US"/>
        </w:rPr>
      </w:pPr>
      <w:r w:rsidRPr="00BD295E">
        <w:rPr>
          <w:rFonts w:ascii="Arial" w:hAnsi="Arial" w:cs="Arial"/>
          <w:sz w:val="18"/>
          <w:szCs w:val="18"/>
          <w:lang w:val="en-US"/>
        </w:rPr>
        <w:t xml:space="preserve">introducing advanced technologies </w:t>
      </w:r>
      <w:r w:rsidR="002C3947" w:rsidRPr="00BD295E">
        <w:rPr>
          <w:rFonts w:ascii="Arial" w:hAnsi="Arial" w:cs="Arial"/>
          <w:sz w:val="18"/>
          <w:szCs w:val="18"/>
          <w:lang w:val="en-US"/>
        </w:rPr>
        <w:t>and innovations</w:t>
      </w:r>
      <w:r w:rsidRPr="00BD295E">
        <w:rPr>
          <w:rFonts w:ascii="Arial" w:hAnsi="Arial" w:cs="Arial"/>
          <w:sz w:val="18"/>
          <w:szCs w:val="18"/>
          <w:lang w:val="en-US"/>
        </w:rPr>
        <w:t>;</w:t>
      </w:r>
    </w:p>
    <w:p w14:paraId="7A50306E" w14:textId="77777777" w:rsidR="00D108C0" w:rsidRPr="00BD295E" w:rsidRDefault="008A5057" w:rsidP="00CA2271">
      <w:pPr>
        <w:numPr>
          <w:ilvl w:val="0"/>
          <w:numId w:val="69"/>
        </w:numPr>
        <w:tabs>
          <w:tab w:val="left" w:pos="851"/>
        </w:tabs>
        <w:ind w:left="0" w:firstLine="709"/>
        <w:contextualSpacing/>
        <w:jc w:val="both"/>
        <w:rPr>
          <w:rFonts w:ascii="Arial" w:hAnsi="Arial" w:cs="Arial"/>
          <w:sz w:val="18"/>
          <w:szCs w:val="18"/>
          <w:lang w:val="en-US"/>
        </w:rPr>
      </w:pPr>
      <w:r w:rsidRPr="00BD295E">
        <w:rPr>
          <w:rFonts w:ascii="Arial" w:hAnsi="Arial" w:cs="Arial"/>
          <w:sz w:val="18"/>
          <w:szCs w:val="18"/>
          <w:lang w:val="en-US"/>
        </w:rPr>
        <w:t>streamlining the personnel motivation and compensation system;</w:t>
      </w:r>
    </w:p>
    <w:p w14:paraId="715EF78D" w14:textId="2CE9539F" w:rsidR="00D108C0" w:rsidRPr="00BD295E" w:rsidRDefault="008A5057" w:rsidP="00CA2271">
      <w:pPr>
        <w:numPr>
          <w:ilvl w:val="0"/>
          <w:numId w:val="69"/>
        </w:numPr>
        <w:tabs>
          <w:tab w:val="left" w:pos="851"/>
        </w:tabs>
        <w:ind w:left="0" w:firstLine="709"/>
        <w:contextualSpacing/>
        <w:jc w:val="both"/>
        <w:rPr>
          <w:rFonts w:ascii="Arial" w:hAnsi="Arial" w:cs="Arial"/>
          <w:sz w:val="18"/>
          <w:szCs w:val="18"/>
          <w:lang w:val="en-US"/>
        </w:rPr>
      </w:pPr>
      <w:r w:rsidRPr="00BD295E">
        <w:rPr>
          <w:rFonts w:ascii="Arial" w:hAnsi="Arial" w:cs="Arial"/>
          <w:sz w:val="18"/>
          <w:szCs w:val="18"/>
          <w:lang w:val="en-US"/>
        </w:rPr>
        <w:t xml:space="preserve">improving the </w:t>
      </w:r>
      <w:r w:rsidR="002C3947" w:rsidRPr="00BD295E">
        <w:rPr>
          <w:rFonts w:ascii="Arial" w:hAnsi="Arial" w:cs="Arial"/>
          <w:sz w:val="18"/>
          <w:szCs w:val="18"/>
          <w:lang w:val="en-US"/>
        </w:rPr>
        <w:t>organizational</w:t>
      </w:r>
      <w:r w:rsidRPr="00BD295E">
        <w:rPr>
          <w:rFonts w:ascii="Arial" w:hAnsi="Arial" w:cs="Arial"/>
          <w:sz w:val="18"/>
          <w:szCs w:val="18"/>
          <w:lang w:val="en-US"/>
        </w:rPr>
        <w:t xml:space="preserve"> and functional structure, and rightsizing;</w:t>
      </w:r>
    </w:p>
    <w:p w14:paraId="634BC558" w14:textId="77777777" w:rsidR="00D108C0" w:rsidRPr="00BD295E" w:rsidRDefault="008A5057" w:rsidP="00CA2271">
      <w:pPr>
        <w:numPr>
          <w:ilvl w:val="0"/>
          <w:numId w:val="69"/>
        </w:numPr>
        <w:tabs>
          <w:tab w:val="left" w:pos="851"/>
        </w:tabs>
        <w:ind w:left="0" w:firstLine="709"/>
        <w:contextualSpacing/>
        <w:jc w:val="both"/>
        <w:rPr>
          <w:rFonts w:ascii="Arial" w:hAnsi="Arial" w:cs="Arial"/>
          <w:sz w:val="18"/>
          <w:szCs w:val="18"/>
          <w:lang w:val="en-US"/>
        </w:rPr>
      </w:pPr>
      <w:r w:rsidRPr="00BD295E">
        <w:rPr>
          <w:rFonts w:ascii="Arial" w:hAnsi="Arial" w:cs="Arial"/>
          <w:sz w:val="18"/>
          <w:szCs w:val="18"/>
          <w:lang w:val="en-US"/>
        </w:rPr>
        <w:t>enhancing energy efficiency.</w:t>
      </w:r>
    </w:p>
    <w:p w14:paraId="6CDEBB2D" w14:textId="77777777" w:rsidR="000E42B1" w:rsidRPr="00BD295E" w:rsidRDefault="000E42B1" w:rsidP="000E42B1">
      <w:pPr>
        <w:rPr>
          <w:rFonts w:ascii="Arial" w:hAnsi="Arial" w:cs="Arial"/>
          <w:sz w:val="18"/>
          <w:szCs w:val="18"/>
          <w:lang w:val="en-US"/>
        </w:rPr>
      </w:pPr>
      <w:bookmarkStart w:id="238" w:name="_Toc506469829"/>
    </w:p>
    <w:p w14:paraId="37BF9101" w14:textId="77777777" w:rsidR="006E7D4A" w:rsidRPr="00BD295E" w:rsidRDefault="008A5057" w:rsidP="000E42B1">
      <w:pPr>
        <w:rPr>
          <w:rFonts w:ascii="Arial" w:eastAsia="Calibri" w:hAnsi="Arial" w:cs="Arial"/>
          <w:b/>
          <w:sz w:val="18"/>
          <w:szCs w:val="18"/>
          <w:lang w:val="en-US"/>
        </w:rPr>
      </w:pPr>
      <w:r w:rsidRPr="00BD295E">
        <w:rPr>
          <w:rFonts w:ascii="Arial" w:hAnsi="Arial" w:cs="Arial"/>
          <w:b/>
          <w:sz w:val="18"/>
          <w:szCs w:val="18"/>
          <w:lang w:val="en-US"/>
        </w:rPr>
        <w:t>Accounts receivable</w:t>
      </w:r>
      <w:bookmarkEnd w:id="238"/>
    </w:p>
    <w:p w14:paraId="4B2A9D51" w14:textId="77777777" w:rsidR="006E7D4A" w:rsidRPr="00BD295E" w:rsidRDefault="006E7D4A" w:rsidP="006E7D4A">
      <w:pPr>
        <w:ind w:left="-426" w:firstLine="284"/>
        <w:rPr>
          <w:rFonts w:ascii="Arial" w:eastAsia="Calibri" w:hAnsi="Arial" w:cs="Arial"/>
          <w:b/>
          <w:sz w:val="18"/>
          <w:szCs w:val="18"/>
          <w:lang w:val="en-US" w:eastAsia="en-US"/>
        </w:rPr>
      </w:pPr>
    </w:p>
    <w:p w14:paraId="3CE210FB" w14:textId="77777777" w:rsidR="00D108C0" w:rsidRPr="00BD295E" w:rsidRDefault="008A5057" w:rsidP="00D108C0">
      <w:pPr>
        <w:ind w:left="-426" w:firstLine="284"/>
        <w:rPr>
          <w:rFonts w:ascii="Arial" w:eastAsia="Calibri" w:hAnsi="Arial" w:cs="Arial"/>
          <w:sz w:val="18"/>
          <w:szCs w:val="18"/>
          <w:lang w:val="en-US"/>
        </w:rPr>
      </w:pPr>
      <w:r w:rsidRPr="00BD295E">
        <w:rPr>
          <w:rFonts w:ascii="Arial" w:hAnsi="Arial" w:cs="Arial"/>
          <w:sz w:val="18"/>
          <w:szCs w:val="18"/>
          <w:lang w:val="en-US"/>
        </w:rPr>
        <w:t>Analysis of changes in accounts receivable,* RUB million</w:t>
      </w:r>
    </w:p>
    <w:tbl>
      <w:tblPr>
        <w:tblW w:w="9840" w:type="dxa"/>
        <w:tblInd w:w="-318" w:type="dxa"/>
        <w:tblLook w:val="04A0" w:firstRow="1" w:lastRow="0" w:firstColumn="1" w:lastColumn="0" w:noHBand="0" w:noVBand="1"/>
      </w:tblPr>
      <w:tblGrid>
        <w:gridCol w:w="5553"/>
        <w:gridCol w:w="1418"/>
        <w:gridCol w:w="1463"/>
        <w:gridCol w:w="1406"/>
      </w:tblGrid>
      <w:tr w:rsidR="008A5057" w:rsidRPr="00BD295E" w14:paraId="7302725A" w14:textId="77777777" w:rsidTr="00C8400E">
        <w:trPr>
          <w:trHeight w:val="875"/>
          <w:tblHeader/>
        </w:trPr>
        <w:tc>
          <w:tcPr>
            <w:tcW w:w="5553" w:type="dxa"/>
            <w:vMerge w:val="restart"/>
            <w:tcBorders>
              <w:top w:val="single" w:sz="8" w:space="0" w:color="auto"/>
              <w:left w:val="single" w:sz="8" w:space="0" w:color="auto"/>
              <w:bottom w:val="single" w:sz="8" w:space="0" w:color="auto"/>
              <w:right w:val="single" w:sz="8" w:space="0" w:color="auto"/>
            </w:tcBorders>
            <w:vAlign w:val="center"/>
            <w:hideMark/>
          </w:tcPr>
          <w:p w14:paraId="47B23DE2"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Indicator</w:t>
            </w:r>
          </w:p>
        </w:tc>
        <w:tc>
          <w:tcPr>
            <w:tcW w:w="1418" w:type="dxa"/>
            <w:tcBorders>
              <w:top w:val="single" w:sz="8" w:space="0" w:color="auto"/>
              <w:left w:val="nil"/>
              <w:bottom w:val="nil"/>
              <w:right w:val="single" w:sz="8" w:space="0" w:color="000000"/>
            </w:tcBorders>
            <w:vAlign w:val="center"/>
            <w:hideMark/>
          </w:tcPr>
          <w:p w14:paraId="4D2947EC" w14:textId="6A52AA7E" w:rsidR="00D108C0" w:rsidRPr="00BD295E" w:rsidRDefault="008A5057" w:rsidP="00C8400E">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 xml:space="preserve">as at </w:t>
            </w:r>
            <w:r w:rsidR="007F7DC5" w:rsidRPr="00BD295E">
              <w:rPr>
                <w:rFonts w:ascii="Arial" w:hAnsi="Arial" w:cs="Arial"/>
                <w:bCs/>
                <w:sz w:val="18"/>
                <w:szCs w:val="18"/>
                <w:lang w:val="en-US"/>
              </w:rPr>
              <w:t xml:space="preserve">December 31, </w:t>
            </w:r>
            <w:r w:rsidRPr="00BD295E">
              <w:rPr>
                <w:rFonts w:ascii="Arial" w:hAnsi="Arial" w:cs="Arial"/>
                <w:bCs/>
                <w:sz w:val="18"/>
                <w:szCs w:val="18"/>
                <w:lang w:val="en-US"/>
              </w:rPr>
              <w:t>2016</w:t>
            </w:r>
          </w:p>
        </w:tc>
        <w:tc>
          <w:tcPr>
            <w:tcW w:w="1463" w:type="dxa"/>
            <w:tcBorders>
              <w:top w:val="single" w:sz="8" w:space="0" w:color="auto"/>
              <w:left w:val="nil"/>
              <w:bottom w:val="nil"/>
              <w:right w:val="single" w:sz="8" w:space="0" w:color="000000"/>
            </w:tcBorders>
            <w:vAlign w:val="center"/>
            <w:hideMark/>
          </w:tcPr>
          <w:p w14:paraId="2E8D1195" w14:textId="743B0BE6" w:rsidR="00D108C0" w:rsidRPr="00BD295E" w:rsidRDefault="008A5057" w:rsidP="007F7DC5">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 xml:space="preserve">as at </w:t>
            </w:r>
            <w:r w:rsidR="007F7DC5" w:rsidRPr="00BD295E">
              <w:rPr>
                <w:rFonts w:ascii="Arial" w:hAnsi="Arial" w:cs="Arial"/>
                <w:bCs/>
                <w:sz w:val="18"/>
                <w:szCs w:val="18"/>
                <w:lang w:val="en-US"/>
              </w:rPr>
              <w:t xml:space="preserve">December </w:t>
            </w:r>
            <w:r w:rsidRPr="00BD295E">
              <w:rPr>
                <w:rFonts w:ascii="Arial" w:hAnsi="Arial" w:cs="Arial"/>
                <w:bCs/>
                <w:sz w:val="18"/>
                <w:szCs w:val="18"/>
                <w:lang w:val="en-US"/>
              </w:rPr>
              <w:t>31</w:t>
            </w:r>
            <w:r w:rsidR="007F7DC5" w:rsidRPr="00BD295E">
              <w:rPr>
                <w:rFonts w:ascii="Arial" w:hAnsi="Arial" w:cs="Arial"/>
                <w:bCs/>
                <w:sz w:val="18"/>
                <w:szCs w:val="18"/>
                <w:lang w:val="en-US"/>
              </w:rPr>
              <w:t xml:space="preserve">, </w:t>
            </w:r>
            <w:r w:rsidRPr="00BD295E">
              <w:rPr>
                <w:rFonts w:ascii="Arial" w:hAnsi="Arial" w:cs="Arial"/>
                <w:bCs/>
                <w:sz w:val="18"/>
                <w:szCs w:val="18"/>
                <w:lang w:val="en-US"/>
              </w:rPr>
              <w:t>2017</w:t>
            </w:r>
          </w:p>
        </w:tc>
        <w:tc>
          <w:tcPr>
            <w:tcW w:w="1406" w:type="dxa"/>
            <w:tcBorders>
              <w:top w:val="single" w:sz="8" w:space="0" w:color="auto"/>
              <w:left w:val="nil"/>
              <w:bottom w:val="nil"/>
              <w:right w:val="single" w:sz="8" w:space="0" w:color="000000"/>
            </w:tcBorders>
            <w:vAlign w:val="center"/>
            <w:hideMark/>
          </w:tcPr>
          <w:p w14:paraId="74E83AF8" w14:textId="45C30C2F"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 xml:space="preserve">as at </w:t>
            </w:r>
            <w:r w:rsidR="00C8400E" w:rsidRPr="00BD295E">
              <w:rPr>
                <w:rFonts w:ascii="Arial" w:hAnsi="Arial" w:cs="Arial"/>
                <w:bCs/>
                <w:sz w:val="18"/>
                <w:szCs w:val="18"/>
                <w:lang w:val="en-US"/>
              </w:rPr>
              <w:t>December</w:t>
            </w:r>
          </w:p>
          <w:p w14:paraId="0C2B44FE" w14:textId="044F238C" w:rsidR="00D108C0" w:rsidRPr="00BD295E" w:rsidRDefault="008A5057" w:rsidP="00C8400E">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31</w:t>
            </w:r>
            <w:r w:rsidR="00C8400E" w:rsidRPr="00BD295E">
              <w:rPr>
                <w:rFonts w:ascii="Arial" w:hAnsi="Arial" w:cs="Arial"/>
                <w:bCs/>
                <w:sz w:val="18"/>
                <w:szCs w:val="18"/>
                <w:lang w:val="en-US"/>
              </w:rPr>
              <w:t xml:space="preserve">, </w:t>
            </w:r>
            <w:r w:rsidRPr="00BD295E">
              <w:rPr>
                <w:rFonts w:ascii="Arial" w:hAnsi="Arial" w:cs="Arial"/>
                <w:bCs/>
                <w:sz w:val="18"/>
                <w:szCs w:val="18"/>
                <w:lang w:val="en-US"/>
              </w:rPr>
              <w:t>2018</w:t>
            </w:r>
          </w:p>
        </w:tc>
      </w:tr>
      <w:tr w:rsidR="008A5057" w:rsidRPr="00BD295E" w14:paraId="74EBA0E5" w14:textId="77777777" w:rsidTr="00C8400E">
        <w:trPr>
          <w:trHeight w:val="48"/>
        </w:trPr>
        <w:tc>
          <w:tcPr>
            <w:tcW w:w="5553" w:type="dxa"/>
            <w:vMerge/>
            <w:tcBorders>
              <w:top w:val="single" w:sz="8" w:space="0" w:color="auto"/>
              <w:left w:val="single" w:sz="8" w:space="0" w:color="auto"/>
              <w:bottom w:val="single" w:sz="8" w:space="0" w:color="auto"/>
              <w:right w:val="single" w:sz="8" w:space="0" w:color="auto"/>
            </w:tcBorders>
            <w:vAlign w:val="center"/>
            <w:hideMark/>
          </w:tcPr>
          <w:p w14:paraId="3FE9DBBC" w14:textId="77777777" w:rsidR="00D108C0" w:rsidRPr="00BD295E" w:rsidRDefault="00D108C0" w:rsidP="00D108C0">
            <w:pPr>
              <w:rPr>
                <w:rFonts w:ascii="Arial" w:hAnsi="Arial" w:cs="Arial"/>
                <w:bCs/>
                <w:sz w:val="18"/>
                <w:szCs w:val="18"/>
                <w:lang w:val="en-US" w:eastAsia="en-US"/>
              </w:rPr>
            </w:pPr>
          </w:p>
        </w:tc>
        <w:tc>
          <w:tcPr>
            <w:tcW w:w="1418" w:type="dxa"/>
            <w:tcBorders>
              <w:top w:val="nil"/>
              <w:left w:val="nil"/>
              <w:bottom w:val="single" w:sz="8" w:space="0" w:color="auto"/>
              <w:right w:val="single" w:sz="8" w:space="0" w:color="auto"/>
            </w:tcBorders>
            <w:vAlign w:val="center"/>
          </w:tcPr>
          <w:p w14:paraId="099F8AA6" w14:textId="77777777" w:rsidR="00D108C0" w:rsidRPr="00BD295E" w:rsidRDefault="00D108C0" w:rsidP="00D108C0">
            <w:pPr>
              <w:spacing w:line="256" w:lineRule="auto"/>
              <w:ind w:left="-426" w:firstLine="284"/>
              <w:jc w:val="center"/>
              <w:rPr>
                <w:rFonts w:ascii="Arial" w:hAnsi="Arial" w:cs="Arial"/>
                <w:bCs/>
                <w:sz w:val="18"/>
                <w:szCs w:val="18"/>
                <w:lang w:val="en-US" w:eastAsia="en-US"/>
              </w:rPr>
            </w:pPr>
          </w:p>
        </w:tc>
        <w:tc>
          <w:tcPr>
            <w:tcW w:w="1463" w:type="dxa"/>
            <w:tcBorders>
              <w:top w:val="nil"/>
              <w:left w:val="nil"/>
              <w:bottom w:val="single" w:sz="8" w:space="0" w:color="auto"/>
              <w:right w:val="single" w:sz="8" w:space="0" w:color="auto"/>
            </w:tcBorders>
            <w:vAlign w:val="center"/>
          </w:tcPr>
          <w:p w14:paraId="4896C37E" w14:textId="77777777" w:rsidR="00D108C0" w:rsidRPr="00BD295E" w:rsidRDefault="00D108C0" w:rsidP="00D108C0">
            <w:pPr>
              <w:spacing w:line="256" w:lineRule="auto"/>
              <w:ind w:left="-426" w:firstLine="284"/>
              <w:jc w:val="center"/>
              <w:rPr>
                <w:rFonts w:ascii="Arial" w:hAnsi="Arial" w:cs="Arial"/>
                <w:bCs/>
                <w:sz w:val="18"/>
                <w:szCs w:val="18"/>
                <w:lang w:val="en-US" w:eastAsia="en-US"/>
              </w:rPr>
            </w:pPr>
          </w:p>
        </w:tc>
        <w:tc>
          <w:tcPr>
            <w:tcW w:w="1406" w:type="dxa"/>
            <w:tcBorders>
              <w:top w:val="nil"/>
              <w:left w:val="nil"/>
              <w:bottom w:val="single" w:sz="8" w:space="0" w:color="auto"/>
              <w:right w:val="single" w:sz="8" w:space="0" w:color="auto"/>
            </w:tcBorders>
            <w:vAlign w:val="center"/>
          </w:tcPr>
          <w:p w14:paraId="5AD693A9" w14:textId="77777777" w:rsidR="00D108C0" w:rsidRPr="00BD295E" w:rsidRDefault="00D108C0" w:rsidP="00D108C0">
            <w:pPr>
              <w:spacing w:line="256" w:lineRule="auto"/>
              <w:ind w:left="-426" w:firstLine="284"/>
              <w:jc w:val="center"/>
              <w:rPr>
                <w:rFonts w:ascii="Arial" w:hAnsi="Arial" w:cs="Arial"/>
                <w:bCs/>
                <w:sz w:val="18"/>
                <w:szCs w:val="18"/>
                <w:lang w:val="en-US" w:eastAsia="en-US"/>
              </w:rPr>
            </w:pPr>
          </w:p>
        </w:tc>
      </w:tr>
      <w:tr w:rsidR="008A5057" w:rsidRPr="00BD295E" w14:paraId="67E6BBF1" w14:textId="77777777" w:rsidTr="00C8400E">
        <w:trPr>
          <w:trHeight w:val="130"/>
        </w:trPr>
        <w:tc>
          <w:tcPr>
            <w:tcW w:w="5553" w:type="dxa"/>
            <w:tcBorders>
              <w:top w:val="nil"/>
              <w:left w:val="single" w:sz="8" w:space="0" w:color="auto"/>
              <w:bottom w:val="single" w:sz="8" w:space="0" w:color="auto"/>
              <w:right w:val="single" w:sz="8" w:space="0" w:color="auto"/>
            </w:tcBorders>
            <w:hideMark/>
          </w:tcPr>
          <w:p w14:paraId="0E885D9E" w14:textId="77777777" w:rsidR="00D108C0" w:rsidRPr="00BD295E" w:rsidRDefault="008A5057" w:rsidP="00D108C0">
            <w:pPr>
              <w:spacing w:line="256" w:lineRule="auto"/>
              <w:ind w:left="-426" w:firstLine="284"/>
              <w:rPr>
                <w:rFonts w:ascii="Arial" w:hAnsi="Arial" w:cs="Arial"/>
                <w:b/>
                <w:sz w:val="18"/>
                <w:szCs w:val="18"/>
                <w:lang w:val="en-US"/>
              </w:rPr>
            </w:pPr>
            <w:r w:rsidRPr="00BD295E">
              <w:rPr>
                <w:rFonts w:ascii="Arial" w:hAnsi="Arial" w:cs="Arial"/>
                <w:b/>
                <w:bCs/>
                <w:sz w:val="18"/>
                <w:szCs w:val="18"/>
                <w:lang w:val="en-US"/>
              </w:rPr>
              <w:t xml:space="preserve"> Accounts receivable, including:</w:t>
            </w:r>
          </w:p>
        </w:tc>
        <w:tc>
          <w:tcPr>
            <w:tcW w:w="1418" w:type="dxa"/>
            <w:tcBorders>
              <w:top w:val="nil"/>
              <w:left w:val="nil"/>
              <w:bottom w:val="single" w:sz="8" w:space="0" w:color="auto"/>
              <w:right w:val="single" w:sz="8" w:space="0" w:color="auto"/>
            </w:tcBorders>
            <w:vAlign w:val="center"/>
          </w:tcPr>
          <w:p w14:paraId="207C2395"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6,966</w:t>
            </w:r>
          </w:p>
        </w:tc>
        <w:tc>
          <w:tcPr>
            <w:tcW w:w="1463" w:type="dxa"/>
            <w:tcBorders>
              <w:top w:val="nil"/>
              <w:left w:val="nil"/>
              <w:bottom w:val="single" w:sz="8" w:space="0" w:color="auto"/>
              <w:right w:val="single" w:sz="8" w:space="0" w:color="auto"/>
            </w:tcBorders>
            <w:vAlign w:val="center"/>
          </w:tcPr>
          <w:p w14:paraId="556DD2E9"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7,675</w:t>
            </w:r>
          </w:p>
        </w:tc>
        <w:tc>
          <w:tcPr>
            <w:tcW w:w="1406" w:type="dxa"/>
            <w:tcBorders>
              <w:top w:val="nil"/>
              <w:left w:val="nil"/>
              <w:bottom w:val="single" w:sz="8" w:space="0" w:color="auto"/>
              <w:right w:val="single" w:sz="8" w:space="0" w:color="auto"/>
            </w:tcBorders>
            <w:vAlign w:val="center"/>
          </w:tcPr>
          <w:p w14:paraId="71410EEE"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6,425</w:t>
            </w:r>
          </w:p>
        </w:tc>
      </w:tr>
      <w:tr w:rsidR="008A5057" w:rsidRPr="00BD295E" w14:paraId="4FDAB348" w14:textId="77777777" w:rsidTr="00C8400E">
        <w:trPr>
          <w:trHeight w:val="130"/>
        </w:trPr>
        <w:tc>
          <w:tcPr>
            <w:tcW w:w="5553" w:type="dxa"/>
            <w:tcBorders>
              <w:top w:val="nil"/>
              <w:left w:val="single" w:sz="8" w:space="0" w:color="auto"/>
              <w:bottom w:val="single" w:sz="8" w:space="0" w:color="auto"/>
              <w:right w:val="single" w:sz="8" w:space="0" w:color="auto"/>
            </w:tcBorders>
            <w:hideMark/>
          </w:tcPr>
          <w:p w14:paraId="19C4F394" w14:textId="77777777" w:rsidR="00D108C0" w:rsidRPr="00BD295E" w:rsidRDefault="008A5057" w:rsidP="00D108C0">
            <w:pPr>
              <w:spacing w:line="256" w:lineRule="auto"/>
              <w:ind w:left="-426" w:firstLine="284"/>
              <w:rPr>
                <w:rFonts w:ascii="Arial" w:hAnsi="Arial" w:cs="Arial"/>
                <w:sz w:val="18"/>
                <w:szCs w:val="18"/>
                <w:lang w:val="en-US"/>
              </w:rPr>
            </w:pPr>
            <w:r w:rsidRPr="00BD295E">
              <w:rPr>
                <w:rFonts w:ascii="Arial" w:hAnsi="Arial" w:cs="Arial"/>
                <w:sz w:val="18"/>
                <w:szCs w:val="18"/>
                <w:lang w:val="en-US"/>
              </w:rPr>
              <w:t xml:space="preserve"> Trade receivables, including:   </w:t>
            </w:r>
          </w:p>
        </w:tc>
        <w:tc>
          <w:tcPr>
            <w:tcW w:w="1418" w:type="dxa"/>
            <w:tcBorders>
              <w:top w:val="nil"/>
              <w:left w:val="nil"/>
              <w:bottom w:val="single" w:sz="8" w:space="0" w:color="auto"/>
              <w:right w:val="single" w:sz="8" w:space="0" w:color="auto"/>
            </w:tcBorders>
            <w:vAlign w:val="center"/>
          </w:tcPr>
          <w:p w14:paraId="33C1453D"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3,747</w:t>
            </w:r>
          </w:p>
        </w:tc>
        <w:tc>
          <w:tcPr>
            <w:tcW w:w="1463" w:type="dxa"/>
            <w:tcBorders>
              <w:top w:val="nil"/>
              <w:left w:val="nil"/>
              <w:bottom w:val="single" w:sz="8" w:space="0" w:color="auto"/>
              <w:right w:val="single" w:sz="8" w:space="0" w:color="auto"/>
            </w:tcBorders>
            <w:vAlign w:val="center"/>
          </w:tcPr>
          <w:p w14:paraId="188A1226"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4,487</w:t>
            </w:r>
          </w:p>
        </w:tc>
        <w:tc>
          <w:tcPr>
            <w:tcW w:w="1406" w:type="dxa"/>
            <w:tcBorders>
              <w:top w:val="nil"/>
              <w:left w:val="nil"/>
              <w:bottom w:val="single" w:sz="8" w:space="0" w:color="auto"/>
              <w:right w:val="single" w:sz="8" w:space="0" w:color="auto"/>
            </w:tcBorders>
            <w:vAlign w:val="center"/>
          </w:tcPr>
          <w:p w14:paraId="03E6FF3F"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4,250</w:t>
            </w:r>
          </w:p>
        </w:tc>
      </w:tr>
      <w:tr w:rsidR="008A5057" w:rsidRPr="00BD295E" w14:paraId="4876C72D" w14:textId="77777777" w:rsidTr="00C8400E">
        <w:trPr>
          <w:trHeight w:val="304"/>
        </w:trPr>
        <w:tc>
          <w:tcPr>
            <w:tcW w:w="5553" w:type="dxa"/>
            <w:tcBorders>
              <w:top w:val="nil"/>
              <w:left w:val="single" w:sz="8" w:space="0" w:color="auto"/>
              <w:bottom w:val="single" w:sz="8" w:space="0" w:color="auto"/>
              <w:right w:val="single" w:sz="8" w:space="0" w:color="auto"/>
            </w:tcBorders>
            <w:hideMark/>
          </w:tcPr>
          <w:p w14:paraId="141CAF1F" w14:textId="77777777" w:rsidR="00D108C0" w:rsidRPr="00BD295E" w:rsidRDefault="008A5057" w:rsidP="00D108C0">
            <w:pPr>
              <w:spacing w:line="256" w:lineRule="auto"/>
              <w:ind w:left="-426" w:firstLine="284"/>
              <w:rPr>
                <w:rFonts w:ascii="Arial" w:hAnsi="Arial" w:cs="Arial"/>
                <w:sz w:val="18"/>
                <w:szCs w:val="18"/>
                <w:lang w:val="en-US"/>
              </w:rPr>
            </w:pPr>
            <w:r w:rsidRPr="00BD295E">
              <w:rPr>
                <w:rFonts w:ascii="Arial" w:hAnsi="Arial" w:cs="Arial"/>
                <w:sz w:val="18"/>
                <w:szCs w:val="18"/>
                <w:lang w:val="en-US"/>
              </w:rPr>
              <w:t xml:space="preserve"> Electricity distribution</w:t>
            </w:r>
          </w:p>
        </w:tc>
        <w:tc>
          <w:tcPr>
            <w:tcW w:w="1418" w:type="dxa"/>
            <w:tcBorders>
              <w:top w:val="nil"/>
              <w:left w:val="nil"/>
              <w:bottom w:val="single" w:sz="8" w:space="0" w:color="auto"/>
              <w:right w:val="single" w:sz="8" w:space="0" w:color="auto"/>
            </w:tcBorders>
            <w:vAlign w:val="center"/>
          </w:tcPr>
          <w:p w14:paraId="2B76E332"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2,195</w:t>
            </w:r>
          </w:p>
        </w:tc>
        <w:tc>
          <w:tcPr>
            <w:tcW w:w="1463" w:type="dxa"/>
            <w:tcBorders>
              <w:top w:val="nil"/>
              <w:left w:val="nil"/>
              <w:bottom w:val="single" w:sz="8" w:space="0" w:color="auto"/>
              <w:right w:val="single" w:sz="8" w:space="0" w:color="auto"/>
            </w:tcBorders>
            <w:vAlign w:val="center"/>
          </w:tcPr>
          <w:p w14:paraId="0AF6D214"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2,651</w:t>
            </w:r>
          </w:p>
        </w:tc>
        <w:tc>
          <w:tcPr>
            <w:tcW w:w="1406" w:type="dxa"/>
            <w:tcBorders>
              <w:top w:val="nil"/>
              <w:left w:val="nil"/>
              <w:bottom w:val="single" w:sz="8" w:space="0" w:color="auto"/>
              <w:right w:val="single" w:sz="8" w:space="0" w:color="auto"/>
            </w:tcBorders>
            <w:vAlign w:val="center"/>
          </w:tcPr>
          <w:p w14:paraId="39E605BC"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2,902</w:t>
            </w:r>
          </w:p>
        </w:tc>
      </w:tr>
      <w:tr w:rsidR="008A5057" w:rsidRPr="00BD295E" w14:paraId="19132956" w14:textId="77777777" w:rsidTr="00C8400E">
        <w:trPr>
          <w:trHeight w:val="197"/>
        </w:trPr>
        <w:tc>
          <w:tcPr>
            <w:tcW w:w="5553" w:type="dxa"/>
            <w:tcBorders>
              <w:top w:val="nil"/>
              <w:left w:val="single" w:sz="8" w:space="0" w:color="auto"/>
              <w:bottom w:val="single" w:sz="8" w:space="0" w:color="auto"/>
              <w:right w:val="single" w:sz="8" w:space="0" w:color="auto"/>
            </w:tcBorders>
            <w:hideMark/>
          </w:tcPr>
          <w:p w14:paraId="0FC3E6F0" w14:textId="77777777" w:rsidR="00D108C0" w:rsidRPr="00BD295E" w:rsidRDefault="008A5057" w:rsidP="00D108C0">
            <w:pPr>
              <w:spacing w:line="256" w:lineRule="auto"/>
              <w:ind w:left="-426" w:firstLine="284"/>
              <w:rPr>
                <w:rFonts w:ascii="Arial" w:hAnsi="Arial" w:cs="Arial"/>
                <w:b/>
                <w:sz w:val="18"/>
                <w:szCs w:val="18"/>
                <w:lang w:val="en-US"/>
              </w:rPr>
            </w:pPr>
            <w:r w:rsidRPr="00BD295E">
              <w:rPr>
                <w:rFonts w:ascii="Arial" w:hAnsi="Arial" w:cs="Arial"/>
                <w:sz w:val="18"/>
                <w:szCs w:val="18"/>
                <w:lang w:val="en-US"/>
              </w:rPr>
              <w:t xml:space="preserve"> Bills receivable</w:t>
            </w:r>
          </w:p>
        </w:tc>
        <w:tc>
          <w:tcPr>
            <w:tcW w:w="1418" w:type="dxa"/>
            <w:tcBorders>
              <w:top w:val="nil"/>
              <w:left w:val="nil"/>
              <w:bottom w:val="single" w:sz="8" w:space="0" w:color="auto"/>
              <w:right w:val="single" w:sz="8" w:space="0" w:color="auto"/>
            </w:tcBorders>
            <w:vAlign w:val="center"/>
          </w:tcPr>
          <w:p w14:paraId="697F33A4"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0</w:t>
            </w:r>
          </w:p>
        </w:tc>
        <w:tc>
          <w:tcPr>
            <w:tcW w:w="1463" w:type="dxa"/>
            <w:tcBorders>
              <w:top w:val="nil"/>
              <w:left w:val="nil"/>
              <w:bottom w:val="single" w:sz="8" w:space="0" w:color="auto"/>
              <w:right w:val="single" w:sz="8" w:space="0" w:color="auto"/>
            </w:tcBorders>
            <w:vAlign w:val="center"/>
          </w:tcPr>
          <w:p w14:paraId="4FED0C18"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0</w:t>
            </w:r>
          </w:p>
        </w:tc>
        <w:tc>
          <w:tcPr>
            <w:tcW w:w="1406" w:type="dxa"/>
            <w:tcBorders>
              <w:top w:val="nil"/>
              <w:left w:val="nil"/>
              <w:bottom w:val="single" w:sz="8" w:space="0" w:color="auto"/>
              <w:right w:val="single" w:sz="8" w:space="0" w:color="auto"/>
            </w:tcBorders>
            <w:vAlign w:val="center"/>
          </w:tcPr>
          <w:p w14:paraId="53F5D5AD"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0</w:t>
            </w:r>
          </w:p>
        </w:tc>
      </w:tr>
      <w:tr w:rsidR="008A5057" w:rsidRPr="00BD295E" w14:paraId="07A6B2E3" w14:textId="77777777" w:rsidTr="00C8400E">
        <w:trPr>
          <w:trHeight w:val="197"/>
        </w:trPr>
        <w:tc>
          <w:tcPr>
            <w:tcW w:w="5553" w:type="dxa"/>
            <w:tcBorders>
              <w:top w:val="nil"/>
              <w:left w:val="single" w:sz="8" w:space="0" w:color="auto"/>
              <w:bottom w:val="single" w:sz="8" w:space="0" w:color="auto"/>
              <w:right w:val="single" w:sz="8" w:space="0" w:color="auto"/>
            </w:tcBorders>
            <w:hideMark/>
          </w:tcPr>
          <w:p w14:paraId="0F2599C4" w14:textId="77777777" w:rsidR="00D108C0" w:rsidRPr="00BD295E" w:rsidRDefault="008A5057" w:rsidP="00D108C0">
            <w:pPr>
              <w:spacing w:line="256" w:lineRule="auto"/>
              <w:ind w:left="-426" w:firstLine="284"/>
              <w:rPr>
                <w:rFonts w:ascii="Arial" w:hAnsi="Arial" w:cs="Arial"/>
                <w:sz w:val="18"/>
                <w:szCs w:val="18"/>
                <w:lang w:val="en-US"/>
              </w:rPr>
            </w:pPr>
            <w:r w:rsidRPr="00BD295E">
              <w:rPr>
                <w:rFonts w:ascii="Arial" w:hAnsi="Arial" w:cs="Arial"/>
                <w:sz w:val="18"/>
                <w:szCs w:val="18"/>
                <w:lang w:val="en-US"/>
              </w:rPr>
              <w:t xml:space="preserve"> Advances paid   </w:t>
            </w:r>
          </w:p>
        </w:tc>
        <w:tc>
          <w:tcPr>
            <w:tcW w:w="1418" w:type="dxa"/>
            <w:tcBorders>
              <w:top w:val="nil"/>
              <w:left w:val="nil"/>
              <w:bottom w:val="single" w:sz="8" w:space="0" w:color="auto"/>
              <w:right w:val="single" w:sz="8" w:space="0" w:color="auto"/>
            </w:tcBorders>
            <w:vAlign w:val="center"/>
          </w:tcPr>
          <w:p w14:paraId="3088BFA8"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675</w:t>
            </w:r>
          </w:p>
        </w:tc>
        <w:tc>
          <w:tcPr>
            <w:tcW w:w="1463" w:type="dxa"/>
            <w:tcBorders>
              <w:top w:val="nil"/>
              <w:left w:val="nil"/>
              <w:bottom w:val="single" w:sz="8" w:space="0" w:color="auto"/>
              <w:right w:val="single" w:sz="8" w:space="0" w:color="auto"/>
            </w:tcBorders>
            <w:vAlign w:val="center"/>
          </w:tcPr>
          <w:p w14:paraId="092D6681"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899</w:t>
            </w:r>
          </w:p>
        </w:tc>
        <w:tc>
          <w:tcPr>
            <w:tcW w:w="1406" w:type="dxa"/>
            <w:tcBorders>
              <w:top w:val="nil"/>
              <w:left w:val="nil"/>
              <w:bottom w:val="single" w:sz="8" w:space="0" w:color="auto"/>
              <w:right w:val="single" w:sz="8" w:space="0" w:color="auto"/>
            </w:tcBorders>
            <w:vAlign w:val="center"/>
          </w:tcPr>
          <w:p w14:paraId="2DC20781"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663</w:t>
            </w:r>
          </w:p>
        </w:tc>
      </w:tr>
      <w:tr w:rsidR="008A5057" w:rsidRPr="00BD295E" w14:paraId="1314482A" w14:textId="77777777" w:rsidTr="00C8400E">
        <w:trPr>
          <w:trHeight w:val="197"/>
        </w:trPr>
        <w:tc>
          <w:tcPr>
            <w:tcW w:w="5553" w:type="dxa"/>
            <w:tcBorders>
              <w:top w:val="nil"/>
              <w:left w:val="single" w:sz="8" w:space="0" w:color="auto"/>
              <w:bottom w:val="single" w:sz="8" w:space="0" w:color="auto"/>
              <w:right w:val="single" w:sz="8" w:space="0" w:color="auto"/>
            </w:tcBorders>
            <w:hideMark/>
          </w:tcPr>
          <w:p w14:paraId="21296BD5" w14:textId="77777777" w:rsidR="00D108C0" w:rsidRPr="00BD295E" w:rsidRDefault="008A5057" w:rsidP="00D108C0">
            <w:pPr>
              <w:spacing w:line="256" w:lineRule="auto"/>
              <w:ind w:left="-426" w:firstLine="284"/>
              <w:rPr>
                <w:rFonts w:ascii="Arial" w:hAnsi="Arial" w:cs="Arial"/>
                <w:sz w:val="18"/>
                <w:szCs w:val="18"/>
                <w:lang w:val="en-US"/>
              </w:rPr>
            </w:pPr>
            <w:r w:rsidRPr="00BD295E">
              <w:rPr>
                <w:rFonts w:ascii="Arial" w:hAnsi="Arial" w:cs="Arial"/>
                <w:sz w:val="18"/>
                <w:szCs w:val="18"/>
                <w:lang w:val="en-US"/>
              </w:rPr>
              <w:t xml:space="preserve"> Other accounts receivable</w:t>
            </w:r>
          </w:p>
        </w:tc>
        <w:tc>
          <w:tcPr>
            <w:tcW w:w="1418" w:type="dxa"/>
            <w:tcBorders>
              <w:top w:val="nil"/>
              <w:left w:val="nil"/>
              <w:bottom w:val="single" w:sz="8" w:space="0" w:color="auto"/>
              <w:right w:val="single" w:sz="8" w:space="0" w:color="auto"/>
            </w:tcBorders>
            <w:vAlign w:val="center"/>
          </w:tcPr>
          <w:p w14:paraId="4D1A9B27"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2,544</w:t>
            </w:r>
          </w:p>
        </w:tc>
        <w:tc>
          <w:tcPr>
            <w:tcW w:w="1463" w:type="dxa"/>
            <w:tcBorders>
              <w:top w:val="nil"/>
              <w:left w:val="nil"/>
              <w:bottom w:val="single" w:sz="8" w:space="0" w:color="auto"/>
              <w:right w:val="single" w:sz="8" w:space="0" w:color="auto"/>
            </w:tcBorders>
            <w:vAlign w:val="center"/>
          </w:tcPr>
          <w:p w14:paraId="10BEF9AB"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2,288</w:t>
            </w:r>
          </w:p>
        </w:tc>
        <w:tc>
          <w:tcPr>
            <w:tcW w:w="1406" w:type="dxa"/>
            <w:tcBorders>
              <w:top w:val="nil"/>
              <w:left w:val="nil"/>
              <w:bottom w:val="single" w:sz="8" w:space="0" w:color="auto"/>
              <w:right w:val="single" w:sz="8" w:space="0" w:color="auto"/>
            </w:tcBorders>
            <w:vAlign w:val="center"/>
          </w:tcPr>
          <w:p w14:paraId="097CC813" w14:textId="77777777" w:rsidR="00D108C0" w:rsidRPr="00BD295E" w:rsidRDefault="008A5057" w:rsidP="00D108C0">
            <w:pPr>
              <w:ind w:firstLine="80"/>
              <w:jc w:val="center"/>
              <w:rPr>
                <w:rFonts w:ascii="Arial" w:hAnsi="Arial" w:cs="Arial"/>
                <w:sz w:val="18"/>
                <w:szCs w:val="18"/>
                <w:lang w:val="en-US"/>
              </w:rPr>
            </w:pPr>
            <w:r w:rsidRPr="00BD295E">
              <w:rPr>
                <w:rFonts w:ascii="Arial" w:hAnsi="Arial" w:cs="Arial"/>
                <w:sz w:val="18"/>
                <w:szCs w:val="18"/>
                <w:lang w:val="en-US"/>
              </w:rPr>
              <w:t>1,512</w:t>
            </w:r>
          </w:p>
        </w:tc>
      </w:tr>
    </w:tbl>
    <w:p w14:paraId="0C211CC6" w14:textId="77777777" w:rsidR="00D108C0" w:rsidRPr="00BD295E" w:rsidRDefault="008A5057" w:rsidP="00D108C0">
      <w:pPr>
        <w:pStyle w:val="af3"/>
        <w:ind w:left="0"/>
        <w:jc w:val="both"/>
        <w:rPr>
          <w:rFonts w:ascii="Arial" w:hAnsi="Arial" w:cs="Arial"/>
          <w:sz w:val="12"/>
          <w:szCs w:val="12"/>
          <w:lang w:val="en-US"/>
        </w:rPr>
      </w:pPr>
      <w:r w:rsidRPr="00BD295E">
        <w:rPr>
          <w:rFonts w:ascii="Arial" w:hAnsi="Arial" w:cs="Arial"/>
          <w:sz w:val="12"/>
          <w:szCs w:val="12"/>
          <w:lang w:val="en-US"/>
        </w:rPr>
        <w:t>*Note: the table shows total accounts receivable (long-term and short-term, line 1230 of the balance sheet) in accordance with the Company’s financial statements for the reporting period.</w:t>
      </w:r>
    </w:p>
    <w:p w14:paraId="6D597D2B" w14:textId="77777777" w:rsidR="00D108C0" w:rsidRPr="00BD295E" w:rsidRDefault="00D108C0" w:rsidP="00D108C0">
      <w:pPr>
        <w:ind w:left="-426" w:firstLine="284"/>
        <w:jc w:val="both"/>
        <w:rPr>
          <w:rFonts w:ascii="Arial" w:hAnsi="Arial" w:cs="Arial"/>
          <w:i/>
          <w:sz w:val="18"/>
          <w:szCs w:val="18"/>
          <w:lang w:val="en-US"/>
        </w:rPr>
      </w:pPr>
    </w:p>
    <w:p w14:paraId="1D23BF07" w14:textId="77777777" w:rsidR="00D108C0" w:rsidRPr="00BD295E" w:rsidRDefault="008A5057" w:rsidP="00D108C0">
      <w:pPr>
        <w:pStyle w:val="af3"/>
        <w:ind w:left="0" w:firstLine="567"/>
        <w:jc w:val="both"/>
        <w:rPr>
          <w:rFonts w:ascii="Arial" w:hAnsi="Arial" w:cs="Arial"/>
          <w:sz w:val="18"/>
          <w:szCs w:val="18"/>
          <w:lang w:val="en-US"/>
        </w:rPr>
      </w:pPr>
      <w:r w:rsidRPr="00BD295E">
        <w:rPr>
          <w:rFonts w:ascii="Arial" w:hAnsi="Arial" w:cs="Arial"/>
          <w:sz w:val="18"/>
          <w:szCs w:val="18"/>
          <w:lang w:val="en-US"/>
        </w:rPr>
        <w:t xml:space="preserve">The total net accounts receivable of the Company is RUB 6,425 million as at December 31, 2018, and RUB 7,675 million as at December 31, 2017. Total net accounts receivable for 12M 2018 decreased by RUB 1,250 million (16%), mainly due to a decrease in trade receivables by RUB 237 million (5%), advanced paid by RUB 237 million (26%), and other accounts receivable by RUB 776 million (34%).   </w:t>
      </w:r>
    </w:p>
    <w:p w14:paraId="7F64324D" w14:textId="77777777" w:rsidR="00D108C0" w:rsidRPr="00BD295E" w:rsidRDefault="008A5057" w:rsidP="00D108C0">
      <w:pPr>
        <w:pStyle w:val="af3"/>
        <w:ind w:left="0" w:firstLine="274"/>
        <w:jc w:val="both"/>
        <w:rPr>
          <w:rFonts w:ascii="Arial" w:hAnsi="Arial" w:cs="Arial"/>
          <w:sz w:val="18"/>
          <w:szCs w:val="18"/>
          <w:lang w:val="en-US"/>
        </w:rPr>
      </w:pPr>
      <w:r w:rsidRPr="00BD295E">
        <w:rPr>
          <w:rFonts w:ascii="Arial" w:hAnsi="Arial" w:cs="Arial"/>
          <w:sz w:val="18"/>
          <w:szCs w:val="18"/>
          <w:lang w:val="en-US"/>
        </w:rPr>
        <w:t xml:space="preserve">       Total decrease in trade receivables by RUB 237 million was due to:</w:t>
      </w:r>
    </w:p>
    <w:p w14:paraId="41EAAE1B" w14:textId="77777777" w:rsidR="00D108C0" w:rsidRPr="00BD295E" w:rsidRDefault="008A5057" w:rsidP="00CA2271">
      <w:pPr>
        <w:pStyle w:val="af3"/>
        <w:numPr>
          <w:ilvl w:val="0"/>
          <w:numId w:val="108"/>
        </w:numPr>
        <w:ind w:left="0" w:firstLine="0"/>
        <w:jc w:val="both"/>
        <w:rPr>
          <w:rFonts w:ascii="Arial" w:hAnsi="Arial" w:cs="Arial"/>
          <w:sz w:val="18"/>
          <w:szCs w:val="18"/>
          <w:lang w:val="en-US"/>
        </w:rPr>
      </w:pPr>
      <w:r w:rsidRPr="00BD295E">
        <w:rPr>
          <w:rFonts w:ascii="Arial" w:hAnsi="Arial" w:cs="Arial"/>
          <w:sz w:val="18"/>
          <w:szCs w:val="18"/>
          <w:lang w:val="en-US"/>
        </w:rPr>
        <w:t xml:space="preserve">a decrease in accounts receivable for a total of RUB 563 million, including: by RUB 455 million for grid connection services (mainly due to repayment of debt owed by the largest consumers such as SPb Renovatsiya, JSC, Leader-88, LLC, and NPO Pigment, LLC); by RUB 105 million  for other activities, mainly due to partial repayment of accounts receivable for maintenance of electric installations; and by RUB 3 million due to partial repayment of debt owed for detected non-contractual and non-metered electricity consumption;  </w:t>
      </w:r>
    </w:p>
    <w:p w14:paraId="63261EA5" w14:textId="1E1C4303" w:rsidR="009075EF"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at the same time, accounts receivable increased: by RUB 251 million for debt owed to energy retailers for electricity distribution services; by RUB 19 million for performing the functions of sole executive bodies of </w:t>
      </w:r>
      <w:r w:rsidR="006515AB" w:rsidRPr="00BD295E">
        <w:rPr>
          <w:rFonts w:ascii="Arial" w:hAnsi="Arial" w:cs="Arial"/>
          <w:sz w:val="18"/>
          <w:szCs w:val="18"/>
          <w:lang w:val="en-US"/>
        </w:rPr>
        <w:t>subsidiaries and affiliates</w:t>
      </w:r>
      <w:r w:rsidR="00435F05" w:rsidRPr="00BD295E">
        <w:rPr>
          <w:rFonts w:ascii="Arial" w:hAnsi="Arial" w:cs="Arial"/>
          <w:sz w:val="18"/>
          <w:szCs w:val="18"/>
          <w:lang w:val="en-US"/>
        </w:rPr>
        <w:t xml:space="preserve">; and by RUB 56 million </w:t>
      </w:r>
      <w:r w:rsidRPr="00BD295E">
        <w:rPr>
          <w:rFonts w:ascii="Arial" w:hAnsi="Arial" w:cs="Arial"/>
          <w:sz w:val="18"/>
          <w:szCs w:val="18"/>
          <w:lang w:val="en-US"/>
        </w:rPr>
        <w:t>- for rental income.</w:t>
      </w:r>
    </w:p>
    <w:p w14:paraId="48727BCE" w14:textId="77777777" w:rsidR="009075EF" w:rsidRPr="00BD295E" w:rsidRDefault="009075EF" w:rsidP="009075EF">
      <w:pPr>
        <w:pStyle w:val="af3"/>
        <w:ind w:left="0"/>
        <w:contextualSpacing w:val="0"/>
        <w:jc w:val="both"/>
        <w:rPr>
          <w:rFonts w:ascii="Arial" w:hAnsi="Arial" w:cs="Arial"/>
          <w:sz w:val="18"/>
          <w:szCs w:val="18"/>
          <w:lang w:val="en-US"/>
        </w:rPr>
      </w:pPr>
    </w:p>
    <w:p w14:paraId="6B045BD6" w14:textId="77777777" w:rsidR="00D108C0" w:rsidRPr="00BD295E" w:rsidRDefault="008A5057" w:rsidP="009075EF">
      <w:pPr>
        <w:pStyle w:val="af3"/>
        <w:ind w:left="0"/>
        <w:contextualSpacing w:val="0"/>
        <w:jc w:val="both"/>
        <w:rPr>
          <w:rFonts w:ascii="Arial" w:hAnsi="Arial" w:cs="Arial"/>
          <w:sz w:val="18"/>
          <w:szCs w:val="18"/>
          <w:lang w:val="en-US"/>
        </w:rPr>
      </w:pPr>
      <w:r w:rsidRPr="00BD295E">
        <w:rPr>
          <w:rFonts w:ascii="Arial" w:hAnsi="Arial" w:cs="Arial"/>
          <w:sz w:val="18"/>
          <w:szCs w:val="18"/>
          <w:lang w:val="en-US"/>
        </w:rPr>
        <w:t>The overall decrease in debt for advances paid by RUB 237 million was due to:</w:t>
      </w:r>
    </w:p>
    <w:p w14:paraId="2143FDF5" w14:textId="5BAABFC9" w:rsidR="00D108C0"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a decrease in accounts receivable by a total of RUB 280 million, including: by RUB 102 million - for acquisition of electricity to offset network losses under the contract with Petersburg </w:t>
      </w:r>
      <w:r w:rsidR="00396716" w:rsidRPr="00BD295E">
        <w:rPr>
          <w:rFonts w:ascii="Arial" w:hAnsi="Arial" w:cs="Arial"/>
          <w:sz w:val="18"/>
          <w:szCs w:val="18"/>
          <w:lang w:val="en-US"/>
        </w:rPr>
        <w:t>Power Sales Company, JSC; by RUB</w:t>
      </w:r>
      <w:r w:rsidRPr="00BD295E">
        <w:rPr>
          <w:rFonts w:ascii="Arial" w:hAnsi="Arial" w:cs="Arial"/>
          <w:sz w:val="18"/>
          <w:szCs w:val="18"/>
          <w:lang w:val="en-US"/>
        </w:rPr>
        <w:t xml:space="preserve"> 176 million for services under expense contracts for grid connection to allied grid organizations, mainly due to the repayment of debt by Russian Railways, JSC, and South-West T</w:t>
      </w:r>
      <w:r w:rsidR="00396716" w:rsidRPr="00BD295E">
        <w:rPr>
          <w:rFonts w:ascii="Arial" w:hAnsi="Arial" w:cs="Arial"/>
          <w:sz w:val="18"/>
          <w:szCs w:val="18"/>
          <w:lang w:val="en-US"/>
        </w:rPr>
        <w:t>hermal Power Plant, JSC; and RUB</w:t>
      </w:r>
      <w:r w:rsidRPr="00BD295E">
        <w:rPr>
          <w:rFonts w:ascii="Arial" w:hAnsi="Arial" w:cs="Arial"/>
          <w:sz w:val="18"/>
          <w:szCs w:val="18"/>
          <w:lang w:val="en-US"/>
        </w:rPr>
        <w:t xml:space="preserve"> 2 million. - for other debtors;</w:t>
      </w:r>
    </w:p>
    <w:p w14:paraId="487251FB" w14:textId="77777777" w:rsidR="00D108C0"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at the same time, accounts receivable increased with respect to other service providers by RUB 41 million, with advances paid for capital construction up by RUB 2 million (due to a decrease in bad debt provisions). </w:t>
      </w:r>
    </w:p>
    <w:p w14:paraId="64BFE9F1" w14:textId="77777777" w:rsidR="00D108C0" w:rsidRPr="00BD295E" w:rsidRDefault="008A5057" w:rsidP="00D108C0">
      <w:pPr>
        <w:pStyle w:val="af9"/>
        <w:rPr>
          <w:rFonts w:ascii="Arial" w:hAnsi="Arial" w:cs="Arial"/>
          <w:sz w:val="18"/>
          <w:szCs w:val="18"/>
          <w:lang w:val="en-US"/>
        </w:rPr>
      </w:pPr>
      <w:r w:rsidRPr="00BD295E">
        <w:rPr>
          <w:rFonts w:ascii="Arial" w:hAnsi="Arial" w:cs="Arial"/>
          <w:sz w:val="18"/>
          <w:szCs w:val="18"/>
          <w:lang w:val="en-US"/>
        </w:rPr>
        <w:t xml:space="preserve">   The overall decrease in other debt by RUB 776 million was driven by: </w:t>
      </w:r>
    </w:p>
    <w:p w14:paraId="317EA1A3" w14:textId="77777777" w:rsidR="00D108C0" w:rsidRPr="00BD295E" w:rsidRDefault="008A5057" w:rsidP="00CA2271">
      <w:pPr>
        <w:pStyle w:val="af3"/>
        <w:numPr>
          <w:ilvl w:val="0"/>
          <w:numId w:val="108"/>
        </w:numPr>
        <w:tabs>
          <w:tab w:val="left" w:pos="709"/>
        </w:tabs>
        <w:ind w:left="0" w:firstLine="0"/>
        <w:jc w:val="both"/>
        <w:rPr>
          <w:rFonts w:ascii="Arial" w:hAnsi="Arial" w:cs="Arial"/>
          <w:sz w:val="18"/>
          <w:szCs w:val="18"/>
          <w:lang w:val="en-US"/>
        </w:rPr>
      </w:pPr>
      <w:r w:rsidRPr="00BD295E">
        <w:rPr>
          <w:rFonts w:ascii="Arial" w:hAnsi="Arial" w:cs="Arial"/>
          <w:sz w:val="18"/>
          <w:szCs w:val="18"/>
          <w:lang w:val="en-US"/>
        </w:rPr>
        <w:t xml:space="preserve">a decrease in accounts receivable by a total of RUB 1,051 million, including: by RUB 824 million for debt owed by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and </w:t>
      </w:r>
      <w:r w:rsidR="00A07300" w:rsidRPr="00BD295E">
        <w:rPr>
          <w:rFonts w:ascii="Arial" w:hAnsi="Arial" w:cs="Arial"/>
          <w:sz w:val="18"/>
          <w:szCs w:val="18"/>
          <w:lang w:val="en-US"/>
        </w:rPr>
        <w:t>JSC “Petrodvorets Electric Company”</w:t>
      </w:r>
      <w:r w:rsidRPr="00BD295E">
        <w:rPr>
          <w:rFonts w:ascii="Arial" w:hAnsi="Arial" w:cs="Arial"/>
          <w:sz w:val="18"/>
          <w:szCs w:val="18"/>
          <w:lang w:val="en-US"/>
        </w:rPr>
        <w:t xml:space="preserve"> for the transfer of funds to the Company under trilateral novation agreements, previously paid by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to the relevant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under grid connection contracts; by RUB 101 million for repayment of overpaid dividends to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by RUB 55 million for amounts outstanding under legal proceedings; by RUB 38 million for repayment by counterparties of interest and penalties accrued under the electricity transit (transmission) restructuring agreements (income); by RUB 30 million for an overall decrease in amounts owed by non-government pension funds (at the period end, debt carried over from National Pension Fund of the Electricity Industry, JSC due to its reorganization through merger with the Non-Government Pension Fund LUKOIL-GARANT; the debt was RUB 102 million at the period start and RUB 72 million at the period end; - by RUB 3 million in penalties for breach of the rent payment schedule under income-bearing rental agreements. </w:t>
      </w:r>
    </w:p>
    <w:p w14:paraId="620BB0F2" w14:textId="77777777" w:rsidR="00C90D08"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at the same time, accounts receivable increased by a total of RUB 275 million due to: an increase in overpaid taxes, mainly property tax, as well as payments to non-government extra-budgetary funds by RUB 40 million; an increase in accounts receivable by RUB 120 million in dividends owed by Registrator R.O.S.T, JSC (a counterparty);     - an increase in accounts receivable by RUB 76 million owed by </w:t>
      </w:r>
      <w:r w:rsidR="00472677" w:rsidRPr="00BD295E">
        <w:rPr>
          <w:rFonts w:ascii="Arial" w:hAnsi="Arial" w:cs="Arial"/>
          <w:sz w:val="18"/>
          <w:szCs w:val="18"/>
          <w:lang w:val="en-US"/>
        </w:rPr>
        <w:t>IDGC of Northern Caucasus, PJSC</w:t>
      </w:r>
      <w:r w:rsidRPr="00BD295E">
        <w:rPr>
          <w:rFonts w:ascii="Arial" w:hAnsi="Arial" w:cs="Arial"/>
          <w:sz w:val="18"/>
          <w:szCs w:val="18"/>
          <w:lang w:val="en-US"/>
        </w:rPr>
        <w:t xml:space="preserve"> for delivery of equipment and expenses on joint drills; an increase in accounts receivable by RUB 19 million - for interest accrued under deposit contracts; an increase in accounts receivable by RUB 20 million owed by other debtors (land rent, state duty expenses, other debtors).</w:t>
      </w:r>
    </w:p>
    <w:p w14:paraId="75901FBC" w14:textId="77777777" w:rsidR="00D108C0"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The bulk of the Company’s accounts receivable (45%) come from electricity distribution services provided by the Company.</w:t>
      </w:r>
    </w:p>
    <w:p w14:paraId="351E57BF" w14:textId="77777777" w:rsidR="00D108C0" w:rsidRPr="00BD295E" w:rsidRDefault="00D108C0" w:rsidP="0031297B">
      <w:pPr>
        <w:pStyle w:val="af3"/>
        <w:ind w:left="-426" w:firstLine="284"/>
        <w:jc w:val="both"/>
        <w:rPr>
          <w:rFonts w:ascii="Arial" w:hAnsi="Arial" w:cs="Arial"/>
          <w:sz w:val="18"/>
          <w:szCs w:val="18"/>
          <w:lang w:val="en-US"/>
        </w:rPr>
      </w:pPr>
      <w:bookmarkStart w:id="239" w:name="_Toc506469830"/>
    </w:p>
    <w:p w14:paraId="68191C51"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As a result of the Company’s claim management aimed to recover overdue accounts receivable for electricity transmission services in 2018, positive court decisions were awarded for 35 court cases for a total of RUB 69.18 million of claims. There were no awards made not in favor of the Company in 2018. The share of claims awarded in favor of the Company was 100%, up 0.03 p.p. year on year (99.97% in 2017).</w:t>
      </w:r>
    </w:p>
    <w:p w14:paraId="266038C7"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As at December 31, 2018, the amount of claims enforceable under writs of execution with respect to outstanding amounts owed for electricity distribution services was RUB 959.61 million, including:</w:t>
      </w:r>
    </w:p>
    <w:p w14:paraId="546EEC9B"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a principal of RUB 884.03 million;</w:t>
      </w:r>
    </w:p>
    <w:p w14:paraId="3E77C6A2"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 RUB 74.85 million of interest;</w:t>
      </w:r>
    </w:p>
    <w:p w14:paraId="140C03E7"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-RUB 0.72 million of court expenses and state duties.</w:t>
      </w:r>
    </w:p>
    <w:p w14:paraId="2BFE8099"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As at December 31, 2018, the amount of claims enforceable under writs of execution issued in 2018 with respect to outstanding amounts owed for electricity distribution services was RUB 21.39 million, including:</w:t>
      </w:r>
    </w:p>
    <w:p w14:paraId="5D983297"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Cambria Math" w:hAnsi="Cambria Math" w:cs="Cambria Math"/>
          <w:sz w:val="18"/>
          <w:szCs w:val="18"/>
          <w:lang w:val="en-US"/>
        </w:rPr>
        <w:t>‐</w:t>
      </w:r>
      <w:r w:rsidRPr="00BD295E">
        <w:rPr>
          <w:rFonts w:ascii="Arial" w:hAnsi="Arial" w:cs="Arial"/>
          <w:sz w:val="18"/>
          <w:szCs w:val="18"/>
          <w:lang w:val="en-US"/>
        </w:rPr>
        <w:t xml:space="preserve"> a principal of RUB 0.00 million;</w:t>
      </w:r>
    </w:p>
    <w:p w14:paraId="32D9AFDC"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 RUB 21.00 million of interest;</w:t>
      </w:r>
    </w:p>
    <w:p w14:paraId="643C5F11"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-RUB 0.39 million of court expenses and state duties.</w:t>
      </w:r>
    </w:p>
    <w:p w14:paraId="7B17E856"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The amount of claims enforced under writs of execution for recovering debt for electricity transmission services in 2018 totaled RUB 62.59 million, including:</w:t>
      </w:r>
    </w:p>
    <w:p w14:paraId="5F39314A"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 RUB 30.57 million transferred by the bank (debited from accounts);</w:t>
      </w:r>
    </w:p>
    <w:p w14:paraId="3024BC13" w14:textId="77777777" w:rsidR="007542CB" w:rsidRPr="00BD295E" w:rsidRDefault="008A5057" w:rsidP="00CA2271">
      <w:pPr>
        <w:pStyle w:val="af3"/>
        <w:numPr>
          <w:ilvl w:val="0"/>
          <w:numId w:val="108"/>
        </w:numPr>
        <w:ind w:left="0" w:firstLine="0"/>
        <w:contextualSpacing w:val="0"/>
        <w:jc w:val="both"/>
        <w:rPr>
          <w:rFonts w:ascii="Arial" w:hAnsi="Arial" w:cs="Arial"/>
          <w:sz w:val="18"/>
          <w:szCs w:val="18"/>
          <w:lang w:val="en-US"/>
        </w:rPr>
      </w:pPr>
      <w:r w:rsidRPr="00BD295E">
        <w:rPr>
          <w:rFonts w:ascii="Arial" w:hAnsi="Arial" w:cs="Arial"/>
          <w:sz w:val="18"/>
          <w:szCs w:val="18"/>
          <w:lang w:val="en-US"/>
        </w:rPr>
        <w:t>- RUB 32.01 million collected by the Russian Federal Service of Court Bailiffs.</w:t>
      </w:r>
    </w:p>
    <w:p w14:paraId="0C4FF6BA" w14:textId="77777777" w:rsidR="007542CB" w:rsidRPr="00BD295E" w:rsidRDefault="007542CB" w:rsidP="0031297B">
      <w:pPr>
        <w:pStyle w:val="af3"/>
        <w:ind w:left="-426" w:firstLine="284"/>
        <w:jc w:val="both"/>
        <w:rPr>
          <w:rFonts w:ascii="Arial" w:hAnsi="Arial" w:cs="Arial"/>
          <w:sz w:val="18"/>
          <w:szCs w:val="18"/>
          <w:lang w:val="en-US"/>
        </w:rPr>
      </w:pPr>
    </w:p>
    <w:p w14:paraId="72B8FE88" w14:textId="77777777" w:rsidR="00D108C0" w:rsidRPr="00BD295E" w:rsidRDefault="008A5057" w:rsidP="0031297B">
      <w:pPr>
        <w:pStyle w:val="af3"/>
        <w:ind w:left="-426" w:firstLine="284"/>
        <w:jc w:val="both"/>
        <w:rPr>
          <w:rFonts w:ascii="Arial" w:hAnsi="Arial" w:cs="Arial"/>
          <w:b/>
          <w:sz w:val="18"/>
          <w:szCs w:val="18"/>
          <w:lang w:val="en-US"/>
        </w:rPr>
      </w:pPr>
      <w:r w:rsidRPr="00BD295E">
        <w:rPr>
          <w:rFonts w:ascii="Arial" w:hAnsi="Arial" w:cs="Arial"/>
          <w:b/>
          <w:sz w:val="18"/>
          <w:szCs w:val="18"/>
          <w:lang w:val="en-US"/>
        </w:rPr>
        <w:t>Accounts payable</w:t>
      </w:r>
      <w:bookmarkEnd w:id="239"/>
    </w:p>
    <w:p w14:paraId="3E0993C1" w14:textId="77777777" w:rsidR="00D108C0" w:rsidRPr="00BD295E" w:rsidRDefault="00D108C0" w:rsidP="00D108C0">
      <w:pPr>
        <w:pStyle w:val="af3"/>
        <w:ind w:left="-426" w:firstLine="284"/>
        <w:jc w:val="both"/>
        <w:rPr>
          <w:rFonts w:ascii="Arial" w:hAnsi="Arial" w:cs="Arial"/>
          <w:sz w:val="18"/>
          <w:szCs w:val="18"/>
          <w:lang w:val="en-US"/>
        </w:rPr>
      </w:pPr>
    </w:p>
    <w:p w14:paraId="10761FC5" w14:textId="77777777" w:rsidR="00D108C0" w:rsidRPr="00BD295E" w:rsidRDefault="008A5057" w:rsidP="00D108C0">
      <w:pPr>
        <w:ind w:left="-426" w:firstLine="284"/>
        <w:rPr>
          <w:rFonts w:ascii="Arial" w:eastAsia="Calibri" w:hAnsi="Arial" w:cs="Arial"/>
          <w:sz w:val="18"/>
          <w:szCs w:val="18"/>
          <w:lang w:val="en-US"/>
        </w:rPr>
      </w:pPr>
      <w:r w:rsidRPr="00BD295E">
        <w:rPr>
          <w:rFonts w:ascii="Arial" w:hAnsi="Arial" w:cs="Arial"/>
          <w:sz w:val="18"/>
          <w:szCs w:val="18"/>
          <w:lang w:val="en-US"/>
        </w:rPr>
        <w:t>Analysis of changes in accounts payable,* RUB million</w:t>
      </w:r>
    </w:p>
    <w:tbl>
      <w:tblPr>
        <w:tblW w:w="9924" w:type="dxa"/>
        <w:tblInd w:w="-318" w:type="dxa"/>
        <w:tblLook w:val="04A0" w:firstRow="1" w:lastRow="0" w:firstColumn="1" w:lastColumn="0" w:noHBand="0" w:noVBand="1"/>
      </w:tblPr>
      <w:tblGrid>
        <w:gridCol w:w="5529"/>
        <w:gridCol w:w="1418"/>
        <w:gridCol w:w="1276"/>
        <w:gridCol w:w="1701"/>
      </w:tblGrid>
      <w:tr w:rsidR="008A5057" w:rsidRPr="00BD295E" w14:paraId="6B40ED75" w14:textId="77777777" w:rsidTr="00D108C0">
        <w:trPr>
          <w:trHeight w:val="893"/>
          <w:tblHeader/>
        </w:trPr>
        <w:tc>
          <w:tcPr>
            <w:tcW w:w="5529" w:type="dxa"/>
            <w:vMerge w:val="restart"/>
            <w:tcBorders>
              <w:top w:val="single" w:sz="8" w:space="0" w:color="auto"/>
              <w:left w:val="single" w:sz="8" w:space="0" w:color="auto"/>
              <w:bottom w:val="single" w:sz="8" w:space="0" w:color="auto"/>
              <w:right w:val="single" w:sz="8" w:space="0" w:color="auto"/>
            </w:tcBorders>
            <w:vAlign w:val="center"/>
            <w:hideMark/>
          </w:tcPr>
          <w:p w14:paraId="1EAD7514"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Indicator</w:t>
            </w:r>
          </w:p>
        </w:tc>
        <w:tc>
          <w:tcPr>
            <w:tcW w:w="1418" w:type="dxa"/>
            <w:tcBorders>
              <w:top w:val="single" w:sz="8" w:space="0" w:color="auto"/>
              <w:left w:val="nil"/>
              <w:bottom w:val="nil"/>
              <w:right w:val="single" w:sz="8" w:space="0" w:color="000000"/>
            </w:tcBorders>
            <w:vAlign w:val="center"/>
            <w:hideMark/>
          </w:tcPr>
          <w:p w14:paraId="7F712FB1"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 xml:space="preserve">as at </w:t>
            </w:r>
          </w:p>
          <w:p w14:paraId="343F98AE"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31.12.2016</w:t>
            </w:r>
          </w:p>
        </w:tc>
        <w:tc>
          <w:tcPr>
            <w:tcW w:w="1276" w:type="dxa"/>
            <w:tcBorders>
              <w:top w:val="single" w:sz="8" w:space="0" w:color="auto"/>
              <w:left w:val="nil"/>
              <w:bottom w:val="nil"/>
              <w:right w:val="single" w:sz="8" w:space="0" w:color="000000"/>
            </w:tcBorders>
            <w:vAlign w:val="center"/>
            <w:hideMark/>
          </w:tcPr>
          <w:p w14:paraId="06D11CF6"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 xml:space="preserve">as at </w:t>
            </w:r>
          </w:p>
          <w:p w14:paraId="1F50C35D"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31.12.2017</w:t>
            </w:r>
          </w:p>
        </w:tc>
        <w:tc>
          <w:tcPr>
            <w:tcW w:w="1701" w:type="dxa"/>
            <w:tcBorders>
              <w:top w:val="single" w:sz="8" w:space="0" w:color="auto"/>
              <w:left w:val="nil"/>
              <w:bottom w:val="nil"/>
              <w:right w:val="single" w:sz="8" w:space="0" w:color="000000"/>
            </w:tcBorders>
            <w:vAlign w:val="center"/>
            <w:hideMark/>
          </w:tcPr>
          <w:p w14:paraId="786390E3"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 xml:space="preserve">as at </w:t>
            </w:r>
          </w:p>
          <w:p w14:paraId="1EBA46F5"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31.12.2018</w:t>
            </w:r>
          </w:p>
        </w:tc>
      </w:tr>
      <w:tr w:rsidR="008A5057" w:rsidRPr="00BD295E" w14:paraId="5C7040D3" w14:textId="77777777" w:rsidTr="00D108C0">
        <w:trPr>
          <w:trHeight w:val="133"/>
        </w:trPr>
        <w:tc>
          <w:tcPr>
            <w:tcW w:w="0" w:type="auto"/>
            <w:vMerge/>
            <w:tcBorders>
              <w:top w:val="single" w:sz="8" w:space="0" w:color="auto"/>
              <w:left w:val="single" w:sz="8" w:space="0" w:color="auto"/>
              <w:bottom w:val="single" w:sz="8" w:space="0" w:color="auto"/>
              <w:right w:val="single" w:sz="8" w:space="0" w:color="auto"/>
            </w:tcBorders>
            <w:vAlign w:val="center"/>
            <w:hideMark/>
          </w:tcPr>
          <w:p w14:paraId="34E29425" w14:textId="77777777" w:rsidR="00D108C0" w:rsidRPr="00BD295E" w:rsidRDefault="00D108C0" w:rsidP="00D108C0">
            <w:pPr>
              <w:rPr>
                <w:rFonts w:ascii="Arial" w:hAnsi="Arial" w:cs="Arial"/>
                <w:bCs/>
                <w:sz w:val="18"/>
                <w:szCs w:val="18"/>
                <w:lang w:val="en-US" w:eastAsia="en-US"/>
              </w:rPr>
            </w:pPr>
          </w:p>
        </w:tc>
        <w:tc>
          <w:tcPr>
            <w:tcW w:w="1418" w:type="dxa"/>
            <w:tcBorders>
              <w:top w:val="nil"/>
              <w:left w:val="nil"/>
              <w:bottom w:val="single" w:sz="8" w:space="0" w:color="auto"/>
              <w:right w:val="single" w:sz="8" w:space="0" w:color="auto"/>
            </w:tcBorders>
            <w:vAlign w:val="center"/>
          </w:tcPr>
          <w:p w14:paraId="735A25FB" w14:textId="77777777" w:rsidR="00D108C0" w:rsidRPr="00BD295E" w:rsidRDefault="00D108C0" w:rsidP="00D108C0">
            <w:pPr>
              <w:spacing w:line="256" w:lineRule="auto"/>
              <w:ind w:left="-426" w:firstLine="284"/>
              <w:jc w:val="center"/>
              <w:rPr>
                <w:rFonts w:ascii="Arial" w:hAnsi="Arial" w:cs="Arial"/>
                <w:bCs/>
                <w:sz w:val="18"/>
                <w:szCs w:val="18"/>
                <w:lang w:val="en-US" w:eastAsia="en-US"/>
              </w:rPr>
            </w:pPr>
          </w:p>
        </w:tc>
        <w:tc>
          <w:tcPr>
            <w:tcW w:w="1276" w:type="dxa"/>
            <w:tcBorders>
              <w:top w:val="nil"/>
              <w:left w:val="nil"/>
              <w:bottom w:val="single" w:sz="8" w:space="0" w:color="auto"/>
              <w:right w:val="single" w:sz="8" w:space="0" w:color="auto"/>
            </w:tcBorders>
            <w:vAlign w:val="center"/>
          </w:tcPr>
          <w:p w14:paraId="64700684" w14:textId="77777777" w:rsidR="00D108C0" w:rsidRPr="00BD295E" w:rsidRDefault="00D108C0" w:rsidP="00D108C0">
            <w:pPr>
              <w:spacing w:line="256" w:lineRule="auto"/>
              <w:ind w:left="-426" w:firstLine="284"/>
              <w:jc w:val="center"/>
              <w:rPr>
                <w:rFonts w:ascii="Arial" w:hAnsi="Arial" w:cs="Arial"/>
                <w:bCs/>
                <w:sz w:val="18"/>
                <w:szCs w:val="18"/>
                <w:lang w:val="en-US" w:eastAsia="en-US"/>
              </w:rPr>
            </w:pPr>
          </w:p>
        </w:tc>
        <w:tc>
          <w:tcPr>
            <w:tcW w:w="1701" w:type="dxa"/>
            <w:tcBorders>
              <w:top w:val="nil"/>
              <w:left w:val="nil"/>
              <w:bottom w:val="single" w:sz="8" w:space="0" w:color="auto"/>
              <w:right w:val="single" w:sz="8" w:space="0" w:color="auto"/>
            </w:tcBorders>
            <w:vAlign w:val="center"/>
          </w:tcPr>
          <w:p w14:paraId="38B6EB5E" w14:textId="77777777" w:rsidR="00D108C0" w:rsidRPr="00BD295E" w:rsidRDefault="00D108C0" w:rsidP="00D108C0">
            <w:pPr>
              <w:spacing w:line="256" w:lineRule="auto"/>
              <w:ind w:left="-426" w:firstLine="284"/>
              <w:jc w:val="center"/>
              <w:rPr>
                <w:rFonts w:ascii="Arial" w:hAnsi="Arial" w:cs="Arial"/>
                <w:bCs/>
                <w:sz w:val="18"/>
                <w:szCs w:val="18"/>
                <w:lang w:val="en-US" w:eastAsia="en-US"/>
              </w:rPr>
            </w:pPr>
          </w:p>
        </w:tc>
      </w:tr>
      <w:tr w:rsidR="008A5057" w:rsidRPr="00BD295E" w14:paraId="64CD7BE8" w14:textId="77777777" w:rsidTr="00D108C0">
        <w:trPr>
          <w:trHeight w:val="133"/>
        </w:trPr>
        <w:tc>
          <w:tcPr>
            <w:tcW w:w="5529" w:type="dxa"/>
            <w:tcBorders>
              <w:top w:val="nil"/>
              <w:left w:val="single" w:sz="8" w:space="0" w:color="auto"/>
              <w:bottom w:val="single" w:sz="8" w:space="0" w:color="auto"/>
              <w:right w:val="single" w:sz="8" w:space="0" w:color="auto"/>
            </w:tcBorders>
            <w:hideMark/>
          </w:tcPr>
          <w:p w14:paraId="5973CA06" w14:textId="77777777" w:rsidR="00D108C0" w:rsidRPr="00BD295E" w:rsidRDefault="008A5057" w:rsidP="00D108C0">
            <w:pPr>
              <w:spacing w:line="256" w:lineRule="auto"/>
              <w:ind w:left="-426" w:firstLine="284"/>
              <w:rPr>
                <w:rFonts w:ascii="Arial" w:hAnsi="Arial" w:cs="Arial"/>
                <w:b/>
                <w:sz w:val="18"/>
                <w:szCs w:val="18"/>
                <w:lang w:val="en-US"/>
              </w:rPr>
            </w:pPr>
            <w:r w:rsidRPr="00BD295E">
              <w:rPr>
                <w:rFonts w:ascii="Arial" w:hAnsi="Arial" w:cs="Arial"/>
                <w:b/>
                <w:bCs/>
                <w:sz w:val="18"/>
                <w:szCs w:val="18"/>
                <w:lang w:val="en-US"/>
              </w:rPr>
              <w:t xml:space="preserve"> Accounts payable, including:</w:t>
            </w:r>
          </w:p>
        </w:tc>
        <w:tc>
          <w:tcPr>
            <w:tcW w:w="1418" w:type="dxa"/>
            <w:tcBorders>
              <w:top w:val="nil"/>
              <w:left w:val="nil"/>
              <w:bottom w:val="single" w:sz="8" w:space="0" w:color="auto"/>
              <w:right w:val="single" w:sz="8" w:space="0" w:color="auto"/>
            </w:tcBorders>
            <w:vAlign w:val="center"/>
          </w:tcPr>
          <w:p w14:paraId="4A1A2D2F"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29,800</w:t>
            </w:r>
          </w:p>
        </w:tc>
        <w:tc>
          <w:tcPr>
            <w:tcW w:w="1276" w:type="dxa"/>
            <w:tcBorders>
              <w:top w:val="nil"/>
              <w:left w:val="nil"/>
              <w:bottom w:val="single" w:sz="8" w:space="0" w:color="auto"/>
              <w:right w:val="single" w:sz="8" w:space="0" w:color="auto"/>
            </w:tcBorders>
            <w:vAlign w:val="center"/>
          </w:tcPr>
          <w:p w14:paraId="69443837"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30,279</w:t>
            </w:r>
          </w:p>
        </w:tc>
        <w:tc>
          <w:tcPr>
            <w:tcW w:w="1701" w:type="dxa"/>
            <w:tcBorders>
              <w:top w:val="nil"/>
              <w:left w:val="nil"/>
              <w:bottom w:val="single" w:sz="8" w:space="0" w:color="auto"/>
              <w:right w:val="single" w:sz="8" w:space="0" w:color="auto"/>
            </w:tcBorders>
            <w:vAlign w:val="center"/>
          </w:tcPr>
          <w:p w14:paraId="792D9581" w14:textId="77777777" w:rsidR="00D108C0" w:rsidRPr="00BD295E" w:rsidRDefault="008A5057" w:rsidP="00D108C0">
            <w:pPr>
              <w:spacing w:line="256" w:lineRule="auto"/>
              <w:ind w:left="-426" w:firstLine="284"/>
              <w:jc w:val="center"/>
              <w:rPr>
                <w:rFonts w:ascii="Arial" w:hAnsi="Arial" w:cs="Arial"/>
                <w:bCs/>
                <w:sz w:val="18"/>
                <w:szCs w:val="18"/>
                <w:lang w:val="en-US"/>
              </w:rPr>
            </w:pPr>
            <w:r w:rsidRPr="00BD295E">
              <w:rPr>
                <w:rFonts w:ascii="Arial" w:hAnsi="Arial" w:cs="Arial"/>
                <w:bCs/>
                <w:sz w:val="18"/>
                <w:szCs w:val="18"/>
                <w:lang w:val="en-US"/>
              </w:rPr>
              <w:t>29,792</w:t>
            </w:r>
          </w:p>
        </w:tc>
      </w:tr>
      <w:tr w:rsidR="008A5057" w:rsidRPr="00BD295E" w14:paraId="389DF8D1" w14:textId="77777777" w:rsidTr="00D108C0">
        <w:trPr>
          <w:trHeight w:val="201"/>
        </w:trPr>
        <w:tc>
          <w:tcPr>
            <w:tcW w:w="5529" w:type="dxa"/>
            <w:tcBorders>
              <w:top w:val="nil"/>
              <w:left w:val="single" w:sz="8" w:space="0" w:color="auto"/>
              <w:bottom w:val="single" w:sz="8" w:space="0" w:color="auto"/>
              <w:right w:val="single" w:sz="8" w:space="0" w:color="auto"/>
            </w:tcBorders>
            <w:hideMark/>
          </w:tcPr>
          <w:p w14:paraId="3A1771D6" w14:textId="77777777" w:rsidR="00D108C0" w:rsidRPr="00BD295E" w:rsidRDefault="008A5057" w:rsidP="00D108C0">
            <w:pPr>
              <w:spacing w:line="256" w:lineRule="auto"/>
              <w:ind w:left="-426" w:firstLine="284"/>
              <w:rPr>
                <w:rFonts w:ascii="Arial" w:hAnsi="Arial" w:cs="Arial"/>
                <w:sz w:val="18"/>
                <w:szCs w:val="18"/>
                <w:lang w:val="en-US"/>
              </w:rPr>
            </w:pPr>
            <w:r w:rsidRPr="00BD295E">
              <w:rPr>
                <w:rFonts w:ascii="Arial" w:hAnsi="Arial" w:cs="Arial"/>
                <w:sz w:val="18"/>
                <w:szCs w:val="18"/>
                <w:lang w:val="en-US"/>
              </w:rPr>
              <w:t xml:space="preserve"> Trade payables</w:t>
            </w:r>
          </w:p>
        </w:tc>
        <w:tc>
          <w:tcPr>
            <w:tcW w:w="1418" w:type="dxa"/>
            <w:tcBorders>
              <w:top w:val="nil"/>
              <w:left w:val="nil"/>
              <w:bottom w:val="single" w:sz="8" w:space="0" w:color="auto"/>
              <w:right w:val="single" w:sz="8" w:space="0" w:color="auto"/>
            </w:tcBorders>
            <w:vAlign w:val="center"/>
          </w:tcPr>
          <w:p w14:paraId="3076F091"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13,303</w:t>
            </w:r>
          </w:p>
        </w:tc>
        <w:tc>
          <w:tcPr>
            <w:tcW w:w="1276" w:type="dxa"/>
            <w:tcBorders>
              <w:top w:val="nil"/>
              <w:left w:val="nil"/>
              <w:bottom w:val="single" w:sz="8" w:space="0" w:color="auto"/>
              <w:right w:val="single" w:sz="8" w:space="0" w:color="auto"/>
            </w:tcBorders>
            <w:vAlign w:val="center"/>
          </w:tcPr>
          <w:p w14:paraId="5DF7ABA3"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12,179</w:t>
            </w:r>
          </w:p>
        </w:tc>
        <w:tc>
          <w:tcPr>
            <w:tcW w:w="1701" w:type="dxa"/>
            <w:tcBorders>
              <w:top w:val="nil"/>
              <w:left w:val="nil"/>
              <w:bottom w:val="single" w:sz="8" w:space="0" w:color="auto"/>
              <w:right w:val="single" w:sz="8" w:space="0" w:color="auto"/>
            </w:tcBorders>
            <w:vAlign w:val="center"/>
          </w:tcPr>
          <w:p w14:paraId="01807891"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12,172</w:t>
            </w:r>
          </w:p>
        </w:tc>
      </w:tr>
      <w:tr w:rsidR="008A5057" w:rsidRPr="00BD295E" w14:paraId="0B2FB4CB" w14:textId="77777777" w:rsidTr="00D108C0">
        <w:trPr>
          <w:trHeight w:val="201"/>
        </w:trPr>
        <w:tc>
          <w:tcPr>
            <w:tcW w:w="5529" w:type="dxa"/>
            <w:tcBorders>
              <w:top w:val="nil"/>
              <w:left w:val="single" w:sz="8" w:space="0" w:color="auto"/>
              <w:bottom w:val="single" w:sz="8" w:space="0" w:color="auto"/>
              <w:right w:val="single" w:sz="8" w:space="0" w:color="auto"/>
            </w:tcBorders>
            <w:hideMark/>
          </w:tcPr>
          <w:p w14:paraId="1F5F2EDD" w14:textId="77777777" w:rsidR="00D108C0" w:rsidRPr="00BD295E" w:rsidRDefault="008A5057" w:rsidP="00D108C0">
            <w:pPr>
              <w:spacing w:line="256" w:lineRule="auto"/>
              <w:ind w:left="-426" w:firstLine="284"/>
              <w:rPr>
                <w:rFonts w:ascii="Arial" w:hAnsi="Arial" w:cs="Arial"/>
                <w:sz w:val="18"/>
                <w:szCs w:val="18"/>
                <w:lang w:val="en-US"/>
              </w:rPr>
            </w:pPr>
            <w:r w:rsidRPr="00BD295E">
              <w:rPr>
                <w:rFonts w:ascii="Arial" w:hAnsi="Arial" w:cs="Arial"/>
                <w:sz w:val="18"/>
                <w:szCs w:val="18"/>
                <w:lang w:val="en-US"/>
              </w:rPr>
              <w:t xml:space="preserve"> Bills payable</w:t>
            </w:r>
          </w:p>
        </w:tc>
        <w:tc>
          <w:tcPr>
            <w:tcW w:w="1418" w:type="dxa"/>
            <w:tcBorders>
              <w:top w:val="nil"/>
              <w:left w:val="nil"/>
              <w:bottom w:val="single" w:sz="8" w:space="0" w:color="auto"/>
              <w:right w:val="single" w:sz="8" w:space="0" w:color="auto"/>
            </w:tcBorders>
            <w:vAlign w:val="center"/>
          </w:tcPr>
          <w:p w14:paraId="2195976C" w14:textId="77777777" w:rsidR="00D108C0" w:rsidRPr="00BD295E" w:rsidRDefault="00D108C0" w:rsidP="00D108C0">
            <w:pPr>
              <w:spacing w:line="256" w:lineRule="auto"/>
              <w:ind w:left="-426" w:firstLine="284"/>
              <w:jc w:val="center"/>
              <w:rPr>
                <w:rFonts w:ascii="Arial" w:hAnsi="Arial" w:cs="Arial"/>
                <w:sz w:val="18"/>
                <w:szCs w:val="18"/>
                <w:lang w:val="en-US" w:eastAsia="en-US"/>
              </w:rPr>
            </w:pPr>
          </w:p>
        </w:tc>
        <w:tc>
          <w:tcPr>
            <w:tcW w:w="1276" w:type="dxa"/>
            <w:tcBorders>
              <w:top w:val="nil"/>
              <w:left w:val="nil"/>
              <w:bottom w:val="single" w:sz="8" w:space="0" w:color="auto"/>
              <w:right w:val="single" w:sz="8" w:space="0" w:color="auto"/>
            </w:tcBorders>
            <w:vAlign w:val="center"/>
          </w:tcPr>
          <w:p w14:paraId="02DEDA7D" w14:textId="77777777" w:rsidR="00D108C0" w:rsidRPr="00BD295E" w:rsidRDefault="00D108C0" w:rsidP="00D108C0">
            <w:pPr>
              <w:spacing w:line="256" w:lineRule="auto"/>
              <w:ind w:left="-426" w:firstLine="284"/>
              <w:jc w:val="center"/>
              <w:rPr>
                <w:rFonts w:ascii="Arial" w:hAnsi="Arial" w:cs="Arial"/>
                <w:sz w:val="18"/>
                <w:szCs w:val="18"/>
                <w:lang w:val="en-US" w:eastAsia="en-US"/>
              </w:rPr>
            </w:pPr>
          </w:p>
        </w:tc>
        <w:tc>
          <w:tcPr>
            <w:tcW w:w="1701" w:type="dxa"/>
            <w:tcBorders>
              <w:top w:val="nil"/>
              <w:left w:val="nil"/>
              <w:bottom w:val="single" w:sz="8" w:space="0" w:color="auto"/>
              <w:right w:val="single" w:sz="8" w:space="0" w:color="auto"/>
            </w:tcBorders>
            <w:vAlign w:val="center"/>
          </w:tcPr>
          <w:p w14:paraId="3A708F21" w14:textId="77777777" w:rsidR="00D108C0" w:rsidRPr="00BD295E" w:rsidRDefault="00D108C0" w:rsidP="00D108C0">
            <w:pPr>
              <w:spacing w:line="256" w:lineRule="auto"/>
              <w:ind w:left="-426" w:firstLine="284"/>
              <w:jc w:val="center"/>
              <w:rPr>
                <w:rFonts w:ascii="Arial" w:hAnsi="Arial" w:cs="Arial"/>
                <w:sz w:val="18"/>
                <w:szCs w:val="18"/>
                <w:lang w:val="en-US" w:eastAsia="en-US"/>
              </w:rPr>
            </w:pPr>
          </w:p>
        </w:tc>
      </w:tr>
      <w:tr w:rsidR="008A5057" w:rsidRPr="00BD295E" w14:paraId="5E269016" w14:textId="77777777" w:rsidTr="00D108C0">
        <w:trPr>
          <w:trHeight w:val="63"/>
        </w:trPr>
        <w:tc>
          <w:tcPr>
            <w:tcW w:w="5529" w:type="dxa"/>
            <w:tcBorders>
              <w:top w:val="nil"/>
              <w:left w:val="single" w:sz="8" w:space="0" w:color="auto"/>
              <w:bottom w:val="single" w:sz="8" w:space="0" w:color="auto"/>
              <w:right w:val="single" w:sz="8" w:space="0" w:color="auto"/>
            </w:tcBorders>
            <w:hideMark/>
          </w:tcPr>
          <w:p w14:paraId="40378505" w14:textId="77777777" w:rsidR="00D108C0" w:rsidRPr="00BD295E" w:rsidRDefault="008A5057" w:rsidP="00D108C0">
            <w:pPr>
              <w:spacing w:line="256" w:lineRule="auto"/>
              <w:ind w:left="-426" w:firstLine="284"/>
              <w:rPr>
                <w:rFonts w:ascii="Arial" w:hAnsi="Arial" w:cs="Arial"/>
                <w:sz w:val="18"/>
                <w:szCs w:val="18"/>
                <w:lang w:val="en-US"/>
              </w:rPr>
            </w:pPr>
            <w:r w:rsidRPr="00BD295E">
              <w:rPr>
                <w:rFonts w:ascii="Arial" w:hAnsi="Arial" w:cs="Arial"/>
                <w:sz w:val="18"/>
                <w:szCs w:val="18"/>
                <w:lang w:val="en-US"/>
              </w:rPr>
              <w:t xml:space="preserve"> Advances received</w:t>
            </w:r>
          </w:p>
        </w:tc>
        <w:tc>
          <w:tcPr>
            <w:tcW w:w="1418" w:type="dxa"/>
            <w:tcBorders>
              <w:top w:val="nil"/>
              <w:left w:val="nil"/>
              <w:bottom w:val="single" w:sz="8" w:space="0" w:color="auto"/>
              <w:right w:val="single" w:sz="8" w:space="0" w:color="auto"/>
            </w:tcBorders>
            <w:vAlign w:val="center"/>
          </w:tcPr>
          <w:p w14:paraId="2CF6F047"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13,019</w:t>
            </w:r>
          </w:p>
        </w:tc>
        <w:tc>
          <w:tcPr>
            <w:tcW w:w="1276" w:type="dxa"/>
            <w:tcBorders>
              <w:top w:val="nil"/>
              <w:left w:val="nil"/>
              <w:bottom w:val="single" w:sz="8" w:space="0" w:color="auto"/>
              <w:right w:val="single" w:sz="8" w:space="0" w:color="auto"/>
            </w:tcBorders>
            <w:vAlign w:val="center"/>
          </w:tcPr>
          <w:p w14:paraId="186C9702"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13,544</w:t>
            </w:r>
          </w:p>
        </w:tc>
        <w:tc>
          <w:tcPr>
            <w:tcW w:w="1701" w:type="dxa"/>
            <w:tcBorders>
              <w:top w:val="nil"/>
              <w:left w:val="nil"/>
              <w:bottom w:val="single" w:sz="8" w:space="0" w:color="auto"/>
              <w:right w:val="single" w:sz="8" w:space="0" w:color="auto"/>
            </w:tcBorders>
            <w:vAlign w:val="center"/>
          </w:tcPr>
          <w:p w14:paraId="18E9D895"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14,647</w:t>
            </w:r>
          </w:p>
        </w:tc>
      </w:tr>
      <w:tr w:rsidR="008A5057" w:rsidRPr="00BD295E" w14:paraId="1AF16AEC" w14:textId="77777777" w:rsidTr="00D108C0">
        <w:trPr>
          <w:trHeight w:val="63"/>
        </w:trPr>
        <w:tc>
          <w:tcPr>
            <w:tcW w:w="5529" w:type="dxa"/>
            <w:tcBorders>
              <w:top w:val="single" w:sz="4" w:space="0" w:color="auto"/>
              <w:left w:val="single" w:sz="4" w:space="0" w:color="auto"/>
              <w:bottom w:val="single" w:sz="4" w:space="0" w:color="auto"/>
              <w:right w:val="single" w:sz="4" w:space="0" w:color="auto"/>
            </w:tcBorders>
            <w:hideMark/>
          </w:tcPr>
          <w:p w14:paraId="08729288" w14:textId="77777777" w:rsidR="00D108C0" w:rsidRPr="00BD295E" w:rsidRDefault="008A5057" w:rsidP="00D108C0">
            <w:pPr>
              <w:spacing w:line="256" w:lineRule="auto"/>
              <w:ind w:left="-426" w:firstLine="284"/>
              <w:rPr>
                <w:rFonts w:ascii="Arial" w:hAnsi="Arial" w:cs="Arial"/>
                <w:sz w:val="18"/>
                <w:szCs w:val="18"/>
                <w:lang w:val="en-US"/>
              </w:rPr>
            </w:pPr>
            <w:r w:rsidRPr="00BD295E">
              <w:rPr>
                <w:rFonts w:ascii="Arial" w:hAnsi="Arial" w:cs="Arial"/>
                <w:sz w:val="18"/>
                <w:szCs w:val="18"/>
                <w:lang w:val="en-US"/>
              </w:rPr>
              <w:t xml:space="preserve"> Taxes and charges</w:t>
            </w:r>
          </w:p>
        </w:tc>
        <w:tc>
          <w:tcPr>
            <w:tcW w:w="1418" w:type="dxa"/>
            <w:tcBorders>
              <w:top w:val="single" w:sz="4" w:space="0" w:color="auto"/>
              <w:left w:val="single" w:sz="4" w:space="0" w:color="auto"/>
              <w:bottom w:val="single" w:sz="4" w:space="0" w:color="auto"/>
              <w:right w:val="single" w:sz="4" w:space="0" w:color="auto"/>
            </w:tcBorders>
            <w:vAlign w:val="center"/>
          </w:tcPr>
          <w:p w14:paraId="2E6C2C85"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247</w:t>
            </w:r>
          </w:p>
        </w:tc>
        <w:tc>
          <w:tcPr>
            <w:tcW w:w="1276" w:type="dxa"/>
            <w:tcBorders>
              <w:top w:val="single" w:sz="4" w:space="0" w:color="auto"/>
              <w:left w:val="single" w:sz="4" w:space="0" w:color="auto"/>
              <w:bottom w:val="single" w:sz="4" w:space="0" w:color="auto"/>
              <w:right w:val="single" w:sz="4" w:space="0" w:color="auto"/>
            </w:tcBorders>
            <w:vAlign w:val="center"/>
          </w:tcPr>
          <w:p w14:paraId="06F4BE3D"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1,704</w:t>
            </w:r>
          </w:p>
        </w:tc>
        <w:tc>
          <w:tcPr>
            <w:tcW w:w="1701" w:type="dxa"/>
            <w:tcBorders>
              <w:top w:val="single" w:sz="4" w:space="0" w:color="auto"/>
              <w:left w:val="single" w:sz="4" w:space="0" w:color="auto"/>
              <w:bottom w:val="single" w:sz="4" w:space="0" w:color="auto"/>
              <w:right w:val="single" w:sz="4" w:space="0" w:color="auto"/>
            </w:tcBorders>
            <w:vAlign w:val="center"/>
          </w:tcPr>
          <w:p w14:paraId="7632EE6B"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618</w:t>
            </w:r>
          </w:p>
        </w:tc>
      </w:tr>
      <w:tr w:rsidR="008A5057" w:rsidRPr="00BD295E" w14:paraId="53F7EE80" w14:textId="77777777" w:rsidTr="00D108C0">
        <w:trPr>
          <w:trHeight w:val="63"/>
        </w:trPr>
        <w:tc>
          <w:tcPr>
            <w:tcW w:w="5529" w:type="dxa"/>
            <w:tcBorders>
              <w:top w:val="single" w:sz="4" w:space="0" w:color="auto"/>
              <w:left w:val="single" w:sz="4" w:space="0" w:color="auto"/>
              <w:bottom w:val="single" w:sz="4" w:space="0" w:color="auto"/>
              <w:right w:val="single" w:sz="4" w:space="0" w:color="auto"/>
            </w:tcBorders>
            <w:hideMark/>
          </w:tcPr>
          <w:p w14:paraId="3A9F9083" w14:textId="77777777" w:rsidR="00D108C0" w:rsidRPr="00BD295E" w:rsidRDefault="008A5057" w:rsidP="00D108C0">
            <w:pPr>
              <w:spacing w:line="256" w:lineRule="auto"/>
              <w:ind w:left="-426" w:firstLine="284"/>
              <w:rPr>
                <w:rFonts w:ascii="Arial" w:hAnsi="Arial" w:cs="Arial"/>
                <w:sz w:val="18"/>
                <w:szCs w:val="18"/>
                <w:lang w:val="en-US"/>
              </w:rPr>
            </w:pPr>
            <w:r w:rsidRPr="00BD295E">
              <w:rPr>
                <w:rFonts w:ascii="Arial" w:hAnsi="Arial" w:cs="Arial"/>
                <w:sz w:val="18"/>
                <w:szCs w:val="18"/>
                <w:lang w:val="en-US"/>
              </w:rPr>
              <w:t xml:space="preserve"> Other accounts payable</w:t>
            </w:r>
          </w:p>
        </w:tc>
        <w:tc>
          <w:tcPr>
            <w:tcW w:w="1418" w:type="dxa"/>
            <w:tcBorders>
              <w:top w:val="single" w:sz="4" w:space="0" w:color="auto"/>
              <w:left w:val="single" w:sz="4" w:space="0" w:color="auto"/>
              <w:bottom w:val="single" w:sz="4" w:space="0" w:color="auto"/>
              <w:right w:val="single" w:sz="4" w:space="0" w:color="auto"/>
            </w:tcBorders>
            <w:vAlign w:val="center"/>
          </w:tcPr>
          <w:p w14:paraId="1677D4F3"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3,231</w:t>
            </w:r>
          </w:p>
        </w:tc>
        <w:tc>
          <w:tcPr>
            <w:tcW w:w="1276" w:type="dxa"/>
            <w:tcBorders>
              <w:top w:val="single" w:sz="4" w:space="0" w:color="auto"/>
              <w:left w:val="single" w:sz="4" w:space="0" w:color="auto"/>
              <w:bottom w:val="single" w:sz="4" w:space="0" w:color="auto"/>
              <w:right w:val="single" w:sz="4" w:space="0" w:color="auto"/>
            </w:tcBorders>
            <w:vAlign w:val="center"/>
          </w:tcPr>
          <w:p w14:paraId="0E311C36"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2,852</w:t>
            </w:r>
          </w:p>
        </w:tc>
        <w:tc>
          <w:tcPr>
            <w:tcW w:w="1701" w:type="dxa"/>
            <w:tcBorders>
              <w:top w:val="single" w:sz="4" w:space="0" w:color="auto"/>
              <w:left w:val="single" w:sz="4" w:space="0" w:color="auto"/>
              <w:bottom w:val="single" w:sz="4" w:space="0" w:color="auto"/>
              <w:right w:val="single" w:sz="4" w:space="0" w:color="auto"/>
            </w:tcBorders>
            <w:vAlign w:val="center"/>
          </w:tcPr>
          <w:p w14:paraId="0D14045C" w14:textId="77777777" w:rsidR="00D108C0" w:rsidRPr="00BD295E" w:rsidRDefault="008A5057" w:rsidP="00D108C0">
            <w:pPr>
              <w:spacing w:line="256" w:lineRule="auto"/>
              <w:ind w:left="-426" w:firstLine="284"/>
              <w:jc w:val="center"/>
              <w:rPr>
                <w:rFonts w:ascii="Arial" w:hAnsi="Arial" w:cs="Arial"/>
                <w:sz w:val="18"/>
                <w:szCs w:val="18"/>
                <w:lang w:val="en-US"/>
              </w:rPr>
            </w:pPr>
            <w:r w:rsidRPr="00BD295E">
              <w:rPr>
                <w:rFonts w:ascii="Arial" w:hAnsi="Arial" w:cs="Arial"/>
                <w:sz w:val="18"/>
                <w:szCs w:val="18"/>
                <w:lang w:val="en-US"/>
              </w:rPr>
              <w:t>2,355</w:t>
            </w:r>
          </w:p>
        </w:tc>
      </w:tr>
    </w:tbl>
    <w:p w14:paraId="69857D5D" w14:textId="77777777" w:rsidR="009075EF" w:rsidRPr="00BD295E" w:rsidRDefault="008A5057" w:rsidP="009075EF">
      <w:pPr>
        <w:ind w:left="-426" w:firstLine="284"/>
        <w:jc w:val="both"/>
        <w:rPr>
          <w:rFonts w:ascii="Arial" w:hAnsi="Arial" w:cs="Arial"/>
          <w:i/>
          <w:sz w:val="18"/>
          <w:szCs w:val="18"/>
          <w:lang w:val="en-US"/>
        </w:rPr>
      </w:pPr>
      <w:r w:rsidRPr="00BD295E">
        <w:rPr>
          <w:rFonts w:ascii="Arial" w:hAnsi="Arial" w:cs="Arial"/>
          <w:i/>
          <w:sz w:val="18"/>
          <w:szCs w:val="18"/>
          <w:lang w:val="en-US"/>
        </w:rPr>
        <w:t>* Shown in accordance with the Company’s financial statements for the reporting period</w:t>
      </w:r>
    </w:p>
    <w:p w14:paraId="412742F5" w14:textId="77777777" w:rsidR="009075EF" w:rsidRPr="00BD295E" w:rsidRDefault="009075EF" w:rsidP="009075EF">
      <w:pPr>
        <w:ind w:left="-426" w:firstLine="284"/>
        <w:jc w:val="both"/>
        <w:rPr>
          <w:rFonts w:ascii="Arial" w:hAnsi="Arial" w:cs="Arial"/>
          <w:i/>
          <w:sz w:val="18"/>
          <w:szCs w:val="18"/>
          <w:lang w:val="en-US"/>
        </w:rPr>
      </w:pPr>
    </w:p>
    <w:p w14:paraId="1A40999B" w14:textId="77777777" w:rsidR="009075EF" w:rsidRPr="00BD295E" w:rsidRDefault="008A5057" w:rsidP="009075EF">
      <w:pPr>
        <w:ind w:left="-426" w:firstLine="284"/>
        <w:jc w:val="both"/>
        <w:rPr>
          <w:rFonts w:ascii="Arial" w:hAnsi="Arial" w:cs="Arial"/>
          <w:i/>
          <w:sz w:val="18"/>
          <w:szCs w:val="18"/>
          <w:lang w:val="en-US"/>
        </w:rPr>
      </w:pPr>
      <w:r w:rsidRPr="00BD295E">
        <w:rPr>
          <w:rFonts w:ascii="Arial" w:hAnsi="Arial" w:cs="Arial"/>
          <w:sz w:val="18"/>
          <w:szCs w:val="18"/>
          <w:lang w:val="en-US"/>
        </w:rPr>
        <w:t xml:space="preserve"> Total accounts payable for 2018 is down by RUB 487 million (2%) year-on-year as at December 31, 2018. Changes in total accounts payables are observed across all their components.</w:t>
      </w:r>
    </w:p>
    <w:p w14:paraId="3B5198AA" w14:textId="77777777" w:rsidR="00D108C0" w:rsidRPr="00BD295E" w:rsidRDefault="008A5057" w:rsidP="009075EF">
      <w:pPr>
        <w:ind w:left="-426" w:firstLine="284"/>
        <w:jc w:val="both"/>
        <w:rPr>
          <w:rFonts w:ascii="Arial" w:hAnsi="Arial" w:cs="Arial"/>
          <w:sz w:val="18"/>
          <w:szCs w:val="18"/>
          <w:lang w:val="en-US"/>
        </w:rPr>
      </w:pPr>
      <w:r w:rsidRPr="00BD295E">
        <w:rPr>
          <w:rFonts w:ascii="Arial" w:hAnsi="Arial" w:cs="Arial"/>
          <w:sz w:val="18"/>
          <w:szCs w:val="18"/>
          <w:lang w:val="en-US"/>
        </w:rPr>
        <w:t xml:space="preserve">The decrease in trade payables is down by RUB 7 million (0.1%) year-on-year, primarily driven by:  </w:t>
      </w:r>
    </w:p>
    <w:p w14:paraId="445A84EE" w14:textId="77777777" w:rsidR="00D108C0" w:rsidRPr="00BD295E" w:rsidRDefault="008A5057" w:rsidP="00CA2271">
      <w:pPr>
        <w:pStyle w:val="af3"/>
        <w:numPr>
          <w:ilvl w:val="0"/>
          <w:numId w:val="109"/>
        </w:numPr>
        <w:ind w:left="-426" w:firstLine="644"/>
        <w:contextualSpacing w:val="0"/>
        <w:jc w:val="both"/>
        <w:rPr>
          <w:rFonts w:ascii="Arial" w:hAnsi="Arial" w:cs="Arial"/>
          <w:sz w:val="18"/>
          <w:szCs w:val="18"/>
          <w:lang w:val="en-US"/>
        </w:rPr>
      </w:pPr>
      <w:r w:rsidRPr="00BD295E">
        <w:rPr>
          <w:rFonts w:ascii="Arial" w:hAnsi="Arial" w:cs="Arial"/>
          <w:sz w:val="18"/>
          <w:szCs w:val="18"/>
          <w:lang w:val="en-US"/>
        </w:rPr>
        <w:t>a decrease in debt owed to construction companies by RUB 732 million (10%) due to repayment of debt;</w:t>
      </w:r>
    </w:p>
    <w:p w14:paraId="5FAA69C3" w14:textId="004CAA6C" w:rsidR="00D108C0" w:rsidRPr="00BD295E" w:rsidRDefault="008A5057" w:rsidP="00CA2271">
      <w:pPr>
        <w:pStyle w:val="af3"/>
        <w:numPr>
          <w:ilvl w:val="0"/>
          <w:numId w:val="109"/>
        </w:numPr>
        <w:ind w:left="-426" w:firstLine="644"/>
        <w:contextualSpacing w:val="0"/>
        <w:jc w:val="both"/>
        <w:rPr>
          <w:rFonts w:ascii="Arial" w:hAnsi="Arial" w:cs="Arial"/>
          <w:sz w:val="18"/>
          <w:szCs w:val="18"/>
          <w:lang w:val="en-US"/>
        </w:rPr>
      </w:pPr>
      <w:r w:rsidRPr="00BD295E">
        <w:rPr>
          <w:rFonts w:ascii="Arial" w:hAnsi="Arial" w:cs="Arial"/>
          <w:sz w:val="18"/>
          <w:szCs w:val="18"/>
          <w:lang w:val="en-US"/>
        </w:rPr>
        <w:t xml:space="preserve"> a decrease in debt owed to grid organizations by RUB 322 million (13%); mainly due to the repayment of overdue debt by LOESK, JSC for RUB 290 million and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for RUB 78 million on the back of an increase of debt owed to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 by</w:t>
      </w:r>
      <w:r w:rsidRPr="00BD295E">
        <w:rPr>
          <w:rFonts w:ascii="Arial" w:hAnsi="Arial" w:cs="Arial"/>
          <w:sz w:val="18"/>
          <w:szCs w:val="18"/>
          <w:lang w:val="en-US"/>
        </w:rPr>
        <w:t xml:space="preserve"> RUB 37 million due to higher tariffs in the second half of 2018;</w:t>
      </w:r>
    </w:p>
    <w:p w14:paraId="27A84CBC" w14:textId="77777777" w:rsidR="00D108C0" w:rsidRPr="00BD295E" w:rsidRDefault="008A5057" w:rsidP="00CA2271">
      <w:pPr>
        <w:pStyle w:val="af3"/>
        <w:numPr>
          <w:ilvl w:val="0"/>
          <w:numId w:val="109"/>
        </w:numPr>
        <w:ind w:left="-426" w:firstLine="710"/>
        <w:contextualSpacing w:val="0"/>
        <w:jc w:val="both"/>
        <w:rPr>
          <w:rFonts w:ascii="Arial" w:hAnsi="Arial" w:cs="Arial"/>
          <w:sz w:val="18"/>
          <w:szCs w:val="18"/>
          <w:lang w:val="en-US"/>
        </w:rPr>
      </w:pPr>
      <w:r w:rsidRPr="00BD295E">
        <w:rPr>
          <w:rFonts w:ascii="Arial" w:hAnsi="Arial" w:cs="Arial"/>
          <w:sz w:val="18"/>
          <w:szCs w:val="18"/>
          <w:lang w:val="en-US"/>
        </w:rPr>
        <w:t xml:space="preserve">a decrease in debt owed to repair organizations by RUB 8 million (3%); </w:t>
      </w:r>
    </w:p>
    <w:p w14:paraId="7E949B8A" w14:textId="77777777" w:rsidR="00D108C0" w:rsidRPr="00BD295E" w:rsidRDefault="008A5057" w:rsidP="00CA2271">
      <w:pPr>
        <w:pStyle w:val="af3"/>
        <w:numPr>
          <w:ilvl w:val="0"/>
          <w:numId w:val="109"/>
        </w:numPr>
        <w:ind w:left="-426" w:firstLine="710"/>
        <w:contextualSpacing w:val="0"/>
        <w:jc w:val="both"/>
        <w:rPr>
          <w:rFonts w:ascii="Arial" w:hAnsi="Arial" w:cs="Arial"/>
          <w:sz w:val="18"/>
          <w:szCs w:val="18"/>
          <w:lang w:val="en-US"/>
        </w:rPr>
      </w:pPr>
      <w:r w:rsidRPr="00BD295E">
        <w:rPr>
          <w:rFonts w:ascii="Arial" w:hAnsi="Arial" w:cs="Arial"/>
          <w:sz w:val="18"/>
          <w:szCs w:val="18"/>
          <w:lang w:val="en-US"/>
        </w:rPr>
        <w:t xml:space="preserve">an increase in debt by RUB 795 million (110%) under expense property lease contracts due to consolidation of assets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w:t>
      </w:r>
    </w:p>
    <w:p w14:paraId="261FF5C5" w14:textId="77777777" w:rsidR="00D108C0" w:rsidRPr="00BD295E" w:rsidRDefault="008A5057" w:rsidP="000E42B1">
      <w:pPr>
        <w:pStyle w:val="af3"/>
        <w:numPr>
          <w:ilvl w:val="0"/>
          <w:numId w:val="109"/>
        </w:numPr>
        <w:ind w:left="-426" w:firstLine="426"/>
        <w:contextualSpacing w:val="0"/>
        <w:jc w:val="both"/>
        <w:rPr>
          <w:rFonts w:ascii="Arial" w:hAnsi="Arial" w:cs="Arial"/>
          <w:sz w:val="18"/>
          <w:szCs w:val="18"/>
          <w:lang w:val="en-US"/>
        </w:rPr>
      </w:pPr>
      <w:r w:rsidRPr="00BD295E">
        <w:rPr>
          <w:rFonts w:ascii="Arial" w:hAnsi="Arial" w:cs="Arial"/>
          <w:sz w:val="18"/>
          <w:szCs w:val="18"/>
          <w:lang w:val="en-US"/>
        </w:rPr>
        <w:t>an increase in other trade payables by RUB 267 million, mainly due to an increase in payables by RUB 78 million in VAT with respect to disagreements on electricity distribution services provided to UNECO, JSC as a counterparty, an increase in payables to suppliers of inventories by RUB 92 million, and other payables to service providers;</w:t>
      </w:r>
    </w:p>
    <w:p w14:paraId="33244B20" w14:textId="78F6061F" w:rsidR="00D108C0" w:rsidRPr="00BD295E" w:rsidRDefault="008A5057" w:rsidP="00531EB3">
      <w:pPr>
        <w:ind w:left="-426"/>
        <w:jc w:val="both"/>
        <w:rPr>
          <w:rFonts w:ascii="Arial" w:hAnsi="Arial" w:cs="Arial"/>
          <w:sz w:val="18"/>
          <w:szCs w:val="18"/>
          <w:lang w:val="en-US"/>
        </w:rPr>
      </w:pPr>
      <w:r w:rsidRPr="00BD295E">
        <w:rPr>
          <w:rFonts w:ascii="Arial" w:hAnsi="Arial" w:cs="Arial"/>
          <w:sz w:val="18"/>
          <w:szCs w:val="18"/>
          <w:lang w:val="en-US"/>
        </w:rPr>
        <w:t>Ad</w:t>
      </w:r>
      <w:r w:rsidR="00396716" w:rsidRPr="00BD295E">
        <w:rPr>
          <w:rFonts w:ascii="Arial" w:hAnsi="Arial" w:cs="Arial"/>
          <w:sz w:val="18"/>
          <w:szCs w:val="18"/>
          <w:lang w:val="en-US"/>
        </w:rPr>
        <w:t>vances received increased by RUB</w:t>
      </w:r>
      <w:r w:rsidRPr="00BD295E">
        <w:rPr>
          <w:rFonts w:ascii="Arial" w:hAnsi="Arial" w:cs="Arial"/>
          <w:sz w:val="18"/>
          <w:szCs w:val="18"/>
          <w:lang w:val="en-US"/>
        </w:rPr>
        <w:t xml:space="preserve"> 1,103 million (8%), mainly due to an increase in advances related to grid connection by RUB 1,111 million due to the receipt of advances funds from consumers under grid connection contracts newly signed with the Company. </w:t>
      </w:r>
    </w:p>
    <w:p w14:paraId="1262EC2F" w14:textId="3F65DD3D" w:rsidR="00D108C0" w:rsidRPr="00BD295E" w:rsidRDefault="008A5057" w:rsidP="00531EB3">
      <w:pPr>
        <w:ind w:left="-426"/>
        <w:jc w:val="both"/>
        <w:rPr>
          <w:rFonts w:ascii="Arial" w:hAnsi="Arial" w:cs="Arial"/>
          <w:sz w:val="18"/>
          <w:szCs w:val="18"/>
          <w:lang w:val="en-US"/>
        </w:rPr>
      </w:pPr>
      <w:r w:rsidRPr="00BD295E">
        <w:rPr>
          <w:rFonts w:ascii="Arial" w:hAnsi="Arial" w:cs="Arial"/>
          <w:sz w:val="18"/>
          <w:szCs w:val="18"/>
          <w:lang w:val="en-US"/>
        </w:rPr>
        <w:t xml:space="preserve"> Outstanding ta</w:t>
      </w:r>
      <w:r w:rsidR="00396716" w:rsidRPr="00BD295E">
        <w:rPr>
          <w:rFonts w:ascii="Arial" w:hAnsi="Arial" w:cs="Arial"/>
          <w:sz w:val="18"/>
          <w:szCs w:val="18"/>
          <w:lang w:val="en-US"/>
        </w:rPr>
        <w:t>xes and charges decreased by RUB</w:t>
      </w:r>
      <w:r w:rsidRPr="00BD295E">
        <w:rPr>
          <w:rFonts w:ascii="Arial" w:hAnsi="Arial" w:cs="Arial"/>
          <w:sz w:val="18"/>
          <w:szCs w:val="18"/>
          <w:lang w:val="en-US"/>
        </w:rPr>
        <w:t xml:space="preserve"> 1,086 million (64%), mainly due to a RUB 1,018 million decrease in outstanding profit tax and a RUB 72 million decrease in outstanding VAT, with a RUB 4 million increase in property tax.</w:t>
      </w:r>
    </w:p>
    <w:p w14:paraId="780B8D94" w14:textId="03570FD6" w:rsidR="00D108C0" w:rsidRPr="00BD295E" w:rsidRDefault="008A5057" w:rsidP="00531EB3">
      <w:pPr>
        <w:ind w:left="-426"/>
        <w:jc w:val="both"/>
        <w:rPr>
          <w:rFonts w:ascii="Arial" w:hAnsi="Arial" w:cs="Arial"/>
          <w:sz w:val="18"/>
          <w:szCs w:val="18"/>
          <w:lang w:val="en-US"/>
        </w:rPr>
      </w:pPr>
      <w:r w:rsidRPr="00BD295E">
        <w:rPr>
          <w:rFonts w:ascii="Arial" w:hAnsi="Arial" w:cs="Arial"/>
          <w:sz w:val="18"/>
          <w:szCs w:val="18"/>
          <w:lang w:val="en-US"/>
        </w:rPr>
        <w:t xml:space="preserve"> Other accounts payable decreased by RUB 497 million (17%), mainly due to the repayment of restructured debt owed to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 for</w:t>
      </w:r>
      <w:r w:rsidRPr="00BD295E">
        <w:rPr>
          <w:rFonts w:ascii="Arial" w:hAnsi="Arial" w:cs="Arial"/>
          <w:sz w:val="18"/>
          <w:szCs w:val="18"/>
          <w:lang w:val="en-US"/>
        </w:rPr>
        <w:t xml:space="preserve"> RUB 594 million and the repayment of collaterals received for RUB 164 million, while at the same time there was outstanding dividends unpaid by the registrar in the amount of RUB 120 million, an increase in outstanding legal costs by RUB 68 million, and an increase in other outstanding amounts. </w:t>
      </w:r>
    </w:p>
    <w:p w14:paraId="6E43640B" w14:textId="0AC5C2B4" w:rsidR="00435F05" w:rsidRPr="00BD295E" w:rsidRDefault="00435F05">
      <w:pPr>
        <w:rPr>
          <w:rFonts w:ascii="Arial" w:hAnsi="Arial" w:cs="Arial"/>
          <w:sz w:val="18"/>
          <w:szCs w:val="18"/>
          <w:lang w:val="en-US"/>
        </w:rPr>
      </w:pPr>
      <w:r w:rsidRPr="00BD295E">
        <w:rPr>
          <w:rFonts w:ascii="Arial" w:hAnsi="Arial" w:cs="Arial"/>
          <w:sz w:val="18"/>
          <w:szCs w:val="18"/>
          <w:lang w:val="en-US"/>
        </w:rPr>
        <w:br w:type="page"/>
      </w:r>
    </w:p>
    <w:p w14:paraId="5FCB2285" w14:textId="77777777" w:rsidR="00531EB3" w:rsidRPr="00BD295E" w:rsidRDefault="00531EB3" w:rsidP="00531EB3">
      <w:pPr>
        <w:rPr>
          <w:rFonts w:ascii="Arial" w:hAnsi="Arial" w:cs="Arial"/>
          <w:sz w:val="18"/>
          <w:szCs w:val="18"/>
          <w:lang w:val="en-US"/>
        </w:rPr>
      </w:pPr>
    </w:p>
    <w:p w14:paraId="2A61EED0" w14:textId="77777777" w:rsidR="008278A0" w:rsidRPr="00BD295E" w:rsidRDefault="008A5057" w:rsidP="00531EB3">
      <w:pPr>
        <w:rPr>
          <w:rFonts w:ascii="Arial" w:hAnsi="Arial" w:cs="Arial"/>
          <w:sz w:val="18"/>
          <w:szCs w:val="18"/>
          <w:lang w:val="en-US"/>
        </w:rPr>
      </w:pPr>
      <w:r w:rsidRPr="00BD295E">
        <w:rPr>
          <w:rFonts w:ascii="Arial" w:hAnsi="Arial" w:cs="Arial"/>
          <w:sz w:val="18"/>
          <w:szCs w:val="18"/>
          <w:lang w:val="en-US"/>
        </w:rPr>
        <w:t>Credit rating</w:t>
      </w:r>
    </w:p>
    <w:p w14:paraId="0A135BEF" w14:textId="77777777" w:rsidR="003F4530" w:rsidRPr="00BD295E" w:rsidRDefault="003F4530" w:rsidP="003F4530">
      <w:pPr>
        <w:ind w:firstLine="708"/>
        <w:rPr>
          <w:rFonts w:ascii="Arial" w:hAnsi="Arial" w:cs="Arial"/>
          <w:sz w:val="18"/>
          <w:szCs w:val="18"/>
          <w:lang w:val="en-US"/>
        </w:rPr>
      </w:pPr>
    </w:p>
    <w:p w14:paraId="23BAA669" w14:textId="77777777" w:rsidR="003F4530" w:rsidRPr="00BD295E" w:rsidRDefault="008A5057" w:rsidP="003F4530">
      <w:pPr>
        <w:ind w:firstLine="708"/>
        <w:rPr>
          <w:rFonts w:ascii="Arial" w:hAnsi="Arial" w:cs="Arial"/>
          <w:sz w:val="18"/>
          <w:szCs w:val="18"/>
          <w:lang w:val="en-US"/>
        </w:rPr>
      </w:pPr>
      <w:r w:rsidRPr="00BD295E">
        <w:rPr>
          <w:rFonts w:ascii="Arial" w:hAnsi="Arial" w:cs="Arial"/>
          <w:sz w:val="18"/>
          <w:szCs w:val="18"/>
          <w:lang w:val="en-US"/>
        </w:rPr>
        <w:t>As at December 31, 2018:</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31"/>
        <w:gridCol w:w="2351"/>
        <w:gridCol w:w="1849"/>
        <w:gridCol w:w="1659"/>
      </w:tblGrid>
      <w:tr w:rsidR="008A5057" w:rsidRPr="00BD295E" w14:paraId="1FF8464C" w14:textId="77777777" w:rsidTr="00E3510B">
        <w:trPr>
          <w:trHeight w:val="1231"/>
          <w:tblHeader/>
          <w:jc w:val="center"/>
        </w:trPr>
        <w:tc>
          <w:tcPr>
            <w:tcW w:w="3131" w:type="dxa"/>
            <w:tcBorders>
              <w:top w:val="single" w:sz="4" w:space="0" w:color="auto"/>
              <w:left w:val="single" w:sz="4" w:space="0" w:color="auto"/>
              <w:right w:val="single" w:sz="4" w:space="0" w:color="auto"/>
            </w:tcBorders>
            <w:shd w:val="clear" w:color="auto" w:fill="auto"/>
            <w:vAlign w:val="center"/>
            <w:hideMark/>
          </w:tcPr>
          <w:p w14:paraId="4A8EC1AB" w14:textId="77777777" w:rsidR="008278A0"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Agency</w:t>
            </w:r>
          </w:p>
        </w:tc>
        <w:tc>
          <w:tcPr>
            <w:tcW w:w="2351" w:type="dxa"/>
            <w:tcBorders>
              <w:top w:val="single" w:sz="4" w:space="0" w:color="auto"/>
              <w:left w:val="single" w:sz="4" w:space="0" w:color="auto"/>
              <w:right w:val="single" w:sz="4" w:space="0" w:color="auto"/>
            </w:tcBorders>
            <w:shd w:val="clear" w:color="auto" w:fill="auto"/>
            <w:vAlign w:val="center"/>
            <w:hideMark/>
          </w:tcPr>
          <w:p w14:paraId="61A88773" w14:textId="77777777" w:rsidR="008278A0" w:rsidRPr="00BD295E" w:rsidRDefault="008278A0" w:rsidP="00E3510B">
            <w:pPr>
              <w:jc w:val="center"/>
              <w:rPr>
                <w:rFonts w:ascii="Arial" w:hAnsi="Arial" w:cs="Arial"/>
                <w:b/>
                <w:sz w:val="18"/>
                <w:szCs w:val="18"/>
                <w:lang w:val="en-US"/>
              </w:rPr>
            </w:pPr>
          </w:p>
          <w:p w14:paraId="196127D0" w14:textId="77777777" w:rsidR="008278A0"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International rating</w:t>
            </w:r>
          </w:p>
        </w:tc>
        <w:tc>
          <w:tcPr>
            <w:tcW w:w="1849" w:type="dxa"/>
            <w:tcBorders>
              <w:top w:val="single" w:sz="4" w:space="0" w:color="auto"/>
              <w:left w:val="single" w:sz="4" w:space="0" w:color="auto"/>
              <w:right w:val="single" w:sz="4" w:space="0" w:color="auto"/>
            </w:tcBorders>
            <w:shd w:val="clear" w:color="auto" w:fill="auto"/>
            <w:vAlign w:val="center"/>
          </w:tcPr>
          <w:p w14:paraId="3F4112A8" w14:textId="77777777" w:rsidR="008278A0"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Date of assignment/Valid until</w:t>
            </w:r>
          </w:p>
        </w:tc>
        <w:tc>
          <w:tcPr>
            <w:tcW w:w="1659" w:type="dxa"/>
            <w:tcBorders>
              <w:top w:val="single" w:sz="4" w:space="0" w:color="auto"/>
              <w:left w:val="single" w:sz="4" w:space="0" w:color="auto"/>
              <w:right w:val="single" w:sz="4" w:space="0" w:color="auto"/>
            </w:tcBorders>
            <w:shd w:val="clear" w:color="auto" w:fill="auto"/>
            <w:vAlign w:val="center"/>
          </w:tcPr>
          <w:p w14:paraId="3E75846F" w14:textId="77777777" w:rsidR="008278A0" w:rsidRPr="00BD295E" w:rsidRDefault="008278A0" w:rsidP="00E3510B">
            <w:pPr>
              <w:jc w:val="center"/>
              <w:rPr>
                <w:rFonts w:ascii="Arial" w:hAnsi="Arial" w:cs="Arial"/>
                <w:b/>
                <w:sz w:val="18"/>
                <w:szCs w:val="18"/>
                <w:lang w:val="en-US"/>
              </w:rPr>
            </w:pPr>
          </w:p>
          <w:p w14:paraId="3D666227" w14:textId="77777777" w:rsidR="008278A0" w:rsidRPr="00BD295E" w:rsidRDefault="008278A0" w:rsidP="00E3510B">
            <w:pPr>
              <w:jc w:val="center"/>
              <w:rPr>
                <w:rFonts w:ascii="Arial" w:hAnsi="Arial" w:cs="Arial"/>
                <w:b/>
                <w:sz w:val="18"/>
                <w:szCs w:val="18"/>
                <w:lang w:val="en-US"/>
              </w:rPr>
            </w:pPr>
          </w:p>
          <w:p w14:paraId="1BD0451E" w14:textId="77777777" w:rsidR="008278A0"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Outlook</w:t>
            </w:r>
          </w:p>
        </w:tc>
      </w:tr>
      <w:tr w:rsidR="008A5057" w:rsidRPr="00BD295E" w14:paraId="72088036" w14:textId="77777777" w:rsidTr="00E3510B">
        <w:trPr>
          <w:trHeight w:val="519"/>
          <w:jc w:val="center"/>
        </w:trPr>
        <w:tc>
          <w:tcPr>
            <w:tcW w:w="3131" w:type="dxa"/>
            <w:tcBorders>
              <w:top w:val="single" w:sz="4" w:space="0" w:color="auto"/>
              <w:left w:val="single" w:sz="4" w:space="0" w:color="auto"/>
              <w:right w:val="single" w:sz="4" w:space="0" w:color="auto"/>
            </w:tcBorders>
            <w:shd w:val="clear" w:color="auto" w:fill="auto"/>
            <w:vAlign w:val="center"/>
            <w:hideMark/>
          </w:tcPr>
          <w:p w14:paraId="12ADA682" w14:textId="77777777" w:rsidR="008278A0"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Moody’s Investors Service</w:t>
            </w:r>
          </w:p>
        </w:tc>
        <w:tc>
          <w:tcPr>
            <w:tcW w:w="2351" w:type="dxa"/>
            <w:tcBorders>
              <w:top w:val="single" w:sz="4" w:space="0" w:color="auto"/>
              <w:left w:val="single" w:sz="4" w:space="0" w:color="auto"/>
              <w:right w:val="single" w:sz="4" w:space="0" w:color="auto"/>
            </w:tcBorders>
            <w:shd w:val="clear" w:color="auto" w:fill="auto"/>
            <w:vAlign w:val="center"/>
            <w:hideMark/>
          </w:tcPr>
          <w:p w14:paraId="2AD974FC" w14:textId="77777777" w:rsidR="008278A0" w:rsidRPr="00BD295E" w:rsidRDefault="008278A0" w:rsidP="00E3510B">
            <w:pPr>
              <w:jc w:val="center"/>
              <w:rPr>
                <w:rFonts w:ascii="Arial" w:hAnsi="Arial" w:cs="Arial"/>
                <w:sz w:val="18"/>
                <w:szCs w:val="18"/>
                <w:lang w:val="en-US"/>
              </w:rPr>
            </w:pPr>
          </w:p>
          <w:p w14:paraId="7369C461" w14:textId="77777777" w:rsidR="008278A0"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Ba1</w:t>
            </w:r>
          </w:p>
          <w:p w14:paraId="3B9FBF77" w14:textId="77777777" w:rsidR="008278A0" w:rsidRPr="00BD295E" w:rsidRDefault="008278A0" w:rsidP="00E3510B">
            <w:pPr>
              <w:jc w:val="center"/>
              <w:rPr>
                <w:rFonts w:ascii="Arial" w:hAnsi="Arial" w:cs="Arial"/>
                <w:sz w:val="18"/>
                <w:szCs w:val="18"/>
                <w:lang w:val="en-US"/>
              </w:rPr>
            </w:pPr>
          </w:p>
        </w:tc>
        <w:tc>
          <w:tcPr>
            <w:tcW w:w="1849" w:type="dxa"/>
            <w:tcBorders>
              <w:top w:val="single" w:sz="4" w:space="0" w:color="auto"/>
              <w:left w:val="single" w:sz="4" w:space="0" w:color="auto"/>
              <w:right w:val="single" w:sz="4" w:space="0" w:color="auto"/>
            </w:tcBorders>
            <w:shd w:val="clear" w:color="auto" w:fill="auto"/>
            <w:vAlign w:val="center"/>
          </w:tcPr>
          <w:p w14:paraId="7A810661" w14:textId="77777777" w:rsidR="008278A0"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December 7, 2017</w:t>
            </w:r>
          </w:p>
        </w:tc>
        <w:tc>
          <w:tcPr>
            <w:tcW w:w="1659" w:type="dxa"/>
            <w:tcBorders>
              <w:top w:val="single" w:sz="4" w:space="0" w:color="auto"/>
              <w:left w:val="single" w:sz="4" w:space="0" w:color="auto"/>
            </w:tcBorders>
            <w:shd w:val="clear" w:color="auto" w:fill="auto"/>
            <w:vAlign w:val="center"/>
          </w:tcPr>
          <w:p w14:paraId="42DEA263" w14:textId="77777777" w:rsidR="008278A0"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Stable</w:t>
            </w:r>
          </w:p>
        </w:tc>
      </w:tr>
      <w:tr w:rsidR="008A5057" w:rsidRPr="00BD295E" w14:paraId="45201D09" w14:textId="77777777" w:rsidTr="00E3510B">
        <w:trPr>
          <w:trHeight w:val="551"/>
          <w:jc w:val="center"/>
        </w:trPr>
        <w:tc>
          <w:tcPr>
            <w:tcW w:w="3131" w:type="dxa"/>
            <w:tcBorders>
              <w:left w:val="single" w:sz="4" w:space="0" w:color="auto"/>
              <w:right w:val="single" w:sz="4" w:space="0" w:color="auto"/>
            </w:tcBorders>
            <w:shd w:val="clear" w:color="auto" w:fill="auto"/>
            <w:vAlign w:val="center"/>
          </w:tcPr>
          <w:p w14:paraId="4B2B8610" w14:textId="77777777" w:rsidR="008278A0"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ACRA</w:t>
            </w:r>
          </w:p>
        </w:tc>
        <w:tc>
          <w:tcPr>
            <w:tcW w:w="2351" w:type="dxa"/>
            <w:tcBorders>
              <w:left w:val="single" w:sz="4" w:space="0" w:color="auto"/>
              <w:right w:val="single" w:sz="4" w:space="0" w:color="auto"/>
            </w:tcBorders>
            <w:shd w:val="clear" w:color="auto" w:fill="auto"/>
            <w:vAlign w:val="center"/>
          </w:tcPr>
          <w:p w14:paraId="5FC2E3C2" w14:textId="77777777" w:rsidR="008278A0" w:rsidRPr="00BD295E" w:rsidRDefault="008278A0" w:rsidP="00E3510B">
            <w:pPr>
              <w:jc w:val="center"/>
              <w:rPr>
                <w:rFonts w:ascii="Arial" w:hAnsi="Arial" w:cs="Arial"/>
                <w:sz w:val="18"/>
                <w:szCs w:val="18"/>
                <w:lang w:val="en-US"/>
              </w:rPr>
            </w:pPr>
          </w:p>
          <w:p w14:paraId="52A88269" w14:textId="77777777" w:rsidR="008278A0"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АА+</w:t>
            </w:r>
          </w:p>
          <w:p w14:paraId="259FD66E" w14:textId="77777777" w:rsidR="008278A0" w:rsidRPr="00BD295E" w:rsidRDefault="008278A0" w:rsidP="00E3510B">
            <w:pPr>
              <w:jc w:val="center"/>
              <w:rPr>
                <w:rFonts w:ascii="Arial" w:hAnsi="Arial" w:cs="Arial"/>
                <w:sz w:val="18"/>
                <w:szCs w:val="18"/>
                <w:lang w:val="en-US"/>
              </w:rPr>
            </w:pPr>
          </w:p>
        </w:tc>
        <w:tc>
          <w:tcPr>
            <w:tcW w:w="1849" w:type="dxa"/>
            <w:tcBorders>
              <w:left w:val="single" w:sz="4" w:space="0" w:color="auto"/>
              <w:right w:val="single" w:sz="4" w:space="0" w:color="auto"/>
            </w:tcBorders>
            <w:shd w:val="clear" w:color="auto" w:fill="auto"/>
            <w:vAlign w:val="center"/>
          </w:tcPr>
          <w:p w14:paraId="7FF1FD18" w14:textId="77777777" w:rsidR="008278A0"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April 11, 2018</w:t>
            </w:r>
          </w:p>
        </w:tc>
        <w:tc>
          <w:tcPr>
            <w:tcW w:w="1659" w:type="dxa"/>
            <w:tcBorders>
              <w:left w:val="single" w:sz="4" w:space="0" w:color="auto"/>
              <w:right w:val="single" w:sz="4" w:space="0" w:color="auto"/>
            </w:tcBorders>
            <w:shd w:val="clear" w:color="auto" w:fill="auto"/>
            <w:vAlign w:val="center"/>
          </w:tcPr>
          <w:p w14:paraId="01877856" w14:textId="77777777" w:rsidR="008278A0"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Stable</w:t>
            </w:r>
          </w:p>
        </w:tc>
      </w:tr>
    </w:tbl>
    <w:p w14:paraId="7C06B909" w14:textId="77777777" w:rsidR="008278A0" w:rsidRPr="00BD295E" w:rsidRDefault="008A5057" w:rsidP="00531EB3">
      <w:pPr>
        <w:jc w:val="both"/>
        <w:rPr>
          <w:rFonts w:ascii="Arial" w:hAnsi="Arial" w:cs="Arial"/>
          <w:sz w:val="18"/>
          <w:szCs w:val="18"/>
          <w:lang w:val="en-US"/>
        </w:rPr>
      </w:pPr>
      <w:r w:rsidRPr="00BD295E">
        <w:rPr>
          <w:rFonts w:ascii="Arial" w:hAnsi="Arial" w:cs="Arial"/>
          <w:sz w:val="18"/>
          <w:szCs w:val="18"/>
          <w:lang w:val="en-US"/>
        </w:rPr>
        <w:t xml:space="preserve">In April 2018, the ACRA rating agency assigned an AA+ credit rating to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with a stable outlook. </w:t>
      </w:r>
    </w:p>
    <w:p w14:paraId="28F5809D" w14:textId="77777777" w:rsidR="008278A0" w:rsidRPr="00BD295E" w:rsidRDefault="008278A0" w:rsidP="00D3341D">
      <w:pPr>
        <w:ind w:firstLine="709"/>
        <w:jc w:val="both"/>
        <w:rPr>
          <w:rFonts w:ascii="Arial" w:hAnsi="Arial" w:cs="Arial"/>
          <w:bCs/>
          <w:sz w:val="18"/>
          <w:szCs w:val="18"/>
          <w:lang w:val="en-US"/>
        </w:rPr>
      </w:pPr>
    </w:p>
    <w:p w14:paraId="6D53C1B4" w14:textId="77777777" w:rsidR="00A61553" w:rsidRPr="00BD295E" w:rsidRDefault="008A5057" w:rsidP="00531EB3">
      <w:pPr>
        <w:rPr>
          <w:rFonts w:ascii="Arial" w:hAnsi="Arial" w:cs="Arial"/>
          <w:sz w:val="18"/>
          <w:szCs w:val="18"/>
          <w:lang w:val="en-US"/>
        </w:rPr>
      </w:pPr>
      <w:r w:rsidRPr="00BD295E">
        <w:rPr>
          <w:rFonts w:ascii="Arial" w:hAnsi="Arial" w:cs="Arial"/>
          <w:sz w:val="18"/>
          <w:szCs w:val="18"/>
          <w:lang w:val="en-US"/>
        </w:rPr>
        <w:t xml:space="preserve">Event after the reporting date: </w:t>
      </w:r>
    </w:p>
    <w:p w14:paraId="413AF8D9" w14:textId="77777777" w:rsidR="00A61553" w:rsidRPr="00BD295E" w:rsidRDefault="008A5057" w:rsidP="00531EB3">
      <w:pPr>
        <w:rPr>
          <w:rFonts w:ascii="Arial" w:hAnsi="Arial" w:cs="Arial"/>
          <w:sz w:val="18"/>
          <w:szCs w:val="18"/>
          <w:lang w:val="en-US"/>
        </w:rPr>
      </w:pPr>
      <w:r w:rsidRPr="00BD295E">
        <w:rPr>
          <w:rFonts w:ascii="Arial" w:hAnsi="Arial" w:cs="Arial"/>
          <w:sz w:val="18"/>
          <w:szCs w:val="18"/>
          <w:lang w:val="en-US"/>
        </w:rPr>
        <w:t>On March 26, 2019, ACRA upgraded Lenenergo’s credit rating to AAA(RU) with a stable outlook, which is the highest rating on ACRA’s scale</w:t>
      </w:r>
    </w:p>
    <w:p w14:paraId="0E696A63" w14:textId="77777777" w:rsidR="00D3341D" w:rsidRPr="00BD295E" w:rsidRDefault="00D3341D" w:rsidP="00531EB3">
      <w:pPr>
        <w:jc w:val="both"/>
        <w:rPr>
          <w:rFonts w:ascii="Arial" w:hAnsi="Arial" w:cs="Arial"/>
          <w:bCs/>
          <w:sz w:val="18"/>
          <w:szCs w:val="18"/>
          <w:lang w:val="en-US"/>
        </w:rPr>
      </w:pPr>
    </w:p>
    <w:p w14:paraId="7D230B5D" w14:textId="77777777" w:rsidR="00FD1F0A" w:rsidRPr="00BD295E" w:rsidRDefault="008A5057" w:rsidP="00531EB3">
      <w:pPr>
        <w:keepNext/>
        <w:numPr>
          <w:ilvl w:val="1"/>
          <w:numId w:val="10"/>
        </w:numPr>
        <w:spacing w:line="360" w:lineRule="auto"/>
        <w:ind w:left="0" w:firstLine="0"/>
        <w:jc w:val="both"/>
        <w:outlineLvl w:val="1"/>
        <w:rPr>
          <w:rFonts w:ascii="Arial" w:hAnsi="Arial" w:cs="Arial"/>
          <w:b/>
          <w:sz w:val="18"/>
          <w:szCs w:val="18"/>
          <w:lang w:val="en-US"/>
        </w:rPr>
      </w:pPr>
      <w:bookmarkStart w:id="240" w:name="_Toc509493393"/>
      <w:bookmarkStart w:id="241" w:name="_Toc509497957"/>
      <w:bookmarkStart w:id="242" w:name="_Toc509581259"/>
      <w:bookmarkStart w:id="243" w:name="_Toc510452223"/>
      <w:bookmarkStart w:id="244" w:name="_Toc5027012"/>
      <w:bookmarkStart w:id="245" w:name="_Toc5105971"/>
      <w:bookmarkStart w:id="246" w:name="_Toc5203824"/>
      <w:bookmarkStart w:id="247" w:name="_Toc6230921"/>
      <w:bookmarkStart w:id="248" w:name="_Toc7172569"/>
      <w:bookmarkStart w:id="249" w:name="_Toc7172615"/>
      <w:bookmarkStart w:id="250" w:name="_Toc95855290"/>
      <w:bookmarkStart w:id="251" w:name="_Toc95935349"/>
      <w:bookmarkEnd w:id="177"/>
      <w:r w:rsidRPr="00BD295E">
        <w:rPr>
          <w:rFonts w:ascii="Arial" w:hAnsi="Arial" w:cs="Arial"/>
          <w:b/>
          <w:sz w:val="18"/>
          <w:szCs w:val="18"/>
          <w:lang w:val="en-US"/>
        </w:rPr>
        <w:t>Investments</w:t>
      </w:r>
      <w:bookmarkEnd w:id="240"/>
      <w:bookmarkEnd w:id="241"/>
      <w:bookmarkEnd w:id="242"/>
      <w:bookmarkEnd w:id="243"/>
      <w:bookmarkEnd w:id="244"/>
      <w:bookmarkEnd w:id="245"/>
      <w:bookmarkEnd w:id="246"/>
      <w:bookmarkEnd w:id="247"/>
      <w:bookmarkEnd w:id="248"/>
      <w:bookmarkEnd w:id="249"/>
      <w:bookmarkEnd w:id="250"/>
      <w:bookmarkEnd w:id="251"/>
    </w:p>
    <w:p w14:paraId="4477DFDA" w14:textId="77777777" w:rsidR="00CE4F0C" w:rsidRPr="00BD295E" w:rsidRDefault="00CE4F0C" w:rsidP="00531EB3">
      <w:pPr>
        <w:autoSpaceDE w:val="0"/>
        <w:autoSpaceDN w:val="0"/>
        <w:adjustRightInd w:val="0"/>
        <w:jc w:val="both"/>
        <w:rPr>
          <w:rFonts w:ascii="Arial" w:hAnsi="Arial" w:cs="Arial"/>
          <w:sz w:val="18"/>
          <w:szCs w:val="18"/>
          <w:lang w:val="en-US"/>
        </w:rPr>
      </w:pPr>
    </w:p>
    <w:p w14:paraId="45D38BC8" w14:textId="77777777" w:rsidR="00850333" w:rsidRPr="00BD295E" w:rsidRDefault="008A5057" w:rsidP="00531EB3">
      <w:pPr>
        <w:autoSpaceDE w:val="0"/>
        <w:autoSpaceDN w:val="0"/>
        <w:adjustRightInd w:val="0"/>
        <w:jc w:val="both"/>
        <w:rPr>
          <w:rFonts w:ascii="Arial" w:hAnsi="Arial" w:cs="Arial"/>
          <w:b/>
          <w:sz w:val="18"/>
          <w:szCs w:val="18"/>
          <w:lang w:val="en-US"/>
        </w:rPr>
      </w:pPr>
      <w:bookmarkStart w:id="252" w:name="_Toc410809512"/>
      <w:bookmarkStart w:id="253" w:name="_Toc473737610"/>
      <w:bookmarkStart w:id="254" w:name="_Toc473898008"/>
      <w:bookmarkStart w:id="255" w:name="_Toc473898433"/>
      <w:bookmarkStart w:id="256" w:name="_Toc473904705"/>
      <w:bookmarkStart w:id="257" w:name="_Toc506469835"/>
      <w:r w:rsidRPr="00BD295E">
        <w:rPr>
          <w:rFonts w:ascii="Arial" w:hAnsi="Arial" w:cs="Arial"/>
          <w:b/>
          <w:sz w:val="18"/>
          <w:szCs w:val="18"/>
          <w:lang w:val="en-US"/>
        </w:rPr>
        <w:t>Implementation of the investment program in 2018</w:t>
      </w:r>
      <w:bookmarkEnd w:id="252"/>
      <w:bookmarkEnd w:id="253"/>
      <w:bookmarkEnd w:id="254"/>
      <w:bookmarkEnd w:id="255"/>
      <w:bookmarkEnd w:id="256"/>
      <w:bookmarkEnd w:id="257"/>
    </w:p>
    <w:p w14:paraId="5FA64C79" w14:textId="77777777" w:rsidR="00850333" w:rsidRPr="00BD295E" w:rsidRDefault="00850333" w:rsidP="00531EB3">
      <w:pPr>
        <w:autoSpaceDE w:val="0"/>
        <w:autoSpaceDN w:val="0"/>
        <w:adjustRightInd w:val="0"/>
        <w:jc w:val="both"/>
        <w:rPr>
          <w:rFonts w:ascii="Arial" w:hAnsi="Arial" w:cs="Arial"/>
          <w:sz w:val="18"/>
          <w:szCs w:val="18"/>
          <w:lang w:val="en-US"/>
        </w:rPr>
      </w:pPr>
    </w:p>
    <w:p w14:paraId="09D0AF7A" w14:textId="77777777" w:rsidR="00850333" w:rsidRPr="00BD295E" w:rsidRDefault="008A5057" w:rsidP="00531EB3">
      <w:pPr>
        <w:jc w:val="both"/>
        <w:rPr>
          <w:rFonts w:ascii="Arial" w:hAnsi="Arial" w:cs="Arial"/>
          <w:sz w:val="18"/>
          <w:szCs w:val="18"/>
          <w:lang w:val="en-US"/>
        </w:rPr>
      </w:pPr>
      <w:r w:rsidRPr="00BD295E">
        <w:rPr>
          <w:rFonts w:ascii="Arial" w:hAnsi="Arial" w:cs="Arial"/>
          <w:sz w:val="18"/>
          <w:szCs w:val="18"/>
          <w:lang w:val="en-US"/>
        </w:rPr>
        <w:t xml:space="preserve">The investment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 captures the goals and objectives of the Uniform Technical Policy in the Electricity Distribution Grid Sector and the provisions of applicable laws.</w:t>
      </w:r>
    </w:p>
    <w:p w14:paraId="25E895EB" w14:textId="77777777" w:rsidR="00850333" w:rsidRPr="00BD295E" w:rsidRDefault="008A5057" w:rsidP="00531EB3">
      <w:pPr>
        <w:jc w:val="both"/>
        <w:rPr>
          <w:rFonts w:ascii="Arial" w:hAnsi="Arial" w:cs="Arial"/>
          <w:sz w:val="18"/>
          <w:szCs w:val="18"/>
          <w:lang w:val="en-US"/>
        </w:rPr>
      </w:pPr>
      <w:r w:rsidRPr="00BD295E">
        <w:rPr>
          <w:rFonts w:ascii="Arial" w:hAnsi="Arial" w:cs="Arial"/>
          <w:sz w:val="18"/>
          <w:szCs w:val="18"/>
          <w:lang w:val="en-US"/>
        </w:rPr>
        <w:t>Investments are critical for the successful operation of the Company. Timely and sufficient investments increase the reliability and improve the performance of the electric grid industry, reduce network losses and operating costs, and ensure the commissioning of incremental capacity to connect new consumers, and eliminate electricity shortages.</w:t>
      </w:r>
    </w:p>
    <w:p w14:paraId="66CC0D7E" w14:textId="77777777" w:rsidR="00850333" w:rsidRPr="00BD295E" w:rsidRDefault="008A5057" w:rsidP="00531EB3">
      <w:pPr>
        <w:jc w:val="both"/>
        <w:rPr>
          <w:rFonts w:ascii="Arial" w:hAnsi="Arial" w:cs="Arial"/>
          <w:sz w:val="18"/>
          <w:szCs w:val="18"/>
          <w:lang w:val="en-US"/>
        </w:rPr>
      </w:pPr>
      <w:r w:rsidRPr="00BD295E">
        <w:rPr>
          <w:rFonts w:ascii="Arial" w:hAnsi="Arial" w:cs="Arial"/>
          <w:sz w:val="18"/>
          <w:szCs w:val="18"/>
          <w:lang w:val="en-US"/>
        </w:rPr>
        <w:t xml:space="preserve">The investment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 was approved by Order No. 27 of the Russian Ministry of Energy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21, 2018 as part of the amendments to the investment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approved by Order No. 1042 of the Russian Ministry of Energy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28, 2015.</w:t>
      </w:r>
    </w:p>
    <w:p w14:paraId="3D2E92A9" w14:textId="77777777" w:rsidR="00850333" w:rsidRPr="00BD295E" w:rsidRDefault="00850333" w:rsidP="00531EB3">
      <w:pPr>
        <w:jc w:val="both"/>
        <w:rPr>
          <w:rFonts w:ascii="Arial" w:hAnsi="Arial" w:cs="Arial"/>
          <w:sz w:val="18"/>
          <w:szCs w:val="18"/>
          <w:lang w:val="en-US"/>
        </w:rPr>
      </w:pPr>
    </w:p>
    <w:p w14:paraId="3EBD28D9" w14:textId="77777777" w:rsidR="00850333" w:rsidRPr="00BD295E" w:rsidRDefault="008A5057" w:rsidP="00531EB3">
      <w:pPr>
        <w:jc w:val="both"/>
        <w:rPr>
          <w:rFonts w:ascii="Arial" w:hAnsi="Arial" w:cs="Arial"/>
          <w:sz w:val="18"/>
          <w:szCs w:val="18"/>
          <w:lang w:val="en-US"/>
        </w:rPr>
      </w:pPr>
      <w:r w:rsidRPr="00BD295E">
        <w:rPr>
          <w:rFonts w:ascii="Arial" w:hAnsi="Arial" w:cs="Arial"/>
          <w:sz w:val="18"/>
          <w:szCs w:val="18"/>
          <w:lang w:val="en-US"/>
        </w:rPr>
        <w:t>Implementation of the investment program</w:t>
      </w:r>
    </w:p>
    <w:tbl>
      <w:tblPr>
        <w:tblW w:w="9356" w:type="dxa"/>
        <w:tblInd w:w="-10" w:type="dxa"/>
        <w:tblLayout w:type="fixed"/>
        <w:tblLook w:val="04A0" w:firstRow="1" w:lastRow="0" w:firstColumn="1" w:lastColumn="0" w:noHBand="0" w:noVBand="1"/>
      </w:tblPr>
      <w:tblGrid>
        <w:gridCol w:w="1698"/>
        <w:gridCol w:w="1137"/>
        <w:gridCol w:w="1134"/>
        <w:gridCol w:w="1418"/>
        <w:gridCol w:w="1134"/>
        <w:gridCol w:w="992"/>
        <w:gridCol w:w="992"/>
        <w:gridCol w:w="851"/>
      </w:tblGrid>
      <w:tr w:rsidR="008A5057" w:rsidRPr="00BD295E" w14:paraId="5BACAFAA" w14:textId="77777777" w:rsidTr="00850333">
        <w:trPr>
          <w:trHeight w:val="780"/>
        </w:trPr>
        <w:tc>
          <w:tcPr>
            <w:tcW w:w="1698" w:type="dxa"/>
            <w:tcBorders>
              <w:top w:val="single" w:sz="8" w:space="0" w:color="auto"/>
              <w:left w:val="single" w:sz="8" w:space="0" w:color="auto"/>
              <w:bottom w:val="single" w:sz="8" w:space="0" w:color="000000"/>
              <w:right w:val="single" w:sz="8" w:space="0" w:color="auto"/>
            </w:tcBorders>
            <w:shd w:val="clear" w:color="auto" w:fill="auto"/>
            <w:hideMark/>
          </w:tcPr>
          <w:p w14:paraId="79D4E34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1137" w:type="dxa"/>
            <w:tcBorders>
              <w:top w:val="single" w:sz="8" w:space="0" w:color="auto"/>
              <w:left w:val="nil"/>
              <w:bottom w:val="single" w:sz="8" w:space="0" w:color="auto"/>
              <w:right w:val="single" w:sz="8" w:space="0" w:color="auto"/>
            </w:tcBorders>
            <w:shd w:val="clear" w:color="auto" w:fill="auto"/>
            <w:vAlign w:val="center"/>
            <w:hideMark/>
          </w:tcPr>
          <w:p w14:paraId="7720CBF9"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Capex</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14:paraId="403E08EB"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Commissioned fixed assets</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26E8E3C8"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Financing</w:t>
            </w:r>
          </w:p>
        </w:tc>
        <w:tc>
          <w:tcPr>
            <w:tcW w:w="2126" w:type="dxa"/>
            <w:gridSpan w:val="2"/>
            <w:tcBorders>
              <w:top w:val="single" w:sz="8" w:space="0" w:color="auto"/>
              <w:left w:val="nil"/>
              <w:bottom w:val="single" w:sz="8" w:space="0" w:color="auto"/>
              <w:right w:val="single" w:sz="8" w:space="0" w:color="000000"/>
            </w:tcBorders>
            <w:shd w:val="clear" w:color="auto" w:fill="auto"/>
            <w:vAlign w:val="center"/>
            <w:hideMark/>
          </w:tcPr>
          <w:p w14:paraId="4F774347"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Commissioned capacity</w:t>
            </w:r>
          </w:p>
        </w:tc>
        <w:tc>
          <w:tcPr>
            <w:tcW w:w="1843" w:type="dxa"/>
            <w:gridSpan w:val="2"/>
            <w:tcBorders>
              <w:top w:val="single" w:sz="8" w:space="0" w:color="auto"/>
              <w:left w:val="nil"/>
              <w:bottom w:val="single" w:sz="8" w:space="0" w:color="auto"/>
              <w:right w:val="single" w:sz="8" w:space="0" w:color="000000"/>
            </w:tcBorders>
            <w:shd w:val="clear" w:color="auto" w:fill="auto"/>
            <w:vAlign w:val="center"/>
            <w:hideMark/>
          </w:tcPr>
          <w:p w14:paraId="2D5CC98B"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Increase in capacity</w:t>
            </w:r>
          </w:p>
        </w:tc>
      </w:tr>
      <w:tr w:rsidR="008A5057" w:rsidRPr="00BD295E" w14:paraId="7A0CD25F" w14:textId="77777777" w:rsidTr="00850333">
        <w:trPr>
          <w:trHeight w:val="458"/>
        </w:trPr>
        <w:tc>
          <w:tcPr>
            <w:tcW w:w="169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ADBE241" w14:textId="77777777" w:rsidR="00850333" w:rsidRPr="00BD295E" w:rsidRDefault="00850333" w:rsidP="00850333">
            <w:pPr>
              <w:rPr>
                <w:rFonts w:ascii="Arial" w:hAnsi="Arial" w:cs="Arial"/>
                <w:sz w:val="18"/>
                <w:szCs w:val="18"/>
                <w:lang w:val="en-US"/>
              </w:rPr>
            </w:pPr>
          </w:p>
        </w:tc>
        <w:tc>
          <w:tcPr>
            <w:tcW w:w="1137" w:type="dxa"/>
            <w:vMerge w:val="restart"/>
            <w:tcBorders>
              <w:top w:val="nil"/>
              <w:left w:val="single" w:sz="8" w:space="0" w:color="auto"/>
              <w:bottom w:val="single" w:sz="8" w:space="0" w:color="000000"/>
              <w:right w:val="single" w:sz="8" w:space="0" w:color="auto"/>
            </w:tcBorders>
            <w:shd w:val="clear" w:color="auto" w:fill="auto"/>
            <w:vAlign w:val="center"/>
            <w:hideMark/>
          </w:tcPr>
          <w:p w14:paraId="308394C2"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RUB million, net of VAT</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42EE9258"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RUB million</w:t>
            </w:r>
          </w:p>
        </w:tc>
        <w:tc>
          <w:tcPr>
            <w:tcW w:w="1418" w:type="dxa"/>
            <w:vMerge w:val="restart"/>
            <w:tcBorders>
              <w:top w:val="nil"/>
              <w:left w:val="single" w:sz="8" w:space="0" w:color="auto"/>
              <w:bottom w:val="single" w:sz="8" w:space="0" w:color="000000"/>
              <w:right w:val="single" w:sz="8" w:space="0" w:color="auto"/>
            </w:tcBorders>
            <w:shd w:val="clear" w:color="auto" w:fill="auto"/>
            <w:vAlign w:val="center"/>
            <w:hideMark/>
          </w:tcPr>
          <w:p w14:paraId="557118D4"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RUB million, including VAT</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6ED25534"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MVA</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14:paraId="161BA414"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km</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14:paraId="3D72543B"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MVA</w:t>
            </w:r>
          </w:p>
        </w:tc>
        <w:tc>
          <w:tcPr>
            <w:tcW w:w="851" w:type="dxa"/>
            <w:vMerge w:val="restart"/>
            <w:tcBorders>
              <w:top w:val="nil"/>
              <w:left w:val="single" w:sz="8" w:space="0" w:color="auto"/>
              <w:bottom w:val="single" w:sz="8" w:space="0" w:color="000000"/>
              <w:right w:val="single" w:sz="8" w:space="0" w:color="auto"/>
            </w:tcBorders>
            <w:shd w:val="clear" w:color="auto" w:fill="auto"/>
            <w:vAlign w:val="center"/>
            <w:hideMark/>
          </w:tcPr>
          <w:p w14:paraId="6616216A"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km</w:t>
            </w:r>
          </w:p>
        </w:tc>
      </w:tr>
      <w:tr w:rsidR="008A5057" w:rsidRPr="00BD295E" w14:paraId="7885F9BB" w14:textId="77777777" w:rsidTr="00850333">
        <w:trPr>
          <w:trHeight w:val="458"/>
        </w:trPr>
        <w:tc>
          <w:tcPr>
            <w:tcW w:w="1698" w:type="dxa"/>
            <w:vMerge/>
            <w:tcBorders>
              <w:top w:val="single" w:sz="8" w:space="0" w:color="auto"/>
              <w:left w:val="single" w:sz="8" w:space="0" w:color="auto"/>
              <w:bottom w:val="single" w:sz="8" w:space="0" w:color="000000"/>
              <w:right w:val="single" w:sz="8" w:space="0" w:color="auto"/>
            </w:tcBorders>
            <w:vAlign w:val="center"/>
            <w:hideMark/>
          </w:tcPr>
          <w:p w14:paraId="58EF71CF" w14:textId="77777777" w:rsidR="00850333" w:rsidRPr="00BD295E" w:rsidRDefault="00850333" w:rsidP="00850333">
            <w:pPr>
              <w:rPr>
                <w:rFonts w:ascii="Arial" w:hAnsi="Arial" w:cs="Arial"/>
                <w:sz w:val="18"/>
                <w:szCs w:val="18"/>
                <w:lang w:val="en-US"/>
              </w:rPr>
            </w:pPr>
          </w:p>
        </w:tc>
        <w:tc>
          <w:tcPr>
            <w:tcW w:w="1137" w:type="dxa"/>
            <w:vMerge/>
            <w:tcBorders>
              <w:top w:val="nil"/>
              <w:left w:val="single" w:sz="8" w:space="0" w:color="auto"/>
              <w:bottom w:val="single" w:sz="8" w:space="0" w:color="000000"/>
              <w:right w:val="single" w:sz="8" w:space="0" w:color="auto"/>
            </w:tcBorders>
            <w:vAlign w:val="center"/>
            <w:hideMark/>
          </w:tcPr>
          <w:p w14:paraId="74EDF03B" w14:textId="77777777" w:rsidR="00850333" w:rsidRPr="00BD295E" w:rsidRDefault="00850333" w:rsidP="00850333">
            <w:pPr>
              <w:rPr>
                <w:rFonts w:ascii="Arial" w:hAnsi="Arial" w:cs="Arial"/>
                <w:sz w:val="18"/>
                <w:szCs w:val="18"/>
                <w:lang w:val="en-US"/>
              </w:rPr>
            </w:pPr>
          </w:p>
        </w:tc>
        <w:tc>
          <w:tcPr>
            <w:tcW w:w="1134" w:type="dxa"/>
            <w:vMerge/>
            <w:tcBorders>
              <w:top w:val="nil"/>
              <w:left w:val="single" w:sz="8" w:space="0" w:color="auto"/>
              <w:bottom w:val="single" w:sz="8" w:space="0" w:color="000000"/>
              <w:right w:val="single" w:sz="8" w:space="0" w:color="auto"/>
            </w:tcBorders>
            <w:vAlign w:val="center"/>
            <w:hideMark/>
          </w:tcPr>
          <w:p w14:paraId="6726060F" w14:textId="77777777" w:rsidR="00850333" w:rsidRPr="00BD295E" w:rsidRDefault="00850333" w:rsidP="00850333">
            <w:pPr>
              <w:rPr>
                <w:rFonts w:ascii="Arial" w:hAnsi="Arial" w:cs="Arial"/>
                <w:sz w:val="18"/>
                <w:szCs w:val="18"/>
                <w:lang w:val="en-US"/>
              </w:rPr>
            </w:pPr>
          </w:p>
        </w:tc>
        <w:tc>
          <w:tcPr>
            <w:tcW w:w="1418" w:type="dxa"/>
            <w:vMerge/>
            <w:tcBorders>
              <w:top w:val="nil"/>
              <w:left w:val="single" w:sz="8" w:space="0" w:color="auto"/>
              <w:bottom w:val="single" w:sz="8" w:space="0" w:color="000000"/>
              <w:right w:val="single" w:sz="8" w:space="0" w:color="auto"/>
            </w:tcBorders>
            <w:vAlign w:val="center"/>
            <w:hideMark/>
          </w:tcPr>
          <w:p w14:paraId="38C36CC1" w14:textId="77777777" w:rsidR="00850333" w:rsidRPr="00BD295E" w:rsidRDefault="00850333" w:rsidP="00850333">
            <w:pPr>
              <w:rPr>
                <w:rFonts w:ascii="Arial" w:hAnsi="Arial" w:cs="Arial"/>
                <w:sz w:val="18"/>
                <w:szCs w:val="18"/>
                <w:lang w:val="en-US"/>
              </w:rPr>
            </w:pPr>
          </w:p>
        </w:tc>
        <w:tc>
          <w:tcPr>
            <w:tcW w:w="1134" w:type="dxa"/>
            <w:vMerge/>
            <w:tcBorders>
              <w:top w:val="nil"/>
              <w:left w:val="single" w:sz="8" w:space="0" w:color="auto"/>
              <w:bottom w:val="single" w:sz="8" w:space="0" w:color="000000"/>
              <w:right w:val="single" w:sz="8" w:space="0" w:color="auto"/>
            </w:tcBorders>
            <w:vAlign w:val="center"/>
            <w:hideMark/>
          </w:tcPr>
          <w:p w14:paraId="3C2FF2E4" w14:textId="77777777" w:rsidR="00850333" w:rsidRPr="00BD295E" w:rsidRDefault="00850333" w:rsidP="00850333">
            <w:pPr>
              <w:rPr>
                <w:rFonts w:ascii="Arial" w:hAnsi="Arial" w:cs="Arial"/>
                <w:sz w:val="18"/>
                <w:szCs w:val="18"/>
                <w:lang w:val="en-US"/>
              </w:rPr>
            </w:pPr>
          </w:p>
        </w:tc>
        <w:tc>
          <w:tcPr>
            <w:tcW w:w="992" w:type="dxa"/>
            <w:vMerge/>
            <w:tcBorders>
              <w:top w:val="nil"/>
              <w:left w:val="single" w:sz="8" w:space="0" w:color="auto"/>
              <w:bottom w:val="single" w:sz="8" w:space="0" w:color="000000"/>
              <w:right w:val="single" w:sz="8" w:space="0" w:color="auto"/>
            </w:tcBorders>
            <w:vAlign w:val="center"/>
            <w:hideMark/>
          </w:tcPr>
          <w:p w14:paraId="1685F94F" w14:textId="77777777" w:rsidR="00850333" w:rsidRPr="00BD295E" w:rsidRDefault="00850333" w:rsidP="00850333">
            <w:pPr>
              <w:rPr>
                <w:rFonts w:ascii="Arial" w:hAnsi="Arial" w:cs="Arial"/>
                <w:sz w:val="18"/>
                <w:szCs w:val="18"/>
                <w:lang w:val="en-US"/>
              </w:rPr>
            </w:pPr>
          </w:p>
        </w:tc>
        <w:tc>
          <w:tcPr>
            <w:tcW w:w="992" w:type="dxa"/>
            <w:vMerge/>
            <w:tcBorders>
              <w:top w:val="nil"/>
              <w:left w:val="single" w:sz="8" w:space="0" w:color="auto"/>
              <w:bottom w:val="single" w:sz="8" w:space="0" w:color="000000"/>
              <w:right w:val="single" w:sz="8" w:space="0" w:color="auto"/>
            </w:tcBorders>
            <w:vAlign w:val="center"/>
            <w:hideMark/>
          </w:tcPr>
          <w:p w14:paraId="2CBA156E" w14:textId="77777777" w:rsidR="00850333" w:rsidRPr="00BD295E" w:rsidRDefault="00850333" w:rsidP="00850333">
            <w:pPr>
              <w:rPr>
                <w:rFonts w:ascii="Arial" w:hAnsi="Arial" w:cs="Arial"/>
                <w:sz w:val="18"/>
                <w:szCs w:val="18"/>
                <w:lang w:val="en-US"/>
              </w:rPr>
            </w:pPr>
          </w:p>
        </w:tc>
        <w:tc>
          <w:tcPr>
            <w:tcW w:w="851" w:type="dxa"/>
            <w:vMerge/>
            <w:tcBorders>
              <w:top w:val="nil"/>
              <w:left w:val="single" w:sz="8" w:space="0" w:color="auto"/>
              <w:bottom w:val="single" w:sz="8" w:space="0" w:color="000000"/>
              <w:right w:val="single" w:sz="8" w:space="0" w:color="auto"/>
            </w:tcBorders>
            <w:vAlign w:val="center"/>
            <w:hideMark/>
          </w:tcPr>
          <w:p w14:paraId="79D4EC9B" w14:textId="77777777" w:rsidR="00850333" w:rsidRPr="00BD295E" w:rsidRDefault="00850333" w:rsidP="00850333">
            <w:pPr>
              <w:rPr>
                <w:rFonts w:ascii="Arial" w:hAnsi="Arial" w:cs="Arial"/>
                <w:sz w:val="18"/>
                <w:szCs w:val="18"/>
                <w:lang w:val="en-US"/>
              </w:rPr>
            </w:pPr>
          </w:p>
        </w:tc>
      </w:tr>
      <w:tr w:rsidR="008A5057" w:rsidRPr="00BD295E" w14:paraId="387B629B" w14:textId="77777777" w:rsidTr="00850333">
        <w:trPr>
          <w:trHeight w:val="315"/>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46CA6BDA" w14:textId="77777777" w:rsidR="00850333" w:rsidRPr="00BD295E" w:rsidRDefault="008A5057" w:rsidP="00850333">
            <w:pPr>
              <w:jc w:val="right"/>
              <w:rPr>
                <w:rFonts w:ascii="Arial" w:hAnsi="Arial" w:cs="Arial"/>
                <w:b/>
                <w:bCs/>
                <w:sz w:val="18"/>
                <w:szCs w:val="18"/>
                <w:lang w:val="en-US"/>
              </w:rPr>
            </w:pPr>
            <w:r w:rsidRPr="00BD295E">
              <w:rPr>
                <w:rFonts w:ascii="Arial" w:hAnsi="Arial" w:cs="Arial"/>
                <w:b/>
                <w:bCs/>
                <w:sz w:val="18"/>
                <w:szCs w:val="18"/>
                <w:lang w:val="en-US"/>
              </w:rPr>
              <w:t>2018</w:t>
            </w:r>
          </w:p>
        </w:tc>
        <w:tc>
          <w:tcPr>
            <w:tcW w:w="1137" w:type="dxa"/>
            <w:tcBorders>
              <w:top w:val="nil"/>
              <w:left w:val="nil"/>
              <w:bottom w:val="single" w:sz="8" w:space="0" w:color="auto"/>
              <w:right w:val="single" w:sz="8" w:space="0" w:color="auto"/>
            </w:tcBorders>
            <w:shd w:val="clear" w:color="auto" w:fill="auto"/>
            <w:vAlign w:val="center"/>
            <w:hideMark/>
          </w:tcPr>
          <w:p w14:paraId="5E9859D8"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 </w:t>
            </w:r>
          </w:p>
        </w:tc>
        <w:tc>
          <w:tcPr>
            <w:tcW w:w="1134" w:type="dxa"/>
            <w:tcBorders>
              <w:top w:val="nil"/>
              <w:left w:val="nil"/>
              <w:bottom w:val="single" w:sz="8" w:space="0" w:color="auto"/>
              <w:right w:val="single" w:sz="8" w:space="0" w:color="auto"/>
            </w:tcBorders>
            <w:shd w:val="clear" w:color="auto" w:fill="auto"/>
            <w:vAlign w:val="center"/>
            <w:hideMark/>
          </w:tcPr>
          <w:p w14:paraId="15BB9088"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 </w:t>
            </w:r>
          </w:p>
        </w:tc>
        <w:tc>
          <w:tcPr>
            <w:tcW w:w="1418" w:type="dxa"/>
            <w:tcBorders>
              <w:top w:val="nil"/>
              <w:left w:val="nil"/>
              <w:bottom w:val="single" w:sz="8" w:space="0" w:color="auto"/>
              <w:right w:val="single" w:sz="8" w:space="0" w:color="auto"/>
            </w:tcBorders>
            <w:shd w:val="clear" w:color="auto" w:fill="auto"/>
            <w:vAlign w:val="center"/>
            <w:hideMark/>
          </w:tcPr>
          <w:p w14:paraId="57A47BCF"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 </w:t>
            </w:r>
          </w:p>
        </w:tc>
        <w:tc>
          <w:tcPr>
            <w:tcW w:w="1134" w:type="dxa"/>
            <w:tcBorders>
              <w:top w:val="nil"/>
              <w:left w:val="nil"/>
              <w:bottom w:val="single" w:sz="8" w:space="0" w:color="auto"/>
              <w:right w:val="single" w:sz="8" w:space="0" w:color="auto"/>
            </w:tcBorders>
            <w:shd w:val="clear" w:color="auto" w:fill="auto"/>
            <w:vAlign w:val="center"/>
            <w:hideMark/>
          </w:tcPr>
          <w:p w14:paraId="5C2E9C33"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 </w:t>
            </w:r>
          </w:p>
        </w:tc>
        <w:tc>
          <w:tcPr>
            <w:tcW w:w="992" w:type="dxa"/>
            <w:tcBorders>
              <w:top w:val="nil"/>
              <w:left w:val="nil"/>
              <w:bottom w:val="single" w:sz="8" w:space="0" w:color="auto"/>
              <w:right w:val="single" w:sz="8" w:space="0" w:color="auto"/>
            </w:tcBorders>
            <w:shd w:val="clear" w:color="auto" w:fill="auto"/>
            <w:vAlign w:val="center"/>
            <w:hideMark/>
          </w:tcPr>
          <w:p w14:paraId="032B2EDE"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 </w:t>
            </w:r>
          </w:p>
        </w:tc>
        <w:tc>
          <w:tcPr>
            <w:tcW w:w="992" w:type="dxa"/>
            <w:tcBorders>
              <w:top w:val="nil"/>
              <w:left w:val="nil"/>
              <w:bottom w:val="single" w:sz="8" w:space="0" w:color="auto"/>
              <w:right w:val="single" w:sz="8" w:space="0" w:color="auto"/>
            </w:tcBorders>
            <w:shd w:val="clear" w:color="auto" w:fill="auto"/>
            <w:vAlign w:val="center"/>
            <w:hideMark/>
          </w:tcPr>
          <w:p w14:paraId="2AB1A210"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 </w:t>
            </w:r>
          </w:p>
        </w:tc>
        <w:tc>
          <w:tcPr>
            <w:tcW w:w="851" w:type="dxa"/>
            <w:tcBorders>
              <w:top w:val="nil"/>
              <w:left w:val="nil"/>
              <w:bottom w:val="single" w:sz="8" w:space="0" w:color="auto"/>
              <w:right w:val="single" w:sz="8" w:space="0" w:color="auto"/>
            </w:tcBorders>
            <w:shd w:val="clear" w:color="auto" w:fill="auto"/>
            <w:vAlign w:val="center"/>
            <w:hideMark/>
          </w:tcPr>
          <w:p w14:paraId="7BA3081E"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 </w:t>
            </w:r>
          </w:p>
        </w:tc>
      </w:tr>
      <w:tr w:rsidR="008A5057" w:rsidRPr="00BD295E" w14:paraId="3A3795F4" w14:textId="77777777" w:rsidTr="00850333">
        <w:trPr>
          <w:trHeight w:val="479"/>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7082A9F3"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Saint Petersburg</w:t>
            </w:r>
          </w:p>
        </w:tc>
        <w:tc>
          <w:tcPr>
            <w:tcW w:w="1137" w:type="dxa"/>
            <w:tcBorders>
              <w:top w:val="nil"/>
              <w:left w:val="nil"/>
              <w:bottom w:val="single" w:sz="8" w:space="0" w:color="auto"/>
              <w:right w:val="single" w:sz="8" w:space="0" w:color="auto"/>
            </w:tcBorders>
            <w:shd w:val="clear" w:color="auto" w:fill="auto"/>
            <w:vAlign w:val="center"/>
            <w:hideMark/>
          </w:tcPr>
          <w:p w14:paraId="5FBEC0B8"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14,856</w:t>
            </w:r>
          </w:p>
        </w:tc>
        <w:tc>
          <w:tcPr>
            <w:tcW w:w="1134" w:type="dxa"/>
            <w:tcBorders>
              <w:top w:val="nil"/>
              <w:left w:val="nil"/>
              <w:bottom w:val="single" w:sz="8" w:space="0" w:color="auto"/>
              <w:right w:val="single" w:sz="8" w:space="0" w:color="auto"/>
            </w:tcBorders>
            <w:shd w:val="clear" w:color="auto" w:fill="auto"/>
            <w:vAlign w:val="center"/>
            <w:hideMark/>
          </w:tcPr>
          <w:p w14:paraId="33F42CFC"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15,923</w:t>
            </w:r>
          </w:p>
        </w:tc>
        <w:tc>
          <w:tcPr>
            <w:tcW w:w="1418" w:type="dxa"/>
            <w:tcBorders>
              <w:top w:val="nil"/>
              <w:left w:val="nil"/>
              <w:bottom w:val="single" w:sz="8" w:space="0" w:color="auto"/>
              <w:right w:val="single" w:sz="8" w:space="0" w:color="auto"/>
            </w:tcBorders>
            <w:shd w:val="clear" w:color="auto" w:fill="auto"/>
            <w:vAlign w:val="center"/>
            <w:hideMark/>
          </w:tcPr>
          <w:p w14:paraId="396E86BB"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18,913</w:t>
            </w:r>
          </w:p>
        </w:tc>
        <w:tc>
          <w:tcPr>
            <w:tcW w:w="1134" w:type="dxa"/>
            <w:tcBorders>
              <w:top w:val="nil"/>
              <w:left w:val="nil"/>
              <w:bottom w:val="single" w:sz="8" w:space="0" w:color="auto"/>
              <w:right w:val="single" w:sz="8" w:space="0" w:color="auto"/>
            </w:tcBorders>
            <w:shd w:val="clear" w:color="auto" w:fill="auto"/>
            <w:vAlign w:val="center"/>
            <w:hideMark/>
          </w:tcPr>
          <w:p w14:paraId="60337CD6"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515</w:t>
            </w:r>
          </w:p>
        </w:tc>
        <w:tc>
          <w:tcPr>
            <w:tcW w:w="992" w:type="dxa"/>
            <w:tcBorders>
              <w:top w:val="nil"/>
              <w:left w:val="nil"/>
              <w:bottom w:val="single" w:sz="8" w:space="0" w:color="auto"/>
              <w:right w:val="single" w:sz="8" w:space="0" w:color="auto"/>
            </w:tcBorders>
            <w:shd w:val="clear" w:color="auto" w:fill="auto"/>
            <w:vAlign w:val="center"/>
            <w:hideMark/>
          </w:tcPr>
          <w:p w14:paraId="324913D5"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655</w:t>
            </w:r>
          </w:p>
        </w:tc>
        <w:tc>
          <w:tcPr>
            <w:tcW w:w="992" w:type="dxa"/>
            <w:tcBorders>
              <w:top w:val="nil"/>
              <w:left w:val="nil"/>
              <w:bottom w:val="single" w:sz="8" w:space="0" w:color="auto"/>
              <w:right w:val="single" w:sz="8" w:space="0" w:color="auto"/>
            </w:tcBorders>
            <w:shd w:val="clear" w:color="auto" w:fill="auto"/>
            <w:vAlign w:val="center"/>
            <w:hideMark/>
          </w:tcPr>
          <w:p w14:paraId="388A900C"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467</w:t>
            </w:r>
          </w:p>
        </w:tc>
        <w:tc>
          <w:tcPr>
            <w:tcW w:w="851" w:type="dxa"/>
            <w:tcBorders>
              <w:top w:val="nil"/>
              <w:left w:val="nil"/>
              <w:bottom w:val="single" w:sz="8" w:space="0" w:color="auto"/>
              <w:right w:val="single" w:sz="8" w:space="0" w:color="auto"/>
            </w:tcBorders>
            <w:shd w:val="clear" w:color="auto" w:fill="auto"/>
            <w:vAlign w:val="center"/>
            <w:hideMark/>
          </w:tcPr>
          <w:p w14:paraId="36C4E2A5"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632</w:t>
            </w:r>
          </w:p>
        </w:tc>
      </w:tr>
      <w:tr w:rsidR="008A5057" w:rsidRPr="00BD295E" w14:paraId="476C9B93" w14:textId="77777777" w:rsidTr="00850333">
        <w:trPr>
          <w:trHeight w:val="555"/>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01808C75"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Leningrad Region</w:t>
            </w:r>
          </w:p>
        </w:tc>
        <w:tc>
          <w:tcPr>
            <w:tcW w:w="1137" w:type="dxa"/>
            <w:tcBorders>
              <w:top w:val="nil"/>
              <w:left w:val="nil"/>
              <w:bottom w:val="single" w:sz="8" w:space="0" w:color="auto"/>
              <w:right w:val="single" w:sz="8" w:space="0" w:color="auto"/>
            </w:tcBorders>
            <w:shd w:val="clear" w:color="auto" w:fill="auto"/>
            <w:vAlign w:val="center"/>
            <w:hideMark/>
          </w:tcPr>
          <w:p w14:paraId="3B991DAD"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5,866</w:t>
            </w:r>
          </w:p>
        </w:tc>
        <w:tc>
          <w:tcPr>
            <w:tcW w:w="1134" w:type="dxa"/>
            <w:tcBorders>
              <w:top w:val="nil"/>
              <w:left w:val="nil"/>
              <w:bottom w:val="single" w:sz="8" w:space="0" w:color="auto"/>
              <w:right w:val="single" w:sz="8" w:space="0" w:color="auto"/>
            </w:tcBorders>
            <w:shd w:val="clear" w:color="auto" w:fill="auto"/>
            <w:vAlign w:val="center"/>
            <w:hideMark/>
          </w:tcPr>
          <w:p w14:paraId="7C144006"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7,342</w:t>
            </w:r>
          </w:p>
        </w:tc>
        <w:tc>
          <w:tcPr>
            <w:tcW w:w="1418" w:type="dxa"/>
            <w:tcBorders>
              <w:top w:val="nil"/>
              <w:left w:val="nil"/>
              <w:bottom w:val="single" w:sz="8" w:space="0" w:color="auto"/>
              <w:right w:val="single" w:sz="8" w:space="0" w:color="auto"/>
            </w:tcBorders>
            <w:shd w:val="clear" w:color="auto" w:fill="auto"/>
            <w:vAlign w:val="center"/>
            <w:hideMark/>
          </w:tcPr>
          <w:p w14:paraId="2FE92B1B"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7,036</w:t>
            </w:r>
          </w:p>
        </w:tc>
        <w:tc>
          <w:tcPr>
            <w:tcW w:w="1134" w:type="dxa"/>
            <w:tcBorders>
              <w:top w:val="nil"/>
              <w:left w:val="nil"/>
              <w:bottom w:val="single" w:sz="8" w:space="0" w:color="auto"/>
              <w:right w:val="single" w:sz="8" w:space="0" w:color="auto"/>
            </w:tcBorders>
            <w:shd w:val="clear" w:color="auto" w:fill="auto"/>
            <w:vAlign w:val="center"/>
            <w:hideMark/>
          </w:tcPr>
          <w:p w14:paraId="1F276747"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515</w:t>
            </w:r>
          </w:p>
        </w:tc>
        <w:tc>
          <w:tcPr>
            <w:tcW w:w="992" w:type="dxa"/>
            <w:tcBorders>
              <w:top w:val="nil"/>
              <w:left w:val="nil"/>
              <w:bottom w:val="single" w:sz="8" w:space="0" w:color="auto"/>
              <w:right w:val="single" w:sz="8" w:space="0" w:color="auto"/>
            </w:tcBorders>
            <w:shd w:val="clear" w:color="auto" w:fill="auto"/>
            <w:vAlign w:val="center"/>
            <w:hideMark/>
          </w:tcPr>
          <w:p w14:paraId="45B1D8AC"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1,244</w:t>
            </w:r>
          </w:p>
        </w:tc>
        <w:tc>
          <w:tcPr>
            <w:tcW w:w="992" w:type="dxa"/>
            <w:tcBorders>
              <w:top w:val="nil"/>
              <w:left w:val="nil"/>
              <w:bottom w:val="single" w:sz="8" w:space="0" w:color="auto"/>
              <w:right w:val="single" w:sz="8" w:space="0" w:color="auto"/>
            </w:tcBorders>
            <w:shd w:val="clear" w:color="auto" w:fill="auto"/>
            <w:vAlign w:val="center"/>
            <w:hideMark/>
          </w:tcPr>
          <w:p w14:paraId="52D21C12"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409</w:t>
            </w:r>
          </w:p>
        </w:tc>
        <w:tc>
          <w:tcPr>
            <w:tcW w:w="851" w:type="dxa"/>
            <w:tcBorders>
              <w:top w:val="nil"/>
              <w:left w:val="nil"/>
              <w:bottom w:val="single" w:sz="8" w:space="0" w:color="auto"/>
              <w:right w:val="single" w:sz="8" w:space="0" w:color="auto"/>
            </w:tcBorders>
            <w:shd w:val="clear" w:color="auto" w:fill="auto"/>
            <w:vAlign w:val="center"/>
            <w:hideMark/>
          </w:tcPr>
          <w:p w14:paraId="618BB35B"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654</w:t>
            </w:r>
          </w:p>
        </w:tc>
      </w:tr>
      <w:tr w:rsidR="008A5057" w:rsidRPr="00BD295E" w14:paraId="0D1DB237" w14:textId="77777777" w:rsidTr="00850333">
        <w:trPr>
          <w:trHeight w:val="555"/>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2C99375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xml:space="preserve">Total for </w:t>
            </w:r>
            <w:r w:rsidR="00EE5753" w:rsidRPr="00BD295E">
              <w:rPr>
                <w:rFonts w:ascii="Arial" w:hAnsi="Arial" w:cs="Arial"/>
                <w:sz w:val="18"/>
                <w:szCs w:val="18"/>
                <w:lang w:val="en-US"/>
              </w:rPr>
              <w:t>PJSC “Lenenergo”</w:t>
            </w:r>
          </w:p>
        </w:tc>
        <w:tc>
          <w:tcPr>
            <w:tcW w:w="1137" w:type="dxa"/>
            <w:tcBorders>
              <w:top w:val="nil"/>
              <w:left w:val="nil"/>
              <w:bottom w:val="single" w:sz="8" w:space="0" w:color="auto"/>
              <w:right w:val="single" w:sz="8" w:space="0" w:color="auto"/>
            </w:tcBorders>
            <w:shd w:val="clear" w:color="auto" w:fill="auto"/>
            <w:vAlign w:val="center"/>
            <w:hideMark/>
          </w:tcPr>
          <w:p w14:paraId="0CED9FEA"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20,722</w:t>
            </w:r>
          </w:p>
        </w:tc>
        <w:tc>
          <w:tcPr>
            <w:tcW w:w="1134" w:type="dxa"/>
            <w:tcBorders>
              <w:top w:val="nil"/>
              <w:left w:val="nil"/>
              <w:bottom w:val="single" w:sz="8" w:space="0" w:color="auto"/>
              <w:right w:val="single" w:sz="8" w:space="0" w:color="auto"/>
            </w:tcBorders>
            <w:shd w:val="clear" w:color="auto" w:fill="auto"/>
            <w:vAlign w:val="center"/>
            <w:hideMark/>
          </w:tcPr>
          <w:p w14:paraId="131C7F2B"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23,265</w:t>
            </w:r>
          </w:p>
        </w:tc>
        <w:tc>
          <w:tcPr>
            <w:tcW w:w="1418" w:type="dxa"/>
            <w:tcBorders>
              <w:top w:val="nil"/>
              <w:left w:val="nil"/>
              <w:bottom w:val="single" w:sz="8" w:space="0" w:color="auto"/>
              <w:right w:val="single" w:sz="8" w:space="0" w:color="auto"/>
            </w:tcBorders>
            <w:shd w:val="clear" w:color="auto" w:fill="auto"/>
            <w:vAlign w:val="center"/>
            <w:hideMark/>
          </w:tcPr>
          <w:p w14:paraId="47476013"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25,949</w:t>
            </w:r>
          </w:p>
        </w:tc>
        <w:tc>
          <w:tcPr>
            <w:tcW w:w="1134" w:type="dxa"/>
            <w:tcBorders>
              <w:top w:val="nil"/>
              <w:left w:val="nil"/>
              <w:bottom w:val="single" w:sz="8" w:space="0" w:color="auto"/>
              <w:right w:val="single" w:sz="8" w:space="0" w:color="auto"/>
            </w:tcBorders>
            <w:shd w:val="clear" w:color="auto" w:fill="auto"/>
            <w:vAlign w:val="center"/>
            <w:hideMark/>
          </w:tcPr>
          <w:p w14:paraId="183D8F5F"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1,031</w:t>
            </w:r>
          </w:p>
        </w:tc>
        <w:tc>
          <w:tcPr>
            <w:tcW w:w="992" w:type="dxa"/>
            <w:tcBorders>
              <w:top w:val="nil"/>
              <w:left w:val="nil"/>
              <w:bottom w:val="single" w:sz="8" w:space="0" w:color="auto"/>
              <w:right w:val="single" w:sz="8" w:space="0" w:color="auto"/>
            </w:tcBorders>
            <w:shd w:val="clear" w:color="auto" w:fill="auto"/>
            <w:vAlign w:val="center"/>
            <w:hideMark/>
          </w:tcPr>
          <w:p w14:paraId="0CB1FA85"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1,900</w:t>
            </w:r>
          </w:p>
        </w:tc>
        <w:tc>
          <w:tcPr>
            <w:tcW w:w="992" w:type="dxa"/>
            <w:tcBorders>
              <w:top w:val="nil"/>
              <w:left w:val="nil"/>
              <w:bottom w:val="single" w:sz="8" w:space="0" w:color="auto"/>
              <w:right w:val="single" w:sz="8" w:space="0" w:color="auto"/>
            </w:tcBorders>
            <w:shd w:val="clear" w:color="auto" w:fill="auto"/>
            <w:vAlign w:val="center"/>
            <w:hideMark/>
          </w:tcPr>
          <w:p w14:paraId="22E46CFA"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877</w:t>
            </w:r>
          </w:p>
        </w:tc>
        <w:tc>
          <w:tcPr>
            <w:tcW w:w="851" w:type="dxa"/>
            <w:tcBorders>
              <w:top w:val="nil"/>
              <w:left w:val="nil"/>
              <w:bottom w:val="single" w:sz="8" w:space="0" w:color="auto"/>
              <w:right w:val="single" w:sz="8" w:space="0" w:color="auto"/>
            </w:tcBorders>
            <w:shd w:val="clear" w:color="auto" w:fill="auto"/>
            <w:vAlign w:val="center"/>
            <w:hideMark/>
          </w:tcPr>
          <w:p w14:paraId="30357030"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1,290</w:t>
            </w:r>
          </w:p>
        </w:tc>
      </w:tr>
      <w:tr w:rsidR="008A5057" w:rsidRPr="00BD295E" w14:paraId="040CCB7E" w14:textId="77777777" w:rsidTr="00850333">
        <w:trPr>
          <w:trHeight w:val="676"/>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474A941D"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Total for Lenenergo Group</w:t>
            </w:r>
          </w:p>
        </w:tc>
        <w:tc>
          <w:tcPr>
            <w:tcW w:w="1137" w:type="dxa"/>
            <w:tcBorders>
              <w:top w:val="nil"/>
              <w:left w:val="nil"/>
              <w:bottom w:val="single" w:sz="8" w:space="0" w:color="auto"/>
              <w:right w:val="single" w:sz="8" w:space="0" w:color="auto"/>
            </w:tcBorders>
            <w:shd w:val="clear" w:color="auto" w:fill="auto"/>
            <w:vAlign w:val="center"/>
            <w:hideMark/>
          </w:tcPr>
          <w:p w14:paraId="1320F5DA"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21,822</w:t>
            </w:r>
          </w:p>
        </w:tc>
        <w:tc>
          <w:tcPr>
            <w:tcW w:w="1134" w:type="dxa"/>
            <w:tcBorders>
              <w:top w:val="nil"/>
              <w:left w:val="nil"/>
              <w:bottom w:val="single" w:sz="8" w:space="0" w:color="auto"/>
              <w:right w:val="single" w:sz="8" w:space="0" w:color="auto"/>
            </w:tcBorders>
            <w:shd w:val="clear" w:color="auto" w:fill="auto"/>
            <w:vAlign w:val="center"/>
            <w:hideMark/>
          </w:tcPr>
          <w:p w14:paraId="72847373"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24,687</w:t>
            </w:r>
          </w:p>
        </w:tc>
        <w:tc>
          <w:tcPr>
            <w:tcW w:w="1418" w:type="dxa"/>
            <w:tcBorders>
              <w:top w:val="nil"/>
              <w:left w:val="nil"/>
              <w:bottom w:val="single" w:sz="8" w:space="0" w:color="auto"/>
              <w:right w:val="single" w:sz="8" w:space="0" w:color="auto"/>
            </w:tcBorders>
            <w:shd w:val="clear" w:color="auto" w:fill="auto"/>
            <w:vAlign w:val="center"/>
            <w:hideMark/>
          </w:tcPr>
          <w:p w14:paraId="5E4DF903"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27,182</w:t>
            </w:r>
          </w:p>
        </w:tc>
        <w:tc>
          <w:tcPr>
            <w:tcW w:w="1134" w:type="dxa"/>
            <w:tcBorders>
              <w:top w:val="nil"/>
              <w:left w:val="nil"/>
              <w:bottom w:val="single" w:sz="8" w:space="0" w:color="auto"/>
              <w:right w:val="single" w:sz="8" w:space="0" w:color="auto"/>
            </w:tcBorders>
            <w:shd w:val="clear" w:color="auto" w:fill="auto"/>
            <w:vAlign w:val="center"/>
            <w:hideMark/>
          </w:tcPr>
          <w:p w14:paraId="7056DA34"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1,112</w:t>
            </w:r>
          </w:p>
        </w:tc>
        <w:tc>
          <w:tcPr>
            <w:tcW w:w="992" w:type="dxa"/>
            <w:tcBorders>
              <w:top w:val="nil"/>
              <w:left w:val="nil"/>
              <w:bottom w:val="single" w:sz="8" w:space="0" w:color="auto"/>
              <w:right w:val="single" w:sz="8" w:space="0" w:color="auto"/>
            </w:tcBorders>
            <w:shd w:val="clear" w:color="auto" w:fill="auto"/>
            <w:vAlign w:val="center"/>
            <w:hideMark/>
          </w:tcPr>
          <w:p w14:paraId="4EFDEF3B"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2,074</w:t>
            </w:r>
          </w:p>
        </w:tc>
        <w:tc>
          <w:tcPr>
            <w:tcW w:w="992" w:type="dxa"/>
            <w:tcBorders>
              <w:top w:val="nil"/>
              <w:left w:val="nil"/>
              <w:bottom w:val="single" w:sz="8" w:space="0" w:color="auto"/>
              <w:right w:val="single" w:sz="8" w:space="0" w:color="auto"/>
            </w:tcBorders>
            <w:shd w:val="clear" w:color="auto" w:fill="auto"/>
            <w:vAlign w:val="center"/>
            <w:hideMark/>
          </w:tcPr>
          <w:p w14:paraId="7ECF8B76"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958</w:t>
            </w:r>
          </w:p>
        </w:tc>
        <w:tc>
          <w:tcPr>
            <w:tcW w:w="851" w:type="dxa"/>
            <w:tcBorders>
              <w:top w:val="nil"/>
              <w:left w:val="nil"/>
              <w:bottom w:val="single" w:sz="8" w:space="0" w:color="auto"/>
              <w:right w:val="single" w:sz="8" w:space="0" w:color="auto"/>
            </w:tcBorders>
            <w:shd w:val="clear" w:color="auto" w:fill="auto"/>
            <w:vAlign w:val="center"/>
            <w:hideMark/>
          </w:tcPr>
          <w:p w14:paraId="7B2636AF"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1,464</w:t>
            </w:r>
          </w:p>
        </w:tc>
      </w:tr>
      <w:tr w:rsidR="008A5057" w:rsidRPr="00BD295E" w14:paraId="5547EFB8" w14:textId="77777777" w:rsidTr="00850333">
        <w:trPr>
          <w:trHeight w:val="315"/>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79E7543F" w14:textId="77777777" w:rsidR="00850333" w:rsidRPr="00BD295E" w:rsidRDefault="008A5057" w:rsidP="00850333">
            <w:pPr>
              <w:jc w:val="right"/>
              <w:rPr>
                <w:rFonts w:ascii="Arial" w:hAnsi="Arial" w:cs="Arial"/>
                <w:b/>
                <w:bCs/>
                <w:sz w:val="18"/>
                <w:szCs w:val="18"/>
                <w:lang w:val="en-US"/>
              </w:rPr>
            </w:pPr>
            <w:r w:rsidRPr="00BD295E">
              <w:rPr>
                <w:rFonts w:ascii="Arial" w:hAnsi="Arial" w:cs="Arial"/>
                <w:b/>
                <w:bCs/>
                <w:sz w:val="18"/>
                <w:szCs w:val="18"/>
                <w:lang w:val="en-US"/>
              </w:rPr>
              <w:t>2017</w:t>
            </w:r>
          </w:p>
        </w:tc>
        <w:tc>
          <w:tcPr>
            <w:tcW w:w="1137" w:type="dxa"/>
            <w:tcBorders>
              <w:top w:val="nil"/>
              <w:left w:val="nil"/>
              <w:bottom w:val="single" w:sz="8" w:space="0" w:color="auto"/>
              <w:right w:val="single" w:sz="8" w:space="0" w:color="auto"/>
            </w:tcBorders>
            <w:shd w:val="clear" w:color="auto" w:fill="auto"/>
            <w:vAlign w:val="center"/>
            <w:hideMark/>
          </w:tcPr>
          <w:p w14:paraId="3A97ECE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1134" w:type="dxa"/>
            <w:tcBorders>
              <w:top w:val="nil"/>
              <w:left w:val="nil"/>
              <w:bottom w:val="single" w:sz="8" w:space="0" w:color="auto"/>
              <w:right w:val="single" w:sz="8" w:space="0" w:color="auto"/>
            </w:tcBorders>
            <w:shd w:val="clear" w:color="auto" w:fill="auto"/>
            <w:vAlign w:val="center"/>
            <w:hideMark/>
          </w:tcPr>
          <w:p w14:paraId="7168F345"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1418" w:type="dxa"/>
            <w:tcBorders>
              <w:top w:val="nil"/>
              <w:left w:val="nil"/>
              <w:bottom w:val="single" w:sz="8" w:space="0" w:color="auto"/>
              <w:right w:val="single" w:sz="8" w:space="0" w:color="auto"/>
            </w:tcBorders>
            <w:shd w:val="clear" w:color="auto" w:fill="auto"/>
            <w:vAlign w:val="center"/>
            <w:hideMark/>
          </w:tcPr>
          <w:p w14:paraId="6249A097"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1134" w:type="dxa"/>
            <w:tcBorders>
              <w:top w:val="nil"/>
              <w:left w:val="nil"/>
              <w:bottom w:val="single" w:sz="8" w:space="0" w:color="auto"/>
              <w:right w:val="single" w:sz="8" w:space="0" w:color="auto"/>
            </w:tcBorders>
            <w:shd w:val="clear" w:color="auto" w:fill="auto"/>
            <w:vAlign w:val="center"/>
            <w:hideMark/>
          </w:tcPr>
          <w:p w14:paraId="3DA2AAE1"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992" w:type="dxa"/>
            <w:tcBorders>
              <w:top w:val="nil"/>
              <w:left w:val="nil"/>
              <w:bottom w:val="single" w:sz="8" w:space="0" w:color="auto"/>
              <w:right w:val="single" w:sz="8" w:space="0" w:color="auto"/>
            </w:tcBorders>
            <w:shd w:val="clear" w:color="auto" w:fill="auto"/>
            <w:vAlign w:val="center"/>
            <w:hideMark/>
          </w:tcPr>
          <w:p w14:paraId="24825467"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992" w:type="dxa"/>
            <w:tcBorders>
              <w:top w:val="nil"/>
              <w:left w:val="nil"/>
              <w:bottom w:val="single" w:sz="8" w:space="0" w:color="auto"/>
              <w:right w:val="single" w:sz="8" w:space="0" w:color="auto"/>
            </w:tcBorders>
            <w:shd w:val="clear" w:color="auto" w:fill="auto"/>
            <w:vAlign w:val="center"/>
            <w:hideMark/>
          </w:tcPr>
          <w:p w14:paraId="36ECC504"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851" w:type="dxa"/>
            <w:tcBorders>
              <w:top w:val="nil"/>
              <w:left w:val="nil"/>
              <w:bottom w:val="single" w:sz="8" w:space="0" w:color="auto"/>
              <w:right w:val="single" w:sz="8" w:space="0" w:color="auto"/>
            </w:tcBorders>
            <w:shd w:val="clear" w:color="auto" w:fill="auto"/>
            <w:vAlign w:val="center"/>
            <w:hideMark/>
          </w:tcPr>
          <w:p w14:paraId="344EFCE0"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r>
      <w:tr w:rsidR="008A5057" w:rsidRPr="00BD295E" w14:paraId="52CBD2FD" w14:textId="77777777" w:rsidTr="00850333">
        <w:trPr>
          <w:trHeight w:val="437"/>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43C45796"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Saint Petersburg</w:t>
            </w:r>
          </w:p>
        </w:tc>
        <w:tc>
          <w:tcPr>
            <w:tcW w:w="1137" w:type="dxa"/>
            <w:tcBorders>
              <w:top w:val="nil"/>
              <w:left w:val="nil"/>
              <w:bottom w:val="single" w:sz="8" w:space="0" w:color="auto"/>
              <w:right w:val="single" w:sz="8" w:space="0" w:color="auto"/>
            </w:tcBorders>
            <w:shd w:val="clear" w:color="auto" w:fill="auto"/>
            <w:vAlign w:val="center"/>
            <w:hideMark/>
          </w:tcPr>
          <w:p w14:paraId="5E60E4FD"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19,871</w:t>
            </w:r>
          </w:p>
        </w:tc>
        <w:tc>
          <w:tcPr>
            <w:tcW w:w="1134" w:type="dxa"/>
            <w:tcBorders>
              <w:top w:val="nil"/>
              <w:left w:val="nil"/>
              <w:bottom w:val="single" w:sz="8" w:space="0" w:color="auto"/>
              <w:right w:val="single" w:sz="8" w:space="0" w:color="auto"/>
            </w:tcBorders>
            <w:shd w:val="clear" w:color="auto" w:fill="auto"/>
            <w:vAlign w:val="center"/>
            <w:hideMark/>
          </w:tcPr>
          <w:p w14:paraId="463DB366"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18,069</w:t>
            </w:r>
          </w:p>
        </w:tc>
        <w:tc>
          <w:tcPr>
            <w:tcW w:w="1418" w:type="dxa"/>
            <w:tcBorders>
              <w:top w:val="nil"/>
              <w:left w:val="nil"/>
              <w:bottom w:val="single" w:sz="8" w:space="0" w:color="auto"/>
              <w:right w:val="single" w:sz="8" w:space="0" w:color="auto"/>
            </w:tcBorders>
            <w:shd w:val="clear" w:color="auto" w:fill="auto"/>
            <w:vAlign w:val="center"/>
            <w:hideMark/>
          </w:tcPr>
          <w:p w14:paraId="481822B3"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27,046</w:t>
            </w:r>
          </w:p>
        </w:tc>
        <w:tc>
          <w:tcPr>
            <w:tcW w:w="1134" w:type="dxa"/>
            <w:tcBorders>
              <w:top w:val="nil"/>
              <w:left w:val="nil"/>
              <w:bottom w:val="single" w:sz="8" w:space="0" w:color="auto"/>
              <w:right w:val="single" w:sz="8" w:space="0" w:color="auto"/>
            </w:tcBorders>
            <w:shd w:val="clear" w:color="auto" w:fill="auto"/>
            <w:vAlign w:val="center"/>
            <w:hideMark/>
          </w:tcPr>
          <w:p w14:paraId="60F81447"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1158</w:t>
            </w:r>
          </w:p>
        </w:tc>
        <w:tc>
          <w:tcPr>
            <w:tcW w:w="992" w:type="dxa"/>
            <w:tcBorders>
              <w:top w:val="nil"/>
              <w:left w:val="nil"/>
              <w:bottom w:val="single" w:sz="8" w:space="0" w:color="auto"/>
              <w:right w:val="single" w:sz="8" w:space="0" w:color="auto"/>
            </w:tcBorders>
            <w:shd w:val="clear" w:color="auto" w:fill="auto"/>
            <w:vAlign w:val="center"/>
            <w:hideMark/>
          </w:tcPr>
          <w:p w14:paraId="282ECD2C"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684</w:t>
            </w:r>
          </w:p>
        </w:tc>
        <w:tc>
          <w:tcPr>
            <w:tcW w:w="992" w:type="dxa"/>
            <w:tcBorders>
              <w:top w:val="nil"/>
              <w:left w:val="nil"/>
              <w:bottom w:val="single" w:sz="8" w:space="0" w:color="auto"/>
              <w:right w:val="single" w:sz="8" w:space="0" w:color="auto"/>
            </w:tcBorders>
            <w:shd w:val="clear" w:color="auto" w:fill="auto"/>
            <w:vAlign w:val="center"/>
            <w:hideMark/>
          </w:tcPr>
          <w:p w14:paraId="2681E19C"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1003</w:t>
            </w:r>
          </w:p>
        </w:tc>
        <w:tc>
          <w:tcPr>
            <w:tcW w:w="851" w:type="dxa"/>
            <w:tcBorders>
              <w:top w:val="nil"/>
              <w:left w:val="nil"/>
              <w:bottom w:val="single" w:sz="8" w:space="0" w:color="auto"/>
              <w:right w:val="single" w:sz="8" w:space="0" w:color="auto"/>
            </w:tcBorders>
            <w:shd w:val="clear" w:color="auto" w:fill="auto"/>
            <w:vAlign w:val="center"/>
            <w:hideMark/>
          </w:tcPr>
          <w:p w14:paraId="5FB8E23B"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576</w:t>
            </w:r>
          </w:p>
        </w:tc>
      </w:tr>
      <w:tr w:rsidR="008A5057" w:rsidRPr="00BD295E" w14:paraId="538FBB06" w14:textId="77777777" w:rsidTr="00850333">
        <w:trPr>
          <w:trHeight w:val="473"/>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706A20C7"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Leningrad Region</w:t>
            </w:r>
          </w:p>
        </w:tc>
        <w:tc>
          <w:tcPr>
            <w:tcW w:w="1137" w:type="dxa"/>
            <w:tcBorders>
              <w:top w:val="nil"/>
              <w:left w:val="nil"/>
              <w:bottom w:val="single" w:sz="8" w:space="0" w:color="auto"/>
              <w:right w:val="single" w:sz="8" w:space="0" w:color="auto"/>
            </w:tcBorders>
            <w:shd w:val="clear" w:color="auto" w:fill="auto"/>
            <w:vAlign w:val="center"/>
            <w:hideMark/>
          </w:tcPr>
          <w:p w14:paraId="32786F93"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8,332</w:t>
            </w:r>
          </w:p>
        </w:tc>
        <w:tc>
          <w:tcPr>
            <w:tcW w:w="1134" w:type="dxa"/>
            <w:tcBorders>
              <w:top w:val="nil"/>
              <w:left w:val="nil"/>
              <w:bottom w:val="single" w:sz="8" w:space="0" w:color="auto"/>
              <w:right w:val="single" w:sz="8" w:space="0" w:color="auto"/>
            </w:tcBorders>
            <w:shd w:val="clear" w:color="auto" w:fill="auto"/>
            <w:vAlign w:val="center"/>
            <w:hideMark/>
          </w:tcPr>
          <w:p w14:paraId="515D28DA"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10,714</w:t>
            </w:r>
          </w:p>
        </w:tc>
        <w:tc>
          <w:tcPr>
            <w:tcW w:w="1418" w:type="dxa"/>
            <w:tcBorders>
              <w:top w:val="nil"/>
              <w:left w:val="nil"/>
              <w:bottom w:val="single" w:sz="8" w:space="0" w:color="auto"/>
              <w:right w:val="single" w:sz="8" w:space="0" w:color="auto"/>
            </w:tcBorders>
            <w:shd w:val="clear" w:color="auto" w:fill="auto"/>
            <w:vAlign w:val="center"/>
            <w:hideMark/>
          </w:tcPr>
          <w:p w14:paraId="7DF513D9"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8,409</w:t>
            </w:r>
          </w:p>
        </w:tc>
        <w:tc>
          <w:tcPr>
            <w:tcW w:w="1134" w:type="dxa"/>
            <w:tcBorders>
              <w:top w:val="nil"/>
              <w:left w:val="nil"/>
              <w:bottom w:val="single" w:sz="8" w:space="0" w:color="auto"/>
              <w:right w:val="single" w:sz="8" w:space="0" w:color="auto"/>
            </w:tcBorders>
            <w:shd w:val="clear" w:color="auto" w:fill="auto"/>
            <w:vAlign w:val="center"/>
            <w:hideMark/>
          </w:tcPr>
          <w:p w14:paraId="3E07782C"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1171</w:t>
            </w:r>
          </w:p>
        </w:tc>
        <w:tc>
          <w:tcPr>
            <w:tcW w:w="992" w:type="dxa"/>
            <w:tcBorders>
              <w:top w:val="nil"/>
              <w:left w:val="nil"/>
              <w:bottom w:val="single" w:sz="8" w:space="0" w:color="auto"/>
              <w:right w:val="single" w:sz="8" w:space="0" w:color="auto"/>
            </w:tcBorders>
            <w:shd w:val="clear" w:color="auto" w:fill="auto"/>
            <w:vAlign w:val="center"/>
            <w:hideMark/>
          </w:tcPr>
          <w:p w14:paraId="3F9A1211"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1,452</w:t>
            </w:r>
          </w:p>
        </w:tc>
        <w:tc>
          <w:tcPr>
            <w:tcW w:w="992" w:type="dxa"/>
            <w:tcBorders>
              <w:top w:val="nil"/>
              <w:left w:val="nil"/>
              <w:bottom w:val="single" w:sz="8" w:space="0" w:color="auto"/>
              <w:right w:val="single" w:sz="8" w:space="0" w:color="auto"/>
            </w:tcBorders>
            <w:shd w:val="clear" w:color="auto" w:fill="auto"/>
            <w:vAlign w:val="center"/>
            <w:hideMark/>
          </w:tcPr>
          <w:p w14:paraId="14B3E71A"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637</w:t>
            </w:r>
          </w:p>
        </w:tc>
        <w:tc>
          <w:tcPr>
            <w:tcW w:w="851" w:type="dxa"/>
            <w:tcBorders>
              <w:top w:val="nil"/>
              <w:left w:val="nil"/>
              <w:bottom w:val="single" w:sz="8" w:space="0" w:color="auto"/>
              <w:right w:val="single" w:sz="8" w:space="0" w:color="auto"/>
            </w:tcBorders>
            <w:shd w:val="clear" w:color="auto" w:fill="auto"/>
            <w:vAlign w:val="center"/>
            <w:hideMark/>
          </w:tcPr>
          <w:p w14:paraId="54B58A84"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856</w:t>
            </w:r>
          </w:p>
        </w:tc>
      </w:tr>
      <w:tr w:rsidR="008A5057" w:rsidRPr="00BD295E" w14:paraId="6916032C" w14:textId="77777777" w:rsidTr="00125BE2">
        <w:trPr>
          <w:trHeight w:val="381"/>
        </w:trPr>
        <w:tc>
          <w:tcPr>
            <w:tcW w:w="1698" w:type="dxa"/>
            <w:tcBorders>
              <w:top w:val="nil"/>
              <w:left w:val="single" w:sz="8" w:space="0" w:color="auto"/>
              <w:bottom w:val="single" w:sz="4" w:space="0" w:color="auto"/>
              <w:right w:val="single" w:sz="8" w:space="0" w:color="auto"/>
            </w:tcBorders>
            <w:shd w:val="clear" w:color="auto" w:fill="auto"/>
            <w:vAlign w:val="center"/>
            <w:hideMark/>
          </w:tcPr>
          <w:p w14:paraId="4C06C38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xml:space="preserve">Total for </w:t>
            </w:r>
            <w:r w:rsidR="00EE5753" w:rsidRPr="00BD295E">
              <w:rPr>
                <w:rFonts w:ascii="Arial" w:hAnsi="Arial" w:cs="Arial"/>
                <w:sz w:val="18"/>
                <w:szCs w:val="18"/>
                <w:lang w:val="en-US"/>
              </w:rPr>
              <w:t>PJSC “Lenenergo”</w:t>
            </w:r>
          </w:p>
        </w:tc>
        <w:tc>
          <w:tcPr>
            <w:tcW w:w="1137" w:type="dxa"/>
            <w:tcBorders>
              <w:top w:val="nil"/>
              <w:left w:val="nil"/>
              <w:bottom w:val="single" w:sz="4" w:space="0" w:color="auto"/>
              <w:right w:val="single" w:sz="8" w:space="0" w:color="auto"/>
            </w:tcBorders>
            <w:shd w:val="clear" w:color="auto" w:fill="auto"/>
            <w:vAlign w:val="center"/>
            <w:hideMark/>
          </w:tcPr>
          <w:p w14:paraId="3A88C10E"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28,203</w:t>
            </w:r>
          </w:p>
        </w:tc>
        <w:tc>
          <w:tcPr>
            <w:tcW w:w="1134" w:type="dxa"/>
            <w:tcBorders>
              <w:top w:val="nil"/>
              <w:left w:val="nil"/>
              <w:bottom w:val="single" w:sz="4" w:space="0" w:color="auto"/>
              <w:right w:val="single" w:sz="8" w:space="0" w:color="auto"/>
            </w:tcBorders>
            <w:shd w:val="clear" w:color="auto" w:fill="auto"/>
            <w:vAlign w:val="center"/>
            <w:hideMark/>
          </w:tcPr>
          <w:p w14:paraId="2B62FED8"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28,783</w:t>
            </w:r>
          </w:p>
        </w:tc>
        <w:tc>
          <w:tcPr>
            <w:tcW w:w="1418" w:type="dxa"/>
            <w:tcBorders>
              <w:top w:val="nil"/>
              <w:left w:val="nil"/>
              <w:bottom w:val="single" w:sz="4" w:space="0" w:color="auto"/>
              <w:right w:val="single" w:sz="8" w:space="0" w:color="auto"/>
            </w:tcBorders>
            <w:shd w:val="clear" w:color="auto" w:fill="auto"/>
            <w:vAlign w:val="center"/>
            <w:hideMark/>
          </w:tcPr>
          <w:p w14:paraId="0FD76642"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35,454</w:t>
            </w:r>
          </w:p>
        </w:tc>
        <w:tc>
          <w:tcPr>
            <w:tcW w:w="1134" w:type="dxa"/>
            <w:tcBorders>
              <w:top w:val="nil"/>
              <w:left w:val="nil"/>
              <w:bottom w:val="single" w:sz="4" w:space="0" w:color="auto"/>
              <w:right w:val="single" w:sz="8" w:space="0" w:color="auto"/>
            </w:tcBorders>
            <w:shd w:val="clear" w:color="auto" w:fill="auto"/>
            <w:vAlign w:val="center"/>
            <w:hideMark/>
          </w:tcPr>
          <w:p w14:paraId="557AB7E2"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2329</w:t>
            </w:r>
          </w:p>
        </w:tc>
        <w:tc>
          <w:tcPr>
            <w:tcW w:w="992" w:type="dxa"/>
            <w:tcBorders>
              <w:top w:val="nil"/>
              <w:left w:val="nil"/>
              <w:bottom w:val="single" w:sz="4" w:space="0" w:color="auto"/>
              <w:right w:val="single" w:sz="8" w:space="0" w:color="auto"/>
            </w:tcBorders>
            <w:shd w:val="clear" w:color="auto" w:fill="auto"/>
            <w:vAlign w:val="center"/>
            <w:hideMark/>
          </w:tcPr>
          <w:p w14:paraId="5FED44FF"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2,136</w:t>
            </w:r>
          </w:p>
        </w:tc>
        <w:tc>
          <w:tcPr>
            <w:tcW w:w="992" w:type="dxa"/>
            <w:tcBorders>
              <w:top w:val="nil"/>
              <w:left w:val="nil"/>
              <w:bottom w:val="single" w:sz="4" w:space="0" w:color="auto"/>
              <w:right w:val="single" w:sz="8" w:space="0" w:color="auto"/>
            </w:tcBorders>
            <w:shd w:val="clear" w:color="auto" w:fill="auto"/>
            <w:vAlign w:val="center"/>
            <w:hideMark/>
          </w:tcPr>
          <w:p w14:paraId="2C7CDA0E"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1640</w:t>
            </w:r>
          </w:p>
        </w:tc>
        <w:tc>
          <w:tcPr>
            <w:tcW w:w="851" w:type="dxa"/>
            <w:tcBorders>
              <w:top w:val="nil"/>
              <w:left w:val="nil"/>
              <w:bottom w:val="single" w:sz="4" w:space="0" w:color="auto"/>
              <w:right w:val="single" w:sz="8" w:space="0" w:color="auto"/>
            </w:tcBorders>
            <w:shd w:val="clear" w:color="auto" w:fill="auto"/>
            <w:vAlign w:val="center"/>
            <w:hideMark/>
          </w:tcPr>
          <w:p w14:paraId="4CC628BF"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1,432</w:t>
            </w:r>
          </w:p>
        </w:tc>
      </w:tr>
      <w:tr w:rsidR="008A5057" w:rsidRPr="00BD295E" w14:paraId="15E8225C" w14:textId="77777777" w:rsidTr="00125BE2">
        <w:trPr>
          <w:trHeight w:val="729"/>
        </w:trPr>
        <w:tc>
          <w:tcPr>
            <w:tcW w:w="1698"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C849C62"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Total for Lenenergo Group</w:t>
            </w:r>
          </w:p>
        </w:tc>
        <w:tc>
          <w:tcPr>
            <w:tcW w:w="1137" w:type="dxa"/>
            <w:tcBorders>
              <w:top w:val="single" w:sz="4" w:space="0" w:color="auto"/>
              <w:left w:val="nil"/>
              <w:bottom w:val="single" w:sz="8" w:space="0" w:color="auto"/>
              <w:right w:val="single" w:sz="8" w:space="0" w:color="auto"/>
            </w:tcBorders>
            <w:shd w:val="clear" w:color="auto" w:fill="auto"/>
            <w:vAlign w:val="center"/>
            <w:hideMark/>
          </w:tcPr>
          <w:p w14:paraId="56701692"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31,600</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251EB702"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30,106</w:t>
            </w:r>
          </w:p>
        </w:tc>
        <w:tc>
          <w:tcPr>
            <w:tcW w:w="1418" w:type="dxa"/>
            <w:tcBorders>
              <w:top w:val="single" w:sz="4" w:space="0" w:color="auto"/>
              <w:left w:val="nil"/>
              <w:bottom w:val="single" w:sz="8" w:space="0" w:color="auto"/>
              <w:right w:val="single" w:sz="8" w:space="0" w:color="auto"/>
            </w:tcBorders>
            <w:shd w:val="clear" w:color="auto" w:fill="auto"/>
            <w:vAlign w:val="center"/>
            <w:hideMark/>
          </w:tcPr>
          <w:p w14:paraId="265F84A5"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39,255</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39707B45"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2,414</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2B35CAED"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2,265</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49B6BD2A"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1725</w:t>
            </w:r>
          </w:p>
        </w:tc>
        <w:tc>
          <w:tcPr>
            <w:tcW w:w="851" w:type="dxa"/>
            <w:tcBorders>
              <w:top w:val="single" w:sz="4" w:space="0" w:color="auto"/>
              <w:left w:val="nil"/>
              <w:bottom w:val="single" w:sz="8" w:space="0" w:color="auto"/>
              <w:right w:val="single" w:sz="8" w:space="0" w:color="auto"/>
            </w:tcBorders>
            <w:shd w:val="clear" w:color="auto" w:fill="auto"/>
            <w:vAlign w:val="center"/>
            <w:hideMark/>
          </w:tcPr>
          <w:p w14:paraId="0283D0A6"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1,560</w:t>
            </w:r>
          </w:p>
        </w:tc>
      </w:tr>
      <w:tr w:rsidR="008A5057" w:rsidRPr="00BD295E" w14:paraId="77CABFC4" w14:textId="77777777" w:rsidTr="00850333">
        <w:trPr>
          <w:trHeight w:val="315"/>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057AE3CB" w14:textId="77777777" w:rsidR="00850333" w:rsidRPr="00BD295E" w:rsidRDefault="008A5057" w:rsidP="00850333">
            <w:pPr>
              <w:jc w:val="right"/>
              <w:rPr>
                <w:rFonts w:ascii="Arial" w:hAnsi="Arial" w:cs="Arial"/>
                <w:b/>
                <w:bCs/>
                <w:sz w:val="18"/>
                <w:szCs w:val="18"/>
                <w:lang w:val="en-US"/>
              </w:rPr>
            </w:pPr>
            <w:r w:rsidRPr="00BD295E">
              <w:rPr>
                <w:rFonts w:ascii="Arial" w:hAnsi="Arial" w:cs="Arial"/>
                <w:b/>
                <w:bCs/>
                <w:sz w:val="18"/>
                <w:szCs w:val="18"/>
                <w:lang w:val="en-US"/>
              </w:rPr>
              <w:t>2016</w:t>
            </w:r>
          </w:p>
        </w:tc>
        <w:tc>
          <w:tcPr>
            <w:tcW w:w="1137" w:type="dxa"/>
            <w:tcBorders>
              <w:top w:val="nil"/>
              <w:left w:val="nil"/>
              <w:bottom w:val="single" w:sz="8" w:space="0" w:color="auto"/>
              <w:right w:val="single" w:sz="8" w:space="0" w:color="auto"/>
            </w:tcBorders>
            <w:shd w:val="clear" w:color="auto" w:fill="auto"/>
            <w:vAlign w:val="center"/>
            <w:hideMark/>
          </w:tcPr>
          <w:p w14:paraId="568187F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1134" w:type="dxa"/>
            <w:tcBorders>
              <w:top w:val="nil"/>
              <w:left w:val="nil"/>
              <w:bottom w:val="single" w:sz="8" w:space="0" w:color="auto"/>
              <w:right w:val="single" w:sz="8" w:space="0" w:color="auto"/>
            </w:tcBorders>
            <w:shd w:val="clear" w:color="auto" w:fill="auto"/>
            <w:vAlign w:val="center"/>
            <w:hideMark/>
          </w:tcPr>
          <w:p w14:paraId="424AB2F3"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1418" w:type="dxa"/>
            <w:tcBorders>
              <w:top w:val="nil"/>
              <w:left w:val="nil"/>
              <w:bottom w:val="single" w:sz="8" w:space="0" w:color="auto"/>
              <w:right w:val="single" w:sz="8" w:space="0" w:color="auto"/>
            </w:tcBorders>
            <w:shd w:val="clear" w:color="auto" w:fill="auto"/>
            <w:vAlign w:val="center"/>
            <w:hideMark/>
          </w:tcPr>
          <w:p w14:paraId="46BFFD67"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1134" w:type="dxa"/>
            <w:tcBorders>
              <w:top w:val="nil"/>
              <w:left w:val="nil"/>
              <w:bottom w:val="single" w:sz="8" w:space="0" w:color="auto"/>
              <w:right w:val="single" w:sz="8" w:space="0" w:color="auto"/>
            </w:tcBorders>
            <w:shd w:val="clear" w:color="auto" w:fill="auto"/>
            <w:vAlign w:val="center"/>
            <w:hideMark/>
          </w:tcPr>
          <w:p w14:paraId="4E692C30"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992" w:type="dxa"/>
            <w:tcBorders>
              <w:top w:val="nil"/>
              <w:left w:val="nil"/>
              <w:bottom w:val="single" w:sz="8" w:space="0" w:color="auto"/>
              <w:right w:val="single" w:sz="8" w:space="0" w:color="auto"/>
            </w:tcBorders>
            <w:shd w:val="clear" w:color="auto" w:fill="auto"/>
            <w:vAlign w:val="center"/>
            <w:hideMark/>
          </w:tcPr>
          <w:p w14:paraId="33D10A20"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992" w:type="dxa"/>
            <w:tcBorders>
              <w:top w:val="nil"/>
              <w:left w:val="nil"/>
              <w:bottom w:val="single" w:sz="8" w:space="0" w:color="auto"/>
              <w:right w:val="single" w:sz="8" w:space="0" w:color="auto"/>
            </w:tcBorders>
            <w:shd w:val="clear" w:color="auto" w:fill="auto"/>
            <w:vAlign w:val="center"/>
            <w:hideMark/>
          </w:tcPr>
          <w:p w14:paraId="757E3B8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851" w:type="dxa"/>
            <w:tcBorders>
              <w:top w:val="nil"/>
              <w:left w:val="nil"/>
              <w:bottom w:val="single" w:sz="8" w:space="0" w:color="auto"/>
              <w:right w:val="single" w:sz="8" w:space="0" w:color="auto"/>
            </w:tcBorders>
            <w:shd w:val="clear" w:color="auto" w:fill="auto"/>
            <w:vAlign w:val="center"/>
            <w:hideMark/>
          </w:tcPr>
          <w:p w14:paraId="06BF6678"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r>
      <w:tr w:rsidR="008A5057" w:rsidRPr="00BD295E" w14:paraId="1BC06122" w14:textId="77777777" w:rsidTr="00850333">
        <w:trPr>
          <w:trHeight w:val="288"/>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382BA88E"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Saint Petersburg</w:t>
            </w:r>
          </w:p>
        </w:tc>
        <w:tc>
          <w:tcPr>
            <w:tcW w:w="1137" w:type="dxa"/>
            <w:tcBorders>
              <w:top w:val="nil"/>
              <w:left w:val="nil"/>
              <w:bottom w:val="single" w:sz="8" w:space="0" w:color="auto"/>
              <w:right w:val="single" w:sz="8" w:space="0" w:color="auto"/>
            </w:tcBorders>
            <w:shd w:val="clear" w:color="auto" w:fill="auto"/>
            <w:vAlign w:val="center"/>
            <w:hideMark/>
          </w:tcPr>
          <w:p w14:paraId="7DEE2E38"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12,664</w:t>
            </w:r>
          </w:p>
        </w:tc>
        <w:tc>
          <w:tcPr>
            <w:tcW w:w="1134" w:type="dxa"/>
            <w:tcBorders>
              <w:top w:val="nil"/>
              <w:left w:val="nil"/>
              <w:bottom w:val="single" w:sz="8" w:space="0" w:color="auto"/>
              <w:right w:val="single" w:sz="8" w:space="0" w:color="auto"/>
            </w:tcBorders>
            <w:shd w:val="clear" w:color="auto" w:fill="auto"/>
            <w:vAlign w:val="center"/>
            <w:hideMark/>
          </w:tcPr>
          <w:p w14:paraId="357003FE"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9,891</w:t>
            </w:r>
          </w:p>
        </w:tc>
        <w:tc>
          <w:tcPr>
            <w:tcW w:w="1418" w:type="dxa"/>
            <w:tcBorders>
              <w:top w:val="nil"/>
              <w:left w:val="nil"/>
              <w:bottom w:val="single" w:sz="8" w:space="0" w:color="auto"/>
              <w:right w:val="single" w:sz="8" w:space="0" w:color="auto"/>
            </w:tcBorders>
            <w:shd w:val="clear" w:color="auto" w:fill="auto"/>
            <w:vAlign w:val="center"/>
            <w:hideMark/>
          </w:tcPr>
          <w:p w14:paraId="2556059C"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15,891</w:t>
            </w:r>
          </w:p>
        </w:tc>
        <w:tc>
          <w:tcPr>
            <w:tcW w:w="1134" w:type="dxa"/>
            <w:tcBorders>
              <w:top w:val="nil"/>
              <w:left w:val="nil"/>
              <w:bottom w:val="single" w:sz="8" w:space="0" w:color="auto"/>
              <w:right w:val="single" w:sz="8" w:space="0" w:color="auto"/>
            </w:tcBorders>
            <w:shd w:val="clear" w:color="auto" w:fill="auto"/>
            <w:vAlign w:val="center"/>
            <w:hideMark/>
          </w:tcPr>
          <w:p w14:paraId="7021FF72"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449</w:t>
            </w:r>
          </w:p>
        </w:tc>
        <w:tc>
          <w:tcPr>
            <w:tcW w:w="992" w:type="dxa"/>
            <w:tcBorders>
              <w:top w:val="nil"/>
              <w:left w:val="nil"/>
              <w:bottom w:val="single" w:sz="8" w:space="0" w:color="auto"/>
              <w:right w:val="single" w:sz="8" w:space="0" w:color="auto"/>
            </w:tcBorders>
            <w:shd w:val="clear" w:color="auto" w:fill="auto"/>
            <w:vAlign w:val="center"/>
            <w:hideMark/>
          </w:tcPr>
          <w:p w14:paraId="6351A715"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528</w:t>
            </w:r>
          </w:p>
        </w:tc>
        <w:tc>
          <w:tcPr>
            <w:tcW w:w="992" w:type="dxa"/>
            <w:tcBorders>
              <w:top w:val="nil"/>
              <w:left w:val="nil"/>
              <w:bottom w:val="single" w:sz="8" w:space="0" w:color="auto"/>
              <w:right w:val="single" w:sz="8" w:space="0" w:color="auto"/>
            </w:tcBorders>
            <w:shd w:val="clear" w:color="auto" w:fill="auto"/>
            <w:vAlign w:val="center"/>
            <w:hideMark/>
          </w:tcPr>
          <w:p w14:paraId="4E83B568"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414</w:t>
            </w:r>
          </w:p>
        </w:tc>
        <w:tc>
          <w:tcPr>
            <w:tcW w:w="851" w:type="dxa"/>
            <w:tcBorders>
              <w:top w:val="nil"/>
              <w:left w:val="nil"/>
              <w:bottom w:val="single" w:sz="8" w:space="0" w:color="auto"/>
              <w:right w:val="single" w:sz="8" w:space="0" w:color="auto"/>
            </w:tcBorders>
            <w:shd w:val="clear" w:color="auto" w:fill="auto"/>
            <w:vAlign w:val="center"/>
            <w:hideMark/>
          </w:tcPr>
          <w:p w14:paraId="2DD33C63"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442</w:t>
            </w:r>
          </w:p>
        </w:tc>
      </w:tr>
      <w:tr w:rsidR="008A5057" w:rsidRPr="00BD295E" w14:paraId="314EBF04" w14:textId="77777777" w:rsidTr="00850333">
        <w:trPr>
          <w:trHeight w:val="407"/>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3E5B0D8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Leningrad Region</w:t>
            </w:r>
          </w:p>
        </w:tc>
        <w:tc>
          <w:tcPr>
            <w:tcW w:w="1137" w:type="dxa"/>
            <w:tcBorders>
              <w:top w:val="nil"/>
              <w:left w:val="nil"/>
              <w:bottom w:val="single" w:sz="8" w:space="0" w:color="auto"/>
              <w:right w:val="single" w:sz="8" w:space="0" w:color="auto"/>
            </w:tcBorders>
            <w:shd w:val="clear" w:color="auto" w:fill="auto"/>
            <w:vAlign w:val="center"/>
            <w:hideMark/>
          </w:tcPr>
          <w:p w14:paraId="4623968A"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9,546</w:t>
            </w:r>
          </w:p>
        </w:tc>
        <w:tc>
          <w:tcPr>
            <w:tcW w:w="1134" w:type="dxa"/>
            <w:tcBorders>
              <w:top w:val="nil"/>
              <w:left w:val="nil"/>
              <w:bottom w:val="single" w:sz="8" w:space="0" w:color="auto"/>
              <w:right w:val="single" w:sz="8" w:space="0" w:color="auto"/>
            </w:tcBorders>
            <w:shd w:val="clear" w:color="auto" w:fill="auto"/>
            <w:vAlign w:val="center"/>
            <w:hideMark/>
          </w:tcPr>
          <w:p w14:paraId="5E530E70"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5,273</w:t>
            </w:r>
          </w:p>
        </w:tc>
        <w:tc>
          <w:tcPr>
            <w:tcW w:w="1418" w:type="dxa"/>
            <w:tcBorders>
              <w:top w:val="nil"/>
              <w:left w:val="nil"/>
              <w:bottom w:val="single" w:sz="8" w:space="0" w:color="auto"/>
              <w:right w:val="single" w:sz="8" w:space="0" w:color="auto"/>
            </w:tcBorders>
            <w:shd w:val="clear" w:color="auto" w:fill="auto"/>
            <w:vAlign w:val="center"/>
            <w:hideMark/>
          </w:tcPr>
          <w:p w14:paraId="335DC484"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11,726</w:t>
            </w:r>
          </w:p>
        </w:tc>
        <w:tc>
          <w:tcPr>
            <w:tcW w:w="1134" w:type="dxa"/>
            <w:tcBorders>
              <w:top w:val="nil"/>
              <w:left w:val="nil"/>
              <w:bottom w:val="single" w:sz="8" w:space="0" w:color="auto"/>
              <w:right w:val="single" w:sz="8" w:space="0" w:color="auto"/>
            </w:tcBorders>
            <w:shd w:val="clear" w:color="auto" w:fill="auto"/>
            <w:vAlign w:val="center"/>
            <w:hideMark/>
          </w:tcPr>
          <w:p w14:paraId="2F48D006"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395</w:t>
            </w:r>
          </w:p>
        </w:tc>
        <w:tc>
          <w:tcPr>
            <w:tcW w:w="992" w:type="dxa"/>
            <w:tcBorders>
              <w:top w:val="nil"/>
              <w:left w:val="nil"/>
              <w:bottom w:val="single" w:sz="8" w:space="0" w:color="auto"/>
              <w:right w:val="single" w:sz="8" w:space="0" w:color="auto"/>
            </w:tcBorders>
            <w:shd w:val="clear" w:color="auto" w:fill="auto"/>
            <w:vAlign w:val="center"/>
            <w:hideMark/>
          </w:tcPr>
          <w:p w14:paraId="17614861"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1619</w:t>
            </w:r>
          </w:p>
        </w:tc>
        <w:tc>
          <w:tcPr>
            <w:tcW w:w="992" w:type="dxa"/>
            <w:tcBorders>
              <w:top w:val="nil"/>
              <w:left w:val="nil"/>
              <w:bottom w:val="single" w:sz="8" w:space="0" w:color="auto"/>
              <w:right w:val="single" w:sz="8" w:space="0" w:color="auto"/>
            </w:tcBorders>
            <w:shd w:val="clear" w:color="auto" w:fill="auto"/>
            <w:vAlign w:val="center"/>
            <w:hideMark/>
          </w:tcPr>
          <w:p w14:paraId="0A226EAF"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262</w:t>
            </w:r>
          </w:p>
        </w:tc>
        <w:tc>
          <w:tcPr>
            <w:tcW w:w="851" w:type="dxa"/>
            <w:tcBorders>
              <w:top w:val="nil"/>
              <w:left w:val="nil"/>
              <w:bottom w:val="single" w:sz="8" w:space="0" w:color="auto"/>
              <w:right w:val="single" w:sz="8" w:space="0" w:color="auto"/>
            </w:tcBorders>
            <w:shd w:val="clear" w:color="auto" w:fill="auto"/>
            <w:vAlign w:val="center"/>
            <w:hideMark/>
          </w:tcPr>
          <w:p w14:paraId="65FCE0F3"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1141</w:t>
            </w:r>
          </w:p>
        </w:tc>
      </w:tr>
      <w:tr w:rsidR="008A5057" w:rsidRPr="00BD295E" w14:paraId="0DFC0600" w14:textId="77777777" w:rsidTr="00850333">
        <w:trPr>
          <w:trHeight w:val="613"/>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3502D625"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xml:space="preserve">Total for </w:t>
            </w:r>
            <w:r w:rsidR="00EE5753" w:rsidRPr="00BD295E">
              <w:rPr>
                <w:rFonts w:ascii="Arial" w:hAnsi="Arial" w:cs="Arial"/>
                <w:sz w:val="18"/>
                <w:szCs w:val="18"/>
                <w:lang w:val="en-US"/>
              </w:rPr>
              <w:t>PJSC “Lenenergo”</w:t>
            </w:r>
          </w:p>
        </w:tc>
        <w:tc>
          <w:tcPr>
            <w:tcW w:w="1137" w:type="dxa"/>
            <w:tcBorders>
              <w:top w:val="nil"/>
              <w:left w:val="nil"/>
              <w:bottom w:val="single" w:sz="8" w:space="0" w:color="auto"/>
              <w:right w:val="single" w:sz="8" w:space="0" w:color="auto"/>
            </w:tcBorders>
            <w:shd w:val="clear" w:color="auto" w:fill="auto"/>
            <w:vAlign w:val="center"/>
            <w:hideMark/>
          </w:tcPr>
          <w:p w14:paraId="48DE0D2D"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22,210</w:t>
            </w:r>
          </w:p>
        </w:tc>
        <w:tc>
          <w:tcPr>
            <w:tcW w:w="1134" w:type="dxa"/>
            <w:tcBorders>
              <w:top w:val="nil"/>
              <w:left w:val="nil"/>
              <w:bottom w:val="single" w:sz="8" w:space="0" w:color="auto"/>
              <w:right w:val="single" w:sz="8" w:space="0" w:color="auto"/>
            </w:tcBorders>
            <w:shd w:val="clear" w:color="auto" w:fill="auto"/>
            <w:vAlign w:val="center"/>
            <w:hideMark/>
          </w:tcPr>
          <w:p w14:paraId="09AC58FC"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15,165</w:t>
            </w:r>
          </w:p>
        </w:tc>
        <w:tc>
          <w:tcPr>
            <w:tcW w:w="1418" w:type="dxa"/>
            <w:tcBorders>
              <w:top w:val="nil"/>
              <w:left w:val="nil"/>
              <w:bottom w:val="single" w:sz="8" w:space="0" w:color="auto"/>
              <w:right w:val="single" w:sz="8" w:space="0" w:color="auto"/>
            </w:tcBorders>
            <w:shd w:val="clear" w:color="auto" w:fill="auto"/>
            <w:vAlign w:val="center"/>
            <w:hideMark/>
          </w:tcPr>
          <w:p w14:paraId="33DE62A9"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27,617</w:t>
            </w:r>
          </w:p>
        </w:tc>
        <w:tc>
          <w:tcPr>
            <w:tcW w:w="1134" w:type="dxa"/>
            <w:tcBorders>
              <w:top w:val="nil"/>
              <w:left w:val="nil"/>
              <w:bottom w:val="single" w:sz="8" w:space="0" w:color="auto"/>
              <w:right w:val="single" w:sz="8" w:space="0" w:color="auto"/>
            </w:tcBorders>
            <w:shd w:val="clear" w:color="auto" w:fill="auto"/>
            <w:vAlign w:val="center"/>
            <w:hideMark/>
          </w:tcPr>
          <w:p w14:paraId="757BC030"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844</w:t>
            </w:r>
          </w:p>
        </w:tc>
        <w:tc>
          <w:tcPr>
            <w:tcW w:w="992" w:type="dxa"/>
            <w:tcBorders>
              <w:top w:val="nil"/>
              <w:left w:val="nil"/>
              <w:bottom w:val="single" w:sz="8" w:space="0" w:color="auto"/>
              <w:right w:val="single" w:sz="8" w:space="0" w:color="auto"/>
            </w:tcBorders>
            <w:shd w:val="clear" w:color="auto" w:fill="auto"/>
            <w:vAlign w:val="center"/>
            <w:hideMark/>
          </w:tcPr>
          <w:p w14:paraId="2788E6A1"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2147</w:t>
            </w:r>
          </w:p>
        </w:tc>
        <w:tc>
          <w:tcPr>
            <w:tcW w:w="992" w:type="dxa"/>
            <w:tcBorders>
              <w:top w:val="nil"/>
              <w:left w:val="nil"/>
              <w:bottom w:val="single" w:sz="8" w:space="0" w:color="auto"/>
              <w:right w:val="single" w:sz="8" w:space="0" w:color="auto"/>
            </w:tcBorders>
            <w:shd w:val="clear" w:color="auto" w:fill="auto"/>
            <w:vAlign w:val="center"/>
            <w:hideMark/>
          </w:tcPr>
          <w:p w14:paraId="4A046543"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676</w:t>
            </w:r>
          </w:p>
        </w:tc>
        <w:tc>
          <w:tcPr>
            <w:tcW w:w="851" w:type="dxa"/>
            <w:tcBorders>
              <w:top w:val="nil"/>
              <w:left w:val="nil"/>
              <w:bottom w:val="single" w:sz="8" w:space="0" w:color="auto"/>
              <w:right w:val="single" w:sz="8" w:space="0" w:color="auto"/>
            </w:tcBorders>
            <w:shd w:val="clear" w:color="auto" w:fill="auto"/>
            <w:vAlign w:val="center"/>
            <w:hideMark/>
          </w:tcPr>
          <w:p w14:paraId="25AD8CB7"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1583</w:t>
            </w:r>
          </w:p>
        </w:tc>
      </w:tr>
      <w:tr w:rsidR="008A5057" w:rsidRPr="00BD295E" w14:paraId="3D15DB03" w14:textId="77777777" w:rsidTr="00850333">
        <w:trPr>
          <w:trHeight w:val="678"/>
        </w:trPr>
        <w:tc>
          <w:tcPr>
            <w:tcW w:w="1698" w:type="dxa"/>
            <w:tcBorders>
              <w:top w:val="nil"/>
              <w:left w:val="single" w:sz="8" w:space="0" w:color="auto"/>
              <w:bottom w:val="single" w:sz="8" w:space="0" w:color="auto"/>
              <w:right w:val="single" w:sz="8" w:space="0" w:color="auto"/>
            </w:tcBorders>
            <w:shd w:val="clear" w:color="auto" w:fill="auto"/>
            <w:vAlign w:val="center"/>
            <w:hideMark/>
          </w:tcPr>
          <w:p w14:paraId="187EE659"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Total for Lenenergo Group</w:t>
            </w:r>
          </w:p>
        </w:tc>
        <w:tc>
          <w:tcPr>
            <w:tcW w:w="1137" w:type="dxa"/>
            <w:tcBorders>
              <w:top w:val="nil"/>
              <w:left w:val="nil"/>
              <w:bottom w:val="single" w:sz="8" w:space="0" w:color="auto"/>
              <w:right w:val="single" w:sz="8" w:space="0" w:color="auto"/>
            </w:tcBorders>
            <w:shd w:val="clear" w:color="auto" w:fill="auto"/>
            <w:vAlign w:val="center"/>
            <w:hideMark/>
          </w:tcPr>
          <w:p w14:paraId="5757AE96"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28,227</w:t>
            </w:r>
          </w:p>
        </w:tc>
        <w:tc>
          <w:tcPr>
            <w:tcW w:w="1134" w:type="dxa"/>
            <w:tcBorders>
              <w:top w:val="nil"/>
              <w:left w:val="nil"/>
              <w:bottom w:val="single" w:sz="8" w:space="0" w:color="auto"/>
              <w:right w:val="single" w:sz="8" w:space="0" w:color="auto"/>
            </w:tcBorders>
            <w:shd w:val="clear" w:color="auto" w:fill="auto"/>
            <w:vAlign w:val="center"/>
            <w:hideMark/>
          </w:tcPr>
          <w:p w14:paraId="59D18A8E"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21,539</w:t>
            </w:r>
          </w:p>
        </w:tc>
        <w:tc>
          <w:tcPr>
            <w:tcW w:w="1418" w:type="dxa"/>
            <w:tcBorders>
              <w:top w:val="nil"/>
              <w:left w:val="nil"/>
              <w:bottom w:val="single" w:sz="8" w:space="0" w:color="auto"/>
              <w:right w:val="single" w:sz="8" w:space="0" w:color="auto"/>
            </w:tcBorders>
            <w:shd w:val="clear" w:color="auto" w:fill="auto"/>
            <w:vAlign w:val="center"/>
            <w:hideMark/>
          </w:tcPr>
          <w:p w14:paraId="56BD5029"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33,030</w:t>
            </w:r>
          </w:p>
        </w:tc>
        <w:tc>
          <w:tcPr>
            <w:tcW w:w="1134" w:type="dxa"/>
            <w:tcBorders>
              <w:top w:val="nil"/>
              <w:left w:val="nil"/>
              <w:bottom w:val="single" w:sz="8" w:space="0" w:color="auto"/>
              <w:right w:val="single" w:sz="8" w:space="0" w:color="auto"/>
            </w:tcBorders>
            <w:shd w:val="clear" w:color="auto" w:fill="auto"/>
            <w:vAlign w:val="center"/>
            <w:hideMark/>
          </w:tcPr>
          <w:p w14:paraId="37B92849"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1086</w:t>
            </w:r>
          </w:p>
        </w:tc>
        <w:tc>
          <w:tcPr>
            <w:tcW w:w="992" w:type="dxa"/>
            <w:tcBorders>
              <w:top w:val="nil"/>
              <w:left w:val="nil"/>
              <w:bottom w:val="single" w:sz="8" w:space="0" w:color="auto"/>
              <w:right w:val="single" w:sz="8" w:space="0" w:color="auto"/>
            </w:tcBorders>
            <w:shd w:val="clear" w:color="auto" w:fill="auto"/>
            <w:vAlign w:val="center"/>
            <w:hideMark/>
          </w:tcPr>
          <w:p w14:paraId="554B47DE"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2594</w:t>
            </w:r>
          </w:p>
        </w:tc>
        <w:tc>
          <w:tcPr>
            <w:tcW w:w="992" w:type="dxa"/>
            <w:tcBorders>
              <w:top w:val="nil"/>
              <w:left w:val="nil"/>
              <w:bottom w:val="single" w:sz="8" w:space="0" w:color="auto"/>
              <w:right w:val="single" w:sz="8" w:space="0" w:color="auto"/>
            </w:tcBorders>
            <w:shd w:val="clear" w:color="auto" w:fill="auto"/>
            <w:vAlign w:val="center"/>
            <w:hideMark/>
          </w:tcPr>
          <w:p w14:paraId="4410F733"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918</w:t>
            </w:r>
          </w:p>
        </w:tc>
        <w:tc>
          <w:tcPr>
            <w:tcW w:w="851" w:type="dxa"/>
            <w:tcBorders>
              <w:top w:val="nil"/>
              <w:left w:val="nil"/>
              <w:bottom w:val="single" w:sz="8" w:space="0" w:color="auto"/>
              <w:right w:val="single" w:sz="8" w:space="0" w:color="auto"/>
            </w:tcBorders>
            <w:shd w:val="clear" w:color="auto" w:fill="auto"/>
            <w:vAlign w:val="center"/>
            <w:hideMark/>
          </w:tcPr>
          <w:p w14:paraId="59E83A6A"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1995</w:t>
            </w:r>
          </w:p>
        </w:tc>
      </w:tr>
    </w:tbl>
    <w:p w14:paraId="0A7FC827" w14:textId="77777777" w:rsidR="00850333" w:rsidRPr="00BD295E" w:rsidRDefault="00850333" w:rsidP="00850333">
      <w:pPr>
        <w:ind w:firstLine="709"/>
        <w:rPr>
          <w:rFonts w:ascii="Arial" w:hAnsi="Arial" w:cs="Arial"/>
          <w:sz w:val="18"/>
          <w:szCs w:val="18"/>
          <w:lang w:val="en-US"/>
        </w:rPr>
      </w:pPr>
    </w:p>
    <w:p w14:paraId="632E2D46" w14:textId="7DB8F50D" w:rsidR="00850333" w:rsidRPr="00BD295E" w:rsidRDefault="00997D07" w:rsidP="00850333">
      <w:pPr>
        <w:ind w:firstLine="709"/>
        <w:rPr>
          <w:rFonts w:ascii="Arial" w:hAnsi="Arial" w:cs="Arial"/>
          <w:sz w:val="18"/>
          <w:szCs w:val="18"/>
          <w:lang w:val="en-US"/>
        </w:rPr>
      </w:pPr>
      <w:r w:rsidRPr="00BD295E">
        <w:rPr>
          <w:rFonts w:ascii="Arial" w:hAnsi="Arial" w:cs="Arial"/>
          <w:sz w:val="18"/>
          <w:szCs w:val="18"/>
          <w:lang w:val="en-US" w:eastAsia="en-US"/>
        </w:rPr>
        <w:drawing>
          <wp:inline distT="0" distB="0" distL="0" distR="0" wp14:anchorId="36C47034" wp14:editId="5FAB13CE">
            <wp:extent cx="5386705" cy="2590800"/>
            <wp:effectExtent l="0" t="0" r="0" b="0"/>
            <wp:docPr id="40" name="Диаграмма 10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BFBA626" w14:textId="77777777" w:rsidR="00850333" w:rsidRPr="00BD295E" w:rsidRDefault="00850333" w:rsidP="00850333">
      <w:pPr>
        <w:ind w:firstLine="709"/>
        <w:rPr>
          <w:rFonts w:ascii="Arial" w:hAnsi="Arial" w:cs="Arial"/>
          <w:sz w:val="18"/>
          <w:szCs w:val="18"/>
          <w:lang w:val="en-US"/>
        </w:rPr>
      </w:pPr>
    </w:p>
    <w:p w14:paraId="00220C99" w14:textId="7A8EA521" w:rsidR="00850333" w:rsidRPr="00BD295E" w:rsidRDefault="00997D07" w:rsidP="00850333">
      <w:pPr>
        <w:ind w:firstLine="709"/>
        <w:rPr>
          <w:rFonts w:ascii="Arial" w:hAnsi="Arial" w:cs="Arial"/>
          <w:sz w:val="18"/>
          <w:szCs w:val="18"/>
          <w:lang w:val="en-US"/>
        </w:rPr>
      </w:pPr>
      <w:r w:rsidRPr="00BD295E">
        <w:rPr>
          <w:rFonts w:ascii="Arial" w:hAnsi="Arial" w:cs="Arial"/>
          <w:sz w:val="18"/>
          <w:szCs w:val="18"/>
          <w:lang w:val="en-US" w:eastAsia="en-US"/>
        </w:rPr>
        <w:drawing>
          <wp:inline distT="0" distB="0" distL="0" distR="0" wp14:anchorId="29115927" wp14:editId="03627B9D">
            <wp:extent cx="5577205" cy="2595880"/>
            <wp:effectExtent l="0" t="0" r="0" b="0"/>
            <wp:docPr id="41" name="Диаграмма 10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11F960D" w14:textId="77777777" w:rsidR="00850333" w:rsidRPr="00BD295E" w:rsidRDefault="00850333" w:rsidP="00850333">
      <w:pPr>
        <w:ind w:firstLine="709"/>
        <w:rPr>
          <w:rFonts w:ascii="Arial" w:hAnsi="Arial" w:cs="Arial"/>
          <w:sz w:val="18"/>
          <w:szCs w:val="18"/>
          <w:lang w:val="en-US"/>
        </w:rPr>
      </w:pPr>
    </w:p>
    <w:p w14:paraId="13CC6218" w14:textId="5047042A" w:rsidR="00850333" w:rsidRPr="00BD295E" w:rsidRDefault="00997D07" w:rsidP="00850333">
      <w:pPr>
        <w:ind w:firstLine="709"/>
        <w:rPr>
          <w:rFonts w:ascii="Arial" w:hAnsi="Arial" w:cs="Arial"/>
          <w:sz w:val="18"/>
          <w:szCs w:val="18"/>
          <w:lang w:val="en-US"/>
        </w:rPr>
      </w:pPr>
      <w:r w:rsidRPr="00BD295E">
        <w:rPr>
          <w:rFonts w:ascii="Arial" w:hAnsi="Arial" w:cs="Arial"/>
          <w:sz w:val="18"/>
          <w:szCs w:val="18"/>
          <w:lang w:val="en-US" w:eastAsia="en-US"/>
        </w:rPr>
        <w:drawing>
          <wp:inline distT="0" distB="0" distL="0" distR="0" wp14:anchorId="1995F3FA" wp14:editId="213288B4">
            <wp:extent cx="5762625" cy="2676525"/>
            <wp:effectExtent l="0" t="0" r="0" b="0"/>
            <wp:docPr id="42" name="Диаграмма 10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2DBDF61" w14:textId="77777777" w:rsidR="00850333" w:rsidRPr="00BD295E" w:rsidRDefault="00850333" w:rsidP="00850333">
      <w:pPr>
        <w:ind w:firstLine="708"/>
        <w:jc w:val="both"/>
        <w:rPr>
          <w:rFonts w:ascii="Arial" w:hAnsi="Arial" w:cs="Arial"/>
          <w:sz w:val="18"/>
          <w:szCs w:val="18"/>
          <w:lang w:val="en-US"/>
        </w:rPr>
      </w:pPr>
    </w:p>
    <w:p w14:paraId="0689C0CE" w14:textId="77777777" w:rsidR="0027083B" w:rsidRPr="00BD295E" w:rsidRDefault="0027083B" w:rsidP="00850333">
      <w:pPr>
        <w:ind w:firstLine="708"/>
        <w:jc w:val="both"/>
        <w:rPr>
          <w:rFonts w:ascii="Arial" w:hAnsi="Arial" w:cs="Arial"/>
          <w:sz w:val="18"/>
          <w:szCs w:val="18"/>
          <w:lang w:val="en-US"/>
        </w:rPr>
      </w:pPr>
    </w:p>
    <w:p w14:paraId="6DB64340" w14:textId="77777777" w:rsidR="0027083B" w:rsidRPr="00BD295E" w:rsidRDefault="007F1D7D" w:rsidP="0027083B">
      <w:pPr>
        <w:tabs>
          <w:tab w:val="right" w:pos="9355"/>
        </w:tabs>
        <w:ind w:firstLine="709"/>
        <w:jc w:val="center"/>
        <w:rPr>
          <w:rFonts w:ascii="Arial" w:hAnsi="Arial" w:cs="Arial"/>
          <w:b/>
          <w:sz w:val="18"/>
          <w:szCs w:val="18"/>
          <w:lang w:val="en-US"/>
        </w:rPr>
      </w:pPr>
      <w:r w:rsidRPr="00BD295E">
        <w:rPr>
          <w:rFonts w:ascii="Arial" w:hAnsi="Arial" w:cs="Arial"/>
          <w:b/>
          <w:sz w:val="18"/>
          <w:szCs w:val="18"/>
          <w:lang w:val="en-US"/>
        </w:rPr>
        <w:t>I</w:t>
      </w:r>
      <w:r w:rsidR="008A5057" w:rsidRPr="00BD295E">
        <w:rPr>
          <w:rFonts w:ascii="Arial" w:hAnsi="Arial" w:cs="Arial"/>
          <w:b/>
          <w:sz w:val="18"/>
          <w:szCs w:val="18"/>
          <w:lang w:val="en-US"/>
        </w:rPr>
        <w:t>nvestment program</w:t>
      </w:r>
      <w:r w:rsidRPr="00BD295E">
        <w:rPr>
          <w:rFonts w:ascii="Arial" w:hAnsi="Arial" w:cs="Arial"/>
          <w:b/>
          <w:sz w:val="18"/>
          <w:szCs w:val="18"/>
          <w:lang w:val="en-US"/>
        </w:rPr>
        <w:t xml:space="preserve"> financing sources</w:t>
      </w:r>
    </w:p>
    <w:p w14:paraId="043ED2BC" w14:textId="77777777" w:rsidR="0027083B" w:rsidRPr="00BD295E" w:rsidRDefault="0027083B" w:rsidP="0027083B">
      <w:pPr>
        <w:tabs>
          <w:tab w:val="right" w:pos="9355"/>
        </w:tabs>
        <w:ind w:firstLine="709"/>
        <w:jc w:val="center"/>
        <w:rPr>
          <w:rFonts w:ascii="Arial" w:hAnsi="Arial" w:cs="Arial"/>
          <w:b/>
          <w:sz w:val="18"/>
          <w:szCs w:val="18"/>
          <w:lang w:val="en-US"/>
        </w:rPr>
      </w:pPr>
    </w:p>
    <w:p w14:paraId="792719BC" w14:textId="3A098C18" w:rsidR="0027083B" w:rsidRPr="00BD295E" w:rsidRDefault="00997D07" w:rsidP="0027083B">
      <w:pPr>
        <w:tabs>
          <w:tab w:val="right" w:pos="9355"/>
        </w:tabs>
        <w:jc w:val="center"/>
        <w:rPr>
          <w:rFonts w:ascii="Arial" w:hAnsi="Arial" w:cs="Arial"/>
          <w:b/>
          <w:sz w:val="18"/>
          <w:szCs w:val="18"/>
          <w:lang w:val="en-US"/>
        </w:rPr>
      </w:pPr>
      <w:r w:rsidRPr="00BD295E">
        <w:rPr>
          <w:rFonts w:ascii="Arial" w:hAnsi="Arial" w:cs="Arial"/>
          <w:sz w:val="18"/>
          <w:szCs w:val="18"/>
          <w:lang w:val="en-US" w:eastAsia="en-US"/>
        </w:rPr>
        <mc:AlternateContent>
          <mc:Choice Requires="wpg">
            <w:drawing>
              <wp:inline distT="0" distB="0" distL="0" distR="0" wp14:anchorId="7FC2D892" wp14:editId="35E1FF3D">
                <wp:extent cx="5940425" cy="3740150"/>
                <wp:effectExtent l="38100" t="0" r="31750" b="3175"/>
                <wp:docPr id="490" name="Группа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3740150"/>
                          <a:chOff x="0" y="0"/>
                          <a:chExt cx="8478213" cy="3712247"/>
                        </a:xfrm>
                      </wpg:grpSpPr>
                      <wpg:grpSp>
                        <wpg:cNvPr id="491" name="Группа 329"/>
                        <wpg:cNvGrpSpPr>
                          <a:grpSpLocks/>
                        </wpg:cNvGrpSpPr>
                        <wpg:grpSpPr bwMode="auto">
                          <a:xfrm>
                            <a:off x="0" y="0"/>
                            <a:ext cx="8478213" cy="3712247"/>
                            <a:chOff x="0" y="0"/>
                            <a:chExt cx="8475135" cy="3835398"/>
                          </a:xfrm>
                        </wpg:grpSpPr>
                        <wpg:grpSp>
                          <wpg:cNvPr id="492" name="Группа 331"/>
                          <wpg:cNvGrpSpPr>
                            <a:grpSpLocks/>
                          </wpg:cNvGrpSpPr>
                          <wpg:grpSpPr bwMode="auto">
                            <a:xfrm>
                              <a:off x="43959" y="0"/>
                              <a:ext cx="8158635" cy="3835398"/>
                              <a:chOff x="43959" y="0"/>
                              <a:chExt cx="7857068" cy="3675239"/>
                            </a:xfrm>
                          </wpg:grpSpPr>
                          <wpg:grpSp>
                            <wpg:cNvPr id="493" name="Группа 332"/>
                            <wpg:cNvGrpSpPr>
                              <a:grpSpLocks/>
                            </wpg:cNvGrpSpPr>
                            <wpg:grpSpPr bwMode="auto">
                              <a:xfrm>
                                <a:off x="43959" y="203200"/>
                                <a:ext cx="7857068" cy="2879782"/>
                                <a:chOff x="43959" y="203200"/>
                                <a:chExt cx="8483466" cy="2216254"/>
                              </a:xfrm>
                            </wpg:grpSpPr>
                            <pic:pic xmlns:pic="http://schemas.openxmlformats.org/drawingml/2006/picture">
                              <pic:nvPicPr>
                                <pic:cNvPr id="494" name="Диаграмма 333"/>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5380" y="258879"/>
                                  <a:ext cx="4666374" cy="21574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5" name="Диаграмма 334"/>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528973" y="203559"/>
                                  <a:ext cx="3997165" cy="2217413"/>
                                </a:xfrm>
                                <a:prstGeom prst="rect">
                                  <a:avLst/>
                                </a:prstGeom>
                                <a:noFill/>
                                <a:extLst>
                                  <a:ext uri="{909E8E84-426E-40DD-AFC4-6F175D3DCCD1}">
                                    <a14:hiddenFill xmlns:a14="http://schemas.microsoft.com/office/drawing/2010/main">
                                      <a:solidFill>
                                        <a:srgbClr val="FFFFFF"/>
                                      </a:solidFill>
                                    </a14:hiddenFill>
                                  </a:ext>
                                </a:extLst>
                              </pic:spPr>
                            </pic:pic>
                          </wpg:grpSp>
                          <wps:wsp>
                            <wps:cNvPr id="496" name="TextBox 11"/>
                            <wps:cNvSpPr txBox="1">
                              <a:spLocks noChangeArrowheads="1"/>
                            </wps:cNvSpPr>
                            <wps:spPr bwMode="auto">
                              <a:xfrm>
                                <a:off x="983293" y="0"/>
                                <a:ext cx="6310722" cy="3122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05162B" w14:textId="77777777" w:rsidR="002C3947" w:rsidRPr="00E3510B" w:rsidRDefault="002C3947" w:rsidP="0027083B">
                                  <w:pPr>
                                    <w:pStyle w:val="16"/>
                                    <w:spacing w:before="0" w:beforeAutospacing="0" w:after="0" w:afterAutospacing="0"/>
                                    <w:jc w:val="center"/>
                                    <w:rPr>
                                      <w:rFonts w:ascii="Calibri" w:hAnsi="Calibri"/>
                                      <w:sz w:val="20"/>
                                      <w:szCs w:val="20"/>
                                    </w:rPr>
                                  </w:pPr>
                                  <w:r w:rsidRPr="007F1D7D">
                                    <w:rPr>
                                      <w:rFonts w:ascii="Calibri" w:hAnsi="Calibri"/>
                                      <w:b/>
                                      <w:bCs/>
                                      <w:color w:val="000000"/>
                                      <w:sz w:val="20"/>
                                      <w:szCs w:val="20"/>
                                    </w:rPr>
                                    <w:t>Investment program financing sources</w:t>
                                  </w:r>
                                  <w:r>
                                    <w:rPr>
                                      <w:rFonts w:ascii="Calibri" w:hAnsi="Calibri"/>
                                      <w:b/>
                                      <w:bCs/>
                                      <w:color w:val="000000"/>
                                      <w:sz w:val="20"/>
                                      <w:szCs w:val="20"/>
                                    </w:rPr>
                                    <w:t>, RUB million, including VAT</w:t>
                                  </w:r>
                                </w:p>
                              </w:txbxContent>
                            </wps:txbx>
                            <wps:bodyPr rot="0" vert="horz" wrap="square" lIns="91440" tIns="45720" rIns="91440" bIns="45720" anchor="t" anchorCtr="0" upright="1">
                              <a:noAutofit/>
                            </wps:bodyPr>
                          </wps:wsp>
                          <wps:wsp>
                            <wps:cNvPr id="497" name="TextBox 12"/>
                            <wps:cNvSpPr txBox="1">
                              <a:spLocks noChangeArrowheads="1"/>
                            </wps:cNvSpPr>
                            <wps:spPr bwMode="auto">
                              <a:xfrm>
                                <a:off x="113816" y="3407625"/>
                                <a:ext cx="5497340" cy="2676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EC409F" w14:textId="77777777" w:rsidR="002C3947" w:rsidRPr="00E3510B" w:rsidRDefault="002C3947" w:rsidP="0027083B">
                                  <w:pPr>
                                    <w:pStyle w:val="16"/>
                                    <w:spacing w:before="0" w:beforeAutospacing="0" w:after="0" w:afterAutospacing="0"/>
                                    <w:rPr>
                                      <w:rFonts w:ascii="Calibri" w:hAnsi="Calibri"/>
                                    </w:rPr>
                                  </w:pPr>
                                  <w:r>
                                    <w:rPr>
                                      <w:rFonts w:ascii="Calibri" w:hAnsi="Calibri"/>
                                      <w:color w:val="000000"/>
                                      <w:sz w:val="18"/>
                                      <w:szCs w:val="18"/>
                                    </w:rPr>
                                    <w:t>* VAT refund, follow-on offering, other</w:t>
                                  </w:r>
                                </w:p>
                              </w:txbxContent>
                            </wps:txbx>
                            <wps:bodyPr rot="0" vert="horz" wrap="square" lIns="91440" tIns="45720" rIns="91440" bIns="45720" anchor="t" anchorCtr="0" upright="1">
                              <a:noAutofit/>
                            </wps:bodyPr>
                          </wps:wsp>
                        </wpg:grpSp>
                        <wpg:grpSp>
                          <wpg:cNvPr id="498" name="Группа 337"/>
                          <wpg:cNvGrpSpPr>
                            <a:grpSpLocks/>
                          </wpg:cNvGrpSpPr>
                          <wpg:grpSpPr bwMode="auto">
                            <a:xfrm>
                              <a:off x="0" y="3211677"/>
                              <a:ext cx="8475135" cy="335131"/>
                              <a:chOff x="0" y="3211227"/>
                              <a:chExt cx="7132639" cy="369021"/>
                            </a:xfrm>
                          </wpg:grpSpPr>
                          <wps:wsp>
                            <wps:cNvPr id="499" name="Полилиния 338"/>
                            <wps:cNvSpPr>
                              <a:spLocks/>
                            </wps:cNvSpPr>
                            <wps:spPr bwMode="auto">
                              <a:xfrm>
                                <a:off x="0" y="3211227"/>
                                <a:ext cx="1952693" cy="369021"/>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0 w 2440457"/>
                                  <a:gd name="T5" fmla="*/ 0 h 359977"/>
                                  <a:gd name="T6" fmla="*/ 1808678 w 2440457"/>
                                  <a:gd name="T7" fmla="*/ 0 h 359977"/>
                                  <a:gd name="T8" fmla="*/ 1952693 w 2440457"/>
                                  <a:gd name="T9" fmla="*/ 184511 h 359977"/>
                                  <a:gd name="T10" fmla="*/ 1808678 w 2440457"/>
                                  <a:gd name="T11" fmla="*/ 369021 h 359977"/>
                                  <a:gd name="T12" fmla="*/ 0 w 2440457"/>
                                  <a:gd name="T13" fmla="*/ 369021 h 359977"/>
                                  <a:gd name="T14" fmla="*/ 144015 w 2440457"/>
                                  <a:gd name="T15" fmla="*/ 184511 h 359977"/>
                                  <a:gd name="T16" fmla="*/ 0 w 2440457"/>
                                  <a:gd name="T17" fmla="*/ 0 h 359977"/>
                                  <a:gd name="T18" fmla="*/ 0 60000 65536"/>
                                  <a:gd name="T19" fmla="*/ 0 60000 65536"/>
                                  <a:gd name="T20" fmla="*/ 0 60000 65536"/>
                                  <a:gd name="T21" fmla="*/ 0 60000 65536"/>
                                  <a:gd name="T22" fmla="*/ 0 60000 65536"/>
                                  <a:gd name="T23" fmla="*/ 0 60000 65536"/>
                                  <a:gd name="T24" fmla="*/ 0 60000 65536"/>
                                  <a:gd name="T25" fmla="*/ 0 w 2440457"/>
                                  <a:gd name="T26" fmla="*/ 0 h 359977"/>
                                  <a:gd name="T27" fmla="*/ 2440457 w 2440457"/>
                                  <a:gd name="T28" fmla="*/ 359977 h 359977"/>
                                </a:gdLst>
                                <a:ahLst/>
                                <a:cxnLst>
                                  <a:cxn ang="T18">
                                    <a:pos x="T4" y="T5"/>
                                  </a:cxn>
                                  <a:cxn ang="T19">
                                    <a:pos x="T6" y="T7"/>
                                  </a:cxn>
                                  <a:cxn ang="T20">
                                    <a:pos x="T8" y="T9"/>
                                  </a:cxn>
                                  <a:cxn ang="T21">
                                    <a:pos x="T10" y="T11"/>
                                  </a:cxn>
                                  <a:cxn ang="T22">
                                    <a:pos x="T12" y="T13"/>
                                  </a:cxn>
                                  <a:cxn ang="T23">
                                    <a:pos x="T14" y="T15"/>
                                  </a:cxn>
                                  <a:cxn ang="T24">
                                    <a:pos x="T16" y="T17"/>
                                  </a:cxn>
                                </a:cxnLst>
                                <a:rect l="T25" t="T26" r="T27" b="T28"/>
                                <a:pathLst>
                                  <a:path w="2440457" h="359977">
                                    <a:moveTo>
                                      <a:pt x="0" y="0"/>
                                    </a:moveTo>
                                    <a:lnTo>
                                      <a:pt x="2260469" y="0"/>
                                    </a:lnTo>
                                    <a:lnTo>
                                      <a:pt x="2440457" y="179989"/>
                                    </a:lnTo>
                                    <a:lnTo>
                                      <a:pt x="2260469" y="359977"/>
                                    </a:lnTo>
                                    <a:lnTo>
                                      <a:pt x="0" y="359977"/>
                                    </a:lnTo>
                                    <a:lnTo>
                                      <a:pt x="179989" y="179989"/>
                                    </a:lnTo>
                                    <a:lnTo>
                                      <a:pt x="0" y="0"/>
                                    </a:lnTo>
                                    <a:close/>
                                  </a:path>
                                </a:pathLst>
                              </a:custGeom>
                              <a:solidFill>
                                <a:srgbClr val="376092"/>
                              </a:solidFill>
                              <a:ln w="25400" algn="ctr">
                                <a:solidFill>
                                  <a:srgbClr val="FFFFFF"/>
                                </a:solidFill>
                                <a:miter lim="800000"/>
                                <a:headEnd/>
                                <a:tailEnd/>
                              </a:ln>
                            </wps:spPr>
                            <wps:txbx>
                              <w:txbxContent>
                                <w:p w14:paraId="5518C2AF" w14:textId="77777777" w:rsidR="002C3947" w:rsidRPr="00E3510B" w:rsidRDefault="002C3947" w:rsidP="0027083B">
                                  <w:pPr>
                                    <w:pStyle w:val="16"/>
                                    <w:spacing w:before="0" w:beforeAutospacing="0" w:after="0" w:afterAutospacing="0" w:line="216" w:lineRule="auto"/>
                                    <w:jc w:val="center"/>
                                    <w:rPr>
                                      <w:rFonts w:ascii="Calibri" w:hAnsi="Calibri"/>
                                      <w:sz w:val="20"/>
                                      <w:szCs w:val="20"/>
                                    </w:rPr>
                                  </w:pPr>
                                  <w:r>
                                    <w:rPr>
                                      <w:rFonts w:ascii="Calibri" w:hAnsi="Calibri"/>
                                      <w:b/>
                                      <w:bCs/>
                                      <w:color w:val="FFFFFF"/>
                                      <w:sz w:val="20"/>
                                      <w:szCs w:val="20"/>
                                    </w:rPr>
                                    <w:t>Equity</w:t>
                                  </w:r>
                                </w:p>
                              </w:txbxContent>
                            </wps:txbx>
                            <wps:bodyPr rot="0" vert="horz" wrap="square" lIns="240030" tIns="20066" rIns="200025" bIns="20066" anchor="ctr" anchorCtr="0" upright="1">
                              <a:noAutofit/>
                            </wps:bodyPr>
                          </wps:wsp>
                          <wps:wsp>
                            <wps:cNvPr id="500" name="Полилиния 341"/>
                            <wps:cNvSpPr>
                              <a:spLocks/>
                            </wps:cNvSpPr>
                            <wps:spPr bwMode="auto">
                              <a:xfrm>
                                <a:off x="1732096" y="3211227"/>
                                <a:ext cx="2058906" cy="369021"/>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0 w 2440457"/>
                                  <a:gd name="T5" fmla="*/ 0 h 359977"/>
                                  <a:gd name="T6" fmla="*/ 1907058 w 2440457"/>
                                  <a:gd name="T7" fmla="*/ 0 h 359977"/>
                                  <a:gd name="T8" fmla="*/ 2058906 w 2440457"/>
                                  <a:gd name="T9" fmla="*/ 184511 h 359977"/>
                                  <a:gd name="T10" fmla="*/ 1907058 w 2440457"/>
                                  <a:gd name="T11" fmla="*/ 369021 h 359977"/>
                                  <a:gd name="T12" fmla="*/ 0 w 2440457"/>
                                  <a:gd name="T13" fmla="*/ 369021 h 359977"/>
                                  <a:gd name="T14" fmla="*/ 151849 w 2440457"/>
                                  <a:gd name="T15" fmla="*/ 184511 h 359977"/>
                                  <a:gd name="T16" fmla="*/ 0 w 2440457"/>
                                  <a:gd name="T17" fmla="*/ 0 h 359977"/>
                                  <a:gd name="T18" fmla="*/ 0 60000 65536"/>
                                  <a:gd name="T19" fmla="*/ 0 60000 65536"/>
                                  <a:gd name="T20" fmla="*/ 0 60000 65536"/>
                                  <a:gd name="T21" fmla="*/ 0 60000 65536"/>
                                  <a:gd name="T22" fmla="*/ 0 60000 65536"/>
                                  <a:gd name="T23" fmla="*/ 0 60000 65536"/>
                                  <a:gd name="T24" fmla="*/ 0 60000 65536"/>
                                  <a:gd name="T25" fmla="*/ 0 w 2440457"/>
                                  <a:gd name="T26" fmla="*/ 0 h 359977"/>
                                  <a:gd name="T27" fmla="*/ 2440457 w 2440457"/>
                                  <a:gd name="T28" fmla="*/ 359977 h 359977"/>
                                </a:gdLst>
                                <a:ahLst/>
                                <a:cxnLst>
                                  <a:cxn ang="T18">
                                    <a:pos x="T4" y="T5"/>
                                  </a:cxn>
                                  <a:cxn ang="T19">
                                    <a:pos x="T6" y="T7"/>
                                  </a:cxn>
                                  <a:cxn ang="T20">
                                    <a:pos x="T8" y="T9"/>
                                  </a:cxn>
                                  <a:cxn ang="T21">
                                    <a:pos x="T10" y="T11"/>
                                  </a:cxn>
                                  <a:cxn ang="T22">
                                    <a:pos x="T12" y="T13"/>
                                  </a:cxn>
                                  <a:cxn ang="T23">
                                    <a:pos x="T14" y="T15"/>
                                  </a:cxn>
                                  <a:cxn ang="T24">
                                    <a:pos x="T16" y="T17"/>
                                  </a:cxn>
                                </a:cxnLst>
                                <a:rect l="T25" t="T26" r="T27" b="T28"/>
                                <a:pathLst>
                                  <a:path w="2440457" h="359977">
                                    <a:moveTo>
                                      <a:pt x="0" y="0"/>
                                    </a:moveTo>
                                    <a:lnTo>
                                      <a:pt x="2260469" y="0"/>
                                    </a:lnTo>
                                    <a:lnTo>
                                      <a:pt x="2440457" y="179989"/>
                                    </a:lnTo>
                                    <a:lnTo>
                                      <a:pt x="2260469" y="359977"/>
                                    </a:lnTo>
                                    <a:lnTo>
                                      <a:pt x="0" y="359977"/>
                                    </a:lnTo>
                                    <a:lnTo>
                                      <a:pt x="179989" y="179989"/>
                                    </a:lnTo>
                                    <a:lnTo>
                                      <a:pt x="0" y="0"/>
                                    </a:lnTo>
                                    <a:close/>
                                  </a:path>
                                </a:pathLst>
                              </a:custGeom>
                              <a:solidFill>
                                <a:srgbClr val="77933C"/>
                              </a:solidFill>
                              <a:ln w="25400" algn="ctr">
                                <a:solidFill>
                                  <a:srgbClr val="FFFFFF"/>
                                </a:solidFill>
                                <a:miter lim="800000"/>
                                <a:headEnd/>
                                <a:tailEnd/>
                              </a:ln>
                            </wps:spPr>
                            <wps:txbx>
                              <w:txbxContent>
                                <w:p w14:paraId="1CADD775" w14:textId="77777777" w:rsidR="002C3947" w:rsidRPr="00E3510B" w:rsidRDefault="002C3947" w:rsidP="0027083B">
                                  <w:pPr>
                                    <w:pStyle w:val="16"/>
                                    <w:spacing w:before="0" w:beforeAutospacing="0" w:after="0" w:afterAutospacing="0" w:line="216" w:lineRule="auto"/>
                                    <w:jc w:val="center"/>
                                    <w:rPr>
                                      <w:rFonts w:ascii="Calibri" w:hAnsi="Calibri"/>
                                      <w:sz w:val="20"/>
                                      <w:szCs w:val="20"/>
                                    </w:rPr>
                                  </w:pPr>
                                  <w:r>
                                    <w:rPr>
                                      <w:rFonts w:ascii="Calibri" w:hAnsi="Calibri"/>
                                      <w:b/>
                                      <w:bCs/>
                                      <w:color w:val="FFFFFF"/>
                                      <w:sz w:val="20"/>
                                      <w:szCs w:val="20"/>
                                    </w:rPr>
                                    <w:t>Borrowings</w:t>
                                  </w:r>
                                </w:p>
                              </w:txbxContent>
                            </wps:txbx>
                            <wps:bodyPr rot="0" vert="horz" wrap="square" lIns="240030" tIns="20066" rIns="200025" bIns="20066" anchor="ctr" anchorCtr="0" upright="1">
                              <a:noAutofit/>
                            </wps:bodyPr>
                          </wps:wsp>
                          <wps:wsp>
                            <wps:cNvPr id="501" name="Полилиния 342"/>
                            <wps:cNvSpPr>
                              <a:spLocks/>
                            </wps:cNvSpPr>
                            <wps:spPr bwMode="auto">
                              <a:xfrm>
                                <a:off x="3570405" y="3211227"/>
                                <a:ext cx="1830139" cy="369021"/>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0 w 2440457"/>
                                  <a:gd name="T5" fmla="*/ 0 h 359977"/>
                                  <a:gd name="T6" fmla="*/ 1695163 w 2440457"/>
                                  <a:gd name="T7" fmla="*/ 0 h 359977"/>
                                  <a:gd name="T8" fmla="*/ 1830139 w 2440457"/>
                                  <a:gd name="T9" fmla="*/ 184511 h 359977"/>
                                  <a:gd name="T10" fmla="*/ 1695163 w 2440457"/>
                                  <a:gd name="T11" fmla="*/ 369021 h 359977"/>
                                  <a:gd name="T12" fmla="*/ 0 w 2440457"/>
                                  <a:gd name="T13" fmla="*/ 369021 h 359977"/>
                                  <a:gd name="T14" fmla="*/ 134977 w 2440457"/>
                                  <a:gd name="T15" fmla="*/ 184511 h 359977"/>
                                  <a:gd name="T16" fmla="*/ 0 w 2440457"/>
                                  <a:gd name="T17" fmla="*/ 0 h 359977"/>
                                  <a:gd name="T18" fmla="*/ 0 60000 65536"/>
                                  <a:gd name="T19" fmla="*/ 0 60000 65536"/>
                                  <a:gd name="T20" fmla="*/ 0 60000 65536"/>
                                  <a:gd name="T21" fmla="*/ 0 60000 65536"/>
                                  <a:gd name="T22" fmla="*/ 0 60000 65536"/>
                                  <a:gd name="T23" fmla="*/ 0 60000 65536"/>
                                  <a:gd name="T24" fmla="*/ 0 60000 65536"/>
                                  <a:gd name="T25" fmla="*/ 0 w 2440457"/>
                                  <a:gd name="T26" fmla="*/ 0 h 359977"/>
                                  <a:gd name="T27" fmla="*/ 2440457 w 2440457"/>
                                  <a:gd name="T28" fmla="*/ 359977 h 359977"/>
                                </a:gdLst>
                                <a:ahLst/>
                                <a:cxnLst>
                                  <a:cxn ang="T18">
                                    <a:pos x="T4" y="T5"/>
                                  </a:cxn>
                                  <a:cxn ang="T19">
                                    <a:pos x="T6" y="T7"/>
                                  </a:cxn>
                                  <a:cxn ang="T20">
                                    <a:pos x="T8" y="T9"/>
                                  </a:cxn>
                                  <a:cxn ang="T21">
                                    <a:pos x="T10" y="T11"/>
                                  </a:cxn>
                                  <a:cxn ang="T22">
                                    <a:pos x="T12" y="T13"/>
                                  </a:cxn>
                                  <a:cxn ang="T23">
                                    <a:pos x="T14" y="T15"/>
                                  </a:cxn>
                                  <a:cxn ang="T24">
                                    <a:pos x="T16" y="T17"/>
                                  </a:cxn>
                                </a:cxnLst>
                                <a:rect l="T25" t="T26" r="T27" b="T28"/>
                                <a:pathLst>
                                  <a:path w="2440457" h="359977">
                                    <a:moveTo>
                                      <a:pt x="0" y="0"/>
                                    </a:moveTo>
                                    <a:lnTo>
                                      <a:pt x="2260469" y="0"/>
                                    </a:lnTo>
                                    <a:lnTo>
                                      <a:pt x="2440457" y="179989"/>
                                    </a:lnTo>
                                    <a:lnTo>
                                      <a:pt x="2260469" y="359977"/>
                                    </a:lnTo>
                                    <a:lnTo>
                                      <a:pt x="0" y="359977"/>
                                    </a:lnTo>
                                    <a:lnTo>
                                      <a:pt x="179989" y="179989"/>
                                    </a:lnTo>
                                    <a:lnTo>
                                      <a:pt x="0" y="0"/>
                                    </a:lnTo>
                                    <a:close/>
                                  </a:path>
                                </a:pathLst>
                              </a:custGeom>
                              <a:solidFill>
                                <a:srgbClr val="93CDDD"/>
                              </a:solidFill>
                              <a:ln w="25400" algn="ctr">
                                <a:solidFill>
                                  <a:srgbClr val="FFFFFF"/>
                                </a:solidFill>
                                <a:miter lim="800000"/>
                                <a:headEnd/>
                                <a:tailEnd/>
                              </a:ln>
                            </wps:spPr>
                            <wps:txbx>
                              <w:txbxContent>
                                <w:p w14:paraId="36D270BC" w14:textId="77777777" w:rsidR="002C3947" w:rsidRPr="007F1D7D" w:rsidRDefault="002C3947" w:rsidP="0027083B">
                                  <w:pPr>
                                    <w:pStyle w:val="16"/>
                                    <w:spacing w:before="0" w:beforeAutospacing="0" w:after="0" w:afterAutospacing="0" w:line="216" w:lineRule="auto"/>
                                    <w:jc w:val="center"/>
                                    <w:rPr>
                                      <w:rFonts w:ascii="Calibri" w:hAnsi="Calibri"/>
                                      <w:sz w:val="20"/>
                                      <w:szCs w:val="20"/>
                                      <w:lang w:val="en-US"/>
                                    </w:rPr>
                                  </w:pPr>
                                  <w:r>
                                    <w:rPr>
                                      <w:rFonts w:ascii="Calibri" w:hAnsi="Calibri"/>
                                      <w:b/>
                                      <w:bCs/>
                                      <w:color w:val="FFFFFF"/>
                                      <w:sz w:val="20"/>
                                      <w:szCs w:val="20"/>
                                    </w:rPr>
                                    <w:t>Grid connection fees</w:t>
                                  </w:r>
                                </w:p>
                              </w:txbxContent>
                            </wps:txbx>
                            <wps:bodyPr rot="0" vert="horz" wrap="square" lIns="240030" tIns="20066" rIns="200025" bIns="20066" anchor="ctr" anchorCtr="0" upright="1">
                              <a:noAutofit/>
                            </wps:bodyPr>
                          </wps:wsp>
                          <wps:wsp>
                            <wps:cNvPr id="502" name="Полилиния 343"/>
                            <wps:cNvSpPr>
                              <a:spLocks/>
                            </wps:cNvSpPr>
                            <wps:spPr bwMode="auto">
                              <a:xfrm>
                                <a:off x="5253479" y="3211227"/>
                                <a:ext cx="1879160" cy="369021"/>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0 w 2440457"/>
                                  <a:gd name="T5" fmla="*/ 0 h 359977"/>
                                  <a:gd name="T6" fmla="*/ 1740569 w 2440457"/>
                                  <a:gd name="T7" fmla="*/ 0 h 359977"/>
                                  <a:gd name="T8" fmla="*/ 1879160 w 2440457"/>
                                  <a:gd name="T9" fmla="*/ 184511 h 359977"/>
                                  <a:gd name="T10" fmla="*/ 1740569 w 2440457"/>
                                  <a:gd name="T11" fmla="*/ 369021 h 359977"/>
                                  <a:gd name="T12" fmla="*/ 0 w 2440457"/>
                                  <a:gd name="T13" fmla="*/ 369021 h 359977"/>
                                  <a:gd name="T14" fmla="*/ 138592 w 2440457"/>
                                  <a:gd name="T15" fmla="*/ 184511 h 359977"/>
                                  <a:gd name="T16" fmla="*/ 0 w 2440457"/>
                                  <a:gd name="T17" fmla="*/ 0 h 359977"/>
                                  <a:gd name="T18" fmla="*/ 0 60000 65536"/>
                                  <a:gd name="T19" fmla="*/ 0 60000 65536"/>
                                  <a:gd name="T20" fmla="*/ 0 60000 65536"/>
                                  <a:gd name="T21" fmla="*/ 0 60000 65536"/>
                                  <a:gd name="T22" fmla="*/ 0 60000 65536"/>
                                  <a:gd name="T23" fmla="*/ 0 60000 65536"/>
                                  <a:gd name="T24" fmla="*/ 0 60000 65536"/>
                                  <a:gd name="T25" fmla="*/ 0 w 2440457"/>
                                  <a:gd name="T26" fmla="*/ 0 h 359977"/>
                                  <a:gd name="T27" fmla="*/ 2440457 w 2440457"/>
                                  <a:gd name="T28" fmla="*/ 359977 h 359977"/>
                                </a:gdLst>
                                <a:ahLst/>
                                <a:cxnLst>
                                  <a:cxn ang="T18">
                                    <a:pos x="T4" y="T5"/>
                                  </a:cxn>
                                  <a:cxn ang="T19">
                                    <a:pos x="T6" y="T7"/>
                                  </a:cxn>
                                  <a:cxn ang="T20">
                                    <a:pos x="T8" y="T9"/>
                                  </a:cxn>
                                  <a:cxn ang="T21">
                                    <a:pos x="T10" y="T11"/>
                                  </a:cxn>
                                  <a:cxn ang="T22">
                                    <a:pos x="T12" y="T13"/>
                                  </a:cxn>
                                  <a:cxn ang="T23">
                                    <a:pos x="T14" y="T15"/>
                                  </a:cxn>
                                  <a:cxn ang="T24">
                                    <a:pos x="T16" y="T17"/>
                                  </a:cxn>
                                </a:cxnLst>
                                <a:rect l="T25" t="T26" r="T27" b="T28"/>
                                <a:pathLst>
                                  <a:path w="2440457" h="359977">
                                    <a:moveTo>
                                      <a:pt x="0" y="0"/>
                                    </a:moveTo>
                                    <a:lnTo>
                                      <a:pt x="2260469" y="0"/>
                                    </a:lnTo>
                                    <a:lnTo>
                                      <a:pt x="2440457" y="179989"/>
                                    </a:lnTo>
                                    <a:lnTo>
                                      <a:pt x="2260469" y="359977"/>
                                    </a:lnTo>
                                    <a:lnTo>
                                      <a:pt x="0" y="359977"/>
                                    </a:lnTo>
                                    <a:lnTo>
                                      <a:pt x="179989" y="179989"/>
                                    </a:lnTo>
                                    <a:lnTo>
                                      <a:pt x="0" y="0"/>
                                    </a:lnTo>
                                    <a:close/>
                                  </a:path>
                                </a:pathLst>
                              </a:custGeom>
                              <a:solidFill>
                                <a:srgbClr val="953735"/>
                              </a:solidFill>
                              <a:ln w="25400" algn="ctr">
                                <a:solidFill>
                                  <a:srgbClr val="FFFFFF"/>
                                </a:solidFill>
                                <a:miter lim="800000"/>
                                <a:headEnd/>
                                <a:tailEnd/>
                              </a:ln>
                            </wps:spPr>
                            <wps:txbx>
                              <w:txbxContent>
                                <w:p w14:paraId="08FDA06C" w14:textId="77777777" w:rsidR="002C3947" w:rsidRPr="00E3510B" w:rsidRDefault="002C3947" w:rsidP="0027083B">
                                  <w:pPr>
                                    <w:pStyle w:val="16"/>
                                    <w:spacing w:before="0" w:beforeAutospacing="0" w:after="0" w:afterAutospacing="0" w:line="216" w:lineRule="auto"/>
                                    <w:jc w:val="center"/>
                                    <w:rPr>
                                      <w:rFonts w:ascii="Calibri" w:hAnsi="Calibri"/>
                                      <w:sz w:val="20"/>
                                      <w:szCs w:val="20"/>
                                    </w:rPr>
                                  </w:pPr>
                                  <w:r>
                                    <w:rPr>
                                      <w:rFonts w:ascii="Calibri" w:hAnsi="Calibri"/>
                                      <w:b/>
                                      <w:bCs/>
                                      <w:color w:val="FFFFFF"/>
                                      <w:sz w:val="20"/>
                                      <w:szCs w:val="20"/>
                                    </w:rPr>
                                    <w:t xml:space="preserve">Other* </w:t>
                                  </w:r>
                                </w:p>
                              </w:txbxContent>
                            </wps:txbx>
                            <wps:bodyPr rot="0" vert="horz" wrap="square" lIns="240030" tIns="20066" rIns="200025" bIns="20066" anchor="ctr" anchorCtr="0" upright="1">
                              <a:noAutofit/>
                            </wps:bodyPr>
                          </wps:wsp>
                        </wpg:grpSp>
                      </wpg:grpSp>
                      <wpg:grpSp>
                        <wpg:cNvPr id="503" name="Группа 344"/>
                        <wpg:cNvGrpSpPr>
                          <a:grpSpLocks/>
                        </wpg:cNvGrpSpPr>
                        <wpg:grpSpPr bwMode="auto">
                          <a:xfrm>
                            <a:off x="2476454" y="306350"/>
                            <a:ext cx="3078571" cy="666764"/>
                            <a:chOff x="2476454" y="306350"/>
                            <a:chExt cx="3078571" cy="666764"/>
                          </a:xfrm>
                        </wpg:grpSpPr>
                        <wps:wsp>
                          <wps:cNvPr id="504" name="Соединительная линия уступом 345"/>
                          <wps:cNvCnPr>
                            <a:cxnSpLocks noChangeShapeType="1"/>
                          </wps:cNvCnPr>
                          <wps:spPr bwMode="auto">
                            <a:xfrm>
                              <a:off x="2486165" y="315361"/>
                              <a:ext cx="3068860" cy="657753"/>
                            </a:xfrm>
                            <a:prstGeom prst="bentConnector3">
                              <a:avLst>
                                <a:gd name="adj1" fmla="val 100139"/>
                              </a:avLst>
                            </a:prstGeom>
                            <a:noFill/>
                            <a:ln w="25400" algn="ctr">
                              <a:solidFill>
                                <a:srgbClr val="BFBFBF"/>
                              </a:solidFill>
                              <a:miter lim="800000"/>
                              <a:headEnd/>
                              <a:tailEnd/>
                            </a:ln>
                            <a:extLst>
                              <a:ext uri="{909E8E84-426E-40DD-AFC4-6F175D3DCCD1}">
                                <a14:hiddenFill xmlns:a14="http://schemas.microsoft.com/office/drawing/2010/main">
                                  <a:noFill/>
                                </a14:hiddenFill>
                              </a:ext>
                            </a:extLst>
                          </wps:spPr>
                          <wps:bodyPr/>
                        </wps:wsp>
                        <wps:wsp>
                          <wps:cNvPr id="505" name="Прямая соединительная линия 346"/>
                          <wps:cNvCnPr>
                            <a:cxnSpLocks noChangeShapeType="1"/>
                          </wps:cNvCnPr>
                          <wps:spPr bwMode="auto">
                            <a:xfrm flipH="1">
                              <a:off x="2476454" y="306350"/>
                              <a:ext cx="9712" cy="135155"/>
                            </a:xfrm>
                            <a:prstGeom prst="line">
                              <a:avLst/>
                            </a:prstGeom>
                            <a:noFill/>
                            <a:ln w="25400" algn="ctr">
                              <a:solidFill>
                                <a:srgbClr val="BFBFBF"/>
                              </a:solidFill>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7FC2D892" id="Группа 52" o:spid="_x0000_s1092" style="width:467.75pt;height:294.5pt;mso-position-horizontal-relative:char;mso-position-vertical-relative:line" coordsize="84782,37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">
                <v:group id="Группа 329" o:spid="_x0000_s1093" style="position:absolute;width:84782;height:37122" coordsize="84751,38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group id="Группа 331" o:spid="_x0000_s1094" style="position:absolute;left:439;width:81586;height:38353" coordorigin="439" coordsize="78570,36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group id="Группа 332" o:spid="_x0000_s1095" style="position:absolute;left:439;top:2032;width:78571;height:28797" coordorigin="439,2032" coordsize="84834,2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333" o:spid="_x0000_s1096" type="#_x0000_t75" style="position:absolute;left:253;top:2588;width:46664;height:2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">
                        <v:imagedata r:id="rId63" o:title=""/>
                        <o:lock v:ext="edit" aspectratio="f"/>
                      </v:shape>
                      <v:shape id="Диаграмма 334" o:spid="_x0000_s1097" type="#_x0000_t75" style="position:absolute;left:45289;top:2035;width:39972;height:2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">
                        <v:imagedata r:id="rId64" o:title=""/>
                        <o:lock v:ext="edit" aspectratio="f"/>
                      </v:shape>
                    </v:group>
                    <v:shape id="TextBox 11" o:spid="_x0000_s1098" type="#_x0000_t202" style="position:absolute;left:9832;width:63108;height:3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" stroked="f">
                      <v:textbox>
                        <w:txbxContent>
                          <w:p w14:paraId="4D05162B" w14:textId="77777777" w:rsidR="002C3947" w:rsidRPr="00E3510B" w:rsidRDefault="002C3947" w:rsidP="0027083B">
                            <w:pPr>
                              <w:pStyle w:val="16"/>
                              <w:spacing w:before="0" w:beforeAutospacing="0" w:after="0" w:afterAutospacing="0"/>
                              <w:jc w:val="center"/>
                              <w:rPr>
                                <w:rFonts w:ascii="Calibri" w:hAnsi="Calibri"/>
                                <w:sz w:val="20"/>
                                <w:szCs w:val="20"/>
                              </w:rPr>
                            </w:pPr>
                            <w:r w:rsidRPr="007F1D7D">
                              <w:rPr>
                                <w:rFonts w:ascii="Calibri" w:hAnsi="Calibri"/>
                                <w:b/>
                                <w:bCs/>
                                <w:color w:val="000000"/>
                                <w:sz w:val="20"/>
                                <w:szCs w:val="20"/>
                              </w:rPr>
                              <w:t>Investment program financing sources</w:t>
                            </w:r>
                            <w:r>
                              <w:rPr>
                                <w:rFonts w:ascii="Calibri" w:hAnsi="Calibri"/>
                                <w:b/>
                                <w:bCs/>
                                <w:color w:val="000000"/>
                                <w:sz w:val="20"/>
                                <w:szCs w:val="20"/>
                              </w:rPr>
                              <w:t>, RUB million, including VAT</w:t>
                            </w:r>
                          </w:p>
                        </w:txbxContent>
                      </v:textbox>
                    </v:shape>
                    <v:shape id="TextBox 12" o:spid="_x0000_s1099" type="#_x0000_t202" style="position:absolute;left:1138;top:34076;width:54973;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" stroked="f">
                      <v:textbox>
                        <w:txbxContent>
                          <w:p w14:paraId="72EC409F" w14:textId="77777777" w:rsidR="002C3947" w:rsidRPr="00E3510B" w:rsidRDefault="002C3947" w:rsidP="0027083B">
                            <w:pPr>
                              <w:pStyle w:val="16"/>
                              <w:spacing w:before="0" w:beforeAutospacing="0" w:after="0" w:afterAutospacing="0"/>
                              <w:rPr>
                                <w:rFonts w:ascii="Calibri" w:hAnsi="Calibri"/>
                              </w:rPr>
                            </w:pPr>
                            <w:r>
                              <w:rPr>
                                <w:rFonts w:ascii="Calibri" w:hAnsi="Calibri"/>
                                <w:color w:val="000000"/>
                                <w:sz w:val="18"/>
                                <w:szCs w:val="18"/>
                              </w:rPr>
                              <w:t>* VAT refund, follow-on offering, other</w:t>
                            </w:r>
                          </w:p>
                        </w:txbxContent>
                      </v:textbox>
                    </v:shape>
                  </v:group>
                  <v:group id="Группа 337" o:spid="_x0000_s1100" style="position:absolute;top:32116;width:84751;height:3352" coordorigin=",32112" coordsize="71326,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Полилиния 338" o:spid="_x0000_s1101" style="position:absolute;top:32112;width:19526;height:3690;visibility:visible;mso-wrap-style:square;v-text-anchor:middle" coordsize="2440457,3599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" adj="-11796480,,5400" path="m,l2260469,r179988,179989l2260469,359977,,359977,179989,179989,,xe" fillcolor="#376092" strokecolor="white" strokeweight="2pt">
                      <v:stroke joinstyle="miter"/>
                      <v:formulas/>
                      <v:path arrowok="t" o:connecttype="custom" o:connectlocs="0,0;1447185,0;1562416,189147;1447185,378292;0,378292;115231,189147;0,0" o:connectangles="0,0,0,0,0,0,0" textboxrect="0,0,2440457,359977"/>
                      <v:textbox inset="18.9pt,1.58pt,15.75pt,1.58pt">
                        <w:txbxContent>
                          <w:p w14:paraId="5518C2AF" w14:textId="77777777" w:rsidR="002C3947" w:rsidRPr="00E3510B" w:rsidRDefault="002C3947" w:rsidP="0027083B">
                            <w:pPr>
                              <w:pStyle w:val="16"/>
                              <w:spacing w:before="0" w:beforeAutospacing="0" w:after="0" w:afterAutospacing="0" w:line="216" w:lineRule="auto"/>
                              <w:jc w:val="center"/>
                              <w:rPr>
                                <w:rFonts w:ascii="Calibri" w:hAnsi="Calibri"/>
                                <w:sz w:val="20"/>
                                <w:szCs w:val="20"/>
                              </w:rPr>
                            </w:pPr>
                            <w:r>
                              <w:rPr>
                                <w:rFonts w:ascii="Calibri" w:hAnsi="Calibri"/>
                                <w:b/>
                                <w:bCs/>
                                <w:color w:val="FFFFFF"/>
                                <w:sz w:val="20"/>
                                <w:szCs w:val="20"/>
                              </w:rPr>
                              <w:t>Equity</w:t>
                            </w:r>
                          </w:p>
                        </w:txbxContent>
                      </v:textbox>
                    </v:shape>
                    <v:shape id="Полилиния 341" o:spid="_x0000_s1102" style="position:absolute;left:17320;top:32112;width:20590;height:3690;visibility:visible;mso-wrap-style:square;v-text-anchor:middle" coordsize="2440457,3599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" adj="-11796480,,5400" path="m,l2260469,r179988,179989l2260469,359977,,359977,179989,179989,,xe" fillcolor="#77933c" strokecolor="white" strokeweight="2pt">
                      <v:stroke joinstyle="miter"/>
                      <v:formulas/>
                      <v:path arrowok="t" o:connecttype="custom" o:connectlocs="0,0;1608901,0;1737008,189147;1608901,378292;0,378292;128108,189147;0,0" o:connectangles="0,0,0,0,0,0,0" textboxrect="0,0,2440457,359977"/>
                      <v:textbox inset="18.9pt,1.58pt,15.75pt,1.58pt">
                        <w:txbxContent>
                          <w:p w14:paraId="1CADD775" w14:textId="77777777" w:rsidR="002C3947" w:rsidRPr="00E3510B" w:rsidRDefault="002C3947" w:rsidP="0027083B">
                            <w:pPr>
                              <w:pStyle w:val="16"/>
                              <w:spacing w:before="0" w:beforeAutospacing="0" w:after="0" w:afterAutospacing="0" w:line="216" w:lineRule="auto"/>
                              <w:jc w:val="center"/>
                              <w:rPr>
                                <w:rFonts w:ascii="Calibri" w:hAnsi="Calibri"/>
                                <w:sz w:val="20"/>
                                <w:szCs w:val="20"/>
                              </w:rPr>
                            </w:pPr>
                            <w:r>
                              <w:rPr>
                                <w:rFonts w:ascii="Calibri" w:hAnsi="Calibri"/>
                                <w:b/>
                                <w:bCs/>
                                <w:color w:val="FFFFFF"/>
                                <w:sz w:val="20"/>
                                <w:szCs w:val="20"/>
                              </w:rPr>
                              <w:t>Borrowings</w:t>
                            </w:r>
                          </w:p>
                        </w:txbxContent>
                      </v:textbox>
                    </v:shape>
                    <v:shape id="Полилиния 342" o:spid="_x0000_s1103" style="position:absolute;left:35704;top:32112;width:18301;height:3690;visibility:visible;mso-wrap-style:square;v-text-anchor:middle" coordsize="2440457,3599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" adj="-11796480,,5400" path="m,l2260469,r179988,179989l2260469,359977,,359977,179989,179989,,xe" fillcolor="#93cddd" strokecolor="white" strokeweight="2pt">
                      <v:stroke joinstyle="miter"/>
                      <v:formulas/>
                      <v:path arrowok="t" o:connecttype="custom" o:connectlocs="0,0;1271231,0;1372451,189147;1271231,378292;0,378292;101221,189147;0,0" o:connectangles="0,0,0,0,0,0,0" textboxrect="0,0,2440457,359977"/>
                      <v:textbox inset="18.9pt,1.58pt,15.75pt,1.58pt">
                        <w:txbxContent>
                          <w:p w14:paraId="36D270BC" w14:textId="77777777" w:rsidR="002C3947" w:rsidRPr="007F1D7D" w:rsidRDefault="002C3947" w:rsidP="0027083B">
                            <w:pPr>
                              <w:pStyle w:val="16"/>
                              <w:spacing w:before="0" w:beforeAutospacing="0" w:after="0" w:afterAutospacing="0" w:line="216" w:lineRule="auto"/>
                              <w:jc w:val="center"/>
                              <w:rPr>
                                <w:rFonts w:ascii="Calibri" w:hAnsi="Calibri"/>
                                <w:sz w:val="20"/>
                                <w:szCs w:val="20"/>
                                <w:lang w:val="en-US"/>
                              </w:rPr>
                            </w:pPr>
                            <w:r>
                              <w:rPr>
                                <w:rFonts w:ascii="Calibri" w:hAnsi="Calibri"/>
                                <w:b/>
                                <w:bCs/>
                                <w:color w:val="FFFFFF"/>
                                <w:sz w:val="20"/>
                                <w:szCs w:val="20"/>
                              </w:rPr>
                              <w:t>Grid connection fees</w:t>
                            </w:r>
                          </w:p>
                        </w:txbxContent>
                      </v:textbox>
                    </v:shape>
                    <v:shape id="Полилиния 343" o:spid="_x0000_s1104" style="position:absolute;left:52534;top:32112;width:18792;height:3690;visibility:visible;mso-wrap-style:square;v-text-anchor:middle" coordsize="2440457,3599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" adj="-11796480,,5400" path="m,l2260469,r179988,179989l2260469,359977,,359977,179989,179989,,xe" fillcolor="#953735" strokecolor="white" strokeweight="2pt">
                      <v:stroke joinstyle="miter"/>
                      <v:formulas/>
                      <v:path arrowok="t" o:connecttype="custom" o:connectlocs="0,0;1340244,0;1446959,189147;1340244,378292;0,378292;106716,189147;0,0" o:connectangles="0,0,0,0,0,0,0" textboxrect="0,0,2440457,359977"/>
                      <v:textbox inset="18.9pt,1.58pt,15.75pt,1.58pt">
                        <w:txbxContent>
                          <w:p w14:paraId="08FDA06C" w14:textId="77777777" w:rsidR="002C3947" w:rsidRPr="00E3510B" w:rsidRDefault="002C3947" w:rsidP="0027083B">
                            <w:pPr>
                              <w:pStyle w:val="16"/>
                              <w:spacing w:before="0" w:beforeAutospacing="0" w:after="0" w:afterAutospacing="0" w:line="216" w:lineRule="auto"/>
                              <w:jc w:val="center"/>
                              <w:rPr>
                                <w:rFonts w:ascii="Calibri" w:hAnsi="Calibri"/>
                                <w:sz w:val="20"/>
                                <w:szCs w:val="20"/>
                              </w:rPr>
                            </w:pPr>
                            <w:r>
                              <w:rPr>
                                <w:rFonts w:ascii="Calibri" w:hAnsi="Calibri"/>
                                <w:b/>
                                <w:bCs/>
                                <w:color w:val="FFFFFF"/>
                                <w:sz w:val="20"/>
                                <w:szCs w:val="20"/>
                              </w:rPr>
                              <w:t xml:space="preserve">Other* </w:t>
                            </w:r>
                          </w:p>
                        </w:txbxContent>
                      </v:textbox>
                    </v:shape>
                  </v:group>
                </v:group>
                <v:group id="Группа 344" o:spid="_x0000_s1105" style="position:absolute;left:24764;top:3063;width:30786;height:6668" coordorigin="24764,3063" coordsize="30785,6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345" o:spid="_x0000_s1106" type="#_x0000_t34" style="position:absolute;left:24861;top:3153;width:30689;height:657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" adj="21630" strokecolor="#bfbfbf" strokeweight="2pt"/>
                  <v:line id="Прямая соединительная линия 346" o:spid="_x0000_s1107" style="position:absolute;flip:x;visibility:visible;mso-wrap-style:square" from="24764,3063" to="24861,4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" strokecolor="#bfbfbf" strokeweight="2pt"/>
                </v:group>
                <w10:anchorlock/>
              </v:group>
            </w:pict>
          </mc:Fallback>
        </mc:AlternateContent>
      </w:r>
    </w:p>
    <w:p w14:paraId="6C133E46" w14:textId="77777777" w:rsidR="00B20A51" w:rsidRPr="00BD295E" w:rsidRDefault="00B20A51" w:rsidP="00B20A51">
      <w:pPr>
        <w:pStyle w:val="ConsPlusNormal"/>
        <w:jc w:val="both"/>
        <w:rPr>
          <w:rFonts w:ascii="Arial" w:hAnsi="Arial" w:cs="Arial"/>
          <w:sz w:val="18"/>
          <w:szCs w:val="18"/>
          <w:lang w:val="en-US"/>
        </w:rPr>
      </w:pPr>
    </w:p>
    <w:p w14:paraId="394902BC" w14:textId="77777777" w:rsidR="0027083B" w:rsidRPr="00BD295E" w:rsidRDefault="008A5057" w:rsidP="00B20A51">
      <w:pPr>
        <w:pStyle w:val="ConsPlusNormal"/>
        <w:jc w:val="both"/>
        <w:rPr>
          <w:rFonts w:ascii="Arial" w:hAnsi="Arial" w:cs="Arial"/>
          <w:sz w:val="18"/>
          <w:szCs w:val="18"/>
          <w:lang w:val="en-US"/>
        </w:rPr>
      </w:pPr>
      <w:r w:rsidRPr="00BD295E">
        <w:rPr>
          <w:rFonts w:ascii="Arial" w:hAnsi="Arial" w:cs="Arial"/>
          <w:sz w:val="18"/>
          <w:szCs w:val="18"/>
          <w:lang w:val="en-US"/>
        </w:rPr>
        <w:t xml:space="preserve">In 2018, key sources of capex financing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2018: equity (depreciation and net profit from electricity distribution), advance use of profit from grid connection, borrowings, other funds (VAT refund, repayment of accounts payable with respect to grid connection novated by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to </w:t>
      </w:r>
      <w:r w:rsidR="00EE5753" w:rsidRPr="00BD295E">
        <w:rPr>
          <w:rFonts w:ascii="Arial" w:hAnsi="Arial" w:cs="Arial"/>
          <w:sz w:val="18"/>
          <w:szCs w:val="18"/>
          <w:lang w:val="en-US"/>
        </w:rPr>
        <w:t>PJSC “Lenenergo”</w:t>
      </w:r>
      <w:r w:rsidRPr="00BD295E">
        <w:rPr>
          <w:rFonts w:ascii="Arial" w:hAnsi="Arial" w:cs="Arial"/>
          <w:sz w:val="18"/>
          <w:szCs w:val="18"/>
          <w:lang w:val="en-US"/>
        </w:rPr>
        <w:t>, settlements under contracts on compensation for infringement on property rights).</w:t>
      </w:r>
    </w:p>
    <w:p w14:paraId="40FAB127" w14:textId="77777777" w:rsidR="0027083B" w:rsidRPr="00BD295E" w:rsidRDefault="0027083B" w:rsidP="00850333">
      <w:pPr>
        <w:ind w:firstLine="708"/>
        <w:jc w:val="both"/>
        <w:rPr>
          <w:rFonts w:ascii="Arial" w:hAnsi="Arial" w:cs="Arial"/>
          <w:sz w:val="18"/>
          <w:szCs w:val="18"/>
          <w:lang w:val="en-US"/>
        </w:rPr>
      </w:pPr>
    </w:p>
    <w:p w14:paraId="6C6AEA40" w14:textId="77777777" w:rsidR="00850333" w:rsidRPr="00BD295E" w:rsidRDefault="008A5057" w:rsidP="00850333">
      <w:pPr>
        <w:ind w:firstLine="708"/>
        <w:jc w:val="both"/>
        <w:rPr>
          <w:rFonts w:ascii="Arial" w:hAnsi="Arial" w:cs="Arial"/>
          <w:sz w:val="18"/>
          <w:szCs w:val="18"/>
          <w:lang w:val="en-US"/>
        </w:rPr>
      </w:pPr>
      <w:r w:rsidRPr="00BD295E">
        <w:rPr>
          <w:rFonts w:ascii="Arial" w:hAnsi="Arial" w:cs="Arial"/>
          <w:sz w:val="18"/>
          <w:szCs w:val="18"/>
          <w:lang w:val="en-US"/>
        </w:rPr>
        <w:t>The year-on-year decrease in the scope of the investment program in 2018 is due to:</w:t>
      </w:r>
    </w:p>
    <w:p w14:paraId="5CA98538" w14:textId="77777777" w:rsidR="00850333" w:rsidRPr="00BD295E" w:rsidRDefault="008A5057" w:rsidP="00CA2271">
      <w:pPr>
        <w:pStyle w:val="ConsPlusNormal"/>
        <w:numPr>
          <w:ilvl w:val="0"/>
          <w:numId w:val="29"/>
        </w:numPr>
        <w:rPr>
          <w:rFonts w:ascii="Arial" w:hAnsi="Arial" w:cs="Arial"/>
          <w:sz w:val="18"/>
          <w:szCs w:val="18"/>
          <w:lang w:val="en-US"/>
        </w:rPr>
      </w:pPr>
      <w:r w:rsidRPr="00BD295E">
        <w:rPr>
          <w:rFonts w:ascii="Arial" w:hAnsi="Arial" w:cs="Arial"/>
          <w:sz w:val="18"/>
          <w:szCs w:val="18"/>
          <w:lang w:val="en-US"/>
        </w:rPr>
        <w:t xml:space="preserve">a decrease in the amount of accepted property built by </w:t>
      </w:r>
      <w:r w:rsidR="000D659F" w:rsidRPr="00BD295E">
        <w:rPr>
          <w:rFonts w:ascii="Arial" w:hAnsi="Arial" w:cs="Arial"/>
          <w:sz w:val="18"/>
          <w:szCs w:val="18"/>
          <w:lang w:val="en-US"/>
        </w:rPr>
        <w:t>customer</w:t>
      </w:r>
      <w:r w:rsidRPr="00BD295E">
        <w:rPr>
          <w:rFonts w:ascii="Arial" w:hAnsi="Arial" w:cs="Arial"/>
          <w:sz w:val="18"/>
          <w:szCs w:val="18"/>
          <w:lang w:val="en-US"/>
        </w:rPr>
        <w:t xml:space="preserve">s under grid connection contracts; </w:t>
      </w:r>
    </w:p>
    <w:p w14:paraId="6E68ABCE" w14:textId="77777777" w:rsidR="00850333" w:rsidRPr="00BD295E" w:rsidRDefault="008A5057" w:rsidP="00CA2271">
      <w:pPr>
        <w:pStyle w:val="ConsPlusNormal"/>
        <w:numPr>
          <w:ilvl w:val="0"/>
          <w:numId w:val="29"/>
        </w:numPr>
        <w:rPr>
          <w:rFonts w:ascii="Arial" w:hAnsi="Arial" w:cs="Arial"/>
          <w:sz w:val="18"/>
          <w:szCs w:val="18"/>
          <w:lang w:val="en-US"/>
        </w:rPr>
      </w:pPr>
      <w:r w:rsidRPr="00BD295E">
        <w:rPr>
          <w:rFonts w:ascii="Arial" w:hAnsi="Arial" w:cs="Arial"/>
          <w:sz w:val="18"/>
          <w:szCs w:val="18"/>
          <w:lang w:val="en-US"/>
        </w:rPr>
        <w:t>optimization of the investment program in line with the scenario conditions and exclusion of facilities, including in connection with the termination of grid connection contracts;</w:t>
      </w:r>
    </w:p>
    <w:p w14:paraId="4093DE58" w14:textId="77777777" w:rsidR="00850333" w:rsidRPr="00BD295E" w:rsidRDefault="008A5057" w:rsidP="00CA2271">
      <w:pPr>
        <w:pStyle w:val="ConsPlusNormal"/>
        <w:numPr>
          <w:ilvl w:val="0"/>
          <w:numId w:val="29"/>
        </w:numPr>
        <w:rPr>
          <w:rFonts w:ascii="Arial" w:hAnsi="Arial" w:cs="Arial"/>
          <w:sz w:val="18"/>
          <w:szCs w:val="18"/>
          <w:lang w:val="en-US"/>
        </w:rPr>
      </w:pPr>
      <w:r w:rsidRPr="00BD295E">
        <w:rPr>
          <w:rFonts w:ascii="Arial" w:hAnsi="Arial" w:cs="Arial"/>
          <w:sz w:val="18"/>
          <w:szCs w:val="18"/>
          <w:lang w:val="en-US"/>
        </w:rPr>
        <w:t xml:space="preserve">reduction in the scope of the investment program in the Leningrad Region based on regional </w:t>
      </w:r>
      <w:r w:rsidR="000D659F" w:rsidRPr="00BD295E">
        <w:rPr>
          <w:rFonts w:ascii="Arial" w:hAnsi="Arial" w:cs="Arial"/>
          <w:sz w:val="18"/>
          <w:szCs w:val="18"/>
          <w:lang w:val="en-US"/>
        </w:rPr>
        <w:t xml:space="preserve">tariff </w:t>
      </w:r>
      <w:r w:rsidRPr="00BD295E">
        <w:rPr>
          <w:rFonts w:ascii="Arial" w:hAnsi="Arial" w:cs="Arial"/>
          <w:sz w:val="18"/>
          <w:szCs w:val="18"/>
          <w:lang w:val="en-US"/>
        </w:rPr>
        <w:t>regulator</w:t>
      </w:r>
      <w:r w:rsidR="000D659F" w:rsidRPr="00BD295E">
        <w:rPr>
          <w:rFonts w:ascii="Arial" w:hAnsi="Arial" w:cs="Arial"/>
          <w:sz w:val="18"/>
          <w:szCs w:val="18"/>
          <w:lang w:val="en-US"/>
        </w:rPr>
        <w:t>’s decisions</w:t>
      </w:r>
      <w:r w:rsidRPr="00BD295E">
        <w:rPr>
          <w:rFonts w:ascii="Arial" w:hAnsi="Arial" w:cs="Arial"/>
          <w:sz w:val="18"/>
          <w:szCs w:val="18"/>
          <w:lang w:val="en-US"/>
        </w:rPr>
        <w:t>.</w:t>
      </w:r>
    </w:p>
    <w:p w14:paraId="03C5AE03" w14:textId="52EA230C" w:rsidR="003B1234" w:rsidRPr="00BD295E" w:rsidRDefault="003B1234">
      <w:pPr>
        <w:rPr>
          <w:rFonts w:ascii="Arial" w:eastAsia="Calibri" w:hAnsi="Arial" w:cs="Arial"/>
          <w:b/>
          <w:sz w:val="18"/>
          <w:szCs w:val="18"/>
          <w:lang w:val="en-US" w:eastAsia="en-US"/>
        </w:rPr>
      </w:pPr>
      <w:r w:rsidRPr="00BD295E">
        <w:rPr>
          <w:rFonts w:ascii="Arial" w:hAnsi="Arial" w:cs="Arial"/>
          <w:b/>
          <w:sz w:val="18"/>
          <w:szCs w:val="18"/>
          <w:lang w:val="en-US"/>
        </w:rPr>
        <w:br w:type="page"/>
      </w:r>
    </w:p>
    <w:p w14:paraId="51B16CF9" w14:textId="77777777" w:rsidR="00850333" w:rsidRPr="00BD295E" w:rsidRDefault="007F1D7D" w:rsidP="00850333">
      <w:pPr>
        <w:pStyle w:val="ConsPlusNormal"/>
        <w:jc w:val="center"/>
        <w:rPr>
          <w:rFonts w:ascii="Arial" w:hAnsi="Arial" w:cs="Arial"/>
          <w:b/>
          <w:sz w:val="18"/>
          <w:szCs w:val="18"/>
          <w:lang w:val="en-US"/>
        </w:rPr>
      </w:pPr>
      <w:r w:rsidRPr="00BD295E">
        <w:rPr>
          <w:rFonts w:ascii="Arial" w:hAnsi="Arial" w:cs="Arial"/>
          <w:b/>
          <w:sz w:val="18"/>
          <w:szCs w:val="18"/>
          <w:lang w:val="en-US"/>
        </w:rPr>
        <w:t>CAPEX f</w:t>
      </w:r>
      <w:r w:rsidR="008A5057" w:rsidRPr="00BD295E">
        <w:rPr>
          <w:rFonts w:ascii="Arial" w:hAnsi="Arial" w:cs="Arial"/>
          <w:b/>
          <w:sz w:val="18"/>
          <w:szCs w:val="18"/>
          <w:lang w:val="en-US"/>
        </w:rPr>
        <w:t xml:space="preserve">inancing by key </w:t>
      </w:r>
      <w:r w:rsidRPr="00BD295E">
        <w:rPr>
          <w:rFonts w:ascii="Arial" w:hAnsi="Arial" w:cs="Arial"/>
          <w:b/>
          <w:sz w:val="18"/>
          <w:szCs w:val="18"/>
          <w:lang w:val="en-US"/>
        </w:rPr>
        <w:t>activities</w:t>
      </w:r>
      <w:r w:rsidR="008A5057" w:rsidRPr="00BD295E">
        <w:rPr>
          <w:rFonts w:ascii="Arial" w:hAnsi="Arial" w:cs="Arial"/>
          <w:b/>
          <w:sz w:val="18"/>
          <w:szCs w:val="18"/>
          <w:lang w:val="en-US"/>
        </w:rPr>
        <w:t>, RUB million, including VAT</w:t>
      </w:r>
    </w:p>
    <w:tbl>
      <w:tblPr>
        <w:tblW w:w="502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6"/>
        <w:gridCol w:w="815"/>
        <w:gridCol w:w="942"/>
        <w:gridCol w:w="991"/>
      </w:tblGrid>
      <w:tr w:rsidR="008A5057" w:rsidRPr="00BD295E" w14:paraId="69925FC0" w14:textId="77777777" w:rsidTr="00850333">
        <w:trPr>
          <w:trHeight w:val="137"/>
        </w:trPr>
        <w:tc>
          <w:tcPr>
            <w:tcW w:w="3536" w:type="pct"/>
            <w:noWrap/>
            <w:vAlign w:val="center"/>
            <w:hideMark/>
          </w:tcPr>
          <w:p w14:paraId="1EAE7C07" w14:textId="77777777" w:rsidR="00850333" w:rsidRPr="00BD295E" w:rsidRDefault="00850333" w:rsidP="00850333">
            <w:pPr>
              <w:jc w:val="center"/>
              <w:rPr>
                <w:rFonts w:ascii="Arial" w:hAnsi="Arial" w:cs="Arial"/>
                <w:b/>
                <w:sz w:val="18"/>
                <w:szCs w:val="18"/>
                <w:lang w:val="en-US"/>
              </w:rPr>
            </w:pPr>
          </w:p>
        </w:tc>
        <w:tc>
          <w:tcPr>
            <w:tcW w:w="434" w:type="pct"/>
            <w:noWrap/>
            <w:vAlign w:val="center"/>
            <w:hideMark/>
          </w:tcPr>
          <w:p w14:paraId="26D8DDC7" w14:textId="77777777" w:rsidR="00850333" w:rsidRPr="00BD295E" w:rsidRDefault="008A5057" w:rsidP="00850333">
            <w:pPr>
              <w:jc w:val="center"/>
              <w:rPr>
                <w:rFonts w:ascii="Arial" w:hAnsi="Arial" w:cs="Arial"/>
                <w:b/>
                <w:sz w:val="18"/>
                <w:szCs w:val="18"/>
                <w:lang w:val="en-US"/>
              </w:rPr>
            </w:pPr>
            <w:r w:rsidRPr="00BD295E">
              <w:rPr>
                <w:rFonts w:ascii="Arial" w:hAnsi="Arial" w:cs="Arial"/>
                <w:b/>
                <w:sz w:val="18"/>
                <w:szCs w:val="18"/>
                <w:lang w:val="en-US"/>
              </w:rPr>
              <w:t>2016</w:t>
            </w:r>
          </w:p>
        </w:tc>
        <w:tc>
          <w:tcPr>
            <w:tcW w:w="502" w:type="pct"/>
            <w:vAlign w:val="center"/>
            <w:hideMark/>
          </w:tcPr>
          <w:p w14:paraId="68C0EED6" w14:textId="77777777" w:rsidR="00850333" w:rsidRPr="00BD295E" w:rsidRDefault="008A5057" w:rsidP="00850333">
            <w:pPr>
              <w:jc w:val="center"/>
              <w:rPr>
                <w:rFonts w:ascii="Arial" w:hAnsi="Arial" w:cs="Arial"/>
                <w:b/>
                <w:sz w:val="18"/>
                <w:szCs w:val="18"/>
                <w:lang w:val="en-US"/>
              </w:rPr>
            </w:pPr>
            <w:r w:rsidRPr="00BD295E">
              <w:rPr>
                <w:rFonts w:ascii="Arial" w:hAnsi="Arial" w:cs="Arial"/>
                <w:b/>
                <w:sz w:val="18"/>
                <w:szCs w:val="18"/>
                <w:lang w:val="en-US"/>
              </w:rPr>
              <w:t>2017</w:t>
            </w:r>
          </w:p>
        </w:tc>
        <w:tc>
          <w:tcPr>
            <w:tcW w:w="528" w:type="pct"/>
            <w:vAlign w:val="center"/>
          </w:tcPr>
          <w:p w14:paraId="4C9775E3" w14:textId="77777777" w:rsidR="00850333" w:rsidRPr="00BD295E" w:rsidRDefault="008A5057" w:rsidP="00850333">
            <w:pPr>
              <w:jc w:val="center"/>
              <w:rPr>
                <w:rFonts w:ascii="Arial" w:hAnsi="Arial" w:cs="Arial"/>
                <w:b/>
                <w:sz w:val="18"/>
                <w:szCs w:val="18"/>
                <w:lang w:val="en-US"/>
              </w:rPr>
            </w:pPr>
            <w:r w:rsidRPr="00BD295E">
              <w:rPr>
                <w:rFonts w:ascii="Arial" w:hAnsi="Arial" w:cs="Arial"/>
                <w:b/>
                <w:sz w:val="18"/>
                <w:szCs w:val="18"/>
                <w:lang w:val="en-US"/>
              </w:rPr>
              <w:t>2018</w:t>
            </w:r>
          </w:p>
        </w:tc>
      </w:tr>
      <w:tr w:rsidR="008A5057" w:rsidRPr="00BD295E" w14:paraId="5F451527" w14:textId="77777777" w:rsidTr="00B83A94">
        <w:trPr>
          <w:trHeight w:val="137"/>
        </w:trPr>
        <w:tc>
          <w:tcPr>
            <w:tcW w:w="3536" w:type="pct"/>
            <w:shd w:val="clear" w:color="auto" w:fill="auto"/>
            <w:noWrap/>
            <w:vAlign w:val="bottom"/>
            <w:hideMark/>
          </w:tcPr>
          <w:p w14:paraId="2F70443C"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Total</w:t>
            </w:r>
          </w:p>
        </w:tc>
        <w:tc>
          <w:tcPr>
            <w:tcW w:w="434" w:type="pct"/>
            <w:tcBorders>
              <w:top w:val="nil"/>
              <w:left w:val="nil"/>
              <w:bottom w:val="single" w:sz="8" w:space="0" w:color="auto"/>
              <w:right w:val="single" w:sz="8" w:space="0" w:color="auto"/>
            </w:tcBorders>
            <w:shd w:val="clear" w:color="auto" w:fill="auto"/>
            <w:noWrap/>
            <w:vAlign w:val="center"/>
            <w:hideMark/>
          </w:tcPr>
          <w:p w14:paraId="00F67277"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27,617</w:t>
            </w:r>
          </w:p>
        </w:tc>
        <w:tc>
          <w:tcPr>
            <w:tcW w:w="502" w:type="pct"/>
            <w:tcBorders>
              <w:top w:val="nil"/>
              <w:left w:val="nil"/>
              <w:bottom w:val="single" w:sz="8" w:space="0" w:color="auto"/>
              <w:right w:val="single" w:sz="8" w:space="0" w:color="auto"/>
            </w:tcBorders>
            <w:shd w:val="clear" w:color="auto" w:fill="auto"/>
            <w:vAlign w:val="center"/>
            <w:hideMark/>
          </w:tcPr>
          <w:p w14:paraId="0991E958"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35,454</w:t>
            </w:r>
          </w:p>
        </w:tc>
        <w:tc>
          <w:tcPr>
            <w:tcW w:w="528" w:type="pct"/>
            <w:tcBorders>
              <w:top w:val="nil"/>
              <w:left w:val="nil"/>
              <w:bottom w:val="single" w:sz="8" w:space="0" w:color="auto"/>
              <w:right w:val="single" w:sz="8" w:space="0" w:color="auto"/>
            </w:tcBorders>
            <w:shd w:val="clear" w:color="auto" w:fill="auto"/>
            <w:vAlign w:val="center"/>
          </w:tcPr>
          <w:p w14:paraId="3DB18B98"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25,949</w:t>
            </w:r>
          </w:p>
        </w:tc>
      </w:tr>
      <w:tr w:rsidR="008A5057" w:rsidRPr="00BD295E" w14:paraId="31EE9E36" w14:textId="77777777" w:rsidTr="00850333">
        <w:trPr>
          <w:trHeight w:val="137"/>
        </w:trPr>
        <w:tc>
          <w:tcPr>
            <w:tcW w:w="3536" w:type="pct"/>
            <w:shd w:val="clear" w:color="auto" w:fill="auto"/>
            <w:noWrap/>
            <w:vAlign w:val="bottom"/>
          </w:tcPr>
          <w:p w14:paraId="784973E6"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Grid connection</w:t>
            </w:r>
          </w:p>
        </w:tc>
        <w:tc>
          <w:tcPr>
            <w:tcW w:w="434" w:type="pct"/>
            <w:tcBorders>
              <w:top w:val="nil"/>
              <w:left w:val="nil"/>
              <w:bottom w:val="single" w:sz="8" w:space="0" w:color="auto"/>
              <w:right w:val="single" w:sz="8" w:space="0" w:color="auto"/>
            </w:tcBorders>
            <w:shd w:val="clear" w:color="auto" w:fill="auto"/>
            <w:noWrap/>
            <w:vAlign w:val="center"/>
          </w:tcPr>
          <w:p w14:paraId="34F02CA0"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22,557</w:t>
            </w:r>
          </w:p>
        </w:tc>
        <w:tc>
          <w:tcPr>
            <w:tcW w:w="502" w:type="pct"/>
            <w:tcBorders>
              <w:top w:val="nil"/>
              <w:left w:val="nil"/>
              <w:bottom w:val="single" w:sz="8" w:space="0" w:color="auto"/>
              <w:right w:val="single" w:sz="8" w:space="0" w:color="auto"/>
            </w:tcBorders>
            <w:shd w:val="clear" w:color="auto" w:fill="auto"/>
            <w:vAlign w:val="center"/>
          </w:tcPr>
          <w:p w14:paraId="7CECC984"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28,465</w:t>
            </w:r>
          </w:p>
        </w:tc>
        <w:tc>
          <w:tcPr>
            <w:tcW w:w="528" w:type="pct"/>
            <w:tcBorders>
              <w:top w:val="nil"/>
              <w:left w:val="nil"/>
              <w:bottom w:val="single" w:sz="8" w:space="0" w:color="auto"/>
              <w:right w:val="single" w:sz="8" w:space="0" w:color="auto"/>
            </w:tcBorders>
            <w:shd w:val="clear" w:color="auto" w:fill="auto"/>
            <w:vAlign w:val="center"/>
          </w:tcPr>
          <w:p w14:paraId="22FBD387"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14,518</w:t>
            </w:r>
          </w:p>
        </w:tc>
      </w:tr>
      <w:tr w:rsidR="008A5057" w:rsidRPr="00BD295E" w14:paraId="00C65E49" w14:textId="77777777" w:rsidTr="00850333">
        <w:trPr>
          <w:trHeight w:val="137"/>
        </w:trPr>
        <w:tc>
          <w:tcPr>
            <w:tcW w:w="3536" w:type="pct"/>
            <w:shd w:val="clear" w:color="auto" w:fill="auto"/>
            <w:noWrap/>
            <w:vAlign w:val="bottom"/>
          </w:tcPr>
          <w:p w14:paraId="2A3851FD"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xml:space="preserve">Renovation, modernization, </w:t>
            </w:r>
            <w:r w:rsidR="007F1D7D" w:rsidRPr="00BD295E">
              <w:rPr>
                <w:rFonts w:ascii="Arial" w:hAnsi="Arial" w:cs="Arial"/>
                <w:sz w:val="18"/>
                <w:szCs w:val="18"/>
                <w:lang w:val="en-US"/>
              </w:rPr>
              <w:t xml:space="preserve">and </w:t>
            </w:r>
            <w:r w:rsidRPr="00BD295E">
              <w:rPr>
                <w:rFonts w:ascii="Arial" w:hAnsi="Arial" w:cs="Arial"/>
                <w:sz w:val="18"/>
                <w:szCs w:val="18"/>
                <w:lang w:val="en-US"/>
              </w:rPr>
              <w:t>technical upgrade</w:t>
            </w:r>
          </w:p>
        </w:tc>
        <w:tc>
          <w:tcPr>
            <w:tcW w:w="434" w:type="pct"/>
            <w:tcBorders>
              <w:top w:val="nil"/>
              <w:left w:val="nil"/>
              <w:bottom w:val="single" w:sz="4" w:space="0" w:color="auto"/>
              <w:right w:val="single" w:sz="8" w:space="0" w:color="auto"/>
            </w:tcBorders>
            <w:shd w:val="clear" w:color="auto" w:fill="auto"/>
            <w:noWrap/>
            <w:vAlign w:val="center"/>
          </w:tcPr>
          <w:p w14:paraId="4DAE1E9E"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4,030</w:t>
            </w:r>
          </w:p>
        </w:tc>
        <w:tc>
          <w:tcPr>
            <w:tcW w:w="502" w:type="pct"/>
            <w:tcBorders>
              <w:top w:val="nil"/>
              <w:left w:val="nil"/>
              <w:bottom w:val="single" w:sz="4" w:space="0" w:color="auto"/>
              <w:right w:val="single" w:sz="8" w:space="0" w:color="auto"/>
            </w:tcBorders>
            <w:shd w:val="clear" w:color="auto" w:fill="auto"/>
            <w:vAlign w:val="center"/>
          </w:tcPr>
          <w:p w14:paraId="2BD966B8"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3,338</w:t>
            </w:r>
          </w:p>
        </w:tc>
        <w:tc>
          <w:tcPr>
            <w:tcW w:w="528" w:type="pct"/>
            <w:tcBorders>
              <w:top w:val="nil"/>
              <w:left w:val="nil"/>
              <w:bottom w:val="single" w:sz="4" w:space="0" w:color="auto"/>
              <w:right w:val="single" w:sz="8" w:space="0" w:color="auto"/>
            </w:tcBorders>
            <w:shd w:val="clear" w:color="auto" w:fill="auto"/>
            <w:vAlign w:val="center"/>
          </w:tcPr>
          <w:p w14:paraId="4E467A15"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4,895</w:t>
            </w:r>
          </w:p>
        </w:tc>
      </w:tr>
      <w:tr w:rsidR="008A5057" w:rsidRPr="00BD295E" w14:paraId="54BD7B5F" w14:textId="77777777" w:rsidTr="00850333">
        <w:trPr>
          <w:trHeight w:val="137"/>
        </w:trPr>
        <w:tc>
          <w:tcPr>
            <w:tcW w:w="3536" w:type="pct"/>
            <w:shd w:val="clear" w:color="auto" w:fill="auto"/>
            <w:noWrap/>
            <w:vAlign w:val="bottom"/>
            <w:hideMark/>
          </w:tcPr>
          <w:p w14:paraId="551BC426"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xml:space="preserve">Investment projects conditioned by the electricity industry’s </w:t>
            </w:r>
            <w:r w:rsidR="003D49A2" w:rsidRPr="00BD295E">
              <w:rPr>
                <w:rFonts w:ascii="Arial" w:hAnsi="Arial" w:cs="Arial"/>
                <w:sz w:val="18"/>
                <w:szCs w:val="18"/>
                <w:lang w:val="en-US"/>
              </w:rPr>
              <w:t>long-term development</w:t>
            </w:r>
            <w:r w:rsidRPr="00BD295E">
              <w:rPr>
                <w:rFonts w:ascii="Arial" w:hAnsi="Arial" w:cs="Arial"/>
                <w:sz w:val="18"/>
                <w:szCs w:val="18"/>
                <w:lang w:val="en-US"/>
              </w:rPr>
              <w:t xml:space="preserve"> patterns and programs</w:t>
            </w:r>
          </w:p>
        </w:tc>
        <w:tc>
          <w:tcPr>
            <w:tcW w:w="434" w:type="pct"/>
            <w:tcBorders>
              <w:top w:val="single" w:sz="4" w:space="0" w:color="auto"/>
              <w:left w:val="nil"/>
              <w:bottom w:val="single" w:sz="4" w:space="0" w:color="auto"/>
              <w:right w:val="single" w:sz="4" w:space="0" w:color="auto"/>
            </w:tcBorders>
            <w:shd w:val="clear" w:color="auto" w:fill="auto"/>
            <w:noWrap/>
            <w:vAlign w:val="center"/>
            <w:hideMark/>
          </w:tcPr>
          <w:p w14:paraId="2540D766"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0</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943115"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206</w:t>
            </w:r>
          </w:p>
        </w:tc>
        <w:tc>
          <w:tcPr>
            <w:tcW w:w="528" w:type="pct"/>
            <w:tcBorders>
              <w:top w:val="single" w:sz="4" w:space="0" w:color="auto"/>
              <w:left w:val="single" w:sz="4" w:space="0" w:color="auto"/>
              <w:bottom w:val="single" w:sz="4" w:space="0" w:color="auto"/>
              <w:right w:val="single" w:sz="4" w:space="0" w:color="auto"/>
            </w:tcBorders>
            <w:shd w:val="clear" w:color="auto" w:fill="auto"/>
            <w:vAlign w:val="center"/>
          </w:tcPr>
          <w:p w14:paraId="272BC1FB"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1,976</w:t>
            </w:r>
          </w:p>
        </w:tc>
      </w:tr>
      <w:tr w:rsidR="008A5057" w:rsidRPr="00BD295E" w14:paraId="203A6A58" w14:textId="77777777" w:rsidTr="00850333">
        <w:trPr>
          <w:trHeight w:val="137"/>
        </w:trPr>
        <w:tc>
          <w:tcPr>
            <w:tcW w:w="3536" w:type="pct"/>
            <w:shd w:val="clear" w:color="auto" w:fill="auto"/>
            <w:noWrap/>
            <w:vAlign w:val="bottom"/>
          </w:tcPr>
          <w:p w14:paraId="0432C667"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Other new construction of electric grid facilities</w:t>
            </w:r>
          </w:p>
        </w:tc>
        <w:tc>
          <w:tcPr>
            <w:tcW w:w="434" w:type="pct"/>
            <w:tcBorders>
              <w:top w:val="single" w:sz="4" w:space="0" w:color="auto"/>
              <w:left w:val="nil"/>
              <w:bottom w:val="single" w:sz="8" w:space="0" w:color="auto"/>
              <w:right w:val="single" w:sz="8" w:space="0" w:color="auto"/>
            </w:tcBorders>
            <w:shd w:val="clear" w:color="auto" w:fill="auto"/>
            <w:noWrap/>
            <w:vAlign w:val="center"/>
          </w:tcPr>
          <w:p w14:paraId="2AF21D8F"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345</w:t>
            </w:r>
          </w:p>
        </w:tc>
        <w:tc>
          <w:tcPr>
            <w:tcW w:w="502" w:type="pct"/>
            <w:tcBorders>
              <w:top w:val="single" w:sz="4" w:space="0" w:color="auto"/>
              <w:left w:val="nil"/>
              <w:bottom w:val="single" w:sz="8" w:space="0" w:color="auto"/>
              <w:right w:val="single" w:sz="8" w:space="0" w:color="auto"/>
            </w:tcBorders>
            <w:shd w:val="clear" w:color="auto" w:fill="auto"/>
            <w:vAlign w:val="center"/>
          </w:tcPr>
          <w:p w14:paraId="2564BD02"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49</w:t>
            </w:r>
          </w:p>
        </w:tc>
        <w:tc>
          <w:tcPr>
            <w:tcW w:w="528" w:type="pct"/>
            <w:tcBorders>
              <w:top w:val="single" w:sz="4" w:space="0" w:color="auto"/>
              <w:left w:val="nil"/>
              <w:bottom w:val="single" w:sz="8" w:space="0" w:color="auto"/>
              <w:right w:val="single" w:sz="8" w:space="0" w:color="auto"/>
            </w:tcBorders>
            <w:shd w:val="clear" w:color="auto" w:fill="auto"/>
            <w:vAlign w:val="center"/>
          </w:tcPr>
          <w:p w14:paraId="24B3C933"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54</w:t>
            </w:r>
          </w:p>
        </w:tc>
      </w:tr>
      <w:tr w:rsidR="008A5057" w:rsidRPr="00BD295E" w14:paraId="4CBFBA2B" w14:textId="77777777" w:rsidTr="00850333">
        <w:trPr>
          <w:trHeight w:val="137"/>
        </w:trPr>
        <w:tc>
          <w:tcPr>
            <w:tcW w:w="3536" w:type="pct"/>
            <w:shd w:val="clear" w:color="auto" w:fill="auto"/>
            <w:noWrap/>
            <w:vAlign w:val="bottom"/>
            <w:hideMark/>
          </w:tcPr>
          <w:p w14:paraId="7C0E6A03"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Purchase of land plots for investment projects</w:t>
            </w:r>
          </w:p>
        </w:tc>
        <w:tc>
          <w:tcPr>
            <w:tcW w:w="434" w:type="pct"/>
            <w:tcBorders>
              <w:top w:val="nil"/>
              <w:left w:val="nil"/>
              <w:bottom w:val="single" w:sz="8" w:space="0" w:color="auto"/>
              <w:right w:val="single" w:sz="8" w:space="0" w:color="auto"/>
            </w:tcBorders>
            <w:shd w:val="clear" w:color="auto" w:fill="auto"/>
            <w:noWrap/>
            <w:vAlign w:val="center"/>
            <w:hideMark/>
          </w:tcPr>
          <w:p w14:paraId="5005F032"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0.4</w:t>
            </w:r>
          </w:p>
        </w:tc>
        <w:tc>
          <w:tcPr>
            <w:tcW w:w="502" w:type="pct"/>
            <w:tcBorders>
              <w:top w:val="nil"/>
              <w:left w:val="nil"/>
              <w:bottom w:val="single" w:sz="8" w:space="0" w:color="auto"/>
              <w:right w:val="single" w:sz="8" w:space="0" w:color="auto"/>
            </w:tcBorders>
            <w:shd w:val="clear" w:color="auto" w:fill="auto"/>
            <w:vAlign w:val="center"/>
            <w:hideMark/>
          </w:tcPr>
          <w:p w14:paraId="0EDC98CA"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0.0</w:t>
            </w:r>
          </w:p>
        </w:tc>
        <w:tc>
          <w:tcPr>
            <w:tcW w:w="528" w:type="pct"/>
            <w:tcBorders>
              <w:top w:val="nil"/>
              <w:left w:val="nil"/>
              <w:bottom w:val="single" w:sz="8" w:space="0" w:color="auto"/>
              <w:right w:val="single" w:sz="8" w:space="0" w:color="auto"/>
            </w:tcBorders>
            <w:shd w:val="clear" w:color="auto" w:fill="auto"/>
            <w:vAlign w:val="center"/>
          </w:tcPr>
          <w:p w14:paraId="3FDE4311"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0.0</w:t>
            </w:r>
          </w:p>
        </w:tc>
      </w:tr>
      <w:tr w:rsidR="008A5057" w:rsidRPr="00BD295E" w14:paraId="657D5D27" w14:textId="77777777" w:rsidTr="00850333">
        <w:trPr>
          <w:trHeight w:val="137"/>
        </w:trPr>
        <w:tc>
          <w:tcPr>
            <w:tcW w:w="3536" w:type="pct"/>
            <w:shd w:val="clear" w:color="auto" w:fill="auto"/>
            <w:noWrap/>
            <w:vAlign w:val="bottom"/>
            <w:hideMark/>
          </w:tcPr>
          <w:p w14:paraId="7255D909"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Other investment projects</w:t>
            </w:r>
          </w:p>
        </w:tc>
        <w:tc>
          <w:tcPr>
            <w:tcW w:w="434" w:type="pct"/>
            <w:tcBorders>
              <w:top w:val="nil"/>
              <w:left w:val="nil"/>
              <w:bottom w:val="single" w:sz="8" w:space="0" w:color="auto"/>
              <w:right w:val="single" w:sz="8" w:space="0" w:color="auto"/>
            </w:tcBorders>
            <w:shd w:val="clear" w:color="auto" w:fill="auto"/>
            <w:noWrap/>
            <w:vAlign w:val="center"/>
            <w:hideMark/>
          </w:tcPr>
          <w:p w14:paraId="6274312B"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685</w:t>
            </w:r>
          </w:p>
        </w:tc>
        <w:tc>
          <w:tcPr>
            <w:tcW w:w="502" w:type="pct"/>
            <w:tcBorders>
              <w:top w:val="nil"/>
              <w:left w:val="nil"/>
              <w:bottom w:val="single" w:sz="8" w:space="0" w:color="auto"/>
              <w:right w:val="single" w:sz="8" w:space="0" w:color="auto"/>
            </w:tcBorders>
            <w:shd w:val="clear" w:color="auto" w:fill="auto"/>
            <w:vAlign w:val="center"/>
            <w:hideMark/>
          </w:tcPr>
          <w:p w14:paraId="1E8F250D"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3,396</w:t>
            </w:r>
          </w:p>
        </w:tc>
        <w:tc>
          <w:tcPr>
            <w:tcW w:w="528" w:type="pct"/>
            <w:tcBorders>
              <w:top w:val="nil"/>
              <w:left w:val="nil"/>
              <w:bottom w:val="single" w:sz="8" w:space="0" w:color="auto"/>
              <w:right w:val="single" w:sz="8" w:space="0" w:color="auto"/>
            </w:tcBorders>
            <w:shd w:val="clear" w:color="auto" w:fill="auto"/>
            <w:vAlign w:val="center"/>
          </w:tcPr>
          <w:p w14:paraId="748D22CF"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4,506</w:t>
            </w:r>
          </w:p>
        </w:tc>
      </w:tr>
    </w:tbl>
    <w:p w14:paraId="156B880C" w14:textId="77777777" w:rsidR="00850333" w:rsidRPr="00BD295E" w:rsidRDefault="00850333" w:rsidP="00850333">
      <w:pPr>
        <w:ind w:firstLine="709"/>
        <w:jc w:val="both"/>
        <w:rPr>
          <w:rFonts w:ascii="Arial" w:hAnsi="Arial" w:cs="Arial"/>
          <w:sz w:val="18"/>
          <w:szCs w:val="18"/>
          <w:lang w:val="en-US"/>
        </w:rPr>
      </w:pPr>
    </w:p>
    <w:p w14:paraId="594EF6E5" w14:textId="77777777" w:rsidR="00850333" w:rsidRPr="00BD295E" w:rsidRDefault="008A5057" w:rsidP="00611AE7">
      <w:pPr>
        <w:spacing w:after="360"/>
        <w:ind w:firstLine="709"/>
        <w:jc w:val="both"/>
        <w:rPr>
          <w:rFonts w:ascii="Arial" w:hAnsi="Arial" w:cs="Arial"/>
          <w:sz w:val="18"/>
          <w:szCs w:val="18"/>
          <w:lang w:val="en-US"/>
        </w:rPr>
      </w:pPr>
      <w:r w:rsidRPr="00BD295E">
        <w:rPr>
          <w:rFonts w:ascii="Arial" w:hAnsi="Arial" w:cs="Arial"/>
          <w:sz w:val="18"/>
          <w:szCs w:val="18"/>
          <w:lang w:val="en-US"/>
        </w:rPr>
        <w:t xml:space="preserve">Financing of capex by key area in 2018, RUB million, including VAT, for </w:t>
      </w:r>
      <w:r w:rsidR="00EE5753" w:rsidRPr="00BD295E">
        <w:rPr>
          <w:rFonts w:ascii="Arial" w:hAnsi="Arial" w:cs="Arial"/>
          <w:sz w:val="18"/>
          <w:szCs w:val="18"/>
          <w:lang w:val="en-US"/>
        </w:rPr>
        <w:t>PJSC “Lenenergo”</w:t>
      </w:r>
    </w:p>
    <w:p w14:paraId="4562946B" w14:textId="7314F6A3" w:rsidR="00850333" w:rsidRPr="00BD295E" w:rsidRDefault="00997D07" w:rsidP="00611AE7">
      <w:pPr>
        <w:jc w:val="both"/>
        <w:rPr>
          <w:rFonts w:ascii="Arial" w:hAnsi="Arial" w:cs="Arial"/>
          <w:sz w:val="18"/>
          <w:szCs w:val="18"/>
          <w:lang w:val="en-US"/>
        </w:rPr>
      </w:pPr>
      <w:r w:rsidRPr="00BD295E">
        <w:rPr>
          <w:rFonts w:ascii="Arial" w:hAnsi="Arial" w:cs="Arial"/>
          <w:sz w:val="18"/>
          <w:szCs w:val="18"/>
          <w:lang w:val="en-US" w:eastAsia="en-US"/>
        </w:rPr>
        <w:drawing>
          <wp:inline distT="0" distB="0" distL="0" distR="0" wp14:anchorId="70FB4BE7" wp14:editId="5860CE55">
            <wp:extent cx="4914900" cy="2602865"/>
            <wp:effectExtent l="0" t="0" r="0" b="6985"/>
            <wp:docPr id="489" name="Диаграмма 10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E23EB89" w14:textId="77777777" w:rsidR="00850333" w:rsidRPr="00BD295E" w:rsidRDefault="00850333" w:rsidP="00850333">
      <w:pPr>
        <w:ind w:firstLine="709"/>
        <w:jc w:val="both"/>
        <w:rPr>
          <w:rFonts w:ascii="Arial" w:hAnsi="Arial" w:cs="Arial"/>
          <w:sz w:val="18"/>
          <w:szCs w:val="18"/>
          <w:lang w:val="en-US"/>
        </w:rPr>
      </w:pPr>
    </w:p>
    <w:p w14:paraId="19E58E35" w14:textId="77777777" w:rsidR="00850333" w:rsidRPr="00BD295E" w:rsidRDefault="00850333" w:rsidP="00850333">
      <w:pPr>
        <w:autoSpaceDE w:val="0"/>
        <w:autoSpaceDN w:val="0"/>
        <w:adjustRightInd w:val="0"/>
        <w:jc w:val="center"/>
        <w:rPr>
          <w:rFonts w:ascii="Arial" w:hAnsi="Arial" w:cs="Arial"/>
          <w:sz w:val="18"/>
          <w:szCs w:val="18"/>
          <w:lang w:val="en-US"/>
        </w:rPr>
      </w:pPr>
    </w:p>
    <w:p w14:paraId="28DF0EE6" w14:textId="77777777" w:rsidR="00850333" w:rsidRPr="00BD295E" w:rsidRDefault="008A5057" w:rsidP="00531EB3">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An analysis of the investment program’s financing structure in 2018 shows investments in grid connection aimed at meeting the obligations under outstanding grid connection contracts have the priority over other investments.</w:t>
      </w:r>
    </w:p>
    <w:p w14:paraId="104B5976" w14:textId="77777777" w:rsidR="00850333" w:rsidRPr="00BD295E" w:rsidRDefault="00850333" w:rsidP="00850333">
      <w:pPr>
        <w:autoSpaceDE w:val="0"/>
        <w:autoSpaceDN w:val="0"/>
        <w:adjustRightInd w:val="0"/>
        <w:ind w:firstLine="709"/>
        <w:jc w:val="both"/>
        <w:rPr>
          <w:rFonts w:ascii="Arial" w:hAnsi="Arial" w:cs="Arial"/>
          <w:sz w:val="18"/>
          <w:szCs w:val="18"/>
          <w:lang w:val="en-US"/>
        </w:rPr>
      </w:pPr>
    </w:p>
    <w:p w14:paraId="35B3B76B" w14:textId="77777777" w:rsidR="00850333" w:rsidRPr="00BD295E" w:rsidRDefault="008A5057" w:rsidP="00531EB3">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Financing by area in the investment program for 2018 can be broken down as follows:</w:t>
      </w:r>
    </w:p>
    <w:p w14:paraId="4A905C83" w14:textId="77777777" w:rsidR="00850333" w:rsidRPr="00BD295E" w:rsidRDefault="008A5057" w:rsidP="00CA2271">
      <w:pPr>
        <w:pStyle w:val="af3"/>
        <w:numPr>
          <w:ilvl w:val="0"/>
          <w:numId w:val="71"/>
        </w:num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Grid connection accounts for 56% of the total investment program;</w:t>
      </w:r>
    </w:p>
    <w:p w14:paraId="1F39E2DC" w14:textId="77777777" w:rsidR="00850333" w:rsidRPr="00BD295E" w:rsidRDefault="008A5057" w:rsidP="00CA2271">
      <w:pPr>
        <w:pStyle w:val="af3"/>
        <w:numPr>
          <w:ilvl w:val="0"/>
          <w:numId w:val="71"/>
        </w:num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Renovation, modernization, and technical upgrading account for 19% of the total investment program;</w:t>
      </w:r>
    </w:p>
    <w:p w14:paraId="0AC0E086" w14:textId="77777777" w:rsidR="00850333" w:rsidRPr="00BD295E" w:rsidRDefault="008A5057" w:rsidP="00CA2271">
      <w:pPr>
        <w:pStyle w:val="af3"/>
        <w:numPr>
          <w:ilvl w:val="0"/>
          <w:numId w:val="71"/>
        </w:num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Investment projects conditioned by the </w:t>
      </w:r>
      <w:r w:rsidR="003D49A2" w:rsidRPr="00BD295E">
        <w:rPr>
          <w:rFonts w:ascii="Arial" w:hAnsi="Arial" w:cs="Arial"/>
          <w:sz w:val="18"/>
          <w:szCs w:val="18"/>
          <w:lang w:val="en-US"/>
        </w:rPr>
        <w:t>long-term development</w:t>
      </w:r>
      <w:r w:rsidRPr="00BD295E">
        <w:rPr>
          <w:rFonts w:ascii="Arial" w:hAnsi="Arial" w:cs="Arial"/>
          <w:sz w:val="18"/>
          <w:szCs w:val="18"/>
          <w:lang w:val="en-US"/>
        </w:rPr>
        <w:t xml:space="preserve"> patterns and programs for the electricity Industry account for 8% of the total investment program;</w:t>
      </w:r>
    </w:p>
    <w:p w14:paraId="24723CEA" w14:textId="77777777" w:rsidR="00850333" w:rsidRPr="00BD295E" w:rsidRDefault="008A5057" w:rsidP="00CA2271">
      <w:pPr>
        <w:pStyle w:val="af3"/>
        <w:numPr>
          <w:ilvl w:val="0"/>
          <w:numId w:val="71"/>
        </w:num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Other investment projects-account for 17% of the total investment program; (including property under compensation agreements, equipment, and vehicles).</w:t>
      </w:r>
    </w:p>
    <w:p w14:paraId="4D979461" w14:textId="77777777" w:rsidR="00850333" w:rsidRPr="00BD295E" w:rsidRDefault="00850333" w:rsidP="00850333">
      <w:pPr>
        <w:pStyle w:val="af3"/>
        <w:autoSpaceDE w:val="0"/>
        <w:autoSpaceDN w:val="0"/>
        <w:adjustRightInd w:val="0"/>
        <w:ind w:left="1429"/>
        <w:jc w:val="both"/>
        <w:rPr>
          <w:rFonts w:ascii="Arial" w:hAnsi="Arial" w:cs="Arial"/>
          <w:sz w:val="18"/>
          <w:szCs w:val="18"/>
          <w:lang w:val="en-US"/>
        </w:rPr>
      </w:pPr>
    </w:p>
    <w:p w14:paraId="4B242FFE" w14:textId="77777777" w:rsidR="00850333" w:rsidRPr="00BD295E" w:rsidRDefault="00850333" w:rsidP="00850333">
      <w:pPr>
        <w:autoSpaceDE w:val="0"/>
        <w:autoSpaceDN w:val="0"/>
        <w:adjustRightInd w:val="0"/>
        <w:ind w:firstLine="709"/>
        <w:jc w:val="both"/>
        <w:rPr>
          <w:rFonts w:ascii="Arial" w:hAnsi="Arial" w:cs="Arial"/>
          <w:sz w:val="18"/>
          <w:szCs w:val="18"/>
          <w:lang w:val="en-US"/>
        </w:rPr>
      </w:pPr>
    </w:p>
    <w:p w14:paraId="46520C8C" w14:textId="77777777" w:rsidR="00850333" w:rsidRPr="00BD295E" w:rsidRDefault="008A5057" w:rsidP="00531EB3">
      <w:pPr>
        <w:jc w:val="both"/>
        <w:rPr>
          <w:rFonts w:ascii="Arial" w:hAnsi="Arial" w:cs="Arial"/>
          <w:sz w:val="18"/>
          <w:szCs w:val="18"/>
          <w:lang w:val="en-US"/>
        </w:rPr>
      </w:pPr>
      <w:r w:rsidRPr="00BD295E">
        <w:rPr>
          <w:rFonts w:ascii="Arial" w:hAnsi="Arial" w:cs="Arial"/>
          <w:sz w:val="18"/>
          <w:szCs w:val="18"/>
          <w:lang w:val="en-US"/>
        </w:rPr>
        <w:t>Priority projects of the investment program commissioned in 2018.</w:t>
      </w:r>
    </w:p>
    <w:p w14:paraId="54B83891" w14:textId="77777777" w:rsidR="00850333" w:rsidRPr="00BD295E" w:rsidRDefault="00850333" w:rsidP="00850333">
      <w:pPr>
        <w:ind w:firstLine="709"/>
        <w:jc w:val="both"/>
        <w:rPr>
          <w:rFonts w:ascii="Arial" w:hAnsi="Arial" w:cs="Arial"/>
          <w:sz w:val="18"/>
          <w:szCs w:val="18"/>
          <w:lang w:val="en-US"/>
        </w:rPr>
      </w:pPr>
    </w:p>
    <w:tbl>
      <w:tblPr>
        <w:tblW w:w="5298" w:type="pct"/>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71"/>
        <w:gridCol w:w="1384"/>
        <w:gridCol w:w="832"/>
        <w:gridCol w:w="830"/>
        <w:gridCol w:w="1246"/>
        <w:gridCol w:w="968"/>
        <w:gridCol w:w="3171"/>
      </w:tblGrid>
      <w:tr w:rsidR="008A5057" w:rsidRPr="00BD295E" w14:paraId="17104200" w14:textId="77777777" w:rsidTr="00850333">
        <w:trPr>
          <w:trHeight w:val="270"/>
        </w:trPr>
        <w:tc>
          <w:tcPr>
            <w:tcW w:w="743" w:type="pct"/>
            <w:shd w:val="clear" w:color="auto" w:fill="auto"/>
            <w:noWrap/>
            <w:vAlign w:val="center"/>
          </w:tcPr>
          <w:p w14:paraId="3A5EE71F"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Project</w:t>
            </w:r>
          </w:p>
        </w:tc>
        <w:tc>
          <w:tcPr>
            <w:tcW w:w="699" w:type="pct"/>
            <w:shd w:val="clear" w:color="auto" w:fill="auto"/>
            <w:noWrap/>
            <w:vAlign w:val="center"/>
          </w:tcPr>
          <w:p w14:paraId="65D55EEF"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Project purpose</w:t>
            </w:r>
          </w:p>
          <w:p w14:paraId="45A7EC63" w14:textId="77777777" w:rsidR="00850333" w:rsidRPr="00BD295E" w:rsidRDefault="00850333" w:rsidP="00850333">
            <w:pPr>
              <w:spacing w:after="160" w:line="259" w:lineRule="auto"/>
              <w:rPr>
                <w:rFonts w:ascii="Arial" w:hAnsi="Arial" w:cs="Arial"/>
                <w:sz w:val="18"/>
                <w:szCs w:val="18"/>
                <w:lang w:val="en-US"/>
              </w:rPr>
            </w:pPr>
          </w:p>
        </w:tc>
        <w:tc>
          <w:tcPr>
            <w:tcW w:w="420" w:type="pct"/>
            <w:shd w:val="clear" w:color="auto" w:fill="auto"/>
            <w:vAlign w:val="center"/>
          </w:tcPr>
          <w:p w14:paraId="56246B94"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Construction period, years</w:t>
            </w:r>
          </w:p>
        </w:tc>
        <w:tc>
          <w:tcPr>
            <w:tcW w:w="419" w:type="pct"/>
            <w:shd w:val="clear" w:color="auto" w:fill="auto"/>
            <w:noWrap/>
            <w:vAlign w:val="center"/>
          </w:tcPr>
          <w:p w14:paraId="4E3FEFE5"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Commissioning date</w:t>
            </w:r>
          </w:p>
        </w:tc>
        <w:tc>
          <w:tcPr>
            <w:tcW w:w="629" w:type="pct"/>
            <w:shd w:val="clear" w:color="auto" w:fill="auto"/>
            <w:noWrap/>
            <w:vAlign w:val="center"/>
          </w:tcPr>
          <w:p w14:paraId="05E309F3"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Cost of commissioned fixed assets, RUB million</w:t>
            </w:r>
          </w:p>
        </w:tc>
        <w:tc>
          <w:tcPr>
            <w:tcW w:w="489" w:type="pct"/>
            <w:shd w:val="clear" w:color="auto" w:fill="auto"/>
            <w:vAlign w:val="center"/>
          </w:tcPr>
          <w:p w14:paraId="72015603"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Commissioned capacity, MVA/km</w:t>
            </w:r>
          </w:p>
        </w:tc>
        <w:tc>
          <w:tcPr>
            <w:tcW w:w="1601" w:type="pct"/>
            <w:shd w:val="clear" w:color="auto" w:fill="auto"/>
            <w:vAlign w:val="center"/>
          </w:tcPr>
          <w:p w14:paraId="384DADC5"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Core equipment</w:t>
            </w:r>
          </w:p>
        </w:tc>
      </w:tr>
      <w:tr w:rsidR="008A5057" w:rsidRPr="00BD295E" w14:paraId="6986B3AD" w14:textId="77777777" w:rsidTr="00850333">
        <w:trPr>
          <w:trHeight w:val="2373"/>
        </w:trPr>
        <w:tc>
          <w:tcPr>
            <w:tcW w:w="743" w:type="pct"/>
            <w:shd w:val="clear" w:color="auto" w:fill="auto"/>
            <w:noWrap/>
            <w:vAlign w:val="center"/>
          </w:tcPr>
          <w:p w14:paraId="65C0AEE6"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Renovation of 110kV substation No. 210 Lensovetovskaya (renovation of 110kV substation No. 210 Lensovetovskaya with a transformer capacity of 32 MVA and an increase of the transformer capacity by 18 MVA to 50 MVA and conversion of the station into an indoor facility. Installation of a 110 kV mobile modular substation with a transformer capacity of 50 MVA for the renovation period)</w:t>
            </w:r>
          </w:p>
        </w:tc>
        <w:tc>
          <w:tcPr>
            <w:tcW w:w="699" w:type="pct"/>
            <w:shd w:val="clear" w:color="auto" w:fill="auto"/>
            <w:noWrap/>
            <w:vAlign w:val="center"/>
          </w:tcPr>
          <w:p w14:paraId="2C029089"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 xml:space="preserve">Grid connection of </w:t>
            </w:r>
            <w:r w:rsidR="000D659F" w:rsidRPr="00BD295E">
              <w:rPr>
                <w:rFonts w:ascii="Arial" w:hAnsi="Arial" w:cs="Arial"/>
                <w:sz w:val="18"/>
                <w:szCs w:val="18"/>
                <w:lang w:val="en-US"/>
              </w:rPr>
              <w:t>customer</w:t>
            </w:r>
            <w:r w:rsidRPr="00BD295E">
              <w:rPr>
                <w:rFonts w:ascii="Arial" w:hAnsi="Arial" w:cs="Arial"/>
                <w:sz w:val="18"/>
                <w:szCs w:val="18"/>
                <w:lang w:val="en-US"/>
              </w:rPr>
              <w:t>s</w:t>
            </w:r>
          </w:p>
        </w:tc>
        <w:tc>
          <w:tcPr>
            <w:tcW w:w="420" w:type="pct"/>
            <w:shd w:val="clear" w:color="auto" w:fill="auto"/>
            <w:vAlign w:val="center"/>
          </w:tcPr>
          <w:p w14:paraId="796FAF95"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2007–2018</w:t>
            </w:r>
          </w:p>
        </w:tc>
        <w:tc>
          <w:tcPr>
            <w:tcW w:w="419" w:type="pct"/>
            <w:shd w:val="clear" w:color="auto" w:fill="auto"/>
            <w:noWrap/>
            <w:vAlign w:val="center"/>
          </w:tcPr>
          <w:p w14:paraId="4CAFE2D6"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31.12</w:t>
            </w:r>
            <w:r w:rsidRPr="00BD295E">
              <w:rPr>
                <w:rFonts w:ascii="Arial" w:hAnsi="Arial" w:cs="Arial"/>
                <w:sz w:val="18"/>
                <w:szCs w:val="18"/>
                <w:lang w:val="en-US"/>
              </w:rPr>
              <w:br/>
              <w:t>2018</w:t>
            </w:r>
          </w:p>
        </w:tc>
        <w:tc>
          <w:tcPr>
            <w:tcW w:w="629" w:type="pct"/>
            <w:shd w:val="clear" w:color="auto" w:fill="auto"/>
            <w:noWrap/>
            <w:vAlign w:val="center"/>
          </w:tcPr>
          <w:p w14:paraId="129E0163"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820.98</w:t>
            </w:r>
          </w:p>
        </w:tc>
        <w:tc>
          <w:tcPr>
            <w:tcW w:w="489" w:type="pct"/>
            <w:shd w:val="clear" w:color="auto" w:fill="auto"/>
            <w:vAlign w:val="center"/>
          </w:tcPr>
          <w:p w14:paraId="52A7FE0B"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50 MVA</w:t>
            </w:r>
          </w:p>
        </w:tc>
        <w:tc>
          <w:tcPr>
            <w:tcW w:w="1601" w:type="pct"/>
            <w:shd w:val="clear" w:color="auto" w:fill="auto"/>
            <w:vAlign w:val="center"/>
          </w:tcPr>
          <w:p w14:paraId="11C9C5FD"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Automated process control system (APCS), reciprocating arc-suppression reactor RDMR 10/485 U1 (2 units), high-frequency damper 110 kV; VZ-630-0.5 UKhL1 (2 units), coupling capacitor 110kV4; SMPV-110/3-6.4 UHL1 (2 units), relay protection equipment (ShE 2607), 110 kV disconnector; RGNP.1a-110.II/1000 UKhL 1, 110 kV current transformer, IMB-123 TT</w:t>
            </w:r>
          </w:p>
          <w:p w14:paraId="04BD3429"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Phase 2: SF6-insulated factory-assembled switchgear, 110 kV, type ELK-04 – 1 set; switchgear unit a vacuum circuit breaker. 10 kV, Inom = 2,000 A, Unigear ZS1 – 4 units; bus section switch unit with a vacuum circuit breaker, 10 kV, Inom = 1,600 A; Unigear ZS1 – 4 units; a unit with a voltage transformer, with a non-linear surge protection device, 10 kV, with a 10 kV fuse, Unigear ZS1 – 8 units; a unit for connecting an auxiliary transformer with a vacuum circuit breaker, 10 kV, Inom = 1,000 A, Unigear ZS1 – 2 units; a unit connecting a diesel generator set with a vacuum circuit breaker, 10 kV, Inom = 1,000 A, Unigear ZS1 -–4 units; an outgoing section with a vacuum circuit breaker, 10 kV, Inom = 1,000 A, Unigear ZS1 –32 units; a busbar bridge, 10 kV – 2 units; an arc suppressor oil reactor with smooth current control and a built-in current transformer RDMR-860/10 UKhL1 – 4 units; a zero sequence transformer for connecting the arc suppressor TMPS-860/10 UKhL1 – 4 units; a 10 kV single-pole disconnector in the arc suppression reactor circuit. RLND-1. 1–10/400 UKhL1 – 4 units; a surge protection device for neutral grounding OPNp-110/550/56-10-III UKhL1, factory-assembled with a leakage current sensor – 2 units; a surge protection device for neutral grounding OPNp-110/550/77-10-III UKhL1, factory-assembled with a leakage current sensor – 12 units; a phase-insulated conductor, 10 kV, with cast insulation Duresca 12-2000</w:t>
            </w:r>
          </w:p>
        </w:tc>
      </w:tr>
      <w:tr w:rsidR="008A5057" w:rsidRPr="00BD295E" w14:paraId="370C8688" w14:textId="77777777" w:rsidTr="00850333">
        <w:trPr>
          <w:trHeight w:val="270"/>
        </w:trPr>
        <w:tc>
          <w:tcPr>
            <w:tcW w:w="743" w:type="pct"/>
            <w:shd w:val="clear" w:color="auto" w:fill="auto"/>
            <w:noWrap/>
            <w:vAlign w:val="center"/>
          </w:tcPr>
          <w:p w14:paraId="6FA7E92F" w14:textId="77777777" w:rsidR="00850333" w:rsidRPr="00BD295E" w:rsidRDefault="008A5057" w:rsidP="00850333">
            <w:pPr>
              <w:spacing w:after="160" w:line="259" w:lineRule="auto"/>
              <w:rPr>
                <w:rFonts w:ascii="Arial" w:hAnsi="Arial" w:cs="Arial"/>
                <w:i/>
                <w:iCs/>
                <w:sz w:val="18"/>
                <w:szCs w:val="18"/>
                <w:lang w:val="en-US"/>
              </w:rPr>
            </w:pPr>
            <w:r w:rsidRPr="00BD295E">
              <w:rPr>
                <w:rFonts w:ascii="Arial" w:hAnsi="Arial" w:cs="Arial"/>
                <w:sz w:val="18"/>
                <w:szCs w:val="18"/>
                <w:lang w:val="en-US"/>
              </w:rPr>
              <w:t>Renovation of Substation No. 18 Krasny Treugolnik converted to 110 kV</w:t>
            </w:r>
          </w:p>
        </w:tc>
        <w:tc>
          <w:tcPr>
            <w:tcW w:w="699" w:type="pct"/>
            <w:shd w:val="clear" w:color="auto" w:fill="auto"/>
            <w:noWrap/>
            <w:vAlign w:val="center"/>
          </w:tcPr>
          <w:p w14:paraId="17A99B26"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 xml:space="preserve">Grid connection of </w:t>
            </w:r>
            <w:r w:rsidR="000D659F" w:rsidRPr="00BD295E">
              <w:rPr>
                <w:rFonts w:ascii="Arial" w:hAnsi="Arial" w:cs="Arial"/>
                <w:sz w:val="18"/>
                <w:szCs w:val="18"/>
                <w:lang w:val="en-US"/>
              </w:rPr>
              <w:t>customer</w:t>
            </w:r>
            <w:r w:rsidRPr="00BD295E">
              <w:rPr>
                <w:rFonts w:ascii="Arial" w:hAnsi="Arial" w:cs="Arial"/>
                <w:sz w:val="18"/>
                <w:szCs w:val="18"/>
                <w:lang w:val="en-US"/>
              </w:rPr>
              <w:t>s</w:t>
            </w:r>
          </w:p>
        </w:tc>
        <w:tc>
          <w:tcPr>
            <w:tcW w:w="420" w:type="pct"/>
            <w:shd w:val="clear" w:color="auto" w:fill="auto"/>
            <w:vAlign w:val="center"/>
          </w:tcPr>
          <w:p w14:paraId="60B1CA02"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2012</w:t>
            </w:r>
            <w:r w:rsidRPr="00BD295E">
              <w:rPr>
                <w:rFonts w:ascii="Cambria Math" w:hAnsi="Cambria Math" w:cs="Cambria Math"/>
                <w:sz w:val="18"/>
                <w:szCs w:val="18"/>
                <w:lang w:val="en-US"/>
              </w:rPr>
              <w:t>‐</w:t>
            </w:r>
            <w:r w:rsidRPr="00BD295E">
              <w:rPr>
                <w:rFonts w:ascii="Arial" w:hAnsi="Arial" w:cs="Arial"/>
                <w:sz w:val="18"/>
                <w:szCs w:val="18"/>
                <w:lang w:val="en-US"/>
              </w:rPr>
              <w:t>-2021</w:t>
            </w:r>
          </w:p>
        </w:tc>
        <w:tc>
          <w:tcPr>
            <w:tcW w:w="419" w:type="pct"/>
            <w:shd w:val="clear" w:color="auto" w:fill="auto"/>
            <w:noWrap/>
            <w:vAlign w:val="center"/>
          </w:tcPr>
          <w:p w14:paraId="1F9F9A53"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30.09</w:t>
            </w:r>
            <w:r w:rsidRPr="00BD295E">
              <w:rPr>
                <w:rFonts w:ascii="Arial" w:hAnsi="Arial" w:cs="Arial"/>
                <w:sz w:val="18"/>
                <w:szCs w:val="18"/>
                <w:lang w:val="en-US"/>
              </w:rPr>
              <w:br/>
              <w:t>2018 (Phase 1)</w:t>
            </w:r>
          </w:p>
        </w:tc>
        <w:tc>
          <w:tcPr>
            <w:tcW w:w="629" w:type="pct"/>
            <w:shd w:val="clear" w:color="auto" w:fill="auto"/>
            <w:noWrap/>
            <w:vAlign w:val="center"/>
          </w:tcPr>
          <w:p w14:paraId="48F035B2"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290.27</w:t>
            </w:r>
          </w:p>
        </w:tc>
        <w:tc>
          <w:tcPr>
            <w:tcW w:w="489" w:type="pct"/>
            <w:shd w:val="clear" w:color="auto" w:fill="auto"/>
            <w:vAlign w:val="center"/>
          </w:tcPr>
          <w:p w14:paraId="4248DBCF"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w:t>
            </w:r>
          </w:p>
        </w:tc>
        <w:tc>
          <w:tcPr>
            <w:tcW w:w="1601" w:type="pct"/>
            <w:shd w:val="clear" w:color="auto" w:fill="auto"/>
            <w:vAlign w:val="center"/>
          </w:tcPr>
          <w:p w14:paraId="00256E7E"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Distribution board Shch-7: Auxiliary  SF6-insulated factory-assembled switchgear, metering cabinet (ShU1); metering cabinet (ShU2); Control cabinet ShERP-ASU; relay protection monitoring system; S/s 18; the station control panel building; a single-beam electric overhead crane; unit No. 1, CL-110 kV, CHPP-15; unit No. 2, CL-110 kV reserve; unit No. 3 of power transformer T-1; unit No. 4, TN-110kV; unit No. 5 SV-110kV; unit No. 6 TN-110kV; unit No. 7 of power transformer T-2; unit No. 8 SF6 FAS CL-110 kV, PS-88, a SF6 leakage system; a control cabinet ShERP-ASU; an auxiliary AC equipment; transformer T-2 TDTN 40000/11070, 110 kV No. 6257; 110 kV cable line K-127; FOCL No. 07, 107, 301, DPM-024E08-04-7.0/0.5N; an automatic DC system; a unit with a circuit breaker VD4 6 kV; a unit with a circuit breaker VD4 6 kV, an operator work station; a test switch 7XV7501-0CA00, microprocessor-based protection terminals; portable automated workstation for a relay protection engineer based on an Acer TravelMate PC</w:t>
            </w:r>
          </w:p>
        </w:tc>
      </w:tr>
      <w:tr w:rsidR="008A5057" w:rsidRPr="00BD295E" w14:paraId="7D24B378" w14:textId="77777777" w:rsidTr="00850333">
        <w:trPr>
          <w:trHeight w:val="270"/>
        </w:trPr>
        <w:tc>
          <w:tcPr>
            <w:tcW w:w="743" w:type="pct"/>
            <w:shd w:val="clear" w:color="auto" w:fill="auto"/>
            <w:noWrap/>
            <w:vAlign w:val="center"/>
          </w:tcPr>
          <w:p w14:paraId="7691D011" w14:textId="77777777" w:rsidR="00850333" w:rsidRPr="00BD295E" w:rsidRDefault="008A5057" w:rsidP="00850333">
            <w:pPr>
              <w:spacing w:after="160" w:line="259" w:lineRule="auto"/>
              <w:rPr>
                <w:rFonts w:ascii="Arial" w:hAnsi="Arial" w:cs="Arial"/>
                <w:i/>
                <w:iCs/>
                <w:sz w:val="18"/>
                <w:szCs w:val="18"/>
                <w:lang w:val="en-US"/>
              </w:rPr>
            </w:pPr>
            <w:r w:rsidRPr="00BD295E">
              <w:rPr>
                <w:rFonts w:ascii="Arial" w:hAnsi="Arial" w:cs="Arial"/>
                <w:sz w:val="18"/>
                <w:szCs w:val="18"/>
                <w:lang w:val="en-US"/>
              </w:rPr>
              <w:t>Construction of an indoor 110 kV Kamenka power substation with a 110 kV cable line (construction of the 110 kV Kamenka substation, with installation of power transformers 2x80 MVA, and construction of a 14.4 km 110 kV cable line)</w:t>
            </w:r>
          </w:p>
        </w:tc>
        <w:tc>
          <w:tcPr>
            <w:tcW w:w="699" w:type="pct"/>
            <w:shd w:val="clear" w:color="auto" w:fill="auto"/>
            <w:noWrap/>
            <w:vAlign w:val="center"/>
          </w:tcPr>
          <w:p w14:paraId="52E82166"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 xml:space="preserve">Grid connection of </w:t>
            </w:r>
            <w:r w:rsidR="000D659F" w:rsidRPr="00BD295E">
              <w:rPr>
                <w:rFonts w:ascii="Arial" w:hAnsi="Arial" w:cs="Arial"/>
                <w:sz w:val="18"/>
                <w:szCs w:val="18"/>
                <w:lang w:val="en-US"/>
              </w:rPr>
              <w:t>customer</w:t>
            </w:r>
            <w:r w:rsidRPr="00BD295E">
              <w:rPr>
                <w:rFonts w:ascii="Arial" w:hAnsi="Arial" w:cs="Arial"/>
                <w:sz w:val="18"/>
                <w:szCs w:val="18"/>
                <w:lang w:val="en-US"/>
              </w:rPr>
              <w:t>s</w:t>
            </w:r>
          </w:p>
        </w:tc>
        <w:tc>
          <w:tcPr>
            <w:tcW w:w="420" w:type="pct"/>
            <w:shd w:val="clear" w:color="auto" w:fill="auto"/>
            <w:vAlign w:val="center"/>
          </w:tcPr>
          <w:p w14:paraId="2E561E66"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2014</w:t>
            </w:r>
            <w:r w:rsidRPr="00BD295E">
              <w:rPr>
                <w:rFonts w:ascii="Cambria Math" w:hAnsi="Cambria Math" w:cs="Cambria Math"/>
                <w:sz w:val="18"/>
                <w:szCs w:val="18"/>
                <w:lang w:val="en-US"/>
              </w:rPr>
              <w:t>‐</w:t>
            </w:r>
            <w:r w:rsidRPr="00BD295E">
              <w:rPr>
                <w:rFonts w:ascii="Arial" w:hAnsi="Arial" w:cs="Arial"/>
                <w:sz w:val="18"/>
                <w:szCs w:val="18"/>
                <w:lang w:val="en-US"/>
              </w:rPr>
              <w:t>-2019</w:t>
            </w:r>
          </w:p>
        </w:tc>
        <w:tc>
          <w:tcPr>
            <w:tcW w:w="419" w:type="pct"/>
            <w:shd w:val="clear" w:color="auto" w:fill="auto"/>
            <w:noWrap/>
            <w:vAlign w:val="center"/>
          </w:tcPr>
          <w:p w14:paraId="38D8E873"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31.12</w:t>
            </w:r>
            <w:r w:rsidRPr="00BD295E">
              <w:rPr>
                <w:rFonts w:ascii="Arial" w:hAnsi="Arial" w:cs="Arial"/>
                <w:sz w:val="18"/>
                <w:szCs w:val="18"/>
                <w:lang w:val="en-US"/>
              </w:rPr>
              <w:br/>
              <w:t>2018</w:t>
            </w:r>
          </w:p>
          <w:p w14:paraId="745A62DC"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(110 kV CL from 110 kV substation No. 99 Nissan to 110 kV Kamenka substation)</w:t>
            </w:r>
          </w:p>
        </w:tc>
        <w:tc>
          <w:tcPr>
            <w:tcW w:w="629" w:type="pct"/>
            <w:shd w:val="clear" w:color="auto" w:fill="auto"/>
            <w:noWrap/>
            <w:vAlign w:val="center"/>
          </w:tcPr>
          <w:p w14:paraId="4A8F7F04"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1,269.33</w:t>
            </w:r>
          </w:p>
        </w:tc>
        <w:tc>
          <w:tcPr>
            <w:tcW w:w="489" w:type="pct"/>
            <w:shd w:val="clear" w:color="auto" w:fill="auto"/>
            <w:vAlign w:val="center"/>
          </w:tcPr>
          <w:p w14:paraId="7E08A845"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14.087 km</w:t>
            </w:r>
          </w:p>
        </w:tc>
        <w:tc>
          <w:tcPr>
            <w:tcW w:w="1601" w:type="pct"/>
            <w:shd w:val="clear" w:color="auto" w:fill="auto"/>
            <w:vAlign w:val="center"/>
          </w:tcPr>
          <w:p w14:paraId="2D2C6DE2"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 xml:space="preserve">CL 110 kV PvPu2g 1x1200 (gzh)/300(ov)-64/110 kV-14,087 km, -1 thermal monitoring cabinet for cable lines, a protection and control cabinet for 110 kV CL, 1 three-phase multi-functional energy meter, a compact gas-insulated switch module with a cable lead-in 3AP1 DTC G – 1 set, communications networks – 1 set. </w:t>
            </w:r>
          </w:p>
          <w:p w14:paraId="1C8032AC" w14:textId="77777777" w:rsidR="00850333" w:rsidRPr="00BD295E" w:rsidRDefault="00850333" w:rsidP="00850333">
            <w:pPr>
              <w:spacing w:after="160" w:line="259" w:lineRule="auto"/>
              <w:rPr>
                <w:rFonts w:ascii="Arial" w:hAnsi="Arial" w:cs="Arial"/>
                <w:sz w:val="18"/>
                <w:szCs w:val="18"/>
                <w:lang w:val="en-US"/>
              </w:rPr>
            </w:pPr>
          </w:p>
        </w:tc>
      </w:tr>
      <w:tr w:rsidR="008A5057" w:rsidRPr="00BD295E" w14:paraId="1FA8BA39" w14:textId="77777777" w:rsidTr="00850333">
        <w:trPr>
          <w:trHeight w:val="270"/>
        </w:trPr>
        <w:tc>
          <w:tcPr>
            <w:tcW w:w="743" w:type="pct"/>
            <w:shd w:val="clear" w:color="auto" w:fill="auto"/>
            <w:noWrap/>
            <w:vAlign w:val="center"/>
          </w:tcPr>
          <w:p w14:paraId="0405EB46" w14:textId="77777777" w:rsidR="00850333" w:rsidRPr="00BD295E" w:rsidRDefault="008A5057" w:rsidP="00850333">
            <w:pPr>
              <w:spacing w:after="160" w:line="259" w:lineRule="auto"/>
              <w:rPr>
                <w:rFonts w:ascii="Arial" w:hAnsi="Arial" w:cs="Arial"/>
                <w:i/>
                <w:iCs/>
                <w:sz w:val="18"/>
                <w:szCs w:val="18"/>
                <w:lang w:val="en-US"/>
              </w:rPr>
            </w:pPr>
            <w:r w:rsidRPr="00BD295E">
              <w:rPr>
                <w:rFonts w:ascii="Arial" w:hAnsi="Arial" w:cs="Arial"/>
                <w:sz w:val="18"/>
                <w:szCs w:val="18"/>
                <w:lang w:val="en-US"/>
              </w:rPr>
              <w:t>Construction of the 110 kV Namyv-2  substation with a 110 kV cable line (installation of power transformers with a capacity of 2x63 MVA, indicative length – 15.8 km)</w:t>
            </w:r>
          </w:p>
        </w:tc>
        <w:tc>
          <w:tcPr>
            <w:tcW w:w="699" w:type="pct"/>
            <w:shd w:val="clear" w:color="auto" w:fill="auto"/>
            <w:noWrap/>
            <w:vAlign w:val="center"/>
          </w:tcPr>
          <w:p w14:paraId="721F8676"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 xml:space="preserve">Grid connection of </w:t>
            </w:r>
            <w:r w:rsidR="000D659F" w:rsidRPr="00BD295E">
              <w:rPr>
                <w:rFonts w:ascii="Arial" w:hAnsi="Arial" w:cs="Arial"/>
                <w:sz w:val="18"/>
                <w:szCs w:val="18"/>
                <w:lang w:val="en-US"/>
              </w:rPr>
              <w:t>customer</w:t>
            </w:r>
            <w:r w:rsidRPr="00BD295E">
              <w:rPr>
                <w:rFonts w:ascii="Arial" w:hAnsi="Arial" w:cs="Arial"/>
                <w:sz w:val="18"/>
                <w:szCs w:val="18"/>
                <w:lang w:val="en-US"/>
              </w:rPr>
              <w:t>s, ensuring reliable electricity supply</w:t>
            </w:r>
          </w:p>
        </w:tc>
        <w:tc>
          <w:tcPr>
            <w:tcW w:w="420" w:type="pct"/>
            <w:shd w:val="clear" w:color="auto" w:fill="auto"/>
            <w:vAlign w:val="center"/>
          </w:tcPr>
          <w:p w14:paraId="3E765940"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2013–2022</w:t>
            </w:r>
          </w:p>
        </w:tc>
        <w:tc>
          <w:tcPr>
            <w:tcW w:w="419" w:type="pct"/>
            <w:shd w:val="clear" w:color="auto" w:fill="auto"/>
            <w:noWrap/>
            <w:vAlign w:val="center"/>
          </w:tcPr>
          <w:p w14:paraId="5D4AB3CE"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31.12</w:t>
            </w:r>
            <w:r w:rsidRPr="00BD295E">
              <w:rPr>
                <w:rFonts w:ascii="Arial" w:hAnsi="Arial" w:cs="Arial"/>
                <w:sz w:val="18"/>
                <w:szCs w:val="18"/>
                <w:lang w:val="en-US"/>
              </w:rPr>
              <w:br/>
              <w:t>2018</w:t>
            </w:r>
          </w:p>
          <w:p w14:paraId="15E0D196"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(CL-110 kV from substation PS-14 to the 330 kV Vasileostrovskaya substation)</w:t>
            </w:r>
          </w:p>
        </w:tc>
        <w:tc>
          <w:tcPr>
            <w:tcW w:w="629" w:type="pct"/>
            <w:shd w:val="clear" w:color="auto" w:fill="auto"/>
            <w:noWrap/>
            <w:vAlign w:val="center"/>
          </w:tcPr>
          <w:p w14:paraId="6CD5229C"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1,226.35</w:t>
            </w:r>
          </w:p>
        </w:tc>
        <w:tc>
          <w:tcPr>
            <w:tcW w:w="489" w:type="pct"/>
            <w:shd w:val="clear" w:color="auto" w:fill="auto"/>
            <w:vAlign w:val="center"/>
          </w:tcPr>
          <w:p w14:paraId="479DA093"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14.191 km</w:t>
            </w:r>
          </w:p>
        </w:tc>
        <w:tc>
          <w:tcPr>
            <w:tcW w:w="1601" w:type="pct"/>
            <w:shd w:val="clear" w:color="auto" w:fill="auto"/>
            <w:vAlign w:val="center"/>
          </w:tcPr>
          <w:p w14:paraId="05260272"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CL-110 kV from substation PS-14 to the 330 kV Vasileostrovskaya substation, 14.191 km</w:t>
            </w:r>
          </w:p>
          <w:p w14:paraId="1E387721"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Relay protection system</w:t>
            </w:r>
          </w:p>
          <w:p w14:paraId="773EEACD"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Temperature monitoring system</w:t>
            </w:r>
          </w:p>
          <w:p w14:paraId="43C2B50E" w14:textId="77777777" w:rsidR="00850333" w:rsidRPr="00BD295E" w:rsidRDefault="00850333" w:rsidP="00850333">
            <w:pPr>
              <w:spacing w:after="160" w:line="259" w:lineRule="auto"/>
              <w:rPr>
                <w:rFonts w:ascii="Arial" w:hAnsi="Arial" w:cs="Arial"/>
                <w:sz w:val="18"/>
                <w:szCs w:val="18"/>
                <w:lang w:val="en-US"/>
              </w:rPr>
            </w:pPr>
          </w:p>
        </w:tc>
      </w:tr>
      <w:tr w:rsidR="008A5057" w:rsidRPr="00BD295E" w14:paraId="6DD44B7D" w14:textId="77777777" w:rsidTr="00850333">
        <w:trPr>
          <w:trHeight w:val="270"/>
        </w:trPr>
        <w:tc>
          <w:tcPr>
            <w:tcW w:w="743" w:type="pct"/>
            <w:shd w:val="clear" w:color="auto" w:fill="auto"/>
            <w:noWrap/>
            <w:vAlign w:val="center"/>
          </w:tcPr>
          <w:p w14:paraId="26FCD1E8" w14:textId="77777777" w:rsidR="00850333" w:rsidRPr="00BD295E" w:rsidRDefault="008A5057" w:rsidP="00850333">
            <w:pPr>
              <w:spacing w:after="160" w:line="259" w:lineRule="auto"/>
              <w:rPr>
                <w:rFonts w:ascii="Arial" w:hAnsi="Arial" w:cs="Arial"/>
                <w:i/>
                <w:iCs/>
                <w:sz w:val="18"/>
                <w:szCs w:val="18"/>
                <w:lang w:val="en-US"/>
              </w:rPr>
            </w:pPr>
            <w:r w:rsidRPr="00BD295E">
              <w:rPr>
                <w:rFonts w:ascii="Arial" w:hAnsi="Arial" w:cs="Arial"/>
                <w:sz w:val="18"/>
                <w:szCs w:val="18"/>
                <w:lang w:val="en-US"/>
              </w:rPr>
              <w:t>Work in a 110 kV network to connect the 110 kV Mys substation (construction of a 110 kV 5.5. km overhead line section from OL VLb-8 to the 110 kV Mys substation and re-equipment of 110 kV overhead lines Vb-1, Vb-2, Vb-4, Vb-7, and Vb-8, 11.27 km)</w:t>
            </w:r>
          </w:p>
        </w:tc>
        <w:tc>
          <w:tcPr>
            <w:tcW w:w="699" w:type="pct"/>
            <w:shd w:val="clear" w:color="auto" w:fill="auto"/>
            <w:noWrap/>
            <w:vAlign w:val="center"/>
          </w:tcPr>
          <w:p w14:paraId="4C0D89C5"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 xml:space="preserve">Grid connection of </w:t>
            </w:r>
            <w:r w:rsidR="000D659F" w:rsidRPr="00BD295E">
              <w:rPr>
                <w:rFonts w:ascii="Arial" w:hAnsi="Arial" w:cs="Arial"/>
                <w:sz w:val="18"/>
                <w:szCs w:val="18"/>
                <w:lang w:val="en-US"/>
              </w:rPr>
              <w:t>customer</w:t>
            </w:r>
            <w:r w:rsidRPr="00BD295E">
              <w:rPr>
                <w:rFonts w:ascii="Arial" w:hAnsi="Arial" w:cs="Arial"/>
                <w:sz w:val="18"/>
                <w:szCs w:val="18"/>
                <w:lang w:val="en-US"/>
              </w:rPr>
              <w:t>s</w:t>
            </w:r>
          </w:p>
        </w:tc>
        <w:tc>
          <w:tcPr>
            <w:tcW w:w="420" w:type="pct"/>
            <w:shd w:val="clear" w:color="auto" w:fill="auto"/>
            <w:vAlign w:val="center"/>
          </w:tcPr>
          <w:p w14:paraId="3E6B3843"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2017</w:t>
            </w:r>
            <w:r w:rsidRPr="00BD295E">
              <w:rPr>
                <w:rFonts w:ascii="Cambria Math" w:hAnsi="Cambria Math" w:cs="Cambria Math"/>
                <w:sz w:val="18"/>
                <w:szCs w:val="18"/>
                <w:lang w:val="en-US"/>
              </w:rPr>
              <w:t>‐</w:t>
            </w:r>
            <w:r w:rsidRPr="00BD295E">
              <w:rPr>
                <w:rFonts w:ascii="Arial" w:hAnsi="Arial" w:cs="Arial"/>
                <w:sz w:val="18"/>
                <w:szCs w:val="18"/>
                <w:lang w:val="en-US"/>
              </w:rPr>
              <w:t>-2018</w:t>
            </w:r>
          </w:p>
        </w:tc>
        <w:tc>
          <w:tcPr>
            <w:tcW w:w="419" w:type="pct"/>
            <w:shd w:val="clear" w:color="auto" w:fill="auto"/>
            <w:noWrap/>
            <w:vAlign w:val="center"/>
          </w:tcPr>
          <w:p w14:paraId="325A392F"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31.12</w:t>
            </w:r>
            <w:r w:rsidRPr="00BD295E">
              <w:rPr>
                <w:rFonts w:ascii="Arial" w:hAnsi="Arial" w:cs="Arial"/>
                <w:sz w:val="18"/>
                <w:szCs w:val="18"/>
                <w:lang w:val="en-US"/>
              </w:rPr>
              <w:br/>
              <w:t>2018</w:t>
            </w:r>
          </w:p>
        </w:tc>
        <w:tc>
          <w:tcPr>
            <w:tcW w:w="629" w:type="pct"/>
            <w:shd w:val="clear" w:color="auto" w:fill="auto"/>
            <w:noWrap/>
            <w:vAlign w:val="center"/>
          </w:tcPr>
          <w:p w14:paraId="4A50878E"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154.73</w:t>
            </w:r>
          </w:p>
        </w:tc>
        <w:tc>
          <w:tcPr>
            <w:tcW w:w="489" w:type="pct"/>
            <w:shd w:val="clear" w:color="auto" w:fill="auto"/>
            <w:vAlign w:val="center"/>
          </w:tcPr>
          <w:p w14:paraId="0E6D375E"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21.0 km</w:t>
            </w:r>
          </w:p>
        </w:tc>
        <w:tc>
          <w:tcPr>
            <w:tcW w:w="1601" w:type="pct"/>
            <w:shd w:val="clear" w:color="auto" w:fill="auto"/>
            <w:vAlign w:val="center"/>
          </w:tcPr>
          <w:p w14:paraId="0EF1D064"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1 disconnector 110kV; RGP.2-110-II UKhL1, 1 disconnector 110kV; RGP.1a-110-II UKHL1, current transformer 110kV; TOGF-110 III</w:t>
            </w:r>
            <w:r w:rsidRPr="00BD295E">
              <w:rPr>
                <w:rFonts w:ascii="Cambria Math" w:hAnsi="Cambria Math" w:cs="Cambria Math"/>
                <w:sz w:val="18"/>
                <w:szCs w:val="18"/>
                <w:lang w:val="en-US"/>
              </w:rPr>
              <w:t>‐</w:t>
            </w:r>
            <w:r w:rsidRPr="00BD295E">
              <w:rPr>
                <w:rFonts w:ascii="Arial" w:hAnsi="Arial" w:cs="Arial"/>
                <w:sz w:val="18"/>
                <w:szCs w:val="18"/>
                <w:lang w:val="en-US"/>
              </w:rPr>
              <w:t>0.2s/0.5/10Р/10Р/10Р</w:t>
            </w:r>
            <w:r w:rsidRPr="00BD295E">
              <w:rPr>
                <w:rFonts w:ascii="Cambria Math" w:hAnsi="Cambria Math" w:cs="Cambria Math"/>
                <w:sz w:val="18"/>
                <w:szCs w:val="18"/>
                <w:lang w:val="en-US"/>
              </w:rPr>
              <w:t>‐</w:t>
            </w:r>
            <w:r w:rsidRPr="00BD295E">
              <w:rPr>
                <w:rFonts w:ascii="Arial" w:hAnsi="Arial" w:cs="Arial"/>
                <w:sz w:val="18"/>
                <w:szCs w:val="18"/>
                <w:lang w:val="en-US"/>
              </w:rPr>
              <w:t>600/5 UHL1 – 4 units, a 110 kV circuit breaker; NDKM-110 0,2/0,2/0,5/1/3R UKhL – 1 unit; a surge protection device 110kV; OPNN-P1- 110/60/10/2IV UKhL1 - 1 unit; high-frequency damper 110 kV; VZ 630-0,5 UKhL1 – 4 units, coupling capacitor 110 kV; SMAPV-1100√3-6.4 UKhL1 – 4 units, relay protection equipment</w:t>
            </w:r>
          </w:p>
        </w:tc>
      </w:tr>
      <w:tr w:rsidR="008A5057" w:rsidRPr="00BD295E" w14:paraId="3CAEEE7F" w14:textId="77777777" w:rsidTr="00850333">
        <w:trPr>
          <w:trHeight w:val="270"/>
        </w:trPr>
        <w:tc>
          <w:tcPr>
            <w:tcW w:w="743" w:type="pct"/>
            <w:shd w:val="clear" w:color="auto" w:fill="auto"/>
            <w:noWrap/>
            <w:vAlign w:val="center"/>
          </w:tcPr>
          <w:p w14:paraId="0460FF56" w14:textId="77777777" w:rsidR="00850333" w:rsidRPr="00BD295E" w:rsidRDefault="008A5057" w:rsidP="00850333">
            <w:pPr>
              <w:spacing w:after="160" w:line="259" w:lineRule="auto"/>
              <w:rPr>
                <w:rFonts w:ascii="Arial" w:hAnsi="Arial" w:cs="Arial"/>
                <w:i/>
                <w:iCs/>
                <w:sz w:val="18"/>
                <w:szCs w:val="18"/>
                <w:lang w:val="en-US"/>
              </w:rPr>
            </w:pPr>
            <w:r w:rsidRPr="00BD295E">
              <w:rPr>
                <w:rFonts w:ascii="Arial" w:hAnsi="Arial" w:cs="Arial"/>
                <w:sz w:val="18"/>
                <w:szCs w:val="18"/>
                <w:lang w:val="en-US"/>
              </w:rPr>
              <w:t>Expansion of the 110 kV Plodovoye substation (PS 511) with the installation of 2x25 MVA and 2*40 MVA transformers, construction of the 35 kV Bu</w:t>
            </w:r>
            <w:r w:rsidR="00AA4505" w:rsidRPr="00BD295E">
              <w:rPr>
                <w:rFonts w:ascii="Arial" w:hAnsi="Arial" w:cs="Arial"/>
                <w:sz w:val="18"/>
                <w:szCs w:val="18"/>
                <w:lang w:val="en-US"/>
              </w:rPr>
              <w:t>k</w:t>
            </w:r>
            <w:r w:rsidRPr="00BD295E">
              <w:rPr>
                <w:rFonts w:ascii="Arial" w:hAnsi="Arial" w:cs="Arial"/>
                <w:sz w:val="18"/>
                <w:szCs w:val="18"/>
                <w:lang w:val="en-US"/>
              </w:rPr>
              <w:t>hta substation, and installation of 2x25 MVA transformers with approaches to 110 kV, 35 kV, 10 kV overhead lines, 2x22.1 km, 10 kV CL, 1 km.</w:t>
            </w:r>
          </w:p>
        </w:tc>
        <w:tc>
          <w:tcPr>
            <w:tcW w:w="699" w:type="pct"/>
            <w:shd w:val="clear" w:color="auto" w:fill="auto"/>
            <w:noWrap/>
            <w:vAlign w:val="center"/>
          </w:tcPr>
          <w:p w14:paraId="183042B6"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 xml:space="preserve">Grid connection of </w:t>
            </w:r>
            <w:r w:rsidR="000D659F" w:rsidRPr="00BD295E">
              <w:rPr>
                <w:rFonts w:ascii="Arial" w:hAnsi="Arial" w:cs="Arial"/>
                <w:sz w:val="18"/>
                <w:szCs w:val="18"/>
                <w:lang w:val="en-US"/>
              </w:rPr>
              <w:t>customer</w:t>
            </w:r>
            <w:r w:rsidRPr="00BD295E">
              <w:rPr>
                <w:rFonts w:ascii="Arial" w:hAnsi="Arial" w:cs="Arial"/>
                <w:sz w:val="18"/>
                <w:szCs w:val="18"/>
                <w:lang w:val="en-US"/>
              </w:rPr>
              <w:t>s, ensuring reliable electricity supply in the area of the Vladimirskaya Bay</w:t>
            </w:r>
          </w:p>
        </w:tc>
        <w:tc>
          <w:tcPr>
            <w:tcW w:w="420" w:type="pct"/>
            <w:shd w:val="clear" w:color="auto" w:fill="auto"/>
            <w:vAlign w:val="center"/>
          </w:tcPr>
          <w:p w14:paraId="0E7C0A00"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2017–2018</w:t>
            </w:r>
          </w:p>
        </w:tc>
        <w:tc>
          <w:tcPr>
            <w:tcW w:w="419" w:type="pct"/>
            <w:shd w:val="clear" w:color="auto" w:fill="auto"/>
            <w:noWrap/>
            <w:vAlign w:val="center"/>
          </w:tcPr>
          <w:p w14:paraId="47985939"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31.12</w:t>
            </w:r>
            <w:r w:rsidRPr="00BD295E">
              <w:rPr>
                <w:rFonts w:ascii="Arial" w:hAnsi="Arial" w:cs="Arial"/>
                <w:sz w:val="18"/>
                <w:szCs w:val="18"/>
                <w:lang w:val="en-US"/>
              </w:rPr>
              <w:br/>
              <w:t>2018</w:t>
            </w:r>
          </w:p>
        </w:tc>
        <w:tc>
          <w:tcPr>
            <w:tcW w:w="629" w:type="pct"/>
            <w:shd w:val="clear" w:color="auto" w:fill="auto"/>
            <w:noWrap/>
            <w:vAlign w:val="center"/>
          </w:tcPr>
          <w:p w14:paraId="3AA3B487"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896.98</w:t>
            </w:r>
          </w:p>
        </w:tc>
        <w:tc>
          <w:tcPr>
            <w:tcW w:w="489" w:type="pct"/>
            <w:shd w:val="clear" w:color="auto" w:fill="auto"/>
            <w:vAlign w:val="center"/>
          </w:tcPr>
          <w:p w14:paraId="35516A32"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130 MVA</w:t>
            </w:r>
          </w:p>
          <w:p w14:paraId="0F63E120"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23.6 km</w:t>
            </w:r>
          </w:p>
        </w:tc>
        <w:tc>
          <w:tcPr>
            <w:tcW w:w="1601" w:type="pct"/>
            <w:shd w:val="clear" w:color="auto" w:fill="auto"/>
            <w:vAlign w:val="center"/>
          </w:tcPr>
          <w:p w14:paraId="05C03DC1" w14:textId="77777777" w:rsidR="00850333" w:rsidRPr="00BD295E" w:rsidRDefault="008A5057" w:rsidP="00CA2271">
            <w:pPr>
              <w:numPr>
                <w:ilvl w:val="0"/>
                <w:numId w:val="110"/>
              </w:numPr>
              <w:spacing w:after="160" w:line="259" w:lineRule="auto"/>
              <w:rPr>
                <w:rFonts w:ascii="Arial" w:hAnsi="Arial" w:cs="Arial"/>
                <w:sz w:val="18"/>
                <w:szCs w:val="18"/>
                <w:lang w:val="en-US"/>
              </w:rPr>
            </w:pPr>
            <w:r w:rsidRPr="00BD295E">
              <w:rPr>
                <w:rFonts w:ascii="Arial" w:hAnsi="Arial" w:cs="Arial"/>
                <w:sz w:val="18"/>
                <w:szCs w:val="18"/>
                <w:lang w:val="en-US"/>
              </w:rPr>
              <w:t>Distribution transformer substation (DTSS) 10 kV No. 80 (DGR-2, factory-assembled, UKRL-2 factory-assembled, a set of two units)</w:t>
            </w:r>
          </w:p>
          <w:p w14:paraId="3B0DC046" w14:textId="77777777" w:rsidR="00850333" w:rsidRPr="00BD295E" w:rsidRDefault="008A5057" w:rsidP="00CA2271">
            <w:pPr>
              <w:numPr>
                <w:ilvl w:val="0"/>
                <w:numId w:val="110"/>
              </w:numPr>
              <w:spacing w:after="160" w:line="259" w:lineRule="auto"/>
              <w:rPr>
                <w:rFonts w:ascii="Arial" w:hAnsi="Arial" w:cs="Arial"/>
                <w:sz w:val="18"/>
                <w:szCs w:val="18"/>
                <w:lang w:val="en-US"/>
              </w:rPr>
            </w:pPr>
            <w:r w:rsidRPr="00BD295E">
              <w:rPr>
                <w:rFonts w:ascii="Arial" w:hAnsi="Arial" w:cs="Arial"/>
                <w:sz w:val="18"/>
                <w:szCs w:val="18"/>
                <w:lang w:val="en-US"/>
              </w:rPr>
              <w:t>SS 511:</w:t>
            </w:r>
          </w:p>
          <w:p w14:paraId="199608E3"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TDTN 40000/110/35/10</w:t>
            </w:r>
            <w:r w:rsidRPr="00BD295E">
              <w:rPr>
                <w:rFonts w:ascii="Cambria Math" w:hAnsi="Cambria Math" w:cs="Cambria Math"/>
                <w:sz w:val="18"/>
                <w:szCs w:val="18"/>
                <w:lang w:val="en-US"/>
              </w:rPr>
              <w:t>‐</w:t>
            </w:r>
            <w:r w:rsidRPr="00BD295E">
              <w:rPr>
                <w:rFonts w:ascii="Arial" w:hAnsi="Arial" w:cs="Arial"/>
                <w:sz w:val="18"/>
                <w:szCs w:val="18"/>
                <w:lang w:val="en-US"/>
              </w:rPr>
              <w:t>U1</w:t>
            </w:r>
            <w:r w:rsidRPr="00BD295E">
              <w:rPr>
                <w:rFonts w:ascii="Cambria Math" w:hAnsi="Cambria Math" w:cs="Cambria Math"/>
                <w:sz w:val="18"/>
                <w:szCs w:val="18"/>
                <w:lang w:val="en-US"/>
              </w:rPr>
              <w:t>‐</w:t>
            </w:r>
            <w:r w:rsidRPr="00BD295E">
              <w:rPr>
                <w:rFonts w:ascii="Arial" w:hAnsi="Arial" w:cs="Arial"/>
                <w:sz w:val="18"/>
                <w:szCs w:val="18"/>
                <w:lang w:val="en-US"/>
              </w:rPr>
              <w:t>T1, serial No. 26459, TDTN 40000/110/35/10</w:t>
            </w:r>
            <w:r w:rsidRPr="00BD295E">
              <w:rPr>
                <w:rFonts w:ascii="Cambria Math" w:hAnsi="Cambria Math" w:cs="Cambria Math"/>
                <w:sz w:val="18"/>
                <w:szCs w:val="18"/>
                <w:lang w:val="en-US"/>
              </w:rPr>
              <w:t>‐</w:t>
            </w:r>
            <w:r w:rsidRPr="00BD295E">
              <w:rPr>
                <w:rFonts w:ascii="Arial" w:hAnsi="Arial" w:cs="Arial"/>
                <w:sz w:val="18"/>
                <w:szCs w:val="18"/>
                <w:lang w:val="en-US"/>
              </w:rPr>
              <w:t>U1</w:t>
            </w:r>
            <w:r w:rsidRPr="00BD295E">
              <w:rPr>
                <w:rFonts w:ascii="Cambria Math" w:hAnsi="Cambria Math" w:cs="Cambria Math"/>
                <w:sz w:val="18"/>
                <w:szCs w:val="18"/>
                <w:lang w:val="en-US"/>
              </w:rPr>
              <w:t>‐</w:t>
            </w:r>
            <w:r w:rsidRPr="00BD295E">
              <w:rPr>
                <w:rFonts w:ascii="Arial" w:hAnsi="Arial" w:cs="Arial"/>
                <w:sz w:val="18"/>
                <w:szCs w:val="18"/>
                <w:lang w:val="en-US"/>
              </w:rPr>
              <w:t xml:space="preserve">T1, serial no. 26459, </w:t>
            </w:r>
          </w:p>
          <w:p w14:paraId="2BDF9C92"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Station control panel building BMZ OPU (Type 106), communication cabinet KNV-SS-1; remote control cabinet KNV-RTU560-1; a cabinet for the automated measuring and information system for electricity billing metering (AIIS KUE) KNV-P-1; a relay protection cabinet, 8 control panels; a digital emergency recorder PARMA RP 4 11; a local back-up protection cabinet Bresler-0117.020 (outdoor switchgear in zone T1), a local back-up protection cabinet Bresler-0117.020 (outdoor switchgear in zone T2) operating DC voltage system (SOPT),</w:t>
            </w:r>
          </w:p>
          <w:p w14:paraId="3C86580B"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 xml:space="preserve">10 kV indoor switchgear building (BMZ ZRU), 10 kV factory-assembled switchgear VOLGA--M, including spare parts 19 units, TS-160/10/0.4 UKhLZ TSN1 in a 10 kV indoor switchgear, TS-160/10/0.4 UKhLZ TSN2 in a 10 kV indoor switchgear, </w:t>
            </w:r>
          </w:p>
          <w:p w14:paraId="08EC7105"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35 kV indoor switchgear building (BMZ ZRU), 35 kV indoor switchgear VOLGA-M, including spare parts, 10 units,</w:t>
            </w:r>
          </w:p>
          <w:p w14:paraId="71B88A2E"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35 kV indoor switchgear building (type 84), 35 kV indoor switchgear VOLGA-M, including spare parts, 12 units, disconnector ZP RGP 2-35-/1000 UKhL1 (2 units), a block with a circuit breaker and current transformers (VTt), a neutral grounding (ZON) and surge protection (OPNN) block, block RGN-1, block RGN-2 (2,820 mm), block RGN-2 (4,500 mm), OPN-P1-110/73/103III UKhL1 with a DTU current sensor, unit gantries with a lightning discharge PSL-110-Ya, TN NDKM-110 UKhL 1</w:t>
            </w:r>
          </w:p>
          <w:p w14:paraId="4F99FDD9" w14:textId="77777777" w:rsidR="00850333" w:rsidRPr="00BD295E" w:rsidRDefault="008A5057" w:rsidP="00CA2271">
            <w:pPr>
              <w:numPr>
                <w:ilvl w:val="0"/>
                <w:numId w:val="110"/>
              </w:numPr>
              <w:spacing w:after="160" w:line="259" w:lineRule="auto"/>
              <w:rPr>
                <w:rFonts w:ascii="Arial" w:hAnsi="Arial" w:cs="Arial"/>
                <w:sz w:val="18"/>
                <w:szCs w:val="18"/>
                <w:lang w:val="en-US"/>
              </w:rPr>
            </w:pPr>
            <w:r w:rsidRPr="00BD295E">
              <w:rPr>
                <w:rFonts w:ascii="Arial" w:hAnsi="Arial" w:cs="Arial"/>
                <w:sz w:val="18"/>
                <w:szCs w:val="18"/>
                <w:lang w:val="en-US"/>
              </w:rPr>
              <w:t>Bukhta substation:</w:t>
            </w:r>
          </w:p>
          <w:p w14:paraId="61AC407A" w14:textId="4C3D4F68"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 xml:space="preserve">Station control panel building BMZ OPU (61), communication cabinet KNV-SS-2; remote control cabinet KNV-RTU560-2; a cabinet for the automated measuring and information system for electricity billing metering (AIIS KUE) KNV-B-2; a relay protection cabinet, 8 control panels; a local back-up protection cabinet Bresler-0117.020 (outdoor switchgear in zone T1), a local back-up protection cabinet Bresler-0117.020 (outdoor switchgear in zone T2), an operating DC voltage system (SOPT), </w:t>
            </w:r>
          </w:p>
          <w:p w14:paraId="28326F93"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Indoor switchgear building BMZ ZRU 10 kV (type 122),</w:t>
            </w:r>
          </w:p>
          <w:p w14:paraId="31EF196B" w14:textId="77777777" w:rsidR="00850333" w:rsidRPr="00BD295E" w:rsidRDefault="008A5057" w:rsidP="00850333">
            <w:pPr>
              <w:spacing w:after="160" w:line="259" w:lineRule="auto"/>
              <w:rPr>
                <w:rFonts w:ascii="Arial" w:hAnsi="Arial" w:cs="Arial"/>
                <w:sz w:val="18"/>
                <w:szCs w:val="18"/>
                <w:lang w:val="en-US"/>
              </w:rPr>
            </w:pPr>
            <w:r w:rsidRPr="00BD295E">
              <w:rPr>
                <w:rFonts w:ascii="Arial" w:hAnsi="Arial" w:cs="Arial"/>
                <w:sz w:val="18"/>
                <w:szCs w:val="18"/>
                <w:lang w:val="en-US"/>
              </w:rPr>
              <w:t>10 kV switchgear VOLGA-M including spare parts, 16 units, TS-100/10/0.4 UKhLZ, TSN1 in a 10 kV indoor switchgear, TS-100/10/0.4 UKhLZ, TSN2 in a 10 kV indoor switchgear; disconnector ZP RGP 2-35-/1000 UKhL1 - 2 units, TRDSN-25000/35/10/10-U1, T1; ТRDSN-25000/35/10/10-U1,T2;</w:t>
            </w:r>
          </w:p>
        </w:tc>
      </w:tr>
    </w:tbl>
    <w:p w14:paraId="1E0042B3" w14:textId="77777777" w:rsidR="00850333" w:rsidRPr="00BD295E" w:rsidRDefault="00850333" w:rsidP="00850333">
      <w:pPr>
        <w:jc w:val="center"/>
        <w:rPr>
          <w:rFonts w:ascii="Arial" w:hAnsi="Arial" w:cs="Arial"/>
          <w:b/>
          <w:sz w:val="18"/>
          <w:szCs w:val="18"/>
          <w:lang w:val="en-US"/>
        </w:rPr>
      </w:pPr>
    </w:p>
    <w:p w14:paraId="0B0B8839" w14:textId="77777777" w:rsidR="00850333" w:rsidRPr="00BD295E" w:rsidRDefault="008A5057" w:rsidP="00850333">
      <w:pPr>
        <w:jc w:val="center"/>
        <w:rPr>
          <w:rFonts w:ascii="Arial" w:hAnsi="Arial" w:cs="Arial"/>
          <w:b/>
          <w:sz w:val="18"/>
          <w:szCs w:val="18"/>
          <w:lang w:val="en-US"/>
        </w:rPr>
      </w:pPr>
      <w:r w:rsidRPr="00BD295E">
        <w:rPr>
          <w:rFonts w:ascii="Arial" w:hAnsi="Arial" w:cs="Arial"/>
          <w:b/>
          <w:sz w:val="18"/>
          <w:szCs w:val="18"/>
          <w:lang w:val="en-US"/>
        </w:rPr>
        <w:t>Saint Petersburg</w:t>
      </w:r>
    </w:p>
    <w:p w14:paraId="5475B937" w14:textId="77777777" w:rsidR="00850333" w:rsidRPr="00BD295E" w:rsidRDefault="00850333" w:rsidP="00850333">
      <w:pPr>
        <w:contextualSpacing/>
        <w:rPr>
          <w:rFonts w:ascii="Arial" w:hAnsi="Arial" w:cs="Arial"/>
          <w:sz w:val="18"/>
          <w:szCs w:val="18"/>
          <w:lang w:val="en-US"/>
        </w:rPr>
      </w:pPr>
    </w:p>
    <w:p w14:paraId="434F49E6" w14:textId="77777777" w:rsidR="00850333" w:rsidRPr="00BD295E" w:rsidRDefault="008A5057" w:rsidP="00850333">
      <w:pPr>
        <w:spacing w:after="120"/>
        <w:jc w:val="center"/>
        <w:rPr>
          <w:rFonts w:ascii="Arial" w:hAnsi="Arial" w:cs="Arial"/>
          <w:sz w:val="18"/>
          <w:szCs w:val="18"/>
          <w:lang w:val="en-US"/>
        </w:rPr>
      </w:pPr>
      <w:r w:rsidRPr="00BD295E">
        <w:rPr>
          <w:rFonts w:ascii="Arial" w:hAnsi="Arial" w:cs="Arial"/>
          <w:b/>
          <w:bCs/>
          <w:sz w:val="18"/>
          <w:szCs w:val="18"/>
          <w:lang w:val="en-US"/>
        </w:rPr>
        <w:t>Renovation of 110 kV substation No. 210 Lensovetovskaya</w:t>
      </w:r>
    </w:p>
    <w:tbl>
      <w:tblPr>
        <w:tblW w:w="9180" w:type="dxa"/>
        <w:tblLayout w:type="fixed"/>
        <w:tblLook w:val="04A0" w:firstRow="1" w:lastRow="0" w:firstColumn="1" w:lastColumn="0" w:noHBand="0" w:noVBand="1"/>
      </w:tblPr>
      <w:tblGrid>
        <w:gridCol w:w="4928"/>
        <w:gridCol w:w="4252"/>
      </w:tblGrid>
      <w:tr w:rsidR="008A5057" w:rsidRPr="00BD295E" w14:paraId="73C2F0C7" w14:textId="77777777" w:rsidTr="00E3510B">
        <w:tc>
          <w:tcPr>
            <w:tcW w:w="4928" w:type="dxa"/>
            <w:shd w:val="clear" w:color="auto" w:fill="auto"/>
          </w:tcPr>
          <w:p w14:paraId="53D2CB01" w14:textId="77777777" w:rsidR="00850333" w:rsidRPr="00BD295E" w:rsidRDefault="007F1D7D" w:rsidP="00E3510B">
            <w:pPr>
              <w:tabs>
                <w:tab w:val="left" w:pos="4678"/>
              </w:tabs>
              <w:rPr>
                <w:rFonts w:ascii="Arial" w:hAnsi="Arial" w:cs="Arial"/>
                <w:sz w:val="18"/>
                <w:szCs w:val="18"/>
                <w:lang w:val="en-US"/>
              </w:rPr>
            </w:pPr>
            <w:r w:rsidRPr="00BD295E">
              <w:rPr>
                <w:rFonts w:ascii="Arial" w:hAnsi="Arial" w:cs="Arial"/>
                <w:sz w:val="18"/>
                <w:szCs w:val="18"/>
                <w:u w:val="single"/>
                <w:lang w:val="en-US"/>
              </w:rPr>
              <w:t>Location</w:t>
            </w:r>
            <w:r w:rsidR="008A5057" w:rsidRPr="00BD295E">
              <w:rPr>
                <w:rFonts w:ascii="Arial" w:hAnsi="Arial" w:cs="Arial"/>
                <w:sz w:val="18"/>
                <w:szCs w:val="18"/>
                <w:u w:val="single"/>
                <w:lang w:val="en-US"/>
              </w:rPr>
              <w:t>:</w:t>
            </w:r>
            <w:r w:rsidR="008A5057" w:rsidRPr="00BD295E">
              <w:rPr>
                <w:rFonts w:ascii="Arial" w:hAnsi="Arial" w:cs="Arial"/>
                <w:sz w:val="18"/>
                <w:szCs w:val="18"/>
                <w:lang w:val="en-US"/>
              </w:rPr>
              <w:t xml:space="preserve"> Saint Petersburg, Pushkinsky District, Lensovetovsky state farm</w:t>
            </w:r>
          </w:p>
          <w:p w14:paraId="58C2C605"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Implementation period: 2007–2018</w:t>
            </w:r>
          </w:p>
          <w:p w14:paraId="433393CB"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u w:val="single"/>
                <w:lang w:val="en-US"/>
              </w:rPr>
              <w:t>Renovation scope:</w:t>
            </w:r>
          </w:p>
          <w:p w14:paraId="2CB9B4C1"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 xml:space="preserve">Renovation of 110kV substation No. 210 Lensovetovskaya with installation of 2x25 MVA transformers </w:t>
            </w:r>
          </w:p>
          <w:p w14:paraId="6B581A11" w14:textId="77777777" w:rsidR="00850333" w:rsidRPr="00BD295E" w:rsidRDefault="00850333" w:rsidP="00850333">
            <w:pPr>
              <w:rPr>
                <w:rFonts w:ascii="Arial" w:hAnsi="Arial" w:cs="Arial"/>
                <w:sz w:val="18"/>
                <w:szCs w:val="18"/>
                <w:lang w:val="en-US"/>
              </w:rPr>
            </w:pPr>
          </w:p>
        </w:tc>
        <w:tc>
          <w:tcPr>
            <w:tcW w:w="4252" w:type="dxa"/>
            <w:shd w:val="clear" w:color="auto" w:fill="auto"/>
          </w:tcPr>
          <w:p w14:paraId="2DECE2BB" w14:textId="0CF95091" w:rsidR="00850333" w:rsidRPr="00BD295E" w:rsidRDefault="00997D07" w:rsidP="00E3510B">
            <w:pPr>
              <w:ind w:left="-108" w:right="5"/>
              <w:rPr>
                <w:rFonts w:ascii="Arial" w:hAnsi="Arial" w:cs="Arial"/>
                <w:sz w:val="18"/>
                <w:szCs w:val="18"/>
                <w:lang w:val="en-US"/>
              </w:rPr>
            </w:pPr>
            <w:r w:rsidRPr="00BD295E">
              <w:rPr>
                <w:rFonts w:ascii="Arial" w:hAnsi="Arial" w:cs="Arial"/>
                <w:sz w:val="18"/>
                <w:szCs w:val="18"/>
                <w:lang w:val="en-US" w:eastAsia="en-US"/>
              </w:rPr>
              <w:drawing>
                <wp:inline distT="0" distB="0" distL="0" distR="0" wp14:anchorId="28BD8A40" wp14:editId="74E4EA31">
                  <wp:extent cx="2667000" cy="1676400"/>
                  <wp:effectExtent l="0" t="0" r="0" b="0"/>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6">
                            <a:extLst>
                              <a:ext uri="{28A0092B-C50C-407E-A947-70E740481C1C}">
                                <a14:useLocalDpi xmlns:a14="http://schemas.microsoft.com/office/drawing/2010/main" val="0"/>
                              </a:ext>
                            </a:extLst>
                          </a:blip>
                          <a:srcRect b="16179"/>
                          <a:stretch>
                            <a:fillRect/>
                          </a:stretch>
                        </pic:blipFill>
                        <pic:spPr bwMode="auto">
                          <a:xfrm>
                            <a:off x="0" y="0"/>
                            <a:ext cx="2667000" cy="1676400"/>
                          </a:xfrm>
                          <a:prstGeom prst="rect">
                            <a:avLst/>
                          </a:prstGeom>
                          <a:noFill/>
                          <a:ln>
                            <a:noFill/>
                          </a:ln>
                        </pic:spPr>
                      </pic:pic>
                    </a:graphicData>
                  </a:graphic>
                </wp:inline>
              </w:drawing>
            </w:r>
          </w:p>
        </w:tc>
      </w:tr>
    </w:tbl>
    <w:p w14:paraId="189C0220" w14:textId="77777777" w:rsidR="00850333" w:rsidRPr="00BD295E" w:rsidRDefault="007F1D7D" w:rsidP="00850333">
      <w:pPr>
        <w:rPr>
          <w:rFonts w:ascii="Arial" w:hAnsi="Arial" w:cs="Arial"/>
          <w:sz w:val="18"/>
          <w:szCs w:val="18"/>
          <w:lang w:val="en-US"/>
        </w:rPr>
      </w:pPr>
      <w:r w:rsidRPr="00BD295E">
        <w:rPr>
          <w:rFonts w:ascii="Arial" w:hAnsi="Arial" w:cs="Arial"/>
          <w:sz w:val="18"/>
          <w:szCs w:val="18"/>
          <w:u w:val="single"/>
          <w:lang w:val="en-US"/>
        </w:rPr>
        <w:t>Objective</w:t>
      </w:r>
      <w:r w:rsidR="008A5057" w:rsidRPr="00BD295E">
        <w:rPr>
          <w:rFonts w:ascii="Arial" w:hAnsi="Arial" w:cs="Arial"/>
          <w:sz w:val="18"/>
          <w:szCs w:val="18"/>
          <w:u w:val="single"/>
          <w:lang w:val="en-US"/>
        </w:rPr>
        <w:t>:</w:t>
      </w:r>
    </w:p>
    <w:p w14:paraId="340A349B" w14:textId="77777777" w:rsidR="00850333" w:rsidRPr="00BD295E" w:rsidRDefault="008A5057" w:rsidP="00850333">
      <w:pPr>
        <w:spacing w:line="256" w:lineRule="auto"/>
        <w:rPr>
          <w:rFonts w:ascii="Arial" w:eastAsia="Calibri" w:hAnsi="Arial" w:cs="Arial"/>
          <w:kern w:val="24"/>
          <w:sz w:val="18"/>
          <w:szCs w:val="18"/>
          <w:u w:val="single"/>
          <w:lang w:val="en-US"/>
        </w:rPr>
      </w:pPr>
      <w:r w:rsidRPr="00BD295E">
        <w:rPr>
          <w:rFonts w:ascii="Arial" w:hAnsi="Arial" w:cs="Arial"/>
          <w:sz w:val="18"/>
          <w:szCs w:val="18"/>
          <w:lang w:val="en-US"/>
        </w:rPr>
        <w:t xml:space="preserve">Performance of contractual obligations regarding grid connection of </w:t>
      </w:r>
      <w:r w:rsidR="000D659F" w:rsidRPr="00BD295E">
        <w:rPr>
          <w:rFonts w:ascii="Arial" w:hAnsi="Arial" w:cs="Arial"/>
          <w:sz w:val="18"/>
          <w:szCs w:val="18"/>
          <w:lang w:val="en-US"/>
        </w:rPr>
        <w:t>customer</w:t>
      </w:r>
      <w:r w:rsidRPr="00BD295E">
        <w:rPr>
          <w:rFonts w:ascii="Arial" w:hAnsi="Arial" w:cs="Arial"/>
          <w:sz w:val="18"/>
          <w:szCs w:val="18"/>
          <w:lang w:val="en-US"/>
        </w:rPr>
        <w:t>s in the Pushkinsky District of Saint Petersburg.</w:t>
      </w:r>
      <w:r w:rsidRPr="00BD295E">
        <w:rPr>
          <w:rFonts w:ascii="Arial" w:hAnsi="Arial" w:cs="Arial"/>
          <w:sz w:val="18"/>
          <w:szCs w:val="18"/>
          <w:u w:val="single"/>
          <w:lang w:val="en-US"/>
        </w:rPr>
        <w:t xml:space="preserve"> </w:t>
      </w:r>
    </w:p>
    <w:p w14:paraId="0690F3E1" w14:textId="77777777" w:rsidR="00850333" w:rsidRPr="00BD295E" w:rsidRDefault="008A5057" w:rsidP="00850333">
      <w:pPr>
        <w:spacing w:line="256" w:lineRule="auto"/>
        <w:rPr>
          <w:rFonts w:ascii="Arial" w:hAnsi="Arial" w:cs="Arial"/>
          <w:sz w:val="18"/>
          <w:szCs w:val="18"/>
          <w:lang w:val="en-US"/>
        </w:rPr>
      </w:pPr>
      <w:r w:rsidRPr="00BD295E">
        <w:rPr>
          <w:rFonts w:ascii="Arial" w:hAnsi="Arial" w:cs="Arial"/>
          <w:sz w:val="18"/>
          <w:szCs w:val="18"/>
          <w:u w:val="single"/>
          <w:lang w:val="en-US"/>
        </w:rPr>
        <w:t>Progress of the project:</w:t>
      </w:r>
    </w:p>
    <w:p w14:paraId="01E8C2DA" w14:textId="77777777" w:rsidR="00850333" w:rsidRPr="00BD295E" w:rsidRDefault="008A5057" w:rsidP="00850333">
      <w:pPr>
        <w:spacing w:line="256" w:lineRule="auto"/>
        <w:rPr>
          <w:rFonts w:ascii="Arial" w:hAnsi="Arial" w:cs="Arial"/>
          <w:sz w:val="18"/>
          <w:szCs w:val="18"/>
          <w:lang w:val="en-US"/>
        </w:rPr>
      </w:pPr>
      <w:r w:rsidRPr="00BD295E">
        <w:rPr>
          <w:rFonts w:ascii="Arial" w:hAnsi="Arial" w:cs="Arial"/>
          <w:sz w:val="18"/>
          <w:szCs w:val="18"/>
          <w:lang w:val="en-US"/>
        </w:rPr>
        <w:t>In 2016, two 110 kV mobile modular substations with a total transformer capacity of 50 MVA were installed and put into operation to enable renovation of the substation. In 2018, the renovation of the substation was fully completed. The facility was put into operation in December 2018.</w:t>
      </w:r>
    </w:p>
    <w:p w14:paraId="5987DCF1" w14:textId="4480FB72" w:rsidR="00ED5662" w:rsidRPr="00BD295E" w:rsidRDefault="00ED5662">
      <w:pPr>
        <w:rPr>
          <w:rFonts w:ascii="Arial" w:hAnsi="Arial" w:cs="Arial"/>
          <w:sz w:val="18"/>
          <w:szCs w:val="18"/>
          <w:lang w:val="en-US"/>
        </w:rPr>
      </w:pPr>
      <w:r w:rsidRPr="00BD295E">
        <w:rPr>
          <w:rFonts w:ascii="Arial" w:hAnsi="Arial" w:cs="Arial"/>
          <w:sz w:val="18"/>
          <w:szCs w:val="18"/>
          <w:lang w:val="en-US"/>
        </w:rPr>
        <w:br w:type="page"/>
      </w:r>
    </w:p>
    <w:p w14:paraId="4C33E8C9" w14:textId="77777777" w:rsidR="00850333" w:rsidRPr="00BD295E" w:rsidRDefault="008A5057" w:rsidP="00850333">
      <w:pPr>
        <w:jc w:val="center"/>
        <w:rPr>
          <w:rFonts w:ascii="Arial" w:hAnsi="Arial" w:cs="Arial"/>
          <w:b/>
          <w:bCs/>
          <w:sz w:val="18"/>
          <w:szCs w:val="18"/>
          <w:lang w:val="en-US"/>
        </w:rPr>
      </w:pPr>
      <w:r w:rsidRPr="00BD295E">
        <w:rPr>
          <w:rFonts w:ascii="Arial" w:hAnsi="Arial" w:cs="Arial"/>
          <w:b/>
          <w:bCs/>
          <w:sz w:val="18"/>
          <w:szCs w:val="18"/>
          <w:lang w:val="en-US"/>
        </w:rPr>
        <w:t xml:space="preserve">Renovation of Substation No. 18 Krasny Treugolnik converted to 110 kV (Phase 1) </w:t>
      </w:r>
    </w:p>
    <w:p w14:paraId="7E7652B0" w14:textId="77777777" w:rsidR="00850333" w:rsidRPr="00BD295E" w:rsidRDefault="00850333" w:rsidP="00850333">
      <w:pPr>
        <w:jc w:val="center"/>
        <w:rPr>
          <w:rFonts w:ascii="Arial" w:hAnsi="Arial" w:cs="Arial"/>
          <w:b/>
          <w:sz w:val="18"/>
          <w:szCs w:val="18"/>
          <w:lang w:val="en-US"/>
        </w:rPr>
      </w:pPr>
    </w:p>
    <w:p w14:paraId="1C4F2AD1" w14:textId="77777777" w:rsidR="00850333" w:rsidRPr="00BD295E" w:rsidRDefault="00850333" w:rsidP="00850333">
      <w:pPr>
        <w:spacing w:after="120"/>
        <w:jc w:val="center"/>
        <w:rPr>
          <w:rFonts w:ascii="Arial" w:hAnsi="Arial" w:cs="Arial"/>
          <w:sz w:val="18"/>
          <w:szCs w:val="18"/>
          <w:lang w:val="en-US"/>
        </w:rPr>
      </w:pPr>
    </w:p>
    <w:tbl>
      <w:tblPr>
        <w:tblW w:w="9180" w:type="dxa"/>
        <w:tblLayout w:type="fixed"/>
        <w:tblLook w:val="04A0" w:firstRow="1" w:lastRow="0" w:firstColumn="1" w:lastColumn="0" w:noHBand="0" w:noVBand="1"/>
      </w:tblPr>
      <w:tblGrid>
        <w:gridCol w:w="4928"/>
        <w:gridCol w:w="4252"/>
      </w:tblGrid>
      <w:tr w:rsidR="008A5057" w:rsidRPr="00BD295E" w14:paraId="2A3A2727" w14:textId="77777777" w:rsidTr="00E3510B">
        <w:tc>
          <w:tcPr>
            <w:tcW w:w="4928" w:type="dxa"/>
            <w:shd w:val="clear" w:color="auto" w:fill="auto"/>
          </w:tcPr>
          <w:p w14:paraId="242A5797" w14:textId="77777777" w:rsidR="00850333" w:rsidRPr="00BD295E" w:rsidRDefault="007F1D7D" w:rsidP="00E3510B">
            <w:pPr>
              <w:tabs>
                <w:tab w:val="left" w:pos="4678"/>
              </w:tabs>
              <w:rPr>
                <w:rFonts w:ascii="Arial" w:hAnsi="Arial" w:cs="Arial"/>
                <w:sz w:val="18"/>
                <w:szCs w:val="18"/>
                <w:lang w:val="en-US"/>
              </w:rPr>
            </w:pPr>
            <w:r w:rsidRPr="00BD295E">
              <w:rPr>
                <w:rFonts w:ascii="Arial" w:hAnsi="Arial" w:cs="Arial"/>
                <w:sz w:val="18"/>
                <w:szCs w:val="18"/>
                <w:u w:val="single"/>
                <w:lang w:val="en-US"/>
              </w:rPr>
              <w:t>Location</w:t>
            </w:r>
            <w:r w:rsidR="008A5057" w:rsidRPr="00BD295E">
              <w:rPr>
                <w:rFonts w:ascii="Arial" w:hAnsi="Arial" w:cs="Arial"/>
                <w:sz w:val="18"/>
                <w:szCs w:val="18"/>
                <w:u w:val="single"/>
                <w:lang w:val="en-US"/>
              </w:rPr>
              <w:t>:</w:t>
            </w:r>
            <w:r w:rsidR="008A5057" w:rsidRPr="00BD295E">
              <w:rPr>
                <w:rFonts w:ascii="Arial" w:hAnsi="Arial" w:cs="Arial"/>
                <w:sz w:val="18"/>
                <w:szCs w:val="18"/>
                <w:lang w:val="en-US"/>
              </w:rPr>
              <w:t xml:space="preserve"> Saint Petersburg, Obvodny Kanal embankment, 185</w:t>
            </w:r>
          </w:p>
          <w:p w14:paraId="076EF029"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u w:val="single"/>
                <w:lang w:val="en-US"/>
              </w:rPr>
              <w:t>Implementation period:</w:t>
            </w:r>
            <w:r w:rsidRPr="00BD295E">
              <w:rPr>
                <w:rFonts w:ascii="Arial" w:hAnsi="Arial" w:cs="Arial"/>
                <w:sz w:val="18"/>
                <w:szCs w:val="18"/>
                <w:lang w:val="en-US"/>
              </w:rPr>
              <w:t xml:space="preserve"> 2012</w:t>
            </w:r>
            <w:r w:rsidRPr="00BD295E">
              <w:rPr>
                <w:rFonts w:ascii="Cambria Math" w:hAnsi="Cambria Math" w:cs="Cambria Math"/>
                <w:sz w:val="18"/>
                <w:szCs w:val="18"/>
                <w:lang w:val="en-US"/>
              </w:rPr>
              <w:t>‐</w:t>
            </w:r>
            <w:r w:rsidRPr="00BD295E">
              <w:rPr>
                <w:rFonts w:ascii="Arial" w:hAnsi="Arial" w:cs="Arial"/>
                <w:sz w:val="18"/>
                <w:szCs w:val="18"/>
                <w:lang w:val="en-US"/>
              </w:rPr>
              <w:t>-2018</w:t>
            </w:r>
          </w:p>
          <w:p w14:paraId="46000021"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u w:val="single"/>
                <w:lang w:val="en-US"/>
              </w:rPr>
              <w:t>Scope of construction:</w:t>
            </w:r>
          </w:p>
          <w:p w14:paraId="0911C46A"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 xml:space="preserve">Phase 1 was </w:t>
            </w:r>
            <w:r w:rsidR="00AA4505" w:rsidRPr="00BD295E">
              <w:rPr>
                <w:rFonts w:ascii="Arial" w:hAnsi="Arial" w:cs="Arial"/>
                <w:sz w:val="18"/>
                <w:szCs w:val="18"/>
                <w:lang w:val="en-US"/>
              </w:rPr>
              <w:t>commissioned;</w:t>
            </w:r>
            <w:r w:rsidRPr="00BD295E">
              <w:rPr>
                <w:rFonts w:ascii="Arial" w:hAnsi="Arial" w:cs="Arial"/>
                <w:sz w:val="18"/>
                <w:szCs w:val="18"/>
                <w:lang w:val="en-US"/>
              </w:rPr>
              <w:t xml:space="preserve"> the substation was converted from voltage class 35 kV to 110 kV with the construction of new 110 kV cable lead-ins from CHPP-15. </w:t>
            </w:r>
          </w:p>
        </w:tc>
        <w:tc>
          <w:tcPr>
            <w:tcW w:w="4252" w:type="dxa"/>
            <w:shd w:val="clear" w:color="auto" w:fill="auto"/>
            <w:hideMark/>
          </w:tcPr>
          <w:p w14:paraId="09A8C27F" w14:textId="43FBD42A" w:rsidR="00850333" w:rsidRPr="00BD295E" w:rsidRDefault="00997D07" w:rsidP="00E3510B">
            <w:pPr>
              <w:ind w:left="-108" w:right="5"/>
              <w:rPr>
                <w:rFonts w:ascii="Arial" w:hAnsi="Arial" w:cs="Arial"/>
                <w:sz w:val="18"/>
                <w:szCs w:val="18"/>
                <w:lang w:val="en-US"/>
              </w:rPr>
            </w:pPr>
            <w:r w:rsidRPr="00BD295E">
              <w:rPr>
                <w:rFonts w:ascii="Arial" w:hAnsi="Arial" w:cs="Arial"/>
                <w:sz w:val="18"/>
                <w:szCs w:val="18"/>
                <w:lang w:val="en-US" w:eastAsia="en-US"/>
              </w:rPr>
              <w:drawing>
                <wp:inline distT="0" distB="0" distL="0" distR="0" wp14:anchorId="0A6D7738" wp14:editId="340BCE73">
                  <wp:extent cx="3219450" cy="1809750"/>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19450" cy="1809750"/>
                          </a:xfrm>
                          <a:prstGeom prst="rect">
                            <a:avLst/>
                          </a:prstGeom>
                          <a:noFill/>
                          <a:ln>
                            <a:noFill/>
                          </a:ln>
                        </pic:spPr>
                      </pic:pic>
                    </a:graphicData>
                  </a:graphic>
                </wp:inline>
              </w:drawing>
            </w:r>
          </w:p>
        </w:tc>
      </w:tr>
    </w:tbl>
    <w:p w14:paraId="13FCD2AB" w14:textId="77777777" w:rsidR="00850333" w:rsidRPr="00BD295E" w:rsidRDefault="007F1D7D" w:rsidP="00850333">
      <w:pPr>
        <w:rPr>
          <w:rFonts w:ascii="Arial" w:hAnsi="Arial" w:cs="Arial"/>
          <w:kern w:val="24"/>
          <w:sz w:val="18"/>
          <w:szCs w:val="18"/>
          <w:u w:val="single"/>
          <w:lang w:val="en-US"/>
        </w:rPr>
      </w:pPr>
      <w:r w:rsidRPr="00BD295E">
        <w:rPr>
          <w:rFonts w:ascii="Arial" w:hAnsi="Arial" w:cs="Arial"/>
          <w:sz w:val="18"/>
          <w:szCs w:val="18"/>
          <w:u w:val="single"/>
          <w:lang w:val="en-US"/>
        </w:rPr>
        <w:t>Objective</w:t>
      </w:r>
      <w:r w:rsidR="008A5057" w:rsidRPr="00BD295E">
        <w:rPr>
          <w:rFonts w:ascii="Arial" w:hAnsi="Arial" w:cs="Arial"/>
          <w:sz w:val="18"/>
          <w:szCs w:val="18"/>
          <w:u w:val="single"/>
          <w:lang w:val="en-US"/>
        </w:rPr>
        <w:t>:</w:t>
      </w:r>
    </w:p>
    <w:p w14:paraId="652AB93E"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Improve the reliability of electricity supply to existing consumers: the Baltiysky Railway Station, GUP Vodokanal, Baltiyskaya Metro Station, Mariinsky Theater, Admiralty Shipyard, FGUP Gozznak, Conservatory, Stepan Razin Plant, Central Post Office (Glavpochtamt), polyclinics, industrial enterprises and population</w:t>
      </w:r>
    </w:p>
    <w:p w14:paraId="33117889" w14:textId="77777777" w:rsidR="00850333" w:rsidRPr="00BD295E" w:rsidRDefault="008A5057" w:rsidP="00850333">
      <w:pPr>
        <w:spacing w:line="254" w:lineRule="auto"/>
        <w:rPr>
          <w:rFonts w:ascii="Arial" w:eastAsia="Calibri" w:hAnsi="Arial" w:cs="Arial"/>
          <w:kern w:val="24"/>
          <w:sz w:val="18"/>
          <w:szCs w:val="18"/>
          <w:u w:val="single"/>
          <w:lang w:val="en-US"/>
        </w:rPr>
      </w:pPr>
      <w:r w:rsidRPr="00BD295E">
        <w:rPr>
          <w:rFonts w:ascii="Arial" w:hAnsi="Arial" w:cs="Arial"/>
          <w:sz w:val="18"/>
          <w:szCs w:val="18"/>
          <w:u w:val="single"/>
          <w:lang w:val="en-US"/>
        </w:rPr>
        <w:t>Progress of the project:</w:t>
      </w:r>
    </w:p>
    <w:p w14:paraId="4049E0A8" w14:textId="77777777" w:rsidR="00850333" w:rsidRPr="00BD295E" w:rsidRDefault="008A5057" w:rsidP="00850333">
      <w:pPr>
        <w:jc w:val="both"/>
        <w:rPr>
          <w:rFonts w:ascii="Arial" w:hAnsi="Arial" w:cs="Arial"/>
          <w:sz w:val="18"/>
          <w:szCs w:val="18"/>
          <w:lang w:val="en-US"/>
        </w:rPr>
      </w:pPr>
      <w:r w:rsidRPr="00BD295E">
        <w:rPr>
          <w:rFonts w:ascii="Arial" w:hAnsi="Arial" w:cs="Arial"/>
          <w:sz w:val="18"/>
          <w:szCs w:val="18"/>
          <w:lang w:val="en-US"/>
        </w:rPr>
        <w:t>The work on the first phase of renovation was fully completed in 2018.</w:t>
      </w:r>
    </w:p>
    <w:p w14:paraId="6D3C7268" w14:textId="77777777" w:rsidR="00850333" w:rsidRPr="00BD295E" w:rsidRDefault="008A5057" w:rsidP="00850333">
      <w:pPr>
        <w:jc w:val="both"/>
        <w:rPr>
          <w:rFonts w:ascii="Arial" w:hAnsi="Arial" w:cs="Arial"/>
          <w:sz w:val="18"/>
          <w:szCs w:val="18"/>
          <w:lang w:val="en-US"/>
        </w:rPr>
      </w:pPr>
      <w:r w:rsidRPr="00BD295E">
        <w:rPr>
          <w:rFonts w:ascii="Arial" w:hAnsi="Arial" w:cs="Arial"/>
          <w:sz w:val="18"/>
          <w:szCs w:val="18"/>
          <w:lang w:val="en-US"/>
        </w:rPr>
        <w:t>Works on Phase 2 and Phase 3 of the renovation project are ongoing.</w:t>
      </w:r>
    </w:p>
    <w:p w14:paraId="42FDF6C4" w14:textId="77777777" w:rsidR="00850333" w:rsidRPr="00BD295E" w:rsidRDefault="00850333" w:rsidP="00850333">
      <w:pPr>
        <w:spacing w:after="160" w:line="259" w:lineRule="auto"/>
        <w:rPr>
          <w:rFonts w:ascii="Arial" w:hAnsi="Arial" w:cs="Arial"/>
          <w:b/>
          <w:bCs/>
          <w:sz w:val="18"/>
          <w:szCs w:val="18"/>
          <w:lang w:val="en-US"/>
        </w:rPr>
      </w:pPr>
    </w:p>
    <w:p w14:paraId="23F0A821" w14:textId="77777777" w:rsidR="00850333" w:rsidRPr="00BD295E" w:rsidRDefault="008A5057" w:rsidP="00850333">
      <w:pPr>
        <w:spacing w:after="120"/>
        <w:jc w:val="center"/>
        <w:rPr>
          <w:rFonts w:ascii="Arial" w:hAnsi="Arial" w:cs="Arial"/>
          <w:b/>
          <w:bCs/>
          <w:sz w:val="18"/>
          <w:szCs w:val="18"/>
          <w:lang w:val="en-US"/>
        </w:rPr>
      </w:pPr>
      <w:r w:rsidRPr="00BD295E">
        <w:rPr>
          <w:rFonts w:ascii="Arial" w:hAnsi="Arial" w:cs="Arial"/>
          <w:b/>
          <w:bCs/>
          <w:sz w:val="18"/>
          <w:szCs w:val="18"/>
          <w:lang w:val="en-US"/>
        </w:rPr>
        <w:t>Construction of the 110 kV Kamenka substation – Phase 1 (110 kV CL, 110 kV substation No. 99 Nissan – 110 kV Kamenka substation)</w:t>
      </w:r>
    </w:p>
    <w:p w14:paraId="626EB52E" w14:textId="77777777" w:rsidR="00850333" w:rsidRPr="00BD295E" w:rsidRDefault="00850333" w:rsidP="00850333">
      <w:pPr>
        <w:spacing w:after="120"/>
        <w:jc w:val="center"/>
        <w:rPr>
          <w:rFonts w:ascii="Arial" w:hAnsi="Arial" w:cs="Arial"/>
          <w:sz w:val="18"/>
          <w:szCs w:val="18"/>
          <w:lang w:val="en-US"/>
        </w:rPr>
      </w:pPr>
    </w:p>
    <w:tbl>
      <w:tblPr>
        <w:tblW w:w="9180" w:type="dxa"/>
        <w:tblLayout w:type="fixed"/>
        <w:tblLook w:val="04A0" w:firstRow="1" w:lastRow="0" w:firstColumn="1" w:lastColumn="0" w:noHBand="0" w:noVBand="1"/>
      </w:tblPr>
      <w:tblGrid>
        <w:gridCol w:w="4928"/>
        <w:gridCol w:w="4252"/>
      </w:tblGrid>
      <w:tr w:rsidR="008A5057" w:rsidRPr="00BD295E" w14:paraId="15A70474" w14:textId="77777777" w:rsidTr="00E3510B">
        <w:tc>
          <w:tcPr>
            <w:tcW w:w="4928" w:type="dxa"/>
            <w:shd w:val="clear" w:color="auto" w:fill="auto"/>
          </w:tcPr>
          <w:p w14:paraId="4C299295" w14:textId="77777777" w:rsidR="00850333" w:rsidRPr="00BD295E" w:rsidRDefault="007F1D7D" w:rsidP="00E3510B">
            <w:pPr>
              <w:tabs>
                <w:tab w:val="left" w:pos="4678"/>
              </w:tabs>
              <w:rPr>
                <w:rFonts w:ascii="Arial" w:hAnsi="Arial" w:cs="Arial"/>
                <w:sz w:val="18"/>
                <w:szCs w:val="18"/>
                <w:lang w:val="en-US"/>
              </w:rPr>
            </w:pPr>
            <w:r w:rsidRPr="00BD295E">
              <w:rPr>
                <w:rFonts w:ascii="Arial" w:hAnsi="Arial" w:cs="Arial"/>
                <w:sz w:val="18"/>
                <w:szCs w:val="18"/>
                <w:u w:val="single"/>
                <w:lang w:val="en-US"/>
              </w:rPr>
              <w:t>Location</w:t>
            </w:r>
            <w:r w:rsidR="008A5057" w:rsidRPr="00BD295E">
              <w:rPr>
                <w:rFonts w:ascii="Arial" w:hAnsi="Arial" w:cs="Arial"/>
                <w:sz w:val="18"/>
                <w:szCs w:val="18"/>
                <w:u w:val="single"/>
                <w:lang w:val="en-US"/>
              </w:rPr>
              <w:t>:</w:t>
            </w:r>
            <w:r w:rsidR="008A5057" w:rsidRPr="00BD295E">
              <w:rPr>
                <w:rFonts w:ascii="Arial" w:hAnsi="Arial" w:cs="Arial"/>
                <w:sz w:val="18"/>
                <w:szCs w:val="18"/>
                <w:lang w:val="en-US"/>
              </w:rPr>
              <w:t xml:space="preserve"> Saint Petersburg </w:t>
            </w:r>
          </w:p>
          <w:p w14:paraId="71E9350B"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 xml:space="preserve">Primorsky District, Parashyutnaya Street, site 39  </w:t>
            </w:r>
          </w:p>
          <w:p w14:paraId="1AA4DBD0"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u w:val="single"/>
                <w:lang w:val="en-US"/>
              </w:rPr>
              <w:t>Implementation period:</w:t>
            </w:r>
            <w:r w:rsidRPr="00BD295E">
              <w:rPr>
                <w:rFonts w:ascii="Arial" w:hAnsi="Arial" w:cs="Arial"/>
                <w:sz w:val="18"/>
                <w:szCs w:val="18"/>
                <w:lang w:val="en-US"/>
              </w:rPr>
              <w:t xml:space="preserve"> 2014</w:t>
            </w:r>
            <w:r w:rsidRPr="00BD295E">
              <w:rPr>
                <w:rFonts w:ascii="Cambria Math" w:hAnsi="Cambria Math" w:cs="Cambria Math"/>
                <w:sz w:val="18"/>
                <w:szCs w:val="18"/>
                <w:lang w:val="en-US"/>
              </w:rPr>
              <w:t>‐</w:t>
            </w:r>
            <w:r w:rsidRPr="00BD295E">
              <w:rPr>
                <w:rFonts w:ascii="Arial" w:hAnsi="Arial" w:cs="Arial"/>
                <w:sz w:val="18"/>
                <w:szCs w:val="18"/>
                <w:lang w:val="en-US"/>
              </w:rPr>
              <w:t>-2018</w:t>
            </w:r>
          </w:p>
          <w:p w14:paraId="419174EF" w14:textId="77777777" w:rsidR="00850333" w:rsidRPr="00BD295E" w:rsidRDefault="008A5057" w:rsidP="00E3510B">
            <w:pPr>
              <w:tabs>
                <w:tab w:val="left" w:pos="4678"/>
              </w:tabs>
              <w:rPr>
                <w:rFonts w:ascii="Arial" w:hAnsi="Arial" w:cs="Arial"/>
                <w:sz w:val="18"/>
                <w:szCs w:val="18"/>
                <w:u w:val="single"/>
                <w:lang w:val="en-US"/>
              </w:rPr>
            </w:pPr>
            <w:r w:rsidRPr="00BD295E">
              <w:rPr>
                <w:rFonts w:ascii="Arial" w:hAnsi="Arial" w:cs="Arial"/>
                <w:sz w:val="18"/>
                <w:szCs w:val="18"/>
                <w:u w:val="single"/>
                <w:lang w:val="en-US"/>
              </w:rPr>
              <w:t xml:space="preserve">Scope of construction: </w:t>
            </w:r>
          </w:p>
          <w:p w14:paraId="043FBB69"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Installation of a 7.043 km double-circuit 110 kV CL towards 110 kV substation No. 99 Nissan – 110 kV Kamenka substation, installation of a 110 kV linear compact gas-insulated switch module with cable lead-in 3AP1 DTC G, works related to relay protection, communications, a measuring and information system for electricity billing metering AIIS KUE, and a CL monitoring system.</w:t>
            </w:r>
          </w:p>
        </w:tc>
        <w:tc>
          <w:tcPr>
            <w:tcW w:w="4252" w:type="dxa"/>
            <w:shd w:val="clear" w:color="auto" w:fill="auto"/>
            <w:hideMark/>
          </w:tcPr>
          <w:p w14:paraId="1C0562AB" w14:textId="548A5F73" w:rsidR="00850333" w:rsidRPr="00BD295E" w:rsidRDefault="00997D07" w:rsidP="00E3510B">
            <w:pPr>
              <w:ind w:left="-108" w:right="5"/>
              <w:rPr>
                <w:rFonts w:ascii="Arial" w:hAnsi="Arial" w:cs="Arial"/>
                <w:sz w:val="18"/>
                <w:szCs w:val="18"/>
                <w:lang w:val="en-US"/>
              </w:rPr>
            </w:pPr>
            <w:r w:rsidRPr="00BD295E">
              <w:rPr>
                <w:rFonts w:ascii="Arial" w:hAnsi="Arial" w:cs="Arial"/>
                <w:sz w:val="18"/>
                <w:szCs w:val="18"/>
                <w:lang w:val="en-US" w:eastAsia="en-US"/>
              </w:rPr>
              <w:drawing>
                <wp:inline distT="0" distB="0" distL="0" distR="0" wp14:anchorId="24835B23" wp14:editId="227DF0C4">
                  <wp:extent cx="1504950" cy="2414905"/>
                  <wp:effectExtent l="0" t="0" r="0" b="0"/>
                  <wp:docPr id="45" name="Рисунок 1040" descr="WhatsApp Image 2019-03-25 at 15.2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0" descr="WhatsApp Image 2019-03-25 at 15.24.30(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04950" cy="2414905"/>
                          </a:xfrm>
                          <a:prstGeom prst="rect">
                            <a:avLst/>
                          </a:prstGeom>
                          <a:noFill/>
                          <a:ln>
                            <a:noFill/>
                          </a:ln>
                        </pic:spPr>
                      </pic:pic>
                    </a:graphicData>
                  </a:graphic>
                </wp:inline>
              </w:drawing>
            </w:r>
          </w:p>
        </w:tc>
      </w:tr>
    </w:tbl>
    <w:p w14:paraId="436290CF" w14:textId="77777777" w:rsidR="00850333" w:rsidRPr="00BD295E" w:rsidRDefault="007F1D7D" w:rsidP="00850333">
      <w:pPr>
        <w:rPr>
          <w:rFonts w:ascii="Arial" w:hAnsi="Arial" w:cs="Arial"/>
          <w:kern w:val="24"/>
          <w:sz w:val="18"/>
          <w:szCs w:val="18"/>
          <w:u w:val="single"/>
          <w:lang w:val="en-US"/>
        </w:rPr>
      </w:pPr>
      <w:r w:rsidRPr="00BD295E">
        <w:rPr>
          <w:rFonts w:ascii="Arial" w:hAnsi="Arial" w:cs="Arial"/>
          <w:sz w:val="18"/>
          <w:szCs w:val="18"/>
          <w:u w:val="single"/>
          <w:lang w:val="en-US"/>
        </w:rPr>
        <w:t>Objective</w:t>
      </w:r>
      <w:r w:rsidR="008A5057" w:rsidRPr="00BD295E">
        <w:rPr>
          <w:rFonts w:ascii="Arial" w:hAnsi="Arial" w:cs="Arial"/>
          <w:sz w:val="18"/>
          <w:szCs w:val="18"/>
          <w:u w:val="single"/>
          <w:lang w:val="en-US"/>
        </w:rPr>
        <w:t>:</w:t>
      </w:r>
    </w:p>
    <w:p w14:paraId="375A37A8" w14:textId="7C738D69" w:rsidR="00850333" w:rsidRPr="00BD295E" w:rsidRDefault="008A5057" w:rsidP="00850333">
      <w:pPr>
        <w:jc w:val="both"/>
        <w:rPr>
          <w:rFonts w:ascii="Arial" w:hAnsi="Arial" w:cs="Arial"/>
          <w:sz w:val="18"/>
          <w:szCs w:val="18"/>
          <w:lang w:val="en-US"/>
        </w:rPr>
      </w:pPr>
      <w:r w:rsidRPr="00BD295E">
        <w:rPr>
          <w:rFonts w:ascii="Arial" w:hAnsi="Arial" w:cs="Arial"/>
          <w:sz w:val="18"/>
          <w:szCs w:val="18"/>
          <w:lang w:val="en-US"/>
        </w:rPr>
        <w:t xml:space="preserve">Grid connection </w:t>
      </w:r>
      <w:r w:rsidR="007F1D7D" w:rsidRPr="00BD295E">
        <w:rPr>
          <w:rFonts w:ascii="Arial" w:hAnsi="Arial" w:cs="Arial"/>
          <w:sz w:val="18"/>
          <w:szCs w:val="18"/>
          <w:lang w:val="en-US"/>
        </w:rPr>
        <w:t>for</w:t>
      </w:r>
      <w:r w:rsidRPr="00BD295E">
        <w:rPr>
          <w:rFonts w:ascii="Arial" w:hAnsi="Arial" w:cs="Arial"/>
          <w:sz w:val="18"/>
          <w:szCs w:val="18"/>
          <w:lang w:val="en-US"/>
        </w:rPr>
        <w:t xml:space="preserve"> consumers in the Primorsky District of Saint Petersburg, such as: </w:t>
      </w:r>
      <w:r w:rsidRPr="00BD295E">
        <w:rPr>
          <w:rFonts w:ascii="Arial" w:hAnsi="Arial" w:cs="Arial"/>
          <w:sz w:val="18"/>
          <w:szCs w:val="18"/>
          <w:lang w:val="en-US"/>
        </w:rPr>
        <w:br/>
        <w:t>LSR. Nedv</w:t>
      </w:r>
      <w:r w:rsidR="002C3947" w:rsidRPr="00BD295E">
        <w:rPr>
          <w:rFonts w:ascii="Arial" w:hAnsi="Arial" w:cs="Arial"/>
          <w:sz w:val="18"/>
          <w:szCs w:val="18"/>
          <w:lang w:val="en-US"/>
        </w:rPr>
        <w:t xml:space="preserve">izhimost – Severo-Zapad, CJSC, </w:t>
      </w:r>
      <w:r w:rsidRPr="00BD295E">
        <w:rPr>
          <w:rFonts w:ascii="Arial" w:hAnsi="Arial" w:cs="Arial"/>
          <w:sz w:val="18"/>
          <w:szCs w:val="18"/>
          <w:lang w:val="en-US"/>
        </w:rPr>
        <w:t xml:space="preserve">Ioffe Institute, </w:t>
      </w:r>
    </w:p>
    <w:p w14:paraId="1B15F56F" w14:textId="4E00BD6E" w:rsidR="00850333" w:rsidRPr="00BD295E" w:rsidRDefault="008A5057" w:rsidP="00850333">
      <w:pPr>
        <w:jc w:val="both"/>
        <w:rPr>
          <w:rFonts w:ascii="Arial" w:hAnsi="Arial" w:cs="Arial"/>
          <w:sz w:val="18"/>
          <w:szCs w:val="18"/>
          <w:lang w:val="en-US"/>
        </w:rPr>
      </w:pPr>
      <w:r w:rsidRPr="00BD295E">
        <w:rPr>
          <w:rFonts w:ascii="Arial" w:hAnsi="Arial" w:cs="Arial"/>
          <w:sz w:val="18"/>
          <w:szCs w:val="18"/>
          <w:lang w:val="en-US"/>
        </w:rPr>
        <w:t xml:space="preserve">RosStroi Construction Corporation, </w:t>
      </w:r>
      <w:r w:rsidR="002C3947" w:rsidRPr="00BD295E">
        <w:rPr>
          <w:rFonts w:ascii="Arial" w:hAnsi="Arial" w:cs="Arial"/>
          <w:sz w:val="18"/>
          <w:szCs w:val="18"/>
          <w:lang w:val="en-US"/>
        </w:rPr>
        <w:t>JSC,</w:t>
      </w:r>
      <w:r w:rsidRPr="00BD295E">
        <w:rPr>
          <w:rFonts w:ascii="Arial" w:hAnsi="Arial" w:cs="Arial"/>
          <w:sz w:val="18"/>
          <w:szCs w:val="18"/>
          <w:lang w:val="en-US"/>
        </w:rPr>
        <w:t xml:space="preserve"> SETL INVEST, LLC, Almazov National Medical Research Center,   </w:t>
      </w:r>
    </w:p>
    <w:p w14:paraId="34756F27" w14:textId="77777777" w:rsidR="00850333" w:rsidRPr="00BD295E" w:rsidRDefault="008A5057" w:rsidP="00850333">
      <w:pPr>
        <w:jc w:val="both"/>
        <w:rPr>
          <w:rFonts w:ascii="Arial" w:hAnsi="Arial" w:cs="Arial"/>
          <w:sz w:val="18"/>
          <w:szCs w:val="18"/>
          <w:lang w:val="en-US"/>
        </w:rPr>
      </w:pPr>
      <w:r w:rsidRPr="00BD295E">
        <w:rPr>
          <w:rFonts w:ascii="Arial" w:hAnsi="Arial" w:cs="Arial"/>
          <w:sz w:val="18"/>
          <w:szCs w:val="18"/>
          <w:lang w:val="en-US"/>
        </w:rPr>
        <w:t>TIN Group, LLC.</w:t>
      </w:r>
    </w:p>
    <w:p w14:paraId="1835FE1E" w14:textId="77777777" w:rsidR="00850333" w:rsidRPr="00BD295E" w:rsidRDefault="008A5057" w:rsidP="00850333">
      <w:pPr>
        <w:spacing w:line="254" w:lineRule="auto"/>
        <w:rPr>
          <w:rFonts w:ascii="Arial" w:eastAsia="Calibri" w:hAnsi="Arial" w:cs="Arial"/>
          <w:kern w:val="24"/>
          <w:sz w:val="18"/>
          <w:szCs w:val="18"/>
          <w:u w:val="single"/>
          <w:lang w:val="en-US"/>
        </w:rPr>
      </w:pPr>
      <w:r w:rsidRPr="00BD295E">
        <w:rPr>
          <w:rFonts w:ascii="Arial" w:hAnsi="Arial" w:cs="Arial"/>
          <w:sz w:val="18"/>
          <w:szCs w:val="18"/>
          <w:u w:val="single"/>
          <w:lang w:val="en-US"/>
        </w:rPr>
        <w:t>Progress of the project:</w:t>
      </w:r>
    </w:p>
    <w:p w14:paraId="6A627B4B" w14:textId="77777777" w:rsidR="00850333" w:rsidRPr="00BD295E" w:rsidRDefault="008A5057" w:rsidP="00850333">
      <w:pPr>
        <w:jc w:val="both"/>
        <w:rPr>
          <w:rFonts w:ascii="Arial" w:hAnsi="Arial" w:cs="Arial"/>
          <w:sz w:val="18"/>
          <w:szCs w:val="18"/>
          <w:lang w:val="en-US"/>
        </w:rPr>
      </w:pPr>
      <w:r w:rsidRPr="00BD295E">
        <w:rPr>
          <w:rFonts w:ascii="Arial" w:hAnsi="Arial" w:cs="Arial"/>
          <w:sz w:val="18"/>
          <w:szCs w:val="18"/>
          <w:lang w:val="en-US"/>
        </w:rPr>
        <w:t>In 2018, Phase 1of the construction project was commissioned, including: installation of a 7.043 km double-circuit 110 kV CL-110 kV cable line between SS 110 kV Nissan – SS 110 kV Kamenka substation, installation of a 110 kV linear compact gas-insulated switch module with cable lead-in 3AP1 DTC G, works related to relay protection, communications, a measuring and information system for electricity billing metering AIIS KUE, and a CL monitoring system.</w:t>
      </w:r>
    </w:p>
    <w:p w14:paraId="5F20E780" w14:textId="48D71B76" w:rsidR="00471445" w:rsidRPr="00BD295E" w:rsidRDefault="00471445">
      <w:pPr>
        <w:rPr>
          <w:rFonts w:ascii="Arial" w:hAnsi="Arial" w:cs="Arial"/>
          <w:b/>
          <w:bCs/>
          <w:sz w:val="18"/>
          <w:szCs w:val="18"/>
          <w:lang w:val="en-US"/>
        </w:rPr>
      </w:pPr>
      <w:r w:rsidRPr="00BD295E">
        <w:rPr>
          <w:rFonts w:ascii="Arial" w:hAnsi="Arial" w:cs="Arial"/>
          <w:b/>
          <w:bCs/>
          <w:sz w:val="18"/>
          <w:szCs w:val="18"/>
          <w:lang w:val="en-US"/>
        </w:rPr>
        <w:br w:type="page"/>
      </w:r>
    </w:p>
    <w:p w14:paraId="0C5E11FD" w14:textId="77777777" w:rsidR="00850333" w:rsidRPr="00BD295E" w:rsidRDefault="008A5057" w:rsidP="00850333">
      <w:pPr>
        <w:spacing w:after="120"/>
        <w:jc w:val="center"/>
        <w:rPr>
          <w:rFonts w:ascii="Arial" w:hAnsi="Arial" w:cs="Arial"/>
          <w:sz w:val="18"/>
          <w:szCs w:val="18"/>
          <w:lang w:val="en-US"/>
        </w:rPr>
      </w:pPr>
      <w:r w:rsidRPr="00BD295E">
        <w:rPr>
          <w:rFonts w:ascii="Arial" w:hAnsi="Arial" w:cs="Arial"/>
          <w:b/>
          <w:bCs/>
          <w:sz w:val="18"/>
          <w:szCs w:val="18"/>
          <w:lang w:val="en-US"/>
        </w:rPr>
        <w:t>Construction of a 110 kV substation Namyv-2" with a 110 kV cable line – Phase 1 (CL-110 kV from substation PS-14 to the 330 kV Vasileostrovskaya substation)</w:t>
      </w:r>
    </w:p>
    <w:tbl>
      <w:tblPr>
        <w:tblW w:w="9180" w:type="dxa"/>
        <w:tblLayout w:type="fixed"/>
        <w:tblLook w:val="04A0" w:firstRow="1" w:lastRow="0" w:firstColumn="1" w:lastColumn="0" w:noHBand="0" w:noVBand="1"/>
      </w:tblPr>
      <w:tblGrid>
        <w:gridCol w:w="4928"/>
        <w:gridCol w:w="4252"/>
      </w:tblGrid>
      <w:tr w:rsidR="008A5057" w:rsidRPr="00BD295E" w14:paraId="6248423D" w14:textId="77777777" w:rsidTr="00E3510B">
        <w:tc>
          <w:tcPr>
            <w:tcW w:w="4928" w:type="dxa"/>
            <w:shd w:val="clear" w:color="auto" w:fill="auto"/>
          </w:tcPr>
          <w:p w14:paraId="0FE4CD63" w14:textId="77777777" w:rsidR="00850333" w:rsidRPr="00BD295E" w:rsidRDefault="007F1D7D" w:rsidP="00E3510B">
            <w:pPr>
              <w:tabs>
                <w:tab w:val="left" w:pos="4678"/>
              </w:tabs>
              <w:rPr>
                <w:rFonts w:ascii="Arial" w:hAnsi="Arial" w:cs="Arial"/>
                <w:sz w:val="18"/>
                <w:szCs w:val="18"/>
                <w:lang w:val="en-US"/>
              </w:rPr>
            </w:pPr>
            <w:r w:rsidRPr="00BD295E">
              <w:rPr>
                <w:rFonts w:ascii="Arial" w:hAnsi="Arial" w:cs="Arial"/>
                <w:sz w:val="18"/>
                <w:szCs w:val="18"/>
                <w:u w:val="single"/>
                <w:lang w:val="en-US"/>
              </w:rPr>
              <w:t>Location</w:t>
            </w:r>
            <w:r w:rsidR="008A5057" w:rsidRPr="00BD295E">
              <w:rPr>
                <w:rFonts w:ascii="Arial" w:hAnsi="Arial" w:cs="Arial"/>
                <w:sz w:val="18"/>
                <w:szCs w:val="18"/>
                <w:lang w:val="en-US"/>
              </w:rPr>
              <w:t xml:space="preserve"> Saint Petersburg, </w:t>
            </w:r>
          </w:p>
          <w:p w14:paraId="57A80476"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Vasileostrovsky District</w:t>
            </w:r>
          </w:p>
          <w:p w14:paraId="63C0173B"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u w:val="single"/>
                <w:lang w:val="en-US"/>
              </w:rPr>
              <w:t>Implementation period:</w:t>
            </w:r>
            <w:r w:rsidRPr="00BD295E">
              <w:rPr>
                <w:rFonts w:ascii="Arial" w:hAnsi="Arial" w:cs="Arial"/>
                <w:sz w:val="18"/>
                <w:szCs w:val="18"/>
                <w:lang w:val="en-US"/>
              </w:rPr>
              <w:t xml:space="preserve"> 2013</w:t>
            </w:r>
            <w:r w:rsidRPr="00BD295E">
              <w:rPr>
                <w:rFonts w:ascii="Cambria Math" w:hAnsi="Cambria Math" w:cs="Cambria Math"/>
                <w:sz w:val="18"/>
                <w:szCs w:val="18"/>
                <w:lang w:val="en-US"/>
              </w:rPr>
              <w:t>‐</w:t>
            </w:r>
            <w:r w:rsidRPr="00BD295E">
              <w:rPr>
                <w:rFonts w:ascii="Arial" w:hAnsi="Arial" w:cs="Arial"/>
                <w:sz w:val="18"/>
                <w:szCs w:val="18"/>
                <w:lang w:val="en-US"/>
              </w:rPr>
              <w:t>-2018</w:t>
            </w:r>
          </w:p>
          <w:p w14:paraId="5B480FA5"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u w:val="single"/>
                <w:lang w:val="en-US"/>
              </w:rPr>
              <w:t>Scope of construction:</w:t>
            </w:r>
          </w:p>
          <w:p w14:paraId="768D0547"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Construction of CL-110 kV from substation PS-14 to the 330 kV Vasileostrovskaya substation, 14.191 km, relay protection system, and a temperature monitoring system.</w:t>
            </w:r>
          </w:p>
        </w:tc>
        <w:tc>
          <w:tcPr>
            <w:tcW w:w="4252" w:type="dxa"/>
            <w:shd w:val="clear" w:color="auto" w:fill="auto"/>
            <w:hideMark/>
          </w:tcPr>
          <w:p w14:paraId="1B107AEB" w14:textId="498EC322" w:rsidR="00850333" w:rsidRPr="00BD295E" w:rsidRDefault="00997D07" w:rsidP="00E3510B">
            <w:pPr>
              <w:ind w:left="-108" w:right="5"/>
              <w:rPr>
                <w:rFonts w:ascii="Arial" w:hAnsi="Arial" w:cs="Arial"/>
                <w:sz w:val="18"/>
                <w:szCs w:val="18"/>
                <w:lang w:val="en-US"/>
              </w:rPr>
            </w:pPr>
            <w:r w:rsidRPr="00BD295E">
              <w:rPr>
                <w:rFonts w:ascii="Arial" w:hAnsi="Arial" w:cs="Arial"/>
                <w:sz w:val="18"/>
                <w:szCs w:val="18"/>
                <w:lang w:val="en-US" w:eastAsia="en-US"/>
              </w:rPr>
              <w:drawing>
                <wp:inline distT="0" distB="0" distL="0" distR="0" wp14:anchorId="5E4C259B" wp14:editId="4ACA2F8B">
                  <wp:extent cx="1885950" cy="1905000"/>
                  <wp:effectExtent l="9525" t="0" r="0" b="0"/>
                  <wp:docPr id="46" name="Рисунок 1041" descr="D:\РАБОТА\САНКТ-ПЕТЕРБУРГ\ОБЪЕКТЫ\Заходы КЛ 110 кВ на ПС Намыв-2\ФОТО ОБЪЕКТА\2018\Май\08.05.2018 Попов муфты МУ6; МУ 5; МУ 4; . Котлованы от МУ 6 до МУ3\IMG_5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1" descr="D:\РАБОТА\САНКТ-ПЕТЕРБУРГ\ОБЪЕКТЫ\Заходы КЛ 110 кВ на ПС Намыв-2\ФОТО ОБЪЕКТА\2018\Май\08.05.2018 Попов муфты МУ6; МУ 5; МУ 4; . Котлованы от МУ 6 до МУ3\IMG_567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1885950" cy="1905000"/>
                          </a:xfrm>
                          <a:prstGeom prst="rect">
                            <a:avLst/>
                          </a:prstGeom>
                          <a:noFill/>
                          <a:ln>
                            <a:noFill/>
                          </a:ln>
                        </pic:spPr>
                      </pic:pic>
                    </a:graphicData>
                  </a:graphic>
                </wp:inline>
              </w:drawing>
            </w:r>
          </w:p>
        </w:tc>
      </w:tr>
    </w:tbl>
    <w:p w14:paraId="09221932" w14:textId="77777777" w:rsidR="00850333" w:rsidRPr="00BD295E" w:rsidRDefault="007F1D7D" w:rsidP="00850333">
      <w:pPr>
        <w:rPr>
          <w:rFonts w:ascii="Arial" w:hAnsi="Arial" w:cs="Arial"/>
          <w:kern w:val="24"/>
          <w:sz w:val="18"/>
          <w:szCs w:val="18"/>
          <w:u w:val="single"/>
          <w:lang w:val="en-US"/>
        </w:rPr>
      </w:pPr>
      <w:r w:rsidRPr="00BD295E">
        <w:rPr>
          <w:rFonts w:ascii="Arial" w:hAnsi="Arial" w:cs="Arial"/>
          <w:sz w:val="18"/>
          <w:szCs w:val="18"/>
          <w:u w:val="single"/>
          <w:lang w:val="en-US"/>
        </w:rPr>
        <w:t>Objective:</w:t>
      </w:r>
    </w:p>
    <w:p w14:paraId="7C2D5061"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Increase reliability of electricity supply to existing consumers in the Vasileostrovsky District of Saint Petersburg, increase electricity transit and connection of new consumers</w:t>
      </w:r>
    </w:p>
    <w:p w14:paraId="7171826F" w14:textId="77777777" w:rsidR="00850333" w:rsidRPr="00BD295E" w:rsidRDefault="008A5057" w:rsidP="00850333">
      <w:pPr>
        <w:spacing w:line="254" w:lineRule="auto"/>
        <w:rPr>
          <w:rFonts w:ascii="Arial" w:hAnsi="Arial" w:cs="Arial"/>
          <w:sz w:val="18"/>
          <w:szCs w:val="18"/>
          <w:lang w:val="en-US"/>
        </w:rPr>
      </w:pPr>
      <w:r w:rsidRPr="00BD295E">
        <w:rPr>
          <w:rFonts w:ascii="Arial" w:hAnsi="Arial" w:cs="Arial"/>
          <w:sz w:val="18"/>
          <w:szCs w:val="18"/>
          <w:u w:val="single"/>
          <w:lang w:val="en-US"/>
        </w:rPr>
        <w:t>Progress of the project:</w:t>
      </w:r>
    </w:p>
    <w:p w14:paraId="2AA5DD6D"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In 2018, 14.191 km of the CL-110 kV cable line was laid from PS-14 to the 330 kV Vasileostrovskaya substation. Rela</w:t>
      </w:r>
      <w:r w:rsidR="00AA4505" w:rsidRPr="00BD295E">
        <w:rPr>
          <w:rFonts w:ascii="Arial" w:hAnsi="Arial" w:cs="Arial"/>
          <w:sz w:val="18"/>
          <w:szCs w:val="18"/>
          <w:lang w:val="en-US"/>
        </w:rPr>
        <w:t>y</w:t>
      </w:r>
      <w:r w:rsidRPr="00BD295E">
        <w:rPr>
          <w:rFonts w:ascii="Arial" w:hAnsi="Arial" w:cs="Arial"/>
          <w:sz w:val="18"/>
          <w:szCs w:val="18"/>
          <w:lang w:val="en-US"/>
        </w:rPr>
        <w:t xml:space="preserve"> protection and temperature monitoring systems were installed.</w:t>
      </w:r>
    </w:p>
    <w:p w14:paraId="382C773D" w14:textId="77777777" w:rsidR="00850333" w:rsidRPr="00BD295E" w:rsidRDefault="00850333" w:rsidP="00850333">
      <w:pPr>
        <w:spacing w:after="160" w:line="259" w:lineRule="auto"/>
        <w:rPr>
          <w:rFonts w:ascii="Arial" w:hAnsi="Arial" w:cs="Arial"/>
          <w:sz w:val="18"/>
          <w:szCs w:val="18"/>
          <w:lang w:val="en-US"/>
        </w:rPr>
      </w:pPr>
    </w:p>
    <w:p w14:paraId="1CE7346E" w14:textId="77777777" w:rsidR="00850333" w:rsidRPr="00BD295E" w:rsidRDefault="008A5057" w:rsidP="00850333">
      <w:pPr>
        <w:jc w:val="center"/>
        <w:rPr>
          <w:rFonts w:ascii="Arial" w:hAnsi="Arial" w:cs="Arial"/>
          <w:b/>
          <w:sz w:val="18"/>
          <w:szCs w:val="18"/>
          <w:lang w:val="en-US"/>
        </w:rPr>
      </w:pPr>
      <w:r w:rsidRPr="00BD295E">
        <w:rPr>
          <w:rFonts w:ascii="Arial" w:hAnsi="Arial" w:cs="Arial"/>
          <w:b/>
          <w:sz w:val="18"/>
          <w:szCs w:val="18"/>
          <w:lang w:val="en-US"/>
        </w:rPr>
        <w:t>Leningrad Region</w:t>
      </w:r>
    </w:p>
    <w:p w14:paraId="6CD32E8F" w14:textId="77777777" w:rsidR="00850333" w:rsidRPr="00BD295E" w:rsidRDefault="00850333" w:rsidP="00850333">
      <w:pPr>
        <w:jc w:val="center"/>
        <w:rPr>
          <w:rFonts w:ascii="Arial" w:hAnsi="Arial" w:cs="Arial"/>
          <w:b/>
          <w:sz w:val="18"/>
          <w:szCs w:val="18"/>
          <w:lang w:val="en-US"/>
        </w:rPr>
      </w:pPr>
    </w:p>
    <w:p w14:paraId="7CAE128A" w14:textId="77777777" w:rsidR="00850333" w:rsidRPr="00BD295E" w:rsidRDefault="008A5057" w:rsidP="00850333">
      <w:pPr>
        <w:spacing w:after="120"/>
        <w:jc w:val="center"/>
        <w:rPr>
          <w:rFonts w:ascii="Arial" w:hAnsi="Arial" w:cs="Arial"/>
          <w:sz w:val="18"/>
          <w:szCs w:val="18"/>
          <w:lang w:val="en-US"/>
        </w:rPr>
      </w:pPr>
      <w:r w:rsidRPr="00BD295E">
        <w:rPr>
          <w:rFonts w:ascii="Arial" w:hAnsi="Arial" w:cs="Arial"/>
          <w:b/>
          <w:bCs/>
          <w:sz w:val="18"/>
          <w:szCs w:val="18"/>
          <w:lang w:val="en-US"/>
        </w:rPr>
        <w:t>Construction of a 110 kV overhead line section from the VLb-8 overhead line to the 110kV Mys substation</w:t>
      </w:r>
    </w:p>
    <w:tbl>
      <w:tblPr>
        <w:tblW w:w="9180" w:type="dxa"/>
        <w:tblLayout w:type="fixed"/>
        <w:tblLook w:val="04A0" w:firstRow="1" w:lastRow="0" w:firstColumn="1" w:lastColumn="0" w:noHBand="0" w:noVBand="1"/>
      </w:tblPr>
      <w:tblGrid>
        <w:gridCol w:w="4928"/>
        <w:gridCol w:w="4252"/>
      </w:tblGrid>
      <w:tr w:rsidR="008A5057" w:rsidRPr="00BD295E" w14:paraId="732A1D78" w14:textId="77777777" w:rsidTr="00E3510B">
        <w:tc>
          <w:tcPr>
            <w:tcW w:w="4928" w:type="dxa"/>
            <w:shd w:val="clear" w:color="auto" w:fill="auto"/>
          </w:tcPr>
          <w:p w14:paraId="3D0A3C3B" w14:textId="77777777" w:rsidR="00850333" w:rsidRPr="00BD295E" w:rsidRDefault="007F1D7D" w:rsidP="00E3510B">
            <w:pPr>
              <w:tabs>
                <w:tab w:val="left" w:pos="4678"/>
              </w:tabs>
              <w:rPr>
                <w:rFonts w:ascii="Arial" w:hAnsi="Arial" w:cs="Arial"/>
                <w:sz w:val="18"/>
                <w:szCs w:val="18"/>
                <w:lang w:val="en-US"/>
              </w:rPr>
            </w:pPr>
            <w:r w:rsidRPr="00BD295E">
              <w:rPr>
                <w:rFonts w:ascii="Arial" w:hAnsi="Arial" w:cs="Arial"/>
                <w:sz w:val="18"/>
                <w:szCs w:val="18"/>
                <w:u w:val="single"/>
                <w:lang w:val="en-US"/>
              </w:rPr>
              <w:t>Location</w:t>
            </w:r>
            <w:r w:rsidR="008A5057" w:rsidRPr="00BD295E">
              <w:rPr>
                <w:rFonts w:ascii="Arial" w:hAnsi="Arial" w:cs="Arial"/>
                <w:sz w:val="18"/>
                <w:szCs w:val="18"/>
                <w:lang w:val="en-US"/>
              </w:rPr>
              <w:t xml:space="preserve"> Leningrad Region,</w:t>
            </w:r>
          </w:p>
          <w:p w14:paraId="4CB58643"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Vyborgsky District</w:t>
            </w:r>
          </w:p>
          <w:p w14:paraId="6AECA895"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Implementation period: 2017–2018</w:t>
            </w:r>
          </w:p>
          <w:p w14:paraId="140C39B8"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u w:val="single"/>
                <w:lang w:val="en-US"/>
              </w:rPr>
              <w:t>Renovation scope:</w:t>
            </w:r>
          </w:p>
          <w:p w14:paraId="340EF660"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Construction of a 5.5 km 110kV overhead line section from the VLb-8 overhead line to the 110kV Mys substation and re-equipment of the 110kV overhead lines Vb1, Vb2, Vb4, Vb7, and Vb8 km, with a total length of  11.27 km, installation of a new switchgear unit at the PS-26 substation, replacement of a current transformer at Svetogorskaya HPP.</w:t>
            </w:r>
          </w:p>
        </w:tc>
        <w:tc>
          <w:tcPr>
            <w:tcW w:w="4252" w:type="dxa"/>
            <w:shd w:val="clear" w:color="auto" w:fill="auto"/>
          </w:tcPr>
          <w:p w14:paraId="3D0E92FF" w14:textId="11B79972" w:rsidR="00850333" w:rsidRPr="00BD295E" w:rsidRDefault="00997D07" w:rsidP="00E3510B">
            <w:pPr>
              <w:ind w:left="-108" w:right="5"/>
              <w:rPr>
                <w:rFonts w:ascii="Arial" w:hAnsi="Arial" w:cs="Arial"/>
                <w:sz w:val="18"/>
                <w:szCs w:val="18"/>
                <w:lang w:val="en-US"/>
              </w:rPr>
            </w:pPr>
            <w:r w:rsidRPr="00BD295E">
              <w:rPr>
                <w:rFonts w:ascii="Arial" w:hAnsi="Arial" w:cs="Arial"/>
                <w:sz w:val="18"/>
                <w:szCs w:val="18"/>
                <w:lang w:val="en-US" w:eastAsia="en-US"/>
              </w:rPr>
              <w:drawing>
                <wp:inline distT="0" distB="0" distL="0" distR="0" wp14:anchorId="2A4B879F" wp14:editId="609A1229">
                  <wp:extent cx="3028950" cy="1857375"/>
                  <wp:effectExtent l="0" t="0" r="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0" cstate="print">
                            <a:extLst>
                              <a:ext uri="{28A0092B-C50C-407E-A947-70E740481C1C}">
                                <a14:useLocalDpi xmlns:a14="http://schemas.microsoft.com/office/drawing/2010/main" val="0"/>
                              </a:ext>
                            </a:extLst>
                          </a:blip>
                          <a:srcRect b="18179"/>
                          <a:stretch>
                            <a:fillRect/>
                          </a:stretch>
                        </pic:blipFill>
                        <pic:spPr bwMode="auto">
                          <a:xfrm>
                            <a:off x="0" y="0"/>
                            <a:ext cx="3028950" cy="1857375"/>
                          </a:xfrm>
                          <a:prstGeom prst="rect">
                            <a:avLst/>
                          </a:prstGeom>
                          <a:noFill/>
                          <a:ln>
                            <a:noFill/>
                          </a:ln>
                        </pic:spPr>
                      </pic:pic>
                    </a:graphicData>
                  </a:graphic>
                </wp:inline>
              </w:drawing>
            </w:r>
          </w:p>
        </w:tc>
      </w:tr>
    </w:tbl>
    <w:p w14:paraId="31B986D2" w14:textId="77777777" w:rsidR="00850333" w:rsidRPr="00BD295E" w:rsidRDefault="007F1D7D" w:rsidP="00850333">
      <w:pPr>
        <w:rPr>
          <w:rFonts w:ascii="Arial" w:hAnsi="Arial" w:cs="Arial"/>
          <w:kern w:val="24"/>
          <w:sz w:val="18"/>
          <w:szCs w:val="18"/>
          <w:u w:val="single"/>
          <w:lang w:val="en-US"/>
        </w:rPr>
      </w:pPr>
      <w:r w:rsidRPr="00BD295E">
        <w:rPr>
          <w:rFonts w:ascii="Arial" w:hAnsi="Arial" w:cs="Arial"/>
          <w:sz w:val="18"/>
          <w:szCs w:val="18"/>
          <w:u w:val="single"/>
          <w:lang w:val="en-US"/>
        </w:rPr>
        <w:t>Objective:</w:t>
      </w:r>
    </w:p>
    <w:p w14:paraId="3575F471"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xml:space="preserve">Grid connection of the 110 kV Mys substation under a contract with Gazprom-Invest, PJSC based on an application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15, 2016, No. 16601 (contract No. OD-6950-16/601-E-16 </w:t>
      </w:r>
      <w:r w:rsidR="008B183C" w:rsidRPr="00BD295E">
        <w:rPr>
          <w:rFonts w:ascii="Arial" w:hAnsi="Arial" w:cs="Arial"/>
          <w:sz w:val="18"/>
          <w:szCs w:val="18"/>
          <w:lang w:val="en-US"/>
        </w:rPr>
        <w:t>of</w:t>
      </w:r>
      <w:r w:rsidRPr="00BD295E">
        <w:rPr>
          <w:rFonts w:ascii="Arial" w:hAnsi="Arial" w:cs="Arial"/>
          <w:sz w:val="18"/>
          <w:szCs w:val="18"/>
          <w:lang w:val="en-US"/>
        </w:rPr>
        <w:t xml:space="preserve"> July 5, 2016)</w:t>
      </w:r>
    </w:p>
    <w:p w14:paraId="092F57D7" w14:textId="77777777" w:rsidR="00850333" w:rsidRPr="00BD295E" w:rsidRDefault="008A5057" w:rsidP="00850333">
      <w:pPr>
        <w:rPr>
          <w:rFonts w:ascii="Arial" w:hAnsi="Arial" w:cs="Arial"/>
          <w:kern w:val="24"/>
          <w:sz w:val="18"/>
          <w:szCs w:val="18"/>
          <w:u w:val="single"/>
          <w:lang w:val="en-US"/>
        </w:rPr>
      </w:pPr>
      <w:r w:rsidRPr="00BD295E">
        <w:rPr>
          <w:rFonts w:ascii="Arial" w:hAnsi="Arial" w:cs="Arial"/>
          <w:sz w:val="18"/>
          <w:szCs w:val="18"/>
          <w:u w:val="single"/>
          <w:lang w:val="en-US"/>
        </w:rPr>
        <w:t>Progress of the project:</w:t>
      </w:r>
    </w:p>
    <w:p w14:paraId="78497CD6" w14:textId="77777777" w:rsidR="00850333" w:rsidRPr="00BD295E" w:rsidRDefault="008A5057" w:rsidP="00850333">
      <w:pPr>
        <w:spacing w:line="256" w:lineRule="auto"/>
        <w:rPr>
          <w:rFonts w:ascii="Arial" w:hAnsi="Arial" w:cs="Arial"/>
          <w:sz w:val="18"/>
          <w:szCs w:val="18"/>
          <w:lang w:val="en-US"/>
        </w:rPr>
      </w:pPr>
      <w:r w:rsidRPr="00BD295E">
        <w:rPr>
          <w:rFonts w:ascii="Arial" w:hAnsi="Arial" w:cs="Arial"/>
          <w:sz w:val="18"/>
          <w:szCs w:val="18"/>
          <w:lang w:val="en-US"/>
        </w:rPr>
        <w:t>All work was completed in December 2018. The facility was put into operation in December 2018.</w:t>
      </w:r>
    </w:p>
    <w:p w14:paraId="3647249D" w14:textId="77777777" w:rsidR="00850333" w:rsidRPr="00BD295E" w:rsidRDefault="00850333" w:rsidP="00850333">
      <w:pPr>
        <w:spacing w:after="160" w:line="259" w:lineRule="auto"/>
        <w:rPr>
          <w:rFonts w:ascii="Arial" w:hAnsi="Arial" w:cs="Arial"/>
          <w:b/>
          <w:bCs/>
          <w:sz w:val="18"/>
          <w:szCs w:val="18"/>
          <w:lang w:val="en-US"/>
        </w:rPr>
      </w:pPr>
    </w:p>
    <w:p w14:paraId="62547313" w14:textId="77777777" w:rsidR="00850333" w:rsidRPr="00BD295E" w:rsidRDefault="008A5057" w:rsidP="00850333">
      <w:pPr>
        <w:spacing w:line="259" w:lineRule="auto"/>
        <w:jc w:val="center"/>
        <w:rPr>
          <w:rFonts w:ascii="Arial" w:hAnsi="Arial" w:cs="Arial"/>
          <w:b/>
          <w:bCs/>
          <w:sz w:val="18"/>
          <w:szCs w:val="18"/>
          <w:lang w:val="en-US"/>
        </w:rPr>
      </w:pPr>
      <w:r w:rsidRPr="00BD295E">
        <w:rPr>
          <w:rFonts w:ascii="Arial" w:hAnsi="Arial" w:cs="Arial"/>
          <w:b/>
          <w:bCs/>
          <w:sz w:val="18"/>
          <w:szCs w:val="18"/>
          <w:lang w:val="en-US"/>
        </w:rPr>
        <w:t>Expansion of the 110 kV Plodovoye substation (substation 511)</w:t>
      </w:r>
    </w:p>
    <w:p w14:paraId="5CCF8A26" w14:textId="77777777" w:rsidR="00850333" w:rsidRPr="00BD295E" w:rsidRDefault="008A5057" w:rsidP="00850333">
      <w:pPr>
        <w:jc w:val="center"/>
        <w:rPr>
          <w:rFonts w:ascii="Arial" w:hAnsi="Arial" w:cs="Arial"/>
          <w:b/>
          <w:bCs/>
          <w:sz w:val="18"/>
          <w:szCs w:val="18"/>
          <w:lang w:val="en-US"/>
        </w:rPr>
      </w:pPr>
      <w:r w:rsidRPr="00BD295E">
        <w:rPr>
          <w:rFonts w:ascii="Arial" w:hAnsi="Arial" w:cs="Arial"/>
          <w:b/>
          <w:bCs/>
          <w:sz w:val="18"/>
          <w:szCs w:val="18"/>
          <w:lang w:val="en-US"/>
        </w:rPr>
        <w:t>with the construction of the 35 kV Bukhta substation with approaches to the 35 kV power line</w:t>
      </w:r>
    </w:p>
    <w:p w14:paraId="20F3C360" w14:textId="77777777" w:rsidR="00850333" w:rsidRPr="00BD295E" w:rsidRDefault="00850333" w:rsidP="00850333">
      <w:pPr>
        <w:jc w:val="center"/>
        <w:rPr>
          <w:rFonts w:ascii="Arial" w:hAnsi="Arial" w:cs="Arial"/>
          <w:sz w:val="18"/>
          <w:szCs w:val="18"/>
          <w:lang w:val="en-US"/>
        </w:rPr>
      </w:pPr>
    </w:p>
    <w:tbl>
      <w:tblPr>
        <w:tblW w:w="9180" w:type="dxa"/>
        <w:tblLayout w:type="fixed"/>
        <w:tblLook w:val="04A0" w:firstRow="1" w:lastRow="0" w:firstColumn="1" w:lastColumn="0" w:noHBand="0" w:noVBand="1"/>
      </w:tblPr>
      <w:tblGrid>
        <w:gridCol w:w="4928"/>
        <w:gridCol w:w="4252"/>
      </w:tblGrid>
      <w:tr w:rsidR="008A5057" w:rsidRPr="00BD295E" w14:paraId="760BA487" w14:textId="77777777" w:rsidTr="00E3510B">
        <w:tc>
          <w:tcPr>
            <w:tcW w:w="4928" w:type="dxa"/>
            <w:shd w:val="clear" w:color="auto" w:fill="auto"/>
          </w:tcPr>
          <w:p w14:paraId="429AFF1C" w14:textId="77777777" w:rsidR="00850333" w:rsidRPr="00BD295E" w:rsidRDefault="007F1D7D" w:rsidP="00E3510B">
            <w:pPr>
              <w:tabs>
                <w:tab w:val="left" w:pos="4678"/>
              </w:tabs>
              <w:rPr>
                <w:rFonts w:ascii="Arial" w:hAnsi="Arial" w:cs="Arial"/>
                <w:sz w:val="18"/>
                <w:szCs w:val="18"/>
                <w:lang w:val="en-US"/>
              </w:rPr>
            </w:pPr>
            <w:r w:rsidRPr="00BD295E">
              <w:rPr>
                <w:rFonts w:ascii="Arial" w:hAnsi="Arial" w:cs="Arial"/>
                <w:sz w:val="18"/>
                <w:szCs w:val="18"/>
                <w:u w:val="single"/>
                <w:lang w:val="en-US"/>
              </w:rPr>
              <w:t>Location</w:t>
            </w:r>
            <w:r w:rsidR="008A5057" w:rsidRPr="00BD295E">
              <w:rPr>
                <w:rFonts w:ascii="Arial" w:hAnsi="Arial" w:cs="Arial"/>
                <w:sz w:val="18"/>
                <w:szCs w:val="18"/>
                <w:lang w:val="en-US"/>
              </w:rPr>
              <w:t xml:space="preserve"> Leningrad region, Priozersky district, village of Vladimirovka, </w:t>
            </w:r>
          </w:p>
          <w:p w14:paraId="4F39A8B7"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Vladimirovskaya Bay</w:t>
            </w:r>
          </w:p>
          <w:p w14:paraId="720A629F"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lang w:val="en-US"/>
              </w:rPr>
              <w:t>Implementation period: 2017–2018</w:t>
            </w:r>
          </w:p>
          <w:p w14:paraId="13766E6B" w14:textId="77777777" w:rsidR="00850333" w:rsidRPr="00BD295E" w:rsidRDefault="008A5057" w:rsidP="00E3510B">
            <w:pPr>
              <w:tabs>
                <w:tab w:val="left" w:pos="4678"/>
              </w:tabs>
              <w:rPr>
                <w:rFonts w:ascii="Arial" w:hAnsi="Arial" w:cs="Arial"/>
                <w:sz w:val="18"/>
                <w:szCs w:val="18"/>
                <w:lang w:val="en-US"/>
              </w:rPr>
            </w:pPr>
            <w:r w:rsidRPr="00BD295E">
              <w:rPr>
                <w:rFonts w:ascii="Arial" w:hAnsi="Arial" w:cs="Arial"/>
                <w:sz w:val="18"/>
                <w:szCs w:val="18"/>
                <w:u w:val="single"/>
                <w:lang w:val="en-US"/>
              </w:rPr>
              <w:t>Renovation scope:</w:t>
            </w:r>
          </w:p>
          <w:p w14:paraId="4176ADB4"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Expansion of the 110 kV Plodovoye substation (PS 511) with the installation of 2x25 MVA and 2*40 MVA transformers, construction of the 35 kV Bu</w:t>
            </w:r>
            <w:r w:rsidR="00AA4505" w:rsidRPr="00BD295E">
              <w:rPr>
                <w:rFonts w:ascii="Arial" w:hAnsi="Arial" w:cs="Arial"/>
                <w:sz w:val="18"/>
                <w:szCs w:val="18"/>
                <w:lang w:val="en-US"/>
              </w:rPr>
              <w:t>k</w:t>
            </w:r>
            <w:r w:rsidRPr="00BD295E">
              <w:rPr>
                <w:rFonts w:ascii="Arial" w:hAnsi="Arial" w:cs="Arial"/>
                <w:sz w:val="18"/>
                <w:szCs w:val="18"/>
                <w:lang w:val="en-US"/>
              </w:rPr>
              <w:t>hta substation, and installation of 2x25 MVA transformers with approaches to 110 kV, 35 kV, 10 kV overhead lines</w:t>
            </w:r>
          </w:p>
        </w:tc>
        <w:tc>
          <w:tcPr>
            <w:tcW w:w="4252" w:type="dxa"/>
            <w:shd w:val="clear" w:color="auto" w:fill="auto"/>
          </w:tcPr>
          <w:p w14:paraId="00F29A07" w14:textId="0D63644A" w:rsidR="00850333" w:rsidRPr="00BD295E" w:rsidRDefault="00997D07" w:rsidP="00E3510B">
            <w:pPr>
              <w:ind w:left="-108" w:right="5"/>
              <w:rPr>
                <w:rFonts w:ascii="Arial" w:hAnsi="Arial" w:cs="Arial"/>
                <w:sz w:val="18"/>
                <w:szCs w:val="18"/>
                <w:lang w:val="en-US"/>
              </w:rPr>
            </w:pPr>
            <w:r w:rsidRPr="00BD295E">
              <w:rPr>
                <w:rFonts w:ascii="Arial" w:hAnsi="Arial" w:cs="Arial"/>
                <w:sz w:val="18"/>
                <w:szCs w:val="18"/>
                <w:lang w:val="en-US" w:eastAsia="en-US"/>
              </w:rPr>
              <w:drawing>
                <wp:inline distT="0" distB="0" distL="0" distR="0" wp14:anchorId="2E9EB036" wp14:editId="12777F82">
                  <wp:extent cx="2647950" cy="1986280"/>
                  <wp:effectExtent l="0" t="0" r="0" b="0"/>
                  <wp:docPr id="48" name="Picture 2" descr="\\NB-ZVEREV-A\Users\zverev.ap\Desktop\Рабочая\Презентация по итогам 2018 года\Фото Коневец\WhatsApp Image 2019-01-18 at 17.48.4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B-ZVEREV-A\Users\zverev.ap\Desktop\Рабочая\Презентация по итогам 2018 года\Фото Коневец\WhatsApp Image 2019-01-18 at 17.48.48(2).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47950" cy="1986280"/>
                          </a:xfrm>
                          <a:prstGeom prst="rect">
                            <a:avLst/>
                          </a:prstGeom>
                          <a:noFill/>
                          <a:ln>
                            <a:noFill/>
                          </a:ln>
                        </pic:spPr>
                      </pic:pic>
                    </a:graphicData>
                  </a:graphic>
                </wp:inline>
              </w:drawing>
            </w:r>
          </w:p>
        </w:tc>
      </w:tr>
    </w:tbl>
    <w:p w14:paraId="5FE9626D" w14:textId="77777777" w:rsidR="00100634" w:rsidRPr="00BD295E" w:rsidRDefault="00100634" w:rsidP="00850333">
      <w:pPr>
        <w:rPr>
          <w:rFonts w:ascii="Arial" w:hAnsi="Arial" w:cs="Arial"/>
          <w:sz w:val="18"/>
          <w:szCs w:val="18"/>
          <w:u w:val="single"/>
          <w:lang w:val="en-US"/>
        </w:rPr>
      </w:pPr>
    </w:p>
    <w:p w14:paraId="06F874F2" w14:textId="77777777" w:rsidR="00100634" w:rsidRPr="00BD295E" w:rsidRDefault="00100634">
      <w:pPr>
        <w:rPr>
          <w:rFonts w:ascii="Arial" w:hAnsi="Arial" w:cs="Arial"/>
          <w:sz w:val="18"/>
          <w:szCs w:val="18"/>
          <w:u w:val="single"/>
          <w:lang w:val="en-US"/>
        </w:rPr>
      </w:pPr>
      <w:r w:rsidRPr="00BD295E">
        <w:rPr>
          <w:rFonts w:ascii="Arial" w:hAnsi="Arial" w:cs="Arial"/>
          <w:sz w:val="18"/>
          <w:szCs w:val="18"/>
          <w:u w:val="single"/>
          <w:lang w:val="en-US"/>
        </w:rPr>
        <w:br w:type="page"/>
      </w:r>
    </w:p>
    <w:p w14:paraId="37B3D2C5" w14:textId="1771E204" w:rsidR="00850333" w:rsidRPr="00BD295E" w:rsidRDefault="007F1D7D" w:rsidP="00850333">
      <w:pPr>
        <w:rPr>
          <w:rFonts w:ascii="Arial" w:hAnsi="Arial" w:cs="Arial"/>
          <w:sz w:val="18"/>
          <w:szCs w:val="18"/>
          <w:lang w:val="en-US"/>
        </w:rPr>
      </w:pPr>
      <w:r w:rsidRPr="00BD295E">
        <w:rPr>
          <w:rFonts w:ascii="Arial" w:hAnsi="Arial" w:cs="Arial"/>
          <w:sz w:val="18"/>
          <w:szCs w:val="18"/>
          <w:u w:val="single"/>
          <w:lang w:val="en-US"/>
        </w:rPr>
        <w:t>Objective:</w:t>
      </w:r>
    </w:p>
    <w:p w14:paraId="08A99B06" w14:textId="77777777" w:rsidR="00850333" w:rsidRPr="00BD295E" w:rsidRDefault="008A5057" w:rsidP="00850333">
      <w:pPr>
        <w:spacing w:line="256" w:lineRule="auto"/>
        <w:rPr>
          <w:rFonts w:ascii="Arial" w:eastAsia="Calibri" w:hAnsi="Arial" w:cs="Arial"/>
          <w:kern w:val="24"/>
          <w:sz w:val="18"/>
          <w:szCs w:val="18"/>
          <w:u w:val="single"/>
          <w:lang w:val="en-US"/>
        </w:rPr>
      </w:pPr>
      <w:r w:rsidRPr="00BD295E">
        <w:rPr>
          <w:rFonts w:ascii="Arial" w:hAnsi="Arial" w:cs="Arial"/>
          <w:sz w:val="18"/>
          <w:szCs w:val="18"/>
          <w:lang w:val="en-US"/>
        </w:rPr>
        <w:t xml:space="preserve">Performance of contractual obligations for grid connection of the Konevetsky Rozhdestvo-Bogorodichny Monastery (Konevets Island) </w:t>
      </w:r>
    </w:p>
    <w:p w14:paraId="6DACE548" w14:textId="77777777" w:rsidR="00850333" w:rsidRPr="00BD295E" w:rsidRDefault="008A5057" w:rsidP="00850333">
      <w:pPr>
        <w:spacing w:line="256" w:lineRule="auto"/>
        <w:rPr>
          <w:rFonts w:ascii="Arial" w:hAnsi="Arial" w:cs="Arial"/>
          <w:sz w:val="18"/>
          <w:szCs w:val="18"/>
          <w:lang w:val="en-US"/>
        </w:rPr>
      </w:pPr>
      <w:r w:rsidRPr="00BD295E">
        <w:rPr>
          <w:rFonts w:ascii="Arial" w:hAnsi="Arial" w:cs="Arial"/>
          <w:sz w:val="18"/>
          <w:szCs w:val="18"/>
          <w:u w:val="single"/>
          <w:lang w:val="en-US"/>
        </w:rPr>
        <w:t>Progress of the project:</w:t>
      </w:r>
    </w:p>
    <w:p w14:paraId="1CE4EC86" w14:textId="77777777" w:rsidR="00850333" w:rsidRPr="00BD295E" w:rsidRDefault="00F37063" w:rsidP="00850333">
      <w:pPr>
        <w:spacing w:line="256" w:lineRule="auto"/>
        <w:rPr>
          <w:rFonts w:ascii="Arial" w:eastAsia="Calibri" w:hAnsi="Arial" w:cs="Arial"/>
          <w:kern w:val="24"/>
          <w:sz w:val="18"/>
          <w:szCs w:val="18"/>
          <w:lang w:val="en-US"/>
        </w:rPr>
      </w:pPr>
      <w:r w:rsidRPr="00BD295E">
        <w:rPr>
          <w:rFonts w:ascii="Arial" w:hAnsi="Arial" w:cs="Arial"/>
          <w:sz w:val="18"/>
          <w:szCs w:val="18"/>
          <w:lang w:val="en-US"/>
        </w:rPr>
        <w:t>100% of the scope</w:t>
      </w:r>
      <w:r w:rsidR="008A5057" w:rsidRPr="00BD295E">
        <w:rPr>
          <w:rFonts w:ascii="Arial" w:hAnsi="Arial" w:cs="Arial"/>
          <w:sz w:val="18"/>
          <w:szCs w:val="18"/>
          <w:lang w:val="en-US"/>
        </w:rPr>
        <w:t xml:space="preserve"> was completed in December 2018. The facility was put into operation in December 2018.</w:t>
      </w:r>
    </w:p>
    <w:p w14:paraId="1552A3C7" w14:textId="77777777" w:rsidR="00850333" w:rsidRPr="00BD295E" w:rsidRDefault="00850333" w:rsidP="00850333">
      <w:pPr>
        <w:spacing w:after="160" w:line="259" w:lineRule="auto"/>
        <w:rPr>
          <w:rFonts w:ascii="Arial" w:hAnsi="Arial" w:cs="Arial"/>
          <w:b/>
          <w:sz w:val="18"/>
          <w:szCs w:val="18"/>
          <w:lang w:val="en-US"/>
        </w:rPr>
      </w:pPr>
    </w:p>
    <w:p w14:paraId="1E61CDA1" w14:textId="77777777" w:rsidR="00850333" w:rsidRPr="00BD295E" w:rsidRDefault="00F37063" w:rsidP="00850333">
      <w:pPr>
        <w:pStyle w:val="ConsPlusNormal"/>
        <w:ind w:left="-567" w:firstLine="567"/>
        <w:jc w:val="both"/>
        <w:rPr>
          <w:rFonts w:ascii="Arial" w:hAnsi="Arial" w:cs="Arial"/>
          <w:b/>
          <w:sz w:val="18"/>
          <w:szCs w:val="18"/>
          <w:lang w:val="en-US"/>
        </w:rPr>
      </w:pPr>
      <w:bookmarkStart w:id="258" w:name="_Toc473737611"/>
      <w:bookmarkStart w:id="259" w:name="_Toc473898009"/>
      <w:bookmarkStart w:id="260" w:name="_Toc473898434"/>
      <w:bookmarkStart w:id="261" w:name="_Toc473904706"/>
      <w:r w:rsidRPr="00BD295E">
        <w:rPr>
          <w:rFonts w:ascii="Arial" w:hAnsi="Arial" w:cs="Arial"/>
          <w:b/>
          <w:sz w:val="18"/>
          <w:szCs w:val="18"/>
          <w:lang w:val="en-US"/>
        </w:rPr>
        <w:t>T</w:t>
      </w:r>
      <w:r w:rsidR="008A5057" w:rsidRPr="00BD295E">
        <w:rPr>
          <w:rFonts w:ascii="Arial" w:hAnsi="Arial" w:cs="Arial"/>
          <w:b/>
          <w:sz w:val="18"/>
          <w:szCs w:val="18"/>
          <w:lang w:val="en-US"/>
        </w:rPr>
        <w:t>he 2018 investment program</w:t>
      </w:r>
      <w:r w:rsidRPr="00BD295E">
        <w:rPr>
          <w:rFonts w:ascii="Arial" w:hAnsi="Arial" w:cs="Arial"/>
          <w:b/>
          <w:sz w:val="18"/>
          <w:szCs w:val="18"/>
          <w:lang w:val="en-US"/>
        </w:rPr>
        <w:t xml:space="preserve"> outcomes</w:t>
      </w:r>
    </w:p>
    <w:p w14:paraId="291A6624" w14:textId="77777777" w:rsidR="00850333" w:rsidRPr="00BD295E" w:rsidRDefault="00850333" w:rsidP="00850333">
      <w:pPr>
        <w:pStyle w:val="ConsPlusNormal"/>
        <w:ind w:left="-567" w:firstLine="567"/>
        <w:jc w:val="both"/>
        <w:rPr>
          <w:rFonts w:ascii="Arial" w:hAnsi="Arial" w:cs="Arial"/>
          <w:sz w:val="18"/>
          <w:szCs w:val="18"/>
          <w:lang w:val="en-US"/>
        </w:rPr>
      </w:pPr>
    </w:p>
    <w:p w14:paraId="74CD45F2" w14:textId="77777777" w:rsidR="00850333" w:rsidRPr="00BD295E" w:rsidRDefault="008A5057" w:rsidP="00850333">
      <w:pPr>
        <w:tabs>
          <w:tab w:val="left" w:pos="1080"/>
          <w:tab w:val="left" w:pos="1320"/>
        </w:tabs>
        <w:ind w:firstLine="709"/>
        <w:jc w:val="both"/>
        <w:rPr>
          <w:rFonts w:ascii="Arial" w:hAnsi="Arial" w:cs="Arial"/>
          <w:sz w:val="18"/>
          <w:szCs w:val="18"/>
          <w:lang w:val="en-US"/>
        </w:rPr>
      </w:pPr>
      <w:r w:rsidRPr="00BD295E">
        <w:rPr>
          <w:rFonts w:ascii="Arial" w:hAnsi="Arial" w:cs="Arial"/>
          <w:sz w:val="18"/>
          <w:szCs w:val="18"/>
          <w:lang w:val="en-US"/>
        </w:rPr>
        <w:t xml:space="preserve">Information on the results achieved in 2018 through the implementation of the investment program in accordance with Order No. 27 of the Russian Ministry of Energy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21, 2018:</w:t>
      </w:r>
    </w:p>
    <w:p w14:paraId="02015113" w14:textId="77777777" w:rsidR="00850333" w:rsidRPr="00BD295E" w:rsidRDefault="008A5057" w:rsidP="00CA2271">
      <w:pPr>
        <w:numPr>
          <w:ilvl w:val="0"/>
          <w:numId w:val="73"/>
        </w:numPr>
        <w:ind w:left="709" w:hanging="709"/>
        <w:jc w:val="both"/>
        <w:rPr>
          <w:rFonts w:ascii="Arial" w:hAnsi="Arial" w:cs="Arial"/>
          <w:sz w:val="18"/>
          <w:szCs w:val="18"/>
          <w:lang w:val="en-US"/>
        </w:rPr>
      </w:pPr>
      <w:r w:rsidRPr="00BD295E">
        <w:rPr>
          <w:rFonts w:ascii="Arial" w:hAnsi="Arial" w:cs="Arial"/>
          <w:sz w:val="18"/>
          <w:szCs w:val="18"/>
          <w:lang w:val="en-US"/>
        </w:rPr>
        <w:t xml:space="preserve">the transformer substation utilization rate in 2018 was 26.6% (load measured in December 2018. was 4,346.88 MVA, and installed capacity 16,368.6 MVA); for 2017: 25.0% (load measured in December 2017: 3,999.17 MVA, installed capacity 15,978.6 MVA). </w:t>
      </w:r>
    </w:p>
    <w:p w14:paraId="078FF8A2" w14:textId="77777777" w:rsidR="00850333" w:rsidRPr="00BD295E" w:rsidRDefault="008A5057" w:rsidP="00CA2271">
      <w:pPr>
        <w:numPr>
          <w:ilvl w:val="0"/>
          <w:numId w:val="73"/>
        </w:numPr>
        <w:ind w:left="709" w:hanging="709"/>
        <w:jc w:val="both"/>
        <w:rPr>
          <w:rFonts w:ascii="Arial" w:hAnsi="Arial" w:cs="Arial"/>
          <w:sz w:val="18"/>
          <w:szCs w:val="18"/>
          <w:lang w:val="en-US"/>
        </w:rPr>
      </w:pPr>
      <w:r w:rsidRPr="00BD295E">
        <w:rPr>
          <w:rFonts w:ascii="Arial" w:hAnsi="Arial" w:cs="Arial"/>
          <w:sz w:val="18"/>
          <w:szCs w:val="18"/>
          <w:lang w:val="en-US"/>
        </w:rPr>
        <w:t>the estimated change in the share of net supply of electricity, which is made using electricity metering devices included in the data collection and transfer system was 0.35% (net supply of electricity in 2017 was 700 thousand kWh, in 2018 – 30,560 thousand kWh);</w:t>
      </w:r>
    </w:p>
    <w:p w14:paraId="39421135" w14:textId="77777777" w:rsidR="00850333" w:rsidRPr="00BD295E" w:rsidRDefault="008A5057" w:rsidP="00CA2271">
      <w:pPr>
        <w:numPr>
          <w:ilvl w:val="0"/>
          <w:numId w:val="73"/>
        </w:numPr>
        <w:ind w:left="709" w:hanging="709"/>
        <w:jc w:val="both"/>
        <w:rPr>
          <w:rFonts w:ascii="Arial" w:hAnsi="Arial" w:cs="Arial"/>
          <w:sz w:val="18"/>
          <w:szCs w:val="18"/>
          <w:lang w:val="en-US"/>
        </w:rPr>
      </w:pPr>
      <w:r w:rsidRPr="00BD295E">
        <w:rPr>
          <w:rFonts w:ascii="Arial" w:hAnsi="Arial" w:cs="Arial"/>
          <w:sz w:val="18"/>
          <w:szCs w:val="18"/>
          <w:lang w:val="en-US"/>
        </w:rPr>
        <w:t>the estimated change in the average duration of interruptions in electricity supply to consumers (∆PSAIDI) in 2018 was: -0.0132160888;</w:t>
      </w:r>
    </w:p>
    <w:p w14:paraId="369AEB1F" w14:textId="77777777" w:rsidR="00850333" w:rsidRPr="00BD295E" w:rsidRDefault="008A5057" w:rsidP="00CA2271">
      <w:pPr>
        <w:numPr>
          <w:ilvl w:val="0"/>
          <w:numId w:val="73"/>
        </w:numPr>
        <w:ind w:left="709" w:hanging="709"/>
        <w:jc w:val="both"/>
        <w:rPr>
          <w:rFonts w:ascii="Arial" w:hAnsi="Arial" w:cs="Arial"/>
          <w:sz w:val="18"/>
          <w:szCs w:val="18"/>
          <w:lang w:val="en-US"/>
        </w:rPr>
      </w:pPr>
      <w:r w:rsidRPr="00BD295E">
        <w:rPr>
          <w:rFonts w:ascii="Arial" w:hAnsi="Arial" w:cs="Arial"/>
          <w:sz w:val="18"/>
          <w:szCs w:val="18"/>
          <w:lang w:val="en-US"/>
        </w:rPr>
        <w:t>the estimated change in the average frequency of interruptions in electricity supply to consumers (∆PSAIDI) in 2018 was: -0.0024027708;</w:t>
      </w:r>
    </w:p>
    <w:p w14:paraId="703ADCC0" w14:textId="77777777" w:rsidR="00850333" w:rsidRPr="00BD295E" w:rsidRDefault="008A5057" w:rsidP="00CA2271">
      <w:pPr>
        <w:numPr>
          <w:ilvl w:val="0"/>
          <w:numId w:val="73"/>
        </w:numPr>
        <w:ind w:left="709" w:hanging="709"/>
        <w:jc w:val="both"/>
        <w:rPr>
          <w:rFonts w:ascii="Arial" w:hAnsi="Arial" w:cs="Arial"/>
          <w:sz w:val="18"/>
          <w:szCs w:val="18"/>
          <w:lang w:val="en-US"/>
        </w:rPr>
      </w:pPr>
      <w:r w:rsidRPr="00BD295E">
        <w:rPr>
          <w:rFonts w:ascii="Arial" w:hAnsi="Arial" w:cs="Arial"/>
          <w:sz w:val="18"/>
          <w:szCs w:val="18"/>
          <w:lang w:val="en-US"/>
        </w:rPr>
        <w:t>the amount of fulfilled grid connection obligations of the grid organization in 2018 decreased by 7.5% year-on-year to 30,112 contracts (32,574 in 2017);</w:t>
      </w:r>
    </w:p>
    <w:p w14:paraId="1D339F73" w14:textId="77777777" w:rsidR="00850333" w:rsidRPr="00BD295E" w:rsidRDefault="008A5057" w:rsidP="00CA2271">
      <w:pPr>
        <w:numPr>
          <w:ilvl w:val="0"/>
          <w:numId w:val="73"/>
        </w:numPr>
        <w:ind w:left="709" w:hanging="709"/>
        <w:jc w:val="both"/>
        <w:rPr>
          <w:rFonts w:ascii="Arial" w:hAnsi="Arial" w:cs="Arial"/>
          <w:sz w:val="18"/>
          <w:szCs w:val="18"/>
          <w:lang w:val="en-US"/>
        </w:rPr>
      </w:pPr>
      <w:r w:rsidRPr="00BD295E">
        <w:rPr>
          <w:rFonts w:ascii="Arial" w:hAnsi="Arial" w:cs="Arial"/>
          <w:sz w:val="18"/>
          <w:szCs w:val="18"/>
          <w:lang w:val="en-US"/>
        </w:rPr>
        <w:t>in 2018, the maximum capacity of connected electricity consumers (1,606,654 kW) decreased by 35.7% year-on-year to 1,032,528 kW, including:</w:t>
      </w:r>
    </w:p>
    <w:p w14:paraId="6078AF41" w14:textId="1C80C43D" w:rsidR="00850333" w:rsidRPr="00BD295E" w:rsidRDefault="008A5057" w:rsidP="00CA2271">
      <w:pPr>
        <w:numPr>
          <w:ilvl w:val="0"/>
          <w:numId w:val="74"/>
        </w:numPr>
        <w:tabs>
          <w:tab w:val="left" w:pos="1080"/>
          <w:tab w:val="left" w:pos="1320"/>
        </w:tabs>
        <w:jc w:val="both"/>
        <w:rPr>
          <w:rFonts w:ascii="Arial" w:hAnsi="Arial" w:cs="Arial"/>
          <w:sz w:val="18"/>
          <w:szCs w:val="18"/>
          <w:lang w:val="en-US"/>
        </w:rPr>
      </w:pPr>
      <w:r w:rsidRPr="00BD295E">
        <w:rPr>
          <w:rFonts w:ascii="Arial" w:hAnsi="Arial" w:cs="Arial"/>
          <w:sz w:val="18"/>
          <w:szCs w:val="18"/>
          <w:lang w:val="en-US"/>
        </w:rPr>
        <w:t>power</w:t>
      </w:r>
      <w:r w:rsidR="00DE61D5" w:rsidRPr="00BD295E">
        <w:rPr>
          <w:rFonts w:ascii="Arial" w:hAnsi="Arial" w:cs="Arial"/>
          <w:sz w:val="18"/>
          <w:szCs w:val="18"/>
          <w:lang w:val="en-US"/>
        </w:rPr>
        <w:t xml:space="preserve"> generation facilities</w:t>
      </w:r>
      <w:r w:rsidRPr="00BD295E">
        <w:rPr>
          <w:rFonts w:ascii="Arial" w:hAnsi="Arial" w:cs="Arial"/>
          <w:sz w:val="18"/>
          <w:szCs w:val="18"/>
          <w:lang w:val="en-US"/>
        </w:rPr>
        <w:t xml:space="preserve"> - 89,898 kW;</w:t>
      </w:r>
    </w:p>
    <w:p w14:paraId="10E83E76" w14:textId="77777777" w:rsidR="00850333" w:rsidRPr="00BD295E" w:rsidRDefault="008A5057" w:rsidP="00CA2271">
      <w:pPr>
        <w:numPr>
          <w:ilvl w:val="0"/>
          <w:numId w:val="74"/>
        </w:numPr>
        <w:tabs>
          <w:tab w:val="left" w:pos="1080"/>
          <w:tab w:val="left" w:pos="1320"/>
        </w:tabs>
        <w:jc w:val="both"/>
        <w:rPr>
          <w:rFonts w:ascii="Arial" w:hAnsi="Arial" w:cs="Arial"/>
          <w:sz w:val="18"/>
          <w:szCs w:val="18"/>
          <w:lang w:val="en-US"/>
        </w:rPr>
      </w:pPr>
      <w:r w:rsidRPr="00BD295E">
        <w:rPr>
          <w:rFonts w:ascii="Arial" w:hAnsi="Arial" w:cs="Arial"/>
          <w:sz w:val="18"/>
          <w:szCs w:val="18"/>
          <w:lang w:val="en-US"/>
        </w:rPr>
        <w:t>electric grid facilities owned by other grid organizations – 104,405.5 kW.</w:t>
      </w:r>
    </w:p>
    <w:p w14:paraId="38B0F349" w14:textId="77777777" w:rsidR="00850333" w:rsidRPr="00BD295E" w:rsidRDefault="00850333" w:rsidP="00850333">
      <w:pPr>
        <w:pStyle w:val="ConsPlusNormal"/>
        <w:rPr>
          <w:rFonts w:ascii="Arial" w:hAnsi="Arial" w:cs="Arial"/>
          <w:b/>
          <w:sz w:val="18"/>
          <w:szCs w:val="18"/>
          <w:lang w:val="en-US"/>
        </w:rPr>
      </w:pPr>
    </w:p>
    <w:p w14:paraId="7771F6C2" w14:textId="77777777" w:rsidR="00850333" w:rsidRPr="00BD295E" w:rsidRDefault="008A5057" w:rsidP="00850333">
      <w:pPr>
        <w:autoSpaceDE w:val="0"/>
        <w:autoSpaceDN w:val="0"/>
        <w:adjustRightInd w:val="0"/>
        <w:ind w:firstLine="709"/>
        <w:jc w:val="both"/>
        <w:rPr>
          <w:rFonts w:ascii="Arial" w:hAnsi="Arial" w:cs="Arial"/>
          <w:b/>
          <w:sz w:val="18"/>
          <w:szCs w:val="18"/>
          <w:lang w:val="en-US"/>
        </w:rPr>
      </w:pPr>
      <w:bookmarkStart w:id="262" w:name="_Toc473737612"/>
      <w:bookmarkStart w:id="263" w:name="_Toc473898010"/>
      <w:bookmarkStart w:id="264" w:name="_Toc473898435"/>
      <w:bookmarkStart w:id="265" w:name="_Toc473904707"/>
      <w:bookmarkStart w:id="266" w:name="_Toc506469836"/>
      <w:bookmarkEnd w:id="258"/>
      <w:bookmarkEnd w:id="259"/>
      <w:bookmarkEnd w:id="260"/>
      <w:bookmarkEnd w:id="261"/>
      <w:r w:rsidRPr="00BD295E">
        <w:rPr>
          <w:rFonts w:ascii="Arial" w:hAnsi="Arial" w:cs="Arial"/>
          <w:b/>
          <w:sz w:val="18"/>
          <w:szCs w:val="18"/>
          <w:lang w:val="en-US"/>
        </w:rPr>
        <w:t>Long-term investment program</w:t>
      </w:r>
      <w:bookmarkEnd w:id="262"/>
      <w:bookmarkEnd w:id="263"/>
      <w:bookmarkEnd w:id="264"/>
      <w:bookmarkEnd w:id="265"/>
      <w:bookmarkEnd w:id="266"/>
    </w:p>
    <w:p w14:paraId="6A145601" w14:textId="77777777" w:rsidR="00850333" w:rsidRPr="00BD295E" w:rsidRDefault="00850333" w:rsidP="00850333">
      <w:pPr>
        <w:ind w:firstLine="720"/>
        <w:rPr>
          <w:rFonts w:ascii="Arial" w:hAnsi="Arial" w:cs="Arial"/>
          <w:sz w:val="18"/>
          <w:szCs w:val="18"/>
          <w:lang w:val="en-US"/>
        </w:rPr>
      </w:pPr>
    </w:p>
    <w:p w14:paraId="29344300" w14:textId="77777777" w:rsidR="00850333" w:rsidRPr="00BD295E" w:rsidRDefault="008A5057" w:rsidP="00531EB3">
      <w:pPr>
        <w:autoSpaceDE w:val="0"/>
        <w:autoSpaceDN w:val="0"/>
        <w:adjustRightInd w:val="0"/>
        <w:jc w:val="both"/>
        <w:rPr>
          <w:rFonts w:ascii="Arial" w:hAnsi="Arial" w:cs="Arial"/>
          <w:bCs/>
          <w:sz w:val="18"/>
          <w:szCs w:val="18"/>
          <w:lang w:val="en-US"/>
        </w:rPr>
      </w:pPr>
      <w:r w:rsidRPr="00BD295E">
        <w:rPr>
          <w:rFonts w:ascii="Arial" w:hAnsi="Arial" w:cs="Arial"/>
          <w:sz w:val="18"/>
          <w:szCs w:val="18"/>
          <w:lang w:val="en-US"/>
        </w:rPr>
        <w:t xml:space="preserve">The long-term investment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2018–2020 was approved by Order No. 27 of the Russian Ministry of Energy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21, 2018, </w:t>
      </w:r>
      <w:r w:rsidRPr="00BD295E">
        <w:rPr>
          <w:rFonts w:ascii="Arial" w:hAnsi="Arial" w:cs="Arial"/>
          <w:i/>
          <w:iCs/>
          <w:sz w:val="18"/>
          <w:szCs w:val="18"/>
          <w:lang w:val="en-US"/>
        </w:rPr>
        <w:t xml:space="preserve">On approval of amendments to the investment program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approved by Order No. 1042 of the Russian Ministry of Energy </w:t>
      </w:r>
      <w:r w:rsidR="008B183C" w:rsidRPr="00BD295E">
        <w:rPr>
          <w:rFonts w:ascii="Arial" w:hAnsi="Arial" w:cs="Arial"/>
          <w:i/>
          <w:iCs/>
          <w:sz w:val="18"/>
          <w:szCs w:val="18"/>
          <w:lang w:val="en-US"/>
        </w:rPr>
        <w:t>of</w:t>
      </w:r>
      <w:r w:rsidRPr="00BD295E">
        <w:rPr>
          <w:rFonts w:ascii="Arial" w:hAnsi="Arial" w:cs="Arial"/>
          <w:i/>
          <w:iCs/>
          <w:sz w:val="18"/>
          <w:szCs w:val="18"/>
          <w:lang w:val="en-US"/>
        </w:rPr>
        <w:t xml:space="preserve"> December 28, 2015</w:t>
      </w:r>
      <w:r w:rsidRPr="00BD295E">
        <w:rPr>
          <w:rFonts w:ascii="Arial" w:hAnsi="Arial" w:cs="Arial"/>
          <w:sz w:val="18"/>
          <w:szCs w:val="18"/>
          <w:lang w:val="en-US"/>
        </w:rPr>
        <w:t xml:space="preserve">. </w:t>
      </w:r>
    </w:p>
    <w:p w14:paraId="54FB1A49" w14:textId="77777777" w:rsidR="00850333" w:rsidRPr="00BD295E" w:rsidRDefault="008A5057" w:rsidP="00850333">
      <w:pPr>
        <w:autoSpaceDE w:val="0"/>
        <w:autoSpaceDN w:val="0"/>
        <w:adjustRightInd w:val="0"/>
        <w:ind w:firstLine="709"/>
        <w:jc w:val="both"/>
        <w:rPr>
          <w:rFonts w:ascii="Arial" w:hAnsi="Arial" w:cs="Arial"/>
          <w:sz w:val="18"/>
          <w:szCs w:val="18"/>
          <w:lang w:val="en-US"/>
        </w:rPr>
      </w:pPr>
      <w:r w:rsidRPr="00BD295E">
        <w:rPr>
          <w:rFonts w:ascii="Arial" w:hAnsi="Arial" w:cs="Arial"/>
          <w:sz w:val="18"/>
          <w:szCs w:val="18"/>
          <w:lang w:val="en-US"/>
        </w:rPr>
        <w:tab/>
      </w:r>
    </w:p>
    <w:p w14:paraId="402C40B4" w14:textId="77777777" w:rsidR="00850333" w:rsidRPr="00BD295E" w:rsidRDefault="008A5057" w:rsidP="00531EB3">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The key objectives of the Company’s investment program are:</w:t>
      </w:r>
    </w:p>
    <w:p w14:paraId="7CBB1F97" w14:textId="77777777" w:rsidR="00850333" w:rsidRPr="00BD295E" w:rsidRDefault="008A5057" w:rsidP="00CA2271">
      <w:pPr>
        <w:pStyle w:val="af3"/>
        <w:numPr>
          <w:ilvl w:val="0"/>
          <w:numId w:val="72"/>
        </w:numPr>
        <w:autoSpaceDE w:val="0"/>
        <w:autoSpaceDN w:val="0"/>
        <w:adjustRightInd w:val="0"/>
        <w:ind w:firstLine="709"/>
        <w:jc w:val="both"/>
        <w:rPr>
          <w:rFonts w:ascii="Arial" w:hAnsi="Arial" w:cs="Arial"/>
          <w:sz w:val="18"/>
          <w:szCs w:val="18"/>
          <w:lang w:val="en-US"/>
        </w:rPr>
      </w:pPr>
      <w:r w:rsidRPr="00BD295E">
        <w:rPr>
          <w:rFonts w:ascii="Arial" w:hAnsi="Arial" w:cs="Arial"/>
          <w:sz w:val="18"/>
          <w:szCs w:val="18"/>
          <w:lang w:val="en-US"/>
        </w:rPr>
        <w:t>Ensuring the renovation of the Company’s grid assets;</w:t>
      </w:r>
    </w:p>
    <w:p w14:paraId="31B7DAC5" w14:textId="77777777" w:rsidR="00850333" w:rsidRPr="00BD295E" w:rsidRDefault="008A5057" w:rsidP="00CA2271">
      <w:pPr>
        <w:pStyle w:val="af3"/>
        <w:numPr>
          <w:ilvl w:val="0"/>
          <w:numId w:val="72"/>
        </w:numPr>
        <w:autoSpaceDE w:val="0"/>
        <w:autoSpaceDN w:val="0"/>
        <w:adjustRightInd w:val="0"/>
        <w:ind w:firstLine="709"/>
        <w:jc w:val="both"/>
        <w:rPr>
          <w:rFonts w:ascii="Arial" w:hAnsi="Arial" w:cs="Arial"/>
          <w:sz w:val="18"/>
          <w:szCs w:val="18"/>
          <w:lang w:val="en-US"/>
        </w:rPr>
      </w:pPr>
      <w:r w:rsidRPr="00BD295E">
        <w:rPr>
          <w:rFonts w:ascii="Arial" w:hAnsi="Arial" w:cs="Arial"/>
          <w:sz w:val="18"/>
          <w:szCs w:val="18"/>
          <w:lang w:val="en-US"/>
        </w:rPr>
        <w:t>Performing the grid connection obligations, including to consumers of Saint Petersburg and the Leningrad Region;</w:t>
      </w:r>
    </w:p>
    <w:p w14:paraId="7550753B" w14:textId="77777777" w:rsidR="00850333" w:rsidRPr="00BD295E" w:rsidRDefault="008A5057" w:rsidP="00CA2271">
      <w:pPr>
        <w:pStyle w:val="af3"/>
        <w:numPr>
          <w:ilvl w:val="0"/>
          <w:numId w:val="72"/>
        </w:numPr>
        <w:autoSpaceDE w:val="0"/>
        <w:autoSpaceDN w:val="0"/>
        <w:adjustRightInd w:val="0"/>
        <w:ind w:firstLine="709"/>
        <w:jc w:val="both"/>
        <w:rPr>
          <w:rFonts w:ascii="Arial" w:hAnsi="Arial" w:cs="Arial"/>
          <w:sz w:val="18"/>
          <w:szCs w:val="18"/>
          <w:lang w:val="en-US"/>
        </w:rPr>
      </w:pPr>
      <w:r w:rsidRPr="00BD295E">
        <w:rPr>
          <w:rFonts w:ascii="Arial" w:hAnsi="Arial" w:cs="Arial"/>
          <w:sz w:val="18"/>
          <w:szCs w:val="18"/>
          <w:lang w:val="en-US"/>
        </w:rPr>
        <w:t>Implementing innovative projects and energy efficiency programs;</w:t>
      </w:r>
    </w:p>
    <w:p w14:paraId="2AAE4515" w14:textId="77777777" w:rsidR="00850333" w:rsidRPr="00BD295E" w:rsidRDefault="008A5057" w:rsidP="00CA2271">
      <w:pPr>
        <w:pStyle w:val="af3"/>
        <w:numPr>
          <w:ilvl w:val="0"/>
          <w:numId w:val="72"/>
        </w:numPr>
        <w:autoSpaceDE w:val="0"/>
        <w:autoSpaceDN w:val="0"/>
        <w:adjustRightInd w:val="0"/>
        <w:ind w:firstLine="709"/>
        <w:jc w:val="both"/>
        <w:rPr>
          <w:rFonts w:ascii="Arial" w:hAnsi="Arial" w:cs="Arial"/>
          <w:sz w:val="18"/>
          <w:szCs w:val="18"/>
          <w:lang w:val="en-US"/>
        </w:rPr>
      </w:pPr>
      <w:r w:rsidRPr="00BD295E">
        <w:rPr>
          <w:rFonts w:ascii="Arial" w:hAnsi="Arial" w:cs="Arial"/>
          <w:sz w:val="18"/>
          <w:szCs w:val="18"/>
          <w:lang w:val="en-US"/>
        </w:rPr>
        <w:t>Creating the technological infrastructure for the operation of a competitive electricity and capacity market.</w:t>
      </w:r>
    </w:p>
    <w:p w14:paraId="7A9CF8CA" w14:textId="77777777" w:rsidR="00850333" w:rsidRPr="00BD295E" w:rsidRDefault="00850333" w:rsidP="00850333">
      <w:pPr>
        <w:autoSpaceDE w:val="0"/>
        <w:autoSpaceDN w:val="0"/>
        <w:adjustRightInd w:val="0"/>
        <w:ind w:firstLine="709"/>
        <w:jc w:val="both"/>
        <w:rPr>
          <w:rFonts w:ascii="Arial" w:hAnsi="Arial" w:cs="Arial"/>
          <w:sz w:val="18"/>
          <w:szCs w:val="18"/>
          <w:lang w:val="en-US"/>
        </w:rPr>
      </w:pPr>
    </w:p>
    <w:p w14:paraId="73014621" w14:textId="77777777" w:rsidR="00850333" w:rsidRPr="00BD295E" w:rsidRDefault="008A5057" w:rsidP="00850333">
      <w:pPr>
        <w:autoSpaceDE w:val="0"/>
        <w:autoSpaceDN w:val="0"/>
        <w:adjustRightInd w:val="0"/>
        <w:ind w:firstLine="709"/>
        <w:jc w:val="center"/>
        <w:rPr>
          <w:rFonts w:ascii="Arial" w:hAnsi="Arial" w:cs="Arial"/>
          <w:b/>
          <w:sz w:val="18"/>
          <w:szCs w:val="18"/>
          <w:lang w:val="en-US"/>
        </w:rPr>
      </w:pPr>
      <w:r w:rsidRPr="00BD295E">
        <w:rPr>
          <w:rFonts w:ascii="Arial" w:hAnsi="Arial" w:cs="Arial"/>
          <w:b/>
          <w:sz w:val="18"/>
          <w:szCs w:val="18"/>
          <w:lang w:val="en-US"/>
        </w:rPr>
        <w:t>Changes in Key Parameters of the Long-Term Investment Program</w:t>
      </w:r>
    </w:p>
    <w:tbl>
      <w:tblPr>
        <w:tblW w:w="7787" w:type="dxa"/>
        <w:tblLook w:val="04A0" w:firstRow="1" w:lastRow="0" w:firstColumn="1" w:lastColumn="0" w:noHBand="0" w:noVBand="1"/>
      </w:tblPr>
      <w:tblGrid>
        <w:gridCol w:w="4526"/>
        <w:gridCol w:w="1701"/>
        <w:gridCol w:w="1560"/>
      </w:tblGrid>
      <w:tr w:rsidR="008A5057" w:rsidRPr="00BD295E" w14:paraId="7910C7F5" w14:textId="77777777" w:rsidTr="00850333">
        <w:trPr>
          <w:trHeight w:val="315"/>
        </w:trPr>
        <w:tc>
          <w:tcPr>
            <w:tcW w:w="452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EC5DC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10D70DB0"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2019P</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14:paraId="2534E3B8" w14:textId="77777777" w:rsidR="00850333" w:rsidRPr="00BD295E" w:rsidRDefault="008A5057" w:rsidP="00850333">
            <w:pPr>
              <w:jc w:val="center"/>
              <w:rPr>
                <w:rFonts w:ascii="Arial" w:hAnsi="Arial" w:cs="Arial"/>
                <w:sz w:val="18"/>
                <w:szCs w:val="18"/>
                <w:lang w:val="en-US"/>
              </w:rPr>
            </w:pPr>
            <w:r w:rsidRPr="00BD295E">
              <w:rPr>
                <w:rFonts w:ascii="Arial" w:hAnsi="Arial" w:cs="Arial"/>
                <w:sz w:val="18"/>
                <w:szCs w:val="18"/>
                <w:lang w:val="en-US"/>
              </w:rPr>
              <w:t>2020P</w:t>
            </w:r>
          </w:p>
        </w:tc>
      </w:tr>
      <w:tr w:rsidR="008A5057" w:rsidRPr="00BD295E" w14:paraId="63A2530A"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3D3F21A"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Saint Petersburg</w:t>
            </w:r>
          </w:p>
        </w:tc>
        <w:tc>
          <w:tcPr>
            <w:tcW w:w="1701" w:type="dxa"/>
            <w:tcBorders>
              <w:top w:val="nil"/>
              <w:left w:val="nil"/>
              <w:bottom w:val="single" w:sz="8" w:space="0" w:color="auto"/>
              <w:right w:val="single" w:sz="8" w:space="0" w:color="auto"/>
            </w:tcBorders>
            <w:shd w:val="clear" w:color="auto" w:fill="auto"/>
            <w:vAlign w:val="center"/>
            <w:hideMark/>
          </w:tcPr>
          <w:p w14:paraId="44FB78BB"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c>
          <w:tcPr>
            <w:tcW w:w="1560" w:type="dxa"/>
            <w:tcBorders>
              <w:top w:val="nil"/>
              <w:left w:val="nil"/>
              <w:bottom w:val="single" w:sz="8" w:space="0" w:color="auto"/>
              <w:right w:val="single" w:sz="8" w:space="0" w:color="auto"/>
            </w:tcBorders>
            <w:shd w:val="clear" w:color="auto" w:fill="auto"/>
            <w:vAlign w:val="center"/>
            <w:hideMark/>
          </w:tcPr>
          <w:p w14:paraId="7E537AFE"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w:t>
            </w:r>
          </w:p>
        </w:tc>
      </w:tr>
      <w:tr w:rsidR="008A5057" w:rsidRPr="00BD295E" w14:paraId="77A4CC7C" w14:textId="77777777" w:rsidTr="00850333">
        <w:trPr>
          <w:trHeight w:val="52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65588EB5"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Capex, RUB million, net of VAT</w:t>
            </w:r>
          </w:p>
        </w:tc>
        <w:tc>
          <w:tcPr>
            <w:tcW w:w="1701" w:type="dxa"/>
            <w:tcBorders>
              <w:top w:val="nil"/>
              <w:left w:val="nil"/>
              <w:bottom w:val="single" w:sz="8" w:space="0" w:color="auto"/>
              <w:right w:val="single" w:sz="8" w:space="0" w:color="auto"/>
            </w:tcBorders>
            <w:shd w:val="clear" w:color="auto" w:fill="auto"/>
            <w:vAlign w:val="center"/>
            <w:hideMark/>
          </w:tcPr>
          <w:p w14:paraId="11679B0F"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22,551</w:t>
            </w:r>
          </w:p>
        </w:tc>
        <w:tc>
          <w:tcPr>
            <w:tcW w:w="1560" w:type="dxa"/>
            <w:tcBorders>
              <w:top w:val="nil"/>
              <w:left w:val="nil"/>
              <w:bottom w:val="single" w:sz="8" w:space="0" w:color="auto"/>
              <w:right w:val="single" w:sz="8" w:space="0" w:color="auto"/>
            </w:tcBorders>
            <w:shd w:val="clear" w:color="auto" w:fill="auto"/>
            <w:vAlign w:val="center"/>
            <w:hideMark/>
          </w:tcPr>
          <w:p w14:paraId="4EB4581A"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8,722</w:t>
            </w:r>
          </w:p>
        </w:tc>
      </w:tr>
      <w:tr w:rsidR="008A5057" w:rsidRPr="00BD295E" w14:paraId="3B40CF9D"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845B899"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Financing, RUB million, including VAT</w:t>
            </w:r>
          </w:p>
        </w:tc>
        <w:tc>
          <w:tcPr>
            <w:tcW w:w="1701" w:type="dxa"/>
            <w:tcBorders>
              <w:top w:val="nil"/>
              <w:left w:val="nil"/>
              <w:bottom w:val="single" w:sz="8" w:space="0" w:color="auto"/>
              <w:right w:val="single" w:sz="8" w:space="0" w:color="auto"/>
            </w:tcBorders>
            <w:shd w:val="clear" w:color="auto" w:fill="auto"/>
            <w:vAlign w:val="center"/>
            <w:hideMark/>
          </w:tcPr>
          <w:p w14:paraId="75C76952"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22,958</w:t>
            </w:r>
          </w:p>
        </w:tc>
        <w:tc>
          <w:tcPr>
            <w:tcW w:w="1560" w:type="dxa"/>
            <w:tcBorders>
              <w:top w:val="nil"/>
              <w:left w:val="nil"/>
              <w:bottom w:val="single" w:sz="8" w:space="0" w:color="auto"/>
              <w:right w:val="single" w:sz="8" w:space="0" w:color="auto"/>
            </w:tcBorders>
            <w:shd w:val="clear" w:color="auto" w:fill="auto"/>
            <w:vAlign w:val="center"/>
            <w:hideMark/>
          </w:tcPr>
          <w:p w14:paraId="7E206147"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13,223</w:t>
            </w:r>
          </w:p>
        </w:tc>
      </w:tr>
      <w:tr w:rsidR="008A5057" w:rsidRPr="00BD295E" w14:paraId="23BBBA7B"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0698663"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Fixed assets commissioned, RUB million</w:t>
            </w:r>
          </w:p>
        </w:tc>
        <w:tc>
          <w:tcPr>
            <w:tcW w:w="1701" w:type="dxa"/>
            <w:tcBorders>
              <w:top w:val="nil"/>
              <w:left w:val="nil"/>
              <w:bottom w:val="single" w:sz="8" w:space="0" w:color="auto"/>
              <w:right w:val="single" w:sz="8" w:space="0" w:color="auto"/>
            </w:tcBorders>
            <w:shd w:val="clear" w:color="auto" w:fill="auto"/>
            <w:vAlign w:val="center"/>
            <w:hideMark/>
          </w:tcPr>
          <w:p w14:paraId="2B556154"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28,192</w:t>
            </w:r>
          </w:p>
        </w:tc>
        <w:tc>
          <w:tcPr>
            <w:tcW w:w="1560" w:type="dxa"/>
            <w:tcBorders>
              <w:top w:val="nil"/>
              <w:left w:val="nil"/>
              <w:bottom w:val="single" w:sz="8" w:space="0" w:color="auto"/>
              <w:right w:val="single" w:sz="8" w:space="0" w:color="auto"/>
            </w:tcBorders>
            <w:shd w:val="clear" w:color="auto" w:fill="auto"/>
            <w:vAlign w:val="center"/>
            <w:hideMark/>
          </w:tcPr>
          <w:p w14:paraId="0583936F"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11,080</w:t>
            </w:r>
          </w:p>
        </w:tc>
      </w:tr>
      <w:tr w:rsidR="008A5057" w:rsidRPr="00BD295E" w14:paraId="403B985E" w14:textId="77777777" w:rsidTr="00850333">
        <w:trPr>
          <w:trHeight w:val="52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3EDBA27"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Commissioned transformer capacity, MVA</w:t>
            </w:r>
          </w:p>
        </w:tc>
        <w:tc>
          <w:tcPr>
            <w:tcW w:w="1701" w:type="dxa"/>
            <w:tcBorders>
              <w:top w:val="nil"/>
              <w:left w:val="nil"/>
              <w:bottom w:val="single" w:sz="8" w:space="0" w:color="auto"/>
              <w:right w:val="single" w:sz="8" w:space="0" w:color="auto"/>
            </w:tcBorders>
            <w:shd w:val="clear" w:color="auto" w:fill="auto"/>
            <w:vAlign w:val="center"/>
            <w:hideMark/>
          </w:tcPr>
          <w:p w14:paraId="020B5039"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1,771</w:t>
            </w:r>
          </w:p>
        </w:tc>
        <w:tc>
          <w:tcPr>
            <w:tcW w:w="1560" w:type="dxa"/>
            <w:tcBorders>
              <w:top w:val="nil"/>
              <w:left w:val="nil"/>
              <w:bottom w:val="single" w:sz="8" w:space="0" w:color="auto"/>
              <w:right w:val="single" w:sz="8" w:space="0" w:color="auto"/>
            </w:tcBorders>
            <w:shd w:val="clear" w:color="auto" w:fill="auto"/>
            <w:vAlign w:val="center"/>
            <w:hideMark/>
          </w:tcPr>
          <w:p w14:paraId="07115D79"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1,073</w:t>
            </w:r>
          </w:p>
        </w:tc>
      </w:tr>
      <w:tr w:rsidR="008A5057" w:rsidRPr="00BD295E" w14:paraId="5CFB67F2"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9511B77"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Commissioned distribution lines, km</w:t>
            </w:r>
          </w:p>
        </w:tc>
        <w:tc>
          <w:tcPr>
            <w:tcW w:w="1701" w:type="dxa"/>
            <w:tcBorders>
              <w:top w:val="nil"/>
              <w:left w:val="nil"/>
              <w:bottom w:val="single" w:sz="8" w:space="0" w:color="auto"/>
              <w:right w:val="single" w:sz="8" w:space="0" w:color="auto"/>
            </w:tcBorders>
            <w:shd w:val="clear" w:color="auto" w:fill="auto"/>
            <w:vAlign w:val="center"/>
            <w:hideMark/>
          </w:tcPr>
          <w:p w14:paraId="4797802B"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589</w:t>
            </w:r>
          </w:p>
        </w:tc>
        <w:tc>
          <w:tcPr>
            <w:tcW w:w="1560" w:type="dxa"/>
            <w:tcBorders>
              <w:top w:val="nil"/>
              <w:left w:val="nil"/>
              <w:bottom w:val="single" w:sz="8" w:space="0" w:color="auto"/>
              <w:right w:val="single" w:sz="8" w:space="0" w:color="auto"/>
            </w:tcBorders>
            <w:shd w:val="clear" w:color="auto" w:fill="auto"/>
            <w:vAlign w:val="center"/>
            <w:hideMark/>
          </w:tcPr>
          <w:p w14:paraId="1A1CC698"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129</w:t>
            </w:r>
          </w:p>
        </w:tc>
      </w:tr>
      <w:tr w:rsidR="008A5057" w:rsidRPr="00BD295E" w14:paraId="0DABFC55"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33CF87A1" w14:textId="77777777" w:rsidR="00850333" w:rsidRPr="00BD295E" w:rsidRDefault="008A5057" w:rsidP="00850333">
            <w:pPr>
              <w:rPr>
                <w:rFonts w:ascii="Arial" w:hAnsi="Arial" w:cs="Arial"/>
                <w:b/>
                <w:bCs/>
                <w:sz w:val="18"/>
                <w:szCs w:val="18"/>
                <w:lang w:val="en-US"/>
              </w:rPr>
            </w:pPr>
            <w:r w:rsidRPr="00BD295E">
              <w:rPr>
                <w:rFonts w:ascii="Arial" w:hAnsi="Arial" w:cs="Arial"/>
                <w:b/>
                <w:bCs/>
                <w:sz w:val="18"/>
                <w:szCs w:val="18"/>
                <w:lang w:val="en-US"/>
              </w:rPr>
              <w:t>Leningrad Region</w:t>
            </w:r>
          </w:p>
        </w:tc>
        <w:tc>
          <w:tcPr>
            <w:tcW w:w="1701" w:type="dxa"/>
            <w:tcBorders>
              <w:top w:val="nil"/>
              <w:left w:val="nil"/>
              <w:bottom w:val="single" w:sz="8" w:space="0" w:color="auto"/>
              <w:right w:val="single" w:sz="8" w:space="0" w:color="auto"/>
            </w:tcBorders>
            <w:shd w:val="clear" w:color="auto" w:fill="auto"/>
            <w:vAlign w:val="center"/>
            <w:hideMark/>
          </w:tcPr>
          <w:p w14:paraId="3B9307BA"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 </w:t>
            </w:r>
          </w:p>
        </w:tc>
        <w:tc>
          <w:tcPr>
            <w:tcW w:w="1560" w:type="dxa"/>
            <w:tcBorders>
              <w:top w:val="nil"/>
              <w:left w:val="nil"/>
              <w:bottom w:val="single" w:sz="8" w:space="0" w:color="auto"/>
              <w:right w:val="single" w:sz="8" w:space="0" w:color="auto"/>
            </w:tcBorders>
            <w:shd w:val="clear" w:color="auto" w:fill="auto"/>
            <w:vAlign w:val="center"/>
            <w:hideMark/>
          </w:tcPr>
          <w:p w14:paraId="129C350D"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 </w:t>
            </w:r>
          </w:p>
        </w:tc>
      </w:tr>
      <w:tr w:rsidR="008A5057" w:rsidRPr="00BD295E" w14:paraId="08BED28B" w14:textId="77777777" w:rsidTr="00850333">
        <w:trPr>
          <w:trHeight w:val="52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9FBFCBB"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Capex, RUB million, net of VAT</w:t>
            </w:r>
          </w:p>
        </w:tc>
        <w:tc>
          <w:tcPr>
            <w:tcW w:w="1701" w:type="dxa"/>
            <w:tcBorders>
              <w:top w:val="nil"/>
              <w:left w:val="nil"/>
              <w:bottom w:val="single" w:sz="8" w:space="0" w:color="auto"/>
              <w:right w:val="single" w:sz="8" w:space="0" w:color="auto"/>
            </w:tcBorders>
            <w:shd w:val="clear" w:color="auto" w:fill="auto"/>
            <w:vAlign w:val="center"/>
            <w:hideMark/>
          </w:tcPr>
          <w:p w14:paraId="731B6015"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4,248</w:t>
            </w:r>
          </w:p>
        </w:tc>
        <w:tc>
          <w:tcPr>
            <w:tcW w:w="1560" w:type="dxa"/>
            <w:tcBorders>
              <w:top w:val="nil"/>
              <w:left w:val="nil"/>
              <w:bottom w:val="single" w:sz="8" w:space="0" w:color="auto"/>
              <w:right w:val="single" w:sz="8" w:space="0" w:color="auto"/>
            </w:tcBorders>
            <w:shd w:val="clear" w:color="auto" w:fill="auto"/>
            <w:vAlign w:val="center"/>
            <w:hideMark/>
          </w:tcPr>
          <w:p w14:paraId="7C41F0C6"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3,346</w:t>
            </w:r>
          </w:p>
        </w:tc>
      </w:tr>
      <w:tr w:rsidR="008A5057" w:rsidRPr="00BD295E" w14:paraId="06D8556E"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B9FE6A8"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Financing, RUB million, including VAT</w:t>
            </w:r>
          </w:p>
        </w:tc>
        <w:tc>
          <w:tcPr>
            <w:tcW w:w="1701" w:type="dxa"/>
            <w:tcBorders>
              <w:top w:val="nil"/>
              <w:left w:val="nil"/>
              <w:bottom w:val="single" w:sz="8" w:space="0" w:color="auto"/>
              <w:right w:val="single" w:sz="8" w:space="0" w:color="auto"/>
            </w:tcBorders>
            <w:shd w:val="clear" w:color="auto" w:fill="auto"/>
            <w:vAlign w:val="center"/>
            <w:hideMark/>
          </w:tcPr>
          <w:p w14:paraId="60606B6F"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5,338</w:t>
            </w:r>
          </w:p>
        </w:tc>
        <w:tc>
          <w:tcPr>
            <w:tcW w:w="1560" w:type="dxa"/>
            <w:tcBorders>
              <w:top w:val="nil"/>
              <w:left w:val="nil"/>
              <w:bottom w:val="single" w:sz="8" w:space="0" w:color="auto"/>
              <w:right w:val="single" w:sz="8" w:space="0" w:color="auto"/>
            </w:tcBorders>
            <w:shd w:val="clear" w:color="auto" w:fill="auto"/>
            <w:vAlign w:val="center"/>
            <w:hideMark/>
          </w:tcPr>
          <w:p w14:paraId="6E066833"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4,148</w:t>
            </w:r>
          </w:p>
        </w:tc>
      </w:tr>
      <w:tr w:rsidR="008A5057" w:rsidRPr="00BD295E" w14:paraId="3A3EAC9C"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34521BD4"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Fixed assets commissioned, RUB million</w:t>
            </w:r>
          </w:p>
        </w:tc>
        <w:tc>
          <w:tcPr>
            <w:tcW w:w="1701" w:type="dxa"/>
            <w:tcBorders>
              <w:top w:val="nil"/>
              <w:left w:val="nil"/>
              <w:bottom w:val="single" w:sz="8" w:space="0" w:color="auto"/>
              <w:right w:val="single" w:sz="8" w:space="0" w:color="auto"/>
            </w:tcBorders>
            <w:shd w:val="clear" w:color="auto" w:fill="auto"/>
            <w:vAlign w:val="center"/>
            <w:hideMark/>
          </w:tcPr>
          <w:p w14:paraId="4D0256B4"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4,918</w:t>
            </w:r>
          </w:p>
        </w:tc>
        <w:tc>
          <w:tcPr>
            <w:tcW w:w="1560" w:type="dxa"/>
            <w:tcBorders>
              <w:top w:val="nil"/>
              <w:left w:val="nil"/>
              <w:bottom w:val="single" w:sz="8" w:space="0" w:color="auto"/>
              <w:right w:val="single" w:sz="8" w:space="0" w:color="auto"/>
            </w:tcBorders>
            <w:shd w:val="clear" w:color="auto" w:fill="auto"/>
            <w:vAlign w:val="center"/>
            <w:hideMark/>
          </w:tcPr>
          <w:p w14:paraId="6DC50431"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3,883</w:t>
            </w:r>
          </w:p>
        </w:tc>
      </w:tr>
      <w:tr w:rsidR="008A5057" w:rsidRPr="00BD295E" w14:paraId="310CC2E8" w14:textId="77777777" w:rsidTr="00850333">
        <w:trPr>
          <w:trHeight w:val="52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170AA3A"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Commissioned transformer capacity, MVA</w:t>
            </w:r>
          </w:p>
        </w:tc>
        <w:tc>
          <w:tcPr>
            <w:tcW w:w="1701" w:type="dxa"/>
            <w:tcBorders>
              <w:top w:val="nil"/>
              <w:left w:val="nil"/>
              <w:bottom w:val="single" w:sz="8" w:space="0" w:color="auto"/>
              <w:right w:val="single" w:sz="8" w:space="0" w:color="auto"/>
            </w:tcBorders>
            <w:shd w:val="clear" w:color="auto" w:fill="auto"/>
            <w:vAlign w:val="center"/>
            <w:hideMark/>
          </w:tcPr>
          <w:p w14:paraId="2A3F2679"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342</w:t>
            </w:r>
          </w:p>
        </w:tc>
        <w:tc>
          <w:tcPr>
            <w:tcW w:w="1560" w:type="dxa"/>
            <w:tcBorders>
              <w:top w:val="nil"/>
              <w:left w:val="nil"/>
              <w:bottom w:val="single" w:sz="8" w:space="0" w:color="auto"/>
              <w:right w:val="single" w:sz="8" w:space="0" w:color="auto"/>
            </w:tcBorders>
            <w:shd w:val="clear" w:color="auto" w:fill="auto"/>
            <w:vAlign w:val="center"/>
            <w:hideMark/>
          </w:tcPr>
          <w:p w14:paraId="53B3BAA9"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211</w:t>
            </w:r>
          </w:p>
        </w:tc>
      </w:tr>
      <w:tr w:rsidR="008A5057" w:rsidRPr="00BD295E" w14:paraId="36F6CBC4"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19E0C22"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Commissioned distribution lines, km</w:t>
            </w:r>
          </w:p>
        </w:tc>
        <w:tc>
          <w:tcPr>
            <w:tcW w:w="1701" w:type="dxa"/>
            <w:tcBorders>
              <w:top w:val="nil"/>
              <w:left w:val="nil"/>
              <w:bottom w:val="single" w:sz="8" w:space="0" w:color="auto"/>
              <w:right w:val="single" w:sz="8" w:space="0" w:color="auto"/>
            </w:tcBorders>
            <w:shd w:val="clear" w:color="auto" w:fill="auto"/>
            <w:vAlign w:val="center"/>
            <w:hideMark/>
          </w:tcPr>
          <w:p w14:paraId="374443A0"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460</w:t>
            </w:r>
          </w:p>
        </w:tc>
        <w:tc>
          <w:tcPr>
            <w:tcW w:w="1560" w:type="dxa"/>
            <w:tcBorders>
              <w:top w:val="nil"/>
              <w:left w:val="nil"/>
              <w:bottom w:val="single" w:sz="8" w:space="0" w:color="auto"/>
              <w:right w:val="single" w:sz="8" w:space="0" w:color="auto"/>
            </w:tcBorders>
            <w:shd w:val="clear" w:color="auto" w:fill="auto"/>
            <w:vAlign w:val="center"/>
            <w:hideMark/>
          </w:tcPr>
          <w:p w14:paraId="50E331B5"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453</w:t>
            </w:r>
          </w:p>
        </w:tc>
      </w:tr>
      <w:tr w:rsidR="008A5057" w:rsidRPr="00BD295E" w14:paraId="720DA540"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34F3DDF8"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xml:space="preserve"> </w:t>
            </w:r>
            <w:r w:rsidRPr="00BD295E">
              <w:rPr>
                <w:rFonts w:ascii="Arial" w:hAnsi="Arial" w:cs="Arial"/>
                <w:b/>
                <w:bCs/>
                <w:sz w:val="18"/>
                <w:szCs w:val="18"/>
                <w:lang w:val="en-US"/>
              </w:rPr>
              <w:t xml:space="preserve">Total for </w:t>
            </w:r>
            <w:r w:rsidR="00EE5753" w:rsidRPr="00BD295E">
              <w:rPr>
                <w:rFonts w:ascii="Arial" w:hAnsi="Arial" w:cs="Arial"/>
                <w:b/>
                <w:bCs/>
                <w:sz w:val="18"/>
                <w:szCs w:val="18"/>
                <w:lang w:val="en-US"/>
              </w:rPr>
              <w:t>PJSC “Lenenergo”</w:t>
            </w:r>
          </w:p>
        </w:tc>
        <w:tc>
          <w:tcPr>
            <w:tcW w:w="1701" w:type="dxa"/>
            <w:tcBorders>
              <w:top w:val="nil"/>
              <w:left w:val="nil"/>
              <w:bottom w:val="single" w:sz="8" w:space="0" w:color="auto"/>
              <w:right w:val="single" w:sz="8" w:space="0" w:color="auto"/>
            </w:tcBorders>
            <w:shd w:val="clear" w:color="auto" w:fill="auto"/>
            <w:vAlign w:val="center"/>
            <w:hideMark/>
          </w:tcPr>
          <w:p w14:paraId="0A973CAD"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 </w:t>
            </w:r>
          </w:p>
        </w:tc>
        <w:tc>
          <w:tcPr>
            <w:tcW w:w="1560" w:type="dxa"/>
            <w:tcBorders>
              <w:top w:val="nil"/>
              <w:left w:val="nil"/>
              <w:bottom w:val="single" w:sz="8" w:space="0" w:color="auto"/>
              <w:right w:val="single" w:sz="8" w:space="0" w:color="auto"/>
            </w:tcBorders>
            <w:shd w:val="clear" w:color="auto" w:fill="auto"/>
            <w:vAlign w:val="center"/>
            <w:hideMark/>
          </w:tcPr>
          <w:p w14:paraId="66FF7A8F"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 </w:t>
            </w:r>
          </w:p>
        </w:tc>
      </w:tr>
      <w:tr w:rsidR="008A5057" w:rsidRPr="00BD295E" w14:paraId="28F643F6" w14:textId="77777777" w:rsidTr="00850333">
        <w:trPr>
          <w:trHeight w:val="52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0897845"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Capex, RUB million, net of VAT</w:t>
            </w:r>
          </w:p>
        </w:tc>
        <w:tc>
          <w:tcPr>
            <w:tcW w:w="1701" w:type="dxa"/>
            <w:tcBorders>
              <w:top w:val="nil"/>
              <w:left w:val="nil"/>
              <w:bottom w:val="single" w:sz="8" w:space="0" w:color="auto"/>
              <w:right w:val="single" w:sz="8" w:space="0" w:color="auto"/>
            </w:tcBorders>
            <w:shd w:val="clear" w:color="auto" w:fill="auto"/>
            <w:vAlign w:val="center"/>
            <w:hideMark/>
          </w:tcPr>
          <w:p w14:paraId="04D7B7D3"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26,799</w:t>
            </w:r>
          </w:p>
        </w:tc>
        <w:tc>
          <w:tcPr>
            <w:tcW w:w="1560" w:type="dxa"/>
            <w:tcBorders>
              <w:top w:val="nil"/>
              <w:left w:val="nil"/>
              <w:bottom w:val="single" w:sz="8" w:space="0" w:color="auto"/>
              <w:right w:val="single" w:sz="8" w:space="0" w:color="auto"/>
            </w:tcBorders>
            <w:shd w:val="clear" w:color="auto" w:fill="auto"/>
            <w:vAlign w:val="center"/>
            <w:hideMark/>
          </w:tcPr>
          <w:p w14:paraId="62B3DB70"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12,068</w:t>
            </w:r>
          </w:p>
        </w:tc>
      </w:tr>
      <w:tr w:rsidR="008A5057" w:rsidRPr="00BD295E" w14:paraId="1A2F03B0"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A99F9E7"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Financing, RUB million, including VAT</w:t>
            </w:r>
          </w:p>
        </w:tc>
        <w:tc>
          <w:tcPr>
            <w:tcW w:w="1701" w:type="dxa"/>
            <w:tcBorders>
              <w:top w:val="nil"/>
              <w:left w:val="nil"/>
              <w:bottom w:val="single" w:sz="8" w:space="0" w:color="auto"/>
              <w:right w:val="single" w:sz="8" w:space="0" w:color="auto"/>
            </w:tcBorders>
            <w:shd w:val="clear" w:color="auto" w:fill="auto"/>
            <w:vAlign w:val="center"/>
            <w:hideMark/>
          </w:tcPr>
          <w:p w14:paraId="5014DBF9"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28,296</w:t>
            </w:r>
          </w:p>
        </w:tc>
        <w:tc>
          <w:tcPr>
            <w:tcW w:w="1560" w:type="dxa"/>
            <w:tcBorders>
              <w:top w:val="nil"/>
              <w:left w:val="nil"/>
              <w:bottom w:val="single" w:sz="8" w:space="0" w:color="auto"/>
              <w:right w:val="single" w:sz="8" w:space="0" w:color="auto"/>
            </w:tcBorders>
            <w:shd w:val="clear" w:color="auto" w:fill="auto"/>
            <w:vAlign w:val="center"/>
            <w:hideMark/>
          </w:tcPr>
          <w:p w14:paraId="4B47BD1E"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17,371</w:t>
            </w:r>
          </w:p>
        </w:tc>
      </w:tr>
      <w:tr w:rsidR="008A5057" w:rsidRPr="00BD295E" w14:paraId="64DDA497"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8AD3DF9"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Fixed assets commissioned, RUB million</w:t>
            </w:r>
          </w:p>
        </w:tc>
        <w:tc>
          <w:tcPr>
            <w:tcW w:w="1701" w:type="dxa"/>
            <w:tcBorders>
              <w:top w:val="nil"/>
              <w:left w:val="nil"/>
              <w:bottom w:val="single" w:sz="8" w:space="0" w:color="auto"/>
              <w:right w:val="single" w:sz="8" w:space="0" w:color="auto"/>
            </w:tcBorders>
            <w:shd w:val="clear" w:color="auto" w:fill="auto"/>
            <w:vAlign w:val="center"/>
            <w:hideMark/>
          </w:tcPr>
          <w:p w14:paraId="492F346D"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33,110</w:t>
            </w:r>
          </w:p>
        </w:tc>
        <w:tc>
          <w:tcPr>
            <w:tcW w:w="1560" w:type="dxa"/>
            <w:tcBorders>
              <w:top w:val="nil"/>
              <w:left w:val="nil"/>
              <w:bottom w:val="single" w:sz="8" w:space="0" w:color="auto"/>
              <w:right w:val="single" w:sz="8" w:space="0" w:color="auto"/>
            </w:tcBorders>
            <w:shd w:val="clear" w:color="auto" w:fill="auto"/>
            <w:vAlign w:val="center"/>
            <w:hideMark/>
          </w:tcPr>
          <w:p w14:paraId="32FB1191"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14,963</w:t>
            </w:r>
          </w:p>
        </w:tc>
      </w:tr>
      <w:tr w:rsidR="008A5057" w:rsidRPr="00BD295E" w14:paraId="0636AB2F" w14:textId="77777777" w:rsidTr="00850333">
        <w:trPr>
          <w:trHeight w:val="52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600288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Commissioned transformer capacity, MVA</w:t>
            </w:r>
          </w:p>
        </w:tc>
        <w:tc>
          <w:tcPr>
            <w:tcW w:w="1701" w:type="dxa"/>
            <w:tcBorders>
              <w:top w:val="nil"/>
              <w:left w:val="nil"/>
              <w:bottom w:val="single" w:sz="8" w:space="0" w:color="auto"/>
              <w:right w:val="single" w:sz="8" w:space="0" w:color="auto"/>
            </w:tcBorders>
            <w:shd w:val="clear" w:color="auto" w:fill="auto"/>
            <w:vAlign w:val="center"/>
            <w:hideMark/>
          </w:tcPr>
          <w:p w14:paraId="6F2047B7"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2,112</w:t>
            </w:r>
          </w:p>
        </w:tc>
        <w:tc>
          <w:tcPr>
            <w:tcW w:w="1560" w:type="dxa"/>
            <w:tcBorders>
              <w:top w:val="nil"/>
              <w:left w:val="nil"/>
              <w:bottom w:val="single" w:sz="8" w:space="0" w:color="auto"/>
              <w:right w:val="single" w:sz="8" w:space="0" w:color="auto"/>
            </w:tcBorders>
            <w:shd w:val="clear" w:color="auto" w:fill="auto"/>
            <w:vAlign w:val="center"/>
            <w:hideMark/>
          </w:tcPr>
          <w:p w14:paraId="446C34E9"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1,284</w:t>
            </w:r>
          </w:p>
        </w:tc>
      </w:tr>
      <w:tr w:rsidR="008A5057" w:rsidRPr="00BD295E" w14:paraId="0CDEE917"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A51EA0F"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Commissioned distribution lines, km</w:t>
            </w:r>
          </w:p>
        </w:tc>
        <w:tc>
          <w:tcPr>
            <w:tcW w:w="1701" w:type="dxa"/>
            <w:tcBorders>
              <w:top w:val="nil"/>
              <w:left w:val="nil"/>
              <w:bottom w:val="single" w:sz="8" w:space="0" w:color="auto"/>
              <w:right w:val="single" w:sz="8" w:space="0" w:color="auto"/>
            </w:tcBorders>
            <w:shd w:val="clear" w:color="auto" w:fill="auto"/>
            <w:vAlign w:val="center"/>
            <w:hideMark/>
          </w:tcPr>
          <w:p w14:paraId="338D464C"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1,048</w:t>
            </w:r>
          </w:p>
        </w:tc>
        <w:tc>
          <w:tcPr>
            <w:tcW w:w="1560" w:type="dxa"/>
            <w:tcBorders>
              <w:top w:val="nil"/>
              <w:left w:val="nil"/>
              <w:bottom w:val="single" w:sz="8" w:space="0" w:color="auto"/>
              <w:right w:val="single" w:sz="8" w:space="0" w:color="auto"/>
            </w:tcBorders>
            <w:shd w:val="clear" w:color="auto" w:fill="auto"/>
            <w:vAlign w:val="center"/>
            <w:hideMark/>
          </w:tcPr>
          <w:p w14:paraId="4DCEAD65"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582</w:t>
            </w:r>
          </w:p>
        </w:tc>
      </w:tr>
      <w:tr w:rsidR="008A5057" w:rsidRPr="00BD295E" w14:paraId="4125EE0A"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EA0D253"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 xml:space="preserve"> </w:t>
            </w:r>
            <w:r w:rsidRPr="00BD295E">
              <w:rPr>
                <w:rFonts w:ascii="Arial" w:hAnsi="Arial" w:cs="Arial"/>
                <w:b/>
                <w:bCs/>
                <w:sz w:val="18"/>
                <w:szCs w:val="18"/>
                <w:lang w:val="en-US"/>
              </w:rPr>
              <w:t>Total for Lenenergo Group</w:t>
            </w:r>
          </w:p>
        </w:tc>
        <w:tc>
          <w:tcPr>
            <w:tcW w:w="1701" w:type="dxa"/>
            <w:tcBorders>
              <w:top w:val="nil"/>
              <w:left w:val="nil"/>
              <w:bottom w:val="single" w:sz="8" w:space="0" w:color="auto"/>
              <w:right w:val="single" w:sz="8" w:space="0" w:color="auto"/>
            </w:tcBorders>
            <w:shd w:val="clear" w:color="auto" w:fill="auto"/>
            <w:vAlign w:val="center"/>
            <w:hideMark/>
          </w:tcPr>
          <w:p w14:paraId="5AB1921E"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w:t>
            </w:r>
          </w:p>
        </w:tc>
        <w:tc>
          <w:tcPr>
            <w:tcW w:w="1560" w:type="dxa"/>
            <w:tcBorders>
              <w:top w:val="nil"/>
              <w:left w:val="nil"/>
              <w:bottom w:val="single" w:sz="8" w:space="0" w:color="auto"/>
              <w:right w:val="single" w:sz="8" w:space="0" w:color="auto"/>
            </w:tcBorders>
            <w:shd w:val="clear" w:color="auto" w:fill="auto"/>
            <w:vAlign w:val="center"/>
            <w:hideMark/>
          </w:tcPr>
          <w:p w14:paraId="693F6C2D"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w:t>
            </w:r>
          </w:p>
        </w:tc>
      </w:tr>
      <w:tr w:rsidR="008A5057" w:rsidRPr="00BD295E" w14:paraId="15581831" w14:textId="77777777" w:rsidTr="00850333">
        <w:trPr>
          <w:trHeight w:val="52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6729BA7D"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Capex, RUB million, net of VAT</w:t>
            </w:r>
          </w:p>
        </w:tc>
        <w:tc>
          <w:tcPr>
            <w:tcW w:w="1701" w:type="dxa"/>
            <w:tcBorders>
              <w:top w:val="nil"/>
              <w:left w:val="nil"/>
              <w:bottom w:val="single" w:sz="8" w:space="0" w:color="auto"/>
              <w:right w:val="single" w:sz="8" w:space="0" w:color="auto"/>
            </w:tcBorders>
            <w:shd w:val="clear" w:color="auto" w:fill="auto"/>
            <w:vAlign w:val="center"/>
            <w:hideMark/>
          </w:tcPr>
          <w:p w14:paraId="46E44AD7"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27,502</w:t>
            </w:r>
          </w:p>
        </w:tc>
        <w:tc>
          <w:tcPr>
            <w:tcW w:w="1560" w:type="dxa"/>
            <w:tcBorders>
              <w:top w:val="nil"/>
              <w:left w:val="nil"/>
              <w:bottom w:val="single" w:sz="8" w:space="0" w:color="auto"/>
              <w:right w:val="single" w:sz="8" w:space="0" w:color="auto"/>
            </w:tcBorders>
            <w:shd w:val="clear" w:color="auto" w:fill="auto"/>
            <w:vAlign w:val="center"/>
            <w:hideMark/>
          </w:tcPr>
          <w:p w14:paraId="3F17F67E"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12,068</w:t>
            </w:r>
          </w:p>
        </w:tc>
      </w:tr>
      <w:tr w:rsidR="008A5057" w:rsidRPr="00BD295E" w14:paraId="3BC5269B"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6FA4D029"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Financing, RUB million, including VAT</w:t>
            </w:r>
          </w:p>
        </w:tc>
        <w:tc>
          <w:tcPr>
            <w:tcW w:w="1701" w:type="dxa"/>
            <w:tcBorders>
              <w:top w:val="nil"/>
              <w:left w:val="nil"/>
              <w:bottom w:val="single" w:sz="8" w:space="0" w:color="auto"/>
              <w:right w:val="single" w:sz="8" w:space="0" w:color="auto"/>
            </w:tcBorders>
            <w:shd w:val="clear" w:color="auto" w:fill="auto"/>
            <w:vAlign w:val="center"/>
            <w:hideMark/>
          </w:tcPr>
          <w:p w14:paraId="20D2B639"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29,218</w:t>
            </w:r>
          </w:p>
        </w:tc>
        <w:tc>
          <w:tcPr>
            <w:tcW w:w="1560" w:type="dxa"/>
            <w:tcBorders>
              <w:top w:val="nil"/>
              <w:left w:val="nil"/>
              <w:bottom w:val="single" w:sz="8" w:space="0" w:color="auto"/>
              <w:right w:val="single" w:sz="8" w:space="0" w:color="auto"/>
            </w:tcBorders>
            <w:shd w:val="clear" w:color="auto" w:fill="auto"/>
            <w:vAlign w:val="center"/>
            <w:hideMark/>
          </w:tcPr>
          <w:p w14:paraId="4EA56FF7"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17,371</w:t>
            </w:r>
          </w:p>
        </w:tc>
      </w:tr>
      <w:tr w:rsidR="008A5057" w:rsidRPr="00BD295E" w14:paraId="5C8BCFD1"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566D3EA"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Fixed assets commissioned, RUB million</w:t>
            </w:r>
          </w:p>
        </w:tc>
        <w:tc>
          <w:tcPr>
            <w:tcW w:w="1701" w:type="dxa"/>
            <w:tcBorders>
              <w:top w:val="nil"/>
              <w:left w:val="nil"/>
              <w:bottom w:val="single" w:sz="8" w:space="0" w:color="auto"/>
              <w:right w:val="single" w:sz="8" w:space="0" w:color="auto"/>
            </w:tcBorders>
            <w:shd w:val="clear" w:color="auto" w:fill="auto"/>
            <w:vAlign w:val="center"/>
            <w:hideMark/>
          </w:tcPr>
          <w:p w14:paraId="24DC760D"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34,483</w:t>
            </w:r>
          </w:p>
        </w:tc>
        <w:tc>
          <w:tcPr>
            <w:tcW w:w="1560" w:type="dxa"/>
            <w:tcBorders>
              <w:top w:val="nil"/>
              <w:left w:val="nil"/>
              <w:bottom w:val="single" w:sz="8" w:space="0" w:color="auto"/>
              <w:right w:val="single" w:sz="8" w:space="0" w:color="auto"/>
            </w:tcBorders>
            <w:shd w:val="clear" w:color="auto" w:fill="auto"/>
            <w:vAlign w:val="center"/>
            <w:hideMark/>
          </w:tcPr>
          <w:p w14:paraId="38A9937C"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14,963</w:t>
            </w:r>
          </w:p>
        </w:tc>
      </w:tr>
      <w:tr w:rsidR="008A5057" w:rsidRPr="00BD295E" w14:paraId="4E881D22" w14:textId="77777777" w:rsidTr="00850333">
        <w:trPr>
          <w:trHeight w:val="52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AB0619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Commissioned transformer capacity, MVA</w:t>
            </w:r>
          </w:p>
        </w:tc>
        <w:tc>
          <w:tcPr>
            <w:tcW w:w="1701" w:type="dxa"/>
            <w:tcBorders>
              <w:top w:val="nil"/>
              <w:left w:val="nil"/>
              <w:bottom w:val="single" w:sz="8" w:space="0" w:color="auto"/>
              <w:right w:val="single" w:sz="8" w:space="0" w:color="auto"/>
            </w:tcBorders>
            <w:shd w:val="clear" w:color="auto" w:fill="auto"/>
            <w:vAlign w:val="center"/>
            <w:hideMark/>
          </w:tcPr>
          <w:p w14:paraId="5B9D91F6"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2,141</w:t>
            </w:r>
          </w:p>
        </w:tc>
        <w:tc>
          <w:tcPr>
            <w:tcW w:w="1560" w:type="dxa"/>
            <w:tcBorders>
              <w:top w:val="nil"/>
              <w:left w:val="nil"/>
              <w:bottom w:val="single" w:sz="8" w:space="0" w:color="auto"/>
              <w:right w:val="single" w:sz="8" w:space="0" w:color="auto"/>
            </w:tcBorders>
            <w:shd w:val="clear" w:color="auto" w:fill="auto"/>
            <w:vAlign w:val="center"/>
            <w:hideMark/>
          </w:tcPr>
          <w:p w14:paraId="46F5609C"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1,284</w:t>
            </w:r>
          </w:p>
        </w:tc>
      </w:tr>
      <w:tr w:rsidR="008A5057" w:rsidRPr="00BD295E" w14:paraId="41FA1A90" w14:textId="77777777" w:rsidTr="00850333">
        <w:trPr>
          <w:trHeight w:val="315"/>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6D280BC" w14:textId="77777777" w:rsidR="00850333" w:rsidRPr="00BD295E" w:rsidRDefault="008A5057" w:rsidP="00850333">
            <w:pPr>
              <w:rPr>
                <w:rFonts w:ascii="Arial" w:hAnsi="Arial" w:cs="Arial"/>
                <w:sz w:val="18"/>
                <w:szCs w:val="18"/>
                <w:lang w:val="en-US"/>
              </w:rPr>
            </w:pPr>
            <w:r w:rsidRPr="00BD295E">
              <w:rPr>
                <w:rFonts w:ascii="Arial" w:hAnsi="Arial" w:cs="Arial"/>
                <w:sz w:val="18"/>
                <w:szCs w:val="18"/>
                <w:lang w:val="en-US"/>
              </w:rPr>
              <w:t>Commissioned distribution lines, km</w:t>
            </w:r>
          </w:p>
        </w:tc>
        <w:tc>
          <w:tcPr>
            <w:tcW w:w="1701" w:type="dxa"/>
            <w:tcBorders>
              <w:top w:val="nil"/>
              <w:left w:val="nil"/>
              <w:bottom w:val="single" w:sz="8" w:space="0" w:color="auto"/>
              <w:right w:val="single" w:sz="8" w:space="0" w:color="auto"/>
            </w:tcBorders>
            <w:shd w:val="clear" w:color="auto" w:fill="auto"/>
            <w:vAlign w:val="center"/>
            <w:hideMark/>
          </w:tcPr>
          <w:p w14:paraId="64A18EE7"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1,160</w:t>
            </w:r>
          </w:p>
        </w:tc>
        <w:tc>
          <w:tcPr>
            <w:tcW w:w="1560" w:type="dxa"/>
            <w:tcBorders>
              <w:top w:val="nil"/>
              <w:left w:val="nil"/>
              <w:bottom w:val="single" w:sz="8" w:space="0" w:color="auto"/>
              <w:right w:val="single" w:sz="8" w:space="0" w:color="auto"/>
            </w:tcBorders>
            <w:shd w:val="clear" w:color="auto" w:fill="auto"/>
            <w:vAlign w:val="center"/>
            <w:hideMark/>
          </w:tcPr>
          <w:p w14:paraId="24F40F42" w14:textId="77777777" w:rsidR="00850333" w:rsidRPr="00BD295E" w:rsidRDefault="008A5057" w:rsidP="00850333">
            <w:pPr>
              <w:jc w:val="right"/>
              <w:rPr>
                <w:rFonts w:ascii="Arial" w:hAnsi="Arial" w:cs="Arial"/>
                <w:sz w:val="18"/>
                <w:szCs w:val="18"/>
                <w:lang w:val="en-US"/>
              </w:rPr>
            </w:pPr>
            <w:r w:rsidRPr="00BD295E">
              <w:rPr>
                <w:rFonts w:ascii="Arial" w:hAnsi="Arial" w:cs="Arial"/>
                <w:sz w:val="18"/>
                <w:szCs w:val="18"/>
                <w:lang w:val="en-US"/>
              </w:rPr>
              <w:t>582</w:t>
            </w:r>
          </w:p>
        </w:tc>
      </w:tr>
    </w:tbl>
    <w:p w14:paraId="32D9DA02" w14:textId="77777777" w:rsidR="00850333" w:rsidRPr="00BD295E" w:rsidRDefault="00850333" w:rsidP="00850333">
      <w:pPr>
        <w:tabs>
          <w:tab w:val="left" w:pos="5386"/>
        </w:tabs>
        <w:rPr>
          <w:rFonts w:ascii="Arial" w:hAnsi="Arial" w:cs="Arial"/>
          <w:sz w:val="18"/>
          <w:szCs w:val="18"/>
          <w:lang w:val="en-US"/>
        </w:rPr>
      </w:pPr>
    </w:p>
    <w:p w14:paraId="6A8D5471" w14:textId="60F2D397" w:rsidR="00850333" w:rsidRPr="00BD295E" w:rsidRDefault="008A5057" w:rsidP="00850333">
      <w:pPr>
        <w:tabs>
          <w:tab w:val="left" w:pos="5386"/>
        </w:tabs>
        <w:rPr>
          <w:rFonts w:ascii="Arial" w:hAnsi="Arial" w:cs="Arial"/>
          <w:sz w:val="18"/>
          <w:szCs w:val="18"/>
          <w:lang w:val="en-US"/>
        </w:rPr>
      </w:pPr>
      <w:r w:rsidRPr="00BD295E">
        <w:rPr>
          <w:rFonts w:ascii="Arial" w:hAnsi="Arial" w:cs="Arial"/>
          <w:sz w:val="18"/>
          <w:szCs w:val="18"/>
          <w:lang w:val="en-US"/>
        </w:rPr>
        <w:t xml:space="preserve"> </w:t>
      </w:r>
      <w:bookmarkStart w:id="267" w:name="_Hlk95936270"/>
      <w:r w:rsidR="00997D07" w:rsidRPr="00BD295E">
        <w:rPr>
          <w:rFonts w:ascii="Arial" w:hAnsi="Arial" w:cs="Arial"/>
          <w:sz w:val="18"/>
          <w:szCs w:val="18"/>
          <w:lang w:val="en-US" w:eastAsia="en-US"/>
        </w:rPr>
        <w:drawing>
          <wp:inline distT="0" distB="0" distL="0" distR="0" wp14:anchorId="18DACC1B" wp14:editId="7D7A4115">
            <wp:extent cx="5939155" cy="3086100"/>
            <wp:effectExtent l="0" t="0" r="0" b="0"/>
            <wp:docPr id="49"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bookmarkEnd w:id="267"/>
    </w:p>
    <w:p w14:paraId="4AED6B76" w14:textId="7BCD43A9" w:rsidR="00B20A51" w:rsidRPr="00BD295E" w:rsidRDefault="00997D07" w:rsidP="00850333">
      <w:pPr>
        <w:tabs>
          <w:tab w:val="left" w:pos="5386"/>
        </w:tabs>
        <w:rPr>
          <w:rFonts w:ascii="Arial" w:hAnsi="Arial" w:cs="Arial"/>
          <w:sz w:val="18"/>
          <w:szCs w:val="18"/>
          <w:lang w:val="en-US"/>
        </w:rPr>
      </w:pPr>
      <w:bookmarkStart w:id="268" w:name="_Hlk95936281"/>
      <w:r w:rsidRPr="00BD295E">
        <w:rPr>
          <w:rFonts w:ascii="Arial" w:hAnsi="Arial" w:cs="Arial"/>
          <w:sz w:val="18"/>
          <w:szCs w:val="18"/>
          <w:lang w:val="en-US" w:eastAsia="en-US"/>
        </w:rPr>
        <w:drawing>
          <wp:inline distT="0" distB="0" distL="0" distR="0" wp14:anchorId="1CD4DC09" wp14:editId="1301961D">
            <wp:extent cx="5943600" cy="2395855"/>
            <wp:effectExtent l="0" t="0" r="0" b="0"/>
            <wp:docPr id="50"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bookmarkEnd w:id="268"/>
    </w:p>
    <w:p w14:paraId="645F8A07" w14:textId="77777777" w:rsidR="008E55D0" w:rsidRPr="00BD295E" w:rsidRDefault="008E55D0" w:rsidP="008E55D0">
      <w:pPr>
        <w:rPr>
          <w:vanish/>
          <w:color w:val="FF0000"/>
          <w:sz w:val="28"/>
          <w:szCs w:val="20"/>
          <w:lang w:val="en-US"/>
        </w:rPr>
      </w:pPr>
    </w:p>
    <w:p w14:paraId="294A18BD" w14:textId="77777777" w:rsidR="00850333" w:rsidRPr="00BD295E" w:rsidRDefault="00850333" w:rsidP="00850333">
      <w:pPr>
        <w:tabs>
          <w:tab w:val="left" w:pos="5386"/>
        </w:tabs>
        <w:rPr>
          <w:rFonts w:ascii="Arial" w:hAnsi="Arial" w:cs="Arial"/>
          <w:sz w:val="18"/>
          <w:szCs w:val="18"/>
          <w:lang w:val="en-US"/>
        </w:rPr>
      </w:pPr>
    </w:p>
    <w:p w14:paraId="1C3FB726" w14:textId="2D6DFF2A" w:rsidR="00850333" w:rsidRPr="00BD295E" w:rsidRDefault="00997D07" w:rsidP="00850333">
      <w:pPr>
        <w:tabs>
          <w:tab w:val="left" w:pos="5386"/>
        </w:tabs>
        <w:rPr>
          <w:rFonts w:ascii="Arial" w:hAnsi="Arial" w:cs="Arial"/>
          <w:sz w:val="18"/>
          <w:szCs w:val="18"/>
          <w:lang w:val="en-US"/>
        </w:rPr>
      </w:pPr>
      <w:bookmarkStart w:id="269" w:name="_Hlk95936290"/>
      <w:r w:rsidRPr="00BD295E">
        <w:rPr>
          <w:rFonts w:ascii="Arial" w:hAnsi="Arial" w:cs="Arial"/>
          <w:sz w:val="18"/>
          <w:szCs w:val="18"/>
          <w:lang w:val="en-US" w:eastAsia="en-US"/>
        </w:rPr>
        <w:drawing>
          <wp:inline distT="0" distB="0" distL="0" distR="0" wp14:anchorId="2D0A0FE6" wp14:editId="3EFD7252">
            <wp:extent cx="5939155" cy="2500630"/>
            <wp:effectExtent l="0" t="0" r="0" b="0"/>
            <wp:docPr id="51" name="Диаграмма 10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bookmarkEnd w:id="269"/>
    </w:p>
    <w:p w14:paraId="4DF04BB4" w14:textId="77777777" w:rsidR="00850333" w:rsidRPr="00BD295E" w:rsidRDefault="00850333" w:rsidP="00850333">
      <w:pPr>
        <w:tabs>
          <w:tab w:val="left" w:pos="5386"/>
        </w:tabs>
        <w:ind w:firstLine="709"/>
        <w:jc w:val="both"/>
        <w:rPr>
          <w:rFonts w:ascii="Arial" w:hAnsi="Arial" w:cs="Arial"/>
          <w:sz w:val="18"/>
          <w:szCs w:val="18"/>
          <w:lang w:val="en-US"/>
        </w:rPr>
      </w:pPr>
    </w:p>
    <w:p w14:paraId="1695148F" w14:textId="77777777" w:rsidR="00850333" w:rsidRPr="00BD295E" w:rsidRDefault="008A5057" w:rsidP="00531EB3">
      <w:pPr>
        <w:tabs>
          <w:tab w:val="left" w:pos="5386"/>
        </w:tabs>
        <w:jc w:val="both"/>
        <w:rPr>
          <w:rFonts w:ascii="Arial" w:hAnsi="Arial" w:cs="Arial"/>
          <w:sz w:val="18"/>
          <w:szCs w:val="18"/>
          <w:lang w:val="en-US"/>
        </w:rPr>
      </w:pPr>
      <w:r w:rsidRPr="00BD295E">
        <w:rPr>
          <w:rFonts w:ascii="Arial" w:hAnsi="Arial" w:cs="Arial"/>
          <w:sz w:val="18"/>
          <w:szCs w:val="18"/>
          <w:lang w:val="en-US"/>
        </w:rPr>
        <w:t>In line with the approved investment program for 2019–2020, capex financing totaled RUB 45,667 million, including VAT.</w:t>
      </w:r>
    </w:p>
    <w:p w14:paraId="70426619" w14:textId="64CF2C81" w:rsidR="00850333" w:rsidRPr="00BD295E" w:rsidRDefault="008A5057" w:rsidP="00531EB3">
      <w:pPr>
        <w:tabs>
          <w:tab w:val="left" w:pos="5386"/>
        </w:tabs>
        <w:jc w:val="both"/>
        <w:rPr>
          <w:rFonts w:ascii="Arial" w:hAnsi="Arial" w:cs="Arial"/>
          <w:sz w:val="18"/>
          <w:szCs w:val="18"/>
          <w:lang w:val="en-US"/>
        </w:rPr>
      </w:pPr>
      <w:r w:rsidRPr="00BD295E">
        <w:rPr>
          <w:rFonts w:ascii="Arial" w:hAnsi="Arial" w:cs="Arial"/>
          <w:sz w:val="18"/>
          <w:szCs w:val="18"/>
          <w:lang w:val="en-US"/>
        </w:rPr>
        <w:t>As a result of the implementation of the investment program in 2019–2020, the increase in fixed assets will be RUB 48</w:t>
      </w:r>
      <w:r w:rsidR="00793EE1" w:rsidRPr="00BD295E">
        <w:rPr>
          <w:rFonts w:ascii="Arial" w:hAnsi="Arial" w:cs="Arial"/>
          <w:sz w:val="18"/>
          <w:szCs w:val="18"/>
          <w:lang w:val="en-US"/>
        </w:rPr>
        <w:t> </w:t>
      </w:r>
      <w:r w:rsidRPr="00BD295E">
        <w:rPr>
          <w:rFonts w:ascii="Arial" w:hAnsi="Arial" w:cs="Arial"/>
          <w:sz w:val="18"/>
          <w:szCs w:val="18"/>
          <w:lang w:val="en-US"/>
        </w:rPr>
        <w:t>billion, with transformer capacity additionally increased by 3,396 MVA, and the length of distribution lines up by 1,630 km, which will result in increased distribution capacity, a lower accident rate, a higher reliability of the energy system and will support better grid connection of consumers.</w:t>
      </w:r>
    </w:p>
    <w:p w14:paraId="3E53B71B" w14:textId="77777777" w:rsidR="00850333" w:rsidRPr="00BD295E" w:rsidRDefault="00850333" w:rsidP="00531EB3">
      <w:pPr>
        <w:tabs>
          <w:tab w:val="left" w:pos="5386"/>
        </w:tabs>
        <w:jc w:val="both"/>
        <w:rPr>
          <w:rFonts w:ascii="Arial" w:hAnsi="Arial" w:cs="Arial"/>
          <w:sz w:val="18"/>
          <w:szCs w:val="18"/>
          <w:lang w:val="en-US"/>
        </w:rPr>
      </w:pPr>
    </w:p>
    <w:p w14:paraId="2CA4618C" w14:textId="77777777" w:rsidR="005510A8" w:rsidRPr="00BD295E" w:rsidRDefault="008A5057" w:rsidP="00531EB3">
      <w:pPr>
        <w:pStyle w:val="afffff3"/>
        <w:ind w:firstLine="0"/>
        <w:rPr>
          <w:rFonts w:ascii="Arial" w:hAnsi="Arial" w:cs="Arial"/>
          <w:b/>
          <w:sz w:val="18"/>
          <w:szCs w:val="18"/>
          <w:lang w:val="en-US"/>
        </w:rPr>
      </w:pPr>
      <w:bookmarkStart w:id="270" w:name="_Toc470159908"/>
      <w:bookmarkStart w:id="271" w:name="_Toc470268976"/>
      <w:bookmarkStart w:id="272" w:name="_Toc470269179"/>
      <w:bookmarkStart w:id="273" w:name="_Toc470269990"/>
      <w:r w:rsidRPr="00BD295E">
        <w:rPr>
          <w:rFonts w:ascii="Arial" w:hAnsi="Arial" w:cs="Arial"/>
          <w:b/>
          <w:sz w:val="18"/>
          <w:szCs w:val="18"/>
          <w:lang w:val="en-US"/>
        </w:rPr>
        <w:t>Capital construction quality management</w:t>
      </w:r>
      <w:bookmarkEnd w:id="270"/>
      <w:bookmarkEnd w:id="271"/>
      <w:bookmarkEnd w:id="272"/>
      <w:bookmarkEnd w:id="273"/>
    </w:p>
    <w:p w14:paraId="393F106D" w14:textId="77777777" w:rsidR="0031297B" w:rsidRPr="00BD295E" w:rsidRDefault="0031297B" w:rsidP="00531EB3">
      <w:pPr>
        <w:pStyle w:val="afffff3"/>
        <w:ind w:firstLine="0"/>
        <w:rPr>
          <w:rFonts w:ascii="Arial" w:hAnsi="Arial" w:cs="Arial"/>
          <w:sz w:val="18"/>
          <w:szCs w:val="18"/>
          <w:lang w:val="en-US"/>
        </w:rPr>
      </w:pPr>
    </w:p>
    <w:p w14:paraId="4365F3E6" w14:textId="77777777" w:rsidR="005510A8" w:rsidRPr="00BD295E" w:rsidRDefault="008A5057" w:rsidP="00531EB3">
      <w:pPr>
        <w:pStyle w:val="afffff3"/>
        <w:ind w:firstLine="0"/>
        <w:rPr>
          <w:rFonts w:ascii="Arial" w:hAnsi="Arial" w:cs="Arial"/>
          <w:sz w:val="18"/>
          <w:szCs w:val="18"/>
          <w:lang w:val="en-US"/>
        </w:rPr>
      </w:pPr>
      <w:r w:rsidRPr="00BD295E">
        <w:rPr>
          <w:rFonts w:ascii="Arial" w:hAnsi="Arial" w:cs="Arial"/>
          <w:sz w:val="18"/>
          <w:szCs w:val="18"/>
          <w:lang w:val="en-US"/>
        </w:rPr>
        <w:t xml:space="preserve">The Company verifies the compliance of completed work with design documents, requirements of technical regulations, results of engineering surveys, requirements of urban planning for a land plot with a construction project underway, renovation, and capital construction in accordance with the requirements of Article 53 of the Urban Planning Code of the Russian Federation, subject to Resolution No. 468 of the Russian Government, </w:t>
      </w:r>
      <w:r w:rsidRPr="00BD295E">
        <w:rPr>
          <w:rFonts w:ascii="Arial" w:hAnsi="Arial" w:cs="Arial"/>
          <w:i/>
          <w:iCs/>
          <w:sz w:val="18"/>
          <w:szCs w:val="18"/>
          <w:lang w:val="en-US"/>
        </w:rPr>
        <w:t xml:space="preserve">On the procedure for </w:t>
      </w:r>
      <w:r w:rsidR="00101C37" w:rsidRPr="00BD295E">
        <w:rPr>
          <w:rFonts w:ascii="Arial" w:hAnsi="Arial" w:cs="Arial"/>
          <w:i/>
          <w:iCs/>
          <w:sz w:val="18"/>
          <w:szCs w:val="18"/>
          <w:lang w:val="en-US"/>
        </w:rPr>
        <w:t>construction inspection</w:t>
      </w:r>
      <w:r w:rsidRPr="00BD295E">
        <w:rPr>
          <w:rFonts w:ascii="Arial" w:hAnsi="Arial" w:cs="Arial"/>
          <w:i/>
          <w:iCs/>
          <w:sz w:val="18"/>
          <w:szCs w:val="18"/>
          <w:lang w:val="en-US"/>
        </w:rPr>
        <w:t xml:space="preserve"> during construction, renovation, and overhaul of capital construction facilities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21, 2010.</w:t>
      </w:r>
    </w:p>
    <w:p w14:paraId="394A9147" w14:textId="77777777" w:rsidR="005510A8" w:rsidRPr="00BD295E" w:rsidRDefault="008A5057" w:rsidP="00531EB3">
      <w:pPr>
        <w:jc w:val="both"/>
        <w:rPr>
          <w:rFonts w:ascii="Arial" w:hAnsi="Arial" w:cs="Arial"/>
          <w:snapToGrid w:val="0"/>
          <w:sz w:val="18"/>
          <w:szCs w:val="18"/>
          <w:lang w:val="en-US"/>
        </w:rPr>
      </w:pPr>
      <w:r w:rsidRPr="00BD295E">
        <w:rPr>
          <w:rFonts w:ascii="Arial" w:hAnsi="Arial" w:cs="Arial"/>
          <w:snapToGrid w:val="0"/>
          <w:sz w:val="18"/>
          <w:szCs w:val="18"/>
          <w:lang w:val="en-US"/>
        </w:rPr>
        <w:t xml:space="preserve">In line with orders of the Company’s branches, relevant persons were appointed responsible for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as well as employees in charge of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at specific facilities across Electric Grid Districts, subsidiaries, and dependent companies.</w:t>
      </w:r>
    </w:p>
    <w:p w14:paraId="7CB418A5" w14:textId="77777777" w:rsidR="005510A8" w:rsidRPr="00BD295E" w:rsidRDefault="008A5057" w:rsidP="00531EB3">
      <w:pPr>
        <w:jc w:val="both"/>
        <w:rPr>
          <w:rFonts w:ascii="Arial" w:hAnsi="Arial" w:cs="Arial"/>
          <w:snapToGrid w:val="0"/>
          <w:sz w:val="18"/>
          <w:szCs w:val="18"/>
          <w:lang w:val="en-US"/>
        </w:rPr>
      </w:pPr>
      <w:r w:rsidRPr="00BD295E">
        <w:rPr>
          <w:rFonts w:ascii="Arial" w:hAnsi="Arial" w:cs="Arial"/>
          <w:snapToGrid w:val="0"/>
          <w:sz w:val="18"/>
          <w:szCs w:val="18"/>
          <w:lang w:val="en-US"/>
        </w:rPr>
        <w:t xml:space="preserve">The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procedure in the Company provides for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being performed both by Company employees in line with regulatory documents and job descriptions (Type B) and by independent contractors under outsourced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contracts (Type A).</w:t>
      </w:r>
    </w:p>
    <w:p w14:paraId="24227990" w14:textId="77777777" w:rsidR="006614B1" w:rsidRPr="00BD295E" w:rsidRDefault="008A5057" w:rsidP="00531EB3">
      <w:pPr>
        <w:jc w:val="both"/>
        <w:rPr>
          <w:rFonts w:ascii="Arial" w:hAnsi="Arial" w:cs="Arial"/>
          <w:snapToGrid w:val="0"/>
          <w:sz w:val="18"/>
          <w:szCs w:val="18"/>
          <w:lang w:val="en-US"/>
        </w:rPr>
      </w:pPr>
      <w:r w:rsidRPr="00BD295E">
        <w:rPr>
          <w:rFonts w:ascii="Arial" w:hAnsi="Arial" w:cs="Arial"/>
          <w:snapToGrid w:val="0"/>
          <w:sz w:val="18"/>
          <w:szCs w:val="18"/>
          <w:lang w:val="en-US"/>
        </w:rPr>
        <w:t xml:space="preserve">For this purpose, a standard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contract was developed and, with the participation of Rosseti experts, standard guidelines for preparing and conducting tenders were developed.</w:t>
      </w:r>
    </w:p>
    <w:p w14:paraId="599E5A75" w14:textId="77777777" w:rsidR="005510A8" w:rsidRPr="00BD295E" w:rsidRDefault="008A5057" w:rsidP="00531EB3">
      <w:pPr>
        <w:jc w:val="both"/>
        <w:rPr>
          <w:rFonts w:ascii="Arial" w:hAnsi="Arial" w:cs="Arial"/>
          <w:snapToGrid w:val="0"/>
          <w:sz w:val="18"/>
          <w:szCs w:val="18"/>
          <w:lang w:val="en-US"/>
        </w:rPr>
      </w:pPr>
      <w:r w:rsidRPr="00BD295E">
        <w:rPr>
          <w:rFonts w:ascii="Arial" w:hAnsi="Arial" w:cs="Arial"/>
          <w:b/>
          <w:snapToGrid w:val="0"/>
          <w:sz w:val="18"/>
          <w:szCs w:val="18"/>
          <w:lang w:val="en-US"/>
        </w:rPr>
        <w:t xml:space="preserve">The Company’s </w:t>
      </w:r>
      <w:r w:rsidR="00101C37" w:rsidRPr="00BD295E">
        <w:rPr>
          <w:rFonts w:ascii="Arial" w:hAnsi="Arial" w:cs="Arial"/>
          <w:b/>
          <w:snapToGrid w:val="0"/>
          <w:sz w:val="18"/>
          <w:szCs w:val="18"/>
          <w:lang w:val="en-US"/>
        </w:rPr>
        <w:t>construction inspection</w:t>
      </w:r>
      <w:r w:rsidRPr="00BD295E">
        <w:rPr>
          <w:rFonts w:ascii="Arial" w:hAnsi="Arial" w:cs="Arial"/>
          <w:b/>
          <w:snapToGrid w:val="0"/>
          <w:sz w:val="18"/>
          <w:szCs w:val="18"/>
          <w:lang w:val="en-US"/>
        </w:rPr>
        <w:t xml:space="preserve"> resources</w:t>
      </w:r>
    </w:p>
    <w:p w14:paraId="2B012FD8" w14:textId="77777777" w:rsidR="005510A8" w:rsidRPr="00BD295E" w:rsidRDefault="008A5057" w:rsidP="00531EB3">
      <w:pPr>
        <w:rPr>
          <w:rFonts w:ascii="Arial" w:hAnsi="Arial" w:cs="Arial"/>
          <w:snapToGrid w:val="0"/>
          <w:sz w:val="18"/>
          <w:szCs w:val="18"/>
          <w:lang w:val="en-US"/>
        </w:rPr>
      </w:pPr>
      <w:r w:rsidRPr="00BD295E">
        <w:rPr>
          <w:rFonts w:ascii="Arial" w:hAnsi="Arial" w:cs="Arial"/>
          <w:snapToGrid w:val="0"/>
          <w:sz w:val="18"/>
          <w:szCs w:val="18"/>
          <w:lang w:val="en-US"/>
        </w:rPr>
        <w:t xml:space="preserve">As at December 31, 2018, 240 employees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its branches, subsidiaries, and dependent companies were trained under the </w:t>
      </w:r>
      <w:r w:rsidR="00101C37" w:rsidRPr="00BD295E">
        <w:rPr>
          <w:rFonts w:ascii="Arial" w:hAnsi="Arial" w:cs="Arial"/>
          <w:i/>
          <w:iCs/>
          <w:snapToGrid w:val="0"/>
          <w:sz w:val="18"/>
          <w:szCs w:val="18"/>
          <w:lang w:val="en-US"/>
        </w:rPr>
        <w:t>Construction Inspection</w:t>
      </w:r>
      <w:r w:rsidRPr="00BD295E">
        <w:rPr>
          <w:rFonts w:ascii="Arial" w:hAnsi="Arial" w:cs="Arial"/>
          <w:i/>
          <w:iCs/>
          <w:snapToGrid w:val="0"/>
          <w:sz w:val="18"/>
          <w:szCs w:val="18"/>
          <w:lang w:val="en-US"/>
        </w:rPr>
        <w:t xml:space="preserve"> and State </w:t>
      </w:r>
      <w:r w:rsidR="00101C37" w:rsidRPr="00BD295E">
        <w:rPr>
          <w:rFonts w:ascii="Arial" w:hAnsi="Arial" w:cs="Arial"/>
          <w:i/>
          <w:iCs/>
          <w:snapToGrid w:val="0"/>
          <w:sz w:val="18"/>
          <w:szCs w:val="18"/>
          <w:lang w:val="en-US"/>
        </w:rPr>
        <w:t>Construction Inspection</w:t>
      </w:r>
      <w:r w:rsidRPr="00BD295E">
        <w:rPr>
          <w:rFonts w:ascii="Arial" w:hAnsi="Arial" w:cs="Arial"/>
          <w:i/>
          <w:iCs/>
          <w:snapToGrid w:val="0"/>
          <w:sz w:val="18"/>
          <w:szCs w:val="18"/>
          <w:lang w:val="en-US"/>
        </w:rPr>
        <w:t xml:space="preserve"> during the Construction of Electricity Industry and Electric Grid Facilities</w:t>
      </w:r>
      <w:r w:rsidRPr="00BD295E">
        <w:rPr>
          <w:rFonts w:ascii="Arial" w:hAnsi="Arial" w:cs="Arial"/>
          <w:snapToGrid w:val="0"/>
          <w:sz w:val="18"/>
          <w:szCs w:val="18"/>
          <w:lang w:val="en-US"/>
        </w:rPr>
        <w:t xml:space="preserve"> program, including 191 employees who were assigned the responsibility for specific facilities by corporate orders.</w:t>
      </w:r>
    </w:p>
    <w:p w14:paraId="6795362D" w14:textId="77777777" w:rsidR="005510A8" w:rsidRPr="00BD295E" w:rsidRDefault="008A5057" w:rsidP="00531EB3">
      <w:pPr>
        <w:jc w:val="both"/>
        <w:rPr>
          <w:rFonts w:ascii="Arial" w:hAnsi="Arial" w:cs="Arial"/>
          <w:snapToGrid w:val="0"/>
          <w:sz w:val="18"/>
          <w:szCs w:val="18"/>
          <w:lang w:val="en-US"/>
        </w:rPr>
      </w:pPr>
      <w:r w:rsidRPr="00BD295E">
        <w:rPr>
          <w:rFonts w:ascii="Arial" w:hAnsi="Arial" w:cs="Arial"/>
          <w:snapToGrid w:val="0"/>
          <w:sz w:val="18"/>
          <w:szCs w:val="18"/>
          <w:lang w:val="en-US"/>
        </w:rPr>
        <w:t xml:space="preserve">In order to organize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and comply with instructions of </w:t>
      </w:r>
      <w:r w:rsidR="00BF106F" w:rsidRPr="00BD295E">
        <w:rPr>
          <w:rFonts w:ascii="Arial" w:hAnsi="Arial" w:cs="Arial"/>
          <w:snapToGrid w:val="0"/>
          <w:sz w:val="18"/>
          <w:szCs w:val="18"/>
          <w:lang w:val="en-US"/>
        </w:rPr>
        <w:t>PJSC “Rosseti”</w:t>
      </w:r>
      <w:r w:rsidRPr="00BD295E">
        <w:rPr>
          <w:rFonts w:ascii="Arial" w:hAnsi="Arial" w:cs="Arial"/>
          <w:snapToGrid w:val="0"/>
          <w:sz w:val="18"/>
          <w:szCs w:val="18"/>
          <w:lang w:val="en-US"/>
        </w:rPr>
        <w:t xml:space="preserve">, the Company has issued orders and adopted regulations aimed at building and embedding mechanisms that regulate construction through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As part of organizational measures taken to ensure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at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the following procedural documents were developed:</w:t>
      </w:r>
    </w:p>
    <w:p w14:paraId="624C4BD7" w14:textId="77777777" w:rsidR="005510A8" w:rsidRPr="00BD295E" w:rsidRDefault="008A5057" w:rsidP="00CA2271">
      <w:pPr>
        <w:pStyle w:val="af3"/>
        <w:numPr>
          <w:ilvl w:val="0"/>
          <w:numId w:val="53"/>
        </w:numPr>
        <w:jc w:val="both"/>
        <w:rPr>
          <w:rFonts w:ascii="Arial" w:hAnsi="Arial" w:cs="Arial"/>
          <w:snapToGrid w:val="0"/>
          <w:sz w:val="18"/>
          <w:szCs w:val="18"/>
          <w:lang w:val="en-US"/>
        </w:rPr>
      </w:pPr>
      <w:r w:rsidRPr="00BD295E">
        <w:rPr>
          <w:rFonts w:ascii="Arial" w:hAnsi="Arial" w:cs="Arial"/>
          <w:snapToGrid w:val="0"/>
          <w:sz w:val="18"/>
          <w:szCs w:val="18"/>
          <w:lang w:val="en-US"/>
        </w:rPr>
        <w:t xml:space="preserve">Procedure for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at the Company’s electric grid facilities (Order No. 33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February 4, 2016 and Order No. 101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March 16, 2016);</w:t>
      </w:r>
    </w:p>
    <w:p w14:paraId="24065BBC" w14:textId="77777777" w:rsidR="005510A8" w:rsidRPr="00BD295E" w:rsidRDefault="008A5057" w:rsidP="00CA2271">
      <w:pPr>
        <w:pStyle w:val="af3"/>
        <w:numPr>
          <w:ilvl w:val="0"/>
          <w:numId w:val="53"/>
        </w:numPr>
        <w:jc w:val="both"/>
        <w:rPr>
          <w:rFonts w:ascii="Arial" w:hAnsi="Arial" w:cs="Arial"/>
          <w:snapToGrid w:val="0"/>
          <w:sz w:val="18"/>
          <w:szCs w:val="18"/>
          <w:lang w:val="en-US"/>
        </w:rPr>
      </w:pPr>
      <w:r w:rsidRPr="00BD295E">
        <w:rPr>
          <w:rFonts w:ascii="Arial" w:hAnsi="Arial" w:cs="Arial"/>
          <w:snapToGrid w:val="0"/>
          <w:sz w:val="18"/>
          <w:szCs w:val="18"/>
          <w:lang w:val="en-US"/>
        </w:rPr>
        <w:t xml:space="preserve">Standard procedure for keeping as-built and acceptance documentation (Order No. 35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February 4, 2016);</w:t>
      </w:r>
    </w:p>
    <w:p w14:paraId="22FA12F7" w14:textId="77777777" w:rsidR="005510A8" w:rsidRPr="00BD295E" w:rsidRDefault="008A5057" w:rsidP="00CA2271">
      <w:pPr>
        <w:pStyle w:val="af3"/>
        <w:numPr>
          <w:ilvl w:val="0"/>
          <w:numId w:val="53"/>
        </w:numPr>
        <w:jc w:val="both"/>
        <w:rPr>
          <w:rFonts w:ascii="Arial" w:hAnsi="Arial" w:cs="Arial"/>
          <w:snapToGrid w:val="0"/>
          <w:sz w:val="18"/>
          <w:szCs w:val="18"/>
          <w:lang w:val="en-US"/>
        </w:rPr>
      </w:pPr>
      <w:r w:rsidRPr="00BD295E">
        <w:rPr>
          <w:rFonts w:ascii="Arial" w:hAnsi="Arial" w:cs="Arial"/>
          <w:snapToGrid w:val="0"/>
          <w:sz w:val="18"/>
          <w:szCs w:val="18"/>
          <w:lang w:val="en-US"/>
        </w:rPr>
        <w:t xml:space="preserve">Guidelines for validating and accepting the scope and quality of construction and installation work (Order No. 105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May 16, 2016);</w:t>
      </w:r>
    </w:p>
    <w:p w14:paraId="6EB65522" w14:textId="77777777" w:rsidR="005510A8" w:rsidRPr="00BD295E" w:rsidRDefault="008A5057" w:rsidP="00CA2271">
      <w:pPr>
        <w:pStyle w:val="af3"/>
        <w:numPr>
          <w:ilvl w:val="0"/>
          <w:numId w:val="53"/>
        </w:numPr>
        <w:jc w:val="both"/>
        <w:rPr>
          <w:rFonts w:ascii="Arial" w:hAnsi="Arial" w:cs="Arial"/>
          <w:snapToGrid w:val="0"/>
          <w:sz w:val="18"/>
          <w:szCs w:val="18"/>
          <w:lang w:val="en-US"/>
        </w:rPr>
      </w:pPr>
      <w:r w:rsidRPr="00BD295E">
        <w:rPr>
          <w:rFonts w:ascii="Arial" w:hAnsi="Arial" w:cs="Arial"/>
          <w:snapToGrid w:val="0"/>
          <w:sz w:val="18"/>
          <w:szCs w:val="18"/>
          <w:lang w:val="en-US"/>
        </w:rPr>
        <w:t xml:space="preserve">Procedure for approval of as-built documentation and completion reports as per Forms KS-2, KS-3 (Order No. 458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August 24, 2017);</w:t>
      </w:r>
    </w:p>
    <w:p w14:paraId="63ECFD86" w14:textId="77777777" w:rsidR="005510A8" w:rsidRPr="00BD295E" w:rsidRDefault="008A5057" w:rsidP="00CA2271">
      <w:pPr>
        <w:pStyle w:val="af3"/>
        <w:numPr>
          <w:ilvl w:val="0"/>
          <w:numId w:val="53"/>
        </w:numPr>
        <w:jc w:val="both"/>
        <w:rPr>
          <w:rFonts w:ascii="Arial" w:hAnsi="Arial" w:cs="Arial"/>
          <w:snapToGrid w:val="0"/>
          <w:sz w:val="18"/>
          <w:szCs w:val="18"/>
          <w:lang w:val="en-US"/>
        </w:rPr>
      </w:pPr>
      <w:r w:rsidRPr="00BD295E">
        <w:rPr>
          <w:rFonts w:ascii="Arial" w:hAnsi="Arial" w:cs="Arial"/>
          <w:snapToGrid w:val="0"/>
          <w:sz w:val="18"/>
          <w:szCs w:val="18"/>
          <w:lang w:val="en-US"/>
        </w:rPr>
        <w:t xml:space="preserve">On approval of the Regulations on the Organization and Implementation of Acceptance Control of Products Used for the Construction of Electric Grid Facilities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(Order No. 399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July 26, 2017);</w:t>
      </w:r>
    </w:p>
    <w:p w14:paraId="15C6E768" w14:textId="77777777" w:rsidR="005510A8" w:rsidRPr="00BD295E" w:rsidRDefault="008A5057" w:rsidP="00CA2271">
      <w:pPr>
        <w:pStyle w:val="af3"/>
        <w:numPr>
          <w:ilvl w:val="0"/>
          <w:numId w:val="53"/>
        </w:numPr>
        <w:jc w:val="both"/>
        <w:rPr>
          <w:rFonts w:ascii="Arial" w:hAnsi="Arial" w:cs="Arial"/>
          <w:snapToGrid w:val="0"/>
          <w:sz w:val="18"/>
          <w:szCs w:val="18"/>
          <w:lang w:val="en-US"/>
        </w:rPr>
      </w:pPr>
      <w:r w:rsidRPr="00BD295E">
        <w:rPr>
          <w:rFonts w:ascii="Arial" w:hAnsi="Arial" w:cs="Arial"/>
          <w:snapToGrid w:val="0"/>
          <w:sz w:val="18"/>
          <w:szCs w:val="18"/>
          <w:lang w:val="en-US"/>
        </w:rPr>
        <w:t xml:space="preserve">On approval of the Standard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Contract (Order No. 102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March 2, 2017);</w:t>
      </w:r>
    </w:p>
    <w:p w14:paraId="0AA83F93" w14:textId="77777777" w:rsidR="0033027C" w:rsidRPr="00BD295E" w:rsidRDefault="008A5057" w:rsidP="00531EB3">
      <w:pPr>
        <w:spacing w:before="120"/>
        <w:jc w:val="both"/>
        <w:rPr>
          <w:rFonts w:ascii="Arial" w:hAnsi="Arial" w:cs="Arial"/>
          <w:snapToGrid w:val="0"/>
          <w:sz w:val="18"/>
          <w:szCs w:val="18"/>
          <w:lang w:val="en-US"/>
        </w:rPr>
      </w:pPr>
      <w:r w:rsidRPr="00BD295E">
        <w:rPr>
          <w:rFonts w:ascii="Arial" w:hAnsi="Arial" w:cs="Arial"/>
          <w:snapToGrid w:val="0"/>
          <w:sz w:val="18"/>
          <w:szCs w:val="18"/>
          <w:lang w:val="en-US"/>
        </w:rPr>
        <w:t xml:space="preserve">The Company has determined the units responsible for the organization and implementation of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w:t>
      </w:r>
      <w:r w:rsidRPr="00BD295E">
        <w:rPr>
          <w:rFonts w:ascii="Arial" w:hAnsi="Arial" w:cs="Arial"/>
          <w:sz w:val="18"/>
          <w:szCs w:val="18"/>
          <w:lang w:val="en-US"/>
        </w:rPr>
        <w:t xml:space="preserve"> In 2018, </w:t>
      </w:r>
      <w:r w:rsidR="00101C37" w:rsidRPr="00BD295E">
        <w:rPr>
          <w:rFonts w:ascii="Arial" w:hAnsi="Arial" w:cs="Arial"/>
          <w:sz w:val="18"/>
          <w:szCs w:val="18"/>
          <w:lang w:val="en-US"/>
        </w:rPr>
        <w:t>construction inspection</w:t>
      </w:r>
      <w:r w:rsidRPr="00BD295E">
        <w:rPr>
          <w:rFonts w:ascii="Arial" w:hAnsi="Arial" w:cs="Arial"/>
          <w:sz w:val="18"/>
          <w:szCs w:val="18"/>
          <w:lang w:val="en-US"/>
        </w:rPr>
        <w:t xml:space="preserve"> was provided by 191 </w:t>
      </w:r>
      <w:r w:rsidR="00101C37" w:rsidRPr="00BD295E">
        <w:rPr>
          <w:rFonts w:ascii="Arial" w:hAnsi="Arial" w:cs="Arial"/>
          <w:sz w:val="18"/>
          <w:szCs w:val="18"/>
          <w:lang w:val="en-US"/>
        </w:rPr>
        <w:t>construction inspection</w:t>
      </w:r>
      <w:r w:rsidRPr="00BD295E">
        <w:rPr>
          <w:rFonts w:ascii="Arial" w:hAnsi="Arial" w:cs="Arial"/>
          <w:sz w:val="18"/>
          <w:szCs w:val="18"/>
          <w:lang w:val="en-US"/>
        </w:rPr>
        <w:t xml:space="preserve"> specialists of the Company. </w:t>
      </w:r>
    </w:p>
    <w:p w14:paraId="739BA61E" w14:textId="77777777" w:rsidR="006614B1" w:rsidRPr="00BD295E" w:rsidRDefault="008A5057" w:rsidP="00531EB3">
      <w:pPr>
        <w:spacing w:before="120"/>
        <w:jc w:val="both"/>
        <w:rPr>
          <w:rFonts w:ascii="Arial" w:hAnsi="Arial" w:cs="Arial"/>
          <w:snapToGrid w:val="0"/>
          <w:sz w:val="18"/>
          <w:szCs w:val="18"/>
          <w:lang w:val="en-US"/>
        </w:rPr>
      </w:pPr>
      <w:r w:rsidRPr="00BD295E">
        <w:rPr>
          <w:rFonts w:ascii="Arial" w:hAnsi="Arial" w:cs="Arial"/>
          <w:b/>
          <w:snapToGrid w:val="0"/>
          <w:sz w:val="18"/>
          <w:szCs w:val="18"/>
          <w:lang w:val="en-US"/>
        </w:rPr>
        <w:t xml:space="preserve">Executive arm of </w:t>
      </w:r>
      <w:r w:rsidR="00EE5753" w:rsidRPr="00BD295E">
        <w:rPr>
          <w:rFonts w:ascii="Arial" w:hAnsi="Arial" w:cs="Arial"/>
          <w:b/>
          <w:snapToGrid w:val="0"/>
          <w:sz w:val="18"/>
          <w:szCs w:val="18"/>
          <w:lang w:val="en-US"/>
        </w:rPr>
        <w:t>PJSC “Lenenergo”</w:t>
      </w:r>
    </w:p>
    <w:p w14:paraId="3540C42F" w14:textId="77777777" w:rsidR="005510A8" w:rsidRPr="00BD295E" w:rsidRDefault="008A5057" w:rsidP="00531EB3">
      <w:pPr>
        <w:tabs>
          <w:tab w:val="left" w:pos="2379"/>
        </w:tabs>
        <w:jc w:val="both"/>
        <w:rPr>
          <w:rFonts w:ascii="Arial" w:hAnsi="Arial" w:cs="Arial"/>
          <w:snapToGrid w:val="0"/>
          <w:sz w:val="18"/>
          <w:szCs w:val="18"/>
          <w:lang w:val="en-US"/>
        </w:rPr>
      </w:pPr>
      <w:r w:rsidRPr="00BD295E">
        <w:rPr>
          <w:rFonts w:ascii="Arial" w:hAnsi="Arial" w:cs="Arial"/>
          <w:sz w:val="18"/>
          <w:szCs w:val="18"/>
          <w:lang w:val="en-US"/>
        </w:rPr>
        <w:t xml:space="preserve">- </w:t>
      </w:r>
      <w:r w:rsidRPr="00BD295E">
        <w:rPr>
          <w:rFonts w:ascii="Arial" w:hAnsi="Arial" w:cs="Arial"/>
          <w:b/>
          <w:bCs/>
          <w:sz w:val="18"/>
          <w:szCs w:val="18"/>
          <w:lang w:val="en-US"/>
        </w:rPr>
        <w:t>Department for Construction and Renovation of Facilities in Saint Petersburg</w:t>
      </w:r>
      <w:r w:rsidRPr="00BD295E">
        <w:rPr>
          <w:rFonts w:ascii="Arial" w:hAnsi="Arial" w:cs="Arial"/>
          <w:sz w:val="18"/>
          <w:szCs w:val="18"/>
          <w:lang w:val="en-US"/>
        </w:rPr>
        <w:t>.</w:t>
      </w:r>
      <w:r w:rsidRPr="00BD295E">
        <w:rPr>
          <w:rFonts w:ascii="Arial" w:hAnsi="Arial" w:cs="Arial"/>
          <w:b/>
          <w:snapToGrid w:val="0"/>
          <w:sz w:val="18"/>
          <w:szCs w:val="18"/>
          <w:lang w:val="en-US"/>
        </w:rPr>
        <w:t xml:space="preserve"> </w:t>
      </w:r>
      <w:r w:rsidRPr="00BD295E">
        <w:rPr>
          <w:rFonts w:ascii="Arial" w:hAnsi="Arial" w:cs="Arial"/>
          <w:b/>
          <w:bCs/>
          <w:sz w:val="18"/>
          <w:szCs w:val="18"/>
          <w:lang w:val="en-US"/>
        </w:rPr>
        <w:t>Head</w:t>
      </w:r>
      <w:r w:rsidRPr="00BD295E">
        <w:rPr>
          <w:rFonts w:ascii="Arial" w:hAnsi="Arial" w:cs="Arial"/>
          <w:sz w:val="18"/>
          <w:szCs w:val="18"/>
          <w:lang w:val="en-US"/>
        </w:rPr>
        <w:t xml:space="preserve"> – Roman Tsvetkov, Deputy Director for Capital Construction, Head of the Department for Construction and Renovation of Facilities in Saint Petersburg.</w:t>
      </w:r>
      <w:r w:rsidRPr="00BD295E">
        <w:rPr>
          <w:rFonts w:ascii="Arial" w:hAnsi="Arial" w:cs="Arial"/>
          <w:snapToGrid w:val="0"/>
          <w:sz w:val="18"/>
          <w:szCs w:val="18"/>
          <w:lang w:val="en-US"/>
        </w:rPr>
        <w:t xml:space="preserve"> 18 employees were trained, with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functions assigned to them by a corporate order: - Order No. 328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June 16, 2017, </w:t>
      </w:r>
      <w:r w:rsidRPr="00BD295E">
        <w:rPr>
          <w:rFonts w:ascii="Arial" w:hAnsi="Arial" w:cs="Arial"/>
          <w:i/>
          <w:iCs/>
          <w:snapToGrid w:val="0"/>
          <w:sz w:val="18"/>
          <w:szCs w:val="18"/>
          <w:lang w:val="en-US"/>
        </w:rPr>
        <w:t xml:space="preserve">On exercising </w:t>
      </w:r>
      <w:r w:rsidR="00101C37" w:rsidRPr="00BD295E">
        <w:rPr>
          <w:rFonts w:ascii="Arial" w:hAnsi="Arial" w:cs="Arial"/>
          <w:i/>
          <w:iCs/>
          <w:snapToGrid w:val="0"/>
          <w:sz w:val="18"/>
          <w:szCs w:val="18"/>
          <w:lang w:val="en-US"/>
        </w:rPr>
        <w:t>construction inspection</w:t>
      </w:r>
      <w:r w:rsidRPr="00BD295E">
        <w:rPr>
          <w:rFonts w:ascii="Arial" w:hAnsi="Arial" w:cs="Arial"/>
          <w:i/>
          <w:iCs/>
          <w:snapToGrid w:val="0"/>
          <w:sz w:val="18"/>
          <w:szCs w:val="18"/>
          <w:lang w:val="en-US"/>
        </w:rPr>
        <w:t xml:space="preserve"> over construction and renovation of 0.4–10 kV grid facilities in Saint Petersburg under grid connection contracts to grids of Lenenergo</w:t>
      </w:r>
      <w:r w:rsidRPr="00BD295E">
        <w:rPr>
          <w:rFonts w:ascii="Arial" w:hAnsi="Arial" w:cs="Arial"/>
          <w:snapToGrid w:val="0"/>
          <w:sz w:val="18"/>
          <w:szCs w:val="18"/>
          <w:lang w:val="en-US"/>
        </w:rPr>
        <w:t>, Regulations on the Department, and job descriptions of the employees.</w:t>
      </w:r>
    </w:p>
    <w:p w14:paraId="10B31F83" w14:textId="77777777" w:rsidR="005510A8" w:rsidRPr="00BD295E" w:rsidRDefault="008A5057" w:rsidP="00531EB3">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 xml:space="preserve">-Department for </w:t>
      </w:r>
      <w:r w:rsidR="00101C37" w:rsidRPr="00BD295E">
        <w:rPr>
          <w:rFonts w:ascii="Arial" w:hAnsi="Arial" w:cs="Arial"/>
          <w:b/>
          <w:snapToGrid w:val="0"/>
          <w:sz w:val="18"/>
          <w:szCs w:val="18"/>
          <w:lang w:val="en-US"/>
        </w:rPr>
        <w:t>Construction Inspection</w:t>
      </w:r>
      <w:r w:rsidRPr="00BD295E">
        <w:rPr>
          <w:rFonts w:ascii="Arial" w:hAnsi="Arial" w:cs="Arial"/>
          <w:b/>
          <w:snapToGrid w:val="0"/>
          <w:sz w:val="18"/>
          <w:szCs w:val="18"/>
          <w:lang w:val="en-US"/>
        </w:rPr>
        <w:t xml:space="preserve">. </w:t>
      </w:r>
    </w:p>
    <w:p w14:paraId="42CC8F4D" w14:textId="77777777" w:rsidR="005510A8" w:rsidRPr="00BD295E" w:rsidRDefault="008A5057" w:rsidP="00531EB3">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Head –  Anton Mezhevalov, Head of the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Department. The Department has 10 employees in total, all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The Department’s activities are governed by the Company’s documents, Regulations on the Department, and job descriptions of the Department’s employees.</w:t>
      </w:r>
    </w:p>
    <w:p w14:paraId="3CA244FB" w14:textId="77777777" w:rsidR="0033027C" w:rsidRPr="00BD295E" w:rsidRDefault="008A5057" w:rsidP="0033027C">
      <w:pPr>
        <w:tabs>
          <w:tab w:val="left" w:pos="2379"/>
        </w:tabs>
        <w:ind w:firstLine="851"/>
        <w:jc w:val="both"/>
        <w:rPr>
          <w:rFonts w:ascii="Arial" w:hAnsi="Arial" w:cs="Arial"/>
          <w:snapToGrid w:val="0"/>
          <w:sz w:val="18"/>
          <w:szCs w:val="18"/>
          <w:lang w:val="en-US"/>
        </w:rPr>
      </w:pPr>
      <w:r w:rsidRPr="00BD295E">
        <w:rPr>
          <w:rFonts w:ascii="Arial" w:hAnsi="Arial" w:cs="Arial"/>
          <w:b/>
          <w:sz w:val="18"/>
          <w:szCs w:val="18"/>
          <w:lang w:val="en-US"/>
        </w:rPr>
        <w:t xml:space="preserve">- Department of Construction and Renovation for the Leningrad Region. </w:t>
      </w:r>
      <w:r w:rsidRPr="00BD295E">
        <w:rPr>
          <w:rFonts w:ascii="Arial" w:hAnsi="Arial" w:cs="Arial"/>
          <w:b/>
          <w:bCs/>
          <w:snapToGrid w:val="0"/>
          <w:sz w:val="18"/>
          <w:szCs w:val="18"/>
          <w:lang w:val="en-US"/>
        </w:rPr>
        <w:t xml:space="preserve"> </w:t>
      </w:r>
      <w:r w:rsidRPr="00BD295E">
        <w:rPr>
          <w:rFonts w:ascii="Arial" w:hAnsi="Arial" w:cs="Arial"/>
          <w:snapToGrid w:val="0"/>
          <w:sz w:val="18"/>
          <w:szCs w:val="18"/>
          <w:lang w:val="en-US"/>
        </w:rPr>
        <w:t xml:space="preserve">Head – Aleksandr Makarov, Deputy Director for Capital Construction, Head of the Department for Construction and Renovation for the Leningrad Region. The Department has 8 employees in total, all of them trained.    </w:t>
      </w:r>
    </w:p>
    <w:p w14:paraId="383D1A04" w14:textId="77777777" w:rsidR="0033027C" w:rsidRPr="00BD295E" w:rsidRDefault="0033027C" w:rsidP="0033027C">
      <w:pPr>
        <w:tabs>
          <w:tab w:val="left" w:pos="2379"/>
        </w:tabs>
        <w:ind w:firstLine="851"/>
        <w:jc w:val="both"/>
        <w:rPr>
          <w:rFonts w:ascii="Arial" w:hAnsi="Arial" w:cs="Arial"/>
          <w:b/>
          <w:snapToGrid w:val="0"/>
          <w:sz w:val="18"/>
          <w:szCs w:val="18"/>
          <w:lang w:val="en-US"/>
        </w:rPr>
      </w:pPr>
    </w:p>
    <w:p w14:paraId="1B1BD436" w14:textId="77777777" w:rsidR="005510A8" w:rsidRPr="00BD295E" w:rsidRDefault="008A5057" w:rsidP="00531EB3">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 xml:space="preserve">Branches of </w:t>
      </w:r>
      <w:r w:rsidR="00EE5753" w:rsidRPr="00BD295E">
        <w:rPr>
          <w:rFonts w:ascii="Arial" w:hAnsi="Arial" w:cs="Arial"/>
          <w:b/>
          <w:snapToGrid w:val="0"/>
          <w:sz w:val="18"/>
          <w:szCs w:val="18"/>
          <w:lang w:val="en-US"/>
        </w:rPr>
        <w:t>PJSC “Lenenergo”</w:t>
      </w:r>
    </w:p>
    <w:p w14:paraId="15A8DD68" w14:textId="77777777" w:rsidR="005510A8" w:rsidRPr="00BD295E" w:rsidRDefault="008A5057" w:rsidP="00531EB3">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The Company has seven branches, with organization and implementation of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assigned to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units and employees of operation services (foremen of Electric Grid Districts): </w:t>
      </w:r>
    </w:p>
    <w:p w14:paraId="0A42A4B1" w14:textId="77777777" w:rsidR="005510A8" w:rsidRPr="00BD295E" w:rsidRDefault="008A5057" w:rsidP="005510A8">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Cable network</w:t>
      </w:r>
    </w:p>
    <w:p w14:paraId="39B4DFD6" w14:textId="77777777" w:rsidR="005510A8" w:rsidRPr="00BD295E" w:rsidRDefault="008A5057" w:rsidP="005510A8">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Capital Construction Unit. The Unit has a total of 13 employees, all of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The function of organizing and implementing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is assigned by Order No. 13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January 22, 2018. </w:t>
      </w:r>
    </w:p>
    <w:p w14:paraId="6AFBDDCC" w14:textId="77777777" w:rsidR="005510A8" w:rsidRPr="00BD295E" w:rsidRDefault="008A5057" w:rsidP="005510A8">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 xml:space="preserve">Prigorodniye Power Grid </w:t>
      </w:r>
    </w:p>
    <w:p w14:paraId="5B78B8C5" w14:textId="77777777" w:rsidR="005510A8" w:rsidRPr="00BD295E" w:rsidRDefault="008A5057" w:rsidP="005510A8">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Capital Construction Unit. The Unit has a total of 14 employees, all of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The function of organizing and implementing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is assigned by Order No. 170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April 8, 2016.</w:t>
      </w:r>
    </w:p>
    <w:p w14:paraId="41553981" w14:textId="77777777" w:rsidR="005510A8" w:rsidRPr="00BD295E" w:rsidRDefault="008A5057" w:rsidP="005510A8">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 xml:space="preserve">Gatchinskiye Power Grid </w:t>
      </w:r>
    </w:p>
    <w:p w14:paraId="7D8BDED4" w14:textId="77777777" w:rsidR="005510A8" w:rsidRPr="00BD295E" w:rsidRDefault="008A5057" w:rsidP="005510A8">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Capital Construction Unit. The Unit has a total of 18 employees, all of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The function of organizing and implementing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is assigned by Order No. 159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April 8, 2016. </w:t>
      </w:r>
    </w:p>
    <w:p w14:paraId="79F06A77" w14:textId="77777777" w:rsidR="005510A8" w:rsidRPr="00BD295E" w:rsidRDefault="008A5057" w:rsidP="005510A8">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 xml:space="preserve">Kingiseppskiye Power Grid </w:t>
      </w:r>
    </w:p>
    <w:p w14:paraId="17315663" w14:textId="77777777" w:rsidR="005510A8" w:rsidRPr="00BD295E" w:rsidRDefault="008A5057" w:rsidP="005510A8">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Capital Construction Unit. The Unit has a total of 18 employees, all of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The function of organization and implementation of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is assigned by order No. 1010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November 4, 2016.</w:t>
      </w:r>
    </w:p>
    <w:p w14:paraId="5ACBD0E1" w14:textId="77777777" w:rsidR="005510A8" w:rsidRPr="00BD295E" w:rsidRDefault="008A5057" w:rsidP="005510A8">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 xml:space="preserve">Tikhvinskiye Power Grid </w:t>
      </w:r>
    </w:p>
    <w:p w14:paraId="58193B6D" w14:textId="77777777" w:rsidR="005510A8" w:rsidRPr="00BD295E" w:rsidRDefault="008A5057" w:rsidP="005510A8">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Capital Construction Unit. The Unit has a total of 6 employees, four of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The function of organizing and implementing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is assigned by Order No. 323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April 4, 2016.</w:t>
      </w:r>
    </w:p>
    <w:p w14:paraId="5B09AFD2" w14:textId="77777777" w:rsidR="005510A8" w:rsidRPr="00BD295E" w:rsidRDefault="008A5057" w:rsidP="005510A8">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 xml:space="preserve">Vyborgskiye Power Grid </w:t>
      </w:r>
    </w:p>
    <w:p w14:paraId="1DAAE25C" w14:textId="77777777" w:rsidR="005510A8" w:rsidRPr="00BD295E" w:rsidRDefault="008A5057" w:rsidP="005510A8">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Capital Construction Unit. The Unit has a total of 33 employees, all of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The function of organizing and implementing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is assigned by Order No. 372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May 19, 2016.</w:t>
      </w:r>
    </w:p>
    <w:p w14:paraId="3FBA9972" w14:textId="77777777" w:rsidR="005510A8" w:rsidRPr="00BD295E" w:rsidRDefault="008A5057" w:rsidP="005510A8">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 xml:space="preserve">Novo-Ladozhskiye Power Grid </w:t>
      </w:r>
    </w:p>
    <w:p w14:paraId="749D82D4" w14:textId="77777777" w:rsidR="005510A8" w:rsidRPr="00BD295E" w:rsidRDefault="008A5057" w:rsidP="005510A8">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Capital Construction Unit. The Unit has a total of 11 employees, all of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The function of organizing and implementing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is assigned by Order No. 85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March 21, 2016 and No. 86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March 22, 2016. </w:t>
      </w:r>
    </w:p>
    <w:p w14:paraId="59B0E5BE" w14:textId="77777777" w:rsidR="005510A8" w:rsidRPr="00BD295E" w:rsidRDefault="008A5057" w:rsidP="005510A8">
      <w:pPr>
        <w:tabs>
          <w:tab w:val="left" w:pos="2379"/>
        </w:tabs>
        <w:jc w:val="both"/>
        <w:rPr>
          <w:rFonts w:ascii="Arial" w:hAnsi="Arial" w:cs="Arial"/>
          <w:b/>
          <w:snapToGrid w:val="0"/>
          <w:sz w:val="18"/>
          <w:szCs w:val="18"/>
          <w:lang w:val="en-US"/>
        </w:rPr>
      </w:pPr>
      <w:r w:rsidRPr="00BD295E">
        <w:rPr>
          <w:rFonts w:ascii="Arial" w:hAnsi="Arial" w:cs="Arial"/>
          <w:b/>
          <w:snapToGrid w:val="0"/>
          <w:sz w:val="18"/>
          <w:szCs w:val="18"/>
          <w:lang w:val="en-US"/>
        </w:rPr>
        <w:t xml:space="preserve">Directorate of Facilities under Construction (a branch of </w:t>
      </w:r>
      <w:r w:rsidR="00EE5753" w:rsidRPr="00BD295E">
        <w:rPr>
          <w:rFonts w:ascii="Arial" w:hAnsi="Arial" w:cs="Arial"/>
          <w:b/>
          <w:snapToGrid w:val="0"/>
          <w:sz w:val="18"/>
          <w:szCs w:val="18"/>
          <w:lang w:val="en-US"/>
        </w:rPr>
        <w:t>PJSC “Lenenergo”</w:t>
      </w:r>
      <w:r w:rsidRPr="00BD295E">
        <w:rPr>
          <w:rFonts w:ascii="Arial" w:hAnsi="Arial" w:cs="Arial"/>
          <w:b/>
          <w:snapToGrid w:val="0"/>
          <w:sz w:val="18"/>
          <w:szCs w:val="18"/>
          <w:lang w:val="en-US"/>
        </w:rPr>
        <w:t>)</w:t>
      </w:r>
    </w:p>
    <w:p w14:paraId="726A850F" w14:textId="77777777" w:rsidR="005510A8" w:rsidRPr="00BD295E" w:rsidRDefault="008A5057" w:rsidP="005510A8">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Department for Construction in Saint Petersburg (Head: M.O. Rudy) for the Leningrad Region. (Ye.S. Gashkova) The Unit has a total of 19 employees, 16 of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The function of organizing and implementing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is assigned by individual orders: </w:t>
      </w:r>
    </w:p>
    <w:tbl>
      <w:tblPr>
        <w:tblW w:w="9719" w:type="dxa"/>
        <w:tblInd w:w="93" w:type="dxa"/>
        <w:tblLook w:val="04A0" w:firstRow="1" w:lastRow="0" w:firstColumn="1" w:lastColumn="0" w:noHBand="0" w:noVBand="1"/>
      </w:tblPr>
      <w:tblGrid>
        <w:gridCol w:w="9719"/>
      </w:tblGrid>
      <w:tr w:rsidR="008A5057" w:rsidRPr="00BD295E" w14:paraId="6619DCCB" w14:textId="77777777" w:rsidTr="005510A8">
        <w:trPr>
          <w:trHeight w:val="300"/>
        </w:trPr>
        <w:tc>
          <w:tcPr>
            <w:tcW w:w="9719" w:type="dxa"/>
            <w:tcBorders>
              <w:top w:val="nil"/>
              <w:left w:val="nil"/>
              <w:bottom w:val="nil"/>
              <w:right w:val="nil"/>
            </w:tcBorders>
            <w:shd w:val="clear" w:color="auto" w:fill="auto"/>
            <w:noWrap/>
            <w:vAlign w:val="bottom"/>
            <w:hideMark/>
          </w:tcPr>
          <w:p w14:paraId="7B7F84E2" w14:textId="77777777" w:rsidR="005510A8" w:rsidRPr="00BD295E" w:rsidRDefault="008A5057" w:rsidP="005510A8">
            <w:pPr>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10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February 22, 2018, </w:t>
            </w:r>
            <w:r w:rsidRPr="00BD295E">
              <w:rPr>
                <w:rFonts w:ascii="Arial" w:hAnsi="Arial" w:cs="Arial"/>
                <w:i/>
                <w:iCs/>
                <w:snapToGrid w:val="0"/>
                <w:sz w:val="18"/>
                <w:szCs w:val="18"/>
                <w:lang w:val="en-US"/>
              </w:rPr>
              <w:t xml:space="preserve">On temporary assignment of </w:t>
            </w:r>
            <w:r w:rsidR="00101C37" w:rsidRPr="00BD295E">
              <w:rPr>
                <w:rFonts w:ascii="Arial" w:hAnsi="Arial" w:cs="Arial"/>
                <w:i/>
                <w:iCs/>
                <w:snapToGrid w:val="0"/>
                <w:sz w:val="18"/>
                <w:szCs w:val="18"/>
                <w:lang w:val="en-US"/>
              </w:rPr>
              <w:t>construction inspection</w:t>
            </w:r>
            <w:r w:rsidRPr="00BD295E">
              <w:rPr>
                <w:rFonts w:ascii="Arial" w:hAnsi="Arial" w:cs="Arial"/>
                <w:i/>
                <w:iCs/>
                <w:snapToGrid w:val="0"/>
                <w:sz w:val="18"/>
                <w:szCs w:val="18"/>
                <w:lang w:val="en-US"/>
              </w:rPr>
              <w:t xml:space="preserve"> functions for the110 kV Shushary substation project</w:t>
            </w:r>
            <w:r w:rsidRPr="00BD295E">
              <w:rPr>
                <w:rFonts w:ascii="Arial" w:hAnsi="Arial" w:cs="Arial"/>
                <w:snapToGrid w:val="0"/>
                <w:sz w:val="18"/>
                <w:szCs w:val="18"/>
                <w:lang w:val="en-US"/>
              </w:rPr>
              <w:t xml:space="preserve">; </w:t>
            </w:r>
          </w:p>
        </w:tc>
      </w:tr>
      <w:tr w:rsidR="008A5057" w:rsidRPr="00BD295E" w14:paraId="4D150AAE" w14:textId="77777777" w:rsidTr="005510A8">
        <w:trPr>
          <w:trHeight w:val="300"/>
        </w:trPr>
        <w:tc>
          <w:tcPr>
            <w:tcW w:w="9719" w:type="dxa"/>
            <w:tcBorders>
              <w:top w:val="nil"/>
              <w:left w:val="nil"/>
              <w:bottom w:val="nil"/>
              <w:right w:val="nil"/>
            </w:tcBorders>
            <w:shd w:val="clear" w:color="auto" w:fill="auto"/>
            <w:noWrap/>
            <w:vAlign w:val="bottom"/>
            <w:hideMark/>
          </w:tcPr>
          <w:p w14:paraId="093839FB" w14:textId="77777777" w:rsidR="005510A8" w:rsidRPr="00BD295E" w:rsidRDefault="008A5057" w:rsidP="005510A8">
            <w:pPr>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11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February 22, 2018, </w:t>
            </w:r>
            <w:r w:rsidRPr="00BD295E">
              <w:rPr>
                <w:rFonts w:ascii="Arial" w:hAnsi="Arial" w:cs="Arial"/>
                <w:i/>
                <w:iCs/>
                <w:snapToGrid w:val="0"/>
                <w:sz w:val="18"/>
                <w:szCs w:val="18"/>
                <w:lang w:val="en-US"/>
              </w:rPr>
              <w:t xml:space="preserve">On assignment of </w:t>
            </w:r>
            <w:r w:rsidR="00101C37" w:rsidRPr="00BD295E">
              <w:rPr>
                <w:rFonts w:ascii="Arial" w:hAnsi="Arial" w:cs="Arial"/>
                <w:i/>
                <w:iCs/>
                <w:snapToGrid w:val="0"/>
                <w:sz w:val="18"/>
                <w:szCs w:val="18"/>
                <w:lang w:val="en-US"/>
              </w:rPr>
              <w:t>construction inspection</w:t>
            </w:r>
            <w:r w:rsidRPr="00BD295E">
              <w:rPr>
                <w:rFonts w:ascii="Arial" w:hAnsi="Arial" w:cs="Arial"/>
                <w:i/>
                <w:iCs/>
                <w:snapToGrid w:val="0"/>
                <w:sz w:val="18"/>
                <w:szCs w:val="18"/>
                <w:lang w:val="en-US"/>
              </w:rPr>
              <w:t xml:space="preserve"> functions at Substation No. 124</w:t>
            </w:r>
            <w:r w:rsidRPr="00BD295E">
              <w:rPr>
                <w:rFonts w:ascii="Arial" w:hAnsi="Arial" w:cs="Arial"/>
                <w:snapToGrid w:val="0"/>
                <w:sz w:val="18"/>
                <w:szCs w:val="18"/>
                <w:lang w:val="en-US"/>
              </w:rPr>
              <w:t>;</w:t>
            </w:r>
          </w:p>
        </w:tc>
      </w:tr>
      <w:tr w:rsidR="008A5057" w:rsidRPr="00BD295E" w14:paraId="43087A3D" w14:textId="77777777" w:rsidTr="005510A8">
        <w:trPr>
          <w:trHeight w:val="300"/>
        </w:trPr>
        <w:tc>
          <w:tcPr>
            <w:tcW w:w="9719" w:type="dxa"/>
            <w:tcBorders>
              <w:top w:val="nil"/>
              <w:left w:val="nil"/>
              <w:bottom w:val="nil"/>
              <w:right w:val="nil"/>
            </w:tcBorders>
            <w:shd w:val="clear" w:color="auto" w:fill="auto"/>
            <w:noWrap/>
            <w:vAlign w:val="bottom"/>
            <w:hideMark/>
          </w:tcPr>
          <w:p w14:paraId="3B478D67" w14:textId="77777777" w:rsidR="005510A8" w:rsidRPr="00BD295E" w:rsidRDefault="008A5057" w:rsidP="005510A8">
            <w:pPr>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12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February 27, 2018, </w:t>
            </w:r>
            <w:r w:rsidRPr="00BD295E">
              <w:rPr>
                <w:rFonts w:ascii="Arial" w:hAnsi="Arial" w:cs="Arial"/>
                <w:i/>
                <w:iCs/>
                <w:snapToGrid w:val="0"/>
                <w:sz w:val="18"/>
                <w:szCs w:val="18"/>
                <w:lang w:val="en-US"/>
              </w:rPr>
              <w:t xml:space="preserve">On assignment of </w:t>
            </w:r>
            <w:r w:rsidR="00101C37" w:rsidRPr="00BD295E">
              <w:rPr>
                <w:rFonts w:ascii="Arial" w:hAnsi="Arial" w:cs="Arial"/>
                <w:i/>
                <w:iCs/>
                <w:snapToGrid w:val="0"/>
                <w:sz w:val="18"/>
                <w:szCs w:val="18"/>
                <w:lang w:val="en-US"/>
              </w:rPr>
              <w:t>construction inspection</w:t>
            </w:r>
            <w:r w:rsidRPr="00BD295E">
              <w:rPr>
                <w:rFonts w:ascii="Arial" w:hAnsi="Arial" w:cs="Arial"/>
                <w:i/>
                <w:iCs/>
                <w:snapToGrid w:val="0"/>
                <w:sz w:val="18"/>
                <w:szCs w:val="18"/>
                <w:lang w:val="en-US"/>
              </w:rPr>
              <w:t xml:space="preserve"> functions at Substation No. 190</w:t>
            </w:r>
            <w:r w:rsidRPr="00BD295E">
              <w:rPr>
                <w:rFonts w:ascii="Arial" w:hAnsi="Arial" w:cs="Arial"/>
                <w:snapToGrid w:val="0"/>
                <w:sz w:val="18"/>
                <w:szCs w:val="18"/>
                <w:lang w:val="en-US"/>
              </w:rPr>
              <w:t>;</w:t>
            </w:r>
          </w:p>
        </w:tc>
      </w:tr>
      <w:tr w:rsidR="008A5057" w:rsidRPr="00BD295E" w14:paraId="217D4A65" w14:textId="77777777" w:rsidTr="005510A8">
        <w:trPr>
          <w:trHeight w:val="300"/>
        </w:trPr>
        <w:tc>
          <w:tcPr>
            <w:tcW w:w="9719" w:type="dxa"/>
            <w:tcBorders>
              <w:top w:val="nil"/>
              <w:left w:val="nil"/>
              <w:bottom w:val="nil"/>
              <w:right w:val="nil"/>
            </w:tcBorders>
            <w:shd w:val="clear" w:color="auto" w:fill="auto"/>
            <w:noWrap/>
            <w:vAlign w:val="bottom"/>
            <w:hideMark/>
          </w:tcPr>
          <w:p w14:paraId="37465D7D" w14:textId="77777777" w:rsidR="005510A8" w:rsidRPr="00BD295E" w:rsidRDefault="008A5057" w:rsidP="005510A8">
            <w:pPr>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13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February 27, 2018, </w:t>
            </w:r>
            <w:r w:rsidRPr="00BD295E">
              <w:rPr>
                <w:rFonts w:ascii="Arial" w:hAnsi="Arial" w:cs="Arial"/>
                <w:i/>
                <w:iCs/>
                <w:snapToGrid w:val="0"/>
                <w:sz w:val="18"/>
                <w:szCs w:val="18"/>
                <w:lang w:val="en-US"/>
              </w:rPr>
              <w:t xml:space="preserve">On assignment of </w:t>
            </w:r>
            <w:r w:rsidR="00101C37" w:rsidRPr="00BD295E">
              <w:rPr>
                <w:rFonts w:ascii="Arial" w:hAnsi="Arial" w:cs="Arial"/>
                <w:i/>
                <w:iCs/>
                <w:snapToGrid w:val="0"/>
                <w:sz w:val="18"/>
                <w:szCs w:val="18"/>
                <w:lang w:val="en-US"/>
              </w:rPr>
              <w:t>construction inspection</w:t>
            </w:r>
            <w:r w:rsidRPr="00BD295E">
              <w:rPr>
                <w:rFonts w:ascii="Arial" w:hAnsi="Arial" w:cs="Arial"/>
                <w:i/>
                <w:iCs/>
                <w:snapToGrid w:val="0"/>
                <w:sz w:val="18"/>
                <w:szCs w:val="18"/>
                <w:lang w:val="en-US"/>
              </w:rPr>
              <w:t xml:space="preserve"> functions at Substation No. 190</w:t>
            </w:r>
            <w:r w:rsidRPr="00BD295E">
              <w:rPr>
                <w:rFonts w:ascii="Arial" w:hAnsi="Arial" w:cs="Arial"/>
                <w:snapToGrid w:val="0"/>
                <w:sz w:val="18"/>
                <w:szCs w:val="18"/>
                <w:lang w:val="en-US"/>
              </w:rPr>
              <w:t xml:space="preserve"> </w:t>
            </w:r>
            <w:r w:rsidRPr="00BD295E">
              <w:rPr>
                <w:rFonts w:ascii="Arial" w:hAnsi="Arial" w:cs="Arial"/>
                <w:i/>
                <w:iCs/>
                <w:snapToGrid w:val="0"/>
                <w:sz w:val="18"/>
                <w:szCs w:val="18"/>
                <w:lang w:val="en-US"/>
              </w:rPr>
              <w:t>2VVR and GPS-190 4VVR</w:t>
            </w:r>
            <w:r w:rsidRPr="00BD295E">
              <w:rPr>
                <w:rFonts w:ascii="Arial" w:hAnsi="Arial" w:cs="Arial"/>
                <w:snapToGrid w:val="0"/>
                <w:sz w:val="18"/>
                <w:szCs w:val="18"/>
                <w:lang w:val="en-US"/>
              </w:rPr>
              <w:t>;</w:t>
            </w:r>
          </w:p>
        </w:tc>
      </w:tr>
      <w:tr w:rsidR="008A5057" w:rsidRPr="00BD295E" w14:paraId="1AB5301A" w14:textId="77777777" w:rsidTr="005510A8">
        <w:trPr>
          <w:trHeight w:val="300"/>
        </w:trPr>
        <w:tc>
          <w:tcPr>
            <w:tcW w:w="9719" w:type="dxa"/>
            <w:tcBorders>
              <w:top w:val="nil"/>
              <w:left w:val="nil"/>
              <w:bottom w:val="nil"/>
              <w:right w:val="nil"/>
            </w:tcBorders>
            <w:shd w:val="clear" w:color="auto" w:fill="auto"/>
            <w:noWrap/>
            <w:vAlign w:val="bottom"/>
            <w:hideMark/>
          </w:tcPr>
          <w:p w14:paraId="5E9BD131" w14:textId="77777777" w:rsidR="005510A8" w:rsidRPr="00BD295E" w:rsidRDefault="008A5057" w:rsidP="005510A8">
            <w:pPr>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20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April 10, 2018, </w:t>
            </w:r>
            <w:r w:rsidRPr="00BD295E">
              <w:rPr>
                <w:rFonts w:ascii="Arial" w:hAnsi="Arial" w:cs="Arial"/>
                <w:i/>
                <w:iCs/>
                <w:snapToGrid w:val="0"/>
                <w:sz w:val="18"/>
                <w:szCs w:val="18"/>
                <w:lang w:val="en-US"/>
              </w:rPr>
              <w:t xml:space="preserve">On assignment of </w:t>
            </w:r>
            <w:r w:rsidR="00101C37" w:rsidRPr="00BD295E">
              <w:rPr>
                <w:rFonts w:ascii="Arial" w:hAnsi="Arial" w:cs="Arial"/>
                <w:i/>
                <w:iCs/>
                <w:snapToGrid w:val="0"/>
                <w:sz w:val="18"/>
                <w:szCs w:val="18"/>
                <w:lang w:val="en-US"/>
              </w:rPr>
              <w:t>construction inspection</w:t>
            </w:r>
            <w:r w:rsidRPr="00BD295E">
              <w:rPr>
                <w:rFonts w:ascii="Arial" w:hAnsi="Arial" w:cs="Arial"/>
                <w:i/>
                <w:iCs/>
                <w:snapToGrid w:val="0"/>
                <w:sz w:val="18"/>
                <w:szCs w:val="18"/>
                <w:lang w:val="en-US"/>
              </w:rPr>
              <w:t xml:space="preserve"> functions at Sat the 220kV Kupchinskaya substation</w:t>
            </w:r>
            <w:r w:rsidRPr="00BD295E">
              <w:rPr>
                <w:rFonts w:ascii="Arial" w:hAnsi="Arial" w:cs="Arial"/>
                <w:snapToGrid w:val="0"/>
                <w:sz w:val="18"/>
                <w:szCs w:val="18"/>
                <w:lang w:val="en-US"/>
              </w:rPr>
              <w:t>;</w:t>
            </w:r>
          </w:p>
        </w:tc>
      </w:tr>
      <w:tr w:rsidR="008A5057" w:rsidRPr="00BD295E" w14:paraId="741B1029" w14:textId="77777777" w:rsidTr="005510A8">
        <w:trPr>
          <w:trHeight w:val="300"/>
        </w:trPr>
        <w:tc>
          <w:tcPr>
            <w:tcW w:w="9719" w:type="dxa"/>
            <w:tcBorders>
              <w:top w:val="nil"/>
              <w:left w:val="nil"/>
              <w:bottom w:val="nil"/>
              <w:right w:val="nil"/>
            </w:tcBorders>
            <w:shd w:val="clear" w:color="auto" w:fill="auto"/>
            <w:noWrap/>
            <w:vAlign w:val="bottom"/>
            <w:hideMark/>
          </w:tcPr>
          <w:p w14:paraId="34030D1E" w14:textId="77777777" w:rsidR="005510A8" w:rsidRPr="00BD295E" w:rsidRDefault="008A5057" w:rsidP="005510A8">
            <w:pPr>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21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April 12, 2018; Order No. 34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May 15, 2018; Order No. 53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May 12, 2018; Order No. 57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July 31, 2018.</w:t>
            </w:r>
          </w:p>
        </w:tc>
      </w:tr>
      <w:tr w:rsidR="008A5057" w:rsidRPr="00BD295E" w14:paraId="5C6A53A3" w14:textId="77777777" w:rsidTr="005510A8">
        <w:trPr>
          <w:trHeight w:val="300"/>
        </w:trPr>
        <w:tc>
          <w:tcPr>
            <w:tcW w:w="9719" w:type="dxa"/>
            <w:tcBorders>
              <w:top w:val="nil"/>
              <w:left w:val="nil"/>
              <w:bottom w:val="nil"/>
              <w:right w:val="nil"/>
            </w:tcBorders>
            <w:shd w:val="clear" w:color="auto" w:fill="auto"/>
            <w:noWrap/>
            <w:vAlign w:val="bottom"/>
            <w:hideMark/>
          </w:tcPr>
          <w:p w14:paraId="4D47F40C" w14:textId="77777777" w:rsidR="005510A8" w:rsidRPr="00BD295E" w:rsidRDefault="008A5057" w:rsidP="005510A8">
            <w:pPr>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63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August 21, 2018; Order No. 64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August 21, 2018; Order No. 69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August 30, 2018; Order No. 74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September 12, 2018;</w:t>
            </w:r>
          </w:p>
        </w:tc>
      </w:tr>
      <w:tr w:rsidR="008A5057" w:rsidRPr="00BD295E" w14:paraId="7FC59423" w14:textId="77777777" w:rsidTr="005510A8">
        <w:trPr>
          <w:trHeight w:val="300"/>
        </w:trPr>
        <w:tc>
          <w:tcPr>
            <w:tcW w:w="9719" w:type="dxa"/>
            <w:tcBorders>
              <w:top w:val="nil"/>
              <w:left w:val="nil"/>
              <w:bottom w:val="nil"/>
              <w:right w:val="nil"/>
            </w:tcBorders>
            <w:shd w:val="clear" w:color="auto" w:fill="auto"/>
            <w:noWrap/>
            <w:vAlign w:val="bottom"/>
            <w:hideMark/>
          </w:tcPr>
          <w:p w14:paraId="761787E7" w14:textId="77777777" w:rsidR="005510A8" w:rsidRPr="00BD295E" w:rsidRDefault="008A5057" w:rsidP="005510A8">
            <w:pPr>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77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September 24, 2018; Order No. 80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October 4, 2018; Order No. 88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October 25, 2018;</w:t>
            </w:r>
          </w:p>
        </w:tc>
      </w:tr>
      <w:tr w:rsidR="008A5057" w:rsidRPr="00BD295E" w14:paraId="420247C6" w14:textId="77777777" w:rsidTr="005510A8">
        <w:trPr>
          <w:trHeight w:val="300"/>
        </w:trPr>
        <w:tc>
          <w:tcPr>
            <w:tcW w:w="9719" w:type="dxa"/>
            <w:tcBorders>
              <w:top w:val="nil"/>
              <w:left w:val="nil"/>
              <w:bottom w:val="nil"/>
              <w:right w:val="nil"/>
            </w:tcBorders>
            <w:shd w:val="clear" w:color="auto" w:fill="auto"/>
            <w:noWrap/>
            <w:vAlign w:val="bottom"/>
            <w:hideMark/>
          </w:tcPr>
          <w:p w14:paraId="59D10038" w14:textId="77777777" w:rsidR="005510A8" w:rsidRPr="00BD295E" w:rsidRDefault="008A5057" w:rsidP="005510A8">
            <w:pPr>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101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November 29, 2018; Order No. 102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November 29, 2018; Order 111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December 12, 2018; Order No. 115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December 18, 2018.</w:t>
            </w:r>
          </w:p>
        </w:tc>
      </w:tr>
    </w:tbl>
    <w:p w14:paraId="6C885231" w14:textId="77777777" w:rsidR="005510A8" w:rsidRPr="00BD295E" w:rsidRDefault="00101C37" w:rsidP="005510A8">
      <w:pPr>
        <w:pStyle w:val="affff6"/>
        <w:jc w:val="both"/>
        <w:rPr>
          <w:rFonts w:ascii="Arial" w:hAnsi="Arial" w:cs="Arial"/>
          <w:snapToGrid w:val="0"/>
          <w:sz w:val="18"/>
          <w:szCs w:val="18"/>
          <w:lang w:val="en-US"/>
        </w:rPr>
      </w:pPr>
      <w:r w:rsidRPr="00BD295E">
        <w:rPr>
          <w:rFonts w:ascii="Arial" w:hAnsi="Arial" w:cs="Arial"/>
          <w:snapToGrid w:val="0"/>
          <w:sz w:val="18"/>
          <w:szCs w:val="18"/>
          <w:lang w:val="en-US"/>
        </w:rPr>
        <w:t>Construction inspection</w:t>
      </w:r>
      <w:r w:rsidR="008A5057" w:rsidRPr="00BD295E">
        <w:rPr>
          <w:rFonts w:ascii="Arial" w:hAnsi="Arial" w:cs="Arial"/>
          <w:snapToGrid w:val="0"/>
          <w:sz w:val="18"/>
          <w:szCs w:val="18"/>
          <w:lang w:val="en-US"/>
        </w:rPr>
        <w:t xml:space="preserve"> specialists are also assigned to supervise specific facilities.</w:t>
      </w:r>
    </w:p>
    <w:p w14:paraId="44C604C8" w14:textId="77777777" w:rsidR="005510A8" w:rsidRPr="00BD295E" w:rsidRDefault="005510A8" w:rsidP="005510A8">
      <w:pPr>
        <w:tabs>
          <w:tab w:val="left" w:pos="2379"/>
        </w:tabs>
        <w:jc w:val="both"/>
        <w:rPr>
          <w:rFonts w:ascii="Arial" w:hAnsi="Arial" w:cs="Arial"/>
          <w:snapToGrid w:val="0"/>
          <w:sz w:val="18"/>
          <w:szCs w:val="18"/>
          <w:lang w:val="en-US"/>
        </w:rPr>
      </w:pPr>
    </w:p>
    <w:p w14:paraId="7BB2448B" w14:textId="77777777" w:rsidR="005510A8" w:rsidRPr="00BD295E" w:rsidRDefault="008A5057" w:rsidP="005510A8">
      <w:pPr>
        <w:tabs>
          <w:tab w:val="left" w:pos="2379"/>
        </w:tabs>
        <w:rPr>
          <w:rFonts w:ascii="Arial" w:hAnsi="Arial" w:cs="Arial"/>
          <w:b/>
          <w:snapToGrid w:val="0"/>
          <w:sz w:val="18"/>
          <w:szCs w:val="18"/>
          <w:lang w:val="en-US"/>
        </w:rPr>
      </w:pPr>
      <w:r w:rsidRPr="00BD295E">
        <w:rPr>
          <w:rFonts w:ascii="Arial" w:hAnsi="Arial" w:cs="Arial"/>
          <w:b/>
          <w:snapToGrid w:val="0"/>
          <w:sz w:val="18"/>
          <w:szCs w:val="18"/>
          <w:lang w:val="en-US"/>
        </w:rPr>
        <w:t>Saint Petersburg High Voltage Network.</w:t>
      </w:r>
    </w:p>
    <w:p w14:paraId="00FC8B2D" w14:textId="77777777" w:rsidR="005510A8" w:rsidRPr="00BD295E" w:rsidRDefault="008A5057" w:rsidP="005510A8">
      <w:pPr>
        <w:tabs>
          <w:tab w:val="left" w:pos="2379"/>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Capital Construction Unit. The Unit has a total of 30 employees, all of them trained in </w:t>
      </w:r>
      <w:r w:rsidR="00101C37" w:rsidRPr="00BD295E">
        <w:rPr>
          <w:rFonts w:ascii="Arial" w:hAnsi="Arial" w:cs="Arial"/>
          <w:snapToGrid w:val="0"/>
          <w:sz w:val="18"/>
          <w:szCs w:val="18"/>
          <w:lang w:val="en-US"/>
        </w:rPr>
        <w:t>construction inspection</w:t>
      </w:r>
      <w:r w:rsidRPr="00BD295E">
        <w:rPr>
          <w:rFonts w:ascii="Arial" w:hAnsi="Arial" w:cs="Arial"/>
          <w:snapToGrid w:val="0"/>
          <w:sz w:val="18"/>
          <w:szCs w:val="18"/>
          <w:lang w:val="en-US"/>
        </w:rPr>
        <w:t xml:space="preserve">. </w:t>
      </w:r>
      <w:r w:rsidRPr="00BD295E">
        <w:rPr>
          <w:rFonts w:ascii="Arial" w:hAnsi="Arial" w:cs="Arial"/>
          <w:sz w:val="18"/>
          <w:szCs w:val="18"/>
          <w:lang w:val="en-US"/>
        </w:rPr>
        <w:t xml:space="preserve">The function of organizing and implementing </w:t>
      </w:r>
      <w:r w:rsidR="00101C37" w:rsidRPr="00BD295E">
        <w:rPr>
          <w:rFonts w:ascii="Arial" w:hAnsi="Arial" w:cs="Arial"/>
          <w:sz w:val="18"/>
          <w:szCs w:val="18"/>
          <w:lang w:val="en-US"/>
        </w:rPr>
        <w:t>construction inspection</w:t>
      </w:r>
      <w:r w:rsidRPr="00BD295E">
        <w:rPr>
          <w:rFonts w:ascii="Arial" w:hAnsi="Arial" w:cs="Arial"/>
          <w:sz w:val="18"/>
          <w:szCs w:val="18"/>
          <w:lang w:val="en-US"/>
        </w:rPr>
        <w:t xml:space="preserve"> is assigned by Order No. 133 </w:t>
      </w:r>
      <w:r w:rsidR="008B183C" w:rsidRPr="00BD295E">
        <w:rPr>
          <w:rFonts w:ascii="Arial" w:hAnsi="Arial" w:cs="Arial"/>
          <w:sz w:val="18"/>
          <w:szCs w:val="18"/>
          <w:lang w:val="en-US"/>
        </w:rPr>
        <w:t>of</w:t>
      </w:r>
      <w:r w:rsidRPr="00BD295E">
        <w:rPr>
          <w:rFonts w:ascii="Arial" w:hAnsi="Arial" w:cs="Arial"/>
          <w:sz w:val="18"/>
          <w:szCs w:val="18"/>
          <w:lang w:val="en-US"/>
        </w:rPr>
        <w:t xml:space="preserve"> April 19, 2016.</w:t>
      </w:r>
    </w:p>
    <w:p w14:paraId="7373E86E" w14:textId="1E61E82E" w:rsidR="00BA4A10" w:rsidRPr="00BD295E" w:rsidRDefault="00BA4A10">
      <w:pPr>
        <w:rPr>
          <w:rFonts w:ascii="Arial" w:hAnsi="Arial" w:cs="Arial"/>
          <w:snapToGrid w:val="0"/>
          <w:sz w:val="18"/>
          <w:szCs w:val="18"/>
          <w:lang w:val="en-US"/>
        </w:rPr>
      </w:pPr>
      <w:r w:rsidRPr="00BD295E">
        <w:rPr>
          <w:rFonts w:ascii="Arial" w:hAnsi="Arial" w:cs="Arial"/>
          <w:snapToGrid w:val="0"/>
          <w:sz w:val="18"/>
          <w:szCs w:val="18"/>
          <w:lang w:val="en-US"/>
        </w:rPr>
        <w:br w:type="page"/>
      </w:r>
    </w:p>
    <w:p w14:paraId="40A8AECF" w14:textId="77777777" w:rsidR="005510A8" w:rsidRPr="00BD295E" w:rsidRDefault="008A5057" w:rsidP="005510A8">
      <w:pPr>
        <w:pStyle w:val="afffffff3"/>
        <w:rPr>
          <w:rFonts w:ascii="Arial" w:hAnsi="Arial" w:cs="Arial"/>
          <w:b w:val="0"/>
          <w:i w:val="0"/>
          <w:color w:val="auto"/>
          <w:sz w:val="18"/>
          <w:szCs w:val="18"/>
          <w:lang w:val="en-US"/>
        </w:rPr>
      </w:pPr>
      <w:r w:rsidRPr="00BD295E">
        <w:rPr>
          <w:rFonts w:ascii="Arial" w:hAnsi="Arial" w:cs="Arial"/>
          <w:b w:val="0"/>
          <w:i w:val="0"/>
          <w:color w:val="auto"/>
          <w:sz w:val="18"/>
          <w:szCs w:val="18"/>
          <w:lang w:val="en-US"/>
        </w:rPr>
        <w:t>Fig. 13.</w:t>
      </w:r>
      <w:r w:rsidRPr="00BD295E">
        <w:rPr>
          <w:rFonts w:ascii="Arial" w:hAnsi="Arial" w:cs="Arial"/>
          <w:b w:val="0"/>
          <w:i w:val="0"/>
          <w:color w:val="auto"/>
          <w:sz w:val="18"/>
          <w:szCs w:val="18"/>
          <w:lang w:val="en-US"/>
        </w:rPr>
        <w:tab/>
        <w:t xml:space="preserve">Breakdown of employees responsible for </w:t>
      </w:r>
      <w:r w:rsidR="00101C37" w:rsidRPr="00BD295E">
        <w:rPr>
          <w:rFonts w:ascii="Arial" w:hAnsi="Arial" w:cs="Arial"/>
          <w:b w:val="0"/>
          <w:i w:val="0"/>
          <w:color w:val="auto"/>
          <w:sz w:val="18"/>
          <w:szCs w:val="18"/>
          <w:lang w:val="en-US"/>
        </w:rPr>
        <w:t>construction inspection</w:t>
      </w:r>
      <w:r w:rsidRPr="00BD295E">
        <w:rPr>
          <w:rFonts w:ascii="Arial" w:hAnsi="Arial" w:cs="Arial"/>
          <w:b w:val="0"/>
          <w:i w:val="0"/>
          <w:color w:val="auto"/>
          <w:sz w:val="18"/>
          <w:szCs w:val="18"/>
          <w:lang w:val="en-US"/>
        </w:rPr>
        <w:t xml:space="preserve"> at branches of </w:t>
      </w:r>
      <w:r w:rsidR="00EE5753" w:rsidRPr="00BD295E">
        <w:rPr>
          <w:rFonts w:ascii="Arial" w:hAnsi="Arial" w:cs="Arial"/>
          <w:b w:val="0"/>
          <w:i w:val="0"/>
          <w:color w:val="auto"/>
          <w:sz w:val="18"/>
          <w:szCs w:val="18"/>
          <w:lang w:val="en-US"/>
        </w:rPr>
        <w:t>PJSC “Lenenergo”</w:t>
      </w:r>
      <w:r w:rsidRPr="00BD295E">
        <w:rPr>
          <w:rFonts w:ascii="Arial" w:hAnsi="Arial" w:cs="Arial"/>
          <w:b w:val="0"/>
          <w:i w:val="0"/>
          <w:color w:val="auto"/>
          <w:sz w:val="18"/>
          <w:szCs w:val="18"/>
          <w:lang w:val="en-US"/>
        </w:rPr>
        <w:t xml:space="preserve">, persons </w:t>
      </w:r>
    </w:p>
    <w:p w14:paraId="22472154" w14:textId="14FAC9A3" w:rsidR="00B20A51" w:rsidRPr="00BD295E" w:rsidRDefault="00997D07" w:rsidP="005510A8">
      <w:pPr>
        <w:pStyle w:val="afffffff3"/>
        <w:rPr>
          <w:rFonts w:ascii="Arial" w:hAnsi="Arial" w:cs="Arial"/>
          <w:color w:val="auto"/>
          <w:sz w:val="18"/>
          <w:szCs w:val="18"/>
          <w:lang w:val="en-US"/>
        </w:rPr>
      </w:pPr>
      <w:bookmarkStart w:id="274" w:name="_Hlk95936318"/>
      <w:r w:rsidRPr="00BD295E">
        <w:rPr>
          <w:rFonts w:ascii="Arial" w:hAnsi="Arial" w:cs="Arial"/>
          <w:snapToGrid/>
          <w:color w:val="auto"/>
          <w:sz w:val="18"/>
          <w:szCs w:val="18"/>
          <w:lang w:val="en-US" w:eastAsia="en-US"/>
        </w:rPr>
        <w:drawing>
          <wp:inline distT="0" distB="0" distL="0" distR="0" wp14:anchorId="7610C118" wp14:editId="5E558FD0">
            <wp:extent cx="5948680" cy="5146475"/>
            <wp:effectExtent l="0" t="0" r="13970" b="16510"/>
            <wp:docPr id="52" name="Диаграмма 2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bookmarkEnd w:id="274"/>
    </w:p>
    <w:p w14:paraId="68520E55" w14:textId="50F89ECB" w:rsidR="00BA4A10" w:rsidRPr="00BD295E" w:rsidRDefault="00BA4A10">
      <w:pPr>
        <w:rPr>
          <w:rFonts w:ascii="Arial" w:hAnsi="Arial" w:cs="Arial"/>
          <w:b/>
          <w:i/>
          <w:snapToGrid w:val="0"/>
          <w:sz w:val="18"/>
          <w:szCs w:val="18"/>
          <w:lang w:val="en-US"/>
        </w:rPr>
      </w:pPr>
      <w:r w:rsidRPr="00BD295E">
        <w:rPr>
          <w:rFonts w:ascii="Arial" w:hAnsi="Arial" w:cs="Arial"/>
          <w:sz w:val="18"/>
          <w:szCs w:val="18"/>
          <w:lang w:val="en-US"/>
        </w:rPr>
        <w:br w:type="page"/>
      </w:r>
    </w:p>
    <w:p w14:paraId="2EFCD029" w14:textId="77777777" w:rsidR="005510A8" w:rsidRPr="00BD295E" w:rsidRDefault="008A5057" w:rsidP="005510A8">
      <w:pPr>
        <w:pStyle w:val="afffffff3"/>
        <w:rPr>
          <w:rFonts w:ascii="Arial" w:hAnsi="Arial" w:cs="Arial"/>
          <w:b w:val="0"/>
          <w:i w:val="0"/>
          <w:color w:val="auto"/>
          <w:sz w:val="18"/>
          <w:szCs w:val="18"/>
          <w:lang w:val="en-US"/>
        </w:rPr>
      </w:pPr>
      <w:r w:rsidRPr="00BD295E">
        <w:rPr>
          <w:rFonts w:ascii="Arial" w:hAnsi="Arial" w:cs="Arial"/>
          <w:b w:val="0"/>
          <w:i w:val="0"/>
          <w:color w:val="auto"/>
          <w:sz w:val="18"/>
          <w:szCs w:val="18"/>
          <w:lang w:val="en-US"/>
        </w:rPr>
        <w:t>Fig. 14.</w:t>
      </w:r>
      <w:r w:rsidRPr="00BD295E">
        <w:rPr>
          <w:rFonts w:ascii="Arial" w:hAnsi="Arial" w:cs="Arial"/>
          <w:b w:val="0"/>
          <w:i w:val="0"/>
          <w:color w:val="auto"/>
          <w:sz w:val="18"/>
          <w:szCs w:val="18"/>
          <w:lang w:val="en-US"/>
        </w:rPr>
        <w:tab/>
      </w:r>
      <w:r w:rsidR="00BF106F" w:rsidRPr="00BD295E">
        <w:rPr>
          <w:rFonts w:ascii="Arial" w:hAnsi="Arial" w:cs="Arial"/>
          <w:b w:val="0"/>
          <w:i w:val="0"/>
          <w:color w:val="auto"/>
          <w:sz w:val="18"/>
          <w:szCs w:val="18"/>
          <w:lang w:val="en-US"/>
        </w:rPr>
        <w:t>Company staff by p</w:t>
      </w:r>
      <w:r w:rsidRPr="00BD295E">
        <w:rPr>
          <w:rFonts w:ascii="Arial" w:hAnsi="Arial" w:cs="Arial"/>
          <w:b w:val="0"/>
          <w:i w:val="0"/>
          <w:color w:val="auto"/>
          <w:sz w:val="18"/>
          <w:szCs w:val="18"/>
          <w:lang w:val="en-US"/>
        </w:rPr>
        <w:t>rofessional education</w:t>
      </w:r>
    </w:p>
    <w:p w14:paraId="33CA8358" w14:textId="2810C956" w:rsidR="005510A8" w:rsidRPr="00BD295E" w:rsidRDefault="00882C3A" w:rsidP="005510A8">
      <w:pPr>
        <w:pStyle w:val="afffff3"/>
        <w:rPr>
          <w:rFonts w:ascii="Arial" w:hAnsi="Arial" w:cs="Arial"/>
          <w:sz w:val="18"/>
          <w:szCs w:val="18"/>
          <w:lang w:val="en-US"/>
        </w:rPr>
      </w:pPr>
      <w:bookmarkStart w:id="275" w:name="_Hlk95936329"/>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95968" behindDoc="0" locked="0" layoutInCell="1" allowOverlap="1" wp14:anchorId="26046BD8" wp14:editId="45DCBB07">
                <wp:simplePos x="0" y="0"/>
                <wp:positionH relativeFrom="column">
                  <wp:posOffset>1795369</wp:posOffset>
                </wp:positionH>
                <wp:positionV relativeFrom="paragraph">
                  <wp:posOffset>2935605</wp:posOffset>
                </wp:positionV>
                <wp:extent cx="2121136" cy="424704"/>
                <wp:effectExtent l="0" t="0" r="0" b="0"/>
                <wp:wrapNone/>
                <wp:docPr id="5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136" cy="424704"/>
                        </a:xfrm>
                        <a:prstGeom prst="rect">
                          <a:avLst/>
                        </a:prstGeom>
                        <a:solidFill>
                          <a:schemeClr val="bg1"/>
                        </a:solidFill>
                        <a:ln w="9525">
                          <a:noFill/>
                          <a:miter lim="800000"/>
                          <a:headEnd/>
                          <a:tailEnd/>
                        </a:ln>
                      </wps:spPr>
                      <wps:txbx>
                        <w:txbxContent>
                          <w:p w14:paraId="5DE8DC11" w14:textId="2F1ABB0E" w:rsidR="002C3947" w:rsidRPr="00882C3A" w:rsidRDefault="002C3947">
                            <w:pPr>
                              <w:rPr>
                                <w:rFonts w:ascii="Arial" w:hAnsi="Arial" w:cs="Arial"/>
                                <w:sz w:val="28"/>
                                <w:szCs w:val="44"/>
                              </w:rPr>
                            </w:pPr>
                            <w:r w:rsidRPr="00882C3A">
                              <w:rPr>
                                <w:rFonts w:ascii="Arial" w:hAnsi="Arial" w:cs="Arial"/>
                                <w:sz w:val="28"/>
                                <w:szCs w:val="44"/>
                              </w:rPr>
                              <w:t>Industrial and civil construction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046BD8" id="_x0000_s1108" type="#_x0000_t202" style="position:absolute;left:0;text-align:left;margin-left:141.35pt;margin-top:231.15pt;width:167pt;height:33.45pt;z-index:25179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" fillcolor="white [3212]" stroked="f">
                <v:textbox inset="0,0,0,0">
                  <w:txbxContent>
                    <w:p w14:paraId="5DE8DC11" w14:textId="2F1ABB0E" w:rsidR="002C3947" w:rsidRPr="00882C3A" w:rsidRDefault="002C3947">
                      <w:pPr>
                        <w:rPr>
                          <w:rFonts w:ascii="Arial" w:hAnsi="Arial" w:cs="Arial"/>
                          <w:sz w:val="28"/>
                          <w:szCs w:val="44"/>
                        </w:rPr>
                      </w:pPr>
                      <w:r w:rsidRPr="00882C3A">
                        <w:rPr>
                          <w:rFonts w:ascii="Arial" w:hAnsi="Arial" w:cs="Arial"/>
                          <w:sz w:val="28"/>
                          <w:szCs w:val="44"/>
                        </w:rPr>
                        <w:t>Industrial and civil construction</w:t>
                      </w:r>
                    </w:p>
                  </w:txbxContent>
                </v:textbox>
              </v:shape>
            </w:pict>
          </mc:Fallback>
        </mc:AlternateContent>
      </w:r>
      <w:r w:rsidR="00997D07" w:rsidRPr="00BD295E">
        <w:rPr>
          <w:rFonts w:ascii="Arial" w:hAnsi="Arial" w:cs="Arial"/>
          <w:snapToGrid/>
          <w:sz w:val="18"/>
          <w:szCs w:val="18"/>
          <w:lang w:val="en-US" w:eastAsia="en-US"/>
        </w:rPr>
        <w:drawing>
          <wp:inline distT="0" distB="0" distL="0" distR="0" wp14:anchorId="7BCCAE0D" wp14:editId="0CD23719">
            <wp:extent cx="4895850" cy="3634105"/>
            <wp:effectExtent l="0" t="0" r="0" b="0"/>
            <wp:docPr id="53" name="Диаграмма 494" descr="Название: Распределение персонала по группам электробезопасност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94" descr="Название: Распределение персонала по группам электробезопасности"/>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95850" cy="3634105"/>
                    </a:xfrm>
                    <a:prstGeom prst="rect">
                      <a:avLst/>
                    </a:prstGeom>
                    <a:noFill/>
                    <a:ln>
                      <a:noFill/>
                    </a:ln>
                  </pic:spPr>
                </pic:pic>
              </a:graphicData>
            </a:graphic>
          </wp:inline>
        </w:drawing>
      </w:r>
      <w:bookmarkEnd w:id="275"/>
    </w:p>
    <w:p w14:paraId="4E2379F7" w14:textId="4CD5259D" w:rsidR="005510A8" w:rsidRPr="00BD295E" w:rsidRDefault="005510A8" w:rsidP="005510A8">
      <w:pPr>
        <w:pStyle w:val="afffffff3"/>
        <w:rPr>
          <w:rFonts w:ascii="Arial" w:hAnsi="Arial" w:cs="Arial"/>
          <w:color w:val="auto"/>
          <w:sz w:val="18"/>
          <w:szCs w:val="18"/>
          <w:lang w:val="en-US"/>
        </w:rPr>
      </w:pPr>
    </w:p>
    <w:p w14:paraId="420AD92A" w14:textId="0135032F" w:rsidR="005510A8" w:rsidRPr="00BD295E" w:rsidRDefault="008A5057" w:rsidP="005510A8">
      <w:pPr>
        <w:pStyle w:val="afffffff3"/>
        <w:rPr>
          <w:rFonts w:ascii="Arial" w:hAnsi="Arial" w:cs="Arial"/>
          <w:color w:val="auto"/>
          <w:sz w:val="18"/>
          <w:szCs w:val="18"/>
          <w:lang w:val="en-US"/>
        </w:rPr>
      </w:pPr>
      <w:r w:rsidRPr="00BD295E">
        <w:rPr>
          <w:rFonts w:ascii="Arial" w:hAnsi="Arial" w:cs="Arial"/>
          <w:color w:val="auto"/>
          <w:sz w:val="18"/>
          <w:szCs w:val="18"/>
          <w:lang w:val="en-US"/>
        </w:rPr>
        <w:t>Fig. 15.</w:t>
      </w:r>
      <w:r w:rsidRPr="00BD295E">
        <w:rPr>
          <w:rFonts w:ascii="Arial" w:hAnsi="Arial" w:cs="Arial"/>
          <w:color w:val="auto"/>
          <w:sz w:val="18"/>
          <w:szCs w:val="18"/>
          <w:lang w:val="en-US"/>
        </w:rPr>
        <w:tab/>
      </w:r>
      <w:r w:rsidR="00BF106F" w:rsidRPr="00BD295E">
        <w:rPr>
          <w:rFonts w:ascii="Arial" w:hAnsi="Arial" w:cs="Arial"/>
          <w:color w:val="auto"/>
          <w:sz w:val="18"/>
          <w:szCs w:val="18"/>
          <w:lang w:val="en-US"/>
        </w:rPr>
        <w:t xml:space="preserve">Years worked </w:t>
      </w:r>
      <w:r w:rsidRPr="00BD295E">
        <w:rPr>
          <w:rFonts w:ascii="Arial" w:hAnsi="Arial" w:cs="Arial"/>
          <w:color w:val="auto"/>
          <w:sz w:val="18"/>
          <w:szCs w:val="18"/>
          <w:lang w:val="en-US"/>
        </w:rPr>
        <w:t>in the</w:t>
      </w:r>
      <w:r w:rsidR="00BF106F" w:rsidRPr="00BD295E">
        <w:rPr>
          <w:rFonts w:ascii="Arial" w:hAnsi="Arial" w:cs="Arial"/>
          <w:color w:val="auto"/>
          <w:sz w:val="18"/>
          <w:szCs w:val="18"/>
          <w:lang w:val="en-US"/>
        </w:rPr>
        <w:t xml:space="preserve"> power</w:t>
      </w:r>
      <w:r w:rsidRPr="00BD295E">
        <w:rPr>
          <w:rFonts w:ascii="Arial" w:hAnsi="Arial" w:cs="Arial"/>
          <w:color w:val="auto"/>
          <w:sz w:val="18"/>
          <w:szCs w:val="18"/>
          <w:lang w:val="en-US"/>
        </w:rPr>
        <w:t xml:space="preserve"> industry</w:t>
      </w:r>
    </w:p>
    <w:p w14:paraId="3535DAFA" w14:textId="7FE1BCF3" w:rsidR="00882C3A" w:rsidRPr="00BD295E" w:rsidRDefault="00882C3A" w:rsidP="00882C3A">
      <w:pPr>
        <w:pStyle w:val="1ff8"/>
        <w:ind w:right="1133"/>
        <w:rPr>
          <w:sz w:val="32"/>
          <w:szCs w:val="32"/>
        </w:rPr>
      </w:pPr>
      <w:bookmarkStart w:id="276" w:name="_Hlk95936336"/>
      <w:r w:rsidRPr="00BD295E">
        <w:rPr>
          <w:sz w:val="32"/>
          <w:szCs w:val="32"/>
        </w:rPr>
        <w:t>Year worked in the power industry</w:t>
      </w:r>
    </w:p>
    <w:p w14:paraId="3539F155" w14:textId="3075DC50" w:rsidR="005510A8" w:rsidRPr="00BD295E" w:rsidRDefault="00882C3A" w:rsidP="005510A8">
      <w:pPr>
        <w:pStyle w:val="afffff3"/>
        <w:rPr>
          <w:rFonts w:ascii="Arial" w:hAnsi="Arial" w:cs="Arial"/>
          <w:sz w:val="18"/>
          <w:szCs w:val="18"/>
          <w:lang w:val="en-US"/>
        </w:rPr>
      </w:pP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02112" behindDoc="0" locked="0" layoutInCell="1" allowOverlap="1" wp14:anchorId="3491A395" wp14:editId="74A3633F">
                <wp:simplePos x="0" y="0"/>
                <wp:positionH relativeFrom="column">
                  <wp:posOffset>2933065</wp:posOffset>
                </wp:positionH>
                <wp:positionV relativeFrom="paragraph">
                  <wp:posOffset>2256566</wp:posOffset>
                </wp:positionV>
                <wp:extent cx="1784350" cy="190500"/>
                <wp:effectExtent l="0" t="0" r="6350" b="0"/>
                <wp:wrapNone/>
                <wp:docPr id="5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190500"/>
                        </a:xfrm>
                        <a:prstGeom prst="rect">
                          <a:avLst/>
                        </a:prstGeom>
                        <a:solidFill>
                          <a:schemeClr val="bg1"/>
                        </a:solidFill>
                        <a:ln w="9525">
                          <a:noFill/>
                          <a:miter lim="800000"/>
                          <a:headEnd/>
                          <a:tailEnd/>
                        </a:ln>
                      </wps:spPr>
                      <wps:txbx>
                        <w:txbxContent>
                          <w:p w14:paraId="1E937778" w14:textId="2C5B47DD" w:rsidR="002C3947" w:rsidRPr="00882C3A" w:rsidRDefault="002C3947" w:rsidP="00882C3A">
                            <w:pPr>
                              <w:rPr>
                                <w:rFonts w:ascii="Arial" w:hAnsi="Arial" w:cs="Arial"/>
                                <w:b/>
                                <w:bCs/>
                                <w:sz w:val="22"/>
                                <w:szCs w:val="36"/>
                              </w:rPr>
                            </w:pPr>
                            <w:r w:rsidRPr="00882C3A">
                              <w:rPr>
                                <w:rFonts w:ascii="Arial" w:hAnsi="Arial" w:cs="Arial"/>
                                <w:b/>
                                <w:bCs/>
                                <w:sz w:val="22"/>
                                <w:szCs w:val="36"/>
                              </w:rPr>
                              <w:t>From 3 to 5 years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491A395" id="_x0000_s1109" type="#_x0000_t202" style="position:absolute;left:0;text-align:left;margin-left:230.95pt;margin-top:177.7pt;width:140.5pt;height:15pt;z-index:25180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" fillcolor="white [3212]" stroked="f">
                <v:textbox inset="0,0,0,0">
                  <w:txbxContent>
                    <w:p w14:paraId="1E937778" w14:textId="2C5B47DD" w:rsidR="002C3947" w:rsidRPr="00882C3A" w:rsidRDefault="002C3947" w:rsidP="00882C3A">
                      <w:pPr>
                        <w:rPr>
                          <w:rFonts w:ascii="Arial" w:hAnsi="Arial" w:cs="Arial"/>
                          <w:b/>
                          <w:bCs/>
                          <w:sz w:val="22"/>
                          <w:szCs w:val="36"/>
                        </w:rPr>
                      </w:pPr>
                      <w:r w:rsidRPr="00882C3A">
                        <w:rPr>
                          <w:rFonts w:ascii="Arial" w:hAnsi="Arial" w:cs="Arial"/>
                          <w:b/>
                          <w:bCs/>
                          <w:sz w:val="22"/>
                          <w:szCs w:val="36"/>
                        </w:rPr>
                        <w:t>From 3 to 5 years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798016" behindDoc="0" locked="0" layoutInCell="1" allowOverlap="1" wp14:anchorId="142BECF4" wp14:editId="204256D8">
                <wp:simplePos x="0" y="0"/>
                <wp:positionH relativeFrom="column">
                  <wp:posOffset>926465</wp:posOffset>
                </wp:positionH>
                <wp:positionV relativeFrom="paragraph">
                  <wp:posOffset>2254250</wp:posOffset>
                </wp:positionV>
                <wp:extent cx="1784350" cy="190500"/>
                <wp:effectExtent l="0" t="0" r="6350" b="0"/>
                <wp:wrapNone/>
                <wp:docPr id="5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190500"/>
                        </a:xfrm>
                        <a:prstGeom prst="rect">
                          <a:avLst/>
                        </a:prstGeom>
                        <a:solidFill>
                          <a:schemeClr val="bg1"/>
                        </a:solidFill>
                        <a:ln w="9525">
                          <a:noFill/>
                          <a:miter lim="800000"/>
                          <a:headEnd/>
                          <a:tailEnd/>
                        </a:ln>
                      </wps:spPr>
                      <wps:txbx>
                        <w:txbxContent>
                          <w:p w14:paraId="3CB3D642" w14:textId="122CA41C" w:rsidR="002C3947" w:rsidRPr="00882C3A" w:rsidRDefault="002C3947">
                            <w:pPr>
                              <w:rPr>
                                <w:rFonts w:ascii="Arial" w:hAnsi="Arial" w:cs="Arial"/>
                                <w:b/>
                                <w:bCs/>
                                <w:sz w:val="22"/>
                                <w:szCs w:val="36"/>
                              </w:rPr>
                            </w:pPr>
                            <w:r w:rsidRPr="00882C3A">
                              <w:rPr>
                                <w:rFonts w:ascii="Arial" w:hAnsi="Arial" w:cs="Arial"/>
                                <w:b/>
                                <w:bCs/>
                                <w:sz w:val="22"/>
                                <w:szCs w:val="36"/>
                              </w:rPr>
                              <w:t>Over 5 years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2BECF4" id="_x0000_s1110" type="#_x0000_t202" style="position:absolute;left:0;text-align:left;margin-left:72.95pt;margin-top:177.5pt;width:140.5pt;height:15pt;z-index:25179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" fillcolor="white [3212]" stroked="f">
                <v:textbox inset="0,0,0,0">
                  <w:txbxContent>
                    <w:p w14:paraId="3CB3D642" w14:textId="122CA41C" w:rsidR="002C3947" w:rsidRPr="00882C3A" w:rsidRDefault="002C3947">
                      <w:pPr>
                        <w:rPr>
                          <w:rFonts w:ascii="Arial" w:hAnsi="Arial" w:cs="Arial"/>
                          <w:b/>
                          <w:bCs/>
                          <w:sz w:val="22"/>
                          <w:szCs w:val="36"/>
                        </w:rPr>
                      </w:pPr>
                      <w:r w:rsidRPr="00882C3A">
                        <w:rPr>
                          <w:rFonts w:ascii="Arial" w:hAnsi="Arial" w:cs="Arial"/>
                          <w:b/>
                          <w:bCs/>
                          <w:sz w:val="22"/>
                          <w:szCs w:val="36"/>
                        </w:rPr>
                        <w:t>Over 5 years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00064" behindDoc="0" locked="0" layoutInCell="1" allowOverlap="1" wp14:anchorId="5B1BBAD7" wp14:editId="575CDACA">
                <wp:simplePos x="0" y="0"/>
                <wp:positionH relativeFrom="column">
                  <wp:posOffset>926241</wp:posOffset>
                </wp:positionH>
                <wp:positionV relativeFrom="paragraph">
                  <wp:posOffset>2494915</wp:posOffset>
                </wp:positionV>
                <wp:extent cx="1784350" cy="190500"/>
                <wp:effectExtent l="0" t="0" r="6350" b="0"/>
                <wp:wrapNone/>
                <wp:docPr id="5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190500"/>
                        </a:xfrm>
                        <a:prstGeom prst="rect">
                          <a:avLst/>
                        </a:prstGeom>
                        <a:solidFill>
                          <a:schemeClr val="bg1"/>
                        </a:solidFill>
                        <a:ln w="9525">
                          <a:noFill/>
                          <a:miter lim="800000"/>
                          <a:headEnd/>
                          <a:tailEnd/>
                        </a:ln>
                      </wps:spPr>
                      <wps:txbx>
                        <w:txbxContent>
                          <w:p w14:paraId="0CB4CF8C" w14:textId="657D99E9" w:rsidR="002C3947" w:rsidRPr="00882C3A" w:rsidRDefault="002C3947" w:rsidP="00882C3A">
                            <w:pPr>
                              <w:rPr>
                                <w:rFonts w:ascii="Arial" w:hAnsi="Arial" w:cs="Arial"/>
                                <w:b/>
                                <w:bCs/>
                                <w:sz w:val="22"/>
                                <w:szCs w:val="36"/>
                              </w:rPr>
                            </w:pPr>
                            <w:r w:rsidRPr="00882C3A">
                              <w:rPr>
                                <w:rFonts w:ascii="Arial" w:hAnsi="Arial" w:cs="Arial"/>
                                <w:b/>
                                <w:bCs/>
                                <w:sz w:val="22"/>
                                <w:szCs w:val="36"/>
                              </w:rPr>
                              <w:t>Less than 3 years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1BBAD7" id="_x0000_s1111" type="#_x0000_t202" style="position:absolute;left:0;text-align:left;margin-left:72.95pt;margin-top:196.45pt;width:140.5pt;height:15pt;z-index:25180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" fillcolor="white [3212]" stroked="f">
                <v:textbox inset="0,0,0,0">
                  <w:txbxContent>
                    <w:p w14:paraId="0CB4CF8C" w14:textId="657D99E9" w:rsidR="002C3947" w:rsidRPr="00882C3A" w:rsidRDefault="002C3947" w:rsidP="00882C3A">
                      <w:pPr>
                        <w:rPr>
                          <w:rFonts w:ascii="Arial" w:hAnsi="Arial" w:cs="Arial"/>
                          <w:b/>
                          <w:bCs/>
                          <w:sz w:val="22"/>
                          <w:szCs w:val="36"/>
                        </w:rPr>
                      </w:pPr>
                      <w:r w:rsidRPr="00882C3A">
                        <w:rPr>
                          <w:rFonts w:ascii="Arial" w:hAnsi="Arial" w:cs="Arial"/>
                          <w:b/>
                          <w:bCs/>
                          <w:sz w:val="22"/>
                          <w:szCs w:val="36"/>
                        </w:rPr>
                        <w:t>Less than 3 years</w:t>
                      </w:r>
                    </w:p>
                  </w:txbxContent>
                </v:textbox>
              </v:shape>
            </w:pict>
          </mc:Fallback>
        </mc:AlternateContent>
      </w:r>
      <w:r w:rsidR="00997D07" w:rsidRPr="00BD295E">
        <w:rPr>
          <w:rFonts w:ascii="Arial" w:hAnsi="Arial" w:cs="Arial"/>
          <w:snapToGrid/>
          <w:sz w:val="18"/>
          <w:szCs w:val="18"/>
          <w:lang w:val="en-US" w:eastAsia="en-US"/>
        </w:rPr>
        <w:drawing>
          <wp:inline distT="0" distB="0" distL="0" distR="0" wp14:anchorId="763E1E22" wp14:editId="60FA8520">
            <wp:extent cx="4567555" cy="2831934"/>
            <wp:effectExtent l="0" t="0" r="0" b="0"/>
            <wp:docPr id="54" name="Рисунок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rrowheads="1"/>
                    </pic:cNvPicPr>
                  </pic:nvPicPr>
                  <pic:blipFill rotWithShape="1">
                    <a:blip r:embed="rId77">
                      <a:extLst>
                        <a:ext uri="{28A0092B-C50C-407E-A947-70E740481C1C}">
                          <a14:useLocalDpi xmlns:a14="http://schemas.microsoft.com/office/drawing/2010/main" val="0"/>
                        </a:ext>
                      </a:extLst>
                    </a:blip>
                    <a:srcRect t="12037"/>
                    <a:stretch/>
                  </pic:blipFill>
                  <pic:spPr bwMode="auto">
                    <a:xfrm>
                      <a:off x="0" y="0"/>
                      <a:ext cx="4567555" cy="2831934"/>
                    </a:xfrm>
                    <a:prstGeom prst="rect">
                      <a:avLst/>
                    </a:prstGeom>
                    <a:noFill/>
                    <a:ln>
                      <a:noFill/>
                    </a:ln>
                    <a:extLst>
                      <a:ext uri="{53640926-AAD7-44D8-BBD7-CCE9431645EC}">
                        <a14:shadowObscured xmlns:a14="http://schemas.microsoft.com/office/drawing/2010/main"/>
                      </a:ext>
                    </a:extLst>
                  </pic:spPr>
                </pic:pic>
              </a:graphicData>
            </a:graphic>
          </wp:inline>
        </w:drawing>
      </w:r>
      <w:bookmarkEnd w:id="276"/>
    </w:p>
    <w:p w14:paraId="0AEC11E3" w14:textId="23EB6249" w:rsidR="00BA4A10" w:rsidRPr="00BD295E" w:rsidRDefault="00BA4A10">
      <w:pPr>
        <w:rPr>
          <w:rFonts w:ascii="Arial" w:hAnsi="Arial" w:cs="Arial"/>
          <w:snapToGrid w:val="0"/>
          <w:sz w:val="18"/>
          <w:szCs w:val="18"/>
          <w:lang w:val="en-US"/>
        </w:rPr>
      </w:pPr>
      <w:r w:rsidRPr="00BD295E">
        <w:rPr>
          <w:rFonts w:ascii="Arial" w:hAnsi="Arial" w:cs="Arial"/>
          <w:sz w:val="18"/>
          <w:szCs w:val="18"/>
          <w:lang w:val="en-US"/>
        </w:rPr>
        <w:br w:type="page"/>
      </w:r>
    </w:p>
    <w:p w14:paraId="49DACDB4" w14:textId="77777777" w:rsidR="005510A8" w:rsidRPr="00BD295E" w:rsidRDefault="008A5057" w:rsidP="005510A8">
      <w:pPr>
        <w:pStyle w:val="afffffff3"/>
        <w:rPr>
          <w:rFonts w:ascii="Arial" w:hAnsi="Arial" w:cs="Arial"/>
          <w:color w:val="auto"/>
          <w:sz w:val="18"/>
          <w:szCs w:val="18"/>
          <w:lang w:val="en-US"/>
        </w:rPr>
      </w:pPr>
      <w:r w:rsidRPr="00BD295E">
        <w:rPr>
          <w:rFonts w:ascii="Arial" w:hAnsi="Arial" w:cs="Arial"/>
          <w:color w:val="auto"/>
          <w:sz w:val="18"/>
          <w:szCs w:val="18"/>
          <w:lang w:val="en-US"/>
        </w:rPr>
        <w:t>Fig. 16.</w:t>
      </w:r>
      <w:r w:rsidRPr="00BD295E">
        <w:rPr>
          <w:rFonts w:ascii="Arial" w:hAnsi="Arial" w:cs="Arial"/>
          <w:color w:val="auto"/>
          <w:sz w:val="18"/>
          <w:szCs w:val="18"/>
          <w:lang w:val="en-US"/>
        </w:rPr>
        <w:tab/>
      </w:r>
      <w:r w:rsidR="00BF106F" w:rsidRPr="00BD295E">
        <w:rPr>
          <w:rFonts w:ascii="Arial" w:hAnsi="Arial" w:cs="Arial"/>
          <w:color w:val="auto"/>
          <w:sz w:val="18"/>
          <w:szCs w:val="18"/>
          <w:lang w:val="en-US"/>
        </w:rPr>
        <w:t>Staff’s</w:t>
      </w:r>
      <w:r w:rsidRPr="00BD295E">
        <w:rPr>
          <w:rFonts w:ascii="Arial" w:hAnsi="Arial" w:cs="Arial"/>
          <w:color w:val="auto"/>
          <w:sz w:val="18"/>
          <w:szCs w:val="18"/>
          <w:lang w:val="en-US"/>
        </w:rPr>
        <w:t xml:space="preserve"> electric</w:t>
      </w:r>
      <w:r w:rsidR="00BF106F" w:rsidRPr="00BD295E">
        <w:rPr>
          <w:rFonts w:ascii="Arial" w:hAnsi="Arial" w:cs="Arial"/>
          <w:color w:val="auto"/>
          <w:sz w:val="18"/>
          <w:szCs w:val="18"/>
          <w:lang w:val="en-US"/>
        </w:rPr>
        <w:t>al</w:t>
      </w:r>
      <w:r w:rsidRPr="00BD295E">
        <w:rPr>
          <w:rFonts w:ascii="Arial" w:hAnsi="Arial" w:cs="Arial"/>
          <w:color w:val="auto"/>
          <w:sz w:val="18"/>
          <w:szCs w:val="18"/>
          <w:lang w:val="en-US"/>
        </w:rPr>
        <w:t xml:space="preserve"> safety </w:t>
      </w:r>
      <w:r w:rsidR="00BF106F" w:rsidRPr="00BD295E">
        <w:rPr>
          <w:rFonts w:ascii="Arial" w:hAnsi="Arial" w:cs="Arial"/>
          <w:color w:val="auto"/>
          <w:sz w:val="18"/>
          <w:szCs w:val="18"/>
          <w:lang w:val="en-US"/>
        </w:rPr>
        <w:t>admission</w:t>
      </w:r>
    </w:p>
    <w:p w14:paraId="6A126002" w14:textId="6453AAF6" w:rsidR="005510A8" w:rsidRPr="00BD295E" w:rsidRDefault="00882C3A" w:rsidP="005510A8">
      <w:pPr>
        <w:pStyle w:val="afffff3"/>
        <w:rPr>
          <w:rFonts w:ascii="Arial" w:hAnsi="Arial" w:cs="Arial"/>
          <w:sz w:val="18"/>
          <w:szCs w:val="18"/>
          <w:lang w:val="en-US"/>
        </w:rPr>
      </w:pPr>
      <w:bookmarkStart w:id="277" w:name="_Hlk95936341"/>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10304" behindDoc="0" locked="0" layoutInCell="1" allowOverlap="1" wp14:anchorId="78D278AE" wp14:editId="5150D352">
                <wp:simplePos x="0" y="0"/>
                <wp:positionH relativeFrom="column">
                  <wp:posOffset>4255135</wp:posOffset>
                </wp:positionH>
                <wp:positionV relativeFrom="paragraph">
                  <wp:posOffset>3029585</wp:posOffset>
                </wp:positionV>
                <wp:extent cx="883806" cy="190500"/>
                <wp:effectExtent l="0" t="0" r="0" b="0"/>
                <wp:wrapNone/>
                <wp:docPr id="5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806" cy="190500"/>
                        </a:xfrm>
                        <a:prstGeom prst="rect">
                          <a:avLst/>
                        </a:prstGeom>
                        <a:solidFill>
                          <a:schemeClr val="bg1"/>
                        </a:solidFill>
                        <a:ln w="9525">
                          <a:noFill/>
                          <a:miter lim="800000"/>
                          <a:headEnd/>
                          <a:tailEnd/>
                        </a:ln>
                      </wps:spPr>
                      <wps:txbx>
                        <w:txbxContent>
                          <w:p w14:paraId="4B9B48C1" w14:textId="77777777" w:rsidR="002C3947" w:rsidRPr="00882C3A" w:rsidRDefault="002C3947" w:rsidP="00882C3A">
                            <w:pPr>
                              <w:rPr>
                                <w:rFonts w:ascii="Arial" w:hAnsi="Arial" w:cs="Arial"/>
                                <w:sz w:val="18"/>
                                <w:szCs w:val="28"/>
                              </w:rPr>
                            </w:pPr>
                            <w:r w:rsidRPr="00882C3A">
                              <w:rPr>
                                <w:rFonts w:ascii="Arial" w:hAnsi="Arial" w:cs="Arial"/>
                                <w:sz w:val="18"/>
                                <w:szCs w:val="28"/>
                              </w:rPr>
                              <w:t>Class 5</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D278AE" id="_x0000_s1112" type="#_x0000_t202" style="position:absolute;left:0;text-align:left;margin-left:335.05pt;margin-top:238.55pt;width:69.6pt;height:15pt;z-index:25181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" fillcolor="white [3212]" stroked="f">
                <v:textbox inset="0,0,0,0">
                  <w:txbxContent>
                    <w:p w14:paraId="4B9B48C1" w14:textId="77777777" w:rsidR="002C3947" w:rsidRPr="00882C3A" w:rsidRDefault="002C3947" w:rsidP="00882C3A">
                      <w:pPr>
                        <w:rPr>
                          <w:rFonts w:ascii="Arial" w:hAnsi="Arial" w:cs="Arial"/>
                          <w:sz w:val="18"/>
                          <w:szCs w:val="28"/>
                        </w:rPr>
                      </w:pPr>
                      <w:r w:rsidRPr="00882C3A">
                        <w:rPr>
                          <w:rFonts w:ascii="Arial" w:hAnsi="Arial" w:cs="Arial"/>
                          <w:sz w:val="18"/>
                          <w:szCs w:val="28"/>
                        </w:rPr>
                        <w:t>Class 5</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08256" behindDoc="0" locked="0" layoutInCell="1" allowOverlap="1" wp14:anchorId="0F705E70" wp14:editId="24C7D233">
                <wp:simplePos x="0" y="0"/>
                <wp:positionH relativeFrom="column">
                  <wp:posOffset>3162935</wp:posOffset>
                </wp:positionH>
                <wp:positionV relativeFrom="paragraph">
                  <wp:posOffset>3029585</wp:posOffset>
                </wp:positionV>
                <wp:extent cx="883806" cy="190500"/>
                <wp:effectExtent l="0" t="0" r="0" b="0"/>
                <wp:wrapNone/>
                <wp:docPr id="5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806" cy="190500"/>
                        </a:xfrm>
                        <a:prstGeom prst="rect">
                          <a:avLst/>
                        </a:prstGeom>
                        <a:solidFill>
                          <a:schemeClr val="bg1"/>
                        </a:solidFill>
                        <a:ln w="9525">
                          <a:noFill/>
                          <a:miter lim="800000"/>
                          <a:headEnd/>
                          <a:tailEnd/>
                        </a:ln>
                      </wps:spPr>
                      <wps:txbx>
                        <w:txbxContent>
                          <w:p w14:paraId="5E273B20" w14:textId="77777777" w:rsidR="002C3947" w:rsidRPr="00882C3A" w:rsidRDefault="002C3947" w:rsidP="00882C3A">
                            <w:pPr>
                              <w:rPr>
                                <w:rFonts w:ascii="Arial" w:hAnsi="Arial" w:cs="Arial"/>
                                <w:sz w:val="18"/>
                                <w:szCs w:val="28"/>
                              </w:rPr>
                            </w:pPr>
                            <w:r w:rsidRPr="00882C3A">
                              <w:rPr>
                                <w:rFonts w:ascii="Arial" w:hAnsi="Arial" w:cs="Arial"/>
                                <w:sz w:val="18"/>
                                <w:szCs w:val="28"/>
                              </w:rPr>
                              <w:t>Class 5</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F705E70" id="_x0000_s1113" type="#_x0000_t202" style="position:absolute;left:0;text-align:left;margin-left:249.05pt;margin-top:238.55pt;width:69.6pt;height:15pt;z-index:25180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" fillcolor="white [3212]" stroked="f">
                <v:textbox inset="0,0,0,0">
                  <w:txbxContent>
                    <w:p w14:paraId="5E273B20" w14:textId="77777777" w:rsidR="002C3947" w:rsidRPr="00882C3A" w:rsidRDefault="002C3947" w:rsidP="00882C3A">
                      <w:pPr>
                        <w:rPr>
                          <w:rFonts w:ascii="Arial" w:hAnsi="Arial" w:cs="Arial"/>
                          <w:sz w:val="18"/>
                          <w:szCs w:val="28"/>
                        </w:rPr>
                      </w:pPr>
                      <w:r w:rsidRPr="00882C3A">
                        <w:rPr>
                          <w:rFonts w:ascii="Arial" w:hAnsi="Arial" w:cs="Arial"/>
                          <w:sz w:val="18"/>
                          <w:szCs w:val="28"/>
                        </w:rPr>
                        <w:t>Class 5</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06208" behindDoc="0" locked="0" layoutInCell="1" allowOverlap="1" wp14:anchorId="3A91CBAD" wp14:editId="20D7A71A">
                <wp:simplePos x="0" y="0"/>
                <wp:positionH relativeFrom="column">
                  <wp:posOffset>2054225</wp:posOffset>
                </wp:positionH>
                <wp:positionV relativeFrom="paragraph">
                  <wp:posOffset>3030855</wp:posOffset>
                </wp:positionV>
                <wp:extent cx="883806" cy="190500"/>
                <wp:effectExtent l="0" t="0" r="0" b="0"/>
                <wp:wrapNone/>
                <wp:docPr id="5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806" cy="190500"/>
                        </a:xfrm>
                        <a:prstGeom prst="rect">
                          <a:avLst/>
                        </a:prstGeom>
                        <a:solidFill>
                          <a:schemeClr val="bg1"/>
                        </a:solidFill>
                        <a:ln w="9525">
                          <a:noFill/>
                          <a:miter lim="800000"/>
                          <a:headEnd/>
                          <a:tailEnd/>
                        </a:ln>
                      </wps:spPr>
                      <wps:txbx>
                        <w:txbxContent>
                          <w:p w14:paraId="20F88EE2" w14:textId="77777777" w:rsidR="002C3947" w:rsidRPr="00882C3A" w:rsidRDefault="002C3947" w:rsidP="00882C3A">
                            <w:pPr>
                              <w:rPr>
                                <w:rFonts w:ascii="Arial" w:hAnsi="Arial" w:cs="Arial"/>
                                <w:sz w:val="18"/>
                                <w:szCs w:val="28"/>
                              </w:rPr>
                            </w:pPr>
                            <w:r w:rsidRPr="00882C3A">
                              <w:rPr>
                                <w:rFonts w:ascii="Arial" w:hAnsi="Arial" w:cs="Arial"/>
                                <w:sz w:val="18"/>
                                <w:szCs w:val="28"/>
                              </w:rPr>
                              <w:t>Class 5</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91CBAD" id="_x0000_s1114" type="#_x0000_t202" style="position:absolute;left:0;text-align:left;margin-left:161.75pt;margin-top:238.65pt;width:69.6pt;height:15pt;z-index:25180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" fillcolor="white [3212]" stroked="f">
                <v:textbox inset="0,0,0,0">
                  <w:txbxContent>
                    <w:p w14:paraId="20F88EE2" w14:textId="77777777" w:rsidR="002C3947" w:rsidRPr="00882C3A" w:rsidRDefault="002C3947" w:rsidP="00882C3A">
                      <w:pPr>
                        <w:rPr>
                          <w:rFonts w:ascii="Arial" w:hAnsi="Arial" w:cs="Arial"/>
                          <w:sz w:val="18"/>
                          <w:szCs w:val="28"/>
                        </w:rPr>
                      </w:pPr>
                      <w:r w:rsidRPr="00882C3A">
                        <w:rPr>
                          <w:rFonts w:ascii="Arial" w:hAnsi="Arial" w:cs="Arial"/>
                          <w:sz w:val="18"/>
                          <w:szCs w:val="28"/>
                        </w:rPr>
                        <w:t>Class 5</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04160" behindDoc="0" locked="0" layoutInCell="1" allowOverlap="1" wp14:anchorId="5C0FF334" wp14:editId="0C32493F">
                <wp:simplePos x="0" y="0"/>
                <wp:positionH relativeFrom="column">
                  <wp:posOffset>969010</wp:posOffset>
                </wp:positionH>
                <wp:positionV relativeFrom="paragraph">
                  <wp:posOffset>3030855</wp:posOffset>
                </wp:positionV>
                <wp:extent cx="883806" cy="190500"/>
                <wp:effectExtent l="0" t="0" r="0" b="0"/>
                <wp:wrapNone/>
                <wp:docPr id="5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806" cy="190500"/>
                        </a:xfrm>
                        <a:prstGeom prst="rect">
                          <a:avLst/>
                        </a:prstGeom>
                        <a:solidFill>
                          <a:schemeClr val="bg1"/>
                        </a:solidFill>
                        <a:ln w="9525">
                          <a:noFill/>
                          <a:miter lim="800000"/>
                          <a:headEnd/>
                          <a:tailEnd/>
                        </a:ln>
                      </wps:spPr>
                      <wps:txbx>
                        <w:txbxContent>
                          <w:p w14:paraId="6D71F630" w14:textId="6C3CD34A" w:rsidR="002C3947" w:rsidRPr="00882C3A" w:rsidRDefault="002C3947">
                            <w:pPr>
                              <w:rPr>
                                <w:rFonts w:ascii="Arial" w:hAnsi="Arial" w:cs="Arial"/>
                                <w:sz w:val="18"/>
                                <w:szCs w:val="28"/>
                              </w:rPr>
                            </w:pPr>
                            <w:r w:rsidRPr="00882C3A">
                              <w:rPr>
                                <w:rFonts w:ascii="Arial" w:hAnsi="Arial" w:cs="Arial"/>
                                <w:sz w:val="18"/>
                                <w:szCs w:val="28"/>
                              </w:rPr>
                              <w:t>Class 5</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0FF334" id="_x0000_s1115" type="#_x0000_t202" style="position:absolute;left:0;text-align:left;margin-left:76.3pt;margin-top:238.65pt;width:69.6pt;height:15pt;z-index:25180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" fillcolor="white [3212]" stroked="f">
                <v:textbox inset="0,0,0,0">
                  <w:txbxContent>
                    <w:p w14:paraId="6D71F630" w14:textId="6C3CD34A" w:rsidR="002C3947" w:rsidRPr="00882C3A" w:rsidRDefault="002C3947">
                      <w:pPr>
                        <w:rPr>
                          <w:rFonts w:ascii="Arial" w:hAnsi="Arial" w:cs="Arial"/>
                          <w:sz w:val="18"/>
                          <w:szCs w:val="28"/>
                        </w:rPr>
                      </w:pPr>
                      <w:r w:rsidRPr="00882C3A">
                        <w:rPr>
                          <w:rFonts w:ascii="Arial" w:hAnsi="Arial" w:cs="Arial"/>
                          <w:sz w:val="18"/>
                          <w:szCs w:val="28"/>
                        </w:rPr>
                        <w:t>Class 5</w:t>
                      </w:r>
                    </w:p>
                  </w:txbxContent>
                </v:textbox>
              </v:shape>
            </w:pict>
          </mc:Fallback>
        </mc:AlternateContent>
      </w:r>
      <w:r w:rsidR="00997D07" w:rsidRPr="00BD295E">
        <w:rPr>
          <w:rFonts w:ascii="Arial" w:hAnsi="Arial" w:cs="Arial"/>
          <w:snapToGrid/>
          <w:sz w:val="18"/>
          <w:szCs w:val="18"/>
          <w:lang w:val="en-US" w:eastAsia="en-US"/>
        </w:rPr>
        <w:drawing>
          <wp:inline distT="0" distB="0" distL="0" distR="0" wp14:anchorId="4816F078" wp14:editId="2C1F7BD7">
            <wp:extent cx="5219700" cy="3576955"/>
            <wp:effectExtent l="0" t="0" r="0" b="0"/>
            <wp:docPr id="55" name="Диаграмма 483" descr="Название: Распределение персонала по группам электробезопасност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83" descr="Название: Распределение персонала по группам электробезопасности"/>
                    <pic:cNvPicPr>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19700" cy="3576955"/>
                    </a:xfrm>
                    <a:prstGeom prst="rect">
                      <a:avLst/>
                    </a:prstGeom>
                    <a:noFill/>
                    <a:ln>
                      <a:noFill/>
                    </a:ln>
                  </pic:spPr>
                </pic:pic>
              </a:graphicData>
            </a:graphic>
          </wp:inline>
        </w:drawing>
      </w:r>
      <w:bookmarkEnd w:id="277"/>
    </w:p>
    <w:p w14:paraId="5DFA22F6" w14:textId="77777777" w:rsidR="005510A8" w:rsidRPr="00BD295E" w:rsidRDefault="005510A8" w:rsidP="005510A8">
      <w:pPr>
        <w:pStyle w:val="afffff3"/>
        <w:rPr>
          <w:rFonts w:ascii="Arial" w:hAnsi="Arial" w:cs="Arial"/>
          <w:sz w:val="18"/>
          <w:szCs w:val="18"/>
          <w:lang w:val="en-US"/>
        </w:rPr>
      </w:pPr>
    </w:p>
    <w:p w14:paraId="1CED09A7" w14:textId="77777777" w:rsidR="005510A8" w:rsidRPr="00BD295E" w:rsidRDefault="008A5057" w:rsidP="00531EB3">
      <w:pPr>
        <w:pStyle w:val="afffff4"/>
        <w:ind w:left="0"/>
        <w:rPr>
          <w:rFonts w:ascii="Arial" w:hAnsi="Arial" w:cs="Arial"/>
          <w:sz w:val="18"/>
          <w:szCs w:val="18"/>
          <w:lang w:val="en-US"/>
        </w:rPr>
      </w:pPr>
      <w:r w:rsidRPr="00BD295E">
        <w:rPr>
          <w:rFonts w:ascii="Arial" w:hAnsi="Arial" w:cs="Arial"/>
          <w:sz w:val="18"/>
          <w:szCs w:val="18"/>
          <w:lang w:val="en-US"/>
        </w:rPr>
        <w:t xml:space="preserve">Results of </w:t>
      </w:r>
      <w:r w:rsidR="00101C37" w:rsidRPr="00BD295E">
        <w:rPr>
          <w:rFonts w:ascii="Arial" w:hAnsi="Arial" w:cs="Arial"/>
          <w:sz w:val="18"/>
          <w:szCs w:val="18"/>
          <w:lang w:val="en-US"/>
        </w:rPr>
        <w:t>construction inspection</w:t>
      </w:r>
      <w:r w:rsidRPr="00BD295E">
        <w:rPr>
          <w:rFonts w:ascii="Arial" w:hAnsi="Arial" w:cs="Arial"/>
          <w:sz w:val="18"/>
          <w:szCs w:val="18"/>
          <w:lang w:val="en-US"/>
        </w:rPr>
        <w:t xml:space="preserve"> of the Company’s facilities across the new construction, </w:t>
      </w:r>
      <w:r w:rsidR="00F37063" w:rsidRPr="00BD295E">
        <w:rPr>
          <w:rFonts w:ascii="Arial" w:hAnsi="Arial" w:cs="Arial"/>
          <w:sz w:val="18"/>
          <w:szCs w:val="18"/>
          <w:lang w:val="en-US"/>
        </w:rPr>
        <w:t>Retrofitting and renovation</w:t>
      </w:r>
      <w:r w:rsidRPr="00BD295E">
        <w:rPr>
          <w:rFonts w:ascii="Arial" w:hAnsi="Arial" w:cs="Arial"/>
          <w:sz w:val="18"/>
          <w:szCs w:val="18"/>
          <w:lang w:val="en-US"/>
        </w:rPr>
        <w:t xml:space="preserve"> projects under the investment program of the Company in the reporting year</w:t>
      </w:r>
    </w:p>
    <w:p w14:paraId="4C980CEE" w14:textId="77777777" w:rsidR="005510A8" w:rsidRPr="00BD295E" w:rsidRDefault="005510A8" w:rsidP="005510A8">
      <w:pPr>
        <w:pStyle w:val="afffff3"/>
        <w:rPr>
          <w:rFonts w:ascii="Arial" w:hAnsi="Arial" w:cs="Arial"/>
          <w:sz w:val="18"/>
          <w:szCs w:val="18"/>
          <w:lang w:val="en-US"/>
        </w:rPr>
      </w:pPr>
    </w:p>
    <w:p w14:paraId="0034E852" w14:textId="77777777" w:rsidR="005510A8" w:rsidRPr="00BD295E" w:rsidRDefault="008A5057" w:rsidP="00531EB3">
      <w:pPr>
        <w:pStyle w:val="afffff3"/>
        <w:ind w:firstLine="0"/>
        <w:rPr>
          <w:rFonts w:ascii="Arial" w:hAnsi="Arial" w:cs="Arial"/>
          <w:sz w:val="18"/>
          <w:szCs w:val="18"/>
          <w:lang w:val="en-US"/>
        </w:rPr>
      </w:pPr>
      <w:r w:rsidRPr="00BD295E">
        <w:rPr>
          <w:rFonts w:ascii="Arial" w:hAnsi="Arial" w:cs="Arial"/>
          <w:sz w:val="18"/>
          <w:szCs w:val="18"/>
          <w:lang w:val="en-US"/>
        </w:rPr>
        <w:t xml:space="preserve">Third-party </w:t>
      </w:r>
      <w:r w:rsidR="00101C37" w:rsidRPr="00BD295E">
        <w:rPr>
          <w:rFonts w:ascii="Arial" w:hAnsi="Arial" w:cs="Arial"/>
          <w:sz w:val="18"/>
          <w:szCs w:val="18"/>
          <w:lang w:val="en-US"/>
        </w:rPr>
        <w:t>construction inspection</w:t>
      </w:r>
      <w:r w:rsidRPr="00BD295E">
        <w:rPr>
          <w:rFonts w:ascii="Arial" w:hAnsi="Arial" w:cs="Arial"/>
          <w:sz w:val="18"/>
          <w:szCs w:val="18"/>
          <w:lang w:val="en-US"/>
        </w:rPr>
        <w:t xml:space="preserve"> across the new construction, </w:t>
      </w:r>
      <w:r w:rsidR="00F37063" w:rsidRPr="00BD295E">
        <w:rPr>
          <w:rFonts w:ascii="Arial" w:hAnsi="Arial" w:cs="Arial"/>
          <w:sz w:val="18"/>
          <w:szCs w:val="18"/>
          <w:lang w:val="en-US"/>
        </w:rPr>
        <w:t>Retrofitting and renovation</w:t>
      </w:r>
      <w:r w:rsidRPr="00BD295E">
        <w:rPr>
          <w:rFonts w:ascii="Arial" w:hAnsi="Arial" w:cs="Arial"/>
          <w:sz w:val="18"/>
          <w:szCs w:val="18"/>
          <w:lang w:val="en-US"/>
        </w:rPr>
        <w:t xml:space="preserve"> projects under the investment program in the reporting year</w:t>
      </w:r>
    </w:p>
    <w:p w14:paraId="08C14DCF" w14:textId="77777777" w:rsidR="005510A8" w:rsidRPr="00BD295E" w:rsidRDefault="008A5057" w:rsidP="00531EB3">
      <w:pPr>
        <w:pStyle w:val="afffff3"/>
        <w:ind w:firstLine="0"/>
        <w:rPr>
          <w:rFonts w:ascii="Arial" w:hAnsi="Arial" w:cs="Arial"/>
          <w:sz w:val="18"/>
          <w:szCs w:val="18"/>
          <w:lang w:val="en-US"/>
        </w:rPr>
      </w:pPr>
      <w:r w:rsidRPr="00BD295E">
        <w:rPr>
          <w:rFonts w:ascii="Arial" w:hAnsi="Arial" w:cs="Arial"/>
          <w:sz w:val="18"/>
          <w:szCs w:val="18"/>
          <w:lang w:val="en-US"/>
        </w:rPr>
        <w:t xml:space="preserve">In 2019, in line with the Long-Term Development Program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approved by the Board of Directors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(Minutes No. 174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19, 2014), third-party </w:t>
      </w:r>
      <w:r w:rsidR="00101C37" w:rsidRPr="00BD295E">
        <w:rPr>
          <w:rFonts w:ascii="Arial" w:hAnsi="Arial" w:cs="Arial"/>
          <w:sz w:val="18"/>
          <w:szCs w:val="18"/>
          <w:lang w:val="en-US"/>
        </w:rPr>
        <w:t>construction inspection</w:t>
      </w:r>
      <w:r w:rsidRPr="00BD295E">
        <w:rPr>
          <w:rFonts w:ascii="Arial" w:hAnsi="Arial" w:cs="Arial"/>
          <w:sz w:val="18"/>
          <w:szCs w:val="18"/>
          <w:lang w:val="en-US"/>
        </w:rPr>
        <w:t xml:space="preserve"> covered up to 70% of construction projects under the investment program for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to ensure compliance of the construction projects to be commissioned with the technical specifications, approved design documents, and reliability and safety requirements, with the following supervision experts were engaged to provide supervision for the Company’s investment program projects: </w:t>
      </w:r>
    </w:p>
    <w:p w14:paraId="7AD2C4A1" w14:textId="77777777" w:rsidR="005510A8" w:rsidRPr="00BD295E" w:rsidRDefault="008A5057" w:rsidP="005510A8">
      <w:pPr>
        <w:pStyle w:val="afffff3"/>
        <w:rPr>
          <w:rFonts w:ascii="Arial" w:hAnsi="Arial" w:cs="Arial"/>
          <w:sz w:val="18"/>
          <w:szCs w:val="18"/>
          <w:lang w:val="en-US"/>
        </w:rPr>
      </w:pPr>
      <w:r w:rsidRPr="00BD295E">
        <w:rPr>
          <w:rFonts w:ascii="Arial" w:hAnsi="Arial" w:cs="Arial"/>
          <w:sz w:val="18"/>
          <w:szCs w:val="18"/>
          <w:lang w:val="en-US"/>
        </w:rPr>
        <w:t xml:space="preserve">- Tsentr tekhnicheskogo zakazchika (TsTZ), JSC </w:t>
      </w:r>
    </w:p>
    <w:p w14:paraId="02CE592E" w14:textId="77777777" w:rsidR="005510A8" w:rsidRPr="00BD295E" w:rsidRDefault="008A5057" w:rsidP="005510A8">
      <w:pPr>
        <w:pStyle w:val="afffff3"/>
        <w:rPr>
          <w:rFonts w:ascii="Arial" w:hAnsi="Arial" w:cs="Arial"/>
          <w:sz w:val="18"/>
          <w:szCs w:val="18"/>
          <w:lang w:val="en-US"/>
        </w:rPr>
      </w:pPr>
      <w:r w:rsidRPr="00BD295E">
        <w:rPr>
          <w:rFonts w:ascii="Arial" w:hAnsi="Arial" w:cs="Arial"/>
          <w:sz w:val="18"/>
          <w:szCs w:val="18"/>
          <w:lang w:val="en-US"/>
        </w:rPr>
        <w:t xml:space="preserve">- SeverEnergoProyect, LLC </w:t>
      </w:r>
    </w:p>
    <w:p w14:paraId="413FF847" w14:textId="77777777" w:rsidR="005510A8" w:rsidRPr="00BD295E" w:rsidRDefault="008A5057" w:rsidP="005510A8">
      <w:pPr>
        <w:pStyle w:val="afffff3"/>
        <w:rPr>
          <w:rFonts w:ascii="Arial" w:hAnsi="Arial" w:cs="Arial"/>
          <w:sz w:val="18"/>
          <w:szCs w:val="18"/>
          <w:lang w:val="en-US"/>
        </w:rPr>
      </w:pPr>
      <w:r w:rsidRPr="00BD295E">
        <w:rPr>
          <w:rFonts w:ascii="Arial" w:hAnsi="Arial" w:cs="Arial"/>
          <w:sz w:val="18"/>
          <w:szCs w:val="18"/>
          <w:lang w:val="en-US"/>
        </w:rPr>
        <w:t>- Smart-I, LLC</w:t>
      </w:r>
    </w:p>
    <w:p w14:paraId="4E2488F9" w14:textId="77777777" w:rsidR="005510A8" w:rsidRPr="00BD295E" w:rsidRDefault="008A5057" w:rsidP="005510A8">
      <w:pPr>
        <w:pStyle w:val="afffff3"/>
        <w:rPr>
          <w:rFonts w:ascii="Arial" w:hAnsi="Arial" w:cs="Arial"/>
          <w:sz w:val="18"/>
          <w:szCs w:val="18"/>
          <w:lang w:val="en-US"/>
        </w:rPr>
      </w:pPr>
      <w:r w:rsidRPr="00BD295E">
        <w:rPr>
          <w:rFonts w:ascii="Arial" w:hAnsi="Arial" w:cs="Arial"/>
          <w:sz w:val="18"/>
          <w:szCs w:val="18"/>
          <w:lang w:val="en-US"/>
        </w:rPr>
        <w:t>- A consortium of: TsTZ, JSC, and IK 2K, LLC</w:t>
      </w:r>
    </w:p>
    <w:p w14:paraId="6AA78661" w14:textId="77777777" w:rsidR="005510A8" w:rsidRPr="00BD295E" w:rsidRDefault="005510A8" w:rsidP="005510A8">
      <w:pPr>
        <w:pStyle w:val="afffff3"/>
        <w:rPr>
          <w:rFonts w:ascii="Arial" w:hAnsi="Arial" w:cs="Arial"/>
          <w:sz w:val="18"/>
          <w:szCs w:val="18"/>
          <w:lang w:val="en-US"/>
        </w:rPr>
      </w:pPr>
    </w:p>
    <w:p w14:paraId="37DB33D8" w14:textId="77777777" w:rsidR="005510A8" w:rsidRPr="00BD295E" w:rsidRDefault="008A5057" w:rsidP="00531EB3">
      <w:pPr>
        <w:pStyle w:val="afffff3"/>
        <w:ind w:firstLine="0"/>
        <w:rPr>
          <w:rFonts w:ascii="Arial" w:hAnsi="Arial" w:cs="Arial"/>
          <w:sz w:val="18"/>
          <w:szCs w:val="18"/>
          <w:lang w:val="en-US"/>
        </w:rPr>
      </w:pPr>
      <w:r w:rsidRPr="00BD295E">
        <w:rPr>
          <w:rFonts w:ascii="Arial" w:hAnsi="Arial" w:cs="Arial"/>
          <w:sz w:val="18"/>
          <w:szCs w:val="18"/>
          <w:lang w:val="en-US"/>
        </w:rPr>
        <w:t xml:space="preserve">In 2018, third-party </w:t>
      </w:r>
      <w:r w:rsidR="00101C37" w:rsidRPr="00BD295E">
        <w:rPr>
          <w:rFonts w:ascii="Arial" w:hAnsi="Arial" w:cs="Arial"/>
          <w:sz w:val="18"/>
          <w:szCs w:val="18"/>
          <w:lang w:val="en-US"/>
        </w:rPr>
        <w:t>construction inspection</w:t>
      </w:r>
      <w:r w:rsidRPr="00BD295E">
        <w:rPr>
          <w:rFonts w:ascii="Arial" w:hAnsi="Arial" w:cs="Arial"/>
          <w:sz w:val="18"/>
          <w:szCs w:val="18"/>
          <w:lang w:val="en-US"/>
        </w:rPr>
        <w:t xml:space="preserve"> of construction projects under the Company’s investment program aimed at ensuring compliance of the commissioned capital construction projects with the technical specifications, approved design documents, and reliability and safety requirements covered: 35 %</w:t>
      </w:r>
    </w:p>
    <w:p w14:paraId="6F60C1ED" w14:textId="77777777" w:rsidR="005510A8" w:rsidRPr="00BD295E" w:rsidRDefault="008A5057" w:rsidP="00531EB3">
      <w:pPr>
        <w:pStyle w:val="afffff3"/>
        <w:ind w:firstLine="0"/>
        <w:rPr>
          <w:rFonts w:ascii="Arial" w:hAnsi="Arial" w:cs="Arial"/>
          <w:sz w:val="18"/>
          <w:szCs w:val="18"/>
          <w:lang w:val="en-US"/>
        </w:rPr>
      </w:pPr>
      <w:r w:rsidRPr="00BD295E">
        <w:rPr>
          <w:rFonts w:ascii="Arial" w:hAnsi="Arial" w:cs="Arial"/>
          <w:sz w:val="18"/>
          <w:szCs w:val="18"/>
          <w:lang w:val="en-US"/>
        </w:rPr>
        <w:t>In 2018, the number of priority construction projects under the investment program for 2018 totaled 40 projects.</w:t>
      </w:r>
    </w:p>
    <w:p w14:paraId="6DFCA6D8" w14:textId="77777777" w:rsidR="005510A8" w:rsidRPr="00BD295E" w:rsidRDefault="008A5057" w:rsidP="00531EB3">
      <w:pPr>
        <w:pStyle w:val="afffff3"/>
        <w:ind w:firstLine="0"/>
        <w:rPr>
          <w:rFonts w:ascii="Arial" w:hAnsi="Arial" w:cs="Arial"/>
          <w:sz w:val="18"/>
          <w:szCs w:val="18"/>
          <w:lang w:val="en-US"/>
        </w:rPr>
      </w:pPr>
      <w:r w:rsidRPr="00BD295E">
        <w:rPr>
          <w:rFonts w:ascii="Arial" w:hAnsi="Arial" w:cs="Arial"/>
          <w:sz w:val="18"/>
          <w:szCs w:val="18"/>
          <w:lang w:val="en-US"/>
        </w:rPr>
        <w:t>In 2018, the number of priority construction projects under the investment program for 2018 totaled 14 projects.</w:t>
      </w:r>
    </w:p>
    <w:p w14:paraId="10998F27" w14:textId="77777777" w:rsidR="005510A8" w:rsidRPr="00BD295E" w:rsidRDefault="008A5057" w:rsidP="00531EB3">
      <w:pPr>
        <w:pStyle w:val="afffff3"/>
        <w:ind w:firstLine="0"/>
        <w:rPr>
          <w:rFonts w:ascii="Arial" w:hAnsi="Arial" w:cs="Arial"/>
          <w:sz w:val="18"/>
          <w:szCs w:val="18"/>
          <w:lang w:val="en-US"/>
        </w:rPr>
      </w:pPr>
      <w:r w:rsidRPr="00BD295E">
        <w:rPr>
          <w:rFonts w:ascii="Arial" w:hAnsi="Arial" w:cs="Arial"/>
          <w:sz w:val="18"/>
          <w:szCs w:val="18"/>
          <w:lang w:val="en-US"/>
        </w:rPr>
        <w:t xml:space="preserve">The share of projects covered by third-party </w:t>
      </w:r>
      <w:r w:rsidR="00101C37" w:rsidRPr="00BD295E">
        <w:rPr>
          <w:rFonts w:ascii="Arial" w:hAnsi="Arial" w:cs="Arial"/>
          <w:sz w:val="18"/>
          <w:szCs w:val="18"/>
          <w:lang w:val="en-US"/>
        </w:rPr>
        <w:t>construction inspection</w:t>
      </w:r>
      <w:r w:rsidRPr="00BD295E">
        <w:rPr>
          <w:rFonts w:ascii="Arial" w:hAnsi="Arial" w:cs="Arial"/>
          <w:sz w:val="18"/>
          <w:szCs w:val="18"/>
          <w:lang w:val="en-US"/>
        </w:rPr>
        <w:t xml:space="preserve"> was 35% of all ongoing priority construction projects.</w:t>
      </w:r>
    </w:p>
    <w:p w14:paraId="6E15872F" w14:textId="77777777" w:rsidR="005510A8" w:rsidRPr="00BD295E" w:rsidRDefault="005510A8" w:rsidP="005510A8">
      <w:pPr>
        <w:pStyle w:val="afffff3"/>
        <w:rPr>
          <w:rFonts w:ascii="Arial" w:hAnsi="Arial" w:cs="Arial"/>
          <w:sz w:val="18"/>
          <w:szCs w:val="18"/>
          <w:lang w:val="en-US"/>
        </w:rPr>
      </w:pPr>
    </w:p>
    <w:p w14:paraId="4AF002DF" w14:textId="77777777" w:rsidR="005510A8" w:rsidRPr="00BD295E" w:rsidRDefault="008A5057" w:rsidP="005510A8">
      <w:pPr>
        <w:pStyle w:val="afffffff3"/>
        <w:rPr>
          <w:rFonts w:ascii="Arial" w:hAnsi="Arial" w:cs="Arial"/>
          <w:b w:val="0"/>
          <w:i w:val="0"/>
          <w:color w:val="auto"/>
          <w:sz w:val="18"/>
          <w:szCs w:val="18"/>
          <w:lang w:val="en-US"/>
        </w:rPr>
      </w:pPr>
      <w:r w:rsidRPr="00BD295E">
        <w:rPr>
          <w:rFonts w:ascii="Arial" w:hAnsi="Arial" w:cs="Arial"/>
          <w:b w:val="0"/>
          <w:i w:val="0"/>
          <w:color w:val="auto"/>
          <w:sz w:val="18"/>
          <w:szCs w:val="18"/>
          <w:lang w:val="en-US"/>
        </w:rPr>
        <w:t xml:space="preserve">The total number of breaches identified by </w:t>
      </w:r>
      <w:r w:rsidR="00101C37" w:rsidRPr="00BD295E">
        <w:rPr>
          <w:rFonts w:ascii="Arial" w:hAnsi="Arial" w:cs="Arial"/>
          <w:b w:val="0"/>
          <w:i w:val="0"/>
          <w:color w:val="auto"/>
          <w:sz w:val="18"/>
          <w:szCs w:val="18"/>
          <w:lang w:val="en-US"/>
        </w:rPr>
        <w:t>construction inspection</w:t>
      </w:r>
      <w:r w:rsidRPr="00BD295E">
        <w:rPr>
          <w:rFonts w:ascii="Arial" w:hAnsi="Arial" w:cs="Arial"/>
          <w:b w:val="0"/>
          <w:i w:val="0"/>
          <w:color w:val="auto"/>
          <w:sz w:val="18"/>
          <w:szCs w:val="18"/>
          <w:lang w:val="en-US"/>
        </w:rPr>
        <w:t xml:space="preserve"> at the Company’s investment program projects during the reporting year, including priority projects under the Company’s investment program.</w:t>
      </w:r>
    </w:p>
    <w:tbl>
      <w:tblPr>
        <w:tblW w:w="48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237"/>
        <w:gridCol w:w="1087"/>
        <w:gridCol w:w="1129"/>
        <w:gridCol w:w="1127"/>
        <w:gridCol w:w="1100"/>
        <w:gridCol w:w="1151"/>
        <w:gridCol w:w="967"/>
        <w:gridCol w:w="1177"/>
      </w:tblGrid>
      <w:tr w:rsidR="008A5057" w:rsidRPr="00BD295E" w14:paraId="36DC1D95" w14:textId="77777777" w:rsidTr="00E3510B">
        <w:trPr>
          <w:trHeight w:val="75"/>
        </w:trPr>
        <w:tc>
          <w:tcPr>
            <w:tcW w:w="675" w:type="pct"/>
            <w:vMerge w:val="restart"/>
            <w:shd w:val="clear" w:color="auto" w:fill="D5DCE4"/>
            <w:vAlign w:val="center"/>
          </w:tcPr>
          <w:p w14:paraId="74AAF4F5"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The Company’s investment program project class</w:t>
            </w:r>
          </w:p>
          <w:p w14:paraId="5D8453F0" w14:textId="77777777" w:rsidR="005510A8" w:rsidRPr="00BD295E" w:rsidRDefault="005510A8" w:rsidP="005510A8">
            <w:pPr>
              <w:jc w:val="center"/>
              <w:rPr>
                <w:rFonts w:ascii="Arial" w:hAnsi="Arial" w:cs="Arial"/>
                <w:bCs/>
                <w:sz w:val="18"/>
                <w:szCs w:val="18"/>
                <w:lang w:val="en-US"/>
              </w:rPr>
            </w:pPr>
          </w:p>
        </w:tc>
        <w:tc>
          <w:tcPr>
            <w:tcW w:w="463" w:type="pct"/>
            <w:vMerge w:val="restart"/>
            <w:shd w:val="clear" w:color="auto" w:fill="D5DCE4"/>
            <w:vAlign w:val="center"/>
          </w:tcPr>
          <w:p w14:paraId="3894FE9F"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Number of investment program projects</w:t>
            </w:r>
          </w:p>
        </w:tc>
        <w:tc>
          <w:tcPr>
            <w:tcW w:w="694" w:type="pct"/>
            <w:vMerge w:val="restart"/>
            <w:shd w:val="clear" w:color="auto" w:fill="D5DCE4"/>
            <w:vAlign w:val="center"/>
            <w:hideMark/>
          </w:tcPr>
          <w:p w14:paraId="46F8EAD6"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Total number of violations identified in audit reports</w:t>
            </w:r>
          </w:p>
        </w:tc>
        <w:tc>
          <w:tcPr>
            <w:tcW w:w="3168" w:type="pct"/>
            <w:gridSpan w:val="5"/>
            <w:shd w:val="clear" w:color="auto" w:fill="D5DCE4"/>
            <w:noWrap/>
            <w:vAlign w:val="center"/>
            <w:hideMark/>
          </w:tcPr>
          <w:p w14:paraId="5655DBBF"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including</w:t>
            </w:r>
          </w:p>
        </w:tc>
      </w:tr>
      <w:tr w:rsidR="008A5057" w:rsidRPr="00BD295E" w14:paraId="78216C7C" w14:textId="77777777" w:rsidTr="00E3510B">
        <w:trPr>
          <w:trHeight w:val="735"/>
        </w:trPr>
        <w:tc>
          <w:tcPr>
            <w:tcW w:w="675" w:type="pct"/>
            <w:vMerge/>
            <w:shd w:val="clear" w:color="auto" w:fill="D5DCE4"/>
          </w:tcPr>
          <w:p w14:paraId="3567A5E3" w14:textId="77777777" w:rsidR="005510A8" w:rsidRPr="00BD295E" w:rsidRDefault="005510A8" w:rsidP="005510A8">
            <w:pPr>
              <w:rPr>
                <w:rFonts w:ascii="Arial" w:hAnsi="Arial" w:cs="Arial"/>
                <w:bCs/>
                <w:sz w:val="18"/>
                <w:szCs w:val="18"/>
                <w:lang w:val="en-US"/>
              </w:rPr>
            </w:pPr>
          </w:p>
        </w:tc>
        <w:tc>
          <w:tcPr>
            <w:tcW w:w="463" w:type="pct"/>
            <w:vMerge/>
            <w:shd w:val="clear" w:color="auto" w:fill="D5DCE4"/>
          </w:tcPr>
          <w:p w14:paraId="6453B740" w14:textId="77777777" w:rsidR="005510A8" w:rsidRPr="00BD295E" w:rsidRDefault="005510A8" w:rsidP="005510A8">
            <w:pPr>
              <w:rPr>
                <w:rFonts w:ascii="Arial" w:hAnsi="Arial" w:cs="Arial"/>
                <w:bCs/>
                <w:sz w:val="18"/>
                <w:szCs w:val="18"/>
                <w:lang w:val="en-US"/>
              </w:rPr>
            </w:pPr>
          </w:p>
        </w:tc>
        <w:tc>
          <w:tcPr>
            <w:tcW w:w="694" w:type="pct"/>
            <w:vMerge/>
            <w:shd w:val="clear" w:color="auto" w:fill="D5DCE4"/>
            <w:vAlign w:val="center"/>
            <w:hideMark/>
          </w:tcPr>
          <w:p w14:paraId="7AA9FE85" w14:textId="77777777" w:rsidR="005510A8" w:rsidRPr="00BD295E" w:rsidRDefault="005510A8" w:rsidP="005510A8">
            <w:pPr>
              <w:rPr>
                <w:rFonts w:ascii="Arial" w:hAnsi="Arial" w:cs="Arial"/>
                <w:bCs/>
                <w:sz w:val="18"/>
                <w:szCs w:val="18"/>
                <w:lang w:val="en-US"/>
              </w:rPr>
            </w:pPr>
          </w:p>
        </w:tc>
        <w:tc>
          <w:tcPr>
            <w:tcW w:w="682" w:type="pct"/>
            <w:shd w:val="clear" w:color="auto" w:fill="D5DCE4"/>
            <w:vAlign w:val="center"/>
            <w:hideMark/>
          </w:tcPr>
          <w:p w14:paraId="66962036"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with work suspension</w:t>
            </w:r>
          </w:p>
        </w:tc>
        <w:tc>
          <w:tcPr>
            <w:tcW w:w="689" w:type="pct"/>
            <w:shd w:val="clear" w:color="auto" w:fill="D5DCE4"/>
            <w:vAlign w:val="center"/>
            <w:hideMark/>
          </w:tcPr>
          <w:p w14:paraId="285EA70A"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timely remedied</w:t>
            </w:r>
          </w:p>
        </w:tc>
        <w:tc>
          <w:tcPr>
            <w:tcW w:w="706" w:type="pct"/>
            <w:shd w:val="clear" w:color="auto" w:fill="D5DCE4"/>
            <w:vAlign w:val="center"/>
            <w:hideMark/>
          </w:tcPr>
          <w:p w14:paraId="523AE1EE"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remedied with delay</w:t>
            </w:r>
          </w:p>
        </w:tc>
        <w:tc>
          <w:tcPr>
            <w:tcW w:w="497" w:type="pct"/>
            <w:shd w:val="clear" w:color="auto" w:fill="D5DCE4"/>
            <w:vAlign w:val="center"/>
            <w:hideMark/>
          </w:tcPr>
          <w:p w14:paraId="37FA4340"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not remedied</w:t>
            </w:r>
          </w:p>
        </w:tc>
        <w:tc>
          <w:tcPr>
            <w:tcW w:w="594" w:type="pct"/>
            <w:shd w:val="clear" w:color="auto" w:fill="D5DCE4"/>
            <w:vAlign w:val="center"/>
            <w:hideMark/>
          </w:tcPr>
          <w:p w14:paraId="16F2B549"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The requirement to suspend the work was not met</w:t>
            </w:r>
          </w:p>
        </w:tc>
      </w:tr>
      <w:tr w:rsidR="008A5057" w:rsidRPr="00BD295E" w14:paraId="1F944694" w14:textId="77777777" w:rsidTr="005510A8">
        <w:trPr>
          <w:trHeight w:val="261"/>
        </w:trPr>
        <w:tc>
          <w:tcPr>
            <w:tcW w:w="675" w:type="pct"/>
            <w:vAlign w:val="center"/>
          </w:tcPr>
          <w:p w14:paraId="354BCF61"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2</w:t>
            </w:r>
          </w:p>
        </w:tc>
        <w:tc>
          <w:tcPr>
            <w:tcW w:w="463" w:type="pct"/>
            <w:vAlign w:val="center"/>
          </w:tcPr>
          <w:p w14:paraId="385F794E"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3</w:t>
            </w:r>
          </w:p>
        </w:tc>
        <w:tc>
          <w:tcPr>
            <w:tcW w:w="694" w:type="pct"/>
            <w:vAlign w:val="center"/>
          </w:tcPr>
          <w:p w14:paraId="41BD8099"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4</w:t>
            </w:r>
          </w:p>
        </w:tc>
        <w:tc>
          <w:tcPr>
            <w:tcW w:w="682" w:type="pct"/>
            <w:vAlign w:val="center"/>
          </w:tcPr>
          <w:p w14:paraId="1DFB5091"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5</w:t>
            </w:r>
          </w:p>
        </w:tc>
        <w:tc>
          <w:tcPr>
            <w:tcW w:w="689" w:type="pct"/>
            <w:vAlign w:val="center"/>
          </w:tcPr>
          <w:p w14:paraId="4D4E7C21"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6</w:t>
            </w:r>
          </w:p>
        </w:tc>
        <w:tc>
          <w:tcPr>
            <w:tcW w:w="706" w:type="pct"/>
            <w:vAlign w:val="center"/>
          </w:tcPr>
          <w:p w14:paraId="56FCD355"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7</w:t>
            </w:r>
          </w:p>
        </w:tc>
        <w:tc>
          <w:tcPr>
            <w:tcW w:w="497" w:type="pct"/>
            <w:vAlign w:val="center"/>
          </w:tcPr>
          <w:p w14:paraId="3C443973"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8</w:t>
            </w:r>
          </w:p>
        </w:tc>
        <w:tc>
          <w:tcPr>
            <w:tcW w:w="594" w:type="pct"/>
            <w:vAlign w:val="center"/>
          </w:tcPr>
          <w:p w14:paraId="205CB4E4"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9</w:t>
            </w:r>
          </w:p>
        </w:tc>
      </w:tr>
      <w:tr w:rsidR="008A5057" w:rsidRPr="00BD295E" w14:paraId="6B385FA4" w14:textId="77777777" w:rsidTr="005510A8">
        <w:trPr>
          <w:trHeight w:val="344"/>
        </w:trPr>
        <w:tc>
          <w:tcPr>
            <w:tcW w:w="675" w:type="pct"/>
            <w:vAlign w:val="center"/>
          </w:tcPr>
          <w:p w14:paraId="166454A4"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 xml:space="preserve">Total new construction, </w:t>
            </w:r>
            <w:r w:rsidR="00F37063" w:rsidRPr="00BD295E">
              <w:rPr>
                <w:rFonts w:ascii="Arial" w:hAnsi="Arial" w:cs="Arial"/>
                <w:sz w:val="18"/>
                <w:szCs w:val="18"/>
                <w:lang w:val="en-US"/>
              </w:rPr>
              <w:t>Retrofitting and renovation</w:t>
            </w:r>
            <w:r w:rsidRPr="00BD295E">
              <w:rPr>
                <w:rFonts w:ascii="Arial" w:hAnsi="Arial" w:cs="Arial"/>
                <w:sz w:val="18"/>
                <w:szCs w:val="18"/>
                <w:lang w:val="en-US"/>
              </w:rPr>
              <w:t>:</w:t>
            </w:r>
          </w:p>
        </w:tc>
        <w:tc>
          <w:tcPr>
            <w:tcW w:w="463" w:type="pct"/>
            <w:vAlign w:val="center"/>
          </w:tcPr>
          <w:p w14:paraId="220FC5E3"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44</w:t>
            </w:r>
          </w:p>
        </w:tc>
        <w:tc>
          <w:tcPr>
            <w:tcW w:w="694" w:type="pct"/>
            <w:vAlign w:val="center"/>
          </w:tcPr>
          <w:p w14:paraId="522752A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1426</w:t>
            </w:r>
          </w:p>
        </w:tc>
        <w:tc>
          <w:tcPr>
            <w:tcW w:w="682" w:type="pct"/>
            <w:vAlign w:val="center"/>
          </w:tcPr>
          <w:p w14:paraId="499BC669"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79</w:t>
            </w:r>
          </w:p>
        </w:tc>
        <w:tc>
          <w:tcPr>
            <w:tcW w:w="689" w:type="pct"/>
            <w:vAlign w:val="center"/>
          </w:tcPr>
          <w:p w14:paraId="781784E1"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213</w:t>
            </w:r>
          </w:p>
        </w:tc>
        <w:tc>
          <w:tcPr>
            <w:tcW w:w="706" w:type="pct"/>
            <w:vAlign w:val="center"/>
          </w:tcPr>
          <w:p w14:paraId="3951AAA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827</w:t>
            </w:r>
          </w:p>
        </w:tc>
        <w:tc>
          <w:tcPr>
            <w:tcW w:w="497" w:type="pct"/>
            <w:vAlign w:val="center"/>
          </w:tcPr>
          <w:p w14:paraId="0D0D3093"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376</w:t>
            </w:r>
          </w:p>
        </w:tc>
        <w:tc>
          <w:tcPr>
            <w:tcW w:w="594" w:type="pct"/>
            <w:vAlign w:val="center"/>
          </w:tcPr>
          <w:p w14:paraId="4E0D31B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45</w:t>
            </w:r>
          </w:p>
        </w:tc>
      </w:tr>
      <w:tr w:rsidR="008A5057" w:rsidRPr="00BD295E" w14:paraId="16ADB7C9" w14:textId="77777777" w:rsidTr="005510A8">
        <w:trPr>
          <w:trHeight w:val="344"/>
        </w:trPr>
        <w:tc>
          <w:tcPr>
            <w:tcW w:w="675" w:type="pct"/>
            <w:vAlign w:val="center"/>
          </w:tcPr>
          <w:p w14:paraId="6CB9F895"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220+ overhead lines</w:t>
            </w:r>
          </w:p>
        </w:tc>
        <w:tc>
          <w:tcPr>
            <w:tcW w:w="463" w:type="pct"/>
            <w:vAlign w:val="center"/>
          </w:tcPr>
          <w:p w14:paraId="35825C73"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w:t>
            </w:r>
          </w:p>
        </w:tc>
        <w:tc>
          <w:tcPr>
            <w:tcW w:w="694" w:type="pct"/>
            <w:vAlign w:val="center"/>
          </w:tcPr>
          <w:p w14:paraId="6521660A"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w:t>
            </w:r>
          </w:p>
        </w:tc>
        <w:tc>
          <w:tcPr>
            <w:tcW w:w="682" w:type="pct"/>
            <w:vAlign w:val="center"/>
          </w:tcPr>
          <w:p w14:paraId="4D548BA9"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w:t>
            </w:r>
          </w:p>
        </w:tc>
        <w:tc>
          <w:tcPr>
            <w:tcW w:w="689" w:type="pct"/>
            <w:vAlign w:val="center"/>
          </w:tcPr>
          <w:p w14:paraId="3F7EC02A"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w:t>
            </w:r>
          </w:p>
        </w:tc>
        <w:tc>
          <w:tcPr>
            <w:tcW w:w="706" w:type="pct"/>
            <w:vAlign w:val="center"/>
          </w:tcPr>
          <w:p w14:paraId="7C9EE911"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w:t>
            </w:r>
          </w:p>
        </w:tc>
        <w:tc>
          <w:tcPr>
            <w:tcW w:w="497" w:type="pct"/>
            <w:vAlign w:val="center"/>
          </w:tcPr>
          <w:p w14:paraId="77601AE6"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w:t>
            </w:r>
          </w:p>
        </w:tc>
        <w:tc>
          <w:tcPr>
            <w:tcW w:w="594" w:type="pct"/>
            <w:vAlign w:val="center"/>
          </w:tcPr>
          <w:p w14:paraId="3CF4CEC9"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w:t>
            </w:r>
          </w:p>
        </w:tc>
      </w:tr>
      <w:tr w:rsidR="008A5057" w:rsidRPr="00BD295E" w14:paraId="1241F01C" w14:textId="77777777" w:rsidTr="005510A8">
        <w:trPr>
          <w:trHeight w:val="344"/>
        </w:trPr>
        <w:tc>
          <w:tcPr>
            <w:tcW w:w="675" w:type="pct"/>
            <w:vAlign w:val="center"/>
          </w:tcPr>
          <w:p w14:paraId="2170476E"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35–110 kV overhead lines</w:t>
            </w:r>
          </w:p>
        </w:tc>
        <w:tc>
          <w:tcPr>
            <w:tcW w:w="463" w:type="pct"/>
            <w:vAlign w:val="center"/>
          </w:tcPr>
          <w:p w14:paraId="6B70FD48"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w:t>
            </w:r>
          </w:p>
        </w:tc>
        <w:tc>
          <w:tcPr>
            <w:tcW w:w="694" w:type="pct"/>
            <w:vAlign w:val="center"/>
          </w:tcPr>
          <w:p w14:paraId="68B1A771"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68</w:t>
            </w:r>
          </w:p>
        </w:tc>
        <w:tc>
          <w:tcPr>
            <w:tcW w:w="682" w:type="pct"/>
            <w:vAlign w:val="center"/>
          </w:tcPr>
          <w:p w14:paraId="027196A9"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w:t>
            </w:r>
          </w:p>
        </w:tc>
        <w:tc>
          <w:tcPr>
            <w:tcW w:w="689" w:type="pct"/>
            <w:vAlign w:val="center"/>
          </w:tcPr>
          <w:p w14:paraId="5AAD877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13</w:t>
            </w:r>
          </w:p>
        </w:tc>
        <w:tc>
          <w:tcPr>
            <w:tcW w:w="706" w:type="pct"/>
            <w:vAlign w:val="center"/>
          </w:tcPr>
          <w:p w14:paraId="4E33CC29"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54</w:t>
            </w:r>
          </w:p>
        </w:tc>
        <w:tc>
          <w:tcPr>
            <w:tcW w:w="497" w:type="pct"/>
            <w:vAlign w:val="center"/>
          </w:tcPr>
          <w:p w14:paraId="342C1424"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w:t>
            </w:r>
          </w:p>
        </w:tc>
        <w:tc>
          <w:tcPr>
            <w:tcW w:w="594" w:type="pct"/>
            <w:vAlign w:val="center"/>
          </w:tcPr>
          <w:p w14:paraId="1A0D7B5A"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r>
      <w:tr w:rsidR="008A5057" w:rsidRPr="00BD295E" w14:paraId="20B8F09B" w14:textId="77777777" w:rsidTr="005510A8">
        <w:trPr>
          <w:trHeight w:val="344"/>
        </w:trPr>
        <w:tc>
          <w:tcPr>
            <w:tcW w:w="675" w:type="pct"/>
            <w:vAlign w:val="center"/>
          </w:tcPr>
          <w:p w14:paraId="06A50F6F"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0.4–220 kV CL</w:t>
            </w:r>
          </w:p>
        </w:tc>
        <w:tc>
          <w:tcPr>
            <w:tcW w:w="463" w:type="pct"/>
            <w:vAlign w:val="center"/>
          </w:tcPr>
          <w:p w14:paraId="054DBDB7"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4</w:t>
            </w:r>
          </w:p>
        </w:tc>
        <w:tc>
          <w:tcPr>
            <w:tcW w:w="694" w:type="pct"/>
            <w:vAlign w:val="center"/>
          </w:tcPr>
          <w:p w14:paraId="1273C54A"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59</w:t>
            </w:r>
          </w:p>
        </w:tc>
        <w:tc>
          <w:tcPr>
            <w:tcW w:w="682" w:type="pct"/>
            <w:vAlign w:val="center"/>
          </w:tcPr>
          <w:p w14:paraId="7E64570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689" w:type="pct"/>
            <w:vAlign w:val="center"/>
          </w:tcPr>
          <w:p w14:paraId="6A6AF198"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26</w:t>
            </w:r>
          </w:p>
        </w:tc>
        <w:tc>
          <w:tcPr>
            <w:tcW w:w="706" w:type="pct"/>
            <w:vAlign w:val="center"/>
          </w:tcPr>
          <w:p w14:paraId="23C33674"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28</w:t>
            </w:r>
          </w:p>
        </w:tc>
        <w:tc>
          <w:tcPr>
            <w:tcW w:w="497" w:type="pct"/>
            <w:vAlign w:val="center"/>
          </w:tcPr>
          <w:p w14:paraId="130CB8A4"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5</w:t>
            </w:r>
          </w:p>
        </w:tc>
        <w:tc>
          <w:tcPr>
            <w:tcW w:w="594" w:type="pct"/>
            <w:vAlign w:val="center"/>
          </w:tcPr>
          <w:p w14:paraId="6A141D67"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r>
      <w:tr w:rsidR="008A5057" w:rsidRPr="00BD295E" w14:paraId="6C3CAE6B" w14:textId="77777777" w:rsidTr="005510A8">
        <w:trPr>
          <w:trHeight w:val="344"/>
        </w:trPr>
        <w:tc>
          <w:tcPr>
            <w:tcW w:w="675" w:type="pct"/>
            <w:vAlign w:val="center"/>
          </w:tcPr>
          <w:p w14:paraId="71F32B45"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220+ substations</w:t>
            </w:r>
          </w:p>
        </w:tc>
        <w:tc>
          <w:tcPr>
            <w:tcW w:w="463" w:type="pct"/>
            <w:vAlign w:val="center"/>
          </w:tcPr>
          <w:p w14:paraId="18CFE26A"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1</w:t>
            </w:r>
          </w:p>
        </w:tc>
        <w:tc>
          <w:tcPr>
            <w:tcW w:w="694" w:type="pct"/>
            <w:vAlign w:val="center"/>
          </w:tcPr>
          <w:p w14:paraId="7A2DC928"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168</w:t>
            </w:r>
          </w:p>
        </w:tc>
        <w:tc>
          <w:tcPr>
            <w:tcW w:w="682" w:type="pct"/>
            <w:vAlign w:val="center"/>
          </w:tcPr>
          <w:p w14:paraId="498AFCC4"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15</w:t>
            </w:r>
          </w:p>
        </w:tc>
        <w:tc>
          <w:tcPr>
            <w:tcW w:w="689" w:type="pct"/>
            <w:vAlign w:val="center"/>
          </w:tcPr>
          <w:p w14:paraId="740FC125"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51</w:t>
            </w:r>
          </w:p>
        </w:tc>
        <w:tc>
          <w:tcPr>
            <w:tcW w:w="706" w:type="pct"/>
            <w:vAlign w:val="center"/>
          </w:tcPr>
          <w:p w14:paraId="1B718F65"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59</w:t>
            </w:r>
          </w:p>
        </w:tc>
        <w:tc>
          <w:tcPr>
            <w:tcW w:w="497" w:type="pct"/>
            <w:vAlign w:val="center"/>
          </w:tcPr>
          <w:p w14:paraId="6E96DF58"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58</w:t>
            </w:r>
          </w:p>
        </w:tc>
        <w:tc>
          <w:tcPr>
            <w:tcW w:w="594" w:type="pct"/>
            <w:vAlign w:val="center"/>
          </w:tcPr>
          <w:p w14:paraId="2D032204"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6</w:t>
            </w:r>
          </w:p>
        </w:tc>
      </w:tr>
      <w:tr w:rsidR="008A5057" w:rsidRPr="00BD295E" w14:paraId="7DEF70B4" w14:textId="77777777" w:rsidTr="005510A8">
        <w:trPr>
          <w:trHeight w:val="344"/>
        </w:trPr>
        <w:tc>
          <w:tcPr>
            <w:tcW w:w="675" w:type="pct"/>
            <w:vAlign w:val="center"/>
          </w:tcPr>
          <w:p w14:paraId="6EFC3D33"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35–110 kV substations</w:t>
            </w:r>
          </w:p>
        </w:tc>
        <w:tc>
          <w:tcPr>
            <w:tcW w:w="463" w:type="pct"/>
            <w:vAlign w:val="center"/>
          </w:tcPr>
          <w:p w14:paraId="5DC4B0F5"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34</w:t>
            </w:r>
          </w:p>
        </w:tc>
        <w:tc>
          <w:tcPr>
            <w:tcW w:w="694" w:type="pct"/>
            <w:vAlign w:val="center"/>
          </w:tcPr>
          <w:p w14:paraId="5DC58257"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1131</w:t>
            </w:r>
          </w:p>
        </w:tc>
        <w:tc>
          <w:tcPr>
            <w:tcW w:w="682" w:type="pct"/>
            <w:vAlign w:val="center"/>
          </w:tcPr>
          <w:p w14:paraId="7D262D8D"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63</w:t>
            </w:r>
          </w:p>
        </w:tc>
        <w:tc>
          <w:tcPr>
            <w:tcW w:w="689" w:type="pct"/>
            <w:vAlign w:val="center"/>
          </w:tcPr>
          <w:p w14:paraId="3CAE7448"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123</w:t>
            </w:r>
          </w:p>
        </w:tc>
        <w:tc>
          <w:tcPr>
            <w:tcW w:w="706" w:type="pct"/>
            <w:vAlign w:val="center"/>
          </w:tcPr>
          <w:p w14:paraId="0BAFC3F4"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686</w:t>
            </w:r>
          </w:p>
        </w:tc>
        <w:tc>
          <w:tcPr>
            <w:tcW w:w="497" w:type="pct"/>
            <w:vAlign w:val="center"/>
          </w:tcPr>
          <w:p w14:paraId="70FD1A4A"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312</w:t>
            </w:r>
          </w:p>
        </w:tc>
        <w:tc>
          <w:tcPr>
            <w:tcW w:w="594" w:type="pct"/>
            <w:vAlign w:val="center"/>
          </w:tcPr>
          <w:p w14:paraId="38E680F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39</w:t>
            </w:r>
          </w:p>
        </w:tc>
      </w:tr>
      <w:tr w:rsidR="008A5057" w:rsidRPr="00BD295E" w14:paraId="56B30084" w14:textId="77777777" w:rsidTr="005510A8">
        <w:trPr>
          <w:trHeight w:val="344"/>
        </w:trPr>
        <w:tc>
          <w:tcPr>
            <w:tcW w:w="675" w:type="pct"/>
            <w:vAlign w:val="center"/>
          </w:tcPr>
          <w:p w14:paraId="65C3A0D3"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6–35/0.4 kV transformer substations</w:t>
            </w:r>
          </w:p>
        </w:tc>
        <w:tc>
          <w:tcPr>
            <w:tcW w:w="463" w:type="pct"/>
            <w:vAlign w:val="center"/>
          </w:tcPr>
          <w:p w14:paraId="1CFDAD2D"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w:t>
            </w:r>
          </w:p>
        </w:tc>
        <w:tc>
          <w:tcPr>
            <w:tcW w:w="694" w:type="pct"/>
            <w:vAlign w:val="center"/>
          </w:tcPr>
          <w:p w14:paraId="4AE947C0"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682" w:type="pct"/>
            <w:vAlign w:val="center"/>
          </w:tcPr>
          <w:p w14:paraId="727277A0"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689" w:type="pct"/>
            <w:vAlign w:val="center"/>
          </w:tcPr>
          <w:p w14:paraId="2C641E07"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706" w:type="pct"/>
            <w:vAlign w:val="center"/>
          </w:tcPr>
          <w:p w14:paraId="17E0B169"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497" w:type="pct"/>
            <w:vAlign w:val="center"/>
          </w:tcPr>
          <w:p w14:paraId="2202CBD5"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594" w:type="pct"/>
            <w:vAlign w:val="center"/>
          </w:tcPr>
          <w:p w14:paraId="6052772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r>
    </w:tbl>
    <w:p w14:paraId="2C27BBDE" w14:textId="77777777" w:rsidR="005510A8" w:rsidRPr="00BD295E" w:rsidRDefault="005510A8" w:rsidP="005510A8">
      <w:pPr>
        <w:pStyle w:val="afffffff3"/>
        <w:rPr>
          <w:rFonts w:ascii="Arial" w:hAnsi="Arial" w:cs="Arial"/>
          <w:i w:val="0"/>
          <w:color w:val="auto"/>
          <w:sz w:val="18"/>
          <w:szCs w:val="18"/>
          <w:lang w:val="en-US"/>
        </w:rPr>
      </w:pPr>
    </w:p>
    <w:p w14:paraId="0B5F0D6B" w14:textId="77777777" w:rsidR="005510A8" w:rsidRPr="00BD295E" w:rsidRDefault="008A5057" w:rsidP="005510A8">
      <w:pPr>
        <w:pStyle w:val="afffffff3"/>
        <w:rPr>
          <w:rFonts w:ascii="Arial" w:hAnsi="Arial" w:cs="Arial"/>
          <w:i w:val="0"/>
          <w:color w:val="auto"/>
          <w:sz w:val="18"/>
          <w:szCs w:val="18"/>
          <w:lang w:val="en-US"/>
        </w:rPr>
      </w:pPr>
      <w:r w:rsidRPr="00BD295E">
        <w:rPr>
          <w:rFonts w:ascii="Arial" w:hAnsi="Arial" w:cs="Arial"/>
          <w:i w:val="0"/>
          <w:color w:val="auto"/>
          <w:sz w:val="18"/>
          <w:szCs w:val="18"/>
          <w:lang w:val="en-US"/>
        </w:rPr>
        <w:t xml:space="preserve">A class-based breakdown of breaches identified by </w:t>
      </w:r>
      <w:r w:rsidR="00101C37" w:rsidRPr="00BD295E">
        <w:rPr>
          <w:rFonts w:ascii="Arial" w:hAnsi="Arial" w:cs="Arial"/>
          <w:i w:val="0"/>
          <w:color w:val="auto"/>
          <w:sz w:val="18"/>
          <w:szCs w:val="18"/>
          <w:lang w:val="en-US"/>
        </w:rPr>
        <w:t>construction inspection</w:t>
      </w:r>
      <w:r w:rsidRPr="00BD295E">
        <w:rPr>
          <w:rFonts w:ascii="Arial" w:hAnsi="Arial" w:cs="Arial"/>
          <w:i w:val="0"/>
          <w:color w:val="auto"/>
          <w:sz w:val="18"/>
          <w:szCs w:val="18"/>
          <w:lang w:val="en-US"/>
        </w:rPr>
        <w:t xml:space="preserve"> over the Company’s investment program projects in the reporting year, including priority projects under the Company/s investment program.</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038"/>
        <w:gridCol w:w="918"/>
        <w:gridCol w:w="708"/>
        <w:gridCol w:w="894"/>
        <w:gridCol w:w="1112"/>
        <w:gridCol w:w="926"/>
        <w:gridCol w:w="1031"/>
        <w:gridCol w:w="958"/>
        <w:gridCol w:w="604"/>
        <w:gridCol w:w="580"/>
        <w:gridCol w:w="580"/>
      </w:tblGrid>
      <w:tr w:rsidR="008A5057" w:rsidRPr="00BD295E" w14:paraId="034BD23E" w14:textId="77777777" w:rsidTr="00E3510B">
        <w:trPr>
          <w:trHeight w:val="300"/>
        </w:trPr>
        <w:tc>
          <w:tcPr>
            <w:tcW w:w="376" w:type="pct"/>
            <w:vMerge w:val="restart"/>
            <w:shd w:val="clear" w:color="auto" w:fill="D5DCE4"/>
            <w:vAlign w:val="center"/>
          </w:tcPr>
          <w:p w14:paraId="58926636"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The Company’s investment program project class</w:t>
            </w:r>
          </w:p>
          <w:p w14:paraId="03680322" w14:textId="77777777" w:rsidR="005510A8" w:rsidRPr="00BD295E" w:rsidRDefault="005510A8" w:rsidP="005510A8">
            <w:pPr>
              <w:jc w:val="center"/>
              <w:rPr>
                <w:rFonts w:ascii="Arial" w:hAnsi="Arial" w:cs="Arial"/>
                <w:bCs/>
                <w:sz w:val="18"/>
                <w:szCs w:val="18"/>
                <w:lang w:val="en-US"/>
              </w:rPr>
            </w:pPr>
          </w:p>
        </w:tc>
        <w:tc>
          <w:tcPr>
            <w:tcW w:w="420" w:type="pct"/>
            <w:vMerge w:val="restart"/>
            <w:shd w:val="clear" w:color="auto" w:fill="D5DCE4"/>
            <w:vAlign w:val="center"/>
          </w:tcPr>
          <w:p w14:paraId="484CD6D7"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Number of investment program projects</w:t>
            </w:r>
          </w:p>
        </w:tc>
        <w:tc>
          <w:tcPr>
            <w:tcW w:w="3948" w:type="pct"/>
            <w:gridSpan w:val="8"/>
            <w:shd w:val="clear" w:color="auto" w:fill="D5DCE4"/>
            <w:noWrap/>
            <w:vAlign w:val="center"/>
            <w:hideMark/>
          </w:tcPr>
          <w:p w14:paraId="46DAC561"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Class-based breakdown of breaches</w:t>
            </w:r>
          </w:p>
        </w:tc>
        <w:tc>
          <w:tcPr>
            <w:tcW w:w="257" w:type="pct"/>
            <w:vMerge w:val="restart"/>
            <w:shd w:val="clear" w:color="auto" w:fill="D5DCE4"/>
            <w:vAlign w:val="center"/>
          </w:tcPr>
          <w:p w14:paraId="51D2FAD2" w14:textId="77777777" w:rsidR="005510A8" w:rsidRPr="00BD295E" w:rsidRDefault="005510A8" w:rsidP="005510A8">
            <w:pPr>
              <w:rPr>
                <w:rFonts w:ascii="Arial" w:hAnsi="Arial" w:cs="Arial"/>
                <w:bCs/>
                <w:sz w:val="18"/>
                <w:szCs w:val="18"/>
                <w:lang w:val="en-US"/>
              </w:rPr>
            </w:pPr>
          </w:p>
          <w:p w14:paraId="25ED294D" w14:textId="77777777" w:rsidR="005510A8" w:rsidRPr="00BD295E" w:rsidRDefault="008A5057" w:rsidP="005510A8">
            <w:pPr>
              <w:rPr>
                <w:rFonts w:ascii="Arial" w:hAnsi="Arial" w:cs="Arial"/>
                <w:sz w:val="18"/>
                <w:szCs w:val="18"/>
                <w:lang w:val="en-US"/>
              </w:rPr>
            </w:pPr>
            <w:r w:rsidRPr="00BD295E">
              <w:rPr>
                <w:rFonts w:ascii="Arial" w:hAnsi="Arial" w:cs="Arial"/>
                <w:sz w:val="18"/>
                <w:szCs w:val="18"/>
                <w:shd w:val="clear" w:color="auto" w:fill="D5DCE4"/>
                <w:lang w:val="en-US"/>
              </w:rPr>
              <w:t>Total</w:t>
            </w:r>
          </w:p>
          <w:p w14:paraId="16562EBD" w14:textId="77777777" w:rsidR="005510A8" w:rsidRPr="00BD295E" w:rsidRDefault="005510A8" w:rsidP="005510A8">
            <w:pPr>
              <w:jc w:val="center"/>
              <w:rPr>
                <w:rFonts w:ascii="Arial" w:hAnsi="Arial" w:cs="Arial"/>
                <w:bCs/>
                <w:sz w:val="18"/>
                <w:szCs w:val="18"/>
                <w:lang w:val="en-US"/>
              </w:rPr>
            </w:pPr>
          </w:p>
        </w:tc>
      </w:tr>
      <w:tr w:rsidR="008A5057" w:rsidRPr="00BD295E" w14:paraId="6F6CC41F" w14:textId="77777777" w:rsidTr="00E3510B">
        <w:trPr>
          <w:trHeight w:val="735"/>
        </w:trPr>
        <w:tc>
          <w:tcPr>
            <w:tcW w:w="376" w:type="pct"/>
            <w:vMerge/>
            <w:shd w:val="clear" w:color="auto" w:fill="D5DCE4"/>
          </w:tcPr>
          <w:p w14:paraId="0ECD563D" w14:textId="77777777" w:rsidR="005510A8" w:rsidRPr="00BD295E" w:rsidRDefault="005510A8" w:rsidP="005510A8">
            <w:pPr>
              <w:jc w:val="center"/>
              <w:rPr>
                <w:rFonts w:ascii="Arial" w:hAnsi="Arial" w:cs="Arial"/>
                <w:sz w:val="18"/>
                <w:szCs w:val="18"/>
                <w:lang w:val="en-US"/>
              </w:rPr>
            </w:pPr>
          </w:p>
        </w:tc>
        <w:tc>
          <w:tcPr>
            <w:tcW w:w="420" w:type="pct"/>
            <w:vMerge/>
            <w:shd w:val="clear" w:color="auto" w:fill="D5DCE4"/>
          </w:tcPr>
          <w:p w14:paraId="76722119" w14:textId="77777777" w:rsidR="005510A8" w:rsidRPr="00BD295E" w:rsidRDefault="005510A8" w:rsidP="005510A8">
            <w:pPr>
              <w:jc w:val="center"/>
              <w:rPr>
                <w:rFonts w:ascii="Arial" w:hAnsi="Arial" w:cs="Arial"/>
                <w:sz w:val="18"/>
                <w:szCs w:val="18"/>
                <w:lang w:val="en-US"/>
              </w:rPr>
            </w:pPr>
          </w:p>
        </w:tc>
        <w:tc>
          <w:tcPr>
            <w:tcW w:w="557" w:type="pct"/>
            <w:shd w:val="clear" w:color="auto" w:fill="D5DCE4"/>
            <w:vAlign w:val="center"/>
            <w:hideMark/>
          </w:tcPr>
          <w:p w14:paraId="136CC31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Permits</w:t>
            </w:r>
          </w:p>
        </w:tc>
        <w:tc>
          <w:tcPr>
            <w:tcW w:w="501" w:type="pct"/>
            <w:shd w:val="clear" w:color="auto" w:fill="D5DCE4"/>
            <w:vAlign w:val="center"/>
            <w:hideMark/>
          </w:tcPr>
          <w:p w14:paraId="4E85A29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Materials, equipment</w:t>
            </w:r>
          </w:p>
        </w:tc>
        <w:tc>
          <w:tcPr>
            <w:tcW w:w="548" w:type="pct"/>
            <w:shd w:val="clear" w:color="auto" w:fill="D5DCE4"/>
            <w:vAlign w:val="center"/>
            <w:hideMark/>
          </w:tcPr>
          <w:p w14:paraId="77BAAAF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Warehousing, storage</w:t>
            </w:r>
          </w:p>
        </w:tc>
        <w:tc>
          <w:tcPr>
            <w:tcW w:w="498" w:type="pct"/>
            <w:shd w:val="clear" w:color="auto" w:fill="D5DCE4"/>
            <w:vAlign w:val="center"/>
            <w:hideMark/>
          </w:tcPr>
          <w:p w14:paraId="4F3E474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Design documents</w:t>
            </w:r>
          </w:p>
        </w:tc>
        <w:tc>
          <w:tcPr>
            <w:tcW w:w="492" w:type="pct"/>
            <w:shd w:val="clear" w:color="auto" w:fill="D5DCE4"/>
            <w:vAlign w:val="center"/>
            <w:hideMark/>
          </w:tcPr>
          <w:p w14:paraId="2340945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Construction technology</w:t>
            </w:r>
          </w:p>
        </w:tc>
        <w:tc>
          <w:tcPr>
            <w:tcW w:w="572" w:type="pct"/>
            <w:shd w:val="clear" w:color="auto" w:fill="D5DCE4"/>
            <w:vAlign w:val="center"/>
            <w:hideMark/>
          </w:tcPr>
          <w:p w14:paraId="7F8837A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As-built and acceptance documents</w:t>
            </w:r>
          </w:p>
        </w:tc>
        <w:tc>
          <w:tcPr>
            <w:tcW w:w="473" w:type="pct"/>
            <w:shd w:val="clear" w:color="auto" w:fill="D5DCE4"/>
            <w:vAlign w:val="center"/>
            <w:hideMark/>
          </w:tcPr>
          <w:p w14:paraId="27CCF923"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Work safety</w:t>
            </w:r>
          </w:p>
        </w:tc>
        <w:tc>
          <w:tcPr>
            <w:tcW w:w="308" w:type="pct"/>
            <w:shd w:val="clear" w:color="auto" w:fill="D5DCE4"/>
            <w:vAlign w:val="center"/>
            <w:hideMark/>
          </w:tcPr>
          <w:p w14:paraId="7D7E6EF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Other</w:t>
            </w:r>
          </w:p>
        </w:tc>
        <w:tc>
          <w:tcPr>
            <w:tcW w:w="257" w:type="pct"/>
            <w:vMerge/>
            <w:shd w:val="clear" w:color="auto" w:fill="D5DCE4"/>
            <w:vAlign w:val="center"/>
          </w:tcPr>
          <w:p w14:paraId="76748705" w14:textId="77777777" w:rsidR="005510A8" w:rsidRPr="00BD295E" w:rsidRDefault="005510A8" w:rsidP="005510A8">
            <w:pPr>
              <w:jc w:val="center"/>
              <w:rPr>
                <w:rFonts w:ascii="Arial" w:hAnsi="Arial" w:cs="Arial"/>
                <w:sz w:val="18"/>
                <w:szCs w:val="18"/>
                <w:lang w:val="en-US"/>
              </w:rPr>
            </w:pPr>
          </w:p>
        </w:tc>
      </w:tr>
      <w:tr w:rsidR="008A5057" w:rsidRPr="00BD295E" w14:paraId="588C2F46" w14:textId="77777777" w:rsidTr="00E3510B">
        <w:trPr>
          <w:cantSplit/>
          <w:trHeight w:val="227"/>
        </w:trPr>
        <w:tc>
          <w:tcPr>
            <w:tcW w:w="376" w:type="pct"/>
            <w:shd w:val="clear" w:color="auto" w:fill="D5DCE4"/>
            <w:vAlign w:val="center"/>
          </w:tcPr>
          <w:p w14:paraId="3AACDC76"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w:t>
            </w:r>
          </w:p>
        </w:tc>
        <w:tc>
          <w:tcPr>
            <w:tcW w:w="420" w:type="pct"/>
            <w:shd w:val="clear" w:color="auto" w:fill="D5DCE4"/>
            <w:vAlign w:val="center"/>
          </w:tcPr>
          <w:p w14:paraId="149276CF"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w:t>
            </w:r>
          </w:p>
        </w:tc>
        <w:tc>
          <w:tcPr>
            <w:tcW w:w="557" w:type="pct"/>
            <w:shd w:val="clear" w:color="auto" w:fill="D5DCE4"/>
            <w:vAlign w:val="center"/>
          </w:tcPr>
          <w:p w14:paraId="51E491C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4</w:t>
            </w:r>
          </w:p>
        </w:tc>
        <w:tc>
          <w:tcPr>
            <w:tcW w:w="501" w:type="pct"/>
            <w:shd w:val="clear" w:color="auto" w:fill="D5DCE4"/>
            <w:vAlign w:val="center"/>
          </w:tcPr>
          <w:p w14:paraId="48BA64ED"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5</w:t>
            </w:r>
          </w:p>
        </w:tc>
        <w:tc>
          <w:tcPr>
            <w:tcW w:w="548" w:type="pct"/>
            <w:shd w:val="clear" w:color="auto" w:fill="D5DCE4"/>
            <w:vAlign w:val="center"/>
          </w:tcPr>
          <w:p w14:paraId="31BEB0D0"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6</w:t>
            </w:r>
          </w:p>
        </w:tc>
        <w:tc>
          <w:tcPr>
            <w:tcW w:w="498" w:type="pct"/>
            <w:shd w:val="clear" w:color="auto" w:fill="D5DCE4"/>
            <w:vAlign w:val="center"/>
          </w:tcPr>
          <w:p w14:paraId="7B91F7CC"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7</w:t>
            </w:r>
          </w:p>
        </w:tc>
        <w:tc>
          <w:tcPr>
            <w:tcW w:w="492" w:type="pct"/>
            <w:shd w:val="clear" w:color="auto" w:fill="D5DCE4"/>
            <w:vAlign w:val="center"/>
          </w:tcPr>
          <w:p w14:paraId="29DC3DF4"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8</w:t>
            </w:r>
          </w:p>
        </w:tc>
        <w:tc>
          <w:tcPr>
            <w:tcW w:w="572" w:type="pct"/>
            <w:shd w:val="clear" w:color="auto" w:fill="D5DCE4"/>
            <w:vAlign w:val="center"/>
          </w:tcPr>
          <w:p w14:paraId="01418266"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9</w:t>
            </w:r>
          </w:p>
        </w:tc>
        <w:tc>
          <w:tcPr>
            <w:tcW w:w="473" w:type="pct"/>
            <w:shd w:val="clear" w:color="auto" w:fill="D5DCE4"/>
            <w:vAlign w:val="center"/>
          </w:tcPr>
          <w:p w14:paraId="493444D7"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10</w:t>
            </w:r>
          </w:p>
        </w:tc>
        <w:tc>
          <w:tcPr>
            <w:tcW w:w="308" w:type="pct"/>
            <w:shd w:val="clear" w:color="auto" w:fill="D5DCE4"/>
            <w:vAlign w:val="center"/>
          </w:tcPr>
          <w:p w14:paraId="7541D860"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11</w:t>
            </w:r>
          </w:p>
        </w:tc>
        <w:tc>
          <w:tcPr>
            <w:tcW w:w="257" w:type="pct"/>
            <w:shd w:val="clear" w:color="auto" w:fill="D5DCE4"/>
            <w:vAlign w:val="center"/>
          </w:tcPr>
          <w:p w14:paraId="7A16D23C"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12</w:t>
            </w:r>
          </w:p>
        </w:tc>
      </w:tr>
      <w:tr w:rsidR="008A5057" w:rsidRPr="00BD295E" w14:paraId="69004A2B" w14:textId="77777777" w:rsidTr="005510A8">
        <w:trPr>
          <w:cantSplit/>
          <w:trHeight w:val="414"/>
        </w:trPr>
        <w:tc>
          <w:tcPr>
            <w:tcW w:w="376" w:type="pct"/>
            <w:vAlign w:val="center"/>
          </w:tcPr>
          <w:p w14:paraId="14FE646D"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 xml:space="preserve">Total new construction, </w:t>
            </w:r>
            <w:r w:rsidR="00F37063" w:rsidRPr="00BD295E">
              <w:rPr>
                <w:rFonts w:ascii="Arial" w:hAnsi="Arial" w:cs="Arial"/>
                <w:sz w:val="18"/>
                <w:szCs w:val="18"/>
                <w:lang w:val="en-US"/>
              </w:rPr>
              <w:t>Retrofitting and renovation</w:t>
            </w:r>
            <w:r w:rsidRPr="00BD295E">
              <w:rPr>
                <w:rFonts w:ascii="Arial" w:hAnsi="Arial" w:cs="Arial"/>
                <w:sz w:val="18"/>
                <w:szCs w:val="18"/>
                <w:lang w:val="en-US"/>
              </w:rPr>
              <w:t>:</w:t>
            </w:r>
          </w:p>
        </w:tc>
        <w:tc>
          <w:tcPr>
            <w:tcW w:w="420" w:type="pct"/>
            <w:vAlign w:val="center"/>
          </w:tcPr>
          <w:p w14:paraId="7E5F74D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44</w:t>
            </w:r>
          </w:p>
        </w:tc>
        <w:tc>
          <w:tcPr>
            <w:tcW w:w="557" w:type="pct"/>
            <w:vAlign w:val="center"/>
          </w:tcPr>
          <w:p w14:paraId="2F11AA94"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204</w:t>
            </w:r>
          </w:p>
        </w:tc>
        <w:tc>
          <w:tcPr>
            <w:tcW w:w="501" w:type="pct"/>
            <w:vAlign w:val="center"/>
          </w:tcPr>
          <w:p w14:paraId="53C9C735"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71</w:t>
            </w:r>
          </w:p>
        </w:tc>
        <w:tc>
          <w:tcPr>
            <w:tcW w:w="548" w:type="pct"/>
            <w:vAlign w:val="center"/>
          </w:tcPr>
          <w:p w14:paraId="7EEC151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63</w:t>
            </w:r>
          </w:p>
        </w:tc>
        <w:tc>
          <w:tcPr>
            <w:tcW w:w="498" w:type="pct"/>
            <w:vAlign w:val="center"/>
          </w:tcPr>
          <w:p w14:paraId="41F30A1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57</w:t>
            </w:r>
          </w:p>
        </w:tc>
        <w:tc>
          <w:tcPr>
            <w:tcW w:w="492" w:type="pct"/>
            <w:vAlign w:val="center"/>
          </w:tcPr>
          <w:p w14:paraId="23D63D37"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549</w:t>
            </w:r>
          </w:p>
        </w:tc>
        <w:tc>
          <w:tcPr>
            <w:tcW w:w="572" w:type="pct"/>
            <w:vAlign w:val="center"/>
          </w:tcPr>
          <w:p w14:paraId="6CF7374D"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179</w:t>
            </w:r>
          </w:p>
        </w:tc>
        <w:tc>
          <w:tcPr>
            <w:tcW w:w="473" w:type="pct"/>
            <w:vAlign w:val="center"/>
          </w:tcPr>
          <w:p w14:paraId="63117A6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211</w:t>
            </w:r>
          </w:p>
        </w:tc>
        <w:tc>
          <w:tcPr>
            <w:tcW w:w="308" w:type="pct"/>
            <w:vAlign w:val="center"/>
          </w:tcPr>
          <w:p w14:paraId="3090F3B8"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110</w:t>
            </w:r>
          </w:p>
        </w:tc>
        <w:tc>
          <w:tcPr>
            <w:tcW w:w="257" w:type="pct"/>
            <w:vAlign w:val="center"/>
          </w:tcPr>
          <w:p w14:paraId="43E2A5D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1,444</w:t>
            </w:r>
          </w:p>
        </w:tc>
      </w:tr>
      <w:tr w:rsidR="008A5057" w:rsidRPr="00BD295E" w14:paraId="625215A3" w14:textId="77777777" w:rsidTr="005510A8">
        <w:trPr>
          <w:cantSplit/>
          <w:trHeight w:val="427"/>
        </w:trPr>
        <w:tc>
          <w:tcPr>
            <w:tcW w:w="376" w:type="pct"/>
            <w:vAlign w:val="center"/>
          </w:tcPr>
          <w:p w14:paraId="4B2A4E81"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35–110 kV overhead lines</w:t>
            </w:r>
          </w:p>
        </w:tc>
        <w:tc>
          <w:tcPr>
            <w:tcW w:w="420" w:type="pct"/>
            <w:vAlign w:val="center"/>
          </w:tcPr>
          <w:p w14:paraId="3112808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w:t>
            </w:r>
          </w:p>
        </w:tc>
        <w:tc>
          <w:tcPr>
            <w:tcW w:w="557" w:type="pct"/>
            <w:vAlign w:val="center"/>
          </w:tcPr>
          <w:p w14:paraId="2DD8C64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501" w:type="pct"/>
            <w:vAlign w:val="center"/>
          </w:tcPr>
          <w:p w14:paraId="703C785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w:t>
            </w:r>
          </w:p>
        </w:tc>
        <w:tc>
          <w:tcPr>
            <w:tcW w:w="548" w:type="pct"/>
            <w:vAlign w:val="center"/>
          </w:tcPr>
          <w:p w14:paraId="5AE0E7C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6</w:t>
            </w:r>
          </w:p>
        </w:tc>
        <w:tc>
          <w:tcPr>
            <w:tcW w:w="498" w:type="pct"/>
            <w:vAlign w:val="center"/>
          </w:tcPr>
          <w:p w14:paraId="0127F4F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w:t>
            </w:r>
          </w:p>
        </w:tc>
        <w:tc>
          <w:tcPr>
            <w:tcW w:w="492" w:type="pct"/>
            <w:vAlign w:val="center"/>
          </w:tcPr>
          <w:p w14:paraId="74EE5CE2"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30</w:t>
            </w:r>
          </w:p>
        </w:tc>
        <w:tc>
          <w:tcPr>
            <w:tcW w:w="572" w:type="pct"/>
            <w:vAlign w:val="center"/>
          </w:tcPr>
          <w:p w14:paraId="776E352C"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w:t>
            </w:r>
          </w:p>
        </w:tc>
        <w:tc>
          <w:tcPr>
            <w:tcW w:w="473" w:type="pct"/>
            <w:vAlign w:val="center"/>
          </w:tcPr>
          <w:p w14:paraId="59FAD417"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12</w:t>
            </w:r>
          </w:p>
        </w:tc>
        <w:tc>
          <w:tcPr>
            <w:tcW w:w="308" w:type="pct"/>
            <w:vAlign w:val="center"/>
          </w:tcPr>
          <w:p w14:paraId="06A760F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12</w:t>
            </w:r>
          </w:p>
        </w:tc>
        <w:tc>
          <w:tcPr>
            <w:tcW w:w="257" w:type="pct"/>
            <w:vAlign w:val="center"/>
          </w:tcPr>
          <w:p w14:paraId="5E4042DE"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68</w:t>
            </w:r>
          </w:p>
        </w:tc>
      </w:tr>
      <w:tr w:rsidR="008A5057" w:rsidRPr="00BD295E" w14:paraId="3F7C7230" w14:textId="77777777" w:rsidTr="005510A8">
        <w:trPr>
          <w:cantSplit/>
          <w:trHeight w:val="424"/>
        </w:trPr>
        <w:tc>
          <w:tcPr>
            <w:tcW w:w="376" w:type="pct"/>
            <w:vAlign w:val="center"/>
          </w:tcPr>
          <w:p w14:paraId="02150A00"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0.4–220 kV CL</w:t>
            </w:r>
          </w:p>
        </w:tc>
        <w:tc>
          <w:tcPr>
            <w:tcW w:w="420" w:type="pct"/>
            <w:vAlign w:val="center"/>
          </w:tcPr>
          <w:p w14:paraId="7C2D582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4</w:t>
            </w:r>
          </w:p>
        </w:tc>
        <w:tc>
          <w:tcPr>
            <w:tcW w:w="557" w:type="pct"/>
            <w:vAlign w:val="center"/>
          </w:tcPr>
          <w:p w14:paraId="729C7656"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7</w:t>
            </w:r>
          </w:p>
        </w:tc>
        <w:tc>
          <w:tcPr>
            <w:tcW w:w="501" w:type="pct"/>
            <w:vAlign w:val="center"/>
          </w:tcPr>
          <w:p w14:paraId="7774B6CD"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548" w:type="pct"/>
            <w:vAlign w:val="center"/>
          </w:tcPr>
          <w:p w14:paraId="5395D686"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498" w:type="pct"/>
            <w:vAlign w:val="center"/>
          </w:tcPr>
          <w:p w14:paraId="3653BCD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4</w:t>
            </w:r>
          </w:p>
        </w:tc>
        <w:tc>
          <w:tcPr>
            <w:tcW w:w="492" w:type="pct"/>
            <w:vAlign w:val="center"/>
          </w:tcPr>
          <w:p w14:paraId="4580DFCC"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26</w:t>
            </w:r>
          </w:p>
        </w:tc>
        <w:tc>
          <w:tcPr>
            <w:tcW w:w="572" w:type="pct"/>
            <w:vAlign w:val="center"/>
          </w:tcPr>
          <w:p w14:paraId="7C165E76"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21</w:t>
            </w:r>
          </w:p>
        </w:tc>
        <w:tc>
          <w:tcPr>
            <w:tcW w:w="473" w:type="pct"/>
            <w:vAlign w:val="center"/>
          </w:tcPr>
          <w:p w14:paraId="0132CE68"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w:t>
            </w:r>
          </w:p>
        </w:tc>
        <w:tc>
          <w:tcPr>
            <w:tcW w:w="308" w:type="pct"/>
            <w:vAlign w:val="center"/>
          </w:tcPr>
          <w:p w14:paraId="152510E0"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7</w:t>
            </w:r>
          </w:p>
        </w:tc>
        <w:tc>
          <w:tcPr>
            <w:tcW w:w="257" w:type="pct"/>
            <w:vAlign w:val="center"/>
          </w:tcPr>
          <w:p w14:paraId="4A05117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68</w:t>
            </w:r>
          </w:p>
        </w:tc>
      </w:tr>
      <w:tr w:rsidR="008A5057" w:rsidRPr="00BD295E" w14:paraId="47D335ED" w14:textId="77777777" w:rsidTr="005510A8">
        <w:trPr>
          <w:cantSplit/>
          <w:trHeight w:val="416"/>
        </w:trPr>
        <w:tc>
          <w:tcPr>
            <w:tcW w:w="376" w:type="pct"/>
            <w:vAlign w:val="center"/>
          </w:tcPr>
          <w:p w14:paraId="24357D25"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220+ substations</w:t>
            </w:r>
          </w:p>
        </w:tc>
        <w:tc>
          <w:tcPr>
            <w:tcW w:w="420" w:type="pct"/>
            <w:vAlign w:val="center"/>
          </w:tcPr>
          <w:p w14:paraId="330EC8E3" w14:textId="77777777" w:rsidR="005510A8" w:rsidRPr="00BD295E" w:rsidRDefault="008A5057" w:rsidP="005510A8">
            <w:pPr>
              <w:jc w:val="center"/>
              <w:rPr>
                <w:rFonts w:ascii="Arial" w:hAnsi="Arial" w:cs="Arial"/>
                <w:bCs/>
                <w:sz w:val="18"/>
                <w:szCs w:val="18"/>
                <w:lang w:val="en-US"/>
              </w:rPr>
            </w:pPr>
            <w:r w:rsidRPr="00BD295E">
              <w:rPr>
                <w:rFonts w:ascii="Arial" w:hAnsi="Arial" w:cs="Arial"/>
                <w:bCs/>
                <w:sz w:val="18"/>
                <w:szCs w:val="18"/>
                <w:lang w:val="en-US"/>
              </w:rPr>
              <w:t>1</w:t>
            </w:r>
          </w:p>
        </w:tc>
        <w:tc>
          <w:tcPr>
            <w:tcW w:w="557" w:type="pct"/>
            <w:vAlign w:val="center"/>
          </w:tcPr>
          <w:p w14:paraId="593D7B23" w14:textId="77777777" w:rsidR="005510A8" w:rsidRPr="00BD295E" w:rsidRDefault="008A5057" w:rsidP="005510A8">
            <w:pPr>
              <w:spacing w:line="276" w:lineRule="auto"/>
              <w:jc w:val="center"/>
              <w:rPr>
                <w:rFonts w:ascii="Arial" w:hAnsi="Arial" w:cs="Arial"/>
                <w:sz w:val="18"/>
                <w:szCs w:val="18"/>
                <w:lang w:val="en-US"/>
              </w:rPr>
            </w:pPr>
            <w:r w:rsidRPr="00BD295E">
              <w:rPr>
                <w:rFonts w:ascii="Arial" w:hAnsi="Arial" w:cs="Arial"/>
                <w:sz w:val="18"/>
                <w:szCs w:val="18"/>
                <w:lang w:val="en-US"/>
              </w:rPr>
              <w:t>11</w:t>
            </w:r>
          </w:p>
        </w:tc>
        <w:tc>
          <w:tcPr>
            <w:tcW w:w="501" w:type="pct"/>
            <w:vAlign w:val="center"/>
          </w:tcPr>
          <w:p w14:paraId="26A9E347" w14:textId="77777777" w:rsidR="005510A8" w:rsidRPr="00BD295E" w:rsidRDefault="008A5057" w:rsidP="005510A8">
            <w:pPr>
              <w:spacing w:line="276" w:lineRule="auto"/>
              <w:jc w:val="center"/>
              <w:rPr>
                <w:rFonts w:ascii="Arial" w:hAnsi="Arial" w:cs="Arial"/>
                <w:sz w:val="18"/>
                <w:szCs w:val="18"/>
                <w:lang w:val="en-US"/>
              </w:rPr>
            </w:pPr>
            <w:r w:rsidRPr="00BD295E">
              <w:rPr>
                <w:rFonts w:ascii="Arial" w:hAnsi="Arial" w:cs="Arial"/>
                <w:sz w:val="18"/>
                <w:szCs w:val="18"/>
                <w:lang w:val="en-US"/>
              </w:rPr>
              <w:t>4</w:t>
            </w:r>
          </w:p>
        </w:tc>
        <w:tc>
          <w:tcPr>
            <w:tcW w:w="548" w:type="pct"/>
            <w:vAlign w:val="center"/>
          </w:tcPr>
          <w:p w14:paraId="5E80F468" w14:textId="77777777" w:rsidR="005510A8" w:rsidRPr="00BD295E" w:rsidRDefault="008A5057" w:rsidP="005510A8">
            <w:pPr>
              <w:spacing w:line="276" w:lineRule="auto"/>
              <w:jc w:val="center"/>
              <w:rPr>
                <w:rFonts w:ascii="Arial" w:hAnsi="Arial" w:cs="Arial"/>
                <w:sz w:val="18"/>
                <w:szCs w:val="18"/>
                <w:lang w:val="en-US"/>
              </w:rPr>
            </w:pPr>
            <w:r w:rsidRPr="00BD295E">
              <w:rPr>
                <w:rFonts w:ascii="Arial" w:hAnsi="Arial" w:cs="Arial"/>
                <w:sz w:val="18"/>
                <w:szCs w:val="18"/>
                <w:lang w:val="en-US"/>
              </w:rPr>
              <w:t>8</w:t>
            </w:r>
          </w:p>
        </w:tc>
        <w:tc>
          <w:tcPr>
            <w:tcW w:w="498" w:type="pct"/>
            <w:vAlign w:val="center"/>
          </w:tcPr>
          <w:p w14:paraId="142D1CEA" w14:textId="77777777" w:rsidR="005510A8" w:rsidRPr="00BD295E" w:rsidRDefault="008A5057" w:rsidP="005510A8">
            <w:pPr>
              <w:spacing w:line="276" w:lineRule="auto"/>
              <w:jc w:val="center"/>
              <w:rPr>
                <w:rFonts w:ascii="Arial" w:hAnsi="Arial" w:cs="Arial"/>
                <w:sz w:val="18"/>
                <w:szCs w:val="18"/>
                <w:lang w:val="en-US"/>
              </w:rPr>
            </w:pPr>
            <w:r w:rsidRPr="00BD295E">
              <w:rPr>
                <w:rFonts w:ascii="Arial" w:hAnsi="Arial" w:cs="Arial"/>
                <w:sz w:val="18"/>
                <w:szCs w:val="18"/>
                <w:lang w:val="en-US"/>
              </w:rPr>
              <w:t>4</w:t>
            </w:r>
          </w:p>
        </w:tc>
        <w:tc>
          <w:tcPr>
            <w:tcW w:w="492" w:type="pct"/>
            <w:vAlign w:val="center"/>
          </w:tcPr>
          <w:p w14:paraId="21BAFC66" w14:textId="77777777" w:rsidR="005510A8" w:rsidRPr="00BD295E" w:rsidRDefault="008A5057" w:rsidP="005510A8">
            <w:pPr>
              <w:spacing w:line="276" w:lineRule="auto"/>
              <w:jc w:val="center"/>
              <w:rPr>
                <w:rFonts w:ascii="Arial" w:hAnsi="Arial" w:cs="Arial"/>
                <w:sz w:val="18"/>
                <w:szCs w:val="18"/>
                <w:lang w:val="en-US"/>
              </w:rPr>
            </w:pPr>
            <w:r w:rsidRPr="00BD295E">
              <w:rPr>
                <w:rFonts w:ascii="Arial" w:hAnsi="Arial" w:cs="Arial"/>
                <w:sz w:val="18"/>
                <w:szCs w:val="18"/>
                <w:lang w:val="en-US"/>
              </w:rPr>
              <w:t>122</w:t>
            </w:r>
          </w:p>
        </w:tc>
        <w:tc>
          <w:tcPr>
            <w:tcW w:w="572" w:type="pct"/>
            <w:vAlign w:val="center"/>
          </w:tcPr>
          <w:p w14:paraId="1D71A229" w14:textId="77777777" w:rsidR="005510A8" w:rsidRPr="00BD295E" w:rsidRDefault="008A5057" w:rsidP="005510A8">
            <w:pPr>
              <w:spacing w:line="276" w:lineRule="auto"/>
              <w:jc w:val="center"/>
              <w:rPr>
                <w:rFonts w:ascii="Arial" w:hAnsi="Arial" w:cs="Arial"/>
                <w:sz w:val="18"/>
                <w:szCs w:val="18"/>
                <w:lang w:val="en-US"/>
              </w:rPr>
            </w:pPr>
            <w:r w:rsidRPr="00BD295E">
              <w:rPr>
                <w:rFonts w:ascii="Arial" w:hAnsi="Arial" w:cs="Arial"/>
                <w:sz w:val="18"/>
                <w:szCs w:val="18"/>
                <w:lang w:val="en-US"/>
              </w:rPr>
              <w:t>12</w:t>
            </w:r>
          </w:p>
        </w:tc>
        <w:tc>
          <w:tcPr>
            <w:tcW w:w="473" w:type="pct"/>
            <w:vAlign w:val="center"/>
          </w:tcPr>
          <w:p w14:paraId="2B66AEDA" w14:textId="77777777" w:rsidR="005510A8" w:rsidRPr="00BD295E" w:rsidRDefault="008A5057" w:rsidP="005510A8">
            <w:pPr>
              <w:spacing w:line="276" w:lineRule="auto"/>
              <w:jc w:val="center"/>
              <w:rPr>
                <w:rFonts w:ascii="Arial" w:hAnsi="Arial" w:cs="Arial"/>
                <w:sz w:val="18"/>
                <w:szCs w:val="18"/>
                <w:lang w:val="en-US"/>
              </w:rPr>
            </w:pPr>
            <w:r w:rsidRPr="00BD295E">
              <w:rPr>
                <w:rFonts w:ascii="Arial" w:hAnsi="Arial" w:cs="Arial"/>
                <w:sz w:val="18"/>
                <w:szCs w:val="18"/>
                <w:lang w:val="en-US"/>
              </w:rPr>
              <w:t>7</w:t>
            </w:r>
          </w:p>
        </w:tc>
        <w:tc>
          <w:tcPr>
            <w:tcW w:w="308" w:type="pct"/>
            <w:vAlign w:val="center"/>
          </w:tcPr>
          <w:p w14:paraId="1D4E9E44" w14:textId="77777777" w:rsidR="005510A8" w:rsidRPr="00BD295E" w:rsidRDefault="008A5057" w:rsidP="005510A8">
            <w:pPr>
              <w:spacing w:line="276" w:lineRule="auto"/>
              <w:jc w:val="center"/>
              <w:rPr>
                <w:rFonts w:ascii="Arial" w:hAnsi="Arial" w:cs="Arial"/>
                <w:sz w:val="18"/>
                <w:szCs w:val="18"/>
                <w:lang w:val="en-US"/>
              </w:rPr>
            </w:pPr>
            <w:r w:rsidRPr="00BD295E">
              <w:rPr>
                <w:rFonts w:ascii="Arial" w:hAnsi="Arial" w:cs="Arial"/>
                <w:sz w:val="18"/>
                <w:szCs w:val="18"/>
                <w:lang w:val="en-US"/>
              </w:rPr>
              <w:t>0</w:t>
            </w:r>
          </w:p>
        </w:tc>
        <w:tc>
          <w:tcPr>
            <w:tcW w:w="257" w:type="pct"/>
            <w:vAlign w:val="center"/>
          </w:tcPr>
          <w:p w14:paraId="6C1A4B9A" w14:textId="77777777" w:rsidR="005510A8" w:rsidRPr="00BD295E" w:rsidRDefault="008A5057" w:rsidP="005510A8">
            <w:pPr>
              <w:spacing w:line="276" w:lineRule="auto"/>
              <w:jc w:val="center"/>
              <w:rPr>
                <w:rFonts w:ascii="Arial" w:hAnsi="Arial" w:cs="Arial"/>
                <w:sz w:val="18"/>
                <w:szCs w:val="18"/>
                <w:lang w:val="en-US"/>
              </w:rPr>
            </w:pPr>
            <w:r w:rsidRPr="00BD295E">
              <w:rPr>
                <w:rFonts w:ascii="Arial" w:hAnsi="Arial" w:cs="Arial"/>
                <w:sz w:val="18"/>
                <w:szCs w:val="18"/>
                <w:lang w:val="en-US"/>
              </w:rPr>
              <w:t>168</w:t>
            </w:r>
          </w:p>
        </w:tc>
      </w:tr>
      <w:tr w:rsidR="008A5057" w:rsidRPr="00BD295E" w14:paraId="66B5D9CA" w14:textId="77777777" w:rsidTr="005510A8">
        <w:trPr>
          <w:cantSplit/>
          <w:trHeight w:val="295"/>
        </w:trPr>
        <w:tc>
          <w:tcPr>
            <w:tcW w:w="376" w:type="pct"/>
            <w:vAlign w:val="center"/>
          </w:tcPr>
          <w:p w14:paraId="0CC89CFE"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35–110 kV substations</w:t>
            </w:r>
          </w:p>
        </w:tc>
        <w:tc>
          <w:tcPr>
            <w:tcW w:w="420" w:type="pct"/>
            <w:vAlign w:val="center"/>
          </w:tcPr>
          <w:p w14:paraId="073B723A"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34</w:t>
            </w:r>
          </w:p>
        </w:tc>
        <w:tc>
          <w:tcPr>
            <w:tcW w:w="557" w:type="pct"/>
            <w:vAlign w:val="center"/>
          </w:tcPr>
          <w:p w14:paraId="0E99C628"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186</w:t>
            </w:r>
          </w:p>
        </w:tc>
        <w:tc>
          <w:tcPr>
            <w:tcW w:w="501" w:type="pct"/>
            <w:vAlign w:val="center"/>
          </w:tcPr>
          <w:p w14:paraId="3C53B104"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64</w:t>
            </w:r>
          </w:p>
        </w:tc>
        <w:tc>
          <w:tcPr>
            <w:tcW w:w="548" w:type="pct"/>
            <w:vAlign w:val="center"/>
          </w:tcPr>
          <w:p w14:paraId="71BAC10A"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49</w:t>
            </w:r>
          </w:p>
        </w:tc>
        <w:tc>
          <w:tcPr>
            <w:tcW w:w="498" w:type="pct"/>
            <w:vAlign w:val="center"/>
          </w:tcPr>
          <w:p w14:paraId="248C8DA0"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46</w:t>
            </w:r>
          </w:p>
        </w:tc>
        <w:tc>
          <w:tcPr>
            <w:tcW w:w="492" w:type="pct"/>
            <w:vAlign w:val="center"/>
          </w:tcPr>
          <w:p w14:paraId="3F2209A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371</w:t>
            </w:r>
          </w:p>
        </w:tc>
        <w:tc>
          <w:tcPr>
            <w:tcW w:w="572" w:type="pct"/>
            <w:vAlign w:val="center"/>
          </w:tcPr>
          <w:p w14:paraId="17D9B718"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144</w:t>
            </w:r>
          </w:p>
        </w:tc>
        <w:tc>
          <w:tcPr>
            <w:tcW w:w="473" w:type="pct"/>
            <w:vAlign w:val="center"/>
          </w:tcPr>
          <w:p w14:paraId="1651E29F"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189</w:t>
            </w:r>
          </w:p>
        </w:tc>
        <w:tc>
          <w:tcPr>
            <w:tcW w:w="308" w:type="pct"/>
            <w:vAlign w:val="center"/>
          </w:tcPr>
          <w:p w14:paraId="5E6FAB80"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91</w:t>
            </w:r>
          </w:p>
        </w:tc>
        <w:tc>
          <w:tcPr>
            <w:tcW w:w="257" w:type="pct"/>
            <w:vAlign w:val="center"/>
          </w:tcPr>
          <w:p w14:paraId="7D13411C"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1,140</w:t>
            </w:r>
          </w:p>
        </w:tc>
      </w:tr>
      <w:tr w:rsidR="008A5057" w:rsidRPr="00BD295E" w14:paraId="44E28ED3" w14:textId="77777777" w:rsidTr="005510A8">
        <w:trPr>
          <w:cantSplit/>
          <w:trHeight w:val="412"/>
        </w:trPr>
        <w:tc>
          <w:tcPr>
            <w:tcW w:w="376" w:type="pct"/>
            <w:vAlign w:val="center"/>
          </w:tcPr>
          <w:p w14:paraId="6970F5B8" w14:textId="77777777" w:rsidR="005510A8" w:rsidRPr="00BD295E" w:rsidRDefault="008A5057" w:rsidP="005510A8">
            <w:pPr>
              <w:rPr>
                <w:rFonts w:ascii="Arial" w:hAnsi="Arial" w:cs="Arial"/>
                <w:sz w:val="18"/>
                <w:szCs w:val="18"/>
                <w:lang w:val="en-US"/>
              </w:rPr>
            </w:pPr>
            <w:r w:rsidRPr="00BD295E">
              <w:rPr>
                <w:rFonts w:ascii="Arial" w:hAnsi="Arial" w:cs="Arial"/>
                <w:sz w:val="18"/>
                <w:szCs w:val="18"/>
                <w:lang w:val="en-US"/>
              </w:rPr>
              <w:t>6–35/0.4 kV transformer substations</w:t>
            </w:r>
          </w:p>
        </w:tc>
        <w:tc>
          <w:tcPr>
            <w:tcW w:w="420" w:type="pct"/>
            <w:vAlign w:val="center"/>
          </w:tcPr>
          <w:p w14:paraId="2D8F7DC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2</w:t>
            </w:r>
          </w:p>
        </w:tc>
        <w:tc>
          <w:tcPr>
            <w:tcW w:w="557" w:type="pct"/>
            <w:vAlign w:val="center"/>
          </w:tcPr>
          <w:p w14:paraId="74D9A870"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501" w:type="pct"/>
            <w:vAlign w:val="center"/>
          </w:tcPr>
          <w:p w14:paraId="5D1FCCC4"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548" w:type="pct"/>
            <w:vAlign w:val="center"/>
          </w:tcPr>
          <w:p w14:paraId="27FF739D"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498" w:type="pct"/>
            <w:vAlign w:val="center"/>
          </w:tcPr>
          <w:p w14:paraId="0E0323E8"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492" w:type="pct"/>
            <w:vAlign w:val="center"/>
          </w:tcPr>
          <w:p w14:paraId="298534E7"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572" w:type="pct"/>
            <w:vAlign w:val="center"/>
          </w:tcPr>
          <w:p w14:paraId="764B4F8A"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473" w:type="pct"/>
            <w:vAlign w:val="center"/>
          </w:tcPr>
          <w:p w14:paraId="4237683B"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308" w:type="pct"/>
            <w:vAlign w:val="center"/>
          </w:tcPr>
          <w:p w14:paraId="62A66617"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c>
          <w:tcPr>
            <w:tcW w:w="257" w:type="pct"/>
            <w:vAlign w:val="center"/>
          </w:tcPr>
          <w:p w14:paraId="24A76536" w14:textId="77777777" w:rsidR="005510A8" w:rsidRPr="00BD295E" w:rsidRDefault="008A5057" w:rsidP="005510A8">
            <w:pPr>
              <w:jc w:val="center"/>
              <w:rPr>
                <w:rFonts w:ascii="Arial" w:hAnsi="Arial" w:cs="Arial"/>
                <w:sz w:val="18"/>
                <w:szCs w:val="18"/>
                <w:lang w:val="en-US"/>
              </w:rPr>
            </w:pPr>
            <w:r w:rsidRPr="00BD295E">
              <w:rPr>
                <w:rFonts w:ascii="Arial" w:hAnsi="Arial" w:cs="Arial"/>
                <w:sz w:val="18"/>
                <w:szCs w:val="18"/>
                <w:lang w:val="en-US"/>
              </w:rPr>
              <w:t>0</w:t>
            </w:r>
          </w:p>
        </w:tc>
      </w:tr>
    </w:tbl>
    <w:p w14:paraId="428E160F" w14:textId="77777777" w:rsidR="005510A8" w:rsidRPr="00BD295E" w:rsidRDefault="005510A8" w:rsidP="005510A8">
      <w:pPr>
        <w:pStyle w:val="afffffff3"/>
        <w:rPr>
          <w:rFonts w:ascii="Arial" w:hAnsi="Arial" w:cs="Arial"/>
          <w:color w:val="auto"/>
          <w:sz w:val="18"/>
          <w:szCs w:val="18"/>
          <w:lang w:val="en-US"/>
        </w:rPr>
      </w:pPr>
    </w:p>
    <w:p w14:paraId="5FF11C62" w14:textId="77777777" w:rsidR="005510A8" w:rsidRPr="00BD295E" w:rsidRDefault="008A5057" w:rsidP="003D49A2">
      <w:pPr>
        <w:pStyle w:val="afffff4"/>
        <w:ind w:left="0"/>
        <w:rPr>
          <w:rFonts w:ascii="Arial" w:hAnsi="Arial" w:cs="Arial"/>
          <w:sz w:val="18"/>
          <w:szCs w:val="18"/>
          <w:lang w:val="en-US"/>
        </w:rPr>
      </w:pPr>
      <w:r w:rsidRPr="00BD295E">
        <w:rPr>
          <w:rFonts w:ascii="Arial" w:hAnsi="Arial" w:cs="Arial"/>
          <w:sz w:val="18"/>
          <w:szCs w:val="18"/>
          <w:lang w:val="en-US"/>
        </w:rPr>
        <w:t>Results of investigating process related to the quality of capital construction</w:t>
      </w:r>
    </w:p>
    <w:p w14:paraId="3FDABAC3" w14:textId="77777777" w:rsidR="005510A8" w:rsidRPr="00BD295E" w:rsidRDefault="005510A8" w:rsidP="003D49A2">
      <w:pPr>
        <w:pStyle w:val="afffff3"/>
        <w:rPr>
          <w:rFonts w:ascii="Arial" w:hAnsi="Arial" w:cs="Arial"/>
          <w:sz w:val="18"/>
          <w:szCs w:val="18"/>
          <w:lang w:val="en-US"/>
        </w:rPr>
      </w:pPr>
    </w:p>
    <w:p w14:paraId="453B988A" w14:textId="77777777" w:rsidR="005510A8" w:rsidRPr="00BD295E" w:rsidRDefault="008A5057" w:rsidP="003D49A2">
      <w:pPr>
        <w:pStyle w:val="afffff3"/>
        <w:ind w:firstLine="0"/>
        <w:rPr>
          <w:rFonts w:ascii="Arial" w:hAnsi="Arial" w:cs="Arial"/>
          <w:sz w:val="18"/>
          <w:szCs w:val="18"/>
          <w:lang w:val="en-US"/>
        </w:rPr>
      </w:pPr>
      <w:r w:rsidRPr="00BD295E">
        <w:rPr>
          <w:rFonts w:ascii="Arial" w:hAnsi="Arial" w:cs="Arial"/>
          <w:sz w:val="18"/>
          <w:szCs w:val="18"/>
          <w:lang w:val="en-US"/>
        </w:rPr>
        <w:t xml:space="preserve">The results of the investigation of process failures (accidents) related to substandard quality of construction classified under organization cause code 3.4.11. (3.4.13.) Defects (drawbacks) of a project, structure, manufacturing, or assembly in line with Order No. 90 of the Russian Ministry of Energy </w:t>
      </w:r>
      <w:r w:rsidR="008B183C" w:rsidRPr="00BD295E">
        <w:rPr>
          <w:rFonts w:ascii="Arial" w:hAnsi="Arial" w:cs="Arial"/>
          <w:sz w:val="18"/>
          <w:szCs w:val="18"/>
          <w:lang w:val="en-US"/>
        </w:rPr>
        <w:t>of</w:t>
      </w:r>
      <w:r w:rsidRPr="00BD295E">
        <w:rPr>
          <w:rFonts w:ascii="Arial" w:hAnsi="Arial" w:cs="Arial"/>
          <w:sz w:val="18"/>
          <w:szCs w:val="18"/>
          <w:lang w:val="en-US"/>
        </w:rPr>
        <w:t xml:space="preserve"> March 2, 2010, </w:t>
      </w:r>
      <w:r w:rsidRPr="00BD295E">
        <w:rPr>
          <w:rFonts w:ascii="Arial" w:hAnsi="Arial" w:cs="Arial"/>
          <w:i/>
          <w:iCs/>
          <w:sz w:val="18"/>
          <w:szCs w:val="18"/>
          <w:lang w:val="en-US"/>
        </w:rPr>
        <w:t>On approval of the form of a report on investigating the causes of accidents in the electricity industry and the procedure for its completion</w:t>
      </w:r>
    </w:p>
    <w:p w14:paraId="1A57CDD6" w14:textId="77777777" w:rsidR="005510A8" w:rsidRPr="00BD295E" w:rsidRDefault="008A5057" w:rsidP="003D49A2">
      <w:pPr>
        <w:pStyle w:val="afffff3"/>
        <w:ind w:firstLine="0"/>
        <w:rPr>
          <w:rFonts w:ascii="Arial" w:hAnsi="Arial" w:cs="Arial"/>
          <w:sz w:val="18"/>
          <w:szCs w:val="18"/>
          <w:lang w:val="en-US"/>
        </w:rPr>
      </w:pPr>
      <w:r w:rsidRPr="00BD295E">
        <w:rPr>
          <w:rFonts w:ascii="Arial" w:hAnsi="Arial" w:cs="Arial"/>
          <w:sz w:val="18"/>
          <w:szCs w:val="18"/>
          <w:lang w:val="en-US"/>
        </w:rPr>
        <w:t>The number of process failures (accidents) related to substandard construction of electric grid facilities increased in 2018 by 83.5% year-on-year.</w:t>
      </w:r>
    </w:p>
    <w:p w14:paraId="35804D34" w14:textId="77777777" w:rsidR="005510A8" w:rsidRPr="00BD295E" w:rsidRDefault="008A5057" w:rsidP="003D49A2">
      <w:pPr>
        <w:pStyle w:val="afffff3"/>
        <w:ind w:firstLine="0"/>
        <w:rPr>
          <w:rFonts w:ascii="Arial" w:hAnsi="Arial" w:cs="Arial"/>
          <w:sz w:val="18"/>
          <w:szCs w:val="18"/>
          <w:lang w:val="en-US"/>
        </w:rPr>
      </w:pPr>
      <w:r w:rsidRPr="00BD295E">
        <w:rPr>
          <w:rFonts w:ascii="Arial" w:hAnsi="Arial" w:cs="Arial"/>
          <w:sz w:val="18"/>
          <w:szCs w:val="18"/>
          <w:lang w:val="en-US"/>
        </w:rPr>
        <w:t xml:space="preserve">Over 12M 2018, 177 reports of process failures related to the quality of capital construction and classified under organization cause code 3.4.13 </w:t>
      </w:r>
      <w:r w:rsidRPr="00BD295E">
        <w:rPr>
          <w:rFonts w:ascii="Arial" w:hAnsi="Arial" w:cs="Arial"/>
          <w:i/>
          <w:iCs/>
          <w:sz w:val="18"/>
          <w:szCs w:val="18"/>
          <w:lang w:val="en-US"/>
        </w:rPr>
        <w:t>Defects (drawbacks) of a project, structure, manufacturing, or assembly</w:t>
      </w:r>
      <w:r w:rsidRPr="00BD295E">
        <w:rPr>
          <w:rFonts w:ascii="Arial" w:hAnsi="Arial" w:cs="Arial"/>
          <w:sz w:val="18"/>
          <w:szCs w:val="18"/>
          <w:lang w:val="en-US"/>
        </w:rPr>
        <w:t xml:space="preserve"> were drawn up,</w:t>
      </w:r>
    </w:p>
    <w:p w14:paraId="161EA227" w14:textId="77777777" w:rsidR="005510A8" w:rsidRPr="00BD295E" w:rsidRDefault="008A5057" w:rsidP="003D49A2">
      <w:pPr>
        <w:pStyle w:val="afffff3"/>
        <w:ind w:firstLine="0"/>
        <w:rPr>
          <w:rFonts w:ascii="Arial" w:hAnsi="Arial" w:cs="Arial"/>
          <w:sz w:val="18"/>
          <w:szCs w:val="18"/>
          <w:lang w:val="en-US"/>
        </w:rPr>
      </w:pPr>
      <w:r w:rsidRPr="00BD295E">
        <w:rPr>
          <w:rFonts w:ascii="Arial" w:hAnsi="Arial" w:cs="Arial"/>
          <w:sz w:val="18"/>
          <w:szCs w:val="18"/>
          <w:lang w:val="en-US"/>
        </w:rPr>
        <w:t xml:space="preserve">Over 12M 2017, 96 reports of process failures related to the quality of capital construction and classified under organization cause code 3.4.13 </w:t>
      </w:r>
      <w:r w:rsidRPr="00BD295E">
        <w:rPr>
          <w:rFonts w:ascii="Arial" w:hAnsi="Arial" w:cs="Arial"/>
          <w:i/>
          <w:iCs/>
          <w:sz w:val="18"/>
          <w:szCs w:val="18"/>
          <w:lang w:val="en-US"/>
        </w:rPr>
        <w:t>Defects (drawbacks) of a project, structure, manufacturing, or assembly</w:t>
      </w:r>
      <w:r w:rsidRPr="00BD295E">
        <w:rPr>
          <w:rFonts w:ascii="Arial" w:hAnsi="Arial" w:cs="Arial"/>
          <w:sz w:val="18"/>
          <w:szCs w:val="18"/>
          <w:lang w:val="en-US"/>
        </w:rPr>
        <w:t xml:space="preserve"> were drawn up,</w:t>
      </w:r>
    </w:p>
    <w:p w14:paraId="303F78FA" w14:textId="77777777" w:rsidR="005510A8" w:rsidRPr="00BD295E" w:rsidRDefault="008A5057" w:rsidP="003D49A2">
      <w:pPr>
        <w:pStyle w:val="afffff3"/>
        <w:ind w:firstLine="0"/>
        <w:rPr>
          <w:rFonts w:ascii="Arial" w:hAnsi="Arial" w:cs="Arial"/>
          <w:sz w:val="18"/>
          <w:szCs w:val="18"/>
          <w:lang w:val="en-US"/>
        </w:rPr>
      </w:pPr>
      <w:r w:rsidRPr="00BD295E">
        <w:rPr>
          <w:rFonts w:ascii="Arial" w:hAnsi="Arial" w:cs="Arial"/>
          <w:sz w:val="18"/>
          <w:szCs w:val="18"/>
          <w:lang w:val="en-US"/>
        </w:rPr>
        <w:t xml:space="preserve">According to Section 2.3 of the report, the actual share of process failures classified under organization cause code 3.4.11 (3.4.13) </w:t>
      </w:r>
      <w:r w:rsidRPr="00BD295E">
        <w:rPr>
          <w:rFonts w:ascii="Arial" w:hAnsi="Arial" w:cs="Arial"/>
          <w:i/>
          <w:iCs/>
          <w:sz w:val="18"/>
          <w:szCs w:val="18"/>
          <w:lang w:val="en-US"/>
        </w:rPr>
        <w:t>Defects (drawbacks) of a project, structure, manufacturing, or assembly</w:t>
      </w:r>
      <w:r w:rsidRPr="00BD295E">
        <w:rPr>
          <w:rFonts w:ascii="Arial" w:hAnsi="Arial" w:cs="Arial"/>
          <w:sz w:val="18"/>
          <w:szCs w:val="18"/>
          <w:lang w:val="en-US"/>
        </w:rPr>
        <w:t xml:space="preserve"> in the Company over the reporting year was 16.8% based on the results of an investigation and causes established by it.  </w:t>
      </w:r>
    </w:p>
    <w:p w14:paraId="0E10DB40" w14:textId="77777777" w:rsidR="005510A8" w:rsidRPr="00BD295E" w:rsidRDefault="008A5057" w:rsidP="003D49A2">
      <w:pPr>
        <w:pStyle w:val="afffff3"/>
        <w:ind w:firstLine="0"/>
        <w:rPr>
          <w:rFonts w:ascii="Arial" w:hAnsi="Arial" w:cs="Arial"/>
          <w:sz w:val="18"/>
          <w:szCs w:val="18"/>
          <w:lang w:val="en-US"/>
        </w:rPr>
      </w:pPr>
      <w:r w:rsidRPr="00BD295E">
        <w:rPr>
          <w:rFonts w:ascii="Arial" w:hAnsi="Arial" w:cs="Arial"/>
          <w:sz w:val="18"/>
          <w:szCs w:val="18"/>
          <w:lang w:val="en-US"/>
        </w:rPr>
        <w:t xml:space="preserve">In 2017, the share of process failures classified under organization cause code 3.4.11 (3.4.13) </w:t>
      </w:r>
      <w:r w:rsidRPr="00BD295E">
        <w:rPr>
          <w:rFonts w:ascii="Arial" w:hAnsi="Arial" w:cs="Arial"/>
          <w:i/>
          <w:iCs/>
          <w:sz w:val="18"/>
          <w:szCs w:val="18"/>
          <w:lang w:val="en-US"/>
        </w:rPr>
        <w:t>Defects (drawbacks) of a project, structure, manufacturing, or assembly</w:t>
      </w:r>
      <w:r w:rsidRPr="00BD295E">
        <w:rPr>
          <w:rFonts w:ascii="Arial" w:hAnsi="Arial" w:cs="Arial"/>
          <w:sz w:val="18"/>
          <w:szCs w:val="18"/>
          <w:lang w:val="en-US"/>
        </w:rPr>
        <w:t xml:space="preserve"> was 11%. </w:t>
      </w:r>
    </w:p>
    <w:p w14:paraId="37B7E437" w14:textId="77777777" w:rsidR="005510A8" w:rsidRPr="00BD295E" w:rsidRDefault="005510A8" w:rsidP="003D49A2">
      <w:pPr>
        <w:rPr>
          <w:rFonts w:ascii="Arial" w:hAnsi="Arial" w:cs="Arial"/>
          <w:sz w:val="18"/>
          <w:szCs w:val="18"/>
          <w:lang w:val="en-US"/>
        </w:rPr>
      </w:pPr>
    </w:p>
    <w:p w14:paraId="24BAF423" w14:textId="77777777" w:rsidR="006E7D4A" w:rsidRPr="00BD295E" w:rsidRDefault="008A5057" w:rsidP="003D49A2">
      <w:pPr>
        <w:pStyle w:val="af3"/>
        <w:keepNext/>
        <w:numPr>
          <w:ilvl w:val="1"/>
          <w:numId w:val="10"/>
        </w:numPr>
        <w:ind w:left="0"/>
        <w:jc w:val="both"/>
        <w:outlineLvl w:val="1"/>
        <w:rPr>
          <w:rFonts w:ascii="Arial" w:hAnsi="Arial" w:cs="Arial"/>
          <w:b/>
          <w:sz w:val="18"/>
          <w:szCs w:val="18"/>
          <w:lang w:val="en-US"/>
        </w:rPr>
      </w:pPr>
      <w:bookmarkStart w:id="278" w:name="_Toc509493394"/>
      <w:bookmarkStart w:id="279" w:name="_Toc509497958"/>
      <w:bookmarkStart w:id="280" w:name="_Toc509581260"/>
      <w:bookmarkStart w:id="281" w:name="_Toc510452224"/>
      <w:bookmarkStart w:id="282" w:name="_Toc5027013"/>
      <w:bookmarkStart w:id="283" w:name="_Toc5105972"/>
      <w:bookmarkStart w:id="284" w:name="_Toc5203825"/>
      <w:bookmarkStart w:id="285" w:name="_Toc6230922"/>
      <w:bookmarkStart w:id="286" w:name="_Toc7172570"/>
      <w:bookmarkStart w:id="287" w:name="_Toc7172616"/>
      <w:bookmarkStart w:id="288" w:name="_Toc95855291"/>
      <w:bookmarkStart w:id="289" w:name="_Toc95935350"/>
      <w:r w:rsidRPr="00BD295E">
        <w:rPr>
          <w:rFonts w:ascii="Arial" w:hAnsi="Arial" w:cs="Arial"/>
          <w:b/>
          <w:sz w:val="18"/>
          <w:szCs w:val="18"/>
          <w:lang w:val="en-US"/>
        </w:rPr>
        <w:t>Consolidation of Electric Grid Assets</w:t>
      </w:r>
      <w:bookmarkEnd w:id="278"/>
      <w:bookmarkEnd w:id="279"/>
      <w:bookmarkEnd w:id="280"/>
      <w:bookmarkEnd w:id="281"/>
      <w:bookmarkEnd w:id="282"/>
      <w:bookmarkEnd w:id="283"/>
      <w:bookmarkEnd w:id="284"/>
      <w:bookmarkEnd w:id="285"/>
      <w:bookmarkEnd w:id="286"/>
      <w:bookmarkEnd w:id="287"/>
      <w:bookmarkEnd w:id="288"/>
      <w:bookmarkEnd w:id="289"/>
    </w:p>
    <w:p w14:paraId="3334BA9B" w14:textId="77777777" w:rsidR="006E7D4A" w:rsidRPr="00BD295E" w:rsidRDefault="006E7D4A" w:rsidP="003D49A2">
      <w:pPr>
        <w:ind w:firstLine="709"/>
        <w:contextualSpacing/>
        <w:jc w:val="both"/>
        <w:rPr>
          <w:rFonts w:ascii="Arial" w:hAnsi="Arial" w:cs="Arial"/>
          <w:sz w:val="18"/>
          <w:szCs w:val="18"/>
          <w:lang w:val="en-US"/>
        </w:rPr>
      </w:pPr>
    </w:p>
    <w:p w14:paraId="08E7A8A0"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Units of the Company’s executive arm and branches involved in the consolidation of electric grid facilities, the functions they perform, and their headcount.</w:t>
      </w:r>
    </w:p>
    <w:p w14:paraId="3A3CAD36"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 xml:space="preserve">Electric grid asset consolidation unit of the Property Management Department of </w:t>
      </w:r>
      <w:r w:rsidR="00EE5753" w:rsidRPr="00BD295E">
        <w:rPr>
          <w:rFonts w:ascii="Arial" w:hAnsi="Arial" w:cs="Arial"/>
          <w:snapToGrid/>
          <w:sz w:val="18"/>
          <w:szCs w:val="18"/>
          <w:lang w:val="en-US"/>
        </w:rPr>
        <w:t>PJSC “Lenenergo”</w:t>
      </w:r>
      <w:r w:rsidRPr="00BD295E">
        <w:rPr>
          <w:rFonts w:ascii="Arial" w:hAnsi="Arial" w:cs="Arial"/>
          <w:snapToGrid/>
          <w:sz w:val="18"/>
          <w:szCs w:val="18"/>
          <w:lang w:val="en-US"/>
        </w:rPr>
        <w:t xml:space="preserve"> Organization of all activities related to the consolidation of the Company’s electric grid assets, from planning to transactions. Headcount: six employees.</w:t>
      </w:r>
    </w:p>
    <w:p w14:paraId="44CDB51A"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Other units of the Company are involved in the consolidation process as part of their core activities:</w:t>
      </w:r>
    </w:p>
    <w:p w14:paraId="22A98109"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The Maintenance and Repair Department in cooperation with the Company's branches.</w:t>
      </w:r>
    </w:p>
    <w:p w14:paraId="5BC800E6"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Technical inspection of facilities as part of consolidation projects, preparing information on the technical condition of property, estimated costs related to maintenance, repairs, and renovation of facilities.</w:t>
      </w:r>
    </w:p>
    <w:p w14:paraId="22D74E19"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 xml:space="preserve">Function responsible for implementing and developing services jointly with branches. Providing information on consolidation projects related to </w:t>
      </w:r>
      <w:r w:rsidR="003D49A2" w:rsidRPr="00BD295E">
        <w:rPr>
          <w:rFonts w:ascii="Arial" w:hAnsi="Arial" w:cs="Arial"/>
          <w:snapToGrid/>
          <w:sz w:val="18"/>
          <w:szCs w:val="18"/>
          <w:lang w:val="en-US"/>
        </w:rPr>
        <w:t>long-term development</w:t>
      </w:r>
      <w:r w:rsidRPr="00BD295E">
        <w:rPr>
          <w:rFonts w:ascii="Arial" w:hAnsi="Arial" w:cs="Arial"/>
          <w:snapToGrid/>
          <w:sz w:val="18"/>
          <w:szCs w:val="18"/>
          <w:lang w:val="en-US"/>
        </w:rPr>
        <w:t xml:space="preserve">, grid connection, and electricity distribution. </w:t>
      </w:r>
    </w:p>
    <w:p w14:paraId="38DBE70E"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Economics Department. Calculating the cost effectiveness of consolidation projects.</w:t>
      </w:r>
    </w:p>
    <w:p w14:paraId="673BD2FC"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Department of Corporate Governance and Shareholder Relations. Organization of corporate procedures aimed at implementing consolidation projects (management decisions, initiating and supporting securities offerings, etc.).</w:t>
      </w:r>
    </w:p>
    <w:p w14:paraId="7D19F1A6"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Legal framework (including regional-level documents) used by the Company in its activities related to the consolidation of electric grid assets.</w:t>
      </w:r>
    </w:p>
    <w:p w14:paraId="675860EB" w14:textId="77777777" w:rsidR="003760B8" w:rsidRPr="00BD295E" w:rsidRDefault="008A5057" w:rsidP="003760B8">
      <w:pPr>
        <w:pStyle w:val="afffff3"/>
        <w:rPr>
          <w:rFonts w:ascii="Arial" w:hAnsi="Arial" w:cs="Arial"/>
          <w:snapToGrid/>
          <w:sz w:val="18"/>
          <w:szCs w:val="18"/>
          <w:lang w:val="en-US"/>
        </w:rPr>
      </w:pPr>
      <w:r w:rsidRPr="00BD295E">
        <w:rPr>
          <w:rFonts w:ascii="Arial" w:hAnsi="Arial" w:cs="Arial"/>
          <w:snapToGrid/>
          <w:sz w:val="18"/>
          <w:szCs w:val="18"/>
          <w:lang w:val="en-US"/>
        </w:rPr>
        <w:t>- The Civil Code of the Russian Federation</w:t>
      </w:r>
    </w:p>
    <w:p w14:paraId="448AFBB3" w14:textId="77777777" w:rsidR="003760B8" w:rsidRPr="00BD295E" w:rsidRDefault="008A5057" w:rsidP="003760B8">
      <w:pPr>
        <w:pStyle w:val="afffff3"/>
        <w:rPr>
          <w:rFonts w:ascii="Arial" w:hAnsi="Arial" w:cs="Arial"/>
          <w:snapToGrid/>
          <w:sz w:val="18"/>
          <w:szCs w:val="18"/>
          <w:lang w:val="en-US"/>
        </w:rPr>
      </w:pPr>
      <w:r w:rsidRPr="00BD295E">
        <w:rPr>
          <w:rFonts w:ascii="Arial" w:hAnsi="Arial" w:cs="Arial"/>
          <w:snapToGrid/>
          <w:sz w:val="18"/>
          <w:szCs w:val="18"/>
          <w:lang w:val="en-US"/>
        </w:rPr>
        <w:t>- The Civil Code of the Russian Federation</w:t>
      </w:r>
    </w:p>
    <w:p w14:paraId="22E6E42F" w14:textId="77777777" w:rsidR="003760B8" w:rsidRPr="00BD295E" w:rsidRDefault="008A5057" w:rsidP="003760B8">
      <w:pPr>
        <w:pStyle w:val="afffff3"/>
        <w:rPr>
          <w:rFonts w:ascii="Arial" w:hAnsi="Arial" w:cs="Arial"/>
          <w:snapToGrid/>
          <w:sz w:val="18"/>
          <w:szCs w:val="18"/>
          <w:lang w:val="en-US"/>
        </w:rPr>
      </w:pPr>
      <w:r w:rsidRPr="00BD295E">
        <w:rPr>
          <w:rFonts w:ascii="Arial" w:hAnsi="Arial" w:cs="Arial"/>
          <w:snapToGrid/>
          <w:sz w:val="18"/>
          <w:szCs w:val="18"/>
          <w:lang w:val="en-US"/>
        </w:rPr>
        <w:t xml:space="preserve">- Federal Law No. 14-FZ, </w:t>
      </w:r>
      <w:r w:rsidRPr="00BD295E">
        <w:rPr>
          <w:rFonts w:ascii="Arial" w:hAnsi="Arial" w:cs="Arial"/>
          <w:i/>
          <w:iCs/>
          <w:snapToGrid/>
          <w:sz w:val="18"/>
          <w:szCs w:val="18"/>
          <w:lang w:val="en-US"/>
        </w:rPr>
        <w:t>On Limited Liability Companies</w:t>
      </w:r>
      <w:r w:rsidRPr="00BD295E">
        <w:rPr>
          <w:rFonts w:ascii="Arial" w:hAnsi="Arial" w:cs="Arial"/>
          <w:snapToGrid/>
          <w:sz w:val="18"/>
          <w:szCs w:val="18"/>
          <w:lang w:val="en-US"/>
        </w:rPr>
        <w:t xml:space="preserve">, </w:t>
      </w:r>
      <w:r w:rsidR="008B183C" w:rsidRPr="00BD295E">
        <w:rPr>
          <w:rFonts w:ascii="Arial" w:hAnsi="Arial" w:cs="Arial"/>
          <w:snapToGrid/>
          <w:sz w:val="18"/>
          <w:szCs w:val="18"/>
          <w:lang w:val="en-US"/>
        </w:rPr>
        <w:t>of</w:t>
      </w:r>
      <w:r w:rsidRPr="00BD295E">
        <w:rPr>
          <w:rFonts w:ascii="Arial" w:hAnsi="Arial" w:cs="Arial"/>
          <w:snapToGrid/>
          <w:sz w:val="18"/>
          <w:szCs w:val="18"/>
          <w:lang w:val="en-US"/>
        </w:rPr>
        <w:t xml:space="preserve"> February 8, 1998;</w:t>
      </w:r>
    </w:p>
    <w:p w14:paraId="0ECCB6F8" w14:textId="77777777" w:rsidR="003760B8" w:rsidRPr="00BD295E" w:rsidRDefault="008A5057" w:rsidP="003760B8">
      <w:pPr>
        <w:pStyle w:val="afffff3"/>
        <w:rPr>
          <w:rFonts w:ascii="Arial" w:hAnsi="Arial" w:cs="Arial"/>
          <w:snapToGrid/>
          <w:sz w:val="18"/>
          <w:szCs w:val="18"/>
          <w:lang w:val="en-US"/>
        </w:rPr>
      </w:pPr>
      <w:r w:rsidRPr="00BD295E">
        <w:rPr>
          <w:rFonts w:ascii="Arial" w:hAnsi="Arial" w:cs="Arial"/>
          <w:snapToGrid/>
          <w:sz w:val="18"/>
          <w:szCs w:val="18"/>
          <w:lang w:val="en-US"/>
        </w:rPr>
        <w:t xml:space="preserve">- Federal Law No. 66-FZ, </w:t>
      </w:r>
      <w:r w:rsidRPr="00BD295E">
        <w:rPr>
          <w:rFonts w:ascii="Arial" w:hAnsi="Arial" w:cs="Arial"/>
          <w:i/>
          <w:iCs/>
          <w:snapToGrid/>
          <w:sz w:val="18"/>
          <w:szCs w:val="18"/>
          <w:lang w:val="en-US"/>
        </w:rPr>
        <w:t>On Gardening, Vegetable Gardening and Dacha Non-Commercial Associations of Citizens</w:t>
      </w:r>
      <w:r w:rsidRPr="00BD295E">
        <w:rPr>
          <w:rFonts w:ascii="Arial" w:hAnsi="Arial" w:cs="Arial"/>
          <w:snapToGrid/>
          <w:sz w:val="18"/>
          <w:szCs w:val="18"/>
          <w:lang w:val="en-US"/>
        </w:rPr>
        <w:t xml:space="preserve">, </w:t>
      </w:r>
      <w:r w:rsidR="008B183C" w:rsidRPr="00BD295E">
        <w:rPr>
          <w:rFonts w:ascii="Arial" w:hAnsi="Arial" w:cs="Arial"/>
          <w:snapToGrid/>
          <w:sz w:val="18"/>
          <w:szCs w:val="18"/>
          <w:lang w:val="en-US"/>
        </w:rPr>
        <w:t>of</w:t>
      </w:r>
      <w:r w:rsidRPr="00BD295E">
        <w:rPr>
          <w:rFonts w:ascii="Arial" w:hAnsi="Arial" w:cs="Arial"/>
          <w:snapToGrid/>
          <w:sz w:val="18"/>
          <w:szCs w:val="18"/>
          <w:lang w:val="en-US"/>
        </w:rPr>
        <w:t xml:space="preserve"> April 15, 1998;</w:t>
      </w:r>
    </w:p>
    <w:p w14:paraId="5E93FE0A" w14:textId="77777777" w:rsidR="003760B8" w:rsidRPr="00BD295E" w:rsidRDefault="008A5057" w:rsidP="003760B8">
      <w:pPr>
        <w:pStyle w:val="afffff3"/>
        <w:rPr>
          <w:rFonts w:ascii="Arial" w:hAnsi="Arial" w:cs="Arial"/>
          <w:snapToGrid/>
          <w:sz w:val="18"/>
          <w:szCs w:val="18"/>
          <w:lang w:val="en-US"/>
        </w:rPr>
      </w:pPr>
      <w:r w:rsidRPr="00BD295E">
        <w:rPr>
          <w:rFonts w:ascii="Arial" w:hAnsi="Arial" w:cs="Arial"/>
          <w:snapToGrid/>
          <w:sz w:val="18"/>
          <w:szCs w:val="18"/>
          <w:lang w:val="en-US"/>
        </w:rPr>
        <w:t xml:space="preserve">- Federal Law No. 35-FZ, </w:t>
      </w:r>
      <w:r w:rsidRPr="00BD295E">
        <w:rPr>
          <w:rFonts w:ascii="Arial" w:hAnsi="Arial" w:cs="Arial"/>
          <w:i/>
          <w:iCs/>
          <w:snapToGrid/>
          <w:sz w:val="18"/>
          <w:szCs w:val="18"/>
          <w:lang w:val="en-US"/>
        </w:rPr>
        <w:t>On the Electricity Industry</w:t>
      </w:r>
      <w:r w:rsidRPr="00BD295E">
        <w:rPr>
          <w:rFonts w:ascii="Arial" w:hAnsi="Arial" w:cs="Arial"/>
          <w:snapToGrid/>
          <w:sz w:val="18"/>
          <w:szCs w:val="18"/>
          <w:lang w:val="en-US"/>
        </w:rPr>
        <w:t xml:space="preserve">, </w:t>
      </w:r>
      <w:r w:rsidR="008B183C" w:rsidRPr="00BD295E">
        <w:rPr>
          <w:rFonts w:ascii="Arial" w:hAnsi="Arial" w:cs="Arial"/>
          <w:snapToGrid/>
          <w:sz w:val="18"/>
          <w:szCs w:val="18"/>
          <w:lang w:val="en-US"/>
        </w:rPr>
        <w:t>of</w:t>
      </w:r>
      <w:r w:rsidRPr="00BD295E">
        <w:rPr>
          <w:rFonts w:ascii="Arial" w:hAnsi="Arial" w:cs="Arial"/>
          <w:snapToGrid/>
          <w:sz w:val="18"/>
          <w:szCs w:val="18"/>
          <w:lang w:val="en-US"/>
        </w:rPr>
        <w:t xml:space="preserve"> March 23, 2003;</w:t>
      </w:r>
    </w:p>
    <w:p w14:paraId="6E85BD71" w14:textId="77777777" w:rsidR="003760B8" w:rsidRPr="00BD295E" w:rsidRDefault="008A5057" w:rsidP="003760B8">
      <w:pPr>
        <w:pStyle w:val="afffff3"/>
        <w:rPr>
          <w:rFonts w:ascii="Arial" w:hAnsi="Arial" w:cs="Arial"/>
          <w:snapToGrid/>
          <w:sz w:val="18"/>
          <w:szCs w:val="18"/>
          <w:lang w:val="en-US"/>
        </w:rPr>
      </w:pPr>
      <w:r w:rsidRPr="00BD295E">
        <w:rPr>
          <w:rFonts w:ascii="Arial" w:hAnsi="Arial" w:cs="Arial"/>
          <w:snapToGrid/>
          <w:sz w:val="18"/>
          <w:szCs w:val="18"/>
          <w:lang w:val="en-US"/>
        </w:rPr>
        <w:t xml:space="preserve">- Directive No. 1503-r of the City Property Management Committee of Saint Petersburg, </w:t>
      </w:r>
      <w:r w:rsidR="008B183C" w:rsidRPr="00BD295E">
        <w:rPr>
          <w:rFonts w:ascii="Arial" w:hAnsi="Arial" w:cs="Arial"/>
          <w:snapToGrid/>
          <w:sz w:val="18"/>
          <w:szCs w:val="18"/>
          <w:lang w:val="en-US"/>
        </w:rPr>
        <w:t>of</w:t>
      </w:r>
      <w:r w:rsidRPr="00BD295E">
        <w:rPr>
          <w:rFonts w:ascii="Arial" w:hAnsi="Arial" w:cs="Arial"/>
          <w:snapToGrid/>
          <w:sz w:val="18"/>
          <w:szCs w:val="18"/>
          <w:lang w:val="en-US"/>
        </w:rPr>
        <w:t xml:space="preserve"> September 30, 1999, </w:t>
      </w:r>
      <w:r w:rsidRPr="00BD295E">
        <w:rPr>
          <w:rFonts w:ascii="Arial" w:hAnsi="Arial" w:cs="Arial"/>
          <w:i/>
          <w:iCs/>
          <w:snapToGrid/>
          <w:sz w:val="18"/>
          <w:szCs w:val="18"/>
          <w:lang w:val="en-US"/>
        </w:rPr>
        <w:t>On approval of the procedure for the delivery of engineering infrastructure facilities to specialized operators</w:t>
      </w:r>
      <w:r w:rsidRPr="00BD295E">
        <w:rPr>
          <w:rFonts w:ascii="Arial" w:hAnsi="Arial" w:cs="Arial"/>
          <w:snapToGrid/>
          <w:sz w:val="18"/>
          <w:szCs w:val="18"/>
          <w:lang w:val="en-US"/>
        </w:rPr>
        <w:t>.</w:t>
      </w:r>
    </w:p>
    <w:p w14:paraId="1BC182E7" w14:textId="77777777" w:rsidR="003760B8"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 xml:space="preserve">Description of the principles for consolidating electric grid assets and engagement with </w:t>
      </w:r>
      <w:r w:rsidR="000D659F" w:rsidRPr="00BD295E">
        <w:rPr>
          <w:rFonts w:ascii="Arial" w:hAnsi="Arial" w:cs="Arial"/>
          <w:snapToGrid/>
          <w:sz w:val="18"/>
          <w:szCs w:val="18"/>
          <w:lang w:val="en-US"/>
        </w:rPr>
        <w:t>local grids</w:t>
      </w:r>
      <w:r w:rsidRPr="00BD295E">
        <w:rPr>
          <w:rFonts w:ascii="Arial" w:hAnsi="Arial" w:cs="Arial"/>
          <w:snapToGrid/>
          <w:sz w:val="18"/>
          <w:szCs w:val="18"/>
          <w:lang w:val="en-US"/>
        </w:rPr>
        <w:t>.</w:t>
      </w:r>
    </w:p>
    <w:p w14:paraId="69C78C4A" w14:textId="77777777" w:rsidR="003760B8" w:rsidRPr="00BD295E" w:rsidRDefault="008A5057" w:rsidP="003760B8">
      <w:pPr>
        <w:pStyle w:val="afffff3"/>
        <w:rPr>
          <w:rFonts w:ascii="Arial" w:hAnsi="Arial" w:cs="Arial"/>
          <w:snapToGrid/>
          <w:sz w:val="18"/>
          <w:szCs w:val="18"/>
          <w:lang w:val="en-US"/>
        </w:rPr>
      </w:pPr>
      <w:r w:rsidRPr="00BD295E">
        <w:rPr>
          <w:rFonts w:ascii="Arial" w:hAnsi="Arial" w:cs="Arial"/>
          <w:snapToGrid/>
          <w:sz w:val="18"/>
          <w:szCs w:val="18"/>
          <w:lang w:val="en-US"/>
        </w:rPr>
        <w:t>- There were no relevant instructions from the Russian President, the Russian Government, etc.</w:t>
      </w:r>
    </w:p>
    <w:p w14:paraId="275DF1D0" w14:textId="77777777" w:rsidR="003760B8" w:rsidRPr="00BD295E" w:rsidRDefault="008A5057" w:rsidP="003760B8">
      <w:pPr>
        <w:pStyle w:val="afffff3"/>
        <w:rPr>
          <w:rFonts w:ascii="Arial" w:hAnsi="Arial" w:cs="Arial"/>
          <w:snapToGrid/>
          <w:sz w:val="18"/>
          <w:szCs w:val="18"/>
          <w:lang w:val="en-US"/>
        </w:rPr>
      </w:pPr>
      <w:r w:rsidRPr="00BD295E">
        <w:rPr>
          <w:rFonts w:ascii="Arial" w:hAnsi="Arial" w:cs="Arial"/>
          <w:snapToGrid/>
          <w:sz w:val="18"/>
          <w:szCs w:val="18"/>
          <w:lang w:val="en-US"/>
        </w:rPr>
        <w:t>- No agreements/contracts with executive authorities of constituent entities of the Russian Federation and local authorities were signed.</w:t>
      </w:r>
    </w:p>
    <w:p w14:paraId="5A1286DC" w14:textId="77777777" w:rsidR="00162DD0" w:rsidRPr="00BD295E" w:rsidRDefault="008A5057" w:rsidP="003D49A2">
      <w:pPr>
        <w:pStyle w:val="afffff3"/>
        <w:ind w:firstLine="0"/>
        <w:rPr>
          <w:rFonts w:ascii="Arial" w:hAnsi="Arial" w:cs="Arial"/>
          <w:snapToGrid/>
          <w:sz w:val="18"/>
          <w:szCs w:val="18"/>
          <w:lang w:val="en-US"/>
        </w:rPr>
      </w:pPr>
      <w:r w:rsidRPr="00BD295E">
        <w:rPr>
          <w:rFonts w:ascii="Arial" w:hAnsi="Arial" w:cs="Arial"/>
          <w:snapToGrid/>
          <w:sz w:val="18"/>
          <w:szCs w:val="18"/>
          <w:lang w:val="en-US"/>
        </w:rPr>
        <w:t xml:space="preserve">The Company engaged with owners or other legal operators of electric grid facilities that do not meet the criteria for classifying owners of electric grid facilities as </w:t>
      </w:r>
      <w:r w:rsidR="000D659F" w:rsidRPr="00BD295E">
        <w:rPr>
          <w:rFonts w:ascii="Arial" w:hAnsi="Arial" w:cs="Arial"/>
          <w:snapToGrid/>
          <w:sz w:val="18"/>
          <w:szCs w:val="18"/>
          <w:lang w:val="en-US"/>
        </w:rPr>
        <w:t>local grids</w:t>
      </w:r>
      <w:r w:rsidRPr="00BD295E">
        <w:rPr>
          <w:rFonts w:ascii="Arial" w:hAnsi="Arial" w:cs="Arial"/>
          <w:snapToGrid/>
          <w:sz w:val="18"/>
          <w:szCs w:val="18"/>
          <w:lang w:val="en-US"/>
        </w:rPr>
        <w:t xml:space="preserve"> as approved by Resolution No. 184 of the Russian Government </w:t>
      </w:r>
      <w:r w:rsidR="008B183C" w:rsidRPr="00BD295E">
        <w:rPr>
          <w:rFonts w:ascii="Arial" w:hAnsi="Arial" w:cs="Arial"/>
          <w:snapToGrid/>
          <w:sz w:val="18"/>
          <w:szCs w:val="18"/>
          <w:lang w:val="en-US"/>
        </w:rPr>
        <w:t>of</w:t>
      </w:r>
      <w:r w:rsidRPr="00BD295E">
        <w:rPr>
          <w:rFonts w:ascii="Arial" w:hAnsi="Arial" w:cs="Arial"/>
          <w:snapToGrid/>
          <w:sz w:val="18"/>
          <w:szCs w:val="18"/>
          <w:lang w:val="en-US"/>
        </w:rPr>
        <w:t xml:space="preserve"> February 28, 2015 to the extent covering the transfer of the management of electric grid assets through donation agreements and lease contracts.</w:t>
      </w:r>
    </w:p>
    <w:p w14:paraId="13CC9F02" w14:textId="77777777" w:rsidR="003760B8" w:rsidRPr="00BD295E" w:rsidRDefault="003760B8" w:rsidP="003760B8">
      <w:pPr>
        <w:pStyle w:val="afffff3"/>
        <w:rPr>
          <w:rFonts w:ascii="Arial" w:hAnsi="Arial" w:cs="Arial"/>
          <w:sz w:val="18"/>
          <w:szCs w:val="18"/>
          <w:lang w:val="en-US"/>
        </w:rPr>
      </w:pPr>
    </w:p>
    <w:p w14:paraId="2BFCD796" w14:textId="77777777" w:rsidR="003760B8" w:rsidRPr="00BD295E" w:rsidRDefault="008A5057" w:rsidP="003760B8">
      <w:pPr>
        <w:pStyle w:val="afffffff3"/>
        <w:rPr>
          <w:rFonts w:ascii="Arial" w:hAnsi="Arial" w:cs="Arial"/>
          <w:color w:val="auto"/>
          <w:sz w:val="18"/>
          <w:szCs w:val="18"/>
          <w:lang w:val="en-US"/>
        </w:rPr>
      </w:pPr>
      <w:r w:rsidRPr="00BD295E">
        <w:rPr>
          <w:rFonts w:ascii="Arial" w:hAnsi="Arial" w:cs="Arial"/>
          <w:color w:val="auto"/>
          <w:sz w:val="18"/>
          <w:szCs w:val="18"/>
          <w:lang w:val="en-US"/>
        </w:rPr>
        <w:t>Fig. 25.</w:t>
      </w:r>
      <w:r w:rsidRPr="00BD295E">
        <w:rPr>
          <w:rFonts w:ascii="Arial" w:hAnsi="Arial" w:cs="Arial"/>
          <w:color w:val="auto"/>
          <w:sz w:val="18"/>
          <w:szCs w:val="18"/>
          <w:lang w:val="en-US"/>
        </w:rPr>
        <w:tab/>
        <w:t xml:space="preserve">Share of a subsidiary of </w:t>
      </w:r>
      <w:r w:rsidR="00BF106F" w:rsidRPr="00BD295E">
        <w:rPr>
          <w:rFonts w:ascii="Arial" w:hAnsi="Arial" w:cs="Arial"/>
          <w:color w:val="auto"/>
          <w:sz w:val="18"/>
          <w:szCs w:val="18"/>
          <w:lang w:val="en-US"/>
        </w:rPr>
        <w:t>PJSC “Rosseti”</w:t>
      </w:r>
      <w:r w:rsidRPr="00BD295E">
        <w:rPr>
          <w:rFonts w:ascii="Arial" w:hAnsi="Arial" w:cs="Arial"/>
          <w:color w:val="auto"/>
          <w:sz w:val="18"/>
          <w:szCs w:val="18"/>
          <w:lang w:val="en-US"/>
        </w:rPr>
        <w:t xml:space="preserve"> in the MRR of its operating regions*</w:t>
      </w:r>
    </w:p>
    <w:p w14:paraId="1DE75063" w14:textId="77777777" w:rsidR="003760B8" w:rsidRPr="00BD295E" w:rsidRDefault="008A5057" w:rsidP="00882C3A">
      <w:pPr>
        <w:pStyle w:val="af3"/>
        <w:keepNext/>
        <w:numPr>
          <w:ilvl w:val="0"/>
          <w:numId w:val="50"/>
        </w:numPr>
        <w:tabs>
          <w:tab w:val="left" w:pos="993"/>
          <w:tab w:val="left" w:pos="1418"/>
          <w:tab w:val="left" w:pos="1843"/>
          <w:tab w:val="left" w:pos="3119"/>
          <w:tab w:val="left" w:pos="3402"/>
        </w:tabs>
        <w:ind w:hanging="11"/>
        <w:jc w:val="both"/>
        <w:rPr>
          <w:rFonts w:ascii="Arial" w:hAnsi="Arial" w:cs="Arial"/>
          <w:sz w:val="18"/>
          <w:szCs w:val="18"/>
          <w:lang w:val="en-US"/>
        </w:rPr>
      </w:pPr>
      <w:r w:rsidRPr="00BD295E">
        <w:rPr>
          <w:rFonts w:ascii="Arial" w:hAnsi="Arial" w:cs="Arial"/>
          <w:sz w:val="18"/>
          <w:szCs w:val="18"/>
          <w:lang w:val="en-US"/>
        </w:rPr>
        <w:t xml:space="preserve">Saint Petersburg </w:t>
      </w:r>
    </w:p>
    <w:p w14:paraId="4E03B6F6" w14:textId="71A56165" w:rsidR="003760B8" w:rsidRPr="00BD295E" w:rsidRDefault="00997D07" w:rsidP="003760B8">
      <w:pPr>
        <w:tabs>
          <w:tab w:val="left" w:pos="993"/>
          <w:tab w:val="left" w:pos="1276"/>
          <w:tab w:val="left" w:pos="1418"/>
          <w:tab w:val="left" w:pos="1843"/>
          <w:tab w:val="left" w:pos="3119"/>
          <w:tab w:val="left" w:pos="3402"/>
        </w:tabs>
        <w:contextualSpacing/>
        <w:jc w:val="center"/>
        <w:rPr>
          <w:rFonts w:ascii="Arial" w:hAnsi="Arial" w:cs="Arial"/>
          <w:b/>
          <w:sz w:val="18"/>
          <w:szCs w:val="18"/>
          <w:lang w:val="en-US"/>
        </w:rPr>
      </w:pPr>
      <w:bookmarkStart w:id="290" w:name="_Hlk95936356"/>
      <w:r w:rsidRPr="00BD295E">
        <w:rPr>
          <w:rFonts w:ascii="Arial" w:hAnsi="Arial" w:cs="Arial"/>
          <w:b/>
          <w:sz w:val="18"/>
          <w:szCs w:val="18"/>
          <w:lang w:val="en-US" w:eastAsia="en-US"/>
        </w:rPr>
        <w:drawing>
          <wp:inline distT="0" distB="0" distL="0" distR="0" wp14:anchorId="3313F7A6" wp14:editId="33A20439">
            <wp:extent cx="1843405" cy="1776730"/>
            <wp:effectExtent l="0" t="0" r="0" b="0"/>
            <wp:docPr id="56"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Pr="00BD295E">
        <w:rPr>
          <w:rFonts w:ascii="Arial" w:hAnsi="Arial" w:cs="Arial"/>
          <w:b/>
          <w:sz w:val="18"/>
          <w:szCs w:val="18"/>
          <w:lang w:val="en-US" w:eastAsia="en-US"/>
        </w:rPr>
        <w:drawing>
          <wp:inline distT="0" distB="0" distL="0" distR="0" wp14:anchorId="20105CCB" wp14:editId="0ACB4851">
            <wp:extent cx="1843405" cy="1776730"/>
            <wp:effectExtent l="0" t="0" r="0" b="0"/>
            <wp:docPr id="57"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Pr="00BD295E">
        <w:rPr>
          <w:rFonts w:ascii="Arial" w:hAnsi="Arial" w:cs="Arial"/>
          <w:b/>
          <w:sz w:val="18"/>
          <w:szCs w:val="18"/>
          <w:lang w:val="en-US" w:eastAsia="en-US"/>
        </w:rPr>
        <w:drawing>
          <wp:inline distT="0" distB="0" distL="0" distR="0" wp14:anchorId="2EC4A825" wp14:editId="7B82C961">
            <wp:extent cx="1843405" cy="1776730"/>
            <wp:effectExtent l="0" t="0" r="0" b="0"/>
            <wp:docPr id="58"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bookmarkEnd w:id="290"/>
    <w:p w14:paraId="7F8EE2C4" w14:textId="77777777" w:rsidR="003760B8" w:rsidRPr="00BD295E" w:rsidRDefault="003760B8" w:rsidP="003760B8">
      <w:pPr>
        <w:pStyle w:val="afffffff5"/>
        <w:rPr>
          <w:rFonts w:ascii="Arial" w:hAnsi="Arial" w:cs="Arial"/>
          <w:sz w:val="18"/>
          <w:szCs w:val="18"/>
          <w:lang w:val="en-US"/>
        </w:rPr>
      </w:pPr>
    </w:p>
    <w:p w14:paraId="1FD7D9DE" w14:textId="77777777" w:rsidR="003760B8" w:rsidRPr="00BD295E" w:rsidRDefault="008A5057" w:rsidP="00882C3A">
      <w:pPr>
        <w:pStyle w:val="af3"/>
        <w:keepNext/>
        <w:numPr>
          <w:ilvl w:val="0"/>
          <w:numId w:val="50"/>
        </w:numPr>
        <w:tabs>
          <w:tab w:val="left" w:pos="993"/>
          <w:tab w:val="left" w:pos="1418"/>
          <w:tab w:val="left" w:pos="1843"/>
          <w:tab w:val="left" w:pos="3119"/>
          <w:tab w:val="left" w:pos="3402"/>
        </w:tabs>
        <w:ind w:hanging="11"/>
        <w:jc w:val="both"/>
        <w:rPr>
          <w:rFonts w:ascii="Arial" w:hAnsi="Arial" w:cs="Arial"/>
          <w:sz w:val="18"/>
          <w:szCs w:val="18"/>
          <w:lang w:val="en-US"/>
        </w:rPr>
      </w:pPr>
      <w:r w:rsidRPr="00BD295E">
        <w:rPr>
          <w:rFonts w:ascii="Arial" w:hAnsi="Arial" w:cs="Arial"/>
          <w:sz w:val="18"/>
          <w:szCs w:val="18"/>
          <w:lang w:val="en-US"/>
        </w:rPr>
        <w:t xml:space="preserve">Leningrad Region </w:t>
      </w:r>
    </w:p>
    <w:p w14:paraId="36CDDCDC" w14:textId="7E85E4F7" w:rsidR="003760B8" w:rsidRPr="00BD295E" w:rsidRDefault="00997D07" w:rsidP="003760B8">
      <w:pPr>
        <w:tabs>
          <w:tab w:val="left" w:pos="993"/>
          <w:tab w:val="left" w:pos="1276"/>
          <w:tab w:val="left" w:pos="1418"/>
          <w:tab w:val="left" w:pos="1843"/>
          <w:tab w:val="left" w:pos="3119"/>
          <w:tab w:val="left" w:pos="3402"/>
        </w:tabs>
        <w:contextualSpacing/>
        <w:jc w:val="center"/>
        <w:rPr>
          <w:rFonts w:ascii="Arial" w:hAnsi="Arial" w:cs="Arial"/>
          <w:sz w:val="18"/>
          <w:szCs w:val="18"/>
          <w:lang w:val="en-US"/>
        </w:rPr>
      </w:pPr>
      <w:bookmarkStart w:id="291" w:name="_Hlk95936371"/>
      <w:r w:rsidRPr="00BD295E">
        <w:rPr>
          <w:rFonts w:ascii="Arial" w:hAnsi="Arial" w:cs="Arial"/>
          <w:sz w:val="18"/>
          <w:szCs w:val="18"/>
          <w:lang w:val="en-US" w:eastAsia="en-US"/>
        </w:rPr>
        <w:drawing>
          <wp:inline distT="0" distB="0" distL="0" distR="0" wp14:anchorId="49736975" wp14:editId="6744BD35">
            <wp:extent cx="1843405" cy="1776730"/>
            <wp:effectExtent l="0" t="0" r="0" b="0"/>
            <wp:docPr id="59"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Pr="00BD295E">
        <w:rPr>
          <w:rFonts w:ascii="Arial" w:hAnsi="Arial" w:cs="Arial"/>
          <w:sz w:val="18"/>
          <w:szCs w:val="18"/>
          <w:lang w:val="en-US" w:eastAsia="en-US"/>
        </w:rPr>
        <w:drawing>
          <wp:inline distT="0" distB="0" distL="0" distR="0" wp14:anchorId="6BA19B6C" wp14:editId="18416011">
            <wp:extent cx="1843405" cy="1776730"/>
            <wp:effectExtent l="0" t="0" r="0" b="0"/>
            <wp:docPr id="60"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Pr="00BD295E">
        <w:rPr>
          <w:rFonts w:ascii="Arial" w:hAnsi="Arial" w:cs="Arial"/>
          <w:sz w:val="18"/>
          <w:szCs w:val="18"/>
          <w:lang w:val="en-US" w:eastAsia="en-US"/>
        </w:rPr>
        <w:drawing>
          <wp:inline distT="0" distB="0" distL="0" distR="0" wp14:anchorId="31D469FC" wp14:editId="434E5AAD">
            <wp:extent cx="1843405" cy="1776730"/>
            <wp:effectExtent l="0" t="0" r="0" b="0"/>
            <wp:docPr id="61"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bookmarkEnd w:id="291"/>
    <w:p w14:paraId="129EBB24" w14:textId="77777777" w:rsidR="003760B8" w:rsidRPr="00BD295E" w:rsidRDefault="008A5057" w:rsidP="003760B8">
      <w:pPr>
        <w:pStyle w:val="afffffff5"/>
        <w:rPr>
          <w:rFonts w:ascii="Arial" w:hAnsi="Arial" w:cs="Arial"/>
          <w:sz w:val="18"/>
          <w:szCs w:val="18"/>
          <w:lang w:val="en-US"/>
        </w:rPr>
      </w:pPr>
      <w:r w:rsidRPr="00BD295E">
        <w:rPr>
          <w:rFonts w:ascii="Arial" w:hAnsi="Arial" w:cs="Arial"/>
          <w:sz w:val="18"/>
          <w:szCs w:val="18"/>
          <w:lang w:val="en-US"/>
        </w:rPr>
        <w:t>**Information is provided for each operating region, including controlled companies.</w:t>
      </w:r>
    </w:p>
    <w:p w14:paraId="6E7E1809" w14:textId="2FF96967" w:rsidR="003760B8" w:rsidRPr="00BD295E" w:rsidRDefault="008A5057" w:rsidP="003760B8">
      <w:pPr>
        <w:pStyle w:val="afffffff5"/>
        <w:rPr>
          <w:rFonts w:ascii="Arial" w:hAnsi="Arial" w:cs="Arial"/>
          <w:i w:val="0"/>
          <w:sz w:val="18"/>
          <w:szCs w:val="18"/>
          <w:lang w:val="en-US"/>
        </w:rPr>
      </w:pPr>
      <w:r w:rsidRPr="00BD295E">
        <w:rPr>
          <w:rFonts w:ascii="Arial" w:hAnsi="Arial" w:cs="Arial"/>
          <w:i w:val="0"/>
          <w:sz w:val="18"/>
          <w:szCs w:val="18"/>
          <w:lang w:val="en-US"/>
        </w:rPr>
        <w:t>** N – reporting period</w:t>
      </w:r>
    </w:p>
    <w:p w14:paraId="0E4D63FF" w14:textId="77777777" w:rsidR="00882C3A" w:rsidRPr="00BD295E" w:rsidRDefault="00882C3A" w:rsidP="00882C3A">
      <w:pPr>
        <w:rPr>
          <w:lang w:val="en-US"/>
        </w:rPr>
      </w:pPr>
    </w:p>
    <w:p w14:paraId="36B50FC2" w14:textId="77777777" w:rsidR="00162DD0" w:rsidRPr="00BD295E" w:rsidRDefault="00162DD0" w:rsidP="00162DD0">
      <w:pPr>
        <w:rPr>
          <w:rFonts w:ascii="Arial" w:hAnsi="Arial" w:cs="Arial"/>
          <w:snapToGrid w:val="0"/>
          <w:sz w:val="18"/>
          <w:szCs w:val="18"/>
          <w:lang w:val="en-US"/>
        </w:rPr>
        <w:sectPr w:rsidR="00162DD0" w:rsidRPr="00BD295E" w:rsidSect="00AE407B">
          <w:headerReference w:type="default" r:id="rId85"/>
          <w:pgSz w:w="11906" w:h="16838"/>
          <w:pgMar w:top="1134" w:right="850" w:bottom="1134" w:left="1701" w:header="708" w:footer="708" w:gutter="0"/>
          <w:cols w:space="708"/>
          <w:titlePg/>
          <w:docGrid w:linePitch="360"/>
        </w:sectPr>
      </w:pPr>
    </w:p>
    <w:p w14:paraId="5B2A4BAF" w14:textId="77777777" w:rsidR="003760B8" w:rsidRPr="00BD295E" w:rsidRDefault="008A5057" w:rsidP="003760B8">
      <w:pPr>
        <w:pStyle w:val="afffffff3"/>
        <w:rPr>
          <w:rFonts w:ascii="Arial" w:hAnsi="Arial" w:cs="Arial"/>
          <w:color w:val="auto"/>
          <w:sz w:val="18"/>
          <w:szCs w:val="18"/>
          <w:lang w:val="en-US"/>
        </w:rPr>
      </w:pPr>
      <w:r w:rsidRPr="00BD295E">
        <w:rPr>
          <w:rFonts w:ascii="Arial" w:hAnsi="Arial" w:cs="Arial"/>
          <w:color w:val="auto"/>
          <w:sz w:val="18"/>
          <w:szCs w:val="18"/>
          <w:lang w:val="en-US"/>
        </w:rPr>
        <w:t>Table 106.</w:t>
      </w:r>
      <w:r w:rsidRPr="00BD295E">
        <w:rPr>
          <w:rFonts w:ascii="Arial" w:hAnsi="Arial" w:cs="Arial"/>
          <w:color w:val="auto"/>
          <w:sz w:val="18"/>
          <w:szCs w:val="18"/>
          <w:lang w:val="en-US"/>
        </w:rPr>
        <w:tab/>
        <w:t>Monitoring of the scope of electric grid asset consolidation*</w:t>
      </w:r>
    </w:p>
    <w:tbl>
      <w:tblPr>
        <w:tblW w:w="5000" w:type="pct"/>
        <w:tblLook w:val="04A0" w:firstRow="1" w:lastRow="0" w:firstColumn="1" w:lastColumn="0" w:noHBand="0" w:noVBand="1"/>
      </w:tblPr>
      <w:tblGrid>
        <w:gridCol w:w="4081"/>
        <w:gridCol w:w="1164"/>
        <w:gridCol w:w="917"/>
        <w:gridCol w:w="1117"/>
        <w:gridCol w:w="1150"/>
        <w:gridCol w:w="841"/>
        <w:gridCol w:w="1435"/>
        <w:gridCol w:w="1286"/>
        <w:gridCol w:w="1286"/>
        <w:gridCol w:w="1283"/>
      </w:tblGrid>
      <w:tr w:rsidR="008A5057" w:rsidRPr="00BD295E" w14:paraId="24B471A8" w14:textId="77777777" w:rsidTr="00906126">
        <w:trPr>
          <w:trHeight w:val="255"/>
        </w:trPr>
        <w:tc>
          <w:tcPr>
            <w:tcW w:w="1410" w:type="pct"/>
            <w:vMerge w:val="restart"/>
            <w:tcBorders>
              <w:top w:val="single" w:sz="4" w:space="0" w:color="auto"/>
              <w:left w:val="single" w:sz="4" w:space="0" w:color="auto"/>
              <w:bottom w:val="single" w:sz="4" w:space="0" w:color="000000"/>
              <w:right w:val="single" w:sz="4" w:space="0" w:color="auto"/>
            </w:tcBorders>
            <w:shd w:val="clear" w:color="000000" w:fill="C5D9F1"/>
            <w:vAlign w:val="center"/>
            <w:hideMark/>
          </w:tcPr>
          <w:p w14:paraId="00A659FC"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(branch of IDGC, RGC and subsidiary/dependent company of IDGC)</w:t>
            </w:r>
          </w:p>
        </w:tc>
        <w:tc>
          <w:tcPr>
            <w:tcW w:w="1040" w:type="pct"/>
            <w:gridSpan w:val="3"/>
            <w:tcBorders>
              <w:top w:val="single" w:sz="4" w:space="0" w:color="auto"/>
              <w:left w:val="nil"/>
              <w:bottom w:val="single" w:sz="4" w:space="0" w:color="auto"/>
              <w:right w:val="single" w:sz="4" w:space="0" w:color="auto"/>
            </w:tcBorders>
            <w:shd w:val="clear" w:color="000000" w:fill="C5D9F1"/>
            <w:vAlign w:val="center"/>
          </w:tcPr>
          <w:p w14:paraId="08D6D11F"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2016</w:t>
            </w:r>
          </w:p>
        </w:tc>
        <w:tc>
          <w:tcPr>
            <w:tcW w:w="1201" w:type="pct"/>
            <w:gridSpan w:val="3"/>
            <w:tcBorders>
              <w:top w:val="single" w:sz="4" w:space="0" w:color="auto"/>
              <w:left w:val="nil"/>
              <w:bottom w:val="single" w:sz="4" w:space="0" w:color="auto"/>
              <w:right w:val="single" w:sz="4" w:space="0" w:color="auto"/>
            </w:tcBorders>
            <w:shd w:val="clear" w:color="000000" w:fill="C5D9F1"/>
            <w:vAlign w:val="center"/>
          </w:tcPr>
          <w:p w14:paraId="34214B0F"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2017</w:t>
            </w:r>
          </w:p>
        </w:tc>
        <w:tc>
          <w:tcPr>
            <w:tcW w:w="1349" w:type="pct"/>
            <w:gridSpan w:val="3"/>
            <w:tcBorders>
              <w:top w:val="single" w:sz="4" w:space="0" w:color="auto"/>
              <w:left w:val="nil"/>
              <w:bottom w:val="single" w:sz="4" w:space="0" w:color="auto"/>
              <w:right w:val="single" w:sz="4" w:space="0" w:color="auto"/>
            </w:tcBorders>
            <w:shd w:val="clear" w:color="000000" w:fill="C5D9F1"/>
            <w:vAlign w:val="center"/>
          </w:tcPr>
          <w:p w14:paraId="7C4957A6"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2018</w:t>
            </w:r>
          </w:p>
        </w:tc>
      </w:tr>
      <w:tr w:rsidR="008A5057" w:rsidRPr="00BD295E" w14:paraId="2A4DB1B7" w14:textId="77777777" w:rsidTr="00906126">
        <w:trPr>
          <w:trHeight w:val="1200"/>
        </w:trPr>
        <w:tc>
          <w:tcPr>
            <w:tcW w:w="141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978FCF1" w14:textId="77777777" w:rsidR="003760B8" w:rsidRPr="00BD295E" w:rsidRDefault="003760B8" w:rsidP="00906126">
            <w:pPr>
              <w:tabs>
                <w:tab w:val="left" w:pos="993"/>
                <w:tab w:val="left" w:pos="1418"/>
                <w:tab w:val="left" w:pos="1843"/>
                <w:tab w:val="left" w:pos="3119"/>
                <w:tab w:val="left" w:pos="3402"/>
              </w:tabs>
              <w:jc w:val="center"/>
              <w:rPr>
                <w:rFonts w:ascii="Arial" w:hAnsi="Arial" w:cs="Arial"/>
                <w:bCs/>
                <w:sz w:val="18"/>
                <w:szCs w:val="18"/>
                <w:lang w:val="en-US"/>
              </w:rPr>
            </w:pPr>
          </w:p>
        </w:tc>
        <w:tc>
          <w:tcPr>
            <w:tcW w:w="1040" w:type="pct"/>
            <w:gridSpan w:val="3"/>
            <w:tcBorders>
              <w:top w:val="single" w:sz="4" w:space="0" w:color="auto"/>
              <w:left w:val="nil"/>
              <w:bottom w:val="single" w:sz="4" w:space="0" w:color="auto"/>
              <w:right w:val="single" w:sz="4" w:space="0" w:color="auto"/>
            </w:tcBorders>
            <w:shd w:val="clear" w:color="000000" w:fill="C5D9F1"/>
            <w:vAlign w:val="center"/>
            <w:hideMark/>
          </w:tcPr>
          <w:p w14:paraId="718C8B41"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Scope of consolidation of electric grid assets for the period</w:t>
            </w:r>
          </w:p>
        </w:tc>
        <w:tc>
          <w:tcPr>
            <w:tcW w:w="1201" w:type="pct"/>
            <w:gridSpan w:val="3"/>
            <w:tcBorders>
              <w:top w:val="single" w:sz="4" w:space="0" w:color="auto"/>
              <w:left w:val="nil"/>
              <w:bottom w:val="single" w:sz="4" w:space="0" w:color="auto"/>
              <w:right w:val="single" w:sz="4" w:space="0" w:color="auto"/>
            </w:tcBorders>
            <w:shd w:val="clear" w:color="000000" w:fill="C5D9F1"/>
            <w:vAlign w:val="center"/>
            <w:hideMark/>
          </w:tcPr>
          <w:p w14:paraId="37C7376C"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Scope of consolidation of electric grid assets for the period</w:t>
            </w:r>
          </w:p>
        </w:tc>
        <w:tc>
          <w:tcPr>
            <w:tcW w:w="1349" w:type="pct"/>
            <w:gridSpan w:val="3"/>
            <w:tcBorders>
              <w:top w:val="single" w:sz="4" w:space="0" w:color="auto"/>
              <w:left w:val="nil"/>
              <w:bottom w:val="single" w:sz="4" w:space="0" w:color="auto"/>
              <w:right w:val="single" w:sz="4" w:space="0" w:color="auto"/>
            </w:tcBorders>
            <w:shd w:val="clear" w:color="000000" w:fill="C5D9F1"/>
            <w:vAlign w:val="center"/>
            <w:hideMark/>
          </w:tcPr>
          <w:p w14:paraId="70A5F8FB"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Scope of consolidation of electric grid assets for the period</w:t>
            </w:r>
          </w:p>
        </w:tc>
      </w:tr>
      <w:tr w:rsidR="008A5057" w:rsidRPr="00BD295E" w14:paraId="114C4EA3" w14:textId="77777777" w:rsidTr="00906126">
        <w:trPr>
          <w:trHeight w:val="450"/>
        </w:trPr>
        <w:tc>
          <w:tcPr>
            <w:tcW w:w="141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1A78F21" w14:textId="77777777" w:rsidR="003760B8" w:rsidRPr="00BD295E" w:rsidRDefault="003760B8" w:rsidP="00906126">
            <w:pPr>
              <w:tabs>
                <w:tab w:val="left" w:pos="993"/>
                <w:tab w:val="left" w:pos="1418"/>
                <w:tab w:val="left" w:pos="1843"/>
                <w:tab w:val="left" w:pos="3119"/>
                <w:tab w:val="left" w:pos="3402"/>
              </w:tabs>
              <w:jc w:val="center"/>
              <w:rPr>
                <w:rFonts w:ascii="Arial" w:hAnsi="Arial" w:cs="Arial"/>
                <w:bCs/>
                <w:sz w:val="18"/>
                <w:szCs w:val="18"/>
                <w:lang w:val="en-US"/>
              </w:rPr>
            </w:pPr>
          </w:p>
        </w:tc>
        <w:tc>
          <w:tcPr>
            <w:tcW w:w="408" w:type="pct"/>
            <w:tcBorders>
              <w:top w:val="nil"/>
              <w:left w:val="nil"/>
              <w:bottom w:val="single" w:sz="4" w:space="0" w:color="auto"/>
              <w:right w:val="single" w:sz="4" w:space="0" w:color="auto"/>
            </w:tcBorders>
            <w:shd w:val="clear" w:color="000000" w:fill="C5D9F1"/>
            <w:vAlign w:val="center"/>
            <w:hideMark/>
          </w:tcPr>
          <w:p w14:paraId="142A89B5"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MVA</w:t>
            </w:r>
          </w:p>
        </w:tc>
        <w:tc>
          <w:tcPr>
            <w:tcW w:w="297" w:type="pct"/>
            <w:tcBorders>
              <w:top w:val="nil"/>
              <w:left w:val="nil"/>
              <w:bottom w:val="single" w:sz="4" w:space="0" w:color="auto"/>
              <w:right w:val="single" w:sz="4" w:space="0" w:color="auto"/>
            </w:tcBorders>
            <w:shd w:val="clear" w:color="000000" w:fill="C5D9F1"/>
            <w:vAlign w:val="center"/>
            <w:hideMark/>
          </w:tcPr>
          <w:p w14:paraId="3EF19862"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km</w:t>
            </w:r>
          </w:p>
        </w:tc>
        <w:tc>
          <w:tcPr>
            <w:tcW w:w="335" w:type="pct"/>
            <w:tcBorders>
              <w:top w:val="nil"/>
              <w:left w:val="nil"/>
              <w:bottom w:val="single" w:sz="4" w:space="0" w:color="auto"/>
              <w:right w:val="single" w:sz="4" w:space="0" w:color="auto"/>
            </w:tcBorders>
            <w:shd w:val="clear" w:color="000000" w:fill="C5D9F1"/>
            <w:vAlign w:val="center"/>
            <w:hideMark/>
          </w:tcPr>
          <w:p w14:paraId="556FAC59"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Currency</w:t>
            </w:r>
          </w:p>
        </w:tc>
        <w:tc>
          <w:tcPr>
            <w:tcW w:w="403" w:type="pct"/>
            <w:tcBorders>
              <w:top w:val="nil"/>
              <w:left w:val="nil"/>
              <w:bottom w:val="single" w:sz="4" w:space="0" w:color="auto"/>
              <w:right w:val="single" w:sz="4" w:space="0" w:color="auto"/>
            </w:tcBorders>
            <w:shd w:val="clear" w:color="000000" w:fill="C5D9F1"/>
            <w:vAlign w:val="center"/>
            <w:hideMark/>
          </w:tcPr>
          <w:p w14:paraId="3833B217"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MVA</w:t>
            </w:r>
          </w:p>
        </w:tc>
        <w:tc>
          <w:tcPr>
            <w:tcW w:w="297" w:type="pct"/>
            <w:tcBorders>
              <w:top w:val="nil"/>
              <w:left w:val="nil"/>
              <w:bottom w:val="single" w:sz="4" w:space="0" w:color="auto"/>
              <w:right w:val="single" w:sz="4" w:space="0" w:color="auto"/>
            </w:tcBorders>
            <w:shd w:val="clear" w:color="000000" w:fill="C5D9F1"/>
            <w:vAlign w:val="center"/>
            <w:hideMark/>
          </w:tcPr>
          <w:p w14:paraId="3243FB71"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km</w:t>
            </w:r>
          </w:p>
        </w:tc>
        <w:tc>
          <w:tcPr>
            <w:tcW w:w="500" w:type="pct"/>
            <w:tcBorders>
              <w:top w:val="nil"/>
              <w:left w:val="nil"/>
              <w:bottom w:val="single" w:sz="4" w:space="0" w:color="auto"/>
              <w:right w:val="single" w:sz="4" w:space="0" w:color="auto"/>
            </w:tcBorders>
            <w:shd w:val="clear" w:color="000000" w:fill="C5D9F1"/>
            <w:vAlign w:val="center"/>
            <w:hideMark/>
          </w:tcPr>
          <w:p w14:paraId="7511E4C8"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Currency</w:t>
            </w:r>
          </w:p>
        </w:tc>
        <w:tc>
          <w:tcPr>
            <w:tcW w:w="450" w:type="pct"/>
            <w:tcBorders>
              <w:top w:val="nil"/>
              <w:left w:val="nil"/>
              <w:bottom w:val="single" w:sz="4" w:space="0" w:color="auto"/>
              <w:right w:val="single" w:sz="4" w:space="0" w:color="auto"/>
            </w:tcBorders>
            <w:shd w:val="clear" w:color="000000" w:fill="C5D9F1"/>
            <w:vAlign w:val="center"/>
            <w:hideMark/>
          </w:tcPr>
          <w:p w14:paraId="4A82B87A"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MVA</w:t>
            </w:r>
          </w:p>
        </w:tc>
        <w:tc>
          <w:tcPr>
            <w:tcW w:w="450" w:type="pct"/>
            <w:tcBorders>
              <w:top w:val="nil"/>
              <w:left w:val="nil"/>
              <w:bottom w:val="single" w:sz="4" w:space="0" w:color="auto"/>
              <w:right w:val="single" w:sz="4" w:space="0" w:color="auto"/>
            </w:tcBorders>
            <w:shd w:val="clear" w:color="000000" w:fill="C5D9F1"/>
            <w:vAlign w:val="center"/>
            <w:hideMark/>
          </w:tcPr>
          <w:p w14:paraId="13EC08D9"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km</w:t>
            </w:r>
          </w:p>
        </w:tc>
        <w:tc>
          <w:tcPr>
            <w:tcW w:w="450" w:type="pct"/>
            <w:tcBorders>
              <w:top w:val="nil"/>
              <w:left w:val="nil"/>
              <w:bottom w:val="single" w:sz="4" w:space="0" w:color="auto"/>
              <w:right w:val="single" w:sz="4" w:space="0" w:color="auto"/>
            </w:tcBorders>
            <w:shd w:val="clear" w:color="000000" w:fill="C5D9F1"/>
            <w:vAlign w:val="center"/>
            <w:hideMark/>
          </w:tcPr>
          <w:p w14:paraId="611C2F38"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Currency</w:t>
            </w:r>
          </w:p>
        </w:tc>
      </w:tr>
      <w:tr w:rsidR="008A5057" w:rsidRPr="00BD295E" w14:paraId="36CB8F83" w14:textId="77777777" w:rsidTr="00906126">
        <w:trPr>
          <w:trHeight w:val="255"/>
        </w:trPr>
        <w:tc>
          <w:tcPr>
            <w:tcW w:w="1410" w:type="pct"/>
            <w:tcBorders>
              <w:top w:val="nil"/>
              <w:left w:val="single" w:sz="4" w:space="0" w:color="auto"/>
              <w:bottom w:val="single" w:sz="4" w:space="0" w:color="auto"/>
              <w:right w:val="single" w:sz="4" w:space="0" w:color="auto"/>
            </w:tcBorders>
            <w:shd w:val="clear" w:color="000000" w:fill="C5D9F1"/>
            <w:vAlign w:val="center"/>
            <w:hideMark/>
          </w:tcPr>
          <w:p w14:paraId="37718E25"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1</w:t>
            </w:r>
          </w:p>
        </w:tc>
        <w:tc>
          <w:tcPr>
            <w:tcW w:w="408" w:type="pct"/>
            <w:tcBorders>
              <w:top w:val="nil"/>
              <w:left w:val="nil"/>
              <w:bottom w:val="single" w:sz="4" w:space="0" w:color="auto"/>
              <w:right w:val="single" w:sz="4" w:space="0" w:color="auto"/>
            </w:tcBorders>
            <w:shd w:val="clear" w:color="000000" w:fill="C5D9F1"/>
            <w:vAlign w:val="center"/>
            <w:hideMark/>
          </w:tcPr>
          <w:p w14:paraId="1A66ED7F"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2</w:t>
            </w:r>
          </w:p>
        </w:tc>
        <w:tc>
          <w:tcPr>
            <w:tcW w:w="297" w:type="pct"/>
            <w:tcBorders>
              <w:top w:val="nil"/>
              <w:left w:val="nil"/>
              <w:bottom w:val="single" w:sz="4" w:space="0" w:color="auto"/>
              <w:right w:val="single" w:sz="4" w:space="0" w:color="auto"/>
            </w:tcBorders>
            <w:shd w:val="clear" w:color="000000" w:fill="C5D9F1"/>
            <w:vAlign w:val="center"/>
            <w:hideMark/>
          </w:tcPr>
          <w:p w14:paraId="79B1E29F"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3</w:t>
            </w:r>
          </w:p>
        </w:tc>
        <w:tc>
          <w:tcPr>
            <w:tcW w:w="335" w:type="pct"/>
            <w:tcBorders>
              <w:top w:val="nil"/>
              <w:left w:val="nil"/>
              <w:bottom w:val="single" w:sz="4" w:space="0" w:color="auto"/>
              <w:right w:val="single" w:sz="4" w:space="0" w:color="auto"/>
            </w:tcBorders>
            <w:shd w:val="clear" w:color="000000" w:fill="C5D9F1"/>
            <w:vAlign w:val="center"/>
            <w:hideMark/>
          </w:tcPr>
          <w:p w14:paraId="384FE486"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4</w:t>
            </w:r>
          </w:p>
        </w:tc>
        <w:tc>
          <w:tcPr>
            <w:tcW w:w="403" w:type="pct"/>
            <w:tcBorders>
              <w:top w:val="nil"/>
              <w:left w:val="nil"/>
              <w:bottom w:val="single" w:sz="4" w:space="0" w:color="auto"/>
              <w:right w:val="single" w:sz="4" w:space="0" w:color="auto"/>
            </w:tcBorders>
            <w:shd w:val="clear" w:color="000000" w:fill="C5D9F1"/>
            <w:vAlign w:val="center"/>
            <w:hideMark/>
          </w:tcPr>
          <w:p w14:paraId="6BFEBEC5"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5</w:t>
            </w:r>
          </w:p>
        </w:tc>
        <w:tc>
          <w:tcPr>
            <w:tcW w:w="297" w:type="pct"/>
            <w:tcBorders>
              <w:top w:val="nil"/>
              <w:left w:val="nil"/>
              <w:bottom w:val="single" w:sz="4" w:space="0" w:color="auto"/>
              <w:right w:val="single" w:sz="4" w:space="0" w:color="auto"/>
            </w:tcBorders>
            <w:shd w:val="clear" w:color="000000" w:fill="C5D9F1"/>
            <w:vAlign w:val="center"/>
            <w:hideMark/>
          </w:tcPr>
          <w:p w14:paraId="26E98075"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6</w:t>
            </w:r>
          </w:p>
        </w:tc>
        <w:tc>
          <w:tcPr>
            <w:tcW w:w="500" w:type="pct"/>
            <w:tcBorders>
              <w:top w:val="nil"/>
              <w:left w:val="nil"/>
              <w:bottom w:val="single" w:sz="4" w:space="0" w:color="auto"/>
              <w:right w:val="single" w:sz="4" w:space="0" w:color="auto"/>
            </w:tcBorders>
            <w:shd w:val="clear" w:color="000000" w:fill="C5D9F1"/>
            <w:vAlign w:val="center"/>
            <w:hideMark/>
          </w:tcPr>
          <w:p w14:paraId="66F1C9C4"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7</w:t>
            </w:r>
          </w:p>
        </w:tc>
        <w:tc>
          <w:tcPr>
            <w:tcW w:w="450" w:type="pct"/>
            <w:tcBorders>
              <w:top w:val="nil"/>
              <w:left w:val="nil"/>
              <w:bottom w:val="single" w:sz="4" w:space="0" w:color="auto"/>
              <w:right w:val="single" w:sz="4" w:space="0" w:color="auto"/>
            </w:tcBorders>
            <w:shd w:val="clear" w:color="000000" w:fill="C5D9F1"/>
            <w:vAlign w:val="center"/>
            <w:hideMark/>
          </w:tcPr>
          <w:p w14:paraId="64D6460F"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8</w:t>
            </w:r>
          </w:p>
        </w:tc>
        <w:tc>
          <w:tcPr>
            <w:tcW w:w="450" w:type="pct"/>
            <w:tcBorders>
              <w:top w:val="nil"/>
              <w:left w:val="nil"/>
              <w:bottom w:val="single" w:sz="4" w:space="0" w:color="auto"/>
              <w:right w:val="single" w:sz="4" w:space="0" w:color="auto"/>
            </w:tcBorders>
            <w:shd w:val="clear" w:color="000000" w:fill="C5D9F1"/>
            <w:vAlign w:val="center"/>
            <w:hideMark/>
          </w:tcPr>
          <w:p w14:paraId="0B4A8FD5"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9</w:t>
            </w:r>
          </w:p>
        </w:tc>
        <w:tc>
          <w:tcPr>
            <w:tcW w:w="450" w:type="pct"/>
            <w:tcBorders>
              <w:top w:val="nil"/>
              <w:left w:val="nil"/>
              <w:bottom w:val="single" w:sz="4" w:space="0" w:color="auto"/>
              <w:right w:val="single" w:sz="4" w:space="0" w:color="auto"/>
            </w:tcBorders>
            <w:shd w:val="clear" w:color="000000" w:fill="C5D9F1"/>
            <w:vAlign w:val="center"/>
            <w:hideMark/>
          </w:tcPr>
          <w:p w14:paraId="467CA4D0" w14:textId="77777777" w:rsidR="003760B8" w:rsidRPr="00BD295E" w:rsidRDefault="008A5057" w:rsidP="00906126">
            <w:pPr>
              <w:tabs>
                <w:tab w:val="left" w:pos="993"/>
                <w:tab w:val="left" w:pos="1418"/>
                <w:tab w:val="left" w:pos="1843"/>
                <w:tab w:val="left" w:pos="3119"/>
                <w:tab w:val="left" w:pos="3402"/>
              </w:tabs>
              <w:jc w:val="center"/>
              <w:rPr>
                <w:rFonts w:ascii="Arial" w:hAnsi="Arial" w:cs="Arial"/>
                <w:bCs/>
                <w:sz w:val="18"/>
                <w:szCs w:val="18"/>
                <w:lang w:val="en-US"/>
              </w:rPr>
            </w:pPr>
            <w:r w:rsidRPr="00BD295E">
              <w:rPr>
                <w:rFonts w:ascii="Arial" w:hAnsi="Arial" w:cs="Arial"/>
                <w:bCs/>
                <w:sz w:val="18"/>
                <w:szCs w:val="18"/>
                <w:lang w:val="en-US"/>
              </w:rPr>
              <w:t>10</w:t>
            </w:r>
          </w:p>
        </w:tc>
      </w:tr>
      <w:tr w:rsidR="008A5057" w:rsidRPr="00BD295E" w14:paraId="1F19061A"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3A4D6729" w14:textId="77777777" w:rsidR="003760B8" w:rsidRPr="00BD295E" w:rsidRDefault="008A5057" w:rsidP="00906126">
            <w:pPr>
              <w:tabs>
                <w:tab w:val="left" w:pos="993"/>
                <w:tab w:val="left" w:pos="1418"/>
                <w:tab w:val="left" w:pos="1843"/>
                <w:tab w:val="left" w:pos="3119"/>
                <w:tab w:val="left" w:pos="3402"/>
              </w:tabs>
              <w:rPr>
                <w:rFonts w:ascii="Arial" w:hAnsi="Arial" w:cs="Arial"/>
                <w:b/>
                <w:sz w:val="18"/>
                <w:szCs w:val="18"/>
                <w:lang w:val="en-US"/>
              </w:rPr>
            </w:pPr>
            <w:r w:rsidRPr="00BD295E">
              <w:rPr>
                <w:rFonts w:ascii="Arial" w:hAnsi="Arial" w:cs="Arial"/>
                <w:b/>
                <w:sz w:val="18"/>
                <w:szCs w:val="18"/>
                <w:lang w:val="en-US"/>
              </w:rPr>
              <w:t xml:space="preserve">Total for </w:t>
            </w:r>
            <w:r w:rsidR="00EE5753" w:rsidRPr="00BD295E">
              <w:rPr>
                <w:rFonts w:ascii="Arial" w:hAnsi="Arial" w:cs="Arial"/>
                <w:b/>
                <w:sz w:val="18"/>
                <w:szCs w:val="18"/>
                <w:lang w:val="en-US"/>
              </w:rPr>
              <w:t>PJSC “Lenenergo”</w:t>
            </w:r>
          </w:p>
        </w:tc>
        <w:tc>
          <w:tcPr>
            <w:tcW w:w="408" w:type="pct"/>
            <w:tcBorders>
              <w:top w:val="nil"/>
              <w:left w:val="nil"/>
              <w:bottom w:val="single" w:sz="4" w:space="0" w:color="auto"/>
              <w:right w:val="single" w:sz="4" w:space="0" w:color="auto"/>
            </w:tcBorders>
            <w:vAlign w:val="center"/>
            <w:hideMark/>
          </w:tcPr>
          <w:p w14:paraId="467B702D"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3,334.43</w:t>
            </w:r>
          </w:p>
        </w:tc>
        <w:tc>
          <w:tcPr>
            <w:tcW w:w="297" w:type="pct"/>
            <w:tcBorders>
              <w:top w:val="nil"/>
              <w:left w:val="nil"/>
              <w:bottom w:val="single" w:sz="4" w:space="0" w:color="auto"/>
              <w:right w:val="single" w:sz="4" w:space="0" w:color="auto"/>
            </w:tcBorders>
            <w:vAlign w:val="center"/>
            <w:hideMark/>
          </w:tcPr>
          <w:p w14:paraId="088B57DA"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4,526.39</w:t>
            </w:r>
          </w:p>
        </w:tc>
        <w:tc>
          <w:tcPr>
            <w:tcW w:w="335" w:type="pct"/>
            <w:tcBorders>
              <w:top w:val="nil"/>
              <w:left w:val="nil"/>
              <w:bottom w:val="single" w:sz="4" w:space="0" w:color="auto"/>
              <w:right w:val="single" w:sz="4" w:space="0" w:color="auto"/>
            </w:tcBorders>
            <w:vAlign w:val="center"/>
            <w:hideMark/>
          </w:tcPr>
          <w:p w14:paraId="64B5F014"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135,291.36</w:t>
            </w:r>
          </w:p>
        </w:tc>
        <w:tc>
          <w:tcPr>
            <w:tcW w:w="403" w:type="pct"/>
            <w:tcBorders>
              <w:top w:val="nil"/>
              <w:left w:val="nil"/>
              <w:bottom w:val="single" w:sz="4" w:space="0" w:color="auto"/>
              <w:right w:val="single" w:sz="4" w:space="0" w:color="auto"/>
            </w:tcBorders>
            <w:vAlign w:val="center"/>
            <w:hideMark/>
          </w:tcPr>
          <w:p w14:paraId="32C81DB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480.90</w:t>
            </w:r>
          </w:p>
        </w:tc>
        <w:tc>
          <w:tcPr>
            <w:tcW w:w="297" w:type="pct"/>
            <w:tcBorders>
              <w:top w:val="nil"/>
              <w:left w:val="nil"/>
              <w:bottom w:val="single" w:sz="4" w:space="0" w:color="auto"/>
              <w:right w:val="single" w:sz="4" w:space="0" w:color="auto"/>
            </w:tcBorders>
            <w:vAlign w:val="center"/>
            <w:hideMark/>
          </w:tcPr>
          <w:p w14:paraId="42289EEA"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862.60</w:t>
            </w:r>
          </w:p>
        </w:tc>
        <w:tc>
          <w:tcPr>
            <w:tcW w:w="500" w:type="pct"/>
            <w:tcBorders>
              <w:top w:val="nil"/>
              <w:left w:val="nil"/>
              <w:bottom w:val="single" w:sz="4" w:space="0" w:color="auto"/>
              <w:right w:val="single" w:sz="4" w:space="0" w:color="auto"/>
            </w:tcBorders>
            <w:vAlign w:val="center"/>
            <w:hideMark/>
          </w:tcPr>
          <w:p w14:paraId="2B656202"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6,054.70</w:t>
            </w:r>
          </w:p>
        </w:tc>
        <w:tc>
          <w:tcPr>
            <w:tcW w:w="450" w:type="pct"/>
            <w:tcBorders>
              <w:top w:val="nil"/>
              <w:left w:val="nil"/>
              <w:bottom w:val="single" w:sz="4" w:space="0" w:color="auto"/>
              <w:right w:val="single" w:sz="4" w:space="0" w:color="auto"/>
            </w:tcBorders>
            <w:vAlign w:val="center"/>
          </w:tcPr>
          <w:p w14:paraId="6B6DA8E3"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507.66</w:t>
            </w:r>
          </w:p>
        </w:tc>
        <w:tc>
          <w:tcPr>
            <w:tcW w:w="450" w:type="pct"/>
            <w:tcBorders>
              <w:top w:val="nil"/>
              <w:left w:val="nil"/>
              <w:bottom w:val="single" w:sz="4" w:space="0" w:color="auto"/>
              <w:right w:val="single" w:sz="4" w:space="0" w:color="auto"/>
            </w:tcBorders>
            <w:vAlign w:val="center"/>
          </w:tcPr>
          <w:p w14:paraId="68F4F53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848.87</w:t>
            </w:r>
          </w:p>
        </w:tc>
        <w:tc>
          <w:tcPr>
            <w:tcW w:w="450" w:type="pct"/>
            <w:tcBorders>
              <w:top w:val="nil"/>
              <w:left w:val="nil"/>
              <w:bottom w:val="single" w:sz="4" w:space="0" w:color="auto"/>
              <w:right w:val="single" w:sz="4" w:space="0" w:color="auto"/>
            </w:tcBorders>
            <w:vAlign w:val="center"/>
          </w:tcPr>
          <w:p w14:paraId="1870166D"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8,626.30</w:t>
            </w:r>
          </w:p>
        </w:tc>
      </w:tr>
      <w:tr w:rsidR="008A5057" w:rsidRPr="00BD295E" w14:paraId="5E2ACB3F"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1E0BD742"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Acquisition of electric grid facilities</w:t>
            </w:r>
          </w:p>
        </w:tc>
        <w:tc>
          <w:tcPr>
            <w:tcW w:w="408" w:type="pct"/>
            <w:tcBorders>
              <w:top w:val="nil"/>
              <w:left w:val="nil"/>
              <w:bottom w:val="single" w:sz="4" w:space="0" w:color="auto"/>
              <w:right w:val="single" w:sz="4" w:space="0" w:color="auto"/>
            </w:tcBorders>
            <w:vAlign w:val="center"/>
            <w:hideMark/>
          </w:tcPr>
          <w:p w14:paraId="474DC137"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3.43</w:t>
            </w:r>
          </w:p>
        </w:tc>
        <w:tc>
          <w:tcPr>
            <w:tcW w:w="297" w:type="pct"/>
            <w:tcBorders>
              <w:top w:val="nil"/>
              <w:left w:val="nil"/>
              <w:bottom w:val="single" w:sz="4" w:space="0" w:color="auto"/>
              <w:right w:val="single" w:sz="4" w:space="0" w:color="auto"/>
            </w:tcBorders>
            <w:vAlign w:val="center"/>
            <w:hideMark/>
          </w:tcPr>
          <w:p w14:paraId="0CFA2457"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3.39</w:t>
            </w:r>
          </w:p>
        </w:tc>
        <w:tc>
          <w:tcPr>
            <w:tcW w:w="335" w:type="pct"/>
            <w:tcBorders>
              <w:top w:val="nil"/>
              <w:left w:val="nil"/>
              <w:bottom w:val="single" w:sz="4" w:space="0" w:color="auto"/>
              <w:right w:val="single" w:sz="4" w:space="0" w:color="auto"/>
            </w:tcBorders>
            <w:vAlign w:val="center"/>
            <w:hideMark/>
          </w:tcPr>
          <w:p w14:paraId="7350CA6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9.36</w:t>
            </w:r>
          </w:p>
        </w:tc>
        <w:tc>
          <w:tcPr>
            <w:tcW w:w="403" w:type="pct"/>
            <w:tcBorders>
              <w:top w:val="nil"/>
              <w:left w:val="nil"/>
              <w:bottom w:val="single" w:sz="4" w:space="0" w:color="auto"/>
              <w:right w:val="single" w:sz="4" w:space="0" w:color="auto"/>
            </w:tcBorders>
            <w:vAlign w:val="center"/>
            <w:hideMark/>
          </w:tcPr>
          <w:p w14:paraId="7D720FC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1BD5672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64E3B6E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0EECDDC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300468D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3437DD1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6062CBBF"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2AC419B0"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Lease of electric grid facilities</w:t>
            </w:r>
          </w:p>
        </w:tc>
        <w:tc>
          <w:tcPr>
            <w:tcW w:w="408" w:type="pct"/>
            <w:tcBorders>
              <w:top w:val="nil"/>
              <w:left w:val="nil"/>
              <w:bottom w:val="single" w:sz="4" w:space="0" w:color="auto"/>
              <w:right w:val="single" w:sz="4" w:space="0" w:color="auto"/>
            </w:tcBorders>
            <w:vAlign w:val="center"/>
            <w:hideMark/>
          </w:tcPr>
          <w:p w14:paraId="401A3AB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160.00</w:t>
            </w:r>
          </w:p>
        </w:tc>
        <w:tc>
          <w:tcPr>
            <w:tcW w:w="297" w:type="pct"/>
            <w:tcBorders>
              <w:top w:val="nil"/>
              <w:left w:val="nil"/>
              <w:bottom w:val="single" w:sz="4" w:space="0" w:color="auto"/>
              <w:right w:val="single" w:sz="4" w:space="0" w:color="auto"/>
            </w:tcBorders>
            <w:vAlign w:val="center"/>
            <w:hideMark/>
          </w:tcPr>
          <w:p w14:paraId="494A9CA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3.00</w:t>
            </w:r>
          </w:p>
        </w:tc>
        <w:tc>
          <w:tcPr>
            <w:tcW w:w="335" w:type="pct"/>
            <w:tcBorders>
              <w:top w:val="nil"/>
              <w:left w:val="nil"/>
              <w:bottom w:val="single" w:sz="4" w:space="0" w:color="auto"/>
              <w:right w:val="single" w:sz="4" w:space="0" w:color="auto"/>
            </w:tcBorders>
            <w:vAlign w:val="center"/>
            <w:hideMark/>
          </w:tcPr>
          <w:p w14:paraId="4E67776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360.00</w:t>
            </w:r>
          </w:p>
        </w:tc>
        <w:tc>
          <w:tcPr>
            <w:tcW w:w="403" w:type="pct"/>
            <w:tcBorders>
              <w:top w:val="nil"/>
              <w:left w:val="nil"/>
              <w:bottom w:val="single" w:sz="4" w:space="0" w:color="auto"/>
              <w:right w:val="single" w:sz="4" w:space="0" w:color="auto"/>
            </w:tcBorders>
            <w:vAlign w:val="center"/>
            <w:hideMark/>
          </w:tcPr>
          <w:p w14:paraId="725D472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160.30</w:t>
            </w:r>
          </w:p>
        </w:tc>
        <w:tc>
          <w:tcPr>
            <w:tcW w:w="297" w:type="pct"/>
            <w:tcBorders>
              <w:top w:val="nil"/>
              <w:left w:val="nil"/>
              <w:bottom w:val="single" w:sz="4" w:space="0" w:color="auto"/>
              <w:right w:val="single" w:sz="4" w:space="0" w:color="auto"/>
            </w:tcBorders>
            <w:vAlign w:val="center"/>
            <w:hideMark/>
          </w:tcPr>
          <w:p w14:paraId="7F7F394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26.20</w:t>
            </w:r>
          </w:p>
        </w:tc>
        <w:tc>
          <w:tcPr>
            <w:tcW w:w="500" w:type="pct"/>
            <w:tcBorders>
              <w:top w:val="nil"/>
              <w:left w:val="nil"/>
              <w:bottom w:val="single" w:sz="4" w:space="0" w:color="auto"/>
              <w:right w:val="single" w:sz="4" w:space="0" w:color="auto"/>
            </w:tcBorders>
            <w:vAlign w:val="center"/>
            <w:hideMark/>
          </w:tcPr>
          <w:p w14:paraId="4EC4FC6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591.80</w:t>
            </w:r>
          </w:p>
        </w:tc>
        <w:tc>
          <w:tcPr>
            <w:tcW w:w="450" w:type="pct"/>
            <w:tcBorders>
              <w:top w:val="nil"/>
              <w:left w:val="nil"/>
              <w:bottom w:val="single" w:sz="4" w:space="0" w:color="auto"/>
              <w:right w:val="single" w:sz="4" w:space="0" w:color="auto"/>
            </w:tcBorders>
            <w:vAlign w:val="center"/>
            <w:hideMark/>
          </w:tcPr>
          <w:p w14:paraId="7613203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160.25</w:t>
            </w:r>
          </w:p>
        </w:tc>
        <w:tc>
          <w:tcPr>
            <w:tcW w:w="450" w:type="pct"/>
            <w:tcBorders>
              <w:top w:val="nil"/>
              <w:left w:val="nil"/>
              <w:bottom w:val="single" w:sz="4" w:space="0" w:color="auto"/>
              <w:right w:val="single" w:sz="4" w:space="0" w:color="auto"/>
            </w:tcBorders>
            <w:vAlign w:val="center"/>
            <w:hideMark/>
          </w:tcPr>
          <w:p w14:paraId="56C84F1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26.19</w:t>
            </w:r>
          </w:p>
        </w:tc>
        <w:tc>
          <w:tcPr>
            <w:tcW w:w="450" w:type="pct"/>
            <w:tcBorders>
              <w:top w:val="nil"/>
              <w:left w:val="nil"/>
              <w:bottom w:val="single" w:sz="4" w:space="0" w:color="auto"/>
              <w:right w:val="single" w:sz="4" w:space="0" w:color="auto"/>
            </w:tcBorders>
            <w:vAlign w:val="center"/>
            <w:hideMark/>
          </w:tcPr>
          <w:p w14:paraId="5D8F600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591.81</w:t>
            </w:r>
          </w:p>
        </w:tc>
      </w:tr>
      <w:tr w:rsidR="008A5057" w:rsidRPr="00BD295E" w14:paraId="2A45DF41"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492F3FDE"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vAlign w:val="center"/>
            <w:hideMark/>
          </w:tcPr>
          <w:p w14:paraId="34B20D8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3,171.00</w:t>
            </w:r>
          </w:p>
        </w:tc>
        <w:tc>
          <w:tcPr>
            <w:tcW w:w="297" w:type="pct"/>
            <w:tcBorders>
              <w:top w:val="nil"/>
              <w:left w:val="nil"/>
              <w:bottom w:val="single" w:sz="4" w:space="0" w:color="auto"/>
              <w:right w:val="single" w:sz="4" w:space="0" w:color="auto"/>
            </w:tcBorders>
            <w:vAlign w:val="center"/>
            <w:hideMark/>
          </w:tcPr>
          <w:p w14:paraId="2DBEB543"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4,520.00</w:t>
            </w:r>
          </w:p>
        </w:tc>
        <w:tc>
          <w:tcPr>
            <w:tcW w:w="335" w:type="pct"/>
            <w:tcBorders>
              <w:top w:val="nil"/>
              <w:left w:val="nil"/>
              <w:bottom w:val="single" w:sz="4" w:space="0" w:color="auto"/>
              <w:right w:val="single" w:sz="4" w:space="0" w:color="auto"/>
            </w:tcBorders>
            <w:vAlign w:val="center"/>
            <w:hideMark/>
          </w:tcPr>
          <w:p w14:paraId="083C996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134,922.00</w:t>
            </w:r>
          </w:p>
        </w:tc>
        <w:tc>
          <w:tcPr>
            <w:tcW w:w="403" w:type="pct"/>
            <w:tcBorders>
              <w:top w:val="nil"/>
              <w:left w:val="nil"/>
              <w:bottom w:val="single" w:sz="4" w:space="0" w:color="auto"/>
              <w:right w:val="single" w:sz="4" w:space="0" w:color="auto"/>
            </w:tcBorders>
            <w:vAlign w:val="center"/>
            <w:hideMark/>
          </w:tcPr>
          <w:p w14:paraId="17D65BB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5.60</w:t>
            </w:r>
          </w:p>
        </w:tc>
        <w:tc>
          <w:tcPr>
            <w:tcW w:w="297" w:type="pct"/>
            <w:tcBorders>
              <w:top w:val="nil"/>
              <w:left w:val="nil"/>
              <w:bottom w:val="single" w:sz="4" w:space="0" w:color="auto"/>
              <w:right w:val="single" w:sz="4" w:space="0" w:color="auto"/>
            </w:tcBorders>
            <w:vAlign w:val="center"/>
            <w:hideMark/>
          </w:tcPr>
          <w:p w14:paraId="1588432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137.10</w:t>
            </w:r>
          </w:p>
        </w:tc>
        <w:tc>
          <w:tcPr>
            <w:tcW w:w="500" w:type="pct"/>
            <w:tcBorders>
              <w:top w:val="nil"/>
              <w:left w:val="nil"/>
              <w:bottom w:val="single" w:sz="4" w:space="0" w:color="auto"/>
              <w:right w:val="single" w:sz="4" w:space="0" w:color="auto"/>
            </w:tcBorders>
            <w:vAlign w:val="center"/>
            <w:hideMark/>
          </w:tcPr>
          <w:p w14:paraId="278535A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323.50</w:t>
            </w:r>
          </w:p>
        </w:tc>
        <w:tc>
          <w:tcPr>
            <w:tcW w:w="450" w:type="pct"/>
            <w:tcBorders>
              <w:top w:val="nil"/>
              <w:left w:val="nil"/>
              <w:bottom w:val="single" w:sz="4" w:space="0" w:color="auto"/>
              <w:right w:val="single" w:sz="4" w:space="0" w:color="auto"/>
            </w:tcBorders>
            <w:vAlign w:val="center"/>
            <w:hideMark/>
          </w:tcPr>
          <w:p w14:paraId="3C68965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24.61</w:t>
            </w:r>
          </w:p>
        </w:tc>
        <w:tc>
          <w:tcPr>
            <w:tcW w:w="450" w:type="pct"/>
            <w:tcBorders>
              <w:top w:val="nil"/>
              <w:left w:val="nil"/>
              <w:bottom w:val="single" w:sz="4" w:space="0" w:color="auto"/>
              <w:right w:val="single" w:sz="4" w:space="0" w:color="auto"/>
            </w:tcBorders>
            <w:vAlign w:val="center"/>
            <w:hideMark/>
          </w:tcPr>
          <w:p w14:paraId="135BA04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90.38</w:t>
            </w:r>
          </w:p>
        </w:tc>
        <w:tc>
          <w:tcPr>
            <w:tcW w:w="450" w:type="pct"/>
            <w:tcBorders>
              <w:top w:val="nil"/>
              <w:left w:val="nil"/>
              <w:bottom w:val="single" w:sz="4" w:space="0" w:color="auto"/>
              <w:right w:val="single" w:sz="4" w:space="0" w:color="auto"/>
            </w:tcBorders>
            <w:vAlign w:val="center"/>
            <w:hideMark/>
          </w:tcPr>
          <w:p w14:paraId="3D20B17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341.08</w:t>
            </w:r>
          </w:p>
        </w:tc>
      </w:tr>
      <w:tr w:rsidR="008A5057" w:rsidRPr="00BD295E" w14:paraId="3B1C91E9"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55928818"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(temporary rights of possession and use)</w:t>
            </w:r>
          </w:p>
        </w:tc>
        <w:tc>
          <w:tcPr>
            <w:tcW w:w="408" w:type="pct"/>
            <w:tcBorders>
              <w:top w:val="nil"/>
              <w:left w:val="nil"/>
              <w:bottom w:val="single" w:sz="4" w:space="0" w:color="auto"/>
              <w:right w:val="single" w:sz="4" w:space="0" w:color="auto"/>
            </w:tcBorders>
            <w:vAlign w:val="center"/>
            <w:hideMark/>
          </w:tcPr>
          <w:p w14:paraId="717BE57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39201EB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vAlign w:val="center"/>
            <w:hideMark/>
          </w:tcPr>
          <w:p w14:paraId="20481E3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vAlign w:val="center"/>
            <w:hideMark/>
          </w:tcPr>
          <w:p w14:paraId="09BAF60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647C1A5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080A77B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14A026C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322.80</w:t>
            </w:r>
          </w:p>
        </w:tc>
        <w:tc>
          <w:tcPr>
            <w:tcW w:w="450" w:type="pct"/>
            <w:tcBorders>
              <w:top w:val="nil"/>
              <w:left w:val="nil"/>
              <w:bottom w:val="single" w:sz="4" w:space="0" w:color="auto"/>
              <w:right w:val="single" w:sz="4" w:space="0" w:color="auto"/>
            </w:tcBorders>
            <w:vAlign w:val="center"/>
            <w:hideMark/>
          </w:tcPr>
          <w:p w14:paraId="5EFBDAE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732.30</w:t>
            </w:r>
          </w:p>
        </w:tc>
        <w:tc>
          <w:tcPr>
            <w:tcW w:w="450" w:type="pct"/>
            <w:tcBorders>
              <w:top w:val="nil"/>
              <w:left w:val="nil"/>
              <w:bottom w:val="single" w:sz="4" w:space="0" w:color="auto"/>
              <w:right w:val="single" w:sz="4" w:space="0" w:color="auto"/>
            </w:tcBorders>
            <w:vAlign w:val="center"/>
            <w:hideMark/>
          </w:tcPr>
          <w:p w14:paraId="7F09EED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7,693.41</w:t>
            </w:r>
          </w:p>
        </w:tc>
      </w:tr>
      <w:tr w:rsidR="008A5057" w:rsidRPr="00BD295E" w14:paraId="597146A0"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52166F63" w14:textId="77777777" w:rsidR="003760B8" w:rsidRPr="00BD295E" w:rsidRDefault="00EE5753" w:rsidP="00906126">
            <w:pPr>
              <w:tabs>
                <w:tab w:val="left" w:pos="993"/>
                <w:tab w:val="left" w:pos="1418"/>
                <w:tab w:val="left" w:pos="1843"/>
                <w:tab w:val="left" w:pos="3119"/>
                <w:tab w:val="left" w:pos="3402"/>
              </w:tabs>
              <w:rPr>
                <w:rFonts w:ascii="Arial" w:hAnsi="Arial" w:cs="Arial"/>
                <w:b/>
                <w:sz w:val="18"/>
                <w:szCs w:val="18"/>
                <w:lang w:val="en-US"/>
              </w:rPr>
            </w:pPr>
            <w:r w:rsidRPr="00BD295E">
              <w:rPr>
                <w:rFonts w:ascii="Arial" w:hAnsi="Arial" w:cs="Arial"/>
                <w:b/>
                <w:sz w:val="18"/>
                <w:szCs w:val="18"/>
                <w:lang w:val="en-US"/>
              </w:rPr>
              <w:t>PJSC “Lenenergo”</w:t>
            </w:r>
            <w:r w:rsidR="008A5057" w:rsidRPr="00BD295E">
              <w:rPr>
                <w:rFonts w:ascii="Arial" w:hAnsi="Arial" w:cs="Arial"/>
                <w:b/>
                <w:sz w:val="18"/>
                <w:szCs w:val="18"/>
                <w:lang w:val="en-US"/>
              </w:rPr>
              <w:t xml:space="preserve"> – Saint Petersburg</w:t>
            </w:r>
          </w:p>
        </w:tc>
        <w:tc>
          <w:tcPr>
            <w:tcW w:w="408" w:type="pct"/>
            <w:tcBorders>
              <w:top w:val="nil"/>
              <w:left w:val="nil"/>
              <w:bottom w:val="single" w:sz="4" w:space="0" w:color="auto"/>
              <w:right w:val="single" w:sz="4" w:space="0" w:color="auto"/>
            </w:tcBorders>
            <w:vAlign w:val="center"/>
            <w:hideMark/>
          </w:tcPr>
          <w:p w14:paraId="41BBF757"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3,166.00</w:t>
            </w:r>
          </w:p>
        </w:tc>
        <w:tc>
          <w:tcPr>
            <w:tcW w:w="297" w:type="pct"/>
            <w:tcBorders>
              <w:top w:val="nil"/>
              <w:left w:val="nil"/>
              <w:bottom w:val="single" w:sz="4" w:space="0" w:color="auto"/>
              <w:right w:val="single" w:sz="4" w:space="0" w:color="auto"/>
            </w:tcBorders>
            <w:vAlign w:val="center"/>
            <w:hideMark/>
          </w:tcPr>
          <w:p w14:paraId="630C9E4B"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4,428.00</w:t>
            </w:r>
          </w:p>
        </w:tc>
        <w:tc>
          <w:tcPr>
            <w:tcW w:w="335" w:type="pct"/>
            <w:tcBorders>
              <w:top w:val="nil"/>
              <w:left w:val="nil"/>
              <w:bottom w:val="single" w:sz="4" w:space="0" w:color="auto"/>
              <w:right w:val="single" w:sz="4" w:space="0" w:color="auto"/>
            </w:tcBorders>
            <w:vAlign w:val="center"/>
            <w:hideMark/>
          </w:tcPr>
          <w:p w14:paraId="76218D57"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134,766.00</w:t>
            </w:r>
          </w:p>
        </w:tc>
        <w:tc>
          <w:tcPr>
            <w:tcW w:w="403" w:type="pct"/>
            <w:tcBorders>
              <w:top w:val="nil"/>
              <w:left w:val="nil"/>
              <w:bottom w:val="single" w:sz="4" w:space="0" w:color="auto"/>
              <w:right w:val="single" w:sz="4" w:space="0" w:color="auto"/>
            </w:tcBorders>
            <w:vAlign w:val="center"/>
            <w:hideMark/>
          </w:tcPr>
          <w:p w14:paraId="00384A9B"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313.60</w:t>
            </w:r>
          </w:p>
        </w:tc>
        <w:tc>
          <w:tcPr>
            <w:tcW w:w="297" w:type="pct"/>
            <w:tcBorders>
              <w:top w:val="nil"/>
              <w:left w:val="nil"/>
              <w:bottom w:val="single" w:sz="4" w:space="0" w:color="auto"/>
              <w:right w:val="single" w:sz="4" w:space="0" w:color="auto"/>
            </w:tcBorders>
            <w:vAlign w:val="center"/>
            <w:hideMark/>
          </w:tcPr>
          <w:p w14:paraId="0A92C380"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697.00</w:t>
            </w:r>
          </w:p>
        </w:tc>
        <w:tc>
          <w:tcPr>
            <w:tcW w:w="500" w:type="pct"/>
            <w:tcBorders>
              <w:top w:val="nil"/>
              <w:left w:val="nil"/>
              <w:bottom w:val="single" w:sz="4" w:space="0" w:color="auto"/>
              <w:right w:val="single" w:sz="4" w:space="0" w:color="auto"/>
            </w:tcBorders>
            <w:vAlign w:val="center"/>
            <w:hideMark/>
          </w:tcPr>
          <w:p w14:paraId="3B62B8E7"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5179.10</w:t>
            </w:r>
          </w:p>
        </w:tc>
        <w:tc>
          <w:tcPr>
            <w:tcW w:w="450" w:type="pct"/>
            <w:tcBorders>
              <w:top w:val="nil"/>
              <w:left w:val="nil"/>
              <w:bottom w:val="single" w:sz="4" w:space="0" w:color="auto"/>
              <w:right w:val="single" w:sz="4" w:space="0" w:color="auto"/>
            </w:tcBorders>
            <w:vAlign w:val="center"/>
            <w:hideMark/>
          </w:tcPr>
          <w:p w14:paraId="555C4EFF"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sz w:val="18"/>
                <w:szCs w:val="18"/>
                <w:lang w:val="en-US"/>
              </w:rPr>
              <w:t>0.00</w:t>
            </w:r>
          </w:p>
        </w:tc>
        <w:tc>
          <w:tcPr>
            <w:tcW w:w="450" w:type="pct"/>
            <w:tcBorders>
              <w:top w:val="nil"/>
              <w:left w:val="nil"/>
              <w:bottom w:val="single" w:sz="4" w:space="0" w:color="auto"/>
              <w:right w:val="single" w:sz="4" w:space="0" w:color="auto"/>
            </w:tcBorders>
            <w:vAlign w:val="center"/>
            <w:hideMark/>
          </w:tcPr>
          <w:p w14:paraId="514F7C6E"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sz w:val="18"/>
                <w:szCs w:val="18"/>
                <w:lang w:val="en-US"/>
              </w:rPr>
              <w:t>7.46</w:t>
            </w:r>
          </w:p>
        </w:tc>
        <w:tc>
          <w:tcPr>
            <w:tcW w:w="450" w:type="pct"/>
            <w:tcBorders>
              <w:top w:val="nil"/>
              <w:left w:val="nil"/>
              <w:bottom w:val="single" w:sz="4" w:space="0" w:color="auto"/>
              <w:right w:val="single" w:sz="4" w:space="0" w:color="auto"/>
            </w:tcBorders>
            <w:vAlign w:val="center"/>
            <w:hideMark/>
          </w:tcPr>
          <w:p w14:paraId="71656219"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sz w:val="18"/>
                <w:szCs w:val="18"/>
                <w:lang w:val="en-US"/>
              </w:rPr>
              <w:t>82.05</w:t>
            </w:r>
          </w:p>
        </w:tc>
      </w:tr>
      <w:tr w:rsidR="008A5057" w:rsidRPr="00BD295E" w14:paraId="1D3B9CB7"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69AF578B"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Acquisition of electric grid facilities</w:t>
            </w:r>
          </w:p>
        </w:tc>
        <w:tc>
          <w:tcPr>
            <w:tcW w:w="408" w:type="pct"/>
            <w:tcBorders>
              <w:top w:val="nil"/>
              <w:left w:val="nil"/>
              <w:bottom w:val="single" w:sz="4" w:space="0" w:color="auto"/>
              <w:right w:val="single" w:sz="4" w:space="0" w:color="auto"/>
            </w:tcBorders>
            <w:vAlign w:val="center"/>
            <w:hideMark/>
          </w:tcPr>
          <w:p w14:paraId="06BE4D2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4DA2D35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vAlign w:val="center"/>
            <w:hideMark/>
          </w:tcPr>
          <w:p w14:paraId="7A91B7D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vAlign w:val="center"/>
            <w:hideMark/>
          </w:tcPr>
          <w:p w14:paraId="4345D49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68FAAFC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743735B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0514C36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08997ED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03A2F27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468C5464"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12F7CCC9"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Lease of electric grid facilities</w:t>
            </w:r>
          </w:p>
        </w:tc>
        <w:tc>
          <w:tcPr>
            <w:tcW w:w="408" w:type="pct"/>
            <w:tcBorders>
              <w:top w:val="nil"/>
              <w:left w:val="nil"/>
              <w:bottom w:val="single" w:sz="4" w:space="0" w:color="auto"/>
              <w:right w:val="single" w:sz="4" w:space="0" w:color="auto"/>
            </w:tcBorders>
            <w:vAlign w:val="center"/>
            <w:hideMark/>
          </w:tcPr>
          <w:p w14:paraId="4777E64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5DC91E0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3.00</w:t>
            </w:r>
          </w:p>
        </w:tc>
        <w:tc>
          <w:tcPr>
            <w:tcW w:w="335" w:type="pct"/>
            <w:tcBorders>
              <w:top w:val="nil"/>
              <w:left w:val="nil"/>
              <w:bottom w:val="single" w:sz="4" w:space="0" w:color="auto"/>
              <w:right w:val="single" w:sz="4" w:space="0" w:color="auto"/>
            </w:tcBorders>
            <w:vAlign w:val="center"/>
            <w:hideMark/>
          </w:tcPr>
          <w:p w14:paraId="0792119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vAlign w:val="center"/>
            <w:hideMark/>
          </w:tcPr>
          <w:p w14:paraId="09BAA5C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587692C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7.50</w:t>
            </w:r>
          </w:p>
        </w:tc>
        <w:tc>
          <w:tcPr>
            <w:tcW w:w="500" w:type="pct"/>
            <w:tcBorders>
              <w:top w:val="nil"/>
              <w:left w:val="nil"/>
              <w:bottom w:val="single" w:sz="4" w:space="0" w:color="auto"/>
              <w:right w:val="single" w:sz="4" w:space="0" w:color="auto"/>
            </w:tcBorders>
            <w:vAlign w:val="center"/>
            <w:hideMark/>
          </w:tcPr>
          <w:p w14:paraId="57EA44D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82.00</w:t>
            </w:r>
          </w:p>
        </w:tc>
        <w:tc>
          <w:tcPr>
            <w:tcW w:w="450" w:type="pct"/>
            <w:tcBorders>
              <w:top w:val="nil"/>
              <w:left w:val="nil"/>
              <w:bottom w:val="single" w:sz="4" w:space="0" w:color="auto"/>
              <w:right w:val="single" w:sz="4" w:space="0" w:color="auto"/>
            </w:tcBorders>
            <w:vAlign w:val="center"/>
            <w:hideMark/>
          </w:tcPr>
          <w:p w14:paraId="5160F1A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0F23A14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7.46</w:t>
            </w:r>
          </w:p>
        </w:tc>
        <w:tc>
          <w:tcPr>
            <w:tcW w:w="450" w:type="pct"/>
            <w:tcBorders>
              <w:top w:val="nil"/>
              <w:left w:val="nil"/>
              <w:bottom w:val="single" w:sz="4" w:space="0" w:color="auto"/>
              <w:right w:val="single" w:sz="4" w:space="0" w:color="auto"/>
            </w:tcBorders>
            <w:vAlign w:val="center"/>
            <w:hideMark/>
          </w:tcPr>
          <w:p w14:paraId="64EF2C8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82.05</w:t>
            </w:r>
          </w:p>
        </w:tc>
      </w:tr>
      <w:tr w:rsidR="008A5057" w:rsidRPr="00BD295E" w14:paraId="76E33CBE"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108E6B41"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vAlign w:val="center"/>
            <w:hideMark/>
          </w:tcPr>
          <w:p w14:paraId="42B557C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3,166.00</w:t>
            </w:r>
          </w:p>
        </w:tc>
        <w:tc>
          <w:tcPr>
            <w:tcW w:w="297" w:type="pct"/>
            <w:tcBorders>
              <w:top w:val="nil"/>
              <w:left w:val="nil"/>
              <w:bottom w:val="single" w:sz="4" w:space="0" w:color="auto"/>
              <w:right w:val="single" w:sz="4" w:space="0" w:color="auto"/>
            </w:tcBorders>
            <w:vAlign w:val="center"/>
            <w:hideMark/>
          </w:tcPr>
          <w:p w14:paraId="41F666B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4,425.00</w:t>
            </w:r>
          </w:p>
        </w:tc>
        <w:tc>
          <w:tcPr>
            <w:tcW w:w="335" w:type="pct"/>
            <w:tcBorders>
              <w:top w:val="nil"/>
              <w:left w:val="nil"/>
              <w:bottom w:val="single" w:sz="4" w:space="0" w:color="auto"/>
              <w:right w:val="single" w:sz="4" w:space="0" w:color="auto"/>
            </w:tcBorders>
            <w:vAlign w:val="center"/>
            <w:hideMark/>
          </w:tcPr>
          <w:p w14:paraId="24CF04A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134,766.00</w:t>
            </w:r>
          </w:p>
        </w:tc>
        <w:tc>
          <w:tcPr>
            <w:tcW w:w="403" w:type="pct"/>
            <w:tcBorders>
              <w:top w:val="nil"/>
              <w:left w:val="nil"/>
              <w:bottom w:val="single" w:sz="4" w:space="0" w:color="auto"/>
              <w:right w:val="single" w:sz="4" w:space="0" w:color="auto"/>
            </w:tcBorders>
            <w:vAlign w:val="center"/>
            <w:hideMark/>
          </w:tcPr>
          <w:p w14:paraId="34F308E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6AAA997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2DCEE9A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75E6DA6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w:t>
            </w:r>
          </w:p>
        </w:tc>
        <w:tc>
          <w:tcPr>
            <w:tcW w:w="450" w:type="pct"/>
            <w:tcBorders>
              <w:top w:val="nil"/>
              <w:left w:val="nil"/>
              <w:bottom w:val="single" w:sz="4" w:space="0" w:color="auto"/>
              <w:right w:val="single" w:sz="4" w:space="0" w:color="auto"/>
            </w:tcBorders>
            <w:vAlign w:val="center"/>
            <w:hideMark/>
          </w:tcPr>
          <w:p w14:paraId="34556B6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w:t>
            </w:r>
          </w:p>
        </w:tc>
        <w:tc>
          <w:tcPr>
            <w:tcW w:w="450" w:type="pct"/>
            <w:tcBorders>
              <w:top w:val="nil"/>
              <w:left w:val="nil"/>
              <w:bottom w:val="single" w:sz="4" w:space="0" w:color="auto"/>
              <w:right w:val="single" w:sz="4" w:space="0" w:color="auto"/>
            </w:tcBorders>
            <w:vAlign w:val="center"/>
            <w:hideMark/>
          </w:tcPr>
          <w:p w14:paraId="4C05002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w:t>
            </w:r>
          </w:p>
        </w:tc>
      </w:tr>
      <w:tr w:rsidR="008A5057" w:rsidRPr="00BD295E" w14:paraId="583DC255"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hideMark/>
          </w:tcPr>
          <w:p w14:paraId="069E32CC"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shd w:val="clear" w:color="auto" w:fill="auto"/>
            <w:vAlign w:val="center"/>
            <w:hideMark/>
          </w:tcPr>
          <w:p w14:paraId="7E0F73A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hideMark/>
          </w:tcPr>
          <w:p w14:paraId="31D3D82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shd w:val="clear" w:color="auto" w:fill="auto"/>
            <w:vAlign w:val="center"/>
            <w:hideMark/>
          </w:tcPr>
          <w:p w14:paraId="27193DB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shd w:val="clear" w:color="auto" w:fill="auto"/>
            <w:vAlign w:val="center"/>
            <w:hideMark/>
          </w:tcPr>
          <w:p w14:paraId="0E62847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313.60</w:t>
            </w:r>
          </w:p>
        </w:tc>
        <w:tc>
          <w:tcPr>
            <w:tcW w:w="297" w:type="pct"/>
            <w:tcBorders>
              <w:top w:val="nil"/>
              <w:left w:val="nil"/>
              <w:bottom w:val="single" w:sz="4" w:space="0" w:color="auto"/>
              <w:right w:val="single" w:sz="4" w:space="0" w:color="auto"/>
            </w:tcBorders>
            <w:shd w:val="clear" w:color="auto" w:fill="auto"/>
            <w:vAlign w:val="center"/>
            <w:hideMark/>
          </w:tcPr>
          <w:p w14:paraId="7481301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689.50</w:t>
            </w:r>
          </w:p>
        </w:tc>
        <w:tc>
          <w:tcPr>
            <w:tcW w:w="500" w:type="pct"/>
            <w:tcBorders>
              <w:top w:val="nil"/>
              <w:left w:val="nil"/>
              <w:bottom w:val="single" w:sz="4" w:space="0" w:color="auto"/>
              <w:right w:val="single" w:sz="4" w:space="0" w:color="auto"/>
            </w:tcBorders>
            <w:shd w:val="clear" w:color="auto" w:fill="auto"/>
            <w:vAlign w:val="center"/>
            <w:hideMark/>
          </w:tcPr>
          <w:p w14:paraId="1B1E87D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5,097.10</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7D4D563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1AF2189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54A4FAF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3801BAC8"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hideMark/>
          </w:tcPr>
          <w:p w14:paraId="54550B79" w14:textId="77777777" w:rsidR="003760B8" w:rsidRPr="00BD295E" w:rsidRDefault="00EE5753" w:rsidP="00906126">
            <w:pPr>
              <w:tabs>
                <w:tab w:val="left" w:pos="993"/>
                <w:tab w:val="left" w:pos="1418"/>
                <w:tab w:val="left" w:pos="1843"/>
                <w:tab w:val="left" w:pos="3119"/>
                <w:tab w:val="left" w:pos="3402"/>
              </w:tabs>
              <w:rPr>
                <w:rFonts w:ascii="Arial" w:hAnsi="Arial" w:cs="Arial"/>
                <w:b/>
                <w:sz w:val="18"/>
                <w:szCs w:val="18"/>
                <w:lang w:val="en-US"/>
              </w:rPr>
            </w:pPr>
            <w:r w:rsidRPr="00BD295E">
              <w:rPr>
                <w:rFonts w:ascii="Arial" w:hAnsi="Arial" w:cs="Arial"/>
                <w:b/>
                <w:sz w:val="18"/>
                <w:szCs w:val="18"/>
                <w:lang w:val="en-US"/>
              </w:rPr>
              <w:t>PJSC “Lenenergo”</w:t>
            </w:r>
            <w:r w:rsidR="008A5057" w:rsidRPr="00BD295E">
              <w:rPr>
                <w:rFonts w:ascii="Arial" w:hAnsi="Arial" w:cs="Arial"/>
                <w:b/>
                <w:sz w:val="18"/>
                <w:szCs w:val="18"/>
                <w:lang w:val="en-US"/>
              </w:rPr>
              <w:t xml:space="preserve"> – Leningrad Region</w:t>
            </w:r>
          </w:p>
        </w:tc>
        <w:tc>
          <w:tcPr>
            <w:tcW w:w="408" w:type="pct"/>
            <w:tcBorders>
              <w:top w:val="nil"/>
              <w:left w:val="nil"/>
              <w:bottom w:val="single" w:sz="4" w:space="0" w:color="auto"/>
              <w:right w:val="single" w:sz="4" w:space="0" w:color="auto"/>
            </w:tcBorders>
            <w:shd w:val="clear" w:color="auto" w:fill="auto"/>
            <w:vAlign w:val="center"/>
            <w:hideMark/>
          </w:tcPr>
          <w:p w14:paraId="5DA5FD91"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165.00</w:t>
            </w:r>
          </w:p>
        </w:tc>
        <w:tc>
          <w:tcPr>
            <w:tcW w:w="297" w:type="pct"/>
            <w:tcBorders>
              <w:top w:val="nil"/>
              <w:left w:val="nil"/>
              <w:bottom w:val="single" w:sz="4" w:space="0" w:color="auto"/>
              <w:right w:val="single" w:sz="4" w:space="0" w:color="auto"/>
            </w:tcBorders>
            <w:shd w:val="clear" w:color="auto" w:fill="auto"/>
            <w:vAlign w:val="center"/>
            <w:hideMark/>
          </w:tcPr>
          <w:p w14:paraId="43FD90FF"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95.00</w:t>
            </w:r>
          </w:p>
        </w:tc>
        <w:tc>
          <w:tcPr>
            <w:tcW w:w="335" w:type="pct"/>
            <w:tcBorders>
              <w:top w:val="nil"/>
              <w:left w:val="nil"/>
              <w:bottom w:val="single" w:sz="4" w:space="0" w:color="auto"/>
              <w:right w:val="single" w:sz="4" w:space="0" w:color="auto"/>
            </w:tcBorders>
            <w:shd w:val="clear" w:color="auto" w:fill="auto"/>
            <w:vAlign w:val="center"/>
            <w:hideMark/>
          </w:tcPr>
          <w:p w14:paraId="71B060FF"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516.00</w:t>
            </w:r>
          </w:p>
        </w:tc>
        <w:tc>
          <w:tcPr>
            <w:tcW w:w="403" w:type="pct"/>
            <w:tcBorders>
              <w:top w:val="nil"/>
              <w:left w:val="nil"/>
              <w:bottom w:val="single" w:sz="4" w:space="0" w:color="auto"/>
              <w:right w:val="single" w:sz="4" w:space="0" w:color="auto"/>
            </w:tcBorders>
            <w:shd w:val="clear" w:color="auto" w:fill="auto"/>
            <w:vAlign w:val="center"/>
            <w:hideMark/>
          </w:tcPr>
          <w:p w14:paraId="16861917"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167.30</w:t>
            </w:r>
          </w:p>
        </w:tc>
        <w:tc>
          <w:tcPr>
            <w:tcW w:w="297" w:type="pct"/>
            <w:tcBorders>
              <w:top w:val="nil"/>
              <w:left w:val="nil"/>
              <w:bottom w:val="single" w:sz="4" w:space="0" w:color="auto"/>
              <w:right w:val="single" w:sz="4" w:space="0" w:color="auto"/>
            </w:tcBorders>
            <w:shd w:val="clear" w:color="auto" w:fill="auto"/>
            <w:vAlign w:val="center"/>
            <w:hideMark/>
          </w:tcPr>
          <w:p w14:paraId="317D43F9"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138.90</w:t>
            </w:r>
          </w:p>
        </w:tc>
        <w:tc>
          <w:tcPr>
            <w:tcW w:w="500" w:type="pct"/>
            <w:tcBorders>
              <w:top w:val="nil"/>
              <w:left w:val="nil"/>
              <w:bottom w:val="single" w:sz="4" w:space="0" w:color="auto"/>
              <w:right w:val="single" w:sz="4" w:space="0" w:color="auto"/>
            </w:tcBorders>
            <w:shd w:val="clear" w:color="auto" w:fill="auto"/>
            <w:vAlign w:val="center"/>
            <w:hideMark/>
          </w:tcPr>
          <w:p w14:paraId="2DA57F4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804.60</w:t>
            </w:r>
          </w:p>
        </w:tc>
        <w:tc>
          <w:tcPr>
            <w:tcW w:w="450" w:type="pct"/>
            <w:tcBorders>
              <w:top w:val="nil"/>
              <w:left w:val="nil"/>
              <w:bottom w:val="single" w:sz="4" w:space="0" w:color="auto"/>
              <w:right w:val="single" w:sz="4" w:space="0" w:color="auto"/>
            </w:tcBorders>
            <w:shd w:val="clear" w:color="auto" w:fill="auto"/>
            <w:vAlign w:val="center"/>
            <w:hideMark/>
          </w:tcPr>
          <w:p w14:paraId="411075C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184.46</w:t>
            </w:r>
          </w:p>
        </w:tc>
        <w:tc>
          <w:tcPr>
            <w:tcW w:w="450" w:type="pct"/>
            <w:tcBorders>
              <w:top w:val="nil"/>
              <w:left w:val="nil"/>
              <w:bottom w:val="single" w:sz="4" w:space="0" w:color="auto"/>
              <w:right w:val="single" w:sz="4" w:space="0" w:color="auto"/>
            </w:tcBorders>
            <w:shd w:val="clear" w:color="auto" w:fill="auto"/>
            <w:vAlign w:val="center"/>
            <w:hideMark/>
          </w:tcPr>
          <w:p w14:paraId="2F830280"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103.49</w:t>
            </w:r>
          </w:p>
        </w:tc>
        <w:tc>
          <w:tcPr>
            <w:tcW w:w="450" w:type="pct"/>
            <w:tcBorders>
              <w:top w:val="nil"/>
              <w:left w:val="nil"/>
              <w:bottom w:val="single" w:sz="4" w:space="0" w:color="auto"/>
              <w:right w:val="single" w:sz="4" w:space="0" w:color="auto"/>
            </w:tcBorders>
            <w:shd w:val="clear" w:color="auto" w:fill="auto"/>
            <w:vAlign w:val="center"/>
            <w:hideMark/>
          </w:tcPr>
          <w:p w14:paraId="5003AC9C"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826.12</w:t>
            </w:r>
          </w:p>
        </w:tc>
      </w:tr>
      <w:tr w:rsidR="008A5057" w:rsidRPr="00BD295E" w14:paraId="63491884"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hideMark/>
          </w:tcPr>
          <w:p w14:paraId="356769E4"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Acquisition of electric grid facilities</w:t>
            </w:r>
          </w:p>
        </w:tc>
        <w:tc>
          <w:tcPr>
            <w:tcW w:w="408" w:type="pct"/>
            <w:tcBorders>
              <w:top w:val="nil"/>
              <w:left w:val="nil"/>
              <w:bottom w:val="single" w:sz="4" w:space="0" w:color="auto"/>
              <w:right w:val="single" w:sz="4" w:space="0" w:color="auto"/>
            </w:tcBorders>
            <w:shd w:val="clear" w:color="auto" w:fill="auto"/>
            <w:vAlign w:val="center"/>
            <w:hideMark/>
          </w:tcPr>
          <w:p w14:paraId="5B56247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hideMark/>
          </w:tcPr>
          <w:p w14:paraId="12C2FFB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shd w:val="clear" w:color="auto" w:fill="auto"/>
            <w:vAlign w:val="center"/>
            <w:hideMark/>
          </w:tcPr>
          <w:p w14:paraId="5DD8F8A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shd w:val="clear" w:color="auto" w:fill="auto"/>
            <w:vAlign w:val="center"/>
            <w:hideMark/>
          </w:tcPr>
          <w:p w14:paraId="67C905F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hideMark/>
          </w:tcPr>
          <w:p w14:paraId="25F613D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shd w:val="clear" w:color="auto" w:fill="auto"/>
            <w:vAlign w:val="center"/>
            <w:hideMark/>
          </w:tcPr>
          <w:p w14:paraId="6C6413C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hideMark/>
          </w:tcPr>
          <w:p w14:paraId="56573F4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hideMark/>
          </w:tcPr>
          <w:p w14:paraId="6C23C1B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hideMark/>
          </w:tcPr>
          <w:p w14:paraId="32CC50E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5306A667"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hideMark/>
          </w:tcPr>
          <w:p w14:paraId="063E754B"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Lease of electric grid facilities</w:t>
            </w:r>
          </w:p>
        </w:tc>
        <w:tc>
          <w:tcPr>
            <w:tcW w:w="408" w:type="pct"/>
            <w:tcBorders>
              <w:top w:val="nil"/>
              <w:left w:val="nil"/>
              <w:bottom w:val="single" w:sz="4" w:space="0" w:color="auto"/>
              <w:right w:val="single" w:sz="4" w:space="0" w:color="auto"/>
            </w:tcBorders>
            <w:shd w:val="clear" w:color="auto" w:fill="auto"/>
            <w:vAlign w:val="center"/>
            <w:hideMark/>
          </w:tcPr>
          <w:p w14:paraId="252682F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160.00</w:t>
            </w:r>
          </w:p>
        </w:tc>
        <w:tc>
          <w:tcPr>
            <w:tcW w:w="297" w:type="pct"/>
            <w:tcBorders>
              <w:top w:val="nil"/>
              <w:left w:val="nil"/>
              <w:bottom w:val="single" w:sz="4" w:space="0" w:color="auto"/>
              <w:right w:val="single" w:sz="4" w:space="0" w:color="auto"/>
            </w:tcBorders>
            <w:shd w:val="clear" w:color="auto" w:fill="auto"/>
            <w:vAlign w:val="center"/>
            <w:hideMark/>
          </w:tcPr>
          <w:p w14:paraId="517ABA2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shd w:val="clear" w:color="auto" w:fill="auto"/>
            <w:vAlign w:val="center"/>
            <w:hideMark/>
          </w:tcPr>
          <w:p w14:paraId="6C438EF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360.00</w:t>
            </w:r>
          </w:p>
        </w:tc>
        <w:tc>
          <w:tcPr>
            <w:tcW w:w="403" w:type="pct"/>
            <w:tcBorders>
              <w:top w:val="nil"/>
              <w:left w:val="nil"/>
              <w:bottom w:val="single" w:sz="4" w:space="0" w:color="auto"/>
              <w:right w:val="single" w:sz="4" w:space="0" w:color="auto"/>
            </w:tcBorders>
            <w:shd w:val="clear" w:color="auto" w:fill="auto"/>
            <w:vAlign w:val="center"/>
            <w:hideMark/>
          </w:tcPr>
          <w:p w14:paraId="76D10AD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160.30</w:t>
            </w:r>
          </w:p>
        </w:tc>
        <w:tc>
          <w:tcPr>
            <w:tcW w:w="297" w:type="pct"/>
            <w:tcBorders>
              <w:top w:val="nil"/>
              <w:left w:val="nil"/>
              <w:bottom w:val="single" w:sz="4" w:space="0" w:color="auto"/>
              <w:right w:val="single" w:sz="4" w:space="0" w:color="auto"/>
            </w:tcBorders>
            <w:shd w:val="clear" w:color="auto" w:fill="auto"/>
            <w:vAlign w:val="center"/>
            <w:hideMark/>
          </w:tcPr>
          <w:p w14:paraId="4C9A14C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18.70</w:t>
            </w:r>
          </w:p>
        </w:tc>
        <w:tc>
          <w:tcPr>
            <w:tcW w:w="500" w:type="pct"/>
            <w:tcBorders>
              <w:top w:val="nil"/>
              <w:left w:val="nil"/>
              <w:bottom w:val="single" w:sz="4" w:space="0" w:color="auto"/>
              <w:right w:val="single" w:sz="4" w:space="0" w:color="auto"/>
            </w:tcBorders>
            <w:shd w:val="clear" w:color="auto" w:fill="auto"/>
            <w:vAlign w:val="center"/>
            <w:hideMark/>
          </w:tcPr>
          <w:p w14:paraId="4E1AF59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509.80</w:t>
            </w:r>
          </w:p>
        </w:tc>
        <w:tc>
          <w:tcPr>
            <w:tcW w:w="450" w:type="pct"/>
            <w:tcBorders>
              <w:top w:val="nil"/>
              <w:left w:val="nil"/>
              <w:bottom w:val="single" w:sz="4" w:space="0" w:color="auto"/>
              <w:right w:val="single" w:sz="4" w:space="0" w:color="auto"/>
            </w:tcBorders>
            <w:shd w:val="clear" w:color="auto" w:fill="auto"/>
            <w:vAlign w:val="center"/>
            <w:hideMark/>
          </w:tcPr>
          <w:p w14:paraId="7B4BCA7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160.25</w:t>
            </w:r>
          </w:p>
        </w:tc>
        <w:tc>
          <w:tcPr>
            <w:tcW w:w="450" w:type="pct"/>
            <w:tcBorders>
              <w:top w:val="nil"/>
              <w:left w:val="nil"/>
              <w:bottom w:val="single" w:sz="4" w:space="0" w:color="auto"/>
              <w:right w:val="single" w:sz="4" w:space="0" w:color="auto"/>
            </w:tcBorders>
            <w:shd w:val="clear" w:color="auto" w:fill="auto"/>
            <w:vAlign w:val="center"/>
            <w:hideMark/>
          </w:tcPr>
          <w:p w14:paraId="25A3FF3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18.73</w:t>
            </w:r>
          </w:p>
        </w:tc>
        <w:tc>
          <w:tcPr>
            <w:tcW w:w="450" w:type="pct"/>
            <w:tcBorders>
              <w:top w:val="nil"/>
              <w:left w:val="nil"/>
              <w:bottom w:val="single" w:sz="4" w:space="0" w:color="auto"/>
              <w:right w:val="single" w:sz="4" w:space="0" w:color="auto"/>
            </w:tcBorders>
            <w:shd w:val="clear" w:color="auto" w:fill="auto"/>
            <w:vAlign w:val="center"/>
            <w:hideMark/>
          </w:tcPr>
          <w:p w14:paraId="1F81D64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509.76</w:t>
            </w:r>
          </w:p>
        </w:tc>
      </w:tr>
      <w:tr w:rsidR="008A5057" w:rsidRPr="00BD295E" w14:paraId="0F4FEB9D"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hideMark/>
          </w:tcPr>
          <w:p w14:paraId="412AAF3C"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shd w:val="clear" w:color="auto" w:fill="auto"/>
            <w:vAlign w:val="center"/>
            <w:hideMark/>
          </w:tcPr>
          <w:p w14:paraId="1D91674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5.00</w:t>
            </w:r>
          </w:p>
        </w:tc>
        <w:tc>
          <w:tcPr>
            <w:tcW w:w="297" w:type="pct"/>
            <w:tcBorders>
              <w:top w:val="nil"/>
              <w:left w:val="nil"/>
              <w:bottom w:val="single" w:sz="4" w:space="0" w:color="auto"/>
              <w:right w:val="single" w:sz="4" w:space="0" w:color="auto"/>
            </w:tcBorders>
            <w:shd w:val="clear" w:color="auto" w:fill="auto"/>
            <w:vAlign w:val="center"/>
            <w:hideMark/>
          </w:tcPr>
          <w:p w14:paraId="6E3366B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95.00</w:t>
            </w:r>
          </w:p>
        </w:tc>
        <w:tc>
          <w:tcPr>
            <w:tcW w:w="335" w:type="pct"/>
            <w:tcBorders>
              <w:top w:val="nil"/>
              <w:left w:val="nil"/>
              <w:bottom w:val="single" w:sz="4" w:space="0" w:color="auto"/>
              <w:right w:val="single" w:sz="4" w:space="0" w:color="auto"/>
            </w:tcBorders>
            <w:shd w:val="clear" w:color="auto" w:fill="auto"/>
            <w:vAlign w:val="center"/>
            <w:hideMark/>
          </w:tcPr>
          <w:p w14:paraId="44F800C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156.00</w:t>
            </w:r>
          </w:p>
        </w:tc>
        <w:tc>
          <w:tcPr>
            <w:tcW w:w="403" w:type="pct"/>
            <w:tcBorders>
              <w:top w:val="nil"/>
              <w:left w:val="nil"/>
              <w:bottom w:val="single" w:sz="4" w:space="0" w:color="auto"/>
              <w:right w:val="single" w:sz="4" w:space="0" w:color="auto"/>
            </w:tcBorders>
            <w:shd w:val="clear" w:color="auto" w:fill="auto"/>
            <w:vAlign w:val="center"/>
            <w:hideMark/>
          </w:tcPr>
          <w:p w14:paraId="79428FA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5.60</w:t>
            </w:r>
          </w:p>
        </w:tc>
        <w:tc>
          <w:tcPr>
            <w:tcW w:w="297" w:type="pct"/>
            <w:tcBorders>
              <w:top w:val="nil"/>
              <w:left w:val="nil"/>
              <w:bottom w:val="single" w:sz="4" w:space="0" w:color="auto"/>
              <w:right w:val="single" w:sz="4" w:space="0" w:color="auto"/>
            </w:tcBorders>
            <w:shd w:val="clear" w:color="auto" w:fill="auto"/>
            <w:vAlign w:val="center"/>
            <w:hideMark/>
          </w:tcPr>
          <w:p w14:paraId="098E172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110.40</w:t>
            </w:r>
          </w:p>
        </w:tc>
        <w:tc>
          <w:tcPr>
            <w:tcW w:w="500" w:type="pct"/>
            <w:tcBorders>
              <w:top w:val="nil"/>
              <w:left w:val="nil"/>
              <w:bottom w:val="single" w:sz="4" w:space="0" w:color="auto"/>
              <w:right w:val="single" w:sz="4" w:space="0" w:color="auto"/>
            </w:tcBorders>
            <w:shd w:val="clear" w:color="auto" w:fill="auto"/>
            <w:vAlign w:val="center"/>
            <w:hideMark/>
          </w:tcPr>
          <w:p w14:paraId="2B1B9F4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252.50</w:t>
            </w:r>
          </w:p>
        </w:tc>
        <w:tc>
          <w:tcPr>
            <w:tcW w:w="450" w:type="pct"/>
            <w:tcBorders>
              <w:top w:val="nil"/>
              <w:left w:val="nil"/>
              <w:bottom w:val="single" w:sz="4" w:space="0" w:color="auto"/>
              <w:right w:val="single" w:sz="4" w:space="0" w:color="auto"/>
            </w:tcBorders>
            <w:shd w:val="clear" w:color="auto" w:fill="auto"/>
            <w:vAlign w:val="center"/>
            <w:hideMark/>
          </w:tcPr>
          <w:p w14:paraId="5DB9DAF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24.21</w:t>
            </w:r>
          </w:p>
        </w:tc>
        <w:tc>
          <w:tcPr>
            <w:tcW w:w="450" w:type="pct"/>
            <w:tcBorders>
              <w:top w:val="nil"/>
              <w:left w:val="nil"/>
              <w:bottom w:val="single" w:sz="4" w:space="0" w:color="auto"/>
              <w:right w:val="single" w:sz="4" w:space="0" w:color="auto"/>
            </w:tcBorders>
            <w:shd w:val="clear" w:color="auto" w:fill="auto"/>
            <w:vAlign w:val="center"/>
            <w:hideMark/>
          </w:tcPr>
          <w:p w14:paraId="3E11A80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84.76</w:t>
            </w:r>
          </w:p>
        </w:tc>
        <w:tc>
          <w:tcPr>
            <w:tcW w:w="450" w:type="pct"/>
            <w:tcBorders>
              <w:top w:val="nil"/>
              <w:left w:val="nil"/>
              <w:bottom w:val="single" w:sz="4" w:space="0" w:color="auto"/>
              <w:right w:val="single" w:sz="4" w:space="0" w:color="auto"/>
            </w:tcBorders>
            <w:shd w:val="clear" w:color="auto" w:fill="auto"/>
            <w:vAlign w:val="center"/>
            <w:hideMark/>
          </w:tcPr>
          <w:p w14:paraId="4667987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316.36</w:t>
            </w:r>
          </w:p>
        </w:tc>
      </w:tr>
      <w:tr w:rsidR="008A5057" w:rsidRPr="00BD295E" w14:paraId="1D6C2171"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hideMark/>
          </w:tcPr>
          <w:p w14:paraId="080EA13B"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shd w:val="clear" w:color="auto" w:fill="auto"/>
            <w:vAlign w:val="center"/>
            <w:hideMark/>
          </w:tcPr>
          <w:p w14:paraId="344C1AF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hideMark/>
          </w:tcPr>
          <w:p w14:paraId="66B26677"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shd w:val="clear" w:color="auto" w:fill="auto"/>
            <w:vAlign w:val="center"/>
            <w:hideMark/>
          </w:tcPr>
          <w:p w14:paraId="6511D80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shd w:val="clear" w:color="auto" w:fill="auto"/>
            <w:vAlign w:val="center"/>
            <w:hideMark/>
          </w:tcPr>
          <w:p w14:paraId="7899FEA7"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1.40</w:t>
            </w:r>
          </w:p>
        </w:tc>
        <w:tc>
          <w:tcPr>
            <w:tcW w:w="297" w:type="pct"/>
            <w:tcBorders>
              <w:top w:val="nil"/>
              <w:left w:val="nil"/>
              <w:bottom w:val="single" w:sz="4" w:space="0" w:color="auto"/>
              <w:right w:val="single" w:sz="4" w:space="0" w:color="auto"/>
            </w:tcBorders>
            <w:shd w:val="clear" w:color="auto" w:fill="auto"/>
            <w:vAlign w:val="center"/>
            <w:hideMark/>
          </w:tcPr>
          <w:p w14:paraId="46CB32A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9.80</w:t>
            </w:r>
          </w:p>
        </w:tc>
        <w:tc>
          <w:tcPr>
            <w:tcW w:w="500" w:type="pct"/>
            <w:tcBorders>
              <w:top w:val="nil"/>
              <w:left w:val="nil"/>
              <w:bottom w:val="single" w:sz="4" w:space="0" w:color="auto"/>
              <w:right w:val="single" w:sz="4" w:space="0" w:color="auto"/>
            </w:tcBorders>
            <w:shd w:val="clear" w:color="auto" w:fill="auto"/>
            <w:vAlign w:val="center"/>
            <w:hideMark/>
          </w:tcPr>
          <w:p w14:paraId="7C62C60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42.30</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7453A51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47F1B6E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1F01A6E3"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2FDBDFBA"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tcPr>
          <w:p w14:paraId="584BB0C2" w14:textId="77777777" w:rsidR="003760B8" w:rsidRPr="00BD295E" w:rsidRDefault="006515AB" w:rsidP="00906126">
            <w:pPr>
              <w:tabs>
                <w:tab w:val="left" w:pos="993"/>
                <w:tab w:val="left" w:pos="1418"/>
                <w:tab w:val="left" w:pos="1843"/>
                <w:tab w:val="left" w:pos="3119"/>
                <w:tab w:val="left" w:pos="3402"/>
              </w:tabs>
              <w:rPr>
                <w:rFonts w:ascii="Arial" w:hAnsi="Arial" w:cs="Arial"/>
                <w:b/>
                <w:bCs/>
                <w:sz w:val="18"/>
                <w:szCs w:val="18"/>
                <w:lang w:val="en-US"/>
              </w:rPr>
            </w:pPr>
            <w:r w:rsidRPr="00BD295E">
              <w:rPr>
                <w:rFonts w:ascii="Arial" w:hAnsi="Arial" w:cs="Arial"/>
                <w:b/>
                <w:bCs/>
                <w:sz w:val="18"/>
                <w:szCs w:val="18"/>
                <w:lang w:val="en-US"/>
              </w:rPr>
              <w:t>JSC “Saint Petersburg Power Grid”</w:t>
            </w:r>
            <w:r w:rsidR="008A5057" w:rsidRPr="00BD295E">
              <w:rPr>
                <w:rFonts w:ascii="Arial" w:hAnsi="Arial" w:cs="Arial"/>
                <w:b/>
                <w:bCs/>
                <w:sz w:val="18"/>
                <w:szCs w:val="18"/>
                <w:lang w:val="en-US"/>
              </w:rPr>
              <w:t xml:space="preserve"> – Saint Petersburg</w:t>
            </w:r>
          </w:p>
        </w:tc>
        <w:tc>
          <w:tcPr>
            <w:tcW w:w="408" w:type="pct"/>
            <w:tcBorders>
              <w:top w:val="nil"/>
              <w:left w:val="nil"/>
              <w:bottom w:val="single" w:sz="4" w:space="0" w:color="auto"/>
              <w:right w:val="single" w:sz="4" w:space="0" w:color="auto"/>
            </w:tcBorders>
            <w:shd w:val="clear" w:color="auto" w:fill="auto"/>
            <w:vAlign w:val="center"/>
          </w:tcPr>
          <w:p w14:paraId="6AC8F1F8" w14:textId="77777777" w:rsidR="003760B8" w:rsidRPr="00BD295E" w:rsidRDefault="008A5057" w:rsidP="00906126">
            <w:pPr>
              <w:jc w:val="center"/>
              <w:rPr>
                <w:rFonts w:ascii="Arial" w:hAnsi="Arial" w:cs="Arial"/>
                <w:b/>
                <w:sz w:val="18"/>
                <w:szCs w:val="18"/>
                <w:lang w:val="en-US"/>
              </w:rPr>
            </w:pPr>
            <w:r w:rsidRPr="00BD295E">
              <w:rPr>
                <w:rFonts w:ascii="Arial" w:hAnsi="Arial" w:cs="Arial"/>
                <w:b/>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tcPr>
          <w:p w14:paraId="39F79BB9" w14:textId="77777777" w:rsidR="003760B8" w:rsidRPr="00BD295E" w:rsidRDefault="008A5057" w:rsidP="00906126">
            <w:pPr>
              <w:jc w:val="center"/>
              <w:rPr>
                <w:rFonts w:ascii="Arial" w:hAnsi="Arial" w:cs="Arial"/>
                <w:b/>
                <w:sz w:val="18"/>
                <w:szCs w:val="18"/>
                <w:lang w:val="en-US"/>
              </w:rPr>
            </w:pPr>
            <w:r w:rsidRPr="00BD295E">
              <w:rPr>
                <w:rFonts w:ascii="Arial" w:hAnsi="Arial" w:cs="Arial"/>
                <w:b/>
                <w:sz w:val="18"/>
                <w:szCs w:val="18"/>
                <w:lang w:val="en-US"/>
              </w:rPr>
              <w:t>0.00</w:t>
            </w:r>
          </w:p>
        </w:tc>
        <w:tc>
          <w:tcPr>
            <w:tcW w:w="335" w:type="pct"/>
            <w:tcBorders>
              <w:top w:val="nil"/>
              <w:left w:val="nil"/>
              <w:bottom w:val="single" w:sz="4" w:space="0" w:color="auto"/>
              <w:right w:val="single" w:sz="4" w:space="0" w:color="auto"/>
            </w:tcBorders>
            <w:shd w:val="clear" w:color="auto" w:fill="auto"/>
            <w:vAlign w:val="center"/>
          </w:tcPr>
          <w:p w14:paraId="6B1DDFF2" w14:textId="77777777" w:rsidR="003760B8" w:rsidRPr="00BD295E" w:rsidRDefault="008A5057" w:rsidP="00906126">
            <w:pPr>
              <w:jc w:val="center"/>
              <w:rPr>
                <w:rFonts w:ascii="Arial" w:hAnsi="Arial" w:cs="Arial"/>
                <w:b/>
                <w:sz w:val="18"/>
                <w:szCs w:val="18"/>
                <w:lang w:val="en-US"/>
              </w:rPr>
            </w:pPr>
            <w:r w:rsidRPr="00BD295E">
              <w:rPr>
                <w:rFonts w:ascii="Arial" w:hAnsi="Arial" w:cs="Arial"/>
                <w:b/>
                <w:sz w:val="18"/>
                <w:szCs w:val="18"/>
                <w:lang w:val="en-US"/>
              </w:rPr>
              <w:t>0.00</w:t>
            </w:r>
          </w:p>
        </w:tc>
        <w:tc>
          <w:tcPr>
            <w:tcW w:w="403" w:type="pct"/>
            <w:tcBorders>
              <w:top w:val="nil"/>
              <w:left w:val="nil"/>
              <w:bottom w:val="single" w:sz="4" w:space="0" w:color="auto"/>
              <w:right w:val="single" w:sz="4" w:space="0" w:color="auto"/>
            </w:tcBorders>
            <w:shd w:val="clear" w:color="auto" w:fill="auto"/>
            <w:vAlign w:val="center"/>
          </w:tcPr>
          <w:p w14:paraId="74253BA6" w14:textId="77777777" w:rsidR="003760B8" w:rsidRPr="00BD295E" w:rsidRDefault="008A5057" w:rsidP="00906126">
            <w:pPr>
              <w:jc w:val="center"/>
              <w:rPr>
                <w:rFonts w:ascii="Arial" w:hAnsi="Arial" w:cs="Arial"/>
                <w:b/>
                <w:sz w:val="18"/>
                <w:szCs w:val="18"/>
                <w:lang w:val="en-US"/>
              </w:rPr>
            </w:pPr>
            <w:r w:rsidRPr="00BD295E">
              <w:rPr>
                <w:rFonts w:ascii="Arial" w:hAnsi="Arial" w:cs="Arial"/>
                <w:b/>
                <w:sz w:val="18"/>
                <w:szCs w:val="18"/>
                <w:lang w:val="en-US"/>
              </w:rPr>
              <w:t>315.00</w:t>
            </w:r>
          </w:p>
        </w:tc>
        <w:tc>
          <w:tcPr>
            <w:tcW w:w="297" w:type="pct"/>
            <w:tcBorders>
              <w:top w:val="nil"/>
              <w:left w:val="nil"/>
              <w:bottom w:val="single" w:sz="4" w:space="0" w:color="auto"/>
              <w:right w:val="single" w:sz="4" w:space="0" w:color="auto"/>
            </w:tcBorders>
            <w:shd w:val="clear" w:color="auto" w:fill="auto"/>
            <w:vAlign w:val="center"/>
          </w:tcPr>
          <w:p w14:paraId="536E4F82" w14:textId="77777777" w:rsidR="003760B8" w:rsidRPr="00BD295E" w:rsidRDefault="008A5057" w:rsidP="00906126">
            <w:pPr>
              <w:jc w:val="center"/>
              <w:rPr>
                <w:rFonts w:ascii="Arial" w:hAnsi="Arial" w:cs="Arial"/>
                <w:b/>
                <w:sz w:val="18"/>
                <w:szCs w:val="18"/>
                <w:lang w:val="en-US"/>
              </w:rPr>
            </w:pPr>
            <w:r w:rsidRPr="00BD295E">
              <w:rPr>
                <w:rFonts w:ascii="Arial" w:hAnsi="Arial" w:cs="Arial"/>
                <w:b/>
                <w:sz w:val="18"/>
                <w:szCs w:val="18"/>
                <w:lang w:val="en-US"/>
              </w:rPr>
              <w:t>699.30</w:t>
            </w:r>
          </w:p>
        </w:tc>
        <w:tc>
          <w:tcPr>
            <w:tcW w:w="500" w:type="pct"/>
            <w:tcBorders>
              <w:top w:val="nil"/>
              <w:left w:val="nil"/>
              <w:bottom w:val="single" w:sz="4" w:space="0" w:color="auto"/>
              <w:right w:val="single" w:sz="4" w:space="0" w:color="auto"/>
            </w:tcBorders>
            <w:shd w:val="clear" w:color="auto" w:fill="auto"/>
            <w:vAlign w:val="center"/>
          </w:tcPr>
          <w:p w14:paraId="49ECFFF9" w14:textId="77777777" w:rsidR="003760B8" w:rsidRPr="00BD295E" w:rsidRDefault="008A5057" w:rsidP="00906126">
            <w:pPr>
              <w:jc w:val="center"/>
              <w:rPr>
                <w:rFonts w:ascii="Arial" w:hAnsi="Arial" w:cs="Arial"/>
                <w:b/>
                <w:sz w:val="18"/>
                <w:szCs w:val="18"/>
                <w:lang w:val="en-US"/>
              </w:rPr>
            </w:pPr>
            <w:r w:rsidRPr="00BD295E">
              <w:rPr>
                <w:rFonts w:ascii="Arial" w:hAnsi="Arial" w:cs="Arial"/>
                <w:b/>
                <w:sz w:val="18"/>
                <w:szCs w:val="18"/>
                <w:lang w:val="en-US"/>
              </w:rPr>
              <w:t>5,139.40</w:t>
            </w:r>
          </w:p>
        </w:tc>
        <w:tc>
          <w:tcPr>
            <w:tcW w:w="450" w:type="pct"/>
            <w:tcBorders>
              <w:top w:val="nil"/>
              <w:left w:val="nil"/>
              <w:bottom w:val="single" w:sz="4" w:space="0" w:color="auto"/>
              <w:right w:val="single" w:sz="4" w:space="0" w:color="auto"/>
            </w:tcBorders>
            <w:shd w:val="clear" w:color="auto" w:fill="auto"/>
            <w:vAlign w:val="center"/>
          </w:tcPr>
          <w:p w14:paraId="2424D3D1"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322.80</w:t>
            </w:r>
          </w:p>
        </w:tc>
        <w:tc>
          <w:tcPr>
            <w:tcW w:w="450" w:type="pct"/>
            <w:tcBorders>
              <w:top w:val="nil"/>
              <w:left w:val="nil"/>
              <w:bottom w:val="single" w:sz="4" w:space="0" w:color="auto"/>
              <w:right w:val="single" w:sz="4" w:space="0" w:color="auto"/>
            </w:tcBorders>
            <w:shd w:val="clear" w:color="auto" w:fill="auto"/>
            <w:vAlign w:val="center"/>
          </w:tcPr>
          <w:p w14:paraId="33DEC308"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732.30</w:t>
            </w:r>
          </w:p>
        </w:tc>
        <w:tc>
          <w:tcPr>
            <w:tcW w:w="450" w:type="pct"/>
            <w:tcBorders>
              <w:top w:val="nil"/>
              <w:left w:val="nil"/>
              <w:bottom w:val="single" w:sz="4" w:space="0" w:color="auto"/>
              <w:right w:val="single" w:sz="4" w:space="0" w:color="auto"/>
            </w:tcBorders>
            <w:shd w:val="clear" w:color="auto" w:fill="auto"/>
            <w:vAlign w:val="center"/>
          </w:tcPr>
          <w:p w14:paraId="03ECD60A"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7,693.41</w:t>
            </w:r>
          </w:p>
        </w:tc>
      </w:tr>
      <w:tr w:rsidR="008A5057" w:rsidRPr="00BD295E" w14:paraId="1C340200"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tcPr>
          <w:p w14:paraId="2122AED9"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Acquisition of electric grid facilities</w:t>
            </w:r>
          </w:p>
        </w:tc>
        <w:tc>
          <w:tcPr>
            <w:tcW w:w="408" w:type="pct"/>
            <w:tcBorders>
              <w:top w:val="nil"/>
              <w:left w:val="nil"/>
              <w:bottom w:val="single" w:sz="4" w:space="0" w:color="auto"/>
              <w:right w:val="single" w:sz="4" w:space="0" w:color="auto"/>
            </w:tcBorders>
            <w:shd w:val="clear" w:color="auto" w:fill="auto"/>
            <w:vAlign w:val="center"/>
          </w:tcPr>
          <w:p w14:paraId="4A9A913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tcPr>
          <w:p w14:paraId="26C2221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shd w:val="clear" w:color="auto" w:fill="auto"/>
            <w:vAlign w:val="center"/>
          </w:tcPr>
          <w:p w14:paraId="00A33CF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shd w:val="clear" w:color="auto" w:fill="auto"/>
            <w:vAlign w:val="center"/>
          </w:tcPr>
          <w:p w14:paraId="116619A3"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tcPr>
          <w:p w14:paraId="14F2302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shd w:val="clear" w:color="auto" w:fill="auto"/>
            <w:vAlign w:val="center"/>
          </w:tcPr>
          <w:p w14:paraId="2A2DEE0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tcPr>
          <w:p w14:paraId="3F12021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tcPr>
          <w:p w14:paraId="30E6DF4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tcPr>
          <w:p w14:paraId="241030F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565DCB01"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tcPr>
          <w:p w14:paraId="123D744C"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Lease of electric grid facilities</w:t>
            </w:r>
          </w:p>
        </w:tc>
        <w:tc>
          <w:tcPr>
            <w:tcW w:w="408" w:type="pct"/>
            <w:tcBorders>
              <w:top w:val="nil"/>
              <w:left w:val="nil"/>
              <w:bottom w:val="single" w:sz="4" w:space="0" w:color="auto"/>
              <w:right w:val="single" w:sz="4" w:space="0" w:color="auto"/>
            </w:tcBorders>
            <w:shd w:val="clear" w:color="auto" w:fill="auto"/>
            <w:vAlign w:val="center"/>
          </w:tcPr>
          <w:p w14:paraId="5AA3473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tcPr>
          <w:p w14:paraId="44F037B7"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shd w:val="clear" w:color="auto" w:fill="auto"/>
            <w:vAlign w:val="center"/>
          </w:tcPr>
          <w:p w14:paraId="4E96316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shd w:val="clear" w:color="auto" w:fill="auto"/>
            <w:vAlign w:val="center"/>
          </w:tcPr>
          <w:p w14:paraId="72F353E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tcPr>
          <w:p w14:paraId="7BE5AF6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shd w:val="clear" w:color="auto" w:fill="auto"/>
            <w:vAlign w:val="center"/>
          </w:tcPr>
          <w:p w14:paraId="3588274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tcPr>
          <w:p w14:paraId="4358265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tcPr>
          <w:p w14:paraId="27C4878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tcPr>
          <w:p w14:paraId="398FA29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1515B173"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tcPr>
          <w:p w14:paraId="6741D621"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shd w:val="clear" w:color="auto" w:fill="auto"/>
            <w:vAlign w:val="center"/>
          </w:tcPr>
          <w:p w14:paraId="63C097F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tcPr>
          <w:p w14:paraId="6E93A33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shd w:val="clear" w:color="auto" w:fill="auto"/>
            <w:vAlign w:val="center"/>
          </w:tcPr>
          <w:p w14:paraId="30EA75A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shd w:val="clear" w:color="auto" w:fill="auto"/>
            <w:vAlign w:val="center"/>
          </w:tcPr>
          <w:p w14:paraId="2DB0C337"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tcPr>
          <w:p w14:paraId="713DE14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shd w:val="clear" w:color="auto" w:fill="auto"/>
            <w:vAlign w:val="center"/>
          </w:tcPr>
          <w:p w14:paraId="6DF7775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tcPr>
          <w:p w14:paraId="49AB3B9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tcPr>
          <w:p w14:paraId="491B20F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tcPr>
          <w:p w14:paraId="30CBCA1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0F438A20"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tcPr>
          <w:p w14:paraId="7C45465D"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shd w:val="clear" w:color="auto" w:fill="auto"/>
            <w:vAlign w:val="center"/>
          </w:tcPr>
          <w:p w14:paraId="08A969D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tcPr>
          <w:p w14:paraId="664DB03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shd w:val="clear" w:color="auto" w:fill="auto"/>
            <w:vAlign w:val="center"/>
          </w:tcPr>
          <w:p w14:paraId="4D6E5C1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shd w:val="clear" w:color="auto" w:fill="auto"/>
            <w:vAlign w:val="center"/>
          </w:tcPr>
          <w:p w14:paraId="1DD0A37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315.00</w:t>
            </w:r>
          </w:p>
        </w:tc>
        <w:tc>
          <w:tcPr>
            <w:tcW w:w="297" w:type="pct"/>
            <w:tcBorders>
              <w:top w:val="nil"/>
              <w:left w:val="nil"/>
              <w:bottom w:val="single" w:sz="4" w:space="0" w:color="auto"/>
              <w:right w:val="single" w:sz="4" w:space="0" w:color="auto"/>
            </w:tcBorders>
            <w:shd w:val="clear" w:color="auto" w:fill="auto"/>
            <w:vAlign w:val="center"/>
          </w:tcPr>
          <w:p w14:paraId="681C11C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699.30</w:t>
            </w:r>
          </w:p>
        </w:tc>
        <w:tc>
          <w:tcPr>
            <w:tcW w:w="500" w:type="pct"/>
            <w:tcBorders>
              <w:top w:val="nil"/>
              <w:left w:val="nil"/>
              <w:bottom w:val="single" w:sz="4" w:space="0" w:color="auto"/>
              <w:right w:val="single" w:sz="4" w:space="0" w:color="auto"/>
            </w:tcBorders>
            <w:shd w:val="clear" w:color="auto" w:fill="auto"/>
            <w:vAlign w:val="center"/>
          </w:tcPr>
          <w:p w14:paraId="17E1E6D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5,139.40</w:t>
            </w:r>
          </w:p>
        </w:tc>
        <w:tc>
          <w:tcPr>
            <w:tcW w:w="450" w:type="pct"/>
            <w:tcBorders>
              <w:top w:val="nil"/>
              <w:left w:val="nil"/>
              <w:bottom w:val="single" w:sz="4" w:space="0" w:color="auto"/>
              <w:right w:val="single" w:sz="4" w:space="0" w:color="auto"/>
            </w:tcBorders>
            <w:shd w:val="clear" w:color="auto" w:fill="auto"/>
            <w:vAlign w:val="center"/>
          </w:tcPr>
          <w:p w14:paraId="5060A143"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322.80</w:t>
            </w:r>
          </w:p>
        </w:tc>
        <w:tc>
          <w:tcPr>
            <w:tcW w:w="450" w:type="pct"/>
            <w:tcBorders>
              <w:top w:val="nil"/>
              <w:left w:val="nil"/>
              <w:bottom w:val="single" w:sz="4" w:space="0" w:color="auto"/>
              <w:right w:val="single" w:sz="4" w:space="0" w:color="auto"/>
            </w:tcBorders>
            <w:shd w:val="clear" w:color="auto" w:fill="auto"/>
            <w:vAlign w:val="center"/>
          </w:tcPr>
          <w:p w14:paraId="2617702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732.30</w:t>
            </w:r>
          </w:p>
        </w:tc>
        <w:tc>
          <w:tcPr>
            <w:tcW w:w="450" w:type="pct"/>
            <w:tcBorders>
              <w:top w:val="nil"/>
              <w:left w:val="nil"/>
              <w:bottom w:val="single" w:sz="4" w:space="0" w:color="auto"/>
              <w:right w:val="single" w:sz="4" w:space="0" w:color="auto"/>
            </w:tcBorders>
            <w:shd w:val="clear" w:color="auto" w:fill="auto"/>
            <w:vAlign w:val="center"/>
          </w:tcPr>
          <w:p w14:paraId="6C36D98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7,693.41</w:t>
            </w:r>
          </w:p>
        </w:tc>
      </w:tr>
      <w:tr w:rsidR="008A5057" w:rsidRPr="00BD295E" w14:paraId="14D20056" w14:textId="77777777" w:rsidTr="00906126">
        <w:trPr>
          <w:trHeight w:val="255"/>
        </w:trPr>
        <w:tc>
          <w:tcPr>
            <w:tcW w:w="1410" w:type="pct"/>
            <w:tcBorders>
              <w:top w:val="nil"/>
              <w:left w:val="single" w:sz="4" w:space="0" w:color="auto"/>
              <w:bottom w:val="single" w:sz="4" w:space="0" w:color="auto"/>
              <w:right w:val="single" w:sz="4" w:space="0" w:color="auto"/>
            </w:tcBorders>
            <w:shd w:val="clear" w:color="auto" w:fill="auto"/>
            <w:vAlign w:val="center"/>
            <w:hideMark/>
          </w:tcPr>
          <w:p w14:paraId="2D16BA21" w14:textId="77777777" w:rsidR="003760B8" w:rsidRPr="00BD295E" w:rsidRDefault="006515AB"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b/>
                <w:bCs/>
                <w:sz w:val="18"/>
                <w:szCs w:val="18"/>
                <w:lang w:val="en-US"/>
              </w:rPr>
              <w:t>JSC “Tsarskoye Selo Energy Company”</w:t>
            </w:r>
            <w:r w:rsidR="008A5057" w:rsidRPr="00BD295E">
              <w:rPr>
                <w:rFonts w:ascii="Arial" w:hAnsi="Arial" w:cs="Arial"/>
                <w:b/>
                <w:bCs/>
                <w:sz w:val="18"/>
                <w:szCs w:val="18"/>
                <w:lang w:val="en-US"/>
              </w:rPr>
              <w:t xml:space="preserve"> – Saint Petersburg</w:t>
            </w:r>
          </w:p>
        </w:tc>
        <w:tc>
          <w:tcPr>
            <w:tcW w:w="408" w:type="pct"/>
            <w:tcBorders>
              <w:top w:val="nil"/>
              <w:left w:val="nil"/>
              <w:bottom w:val="single" w:sz="4" w:space="0" w:color="auto"/>
              <w:right w:val="single" w:sz="4" w:space="0" w:color="auto"/>
            </w:tcBorders>
            <w:shd w:val="clear" w:color="auto" w:fill="auto"/>
            <w:vAlign w:val="center"/>
            <w:hideMark/>
          </w:tcPr>
          <w:p w14:paraId="5BEF48EC"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hideMark/>
          </w:tcPr>
          <w:p w14:paraId="05CD63C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3.14</w:t>
            </w:r>
          </w:p>
        </w:tc>
        <w:tc>
          <w:tcPr>
            <w:tcW w:w="335" w:type="pct"/>
            <w:tcBorders>
              <w:top w:val="nil"/>
              <w:left w:val="nil"/>
              <w:bottom w:val="single" w:sz="4" w:space="0" w:color="auto"/>
              <w:right w:val="single" w:sz="4" w:space="0" w:color="auto"/>
            </w:tcBorders>
            <w:shd w:val="clear" w:color="auto" w:fill="auto"/>
            <w:vAlign w:val="center"/>
            <w:hideMark/>
          </w:tcPr>
          <w:p w14:paraId="337954D5"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8.48</w:t>
            </w:r>
          </w:p>
        </w:tc>
        <w:tc>
          <w:tcPr>
            <w:tcW w:w="403" w:type="pct"/>
            <w:tcBorders>
              <w:top w:val="nil"/>
              <w:left w:val="nil"/>
              <w:bottom w:val="single" w:sz="4" w:space="0" w:color="auto"/>
              <w:right w:val="single" w:sz="4" w:space="0" w:color="auto"/>
            </w:tcBorders>
            <w:shd w:val="clear" w:color="auto" w:fill="auto"/>
            <w:vAlign w:val="center"/>
            <w:hideMark/>
          </w:tcPr>
          <w:p w14:paraId="50B8482B"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297" w:type="pct"/>
            <w:tcBorders>
              <w:top w:val="nil"/>
              <w:left w:val="nil"/>
              <w:bottom w:val="single" w:sz="4" w:space="0" w:color="auto"/>
              <w:right w:val="single" w:sz="4" w:space="0" w:color="auto"/>
            </w:tcBorders>
            <w:shd w:val="clear" w:color="auto" w:fill="auto"/>
            <w:vAlign w:val="center"/>
            <w:hideMark/>
          </w:tcPr>
          <w:p w14:paraId="48B57CD3"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500" w:type="pct"/>
            <w:tcBorders>
              <w:top w:val="nil"/>
              <w:left w:val="nil"/>
              <w:bottom w:val="single" w:sz="4" w:space="0" w:color="auto"/>
              <w:right w:val="single" w:sz="4" w:space="0" w:color="auto"/>
            </w:tcBorders>
            <w:shd w:val="clear" w:color="auto" w:fill="auto"/>
            <w:vAlign w:val="center"/>
            <w:hideMark/>
          </w:tcPr>
          <w:p w14:paraId="7582975F"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hideMark/>
          </w:tcPr>
          <w:p w14:paraId="2DF606DB"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hideMark/>
          </w:tcPr>
          <w:p w14:paraId="5271D66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450" w:type="pct"/>
            <w:tcBorders>
              <w:top w:val="nil"/>
              <w:left w:val="nil"/>
              <w:bottom w:val="single" w:sz="4" w:space="0" w:color="auto"/>
              <w:right w:val="single" w:sz="4" w:space="0" w:color="auto"/>
            </w:tcBorders>
            <w:shd w:val="clear" w:color="auto" w:fill="auto"/>
            <w:vAlign w:val="center"/>
            <w:hideMark/>
          </w:tcPr>
          <w:p w14:paraId="743AF4E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r>
      <w:tr w:rsidR="008A5057" w:rsidRPr="00BD295E" w14:paraId="737DB346"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5763A28E"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Acquisition of electric grid facilities</w:t>
            </w:r>
          </w:p>
        </w:tc>
        <w:tc>
          <w:tcPr>
            <w:tcW w:w="408" w:type="pct"/>
            <w:tcBorders>
              <w:top w:val="nil"/>
              <w:left w:val="nil"/>
              <w:bottom w:val="single" w:sz="4" w:space="0" w:color="auto"/>
              <w:right w:val="single" w:sz="4" w:space="0" w:color="auto"/>
            </w:tcBorders>
            <w:vAlign w:val="center"/>
            <w:hideMark/>
          </w:tcPr>
          <w:p w14:paraId="24600E1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1409161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3.14</w:t>
            </w:r>
          </w:p>
        </w:tc>
        <w:tc>
          <w:tcPr>
            <w:tcW w:w="335" w:type="pct"/>
            <w:tcBorders>
              <w:top w:val="nil"/>
              <w:left w:val="nil"/>
              <w:bottom w:val="single" w:sz="4" w:space="0" w:color="auto"/>
              <w:right w:val="single" w:sz="4" w:space="0" w:color="auto"/>
            </w:tcBorders>
            <w:vAlign w:val="center"/>
            <w:hideMark/>
          </w:tcPr>
          <w:p w14:paraId="3BA06D3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8.48</w:t>
            </w:r>
          </w:p>
        </w:tc>
        <w:tc>
          <w:tcPr>
            <w:tcW w:w="403" w:type="pct"/>
            <w:tcBorders>
              <w:top w:val="nil"/>
              <w:left w:val="nil"/>
              <w:bottom w:val="single" w:sz="4" w:space="0" w:color="auto"/>
              <w:right w:val="single" w:sz="4" w:space="0" w:color="auto"/>
            </w:tcBorders>
            <w:vAlign w:val="center"/>
            <w:hideMark/>
          </w:tcPr>
          <w:p w14:paraId="148B4F3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3F6AE89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0368D89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684B0C59"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2225A23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18CC5FA3"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527D93B9"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38537413"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Lease of electric grid facilities</w:t>
            </w:r>
          </w:p>
        </w:tc>
        <w:tc>
          <w:tcPr>
            <w:tcW w:w="408" w:type="pct"/>
            <w:tcBorders>
              <w:top w:val="nil"/>
              <w:left w:val="nil"/>
              <w:bottom w:val="single" w:sz="4" w:space="0" w:color="auto"/>
              <w:right w:val="single" w:sz="4" w:space="0" w:color="auto"/>
            </w:tcBorders>
            <w:vAlign w:val="center"/>
            <w:hideMark/>
          </w:tcPr>
          <w:p w14:paraId="7498C94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246D9FF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vAlign w:val="center"/>
            <w:hideMark/>
          </w:tcPr>
          <w:p w14:paraId="1C9EF9E3"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vAlign w:val="center"/>
            <w:hideMark/>
          </w:tcPr>
          <w:p w14:paraId="19E5388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09B7772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5E63E02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389AF3B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2B855CA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36400E9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023ADB9E"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3698EF42"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vAlign w:val="center"/>
            <w:hideMark/>
          </w:tcPr>
          <w:p w14:paraId="241F82A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67E42C0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vAlign w:val="center"/>
            <w:hideMark/>
          </w:tcPr>
          <w:p w14:paraId="377A60A3"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vAlign w:val="center"/>
            <w:hideMark/>
          </w:tcPr>
          <w:p w14:paraId="6CDA215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073E9F97"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087D1D5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42DADF3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61B1B6D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79C1287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6B879F8B"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2707E34A"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vAlign w:val="center"/>
            <w:hideMark/>
          </w:tcPr>
          <w:p w14:paraId="74A74BC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5112DD1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vAlign w:val="center"/>
            <w:hideMark/>
          </w:tcPr>
          <w:p w14:paraId="5BB9C13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vAlign w:val="center"/>
            <w:hideMark/>
          </w:tcPr>
          <w:p w14:paraId="0035EB05"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297" w:type="pct"/>
            <w:tcBorders>
              <w:top w:val="nil"/>
              <w:left w:val="nil"/>
              <w:bottom w:val="single" w:sz="4" w:space="0" w:color="auto"/>
              <w:right w:val="single" w:sz="4" w:space="0" w:color="auto"/>
            </w:tcBorders>
            <w:vAlign w:val="center"/>
            <w:hideMark/>
          </w:tcPr>
          <w:p w14:paraId="2F85CD59"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500" w:type="pct"/>
            <w:tcBorders>
              <w:top w:val="nil"/>
              <w:left w:val="nil"/>
              <w:bottom w:val="single" w:sz="4" w:space="0" w:color="auto"/>
              <w:right w:val="single" w:sz="4" w:space="0" w:color="auto"/>
            </w:tcBorders>
            <w:vAlign w:val="center"/>
            <w:hideMark/>
          </w:tcPr>
          <w:p w14:paraId="3B23A175"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450" w:type="pct"/>
            <w:tcBorders>
              <w:top w:val="nil"/>
              <w:left w:val="nil"/>
              <w:bottom w:val="single" w:sz="4" w:space="0" w:color="auto"/>
              <w:right w:val="single" w:sz="4" w:space="0" w:color="auto"/>
            </w:tcBorders>
            <w:vAlign w:val="center"/>
            <w:hideMark/>
          </w:tcPr>
          <w:p w14:paraId="60F5CA5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506128DA"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3A690F9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r>
      <w:tr w:rsidR="008A5057" w:rsidRPr="00BD295E" w14:paraId="17E6C2CD"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4D007E39" w14:textId="77777777" w:rsidR="003760B8" w:rsidRPr="00BD295E" w:rsidRDefault="006515AB"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b/>
                <w:bCs/>
                <w:sz w:val="18"/>
                <w:szCs w:val="18"/>
                <w:lang w:val="en-US"/>
              </w:rPr>
              <w:t>JSC “Kurortenergo”</w:t>
            </w:r>
            <w:r w:rsidR="008A5057" w:rsidRPr="00BD295E">
              <w:rPr>
                <w:rFonts w:ascii="Arial" w:hAnsi="Arial" w:cs="Arial"/>
                <w:b/>
                <w:bCs/>
                <w:sz w:val="18"/>
                <w:szCs w:val="18"/>
                <w:lang w:val="en-US"/>
              </w:rPr>
              <w:t xml:space="preserve"> – Saint Petersburg</w:t>
            </w:r>
          </w:p>
        </w:tc>
        <w:tc>
          <w:tcPr>
            <w:tcW w:w="408" w:type="pct"/>
            <w:tcBorders>
              <w:top w:val="nil"/>
              <w:left w:val="nil"/>
              <w:bottom w:val="single" w:sz="4" w:space="0" w:color="auto"/>
              <w:right w:val="single" w:sz="4" w:space="0" w:color="auto"/>
            </w:tcBorders>
            <w:vAlign w:val="center"/>
            <w:hideMark/>
          </w:tcPr>
          <w:p w14:paraId="26F72BBF"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3.43</w:t>
            </w:r>
          </w:p>
        </w:tc>
        <w:tc>
          <w:tcPr>
            <w:tcW w:w="297" w:type="pct"/>
            <w:tcBorders>
              <w:top w:val="nil"/>
              <w:left w:val="nil"/>
              <w:bottom w:val="single" w:sz="4" w:space="0" w:color="auto"/>
              <w:right w:val="single" w:sz="4" w:space="0" w:color="auto"/>
            </w:tcBorders>
            <w:vAlign w:val="center"/>
            <w:hideMark/>
          </w:tcPr>
          <w:p w14:paraId="73560C7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0.25</w:t>
            </w:r>
          </w:p>
        </w:tc>
        <w:tc>
          <w:tcPr>
            <w:tcW w:w="335" w:type="pct"/>
            <w:tcBorders>
              <w:top w:val="nil"/>
              <w:left w:val="nil"/>
              <w:bottom w:val="single" w:sz="4" w:space="0" w:color="auto"/>
              <w:right w:val="single" w:sz="4" w:space="0" w:color="auto"/>
            </w:tcBorders>
            <w:vAlign w:val="center"/>
            <w:hideMark/>
          </w:tcPr>
          <w:p w14:paraId="4728EF0C"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0.88</w:t>
            </w:r>
          </w:p>
        </w:tc>
        <w:tc>
          <w:tcPr>
            <w:tcW w:w="403" w:type="pct"/>
            <w:tcBorders>
              <w:top w:val="nil"/>
              <w:left w:val="nil"/>
              <w:bottom w:val="single" w:sz="4" w:space="0" w:color="auto"/>
              <w:right w:val="single" w:sz="4" w:space="0" w:color="auto"/>
            </w:tcBorders>
            <w:vAlign w:val="center"/>
            <w:hideMark/>
          </w:tcPr>
          <w:p w14:paraId="086773A8"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0.00</w:t>
            </w:r>
          </w:p>
        </w:tc>
        <w:tc>
          <w:tcPr>
            <w:tcW w:w="297" w:type="pct"/>
            <w:tcBorders>
              <w:top w:val="nil"/>
              <w:left w:val="nil"/>
              <w:bottom w:val="single" w:sz="4" w:space="0" w:color="auto"/>
              <w:right w:val="single" w:sz="4" w:space="0" w:color="auto"/>
            </w:tcBorders>
            <w:vAlign w:val="center"/>
            <w:hideMark/>
          </w:tcPr>
          <w:p w14:paraId="03CCB4C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26.70</w:t>
            </w:r>
          </w:p>
        </w:tc>
        <w:tc>
          <w:tcPr>
            <w:tcW w:w="500" w:type="pct"/>
            <w:tcBorders>
              <w:top w:val="nil"/>
              <w:left w:val="nil"/>
              <w:bottom w:val="single" w:sz="4" w:space="0" w:color="auto"/>
              <w:right w:val="single" w:sz="4" w:space="0" w:color="auto"/>
            </w:tcBorders>
            <w:vAlign w:val="center"/>
            <w:hideMark/>
          </w:tcPr>
          <w:p w14:paraId="5F3FC102"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71.00</w:t>
            </w:r>
          </w:p>
        </w:tc>
        <w:tc>
          <w:tcPr>
            <w:tcW w:w="450" w:type="pct"/>
            <w:tcBorders>
              <w:top w:val="nil"/>
              <w:left w:val="nil"/>
              <w:bottom w:val="single" w:sz="4" w:space="0" w:color="auto"/>
              <w:right w:val="single" w:sz="4" w:space="0" w:color="auto"/>
            </w:tcBorders>
            <w:vAlign w:val="center"/>
            <w:hideMark/>
          </w:tcPr>
          <w:p w14:paraId="2BDC4298"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0.40</w:t>
            </w:r>
          </w:p>
        </w:tc>
        <w:tc>
          <w:tcPr>
            <w:tcW w:w="450" w:type="pct"/>
            <w:tcBorders>
              <w:top w:val="nil"/>
              <w:left w:val="nil"/>
              <w:bottom w:val="single" w:sz="4" w:space="0" w:color="auto"/>
              <w:right w:val="single" w:sz="4" w:space="0" w:color="auto"/>
            </w:tcBorders>
            <w:vAlign w:val="center"/>
            <w:hideMark/>
          </w:tcPr>
          <w:p w14:paraId="3BF38508"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5.62</w:t>
            </w:r>
          </w:p>
        </w:tc>
        <w:tc>
          <w:tcPr>
            <w:tcW w:w="450" w:type="pct"/>
            <w:tcBorders>
              <w:top w:val="nil"/>
              <w:left w:val="nil"/>
              <w:bottom w:val="single" w:sz="4" w:space="0" w:color="auto"/>
              <w:right w:val="single" w:sz="4" w:space="0" w:color="auto"/>
            </w:tcBorders>
            <w:vAlign w:val="center"/>
            <w:hideMark/>
          </w:tcPr>
          <w:p w14:paraId="08434626" w14:textId="77777777" w:rsidR="003760B8" w:rsidRPr="00BD295E" w:rsidRDefault="008A5057" w:rsidP="00906126">
            <w:pPr>
              <w:jc w:val="center"/>
              <w:rPr>
                <w:rFonts w:ascii="Arial" w:hAnsi="Arial" w:cs="Arial"/>
                <w:b/>
                <w:bCs/>
                <w:sz w:val="18"/>
                <w:szCs w:val="18"/>
                <w:lang w:val="en-US"/>
              </w:rPr>
            </w:pPr>
            <w:r w:rsidRPr="00BD295E">
              <w:rPr>
                <w:rFonts w:ascii="Arial" w:hAnsi="Arial" w:cs="Arial"/>
                <w:b/>
                <w:bCs/>
                <w:sz w:val="18"/>
                <w:szCs w:val="18"/>
                <w:lang w:val="en-US"/>
              </w:rPr>
              <w:t>24.72</w:t>
            </w:r>
          </w:p>
        </w:tc>
      </w:tr>
      <w:tr w:rsidR="008A5057" w:rsidRPr="00BD295E" w14:paraId="71FE12B2"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0ACBDF49"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Acquisition of electric grid facilities</w:t>
            </w:r>
          </w:p>
        </w:tc>
        <w:tc>
          <w:tcPr>
            <w:tcW w:w="408" w:type="pct"/>
            <w:tcBorders>
              <w:top w:val="nil"/>
              <w:left w:val="nil"/>
              <w:bottom w:val="single" w:sz="4" w:space="0" w:color="auto"/>
              <w:right w:val="single" w:sz="4" w:space="0" w:color="auto"/>
            </w:tcBorders>
            <w:vAlign w:val="center"/>
            <w:hideMark/>
          </w:tcPr>
          <w:p w14:paraId="4A419875"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3.43</w:t>
            </w:r>
          </w:p>
        </w:tc>
        <w:tc>
          <w:tcPr>
            <w:tcW w:w="297" w:type="pct"/>
            <w:tcBorders>
              <w:top w:val="nil"/>
              <w:left w:val="nil"/>
              <w:bottom w:val="single" w:sz="4" w:space="0" w:color="auto"/>
              <w:right w:val="single" w:sz="4" w:space="0" w:color="auto"/>
            </w:tcBorders>
            <w:vAlign w:val="center"/>
            <w:hideMark/>
          </w:tcPr>
          <w:p w14:paraId="5182AF66"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0.25</w:t>
            </w:r>
          </w:p>
        </w:tc>
        <w:tc>
          <w:tcPr>
            <w:tcW w:w="335" w:type="pct"/>
            <w:tcBorders>
              <w:top w:val="nil"/>
              <w:left w:val="nil"/>
              <w:bottom w:val="single" w:sz="4" w:space="0" w:color="auto"/>
              <w:right w:val="single" w:sz="4" w:space="0" w:color="auto"/>
            </w:tcBorders>
            <w:vAlign w:val="center"/>
            <w:hideMark/>
          </w:tcPr>
          <w:p w14:paraId="1D8FAF4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0.88</w:t>
            </w:r>
          </w:p>
        </w:tc>
        <w:tc>
          <w:tcPr>
            <w:tcW w:w="403" w:type="pct"/>
            <w:tcBorders>
              <w:top w:val="nil"/>
              <w:left w:val="nil"/>
              <w:bottom w:val="single" w:sz="4" w:space="0" w:color="auto"/>
              <w:right w:val="single" w:sz="4" w:space="0" w:color="auto"/>
            </w:tcBorders>
            <w:vAlign w:val="center"/>
            <w:hideMark/>
          </w:tcPr>
          <w:p w14:paraId="2C44EF3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6B9B084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359A1F3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74ACE92E" w14:textId="77777777" w:rsidR="003760B8" w:rsidRPr="00BD295E" w:rsidRDefault="008A5057" w:rsidP="00906126">
            <w:pPr>
              <w:jc w:val="center"/>
              <w:rPr>
                <w:rFonts w:ascii="Arial" w:hAnsi="Arial" w:cs="Arial"/>
                <w:bCs/>
                <w:sz w:val="18"/>
                <w:szCs w:val="18"/>
                <w:lang w:val="en-US"/>
              </w:rPr>
            </w:pPr>
            <w:r w:rsidRPr="00BD295E">
              <w:rPr>
                <w:rFonts w:ascii="Arial" w:hAnsi="Arial" w:cs="Arial"/>
                <w:bCs/>
                <w:sz w:val="18"/>
                <w:szCs w:val="18"/>
                <w:lang w:val="en-US"/>
              </w:rPr>
              <w:t>0.00</w:t>
            </w:r>
          </w:p>
        </w:tc>
        <w:tc>
          <w:tcPr>
            <w:tcW w:w="450" w:type="pct"/>
            <w:tcBorders>
              <w:top w:val="nil"/>
              <w:left w:val="nil"/>
              <w:bottom w:val="single" w:sz="4" w:space="0" w:color="auto"/>
              <w:right w:val="single" w:sz="4" w:space="0" w:color="auto"/>
            </w:tcBorders>
            <w:vAlign w:val="center"/>
            <w:hideMark/>
          </w:tcPr>
          <w:p w14:paraId="287A863E" w14:textId="77777777" w:rsidR="003760B8" w:rsidRPr="00BD295E" w:rsidRDefault="008A5057" w:rsidP="00906126">
            <w:pPr>
              <w:jc w:val="center"/>
              <w:rPr>
                <w:rFonts w:ascii="Arial" w:hAnsi="Arial" w:cs="Arial"/>
                <w:bCs/>
                <w:sz w:val="18"/>
                <w:szCs w:val="18"/>
                <w:lang w:val="en-US"/>
              </w:rPr>
            </w:pPr>
            <w:r w:rsidRPr="00BD295E">
              <w:rPr>
                <w:rFonts w:ascii="Arial" w:hAnsi="Arial" w:cs="Arial"/>
                <w:bCs/>
                <w:sz w:val="18"/>
                <w:szCs w:val="18"/>
                <w:lang w:val="en-US"/>
              </w:rPr>
              <w:t>0.00</w:t>
            </w:r>
          </w:p>
        </w:tc>
        <w:tc>
          <w:tcPr>
            <w:tcW w:w="450" w:type="pct"/>
            <w:tcBorders>
              <w:top w:val="nil"/>
              <w:left w:val="nil"/>
              <w:bottom w:val="single" w:sz="4" w:space="0" w:color="auto"/>
              <w:right w:val="single" w:sz="4" w:space="0" w:color="auto"/>
            </w:tcBorders>
            <w:vAlign w:val="center"/>
            <w:hideMark/>
          </w:tcPr>
          <w:p w14:paraId="7F7CCE2A" w14:textId="77777777" w:rsidR="003760B8" w:rsidRPr="00BD295E" w:rsidRDefault="008A5057" w:rsidP="00906126">
            <w:pPr>
              <w:jc w:val="center"/>
              <w:rPr>
                <w:rFonts w:ascii="Arial" w:hAnsi="Arial" w:cs="Arial"/>
                <w:bCs/>
                <w:sz w:val="18"/>
                <w:szCs w:val="18"/>
                <w:lang w:val="en-US"/>
              </w:rPr>
            </w:pPr>
            <w:r w:rsidRPr="00BD295E">
              <w:rPr>
                <w:rFonts w:ascii="Arial" w:hAnsi="Arial" w:cs="Arial"/>
                <w:bCs/>
                <w:sz w:val="18"/>
                <w:szCs w:val="18"/>
                <w:lang w:val="en-US"/>
              </w:rPr>
              <w:t>0.00</w:t>
            </w:r>
          </w:p>
        </w:tc>
      </w:tr>
      <w:tr w:rsidR="008A5057" w:rsidRPr="00BD295E" w14:paraId="3767B678"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3B20372B"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Lease of electric grid facilities</w:t>
            </w:r>
          </w:p>
        </w:tc>
        <w:tc>
          <w:tcPr>
            <w:tcW w:w="408" w:type="pct"/>
            <w:tcBorders>
              <w:top w:val="nil"/>
              <w:left w:val="nil"/>
              <w:bottom w:val="single" w:sz="4" w:space="0" w:color="auto"/>
              <w:right w:val="single" w:sz="4" w:space="0" w:color="auto"/>
            </w:tcBorders>
            <w:vAlign w:val="center"/>
            <w:hideMark/>
          </w:tcPr>
          <w:p w14:paraId="5DF133E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09600E9E"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vAlign w:val="center"/>
            <w:hideMark/>
          </w:tcPr>
          <w:p w14:paraId="451D68A3"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vAlign w:val="center"/>
            <w:hideMark/>
          </w:tcPr>
          <w:p w14:paraId="1444199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1397AB87"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3C9C0773"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48D6A377" w14:textId="77777777" w:rsidR="003760B8" w:rsidRPr="00BD295E" w:rsidRDefault="008A5057" w:rsidP="00906126">
            <w:pPr>
              <w:jc w:val="center"/>
              <w:rPr>
                <w:rFonts w:ascii="Arial" w:hAnsi="Arial" w:cs="Arial"/>
                <w:bCs/>
                <w:sz w:val="18"/>
                <w:szCs w:val="18"/>
                <w:lang w:val="en-US"/>
              </w:rPr>
            </w:pPr>
            <w:r w:rsidRPr="00BD295E">
              <w:rPr>
                <w:rFonts w:ascii="Arial" w:hAnsi="Arial" w:cs="Arial"/>
                <w:bCs/>
                <w:sz w:val="18"/>
                <w:szCs w:val="18"/>
                <w:lang w:val="en-US"/>
              </w:rPr>
              <w:t>0.00</w:t>
            </w:r>
          </w:p>
        </w:tc>
        <w:tc>
          <w:tcPr>
            <w:tcW w:w="450" w:type="pct"/>
            <w:tcBorders>
              <w:top w:val="nil"/>
              <w:left w:val="nil"/>
              <w:bottom w:val="single" w:sz="4" w:space="0" w:color="auto"/>
              <w:right w:val="single" w:sz="4" w:space="0" w:color="auto"/>
            </w:tcBorders>
            <w:vAlign w:val="center"/>
            <w:hideMark/>
          </w:tcPr>
          <w:p w14:paraId="6D49DA27" w14:textId="77777777" w:rsidR="003760B8" w:rsidRPr="00BD295E" w:rsidRDefault="008A5057" w:rsidP="00906126">
            <w:pPr>
              <w:jc w:val="center"/>
              <w:rPr>
                <w:rFonts w:ascii="Arial" w:hAnsi="Arial" w:cs="Arial"/>
                <w:bCs/>
                <w:sz w:val="18"/>
                <w:szCs w:val="18"/>
                <w:lang w:val="en-US"/>
              </w:rPr>
            </w:pPr>
            <w:r w:rsidRPr="00BD295E">
              <w:rPr>
                <w:rFonts w:ascii="Arial" w:hAnsi="Arial" w:cs="Arial"/>
                <w:bCs/>
                <w:sz w:val="18"/>
                <w:szCs w:val="18"/>
                <w:lang w:val="en-US"/>
              </w:rPr>
              <w:t>0.00</w:t>
            </w:r>
          </w:p>
        </w:tc>
        <w:tc>
          <w:tcPr>
            <w:tcW w:w="450" w:type="pct"/>
            <w:tcBorders>
              <w:top w:val="nil"/>
              <w:left w:val="nil"/>
              <w:bottom w:val="single" w:sz="4" w:space="0" w:color="auto"/>
              <w:right w:val="single" w:sz="4" w:space="0" w:color="auto"/>
            </w:tcBorders>
            <w:vAlign w:val="center"/>
            <w:hideMark/>
          </w:tcPr>
          <w:p w14:paraId="454306C6" w14:textId="77777777" w:rsidR="003760B8" w:rsidRPr="00BD295E" w:rsidRDefault="008A5057" w:rsidP="00906126">
            <w:pPr>
              <w:jc w:val="center"/>
              <w:rPr>
                <w:rFonts w:ascii="Arial" w:hAnsi="Arial" w:cs="Arial"/>
                <w:bCs/>
                <w:sz w:val="18"/>
                <w:szCs w:val="18"/>
                <w:lang w:val="en-US"/>
              </w:rPr>
            </w:pPr>
            <w:r w:rsidRPr="00BD295E">
              <w:rPr>
                <w:rFonts w:ascii="Arial" w:hAnsi="Arial" w:cs="Arial"/>
                <w:bCs/>
                <w:sz w:val="18"/>
                <w:szCs w:val="18"/>
                <w:lang w:val="en-US"/>
              </w:rPr>
              <w:t>0.00</w:t>
            </w:r>
          </w:p>
        </w:tc>
      </w:tr>
      <w:tr w:rsidR="008A5057" w:rsidRPr="00BD295E" w14:paraId="44B58D3F"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20CFD996"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vAlign w:val="center"/>
            <w:hideMark/>
          </w:tcPr>
          <w:p w14:paraId="60DB079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4DBFEDBF"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vAlign w:val="center"/>
            <w:hideMark/>
          </w:tcPr>
          <w:p w14:paraId="57109ED0"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vAlign w:val="center"/>
            <w:hideMark/>
          </w:tcPr>
          <w:p w14:paraId="33A97704"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0747AC0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26.70</w:t>
            </w:r>
          </w:p>
        </w:tc>
        <w:tc>
          <w:tcPr>
            <w:tcW w:w="500" w:type="pct"/>
            <w:tcBorders>
              <w:top w:val="nil"/>
              <w:left w:val="nil"/>
              <w:bottom w:val="single" w:sz="4" w:space="0" w:color="auto"/>
              <w:right w:val="single" w:sz="4" w:space="0" w:color="auto"/>
            </w:tcBorders>
            <w:vAlign w:val="center"/>
            <w:hideMark/>
          </w:tcPr>
          <w:p w14:paraId="63A008C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71.00</w:t>
            </w:r>
          </w:p>
        </w:tc>
        <w:tc>
          <w:tcPr>
            <w:tcW w:w="450" w:type="pct"/>
            <w:tcBorders>
              <w:top w:val="nil"/>
              <w:left w:val="nil"/>
              <w:bottom w:val="single" w:sz="4" w:space="0" w:color="auto"/>
              <w:right w:val="single" w:sz="4" w:space="0" w:color="auto"/>
            </w:tcBorders>
            <w:vAlign w:val="center"/>
            <w:hideMark/>
          </w:tcPr>
          <w:p w14:paraId="0D7E5C0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0.40</w:t>
            </w:r>
          </w:p>
        </w:tc>
        <w:tc>
          <w:tcPr>
            <w:tcW w:w="450" w:type="pct"/>
            <w:tcBorders>
              <w:top w:val="nil"/>
              <w:left w:val="nil"/>
              <w:bottom w:val="single" w:sz="4" w:space="0" w:color="auto"/>
              <w:right w:val="single" w:sz="4" w:space="0" w:color="auto"/>
            </w:tcBorders>
            <w:vAlign w:val="center"/>
            <w:hideMark/>
          </w:tcPr>
          <w:p w14:paraId="439DD4FB"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5.62</w:t>
            </w:r>
          </w:p>
        </w:tc>
        <w:tc>
          <w:tcPr>
            <w:tcW w:w="450" w:type="pct"/>
            <w:tcBorders>
              <w:top w:val="nil"/>
              <w:left w:val="nil"/>
              <w:bottom w:val="single" w:sz="4" w:space="0" w:color="auto"/>
              <w:right w:val="single" w:sz="4" w:space="0" w:color="auto"/>
            </w:tcBorders>
            <w:vAlign w:val="center"/>
            <w:hideMark/>
          </w:tcPr>
          <w:p w14:paraId="190089DC"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24.72</w:t>
            </w:r>
          </w:p>
        </w:tc>
      </w:tr>
      <w:tr w:rsidR="008A5057" w:rsidRPr="00BD295E" w14:paraId="044AFF73" w14:textId="77777777" w:rsidTr="00906126">
        <w:trPr>
          <w:trHeight w:val="255"/>
        </w:trPr>
        <w:tc>
          <w:tcPr>
            <w:tcW w:w="1410" w:type="pct"/>
            <w:tcBorders>
              <w:top w:val="nil"/>
              <w:left w:val="single" w:sz="4" w:space="0" w:color="auto"/>
              <w:bottom w:val="single" w:sz="4" w:space="0" w:color="auto"/>
              <w:right w:val="single" w:sz="4" w:space="0" w:color="auto"/>
            </w:tcBorders>
            <w:vAlign w:val="center"/>
            <w:hideMark/>
          </w:tcPr>
          <w:p w14:paraId="03F878F1" w14:textId="77777777" w:rsidR="003760B8" w:rsidRPr="00BD295E" w:rsidRDefault="008A5057" w:rsidP="00906126">
            <w:pPr>
              <w:tabs>
                <w:tab w:val="left" w:pos="993"/>
                <w:tab w:val="left" w:pos="1418"/>
                <w:tab w:val="left" w:pos="1843"/>
                <w:tab w:val="left" w:pos="3119"/>
                <w:tab w:val="left" w:pos="3402"/>
              </w:tabs>
              <w:rPr>
                <w:rFonts w:ascii="Arial" w:hAnsi="Arial" w:cs="Arial"/>
                <w:sz w:val="18"/>
                <w:szCs w:val="18"/>
                <w:lang w:val="en-US"/>
              </w:rPr>
            </w:pPr>
            <w:r w:rsidRPr="00BD295E">
              <w:rPr>
                <w:rFonts w:ascii="Arial" w:hAnsi="Arial" w:cs="Arial"/>
                <w:sz w:val="18"/>
                <w:szCs w:val="18"/>
                <w:lang w:val="en-US"/>
              </w:rPr>
              <w:t>Other (permanent rights of possession and use)</w:t>
            </w:r>
          </w:p>
        </w:tc>
        <w:tc>
          <w:tcPr>
            <w:tcW w:w="408" w:type="pct"/>
            <w:tcBorders>
              <w:top w:val="nil"/>
              <w:left w:val="nil"/>
              <w:bottom w:val="single" w:sz="4" w:space="0" w:color="auto"/>
              <w:right w:val="single" w:sz="4" w:space="0" w:color="auto"/>
            </w:tcBorders>
            <w:vAlign w:val="center"/>
            <w:hideMark/>
          </w:tcPr>
          <w:p w14:paraId="6E445AD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4F5EBBA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335" w:type="pct"/>
            <w:tcBorders>
              <w:top w:val="nil"/>
              <w:left w:val="nil"/>
              <w:bottom w:val="single" w:sz="4" w:space="0" w:color="auto"/>
              <w:right w:val="single" w:sz="4" w:space="0" w:color="auto"/>
            </w:tcBorders>
            <w:vAlign w:val="center"/>
            <w:hideMark/>
          </w:tcPr>
          <w:p w14:paraId="0052011D"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03" w:type="pct"/>
            <w:tcBorders>
              <w:top w:val="nil"/>
              <w:left w:val="nil"/>
              <w:bottom w:val="single" w:sz="4" w:space="0" w:color="auto"/>
              <w:right w:val="single" w:sz="4" w:space="0" w:color="auto"/>
            </w:tcBorders>
            <w:vAlign w:val="center"/>
            <w:hideMark/>
          </w:tcPr>
          <w:p w14:paraId="65016A48"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297" w:type="pct"/>
            <w:tcBorders>
              <w:top w:val="nil"/>
              <w:left w:val="nil"/>
              <w:bottom w:val="single" w:sz="4" w:space="0" w:color="auto"/>
              <w:right w:val="single" w:sz="4" w:space="0" w:color="auto"/>
            </w:tcBorders>
            <w:vAlign w:val="center"/>
            <w:hideMark/>
          </w:tcPr>
          <w:p w14:paraId="02574792"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500" w:type="pct"/>
            <w:tcBorders>
              <w:top w:val="nil"/>
              <w:left w:val="nil"/>
              <w:bottom w:val="single" w:sz="4" w:space="0" w:color="auto"/>
              <w:right w:val="single" w:sz="4" w:space="0" w:color="auto"/>
            </w:tcBorders>
            <w:vAlign w:val="center"/>
            <w:hideMark/>
          </w:tcPr>
          <w:p w14:paraId="69614DC1" w14:textId="77777777" w:rsidR="003760B8" w:rsidRPr="00BD295E" w:rsidRDefault="008A5057" w:rsidP="00906126">
            <w:pPr>
              <w:jc w:val="center"/>
              <w:rPr>
                <w:rFonts w:ascii="Arial" w:hAnsi="Arial" w:cs="Arial"/>
                <w:sz w:val="18"/>
                <w:szCs w:val="18"/>
                <w:lang w:val="en-US"/>
              </w:rPr>
            </w:pPr>
            <w:r w:rsidRPr="00BD295E">
              <w:rPr>
                <w:rFonts w:ascii="Arial" w:hAnsi="Arial" w:cs="Arial"/>
                <w:sz w:val="18"/>
                <w:szCs w:val="18"/>
                <w:lang w:val="en-US"/>
              </w:rPr>
              <w:t>0.00</w:t>
            </w:r>
          </w:p>
        </w:tc>
        <w:tc>
          <w:tcPr>
            <w:tcW w:w="450" w:type="pct"/>
            <w:tcBorders>
              <w:top w:val="nil"/>
              <w:left w:val="nil"/>
              <w:bottom w:val="single" w:sz="4" w:space="0" w:color="auto"/>
              <w:right w:val="single" w:sz="4" w:space="0" w:color="auto"/>
            </w:tcBorders>
            <w:vAlign w:val="center"/>
            <w:hideMark/>
          </w:tcPr>
          <w:p w14:paraId="54F0DB47" w14:textId="77777777" w:rsidR="003760B8" w:rsidRPr="00BD295E" w:rsidRDefault="008A5057" w:rsidP="00906126">
            <w:pPr>
              <w:jc w:val="center"/>
              <w:rPr>
                <w:rFonts w:ascii="Arial" w:hAnsi="Arial" w:cs="Arial"/>
                <w:bCs/>
                <w:sz w:val="18"/>
                <w:szCs w:val="18"/>
                <w:lang w:val="en-US"/>
              </w:rPr>
            </w:pPr>
            <w:r w:rsidRPr="00BD295E">
              <w:rPr>
                <w:rFonts w:ascii="Arial" w:hAnsi="Arial" w:cs="Arial"/>
                <w:bCs/>
                <w:sz w:val="18"/>
                <w:szCs w:val="18"/>
                <w:lang w:val="en-US"/>
              </w:rPr>
              <w:t>0.00</w:t>
            </w:r>
          </w:p>
        </w:tc>
        <w:tc>
          <w:tcPr>
            <w:tcW w:w="450" w:type="pct"/>
            <w:tcBorders>
              <w:top w:val="nil"/>
              <w:left w:val="nil"/>
              <w:bottom w:val="single" w:sz="4" w:space="0" w:color="auto"/>
              <w:right w:val="single" w:sz="4" w:space="0" w:color="auto"/>
            </w:tcBorders>
            <w:vAlign w:val="center"/>
            <w:hideMark/>
          </w:tcPr>
          <w:p w14:paraId="37190E6E" w14:textId="77777777" w:rsidR="003760B8" w:rsidRPr="00BD295E" w:rsidRDefault="008A5057" w:rsidP="00906126">
            <w:pPr>
              <w:jc w:val="center"/>
              <w:rPr>
                <w:rFonts w:ascii="Arial" w:hAnsi="Arial" w:cs="Arial"/>
                <w:bCs/>
                <w:sz w:val="18"/>
                <w:szCs w:val="18"/>
                <w:lang w:val="en-US"/>
              </w:rPr>
            </w:pPr>
            <w:r w:rsidRPr="00BD295E">
              <w:rPr>
                <w:rFonts w:ascii="Arial" w:hAnsi="Arial" w:cs="Arial"/>
                <w:bCs/>
                <w:sz w:val="18"/>
                <w:szCs w:val="18"/>
                <w:lang w:val="en-US"/>
              </w:rPr>
              <w:t>0.00</w:t>
            </w:r>
          </w:p>
        </w:tc>
        <w:tc>
          <w:tcPr>
            <w:tcW w:w="450" w:type="pct"/>
            <w:tcBorders>
              <w:top w:val="nil"/>
              <w:left w:val="nil"/>
              <w:bottom w:val="single" w:sz="4" w:space="0" w:color="auto"/>
              <w:right w:val="single" w:sz="4" w:space="0" w:color="auto"/>
            </w:tcBorders>
            <w:vAlign w:val="center"/>
            <w:hideMark/>
          </w:tcPr>
          <w:p w14:paraId="574B716B" w14:textId="77777777" w:rsidR="003760B8" w:rsidRPr="00BD295E" w:rsidRDefault="008A5057" w:rsidP="00906126">
            <w:pPr>
              <w:jc w:val="center"/>
              <w:rPr>
                <w:rFonts w:ascii="Arial" w:hAnsi="Arial" w:cs="Arial"/>
                <w:bCs/>
                <w:sz w:val="18"/>
                <w:szCs w:val="18"/>
                <w:lang w:val="en-US"/>
              </w:rPr>
            </w:pPr>
            <w:r w:rsidRPr="00BD295E">
              <w:rPr>
                <w:rFonts w:ascii="Arial" w:hAnsi="Arial" w:cs="Arial"/>
                <w:bCs/>
                <w:sz w:val="18"/>
                <w:szCs w:val="18"/>
                <w:lang w:val="en-US"/>
              </w:rPr>
              <w:t>0.00</w:t>
            </w:r>
          </w:p>
        </w:tc>
      </w:tr>
    </w:tbl>
    <w:p w14:paraId="4C368FA1" w14:textId="77777777" w:rsidR="003760B8" w:rsidRPr="00BD295E" w:rsidRDefault="008A5057" w:rsidP="003760B8">
      <w:pPr>
        <w:pStyle w:val="afffffff5"/>
        <w:rPr>
          <w:rFonts w:ascii="Arial" w:hAnsi="Arial" w:cs="Arial"/>
          <w:sz w:val="18"/>
          <w:szCs w:val="18"/>
          <w:lang w:val="en-US"/>
        </w:rPr>
      </w:pPr>
      <w:r w:rsidRPr="00BD295E">
        <w:rPr>
          <w:rFonts w:ascii="Arial" w:hAnsi="Arial" w:cs="Arial"/>
          <w:sz w:val="18"/>
          <w:szCs w:val="18"/>
          <w:lang w:val="en-US"/>
        </w:rPr>
        <w:t>NOTE:</w:t>
      </w:r>
    </w:p>
    <w:p w14:paraId="6430FDCF" w14:textId="77777777" w:rsidR="003760B8" w:rsidRPr="00BD295E" w:rsidRDefault="008A5057" w:rsidP="003760B8">
      <w:pPr>
        <w:pStyle w:val="afffffff5"/>
        <w:rPr>
          <w:rFonts w:ascii="Arial" w:hAnsi="Arial" w:cs="Arial"/>
          <w:sz w:val="18"/>
          <w:szCs w:val="18"/>
          <w:lang w:val="en-US"/>
        </w:rPr>
      </w:pPr>
      <w:r w:rsidRPr="00BD295E">
        <w:rPr>
          <w:rFonts w:ascii="Arial" w:hAnsi="Arial" w:cs="Arial"/>
          <w:sz w:val="18"/>
          <w:szCs w:val="18"/>
          <w:lang w:val="en-US"/>
        </w:rPr>
        <w:t>acquired – the entire actual amount of electric grid assets acquired during the calendar period;</w:t>
      </w:r>
    </w:p>
    <w:p w14:paraId="4685E4BC" w14:textId="77777777" w:rsidR="003760B8" w:rsidRPr="00BD295E" w:rsidRDefault="008A5057" w:rsidP="003760B8">
      <w:pPr>
        <w:pStyle w:val="afffffff5"/>
        <w:rPr>
          <w:rFonts w:ascii="Arial" w:hAnsi="Arial" w:cs="Arial"/>
          <w:sz w:val="18"/>
          <w:szCs w:val="18"/>
          <w:lang w:val="en-US"/>
        </w:rPr>
      </w:pPr>
      <w:r w:rsidRPr="00BD295E">
        <w:rPr>
          <w:rFonts w:ascii="Arial" w:hAnsi="Arial" w:cs="Arial"/>
          <w:sz w:val="18"/>
          <w:szCs w:val="18"/>
          <w:lang w:val="en-US"/>
        </w:rPr>
        <w:t>leased - the entire actual amount of leased electric grid assets as at the end of the period (i.e. all contracts in force, including previously signed ones, the number of ongoing transactions as at the end of the period);</w:t>
      </w:r>
    </w:p>
    <w:p w14:paraId="19A4E7C7" w14:textId="77777777" w:rsidR="003760B8" w:rsidRPr="00BD295E" w:rsidRDefault="008A5057" w:rsidP="003760B8">
      <w:pPr>
        <w:pStyle w:val="afffffff5"/>
        <w:rPr>
          <w:rFonts w:ascii="Arial" w:hAnsi="Arial" w:cs="Arial"/>
          <w:sz w:val="18"/>
          <w:szCs w:val="18"/>
          <w:lang w:val="en-US"/>
        </w:rPr>
      </w:pPr>
      <w:r w:rsidRPr="00BD295E">
        <w:rPr>
          <w:rFonts w:ascii="Arial" w:hAnsi="Arial" w:cs="Arial"/>
          <w:sz w:val="18"/>
          <w:szCs w:val="18"/>
          <w:lang w:val="en-US"/>
        </w:rPr>
        <w:t>other (permanent rights of possession and use) – the entire actual amount of electric grid assets acquired during the calendar period;</w:t>
      </w:r>
    </w:p>
    <w:p w14:paraId="665C6AD9" w14:textId="77777777" w:rsidR="003760B8" w:rsidRPr="00BD295E" w:rsidRDefault="008A5057" w:rsidP="003760B8">
      <w:pPr>
        <w:pStyle w:val="afffffff5"/>
        <w:rPr>
          <w:rFonts w:ascii="Arial" w:hAnsi="Arial" w:cs="Arial"/>
          <w:sz w:val="18"/>
          <w:szCs w:val="18"/>
          <w:lang w:val="en-US"/>
        </w:rPr>
      </w:pPr>
      <w:r w:rsidRPr="00BD295E">
        <w:rPr>
          <w:rFonts w:ascii="Arial" w:hAnsi="Arial" w:cs="Arial"/>
          <w:sz w:val="18"/>
          <w:szCs w:val="18"/>
          <w:lang w:val="en-US"/>
        </w:rPr>
        <w:t>other (temporary rights of possession and use) – all contracts in force as at the end of the period, including previously signed ones;</w:t>
      </w:r>
    </w:p>
    <w:p w14:paraId="027BF176" w14:textId="77777777" w:rsidR="003760B8" w:rsidRPr="00BD295E" w:rsidRDefault="008A5057" w:rsidP="003760B8">
      <w:pPr>
        <w:pStyle w:val="afffffff5"/>
        <w:rPr>
          <w:rFonts w:ascii="Arial" w:hAnsi="Arial" w:cs="Arial"/>
          <w:sz w:val="18"/>
          <w:szCs w:val="18"/>
          <w:lang w:val="en-US"/>
        </w:rPr>
      </w:pPr>
      <w:r w:rsidRPr="00BD295E">
        <w:rPr>
          <w:rFonts w:ascii="Arial" w:hAnsi="Arial" w:cs="Arial"/>
          <w:sz w:val="18"/>
          <w:szCs w:val="18"/>
          <w:lang w:val="en-US"/>
        </w:rPr>
        <w:t>**Information is provided for each operating region, including controlled companies.</w:t>
      </w:r>
    </w:p>
    <w:p w14:paraId="67EADB2F" w14:textId="77777777" w:rsidR="00162DD0" w:rsidRPr="00BD295E" w:rsidRDefault="008A5057" w:rsidP="003760B8">
      <w:pPr>
        <w:pStyle w:val="afffffff5"/>
        <w:rPr>
          <w:rFonts w:ascii="Arial" w:hAnsi="Arial" w:cs="Arial"/>
          <w:sz w:val="18"/>
          <w:szCs w:val="18"/>
          <w:lang w:val="en-US"/>
        </w:rPr>
      </w:pPr>
      <w:r w:rsidRPr="00BD295E">
        <w:rPr>
          <w:rFonts w:ascii="Arial" w:hAnsi="Arial" w:cs="Arial"/>
          <w:sz w:val="18"/>
          <w:szCs w:val="18"/>
          <w:lang w:val="en-US"/>
        </w:rPr>
        <w:t>** N – reporting period.</w:t>
      </w:r>
    </w:p>
    <w:p w14:paraId="37E7976F" w14:textId="77777777" w:rsidR="0033027C" w:rsidRPr="00BD295E" w:rsidRDefault="0033027C" w:rsidP="0033027C">
      <w:pPr>
        <w:rPr>
          <w:rFonts w:ascii="Arial" w:hAnsi="Arial" w:cs="Arial"/>
          <w:sz w:val="18"/>
          <w:szCs w:val="18"/>
          <w:lang w:val="en-US"/>
        </w:rPr>
        <w:sectPr w:rsidR="0033027C" w:rsidRPr="00BD295E" w:rsidSect="00162DD0">
          <w:headerReference w:type="default" r:id="rId86"/>
          <w:pgSz w:w="16838" w:h="11906" w:orient="landscape"/>
          <w:pgMar w:top="1701" w:right="1134" w:bottom="850" w:left="1134" w:header="709" w:footer="709" w:gutter="0"/>
          <w:cols w:space="708"/>
          <w:docGrid w:linePitch="360"/>
        </w:sectPr>
      </w:pPr>
    </w:p>
    <w:p w14:paraId="4AA94362" w14:textId="77777777" w:rsidR="00260D12" w:rsidRPr="00BD295E" w:rsidRDefault="003D49A2" w:rsidP="003D49A2">
      <w:pPr>
        <w:spacing w:after="160" w:line="259" w:lineRule="auto"/>
        <w:rPr>
          <w:rFonts w:ascii="Arial" w:hAnsi="Arial" w:cs="Arial"/>
          <w:sz w:val="18"/>
          <w:szCs w:val="18"/>
          <w:lang w:val="en-US"/>
        </w:rPr>
      </w:pPr>
      <w:r w:rsidRPr="00BD295E">
        <w:rPr>
          <w:rFonts w:ascii="Arial" w:hAnsi="Arial" w:cs="Arial"/>
          <w:b/>
          <w:sz w:val="18"/>
          <w:szCs w:val="18"/>
          <w:lang w:val="en-US"/>
        </w:rPr>
        <w:t>Long-term development</w:t>
      </w:r>
      <w:r w:rsidR="008A5057" w:rsidRPr="00BD295E">
        <w:rPr>
          <w:rFonts w:ascii="Arial" w:hAnsi="Arial" w:cs="Arial"/>
          <w:b/>
          <w:sz w:val="18"/>
          <w:szCs w:val="18"/>
          <w:lang w:val="en-US"/>
        </w:rPr>
        <w:t xml:space="preserve"> of electric grids</w:t>
      </w:r>
      <w:r w:rsidR="008A5057" w:rsidRPr="00BD295E">
        <w:rPr>
          <w:rFonts w:ascii="Arial" w:hAnsi="Arial" w:cs="Arial"/>
          <w:b/>
          <w:i/>
          <w:sz w:val="18"/>
          <w:szCs w:val="18"/>
          <w:lang w:val="en-US"/>
        </w:rPr>
        <w:t xml:space="preserve"> </w:t>
      </w:r>
    </w:p>
    <w:p w14:paraId="5A8ADA12" w14:textId="55D1C298" w:rsidR="00260D12" w:rsidRPr="00BD295E" w:rsidRDefault="00EE5753" w:rsidP="003D49A2">
      <w:pPr>
        <w:tabs>
          <w:tab w:val="left" w:pos="993"/>
          <w:tab w:val="left" w:pos="1418"/>
          <w:tab w:val="left" w:pos="1843"/>
          <w:tab w:val="left" w:pos="3119"/>
          <w:tab w:val="left" w:pos="3402"/>
        </w:tabs>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actively cooperates with the executive authorities of Saint Petersburg and the Leningrad Region on matters related to </w:t>
      </w:r>
      <w:r w:rsidR="003D49A2" w:rsidRPr="00BD295E">
        <w:rPr>
          <w:rFonts w:ascii="Arial" w:hAnsi="Arial" w:cs="Arial"/>
          <w:sz w:val="18"/>
          <w:szCs w:val="18"/>
          <w:lang w:val="en-US"/>
        </w:rPr>
        <w:t>long-term development</w:t>
      </w:r>
      <w:r w:rsidR="008A5057" w:rsidRPr="00BD295E">
        <w:rPr>
          <w:rFonts w:ascii="Arial" w:hAnsi="Arial" w:cs="Arial"/>
          <w:sz w:val="18"/>
          <w:szCs w:val="18"/>
          <w:lang w:val="en-US"/>
        </w:rPr>
        <w:t xml:space="preserve"> of electric grids. For instance, proposals are annually submitted to the Electricity Industry and Engineering Support Committee of the Saint-Petersburg Administration and the Energy Industry Committee of the Leningrad Region to include candidates into working groups for working out patterns and programs for </w:t>
      </w:r>
      <w:r w:rsidR="003D49A2" w:rsidRPr="00BD295E">
        <w:rPr>
          <w:rFonts w:ascii="Arial" w:hAnsi="Arial" w:cs="Arial"/>
          <w:sz w:val="18"/>
          <w:szCs w:val="18"/>
          <w:lang w:val="en-US"/>
        </w:rPr>
        <w:t>long-term development</w:t>
      </w:r>
      <w:r w:rsidR="008A5057" w:rsidRPr="00BD295E">
        <w:rPr>
          <w:rFonts w:ascii="Arial" w:hAnsi="Arial" w:cs="Arial"/>
          <w:sz w:val="18"/>
          <w:szCs w:val="18"/>
          <w:lang w:val="en-US"/>
        </w:rPr>
        <w:t xml:space="preserve"> of electric grids across Saint Petersburg and the Leningrad Region. The Company has appointed officers responsible for government relations with respect to developing </w:t>
      </w:r>
      <w:r w:rsidR="004F729F" w:rsidRPr="00BD295E">
        <w:rPr>
          <w:rFonts w:ascii="Arial" w:hAnsi="Arial" w:cs="Arial"/>
          <w:sz w:val="18"/>
          <w:szCs w:val="18"/>
          <w:lang w:val="en-US"/>
        </w:rPr>
        <w:t>Long-</w:t>
      </w:r>
      <w:r w:rsidR="003D49A2" w:rsidRPr="00BD295E">
        <w:rPr>
          <w:rFonts w:ascii="Arial" w:hAnsi="Arial" w:cs="Arial"/>
          <w:sz w:val="18"/>
          <w:szCs w:val="18"/>
          <w:lang w:val="en-US"/>
        </w:rPr>
        <w:t>term Development</w:t>
      </w:r>
      <w:r w:rsidR="008A5057" w:rsidRPr="00BD295E">
        <w:rPr>
          <w:rFonts w:ascii="Arial" w:hAnsi="Arial" w:cs="Arial"/>
          <w:sz w:val="18"/>
          <w:szCs w:val="18"/>
          <w:lang w:val="en-US"/>
        </w:rPr>
        <w:t xml:space="preserve"> Patterns and Programs for the city and the Region.</w:t>
      </w:r>
    </w:p>
    <w:p w14:paraId="1BDCCBB8" w14:textId="2BC365EF" w:rsidR="00260D12" w:rsidRPr="00BD295E" w:rsidRDefault="008A5057" w:rsidP="003D49A2">
      <w:pPr>
        <w:tabs>
          <w:tab w:val="left" w:pos="993"/>
          <w:tab w:val="left" w:pos="1418"/>
          <w:tab w:val="left" w:pos="1843"/>
          <w:tab w:val="left" w:pos="3119"/>
          <w:tab w:val="left" w:pos="3402"/>
        </w:tabs>
        <w:jc w:val="both"/>
        <w:rPr>
          <w:rFonts w:ascii="Arial" w:hAnsi="Arial" w:cs="Arial"/>
          <w:sz w:val="18"/>
          <w:szCs w:val="18"/>
          <w:lang w:val="en-US"/>
        </w:rPr>
      </w:pPr>
      <w:r w:rsidRPr="00BD295E">
        <w:rPr>
          <w:rFonts w:ascii="Arial" w:hAnsi="Arial" w:cs="Arial"/>
          <w:sz w:val="18"/>
          <w:szCs w:val="18"/>
          <w:lang w:val="en-US"/>
        </w:rPr>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developed the Pattern and Program of </w:t>
      </w:r>
      <w:r w:rsidR="004F729F" w:rsidRPr="00BD295E">
        <w:rPr>
          <w:rFonts w:ascii="Arial" w:hAnsi="Arial" w:cs="Arial"/>
          <w:sz w:val="18"/>
          <w:szCs w:val="18"/>
          <w:lang w:val="en-US"/>
        </w:rPr>
        <w:t>Long-</w:t>
      </w:r>
      <w:r w:rsidR="003D49A2" w:rsidRPr="00BD295E">
        <w:rPr>
          <w:rFonts w:ascii="Arial" w:hAnsi="Arial" w:cs="Arial"/>
          <w:sz w:val="18"/>
          <w:szCs w:val="18"/>
          <w:lang w:val="en-US"/>
        </w:rPr>
        <w:t>term Development</w:t>
      </w:r>
      <w:r w:rsidRPr="00BD295E">
        <w:rPr>
          <w:rFonts w:ascii="Arial" w:hAnsi="Arial" w:cs="Arial"/>
          <w:sz w:val="18"/>
          <w:szCs w:val="18"/>
          <w:lang w:val="en-US"/>
        </w:rPr>
        <w:t xml:space="preserve"> of the Electricity Industry of Saint Petersburg for 2018–2022 as a part of the Comprehensive Program for Development of 35+ kV Electric Grids in Saint Petersburg and the Leningrad Region for Five Years (2018–2022) and Onwards (up to 2025).</w:t>
      </w:r>
    </w:p>
    <w:p w14:paraId="008009E5" w14:textId="00F26F36" w:rsidR="00260D12" w:rsidRPr="00BD295E" w:rsidRDefault="008A5057" w:rsidP="003D49A2">
      <w:pPr>
        <w:tabs>
          <w:tab w:val="left" w:pos="993"/>
          <w:tab w:val="left" w:pos="1418"/>
          <w:tab w:val="left" w:pos="1843"/>
          <w:tab w:val="left" w:pos="3119"/>
          <w:tab w:val="left" w:pos="3402"/>
        </w:tabs>
        <w:jc w:val="both"/>
        <w:rPr>
          <w:rFonts w:ascii="Arial" w:hAnsi="Arial" w:cs="Arial"/>
          <w:sz w:val="18"/>
          <w:szCs w:val="18"/>
          <w:lang w:val="en-US"/>
        </w:rPr>
      </w:pPr>
      <w:r w:rsidRPr="00BD295E">
        <w:rPr>
          <w:rFonts w:ascii="Arial" w:hAnsi="Arial" w:cs="Arial"/>
          <w:sz w:val="18"/>
          <w:szCs w:val="18"/>
          <w:lang w:val="en-US"/>
        </w:rPr>
        <w:t xml:space="preserve">The Pattern and Program of </w:t>
      </w:r>
      <w:r w:rsidR="004F729F" w:rsidRPr="00BD295E">
        <w:rPr>
          <w:rFonts w:ascii="Arial" w:hAnsi="Arial" w:cs="Arial"/>
          <w:sz w:val="18"/>
          <w:szCs w:val="18"/>
          <w:lang w:val="en-US"/>
        </w:rPr>
        <w:t>Long-</w:t>
      </w:r>
      <w:r w:rsidR="003D49A2" w:rsidRPr="00BD295E">
        <w:rPr>
          <w:rFonts w:ascii="Arial" w:hAnsi="Arial" w:cs="Arial"/>
          <w:sz w:val="18"/>
          <w:szCs w:val="18"/>
          <w:lang w:val="en-US"/>
        </w:rPr>
        <w:t>term Development</w:t>
      </w:r>
      <w:r w:rsidRPr="00BD295E">
        <w:rPr>
          <w:rFonts w:ascii="Arial" w:hAnsi="Arial" w:cs="Arial"/>
          <w:sz w:val="18"/>
          <w:szCs w:val="18"/>
          <w:lang w:val="en-US"/>
        </w:rPr>
        <w:t xml:space="preserve"> of the Electricity Industry of Saint Petersburg for 2018–2022 was approved by Resolution No. 38-pg of the Governor of Saint Petersburg </w:t>
      </w:r>
      <w:r w:rsidR="008B183C" w:rsidRPr="00BD295E">
        <w:rPr>
          <w:rFonts w:ascii="Arial" w:hAnsi="Arial" w:cs="Arial"/>
          <w:sz w:val="18"/>
          <w:szCs w:val="18"/>
          <w:lang w:val="en-US"/>
        </w:rPr>
        <w:t>of</w:t>
      </w:r>
      <w:r w:rsidRPr="00BD295E">
        <w:rPr>
          <w:rFonts w:ascii="Arial" w:hAnsi="Arial" w:cs="Arial"/>
          <w:sz w:val="18"/>
          <w:szCs w:val="18"/>
          <w:lang w:val="en-US"/>
        </w:rPr>
        <w:t xml:space="preserve"> April 20, 2018. The Comprehensive Program for Development of 35+ kV Electric Grids in Saint Petersburg and the Leningrad Region for Five Years (2018–2022) and Onwards (up to 2025) was approved by Order No. 87 of the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19, 2019.</w:t>
      </w:r>
    </w:p>
    <w:p w14:paraId="4B084492" w14:textId="20EDE39E" w:rsidR="0033027C"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 xml:space="preserve">Every year Lenenergo submits to the executive authorities of the city and the region input data indicating the current capacity utilization rate and proposals to increase it for the preparation of the Electricity Industry </w:t>
      </w:r>
      <w:r w:rsidR="004F729F" w:rsidRPr="00BD295E">
        <w:rPr>
          <w:rFonts w:ascii="Arial" w:hAnsi="Arial" w:cs="Arial"/>
          <w:sz w:val="18"/>
          <w:szCs w:val="18"/>
          <w:lang w:val="en-US"/>
        </w:rPr>
        <w:t>Long-</w:t>
      </w:r>
      <w:r w:rsidR="003D49A2" w:rsidRPr="00BD295E">
        <w:rPr>
          <w:rFonts w:ascii="Arial" w:hAnsi="Arial" w:cs="Arial"/>
          <w:sz w:val="18"/>
          <w:szCs w:val="18"/>
          <w:lang w:val="en-US"/>
        </w:rPr>
        <w:t>term Development</w:t>
      </w:r>
      <w:r w:rsidRPr="00BD295E">
        <w:rPr>
          <w:rFonts w:ascii="Arial" w:hAnsi="Arial" w:cs="Arial"/>
          <w:sz w:val="18"/>
          <w:szCs w:val="18"/>
          <w:lang w:val="en-US"/>
        </w:rPr>
        <w:t xml:space="preserve"> Patterns and Programs. Additionally, in 2018, the Company sent the Comprehensive Program for Development of 35+ kV Electric Grids in Saint Petersburg and the Leningrad Region for Five Years (2018–2022) and Onwards (up to 2025) to the Energy and Engineering Support Committee of the Government of Saint Petersburg and the Energy Industry Committee of the Leningrad Region as the inputs for the preparation of the Electricity Industry </w:t>
      </w:r>
      <w:r w:rsidR="004F729F" w:rsidRPr="00BD295E">
        <w:rPr>
          <w:rFonts w:ascii="Arial" w:hAnsi="Arial" w:cs="Arial"/>
          <w:sz w:val="18"/>
          <w:szCs w:val="18"/>
          <w:lang w:val="en-US"/>
        </w:rPr>
        <w:t>Long-</w:t>
      </w:r>
      <w:r w:rsidR="003D49A2" w:rsidRPr="00BD295E">
        <w:rPr>
          <w:rFonts w:ascii="Arial" w:hAnsi="Arial" w:cs="Arial"/>
          <w:sz w:val="18"/>
          <w:szCs w:val="18"/>
          <w:lang w:val="en-US"/>
        </w:rPr>
        <w:t>term Development</w:t>
      </w:r>
      <w:r w:rsidRPr="00BD295E">
        <w:rPr>
          <w:rFonts w:ascii="Arial" w:hAnsi="Arial" w:cs="Arial"/>
          <w:sz w:val="18"/>
          <w:szCs w:val="18"/>
          <w:lang w:val="en-US"/>
        </w:rPr>
        <w:t xml:space="preserve"> Patterns and Programs for 2019–2023.</w:t>
      </w:r>
    </w:p>
    <w:p w14:paraId="173B7F97" w14:textId="77777777" w:rsidR="0033027C" w:rsidRPr="00BD295E" w:rsidRDefault="0033027C" w:rsidP="0033027C">
      <w:pPr>
        <w:ind w:firstLine="709"/>
        <w:jc w:val="both"/>
        <w:rPr>
          <w:rFonts w:ascii="Arial" w:hAnsi="Arial" w:cs="Arial"/>
          <w:sz w:val="18"/>
          <w:szCs w:val="18"/>
          <w:lang w:val="en-US"/>
        </w:rPr>
      </w:pPr>
    </w:p>
    <w:p w14:paraId="609A8E08" w14:textId="77777777" w:rsidR="00457729" w:rsidRPr="00BD295E" w:rsidRDefault="008A5057" w:rsidP="003D49A2">
      <w:pPr>
        <w:jc w:val="both"/>
        <w:rPr>
          <w:rFonts w:ascii="Arial" w:hAnsi="Arial" w:cs="Arial"/>
          <w:sz w:val="18"/>
          <w:szCs w:val="18"/>
          <w:lang w:val="en-US"/>
        </w:rPr>
      </w:pPr>
      <w:r w:rsidRPr="00BD295E">
        <w:rPr>
          <w:rFonts w:ascii="Arial" w:hAnsi="Arial" w:cs="Arial"/>
          <w:b/>
          <w:sz w:val="18"/>
          <w:szCs w:val="18"/>
          <w:lang w:val="en-US"/>
        </w:rPr>
        <w:t xml:space="preserve">Asset Management </w:t>
      </w:r>
    </w:p>
    <w:p w14:paraId="2447C25E" w14:textId="77777777" w:rsidR="00A100A1" w:rsidRPr="00BD295E" w:rsidRDefault="00A100A1" w:rsidP="00A100A1">
      <w:pPr>
        <w:tabs>
          <w:tab w:val="left" w:pos="142"/>
          <w:tab w:val="left" w:pos="9356"/>
        </w:tabs>
        <w:jc w:val="both"/>
        <w:rPr>
          <w:rFonts w:ascii="Arial" w:hAnsi="Arial" w:cs="Arial"/>
          <w:bCs/>
          <w:sz w:val="18"/>
          <w:szCs w:val="18"/>
          <w:lang w:val="en-US"/>
        </w:rPr>
      </w:pPr>
    </w:p>
    <w:p w14:paraId="6FF8547B" w14:textId="77777777" w:rsidR="00A100A1" w:rsidRPr="00BD295E" w:rsidRDefault="008A5057" w:rsidP="00A100A1">
      <w:pPr>
        <w:tabs>
          <w:tab w:val="left" w:pos="142"/>
          <w:tab w:val="left" w:pos="9356"/>
        </w:tabs>
        <w:jc w:val="both"/>
        <w:rPr>
          <w:rFonts w:ascii="Arial" w:hAnsi="Arial" w:cs="Arial"/>
          <w:bCs/>
          <w:sz w:val="18"/>
          <w:szCs w:val="18"/>
          <w:lang w:val="en-US"/>
        </w:rPr>
      </w:pPr>
      <w:r w:rsidRPr="00BD295E">
        <w:rPr>
          <w:rFonts w:ascii="Arial" w:hAnsi="Arial" w:cs="Arial"/>
          <w:bCs/>
          <w:sz w:val="18"/>
          <w:szCs w:val="18"/>
          <w:lang w:val="en-US"/>
        </w:rPr>
        <w:t>Information on the Company’s participation in other subsidiaries (except for non-profit organizations).</w:t>
      </w:r>
    </w:p>
    <w:p w14:paraId="24CDE5B3" w14:textId="77777777" w:rsidR="00A100A1" w:rsidRPr="00BD295E" w:rsidRDefault="00A100A1" w:rsidP="00A100A1">
      <w:pPr>
        <w:tabs>
          <w:tab w:val="left" w:pos="142"/>
          <w:tab w:val="left" w:pos="9356"/>
        </w:tabs>
        <w:jc w:val="both"/>
        <w:rPr>
          <w:rFonts w:ascii="Arial" w:hAnsi="Arial" w:cs="Arial"/>
          <w:bCs/>
          <w:sz w:val="18"/>
          <w:szCs w:val="18"/>
          <w:lang w:val="en-US"/>
        </w:rPr>
      </w:pPr>
    </w:p>
    <w:p w14:paraId="09F1D6FA" w14:textId="77777777" w:rsidR="00A100A1" w:rsidRPr="00BD295E" w:rsidRDefault="008A5057" w:rsidP="00A100A1">
      <w:pPr>
        <w:spacing w:after="160" w:line="259" w:lineRule="auto"/>
        <w:jc w:val="center"/>
        <w:rPr>
          <w:rFonts w:ascii="Arial" w:hAnsi="Arial" w:cs="Arial"/>
          <w:b/>
          <w:sz w:val="18"/>
          <w:szCs w:val="18"/>
          <w:lang w:val="en-US"/>
        </w:rPr>
      </w:pPr>
      <w:r w:rsidRPr="00BD295E">
        <w:rPr>
          <w:rFonts w:ascii="Arial" w:hAnsi="Arial" w:cs="Arial"/>
          <w:b/>
          <w:sz w:val="18"/>
          <w:szCs w:val="18"/>
          <w:lang w:val="en-US"/>
        </w:rPr>
        <w:t xml:space="preserve">Information on participation of </w:t>
      </w:r>
      <w:r w:rsidR="00EE5753" w:rsidRPr="00BD295E">
        <w:rPr>
          <w:rFonts w:ascii="Arial" w:hAnsi="Arial" w:cs="Arial"/>
          <w:b/>
          <w:sz w:val="18"/>
          <w:szCs w:val="18"/>
          <w:lang w:val="en-US"/>
        </w:rPr>
        <w:t>PJSC “Lenenergo”</w:t>
      </w:r>
      <w:r w:rsidRPr="00BD295E">
        <w:rPr>
          <w:rFonts w:ascii="Arial" w:hAnsi="Arial" w:cs="Arial"/>
          <w:b/>
          <w:sz w:val="18"/>
          <w:szCs w:val="18"/>
          <w:lang w:val="en-US"/>
        </w:rPr>
        <w:t xml:space="preserve"> in non-core industry companies</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725"/>
        <w:gridCol w:w="1701"/>
        <w:gridCol w:w="2693"/>
        <w:gridCol w:w="1559"/>
        <w:gridCol w:w="1559"/>
      </w:tblGrid>
      <w:tr w:rsidR="008A5057" w:rsidRPr="00BD295E" w14:paraId="519CBDB1" w14:textId="77777777" w:rsidTr="00A85863">
        <w:trPr>
          <w:trHeight w:val="1413"/>
        </w:trPr>
        <w:tc>
          <w:tcPr>
            <w:tcW w:w="828" w:type="dxa"/>
            <w:tcBorders>
              <w:bottom w:val="single" w:sz="4" w:space="0" w:color="auto"/>
            </w:tcBorders>
            <w:shd w:val="clear" w:color="auto" w:fill="auto"/>
          </w:tcPr>
          <w:p w14:paraId="1DD0EB38"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No.</w:t>
            </w:r>
          </w:p>
        </w:tc>
        <w:tc>
          <w:tcPr>
            <w:tcW w:w="1725" w:type="dxa"/>
            <w:tcBorders>
              <w:bottom w:val="single" w:sz="4" w:space="0" w:color="auto"/>
            </w:tcBorders>
            <w:shd w:val="clear" w:color="auto" w:fill="auto"/>
          </w:tcPr>
          <w:p w14:paraId="72DC983C"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Company name</w:t>
            </w:r>
          </w:p>
        </w:tc>
        <w:tc>
          <w:tcPr>
            <w:tcW w:w="1701" w:type="dxa"/>
            <w:tcBorders>
              <w:bottom w:val="single" w:sz="4" w:space="0" w:color="auto"/>
            </w:tcBorders>
            <w:shd w:val="clear" w:color="auto" w:fill="auto"/>
          </w:tcPr>
          <w:p w14:paraId="13C92E49"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The company’s operating region</w:t>
            </w:r>
          </w:p>
        </w:tc>
        <w:tc>
          <w:tcPr>
            <w:tcW w:w="2693" w:type="dxa"/>
            <w:tcBorders>
              <w:bottom w:val="single" w:sz="4" w:space="0" w:color="auto"/>
            </w:tcBorders>
            <w:shd w:val="clear" w:color="auto" w:fill="auto"/>
          </w:tcPr>
          <w:p w14:paraId="28015CFF"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Type of the company’s operations (for non-core industry companies)</w:t>
            </w:r>
          </w:p>
        </w:tc>
        <w:tc>
          <w:tcPr>
            <w:tcW w:w="1559" w:type="dxa"/>
            <w:tcBorders>
              <w:bottom w:val="single" w:sz="4" w:space="0" w:color="auto"/>
            </w:tcBorders>
            <w:shd w:val="clear" w:color="auto" w:fill="auto"/>
          </w:tcPr>
          <w:p w14:paraId="57595822"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Interest stake (%)</w:t>
            </w:r>
          </w:p>
        </w:tc>
        <w:tc>
          <w:tcPr>
            <w:tcW w:w="1559" w:type="dxa"/>
            <w:tcBorders>
              <w:bottom w:val="single" w:sz="4" w:space="0" w:color="auto"/>
            </w:tcBorders>
            <w:shd w:val="clear" w:color="auto" w:fill="auto"/>
          </w:tcPr>
          <w:p w14:paraId="199704B8"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The company’s revenue for 2018 (RUB thousand)</w:t>
            </w:r>
          </w:p>
        </w:tc>
      </w:tr>
      <w:tr w:rsidR="008A5057" w:rsidRPr="00BD295E" w14:paraId="660C29AC" w14:textId="77777777" w:rsidTr="00A85863">
        <w:trPr>
          <w:trHeight w:val="331"/>
        </w:trPr>
        <w:tc>
          <w:tcPr>
            <w:tcW w:w="828" w:type="dxa"/>
            <w:tcBorders>
              <w:bottom w:val="single" w:sz="4" w:space="0" w:color="auto"/>
            </w:tcBorders>
            <w:shd w:val="clear" w:color="auto" w:fill="auto"/>
          </w:tcPr>
          <w:p w14:paraId="052607A5"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1</w:t>
            </w:r>
          </w:p>
        </w:tc>
        <w:tc>
          <w:tcPr>
            <w:tcW w:w="1725" w:type="dxa"/>
            <w:tcBorders>
              <w:bottom w:val="single" w:sz="4" w:space="0" w:color="auto"/>
            </w:tcBorders>
            <w:shd w:val="clear" w:color="auto" w:fill="auto"/>
          </w:tcPr>
          <w:p w14:paraId="1EFFFE57"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2</w:t>
            </w:r>
          </w:p>
        </w:tc>
        <w:tc>
          <w:tcPr>
            <w:tcW w:w="1701" w:type="dxa"/>
            <w:tcBorders>
              <w:bottom w:val="single" w:sz="4" w:space="0" w:color="auto"/>
            </w:tcBorders>
            <w:shd w:val="clear" w:color="auto" w:fill="auto"/>
          </w:tcPr>
          <w:p w14:paraId="5DCD0853"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3</w:t>
            </w:r>
          </w:p>
        </w:tc>
        <w:tc>
          <w:tcPr>
            <w:tcW w:w="2693" w:type="dxa"/>
            <w:tcBorders>
              <w:bottom w:val="single" w:sz="4" w:space="0" w:color="auto"/>
            </w:tcBorders>
            <w:shd w:val="clear" w:color="auto" w:fill="auto"/>
          </w:tcPr>
          <w:p w14:paraId="1DC54540"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4</w:t>
            </w:r>
          </w:p>
        </w:tc>
        <w:tc>
          <w:tcPr>
            <w:tcW w:w="1559" w:type="dxa"/>
            <w:tcBorders>
              <w:bottom w:val="single" w:sz="4" w:space="0" w:color="auto"/>
            </w:tcBorders>
            <w:shd w:val="clear" w:color="auto" w:fill="auto"/>
          </w:tcPr>
          <w:p w14:paraId="33FE6DB6"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5</w:t>
            </w:r>
          </w:p>
        </w:tc>
        <w:tc>
          <w:tcPr>
            <w:tcW w:w="1559" w:type="dxa"/>
            <w:tcBorders>
              <w:bottom w:val="single" w:sz="4" w:space="0" w:color="auto"/>
            </w:tcBorders>
            <w:shd w:val="clear" w:color="auto" w:fill="auto"/>
          </w:tcPr>
          <w:p w14:paraId="42C3A134"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6</w:t>
            </w:r>
          </w:p>
        </w:tc>
      </w:tr>
      <w:tr w:rsidR="008A5057" w:rsidRPr="00BD295E" w14:paraId="62F617F6" w14:textId="77777777" w:rsidTr="00A85863">
        <w:trPr>
          <w:trHeight w:val="331"/>
        </w:trPr>
        <w:tc>
          <w:tcPr>
            <w:tcW w:w="828" w:type="dxa"/>
            <w:tcBorders>
              <w:top w:val="single" w:sz="4" w:space="0" w:color="auto"/>
              <w:left w:val="single" w:sz="4" w:space="0" w:color="auto"/>
              <w:bottom w:val="single" w:sz="4" w:space="0" w:color="auto"/>
              <w:right w:val="single" w:sz="4" w:space="0" w:color="auto"/>
            </w:tcBorders>
            <w:shd w:val="clear" w:color="auto" w:fill="auto"/>
          </w:tcPr>
          <w:p w14:paraId="7BA786E5" w14:textId="77777777" w:rsidR="00A100A1" w:rsidRPr="00BD295E" w:rsidRDefault="00A100A1" w:rsidP="00A100A1">
            <w:pPr>
              <w:numPr>
                <w:ilvl w:val="0"/>
                <w:numId w:val="66"/>
              </w:numPr>
              <w:spacing w:after="160" w:line="259" w:lineRule="auto"/>
              <w:rPr>
                <w:rFonts w:ascii="Arial" w:hAnsi="Arial" w:cs="Arial"/>
                <w:sz w:val="18"/>
                <w:szCs w:val="18"/>
                <w:lang w:val="en-US"/>
              </w:rPr>
            </w:pPr>
          </w:p>
        </w:tc>
        <w:tc>
          <w:tcPr>
            <w:tcW w:w="1725" w:type="dxa"/>
            <w:tcBorders>
              <w:top w:val="single" w:sz="4" w:space="0" w:color="auto"/>
              <w:left w:val="single" w:sz="4" w:space="0" w:color="auto"/>
              <w:bottom w:val="single" w:sz="4" w:space="0" w:color="auto"/>
              <w:right w:val="single" w:sz="4" w:space="0" w:color="auto"/>
            </w:tcBorders>
            <w:shd w:val="clear" w:color="auto" w:fill="auto"/>
          </w:tcPr>
          <w:p w14:paraId="64EEF01B" w14:textId="77777777" w:rsidR="00A100A1" w:rsidRPr="00BD295E" w:rsidRDefault="008A5057" w:rsidP="00A85863">
            <w:pPr>
              <w:spacing w:after="160" w:line="259" w:lineRule="auto"/>
              <w:rPr>
                <w:rFonts w:ascii="Arial" w:hAnsi="Arial" w:cs="Arial"/>
                <w:sz w:val="18"/>
                <w:szCs w:val="18"/>
                <w:lang w:val="en-US"/>
              </w:rPr>
            </w:pPr>
            <w:r w:rsidRPr="00BD295E">
              <w:rPr>
                <w:rFonts w:ascii="Arial" w:hAnsi="Arial" w:cs="Arial"/>
                <w:sz w:val="18"/>
                <w:szCs w:val="18"/>
                <w:lang w:val="en-US"/>
              </w:rPr>
              <w:t>NWEMC, JSC</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D7E31D2" w14:textId="77777777" w:rsidR="00A100A1" w:rsidRPr="00BD295E" w:rsidRDefault="008A5057" w:rsidP="00A85863">
            <w:pPr>
              <w:spacing w:after="160" w:line="259" w:lineRule="auto"/>
              <w:rPr>
                <w:rFonts w:ascii="Arial" w:hAnsi="Arial" w:cs="Arial"/>
                <w:sz w:val="18"/>
                <w:szCs w:val="18"/>
                <w:lang w:val="en-US"/>
              </w:rPr>
            </w:pPr>
            <w:r w:rsidRPr="00BD295E">
              <w:rPr>
                <w:rFonts w:ascii="Arial" w:hAnsi="Arial" w:cs="Arial"/>
                <w:sz w:val="18"/>
                <w:szCs w:val="18"/>
                <w:lang w:val="en-US"/>
              </w:rPr>
              <w:t>Saint Petersburg</w:t>
            </w: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2D4A225A" w14:textId="77777777" w:rsidR="00A100A1" w:rsidRPr="00BD295E" w:rsidRDefault="008A5057" w:rsidP="00A85863">
            <w:pPr>
              <w:spacing w:after="160" w:line="259" w:lineRule="auto"/>
              <w:rPr>
                <w:rFonts w:ascii="Arial" w:hAnsi="Arial" w:cs="Arial"/>
                <w:sz w:val="18"/>
                <w:szCs w:val="18"/>
                <w:lang w:val="en-US"/>
              </w:rPr>
            </w:pPr>
            <w:r w:rsidRPr="00BD295E">
              <w:rPr>
                <w:rFonts w:ascii="Arial" w:hAnsi="Arial" w:cs="Arial"/>
                <w:sz w:val="18"/>
                <w:szCs w:val="18"/>
                <w:lang w:val="en-US"/>
              </w:rPr>
              <w:t>Other activities related to the use of computer equipment and information technologies (from RAS statements for 2017)</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014A11A"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12.51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752416"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201,434</w:t>
            </w:r>
          </w:p>
        </w:tc>
      </w:tr>
      <w:tr w:rsidR="008A5057" w:rsidRPr="00BD295E" w14:paraId="7187B5C0" w14:textId="77777777" w:rsidTr="00A85863">
        <w:trPr>
          <w:trHeight w:val="331"/>
        </w:trPr>
        <w:tc>
          <w:tcPr>
            <w:tcW w:w="828" w:type="dxa"/>
            <w:tcBorders>
              <w:top w:val="single" w:sz="4" w:space="0" w:color="auto"/>
              <w:left w:val="single" w:sz="4" w:space="0" w:color="auto"/>
              <w:bottom w:val="single" w:sz="4" w:space="0" w:color="auto"/>
              <w:right w:val="single" w:sz="4" w:space="0" w:color="auto"/>
            </w:tcBorders>
            <w:shd w:val="clear" w:color="auto" w:fill="auto"/>
          </w:tcPr>
          <w:p w14:paraId="16022C83" w14:textId="77777777" w:rsidR="00A100A1" w:rsidRPr="00BD295E" w:rsidRDefault="00A100A1" w:rsidP="00A100A1">
            <w:pPr>
              <w:numPr>
                <w:ilvl w:val="0"/>
                <w:numId w:val="66"/>
              </w:numPr>
              <w:spacing w:after="160" w:line="259" w:lineRule="auto"/>
              <w:rPr>
                <w:rFonts w:ascii="Arial" w:hAnsi="Arial" w:cs="Arial"/>
                <w:sz w:val="18"/>
                <w:szCs w:val="18"/>
                <w:lang w:val="en-US"/>
              </w:rPr>
            </w:pPr>
          </w:p>
        </w:tc>
        <w:tc>
          <w:tcPr>
            <w:tcW w:w="1725" w:type="dxa"/>
            <w:tcBorders>
              <w:top w:val="single" w:sz="4" w:space="0" w:color="auto"/>
              <w:left w:val="single" w:sz="4" w:space="0" w:color="auto"/>
              <w:bottom w:val="single" w:sz="4" w:space="0" w:color="auto"/>
              <w:right w:val="single" w:sz="4" w:space="0" w:color="auto"/>
            </w:tcBorders>
            <w:shd w:val="clear" w:color="auto" w:fill="auto"/>
          </w:tcPr>
          <w:p w14:paraId="6C725688" w14:textId="77777777" w:rsidR="00A100A1" w:rsidRPr="00BD295E" w:rsidRDefault="00A07300" w:rsidP="00A85863">
            <w:pPr>
              <w:spacing w:after="160" w:line="259" w:lineRule="auto"/>
              <w:rPr>
                <w:rFonts w:ascii="Arial" w:hAnsi="Arial" w:cs="Arial"/>
                <w:sz w:val="18"/>
                <w:szCs w:val="18"/>
                <w:lang w:val="en-US"/>
              </w:rPr>
            </w:pPr>
            <w:r w:rsidRPr="00BD295E">
              <w:rPr>
                <w:rFonts w:ascii="Arial" w:hAnsi="Arial" w:cs="Arial"/>
                <w:sz w:val="18"/>
                <w:szCs w:val="18"/>
                <w:lang w:val="en-US"/>
              </w:rPr>
              <w:t>JSC “LESR”</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96EA167" w14:textId="77777777" w:rsidR="00A100A1" w:rsidRPr="00BD295E" w:rsidRDefault="008A5057" w:rsidP="00A85863">
            <w:pPr>
              <w:spacing w:after="160" w:line="259" w:lineRule="auto"/>
              <w:rPr>
                <w:rFonts w:ascii="Arial" w:hAnsi="Arial" w:cs="Arial"/>
                <w:sz w:val="18"/>
                <w:szCs w:val="18"/>
                <w:lang w:val="en-US"/>
              </w:rPr>
            </w:pPr>
            <w:r w:rsidRPr="00BD295E">
              <w:rPr>
                <w:rFonts w:ascii="Arial" w:hAnsi="Arial" w:cs="Arial"/>
                <w:sz w:val="18"/>
                <w:szCs w:val="18"/>
                <w:lang w:val="en-US"/>
              </w:rPr>
              <w:t>Saint Petersburg</w:t>
            </w: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2432F251" w14:textId="77777777" w:rsidR="00A100A1" w:rsidRPr="00BD295E" w:rsidRDefault="008A5057" w:rsidP="00A85863">
            <w:pPr>
              <w:spacing w:after="160" w:line="259" w:lineRule="auto"/>
              <w:rPr>
                <w:rFonts w:ascii="Arial" w:hAnsi="Arial" w:cs="Arial"/>
                <w:sz w:val="18"/>
                <w:szCs w:val="18"/>
                <w:lang w:val="en-US"/>
              </w:rPr>
            </w:pPr>
            <w:r w:rsidRPr="00BD295E">
              <w:rPr>
                <w:rFonts w:ascii="Arial" w:hAnsi="Arial" w:cs="Arial"/>
                <w:sz w:val="18"/>
                <w:szCs w:val="18"/>
                <w:lang w:val="en-US"/>
              </w:rPr>
              <w:t>Engineering surveys, engineering design, management of construction projects, construction and design supervision, as well as technical advice in these areas</w:t>
            </w:r>
          </w:p>
          <w:p w14:paraId="5186D7AE" w14:textId="77777777" w:rsidR="00A100A1" w:rsidRPr="00BD295E" w:rsidRDefault="008A5057" w:rsidP="00A85863">
            <w:pPr>
              <w:spacing w:after="160" w:line="259" w:lineRule="auto"/>
              <w:rPr>
                <w:rFonts w:ascii="Arial" w:hAnsi="Arial" w:cs="Arial"/>
                <w:sz w:val="18"/>
                <w:szCs w:val="18"/>
                <w:lang w:val="en-US"/>
              </w:rPr>
            </w:pPr>
            <w:r w:rsidRPr="00BD295E">
              <w:rPr>
                <w:rFonts w:ascii="Arial" w:hAnsi="Arial" w:cs="Arial"/>
                <w:sz w:val="18"/>
                <w:szCs w:val="18"/>
                <w:lang w:val="en-US"/>
              </w:rPr>
              <w:t>Construction of local electricity distribution and communication lines (in line with the Unified State Register of Legal Entities)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D0D0846"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100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8034C02" w14:textId="77777777" w:rsidR="00A100A1" w:rsidRPr="00BD295E" w:rsidRDefault="008A5057" w:rsidP="00A85863">
            <w:pPr>
              <w:spacing w:after="160" w:line="259" w:lineRule="auto"/>
              <w:jc w:val="center"/>
              <w:rPr>
                <w:rFonts w:ascii="Arial" w:hAnsi="Arial" w:cs="Arial"/>
                <w:sz w:val="18"/>
                <w:szCs w:val="18"/>
                <w:lang w:val="en-US"/>
              </w:rPr>
            </w:pPr>
            <w:r w:rsidRPr="00BD295E">
              <w:rPr>
                <w:rFonts w:ascii="Arial" w:hAnsi="Arial" w:cs="Arial"/>
                <w:sz w:val="18"/>
                <w:szCs w:val="18"/>
                <w:lang w:val="en-US"/>
              </w:rPr>
              <w:t>1,942,817</w:t>
            </w:r>
          </w:p>
        </w:tc>
      </w:tr>
    </w:tbl>
    <w:p w14:paraId="7E547C75" w14:textId="77777777" w:rsidR="00A100A1" w:rsidRPr="00BD295E" w:rsidRDefault="00A100A1" w:rsidP="00A100A1">
      <w:pPr>
        <w:tabs>
          <w:tab w:val="left" w:pos="-426"/>
          <w:tab w:val="left" w:pos="142"/>
          <w:tab w:val="left" w:pos="9356"/>
        </w:tabs>
        <w:jc w:val="both"/>
        <w:rPr>
          <w:rFonts w:ascii="Arial" w:hAnsi="Arial" w:cs="Arial"/>
          <w:sz w:val="18"/>
          <w:szCs w:val="18"/>
          <w:lang w:val="en-US"/>
        </w:rPr>
      </w:pPr>
    </w:p>
    <w:p w14:paraId="0A37A27F" w14:textId="77777777" w:rsidR="00A100A1" w:rsidRPr="00BD295E" w:rsidRDefault="008A5057" w:rsidP="00A100A1">
      <w:pPr>
        <w:tabs>
          <w:tab w:val="left" w:pos="-426"/>
          <w:tab w:val="left" w:pos="142"/>
          <w:tab w:val="left" w:pos="9356"/>
        </w:tabs>
        <w:jc w:val="both"/>
        <w:rPr>
          <w:rFonts w:ascii="Arial" w:hAnsi="Arial" w:cs="Arial"/>
          <w:sz w:val="18"/>
          <w:szCs w:val="18"/>
          <w:lang w:val="en-US"/>
        </w:rPr>
      </w:pPr>
      <w:r w:rsidRPr="00BD295E">
        <w:rPr>
          <w:rFonts w:ascii="Arial" w:hAnsi="Arial" w:cs="Arial"/>
          <w:sz w:val="18"/>
          <w:szCs w:val="18"/>
          <w:lang w:val="en-US"/>
        </w:rPr>
        <w:t>On the sale of non-core assets in the reporting year (</w:t>
      </w:r>
      <w:r w:rsidRPr="00BD295E">
        <w:rPr>
          <w:rFonts w:ascii="Arial" w:hAnsi="Arial" w:cs="Arial"/>
          <w:b/>
          <w:bCs/>
          <w:sz w:val="18"/>
          <w:szCs w:val="18"/>
          <w:lang w:val="en-US"/>
        </w:rPr>
        <w:t xml:space="preserve">applicable only to grid </w:t>
      </w:r>
      <w:r w:rsidR="006515AB" w:rsidRPr="00BD295E">
        <w:rPr>
          <w:rFonts w:ascii="Arial" w:hAnsi="Arial" w:cs="Arial"/>
          <w:b/>
          <w:bCs/>
          <w:sz w:val="18"/>
          <w:szCs w:val="18"/>
          <w:lang w:val="en-US"/>
        </w:rPr>
        <w:t>subsidiaries and affiliates</w:t>
      </w:r>
      <w:r w:rsidRPr="00BD295E">
        <w:rPr>
          <w:rFonts w:ascii="Arial" w:hAnsi="Arial" w:cs="Arial"/>
          <w:sz w:val="18"/>
          <w:szCs w:val="18"/>
          <w:lang w:val="en-US"/>
        </w:rPr>
        <w:t>).</w:t>
      </w:r>
    </w:p>
    <w:p w14:paraId="13619DB5" w14:textId="77777777" w:rsidR="00A100A1" w:rsidRPr="00BD295E" w:rsidRDefault="00A100A1" w:rsidP="00A100A1">
      <w:pPr>
        <w:pStyle w:val="af3"/>
        <w:tabs>
          <w:tab w:val="left" w:pos="-426"/>
          <w:tab w:val="left" w:pos="1276"/>
          <w:tab w:val="left" w:pos="9356"/>
        </w:tabs>
        <w:ind w:left="-426" w:firstLine="284"/>
        <w:jc w:val="both"/>
        <w:rPr>
          <w:rFonts w:ascii="Arial" w:hAnsi="Arial" w:cs="Arial"/>
          <w:sz w:val="18"/>
          <w:szCs w:val="18"/>
          <w:lang w:val="en-US"/>
        </w:rPr>
      </w:pPr>
    </w:p>
    <w:p w14:paraId="22EBEBBE" w14:textId="45A1BFC9" w:rsidR="00A100A1" w:rsidRPr="00BD295E" w:rsidRDefault="008A5057" w:rsidP="003D49A2">
      <w:pPr>
        <w:pStyle w:val="af3"/>
        <w:tabs>
          <w:tab w:val="left" w:pos="0"/>
          <w:tab w:val="left" w:pos="1276"/>
          <w:tab w:val="left" w:pos="9356"/>
        </w:tabs>
        <w:ind w:left="-426"/>
        <w:jc w:val="both"/>
        <w:rPr>
          <w:rFonts w:ascii="Arial" w:hAnsi="Arial" w:cs="Arial"/>
          <w:sz w:val="18"/>
          <w:szCs w:val="18"/>
          <w:lang w:val="en-US"/>
        </w:rPr>
      </w:pPr>
      <w:r w:rsidRPr="00BD295E">
        <w:rPr>
          <w:rFonts w:ascii="Arial" w:hAnsi="Arial" w:cs="Arial"/>
          <w:sz w:val="18"/>
          <w:szCs w:val="18"/>
          <w:lang w:val="en-US"/>
        </w:rPr>
        <w:t xml:space="preserve">In accordance with the Executive Order No. 596 of the Russian President </w:t>
      </w:r>
      <w:r w:rsidR="008B183C" w:rsidRPr="00BD295E">
        <w:rPr>
          <w:rFonts w:ascii="Arial" w:hAnsi="Arial" w:cs="Arial"/>
          <w:sz w:val="18"/>
          <w:szCs w:val="18"/>
          <w:lang w:val="en-US"/>
        </w:rPr>
        <w:t>of</w:t>
      </w:r>
      <w:r w:rsidRPr="00BD295E">
        <w:rPr>
          <w:rFonts w:ascii="Arial" w:hAnsi="Arial" w:cs="Arial"/>
          <w:sz w:val="18"/>
          <w:szCs w:val="18"/>
          <w:lang w:val="en-US"/>
        </w:rPr>
        <w:t xml:space="preserve"> May 7, 2012, Directive No. 4863p-P13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July 7, 2016, and the Instruction No, 894-r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May 10, 2017, the Resolution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10, 2017 (Minutes No. 18) the Program for Disposal of Non-Core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(hereinafter the “Program”), the </w:t>
      </w:r>
      <w:r w:rsidR="00BF7D8E" w:rsidRPr="00BD295E">
        <w:rPr>
          <w:rFonts w:ascii="Arial" w:hAnsi="Arial" w:cs="Arial"/>
          <w:sz w:val="18"/>
          <w:szCs w:val="18"/>
          <w:lang w:val="en-US"/>
        </w:rPr>
        <w:t>updated</w:t>
      </w:r>
      <w:r w:rsidRPr="00BD295E">
        <w:rPr>
          <w:rFonts w:ascii="Arial" w:hAnsi="Arial" w:cs="Arial"/>
          <w:sz w:val="18"/>
          <w:szCs w:val="18"/>
          <w:lang w:val="en-US"/>
        </w:rPr>
        <w:t xml:space="preserve"> version was approved by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on December 8, 2018 (Minutes No. 15). </w:t>
      </w:r>
    </w:p>
    <w:p w14:paraId="4FBF9A56" w14:textId="77777777" w:rsidR="00A100A1" w:rsidRPr="00BD295E" w:rsidRDefault="008A5057" w:rsidP="003D49A2">
      <w:pPr>
        <w:pStyle w:val="af3"/>
        <w:tabs>
          <w:tab w:val="left" w:pos="0"/>
          <w:tab w:val="left" w:pos="1276"/>
          <w:tab w:val="left" w:pos="9356"/>
        </w:tabs>
        <w:ind w:left="-426"/>
        <w:jc w:val="both"/>
        <w:rPr>
          <w:rFonts w:ascii="Arial" w:hAnsi="Arial" w:cs="Arial"/>
          <w:sz w:val="18"/>
          <w:szCs w:val="18"/>
          <w:lang w:val="en-US"/>
        </w:rPr>
      </w:pPr>
      <w:r w:rsidRPr="00BD295E">
        <w:rPr>
          <w:rFonts w:ascii="Arial" w:hAnsi="Arial" w:cs="Arial"/>
          <w:sz w:val="18"/>
          <w:szCs w:val="18"/>
          <w:lang w:val="en-US"/>
        </w:rPr>
        <w:t xml:space="preserve">The Program defines the basic approaches, principles, and procedures for identifying and disposing of non-core assets, establishes the criteria for classifying assets as non-core assets, the procedure for maintaining the Non-Core Asset Register, approaches to determining the value of non-core assets, the basic provisions for the disposal of non-core assets, and the procedure for reporting on the implementation of the Non-Core Asset Register. </w:t>
      </w:r>
    </w:p>
    <w:p w14:paraId="0490A592" w14:textId="26B44A33" w:rsidR="003D49A2" w:rsidRPr="00BD295E" w:rsidRDefault="008A5057" w:rsidP="003D49A2">
      <w:pPr>
        <w:pStyle w:val="af3"/>
        <w:tabs>
          <w:tab w:val="left" w:pos="0"/>
          <w:tab w:val="left" w:pos="1276"/>
          <w:tab w:val="left" w:pos="9356"/>
        </w:tabs>
        <w:ind w:left="-426"/>
        <w:jc w:val="both"/>
        <w:rPr>
          <w:rFonts w:ascii="Arial" w:hAnsi="Arial" w:cs="Arial"/>
          <w:sz w:val="18"/>
          <w:szCs w:val="18"/>
          <w:lang w:val="en-US"/>
        </w:rPr>
      </w:pPr>
      <w:r w:rsidRPr="00BD295E">
        <w:rPr>
          <w:rFonts w:ascii="Arial" w:hAnsi="Arial" w:cs="Arial"/>
          <w:sz w:val="18"/>
          <w:szCs w:val="18"/>
          <w:lang w:val="en-US"/>
        </w:rPr>
        <w:t xml:space="preserve">The Non-Core Asset Register established in line with the requirements of the Program, is </w:t>
      </w:r>
      <w:r w:rsidR="00BF7D8E" w:rsidRPr="00BD295E">
        <w:rPr>
          <w:rFonts w:ascii="Arial" w:hAnsi="Arial" w:cs="Arial"/>
          <w:sz w:val="18"/>
          <w:szCs w:val="18"/>
          <w:lang w:val="en-US"/>
        </w:rPr>
        <w:t>updated</w:t>
      </w:r>
      <w:r w:rsidRPr="00BD295E">
        <w:rPr>
          <w:rFonts w:ascii="Arial" w:hAnsi="Arial" w:cs="Arial"/>
          <w:sz w:val="18"/>
          <w:szCs w:val="18"/>
          <w:lang w:val="en-US"/>
        </w:rPr>
        <w:t xml:space="preserve"> on a quarterly basis. The </w:t>
      </w:r>
      <w:r w:rsidR="00BF7D8E" w:rsidRPr="00BD295E">
        <w:rPr>
          <w:rFonts w:ascii="Arial" w:hAnsi="Arial" w:cs="Arial"/>
          <w:sz w:val="18"/>
          <w:szCs w:val="18"/>
          <w:lang w:val="en-US"/>
        </w:rPr>
        <w:t>updated</w:t>
      </w:r>
      <w:r w:rsidRPr="00BD295E">
        <w:rPr>
          <w:rFonts w:ascii="Arial" w:hAnsi="Arial" w:cs="Arial"/>
          <w:sz w:val="18"/>
          <w:szCs w:val="18"/>
          <w:lang w:val="en-US"/>
        </w:rPr>
        <w:t xml:space="preserve"> Non-Core Asset Register as at December 31, 2018 was approved by the Resolution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on September 4, 2019 (Minutes No. 23).</w:t>
      </w:r>
    </w:p>
    <w:p w14:paraId="3C2C7ABA" w14:textId="77777777" w:rsidR="003D49A2" w:rsidRPr="00BD295E" w:rsidRDefault="003D49A2" w:rsidP="003D49A2">
      <w:pPr>
        <w:pStyle w:val="af3"/>
        <w:tabs>
          <w:tab w:val="left" w:pos="0"/>
          <w:tab w:val="left" w:pos="1276"/>
          <w:tab w:val="left" w:pos="9356"/>
        </w:tabs>
        <w:ind w:left="-426"/>
        <w:jc w:val="both"/>
        <w:rPr>
          <w:rFonts w:ascii="Arial" w:hAnsi="Arial" w:cs="Arial"/>
          <w:sz w:val="18"/>
          <w:szCs w:val="18"/>
          <w:lang w:val="en-US"/>
        </w:rPr>
      </w:pPr>
    </w:p>
    <w:p w14:paraId="116CFD40" w14:textId="77777777" w:rsidR="00A100A1" w:rsidRPr="00BD295E" w:rsidRDefault="008A5057" w:rsidP="003D49A2">
      <w:pPr>
        <w:pStyle w:val="af3"/>
        <w:tabs>
          <w:tab w:val="left" w:pos="0"/>
          <w:tab w:val="left" w:pos="1276"/>
          <w:tab w:val="left" w:pos="9356"/>
        </w:tabs>
        <w:ind w:left="-426"/>
        <w:jc w:val="both"/>
        <w:rPr>
          <w:rFonts w:ascii="Arial" w:hAnsi="Arial" w:cs="Arial"/>
          <w:sz w:val="18"/>
          <w:szCs w:val="18"/>
          <w:lang w:val="en-US"/>
        </w:rPr>
      </w:pPr>
      <w:r w:rsidRPr="00BD295E">
        <w:rPr>
          <w:rFonts w:ascii="Arial" w:hAnsi="Arial" w:cs="Arial"/>
          <w:sz w:val="18"/>
          <w:szCs w:val="18"/>
          <w:lang w:val="en-US"/>
        </w:rPr>
        <w:t>On the structure of the company’s property and changes thereto.</w:t>
      </w:r>
    </w:p>
    <w:p w14:paraId="1D3C4543" w14:textId="77777777" w:rsidR="00A100A1" w:rsidRPr="00BD295E" w:rsidRDefault="00A100A1" w:rsidP="00A100A1">
      <w:pPr>
        <w:tabs>
          <w:tab w:val="left" w:pos="142"/>
          <w:tab w:val="left" w:pos="9356"/>
        </w:tabs>
        <w:ind w:left="-142"/>
        <w:contextualSpacing/>
        <w:jc w:val="both"/>
        <w:rPr>
          <w:rFonts w:ascii="Arial" w:eastAsia="Calibri" w:hAnsi="Arial" w:cs="Arial"/>
          <w:bCs/>
          <w:sz w:val="18"/>
          <w:szCs w:val="18"/>
          <w:lang w:val="en-US" w:eastAsia="en-US"/>
        </w:rPr>
      </w:pPr>
    </w:p>
    <w:p w14:paraId="2C39D9FB" w14:textId="77777777" w:rsidR="00A100A1" w:rsidRPr="00BD295E" w:rsidRDefault="008A5057" w:rsidP="00A100A1">
      <w:pPr>
        <w:tabs>
          <w:tab w:val="left" w:pos="9356"/>
        </w:tabs>
        <w:ind w:firstLine="708"/>
        <w:jc w:val="center"/>
        <w:rPr>
          <w:rFonts w:ascii="Arial" w:hAnsi="Arial" w:cs="Arial"/>
          <w:b/>
          <w:sz w:val="18"/>
          <w:szCs w:val="18"/>
          <w:lang w:val="en-US"/>
        </w:rPr>
      </w:pPr>
      <w:r w:rsidRPr="00BD295E">
        <w:rPr>
          <w:rFonts w:ascii="Arial" w:hAnsi="Arial" w:cs="Arial"/>
          <w:b/>
          <w:sz w:val="18"/>
          <w:szCs w:val="18"/>
          <w:lang w:val="en-US"/>
        </w:rPr>
        <w:t xml:space="preserve">Information on the structure of Lenenergo’s property and changes thereto. </w:t>
      </w:r>
    </w:p>
    <w:p w14:paraId="426C4654" w14:textId="77777777" w:rsidR="00A100A1" w:rsidRPr="00BD295E" w:rsidRDefault="00A100A1" w:rsidP="00A100A1">
      <w:pPr>
        <w:tabs>
          <w:tab w:val="left" w:pos="9356"/>
        </w:tabs>
        <w:ind w:firstLine="708"/>
        <w:jc w:val="center"/>
        <w:rPr>
          <w:rFonts w:ascii="Arial" w:hAnsi="Arial" w:cs="Arial"/>
          <w:b/>
          <w:sz w:val="18"/>
          <w:szCs w:val="18"/>
          <w:lang w:val="en-US"/>
        </w:rPr>
      </w:pPr>
    </w:p>
    <w:p w14:paraId="4ED2DDAE" w14:textId="77777777" w:rsidR="00A100A1" w:rsidRPr="00BD295E" w:rsidRDefault="008A5057" w:rsidP="00A100A1">
      <w:pPr>
        <w:tabs>
          <w:tab w:val="left" w:pos="9356"/>
        </w:tabs>
        <w:ind w:right="-314" w:firstLine="708"/>
        <w:jc w:val="right"/>
        <w:rPr>
          <w:rFonts w:ascii="Arial" w:hAnsi="Arial" w:cs="Arial"/>
          <w:sz w:val="18"/>
          <w:szCs w:val="18"/>
          <w:lang w:val="en-US"/>
        </w:rPr>
      </w:pPr>
      <w:r w:rsidRPr="00BD295E">
        <w:rPr>
          <w:rFonts w:ascii="Arial" w:hAnsi="Arial" w:cs="Arial"/>
          <w:sz w:val="18"/>
          <w:szCs w:val="18"/>
          <w:lang w:val="en-US"/>
        </w:rPr>
        <w:t xml:space="preserve">        Table 24</w:t>
      </w:r>
    </w:p>
    <w:tbl>
      <w:tblPr>
        <w:tblW w:w="9747" w:type="dxa"/>
        <w:tblLayout w:type="fixed"/>
        <w:tblLook w:val="04A0" w:firstRow="1" w:lastRow="0" w:firstColumn="1" w:lastColumn="0" w:noHBand="0" w:noVBand="1"/>
      </w:tblPr>
      <w:tblGrid>
        <w:gridCol w:w="534"/>
        <w:gridCol w:w="1984"/>
        <w:gridCol w:w="1418"/>
        <w:gridCol w:w="1134"/>
        <w:gridCol w:w="1135"/>
        <w:gridCol w:w="1135"/>
        <w:gridCol w:w="1134"/>
        <w:gridCol w:w="1273"/>
      </w:tblGrid>
      <w:tr w:rsidR="008A5057" w:rsidRPr="00BD295E" w14:paraId="59A00F4F" w14:textId="77777777" w:rsidTr="00A85863">
        <w:trPr>
          <w:trHeight w:val="2605"/>
          <w:tblHeader/>
        </w:trPr>
        <w:tc>
          <w:tcPr>
            <w:tcW w:w="534" w:type="dxa"/>
            <w:tcBorders>
              <w:top w:val="single" w:sz="4" w:space="0" w:color="auto"/>
              <w:left w:val="single" w:sz="4" w:space="0" w:color="auto"/>
              <w:bottom w:val="single" w:sz="4" w:space="0" w:color="auto"/>
              <w:right w:val="single" w:sz="4" w:space="0" w:color="auto"/>
            </w:tcBorders>
            <w:vAlign w:val="center"/>
            <w:hideMark/>
          </w:tcPr>
          <w:p w14:paraId="0A8F3BE6"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 </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3F9984F"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Title</w:t>
            </w:r>
          </w:p>
        </w:tc>
        <w:tc>
          <w:tcPr>
            <w:tcW w:w="1418" w:type="dxa"/>
            <w:tcBorders>
              <w:top w:val="single" w:sz="4" w:space="0" w:color="auto"/>
              <w:left w:val="nil"/>
              <w:bottom w:val="single" w:sz="4" w:space="0" w:color="auto"/>
              <w:right w:val="single" w:sz="4" w:space="0" w:color="auto"/>
            </w:tcBorders>
            <w:vAlign w:val="center"/>
            <w:hideMark/>
          </w:tcPr>
          <w:p w14:paraId="0954D98E"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Physical parameters:</w:t>
            </w:r>
          </w:p>
          <w:p w14:paraId="172AE1AC"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for overhead lines and cable networks – circuit length (km),</w:t>
            </w:r>
          </w:p>
          <w:p w14:paraId="63204917"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for substations, other assets – count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8A0EDBD"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Book (residual) value as at January 1, 2018 (RUB thousand)</w:t>
            </w:r>
          </w:p>
        </w:tc>
        <w:tc>
          <w:tcPr>
            <w:tcW w:w="1135" w:type="dxa"/>
            <w:tcBorders>
              <w:top w:val="single" w:sz="4" w:space="0" w:color="auto"/>
              <w:left w:val="single" w:sz="4" w:space="0" w:color="auto"/>
              <w:bottom w:val="single" w:sz="4" w:space="0" w:color="auto"/>
              <w:right w:val="single" w:sz="4" w:space="0" w:color="auto"/>
            </w:tcBorders>
            <w:vAlign w:val="center"/>
            <w:hideMark/>
          </w:tcPr>
          <w:p w14:paraId="00CD6B91"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Acquired from January 1, 2018</w:t>
            </w:r>
          </w:p>
          <w:p w14:paraId="63A44F79"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to December 31, 2018 (RUB thousand)</w:t>
            </w:r>
          </w:p>
        </w:tc>
        <w:tc>
          <w:tcPr>
            <w:tcW w:w="1135" w:type="dxa"/>
            <w:tcBorders>
              <w:top w:val="single" w:sz="4" w:space="0" w:color="auto"/>
              <w:left w:val="single" w:sz="4" w:space="0" w:color="auto"/>
              <w:bottom w:val="single" w:sz="4" w:space="0" w:color="auto"/>
              <w:right w:val="single" w:sz="4" w:space="0" w:color="auto"/>
            </w:tcBorders>
            <w:vAlign w:val="center"/>
            <w:hideMark/>
          </w:tcPr>
          <w:p w14:paraId="3189BED5"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Disposed from January 1, 2018 to December 31, 2018 (RUB thousand)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C6AC993"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Amortization and depreciation accrued from January 1, 2018 to December 31, 2018 (RUB thousand)</w:t>
            </w:r>
          </w:p>
        </w:tc>
        <w:tc>
          <w:tcPr>
            <w:tcW w:w="1273" w:type="dxa"/>
            <w:tcBorders>
              <w:top w:val="single" w:sz="4" w:space="0" w:color="auto"/>
              <w:left w:val="single" w:sz="4" w:space="0" w:color="auto"/>
              <w:bottom w:val="single" w:sz="4" w:space="0" w:color="auto"/>
              <w:right w:val="single" w:sz="4" w:space="0" w:color="auto"/>
            </w:tcBorders>
            <w:vAlign w:val="center"/>
            <w:hideMark/>
          </w:tcPr>
          <w:p w14:paraId="77C3B7DC"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 xml:space="preserve"> </w:t>
            </w:r>
          </w:p>
          <w:p w14:paraId="2A715A40"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Book (residual) value as at December 31, 2018 (RUB thousand)</w:t>
            </w:r>
          </w:p>
        </w:tc>
      </w:tr>
      <w:tr w:rsidR="008A5057" w:rsidRPr="00BD295E" w14:paraId="7C1851D4" w14:textId="77777777" w:rsidTr="00A85863">
        <w:trPr>
          <w:trHeight w:val="255"/>
          <w:tblHeader/>
        </w:trPr>
        <w:tc>
          <w:tcPr>
            <w:tcW w:w="534" w:type="dxa"/>
            <w:tcBorders>
              <w:top w:val="single" w:sz="4" w:space="0" w:color="auto"/>
              <w:left w:val="single" w:sz="4" w:space="0" w:color="auto"/>
              <w:bottom w:val="single" w:sz="4" w:space="0" w:color="auto"/>
              <w:right w:val="single" w:sz="4" w:space="0" w:color="auto"/>
            </w:tcBorders>
            <w:vAlign w:val="center"/>
            <w:hideMark/>
          </w:tcPr>
          <w:p w14:paraId="6C781D2B"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1</w:t>
            </w:r>
          </w:p>
        </w:tc>
        <w:tc>
          <w:tcPr>
            <w:tcW w:w="1984" w:type="dxa"/>
            <w:tcBorders>
              <w:top w:val="single" w:sz="4" w:space="0" w:color="auto"/>
              <w:left w:val="nil"/>
              <w:bottom w:val="single" w:sz="4" w:space="0" w:color="auto"/>
              <w:right w:val="single" w:sz="4" w:space="0" w:color="auto"/>
            </w:tcBorders>
            <w:vAlign w:val="center"/>
            <w:hideMark/>
          </w:tcPr>
          <w:p w14:paraId="5703E1CC"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2</w:t>
            </w:r>
          </w:p>
        </w:tc>
        <w:tc>
          <w:tcPr>
            <w:tcW w:w="1418" w:type="dxa"/>
            <w:tcBorders>
              <w:top w:val="single" w:sz="4" w:space="0" w:color="auto"/>
              <w:left w:val="nil"/>
              <w:bottom w:val="single" w:sz="4" w:space="0" w:color="auto"/>
              <w:right w:val="single" w:sz="4" w:space="0" w:color="auto"/>
            </w:tcBorders>
            <w:vAlign w:val="center"/>
            <w:hideMark/>
          </w:tcPr>
          <w:p w14:paraId="4AFA2D98"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3</w:t>
            </w:r>
          </w:p>
        </w:tc>
        <w:tc>
          <w:tcPr>
            <w:tcW w:w="1134" w:type="dxa"/>
            <w:tcBorders>
              <w:top w:val="single" w:sz="4" w:space="0" w:color="auto"/>
              <w:left w:val="nil"/>
              <w:bottom w:val="single" w:sz="4" w:space="0" w:color="auto"/>
              <w:right w:val="single" w:sz="4" w:space="0" w:color="auto"/>
            </w:tcBorders>
            <w:vAlign w:val="center"/>
            <w:hideMark/>
          </w:tcPr>
          <w:p w14:paraId="7AB3FBED"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4</w:t>
            </w:r>
          </w:p>
        </w:tc>
        <w:tc>
          <w:tcPr>
            <w:tcW w:w="1135" w:type="dxa"/>
            <w:tcBorders>
              <w:top w:val="single" w:sz="4" w:space="0" w:color="auto"/>
              <w:left w:val="nil"/>
              <w:bottom w:val="single" w:sz="4" w:space="0" w:color="auto"/>
              <w:right w:val="single" w:sz="4" w:space="0" w:color="auto"/>
            </w:tcBorders>
            <w:vAlign w:val="center"/>
            <w:hideMark/>
          </w:tcPr>
          <w:p w14:paraId="65D4BFE3"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5</w:t>
            </w:r>
          </w:p>
        </w:tc>
        <w:tc>
          <w:tcPr>
            <w:tcW w:w="1135" w:type="dxa"/>
            <w:tcBorders>
              <w:top w:val="single" w:sz="4" w:space="0" w:color="auto"/>
              <w:left w:val="nil"/>
              <w:bottom w:val="single" w:sz="4" w:space="0" w:color="auto"/>
              <w:right w:val="single" w:sz="4" w:space="0" w:color="auto"/>
            </w:tcBorders>
            <w:vAlign w:val="center"/>
            <w:hideMark/>
          </w:tcPr>
          <w:p w14:paraId="2DD24CFE"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6</w:t>
            </w:r>
          </w:p>
        </w:tc>
        <w:tc>
          <w:tcPr>
            <w:tcW w:w="1134" w:type="dxa"/>
            <w:tcBorders>
              <w:top w:val="single" w:sz="4" w:space="0" w:color="auto"/>
              <w:left w:val="nil"/>
              <w:bottom w:val="single" w:sz="4" w:space="0" w:color="auto"/>
              <w:right w:val="single" w:sz="4" w:space="0" w:color="auto"/>
            </w:tcBorders>
            <w:vAlign w:val="center"/>
            <w:hideMark/>
          </w:tcPr>
          <w:p w14:paraId="77E08AD4"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7</w:t>
            </w:r>
          </w:p>
        </w:tc>
        <w:tc>
          <w:tcPr>
            <w:tcW w:w="1273" w:type="dxa"/>
            <w:tcBorders>
              <w:top w:val="single" w:sz="4" w:space="0" w:color="auto"/>
              <w:left w:val="nil"/>
              <w:bottom w:val="single" w:sz="4" w:space="0" w:color="auto"/>
              <w:right w:val="single" w:sz="4" w:space="0" w:color="auto"/>
            </w:tcBorders>
            <w:vAlign w:val="center"/>
            <w:hideMark/>
          </w:tcPr>
          <w:p w14:paraId="7C3AF00E"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8</w:t>
            </w:r>
          </w:p>
        </w:tc>
      </w:tr>
      <w:tr w:rsidR="008A5057" w:rsidRPr="00BD295E" w14:paraId="18FDDCFA" w14:textId="77777777" w:rsidTr="00A85863">
        <w:trPr>
          <w:trHeight w:val="510"/>
        </w:trPr>
        <w:tc>
          <w:tcPr>
            <w:tcW w:w="534" w:type="dxa"/>
            <w:tcBorders>
              <w:top w:val="single" w:sz="4" w:space="0" w:color="auto"/>
              <w:left w:val="single" w:sz="4" w:space="0" w:color="auto"/>
              <w:bottom w:val="single" w:sz="4" w:space="0" w:color="auto"/>
              <w:right w:val="single" w:sz="4" w:space="0" w:color="auto"/>
            </w:tcBorders>
            <w:vAlign w:val="center"/>
            <w:hideMark/>
          </w:tcPr>
          <w:p w14:paraId="4C081EE3"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2.</w:t>
            </w:r>
          </w:p>
        </w:tc>
        <w:tc>
          <w:tcPr>
            <w:tcW w:w="1984" w:type="dxa"/>
            <w:tcBorders>
              <w:top w:val="single" w:sz="4" w:space="0" w:color="auto"/>
              <w:left w:val="nil"/>
              <w:bottom w:val="single" w:sz="4" w:space="0" w:color="auto"/>
              <w:right w:val="single" w:sz="4" w:space="0" w:color="auto"/>
            </w:tcBorders>
            <w:vAlign w:val="center"/>
            <w:hideMark/>
          </w:tcPr>
          <w:p w14:paraId="6E95C174" w14:textId="77777777" w:rsidR="00A100A1" w:rsidRPr="00BD295E" w:rsidRDefault="008A5057" w:rsidP="00A85863">
            <w:pPr>
              <w:tabs>
                <w:tab w:val="left" w:pos="9356"/>
              </w:tabs>
              <w:rPr>
                <w:rFonts w:ascii="Arial" w:hAnsi="Arial" w:cs="Arial"/>
                <w:bCs/>
                <w:sz w:val="18"/>
                <w:szCs w:val="18"/>
                <w:lang w:val="en-US"/>
              </w:rPr>
            </w:pPr>
            <w:r w:rsidRPr="00BD295E">
              <w:rPr>
                <w:rFonts w:ascii="Arial" w:hAnsi="Arial" w:cs="Arial"/>
                <w:bCs/>
                <w:sz w:val="18"/>
                <w:szCs w:val="18"/>
                <w:lang w:val="en-US"/>
              </w:rPr>
              <w:t>Non-core Assets included in the Non-Core Asset Register</w:t>
            </w:r>
          </w:p>
        </w:tc>
        <w:tc>
          <w:tcPr>
            <w:tcW w:w="1418" w:type="dxa"/>
            <w:tcBorders>
              <w:top w:val="single" w:sz="4" w:space="0" w:color="auto"/>
              <w:left w:val="nil"/>
              <w:bottom w:val="single" w:sz="4" w:space="0" w:color="auto"/>
              <w:right w:val="single" w:sz="4" w:space="0" w:color="auto"/>
            </w:tcBorders>
            <w:vAlign w:val="center"/>
            <w:hideMark/>
          </w:tcPr>
          <w:p w14:paraId="022B7AED"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 11</w:t>
            </w:r>
          </w:p>
        </w:tc>
        <w:tc>
          <w:tcPr>
            <w:tcW w:w="1134" w:type="dxa"/>
            <w:tcBorders>
              <w:top w:val="single" w:sz="4" w:space="0" w:color="auto"/>
              <w:left w:val="nil"/>
              <w:bottom w:val="single" w:sz="4" w:space="0" w:color="auto"/>
              <w:right w:val="single" w:sz="4" w:space="0" w:color="auto"/>
            </w:tcBorders>
            <w:vAlign w:val="center"/>
            <w:hideMark/>
          </w:tcPr>
          <w:p w14:paraId="59178C45"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101,010.37</w:t>
            </w:r>
          </w:p>
        </w:tc>
        <w:tc>
          <w:tcPr>
            <w:tcW w:w="1135" w:type="dxa"/>
            <w:tcBorders>
              <w:top w:val="single" w:sz="4" w:space="0" w:color="auto"/>
              <w:left w:val="nil"/>
              <w:bottom w:val="single" w:sz="4" w:space="0" w:color="auto"/>
              <w:right w:val="single" w:sz="4" w:space="0" w:color="auto"/>
            </w:tcBorders>
            <w:vAlign w:val="center"/>
            <w:hideMark/>
          </w:tcPr>
          <w:p w14:paraId="776D196B"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253.18</w:t>
            </w:r>
          </w:p>
        </w:tc>
        <w:tc>
          <w:tcPr>
            <w:tcW w:w="1135" w:type="dxa"/>
            <w:tcBorders>
              <w:top w:val="single" w:sz="4" w:space="0" w:color="auto"/>
              <w:left w:val="nil"/>
              <w:bottom w:val="single" w:sz="4" w:space="0" w:color="auto"/>
              <w:right w:val="single" w:sz="4" w:space="0" w:color="auto"/>
            </w:tcBorders>
            <w:vAlign w:val="center"/>
            <w:hideMark/>
          </w:tcPr>
          <w:p w14:paraId="2F75135C" w14:textId="77777777" w:rsidR="00A100A1" w:rsidRPr="00BD295E" w:rsidRDefault="008A5057" w:rsidP="00A85863">
            <w:pPr>
              <w:tabs>
                <w:tab w:val="left" w:pos="9356"/>
              </w:tabs>
              <w:jc w:val="center"/>
              <w:rPr>
                <w:rFonts w:ascii="Arial" w:hAnsi="Arial" w:cs="Arial"/>
                <w:bCs/>
                <w:sz w:val="18"/>
                <w:szCs w:val="18"/>
                <w:lang w:val="en-US"/>
              </w:rPr>
            </w:pPr>
            <w:r w:rsidRPr="00BD295E">
              <w:rPr>
                <w:rFonts w:ascii="Arial" w:hAnsi="Arial" w:cs="Arial"/>
                <w:bCs/>
                <w:sz w:val="18"/>
                <w:szCs w:val="18"/>
                <w:lang w:val="en-US"/>
              </w:rPr>
              <w:t> 0</w:t>
            </w:r>
          </w:p>
        </w:tc>
        <w:tc>
          <w:tcPr>
            <w:tcW w:w="1134" w:type="dxa"/>
            <w:tcBorders>
              <w:top w:val="single" w:sz="4" w:space="0" w:color="auto"/>
              <w:left w:val="nil"/>
              <w:bottom w:val="single" w:sz="4" w:space="0" w:color="auto"/>
              <w:right w:val="single" w:sz="4" w:space="0" w:color="auto"/>
            </w:tcBorders>
            <w:vAlign w:val="center"/>
            <w:hideMark/>
          </w:tcPr>
          <w:p w14:paraId="39748312" w14:textId="77777777" w:rsidR="00A100A1" w:rsidRPr="00BD295E" w:rsidRDefault="008A5057" w:rsidP="00A85863">
            <w:pPr>
              <w:jc w:val="center"/>
              <w:rPr>
                <w:rFonts w:ascii="Arial" w:hAnsi="Arial" w:cs="Arial"/>
                <w:bCs/>
                <w:sz w:val="18"/>
                <w:szCs w:val="18"/>
                <w:lang w:val="en-US"/>
              </w:rPr>
            </w:pPr>
            <w:r w:rsidRPr="00BD295E">
              <w:rPr>
                <w:rFonts w:ascii="Arial" w:hAnsi="Arial" w:cs="Arial"/>
                <w:bCs/>
                <w:sz w:val="18"/>
                <w:szCs w:val="18"/>
                <w:lang w:val="en-US"/>
              </w:rPr>
              <w:t>1,867.17</w:t>
            </w:r>
          </w:p>
        </w:tc>
        <w:tc>
          <w:tcPr>
            <w:tcW w:w="1273" w:type="dxa"/>
            <w:tcBorders>
              <w:top w:val="single" w:sz="4" w:space="0" w:color="auto"/>
              <w:left w:val="nil"/>
              <w:bottom w:val="single" w:sz="4" w:space="0" w:color="auto"/>
              <w:right w:val="single" w:sz="4" w:space="0" w:color="auto"/>
            </w:tcBorders>
            <w:vAlign w:val="center"/>
            <w:hideMark/>
          </w:tcPr>
          <w:p w14:paraId="45D50A6D" w14:textId="77777777" w:rsidR="00A100A1" w:rsidRPr="00BD295E" w:rsidRDefault="008A5057" w:rsidP="00A85863">
            <w:pPr>
              <w:jc w:val="center"/>
              <w:rPr>
                <w:rFonts w:ascii="Arial" w:hAnsi="Arial" w:cs="Arial"/>
                <w:bCs/>
                <w:sz w:val="18"/>
                <w:szCs w:val="18"/>
                <w:lang w:val="en-US"/>
              </w:rPr>
            </w:pPr>
            <w:r w:rsidRPr="00BD295E">
              <w:rPr>
                <w:rFonts w:ascii="Arial" w:hAnsi="Arial" w:cs="Arial"/>
                <w:bCs/>
                <w:sz w:val="18"/>
                <w:szCs w:val="18"/>
                <w:lang w:val="en-US"/>
              </w:rPr>
              <w:t>99,396.38</w:t>
            </w:r>
          </w:p>
        </w:tc>
      </w:tr>
    </w:tbl>
    <w:p w14:paraId="5E133371" w14:textId="77777777" w:rsidR="00260D12" w:rsidRPr="00BD295E" w:rsidRDefault="00260D12" w:rsidP="00260D12">
      <w:pPr>
        <w:tabs>
          <w:tab w:val="left" w:pos="993"/>
          <w:tab w:val="left" w:pos="1418"/>
          <w:tab w:val="left" w:pos="1843"/>
          <w:tab w:val="left" w:pos="3119"/>
          <w:tab w:val="left" w:pos="3402"/>
        </w:tabs>
        <w:jc w:val="both"/>
        <w:rPr>
          <w:rFonts w:ascii="Arial" w:hAnsi="Arial" w:cs="Arial"/>
          <w:sz w:val="18"/>
          <w:szCs w:val="18"/>
          <w:lang w:val="en-US"/>
        </w:rPr>
      </w:pPr>
    </w:p>
    <w:p w14:paraId="21A960FA" w14:textId="77777777" w:rsidR="00FD1F0A" w:rsidRPr="00BD295E" w:rsidRDefault="008A5057" w:rsidP="00CA2271">
      <w:pPr>
        <w:pStyle w:val="af3"/>
        <w:keepNext/>
        <w:numPr>
          <w:ilvl w:val="1"/>
          <w:numId w:val="140"/>
        </w:numPr>
        <w:spacing w:line="360" w:lineRule="auto"/>
        <w:jc w:val="both"/>
        <w:outlineLvl w:val="1"/>
        <w:rPr>
          <w:rFonts w:ascii="Arial" w:hAnsi="Arial" w:cs="Arial"/>
          <w:b/>
          <w:sz w:val="18"/>
          <w:szCs w:val="18"/>
          <w:lang w:val="en-US"/>
        </w:rPr>
      </w:pPr>
      <w:bookmarkStart w:id="292" w:name="_Toc509493395"/>
      <w:bookmarkStart w:id="293" w:name="_Toc509497959"/>
      <w:bookmarkStart w:id="294" w:name="_Toc509581261"/>
      <w:bookmarkStart w:id="295" w:name="_Toc510452225"/>
      <w:bookmarkStart w:id="296" w:name="_Toc5027014"/>
      <w:bookmarkStart w:id="297" w:name="_Toc5105973"/>
      <w:bookmarkStart w:id="298" w:name="_Toc5203826"/>
      <w:bookmarkStart w:id="299" w:name="_Toc6230923"/>
      <w:bookmarkStart w:id="300" w:name="_Toc7172571"/>
      <w:bookmarkStart w:id="301" w:name="_Toc7172617"/>
      <w:bookmarkStart w:id="302" w:name="_Toc95855292"/>
      <w:bookmarkStart w:id="303" w:name="_Toc95935351"/>
      <w:r w:rsidRPr="00BD295E">
        <w:rPr>
          <w:rFonts w:ascii="Arial" w:hAnsi="Arial" w:cs="Arial"/>
          <w:b/>
          <w:sz w:val="18"/>
          <w:szCs w:val="18"/>
          <w:lang w:val="en-US"/>
        </w:rPr>
        <w:t>Technical Upgrading, Development, and Innovation</w:t>
      </w:r>
      <w:bookmarkEnd w:id="292"/>
      <w:bookmarkEnd w:id="293"/>
      <w:bookmarkEnd w:id="294"/>
      <w:bookmarkEnd w:id="295"/>
      <w:bookmarkEnd w:id="296"/>
      <w:bookmarkEnd w:id="297"/>
      <w:bookmarkEnd w:id="298"/>
      <w:bookmarkEnd w:id="299"/>
      <w:bookmarkEnd w:id="300"/>
      <w:bookmarkEnd w:id="301"/>
      <w:bookmarkEnd w:id="302"/>
      <w:bookmarkEnd w:id="303"/>
    </w:p>
    <w:p w14:paraId="79FA1203" w14:textId="77777777" w:rsidR="00FC699D" w:rsidRPr="00BD295E" w:rsidRDefault="00FC699D" w:rsidP="00FC699D">
      <w:pPr>
        <w:jc w:val="both"/>
        <w:rPr>
          <w:rFonts w:ascii="Arial" w:hAnsi="Arial" w:cs="Arial"/>
          <w:b/>
          <w:sz w:val="18"/>
          <w:szCs w:val="18"/>
          <w:lang w:val="en-US"/>
        </w:rPr>
      </w:pPr>
      <w:bookmarkStart w:id="304" w:name="_Toc473737616"/>
      <w:bookmarkStart w:id="305" w:name="_Toc473898014"/>
      <w:bookmarkStart w:id="306" w:name="_Toc473898439"/>
      <w:bookmarkStart w:id="307" w:name="_Toc473904711"/>
    </w:p>
    <w:p w14:paraId="0991E9F7" w14:textId="77777777" w:rsidR="005073C5" w:rsidRPr="00BD295E" w:rsidRDefault="008A5057" w:rsidP="00CA2271">
      <w:pPr>
        <w:pStyle w:val="af3"/>
        <w:numPr>
          <w:ilvl w:val="2"/>
          <w:numId w:val="104"/>
        </w:numPr>
        <w:jc w:val="both"/>
        <w:outlineLvl w:val="2"/>
        <w:rPr>
          <w:rFonts w:ascii="Arial" w:eastAsia="Calibri" w:hAnsi="Arial" w:cs="Arial"/>
          <w:b/>
          <w:sz w:val="18"/>
          <w:szCs w:val="18"/>
          <w:lang w:val="en-US"/>
        </w:rPr>
      </w:pPr>
      <w:bookmarkStart w:id="308" w:name="_Toc509493396"/>
      <w:bookmarkStart w:id="309" w:name="_Toc509497960"/>
      <w:bookmarkStart w:id="310" w:name="_Toc509581262"/>
      <w:bookmarkStart w:id="311" w:name="_Toc510452226"/>
      <w:bookmarkStart w:id="312" w:name="_Toc5027015"/>
      <w:bookmarkStart w:id="313" w:name="_Toc5105974"/>
      <w:bookmarkStart w:id="314" w:name="_Toc5203827"/>
      <w:bookmarkStart w:id="315" w:name="_Toc6230924"/>
      <w:bookmarkStart w:id="316" w:name="_Toc7172572"/>
      <w:bookmarkStart w:id="317" w:name="_Toc7172618"/>
      <w:bookmarkStart w:id="318" w:name="_Toc95855293"/>
      <w:bookmarkStart w:id="319" w:name="_Toc95935352"/>
      <w:r w:rsidRPr="00BD295E">
        <w:rPr>
          <w:rFonts w:ascii="Arial" w:hAnsi="Arial" w:cs="Arial"/>
          <w:b/>
          <w:sz w:val="18"/>
          <w:szCs w:val="18"/>
          <w:lang w:val="en-US"/>
        </w:rPr>
        <w:t>The Company’s Technical Policy</w:t>
      </w:r>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r w:rsidRPr="00BD295E">
        <w:rPr>
          <w:rFonts w:ascii="Arial" w:hAnsi="Arial" w:cs="Arial"/>
          <w:b/>
          <w:sz w:val="18"/>
          <w:szCs w:val="18"/>
          <w:lang w:val="en-US"/>
        </w:rPr>
        <w:t xml:space="preserve"> </w:t>
      </w:r>
    </w:p>
    <w:p w14:paraId="3DC9595C" w14:textId="77777777" w:rsidR="00FC699D" w:rsidRPr="00BD295E" w:rsidRDefault="00FC699D" w:rsidP="00CF62A2">
      <w:pPr>
        <w:ind w:firstLine="709"/>
        <w:rPr>
          <w:rFonts w:ascii="Arial" w:hAnsi="Arial" w:cs="Arial"/>
          <w:sz w:val="18"/>
          <w:szCs w:val="18"/>
          <w:lang w:val="en-US"/>
        </w:rPr>
      </w:pPr>
    </w:p>
    <w:p w14:paraId="7075F3D6" w14:textId="77777777" w:rsidR="00006621" w:rsidRPr="00BD295E" w:rsidRDefault="008A5057" w:rsidP="003D49A2">
      <w:pPr>
        <w:jc w:val="both"/>
        <w:rPr>
          <w:rFonts w:ascii="Arial" w:hAnsi="Arial" w:cs="Arial"/>
          <w:sz w:val="18"/>
          <w:szCs w:val="18"/>
          <w:lang w:val="en-US"/>
        </w:rPr>
      </w:pPr>
      <w:bookmarkStart w:id="320" w:name="_Toc385931280"/>
      <w:bookmarkStart w:id="321" w:name="_Toc473737618"/>
      <w:bookmarkStart w:id="322" w:name="_Toc473898016"/>
      <w:bookmarkStart w:id="323" w:name="_Toc473898441"/>
      <w:bookmarkStart w:id="324" w:name="_Toc473904713"/>
      <w:bookmarkStart w:id="325" w:name="_Toc473921973"/>
      <w:bookmarkStart w:id="326" w:name="_Toc509493398"/>
      <w:bookmarkStart w:id="327" w:name="_Toc509497962"/>
      <w:bookmarkStart w:id="328" w:name="_Toc509581264"/>
      <w:bookmarkStart w:id="329" w:name="_Toc510452228"/>
      <w:r w:rsidRPr="00BD295E">
        <w:rPr>
          <w:rFonts w:ascii="Arial" w:hAnsi="Arial" w:cs="Arial"/>
          <w:sz w:val="18"/>
          <w:szCs w:val="18"/>
          <w:lang w:val="en-US"/>
        </w:rPr>
        <w:t xml:space="preserve">In its Resolution </w:t>
      </w:r>
      <w:r w:rsidR="008B183C" w:rsidRPr="00BD295E">
        <w:rPr>
          <w:rFonts w:ascii="Arial" w:hAnsi="Arial" w:cs="Arial"/>
          <w:sz w:val="18"/>
          <w:szCs w:val="18"/>
          <w:lang w:val="en-US"/>
        </w:rPr>
        <w:t>of</w:t>
      </w:r>
      <w:r w:rsidRPr="00BD295E">
        <w:rPr>
          <w:rFonts w:ascii="Arial" w:hAnsi="Arial" w:cs="Arial"/>
          <w:sz w:val="18"/>
          <w:szCs w:val="18"/>
          <w:lang w:val="en-US"/>
        </w:rPr>
        <w:t xml:space="preserve"> April 19, 2017 (Minutes No. 31 of the meeting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br w:type="textWrapping" w:clear="all"/>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19, 2017), Lenenergo’s Board of Directors approved Rosseti’s Regulations on the Uniform Technical Policy in the Electric Grid Sector as the Company’s internal document.</w:t>
      </w:r>
    </w:p>
    <w:p w14:paraId="78185BA4" w14:textId="77777777" w:rsidR="00006621"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 xml:space="preserve">The purpose of the Uniform Technical Policy in the Electric Grid Sector is to improve the reliability and efficiency of the electric grid sector in the short and medium term while maintaining an appropriate level of industrial and environmental safety based on innovative development principles that ensure non-discriminatory access to electric grids for all market participants. </w:t>
      </w:r>
    </w:p>
    <w:p w14:paraId="59808901" w14:textId="77777777" w:rsidR="00006621" w:rsidRPr="00BD295E" w:rsidRDefault="008A5057" w:rsidP="00006621">
      <w:pPr>
        <w:ind w:firstLine="709"/>
        <w:jc w:val="both"/>
        <w:rPr>
          <w:rFonts w:ascii="Arial" w:hAnsi="Arial" w:cs="Arial"/>
          <w:sz w:val="18"/>
          <w:szCs w:val="18"/>
          <w:lang w:val="en-US"/>
        </w:rPr>
      </w:pPr>
      <w:r w:rsidRPr="00BD295E">
        <w:rPr>
          <w:rFonts w:ascii="Arial" w:hAnsi="Arial" w:cs="Arial"/>
          <w:sz w:val="18"/>
          <w:szCs w:val="18"/>
          <w:lang w:val="en-US"/>
        </w:rPr>
        <w:t>Principal Objectives of the Uniform Technical Policy in the Electric Grid Sector:</w:t>
      </w:r>
    </w:p>
    <w:p w14:paraId="3314D0E4" w14:textId="77777777" w:rsidR="00006621" w:rsidRPr="00BD295E" w:rsidRDefault="008A5057" w:rsidP="00CA2271">
      <w:pPr>
        <w:pStyle w:val="af3"/>
        <w:numPr>
          <w:ilvl w:val="0"/>
          <w:numId w:val="75"/>
        </w:numPr>
        <w:ind w:left="993" w:hanging="284"/>
        <w:jc w:val="both"/>
        <w:rPr>
          <w:rFonts w:ascii="Arial" w:hAnsi="Arial" w:cs="Arial"/>
          <w:sz w:val="18"/>
          <w:szCs w:val="18"/>
          <w:lang w:val="en-US"/>
        </w:rPr>
      </w:pPr>
      <w:r w:rsidRPr="00BD295E">
        <w:rPr>
          <w:rFonts w:ascii="Arial" w:hAnsi="Arial" w:cs="Arial"/>
          <w:sz w:val="18"/>
          <w:szCs w:val="18"/>
          <w:lang w:val="en-US"/>
        </w:rPr>
        <w:t>improving the process management of grids and applying advanced grid development planning methods;</w:t>
      </w:r>
    </w:p>
    <w:p w14:paraId="409E9963" w14:textId="77777777" w:rsidR="00006621" w:rsidRPr="00BD295E" w:rsidRDefault="008A5057" w:rsidP="00CA2271">
      <w:pPr>
        <w:pStyle w:val="af3"/>
        <w:numPr>
          <w:ilvl w:val="0"/>
          <w:numId w:val="75"/>
        </w:numPr>
        <w:ind w:left="993" w:hanging="284"/>
        <w:jc w:val="both"/>
        <w:rPr>
          <w:rFonts w:ascii="Arial" w:hAnsi="Arial" w:cs="Arial"/>
          <w:sz w:val="18"/>
          <w:szCs w:val="18"/>
          <w:lang w:val="en-US"/>
        </w:rPr>
      </w:pPr>
      <w:r w:rsidRPr="00BD295E">
        <w:rPr>
          <w:rFonts w:ascii="Arial" w:hAnsi="Arial" w:cs="Arial"/>
          <w:sz w:val="18"/>
          <w:szCs w:val="18"/>
          <w:lang w:val="en-US"/>
        </w:rPr>
        <w:t>overcoming the asset ageing trend for grids and electrical equipment by scaling up their construction, renovation, and technical upgrading, and decommissioning unused or underutilized equipment and facilities;</w:t>
      </w:r>
    </w:p>
    <w:p w14:paraId="1F6F4DA6" w14:textId="77777777" w:rsidR="00006621" w:rsidRPr="00BD295E" w:rsidRDefault="008A5057" w:rsidP="00CA2271">
      <w:pPr>
        <w:pStyle w:val="af3"/>
        <w:numPr>
          <w:ilvl w:val="0"/>
          <w:numId w:val="75"/>
        </w:numPr>
        <w:ind w:left="993" w:hanging="284"/>
        <w:jc w:val="both"/>
        <w:rPr>
          <w:rFonts w:ascii="Arial" w:hAnsi="Arial" w:cs="Arial"/>
          <w:sz w:val="18"/>
          <w:szCs w:val="18"/>
          <w:lang w:val="en-US"/>
        </w:rPr>
      </w:pPr>
      <w:r w:rsidRPr="00BD295E">
        <w:rPr>
          <w:rFonts w:ascii="Arial" w:hAnsi="Arial" w:cs="Arial"/>
          <w:sz w:val="18"/>
          <w:szCs w:val="18"/>
          <w:lang w:val="en-US"/>
        </w:rPr>
        <w:t>creating conditions for the application of new engineering solutions and technologies in maintenance, control, protection, data transfer, communications, and electricity metering systems (including automated grid control systems);</w:t>
      </w:r>
    </w:p>
    <w:p w14:paraId="0C029540" w14:textId="77777777" w:rsidR="00006621" w:rsidRPr="00BD295E" w:rsidRDefault="008A5057" w:rsidP="00CA2271">
      <w:pPr>
        <w:pStyle w:val="af3"/>
        <w:numPr>
          <w:ilvl w:val="0"/>
          <w:numId w:val="75"/>
        </w:numPr>
        <w:ind w:left="993" w:hanging="284"/>
        <w:jc w:val="both"/>
        <w:rPr>
          <w:rFonts w:ascii="Arial" w:hAnsi="Arial" w:cs="Arial"/>
          <w:sz w:val="18"/>
          <w:szCs w:val="18"/>
          <w:lang w:val="en-US"/>
        </w:rPr>
      </w:pPr>
      <w:r w:rsidRPr="00BD295E">
        <w:rPr>
          <w:rFonts w:ascii="Arial" w:hAnsi="Arial" w:cs="Arial"/>
          <w:sz w:val="18"/>
          <w:szCs w:val="18"/>
          <w:lang w:val="en-US"/>
        </w:rPr>
        <w:t>developing operating methods using modern diagnostic tools, technical and information measuring systems;</w:t>
      </w:r>
    </w:p>
    <w:p w14:paraId="5A2477B7" w14:textId="77777777" w:rsidR="00006621" w:rsidRPr="00BD295E" w:rsidRDefault="008A5057" w:rsidP="00CA2271">
      <w:pPr>
        <w:pStyle w:val="af3"/>
        <w:numPr>
          <w:ilvl w:val="0"/>
          <w:numId w:val="75"/>
        </w:numPr>
        <w:ind w:left="993" w:hanging="284"/>
        <w:jc w:val="both"/>
        <w:rPr>
          <w:rFonts w:ascii="Arial" w:hAnsi="Arial" w:cs="Arial"/>
          <w:sz w:val="18"/>
          <w:szCs w:val="18"/>
          <w:lang w:val="en-US"/>
        </w:rPr>
      </w:pPr>
      <w:r w:rsidRPr="00BD295E">
        <w:rPr>
          <w:rFonts w:ascii="Arial" w:hAnsi="Arial" w:cs="Arial"/>
          <w:sz w:val="18"/>
          <w:szCs w:val="18"/>
          <w:lang w:val="en-US"/>
        </w:rPr>
        <w:t>ensuring the state-of-the-art technical level of grids through the use of new engineering solutions and technologies;</w:t>
      </w:r>
    </w:p>
    <w:p w14:paraId="44117B8D" w14:textId="77777777" w:rsidR="00006621" w:rsidRPr="00BD295E" w:rsidRDefault="008A5057" w:rsidP="00CA2271">
      <w:pPr>
        <w:pStyle w:val="af3"/>
        <w:numPr>
          <w:ilvl w:val="0"/>
          <w:numId w:val="75"/>
        </w:numPr>
        <w:ind w:left="993" w:hanging="284"/>
        <w:jc w:val="both"/>
        <w:rPr>
          <w:rFonts w:ascii="Arial" w:hAnsi="Arial" w:cs="Arial"/>
          <w:sz w:val="18"/>
          <w:szCs w:val="18"/>
          <w:lang w:val="en-US"/>
        </w:rPr>
      </w:pPr>
      <w:r w:rsidRPr="00BD295E">
        <w:rPr>
          <w:rFonts w:ascii="Arial" w:hAnsi="Arial" w:cs="Arial"/>
          <w:sz w:val="18"/>
          <w:szCs w:val="18"/>
          <w:lang w:val="en-US"/>
        </w:rPr>
        <w:t>improving the operating efficiency of grid facilities, reducing network operating costs, and actual power losses in grids;</w:t>
      </w:r>
    </w:p>
    <w:p w14:paraId="6DBDA26B" w14:textId="77777777" w:rsidR="00006621" w:rsidRPr="00BD295E" w:rsidRDefault="008A5057" w:rsidP="00CA2271">
      <w:pPr>
        <w:pStyle w:val="af3"/>
        <w:numPr>
          <w:ilvl w:val="0"/>
          <w:numId w:val="75"/>
        </w:numPr>
        <w:ind w:left="993" w:hanging="284"/>
        <w:jc w:val="both"/>
        <w:rPr>
          <w:rFonts w:ascii="Arial" w:hAnsi="Arial" w:cs="Arial"/>
          <w:sz w:val="18"/>
          <w:szCs w:val="18"/>
          <w:lang w:val="en-US"/>
        </w:rPr>
      </w:pPr>
      <w:r w:rsidRPr="00BD295E">
        <w:rPr>
          <w:rFonts w:ascii="Arial" w:hAnsi="Arial" w:cs="Arial"/>
          <w:sz w:val="18"/>
          <w:szCs w:val="18"/>
          <w:lang w:val="en-US"/>
        </w:rPr>
        <w:t>improving energy efficiency and energy saving;</w:t>
      </w:r>
    </w:p>
    <w:p w14:paraId="1F0CC6AE" w14:textId="77777777" w:rsidR="00006621" w:rsidRPr="00BD295E" w:rsidRDefault="008A5057" w:rsidP="00CA2271">
      <w:pPr>
        <w:pStyle w:val="af3"/>
        <w:numPr>
          <w:ilvl w:val="0"/>
          <w:numId w:val="75"/>
        </w:numPr>
        <w:ind w:left="993" w:hanging="284"/>
        <w:jc w:val="both"/>
        <w:rPr>
          <w:rFonts w:ascii="Arial" w:hAnsi="Arial" w:cs="Arial"/>
          <w:sz w:val="18"/>
          <w:szCs w:val="18"/>
          <w:lang w:val="en-US"/>
        </w:rPr>
      </w:pPr>
      <w:r w:rsidRPr="00BD295E">
        <w:rPr>
          <w:rFonts w:ascii="Arial" w:hAnsi="Arial" w:cs="Arial"/>
          <w:sz w:val="18"/>
          <w:szCs w:val="18"/>
          <w:lang w:val="en-US"/>
        </w:rPr>
        <w:t>improving the regulatory, technical, and methodological support of operations;</w:t>
      </w:r>
    </w:p>
    <w:p w14:paraId="482EB297" w14:textId="77777777" w:rsidR="00006621" w:rsidRPr="00BD295E" w:rsidRDefault="008A5057" w:rsidP="00CA2271">
      <w:pPr>
        <w:pStyle w:val="af3"/>
        <w:numPr>
          <w:ilvl w:val="0"/>
          <w:numId w:val="75"/>
        </w:numPr>
        <w:ind w:left="993" w:hanging="284"/>
        <w:jc w:val="both"/>
        <w:rPr>
          <w:rFonts w:ascii="Arial" w:hAnsi="Arial" w:cs="Arial"/>
          <w:sz w:val="18"/>
          <w:szCs w:val="18"/>
          <w:lang w:val="en-US"/>
        </w:rPr>
      </w:pPr>
      <w:r w:rsidRPr="00BD295E">
        <w:rPr>
          <w:rFonts w:ascii="Arial" w:hAnsi="Arial" w:cs="Arial"/>
          <w:sz w:val="18"/>
          <w:szCs w:val="18"/>
          <w:lang w:val="en-US"/>
        </w:rPr>
        <w:t>raising investments to implement key focus areas in grid development;</w:t>
      </w:r>
    </w:p>
    <w:p w14:paraId="4286193B" w14:textId="77777777" w:rsidR="00006621" w:rsidRPr="00BD295E" w:rsidRDefault="00006621" w:rsidP="00006621">
      <w:pPr>
        <w:jc w:val="both"/>
        <w:rPr>
          <w:rFonts w:ascii="Arial" w:hAnsi="Arial" w:cs="Arial"/>
          <w:sz w:val="18"/>
          <w:szCs w:val="18"/>
          <w:lang w:val="en-US"/>
        </w:rPr>
      </w:pPr>
    </w:p>
    <w:p w14:paraId="2D82C620" w14:textId="77777777" w:rsidR="00006621"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 xml:space="preserve">Key, special, or the most important projects of </w:t>
      </w:r>
      <w:r w:rsidR="00EE5753" w:rsidRPr="00BD295E">
        <w:rPr>
          <w:rFonts w:ascii="Arial" w:hAnsi="Arial" w:cs="Arial"/>
          <w:sz w:val="18"/>
          <w:szCs w:val="18"/>
          <w:lang w:val="en-US"/>
        </w:rPr>
        <w:t>PJSC “Lenenergo”</w:t>
      </w:r>
      <w:r w:rsidRPr="00BD295E">
        <w:rPr>
          <w:rFonts w:ascii="Arial" w:hAnsi="Arial" w:cs="Arial"/>
          <w:sz w:val="18"/>
          <w:szCs w:val="18"/>
          <w:lang w:val="en-US"/>
        </w:rPr>
        <w:t>, which involved innovative, advanced, or disruptive engineering solutions, technologies, materials, and equipment aligned with the technical policy (including the innovative development program)</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
        <w:gridCol w:w="2701"/>
        <w:gridCol w:w="6070"/>
      </w:tblGrid>
      <w:tr w:rsidR="008A5057" w:rsidRPr="00BD295E" w14:paraId="545CA91B" w14:textId="77777777" w:rsidTr="0027083B">
        <w:trPr>
          <w:trHeight w:val="446"/>
        </w:trPr>
        <w:tc>
          <w:tcPr>
            <w:tcW w:w="472" w:type="dxa"/>
            <w:shd w:val="clear" w:color="auto" w:fill="auto"/>
            <w:tcMar>
              <w:left w:w="57" w:type="dxa"/>
              <w:right w:w="57" w:type="dxa"/>
            </w:tcMar>
            <w:vAlign w:val="center"/>
          </w:tcPr>
          <w:p w14:paraId="0CF77D5D" w14:textId="77777777" w:rsidR="00F8426D" w:rsidRPr="00BD295E" w:rsidRDefault="008A5057" w:rsidP="0027083B">
            <w:pPr>
              <w:jc w:val="center"/>
              <w:rPr>
                <w:rFonts w:ascii="Arial" w:hAnsi="Arial" w:cs="Arial"/>
                <w:sz w:val="18"/>
                <w:szCs w:val="18"/>
                <w:lang w:val="en-US"/>
              </w:rPr>
            </w:pPr>
            <w:r w:rsidRPr="00BD295E">
              <w:rPr>
                <w:rFonts w:ascii="Arial" w:hAnsi="Arial" w:cs="Arial"/>
                <w:sz w:val="18"/>
                <w:szCs w:val="18"/>
                <w:lang w:val="en-US"/>
              </w:rPr>
              <w:t>No.</w:t>
            </w:r>
          </w:p>
        </w:tc>
        <w:tc>
          <w:tcPr>
            <w:tcW w:w="2701" w:type="dxa"/>
            <w:shd w:val="clear" w:color="auto" w:fill="auto"/>
            <w:tcMar>
              <w:left w:w="57" w:type="dxa"/>
              <w:right w:w="57" w:type="dxa"/>
            </w:tcMar>
            <w:vAlign w:val="center"/>
          </w:tcPr>
          <w:p w14:paraId="0D91140F" w14:textId="77777777" w:rsidR="00F8426D" w:rsidRPr="00BD295E" w:rsidRDefault="008A5057" w:rsidP="0027083B">
            <w:pPr>
              <w:jc w:val="center"/>
              <w:rPr>
                <w:rFonts w:ascii="Arial" w:hAnsi="Arial" w:cs="Arial"/>
                <w:sz w:val="18"/>
                <w:szCs w:val="18"/>
                <w:lang w:val="en-US"/>
              </w:rPr>
            </w:pPr>
            <w:r w:rsidRPr="00BD295E">
              <w:rPr>
                <w:rFonts w:ascii="Arial" w:hAnsi="Arial" w:cs="Arial"/>
                <w:sz w:val="18"/>
                <w:szCs w:val="18"/>
                <w:lang w:val="en-US"/>
              </w:rPr>
              <w:t>Facility</w:t>
            </w:r>
          </w:p>
        </w:tc>
        <w:tc>
          <w:tcPr>
            <w:tcW w:w="6070" w:type="dxa"/>
            <w:shd w:val="clear" w:color="auto" w:fill="auto"/>
            <w:tcMar>
              <w:left w:w="57" w:type="dxa"/>
              <w:right w:w="57" w:type="dxa"/>
            </w:tcMar>
            <w:vAlign w:val="center"/>
          </w:tcPr>
          <w:p w14:paraId="11BB2A91" w14:textId="77777777" w:rsidR="00F8426D" w:rsidRPr="00BD295E" w:rsidRDefault="008A5057" w:rsidP="0027083B">
            <w:pPr>
              <w:jc w:val="center"/>
              <w:rPr>
                <w:rFonts w:ascii="Arial" w:hAnsi="Arial" w:cs="Arial"/>
                <w:sz w:val="18"/>
                <w:szCs w:val="18"/>
                <w:lang w:val="en-US"/>
              </w:rPr>
            </w:pPr>
            <w:r w:rsidRPr="00BD295E">
              <w:rPr>
                <w:rFonts w:ascii="Arial" w:hAnsi="Arial" w:cs="Arial"/>
                <w:sz w:val="18"/>
                <w:szCs w:val="18"/>
                <w:lang w:val="en-US"/>
              </w:rPr>
              <w:t>Key technical parameters</w:t>
            </w:r>
          </w:p>
        </w:tc>
      </w:tr>
      <w:tr w:rsidR="008A5057" w:rsidRPr="00BD295E" w14:paraId="32E5C4C6" w14:textId="77777777" w:rsidTr="0027083B">
        <w:trPr>
          <w:trHeight w:val="377"/>
        </w:trPr>
        <w:tc>
          <w:tcPr>
            <w:tcW w:w="9243" w:type="dxa"/>
            <w:gridSpan w:val="3"/>
            <w:shd w:val="clear" w:color="auto" w:fill="auto"/>
            <w:tcMar>
              <w:left w:w="57" w:type="dxa"/>
              <w:right w:w="57" w:type="dxa"/>
            </w:tcMar>
          </w:tcPr>
          <w:p w14:paraId="01D06600" w14:textId="77777777" w:rsidR="00F8426D" w:rsidRPr="00BD295E" w:rsidRDefault="008A5057" w:rsidP="00FA6082">
            <w:pPr>
              <w:pStyle w:val="af3"/>
              <w:numPr>
                <w:ilvl w:val="0"/>
                <w:numId w:val="159"/>
              </w:numPr>
              <w:spacing w:before="40" w:after="40"/>
              <w:ind w:left="675" w:hanging="318"/>
              <w:jc w:val="center"/>
              <w:rPr>
                <w:rFonts w:ascii="Arial" w:hAnsi="Arial" w:cs="Arial"/>
                <w:b/>
                <w:sz w:val="18"/>
                <w:szCs w:val="18"/>
                <w:lang w:val="en-US"/>
              </w:rPr>
            </w:pPr>
            <w:r w:rsidRPr="00BD295E">
              <w:rPr>
                <w:rFonts w:ascii="Arial" w:hAnsi="Arial" w:cs="Arial"/>
                <w:b/>
                <w:sz w:val="18"/>
                <w:szCs w:val="18"/>
                <w:lang w:val="en-US"/>
              </w:rPr>
              <w:t>Switching to digital substations of various voltage classes within the 35–110 kV range</w:t>
            </w:r>
          </w:p>
        </w:tc>
      </w:tr>
      <w:tr w:rsidR="008A5057" w:rsidRPr="00BD295E" w14:paraId="5E3713D2" w14:textId="77777777" w:rsidTr="0027083B">
        <w:trPr>
          <w:trHeight w:val="466"/>
        </w:trPr>
        <w:tc>
          <w:tcPr>
            <w:tcW w:w="472" w:type="dxa"/>
            <w:shd w:val="clear" w:color="auto" w:fill="auto"/>
            <w:tcMar>
              <w:left w:w="57" w:type="dxa"/>
              <w:right w:w="57" w:type="dxa"/>
            </w:tcMar>
          </w:tcPr>
          <w:p w14:paraId="33BAB14E"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1.1</w:t>
            </w:r>
          </w:p>
        </w:tc>
        <w:tc>
          <w:tcPr>
            <w:tcW w:w="2701" w:type="dxa"/>
            <w:shd w:val="clear" w:color="auto" w:fill="auto"/>
            <w:tcMar>
              <w:left w:w="57" w:type="dxa"/>
              <w:right w:w="57" w:type="dxa"/>
            </w:tcMar>
          </w:tcPr>
          <w:p w14:paraId="1C30D1DC" w14:textId="77777777" w:rsidR="00F8426D" w:rsidRPr="00BD295E" w:rsidRDefault="008A5057" w:rsidP="0027083B">
            <w:pPr>
              <w:rPr>
                <w:rFonts w:ascii="Arial" w:hAnsi="Arial" w:cs="Arial"/>
                <w:sz w:val="18"/>
                <w:szCs w:val="18"/>
                <w:lang w:val="en-US"/>
              </w:rPr>
            </w:pPr>
            <w:r w:rsidRPr="00BD295E">
              <w:rPr>
                <w:rFonts w:ascii="Arial" w:hAnsi="Arial" w:cs="Arial"/>
                <w:sz w:val="18"/>
                <w:szCs w:val="18"/>
                <w:lang w:val="en-US"/>
              </w:rPr>
              <w:t>Digital substations based on the 110 kV Martyshkino substation No. 502.</w:t>
            </w:r>
          </w:p>
        </w:tc>
        <w:tc>
          <w:tcPr>
            <w:tcW w:w="6070" w:type="dxa"/>
            <w:shd w:val="clear" w:color="auto" w:fill="auto"/>
            <w:tcMar>
              <w:left w:w="57" w:type="dxa"/>
              <w:right w:w="57" w:type="dxa"/>
            </w:tcMar>
          </w:tcPr>
          <w:p w14:paraId="17EF9434"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design concepts for a digital substation (DSS) were developed and approved in 2018.</w:t>
            </w:r>
          </w:p>
          <w:p w14:paraId="5D1559F8"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project uses the following advanced engineering solutions:</w:t>
            </w:r>
          </w:p>
          <w:p w14:paraId="17295916"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application of 110 kV digital measuring transformers;</w:t>
            </w:r>
          </w:p>
          <w:p w14:paraId="284B5A3D"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construction of the process bus;</w:t>
            </w:r>
          </w:p>
          <w:p w14:paraId="6DD1A74E"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implementation of a data collection and communication system and the IEC 61850 standard (information is exchanged via the IEC 61850-9-2LE/IEC 6185081 protocol);</w:t>
            </w:r>
          </w:p>
          <w:p w14:paraId="1F0C50AD"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adoption of extended monitoring over the substation’s relay protection system elements, including collection and accumulation of oscillograms from smart devices;</w:t>
            </w:r>
          </w:p>
          <w:p w14:paraId="367FC1B5"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creation of an automated workstation with visualization and archiving functions (SCADA).</w:t>
            </w:r>
          </w:p>
        </w:tc>
      </w:tr>
      <w:tr w:rsidR="008A5057" w:rsidRPr="00BD295E" w14:paraId="5D599A0E" w14:textId="77777777" w:rsidTr="0027083B">
        <w:trPr>
          <w:trHeight w:val="466"/>
        </w:trPr>
        <w:tc>
          <w:tcPr>
            <w:tcW w:w="472" w:type="dxa"/>
            <w:shd w:val="clear" w:color="auto" w:fill="auto"/>
            <w:tcMar>
              <w:left w:w="57" w:type="dxa"/>
              <w:right w:w="57" w:type="dxa"/>
            </w:tcMar>
          </w:tcPr>
          <w:p w14:paraId="02003BAE"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1.2</w:t>
            </w:r>
          </w:p>
        </w:tc>
        <w:tc>
          <w:tcPr>
            <w:tcW w:w="2701" w:type="dxa"/>
            <w:shd w:val="clear" w:color="auto" w:fill="auto"/>
            <w:tcMar>
              <w:left w:w="57" w:type="dxa"/>
              <w:right w:w="57" w:type="dxa"/>
            </w:tcMar>
          </w:tcPr>
          <w:p w14:paraId="5DFE3443" w14:textId="77777777" w:rsidR="00F8426D" w:rsidRPr="00BD295E" w:rsidRDefault="008A5057" w:rsidP="0027083B">
            <w:pPr>
              <w:rPr>
                <w:rFonts w:ascii="Arial" w:hAnsi="Arial" w:cs="Arial"/>
                <w:sz w:val="18"/>
                <w:szCs w:val="18"/>
                <w:lang w:val="en-US"/>
              </w:rPr>
            </w:pPr>
            <w:r w:rsidRPr="00BD295E">
              <w:rPr>
                <w:rFonts w:ascii="Arial" w:hAnsi="Arial" w:cs="Arial"/>
                <w:sz w:val="18"/>
                <w:szCs w:val="18"/>
                <w:lang w:val="en-US"/>
              </w:rPr>
              <w:t>A digital substation based on the 35 kV Detskoselskaya substation.</w:t>
            </w:r>
          </w:p>
        </w:tc>
        <w:tc>
          <w:tcPr>
            <w:tcW w:w="6070" w:type="dxa"/>
            <w:shd w:val="clear" w:color="auto" w:fill="auto"/>
            <w:tcMar>
              <w:left w:w="57" w:type="dxa"/>
              <w:right w:w="57" w:type="dxa"/>
            </w:tcMar>
          </w:tcPr>
          <w:p w14:paraId="7C27D511"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2018, the major requirements for the substation’s architecture were defined, and technical requirements for its equipment, timetables for drafting detailed documentation and implementing construction and installation work were established.</w:t>
            </w:r>
          </w:p>
          <w:p w14:paraId="1F25DF25"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project uses the following advanced engineering solutions:</w:t>
            </w:r>
          </w:p>
          <w:p w14:paraId="0AEE4C8F"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organization of digital data transfer between relay protection devices (IEC 6185081 GOOSE);</w:t>
            </w:r>
          </w:p>
          <w:p w14:paraId="72FBD3AD"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implementation of a full relay protection system for the substation;</w:t>
            </w:r>
          </w:p>
          <w:p w14:paraId="41F489DC"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implementation of an automated process control system (APCS) (IEC 6185081 MMS).</w:t>
            </w:r>
          </w:p>
        </w:tc>
      </w:tr>
      <w:tr w:rsidR="008A5057" w:rsidRPr="00BD295E" w14:paraId="0411162C" w14:textId="77777777" w:rsidTr="0027083B">
        <w:trPr>
          <w:trHeight w:val="446"/>
        </w:trPr>
        <w:tc>
          <w:tcPr>
            <w:tcW w:w="9243" w:type="dxa"/>
            <w:gridSpan w:val="3"/>
            <w:shd w:val="clear" w:color="auto" w:fill="auto"/>
            <w:tcMar>
              <w:left w:w="57" w:type="dxa"/>
              <w:right w:w="57" w:type="dxa"/>
            </w:tcMar>
            <w:vAlign w:val="center"/>
          </w:tcPr>
          <w:p w14:paraId="517802D2" w14:textId="77777777" w:rsidR="00F8426D" w:rsidRPr="00BD295E" w:rsidRDefault="008A5057" w:rsidP="00FA6082">
            <w:pPr>
              <w:pStyle w:val="af3"/>
              <w:numPr>
                <w:ilvl w:val="0"/>
                <w:numId w:val="159"/>
              </w:numPr>
              <w:spacing w:before="40" w:after="40"/>
              <w:ind w:left="675" w:hanging="318"/>
              <w:jc w:val="center"/>
              <w:rPr>
                <w:rFonts w:ascii="Arial" w:hAnsi="Arial" w:cs="Arial"/>
                <w:b/>
                <w:sz w:val="18"/>
                <w:szCs w:val="18"/>
                <w:lang w:val="en-US"/>
              </w:rPr>
            </w:pPr>
            <w:r w:rsidRPr="00BD295E">
              <w:rPr>
                <w:rFonts w:ascii="Arial" w:hAnsi="Arial" w:cs="Arial"/>
                <w:b/>
                <w:sz w:val="18"/>
                <w:szCs w:val="18"/>
                <w:lang w:val="en-US"/>
              </w:rPr>
              <w:t xml:space="preserve">Transition to digital smart grids with a distributed smart </w:t>
            </w:r>
            <w:r w:rsidR="00BF106F" w:rsidRPr="00BD295E">
              <w:rPr>
                <w:rFonts w:ascii="Arial" w:hAnsi="Arial" w:cs="Arial"/>
                <w:b/>
                <w:sz w:val="18"/>
                <w:szCs w:val="18"/>
                <w:lang w:val="en-US"/>
              </w:rPr>
              <w:t xml:space="preserve">control and automation </w:t>
            </w:r>
            <w:r w:rsidRPr="00BD295E">
              <w:rPr>
                <w:rFonts w:ascii="Arial" w:hAnsi="Arial" w:cs="Arial"/>
                <w:b/>
                <w:sz w:val="18"/>
                <w:szCs w:val="18"/>
                <w:lang w:val="en-US"/>
              </w:rPr>
              <w:t xml:space="preserve"> system</w:t>
            </w:r>
          </w:p>
        </w:tc>
      </w:tr>
      <w:tr w:rsidR="008A5057" w:rsidRPr="00BD295E" w14:paraId="456767D0" w14:textId="77777777" w:rsidTr="0027083B">
        <w:trPr>
          <w:trHeight w:val="466"/>
        </w:trPr>
        <w:tc>
          <w:tcPr>
            <w:tcW w:w="472" w:type="dxa"/>
            <w:shd w:val="clear" w:color="auto" w:fill="auto"/>
            <w:tcMar>
              <w:left w:w="57" w:type="dxa"/>
              <w:right w:w="57" w:type="dxa"/>
            </w:tcMar>
          </w:tcPr>
          <w:p w14:paraId="1E8C4E55"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2.1.</w:t>
            </w:r>
          </w:p>
        </w:tc>
        <w:tc>
          <w:tcPr>
            <w:tcW w:w="2701" w:type="dxa"/>
            <w:shd w:val="clear" w:color="auto" w:fill="auto"/>
            <w:tcMar>
              <w:left w:w="57" w:type="dxa"/>
              <w:right w:w="57" w:type="dxa"/>
            </w:tcMar>
          </w:tcPr>
          <w:p w14:paraId="07A5DD23" w14:textId="77777777" w:rsidR="00F8426D" w:rsidRPr="00BD295E" w:rsidRDefault="008A5057" w:rsidP="0027083B">
            <w:pPr>
              <w:rPr>
                <w:rFonts w:ascii="Arial" w:hAnsi="Arial" w:cs="Arial"/>
                <w:sz w:val="18"/>
                <w:szCs w:val="18"/>
                <w:lang w:val="en-US"/>
              </w:rPr>
            </w:pPr>
            <w:r w:rsidRPr="00BD295E">
              <w:rPr>
                <w:rFonts w:ascii="Arial" w:hAnsi="Arial" w:cs="Arial"/>
                <w:sz w:val="18"/>
                <w:szCs w:val="18"/>
                <w:lang w:val="en-US"/>
              </w:rPr>
              <w:t>Building a smart 10–110 kV</w:t>
            </w:r>
            <w:r w:rsidRPr="00BD295E">
              <w:rPr>
                <w:rFonts w:ascii="Arial" w:hAnsi="Arial" w:cs="Arial"/>
                <w:sz w:val="18"/>
                <w:szCs w:val="18"/>
                <w:lang w:val="en-US"/>
              </w:rPr>
              <w:br w:type="textWrapping" w:clear="all"/>
              <w:t xml:space="preserve"> distribution grid in Saint Petersburg</w:t>
            </w:r>
          </w:p>
        </w:tc>
        <w:tc>
          <w:tcPr>
            <w:tcW w:w="6070" w:type="dxa"/>
            <w:shd w:val="clear" w:color="auto" w:fill="auto"/>
            <w:tcMar>
              <w:left w:w="57" w:type="dxa"/>
              <w:right w:w="57" w:type="dxa"/>
            </w:tcMar>
          </w:tcPr>
          <w:p w14:paraId="01213B6B"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project uses the following advanced engineering solutions:</w:t>
            </w:r>
          </w:p>
          <w:p w14:paraId="72F13815" w14:textId="0FAB8FC6" w:rsidR="00F8426D" w:rsidRPr="00BD295E" w:rsidRDefault="008A5057" w:rsidP="00CA2271">
            <w:pPr>
              <w:pStyle w:val="af3"/>
              <w:numPr>
                <w:ilvl w:val="0"/>
                <w:numId w:val="78"/>
              </w:numPr>
              <w:ind w:left="219" w:hanging="219"/>
              <w:contextualSpacing w:val="0"/>
              <w:jc w:val="both"/>
              <w:rPr>
                <w:rFonts w:ascii="Arial" w:hAnsi="Arial" w:cs="Arial"/>
                <w:sz w:val="18"/>
                <w:szCs w:val="18"/>
                <w:lang w:val="en-US"/>
              </w:rPr>
            </w:pPr>
            <w:r w:rsidRPr="00BD295E">
              <w:rPr>
                <w:rFonts w:ascii="Arial" w:hAnsi="Arial" w:cs="Arial"/>
                <w:sz w:val="18"/>
                <w:szCs w:val="18"/>
                <w:lang w:val="en-US"/>
              </w:rPr>
              <w:t xml:space="preserve">Transfer of existing electricity distribution grids of the Tsentralny, Petrogradsky, Kalininsky, Vyborgsky, Kolpinsky, and Kurortny Districts of Saint Petersburg to a city-wide digital smart grid with a distributed smart </w:t>
            </w:r>
            <w:r w:rsidR="00BF106F" w:rsidRPr="00BD295E">
              <w:rPr>
                <w:rFonts w:ascii="Arial" w:hAnsi="Arial" w:cs="Arial"/>
                <w:sz w:val="18"/>
                <w:szCs w:val="18"/>
                <w:lang w:val="en-US"/>
              </w:rPr>
              <w:t xml:space="preserve">control and </w:t>
            </w:r>
            <w:r w:rsidR="002C3947" w:rsidRPr="00BD295E">
              <w:rPr>
                <w:rFonts w:ascii="Arial" w:hAnsi="Arial" w:cs="Arial"/>
                <w:sz w:val="18"/>
                <w:szCs w:val="18"/>
                <w:lang w:val="en-US"/>
              </w:rPr>
              <w:t>automation system</w:t>
            </w:r>
            <w:r w:rsidRPr="00BD295E">
              <w:rPr>
                <w:rFonts w:ascii="Arial" w:hAnsi="Arial" w:cs="Arial"/>
                <w:sz w:val="18"/>
                <w:szCs w:val="18"/>
                <w:lang w:val="en-US"/>
              </w:rPr>
              <w:t>.</w:t>
            </w:r>
          </w:p>
          <w:p w14:paraId="2B017105" w14:textId="77777777" w:rsidR="00F8426D" w:rsidRPr="00BD295E" w:rsidRDefault="008A5057" w:rsidP="00CA2271">
            <w:pPr>
              <w:pStyle w:val="af3"/>
              <w:numPr>
                <w:ilvl w:val="0"/>
                <w:numId w:val="78"/>
              </w:numPr>
              <w:ind w:left="219" w:hanging="219"/>
              <w:contextualSpacing w:val="0"/>
              <w:jc w:val="both"/>
              <w:rPr>
                <w:rFonts w:ascii="Arial" w:hAnsi="Arial" w:cs="Arial"/>
                <w:sz w:val="18"/>
                <w:szCs w:val="18"/>
                <w:lang w:val="en-US"/>
              </w:rPr>
            </w:pPr>
            <w:r w:rsidRPr="00BD295E">
              <w:rPr>
                <w:rFonts w:ascii="Arial" w:hAnsi="Arial" w:cs="Arial"/>
                <w:sz w:val="18"/>
                <w:szCs w:val="18"/>
                <w:lang w:val="en-US"/>
              </w:rPr>
              <w:t>Conversion of the “head sections” of the 6 kV</w:t>
            </w:r>
            <w:r w:rsidRPr="00BD295E">
              <w:rPr>
                <w:rFonts w:ascii="Arial" w:hAnsi="Arial" w:cs="Arial"/>
                <w:sz w:val="18"/>
                <w:szCs w:val="18"/>
                <w:lang w:val="en-US"/>
              </w:rPr>
              <w:br w:type="textWrapping" w:clear="all"/>
              <w:t xml:space="preserve"> medium-voltage distribution grid in the Petrogradsky District of Saint Petersburg connected to power sources into 35 kV voltage facilities taking into account the development of the distribution grid with the existing infrastructure and 6 kV grid pattern.</w:t>
            </w:r>
          </w:p>
          <w:p w14:paraId="7159A7B4" w14:textId="629028D3" w:rsidR="00F8426D" w:rsidRPr="00BD295E" w:rsidRDefault="008A5057" w:rsidP="00CA2271">
            <w:pPr>
              <w:pStyle w:val="af3"/>
              <w:numPr>
                <w:ilvl w:val="0"/>
                <w:numId w:val="78"/>
              </w:numPr>
              <w:ind w:left="219" w:hanging="219"/>
              <w:contextualSpacing w:val="0"/>
              <w:jc w:val="both"/>
              <w:rPr>
                <w:rFonts w:ascii="Arial" w:hAnsi="Arial" w:cs="Arial"/>
                <w:sz w:val="18"/>
                <w:szCs w:val="18"/>
                <w:lang w:val="en-US"/>
              </w:rPr>
            </w:pPr>
            <w:r w:rsidRPr="00BD295E">
              <w:rPr>
                <w:rFonts w:ascii="Arial" w:hAnsi="Arial" w:cs="Arial"/>
                <w:sz w:val="18"/>
                <w:szCs w:val="18"/>
                <w:lang w:val="en-US"/>
              </w:rPr>
              <w:t xml:space="preserve">Implementation of a quick load transfer </w:t>
            </w:r>
            <w:r w:rsidR="00BF106F" w:rsidRPr="00BD295E">
              <w:rPr>
                <w:rFonts w:ascii="Arial" w:hAnsi="Arial" w:cs="Arial"/>
                <w:sz w:val="18"/>
                <w:szCs w:val="18"/>
                <w:lang w:val="en-US"/>
              </w:rPr>
              <w:t xml:space="preserve">control and </w:t>
            </w:r>
            <w:r w:rsidR="002C3947" w:rsidRPr="00BD295E">
              <w:rPr>
                <w:rFonts w:ascii="Arial" w:hAnsi="Arial" w:cs="Arial"/>
                <w:sz w:val="18"/>
                <w:szCs w:val="18"/>
                <w:lang w:val="en-US"/>
              </w:rPr>
              <w:t>automation system</w:t>
            </w:r>
            <w:r w:rsidRPr="00BD295E">
              <w:rPr>
                <w:rFonts w:ascii="Arial" w:hAnsi="Arial" w:cs="Arial"/>
                <w:sz w:val="18"/>
                <w:szCs w:val="18"/>
                <w:lang w:val="en-US"/>
              </w:rPr>
              <w:t xml:space="preserve"> in a 6–10 kV cable network with the installation of low resistance neutral grounding resistors.</w:t>
            </w:r>
          </w:p>
          <w:p w14:paraId="17838AE5" w14:textId="77777777" w:rsidR="00F8426D" w:rsidRPr="00BD295E" w:rsidRDefault="008A5057" w:rsidP="00CA2271">
            <w:pPr>
              <w:pStyle w:val="af3"/>
              <w:numPr>
                <w:ilvl w:val="0"/>
                <w:numId w:val="78"/>
              </w:numPr>
              <w:ind w:left="219" w:hanging="219"/>
              <w:contextualSpacing w:val="0"/>
              <w:jc w:val="both"/>
              <w:rPr>
                <w:rFonts w:ascii="Arial" w:hAnsi="Arial" w:cs="Arial"/>
                <w:sz w:val="18"/>
                <w:szCs w:val="18"/>
                <w:lang w:val="en-US"/>
              </w:rPr>
            </w:pPr>
            <w:r w:rsidRPr="00BD295E">
              <w:rPr>
                <w:rFonts w:ascii="Arial" w:hAnsi="Arial" w:cs="Arial"/>
                <w:sz w:val="18"/>
                <w:szCs w:val="18"/>
                <w:lang w:val="en-US"/>
              </w:rPr>
              <w:t xml:space="preserve">The project for constructing the smart grid involves innovative equipment that meets the applicable requirements of the Regulations on the Uniform Technical Policy of </w:t>
            </w:r>
            <w:r w:rsidR="00BF106F" w:rsidRPr="00BD295E">
              <w:rPr>
                <w:rFonts w:ascii="Arial" w:hAnsi="Arial" w:cs="Arial"/>
                <w:sz w:val="18"/>
                <w:szCs w:val="18"/>
                <w:lang w:val="en-US"/>
              </w:rPr>
              <w:t>PJSC “Rosseti”</w:t>
            </w:r>
            <w:r w:rsidRPr="00BD295E">
              <w:rPr>
                <w:rFonts w:ascii="Arial" w:hAnsi="Arial" w:cs="Arial"/>
                <w:sz w:val="18"/>
                <w:szCs w:val="18"/>
                <w:lang w:val="en-US"/>
              </w:rPr>
              <w:t>:</w:t>
            </w:r>
            <w:r w:rsidRPr="00BD295E">
              <w:rPr>
                <w:rFonts w:ascii="Arial" w:hAnsi="Arial" w:cs="Arial"/>
                <w:sz w:val="18"/>
                <w:szCs w:val="18"/>
                <w:lang w:val="en-US"/>
              </w:rPr>
              <w:br w:type="textWrapping" w:clear="all"/>
            </w:r>
          </w:p>
          <w:p w14:paraId="2C743940" w14:textId="77777777" w:rsidR="00F8426D" w:rsidRPr="00BD295E" w:rsidRDefault="008A5057" w:rsidP="00CA2271">
            <w:pPr>
              <w:pStyle w:val="af3"/>
              <w:numPr>
                <w:ilvl w:val="0"/>
                <w:numId w:val="77"/>
              </w:numPr>
              <w:ind w:left="266" w:hanging="243"/>
              <w:contextualSpacing w:val="0"/>
              <w:jc w:val="both"/>
              <w:rPr>
                <w:rFonts w:ascii="Arial" w:hAnsi="Arial" w:cs="Arial"/>
                <w:sz w:val="18"/>
                <w:szCs w:val="18"/>
                <w:lang w:val="en-US"/>
              </w:rPr>
            </w:pPr>
            <w:r w:rsidRPr="00BD295E">
              <w:rPr>
                <w:rFonts w:ascii="Arial" w:hAnsi="Arial" w:cs="Arial"/>
                <w:sz w:val="18"/>
                <w:szCs w:val="18"/>
                <w:lang w:val="en-US"/>
              </w:rPr>
              <w:t>a computer system for data collection, processing, and grid control;</w:t>
            </w:r>
          </w:p>
          <w:p w14:paraId="01C51FB9" w14:textId="77777777" w:rsidR="00F8426D" w:rsidRPr="00BD295E" w:rsidRDefault="008A5057" w:rsidP="00CA2271">
            <w:pPr>
              <w:pStyle w:val="af3"/>
              <w:numPr>
                <w:ilvl w:val="0"/>
                <w:numId w:val="77"/>
              </w:numPr>
              <w:ind w:left="266" w:hanging="243"/>
              <w:contextualSpacing w:val="0"/>
              <w:jc w:val="both"/>
              <w:rPr>
                <w:rFonts w:ascii="Arial" w:hAnsi="Arial" w:cs="Arial"/>
                <w:sz w:val="18"/>
                <w:szCs w:val="18"/>
                <w:lang w:val="en-US"/>
              </w:rPr>
            </w:pPr>
            <w:r w:rsidRPr="00BD295E">
              <w:rPr>
                <w:rFonts w:ascii="Arial" w:hAnsi="Arial" w:cs="Arial"/>
                <w:sz w:val="18"/>
                <w:szCs w:val="18"/>
                <w:lang w:val="en-US"/>
              </w:rPr>
              <w:t xml:space="preserve">smart metering devices that can be integrated into a unified control system and provide remote control functions and deliver information on grid operation parameters; </w:t>
            </w:r>
          </w:p>
          <w:p w14:paraId="025EBD06" w14:textId="77777777" w:rsidR="00F8426D" w:rsidRPr="00BD295E" w:rsidRDefault="008A5057" w:rsidP="00CA2271">
            <w:pPr>
              <w:pStyle w:val="af3"/>
              <w:numPr>
                <w:ilvl w:val="0"/>
                <w:numId w:val="77"/>
              </w:numPr>
              <w:ind w:left="266" w:hanging="243"/>
              <w:contextualSpacing w:val="0"/>
              <w:jc w:val="both"/>
              <w:rPr>
                <w:rFonts w:ascii="Arial" w:hAnsi="Arial" w:cs="Arial"/>
                <w:sz w:val="18"/>
                <w:szCs w:val="18"/>
                <w:lang w:val="en-US"/>
              </w:rPr>
            </w:pPr>
            <w:r w:rsidRPr="00BD295E">
              <w:rPr>
                <w:rFonts w:ascii="Arial" w:hAnsi="Arial" w:cs="Arial"/>
                <w:sz w:val="18"/>
                <w:szCs w:val="18"/>
                <w:lang w:val="en-US"/>
              </w:rPr>
              <w:t>smart systems for monitoring and diagnostics of network equipment operation (including remote diagnostics tools and built-in tools);</w:t>
            </w:r>
          </w:p>
          <w:p w14:paraId="0786473B" w14:textId="77777777" w:rsidR="00F8426D" w:rsidRPr="00BD295E" w:rsidRDefault="008A5057" w:rsidP="00CA2271">
            <w:pPr>
              <w:pStyle w:val="af3"/>
              <w:numPr>
                <w:ilvl w:val="0"/>
                <w:numId w:val="77"/>
              </w:numPr>
              <w:ind w:left="266" w:hanging="243"/>
              <w:contextualSpacing w:val="0"/>
              <w:jc w:val="both"/>
              <w:rPr>
                <w:rFonts w:ascii="Arial" w:hAnsi="Arial" w:cs="Arial"/>
                <w:sz w:val="18"/>
                <w:szCs w:val="18"/>
                <w:lang w:val="en-US"/>
              </w:rPr>
            </w:pPr>
            <w:r w:rsidRPr="00BD295E">
              <w:rPr>
                <w:rFonts w:ascii="Arial" w:hAnsi="Arial" w:cs="Arial"/>
                <w:sz w:val="18"/>
                <w:szCs w:val="18"/>
                <w:lang w:val="en-US"/>
              </w:rPr>
              <w:t>grid fault localization systems integrated into a unified control system, etc.</w:t>
            </w:r>
          </w:p>
        </w:tc>
      </w:tr>
      <w:tr w:rsidR="008A5057" w:rsidRPr="00BD295E" w14:paraId="64A5EA0C" w14:textId="77777777" w:rsidTr="0027083B">
        <w:trPr>
          <w:trHeight w:val="466"/>
        </w:trPr>
        <w:tc>
          <w:tcPr>
            <w:tcW w:w="472" w:type="dxa"/>
            <w:shd w:val="clear" w:color="auto" w:fill="auto"/>
            <w:tcMar>
              <w:left w:w="57" w:type="dxa"/>
              <w:right w:w="57" w:type="dxa"/>
            </w:tcMar>
          </w:tcPr>
          <w:p w14:paraId="2B06706C"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2.2</w:t>
            </w:r>
          </w:p>
        </w:tc>
        <w:tc>
          <w:tcPr>
            <w:tcW w:w="2701" w:type="dxa"/>
            <w:shd w:val="clear" w:color="auto" w:fill="auto"/>
            <w:tcMar>
              <w:left w:w="57" w:type="dxa"/>
              <w:right w:w="57" w:type="dxa"/>
            </w:tcMar>
          </w:tcPr>
          <w:p w14:paraId="3113A90A" w14:textId="77777777" w:rsidR="00F8426D" w:rsidRPr="00BD295E" w:rsidRDefault="008A5057" w:rsidP="0027083B">
            <w:pPr>
              <w:rPr>
                <w:rFonts w:ascii="Arial" w:hAnsi="Arial" w:cs="Arial"/>
                <w:sz w:val="18"/>
                <w:szCs w:val="18"/>
                <w:lang w:val="en-US"/>
              </w:rPr>
            </w:pPr>
            <w:r w:rsidRPr="00BD295E">
              <w:rPr>
                <w:rFonts w:ascii="Arial" w:hAnsi="Arial" w:cs="Arial"/>
                <w:sz w:val="18"/>
                <w:szCs w:val="18"/>
                <w:lang w:val="en-US"/>
              </w:rPr>
              <w:t>Modernization of a 6 kV distribution grid in the area of substation No. 18 (Tsentralny District)</w:t>
            </w:r>
          </w:p>
        </w:tc>
        <w:tc>
          <w:tcPr>
            <w:tcW w:w="6070" w:type="dxa"/>
            <w:shd w:val="clear" w:color="auto" w:fill="auto"/>
            <w:tcMar>
              <w:left w:w="57" w:type="dxa"/>
              <w:right w:w="57" w:type="dxa"/>
            </w:tcMar>
          </w:tcPr>
          <w:p w14:paraId="5A48BB40"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design concepts and design documentation for Phase 1 of the project were developed in 2018.</w:t>
            </w:r>
          </w:p>
          <w:p w14:paraId="33445F31"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project uses the following advanced engineering solutions:</w:t>
            </w:r>
          </w:p>
          <w:p w14:paraId="6104A594"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smart metering devices that can be integrated into a unified control system and provide remote control functions and deliver information on grid operation parameters;</w:t>
            </w:r>
          </w:p>
          <w:p w14:paraId="0A510340"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smart systems for monitoring and diagnostics of network equipment operation (including remote diagnostics tools and built-in tools, with information forwarded to the APCS);</w:t>
            </w:r>
          </w:p>
          <w:p w14:paraId="60F6519D"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grid fault localization systems integrated into a unified control system, etc.</w:t>
            </w:r>
          </w:p>
        </w:tc>
      </w:tr>
      <w:tr w:rsidR="008A5057" w:rsidRPr="00BD295E" w14:paraId="690DD01D" w14:textId="77777777" w:rsidTr="0027083B">
        <w:trPr>
          <w:trHeight w:val="466"/>
        </w:trPr>
        <w:tc>
          <w:tcPr>
            <w:tcW w:w="472" w:type="dxa"/>
            <w:shd w:val="clear" w:color="auto" w:fill="auto"/>
            <w:tcMar>
              <w:left w:w="57" w:type="dxa"/>
              <w:right w:w="57" w:type="dxa"/>
            </w:tcMar>
          </w:tcPr>
          <w:p w14:paraId="4C10AB6B"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2.3</w:t>
            </w:r>
          </w:p>
        </w:tc>
        <w:tc>
          <w:tcPr>
            <w:tcW w:w="2701" w:type="dxa"/>
            <w:shd w:val="clear" w:color="auto" w:fill="auto"/>
            <w:tcMar>
              <w:left w:w="57" w:type="dxa"/>
              <w:right w:w="57" w:type="dxa"/>
            </w:tcMar>
          </w:tcPr>
          <w:p w14:paraId="368D18A4" w14:textId="77777777" w:rsidR="00F8426D" w:rsidRPr="00BD295E" w:rsidRDefault="008A5057" w:rsidP="0027083B">
            <w:pPr>
              <w:rPr>
                <w:rFonts w:ascii="Arial" w:hAnsi="Arial" w:cs="Arial"/>
                <w:sz w:val="18"/>
                <w:szCs w:val="18"/>
                <w:lang w:val="en-US"/>
              </w:rPr>
            </w:pPr>
            <w:r w:rsidRPr="00BD295E">
              <w:rPr>
                <w:rFonts w:ascii="Arial" w:hAnsi="Arial" w:cs="Arial"/>
                <w:sz w:val="18"/>
                <w:szCs w:val="18"/>
                <w:lang w:val="en-US"/>
              </w:rPr>
              <w:br w:type="textWrapping" w:clear="all"/>
              <w:t>Creation of a Digital Electric Grid District based on the Northern Electric Grid District of the Cable Grid branch</w:t>
            </w:r>
          </w:p>
        </w:tc>
        <w:tc>
          <w:tcPr>
            <w:tcW w:w="6070" w:type="dxa"/>
            <w:shd w:val="clear" w:color="auto" w:fill="auto"/>
            <w:tcMar>
              <w:left w:w="57" w:type="dxa"/>
              <w:right w:w="57" w:type="dxa"/>
            </w:tcMar>
          </w:tcPr>
          <w:p w14:paraId="5DF70D37"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2018, the input data for the design were collected, the grid’s mathematical model and the project’s concept were developed, as well as some sections were developed for design concepts.</w:t>
            </w:r>
          </w:p>
          <w:p w14:paraId="69C2D550"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project uses the following advanced engineering solutions:</w:t>
            </w:r>
          </w:p>
          <w:p w14:paraId="727E5233"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 xml:space="preserve">application of smart switching devices and other devices for automatic identification and localization of faults in the electric grid; </w:t>
            </w:r>
          </w:p>
          <w:p w14:paraId="73245D32"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upgrade of electricity supply centers with respect to the implementation of a data collection and communication system, installation of switching and relay protection devices using high-tech circuit breakers and microprocessor controllers for connections enabled by digital current and voltage sensors;</w:t>
            </w:r>
          </w:p>
          <w:p w14:paraId="55182BF1"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br w:type="textWrapping" w:clear="all"/>
              <w:t>introduction of, or upgrading of the existing, software and hardware package for an electric grid district, comprising an automated response, technological and case management system (response data management system, DMS, OMS, GIS) using a single information model of the electric grid compliant with CIM IEC 61968/61970, which provides for the intake, storage, display, processing, and analysis of all types of essential and non-essential telemetrics, manual input data, information from the adjacent process and corporate automation systems for managing the operation and development of the electric grid;</w:t>
            </w:r>
          </w:p>
          <w:p w14:paraId="1B5AA23B"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 xml:space="preserve">introduction of digital monitoring, management, and emergency detection systems (identification of type and localization of short circuits or line-to-ground short circuits), quality determination, and electricity and capacity metering systems transmitting data to the higher data management tiers at the level of transformer substations and end consumers in order to update the estimate model of the grid and manage electricity consumption; ensuring the capability for unloading the grid and disconnecting the consumers using the preset algorithms; </w:t>
            </w:r>
          </w:p>
          <w:p w14:paraId="7F0E7790" w14:textId="6A341CDA"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 xml:space="preserve">introduction of a software package that ensures the </w:t>
            </w:r>
            <w:r w:rsidR="002C3947" w:rsidRPr="00BD295E">
              <w:rPr>
                <w:rFonts w:ascii="Arial" w:hAnsi="Arial" w:cs="Arial"/>
                <w:sz w:val="18"/>
                <w:szCs w:val="18"/>
                <w:lang w:val="en-US"/>
              </w:rPr>
              <w:t>collection</w:t>
            </w:r>
            <w:r w:rsidRPr="00BD295E">
              <w:rPr>
                <w:rFonts w:ascii="Arial" w:hAnsi="Arial" w:cs="Arial"/>
                <w:sz w:val="18"/>
                <w:szCs w:val="18"/>
                <w:lang w:val="en-US"/>
              </w:rPr>
              <w:t>, processing, and storage of electricity metering records; analysis of the balance and losses of electricity to identify the sources and amounts of losses, estimate and display electricity quality; introduction of a function for online review of electricity consumption and optimization of electricity expenses by consumers, as well as consumer feedback to the utility company.</w:t>
            </w:r>
          </w:p>
        </w:tc>
      </w:tr>
      <w:tr w:rsidR="008A5057" w:rsidRPr="00BD295E" w14:paraId="4767D047" w14:textId="77777777" w:rsidTr="0027083B">
        <w:trPr>
          <w:trHeight w:val="466"/>
        </w:trPr>
        <w:tc>
          <w:tcPr>
            <w:tcW w:w="472" w:type="dxa"/>
            <w:shd w:val="clear" w:color="auto" w:fill="auto"/>
            <w:tcMar>
              <w:left w:w="57" w:type="dxa"/>
              <w:right w:w="57" w:type="dxa"/>
            </w:tcMar>
          </w:tcPr>
          <w:p w14:paraId="51F5CBAA"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2.4</w:t>
            </w:r>
          </w:p>
        </w:tc>
        <w:tc>
          <w:tcPr>
            <w:tcW w:w="2701" w:type="dxa"/>
            <w:shd w:val="clear" w:color="auto" w:fill="auto"/>
            <w:tcMar>
              <w:left w:w="57" w:type="dxa"/>
              <w:right w:w="57" w:type="dxa"/>
            </w:tcMar>
          </w:tcPr>
          <w:p w14:paraId="5D931E82" w14:textId="77777777" w:rsidR="00F8426D" w:rsidRPr="00BD295E" w:rsidRDefault="008A5057" w:rsidP="0027083B">
            <w:pPr>
              <w:rPr>
                <w:rFonts w:ascii="Arial" w:hAnsi="Arial" w:cs="Arial"/>
                <w:sz w:val="18"/>
                <w:szCs w:val="18"/>
                <w:lang w:val="en-US"/>
              </w:rPr>
            </w:pPr>
            <w:r w:rsidRPr="00BD295E">
              <w:rPr>
                <w:rFonts w:ascii="Arial" w:hAnsi="Arial" w:cs="Arial"/>
                <w:sz w:val="18"/>
                <w:szCs w:val="18"/>
                <w:lang w:val="en-US"/>
              </w:rPr>
              <w:br w:type="textWrapping" w:clear="all"/>
              <w:t>Development of the charging infrastructure in Saint Petersburg</w:t>
            </w:r>
          </w:p>
        </w:tc>
        <w:tc>
          <w:tcPr>
            <w:tcW w:w="6070" w:type="dxa"/>
            <w:shd w:val="clear" w:color="auto" w:fill="auto"/>
            <w:tcMar>
              <w:left w:w="57" w:type="dxa"/>
              <w:right w:w="57" w:type="dxa"/>
            </w:tcMar>
          </w:tcPr>
          <w:p w14:paraId="700654B0"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project uses the following advanced engineering solutions:</w:t>
            </w:r>
          </w:p>
          <w:p w14:paraId="3DEBE09E"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creation of infrastructure for implementation of the Smart Grid concept;</w:t>
            </w:r>
          </w:p>
          <w:p w14:paraId="1D14F0D5"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launch and operation of a public network of electric charging stations.</w:t>
            </w:r>
          </w:p>
        </w:tc>
      </w:tr>
      <w:tr w:rsidR="008A5057" w:rsidRPr="00BD295E" w14:paraId="1B596EA5" w14:textId="77777777" w:rsidTr="0027083B">
        <w:trPr>
          <w:trHeight w:val="466"/>
        </w:trPr>
        <w:tc>
          <w:tcPr>
            <w:tcW w:w="472" w:type="dxa"/>
            <w:shd w:val="clear" w:color="auto" w:fill="auto"/>
            <w:tcMar>
              <w:left w:w="57" w:type="dxa"/>
              <w:right w:w="57" w:type="dxa"/>
            </w:tcMar>
          </w:tcPr>
          <w:p w14:paraId="74AE16C5"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2.5</w:t>
            </w:r>
          </w:p>
        </w:tc>
        <w:tc>
          <w:tcPr>
            <w:tcW w:w="2701" w:type="dxa"/>
            <w:shd w:val="clear" w:color="auto" w:fill="auto"/>
            <w:tcMar>
              <w:left w:w="57" w:type="dxa"/>
              <w:right w:w="57" w:type="dxa"/>
            </w:tcMar>
          </w:tcPr>
          <w:p w14:paraId="55AC81BF" w14:textId="77777777" w:rsidR="00F8426D" w:rsidRPr="00BD295E" w:rsidRDefault="008A5057" w:rsidP="0027083B">
            <w:pPr>
              <w:rPr>
                <w:rFonts w:ascii="Arial" w:hAnsi="Arial" w:cs="Arial"/>
                <w:sz w:val="18"/>
                <w:szCs w:val="18"/>
                <w:lang w:val="en-US"/>
              </w:rPr>
            </w:pPr>
            <w:r w:rsidRPr="00BD295E">
              <w:rPr>
                <w:rFonts w:ascii="Arial" w:hAnsi="Arial" w:cs="Arial"/>
                <w:sz w:val="18"/>
                <w:szCs w:val="18"/>
                <w:lang w:val="en-US"/>
              </w:rPr>
              <w:t>Comprehensive automation of the 6–10 KV grid of the Vsevolozhsky Electric Grid District of the Prigorodniye Power Grid branch</w:t>
            </w:r>
          </w:p>
        </w:tc>
        <w:tc>
          <w:tcPr>
            <w:tcW w:w="6070" w:type="dxa"/>
            <w:shd w:val="clear" w:color="auto" w:fill="auto"/>
            <w:tcMar>
              <w:left w:w="57" w:type="dxa"/>
              <w:right w:w="57" w:type="dxa"/>
            </w:tcMar>
          </w:tcPr>
          <w:p w14:paraId="55FA51BB"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project was completed in 2018.</w:t>
            </w:r>
          </w:p>
          <w:p w14:paraId="7F1E4880"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project uses the following advanced engineering solutions:</w:t>
            </w:r>
          </w:p>
          <w:p w14:paraId="47D040F9"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Comprehensive automation of the Electric Grid District using smart switching units (reclosers) in 6–1 kV grids with integrated bay controllers, including the supply and installation of damage indicators on overhead lines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using a damage detection system transmitting data to a reading device via GSM/GPRS with integration to the dispatch control station of the Electric Grid District.</w:t>
            </w:r>
          </w:p>
        </w:tc>
      </w:tr>
      <w:tr w:rsidR="008A5057" w:rsidRPr="00BD295E" w14:paraId="3378FC09" w14:textId="77777777" w:rsidTr="0027083B">
        <w:trPr>
          <w:trHeight w:val="466"/>
        </w:trPr>
        <w:tc>
          <w:tcPr>
            <w:tcW w:w="472" w:type="dxa"/>
            <w:shd w:val="clear" w:color="auto" w:fill="auto"/>
            <w:tcMar>
              <w:left w:w="57" w:type="dxa"/>
              <w:right w:w="57" w:type="dxa"/>
            </w:tcMar>
          </w:tcPr>
          <w:p w14:paraId="50F66FC8"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2.6</w:t>
            </w:r>
          </w:p>
        </w:tc>
        <w:tc>
          <w:tcPr>
            <w:tcW w:w="2701" w:type="dxa"/>
            <w:shd w:val="clear" w:color="auto" w:fill="auto"/>
            <w:tcMar>
              <w:left w:w="57" w:type="dxa"/>
              <w:right w:w="57" w:type="dxa"/>
            </w:tcMar>
          </w:tcPr>
          <w:p w14:paraId="192B1C35" w14:textId="77777777" w:rsidR="00F8426D" w:rsidRPr="00BD295E" w:rsidRDefault="008A5057" w:rsidP="0027083B">
            <w:pPr>
              <w:rPr>
                <w:rFonts w:ascii="Arial" w:hAnsi="Arial" w:cs="Arial"/>
                <w:sz w:val="18"/>
                <w:szCs w:val="18"/>
                <w:lang w:val="en-US"/>
              </w:rPr>
            </w:pPr>
            <w:r w:rsidRPr="00BD295E">
              <w:rPr>
                <w:rFonts w:ascii="Arial" w:hAnsi="Arial" w:cs="Arial"/>
                <w:sz w:val="18"/>
                <w:szCs w:val="18"/>
                <w:lang w:val="en-US"/>
              </w:rPr>
              <w:t>Comprehensive automation of 6–10 KV overhead lines at the Kingiseppsky Electric Grid District of the Kingiseppskiye Power Grid branch</w:t>
            </w:r>
          </w:p>
        </w:tc>
        <w:tc>
          <w:tcPr>
            <w:tcW w:w="6070" w:type="dxa"/>
            <w:shd w:val="clear" w:color="auto" w:fill="auto"/>
            <w:tcMar>
              <w:left w:w="57" w:type="dxa"/>
              <w:right w:w="57" w:type="dxa"/>
            </w:tcMar>
          </w:tcPr>
          <w:p w14:paraId="25E5DAD9"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project uses the following advanced engineering solutions:</w:t>
            </w:r>
          </w:p>
          <w:p w14:paraId="7E097625"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For 10 kV overhead lines:</w:t>
            </w:r>
          </w:p>
          <w:p w14:paraId="4C0655F0"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smart switching devices (reclosers) with built-in relay protection and remote control tools. As an alternative for the automatic isolation of the damaged section of a 10 kV overhead line in case of a short circuit at the branch line, the project provides for the use of remotely controlled disconnectors;</w:t>
            </w:r>
          </w:p>
          <w:p w14:paraId="2A1BB2A1"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short circuit indicators for overhead lines, including with a data transfer option.</w:t>
            </w:r>
          </w:p>
          <w:p w14:paraId="03A0872F" w14:textId="77777777" w:rsidR="00F8426D" w:rsidRPr="00BD295E" w:rsidRDefault="008A5057" w:rsidP="0027083B">
            <w:pPr>
              <w:ind w:left="23"/>
              <w:jc w:val="both"/>
              <w:rPr>
                <w:rFonts w:ascii="Arial" w:hAnsi="Arial" w:cs="Arial"/>
                <w:sz w:val="18"/>
                <w:szCs w:val="18"/>
                <w:lang w:val="en-US"/>
              </w:rPr>
            </w:pPr>
            <w:r w:rsidRPr="00BD295E">
              <w:rPr>
                <w:rFonts w:ascii="Arial" w:hAnsi="Arial" w:cs="Arial"/>
                <w:sz w:val="18"/>
                <w:szCs w:val="18"/>
                <w:lang w:val="en-US"/>
              </w:rPr>
              <w:t>For 35–110 kV substations:</w:t>
            </w:r>
          </w:p>
          <w:p w14:paraId="406ECE7F"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selective protection against line-to-ground short circuits with detection of the damaged feeder and data transfer to the automated dispatch control system;</w:t>
            </w:r>
          </w:p>
          <w:p w14:paraId="75F4AF5B"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Advanced remote control and communications systems (at PS-11 Rossiya);</w:t>
            </w:r>
          </w:p>
          <w:p w14:paraId="46F8325D" w14:textId="77777777" w:rsidR="00F8426D" w:rsidRPr="00BD295E" w:rsidRDefault="008A5057" w:rsidP="00CA2271">
            <w:pPr>
              <w:pStyle w:val="af3"/>
              <w:numPr>
                <w:ilvl w:val="0"/>
                <w:numId w:val="77"/>
              </w:numPr>
              <w:ind w:left="307" w:hanging="284"/>
              <w:contextualSpacing w:val="0"/>
              <w:jc w:val="both"/>
              <w:rPr>
                <w:rFonts w:ascii="Arial" w:hAnsi="Arial" w:cs="Arial"/>
                <w:sz w:val="18"/>
                <w:szCs w:val="18"/>
                <w:lang w:val="en-US"/>
              </w:rPr>
            </w:pPr>
            <w:r w:rsidRPr="00BD295E">
              <w:rPr>
                <w:rFonts w:ascii="Arial" w:hAnsi="Arial" w:cs="Arial"/>
                <w:sz w:val="18"/>
                <w:szCs w:val="18"/>
                <w:lang w:val="en-US"/>
              </w:rPr>
              <w:t xml:space="preserve">installation, expansion, or modernization of SCADA systems in the dispatching </w:t>
            </w:r>
            <w:r w:rsidR="00CF0D86" w:rsidRPr="00BD295E">
              <w:rPr>
                <w:rFonts w:ascii="Arial" w:hAnsi="Arial" w:cs="Arial"/>
                <w:sz w:val="18"/>
                <w:szCs w:val="18"/>
                <w:lang w:val="en-US"/>
              </w:rPr>
              <w:t>control</w:t>
            </w:r>
            <w:r w:rsidRPr="00BD295E">
              <w:rPr>
                <w:rFonts w:ascii="Arial" w:hAnsi="Arial" w:cs="Arial"/>
                <w:sz w:val="18"/>
                <w:szCs w:val="18"/>
                <w:lang w:val="en-US"/>
              </w:rPr>
              <w:t xml:space="preserve"> center of the Kingisepps</w:t>
            </w:r>
            <w:r w:rsidR="00CF0D86" w:rsidRPr="00BD295E">
              <w:rPr>
                <w:rFonts w:ascii="Arial" w:hAnsi="Arial" w:cs="Arial"/>
                <w:sz w:val="18"/>
                <w:szCs w:val="18"/>
                <w:lang w:val="en-US"/>
              </w:rPr>
              <w:t>k</w:t>
            </w:r>
            <w:r w:rsidRPr="00BD295E">
              <w:rPr>
                <w:rFonts w:ascii="Arial" w:hAnsi="Arial" w:cs="Arial"/>
                <w:sz w:val="18"/>
                <w:szCs w:val="18"/>
                <w:lang w:val="en-US"/>
              </w:rPr>
              <w:t>iye Power Grid branch, including the integration of the equipment installed as part of this project and implementation of information management functions to create smart grids.</w:t>
            </w:r>
          </w:p>
          <w:p w14:paraId="3AB100D0" w14:textId="77777777" w:rsidR="00F8426D"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Along with the disconnectors, short circuit indicators transmitting data to SCADA are installed to provide for the prompt decision-making on remote disconnection of the damaged branch lines on completion of failed automatic reclose cycles of the transmission smart switching units (reclosers).</w:t>
            </w:r>
          </w:p>
        </w:tc>
      </w:tr>
    </w:tbl>
    <w:p w14:paraId="4369C241" w14:textId="43676885" w:rsidR="006A7606" w:rsidRPr="00BD295E" w:rsidRDefault="006A7606" w:rsidP="00006621">
      <w:pPr>
        <w:ind w:firstLine="709"/>
        <w:jc w:val="both"/>
        <w:rPr>
          <w:rFonts w:ascii="Arial" w:hAnsi="Arial" w:cs="Arial"/>
          <w:sz w:val="18"/>
          <w:szCs w:val="18"/>
          <w:lang w:val="en-US"/>
        </w:rPr>
      </w:pPr>
    </w:p>
    <w:p w14:paraId="71219ACB" w14:textId="77777777" w:rsidR="006A7606" w:rsidRPr="00BD295E" w:rsidRDefault="006A7606">
      <w:pPr>
        <w:rPr>
          <w:rFonts w:ascii="Arial" w:hAnsi="Arial" w:cs="Arial"/>
          <w:sz w:val="18"/>
          <w:szCs w:val="18"/>
          <w:lang w:val="en-US"/>
        </w:rPr>
      </w:pPr>
      <w:r w:rsidRPr="00BD295E">
        <w:rPr>
          <w:rFonts w:ascii="Arial" w:hAnsi="Arial" w:cs="Arial"/>
          <w:sz w:val="18"/>
          <w:szCs w:val="18"/>
          <w:lang w:val="en-US"/>
        </w:rPr>
        <w:br w:type="page"/>
      </w:r>
    </w:p>
    <w:p w14:paraId="4B4E2169" w14:textId="77777777" w:rsidR="00006621" w:rsidRPr="00BD295E" w:rsidRDefault="008A5057" w:rsidP="00006621">
      <w:pPr>
        <w:ind w:firstLine="709"/>
        <w:jc w:val="center"/>
        <w:rPr>
          <w:rFonts w:ascii="Arial" w:hAnsi="Arial" w:cs="Arial"/>
          <w:b/>
          <w:sz w:val="18"/>
          <w:szCs w:val="18"/>
          <w:lang w:val="en-US"/>
        </w:rPr>
      </w:pPr>
      <w:r w:rsidRPr="00BD295E">
        <w:rPr>
          <w:rFonts w:ascii="Arial" w:hAnsi="Arial" w:cs="Arial"/>
          <w:b/>
          <w:sz w:val="18"/>
          <w:szCs w:val="18"/>
          <w:lang w:val="en-US"/>
        </w:rPr>
        <w:t>Technical standards developed by the Company for technical regulation in the reporting period</w:t>
      </w:r>
    </w:p>
    <w:p w14:paraId="0F64A545" w14:textId="77777777" w:rsidR="00006621" w:rsidRPr="00BD295E" w:rsidRDefault="008A5057" w:rsidP="00006621">
      <w:pPr>
        <w:ind w:firstLine="720"/>
        <w:jc w:val="both"/>
        <w:rPr>
          <w:rFonts w:ascii="Arial" w:hAnsi="Arial" w:cs="Arial"/>
          <w:sz w:val="18"/>
          <w:szCs w:val="18"/>
          <w:lang w:val="en-US"/>
        </w:rPr>
      </w:pPr>
      <w:r w:rsidRPr="00BD295E">
        <w:rPr>
          <w:rFonts w:ascii="Arial" w:hAnsi="Arial" w:cs="Arial"/>
          <w:sz w:val="18"/>
          <w:szCs w:val="18"/>
          <w:lang w:val="en-US"/>
        </w:rPr>
        <w:br w:type="textWrapping" w:clear="all"/>
      </w:r>
      <w:r w:rsidRPr="00BD295E">
        <w:rPr>
          <w:rFonts w:ascii="Arial" w:hAnsi="Arial" w:cs="Arial"/>
          <w:sz w:val="18"/>
          <w:szCs w:val="18"/>
          <w:lang w:val="en-US"/>
        </w:rPr>
        <w:br w:type="textWrapping" w:clear="all"/>
        <w:t xml:space="preserve">In accordance with the existing multilateral agreement on the coordination and development of a system of technical standards for the electric grid sector No. VR0000003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21, 2015 (hereinafter the “Agreement”), in order to implement the Technical Policy with respect to regulatory support in terms of technical standards,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regularly updates the lists of external and internal technical standards used in its production and business operations (in line with the register of technical standards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and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of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2324FFAA" w14:textId="77777777" w:rsidR="00006621"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 xml:space="preserve">In 2018, 31 technical standards developed by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were included in the list of external regulatory documents governing the operations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5D70EE0E" w14:textId="77777777" w:rsidR="00006621"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In 2018, structural units of the Company developed 43 internal technical standards.</w:t>
      </w:r>
    </w:p>
    <w:p w14:paraId="50696BFF" w14:textId="77777777" w:rsidR="00006621"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 xml:space="preserve">In 2018, the work was completed under a service contract for the development of an organizational standard for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Guidelines for Diagnostics of Gas-Insulated Equipment</w:t>
      </w:r>
      <w:r w:rsidRPr="00BD295E">
        <w:rPr>
          <w:rFonts w:ascii="Arial" w:hAnsi="Arial" w:cs="Arial"/>
          <w:sz w:val="18"/>
          <w:szCs w:val="18"/>
          <w:lang w:val="en-US"/>
        </w:rPr>
        <w:t>.</w:t>
      </w:r>
    </w:p>
    <w:p w14:paraId="7760F877" w14:textId="77777777" w:rsidR="00006621" w:rsidRPr="00BD295E" w:rsidRDefault="00006621" w:rsidP="00006621">
      <w:pPr>
        <w:ind w:firstLine="720"/>
        <w:jc w:val="both"/>
        <w:rPr>
          <w:rFonts w:ascii="Arial" w:hAnsi="Arial" w:cs="Arial"/>
          <w:sz w:val="18"/>
          <w:szCs w:val="18"/>
          <w:lang w:val="en-US"/>
        </w:rPr>
      </w:pPr>
    </w:p>
    <w:tbl>
      <w:tblPr>
        <w:tblW w:w="92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54"/>
        <w:gridCol w:w="1701"/>
        <w:gridCol w:w="1559"/>
        <w:gridCol w:w="2319"/>
        <w:gridCol w:w="1182"/>
        <w:gridCol w:w="1985"/>
      </w:tblGrid>
      <w:tr w:rsidR="008A5057" w:rsidRPr="00BD295E" w14:paraId="352F885A" w14:textId="77777777" w:rsidTr="00006621">
        <w:trPr>
          <w:trHeight w:val="2058"/>
        </w:trPr>
        <w:tc>
          <w:tcPr>
            <w:tcW w:w="454" w:type="dxa"/>
            <w:shd w:val="clear" w:color="auto" w:fill="auto"/>
            <w:vAlign w:val="center"/>
          </w:tcPr>
          <w:p w14:paraId="5E28DD79"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No.</w:t>
            </w:r>
          </w:p>
        </w:tc>
        <w:tc>
          <w:tcPr>
            <w:tcW w:w="1701" w:type="dxa"/>
            <w:shd w:val="clear" w:color="auto" w:fill="auto"/>
            <w:vAlign w:val="center"/>
          </w:tcPr>
          <w:p w14:paraId="60C548B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Technical standard reference No. in the Register of Technical Standards of </w:t>
            </w:r>
            <w:r w:rsidR="00EE5753" w:rsidRPr="00BD295E">
              <w:rPr>
                <w:rFonts w:ascii="Arial" w:hAnsi="Arial" w:cs="Arial"/>
                <w:sz w:val="18"/>
                <w:szCs w:val="18"/>
                <w:lang w:val="en-US"/>
              </w:rPr>
              <w:t>PJSC “Lenenergo”</w:t>
            </w:r>
          </w:p>
        </w:tc>
        <w:tc>
          <w:tcPr>
            <w:tcW w:w="1559" w:type="dxa"/>
            <w:shd w:val="clear" w:color="auto" w:fill="auto"/>
            <w:vAlign w:val="center"/>
          </w:tcPr>
          <w:p w14:paraId="0B82910F"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Technical regulation area</w:t>
            </w:r>
          </w:p>
        </w:tc>
        <w:tc>
          <w:tcPr>
            <w:tcW w:w="2319" w:type="dxa"/>
            <w:shd w:val="clear" w:color="auto" w:fill="auto"/>
            <w:vAlign w:val="center"/>
          </w:tcPr>
          <w:p w14:paraId="2B03AF5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Title</w:t>
            </w:r>
          </w:p>
        </w:tc>
        <w:tc>
          <w:tcPr>
            <w:tcW w:w="1182" w:type="dxa"/>
            <w:shd w:val="clear" w:color="auto" w:fill="auto"/>
            <w:vAlign w:val="center"/>
          </w:tcPr>
          <w:p w14:paraId="476B3E2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Development funds</w:t>
            </w:r>
          </w:p>
          <w:p w14:paraId="783B4C6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(if spent), RUB</w:t>
            </w:r>
          </w:p>
        </w:tc>
        <w:tc>
          <w:tcPr>
            <w:tcW w:w="1985" w:type="dxa"/>
            <w:shd w:val="clear" w:color="auto" w:fill="auto"/>
            <w:vAlign w:val="center"/>
          </w:tcPr>
          <w:p w14:paraId="15F00D00"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Major contractor who drafted the document (if any), legal status and name</w:t>
            </w:r>
          </w:p>
        </w:tc>
      </w:tr>
      <w:tr w:rsidR="008A5057" w:rsidRPr="00BD295E" w14:paraId="39B8B80C" w14:textId="77777777" w:rsidTr="00006621">
        <w:tc>
          <w:tcPr>
            <w:tcW w:w="454" w:type="dxa"/>
            <w:shd w:val="clear" w:color="auto" w:fill="auto"/>
          </w:tcPr>
          <w:p w14:paraId="7B8EA5E1"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2A7EA9FE"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584C357C"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Design and construction</w:t>
            </w:r>
          </w:p>
        </w:tc>
        <w:tc>
          <w:tcPr>
            <w:tcW w:w="2319" w:type="dxa"/>
            <w:shd w:val="clear" w:color="auto" w:fill="auto"/>
          </w:tcPr>
          <w:p w14:paraId="7EACC96F"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Standard terms of reference for design of new construction, expansion, renovation, technical upgrading, and modernization of 35-110 kV electric grid facilities</w:t>
            </w:r>
          </w:p>
        </w:tc>
        <w:tc>
          <w:tcPr>
            <w:tcW w:w="1182" w:type="dxa"/>
            <w:shd w:val="clear" w:color="auto" w:fill="auto"/>
          </w:tcPr>
          <w:p w14:paraId="45B89D09"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566D49E5"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695445D2" w14:textId="77777777" w:rsidTr="00006621">
        <w:trPr>
          <w:trHeight w:val="808"/>
        </w:trPr>
        <w:tc>
          <w:tcPr>
            <w:tcW w:w="454" w:type="dxa"/>
            <w:shd w:val="clear" w:color="auto" w:fill="auto"/>
          </w:tcPr>
          <w:p w14:paraId="7E7986BD"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1732ED75"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 05.04.032017</w:t>
            </w:r>
          </w:p>
        </w:tc>
        <w:tc>
          <w:tcPr>
            <w:tcW w:w="1559" w:type="dxa"/>
            <w:shd w:val="clear" w:color="auto" w:fill="auto"/>
          </w:tcPr>
          <w:p w14:paraId="17CC7175"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Metrology and quality of electricity </w:t>
            </w:r>
          </w:p>
          <w:p w14:paraId="192941B7" w14:textId="77777777" w:rsidR="00006621" w:rsidRPr="00BD295E" w:rsidRDefault="00006621" w:rsidP="00006621">
            <w:pPr>
              <w:rPr>
                <w:rFonts w:ascii="Arial" w:hAnsi="Arial" w:cs="Arial"/>
                <w:sz w:val="18"/>
                <w:szCs w:val="18"/>
                <w:lang w:val="en-US"/>
              </w:rPr>
            </w:pPr>
          </w:p>
        </w:tc>
        <w:tc>
          <w:tcPr>
            <w:tcW w:w="2319" w:type="dxa"/>
            <w:shd w:val="clear" w:color="auto" w:fill="auto"/>
          </w:tcPr>
          <w:p w14:paraId="5ECAC366"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organization and conduct of metrology control at </w:t>
            </w:r>
            <w:r w:rsidR="00EE5753" w:rsidRPr="00BD295E">
              <w:rPr>
                <w:rFonts w:ascii="Arial" w:hAnsi="Arial" w:cs="Arial"/>
                <w:sz w:val="18"/>
                <w:szCs w:val="18"/>
                <w:lang w:val="en-US"/>
              </w:rPr>
              <w:t>PJSC “Lenenergo”</w:t>
            </w:r>
          </w:p>
        </w:tc>
        <w:tc>
          <w:tcPr>
            <w:tcW w:w="1182" w:type="dxa"/>
            <w:shd w:val="clear" w:color="auto" w:fill="auto"/>
          </w:tcPr>
          <w:p w14:paraId="23B7098E"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3FF65CD6"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322B910F" w14:textId="77777777" w:rsidTr="00006621">
        <w:tc>
          <w:tcPr>
            <w:tcW w:w="454" w:type="dxa"/>
            <w:shd w:val="clear" w:color="auto" w:fill="auto"/>
          </w:tcPr>
          <w:p w14:paraId="61077F73"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77B149C6"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67681974" w14:textId="77777777" w:rsidR="00006621" w:rsidRPr="00BD295E" w:rsidRDefault="0020595C" w:rsidP="00006621">
            <w:pPr>
              <w:rPr>
                <w:rFonts w:ascii="Arial" w:hAnsi="Arial" w:cs="Arial"/>
                <w:sz w:val="18"/>
                <w:szCs w:val="18"/>
                <w:lang w:val="en-US"/>
              </w:rPr>
            </w:pPr>
            <w:r w:rsidRPr="00BD295E">
              <w:rPr>
                <w:rFonts w:ascii="Arial" w:hAnsi="Arial" w:cs="Arial"/>
                <w:sz w:val="18"/>
                <w:szCs w:val="18"/>
                <w:lang w:val="en-US"/>
              </w:rPr>
              <w:t>Operational process control and situational management</w:t>
            </w:r>
          </w:p>
        </w:tc>
        <w:tc>
          <w:tcPr>
            <w:tcW w:w="2319" w:type="dxa"/>
            <w:shd w:val="clear" w:color="auto" w:fill="auto"/>
          </w:tcPr>
          <w:p w14:paraId="1FA55FF8"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emergency restrictions of electricity (capacity) consumption in the operating area of </w:t>
            </w:r>
            <w:r w:rsidR="00EE5753" w:rsidRPr="00BD295E">
              <w:rPr>
                <w:rFonts w:ascii="Arial" w:hAnsi="Arial" w:cs="Arial"/>
                <w:sz w:val="18"/>
                <w:szCs w:val="18"/>
                <w:lang w:val="en-US"/>
              </w:rPr>
              <w:t>PJSC “Lenenergo”</w:t>
            </w:r>
          </w:p>
        </w:tc>
        <w:tc>
          <w:tcPr>
            <w:tcW w:w="1182" w:type="dxa"/>
            <w:shd w:val="clear" w:color="auto" w:fill="auto"/>
          </w:tcPr>
          <w:p w14:paraId="265F64FE"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34B22B15"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65754C03" w14:textId="77777777" w:rsidTr="00006621">
        <w:tc>
          <w:tcPr>
            <w:tcW w:w="454" w:type="dxa"/>
            <w:shd w:val="clear" w:color="auto" w:fill="auto"/>
          </w:tcPr>
          <w:p w14:paraId="4C68AA6A"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665E86A9"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RK-2017</w:t>
            </w:r>
          </w:p>
        </w:tc>
        <w:tc>
          <w:tcPr>
            <w:tcW w:w="1559" w:type="dxa"/>
            <w:shd w:val="clear" w:color="auto" w:fill="auto"/>
          </w:tcPr>
          <w:p w14:paraId="5360FFA6"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Quality management </w:t>
            </w:r>
          </w:p>
        </w:tc>
        <w:tc>
          <w:tcPr>
            <w:tcW w:w="2319" w:type="dxa"/>
            <w:shd w:val="clear" w:color="auto" w:fill="auto"/>
          </w:tcPr>
          <w:p w14:paraId="4B3C5F9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Quality guidelines</w:t>
            </w:r>
          </w:p>
        </w:tc>
        <w:tc>
          <w:tcPr>
            <w:tcW w:w="1182" w:type="dxa"/>
            <w:shd w:val="clear" w:color="auto" w:fill="auto"/>
          </w:tcPr>
          <w:p w14:paraId="662D01D8"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67ACA650"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53661737" w14:textId="77777777" w:rsidTr="00006621">
        <w:tc>
          <w:tcPr>
            <w:tcW w:w="454" w:type="dxa"/>
            <w:shd w:val="clear" w:color="auto" w:fill="auto"/>
          </w:tcPr>
          <w:p w14:paraId="5FF20015"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61F9FC2B"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RSMPBiZ</w:t>
            </w:r>
            <w:r w:rsidRPr="00BD295E">
              <w:rPr>
                <w:rFonts w:ascii="Cambria Math" w:hAnsi="Cambria Math" w:cs="Cambria Math"/>
                <w:sz w:val="18"/>
                <w:szCs w:val="18"/>
                <w:lang w:val="en-US"/>
              </w:rPr>
              <w:t>‐</w:t>
            </w:r>
            <w:r w:rsidRPr="00BD295E">
              <w:rPr>
                <w:rFonts w:ascii="Arial" w:hAnsi="Arial" w:cs="Arial"/>
                <w:sz w:val="18"/>
                <w:szCs w:val="18"/>
                <w:lang w:val="en-US"/>
              </w:rPr>
              <w:t>2017</w:t>
            </w:r>
          </w:p>
        </w:tc>
        <w:tc>
          <w:tcPr>
            <w:tcW w:w="1559" w:type="dxa"/>
            <w:shd w:val="clear" w:color="auto" w:fill="auto"/>
          </w:tcPr>
          <w:p w14:paraId="4E4BF5F5"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Occupational health</w:t>
            </w:r>
          </w:p>
        </w:tc>
        <w:tc>
          <w:tcPr>
            <w:tcW w:w="2319" w:type="dxa"/>
            <w:shd w:val="clear" w:color="auto" w:fill="auto"/>
          </w:tcPr>
          <w:p w14:paraId="532786E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Occupational health and safety management guidelines</w:t>
            </w:r>
          </w:p>
        </w:tc>
        <w:tc>
          <w:tcPr>
            <w:tcW w:w="1182" w:type="dxa"/>
            <w:shd w:val="clear" w:color="auto" w:fill="auto"/>
          </w:tcPr>
          <w:p w14:paraId="2E6F3006"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7A92236D"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24281DFE" w14:textId="77777777" w:rsidTr="00006621">
        <w:tc>
          <w:tcPr>
            <w:tcW w:w="454" w:type="dxa"/>
            <w:shd w:val="clear" w:color="auto" w:fill="auto"/>
          </w:tcPr>
          <w:p w14:paraId="0E957452"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169C316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RSEM-2017</w:t>
            </w:r>
          </w:p>
        </w:tc>
        <w:tc>
          <w:tcPr>
            <w:tcW w:w="1559" w:type="dxa"/>
            <w:shd w:val="clear" w:color="auto" w:fill="auto"/>
          </w:tcPr>
          <w:p w14:paraId="011F0393"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Environmental Safety</w:t>
            </w:r>
          </w:p>
        </w:tc>
        <w:tc>
          <w:tcPr>
            <w:tcW w:w="2319" w:type="dxa"/>
            <w:shd w:val="clear" w:color="auto" w:fill="auto"/>
          </w:tcPr>
          <w:p w14:paraId="1DD8CDC2"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Environmental management guidelines</w:t>
            </w:r>
          </w:p>
        </w:tc>
        <w:tc>
          <w:tcPr>
            <w:tcW w:w="1182" w:type="dxa"/>
            <w:shd w:val="clear" w:color="auto" w:fill="auto"/>
          </w:tcPr>
          <w:p w14:paraId="215A5D87"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22C2BF0D"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0E0F0DC4" w14:textId="77777777" w:rsidTr="00006621">
        <w:tc>
          <w:tcPr>
            <w:tcW w:w="454" w:type="dxa"/>
            <w:shd w:val="clear" w:color="auto" w:fill="auto"/>
          </w:tcPr>
          <w:p w14:paraId="32136750"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2D6F3594"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 00.00.01-2017</w:t>
            </w:r>
          </w:p>
        </w:tc>
        <w:tc>
          <w:tcPr>
            <w:tcW w:w="1559" w:type="dxa"/>
            <w:shd w:val="clear" w:color="auto" w:fill="auto"/>
          </w:tcPr>
          <w:p w14:paraId="1E6731D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Quality management</w:t>
            </w:r>
          </w:p>
        </w:tc>
        <w:tc>
          <w:tcPr>
            <w:tcW w:w="2319" w:type="dxa"/>
            <w:shd w:val="clear" w:color="auto" w:fill="auto"/>
          </w:tcPr>
          <w:p w14:paraId="77F0CB3A"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Document management</w:t>
            </w:r>
          </w:p>
        </w:tc>
        <w:tc>
          <w:tcPr>
            <w:tcW w:w="1182" w:type="dxa"/>
            <w:shd w:val="clear" w:color="auto" w:fill="auto"/>
          </w:tcPr>
          <w:p w14:paraId="6BB173C1"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11B2A921"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5D3C3206" w14:textId="77777777" w:rsidTr="00006621">
        <w:tc>
          <w:tcPr>
            <w:tcW w:w="454" w:type="dxa"/>
            <w:shd w:val="clear" w:color="auto" w:fill="auto"/>
          </w:tcPr>
          <w:p w14:paraId="728FC336"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1040D280"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 00.00.03</w:t>
            </w:r>
            <w:r w:rsidRPr="00BD295E">
              <w:rPr>
                <w:rFonts w:ascii="Cambria Math" w:hAnsi="Cambria Math" w:cs="Cambria Math"/>
                <w:sz w:val="18"/>
                <w:szCs w:val="18"/>
                <w:lang w:val="en-US"/>
              </w:rPr>
              <w:t>‐</w:t>
            </w:r>
            <w:r w:rsidRPr="00BD295E">
              <w:rPr>
                <w:rFonts w:ascii="Arial" w:hAnsi="Arial" w:cs="Arial"/>
                <w:sz w:val="18"/>
                <w:szCs w:val="18"/>
                <w:lang w:val="en-US"/>
              </w:rPr>
              <w:t>-2017</w:t>
            </w:r>
          </w:p>
        </w:tc>
        <w:tc>
          <w:tcPr>
            <w:tcW w:w="1559" w:type="dxa"/>
            <w:shd w:val="clear" w:color="auto" w:fill="auto"/>
          </w:tcPr>
          <w:p w14:paraId="21D830EC"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Quality management</w:t>
            </w:r>
          </w:p>
        </w:tc>
        <w:tc>
          <w:tcPr>
            <w:tcW w:w="2319" w:type="dxa"/>
            <w:shd w:val="clear" w:color="auto" w:fill="auto"/>
          </w:tcPr>
          <w:p w14:paraId="7DD99EF4"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Internal audits</w:t>
            </w:r>
          </w:p>
        </w:tc>
        <w:tc>
          <w:tcPr>
            <w:tcW w:w="1182" w:type="dxa"/>
            <w:shd w:val="clear" w:color="auto" w:fill="auto"/>
          </w:tcPr>
          <w:p w14:paraId="20B3F2F3"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327C14F1"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28D9C96D" w14:textId="77777777" w:rsidTr="00006621">
        <w:tc>
          <w:tcPr>
            <w:tcW w:w="454" w:type="dxa"/>
            <w:shd w:val="clear" w:color="auto" w:fill="auto"/>
          </w:tcPr>
          <w:p w14:paraId="6957ED2A"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6D324E0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 00.00.04</w:t>
            </w:r>
            <w:r w:rsidRPr="00BD295E">
              <w:rPr>
                <w:rFonts w:ascii="Cambria Math" w:hAnsi="Cambria Math" w:cs="Cambria Math"/>
                <w:sz w:val="18"/>
                <w:szCs w:val="18"/>
                <w:lang w:val="en-US"/>
              </w:rPr>
              <w:t>‐</w:t>
            </w:r>
            <w:r w:rsidRPr="00BD295E">
              <w:rPr>
                <w:rFonts w:ascii="Arial" w:hAnsi="Arial" w:cs="Arial"/>
                <w:sz w:val="18"/>
                <w:szCs w:val="18"/>
                <w:lang w:val="en-US"/>
              </w:rPr>
              <w:t>-2017</w:t>
            </w:r>
          </w:p>
        </w:tc>
        <w:tc>
          <w:tcPr>
            <w:tcW w:w="1559" w:type="dxa"/>
            <w:shd w:val="clear" w:color="auto" w:fill="auto"/>
          </w:tcPr>
          <w:p w14:paraId="3DE95B35"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Quality management</w:t>
            </w:r>
          </w:p>
        </w:tc>
        <w:tc>
          <w:tcPr>
            <w:tcW w:w="2319" w:type="dxa"/>
            <w:shd w:val="clear" w:color="auto" w:fill="auto"/>
          </w:tcPr>
          <w:p w14:paraId="3C5CDE4A"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Corrective and preventive actions</w:t>
            </w:r>
          </w:p>
        </w:tc>
        <w:tc>
          <w:tcPr>
            <w:tcW w:w="1182" w:type="dxa"/>
            <w:shd w:val="clear" w:color="auto" w:fill="auto"/>
          </w:tcPr>
          <w:p w14:paraId="51C89526"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170EAB99"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7B38FF05" w14:textId="77777777" w:rsidTr="00006621">
        <w:tc>
          <w:tcPr>
            <w:tcW w:w="454" w:type="dxa"/>
            <w:shd w:val="clear" w:color="auto" w:fill="auto"/>
          </w:tcPr>
          <w:p w14:paraId="461120F5"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1A2A1FF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 00.00.05</w:t>
            </w:r>
            <w:r w:rsidRPr="00BD295E">
              <w:rPr>
                <w:rFonts w:ascii="Cambria Math" w:hAnsi="Cambria Math" w:cs="Cambria Math"/>
                <w:sz w:val="18"/>
                <w:szCs w:val="18"/>
                <w:lang w:val="en-US"/>
              </w:rPr>
              <w:t>‐</w:t>
            </w:r>
            <w:r w:rsidRPr="00BD295E">
              <w:rPr>
                <w:rFonts w:ascii="Arial" w:hAnsi="Arial" w:cs="Arial"/>
                <w:sz w:val="18"/>
                <w:szCs w:val="18"/>
                <w:lang w:val="en-US"/>
              </w:rPr>
              <w:t>-2017</w:t>
            </w:r>
          </w:p>
        </w:tc>
        <w:tc>
          <w:tcPr>
            <w:tcW w:w="1559" w:type="dxa"/>
            <w:shd w:val="clear" w:color="auto" w:fill="auto"/>
          </w:tcPr>
          <w:p w14:paraId="5D19DD3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Quality management</w:t>
            </w:r>
          </w:p>
        </w:tc>
        <w:tc>
          <w:tcPr>
            <w:tcW w:w="2319" w:type="dxa"/>
            <w:shd w:val="clear" w:color="auto" w:fill="auto"/>
          </w:tcPr>
          <w:p w14:paraId="44494D12"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Substandard product management</w:t>
            </w:r>
          </w:p>
        </w:tc>
        <w:tc>
          <w:tcPr>
            <w:tcW w:w="1182" w:type="dxa"/>
            <w:shd w:val="clear" w:color="auto" w:fill="auto"/>
          </w:tcPr>
          <w:p w14:paraId="4B1E7232"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6A0FCD04"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3C54EC3A" w14:textId="77777777" w:rsidTr="00006621">
        <w:tc>
          <w:tcPr>
            <w:tcW w:w="454" w:type="dxa"/>
            <w:shd w:val="clear" w:color="auto" w:fill="auto"/>
          </w:tcPr>
          <w:p w14:paraId="549C6A96"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0FB1DB6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 00.00.06</w:t>
            </w:r>
            <w:r w:rsidRPr="00BD295E">
              <w:rPr>
                <w:rFonts w:ascii="Cambria Math" w:hAnsi="Cambria Math" w:cs="Cambria Math"/>
                <w:sz w:val="18"/>
                <w:szCs w:val="18"/>
                <w:lang w:val="en-US"/>
              </w:rPr>
              <w:t>‐</w:t>
            </w:r>
            <w:r w:rsidRPr="00BD295E">
              <w:rPr>
                <w:rFonts w:ascii="Arial" w:hAnsi="Arial" w:cs="Arial"/>
                <w:sz w:val="18"/>
                <w:szCs w:val="18"/>
                <w:lang w:val="en-US"/>
              </w:rPr>
              <w:t>-2017</w:t>
            </w:r>
          </w:p>
        </w:tc>
        <w:tc>
          <w:tcPr>
            <w:tcW w:w="1559" w:type="dxa"/>
            <w:shd w:val="clear" w:color="auto" w:fill="auto"/>
          </w:tcPr>
          <w:p w14:paraId="353BC3C2"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Occupational health</w:t>
            </w:r>
          </w:p>
          <w:p w14:paraId="50D1B72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Environmental Safety</w:t>
            </w:r>
          </w:p>
          <w:p w14:paraId="186D210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Quality management</w:t>
            </w:r>
          </w:p>
        </w:tc>
        <w:tc>
          <w:tcPr>
            <w:tcW w:w="2319" w:type="dxa"/>
            <w:shd w:val="clear" w:color="auto" w:fill="auto"/>
          </w:tcPr>
          <w:p w14:paraId="2D99B22F"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Analysis of the integrated quality management by top management</w:t>
            </w:r>
          </w:p>
        </w:tc>
        <w:tc>
          <w:tcPr>
            <w:tcW w:w="1182" w:type="dxa"/>
            <w:shd w:val="clear" w:color="auto" w:fill="auto"/>
          </w:tcPr>
          <w:p w14:paraId="7C559355"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7A02110C"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04AA4DCB" w14:textId="77777777" w:rsidTr="00006621">
        <w:tc>
          <w:tcPr>
            <w:tcW w:w="454" w:type="dxa"/>
            <w:shd w:val="clear" w:color="auto" w:fill="auto"/>
          </w:tcPr>
          <w:p w14:paraId="20F73215"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46490E45"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7BB54135"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Employee engagement</w:t>
            </w:r>
          </w:p>
        </w:tc>
        <w:tc>
          <w:tcPr>
            <w:tcW w:w="2319" w:type="dxa"/>
            <w:shd w:val="clear" w:color="auto" w:fill="auto"/>
          </w:tcPr>
          <w:p w14:paraId="73938DC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Rules for making HR decisions with respect to management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staff of safety units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CEOs, heads and specialists of safety units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br w:type="textWrapping" w:clear="all"/>
            </w:r>
          </w:p>
        </w:tc>
        <w:tc>
          <w:tcPr>
            <w:tcW w:w="1182" w:type="dxa"/>
            <w:shd w:val="clear" w:color="auto" w:fill="auto"/>
          </w:tcPr>
          <w:p w14:paraId="7EB3117C"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36B2CE8A"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5735922E" w14:textId="77777777" w:rsidTr="00006621">
        <w:tc>
          <w:tcPr>
            <w:tcW w:w="454" w:type="dxa"/>
            <w:shd w:val="clear" w:color="auto" w:fill="auto"/>
          </w:tcPr>
          <w:p w14:paraId="14770711"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3556D1FF"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 (organization standards)</w:t>
            </w:r>
          </w:p>
        </w:tc>
        <w:tc>
          <w:tcPr>
            <w:tcW w:w="1559" w:type="dxa"/>
            <w:shd w:val="clear" w:color="auto" w:fill="auto"/>
          </w:tcPr>
          <w:p w14:paraId="5EC2EDAA"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Testing and diagnostics methods</w:t>
            </w:r>
          </w:p>
        </w:tc>
        <w:tc>
          <w:tcPr>
            <w:tcW w:w="2319" w:type="dxa"/>
            <w:shd w:val="clear" w:color="auto" w:fill="auto"/>
          </w:tcPr>
          <w:p w14:paraId="77247E4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Guidelines for selection, construction, and operation of 6-110 kV cable lines using cross-linked polyethylene insulation</w:t>
            </w:r>
          </w:p>
        </w:tc>
        <w:tc>
          <w:tcPr>
            <w:tcW w:w="1182" w:type="dxa"/>
            <w:shd w:val="clear" w:color="auto" w:fill="auto"/>
          </w:tcPr>
          <w:p w14:paraId="4E0D5CBC"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71AB6459"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71BD49D0" w14:textId="77777777" w:rsidTr="00006621">
        <w:tc>
          <w:tcPr>
            <w:tcW w:w="454" w:type="dxa"/>
            <w:shd w:val="clear" w:color="auto" w:fill="auto"/>
          </w:tcPr>
          <w:p w14:paraId="3D35E59F"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57B6E8B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RP 05.05-001-2018</w:t>
            </w:r>
          </w:p>
        </w:tc>
        <w:tc>
          <w:tcPr>
            <w:tcW w:w="1559" w:type="dxa"/>
            <w:shd w:val="clear" w:color="auto" w:fill="auto"/>
          </w:tcPr>
          <w:p w14:paraId="1F0A9A29"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Power lines, substations, and core equipment</w:t>
            </w:r>
          </w:p>
        </w:tc>
        <w:tc>
          <w:tcPr>
            <w:tcW w:w="2319" w:type="dxa"/>
            <w:shd w:val="clear" w:color="auto" w:fill="auto"/>
          </w:tcPr>
          <w:p w14:paraId="74C8DD06"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pilot operation at electric grid facilities of </w:t>
            </w:r>
            <w:r w:rsidR="00EE5753" w:rsidRPr="00BD295E">
              <w:rPr>
                <w:rFonts w:ascii="Arial" w:hAnsi="Arial" w:cs="Arial"/>
                <w:sz w:val="18"/>
                <w:szCs w:val="18"/>
                <w:lang w:val="en-US"/>
              </w:rPr>
              <w:t>PJSC “Lenenergo”</w:t>
            </w:r>
          </w:p>
        </w:tc>
        <w:tc>
          <w:tcPr>
            <w:tcW w:w="1182" w:type="dxa"/>
            <w:shd w:val="clear" w:color="auto" w:fill="auto"/>
          </w:tcPr>
          <w:p w14:paraId="58D42FFB"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5F419350"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6E333408" w14:textId="77777777" w:rsidTr="00006621">
        <w:tc>
          <w:tcPr>
            <w:tcW w:w="454" w:type="dxa"/>
            <w:shd w:val="clear" w:color="auto" w:fill="auto"/>
          </w:tcPr>
          <w:p w14:paraId="05C5A408"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0A3276F0"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4D099939"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Grid connection</w:t>
            </w:r>
          </w:p>
        </w:tc>
        <w:tc>
          <w:tcPr>
            <w:tcW w:w="2319" w:type="dxa"/>
            <w:shd w:val="clear" w:color="auto" w:fill="auto"/>
          </w:tcPr>
          <w:p w14:paraId="0447F6DA"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grid connection electric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within 80 days</w:t>
            </w:r>
          </w:p>
        </w:tc>
        <w:tc>
          <w:tcPr>
            <w:tcW w:w="1182" w:type="dxa"/>
            <w:shd w:val="clear" w:color="auto" w:fill="auto"/>
          </w:tcPr>
          <w:p w14:paraId="57D5C630"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3F20F3BB"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629F91B4" w14:textId="77777777" w:rsidTr="00006621">
        <w:tc>
          <w:tcPr>
            <w:tcW w:w="454" w:type="dxa"/>
            <w:shd w:val="clear" w:color="auto" w:fill="auto"/>
          </w:tcPr>
          <w:p w14:paraId="3D6014B6"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2A07630F"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STO-05.01.03.-002-2018</w:t>
            </w:r>
          </w:p>
        </w:tc>
        <w:tc>
          <w:tcPr>
            <w:tcW w:w="1559" w:type="dxa"/>
            <w:shd w:val="clear" w:color="auto" w:fill="auto"/>
          </w:tcPr>
          <w:p w14:paraId="78700139"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Testing and diagnostics methods</w:t>
            </w:r>
          </w:p>
        </w:tc>
        <w:tc>
          <w:tcPr>
            <w:tcW w:w="2319" w:type="dxa"/>
            <w:shd w:val="clear" w:color="auto" w:fill="auto"/>
          </w:tcPr>
          <w:p w14:paraId="7BEBF28C"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br w:type="textWrapping" w:clear="all"/>
              <w:t>6–110 kV power cable lines In-process electrical testing and diagnostics</w:t>
            </w:r>
          </w:p>
        </w:tc>
        <w:tc>
          <w:tcPr>
            <w:tcW w:w="1182" w:type="dxa"/>
            <w:shd w:val="clear" w:color="auto" w:fill="auto"/>
          </w:tcPr>
          <w:p w14:paraId="25C4D507"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0B2D443D"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5996856B" w14:textId="77777777" w:rsidTr="00006621">
        <w:tc>
          <w:tcPr>
            <w:tcW w:w="454" w:type="dxa"/>
            <w:shd w:val="clear" w:color="auto" w:fill="auto"/>
          </w:tcPr>
          <w:p w14:paraId="1EA5936A"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511507FF"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2EE0AE36"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Employee engagement</w:t>
            </w:r>
          </w:p>
        </w:tc>
        <w:tc>
          <w:tcPr>
            <w:tcW w:w="2319" w:type="dxa"/>
            <w:shd w:val="clear" w:color="auto" w:fill="auto"/>
          </w:tcPr>
          <w:p w14:paraId="7C8808A8"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Internal rules of conduct of </w:t>
            </w:r>
            <w:r w:rsidR="00EE5753" w:rsidRPr="00BD295E">
              <w:rPr>
                <w:rFonts w:ascii="Arial" w:hAnsi="Arial" w:cs="Arial"/>
                <w:sz w:val="18"/>
                <w:szCs w:val="18"/>
                <w:lang w:val="en-US"/>
              </w:rPr>
              <w:t>PJSC “Lenenergo”</w:t>
            </w:r>
            <w:r w:rsidRPr="00BD295E">
              <w:rPr>
                <w:rFonts w:ascii="Arial" w:hAnsi="Arial" w:cs="Arial"/>
                <w:sz w:val="18"/>
                <w:szCs w:val="18"/>
                <w:lang w:val="en-US"/>
              </w:rPr>
              <w:br w:type="textWrapping" w:clear="all"/>
            </w:r>
          </w:p>
        </w:tc>
        <w:tc>
          <w:tcPr>
            <w:tcW w:w="1182" w:type="dxa"/>
            <w:shd w:val="clear" w:color="auto" w:fill="auto"/>
          </w:tcPr>
          <w:p w14:paraId="09C11A55"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501BE7C0"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37BD3CB5" w14:textId="77777777" w:rsidTr="00006621">
        <w:tc>
          <w:tcPr>
            <w:tcW w:w="454" w:type="dxa"/>
            <w:shd w:val="clear" w:color="auto" w:fill="auto"/>
          </w:tcPr>
          <w:p w14:paraId="7E893D73"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72074DF9"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1D474A90"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Power lines, substations, and core equipment</w:t>
            </w:r>
          </w:p>
          <w:p w14:paraId="5304289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Occupational health</w:t>
            </w:r>
          </w:p>
        </w:tc>
        <w:tc>
          <w:tcPr>
            <w:tcW w:w="2319" w:type="dxa"/>
            <w:shd w:val="clear" w:color="auto" w:fill="auto"/>
          </w:tcPr>
          <w:p w14:paraId="6195FE1F"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In-process inspection guidelines for 6–10 kV distribution and transformer substations</w:t>
            </w:r>
          </w:p>
        </w:tc>
        <w:tc>
          <w:tcPr>
            <w:tcW w:w="1182" w:type="dxa"/>
            <w:shd w:val="clear" w:color="auto" w:fill="auto"/>
          </w:tcPr>
          <w:p w14:paraId="5242E039"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6AA0D94D"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50F5E528" w14:textId="77777777" w:rsidTr="00006621">
        <w:tc>
          <w:tcPr>
            <w:tcW w:w="454" w:type="dxa"/>
            <w:shd w:val="clear" w:color="auto" w:fill="auto"/>
          </w:tcPr>
          <w:p w14:paraId="71CECE82"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25D53A8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STO-05.06.05-001-2018</w:t>
            </w:r>
          </w:p>
        </w:tc>
        <w:tc>
          <w:tcPr>
            <w:tcW w:w="1559" w:type="dxa"/>
            <w:shd w:val="clear" w:color="auto" w:fill="auto"/>
          </w:tcPr>
          <w:p w14:paraId="00322249"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Occupational health</w:t>
            </w:r>
          </w:p>
        </w:tc>
        <w:tc>
          <w:tcPr>
            <w:tcW w:w="2319" w:type="dxa"/>
            <w:shd w:val="clear" w:color="auto" w:fill="auto"/>
          </w:tcPr>
          <w:p w14:paraId="1E59FF92"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 on the procedure for organizing and conducting audits of permanent and temporary workplaces at branches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p>
        </w:tc>
        <w:tc>
          <w:tcPr>
            <w:tcW w:w="1182" w:type="dxa"/>
            <w:shd w:val="clear" w:color="auto" w:fill="auto"/>
          </w:tcPr>
          <w:p w14:paraId="7DAE4E97"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2309FB2E"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6A84DDC0" w14:textId="77777777" w:rsidTr="00006621">
        <w:tc>
          <w:tcPr>
            <w:tcW w:w="454" w:type="dxa"/>
            <w:shd w:val="clear" w:color="auto" w:fill="auto"/>
          </w:tcPr>
          <w:p w14:paraId="04651A62"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35B1D5D4"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0264F0A6"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Testing and diagnostics methods</w:t>
            </w:r>
          </w:p>
        </w:tc>
        <w:tc>
          <w:tcPr>
            <w:tcW w:w="2319" w:type="dxa"/>
            <w:shd w:val="clear" w:color="auto" w:fill="auto"/>
          </w:tcPr>
          <w:p w14:paraId="7570C07B"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Guidance on acceptance and methods for in-process testing of vacuum circuit breakers for 6–35 kV grids at </w:t>
            </w:r>
            <w:r w:rsidR="00EE5753" w:rsidRPr="00BD295E">
              <w:rPr>
                <w:rFonts w:ascii="Arial" w:hAnsi="Arial" w:cs="Arial"/>
                <w:sz w:val="18"/>
                <w:szCs w:val="18"/>
                <w:lang w:val="en-US"/>
              </w:rPr>
              <w:t>PJSC “Lenenergo”</w:t>
            </w:r>
          </w:p>
        </w:tc>
        <w:tc>
          <w:tcPr>
            <w:tcW w:w="1182" w:type="dxa"/>
            <w:shd w:val="clear" w:color="auto" w:fill="auto"/>
          </w:tcPr>
          <w:p w14:paraId="01952706"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5206D0CB"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6AD274F5" w14:textId="77777777" w:rsidTr="00006621">
        <w:tc>
          <w:tcPr>
            <w:tcW w:w="454" w:type="dxa"/>
            <w:shd w:val="clear" w:color="auto" w:fill="auto"/>
          </w:tcPr>
          <w:p w14:paraId="063C0A89"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486CDFF1"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13D806E8"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Occupational health</w:t>
            </w:r>
          </w:p>
        </w:tc>
        <w:tc>
          <w:tcPr>
            <w:tcW w:w="2319" w:type="dxa"/>
            <w:shd w:val="clear" w:color="auto" w:fill="auto"/>
          </w:tcPr>
          <w:p w14:paraId="618DAA6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the operation of an occupational health office at Lenenergo, PJCS </w:t>
            </w:r>
          </w:p>
        </w:tc>
        <w:tc>
          <w:tcPr>
            <w:tcW w:w="1182" w:type="dxa"/>
            <w:shd w:val="clear" w:color="auto" w:fill="auto"/>
          </w:tcPr>
          <w:p w14:paraId="12CF0D22" w14:textId="77777777" w:rsidR="00006621" w:rsidRPr="00BD295E" w:rsidRDefault="00006621" w:rsidP="00006621">
            <w:pPr>
              <w:rPr>
                <w:rFonts w:ascii="Arial" w:hAnsi="Arial" w:cs="Arial"/>
                <w:sz w:val="18"/>
                <w:szCs w:val="18"/>
                <w:lang w:val="en-US"/>
              </w:rPr>
            </w:pPr>
          </w:p>
        </w:tc>
        <w:tc>
          <w:tcPr>
            <w:tcW w:w="1985" w:type="dxa"/>
            <w:shd w:val="clear" w:color="auto" w:fill="auto"/>
          </w:tcPr>
          <w:p w14:paraId="2C37916B" w14:textId="77777777" w:rsidR="00006621" w:rsidRPr="00BD295E" w:rsidRDefault="00006621" w:rsidP="00006621">
            <w:pPr>
              <w:rPr>
                <w:rFonts w:ascii="Arial" w:hAnsi="Arial" w:cs="Arial"/>
                <w:sz w:val="18"/>
                <w:szCs w:val="18"/>
                <w:lang w:val="en-US"/>
              </w:rPr>
            </w:pPr>
          </w:p>
        </w:tc>
      </w:tr>
      <w:tr w:rsidR="008A5057" w:rsidRPr="00BD295E" w14:paraId="34193EB2" w14:textId="77777777" w:rsidTr="00006621">
        <w:tc>
          <w:tcPr>
            <w:tcW w:w="454" w:type="dxa"/>
            <w:shd w:val="clear" w:color="auto" w:fill="auto"/>
          </w:tcPr>
          <w:p w14:paraId="26DDD8F6"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27D915E2"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4E2941A3"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Maintenance and repair operations</w:t>
            </w:r>
          </w:p>
        </w:tc>
        <w:tc>
          <w:tcPr>
            <w:tcW w:w="2319" w:type="dxa"/>
            <w:shd w:val="clear" w:color="auto" w:fill="auto"/>
          </w:tcPr>
          <w:p w14:paraId="1FC7EF72"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turnaround maintenance of electric grid equipment at </w:t>
            </w:r>
            <w:r w:rsidR="00EE5753" w:rsidRPr="00BD295E">
              <w:rPr>
                <w:rFonts w:ascii="Arial" w:hAnsi="Arial" w:cs="Arial"/>
                <w:sz w:val="18"/>
                <w:szCs w:val="18"/>
                <w:lang w:val="en-US"/>
              </w:rPr>
              <w:t>PJSC “Lenenergo”</w:t>
            </w:r>
            <w:r w:rsidRPr="00BD295E">
              <w:rPr>
                <w:rFonts w:ascii="Arial" w:hAnsi="Arial" w:cs="Arial"/>
                <w:sz w:val="18"/>
                <w:szCs w:val="18"/>
                <w:lang w:val="en-US"/>
              </w:rPr>
              <w:br w:type="textWrapping" w:clear="all"/>
            </w:r>
          </w:p>
        </w:tc>
        <w:tc>
          <w:tcPr>
            <w:tcW w:w="1182" w:type="dxa"/>
            <w:shd w:val="clear" w:color="auto" w:fill="auto"/>
          </w:tcPr>
          <w:p w14:paraId="5439AB19"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4365D13F"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53E8D762" w14:textId="77777777" w:rsidTr="00006621">
        <w:tc>
          <w:tcPr>
            <w:tcW w:w="454" w:type="dxa"/>
            <w:shd w:val="clear" w:color="auto" w:fill="auto"/>
          </w:tcPr>
          <w:p w14:paraId="47870037"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212017BF"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673BC51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Design and construction</w:t>
            </w:r>
          </w:p>
        </w:tc>
        <w:tc>
          <w:tcPr>
            <w:tcW w:w="2319" w:type="dxa"/>
            <w:shd w:val="clear" w:color="auto" w:fill="auto"/>
          </w:tcPr>
          <w:p w14:paraId="7B04E0D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Procedure for commissioning of completed construction projects at </w:t>
            </w:r>
            <w:r w:rsidR="00EE5753" w:rsidRPr="00BD295E">
              <w:rPr>
                <w:rFonts w:ascii="Arial" w:hAnsi="Arial" w:cs="Arial"/>
                <w:sz w:val="18"/>
                <w:szCs w:val="18"/>
                <w:lang w:val="en-US"/>
              </w:rPr>
              <w:t>PJSC “Lenenergo”</w:t>
            </w:r>
          </w:p>
        </w:tc>
        <w:tc>
          <w:tcPr>
            <w:tcW w:w="1182" w:type="dxa"/>
            <w:shd w:val="clear" w:color="auto" w:fill="auto"/>
          </w:tcPr>
          <w:p w14:paraId="05337281"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21BC67DA"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79063D5F" w14:textId="77777777" w:rsidTr="00006621">
        <w:tc>
          <w:tcPr>
            <w:tcW w:w="454" w:type="dxa"/>
            <w:shd w:val="clear" w:color="auto" w:fill="auto"/>
          </w:tcPr>
          <w:p w14:paraId="269BA57E"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vAlign w:val="center"/>
          </w:tcPr>
          <w:p w14:paraId="3C2892EA" w14:textId="77777777" w:rsidR="00006621" w:rsidRPr="00BD295E" w:rsidRDefault="00006621" w:rsidP="00006621">
            <w:pPr>
              <w:jc w:val="center"/>
              <w:rPr>
                <w:rFonts w:ascii="Arial" w:hAnsi="Arial" w:cs="Arial"/>
                <w:sz w:val="18"/>
                <w:szCs w:val="18"/>
                <w:lang w:val="en-US"/>
              </w:rPr>
            </w:pPr>
          </w:p>
        </w:tc>
        <w:tc>
          <w:tcPr>
            <w:tcW w:w="1559" w:type="dxa"/>
            <w:shd w:val="clear" w:color="auto" w:fill="auto"/>
          </w:tcPr>
          <w:p w14:paraId="7B98E110"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Grid connection</w:t>
            </w:r>
          </w:p>
        </w:tc>
        <w:tc>
          <w:tcPr>
            <w:tcW w:w="2319" w:type="dxa"/>
            <w:shd w:val="clear" w:color="auto" w:fill="auto"/>
            <w:vAlign w:val="center"/>
          </w:tcPr>
          <w:p w14:paraId="32FF1CA6"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On Approval of the Regulations on grid connection electric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Saint Petersburg and the Leningrad Region within 45 days</w:t>
            </w:r>
          </w:p>
        </w:tc>
        <w:tc>
          <w:tcPr>
            <w:tcW w:w="1182" w:type="dxa"/>
            <w:shd w:val="clear" w:color="auto" w:fill="auto"/>
          </w:tcPr>
          <w:p w14:paraId="7FFACD44"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53A1960C"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0D1D35F0" w14:textId="77777777" w:rsidTr="00006621">
        <w:tc>
          <w:tcPr>
            <w:tcW w:w="454" w:type="dxa"/>
            <w:shd w:val="clear" w:color="auto" w:fill="auto"/>
          </w:tcPr>
          <w:p w14:paraId="7F6D5EBE"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21D89B55"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0DCBCC8C"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Employee engagement</w:t>
            </w:r>
          </w:p>
        </w:tc>
        <w:tc>
          <w:tcPr>
            <w:tcW w:w="2319" w:type="dxa"/>
            <w:shd w:val="clear" w:color="auto" w:fill="auto"/>
          </w:tcPr>
          <w:p w14:paraId="5E72C0F8"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Regulations on ext</w:t>
            </w:r>
            <w:r w:rsidR="00CF0D86" w:rsidRPr="00BD295E">
              <w:rPr>
                <w:rFonts w:ascii="Arial" w:hAnsi="Arial" w:cs="Arial"/>
                <w:sz w:val="18"/>
                <w:szCs w:val="18"/>
                <w:lang w:val="en-US"/>
              </w:rPr>
              <w:t>r</w:t>
            </w:r>
            <w:r w:rsidRPr="00BD295E">
              <w:rPr>
                <w:rFonts w:ascii="Arial" w:hAnsi="Arial" w:cs="Arial"/>
                <w:sz w:val="18"/>
                <w:szCs w:val="18"/>
                <w:lang w:val="en-US"/>
              </w:rPr>
              <w:t xml:space="preserve">a pay and benefits payable to 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working in harmful and/or hazardous working conditions</w:t>
            </w:r>
          </w:p>
        </w:tc>
        <w:tc>
          <w:tcPr>
            <w:tcW w:w="1182" w:type="dxa"/>
            <w:shd w:val="clear" w:color="auto" w:fill="auto"/>
          </w:tcPr>
          <w:p w14:paraId="7361C714"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091F3411"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08C57459" w14:textId="77777777" w:rsidTr="00006621">
        <w:tc>
          <w:tcPr>
            <w:tcW w:w="454" w:type="dxa"/>
            <w:shd w:val="clear" w:color="auto" w:fill="auto"/>
          </w:tcPr>
          <w:p w14:paraId="34AAEFC9"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1CBDC352"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RP</w:t>
            </w:r>
            <w:r w:rsidRPr="00BD295E">
              <w:rPr>
                <w:rFonts w:ascii="Cambria Math" w:hAnsi="Cambria Math" w:cs="Cambria Math"/>
                <w:sz w:val="18"/>
                <w:szCs w:val="18"/>
                <w:lang w:val="en-US"/>
              </w:rPr>
              <w:t>‐</w:t>
            </w:r>
            <w:r w:rsidRPr="00BD295E">
              <w:rPr>
                <w:rFonts w:ascii="Arial" w:hAnsi="Arial" w:cs="Arial"/>
                <w:sz w:val="18"/>
                <w:szCs w:val="18"/>
                <w:lang w:val="en-US"/>
              </w:rPr>
              <w:t>01.01</w:t>
            </w:r>
            <w:r w:rsidRPr="00BD295E">
              <w:rPr>
                <w:rFonts w:ascii="Cambria Math" w:hAnsi="Cambria Math" w:cs="Cambria Math"/>
                <w:sz w:val="18"/>
                <w:szCs w:val="18"/>
                <w:lang w:val="en-US"/>
              </w:rPr>
              <w:t>‐</w:t>
            </w:r>
            <w:r w:rsidRPr="00BD295E">
              <w:rPr>
                <w:rFonts w:ascii="Arial" w:hAnsi="Arial" w:cs="Arial"/>
                <w:sz w:val="18"/>
                <w:szCs w:val="18"/>
                <w:lang w:val="en-US"/>
              </w:rPr>
              <w:t>001</w:t>
            </w:r>
          </w:p>
        </w:tc>
        <w:tc>
          <w:tcPr>
            <w:tcW w:w="1559" w:type="dxa"/>
            <w:shd w:val="clear" w:color="auto" w:fill="auto"/>
          </w:tcPr>
          <w:p w14:paraId="36FAD756"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Employee engagement</w:t>
            </w:r>
          </w:p>
        </w:tc>
        <w:tc>
          <w:tcPr>
            <w:tcW w:w="2319" w:type="dxa"/>
            <w:shd w:val="clear" w:color="auto" w:fill="auto"/>
          </w:tcPr>
          <w:p w14:paraId="5023E112"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drafting the staffing schedule and organizational structure of the executive arm and the managerial arm at branches of </w:t>
            </w:r>
            <w:r w:rsidR="00EE5753" w:rsidRPr="00BD295E">
              <w:rPr>
                <w:rFonts w:ascii="Arial" w:hAnsi="Arial" w:cs="Arial"/>
                <w:sz w:val="18"/>
                <w:szCs w:val="18"/>
                <w:lang w:val="en-US"/>
              </w:rPr>
              <w:t>PJSC “Lenenergo”</w:t>
            </w:r>
            <w:r w:rsidRPr="00BD295E">
              <w:rPr>
                <w:rFonts w:ascii="Arial" w:hAnsi="Arial" w:cs="Arial"/>
                <w:sz w:val="18"/>
                <w:szCs w:val="18"/>
                <w:lang w:val="en-US"/>
              </w:rPr>
              <w:br w:type="textWrapping" w:clear="all"/>
              <w:t xml:space="preserve"> </w:t>
            </w:r>
          </w:p>
        </w:tc>
        <w:tc>
          <w:tcPr>
            <w:tcW w:w="1182" w:type="dxa"/>
            <w:shd w:val="clear" w:color="auto" w:fill="auto"/>
          </w:tcPr>
          <w:p w14:paraId="0B7E5FC9"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0A2D593F"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70FC932F" w14:textId="77777777" w:rsidTr="00006621">
        <w:tc>
          <w:tcPr>
            <w:tcW w:w="454" w:type="dxa"/>
            <w:shd w:val="clear" w:color="auto" w:fill="auto"/>
          </w:tcPr>
          <w:p w14:paraId="1A0D1F20"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046FC939"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STO-05.06.05-004-2018</w:t>
            </w:r>
          </w:p>
        </w:tc>
        <w:tc>
          <w:tcPr>
            <w:tcW w:w="1559" w:type="dxa"/>
            <w:shd w:val="clear" w:color="auto" w:fill="auto"/>
          </w:tcPr>
          <w:p w14:paraId="4F8744D5"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Occupational health</w:t>
            </w:r>
          </w:p>
        </w:tc>
        <w:tc>
          <w:tcPr>
            <w:tcW w:w="2319" w:type="dxa"/>
            <w:shd w:val="clear" w:color="auto" w:fill="auto"/>
          </w:tcPr>
          <w:p w14:paraId="136870E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holding the Occupational Health Day at branches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p>
        </w:tc>
        <w:tc>
          <w:tcPr>
            <w:tcW w:w="1182" w:type="dxa"/>
            <w:shd w:val="clear" w:color="auto" w:fill="auto"/>
          </w:tcPr>
          <w:p w14:paraId="28C0195F"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6C9A27FA"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4304962F" w14:textId="77777777" w:rsidTr="00006621">
        <w:tc>
          <w:tcPr>
            <w:tcW w:w="454" w:type="dxa"/>
            <w:shd w:val="clear" w:color="auto" w:fill="auto"/>
          </w:tcPr>
          <w:p w14:paraId="24A76B89"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45D52B2E"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1DE65755"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Occupational health</w:t>
            </w:r>
          </w:p>
        </w:tc>
        <w:tc>
          <w:tcPr>
            <w:tcW w:w="2319" w:type="dxa"/>
            <w:shd w:val="clear" w:color="auto" w:fill="auto"/>
          </w:tcPr>
          <w:p w14:paraId="28B126A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a system of response to occupational health breaches by employees of branches, subsidiaries, and dependent companies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p>
        </w:tc>
        <w:tc>
          <w:tcPr>
            <w:tcW w:w="1182" w:type="dxa"/>
            <w:shd w:val="clear" w:color="auto" w:fill="auto"/>
          </w:tcPr>
          <w:p w14:paraId="2F23C4A8"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0A3C3687"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2312E267" w14:textId="77777777" w:rsidTr="00006621">
        <w:tc>
          <w:tcPr>
            <w:tcW w:w="454" w:type="dxa"/>
            <w:shd w:val="clear" w:color="auto" w:fill="auto"/>
          </w:tcPr>
          <w:p w14:paraId="22026B4F"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51DB6E32"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6A1F4C5A"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Occupational health</w:t>
            </w:r>
          </w:p>
        </w:tc>
        <w:tc>
          <w:tcPr>
            <w:tcW w:w="2319" w:type="dxa"/>
            <w:shd w:val="clear" w:color="auto" w:fill="auto"/>
          </w:tcPr>
          <w:p w14:paraId="4DC110E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Procedure for pre-shift health checkups of the operating staff across branches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working with electrical facilities</w:t>
            </w:r>
          </w:p>
        </w:tc>
        <w:tc>
          <w:tcPr>
            <w:tcW w:w="1182" w:type="dxa"/>
            <w:shd w:val="clear" w:color="auto" w:fill="auto"/>
          </w:tcPr>
          <w:p w14:paraId="02B16F12"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6BFEA528"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75750EEE" w14:textId="77777777" w:rsidTr="00006621">
        <w:tc>
          <w:tcPr>
            <w:tcW w:w="454" w:type="dxa"/>
            <w:shd w:val="clear" w:color="auto" w:fill="auto"/>
          </w:tcPr>
          <w:p w14:paraId="26843EFE"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3A716B3E"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2C2C029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industrial safety</w:t>
            </w:r>
          </w:p>
        </w:tc>
        <w:tc>
          <w:tcPr>
            <w:tcW w:w="2319" w:type="dxa"/>
            <w:shd w:val="clear" w:color="auto" w:fill="auto"/>
          </w:tcPr>
          <w:p w14:paraId="2F6D19C0"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br w:type="textWrapping" w:clear="all"/>
              <w:t xml:space="preserve">Regulations on the civil defense task force at </w:t>
            </w:r>
            <w:r w:rsidR="00EE5753" w:rsidRPr="00BD295E">
              <w:rPr>
                <w:rFonts w:ascii="Arial" w:hAnsi="Arial" w:cs="Arial"/>
                <w:sz w:val="18"/>
                <w:szCs w:val="18"/>
                <w:lang w:val="en-US"/>
              </w:rPr>
              <w:t>PJSC “Lenenergo”</w:t>
            </w:r>
          </w:p>
        </w:tc>
        <w:tc>
          <w:tcPr>
            <w:tcW w:w="1182" w:type="dxa"/>
            <w:shd w:val="clear" w:color="auto" w:fill="auto"/>
          </w:tcPr>
          <w:p w14:paraId="0781B6FE"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1655D264"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29E3B99F" w14:textId="77777777" w:rsidTr="00006621">
        <w:tc>
          <w:tcPr>
            <w:tcW w:w="454" w:type="dxa"/>
            <w:shd w:val="clear" w:color="auto" w:fill="auto"/>
          </w:tcPr>
          <w:p w14:paraId="26CAC10A"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4B5C6AC8"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337965C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Grid connection</w:t>
            </w:r>
          </w:p>
        </w:tc>
        <w:tc>
          <w:tcPr>
            <w:tcW w:w="2319" w:type="dxa"/>
            <w:shd w:val="clear" w:color="auto" w:fill="auto"/>
          </w:tcPr>
          <w:p w14:paraId="53435FEF"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Approval of the unified templates for responses to the most frequent inquiries (complaints) of consumers using grid connection services</w:t>
            </w:r>
          </w:p>
        </w:tc>
        <w:tc>
          <w:tcPr>
            <w:tcW w:w="1182" w:type="dxa"/>
            <w:shd w:val="clear" w:color="auto" w:fill="auto"/>
          </w:tcPr>
          <w:p w14:paraId="5AC43455"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341878EC"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0589F747" w14:textId="77777777" w:rsidTr="00006621">
        <w:tc>
          <w:tcPr>
            <w:tcW w:w="454" w:type="dxa"/>
            <w:shd w:val="clear" w:color="auto" w:fill="auto"/>
          </w:tcPr>
          <w:p w14:paraId="2054D1F8"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7107DC53"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559C560F" w14:textId="77777777" w:rsidR="00006621" w:rsidRPr="00BD295E" w:rsidRDefault="00006621" w:rsidP="00006621">
            <w:pPr>
              <w:rPr>
                <w:rFonts w:ascii="Arial" w:hAnsi="Arial" w:cs="Arial"/>
                <w:sz w:val="18"/>
                <w:szCs w:val="18"/>
                <w:lang w:val="en-US"/>
              </w:rPr>
            </w:pPr>
          </w:p>
        </w:tc>
        <w:tc>
          <w:tcPr>
            <w:tcW w:w="2319" w:type="dxa"/>
            <w:shd w:val="clear" w:color="auto" w:fill="auto"/>
          </w:tcPr>
          <w:p w14:paraId="699E6BAB"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Regulations on the Scientific and Technical Council of </w:t>
            </w:r>
            <w:r w:rsidR="00EE5753" w:rsidRPr="00BD295E">
              <w:rPr>
                <w:rFonts w:ascii="Arial" w:hAnsi="Arial" w:cs="Arial"/>
                <w:sz w:val="18"/>
                <w:szCs w:val="18"/>
                <w:lang w:val="en-US"/>
              </w:rPr>
              <w:t>PJSC “Lenenergo”</w:t>
            </w:r>
            <w:r w:rsidRPr="00BD295E">
              <w:rPr>
                <w:rFonts w:ascii="Arial" w:hAnsi="Arial" w:cs="Arial"/>
                <w:sz w:val="18"/>
                <w:szCs w:val="18"/>
                <w:lang w:val="en-US"/>
              </w:rPr>
              <w:br w:type="textWrapping" w:clear="all"/>
            </w:r>
          </w:p>
        </w:tc>
        <w:tc>
          <w:tcPr>
            <w:tcW w:w="1182" w:type="dxa"/>
            <w:shd w:val="clear" w:color="auto" w:fill="auto"/>
          </w:tcPr>
          <w:p w14:paraId="7D956060"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669F3A3C"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26FE94DC" w14:textId="77777777" w:rsidTr="00006621">
        <w:tc>
          <w:tcPr>
            <w:tcW w:w="454" w:type="dxa"/>
            <w:shd w:val="clear" w:color="auto" w:fill="auto"/>
          </w:tcPr>
          <w:p w14:paraId="18E00C5A"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66469CF4"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3E0028B0" w14:textId="77777777" w:rsidR="00006621" w:rsidRPr="00BD295E" w:rsidRDefault="0020595C" w:rsidP="00006621">
            <w:pPr>
              <w:rPr>
                <w:rFonts w:ascii="Arial" w:hAnsi="Arial" w:cs="Arial"/>
                <w:sz w:val="18"/>
                <w:szCs w:val="18"/>
                <w:lang w:val="en-US"/>
              </w:rPr>
            </w:pPr>
            <w:r w:rsidRPr="00BD295E">
              <w:rPr>
                <w:rFonts w:ascii="Arial" w:hAnsi="Arial" w:cs="Arial"/>
                <w:sz w:val="18"/>
                <w:szCs w:val="18"/>
                <w:lang w:val="en-US"/>
              </w:rPr>
              <w:t>Operational process control and situational management</w:t>
            </w:r>
          </w:p>
        </w:tc>
        <w:tc>
          <w:tcPr>
            <w:tcW w:w="2319" w:type="dxa"/>
            <w:shd w:val="clear" w:color="auto" w:fill="auto"/>
          </w:tcPr>
          <w:p w14:paraId="2725BEE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Procedure for transferring real-time data at </w:t>
            </w:r>
            <w:r w:rsidR="00EE5753" w:rsidRPr="00BD295E">
              <w:rPr>
                <w:rFonts w:ascii="Arial" w:hAnsi="Arial" w:cs="Arial"/>
                <w:sz w:val="18"/>
                <w:szCs w:val="18"/>
                <w:lang w:val="en-US"/>
              </w:rPr>
              <w:t>PJSC “Lenenergo”</w:t>
            </w:r>
          </w:p>
        </w:tc>
        <w:tc>
          <w:tcPr>
            <w:tcW w:w="1182" w:type="dxa"/>
            <w:shd w:val="clear" w:color="auto" w:fill="auto"/>
          </w:tcPr>
          <w:p w14:paraId="6E1A85E0"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0A8EE547"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0AA82127" w14:textId="77777777" w:rsidTr="00006621">
        <w:tc>
          <w:tcPr>
            <w:tcW w:w="454" w:type="dxa"/>
            <w:shd w:val="clear" w:color="auto" w:fill="auto"/>
          </w:tcPr>
          <w:p w14:paraId="0FA17B04"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40F8F9AE"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2A8F6F04"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Grid connection</w:t>
            </w:r>
          </w:p>
        </w:tc>
        <w:tc>
          <w:tcPr>
            <w:tcW w:w="2319" w:type="dxa"/>
            <w:shd w:val="clear" w:color="auto" w:fill="auto"/>
          </w:tcPr>
          <w:p w14:paraId="5BA2A805"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Procedure for managing inquiries (complaints) submitted by consumers to </w:t>
            </w:r>
            <w:r w:rsidR="00EE5753" w:rsidRPr="00BD295E">
              <w:rPr>
                <w:rFonts w:ascii="Arial" w:hAnsi="Arial" w:cs="Arial"/>
                <w:sz w:val="18"/>
                <w:szCs w:val="18"/>
                <w:lang w:val="en-US"/>
              </w:rPr>
              <w:t>PJSC “Lenenergo”</w:t>
            </w:r>
            <w:r w:rsidRPr="00BD295E">
              <w:rPr>
                <w:rFonts w:ascii="Arial" w:hAnsi="Arial" w:cs="Arial"/>
                <w:sz w:val="18"/>
                <w:szCs w:val="18"/>
                <w:lang w:val="en-US"/>
              </w:rPr>
              <w:br w:type="textWrapping" w:clear="all"/>
            </w:r>
          </w:p>
        </w:tc>
        <w:tc>
          <w:tcPr>
            <w:tcW w:w="1182" w:type="dxa"/>
            <w:shd w:val="clear" w:color="auto" w:fill="auto"/>
          </w:tcPr>
          <w:p w14:paraId="0A14B12B"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56DD80EE"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72362F4E" w14:textId="77777777" w:rsidTr="00006621">
        <w:tc>
          <w:tcPr>
            <w:tcW w:w="454" w:type="dxa"/>
            <w:shd w:val="clear" w:color="auto" w:fill="auto"/>
          </w:tcPr>
          <w:p w14:paraId="6F0C7DDA"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4D45063C"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6C0D175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Employee engagement</w:t>
            </w:r>
          </w:p>
          <w:p w14:paraId="4D44715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Electricity metering and service development</w:t>
            </w:r>
          </w:p>
        </w:tc>
        <w:tc>
          <w:tcPr>
            <w:tcW w:w="2319" w:type="dxa"/>
            <w:shd w:val="clear" w:color="auto" w:fill="auto"/>
          </w:tcPr>
          <w:p w14:paraId="55BDEF33"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Instruction for heads of electric grid districts for organizing the work of the staff of electric grid districts, Service Delivery and Electricity Metering Service, and the billing operator on reducing electricity losses in 0.4–20 kV grids</w:t>
            </w:r>
          </w:p>
        </w:tc>
        <w:tc>
          <w:tcPr>
            <w:tcW w:w="1182" w:type="dxa"/>
            <w:shd w:val="clear" w:color="auto" w:fill="auto"/>
          </w:tcPr>
          <w:p w14:paraId="728E5F60"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5AEDDCA3"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0FCD258D" w14:textId="77777777" w:rsidTr="00006621">
        <w:tc>
          <w:tcPr>
            <w:tcW w:w="454" w:type="dxa"/>
            <w:shd w:val="clear" w:color="auto" w:fill="auto"/>
          </w:tcPr>
          <w:p w14:paraId="23C1B83A"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59C54A55"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00C180B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Grid connection </w:t>
            </w:r>
          </w:p>
        </w:tc>
        <w:tc>
          <w:tcPr>
            <w:tcW w:w="2319" w:type="dxa"/>
            <w:shd w:val="clear" w:color="auto" w:fill="auto"/>
          </w:tcPr>
          <w:p w14:paraId="1A748EA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On approval of standard application forms for grid connection</w:t>
            </w:r>
          </w:p>
        </w:tc>
        <w:tc>
          <w:tcPr>
            <w:tcW w:w="1182" w:type="dxa"/>
            <w:shd w:val="clear" w:color="auto" w:fill="auto"/>
          </w:tcPr>
          <w:p w14:paraId="04926FA6"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00D1E865"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756C12FF" w14:textId="77777777" w:rsidTr="00006621">
        <w:tc>
          <w:tcPr>
            <w:tcW w:w="454" w:type="dxa"/>
            <w:shd w:val="clear" w:color="auto" w:fill="auto"/>
          </w:tcPr>
          <w:p w14:paraId="4C264C8E"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7453C55D"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4CC7828F"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Employee engagement</w:t>
            </w:r>
          </w:p>
        </w:tc>
        <w:tc>
          <w:tcPr>
            <w:tcW w:w="2319" w:type="dxa"/>
            <w:shd w:val="clear" w:color="auto" w:fill="auto"/>
          </w:tcPr>
          <w:p w14:paraId="1CE898DE"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br w:type="textWrapping" w:clear="all"/>
              <w:t xml:space="preserve">Rules for making HR decisions with respect to management of branches, subsidiaries, and dependent companies of </w:t>
            </w:r>
            <w:r w:rsidR="00EE5753" w:rsidRPr="00BD295E">
              <w:rPr>
                <w:rFonts w:ascii="Arial" w:hAnsi="Arial" w:cs="Arial"/>
                <w:sz w:val="18"/>
                <w:szCs w:val="18"/>
                <w:lang w:val="en-US"/>
              </w:rPr>
              <w:t>PJSC “Lenenergo”</w:t>
            </w:r>
          </w:p>
        </w:tc>
        <w:tc>
          <w:tcPr>
            <w:tcW w:w="1182" w:type="dxa"/>
            <w:shd w:val="clear" w:color="auto" w:fill="auto"/>
          </w:tcPr>
          <w:p w14:paraId="223D4C39"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24A1FCCD"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59EEFDA2" w14:textId="77777777" w:rsidTr="00006621">
        <w:tc>
          <w:tcPr>
            <w:tcW w:w="454" w:type="dxa"/>
            <w:shd w:val="clear" w:color="auto" w:fill="auto"/>
          </w:tcPr>
          <w:p w14:paraId="4E21A843"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7C40F445"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62E7E46A"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Employee engagement</w:t>
            </w:r>
          </w:p>
        </w:tc>
        <w:tc>
          <w:tcPr>
            <w:tcW w:w="2319" w:type="dxa"/>
            <w:shd w:val="clear" w:color="auto" w:fill="auto"/>
          </w:tcPr>
          <w:p w14:paraId="75329F54"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Rules for engagement between structural units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on KPIs of the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CEOs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br w:type="textWrapping" w:clear="all"/>
            </w:r>
          </w:p>
        </w:tc>
        <w:tc>
          <w:tcPr>
            <w:tcW w:w="1182" w:type="dxa"/>
            <w:shd w:val="clear" w:color="auto" w:fill="auto"/>
          </w:tcPr>
          <w:p w14:paraId="32175E24"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45835209"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12144F2B" w14:textId="77777777" w:rsidTr="00006621">
        <w:tc>
          <w:tcPr>
            <w:tcW w:w="454" w:type="dxa"/>
            <w:shd w:val="clear" w:color="auto" w:fill="auto"/>
          </w:tcPr>
          <w:p w14:paraId="40850BF0"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4B27D918"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STO</w:t>
            </w:r>
            <w:r w:rsidRPr="00BD295E">
              <w:rPr>
                <w:rFonts w:ascii="Cambria Math" w:hAnsi="Cambria Math" w:cs="Cambria Math"/>
                <w:sz w:val="18"/>
                <w:szCs w:val="18"/>
                <w:lang w:val="en-US"/>
              </w:rPr>
              <w:t>‐</w:t>
            </w:r>
            <w:r w:rsidRPr="00BD295E">
              <w:rPr>
                <w:rFonts w:ascii="Arial" w:hAnsi="Arial" w:cs="Arial"/>
                <w:sz w:val="18"/>
                <w:szCs w:val="18"/>
                <w:lang w:val="en-US"/>
              </w:rPr>
              <w:t>05.01.03</w:t>
            </w:r>
            <w:r w:rsidRPr="00BD295E">
              <w:rPr>
                <w:rFonts w:ascii="Cambria Math" w:hAnsi="Cambria Math" w:cs="Cambria Math"/>
                <w:sz w:val="18"/>
                <w:szCs w:val="18"/>
                <w:lang w:val="en-US"/>
              </w:rPr>
              <w:t>‐</w:t>
            </w:r>
            <w:r w:rsidRPr="00BD295E">
              <w:rPr>
                <w:rFonts w:ascii="Arial" w:hAnsi="Arial" w:cs="Arial"/>
                <w:sz w:val="18"/>
                <w:szCs w:val="18"/>
                <w:lang w:val="en-US"/>
              </w:rPr>
              <w:t>003</w:t>
            </w:r>
          </w:p>
        </w:tc>
        <w:tc>
          <w:tcPr>
            <w:tcW w:w="1559" w:type="dxa"/>
            <w:shd w:val="clear" w:color="auto" w:fill="auto"/>
          </w:tcPr>
          <w:p w14:paraId="52C03E9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Testing and diagnostics methods</w:t>
            </w:r>
          </w:p>
        </w:tc>
        <w:tc>
          <w:tcPr>
            <w:tcW w:w="2319" w:type="dxa"/>
            <w:shd w:val="clear" w:color="auto" w:fill="auto"/>
          </w:tcPr>
          <w:p w14:paraId="342D1A24"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Guidelines on testing gas-insulated equipment</w:t>
            </w:r>
          </w:p>
        </w:tc>
        <w:tc>
          <w:tcPr>
            <w:tcW w:w="1182" w:type="dxa"/>
            <w:shd w:val="clear" w:color="auto" w:fill="auto"/>
          </w:tcPr>
          <w:p w14:paraId="4150AC46"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3,950,000.00 (including VAT)</w:t>
            </w:r>
          </w:p>
        </w:tc>
        <w:tc>
          <w:tcPr>
            <w:tcW w:w="1985" w:type="dxa"/>
            <w:shd w:val="clear" w:color="auto" w:fill="auto"/>
          </w:tcPr>
          <w:p w14:paraId="4EEDC110"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R&amp;D Center FGC UES, JSC</w:t>
            </w:r>
          </w:p>
        </w:tc>
      </w:tr>
      <w:tr w:rsidR="008A5057" w:rsidRPr="00BD295E" w14:paraId="57F703B5" w14:textId="77777777" w:rsidTr="00006621">
        <w:tc>
          <w:tcPr>
            <w:tcW w:w="454" w:type="dxa"/>
            <w:shd w:val="clear" w:color="auto" w:fill="auto"/>
          </w:tcPr>
          <w:p w14:paraId="302DDB9F"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6A4F22AC"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78F21E5C" w14:textId="77777777" w:rsidR="00006621" w:rsidRPr="00BD295E" w:rsidRDefault="0020595C" w:rsidP="00006621">
            <w:pPr>
              <w:rPr>
                <w:rFonts w:ascii="Arial" w:hAnsi="Arial" w:cs="Arial"/>
                <w:sz w:val="18"/>
                <w:szCs w:val="18"/>
                <w:lang w:val="en-US"/>
              </w:rPr>
            </w:pPr>
            <w:r w:rsidRPr="00BD295E">
              <w:rPr>
                <w:rFonts w:ascii="Arial" w:hAnsi="Arial" w:cs="Arial"/>
                <w:sz w:val="18"/>
                <w:szCs w:val="18"/>
                <w:lang w:val="en-US"/>
              </w:rPr>
              <w:t>Operational process control and situational management</w:t>
            </w:r>
          </w:p>
        </w:tc>
        <w:tc>
          <w:tcPr>
            <w:tcW w:w="2319" w:type="dxa"/>
            <w:shd w:val="clear" w:color="auto" w:fill="auto"/>
          </w:tcPr>
          <w:p w14:paraId="7B83B59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Guidance on switching in electrical facilities of </w:t>
            </w:r>
            <w:r w:rsidR="00EE5753" w:rsidRPr="00BD295E">
              <w:rPr>
                <w:rFonts w:ascii="Arial" w:hAnsi="Arial" w:cs="Arial"/>
                <w:sz w:val="18"/>
                <w:szCs w:val="18"/>
                <w:lang w:val="en-US"/>
              </w:rPr>
              <w:t>PJSC “Lenenergo”</w:t>
            </w:r>
          </w:p>
        </w:tc>
        <w:tc>
          <w:tcPr>
            <w:tcW w:w="1182" w:type="dxa"/>
            <w:shd w:val="clear" w:color="auto" w:fill="auto"/>
          </w:tcPr>
          <w:p w14:paraId="06DB5488"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274688B3"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289FB63A" w14:textId="77777777" w:rsidTr="00006621">
        <w:tc>
          <w:tcPr>
            <w:tcW w:w="454" w:type="dxa"/>
            <w:shd w:val="clear" w:color="auto" w:fill="auto"/>
          </w:tcPr>
          <w:p w14:paraId="3A5617F0"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13E11C38" w14:textId="77777777" w:rsidR="00006621" w:rsidRPr="00BD295E" w:rsidRDefault="00006621" w:rsidP="00006621">
            <w:pPr>
              <w:rPr>
                <w:rFonts w:ascii="Arial" w:hAnsi="Arial" w:cs="Arial"/>
                <w:sz w:val="18"/>
                <w:szCs w:val="18"/>
                <w:lang w:val="en-US"/>
              </w:rPr>
            </w:pPr>
          </w:p>
        </w:tc>
        <w:tc>
          <w:tcPr>
            <w:tcW w:w="1559" w:type="dxa"/>
            <w:shd w:val="clear" w:color="auto" w:fill="auto"/>
          </w:tcPr>
          <w:p w14:paraId="3E04558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Employee engagement</w:t>
            </w:r>
          </w:p>
        </w:tc>
        <w:tc>
          <w:tcPr>
            <w:tcW w:w="2319" w:type="dxa"/>
            <w:shd w:val="clear" w:color="auto" w:fill="auto"/>
          </w:tcPr>
          <w:p w14:paraId="47510271"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Onboarding guidance for employees of </w:t>
            </w:r>
            <w:r w:rsidR="00EE5753" w:rsidRPr="00BD295E">
              <w:rPr>
                <w:rFonts w:ascii="Arial" w:hAnsi="Arial" w:cs="Arial"/>
                <w:sz w:val="18"/>
                <w:szCs w:val="18"/>
                <w:lang w:val="en-US"/>
              </w:rPr>
              <w:t>PJSC “Lenenergo”</w:t>
            </w:r>
          </w:p>
        </w:tc>
        <w:tc>
          <w:tcPr>
            <w:tcW w:w="1182" w:type="dxa"/>
            <w:shd w:val="clear" w:color="auto" w:fill="auto"/>
          </w:tcPr>
          <w:p w14:paraId="09D774F5"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29AE8E8E"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61735756" w14:textId="77777777" w:rsidTr="00006621">
        <w:tc>
          <w:tcPr>
            <w:tcW w:w="454" w:type="dxa"/>
            <w:shd w:val="clear" w:color="auto" w:fill="auto"/>
          </w:tcPr>
          <w:p w14:paraId="121EA458"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3C936C35"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RP-04.-002-2018</w:t>
            </w:r>
          </w:p>
        </w:tc>
        <w:tc>
          <w:tcPr>
            <w:tcW w:w="1559" w:type="dxa"/>
            <w:shd w:val="clear" w:color="auto" w:fill="auto"/>
          </w:tcPr>
          <w:p w14:paraId="7EAAF57B"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Order No. 662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29, 2018</w:t>
            </w:r>
          </w:p>
        </w:tc>
        <w:tc>
          <w:tcPr>
            <w:tcW w:w="2319" w:type="dxa"/>
            <w:shd w:val="clear" w:color="auto" w:fill="auto"/>
          </w:tcPr>
          <w:p w14:paraId="7F9873C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Rules for delivery of electricity distribution services</w:t>
            </w:r>
          </w:p>
        </w:tc>
        <w:tc>
          <w:tcPr>
            <w:tcW w:w="1182" w:type="dxa"/>
            <w:shd w:val="clear" w:color="auto" w:fill="auto"/>
          </w:tcPr>
          <w:p w14:paraId="169EA27D"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5ECC5F5D"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4ACC6E89" w14:textId="77777777" w:rsidTr="00006621">
        <w:tc>
          <w:tcPr>
            <w:tcW w:w="454" w:type="dxa"/>
            <w:shd w:val="clear" w:color="auto" w:fill="auto"/>
          </w:tcPr>
          <w:p w14:paraId="20EA754E" w14:textId="77777777" w:rsidR="00006621" w:rsidRPr="00BD295E" w:rsidRDefault="00006621" w:rsidP="00CA2271">
            <w:pPr>
              <w:pStyle w:val="af3"/>
              <w:numPr>
                <w:ilvl w:val="0"/>
                <w:numId w:val="141"/>
              </w:numPr>
              <w:rPr>
                <w:rFonts w:ascii="Arial" w:hAnsi="Arial" w:cs="Arial"/>
                <w:sz w:val="18"/>
                <w:szCs w:val="18"/>
                <w:lang w:val="en-US"/>
              </w:rPr>
            </w:pPr>
          </w:p>
        </w:tc>
        <w:tc>
          <w:tcPr>
            <w:tcW w:w="1701" w:type="dxa"/>
            <w:shd w:val="clear" w:color="auto" w:fill="auto"/>
          </w:tcPr>
          <w:p w14:paraId="5DA2FCDD"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RP-12.01.05.-001-2018</w:t>
            </w:r>
          </w:p>
        </w:tc>
        <w:tc>
          <w:tcPr>
            <w:tcW w:w="1559" w:type="dxa"/>
            <w:shd w:val="clear" w:color="auto" w:fill="auto"/>
          </w:tcPr>
          <w:p w14:paraId="50CB87B8"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Order No. 663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29, 2018</w:t>
            </w:r>
          </w:p>
        </w:tc>
        <w:tc>
          <w:tcPr>
            <w:tcW w:w="2319" w:type="dxa"/>
            <w:shd w:val="clear" w:color="auto" w:fill="auto"/>
          </w:tcPr>
          <w:p w14:paraId="2B228B17"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Rules for whistleblowing on cases of non-contractual electricity consumption</w:t>
            </w:r>
          </w:p>
        </w:tc>
        <w:tc>
          <w:tcPr>
            <w:tcW w:w="1182" w:type="dxa"/>
            <w:shd w:val="clear" w:color="auto" w:fill="auto"/>
          </w:tcPr>
          <w:p w14:paraId="673EC4C0"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c>
          <w:tcPr>
            <w:tcW w:w="1985" w:type="dxa"/>
            <w:shd w:val="clear" w:color="auto" w:fill="auto"/>
          </w:tcPr>
          <w:p w14:paraId="6E0ED9F5" w14:textId="77777777" w:rsidR="00006621" w:rsidRPr="00BD295E" w:rsidRDefault="008A5057" w:rsidP="00006621">
            <w:pPr>
              <w:jc w:val="center"/>
              <w:rPr>
                <w:rFonts w:ascii="Arial" w:hAnsi="Arial" w:cs="Arial"/>
                <w:sz w:val="18"/>
                <w:szCs w:val="18"/>
                <w:lang w:val="en-US"/>
              </w:rPr>
            </w:pPr>
            <w:r w:rsidRPr="00BD295E">
              <w:rPr>
                <w:rFonts w:ascii="Arial" w:hAnsi="Arial" w:cs="Arial"/>
                <w:sz w:val="18"/>
                <w:szCs w:val="18"/>
                <w:lang w:val="en-US"/>
              </w:rPr>
              <w:t>–</w:t>
            </w:r>
          </w:p>
        </w:tc>
      </w:tr>
    </w:tbl>
    <w:p w14:paraId="1FB95237" w14:textId="77777777" w:rsidR="00006621" w:rsidRPr="00BD295E" w:rsidRDefault="00006621" w:rsidP="00006621">
      <w:pPr>
        <w:ind w:firstLine="709"/>
        <w:jc w:val="center"/>
        <w:rPr>
          <w:rFonts w:ascii="Arial" w:hAnsi="Arial" w:cs="Arial"/>
          <w:sz w:val="18"/>
          <w:szCs w:val="18"/>
          <w:lang w:val="en-US"/>
        </w:rPr>
      </w:pPr>
    </w:p>
    <w:p w14:paraId="2393D6A8" w14:textId="77777777" w:rsidR="00006621" w:rsidRPr="00BD295E" w:rsidRDefault="008A5057" w:rsidP="003D49A2">
      <w:pPr>
        <w:jc w:val="both"/>
        <w:rPr>
          <w:rFonts w:ascii="Arial" w:hAnsi="Arial" w:cs="Arial"/>
          <w:b/>
          <w:sz w:val="18"/>
          <w:szCs w:val="18"/>
          <w:lang w:val="en-US"/>
        </w:rPr>
      </w:pPr>
      <w:r w:rsidRPr="00BD295E">
        <w:rPr>
          <w:rFonts w:ascii="Arial" w:hAnsi="Arial" w:cs="Arial"/>
          <w:b/>
          <w:sz w:val="18"/>
          <w:szCs w:val="18"/>
          <w:lang w:val="en-US"/>
        </w:rPr>
        <w:t>Activities of the Scientific and Technical Council</w:t>
      </w:r>
    </w:p>
    <w:p w14:paraId="799EBA3A" w14:textId="77777777" w:rsidR="00006621"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Lenenergo’s Order No. 386 </w:t>
      </w:r>
      <w:r w:rsidR="008B183C" w:rsidRPr="00BD295E">
        <w:rPr>
          <w:rFonts w:ascii="Arial" w:hAnsi="Arial" w:cs="Arial"/>
          <w:sz w:val="18"/>
          <w:szCs w:val="18"/>
          <w:lang w:val="en-US"/>
        </w:rPr>
        <w:t>of</w:t>
      </w:r>
      <w:r w:rsidRPr="00BD295E">
        <w:rPr>
          <w:rFonts w:ascii="Arial" w:hAnsi="Arial" w:cs="Arial"/>
          <w:sz w:val="18"/>
          <w:szCs w:val="18"/>
          <w:lang w:val="en-US"/>
        </w:rPr>
        <w:t xml:space="preserve"> August 23, 2018 (introduced instead of the Company’s Orders No. 358 </w:t>
      </w:r>
      <w:r w:rsidR="008B183C" w:rsidRPr="00BD295E">
        <w:rPr>
          <w:rFonts w:ascii="Arial" w:hAnsi="Arial" w:cs="Arial"/>
          <w:sz w:val="18"/>
          <w:szCs w:val="18"/>
          <w:lang w:val="en-US"/>
        </w:rPr>
        <w:t>of</w:t>
      </w:r>
      <w:r w:rsidRPr="00BD295E">
        <w:rPr>
          <w:rFonts w:ascii="Arial" w:hAnsi="Arial" w:cs="Arial"/>
          <w:sz w:val="18"/>
          <w:szCs w:val="18"/>
          <w:lang w:val="en-US"/>
        </w:rPr>
        <w:t xml:space="preserve"> August 8, 2011 and No. 542 </w:t>
      </w:r>
      <w:r w:rsidR="008B183C" w:rsidRPr="00BD295E">
        <w:rPr>
          <w:rFonts w:ascii="Arial" w:hAnsi="Arial" w:cs="Arial"/>
          <w:sz w:val="18"/>
          <w:szCs w:val="18"/>
          <w:lang w:val="en-US"/>
        </w:rPr>
        <w:t>of</w:t>
      </w:r>
      <w:r w:rsidRPr="00BD295E">
        <w:rPr>
          <w:rFonts w:ascii="Arial" w:hAnsi="Arial" w:cs="Arial"/>
          <w:sz w:val="18"/>
          <w:szCs w:val="18"/>
          <w:lang w:val="en-US"/>
        </w:rPr>
        <w:t xml:space="preserve"> August 5, 2014) puts in place the Scientific and Technical Council which reviews the following matters at its meetings:</w:t>
      </w:r>
    </w:p>
    <w:p w14:paraId="595B430C"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research and development (R&amp;D);</w:t>
      </w:r>
    </w:p>
    <w:p w14:paraId="1D28067E"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pilot operation of equipment and materials;</w:t>
      </w:r>
    </w:p>
    <w:p w14:paraId="238DCF2A"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application of equipment;</w:t>
      </w:r>
    </w:p>
    <w:p w14:paraId="12514B5D"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 xml:space="preserve">innovative and </w:t>
      </w:r>
      <w:r w:rsidR="003D49A2" w:rsidRPr="00BD295E">
        <w:rPr>
          <w:rFonts w:ascii="Arial" w:hAnsi="Arial" w:cs="Arial"/>
          <w:sz w:val="18"/>
          <w:szCs w:val="18"/>
          <w:lang w:val="en-US"/>
        </w:rPr>
        <w:t>long-term development</w:t>
      </w:r>
      <w:r w:rsidRPr="00BD295E">
        <w:rPr>
          <w:rFonts w:ascii="Arial" w:hAnsi="Arial" w:cs="Arial"/>
          <w:sz w:val="18"/>
          <w:szCs w:val="18"/>
          <w:lang w:val="en-US"/>
        </w:rPr>
        <w:t xml:space="preserve"> of the Company;</w:t>
      </w:r>
    </w:p>
    <w:p w14:paraId="53C4DEBD"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implementation of the uniform technical policy in the electric grid sector;</w:t>
      </w:r>
    </w:p>
    <w:p w14:paraId="42A1DC17"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solutions to engineering problems related to the Company’s electric grids;</w:t>
      </w:r>
    </w:p>
    <w:p w14:paraId="5685399E"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other matters.</w:t>
      </w:r>
    </w:p>
    <w:p w14:paraId="50004561" w14:textId="77777777" w:rsidR="00006621"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In 2018, the Scientific and Technical Council held six meetings where 20 matters were reviewed, including: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1"/>
        <w:gridCol w:w="7013"/>
      </w:tblGrid>
      <w:tr w:rsidR="008A5057" w:rsidRPr="00BD295E" w14:paraId="29E34988" w14:textId="77777777" w:rsidTr="00E3510B">
        <w:trPr>
          <w:tblHeader/>
        </w:trPr>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14:paraId="3572720E" w14:textId="77777777" w:rsidR="00006621" w:rsidRPr="00BD295E" w:rsidRDefault="008A5057" w:rsidP="00E3510B">
            <w:pPr>
              <w:spacing w:before="120" w:after="120"/>
              <w:ind w:firstLine="720"/>
              <w:jc w:val="center"/>
              <w:rPr>
                <w:rFonts w:ascii="Arial" w:hAnsi="Arial" w:cs="Arial"/>
                <w:sz w:val="18"/>
                <w:szCs w:val="18"/>
                <w:lang w:val="en-US"/>
              </w:rPr>
            </w:pPr>
            <w:r w:rsidRPr="00BD295E">
              <w:rPr>
                <w:rFonts w:ascii="Arial" w:hAnsi="Arial" w:cs="Arial"/>
                <w:sz w:val="18"/>
                <w:szCs w:val="18"/>
                <w:lang w:val="en-US"/>
              </w:rPr>
              <w:t>Topic</w:t>
            </w:r>
          </w:p>
        </w:tc>
        <w:tc>
          <w:tcPr>
            <w:tcW w:w="7013" w:type="dxa"/>
            <w:tcBorders>
              <w:top w:val="single" w:sz="4" w:space="0" w:color="auto"/>
              <w:left w:val="single" w:sz="4" w:space="0" w:color="auto"/>
              <w:bottom w:val="single" w:sz="4" w:space="0" w:color="auto"/>
              <w:right w:val="single" w:sz="4" w:space="0" w:color="auto"/>
            </w:tcBorders>
            <w:shd w:val="clear" w:color="auto" w:fill="auto"/>
            <w:vAlign w:val="center"/>
          </w:tcPr>
          <w:p w14:paraId="028E586F" w14:textId="77777777" w:rsidR="00006621" w:rsidRPr="00BD295E" w:rsidRDefault="008A5057" w:rsidP="00E3510B">
            <w:pPr>
              <w:spacing w:before="120" w:after="120"/>
              <w:ind w:firstLine="720"/>
              <w:jc w:val="center"/>
              <w:rPr>
                <w:rFonts w:ascii="Arial" w:hAnsi="Arial" w:cs="Arial"/>
                <w:sz w:val="18"/>
                <w:szCs w:val="18"/>
                <w:lang w:val="en-US"/>
              </w:rPr>
            </w:pPr>
            <w:r w:rsidRPr="00BD295E">
              <w:rPr>
                <w:rFonts w:ascii="Arial" w:hAnsi="Arial" w:cs="Arial"/>
                <w:sz w:val="18"/>
                <w:szCs w:val="18"/>
                <w:lang w:val="en-US"/>
              </w:rPr>
              <w:t>Matters reviewed</w:t>
            </w:r>
          </w:p>
        </w:tc>
      </w:tr>
      <w:tr w:rsidR="008A5057" w:rsidRPr="00BD295E" w14:paraId="463C8DE2" w14:textId="77777777" w:rsidTr="00E3510B">
        <w:tc>
          <w:tcPr>
            <w:tcW w:w="2201" w:type="dxa"/>
            <w:tcBorders>
              <w:top w:val="single" w:sz="4" w:space="0" w:color="auto"/>
            </w:tcBorders>
            <w:shd w:val="clear" w:color="auto" w:fill="auto"/>
          </w:tcPr>
          <w:p w14:paraId="0F88AA86"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 xml:space="preserve">Research and development (R&amp;D) </w:t>
            </w:r>
          </w:p>
        </w:tc>
        <w:tc>
          <w:tcPr>
            <w:tcW w:w="7013" w:type="dxa"/>
            <w:tcBorders>
              <w:top w:val="single" w:sz="4" w:space="0" w:color="auto"/>
            </w:tcBorders>
            <w:shd w:val="clear" w:color="auto" w:fill="auto"/>
          </w:tcPr>
          <w:p w14:paraId="09027F12" w14:textId="77777777" w:rsidR="00006621" w:rsidRPr="00BD295E" w:rsidRDefault="008A5057" w:rsidP="00E3510B">
            <w:pPr>
              <w:pStyle w:val="af3"/>
              <w:numPr>
                <w:ilvl w:val="0"/>
                <w:numId w:val="143"/>
              </w:numPr>
              <w:ind w:left="278" w:hanging="278"/>
              <w:contextualSpacing w:val="0"/>
              <w:jc w:val="both"/>
              <w:rPr>
                <w:rFonts w:ascii="Arial" w:hAnsi="Arial" w:cs="Arial"/>
                <w:sz w:val="18"/>
                <w:szCs w:val="18"/>
                <w:lang w:val="en-US"/>
              </w:rPr>
            </w:pPr>
            <w:r w:rsidRPr="00BD295E">
              <w:rPr>
                <w:rFonts w:ascii="Arial" w:hAnsi="Arial" w:cs="Arial"/>
                <w:sz w:val="18"/>
                <w:szCs w:val="18"/>
                <w:lang w:val="en-US"/>
              </w:rPr>
              <w:t>Development of an R&amp;D project on forecasting the probability of emergency outages at electric grid facilities.</w:t>
            </w:r>
          </w:p>
          <w:p w14:paraId="3FD18558" w14:textId="64161BD1" w:rsidR="00006621" w:rsidRPr="00BD295E" w:rsidRDefault="008A5057" w:rsidP="00E3510B">
            <w:pPr>
              <w:pStyle w:val="af3"/>
              <w:numPr>
                <w:ilvl w:val="0"/>
                <w:numId w:val="143"/>
              </w:numPr>
              <w:ind w:left="278" w:hanging="278"/>
              <w:contextualSpacing w:val="0"/>
              <w:jc w:val="both"/>
              <w:rPr>
                <w:rFonts w:ascii="Arial" w:hAnsi="Arial" w:cs="Arial"/>
                <w:sz w:val="18"/>
                <w:szCs w:val="18"/>
                <w:lang w:val="en-US"/>
              </w:rPr>
            </w:pPr>
            <w:r w:rsidRPr="00BD295E">
              <w:rPr>
                <w:rFonts w:ascii="Arial" w:hAnsi="Arial" w:cs="Arial"/>
                <w:sz w:val="18"/>
                <w:szCs w:val="18"/>
                <w:lang w:val="en-US"/>
              </w:rPr>
              <w:t xml:space="preserve">Reviewing an application for an R&amp;D project on the use of FACTS (flexible alternating current transmission system) to create 110 kV smart </w:t>
            </w:r>
            <w:r w:rsidR="002C3947" w:rsidRPr="00BD295E">
              <w:rPr>
                <w:rFonts w:ascii="Arial" w:hAnsi="Arial" w:cs="Arial"/>
                <w:sz w:val="18"/>
                <w:szCs w:val="18"/>
                <w:lang w:val="en-US"/>
              </w:rPr>
              <w:t>electric grids</w:t>
            </w:r>
            <w:r w:rsidRPr="00BD295E">
              <w:rPr>
                <w:rFonts w:ascii="Arial" w:hAnsi="Arial" w:cs="Arial"/>
                <w:sz w:val="18"/>
                <w:szCs w:val="18"/>
                <w:lang w:val="en-US"/>
              </w:rPr>
              <w:t xml:space="preserve">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(including a feasibility study).</w:t>
            </w:r>
          </w:p>
          <w:p w14:paraId="63F55676" w14:textId="77777777" w:rsidR="00006621" w:rsidRPr="00BD295E" w:rsidRDefault="008A5057" w:rsidP="00E3510B">
            <w:pPr>
              <w:pStyle w:val="af3"/>
              <w:numPr>
                <w:ilvl w:val="0"/>
                <w:numId w:val="143"/>
              </w:numPr>
              <w:ind w:left="278" w:hanging="278"/>
              <w:contextualSpacing w:val="0"/>
              <w:jc w:val="both"/>
              <w:rPr>
                <w:rFonts w:ascii="Arial" w:eastAsia="Calibri" w:hAnsi="Arial" w:cs="Arial"/>
                <w:sz w:val="18"/>
                <w:szCs w:val="18"/>
                <w:lang w:val="en-US"/>
              </w:rPr>
            </w:pPr>
            <w:r w:rsidRPr="00BD295E">
              <w:rPr>
                <w:rFonts w:ascii="Arial" w:hAnsi="Arial" w:cs="Arial"/>
                <w:sz w:val="18"/>
                <w:szCs w:val="18"/>
                <w:lang w:val="en-US"/>
              </w:rPr>
              <w:t>Reviewing an application for an R&amp;D project on developing an electronic catalog of standard solutions for the digital electric grid district.</w:t>
            </w:r>
          </w:p>
          <w:p w14:paraId="5602D05F" w14:textId="77777777" w:rsidR="00006621" w:rsidRPr="00BD295E" w:rsidRDefault="008A5057" w:rsidP="00E3510B">
            <w:pPr>
              <w:pStyle w:val="af3"/>
              <w:widowControl w:val="0"/>
              <w:numPr>
                <w:ilvl w:val="0"/>
                <w:numId w:val="143"/>
              </w:numPr>
              <w:autoSpaceDE w:val="0"/>
              <w:autoSpaceDN w:val="0"/>
              <w:adjustRightInd w:val="0"/>
              <w:spacing w:after="60"/>
              <w:ind w:left="278" w:hanging="278"/>
              <w:jc w:val="both"/>
              <w:rPr>
                <w:rFonts w:ascii="Arial" w:hAnsi="Arial" w:cs="Arial"/>
                <w:sz w:val="18"/>
                <w:szCs w:val="18"/>
                <w:lang w:val="en-US"/>
              </w:rPr>
            </w:pPr>
            <w:r w:rsidRPr="00BD295E">
              <w:rPr>
                <w:rFonts w:ascii="Arial" w:hAnsi="Arial" w:cs="Arial"/>
                <w:sz w:val="18"/>
                <w:szCs w:val="18"/>
                <w:lang w:val="en-US"/>
              </w:rPr>
              <w:t>Reviewing the results of an R&amp;D project on developing reinforced concrete supports of 110 kv overhead lines from centrifuged sectionalized poles.</w:t>
            </w:r>
          </w:p>
          <w:p w14:paraId="4500AEBE" w14:textId="77777777" w:rsidR="00006621" w:rsidRPr="00BD295E" w:rsidRDefault="008A5057" w:rsidP="00E3510B">
            <w:pPr>
              <w:pStyle w:val="af3"/>
              <w:numPr>
                <w:ilvl w:val="0"/>
                <w:numId w:val="143"/>
              </w:numPr>
              <w:spacing w:after="60"/>
              <w:ind w:left="278" w:hanging="278"/>
              <w:jc w:val="both"/>
              <w:rPr>
                <w:rFonts w:ascii="Arial" w:eastAsia="Calibri" w:hAnsi="Arial" w:cs="Arial"/>
                <w:sz w:val="18"/>
                <w:szCs w:val="18"/>
                <w:lang w:val="en-US"/>
              </w:rPr>
            </w:pPr>
            <w:r w:rsidRPr="00BD295E">
              <w:rPr>
                <w:rFonts w:ascii="Arial" w:hAnsi="Arial" w:cs="Arial"/>
                <w:sz w:val="18"/>
                <w:szCs w:val="18"/>
                <w:lang w:val="en-US"/>
              </w:rPr>
              <w:t>Reviewing the results of an R&amp;D project on developing an automated control system for urban distribution 6-10 kV cable grids.</w:t>
            </w:r>
          </w:p>
        </w:tc>
      </w:tr>
      <w:tr w:rsidR="008A5057" w:rsidRPr="00BD295E" w14:paraId="510953EC" w14:textId="77777777" w:rsidTr="00E3510B">
        <w:tc>
          <w:tcPr>
            <w:tcW w:w="2201" w:type="dxa"/>
            <w:shd w:val="clear" w:color="auto" w:fill="auto"/>
          </w:tcPr>
          <w:p w14:paraId="1C1BEF4B"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Pilot operation of equipment, materials and technologies</w:t>
            </w:r>
          </w:p>
        </w:tc>
        <w:tc>
          <w:tcPr>
            <w:tcW w:w="7013" w:type="dxa"/>
            <w:shd w:val="clear" w:color="auto" w:fill="auto"/>
          </w:tcPr>
          <w:p w14:paraId="76B7E211" w14:textId="77777777" w:rsidR="00006621" w:rsidRPr="00BD295E" w:rsidRDefault="008A5057" w:rsidP="00E3510B">
            <w:pPr>
              <w:pStyle w:val="af3"/>
              <w:widowControl w:val="0"/>
              <w:numPr>
                <w:ilvl w:val="0"/>
                <w:numId w:val="142"/>
              </w:numPr>
              <w:autoSpaceDE w:val="0"/>
              <w:autoSpaceDN w:val="0"/>
              <w:adjustRightInd w:val="0"/>
              <w:spacing w:after="60"/>
              <w:ind w:left="278" w:hanging="284"/>
              <w:jc w:val="both"/>
              <w:rPr>
                <w:rFonts w:ascii="Arial" w:hAnsi="Arial" w:cs="Arial"/>
                <w:sz w:val="18"/>
                <w:szCs w:val="18"/>
                <w:lang w:val="en-US"/>
              </w:rPr>
            </w:pPr>
            <w:r w:rsidRPr="00BD295E">
              <w:rPr>
                <w:rFonts w:ascii="Arial" w:hAnsi="Arial" w:cs="Arial"/>
                <w:sz w:val="18"/>
                <w:szCs w:val="18"/>
                <w:lang w:val="en-US"/>
              </w:rPr>
              <w:t xml:space="preserve">Reviewing the results of pilot operation of equipment installed at branches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p>
          <w:p w14:paraId="07688D81" w14:textId="77777777" w:rsidR="00006621" w:rsidRPr="00BD295E" w:rsidRDefault="008A5057" w:rsidP="00E3510B">
            <w:pPr>
              <w:pStyle w:val="af3"/>
              <w:widowControl w:val="0"/>
              <w:numPr>
                <w:ilvl w:val="0"/>
                <w:numId w:val="142"/>
              </w:numPr>
              <w:autoSpaceDE w:val="0"/>
              <w:autoSpaceDN w:val="0"/>
              <w:adjustRightInd w:val="0"/>
              <w:spacing w:after="60"/>
              <w:ind w:left="278" w:hanging="284"/>
              <w:jc w:val="both"/>
              <w:rPr>
                <w:rFonts w:ascii="Arial" w:eastAsia="Calibri" w:hAnsi="Arial" w:cs="Arial"/>
                <w:sz w:val="18"/>
                <w:szCs w:val="18"/>
                <w:lang w:val="en-US"/>
              </w:rPr>
            </w:pPr>
            <w:r w:rsidRPr="00BD295E">
              <w:rPr>
                <w:rFonts w:ascii="Arial" w:hAnsi="Arial" w:cs="Arial"/>
                <w:sz w:val="18"/>
                <w:szCs w:val="18"/>
                <w:lang w:val="en-US"/>
              </w:rPr>
              <w:t>Practice of implementing and operating underground and sunk 10 kV substations.</w:t>
            </w:r>
          </w:p>
        </w:tc>
      </w:tr>
      <w:tr w:rsidR="008A5057" w:rsidRPr="00BD295E" w14:paraId="2F528443" w14:textId="77777777" w:rsidTr="00E3510B">
        <w:tc>
          <w:tcPr>
            <w:tcW w:w="2201" w:type="dxa"/>
            <w:shd w:val="clear" w:color="auto" w:fill="auto"/>
          </w:tcPr>
          <w:p w14:paraId="6DE55834" w14:textId="77777777" w:rsidR="00006621" w:rsidRPr="00BD295E" w:rsidRDefault="008A5057" w:rsidP="00006621">
            <w:pPr>
              <w:rPr>
                <w:rFonts w:ascii="Arial" w:hAnsi="Arial" w:cs="Arial"/>
                <w:sz w:val="18"/>
                <w:szCs w:val="18"/>
                <w:lang w:val="en-US"/>
              </w:rPr>
            </w:pPr>
            <w:r w:rsidRPr="00BD295E">
              <w:rPr>
                <w:rFonts w:ascii="Arial" w:hAnsi="Arial" w:cs="Arial"/>
                <w:sz w:val="18"/>
                <w:szCs w:val="18"/>
                <w:lang w:val="en-US"/>
              </w:rPr>
              <w:t>Equipment application</w:t>
            </w:r>
          </w:p>
        </w:tc>
        <w:tc>
          <w:tcPr>
            <w:tcW w:w="7013" w:type="dxa"/>
            <w:shd w:val="clear" w:color="auto" w:fill="auto"/>
          </w:tcPr>
          <w:p w14:paraId="1275AA12" w14:textId="77777777" w:rsidR="00006621" w:rsidRPr="00BD295E" w:rsidRDefault="008A5057" w:rsidP="00E3510B">
            <w:pPr>
              <w:pStyle w:val="af3"/>
              <w:widowControl w:val="0"/>
              <w:numPr>
                <w:ilvl w:val="0"/>
                <w:numId w:val="144"/>
              </w:numPr>
              <w:autoSpaceDE w:val="0"/>
              <w:autoSpaceDN w:val="0"/>
              <w:adjustRightInd w:val="0"/>
              <w:ind w:left="278" w:hanging="284"/>
              <w:jc w:val="both"/>
              <w:rPr>
                <w:rFonts w:ascii="Arial" w:eastAsia="Calibri" w:hAnsi="Arial" w:cs="Arial"/>
                <w:sz w:val="18"/>
                <w:szCs w:val="18"/>
                <w:lang w:val="en-US"/>
              </w:rPr>
            </w:pPr>
            <w:r w:rsidRPr="00BD295E">
              <w:rPr>
                <w:rFonts w:ascii="Arial" w:hAnsi="Arial" w:cs="Arial"/>
                <w:sz w:val="18"/>
                <w:szCs w:val="18"/>
                <w:lang w:val="en-US"/>
              </w:rPr>
              <w:t>Application of BINOM</w:t>
            </w:r>
            <w:r w:rsidRPr="00BD295E">
              <w:rPr>
                <w:rFonts w:ascii="Arial" w:hAnsi="Arial" w:cs="Arial"/>
                <w:sz w:val="18"/>
                <w:szCs w:val="18"/>
                <w:vertAlign w:val="subscript"/>
                <w:lang w:val="en-US"/>
              </w:rPr>
              <w:t>3</w:t>
            </w:r>
            <w:r w:rsidRPr="00BD295E">
              <w:rPr>
                <w:rFonts w:ascii="Arial" w:hAnsi="Arial" w:cs="Arial"/>
                <w:sz w:val="18"/>
                <w:szCs w:val="18"/>
                <w:lang w:val="en-US"/>
              </w:rPr>
              <w:t xml:space="preserve"> multifunctional devices for building integrated automated measuring and information system for electricity billing metering, electricity quality monitoring and control systems, and data acquisition and transfer systems.</w:t>
            </w:r>
          </w:p>
          <w:p w14:paraId="470A2CA9" w14:textId="77777777" w:rsidR="00006621" w:rsidRPr="00BD295E" w:rsidRDefault="008A5057" w:rsidP="00E3510B">
            <w:pPr>
              <w:numPr>
                <w:ilvl w:val="0"/>
                <w:numId w:val="144"/>
              </w:numPr>
              <w:spacing w:after="60"/>
              <w:ind w:left="278" w:hanging="284"/>
              <w:jc w:val="both"/>
              <w:rPr>
                <w:rFonts w:ascii="Arial" w:eastAsia="Calibri" w:hAnsi="Arial" w:cs="Arial"/>
                <w:sz w:val="18"/>
                <w:szCs w:val="18"/>
                <w:lang w:val="en-US"/>
              </w:rPr>
            </w:pPr>
            <w:r w:rsidRPr="00BD295E">
              <w:rPr>
                <w:rFonts w:ascii="Arial" w:hAnsi="Arial" w:cs="Arial"/>
                <w:sz w:val="18"/>
                <w:szCs w:val="18"/>
                <w:lang w:val="en-US"/>
              </w:rPr>
              <w:t xml:space="preserve">X-ray control of metering devices as a new opportunity to reduce commercial losses. Non-destructive methods of monitoring the state of equipment using portable X-ray equipment. </w:t>
            </w:r>
          </w:p>
          <w:p w14:paraId="6C602B1B" w14:textId="77777777" w:rsidR="00006621" w:rsidRPr="00BD295E" w:rsidRDefault="008A5057" w:rsidP="00E3510B">
            <w:pPr>
              <w:numPr>
                <w:ilvl w:val="0"/>
                <w:numId w:val="144"/>
              </w:numPr>
              <w:spacing w:after="60"/>
              <w:ind w:left="278" w:hanging="284"/>
              <w:jc w:val="both"/>
              <w:rPr>
                <w:rFonts w:ascii="Arial" w:eastAsia="Calibri" w:hAnsi="Arial" w:cs="Arial"/>
                <w:sz w:val="18"/>
                <w:szCs w:val="18"/>
                <w:lang w:val="en-US"/>
              </w:rPr>
            </w:pPr>
            <w:r w:rsidRPr="00BD295E">
              <w:rPr>
                <w:rFonts w:ascii="Arial" w:hAnsi="Arial" w:cs="Arial"/>
                <w:sz w:val="18"/>
                <w:szCs w:val="18"/>
                <w:lang w:val="en-US"/>
              </w:rPr>
              <w:t xml:space="preserve">Application of standards IEC 6185081 and IEC 6185092 LE as compared to with the existing concept of building automated systems across facilities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evaluation of related economic effect and capital expenses.</w:t>
            </w:r>
          </w:p>
          <w:p w14:paraId="4062913C" w14:textId="77777777" w:rsidR="00006621" w:rsidRPr="00BD295E" w:rsidRDefault="008A5057" w:rsidP="00E3510B">
            <w:pPr>
              <w:pStyle w:val="af3"/>
              <w:widowControl w:val="0"/>
              <w:numPr>
                <w:ilvl w:val="0"/>
                <w:numId w:val="144"/>
              </w:numPr>
              <w:autoSpaceDE w:val="0"/>
              <w:autoSpaceDN w:val="0"/>
              <w:adjustRightInd w:val="0"/>
              <w:ind w:left="278" w:hanging="284"/>
              <w:jc w:val="both"/>
              <w:rPr>
                <w:rFonts w:ascii="Arial" w:eastAsia="Calibri" w:hAnsi="Arial" w:cs="Arial"/>
                <w:sz w:val="18"/>
                <w:szCs w:val="18"/>
                <w:lang w:val="en-US"/>
              </w:rPr>
            </w:pPr>
            <w:r w:rsidRPr="00BD295E">
              <w:rPr>
                <w:rFonts w:ascii="Arial" w:hAnsi="Arial" w:cs="Arial"/>
                <w:sz w:val="18"/>
                <w:szCs w:val="18"/>
                <w:lang w:val="en-US"/>
              </w:rPr>
              <w:t>Practice of applying dry-type 35 kV transformers. Requirements for the installation and operation of dry-type 35 kV transformers.</w:t>
            </w:r>
          </w:p>
          <w:p w14:paraId="206A9054" w14:textId="77777777" w:rsidR="00006621" w:rsidRPr="00BD295E" w:rsidRDefault="008A5057" w:rsidP="00E3510B">
            <w:pPr>
              <w:pStyle w:val="af3"/>
              <w:widowControl w:val="0"/>
              <w:numPr>
                <w:ilvl w:val="0"/>
                <w:numId w:val="144"/>
              </w:numPr>
              <w:autoSpaceDE w:val="0"/>
              <w:autoSpaceDN w:val="0"/>
              <w:adjustRightInd w:val="0"/>
              <w:ind w:left="278" w:hanging="284"/>
              <w:jc w:val="both"/>
              <w:rPr>
                <w:rFonts w:ascii="Arial" w:eastAsia="Calibri" w:hAnsi="Arial" w:cs="Arial"/>
                <w:sz w:val="18"/>
                <w:szCs w:val="18"/>
                <w:lang w:val="en-US"/>
              </w:rPr>
            </w:pPr>
            <w:r w:rsidRPr="00BD295E">
              <w:rPr>
                <w:rFonts w:ascii="Arial" w:hAnsi="Arial" w:cs="Arial"/>
                <w:sz w:val="18"/>
                <w:szCs w:val="18"/>
                <w:lang w:val="en-US"/>
              </w:rPr>
              <w:t xml:space="preserve">Reviewing the Guidelines for the Use of 6–20 kV Vacuum Reclosers at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332F9EB7" w14:textId="77777777" w:rsidR="00006621" w:rsidRPr="00BD295E" w:rsidRDefault="008A5057" w:rsidP="00E3510B">
            <w:pPr>
              <w:pStyle w:val="af3"/>
              <w:widowControl w:val="0"/>
              <w:numPr>
                <w:ilvl w:val="0"/>
                <w:numId w:val="144"/>
              </w:numPr>
              <w:autoSpaceDE w:val="0"/>
              <w:autoSpaceDN w:val="0"/>
              <w:adjustRightInd w:val="0"/>
              <w:ind w:left="278" w:hanging="284"/>
              <w:jc w:val="both"/>
              <w:rPr>
                <w:rFonts w:ascii="Arial" w:eastAsia="Calibri" w:hAnsi="Arial" w:cs="Arial"/>
                <w:sz w:val="18"/>
                <w:szCs w:val="18"/>
                <w:lang w:val="en-US"/>
              </w:rPr>
            </w:pPr>
            <w:r w:rsidRPr="00BD295E">
              <w:rPr>
                <w:rFonts w:ascii="Arial" w:hAnsi="Arial" w:cs="Arial"/>
                <w:sz w:val="18"/>
                <w:szCs w:val="18"/>
                <w:lang w:val="en-US"/>
              </w:rPr>
              <w:t>Operational safety of gas-insulated equipment. SF6 and its disintegration product control system.</w:t>
            </w:r>
          </w:p>
          <w:p w14:paraId="44E88ECC" w14:textId="77777777" w:rsidR="00006621" w:rsidRPr="00BD295E" w:rsidRDefault="008A5057" w:rsidP="00E3510B">
            <w:pPr>
              <w:pStyle w:val="af3"/>
              <w:widowControl w:val="0"/>
              <w:numPr>
                <w:ilvl w:val="0"/>
                <w:numId w:val="144"/>
              </w:numPr>
              <w:autoSpaceDE w:val="0"/>
              <w:autoSpaceDN w:val="0"/>
              <w:adjustRightInd w:val="0"/>
              <w:ind w:left="278" w:hanging="284"/>
              <w:jc w:val="both"/>
              <w:rPr>
                <w:rFonts w:ascii="Arial" w:eastAsia="Calibri" w:hAnsi="Arial" w:cs="Arial"/>
                <w:sz w:val="18"/>
                <w:szCs w:val="18"/>
                <w:lang w:val="en-US"/>
              </w:rPr>
            </w:pPr>
            <w:r w:rsidRPr="00BD295E">
              <w:rPr>
                <w:rFonts w:ascii="Arial" w:hAnsi="Arial" w:cs="Arial"/>
                <w:sz w:val="18"/>
                <w:szCs w:val="18"/>
                <w:lang w:val="en-US"/>
              </w:rPr>
              <w:t xml:space="preserve">Updating of the List of Equipment Successfully Used at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8BB0A6B" w14:textId="77777777" w:rsidR="00006621" w:rsidRPr="00BD295E" w:rsidRDefault="008A5057" w:rsidP="00E3510B">
            <w:pPr>
              <w:pStyle w:val="af3"/>
              <w:widowControl w:val="0"/>
              <w:numPr>
                <w:ilvl w:val="0"/>
                <w:numId w:val="144"/>
              </w:numPr>
              <w:autoSpaceDE w:val="0"/>
              <w:autoSpaceDN w:val="0"/>
              <w:adjustRightInd w:val="0"/>
              <w:ind w:left="278" w:hanging="284"/>
              <w:jc w:val="both"/>
              <w:rPr>
                <w:rFonts w:ascii="Arial" w:eastAsia="Calibri" w:hAnsi="Arial" w:cs="Arial"/>
                <w:sz w:val="18"/>
                <w:szCs w:val="18"/>
                <w:lang w:val="en-US"/>
              </w:rPr>
            </w:pPr>
            <w:r w:rsidRPr="00BD295E">
              <w:rPr>
                <w:rFonts w:ascii="Arial" w:hAnsi="Arial" w:cs="Arial"/>
                <w:sz w:val="18"/>
                <w:szCs w:val="18"/>
                <w:lang w:val="en-US"/>
              </w:rPr>
              <w:t>Deployment of digital substation elements in a pilot project of the 110 kV Martyshkino substation.</w:t>
            </w:r>
          </w:p>
          <w:p w14:paraId="2A8B6A56" w14:textId="77777777" w:rsidR="00006621" w:rsidRPr="00BD295E" w:rsidRDefault="008A5057" w:rsidP="00E3510B">
            <w:pPr>
              <w:pStyle w:val="af3"/>
              <w:widowControl w:val="0"/>
              <w:numPr>
                <w:ilvl w:val="0"/>
                <w:numId w:val="144"/>
              </w:numPr>
              <w:autoSpaceDE w:val="0"/>
              <w:autoSpaceDN w:val="0"/>
              <w:adjustRightInd w:val="0"/>
              <w:ind w:left="278" w:hanging="284"/>
              <w:jc w:val="both"/>
              <w:rPr>
                <w:rFonts w:ascii="Arial" w:eastAsia="Calibri" w:hAnsi="Arial" w:cs="Arial"/>
                <w:sz w:val="18"/>
                <w:szCs w:val="18"/>
                <w:lang w:val="en-US"/>
              </w:rPr>
            </w:pPr>
            <w:r w:rsidRPr="00BD295E">
              <w:rPr>
                <w:rFonts w:ascii="Arial" w:hAnsi="Arial" w:cs="Arial"/>
                <w:sz w:val="18"/>
                <w:szCs w:val="18"/>
                <w:lang w:val="en-US"/>
              </w:rPr>
              <w:t>Reviewing the practices and methods of installing cable/pipe lead-ins and lead-outs through the walls, block-containers, switch cabinets, and other bulkheads at substations, factory-assembled switchgear, and other electricity supply facilities.</w:t>
            </w:r>
          </w:p>
          <w:p w14:paraId="417B3950" w14:textId="77777777" w:rsidR="00006621" w:rsidRPr="00BD295E" w:rsidRDefault="008A5057" w:rsidP="00E3510B">
            <w:pPr>
              <w:pStyle w:val="af3"/>
              <w:widowControl w:val="0"/>
              <w:numPr>
                <w:ilvl w:val="0"/>
                <w:numId w:val="144"/>
              </w:numPr>
              <w:autoSpaceDE w:val="0"/>
              <w:autoSpaceDN w:val="0"/>
              <w:adjustRightInd w:val="0"/>
              <w:ind w:left="278" w:hanging="284"/>
              <w:jc w:val="both"/>
              <w:rPr>
                <w:rFonts w:ascii="Arial" w:eastAsia="Calibri" w:hAnsi="Arial" w:cs="Arial"/>
                <w:sz w:val="18"/>
                <w:szCs w:val="18"/>
                <w:lang w:val="en-US"/>
              </w:rPr>
            </w:pPr>
            <w:r w:rsidRPr="00BD295E">
              <w:rPr>
                <w:rFonts w:ascii="Arial" w:hAnsi="Arial" w:cs="Arial"/>
                <w:sz w:val="18"/>
                <w:szCs w:val="18"/>
                <w:lang w:val="en-US"/>
              </w:rPr>
              <w:t>Practice of implementing a pilot SmartGrid project for a 6 kV distribution grid at substation No. 18.</w:t>
            </w:r>
            <w:r w:rsidRPr="00BD295E">
              <w:rPr>
                <w:rFonts w:ascii="Arial" w:hAnsi="Arial" w:cs="Arial"/>
                <w:sz w:val="18"/>
                <w:szCs w:val="18"/>
                <w:lang w:val="en-US"/>
              </w:rPr>
              <w:br w:type="textWrapping" w:clear="all"/>
            </w:r>
          </w:p>
        </w:tc>
      </w:tr>
    </w:tbl>
    <w:p w14:paraId="0BA8BBC9" w14:textId="77777777" w:rsidR="00006621" w:rsidRPr="00BD295E" w:rsidRDefault="00006621" w:rsidP="003D49A2">
      <w:pPr>
        <w:contextualSpacing/>
        <w:jc w:val="both"/>
        <w:rPr>
          <w:rFonts w:ascii="Arial" w:hAnsi="Arial" w:cs="Arial"/>
          <w:sz w:val="18"/>
          <w:szCs w:val="18"/>
          <w:lang w:val="en-US"/>
        </w:rPr>
      </w:pPr>
    </w:p>
    <w:p w14:paraId="6338BF65" w14:textId="77777777" w:rsidR="00006621" w:rsidRPr="00BD295E" w:rsidRDefault="008A5057" w:rsidP="003D49A2">
      <w:pPr>
        <w:jc w:val="both"/>
        <w:rPr>
          <w:rFonts w:ascii="Arial" w:hAnsi="Arial" w:cs="Arial"/>
          <w:b/>
          <w:sz w:val="18"/>
          <w:szCs w:val="18"/>
          <w:lang w:val="en-US"/>
        </w:rPr>
      </w:pPr>
      <w:r w:rsidRPr="00BD295E">
        <w:rPr>
          <w:rFonts w:ascii="Arial" w:hAnsi="Arial" w:cs="Arial"/>
          <w:b/>
          <w:sz w:val="18"/>
          <w:szCs w:val="18"/>
          <w:lang w:val="en-US"/>
        </w:rPr>
        <w:t>Practical implementation of technical policy focus areas</w:t>
      </w:r>
    </w:p>
    <w:p w14:paraId="13137A6F" w14:textId="77777777" w:rsidR="00006621" w:rsidRPr="00BD295E" w:rsidRDefault="00EE5753" w:rsidP="003D49A2">
      <w:pPr>
        <w:contextualSpacing/>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implements its technical policy in a number of key focus areas, including application of new technologies and equipment across various operations.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8"/>
        <w:gridCol w:w="6129"/>
      </w:tblGrid>
      <w:tr w:rsidR="008A5057" w:rsidRPr="00BD295E" w14:paraId="154CD20D" w14:textId="77777777" w:rsidTr="00E3510B">
        <w:tc>
          <w:tcPr>
            <w:tcW w:w="3108" w:type="dxa"/>
            <w:shd w:val="clear" w:color="auto" w:fill="auto"/>
          </w:tcPr>
          <w:p w14:paraId="6D4CA7A6" w14:textId="77777777" w:rsidR="00006621" w:rsidRPr="00BD295E" w:rsidRDefault="008A5057" w:rsidP="00E3510B">
            <w:pPr>
              <w:spacing w:after="120" w:line="276" w:lineRule="auto"/>
              <w:ind w:firstLine="720"/>
              <w:jc w:val="both"/>
              <w:rPr>
                <w:rFonts w:ascii="Arial" w:hAnsi="Arial" w:cs="Arial"/>
                <w:sz w:val="18"/>
                <w:szCs w:val="18"/>
                <w:lang w:val="en-US"/>
              </w:rPr>
            </w:pPr>
            <w:r w:rsidRPr="00BD295E">
              <w:rPr>
                <w:rFonts w:ascii="Arial" w:hAnsi="Arial" w:cs="Arial"/>
                <w:sz w:val="18"/>
                <w:szCs w:val="18"/>
                <w:lang w:val="en-US"/>
              </w:rPr>
              <w:t xml:space="preserve">Type of operations </w:t>
            </w:r>
          </w:p>
        </w:tc>
        <w:tc>
          <w:tcPr>
            <w:tcW w:w="6129" w:type="dxa"/>
            <w:shd w:val="clear" w:color="auto" w:fill="auto"/>
          </w:tcPr>
          <w:p w14:paraId="30C87568" w14:textId="77777777" w:rsidR="00006621" w:rsidRPr="00BD295E" w:rsidRDefault="008A5057" w:rsidP="00E3510B">
            <w:pPr>
              <w:spacing w:after="60"/>
              <w:jc w:val="both"/>
              <w:rPr>
                <w:rFonts w:ascii="Arial" w:eastAsia="Calibri" w:hAnsi="Arial" w:cs="Arial"/>
                <w:sz w:val="18"/>
                <w:szCs w:val="18"/>
                <w:lang w:val="en-US"/>
              </w:rPr>
            </w:pPr>
            <w:r w:rsidRPr="00BD295E">
              <w:rPr>
                <w:rFonts w:ascii="Arial" w:hAnsi="Arial" w:cs="Arial"/>
                <w:sz w:val="18"/>
                <w:szCs w:val="18"/>
                <w:lang w:val="en-US"/>
              </w:rPr>
              <w:t xml:space="preserve">Focus areas </w:t>
            </w:r>
          </w:p>
        </w:tc>
      </w:tr>
      <w:tr w:rsidR="008A5057" w:rsidRPr="00BD295E" w14:paraId="5255586B" w14:textId="77777777" w:rsidTr="00E3510B">
        <w:tc>
          <w:tcPr>
            <w:tcW w:w="3108" w:type="dxa"/>
            <w:shd w:val="clear" w:color="auto" w:fill="auto"/>
          </w:tcPr>
          <w:p w14:paraId="3F230A33" w14:textId="77777777" w:rsidR="00006621" w:rsidRPr="00BD295E" w:rsidRDefault="008A5057" w:rsidP="00E3510B">
            <w:pPr>
              <w:spacing w:before="20" w:after="20" w:line="276" w:lineRule="auto"/>
              <w:rPr>
                <w:rFonts w:ascii="Arial" w:hAnsi="Arial" w:cs="Arial"/>
                <w:sz w:val="18"/>
                <w:szCs w:val="18"/>
                <w:lang w:val="en-US"/>
              </w:rPr>
            </w:pPr>
            <w:r w:rsidRPr="00BD295E">
              <w:rPr>
                <w:rFonts w:ascii="Arial" w:hAnsi="Arial" w:cs="Arial"/>
                <w:sz w:val="18"/>
                <w:szCs w:val="18"/>
                <w:lang w:val="en-US"/>
              </w:rPr>
              <w:t>0.4-10 kV distribution grids</w:t>
            </w:r>
            <w:r w:rsidRPr="00BD295E">
              <w:rPr>
                <w:rFonts w:ascii="Arial" w:hAnsi="Arial" w:cs="Arial"/>
                <w:sz w:val="18"/>
                <w:szCs w:val="18"/>
                <w:lang w:val="en-US"/>
              </w:rPr>
              <w:br w:type="textWrapping" w:clear="all"/>
            </w:r>
          </w:p>
        </w:tc>
        <w:tc>
          <w:tcPr>
            <w:tcW w:w="6129" w:type="dxa"/>
            <w:shd w:val="clear" w:color="auto" w:fill="auto"/>
          </w:tcPr>
          <w:p w14:paraId="3E4B1953"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cables with cross linked polyethylene (XLPE) insulation</w:t>
            </w:r>
          </w:p>
          <w:p w14:paraId="621753FA"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self-supporting insulated and shielded wires;</w:t>
            </w:r>
          </w:p>
          <w:p w14:paraId="33FD7AF5"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unit-type package transformer substations;</w:t>
            </w:r>
          </w:p>
          <w:p w14:paraId="1E62DA61"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high-tech switching devices (reclosers);</w:t>
            </w:r>
          </w:p>
          <w:p w14:paraId="516078C1"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transition to vacuum circuit breakers;</w:t>
            </w:r>
          </w:p>
          <w:p w14:paraId="7D0562D2"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small-size factory-assembled SF6 switchgear;</w:t>
            </w:r>
          </w:p>
          <w:p w14:paraId="52AD02E8" w14:textId="77777777" w:rsidR="00006621" w:rsidRPr="00BD295E" w:rsidRDefault="008A5057" w:rsidP="00E3510B">
            <w:pPr>
              <w:numPr>
                <w:ilvl w:val="0"/>
                <w:numId w:val="76"/>
              </w:numPr>
              <w:spacing w:before="20" w:after="20"/>
              <w:ind w:left="176" w:hanging="176"/>
              <w:jc w:val="both"/>
              <w:rPr>
                <w:rFonts w:ascii="Arial" w:eastAsia="Calibri" w:hAnsi="Arial" w:cs="Arial"/>
                <w:sz w:val="18"/>
                <w:szCs w:val="18"/>
                <w:lang w:val="en-US"/>
              </w:rPr>
            </w:pPr>
            <w:r w:rsidRPr="00BD295E">
              <w:rPr>
                <w:rFonts w:ascii="Arial" w:hAnsi="Arial" w:cs="Arial"/>
                <w:sz w:val="18"/>
                <w:szCs w:val="18"/>
                <w:lang w:val="en-US"/>
              </w:rPr>
              <w:t>use of advanced devices of protection against pulse and lightning overvoltages.</w:t>
            </w:r>
          </w:p>
        </w:tc>
      </w:tr>
      <w:tr w:rsidR="008A5057" w:rsidRPr="00BD295E" w14:paraId="6520F5B6" w14:textId="77777777" w:rsidTr="00E3510B">
        <w:tc>
          <w:tcPr>
            <w:tcW w:w="3108" w:type="dxa"/>
            <w:shd w:val="clear" w:color="auto" w:fill="auto"/>
          </w:tcPr>
          <w:p w14:paraId="2F2DEE6B" w14:textId="77777777" w:rsidR="00006621" w:rsidRPr="00BD295E" w:rsidRDefault="008A5057" w:rsidP="00E3510B">
            <w:pPr>
              <w:spacing w:before="20" w:after="20" w:line="276" w:lineRule="auto"/>
              <w:rPr>
                <w:rFonts w:ascii="Arial" w:hAnsi="Arial" w:cs="Arial"/>
                <w:sz w:val="18"/>
                <w:szCs w:val="18"/>
                <w:lang w:val="en-US"/>
              </w:rPr>
            </w:pPr>
            <w:r w:rsidRPr="00BD295E">
              <w:rPr>
                <w:rFonts w:ascii="Arial" w:hAnsi="Arial" w:cs="Arial"/>
                <w:sz w:val="18"/>
                <w:szCs w:val="18"/>
                <w:lang w:val="en-US"/>
              </w:rPr>
              <w:t>35-10 kV distribution grids</w:t>
            </w:r>
            <w:r w:rsidRPr="00BD295E">
              <w:rPr>
                <w:rFonts w:ascii="Arial" w:hAnsi="Arial" w:cs="Arial"/>
                <w:sz w:val="18"/>
                <w:szCs w:val="18"/>
                <w:lang w:val="en-US"/>
              </w:rPr>
              <w:br w:type="textWrapping" w:clear="all"/>
            </w:r>
          </w:p>
        </w:tc>
        <w:tc>
          <w:tcPr>
            <w:tcW w:w="6129" w:type="dxa"/>
            <w:shd w:val="clear" w:color="auto" w:fill="auto"/>
          </w:tcPr>
          <w:p w14:paraId="102047C8"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transition to vacuum and gas-insulated circuit breakers;</w:t>
            </w:r>
          </w:p>
          <w:p w14:paraId="416E6D04"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110 kV factory-assembled SF6 switchgear (as necessary);</w:t>
            </w:r>
          </w:p>
          <w:p w14:paraId="4459167C"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unit-type and compact 35–110 kV switchgear;</w:t>
            </w:r>
          </w:p>
          <w:p w14:paraId="28C05955"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small-sized medium-voltage factory-assembled gas-insulated and air-insulated switchgear;</w:t>
            </w:r>
          </w:p>
          <w:p w14:paraId="762FD3E3"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cables with cross linked polyethylene (XLPE) insulation</w:t>
            </w:r>
          </w:p>
          <w:p w14:paraId="23E0ACA5"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multifaceted and elevated supports;</w:t>
            </w:r>
          </w:p>
          <w:p w14:paraId="7D4BEF1C"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a design model of a 110 kV electric grid was developed and implemented to streamline electricity distribution modes.</w:t>
            </w:r>
          </w:p>
        </w:tc>
      </w:tr>
      <w:tr w:rsidR="008A5057" w:rsidRPr="00BD295E" w14:paraId="1BA0BB45" w14:textId="77777777" w:rsidTr="00E3510B">
        <w:tc>
          <w:tcPr>
            <w:tcW w:w="3108" w:type="dxa"/>
            <w:shd w:val="clear" w:color="auto" w:fill="auto"/>
          </w:tcPr>
          <w:p w14:paraId="3C7F40BA" w14:textId="77777777" w:rsidR="00006621" w:rsidRPr="00BD295E" w:rsidRDefault="008A5057" w:rsidP="00E3510B">
            <w:pPr>
              <w:spacing w:before="20" w:after="20" w:line="276" w:lineRule="auto"/>
              <w:rPr>
                <w:rFonts w:ascii="Arial" w:hAnsi="Arial" w:cs="Arial"/>
                <w:sz w:val="18"/>
                <w:szCs w:val="18"/>
                <w:lang w:val="en-US"/>
              </w:rPr>
            </w:pPr>
            <w:r w:rsidRPr="00BD295E">
              <w:rPr>
                <w:rFonts w:ascii="Arial" w:hAnsi="Arial" w:cs="Arial"/>
                <w:sz w:val="18"/>
                <w:szCs w:val="18"/>
                <w:lang w:val="en-US"/>
              </w:rPr>
              <w:t>Relay protection, dispatching and process control equipment, remote control, and monitoring systems</w:t>
            </w:r>
          </w:p>
        </w:tc>
        <w:tc>
          <w:tcPr>
            <w:tcW w:w="6129" w:type="dxa"/>
            <w:shd w:val="clear" w:color="auto" w:fill="auto"/>
          </w:tcPr>
          <w:p w14:paraId="78E2F1D7"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microprocessor protection;</w:t>
            </w:r>
          </w:p>
          <w:p w14:paraId="3564AFE1"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automation of process control;</w:t>
            </w:r>
          </w:p>
          <w:p w14:paraId="72BC1E6E"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implementation of SCADA systems;</w:t>
            </w:r>
          </w:p>
          <w:p w14:paraId="35E85E0B"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introduction of advanced dispatching points with automated real-time multi-tier dispatching control systems;</w:t>
            </w:r>
          </w:p>
          <w:p w14:paraId="2E6C9E0B"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overhead line insulation monitoring systems;</w:t>
            </w:r>
          </w:p>
          <w:p w14:paraId="17F7E1DE" w14:textId="77777777" w:rsidR="00006621" w:rsidRPr="00BD295E" w:rsidRDefault="008A5057" w:rsidP="00E3510B">
            <w:pPr>
              <w:numPr>
                <w:ilvl w:val="0"/>
                <w:numId w:val="76"/>
              </w:numPr>
              <w:spacing w:before="20" w:after="20"/>
              <w:ind w:left="176" w:hanging="176"/>
              <w:jc w:val="both"/>
              <w:rPr>
                <w:rFonts w:ascii="Arial" w:hAnsi="Arial" w:cs="Arial"/>
                <w:sz w:val="18"/>
                <w:szCs w:val="18"/>
                <w:lang w:val="en-US"/>
              </w:rPr>
            </w:pPr>
            <w:r w:rsidRPr="00BD295E">
              <w:rPr>
                <w:rFonts w:ascii="Arial" w:hAnsi="Arial" w:cs="Arial"/>
                <w:sz w:val="18"/>
                <w:szCs w:val="18"/>
                <w:lang w:val="en-US"/>
              </w:rPr>
              <w:t>use of power equipment monitoring systems.</w:t>
            </w:r>
          </w:p>
        </w:tc>
      </w:tr>
    </w:tbl>
    <w:p w14:paraId="003D13B2" w14:textId="77777777" w:rsidR="00006621" w:rsidRPr="00BD295E" w:rsidRDefault="00006621" w:rsidP="00006621">
      <w:pPr>
        <w:ind w:firstLine="709"/>
        <w:contextualSpacing/>
        <w:jc w:val="both"/>
        <w:rPr>
          <w:rFonts w:ascii="Arial" w:hAnsi="Arial" w:cs="Arial"/>
          <w:sz w:val="18"/>
          <w:szCs w:val="18"/>
          <w:lang w:val="en-US"/>
        </w:rPr>
      </w:pPr>
    </w:p>
    <w:p w14:paraId="42294E09" w14:textId="77777777" w:rsidR="00006621" w:rsidRPr="00BD295E" w:rsidRDefault="008A5057" w:rsidP="003D49A2">
      <w:pPr>
        <w:jc w:val="both"/>
        <w:rPr>
          <w:rFonts w:ascii="Arial" w:hAnsi="Arial" w:cs="Arial"/>
          <w:b/>
          <w:sz w:val="18"/>
          <w:szCs w:val="18"/>
          <w:lang w:val="en-US"/>
        </w:rPr>
      </w:pPr>
      <w:r w:rsidRPr="00BD295E">
        <w:rPr>
          <w:rFonts w:ascii="Arial" w:hAnsi="Arial" w:cs="Arial"/>
          <w:b/>
          <w:sz w:val="18"/>
          <w:szCs w:val="18"/>
          <w:lang w:val="en-US"/>
        </w:rPr>
        <w:t>Pilot operation of equipment, materials and technologies</w:t>
      </w:r>
    </w:p>
    <w:p w14:paraId="45A375DA" w14:textId="77777777" w:rsidR="00006621"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A new Regulation on Pilot Operation at Electric Grid Facilities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(hereinafter the “Regulation”) was approved by Order No. 122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March 30, 2018. The major differences between these Regulations and the previously approved Regulations are as follows:</w:t>
      </w:r>
    </w:p>
    <w:p w14:paraId="2AED1878"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 xml:space="preserve">equipment certified by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but having not previously operated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well as equipment not certified by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may only be accepted for pilot operation subject to a positive decision by the Committee for Acceptance of Equipment, Materials, and Systems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64D07920"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two forms of a standard pilot operation contract are attached to the order: for cases where design and construction and installation work are required and for cases where no such work is required;</w:t>
      </w:r>
    </w:p>
    <w:p w14:paraId="2CC3B00B" w14:textId="77777777" w:rsidR="00006621" w:rsidRPr="00BD295E" w:rsidRDefault="008A5057" w:rsidP="00CA2271">
      <w:pPr>
        <w:pStyle w:val="af3"/>
        <w:numPr>
          <w:ilvl w:val="0"/>
          <w:numId w:val="145"/>
        </w:numPr>
        <w:ind w:left="993" w:hanging="284"/>
        <w:jc w:val="both"/>
        <w:rPr>
          <w:rFonts w:ascii="Arial" w:hAnsi="Arial" w:cs="Arial"/>
          <w:sz w:val="18"/>
          <w:szCs w:val="18"/>
          <w:lang w:val="en-US"/>
        </w:rPr>
      </w:pPr>
      <w:r w:rsidRPr="00BD295E">
        <w:rPr>
          <w:rFonts w:ascii="Arial" w:hAnsi="Arial" w:cs="Arial"/>
          <w:sz w:val="18"/>
          <w:szCs w:val="18"/>
          <w:lang w:val="en-US"/>
        </w:rPr>
        <w:t xml:space="preserve">the order outlines the procedure for buying back the equipment after successful pilot operation at facilities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6A4573A7" w14:textId="77777777" w:rsidR="00006621"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In 2018, 17 requests to conduct pilot operation at electric grid facilities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were reviewed. Only one (1) manufacturer submitted all the necessary information to make a decision to conduct pilot operation in accordance with the approved Regulations.</w:t>
      </w:r>
    </w:p>
    <w:p w14:paraId="0572CFD3" w14:textId="77777777" w:rsidR="00006621" w:rsidRPr="00BD295E" w:rsidRDefault="00006621" w:rsidP="00006621">
      <w:pPr>
        <w:ind w:firstLine="709"/>
        <w:contextualSpacing/>
        <w:jc w:val="both"/>
        <w:rPr>
          <w:rFonts w:ascii="Arial" w:hAnsi="Arial" w:cs="Arial"/>
          <w:sz w:val="18"/>
          <w:szCs w:val="18"/>
          <w:lang w:val="en-US"/>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3402"/>
        <w:gridCol w:w="3403"/>
      </w:tblGrid>
      <w:tr w:rsidR="008A5057" w:rsidRPr="00BD295E" w14:paraId="0398FA5B" w14:textId="77777777" w:rsidTr="00E3510B">
        <w:trPr>
          <w:trHeight w:val="445"/>
          <w:tblHeader/>
        </w:trPr>
        <w:tc>
          <w:tcPr>
            <w:tcW w:w="2835" w:type="dxa"/>
            <w:shd w:val="clear" w:color="auto" w:fill="auto"/>
          </w:tcPr>
          <w:p w14:paraId="209B7253" w14:textId="77777777" w:rsidR="0000662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Equipment</w:t>
            </w:r>
          </w:p>
        </w:tc>
        <w:tc>
          <w:tcPr>
            <w:tcW w:w="3402" w:type="dxa"/>
            <w:shd w:val="clear" w:color="auto" w:fill="auto"/>
          </w:tcPr>
          <w:p w14:paraId="067D9520" w14:textId="77777777" w:rsidR="0000662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Pilot operation purpose</w:t>
            </w:r>
          </w:p>
        </w:tc>
        <w:tc>
          <w:tcPr>
            <w:tcW w:w="3403" w:type="dxa"/>
            <w:shd w:val="clear" w:color="auto" w:fill="auto"/>
          </w:tcPr>
          <w:p w14:paraId="1ACE9E3B" w14:textId="77777777" w:rsidR="0000662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Pilot operation results</w:t>
            </w:r>
          </w:p>
        </w:tc>
      </w:tr>
      <w:tr w:rsidR="008A5057" w:rsidRPr="00BD295E" w14:paraId="55F73559" w14:textId="77777777" w:rsidTr="00E3510B">
        <w:tc>
          <w:tcPr>
            <w:tcW w:w="2835" w:type="dxa"/>
            <w:shd w:val="clear" w:color="auto" w:fill="auto"/>
          </w:tcPr>
          <w:p w14:paraId="1EC91C06" w14:textId="77777777" w:rsidR="00006621" w:rsidRPr="00BD295E" w:rsidRDefault="008A5057" w:rsidP="00E3510B">
            <w:pPr>
              <w:pStyle w:val="af3"/>
              <w:ind w:left="0"/>
              <w:rPr>
                <w:rFonts w:ascii="Arial" w:hAnsi="Arial" w:cs="Arial"/>
                <w:sz w:val="18"/>
                <w:szCs w:val="18"/>
                <w:lang w:val="en-US"/>
              </w:rPr>
            </w:pPr>
            <w:r w:rsidRPr="00BD295E">
              <w:rPr>
                <w:rFonts w:ascii="Arial" w:hAnsi="Arial" w:cs="Arial"/>
                <w:sz w:val="18"/>
                <w:szCs w:val="18"/>
                <w:lang w:val="en-US"/>
              </w:rPr>
              <w:t>BINOM334i multifunctional device made by Vabtek, CJSC</w:t>
            </w:r>
          </w:p>
        </w:tc>
        <w:tc>
          <w:tcPr>
            <w:tcW w:w="3402" w:type="dxa"/>
            <w:shd w:val="clear" w:color="auto" w:fill="auto"/>
          </w:tcPr>
          <w:p w14:paraId="2444D70A" w14:textId="77777777" w:rsidR="00006621" w:rsidRPr="00BD295E" w:rsidRDefault="008A5057" w:rsidP="00FA6082">
            <w:pPr>
              <w:pStyle w:val="af3"/>
              <w:numPr>
                <w:ilvl w:val="0"/>
                <w:numId w:val="147"/>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Gaining operational experience and assessment of the efficiency of the proposed equipment.</w:t>
            </w:r>
          </w:p>
          <w:p w14:paraId="7FFA71B2" w14:textId="77777777" w:rsidR="00006621" w:rsidRPr="00BD295E" w:rsidRDefault="008A5057" w:rsidP="00FA6082">
            <w:pPr>
              <w:pStyle w:val="af3"/>
              <w:numPr>
                <w:ilvl w:val="0"/>
                <w:numId w:val="147"/>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Validation of parameters and functions of the equipment claimed by the equipment’s manufacturer’s such as:</w:t>
            </w:r>
          </w:p>
          <w:p w14:paraId="45E8BC6A" w14:textId="77777777" w:rsidR="00006621" w:rsidRPr="00BD295E" w:rsidRDefault="008A5057" w:rsidP="00FA6082">
            <w:pPr>
              <w:pStyle w:val="af3"/>
              <w:numPr>
                <w:ilvl w:val="1"/>
                <w:numId w:val="147"/>
              </w:numPr>
              <w:tabs>
                <w:tab w:val="left" w:pos="240"/>
                <w:tab w:val="left" w:pos="426"/>
              </w:tabs>
              <w:ind w:left="0" w:firstLine="0"/>
              <w:jc w:val="both"/>
              <w:rPr>
                <w:rFonts w:ascii="Arial" w:hAnsi="Arial" w:cs="Arial"/>
                <w:sz w:val="18"/>
                <w:szCs w:val="18"/>
                <w:lang w:val="en-US"/>
              </w:rPr>
            </w:pPr>
            <w:r w:rsidRPr="00BD295E">
              <w:rPr>
                <w:rFonts w:ascii="Arial" w:hAnsi="Arial" w:cs="Arial"/>
                <w:sz w:val="18"/>
                <w:szCs w:val="18"/>
                <w:lang w:val="en-US"/>
              </w:rPr>
              <w:t>Electricity quality meter and analyzer</w:t>
            </w:r>
          </w:p>
          <w:p w14:paraId="0C910700" w14:textId="77777777" w:rsidR="00006621" w:rsidRPr="00BD295E" w:rsidRDefault="008A5057" w:rsidP="00FA6082">
            <w:pPr>
              <w:pStyle w:val="af3"/>
              <w:numPr>
                <w:ilvl w:val="1"/>
                <w:numId w:val="147"/>
              </w:numPr>
              <w:tabs>
                <w:tab w:val="left" w:pos="240"/>
                <w:tab w:val="left" w:pos="426"/>
              </w:tabs>
              <w:ind w:left="0" w:firstLine="0"/>
              <w:jc w:val="both"/>
              <w:rPr>
                <w:rFonts w:ascii="Arial" w:hAnsi="Arial" w:cs="Arial"/>
                <w:sz w:val="18"/>
                <w:szCs w:val="18"/>
                <w:lang w:val="en-US"/>
              </w:rPr>
            </w:pPr>
            <w:r w:rsidRPr="00BD295E">
              <w:rPr>
                <w:rFonts w:ascii="Arial" w:hAnsi="Arial" w:cs="Arial"/>
                <w:sz w:val="18"/>
                <w:szCs w:val="18"/>
                <w:lang w:val="en-US"/>
              </w:rPr>
              <w:t>Three-phase measurement transducer</w:t>
            </w:r>
          </w:p>
          <w:p w14:paraId="32C65255" w14:textId="77777777" w:rsidR="00006621" w:rsidRPr="00BD295E" w:rsidRDefault="008A5057" w:rsidP="00FA6082">
            <w:pPr>
              <w:pStyle w:val="af3"/>
              <w:numPr>
                <w:ilvl w:val="1"/>
                <w:numId w:val="147"/>
              </w:numPr>
              <w:tabs>
                <w:tab w:val="left" w:pos="240"/>
                <w:tab w:val="left" w:pos="426"/>
              </w:tabs>
              <w:ind w:left="0" w:firstLine="0"/>
              <w:jc w:val="both"/>
              <w:rPr>
                <w:rFonts w:ascii="Arial" w:hAnsi="Arial" w:cs="Arial"/>
                <w:sz w:val="18"/>
                <w:szCs w:val="18"/>
                <w:lang w:val="en-US"/>
              </w:rPr>
            </w:pPr>
            <w:r w:rsidRPr="00BD295E">
              <w:rPr>
                <w:rFonts w:ascii="Arial" w:hAnsi="Arial" w:cs="Arial"/>
                <w:sz w:val="18"/>
                <w:szCs w:val="18"/>
                <w:lang w:val="en-US"/>
              </w:rPr>
              <w:t>Disturbance recorder</w:t>
            </w:r>
          </w:p>
          <w:p w14:paraId="7D515DB8" w14:textId="77777777" w:rsidR="00006621" w:rsidRPr="00BD295E" w:rsidRDefault="008A5057" w:rsidP="00FA6082">
            <w:pPr>
              <w:pStyle w:val="af3"/>
              <w:numPr>
                <w:ilvl w:val="1"/>
                <w:numId w:val="147"/>
              </w:numPr>
              <w:tabs>
                <w:tab w:val="left" w:pos="240"/>
                <w:tab w:val="left" w:pos="426"/>
              </w:tabs>
              <w:ind w:left="0" w:firstLine="0"/>
              <w:jc w:val="both"/>
              <w:rPr>
                <w:rFonts w:ascii="Arial" w:hAnsi="Arial" w:cs="Arial"/>
                <w:sz w:val="18"/>
                <w:szCs w:val="18"/>
                <w:lang w:val="en-US"/>
              </w:rPr>
            </w:pPr>
            <w:r w:rsidRPr="00BD295E">
              <w:rPr>
                <w:rFonts w:ascii="Arial" w:hAnsi="Arial" w:cs="Arial"/>
                <w:sz w:val="18"/>
                <w:szCs w:val="18"/>
                <w:lang w:val="en-US"/>
              </w:rPr>
              <w:t>Electric process black box</w:t>
            </w:r>
          </w:p>
          <w:p w14:paraId="358549B1" w14:textId="50248F83" w:rsidR="00006621" w:rsidRPr="00BD295E" w:rsidRDefault="008A5057" w:rsidP="00FA6082">
            <w:pPr>
              <w:pStyle w:val="af3"/>
              <w:numPr>
                <w:ilvl w:val="1"/>
                <w:numId w:val="147"/>
              </w:numPr>
              <w:tabs>
                <w:tab w:val="left" w:pos="240"/>
                <w:tab w:val="left" w:pos="426"/>
              </w:tabs>
              <w:ind w:left="0" w:firstLine="0"/>
              <w:jc w:val="both"/>
              <w:rPr>
                <w:rFonts w:ascii="Arial" w:hAnsi="Arial" w:cs="Arial"/>
                <w:sz w:val="18"/>
                <w:szCs w:val="18"/>
                <w:lang w:val="en-US"/>
              </w:rPr>
            </w:pPr>
            <w:r w:rsidRPr="00BD295E">
              <w:rPr>
                <w:rFonts w:ascii="Arial" w:hAnsi="Arial" w:cs="Arial"/>
                <w:sz w:val="18"/>
                <w:szCs w:val="18"/>
                <w:lang w:val="en-US"/>
              </w:rPr>
              <w:t xml:space="preserve">Connection workstation – data server and WEB </w:t>
            </w:r>
            <w:r w:rsidR="002C3947" w:rsidRPr="00BD295E">
              <w:rPr>
                <w:rFonts w:ascii="Arial" w:hAnsi="Arial" w:cs="Arial"/>
                <w:sz w:val="18"/>
                <w:szCs w:val="18"/>
                <w:lang w:val="en-US"/>
              </w:rPr>
              <w:t>visualizer</w:t>
            </w:r>
            <w:r w:rsidRPr="00BD295E">
              <w:rPr>
                <w:rFonts w:ascii="Arial" w:hAnsi="Arial" w:cs="Arial"/>
                <w:sz w:val="18"/>
                <w:szCs w:val="18"/>
                <w:lang w:val="en-US"/>
              </w:rPr>
              <w:t>.</w:t>
            </w:r>
          </w:p>
          <w:p w14:paraId="5568C9DD" w14:textId="77777777" w:rsidR="00006621" w:rsidRPr="00BD295E" w:rsidRDefault="008A5057" w:rsidP="00FA6082">
            <w:pPr>
              <w:pStyle w:val="af3"/>
              <w:numPr>
                <w:ilvl w:val="1"/>
                <w:numId w:val="147"/>
              </w:numPr>
              <w:tabs>
                <w:tab w:val="left" w:pos="240"/>
                <w:tab w:val="left" w:pos="426"/>
              </w:tabs>
              <w:ind w:left="0" w:firstLine="0"/>
              <w:jc w:val="both"/>
              <w:rPr>
                <w:rFonts w:ascii="Arial" w:hAnsi="Arial" w:cs="Arial"/>
                <w:sz w:val="18"/>
                <w:szCs w:val="18"/>
                <w:lang w:val="en-US"/>
              </w:rPr>
            </w:pPr>
            <w:r w:rsidRPr="00BD295E">
              <w:rPr>
                <w:rFonts w:ascii="Arial" w:hAnsi="Arial" w:cs="Arial"/>
                <w:sz w:val="18"/>
                <w:szCs w:val="18"/>
                <w:lang w:val="en-US"/>
              </w:rPr>
              <w:t>Connection APCS in a single device.</w:t>
            </w:r>
          </w:p>
          <w:p w14:paraId="301516D3" w14:textId="77777777" w:rsidR="00006621" w:rsidRPr="00BD295E" w:rsidRDefault="008A5057" w:rsidP="00FA6082">
            <w:pPr>
              <w:pStyle w:val="af3"/>
              <w:numPr>
                <w:ilvl w:val="1"/>
                <w:numId w:val="147"/>
              </w:numPr>
              <w:tabs>
                <w:tab w:val="left" w:pos="240"/>
                <w:tab w:val="left" w:pos="426"/>
              </w:tabs>
              <w:ind w:left="0" w:firstLine="0"/>
              <w:jc w:val="both"/>
              <w:rPr>
                <w:rFonts w:ascii="Arial" w:hAnsi="Arial" w:cs="Arial"/>
                <w:sz w:val="18"/>
                <w:szCs w:val="18"/>
                <w:lang w:val="en-US"/>
              </w:rPr>
            </w:pPr>
            <w:r w:rsidRPr="00BD295E">
              <w:rPr>
                <w:rFonts w:ascii="Arial" w:hAnsi="Arial" w:cs="Arial"/>
                <w:sz w:val="18"/>
                <w:szCs w:val="18"/>
                <w:lang w:val="en-US"/>
              </w:rPr>
              <w:t>Potential for integration into automated process control systems, data acquisition and transfer systems, automated measuring and information system for electricity billing metering, and automatic information and measuring systems.</w:t>
            </w:r>
          </w:p>
          <w:p w14:paraId="341979F0" w14:textId="77777777" w:rsidR="00006621" w:rsidRPr="00BD295E" w:rsidRDefault="008A5057" w:rsidP="00FA6082">
            <w:pPr>
              <w:pStyle w:val="af3"/>
              <w:numPr>
                <w:ilvl w:val="1"/>
                <w:numId w:val="147"/>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Potential application as part of a digital substation.</w:t>
            </w:r>
          </w:p>
          <w:p w14:paraId="5067CB7F" w14:textId="7C7D0410" w:rsidR="00006621" w:rsidRPr="00BD295E" w:rsidRDefault="008A5057" w:rsidP="00FA6082">
            <w:pPr>
              <w:pStyle w:val="af3"/>
              <w:numPr>
                <w:ilvl w:val="0"/>
                <w:numId w:val="147"/>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 xml:space="preserve">Reduction of response time by specialists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 instances of </w:t>
            </w:r>
            <w:r w:rsidR="002C3947" w:rsidRPr="00BD295E">
              <w:rPr>
                <w:rFonts w:ascii="Arial" w:hAnsi="Arial" w:cs="Arial"/>
                <w:sz w:val="18"/>
                <w:szCs w:val="18"/>
                <w:lang w:val="en-US"/>
              </w:rPr>
              <w:t>substandard electricity</w:t>
            </w:r>
            <w:r w:rsidRPr="00BD295E">
              <w:rPr>
                <w:rFonts w:ascii="Arial" w:hAnsi="Arial" w:cs="Arial"/>
                <w:sz w:val="18"/>
                <w:szCs w:val="18"/>
                <w:lang w:val="en-US"/>
              </w:rPr>
              <w:t xml:space="preserve"> quality.</w:t>
            </w:r>
          </w:p>
          <w:p w14:paraId="38F6A2C6" w14:textId="77777777" w:rsidR="00006621" w:rsidRPr="00BD295E" w:rsidRDefault="008A5057" w:rsidP="00FA6082">
            <w:pPr>
              <w:pStyle w:val="af3"/>
              <w:numPr>
                <w:ilvl w:val="0"/>
                <w:numId w:val="147"/>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Timely detection and handling of causes for substandard electricity distribution.</w:t>
            </w:r>
          </w:p>
        </w:tc>
        <w:tc>
          <w:tcPr>
            <w:tcW w:w="3403" w:type="dxa"/>
            <w:shd w:val="clear" w:color="auto" w:fill="auto"/>
          </w:tcPr>
          <w:p w14:paraId="68CF6563"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Ongoing pilot operation</w:t>
            </w:r>
          </w:p>
          <w:p w14:paraId="77717089" w14:textId="3264598F"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 xml:space="preserve">In 2018, an application for pilot operation was reviewed and a decision was made to conduct pilot operation at the facilities </w:t>
            </w:r>
            <w:r w:rsidR="002C3947" w:rsidRPr="00BD295E">
              <w:rPr>
                <w:rFonts w:ascii="Arial" w:hAnsi="Arial" w:cs="Arial"/>
                <w:sz w:val="18"/>
                <w:szCs w:val="18"/>
                <w:lang w:val="en-US"/>
              </w:rPr>
              <w:t>of Saint</w:t>
            </w:r>
            <w:r w:rsidRPr="00BD295E">
              <w:rPr>
                <w:rFonts w:ascii="Arial" w:hAnsi="Arial" w:cs="Arial"/>
                <w:sz w:val="18"/>
                <w:szCs w:val="18"/>
                <w:lang w:val="en-US"/>
              </w:rPr>
              <w:t xml:space="preserve"> Petersburg High Voltage Power Grid, a branch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design terms of reference were approved and a pilot operation contract was signed. The detailed design documentation is currently under review.</w:t>
            </w:r>
          </w:p>
        </w:tc>
      </w:tr>
      <w:tr w:rsidR="008A5057" w:rsidRPr="00BD295E" w14:paraId="0193F10F" w14:textId="77777777" w:rsidTr="00E3510B">
        <w:tc>
          <w:tcPr>
            <w:tcW w:w="2835" w:type="dxa"/>
            <w:shd w:val="clear" w:color="auto" w:fill="auto"/>
          </w:tcPr>
          <w:p w14:paraId="07C681A9" w14:textId="77777777" w:rsidR="00006621" w:rsidRPr="00BD295E" w:rsidRDefault="008A5057" w:rsidP="00E3510B">
            <w:pPr>
              <w:pStyle w:val="af3"/>
              <w:ind w:left="0"/>
              <w:rPr>
                <w:rFonts w:ascii="Arial" w:hAnsi="Arial" w:cs="Arial"/>
                <w:sz w:val="18"/>
                <w:szCs w:val="18"/>
                <w:lang w:val="en-US"/>
              </w:rPr>
            </w:pPr>
            <w:r w:rsidRPr="00BD295E">
              <w:rPr>
                <w:rFonts w:ascii="Arial" w:hAnsi="Arial" w:cs="Arial"/>
                <w:sz w:val="18"/>
                <w:szCs w:val="18"/>
                <w:lang w:val="en-US"/>
              </w:rPr>
              <w:t>10 kV factory-assembled using KRU-SEShch-70 units made by GK Elektroshchit, CJSC, TM Samara.</w:t>
            </w:r>
          </w:p>
        </w:tc>
        <w:tc>
          <w:tcPr>
            <w:tcW w:w="3402" w:type="dxa"/>
            <w:shd w:val="clear" w:color="auto" w:fill="auto"/>
          </w:tcPr>
          <w:p w14:paraId="6568DA34" w14:textId="77777777" w:rsidR="00006621" w:rsidRPr="00BD295E" w:rsidRDefault="008A5057" w:rsidP="00FA6082">
            <w:pPr>
              <w:pStyle w:val="af3"/>
              <w:numPr>
                <w:ilvl w:val="0"/>
                <w:numId w:val="148"/>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Gaining operational experience and assessment of the efficiency of the proposed equipment.</w:t>
            </w:r>
          </w:p>
          <w:p w14:paraId="0287E45F" w14:textId="77777777" w:rsidR="00006621" w:rsidRPr="00BD295E" w:rsidRDefault="008A5057" w:rsidP="00FA6082">
            <w:pPr>
              <w:pStyle w:val="af3"/>
              <w:numPr>
                <w:ilvl w:val="0"/>
                <w:numId w:val="148"/>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Validation of parameters and functions of the equipment claimed by the equipment’s manufacturer’s such as:</w:t>
            </w:r>
          </w:p>
          <w:p w14:paraId="3250BE12" w14:textId="77777777" w:rsidR="00006621" w:rsidRPr="00BD295E" w:rsidRDefault="008A5057" w:rsidP="00FA6082">
            <w:pPr>
              <w:pStyle w:val="af3"/>
              <w:numPr>
                <w:ilvl w:val="1"/>
                <w:numId w:val="148"/>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Implementation of full remote control functions.</w:t>
            </w:r>
          </w:p>
          <w:p w14:paraId="5E987CCD" w14:textId="77777777" w:rsidR="00006621" w:rsidRPr="00BD295E" w:rsidRDefault="008A5057" w:rsidP="00FA6082">
            <w:pPr>
              <w:pStyle w:val="af3"/>
              <w:numPr>
                <w:ilvl w:val="1"/>
                <w:numId w:val="148"/>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Gaining experience in operating a thermal monitoring system based on contactless sensors for the switch cabinet’s bus arrangement.</w:t>
            </w:r>
          </w:p>
          <w:p w14:paraId="1AF8A129" w14:textId="77777777" w:rsidR="00006621" w:rsidRPr="00BD295E" w:rsidRDefault="008A5057" w:rsidP="00FA6082">
            <w:pPr>
              <w:pStyle w:val="af3"/>
              <w:numPr>
                <w:ilvl w:val="1"/>
                <w:numId w:val="148"/>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Gaining experience in operating the connection controller of KRU-Mnemo type for rapid locking and monitoring.</w:t>
            </w:r>
          </w:p>
          <w:p w14:paraId="4F4B6FD2" w14:textId="77777777" w:rsidR="00006621" w:rsidRPr="00BD295E" w:rsidRDefault="008A5057" w:rsidP="00FA6082">
            <w:pPr>
              <w:pStyle w:val="af3"/>
              <w:numPr>
                <w:ilvl w:val="1"/>
                <w:numId w:val="148"/>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Potential application as part of a digital substation.</w:t>
            </w:r>
          </w:p>
          <w:p w14:paraId="1C0DA189" w14:textId="77777777" w:rsidR="00006621" w:rsidRPr="00BD295E" w:rsidRDefault="008A5057" w:rsidP="00FA6082">
            <w:pPr>
              <w:pStyle w:val="af3"/>
              <w:numPr>
                <w:ilvl w:val="0"/>
                <w:numId w:val="148"/>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Proving the serviceability of the proposed design solutions:</w:t>
            </w:r>
          </w:p>
          <w:p w14:paraId="51FABADE" w14:textId="77777777" w:rsidR="00006621" w:rsidRPr="00BD295E" w:rsidRDefault="008A5057" w:rsidP="00FA6082">
            <w:pPr>
              <w:pStyle w:val="af3"/>
              <w:numPr>
                <w:ilvl w:val="1"/>
                <w:numId w:val="148"/>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Monitoring of the switched-on position of earthing blades through the design of inspection ports.</w:t>
            </w:r>
          </w:p>
          <w:p w14:paraId="1ADFB609" w14:textId="77777777" w:rsidR="00006621" w:rsidRPr="00BD295E" w:rsidRDefault="008A5057" w:rsidP="00FA6082">
            <w:pPr>
              <w:pStyle w:val="af3"/>
              <w:numPr>
                <w:ilvl w:val="1"/>
                <w:numId w:val="148"/>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Gaining experience in operating input voltage transformers on a hinged bracket.</w:t>
            </w:r>
          </w:p>
          <w:p w14:paraId="13573384" w14:textId="77777777" w:rsidR="00006621" w:rsidRPr="00BD295E" w:rsidRDefault="008A5057" w:rsidP="00E3510B">
            <w:pPr>
              <w:pStyle w:val="af3"/>
              <w:tabs>
                <w:tab w:val="left" w:pos="426"/>
              </w:tabs>
              <w:ind w:left="0"/>
              <w:jc w:val="both"/>
              <w:rPr>
                <w:rFonts w:ascii="Arial" w:hAnsi="Arial" w:cs="Arial"/>
                <w:strike/>
                <w:sz w:val="18"/>
                <w:szCs w:val="18"/>
                <w:lang w:val="en-US"/>
              </w:rPr>
            </w:pPr>
            <w:r w:rsidRPr="00BD295E">
              <w:rPr>
                <w:rFonts w:ascii="Arial" w:hAnsi="Arial" w:cs="Arial"/>
                <w:sz w:val="18"/>
                <w:szCs w:val="18"/>
                <w:lang w:val="en-US"/>
              </w:rPr>
              <w:t>3.3. Gaining experience in operating current transformers from the withdrawable element compartment.</w:t>
            </w:r>
          </w:p>
        </w:tc>
        <w:tc>
          <w:tcPr>
            <w:tcW w:w="3403" w:type="dxa"/>
            <w:shd w:val="clear" w:color="auto" w:fill="auto"/>
          </w:tcPr>
          <w:p w14:paraId="136003EE"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Ongoing pilot operation</w:t>
            </w:r>
          </w:p>
          <w:p w14:paraId="6583850B"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In 2018, the key design concepts were approved, with the detailed design documentation pending review.</w:t>
            </w:r>
          </w:p>
        </w:tc>
      </w:tr>
      <w:tr w:rsidR="008A5057" w:rsidRPr="00BD295E" w14:paraId="1089CB01" w14:textId="77777777" w:rsidTr="00E3510B">
        <w:tc>
          <w:tcPr>
            <w:tcW w:w="2835" w:type="dxa"/>
            <w:shd w:val="clear" w:color="auto" w:fill="auto"/>
          </w:tcPr>
          <w:p w14:paraId="23937BCE" w14:textId="77777777" w:rsidR="00006621" w:rsidRPr="00BD295E" w:rsidRDefault="008A5057" w:rsidP="00E3510B">
            <w:pPr>
              <w:pStyle w:val="af3"/>
              <w:ind w:left="0"/>
              <w:rPr>
                <w:rFonts w:ascii="Arial" w:hAnsi="Arial" w:cs="Arial"/>
                <w:sz w:val="18"/>
                <w:szCs w:val="18"/>
                <w:lang w:val="en-US"/>
              </w:rPr>
            </w:pPr>
            <w:r w:rsidRPr="00BD295E">
              <w:rPr>
                <w:rFonts w:ascii="Arial" w:hAnsi="Arial" w:cs="Arial"/>
                <w:sz w:val="18"/>
                <w:szCs w:val="18"/>
                <w:lang w:val="en-US"/>
              </w:rPr>
              <w:t>10 kV factory-assembled using KRU-SEShch-70 units made by GK Elektroshchit, CJSC, TM Samara.</w:t>
            </w:r>
          </w:p>
        </w:tc>
        <w:tc>
          <w:tcPr>
            <w:tcW w:w="3402" w:type="dxa"/>
            <w:shd w:val="clear" w:color="auto" w:fill="auto"/>
          </w:tcPr>
          <w:p w14:paraId="6C015FE2" w14:textId="77777777" w:rsidR="00006621" w:rsidRPr="00BD295E" w:rsidRDefault="008A5057" w:rsidP="00FA6082">
            <w:pPr>
              <w:pStyle w:val="af3"/>
              <w:numPr>
                <w:ilvl w:val="0"/>
                <w:numId w:val="149"/>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Gaining operational experience and assessment of the efficiency of the proposed equipment.</w:t>
            </w:r>
          </w:p>
          <w:p w14:paraId="0BC84279" w14:textId="77777777" w:rsidR="00006621" w:rsidRPr="00BD295E" w:rsidRDefault="008A5057" w:rsidP="00FA6082">
            <w:pPr>
              <w:pStyle w:val="af3"/>
              <w:numPr>
                <w:ilvl w:val="0"/>
                <w:numId w:val="149"/>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Validation of parameters and functions of the equipment claimed by the equipment’s manufacturer’s such as:</w:t>
            </w:r>
          </w:p>
          <w:p w14:paraId="1CAAE444" w14:textId="77777777" w:rsidR="00006621" w:rsidRPr="00BD295E" w:rsidRDefault="008A5057" w:rsidP="00FA6082">
            <w:pPr>
              <w:pStyle w:val="af3"/>
              <w:numPr>
                <w:ilvl w:val="1"/>
                <w:numId w:val="149"/>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Implementation of full remote control functions.</w:t>
            </w:r>
          </w:p>
          <w:p w14:paraId="6303C30B" w14:textId="77777777" w:rsidR="00006621" w:rsidRPr="00BD295E" w:rsidRDefault="008A5057" w:rsidP="00FA6082">
            <w:pPr>
              <w:pStyle w:val="af3"/>
              <w:numPr>
                <w:ilvl w:val="1"/>
                <w:numId w:val="149"/>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Gaining experience in operating a thermal monitoring system based on contactless sensors for the switch cabinet’s bus arrangement.</w:t>
            </w:r>
          </w:p>
          <w:p w14:paraId="225E5BA2" w14:textId="77777777" w:rsidR="00006621" w:rsidRPr="00BD295E" w:rsidRDefault="008A5057" w:rsidP="00FA6082">
            <w:pPr>
              <w:pStyle w:val="af3"/>
              <w:numPr>
                <w:ilvl w:val="1"/>
                <w:numId w:val="149"/>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Gaining experience in operating the connection controller of KRU-Mnemo type for rapid locking and monitoring.</w:t>
            </w:r>
          </w:p>
          <w:p w14:paraId="18EE1924" w14:textId="77777777" w:rsidR="00006621" w:rsidRPr="00BD295E" w:rsidRDefault="008A5057" w:rsidP="00FA6082">
            <w:pPr>
              <w:pStyle w:val="af3"/>
              <w:numPr>
                <w:ilvl w:val="1"/>
                <w:numId w:val="149"/>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Potential application as part of a digital substation.</w:t>
            </w:r>
          </w:p>
          <w:p w14:paraId="014731E7" w14:textId="77777777" w:rsidR="00006621" w:rsidRPr="00BD295E" w:rsidRDefault="008A5057" w:rsidP="00FA6082">
            <w:pPr>
              <w:pStyle w:val="af3"/>
              <w:numPr>
                <w:ilvl w:val="0"/>
                <w:numId w:val="149"/>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Proving the serviceability of the proposed design solutions:</w:t>
            </w:r>
          </w:p>
          <w:p w14:paraId="23522AC2" w14:textId="77777777" w:rsidR="00006621" w:rsidRPr="00BD295E" w:rsidRDefault="008A5057" w:rsidP="00FA6082">
            <w:pPr>
              <w:pStyle w:val="af3"/>
              <w:numPr>
                <w:ilvl w:val="1"/>
                <w:numId w:val="149"/>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Monitoring of the switched-on position of earthing blades through the design of inspection ports.</w:t>
            </w:r>
          </w:p>
          <w:p w14:paraId="223F2507" w14:textId="77777777" w:rsidR="00006621" w:rsidRPr="00BD295E" w:rsidRDefault="008A5057" w:rsidP="00FA6082">
            <w:pPr>
              <w:pStyle w:val="af3"/>
              <w:numPr>
                <w:ilvl w:val="1"/>
                <w:numId w:val="149"/>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Gaining experience in operating input voltage transformers on a hinged bracket.</w:t>
            </w:r>
          </w:p>
          <w:p w14:paraId="6B7C46A2" w14:textId="77777777" w:rsidR="00006621" w:rsidRPr="00BD295E" w:rsidRDefault="008A5057" w:rsidP="00E3510B">
            <w:pPr>
              <w:pStyle w:val="af3"/>
              <w:tabs>
                <w:tab w:val="left" w:pos="426"/>
              </w:tabs>
              <w:ind w:left="0"/>
              <w:jc w:val="both"/>
              <w:rPr>
                <w:rFonts w:ascii="Arial" w:hAnsi="Arial" w:cs="Arial"/>
                <w:strike/>
                <w:sz w:val="18"/>
                <w:szCs w:val="18"/>
                <w:lang w:val="en-US"/>
              </w:rPr>
            </w:pPr>
            <w:r w:rsidRPr="00BD295E">
              <w:rPr>
                <w:rFonts w:ascii="Arial" w:hAnsi="Arial" w:cs="Arial"/>
                <w:sz w:val="18"/>
                <w:szCs w:val="18"/>
                <w:lang w:val="en-US"/>
              </w:rPr>
              <w:t>3.3. Gaining experience in operating current transformers from the withdrawable element compartment.</w:t>
            </w:r>
          </w:p>
        </w:tc>
        <w:tc>
          <w:tcPr>
            <w:tcW w:w="3403" w:type="dxa"/>
            <w:shd w:val="clear" w:color="auto" w:fill="auto"/>
          </w:tcPr>
          <w:p w14:paraId="19AEA92E"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Ongoing pilot operation</w:t>
            </w:r>
          </w:p>
          <w:p w14:paraId="5C9D105E" w14:textId="77777777" w:rsidR="00006621" w:rsidRPr="00BD295E" w:rsidRDefault="008A5057" w:rsidP="00E3510B">
            <w:pPr>
              <w:tabs>
                <w:tab w:val="left" w:pos="1134"/>
              </w:tabs>
              <w:jc w:val="both"/>
              <w:rPr>
                <w:rFonts w:ascii="Arial" w:hAnsi="Arial" w:cs="Arial"/>
                <w:sz w:val="18"/>
                <w:szCs w:val="18"/>
                <w:lang w:val="en-US"/>
              </w:rPr>
            </w:pPr>
            <w:r w:rsidRPr="00BD295E">
              <w:rPr>
                <w:rFonts w:ascii="Arial" w:hAnsi="Arial" w:cs="Arial"/>
                <w:sz w:val="18"/>
                <w:szCs w:val="18"/>
                <w:lang w:val="en-US"/>
              </w:rPr>
              <w:t>In 2018, the key design concepts were approved, with the detailed design documentation pending review.</w:t>
            </w:r>
          </w:p>
        </w:tc>
      </w:tr>
      <w:tr w:rsidR="008A5057" w:rsidRPr="00BD295E" w14:paraId="3534B519" w14:textId="77777777" w:rsidTr="00E3510B">
        <w:tc>
          <w:tcPr>
            <w:tcW w:w="2835" w:type="dxa"/>
            <w:shd w:val="clear" w:color="auto" w:fill="auto"/>
          </w:tcPr>
          <w:p w14:paraId="113DAB93" w14:textId="77777777" w:rsidR="00006621" w:rsidRPr="00BD295E" w:rsidRDefault="008A5057" w:rsidP="00E3510B">
            <w:pPr>
              <w:pStyle w:val="af3"/>
              <w:ind w:left="0"/>
              <w:rPr>
                <w:rFonts w:ascii="Arial" w:hAnsi="Arial" w:cs="Arial"/>
                <w:sz w:val="18"/>
                <w:szCs w:val="18"/>
                <w:lang w:val="en-US"/>
              </w:rPr>
            </w:pPr>
            <w:r w:rsidRPr="00BD295E">
              <w:rPr>
                <w:rFonts w:ascii="Arial" w:hAnsi="Arial" w:cs="Arial"/>
                <w:sz w:val="18"/>
                <w:szCs w:val="18"/>
                <w:lang w:val="en-US"/>
              </w:rPr>
              <w:t>A billing metering kiosk of EPShR-(F)-2-2 type by PKP Energoplast, LLC</w:t>
            </w:r>
          </w:p>
        </w:tc>
        <w:tc>
          <w:tcPr>
            <w:tcW w:w="3402" w:type="dxa"/>
            <w:shd w:val="clear" w:color="auto" w:fill="auto"/>
          </w:tcPr>
          <w:p w14:paraId="05EBE173" w14:textId="77777777" w:rsidR="00006621" w:rsidRPr="00BD295E" w:rsidRDefault="008A5057" w:rsidP="00FA6082">
            <w:pPr>
              <w:pStyle w:val="af3"/>
              <w:numPr>
                <w:ilvl w:val="0"/>
                <w:numId w:val="150"/>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Gaining operational experience and assessment of the efficiency of the proposed equipment.</w:t>
            </w:r>
          </w:p>
          <w:p w14:paraId="4534B159" w14:textId="77777777" w:rsidR="00006621" w:rsidRPr="00BD295E" w:rsidRDefault="008A5057" w:rsidP="00FA6082">
            <w:pPr>
              <w:pStyle w:val="af3"/>
              <w:numPr>
                <w:ilvl w:val="0"/>
                <w:numId w:val="150"/>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Validation of parameters and functions of the equipment claimed by the equipment’s manufacturer’s such as:</w:t>
            </w:r>
          </w:p>
          <w:p w14:paraId="1184827E" w14:textId="77777777" w:rsidR="00006621" w:rsidRPr="00BD295E" w:rsidRDefault="008A5057" w:rsidP="00FA6082">
            <w:pPr>
              <w:pStyle w:val="af3"/>
              <w:numPr>
                <w:ilvl w:val="1"/>
                <w:numId w:val="150"/>
              </w:numPr>
              <w:tabs>
                <w:tab w:val="left" w:pos="448"/>
              </w:tabs>
              <w:ind w:left="0" w:firstLine="0"/>
              <w:jc w:val="both"/>
              <w:rPr>
                <w:rFonts w:ascii="Arial" w:hAnsi="Arial" w:cs="Arial"/>
                <w:sz w:val="18"/>
                <w:szCs w:val="18"/>
                <w:lang w:val="en-US"/>
              </w:rPr>
            </w:pPr>
            <w:r w:rsidRPr="00BD295E">
              <w:rPr>
                <w:rFonts w:ascii="Arial" w:hAnsi="Arial" w:cs="Arial"/>
                <w:sz w:val="18"/>
                <w:szCs w:val="18"/>
                <w:lang w:val="en-US"/>
              </w:rPr>
              <w:t>Special anti-vandal coating, which has better resistance to external influences of natural and man-made nature than metal coatings.</w:t>
            </w:r>
          </w:p>
          <w:p w14:paraId="238EE97A" w14:textId="77777777" w:rsidR="00006621" w:rsidRPr="00BD295E" w:rsidRDefault="008A5057" w:rsidP="00FA6082">
            <w:pPr>
              <w:pStyle w:val="af3"/>
              <w:numPr>
                <w:ilvl w:val="1"/>
                <w:numId w:val="150"/>
              </w:numPr>
              <w:tabs>
                <w:tab w:val="left" w:pos="448"/>
              </w:tabs>
              <w:ind w:left="0" w:firstLine="0"/>
              <w:jc w:val="both"/>
              <w:rPr>
                <w:rFonts w:ascii="Arial" w:hAnsi="Arial" w:cs="Arial"/>
                <w:sz w:val="18"/>
                <w:szCs w:val="18"/>
                <w:lang w:val="en-US"/>
              </w:rPr>
            </w:pPr>
            <w:r w:rsidRPr="00BD295E">
              <w:rPr>
                <w:rFonts w:ascii="Arial" w:hAnsi="Arial" w:cs="Arial"/>
                <w:sz w:val="18"/>
                <w:szCs w:val="18"/>
                <w:lang w:val="en-US"/>
              </w:rPr>
              <w:t>Low weight of the kiosk as compared to peer products.</w:t>
            </w:r>
          </w:p>
          <w:p w14:paraId="3C9FAEA9" w14:textId="77777777" w:rsidR="00006621" w:rsidRPr="00BD295E" w:rsidRDefault="008A5057" w:rsidP="00FA6082">
            <w:pPr>
              <w:pStyle w:val="af3"/>
              <w:numPr>
                <w:ilvl w:val="1"/>
                <w:numId w:val="150"/>
              </w:numPr>
              <w:tabs>
                <w:tab w:val="left" w:pos="448"/>
              </w:tabs>
              <w:ind w:left="0" w:firstLine="0"/>
              <w:jc w:val="both"/>
              <w:rPr>
                <w:rFonts w:ascii="Arial" w:hAnsi="Arial" w:cs="Arial"/>
                <w:sz w:val="18"/>
                <w:szCs w:val="18"/>
                <w:lang w:val="en-US"/>
              </w:rPr>
            </w:pPr>
            <w:r w:rsidRPr="00BD295E">
              <w:rPr>
                <w:rFonts w:ascii="Arial" w:hAnsi="Arial" w:cs="Arial"/>
                <w:sz w:val="18"/>
                <w:szCs w:val="18"/>
                <w:lang w:val="en-US"/>
              </w:rPr>
              <w:t>Easy to maintain.</w:t>
            </w:r>
          </w:p>
        </w:tc>
        <w:tc>
          <w:tcPr>
            <w:tcW w:w="3403" w:type="dxa"/>
            <w:shd w:val="clear" w:color="auto" w:fill="auto"/>
          </w:tcPr>
          <w:p w14:paraId="54FC4BDB"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Ongoing pilot operation</w:t>
            </w:r>
          </w:p>
          <w:p w14:paraId="6DF6EED1"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In 2018, a pilot operation contract was signed. The technical documents were approved. The kiosk was installed for pilot operation.</w:t>
            </w:r>
          </w:p>
        </w:tc>
      </w:tr>
      <w:tr w:rsidR="008A5057" w:rsidRPr="00BD295E" w14:paraId="1EC34D8B" w14:textId="77777777" w:rsidTr="00E3510B">
        <w:tc>
          <w:tcPr>
            <w:tcW w:w="2835" w:type="dxa"/>
            <w:shd w:val="clear" w:color="auto" w:fill="auto"/>
          </w:tcPr>
          <w:p w14:paraId="42144C96" w14:textId="77777777" w:rsidR="00006621" w:rsidRPr="00BD295E" w:rsidRDefault="008A5057" w:rsidP="00E3510B">
            <w:pPr>
              <w:pStyle w:val="af3"/>
              <w:ind w:left="0"/>
              <w:rPr>
                <w:rFonts w:ascii="Arial" w:hAnsi="Arial" w:cs="Arial"/>
                <w:sz w:val="18"/>
                <w:szCs w:val="18"/>
                <w:lang w:val="en-US"/>
              </w:rPr>
            </w:pPr>
            <w:r w:rsidRPr="00BD295E">
              <w:rPr>
                <w:rFonts w:ascii="Arial" w:hAnsi="Arial" w:cs="Arial"/>
                <w:sz w:val="18"/>
                <w:szCs w:val="18"/>
                <w:lang w:val="en-US"/>
              </w:rPr>
              <w:t>Vacuum load breaker VVnR</w:t>
            </w:r>
            <w:r w:rsidRPr="00BD295E">
              <w:rPr>
                <w:rFonts w:ascii="Cambria Math" w:hAnsi="Cambria Math" w:cs="Cambria Math"/>
                <w:sz w:val="18"/>
                <w:szCs w:val="18"/>
                <w:lang w:val="en-US"/>
              </w:rPr>
              <w:t>‐</w:t>
            </w:r>
            <w:r w:rsidRPr="00BD295E">
              <w:rPr>
                <w:rFonts w:ascii="Arial" w:hAnsi="Arial" w:cs="Arial"/>
                <w:sz w:val="18"/>
                <w:szCs w:val="18"/>
                <w:lang w:val="en-US"/>
              </w:rPr>
              <w:t>10/630</w:t>
            </w:r>
            <w:r w:rsidRPr="00BD295E">
              <w:rPr>
                <w:rFonts w:ascii="Cambria Math" w:hAnsi="Cambria Math" w:cs="Cambria Math"/>
                <w:sz w:val="18"/>
                <w:szCs w:val="18"/>
                <w:lang w:val="en-US"/>
              </w:rPr>
              <w:t>‐</w:t>
            </w:r>
            <w:r w:rsidRPr="00BD295E">
              <w:rPr>
                <w:rFonts w:ascii="Arial" w:hAnsi="Arial" w:cs="Arial"/>
                <w:sz w:val="18"/>
                <w:szCs w:val="18"/>
                <w:lang w:val="en-US"/>
              </w:rPr>
              <w:t>20 U2 made by Elektroapparatny Zavod, JSC</w:t>
            </w:r>
          </w:p>
        </w:tc>
        <w:tc>
          <w:tcPr>
            <w:tcW w:w="3402" w:type="dxa"/>
            <w:shd w:val="clear" w:color="auto" w:fill="auto"/>
          </w:tcPr>
          <w:p w14:paraId="1FCADB6E" w14:textId="77777777" w:rsidR="00006621" w:rsidRPr="00BD295E" w:rsidRDefault="008A5057" w:rsidP="00FA6082">
            <w:pPr>
              <w:pStyle w:val="af3"/>
              <w:numPr>
                <w:ilvl w:val="0"/>
                <w:numId w:val="151"/>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Gaining operational experience and assessment of the efficiency of the proposed equipment.</w:t>
            </w:r>
          </w:p>
          <w:p w14:paraId="4450C2A2" w14:textId="77777777" w:rsidR="00006621" w:rsidRPr="00BD295E" w:rsidRDefault="008A5057" w:rsidP="00FA6082">
            <w:pPr>
              <w:pStyle w:val="af3"/>
              <w:numPr>
                <w:ilvl w:val="0"/>
                <w:numId w:val="151"/>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Validation of parameters and functions of the equipment claimed by the equipment’s manufacturer’s such as:</w:t>
            </w:r>
          </w:p>
          <w:p w14:paraId="6947991D" w14:textId="77777777" w:rsidR="00006621" w:rsidRPr="00BD295E" w:rsidRDefault="008A5057" w:rsidP="00FA6082">
            <w:pPr>
              <w:pStyle w:val="af3"/>
              <w:numPr>
                <w:ilvl w:val="1"/>
                <w:numId w:val="151"/>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Combining the functions of a switch and a disconnector.</w:t>
            </w:r>
          </w:p>
          <w:p w14:paraId="7AC9ECAF" w14:textId="77777777" w:rsidR="00006621" w:rsidRPr="00BD295E" w:rsidRDefault="008A5057" w:rsidP="00FA6082">
            <w:pPr>
              <w:pStyle w:val="af3"/>
              <w:numPr>
                <w:ilvl w:val="1"/>
                <w:numId w:val="151"/>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High safety.</w:t>
            </w:r>
          </w:p>
          <w:p w14:paraId="2F89FF25" w14:textId="77777777" w:rsidR="00006621" w:rsidRPr="00BD295E" w:rsidRDefault="008A5057" w:rsidP="00FA6082">
            <w:pPr>
              <w:pStyle w:val="af3"/>
              <w:numPr>
                <w:ilvl w:val="1"/>
                <w:numId w:val="151"/>
              </w:numPr>
              <w:tabs>
                <w:tab w:val="left" w:pos="426"/>
              </w:tabs>
              <w:ind w:left="0" w:firstLine="0"/>
              <w:jc w:val="both"/>
              <w:rPr>
                <w:rFonts w:ascii="Arial" w:hAnsi="Arial" w:cs="Arial"/>
                <w:sz w:val="18"/>
                <w:szCs w:val="18"/>
                <w:lang w:val="en-US"/>
              </w:rPr>
            </w:pPr>
            <w:r w:rsidRPr="00BD295E">
              <w:rPr>
                <w:rFonts w:ascii="Arial" w:hAnsi="Arial" w:cs="Arial"/>
                <w:sz w:val="18"/>
                <w:szCs w:val="18"/>
                <w:lang w:val="en-US"/>
              </w:rPr>
              <w:t>Easy to maintain.</w:t>
            </w:r>
          </w:p>
        </w:tc>
        <w:tc>
          <w:tcPr>
            <w:tcW w:w="3403" w:type="dxa"/>
            <w:shd w:val="clear" w:color="auto" w:fill="auto"/>
          </w:tcPr>
          <w:p w14:paraId="5C0DF4CC"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Ongoing pilot operation</w:t>
            </w:r>
          </w:p>
          <w:p w14:paraId="1E752575"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The design terms of reference were approved and a pilot operation contract was signed in 2018.</w:t>
            </w:r>
          </w:p>
          <w:p w14:paraId="0F2AA9D6" w14:textId="77777777" w:rsidR="00006621" w:rsidRPr="00BD295E" w:rsidRDefault="008A5057" w:rsidP="00E3510B">
            <w:pPr>
              <w:tabs>
                <w:tab w:val="left" w:pos="1134"/>
              </w:tabs>
              <w:jc w:val="both"/>
              <w:rPr>
                <w:rFonts w:ascii="Arial" w:hAnsi="Arial" w:cs="Arial"/>
                <w:sz w:val="18"/>
                <w:szCs w:val="18"/>
                <w:lang w:val="en-US"/>
              </w:rPr>
            </w:pPr>
            <w:r w:rsidRPr="00BD295E">
              <w:rPr>
                <w:rFonts w:ascii="Arial" w:hAnsi="Arial" w:cs="Arial"/>
                <w:sz w:val="18"/>
                <w:szCs w:val="18"/>
                <w:lang w:val="en-US"/>
              </w:rPr>
              <w:t>Detail design documentation was approved.</w:t>
            </w:r>
          </w:p>
          <w:p w14:paraId="72C23049" w14:textId="77777777" w:rsidR="00006621" w:rsidRPr="00BD295E" w:rsidRDefault="008A5057" w:rsidP="00E3510B">
            <w:pPr>
              <w:tabs>
                <w:tab w:val="left" w:pos="1134"/>
              </w:tabs>
              <w:jc w:val="both"/>
              <w:rPr>
                <w:rFonts w:ascii="Arial" w:hAnsi="Arial" w:cs="Arial"/>
                <w:sz w:val="18"/>
                <w:szCs w:val="18"/>
                <w:lang w:val="en-US"/>
              </w:rPr>
            </w:pPr>
            <w:r w:rsidRPr="00BD295E">
              <w:rPr>
                <w:rFonts w:ascii="Arial" w:hAnsi="Arial" w:cs="Arial"/>
                <w:sz w:val="18"/>
                <w:szCs w:val="18"/>
                <w:lang w:val="en-US"/>
              </w:rPr>
              <w:t>Design and cost estimate documentation is under review.</w:t>
            </w:r>
          </w:p>
        </w:tc>
      </w:tr>
      <w:tr w:rsidR="008A5057" w:rsidRPr="00BD295E" w14:paraId="5852A8B2" w14:textId="77777777" w:rsidTr="00E3510B">
        <w:tc>
          <w:tcPr>
            <w:tcW w:w="2835" w:type="dxa"/>
            <w:shd w:val="clear" w:color="auto" w:fill="auto"/>
          </w:tcPr>
          <w:p w14:paraId="45828C10" w14:textId="77777777" w:rsidR="00006621" w:rsidRPr="00BD295E" w:rsidRDefault="008A5057" w:rsidP="00E3510B">
            <w:pPr>
              <w:pStyle w:val="af3"/>
              <w:ind w:left="0"/>
              <w:rPr>
                <w:rFonts w:ascii="Arial" w:hAnsi="Arial" w:cs="Arial"/>
                <w:sz w:val="18"/>
                <w:szCs w:val="18"/>
                <w:lang w:val="en-US"/>
              </w:rPr>
            </w:pPr>
            <w:r w:rsidRPr="00BD295E">
              <w:rPr>
                <w:rFonts w:ascii="Arial" w:hAnsi="Arial" w:cs="Arial"/>
                <w:sz w:val="18"/>
                <w:szCs w:val="18"/>
                <w:lang w:val="en-US"/>
              </w:rPr>
              <w:t xml:space="preserve">Optical combined 110 kV current and voltage transducers by Profotek, JSC. </w:t>
            </w:r>
          </w:p>
        </w:tc>
        <w:tc>
          <w:tcPr>
            <w:tcW w:w="3402" w:type="dxa"/>
            <w:shd w:val="clear" w:color="auto" w:fill="auto"/>
          </w:tcPr>
          <w:p w14:paraId="3C440EFD" w14:textId="77777777" w:rsidR="00006621" w:rsidRPr="00BD295E" w:rsidRDefault="008A5057" w:rsidP="00FA6082">
            <w:pPr>
              <w:pStyle w:val="af3"/>
              <w:numPr>
                <w:ilvl w:val="0"/>
                <w:numId w:val="152"/>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Gaining operational experience and assessment of the efficiency of the proposed equipment.</w:t>
            </w:r>
          </w:p>
          <w:p w14:paraId="19FFDD33" w14:textId="77777777" w:rsidR="00006621" w:rsidRPr="00BD295E" w:rsidRDefault="008A5057" w:rsidP="00FA6082">
            <w:pPr>
              <w:pStyle w:val="af3"/>
              <w:numPr>
                <w:ilvl w:val="0"/>
                <w:numId w:val="152"/>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 xml:space="preserve">Improving the quality of electricity billing metering at facilities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07D5A67A" w14:textId="77777777" w:rsidR="00006621" w:rsidRPr="00BD295E" w:rsidRDefault="008A5057" w:rsidP="00FA6082">
            <w:pPr>
              <w:pStyle w:val="af3"/>
              <w:numPr>
                <w:ilvl w:val="0"/>
                <w:numId w:val="152"/>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Analyzing the performance of combined optical current and voltage transformers, relay protection devices for transfer to digital substations.</w:t>
            </w:r>
          </w:p>
          <w:p w14:paraId="2A604B99" w14:textId="77777777" w:rsidR="00006621" w:rsidRPr="00BD295E" w:rsidRDefault="008A5057" w:rsidP="00FA6082">
            <w:pPr>
              <w:pStyle w:val="af3"/>
              <w:numPr>
                <w:ilvl w:val="0"/>
                <w:numId w:val="152"/>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Analyzing compliance of the parameters of the combined optical current and voltage measuring transformers installed for the pilot operation with the requirements of relay protection device manufacturers.</w:t>
            </w:r>
          </w:p>
          <w:p w14:paraId="4B40E5AD" w14:textId="77777777" w:rsidR="00006621" w:rsidRPr="00BD295E" w:rsidRDefault="008A5057" w:rsidP="00FA6082">
            <w:pPr>
              <w:pStyle w:val="af3"/>
              <w:numPr>
                <w:ilvl w:val="0"/>
                <w:numId w:val="152"/>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 xml:space="preserve">Analyzing the performance of combined optical current and voltage measuring transformers, and relay protection devices for potential application of this solution as a standard solution across facilities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13B8076D" w14:textId="77777777" w:rsidR="00006621" w:rsidRPr="00BD295E" w:rsidRDefault="008A5057" w:rsidP="00FA6082">
            <w:pPr>
              <w:pStyle w:val="af3"/>
              <w:numPr>
                <w:ilvl w:val="0"/>
                <w:numId w:val="152"/>
              </w:numPr>
              <w:tabs>
                <w:tab w:val="left" w:pos="307"/>
              </w:tabs>
              <w:ind w:left="0" w:firstLine="0"/>
              <w:jc w:val="both"/>
              <w:rPr>
                <w:rFonts w:ascii="Arial" w:hAnsi="Arial" w:cs="Arial"/>
                <w:sz w:val="18"/>
                <w:szCs w:val="18"/>
                <w:lang w:val="en-US"/>
              </w:rPr>
            </w:pPr>
            <w:r w:rsidRPr="00BD295E">
              <w:rPr>
                <w:rFonts w:ascii="Arial" w:hAnsi="Arial" w:cs="Arial"/>
                <w:sz w:val="18"/>
                <w:szCs w:val="18"/>
                <w:lang w:val="en-US"/>
              </w:rPr>
              <w:t>Validation of parameters and functions of the equipment claimed by the equipment’s manufacturer’s such as:</w:t>
            </w:r>
          </w:p>
          <w:p w14:paraId="16019174" w14:textId="77777777" w:rsidR="00006621" w:rsidRPr="00BD295E" w:rsidRDefault="008A5057" w:rsidP="00FA6082">
            <w:pPr>
              <w:pStyle w:val="af3"/>
              <w:numPr>
                <w:ilvl w:val="1"/>
                <w:numId w:val="152"/>
              </w:numPr>
              <w:tabs>
                <w:tab w:val="left" w:pos="448"/>
              </w:tabs>
              <w:ind w:left="0" w:firstLine="0"/>
              <w:jc w:val="both"/>
              <w:rPr>
                <w:rFonts w:ascii="Arial" w:hAnsi="Arial" w:cs="Arial"/>
                <w:sz w:val="18"/>
                <w:szCs w:val="18"/>
                <w:lang w:val="en-US"/>
              </w:rPr>
            </w:pPr>
            <w:r w:rsidRPr="00BD295E">
              <w:rPr>
                <w:rFonts w:ascii="Arial" w:hAnsi="Arial" w:cs="Arial"/>
                <w:sz w:val="18"/>
                <w:szCs w:val="18"/>
                <w:lang w:val="en-US"/>
              </w:rPr>
              <w:t>Full galvanic isolation.</w:t>
            </w:r>
          </w:p>
          <w:p w14:paraId="5535D31A" w14:textId="77777777" w:rsidR="00006621" w:rsidRPr="00BD295E" w:rsidRDefault="008A5057" w:rsidP="00FA6082">
            <w:pPr>
              <w:pStyle w:val="af3"/>
              <w:numPr>
                <w:ilvl w:val="1"/>
                <w:numId w:val="152"/>
              </w:numPr>
              <w:tabs>
                <w:tab w:val="left" w:pos="448"/>
              </w:tabs>
              <w:ind w:left="0" w:firstLine="0"/>
              <w:jc w:val="both"/>
              <w:rPr>
                <w:rFonts w:ascii="Arial" w:hAnsi="Arial" w:cs="Arial"/>
                <w:sz w:val="18"/>
                <w:szCs w:val="18"/>
                <w:lang w:val="en-US"/>
              </w:rPr>
            </w:pPr>
            <w:r w:rsidRPr="00BD295E">
              <w:rPr>
                <w:rFonts w:ascii="Arial" w:hAnsi="Arial" w:cs="Arial"/>
                <w:sz w:val="18"/>
                <w:szCs w:val="18"/>
                <w:lang w:val="en-US"/>
              </w:rPr>
              <w:t>High quality of performed measurements, including at extremely low values and values with high rate of change (absence of ferroresonance).</w:t>
            </w:r>
          </w:p>
          <w:p w14:paraId="0CF05C9F" w14:textId="77777777" w:rsidR="00006621" w:rsidRPr="00BD295E" w:rsidRDefault="008A5057" w:rsidP="00FA6082">
            <w:pPr>
              <w:pStyle w:val="af3"/>
              <w:numPr>
                <w:ilvl w:val="1"/>
                <w:numId w:val="152"/>
              </w:numPr>
              <w:tabs>
                <w:tab w:val="left" w:pos="448"/>
              </w:tabs>
              <w:ind w:left="0" w:firstLine="0"/>
              <w:jc w:val="both"/>
              <w:rPr>
                <w:rFonts w:ascii="Arial" w:hAnsi="Arial" w:cs="Arial"/>
                <w:sz w:val="18"/>
                <w:szCs w:val="18"/>
                <w:lang w:val="en-US"/>
              </w:rPr>
            </w:pPr>
            <w:r w:rsidRPr="00BD295E">
              <w:rPr>
                <w:rFonts w:ascii="Arial" w:hAnsi="Arial" w:cs="Arial"/>
                <w:sz w:val="18"/>
                <w:szCs w:val="18"/>
                <w:lang w:val="en-US"/>
              </w:rPr>
              <w:t xml:space="preserve">High operational safety. </w:t>
            </w:r>
          </w:p>
          <w:p w14:paraId="7C1E00DF" w14:textId="77777777" w:rsidR="00006621" w:rsidRPr="00BD295E" w:rsidRDefault="008A5057" w:rsidP="00FA6082">
            <w:pPr>
              <w:pStyle w:val="af3"/>
              <w:numPr>
                <w:ilvl w:val="1"/>
                <w:numId w:val="152"/>
              </w:numPr>
              <w:tabs>
                <w:tab w:val="left" w:pos="448"/>
              </w:tabs>
              <w:ind w:left="0" w:firstLine="0"/>
              <w:jc w:val="both"/>
              <w:rPr>
                <w:rFonts w:ascii="Arial" w:hAnsi="Arial" w:cs="Arial"/>
                <w:sz w:val="18"/>
                <w:szCs w:val="18"/>
                <w:lang w:val="en-US"/>
              </w:rPr>
            </w:pPr>
            <w:r w:rsidRPr="00BD295E">
              <w:rPr>
                <w:rFonts w:ascii="Arial" w:hAnsi="Arial" w:cs="Arial"/>
                <w:sz w:val="18"/>
                <w:szCs w:val="18"/>
                <w:lang w:val="en-US"/>
              </w:rPr>
              <w:t>Digital signal processing in accordance with IEC 61850.</w:t>
            </w:r>
          </w:p>
        </w:tc>
        <w:tc>
          <w:tcPr>
            <w:tcW w:w="3403" w:type="dxa"/>
            <w:shd w:val="clear" w:color="auto" w:fill="auto"/>
          </w:tcPr>
          <w:p w14:paraId="2614654C"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Ongoing pilot operation</w:t>
            </w:r>
          </w:p>
          <w:p w14:paraId="777ED8DE" w14:textId="77777777" w:rsidR="00006621" w:rsidRPr="00BD295E" w:rsidRDefault="008A5057" w:rsidP="00E3510B">
            <w:pPr>
              <w:pStyle w:val="af3"/>
              <w:tabs>
                <w:tab w:val="left" w:pos="284"/>
                <w:tab w:val="left" w:pos="1134"/>
              </w:tabs>
              <w:ind w:left="0"/>
              <w:jc w:val="both"/>
              <w:rPr>
                <w:rFonts w:ascii="Arial" w:hAnsi="Arial" w:cs="Arial"/>
                <w:sz w:val="18"/>
                <w:szCs w:val="18"/>
                <w:lang w:val="en-US"/>
              </w:rPr>
            </w:pPr>
            <w:r w:rsidRPr="00BD295E">
              <w:rPr>
                <w:rFonts w:ascii="Arial" w:hAnsi="Arial" w:cs="Arial"/>
                <w:sz w:val="18"/>
                <w:szCs w:val="18"/>
                <w:lang w:val="en-US"/>
              </w:rPr>
              <w:t>The design terms of reference were approved and a pilot operation contract was signed in 2018.</w:t>
            </w:r>
          </w:p>
        </w:tc>
      </w:tr>
    </w:tbl>
    <w:p w14:paraId="761E8BCD" w14:textId="77777777" w:rsidR="00006621" w:rsidRPr="00BD295E" w:rsidRDefault="00006621" w:rsidP="00006621">
      <w:pPr>
        <w:rPr>
          <w:rFonts w:ascii="Arial" w:hAnsi="Arial" w:cs="Arial"/>
          <w:sz w:val="18"/>
          <w:szCs w:val="18"/>
          <w:lang w:val="en-US"/>
        </w:rPr>
      </w:pPr>
    </w:p>
    <w:p w14:paraId="0CE64132" w14:textId="77777777" w:rsidR="00006621" w:rsidRPr="00BD295E" w:rsidRDefault="008A5057" w:rsidP="00CA2271">
      <w:pPr>
        <w:pStyle w:val="af3"/>
        <w:keepNext/>
        <w:numPr>
          <w:ilvl w:val="2"/>
          <w:numId w:val="104"/>
        </w:numPr>
        <w:tabs>
          <w:tab w:val="left" w:pos="1276"/>
          <w:tab w:val="left" w:pos="3119"/>
        </w:tabs>
        <w:spacing w:line="360" w:lineRule="auto"/>
        <w:jc w:val="both"/>
        <w:outlineLvl w:val="2"/>
        <w:rPr>
          <w:rFonts w:ascii="Arial" w:hAnsi="Arial" w:cs="Arial"/>
          <w:b/>
          <w:sz w:val="18"/>
          <w:szCs w:val="18"/>
          <w:lang w:val="en-US"/>
        </w:rPr>
      </w:pPr>
      <w:bookmarkStart w:id="330" w:name="_Toc473737617"/>
      <w:bookmarkStart w:id="331" w:name="_Toc473898015"/>
      <w:bookmarkStart w:id="332" w:name="_Toc473898440"/>
      <w:bookmarkStart w:id="333" w:name="_Toc473904712"/>
      <w:bookmarkStart w:id="334" w:name="_Toc4748645"/>
      <w:bookmarkStart w:id="335" w:name="_Toc5027016"/>
      <w:bookmarkStart w:id="336" w:name="_Toc5105975"/>
      <w:bookmarkStart w:id="337" w:name="_Toc5203828"/>
      <w:bookmarkStart w:id="338" w:name="_Toc6230925"/>
      <w:bookmarkStart w:id="339" w:name="_Toc7172573"/>
      <w:bookmarkStart w:id="340" w:name="_Toc7172619"/>
      <w:bookmarkStart w:id="341" w:name="_Toc95855294"/>
      <w:bookmarkStart w:id="342" w:name="_Toc95935353"/>
      <w:r w:rsidRPr="00BD295E">
        <w:rPr>
          <w:rFonts w:ascii="Arial" w:hAnsi="Arial" w:cs="Arial"/>
          <w:b/>
          <w:sz w:val="18"/>
          <w:szCs w:val="18"/>
          <w:lang w:val="en-US"/>
        </w:rPr>
        <w:t>Innovation and R&amp;D</w:t>
      </w:r>
      <w:bookmarkEnd w:id="330"/>
      <w:bookmarkEnd w:id="331"/>
      <w:bookmarkEnd w:id="332"/>
      <w:bookmarkEnd w:id="333"/>
      <w:bookmarkEnd w:id="334"/>
      <w:bookmarkEnd w:id="335"/>
      <w:bookmarkEnd w:id="336"/>
      <w:bookmarkEnd w:id="337"/>
      <w:bookmarkEnd w:id="338"/>
      <w:bookmarkEnd w:id="339"/>
      <w:bookmarkEnd w:id="340"/>
      <w:bookmarkEnd w:id="341"/>
      <w:bookmarkEnd w:id="342"/>
    </w:p>
    <w:p w14:paraId="785FC93E" w14:textId="77777777" w:rsidR="003D49A2" w:rsidRPr="00BD295E" w:rsidRDefault="003D49A2" w:rsidP="003D49A2">
      <w:pPr>
        <w:jc w:val="both"/>
        <w:rPr>
          <w:rFonts w:ascii="Arial" w:hAnsi="Arial" w:cs="Arial"/>
          <w:sz w:val="18"/>
          <w:szCs w:val="18"/>
          <w:lang w:val="en-US"/>
        </w:rPr>
      </w:pPr>
    </w:p>
    <w:p w14:paraId="0DB84491" w14:textId="77777777" w:rsidR="002D2998"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 xml:space="preserve">By its Resolution (Minutes No. 31 of the meeting of Lenenergo’s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April 19, 2017),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approved the Innovative Development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2016–2020 and onwards until 2025.</w:t>
      </w:r>
    </w:p>
    <w:p w14:paraId="712B17A9" w14:textId="655D2A33" w:rsidR="002D2998"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 xml:space="preserve">The goal of the Program for the medium-term and long-term until 2020 is to transition to next-generation electric grids that would convey fundamentally new reliability, efficiency, accessibility, controllability, and customer centricity parameters </w:t>
      </w:r>
      <w:r w:rsidR="002C3947" w:rsidRPr="00BD295E">
        <w:rPr>
          <w:rFonts w:ascii="Arial" w:hAnsi="Arial" w:cs="Arial"/>
          <w:sz w:val="18"/>
          <w:szCs w:val="18"/>
          <w:lang w:val="en-US"/>
        </w:rPr>
        <w:t>to the</w:t>
      </w:r>
      <w:r w:rsidRPr="00BD295E">
        <w:rPr>
          <w:rFonts w:ascii="Arial" w:hAnsi="Arial" w:cs="Arial"/>
          <w:sz w:val="18"/>
          <w:szCs w:val="18"/>
          <w:lang w:val="en-US"/>
        </w:rPr>
        <w:t xml:space="preserve"> entire Russian electric grid sector. </w:t>
      </w:r>
    </w:p>
    <w:p w14:paraId="1D3795F3" w14:textId="77777777" w:rsidR="002D2998" w:rsidRPr="00BD295E" w:rsidRDefault="008A5057" w:rsidP="002D2998">
      <w:pPr>
        <w:ind w:firstLine="709"/>
        <w:jc w:val="both"/>
        <w:rPr>
          <w:rFonts w:ascii="Arial" w:hAnsi="Arial" w:cs="Arial"/>
          <w:sz w:val="18"/>
          <w:szCs w:val="18"/>
          <w:lang w:val="en-US"/>
        </w:rPr>
      </w:pPr>
      <w:r w:rsidRPr="00BD295E">
        <w:rPr>
          <w:rFonts w:ascii="Arial" w:hAnsi="Arial" w:cs="Arial"/>
          <w:sz w:val="18"/>
          <w:szCs w:val="18"/>
          <w:lang w:val="en-US"/>
        </w:rPr>
        <w:t>The program’s objectives:</w:t>
      </w:r>
    </w:p>
    <w:p w14:paraId="78803FF3"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Achieve significant positive effects from the program’s implementation;</w:t>
      </w:r>
    </w:p>
    <w:p w14:paraId="6B2241B7"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Improve the efficiency of key business processes;</w:t>
      </w:r>
    </w:p>
    <w:p w14:paraId="1C3FEDD0"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Increase labor productivity</w:t>
      </w:r>
    </w:p>
    <w:p w14:paraId="5B93006E"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Increase the Company’s competitiveness and enhance its investment case and value;</w:t>
      </w:r>
    </w:p>
    <w:p w14:paraId="31845AD2"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Unlock innovation opportunities to the maximum when preparing and making management decisions within the Company;</w:t>
      </w:r>
    </w:p>
    <w:p w14:paraId="3D9D027B"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Build a corporate governance system focused on the development and adoption of new technologies, and innovative products and services;</w:t>
      </w:r>
    </w:p>
    <w:p w14:paraId="4B74FA81"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Increase energy efficiency through innovations;</w:t>
      </w:r>
    </w:p>
    <w:p w14:paraId="61BB0E30"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 xml:space="preserve">Develop the talent pool at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601C33C8"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 xml:space="preserve">Ensure the necessary level of protection of intellectual property at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34FB7286"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 xml:space="preserve">Provide an information support system for the management of innovation processes and a system for monitoring the promotion of innovations at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D65439D"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Promote innovative projects related to energy saving, energy efficiency, cost effectiveness, and electricity supply reliability in the distribution electric grid sector;</w:t>
      </w:r>
    </w:p>
    <w:p w14:paraId="20DFBC13" w14:textId="77777777" w:rsidR="002D2998" w:rsidRPr="00BD295E" w:rsidRDefault="008A5057" w:rsidP="002D2998">
      <w:pPr>
        <w:pStyle w:val="af3"/>
        <w:numPr>
          <w:ilvl w:val="0"/>
          <w:numId w:val="75"/>
        </w:numPr>
        <w:ind w:left="993" w:hanging="284"/>
        <w:contextualSpacing w:val="0"/>
        <w:jc w:val="both"/>
        <w:rPr>
          <w:rFonts w:ascii="Arial" w:hAnsi="Arial" w:cs="Arial"/>
          <w:sz w:val="18"/>
          <w:szCs w:val="18"/>
          <w:lang w:val="en-US"/>
        </w:rPr>
      </w:pPr>
      <w:r w:rsidRPr="00BD295E">
        <w:rPr>
          <w:rFonts w:ascii="Arial" w:hAnsi="Arial" w:cs="Arial"/>
          <w:sz w:val="18"/>
          <w:szCs w:val="18"/>
          <w:lang w:val="en-US"/>
        </w:rPr>
        <w:t>Optimize operating costs and cut down the Company’s expenses.</w:t>
      </w:r>
    </w:p>
    <w:p w14:paraId="423ED6CE" w14:textId="77777777" w:rsidR="002D2998" w:rsidRPr="00BD295E" w:rsidRDefault="002D2998" w:rsidP="002D2998">
      <w:pPr>
        <w:suppressAutoHyphens/>
        <w:ind w:firstLine="709"/>
        <w:contextualSpacing/>
        <w:rPr>
          <w:rFonts w:ascii="Arial" w:hAnsi="Arial" w:cs="Arial"/>
          <w:sz w:val="18"/>
          <w:szCs w:val="18"/>
          <w:lang w:val="en-US"/>
        </w:rPr>
      </w:pPr>
    </w:p>
    <w:p w14:paraId="7FC3759F" w14:textId="77777777" w:rsidR="002D2998" w:rsidRPr="00BD295E" w:rsidRDefault="008A5057" w:rsidP="002D2998">
      <w:pPr>
        <w:suppressAutoHyphens/>
        <w:ind w:firstLine="709"/>
        <w:rPr>
          <w:rFonts w:ascii="Arial" w:hAnsi="Arial" w:cs="Arial"/>
          <w:b/>
          <w:sz w:val="18"/>
          <w:szCs w:val="18"/>
          <w:lang w:val="en-US"/>
        </w:rPr>
      </w:pPr>
      <w:r w:rsidRPr="00BD295E">
        <w:rPr>
          <w:rFonts w:ascii="Arial" w:hAnsi="Arial" w:cs="Arial"/>
          <w:b/>
          <w:sz w:val="18"/>
          <w:szCs w:val="18"/>
          <w:lang w:val="en-US"/>
        </w:rPr>
        <w:t>Key areas of the Company’s innovative development</w:t>
      </w:r>
    </w:p>
    <w:p w14:paraId="08845E55" w14:textId="77777777" w:rsidR="002D2998" w:rsidRPr="00BD295E" w:rsidRDefault="008A5057" w:rsidP="002D2998">
      <w:pPr>
        <w:tabs>
          <w:tab w:val="left" w:pos="993"/>
        </w:tabs>
        <w:suppressAutoHyphens/>
        <w:ind w:firstLine="709"/>
        <w:contextualSpacing/>
        <w:rPr>
          <w:rFonts w:ascii="Arial" w:hAnsi="Arial" w:cs="Arial"/>
          <w:sz w:val="18"/>
          <w:szCs w:val="18"/>
          <w:lang w:val="en-US"/>
        </w:rPr>
      </w:pPr>
      <w:r w:rsidRPr="00BD295E">
        <w:rPr>
          <w:rFonts w:ascii="Arial" w:hAnsi="Arial" w:cs="Arial"/>
          <w:sz w:val="18"/>
          <w:szCs w:val="18"/>
          <w:lang w:val="en-US"/>
        </w:rPr>
        <w:t>In innovative technologies:</w:t>
      </w:r>
    </w:p>
    <w:p w14:paraId="5923A93C" w14:textId="77777777" w:rsidR="002D2998" w:rsidRPr="00BD295E" w:rsidRDefault="008A5057" w:rsidP="002D2998">
      <w:pPr>
        <w:pStyle w:val="af3"/>
        <w:numPr>
          <w:ilvl w:val="0"/>
          <w:numId w:val="79"/>
        </w:numPr>
        <w:tabs>
          <w:tab w:val="left" w:pos="993"/>
        </w:tabs>
        <w:suppressAutoHyphens/>
        <w:ind w:left="0" w:firstLine="709"/>
        <w:jc w:val="both"/>
        <w:rPr>
          <w:rFonts w:ascii="Arial" w:hAnsi="Arial" w:cs="Arial"/>
          <w:sz w:val="18"/>
          <w:szCs w:val="18"/>
          <w:lang w:val="en-US"/>
        </w:rPr>
      </w:pPr>
      <w:r w:rsidRPr="00BD295E">
        <w:rPr>
          <w:rFonts w:ascii="Arial" w:hAnsi="Arial" w:cs="Arial"/>
          <w:sz w:val="18"/>
          <w:szCs w:val="18"/>
          <w:lang w:val="en-US"/>
        </w:rPr>
        <w:t>New technologies and solutions– creating new types of materials and equipment involved in key business processes of the Company.</w:t>
      </w:r>
    </w:p>
    <w:p w14:paraId="48205224" w14:textId="77777777" w:rsidR="002D2998" w:rsidRPr="00BD295E" w:rsidRDefault="008A5057" w:rsidP="002D2998">
      <w:pPr>
        <w:pStyle w:val="af3"/>
        <w:numPr>
          <w:ilvl w:val="0"/>
          <w:numId w:val="79"/>
        </w:numPr>
        <w:tabs>
          <w:tab w:val="left" w:pos="993"/>
        </w:tabs>
        <w:suppressAutoHyphens/>
        <w:ind w:left="0" w:firstLine="709"/>
        <w:jc w:val="both"/>
        <w:rPr>
          <w:rFonts w:ascii="Arial" w:hAnsi="Arial" w:cs="Arial"/>
          <w:sz w:val="18"/>
          <w:szCs w:val="18"/>
          <w:lang w:val="en-US"/>
        </w:rPr>
      </w:pPr>
      <w:r w:rsidRPr="00BD295E">
        <w:rPr>
          <w:rFonts w:ascii="Arial" w:hAnsi="Arial" w:cs="Arial"/>
          <w:sz w:val="18"/>
          <w:szCs w:val="18"/>
          <w:lang w:val="en-US"/>
        </w:rPr>
        <w:t>Digitizing control and operating processes – transition from analog to digital control in relay protection and emergency control automatics, automated control of operating processes, electricity metering and communications (application of digital measuring transformers,  phasor measurement units, digital network equipment, transition to digital substations, etc.); digital modeling and design; digitization of production asset management; implementation of digital process monitoring systems at electric grids and substations.</w:t>
      </w:r>
    </w:p>
    <w:p w14:paraId="1AFC05C6" w14:textId="77777777" w:rsidR="002D2998" w:rsidRPr="00BD295E" w:rsidRDefault="008A5057" w:rsidP="002D2998">
      <w:pPr>
        <w:pStyle w:val="af3"/>
        <w:numPr>
          <w:ilvl w:val="0"/>
          <w:numId w:val="79"/>
        </w:numPr>
        <w:tabs>
          <w:tab w:val="left" w:pos="993"/>
        </w:tabs>
        <w:suppressAutoHyphens/>
        <w:ind w:left="0" w:firstLine="709"/>
        <w:jc w:val="both"/>
        <w:rPr>
          <w:rFonts w:ascii="Arial" w:hAnsi="Arial" w:cs="Arial"/>
          <w:sz w:val="18"/>
          <w:szCs w:val="18"/>
          <w:lang w:val="en-US"/>
        </w:rPr>
      </w:pPr>
      <w:r w:rsidRPr="00BD295E">
        <w:rPr>
          <w:rFonts w:ascii="Arial" w:hAnsi="Arial" w:cs="Arial"/>
          <w:sz w:val="18"/>
          <w:szCs w:val="18"/>
          <w:lang w:val="en-US"/>
        </w:rPr>
        <w:t>Developing multi-agent systems – developing the principles of interaction between elements and systems of electric grids in peer-to-peer control systems (implementing distributed smart control systems).</w:t>
      </w:r>
    </w:p>
    <w:p w14:paraId="51763679" w14:textId="77777777" w:rsidR="002D2998" w:rsidRPr="00BD295E" w:rsidRDefault="008A5057" w:rsidP="002D2998">
      <w:pPr>
        <w:pStyle w:val="af3"/>
        <w:numPr>
          <w:ilvl w:val="0"/>
          <w:numId w:val="79"/>
        </w:numPr>
        <w:tabs>
          <w:tab w:val="left" w:pos="993"/>
        </w:tabs>
        <w:suppressAutoHyphens/>
        <w:ind w:left="0" w:firstLine="709"/>
        <w:jc w:val="both"/>
        <w:rPr>
          <w:rFonts w:ascii="Arial" w:hAnsi="Arial" w:cs="Arial"/>
          <w:sz w:val="18"/>
          <w:szCs w:val="18"/>
          <w:lang w:val="en-US"/>
        </w:rPr>
      </w:pPr>
      <w:r w:rsidRPr="00BD295E">
        <w:rPr>
          <w:rFonts w:ascii="Arial" w:hAnsi="Arial" w:cs="Arial"/>
          <w:sz w:val="18"/>
          <w:szCs w:val="18"/>
          <w:lang w:val="en-US"/>
        </w:rPr>
        <w:t>Implementing smart parameters of electric grids – developing grid parameters that increase resistance to grid disturbances and ensure their automatic recovery (adaptive relay protection devices, adjustment systems, logical automation tools, digital online grid model).</w:t>
      </w:r>
    </w:p>
    <w:p w14:paraId="3F14ACFA" w14:textId="77777777" w:rsidR="002D2998" w:rsidRPr="00BD295E" w:rsidRDefault="008A5057" w:rsidP="002D2998">
      <w:pPr>
        <w:tabs>
          <w:tab w:val="left" w:pos="993"/>
        </w:tabs>
        <w:suppressAutoHyphens/>
        <w:ind w:firstLine="709"/>
        <w:contextualSpacing/>
        <w:rPr>
          <w:rFonts w:ascii="Arial" w:hAnsi="Arial" w:cs="Arial"/>
          <w:sz w:val="18"/>
          <w:szCs w:val="18"/>
          <w:lang w:val="en-US"/>
        </w:rPr>
      </w:pPr>
      <w:r w:rsidRPr="00BD295E">
        <w:rPr>
          <w:rFonts w:ascii="Arial" w:hAnsi="Arial" w:cs="Arial"/>
          <w:sz w:val="18"/>
          <w:szCs w:val="18"/>
          <w:lang w:val="en-US"/>
        </w:rPr>
        <w:t>Organizational and marketing innovations:</w:t>
      </w:r>
    </w:p>
    <w:p w14:paraId="173CD7AD" w14:textId="65DC6C4F" w:rsidR="002D2998" w:rsidRPr="00BD295E" w:rsidRDefault="008A5057" w:rsidP="002D2998">
      <w:pPr>
        <w:pStyle w:val="af3"/>
        <w:numPr>
          <w:ilvl w:val="0"/>
          <w:numId w:val="80"/>
        </w:numPr>
        <w:tabs>
          <w:tab w:val="left" w:pos="993"/>
        </w:tabs>
        <w:suppressAutoHyphens/>
        <w:ind w:left="0" w:firstLine="709"/>
        <w:jc w:val="both"/>
        <w:rPr>
          <w:rFonts w:ascii="Arial" w:hAnsi="Arial" w:cs="Arial"/>
          <w:sz w:val="18"/>
          <w:szCs w:val="18"/>
          <w:lang w:val="en-US"/>
        </w:rPr>
      </w:pPr>
      <w:r w:rsidRPr="00BD295E">
        <w:rPr>
          <w:rFonts w:ascii="Arial" w:hAnsi="Arial" w:cs="Arial"/>
          <w:sz w:val="18"/>
          <w:szCs w:val="18"/>
          <w:lang w:val="en-US"/>
        </w:rPr>
        <w:t>Designing new and system reengineering of existing business processes to improve their overall performance – management of production assets, management systems, customer services, systems lifecycle management, lean production practices, implementation of state-of-the-art human resource management technologies.</w:t>
      </w:r>
    </w:p>
    <w:p w14:paraId="142ACE0F" w14:textId="587FD976" w:rsidR="002D2998" w:rsidRPr="00BD295E" w:rsidRDefault="008A5057" w:rsidP="004D5239">
      <w:pPr>
        <w:pStyle w:val="af3"/>
        <w:numPr>
          <w:ilvl w:val="0"/>
          <w:numId w:val="80"/>
        </w:numPr>
        <w:tabs>
          <w:tab w:val="left" w:pos="993"/>
        </w:tabs>
        <w:suppressAutoHyphens/>
        <w:ind w:left="0" w:firstLine="709"/>
        <w:jc w:val="both"/>
        <w:rPr>
          <w:rFonts w:ascii="Arial" w:hAnsi="Arial" w:cs="Arial"/>
          <w:sz w:val="18"/>
          <w:szCs w:val="18"/>
          <w:lang w:val="en-US"/>
        </w:rPr>
      </w:pPr>
      <w:r w:rsidRPr="00BD295E">
        <w:rPr>
          <w:rFonts w:ascii="Arial" w:hAnsi="Arial" w:cs="Arial"/>
          <w:sz w:val="18"/>
          <w:szCs w:val="18"/>
          <w:lang w:val="en-US"/>
        </w:rPr>
        <w:t xml:space="preserve">Building an innovation engine at the Company – encouraging the emergence of a wide range of innovative companies, research organizations, and educational institutions around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focusing on addressing R&amp;D and process needs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(through engagement in technology platforms and geographical innovation clusters, implementing agreements on cooperation with anchor universities, etc.).</w:t>
      </w:r>
    </w:p>
    <w:p w14:paraId="492FD07E" w14:textId="77777777" w:rsidR="002D2998" w:rsidRPr="00BD295E" w:rsidRDefault="002D2998" w:rsidP="003D49A2">
      <w:pPr>
        <w:suppressAutoHyphens/>
        <w:rPr>
          <w:rFonts w:ascii="Arial" w:hAnsi="Arial" w:cs="Arial"/>
          <w:sz w:val="18"/>
          <w:szCs w:val="18"/>
          <w:lang w:val="en-US"/>
        </w:rPr>
      </w:pPr>
    </w:p>
    <w:p w14:paraId="4A5E50B5" w14:textId="77777777" w:rsidR="002D2998" w:rsidRPr="00BD295E" w:rsidRDefault="008A5057" w:rsidP="003D49A2">
      <w:pPr>
        <w:suppressAutoHyphens/>
        <w:rPr>
          <w:rFonts w:ascii="Arial" w:hAnsi="Arial" w:cs="Arial"/>
          <w:b/>
          <w:sz w:val="18"/>
          <w:szCs w:val="18"/>
          <w:lang w:val="en-US"/>
        </w:rPr>
      </w:pPr>
      <w:r w:rsidRPr="00BD295E">
        <w:rPr>
          <w:rFonts w:ascii="Arial" w:hAnsi="Arial" w:cs="Arial"/>
          <w:b/>
          <w:sz w:val="18"/>
          <w:szCs w:val="18"/>
          <w:lang w:val="en-US"/>
        </w:rPr>
        <w:t xml:space="preserve">Key integrated innovation projects implemented by </w:t>
      </w:r>
      <w:r w:rsidR="00EE5753" w:rsidRPr="00BD295E">
        <w:rPr>
          <w:rFonts w:ascii="Arial" w:hAnsi="Arial" w:cs="Arial"/>
          <w:b/>
          <w:sz w:val="18"/>
          <w:szCs w:val="18"/>
          <w:lang w:val="en-US"/>
        </w:rPr>
        <w:t>PJSC “Lenenergo”</w:t>
      </w:r>
    </w:p>
    <w:p w14:paraId="1F4B0EEA" w14:textId="77777777" w:rsidR="002D2998" w:rsidRPr="00BD295E" w:rsidRDefault="008A5057" w:rsidP="003D49A2">
      <w:pPr>
        <w:ind w:left="709"/>
        <w:contextualSpacing/>
        <w:jc w:val="both"/>
        <w:rPr>
          <w:rFonts w:ascii="Arial" w:hAnsi="Arial" w:cs="Arial"/>
          <w:bCs/>
          <w:sz w:val="18"/>
          <w:szCs w:val="18"/>
          <w:u w:val="single"/>
          <w:lang w:val="en-US"/>
        </w:rPr>
      </w:pPr>
      <w:r w:rsidRPr="00BD295E">
        <w:rPr>
          <w:rFonts w:ascii="Arial" w:hAnsi="Arial" w:cs="Arial"/>
          <w:bCs/>
          <w:sz w:val="18"/>
          <w:szCs w:val="18"/>
          <w:u w:val="single"/>
          <w:lang w:val="en-US"/>
        </w:rPr>
        <w:t>Building a smart 10–110 kV distribution grid in Saint Petersburg (key project)</w:t>
      </w:r>
    </w:p>
    <w:p w14:paraId="1D87F4B6" w14:textId="706AC14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The project provides for comprehensive modernization of the existing electric grids in the Tsentralny, Petrogradsky, Vasileostrovsky, Kolpinsky, Kalininsky, Vyborgsky, and Kurortny Districts of Saint Petersburg, and deployment of a single digital smart network covering them all, with a smart </w:t>
      </w:r>
      <w:r w:rsidR="00BF106F" w:rsidRPr="00BD295E">
        <w:rPr>
          <w:rFonts w:ascii="Arial" w:hAnsi="Arial" w:cs="Arial"/>
          <w:bCs/>
          <w:sz w:val="18"/>
          <w:szCs w:val="18"/>
          <w:lang w:val="en-US"/>
        </w:rPr>
        <w:t xml:space="preserve">control and </w:t>
      </w:r>
      <w:r w:rsidR="002C3947" w:rsidRPr="00BD295E">
        <w:rPr>
          <w:rFonts w:ascii="Arial" w:hAnsi="Arial" w:cs="Arial"/>
          <w:bCs/>
          <w:sz w:val="18"/>
          <w:szCs w:val="18"/>
          <w:lang w:val="en-US"/>
        </w:rPr>
        <w:t>automation system</w:t>
      </w:r>
      <w:r w:rsidRPr="00BD295E">
        <w:rPr>
          <w:rFonts w:ascii="Arial" w:hAnsi="Arial" w:cs="Arial"/>
          <w:bCs/>
          <w:sz w:val="18"/>
          <w:szCs w:val="18"/>
          <w:lang w:val="en-US"/>
        </w:rPr>
        <w:t>.</w:t>
      </w:r>
    </w:p>
    <w:p w14:paraId="03C3AB75"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The comprehensive modernization implies the consolidation and integration of cutting-edge technologies and solutions related to grid automation, dispatch control, and smart metering into a single system and the use of high-tech power equipment at distribution grid facilities and electricity supply centers.</w:t>
      </w:r>
    </w:p>
    <w:p w14:paraId="049569F8"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The modernization of the Petrogradsky District involves the implementation of an innovative solution – conversion of the 6 kV medium-voltage distribution grid of Saint Petersburg’s Petrogradsky District to 35 kV voltage, taking into account the development of the distribution grid under the existing infrastructure and the existing 6 kV and 35 kV grid pattern, as well as building “smart grids” in Saint Petersburg’s Petrogradsky District based on innovative equipment.</w:t>
      </w:r>
    </w:p>
    <w:p w14:paraId="730F06FD"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Results achieved in 2018:</w:t>
      </w:r>
    </w:p>
    <w:p w14:paraId="228C0515" w14:textId="77777777" w:rsidR="002D2998" w:rsidRPr="00BD295E" w:rsidRDefault="008A5057" w:rsidP="003D49A2">
      <w:pPr>
        <w:numPr>
          <w:ilvl w:val="0"/>
          <w:numId w:val="154"/>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Modernization of a 6 kV distribution grid in the area of substation No. 18 (Tsentralny District)</w:t>
      </w:r>
    </w:p>
    <w:p w14:paraId="70ABC321" w14:textId="0A0D70F9"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All sections of key design concepts were developed and signed off with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The design documentation for Phase 1 of the project implementation (modernization of the dispatching </w:t>
      </w:r>
      <w:r w:rsidR="002C3947" w:rsidRPr="00BD295E">
        <w:rPr>
          <w:rFonts w:ascii="Arial" w:hAnsi="Arial" w:cs="Arial"/>
          <w:bCs/>
          <w:sz w:val="18"/>
          <w:szCs w:val="18"/>
          <w:lang w:val="en-US"/>
        </w:rPr>
        <w:t>point,</w:t>
      </w:r>
      <w:r w:rsidRPr="00BD295E">
        <w:rPr>
          <w:rFonts w:ascii="Arial" w:hAnsi="Arial" w:cs="Arial"/>
          <w:bCs/>
          <w:sz w:val="18"/>
          <w:szCs w:val="18"/>
          <w:lang w:val="en-US"/>
        </w:rPr>
        <w:t xml:space="preserve"> 24 grid facilities) was developed.</w:t>
      </w:r>
    </w:p>
    <w:p w14:paraId="0869B44A"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2017–2021</w:t>
      </w:r>
    </w:p>
    <w:p w14:paraId="5A36328E" w14:textId="77777777" w:rsidR="002D2998" w:rsidRPr="00BD295E" w:rsidRDefault="008A5057" w:rsidP="003D49A2">
      <w:pPr>
        <w:numPr>
          <w:ilvl w:val="0"/>
          <w:numId w:val="154"/>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Creation of a Digital Electric Grid District based on the Northern Electric Grid District of the Cable Grid branch:</w:t>
      </w:r>
    </w:p>
    <w:p w14:paraId="6C3E49D9" w14:textId="77777777" w:rsidR="002D2998" w:rsidRPr="00BD295E" w:rsidRDefault="00BF106F" w:rsidP="003D49A2">
      <w:pPr>
        <w:contextualSpacing/>
        <w:jc w:val="both"/>
        <w:rPr>
          <w:rFonts w:ascii="Arial" w:hAnsi="Arial" w:cs="Arial"/>
          <w:bCs/>
          <w:sz w:val="18"/>
          <w:szCs w:val="18"/>
          <w:lang w:val="en-US"/>
        </w:rPr>
      </w:pPr>
      <w:r w:rsidRPr="00BD295E">
        <w:rPr>
          <w:rFonts w:ascii="Arial" w:hAnsi="Arial" w:cs="Arial"/>
          <w:bCs/>
          <w:sz w:val="18"/>
          <w:szCs w:val="18"/>
          <w:lang w:val="en-US"/>
        </w:rPr>
        <w:t>PJSC “Rosseti”</w:t>
      </w:r>
      <w:r w:rsidR="008A5057" w:rsidRPr="00BD295E">
        <w:rPr>
          <w:rFonts w:ascii="Arial" w:hAnsi="Arial" w:cs="Arial"/>
          <w:bCs/>
          <w:sz w:val="18"/>
          <w:szCs w:val="18"/>
          <w:lang w:val="en-US"/>
        </w:rPr>
        <w:t xml:space="preserve"> drafted and signed off standard terms of reference for the engineering and design of the Digital Electric Grid District for </w:t>
      </w:r>
      <w:r w:rsidR="006515AB" w:rsidRPr="00BD295E">
        <w:rPr>
          <w:rFonts w:ascii="Arial" w:hAnsi="Arial" w:cs="Arial"/>
          <w:bCs/>
          <w:sz w:val="18"/>
          <w:szCs w:val="18"/>
          <w:lang w:val="en-US"/>
        </w:rPr>
        <w:t>subsidiaries and affiliates</w:t>
      </w:r>
      <w:r w:rsidR="008A5057" w:rsidRPr="00BD295E">
        <w:rPr>
          <w:rFonts w:ascii="Arial" w:hAnsi="Arial" w:cs="Arial"/>
          <w:bCs/>
          <w:sz w:val="18"/>
          <w:szCs w:val="18"/>
          <w:lang w:val="en-US"/>
        </w:rPr>
        <w:t xml:space="preserve"> of </w:t>
      </w:r>
      <w:r w:rsidRPr="00BD295E">
        <w:rPr>
          <w:rFonts w:ascii="Arial" w:hAnsi="Arial" w:cs="Arial"/>
          <w:bCs/>
          <w:sz w:val="18"/>
          <w:szCs w:val="18"/>
          <w:lang w:val="en-US"/>
        </w:rPr>
        <w:t>PJSC “Rosseti”</w:t>
      </w:r>
      <w:r w:rsidR="008A5057" w:rsidRPr="00BD295E">
        <w:rPr>
          <w:rFonts w:ascii="Arial" w:hAnsi="Arial" w:cs="Arial"/>
          <w:bCs/>
          <w:sz w:val="18"/>
          <w:szCs w:val="18"/>
          <w:lang w:val="en-US"/>
        </w:rPr>
        <w:t xml:space="preserve">. The terms of reference for the engineering and design of the Digital Electric Grid District based on the Northern Electric Grid District of the Cable Grid branch were approved: Project targets were determined and a pilot project statement was drawn up and approved by the Innovative Development Management Committee at </w:t>
      </w:r>
      <w:r w:rsidRPr="00BD295E">
        <w:rPr>
          <w:rFonts w:ascii="Arial" w:hAnsi="Arial" w:cs="Arial"/>
          <w:bCs/>
          <w:sz w:val="18"/>
          <w:szCs w:val="18"/>
          <w:lang w:val="en-US"/>
        </w:rPr>
        <w:t>PJSC “Rosseti”</w:t>
      </w:r>
      <w:r w:rsidR="008A5057" w:rsidRPr="00BD295E">
        <w:rPr>
          <w:rFonts w:ascii="Arial" w:hAnsi="Arial" w:cs="Arial"/>
          <w:bCs/>
          <w:sz w:val="18"/>
          <w:szCs w:val="18"/>
          <w:lang w:val="en-US"/>
        </w:rPr>
        <w:t xml:space="preserve">. Competitive procedures were held to select a contractor for performing the engineering and design work, and an engineering and design contract was signed with </w:t>
      </w:r>
      <w:r w:rsidRPr="00BD295E">
        <w:rPr>
          <w:rFonts w:ascii="Arial" w:hAnsi="Arial" w:cs="Arial"/>
          <w:bCs/>
          <w:sz w:val="18"/>
          <w:szCs w:val="18"/>
          <w:lang w:val="en-US"/>
        </w:rPr>
        <w:t>JSC “ESKL”</w:t>
      </w:r>
      <w:r w:rsidR="008A5057" w:rsidRPr="00BD295E">
        <w:rPr>
          <w:rFonts w:ascii="Arial" w:hAnsi="Arial" w:cs="Arial"/>
          <w:bCs/>
          <w:sz w:val="18"/>
          <w:szCs w:val="18"/>
          <w:lang w:val="en-US"/>
        </w:rPr>
        <w:t xml:space="preserve">. A project concept was prepared and reviewed by </w:t>
      </w:r>
      <w:r w:rsidR="00EE5753" w:rsidRPr="00BD295E">
        <w:rPr>
          <w:rFonts w:ascii="Arial" w:hAnsi="Arial" w:cs="Arial"/>
          <w:bCs/>
          <w:sz w:val="18"/>
          <w:szCs w:val="18"/>
          <w:lang w:val="en-US"/>
        </w:rPr>
        <w:t>PJSC “Lenenergo”</w:t>
      </w:r>
      <w:r w:rsidR="008A5057" w:rsidRPr="00BD295E">
        <w:rPr>
          <w:rFonts w:ascii="Arial" w:hAnsi="Arial" w:cs="Arial"/>
          <w:bCs/>
          <w:sz w:val="18"/>
          <w:szCs w:val="18"/>
          <w:lang w:val="en-US"/>
        </w:rPr>
        <w:t>. A mathematical grid model was drafted. A preliminary economic model of the project was built.</w:t>
      </w:r>
    </w:p>
    <w:p w14:paraId="2CA408FD"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2018–2021</w:t>
      </w:r>
    </w:p>
    <w:p w14:paraId="2BF98ED4" w14:textId="77777777" w:rsidR="002D2998" w:rsidRPr="00BD295E" w:rsidRDefault="008A5057" w:rsidP="003D49A2">
      <w:pPr>
        <w:numPr>
          <w:ilvl w:val="0"/>
          <w:numId w:val="154"/>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Modernization of a 6 kV distribution grid in the area of substation No. 13:</w:t>
      </w:r>
    </w:p>
    <w:p w14:paraId="1FE92858"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The project design terms of reference were prepared and approved in line with the standard design terms of reference for Digital Electric Grid Districts. Competitive procedures were held, and a design and survey project</w:t>
      </w:r>
      <w:r w:rsidR="00CF0D86" w:rsidRPr="00BD295E">
        <w:rPr>
          <w:rFonts w:ascii="Arial" w:hAnsi="Arial" w:cs="Arial"/>
          <w:bCs/>
          <w:sz w:val="18"/>
          <w:szCs w:val="18"/>
          <w:lang w:val="en-US"/>
        </w:rPr>
        <w:t xml:space="preserve"> </w:t>
      </w:r>
      <w:r w:rsidRPr="00BD295E">
        <w:rPr>
          <w:rFonts w:ascii="Arial" w:hAnsi="Arial" w:cs="Arial"/>
          <w:bCs/>
          <w:sz w:val="18"/>
          <w:szCs w:val="18"/>
          <w:lang w:val="en-US"/>
        </w:rPr>
        <w:t xml:space="preserve">was signed with </w:t>
      </w:r>
      <w:r w:rsidR="00BF106F" w:rsidRPr="00BD295E">
        <w:rPr>
          <w:rFonts w:ascii="Arial" w:hAnsi="Arial" w:cs="Arial"/>
          <w:bCs/>
          <w:sz w:val="18"/>
          <w:szCs w:val="18"/>
          <w:lang w:val="en-US"/>
        </w:rPr>
        <w:t>JSC “ESKL”</w:t>
      </w:r>
      <w:r w:rsidRPr="00BD295E">
        <w:rPr>
          <w:rFonts w:ascii="Arial" w:hAnsi="Arial" w:cs="Arial"/>
          <w:bCs/>
          <w:sz w:val="18"/>
          <w:szCs w:val="18"/>
          <w:lang w:val="en-US"/>
        </w:rPr>
        <w:t>. A partial inspection of electric grid facilities was conducted.</w:t>
      </w:r>
    </w:p>
    <w:p w14:paraId="4EBD7CD4"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2018-2022</w:t>
      </w:r>
    </w:p>
    <w:p w14:paraId="566AA815" w14:textId="77777777" w:rsidR="002D2998" w:rsidRPr="00BD295E" w:rsidRDefault="008A5057" w:rsidP="003D49A2">
      <w:pPr>
        <w:numPr>
          <w:ilvl w:val="0"/>
          <w:numId w:val="154"/>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The 0.4–10 kV grid modernization project in the Kolpinsky District:</w:t>
      </w:r>
    </w:p>
    <w:p w14:paraId="54BF0A04"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approval of the design and survey terms of reference;</w:t>
      </w:r>
    </w:p>
    <w:p w14:paraId="3FF013DE"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signing of a design and survey contract;</w:t>
      </w:r>
    </w:p>
    <w:p w14:paraId="7837125F"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collection and analysis of input data.</w:t>
      </w:r>
    </w:p>
    <w:p w14:paraId="73C8C7D6"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2018–2021</w:t>
      </w:r>
    </w:p>
    <w:p w14:paraId="78A74A5C" w14:textId="77777777" w:rsidR="002D2998" w:rsidRPr="00BD295E" w:rsidRDefault="008A5057" w:rsidP="003D49A2">
      <w:pPr>
        <w:numPr>
          <w:ilvl w:val="0"/>
          <w:numId w:val="154"/>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The 0.4–10 kV grid modernization project in the Petrogradsky District:</w:t>
      </w:r>
    </w:p>
    <w:p w14:paraId="44DCA1BC"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approval of the design and survey terms of reference;</w:t>
      </w:r>
    </w:p>
    <w:p w14:paraId="5F357BF1"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signing of a design and survey contract;</w:t>
      </w:r>
    </w:p>
    <w:p w14:paraId="21E0B3CE"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collection and analysis of input data.</w:t>
      </w:r>
    </w:p>
    <w:p w14:paraId="445EA4DA"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2018–2021</w:t>
      </w:r>
    </w:p>
    <w:p w14:paraId="7DE70FD1" w14:textId="77777777" w:rsidR="002D2998" w:rsidRPr="00BD295E" w:rsidRDefault="008A5057" w:rsidP="003D49A2">
      <w:pPr>
        <w:numPr>
          <w:ilvl w:val="0"/>
          <w:numId w:val="154"/>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Comprehensive modernization of the pilot section of the distribution grid of the Pesochinskiy Electric Grid District:</w:t>
      </w:r>
    </w:p>
    <w:p w14:paraId="2456AFDA"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The design and survey terms of reference were developed and approved taking into account the conceptual design data. Competitive procedures were held, and a design and survey project was signed with Systemlink, CJSC. A project concept was prepared and reviewed by a working group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The input data were collected.</w:t>
      </w:r>
    </w:p>
    <w:p w14:paraId="2CA4F977"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2018-2022</w:t>
      </w:r>
    </w:p>
    <w:p w14:paraId="500317B5" w14:textId="77777777" w:rsidR="002D2998" w:rsidRPr="00BD295E" w:rsidRDefault="002D2998" w:rsidP="003D49A2">
      <w:pPr>
        <w:contextualSpacing/>
        <w:jc w:val="both"/>
        <w:rPr>
          <w:rFonts w:ascii="Arial" w:hAnsi="Arial" w:cs="Arial"/>
          <w:bCs/>
          <w:sz w:val="18"/>
          <w:szCs w:val="18"/>
          <w:lang w:val="en-US"/>
        </w:rPr>
      </w:pPr>
    </w:p>
    <w:p w14:paraId="21B14D8D" w14:textId="77777777" w:rsidR="002D2998" w:rsidRPr="00BD295E" w:rsidRDefault="008A5057" w:rsidP="003D49A2">
      <w:pPr>
        <w:ind w:left="709"/>
        <w:contextualSpacing/>
        <w:jc w:val="both"/>
        <w:rPr>
          <w:rFonts w:ascii="Arial" w:hAnsi="Arial" w:cs="Arial"/>
          <w:bCs/>
          <w:sz w:val="18"/>
          <w:szCs w:val="18"/>
          <w:u w:val="single"/>
          <w:lang w:val="en-US"/>
        </w:rPr>
      </w:pPr>
      <w:r w:rsidRPr="00BD295E">
        <w:rPr>
          <w:rFonts w:ascii="Arial" w:hAnsi="Arial" w:cs="Arial"/>
          <w:bCs/>
          <w:sz w:val="18"/>
          <w:szCs w:val="18"/>
          <w:u w:val="single"/>
          <w:lang w:val="en-US"/>
        </w:rPr>
        <w:t>Comprehensive automation of 6–10 kV grids in the Leningrad Region with integration into a unified information management system</w:t>
      </w:r>
    </w:p>
    <w:p w14:paraId="29F8E90D"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The project provides for automating a 6-10 kV distribution grid in the Leningrad Region with integration of smart switchgear devices (vacuum reclosers) and overhead line fault indicators, which together will provide localization of faulty overhead line sections without disconnecting consumers of other overhead line sections, as well as transfer of information about the faulty OL section via GSM/GPRSl to the data processing and management application of the Electric Grid District’s dispatching point.</w:t>
      </w:r>
    </w:p>
    <w:p w14:paraId="4D114E7F"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A data collection and transfer subsystem is planned to be used to collect and preprocess data received from facilities managed and supervised by the Electric Grid District’s dispatching point. The data collection and transfer subsystem will also ensure that control actions are communicated to the controlled microEMS within the area of operation of the Electric Grid District’s dispatching point.</w:t>
      </w:r>
    </w:p>
    <w:p w14:paraId="2BFD2F83"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One of the 2018 highlights in this area was the completion of a pilot project for the automation of the 6–10 kV grid of the Vsevolzhsky Electric Grid District of the Prigorodniye Power Grid branch. The following work was completed as part of Phase 2 of the project in 2018: 41 smart switching devices (reclosers) and 50 sets of short circuit indicators , 2 sets of data collection and transmission devices were installed, 6–10 kV units at ten 35–110 kV energy supply centers were retrofitted, with installation of telemetric systems, a software and hardware package was installed for electric grid district and branch dispatch control, and data transfer to the software and hardware package of the automated dispatching system at the dispatching point of the Vsevolozhsky Electric Grid District.</w:t>
      </w:r>
    </w:p>
    <w:p w14:paraId="2B14721C"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The following outcomes were achieved through these efforts:</w:t>
      </w:r>
    </w:p>
    <w:p w14:paraId="4A6A5485"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mutual feeder redundancy (29 rings) was arranged, making it possible to localize the damaged section while maintaining electricity supply to a maximum number of consumers;</w:t>
      </w:r>
    </w:p>
    <w:p w14:paraId="6C393C91" w14:textId="05D5CC4B"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 xml:space="preserve">equipment of the 6-10 kV switchgear of </w:t>
      </w:r>
      <w:r w:rsidR="002C3947" w:rsidRPr="00BD295E">
        <w:rPr>
          <w:rFonts w:ascii="Arial" w:hAnsi="Arial" w:cs="Arial"/>
          <w:bCs/>
          <w:sz w:val="18"/>
          <w:szCs w:val="18"/>
          <w:lang w:val="en-US"/>
        </w:rPr>
        <w:t>obsolete</w:t>
      </w:r>
      <w:r w:rsidRPr="00BD295E">
        <w:rPr>
          <w:rFonts w:ascii="Arial" w:hAnsi="Arial" w:cs="Arial"/>
          <w:bCs/>
          <w:sz w:val="18"/>
          <w:szCs w:val="18"/>
          <w:lang w:val="en-US"/>
        </w:rPr>
        <w:t xml:space="preserve"> electricity supply centers was partially renovated. Electric grid equipment is equipped with remote control devices, which enable on-line monitoring of the grid condition;</w:t>
      </w:r>
    </w:p>
    <w:p w14:paraId="6AD5871A"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the conditions were provided for reducing the electricity supply interruption period per customer by 75% (SAIDI index), and the frequency of electricity supply interruptions per customer by 58% (SAIFI index);</w:t>
      </w:r>
    </w:p>
    <w:p w14:paraId="1CACD72D"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the conditions were provided for reducing repair, emergency, and routine maintenance costs;</w:t>
      </w:r>
    </w:p>
    <w:p w14:paraId="2DC78E06"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the conditions were provided for rolling out this solution across other electric grid districts of the Leningrad Region.</w:t>
      </w:r>
    </w:p>
    <w:p w14:paraId="5BA04A41"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19 reclosers were installed within the 6–10 kV grid of the Kingiseppsky Electric Grid District as part of the project on Upgrade and Automation of the Kingiseppsky Electric Grid District of the Kingiseppskiye Power Grid branch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A design and survey contract for the upgrade and automation of a pilot area of the 6-10 kV distribution grid was signed.</w:t>
      </w:r>
    </w:p>
    <w:p w14:paraId="2F4D83CB"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2017-2020</w:t>
      </w:r>
    </w:p>
    <w:p w14:paraId="4BC5D6F7"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The following equipment was installed under a project on Application of Smart Switching Devices (Reclosers) for the Integrated Automation of the </w:t>
      </w:r>
      <w:r w:rsidR="00CF0D86" w:rsidRPr="00BD295E">
        <w:rPr>
          <w:rFonts w:ascii="Arial" w:hAnsi="Arial" w:cs="Arial"/>
          <w:bCs/>
          <w:sz w:val="18"/>
          <w:szCs w:val="18"/>
          <w:lang w:val="en-US"/>
        </w:rPr>
        <w:t>Electric</w:t>
      </w:r>
      <w:r w:rsidRPr="00BD295E">
        <w:rPr>
          <w:rFonts w:ascii="Arial" w:hAnsi="Arial" w:cs="Arial"/>
          <w:bCs/>
          <w:sz w:val="18"/>
          <w:szCs w:val="18"/>
          <w:lang w:val="en-US"/>
        </w:rPr>
        <w:t xml:space="preserve"> Grid District for the Gatchinskiye, Vyborgskiye, Novoladozhskiye, and Tikhvinskiye 6–10 kV Powers Grids:</w:t>
      </w:r>
    </w:p>
    <w:p w14:paraId="7FD4A1DC"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4 reclosers at the Gatchinskiye Power Grid branch;</w:t>
      </w:r>
    </w:p>
    <w:p w14:paraId="1B5276DA"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3 reclosers at the Tikhvinskiye Power Grid branch;</w:t>
      </w:r>
    </w:p>
    <w:p w14:paraId="45A63B79" w14:textId="77777777" w:rsidR="002D2998" w:rsidRPr="00BD295E" w:rsidRDefault="008A5057" w:rsidP="003D49A2">
      <w:pPr>
        <w:numPr>
          <w:ilvl w:val="0"/>
          <w:numId w:val="153"/>
        </w:numPr>
        <w:ind w:left="993" w:firstLine="0"/>
        <w:contextualSpacing/>
        <w:jc w:val="both"/>
        <w:rPr>
          <w:rFonts w:ascii="Arial" w:hAnsi="Arial" w:cs="Arial"/>
          <w:bCs/>
          <w:sz w:val="18"/>
          <w:szCs w:val="18"/>
          <w:lang w:val="en-US"/>
        </w:rPr>
      </w:pPr>
      <w:r w:rsidRPr="00BD295E">
        <w:rPr>
          <w:rFonts w:ascii="Arial" w:hAnsi="Arial" w:cs="Arial"/>
          <w:bCs/>
          <w:sz w:val="18"/>
          <w:szCs w:val="18"/>
          <w:lang w:val="en-US"/>
        </w:rPr>
        <w:t>11 reclosers at the Novoladozhskiye Power Grid branch.</w:t>
      </w:r>
    </w:p>
    <w:p w14:paraId="1544663A" w14:textId="77777777" w:rsidR="002D2998" w:rsidRPr="00BD295E" w:rsidRDefault="002D2998" w:rsidP="003D49A2">
      <w:pPr>
        <w:ind w:left="993"/>
        <w:contextualSpacing/>
        <w:jc w:val="both"/>
        <w:rPr>
          <w:rFonts w:ascii="Arial" w:hAnsi="Arial" w:cs="Arial"/>
          <w:bCs/>
          <w:sz w:val="18"/>
          <w:szCs w:val="18"/>
          <w:lang w:val="en-US"/>
        </w:rPr>
      </w:pPr>
    </w:p>
    <w:p w14:paraId="7C128DAB" w14:textId="77777777" w:rsidR="002D2998" w:rsidRPr="00BD295E" w:rsidRDefault="008A5057" w:rsidP="003D49A2">
      <w:pPr>
        <w:suppressAutoHyphens/>
        <w:rPr>
          <w:rFonts w:ascii="Arial" w:hAnsi="Arial" w:cs="Arial"/>
          <w:b/>
          <w:sz w:val="18"/>
          <w:szCs w:val="18"/>
          <w:lang w:val="en-US"/>
        </w:rPr>
      </w:pPr>
      <w:r w:rsidRPr="00BD295E">
        <w:rPr>
          <w:rFonts w:ascii="Arial" w:hAnsi="Arial" w:cs="Arial"/>
          <w:b/>
          <w:sz w:val="18"/>
          <w:szCs w:val="18"/>
          <w:lang w:val="en-US"/>
        </w:rPr>
        <w:t>Costs for implementing the innovative development program</w:t>
      </w:r>
    </w:p>
    <w:p w14:paraId="6ED1C7B6" w14:textId="77777777" w:rsidR="002D2998" w:rsidRPr="00BD295E" w:rsidRDefault="008A5057" w:rsidP="002D2998">
      <w:pPr>
        <w:suppressAutoHyphens/>
        <w:spacing w:after="120"/>
        <w:jc w:val="center"/>
        <w:rPr>
          <w:rFonts w:ascii="Arial" w:hAnsi="Arial" w:cs="Arial"/>
          <w:sz w:val="18"/>
          <w:szCs w:val="18"/>
          <w:lang w:val="en-US"/>
        </w:rPr>
      </w:pPr>
      <w:r w:rsidRPr="00BD295E">
        <w:rPr>
          <w:rFonts w:ascii="Arial" w:hAnsi="Arial" w:cs="Arial"/>
          <w:sz w:val="18"/>
          <w:szCs w:val="18"/>
          <w:lang w:val="en-US"/>
        </w:rPr>
        <w:t>Planned and actual costs for the key innovative development areas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3657"/>
        <w:gridCol w:w="2525"/>
        <w:gridCol w:w="2524"/>
      </w:tblGrid>
      <w:tr w:rsidR="008A5057" w:rsidRPr="00BD295E" w14:paraId="69C9CC65" w14:textId="77777777" w:rsidTr="00A85863">
        <w:trPr>
          <w:trHeight w:val="407"/>
        </w:trPr>
        <w:tc>
          <w:tcPr>
            <w:tcW w:w="455" w:type="dxa"/>
            <w:shd w:val="clear" w:color="auto" w:fill="auto"/>
            <w:vAlign w:val="center"/>
          </w:tcPr>
          <w:p w14:paraId="00E79538" w14:textId="77777777" w:rsidR="002D2998" w:rsidRPr="00BD295E" w:rsidRDefault="008A5057" w:rsidP="00A85863">
            <w:pPr>
              <w:pStyle w:val="afffff3"/>
              <w:tabs>
                <w:tab w:val="clear" w:pos="1080"/>
                <w:tab w:val="clear" w:pos="1320"/>
              </w:tabs>
              <w:ind w:right="-108" w:firstLine="34"/>
              <w:jc w:val="center"/>
              <w:rPr>
                <w:rFonts w:ascii="Arial" w:hAnsi="Arial" w:cs="Arial"/>
                <w:sz w:val="18"/>
                <w:szCs w:val="18"/>
                <w:lang w:val="en-US"/>
              </w:rPr>
            </w:pPr>
            <w:r w:rsidRPr="00BD295E">
              <w:rPr>
                <w:rFonts w:ascii="Arial" w:hAnsi="Arial" w:cs="Arial"/>
                <w:sz w:val="18"/>
                <w:szCs w:val="18"/>
                <w:lang w:val="en-US"/>
              </w:rPr>
              <w:t>No.</w:t>
            </w:r>
          </w:p>
        </w:tc>
        <w:tc>
          <w:tcPr>
            <w:tcW w:w="3688" w:type="dxa"/>
            <w:shd w:val="clear" w:color="auto" w:fill="auto"/>
            <w:vAlign w:val="center"/>
          </w:tcPr>
          <w:p w14:paraId="4F5441CF" w14:textId="77777777" w:rsidR="002D2998" w:rsidRPr="00BD295E" w:rsidRDefault="008A5057" w:rsidP="00A85863">
            <w:pPr>
              <w:pStyle w:val="afffff3"/>
              <w:ind w:firstLine="0"/>
              <w:jc w:val="center"/>
              <w:rPr>
                <w:rFonts w:ascii="Arial" w:hAnsi="Arial" w:cs="Arial"/>
                <w:sz w:val="18"/>
                <w:szCs w:val="18"/>
                <w:lang w:val="en-US"/>
              </w:rPr>
            </w:pPr>
            <w:r w:rsidRPr="00BD295E">
              <w:rPr>
                <w:rFonts w:ascii="Arial" w:hAnsi="Arial" w:cs="Arial"/>
                <w:sz w:val="18"/>
                <w:szCs w:val="18"/>
                <w:lang w:val="en-US"/>
              </w:rPr>
              <w:t>Innovative development areas</w:t>
            </w:r>
          </w:p>
        </w:tc>
        <w:tc>
          <w:tcPr>
            <w:tcW w:w="2547" w:type="dxa"/>
            <w:shd w:val="clear" w:color="auto" w:fill="auto"/>
            <w:vAlign w:val="center"/>
          </w:tcPr>
          <w:p w14:paraId="6E6D9271" w14:textId="77777777" w:rsidR="002D2998" w:rsidRPr="00BD295E" w:rsidRDefault="008A5057" w:rsidP="00A85863">
            <w:pPr>
              <w:pStyle w:val="afffff3"/>
              <w:ind w:firstLine="0"/>
              <w:jc w:val="center"/>
              <w:rPr>
                <w:rFonts w:ascii="Arial" w:hAnsi="Arial" w:cs="Arial"/>
                <w:sz w:val="18"/>
                <w:szCs w:val="18"/>
                <w:lang w:val="en-US"/>
              </w:rPr>
            </w:pPr>
            <w:r w:rsidRPr="00BD295E">
              <w:rPr>
                <w:rFonts w:ascii="Arial" w:hAnsi="Arial" w:cs="Arial"/>
                <w:sz w:val="18"/>
                <w:szCs w:val="18"/>
                <w:lang w:val="en-US"/>
              </w:rPr>
              <w:t xml:space="preserve">Planned costs, RUB million </w:t>
            </w:r>
            <w:r w:rsidRPr="00BD295E">
              <w:rPr>
                <w:rFonts w:ascii="Arial" w:hAnsi="Arial" w:cs="Arial"/>
                <w:sz w:val="18"/>
                <w:szCs w:val="18"/>
                <w:lang w:val="en-US"/>
              </w:rPr>
              <w:br w:type="textWrapping" w:clear="all"/>
              <w:t>(net of VAT)</w:t>
            </w:r>
          </w:p>
        </w:tc>
        <w:tc>
          <w:tcPr>
            <w:tcW w:w="2547" w:type="dxa"/>
            <w:shd w:val="clear" w:color="auto" w:fill="auto"/>
            <w:vAlign w:val="center"/>
          </w:tcPr>
          <w:p w14:paraId="7C97E219" w14:textId="77777777" w:rsidR="002D2998" w:rsidRPr="00BD295E" w:rsidRDefault="008A5057" w:rsidP="00A85863">
            <w:pPr>
              <w:pStyle w:val="afffff3"/>
              <w:ind w:firstLine="0"/>
              <w:jc w:val="center"/>
              <w:rPr>
                <w:rFonts w:ascii="Arial" w:hAnsi="Arial" w:cs="Arial"/>
                <w:sz w:val="18"/>
                <w:szCs w:val="18"/>
                <w:lang w:val="en-US"/>
              </w:rPr>
            </w:pPr>
            <w:r w:rsidRPr="00BD295E">
              <w:rPr>
                <w:rFonts w:ascii="Arial" w:hAnsi="Arial" w:cs="Arial"/>
                <w:sz w:val="18"/>
                <w:szCs w:val="18"/>
                <w:lang w:val="en-US"/>
              </w:rPr>
              <w:t xml:space="preserve">Actual costs, RUB million </w:t>
            </w:r>
            <w:r w:rsidRPr="00BD295E">
              <w:rPr>
                <w:rFonts w:ascii="Arial" w:hAnsi="Arial" w:cs="Arial"/>
                <w:sz w:val="18"/>
                <w:szCs w:val="18"/>
                <w:lang w:val="en-US"/>
              </w:rPr>
              <w:br w:type="textWrapping" w:clear="all"/>
              <w:t>(net of VAT)</w:t>
            </w:r>
          </w:p>
        </w:tc>
      </w:tr>
      <w:tr w:rsidR="008A5057" w:rsidRPr="00BD295E" w14:paraId="7FE270D3" w14:textId="77777777" w:rsidTr="00A85863">
        <w:trPr>
          <w:trHeight w:val="219"/>
        </w:trPr>
        <w:tc>
          <w:tcPr>
            <w:tcW w:w="455" w:type="dxa"/>
            <w:shd w:val="clear" w:color="auto" w:fill="auto"/>
          </w:tcPr>
          <w:p w14:paraId="7DB32D82" w14:textId="77777777" w:rsidR="002D2998" w:rsidRPr="00BD295E" w:rsidRDefault="008A5057" w:rsidP="00A85863">
            <w:pPr>
              <w:pStyle w:val="afffff3"/>
              <w:tabs>
                <w:tab w:val="clear" w:pos="1080"/>
                <w:tab w:val="clear" w:pos="1320"/>
              </w:tabs>
              <w:ind w:right="-108" w:firstLine="34"/>
              <w:jc w:val="center"/>
              <w:rPr>
                <w:rFonts w:ascii="Arial" w:hAnsi="Arial" w:cs="Arial"/>
                <w:sz w:val="18"/>
                <w:szCs w:val="18"/>
                <w:lang w:val="en-US"/>
              </w:rPr>
            </w:pPr>
            <w:r w:rsidRPr="00BD295E">
              <w:rPr>
                <w:rFonts w:ascii="Arial" w:hAnsi="Arial" w:cs="Arial"/>
                <w:sz w:val="18"/>
                <w:szCs w:val="18"/>
                <w:lang w:val="en-US"/>
              </w:rPr>
              <w:t>1</w:t>
            </w:r>
          </w:p>
        </w:tc>
        <w:tc>
          <w:tcPr>
            <w:tcW w:w="3688" w:type="dxa"/>
            <w:shd w:val="clear" w:color="auto" w:fill="auto"/>
          </w:tcPr>
          <w:p w14:paraId="5DE5C6DE" w14:textId="77777777" w:rsidR="002D2998" w:rsidRPr="00BD295E" w:rsidRDefault="008A5057" w:rsidP="00A85863">
            <w:pPr>
              <w:pStyle w:val="afffff3"/>
              <w:tabs>
                <w:tab w:val="clear" w:pos="1080"/>
                <w:tab w:val="clear" w:pos="1320"/>
              </w:tabs>
              <w:ind w:firstLine="0"/>
              <w:rPr>
                <w:rFonts w:ascii="Arial" w:hAnsi="Arial" w:cs="Arial"/>
                <w:sz w:val="18"/>
                <w:szCs w:val="18"/>
                <w:lang w:val="en-US"/>
              </w:rPr>
            </w:pPr>
            <w:r w:rsidRPr="00BD295E">
              <w:rPr>
                <w:rFonts w:ascii="Arial" w:hAnsi="Arial" w:cs="Arial"/>
                <w:sz w:val="18"/>
                <w:szCs w:val="18"/>
                <w:lang w:val="en-US"/>
              </w:rPr>
              <w:t>Transition to digital and automated substations of different voltage classes</w:t>
            </w:r>
          </w:p>
        </w:tc>
        <w:tc>
          <w:tcPr>
            <w:tcW w:w="2547" w:type="dxa"/>
            <w:shd w:val="clear" w:color="auto" w:fill="auto"/>
          </w:tcPr>
          <w:p w14:paraId="530B0931" w14:textId="77777777" w:rsidR="002D2998" w:rsidRPr="00BD295E" w:rsidRDefault="008A5057" w:rsidP="00A85863">
            <w:pPr>
              <w:pStyle w:val="afffff3"/>
              <w:spacing w:before="40" w:after="40"/>
              <w:ind w:firstLine="0"/>
              <w:jc w:val="center"/>
              <w:rPr>
                <w:rFonts w:ascii="Arial" w:hAnsi="Arial" w:cs="Arial"/>
                <w:sz w:val="18"/>
                <w:szCs w:val="18"/>
                <w:lang w:val="en-US"/>
              </w:rPr>
            </w:pPr>
            <w:r w:rsidRPr="00BD295E">
              <w:rPr>
                <w:rFonts w:ascii="Arial" w:hAnsi="Arial" w:cs="Arial"/>
                <w:sz w:val="18"/>
                <w:szCs w:val="18"/>
                <w:lang w:val="en-US"/>
              </w:rPr>
              <w:t>107.09</w:t>
            </w:r>
          </w:p>
        </w:tc>
        <w:tc>
          <w:tcPr>
            <w:tcW w:w="2547" w:type="dxa"/>
            <w:shd w:val="clear" w:color="auto" w:fill="auto"/>
          </w:tcPr>
          <w:p w14:paraId="696C6EC5" w14:textId="77777777" w:rsidR="002D2998" w:rsidRPr="00BD295E" w:rsidRDefault="008A5057" w:rsidP="00A85863">
            <w:pPr>
              <w:pStyle w:val="afffff3"/>
              <w:spacing w:before="40" w:after="40"/>
              <w:ind w:firstLine="0"/>
              <w:jc w:val="center"/>
              <w:rPr>
                <w:rFonts w:ascii="Arial" w:hAnsi="Arial" w:cs="Arial"/>
                <w:sz w:val="18"/>
                <w:szCs w:val="18"/>
                <w:lang w:val="en-US"/>
              </w:rPr>
            </w:pPr>
            <w:r w:rsidRPr="00BD295E">
              <w:rPr>
                <w:rFonts w:ascii="Arial" w:hAnsi="Arial" w:cs="Arial"/>
                <w:sz w:val="18"/>
                <w:szCs w:val="18"/>
                <w:lang w:val="en-US"/>
              </w:rPr>
              <w:t>21.89*</w:t>
            </w:r>
          </w:p>
        </w:tc>
      </w:tr>
      <w:tr w:rsidR="008A5057" w:rsidRPr="00BD295E" w14:paraId="6F810E0A" w14:textId="77777777" w:rsidTr="00A85863">
        <w:tc>
          <w:tcPr>
            <w:tcW w:w="455" w:type="dxa"/>
            <w:shd w:val="clear" w:color="auto" w:fill="auto"/>
          </w:tcPr>
          <w:p w14:paraId="2D0F591F" w14:textId="77777777" w:rsidR="002D2998" w:rsidRPr="00BD295E" w:rsidRDefault="008A5057" w:rsidP="00A85863">
            <w:pPr>
              <w:pStyle w:val="afffff3"/>
              <w:tabs>
                <w:tab w:val="clear" w:pos="1080"/>
                <w:tab w:val="clear" w:pos="1320"/>
              </w:tabs>
              <w:ind w:right="-108" w:firstLine="34"/>
              <w:jc w:val="center"/>
              <w:rPr>
                <w:rFonts w:ascii="Arial" w:hAnsi="Arial" w:cs="Arial"/>
                <w:sz w:val="18"/>
                <w:szCs w:val="18"/>
                <w:lang w:val="en-US"/>
              </w:rPr>
            </w:pPr>
            <w:r w:rsidRPr="00BD295E">
              <w:rPr>
                <w:rFonts w:ascii="Arial" w:hAnsi="Arial" w:cs="Arial"/>
                <w:sz w:val="18"/>
                <w:szCs w:val="18"/>
                <w:lang w:val="en-US"/>
              </w:rPr>
              <w:t>2</w:t>
            </w:r>
          </w:p>
        </w:tc>
        <w:tc>
          <w:tcPr>
            <w:tcW w:w="3688" w:type="dxa"/>
            <w:shd w:val="clear" w:color="auto" w:fill="auto"/>
          </w:tcPr>
          <w:p w14:paraId="40DAC783" w14:textId="77777777" w:rsidR="002D2998" w:rsidRPr="00BD295E" w:rsidRDefault="008A5057" w:rsidP="00A85863">
            <w:pPr>
              <w:pStyle w:val="afffff3"/>
              <w:tabs>
                <w:tab w:val="clear" w:pos="1080"/>
                <w:tab w:val="clear" w:pos="1320"/>
              </w:tabs>
              <w:ind w:firstLine="50"/>
              <w:rPr>
                <w:rFonts w:ascii="Arial" w:hAnsi="Arial" w:cs="Arial"/>
                <w:sz w:val="18"/>
                <w:szCs w:val="18"/>
                <w:lang w:val="en-US"/>
              </w:rPr>
            </w:pPr>
            <w:r w:rsidRPr="00BD295E">
              <w:rPr>
                <w:rFonts w:ascii="Arial" w:hAnsi="Arial" w:cs="Arial"/>
                <w:sz w:val="18"/>
                <w:szCs w:val="18"/>
                <w:lang w:val="en-US"/>
              </w:rPr>
              <w:t xml:space="preserve">Transition to digital smart grids with a distributed smart </w:t>
            </w:r>
            <w:r w:rsidR="00BF106F" w:rsidRPr="00BD295E">
              <w:rPr>
                <w:rFonts w:ascii="Arial" w:hAnsi="Arial" w:cs="Arial"/>
                <w:sz w:val="18"/>
                <w:szCs w:val="18"/>
                <w:lang w:val="en-US"/>
              </w:rPr>
              <w:t xml:space="preserve">control and automation </w:t>
            </w:r>
            <w:r w:rsidRPr="00BD295E">
              <w:rPr>
                <w:rFonts w:ascii="Arial" w:hAnsi="Arial" w:cs="Arial"/>
                <w:sz w:val="18"/>
                <w:szCs w:val="18"/>
                <w:lang w:val="en-US"/>
              </w:rPr>
              <w:t xml:space="preserve"> system</w:t>
            </w:r>
          </w:p>
        </w:tc>
        <w:tc>
          <w:tcPr>
            <w:tcW w:w="2547" w:type="dxa"/>
            <w:shd w:val="clear" w:color="auto" w:fill="auto"/>
          </w:tcPr>
          <w:p w14:paraId="2424D0D9" w14:textId="77777777" w:rsidR="002D2998" w:rsidRPr="00BD295E" w:rsidRDefault="008A5057" w:rsidP="00A85863">
            <w:pPr>
              <w:pStyle w:val="afffff3"/>
              <w:spacing w:before="40" w:after="40"/>
              <w:ind w:firstLine="0"/>
              <w:jc w:val="center"/>
              <w:rPr>
                <w:rFonts w:ascii="Arial" w:hAnsi="Arial" w:cs="Arial"/>
                <w:sz w:val="18"/>
                <w:szCs w:val="18"/>
                <w:lang w:val="en-US"/>
              </w:rPr>
            </w:pPr>
            <w:r w:rsidRPr="00BD295E">
              <w:rPr>
                <w:rFonts w:ascii="Arial" w:hAnsi="Arial" w:cs="Arial"/>
                <w:sz w:val="18"/>
                <w:szCs w:val="18"/>
                <w:lang w:val="en-US"/>
              </w:rPr>
              <w:t>596.36</w:t>
            </w:r>
          </w:p>
        </w:tc>
        <w:tc>
          <w:tcPr>
            <w:tcW w:w="2547" w:type="dxa"/>
            <w:shd w:val="clear" w:color="auto" w:fill="auto"/>
          </w:tcPr>
          <w:p w14:paraId="336CC9A8" w14:textId="77777777" w:rsidR="002D2998" w:rsidRPr="00BD295E" w:rsidRDefault="008A5057" w:rsidP="00A85863">
            <w:pPr>
              <w:pStyle w:val="afffff3"/>
              <w:spacing w:before="40" w:after="40"/>
              <w:ind w:firstLine="0"/>
              <w:jc w:val="center"/>
              <w:rPr>
                <w:rFonts w:ascii="Arial" w:hAnsi="Arial" w:cs="Arial"/>
                <w:sz w:val="18"/>
                <w:szCs w:val="18"/>
                <w:lang w:val="en-US"/>
              </w:rPr>
            </w:pPr>
            <w:r w:rsidRPr="00BD295E">
              <w:rPr>
                <w:rFonts w:ascii="Arial" w:hAnsi="Arial" w:cs="Arial"/>
                <w:sz w:val="18"/>
                <w:szCs w:val="18"/>
                <w:lang w:val="en-US"/>
              </w:rPr>
              <w:t>929.41</w:t>
            </w:r>
          </w:p>
        </w:tc>
      </w:tr>
      <w:tr w:rsidR="008A5057" w:rsidRPr="00BD295E" w14:paraId="43FF9B05" w14:textId="77777777" w:rsidTr="00A85863">
        <w:tc>
          <w:tcPr>
            <w:tcW w:w="455" w:type="dxa"/>
            <w:shd w:val="clear" w:color="auto" w:fill="auto"/>
          </w:tcPr>
          <w:p w14:paraId="450497EF" w14:textId="77777777" w:rsidR="002D2998" w:rsidRPr="00BD295E" w:rsidRDefault="008A5057" w:rsidP="00A85863">
            <w:pPr>
              <w:pStyle w:val="afffff3"/>
              <w:tabs>
                <w:tab w:val="clear" w:pos="1080"/>
                <w:tab w:val="clear" w:pos="1320"/>
              </w:tabs>
              <w:ind w:right="-108" w:firstLine="34"/>
              <w:jc w:val="center"/>
              <w:rPr>
                <w:rFonts w:ascii="Arial" w:hAnsi="Arial" w:cs="Arial"/>
                <w:sz w:val="18"/>
                <w:szCs w:val="18"/>
                <w:lang w:val="en-US"/>
              </w:rPr>
            </w:pPr>
            <w:r w:rsidRPr="00BD295E">
              <w:rPr>
                <w:rFonts w:ascii="Arial" w:hAnsi="Arial" w:cs="Arial"/>
                <w:sz w:val="18"/>
                <w:szCs w:val="18"/>
                <w:lang w:val="en-US"/>
              </w:rPr>
              <w:t>3</w:t>
            </w:r>
          </w:p>
        </w:tc>
        <w:tc>
          <w:tcPr>
            <w:tcW w:w="3688" w:type="dxa"/>
            <w:shd w:val="clear" w:color="auto" w:fill="auto"/>
          </w:tcPr>
          <w:p w14:paraId="5C4580DE" w14:textId="77777777" w:rsidR="002D2998" w:rsidRPr="00BD295E" w:rsidRDefault="008A5057" w:rsidP="00A85863">
            <w:pPr>
              <w:pStyle w:val="afffff3"/>
              <w:tabs>
                <w:tab w:val="clear" w:pos="1080"/>
                <w:tab w:val="clear" w:pos="1320"/>
              </w:tabs>
              <w:ind w:firstLine="50"/>
              <w:rPr>
                <w:rFonts w:ascii="Arial" w:hAnsi="Arial" w:cs="Arial"/>
                <w:sz w:val="18"/>
                <w:szCs w:val="18"/>
                <w:lang w:val="en-US"/>
              </w:rPr>
            </w:pPr>
            <w:r w:rsidRPr="00BD295E">
              <w:rPr>
                <w:rFonts w:ascii="Arial" w:hAnsi="Arial" w:cs="Arial"/>
                <w:sz w:val="18"/>
                <w:szCs w:val="18"/>
                <w:lang w:val="en-US"/>
              </w:rPr>
              <w:t>Transition to the integrated efficiency of business processes and automation of control systems</w:t>
            </w:r>
          </w:p>
        </w:tc>
        <w:tc>
          <w:tcPr>
            <w:tcW w:w="2547" w:type="dxa"/>
            <w:shd w:val="clear" w:color="auto" w:fill="auto"/>
          </w:tcPr>
          <w:p w14:paraId="716DA4B4" w14:textId="77777777" w:rsidR="002D2998" w:rsidRPr="00BD295E" w:rsidRDefault="008A5057" w:rsidP="00A85863">
            <w:pPr>
              <w:pStyle w:val="afffff3"/>
              <w:spacing w:before="40" w:after="40"/>
              <w:ind w:firstLine="0"/>
              <w:jc w:val="center"/>
              <w:rPr>
                <w:rFonts w:ascii="Arial" w:hAnsi="Arial" w:cs="Arial"/>
                <w:sz w:val="18"/>
                <w:szCs w:val="18"/>
                <w:lang w:val="en-US"/>
              </w:rPr>
            </w:pPr>
            <w:r w:rsidRPr="00BD295E">
              <w:rPr>
                <w:rFonts w:ascii="Arial" w:hAnsi="Arial" w:cs="Arial"/>
                <w:sz w:val="18"/>
                <w:szCs w:val="18"/>
                <w:lang w:val="en-US"/>
              </w:rPr>
              <w:t>79.04</w:t>
            </w:r>
          </w:p>
        </w:tc>
        <w:tc>
          <w:tcPr>
            <w:tcW w:w="2547" w:type="dxa"/>
            <w:shd w:val="clear" w:color="auto" w:fill="auto"/>
          </w:tcPr>
          <w:p w14:paraId="1654885A" w14:textId="77777777" w:rsidR="002D2998" w:rsidRPr="00BD295E" w:rsidRDefault="008A5057" w:rsidP="00A85863">
            <w:pPr>
              <w:pStyle w:val="afffff3"/>
              <w:spacing w:before="40" w:after="40"/>
              <w:ind w:firstLine="0"/>
              <w:jc w:val="center"/>
              <w:rPr>
                <w:rFonts w:ascii="Arial" w:hAnsi="Arial" w:cs="Arial"/>
                <w:sz w:val="18"/>
                <w:szCs w:val="18"/>
                <w:lang w:val="en-US"/>
              </w:rPr>
            </w:pPr>
            <w:r w:rsidRPr="00BD295E">
              <w:rPr>
                <w:rFonts w:ascii="Arial" w:hAnsi="Arial" w:cs="Arial"/>
                <w:sz w:val="18"/>
                <w:szCs w:val="18"/>
                <w:lang w:val="en-US"/>
              </w:rPr>
              <w:t>89.86</w:t>
            </w:r>
          </w:p>
        </w:tc>
      </w:tr>
      <w:tr w:rsidR="008A5057" w:rsidRPr="00BD295E" w14:paraId="5DD2142F" w14:textId="77777777" w:rsidTr="00A85863">
        <w:tc>
          <w:tcPr>
            <w:tcW w:w="455" w:type="dxa"/>
            <w:shd w:val="clear" w:color="auto" w:fill="auto"/>
          </w:tcPr>
          <w:p w14:paraId="3FEADCBE" w14:textId="77777777" w:rsidR="002D2998" w:rsidRPr="00BD295E" w:rsidRDefault="008A5057" w:rsidP="00A85863">
            <w:pPr>
              <w:pStyle w:val="afffff3"/>
              <w:tabs>
                <w:tab w:val="clear" w:pos="1080"/>
                <w:tab w:val="clear" w:pos="1320"/>
              </w:tabs>
              <w:ind w:right="-108" w:firstLine="34"/>
              <w:jc w:val="center"/>
              <w:rPr>
                <w:rFonts w:ascii="Arial" w:hAnsi="Arial" w:cs="Arial"/>
                <w:sz w:val="18"/>
                <w:szCs w:val="18"/>
                <w:lang w:val="en-US"/>
              </w:rPr>
            </w:pPr>
            <w:r w:rsidRPr="00BD295E">
              <w:rPr>
                <w:rFonts w:ascii="Arial" w:hAnsi="Arial" w:cs="Arial"/>
                <w:sz w:val="18"/>
                <w:szCs w:val="18"/>
                <w:lang w:val="en-US"/>
              </w:rPr>
              <w:t>4</w:t>
            </w:r>
          </w:p>
        </w:tc>
        <w:tc>
          <w:tcPr>
            <w:tcW w:w="3688" w:type="dxa"/>
            <w:shd w:val="clear" w:color="auto" w:fill="auto"/>
          </w:tcPr>
          <w:p w14:paraId="30233B44" w14:textId="77777777" w:rsidR="002D2998" w:rsidRPr="00BD295E" w:rsidRDefault="008A5057" w:rsidP="00A85863">
            <w:pPr>
              <w:pStyle w:val="afffff3"/>
              <w:tabs>
                <w:tab w:val="clear" w:pos="1080"/>
                <w:tab w:val="clear" w:pos="1320"/>
              </w:tabs>
              <w:ind w:firstLine="50"/>
              <w:rPr>
                <w:rFonts w:ascii="Arial" w:hAnsi="Arial" w:cs="Arial"/>
                <w:sz w:val="18"/>
                <w:szCs w:val="18"/>
                <w:lang w:val="en-US"/>
              </w:rPr>
            </w:pPr>
            <w:r w:rsidRPr="00BD295E">
              <w:rPr>
                <w:rFonts w:ascii="Arial" w:hAnsi="Arial" w:cs="Arial"/>
                <w:sz w:val="18"/>
                <w:szCs w:val="18"/>
                <w:lang w:val="en-US"/>
              </w:rPr>
              <w:t>Application of new technologies and materials in the electricity industry</w:t>
            </w:r>
          </w:p>
        </w:tc>
        <w:tc>
          <w:tcPr>
            <w:tcW w:w="2547" w:type="dxa"/>
            <w:shd w:val="clear" w:color="auto" w:fill="auto"/>
          </w:tcPr>
          <w:p w14:paraId="52A57C2A" w14:textId="77777777" w:rsidR="002D2998" w:rsidRPr="00BD295E" w:rsidRDefault="008A5057" w:rsidP="00A85863">
            <w:pPr>
              <w:pStyle w:val="afffff3"/>
              <w:spacing w:before="40" w:after="40"/>
              <w:ind w:firstLine="0"/>
              <w:jc w:val="center"/>
              <w:rPr>
                <w:rFonts w:ascii="Arial" w:hAnsi="Arial" w:cs="Arial"/>
                <w:sz w:val="18"/>
                <w:szCs w:val="18"/>
                <w:lang w:val="en-US"/>
              </w:rPr>
            </w:pPr>
            <w:r w:rsidRPr="00BD295E">
              <w:rPr>
                <w:rFonts w:ascii="Arial" w:hAnsi="Arial" w:cs="Arial"/>
                <w:sz w:val="18"/>
                <w:szCs w:val="18"/>
                <w:lang w:val="en-US"/>
              </w:rPr>
              <w:t>84.91</w:t>
            </w:r>
          </w:p>
        </w:tc>
        <w:tc>
          <w:tcPr>
            <w:tcW w:w="2547" w:type="dxa"/>
            <w:shd w:val="clear" w:color="auto" w:fill="auto"/>
          </w:tcPr>
          <w:p w14:paraId="319936A5" w14:textId="77777777" w:rsidR="002D2998" w:rsidRPr="00BD295E" w:rsidRDefault="008A5057" w:rsidP="00A85863">
            <w:pPr>
              <w:pStyle w:val="afffff3"/>
              <w:spacing w:before="40" w:after="40"/>
              <w:ind w:firstLine="0"/>
              <w:jc w:val="center"/>
              <w:rPr>
                <w:rFonts w:ascii="Arial" w:hAnsi="Arial" w:cs="Arial"/>
                <w:sz w:val="18"/>
                <w:szCs w:val="18"/>
                <w:lang w:val="en-US"/>
              </w:rPr>
            </w:pPr>
            <w:r w:rsidRPr="00BD295E">
              <w:rPr>
                <w:rFonts w:ascii="Arial" w:hAnsi="Arial" w:cs="Arial"/>
                <w:sz w:val="18"/>
                <w:szCs w:val="18"/>
                <w:lang w:val="en-US"/>
              </w:rPr>
              <w:t>218.78</w:t>
            </w:r>
          </w:p>
        </w:tc>
      </w:tr>
    </w:tbl>
    <w:p w14:paraId="5F5D2A69" w14:textId="77777777" w:rsidR="002D2998" w:rsidRPr="00BD295E" w:rsidRDefault="008A5057" w:rsidP="002D2998">
      <w:pPr>
        <w:suppressAutoHyphens/>
        <w:spacing w:before="120"/>
        <w:ind w:firstLine="709"/>
        <w:jc w:val="both"/>
        <w:rPr>
          <w:rFonts w:ascii="Arial" w:hAnsi="Arial" w:cs="Arial"/>
          <w:sz w:val="18"/>
          <w:szCs w:val="18"/>
          <w:lang w:val="en-US"/>
        </w:rPr>
      </w:pPr>
      <w:r w:rsidRPr="00BD295E">
        <w:rPr>
          <w:rFonts w:ascii="Arial" w:hAnsi="Arial" w:cs="Arial"/>
          <w:sz w:val="18"/>
          <w:szCs w:val="18"/>
          <w:lang w:val="en-US"/>
        </w:rPr>
        <w:br w:type="textWrapping" w:clear="all"/>
        <w:t xml:space="preserve">* Deviations from the planned values with regard to transition to digital substations of various voltage classes (35–110 kV) were observed in the project related to the 110 kV digital substation at the Martyshkino substation No. 502 due to the work on rectifying deficiencies identified in the design documents submitted for review. In general, actual costs were not lower than the targets for the Innovative Development Program in 2018 due to the continuous monitoring of progress on innovative projects implemented as part of the innovation activities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during the reporting year by the Coordinating Council for the Development of Innovations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well as due to compensatory measures taken.</w:t>
      </w:r>
    </w:p>
    <w:p w14:paraId="1430E819" w14:textId="77777777" w:rsidR="002D2998" w:rsidRPr="00BD295E" w:rsidRDefault="002D2998" w:rsidP="002D2998">
      <w:pPr>
        <w:contextualSpacing/>
        <w:jc w:val="center"/>
        <w:rPr>
          <w:rFonts w:ascii="Arial" w:hAnsi="Arial" w:cs="Arial"/>
          <w:sz w:val="18"/>
          <w:szCs w:val="18"/>
          <w:lang w:val="en-US"/>
        </w:rPr>
      </w:pPr>
    </w:p>
    <w:p w14:paraId="3344B46A" w14:textId="46D6E57C" w:rsidR="002D2998" w:rsidRPr="00BD295E" w:rsidRDefault="008A5057" w:rsidP="002D2998">
      <w:pPr>
        <w:contextualSpacing/>
        <w:jc w:val="center"/>
        <w:rPr>
          <w:rFonts w:ascii="Arial" w:hAnsi="Arial" w:cs="Arial"/>
          <w:sz w:val="18"/>
          <w:szCs w:val="18"/>
          <w:lang w:val="en-US"/>
        </w:rPr>
      </w:pPr>
      <w:r w:rsidRPr="00BD295E">
        <w:rPr>
          <w:rFonts w:ascii="Arial" w:hAnsi="Arial" w:cs="Arial"/>
          <w:sz w:val="18"/>
          <w:szCs w:val="18"/>
          <w:lang w:val="en-US"/>
        </w:rPr>
        <w:t>Costs for implementing the innovative developmen</w:t>
      </w:r>
      <w:r w:rsidR="00396716" w:rsidRPr="00BD295E">
        <w:rPr>
          <w:rFonts w:ascii="Arial" w:hAnsi="Arial" w:cs="Arial"/>
          <w:sz w:val="18"/>
          <w:szCs w:val="18"/>
          <w:lang w:val="en-US"/>
        </w:rPr>
        <w:t>t program by key area, RUB</w:t>
      </w:r>
      <w:r w:rsidRPr="00BD295E">
        <w:rPr>
          <w:rFonts w:ascii="Arial" w:hAnsi="Arial" w:cs="Arial"/>
          <w:sz w:val="18"/>
          <w:szCs w:val="18"/>
          <w:lang w:val="en-US"/>
        </w:rPr>
        <w:t xml:space="preserve"> million</w:t>
      </w:r>
    </w:p>
    <w:tbl>
      <w:tblPr>
        <w:tblpPr w:leftFromText="180" w:rightFromText="180" w:vertAnchor="text" w:horzAnchor="margin" w:tblpX="426" w:tblpY="133"/>
        <w:tblW w:w="8931" w:type="dxa"/>
        <w:tblLook w:val="04A0" w:firstRow="1" w:lastRow="0" w:firstColumn="1" w:lastColumn="0" w:noHBand="0" w:noVBand="1"/>
      </w:tblPr>
      <w:tblGrid>
        <w:gridCol w:w="2977"/>
        <w:gridCol w:w="2977"/>
        <w:gridCol w:w="2977"/>
      </w:tblGrid>
      <w:tr w:rsidR="008A5057" w:rsidRPr="00BD295E" w14:paraId="045E0A23" w14:textId="77777777" w:rsidTr="00E3510B">
        <w:trPr>
          <w:trHeight w:val="399"/>
        </w:trPr>
        <w:tc>
          <w:tcPr>
            <w:tcW w:w="2977" w:type="dxa"/>
            <w:shd w:val="clear" w:color="auto" w:fill="auto"/>
            <w:vAlign w:val="center"/>
          </w:tcPr>
          <w:p w14:paraId="6DCA1C39" w14:textId="77777777" w:rsidR="002D2998" w:rsidRPr="00BD295E" w:rsidRDefault="008A5057" w:rsidP="00E3510B">
            <w:pPr>
              <w:contextualSpacing/>
              <w:jc w:val="center"/>
              <w:rPr>
                <w:rFonts w:ascii="Arial" w:hAnsi="Arial" w:cs="Arial"/>
                <w:b/>
                <w:sz w:val="18"/>
                <w:szCs w:val="18"/>
                <w:lang w:val="en-US"/>
              </w:rPr>
            </w:pPr>
            <w:r w:rsidRPr="00BD295E">
              <w:rPr>
                <w:rFonts w:ascii="Arial" w:hAnsi="Arial" w:cs="Arial"/>
                <w:b/>
                <w:sz w:val="18"/>
                <w:szCs w:val="18"/>
                <w:lang w:val="en-US"/>
              </w:rPr>
              <w:t>704.9</w:t>
            </w:r>
          </w:p>
        </w:tc>
        <w:tc>
          <w:tcPr>
            <w:tcW w:w="2977" w:type="dxa"/>
            <w:shd w:val="clear" w:color="auto" w:fill="auto"/>
            <w:vAlign w:val="center"/>
          </w:tcPr>
          <w:p w14:paraId="7DA9AF1D" w14:textId="77777777" w:rsidR="002D2998" w:rsidRPr="00BD295E" w:rsidRDefault="008A5057" w:rsidP="00E3510B">
            <w:pPr>
              <w:contextualSpacing/>
              <w:jc w:val="center"/>
              <w:rPr>
                <w:rFonts w:ascii="Arial" w:hAnsi="Arial" w:cs="Arial"/>
                <w:b/>
                <w:sz w:val="18"/>
                <w:szCs w:val="18"/>
                <w:lang w:val="en-US"/>
              </w:rPr>
            </w:pPr>
            <w:r w:rsidRPr="00BD295E">
              <w:rPr>
                <w:rFonts w:ascii="Arial" w:hAnsi="Arial" w:cs="Arial"/>
                <w:b/>
                <w:sz w:val="18"/>
                <w:szCs w:val="18"/>
                <w:lang w:val="en-US"/>
              </w:rPr>
              <w:t>873.9</w:t>
            </w:r>
          </w:p>
        </w:tc>
        <w:tc>
          <w:tcPr>
            <w:tcW w:w="2977" w:type="dxa"/>
            <w:shd w:val="clear" w:color="auto" w:fill="auto"/>
            <w:vAlign w:val="center"/>
          </w:tcPr>
          <w:p w14:paraId="71AFE7D7" w14:textId="77777777" w:rsidR="002D2998" w:rsidRPr="00BD295E" w:rsidRDefault="008A5057" w:rsidP="00E3510B">
            <w:pPr>
              <w:contextualSpacing/>
              <w:jc w:val="center"/>
              <w:rPr>
                <w:rFonts w:ascii="Arial" w:hAnsi="Arial" w:cs="Arial"/>
                <w:b/>
                <w:sz w:val="18"/>
                <w:szCs w:val="18"/>
                <w:lang w:val="en-US"/>
              </w:rPr>
            </w:pPr>
            <w:r w:rsidRPr="00BD295E">
              <w:rPr>
                <w:rFonts w:ascii="Arial" w:hAnsi="Arial" w:cs="Arial"/>
                <w:b/>
                <w:sz w:val="18"/>
                <w:szCs w:val="18"/>
                <w:lang w:val="en-US"/>
              </w:rPr>
              <w:t>1,295.7</w:t>
            </w:r>
          </w:p>
        </w:tc>
      </w:tr>
    </w:tbl>
    <w:p w14:paraId="26B78AE7" w14:textId="6DC6E283" w:rsidR="002D2998" w:rsidRPr="00BD295E" w:rsidRDefault="00997D07" w:rsidP="002D2998">
      <w:pPr>
        <w:contextualSpacing/>
        <w:jc w:val="both"/>
        <w:rPr>
          <w:rFonts w:ascii="Arial" w:hAnsi="Arial" w:cs="Arial"/>
          <w:sz w:val="18"/>
          <w:szCs w:val="18"/>
          <w:lang w:val="en-US"/>
        </w:rPr>
      </w:pPr>
      <w:bookmarkStart w:id="343" w:name="_Hlk95936404"/>
      <w:r w:rsidRPr="00BD295E">
        <w:rPr>
          <w:rFonts w:ascii="Arial" w:hAnsi="Arial" w:cs="Arial"/>
          <w:sz w:val="18"/>
          <w:szCs w:val="18"/>
          <w:lang w:val="en-US" w:eastAsia="en-US"/>
        </w:rPr>
        <w:drawing>
          <wp:inline distT="0" distB="0" distL="0" distR="0" wp14:anchorId="3CF2A3D1" wp14:editId="51EEABC3">
            <wp:extent cx="5939155" cy="3249689"/>
            <wp:effectExtent l="0" t="0" r="4445" b="8255"/>
            <wp:docPr id="62" name="Диаграмма 1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29"/>
                    <pic:cNvPicPr>
                      <a:picLocks noChangeArrowheads="1"/>
                    </pic:cNvPicPr>
                  </pic:nvPicPr>
                  <pic:blipFill rotWithShape="1">
                    <a:blip r:embed="rId87">
                      <a:extLst>
                        <a:ext uri="{28A0092B-C50C-407E-A947-70E740481C1C}">
                          <a14:useLocalDpi xmlns:a14="http://schemas.microsoft.com/office/drawing/2010/main" val="0"/>
                        </a:ext>
                      </a:extLst>
                    </a:blip>
                    <a:srcRect l="-1" r="-53" b="32690"/>
                    <a:stretch/>
                  </pic:blipFill>
                  <pic:spPr bwMode="auto">
                    <a:xfrm>
                      <a:off x="0" y="0"/>
                      <a:ext cx="5939155" cy="3249689"/>
                    </a:xfrm>
                    <a:prstGeom prst="rect">
                      <a:avLst/>
                    </a:prstGeom>
                    <a:noFill/>
                    <a:ln>
                      <a:noFill/>
                    </a:ln>
                    <a:extLst>
                      <a:ext uri="{53640926-AAD7-44D8-BBD7-CCE9431645EC}">
                        <a14:shadowObscured xmlns:a14="http://schemas.microsoft.com/office/drawing/2010/main"/>
                      </a:ext>
                    </a:extLst>
                  </pic:spPr>
                </pic:pic>
              </a:graphicData>
            </a:graphic>
          </wp:inline>
        </w:drawing>
      </w:r>
      <w:bookmarkEnd w:id="343"/>
    </w:p>
    <w:p w14:paraId="1E422D76" w14:textId="110FD7CF" w:rsidR="000E52D1" w:rsidRPr="00BD295E" w:rsidRDefault="000E52D1" w:rsidP="000E52D1">
      <w:pPr>
        <w:spacing w:before="120"/>
        <w:ind w:left="709" w:hanging="283"/>
        <w:rPr>
          <w:sz w:val="22"/>
          <w:szCs w:val="22"/>
          <w:lang w:val="en-US"/>
        </w:rPr>
      </w:pPr>
      <w:r w:rsidRPr="00BD295E">
        <w:rPr>
          <w:color w:val="A9D18E"/>
          <w:sz w:val="18"/>
          <w:szCs w:val="18"/>
          <w:lang w:val="en-US"/>
        </w:rPr>
        <w:sym w:font="Wingdings 2" w:char="F0A2"/>
      </w:r>
      <w:r w:rsidRPr="00BD295E">
        <w:rPr>
          <w:sz w:val="22"/>
          <w:szCs w:val="22"/>
          <w:lang w:val="en-US"/>
        </w:rPr>
        <w:tab/>
        <w:t>Transition to digital and automated substations of different voltage classes</w:t>
      </w:r>
    </w:p>
    <w:p w14:paraId="6BD6CF1F" w14:textId="4951890E" w:rsidR="000E52D1" w:rsidRPr="00BD295E" w:rsidRDefault="000E52D1" w:rsidP="000E52D1">
      <w:pPr>
        <w:spacing w:before="120"/>
        <w:ind w:left="709" w:hanging="283"/>
        <w:rPr>
          <w:sz w:val="22"/>
          <w:szCs w:val="22"/>
          <w:lang w:val="en-US"/>
        </w:rPr>
      </w:pPr>
      <w:r w:rsidRPr="00BD295E">
        <w:rPr>
          <w:color w:val="D26E2A"/>
          <w:sz w:val="18"/>
          <w:szCs w:val="18"/>
          <w:lang w:val="en-US"/>
        </w:rPr>
        <w:sym w:font="Wingdings 2" w:char="F0A2"/>
      </w:r>
      <w:r w:rsidRPr="00BD295E">
        <w:rPr>
          <w:sz w:val="22"/>
          <w:szCs w:val="22"/>
          <w:lang w:val="en-US"/>
        </w:rPr>
        <w:tab/>
        <w:t>Developing the talent pool and partnerships in education and research</w:t>
      </w:r>
    </w:p>
    <w:p w14:paraId="2AD4CE80" w14:textId="7CAF5B2F" w:rsidR="000E52D1" w:rsidRPr="00BD295E" w:rsidRDefault="000E52D1" w:rsidP="000E52D1">
      <w:pPr>
        <w:spacing w:before="120"/>
        <w:ind w:left="709" w:hanging="283"/>
        <w:rPr>
          <w:sz w:val="22"/>
          <w:szCs w:val="22"/>
          <w:lang w:val="en-US"/>
        </w:rPr>
      </w:pPr>
      <w:r w:rsidRPr="00BD295E">
        <w:rPr>
          <w:color w:val="B4C7E7"/>
          <w:sz w:val="18"/>
          <w:szCs w:val="18"/>
          <w:lang w:val="en-US"/>
        </w:rPr>
        <w:sym w:font="Wingdings 2" w:char="F0A2"/>
      </w:r>
      <w:r w:rsidRPr="00BD295E">
        <w:rPr>
          <w:sz w:val="22"/>
          <w:szCs w:val="22"/>
          <w:lang w:val="en-US"/>
        </w:rPr>
        <w:tab/>
        <w:t>R&amp;D (research and development)</w:t>
      </w:r>
    </w:p>
    <w:p w14:paraId="4102D041" w14:textId="253341B2" w:rsidR="000E52D1" w:rsidRPr="00BD295E" w:rsidRDefault="000E52D1" w:rsidP="000E52D1">
      <w:pPr>
        <w:spacing w:before="120"/>
        <w:ind w:left="709" w:hanging="283"/>
        <w:rPr>
          <w:sz w:val="22"/>
          <w:szCs w:val="22"/>
          <w:lang w:val="en-US"/>
        </w:rPr>
      </w:pPr>
      <w:r w:rsidRPr="00BD295E">
        <w:rPr>
          <w:color w:val="777777"/>
          <w:sz w:val="18"/>
          <w:szCs w:val="18"/>
          <w:lang w:val="en-US"/>
        </w:rPr>
        <w:sym w:font="Wingdings 2" w:char="F0A2"/>
      </w:r>
      <w:r w:rsidRPr="00BD295E">
        <w:rPr>
          <w:sz w:val="22"/>
          <w:szCs w:val="22"/>
          <w:lang w:val="en-US"/>
        </w:rPr>
        <w:tab/>
        <w:t>Application of new technologies and materials in the electricity industry</w:t>
      </w:r>
    </w:p>
    <w:p w14:paraId="23FC1998" w14:textId="2D346592" w:rsidR="000E52D1" w:rsidRPr="00BD295E" w:rsidRDefault="000E52D1" w:rsidP="000E52D1">
      <w:pPr>
        <w:spacing w:before="120"/>
        <w:ind w:left="709" w:hanging="283"/>
        <w:rPr>
          <w:sz w:val="22"/>
          <w:szCs w:val="22"/>
          <w:lang w:val="en-US"/>
        </w:rPr>
      </w:pPr>
      <w:r w:rsidRPr="00BD295E">
        <w:rPr>
          <w:color w:val="548235"/>
          <w:sz w:val="18"/>
          <w:szCs w:val="18"/>
          <w:lang w:val="en-US"/>
        </w:rPr>
        <w:sym w:font="Wingdings 2" w:char="F0A2"/>
      </w:r>
      <w:r w:rsidRPr="00BD295E">
        <w:rPr>
          <w:sz w:val="22"/>
          <w:szCs w:val="22"/>
          <w:lang w:val="en-US"/>
        </w:rPr>
        <w:tab/>
        <w:t>Transition to the integrated efficiency of business processes and automation of control systems</w:t>
      </w:r>
    </w:p>
    <w:p w14:paraId="196E96BE" w14:textId="34A9D7DB" w:rsidR="000E52D1" w:rsidRPr="00BD295E" w:rsidRDefault="000E52D1" w:rsidP="000E52D1">
      <w:pPr>
        <w:spacing w:before="120"/>
        <w:ind w:left="709" w:hanging="283"/>
        <w:rPr>
          <w:sz w:val="22"/>
          <w:szCs w:val="22"/>
          <w:lang w:val="en-US"/>
        </w:rPr>
      </w:pPr>
      <w:r w:rsidRPr="00BD295E">
        <w:rPr>
          <w:color w:val="4F81BD"/>
          <w:sz w:val="18"/>
          <w:szCs w:val="18"/>
          <w:lang w:val="en-US"/>
        </w:rPr>
        <w:sym w:font="Wingdings 2" w:char="F0A2"/>
      </w:r>
      <w:r w:rsidRPr="00BD295E">
        <w:rPr>
          <w:sz w:val="22"/>
          <w:szCs w:val="22"/>
          <w:lang w:val="en-US"/>
        </w:rPr>
        <w:tab/>
        <w:t xml:space="preserve">Transition to digital smart grids with a distributed smart control and </w:t>
      </w:r>
      <w:r w:rsidR="002C3947" w:rsidRPr="00BD295E">
        <w:rPr>
          <w:sz w:val="22"/>
          <w:szCs w:val="22"/>
          <w:lang w:val="en-US"/>
        </w:rPr>
        <w:t>automation system</w:t>
      </w:r>
    </w:p>
    <w:p w14:paraId="32FA4BD2" w14:textId="54C1F4BE" w:rsidR="00B20A51" w:rsidRPr="00BD295E" w:rsidRDefault="00B20A51" w:rsidP="002D2998">
      <w:pPr>
        <w:suppressAutoHyphens/>
        <w:ind w:firstLine="851"/>
        <w:contextualSpacing/>
        <w:rPr>
          <w:rFonts w:ascii="Arial" w:hAnsi="Arial" w:cs="Arial"/>
          <w:sz w:val="18"/>
          <w:szCs w:val="18"/>
          <w:lang w:val="en-US"/>
        </w:rPr>
      </w:pPr>
    </w:p>
    <w:p w14:paraId="2FD6F07F" w14:textId="77777777" w:rsidR="00BB6880" w:rsidRPr="00BD295E" w:rsidRDefault="00BB6880" w:rsidP="002D2998">
      <w:pPr>
        <w:suppressAutoHyphens/>
        <w:ind w:firstLine="851"/>
        <w:contextualSpacing/>
        <w:rPr>
          <w:rFonts w:ascii="Arial" w:hAnsi="Arial" w:cs="Arial"/>
          <w:sz w:val="18"/>
          <w:szCs w:val="18"/>
          <w:lang w:val="en-US"/>
        </w:rPr>
      </w:pPr>
    </w:p>
    <w:p w14:paraId="473B7A0D" w14:textId="77777777" w:rsidR="002D2998" w:rsidRPr="00BD295E" w:rsidRDefault="008A5057" w:rsidP="002D2998">
      <w:pPr>
        <w:suppressAutoHyphens/>
        <w:ind w:firstLine="851"/>
        <w:contextualSpacing/>
        <w:rPr>
          <w:rFonts w:ascii="Arial" w:hAnsi="Arial" w:cs="Arial"/>
          <w:sz w:val="18"/>
          <w:szCs w:val="18"/>
          <w:lang w:val="en-US"/>
        </w:rPr>
      </w:pPr>
      <w:r w:rsidRPr="00BD295E">
        <w:rPr>
          <w:rFonts w:ascii="Arial" w:hAnsi="Arial" w:cs="Arial"/>
          <w:sz w:val="18"/>
          <w:szCs w:val="18"/>
          <w:lang w:val="en-US"/>
        </w:rPr>
        <w:t>Performance indicators</w:t>
      </w:r>
    </w:p>
    <w:tbl>
      <w:tblPr>
        <w:tblW w:w="9243" w:type="dxa"/>
        <w:tblInd w:w="108" w:type="dxa"/>
        <w:tblLook w:val="04A0" w:firstRow="1" w:lastRow="0" w:firstColumn="1" w:lastColumn="0" w:noHBand="0" w:noVBand="1"/>
      </w:tblPr>
      <w:tblGrid>
        <w:gridCol w:w="6414"/>
        <w:gridCol w:w="1241"/>
        <w:gridCol w:w="1588"/>
      </w:tblGrid>
      <w:tr w:rsidR="008A5057" w:rsidRPr="00BD295E" w14:paraId="1276F3FE" w14:textId="77777777" w:rsidTr="00A85863">
        <w:trPr>
          <w:trHeight w:val="479"/>
        </w:trPr>
        <w:tc>
          <w:tcPr>
            <w:tcW w:w="64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6187E" w14:textId="77777777" w:rsidR="002D2998" w:rsidRPr="00BD295E" w:rsidRDefault="008A5057" w:rsidP="00A85863">
            <w:pPr>
              <w:contextualSpacing/>
              <w:jc w:val="center"/>
              <w:rPr>
                <w:rFonts w:ascii="Arial" w:hAnsi="Arial" w:cs="Arial"/>
                <w:bCs/>
                <w:sz w:val="18"/>
                <w:szCs w:val="18"/>
                <w:lang w:val="en-US"/>
              </w:rPr>
            </w:pPr>
            <w:r w:rsidRPr="00BD295E">
              <w:rPr>
                <w:rFonts w:ascii="Arial" w:hAnsi="Arial" w:cs="Arial"/>
                <w:bCs/>
                <w:sz w:val="18"/>
                <w:szCs w:val="18"/>
                <w:lang w:val="en-US"/>
              </w:rPr>
              <w:t>Performance Indicator</w:t>
            </w:r>
          </w:p>
        </w:tc>
        <w:tc>
          <w:tcPr>
            <w:tcW w:w="1241" w:type="dxa"/>
            <w:tcBorders>
              <w:top w:val="single" w:sz="4" w:space="0" w:color="auto"/>
              <w:left w:val="nil"/>
              <w:bottom w:val="single" w:sz="4" w:space="0" w:color="auto"/>
              <w:right w:val="single" w:sz="4" w:space="0" w:color="auto"/>
            </w:tcBorders>
            <w:shd w:val="clear" w:color="auto" w:fill="auto"/>
            <w:vAlign w:val="center"/>
            <w:hideMark/>
          </w:tcPr>
          <w:p w14:paraId="7DA67675" w14:textId="3260032D" w:rsidR="002D2998" w:rsidRPr="00BD295E" w:rsidRDefault="00E10B7F" w:rsidP="00A85863">
            <w:pPr>
              <w:contextualSpacing/>
              <w:jc w:val="center"/>
              <w:rPr>
                <w:rFonts w:ascii="Arial" w:hAnsi="Arial" w:cs="Arial"/>
                <w:bCs/>
                <w:sz w:val="18"/>
                <w:szCs w:val="18"/>
                <w:lang w:val="en-US"/>
              </w:rPr>
            </w:pPr>
            <w:r w:rsidRPr="00BD295E">
              <w:rPr>
                <w:rFonts w:ascii="Arial" w:hAnsi="Arial" w:cs="Arial"/>
                <w:bCs/>
                <w:sz w:val="18"/>
                <w:szCs w:val="18"/>
                <w:lang w:val="en-US"/>
              </w:rPr>
              <w:t>Unit</w:t>
            </w:r>
          </w:p>
        </w:tc>
        <w:tc>
          <w:tcPr>
            <w:tcW w:w="1588" w:type="dxa"/>
            <w:tcBorders>
              <w:top w:val="single" w:sz="4" w:space="0" w:color="auto"/>
              <w:left w:val="nil"/>
              <w:bottom w:val="single" w:sz="4" w:space="0" w:color="auto"/>
              <w:right w:val="single" w:sz="4" w:space="0" w:color="auto"/>
            </w:tcBorders>
            <w:shd w:val="clear" w:color="auto" w:fill="auto"/>
            <w:vAlign w:val="center"/>
            <w:hideMark/>
          </w:tcPr>
          <w:p w14:paraId="761B5ACA" w14:textId="77777777" w:rsidR="002D2998" w:rsidRPr="00BD295E" w:rsidRDefault="008A5057" w:rsidP="00A85863">
            <w:pPr>
              <w:ind w:left="-426"/>
              <w:contextualSpacing/>
              <w:jc w:val="center"/>
              <w:rPr>
                <w:rFonts w:ascii="Arial" w:hAnsi="Arial" w:cs="Arial"/>
                <w:bCs/>
                <w:sz w:val="18"/>
                <w:szCs w:val="18"/>
                <w:lang w:val="en-US"/>
              </w:rPr>
            </w:pPr>
            <w:r w:rsidRPr="00BD295E">
              <w:rPr>
                <w:rFonts w:ascii="Arial" w:hAnsi="Arial" w:cs="Arial"/>
                <w:bCs/>
                <w:sz w:val="18"/>
                <w:szCs w:val="18"/>
                <w:lang w:val="en-US"/>
              </w:rPr>
              <w:t>2018</w:t>
            </w:r>
          </w:p>
        </w:tc>
      </w:tr>
      <w:tr w:rsidR="008A5057" w:rsidRPr="00BD295E" w14:paraId="23FB7865" w14:textId="77777777" w:rsidTr="00A85863">
        <w:trPr>
          <w:trHeight w:val="500"/>
        </w:trPr>
        <w:tc>
          <w:tcPr>
            <w:tcW w:w="6414" w:type="dxa"/>
            <w:tcBorders>
              <w:top w:val="nil"/>
              <w:left w:val="single" w:sz="4" w:space="0" w:color="auto"/>
              <w:bottom w:val="single" w:sz="4" w:space="0" w:color="auto"/>
              <w:right w:val="single" w:sz="4" w:space="0" w:color="auto"/>
            </w:tcBorders>
            <w:shd w:val="clear" w:color="auto" w:fill="auto"/>
            <w:hideMark/>
          </w:tcPr>
          <w:p w14:paraId="787B0D72" w14:textId="77777777" w:rsidR="002D2998" w:rsidRPr="00BD295E" w:rsidRDefault="008A5057" w:rsidP="00A85863">
            <w:pPr>
              <w:contextualSpacing/>
              <w:rPr>
                <w:rFonts w:ascii="Arial" w:hAnsi="Arial" w:cs="Arial"/>
                <w:sz w:val="18"/>
                <w:szCs w:val="18"/>
                <w:lang w:val="en-US"/>
              </w:rPr>
            </w:pPr>
            <w:r w:rsidRPr="00BD295E">
              <w:rPr>
                <w:rFonts w:ascii="Arial" w:hAnsi="Arial" w:cs="Arial"/>
                <w:sz w:val="18"/>
                <w:szCs w:val="18"/>
                <w:lang w:val="en-US"/>
              </w:rPr>
              <w:t>Costs of research and development performed by third-party organizations, including by contractor (universities, research organizations, innovation small- and medium-sized businesses)</w:t>
            </w:r>
          </w:p>
        </w:tc>
        <w:tc>
          <w:tcPr>
            <w:tcW w:w="1241" w:type="dxa"/>
            <w:tcBorders>
              <w:top w:val="nil"/>
              <w:left w:val="nil"/>
              <w:bottom w:val="single" w:sz="4" w:space="0" w:color="auto"/>
              <w:right w:val="single" w:sz="4" w:space="0" w:color="auto"/>
            </w:tcBorders>
            <w:shd w:val="clear" w:color="auto" w:fill="auto"/>
            <w:vAlign w:val="center"/>
            <w:hideMark/>
          </w:tcPr>
          <w:p w14:paraId="23BFB4C5" w14:textId="77777777" w:rsidR="002D2998" w:rsidRPr="00BD295E" w:rsidRDefault="008A5057" w:rsidP="00A85863">
            <w:pPr>
              <w:contextualSpacing/>
              <w:rPr>
                <w:rFonts w:ascii="Arial" w:hAnsi="Arial" w:cs="Arial"/>
                <w:sz w:val="18"/>
                <w:szCs w:val="18"/>
                <w:lang w:val="en-US"/>
              </w:rPr>
            </w:pPr>
            <w:r w:rsidRPr="00BD295E">
              <w:rPr>
                <w:rFonts w:ascii="Arial" w:hAnsi="Arial" w:cs="Arial"/>
                <w:sz w:val="18"/>
                <w:szCs w:val="18"/>
                <w:lang w:val="en-US"/>
              </w:rPr>
              <w:t>RUB thousand</w:t>
            </w:r>
          </w:p>
        </w:tc>
        <w:tc>
          <w:tcPr>
            <w:tcW w:w="1588" w:type="dxa"/>
            <w:tcBorders>
              <w:top w:val="nil"/>
              <w:left w:val="nil"/>
              <w:bottom w:val="single" w:sz="4" w:space="0" w:color="auto"/>
              <w:right w:val="single" w:sz="4" w:space="0" w:color="auto"/>
            </w:tcBorders>
            <w:shd w:val="clear" w:color="auto" w:fill="auto"/>
            <w:noWrap/>
            <w:vAlign w:val="center"/>
            <w:hideMark/>
          </w:tcPr>
          <w:p w14:paraId="0C86A1D7" w14:textId="77777777" w:rsidR="002D2998" w:rsidRPr="00BD295E" w:rsidRDefault="008A5057" w:rsidP="00A85863">
            <w:pPr>
              <w:ind w:left="-426" w:firstLine="284"/>
              <w:contextualSpacing/>
              <w:jc w:val="center"/>
              <w:rPr>
                <w:rFonts w:ascii="Arial" w:hAnsi="Arial" w:cs="Arial"/>
                <w:sz w:val="18"/>
                <w:szCs w:val="18"/>
                <w:lang w:val="en-US"/>
              </w:rPr>
            </w:pPr>
            <w:r w:rsidRPr="00BD295E">
              <w:rPr>
                <w:rFonts w:ascii="Arial" w:hAnsi="Arial" w:cs="Arial"/>
                <w:sz w:val="18"/>
                <w:szCs w:val="18"/>
                <w:lang w:val="en-US"/>
              </w:rPr>
              <w:t>31,549.7 </w:t>
            </w:r>
          </w:p>
        </w:tc>
      </w:tr>
      <w:tr w:rsidR="008A5057" w:rsidRPr="00BD295E" w14:paraId="735A31B2" w14:textId="77777777" w:rsidTr="00A85863">
        <w:trPr>
          <w:trHeight w:val="70"/>
        </w:trPr>
        <w:tc>
          <w:tcPr>
            <w:tcW w:w="6414" w:type="dxa"/>
            <w:tcBorders>
              <w:top w:val="nil"/>
              <w:left w:val="single" w:sz="4" w:space="0" w:color="auto"/>
              <w:bottom w:val="single" w:sz="4" w:space="0" w:color="auto"/>
              <w:right w:val="single" w:sz="4" w:space="0" w:color="auto"/>
            </w:tcBorders>
            <w:shd w:val="clear" w:color="auto" w:fill="auto"/>
            <w:hideMark/>
          </w:tcPr>
          <w:p w14:paraId="01467284" w14:textId="77777777" w:rsidR="002D2998" w:rsidRPr="00BD295E" w:rsidRDefault="008A5057" w:rsidP="00A85863">
            <w:pPr>
              <w:contextualSpacing/>
              <w:rPr>
                <w:rFonts w:ascii="Arial" w:hAnsi="Arial" w:cs="Arial"/>
                <w:sz w:val="18"/>
                <w:szCs w:val="18"/>
                <w:lang w:val="en-US"/>
              </w:rPr>
            </w:pPr>
            <w:r w:rsidRPr="00BD295E">
              <w:rPr>
                <w:rFonts w:ascii="Arial" w:hAnsi="Arial" w:cs="Arial"/>
                <w:sz w:val="18"/>
                <w:szCs w:val="18"/>
                <w:lang w:val="en-US"/>
              </w:rPr>
              <w:t xml:space="preserve">including for projects implemented as part of technology platforms </w:t>
            </w:r>
          </w:p>
        </w:tc>
        <w:tc>
          <w:tcPr>
            <w:tcW w:w="1241" w:type="dxa"/>
            <w:tcBorders>
              <w:top w:val="nil"/>
              <w:left w:val="nil"/>
              <w:bottom w:val="single" w:sz="4" w:space="0" w:color="auto"/>
              <w:right w:val="single" w:sz="4" w:space="0" w:color="auto"/>
            </w:tcBorders>
            <w:shd w:val="clear" w:color="auto" w:fill="auto"/>
            <w:vAlign w:val="center"/>
            <w:hideMark/>
          </w:tcPr>
          <w:p w14:paraId="06A3F1CC" w14:textId="77777777" w:rsidR="002D2998" w:rsidRPr="00BD295E" w:rsidRDefault="008A5057" w:rsidP="00A85863">
            <w:pPr>
              <w:ind w:firstLine="720"/>
              <w:contextualSpacing/>
              <w:jc w:val="center"/>
              <w:rPr>
                <w:rFonts w:ascii="Arial" w:hAnsi="Arial" w:cs="Arial"/>
                <w:sz w:val="18"/>
                <w:szCs w:val="18"/>
                <w:lang w:val="en-US"/>
              </w:rPr>
            </w:pPr>
            <w:r w:rsidRPr="00BD295E">
              <w:rPr>
                <w:rFonts w:ascii="Arial" w:hAnsi="Arial" w:cs="Arial"/>
                <w:sz w:val="18"/>
                <w:szCs w:val="18"/>
                <w:lang w:val="en-US"/>
              </w:rPr>
              <w:t> </w:t>
            </w:r>
          </w:p>
        </w:tc>
        <w:tc>
          <w:tcPr>
            <w:tcW w:w="1588" w:type="dxa"/>
            <w:tcBorders>
              <w:top w:val="nil"/>
              <w:left w:val="nil"/>
              <w:bottom w:val="single" w:sz="4" w:space="0" w:color="auto"/>
              <w:right w:val="single" w:sz="4" w:space="0" w:color="auto"/>
            </w:tcBorders>
            <w:shd w:val="clear" w:color="auto" w:fill="auto"/>
            <w:noWrap/>
            <w:vAlign w:val="center"/>
            <w:hideMark/>
          </w:tcPr>
          <w:p w14:paraId="5A7FC94B" w14:textId="77777777" w:rsidR="002D2998" w:rsidRPr="00BD295E" w:rsidRDefault="008A5057" w:rsidP="00A85863">
            <w:pPr>
              <w:ind w:left="-426" w:firstLine="284"/>
              <w:contextualSpacing/>
              <w:jc w:val="center"/>
              <w:rPr>
                <w:rFonts w:ascii="Arial" w:hAnsi="Arial" w:cs="Arial"/>
                <w:sz w:val="18"/>
                <w:szCs w:val="18"/>
                <w:lang w:val="en-US"/>
              </w:rPr>
            </w:pPr>
            <w:r w:rsidRPr="00BD295E">
              <w:rPr>
                <w:rFonts w:ascii="Arial" w:hAnsi="Arial" w:cs="Arial"/>
                <w:sz w:val="18"/>
                <w:szCs w:val="18"/>
                <w:lang w:val="en-US"/>
              </w:rPr>
              <w:t> </w:t>
            </w:r>
          </w:p>
        </w:tc>
      </w:tr>
      <w:tr w:rsidR="008A5057" w:rsidRPr="00BD295E" w14:paraId="6B19021B" w14:textId="77777777" w:rsidTr="00A85863">
        <w:trPr>
          <w:trHeight w:val="70"/>
        </w:trPr>
        <w:tc>
          <w:tcPr>
            <w:tcW w:w="6414" w:type="dxa"/>
            <w:tcBorders>
              <w:top w:val="nil"/>
              <w:left w:val="single" w:sz="4" w:space="0" w:color="auto"/>
              <w:bottom w:val="single" w:sz="4" w:space="0" w:color="auto"/>
              <w:right w:val="single" w:sz="4" w:space="0" w:color="auto"/>
            </w:tcBorders>
            <w:shd w:val="clear" w:color="auto" w:fill="auto"/>
            <w:hideMark/>
          </w:tcPr>
          <w:p w14:paraId="66316662" w14:textId="77777777" w:rsidR="002D2998" w:rsidRPr="00BD295E" w:rsidRDefault="002D2998" w:rsidP="00A85863">
            <w:pPr>
              <w:ind w:firstLineChars="200" w:firstLine="360"/>
              <w:contextualSpacing/>
              <w:rPr>
                <w:rFonts w:ascii="Arial" w:hAnsi="Arial" w:cs="Arial"/>
                <w:sz w:val="18"/>
                <w:szCs w:val="18"/>
                <w:lang w:val="en-US"/>
              </w:rPr>
            </w:pPr>
          </w:p>
        </w:tc>
        <w:tc>
          <w:tcPr>
            <w:tcW w:w="1241" w:type="dxa"/>
            <w:tcBorders>
              <w:top w:val="nil"/>
              <w:left w:val="nil"/>
              <w:bottom w:val="single" w:sz="4" w:space="0" w:color="auto"/>
              <w:right w:val="single" w:sz="4" w:space="0" w:color="auto"/>
            </w:tcBorders>
            <w:shd w:val="clear" w:color="auto" w:fill="auto"/>
            <w:vAlign w:val="center"/>
            <w:hideMark/>
          </w:tcPr>
          <w:p w14:paraId="1031AD06" w14:textId="77777777" w:rsidR="002D2998" w:rsidRPr="00BD295E" w:rsidRDefault="008A5057" w:rsidP="00A85863">
            <w:pPr>
              <w:contextualSpacing/>
              <w:rPr>
                <w:rFonts w:ascii="Arial" w:hAnsi="Arial" w:cs="Arial"/>
                <w:sz w:val="18"/>
                <w:szCs w:val="18"/>
                <w:lang w:val="en-US"/>
              </w:rPr>
            </w:pPr>
            <w:r w:rsidRPr="00BD295E">
              <w:rPr>
                <w:rFonts w:ascii="Arial" w:hAnsi="Arial" w:cs="Arial"/>
                <w:sz w:val="18"/>
                <w:szCs w:val="18"/>
                <w:lang w:val="en-US"/>
              </w:rPr>
              <w:t>RUB thousand</w:t>
            </w:r>
          </w:p>
        </w:tc>
        <w:tc>
          <w:tcPr>
            <w:tcW w:w="1588" w:type="dxa"/>
            <w:tcBorders>
              <w:top w:val="nil"/>
              <w:left w:val="nil"/>
              <w:bottom w:val="single" w:sz="4" w:space="0" w:color="auto"/>
              <w:right w:val="single" w:sz="4" w:space="0" w:color="auto"/>
            </w:tcBorders>
            <w:shd w:val="clear" w:color="auto" w:fill="auto"/>
            <w:noWrap/>
            <w:vAlign w:val="center"/>
            <w:hideMark/>
          </w:tcPr>
          <w:p w14:paraId="5CC7767A" w14:textId="77777777" w:rsidR="002D2998" w:rsidRPr="00BD295E" w:rsidRDefault="008A5057" w:rsidP="00A85863">
            <w:pPr>
              <w:ind w:left="-426" w:firstLine="284"/>
              <w:contextualSpacing/>
              <w:jc w:val="center"/>
              <w:rPr>
                <w:rFonts w:ascii="Arial" w:hAnsi="Arial" w:cs="Arial"/>
                <w:sz w:val="18"/>
                <w:szCs w:val="18"/>
                <w:lang w:val="en-US"/>
              </w:rPr>
            </w:pPr>
            <w:r w:rsidRPr="00BD295E">
              <w:rPr>
                <w:rFonts w:ascii="Arial" w:hAnsi="Arial" w:cs="Arial"/>
                <w:sz w:val="18"/>
                <w:szCs w:val="18"/>
                <w:lang w:val="en-US"/>
              </w:rPr>
              <w:t> 4,005.47</w:t>
            </w:r>
          </w:p>
        </w:tc>
      </w:tr>
      <w:tr w:rsidR="008A5057" w:rsidRPr="00BD295E" w14:paraId="3CC3CEC4" w14:textId="77777777" w:rsidTr="00A85863">
        <w:trPr>
          <w:trHeight w:val="70"/>
        </w:trPr>
        <w:tc>
          <w:tcPr>
            <w:tcW w:w="6414" w:type="dxa"/>
            <w:tcBorders>
              <w:top w:val="nil"/>
              <w:left w:val="single" w:sz="4" w:space="0" w:color="auto"/>
              <w:bottom w:val="single" w:sz="4" w:space="0" w:color="auto"/>
              <w:right w:val="single" w:sz="4" w:space="0" w:color="auto"/>
            </w:tcBorders>
            <w:shd w:val="clear" w:color="auto" w:fill="auto"/>
            <w:hideMark/>
          </w:tcPr>
          <w:p w14:paraId="3972B334" w14:textId="77777777" w:rsidR="002D2998" w:rsidRPr="00BD295E" w:rsidRDefault="008A5057" w:rsidP="00A85863">
            <w:pPr>
              <w:ind w:firstLineChars="200" w:firstLine="360"/>
              <w:contextualSpacing/>
              <w:rPr>
                <w:rFonts w:ascii="Arial" w:hAnsi="Arial" w:cs="Arial"/>
                <w:sz w:val="18"/>
                <w:szCs w:val="18"/>
                <w:lang w:val="en-US"/>
              </w:rPr>
            </w:pPr>
            <w:r w:rsidRPr="00BD295E">
              <w:rPr>
                <w:rFonts w:ascii="Arial" w:hAnsi="Arial" w:cs="Arial"/>
                <w:sz w:val="18"/>
                <w:szCs w:val="18"/>
                <w:lang w:val="en-US"/>
              </w:rPr>
              <w:t>Universities</w:t>
            </w:r>
          </w:p>
        </w:tc>
        <w:tc>
          <w:tcPr>
            <w:tcW w:w="1241" w:type="dxa"/>
            <w:tcBorders>
              <w:top w:val="nil"/>
              <w:left w:val="nil"/>
              <w:bottom w:val="single" w:sz="4" w:space="0" w:color="auto"/>
              <w:right w:val="single" w:sz="4" w:space="0" w:color="auto"/>
            </w:tcBorders>
            <w:shd w:val="clear" w:color="auto" w:fill="auto"/>
            <w:vAlign w:val="center"/>
            <w:hideMark/>
          </w:tcPr>
          <w:p w14:paraId="0051B33A" w14:textId="77777777" w:rsidR="002D2998" w:rsidRPr="00BD295E" w:rsidRDefault="008A5057" w:rsidP="00A85863">
            <w:pPr>
              <w:contextualSpacing/>
              <w:rPr>
                <w:rFonts w:ascii="Arial" w:hAnsi="Arial" w:cs="Arial"/>
                <w:sz w:val="18"/>
                <w:szCs w:val="18"/>
                <w:lang w:val="en-US"/>
              </w:rPr>
            </w:pPr>
            <w:r w:rsidRPr="00BD295E">
              <w:rPr>
                <w:rFonts w:ascii="Arial" w:hAnsi="Arial" w:cs="Arial"/>
                <w:sz w:val="18"/>
                <w:szCs w:val="18"/>
                <w:lang w:val="en-US"/>
              </w:rPr>
              <w:t>RUB thousand</w:t>
            </w:r>
          </w:p>
        </w:tc>
        <w:tc>
          <w:tcPr>
            <w:tcW w:w="1588" w:type="dxa"/>
            <w:tcBorders>
              <w:top w:val="nil"/>
              <w:left w:val="nil"/>
              <w:bottom w:val="single" w:sz="4" w:space="0" w:color="auto"/>
              <w:right w:val="single" w:sz="4" w:space="0" w:color="auto"/>
            </w:tcBorders>
            <w:shd w:val="clear" w:color="auto" w:fill="auto"/>
            <w:noWrap/>
            <w:vAlign w:val="center"/>
            <w:hideMark/>
          </w:tcPr>
          <w:p w14:paraId="595569AC" w14:textId="77777777" w:rsidR="002D2998" w:rsidRPr="00BD295E" w:rsidRDefault="008A5057" w:rsidP="00A85863">
            <w:pPr>
              <w:ind w:left="-426" w:firstLine="284"/>
              <w:contextualSpacing/>
              <w:jc w:val="center"/>
              <w:rPr>
                <w:rFonts w:ascii="Arial" w:hAnsi="Arial" w:cs="Arial"/>
                <w:sz w:val="18"/>
                <w:szCs w:val="18"/>
                <w:lang w:val="en-US"/>
              </w:rPr>
            </w:pPr>
            <w:r w:rsidRPr="00BD295E">
              <w:rPr>
                <w:rFonts w:ascii="Arial" w:hAnsi="Arial" w:cs="Arial"/>
                <w:sz w:val="18"/>
                <w:szCs w:val="18"/>
                <w:lang w:val="en-US"/>
              </w:rPr>
              <w:t> 9,200</w:t>
            </w:r>
          </w:p>
        </w:tc>
      </w:tr>
      <w:tr w:rsidR="008A5057" w:rsidRPr="00BD295E" w14:paraId="58D2F3E2" w14:textId="77777777" w:rsidTr="00A85863">
        <w:trPr>
          <w:trHeight w:val="70"/>
        </w:trPr>
        <w:tc>
          <w:tcPr>
            <w:tcW w:w="6414" w:type="dxa"/>
            <w:tcBorders>
              <w:top w:val="nil"/>
              <w:left w:val="single" w:sz="4" w:space="0" w:color="auto"/>
              <w:bottom w:val="single" w:sz="4" w:space="0" w:color="auto"/>
              <w:right w:val="single" w:sz="4" w:space="0" w:color="auto"/>
            </w:tcBorders>
            <w:shd w:val="clear" w:color="auto" w:fill="auto"/>
            <w:hideMark/>
          </w:tcPr>
          <w:p w14:paraId="3EE010EA" w14:textId="77777777" w:rsidR="002D2998" w:rsidRPr="00BD295E" w:rsidRDefault="008A5057" w:rsidP="00A85863">
            <w:pPr>
              <w:ind w:firstLineChars="200" w:firstLine="360"/>
              <w:contextualSpacing/>
              <w:rPr>
                <w:rFonts w:ascii="Arial" w:hAnsi="Arial" w:cs="Arial"/>
                <w:sz w:val="18"/>
                <w:szCs w:val="18"/>
                <w:lang w:val="en-US"/>
              </w:rPr>
            </w:pPr>
            <w:r w:rsidRPr="00BD295E">
              <w:rPr>
                <w:rFonts w:ascii="Arial" w:hAnsi="Arial" w:cs="Arial"/>
                <w:sz w:val="18"/>
                <w:szCs w:val="18"/>
                <w:lang w:val="en-US"/>
              </w:rPr>
              <w:t xml:space="preserve">Research </w:t>
            </w:r>
            <w:r w:rsidR="00CF0D86" w:rsidRPr="00BD295E">
              <w:rPr>
                <w:rFonts w:ascii="Arial" w:hAnsi="Arial" w:cs="Arial"/>
                <w:sz w:val="18"/>
                <w:szCs w:val="18"/>
                <w:lang w:val="en-US"/>
              </w:rPr>
              <w:t>organizations</w:t>
            </w:r>
          </w:p>
        </w:tc>
        <w:tc>
          <w:tcPr>
            <w:tcW w:w="1241" w:type="dxa"/>
            <w:tcBorders>
              <w:top w:val="nil"/>
              <w:left w:val="nil"/>
              <w:bottom w:val="single" w:sz="4" w:space="0" w:color="auto"/>
              <w:right w:val="single" w:sz="4" w:space="0" w:color="auto"/>
            </w:tcBorders>
            <w:shd w:val="clear" w:color="auto" w:fill="auto"/>
            <w:vAlign w:val="center"/>
            <w:hideMark/>
          </w:tcPr>
          <w:p w14:paraId="34F5C770" w14:textId="77777777" w:rsidR="002D2998" w:rsidRPr="00BD295E" w:rsidRDefault="008A5057" w:rsidP="00A85863">
            <w:pPr>
              <w:contextualSpacing/>
              <w:rPr>
                <w:rFonts w:ascii="Arial" w:hAnsi="Arial" w:cs="Arial"/>
                <w:sz w:val="18"/>
                <w:szCs w:val="18"/>
                <w:lang w:val="en-US"/>
              </w:rPr>
            </w:pPr>
            <w:r w:rsidRPr="00BD295E">
              <w:rPr>
                <w:rFonts w:ascii="Arial" w:hAnsi="Arial" w:cs="Arial"/>
                <w:sz w:val="18"/>
                <w:szCs w:val="18"/>
                <w:lang w:val="en-US"/>
              </w:rPr>
              <w:t>RUB thousand</w:t>
            </w:r>
          </w:p>
        </w:tc>
        <w:tc>
          <w:tcPr>
            <w:tcW w:w="1588" w:type="dxa"/>
            <w:tcBorders>
              <w:top w:val="nil"/>
              <w:left w:val="nil"/>
              <w:bottom w:val="single" w:sz="4" w:space="0" w:color="auto"/>
              <w:right w:val="single" w:sz="4" w:space="0" w:color="auto"/>
            </w:tcBorders>
            <w:shd w:val="clear" w:color="auto" w:fill="auto"/>
            <w:noWrap/>
            <w:vAlign w:val="center"/>
            <w:hideMark/>
          </w:tcPr>
          <w:p w14:paraId="53F0D2C7" w14:textId="77777777" w:rsidR="002D2998" w:rsidRPr="00BD295E" w:rsidRDefault="008A5057" w:rsidP="00A85863">
            <w:pPr>
              <w:ind w:left="-426" w:firstLine="284"/>
              <w:contextualSpacing/>
              <w:jc w:val="center"/>
              <w:rPr>
                <w:rFonts w:ascii="Arial" w:hAnsi="Arial" w:cs="Arial"/>
                <w:sz w:val="18"/>
                <w:szCs w:val="18"/>
                <w:lang w:val="en-US"/>
              </w:rPr>
            </w:pPr>
            <w:r w:rsidRPr="00BD295E">
              <w:rPr>
                <w:rFonts w:ascii="Arial" w:hAnsi="Arial" w:cs="Arial"/>
                <w:sz w:val="18"/>
                <w:szCs w:val="18"/>
                <w:lang w:val="en-US"/>
              </w:rPr>
              <w:t>22,349.7 </w:t>
            </w:r>
          </w:p>
        </w:tc>
      </w:tr>
      <w:tr w:rsidR="008A5057" w:rsidRPr="00BD295E" w14:paraId="43FDB163" w14:textId="77777777" w:rsidTr="00A85863">
        <w:trPr>
          <w:trHeight w:val="330"/>
        </w:trPr>
        <w:tc>
          <w:tcPr>
            <w:tcW w:w="6414" w:type="dxa"/>
            <w:tcBorders>
              <w:top w:val="nil"/>
              <w:left w:val="single" w:sz="4" w:space="0" w:color="auto"/>
              <w:bottom w:val="single" w:sz="4" w:space="0" w:color="auto"/>
              <w:right w:val="single" w:sz="4" w:space="0" w:color="auto"/>
            </w:tcBorders>
            <w:shd w:val="clear" w:color="auto" w:fill="auto"/>
            <w:hideMark/>
          </w:tcPr>
          <w:p w14:paraId="2FE30BE8" w14:textId="77777777" w:rsidR="002D2998" w:rsidRPr="00BD295E" w:rsidRDefault="008A5057" w:rsidP="00A85863">
            <w:pPr>
              <w:contextualSpacing/>
              <w:rPr>
                <w:rFonts w:ascii="Arial" w:hAnsi="Arial" w:cs="Arial"/>
                <w:sz w:val="18"/>
                <w:szCs w:val="18"/>
                <w:lang w:val="en-US"/>
              </w:rPr>
            </w:pPr>
            <w:r w:rsidRPr="00BD295E">
              <w:rPr>
                <w:rFonts w:ascii="Arial" w:hAnsi="Arial" w:cs="Arial"/>
                <w:sz w:val="18"/>
                <w:szCs w:val="18"/>
                <w:lang w:val="en-US"/>
              </w:rPr>
              <w:t>Costs for purchasing innovative products (technologies, solutions, goods, works, services as provided for under the approved Innovative Development Program of the Company)</w:t>
            </w:r>
          </w:p>
        </w:tc>
        <w:tc>
          <w:tcPr>
            <w:tcW w:w="1241" w:type="dxa"/>
            <w:tcBorders>
              <w:top w:val="nil"/>
              <w:left w:val="nil"/>
              <w:bottom w:val="single" w:sz="4" w:space="0" w:color="auto"/>
              <w:right w:val="single" w:sz="4" w:space="0" w:color="auto"/>
            </w:tcBorders>
            <w:shd w:val="clear" w:color="auto" w:fill="auto"/>
            <w:vAlign w:val="center"/>
            <w:hideMark/>
          </w:tcPr>
          <w:p w14:paraId="344C7EDA" w14:textId="77777777" w:rsidR="002D2998" w:rsidRPr="00BD295E" w:rsidRDefault="008A5057" w:rsidP="00A85863">
            <w:pPr>
              <w:contextualSpacing/>
              <w:rPr>
                <w:rFonts w:ascii="Arial" w:hAnsi="Arial" w:cs="Arial"/>
                <w:sz w:val="18"/>
                <w:szCs w:val="18"/>
                <w:lang w:val="en-US"/>
              </w:rPr>
            </w:pPr>
            <w:r w:rsidRPr="00BD295E">
              <w:rPr>
                <w:rFonts w:ascii="Arial" w:hAnsi="Arial" w:cs="Arial"/>
                <w:sz w:val="18"/>
                <w:szCs w:val="18"/>
                <w:lang w:val="en-US"/>
              </w:rPr>
              <w:t>RUB thousand</w:t>
            </w:r>
          </w:p>
        </w:tc>
        <w:tc>
          <w:tcPr>
            <w:tcW w:w="1588" w:type="dxa"/>
            <w:tcBorders>
              <w:top w:val="nil"/>
              <w:left w:val="nil"/>
              <w:bottom w:val="single" w:sz="4" w:space="0" w:color="auto"/>
              <w:right w:val="single" w:sz="4" w:space="0" w:color="auto"/>
            </w:tcBorders>
            <w:shd w:val="clear" w:color="000000" w:fill="FFFFFF"/>
            <w:noWrap/>
            <w:vAlign w:val="center"/>
            <w:hideMark/>
          </w:tcPr>
          <w:p w14:paraId="75AB342E" w14:textId="77777777" w:rsidR="002D2998" w:rsidRPr="00BD295E" w:rsidRDefault="008A5057" w:rsidP="00A85863">
            <w:pPr>
              <w:ind w:left="-426" w:firstLine="284"/>
              <w:contextualSpacing/>
              <w:jc w:val="center"/>
              <w:rPr>
                <w:rFonts w:ascii="Arial" w:hAnsi="Arial" w:cs="Arial"/>
                <w:sz w:val="18"/>
                <w:szCs w:val="18"/>
                <w:lang w:val="en-US"/>
              </w:rPr>
            </w:pPr>
            <w:r w:rsidRPr="00BD295E">
              <w:rPr>
                <w:rFonts w:ascii="Arial" w:hAnsi="Arial" w:cs="Arial"/>
                <w:sz w:val="18"/>
                <w:szCs w:val="18"/>
                <w:lang w:val="en-US"/>
              </w:rPr>
              <w:t>1,259,941.1</w:t>
            </w:r>
          </w:p>
        </w:tc>
      </w:tr>
    </w:tbl>
    <w:p w14:paraId="768AF35C" w14:textId="77777777" w:rsidR="002D2998" w:rsidRPr="00BD295E" w:rsidRDefault="002D2998" w:rsidP="002D2998">
      <w:pPr>
        <w:ind w:firstLine="709"/>
        <w:contextualSpacing/>
        <w:jc w:val="both"/>
        <w:rPr>
          <w:rFonts w:ascii="Arial" w:hAnsi="Arial" w:cs="Arial"/>
          <w:b/>
          <w:sz w:val="18"/>
          <w:szCs w:val="18"/>
          <w:lang w:val="en-US"/>
        </w:rPr>
      </w:pPr>
    </w:p>
    <w:p w14:paraId="4BA70CCD" w14:textId="77777777" w:rsidR="002D2998" w:rsidRPr="00BD295E" w:rsidRDefault="008A5057" w:rsidP="003D49A2">
      <w:pPr>
        <w:jc w:val="both"/>
        <w:rPr>
          <w:rFonts w:ascii="Arial" w:hAnsi="Arial" w:cs="Arial"/>
          <w:b/>
          <w:sz w:val="18"/>
          <w:szCs w:val="18"/>
          <w:lang w:val="en-US"/>
        </w:rPr>
      </w:pPr>
      <w:r w:rsidRPr="00BD295E">
        <w:rPr>
          <w:rFonts w:ascii="Arial" w:hAnsi="Arial" w:cs="Arial"/>
          <w:b/>
          <w:sz w:val="18"/>
          <w:szCs w:val="18"/>
          <w:lang w:val="en-US"/>
        </w:rPr>
        <w:t>R&amp;D</w:t>
      </w:r>
    </w:p>
    <w:p w14:paraId="62A30264" w14:textId="77777777" w:rsidR="002D2998"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 xml:space="preserve">The R&amp;D Program includes measures to develop breakthrough technologies aimed at creating principally new developments, technologies, and methods, as well as applied topics aimed at improving existing technologies. </w:t>
      </w:r>
    </w:p>
    <w:p w14:paraId="229FA214" w14:textId="77777777" w:rsidR="002D2998"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The key goal of the R&amp;D Program is to create and develop a smart energy system with a smart electric grid.</w:t>
      </w:r>
    </w:p>
    <w:p w14:paraId="61199462" w14:textId="77777777" w:rsidR="002D2998" w:rsidRPr="00BD295E" w:rsidRDefault="008A5057" w:rsidP="003D49A2">
      <w:pPr>
        <w:spacing w:before="120" w:after="120"/>
        <w:rPr>
          <w:rFonts w:ascii="Arial" w:hAnsi="Arial" w:cs="Arial"/>
          <w:sz w:val="18"/>
          <w:szCs w:val="18"/>
          <w:lang w:val="en-US"/>
        </w:rPr>
      </w:pPr>
      <w:r w:rsidRPr="00BD295E">
        <w:rPr>
          <w:rFonts w:ascii="Arial" w:hAnsi="Arial" w:cs="Arial"/>
          <w:sz w:val="18"/>
          <w:szCs w:val="18"/>
          <w:lang w:val="en-US"/>
        </w:rPr>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engaged in the following R&amp;D: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4105"/>
      </w:tblGrid>
      <w:tr w:rsidR="008A5057" w:rsidRPr="00BD295E" w14:paraId="6AA35FFE" w14:textId="77777777" w:rsidTr="00A85863">
        <w:trPr>
          <w:trHeight w:val="407"/>
        </w:trPr>
        <w:tc>
          <w:tcPr>
            <w:tcW w:w="5245" w:type="dxa"/>
            <w:shd w:val="clear" w:color="auto" w:fill="auto"/>
            <w:vAlign w:val="center"/>
          </w:tcPr>
          <w:p w14:paraId="2D5E5981" w14:textId="77777777" w:rsidR="002D2998" w:rsidRPr="00BD295E" w:rsidRDefault="008A5057" w:rsidP="00A85863">
            <w:pPr>
              <w:pStyle w:val="afffff3"/>
              <w:ind w:firstLine="0"/>
              <w:jc w:val="center"/>
              <w:rPr>
                <w:rFonts w:ascii="Arial" w:hAnsi="Arial" w:cs="Arial"/>
                <w:sz w:val="18"/>
                <w:szCs w:val="18"/>
                <w:lang w:val="en-US"/>
              </w:rPr>
            </w:pPr>
            <w:r w:rsidRPr="00BD295E">
              <w:rPr>
                <w:rFonts w:ascii="Arial" w:hAnsi="Arial" w:cs="Arial"/>
                <w:sz w:val="18"/>
                <w:szCs w:val="18"/>
                <w:lang w:val="en-US"/>
              </w:rPr>
              <w:t>R&amp;D solution</w:t>
            </w:r>
          </w:p>
        </w:tc>
        <w:tc>
          <w:tcPr>
            <w:tcW w:w="4105" w:type="dxa"/>
            <w:shd w:val="clear" w:color="auto" w:fill="auto"/>
            <w:vAlign w:val="center"/>
          </w:tcPr>
          <w:p w14:paraId="179C84E7" w14:textId="77777777" w:rsidR="002D2998" w:rsidRPr="00BD295E" w:rsidRDefault="00BF106F" w:rsidP="00BF106F">
            <w:pPr>
              <w:pStyle w:val="afffff3"/>
              <w:ind w:firstLine="0"/>
              <w:jc w:val="center"/>
              <w:rPr>
                <w:rFonts w:ascii="Arial" w:hAnsi="Arial" w:cs="Arial"/>
                <w:sz w:val="18"/>
                <w:szCs w:val="18"/>
                <w:lang w:val="en-US"/>
              </w:rPr>
            </w:pPr>
            <w:r w:rsidRPr="00BD295E">
              <w:rPr>
                <w:rFonts w:ascii="Arial" w:hAnsi="Arial" w:cs="Arial"/>
                <w:sz w:val="18"/>
                <w:szCs w:val="18"/>
                <w:lang w:val="en-US"/>
              </w:rPr>
              <w:t>Innovation area</w:t>
            </w:r>
          </w:p>
        </w:tc>
      </w:tr>
      <w:tr w:rsidR="008A5057" w:rsidRPr="00BD295E" w14:paraId="7AA6B68D" w14:textId="77777777" w:rsidTr="00A85863">
        <w:tc>
          <w:tcPr>
            <w:tcW w:w="5245" w:type="dxa"/>
            <w:shd w:val="clear" w:color="auto" w:fill="auto"/>
          </w:tcPr>
          <w:p w14:paraId="18A67775" w14:textId="77777777" w:rsidR="002D2998" w:rsidRPr="00BD295E" w:rsidRDefault="008A5057" w:rsidP="00A85863">
            <w:pPr>
              <w:tabs>
                <w:tab w:val="left" w:pos="281"/>
              </w:tabs>
              <w:suppressAutoHyphens/>
              <w:rPr>
                <w:rFonts w:ascii="Arial" w:hAnsi="Arial" w:cs="Arial"/>
                <w:sz w:val="18"/>
                <w:szCs w:val="18"/>
                <w:lang w:val="en-US"/>
              </w:rPr>
            </w:pPr>
            <w:r w:rsidRPr="00BD295E">
              <w:rPr>
                <w:rFonts w:ascii="Arial" w:hAnsi="Arial" w:cs="Arial"/>
                <w:sz w:val="18"/>
                <w:szCs w:val="18"/>
                <w:lang w:val="en-US"/>
              </w:rPr>
              <w:t>Developing an automated control system for urban distribution 6-10 kV cable grids.</w:t>
            </w:r>
          </w:p>
        </w:tc>
        <w:tc>
          <w:tcPr>
            <w:tcW w:w="4105" w:type="dxa"/>
            <w:shd w:val="clear" w:color="auto" w:fill="auto"/>
          </w:tcPr>
          <w:p w14:paraId="4541715C" w14:textId="77777777" w:rsidR="002D2998" w:rsidRPr="00BD295E" w:rsidRDefault="00BF106F" w:rsidP="00BF106F">
            <w:pPr>
              <w:pStyle w:val="afffff3"/>
              <w:tabs>
                <w:tab w:val="clear" w:pos="1080"/>
                <w:tab w:val="clear" w:pos="1320"/>
              </w:tabs>
              <w:ind w:firstLine="0"/>
              <w:rPr>
                <w:rFonts w:ascii="Arial" w:hAnsi="Arial" w:cs="Arial"/>
                <w:sz w:val="18"/>
                <w:szCs w:val="18"/>
                <w:lang w:val="en-US"/>
              </w:rPr>
            </w:pPr>
            <w:r w:rsidRPr="00BD295E">
              <w:rPr>
                <w:rFonts w:ascii="Arial" w:hAnsi="Arial" w:cs="Arial"/>
                <w:sz w:val="18"/>
                <w:szCs w:val="18"/>
                <w:lang w:val="en-US"/>
              </w:rPr>
              <w:t xml:space="preserve">Adoption of </w:t>
            </w:r>
            <w:r w:rsidR="008A5057" w:rsidRPr="00BD295E">
              <w:rPr>
                <w:rFonts w:ascii="Arial" w:hAnsi="Arial" w:cs="Arial"/>
                <w:sz w:val="18"/>
                <w:szCs w:val="18"/>
                <w:lang w:val="en-US"/>
              </w:rPr>
              <w:t>integrated efficiency of business processes and automation of control systems</w:t>
            </w:r>
          </w:p>
        </w:tc>
      </w:tr>
      <w:tr w:rsidR="008A5057" w:rsidRPr="00BD295E" w14:paraId="756C15AE" w14:textId="77777777" w:rsidTr="00A85863">
        <w:tc>
          <w:tcPr>
            <w:tcW w:w="5245" w:type="dxa"/>
            <w:shd w:val="clear" w:color="auto" w:fill="auto"/>
          </w:tcPr>
          <w:p w14:paraId="68B64125" w14:textId="77777777" w:rsidR="002D2998" w:rsidRPr="00BD295E" w:rsidRDefault="008A5057" w:rsidP="00A85863">
            <w:pPr>
              <w:tabs>
                <w:tab w:val="left" w:pos="281"/>
              </w:tabs>
              <w:suppressAutoHyphens/>
              <w:rPr>
                <w:rFonts w:ascii="Arial" w:hAnsi="Arial" w:cs="Arial"/>
                <w:sz w:val="18"/>
                <w:szCs w:val="18"/>
                <w:lang w:val="en-US"/>
              </w:rPr>
            </w:pPr>
            <w:r w:rsidRPr="00BD295E">
              <w:rPr>
                <w:rFonts w:ascii="Arial" w:hAnsi="Arial" w:cs="Arial"/>
                <w:sz w:val="18"/>
                <w:szCs w:val="18"/>
                <w:lang w:val="en-US"/>
              </w:rPr>
              <w:t>Developing reinforced concrete supports of 110 kv overhead lines from centrifuged sectionalized poles</w:t>
            </w:r>
          </w:p>
        </w:tc>
        <w:tc>
          <w:tcPr>
            <w:tcW w:w="4105" w:type="dxa"/>
            <w:shd w:val="clear" w:color="auto" w:fill="auto"/>
          </w:tcPr>
          <w:p w14:paraId="32EE2772" w14:textId="77777777" w:rsidR="002D2998" w:rsidRPr="00BD295E" w:rsidRDefault="008A5057" w:rsidP="00A85863">
            <w:pPr>
              <w:pStyle w:val="afffff3"/>
              <w:tabs>
                <w:tab w:val="clear" w:pos="1080"/>
                <w:tab w:val="clear" w:pos="1320"/>
              </w:tabs>
              <w:ind w:firstLine="0"/>
              <w:rPr>
                <w:rFonts w:ascii="Arial" w:hAnsi="Arial" w:cs="Arial"/>
                <w:sz w:val="18"/>
                <w:szCs w:val="18"/>
                <w:lang w:val="en-US"/>
              </w:rPr>
            </w:pPr>
            <w:r w:rsidRPr="00BD295E">
              <w:rPr>
                <w:rFonts w:ascii="Arial" w:hAnsi="Arial" w:cs="Arial"/>
                <w:sz w:val="18"/>
                <w:szCs w:val="18"/>
                <w:lang w:val="en-US"/>
              </w:rPr>
              <w:t>Use of new technologies and materials in the electricity industry</w:t>
            </w:r>
          </w:p>
        </w:tc>
      </w:tr>
      <w:tr w:rsidR="008A5057" w:rsidRPr="00BD295E" w14:paraId="7C334A5E" w14:textId="77777777" w:rsidTr="00A85863">
        <w:tc>
          <w:tcPr>
            <w:tcW w:w="5245" w:type="dxa"/>
            <w:shd w:val="clear" w:color="auto" w:fill="auto"/>
          </w:tcPr>
          <w:p w14:paraId="4E88A92C" w14:textId="77777777" w:rsidR="002D2998" w:rsidRPr="00BD295E" w:rsidRDefault="008A5057" w:rsidP="00A85863">
            <w:pPr>
              <w:tabs>
                <w:tab w:val="left" w:pos="281"/>
              </w:tabs>
              <w:suppressAutoHyphens/>
              <w:rPr>
                <w:rFonts w:ascii="Arial" w:hAnsi="Arial" w:cs="Arial"/>
                <w:sz w:val="18"/>
                <w:szCs w:val="18"/>
                <w:lang w:val="en-US"/>
              </w:rPr>
            </w:pPr>
            <w:r w:rsidRPr="00BD295E">
              <w:rPr>
                <w:rFonts w:ascii="Arial" w:hAnsi="Arial" w:cs="Arial"/>
                <w:sz w:val="18"/>
                <w:szCs w:val="18"/>
                <w:lang w:val="en-US"/>
              </w:rPr>
              <w:t>Research and development of approaches to construction and application of operation mode control systems in smart electricity distribution grids based on a new class of reactive capacity semiconductor regulators with high quality reactive current regulation to reduce losses and maintain optimal voltage levels at substation buses and at load connection points.</w:t>
            </w:r>
          </w:p>
        </w:tc>
        <w:tc>
          <w:tcPr>
            <w:tcW w:w="4105" w:type="dxa"/>
            <w:shd w:val="clear" w:color="auto" w:fill="auto"/>
          </w:tcPr>
          <w:p w14:paraId="6BCEEBA7" w14:textId="77777777" w:rsidR="002D2998" w:rsidRPr="00BD295E" w:rsidRDefault="00B74CC6" w:rsidP="00B74CC6">
            <w:pPr>
              <w:pStyle w:val="afffff3"/>
              <w:tabs>
                <w:tab w:val="clear" w:pos="1080"/>
                <w:tab w:val="clear" w:pos="1320"/>
              </w:tabs>
              <w:ind w:firstLine="0"/>
              <w:rPr>
                <w:rFonts w:ascii="Arial" w:hAnsi="Arial" w:cs="Arial"/>
                <w:sz w:val="18"/>
                <w:szCs w:val="18"/>
                <w:lang w:val="en-US"/>
              </w:rPr>
            </w:pPr>
            <w:r w:rsidRPr="00BD295E">
              <w:rPr>
                <w:rFonts w:ascii="Arial" w:hAnsi="Arial" w:cs="Arial"/>
                <w:sz w:val="18"/>
                <w:szCs w:val="18"/>
                <w:lang w:val="en-US"/>
              </w:rPr>
              <w:t>Switching to</w:t>
            </w:r>
            <w:r w:rsidR="008A5057" w:rsidRPr="00BD295E">
              <w:rPr>
                <w:rFonts w:ascii="Arial" w:hAnsi="Arial" w:cs="Arial"/>
                <w:sz w:val="18"/>
                <w:szCs w:val="18"/>
                <w:lang w:val="en-US"/>
              </w:rPr>
              <w:t xml:space="preserve"> digital smart grids with</w:t>
            </w:r>
            <w:r w:rsidR="00BF106F" w:rsidRPr="00BD295E">
              <w:rPr>
                <w:rFonts w:ascii="Arial" w:hAnsi="Arial" w:cs="Arial"/>
                <w:sz w:val="18"/>
                <w:szCs w:val="18"/>
                <w:lang w:val="en-US"/>
              </w:rPr>
              <w:t xml:space="preserve"> </w:t>
            </w:r>
            <w:r w:rsidR="008A5057" w:rsidRPr="00BD295E">
              <w:rPr>
                <w:rFonts w:ascii="Arial" w:hAnsi="Arial" w:cs="Arial"/>
                <w:sz w:val="18"/>
                <w:szCs w:val="18"/>
                <w:lang w:val="en-US"/>
              </w:rPr>
              <w:t xml:space="preserve">distributed smart </w:t>
            </w:r>
            <w:r w:rsidR="00BF106F" w:rsidRPr="00BD295E">
              <w:rPr>
                <w:rFonts w:ascii="Arial" w:hAnsi="Arial" w:cs="Arial"/>
                <w:sz w:val="18"/>
                <w:szCs w:val="18"/>
                <w:lang w:val="en-US"/>
              </w:rPr>
              <w:t xml:space="preserve">control and automation </w:t>
            </w:r>
            <w:r w:rsidR="008A5057" w:rsidRPr="00BD295E">
              <w:rPr>
                <w:rFonts w:ascii="Arial" w:hAnsi="Arial" w:cs="Arial"/>
                <w:sz w:val="18"/>
                <w:szCs w:val="18"/>
                <w:lang w:val="en-US"/>
              </w:rPr>
              <w:t xml:space="preserve"> system</w:t>
            </w:r>
            <w:r w:rsidR="00BF106F" w:rsidRPr="00BD295E">
              <w:rPr>
                <w:rFonts w:ascii="Arial" w:hAnsi="Arial" w:cs="Arial"/>
                <w:sz w:val="18"/>
                <w:szCs w:val="18"/>
                <w:lang w:val="en-US"/>
              </w:rPr>
              <w:t>s</w:t>
            </w:r>
          </w:p>
        </w:tc>
      </w:tr>
      <w:tr w:rsidR="00BF106F" w:rsidRPr="00BD295E" w14:paraId="1B2D566A" w14:textId="77777777" w:rsidTr="00A85863">
        <w:tc>
          <w:tcPr>
            <w:tcW w:w="5245" w:type="dxa"/>
            <w:shd w:val="clear" w:color="auto" w:fill="auto"/>
          </w:tcPr>
          <w:p w14:paraId="56B8FD25" w14:textId="77777777" w:rsidR="00BF106F" w:rsidRPr="00BD295E" w:rsidRDefault="00BF106F" w:rsidP="00BF106F">
            <w:pPr>
              <w:tabs>
                <w:tab w:val="left" w:pos="281"/>
              </w:tabs>
              <w:suppressAutoHyphens/>
              <w:rPr>
                <w:rFonts w:ascii="Arial" w:hAnsi="Arial" w:cs="Arial"/>
                <w:sz w:val="18"/>
                <w:szCs w:val="18"/>
                <w:lang w:val="en-US"/>
              </w:rPr>
            </w:pPr>
            <w:r w:rsidRPr="00BD295E">
              <w:rPr>
                <w:rFonts w:ascii="Arial" w:hAnsi="Arial" w:cs="Arial"/>
                <w:sz w:val="18"/>
                <w:szCs w:val="18"/>
                <w:lang w:val="en-US"/>
              </w:rPr>
              <w:t>Development of a microprocessor-based fault localization system for all types of faults on 35 kV lines, with integration into digital smart grids.</w:t>
            </w:r>
          </w:p>
        </w:tc>
        <w:tc>
          <w:tcPr>
            <w:tcW w:w="4105" w:type="dxa"/>
            <w:shd w:val="clear" w:color="auto" w:fill="auto"/>
          </w:tcPr>
          <w:p w14:paraId="11D45E2B" w14:textId="77777777" w:rsidR="00BF106F" w:rsidRPr="00BD295E" w:rsidRDefault="00B74CC6" w:rsidP="00B74CC6">
            <w:pPr>
              <w:pStyle w:val="afffff3"/>
              <w:tabs>
                <w:tab w:val="clear" w:pos="1080"/>
                <w:tab w:val="clear" w:pos="1320"/>
              </w:tabs>
              <w:ind w:firstLine="0"/>
              <w:rPr>
                <w:rFonts w:ascii="Arial" w:hAnsi="Arial" w:cs="Arial"/>
                <w:sz w:val="18"/>
                <w:szCs w:val="18"/>
                <w:lang w:val="en-US"/>
              </w:rPr>
            </w:pPr>
            <w:r w:rsidRPr="00BD295E">
              <w:rPr>
                <w:rFonts w:ascii="Arial" w:hAnsi="Arial" w:cs="Arial"/>
                <w:sz w:val="18"/>
                <w:szCs w:val="18"/>
                <w:lang w:val="en-US"/>
              </w:rPr>
              <w:t xml:space="preserve">Switching to </w:t>
            </w:r>
            <w:r w:rsidR="00BF106F" w:rsidRPr="00BD295E">
              <w:rPr>
                <w:rFonts w:ascii="Arial" w:hAnsi="Arial" w:cs="Arial"/>
                <w:sz w:val="18"/>
                <w:szCs w:val="18"/>
                <w:lang w:val="en-US"/>
              </w:rPr>
              <w:t>digital smart grids with distributed smart control and automation  systems</w:t>
            </w:r>
          </w:p>
        </w:tc>
      </w:tr>
      <w:tr w:rsidR="00BF106F" w:rsidRPr="00BD295E" w14:paraId="445989B5" w14:textId="77777777" w:rsidTr="00A85863">
        <w:tc>
          <w:tcPr>
            <w:tcW w:w="5245" w:type="dxa"/>
            <w:shd w:val="clear" w:color="auto" w:fill="auto"/>
          </w:tcPr>
          <w:p w14:paraId="3558DC3A" w14:textId="77777777" w:rsidR="00BF106F" w:rsidRPr="00BD295E" w:rsidRDefault="00BF106F" w:rsidP="00BF106F">
            <w:pPr>
              <w:tabs>
                <w:tab w:val="left" w:pos="281"/>
              </w:tabs>
              <w:suppressAutoHyphens/>
              <w:rPr>
                <w:rFonts w:ascii="Arial" w:hAnsi="Arial" w:cs="Arial"/>
                <w:sz w:val="18"/>
                <w:szCs w:val="18"/>
                <w:lang w:val="en-US"/>
              </w:rPr>
            </w:pPr>
            <w:r w:rsidRPr="00BD295E">
              <w:rPr>
                <w:rFonts w:ascii="Arial" w:hAnsi="Arial" w:cs="Arial"/>
                <w:sz w:val="18"/>
                <w:szCs w:val="18"/>
                <w:lang w:val="en-US"/>
              </w:rPr>
              <w:t>Development of an electronic catalog of standard solutions for the digital electric grid district.</w:t>
            </w:r>
          </w:p>
        </w:tc>
        <w:tc>
          <w:tcPr>
            <w:tcW w:w="4105" w:type="dxa"/>
            <w:shd w:val="clear" w:color="auto" w:fill="auto"/>
          </w:tcPr>
          <w:p w14:paraId="2D056DFF" w14:textId="77777777" w:rsidR="00BF106F" w:rsidRPr="00BD295E" w:rsidRDefault="00B74CC6" w:rsidP="00B74CC6">
            <w:pPr>
              <w:pStyle w:val="afffff3"/>
              <w:tabs>
                <w:tab w:val="clear" w:pos="1080"/>
                <w:tab w:val="clear" w:pos="1320"/>
              </w:tabs>
              <w:ind w:firstLine="0"/>
              <w:rPr>
                <w:rFonts w:ascii="Arial" w:hAnsi="Arial" w:cs="Arial"/>
                <w:sz w:val="18"/>
                <w:szCs w:val="18"/>
                <w:lang w:val="en-US"/>
              </w:rPr>
            </w:pPr>
            <w:r w:rsidRPr="00BD295E">
              <w:rPr>
                <w:rFonts w:ascii="Arial" w:hAnsi="Arial" w:cs="Arial"/>
                <w:sz w:val="18"/>
                <w:szCs w:val="18"/>
                <w:lang w:val="en-US"/>
              </w:rPr>
              <w:t xml:space="preserve">Switching to </w:t>
            </w:r>
            <w:r w:rsidR="00BF106F" w:rsidRPr="00BD295E">
              <w:rPr>
                <w:rFonts w:ascii="Arial" w:hAnsi="Arial" w:cs="Arial"/>
                <w:sz w:val="18"/>
                <w:szCs w:val="18"/>
                <w:lang w:val="en-US"/>
              </w:rPr>
              <w:t>digital smart grids with distributed smart control and automation  systems</w:t>
            </w:r>
          </w:p>
        </w:tc>
      </w:tr>
      <w:tr w:rsidR="00B74CC6" w:rsidRPr="00BD295E" w14:paraId="297E0503" w14:textId="77777777" w:rsidTr="00A85863">
        <w:tc>
          <w:tcPr>
            <w:tcW w:w="5245" w:type="dxa"/>
            <w:shd w:val="clear" w:color="auto" w:fill="auto"/>
          </w:tcPr>
          <w:p w14:paraId="3A04B5D4" w14:textId="77777777" w:rsidR="00B74CC6" w:rsidRPr="00BD295E" w:rsidRDefault="00B74CC6" w:rsidP="00B74CC6">
            <w:pPr>
              <w:tabs>
                <w:tab w:val="left" w:pos="281"/>
              </w:tabs>
              <w:suppressAutoHyphens/>
              <w:rPr>
                <w:rFonts w:ascii="Arial" w:hAnsi="Arial" w:cs="Arial"/>
                <w:sz w:val="18"/>
                <w:szCs w:val="18"/>
                <w:lang w:val="en-US"/>
              </w:rPr>
            </w:pPr>
            <w:r w:rsidRPr="00BD295E">
              <w:rPr>
                <w:rFonts w:ascii="Arial" w:hAnsi="Arial" w:cs="Arial"/>
                <w:sz w:val="18"/>
                <w:szCs w:val="18"/>
                <w:lang w:val="en-US"/>
              </w:rPr>
              <w:t>Research of the use of FACTS (flexible alternating current transmission system) to create 110 kV smart electric grids at PJSC “Lenenergo” (including a feasibility study).</w:t>
            </w:r>
          </w:p>
        </w:tc>
        <w:tc>
          <w:tcPr>
            <w:tcW w:w="4105" w:type="dxa"/>
            <w:shd w:val="clear" w:color="auto" w:fill="auto"/>
          </w:tcPr>
          <w:p w14:paraId="61C04E05" w14:textId="77777777" w:rsidR="00B74CC6" w:rsidRPr="00BD295E" w:rsidRDefault="00B74CC6" w:rsidP="00B74CC6">
            <w:pPr>
              <w:pStyle w:val="afffff3"/>
              <w:tabs>
                <w:tab w:val="clear" w:pos="1080"/>
                <w:tab w:val="clear" w:pos="1320"/>
              </w:tabs>
              <w:ind w:firstLine="0"/>
              <w:rPr>
                <w:rFonts w:ascii="Arial" w:hAnsi="Arial" w:cs="Arial"/>
                <w:sz w:val="18"/>
                <w:szCs w:val="18"/>
                <w:lang w:val="en-US"/>
              </w:rPr>
            </w:pPr>
            <w:r w:rsidRPr="00BD295E">
              <w:rPr>
                <w:rFonts w:ascii="Arial" w:hAnsi="Arial" w:cs="Arial"/>
                <w:sz w:val="18"/>
                <w:szCs w:val="18"/>
                <w:lang w:val="en-US"/>
              </w:rPr>
              <w:t>Switching to digital smart grids with distributed smart control and automation  systems</w:t>
            </w:r>
          </w:p>
        </w:tc>
      </w:tr>
    </w:tbl>
    <w:p w14:paraId="62930CD8" w14:textId="77777777" w:rsidR="002D2998" w:rsidRPr="00BD295E" w:rsidRDefault="002D2998" w:rsidP="002D2998">
      <w:pPr>
        <w:ind w:left="709"/>
        <w:contextualSpacing/>
        <w:jc w:val="both"/>
        <w:rPr>
          <w:rFonts w:ascii="Arial" w:hAnsi="Arial" w:cs="Arial"/>
          <w:sz w:val="18"/>
          <w:szCs w:val="18"/>
          <w:lang w:val="en-US"/>
        </w:rPr>
      </w:pPr>
    </w:p>
    <w:p w14:paraId="3E60A29F" w14:textId="77777777" w:rsidR="002D2998" w:rsidRPr="00BD295E" w:rsidRDefault="008A5057" w:rsidP="003D49A2">
      <w:pPr>
        <w:numPr>
          <w:ilvl w:val="0"/>
          <w:numId w:val="146"/>
        </w:numPr>
        <w:ind w:left="0" w:firstLine="0"/>
        <w:contextualSpacing/>
        <w:jc w:val="both"/>
        <w:rPr>
          <w:rFonts w:ascii="Arial" w:hAnsi="Arial" w:cs="Arial"/>
          <w:sz w:val="18"/>
          <w:szCs w:val="18"/>
          <w:lang w:val="en-US"/>
        </w:rPr>
      </w:pPr>
      <w:r w:rsidRPr="00BD295E">
        <w:rPr>
          <w:rFonts w:ascii="Arial" w:hAnsi="Arial" w:cs="Arial"/>
          <w:sz w:val="18"/>
          <w:szCs w:val="18"/>
          <w:lang w:val="en-US"/>
        </w:rPr>
        <w:t>R&amp;D project for developing reinforced concrete supports of 110 kv overhead lines from centrifuged sectionalized poles</w:t>
      </w:r>
    </w:p>
    <w:p w14:paraId="1C4B73AC" w14:textId="77777777" w:rsidR="002D2998" w:rsidRPr="00BD295E" w:rsidRDefault="002D2998" w:rsidP="003D49A2">
      <w:pPr>
        <w:jc w:val="both"/>
        <w:rPr>
          <w:rFonts w:ascii="Arial" w:hAnsi="Arial" w:cs="Arial"/>
          <w:sz w:val="18"/>
          <w:szCs w:val="18"/>
          <w:lang w:val="en-US"/>
        </w:rPr>
      </w:pPr>
    </w:p>
    <w:p w14:paraId="15A15305" w14:textId="77777777" w:rsidR="002D2998"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The project aims to reduce the costs of constructing, renovating, and operating 110 kV overhead lines through the development of intermediate and anchor reinforced concrete supports for 110 kV overhead lines from sectionalized poles.</w:t>
      </w:r>
    </w:p>
    <w:p w14:paraId="68FAAFDF" w14:textId="77777777" w:rsidR="002D2998" w:rsidRPr="00BD295E" w:rsidRDefault="008A5057" w:rsidP="003D49A2">
      <w:pPr>
        <w:pStyle w:val="af3"/>
        <w:ind w:left="0"/>
        <w:rPr>
          <w:rFonts w:ascii="Arial" w:hAnsi="Arial" w:cs="Arial"/>
          <w:strike/>
          <w:sz w:val="18"/>
          <w:szCs w:val="18"/>
          <w:lang w:val="en-US"/>
        </w:rPr>
      </w:pPr>
      <w:r w:rsidRPr="00BD295E">
        <w:rPr>
          <w:rFonts w:ascii="Arial" w:hAnsi="Arial" w:cs="Arial"/>
          <w:sz w:val="18"/>
          <w:szCs w:val="18"/>
          <w:lang w:val="en-US"/>
        </w:rPr>
        <w:t xml:space="preserve">The </w:t>
      </w:r>
      <w:r w:rsidR="002D2EA8" w:rsidRPr="00BD295E">
        <w:rPr>
          <w:rFonts w:ascii="Arial" w:hAnsi="Arial" w:cs="Arial"/>
          <w:sz w:val="18"/>
          <w:szCs w:val="18"/>
          <w:lang w:val="en-US"/>
        </w:rPr>
        <w:t>project scope</w:t>
      </w:r>
      <w:r w:rsidRPr="00BD295E">
        <w:rPr>
          <w:rFonts w:ascii="Arial" w:hAnsi="Arial" w:cs="Arial"/>
          <w:sz w:val="18"/>
          <w:szCs w:val="18"/>
          <w:lang w:val="en-US"/>
        </w:rPr>
        <w:t xml:space="preserve"> was carried out </w:t>
      </w:r>
      <w:r w:rsidR="002D2EA8" w:rsidRPr="00BD295E">
        <w:rPr>
          <w:rFonts w:ascii="Arial" w:hAnsi="Arial" w:cs="Arial"/>
          <w:sz w:val="18"/>
          <w:szCs w:val="18"/>
          <w:lang w:val="en-US"/>
        </w:rPr>
        <w:t>from</w:t>
      </w:r>
      <w:r w:rsidRPr="00BD295E">
        <w:rPr>
          <w:rFonts w:ascii="Arial" w:hAnsi="Arial" w:cs="Arial"/>
          <w:sz w:val="18"/>
          <w:szCs w:val="18"/>
          <w:lang w:val="en-US"/>
        </w:rPr>
        <w:t xml:space="preserve"> 2016</w:t>
      </w:r>
      <w:r w:rsidR="002D2EA8" w:rsidRPr="00BD295E">
        <w:rPr>
          <w:rFonts w:ascii="Arial" w:hAnsi="Arial" w:cs="Arial"/>
          <w:sz w:val="18"/>
          <w:szCs w:val="18"/>
          <w:lang w:val="en-US"/>
        </w:rPr>
        <w:t xml:space="preserve"> to </w:t>
      </w:r>
      <w:r w:rsidRPr="00BD295E">
        <w:rPr>
          <w:rFonts w:ascii="Arial" w:hAnsi="Arial" w:cs="Arial"/>
          <w:sz w:val="18"/>
          <w:szCs w:val="18"/>
          <w:lang w:val="en-US"/>
        </w:rPr>
        <w:t>2018,</w:t>
      </w:r>
      <w:r w:rsidR="003D49A2" w:rsidRPr="00BD295E">
        <w:rPr>
          <w:rFonts w:ascii="Arial" w:hAnsi="Arial" w:cs="Arial"/>
          <w:sz w:val="18"/>
          <w:szCs w:val="18"/>
          <w:lang w:val="en-US"/>
        </w:rPr>
        <w:t xml:space="preserve"> </w:t>
      </w:r>
      <w:r w:rsidRPr="00BD295E">
        <w:rPr>
          <w:rFonts w:ascii="Arial" w:hAnsi="Arial" w:cs="Arial"/>
          <w:sz w:val="18"/>
          <w:szCs w:val="18"/>
          <w:lang w:val="en-US"/>
        </w:rPr>
        <w:t xml:space="preserve">with the R&amp;D completed in 2018 </w:t>
      </w:r>
    </w:p>
    <w:p w14:paraId="7439DBAB" w14:textId="77777777" w:rsidR="002D2998" w:rsidRPr="00BD295E" w:rsidRDefault="002D2998" w:rsidP="003D49A2">
      <w:pPr>
        <w:contextualSpacing/>
        <w:jc w:val="both"/>
        <w:rPr>
          <w:rFonts w:ascii="Arial" w:hAnsi="Arial" w:cs="Arial"/>
          <w:sz w:val="18"/>
          <w:szCs w:val="18"/>
          <w:lang w:val="en-US"/>
        </w:rPr>
      </w:pPr>
    </w:p>
    <w:p w14:paraId="6AAD3145" w14:textId="77777777" w:rsidR="002D2998" w:rsidRPr="00BD295E" w:rsidRDefault="008A5057" w:rsidP="003D49A2">
      <w:pPr>
        <w:numPr>
          <w:ilvl w:val="0"/>
          <w:numId w:val="146"/>
        </w:numPr>
        <w:ind w:left="0" w:firstLine="0"/>
        <w:contextualSpacing/>
        <w:jc w:val="both"/>
        <w:rPr>
          <w:rFonts w:ascii="Arial" w:hAnsi="Arial" w:cs="Arial"/>
          <w:sz w:val="18"/>
          <w:szCs w:val="18"/>
          <w:lang w:val="en-US"/>
        </w:rPr>
      </w:pPr>
      <w:r w:rsidRPr="00BD295E">
        <w:rPr>
          <w:rFonts w:ascii="Arial" w:hAnsi="Arial" w:cs="Arial"/>
          <w:sz w:val="18"/>
          <w:szCs w:val="18"/>
          <w:lang w:val="en-US"/>
        </w:rPr>
        <w:t>R&amp;D project for developing an automated control system for urban distribution 6-10 kV cable grids.</w:t>
      </w:r>
    </w:p>
    <w:p w14:paraId="1148118A" w14:textId="77777777" w:rsidR="002D2998" w:rsidRPr="00BD295E" w:rsidRDefault="002D2998" w:rsidP="003D49A2">
      <w:pPr>
        <w:contextualSpacing/>
        <w:jc w:val="both"/>
        <w:rPr>
          <w:rFonts w:ascii="Arial" w:hAnsi="Arial" w:cs="Arial"/>
          <w:sz w:val="18"/>
          <w:szCs w:val="18"/>
          <w:lang w:val="en-US"/>
        </w:rPr>
      </w:pPr>
    </w:p>
    <w:p w14:paraId="14D59D13"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The project’s key goal: development of the concept of building an automated control system (“ACS”) in urban distribution cable grids and a study for its implementation in a grid section of a selected metropolitan power district. </w:t>
      </w:r>
    </w:p>
    <w:p w14:paraId="61F78F62"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The work was carried out in 2017–2018.</w:t>
      </w:r>
    </w:p>
    <w:p w14:paraId="71448641"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The concept of building an optimal automation pattern and the basic requirements for the ACS was developed in 2018. The R&amp;D work is completed.</w:t>
      </w:r>
    </w:p>
    <w:p w14:paraId="6CDF5BC7" w14:textId="77777777" w:rsidR="002D2998" w:rsidRPr="00BD295E" w:rsidRDefault="002D2998" w:rsidP="003D49A2">
      <w:pPr>
        <w:contextualSpacing/>
        <w:jc w:val="both"/>
        <w:rPr>
          <w:rFonts w:ascii="Arial" w:hAnsi="Arial" w:cs="Arial"/>
          <w:sz w:val="18"/>
          <w:szCs w:val="18"/>
          <w:lang w:val="en-US"/>
        </w:rPr>
      </w:pPr>
    </w:p>
    <w:p w14:paraId="4FD0DE59" w14:textId="77777777" w:rsidR="002D2998" w:rsidRPr="00BD295E" w:rsidRDefault="008A5057" w:rsidP="003D49A2">
      <w:pPr>
        <w:numPr>
          <w:ilvl w:val="0"/>
          <w:numId w:val="146"/>
        </w:numPr>
        <w:ind w:left="0" w:firstLine="0"/>
        <w:contextualSpacing/>
        <w:jc w:val="both"/>
        <w:rPr>
          <w:rFonts w:ascii="Arial" w:hAnsi="Arial" w:cs="Arial"/>
          <w:sz w:val="18"/>
          <w:szCs w:val="18"/>
          <w:lang w:val="en-US"/>
        </w:rPr>
      </w:pPr>
      <w:r w:rsidRPr="00BD295E">
        <w:rPr>
          <w:rFonts w:ascii="Arial" w:hAnsi="Arial" w:cs="Arial"/>
          <w:sz w:val="18"/>
          <w:szCs w:val="18"/>
          <w:lang w:val="en-US"/>
        </w:rPr>
        <w:t>Research and development of approaches to construction and application of operation mode control systems in smart electricity distribution grids based on a new class of reactive capacity semiconductor regulators with high quality reactive current regulation to reduce losses and maintain optimal voltage levels at substation buses and at load connection points.</w:t>
      </w:r>
    </w:p>
    <w:p w14:paraId="1AEEDC51" w14:textId="77777777" w:rsidR="002D2998" w:rsidRPr="00BD295E" w:rsidRDefault="002D2998" w:rsidP="003D49A2">
      <w:pPr>
        <w:contextualSpacing/>
        <w:jc w:val="both"/>
        <w:rPr>
          <w:rFonts w:ascii="Arial" w:hAnsi="Arial" w:cs="Arial"/>
          <w:sz w:val="18"/>
          <w:szCs w:val="18"/>
          <w:lang w:val="en-US"/>
        </w:rPr>
      </w:pPr>
    </w:p>
    <w:p w14:paraId="5886DD0D"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The work is aimed at creating and launching pilot operation in a selected pilot area of an operation mode control system in smart electricity grids based on a new class of reactive capacity semiconductor regulators with high quality reactive current regulation to reduce losses and maintain optimal voltage levels at substation buses. </w:t>
      </w:r>
    </w:p>
    <w:p w14:paraId="48DB1C74"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The research work is planned to be carried out in 2018–2020.</w:t>
      </w:r>
    </w:p>
    <w:p w14:paraId="18DF7B17"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The pilot area for the system implementation was selected and a feasibility study supporting the selection was conducted in 2018.</w:t>
      </w:r>
    </w:p>
    <w:p w14:paraId="5081D8E0" w14:textId="77777777" w:rsidR="002D2998" w:rsidRPr="00BD295E" w:rsidRDefault="002D2998" w:rsidP="003D49A2">
      <w:pPr>
        <w:contextualSpacing/>
        <w:jc w:val="both"/>
        <w:rPr>
          <w:rFonts w:ascii="Arial" w:hAnsi="Arial" w:cs="Arial"/>
          <w:sz w:val="18"/>
          <w:szCs w:val="18"/>
          <w:lang w:val="en-US"/>
        </w:rPr>
      </w:pPr>
    </w:p>
    <w:p w14:paraId="2069FA12" w14:textId="77777777" w:rsidR="002D2998" w:rsidRPr="00BD295E" w:rsidRDefault="008A5057" w:rsidP="003D49A2">
      <w:pPr>
        <w:numPr>
          <w:ilvl w:val="0"/>
          <w:numId w:val="146"/>
        </w:numPr>
        <w:ind w:left="0" w:firstLine="0"/>
        <w:contextualSpacing/>
        <w:jc w:val="both"/>
        <w:rPr>
          <w:rFonts w:ascii="Arial" w:hAnsi="Arial" w:cs="Arial"/>
          <w:sz w:val="18"/>
          <w:szCs w:val="18"/>
          <w:lang w:val="en-US"/>
        </w:rPr>
      </w:pPr>
      <w:r w:rsidRPr="00BD295E">
        <w:rPr>
          <w:rFonts w:ascii="Arial" w:hAnsi="Arial" w:cs="Arial"/>
          <w:sz w:val="18"/>
          <w:szCs w:val="18"/>
          <w:lang w:val="en-US"/>
        </w:rPr>
        <w:t>Research and development of a microprocessor-based fault localization system for all types of faults on 35 kV lines, with integration into digital smart grids.</w:t>
      </w:r>
    </w:p>
    <w:p w14:paraId="1CAB3F36" w14:textId="77777777" w:rsidR="002D2998" w:rsidRPr="00BD295E" w:rsidRDefault="002D2998" w:rsidP="003D49A2">
      <w:pPr>
        <w:contextualSpacing/>
        <w:jc w:val="both"/>
        <w:rPr>
          <w:rFonts w:ascii="Arial" w:hAnsi="Arial" w:cs="Arial"/>
          <w:sz w:val="18"/>
          <w:szCs w:val="18"/>
          <w:lang w:val="en-US"/>
        </w:rPr>
      </w:pPr>
    </w:p>
    <w:p w14:paraId="70A4B6B5"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The purpose of this work is to develop, create and test in industrial conditions a microprocessor-based fault localization system for all types of faults on 35 kV overhead lines to enhance the operating reliability of the electric grid sector. </w:t>
      </w:r>
    </w:p>
    <w:p w14:paraId="7A023184"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The research work is planned to be carried out in 2018–2020.</w:t>
      </w:r>
    </w:p>
    <w:p w14:paraId="41328738"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A description of algorithms for individual elements of the 35 kV overhead line fault localization system and the technical requirements for the 35 kV overhead line fault localization system were developed in 2018.</w:t>
      </w:r>
    </w:p>
    <w:p w14:paraId="4A7A4955" w14:textId="77777777" w:rsidR="002D2998" w:rsidRPr="00BD295E" w:rsidRDefault="002D2998" w:rsidP="003D49A2">
      <w:pPr>
        <w:contextualSpacing/>
        <w:jc w:val="both"/>
        <w:rPr>
          <w:rFonts w:ascii="Arial" w:hAnsi="Arial" w:cs="Arial"/>
          <w:sz w:val="18"/>
          <w:szCs w:val="18"/>
          <w:lang w:val="en-US"/>
        </w:rPr>
      </w:pPr>
    </w:p>
    <w:p w14:paraId="505C217D" w14:textId="77777777" w:rsidR="002D2998" w:rsidRPr="00BD295E" w:rsidRDefault="008A5057" w:rsidP="003D49A2">
      <w:pPr>
        <w:numPr>
          <w:ilvl w:val="0"/>
          <w:numId w:val="146"/>
        </w:numPr>
        <w:ind w:left="0" w:firstLine="0"/>
        <w:contextualSpacing/>
        <w:jc w:val="both"/>
        <w:rPr>
          <w:rFonts w:ascii="Arial" w:hAnsi="Arial" w:cs="Arial"/>
          <w:sz w:val="18"/>
          <w:szCs w:val="18"/>
          <w:lang w:val="en-US"/>
        </w:rPr>
      </w:pPr>
      <w:r w:rsidRPr="00BD295E">
        <w:rPr>
          <w:rFonts w:ascii="Arial" w:hAnsi="Arial" w:cs="Arial"/>
          <w:sz w:val="18"/>
          <w:szCs w:val="18"/>
          <w:lang w:val="en-US"/>
        </w:rPr>
        <w:t>Development of an electronic catalog of standard solutions for the digital electric grid district.</w:t>
      </w:r>
    </w:p>
    <w:p w14:paraId="797D898E" w14:textId="77777777" w:rsidR="002D2998" w:rsidRPr="00BD295E" w:rsidRDefault="002D2998" w:rsidP="003D49A2">
      <w:pPr>
        <w:contextualSpacing/>
        <w:jc w:val="both"/>
        <w:rPr>
          <w:rFonts w:ascii="Arial" w:hAnsi="Arial" w:cs="Arial"/>
          <w:sz w:val="18"/>
          <w:szCs w:val="18"/>
          <w:lang w:val="en-US"/>
        </w:rPr>
      </w:pPr>
    </w:p>
    <w:p w14:paraId="601301EC"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The key goal of the project is to develop an Electronic Catalog of technical solutions for the Digital Electric Grid District and build a database of standalone and integrated engineering solutions for the Digital Electric Grid District proposed by developers of digital equipment and digital systems, as well as their testing during the development of conceptual designs of the Digital Electric Grid District within the service area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p>
    <w:p w14:paraId="543DA5F5"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The research work is planned to be carried out in 2018–2020.</w:t>
      </w:r>
    </w:p>
    <w:p w14:paraId="5C147F12"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The terms of reference for the Database of Engineering Solutions for the Digital Electric Grid District was prepared in 2018.</w:t>
      </w:r>
    </w:p>
    <w:p w14:paraId="195BB1EE" w14:textId="77777777" w:rsidR="002D2998" w:rsidRPr="00BD295E" w:rsidRDefault="002D2998" w:rsidP="003D49A2">
      <w:pPr>
        <w:contextualSpacing/>
        <w:jc w:val="both"/>
        <w:rPr>
          <w:rFonts w:ascii="Arial" w:hAnsi="Arial" w:cs="Arial"/>
          <w:sz w:val="18"/>
          <w:szCs w:val="18"/>
          <w:lang w:val="en-US"/>
        </w:rPr>
      </w:pPr>
    </w:p>
    <w:p w14:paraId="6DC5A983" w14:textId="77777777" w:rsidR="002D2998" w:rsidRPr="00BD295E" w:rsidRDefault="008A5057" w:rsidP="003D49A2">
      <w:pPr>
        <w:numPr>
          <w:ilvl w:val="0"/>
          <w:numId w:val="146"/>
        </w:numPr>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An R&amp;D study on the use of FACTS (flexible alternating current transmission system) to create 110 kV smart electric grids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(with a feasibility study).</w:t>
      </w:r>
    </w:p>
    <w:p w14:paraId="5304ED51" w14:textId="77777777" w:rsidR="002D2998" w:rsidRPr="00BD295E" w:rsidRDefault="002D2998" w:rsidP="003D49A2">
      <w:pPr>
        <w:contextualSpacing/>
        <w:jc w:val="both"/>
        <w:rPr>
          <w:rFonts w:ascii="Arial" w:hAnsi="Arial" w:cs="Arial"/>
          <w:sz w:val="18"/>
          <w:szCs w:val="18"/>
          <w:lang w:val="en-US"/>
        </w:rPr>
      </w:pPr>
    </w:p>
    <w:p w14:paraId="7F111776"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The R&amp;D study aims to conduct theoretical and experimental research (based on mathematical modeling) on the use of FACTS technologies in 110 kV electric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including a feasibility study regarding the efficiency of using these technologies across pilot power districts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4DBDFE4E"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The research work is planned to be carried out in 2018–2019.</w:t>
      </w:r>
    </w:p>
    <w:p w14:paraId="0CD1DAAB"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In 2018, the feasibility study was conducted and pilot power districts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were selected for the research, as well as an efficiency study of FACTS-based automated voltage control in 110 kV grids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completed. </w:t>
      </w:r>
    </w:p>
    <w:p w14:paraId="69BE8DE9" w14:textId="77777777" w:rsidR="002D2998" w:rsidRPr="00BD295E" w:rsidRDefault="002D2998" w:rsidP="002D2998">
      <w:pPr>
        <w:ind w:firstLine="709"/>
        <w:contextualSpacing/>
        <w:jc w:val="both"/>
        <w:rPr>
          <w:rFonts w:ascii="Arial" w:hAnsi="Arial" w:cs="Arial"/>
          <w:sz w:val="18"/>
          <w:szCs w:val="18"/>
          <w:lang w:val="en-US"/>
        </w:rPr>
      </w:pPr>
    </w:p>
    <w:p w14:paraId="4E5721E6" w14:textId="77777777" w:rsidR="002D2998" w:rsidRPr="00BD295E" w:rsidRDefault="008A5057" w:rsidP="002D2998">
      <w:pPr>
        <w:ind w:firstLine="709"/>
        <w:contextualSpacing/>
        <w:jc w:val="both"/>
        <w:rPr>
          <w:rFonts w:ascii="Arial" w:hAnsi="Arial" w:cs="Arial"/>
          <w:sz w:val="18"/>
          <w:szCs w:val="18"/>
          <w:lang w:val="en-US"/>
        </w:rPr>
      </w:pPr>
      <w:r w:rsidRPr="00BD295E">
        <w:rPr>
          <w:rFonts w:ascii="Arial" w:hAnsi="Arial" w:cs="Arial"/>
          <w:sz w:val="18"/>
          <w:szCs w:val="18"/>
          <w:lang w:val="en-US"/>
        </w:rPr>
        <w:t>A list of the received protection documents (patents, certificates) for the R&amp;D products</w:t>
      </w:r>
    </w:p>
    <w:tbl>
      <w:tblPr>
        <w:tblW w:w="9503" w:type="dxa"/>
        <w:jc w:val="center"/>
        <w:tblLook w:val="04A0" w:firstRow="1" w:lastRow="0" w:firstColumn="1" w:lastColumn="0" w:noHBand="0" w:noVBand="1"/>
      </w:tblPr>
      <w:tblGrid>
        <w:gridCol w:w="3314"/>
        <w:gridCol w:w="3083"/>
        <w:gridCol w:w="3106"/>
      </w:tblGrid>
      <w:tr w:rsidR="008A5057" w:rsidRPr="00BD295E" w14:paraId="3831E236" w14:textId="77777777" w:rsidTr="00A85863">
        <w:trPr>
          <w:trHeight w:val="1128"/>
          <w:jc w:val="center"/>
        </w:trPr>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7FBC50DD" w14:textId="77777777" w:rsidR="002D2998" w:rsidRPr="00BD295E" w:rsidRDefault="008A5057" w:rsidP="00A85863">
            <w:pPr>
              <w:jc w:val="center"/>
              <w:rPr>
                <w:rFonts w:ascii="Arial" w:hAnsi="Arial" w:cs="Arial"/>
                <w:sz w:val="18"/>
                <w:szCs w:val="18"/>
                <w:lang w:val="en-US"/>
              </w:rPr>
            </w:pPr>
            <w:r w:rsidRPr="00BD295E">
              <w:rPr>
                <w:rFonts w:ascii="Arial" w:hAnsi="Arial" w:cs="Arial"/>
                <w:sz w:val="18"/>
                <w:szCs w:val="18"/>
                <w:lang w:val="en-US"/>
              </w:rPr>
              <w:t>Title of the R&amp;D agreement for which a protection document was granted</w:t>
            </w:r>
          </w:p>
        </w:tc>
        <w:tc>
          <w:tcPr>
            <w:tcW w:w="3168" w:type="dxa"/>
            <w:tcBorders>
              <w:top w:val="single" w:sz="4" w:space="0" w:color="auto"/>
              <w:left w:val="nil"/>
              <w:bottom w:val="single" w:sz="4" w:space="0" w:color="auto"/>
              <w:right w:val="single" w:sz="4" w:space="0" w:color="auto"/>
            </w:tcBorders>
            <w:shd w:val="clear" w:color="auto" w:fill="auto"/>
          </w:tcPr>
          <w:p w14:paraId="76772618" w14:textId="77777777" w:rsidR="002D2998" w:rsidRPr="00BD295E" w:rsidRDefault="008A5057" w:rsidP="00A85863">
            <w:pPr>
              <w:jc w:val="center"/>
              <w:rPr>
                <w:rFonts w:ascii="Arial" w:hAnsi="Arial" w:cs="Arial"/>
                <w:sz w:val="18"/>
                <w:szCs w:val="18"/>
                <w:lang w:val="en-US"/>
              </w:rPr>
            </w:pPr>
            <w:r w:rsidRPr="00BD295E">
              <w:rPr>
                <w:rFonts w:ascii="Arial" w:hAnsi="Arial" w:cs="Arial"/>
                <w:sz w:val="18"/>
                <w:szCs w:val="18"/>
                <w:lang w:val="en-US"/>
              </w:rPr>
              <w:t>Title of the R&amp;D agreement for which a protection document was granted</w:t>
            </w:r>
          </w:p>
        </w:tc>
        <w:tc>
          <w:tcPr>
            <w:tcW w:w="3168" w:type="dxa"/>
            <w:tcBorders>
              <w:top w:val="single" w:sz="4" w:space="0" w:color="auto"/>
              <w:left w:val="single" w:sz="4" w:space="0" w:color="auto"/>
              <w:bottom w:val="single" w:sz="4" w:space="0" w:color="auto"/>
              <w:right w:val="single" w:sz="4" w:space="0" w:color="auto"/>
            </w:tcBorders>
            <w:shd w:val="clear" w:color="auto" w:fill="auto"/>
            <w:hideMark/>
          </w:tcPr>
          <w:p w14:paraId="53FD51A4" w14:textId="77777777" w:rsidR="002D2998" w:rsidRPr="00BD295E" w:rsidRDefault="008A5057" w:rsidP="00A85863">
            <w:pPr>
              <w:jc w:val="center"/>
              <w:rPr>
                <w:rFonts w:ascii="Arial" w:hAnsi="Arial" w:cs="Arial"/>
                <w:sz w:val="18"/>
                <w:szCs w:val="18"/>
                <w:lang w:val="en-US"/>
              </w:rPr>
            </w:pPr>
            <w:r w:rsidRPr="00BD295E">
              <w:rPr>
                <w:rFonts w:ascii="Arial" w:hAnsi="Arial" w:cs="Arial"/>
                <w:sz w:val="18"/>
                <w:szCs w:val="18"/>
                <w:lang w:val="en-US"/>
              </w:rPr>
              <w:t>Title of the protection document, including its type (patent/certificate) and details (registration date and number)</w:t>
            </w:r>
          </w:p>
        </w:tc>
      </w:tr>
      <w:tr w:rsidR="008A5057" w:rsidRPr="00BD295E" w14:paraId="4C230B4D" w14:textId="77777777" w:rsidTr="00A85863">
        <w:trPr>
          <w:trHeight w:val="300"/>
          <w:jc w:val="center"/>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CBFFF17" w14:textId="77777777" w:rsidR="002D2998" w:rsidRPr="00BD295E" w:rsidRDefault="008A5057" w:rsidP="00A85863">
            <w:pPr>
              <w:jc w:val="center"/>
              <w:rPr>
                <w:rFonts w:ascii="Arial" w:hAnsi="Arial" w:cs="Arial"/>
                <w:sz w:val="18"/>
                <w:szCs w:val="18"/>
                <w:lang w:val="en-US"/>
              </w:rPr>
            </w:pPr>
            <w:r w:rsidRPr="00BD295E">
              <w:rPr>
                <w:rFonts w:ascii="Arial" w:hAnsi="Arial" w:cs="Arial"/>
                <w:sz w:val="18"/>
                <w:szCs w:val="18"/>
                <w:lang w:val="en-US"/>
              </w:rPr>
              <w:t>R&amp;D project for developing reinforced concrete supports of 110 kv overhead lines from centrifuged sectionalized poles</w:t>
            </w:r>
          </w:p>
        </w:tc>
        <w:tc>
          <w:tcPr>
            <w:tcW w:w="3168" w:type="dxa"/>
            <w:tcBorders>
              <w:top w:val="single" w:sz="4" w:space="0" w:color="auto"/>
              <w:left w:val="nil"/>
              <w:bottom w:val="single" w:sz="4" w:space="0" w:color="auto"/>
              <w:right w:val="single" w:sz="4" w:space="0" w:color="auto"/>
            </w:tcBorders>
            <w:shd w:val="clear" w:color="auto" w:fill="auto"/>
            <w:vAlign w:val="center"/>
          </w:tcPr>
          <w:p w14:paraId="1CAA0E84" w14:textId="77777777" w:rsidR="002D2998" w:rsidRPr="00BD295E" w:rsidRDefault="008A5057" w:rsidP="00A85863">
            <w:pPr>
              <w:jc w:val="center"/>
              <w:rPr>
                <w:rFonts w:ascii="Arial" w:hAnsi="Arial" w:cs="Arial"/>
                <w:sz w:val="18"/>
                <w:szCs w:val="18"/>
                <w:lang w:val="en-US"/>
              </w:rPr>
            </w:pPr>
            <w:r w:rsidRPr="00BD295E">
              <w:rPr>
                <w:rFonts w:ascii="Arial" w:hAnsi="Arial" w:cs="Arial"/>
                <w:sz w:val="18"/>
                <w:szCs w:val="18"/>
                <w:lang w:val="en-US"/>
              </w:rPr>
              <w:t>Reinforced concrete for high voltage line supports</w:t>
            </w:r>
          </w:p>
        </w:tc>
        <w:tc>
          <w:tcPr>
            <w:tcW w:w="3168" w:type="dxa"/>
            <w:tcBorders>
              <w:top w:val="single" w:sz="4" w:space="0" w:color="auto"/>
              <w:left w:val="single" w:sz="4" w:space="0" w:color="auto"/>
              <w:bottom w:val="single" w:sz="4" w:space="0" w:color="auto"/>
              <w:right w:val="single" w:sz="4" w:space="0" w:color="auto"/>
            </w:tcBorders>
            <w:shd w:val="clear" w:color="auto" w:fill="auto"/>
            <w:vAlign w:val="center"/>
          </w:tcPr>
          <w:p w14:paraId="42FBACDA" w14:textId="77777777" w:rsidR="002D2998" w:rsidRPr="00BD295E" w:rsidRDefault="008A5057" w:rsidP="00A85863">
            <w:pPr>
              <w:jc w:val="center"/>
              <w:rPr>
                <w:rFonts w:ascii="Arial" w:hAnsi="Arial" w:cs="Arial"/>
                <w:sz w:val="18"/>
                <w:szCs w:val="18"/>
                <w:lang w:val="en-US"/>
              </w:rPr>
            </w:pPr>
            <w:r w:rsidRPr="00BD295E">
              <w:rPr>
                <w:rFonts w:ascii="Arial" w:hAnsi="Arial" w:cs="Arial"/>
                <w:sz w:val="18"/>
                <w:szCs w:val="18"/>
                <w:lang w:val="en-US"/>
              </w:rPr>
              <w:t xml:space="preserve">Useful model patent No. 183762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 2018</w:t>
            </w:r>
          </w:p>
        </w:tc>
      </w:tr>
    </w:tbl>
    <w:p w14:paraId="77755638" w14:textId="77777777" w:rsidR="002D2998" w:rsidRPr="00BD295E" w:rsidRDefault="002D2998" w:rsidP="002D2998">
      <w:pPr>
        <w:ind w:firstLine="709"/>
        <w:contextualSpacing/>
        <w:jc w:val="both"/>
        <w:rPr>
          <w:rFonts w:ascii="Arial" w:hAnsi="Arial" w:cs="Arial"/>
          <w:sz w:val="18"/>
          <w:szCs w:val="18"/>
          <w:lang w:val="en-US"/>
        </w:rPr>
      </w:pPr>
    </w:p>
    <w:p w14:paraId="6B79ACF5" w14:textId="77777777" w:rsidR="002D2998" w:rsidRPr="00BD295E" w:rsidRDefault="008A5057" w:rsidP="003D49A2">
      <w:pPr>
        <w:pStyle w:val="ConsPlusNormal"/>
        <w:spacing w:after="200" w:line="276" w:lineRule="auto"/>
        <w:jc w:val="both"/>
        <w:rPr>
          <w:rFonts w:ascii="Arial" w:hAnsi="Arial" w:cs="Arial"/>
          <w:b/>
          <w:sz w:val="18"/>
          <w:szCs w:val="18"/>
          <w:lang w:val="en-US"/>
        </w:rPr>
      </w:pPr>
      <w:r w:rsidRPr="00BD295E">
        <w:rPr>
          <w:rFonts w:ascii="Arial" w:hAnsi="Arial" w:cs="Arial"/>
          <w:b/>
          <w:sz w:val="18"/>
          <w:szCs w:val="18"/>
          <w:lang w:val="en-US"/>
        </w:rPr>
        <w:t>Measures to digitize electric grid facilities</w:t>
      </w:r>
    </w:p>
    <w:p w14:paraId="35ED34B5" w14:textId="77777777" w:rsidR="002D2998"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 xml:space="preserve">Digitizing control and operating processes of electric grids and substations is a key innovative development priority for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innovative development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covers the following areas of electric grid digitization:</w:t>
      </w:r>
    </w:p>
    <w:p w14:paraId="680BC769"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Transition to digital substations of various voltage classes within the 35–110 kV range;</w:t>
      </w:r>
    </w:p>
    <w:p w14:paraId="26EE082C" w14:textId="6DDCDC14"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 xml:space="preserve">Transition to digital smart grids with a distributed smart </w:t>
      </w:r>
      <w:r w:rsidR="00BF106F" w:rsidRPr="00BD295E">
        <w:rPr>
          <w:rFonts w:ascii="Arial" w:hAnsi="Arial" w:cs="Arial"/>
          <w:bCs/>
          <w:sz w:val="18"/>
          <w:szCs w:val="18"/>
          <w:lang w:val="en-US"/>
        </w:rPr>
        <w:t xml:space="preserve">control and </w:t>
      </w:r>
      <w:r w:rsidR="002C3947" w:rsidRPr="00BD295E">
        <w:rPr>
          <w:rFonts w:ascii="Arial" w:hAnsi="Arial" w:cs="Arial"/>
          <w:bCs/>
          <w:sz w:val="18"/>
          <w:szCs w:val="18"/>
          <w:lang w:val="en-US"/>
        </w:rPr>
        <w:t>automation system</w:t>
      </w:r>
      <w:r w:rsidRPr="00BD295E">
        <w:rPr>
          <w:rFonts w:ascii="Arial" w:hAnsi="Arial" w:cs="Arial"/>
          <w:bCs/>
          <w:sz w:val="18"/>
          <w:szCs w:val="18"/>
          <w:lang w:val="en-US"/>
        </w:rPr>
        <w:t>.</w:t>
      </w:r>
    </w:p>
    <w:p w14:paraId="14BC5196" w14:textId="77777777" w:rsidR="002D2998" w:rsidRPr="00BD295E" w:rsidRDefault="002D2998" w:rsidP="003D49A2">
      <w:pPr>
        <w:contextualSpacing/>
        <w:jc w:val="both"/>
        <w:rPr>
          <w:rFonts w:ascii="Arial" w:hAnsi="Arial" w:cs="Arial"/>
          <w:sz w:val="18"/>
          <w:szCs w:val="18"/>
          <w:lang w:val="en-US"/>
        </w:rPr>
      </w:pPr>
    </w:p>
    <w:p w14:paraId="1792938E"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Projects run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 digitize electric grid facilities</w:t>
      </w:r>
    </w:p>
    <w:p w14:paraId="6D335A91" w14:textId="77777777" w:rsidR="002D2998" w:rsidRPr="00BD295E" w:rsidRDefault="002D2998" w:rsidP="003D49A2">
      <w:pPr>
        <w:contextualSpacing/>
        <w:jc w:val="both"/>
        <w:rPr>
          <w:rFonts w:ascii="Arial" w:hAnsi="Arial" w:cs="Arial"/>
          <w:bCs/>
          <w:sz w:val="18"/>
          <w:szCs w:val="18"/>
          <w:u w:val="single"/>
          <w:lang w:val="en-US"/>
        </w:rPr>
      </w:pPr>
    </w:p>
    <w:p w14:paraId="66265E6A" w14:textId="77777777" w:rsidR="002D2998" w:rsidRPr="00BD295E" w:rsidRDefault="008A5057" w:rsidP="003D49A2">
      <w:pPr>
        <w:contextualSpacing/>
        <w:jc w:val="both"/>
        <w:rPr>
          <w:rFonts w:ascii="Arial" w:hAnsi="Arial" w:cs="Arial"/>
          <w:bCs/>
          <w:sz w:val="18"/>
          <w:szCs w:val="18"/>
          <w:u w:val="single"/>
          <w:lang w:val="en-US"/>
        </w:rPr>
      </w:pPr>
      <w:r w:rsidRPr="00BD295E">
        <w:rPr>
          <w:rFonts w:ascii="Arial" w:hAnsi="Arial" w:cs="Arial"/>
          <w:bCs/>
          <w:sz w:val="18"/>
          <w:szCs w:val="18"/>
          <w:u w:val="single"/>
          <w:lang w:val="en-US"/>
        </w:rPr>
        <w:t>Digital substations based on the 110 kV Martyshkino substation No. 502</w:t>
      </w:r>
    </w:p>
    <w:p w14:paraId="6900FE85"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The project provides for building the digital substation architecture with the process bus and the station bus using IEC 61850 digital protocols. The project provides for organizing the monitoring and control of digital communications using the IEC 61850 standard, as well as registration of emergency events using IEC 61850 data transfer and document generation based on SCD files.</w:t>
      </w:r>
    </w:p>
    <w:p w14:paraId="66311160"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2018–2020</w:t>
      </w:r>
    </w:p>
    <w:p w14:paraId="037480A5"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Results achieved:</w:t>
      </w:r>
    </w:p>
    <w:p w14:paraId="2777FB95"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 2018, the technical standards were developed and approved for the design of a 110 kV digital substation based on the renovated 110 kV Martyshkino substation No. 502.</w:t>
      </w:r>
    </w:p>
    <w:p w14:paraId="40FB3B1A" w14:textId="77777777" w:rsidR="002D2998" w:rsidRPr="00BD295E" w:rsidRDefault="002D2998" w:rsidP="003D49A2">
      <w:pPr>
        <w:contextualSpacing/>
        <w:jc w:val="both"/>
        <w:rPr>
          <w:rFonts w:ascii="Arial" w:hAnsi="Arial" w:cs="Arial"/>
          <w:sz w:val="18"/>
          <w:szCs w:val="18"/>
          <w:lang w:val="en-US"/>
        </w:rPr>
      </w:pPr>
    </w:p>
    <w:p w14:paraId="0117223A" w14:textId="77777777" w:rsidR="002D2998" w:rsidRPr="00BD295E" w:rsidRDefault="008A5057" w:rsidP="003D49A2">
      <w:pPr>
        <w:contextualSpacing/>
        <w:jc w:val="both"/>
        <w:rPr>
          <w:rFonts w:ascii="Arial" w:hAnsi="Arial" w:cs="Arial"/>
          <w:bCs/>
          <w:sz w:val="18"/>
          <w:szCs w:val="18"/>
          <w:u w:val="single"/>
          <w:lang w:val="en-US"/>
        </w:rPr>
      </w:pPr>
      <w:r w:rsidRPr="00BD295E">
        <w:rPr>
          <w:rFonts w:ascii="Arial" w:hAnsi="Arial" w:cs="Arial"/>
          <w:bCs/>
          <w:sz w:val="18"/>
          <w:szCs w:val="18"/>
          <w:u w:val="single"/>
          <w:lang w:val="en-US"/>
        </w:rPr>
        <w:t>A digital substation based on the 35 kV Detskoselskaya substation.</w:t>
      </w:r>
    </w:p>
    <w:p w14:paraId="6F88AD03"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The following solutions are expected to be implemented at the site:</w:t>
      </w:r>
    </w:p>
    <w:p w14:paraId="696230CB"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organization of digital data transfer between relay protection devices (IEC 6185081 GOOSE);</w:t>
      </w:r>
    </w:p>
    <w:p w14:paraId="76F6C5EB"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implementation of a full relay protection system for the substation;</w:t>
      </w:r>
    </w:p>
    <w:p w14:paraId="7413B0F8"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implementation of an automated process control system (APCS) (IEC 6185081 MMS).</w:t>
      </w:r>
    </w:p>
    <w:p w14:paraId="327909D0"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2018-2019</w:t>
      </w:r>
    </w:p>
    <w:p w14:paraId="687A43CE"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Results achieved:</w:t>
      </w:r>
    </w:p>
    <w:p w14:paraId="35882E79"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 2018, the technical standards were developed and approved for the design of a 110 kV digital substation based on the renovated 35 kV Detskoselskaya substation. Based on the approved technical standards, the design work (design and detailed design) was completed. Other work that was completed includes the preparatory operations, the first process phase, installation of an auxiliary system, an automatic process control system, relay protection, an operating DC voltage system, and a communications network for the digital substation architecture No. 1 (station bus IEC 61850-8.1 “GOOSE” and “MMS”).</w:t>
      </w:r>
    </w:p>
    <w:p w14:paraId="446B9C5E" w14:textId="77777777" w:rsidR="002D2998" w:rsidRPr="00BD295E" w:rsidRDefault="002D2998" w:rsidP="003D49A2">
      <w:pPr>
        <w:contextualSpacing/>
        <w:jc w:val="both"/>
        <w:rPr>
          <w:rFonts w:ascii="Arial" w:hAnsi="Arial" w:cs="Arial"/>
          <w:bCs/>
          <w:sz w:val="18"/>
          <w:szCs w:val="18"/>
          <w:lang w:val="en-US"/>
        </w:rPr>
      </w:pPr>
    </w:p>
    <w:p w14:paraId="6F5A95C4" w14:textId="77777777" w:rsidR="002D2998" w:rsidRPr="00BD295E" w:rsidRDefault="008A5057" w:rsidP="003D49A2">
      <w:pPr>
        <w:contextualSpacing/>
        <w:jc w:val="both"/>
        <w:rPr>
          <w:rFonts w:ascii="Arial" w:hAnsi="Arial" w:cs="Arial"/>
          <w:bCs/>
          <w:sz w:val="18"/>
          <w:szCs w:val="18"/>
          <w:u w:val="single"/>
          <w:lang w:val="en-US"/>
        </w:rPr>
      </w:pPr>
      <w:r w:rsidRPr="00BD295E">
        <w:rPr>
          <w:rFonts w:ascii="Arial" w:hAnsi="Arial" w:cs="Arial"/>
          <w:bCs/>
          <w:sz w:val="18"/>
          <w:szCs w:val="18"/>
          <w:u w:val="single"/>
          <w:lang w:val="en-US"/>
        </w:rPr>
        <w:t xml:space="preserve">Building a unified automated control system for electricity distribution grids of </w:t>
      </w:r>
      <w:r w:rsidR="00EE5753" w:rsidRPr="00BD295E">
        <w:rPr>
          <w:rFonts w:ascii="Arial" w:hAnsi="Arial" w:cs="Arial"/>
          <w:bCs/>
          <w:sz w:val="18"/>
          <w:szCs w:val="18"/>
          <w:u w:val="single"/>
          <w:lang w:val="en-US"/>
        </w:rPr>
        <w:t>PJSC “Lenenergo”</w:t>
      </w:r>
      <w:r w:rsidRPr="00BD295E">
        <w:rPr>
          <w:rFonts w:ascii="Arial" w:hAnsi="Arial" w:cs="Arial"/>
          <w:bCs/>
          <w:sz w:val="18"/>
          <w:szCs w:val="18"/>
          <w:u w:val="single"/>
          <w:lang w:val="en-US"/>
        </w:rPr>
        <w:t xml:space="preserve"> based on advanced technologies and digital microprocessor devices</w:t>
      </w:r>
    </w:p>
    <w:p w14:paraId="01307552"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The project provides for creating the Unified Grid Control Center (UGCC)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operating based on the software and hardware package of an automated process control system, as well as modernization and expansion of the data collection and communication system of 110 kV substations, distribution substations and distribution and transformer substations enabled by advanced remote control devices and digital sensors to be further integrated with the software and hardware package of the automated process control system.</w:t>
      </w:r>
    </w:p>
    <w:p w14:paraId="3B117AAB"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The timing of the project for creating the UGCC is aligned with projects for creating 35–110 kV digital substations and digital distribution grids. </w:t>
      </w:r>
    </w:p>
    <w:p w14:paraId="289BCE96" w14:textId="0C4B362D"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On completion of the 35–110 kV digital substation projects, data exchange will be organized between the software and hardware package of the 35-110 kV digital substations and the automated process control system of the UGCC using standard protocols to ensure visibility and controllability as well as provide the automated process control system of the UGCC with input data for its computing and </w:t>
      </w:r>
      <w:r w:rsidR="002C3947" w:rsidRPr="00BD295E">
        <w:rPr>
          <w:rFonts w:ascii="Arial" w:hAnsi="Arial" w:cs="Arial"/>
          <w:bCs/>
          <w:sz w:val="18"/>
          <w:szCs w:val="18"/>
          <w:lang w:val="en-US"/>
        </w:rPr>
        <w:t>analytical functions</w:t>
      </w:r>
      <w:r w:rsidRPr="00BD295E">
        <w:rPr>
          <w:rFonts w:ascii="Arial" w:hAnsi="Arial" w:cs="Arial"/>
          <w:bCs/>
          <w:sz w:val="18"/>
          <w:szCs w:val="18"/>
          <w:lang w:val="en-US"/>
        </w:rPr>
        <w:t>.</w:t>
      </w:r>
    </w:p>
    <w:p w14:paraId="7C5114F9" w14:textId="630C0489"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Data will be exchanged between the field level devices implemented as part of these projects and the automated process control system of the UGCC using standard protocols to ensure grid visibility and controllability and to provide the automated process control system of the UGCC with input data on the grid state for its computing and </w:t>
      </w:r>
      <w:r w:rsidR="002C3947" w:rsidRPr="00BD295E">
        <w:rPr>
          <w:rFonts w:ascii="Arial" w:hAnsi="Arial" w:cs="Arial"/>
          <w:bCs/>
          <w:sz w:val="18"/>
          <w:szCs w:val="18"/>
          <w:lang w:val="en-US"/>
        </w:rPr>
        <w:t>analytical functions</w:t>
      </w:r>
      <w:r w:rsidRPr="00BD295E">
        <w:rPr>
          <w:rFonts w:ascii="Arial" w:hAnsi="Arial" w:cs="Arial"/>
          <w:bCs/>
          <w:sz w:val="18"/>
          <w:szCs w:val="18"/>
          <w:lang w:val="en-US"/>
        </w:rPr>
        <w:t>.</w:t>
      </w:r>
    </w:p>
    <w:p w14:paraId="4D9E9568"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Results achieved in 2018:</w:t>
      </w:r>
    </w:p>
    <w:p w14:paraId="57D6A7D9"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 xml:space="preserve">The ground-level phase of constructing a new building to host the future Unified Grid Control Center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was completed;</w:t>
      </w:r>
    </w:p>
    <w:p w14:paraId="60F20D57"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 xml:space="preserve">The work to build an automated process control system for the upper and lower levels (35–110 kV substations, 6-10 kV distribution and distribution and transformer substations) for the comprehensive integration with the software and hardware package of the automated process control system of the UGCC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was started;</w:t>
      </w:r>
    </w:p>
    <w:p w14:paraId="40F6B6D2"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 xml:space="preserve">The existing administrative documents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that determine the organization and performance </w:t>
      </w:r>
      <w:r w:rsidR="0020595C" w:rsidRPr="00BD295E">
        <w:rPr>
          <w:rFonts w:ascii="Arial" w:hAnsi="Arial" w:cs="Arial"/>
          <w:bCs/>
          <w:sz w:val="18"/>
          <w:szCs w:val="18"/>
          <w:lang w:val="en-US"/>
        </w:rPr>
        <w:t>o</w:t>
      </w:r>
      <w:r w:rsidR="0020595C" w:rsidRPr="00BD295E">
        <w:rPr>
          <w:rFonts w:ascii="Arial" w:hAnsi="Arial" w:cs="Arial"/>
          <w:sz w:val="18"/>
          <w:szCs w:val="18"/>
          <w:lang w:val="en-US"/>
        </w:rPr>
        <w:t>perational process control and situational management</w:t>
      </w:r>
      <w:r w:rsidRPr="00BD295E">
        <w:rPr>
          <w:rFonts w:ascii="Arial" w:hAnsi="Arial" w:cs="Arial"/>
          <w:bCs/>
          <w:sz w:val="18"/>
          <w:szCs w:val="18"/>
          <w:lang w:val="en-US"/>
        </w:rPr>
        <w:t xml:space="preserve"> functions were aligned with the provisions of the approved Concept for the Development of the </w:t>
      </w:r>
      <w:r w:rsidR="0020595C" w:rsidRPr="00BD295E">
        <w:rPr>
          <w:rFonts w:ascii="Arial" w:hAnsi="Arial" w:cs="Arial"/>
          <w:bCs/>
          <w:sz w:val="18"/>
          <w:szCs w:val="18"/>
          <w:lang w:val="en-US"/>
        </w:rPr>
        <w:t>O</w:t>
      </w:r>
      <w:r w:rsidR="0020595C" w:rsidRPr="00BD295E">
        <w:rPr>
          <w:rFonts w:ascii="Arial" w:hAnsi="Arial" w:cs="Arial"/>
          <w:sz w:val="18"/>
          <w:szCs w:val="18"/>
          <w:lang w:val="en-US"/>
        </w:rPr>
        <w:t>perational Process Control and Situational Management</w:t>
      </w:r>
      <w:r w:rsidRPr="00BD295E">
        <w:rPr>
          <w:rFonts w:ascii="Arial" w:hAnsi="Arial" w:cs="Arial"/>
          <w:bCs/>
          <w:sz w:val="18"/>
          <w:szCs w:val="18"/>
          <w:lang w:val="en-US"/>
        </w:rPr>
        <w:t xml:space="preserve"> in the Electric Grid Facilities of </w:t>
      </w:r>
      <w:r w:rsidR="00BF106F" w:rsidRPr="00BD295E">
        <w:rPr>
          <w:rFonts w:ascii="Arial" w:hAnsi="Arial" w:cs="Arial"/>
          <w:bCs/>
          <w:sz w:val="18"/>
          <w:szCs w:val="18"/>
          <w:lang w:val="en-US"/>
        </w:rPr>
        <w:t>PJSC “Rosseti”</w:t>
      </w:r>
      <w:r w:rsidRPr="00BD295E">
        <w:rPr>
          <w:rFonts w:ascii="Arial" w:hAnsi="Arial" w:cs="Arial"/>
          <w:bCs/>
          <w:sz w:val="18"/>
          <w:szCs w:val="18"/>
          <w:lang w:val="en-US"/>
        </w:rPr>
        <w:t xml:space="preserve"> (as approved by the Management Board of </w:t>
      </w:r>
      <w:r w:rsidR="00BF106F" w:rsidRPr="00BD295E">
        <w:rPr>
          <w:rFonts w:ascii="Arial" w:hAnsi="Arial" w:cs="Arial"/>
          <w:bCs/>
          <w:sz w:val="18"/>
          <w:szCs w:val="18"/>
          <w:lang w:val="en-US"/>
        </w:rPr>
        <w:t>PJSC “Rosseti”</w:t>
      </w:r>
      <w:r w:rsidRPr="00BD295E">
        <w:rPr>
          <w:rFonts w:ascii="Arial" w:hAnsi="Arial" w:cs="Arial"/>
          <w:bCs/>
          <w:sz w:val="18"/>
          <w:szCs w:val="18"/>
          <w:lang w:val="en-US"/>
        </w:rPr>
        <w:t xml:space="preserve">, Minutes No. 755pr </w:t>
      </w:r>
      <w:r w:rsidR="008B183C" w:rsidRPr="00BD295E">
        <w:rPr>
          <w:rFonts w:ascii="Arial" w:hAnsi="Arial" w:cs="Arial"/>
          <w:bCs/>
          <w:sz w:val="18"/>
          <w:szCs w:val="18"/>
          <w:lang w:val="en-US"/>
        </w:rPr>
        <w:t>of</w:t>
      </w:r>
      <w:r w:rsidRPr="00BD295E">
        <w:rPr>
          <w:rFonts w:ascii="Arial" w:hAnsi="Arial" w:cs="Arial"/>
          <w:bCs/>
          <w:sz w:val="18"/>
          <w:szCs w:val="18"/>
          <w:lang w:val="en-US"/>
        </w:rPr>
        <w:t xml:space="preserve"> August 24, 2018).</w:t>
      </w:r>
    </w:p>
    <w:p w14:paraId="53D06590" w14:textId="77777777" w:rsidR="002D2998" w:rsidRPr="00BD295E" w:rsidRDefault="002D2998" w:rsidP="003D49A2">
      <w:pPr>
        <w:contextualSpacing/>
        <w:jc w:val="both"/>
        <w:rPr>
          <w:rFonts w:ascii="Arial" w:hAnsi="Arial" w:cs="Arial"/>
          <w:bCs/>
          <w:sz w:val="18"/>
          <w:szCs w:val="18"/>
          <w:lang w:val="en-US"/>
        </w:rPr>
      </w:pPr>
    </w:p>
    <w:p w14:paraId="7CD525E4" w14:textId="77777777" w:rsidR="002D2998" w:rsidRPr="00BD295E" w:rsidRDefault="008A5057" w:rsidP="003D49A2">
      <w:pPr>
        <w:contextualSpacing/>
        <w:jc w:val="both"/>
        <w:rPr>
          <w:rFonts w:ascii="Arial" w:hAnsi="Arial" w:cs="Arial"/>
          <w:bCs/>
          <w:sz w:val="18"/>
          <w:szCs w:val="18"/>
          <w:u w:val="single"/>
          <w:lang w:val="en-US"/>
        </w:rPr>
      </w:pPr>
      <w:r w:rsidRPr="00BD295E">
        <w:rPr>
          <w:rFonts w:ascii="Arial" w:hAnsi="Arial" w:cs="Arial"/>
          <w:bCs/>
          <w:sz w:val="18"/>
          <w:szCs w:val="18"/>
          <w:u w:val="single"/>
          <w:lang w:val="en-US"/>
        </w:rPr>
        <w:t>Development of the charging infrastructure in Saint Petersburg</w:t>
      </w:r>
    </w:p>
    <w:p w14:paraId="181BA134"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An important task in implementing the concept of smart grids at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is to create a charging infrastructure for electric vehicles.</w:t>
      </w:r>
    </w:p>
    <w:p w14:paraId="770407A7"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Electric vehicles in the target vision of the Company’s innovative development represent one of the forces that play a part in the electricity and capacity market and in the optimization of physical processes in the grids. </w:t>
      </w:r>
    </w:p>
    <w:p w14:paraId="70A6819C"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In 2018,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continued to implement a project launched in 2014.</w:t>
      </w:r>
    </w:p>
    <w:p w14:paraId="3EC725E6"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As part of implementing Order No. 785, </w:t>
      </w:r>
      <w:r w:rsidRPr="00BD295E">
        <w:rPr>
          <w:rFonts w:ascii="Arial" w:hAnsi="Arial" w:cs="Arial"/>
          <w:bCs/>
          <w:i/>
          <w:iCs/>
          <w:sz w:val="18"/>
          <w:szCs w:val="18"/>
          <w:lang w:val="en-US"/>
        </w:rPr>
        <w:t xml:space="preserve">On the expansion of the public network of charging stations of </w:t>
      </w:r>
      <w:r w:rsidR="00EE5753" w:rsidRPr="00BD295E">
        <w:rPr>
          <w:rFonts w:ascii="Arial" w:hAnsi="Arial" w:cs="Arial"/>
          <w:bCs/>
          <w:i/>
          <w:iCs/>
          <w:sz w:val="18"/>
          <w:szCs w:val="18"/>
          <w:lang w:val="en-US"/>
        </w:rPr>
        <w:t>PJSC “Lenenergo”</w:t>
      </w:r>
      <w:r w:rsidRPr="00BD295E">
        <w:rPr>
          <w:rFonts w:ascii="Arial" w:hAnsi="Arial" w:cs="Arial"/>
          <w:bCs/>
          <w:i/>
          <w:iCs/>
          <w:sz w:val="18"/>
          <w:szCs w:val="18"/>
          <w:lang w:val="en-US"/>
        </w:rPr>
        <w:t xml:space="preserve"> for test operation</w:t>
      </w:r>
      <w:r w:rsidRPr="00BD295E">
        <w:rPr>
          <w:rFonts w:ascii="Arial" w:hAnsi="Arial" w:cs="Arial"/>
          <w:bCs/>
          <w:sz w:val="18"/>
          <w:szCs w:val="18"/>
          <w:lang w:val="en-US"/>
        </w:rPr>
        <w:t xml:space="preserve">, </w:t>
      </w:r>
      <w:r w:rsidR="008B183C" w:rsidRPr="00BD295E">
        <w:rPr>
          <w:rFonts w:ascii="Arial" w:hAnsi="Arial" w:cs="Arial"/>
          <w:bCs/>
          <w:sz w:val="18"/>
          <w:szCs w:val="18"/>
          <w:lang w:val="en-US"/>
        </w:rPr>
        <w:t>of</w:t>
      </w:r>
      <w:r w:rsidRPr="00BD295E">
        <w:rPr>
          <w:rFonts w:ascii="Arial" w:hAnsi="Arial" w:cs="Arial"/>
          <w:bCs/>
          <w:sz w:val="18"/>
          <w:szCs w:val="18"/>
          <w:lang w:val="en-US"/>
        </w:rPr>
        <w:t xml:space="preserve"> December 29, 2017, the Company:</w:t>
      </w:r>
    </w:p>
    <w:p w14:paraId="7905B581"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issues access cards for the network of electric charging stations (“ECS”) to car owners at the Customer Service Center;</w:t>
      </w:r>
    </w:p>
    <w:p w14:paraId="6B11049B"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integrates the electric charging stations with the unified software package used for the process control of the ECS network;</w:t>
      </w:r>
    </w:p>
    <w:p w14:paraId="06EA9A22"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operates a public ECS network of 31 charging stations.</w:t>
      </w:r>
    </w:p>
    <w:p w14:paraId="7127CC83"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 2018, the Company prepared the plans to design the installation of new ECSs.</w:t>
      </w:r>
    </w:p>
    <w:p w14:paraId="1EDDA658" w14:textId="77777777" w:rsidR="002D2998" w:rsidRPr="00BD295E" w:rsidRDefault="002D2998" w:rsidP="003D49A2">
      <w:pPr>
        <w:contextualSpacing/>
        <w:jc w:val="both"/>
        <w:rPr>
          <w:rFonts w:ascii="Arial" w:hAnsi="Arial" w:cs="Arial"/>
          <w:bCs/>
          <w:sz w:val="18"/>
          <w:szCs w:val="18"/>
          <w:lang w:val="en-US"/>
        </w:rPr>
      </w:pPr>
    </w:p>
    <w:p w14:paraId="38432F0C" w14:textId="77777777" w:rsidR="002D2998" w:rsidRPr="00BD295E" w:rsidRDefault="008A5057" w:rsidP="003D49A2">
      <w:pPr>
        <w:contextualSpacing/>
        <w:jc w:val="both"/>
        <w:rPr>
          <w:rFonts w:ascii="Arial" w:hAnsi="Arial" w:cs="Arial"/>
          <w:bCs/>
          <w:sz w:val="18"/>
          <w:szCs w:val="18"/>
          <w:u w:val="single"/>
          <w:lang w:val="en-US"/>
        </w:rPr>
      </w:pPr>
      <w:r w:rsidRPr="00BD295E">
        <w:rPr>
          <w:rFonts w:ascii="Arial" w:hAnsi="Arial" w:cs="Arial"/>
          <w:bCs/>
          <w:sz w:val="18"/>
          <w:szCs w:val="18"/>
          <w:u w:val="single"/>
          <w:lang w:val="en-US"/>
        </w:rPr>
        <w:t>Implementation of an automated electricity metering system with an option for integrating into a unified system for grid control and delivery of information on the grid operation parameters</w:t>
      </w:r>
    </w:p>
    <w:p w14:paraId="0470B83A"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As part of the project, the Piramida Seti (Grid Pyramid), an automated electricity metering software package, is being adopted, with expanded functionality, including integration into various automated control systems and SCADA systems, as well as organization of electricity metering at the borders of the grids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and participants in the wholesale and retail electricity markets using automated measuring and information systems for electricity billing metering to provide the functions of remote control and delivery of information on grid operation parameters. All installed automated measuring and information systems for electricity billing metering are integrated with the above software package.</w:t>
      </w:r>
    </w:p>
    <w:p w14:paraId="73584CE1"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The electricity metering system includes or supports integration with access control devices, including identification, authentication, and authorization of employees who access the system, monitoring of staff actions, anti-virus protection devices, and software and hardware integrity monitoring devices.</w:t>
      </w:r>
    </w:p>
    <w:p w14:paraId="1D8A3C57"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 xml:space="preserve">The electricity metering system is designed as a geographically distributed multi-tier measurement and information system with centralized control and a unified </w:t>
      </w:r>
      <w:r w:rsidR="00CF0D86" w:rsidRPr="00BD295E">
        <w:rPr>
          <w:rFonts w:ascii="Arial" w:hAnsi="Arial" w:cs="Arial"/>
          <w:bCs/>
          <w:sz w:val="18"/>
          <w:szCs w:val="18"/>
          <w:lang w:val="en-US"/>
        </w:rPr>
        <w:t>center</w:t>
      </w:r>
      <w:r w:rsidRPr="00BD295E">
        <w:rPr>
          <w:rFonts w:ascii="Arial" w:hAnsi="Arial" w:cs="Arial"/>
          <w:bCs/>
          <w:sz w:val="18"/>
          <w:szCs w:val="18"/>
          <w:lang w:val="en-US"/>
        </w:rPr>
        <w:t xml:space="preserve"> for collection, processing, storage, and transmission of electricity metering readings with a distributed electricity metering function.</w:t>
      </w:r>
    </w:p>
    <w:p w14:paraId="5B399EF5"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Innovative project implementation period: 2009-2025</w:t>
      </w:r>
    </w:p>
    <w:p w14:paraId="4C94168A"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Completed in 2018:</w:t>
      </w:r>
    </w:p>
    <w:p w14:paraId="6831776F"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1. Creation of conditions for automating the metering system.</w:t>
      </w:r>
    </w:p>
    <w:p w14:paraId="4CBFCC38"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1.1. Organizing automated electricity metering (design, installation, start-up and commissioning) at the border with apartment buildings (673 units).</w:t>
      </w:r>
    </w:p>
    <w:p w14:paraId="750A5396"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1.2. Organizing automated electricity metering (design, installation, start-up and commissioning) at consumers’ facilities (5,944 units).</w:t>
      </w:r>
    </w:p>
    <w:p w14:paraId="28359A21"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1.3. Organizing automated electricity metering (design, installation, start-up and commissioning) at connections of 0.4 kV transformer substations (580 facilities).</w:t>
      </w:r>
    </w:p>
    <w:p w14:paraId="2B66A88D"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1.4. Organizing automated electricity metering (design, installation, installation, start-up and commissioning) at connections of 35+ kV substations and 6 (10) kV distribution centers (1,014 facilities)</w:t>
      </w:r>
      <w:r w:rsidRPr="00BD295E">
        <w:rPr>
          <w:rFonts w:ascii="Arial" w:hAnsi="Arial" w:cs="Arial"/>
          <w:bCs/>
          <w:sz w:val="18"/>
          <w:szCs w:val="18"/>
          <w:lang w:val="en-US"/>
        </w:rPr>
        <w:br w:type="textWrapping" w:clear="all"/>
      </w:r>
    </w:p>
    <w:p w14:paraId="1C5CE46B"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1.5. Introducing 6 (10) kV billing metering stations (design, installation, start-up and commissioning) at the borders with consumers’ facilities (53 facilities).</w:t>
      </w:r>
    </w:p>
    <w:p w14:paraId="32B3A361"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1.6. Organizing automated electricity metering (design, installation, installation, start-up and commissioning) at connections of 110 kV substations (2 facilities)</w:t>
      </w:r>
    </w:p>
    <w:p w14:paraId="308F9728"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1.7. Organizing automated electricity metering (design, installation, installation, start-up and commissioning) at connections of 35+ kV substations (11 facilities)</w:t>
      </w:r>
    </w:p>
    <w:p w14:paraId="0FA6A7FC"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2. Integration of the installed automated measuring and information systems for electricity billing metering into various automated control systems.</w:t>
      </w:r>
    </w:p>
    <w:p w14:paraId="078728D8" w14:textId="77777777" w:rsidR="002D2998" w:rsidRPr="00BD295E" w:rsidRDefault="008A5057" w:rsidP="003D49A2">
      <w:pPr>
        <w:contextualSpacing/>
        <w:jc w:val="both"/>
        <w:rPr>
          <w:rFonts w:ascii="Arial" w:hAnsi="Arial" w:cs="Arial"/>
          <w:bCs/>
          <w:sz w:val="18"/>
          <w:szCs w:val="18"/>
          <w:lang w:val="en-US"/>
        </w:rPr>
      </w:pPr>
      <w:r w:rsidRPr="00BD295E">
        <w:rPr>
          <w:rFonts w:ascii="Arial" w:hAnsi="Arial" w:cs="Arial"/>
          <w:bCs/>
          <w:sz w:val="18"/>
          <w:szCs w:val="18"/>
          <w:lang w:val="en-US"/>
        </w:rPr>
        <w:t>3. Implementation of the Pyramid Grid (pre-project survey, informational presentation).</w:t>
      </w:r>
    </w:p>
    <w:p w14:paraId="6736A615" w14:textId="77777777" w:rsidR="002D2998" w:rsidRPr="00BD295E" w:rsidRDefault="002D2998" w:rsidP="003D49A2">
      <w:pPr>
        <w:contextualSpacing/>
        <w:jc w:val="both"/>
        <w:rPr>
          <w:rFonts w:ascii="Arial" w:hAnsi="Arial" w:cs="Arial"/>
          <w:bCs/>
          <w:sz w:val="18"/>
          <w:szCs w:val="18"/>
          <w:lang w:val="en-US"/>
        </w:rPr>
      </w:pPr>
    </w:p>
    <w:p w14:paraId="368E55A3" w14:textId="77777777" w:rsidR="002D2998" w:rsidRPr="00BD295E" w:rsidRDefault="008A5057" w:rsidP="003D49A2">
      <w:pPr>
        <w:contextualSpacing/>
        <w:jc w:val="both"/>
        <w:rPr>
          <w:rFonts w:ascii="Arial" w:hAnsi="Arial" w:cs="Arial"/>
          <w:sz w:val="18"/>
          <w:szCs w:val="18"/>
          <w:lang w:val="en-US"/>
        </w:rPr>
      </w:pPr>
      <w:r w:rsidRPr="00BD295E">
        <w:rPr>
          <w:rFonts w:ascii="Arial" w:hAnsi="Arial" w:cs="Arial"/>
          <w:sz w:val="18"/>
          <w:szCs w:val="18"/>
          <w:lang w:val="en-US"/>
        </w:rPr>
        <w:t xml:space="preserve">The previously mentioned comprehensive projects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are also being implemented as part of the digitization of the electric grid sector:</w:t>
      </w:r>
    </w:p>
    <w:p w14:paraId="0D78182C" w14:textId="77777777" w:rsidR="002D2998"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Building a smart 10–110 kV distribution grid in Saint Petersburg;</w:t>
      </w:r>
    </w:p>
    <w:p w14:paraId="53440E2D" w14:textId="55B93201" w:rsidR="002B01A2" w:rsidRPr="00BD295E" w:rsidRDefault="008A5057" w:rsidP="003D49A2">
      <w:pPr>
        <w:numPr>
          <w:ilvl w:val="0"/>
          <w:numId w:val="153"/>
        </w:numPr>
        <w:ind w:left="0" w:firstLine="0"/>
        <w:contextualSpacing/>
        <w:jc w:val="both"/>
        <w:rPr>
          <w:rFonts w:ascii="Arial" w:hAnsi="Arial" w:cs="Arial"/>
          <w:bCs/>
          <w:sz w:val="18"/>
          <w:szCs w:val="18"/>
          <w:lang w:val="en-US"/>
        </w:rPr>
      </w:pPr>
      <w:r w:rsidRPr="00BD295E">
        <w:rPr>
          <w:rFonts w:ascii="Arial" w:hAnsi="Arial" w:cs="Arial"/>
          <w:bCs/>
          <w:sz w:val="18"/>
          <w:szCs w:val="18"/>
          <w:lang w:val="en-US"/>
        </w:rPr>
        <w:t>Comprehensive automation of 6–10 kV grids in the Leningrad Region with integration into a unified information management system.</w:t>
      </w:r>
    </w:p>
    <w:p w14:paraId="3CC02D20" w14:textId="77777777" w:rsidR="002B01A2" w:rsidRPr="00BD295E" w:rsidRDefault="002B01A2">
      <w:pPr>
        <w:rPr>
          <w:rFonts w:ascii="Arial" w:hAnsi="Arial" w:cs="Arial"/>
          <w:bCs/>
          <w:sz w:val="18"/>
          <w:szCs w:val="18"/>
          <w:lang w:val="en-US"/>
        </w:rPr>
      </w:pPr>
      <w:r w:rsidRPr="00BD295E">
        <w:rPr>
          <w:rFonts w:ascii="Arial" w:hAnsi="Arial" w:cs="Arial"/>
          <w:bCs/>
          <w:sz w:val="18"/>
          <w:szCs w:val="18"/>
          <w:lang w:val="en-US"/>
        </w:rPr>
        <w:br w:type="page"/>
      </w:r>
    </w:p>
    <w:p w14:paraId="74E0A50B" w14:textId="77777777" w:rsidR="00006621" w:rsidRPr="00BD295E" w:rsidRDefault="00006621" w:rsidP="003D49A2">
      <w:pPr>
        <w:pStyle w:val="af3"/>
        <w:ind w:left="0"/>
        <w:rPr>
          <w:rFonts w:ascii="Arial" w:hAnsi="Arial" w:cs="Arial"/>
          <w:b/>
          <w:sz w:val="18"/>
          <w:szCs w:val="18"/>
          <w:lang w:val="en-US"/>
        </w:rPr>
      </w:pPr>
    </w:p>
    <w:p w14:paraId="692888E3" w14:textId="77777777" w:rsidR="00FD1F0A" w:rsidRPr="00BD295E" w:rsidRDefault="008A5057" w:rsidP="003D49A2">
      <w:pPr>
        <w:pStyle w:val="af3"/>
        <w:numPr>
          <w:ilvl w:val="2"/>
          <w:numId w:val="104"/>
        </w:numPr>
        <w:ind w:left="0"/>
        <w:outlineLvl w:val="2"/>
        <w:rPr>
          <w:rFonts w:ascii="Arial" w:hAnsi="Arial" w:cs="Arial"/>
          <w:b/>
          <w:sz w:val="18"/>
          <w:szCs w:val="18"/>
          <w:lang w:val="en-US"/>
        </w:rPr>
      </w:pPr>
      <w:bookmarkStart w:id="344" w:name="_Toc5027017"/>
      <w:bookmarkStart w:id="345" w:name="_Toc5105976"/>
      <w:bookmarkStart w:id="346" w:name="_Toc5203829"/>
      <w:bookmarkStart w:id="347" w:name="_Toc6230926"/>
      <w:bookmarkStart w:id="348" w:name="_Toc7172574"/>
      <w:bookmarkStart w:id="349" w:name="_Toc7172620"/>
      <w:bookmarkStart w:id="350" w:name="_Toc95855295"/>
      <w:bookmarkStart w:id="351" w:name="_Toc95935354"/>
      <w:bookmarkEnd w:id="320"/>
      <w:r w:rsidRPr="00BD295E">
        <w:rPr>
          <w:rFonts w:ascii="Arial" w:hAnsi="Arial" w:cs="Arial"/>
          <w:b/>
          <w:bCs/>
          <w:sz w:val="18"/>
          <w:szCs w:val="18"/>
          <w:lang w:val="en-US"/>
        </w:rPr>
        <w:t>Information technologies and telecommunications</w:t>
      </w:r>
      <w:bookmarkEnd w:id="321"/>
      <w:bookmarkEnd w:id="322"/>
      <w:bookmarkEnd w:id="323"/>
      <w:bookmarkEnd w:id="324"/>
      <w:bookmarkEnd w:id="325"/>
      <w:bookmarkEnd w:id="326"/>
      <w:bookmarkEnd w:id="327"/>
      <w:bookmarkEnd w:id="328"/>
      <w:bookmarkEnd w:id="329"/>
      <w:bookmarkEnd w:id="344"/>
      <w:bookmarkEnd w:id="345"/>
      <w:bookmarkEnd w:id="346"/>
      <w:bookmarkEnd w:id="347"/>
      <w:bookmarkEnd w:id="348"/>
      <w:bookmarkEnd w:id="349"/>
      <w:bookmarkEnd w:id="350"/>
      <w:bookmarkEnd w:id="351"/>
    </w:p>
    <w:p w14:paraId="531849E6" w14:textId="77777777" w:rsidR="008814BB" w:rsidRPr="00BD295E" w:rsidRDefault="008814BB" w:rsidP="003D49A2">
      <w:pPr>
        <w:tabs>
          <w:tab w:val="left" w:pos="5685"/>
        </w:tabs>
        <w:ind w:firstLine="709"/>
        <w:rPr>
          <w:rFonts w:ascii="Arial" w:hAnsi="Arial" w:cs="Arial"/>
          <w:b/>
          <w:sz w:val="18"/>
          <w:szCs w:val="18"/>
          <w:lang w:val="en-US"/>
        </w:rPr>
      </w:pPr>
    </w:p>
    <w:p w14:paraId="65D7E9CC" w14:textId="77777777" w:rsidR="00AB798B" w:rsidRPr="00BD295E" w:rsidRDefault="00EE5753" w:rsidP="003D49A2">
      <w:pPr>
        <w:numPr>
          <w:ilvl w:val="0"/>
          <w:numId w:val="81"/>
        </w:numPr>
        <w:ind w:left="0"/>
        <w:jc w:val="both"/>
        <w:rPr>
          <w:rFonts w:ascii="Arial" w:hAnsi="Arial" w:cs="Arial"/>
          <w:sz w:val="18"/>
          <w:szCs w:val="18"/>
          <w:lang w:val="en-US"/>
        </w:rPr>
      </w:pPr>
      <w:bookmarkStart w:id="352" w:name="_Toc473737619"/>
      <w:r w:rsidRPr="00BD295E">
        <w:rPr>
          <w:rFonts w:ascii="Arial" w:hAnsi="Arial" w:cs="Arial"/>
          <w:sz w:val="18"/>
          <w:szCs w:val="18"/>
          <w:lang w:val="en-US"/>
        </w:rPr>
        <w:t>PJSC “Lenenergo”</w:t>
      </w:r>
      <w:r w:rsidR="008A5057" w:rsidRPr="00BD295E">
        <w:rPr>
          <w:rFonts w:ascii="Arial" w:hAnsi="Arial" w:cs="Arial"/>
          <w:sz w:val="18"/>
          <w:szCs w:val="18"/>
          <w:lang w:val="en-US"/>
        </w:rPr>
        <w:t xml:space="preserve"> is a modern energy company, whose performance depends to a significant extent on the application of information technologies and automation solutions. Such automation solutions are developed at the Company as part of the Strategy of </w:t>
      </w:r>
      <w:r w:rsidR="00BF106F" w:rsidRPr="00BD295E">
        <w:rPr>
          <w:rFonts w:ascii="Arial" w:hAnsi="Arial" w:cs="Arial"/>
          <w:sz w:val="18"/>
          <w:szCs w:val="18"/>
          <w:lang w:val="en-US"/>
        </w:rPr>
        <w:t>PJSC “Rosseti”</w:t>
      </w:r>
      <w:r w:rsidR="008A5057" w:rsidRPr="00BD295E">
        <w:rPr>
          <w:rFonts w:ascii="Arial" w:hAnsi="Arial" w:cs="Arial"/>
          <w:sz w:val="18"/>
          <w:szCs w:val="18"/>
          <w:lang w:val="en-US"/>
        </w:rPr>
        <w:t xml:space="preserve"> for information technologies, automation, and telecommunications, as approved by the Company’s Board of Directors, and are aimed at: </w:t>
      </w:r>
    </w:p>
    <w:p w14:paraId="273130DF" w14:textId="77777777" w:rsidR="00AB798B" w:rsidRPr="00BD295E" w:rsidRDefault="008A5057" w:rsidP="003D49A2">
      <w:pPr>
        <w:numPr>
          <w:ilvl w:val="0"/>
          <w:numId w:val="81"/>
        </w:numPr>
        <w:ind w:left="0"/>
        <w:jc w:val="both"/>
        <w:rPr>
          <w:rFonts w:ascii="Arial" w:hAnsi="Arial" w:cs="Arial"/>
          <w:sz w:val="18"/>
          <w:szCs w:val="18"/>
          <w:lang w:val="en-US"/>
        </w:rPr>
      </w:pPr>
      <w:r w:rsidRPr="00BD295E">
        <w:rPr>
          <w:rFonts w:ascii="Arial" w:hAnsi="Arial" w:cs="Arial"/>
          <w:sz w:val="18"/>
          <w:szCs w:val="18"/>
          <w:lang w:val="en-US"/>
        </w:rPr>
        <w:t>enhancing the reliability of electricity supply to consumers in Saint Petersburg and the Leningrad Region;</w:t>
      </w:r>
    </w:p>
    <w:p w14:paraId="252C94DC" w14:textId="77777777" w:rsidR="00AB798B" w:rsidRPr="00BD295E" w:rsidRDefault="008A5057" w:rsidP="003D49A2">
      <w:pPr>
        <w:numPr>
          <w:ilvl w:val="0"/>
          <w:numId w:val="81"/>
        </w:numPr>
        <w:ind w:left="0"/>
        <w:jc w:val="both"/>
        <w:rPr>
          <w:rFonts w:ascii="Arial" w:hAnsi="Arial" w:cs="Arial"/>
          <w:sz w:val="18"/>
          <w:szCs w:val="18"/>
          <w:lang w:val="en-US"/>
        </w:rPr>
      </w:pPr>
      <w:r w:rsidRPr="00BD295E">
        <w:rPr>
          <w:rFonts w:ascii="Arial" w:hAnsi="Arial" w:cs="Arial"/>
          <w:sz w:val="18"/>
          <w:szCs w:val="18"/>
          <w:lang w:val="en-US"/>
        </w:rPr>
        <w:t>reducing the time of interruptions in electricity supply to consumers and increasing the amount of electricity delivered through reducing the time of outages;</w:t>
      </w:r>
    </w:p>
    <w:p w14:paraId="3A577817" w14:textId="77777777" w:rsidR="00AB798B" w:rsidRPr="00BD295E" w:rsidRDefault="008A5057" w:rsidP="003D49A2">
      <w:pPr>
        <w:numPr>
          <w:ilvl w:val="0"/>
          <w:numId w:val="81"/>
        </w:numPr>
        <w:ind w:left="0"/>
        <w:jc w:val="both"/>
        <w:rPr>
          <w:rFonts w:ascii="Arial" w:hAnsi="Arial" w:cs="Arial"/>
          <w:sz w:val="18"/>
          <w:szCs w:val="18"/>
          <w:lang w:val="en-US"/>
        </w:rPr>
      </w:pPr>
      <w:r w:rsidRPr="00BD295E">
        <w:rPr>
          <w:rFonts w:ascii="Arial" w:hAnsi="Arial" w:cs="Arial"/>
          <w:sz w:val="18"/>
          <w:szCs w:val="18"/>
          <w:lang w:val="en-US"/>
        </w:rPr>
        <w:t xml:space="preserve">reducing network losses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48A6DEB9" w14:textId="77777777" w:rsidR="00AB798B" w:rsidRPr="00BD295E" w:rsidRDefault="008A5057" w:rsidP="003D49A2">
      <w:pPr>
        <w:numPr>
          <w:ilvl w:val="0"/>
          <w:numId w:val="81"/>
        </w:numPr>
        <w:ind w:left="0"/>
        <w:jc w:val="both"/>
        <w:rPr>
          <w:rFonts w:ascii="Arial" w:hAnsi="Arial" w:cs="Arial"/>
          <w:sz w:val="18"/>
          <w:szCs w:val="18"/>
          <w:lang w:val="en-US"/>
        </w:rPr>
      </w:pPr>
      <w:r w:rsidRPr="00BD295E">
        <w:rPr>
          <w:rFonts w:ascii="Arial" w:hAnsi="Arial" w:cs="Arial"/>
          <w:sz w:val="18"/>
          <w:szCs w:val="18"/>
          <w:lang w:val="en-US"/>
        </w:rPr>
        <w:t xml:space="preserve">enhancing the visibility of substations within operational control and management of dispatching services;  </w:t>
      </w:r>
    </w:p>
    <w:p w14:paraId="44BB4D47" w14:textId="77777777" w:rsidR="00AB798B" w:rsidRPr="00BD295E" w:rsidRDefault="008A5057" w:rsidP="003D49A2">
      <w:pPr>
        <w:numPr>
          <w:ilvl w:val="0"/>
          <w:numId w:val="81"/>
        </w:numPr>
        <w:ind w:left="0"/>
        <w:jc w:val="both"/>
        <w:rPr>
          <w:rFonts w:ascii="Arial" w:hAnsi="Arial" w:cs="Arial"/>
          <w:sz w:val="18"/>
          <w:szCs w:val="18"/>
          <w:lang w:val="en-US"/>
        </w:rPr>
      </w:pPr>
      <w:r w:rsidRPr="00BD295E">
        <w:rPr>
          <w:rFonts w:ascii="Arial" w:hAnsi="Arial" w:cs="Arial"/>
          <w:sz w:val="18"/>
          <w:szCs w:val="18"/>
          <w:lang w:val="en-US"/>
        </w:rPr>
        <w:t>ensuring timely prevention of emergencies;</w:t>
      </w:r>
    </w:p>
    <w:p w14:paraId="6090701D" w14:textId="77777777" w:rsidR="00AB798B" w:rsidRPr="00BD295E" w:rsidRDefault="008A5057" w:rsidP="003D49A2">
      <w:pPr>
        <w:numPr>
          <w:ilvl w:val="0"/>
          <w:numId w:val="81"/>
        </w:numPr>
        <w:ind w:left="0"/>
        <w:jc w:val="both"/>
        <w:rPr>
          <w:rFonts w:ascii="Arial" w:hAnsi="Arial" w:cs="Arial"/>
          <w:sz w:val="18"/>
          <w:szCs w:val="18"/>
          <w:lang w:val="en-US"/>
        </w:rPr>
      </w:pPr>
      <w:r w:rsidRPr="00BD295E">
        <w:rPr>
          <w:rFonts w:ascii="Arial" w:hAnsi="Arial" w:cs="Arial"/>
          <w:sz w:val="18"/>
          <w:szCs w:val="18"/>
          <w:lang w:val="en-US"/>
        </w:rPr>
        <w:t>ensuring operational safety of the maintenance personnel;</w:t>
      </w:r>
    </w:p>
    <w:p w14:paraId="2029E1C7" w14:textId="77777777" w:rsidR="00AB798B" w:rsidRPr="00BD295E" w:rsidRDefault="008A5057" w:rsidP="003D49A2">
      <w:pPr>
        <w:numPr>
          <w:ilvl w:val="0"/>
          <w:numId w:val="81"/>
        </w:numPr>
        <w:ind w:left="0"/>
        <w:jc w:val="both"/>
        <w:rPr>
          <w:rFonts w:ascii="Arial" w:hAnsi="Arial" w:cs="Arial"/>
          <w:sz w:val="18"/>
          <w:szCs w:val="18"/>
          <w:lang w:val="en-US"/>
        </w:rPr>
      </w:pPr>
      <w:r w:rsidRPr="00BD295E">
        <w:rPr>
          <w:rFonts w:ascii="Arial" w:hAnsi="Arial" w:cs="Arial"/>
          <w:sz w:val="18"/>
          <w:szCs w:val="18"/>
          <w:lang w:val="en-US"/>
        </w:rPr>
        <w:t>increasing the level of information support for the dispatching and operating personnel during normal network operation, as well as in case of emergencies and the need to analyze emergency events.</w:t>
      </w:r>
    </w:p>
    <w:p w14:paraId="01C74F96" w14:textId="77777777" w:rsidR="009427FD" w:rsidRPr="00BD295E" w:rsidRDefault="009427FD" w:rsidP="009427FD">
      <w:pPr>
        <w:jc w:val="both"/>
        <w:rPr>
          <w:rFonts w:ascii="Arial" w:hAnsi="Arial" w:cs="Arial"/>
          <w:bCs/>
          <w:sz w:val="18"/>
          <w:szCs w:val="18"/>
          <w:lang w:val="en-US"/>
        </w:rPr>
      </w:pPr>
    </w:p>
    <w:p w14:paraId="5644DB1F" w14:textId="77777777" w:rsidR="00AB798B" w:rsidRPr="00BD295E" w:rsidRDefault="008A5057" w:rsidP="009427FD">
      <w:pPr>
        <w:jc w:val="both"/>
        <w:rPr>
          <w:rFonts w:ascii="Arial" w:hAnsi="Arial" w:cs="Arial"/>
          <w:b/>
          <w:sz w:val="18"/>
          <w:szCs w:val="18"/>
          <w:lang w:val="en-US"/>
        </w:rPr>
      </w:pPr>
      <w:r w:rsidRPr="00BD295E">
        <w:rPr>
          <w:rFonts w:ascii="Arial" w:hAnsi="Arial" w:cs="Arial"/>
          <w:sz w:val="18"/>
          <w:szCs w:val="18"/>
          <w:lang w:val="en-US"/>
        </w:rPr>
        <w:t xml:space="preserve">Information technologies play the greatest role in implementing the Company’s key business tasks, such as ensuring the reliability and continuity of electricity supply, improving the quality of service, and ensuring customer satisfaction. </w:t>
      </w:r>
    </w:p>
    <w:p w14:paraId="2A9725DB" w14:textId="77777777" w:rsidR="00AB798B" w:rsidRPr="00BD295E" w:rsidRDefault="00AB798B" w:rsidP="003D49A2">
      <w:pPr>
        <w:ind w:firstLine="284"/>
        <w:jc w:val="both"/>
        <w:rPr>
          <w:rFonts w:ascii="Arial" w:hAnsi="Arial" w:cs="Arial"/>
          <w:sz w:val="18"/>
          <w:szCs w:val="18"/>
          <w:lang w:val="en-US"/>
        </w:rPr>
      </w:pPr>
    </w:p>
    <w:p w14:paraId="03941B21" w14:textId="77777777" w:rsidR="00AB798B" w:rsidRPr="00BD295E" w:rsidRDefault="008A5057" w:rsidP="003D49A2">
      <w:pPr>
        <w:jc w:val="both"/>
        <w:rPr>
          <w:rFonts w:ascii="Arial" w:hAnsi="Arial" w:cs="Arial"/>
          <w:sz w:val="18"/>
          <w:szCs w:val="18"/>
          <w:lang w:val="en-US"/>
        </w:rPr>
      </w:pPr>
      <w:r w:rsidRPr="00BD295E">
        <w:rPr>
          <w:rFonts w:ascii="Arial" w:hAnsi="Arial" w:cs="Arial"/>
          <w:sz w:val="18"/>
          <w:szCs w:val="18"/>
          <w:lang w:val="en-US"/>
        </w:rPr>
        <w:t>The following projects were implemented:</w:t>
      </w:r>
    </w:p>
    <w:p w14:paraId="63E168EC" w14:textId="77777777" w:rsidR="00AB798B" w:rsidRPr="00BD295E" w:rsidRDefault="008A5057" w:rsidP="003D49A2">
      <w:pPr>
        <w:pStyle w:val="af3"/>
        <w:numPr>
          <w:ilvl w:val="0"/>
          <w:numId w:val="136"/>
        </w:numPr>
        <w:spacing w:after="200" w:line="276" w:lineRule="auto"/>
        <w:ind w:left="0"/>
        <w:jc w:val="both"/>
        <w:rPr>
          <w:rFonts w:ascii="Arial" w:hAnsi="Arial" w:cs="Arial"/>
          <w:sz w:val="18"/>
          <w:szCs w:val="18"/>
          <w:lang w:val="en-US"/>
        </w:rPr>
      </w:pPr>
      <w:r w:rsidRPr="00BD295E">
        <w:rPr>
          <w:rFonts w:ascii="Arial" w:hAnsi="Arial" w:cs="Arial"/>
          <w:sz w:val="18"/>
          <w:szCs w:val="18"/>
          <w:lang w:val="en-US"/>
        </w:rPr>
        <w:t xml:space="preserve">A project to create a service website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serving as a subsystem for engaging with external counterparties (Customer Online Account) </w:t>
      </w:r>
    </w:p>
    <w:p w14:paraId="59831ED1" w14:textId="77777777" w:rsidR="00AB798B" w:rsidRPr="00BD295E" w:rsidRDefault="008A5057" w:rsidP="003D49A2">
      <w:pPr>
        <w:pStyle w:val="af3"/>
        <w:numPr>
          <w:ilvl w:val="0"/>
          <w:numId w:val="136"/>
        </w:numPr>
        <w:spacing w:after="200" w:line="276" w:lineRule="auto"/>
        <w:ind w:left="0"/>
        <w:jc w:val="both"/>
        <w:rPr>
          <w:rFonts w:ascii="Arial" w:hAnsi="Arial" w:cs="Arial"/>
          <w:sz w:val="18"/>
          <w:szCs w:val="18"/>
          <w:lang w:val="en-US"/>
        </w:rPr>
      </w:pPr>
      <w:r w:rsidRPr="00BD295E">
        <w:rPr>
          <w:rFonts w:ascii="Arial" w:hAnsi="Arial" w:cs="Arial"/>
          <w:sz w:val="18"/>
          <w:szCs w:val="18"/>
          <w:lang w:val="en-US"/>
        </w:rPr>
        <w:t xml:space="preserve">Phase 1 of the Monitoring Automation Project to create an automated reporting system aimed at improving the quality of management decisions and reporting at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16422626" w14:textId="77777777" w:rsidR="00AB798B" w:rsidRPr="00BD295E" w:rsidRDefault="008A5057" w:rsidP="003D49A2">
      <w:pPr>
        <w:pStyle w:val="af3"/>
        <w:numPr>
          <w:ilvl w:val="0"/>
          <w:numId w:val="136"/>
        </w:numPr>
        <w:spacing w:after="200" w:line="276" w:lineRule="auto"/>
        <w:ind w:left="0"/>
        <w:jc w:val="both"/>
        <w:rPr>
          <w:rFonts w:ascii="Arial" w:hAnsi="Arial" w:cs="Arial"/>
          <w:sz w:val="18"/>
          <w:szCs w:val="18"/>
          <w:lang w:val="en-US"/>
        </w:rPr>
      </w:pPr>
      <w:r w:rsidRPr="00BD295E">
        <w:rPr>
          <w:rFonts w:ascii="Arial" w:hAnsi="Arial" w:cs="Arial"/>
          <w:sz w:val="18"/>
          <w:szCs w:val="18"/>
          <w:lang w:val="en-US"/>
        </w:rPr>
        <w:t xml:space="preserve">The provisions of Resolution No. 955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August 9, 2017, as regards securing the possibility to receive and process grid connection applications via the Unified Construction Industry System portal were implemented.</w:t>
      </w:r>
    </w:p>
    <w:p w14:paraId="02BE3AB4" w14:textId="77777777" w:rsidR="00AB798B" w:rsidRPr="00BD295E" w:rsidRDefault="008A5057" w:rsidP="003D49A2">
      <w:pPr>
        <w:pStyle w:val="af3"/>
        <w:numPr>
          <w:ilvl w:val="0"/>
          <w:numId w:val="136"/>
        </w:numPr>
        <w:spacing w:after="200" w:line="276" w:lineRule="auto"/>
        <w:ind w:left="0"/>
        <w:jc w:val="both"/>
        <w:rPr>
          <w:rFonts w:ascii="Arial" w:hAnsi="Arial" w:cs="Arial"/>
          <w:sz w:val="18"/>
          <w:szCs w:val="18"/>
          <w:lang w:val="en-US"/>
        </w:rPr>
      </w:pPr>
      <w:r w:rsidRPr="00BD295E">
        <w:rPr>
          <w:rFonts w:ascii="Arial" w:hAnsi="Arial" w:cs="Arial"/>
          <w:sz w:val="18"/>
          <w:szCs w:val="18"/>
          <w:lang w:val="en-US"/>
        </w:rPr>
        <w:t xml:space="preserve">Pursuant to the Standard Plan for Developing the Production Asset Management System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and its </w:t>
      </w:r>
      <w:r w:rsidR="00A07300" w:rsidRPr="00BD295E">
        <w:rPr>
          <w:rFonts w:ascii="Arial" w:hAnsi="Arial" w:cs="Arial"/>
          <w:sz w:val="18"/>
          <w:szCs w:val="18"/>
          <w:lang w:val="en-US"/>
        </w:rPr>
        <w:t>Subsidiaries and Affiliates</w:t>
      </w:r>
      <w:r w:rsidRPr="00BD295E">
        <w:rPr>
          <w:rFonts w:ascii="Arial" w:hAnsi="Arial" w:cs="Arial"/>
          <w:sz w:val="18"/>
          <w:szCs w:val="18"/>
          <w:lang w:val="en-US"/>
        </w:rPr>
        <w:t xml:space="preserve"> for 2016-2018 as approved by the Management Board at its meeting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12, 2016 (No. 439pr/5), Phase 2 of the Production Asset Management System was implemented as far as the creation of subsystems is concerned:</w:t>
      </w:r>
    </w:p>
    <w:p w14:paraId="56DEB606" w14:textId="77777777" w:rsidR="00AB798B" w:rsidRPr="00BD295E" w:rsidRDefault="008A5057" w:rsidP="003D49A2">
      <w:pPr>
        <w:pStyle w:val="af3"/>
        <w:numPr>
          <w:ilvl w:val="1"/>
          <w:numId w:val="136"/>
        </w:numPr>
        <w:spacing w:after="200" w:line="276" w:lineRule="auto"/>
        <w:ind w:left="0"/>
        <w:jc w:val="both"/>
        <w:rPr>
          <w:rFonts w:ascii="Arial" w:hAnsi="Arial" w:cs="Arial"/>
          <w:sz w:val="18"/>
          <w:szCs w:val="18"/>
          <w:lang w:val="en-US"/>
        </w:rPr>
      </w:pPr>
      <w:r w:rsidRPr="00BD295E">
        <w:rPr>
          <w:rFonts w:ascii="Arial" w:hAnsi="Arial" w:cs="Arial"/>
          <w:sz w:val="18"/>
          <w:szCs w:val="18"/>
          <w:lang w:val="en-US"/>
        </w:rPr>
        <w:t>Equipment condition reporting;</w:t>
      </w:r>
    </w:p>
    <w:p w14:paraId="38F9EB95" w14:textId="77777777" w:rsidR="00AB798B" w:rsidRPr="00BD295E" w:rsidRDefault="008A5057" w:rsidP="003D49A2">
      <w:pPr>
        <w:pStyle w:val="af3"/>
        <w:numPr>
          <w:ilvl w:val="1"/>
          <w:numId w:val="136"/>
        </w:numPr>
        <w:spacing w:after="200" w:line="276" w:lineRule="auto"/>
        <w:ind w:left="0"/>
        <w:jc w:val="both"/>
        <w:rPr>
          <w:rFonts w:ascii="Arial" w:hAnsi="Arial" w:cs="Arial"/>
          <w:sz w:val="18"/>
          <w:szCs w:val="18"/>
          <w:lang w:val="en-US"/>
        </w:rPr>
      </w:pPr>
      <w:r w:rsidRPr="00BD295E">
        <w:rPr>
          <w:rFonts w:ascii="Arial" w:hAnsi="Arial" w:cs="Arial"/>
          <w:sz w:val="18"/>
          <w:szCs w:val="18"/>
          <w:lang w:val="en-US"/>
        </w:rPr>
        <w:t>Maintenance and repairs;</w:t>
      </w:r>
    </w:p>
    <w:p w14:paraId="66CF9715" w14:textId="7084C198" w:rsidR="00AB798B" w:rsidRPr="00BD295E" w:rsidRDefault="008A5057" w:rsidP="003D49A2">
      <w:pPr>
        <w:pStyle w:val="af3"/>
        <w:numPr>
          <w:ilvl w:val="0"/>
          <w:numId w:val="136"/>
        </w:numPr>
        <w:spacing w:after="200" w:line="276" w:lineRule="auto"/>
        <w:ind w:left="0"/>
        <w:jc w:val="both"/>
        <w:rPr>
          <w:rFonts w:ascii="Arial" w:hAnsi="Arial" w:cs="Arial"/>
          <w:sz w:val="18"/>
          <w:szCs w:val="18"/>
          <w:lang w:val="en-US"/>
        </w:rPr>
      </w:pPr>
      <w:r w:rsidRPr="00BD295E">
        <w:rPr>
          <w:rFonts w:ascii="Arial" w:hAnsi="Arial" w:cs="Arial"/>
          <w:sz w:val="18"/>
          <w:szCs w:val="18"/>
          <w:lang w:val="en-US"/>
        </w:rPr>
        <w:t xml:space="preserve">A project for creating the Automated Risk Management System to </w:t>
      </w:r>
      <w:r w:rsidR="002C3947" w:rsidRPr="00BD295E">
        <w:rPr>
          <w:rFonts w:ascii="Arial" w:hAnsi="Arial" w:cs="Arial"/>
          <w:sz w:val="18"/>
          <w:szCs w:val="18"/>
          <w:lang w:val="en-US"/>
        </w:rPr>
        <w:t>improve information</w:t>
      </w:r>
      <w:r w:rsidRPr="00BD295E">
        <w:rPr>
          <w:rFonts w:ascii="Arial" w:hAnsi="Arial" w:cs="Arial"/>
          <w:sz w:val="18"/>
          <w:szCs w:val="18"/>
          <w:lang w:val="en-US"/>
        </w:rPr>
        <w:t xml:space="preserve"> exchange within the risk management process and decision-making process as well to improve the selection of responses to emerging risks in order to ensure the cost-effectiveness of risk management measures and their economic feasibility</w:t>
      </w:r>
    </w:p>
    <w:p w14:paraId="44E3E64E" w14:textId="77777777" w:rsidR="00AB798B" w:rsidRPr="00BD295E" w:rsidRDefault="008A5057" w:rsidP="003D49A2">
      <w:pPr>
        <w:spacing w:after="240"/>
        <w:ind w:firstLine="284"/>
        <w:jc w:val="both"/>
        <w:rPr>
          <w:rFonts w:ascii="Arial" w:hAnsi="Arial" w:cs="Arial"/>
          <w:b/>
          <w:sz w:val="18"/>
          <w:szCs w:val="18"/>
          <w:lang w:val="en-US"/>
        </w:rPr>
      </w:pPr>
      <w:r w:rsidRPr="00BD295E">
        <w:rPr>
          <w:rFonts w:ascii="Arial" w:hAnsi="Arial" w:cs="Arial"/>
          <w:b/>
          <w:sz w:val="18"/>
          <w:szCs w:val="18"/>
          <w:lang w:val="en-US"/>
        </w:rPr>
        <w:t>Results of developing the Automated Process Management System (APMS) in 2018</w:t>
      </w:r>
    </w:p>
    <w:p w14:paraId="76072AD4" w14:textId="77777777" w:rsidR="00AB798B" w:rsidRPr="00BD295E" w:rsidRDefault="008A5057" w:rsidP="003D49A2">
      <w:pPr>
        <w:pStyle w:val="af3"/>
        <w:numPr>
          <w:ilvl w:val="0"/>
          <w:numId w:val="138"/>
        </w:numPr>
        <w:suppressLineNumbers/>
        <w:tabs>
          <w:tab w:val="left" w:pos="0"/>
          <w:tab w:val="left" w:pos="851"/>
        </w:tabs>
        <w:ind w:left="0"/>
        <w:jc w:val="both"/>
        <w:rPr>
          <w:rFonts w:ascii="Arial" w:hAnsi="Arial" w:cs="Arial"/>
          <w:sz w:val="18"/>
          <w:szCs w:val="18"/>
          <w:lang w:val="en-US"/>
        </w:rPr>
      </w:pPr>
      <w:r w:rsidRPr="00BD295E">
        <w:rPr>
          <w:rFonts w:ascii="Arial" w:hAnsi="Arial" w:cs="Arial"/>
          <w:sz w:val="18"/>
          <w:szCs w:val="18"/>
          <w:lang w:val="en-US"/>
        </w:rPr>
        <w:t>Nineteen 35-110 kV substations, and forty-eight 6-10 kV distribution and transformer substations and transformer substations were equipped with remote control and APCS systems;</w:t>
      </w:r>
    </w:p>
    <w:p w14:paraId="0C0307D2" w14:textId="77777777" w:rsidR="00AB798B" w:rsidRPr="00BD295E" w:rsidRDefault="008A5057" w:rsidP="003D49A2">
      <w:pPr>
        <w:pStyle w:val="af3"/>
        <w:numPr>
          <w:ilvl w:val="0"/>
          <w:numId w:val="138"/>
        </w:numPr>
        <w:suppressLineNumbers/>
        <w:tabs>
          <w:tab w:val="left" w:pos="0"/>
          <w:tab w:val="left" w:pos="851"/>
        </w:tabs>
        <w:ind w:left="0"/>
        <w:jc w:val="both"/>
        <w:rPr>
          <w:rFonts w:ascii="Arial" w:hAnsi="Arial" w:cs="Arial"/>
          <w:sz w:val="18"/>
          <w:szCs w:val="18"/>
          <w:lang w:val="en-US"/>
        </w:rPr>
      </w:pPr>
      <w:r w:rsidRPr="00BD295E">
        <w:rPr>
          <w:rFonts w:ascii="Arial" w:hAnsi="Arial" w:cs="Arial"/>
          <w:sz w:val="18"/>
          <w:szCs w:val="18"/>
          <w:lang w:val="en-US"/>
        </w:rPr>
        <w:t xml:space="preserve">The minimum visibility of 117 “dark” 35-110kV substations was secured; </w:t>
      </w:r>
    </w:p>
    <w:p w14:paraId="6B4FC00E" w14:textId="77777777" w:rsidR="00AB798B" w:rsidRPr="00BD295E" w:rsidRDefault="00EE5753" w:rsidP="003D49A2">
      <w:pPr>
        <w:pStyle w:val="af3"/>
        <w:numPr>
          <w:ilvl w:val="0"/>
          <w:numId w:val="138"/>
        </w:numPr>
        <w:ind w:left="0"/>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implemented seven projects to connect 10 energy facilities of the Company to its backbone multiservice communications network. </w:t>
      </w:r>
    </w:p>
    <w:p w14:paraId="6D87BED6" w14:textId="77777777" w:rsidR="00AB798B" w:rsidRPr="00BD295E" w:rsidRDefault="00AB798B" w:rsidP="003D49A2">
      <w:pPr>
        <w:pStyle w:val="af3"/>
        <w:ind w:left="0"/>
        <w:jc w:val="both"/>
        <w:rPr>
          <w:rFonts w:ascii="Arial" w:hAnsi="Arial" w:cs="Arial"/>
          <w:sz w:val="18"/>
          <w:szCs w:val="18"/>
          <w:lang w:val="en-US"/>
        </w:rPr>
      </w:pPr>
    </w:p>
    <w:p w14:paraId="0BB10B5C" w14:textId="77777777" w:rsidR="00AB798B" w:rsidRPr="00BD295E" w:rsidRDefault="008A5057" w:rsidP="003D49A2">
      <w:pPr>
        <w:jc w:val="both"/>
        <w:rPr>
          <w:rFonts w:ascii="Arial" w:hAnsi="Arial" w:cs="Arial"/>
          <w:b/>
          <w:bCs/>
          <w:kern w:val="32"/>
          <w:sz w:val="18"/>
          <w:szCs w:val="18"/>
          <w:lang w:val="en-US"/>
        </w:rPr>
      </w:pPr>
      <w:r w:rsidRPr="00BD295E">
        <w:rPr>
          <w:rFonts w:ascii="Arial" w:hAnsi="Arial" w:cs="Arial"/>
          <w:b/>
          <w:bCs/>
          <w:sz w:val="18"/>
          <w:szCs w:val="18"/>
          <w:lang w:val="en-US"/>
        </w:rPr>
        <w:t>Results of telecom and IT infrastructure development in 2017</w:t>
      </w:r>
    </w:p>
    <w:p w14:paraId="220D8664" w14:textId="77777777" w:rsidR="00AB798B" w:rsidRPr="00BD295E" w:rsidRDefault="00EE5753" w:rsidP="003D49A2">
      <w:pPr>
        <w:pStyle w:val="af3"/>
        <w:numPr>
          <w:ilvl w:val="0"/>
          <w:numId w:val="137"/>
        </w:numPr>
        <w:ind w:left="0"/>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implemented seven projects to connect 10 energy facilities of the Company to its backbone multiservice communications network. </w:t>
      </w:r>
    </w:p>
    <w:p w14:paraId="7BE9661E" w14:textId="77777777" w:rsidR="00AB798B" w:rsidRPr="00BD295E" w:rsidRDefault="008A5057" w:rsidP="003D49A2">
      <w:pPr>
        <w:pStyle w:val="af3"/>
        <w:numPr>
          <w:ilvl w:val="0"/>
          <w:numId w:val="137"/>
        </w:numPr>
        <w:ind w:left="0"/>
        <w:jc w:val="both"/>
        <w:rPr>
          <w:rFonts w:ascii="Arial" w:hAnsi="Arial" w:cs="Arial"/>
          <w:sz w:val="18"/>
          <w:szCs w:val="18"/>
          <w:lang w:val="en-US"/>
        </w:rPr>
      </w:pPr>
      <w:r w:rsidRPr="00BD295E">
        <w:rPr>
          <w:rFonts w:ascii="Arial" w:hAnsi="Arial" w:cs="Arial"/>
          <w:sz w:val="18"/>
          <w:szCs w:val="18"/>
          <w:lang w:val="en-US"/>
        </w:rPr>
        <w:t>Advanced hardware and software systems were installed to ensure the information security of Lenenergo’s telecommunications network, including substations that supply electricity to the facilities of the 2018 FIFA World Cup.</w:t>
      </w:r>
    </w:p>
    <w:p w14:paraId="43FF8B27" w14:textId="77777777" w:rsidR="00AB798B" w:rsidRPr="00BD295E" w:rsidRDefault="008A5057" w:rsidP="003D49A2">
      <w:pPr>
        <w:pStyle w:val="af3"/>
        <w:numPr>
          <w:ilvl w:val="0"/>
          <w:numId w:val="137"/>
        </w:numPr>
        <w:ind w:left="0"/>
        <w:jc w:val="both"/>
        <w:rPr>
          <w:rFonts w:ascii="Arial" w:hAnsi="Arial" w:cs="Arial"/>
          <w:sz w:val="18"/>
          <w:szCs w:val="18"/>
          <w:lang w:val="en-US"/>
        </w:rPr>
      </w:pPr>
      <w:r w:rsidRPr="00BD295E">
        <w:rPr>
          <w:rFonts w:ascii="Arial" w:hAnsi="Arial" w:cs="Arial"/>
          <w:sz w:val="18"/>
          <w:szCs w:val="18"/>
          <w:lang w:val="en-US"/>
        </w:rPr>
        <w:t>The first stage of construction of the DMR radio communication system commissioned in 2014, was modernized through expanding its radio coverage and increasing the system’s survivability during blackouts.</w:t>
      </w:r>
    </w:p>
    <w:p w14:paraId="3D8A338E" w14:textId="77777777" w:rsidR="00AB798B" w:rsidRPr="00BD295E" w:rsidRDefault="008A5057" w:rsidP="003D49A2">
      <w:pPr>
        <w:pStyle w:val="af3"/>
        <w:numPr>
          <w:ilvl w:val="0"/>
          <w:numId w:val="137"/>
        </w:numPr>
        <w:ind w:left="0"/>
        <w:jc w:val="both"/>
        <w:rPr>
          <w:rFonts w:ascii="Arial" w:hAnsi="Arial" w:cs="Arial"/>
          <w:sz w:val="18"/>
          <w:szCs w:val="18"/>
          <w:lang w:val="en-US"/>
        </w:rPr>
      </w:pPr>
      <w:r w:rsidRPr="00BD295E">
        <w:rPr>
          <w:rFonts w:ascii="Arial" w:hAnsi="Arial" w:cs="Arial"/>
          <w:sz w:val="18"/>
          <w:szCs w:val="18"/>
          <w:lang w:val="en-US"/>
        </w:rPr>
        <w:t>Backbone ring nodes were upgraded with the possibility of organizing transmission of user traffic at speeds of up to 40 G.</w:t>
      </w:r>
    </w:p>
    <w:p w14:paraId="79E8A700" w14:textId="77777777" w:rsidR="00AB798B" w:rsidRPr="00BD295E" w:rsidRDefault="008A5057" w:rsidP="003D49A2">
      <w:pPr>
        <w:pStyle w:val="af3"/>
        <w:numPr>
          <w:ilvl w:val="0"/>
          <w:numId w:val="137"/>
        </w:numPr>
        <w:ind w:left="0"/>
        <w:jc w:val="both"/>
        <w:rPr>
          <w:rFonts w:ascii="Arial" w:hAnsi="Arial" w:cs="Arial"/>
          <w:sz w:val="18"/>
          <w:szCs w:val="18"/>
          <w:lang w:val="en-US"/>
        </w:rPr>
      </w:pPr>
      <w:r w:rsidRPr="00BD295E">
        <w:rPr>
          <w:rFonts w:ascii="Arial" w:hAnsi="Arial" w:cs="Arial"/>
          <w:sz w:val="18"/>
          <w:szCs w:val="18"/>
          <w:lang w:val="en-US"/>
        </w:rPr>
        <w:t>Ten cable grid districts were modernized, with redundant access nodes organized for the data transmission network used for energy facilities management.</w:t>
      </w:r>
    </w:p>
    <w:p w14:paraId="6D5B91B9" w14:textId="77777777" w:rsidR="00AB798B" w:rsidRPr="00BD295E" w:rsidRDefault="008A5057" w:rsidP="003D49A2">
      <w:pPr>
        <w:pStyle w:val="af3"/>
        <w:numPr>
          <w:ilvl w:val="0"/>
          <w:numId w:val="137"/>
        </w:numPr>
        <w:ind w:left="0"/>
        <w:jc w:val="both"/>
        <w:rPr>
          <w:rFonts w:ascii="Arial" w:hAnsi="Arial" w:cs="Arial"/>
          <w:sz w:val="18"/>
          <w:szCs w:val="18"/>
          <w:lang w:val="en-US"/>
        </w:rPr>
      </w:pPr>
      <w:r w:rsidRPr="00BD295E">
        <w:rPr>
          <w:rFonts w:ascii="Arial" w:hAnsi="Arial" w:cs="Arial"/>
          <w:sz w:val="18"/>
          <w:szCs w:val="18"/>
          <w:lang w:val="en-US"/>
        </w:rPr>
        <w:t>The Wi-Fi network, control and monitoring systems for active network equipment were upgraded</w:t>
      </w:r>
    </w:p>
    <w:p w14:paraId="6CF2679B" w14:textId="77777777" w:rsidR="00AB798B" w:rsidRPr="00BD295E" w:rsidRDefault="008A5057" w:rsidP="003D49A2">
      <w:pPr>
        <w:pStyle w:val="af3"/>
        <w:numPr>
          <w:ilvl w:val="0"/>
          <w:numId w:val="137"/>
        </w:numPr>
        <w:ind w:left="0"/>
        <w:jc w:val="both"/>
        <w:rPr>
          <w:rFonts w:ascii="Arial" w:hAnsi="Arial" w:cs="Arial"/>
          <w:sz w:val="18"/>
          <w:szCs w:val="18"/>
          <w:lang w:val="en-US"/>
        </w:rPr>
      </w:pPr>
      <w:r w:rsidRPr="00BD295E">
        <w:rPr>
          <w:rFonts w:ascii="Arial" w:hAnsi="Arial" w:cs="Arial"/>
          <w:sz w:val="18"/>
          <w:szCs w:val="18"/>
          <w:lang w:val="en-US"/>
        </w:rPr>
        <w:t>350 kilometers of backbone fiber optic communication lines (FOCL) were constructed. 18 communication nodes were put into operation at 110-35 kV substations.</w:t>
      </w:r>
    </w:p>
    <w:p w14:paraId="2A7D99D3" w14:textId="53CDC5AE" w:rsidR="00653289" w:rsidRPr="00BD295E" w:rsidRDefault="00653289">
      <w:pPr>
        <w:rPr>
          <w:rFonts w:ascii="Arial" w:hAnsi="Arial" w:cs="Arial"/>
          <w:sz w:val="18"/>
          <w:szCs w:val="18"/>
          <w:lang w:val="en-US"/>
        </w:rPr>
      </w:pPr>
      <w:r w:rsidRPr="00BD295E">
        <w:rPr>
          <w:rFonts w:ascii="Arial" w:hAnsi="Arial" w:cs="Arial"/>
          <w:sz w:val="18"/>
          <w:szCs w:val="18"/>
          <w:lang w:val="en-US"/>
        </w:rPr>
        <w:br w:type="page"/>
      </w:r>
    </w:p>
    <w:p w14:paraId="2F82F883" w14:textId="77777777" w:rsidR="00FD1F0A" w:rsidRPr="00BD295E" w:rsidRDefault="008A5057" w:rsidP="008814BB">
      <w:pPr>
        <w:pStyle w:val="30"/>
        <w:rPr>
          <w:rFonts w:ascii="Arial" w:hAnsi="Arial" w:cs="Arial"/>
          <w:sz w:val="18"/>
          <w:szCs w:val="18"/>
          <w:lang w:val="en-US"/>
        </w:rPr>
      </w:pPr>
      <w:bookmarkStart w:id="353" w:name="_Toc509493399"/>
      <w:bookmarkStart w:id="354" w:name="_Toc509497963"/>
      <w:bookmarkStart w:id="355" w:name="_Toc509581265"/>
      <w:bookmarkStart w:id="356" w:name="_Toc510452229"/>
      <w:bookmarkStart w:id="357" w:name="_Toc5027018"/>
      <w:bookmarkStart w:id="358" w:name="_Toc5105977"/>
      <w:bookmarkStart w:id="359" w:name="_Toc5203830"/>
      <w:bookmarkStart w:id="360" w:name="_Toc6230927"/>
      <w:bookmarkStart w:id="361" w:name="_Toc7172575"/>
      <w:bookmarkStart w:id="362" w:name="_Toc7172621"/>
      <w:bookmarkStart w:id="363" w:name="_Toc95855296"/>
      <w:bookmarkStart w:id="364" w:name="_Toc95935355"/>
      <w:r w:rsidRPr="00BD295E">
        <w:rPr>
          <w:rFonts w:ascii="Arial" w:hAnsi="Arial" w:cs="Arial"/>
          <w:b/>
          <w:sz w:val="18"/>
          <w:szCs w:val="18"/>
          <w:lang w:val="en-US"/>
        </w:rPr>
        <w:t>3.6.4.</w:t>
      </w:r>
      <w:r w:rsidRPr="00BD295E">
        <w:rPr>
          <w:rFonts w:ascii="Arial" w:hAnsi="Arial" w:cs="Arial"/>
          <w:sz w:val="18"/>
          <w:szCs w:val="18"/>
          <w:lang w:val="en-US"/>
        </w:rPr>
        <w:t xml:space="preserve"> </w:t>
      </w:r>
      <w:bookmarkStart w:id="365" w:name="_Toc473898017"/>
      <w:bookmarkStart w:id="366" w:name="_Toc473898442"/>
      <w:bookmarkStart w:id="367" w:name="_Toc473904714"/>
      <w:r w:rsidRPr="00BD295E">
        <w:rPr>
          <w:rFonts w:ascii="Arial" w:hAnsi="Arial" w:cs="Arial"/>
          <w:b/>
          <w:sz w:val="18"/>
          <w:szCs w:val="18"/>
          <w:lang w:val="en-US"/>
        </w:rPr>
        <w:t>Reliability and Repairs</w:t>
      </w:r>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p>
    <w:p w14:paraId="4E8490A8" w14:textId="77777777" w:rsidR="00A100A1" w:rsidRPr="00BD295E" w:rsidRDefault="008A5057" w:rsidP="009427FD">
      <w:pPr>
        <w:tabs>
          <w:tab w:val="left" w:pos="709"/>
          <w:tab w:val="left" w:pos="851"/>
        </w:tabs>
        <w:contextualSpacing/>
        <w:jc w:val="both"/>
        <w:rPr>
          <w:rFonts w:ascii="Arial" w:hAnsi="Arial" w:cs="Arial"/>
          <w:sz w:val="18"/>
          <w:szCs w:val="18"/>
          <w:lang w:val="en-US"/>
        </w:rPr>
      </w:pPr>
      <w:r w:rsidRPr="00BD295E">
        <w:rPr>
          <w:rFonts w:ascii="Arial" w:hAnsi="Arial" w:cs="Arial"/>
          <w:sz w:val="18"/>
          <w:szCs w:val="18"/>
          <w:lang w:val="en-US"/>
        </w:rPr>
        <w:t>Reliability</w:t>
      </w:r>
    </w:p>
    <w:p w14:paraId="4EAE596B" w14:textId="77777777" w:rsidR="00A100A1" w:rsidRPr="00BD295E" w:rsidRDefault="00A100A1" w:rsidP="00A100A1">
      <w:pPr>
        <w:tabs>
          <w:tab w:val="left" w:pos="709"/>
          <w:tab w:val="left" w:pos="851"/>
        </w:tabs>
        <w:ind w:firstLine="709"/>
        <w:contextualSpacing/>
        <w:jc w:val="both"/>
        <w:rPr>
          <w:rFonts w:ascii="Arial" w:hAnsi="Arial" w:cs="Arial"/>
          <w:sz w:val="18"/>
          <w:szCs w:val="18"/>
          <w:lang w:val="en-US"/>
        </w:rPr>
      </w:pPr>
    </w:p>
    <w:p w14:paraId="11A9364A" w14:textId="77777777" w:rsidR="00A100A1" w:rsidRPr="00BD295E" w:rsidRDefault="008A5057" w:rsidP="009427FD">
      <w:pPr>
        <w:tabs>
          <w:tab w:val="left" w:pos="709"/>
          <w:tab w:val="left" w:pos="851"/>
        </w:tabs>
        <w:contextualSpacing/>
        <w:jc w:val="both"/>
        <w:rPr>
          <w:rFonts w:ascii="Arial" w:hAnsi="Arial" w:cs="Arial"/>
          <w:sz w:val="18"/>
          <w:szCs w:val="18"/>
          <w:lang w:val="en-US"/>
        </w:rPr>
      </w:pPr>
      <w:r w:rsidRPr="00BD295E">
        <w:rPr>
          <w:rFonts w:ascii="Arial" w:hAnsi="Arial" w:cs="Arial"/>
          <w:sz w:val="18"/>
          <w:szCs w:val="18"/>
          <w:lang w:val="en-US"/>
        </w:rPr>
        <w:t xml:space="preserve">Reliable electricity supply to consumers is an absolute strategic priority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Reliability metrics are among the key performance indicators of the Company. </w:t>
      </w:r>
    </w:p>
    <w:p w14:paraId="23947540" w14:textId="77777777" w:rsidR="00A100A1" w:rsidRPr="00BD295E" w:rsidRDefault="008A5057" w:rsidP="009427FD">
      <w:pPr>
        <w:tabs>
          <w:tab w:val="left" w:pos="709"/>
          <w:tab w:val="left" w:pos="851"/>
        </w:tabs>
        <w:contextualSpacing/>
        <w:jc w:val="both"/>
        <w:rPr>
          <w:rFonts w:ascii="Arial" w:hAnsi="Arial" w:cs="Arial"/>
          <w:sz w:val="18"/>
          <w:szCs w:val="18"/>
          <w:lang w:val="en-US"/>
        </w:rPr>
      </w:pPr>
      <w:r w:rsidRPr="00BD295E">
        <w:rPr>
          <w:rFonts w:ascii="Arial" w:hAnsi="Arial" w:cs="Arial"/>
          <w:sz w:val="18"/>
          <w:szCs w:val="18"/>
          <w:lang w:val="en-US"/>
        </w:rPr>
        <w:t>To increase reliability of its electric facilities, Lenenergo Group implements the following targeted programs:</w:t>
      </w:r>
    </w:p>
    <w:p w14:paraId="1162CCDA" w14:textId="77777777" w:rsidR="00A100A1" w:rsidRPr="00BD295E" w:rsidRDefault="00A100A1" w:rsidP="00A100A1">
      <w:pPr>
        <w:tabs>
          <w:tab w:val="left" w:pos="709"/>
          <w:tab w:val="left" w:pos="851"/>
        </w:tabs>
        <w:spacing w:after="120"/>
        <w:ind w:firstLine="709"/>
        <w:contextualSpacing/>
        <w:jc w:val="both"/>
        <w:rPr>
          <w:rFonts w:ascii="Arial" w:hAnsi="Arial" w:cs="Arial"/>
          <w:sz w:val="18"/>
          <w:szCs w:val="18"/>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559"/>
        <w:gridCol w:w="5245"/>
      </w:tblGrid>
      <w:tr w:rsidR="008A5057" w:rsidRPr="00BD295E" w14:paraId="39A11616" w14:textId="77777777" w:rsidTr="00E3510B">
        <w:tc>
          <w:tcPr>
            <w:tcW w:w="2552" w:type="dxa"/>
            <w:shd w:val="clear" w:color="auto" w:fill="D5DCE4"/>
            <w:vAlign w:val="center"/>
          </w:tcPr>
          <w:p w14:paraId="16598E4E" w14:textId="77777777" w:rsidR="00A100A1" w:rsidRPr="00BD295E" w:rsidRDefault="008A5057" w:rsidP="00E3510B">
            <w:pPr>
              <w:tabs>
                <w:tab w:val="left" w:pos="709"/>
                <w:tab w:val="left" w:pos="851"/>
              </w:tabs>
              <w:spacing w:line="276" w:lineRule="auto"/>
              <w:jc w:val="center"/>
              <w:rPr>
                <w:rFonts w:ascii="Arial" w:hAnsi="Arial" w:cs="Arial"/>
                <w:b/>
                <w:sz w:val="18"/>
                <w:szCs w:val="18"/>
                <w:lang w:val="en-US"/>
              </w:rPr>
            </w:pPr>
            <w:r w:rsidRPr="00BD295E">
              <w:rPr>
                <w:rFonts w:ascii="Arial" w:hAnsi="Arial" w:cs="Arial"/>
                <w:b/>
                <w:sz w:val="18"/>
                <w:szCs w:val="18"/>
                <w:lang w:val="en-US"/>
              </w:rPr>
              <w:t>Targeted program</w:t>
            </w:r>
          </w:p>
        </w:tc>
        <w:tc>
          <w:tcPr>
            <w:tcW w:w="1559" w:type="dxa"/>
            <w:shd w:val="clear" w:color="auto" w:fill="D5DCE4"/>
            <w:vAlign w:val="center"/>
          </w:tcPr>
          <w:p w14:paraId="04B50847" w14:textId="77777777" w:rsidR="00A100A1" w:rsidRPr="00BD295E" w:rsidRDefault="008A5057" w:rsidP="00E3510B">
            <w:pPr>
              <w:tabs>
                <w:tab w:val="left" w:pos="709"/>
                <w:tab w:val="left" w:pos="851"/>
              </w:tabs>
              <w:spacing w:line="276" w:lineRule="auto"/>
              <w:jc w:val="center"/>
              <w:rPr>
                <w:rFonts w:ascii="Arial" w:hAnsi="Arial" w:cs="Arial"/>
                <w:b/>
                <w:sz w:val="18"/>
                <w:szCs w:val="18"/>
                <w:lang w:val="en-US"/>
              </w:rPr>
            </w:pPr>
            <w:r w:rsidRPr="00BD295E">
              <w:rPr>
                <w:rFonts w:ascii="Arial" w:hAnsi="Arial" w:cs="Arial"/>
                <w:b/>
                <w:sz w:val="18"/>
                <w:szCs w:val="18"/>
                <w:lang w:val="en-US"/>
              </w:rPr>
              <w:t>Program implementation</w:t>
            </w:r>
          </w:p>
        </w:tc>
        <w:tc>
          <w:tcPr>
            <w:tcW w:w="5245" w:type="dxa"/>
            <w:shd w:val="clear" w:color="auto" w:fill="D5DCE4"/>
            <w:vAlign w:val="center"/>
          </w:tcPr>
          <w:p w14:paraId="300B3947" w14:textId="77777777" w:rsidR="00A100A1" w:rsidRPr="00BD295E" w:rsidRDefault="008A5057" w:rsidP="00E3510B">
            <w:pPr>
              <w:spacing w:line="276" w:lineRule="auto"/>
              <w:jc w:val="center"/>
              <w:rPr>
                <w:rFonts w:ascii="Arial" w:hAnsi="Arial" w:cs="Arial"/>
                <w:b/>
                <w:sz w:val="18"/>
                <w:szCs w:val="18"/>
                <w:lang w:val="en-US"/>
              </w:rPr>
            </w:pPr>
            <w:r w:rsidRPr="00BD295E">
              <w:rPr>
                <w:rFonts w:ascii="Arial" w:hAnsi="Arial" w:cs="Arial"/>
                <w:b/>
                <w:sz w:val="18"/>
                <w:szCs w:val="18"/>
                <w:lang w:val="en-US"/>
              </w:rPr>
              <w:t>Effect from the program implementation</w:t>
            </w:r>
          </w:p>
        </w:tc>
      </w:tr>
      <w:tr w:rsidR="008A5057" w:rsidRPr="00BD295E" w14:paraId="002D4B5F" w14:textId="77777777" w:rsidTr="00E3510B">
        <w:tc>
          <w:tcPr>
            <w:tcW w:w="2552" w:type="dxa"/>
            <w:shd w:val="clear" w:color="auto" w:fill="auto"/>
          </w:tcPr>
          <w:p w14:paraId="73D913CB" w14:textId="77777777" w:rsidR="00A100A1" w:rsidRPr="00BD295E" w:rsidRDefault="008A5057" w:rsidP="00E3510B">
            <w:pPr>
              <w:tabs>
                <w:tab w:val="left" w:pos="709"/>
                <w:tab w:val="left" w:pos="851"/>
              </w:tabs>
              <w:spacing w:line="276" w:lineRule="auto"/>
              <w:rPr>
                <w:rFonts w:ascii="Arial" w:hAnsi="Arial" w:cs="Arial"/>
                <w:sz w:val="18"/>
                <w:szCs w:val="18"/>
                <w:lang w:val="en-US"/>
              </w:rPr>
            </w:pPr>
            <w:r w:rsidRPr="00BD295E">
              <w:rPr>
                <w:rFonts w:ascii="Arial" w:hAnsi="Arial" w:cs="Arial"/>
                <w:bCs/>
                <w:sz w:val="18"/>
                <w:szCs w:val="18"/>
                <w:lang w:val="en-US"/>
              </w:rPr>
              <w:t>Program for installing reclosers at  6–10 kV overhead lines</w:t>
            </w:r>
          </w:p>
        </w:tc>
        <w:tc>
          <w:tcPr>
            <w:tcW w:w="1559" w:type="dxa"/>
            <w:shd w:val="clear" w:color="auto" w:fill="auto"/>
          </w:tcPr>
          <w:p w14:paraId="69D94FB9" w14:textId="77777777" w:rsidR="00A100A1" w:rsidRPr="00BD295E" w:rsidRDefault="008A5057" w:rsidP="00E3510B">
            <w:pPr>
              <w:tabs>
                <w:tab w:val="left" w:pos="709"/>
                <w:tab w:val="left" w:pos="851"/>
              </w:tabs>
              <w:rPr>
                <w:rFonts w:ascii="Arial" w:hAnsi="Arial" w:cs="Arial"/>
                <w:sz w:val="18"/>
                <w:szCs w:val="18"/>
                <w:lang w:val="en-US"/>
              </w:rPr>
            </w:pPr>
            <w:r w:rsidRPr="00BD295E">
              <w:rPr>
                <w:rFonts w:ascii="Arial" w:hAnsi="Arial" w:cs="Arial"/>
                <w:sz w:val="18"/>
                <w:szCs w:val="18"/>
                <w:lang w:val="en-US"/>
              </w:rPr>
              <w:t>From 2008</w:t>
            </w:r>
          </w:p>
        </w:tc>
        <w:tc>
          <w:tcPr>
            <w:tcW w:w="5245" w:type="dxa"/>
            <w:shd w:val="clear" w:color="auto" w:fill="auto"/>
          </w:tcPr>
          <w:p w14:paraId="50D46B82" w14:textId="77777777" w:rsidR="00A100A1"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Implementation of this program will enable: automatic detection of the damaged section without disconnecting other consumers in case of the rest of the users in case of process failures in the grid, and in some cases automatic recovery of the electricity supply (automatic reclosers and automatic throw-over circuit-breakers) to increase the reliability of electricity supply to consumers. The installation of reclosers in the distribution grid will reduce the duration of interruptions in electricity supply to individual consumers by up to 60%.</w:t>
            </w:r>
          </w:p>
        </w:tc>
      </w:tr>
      <w:tr w:rsidR="008A5057" w:rsidRPr="00BD295E" w14:paraId="275C3295" w14:textId="77777777" w:rsidTr="00E3510B">
        <w:tc>
          <w:tcPr>
            <w:tcW w:w="2552" w:type="dxa"/>
            <w:shd w:val="clear" w:color="auto" w:fill="auto"/>
          </w:tcPr>
          <w:p w14:paraId="64B139A0" w14:textId="77777777" w:rsidR="00A100A1" w:rsidRPr="00BD295E" w:rsidRDefault="008A5057" w:rsidP="00E3510B">
            <w:pPr>
              <w:tabs>
                <w:tab w:val="left" w:pos="709"/>
                <w:tab w:val="left" w:pos="851"/>
              </w:tabs>
              <w:spacing w:line="276" w:lineRule="auto"/>
              <w:rPr>
                <w:rFonts w:ascii="Arial" w:hAnsi="Arial" w:cs="Arial"/>
                <w:sz w:val="18"/>
                <w:szCs w:val="18"/>
                <w:lang w:val="en-US"/>
              </w:rPr>
            </w:pPr>
            <w:r w:rsidRPr="00BD295E">
              <w:rPr>
                <w:rFonts w:ascii="Arial" w:hAnsi="Arial" w:cs="Arial"/>
                <w:bCs/>
                <w:sz w:val="18"/>
                <w:szCs w:val="18"/>
                <w:lang w:val="en-US"/>
              </w:rPr>
              <w:t>Program to expand overhead line rights-of-way</w:t>
            </w:r>
          </w:p>
        </w:tc>
        <w:tc>
          <w:tcPr>
            <w:tcW w:w="1559" w:type="dxa"/>
            <w:shd w:val="clear" w:color="auto" w:fill="auto"/>
          </w:tcPr>
          <w:p w14:paraId="7DFC9F37" w14:textId="77777777" w:rsidR="00A100A1" w:rsidRPr="00BD295E" w:rsidRDefault="008A5057" w:rsidP="00E3510B">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From 2011</w:t>
            </w:r>
          </w:p>
        </w:tc>
        <w:tc>
          <w:tcPr>
            <w:tcW w:w="5245" w:type="dxa"/>
            <w:shd w:val="clear" w:color="auto" w:fill="auto"/>
          </w:tcPr>
          <w:p w14:paraId="5F750561" w14:textId="77777777" w:rsidR="00A100A1"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This program will significantly reduce the number of process failures caused by falling trees and bring the condition of the rights-of-way in compliance with regulations. During the implementation of the program, overhead line rights-of-way were expanded by 5,601.7 hectares, which reduced the total number of accidents at overhead lines caused by falling trees by more than 60%.</w:t>
            </w:r>
          </w:p>
        </w:tc>
      </w:tr>
      <w:tr w:rsidR="008A5057" w:rsidRPr="00BD295E" w14:paraId="437E0BA5" w14:textId="77777777" w:rsidTr="00E3510B">
        <w:tc>
          <w:tcPr>
            <w:tcW w:w="2552" w:type="dxa"/>
            <w:shd w:val="clear" w:color="auto" w:fill="auto"/>
          </w:tcPr>
          <w:p w14:paraId="170D3787" w14:textId="77777777" w:rsidR="00A100A1" w:rsidRPr="00BD295E" w:rsidRDefault="008A5057" w:rsidP="00E3510B">
            <w:pPr>
              <w:tabs>
                <w:tab w:val="left" w:pos="709"/>
                <w:tab w:val="left" w:pos="851"/>
              </w:tabs>
              <w:spacing w:line="276" w:lineRule="auto"/>
              <w:rPr>
                <w:rFonts w:ascii="Arial" w:hAnsi="Arial" w:cs="Arial"/>
                <w:sz w:val="18"/>
                <w:szCs w:val="18"/>
                <w:lang w:val="en-US"/>
              </w:rPr>
            </w:pPr>
            <w:r w:rsidRPr="00BD295E">
              <w:rPr>
                <w:rFonts w:ascii="Arial" w:hAnsi="Arial" w:cs="Arial"/>
                <w:bCs/>
                <w:sz w:val="18"/>
                <w:szCs w:val="18"/>
                <w:lang w:val="en-US"/>
              </w:rPr>
              <w:t>Lenenergo’s program to replace 6-10 kV oil circuit breakers</w:t>
            </w:r>
          </w:p>
        </w:tc>
        <w:tc>
          <w:tcPr>
            <w:tcW w:w="1559" w:type="dxa"/>
            <w:shd w:val="clear" w:color="auto" w:fill="auto"/>
          </w:tcPr>
          <w:p w14:paraId="7117EEC3" w14:textId="77777777" w:rsidR="00A100A1" w:rsidRPr="00BD295E" w:rsidRDefault="008A5057" w:rsidP="00E3510B">
            <w:pPr>
              <w:tabs>
                <w:tab w:val="left" w:pos="709"/>
                <w:tab w:val="left" w:pos="851"/>
              </w:tabs>
              <w:spacing w:line="276" w:lineRule="auto"/>
              <w:jc w:val="both"/>
              <w:rPr>
                <w:rFonts w:ascii="Arial" w:hAnsi="Arial" w:cs="Arial"/>
                <w:sz w:val="18"/>
                <w:szCs w:val="18"/>
                <w:lang w:val="en-US"/>
              </w:rPr>
            </w:pPr>
            <w:r w:rsidRPr="00BD295E">
              <w:rPr>
                <w:rFonts w:ascii="Arial" w:hAnsi="Arial" w:cs="Arial"/>
                <w:sz w:val="18"/>
                <w:szCs w:val="18"/>
                <w:lang w:val="en-US"/>
              </w:rPr>
              <w:t>From 2014</w:t>
            </w:r>
          </w:p>
        </w:tc>
        <w:tc>
          <w:tcPr>
            <w:tcW w:w="5245" w:type="dxa"/>
            <w:shd w:val="clear" w:color="auto" w:fill="auto"/>
          </w:tcPr>
          <w:p w14:paraId="3E2F9BF0" w14:textId="77777777" w:rsidR="00A100A1" w:rsidRPr="00BD295E" w:rsidRDefault="008A5057" w:rsidP="00E3510B">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This program aims to terminate the use of oil-filled (i.e. fire-prone) equipment, and improve electric safety of equipment operation by maintenance staff. It should also be noted that this targeted program also includes replacement of equipment whose its standard service life has expired.</w:t>
            </w:r>
          </w:p>
        </w:tc>
      </w:tr>
      <w:tr w:rsidR="008A5057" w:rsidRPr="00BD295E" w14:paraId="1AAA710C" w14:textId="77777777" w:rsidTr="00E3510B">
        <w:tc>
          <w:tcPr>
            <w:tcW w:w="2552" w:type="dxa"/>
            <w:shd w:val="clear" w:color="auto" w:fill="auto"/>
          </w:tcPr>
          <w:p w14:paraId="5591A164" w14:textId="77777777" w:rsidR="00A100A1" w:rsidRPr="00BD295E" w:rsidRDefault="008A5057" w:rsidP="00E3510B">
            <w:pPr>
              <w:tabs>
                <w:tab w:val="left" w:pos="709"/>
                <w:tab w:val="left" w:pos="851"/>
              </w:tabs>
              <w:spacing w:line="276" w:lineRule="auto"/>
              <w:rPr>
                <w:rFonts w:ascii="Arial" w:hAnsi="Arial" w:cs="Arial"/>
                <w:sz w:val="18"/>
                <w:szCs w:val="18"/>
                <w:lang w:val="en-US"/>
              </w:rPr>
            </w:pPr>
            <w:r w:rsidRPr="00BD295E">
              <w:rPr>
                <w:rFonts w:ascii="Arial" w:hAnsi="Arial" w:cs="Arial"/>
                <w:bCs/>
                <w:sz w:val="18"/>
                <w:szCs w:val="18"/>
                <w:lang w:val="en-US"/>
              </w:rPr>
              <w:t>Program to replace isolating switches and short circuits breakers in the 35-110 kV grid.</w:t>
            </w:r>
          </w:p>
        </w:tc>
        <w:tc>
          <w:tcPr>
            <w:tcW w:w="1559" w:type="dxa"/>
            <w:shd w:val="clear" w:color="auto" w:fill="auto"/>
          </w:tcPr>
          <w:p w14:paraId="4EE95B1C" w14:textId="77777777" w:rsidR="00A100A1" w:rsidRPr="00BD295E" w:rsidRDefault="008A5057" w:rsidP="00E3510B">
            <w:pPr>
              <w:tabs>
                <w:tab w:val="left" w:pos="284"/>
              </w:tabs>
              <w:jc w:val="both"/>
              <w:rPr>
                <w:rFonts w:ascii="Arial" w:hAnsi="Arial" w:cs="Arial"/>
                <w:sz w:val="18"/>
                <w:szCs w:val="18"/>
                <w:lang w:val="en-US"/>
              </w:rPr>
            </w:pPr>
            <w:r w:rsidRPr="00BD295E">
              <w:rPr>
                <w:rFonts w:ascii="Arial" w:hAnsi="Arial" w:cs="Arial"/>
                <w:sz w:val="18"/>
                <w:szCs w:val="18"/>
                <w:lang w:val="en-US"/>
              </w:rPr>
              <w:t>From 2017</w:t>
            </w:r>
          </w:p>
        </w:tc>
        <w:tc>
          <w:tcPr>
            <w:tcW w:w="5245" w:type="dxa"/>
            <w:shd w:val="clear" w:color="auto" w:fill="auto"/>
          </w:tcPr>
          <w:p w14:paraId="69591C95" w14:textId="77777777" w:rsidR="00A100A1"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There are currently no spare parts for repair (manufacturers have stopped producing this type of equipment); in addition, isolating switches and short circuits breakers include several drives that are selectively linked to each other and a malfunction or failure of one of the drives can lead to the failure of the whole assembly. Implementation of this program will reduce the number of process failures at substations, reduce undersupply of electricity to consumers, exclude bottlenecks from the substation configuration , and reduce the physical wear and tear of equipment.</w:t>
            </w:r>
          </w:p>
        </w:tc>
      </w:tr>
      <w:tr w:rsidR="008A5057" w:rsidRPr="00BD295E" w14:paraId="641DA7D1" w14:textId="77777777" w:rsidTr="00E3510B">
        <w:tc>
          <w:tcPr>
            <w:tcW w:w="2552" w:type="dxa"/>
            <w:shd w:val="clear" w:color="auto" w:fill="auto"/>
          </w:tcPr>
          <w:p w14:paraId="17BFA8F0" w14:textId="77777777" w:rsidR="00A100A1" w:rsidRPr="00BD295E" w:rsidRDefault="008A5057" w:rsidP="00E3510B">
            <w:pPr>
              <w:tabs>
                <w:tab w:val="left" w:pos="709"/>
                <w:tab w:val="left" w:pos="851"/>
              </w:tabs>
              <w:spacing w:line="276" w:lineRule="auto"/>
              <w:rPr>
                <w:rFonts w:ascii="Arial" w:hAnsi="Arial" w:cs="Arial"/>
                <w:sz w:val="18"/>
                <w:szCs w:val="18"/>
                <w:lang w:val="en-US"/>
              </w:rPr>
            </w:pPr>
            <w:r w:rsidRPr="00BD295E">
              <w:rPr>
                <w:rFonts w:ascii="Arial" w:hAnsi="Arial" w:cs="Arial"/>
                <w:sz w:val="18"/>
                <w:szCs w:val="18"/>
                <w:lang w:val="en-US"/>
              </w:rPr>
              <w:t>Program for renovating electric grid facilities (distribution and transformer substations, transformer substations)</w:t>
            </w:r>
          </w:p>
        </w:tc>
        <w:tc>
          <w:tcPr>
            <w:tcW w:w="1559" w:type="dxa"/>
            <w:shd w:val="clear" w:color="auto" w:fill="auto"/>
          </w:tcPr>
          <w:p w14:paraId="2EC0AEEB" w14:textId="77777777" w:rsidR="00A100A1" w:rsidRPr="00BD295E" w:rsidRDefault="008A5057" w:rsidP="00E3510B">
            <w:pPr>
              <w:tabs>
                <w:tab w:val="left" w:pos="284"/>
              </w:tabs>
              <w:jc w:val="both"/>
              <w:rPr>
                <w:rFonts w:ascii="Arial" w:hAnsi="Arial" w:cs="Arial"/>
                <w:sz w:val="18"/>
                <w:szCs w:val="18"/>
                <w:lang w:val="en-US"/>
              </w:rPr>
            </w:pPr>
            <w:r w:rsidRPr="00BD295E">
              <w:rPr>
                <w:rFonts w:ascii="Arial" w:hAnsi="Arial" w:cs="Arial"/>
                <w:sz w:val="18"/>
                <w:szCs w:val="18"/>
                <w:lang w:val="en-US"/>
              </w:rPr>
              <w:t>From 2013</w:t>
            </w:r>
          </w:p>
        </w:tc>
        <w:tc>
          <w:tcPr>
            <w:tcW w:w="5245" w:type="dxa"/>
            <w:shd w:val="clear" w:color="auto" w:fill="auto"/>
          </w:tcPr>
          <w:p w14:paraId="31033BE6" w14:textId="77777777" w:rsidR="00A100A1" w:rsidRPr="00BD295E" w:rsidRDefault="008A5057" w:rsidP="00E3510B">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The program aims to terminate the use of hazardous and fire-prone equipment, as well as to ensure grid connection of consumers and reduce electricity undersupply. Implementation of the program will reduce the number of distribution and transformer substations and transformer substations whose service lives have expired by 6%.</w:t>
            </w:r>
          </w:p>
        </w:tc>
      </w:tr>
      <w:tr w:rsidR="008A5057" w:rsidRPr="00BD295E" w14:paraId="0E131321" w14:textId="77777777" w:rsidTr="00E3510B">
        <w:tc>
          <w:tcPr>
            <w:tcW w:w="2552" w:type="dxa"/>
            <w:shd w:val="clear" w:color="auto" w:fill="auto"/>
          </w:tcPr>
          <w:p w14:paraId="60BBDEC8" w14:textId="77777777" w:rsidR="00A100A1" w:rsidRPr="00BD295E" w:rsidRDefault="008A5057" w:rsidP="00E3510B">
            <w:pPr>
              <w:tabs>
                <w:tab w:val="left" w:pos="709"/>
                <w:tab w:val="left" w:pos="851"/>
              </w:tabs>
              <w:spacing w:line="276" w:lineRule="auto"/>
              <w:rPr>
                <w:rFonts w:ascii="Arial" w:hAnsi="Arial" w:cs="Arial"/>
                <w:sz w:val="18"/>
                <w:szCs w:val="18"/>
                <w:lang w:val="en-US"/>
              </w:rPr>
            </w:pPr>
            <w:r w:rsidRPr="00BD295E">
              <w:rPr>
                <w:rFonts w:ascii="Arial" w:hAnsi="Arial" w:cs="Arial"/>
                <w:sz w:val="18"/>
                <w:szCs w:val="18"/>
                <w:lang w:val="en-US"/>
              </w:rPr>
              <w:t>Program to replace non-insulated wire for self-supporting insulated wire</w:t>
            </w:r>
          </w:p>
        </w:tc>
        <w:tc>
          <w:tcPr>
            <w:tcW w:w="1559" w:type="dxa"/>
            <w:shd w:val="clear" w:color="auto" w:fill="auto"/>
          </w:tcPr>
          <w:p w14:paraId="225E810A" w14:textId="77777777" w:rsidR="00A100A1" w:rsidRPr="00BD295E" w:rsidRDefault="008A5057" w:rsidP="00E3510B">
            <w:pPr>
              <w:tabs>
                <w:tab w:val="left" w:pos="284"/>
              </w:tabs>
              <w:jc w:val="both"/>
              <w:rPr>
                <w:rFonts w:ascii="Arial" w:hAnsi="Arial" w:cs="Arial"/>
                <w:sz w:val="18"/>
                <w:szCs w:val="18"/>
                <w:lang w:val="en-US"/>
              </w:rPr>
            </w:pPr>
            <w:r w:rsidRPr="00BD295E">
              <w:rPr>
                <w:rFonts w:ascii="Arial" w:hAnsi="Arial" w:cs="Arial"/>
                <w:sz w:val="18"/>
                <w:szCs w:val="18"/>
                <w:lang w:val="en-US"/>
              </w:rPr>
              <w:t>From 2017</w:t>
            </w:r>
          </w:p>
        </w:tc>
        <w:tc>
          <w:tcPr>
            <w:tcW w:w="5245" w:type="dxa"/>
            <w:shd w:val="clear" w:color="auto" w:fill="auto"/>
          </w:tcPr>
          <w:p w14:paraId="1E892311" w14:textId="77777777" w:rsidR="00A100A1" w:rsidRPr="00BD295E" w:rsidRDefault="008A5057" w:rsidP="00E3510B">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This investment project needs to be implemented to increase the reliability and quality of electricity supply to businesses and households in the Gatchinsky District and the Leningrad Region, socially important facilities, and consumers of Reliability Categories 1 and 2, as well as to increase the capacity of the 6-10 kV grid while reducing equipment failure risks, cutting energy losses, and providing the required safety. In 2017-2020, it is planned to replace 283 km of wire, which represents about 3% of the 6-10 kV overhead lines whose standard service lives have expired.</w:t>
            </w:r>
          </w:p>
        </w:tc>
      </w:tr>
      <w:tr w:rsidR="008A5057" w:rsidRPr="00BD295E" w14:paraId="662C8E41" w14:textId="77777777" w:rsidTr="00E3510B">
        <w:tc>
          <w:tcPr>
            <w:tcW w:w="2552" w:type="dxa"/>
            <w:shd w:val="clear" w:color="auto" w:fill="auto"/>
          </w:tcPr>
          <w:p w14:paraId="0CD18533" w14:textId="77777777" w:rsidR="00A100A1" w:rsidRPr="00BD295E" w:rsidRDefault="008A5057" w:rsidP="00E3510B">
            <w:pPr>
              <w:tabs>
                <w:tab w:val="left" w:pos="709"/>
                <w:tab w:val="left" w:pos="851"/>
              </w:tabs>
              <w:spacing w:line="276" w:lineRule="auto"/>
              <w:rPr>
                <w:rFonts w:ascii="Arial" w:hAnsi="Arial" w:cs="Arial"/>
                <w:sz w:val="18"/>
                <w:szCs w:val="18"/>
                <w:lang w:val="en-US"/>
              </w:rPr>
            </w:pPr>
            <w:r w:rsidRPr="00BD295E">
              <w:rPr>
                <w:rFonts w:ascii="Arial" w:hAnsi="Arial" w:cs="Arial"/>
                <w:bCs/>
                <w:sz w:val="18"/>
                <w:szCs w:val="18"/>
                <w:lang w:val="en-US"/>
              </w:rPr>
              <w:t>Capacitance current compensation program</w:t>
            </w:r>
          </w:p>
        </w:tc>
        <w:tc>
          <w:tcPr>
            <w:tcW w:w="1559" w:type="dxa"/>
            <w:shd w:val="clear" w:color="auto" w:fill="auto"/>
          </w:tcPr>
          <w:p w14:paraId="5CEFAF72" w14:textId="77777777" w:rsidR="00A100A1" w:rsidRPr="00BD295E" w:rsidRDefault="008A5057" w:rsidP="00E3510B">
            <w:pPr>
              <w:tabs>
                <w:tab w:val="left" w:pos="284"/>
              </w:tabs>
              <w:jc w:val="both"/>
              <w:rPr>
                <w:rFonts w:ascii="Arial" w:hAnsi="Arial" w:cs="Arial"/>
                <w:sz w:val="18"/>
                <w:szCs w:val="18"/>
                <w:lang w:val="en-US"/>
              </w:rPr>
            </w:pPr>
            <w:r w:rsidRPr="00BD295E">
              <w:rPr>
                <w:rFonts w:ascii="Arial" w:hAnsi="Arial" w:cs="Arial"/>
                <w:sz w:val="18"/>
                <w:szCs w:val="18"/>
                <w:lang w:val="en-US"/>
              </w:rPr>
              <w:t>From 2007</w:t>
            </w:r>
          </w:p>
        </w:tc>
        <w:tc>
          <w:tcPr>
            <w:tcW w:w="5245" w:type="dxa"/>
            <w:shd w:val="clear" w:color="auto" w:fill="auto"/>
          </w:tcPr>
          <w:p w14:paraId="722A91E9" w14:textId="77777777" w:rsidR="00A100A1" w:rsidRPr="00BD295E" w:rsidRDefault="008A5057" w:rsidP="00E3510B">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The implementation of the program will bring short-circuit currents in compliance with regulations: PTE (SO 153-34.20.501-2003; pp. 5.11.8, 5.11.9, 5.11.10, 5.11.11, 5.11.12), as well as allow complying with the prescriptions of supervisory authorities, increase reliability of electric equipment of substations and, as a consequence, increase reliability of electricity supply to consumers.</w:t>
            </w:r>
          </w:p>
        </w:tc>
      </w:tr>
    </w:tbl>
    <w:p w14:paraId="565A4222" w14:textId="56D6CCD8" w:rsidR="00F964F6" w:rsidRPr="00BD295E" w:rsidRDefault="00F964F6" w:rsidP="009427FD">
      <w:pPr>
        <w:spacing w:before="120" w:after="120"/>
        <w:jc w:val="both"/>
        <w:rPr>
          <w:rFonts w:ascii="Arial" w:hAnsi="Arial" w:cs="Arial"/>
          <w:sz w:val="18"/>
          <w:szCs w:val="18"/>
          <w:lang w:val="en-US"/>
        </w:rPr>
      </w:pPr>
    </w:p>
    <w:p w14:paraId="097D6FCF" w14:textId="77777777" w:rsidR="00F964F6" w:rsidRPr="00BD295E" w:rsidRDefault="00F964F6">
      <w:pPr>
        <w:rPr>
          <w:rFonts w:ascii="Arial" w:hAnsi="Arial" w:cs="Arial"/>
          <w:sz w:val="18"/>
          <w:szCs w:val="18"/>
          <w:lang w:val="en-US"/>
        </w:rPr>
      </w:pPr>
      <w:r w:rsidRPr="00BD295E">
        <w:rPr>
          <w:rFonts w:ascii="Arial" w:hAnsi="Arial" w:cs="Arial"/>
          <w:sz w:val="18"/>
          <w:szCs w:val="18"/>
          <w:lang w:val="en-US"/>
        </w:rPr>
        <w:br w:type="page"/>
      </w:r>
    </w:p>
    <w:p w14:paraId="5FA7E91E" w14:textId="77777777" w:rsidR="00A100A1" w:rsidRPr="00BD295E" w:rsidRDefault="008A5057" w:rsidP="009427FD">
      <w:pPr>
        <w:spacing w:before="120" w:after="120"/>
        <w:jc w:val="both"/>
        <w:rPr>
          <w:rFonts w:ascii="Arial" w:hAnsi="Arial" w:cs="Arial"/>
          <w:sz w:val="18"/>
          <w:szCs w:val="18"/>
          <w:lang w:val="en-US"/>
        </w:rPr>
      </w:pPr>
      <w:r w:rsidRPr="00BD295E">
        <w:rPr>
          <w:rFonts w:ascii="Arial" w:hAnsi="Arial" w:cs="Arial"/>
          <w:sz w:val="18"/>
          <w:szCs w:val="18"/>
          <w:lang w:val="en-US"/>
        </w:rPr>
        <w:t>Changes in process failures (accidents):</w:t>
      </w:r>
    </w:p>
    <w:tbl>
      <w:tblPr>
        <w:tblW w:w="7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50"/>
        <w:gridCol w:w="928"/>
        <w:gridCol w:w="992"/>
        <w:gridCol w:w="851"/>
        <w:gridCol w:w="1134"/>
      </w:tblGrid>
      <w:tr w:rsidR="008A5057" w:rsidRPr="00BD295E" w14:paraId="6C898CBC" w14:textId="77777777" w:rsidTr="00E3510B">
        <w:trPr>
          <w:trHeight w:val="290"/>
        </w:trPr>
        <w:tc>
          <w:tcPr>
            <w:tcW w:w="3750" w:type="dxa"/>
            <w:shd w:val="clear" w:color="auto" w:fill="auto"/>
          </w:tcPr>
          <w:p w14:paraId="47A70AC6" w14:textId="77777777" w:rsidR="00A100A1" w:rsidRPr="00BD295E" w:rsidRDefault="00A100A1" w:rsidP="00E3510B">
            <w:pPr>
              <w:jc w:val="center"/>
              <w:rPr>
                <w:rFonts w:ascii="Arial" w:hAnsi="Arial" w:cs="Arial"/>
                <w:sz w:val="18"/>
                <w:szCs w:val="18"/>
                <w:lang w:val="en-US"/>
              </w:rPr>
            </w:pPr>
          </w:p>
        </w:tc>
        <w:tc>
          <w:tcPr>
            <w:tcW w:w="928" w:type="dxa"/>
            <w:shd w:val="clear" w:color="auto" w:fill="auto"/>
          </w:tcPr>
          <w:p w14:paraId="6E5536D4" w14:textId="77777777" w:rsidR="00A100A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2016</w:t>
            </w:r>
          </w:p>
        </w:tc>
        <w:tc>
          <w:tcPr>
            <w:tcW w:w="992" w:type="dxa"/>
            <w:shd w:val="clear" w:color="auto" w:fill="auto"/>
          </w:tcPr>
          <w:p w14:paraId="5625483E" w14:textId="77777777" w:rsidR="00A100A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2017</w:t>
            </w:r>
          </w:p>
        </w:tc>
        <w:tc>
          <w:tcPr>
            <w:tcW w:w="851" w:type="dxa"/>
            <w:shd w:val="clear" w:color="auto" w:fill="auto"/>
          </w:tcPr>
          <w:p w14:paraId="6F515BA5" w14:textId="77777777" w:rsidR="00A100A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2018</w:t>
            </w:r>
          </w:p>
        </w:tc>
        <w:tc>
          <w:tcPr>
            <w:tcW w:w="1134" w:type="dxa"/>
            <w:shd w:val="clear" w:color="auto" w:fill="auto"/>
          </w:tcPr>
          <w:p w14:paraId="1F35C314" w14:textId="77777777" w:rsidR="00A100A1" w:rsidRPr="00BD295E" w:rsidRDefault="00C064D1" w:rsidP="00E3510B">
            <w:pPr>
              <w:jc w:val="center"/>
              <w:rPr>
                <w:rFonts w:ascii="Arial" w:hAnsi="Arial" w:cs="Arial"/>
                <w:sz w:val="18"/>
                <w:szCs w:val="18"/>
                <w:lang w:val="en-US"/>
              </w:rPr>
            </w:pPr>
            <w:r w:rsidRPr="00BD295E">
              <w:rPr>
                <w:rFonts w:ascii="Arial" w:hAnsi="Arial" w:cs="Arial"/>
                <w:sz w:val="18"/>
                <w:szCs w:val="18"/>
                <w:lang w:val="en-US"/>
              </w:rPr>
              <w:t>2018 vs. 2017</w:t>
            </w:r>
            <w:r w:rsidR="008A5057" w:rsidRPr="00BD295E">
              <w:rPr>
                <w:rFonts w:ascii="Arial" w:hAnsi="Arial" w:cs="Arial"/>
                <w:sz w:val="18"/>
                <w:szCs w:val="18"/>
                <w:lang w:val="en-US"/>
              </w:rPr>
              <w:t>, %</w:t>
            </w:r>
          </w:p>
        </w:tc>
      </w:tr>
      <w:tr w:rsidR="008A5057" w:rsidRPr="00BD295E" w14:paraId="48ADE0EB" w14:textId="77777777" w:rsidTr="00E3510B">
        <w:trPr>
          <w:trHeight w:val="290"/>
        </w:trPr>
        <w:tc>
          <w:tcPr>
            <w:tcW w:w="3750" w:type="dxa"/>
            <w:shd w:val="clear" w:color="auto" w:fill="auto"/>
          </w:tcPr>
          <w:p w14:paraId="73E90A85" w14:textId="77777777" w:rsidR="00A100A1" w:rsidRPr="00BD295E" w:rsidRDefault="008A5057" w:rsidP="00A85863">
            <w:pPr>
              <w:rPr>
                <w:rFonts w:ascii="Arial" w:hAnsi="Arial" w:cs="Arial"/>
                <w:sz w:val="18"/>
                <w:szCs w:val="18"/>
                <w:lang w:val="en-US"/>
              </w:rPr>
            </w:pPr>
            <w:r w:rsidRPr="00BD295E">
              <w:rPr>
                <w:rFonts w:ascii="Arial" w:hAnsi="Arial" w:cs="Arial"/>
                <w:sz w:val="18"/>
                <w:szCs w:val="18"/>
                <w:lang w:val="en-US"/>
              </w:rPr>
              <w:t xml:space="preserve">Number of process failures in the 110 kV+ grids </w:t>
            </w:r>
          </w:p>
        </w:tc>
        <w:tc>
          <w:tcPr>
            <w:tcW w:w="928" w:type="dxa"/>
            <w:shd w:val="clear" w:color="auto" w:fill="auto"/>
          </w:tcPr>
          <w:p w14:paraId="4E4584D4" w14:textId="77777777" w:rsidR="00A100A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312</w:t>
            </w:r>
          </w:p>
        </w:tc>
        <w:tc>
          <w:tcPr>
            <w:tcW w:w="992" w:type="dxa"/>
            <w:shd w:val="clear" w:color="auto" w:fill="auto"/>
          </w:tcPr>
          <w:p w14:paraId="5C05A43D" w14:textId="77777777" w:rsidR="00A100A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300</w:t>
            </w:r>
          </w:p>
        </w:tc>
        <w:tc>
          <w:tcPr>
            <w:tcW w:w="851" w:type="dxa"/>
            <w:shd w:val="clear" w:color="auto" w:fill="auto"/>
          </w:tcPr>
          <w:p w14:paraId="5F7A8F3A" w14:textId="77777777" w:rsidR="00A100A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288</w:t>
            </w:r>
          </w:p>
        </w:tc>
        <w:tc>
          <w:tcPr>
            <w:tcW w:w="1134" w:type="dxa"/>
            <w:shd w:val="clear" w:color="auto" w:fill="auto"/>
          </w:tcPr>
          <w:p w14:paraId="7BD58074" w14:textId="77777777" w:rsidR="00A100A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- 4%</w:t>
            </w:r>
          </w:p>
        </w:tc>
      </w:tr>
      <w:tr w:rsidR="008A5057" w:rsidRPr="00BD295E" w14:paraId="21E35FE8" w14:textId="77777777" w:rsidTr="00E3510B">
        <w:trPr>
          <w:trHeight w:val="290"/>
        </w:trPr>
        <w:tc>
          <w:tcPr>
            <w:tcW w:w="3750" w:type="dxa"/>
            <w:shd w:val="clear" w:color="auto" w:fill="auto"/>
          </w:tcPr>
          <w:p w14:paraId="519A7E19" w14:textId="77777777" w:rsidR="00A100A1" w:rsidRPr="00BD295E" w:rsidRDefault="008A5057" w:rsidP="002D2EA8">
            <w:pPr>
              <w:rPr>
                <w:rFonts w:ascii="Arial" w:hAnsi="Arial" w:cs="Arial"/>
                <w:sz w:val="18"/>
                <w:szCs w:val="18"/>
                <w:lang w:val="en-US"/>
              </w:rPr>
            </w:pPr>
            <w:r w:rsidRPr="00BD295E">
              <w:rPr>
                <w:rFonts w:ascii="Arial" w:hAnsi="Arial" w:cs="Arial"/>
                <w:sz w:val="18"/>
                <w:szCs w:val="18"/>
                <w:lang w:val="en-US"/>
              </w:rPr>
              <w:t xml:space="preserve">Average duration of electricity supply interruptions, </w:t>
            </w:r>
            <w:r w:rsidR="009427FD" w:rsidRPr="00BD295E">
              <w:rPr>
                <w:rFonts w:ascii="Arial" w:hAnsi="Arial" w:cs="Arial"/>
                <w:sz w:val="18"/>
                <w:szCs w:val="18"/>
                <w:lang w:val="en-US"/>
              </w:rPr>
              <w:t>D</w:t>
            </w:r>
            <w:r w:rsidR="002D2EA8" w:rsidRPr="00BD295E">
              <w:rPr>
                <w:rFonts w:ascii="Arial" w:hAnsi="Arial" w:cs="Arial"/>
                <w:sz w:val="18"/>
                <w:szCs w:val="18"/>
                <w:lang w:val="en-US"/>
              </w:rPr>
              <w:t>I</w:t>
            </w:r>
          </w:p>
        </w:tc>
        <w:tc>
          <w:tcPr>
            <w:tcW w:w="928" w:type="dxa"/>
            <w:shd w:val="clear" w:color="auto" w:fill="auto"/>
          </w:tcPr>
          <w:p w14:paraId="2EE4600C" w14:textId="77777777" w:rsidR="00A100A1" w:rsidRPr="00BD295E" w:rsidRDefault="008A5057" w:rsidP="00E3510B">
            <w:pPr>
              <w:pStyle w:val="16"/>
              <w:spacing w:before="0" w:beforeAutospacing="0" w:after="0" w:afterAutospacing="0" w:line="276" w:lineRule="auto"/>
              <w:jc w:val="center"/>
              <w:rPr>
                <w:rFonts w:ascii="Arial" w:hAnsi="Arial" w:cs="Arial"/>
                <w:bCs/>
                <w:kern w:val="24"/>
                <w:sz w:val="18"/>
                <w:szCs w:val="18"/>
                <w:lang w:val="en-US"/>
              </w:rPr>
            </w:pPr>
            <w:r w:rsidRPr="00BD295E">
              <w:rPr>
                <w:rFonts w:ascii="Arial" w:hAnsi="Arial" w:cs="Arial"/>
                <w:bCs/>
                <w:sz w:val="18"/>
                <w:szCs w:val="18"/>
                <w:lang w:val="en-US"/>
              </w:rPr>
              <w:t>0.0035</w:t>
            </w:r>
          </w:p>
        </w:tc>
        <w:tc>
          <w:tcPr>
            <w:tcW w:w="992" w:type="dxa"/>
            <w:shd w:val="clear" w:color="auto" w:fill="auto"/>
          </w:tcPr>
          <w:p w14:paraId="0A457378" w14:textId="77777777" w:rsidR="00A100A1" w:rsidRPr="00BD295E" w:rsidRDefault="008A5057" w:rsidP="00E3510B">
            <w:pPr>
              <w:pStyle w:val="16"/>
              <w:spacing w:before="0" w:beforeAutospacing="0" w:after="0" w:afterAutospacing="0" w:line="276" w:lineRule="auto"/>
              <w:jc w:val="center"/>
              <w:rPr>
                <w:rFonts w:ascii="Arial" w:hAnsi="Arial" w:cs="Arial"/>
                <w:bCs/>
                <w:kern w:val="24"/>
                <w:sz w:val="18"/>
                <w:szCs w:val="18"/>
                <w:lang w:val="en-US"/>
              </w:rPr>
            </w:pPr>
            <w:r w:rsidRPr="00BD295E">
              <w:rPr>
                <w:rFonts w:ascii="Arial" w:hAnsi="Arial" w:cs="Arial"/>
                <w:bCs/>
                <w:sz w:val="18"/>
                <w:szCs w:val="18"/>
                <w:lang w:val="en-US"/>
              </w:rPr>
              <w:t>0.0018</w:t>
            </w:r>
          </w:p>
        </w:tc>
        <w:tc>
          <w:tcPr>
            <w:tcW w:w="851" w:type="dxa"/>
            <w:shd w:val="clear" w:color="auto" w:fill="auto"/>
          </w:tcPr>
          <w:p w14:paraId="256B8488" w14:textId="77777777" w:rsidR="00A100A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0.0013</w:t>
            </w:r>
          </w:p>
        </w:tc>
        <w:tc>
          <w:tcPr>
            <w:tcW w:w="1134" w:type="dxa"/>
            <w:shd w:val="clear" w:color="auto" w:fill="auto"/>
          </w:tcPr>
          <w:p w14:paraId="28C82941" w14:textId="77777777" w:rsidR="00A100A1"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-27.8%</w:t>
            </w:r>
          </w:p>
        </w:tc>
      </w:tr>
    </w:tbl>
    <w:p w14:paraId="2AE31116" w14:textId="77777777" w:rsidR="00A100A1" w:rsidRPr="00BD295E" w:rsidRDefault="00A100A1" w:rsidP="00A100A1">
      <w:pPr>
        <w:tabs>
          <w:tab w:val="left" w:pos="709"/>
          <w:tab w:val="left" w:pos="851"/>
        </w:tabs>
        <w:ind w:firstLine="709"/>
        <w:contextualSpacing/>
        <w:rPr>
          <w:rFonts w:ascii="Arial" w:hAnsi="Arial" w:cs="Arial"/>
          <w:sz w:val="18"/>
          <w:szCs w:val="18"/>
          <w:lang w:val="en-US"/>
        </w:rPr>
      </w:pPr>
    </w:p>
    <w:p w14:paraId="64134F9B" w14:textId="77777777" w:rsidR="00A100A1" w:rsidRPr="00BD295E" w:rsidRDefault="002D2EA8" w:rsidP="00A100A1">
      <w:pPr>
        <w:tabs>
          <w:tab w:val="left" w:pos="709"/>
          <w:tab w:val="left" w:pos="851"/>
        </w:tabs>
        <w:ind w:firstLine="709"/>
        <w:contextualSpacing/>
        <w:rPr>
          <w:rFonts w:ascii="Arial" w:hAnsi="Arial" w:cs="Arial"/>
          <w:sz w:val="18"/>
          <w:szCs w:val="18"/>
          <w:lang w:val="en-US"/>
        </w:rPr>
      </w:pPr>
      <w:r w:rsidRPr="00BD295E">
        <w:rPr>
          <w:rFonts w:ascii="Arial" w:hAnsi="Arial" w:cs="Arial"/>
          <w:sz w:val="18"/>
          <w:szCs w:val="18"/>
          <w:lang w:val="en-US"/>
        </w:rPr>
        <w:t>Factors causing</w:t>
      </w:r>
      <w:r w:rsidR="008A5057" w:rsidRPr="00BD295E">
        <w:rPr>
          <w:rFonts w:ascii="Arial" w:hAnsi="Arial" w:cs="Arial"/>
          <w:sz w:val="18"/>
          <w:szCs w:val="18"/>
          <w:lang w:val="en-US"/>
        </w:rPr>
        <w:t xml:space="preserve"> accidents at </w:t>
      </w:r>
      <w:r w:rsidR="00EE5753" w:rsidRPr="00BD295E">
        <w:rPr>
          <w:rFonts w:ascii="Arial" w:hAnsi="Arial" w:cs="Arial"/>
          <w:sz w:val="18"/>
          <w:szCs w:val="18"/>
          <w:lang w:val="en-US"/>
        </w:rPr>
        <w:t>PJSC “Lenenergo”</w:t>
      </w:r>
      <w:r w:rsidR="008A5057" w:rsidRPr="00BD295E">
        <w:rPr>
          <w:rFonts w:ascii="Arial" w:hAnsi="Arial" w:cs="Arial"/>
          <w:sz w:val="18"/>
          <w:szCs w:val="18"/>
          <w:lang w:val="en-US"/>
        </w:rPr>
        <w:t xml:space="preserve"> in 2018, %</w:t>
      </w:r>
    </w:p>
    <w:p w14:paraId="53E1EC9C" w14:textId="29504E78" w:rsidR="00B20A51" w:rsidRPr="00BD295E" w:rsidRDefault="00997D07" w:rsidP="00A100A1">
      <w:pPr>
        <w:tabs>
          <w:tab w:val="left" w:pos="709"/>
          <w:tab w:val="left" w:pos="851"/>
        </w:tabs>
        <w:contextualSpacing/>
        <w:rPr>
          <w:rFonts w:ascii="Arial" w:hAnsi="Arial" w:cs="Arial"/>
          <w:sz w:val="18"/>
          <w:szCs w:val="18"/>
          <w:lang w:val="en-US"/>
        </w:rPr>
      </w:pPr>
      <w:bookmarkStart w:id="368" w:name="_Hlk95936422"/>
      <w:r w:rsidRPr="00BD295E">
        <w:rPr>
          <w:rFonts w:ascii="Arial" w:hAnsi="Arial" w:cs="Arial"/>
          <w:sz w:val="18"/>
          <w:szCs w:val="18"/>
          <w:lang w:val="en-US" w:eastAsia="en-US"/>
        </w:rPr>
        <w:drawing>
          <wp:inline distT="0" distB="0" distL="0" distR="0" wp14:anchorId="43835667" wp14:editId="01E988EE">
            <wp:extent cx="5958205" cy="2881630"/>
            <wp:effectExtent l="0" t="0" r="0" b="0"/>
            <wp:docPr id="63"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bookmarkEnd w:id="368"/>
    </w:p>
    <w:p w14:paraId="35EDE9EE" w14:textId="77777777" w:rsidR="00A100A1" w:rsidRPr="00BD295E" w:rsidRDefault="00A100A1" w:rsidP="00A100A1">
      <w:pPr>
        <w:tabs>
          <w:tab w:val="left" w:pos="709"/>
          <w:tab w:val="left" w:pos="851"/>
        </w:tabs>
        <w:contextualSpacing/>
        <w:rPr>
          <w:rFonts w:ascii="Arial" w:hAnsi="Arial" w:cs="Arial"/>
          <w:sz w:val="18"/>
          <w:szCs w:val="18"/>
          <w:lang w:val="en-US"/>
        </w:rPr>
      </w:pPr>
    </w:p>
    <w:p w14:paraId="03342E66" w14:textId="77777777" w:rsidR="00A100A1" w:rsidRPr="00BD295E" w:rsidRDefault="00A100A1" w:rsidP="00A100A1">
      <w:pPr>
        <w:tabs>
          <w:tab w:val="left" w:pos="709"/>
          <w:tab w:val="left" w:pos="851"/>
        </w:tabs>
        <w:contextualSpacing/>
        <w:rPr>
          <w:rFonts w:ascii="Arial" w:hAnsi="Arial" w:cs="Arial"/>
          <w:sz w:val="18"/>
          <w:szCs w:val="18"/>
          <w:lang w:val="en-US"/>
        </w:rPr>
      </w:pPr>
    </w:p>
    <w:p w14:paraId="03E4B7DB" w14:textId="77777777" w:rsidR="00A100A1" w:rsidRPr="00BD295E" w:rsidRDefault="008A5057" w:rsidP="00A100A1">
      <w:pPr>
        <w:tabs>
          <w:tab w:val="left" w:pos="709"/>
          <w:tab w:val="left" w:pos="851"/>
        </w:tabs>
        <w:contextualSpacing/>
        <w:rPr>
          <w:rFonts w:ascii="Arial" w:hAnsi="Arial" w:cs="Arial"/>
          <w:sz w:val="18"/>
          <w:szCs w:val="18"/>
          <w:lang w:val="en-US"/>
        </w:rPr>
      </w:pPr>
      <w:r w:rsidRPr="00BD295E">
        <w:rPr>
          <w:rFonts w:ascii="Arial" w:hAnsi="Arial" w:cs="Arial"/>
          <w:sz w:val="18"/>
          <w:szCs w:val="18"/>
          <w:lang w:val="en-US"/>
        </w:rPr>
        <w:t>The largest number of accidents was caused by third parties, including individuals and organizations (38%).</w:t>
      </w:r>
    </w:p>
    <w:p w14:paraId="786DF3E5" w14:textId="77777777" w:rsidR="00520624" w:rsidRPr="00BD295E" w:rsidRDefault="00520624" w:rsidP="00520624">
      <w:pPr>
        <w:ind w:firstLine="709"/>
        <w:contextualSpacing/>
        <w:rPr>
          <w:rFonts w:ascii="Arial" w:hAnsi="Arial" w:cs="Arial"/>
          <w:sz w:val="18"/>
          <w:szCs w:val="18"/>
          <w:lang w:val="en-US"/>
        </w:rPr>
      </w:pPr>
    </w:p>
    <w:p w14:paraId="2D3296E3" w14:textId="77777777" w:rsidR="002D232A" w:rsidRPr="00BD295E" w:rsidRDefault="008A5057" w:rsidP="009427FD">
      <w:pPr>
        <w:contextualSpacing/>
        <w:rPr>
          <w:rFonts w:ascii="Arial" w:hAnsi="Arial" w:cs="Arial"/>
          <w:b/>
          <w:sz w:val="18"/>
          <w:szCs w:val="18"/>
          <w:lang w:val="en-US"/>
        </w:rPr>
      </w:pPr>
      <w:r w:rsidRPr="00BD295E">
        <w:rPr>
          <w:rFonts w:ascii="Arial" w:hAnsi="Arial" w:cs="Arial"/>
          <w:b/>
          <w:sz w:val="18"/>
          <w:szCs w:val="18"/>
          <w:lang w:val="en-US"/>
        </w:rPr>
        <w:t>Maintenance and Repair Program</w:t>
      </w:r>
    </w:p>
    <w:p w14:paraId="08D35304" w14:textId="77777777" w:rsidR="002D232A" w:rsidRPr="00BD295E" w:rsidRDefault="002D232A" w:rsidP="009427FD">
      <w:pPr>
        <w:contextualSpacing/>
        <w:rPr>
          <w:rFonts w:ascii="Arial" w:hAnsi="Arial" w:cs="Arial"/>
          <w:sz w:val="18"/>
          <w:szCs w:val="18"/>
          <w:lang w:val="en-US"/>
        </w:rPr>
      </w:pPr>
    </w:p>
    <w:p w14:paraId="2E247E0C" w14:textId="77777777" w:rsidR="004C0056" w:rsidRPr="00BD295E" w:rsidRDefault="008A5057" w:rsidP="004C0056">
      <w:pPr>
        <w:spacing w:line="276" w:lineRule="auto"/>
        <w:jc w:val="both"/>
        <w:rPr>
          <w:rFonts w:ascii="Arial" w:hAnsi="Arial" w:cs="Arial"/>
          <w:sz w:val="18"/>
          <w:szCs w:val="18"/>
          <w:lang w:val="en-US"/>
        </w:rPr>
      </w:pPr>
      <w:r w:rsidRPr="00BD295E">
        <w:rPr>
          <w:rFonts w:ascii="Arial" w:hAnsi="Arial" w:cs="Arial"/>
          <w:sz w:val="18"/>
          <w:szCs w:val="18"/>
          <w:lang w:val="en-US"/>
        </w:rPr>
        <w:t xml:space="preserve">The maintenance and repair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prepared annually based on multi-year equipment repair timetables, analysis of the condition of 0.4-110 kV power lines, core and auxiliary equipment of substations, inspection reports, prescriptions of supervisory authorities, and identified reliability risks at electricity distribution grids.</w:t>
      </w:r>
    </w:p>
    <w:p w14:paraId="490451AC" w14:textId="77777777" w:rsidR="004C0056" w:rsidRPr="00BD295E" w:rsidRDefault="004C0056" w:rsidP="004C0056">
      <w:pPr>
        <w:rPr>
          <w:rFonts w:ascii="Arial" w:hAnsi="Arial" w:cs="Arial"/>
          <w:sz w:val="18"/>
          <w:szCs w:val="18"/>
          <w:lang w:val="en-US"/>
        </w:rPr>
      </w:pPr>
    </w:p>
    <w:p w14:paraId="45BE1FFB" w14:textId="77777777" w:rsidR="004C0056" w:rsidRPr="00BD295E" w:rsidRDefault="008A5057" w:rsidP="004C0056">
      <w:pPr>
        <w:rPr>
          <w:rFonts w:ascii="Arial" w:hAnsi="Arial" w:cs="Arial"/>
          <w:b/>
          <w:sz w:val="18"/>
          <w:szCs w:val="18"/>
          <w:lang w:val="en-US"/>
        </w:rPr>
      </w:pPr>
      <w:r w:rsidRPr="00BD295E">
        <w:rPr>
          <w:rFonts w:ascii="Arial" w:hAnsi="Arial" w:cs="Arial"/>
          <w:b/>
          <w:sz w:val="18"/>
          <w:szCs w:val="18"/>
          <w:lang w:val="en-US"/>
        </w:rPr>
        <w:t>Maintenance and repair program indicators</w:t>
      </w:r>
    </w:p>
    <w:p w14:paraId="29DDBAA0" w14:textId="77777777" w:rsidR="004C0056" w:rsidRPr="00BD295E" w:rsidRDefault="004C0056" w:rsidP="004C0056">
      <w:pPr>
        <w:rPr>
          <w:rFonts w:ascii="Arial" w:eastAsia="Calibri" w:hAnsi="Arial" w:cs="Arial"/>
          <w:sz w:val="18"/>
          <w:szCs w:val="18"/>
          <w:lang w:val="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7"/>
        <w:gridCol w:w="1133"/>
        <w:gridCol w:w="992"/>
        <w:gridCol w:w="992"/>
        <w:gridCol w:w="992"/>
        <w:gridCol w:w="1560"/>
      </w:tblGrid>
      <w:tr w:rsidR="008A5057" w:rsidRPr="00BD295E" w14:paraId="0705B149" w14:textId="77777777" w:rsidTr="00162DD0">
        <w:trPr>
          <w:trHeight w:val="465"/>
        </w:trPr>
        <w:tc>
          <w:tcPr>
            <w:tcW w:w="3937" w:type="dxa"/>
            <w:shd w:val="clear" w:color="auto" w:fill="auto"/>
            <w:vAlign w:val="center"/>
            <w:hideMark/>
          </w:tcPr>
          <w:p w14:paraId="3A4D48D1"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Indicators</w:t>
            </w:r>
          </w:p>
        </w:tc>
        <w:tc>
          <w:tcPr>
            <w:tcW w:w="1133" w:type="dxa"/>
            <w:shd w:val="clear" w:color="auto" w:fill="auto"/>
            <w:vAlign w:val="center"/>
            <w:hideMark/>
          </w:tcPr>
          <w:p w14:paraId="41EF58B6"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2016</w:t>
            </w:r>
          </w:p>
        </w:tc>
        <w:tc>
          <w:tcPr>
            <w:tcW w:w="992" w:type="dxa"/>
            <w:shd w:val="clear" w:color="auto" w:fill="auto"/>
            <w:vAlign w:val="center"/>
            <w:hideMark/>
          </w:tcPr>
          <w:p w14:paraId="162B0F58"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2017</w:t>
            </w:r>
          </w:p>
        </w:tc>
        <w:tc>
          <w:tcPr>
            <w:tcW w:w="992" w:type="dxa"/>
            <w:shd w:val="clear" w:color="auto" w:fill="auto"/>
            <w:vAlign w:val="center"/>
            <w:hideMark/>
          </w:tcPr>
          <w:p w14:paraId="0CF8528D"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2018</w:t>
            </w:r>
          </w:p>
        </w:tc>
        <w:tc>
          <w:tcPr>
            <w:tcW w:w="992" w:type="dxa"/>
            <w:shd w:val="clear" w:color="auto" w:fill="auto"/>
            <w:vAlign w:val="center"/>
          </w:tcPr>
          <w:p w14:paraId="2D83ABD0" w14:textId="77777777" w:rsidR="004C0056" w:rsidRPr="00BD295E" w:rsidRDefault="00C064D1" w:rsidP="00162DD0">
            <w:pPr>
              <w:ind w:hanging="108"/>
              <w:jc w:val="center"/>
              <w:rPr>
                <w:rFonts w:ascii="Arial" w:hAnsi="Arial" w:cs="Arial"/>
                <w:sz w:val="18"/>
                <w:szCs w:val="18"/>
                <w:lang w:val="en-US"/>
              </w:rPr>
            </w:pPr>
            <w:r w:rsidRPr="00BD295E">
              <w:rPr>
                <w:rFonts w:ascii="Arial" w:hAnsi="Arial" w:cs="Arial"/>
                <w:sz w:val="18"/>
                <w:szCs w:val="18"/>
                <w:lang w:val="en-US"/>
              </w:rPr>
              <w:t>2018 vs. 2017</w:t>
            </w:r>
            <w:r w:rsidR="008A5057" w:rsidRPr="00BD295E">
              <w:rPr>
                <w:rFonts w:ascii="Arial" w:hAnsi="Arial" w:cs="Arial"/>
                <w:sz w:val="18"/>
                <w:szCs w:val="18"/>
                <w:lang w:val="en-US"/>
              </w:rPr>
              <w:t>, %</w:t>
            </w:r>
          </w:p>
        </w:tc>
        <w:tc>
          <w:tcPr>
            <w:tcW w:w="1560" w:type="dxa"/>
            <w:shd w:val="clear" w:color="auto" w:fill="auto"/>
            <w:vAlign w:val="center"/>
          </w:tcPr>
          <w:p w14:paraId="2F631412" w14:textId="77777777" w:rsidR="004C0056" w:rsidRPr="00BD295E" w:rsidRDefault="008A5057" w:rsidP="00162DD0">
            <w:pPr>
              <w:ind w:firstLine="34"/>
              <w:jc w:val="center"/>
              <w:rPr>
                <w:rFonts w:ascii="Arial" w:hAnsi="Arial" w:cs="Arial"/>
                <w:sz w:val="18"/>
                <w:szCs w:val="18"/>
                <w:lang w:val="en-US"/>
              </w:rPr>
            </w:pPr>
            <w:r w:rsidRPr="00BD295E">
              <w:rPr>
                <w:rFonts w:ascii="Arial" w:hAnsi="Arial" w:cs="Arial"/>
                <w:sz w:val="18"/>
                <w:szCs w:val="18"/>
                <w:lang w:val="en-US"/>
              </w:rPr>
              <w:t>2018 (Lenenergo Group)</w:t>
            </w:r>
          </w:p>
        </w:tc>
      </w:tr>
      <w:tr w:rsidR="008A5057" w:rsidRPr="00BD295E" w14:paraId="2AB13A31" w14:textId="77777777" w:rsidTr="00162DD0">
        <w:trPr>
          <w:trHeight w:val="233"/>
        </w:trPr>
        <w:tc>
          <w:tcPr>
            <w:tcW w:w="3937" w:type="dxa"/>
            <w:shd w:val="clear" w:color="auto" w:fill="auto"/>
            <w:noWrap/>
            <w:hideMark/>
          </w:tcPr>
          <w:p w14:paraId="006F0096" w14:textId="77777777" w:rsidR="004C0056" w:rsidRPr="00BD295E" w:rsidRDefault="008A5057" w:rsidP="00162DD0">
            <w:pPr>
              <w:rPr>
                <w:rFonts w:ascii="Arial" w:hAnsi="Arial" w:cs="Arial"/>
                <w:sz w:val="18"/>
                <w:szCs w:val="18"/>
                <w:lang w:val="en-US"/>
              </w:rPr>
            </w:pPr>
            <w:r w:rsidRPr="00BD295E">
              <w:rPr>
                <w:rFonts w:ascii="Arial" w:hAnsi="Arial" w:cs="Arial"/>
                <w:sz w:val="18"/>
                <w:szCs w:val="18"/>
                <w:lang w:val="en-US"/>
              </w:rPr>
              <w:t>Overhaul of overhead lines, km</w:t>
            </w:r>
          </w:p>
        </w:tc>
        <w:tc>
          <w:tcPr>
            <w:tcW w:w="1133" w:type="dxa"/>
            <w:shd w:val="clear" w:color="auto" w:fill="auto"/>
            <w:vAlign w:val="center"/>
          </w:tcPr>
          <w:p w14:paraId="3D761D69"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4,138</w:t>
            </w:r>
          </w:p>
        </w:tc>
        <w:tc>
          <w:tcPr>
            <w:tcW w:w="992" w:type="dxa"/>
            <w:shd w:val="clear" w:color="auto" w:fill="auto"/>
            <w:vAlign w:val="center"/>
          </w:tcPr>
          <w:p w14:paraId="77531158"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4,160</w:t>
            </w:r>
          </w:p>
        </w:tc>
        <w:tc>
          <w:tcPr>
            <w:tcW w:w="992" w:type="dxa"/>
            <w:shd w:val="clear" w:color="auto" w:fill="auto"/>
            <w:vAlign w:val="center"/>
          </w:tcPr>
          <w:p w14:paraId="48CD5E38"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4,182.42</w:t>
            </w:r>
          </w:p>
        </w:tc>
        <w:tc>
          <w:tcPr>
            <w:tcW w:w="992" w:type="dxa"/>
            <w:shd w:val="clear" w:color="auto" w:fill="auto"/>
            <w:vAlign w:val="center"/>
          </w:tcPr>
          <w:p w14:paraId="09A470ED" w14:textId="77777777" w:rsidR="004C0056" w:rsidRPr="00BD295E" w:rsidRDefault="008A5057" w:rsidP="00162DD0">
            <w:pPr>
              <w:ind w:hanging="108"/>
              <w:jc w:val="center"/>
              <w:rPr>
                <w:rFonts w:ascii="Arial" w:hAnsi="Arial" w:cs="Arial"/>
                <w:sz w:val="18"/>
                <w:szCs w:val="18"/>
                <w:lang w:val="en-US"/>
              </w:rPr>
            </w:pPr>
            <w:r w:rsidRPr="00BD295E">
              <w:rPr>
                <w:rFonts w:ascii="Arial" w:hAnsi="Arial" w:cs="Arial"/>
                <w:sz w:val="18"/>
                <w:szCs w:val="18"/>
                <w:lang w:val="en-US"/>
              </w:rPr>
              <w:t>101%</w:t>
            </w:r>
          </w:p>
        </w:tc>
        <w:tc>
          <w:tcPr>
            <w:tcW w:w="1560" w:type="dxa"/>
            <w:shd w:val="clear" w:color="auto" w:fill="auto"/>
            <w:vAlign w:val="center"/>
          </w:tcPr>
          <w:p w14:paraId="048CDAC4"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4,210.77</w:t>
            </w:r>
          </w:p>
        </w:tc>
      </w:tr>
      <w:tr w:rsidR="008A5057" w:rsidRPr="00BD295E" w14:paraId="3DBAC7D0" w14:textId="77777777" w:rsidTr="00162DD0">
        <w:trPr>
          <w:trHeight w:val="233"/>
        </w:trPr>
        <w:tc>
          <w:tcPr>
            <w:tcW w:w="3937" w:type="dxa"/>
            <w:shd w:val="clear" w:color="auto" w:fill="auto"/>
            <w:noWrap/>
            <w:hideMark/>
          </w:tcPr>
          <w:p w14:paraId="6C122AFC" w14:textId="77777777" w:rsidR="004C0056" w:rsidRPr="00BD295E" w:rsidRDefault="008A5057" w:rsidP="00162DD0">
            <w:pPr>
              <w:rPr>
                <w:rFonts w:ascii="Arial" w:hAnsi="Arial" w:cs="Arial"/>
                <w:sz w:val="18"/>
                <w:szCs w:val="18"/>
                <w:lang w:val="en-US"/>
              </w:rPr>
            </w:pPr>
            <w:r w:rsidRPr="00BD295E">
              <w:rPr>
                <w:rFonts w:ascii="Arial" w:hAnsi="Arial" w:cs="Arial"/>
                <w:sz w:val="18"/>
                <w:szCs w:val="18"/>
                <w:lang w:val="en-US"/>
              </w:rPr>
              <w:t>Overhead line right-of-way clearing, ha</w:t>
            </w:r>
          </w:p>
        </w:tc>
        <w:tc>
          <w:tcPr>
            <w:tcW w:w="1133" w:type="dxa"/>
            <w:shd w:val="clear" w:color="auto" w:fill="auto"/>
            <w:vAlign w:val="center"/>
          </w:tcPr>
          <w:p w14:paraId="100806CD"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3,177</w:t>
            </w:r>
          </w:p>
        </w:tc>
        <w:tc>
          <w:tcPr>
            <w:tcW w:w="992" w:type="dxa"/>
            <w:shd w:val="clear" w:color="auto" w:fill="auto"/>
            <w:vAlign w:val="center"/>
          </w:tcPr>
          <w:p w14:paraId="1EF9A6B0"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3,970</w:t>
            </w:r>
          </w:p>
        </w:tc>
        <w:tc>
          <w:tcPr>
            <w:tcW w:w="992" w:type="dxa"/>
            <w:shd w:val="clear" w:color="auto" w:fill="auto"/>
            <w:vAlign w:val="center"/>
          </w:tcPr>
          <w:p w14:paraId="6A7C7AF6"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4,504.52</w:t>
            </w:r>
          </w:p>
        </w:tc>
        <w:tc>
          <w:tcPr>
            <w:tcW w:w="992" w:type="dxa"/>
            <w:shd w:val="clear" w:color="auto" w:fill="auto"/>
            <w:vAlign w:val="center"/>
          </w:tcPr>
          <w:p w14:paraId="44862514" w14:textId="77777777" w:rsidR="004C0056" w:rsidRPr="00BD295E" w:rsidRDefault="008A5057" w:rsidP="00162DD0">
            <w:pPr>
              <w:ind w:hanging="108"/>
              <w:jc w:val="center"/>
              <w:rPr>
                <w:rFonts w:ascii="Arial" w:hAnsi="Arial" w:cs="Arial"/>
                <w:sz w:val="18"/>
                <w:szCs w:val="18"/>
                <w:lang w:val="en-US"/>
              </w:rPr>
            </w:pPr>
            <w:r w:rsidRPr="00BD295E">
              <w:rPr>
                <w:rFonts w:ascii="Arial" w:hAnsi="Arial" w:cs="Arial"/>
                <w:sz w:val="18"/>
                <w:szCs w:val="18"/>
                <w:lang w:val="en-US"/>
              </w:rPr>
              <w:t>114%</w:t>
            </w:r>
          </w:p>
        </w:tc>
        <w:tc>
          <w:tcPr>
            <w:tcW w:w="1560" w:type="dxa"/>
            <w:shd w:val="clear" w:color="auto" w:fill="auto"/>
            <w:vAlign w:val="center"/>
          </w:tcPr>
          <w:p w14:paraId="694957D0"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3,970</w:t>
            </w:r>
          </w:p>
        </w:tc>
      </w:tr>
      <w:tr w:rsidR="008A5057" w:rsidRPr="00BD295E" w14:paraId="6E746C68" w14:textId="77777777" w:rsidTr="00162DD0">
        <w:trPr>
          <w:trHeight w:val="233"/>
        </w:trPr>
        <w:tc>
          <w:tcPr>
            <w:tcW w:w="3937" w:type="dxa"/>
            <w:shd w:val="clear" w:color="auto" w:fill="auto"/>
            <w:noWrap/>
            <w:hideMark/>
          </w:tcPr>
          <w:p w14:paraId="41905D11" w14:textId="77777777" w:rsidR="004C0056" w:rsidRPr="00BD295E" w:rsidRDefault="008A5057" w:rsidP="00162DD0">
            <w:pPr>
              <w:rPr>
                <w:rFonts w:ascii="Arial" w:hAnsi="Arial" w:cs="Arial"/>
                <w:sz w:val="18"/>
                <w:szCs w:val="18"/>
                <w:lang w:val="en-US"/>
              </w:rPr>
            </w:pPr>
            <w:r w:rsidRPr="00BD295E">
              <w:rPr>
                <w:rFonts w:ascii="Arial" w:hAnsi="Arial" w:cs="Arial"/>
                <w:sz w:val="18"/>
                <w:szCs w:val="18"/>
                <w:lang w:val="en-US"/>
              </w:rPr>
              <w:t>Overhaul of transformers and autotransformers, units</w:t>
            </w:r>
          </w:p>
        </w:tc>
        <w:tc>
          <w:tcPr>
            <w:tcW w:w="1133" w:type="dxa"/>
            <w:shd w:val="clear" w:color="auto" w:fill="auto"/>
            <w:vAlign w:val="center"/>
          </w:tcPr>
          <w:p w14:paraId="5A4F1B3C"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27</w:t>
            </w:r>
          </w:p>
        </w:tc>
        <w:tc>
          <w:tcPr>
            <w:tcW w:w="992" w:type="dxa"/>
            <w:shd w:val="clear" w:color="auto" w:fill="auto"/>
            <w:vAlign w:val="center"/>
          </w:tcPr>
          <w:p w14:paraId="27D4A045"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30</w:t>
            </w:r>
          </w:p>
        </w:tc>
        <w:tc>
          <w:tcPr>
            <w:tcW w:w="992" w:type="dxa"/>
            <w:shd w:val="clear" w:color="auto" w:fill="auto"/>
            <w:vAlign w:val="center"/>
          </w:tcPr>
          <w:p w14:paraId="231537E2"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28</w:t>
            </w:r>
          </w:p>
        </w:tc>
        <w:tc>
          <w:tcPr>
            <w:tcW w:w="992" w:type="dxa"/>
            <w:shd w:val="clear" w:color="auto" w:fill="auto"/>
            <w:vAlign w:val="center"/>
          </w:tcPr>
          <w:p w14:paraId="000D9127" w14:textId="77777777" w:rsidR="004C0056" w:rsidRPr="00BD295E" w:rsidRDefault="008A5057" w:rsidP="00162DD0">
            <w:pPr>
              <w:ind w:hanging="108"/>
              <w:jc w:val="center"/>
              <w:rPr>
                <w:rFonts w:ascii="Arial" w:hAnsi="Arial" w:cs="Arial"/>
                <w:sz w:val="18"/>
                <w:szCs w:val="18"/>
                <w:lang w:val="en-US"/>
              </w:rPr>
            </w:pPr>
            <w:r w:rsidRPr="00BD295E">
              <w:rPr>
                <w:rFonts w:ascii="Arial" w:hAnsi="Arial" w:cs="Arial"/>
                <w:sz w:val="18"/>
                <w:szCs w:val="18"/>
                <w:lang w:val="en-US"/>
              </w:rPr>
              <w:t>93%</w:t>
            </w:r>
          </w:p>
        </w:tc>
        <w:tc>
          <w:tcPr>
            <w:tcW w:w="1560" w:type="dxa"/>
            <w:shd w:val="clear" w:color="auto" w:fill="auto"/>
            <w:vAlign w:val="center"/>
          </w:tcPr>
          <w:p w14:paraId="2386338D"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28</w:t>
            </w:r>
          </w:p>
        </w:tc>
      </w:tr>
      <w:tr w:rsidR="008A5057" w:rsidRPr="00BD295E" w14:paraId="08AF115E" w14:textId="77777777" w:rsidTr="00162DD0">
        <w:trPr>
          <w:trHeight w:val="233"/>
        </w:trPr>
        <w:tc>
          <w:tcPr>
            <w:tcW w:w="3937" w:type="dxa"/>
            <w:shd w:val="clear" w:color="auto" w:fill="auto"/>
            <w:noWrap/>
            <w:hideMark/>
          </w:tcPr>
          <w:p w14:paraId="036FC480" w14:textId="77777777" w:rsidR="004C0056" w:rsidRPr="00BD295E" w:rsidRDefault="008A5057" w:rsidP="00162DD0">
            <w:pPr>
              <w:rPr>
                <w:rFonts w:ascii="Arial" w:hAnsi="Arial" w:cs="Arial"/>
                <w:sz w:val="18"/>
                <w:szCs w:val="18"/>
                <w:lang w:val="en-US"/>
              </w:rPr>
            </w:pPr>
            <w:r w:rsidRPr="00BD295E">
              <w:rPr>
                <w:rFonts w:ascii="Arial" w:hAnsi="Arial" w:cs="Arial"/>
                <w:sz w:val="18"/>
                <w:szCs w:val="18"/>
                <w:lang w:val="en-US"/>
              </w:rPr>
              <w:t>Overhaul of switching devices, units</w:t>
            </w:r>
          </w:p>
        </w:tc>
        <w:tc>
          <w:tcPr>
            <w:tcW w:w="1133" w:type="dxa"/>
            <w:shd w:val="clear" w:color="auto" w:fill="auto"/>
            <w:vAlign w:val="center"/>
          </w:tcPr>
          <w:p w14:paraId="71D21992"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1,427</w:t>
            </w:r>
          </w:p>
        </w:tc>
        <w:tc>
          <w:tcPr>
            <w:tcW w:w="992" w:type="dxa"/>
            <w:shd w:val="clear" w:color="auto" w:fill="auto"/>
            <w:vAlign w:val="center"/>
          </w:tcPr>
          <w:p w14:paraId="242BE349"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1,506</w:t>
            </w:r>
          </w:p>
        </w:tc>
        <w:tc>
          <w:tcPr>
            <w:tcW w:w="992" w:type="dxa"/>
            <w:shd w:val="clear" w:color="auto" w:fill="auto"/>
            <w:vAlign w:val="center"/>
          </w:tcPr>
          <w:p w14:paraId="42BB3B11"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1,580</w:t>
            </w:r>
          </w:p>
        </w:tc>
        <w:tc>
          <w:tcPr>
            <w:tcW w:w="992" w:type="dxa"/>
            <w:shd w:val="clear" w:color="auto" w:fill="auto"/>
            <w:vAlign w:val="center"/>
          </w:tcPr>
          <w:p w14:paraId="23D5C2F6" w14:textId="77777777" w:rsidR="004C0056" w:rsidRPr="00BD295E" w:rsidRDefault="008A5057" w:rsidP="00162DD0">
            <w:pPr>
              <w:ind w:hanging="108"/>
              <w:jc w:val="center"/>
              <w:rPr>
                <w:rFonts w:ascii="Arial" w:hAnsi="Arial" w:cs="Arial"/>
                <w:sz w:val="18"/>
                <w:szCs w:val="18"/>
                <w:lang w:val="en-US"/>
              </w:rPr>
            </w:pPr>
            <w:r w:rsidRPr="00BD295E">
              <w:rPr>
                <w:rFonts w:ascii="Arial" w:hAnsi="Arial" w:cs="Arial"/>
                <w:sz w:val="18"/>
                <w:szCs w:val="18"/>
                <w:lang w:val="en-US"/>
              </w:rPr>
              <w:t>105%</w:t>
            </w:r>
          </w:p>
        </w:tc>
        <w:tc>
          <w:tcPr>
            <w:tcW w:w="1560" w:type="dxa"/>
            <w:shd w:val="clear" w:color="auto" w:fill="auto"/>
            <w:vAlign w:val="center"/>
          </w:tcPr>
          <w:p w14:paraId="5AA50B4B"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1,761</w:t>
            </w:r>
          </w:p>
        </w:tc>
      </w:tr>
      <w:tr w:rsidR="008A5057" w:rsidRPr="00BD295E" w14:paraId="3042390E" w14:textId="77777777" w:rsidTr="00162DD0">
        <w:trPr>
          <w:trHeight w:val="233"/>
        </w:trPr>
        <w:tc>
          <w:tcPr>
            <w:tcW w:w="3937" w:type="dxa"/>
            <w:shd w:val="clear" w:color="auto" w:fill="auto"/>
            <w:noWrap/>
            <w:hideMark/>
          </w:tcPr>
          <w:p w14:paraId="3F3A03D0" w14:textId="77777777" w:rsidR="004C0056" w:rsidRPr="00BD295E" w:rsidRDefault="008A5057" w:rsidP="00162DD0">
            <w:pPr>
              <w:rPr>
                <w:rFonts w:ascii="Arial" w:hAnsi="Arial" w:cs="Arial"/>
                <w:sz w:val="18"/>
                <w:szCs w:val="18"/>
                <w:lang w:val="en-US"/>
              </w:rPr>
            </w:pPr>
            <w:r w:rsidRPr="00BD295E">
              <w:rPr>
                <w:rFonts w:ascii="Arial" w:hAnsi="Arial" w:cs="Arial"/>
                <w:sz w:val="18"/>
                <w:szCs w:val="18"/>
                <w:lang w:val="en-US"/>
              </w:rPr>
              <w:t>Maintenance and Repair Program (RUB million)</w:t>
            </w:r>
          </w:p>
        </w:tc>
        <w:tc>
          <w:tcPr>
            <w:tcW w:w="1133" w:type="dxa"/>
            <w:shd w:val="clear" w:color="auto" w:fill="auto"/>
            <w:vAlign w:val="center"/>
          </w:tcPr>
          <w:p w14:paraId="2FB11309"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1,323</w:t>
            </w:r>
          </w:p>
        </w:tc>
        <w:tc>
          <w:tcPr>
            <w:tcW w:w="992" w:type="dxa"/>
            <w:shd w:val="clear" w:color="auto" w:fill="auto"/>
            <w:vAlign w:val="center"/>
          </w:tcPr>
          <w:p w14:paraId="37341D42"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1,566</w:t>
            </w:r>
          </w:p>
        </w:tc>
        <w:tc>
          <w:tcPr>
            <w:tcW w:w="992" w:type="dxa"/>
            <w:shd w:val="clear" w:color="auto" w:fill="auto"/>
            <w:vAlign w:val="center"/>
          </w:tcPr>
          <w:p w14:paraId="65533069" w14:textId="77777777" w:rsidR="004C0056" w:rsidRPr="00BD295E" w:rsidRDefault="008A5057" w:rsidP="00162DD0">
            <w:pPr>
              <w:jc w:val="center"/>
              <w:rPr>
                <w:rFonts w:ascii="Arial" w:hAnsi="Arial" w:cs="Arial"/>
                <w:sz w:val="18"/>
                <w:szCs w:val="18"/>
                <w:lang w:val="en-US"/>
              </w:rPr>
            </w:pPr>
            <w:r w:rsidRPr="00BD295E">
              <w:rPr>
                <w:rFonts w:ascii="Arial" w:hAnsi="Arial" w:cs="Arial"/>
                <w:sz w:val="18"/>
                <w:szCs w:val="18"/>
                <w:lang w:val="en-US"/>
              </w:rPr>
              <w:t>3,185</w:t>
            </w:r>
          </w:p>
        </w:tc>
        <w:tc>
          <w:tcPr>
            <w:tcW w:w="992" w:type="dxa"/>
            <w:shd w:val="clear" w:color="auto" w:fill="auto"/>
            <w:vAlign w:val="center"/>
          </w:tcPr>
          <w:p w14:paraId="43751844" w14:textId="77777777" w:rsidR="004C0056" w:rsidRPr="00BD295E" w:rsidRDefault="008A5057" w:rsidP="00162DD0">
            <w:pPr>
              <w:ind w:hanging="108"/>
              <w:jc w:val="center"/>
              <w:rPr>
                <w:rFonts w:ascii="Arial" w:hAnsi="Arial" w:cs="Arial"/>
                <w:sz w:val="18"/>
                <w:szCs w:val="18"/>
                <w:lang w:val="en-US"/>
              </w:rPr>
            </w:pPr>
            <w:r w:rsidRPr="00BD295E">
              <w:rPr>
                <w:rFonts w:ascii="Arial" w:hAnsi="Arial" w:cs="Arial"/>
                <w:sz w:val="18"/>
                <w:szCs w:val="18"/>
                <w:lang w:val="en-US"/>
              </w:rPr>
              <w:t>203%</w:t>
            </w:r>
          </w:p>
        </w:tc>
        <w:tc>
          <w:tcPr>
            <w:tcW w:w="1560" w:type="dxa"/>
            <w:shd w:val="clear" w:color="auto" w:fill="auto"/>
            <w:vAlign w:val="center"/>
          </w:tcPr>
          <w:p w14:paraId="7E30C6A9" w14:textId="77777777" w:rsidR="004C0056" w:rsidRPr="00BD295E" w:rsidRDefault="008A5057" w:rsidP="00162DD0">
            <w:pPr>
              <w:ind w:firstLine="34"/>
              <w:jc w:val="center"/>
              <w:rPr>
                <w:rFonts w:ascii="Arial" w:hAnsi="Arial" w:cs="Arial"/>
                <w:sz w:val="18"/>
                <w:szCs w:val="18"/>
                <w:lang w:val="en-US"/>
              </w:rPr>
            </w:pPr>
            <w:r w:rsidRPr="00BD295E">
              <w:rPr>
                <w:rFonts w:ascii="Arial" w:hAnsi="Arial" w:cs="Arial"/>
                <w:sz w:val="18"/>
                <w:szCs w:val="18"/>
                <w:lang w:val="en-US"/>
              </w:rPr>
              <w:t>3,314</w:t>
            </w:r>
          </w:p>
        </w:tc>
      </w:tr>
    </w:tbl>
    <w:p w14:paraId="7793AB12" w14:textId="45400C15" w:rsidR="00F964F6" w:rsidRPr="00BD295E" w:rsidRDefault="00F964F6" w:rsidP="004C0056">
      <w:pPr>
        <w:spacing w:before="120" w:after="120"/>
        <w:jc w:val="both"/>
        <w:rPr>
          <w:rFonts w:ascii="Arial" w:hAnsi="Arial" w:cs="Arial"/>
          <w:b/>
          <w:sz w:val="18"/>
          <w:szCs w:val="18"/>
          <w:lang w:val="en-US"/>
        </w:rPr>
      </w:pPr>
    </w:p>
    <w:p w14:paraId="451C6848" w14:textId="77777777" w:rsidR="00F964F6" w:rsidRPr="00BD295E" w:rsidRDefault="00F964F6">
      <w:pPr>
        <w:rPr>
          <w:rFonts w:ascii="Arial" w:hAnsi="Arial" w:cs="Arial"/>
          <w:b/>
          <w:sz w:val="18"/>
          <w:szCs w:val="18"/>
          <w:lang w:val="en-US"/>
        </w:rPr>
      </w:pPr>
      <w:r w:rsidRPr="00BD295E">
        <w:rPr>
          <w:rFonts w:ascii="Arial" w:hAnsi="Arial" w:cs="Arial"/>
          <w:b/>
          <w:sz w:val="18"/>
          <w:szCs w:val="18"/>
          <w:lang w:val="en-US"/>
        </w:rPr>
        <w:br w:type="page"/>
      </w:r>
    </w:p>
    <w:p w14:paraId="4DBC20B8" w14:textId="77777777" w:rsidR="004C0056" w:rsidRPr="00BD295E" w:rsidRDefault="004C0056" w:rsidP="004C0056">
      <w:pPr>
        <w:spacing w:before="120" w:after="120"/>
        <w:jc w:val="both"/>
        <w:rPr>
          <w:rFonts w:ascii="Arial" w:hAnsi="Arial" w:cs="Arial"/>
          <w:b/>
          <w:sz w:val="18"/>
          <w:szCs w:val="18"/>
          <w:lang w:val="en-US"/>
        </w:rPr>
      </w:pPr>
    </w:p>
    <w:p w14:paraId="7716BB56" w14:textId="6B910D30" w:rsidR="004C0056" w:rsidRPr="00BD295E" w:rsidRDefault="008A5057" w:rsidP="004C0056">
      <w:pPr>
        <w:spacing w:before="120" w:after="120"/>
        <w:jc w:val="both"/>
        <w:rPr>
          <w:rFonts w:ascii="Arial" w:hAnsi="Arial" w:cs="Arial"/>
          <w:b/>
          <w:sz w:val="18"/>
          <w:szCs w:val="18"/>
          <w:lang w:val="en-US"/>
        </w:rPr>
      </w:pPr>
      <w:r w:rsidRPr="00BD295E">
        <w:rPr>
          <w:rFonts w:ascii="Arial" w:hAnsi="Arial" w:cs="Arial"/>
          <w:b/>
          <w:sz w:val="18"/>
          <w:szCs w:val="18"/>
          <w:lang w:val="en-US"/>
        </w:rPr>
        <w:t>Costs under the Maintenance and Repair Progr</w:t>
      </w:r>
      <w:r w:rsidR="00396716" w:rsidRPr="00BD295E">
        <w:rPr>
          <w:rFonts w:ascii="Arial" w:hAnsi="Arial" w:cs="Arial"/>
          <w:b/>
          <w:sz w:val="18"/>
          <w:szCs w:val="18"/>
          <w:lang w:val="en-US"/>
        </w:rPr>
        <w:t>am by implementation method, RUB</w:t>
      </w:r>
      <w:r w:rsidRPr="00BD295E">
        <w:rPr>
          <w:rFonts w:ascii="Arial" w:hAnsi="Arial" w:cs="Arial"/>
          <w:b/>
          <w:sz w:val="18"/>
          <w:szCs w:val="18"/>
          <w:lang w:val="en-US"/>
        </w:rPr>
        <w:t xml:space="preserve"> million</w:t>
      </w:r>
    </w:p>
    <w:p w14:paraId="3E1DBE5D" w14:textId="77777777" w:rsidR="004C0056" w:rsidRPr="00BD295E" w:rsidRDefault="004C0056" w:rsidP="004C0056">
      <w:pPr>
        <w:rPr>
          <w:rFonts w:ascii="Arial" w:hAnsi="Arial" w:cs="Arial"/>
          <w:b/>
          <w:sz w:val="18"/>
          <w:szCs w:val="18"/>
          <w:lang w:val="en-US"/>
        </w:rPr>
      </w:pPr>
    </w:p>
    <w:tbl>
      <w:tblPr>
        <w:tblpPr w:leftFromText="180" w:rightFromText="180" w:vertAnchor="text" w:horzAnchor="page" w:tblpX="1886" w:tblpY="126"/>
        <w:tblW w:w="5261" w:type="dxa"/>
        <w:tblBorders>
          <w:insideH w:val="single" w:sz="4" w:space="0" w:color="auto"/>
          <w:insideV w:val="single" w:sz="4" w:space="0" w:color="auto"/>
        </w:tblBorders>
        <w:tblLook w:val="04A0" w:firstRow="1" w:lastRow="0" w:firstColumn="1" w:lastColumn="0" w:noHBand="0" w:noVBand="1"/>
      </w:tblPr>
      <w:tblGrid>
        <w:gridCol w:w="1437"/>
        <w:gridCol w:w="1839"/>
        <w:gridCol w:w="1985"/>
      </w:tblGrid>
      <w:tr w:rsidR="008A5057" w:rsidRPr="00BD295E" w14:paraId="2083D528" w14:textId="77777777" w:rsidTr="00162DD0">
        <w:trPr>
          <w:trHeight w:val="481"/>
        </w:trPr>
        <w:tc>
          <w:tcPr>
            <w:tcW w:w="1437" w:type="dxa"/>
            <w:hideMark/>
          </w:tcPr>
          <w:p w14:paraId="161CD3D3" w14:textId="77777777" w:rsidR="004C0056" w:rsidRPr="00BD295E" w:rsidRDefault="008A5057" w:rsidP="00162DD0">
            <w:pPr>
              <w:contextualSpacing/>
              <w:jc w:val="center"/>
              <w:rPr>
                <w:rFonts w:ascii="Arial" w:hAnsi="Arial" w:cs="Arial"/>
                <w:sz w:val="18"/>
                <w:szCs w:val="18"/>
                <w:lang w:val="en-US"/>
              </w:rPr>
            </w:pPr>
            <w:r w:rsidRPr="00BD295E">
              <w:rPr>
                <w:rFonts w:ascii="Arial" w:hAnsi="Arial" w:cs="Arial"/>
                <w:sz w:val="18"/>
                <w:szCs w:val="18"/>
                <w:lang w:val="en-US"/>
              </w:rPr>
              <w:t>1,323</w:t>
            </w:r>
          </w:p>
        </w:tc>
        <w:tc>
          <w:tcPr>
            <w:tcW w:w="1839" w:type="dxa"/>
            <w:hideMark/>
          </w:tcPr>
          <w:p w14:paraId="6AF6F78D" w14:textId="77777777" w:rsidR="004C0056" w:rsidRPr="00BD295E" w:rsidRDefault="008A5057" w:rsidP="00162DD0">
            <w:pPr>
              <w:contextualSpacing/>
              <w:jc w:val="center"/>
              <w:rPr>
                <w:rFonts w:ascii="Arial" w:hAnsi="Arial" w:cs="Arial"/>
                <w:sz w:val="18"/>
                <w:szCs w:val="18"/>
                <w:lang w:val="en-US"/>
              </w:rPr>
            </w:pPr>
            <w:r w:rsidRPr="00BD295E">
              <w:rPr>
                <w:rFonts w:ascii="Arial" w:hAnsi="Arial" w:cs="Arial"/>
                <w:sz w:val="18"/>
                <w:szCs w:val="18"/>
                <w:lang w:val="en-US"/>
              </w:rPr>
              <w:t>1,566</w:t>
            </w:r>
          </w:p>
        </w:tc>
        <w:tc>
          <w:tcPr>
            <w:tcW w:w="1985" w:type="dxa"/>
            <w:hideMark/>
          </w:tcPr>
          <w:p w14:paraId="1F83DB61" w14:textId="77777777" w:rsidR="004C0056" w:rsidRPr="00BD295E" w:rsidRDefault="008A5057" w:rsidP="00162DD0">
            <w:pPr>
              <w:contextualSpacing/>
              <w:jc w:val="center"/>
              <w:rPr>
                <w:rFonts w:ascii="Arial" w:hAnsi="Arial" w:cs="Arial"/>
                <w:sz w:val="18"/>
                <w:szCs w:val="18"/>
                <w:lang w:val="en-US"/>
              </w:rPr>
            </w:pPr>
            <w:r w:rsidRPr="00BD295E">
              <w:rPr>
                <w:rFonts w:ascii="Arial" w:hAnsi="Arial" w:cs="Arial"/>
                <w:sz w:val="18"/>
                <w:szCs w:val="18"/>
                <w:lang w:val="en-US"/>
              </w:rPr>
              <w:t>3,185</w:t>
            </w:r>
          </w:p>
        </w:tc>
      </w:tr>
    </w:tbl>
    <w:p w14:paraId="7C952CDB" w14:textId="77777777" w:rsidR="004C0056" w:rsidRPr="00BD295E" w:rsidRDefault="004C0056" w:rsidP="004C0056">
      <w:pPr>
        <w:contextualSpacing/>
        <w:rPr>
          <w:rFonts w:ascii="Arial" w:hAnsi="Arial" w:cs="Arial"/>
          <w:sz w:val="18"/>
          <w:szCs w:val="18"/>
          <w:lang w:val="en-US"/>
        </w:rPr>
      </w:pPr>
    </w:p>
    <w:p w14:paraId="01E6B8C9" w14:textId="77777777" w:rsidR="004C0056" w:rsidRPr="00BD295E" w:rsidRDefault="004C0056" w:rsidP="004C0056">
      <w:pPr>
        <w:contextualSpacing/>
        <w:rPr>
          <w:rFonts w:ascii="Arial" w:hAnsi="Arial" w:cs="Arial"/>
          <w:sz w:val="18"/>
          <w:szCs w:val="18"/>
          <w:lang w:val="en-US"/>
        </w:rPr>
      </w:pPr>
    </w:p>
    <w:p w14:paraId="0B4BA7CD" w14:textId="77777777" w:rsidR="004C0056" w:rsidRPr="00BD295E" w:rsidRDefault="004C0056" w:rsidP="004C0056">
      <w:pPr>
        <w:tabs>
          <w:tab w:val="left" w:pos="709"/>
          <w:tab w:val="left" w:pos="851"/>
        </w:tabs>
        <w:jc w:val="both"/>
        <w:rPr>
          <w:rFonts w:ascii="Arial" w:hAnsi="Arial" w:cs="Arial"/>
          <w:sz w:val="18"/>
          <w:szCs w:val="18"/>
          <w:lang w:val="en-US"/>
        </w:rPr>
      </w:pPr>
    </w:p>
    <w:p w14:paraId="70712077" w14:textId="51F3ECD3" w:rsidR="004C0056" w:rsidRPr="00BD295E" w:rsidRDefault="00997D07" w:rsidP="004C0056">
      <w:pPr>
        <w:tabs>
          <w:tab w:val="left" w:pos="709"/>
          <w:tab w:val="left" w:pos="851"/>
        </w:tabs>
        <w:jc w:val="both"/>
        <w:rPr>
          <w:rFonts w:ascii="Arial" w:hAnsi="Arial" w:cs="Arial"/>
          <w:sz w:val="18"/>
          <w:szCs w:val="18"/>
          <w:lang w:val="en-US"/>
        </w:rPr>
      </w:pPr>
      <w:bookmarkStart w:id="369" w:name="_Hlk95936431"/>
      <w:r w:rsidRPr="00BD295E">
        <w:rPr>
          <w:rFonts w:ascii="Arial" w:hAnsi="Arial" w:cs="Arial"/>
          <w:sz w:val="18"/>
          <w:szCs w:val="18"/>
          <w:lang w:val="en-US" w:eastAsia="en-US"/>
        </w:rPr>
        <w:drawing>
          <wp:inline distT="0" distB="0" distL="0" distR="0" wp14:anchorId="20968037" wp14:editId="0404DAEA">
            <wp:extent cx="5186680" cy="2433955"/>
            <wp:effectExtent l="0" t="0" r="0" b="0"/>
            <wp:docPr id="6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bookmarkEnd w:id="369"/>
    </w:p>
    <w:p w14:paraId="7AB8D9B1" w14:textId="77777777" w:rsidR="004C0056" w:rsidRPr="00BD295E" w:rsidRDefault="004C0056" w:rsidP="004C0056">
      <w:pPr>
        <w:tabs>
          <w:tab w:val="left" w:pos="709"/>
          <w:tab w:val="left" w:pos="851"/>
        </w:tabs>
        <w:jc w:val="both"/>
        <w:rPr>
          <w:rFonts w:ascii="Arial" w:hAnsi="Arial" w:cs="Arial"/>
          <w:sz w:val="18"/>
          <w:szCs w:val="18"/>
          <w:lang w:val="en-US"/>
        </w:rPr>
      </w:pPr>
    </w:p>
    <w:p w14:paraId="20845D9A" w14:textId="77777777" w:rsidR="004C0056" w:rsidRPr="00BD295E" w:rsidRDefault="008A5057" w:rsidP="009427FD">
      <w:pPr>
        <w:pStyle w:val="afe"/>
        <w:ind w:firstLine="0"/>
        <w:jc w:val="both"/>
        <w:rPr>
          <w:rFonts w:ascii="Arial" w:hAnsi="Arial" w:cs="Arial"/>
          <w:sz w:val="18"/>
          <w:szCs w:val="18"/>
          <w:lang w:val="en-US"/>
        </w:rPr>
      </w:pPr>
      <w:r w:rsidRPr="00BD295E">
        <w:rPr>
          <w:rFonts w:ascii="Arial" w:hAnsi="Arial" w:cs="Arial"/>
          <w:sz w:val="18"/>
          <w:szCs w:val="18"/>
          <w:lang w:val="en-US"/>
        </w:rPr>
        <w:t>In 2018, RUB 3,185 million were spent under the Maintenance and Repair Program, including RUB 2,068.0 million for insourced repairs and RUB 1,117 million for outsourced repairs.</w:t>
      </w:r>
    </w:p>
    <w:p w14:paraId="1107B1FE" w14:textId="77777777" w:rsidR="004C0056" w:rsidRPr="00BD295E" w:rsidRDefault="008A5057" w:rsidP="009427FD">
      <w:pPr>
        <w:pStyle w:val="afe"/>
        <w:ind w:firstLine="0"/>
        <w:jc w:val="both"/>
        <w:rPr>
          <w:rFonts w:ascii="Arial" w:hAnsi="Arial" w:cs="Arial"/>
          <w:sz w:val="18"/>
          <w:szCs w:val="18"/>
          <w:lang w:val="en-US"/>
        </w:rPr>
      </w:pPr>
      <w:r w:rsidRPr="00BD295E">
        <w:rPr>
          <w:rFonts w:ascii="Arial" w:hAnsi="Arial" w:cs="Arial"/>
          <w:sz w:val="18"/>
          <w:szCs w:val="18"/>
          <w:lang w:val="en-US"/>
        </w:rPr>
        <w:t xml:space="preserve"> In 2018, maintenance and repair costs increased by 103% as compared to 2017 and by 140% as compared to 2016. The increase in costs in 2018 was due to changes in the Company's accounting policy, with insourced and outsourced maintenance and repairs accounted for separately.</w:t>
      </w:r>
    </w:p>
    <w:p w14:paraId="6F4416F7" w14:textId="77777777" w:rsidR="004C0056" w:rsidRPr="00BD295E" w:rsidRDefault="008A5057" w:rsidP="009427FD">
      <w:pPr>
        <w:pStyle w:val="afe"/>
        <w:ind w:firstLine="0"/>
        <w:jc w:val="both"/>
        <w:rPr>
          <w:rFonts w:ascii="Arial" w:hAnsi="Arial" w:cs="Arial"/>
          <w:sz w:val="18"/>
          <w:szCs w:val="18"/>
          <w:lang w:val="en-US"/>
        </w:rPr>
      </w:pPr>
      <w:r w:rsidRPr="00BD295E">
        <w:rPr>
          <w:rFonts w:ascii="Arial" w:hAnsi="Arial" w:cs="Arial"/>
          <w:sz w:val="18"/>
          <w:szCs w:val="18"/>
          <w:lang w:val="en-US"/>
        </w:rPr>
        <w:t xml:space="preserve">The share and amount of insourced maintenance and repairs have been steadily growing as compared to outsourced maintenance and repairs. In 2018, costs for insourced maintenance and repair grew by 368% and 355% compared to 2016 and 2017, respectively. The increase in insourced maintenance and repair is due to a new approach to its accounting, as well as the growth in consumer prices and a certain increase in the number of in-house personnel amid the growth in the amount of equipment owned by the Company. </w:t>
      </w:r>
    </w:p>
    <w:p w14:paraId="2231FCB1" w14:textId="77777777" w:rsidR="00FD1F0A" w:rsidRPr="00BD295E" w:rsidRDefault="008A5057" w:rsidP="009427FD">
      <w:pPr>
        <w:jc w:val="both"/>
        <w:rPr>
          <w:rFonts w:ascii="Arial" w:hAnsi="Arial" w:cs="Arial"/>
          <w:sz w:val="18"/>
          <w:szCs w:val="18"/>
          <w:lang w:val="en-US"/>
        </w:rPr>
      </w:pPr>
      <w:r w:rsidRPr="00BD295E">
        <w:rPr>
          <w:rFonts w:ascii="Arial" w:hAnsi="Arial" w:cs="Arial"/>
          <w:sz w:val="18"/>
          <w:szCs w:val="18"/>
          <w:lang w:val="en-US"/>
        </w:rPr>
        <w:t>Outsourced maintenance and repair costs also increased by 0.5% compared to 2017 and by 27% compared to 2016. The increase in costs was also driven by emergency repair as well as by repair of leased equipment.</w:t>
      </w:r>
      <w:r w:rsidRPr="00BD295E">
        <w:rPr>
          <w:rFonts w:ascii="Arial" w:hAnsi="Arial" w:cs="Arial"/>
          <w:sz w:val="18"/>
          <w:szCs w:val="18"/>
          <w:lang w:val="en-US"/>
        </w:rPr>
        <w:br w:type="page"/>
      </w:r>
    </w:p>
    <w:p w14:paraId="72B7C89F" w14:textId="77777777" w:rsidR="00FD1F0A" w:rsidRPr="00BD295E" w:rsidRDefault="008A5057" w:rsidP="00504C8A">
      <w:pPr>
        <w:keepNext/>
        <w:ind w:firstLine="118"/>
        <w:jc w:val="both"/>
        <w:outlineLvl w:val="1"/>
        <w:rPr>
          <w:rFonts w:ascii="Arial" w:hAnsi="Arial" w:cs="Arial"/>
          <w:b/>
          <w:sz w:val="18"/>
          <w:szCs w:val="18"/>
          <w:lang w:val="en-US"/>
        </w:rPr>
      </w:pPr>
      <w:bookmarkStart w:id="370" w:name="_Toc509493400"/>
      <w:bookmarkStart w:id="371" w:name="_Toc509497964"/>
      <w:bookmarkStart w:id="372" w:name="_Toc509581266"/>
      <w:bookmarkStart w:id="373" w:name="_Toc510452230"/>
      <w:bookmarkStart w:id="374" w:name="_Toc5027019"/>
      <w:bookmarkStart w:id="375" w:name="_Toc5105978"/>
      <w:bookmarkStart w:id="376" w:name="_Toc5203831"/>
      <w:bookmarkStart w:id="377" w:name="_Toc6230928"/>
      <w:bookmarkStart w:id="378" w:name="_Toc7172576"/>
      <w:bookmarkStart w:id="379" w:name="_Toc7172622"/>
      <w:bookmarkStart w:id="380" w:name="_Toc95855297"/>
      <w:bookmarkStart w:id="381" w:name="_Toc95935356"/>
      <w:r w:rsidRPr="00BD295E">
        <w:rPr>
          <w:rFonts w:ascii="Arial" w:hAnsi="Arial" w:cs="Arial"/>
          <w:b/>
          <w:sz w:val="18"/>
          <w:szCs w:val="18"/>
          <w:lang w:val="en-US"/>
        </w:rPr>
        <w:t>SECTION 4. CORPORATE GOVERNANCE</w:t>
      </w:r>
      <w:bookmarkEnd w:id="370"/>
      <w:bookmarkEnd w:id="371"/>
      <w:bookmarkEnd w:id="372"/>
      <w:bookmarkEnd w:id="373"/>
      <w:bookmarkEnd w:id="374"/>
      <w:bookmarkEnd w:id="375"/>
      <w:bookmarkEnd w:id="376"/>
      <w:bookmarkEnd w:id="377"/>
      <w:bookmarkEnd w:id="378"/>
      <w:bookmarkEnd w:id="379"/>
      <w:bookmarkEnd w:id="380"/>
      <w:bookmarkEnd w:id="381"/>
      <w:r w:rsidRPr="00BD295E">
        <w:rPr>
          <w:rFonts w:ascii="Arial" w:hAnsi="Arial" w:cs="Arial"/>
          <w:b/>
          <w:sz w:val="18"/>
          <w:szCs w:val="18"/>
          <w:lang w:val="en-US"/>
        </w:rPr>
        <w:t xml:space="preserve"> </w:t>
      </w:r>
    </w:p>
    <w:p w14:paraId="0F98700E" w14:textId="77777777" w:rsidR="00DB2DAC" w:rsidRPr="00BD295E" w:rsidRDefault="00DB2DAC" w:rsidP="00DB2DAC">
      <w:pPr>
        <w:ind w:firstLine="709"/>
        <w:rPr>
          <w:rFonts w:ascii="Arial" w:hAnsi="Arial" w:cs="Arial"/>
          <w:sz w:val="18"/>
          <w:szCs w:val="18"/>
          <w:lang w:val="en-US"/>
        </w:rPr>
      </w:pPr>
    </w:p>
    <w:p w14:paraId="660F78F7" w14:textId="77777777" w:rsidR="00DB2DAC" w:rsidRPr="00BD295E" w:rsidRDefault="008A5057" w:rsidP="006614B1">
      <w:pPr>
        <w:keepNext/>
        <w:numPr>
          <w:ilvl w:val="0"/>
          <w:numId w:val="9"/>
        </w:numPr>
        <w:ind w:left="0" w:firstLine="567"/>
        <w:jc w:val="both"/>
        <w:outlineLvl w:val="1"/>
        <w:rPr>
          <w:rFonts w:ascii="Arial" w:hAnsi="Arial" w:cs="Arial"/>
          <w:b/>
          <w:sz w:val="18"/>
          <w:szCs w:val="18"/>
          <w:lang w:val="en-US"/>
        </w:rPr>
      </w:pPr>
      <w:bookmarkStart w:id="382" w:name="_Toc482956840"/>
      <w:bookmarkStart w:id="383" w:name="_Toc509493401"/>
      <w:bookmarkStart w:id="384" w:name="_Toc509497965"/>
      <w:bookmarkStart w:id="385" w:name="_Toc509581267"/>
      <w:bookmarkStart w:id="386" w:name="_Toc510452231"/>
      <w:bookmarkStart w:id="387" w:name="_Toc5027020"/>
      <w:bookmarkStart w:id="388" w:name="_Toc5105979"/>
      <w:bookmarkStart w:id="389" w:name="_Toc5203832"/>
      <w:bookmarkStart w:id="390" w:name="_Toc6230929"/>
      <w:bookmarkStart w:id="391" w:name="_Toc7172577"/>
      <w:bookmarkStart w:id="392" w:name="_Toc7172623"/>
      <w:bookmarkStart w:id="393" w:name="_Toc95855298"/>
      <w:bookmarkStart w:id="394" w:name="_Toc95935357"/>
      <w:r w:rsidRPr="00BD295E">
        <w:rPr>
          <w:rFonts w:ascii="Arial" w:hAnsi="Arial" w:cs="Arial"/>
          <w:b/>
          <w:sz w:val="18"/>
          <w:szCs w:val="18"/>
          <w:lang w:val="en-US"/>
        </w:rPr>
        <w:t>Corporate Governance</w:t>
      </w:r>
      <w:bookmarkEnd w:id="382"/>
      <w:bookmarkEnd w:id="383"/>
      <w:bookmarkEnd w:id="384"/>
      <w:bookmarkEnd w:id="385"/>
      <w:bookmarkEnd w:id="386"/>
      <w:bookmarkEnd w:id="387"/>
      <w:bookmarkEnd w:id="388"/>
      <w:bookmarkEnd w:id="389"/>
      <w:bookmarkEnd w:id="390"/>
      <w:bookmarkEnd w:id="391"/>
      <w:bookmarkEnd w:id="392"/>
      <w:bookmarkEnd w:id="393"/>
      <w:bookmarkEnd w:id="394"/>
    </w:p>
    <w:p w14:paraId="7AA07830" w14:textId="77777777" w:rsidR="002C1E76" w:rsidRPr="00BD295E" w:rsidRDefault="002C1E76" w:rsidP="009427FD">
      <w:pPr>
        <w:tabs>
          <w:tab w:val="num" w:pos="540"/>
        </w:tabs>
        <w:jc w:val="both"/>
        <w:rPr>
          <w:rFonts w:ascii="Arial" w:eastAsia="Calibri" w:hAnsi="Arial" w:cs="Arial"/>
          <w:sz w:val="18"/>
          <w:szCs w:val="18"/>
          <w:lang w:val="en-US" w:eastAsia="en-US"/>
        </w:rPr>
      </w:pPr>
    </w:p>
    <w:p w14:paraId="792FCF2E" w14:textId="77777777" w:rsidR="00F3260C" w:rsidRPr="00BD295E" w:rsidRDefault="008A5057" w:rsidP="009427FD">
      <w:pPr>
        <w:tabs>
          <w:tab w:val="num" w:pos="540"/>
        </w:tabs>
        <w:jc w:val="both"/>
        <w:rPr>
          <w:rFonts w:ascii="Arial" w:eastAsia="Calibri" w:hAnsi="Arial" w:cs="Arial"/>
          <w:sz w:val="18"/>
          <w:szCs w:val="18"/>
          <w:lang w:val="en-US"/>
        </w:rPr>
      </w:pPr>
      <w:r w:rsidRPr="00BD295E">
        <w:rPr>
          <w:rFonts w:ascii="Arial" w:hAnsi="Arial" w:cs="Arial"/>
          <w:sz w:val="18"/>
          <w:szCs w:val="18"/>
          <w:lang w:val="en-US"/>
        </w:rPr>
        <w:t xml:space="preserve">The most important element of the Company’s governance includes a system of ensuring compliance with the legislation, industry standards, as well as requirements for the activities of </w:t>
      </w:r>
      <w:r w:rsidR="00101C37" w:rsidRPr="00BD295E">
        <w:rPr>
          <w:rFonts w:ascii="Arial" w:hAnsi="Arial" w:cs="Arial"/>
          <w:sz w:val="18"/>
          <w:szCs w:val="18"/>
          <w:lang w:val="en-US"/>
        </w:rPr>
        <w:t>governing and control</w:t>
      </w:r>
      <w:r w:rsidRPr="00BD295E">
        <w:rPr>
          <w:rFonts w:ascii="Arial" w:hAnsi="Arial" w:cs="Arial"/>
          <w:sz w:val="18"/>
          <w:szCs w:val="18"/>
          <w:lang w:val="en-US"/>
        </w:rPr>
        <w:t xml:space="preserve"> bodies as outlined in internal regulations, which can be found on the Company’s website.</w:t>
      </w:r>
    </w:p>
    <w:p w14:paraId="3A2C20C1" w14:textId="77777777" w:rsidR="00F3260C" w:rsidRPr="00BD295E" w:rsidRDefault="008A5057" w:rsidP="009427FD">
      <w:pPr>
        <w:tabs>
          <w:tab w:val="num" w:pos="540"/>
        </w:tabs>
        <w:jc w:val="both"/>
        <w:rPr>
          <w:rFonts w:ascii="Arial" w:hAnsi="Arial" w:cs="Arial"/>
          <w:sz w:val="18"/>
          <w:szCs w:val="18"/>
          <w:lang w:val="en-US"/>
        </w:rPr>
      </w:pPr>
      <w:r w:rsidRPr="00BD295E">
        <w:rPr>
          <w:rFonts w:ascii="Arial" w:hAnsi="Arial" w:cs="Arial"/>
          <w:sz w:val="18"/>
          <w:szCs w:val="18"/>
          <w:lang w:val="en-US"/>
        </w:rPr>
        <w:t>Committed to customized approach in its engagements with all shareholders, the Company aims to fully respect their rights, including by ensuring that shareholders and investors can make informed decisions based on complete, relevant, and reliable information about its activities, which the Company provides in a timely manner.</w:t>
      </w:r>
    </w:p>
    <w:p w14:paraId="49F16E7E" w14:textId="77777777" w:rsidR="00F3260C" w:rsidRPr="00BD295E" w:rsidRDefault="008A5057" w:rsidP="009427FD">
      <w:pPr>
        <w:autoSpaceDE w:val="0"/>
        <w:autoSpaceDN w:val="0"/>
        <w:adjustRightInd w:val="0"/>
        <w:spacing w:line="181" w:lineRule="atLeast"/>
        <w:jc w:val="both"/>
        <w:rPr>
          <w:rFonts w:ascii="Arial" w:eastAsia="Calibri" w:hAnsi="Arial" w:cs="Arial"/>
          <w:sz w:val="18"/>
          <w:szCs w:val="18"/>
          <w:lang w:val="en-US"/>
        </w:rPr>
      </w:pPr>
      <w:r w:rsidRPr="00BD295E">
        <w:rPr>
          <w:rFonts w:ascii="Arial" w:hAnsi="Arial" w:cs="Arial"/>
          <w:sz w:val="18"/>
          <w:szCs w:val="18"/>
          <w:lang w:val="en-US"/>
        </w:rPr>
        <w:t>The Company’s Board of Directors, whose independence guarantees successful achievement of its strategic goals, plays the key role in the Company’s corporate governance system.</w:t>
      </w:r>
    </w:p>
    <w:p w14:paraId="4E28C492" w14:textId="77777777" w:rsidR="00F3260C" w:rsidRPr="00BD295E" w:rsidRDefault="008A5057" w:rsidP="009427FD">
      <w:pPr>
        <w:autoSpaceDE w:val="0"/>
        <w:autoSpaceDN w:val="0"/>
        <w:adjustRightInd w:val="0"/>
        <w:spacing w:line="181" w:lineRule="atLeast"/>
        <w:jc w:val="both"/>
        <w:rPr>
          <w:rFonts w:ascii="Arial" w:hAnsi="Arial" w:cs="Arial"/>
          <w:sz w:val="18"/>
          <w:szCs w:val="18"/>
          <w:lang w:val="en-US"/>
        </w:rPr>
      </w:pPr>
      <w:r w:rsidRPr="00BD295E">
        <w:rPr>
          <w:rFonts w:ascii="Arial" w:hAnsi="Arial" w:cs="Arial"/>
          <w:sz w:val="18"/>
          <w:szCs w:val="18"/>
          <w:lang w:val="en-US"/>
        </w:rPr>
        <w:t xml:space="preserve">With regard to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as well as other legal entities, in which the Company is a shareholder, founder, or member, the Company adheres to its corporate-wide policy based on uniform principles of corporate governance. </w:t>
      </w:r>
    </w:p>
    <w:p w14:paraId="0D09E4FE" w14:textId="77777777" w:rsidR="00F3260C" w:rsidRPr="00BD295E" w:rsidRDefault="00F3260C" w:rsidP="009427FD">
      <w:pPr>
        <w:autoSpaceDE w:val="0"/>
        <w:autoSpaceDN w:val="0"/>
        <w:adjustRightInd w:val="0"/>
        <w:rPr>
          <w:rFonts w:ascii="Arial" w:eastAsia="Calibri" w:hAnsi="Arial" w:cs="Arial"/>
          <w:sz w:val="18"/>
          <w:szCs w:val="18"/>
          <w:lang w:val="en-US" w:eastAsia="en-US"/>
        </w:rPr>
      </w:pPr>
    </w:p>
    <w:p w14:paraId="4FA2907B" w14:textId="77777777" w:rsidR="00F3260C" w:rsidRPr="00BD295E" w:rsidRDefault="008A5057" w:rsidP="009427FD">
      <w:pPr>
        <w:autoSpaceDE w:val="0"/>
        <w:autoSpaceDN w:val="0"/>
        <w:adjustRightInd w:val="0"/>
        <w:rPr>
          <w:rFonts w:ascii="Arial" w:eastAsia="Calibri" w:hAnsi="Arial" w:cs="Arial"/>
          <w:sz w:val="18"/>
          <w:szCs w:val="18"/>
          <w:lang w:val="en-US"/>
        </w:rPr>
      </w:pPr>
      <w:r w:rsidRPr="00BD295E">
        <w:rPr>
          <w:rFonts w:ascii="Arial" w:hAnsi="Arial" w:cs="Arial"/>
          <w:sz w:val="18"/>
          <w:szCs w:val="18"/>
          <w:lang w:val="en-US"/>
        </w:rPr>
        <w:t xml:space="preserve">Corporate governance at the Company is based on the following basic principles: </w:t>
      </w:r>
    </w:p>
    <w:p w14:paraId="2A8D9EF8" w14:textId="77777777" w:rsidR="00F3260C" w:rsidRPr="00BD295E" w:rsidRDefault="008A5057" w:rsidP="00CA2271">
      <w:pPr>
        <w:pStyle w:val="af3"/>
        <w:numPr>
          <w:ilvl w:val="0"/>
          <w:numId w:val="46"/>
        </w:numPr>
        <w:autoSpaceDE w:val="0"/>
        <w:autoSpaceDN w:val="0"/>
        <w:adjustRightInd w:val="0"/>
        <w:contextualSpacing w:val="0"/>
        <w:jc w:val="both"/>
        <w:rPr>
          <w:rFonts w:ascii="Arial" w:hAnsi="Arial" w:cs="Arial"/>
          <w:sz w:val="18"/>
          <w:szCs w:val="18"/>
          <w:lang w:val="en-US"/>
        </w:rPr>
      </w:pPr>
      <w:r w:rsidRPr="00BD295E">
        <w:rPr>
          <w:rFonts w:ascii="Arial" w:hAnsi="Arial" w:cs="Arial"/>
          <w:sz w:val="18"/>
          <w:szCs w:val="18"/>
          <w:lang w:val="en-US"/>
        </w:rPr>
        <w:t>ensuring fair and equitable treatment of all shareholders in exercising their corporate governance right;</w:t>
      </w:r>
    </w:p>
    <w:p w14:paraId="1618533B"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providing shareholders with equal and fair opportunities to share profits of the Company as dividends;</w:t>
      </w:r>
    </w:p>
    <w:p w14:paraId="3E3DCEAF"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ensuring an equal playground for all shareholders owning shares of the same class (type), including minority and non-resident shareholders, as well as their equal treatment by the Company;</w:t>
      </w:r>
    </w:p>
    <w:p w14:paraId="642ED7A7"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providing reliable and effective means of recording their rights to shares and ability to freely dispose of their shares without any hindrance;</w:t>
      </w:r>
    </w:p>
    <w:p w14:paraId="741417D4"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the Board of Directors providing strategic management of the Company, determining key principles of, and approaches to, setting up a corporate risk management and internal control framework, monitoring performance by the Company’s executive bodies, and performing other key functions;</w:t>
      </w:r>
    </w:p>
    <w:p w14:paraId="41E30B03"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accountability of the Board of Directors to Company shareholders;</w:t>
      </w:r>
    </w:p>
    <w:p w14:paraId="3E2A5A9E"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the Company’s corporate secretary ensuring efficient ongoing interaction with shareholders, coordinating the Company’s efforts to protect shareholder rights and interests, and supporting efficient performance of the Board of Directors;</w:t>
      </w:r>
    </w:p>
    <w:p w14:paraId="79E321C8"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building an effective risk management and internal control system at the Company providing reasonable assurance in the achievement of the Company’s goals;</w:t>
      </w:r>
    </w:p>
    <w:p w14:paraId="1993F350"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ensuring the transparency of the Company’s operations for its shareholders, investors, and other stakeholders;</w:t>
      </w:r>
    </w:p>
    <w:p w14:paraId="5BEA0F10"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timely disclosure of complete, up-to-date and reliable information about the Company in order to ensure that the Company's shareholders and investors have the opportunity to make informed decisions;</w:t>
      </w:r>
    </w:p>
    <w:p w14:paraId="3D50D232" w14:textId="77777777" w:rsidR="00F3260C" w:rsidRPr="00BD295E" w:rsidRDefault="008A5057" w:rsidP="00CA2271">
      <w:pPr>
        <w:pStyle w:val="af3"/>
        <w:numPr>
          <w:ilvl w:val="0"/>
          <w:numId w:val="46"/>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performing material corporate actions in such a way as to ensure that shareholders timely receive complete information about such actions, allowing them to influence such actions and guaranteeing adequate protection of their rights when performing such actions.</w:t>
      </w:r>
    </w:p>
    <w:p w14:paraId="609CABE4" w14:textId="77777777" w:rsidR="00F3260C" w:rsidRPr="00BD295E" w:rsidRDefault="00F3260C" w:rsidP="00F3260C">
      <w:pPr>
        <w:autoSpaceDE w:val="0"/>
        <w:autoSpaceDN w:val="0"/>
        <w:adjustRightInd w:val="0"/>
        <w:jc w:val="both"/>
        <w:rPr>
          <w:rFonts w:ascii="Arial" w:hAnsi="Arial" w:cs="Arial"/>
          <w:sz w:val="18"/>
          <w:szCs w:val="18"/>
          <w:lang w:val="en-US"/>
        </w:rPr>
      </w:pPr>
    </w:p>
    <w:p w14:paraId="757B40F6" w14:textId="77777777" w:rsidR="00F3260C" w:rsidRPr="00BD295E" w:rsidRDefault="008A5057" w:rsidP="009427FD">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These principles enable the Company to ensure that the key elements of its corporate governance system develop in a sustained and consistent manner across all levels of hierarchical and organizational engagement within Rosseti Group. </w:t>
      </w:r>
    </w:p>
    <w:p w14:paraId="1478163B" w14:textId="77777777" w:rsidR="00F3260C" w:rsidRPr="00BD295E" w:rsidRDefault="00F3260C" w:rsidP="00F3260C">
      <w:pPr>
        <w:autoSpaceDE w:val="0"/>
        <w:autoSpaceDN w:val="0"/>
        <w:adjustRightInd w:val="0"/>
        <w:jc w:val="both"/>
        <w:rPr>
          <w:rFonts w:ascii="Arial" w:hAnsi="Arial" w:cs="Arial"/>
          <w:b/>
          <w:sz w:val="18"/>
          <w:szCs w:val="18"/>
          <w:lang w:val="en-US"/>
        </w:rPr>
      </w:pPr>
    </w:p>
    <w:p w14:paraId="5DF98875" w14:textId="77777777" w:rsidR="00F3260C" w:rsidRPr="00BD295E" w:rsidRDefault="008A5057" w:rsidP="00F3260C">
      <w:pPr>
        <w:autoSpaceDE w:val="0"/>
        <w:autoSpaceDN w:val="0"/>
        <w:adjustRightInd w:val="0"/>
        <w:jc w:val="both"/>
        <w:rPr>
          <w:rFonts w:ascii="Arial" w:hAnsi="Arial" w:cs="Arial"/>
          <w:b/>
          <w:sz w:val="18"/>
          <w:szCs w:val="18"/>
          <w:lang w:val="en-US"/>
        </w:rPr>
      </w:pPr>
      <w:r w:rsidRPr="00BD295E">
        <w:rPr>
          <w:rFonts w:ascii="Arial" w:hAnsi="Arial" w:cs="Arial"/>
          <w:b/>
          <w:sz w:val="18"/>
          <w:szCs w:val="18"/>
          <w:lang w:val="en-US"/>
        </w:rPr>
        <w:t xml:space="preserve">Corporate governance system </w:t>
      </w:r>
    </w:p>
    <w:p w14:paraId="48F4E518" w14:textId="77777777" w:rsidR="00F3260C" w:rsidRPr="00BD295E" w:rsidRDefault="008A5057" w:rsidP="00F3260C">
      <w:pPr>
        <w:tabs>
          <w:tab w:val="num" w:pos="540"/>
        </w:tabs>
        <w:ind w:firstLine="567"/>
        <w:jc w:val="both"/>
        <w:rPr>
          <w:rFonts w:ascii="Arial" w:eastAsia="Calibri" w:hAnsi="Arial" w:cs="Arial"/>
          <w:sz w:val="18"/>
          <w:szCs w:val="18"/>
          <w:lang w:val="en-US"/>
        </w:rPr>
      </w:pPr>
      <w:r w:rsidRPr="00BD295E">
        <w:rPr>
          <w:rFonts w:ascii="Arial" w:hAnsi="Arial" w:cs="Arial"/>
          <w:sz w:val="18"/>
          <w:szCs w:val="18"/>
          <w:lang w:val="en-US"/>
        </w:rPr>
        <w:t xml:space="preserve">The Company understands corporate governance as a range of processes that ensure governance and control over its activities and include engagements between shareholders, the Board of Directors, and the Company's executive bodies in the best interests of shareholders. </w:t>
      </w:r>
    </w:p>
    <w:p w14:paraId="76059578" w14:textId="77777777" w:rsidR="00F3260C" w:rsidRPr="00BD295E" w:rsidRDefault="00EE5753" w:rsidP="00F3260C">
      <w:pPr>
        <w:tabs>
          <w:tab w:val="num" w:pos="540"/>
        </w:tabs>
        <w:ind w:firstLine="567"/>
        <w:jc w:val="both"/>
        <w:rPr>
          <w:rFonts w:ascii="Arial" w:eastAsia="Calibri"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considers corporate governance as a means of increasing the efficiency of the Company’s activity, strengthening its reputation, and decreasing borrowing costs.</w:t>
      </w:r>
    </w:p>
    <w:p w14:paraId="4F440EEF" w14:textId="77777777" w:rsidR="00F3260C" w:rsidRPr="00BD295E" w:rsidRDefault="008A5057" w:rsidP="00F3260C">
      <w:pPr>
        <w:tabs>
          <w:tab w:val="num" w:pos="540"/>
        </w:tabs>
        <w:ind w:firstLine="567"/>
        <w:jc w:val="both"/>
        <w:rPr>
          <w:rFonts w:ascii="Arial" w:eastAsia="Calibri" w:hAnsi="Arial" w:cs="Arial"/>
          <w:sz w:val="18"/>
          <w:szCs w:val="18"/>
          <w:lang w:val="en-US"/>
        </w:rPr>
      </w:pPr>
      <w:r w:rsidRPr="00BD295E">
        <w:rPr>
          <w:rFonts w:ascii="Arial" w:hAnsi="Arial" w:cs="Arial"/>
          <w:sz w:val="18"/>
          <w:szCs w:val="18"/>
          <w:lang w:val="en-US"/>
        </w:rPr>
        <w:t>Specific structures, procedures, and practices of corporate governance are regulated by the Company’s Articles of Association and internal documents, including:</w:t>
      </w:r>
    </w:p>
    <w:p w14:paraId="00FDC7DC"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Regulations for the </w:t>
      </w:r>
      <w:r w:rsidR="0053339C" w:rsidRPr="00BD295E">
        <w:rPr>
          <w:rFonts w:ascii="Arial" w:hAnsi="Arial" w:cs="Arial"/>
          <w:b w:val="0"/>
          <w:i w:val="0"/>
          <w:sz w:val="18"/>
          <w:szCs w:val="18"/>
          <w:u w:val="none"/>
          <w:lang w:val="en-US"/>
        </w:rPr>
        <w:t>General Meeting</w:t>
      </w:r>
      <w:r w:rsidRPr="00BD295E">
        <w:rPr>
          <w:rFonts w:ascii="Arial" w:hAnsi="Arial" w:cs="Arial"/>
          <w:b w:val="0"/>
          <w:i w:val="0"/>
          <w:sz w:val="18"/>
          <w:szCs w:val="18"/>
          <w:u w:val="none"/>
          <w:lang w:val="en-US"/>
        </w:rPr>
        <w:t>;</w:t>
      </w:r>
    </w:p>
    <w:p w14:paraId="22E8FF04"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Regulations for the Board of Directors;</w:t>
      </w:r>
    </w:p>
    <w:p w14:paraId="5F8C09DB"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Regulations for the Management Board;</w:t>
      </w:r>
    </w:p>
    <w:p w14:paraId="1A62EDE4"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Regulations for the </w:t>
      </w:r>
      <w:r w:rsidR="00293DDA" w:rsidRPr="00BD295E">
        <w:rPr>
          <w:rFonts w:ascii="Arial" w:hAnsi="Arial" w:cs="Arial"/>
          <w:b w:val="0"/>
          <w:i w:val="0"/>
          <w:sz w:val="18"/>
          <w:szCs w:val="18"/>
          <w:u w:val="none"/>
          <w:lang w:val="en-US"/>
        </w:rPr>
        <w:t>Internal Audit Commission</w:t>
      </w:r>
      <w:r w:rsidRPr="00BD295E">
        <w:rPr>
          <w:rFonts w:ascii="Arial" w:hAnsi="Arial" w:cs="Arial"/>
          <w:b w:val="0"/>
          <w:i w:val="0"/>
          <w:sz w:val="18"/>
          <w:szCs w:val="18"/>
          <w:u w:val="none"/>
          <w:lang w:val="en-US"/>
        </w:rPr>
        <w:t>;</w:t>
      </w:r>
    </w:p>
    <w:p w14:paraId="604CFF05"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Regulations for the Board of Directors’ Remuneration and Compensation;</w:t>
      </w:r>
    </w:p>
    <w:p w14:paraId="04E04FB1"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Regulations for the </w:t>
      </w:r>
      <w:r w:rsidR="00293DDA" w:rsidRPr="00BD295E">
        <w:rPr>
          <w:rFonts w:ascii="Arial" w:hAnsi="Arial" w:cs="Arial"/>
          <w:b w:val="0"/>
          <w:i w:val="0"/>
          <w:sz w:val="18"/>
          <w:szCs w:val="18"/>
          <w:u w:val="none"/>
          <w:lang w:val="en-US"/>
        </w:rPr>
        <w:t>Internal Audit Commission</w:t>
      </w:r>
      <w:r w:rsidRPr="00BD295E">
        <w:rPr>
          <w:rFonts w:ascii="Arial" w:hAnsi="Arial" w:cs="Arial"/>
          <w:b w:val="0"/>
          <w:i w:val="0"/>
          <w:sz w:val="18"/>
          <w:szCs w:val="18"/>
          <w:u w:val="none"/>
          <w:lang w:val="en-US"/>
        </w:rPr>
        <w:t>’s Remuneration and Compensation;</w:t>
      </w:r>
    </w:p>
    <w:p w14:paraId="2C5DE9DB"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Regulations for the Strategy and Development Committee of the Board of Directors;</w:t>
      </w:r>
    </w:p>
    <w:p w14:paraId="29E14503"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Regulations for the Reliability Committee of the Board of Directors;</w:t>
      </w:r>
    </w:p>
    <w:p w14:paraId="42213E62"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Regulations for the Audit Committee of the Board of Directors;</w:t>
      </w:r>
    </w:p>
    <w:p w14:paraId="10631B95"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Regulations for the Nomination and Remuneration Committee of the Board of Directors;</w:t>
      </w:r>
    </w:p>
    <w:p w14:paraId="4525DEC6" w14:textId="77777777" w:rsidR="00F3260C" w:rsidRPr="00BD295E" w:rsidRDefault="008A5057" w:rsidP="00CA2271">
      <w:pPr>
        <w:pStyle w:val="220"/>
        <w:numPr>
          <w:ilvl w:val="1"/>
          <w:numId w:val="48"/>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Regulations for the Grid Connection Committee of the Board of Directors;</w:t>
      </w:r>
    </w:p>
    <w:p w14:paraId="58E01BE2" w14:textId="77777777" w:rsidR="00F3260C" w:rsidRPr="00BD295E" w:rsidRDefault="008A5057" w:rsidP="00CA2271">
      <w:pPr>
        <w:pStyle w:val="220"/>
        <w:widowControl w:val="0"/>
        <w:numPr>
          <w:ilvl w:val="0"/>
          <w:numId w:val="47"/>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Corporate Governance Code;</w:t>
      </w:r>
    </w:p>
    <w:p w14:paraId="289A91A8" w14:textId="77777777" w:rsidR="00F3260C" w:rsidRPr="00BD295E" w:rsidRDefault="008A5057" w:rsidP="00CA2271">
      <w:pPr>
        <w:pStyle w:val="220"/>
        <w:widowControl w:val="0"/>
        <w:numPr>
          <w:ilvl w:val="0"/>
          <w:numId w:val="47"/>
        </w:numPr>
        <w:ind w:left="568" w:right="284" w:hanging="284"/>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Regulations for Insider Information;</w:t>
      </w:r>
    </w:p>
    <w:p w14:paraId="4CD2AABB" w14:textId="77777777" w:rsidR="00F3260C" w:rsidRPr="00BD295E" w:rsidRDefault="008A5057" w:rsidP="00CA2271">
      <w:pPr>
        <w:pStyle w:val="311"/>
        <w:widowControl w:val="0"/>
        <w:numPr>
          <w:ilvl w:val="0"/>
          <w:numId w:val="47"/>
        </w:numPr>
        <w:spacing w:after="0"/>
        <w:ind w:left="568" w:right="284" w:hanging="284"/>
        <w:jc w:val="both"/>
        <w:rPr>
          <w:rFonts w:ascii="Arial" w:hAnsi="Arial" w:cs="Arial"/>
          <w:sz w:val="18"/>
          <w:szCs w:val="18"/>
          <w:lang w:val="en-US"/>
        </w:rPr>
      </w:pPr>
      <w:r w:rsidRPr="00BD295E">
        <w:rPr>
          <w:rFonts w:ascii="Arial" w:hAnsi="Arial" w:cs="Arial"/>
          <w:sz w:val="18"/>
          <w:szCs w:val="18"/>
          <w:lang w:val="en-US"/>
        </w:rPr>
        <w:t>Regulations for the Information Policy;</w:t>
      </w:r>
    </w:p>
    <w:p w14:paraId="48EC9376" w14:textId="77777777" w:rsidR="00F3260C" w:rsidRPr="00BD295E" w:rsidRDefault="008A5057" w:rsidP="00CA2271">
      <w:pPr>
        <w:pStyle w:val="311"/>
        <w:widowControl w:val="0"/>
        <w:numPr>
          <w:ilvl w:val="0"/>
          <w:numId w:val="47"/>
        </w:numPr>
        <w:spacing w:after="0"/>
        <w:ind w:left="568" w:right="284" w:hanging="284"/>
        <w:jc w:val="both"/>
        <w:rPr>
          <w:rFonts w:ascii="Arial" w:hAnsi="Arial" w:cs="Arial"/>
          <w:sz w:val="18"/>
          <w:szCs w:val="18"/>
          <w:lang w:val="en-US"/>
        </w:rPr>
      </w:pPr>
      <w:r w:rsidRPr="00BD295E">
        <w:rPr>
          <w:rFonts w:ascii="Arial" w:hAnsi="Arial" w:cs="Arial"/>
          <w:sz w:val="18"/>
          <w:szCs w:val="18"/>
          <w:lang w:val="en-US"/>
        </w:rPr>
        <w:t>Risk Management Policy;</w:t>
      </w:r>
    </w:p>
    <w:p w14:paraId="36E1F34E" w14:textId="77777777" w:rsidR="00F3260C" w:rsidRPr="00BD295E" w:rsidRDefault="008A5057" w:rsidP="00CA2271">
      <w:pPr>
        <w:pStyle w:val="311"/>
        <w:widowControl w:val="0"/>
        <w:numPr>
          <w:ilvl w:val="0"/>
          <w:numId w:val="47"/>
        </w:numPr>
        <w:spacing w:after="0"/>
        <w:ind w:left="568" w:right="284" w:hanging="284"/>
        <w:jc w:val="both"/>
        <w:rPr>
          <w:rFonts w:ascii="Arial" w:hAnsi="Arial" w:cs="Arial"/>
          <w:sz w:val="18"/>
          <w:szCs w:val="18"/>
          <w:lang w:val="en-US"/>
        </w:rPr>
      </w:pPr>
      <w:r w:rsidRPr="00BD295E">
        <w:rPr>
          <w:rFonts w:ascii="Arial" w:hAnsi="Arial" w:cs="Arial"/>
          <w:sz w:val="18"/>
          <w:szCs w:val="18"/>
          <w:lang w:val="en-US"/>
        </w:rPr>
        <w:t>Internal Audit Policy;</w:t>
      </w:r>
    </w:p>
    <w:p w14:paraId="153FBE39" w14:textId="77777777" w:rsidR="00F3260C" w:rsidRPr="00BD295E" w:rsidRDefault="008A5057" w:rsidP="00CA2271">
      <w:pPr>
        <w:pStyle w:val="311"/>
        <w:widowControl w:val="0"/>
        <w:numPr>
          <w:ilvl w:val="0"/>
          <w:numId w:val="47"/>
        </w:numPr>
        <w:spacing w:after="0"/>
        <w:ind w:left="568" w:right="284" w:hanging="284"/>
        <w:jc w:val="both"/>
        <w:rPr>
          <w:rFonts w:ascii="Arial" w:hAnsi="Arial" w:cs="Arial"/>
          <w:sz w:val="18"/>
          <w:szCs w:val="18"/>
          <w:lang w:val="en-US"/>
        </w:rPr>
      </w:pPr>
      <w:r w:rsidRPr="00BD295E">
        <w:rPr>
          <w:rFonts w:ascii="Arial" w:hAnsi="Arial" w:cs="Arial"/>
          <w:sz w:val="18"/>
          <w:szCs w:val="18"/>
          <w:lang w:val="en-US"/>
        </w:rPr>
        <w:t>Internal Control Policy;</w:t>
      </w:r>
    </w:p>
    <w:p w14:paraId="49713DBD" w14:textId="77777777" w:rsidR="00F3260C" w:rsidRPr="00BD295E" w:rsidRDefault="00F3260C" w:rsidP="00F3260C">
      <w:pPr>
        <w:autoSpaceDE w:val="0"/>
        <w:autoSpaceDN w:val="0"/>
        <w:adjustRightInd w:val="0"/>
        <w:ind w:right="284" w:hanging="284"/>
        <w:jc w:val="both"/>
        <w:rPr>
          <w:rFonts w:ascii="Arial" w:eastAsia="Calibri" w:hAnsi="Arial" w:cs="Arial"/>
          <w:sz w:val="18"/>
          <w:szCs w:val="18"/>
          <w:lang w:val="en-US" w:eastAsia="en-US"/>
        </w:rPr>
      </w:pPr>
    </w:p>
    <w:p w14:paraId="185A5BDF" w14:textId="77777777" w:rsidR="00B02CD2" w:rsidRPr="00BD295E" w:rsidRDefault="008A5057" w:rsidP="00CA2271">
      <w:pPr>
        <w:pStyle w:val="af3"/>
        <w:numPr>
          <w:ilvl w:val="0"/>
          <w:numId w:val="47"/>
        </w:num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All of the above documents are available on the Company’s official website:</w:t>
      </w:r>
    </w:p>
    <w:p w14:paraId="5D83362D" w14:textId="77777777" w:rsidR="00B02CD2" w:rsidRPr="00BD295E" w:rsidRDefault="002C3947" w:rsidP="00FA6082">
      <w:pPr>
        <w:pStyle w:val="af3"/>
        <w:numPr>
          <w:ilvl w:val="0"/>
          <w:numId w:val="158"/>
        </w:numPr>
        <w:autoSpaceDE w:val="0"/>
        <w:autoSpaceDN w:val="0"/>
        <w:adjustRightInd w:val="0"/>
        <w:jc w:val="both"/>
        <w:rPr>
          <w:rFonts w:ascii="Arial" w:eastAsia="Calibri" w:hAnsi="Arial" w:cs="Arial"/>
          <w:sz w:val="18"/>
          <w:szCs w:val="18"/>
          <w:lang w:val="en-US"/>
        </w:rPr>
      </w:pPr>
      <w:hyperlink r:id="rId90" w:history="1">
        <w:r w:rsidR="008A5057" w:rsidRPr="00BD295E">
          <w:rPr>
            <w:rStyle w:val="af0"/>
            <w:rFonts w:ascii="Arial" w:hAnsi="Arial" w:cs="Arial"/>
            <w:color w:val="auto"/>
            <w:sz w:val="18"/>
            <w:szCs w:val="18"/>
            <w:lang w:val="en-US"/>
          </w:rPr>
          <w:t>http://www.lenenergo.ru/shareholders/corp/ustav/?part=1</w:t>
        </w:r>
      </w:hyperlink>
    </w:p>
    <w:p w14:paraId="0DC25715" w14:textId="77777777" w:rsidR="00F3260C" w:rsidRPr="00BD295E" w:rsidRDefault="002C3947" w:rsidP="00FA6082">
      <w:pPr>
        <w:pStyle w:val="af3"/>
        <w:numPr>
          <w:ilvl w:val="0"/>
          <w:numId w:val="158"/>
        </w:numPr>
        <w:autoSpaceDE w:val="0"/>
        <w:autoSpaceDN w:val="0"/>
        <w:adjustRightInd w:val="0"/>
        <w:jc w:val="both"/>
        <w:rPr>
          <w:rFonts w:ascii="Arial" w:eastAsia="Calibri" w:hAnsi="Arial" w:cs="Arial"/>
          <w:sz w:val="18"/>
          <w:szCs w:val="18"/>
          <w:lang w:val="en-US"/>
        </w:rPr>
      </w:pPr>
      <w:hyperlink r:id="rId91" w:history="1">
        <w:r w:rsidR="008A5057" w:rsidRPr="00BD295E">
          <w:rPr>
            <w:rStyle w:val="af0"/>
            <w:rFonts w:ascii="Arial" w:hAnsi="Arial" w:cs="Arial"/>
            <w:color w:val="auto"/>
            <w:sz w:val="18"/>
            <w:szCs w:val="18"/>
            <w:lang w:val="en-US"/>
          </w:rPr>
          <w:t>http://lenenergo.ru/shareholders/corp/control/</w:t>
        </w:r>
      </w:hyperlink>
    </w:p>
    <w:p w14:paraId="73938855" w14:textId="77777777" w:rsidR="00F3260C" w:rsidRPr="00BD295E" w:rsidRDefault="00F3260C" w:rsidP="00F3260C">
      <w:pPr>
        <w:autoSpaceDE w:val="0"/>
        <w:autoSpaceDN w:val="0"/>
        <w:adjustRightInd w:val="0"/>
        <w:jc w:val="both"/>
        <w:rPr>
          <w:rFonts w:ascii="Arial" w:hAnsi="Arial" w:cs="Arial"/>
          <w:b/>
          <w:sz w:val="18"/>
          <w:szCs w:val="18"/>
          <w:lang w:val="en-US"/>
        </w:rPr>
      </w:pPr>
    </w:p>
    <w:p w14:paraId="7DE21E8F" w14:textId="77777777" w:rsidR="00F3260C" w:rsidRPr="00BD295E" w:rsidRDefault="008A5057" w:rsidP="00F3260C">
      <w:pPr>
        <w:autoSpaceDE w:val="0"/>
        <w:autoSpaceDN w:val="0"/>
        <w:adjustRightInd w:val="0"/>
        <w:jc w:val="both"/>
        <w:rPr>
          <w:rFonts w:ascii="Arial" w:hAnsi="Arial" w:cs="Arial"/>
          <w:b/>
          <w:sz w:val="18"/>
          <w:szCs w:val="18"/>
          <w:lang w:val="en-US"/>
        </w:rPr>
      </w:pPr>
      <w:r w:rsidRPr="00BD295E">
        <w:rPr>
          <w:rFonts w:ascii="Arial" w:hAnsi="Arial" w:cs="Arial"/>
          <w:b/>
          <w:sz w:val="18"/>
          <w:szCs w:val="18"/>
          <w:lang w:val="en-US"/>
        </w:rPr>
        <w:t>Rosseti Group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8A5057" w:rsidRPr="00BD295E" w14:paraId="6CC548C9" w14:textId="77777777" w:rsidTr="00E3510B">
        <w:tc>
          <w:tcPr>
            <w:tcW w:w="9713" w:type="dxa"/>
            <w:shd w:val="clear" w:color="auto" w:fill="auto"/>
          </w:tcPr>
          <w:p w14:paraId="66BB538D" w14:textId="211F0F90" w:rsidR="00F3260C" w:rsidRPr="00BD295E" w:rsidRDefault="00360A2F" w:rsidP="00E3510B">
            <w:pPr>
              <w:autoSpaceDE w:val="0"/>
              <w:autoSpaceDN w:val="0"/>
              <w:adjustRightInd w:val="0"/>
              <w:jc w:val="both"/>
              <w:rPr>
                <w:rStyle w:val="aff9"/>
                <w:rFonts w:ascii="Arial" w:hAnsi="Arial" w:cs="Arial"/>
                <w:b w:val="0"/>
                <w:sz w:val="18"/>
                <w:szCs w:val="18"/>
                <w:lang w:val="en-US"/>
              </w:rPr>
            </w:pPr>
            <w:bookmarkStart w:id="395" w:name="_Hlk95938748"/>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16448" behindDoc="0" locked="0" layoutInCell="1" allowOverlap="1" wp14:anchorId="6F710FB4" wp14:editId="760B5B89">
                      <wp:simplePos x="0" y="0"/>
                      <wp:positionH relativeFrom="column">
                        <wp:posOffset>3443904</wp:posOffset>
                      </wp:positionH>
                      <wp:positionV relativeFrom="paragraph">
                        <wp:posOffset>2450295</wp:posOffset>
                      </wp:positionV>
                      <wp:extent cx="1971569" cy="1614170"/>
                      <wp:effectExtent l="0" t="0" r="0" b="5080"/>
                      <wp:wrapNone/>
                      <wp:docPr id="5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569" cy="1614170"/>
                              </a:xfrm>
                              <a:prstGeom prst="rect">
                                <a:avLst/>
                              </a:prstGeom>
                              <a:solidFill>
                                <a:schemeClr val="bg1"/>
                              </a:solidFill>
                              <a:ln w="9525">
                                <a:noFill/>
                                <a:miter lim="800000"/>
                                <a:headEnd/>
                                <a:tailEnd/>
                              </a:ln>
                            </wps:spPr>
                            <wps:txbx>
                              <w:txbxContent>
                                <w:p w14:paraId="0BF73F76" w14:textId="77777777" w:rsidR="002C3947" w:rsidRPr="00360A2F" w:rsidRDefault="002C3947" w:rsidP="00360A2F">
                                  <w:pPr>
                                    <w:rPr>
                                      <w:rFonts w:ascii="Arial Narrow" w:hAnsi="Arial Narrow" w:cs="Arial"/>
                                      <w:sz w:val="14"/>
                                      <w:szCs w:val="22"/>
                                    </w:rPr>
                                  </w:pPr>
                                  <w:r w:rsidRPr="00360A2F">
                                    <w:rPr>
                                      <w:rFonts w:ascii="Arial Narrow" w:hAnsi="Arial Narrow" w:cs="Arial"/>
                                      <w:sz w:val="14"/>
                                      <w:szCs w:val="22"/>
                                    </w:rPr>
                                    <w:t>PJSC “TDC”</w:t>
                                  </w:r>
                                </w:p>
                                <w:p w14:paraId="274A5228"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the Center and Volga Region, PJSC</w:t>
                                  </w:r>
                                </w:p>
                                <w:p w14:paraId="693E9C86"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the Urals, OJSC</w:t>
                                  </w:r>
                                </w:p>
                                <w:p w14:paraId="2207B246" w14:textId="29C131B1" w:rsidR="002C3947" w:rsidRPr="00360A2F" w:rsidRDefault="002C3947" w:rsidP="00360A2F">
                                  <w:pPr>
                                    <w:spacing w:before="370"/>
                                    <w:rPr>
                                      <w:rFonts w:ascii="Arial Narrow" w:hAnsi="Arial Narrow" w:cs="Arial"/>
                                      <w:sz w:val="14"/>
                                      <w:szCs w:val="22"/>
                                    </w:rPr>
                                  </w:pPr>
                                  <w:r>
                                    <w:rPr>
                                      <w:rFonts w:ascii="Arial Narrow" w:hAnsi="Arial Narrow" w:cs="Arial"/>
                                      <w:sz w:val="14"/>
                                      <w:szCs w:val="22"/>
                                    </w:rPr>
                                    <w:t>IDGC of Northern Caucasus, PJSC</w:t>
                                  </w:r>
                                </w:p>
                                <w:p w14:paraId="128D1B1A" w14:textId="1C4EE8FF"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PJSC “Kubanenergo”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710FB4" id="_x0000_s1116" type="#_x0000_t202" style="position:absolute;left:0;text-align:left;margin-left:271.15pt;margin-top:192.95pt;width:155.25pt;height:127.1pt;z-index:251816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" fillcolor="white [3212]" stroked="f">
                      <v:textbox inset="0,0,0,0">
                        <w:txbxContent>
                          <w:p w14:paraId="0BF73F76" w14:textId="77777777" w:rsidR="002C3947" w:rsidRPr="00360A2F" w:rsidRDefault="002C3947" w:rsidP="00360A2F">
                            <w:pPr>
                              <w:rPr>
                                <w:rFonts w:ascii="Arial Narrow" w:hAnsi="Arial Narrow" w:cs="Arial"/>
                                <w:sz w:val="14"/>
                                <w:szCs w:val="22"/>
                              </w:rPr>
                            </w:pPr>
                            <w:r w:rsidRPr="00360A2F">
                              <w:rPr>
                                <w:rFonts w:ascii="Arial Narrow" w:hAnsi="Arial Narrow" w:cs="Arial"/>
                                <w:sz w:val="14"/>
                                <w:szCs w:val="22"/>
                              </w:rPr>
                              <w:t>PJSC “TDC”</w:t>
                            </w:r>
                          </w:p>
                          <w:p w14:paraId="274A5228"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the Center and Volga Region, PJSC</w:t>
                            </w:r>
                          </w:p>
                          <w:p w14:paraId="693E9C86"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the Urals, OJSC</w:t>
                            </w:r>
                          </w:p>
                          <w:p w14:paraId="2207B246" w14:textId="29C131B1" w:rsidR="002C3947" w:rsidRPr="00360A2F" w:rsidRDefault="002C3947" w:rsidP="00360A2F">
                            <w:pPr>
                              <w:spacing w:before="370"/>
                              <w:rPr>
                                <w:rFonts w:ascii="Arial Narrow" w:hAnsi="Arial Narrow" w:cs="Arial"/>
                                <w:sz w:val="14"/>
                                <w:szCs w:val="22"/>
                              </w:rPr>
                            </w:pPr>
                            <w:r>
                              <w:rPr>
                                <w:rFonts w:ascii="Arial Narrow" w:hAnsi="Arial Narrow" w:cs="Arial"/>
                                <w:sz w:val="14"/>
                                <w:szCs w:val="22"/>
                              </w:rPr>
                              <w:t>IDGC of Northern Caucasus, PJSC</w:t>
                            </w:r>
                          </w:p>
                          <w:p w14:paraId="128D1B1A" w14:textId="1C4EE8FF"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PJSC “Kubanenergo”</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12352" behindDoc="0" locked="0" layoutInCell="1" allowOverlap="1" wp14:anchorId="094C4FD4" wp14:editId="391D8410">
                      <wp:simplePos x="0" y="0"/>
                      <wp:positionH relativeFrom="column">
                        <wp:posOffset>554355</wp:posOffset>
                      </wp:positionH>
                      <wp:positionV relativeFrom="paragraph">
                        <wp:posOffset>2447925</wp:posOffset>
                      </wp:positionV>
                      <wp:extent cx="1017270" cy="1614170"/>
                      <wp:effectExtent l="0" t="0" r="0" b="5080"/>
                      <wp:wrapNone/>
                      <wp:docPr id="5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1614170"/>
                              </a:xfrm>
                              <a:prstGeom prst="rect">
                                <a:avLst/>
                              </a:prstGeom>
                              <a:solidFill>
                                <a:schemeClr val="bg1"/>
                              </a:solidFill>
                              <a:ln w="9525">
                                <a:noFill/>
                                <a:miter lim="800000"/>
                                <a:headEnd/>
                                <a:tailEnd/>
                              </a:ln>
                            </wps:spPr>
                            <wps:txbx>
                              <w:txbxContent>
                                <w:p w14:paraId="78DA2CD7" w14:textId="77777777" w:rsidR="002C3947" w:rsidRPr="00360A2F" w:rsidRDefault="002C3947" w:rsidP="00360A2F">
                                  <w:pPr>
                                    <w:rPr>
                                      <w:rFonts w:ascii="Arial Narrow" w:hAnsi="Arial Narrow" w:cs="Arial"/>
                                      <w:sz w:val="14"/>
                                      <w:szCs w:val="22"/>
                                    </w:rPr>
                                  </w:pPr>
                                  <w:r w:rsidRPr="00360A2F">
                                    <w:rPr>
                                      <w:rFonts w:ascii="Arial Narrow" w:hAnsi="Arial Narrow" w:cs="Arial"/>
                                      <w:sz w:val="14"/>
                                      <w:szCs w:val="22"/>
                                    </w:rPr>
                                    <w:t>JSC “Yantarenergo”</w:t>
                                  </w:r>
                                </w:p>
                                <w:p w14:paraId="64F726BE"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Volga, PJSC</w:t>
                                  </w:r>
                                </w:p>
                                <w:p w14:paraId="789643ED"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the South, PJSC</w:t>
                                  </w:r>
                                </w:p>
                                <w:p w14:paraId="37B8D36F"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Siberia, PJSC</w:t>
                                  </w:r>
                                </w:p>
                                <w:p w14:paraId="5887B0F8" w14:textId="48941860"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“MOESK”, PJSC</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4C4FD4" id="_x0000_s1117" type="#_x0000_t202" style="position:absolute;left:0;text-align:left;margin-left:43.65pt;margin-top:192.75pt;width:80.1pt;height:127.1pt;z-index:25181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" fillcolor="white [3212]" stroked="f">
                      <v:textbox inset="0,0,0,0">
                        <w:txbxContent>
                          <w:p w14:paraId="78DA2CD7" w14:textId="77777777" w:rsidR="002C3947" w:rsidRPr="00360A2F" w:rsidRDefault="002C3947" w:rsidP="00360A2F">
                            <w:pPr>
                              <w:rPr>
                                <w:rFonts w:ascii="Arial Narrow" w:hAnsi="Arial Narrow" w:cs="Arial"/>
                                <w:sz w:val="14"/>
                                <w:szCs w:val="22"/>
                              </w:rPr>
                            </w:pPr>
                            <w:r w:rsidRPr="00360A2F">
                              <w:rPr>
                                <w:rFonts w:ascii="Arial Narrow" w:hAnsi="Arial Narrow" w:cs="Arial"/>
                                <w:sz w:val="14"/>
                                <w:szCs w:val="22"/>
                              </w:rPr>
                              <w:t>JSC “Yantarenergo”</w:t>
                            </w:r>
                          </w:p>
                          <w:p w14:paraId="64F726BE"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Volga, PJSC</w:t>
                            </w:r>
                          </w:p>
                          <w:p w14:paraId="789643ED"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the South, PJSC</w:t>
                            </w:r>
                          </w:p>
                          <w:p w14:paraId="37B8D36F"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Siberia, PJSC</w:t>
                            </w:r>
                          </w:p>
                          <w:p w14:paraId="5887B0F8" w14:textId="48941860"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“MOESK”, PJSC</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14400" behindDoc="0" locked="0" layoutInCell="1" allowOverlap="1" wp14:anchorId="21248A0C" wp14:editId="7D379C2D">
                      <wp:simplePos x="0" y="0"/>
                      <wp:positionH relativeFrom="column">
                        <wp:posOffset>1978025</wp:posOffset>
                      </wp:positionH>
                      <wp:positionV relativeFrom="paragraph">
                        <wp:posOffset>2449830</wp:posOffset>
                      </wp:positionV>
                      <wp:extent cx="1017270" cy="1614170"/>
                      <wp:effectExtent l="0" t="0" r="0" b="5080"/>
                      <wp:wrapNone/>
                      <wp:docPr id="5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1614170"/>
                              </a:xfrm>
                              <a:prstGeom prst="rect">
                                <a:avLst/>
                              </a:prstGeom>
                              <a:solidFill>
                                <a:schemeClr val="bg1"/>
                              </a:solidFill>
                              <a:ln w="9525">
                                <a:noFill/>
                                <a:miter lim="800000"/>
                                <a:headEnd/>
                                <a:tailEnd/>
                              </a:ln>
                            </wps:spPr>
                            <wps:txbx>
                              <w:txbxContent>
                                <w:p w14:paraId="67B67767" w14:textId="77777777" w:rsidR="002C3947" w:rsidRPr="00360A2F" w:rsidRDefault="002C3947" w:rsidP="00360A2F">
                                  <w:pPr>
                                    <w:rPr>
                                      <w:rFonts w:ascii="Arial Narrow" w:hAnsi="Arial Narrow" w:cs="Arial"/>
                                      <w:sz w:val="14"/>
                                      <w:szCs w:val="22"/>
                                    </w:rPr>
                                  </w:pPr>
                                  <w:r w:rsidRPr="00360A2F">
                                    <w:rPr>
                                      <w:rFonts w:ascii="Arial Narrow" w:hAnsi="Arial Narrow" w:cs="Arial"/>
                                      <w:sz w:val="14"/>
                                      <w:szCs w:val="22"/>
                                    </w:rPr>
                                    <w:t xml:space="preserve">“FGC UES”, PJSC </w:t>
                                  </w:r>
                                </w:p>
                                <w:p w14:paraId="5E0FA406"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JSC “Tyumenenergo”</w:t>
                                  </w:r>
                                </w:p>
                                <w:p w14:paraId="191472D1"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the Center, PJSC</w:t>
                                  </w:r>
                                </w:p>
                                <w:p w14:paraId="40858056"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North-West, PJSC</w:t>
                                  </w:r>
                                </w:p>
                                <w:p w14:paraId="47D6E9DB" w14:textId="5C9936DC"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PJSC “Lenenergo”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248A0C" id="_x0000_s1118" type="#_x0000_t202" style="position:absolute;left:0;text-align:left;margin-left:155.75pt;margin-top:192.9pt;width:80.1pt;height:127.1pt;z-index:25181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" fillcolor="white [3212]" stroked="f">
                      <v:textbox inset="0,0,0,0">
                        <w:txbxContent>
                          <w:p w14:paraId="67B67767" w14:textId="77777777" w:rsidR="002C3947" w:rsidRPr="00360A2F" w:rsidRDefault="002C3947" w:rsidP="00360A2F">
                            <w:pPr>
                              <w:rPr>
                                <w:rFonts w:ascii="Arial Narrow" w:hAnsi="Arial Narrow" w:cs="Arial"/>
                                <w:sz w:val="14"/>
                                <w:szCs w:val="22"/>
                              </w:rPr>
                            </w:pPr>
                            <w:r w:rsidRPr="00360A2F">
                              <w:rPr>
                                <w:rFonts w:ascii="Arial Narrow" w:hAnsi="Arial Narrow" w:cs="Arial"/>
                                <w:sz w:val="14"/>
                                <w:szCs w:val="22"/>
                              </w:rPr>
                              <w:t xml:space="preserve">“FGC UES”, PJSC </w:t>
                            </w:r>
                          </w:p>
                          <w:p w14:paraId="5E0FA406"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JSC “Tyumenenergo”</w:t>
                            </w:r>
                          </w:p>
                          <w:p w14:paraId="191472D1"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the Center, PJSC</w:t>
                            </w:r>
                          </w:p>
                          <w:p w14:paraId="40858056" w14:textId="77777777"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IDGC of North-West, PJSC</w:t>
                            </w:r>
                          </w:p>
                          <w:p w14:paraId="47D6E9DB" w14:textId="5C9936DC" w:rsidR="002C3947" w:rsidRPr="00360A2F" w:rsidRDefault="002C3947" w:rsidP="00360A2F">
                            <w:pPr>
                              <w:spacing w:before="370"/>
                              <w:rPr>
                                <w:rFonts w:ascii="Arial Narrow" w:hAnsi="Arial Narrow" w:cs="Arial"/>
                                <w:sz w:val="14"/>
                                <w:szCs w:val="22"/>
                              </w:rPr>
                            </w:pPr>
                            <w:r w:rsidRPr="00360A2F">
                              <w:rPr>
                                <w:rFonts w:ascii="Arial Narrow" w:hAnsi="Arial Narrow" w:cs="Arial"/>
                                <w:sz w:val="14"/>
                                <w:szCs w:val="22"/>
                              </w:rPr>
                              <w:t>PJSC “Lenenergo”</w:t>
                            </w:r>
                          </w:p>
                        </w:txbxContent>
                      </v:textbox>
                    </v:shape>
                  </w:pict>
                </mc:Fallback>
              </mc:AlternateContent>
            </w:r>
            <w:r w:rsidR="00997D07" w:rsidRPr="00BD295E">
              <w:rPr>
                <w:rFonts w:ascii="Arial" w:hAnsi="Arial" w:cs="Arial"/>
                <w:sz w:val="18"/>
                <w:szCs w:val="18"/>
                <w:lang w:val="en-US" w:eastAsia="en-US"/>
              </w:rPr>
              <w:drawing>
                <wp:inline distT="0" distB="0" distL="0" distR="0" wp14:anchorId="48C18CCE" wp14:editId="22E01BE2">
                  <wp:extent cx="4405630" cy="4148455"/>
                  <wp:effectExtent l="0" t="0" r="0" b="0"/>
                  <wp:docPr id="65" name="Рисунок 5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2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05630" cy="4148455"/>
                          </a:xfrm>
                          <a:prstGeom prst="rect">
                            <a:avLst/>
                          </a:prstGeom>
                          <a:noFill/>
                          <a:ln>
                            <a:noFill/>
                          </a:ln>
                        </pic:spPr>
                      </pic:pic>
                    </a:graphicData>
                  </a:graphic>
                </wp:inline>
              </w:drawing>
            </w:r>
            <w:bookmarkEnd w:id="395"/>
          </w:p>
          <w:p w14:paraId="3B812EF3" w14:textId="19C316C6" w:rsidR="00F3260C" w:rsidRPr="00BD295E" w:rsidRDefault="008A5057" w:rsidP="00E3510B">
            <w:pPr>
              <w:autoSpaceDE w:val="0"/>
              <w:autoSpaceDN w:val="0"/>
              <w:adjustRightInd w:val="0"/>
              <w:ind w:firstLine="567"/>
              <w:jc w:val="both"/>
              <w:rPr>
                <w:rStyle w:val="aff9"/>
                <w:rFonts w:ascii="Arial" w:hAnsi="Arial" w:cs="Arial"/>
                <w:b w:val="0"/>
                <w:bCs w:val="0"/>
                <w:sz w:val="18"/>
                <w:szCs w:val="18"/>
                <w:lang w:val="en-US"/>
              </w:rPr>
            </w:pPr>
            <w:r w:rsidRPr="00BD295E">
              <w:rPr>
                <w:rFonts w:ascii="Arial" w:hAnsi="Arial" w:cs="Arial"/>
                <w:sz w:val="18"/>
                <w:szCs w:val="18"/>
                <w:lang w:val="en-US"/>
              </w:rPr>
              <w:t>The Company is one of the largest interregional distribution grid companies of Russia within Rosseti Group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holds 67.48 % of the Company’s authorized capital as at the record date of May 14, 2018).</w:t>
            </w:r>
          </w:p>
          <w:p w14:paraId="65F2FB3D" w14:textId="080E58EA" w:rsidR="00F3260C" w:rsidRPr="00BD295E" w:rsidRDefault="008A5057" w:rsidP="00E3510B">
            <w:pPr>
              <w:autoSpaceDE w:val="0"/>
              <w:autoSpaceDN w:val="0"/>
              <w:adjustRightInd w:val="0"/>
              <w:ind w:firstLine="567"/>
              <w:jc w:val="both"/>
              <w:rPr>
                <w:rStyle w:val="aff9"/>
                <w:rFonts w:ascii="Arial" w:hAnsi="Arial" w:cs="Arial"/>
                <w:sz w:val="18"/>
                <w:szCs w:val="18"/>
                <w:lang w:val="en-US"/>
              </w:rPr>
            </w:pPr>
            <w:r w:rsidRPr="00BD295E">
              <w:rPr>
                <w:rFonts w:ascii="Arial" w:hAnsi="Arial" w:cs="Arial"/>
                <w:sz w:val="18"/>
                <w:szCs w:val="18"/>
                <w:lang w:val="en-US"/>
              </w:rPr>
              <w:t>The Company’s affiliation with the above Group implies common approaches and principles regarding the operation of governance and supervision bodies.</w:t>
            </w:r>
          </w:p>
          <w:p w14:paraId="359D40A2" w14:textId="5FE000D0" w:rsidR="00F3260C" w:rsidRPr="00BD295E" w:rsidRDefault="00F3260C" w:rsidP="00E3510B">
            <w:pPr>
              <w:autoSpaceDE w:val="0"/>
              <w:autoSpaceDN w:val="0"/>
              <w:adjustRightInd w:val="0"/>
              <w:jc w:val="both"/>
              <w:rPr>
                <w:rFonts w:ascii="Arial" w:hAnsi="Arial" w:cs="Arial"/>
                <w:b/>
                <w:sz w:val="18"/>
                <w:szCs w:val="18"/>
                <w:lang w:val="en-US"/>
              </w:rPr>
            </w:pPr>
          </w:p>
        </w:tc>
      </w:tr>
    </w:tbl>
    <w:p w14:paraId="6786413A" w14:textId="2E856EDD" w:rsidR="00677483" w:rsidRPr="00BD295E" w:rsidRDefault="00677483" w:rsidP="00677483">
      <w:pPr>
        <w:rPr>
          <w:rFonts w:ascii="Arial" w:hAnsi="Arial" w:cs="Arial"/>
          <w:vanish/>
          <w:sz w:val="18"/>
          <w:szCs w:val="18"/>
          <w:lang w:val="en-US"/>
        </w:rPr>
      </w:pPr>
    </w:p>
    <w:p w14:paraId="78E7C45F" w14:textId="2079F204" w:rsidR="00F3260C" w:rsidRPr="00BD295E" w:rsidRDefault="002D2EA8" w:rsidP="009427FD">
      <w:pPr>
        <w:rPr>
          <w:rFonts w:ascii="Arial" w:hAnsi="Arial" w:cs="Arial"/>
          <w:b/>
          <w:sz w:val="18"/>
          <w:szCs w:val="18"/>
          <w:lang w:val="en-US"/>
        </w:rPr>
      </w:pPr>
      <w:r w:rsidRPr="00BD295E">
        <w:rPr>
          <w:rFonts w:ascii="Arial" w:hAnsi="Arial" w:cs="Arial"/>
          <w:b/>
          <w:sz w:val="18"/>
          <w:szCs w:val="18"/>
          <w:lang w:val="en-US"/>
        </w:rPr>
        <w:t>Corporate Governan</w:t>
      </w:r>
      <w:r w:rsidR="002C3947" w:rsidRPr="00BD295E">
        <w:rPr>
          <w:rFonts w:ascii="Arial" w:hAnsi="Arial" w:cs="Arial"/>
          <w:b/>
          <w:sz w:val="18"/>
          <w:szCs w:val="18"/>
          <w:lang w:val="en-US"/>
        </w:rPr>
        <w:t>c</w:t>
      </w:r>
      <w:r w:rsidRPr="00BD295E">
        <w:rPr>
          <w:rFonts w:ascii="Arial" w:hAnsi="Arial" w:cs="Arial"/>
          <w:b/>
          <w:sz w:val="18"/>
          <w:szCs w:val="18"/>
          <w:lang w:val="en-US"/>
        </w:rPr>
        <w:t>e Compliance</w:t>
      </w:r>
    </w:p>
    <w:p w14:paraId="6E6558A9" w14:textId="77777777" w:rsidR="00F3260C" w:rsidRPr="00BD295E" w:rsidRDefault="00F3260C" w:rsidP="009427FD">
      <w:pPr>
        <w:rPr>
          <w:rFonts w:ascii="Arial" w:hAnsi="Arial" w:cs="Arial"/>
          <w:b/>
          <w:sz w:val="18"/>
          <w:szCs w:val="18"/>
          <w:lang w:val="en-US" w:eastAsia="ar-SA"/>
        </w:rPr>
      </w:pPr>
    </w:p>
    <w:p w14:paraId="410737D1" w14:textId="77777777" w:rsidR="00F3260C" w:rsidRPr="00BD295E" w:rsidRDefault="008A5057" w:rsidP="009427FD">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In its efforts to improve its corporate governance system, the Company follows the best Russian practices set out in the Corporate Governance Code recommended by Letter No. 06-52/2463 of the Bank of Russia </w:t>
      </w:r>
      <w:r w:rsidR="008B183C" w:rsidRPr="00BD295E">
        <w:rPr>
          <w:rFonts w:ascii="Arial" w:hAnsi="Arial" w:cs="Arial"/>
          <w:sz w:val="18"/>
          <w:szCs w:val="18"/>
          <w:lang w:val="en-US"/>
        </w:rPr>
        <w:t>of</w:t>
      </w:r>
      <w:r w:rsidRPr="00BD295E">
        <w:rPr>
          <w:rFonts w:ascii="Arial" w:hAnsi="Arial" w:cs="Arial"/>
          <w:sz w:val="18"/>
          <w:szCs w:val="18"/>
          <w:lang w:val="en-US"/>
        </w:rPr>
        <w:t xml:space="preserve"> April 10, 2014 (hereinafter referred to as the “Code”).</w:t>
      </w:r>
    </w:p>
    <w:p w14:paraId="4CF52078" w14:textId="77777777" w:rsidR="00F3260C" w:rsidRPr="00BD295E" w:rsidRDefault="008A5057" w:rsidP="009427FD">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Compliance with the principles and recommendations of the Code is an unconditional priority for all </w:t>
      </w:r>
      <w:r w:rsidR="00101C37" w:rsidRPr="00BD295E">
        <w:rPr>
          <w:rFonts w:ascii="Arial" w:hAnsi="Arial" w:cs="Arial"/>
          <w:sz w:val="18"/>
          <w:szCs w:val="18"/>
          <w:lang w:val="en-US"/>
        </w:rPr>
        <w:t>governing and control</w:t>
      </w:r>
      <w:r w:rsidRPr="00BD295E">
        <w:rPr>
          <w:rFonts w:ascii="Arial" w:hAnsi="Arial" w:cs="Arial"/>
          <w:sz w:val="18"/>
          <w:szCs w:val="18"/>
          <w:lang w:val="en-US"/>
        </w:rPr>
        <w:t xml:space="preserve"> bodies of the Company.</w:t>
      </w:r>
    </w:p>
    <w:p w14:paraId="72EB89BC" w14:textId="77777777" w:rsidR="00F3260C" w:rsidRPr="00BD295E" w:rsidRDefault="008A5057" w:rsidP="009427FD">
      <w:pPr>
        <w:pStyle w:val="1f5"/>
        <w:tabs>
          <w:tab w:val="clear" w:pos="360"/>
          <w:tab w:val="left" w:pos="851"/>
        </w:tabs>
        <w:spacing w:after="0" w:line="240" w:lineRule="auto"/>
        <w:jc w:val="both"/>
        <w:rPr>
          <w:rFonts w:ascii="Arial" w:hAnsi="Arial" w:cs="Arial"/>
          <w:noProof w:val="0"/>
          <w:sz w:val="18"/>
          <w:szCs w:val="18"/>
          <w:lang w:val="en-US"/>
        </w:rPr>
      </w:pPr>
      <w:r w:rsidRPr="00BD295E">
        <w:rPr>
          <w:rFonts w:ascii="Arial" w:hAnsi="Arial" w:cs="Arial"/>
          <w:noProof w:val="0"/>
          <w:sz w:val="18"/>
          <w:szCs w:val="18"/>
          <w:lang w:val="en-US"/>
        </w:rPr>
        <w:t xml:space="preserve">Corporate governance at </w:t>
      </w:r>
      <w:r w:rsidR="00EE5753" w:rsidRPr="00BD295E">
        <w:rPr>
          <w:rFonts w:ascii="Arial" w:hAnsi="Arial" w:cs="Arial"/>
          <w:noProof w:val="0"/>
          <w:sz w:val="18"/>
          <w:szCs w:val="18"/>
          <w:lang w:val="en-US"/>
        </w:rPr>
        <w:t>PJSC “Lenenergo”</w:t>
      </w:r>
      <w:r w:rsidRPr="00BD295E">
        <w:rPr>
          <w:rFonts w:ascii="Arial" w:hAnsi="Arial" w:cs="Arial"/>
          <w:noProof w:val="0"/>
          <w:sz w:val="18"/>
          <w:szCs w:val="18"/>
          <w:lang w:val="en-US"/>
        </w:rPr>
        <w:t xml:space="preserve"> is aligned with the rules and procedures set out in the Articles of Association and internal documents of the Company.</w:t>
      </w:r>
    </w:p>
    <w:p w14:paraId="510FF1F3" w14:textId="77777777" w:rsidR="00F3260C" w:rsidRPr="00BD295E" w:rsidRDefault="00EE5753" w:rsidP="009427FD">
      <w:pPr>
        <w:pStyle w:val="1f5"/>
        <w:tabs>
          <w:tab w:val="clear" w:pos="360"/>
          <w:tab w:val="left" w:pos="851"/>
        </w:tabs>
        <w:spacing w:after="0" w:line="240" w:lineRule="auto"/>
        <w:jc w:val="both"/>
        <w:rPr>
          <w:rFonts w:ascii="Arial" w:hAnsi="Arial" w:cs="Arial"/>
          <w:noProof w:val="0"/>
          <w:sz w:val="18"/>
          <w:szCs w:val="18"/>
          <w:lang w:val="en-US"/>
        </w:rPr>
      </w:pPr>
      <w:r w:rsidRPr="00BD295E">
        <w:rPr>
          <w:rFonts w:ascii="Arial" w:hAnsi="Arial" w:cs="Arial"/>
          <w:noProof w:val="0"/>
          <w:sz w:val="18"/>
          <w:szCs w:val="18"/>
          <w:lang w:val="en-US"/>
        </w:rPr>
        <w:t>PJSC “Lenenergo”</w:t>
      </w:r>
      <w:r w:rsidR="008A5057" w:rsidRPr="00BD295E">
        <w:rPr>
          <w:rFonts w:ascii="Arial" w:hAnsi="Arial" w:cs="Arial"/>
          <w:noProof w:val="0"/>
          <w:sz w:val="18"/>
          <w:szCs w:val="18"/>
          <w:lang w:val="en-US"/>
        </w:rPr>
        <w:t xml:space="preserve"> has in place the Corporate Governance Code of </w:t>
      </w:r>
      <w:r w:rsidRPr="00BD295E">
        <w:rPr>
          <w:rFonts w:ascii="Arial" w:hAnsi="Arial" w:cs="Arial"/>
          <w:noProof w:val="0"/>
          <w:sz w:val="18"/>
          <w:szCs w:val="18"/>
          <w:lang w:val="en-US"/>
        </w:rPr>
        <w:t>PJSC “Lenenergo”</w:t>
      </w:r>
      <w:r w:rsidR="008A5057" w:rsidRPr="00BD295E">
        <w:rPr>
          <w:rFonts w:ascii="Arial" w:hAnsi="Arial" w:cs="Arial"/>
          <w:noProof w:val="0"/>
          <w:sz w:val="18"/>
          <w:szCs w:val="18"/>
          <w:lang w:val="en-US"/>
        </w:rPr>
        <w:t>, which aims to ensure greater transparency of governance at the Company and support the Company’s relentless commitment to comply with best practices in corporate governance.</w:t>
      </w:r>
    </w:p>
    <w:p w14:paraId="6BC1CC78" w14:textId="77777777" w:rsidR="00F3260C" w:rsidRPr="00BD295E" w:rsidRDefault="0053339C" w:rsidP="009427FD">
      <w:pPr>
        <w:pStyle w:val="1f5"/>
        <w:tabs>
          <w:tab w:val="clear" w:pos="360"/>
          <w:tab w:val="left" w:pos="851"/>
        </w:tabs>
        <w:spacing w:after="0" w:line="240" w:lineRule="auto"/>
        <w:jc w:val="both"/>
        <w:rPr>
          <w:rFonts w:ascii="Arial" w:hAnsi="Arial" w:cs="Arial"/>
          <w:noProof w:val="0"/>
          <w:sz w:val="18"/>
          <w:szCs w:val="18"/>
          <w:lang w:val="en-US"/>
        </w:rPr>
      </w:pPr>
      <w:r w:rsidRPr="00BD295E">
        <w:rPr>
          <w:rFonts w:ascii="Arial" w:hAnsi="Arial" w:cs="Arial"/>
          <w:noProof w:val="0"/>
          <w:sz w:val="18"/>
          <w:szCs w:val="18"/>
          <w:lang w:val="en-US"/>
        </w:rPr>
        <w:t>The Company conducted the compliance assessment to check if the</w:t>
      </w:r>
      <w:r w:rsidR="008A5057" w:rsidRPr="00BD295E">
        <w:rPr>
          <w:rFonts w:ascii="Arial" w:hAnsi="Arial" w:cs="Arial"/>
          <w:noProof w:val="0"/>
          <w:sz w:val="18"/>
          <w:szCs w:val="18"/>
          <w:lang w:val="en-US"/>
        </w:rPr>
        <w:t xml:space="preserve"> corporate governance </w:t>
      </w:r>
      <w:r w:rsidRPr="00BD295E">
        <w:rPr>
          <w:rFonts w:ascii="Arial" w:hAnsi="Arial" w:cs="Arial"/>
          <w:noProof w:val="0"/>
          <w:sz w:val="18"/>
          <w:szCs w:val="18"/>
          <w:lang w:val="en-US"/>
        </w:rPr>
        <w:t xml:space="preserve">practices </w:t>
      </w:r>
      <w:r w:rsidR="008A5057" w:rsidRPr="00BD295E">
        <w:rPr>
          <w:rFonts w:ascii="Arial" w:hAnsi="Arial" w:cs="Arial"/>
          <w:noProof w:val="0"/>
          <w:sz w:val="18"/>
          <w:szCs w:val="18"/>
          <w:lang w:val="en-US"/>
        </w:rPr>
        <w:t xml:space="preserve">at </w:t>
      </w:r>
      <w:r w:rsidR="00EE5753" w:rsidRPr="00BD295E">
        <w:rPr>
          <w:rFonts w:ascii="Arial" w:hAnsi="Arial" w:cs="Arial"/>
          <w:noProof w:val="0"/>
          <w:sz w:val="18"/>
          <w:szCs w:val="18"/>
          <w:lang w:val="en-US"/>
        </w:rPr>
        <w:t>PJSC “Lenenergo”</w:t>
      </w:r>
      <w:r w:rsidR="008A5057" w:rsidRPr="00BD295E">
        <w:rPr>
          <w:rFonts w:ascii="Arial" w:hAnsi="Arial" w:cs="Arial"/>
          <w:noProof w:val="0"/>
          <w:sz w:val="18"/>
          <w:szCs w:val="18"/>
          <w:lang w:val="en-US"/>
        </w:rPr>
        <w:t xml:space="preserve"> </w:t>
      </w:r>
      <w:r w:rsidRPr="00BD295E">
        <w:rPr>
          <w:rFonts w:ascii="Arial" w:hAnsi="Arial" w:cs="Arial"/>
          <w:noProof w:val="0"/>
          <w:sz w:val="18"/>
          <w:szCs w:val="18"/>
          <w:lang w:val="en-US"/>
        </w:rPr>
        <w:t xml:space="preserve">are compliant </w:t>
      </w:r>
      <w:r w:rsidR="008A5057" w:rsidRPr="00BD295E">
        <w:rPr>
          <w:rFonts w:ascii="Arial" w:hAnsi="Arial" w:cs="Arial"/>
          <w:noProof w:val="0"/>
          <w:sz w:val="18"/>
          <w:szCs w:val="18"/>
          <w:lang w:val="en-US"/>
        </w:rPr>
        <w:t>with the principles and recommendations of the Code.</w:t>
      </w:r>
    </w:p>
    <w:p w14:paraId="04CE0598" w14:textId="77777777" w:rsidR="00F3260C" w:rsidRPr="00BD295E" w:rsidRDefault="008A5057" w:rsidP="009427FD">
      <w:pPr>
        <w:pStyle w:val="1f5"/>
        <w:tabs>
          <w:tab w:val="clear" w:pos="360"/>
          <w:tab w:val="left" w:pos="851"/>
        </w:tabs>
        <w:spacing w:after="0" w:line="240" w:lineRule="auto"/>
        <w:jc w:val="both"/>
        <w:rPr>
          <w:rFonts w:ascii="Arial" w:hAnsi="Arial" w:cs="Arial"/>
          <w:noProof w:val="0"/>
          <w:sz w:val="18"/>
          <w:szCs w:val="18"/>
          <w:lang w:val="en-US"/>
        </w:rPr>
      </w:pPr>
      <w:r w:rsidRPr="00BD295E">
        <w:rPr>
          <w:rFonts w:ascii="Arial" w:hAnsi="Arial" w:cs="Arial"/>
          <w:noProof w:val="0"/>
          <w:sz w:val="18"/>
          <w:szCs w:val="18"/>
          <w:lang w:val="en-US"/>
        </w:rPr>
        <w:t xml:space="preserve">In accordance with the </w:t>
      </w:r>
      <w:r w:rsidR="0053339C" w:rsidRPr="00BD295E">
        <w:rPr>
          <w:rFonts w:ascii="Arial" w:hAnsi="Arial" w:cs="Arial"/>
          <w:noProof w:val="0"/>
          <w:sz w:val="18"/>
          <w:szCs w:val="18"/>
          <w:lang w:val="en-US"/>
        </w:rPr>
        <w:t>guidelines</w:t>
      </w:r>
      <w:r w:rsidRPr="00BD295E">
        <w:rPr>
          <w:rFonts w:ascii="Arial" w:hAnsi="Arial" w:cs="Arial"/>
          <w:noProof w:val="0"/>
          <w:sz w:val="18"/>
          <w:szCs w:val="18"/>
          <w:lang w:val="en-US"/>
        </w:rPr>
        <w:t xml:space="preserve">, the percentage of </w:t>
      </w:r>
      <w:r w:rsidR="0053339C" w:rsidRPr="00BD295E">
        <w:rPr>
          <w:rFonts w:ascii="Arial" w:hAnsi="Arial" w:cs="Arial"/>
          <w:noProof w:val="0"/>
          <w:sz w:val="18"/>
          <w:szCs w:val="18"/>
          <w:lang w:val="en-US"/>
        </w:rPr>
        <w:t xml:space="preserve">the “100% met” and “partly met” scores </w:t>
      </w:r>
      <w:r w:rsidRPr="00BD295E">
        <w:rPr>
          <w:rFonts w:ascii="Arial" w:hAnsi="Arial" w:cs="Arial"/>
          <w:noProof w:val="0"/>
          <w:sz w:val="18"/>
          <w:szCs w:val="18"/>
          <w:lang w:val="en-US"/>
        </w:rPr>
        <w:t xml:space="preserve">was assessed for each section of the Code against criteria outlined in </w:t>
      </w:r>
      <w:r w:rsidR="0053339C" w:rsidRPr="00BD295E">
        <w:rPr>
          <w:rFonts w:ascii="Arial" w:hAnsi="Arial" w:cs="Arial"/>
          <w:noProof w:val="0"/>
          <w:sz w:val="18"/>
          <w:szCs w:val="18"/>
          <w:lang w:val="en-US"/>
        </w:rPr>
        <w:t xml:space="preserve">the </w:t>
      </w:r>
      <w:r w:rsidRPr="00BD295E">
        <w:rPr>
          <w:rFonts w:ascii="Arial" w:hAnsi="Arial" w:cs="Arial"/>
          <w:noProof w:val="0"/>
          <w:sz w:val="18"/>
          <w:szCs w:val="18"/>
          <w:lang w:val="en-US"/>
        </w:rPr>
        <w:t>respective section.</w:t>
      </w:r>
    </w:p>
    <w:p w14:paraId="6EB93E34" w14:textId="0D01BF00" w:rsidR="00F3260C" w:rsidRPr="00BD295E" w:rsidRDefault="00997D07" w:rsidP="00F3260C">
      <w:pPr>
        <w:pStyle w:val="1f5"/>
        <w:tabs>
          <w:tab w:val="clear" w:pos="360"/>
          <w:tab w:val="left" w:pos="1134"/>
        </w:tabs>
        <w:spacing w:after="0" w:line="360" w:lineRule="auto"/>
        <w:jc w:val="both"/>
        <w:rPr>
          <w:rFonts w:ascii="Arial" w:hAnsi="Arial" w:cs="Arial"/>
          <w:noProof w:val="0"/>
          <w:sz w:val="18"/>
          <w:szCs w:val="18"/>
          <w:lang w:val="en-US"/>
        </w:rPr>
      </w:pPr>
      <w:r w:rsidRPr="00BD295E">
        <w:rPr>
          <w:rFonts w:ascii="Arial" w:hAnsi="Arial" w:cs="Arial"/>
          <w:noProof w:val="0"/>
          <w:sz w:val="18"/>
          <w:szCs w:val="18"/>
          <w:lang w:val="en-US" w:eastAsia="en-US"/>
        </w:rPr>
        <w:drawing>
          <wp:anchor distT="0" distB="0" distL="114300" distR="114300" simplePos="0" relativeHeight="251673088" behindDoc="0" locked="0" layoutInCell="1" allowOverlap="1" wp14:anchorId="739BC84A" wp14:editId="33A25A39">
            <wp:simplePos x="0" y="0"/>
            <wp:positionH relativeFrom="column">
              <wp:posOffset>-239395</wp:posOffset>
            </wp:positionH>
            <wp:positionV relativeFrom="paragraph">
              <wp:posOffset>33655</wp:posOffset>
            </wp:positionV>
            <wp:extent cx="5882640" cy="3462655"/>
            <wp:effectExtent l="2540" t="0" r="1270" b="6350"/>
            <wp:wrapSquare wrapText="bothSides"/>
            <wp:docPr id="488" name="Диаграмма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page">
              <wp14:pctHeight>0</wp14:pctHeight>
            </wp14:sizeRelV>
          </wp:anchor>
        </w:drawing>
      </w:r>
    </w:p>
    <w:p w14:paraId="1BF36F8A" w14:textId="77777777" w:rsidR="00F3260C" w:rsidRPr="00BD295E" w:rsidRDefault="008A5057" w:rsidP="009427FD">
      <w:pPr>
        <w:pStyle w:val="1f5"/>
        <w:tabs>
          <w:tab w:val="clear" w:pos="360"/>
          <w:tab w:val="left" w:pos="851"/>
        </w:tabs>
        <w:spacing w:after="0" w:line="240" w:lineRule="auto"/>
        <w:jc w:val="both"/>
        <w:rPr>
          <w:rFonts w:ascii="Arial" w:hAnsi="Arial" w:cs="Arial"/>
          <w:noProof w:val="0"/>
          <w:sz w:val="18"/>
          <w:szCs w:val="18"/>
          <w:lang w:val="en-US"/>
        </w:rPr>
      </w:pPr>
      <w:r w:rsidRPr="00BD295E">
        <w:rPr>
          <w:rFonts w:ascii="Arial" w:hAnsi="Arial" w:cs="Arial"/>
          <w:noProof w:val="0"/>
          <w:sz w:val="18"/>
          <w:szCs w:val="18"/>
          <w:lang w:val="en-US"/>
        </w:rPr>
        <w:t>According to this analysis, the total number of “</w:t>
      </w:r>
      <w:r w:rsidR="0053339C" w:rsidRPr="00BD295E">
        <w:rPr>
          <w:rFonts w:ascii="Arial" w:hAnsi="Arial" w:cs="Arial"/>
          <w:noProof w:val="0"/>
          <w:sz w:val="18"/>
          <w:szCs w:val="18"/>
          <w:lang w:val="en-US"/>
        </w:rPr>
        <w:t>100% met</w:t>
      </w:r>
      <w:r w:rsidRPr="00BD295E">
        <w:rPr>
          <w:rFonts w:ascii="Arial" w:hAnsi="Arial" w:cs="Arial"/>
          <w:noProof w:val="0"/>
          <w:sz w:val="18"/>
          <w:szCs w:val="18"/>
          <w:lang w:val="en-US"/>
        </w:rPr>
        <w:t>” and “part</w:t>
      </w:r>
      <w:r w:rsidR="0053339C" w:rsidRPr="00BD295E">
        <w:rPr>
          <w:rFonts w:ascii="Arial" w:hAnsi="Arial" w:cs="Arial"/>
          <w:noProof w:val="0"/>
          <w:sz w:val="18"/>
          <w:szCs w:val="18"/>
          <w:lang w:val="en-US"/>
        </w:rPr>
        <w:t>ly met</w:t>
      </w:r>
      <w:r w:rsidRPr="00BD295E">
        <w:rPr>
          <w:rFonts w:ascii="Arial" w:hAnsi="Arial" w:cs="Arial"/>
          <w:noProof w:val="0"/>
          <w:sz w:val="18"/>
          <w:szCs w:val="18"/>
          <w:lang w:val="en-US"/>
        </w:rPr>
        <w:t>” scores was 95 out of 128 criteria, or 74.22% (64.06% for “full compliance”, and 10.16% for “partial compliance”), which witnesses the Company’s advanced corporate governance practices.</w:t>
      </w:r>
    </w:p>
    <w:p w14:paraId="650ACE9B" w14:textId="77777777" w:rsidR="00F3260C" w:rsidRPr="00BD295E" w:rsidRDefault="0053339C" w:rsidP="009427FD">
      <w:pPr>
        <w:pStyle w:val="1f5"/>
        <w:tabs>
          <w:tab w:val="clear" w:pos="360"/>
          <w:tab w:val="left" w:pos="851"/>
        </w:tabs>
        <w:spacing w:after="0" w:line="240" w:lineRule="auto"/>
        <w:jc w:val="both"/>
        <w:rPr>
          <w:rFonts w:ascii="Arial" w:hAnsi="Arial" w:cs="Arial"/>
          <w:noProof w:val="0"/>
          <w:sz w:val="18"/>
          <w:szCs w:val="18"/>
          <w:lang w:val="en-US"/>
        </w:rPr>
      </w:pPr>
      <w:r w:rsidRPr="00BD295E">
        <w:rPr>
          <w:rFonts w:ascii="Arial" w:hAnsi="Arial" w:cs="Arial"/>
          <w:noProof w:val="0"/>
          <w:sz w:val="18"/>
          <w:szCs w:val="18"/>
          <w:lang w:val="en-US"/>
        </w:rPr>
        <w:t>Detailed</w:t>
      </w:r>
      <w:r w:rsidR="008A5057" w:rsidRPr="00BD295E">
        <w:rPr>
          <w:rFonts w:ascii="Arial" w:hAnsi="Arial" w:cs="Arial"/>
          <w:noProof w:val="0"/>
          <w:sz w:val="18"/>
          <w:szCs w:val="18"/>
          <w:lang w:val="en-US"/>
        </w:rPr>
        <w:t xml:space="preserve"> information </w:t>
      </w:r>
      <w:r w:rsidRPr="00BD295E">
        <w:rPr>
          <w:rFonts w:ascii="Arial" w:hAnsi="Arial" w:cs="Arial"/>
          <w:noProof w:val="0"/>
          <w:sz w:val="18"/>
          <w:szCs w:val="18"/>
          <w:lang w:val="en-US"/>
        </w:rPr>
        <w:t>about</w:t>
      </w:r>
      <w:r w:rsidR="008A5057" w:rsidRPr="00BD295E">
        <w:rPr>
          <w:rFonts w:ascii="Arial" w:hAnsi="Arial" w:cs="Arial"/>
          <w:noProof w:val="0"/>
          <w:sz w:val="18"/>
          <w:szCs w:val="18"/>
          <w:lang w:val="en-US"/>
        </w:rPr>
        <w:t xml:space="preserve"> the Company’s compliance with the Code is provided in Appendix 6.3 to this Report.</w:t>
      </w:r>
    </w:p>
    <w:p w14:paraId="6AA50977" w14:textId="77777777" w:rsidR="00DD1869" w:rsidRPr="00BD295E" w:rsidRDefault="00DD1869" w:rsidP="009427FD">
      <w:pPr>
        <w:autoSpaceDE w:val="0"/>
        <w:autoSpaceDN w:val="0"/>
        <w:adjustRightInd w:val="0"/>
        <w:jc w:val="both"/>
        <w:rPr>
          <w:rFonts w:ascii="Arial" w:hAnsi="Arial" w:cs="Arial"/>
          <w:b/>
          <w:sz w:val="18"/>
          <w:szCs w:val="18"/>
          <w:lang w:val="en-US"/>
        </w:rPr>
      </w:pPr>
    </w:p>
    <w:p w14:paraId="58690F6B" w14:textId="77777777" w:rsidR="00DD1869" w:rsidRPr="00BD295E" w:rsidRDefault="008A5057" w:rsidP="009427FD">
      <w:pPr>
        <w:autoSpaceDE w:val="0"/>
        <w:autoSpaceDN w:val="0"/>
        <w:adjustRightInd w:val="0"/>
        <w:jc w:val="both"/>
        <w:rPr>
          <w:rFonts w:ascii="Arial" w:hAnsi="Arial" w:cs="Arial"/>
          <w:b/>
          <w:sz w:val="18"/>
          <w:szCs w:val="18"/>
          <w:lang w:val="en-US"/>
        </w:rPr>
      </w:pPr>
      <w:r w:rsidRPr="00BD295E">
        <w:rPr>
          <w:rFonts w:ascii="Arial" w:hAnsi="Arial" w:cs="Arial"/>
          <w:b/>
          <w:sz w:val="18"/>
          <w:szCs w:val="18"/>
          <w:lang w:val="en-US"/>
        </w:rPr>
        <w:t>Insider Information Protection</w:t>
      </w:r>
    </w:p>
    <w:p w14:paraId="51815902" w14:textId="77777777" w:rsidR="00DD1869" w:rsidRPr="00BD295E" w:rsidRDefault="00DD1869" w:rsidP="009427FD">
      <w:pPr>
        <w:autoSpaceDE w:val="0"/>
        <w:autoSpaceDN w:val="0"/>
        <w:adjustRightInd w:val="0"/>
        <w:jc w:val="both"/>
        <w:rPr>
          <w:rFonts w:ascii="Arial" w:hAnsi="Arial" w:cs="Arial"/>
          <w:b/>
          <w:sz w:val="18"/>
          <w:szCs w:val="18"/>
          <w:lang w:val="en-US"/>
        </w:rPr>
      </w:pPr>
    </w:p>
    <w:p w14:paraId="6A407319" w14:textId="77777777" w:rsidR="00F3260C" w:rsidRPr="00BD295E" w:rsidRDefault="00EE5753" w:rsidP="009427FD">
      <w:pPr>
        <w:contextualSpacing/>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as a public company whose securities are listed on MICEX, pays particular attention to monitoring insider information that can have a significant impact on the value of financial instruments. </w:t>
      </w:r>
    </w:p>
    <w:p w14:paraId="458C69F6" w14:textId="068D0033" w:rsidR="00F3260C" w:rsidRPr="00BD295E" w:rsidRDefault="008A5057" w:rsidP="009427FD">
      <w:pPr>
        <w:contextualSpacing/>
        <w:jc w:val="both"/>
        <w:rPr>
          <w:rFonts w:ascii="Arial" w:hAnsi="Arial" w:cs="Arial"/>
          <w:sz w:val="18"/>
          <w:szCs w:val="18"/>
          <w:lang w:val="en-US"/>
        </w:rPr>
      </w:pPr>
      <w:r w:rsidRPr="00BD295E">
        <w:rPr>
          <w:rFonts w:ascii="Arial" w:hAnsi="Arial" w:cs="Arial"/>
          <w:sz w:val="18"/>
          <w:szCs w:val="18"/>
          <w:lang w:val="en-US"/>
        </w:rPr>
        <w:t xml:space="preserve">In accordance with Federal Law No. 224-FZ, </w:t>
      </w:r>
      <w:r w:rsidRPr="00BD295E">
        <w:rPr>
          <w:rFonts w:ascii="Arial" w:hAnsi="Arial" w:cs="Arial"/>
          <w:i/>
          <w:iCs/>
          <w:sz w:val="18"/>
          <w:szCs w:val="18"/>
          <w:lang w:val="en-US"/>
        </w:rPr>
        <w:t>On Countering the Illegal Use of Insider Information and Market Manipulation and on Amendments to Certain Legislative Acts of the Russian Federation</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27, 2010, Federal Law No. 39-FZ, </w:t>
      </w:r>
      <w:r w:rsidRPr="00BD295E">
        <w:rPr>
          <w:rFonts w:ascii="Arial" w:hAnsi="Arial" w:cs="Arial"/>
          <w:i/>
          <w:iCs/>
          <w:sz w:val="18"/>
          <w:szCs w:val="18"/>
          <w:lang w:val="en-US"/>
        </w:rPr>
        <w:t>On the Securities Market</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22, 1996, Federal Law No. 208-FZ, </w:t>
      </w:r>
      <w:r w:rsidRPr="00BD295E">
        <w:rPr>
          <w:rFonts w:ascii="Arial" w:hAnsi="Arial" w:cs="Arial"/>
          <w:i/>
          <w:iCs/>
          <w:sz w:val="18"/>
          <w:szCs w:val="18"/>
          <w:lang w:val="en-US"/>
        </w:rPr>
        <w:t>On Joint Stock Companies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26, </w:t>
      </w:r>
      <w:r w:rsidR="002C3947" w:rsidRPr="00BD295E">
        <w:rPr>
          <w:rFonts w:ascii="Arial" w:hAnsi="Arial" w:cs="Arial"/>
          <w:sz w:val="18"/>
          <w:szCs w:val="18"/>
          <w:lang w:val="en-US"/>
        </w:rPr>
        <w:t>1995,</w:t>
      </w:r>
      <w:r w:rsidRPr="00BD295E">
        <w:rPr>
          <w:rFonts w:ascii="Arial" w:hAnsi="Arial" w:cs="Arial"/>
          <w:sz w:val="18"/>
          <w:szCs w:val="18"/>
          <w:lang w:val="en-US"/>
        </w:rPr>
        <w:t xml:space="preserve"> the Company’s Board of Directors approved the Regulations on Insider Information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(Minutes No. 44 </w:t>
      </w:r>
      <w:r w:rsidR="008B183C" w:rsidRPr="00BD295E">
        <w:rPr>
          <w:rFonts w:ascii="Arial" w:hAnsi="Arial" w:cs="Arial"/>
          <w:sz w:val="18"/>
          <w:szCs w:val="18"/>
          <w:lang w:val="en-US"/>
        </w:rPr>
        <w:t>of</w:t>
      </w:r>
      <w:r w:rsidRPr="00BD295E">
        <w:rPr>
          <w:rFonts w:ascii="Arial" w:hAnsi="Arial" w:cs="Arial"/>
          <w:sz w:val="18"/>
          <w:szCs w:val="18"/>
          <w:lang w:val="en-US"/>
        </w:rPr>
        <w:t xml:space="preserve"> June 7, 2018).</w:t>
      </w:r>
    </w:p>
    <w:p w14:paraId="36C9E114" w14:textId="77777777" w:rsidR="00F3260C" w:rsidRPr="00BD295E" w:rsidRDefault="008A5057" w:rsidP="009427FD">
      <w:pPr>
        <w:jc w:val="both"/>
        <w:rPr>
          <w:rFonts w:ascii="Arial" w:hAnsi="Arial" w:cs="Arial"/>
          <w:sz w:val="18"/>
          <w:szCs w:val="18"/>
          <w:lang w:val="en-US"/>
        </w:rPr>
      </w:pPr>
      <w:r w:rsidRPr="00BD295E">
        <w:rPr>
          <w:rFonts w:ascii="Arial" w:hAnsi="Arial" w:cs="Arial"/>
          <w:sz w:val="18"/>
          <w:szCs w:val="18"/>
          <w:lang w:val="en-US"/>
        </w:rPr>
        <w:t>In accordance with Federal Law FZ-224, the Company is working on the preparation, approval, and submittal of the Company’s list of insiders to the Moscow Exchange (MICEX).</w:t>
      </w:r>
    </w:p>
    <w:p w14:paraId="79CC8684" w14:textId="77777777" w:rsidR="00F3260C" w:rsidRPr="00BD295E" w:rsidRDefault="00F3260C" w:rsidP="009427FD">
      <w:pPr>
        <w:jc w:val="both"/>
        <w:rPr>
          <w:rFonts w:ascii="Arial" w:hAnsi="Arial" w:cs="Arial"/>
          <w:sz w:val="18"/>
          <w:szCs w:val="18"/>
          <w:lang w:val="en-US"/>
        </w:rPr>
      </w:pPr>
    </w:p>
    <w:p w14:paraId="36517662" w14:textId="28CDA8FC" w:rsidR="00F3260C" w:rsidRPr="00BD295E" w:rsidRDefault="00997D07" w:rsidP="00F3260C">
      <w:pPr>
        <w:jc w:val="both"/>
        <w:rPr>
          <w:rFonts w:ascii="Arial" w:hAnsi="Arial" w:cs="Arial"/>
          <w:sz w:val="18"/>
          <w:szCs w:val="18"/>
          <w:lang w:val="en-US"/>
        </w:rPr>
      </w:pPr>
      <w:r w:rsidRPr="00BD295E">
        <w:rPr>
          <w:rFonts w:ascii="Arial" w:hAnsi="Arial" w:cs="Arial"/>
          <w:sz w:val="18"/>
          <w:szCs w:val="18"/>
          <w:lang w:val="en-US" w:eastAsia="en-US"/>
        </w:rPr>
        <w:drawing>
          <wp:anchor distT="0" distB="0" distL="114300" distR="114300" simplePos="0" relativeHeight="251692544" behindDoc="0" locked="0" layoutInCell="1" allowOverlap="1" wp14:anchorId="3A5FA3F6" wp14:editId="2B5059E2">
            <wp:simplePos x="0" y="0"/>
            <wp:positionH relativeFrom="column">
              <wp:posOffset>149225</wp:posOffset>
            </wp:positionH>
            <wp:positionV relativeFrom="paragraph">
              <wp:posOffset>153035</wp:posOffset>
            </wp:positionV>
            <wp:extent cx="5939790" cy="1981200"/>
            <wp:effectExtent l="0" t="0" r="3810" b="0"/>
            <wp:wrapTopAndBottom/>
            <wp:docPr id="102" name="Диаграмма 7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page">
              <wp14:pctWidth>0</wp14:pctWidth>
            </wp14:sizeRelH>
            <wp14:sizeRelV relativeFrom="page">
              <wp14:pctHeight>0</wp14:pctHeight>
            </wp14:sizeRelV>
          </wp:anchor>
        </w:drawing>
      </w:r>
    </w:p>
    <w:p w14:paraId="6E374DF6" w14:textId="4494F44A" w:rsidR="00B20A51" w:rsidRPr="00BD295E" w:rsidRDefault="00B20A51" w:rsidP="00B02CD2">
      <w:pPr>
        <w:ind w:firstLine="709"/>
        <w:jc w:val="both"/>
        <w:rPr>
          <w:rFonts w:ascii="Arial" w:hAnsi="Arial" w:cs="Arial"/>
          <w:sz w:val="18"/>
          <w:szCs w:val="18"/>
          <w:lang w:val="en-US"/>
        </w:rPr>
      </w:pPr>
    </w:p>
    <w:p w14:paraId="235C4F9E" w14:textId="77777777" w:rsidR="00F3260C" w:rsidRPr="00BD295E" w:rsidRDefault="008A5057" w:rsidP="009427FD">
      <w:pPr>
        <w:jc w:val="both"/>
        <w:rPr>
          <w:rFonts w:ascii="Arial" w:hAnsi="Arial" w:cs="Arial"/>
          <w:sz w:val="18"/>
          <w:szCs w:val="18"/>
          <w:lang w:val="en-US"/>
        </w:rPr>
      </w:pPr>
      <w:r w:rsidRPr="00BD295E">
        <w:rPr>
          <w:rFonts w:ascii="Arial" w:hAnsi="Arial" w:cs="Arial"/>
          <w:sz w:val="18"/>
          <w:szCs w:val="18"/>
          <w:lang w:val="en-US"/>
        </w:rPr>
        <w:t>In 2018, the lists of insiders were timely prepared and submitted to Moscow Exchange, PJSC.</w:t>
      </w:r>
    </w:p>
    <w:p w14:paraId="276736CB" w14:textId="77777777" w:rsidR="00F3260C" w:rsidRPr="00BD295E" w:rsidRDefault="00EE5753" w:rsidP="009427FD">
      <w:pPr>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thoroughly complies with all legal requirements regarding the disclosure of insider information. No cases of delays in disclosing insider information were reported in 2018.</w:t>
      </w:r>
    </w:p>
    <w:p w14:paraId="3DADCDC8" w14:textId="77777777" w:rsidR="00F3260C" w:rsidRPr="00BD295E" w:rsidRDefault="008A5057" w:rsidP="009427FD">
      <w:pPr>
        <w:contextualSpacing/>
        <w:jc w:val="both"/>
        <w:rPr>
          <w:rFonts w:ascii="Arial" w:hAnsi="Arial" w:cs="Arial"/>
          <w:sz w:val="18"/>
          <w:szCs w:val="18"/>
          <w:lang w:val="en-US"/>
        </w:rPr>
      </w:pPr>
      <w:r w:rsidRPr="00BD295E">
        <w:rPr>
          <w:rFonts w:ascii="Arial" w:hAnsi="Arial" w:cs="Arial"/>
          <w:sz w:val="18"/>
          <w:szCs w:val="18"/>
          <w:lang w:val="en-US"/>
        </w:rPr>
        <w:t xml:space="preserve">Information for the insiders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published on the Company’s website at: </w:t>
      </w:r>
      <w:hyperlink r:id="rId95" w:history="1">
        <w:r w:rsidRPr="00BD295E">
          <w:rPr>
            <w:rStyle w:val="af0"/>
            <w:rFonts w:ascii="Arial" w:hAnsi="Arial" w:cs="Arial"/>
            <w:color w:val="auto"/>
            <w:sz w:val="18"/>
            <w:szCs w:val="18"/>
            <w:lang w:val="en-US"/>
          </w:rPr>
          <w:t>http://www.lenenergo.ru/shareholders/forinsiders/</w:t>
        </w:r>
      </w:hyperlink>
      <w:r w:rsidRPr="00BD295E">
        <w:rPr>
          <w:rFonts w:ascii="Arial" w:hAnsi="Arial" w:cs="Arial"/>
          <w:sz w:val="18"/>
          <w:szCs w:val="18"/>
          <w:lang w:val="en-US"/>
        </w:rPr>
        <w:t>.</w:t>
      </w:r>
    </w:p>
    <w:p w14:paraId="4FBC48CC" w14:textId="77777777" w:rsidR="00DD1869" w:rsidRPr="00BD295E" w:rsidRDefault="00DD1869" w:rsidP="00DD1869">
      <w:pPr>
        <w:autoSpaceDE w:val="0"/>
        <w:autoSpaceDN w:val="0"/>
        <w:adjustRightInd w:val="0"/>
        <w:jc w:val="both"/>
        <w:rPr>
          <w:rFonts w:ascii="Arial" w:hAnsi="Arial" w:cs="Arial"/>
          <w:b/>
          <w:sz w:val="18"/>
          <w:szCs w:val="18"/>
          <w:lang w:val="en-US"/>
        </w:rPr>
      </w:pPr>
    </w:p>
    <w:p w14:paraId="05419D78" w14:textId="28147CA6" w:rsidR="00F3260C" w:rsidRPr="00BD295E" w:rsidRDefault="002C72AA" w:rsidP="00360A2F">
      <w:pPr>
        <w:keepNext/>
        <w:spacing w:after="160" w:line="259" w:lineRule="auto"/>
        <w:rPr>
          <w:rStyle w:val="aff9"/>
          <w:rFonts w:ascii="Arial" w:hAnsi="Arial" w:cs="Arial"/>
          <w:sz w:val="18"/>
          <w:szCs w:val="18"/>
          <w:lang w:val="en-US"/>
        </w:rPr>
      </w:pP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18496" behindDoc="0" locked="0" layoutInCell="1" allowOverlap="1" wp14:anchorId="46CC57D6" wp14:editId="16E51636">
                <wp:simplePos x="0" y="0"/>
                <wp:positionH relativeFrom="column">
                  <wp:posOffset>387985</wp:posOffset>
                </wp:positionH>
                <wp:positionV relativeFrom="paragraph">
                  <wp:posOffset>224790</wp:posOffset>
                </wp:positionV>
                <wp:extent cx="2321560" cy="190500"/>
                <wp:effectExtent l="0" t="0" r="2540" b="0"/>
                <wp:wrapNone/>
                <wp:docPr id="5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1560" cy="190500"/>
                        </a:xfrm>
                        <a:prstGeom prst="rect">
                          <a:avLst/>
                        </a:prstGeom>
                        <a:solidFill>
                          <a:schemeClr val="bg1"/>
                        </a:solidFill>
                        <a:ln w="9525">
                          <a:noFill/>
                          <a:miter lim="800000"/>
                          <a:headEnd/>
                          <a:tailEnd/>
                        </a:ln>
                      </wps:spPr>
                      <wps:txbx>
                        <w:txbxContent>
                          <w:p w14:paraId="72D203F4" w14:textId="25C5CC23" w:rsidR="002C3947" w:rsidRPr="002C72AA" w:rsidRDefault="002C3947" w:rsidP="002C72AA">
                            <w:pPr>
                              <w:jc w:val="center"/>
                              <w:rPr>
                                <w:rFonts w:ascii="Arial" w:hAnsi="Arial" w:cs="Arial"/>
                                <w:b/>
                                <w:bCs/>
                                <w:color w:val="A0A0A0"/>
                                <w:sz w:val="22"/>
                                <w:szCs w:val="36"/>
                              </w:rPr>
                            </w:pPr>
                            <w:r w:rsidRPr="002C72AA">
                              <w:rPr>
                                <w:rFonts w:ascii="Arial" w:hAnsi="Arial" w:cs="Arial"/>
                                <w:b/>
                                <w:bCs/>
                                <w:color w:val="A0A0A0"/>
                                <w:sz w:val="22"/>
                                <w:szCs w:val="36"/>
                              </w:rPr>
                              <w:t>Control bodies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CC57D6" id="_x0000_s1119" type="#_x0000_t202" style="position:absolute;margin-left:30.55pt;margin-top:17.7pt;width:182.8pt;height:15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" fillcolor="white [3212]" stroked="f">
                <v:textbox inset="0,0,0,0">
                  <w:txbxContent>
                    <w:p w14:paraId="72D203F4" w14:textId="25C5CC23" w:rsidR="002C3947" w:rsidRPr="002C72AA" w:rsidRDefault="002C3947" w:rsidP="002C72AA">
                      <w:pPr>
                        <w:jc w:val="center"/>
                        <w:rPr>
                          <w:rFonts w:ascii="Arial" w:hAnsi="Arial" w:cs="Arial"/>
                          <w:b/>
                          <w:bCs/>
                          <w:color w:val="A0A0A0"/>
                          <w:sz w:val="22"/>
                          <w:szCs w:val="36"/>
                        </w:rPr>
                      </w:pPr>
                      <w:r w:rsidRPr="002C72AA">
                        <w:rPr>
                          <w:rFonts w:ascii="Arial" w:hAnsi="Arial" w:cs="Arial"/>
                          <w:b/>
                          <w:bCs/>
                          <w:color w:val="A0A0A0"/>
                          <w:sz w:val="22"/>
                          <w:szCs w:val="36"/>
                        </w:rPr>
                        <w:t>Control bodies</w:t>
                      </w:r>
                    </w:p>
                  </w:txbxContent>
                </v:textbox>
              </v:shape>
            </w:pict>
          </mc:Fallback>
        </mc:AlternateContent>
      </w: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20544" behindDoc="0" locked="0" layoutInCell="1" allowOverlap="1" wp14:anchorId="0EB6A26E" wp14:editId="20B93F3E">
                <wp:simplePos x="0" y="0"/>
                <wp:positionH relativeFrom="column">
                  <wp:posOffset>2797175</wp:posOffset>
                </wp:positionH>
                <wp:positionV relativeFrom="paragraph">
                  <wp:posOffset>226284</wp:posOffset>
                </wp:positionV>
                <wp:extent cx="2321560" cy="190500"/>
                <wp:effectExtent l="0" t="0" r="2540" b="0"/>
                <wp:wrapNone/>
                <wp:docPr id="5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1560" cy="190500"/>
                        </a:xfrm>
                        <a:prstGeom prst="rect">
                          <a:avLst/>
                        </a:prstGeom>
                        <a:solidFill>
                          <a:schemeClr val="bg1"/>
                        </a:solidFill>
                        <a:ln w="9525">
                          <a:noFill/>
                          <a:miter lim="800000"/>
                          <a:headEnd/>
                          <a:tailEnd/>
                        </a:ln>
                      </wps:spPr>
                      <wps:txbx>
                        <w:txbxContent>
                          <w:p w14:paraId="2AFD77F0" w14:textId="4368A758" w:rsidR="002C3947" w:rsidRPr="002C72AA" w:rsidRDefault="002C3947" w:rsidP="002C72AA">
                            <w:pPr>
                              <w:jc w:val="center"/>
                              <w:rPr>
                                <w:rFonts w:ascii="Arial" w:hAnsi="Arial" w:cs="Arial"/>
                                <w:b/>
                                <w:bCs/>
                                <w:color w:val="62C1F0"/>
                                <w:sz w:val="22"/>
                                <w:szCs w:val="36"/>
                              </w:rPr>
                            </w:pPr>
                            <w:r w:rsidRPr="002C72AA">
                              <w:rPr>
                                <w:rFonts w:ascii="Arial" w:hAnsi="Arial" w:cs="Arial"/>
                                <w:b/>
                                <w:bCs/>
                                <w:color w:val="62C1F0"/>
                                <w:sz w:val="22"/>
                                <w:szCs w:val="36"/>
                              </w:rPr>
                              <w:t>Governing bodies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B6A26E" id="_x0000_s1120" type="#_x0000_t202" style="position:absolute;margin-left:220.25pt;margin-top:17.8pt;width:182.8pt;height:15pt;z-index:25182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" fillcolor="white [3212]" stroked="f">
                <v:textbox inset="0,0,0,0">
                  <w:txbxContent>
                    <w:p w14:paraId="2AFD77F0" w14:textId="4368A758" w:rsidR="002C3947" w:rsidRPr="002C72AA" w:rsidRDefault="002C3947" w:rsidP="002C72AA">
                      <w:pPr>
                        <w:jc w:val="center"/>
                        <w:rPr>
                          <w:rFonts w:ascii="Arial" w:hAnsi="Arial" w:cs="Arial"/>
                          <w:b/>
                          <w:bCs/>
                          <w:color w:val="62C1F0"/>
                          <w:sz w:val="22"/>
                          <w:szCs w:val="36"/>
                        </w:rPr>
                      </w:pPr>
                      <w:r w:rsidRPr="002C72AA">
                        <w:rPr>
                          <w:rFonts w:ascii="Arial" w:hAnsi="Arial" w:cs="Arial"/>
                          <w:b/>
                          <w:bCs/>
                          <w:color w:val="62C1F0"/>
                          <w:sz w:val="22"/>
                          <w:szCs w:val="36"/>
                        </w:rPr>
                        <w:t>Governing bodies</w:t>
                      </w:r>
                    </w:p>
                  </w:txbxContent>
                </v:textbox>
              </v:shape>
            </w:pict>
          </mc:Fallback>
        </mc:AlternateContent>
      </w:r>
      <w:r w:rsidR="008A5057" w:rsidRPr="00BD295E">
        <w:rPr>
          <w:rStyle w:val="aff9"/>
          <w:rFonts w:ascii="Arial" w:hAnsi="Arial" w:cs="Arial"/>
          <w:sz w:val="18"/>
          <w:szCs w:val="18"/>
          <w:lang w:val="en-US"/>
        </w:rPr>
        <w:t>Structure of the Governing and Supervisory Bodies of the Company</w:t>
      </w:r>
    </w:p>
    <w:p w14:paraId="4142B286" w14:textId="05B331EE" w:rsidR="00F3260C" w:rsidRPr="00BD295E" w:rsidRDefault="00903863" w:rsidP="00F3260C">
      <w:pPr>
        <w:autoSpaceDE w:val="0"/>
        <w:autoSpaceDN w:val="0"/>
        <w:adjustRightInd w:val="0"/>
        <w:ind w:firstLine="567"/>
        <w:jc w:val="both"/>
        <w:rPr>
          <w:rStyle w:val="aff9"/>
          <w:rFonts w:ascii="Arial" w:hAnsi="Arial" w:cs="Arial"/>
          <w:b w:val="0"/>
          <w:sz w:val="18"/>
          <w:szCs w:val="18"/>
          <w:lang w:val="en-US"/>
        </w:rPr>
      </w:pPr>
      <w:bookmarkStart w:id="396" w:name="_Hlk95938775"/>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49216" behindDoc="0" locked="0" layoutInCell="1" allowOverlap="1" wp14:anchorId="468F1EA6" wp14:editId="57601BDC">
                <wp:simplePos x="0" y="0"/>
                <wp:positionH relativeFrom="column">
                  <wp:posOffset>3464196</wp:posOffset>
                </wp:positionH>
                <wp:positionV relativeFrom="paragraph">
                  <wp:posOffset>4475480</wp:posOffset>
                </wp:positionV>
                <wp:extent cx="937090" cy="496907"/>
                <wp:effectExtent l="0" t="0" r="0" b="0"/>
                <wp:wrapNone/>
                <wp:docPr id="1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090" cy="496907"/>
                        </a:xfrm>
                        <a:prstGeom prst="rect">
                          <a:avLst/>
                        </a:prstGeom>
                        <a:solidFill>
                          <a:schemeClr val="bg1"/>
                        </a:solidFill>
                        <a:ln w="9525">
                          <a:noFill/>
                          <a:miter lim="800000"/>
                          <a:headEnd/>
                          <a:tailEnd/>
                        </a:ln>
                      </wps:spPr>
                      <wps:txbx>
                        <w:txbxContent>
                          <w:p w14:paraId="633605FC" w14:textId="57771D0A"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CEO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8F1EA6" id="_x0000_s1121" type="#_x0000_t202" style="position:absolute;left:0;text-align:left;margin-left:272.75pt;margin-top:352.4pt;width:73.8pt;height:39.15pt;z-index:25184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" fillcolor="white [3212]" stroked="f">
                <v:textbox inset="0,0,0,0">
                  <w:txbxContent>
                    <w:p w14:paraId="633605FC" w14:textId="57771D0A"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CEO</w:t>
                      </w:r>
                    </w:p>
                  </w:txbxContent>
                </v:textbox>
              </v:shape>
            </w:pict>
          </mc:Fallback>
        </mc:AlternateContent>
      </w: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47168" behindDoc="0" locked="0" layoutInCell="1" allowOverlap="1" wp14:anchorId="1AABD6FD" wp14:editId="1B78276D">
                <wp:simplePos x="0" y="0"/>
                <wp:positionH relativeFrom="column">
                  <wp:posOffset>4083050</wp:posOffset>
                </wp:positionH>
                <wp:positionV relativeFrom="paragraph">
                  <wp:posOffset>3709306</wp:posOffset>
                </wp:positionV>
                <wp:extent cx="937090" cy="496907"/>
                <wp:effectExtent l="0" t="0" r="0" b="0"/>
                <wp:wrapNone/>
                <wp:docPr id="1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090" cy="496907"/>
                        </a:xfrm>
                        <a:prstGeom prst="rect">
                          <a:avLst/>
                        </a:prstGeom>
                        <a:solidFill>
                          <a:schemeClr val="bg1"/>
                        </a:solidFill>
                        <a:ln w="9525">
                          <a:noFill/>
                          <a:miter lim="800000"/>
                          <a:headEnd/>
                          <a:tailEnd/>
                        </a:ln>
                      </wps:spPr>
                      <wps:txbx>
                        <w:txbxContent>
                          <w:p w14:paraId="7BFA67BC" w14:textId="42EC17F6"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Strategy Council</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ABD6FD" id="_x0000_s1122" type="#_x0000_t202" style="position:absolute;left:0;text-align:left;margin-left:321.5pt;margin-top:292.05pt;width:73.8pt;height:39.15pt;z-index:25184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" fillcolor="white [3212]" stroked="f">
                <v:textbox inset="0,0,0,0">
                  <w:txbxContent>
                    <w:p w14:paraId="7BFA67BC" w14:textId="42EC17F6"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Strategy Council</w:t>
                      </w:r>
                    </w:p>
                  </w:txbxContent>
                </v:textbox>
              </v:shape>
            </w:pict>
          </mc:Fallback>
        </mc:AlternateContent>
      </w: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45120" behindDoc="0" locked="0" layoutInCell="1" allowOverlap="1" wp14:anchorId="7BE99DD2" wp14:editId="5CBB1BA6">
                <wp:simplePos x="0" y="0"/>
                <wp:positionH relativeFrom="column">
                  <wp:posOffset>2892425</wp:posOffset>
                </wp:positionH>
                <wp:positionV relativeFrom="paragraph">
                  <wp:posOffset>3713116</wp:posOffset>
                </wp:positionV>
                <wp:extent cx="937090" cy="496907"/>
                <wp:effectExtent l="0" t="0" r="0" b="0"/>
                <wp:wrapNone/>
                <wp:docPr id="1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090" cy="496907"/>
                        </a:xfrm>
                        <a:prstGeom prst="rect">
                          <a:avLst/>
                        </a:prstGeom>
                        <a:solidFill>
                          <a:schemeClr val="bg1"/>
                        </a:solidFill>
                        <a:ln w="9525">
                          <a:noFill/>
                          <a:miter lim="800000"/>
                          <a:headEnd/>
                          <a:tailEnd/>
                        </a:ln>
                      </wps:spPr>
                      <wps:txbx>
                        <w:txbxContent>
                          <w:p w14:paraId="0071FE38" w14:textId="7B815DE6"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IT Council</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E99DD2" id="_x0000_s1123" type="#_x0000_t202" style="position:absolute;left:0;text-align:left;margin-left:227.75pt;margin-top:292.35pt;width:73.8pt;height:39.15pt;z-index:25184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" fillcolor="white [3212]" stroked="f">
                <v:textbox inset="0,0,0,0">
                  <w:txbxContent>
                    <w:p w14:paraId="0071FE38" w14:textId="7B815DE6"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IT Council</w:t>
                      </w:r>
                    </w:p>
                  </w:txbxContent>
                </v:textbox>
              </v:shape>
            </w:pict>
          </mc:Fallback>
        </mc:AlternateContent>
      </w: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43072" behindDoc="0" locked="0" layoutInCell="1" allowOverlap="1" wp14:anchorId="2A3417C9" wp14:editId="28A1E3C0">
                <wp:simplePos x="0" y="0"/>
                <wp:positionH relativeFrom="column">
                  <wp:posOffset>3460279</wp:posOffset>
                </wp:positionH>
                <wp:positionV relativeFrom="paragraph">
                  <wp:posOffset>2947520</wp:posOffset>
                </wp:positionV>
                <wp:extent cx="937090" cy="496907"/>
                <wp:effectExtent l="0" t="0" r="0" b="0"/>
                <wp:wrapNone/>
                <wp:docPr id="1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090" cy="496907"/>
                        </a:xfrm>
                        <a:prstGeom prst="rect">
                          <a:avLst/>
                        </a:prstGeom>
                        <a:solidFill>
                          <a:schemeClr val="bg1"/>
                        </a:solidFill>
                        <a:ln w="9525">
                          <a:noFill/>
                          <a:miter lim="800000"/>
                          <a:headEnd/>
                          <a:tailEnd/>
                        </a:ln>
                      </wps:spPr>
                      <wps:txbx>
                        <w:txbxContent>
                          <w:p w14:paraId="0C25FFD0" w14:textId="73E7AD9A" w:rsidR="002C3947" w:rsidRPr="002C72AA" w:rsidRDefault="002C3947" w:rsidP="00903863">
                            <w:pPr>
                              <w:jc w:val="center"/>
                              <w:rPr>
                                <w:rFonts w:ascii="Arial" w:hAnsi="Arial" w:cs="Arial"/>
                                <w:color w:val="1D8BCD"/>
                                <w:sz w:val="14"/>
                                <w:szCs w:val="22"/>
                                <w:u w:val="single"/>
                              </w:rPr>
                            </w:pPr>
                            <w:r w:rsidRPr="00903863">
                              <w:rPr>
                                <w:rFonts w:ascii="Arial" w:hAnsi="Arial" w:cs="Arial"/>
                                <w:color w:val="1D8BCD"/>
                                <w:sz w:val="14"/>
                                <w:szCs w:val="22"/>
                                <w:u w:val="single"/>
                              </w:rPr>
                              <w:t>Management Board</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3417C9" id="_x0000_s1124" type="#_x0000_t202" style="position:absolute;left:0;text-align:left;margin-left:272.45pt;margin-top:232.1pt;width:73.8pt;height:39.15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" fillcolor="white [3212]" stroked="f">
                <v:textbox inset="0,0,0,0">
                  <w:txbxContent>
                    <w:p w14:paraId="0C25FFD0" w14:textId="73E7AD9A" w:rsidR="002C3947" w:rsidRPr="002C72AA" w:rsidRDefault="002C3947" w:rsidP="00903863">
                      <w:pPr>
                        <w:jc w:val="center"/>
                        <w:rPr>
                          <w:rFonts w:ascii="Arial" w:hAnsi="Arial" w:cs="Arial"/>
                          <w:color w:val="1D8BCD"/>
                          <w:sz w:val="14"/>
                          <w:szCs w:val="22"/>
                          <w:u w:val="single"/>
                        </w:rPr>
                      </w:pPr>
                      <w:r w:rsidRPr="00903863">
                        <w:rPr>
                          <w:rFonts w:ascii="Arial" w:hAnsi="Arial" w:cs="Arial"/>
                          <w:color w:val="1D8BCD"/>
                          <w:sz w:val="14"/>
                          <w:szCs w:val="22"/>
                          <w:u w:val="single"/>
                        </w:rPr>
                        <w:t>Management Board</w:t>
                      </w:r>
                    </w:p>
                  </w:txbxContent>
                </v:textbox>
              </v:shape>
            </w:pict>
          </mc:Fallback>
        </mc:AlternateContent>
      </w: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41024" behindDoc="0" locked="0" layoutInCell="1" allowOverlap="1" wp14:anchorId="77DF28AC" wp14:editId="506A6838">
                <wp:simplePos x="0" y="0"/>
                <wp:positionH relativeFrom="column">
                  <wp:posOffset>4076429</wp:posOffset>
                </wp:positionH>
                <wp:positionV relativeFrom="paragraph">
                  <wp:posOffset>2182495</wp:posOffset>
                </wp:positionV>
                <wp:extent cx="937090" cy="496907"/>
                <wp:effectExtent l="0" t="0" r="0" b="0"/>
                <wp:wrapNone/>
                <wp:docPr id="1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090" cy="496907"/>
                        </a:xfrm>
                        <a:prstGeom prst="rect">
                          <a:avLst/>
                        </a:prstGeom>
                        <a:solidFill>
                          <a:schemeClr val="bg1"/>
                        </a:solidFill>
                        <a:ln w="9525">
                          <a:noFill/>
                          <a:miter lim="800000"/>
                          <a:headEnd/>
                          <a:tailEnd/>
                        </a:ln>
                      </wps:spPr>
                      <wps:txbx>
                        <w:txbxContent>
                          <w:p w14:paraId="730CD589" w14:textId="04CB4338"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Nomination and Remuneration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DF28AC" id="_x0000_s1125" type="#_x0000_t202" style="position:absolute;left:0;text-align:left;margin-left:321pt;margin-top:171.85pt;width:73.8pt;height:39.15pt;z-index:25184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" fillcolor="white [3212]" stroked="f">
                <v:textbox inset="0,0,0,0">
                  <w:txbxContent>
                    <w:p w14:paraId="730CD589" w14:textId="04CB4338"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Nomination and Remuneration Committee</w:t>
                      </w:r>
                    </w:p>
                  </w:txbxContent>
                </v:textbox>
              </v:shape>
            </w:pict>
          </mc:Fallback>
        </mc:AlternateContent>
      </w: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38976" behindDoc="0" locked="0" layoutInCell="1" allowOverlap="1" wp14:anchorId="2BE2AAB9" wp14:editId="36787C35">
                <wp:simplePos x="0" y="0"/>
                <wp:positionH relativeFrom="column">
                  <wp:posOffset>2883535</wp:posOffset>
                </wp:positionH>
                <wp:positionV relativeFrom="paragraph">
                  <wp:posOffset>2182224</wp:posOffset>
                </wp:positionV>
                <wp:extent cx="937090" cy="496907"/>
                <wp:effectExtent l="0" t="0" r="0" b="0"/>
                <wp:wrapNone/>
                <wp:docPr id="1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090" cy="496907"/>
                        </a:xfrm>
                        <a:prstGeom prst="rect">
                          <a:avLst/>
                        </a:prstGeom>
                        <a:solidFill>
                          <a:schemeClr val="bg1"/>
                        </a:solidFill>
                        <a:ln w="9525">
                          <a:noFill/>
                          <a:miter lim="800000"/>
                          <a:headEnd/>
                          <a:tailEnd/>
                        </a:ln>
                      </wps:spPr>
                      <wps:txbx>
                        <w:txbxContent>
                          <w:p w14:paraId="18E5BE1B" w14:textId="0EC7FA07"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Reliability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E2AAB9" id="_x0000_s1126" type="#_x0000_t202" style="position:absolute;left:0;text-align:left;margin-left:227.05pt;margin-top:171.85pt;width:73.8pt;height:39.15pt;z-index:25183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" fillcolor="white [3212]" stroked="f">
                <v:textbox inset="0,0,0,0">
                  <w:txbxContent>
                    <w:p w14:paraId="18E5BE1B" w14:textId="0EC7FA07"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Reliability Committee</w:t>
                      </w:r>
                    </w:p>
                  </w:txbxContent>
                </v:textbox>
              </v:shape>
            </w:pict>
          </mc:Fallback>
        </mc:AlternateContent>
      </w: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36928" behindDoc="0" locked="0" layoutInCell="1" allowOverlap="1" wp14:anchorId="2BAE87CC" wp14:editId="4105C452">
                <wp:simplePos x="0" y="0"/>
                <wp:positionH relativeFrom="column">
                  <wp:posOffset>1694180</wp:posOffset>
                </wp:positionH>
                <wp:positionV relativeFrom="paragraph">
                  <wp:posOffset>2182224</wp:posOffset>
                </wp:positionV>
                <wp:extent cx="937090" cy="496907"/>
                <wp:effectExtent l="0" t="0" r="0" b="0"/>
                <wp:wrapNone/>
                <wp:docPr id="1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090" cy="496907"/>
                        </a:xfrm>
                        <a:prstGeom prst="rect">
                          <a:avLst/>
                        </a:prstGeom>
                        <a:solidFill>
                          <a:schemeClr val="bg1"/>
                        </a:solidFill>
                        <a:ln w="9525">
                          <a:noFill/>
                          <a:miter lim="800000"/>
                          <a:headEnd/>
                          <a:tailEnd/>
                        </a:ln>
                      </wps:spPr>
                      <wps:txbx>
                        <w:txbxContent>
                          <w:p w14:paraId="3D38F076" w14:textId="188EB0D4" w:rsidR="002C3947" w:rsidRPr="00903863" w:rsidRDefault="002C3947" w:rsidP="00903863">
                            <w:pPr>
                              <w:rPr>
                                <w:rFonts w:ascii="Arial" w:hAnsi="Arial" w:cs="Arial"/>
                                <w:color w:val="000000" w:themeColor="text1"/>
                                <w:sz w:val="14"/>
                                <w:szCs w:val="22"/>
                              </w:rPr>
                            </w:pPr>
                            <w:r w:rsidRPr="00903863">
                              <w:rPr>
                                <w:rFonts w:ascii="Arial" w:hAnsi="Arial" w:cs="Arial"/>
                                <w:color w:val="000000" w:themeColor="text1"/>
                                <w:sz w:val="14"/>
                                <w:szCs w:val="22"/>
                              </w:rPr>
                              <w:t>Internal Audit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AE87CC" id="_x0000_s1127" type="#_x0000_t202" style="position:absolute;left:0;text-align:left;margin-left:133.4pt;margin-top:171.85pt;width:73.8pt;height:39.15pt;z-index:25183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" fillcolor="white [3212]" stroked="f">
                <v:textbox inset="0,0,0,0">
                  <w:txbxContent>
                    <w:p w14:paraId="3D38F076" w14:textId="188EB0D4" w:rsidR="002C3947" w:rsidRPr="00903863" w:rsidRDefault="002C3947" w:rsidP="00903863">
                      <w:pPr>
                        <w:rPr>
                          <w:rFonts w:ascii="Arial" w:hAnsi="Arial" w:cs="Arial"/>
                          <w:color w:val="000000" w:themeColor="text1"/>
                          <w:sz w:val="14"/>
                          <w:szCs w:val="22"/>
                        </w:rPr>
                      </w:pPr>
                      <w:r w:rsidRPr="00903863">
                        <w:rPr>
                          <w:rFonts w:ascii="Arial" w:hAnsi="Arial" w:cs="Arial"/>
                          <w:color w:val="000000" w:themeColor="text1"/>
                          <w:sz w:val="14"/>
                          <w:szCs w:val="22"/>
                        </w:rPr>
                        <w:t>Internal Audit Department</w:t>
                      </w:r>
                    </w:p>
                  </w:txbxContent>
                </v:textbox>
              </v:shape>
            </w:pict>
          </mc:Fallback>
        </mc:AlternateContent>
      </w: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34880" behindDoc="0" locked="0" layoutInCell="1" allowOverlap="1" wp14:anchorId="12ABD66D" wp14:editId="4F05727A">
                <wp:simplePos x="0" y="0"/>
                <wp:positionH relativeFrom="column">
                  <wp:posOffset>458593</wp:posOffset>
                </wp:positionH>
                <wp:positionV relativeFrom="paragraph">
                  <wp:posOffset>2187247</wp:posOffset>
                </wp:positionV>
                <wp:extent cx="937090" cy="496907"/>
                <wp:effectExtent l="0" t="0" r="0" b="0"/>
                <wp:wrapNone/>
                <wp:docPr id="1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090" cy="496907"/>
                        </a:xfrm>
                        <a:prstGeom prst="rect">
                          <a:avLst/>
                        </a:prstGeom>
                        <a:solidFill>
                          <a:schemeClr val="bg1"/>
                        </a:solidFill>
                        <a:ln w="9525">
                          <a:noFill/>
                          <a:miter lim="800000"/>
                          <a:headEnd/>
                          <a:tailEnd/>
                        </a:ln>
                      </wps:spPr>
                      <wps:txbx>
                        <w:txbxContent>
                          <w:p w14:paraId="781B27D6" w14:textId="0B4BCE6E"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External auditor</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2ABD66D" id="_x0000_s1128" type="#_x0000_t202" style="position:absolute;left:0;text-align:left;margin-left:36.1pt;margin-top:172.2pt;width:73.8pt;height:39.15pt;z-index:25183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" fillcolor="white [3212]" stroked="f">
                <v:textbox inset="0,0,0,0">
                  <w:txbxContent>
                    <w:p w14:paraId="781B27D6" w14:textId="0B4BCE6E"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External auditor</w:t>
                      </w:r>
                    </w:p>
                  </w:txbxContent>
                </v:textbox>
              </v:shape>
            </w:pict>
          </mc:Fallback>
        </mc:AlternateContent>
      </w:r>
      <w:r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32832" behindDoc="0" locked="0" layoutInCell="1" allowOverlap="1" wp14:anchorId="1D079BC7" wp14:editId="6B209186">
                <wp:simplePos x="0" y="0"/>
                <wp:positionH relativeFrom="column">
                  <wp:posOffset>4081800</wp:posOffset>
                </wp:positionH>
                <wp:positionV relativeFrom="paragraph">
                  <wp:posOffset>1415637</wp:posOffset>
                </wp:positionV>
                <wp:extent cx="937090" cy="496907"/>
                <wp:effectExtent l="0" t="0" r="0" b="0"/>
                <wp:wrapNone/>
                <wp:docPr id="1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090" cy="496907"/>
                        </a:xfrm>
                        <a:prstGeom prst="rect">
                          <a:avLst/>
                        </a:prstGeom>
                        <a:solidFill>
                          <a:schemeClr val="bg1"/>
                        </a:solidFill>
                        <a:ln w="9525">
                          <a:noFill/>
                          <a:miter lim="800000"/>
                          <a:headEnd/>
                          <a:tailEnd/>
                        </a:ln>
                      </wps:spPr>
                      <wps:txbx>
                        <w:txbxContent>
                          <w:p w14:paraId="501DCF07" w14:textId="6C550140"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Strategy and Development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079BC7" id="_x0000_s1129" type="#_x0000_t202" style="position:absolute;left:0;text-align:left;margin-left:321.4pt;margin-top:111.45pt;width:73.8pt;height:39.15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" fillcolor="white [3212]" stroked="f">
                <v:textbox inset="0,0,0,0">
                  <w:txbxContent>
                    <w:p w14:paraId="501DCF07" w14:textId="6C550140" w:rsidR="002C3947" w:rsidRPr="002C72AA" w:rsidRDefault="002C3947" w:rsidP="00903863">
                      <w:pPr>
                        <w:rPr>
                          <w:rFonts w:ascii="Arial" w:hAnsi="Arial" w:cs="Arial"/>
                          <w:color w:val="1D8BCD"/>
                          <w:sz w:val="14"/>
                          <w:szCs w:val="22"/>
                          <w:u w:val="single"/>
                        </w:rPr>
                      </w:pPr>
                      <w:r w:rsidRPr="00903863">
                        <w:rPr>
                          <w:rFonts w:ascii="Arial" w:hAnsi="Arial" w:cs="Arial"/>
                          <w:color w:val="1D8BCD"/>
                          <w:sz w:val="14"/>
                          <w:szCs w:val="22"/>
                          <w:u w:val="single"/>
                        </w:rPr>
                        <w:t>Strategy and Development Committee</w:t>
                      </w:r>
                    </w:p>
                  </w:txbxContent>
                </v:textbox>
              </v:shape>
            </w:pict>
          </mc:Fallback>
        </mc:AlternateContent>
      </w:r>
      <w:r w:rsidR="002C72AA"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30784" behindDoc="0" locked="0" layoutInCell="1" allowOverlap="1" wp14:anchorId="147DC76F" wp14:editId="67E47F7F">
                <wp:simplePos x="0" y="0"/>
                <wp:positionH relativeFrom="column">
                  <wp:posOffset>2899661</wp:posOffset>
                </wp:positionH>
                <wp:positionV relativeFrom="paragraph">
                  <wp:posOffset>1415636</wp:posOffset>
                </wp:positionV>
                <wp:extent cx="884903" cy="496907"/>
                <wp:effectExtent l="0" t="0" r="0" b="0"/>
                <wp:wrapNone/>
                <wp:docPr id="1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903" cy="496907"/>
                        </a:xfrm>
                        <a:prstGeom prst="rect">
                          <a:avLst/>
                        </a:prstGeom>
                        <a:solidFill>
                          <a:schemeClr val="bg1"/>
                        </a:solidFill>
                        <a:ln w="9525">
                          <a:noFill/>
                          <a:miter lim="800000"/>
                          <a:headEnd/>
                          <a:tailEnd/>
                        </a:ln>
                      </wps:spPr>
                      <wps:txbx>
                        <w:txbxContent>
                          <w:p w14:paraId="2B0F4843" w14:textId="0B3D1CB2" w:rsidR="002C3947" w:rsidRPr="002C72AA" w:rsidRDefault="002C3947" w:rsidP="002C72AA">
                            <w:pPr>
                              <w:rPr>
                                <w:rFonts w:ascii="Arial" w:hAnsi="Arial" w:cs="Arial"/>
                                <w:color w:val="1D8BCD"/>
                                <w:sz w:val="14"/>
                                <w:szCs w:val="22"/>
                                <w:u w:val="single"/>
                              </w:rPr>
                            </w:pPr>
                            <w:r w:rsidRPr="00903863">
                              <w:rPr>
                                <w:rFonts w:ascii="Arial" w:hAnsi="Arial" w:cs="Arial"/>
                                <w:color w:val="1D8BCD"/>
                                <w:sz w:val="14"/>
                                <w:szCs w:val="22"/>
                                <w:u w:val="single"/>
                              </w:rPr>
                              <w:t>Grid Connection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7DC76F" id="_x0000_s1130" type="#_x0000_t202" style="position:absolute;left:0;text-align:left;margin-left:228.3pt;margin-top:111.45pt;width:69.7pt;height:39.15pt;z-index:25183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" fillcolor="white [3212]" stroked="f">
                <v:textbox inset="0,0,0,0">
                  <w:txbxContent>
                    <w:p w14:paraId="2B0F4843" w14:textId="0B3D1CB2" w:rsidR="002C3947" w:rsidRPr="002C72AA" w:rsidRDefault="002C3947" w:rsidP="002C72AA">
                      <w:pPr>
                        <w:rPr>
                          <w:rFonts w:ascii="Arial" w:hAnsi="Arial" w:cs="Arial"/>
                          <w:color w:val="1D8BCD"/>
                          <w:sz w:val="14"/>
                          <w:szCs w:val="22"/>
                          <w:u w:val="single"/>
                        </w:rPr>
                      </w:pPr>
                      <w:r w:rsidRPr="00903863">
                        <w:rPr>
                          <w:rFonts w:ascii="Arial" w:hAnsi="Arial" w:cs="Arial"/>
                          <w:color w:val="1D8BCD"/>
                          <w:sz w:val="14"/>
                          <w:szCs w:val="22"/>
                          <w:u w:val="single"/>
                        </w:rPr>
                        <w:t>Grid Connection Committee</w:t>
                      </w:r>
                    </w:p>
                  </w:txbxContent>
                </v:textbox>
              </v:shape>
            </w:pict>
          </mc:Fallback>
        </mc:AlternateContent>
      </w:r>
      <w:r w:rsidR="002C72AA"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28736" behindDoc="0" locked="0" layoutInCell="1" allowOverlap="1" wp14:anchorId="5E0400AB" wp14:editId="446B7A6C">
                <wp:simplePos x="0" y="0"/>
                <wp:positionH relativeFrom="column">
                  <wp:posOffset>1134110</wp:posOffset>
                </wp:positionH>
                <wp:positionV relativeFrom="paragraph">
                  <wp:posOffset>1452516</wp:posOffset>
                </wp:positionV>
                <wp:extent cx="884903" cy="426864"/>
                <wp:effectExtent l="0" t="0" r="0" b="0"/>
                <wp:wrapNone/>
                <wp:docPr id="1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903" cy="426864"/>
                        </a:xfrm>
                        <a:prstGeom prst="rect">
                          <a:avLst/>
                        </a:prstGeom>
                        <a:solidFill>
                          <a:schemeClr val="bg1"/>
                        </a:solidFill>
                        <a:ln w="9525">
                          <a:noFill/>
                          <a:miter lim="800000"/>
                          <a:headEnd/>
                          <a:tailEnd/>
                        </a:ln>
                      </wps:spPr>
                      <wps:txbx>
                        <w:txbxContent>
                          <w:p w14:paraId="3B3F4C7A" w14:textId="2E06F272" w:rsidR="002C3947" w:rsidRPr="002C72AA" w:rsidRDefault="002C3947" w:rsidP="002C72AA">
                            <w:pPr>
                              <w:rPr>
                                <w:rFonts w:ascii="Arial" w:hAnsi="Arial" w:cs="Arial"/>
                                <w:color w:val="1D8BCD"/>
                                <w:sz w:val="14"/>
                                <w:szCs w:val="22"/>
                                <w:u w:val="single"/>
                              </w:rPr>
                            </w:pPr>
                            <w:r w:rsidRPr="002C72AA">
                              <w:rPr>
                                <w:rFonts w:ascii="Arial" w:hAnsi="Arial" w:cs="Arial"/>
                                <w:color w:val="1D8BCD"/>
                                <w:sz w:val="14"/>
                                <w:szCs w:val="22"/>
                                <w:u w:val="single"/>
                              </w:rPr>
                              <w:t>Audit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0400AB" id="_x0000_s1131" type="#_x0000_t202" style="position:absolute;left:0;text-align:left;margin-left:89.3pt;margin-top:114.35pt;width:69.7pt;height:33.6pt;z-index:25182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" fillcolor="white [3212]" stroked="f">
                <v:textbox inset="0,0,0,0">
                  <w:txbxContent>
                    <w:p w14:paraId="3B3F4C7A" w14:textId="2E06F272" w:rsidR="002C3947" w:rsidRPr="002C72AA" w:rsidRDefault="002C3947" w:rsidP="002C72AA">
                      <w:pPr>
                        <w:rPr>
                          <w:rFonts w:ascii="Arial" w:hAnsi="Arial" w:cs="Arial"/>
                          <w:color w:val="1D8BCD"/>
                          <w:sz w:val="14"/>
                          <w:szCs w:val="22"/>
                          <w:u w:val="single"/>
                        </w:rPr>
                      </w:pPr>
                      <w:r w:rsidRPr="002C72AA">
                        <w:rPr>
                          <w:rFonts w:ascii="Arial" w:hAnsi="Arial" w:cs="Arial"/>
                          <w:color w:val="1D8BCD"/>
                          <w:sz w:val="14"/>
                          <w:szCs w:val="22"/>
                          <w:u w:val="single"/>
                        </w:rPr>
                        <w:t>Audit Committee</w:t>
                      </w:r>
                    </w:p>
                  </w:txbxContent>
                </v:textbox>
              </v:shape>
            </w:pict>
          </mc:Fallback>
        </mc:AlternateContent>
      </w:r>
      <w:r w:rsidR="002C72AA"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26688" behindDoc="0" locked="0" layoutInCell="1" allowOverlap="1" wp14:anchorId="17EDB006" wp14:editId="5327E9A5">
                <wp:simplePos x="0" y="0"/>
                <wp:positionH relativeFrom="column">
                  <wp:posOffset>3450695</wp:posOffset>
                </wp:positionH>
                <wp:positionV relativeFrom="paragraph">
                  <wp:posOffset>693853</wp:posOffset>
                </wp:positionV>
                <wp:extent cx="942569" cy="426864"/>
                <wp:effectExtent l="0" t="0" r="0" b="0"/>
                <wp:wrapNone/>
                <wp:docPr id="1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569" cy="426864"/>
                        </a:xfrm>
                        <a:prstGeom prst="rect">
                          <a:avLst/>
                        </a:prstGeom>
                        <a:solidFill>
                          <a:schemeClr val="bg1"/>
                        </a:solidFill>
                        <a:ln w="9525">
                          <a:noFill/>
                          <a:miter lim="800000"/>
                          <a:headEnd/>
                          <a:tailEnd/>
                        </a:ln>
                      </wps:spPr>
                      <wps:txbx>
                        <w:txbxContent>
                          <w:p w14:paraId="7E69D414" w14:textId="30E209C3" w:rsidR="002C3947" w:rsidRPr="002C72AA" w:rsidRDefault="002C3947" w:rsidP="002C72AA">
                            <w:pPr>
                              <w:rPr>
                                <w:rFonts w:ascii="Arial" w:hAnsi="Arial" w:cs="Arial"/>
                                <w:color w:val="006DC0"/>
                                <w:sz w:val="16"/>
                                <w:u w:val="single"/>
                              </w:rPr>
                            </w:pPr>
                            <w:r w:rsidRPr="002C72AA">
                              <w:rPr>
                                <w:rFonts w:ascii="Arial" w:hAnsi="Arial" w:cs="Arial"/>
                                <w:color w:val="006DC0"/>
                                <w:sz w:val="16"/>
                                <w:u w:val="single"/>
                              </w:rPr>
                              <w:t>Board of Directors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EDB006" id="_x0000_s1132" type="#_x0000_t202" style="position:absolute;left:0;text-align:left;margin-left:271.7pt;margin-top:54.65pt;width:74.2pt;height:33.6pt;z-index:25182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" fillcolor="white [3212]" stroked="f">
                <v:textbox inset="0,0,0,0">
                  <w:txbxContent>
                    <w:p w14:paraId="7E69D414" w14:textId="30E209C3" w:rsidR="002C3947" w:rsidRPr="002C72AA" w:rsidRDefault="002C3947" w:rsidP="002C72AA">
                      <w:pPr>
                        <w:rPr>
                          <w:rFonts w:ascii="Arial" w:hAnsi="Arial" w:cs="Arial"/>
                          <w:color w:val="006DC0"/>
                          <w:sz w:val="16"/>
                          <w:u w:val="single"/>
                        </w:rPr>
                      </w:pPr>
                      <w:r w:rsidRPr="002C72AA">
                        <w:rPr>
                          <w:rFonts w:ascii="Arial" w:hAnsi="Arial" w:cs="Arial"/>
                          <w:color w:val="006DC0"/>
                          <w:sz w:val="16"/>
                          <w:u w:val="single"/>
                        </w:rPr>
                        <w:t>Board of Directors</w:t>
                      </w:r>
                    </w:p>
                  </w:txbxContent>
                </v:textbox>
              </v:shape>
            </w:pict>
          </mc:Fallback>
        </mc:AlternateContent>
      </w:r>
      <w:r w:rsidR="002C72AA"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24640" behindDoc="0" locked="0" layoutInCell="1" allowOverlap="1" wp14:anchorId="37817341" wp14:editId="298C57B1">
                <wp:simplePos x="0" y="0"/>
                <wp:positionH relativeFrom="column">
                  <wp:posOffset>1199365</wp:posOffset>
                </wp:positionH>
                <wp:positionV relativeFrom="paragraph">
                  <wp:posOffset>698187</wp:posOffset>
                </wp:positionV>
                <wp:extent cx="775723" cy="426864"/>
                <wp:effectExtent l="0" t="0" r="5715" b="0"/>
                <wp:wrapNone/>
                <wp:docPr id="1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723" cy="426864"/>
                        </a:xfrm>
                        <a:prstGeom prst="rect">
                          <a:avLst/>
                        </a:prstGeom>
                        <a:solidFill>
                          <a:schemeClr val="bg1"/>
                        </a:solidFill>
                        <a:ln w="9525">
                          <a:noFill/>
                          <a:miter lim="800000"/>
                          <a:headEnd/>
                          <a:tailEnd/>
                        </a:ln>
                      </wps:spPr>
                      <wps:txbx>
                        <w:txbxContent>
                          <w:p w14:paraId="508725A9" w14:textId="1AD76493" w:rsidR="002C3947" w:rsidRPr="002C72AA" w:rsidRDefault="002C3947" w:rsidP="002C72AA">
                            <w:pPr>
                              <w:rPr>
                                <w:rFonts w:ascii="Arial" w:hAnsi="Arial" w:cs="Arial"/>
                                <w:color w:val="006DC0"/>
                                <w:sz w:val="16"/>
                                <w:u w:val="single"/>
                              </w:rPr>
                            </w:pPr>
                            <w:r w:rsidRPr="002C72AA">
                              <w:rPr>
                                <w:rFonts w:ascii="Arial" w:hAnsi="Arial" w:cs="Arial"/>
                                <w:color w:val="006DC0"/>
                                <w:sz w:val="16"/>
                                <w:u w:val="single"/>
                              </w:rPr>
                              <w:t>Internal Audit Commission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817341" id="_x0000_s1133" type="#_x0000_t202" style="position:absolute;left:0;text-align:left;margin-left:94.45pt;margin-top:55pt;width:61.1pt;height:33.6pt;z-index:25182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" fillcolor="white [3212]" stroked="f">
                <v:textbox inset="0,0,0,0">
                  <w:txbxContent>
                    <w:p w14:paraId="508725A9" w14:textId="1AD76493" w:rsidR="002C3947" w:rsidRPr="002C72AA" w:rsidRDefault="002C3947" w:rsidP="002C72AA">
                      <w:pPr>
                        <w:rPr>
                          <w:rFonts w:ascii="Arial" w:hAnsi="Arial" w:cs="Arial"/>
                          <w:color w:val="006DC0"/>
                          <w:sz w:val="16"/>
                          <w:u w:val="single"/>
                        </w:rPr>
                      </w:pPr>
                      <w:r w:rsidRPr="002C72AA">
                        <w:rPr>
                          <w:rFonts w:ascii="Arial" w:hAnsi="Arial" w:cs="Arial"/>
                          <w:color w:val="006DC0"/>
                          <w:sz w:val="16"/>
                          <w:u w:val="single"/>
                        </w:rPr>
                        <w:t>Internal Audit Commission</w:t>
                      </w:r>
                    </w:p>
                  </w:txbxContent>
                </v:textbox>
              </v:shape>
            </w:pict>
          </mc:Fallback>
        </mc:AlternateContent>
      </w:r>
      <w:r w:rsidR="002C72AA" w:rsidRPr="00BD295E">
        <w:rPr>
          <w:rStyle w:val="aff9"/>
          <w:rFonts w:ascii="Arial Narrow" w:hAnsi="Arial Narrow" w:cs="Arial"/>
          <w:b w:val="0"/>
          <w:bCs w:val="0"/>
          <w:color w:val="44596B"/>
          <w:sz w:val="18"/>
          <w:szCs w:val="18"/>
          <w:lang w:val="en-US" w:eastAsia="en-US"/>
        </w:rPr>
        <mc:AlternateContent>
          <mc:Choice Requires="wps">
            <w:drawing>
              <wp:anchor distT="45720" distB="45720" distL="114300" distR="114300" simplePos="0" relativeHeight="251822592" behindDoc="0" locked="0" layoutInCell="1" allowOverlap="1" wp14:anchorId="72A6E416" wp14:editId="2C127BB9">
                <wp:simplePos x="0" y="0"/>
                <wp:positionH relativeFrom="column">
                  <wp:posOffset>456329</wp:posOffset>
                </wp:positionH>
                <wp:positionV relativeFrom="paragraph">
                  <wp:posOffset>213785</wp:posOffset>
                </wp:positionV>
                <wp:extent cx="4609392" cy="227750"/>
                <wp:effectExtent l="0" t="0" r="1270" b="1270"/>
                <wp:wrapNone/>
                <wp:docPr id="5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9392" cy="227750"/>
                        </a:xfrm>
                        <a:prstGeom prst="rect">
                          <a:avLst/>
                        </a:prstGeom>
                        <a:solidFill>
                          <a:srgbClr val="A0A0A0"/>
                        </a:solidFill>
                        <a:ln w="9525">
                          <a:noFill/>
                          <a:miter lim="800000"/>
                          <a:headEnd/>
                          <a:tailEnd/>
                        </a:ln>
                      </wps:spPr>
                      <wps:txbx>
                        <w:txbxContent>
                          <w:p w14:paraId="4252170D" w14:textId="2A25EB52" w:rsidR="002C3947" w:rsidRPr="002C72AA" w:rsidRDefault="002C3947" w:rsidP="002C72AA">
                            <w:pPr>
                              <w:jc w:val="center"/>
                              <w:rPr>
                                <w:rFonts w:ascii="Arial" w:hAnsi="Arial" w:cs="Arial"/>
                                <w:color w:val="FFFFFF" w:themeColor="background1"/>
                                <w:sz w:val="22"/>
                                <w:szCs w:val="36"/>
                                <w:u w:val="single"/>
                              </w:rPr>
                            </w:pPr>
                            <w:r w:rsidRPr="002C72AA">
                              <w:rPr>
                                <w:rFonts w:ascii="Arial" w:hAnsi="Arial" w:cs="Arial"/>
                                <w:color w:val="FFFFFF" w:themeColor="background1"/>
                                <w:sz w:val="22"/>
                                <w:szCs w:val="36"/>
                                <w:u w:val="single"/>
                              </w:rPr>
                              <w:t>General Meeting</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A6E416" id="_x0000_s1134" type="#_x0000_t202" style="position:absolute;left:0;text-align:left;margin-left:35.95pt;margin-top:16.85pt;width:362.95pt;height:17.95pt;z-index:25182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" fillcolor="#a0a0a0" stroked="f">
                <v:textbox inset="0,0,0,0">
                  <w:txbxContent>
                    <w:p w14:paraId="4252170D" w14:textId="2A25EB52" w:rsidR="002C3947" w:rsidRPr="002C72AA" w:rsidRDefault="002C3947" w:rsidP="002C72AA">
                      <w:pPr>
                        <w:jc w:val="center"/>
                        <w:rPr>
                          <w:rFonts w:ascii="Arial" w:hAnsi="Arial" w:cs="Arial"/>
                          <w:color w:val="FFFFFF" w:themeColor="background1"/>
                          <w:sz w:val="22"/>
                          <w:szCs w:val="36"/>
                          <w:u w:val="single"/>
                        </w:rPr>
                      </w:pPr>
                      <w:r w:rsidRPr="002C72AA">
                        <w:rPr>
                          <w:rFonts w:ascii="Arial" w:hAnsi="Arial" w:cs="Arial"/>
                          <w:color w:val="FFFFFF" w:themeColor="background1"/>
                          <w:sz w:val="22"/>
                          <w:szCs w:val="36"/>
                          <w:u w:val="single"/>
                        </w:rPr>
                        <w:t>General Meeting</w:t>
                      </w:r>
                    </w:p>
                  </w:txbxContent>
                </v:textbox>
              </v:shape>
            </w:pict>
          </mc:Fallback>
        </mc:AlternateContent>
      </w:r>
      <w:r w:rsidR="00997D07" w:rsidRPr="00BD295E">
        <w:rPr>
          <w:rFonts w:ascii="Arial" w:hAnsi="Arial" w:cs="Arial"/>
          <w:sz w:val="18"/>
          <w:szCs w:val="18"/>
          <w:lang w:val="en-US" w:eastAsia="en-US"/>
        </w:rPr>
        <w:drawing>
          <wp:inline distT="0" distB="0" distL="0" distR="0" wp14:anchorId="444397F9" wp14:editId="50440B7F">
            <wp:extent cx="4791075" cy="5133975"/>
            <wp:effectExtent l="0" t="0" r="0" b="0"/>
            <wp:docPr id="66"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96">
                      <a:extLst>
                        <a:ext uri="{28A0092B-C50C-407E-A947-70E740481C1C}">
                          <a14:useLocalDpi xmlns:a14="http://schemas.microsoft.com/office/drawing/2010/main" val="0"/>
                        </a:ext>
                      </a:extLst>
                    </a:blip>
                    <a:srcRect l="32266" t="10728" r="26724" b="11330"/>
                    <a:stretch>
                      <a:fillRect/>
                    </a:stretch>
                  </pic:blipFill>
                  <pic:spPr bwMode="auto">
                    <a:xfrm>
                      <a:off x="0" y="0"/>
                      <a:ext cx="4791075" cy="5133975"/>
                    </a:xfrm>
                    <a:prstGeom prst="rect">
                      <a:avLst/>
                    </a:prstGeom>
                    <a:noFill/>
                    <a:ln>
                      <a:noFill/>
                    </a:ln>
                  </pic:spPr>
                </pic:pic>
              </a:graphicData>
            </a:graphic>
          </wp:inline>
        </w:drawing>
      </w:r>
      <w:bookmarkEnd w:id="396"/>
    </w:p>
    <w:p w14:paraId="0E87867D" w14:textId="77777777" w:rsidR="00F3260C" w:rsidRPr="00BD295E" w:rsidRDefault="00F3260C" w:rsidP="00F3260C">
      <w:pPr>
        <w:autoSpaceDE w:val="0"/>
        <w:autoSpaceDN w:val="0"/>
        <w:adjustRightInd w:val="0"/>
        <w:ind w:firstLine="567"/>
        <w:jc w:val="both"/>
        <w:rPr>
          <w:rStyle w:val="aff9"/>
          <w:rFonts w:ascii="Arial" w:hAnsi="Arial" w:cs="Arial"/>
          <w:b w:val="0"/>
          <w:sz w:val="18"/>
          <w:szCs w:val="18"/>
          <w:lang w:val="en-US"/>
        </w:rPr>
      </w:pPr>
    </w:p>
    <w:p w14:paraId="003F1253" w14:textId="77777777" w:rsidR="00B20A51" w:rsidRPr="00BD295E" w:rsidRDefault="00B20A51" w:rsidP="00F3260C">
      <w:pPr>
        <w:autoSpaceDE w:val="0"/>
        <w:autoSpaceDN w:val="0"/>
        <w:adjustRightInd w:val="0"/>
        <w:ind w:firstLine="567"/>
        <w:jc w:val="both"/>
        <w:rPr>
          <w:rStyle w:val="aff9"/>
          <w:rFonts w:ascii="Arial" w:hAnsi="Arial" w:cs="Arial"/>
          <w:b w:val="0"/>
          <w:sz w:val="18"/>
          <w:szCs w:val="18"/>
          <w:lang w:val="en-US"/>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513"/>
      </w:tblGrid>
      <w:tr w:rsidR="008A5057" w:rsidRPr="00BD295E" w14:paraId="5F4A7F85" w14:textId="77777777" w:rsidTr="00E3510B">
        <w:tc>
          <w:tcPr>
            <w:tcW w:w="9351" w:type="dxa"/>
            <w:gridSpan w:val="2"/>
            <w:shd w:val="clear" w:color="auto" w:fill="auto"/>
          </w:tcPr>
          <w:p w14:paraId="0EAEB460"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i w:val="0"/>
                <w:sz w:val="18"/>
                <w:szCs w:val="18"/>
                <w:u w:val="none"/>
                <w:lang w:val="en-US"/>
              </w:rPr>
              <w:t>CORPORATE GOVERNANCE SYSTEM</w:t>
            </w:r>
          </w:p>
        </w:tc>
      </w:tr>
      <w:tr w:rsidR="008A5057" w:rsidRPr="00BD295E" w14:paraId="25B1C000" w14:textId="77777777" w:rsidTr="00E3510B">
        <w:tc>
          <w:tcPr>
            <w:tcW w:w="1838" w:type="dxa"/>
            <w:shd w:val="clear" w:color="auto" w:fill="auto"/>
          </w:tcPr>
          <w:p w14:paraId="480B05D0"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 </w:t>
            </w:r>
          </w:p>
          <w:p w14:paraId="69EAC936" w14:textId="77777777" w:rsidR="00F3260C" w:rsidRPr="00BD295E" w:rsidRDefault="0053339C"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General Meeting</w:t>
            </w:r>
          </w:p>
        </w:tc>
        <w:tc>
          <w:tcPr>
            <w:tcW w:w="7513" w:type="dxa"/>
            <w:shd w:val="clear" w:color="auto" w:fill="auto"/>
          </w:tcPr>
          <w:p w14:paraId="6F3615D9"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Supreme governing body of the Company.</w:t>
            </w:r>
          </w:p>
          <w:p w14:paraId="08F121FE" w14:textId="77777777" w:rsidR="00F3260C" w:rsidRPr="00BD295E" w:rsidRDefault="008A5057" w:rsidP="00E3510B">
            <w:pPr>
              <w:pStyle w:val="220"/>
              <w:jc w:val="both"/>
              <w:rPr>
                <w:rFonts w:ascii="Arial" w:eastAsia="Calibri" w:hAnsi="Arial" w:cs="Arial"/>
                <w:b w:val="0"/>
                <w:i w:val="0"/>
                <w:sz w:val="18"/>
                <w:szCs w:val="18"/>
                <w:u w:val="none"/>
                <w:lang w:val="en-US"/>
              </w:rPr>
            </w:pPr>
            <w:r w:rsidRPr="00BD295E">
              <w:rPr>
                <w:rFonts w:ascii="Arial" w:hAnsi="Arial" w:cs="Arial"/>
                <w:b w:val="0"/>
                <w:i w:val="0"/>
                <w:sz w:val="18"/>
                <w:szCs w:val="18"/>
                <w:u w:val="none"/>
                <w:lang w:val="en-US"/>
              </w:rPr>
              <w:t xml:space="preserve">The procedure for preparing, convening, holding, and summing up the results of the Company’s </w:t>
            </w:r>
            <w:r w:rsidR="0053339C" w:rsidRPr="00BD295E">
              <w:rPr>
                <w:rFonts w:ascii="Arial" w:hAnsi="Arial" w:cs="Arial"/>
                <w:b w:val="0"/>
                <w:i w:val="0"/>
                <w:sz w:val="18"/>
                <w:szCs w:val="18"/>
                <w:u w:val="none"/>
                <w:lang w:val="en-US"/>
              </w:rPr>
              <w:t>General Meeting</w:t>
            </w:r>
            <w:r w:rsidRPr="00BD295E">
              <w:rPr>
                <w:rFonts w:ascii="Arial" w:hAnsi="Arial" w:cs="Arial"/>
                <w:b w:val="0"/>
                <w:i w:val="0"/>
                <w:sz w:val="18"/>
                <w:szCs w:val="18"/>
                <w:u w:val="none"/>
                <w:lang w:val="en-US"/>
              </w:rPr>
              <w:t xml:space="preserve"> is set out in the Company’s Articles of Association and the Regulations for the </w:t>
            </w:r>
            <w:r w:rsidR="0053339C" w:rsidRPr="00BD295E">
              <w:rPr>
                <w:rFonts w:ascii="Arial" w:hAnsi="Arial" w:cs="Arial"/>
                <w:b w:val="0"/>
                <w:i w:val="0"/>
                <w:sz w:val="18"/>
                <w:szCs w:val="18"/>
                <w:u w:val="none"/>
                <w:lang w:val="en-US"/>
              </w:rPr>
              <w:t>General Meeting</w:t>
            </w:r>
            <w:r w:rsidRPr="00BD295E">
              <w:rPr>
                <w:rFonts w:ascii="Arial" w:hAnsi="Arial" w:cs="Arial"/>
                <w:b w:val="0"/>
                <w:i w:val="0"/>
                <w:sz w:val="18"/>
                <w:szCs w:val="18"/>
                <w:u w:val="none"/>
                <w:lang w:val="en-US"/>
              </w:rPr>
              <w:t xml:space="preserve"> of the Company.</w:t>
            </w:r>
          </w:p>
        </w:tc>
      </w:tr>
      <w:tr w:rsidR="008A5057" w:rsidRPr="00BD295E" w14:paraId="5A8F8BB0" w14:textId="77777777" w:rsidTr="00E3510B">
        <w:tc>
          <w:tcPr>
            <w:tcW w:w="1838" w:type="dxa"/>
            <w:shd w:val="clear" w:color="auto" w:fill="auto"/>
          </w:tcPr>
          <w:p w14:paraId="2F1F98B7"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Board of Directors </w:t>
            </w:r>
          </w:p>
          <w:p w14:paraId="6A3280B7" w14:textId="77777777" w:rsidR="00F3260C" w:rsidRPr="00BD295E" w:rsidRDefault="00F3260C" w:rsidP="00E3510B">
            <w:pPr>
              <w:pStyle w:val="220"/>
              <w:jc w:val="both"/>
              <w:rPr>
                <w:rFonts w:ascii="Arial" w:hAnsi="Arial" w:cs="Arial"/>
                <w:b w:val="0"/>
                <w:i w:val="0"/>
                <w:sz w:val="18"/>
                <w:szCs w:val="18"/>
                <w:u w:val="none"/>
                <w:lang w:val="en-US"/>
              </w:rPr>
            </w:pPr>
          </w:p>
        </w:tc>
        <w:tc>
          <w:tcPr>
            <w:tcW w:w="7513" w:type="dxa"/>
            <w:shd w:val="clear" w:color="auto" w:fill="auto"/>
          </w:tcPr>
          <w:p w14:paraId="2E80DD53" w14:textId="77777777" w:rsidR="00F3260C" w:rsidRPr="00BD295E" w:rsidRDefault="008A5057" w:rsidP="00E3510B">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A collective governing body, which provides the strategic management of the Company and supervises the activities of the sole executive body (CEO) of the Company.</w:t>
            </w:r>
          </w:p>
          <w:p w14:paraId="20B781C3" w14:textId="77777777" w:rsidR="00F3260C" w:rsidRPr="00BD295E" w:rsidRDefault="008A5057" w:rsidP="00E3510B">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The establishment procedure, status, composition, functions, goals, objectives, and powers of the Board of Directors, as well as the procedure for convening and holding the Board of Directors are set out in the Company’s Articles of Association and the Regulations for the Board of Directors of the Company.</w:t>
            </w:r>
          </w:p>
          <w:p w14:paraId="3AF9C9B1"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The main goals and objectives of the Company’s Board of Directors include:</w:t>
            </w:r>
          </w:p>
          <w:p w14:paraId="1BBB5974" w14:textId="77777777" w:rsidR="00F3260C" w:rsidRPr="00BD295E" w:rsidRDefault="008A5057" w:rsidP="00E3510B">
            <w:pPr>
              <w:pStyle w:val="ConsNormal"/>
              <w:widowControl/>
              <w:numPr>
                <w:ilvl w:val="0"/>
                <w:numId w:val="45"/>
              </w:numPr>
              <w:tabs>
                <w:tab w:val="left" w:pos="459"/>
              </w:tabs>
              <w:suppressAutoHyphens/>
              <w:autoSpaceDN/>
              <w:ind w:left="34" w:firstLine="0"/>
              <w:jc w:val="both"/>
              <w:rPr>
                <w:sz w:val="18"/>
                <w:szCs w:val="18"/>
                <w:lang w:val="en-US"/>
              </w:rPr>
            </w:pPr>
            <w:r w:rsidRPr="00BD295E">
              <w:rPr>
                <w:sz w:val="18"/>
                <w:szCs w:val="18"/>
                <w:lang w:val="en-US"/>
              </w:rPr>
              <w:t>determining the development strategy of the Company to increase its market capitalization and enhance its investment case, maximize profit and build up the Company’s assets;</w:t>
            </w:r>
          </w:p>
          <w:p w14:paraId="7D637BEC" w14:textId="77777777" w:rsidR="00F3260C" w:rsidRPr="00BD295E" w:rsidRDefault="008A5057" w:rsidP="00E3510B">
            <w:pPr>
              <w:pStyle w:val="ConsNormal"/>
              <w:widowControl/>
              <w:numPr>
                <w:ilvl w:val="0"/>
                <w:numId w:val="45"/>
              </w:numPr>
              <w:tabs>
                <w:tab w:val="left" w:pos="459"/>
              </w:tabs>
              <w:suppressAutoHyphens/>
              <w:autoSpaceDN/>
              <w:ind w:left="34" w:firstLine="0"/>
              <w:jc w:val="both"/>
              <w:rPr>
                <w:sz w:val="18"/>
                <w:szCs w:val="18"/>
                <w:lang w:val="en-US"/>
              </w:rPr>
            </w:pPr>
            <w:r w:rsidRPr="00BD295E">
              <w:rPr>
                <w:sz w:val="18"/>
                <w:szCs w:val="18"/>
                <w:lang w:val="en-US"/>
              </w:rPr>
              <w:t>ensuring the exercise and protection of the rights and lawful interests of the Company’ shareholders, and facilitating the settlement of corporate conflicts;</w:t>
            </w:r>
          </w:p>
          <w:p w14:paraId="6C960332" w14:textId="77777777" w:rsidR="00F3260C" w:rsidRPr="00BD295E" w:rsidRDefault="008A5057" w:rsidP="00E3510B">
            <w:pPr>
              <w:pStyle w:val="ConsNormal"/>
              <w:widowControl/>
              <w:numPr>
                <w:ilvl w:val="0"/>
                <w:numId w:val="45"/>
              </w:numPr>
              <w:tabs>
                <w:tab w:val="left" w:pos="459"/>
              </w:tabs>
              <w:suppressAutoHyphens/>
              <w:autoSpaceDN/>
              <w:ind w:left="34" w:firstLine="0"/>
              <w:jc w:val="both"/>
              <w:rPr>
                <w:sz w:val="18"/>
                <w:szCs w:val="18"/>
                <w:lang w:val="en-US"/>
              </w:rPr>
            </w:pPr>
            <w:r w:rsidRPr="00BD295E">
              <w:rPr>
                <w:sz w:val="18"/>
                <w:szCs w:val="18"/>
                <w:lang w:val="en-US"/>
              </w:rPr>
              <w:t>ensuring the completeness, reliability, and objectivity of the Company’s disclosures;</w:t>
            </w:r>
          </w:p>
          <w:p w14:paraId="520575BF" w14:textId="77777777" w:rsidR="00F3260C" w:rsidRPr="00BD295E" w:rsidRDefault="008A5057" w:rsidP="00E3510B">
            <w:pPr>
              <w:pStyle w:val="ConsNormal"/>
              <w:widowControl/>
              <w:numPr>
                <w:ilvl w:val="0"/>
                <w:numId w:val="45"/>
              </w:numPr>
              <w:tabs>
                <w:tab w:val="left" w:pos="459"/>
              </w:tabs>
              <w:suppressAutoHyphens/>
              <w:autoSpaceDN/>
              <w:ind w:left="34" w:firstLine="0"/>
              <w:jc w:val="both"/>
              <w:rPr>
                <w:sz w:val="18"/>
                <w:szCs w:val="18"/>
                <w:lang w:val="en-US"/>
              </w:rPr>
            </w:pPr>
            <w:r w:rsidRPr="00BD295E">
              <w:rPr>
                <w:sz w:val="18"/>
                <w:szCs w:val="18"/>
                <w:lang w:val="en-US"/>
              </w:rPr>
              <w:t>creating effective internal control mechanisms;</w:t>
            </w:r>
          </w:p>
          <w:p w14:paraId="3682FF79" w14:textId="77777777" w:rsidR="00F3260C" w:rsidRPr="00BD295E" w:rsidRDefault="008A5057" w:rsidP="00E3510B">
            <w:pPr>
              <w:pStyle w:val="ConsNormal"/>
              <w:widowControl/>
              <w:numPr>
                <w:ilvl w:val="0"/>
                <w:numId w:val="45"/>
              </w:numPr>
              <w:tabs>
                <w:tab w:val="left" w:pos="459"/>
              </w:tabs>
              <w:suppressAutoHyphens/>
              <w:autoSpaceDN/>
              <w:ind w:left="34" w:firstLine="0"/>
              <w:jc w:val="both"/>
              <w:rPr>
                <w:sz w:val="18"/>
                <w:szCs w:val="18"/>
                <w:lang w:val="en-US"/>
              </w:rPr>
            </w:pPr>
            <w:r w:rsidRPr="00BD295E">
              <w:rPr>
                <w:sz w:val="18"/>
                <w:szCs w:val="18"/>
                <w:lang w:val="en-US"/>
              </w:rPr>
              <w:t>regularly assessing the performance of the Company’s executive bodies and management.</w:t>
            </w:r>
          </w:p>
        </w:tc>
      </w:tr>
      <w:tr w:rsidR="008A5057" w:rsidRPr="00BD295E" w14:paraId="49BB22B9" w14:textId="77777777" w:rsidTr="00E3510B">
        <w:tc>
          <w:tcPr>
            <w:tcW w:w="1838" w:type="dxa"/>
            <w:shd w:val="clear" w:color="auto" w:fill="auto"/>
          </w:tcPr>
          <w:p w14:paraId="4FEECAC2"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Collective executive body (Management Board)</w:t>
            </w:r>
          </w:p>
        </w:tc>
        <w:tc>
          <w:tcPr>
            <w:tcW w:w="7513" w:type="dxa"/>
            <w:shd w:val="clear" w:color="auto" w:fill="auto"/>
          </w:tcPr>
          <w:p w14:paraId="16E55CEE" w14:textId="77777777" w:rsidR="00F3260C" w:rsidRPr="00BD295E" w:rsidRDefault="008A5057" w:rsidP="00E3510B">
            <w:pPr>
              <w:pStyle w:val="220"/>
              <w:jc w:val="both"/>
              <w:rPr>
                <w:rFonts w:ascii="Arial" w:eastAsia="Calibri" w:hAnsi="Arial" w:cs="Arial"/>
                <w:b w:val="0"/>
                <w:i w:val="0"/>
                <w:sz w:val="18"/>
                <w:szCs w:val="18"/>
                <w:u w:val="none"/>
                <w:lang w:val="en-US"/>
              </w:rPr>
            </w:pPr>
            <w:r w:rsidRPr="00BD295E">
              <w:rPr>
                <w:rFonts w:ascii="Arial" w:hAnsi="Arial" w:cs="Arial"/>
                <w:b w:val="0"/>
                <w:i w:val="0"/>
                <w:sz w:val="18"/>
                <w:szCs w:val="18"/>
                <w:u w:val="none"/>
                <w:lang w:val="en-US"/>
              </w:rPr>
              <w:t>A collective executive body managing the Company’s day-to-day operations.</w:t>
            </w:r>
          </w:p>
          <w:p w14:paraId="782AD1E0" w14:textId="77777777" w:rsidR="00F3260C" w:rsidRPr="00BD295E" w:rsidRDefault="008A5057" w:rsidP="00E3510B">
            <w:pPr>
              <w:autoSpaceDE w:val="0"/>
              <w:autoSpaceDN w:val="0"/>
              <w:adjustRightInd w:val="0"/>
              <w:rPr>
                <w:rFonts w:ascii="Arial" w:eastAsia="Calibri" w:hAnsi="Arial" w:cs="Arial"/>
                <w:sz w:val="18"/>
                <w:szCs w:val="18"/>
                <w:lang w:val="en-US"/>
              </w:rPr>
            </w:pPr>
            <w:r w:rsidRPr="00BD295E">
              <w:rPr>
                <w:rFonts w:ascii="Arial" w:hAnsi="Arial" w:cs="Arial"/>
                <w:sz w:val="18"/>
                <w:szCs w:val="18"/>
                <w:lang w:val="en-US"/>
              </w:rPr>
              <w:t xml:space="preserve">The Management Board reports to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and the Board of Directors.</w:t>
            </w:r>
          </w:p>
          <w:p w14:paraId="1DC28027"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The establishment procedure, status, composition, functions, goals, objectives, and powers of the Management Board, as well as the procedure for convening and holding its meetings are set out in the Company’s Articles of Association and the Regulations for the Management Board of the Company.</w:t>
            </w:r>
          </w:p>
        </w:tc>
      </w:tr>
      <w:tr w:rsidR="008A5057" w:rsidRPr="00BD295E" w14:paraId="763D6AEE" w14:textId="77777777" w:rsidTr="00E3510B">
        <w:tc>
          <w:tcPr>
            <w:tcW w:w="1838" w:type="dxa"/>
            <w:shd w:val="clear" w:color="auto" w:fill="auto"/>
          </w:tcPr>
          <w:p w14:paraId="2B2FE2C8"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Sole executive body (CEO)</w:t>
            </w:r>
          </w:p>
          <w:p w14:paraId="671BE8BF" w14:textId="77777777" w:rsidR="00F3260C" w:rsidRPr="00BD295E" w:rsidRDefault="00F3260C" w:rsidP="00E3510B">
            <w:pPr>
              <w:pStyle w:val="220"/>
              <w:jc w:val="both"/>
              <w:rPr>
                <w:rFonts w:ascii="Arial" w:hAnsi="Arial" w:cs="Arial"/>
                <w:b w:val="0"/>
                <w:i w:val="0"/>
                <w:sz w:val="18"/>
                <w:szCs w:val="18"/>
                <w:u w:val="none"/>
                <w:lang w:val="en-US"/>
              </w:rPr>
            </w:pPr>
          </w:p>
        </w:tc>
        <w:tc>
          <w:tcPr>
            <w:tcW w:w="7513" w:type="dxa"/>
            <w:shd w:val="clear" w:color="auto" w:fill="auto"/>
          </w:tcPr>
          <w:p w14:paraId="34BCDC47" w14:textId="77777777" w:rsidR="00F3260C" w:rsidRPr="00BD295E" w:rsidRDefault="008A5057" w:rsidP="00E3510B">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The sole executive body managing the Company’s day-to-day operations.</w:t>
            </w:r>
          </w:p>
          <w:p w14:paraId="4C5B510E"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The sole executive body (CEO) reports to the Company’s </w:t>
            </w:r>
            <w:r w:rsidR="0053339C" w:rsidRPr="00BD295E">
              <w:rPr>
                <w:rFonts w:ascii="Arial" w:hAnsi="Arial" w:cs="Arial"/>
                <w:b w:val="0"/>
                <w:i w:val="0"/>
                <w:sz w:val="18"/>
                <w:szCs w:val="18"/>
                <w:u w:val="none"/>
                <w:lang w:val="en-US"/>
              </w:rPr>
              <w:t>General Meeting</w:t>
            </w:r>
            <w:r w:rsidRPr="00BD295E">
              <w:rPr>
                <w:rFonts w:ascii="Arial" w:hAnsi="Arial" w:cs="Arial"/>
                <w:b w:val="0"/>
                <w:i w:val="0"/>
                <w:sz w:val="18"/>
                <w:szCs w:val="18"/>
                <w:u w:val="none"/>
                <w:lang w:val="en-US"/>
              </w:rPr>
              <w:t xml:space="preserve"> and the Board of Directors of the Company.</w:t>
            </w:r>
          </w:p>
          <w:p w14:paraId="664167F1" w14:textId="77777777" w:rsidR="00F3260C" w:rsidRPr="00BD295E" w:rsidRDefault="008A5057" w:rsidP="00E3510B">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The appointment procedure, status, functions, goals, objectives, and powers of the sole executive body (CEO) are set out in the Company’s Articles of Association.</w:t>
            </w:r>
          </w:p>
        </w:tc>
      </w:tr>
    </w:tbl>
    <w:p w14:paraId="2D3C1942" w14:textId="77777777" w:rsidR="00F3260C" w:rsidRPr="00BD295E" w:rsidRDefault="00F3260C" w:rsidP="00F3260C">
      <w:pPr>
        <w:autoSpaceDE w:val="0"/>
        <w:autoSpaceDN w:val="0"/>
        <w:adjustRightInd w:val="0"/>
        <w:ind w:firstLine="567"/>
        <w:jc w:val="both"/>
        <w:rPr>
          <w:rFonts w:ascii="Arial" w:eastAsia="Calibri" w:hAnsi="Arial" w:cs="Arial"/>
          <w:b/>
          <w:sz w:val="18"/>
          <w:szCs w:val="18"/>
          <w:lang w:val="en-US" w:eastAsia="en-US"/>
        </w:rPr>
      </w:pPr>
    </w:p>
    <w:p w14:paraId="75A1C8EC" w14:textId="77777777" w:rsidR="00F3260C" w:rsidRPr="00BD295E" w:rsidRDefault="00F3260C" w:rsidP="00F3260C">
      <w:pPr>
        <w:autoSpaceDE w:val="0"/>
        <w:autoSpaceDN w:val="0"/>
        <w:adjustRightInd w:val="0"/>
        <w:ind w:firstLine="567"/>
        <w:jc w:val="both"/>
        <w:rPr>
          <w:rFonts w:ascii="Arial" w:eastAsia="Calibri" w:hAnsi="Arial" w:cs="Arial"/>
          <w:b/>
          <w:sz w:val="18"/>
          <w:szCs w:val="18"/>
          <w:lang w:val="en-U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7549"/>
      </w:tblGrid>
      <w:tr w:rsidR="008A5057" w:rsidRPr="00BD295E" w14:paraId="2D27C68E" w14:textId="77777777" w:rsidTr="00E3510B">
        <w:tc>
          <w:tcPr>
            <w:tcW w:w="9344" w:type="dxa"/>
            <w:gridSpan w:val="2"/>
            <w:shd w:val="clear" w:color="auto" w:fill="auto"/>
          </w:tcPr>
          <w:p w14:paraId="5AA5FEAB"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i w:val="0"/>
                <w:sz w:val="18"/>
                <w:szCs w:val="18"/>
                <w:u w:val="none"/>
                <w:lang w:val="en-US"/>
              </w:rPr>
              <w:t>SUPEVISION BODY</w:t>
            </w:r>
          </w:p>
        </w:tc>
      </w:tr>
      <w:tr w:rsidR="008A5057" w:rsidRPr="00BD295E" w14:paraId="729CB4DC" w14:textId="77777777" w:rsidTr="00E3510B">
        <w:tc>
          <w:tcPr>
            <w:tcW w:w="1795" w:type="dxa"/>
            <w:shd w:val="clear" w:color="auto" w:fill="auto"/>
          </w:tcPr>
          <w:p w14:paraId="69F906A8" w14:textId="77777777" w:rsidR="00F3260C" w:rsidRPr="00BD295E" w:rsidRDefault="00293DDA"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Internal Audit Commission</w:t>
            </w:r>
          </w:p>
          <w:p w14:paraId="11814967" w14:textId="77777777" w:rsidR="00F3260C" w:rsidRPr="00BD295E" w:rsidRDefault="00F3260C" w:rsidP="00E3510B">
            <w:pPr>
              <w:pStyle w:val="220"/>
              <w:jc w:val="both"/>
              <w:rPr>
                <w:rFonts w:ascii="Arial" w:hAnsi="Arial" w:cs="Arial"/>
                <w:b w:val="0"/>
                <w:i w:val="0"/>
                <w:sz w:val="18"/>
                <w:szCs w:val="18"/>
                <w:u w:val="none"/>
                <w:lang w:val="en-US"/>
              </w:rPr>
            </w:pPr>
          </w:p>
        </w:tc>
        <w:tc>
          <w:tcPr>
            <w:tcW w:w="7549" w:type="dxa"/>
            <w:shd w:val="clear" w:color="auto" w:fill="auto"/>
          </w:tcPr>
          <w:p w14:paraId="27E9BD40" w14:textId="77777777" w:rsidR="00F3260C" w:rsidRPr="00BD295E" w:rsidRDefault="008A5057" w:rsidP="00E3510B">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The Audit Commission is a permanent, independent, elected internal control body, which periodically supervises the financial and business activities of the Company, its standalone subdivisions, officers of the Company’s governing bodies and structural units of the Company’s Executive Arm by auditing documents and facts for: </w:t>
            </w:r>
          </w:p>
          <w:p w14:paraId="4D0E0901" w14:textId="77777777" w:rsidR="00F3260C" w:rsidRPr="00BD295E" w:rsidRDefault="008A5057" w:rsidP="00E3510B">
            <w:pPr>
              <w:pStyle w:val="af3"/>
              <w:numPr>
                <w:ilvl w:val="0"/>
                <w:numId w:val="49"/>
              </w:numPr>
              <w:autoSpaceDE w:val="0"/>
              <w:autoSpaceDN w:val="0"/>
              <w:adjustRightInd w:val="0"/>
              <w:ind w:left="165" w:hanging="142"/>
              <w:contextualSpacing w:val="0"/>
              <w:jc w:val="both"/>
              <w:rPr>
                <w:rFonts w:ascii="Arial" w:eastAsia="Calibri" w:hAnsi="Arial" w:cs="Arial"/>
                <w:sz w:val="18"/>
                <w:szCs w:val="18"/>
                <w:lang w:val="en-US"/>
              </w:rPr>
            </w:pPr>
            <w:r w:rsidRPr="00BD295E">
              <w:rPr>
                <w:rFonts w:ascii="Arial" w:hAnsi="Arial" w:cs="Arial"/>
                <w:sz w:val="18"/>
                <w:szCs w:val="18"/>
                <w:lang w:val="en-US"/>
              </w:rPr>
              <w:t xml:space="preserve">legality, economic viability, and cost effectiveness (expediency) of the Company’s business and financial transactions during the audited period; </w:t>
            </w:r>
          </w:p>
          <w:p w14:paraId="2E7C5384" w14:textId="77777777" w:rsidR="00F3260C" w:rsidRPr="00BD295E" w:rsidRDefault="008A5057" w:rsidP="00E3510B">
            <w:pPr>
              <w:pStyle w:val="af3"/>
              <w:numPr>
                <w:ilvl w:val="0"/>
                <w:numId w:val="49"/>
              </w:numPr>
              <w:autoSpaceDE w:val="0"/>
              <w:autoSpaceDN w:val="0"/>
              <w:adjustRightInd w:val="0"/>
              <w:ind w:left="165" w:hanging="142"/>
              <w:contextualSpacing w:val="0"/>
              <w:jc w:val="both"/>
              <w:rPr>
                <w:rFonts w:ascii="Arial" w:hAnsi="Arial" w:cs="Arial"/>
                <w:sz w:val="18"/>
                <w:szCs w:val="18"/>
                <w:lang w:val="en-US"/>
              </w:rPr>
            </w:pPr>
            <w:r w:rsidRPr="00BD295E">
              <w:rPr>
                <w:rFonts w:ascii="Arial" w:hAnsi="Arial" w:cs="Arial"/>
                <w:sz w:val="18"/>
                <w:szCs w:val="18"/>
                <w:lang w:val="en-US"/>
              </w:rPr>
              <w:t xml:space="preserve">completeness and accuracy of business and financial transactions recognized in the Company’s documents. </w:t>
            </w:r>
          </w:p>
        </w:tc>
      </w:tr>
      <w:tr w:rsidR="008A5057" w:rsidRPr="00BD295E" w14:paraId="44770C58" w14:textId="77777777" w:rsidTr="00E3510B">
        <w:tc>
          <w:tcPr>
            <w:tcW w:w="9344" w:type="dxa"/>
            <w:gridSpan w:val="2"/>
            <w:shd w:val="clear" w:color="auto" w:fill="auto"/>
          </w:tcPr>
          <w:p w14:paraId="00D347D3" w14:textId="77777777" w:rsidR="00F3260C" w:rsidRPr="00BD295E" w:rsidRDefault="008A5057" w:rsidP="00E3510B">
            <w:pPr>
              <w:autoSpaceDE w:val="0"/>
              <w:autoSpaceDN w:val="0"/>
              <w:adjustRightInd w:val="0"/>
              <w:jc w:val="both"/>
              <w:rPr>
                <w:rFonts w:ascii="Arial" w:eastAsia="Calibri" w:hAnsi="Arial" w:cs="Arial"/>
                <w:b/>
                <w:sz w:val="18"/>
                <w:szCs w:val="18"/>
                <w:lang w:val="en-US"/>
              </w:rPr>
            </w:pPr>
            <w:r w:rsidRPr="00BD295E">
              <w:rPr>
                <w:rFonts w:ascii="Arial" w:hAnsi="Arial" w:cs="Arial"/>
                <w:b/>
                <w:sz w:val="18"/>
                <w:szCs w:val="18"/>
                <w:lang w:val="en-US"/>
              </w:rPr>
              <w:t>INTERNAL AND EXTERNAL AUDIT</w:t>
            </w:r>
          </w:p>
        </w:tc>
      </w:tr>
      <w:tr w:rsidR="008A5057" w:rsidRPr="00BD295E" w14:paraId="05986C69" w14:textId="77777777" w:rsidTr="00E3510B">
        <w:tc>
          <w:tcPr>
            <w:tcW w:w="1795" w:type="dxa"/>
            <w:shd w:val="clear" w:color="auto" w:fill="auto"/>
          </w:tcPr>
          <w:p w14:paraId="262169A2"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Audit Committee </w:t>
            </w:r>
          </w:p>
          <w:p w14:paraId="6ADE2CBD"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of the Board of Directors</w:t>
            </w:r>
          </w:p>
        </w:tc>
        <w:tc>
          <w:tcPr>
            <w:tcW w:w="7549" w:type="dxa"/>
            <w:shd w:val="clear" w:color="auto" w:fill="auto"/>
          </w:tcPr>
          <w:p w14:paraId="68673409" w14:textId="77777777" w:rsidR="00F3260C" w:rsidRPr="00BD295E" w:rsidRDefault="008A5057" w:rsidP="00E3510B">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The goal of the Audit Committee of the Company’s Board of Directors is to assist the Board of Directors in effectively performing its functions regarding the preliminary review of matters related to control over the financial and business operations of the Company.</w:t>
            </w:r>
          </w:p>
          <w:p w14:paraId="5A443454"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The establishment procedure, status, composition, functions, goals, objectives, and powers of the Audit Board, as well as the procedure for convening and holding its meetings are set out in the Company’s Articles of Association and the Regulations for the Audit Committee of the Board of Directors.</w:t>
            </w:r>
          </w:p>
        </w:tc>
      </w:tr>
      <w:tr w:rsidR="008A5057" w:rsidRPr="00BD295E" w14:paraId="0C2FD771" w14:textId="77777777" w:rsidTr="00E3510B">
        <w:tc>
          <w:tcPr>
            <w:tcW w:w="1795" w:type="dxa"/>
            <w:shd w:val="clear" w:color="auto" w:fill="auto"/>
          </w:tcPr>
          <w:p w14:paraId="4383AF38"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Internal Audit Department </w:t>
            </w:r>
          </w:p>
          <w:p w14:paraId="2DE5BE3A"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 </w:t>
            </w:r>
          </w:p>
        </w:tc>
        <w:tc>
          <w:tcPr>
            <w:tcW w:w="7549" w:type="dxa"/>
            <w:shd w:val="clear" w:color="auto" w:fill="auto"/>
          </w:tcPr>
          <w:p w14:paraId="61BF8A77" w14:textId="77777777" w:rsidR="00F3260C" w:rsidRPr="00BD295E" w:rsidRDefault="008A5057" w:rsidP="00E3510B">
            <w:pPr>
              <w:widowControl w:val="0"/>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The goal of the Company’s Internal Audit and Control Department is to assist the Board of Directors and executive bodies of the Company in improving the effectiveness of the Company’s governance and its financial and business activities, including through a systematic and consistent approach to the analysis and evaluation of its risk management, internal control, and corporate governance systems as tools for providing reasonable assurance that the Company’s goals are achieved.</w:t>
            </w:r>
          </w:p>
        </w:tc>
      </w:tr>
      <w:tr w:rsidR="008A5057" w:rsidRPr="00BD295E" w14:paraId="5F23BEC2" w14:textId="77777777" w:rsidTr="00E3510B">
        <w:tc>
          <w:tcPr>
            <w:tcW w:w="1795" w:type="dxa"/>
            <w:shd w:val="clear" w:color="auto" w:fill="auto"/>
          </w:tcPr>
          <w:p w14:paraId="2268C638" w14:textId="77777777" w:rsidR="00F3260C" w:rsidRPr="00BD295E" w:rsidRDefault="008A5057" w:rsidP="00E3510B">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External auditor</w:t>
            </w:r>
          </w:p>
        </w:tc>
        <w:tc>
          <w:tcPr>
            <w:tcW w:w="7549" w:type="dxa"/>
            <w:shd w:val="clear" w:color="auto" w:fill="auto"/>
          </w:tcPr>
          <w:p w14:paraId="288926B7" w14:textId="77777777" w:rsidR="00F3260C" w:rsidRPr="00BD295E" w:rsidRDefault="008A5057" w:rsidP="00E3510B">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approves the Company’s Auditor on an annual basis to carry out an annual audit and certify the Company’s annual accounting (financial) statements. The Auditor should have no property interests with the Company and its shareholders.</w:t>
            </w:r>
          </w:p>
          <w:p w14:paraId="309F0230" w14:textId="77777777" w:rsidR="00F3260C" w:rsidRPr="00BD295E" w:rsidRDefault="008A5057" w:rsidP="00E3510B">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The Auditor audits the Company’s financial and business operations in accordance with the laws of the Russian Federation and in line with the contract signed with the Auditor.</w:t>
            </w:r>
          </w:p>
        </w:tc>
      </w:tr>
    </w:tbl>
    <w:p w14:paraId="7959F1B7" w14:textId="77777777" w:rsidR="00F3260C" w:rsidRPr="00BD295E" w:rsidRDefault="00F3260C" w:rsidP="00F3260C">
      <w:pPr>
        <w:autoSpaceDE w:val="0"/>
        <w:autoSpaceDN w:val="0"/>
        <w:adjustRightInd w:val="0"/>
        <w:jc w:val="both"/>
        <w:rPr>
          <w:rFonts w:ascii="Arial" w:eastAsia="Calibri" w:hAnsi="Arial" w:cs="Arial"/>
          <w:sz w:val="18"/>
          <w:szCs w:val="18"/>
          <w:lang w:val="en-US" w:eastAsia="en-US"/>
        </w:rPr>
      </w:pPr>
    </w:p>
    <w:p w14:paraId="0A9AE023" w14:textId="77777777" w:rsidR="00F3260C" w:rsidRPr="00BD295E" w:rsidRDefault="00F3260C" w:rsidP="00F3260C">
      <w:pPr>
        <w:autoSpaceDE w:val="0"/>
        <w:autoSpaceDN w:val="0"/>
        <w:adjustRightInd w:val="0"/>
        <w:jc w:val="both"/>
        <w:rPr>
          <w:rFonts w:ascii="Arial" w:eastAsia="Calibri" w:hAnsi="Arial" w:cs="Arial"/>
          <w:sz w:val="18"/>
          <w:szCs w:val="18"/>
          <w:lang w:val="en-US" w:eastAsia="en-US"/>
        </w:rPr>
      </w:pPr>
    </w:p>
    <w:p w14:paraId="72954C7E" w14:textId="77777777" w:rsidR="00F3260C" w:rsidRPr="00BD295E" w:rsidRDefault="008A5057" w:rsidP="00F3260C">
      <w:pPr>
        <w:pStyle w:val="220"/>
        <w:jc w:val="both"/>
        <w:rPr>
          <w:rFonts w:ascii="Arial" w:hAnsi="Arial" w:cs="Arial"/>
          <w:i w:val="0"/>
          <w:sz w:val="18"/>
          <w:szCs w:val="18"/>
          <w:u w:val="none"/>
          <w:lang w:val="en-US"/>
        </w:rPr>
      </w:pPr>
      <w:r w:rsidRPr="00BD295E">
        <w:rPr>
          <w:rFonts w:ascii="Arial" w:hAnsi="Arial" w:cs="Arial"/>
          <w:i w:val="0"/>
          <w:sz w:val="18"/>
          <w:szCs w:val="18"/>
          <w:u w:val="none"/>
          <w:lang w:val="en-US"/>
        </w:rPr>
        <w:t>Governing Bodies</w:t>
      </w:r>
    </w:p>
    <w:p w14:paraId="64A47D4D" w14:textId="77777777" w:rsidR="00F3260C" w:rsidRPr="00BD295E" w:rsidRDefault="00F3260C" w:rsidP="00F3260C">
      <w:pPr>
        <w:tabs>
          <w:tab w:val="left" w:pos="1134"/>
        </w:tabs>
        <w:rPr>
          <w:rFonts w:ascii="Arial" w:hAnsi="Arial" w:cs="Arial"/>
          <w:sz w:val="18"/>
          <w:szCs w:val="18"/>
          <w:lang w:val="en-US"/>
        </w:rPr>
      </w:pPr>
    </w:p>
    <w:p w14:paraId="1567D2CF" w14:textId="77777777" w:rsidR="00F3260C" w:rsidRPr="00BD295E" w:rsidRDefault="0053339C" w:rsidP="00F3260C">
      <w:pPr>
        <w:tabs>
          <w:tab w:val="left" w:pos="1134"/>
        </w:tabs>
        <w:jc w:val="both"/>
        <w:rPr>
          <w:rFonts w:ascii="Arial" w:hAnsi="Arial" w:cs="Arial"/>
          <w:b/>
          <w:bCs/>
          <w:iCs/>
          <w:sz w:val="18"/>
          <w:szCs w:val="18"/>
          <w:lang w:val="en-US"/>
        </w:rPr>
      </w:pPr>
      <w:r w:rsidRPr="00BD295E">
        <w:rPr>
          <w:rFonts w:ascii="Arial" w:hAnsi="Arial" w:cs="Arial"/>
          <w:b/>
          <w:bCs/>
          <w:iCs/>
          <w:sz w:val="18"/>
          <w:szCs w:val="18"/>
          <w:lang w:val="en-US"/>
        </w:rPr>
        <w:t>General Meeting</w:t>
      </w:r>
      <w:r w:rsidR="008A5057" w:rsidRPr="00BD295E">
        <w:rPr>
          <w:rFonts w:ascii="Arial" w:hAnsi="Arial" w:cs="Arial"/>
          <w:b/>
          <w:bCs/>
          <w:iCs/>
          <w:sz w:val="18"/>
          <w:szCs w:val="18"/>
          <w:lang w:val="en-US"/>
        </w:rPr>
        <w:t xml:space="preserve"> of the Company </w:t>
      </w:r>
    </w:p>
    <w:p w14:paraId="4B0F0EE3" w14:textId="77777777" w:rsidR="00F3260C" w:rsidRPr="00BD295E" w:rsidRDefault="00F3260C" w:rsidP="00F3260C">
      <w:pPr>
        <w:tabs>
          <w:tab w:val="left" w:pos="1134"/>
        </w:tabs>
        <w:jc w:val="both"/>
        <w:rPr>
          <w:rFonts w:ascii="Arial" w:hAnsi="Arial" w:cs="Arial"/>
          <w:b/>
          <w:bCs/>
          <w:iCs/>
          <w:sz w:val="18"/>
          <w:szCs w:val="18"/>
          <w:lang w:val="en-US" w:eastAsia="ar-SA"/>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8A5057" w:rsidRPr="00BD295E" w14:paraId="6C460FAC" w14:textId="77777777" w:rsidTr="00E3510B">
        <w:tc>
          <w:tcPr>
            <w:tcW w:w="9351" w:type="dxa"/>
            <w:shd w:val="clear" w:color="auto" w:fill="auto"/>
          </w:tcPr>
          <w:p w14:paraId="1BBB0371" w14:textId="77777777" w:rsidR="00F3260C" w:rsidRPr="00BD295E" w:rsidRDefault="008A5057" w:rsidP="00E3510B">
            <w:pPr>
              <w:widowControl w:val="0"/>
              <w:tabs>
                <w:tab w:val="left" w:pos="284"/>
                <w:tab w:val="left" w:pos="1134"/>
              </w:tabs>
              <w:suppressAutoHyphens/>
              <w:jc w:val="both"/>
              <w:rPr>
                <w:rFonts w:ascii="Arial" w:hAnsi="Arial" w:cs="Arial"/>
                <w:sz w:val="18"/>
                <w:szCs w:val="18"/>
                <w:lang w:val="en-US"/>
              </w:rPr>
            </w:pPr>
            <w:r w:rsidRPr="00BD295E">
              <w:rPr>
                <w:rFonts w:ascii="Arial" w:hAnsi="Arial" w:cs="Arial"/>
                <w:sz w:val="18"/>
                <w:szCs w:val="18"/>
                <w:lang w:val="en-US"/>
              </w:rPr>
              <w:t>A shareholder shall have the right to:</w:t>
            </w:r>
          </w:p>
          <w:p w14:paraId="707FCBE2" w14:textId="77777777" w:rsidR="00F3260C" w:rsidRPr="00BD295E" w:rsidRDefault="008A5057" w:rsidP="00E3510B">
            <w:pPr>
              <w:pStyle w:val="af3"/>
              <w:numPr>
                <w:ilvl w:val="0"/>
                <w:numId w:val="41"/>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 xml:space="preserve">Participate personally or through representatives in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with the right to vote on all matters within its competence;</w:t>
            </w:r>
          </w:p>
          <w:p w14:paraId="71BD8207" w14:textId="77777777" w:rsidR="00F3260C" w:rsidRPr="00BD295E" w:rsidRDefault="008A5057" w:rsidP="00E3510B">
            <w:pPr>
              <w:pStyle w:val="af3"/>
              <w:numPr>
                <w:ilvl w:val="0"/>
                <w:numId w:val="41"/>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 xml:space="preserve">Enter proposals to the agenda of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in such manner as outlined in the laws of the Russian Federation and these Articles of Association;</w:t>
            </w:r>
          </w:p>
          <w:p w14:paraId="0E323A29" w14:textId="77777777" w:rsidR="00F3260C" w:rsidRPr="00BD295E" w:rsidRDefault="008A5057" w:rsidP="00E3510B">
            <w:pPr>
              <w:pStyle w:val="af3"/>
              <w:numPr>
                <w:ilvl w:val="0"/>
                <w:numId w:val="41"/>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 xml:space="preserve">Receive information on the Company’s activities and review the Company’s documents in accordance with Federal Law </w:t>
            </w:r>
            <w:r w:rsidRPr="00BD295E">
              <w:rPr>
                <w:rFonts w:ascii="Arial" w:hAnsi="Arial" w:cs="Arial"/>
                <w:i/>
                <w:iCs/>
                <w:sz w:val="18"/>
                <w:szCs w:val="18"/>
                <w:lang w:val="en-US"/>
              </w:rPr>
              <w:t>No. 208-FZ, On Joint Stock Companies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26, 1995, other regulatory legal acts, and the Articles of Association;</w:t>
            </w:r>
          </w:p>
          <w:p w14:paraId="37EDF4DC" w14:textId="77777777" w:rsidR="00F3260C" w:rsidRPr="00BD295E" w:rsidRDefault="008A5057" w:rsidP="00E3510B">
            <w:pPr>
              <w:pStyle w:val="af3"/>
              <w:numPr>
                <w:ilvl w:val="0"/>
                <w:numId w:val="41"/>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Receive dividends declared by the Company;</w:t>
            </w:r>
          </w:p>
          <w:p w14:paraId="3ED77E14" w14:textId="77777777" w:rsidR="00F3260C" w:rsidRPr="00BD295E" w:rsidRDefault="008A5057" w:rsidP="00E3510B">
            <w:pPr>
              <w:pStyle w:val="af3"/>
              <w:numPr>
                <w:ilvl w:val="0"/>
                <w:numId w:val="41"/>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Exercise their pre-emptive right to acquire additional shares offered through subscription and issue-grade securities convertible into shares in an amount proportionate to the number of ordinary shares held by such shareholder, in cases provided for by the laws of the Russian Federation;</w:t>
            </w:r>
          </w:p>
          <w:p w14:paraId="6C0C9D27" w14:textId="77777777" w:rsidR="00F3260C" w:rsidRPr="00BD295E" w:rsidRDefault="008A5057" w:rsidP="00E3510B">
            <w:pPr>
              <w:pStyle w:val="af3"/>
              <w:numPr>
                <w:ilvl w:val="0"/>
                <w:numId w:val="42"/>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In the event of the Company’s liquidation, receive part of its property;</w:t>
            </w:r>
          </w:p>
          <w:p w14:paraId="3AF5E3D8" w14:textId="77777777" w:rsidR="00F3260C" w:rsidRPr="00BD295E" w:rsidRDefault="008A5057" w:rsidP="00E3510B">
            <w:pPr>
              <w:pStyle w:val="af3"/>
              <w:numPr>
                <w:ilvl w:val="0"/>
                <w:numId w:val="42"/>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Appeal against decisions of the Company’s governing bodies entailing civil law consequences in such cases and in such as provided for by the laws of the Russian Federation;</w:t>
            </w:r>
          </w:p>
          <w:p w14:paraId="0632A6EB" w14:textId="77777777" w:rsidR="00F3260C" w:rsidRPr="00BD295E" w:rsidRDefault="008A5057" w:rsidP="00E3510B">
            <w:pPr>
              <w:pStyle w:val="af3"/>
              <w:numPr>
                <w:ilvl w:val="0"/>
                <w:numId w:val="43"/>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Demand compensation for losses caused to the Company;</w:t>
            </w:r>
          </w:p>
          <w:p w14:paraId="603A49DB" w14:textId="77777777" w:rsidR="00F3260C" w:rsidRPr="00BD295E" w:rsidRDefault="008A5057" w:rsidP="00E3510B">
            <w:pPr>
              <w:pStyle w:val="af3"/>
              <w:numPr>
                <w:ilvl w:val="0"/>
                <w:numId w:val="43"/>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Challenge the transactions made by the Company on the grounds provided for by the legislation of the Russian Federation, and demand application of consequences of their invalidity, as well as demand application of consequences of invalidity of void transactions of the Company;</w:t>
            </w:r>
          </w:p>
          <w:p w14:paraId="37303126" w14:textId="77777777" w:rsidR="00F3260C" w:rsidRPr="00BD295E" w:rsidRDefault="008A5057" w:rsidP="00E3510B">
            <w:pPr>
              <w:pStyle w:val="af3"/>
              <w:numPr>
                <w:ilvl w:val="0"/>
                <w:numId w:val="44"/>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Enter into an agreement with each other, as well as with creditors of the Company or other third parties on exercising corporate rights (shareholders’ agreement);</w:t>
            </w:r>
          </w:p>
          <w:p w14:paraId="4EDA496F" w14:textId="77777777" w:rsidR="00F3260C" w:rsidRPr="00BD295E" w:rsidRDefault="008A5057" w:rsidP="00E3510B">
            <w:pPr>
              <w:pStyle w:val="af3"/>
              <w:numPr>
                <w:ilvl w:val="0"/>
                <w:numId w:val="44"/>
              </w:numPr>
              <w:autoSpaceDE w:val="0"/>
              <w:autoSpaceDN w:val="0"/>
              <w:adjustRightInd w:val="0"/>
              <w:contextualSpacing w:val="0"/>
              <w:jc w:val="both"/>
              <w:rPr>
                <w:rFonts w:ascii="Arial" w:eastAsia="Calibri" w:hAnsi="Arial" w:cs="Arial"/>
                <w:sz w:val="18"/>
                <w:szCs w:val="18"/>
                <w:lang w:val="en-US"/>
              </w:rPr>
            </w:pPr>
            <w:r w:rsidRPr="00BD295E">
              <w:rPr>
                <w:rFonts w:ascii="Arial" w:hAnsi="Arial" w:cs="Arial"/>
                <w:sz w:val="18"/>
                <w:szCs w:val="18"/>
                <w:lang w:val="en-US"/>
              </w:rPr>
              <w:t>Exercise other rights provided for by the laws of the Russian Federation and these Articles of Association.</w:t>
            </w:r>
          </w:p>
          <w:p w14:paraId="273FFDDE" w14:textId="77777777" w:rsidR="00F3260C" w:rsidRPr="00BD295E" w:rsidRDefault="00F3260C" w:rsidP="00E3510B">
            <w:pPr>
              <w:widowControl w:val="0"/>
              <w:tabs>
                <w:tab w:val="left" w:pos="284"/>
                <w:tab w:val="left" w:pos="1134"/>
              </w:tabs>
              <w:suppressAutoHyphens/>
              <w:jc w:val="both"/>
              <w:rPr>
                <w:rFonts w:ascii="Arial" w:hAnsi="Arial" w:cs="Arial"/>
                <w:sz w:val="18"/>
                <w:szCs w:val="18"/>
                <w:lang w:val="en-US"/>
              </w:rPr>
            </w:pPr>
          </w:p>
          <w:p w14:paraId="5CFAFF9E" w14:textId="77777777" w:rsidR="00F3260C" w:rsidRPr="00BD295E" w:rsidRDefault="008A5057" w:rsidP="00590DA7">
            <w:pPr>
              <w:widowControl w:val="0"/>
              <w:tabs>
                <w:tab w:val="left" w:pos="284"/>
                <w:tab w:val="left" w:pos="1134"/>
              </w:tabs>
              <w:suppressAutoHyphens/>
              <w:spacing w:before="360"/>
              <w:jc w:val="both"/>
              <w:rPr>
                <w:rFonts w:ascii="Arial" w:hAnsi="Arial" w:cs="Arial"/>
                <w:b/>
                <w:sz w:val="18"/>
                <w:szCs w:val="18"/>
                <w:lang w:val="en-US"/>
              </w:rPr>
            </w:pPr>
            <w:r w:rsidRPr="00BD295E">
              <w:rPr>
                <w:rFonts w:ascii="Arial" w:hAnsi="Arial" w:cs="Arial"/>
                <w:b/>
                <w:sz w:val="18"/>
                <w:szCs w:val="18"/>
                <w:lang w:val="en-US"/>
              </w:rPr>
              <w:t>Rights of shareholders holding at least 1% of voting shares</w:t>
            </w:r>
          </w:p>
          <w:p w14:paraId="242D45AA" w14:textId="77777777" w:rsidR="00F3260C" w:rsidRPr="00BD295E" w:rsidRDefault="00F3260C" w:rsidP="00E3510B">
            <w:pPr>
              <w:widowControl w:val="0"/>
              <w:tabs>
                <w:tab w:val="left" w:pos="284"/>
                <w:tab w:val="left" w:pos="1134"/>
              </w:tabs>
              <w:suppressAutoHyphens/>
              <w:jc w:val="both"/>
              <w:rPr>
                <w:rFonts w:ascii="Arial" w:hAnsi="Arial" w:cs="Arial"/>
                <w:sz w:val="18"/>
                <w:szCs w:val="18"/>
                <w:lang w:val="en-US"/>
              </w:rPr>
            </w:pPr>
          </w:p>
          <w:p w14:paraId="77D6487F" w14:textId="77777777" w:rsidR="00F3260C" w:rsidRPr="00BD295E" w:rsidRDefault="008A5057" w:rsidP="00E3510B">
            <w:pPr>
              <w:widowControl w:val="0"/>
              <w:tabs>
                <w:tab w:val="left" w:pos="284"/>
                <w:tab w:val="left" w:pos="1134"/>
              </w:tabs>
              <w:suppressAutoHyphens/>
              <w:jc w:val="both"/>
              <w:rPr>
                <w:rFonts w:ascii="Arial" w:hAnsi="Arial" w:cs="Arial"/>
                <w:sz w:val="18"/>
                <w:szCs w:val="18"/>
                <w:lang w:val="en-US"/>
              </w:rPr>
            </w:pPr>
            <w:r w:rsidRPr="00BD295E">
              <w:rPr>
                <w:rFonts w:ascii="Arial" w:hAnsi="Arial" w:cs="Arial"/>
                <w:sz w:val="18"/>
                <w:szCs w:val="18"/>
                <w:lang w:val="en-US"/>
              </w:rPr>
              <w:t xml:space="preserve">Shareholders (a shareholder) holding at least 1% of the Company’s voting shares have the right to obtain a list of persons entitled to attend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the right to file a claim for invalidating a major transaction made in violation of the procedure for obtaining consent to perform such transaction; the right to request consent of the Board of Directors or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to make an interested party transaction before it is made; the right to file a claim in court against a member of the Board of Directors, the sole executive body of the Company, a member of the collective executive body of the Company (management board, directorate), or the managing company (manager) for recovery of losses incurred by the Company.</w:t>
            </w:r>
          </w:p>
          <w:p w14:paraId="72A823C0" w14:textId="77777777" w:rsidR="00F3260C" w:rsidRPr="00BD295E" w:rsidRDefault="00F3260C" w:rsidP="00E3510B">
            <w:pPr>
              <w:widowControl w:val="0"/>
              <w:tabs>
                <w:tab w:val="left" w:pos="284"/>
                <w:tab w:val="left" w:pos="1134"/>
              </w:tabs>
              <w:suppressAutoHyphens/>
              <w:jc w:val="both"/>
              <w:rPr>
                <w:rFonts w:ascii="Arial" w:hAnsi="Arial" w:cs="Arial"/>
                <w:sz w:val="18"/>
                <w:szCs w:val="18"/>
                <w:lang w:val="en-US"/>
              </w:rPr>
            </w:pPr>
          </w:p>
          <w:p w14:paraId="37706114" w14:textId="77777777" w:rsidR="00F3260C" w:rsidRPr="00BD295E" w:rsidRDefault="008A5057" w:rsidP="00E3510B">
            <w:pPr>
              <w:widowControl w:val="0"/>
              <w:tabs>
                <w:tab w:val="left" w:pos="284"/>
                <w:tab w:val="left" w:pos="1134"/>
              </w:tabs>
              <w:suppressAutoHyphens/>
              <w:jc w:val="both"/>
              <w:rPr>
                <w:rFonts w:ascii="Arial" w:hAnsi="Arial" w:cs="Arial"/>
                <w:sz w:val="18"/>
                <w:szCs w:val="18"/>
                <w:lang w:val="en-US"/>
              </w:rPr>
            </w:pPr>
            <w:r w:rsidRPr="00BD295E">
              <w:rPr>
                <w:rFonts w:ascii="Arial" w:hAnsi="Arial" w:cs="Arial"/>
                <w:b/>
                <w:sz w:val="18"/>
                <w:szCs w:val="18"/>
                <w:lang w:val="en-US"/>
              </w:rPr>
              <w:t>Rights of shareholders holding at least 2% of voting shares</w:t>
            </w:r>
          </w:p>
          <w:p w14:paraId="6D491E7F" w14:textId="77777777" w:rsidR="00F3260C" w:rsidRPr="00BD295E" w:rsidRDefault="00F3260C" w:rsidP="00E3510B">
            <w:pPr>
              <w:widowControl w:val="0"/>
              <w:tabs>
                <w:tab w:val="left" w:pos="284"/>
                <w:tab w:val="left" w:pos="1134"/>
              </w:tabs>
              <w:suppressAutoHyphens/>
              <w:jc w:val="both"/>
              <w:rPr>
                <w:rFonts w:ascii="Arial" w:hAnsi="Arial" w:cs="Arial"/>
                <w:sz w:val="18"/>
                <w:szCs w:val="18"/>
                <w:lang w:val="en-US"/>
              </w:rPr>
            </w:pPr>
          </w:p>
          <w:p w14:paraId="2923CCFF" w14:textId="77777777" w:rsidR="00F3260C" w:rsidRPr="00BD295E" w:rsidRDefault="008A5057" w:rsidP="00E3510B">
            <w:pPr>
              <w:widowControl w:val="0"/>
              <w:tabs>
                <w:tab w:val="left" w:pos="284"/>
                <w:tab w:val="left" w:pos="1134"/>
              </w:tabs>
              <w:suppressAutoHyphens/>
              <w:jc w:val="both"/>
              <w:rPr>
                <w:rFonts w:ascii="Arial" w:hAnsi="Arial" w:cs="Arial"/>
                <w:sz w:val="18"/>
                <w:szCs w:val="18"/>
                <w:lang w:val="en-US"/>
              </w:rPr>
            </w:pPr>
            <w:r w:rsidRPr="00BD295E">
              <w:rPr>
                <w:rFonts w:ascii="Arial" w:hAnsi="Arial" w:cs="Arial"/>
                <w:sz w:val="18"/>
                <w:szCs w:val="18"/>
                <w:lang w:val="en-US"/>
              </w:rPr>
              <w:t xml:space="preserve">Shareholders (a shareholder) holding at least 2% of the Company’s voting shares may propose items for the agenda of 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and nominate candidates for the Board of Directors,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and the position of the Company’s sole executive body. Proposals for the agenda of the Annual General Shareholders Meeting must be received by the Company not later than 60 days after the end of the financial year.</w:t>
            </w:r>
          </w:p>
          <w:p w14:paraId="5D7C2AFA" w14:textId="77777777" w:rsidR="00F3260C" w:rsidRPr="00BD295E" w:rsidRDefault="00F3260C" w:rsidP="00E3510B">
            <w:pPr>
              <w:widowControl w:val="0"/>
              <w:tabs>
                <w:tab w:val="left" w:pos="284"/>
                <w:tab w:val="left" w:pos="1134"/>
              </w:tabs>
              <w:suppressAutoHyphens/>
              <w:jc w:val="both"/>
              <w:rPr>
                <w:rFonts w:ascii="Arial" w:hAnsi="Arial" w:cs="Arial"/>
                <w:sz w:val="18"/>
                <w:szCs w:val="18"/>
                <w:lang w:val="en-US"/>
              </w:rPr>
            </w:pPr>
          </w:p>
          <w:p w14:paraId="7F899893" w14:textId="77777777" w:rsidR="00F3260C" w:rsidRPr="00BD295E" w:rsidRDefault="008A5057" w:rsidP="00E3510B">
            <w:pPr>
              <w:widowControl w:val="0"/>
              <w:tabs>
                <w:tab w:val="left" w:pos="284"/>
                <w:tab w:val="left" w:pos="1134"/>
              </w:tabs>
              <w:suppressAutoHyphens/>
              <w:jc w:val="both"/>
              <w:rPr>
                <w:rFonts w:ascii="Arial" w:hAnsi="Arial" w:cs="Arial"/>
                <w:sz w:val="18"/>
                <w:szCs w:val="18"/>
                <w:lang w:val="en-US"/>
              </w:rPr>
            </w:pPr>
            <w:r w:rsidRPr="00BD295E">
              <w:rPr>
                <w:rFonts w:ascii="Arial" w:hAnsi="Arial" w:cs="Arial"/>
                <w:b/>
                <w:sz w:val="18"/>
                <w:szCs w:val="18"/>
                <w:lang w:val="en-US"/>
              </w:rPr>
              <w:t>Rights of shareholders holding at least 10% of voting shares</w:t>
            </w:r>
          </w:p>
          <w:p w14:paraId="5CAF44D9" w14:textId="77777777" w:rsidR="00F3260C" w:rsidRPr="00BD295E" w:rsidRDefault="00F3260C" w:rsidP="00E3510B">
            <w:pPr>
              <w:widowControl w:val="0"/>
              <w:tabs>
                <w:tab w:val="left" w:pos="284"/>
                <w:tab w:val="left" w:pos="1134"/>
              </w:tabs>
              <w:suppressAutoHyphens/>
              <w:jc w:val="both"/>
              <w:rPr>
                <w:rFonts w:ascii="Arial" w:hAnsi="Arial" w:cs="Arial"/>
                <w:sz w:val="18"/>
                <w:szCs w:val="18"/>
                <w:lang w:val="en-US"/>
              </w:rPr>
            </w:pPr>
          </w:p>
          <w:p w14:paraId="4AF12601" w14:textId="77777777" w:rsidR="00F3260C" w:rsidRPr="00BD295E" w:rsidRDefault="008A5057" w:rsidP="00E3510B">
            <w:pPr>
              <w:widowControl w:val="0"/>
              <w:tabs>
                <w:tab w:val="left" w:pos="284"/>
                <w:tab w:val="left" w:pos="1134"/>
              </w:tabs>
              <w:suppressAutoHyphens/>
              <w:jc w:val="both"/>
              <w:rPr>
                <w:rFonts w:ascii="Arial" w:hAnsi="Arial" w:cs="Arial"/>
                <w:sz w:val="18"/>
                <w:szCs w:val="18"/>
                <w:lang w:val="en-US"/>
              </w:rPr>
            </w:pPr>
            <w:r w:rsidRPr="00BD295E">
              <w:rPr>
                <w:rFonts w:ascii="Arial" w:hAnsi="Arial" w:cs="Arial"/>
                <w:sz w:val="18"/>
                <w:szCs w:val="18"/>
                <w:lang w:val="en-US"/>
              </w:rPr>
              <w:t xml:space="preserve">Shareholders (a shareholder) holding at least 10 % of the Company’s voting shares may demand the convening of an Extraordinary </w:t>
            </w:r>
            <w:r w:rsidR="0053339C" w:rsidRPr="00BD295E">
              <w:rPr>
                <w:rFonts w:ascii="Arial" w:hAnsi="Arial" w:cs="Arial"/>
                <w:sz w:val="18"/>
                <w:szCs w:val="18"/>
                <w:lang w:val="en-US"/>
              </w:rPr>
              <w:t>General Meeting</w:t>
            </w:r>
            <w:r w:rsidRPr="00BD295E">
              <w:rPr>
                <w:rFonts w:ascii="Arial" w:hAnsi="Arial" w:cs="Arial"/>
                <w:sz w:val="18"/>
                <w:szCs w:val="18"/>
                <w:lang w:val="en-US"/>
              </w:rPr>
              <w:t>; they also have the right to demand an audit (review) of the Company’s financial and business activities.</w:t>
            </w:r>
          </w:p>
          <w:p w14:paraId="204BC0CB" w14:textId="77777777" w:rsidR="00F3260C" w:rsidRPr="00BD295E" w:rsidRDefault="00F3260C" w:rsidP="00E3510B">
            <w:pPr>
              <w:widowControl w:val="0"/>
              <w:tabs>
                <w:tab w:val="left" w:pos="284"/>
                <w:tab w:val="left" w:pos="1134"/>
              </w:tabs>
              <w:suppressAutoHyphens/>
              <w:jc w:val="both"/>
              <w:rPr>
                <w:rFonts w:ascii="Arial" w:hAnsi="Arial" w:cs="Arial"/>
                <w:sz w:val="18"/>
                <w:szCs w:val="18"/>
                <w:lang w:val="en-US"/>
              </w:rPr>
            </w:pPr>
          </w:p>
          <w:p w14:paraId="152FE9B7" w14:textId="77777777" w:rsidR="00F3260C" w:rsidRPr="00BD295E" w:rsidRDefault="008A5057" w:rsidP="00E3510B">
            <w:pPr>
              <w:widowControl w:val="0"/>
              <w:tabs>
                <w:tab w:val="left" w:pos="284"/>
                <w:tab w:val="left" w:pos="1134"/>
              </w:tabs>
              <w:suppressAutoHyphens/>
              <w:jc w:val="both"/>
              <w:rPr>
                <w:rFonts w:ascii="Arial" w:hAnsi="Arial" w:cs="Arial"/>
                <w:sz w:val="18"/>
                <w:szCs w:val="18"/>
                <w:lang w:val="en-US"/>
              </w:rPr>
            </w:pPr>
            <w:r w:rsidRPr="00BD295E">
              <w:rPr>
                <w:rFonts w:ascii="Arial" w:hAnsi="Arial" w:cs="Arial"/>
                <w:b/>
                <w:sz w:val="18"/>
                <w:szCs w:val="18"/>
                <w:lang w:val="en-US"/>
              </w:rPr>
              <w:t>Rights of shareholders holding at least 25% of voting shares</w:t>
            </w:r>
          </w:p>
          <w:p w14:paraId="6A25CD45" w14:textId="77777777" w:rsidR="00F3260C" w:rsidRPr="00BD295E" w:rsidRDefault="00F3260C" w:rsidP="00E3510B">
            <w:pPr>
              <w:widowControl w:val="0"/>
              <w:tabs>
                <w:tab w:val="left" w:pos="284"/>
                <w:tab w:val="left" w:pos="1134"/>
              </w:tabs>
              <w:suppressAutoHyphens/>
              <w:jc w:val="both"/>
              <w:rPr>
                <w:rFonts w:ascii="Arial" w:hAnsi="Arial" w:cs="Arial"/>
                <w:sz w:val="18"/>
                <w:szCs w:val="18"/>
                <w:lang w:val="en-US"/>
              </w:rPr>
            </w:pPr>
          </w:p>
          <w:p w14:paraId="4740CE52" w14:textId="77777777" w:rsidR="00F3260C" w:rsidRPr="00BD295E" w:rsidRDefault="008A5057" w:rsidP="00E3510B">
            <w:pPr>
              <w:tabs>
                <w:tab w:val="left" w:pos="1134"/>
              </w:tabs>
              <w:autoSpaceDE w:val="0"/>
              <w:jc w:val="both"/>
              <w:rPr>
                <w:rFonts w:ascii="Arial" w:hAnsi="Arial" w:cs="Arial"/>
                <w:i/>
                <w:sz w:val="18"/>
                <w:szCs w:val="18"/>
                <w:lang w:val="en-US"/>
              </w:rPr>
            </w:pPr>
            <w:r w:rsidRPr="00BD295E">
              <w:rPr>
                <w:rFonts w:ascii="Arial" w:hAnsi="Arial" w:cs="Arial"/>
                <w:sz w:val="18"/>
                <w:szCs w:val="18"/>
                <w:lang w:val="en-US"/>
              </w:rPr>
              <w:t>Shareholders (a shareholder) holding at least 25 % of the Company’s voting shares in aggregate have the right of access to accounting documents and minutes of meetings of the collective executive body.</w:t>
            </w:r>
          </w:p>
          <w:p w14:paraId="1C37FC1A" w14:textId="77777777" w:rsidR="00F3260C" w:rsidRPr="00BD295E" w:rsidRDefault="00F3260C" w:rsidP="00E3510B">
            <w:pPr>
              <w:tabs>
                <w:tab w:val="left" w:pos="709"/>
              </w:tabs>
              <w:jc w:val="both"/>
              <w:rPr>
                <w:rFonts w:ascii="Arial" w:hAnsi="Arial" w:cs="Arial"/>
                <w:sz w:val="18"/>
                <w:szCs w:val="18"/>
                <w:lang w:val="en-US"/>
              </w:rPr>
            </w:pPr>
          </w:p>
          <w:p w14:paraId="2ACF42E5" w14:textId="77777777" w:rsidR="00F3260C" w:rsidRPr="00BD295E" w:rsidRDefault="008A5057" w:rsidP="00E3510B">
            <w:pPr>
              <w:tabs>
                <w:tab w:val="left" w:pos="709"/>
              </w:tabs>
              <w:jc w:val="both"/>
              <w:rPr>
                <w:rFonts w:ascii="Arial" w:hAnsi="Arial" w:cs="Arial"/>
                <w:sz w:val="18"/>
                <w:szCs w:val="18"/>
                <w:lang w:val="en-US"/>
              </w:rPr>
            </w:pPr>
            <w:r w:rsidRPr="00BD295E">
              <w:rPr>
                <w:rFonts w:ascii="Arial" w:hAnsi="Arial" w:cs="Arial"/>
                <w:sz w:val="18"/>
                <w:szCs w:val="18"/>
                <w:lang w:val="en-US"/>
              </w:rPr>
              <w:t xml:space="preserve">The rights of the Company’s shareholders, as defined in its Articles of Association, are exercised primarily via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the Company.</w:t>
            </w:r>
          </w:p>
        </w:tc>
      </w:tr>
    </w:tbl>
    <w:p w14:paraId="56D43A6F" w14:textId="77777777" w:rsidR="00F3260C" w:rsidRPr="00BD295E" w:rsidRDefault="00F3260C" w:rsidP="00F3260C">
      <w:pPr>
        <w:tabs>
          <w:tab w:val="left" w:pos="567"/>
        </w:tabs>
        <w:jc w:val="both"/>
        <w:rPr>
          <w:rFonts w:ascii="Arial" w:hAnsi="Arial" w:cs="Arial"/>
          <w:bCs/>
          <w:iCs/>
          <w:sz w:val="18"/>
          <w:szCs w:val="18"/>
          <w:lang w:val="en-US" w:eastAsia="ar-SA"/>
        </w:rPr>
      </w:pPr>
    </w:p>
    <w:p w14:paraId="26D2A565" w14:textId="77777777" w:rsidR="00F3260C" w:rsidRPr="00BD295E" w:rsidRDefault="00F3260C" w:rsidP="00F3260C">
      <w:pPr>
        <w:tabs>
          <w:tab w:val="left" w:pos="567"/>
        </w:tabs>
        <w:ind w:firstLine="567"/>
        <w:jc w:val="both"/>
        <w:rPr>
          <w:rFonts w:ascii="Arial" w:hAnsi="Arial" w:cs="Arial"/>
          <w:b/>
          <w:bCs/>
          <w:iCs/>
          <w:sz w:val="18"/>
          <w:szCs w:val="18"/>
          <w:lang w:val="en-US" w:eastAsia="ar-SA"/>
        </w:rPr>
      </w:pPr>
    </w:p>
    <w:p w14:paraId="7A1FCAD6" w14:textId="77777777" w:rsidR="00F3260C" w:rsidRPr="00BD295E" w:rsidRDefault="008A5057" w:rsidP="009427FD">
      <w:pPr>
        <w:tabs>
          <w:tab w:val="left" w:pos="567"/>
        </w:tabs>
        <w:jc w:val="both"/>
        <w:rPr>
          <w:rFonts w:ascii="Arial" w:hAnsi="Arial" w:cs="Arial"/>
          <w:bCs/>
          <w:iCs/>
          <w:sz w:val="18"/>
          <w:szCs w:val="18"/>
          <w:lang w:val="en-US"/>
        </w:rPr>
      </w:pPr>
      <w:r w:rsidRPr="00BD295E">
        <w:rPr>
          <w:rFonts w:ascii="Arial" w:hAnsi="Arial" w:cs="Arial"/>
          <w:bCs/>
          <w:iCs/>
          <w:sz w:val="18"/>
          <w:szCs w:val="18"/>
          <w:lang w:val="en-US"/>
        </w:rPr>
        <w:t xml:space="preserve">In 2018, two General Meetings of Shareholders were held: an Extraordinary and an Annual </w:t>
      </w:r>
      <w:r w:rsidR="0053339C" w:rsidRPr="00BD295E">
        <w:rPr>
          <w:rFonts w:ascii="Arial" w:hAnsi="Arial" w:cs="Arial"/>
          <w:bCs/>
          <w:iCs/>
          <w:sz w:val="18"/>
          <w:szCs w:val="18"/>
          <w:lang w:val="en-US"/>
        </w:rPr>
        <w:t>General Meeting</w:t>
      </w:r>
      <w:r w:rsidRPr="00BD295E">
        <w:rPr>
          <w:rFonts w:ascii="Arial" w:hAnsi="Arial" w:cs="Arial"/>
          <w:bCs/>
          <w:iCs/>
          <w:sz w:val="18"/>
          <w:szCs w:val="18"/>
          <w:lang w:val="en-US"/>
        </w:rPr>
        <w:t>.</w:t>
      </w:r>
    </w:p>
    <w:p w14:paraId="30B567F5" w14:textId="77777777" w:rsidR="00F3260C" w:rsidRPr="00BD295E" w:rsidRDefault="008A5057" w:rsidP="009427FD">
      <w:pPr>
        <w:tabs>
          <w:tab w:val="left" w:pos="0"/>
        </w:tabs>
        <w:jc w:val="both"/>
        <w:rPr>
          <w:rFonts w:ascii="Arial" w:hAnsi="Arial" w:cs="Arial"/>
          <w:sz w:val="18"/>
          <w:szCs w:val="18"/>
          <w:lang w:val="en-US"/>
        </w:rPr>
      </w:pPr>
      <w:r w:rsidRPr="00BD295E">
        <w:rPr>
          <w:rFonts w:ascii="Arial" w:hAnsi="Arial" w:cs="Arial"/>
          <w:sz w:val="18"/>
          <w:szCs w:val="18"/>
          <w:lang w:val="en-US"/>
        </w:rPr>
        <w:t xml:space="preserve">The Extraordinary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the Company was held on February 05, 2018 (Minutes No. 1/2018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6, 2018), which resolved to terminate the powers of the Company’s Board of Directors earlier and elect a new Board of Directors.</w:t>
      </w:r>
    </w:p>
    <w:p w14:paraId="3A61F15B" w14:textId="77777777" w:rsidR="00F3260C" w:rsidRPr="00BD295E" w:rsidRDefault="008A5057" w:rsidP="009427FD">
      <w:pPr>
        <w:tabs>
          <w:tab w:val="left" w:pos="0"/>
        </w:tabs>
        <w:jc w:val="both"/>
        <w:rPr>
          <w:rFonts w:ascii="Arial" w:hAnsi="Arial" w:cs="Arial"/>
          <w:sz w:val="18"/>
          <w:szCs w:val="18"/>
          <w:lang w:val="en-US"/>
        </w:rPr>
      </w:pPr>
      <w:r w:rsidRPr="00BD295E">
        <w:rPr>
          <w:rFonts w:ascii="Arial" w:hAnsi="Arial" w:cs="Arial"/>
          <w:sz w:val="18"/>
          <w:szCs w:val="18"/>
          <w:lang w:val="en-US"/>
        </w:rPr>
        <w:t xml:space="preserve">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was held on June 8, 2018 (Minutes No. 2/20-18 </w:t>
      </w:r>
      <w:r w:rsidR="008B183C" w:rsidRPr="00BD295E">
        <w:rPr>
          <w:rFonts w:ascii="Arial" w:hAnsi="Arial" w:cs="Arial"/>
          <w:sz w:val="18"/>
          <w:szCs w:val="18"/>
          <w:lang w:val="en-US"/>
        </w:rPr>
        <w:t>of</w:t>
      </w:r>
      <w:r w:rsidRPr="00BD295E">
        <w:rPr>
          <w:rFonts w:ascii="Arial" w:hAnsi="Arial" w:cs="Arial"/>
          <w:sz w:val="18"/>
          <w:szCs w:val="18"/>
          <w:lang w:val="en-US"/>
        </w:rPr>
        <w:t xml:space="preserve"> June 13, 2018) and discussed the following agenda:</w:t>
      </w:r>
    </w:p>
    <w:p w14:paraId="5A74F13F" w14:textId="77777777" w:rsidR="00F3260C" w:rsidRPr="00BD295E" w:rsidRDefault="008A5057" w:rsidP="00F3260C">
      <w:pPr>
        <w:pStyle w:val="34"/>
        <w:spacing w:after="0"/>
        <w:ind w:firstLine="567"/>
        <w:jc w:val="both"/>
        <w:rPr>
          <w:rFonts w:ascii="Arial" w:hAnsi="Arial" w:cs="Arial"/>
          <w:bCs/>
          <w:sz w:val="18"/>
          <w:szCs w:val="18"/>
          <w:lang w:val="en-US"/>
        </w:rPr>
      </w:pPr>
      <w:bookmarkStart w:id="397" w:name="Соб_ПовесткаДня"/>
      <w:r w:rsidRPr="00BD295E">
        <w:rPr>
          <w:rFonts w:ascii="Arial" w:hAnsi="Arial" w:cs="Arial"/>
          <w:bCs/>
          <w:sz w:val="18"/>
          <w:szCs w:val="18"/>
          <w:lang w:val="en-US"/>
        </w:rPr>
        <w:t>1. Approval of the Company’s annual report and annual accounting (financial) statements;</w:t>
      </w:r>
    </w:p>
    <w:p w14:paraId="5357D8C6" w14:textId="77777777" w:rsidR="00F3260C" w:rsidRPr="00BD295E" w:rsidRDefault="008A5057" w:rsidP="00F3260C">
      <w:pPr>
        <w:pStyle w:val="34"/>
        <w:spacing w:after="0"/>
        <w:ind w:firstLine="567"/>
        <w:jc w:val="both"/>
        <w:rPr>
          <w:rFonts w:ascii="Arial" w:hAnsi="Arial" w:cs="Arial"/>
          <w:bCs/>
          <w:sz w:val="18"/>
          <w:szCs w:val="18"/>
          <w:lang w:val="en-US"/>
        </w:rPr>
      </w:pPr>
      <w:r w:rsidRPr="00BD295E">
        <w:rPr>
          <w:rFonts w:ascii="Arial" w:hAnsi="Arial" w:cs="Arial"/>
          <w:bCs/>
          <w:sz w:val="18"/>
          <w:szCs w:val="18"/>
          <w:lang w:val="en-US"/>
        </w:rPr>
        <w:t>2. Distribution of the profit (including payout (announcement) of dividends) and losses of the Company for 2017.</w:t>
      </w:r>
    </w:p>
    <w:p w14:paraId="6C240A6E" w14:textId="77777777" w:rsidR="00F3260C" w:rsidRPr="00BD295E" w:rsidRDefault="008A5057" w:rsidP="00F3260C">
      <w:pPr>
        <w:pStyle w:val="34"/>
        <w:spacing w:after="0"/>
        <w:ind w:firstLine="567"/>
        <w:jc w:val="both"/>
        <w:rPr>
          <w:rFonts w:ascii="Arial" w:hAnsi="Arial" w:cs="Arial"/>
          <w:bCs/>
          <w:sz w:val="18"/>
          <w:szCs w:val="18"/>
          <w:lang w:val="en-US"/>
        </w:rPr>
      </w:pPr>
      <w:r w:rsidRPr="00BD295E">
        <w:rPr>
          <w:rFonts w:ascii="Arial" w:hAnsi="Arial" w:cs="Arial"/>
          <w:bCs/>
          <w:sz w:val="18"/>
          <w:szCs w:val="18"/>
          <w:lang w:val="en-US"/>
        </w:rPr>
        <w:t>3. Elections of members of the Company’s Board of Directors.</w:t>
      </w:r>
    </w:p>
    <w:p w14:paraId="3DB10A62" w14:textId="77777777" w:rsidR="00F3260C" w:rsidRPr="00BD295E" w:rsidRDefault="008A5057" w:rsidP="00F3260C">
      <w:pPr>
        <w:pStyle w:val="34"/>
        <w:spacing w:after="0"/>
        <w:ind w:firstLine="567"/>
        <w:jc w:val="both"/>
        <w:rPr>
          <w:rFonts w:ascii="Arial" w:hAnsi="Arial" w:cs="Arial"/>
          <w:bCs/>
          <w:sz w:val="18"/>
          <w:szCs w:val="18"/>
          <w:lang w:val="en-US"/>
        </w:rPr>
      </w:pPr>
      <w:r w:rsidRPr="00BD295E">
        <w:rPr>
          <w:rFonts w:ascii="Arial" w:hAnsi="Arial" w:cs="Arial"/>
          <w:bCs/>
          <w:sz w:val="18"/>
          <w:szCs w:val="18"/>
          <w:lang w:val="en-US"/>
        </w:rPr>
        <w:t xml:space="preserve">4. Election of members of the </w:t>
      </w:r>
      <w:r w:rsidR="00293DDA" w:rsidRPr="00BD295E">
        <w:rPr>
          <w:rFonts w:ascii="Arial" w:hAnsi="Arial" w:cs="Arial"/>
          <w:bCs/>
          <w:sz w:val="18"/>
          <w:szCs w:val="18"/>
          <w:lang w:val="en-US"/>
        </w:rPr>
        <w:t>Internal Audit Commission</w:t>
      </w:r>
      <w:r w:rsidRPr="00BD295E">
        <w:rPr>
          <w:rFonts w:ascii="Arial" w:hAnsi="Arial" w:cs="Arial"/>
          <w:bCs/>
          <w:sz w:val="18"/>
          <w:szCs w:val="18"/>
          <w:lang w:val="en-US"/>
        </w:rPr>
        <w:t xml:space="preserve"> of the Company.</w:t>
      </w:r>
    </w:p>
    <w:p w14:paraId="4BE82525" w14:textId="77777777" w:rsidR="00F3260C" w:rsidRPr="00BD295E" w:rsidRDefault="008A5057" w:rsidP="00F3260C">
      <w:pPr>
        <w:pStyle w:val="34"/>
        <w:spacing w:after="0"/>
        <w:ind w:firstLine="567"/>
        <w:jc w:val="both"/>
        <w:rPr>
          <w:rFonts w:ascii="Arial" w:hAnsi="Arial" w:cs="Arial"/>
          <w:bCs/>
          <w:sz w:val="18"/>
          <w:szCs w:val="18"/>
          <w:lang w:val="en-US"/>
        </w:rPr>
      </w:pPr>
      <w:r w:rsidRPr="00BD295E">
        <w:rPr>
          <w:rFonts w:ascii="Arial" w:hAnsi="Arial" w:cs="Arial"/>
          <w:bCs/>
          <w:sz w:val="18"/>
          <w:szCs w:val="18"/>
          <w:lang w:val="en-US"/>
        </w:rPr>
        <w:t>5. Approval of the Company’s Auditor.</w:t>
      </w:r>
    </w:p>
    <w:p w14:paraId="23E5EA97" w14:textId="77777777" w:rsidR="00F3260C" w:rsidRPr="00BD295E" w:rsidRDefault="008A5057" w:rsidP="00F3260C">
      <w:pPr>
        <w:pStyle w:val="34"/>
        <w:spacing w:after="0"/>
        <w:ind w:firstLine="567"/>
        <w:jc w:val="both"/>
        <w:rPr>
          <w:rFonts w:ascii="Arial" w:hAnsi="Arial" w:cs="Arial"/>
          <w:bCs/>
          <w:sz w:val="18"/>
          <w:szCs w:val="18"/>
          <w:lang w:val="en-US"/>
        </w:rPr>
      </w:pPr>
      <w:r w:rsidRPr="00BD295E">
        <w:rPr>
          <w:rFonts w:ascii="Arial" w:hAnsi="Arial" w:cs="Arial"/>
          <w:bCs/>
          <w:sz w:val="18"/>
          <w:szCs w:val="18"/>
          <w:lang w:val="en-US"/>
        </w:rPr>
        <w:t>6. Approval of a restated version of the Company’s Articles of Association.</w:t>
      </w:r>
    </w:p>
    <w:p w14:paraId="466556C8" w14:textId="77777777" w:rsidR="00F3260C" w:rsidRPr="00BD295E" w:rsidRDefault="008A5057" w:rsidP="00F3260C">
      <w:pPr>
        <w:pStyle w:val="34"/>
        <w:spacing w:after="0"/>
        <w:ind w:firstLine="567"/>
        <w:jc w:val="both"/>
        <w:rPr>
          <w:rFonts w:ascii="Arial" w:hAnsi="Arial" w:cs="Arial"/>
          <w:bCs/>
          <w:sz w:val="18"/>
          <w:szCs w:val="18"/>
          <w:lang w:val="en-US"/>
        </w:rPr>
      </w:pPr>
      <w:r w:rsidRPr="00BD295E">
        <w:rPr>
          <w:rFonts w:ascii="Arial" w:hAnsi="Arial" w:cs="Arial"/>
          <w:bCs/>
          <w:sz w:val="18"/>
          <w:szCs w:val="18"/>
          <w:lang w:val="en-US"/>
        </w:rPr>
        <w:t xml:space="preserve">7. Approval of the Regulations for the Board of Directors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(restated version)</w:t>
      </w:r>
    </w:p>
    <w:p w14:paraId="38BF0BC7" w14:textId="77777777" w:rsidR="00F3260C" w:rsidRPr="00BD295E" w:rsidRDefault="008A5057" w:rsidP="00F3260C">
      <w:pPr>
        <w:pStyle w:val="34"/>
        <w:spacing w:after="0"/>
        <w:ind w:firstLine="567"/>
        <w:jc w:val="both"/>
        <w:rPr>
          <w:rFonts w:ascii="Arial" w:hAnsi="Arial" w:cs="Arial"/>
          <w:bCs/>
          <w:sz w:val="18"/>
          <w:szCs w:val="18"/>
          <w:lang w:val="en-US"/>
        </w:rPr>
      </w:pPr>
      <w:r w:rsidRPr="00BD295E">
        <w:rPr>
          <w:rFonts w:ascii="Arial" w:hAnsi="Arial" w:cs="Arial"/>
          <w:bCs/>
          <w:sz w:val="18"/>
          <w:szCs w:val="18"/>
          <w:lang w:val="en-US"/>
        </w:rPr>
        <w:t xml:space="preserve">8. Approval of the Regulations for the Management Board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(restated version)</w:t>
      </w:r>
    </w:p>
    <w:p w14:paraId="143391F6" w14:textId="77777777" w:rsidR="00F3260C" w:rsidRPr="00BD295E" w:rsidRDefault="008A5057" w:rsidP="00F3260C">
      <w:pPr>
        <w:pStyle w:val="34"/>
        <w:spacing w:after="0"/>
        <w:ind w:firstLine="567"/>
        <w:jc w:val="both"/>
        <w:rPr>
          <w:rFonts w:ascii="Arial" w:hAnsi="Arial" w:cs="Arial"/>
          <w:bCs/>
          <w:sz w:val="18"/>
          <w:szCs w:val="18"/>
          <w:lang w:val="en-US"/>
        </w:rPr>
      </w:pPr>
      <w:r w:rsidRPr="00BD295E">
        <w:rPr>
          <w:rFonts w:ascii="Arial" w:hAnsi="Arial" w:cs="Arial"/>
          <w:bCs/>
          <w:sz w:val="18"/>
          <w:szCs w:val="18"/>
          <w:lang w:val="en-US"/>
        </w:rPr>
        <w:t xml:space="preserve">9. Approval of the Regulations for the </w:t>
      </w:r>
      <w:r w:rsidR="00293DDA" w:rsidRPr="00BD295E">
        <w:rPr>
          <w:rFonts w:ascii="Arial" w:hAnsi="Arial" w:cs="Arial"/>
          <w:bCs/>
          <w:sz w:val="18"/>
          <w:szCs w:val="18"/>
          <w:lang w:val="en-US"/>
        </w:rPr>
        <w:t>Internal Audit Commission</w:t>
      </w:r>
      <w:r w:rsidRPr="00BD295E">
        <w:rPr>
          <w:rFonts w:ascii="Arial" w:hAnsi="Arial" w:cs="Arial"/>
          <w:bCs/>
          <w:sz w:val="18"/>
          <w:szCs w:val="18"/>
          <w:lang w:val="en-US"/>
        </w:rPr>
        <w:t xml:space="preserve">’s Remuneration and Compensation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as restated.</w:t>
      </w:r>
      <w:bookmarkEnd w:id="397"/>
    </w:p>
    <w:p w14:paraId="1973347B" w14:textId="77777777" w:rsidR="00F3260C" w:rsidRPr="00BD295E" w:rsidRDefault="00F3260C" w:rsidP="00F3260C">
      <w:pPr>
        <w:tabs>
          <w:tab w:val="left" w:pos="0"/>
        </w:tabs>
        <w:autoSpaceDE w:val="0"/>
        <w:ind w:firstLine="567"/>
        <w:jc w:val="both"/>
        <w:rPr>
          <w:rFonts w:ascii="Arial" w:hAnsi="Arial" w:cs="Arial"/>
          <w:sz w:val="18"/>
          <w:szCs w:val="18"/>
          <w:lang w:val="en-US"/>
        </w:rPr>
      </w:pPr>
    </w:p>
    <w:p w14:paraId="73B1094E" w14:textId="77777777" w:rsidR="00F3260C" w:rsidRPr="00BD295E" w:rsidRDefault="008A5057" w:rsidP="009427FD">
      <w:pPr>
        <w:tabs>
          <w:tab w:val="left" w:pos="0"/>
        </w:tabs>
        <w:autoSpaceDE w:val="0"/>
        <w:jc w:val="both"/>
        <w:rPr>
          <w:rFonts w:ascii="Arial" w:hAnsi="Arial" w:cs="Arial"/>
          <w:sz w:val="18"/>
          <w:szCs w:val="18"/>
          <w:lang w:val="en-US"/>
        </w:rPr>
      </w:pPr>
      <w:r w:rsidRPr="00BD295E">
        <w:rPr>
          <w:rFonts w:ascii="Arial" w:hAnsi="Arial" w:cs="Arial"/>
          <w:sz w:val="18"/>
          <w:szCs w:val="18"/>
          <w:lang w:val="en-US"/>
        </w:rPr>
        <w:t>Information on the meetings is available on the official website of the Company at http://www.lenenergo.ru/shareholders/corp/control/osa/</w:t>
      </w:r>
    </w:p>
    <w:p w14:paraId="69BEDF22" w14:textId="3B6E97B7" w:rsidR="00FE1EF5" w:rsidRPr="00BD295E" w:rsidRDefault="00FE1EF5">
      <w:pPr>
        <w:rPr>
          <w:rFonts w:ascii="Arial" w:hAnsi="Arial" w:cs="Arial"/>
          <w:b/>
          <w:sz w:val="18"/>
          <w:szCs w:val="18"/>
          <w:lang w:val="en-US"/>
        </w:rPr>
      </w:pPr>
      <w:r w:rsidRPr="00BD295E">
        <w:rPr>
          <w:rFonts w:ascii="Arial" w:hAnsi="Arial" w:cs="Arial"/>
          <w:b/>
          <w:sz w:val="18"/>
          <w:szCs w:val="18"/>
          <w:lang w:val="en-US"/>
        </w:rPr>
        <w:br w:type="page"/>
      </w:r>
    </w:p>
    <w:p w14:paraId="1CBF24C5" w14:textId="77777777" w:rsidR="00F3260C" w:rsidRPr="00BD295E" w:rsidRDefault="00F3260C" w:rsidP="00F3260C">
      <w:pPr>
        <w:tabs>
          <w:tab w:val="left" w:pos="1134"/>
        </w:tabs>
        <w:jc w:val="both"/>
        <w:rPr>
          <w:rFonts w:ascii="Arial" w:hAnsi="Arial" w:cs="Arial"/>
          <w:b/>
          <w:sz w:val="18"/>
          <w:szCs w:val="18"/>
          <w:lang w:val="en-US"/>
        </w:rPr>
      </w:pPr>
    </w:p>
    <w:p w14:paraId="5A830779" w14:textId="77777777" w:rsidR="00F3260C" w:rsidRPr="00BD295E" w:rsidRDefault="008A5057" w:rsidP="00F3260C">
      <w:pPr>
        <w:tabs>
          <w:tab w:val="left" w:pos="1134"/>
          <w:tab w:val="left" w:pos="7380"/>
        </w:tabs>
        <w:jc w:val="both"/>
        <w:rPr>
          <w:rFonts w:ascii="Arial" w:hAnsi="Arial" w:cs="Arial"/>
          <w:b/>
          <w:sz w:val="18"/>
          <w:szCs w:val="18"/>
          <w:lang w:val="en-US"/>
        </w:rPr>
      </w:pPr>
      <w:r w:rsidRPr="00BD295E">
        <w:rPr>
          <w:rFonts w:ascii="Arial" w:hAnsi="Arial" w:cs="Arial"/>
          <w:b/>
          <w:sz w:val="18"/>
          <w:szCs w:val="18"/>
          <w:lang w:val="en-US"/>
        </w:rPr>
        <w:t>Quorum of the Company’s General Meetings of Shareholders in 2016–2018, %</w:t>
      </w:r>
      <w:r w:rsidRPr="00BD295E">
        <w:rPr>
          <w:rFonts w:ascii="Arial" w:hAnsi="Arial" w:cs="Arial"/>
          <w:b/>
          <w:sz w:val="18"/>
          <w:szCs w:val="18"/>
          <w:lang w:val="en-US"/>
        </w:rPr>
        <w:tab/>
      </w:r>
    </w:p>
    <w:p w14:paraId="6FC28AEA" w14:textId="77777777" w:rsidR="00F3260C" w:rsidRPr="00BD295E" w:rsidRDefault="00F3260C" w:rsidP="00F3260C">
      <w:pPr>
        <w:tabs>
          <w:tab w:val="left" w:pos="1134"/>
        </w:tabs>
        <w:jc w:val="both"/>
        <w:rPr>
          <w:rFonts w:ascii="Arial" w:hAnsi="Arial" w:cs="Arial"/>
          <w:b/>
          <w:sz w:val="18"/>
          <w:szCs w:val="18"/>
          <w:lang w:val="en-US"/>
        </w:rPr>
      </w:pPr>
    </w:p>
    <w:p w14:paraId="15582AAC" w14:textId="02283A54" w:rsidR="00F3260C" w:rsidRPr="00BD295E" w:rsidRDefault="0040027A" w:rsidP="00F3260C">
      <w:pPr>
        <w:tabs>
          <w:tab w:val="left" w:pos="1134"/>
        </w:tabs>
        <w:jc w:val="both"/>
        <w:rPr>
          <w:rFonts w:ascii="Arial" w:hAnsi="Arial" w:cs="Arial"/>
          <w:sz w:val="18"/>
          <w:szCs w:val="18"/>
          <w:lang w:val="en-US"/>
        </w:rPr>
      </w:pPr>
      <w:bookmarkStart w:id="398" w:name="_Hlk95938784"/>
      <w:r w:rsidRPr="00BD295E">
        <w:rPr>
          <w:rFonts w:ascii="Arial" w:hAnsi="Arial" w:cs="Arial"/>
          <w:sz w:val="18"/>
          <w:szCs w:val="18"/>
          <w:lang w:val="en-US" w:eastAsia="en-US"/>
        </w:rPr>
        <mc:AlternateContent>
          <mc:Choice Requires="wps">
            <w:drawing>
              <wp:anchor distT="45720" distB="45720" distL="114300" distR="114300" simplePos="0" relativeHeight="251858432" behindDoc="0" locked="0" layoutInCell="1" allowOverlap="1" wp14:anchorId="19EFD66E" wp14:editId="166AFD18">
                <wp:simplePos x="0" y="0"/>
                <wp:positionH relativeFrom="column">
                  <wp:posOffset>3696970</wp:posOffset>
                </wp:positionH>
                <wp:positionV relativeFrom="paragraph">
                  <wp:posOffset>2327910</wp:posOffset>
                </wp:positionV>
                <wp:extent cx="624840" cy="183515"/>
                <wp:effectExtent l="0" t="0" r="3810" b="6985"/>
                <wp:wrapNone/>
                <wp:docPr id="1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183515"/>
                        </a:xfrm>
                        <a:prstGeom prst="rect">
                          <a:avLst/>
                        </a:prstGeom>
                        <a:solidFill>
                          <a:schemeClr val="bg1"/>
                        </a:solidFill>
                        <a:ln w="9525">
                          <a:noFill/>
                          <a:miter lim="800000"/>
                          <a:headEnd/>
                          <a:tailEnd/>
                        </a:ln>
                      </wps:spPr>
                      <wps:txbx>
                        <w:txbxContent>
                          <w:p w14:paraId="2FCD4CBF" w14:textId="77777777" w:rsidR="002C3947" w:rsidRPr="0040027A" w:rsidRDefault="002C3947" w:rsidP="0040027A">
                            <w:pPr>
                              <w:jc w:val="center"/>
                              <w:rPr>
                                <w:rFonts w:ascii="Arial" w:hAnsi="Arial" w:cs="Arial"/>
                                <w:sz w:val="18"/>
                                <w:szCs w:val="28"/>
                              </w:rPr>
                            </w:pPr>
                            <w:r w:rsidRPr="0040027A">
                              <w:rPr>
                                <w:rFonts w:ascii="Arial" w:hAnsi="Arial" w:cs="Arial"/>
                                <w:sz w:val="18"/>
                                <w:szCs w:val="28"/>
                              </w:rPr>
                              <w:t>AGM</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EFD66E" id="_x0000_s1135" type="#_x0000_t202" style="position:absolute;left:0;text-align:left;margin-left:291.1pt;margin-top:183.3pt;width:49.2pt;height:14.45pt;z-index:2518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" fillcolor="white [3212]" stroked="f">
                <v:textbox inset="0,0,0,0">
                  <w:txbxContent>
                    <w:p w14:paraId="2FCD4CBF" w14:textId="77777777" w:rsidR="002C3947" w:rsidRPr="0040027A" w:rsidRDefault="002C3947" w:rsidP="0040027A">
                      <w:pPr>
                        <w:jc w:val="center"/>
                        <w:rPr>
                          <w:rFonts w:ascii="Arial" w:hAnsi="Arial" w:cs="Arial"/>
                          <w:sz w:val="18"/>
                          <w:szCs w:val="28"/>
                        </w:rPr>
                      </w:pPr>
                      <w:r w:rsidRPr="0040027A">
                        <w:rPr>
                          <w:rFonts w:ascii="Arial" w:hAnsi="Arial" w:cs="Arial"/>
                          <w:sz w:val="18"/>
                          <w:szCs w:val="28"/>
                        </w:rPr>
                        <w:t>AGM</w:t>
                      </w:r>
                    </w:p>
                  </w:txbxContent>
                </v:textbox>
              </v:shape>
            </w:pict>
          </mc:Fallback>
        </mc:AlternateContent>
      </w:r>
      <w:r w:rsidRPr="00BD295E">
        <w:rPr>
          <w:rFonts w:ascii="Arial" w:hAnsi="Arial" w:cs="Arial"/>
          <w:sz w:val="18"/>
          <w:szCs w:val="18"/>
          <w:lang w:val="en-US" w:eastAsia="en-US"/>
        </w:rPr>
        <mc:AlternateContent>
          <mc:Choice Requires="wps">
            <w:drawing>
              <wp:anchor distT="45720" distB="45720" distL="114300" distR="114300" simplePos="0" relativeHeight="251855360" behindDoc="0" locked="0" layoutInCell="1" allowOverlap="1" wp14:anchorId="36B94ED0" wp14:editId="365FDB40">
                <wp:simplePos x="0" y="0"/>
                <wp:positionH relativeFrom="column">
                  <wp:posOffset>1981200</wp:posOffset>
                </wp:positionH>
                <wp:positionV relativeFrom="paragraph">
                  <wp:posOffset>2328545</wp:posOffset>
                </wp:positionV>
                <wp:extent cx="624840" cy="183515"/>
                <wp:effectExtent l="0" t="0" r="3810" b="6985"/>
                <wp:wrapNone/>
                <wp:docPr id="1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183515"/>
                        </a:xfrm>
                        <a:prstGeom prst="rect">
                          <a:avLst/>
                        </a:prstGeom>
                        <a:solidFill>
                          <a:schemeClr val="bg1"/>
                        </a:solidFill>
                        <a:ln w="9525">
                          <a:noFill/>
                          <a:miter lim="800000"/>
                          <a:headEnd/>
                          <a:tailEnd/>
                        </a:ln>
                      </wps:spPr>
                      <wps:txbx>
                        <w:txbxContent>
                          <w:p w14:paraId="55F2D946" w14:textId="77777777" w:rsidR="002C3947" w:rsidRPr="0040027A" w:rsidRDefault="002C3947" w:rsidP="0040027A">
                            <w:pPr>
                              <w:jc w:val="center"/>
                              <w:rPr>
                                <w:rFonts w:ascii="Arial" w:hAnsi="Arial" w:cs="Arial"/>
                                <w:sz w:val="18"/>
                                <w:szCs w:val="28"/>
                              </w:rPr>
                            </w:pPr>
                            <w:r w:rsidRPr="0040027A">
                              <w:rPr>
                                <w:rFonts w:ascii="Arial" w:hAnsi="Arial" w:cs="Arial"/>
                                <w:sz w:val="18"/>
                                <w:szCs w:val="28"/>
                              </w:rPr>
                              <w:t>AGM</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B94ED0" id="_x0000_s1136" type="#_x0000_t202" style="position:absolute;left:0;text-align:left;margin-left:156pt;margin-top:183.35pt;width:49.2pt;height:14.45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" fillcolor="white [3212]" stroked="f">
                <v:textbox inset="0,0,0,0">
                  <w:txbxContent>
                    <w:p w14:paraId="55F2D946" w14:textId="77777777" w:rsidR="002C3947" w:rsidRPr="0040027A" w:rsidRDefault="002C3947" w:rsidP="0040027A">
                      <w:pPr>
                        <w:jc w:val="center"/>
                        <w:rPr>
                          <w:rFonts w:ascii="Arial" w:hAnsi="Arial" w:cs="Arial"/>
                          <w:sz w:val="18"/>
                          <w:szCs w:val="28"/>
                        </w:rPr>
                      </w:pPr>
                      <w:r w:rsidRPr="0040027A">
                        <w:rPr>
                          <w:rFonts w:ascii="Arial" w:hAnsi="Arial" w:cs="Arial"/>
                          <w:sz w:val="18"/>
                          <w:szCs w:val="28"/>
                        </w:rPr>
                        <w:t>AGM</w:t>
                      </w:r>
                    </w:p>
                  </w:txbxContent>
                </v:textbox>
              </v:shape>
            </w:pict>
          </mc:Fallback>
        </mc:AlternateContent>
      </w:r>
      <w:r w:rsidRPr="00BD295E">
        <w:rPr>
          <w:rFonts w:ascii="Arial" w:hAnsi="Arial" w:cs="Arial"/>
          <w:sz w:val="18"/>
          <w:szCs w:val="18"/>
          <w:lang w:val="en-US" w:eastAsia="en-US"/>
        </w:rPr>
        <mc:AlternateContent>
          <mc:Choice Requires="wps">
            <w:drawing>
              <wp:anchor distT="45720" distB="45720" distL="114300" distR="114300" simplePos="0" relativeHeight="251856384" behindDoc="0" locked="0" layoutInCell="1" allowOverlap="1" wp14:anchorId="775FF8F4" wp14:editId="113EEEE7">
                <wp:simplePos x="0" y="0"/>
                <wp:positionH relativeFrom="column">
                  <wp:posOffset>2847340</wp:posOffset>
                </wp:positionH>
                <wp:positionV relativeFrom="paragraph">
                  <wp:posOffset>2331085</wp:posOffset>
                </wp:positionV>
                <wp:extent cx="624840" cy="183515"/>
                <wp:effectExtent l="0" t="0" r="3810" b="6985"/>
                <wp:wrapNone/>
                <wp:docPr id="1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183515"/>
                        </a:xfrm>
                        <a:prstGeom prst="rect">
                          <a:avLst/>
                        </a:prstGeom>
                        <a:solidFill>
                          <a:schemeClr val="bg1"/>
                        </a:solidFill>
                        <a:ln w="9525">
                          <a:noFill/>
                          <a:miter lim="800000"/>
                          <a:headEnd/>
                          <a:tailEnd/>
                        </a:ln>
                      </wps:spPr>
                      <wps:txbx>
                        <w:txbxContent>
                          <w:p w14:paraId="6086490A" w14:textId="77777777" w:rsidR="002C3947" w:rsidRPr="0040027A" w:rsidRDefault="002C3947" w:rsidP="0040027A">
                            <w:pPr>
                              <w:jc w:val="center"/>
                              <w:rPr>
                                <w:rFonts w:ascii="Arial" w:hAnsi="Arial" w:cs="Arial"/>
                                <w:sz w:val="18"/>
                                <w:szCs w:val="28"/>
                              </w:rPr>
                            </w:pPr>
                            <w:r w:rsidRPr="0040027A">
                              <w:rPr>
                                <w:rFonts w:ascii="Arial" w:hAnsi="Arial" w:cs="Arial"/>
                                <w:sz w:val="18"/>
                                <w:szCs w:val="28"/>
                              </w:rPr>
                              <w:t>EGM</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5FF8F4" id="_x0000_s1137" type="#_x0000_t202" style="position:absolute;left:0;text-align:left;margin-left:224.2pt;margin-top:183.55pt;width:49.2pt;height:14.45pt;z-index:25185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" fillcolor="white [3212]" stroked="f">
                <v:textbox inset="0,0,0,0">
                  <w:txbxContent>
                    <w:p w14:paraId="6086490A" w14:textId="77777777" w:rsidR="002C3947" w:rsidRPr="0040027A" w:rsidRDefault="002C3947" w:rsidP="0040027A">
                      <w:pPr>
                        <w:jc w:val="center"/>
                        <w:rPr>
                          <w:rFonts w:ascii="Arial" w:hAnsi="Arial" w:cs="Arial"/>
                          <w:sz w:val="18"/>
                          <w:szCs w:val="28"/>
                        </w:rPr>
                      </w:pPr>
                      <w:r w:rsidRPr="0040027A">
                        <w:rPr>
                          <w:rFonts w:ascii="Arial" w:hAnsi="Arial" w:cs="Arial"/>
                          <w:sz w:val="18"/>
                          <w:szCs w:val="28"/>
                        </w:rPr>
                        <w:t>EGM</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53312" behindDoc="0" locked="0" layoutInCell="1" allowOverlap="1" wp14:anchorId="15FA4B08" wp14:editId="1891177E">
                <wp:simplePos x="0" y="0"/>
                <wp:positionH relativeFrom="column">
                  <wp:posOffset>1125220</wp:posOffset>
                </wp:positionH>
                <wp:positionV relativeFrom="paragraph">
                  <wp:posOffset>2328545</wp:posOffset>
                </wp:positionV>
                <wp:extent cx="624840" cy="183515"/>
                <wp:effectExtent l="0" t="0" r="3810" b="6985"/>
                <wp:wrapNone/>
                <wp:docPr id="1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183515"/>
                        </a:xfrm>
                        <a:prstGeom prst="rect">
                          <a:avLst/>
                        </a:prstGeom>
                        <a:solidFill>
                          <a:schemeClr val="bg1"/>
                        </a:solidFill>
                        <a:ln w="9525">
                          <a:noFill/>
                          <a:miter lim="800000"/>
                          <a:headEnd/>
                          <a:tailEnd/>
                        </a:ln>
                      </wps:spPr>
                      <wps:txbx>
                        <w:txbxContent>
                          <w:p w14:paraId="3C9C995E" w14:textId="633340C3" w:rsidR="002C3947" w:rsidRPr="0040027A" w:rsidRDefault="002C3947" w:rsidP="0040027A">
                            <w:pPr>
                              <w:jc w:val="center"/>
                              <w:rPr>
                                <w:rFonts w:ascii="Arial" w:hAnsi="Arial" w:cs="Arial"/>
                                <w:sz w:val="18"/>
                                <w:szCs w:val="28"/>
                              </w:rPr>
                            </w:pPr>
                            <w:r w:rsidRPr="0040027A">
                              <w:rPr>
                                <w:rFonts w:ascii="Arial" w:hAnsi="Arial" w:cs="Arial"/>
                                <w:sz w:val="18"/>
                                <w:szCs w:val="28"/>
                              </w:rPr>
                              <w:t>EGM</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FA4B08" id="_x0000_s1138" type="#_x0000_t202" style="position:absolute;left:0;text-align:left;margin-left:88.6pt;margin-top:183.35pt;width:49.2pt;height:14.45pt;z-index:25185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" fillcolor="white [3212]" stroked="f">
                <v:textbox inset="0,0,0,0">
                  <w:txbxContent>
                    <w:p w14:paraId="3C9C995E" w14:textId="633340C3" w:rsidR="002C3947" w:rsidRPr="0040027A" w:rsidRDefault="002C3947" w:rsidP="0040027A">
                      <w:pPr>
                        <w:jc w:val="center"/>
                        <w:rPr>
                          <w:rFonts w:ascii="Arial" w:hAnsi="Arial" w:cs="Arial"/>
                          <w:sz w:val="18"/>
                          <w:szCs w:val="28"/>
                        </w:rPr>
                      </w:pPr>
                      <w:r w:rsidRPr="0040027A">
                        <w:rPr>
                          <w:rFonts w:ascii="Arial" w:hAnsi="Arial" w:cs="Arial"/>
                          <w:sz w:val="18"/>
                          <w:szCs w:val="28"/>
                        </w:rPr>
                        <w:t>EGM</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51264" behindDoc="0" locked="0" layoutInCell="1" allowOverlap="1" wp14:anchorId="063C7F9B" wp14:editId="4995F2D1">
                <wp:simplePos x="0" y="0"/>
                <wp:positionH relativeFrom="column">
                  <wp:posOffset>259080</wp:posOffset>
                </wp:positionH>
                <wp:positionV relativeFrom="paragraph">
                  <wp:posOffset>2329404</wp:posOffset>
                </wp:positionV>
                <wp:extent cx="624840" cy="183515"/>
                <wp:effectExtent l="0" t="0" r="3810" b="6985"/>
                <wp:wrapNone/>
                <wp:docPr id="1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183515"/>
                        </a:xfrm>
                        <a:prstGeom prst="rect">
                          <a:avLst/>
                        </a:prstGeom>
                        <a:solidFill>
                          <a:schemeClr val="bg1"/>
                        </a:solidFill>
                        <a:ln w="9525">
                          <a:noFill/>
                          <a:miter lim="800000"/>
                          <a:headEnd/>
                          <a:tailEnd/>
                        </a:ln>
                      </wps:spPr>
                      <wps:txbx>
                        <w:txbxContent>
                          <w:p w14:paraId="26FAB635" w14:textId="3E850CBD" w:rsidR="002C3947" w:rsidRPr="0040027A" w:rsidRDefault="002C3947" w:rsidP="0040027A">
                            <w:pPr>
                              <w:jc w:val="center"/>
                              <w:rPr>
                                <w:rFonts w:ascii="Arial" w:hAnsi="Arial" w:cs="Arial"/>
                                <w:sz w:val="18"/>
                                <w:szCs w:val="28"/>
                              </w:rPr>
                            </w:pPr>
                            <w:r w:rsidRPr="0040027A">
                              <w:rPr>
                                <w:rFonts w:ascii="Arial" w:hAnsi="Arial" w:cs="Arial"/>
                                <w:sz w:val="18"/>
                                <w:szCs w:val="28"/>
                              </w:rPr>
                              <w:t>AGM</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63C7F9B" id="_x0000_s1139" type="#_x0000_t202" style="position:absolute;left:0;text-align:left;margin-left:20.4pt;margin-top:183.4pt;width:49.2pt;height:14.45pt;z-index:25185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" fillcolor="white [3212]" stroked="f">
                <v:textbox inset="0,0,0,0">
                  <w:txbxContent>
                    <w:p w14:paraId="26FAB635" w14:textId="3E850CBD" w:rsidR="002C3947" w:rsidRPr="0040027A" w:rsidRDefault="002C3947" w:rsidP="0040027A">
                      <w:pPr>
                        <w:jc w:val="center"/>
                        <w:rPr>
                          <w:rFonts w:ascii="Arial" w:hAnsi="Arial" w:cs="Arial"/>
                          <w:sz w:val="18"/>
                          <w:szCs w:val="28"/>
                        </w:rPr>
                      </w:pPr>
                      <w:r w:rsidRPr="0040027A">
                        <w:rPr>
                          <w:rFonts w:ascii="Arial" w:hAnsi="Arial" w:cs="Arial"/>
                          <w:sz w:val="18"/>
                          <w:szCs w:val="28"/>
                        </w:rPr>
                        <w:t>AGM</w:t>
                      </w:r>
                    </w:p>
                  </w:txbxContent>
                </v:textbox>
              </v:shape>
            </w:pict>
          </mc:Fallback>
        </mc:AlternateContent>
      </w:r>
      <w:r w:rsidR="00997D07" w:rsidRPr="00BD295E">
        <w:rPr>
          <w:rFonts w:ascii="Arial" w:hAnsi="Arial" w:cs="Arial"/>
          <w:sz w:val="18"/>
          <w:szCs w:val="18"/>
          <w:lang w:val="en-US" w:eastAsia="en-US"/>
        </w:rPr>
        <w:drawing>
          <wp:inline distT="0" distB="0" distL="0" distR="0" wp14:anchorId="7029FCD4" wp14:editId="448A8424">
            <wp:extent cx="4572000" cy="2743200"/>
            <wp:effectExtent l="0" t="0" r="0" b="0"/>
            <wp:docPr id="67" name="Диаграмма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2"/>
                    <pic:cNvPicPr>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bookmarkEnd w:id="398"/>
    </w:p>
    <w:p w14:paraId="7269BF1B" w14:textId="43B622CB" w:rsidR="00F3260C" w:rsidRPr="00BD295E" w:rsidRDefault="00F3260C" w:rsidP="00F3260C">
      <w:pPr>
        <w:tabs>
          <w:tab w:val="left" w:pos="1134"/>
        </w:tabs>
        <w:jc w:val="both"/>
        <w:rPr>
          <w:rFonts w:ascii="Arial" w:hAnsi="Arial" w:cs="Arial"/>
          <w:sz w:val="18"/>
          <w:szCs w:val="18"/>
          <w:lang w:val="en-US"/>
        </w:rPr>
      </w:pPr>
    </w:p>
    <w:p w14:paraId="2ABC19C1" w14:textId="5066CB9D" w:rsidR="00293DDA" w:rsidRPr="00BD295E" w:rsidRDefault="00293DDA" w:rsidP="00F3260C">
      <w:pPr>
        <w:tabs>
          <w:tab w:val="left" w:pos="1134"/>
        </w:tabs>
        <w:jc w:val="both"/>
        <w:rPr>
          <w:rFonts w:ascii="Arial" w:hAnsi="Arial" w:cs="Arial"/>
          <w:sz w:val="18"/>
          <w:szCs w:val="18"/>
          <w:lang w:val="en-US"/>
        </w:rPr>
      </w:pPr>
    </w:p>
    <w:p w14:paraId="0D34BE7C" w14:textId="77777777" w:rsidR="00F3260C" w:rsidRPr="00BD295E" w:rsidRDefault="008A5057" w:rsidP="00F3260C">
      <w:pPr>
        <w:tabs>
          <w:tab w:val="left" w:pos="1134"/>
        </w:tabs>
        <w:rPr>
          <w:rFonts w:ascii="Arial" w:hAnsi="Arial" w:cs="Arial"/>
          <w:b/>
          <w:bCs/>
          <w:iCs/>
          <w:sz w:val="18"/>
          <w:szCs w:val="18"/>
          <w:lang w:val="en-US"/>
        </w:rPr>
      </w:pPr>
      <w:r w:rsidRPr="00BD295E">
        <w:rPr>
          <w:rFonts w:ascii="Arial" w:hAnsi="Arial" w:cs="Arial"/>
          <w:b/>
          <w:sz w:val="18"/>
          <w:szCs w:val="18"/>
          <w:lang w:val="en-US"/>
        </w:rPr>
        <w:t>Board of Directors of the Company</w:t>
      </w:r>
    </w:p>
    <w:p w14:paraId="3B7C4575" w14:textId="56000F9C" w:rsidR="00F3260C" w:rsidRPr="00BD295E" w:rsidRDefault="00F3260C" w:rsidP="00F3260C">
      <w:pPr>
        <w:tabs>
          <w:tab w:val="left" w:pos="1134"/>
        </w:tabs>
        <w:rPr>
          <w:rFonts w:ascii="Arial" w:hAnsi="Arial" w:cs="Arial"/>
          <w:b/>
          <w:bCs/>
          <w:iCs/>
          <w:sz w:val="18"/>
          <w:szCs w:val="18"/>
          <w:lang w:val="en-US" w:eastAsia="ar-SA"/>
        </w:rPr>
      </w:pPr>
    </w:p>
    <w:p w14:paraId="29816C00" w14:textId="405997D2" w:rsidR="00F3260C" w:rsidRPr="00BD295E" w:rsidRDefault="008A5057" w:rsidP="009427FD">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 xml:space="preserve">The Board of Directors of </w:t>
      </w:r>
      <w:r w:rsidR="00EE5753" w:rsidRPr="00BD295E">
        <w:rPr>
          <w:rFonts w:ascii="Arial" w:hAnsi="Arial" w:cs="Arial"/>
          <w:b w:val="0"/>
          <w:i w:val="0"/>
          <w:sz w:val="18"/>
          <w:szCs w:val="18"/>
          <w:u w:val="none"/>
          <w:lang w:val="en-US"/>
        </w:rPr>
        <w:t>PJSC “Lenenergo”</w:t>
      </w:r>
      <w:r w:rsidRPr="00BD295E">
        <w:rPr>
          <w:rFonts w:ascii="Arial" w:hAnsi="Arial" w:cs="Arial"/>
          <w:b w:val="0"/>
          <w:i w:val="0"/>
          <w:sz w:val="18"/>
          <w:szCs w:val="18"/>
          <w:u w:val="none"/>
          <w:lang w:val="en-US"/>
        </w:rPr>
        <w:t xml:space="preserve"> is a collective governing body of the Company providing overall governance of the Company’s activities in accordance with the Federal Law </w:t>
      </w:r>
      <w:r w:rsidRPr="00BD295E">
        <w:rPr>
          <w:rFonts w:ascii="Arial" w:hAnsi="Arial" w:cs="Arial"/>
          <w:b w:val="0"/>
          <w:sz w:val="18"/>
          <w:szCs w:val="18"/>
          <w:u w:val="none"/>
          <w:lang w:val="en-US"/>
        </w:rPr>
        <w:t>On Joint-Stock Companies</w:t>
      </w:r>
      <w:r w:rsidRPr="00BD295E">
        <w:rPr>
          <w:rFonts w:ascii="Arial" w:hAnsi="Arial" w:cs="Arial"/>
          <w:b w:val="0"/>
          <w:i w:val="0"/>
          <w:sz w:val="18"/>
          <w:szCs w:val="18"/>
          <w:u w:val="none"/>
          <w:lang w:val="en-US"/>
        </w:rPr>
        <w:t xml:space="preserve">, the Company’s Articles of Association, the Regulations for the Board of Directors of </w:t>
      </w:r>
      <w:r w:rsidR="00EE5753" w:rsidRPr="00BD295E">
        <w:rPr>
          <w:rFonts w:ascii="Arial" w:hAnsi="Arial" w:cs="Arial"/>
          <w:b w:val="0"/>
          <w:i w:val="0"/>
          <w:sz w:val="18"/>
          <w:szCs w:val="18"/>
          <w:u w:val="none"/>
          <w:lang w:val="en-US"/>
        </w:rPr>
        <w:t>PJSC “Lenenergo”</w:t>
      </w:r>
      <w:r w:rsidRPr="00BD295E">
        <w:rPr>
          <w:rFonts w:ascii="Arial" w:hAnsi="Arial" w:cs="Arial"/>
          <w:b w:val="0"/>
          <w:i w:val="0"/>
          <w:sz w:val="18"/>
          <w:szCs w:val="18"/>
          <w:u w:val="none"/>
          <w:lang w:val="en-US"/>
        </w:rPr>
        <w:t xml:space="preserve"> as restated and approved by the Resolution of the Annual </w:t>
      </w:r>
      <w:r w:rsidR="0053339C" w:rsidRPr="00BD295E">
        <w:rPr>
          <w:rFonts w:ascii="Arial" w:hAnsi="Arial" w:cs="Arial"/>
          <w:b w:val="0"/>
          <w:i w:val="0"/>
          <w:sz w:val="18"/>
          <w:szCs w:val="18"/>
          <w:u w:val="none"/>
          <w:lang w:val="en-US"/>
        </w:rPr>
        <w:t>General Meeting</w:t>
      </w:r>
      <w:r w:rsidRPr="00BD295E">
        <w:rPr>
          <w:rFonts w:ascii="Arial" w:hAnsi="Arial" w:cs="Arial"/>
          <w:b w:val="0"/>
          <w:i w:val="0"/>
          <w:sz w:val="18"/>
          <w:szCs w:val="18"/>
          <w:u w:val="none"/>
          <w:lang w:val="en-US"/>
        </w:rPr>
        <w:t xml:space="preserve"> held on June 8, 2018 (Minutes No. 2/2018 </w:t>
      </w:r>
      <w:r w:rsidR="008B183C" w:rsidRPr="00BD295E">
        <w:rPr>
          <w:rFonts w:ascii="Arial" w:hAnsi="Arial" w:cs="Arial"/>
          <w:b w:val="0"/>
          <w:i w:val="0"/>
          <w:sz w:val="18"/>
          <w:szCs w:val="18"/>
          <w:u w:val="none"/>
          <w:lang w:val="en-US"/>
        </w:rPr>
        <w:t>of</w:t>
      </w:r>
      <w:r w:rsidRPr="00BD295E">
        <w:rPr>
          <w:rFonts w:ascii="Arial" w:hAnsi="Arial" w:cs="Arial"/>
          <w:b w:val="0"/>
          <w:i w:val="0"/>
          <w:sz w:val="18"/>
          <w:szCs w:val="18"/>
          <w:u w:val="none"/>
          <w:lang w:val="en-US"/>
        </w:rPr>
        <w:t xml:space="preserve"> June 13, 2018). The Board has 13 members in line with the legislative requirements and with the Company’s scale of operations and needs. In accordance with the Company’s Articles of Association, the Board of Directors meets as needed, but at least once every six weeks.</w:t>
      </w:r>
    </w:p>
    <w:p w14:paraId="65191550" w14:textId="77777777" w:rsidR="00F3260C" w:rsidRPr="00BD295E" w:rsidRDefault="008A5057" w:rsidP="009427FD">
      <w:pPr>
        <w:pStyle w:val="220"/>
        <w:jc w:val="both"/>
        <w:rPr>
          <w:rFonts w:ascii="Arial" w:hAnsi="Arial" w:cs="Arial"/>
          <w:b w:val="0"/>
          <w:i w:val="0"/>
          <w:sz w:val="18"/>
          <w:szCs w:val="18"/>
          <w:u w:val="none"/>
          <w:lang w:val="en-US"/>
        </w:rPr>
      </w:pPr>
      <w:r w:rsidRPr="00BD295E">
        <w:rPr>
          <w:rFonts w:ascii="Arial" w:hAnsi="Arial" w:cs="Arial"/>
          <w:b w:val="0"/>
          <w:i w:val="0"/>
          <w:sz w:val="18"/>
          <w:szCs w:val="18"/>
          <w:u w:val="none"/>
          <w:lang w:val="en-US"/>
        </w:rPr>
        <w:t>When reviewing agenda items, members of the Board of Directors assess the risk of conflict between their interests and the interests of the Company (including conflict of interest related to their participation in governing bodies of other companies). For matters that, in the opinion of a member of the Board of Directors, may entail such a conflict of interest, the director should refrain from voting on, and, if necessary, from discussing such matters. At the same time, directors should report on the existence of a conflict of interest, its risk and causes to the Board of Directors. The relevant information should be submitted via the Corporate Secretary, who provides support for the activities of the Board of Directors and its Committees.</w:t>
      </w:r>
    </w:p>
    <w:p w14:paraId="0E538BB0" w14:textId="77777777" w:rsidR="00F3260C" w:rsidRPr="00BD295E" w:rsidRDefault="00F3260C" w:rsidP="009427FD">
      <w:pPr>
        <w:jc w:val="both"/>
        <w:rPr>
          <w:rFonts w:ascii="Arial" w:hAnsi="Arial" w:cs="Arial"/>
          <w:sz w:val="18"/>
          <w:szCs w:val="18"/>
          <w:lang w:val="en-US"/>
        </w:rPr>
      </w:pPr>
    </w:p>
    <w:p w14:paraId="36228873" w14:textId="77777777" w:rsidR="00F3260C" w:rsidRPr="00BD295E" w:rsidRDefault="008A5057" w:rsidP="009427FD">
      <w:pPr>
        <w:tabs>
          <w:tab w:val="left" w:pos="851"/>
        </w:tabs>
        <w:jc w:val="both"/>
        <w:rPr>
          <w:rFonts w:ascii="Arial" w:hAnsi="Arial" w:cs="Arial"/>
          <w:i/>
          <w:sz w:val="18"/>
          <w:szCs w:val="18"/>
          <w:lang w:val="en-US"/>
        </w:rPr>
      </w:pPr>
      <w:r w:rsidRPr="00BD295E">
        <w:rPr>
          <w:rFonts w:ascii="Arial" w:hAnsi="Arial" w:cs="Arial"/>
          <w:sz w:val="18"/>
          <w:szCs w:val="18"/>
          <w:lang w:val="en-US"/>
        </w:rPr>
        <w:t>As at December 31, 2018, the Board of Directors of the Company had the following composition:</w:t>
      </w:r>
      <w:r w:rsidRPr="00BD295E">
        <w:rPr>
          <w:rStyle w:val="aff0"/>
          <w:rFonts w:ascii="Arial" w:hAnsi="Arial" w:cs="Arial"/>
          <w:sz w:val="18"/>
          <w:szCs w:val="18"/>
          <w:lang w:val="en-US"/>
        </w:rPr>
        <w:footnoteReference w:id="3"/>
      </w:r>
    </w:p>
    <w:p w14:paraId="65D96F61" w14:textId="77777777" w:rsidR="00F3260C" w:rsidRPr="00BD295E" w:rsidRDefault="00F3260C" w:rsidP="009427FD">
      <w:pPr>
        <w:jc w:val="both"/>
        <w:rPr>
          <w:rFonts w:ascii="Arial" w:eastAsia="Calibri" w:hAnsi="Arial" w:cs="Arial"/>
          <w:sz w:val="18"/>
          <w:szCs w:val="18"/>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984"/>
        <w:gridCol w:w="1418"/>
        <w:gridCol w:w="1446"/>
        <w:gridCol w:w="1654"/>
        <w:gridCol w:w="1606"/>
      </w:tblGrid>
      <w:tr w:rsidR="008A5057" w:rsidRPr="00BD295E" w14:paraId="39E8E5FA" w14:textId="77777777" w:rsidTr="00E3510B">
        <w:tc>
          <w:tcPr>
            <w:tcW w:w="1526" w:type="dxa"/>
            <w:shd w:val="clear" w:color="auto" w:fill="auto"/>
          </w:tcPr>
          <w:p w14:paraId="6192C0A4"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Full name</w:t>
            </w:r>
          </w:p>
        </w:tc>
        <w:tc>
          <w:tcPr>
            <w:tcW w:w="1984" w:type="dxa"/>
            <w:shd w:val="clear" w:color="auto" w:fill="auto"/>
          </w:tcPr>
          <w:p w14:paraId="55F53CB4"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Position</w:t>
            </w:r>
          </w:p>
        </w:tc>
        <w:tc>
          <w:tcPr>
            <w:tcW w:w="1418" w:type="dxa"/>
            <w:shd w:val="clear" w:color="auto" w:fill="auto"/>
          </w:tcPr>
          <w:p w14:paraId="3C269929"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Status in the Board of Directors</w:t>
            </w:r>
          </w:p>
        </w:tc>
        <w:tc>
          <w:tcPr>
            <w:tcW w:w="1446" w:type="dxa"/>
            <w:shd w:val="clear" w:color="auto" w:fill="auto"/>
          </w:tcPr>
          <w:p w14:paraId="2FCE9695"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Shareholder representative</w:t>
            </w:r>
          </w:p>
        </w:tc>
        <w:tc>
          <w:tcPr>
            <w:tcW w:w="1654" w:type="dxa"/>
            <w:shd w:val="clear" w:color="auto" w:fill="auto"/>
          </w:tcPr>
          <w:p w14:paraId="2373A00E"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Key competences</w:t>
            </w:r>
          </w:p>
        </w:tc>
        <w:tc>
          <w:tcPr>
            <w:tcW w:w="1606" w:type="dxa"/>
            <w:shd w:val="clear" w:color="auto" w:fill="auto"/>
          </w:tcPr>
          <w:p w14:paraId="25D00F55"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Involvement in the work of Committees</w:t>
            </w:r>
          </w:p>
        </w:tc>
      </w:tr>
      <w:tr w:rsidR="008A5057" w:rsidRPr="00BD295E" w14:paraId="390EB87F" w14:textId="77777777" w:rsidTr="00E3510B">
        <w:tc>
          <w:tcPr>
            <w:tcW w:w="9634" w:type="dxa"/>
            <w:gridSpan w:val="6"/>
            <w:shd w:val="clear" w:color="auto" w:fill="auto"/>
          </w:tcPr>
          <w:p w14:paraId="36CB8734" w14:textId="77777777" w:rsidR="00F3260C" w:rsidRPr="00BD295E" w:rsidRDefault="008A5057" w:rsidP="00E3510B">
            <w:pPr>
              <w:jc w:val="both"/>
              <w:rPr>
                <w:rFonts w:ascii="Arial" w:hAnsi="Arial" w:cs="Arial"/>
                <w:b/>
                <w:sz w:val="18"/>
                <w:szCs w:val="18"/>
                <w:lang w:val="en-US"/>
              </w:rPr>
            </w:pPr>
            <w:r w:rsidRPr="00BD295E">
              <w:rPr>
                <w:rFonts w:ascii="Arial" w:hAnsi="Arial" w:cs="Arial"/>
                <w:b/>
                <w:sz w:val="18"/>
                <w:szCs w:val="18"/>
                <w:lang w:val="en-US"/>
              </w:rPr>
              <w:t>The Chairman of the Board of Directors</w:t>
            </w:r>
          </w:p>
        </w:tc>
      </w:tr>
      <w:tr w:rsidR="008A5057" w:rsidRPr="00BD295E" w14:paraId="1AC80BB5" w14:textId="77777777" w:rsidTr="00E3510B">
        <w:tc>
          <w:tcPr>
            <w:tcW w:w="1526" w:type="dxa"/>
            <w:shd w:val="clear" w:color="auto" w:fill="auto"/>
          </w:tcPr>
          <w:p w14:paraId="04C8BB7A"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Pavel Livinsky </w:t>
            </w:r>
          </w:p>
          <w:p w14:paraId="23CCFAE8"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 </w:t>
            </w:r>
          </w:p>
          <w:p w14:paraId="09C269FB" w14:textId="77777777" w:rsidR="00F3260C" w:rsidRPr="00BD295E" w:rsidRDefault="00F3260C" w:rsidP="00E3510B">
            <w:pPr>
              <w:jc w:val="both"/>
              <w:rPr>
                <w:rFonts w:ascii="Arial" w:hAnsi="Arial" w:cs="Arial"/>
                <w:sz w:val="18"/>
                <w:szCs w:val="18"/>
                <w:lang w:val="en-US"/>
              </w:rPr>
            </w:pPr>
          </w:p>
        </w:tc>
        <w:tc>
          <w:tcPr>
            <w:tcW w:w="1984" w:type="dxa"/>
            <w:shd w:val="clear" w:color="auto" w:fill="auto"/>
          </w:tcPr>
          <w:p w14:paraId="0268718B"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Chairman of the Management Board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CEO of </w:t>
            </w:r>
            <w:r w:rsidR="00BF106F" w:rsidRPr="00BD295E">
              <w:rPr>
                <w:rFonts w:ascii="Arial" w:hAnsi="Arial" w:cs="Arial"/>
                <w:sz w:val="18"/>
                <w:szCs w:val="18"/>
                <w:lang w:val="en-US"/>
              </w:rPr>
              <w:t>PJSC “Rosseti”</w:t>
            </w:r>
          </w:p>
        </w:tc>
        <w:tc>
          <w:tcPr>
            <w:tcW w:w="1418" w:type="dxa"/>
            <w:shd w:val="clear" w:color="auto" w:fill="auto"/>
          </w:tcPr>
          <w:p w14:paraId="7BD88D2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3DACF395"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2F096BD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Rosseti</w:t>
            </w:r>
          </w:p>
        </w:tc>
        <w:tc>
          <w:tcPr>
            <w:tcW w:w="1654" w:type="dxa"/>
            <w:shd w:val="clear" w:color="auto" w:fill="auto"/>
          </w:tcPr>
          <w:p w14:paraId="177A6F8C" w14:textId="77777777" w:rsidR="00F3260C" w:rsidRPr="00BD295E" w:rsidRDefault="00293DDA" w:rsidP="00293DDA">
            <w:pPr>
              <w:jc w:val="center"/>
              <w:rPr>
                <w:rFonts w:ascii="Arial" w:hAnsi="Arial" w:cs="Arial"/>
                <w:sz w:val="18"/>
                <w:szCs w:val="18"/>
                <w:lang w:val="en-US"/>
              </w:rPr>
            </w:pPr>
            <w:r w:rsidRPr="00BD295E">
              <w:rPr>
                <w:rFonts w:ascii="Arial" w:hAnsi="Arial" w:cs="Arial"/>
                <w:sz w:val="18"/>
                <w:szCs w:val="18"/>
                <w:lang w:val="en-US"/>
              </w:rPr>
              <w:t>E</w:t>
            </w:r>
            <w:r w:rsidR="008A5057" w:rsidRPr="00BD295E">
              <w:rPr>
                <w:rFonts w:ascii="Arial" w:hAnsi="Arial" w:cs="Arial"/>
                <w:sz w:val="18"/>
                <w:szCs w:val="18"/>
                <w:lang w:val="en-US"/>
              </w:rPr>
              <w:t>nergy system</w:t>
            </w:r>
            <w:r w:rsidRPr="00BD295E">
              <w:rPr>
                <w:rFonts w:ascii="Arial" w:hAnsi="Arial" w:cs="Arial"/>
                <w:sz w:val="18"/>
                <w:szCs w:val="18"/>
                <w:lang w:val="en-US"/>
              </w:rPr>
              <w:t xml:space="preserve"> reliability and</w:t>
            </w:r>
            <w:r w:rsidR="008A5057" w:rsidRPr="00BD295E">
              <w:rPr>
                <w:rFonts w:ascii="Arial" w:hAnsi="Arial" w:cs="Arial"/>
                <w:sz w:val="18"/>
                <w:szCs w:val="18"/>
                <w:lang w:val="en-US"/>
              </w:rPr>
              <w:t xml:space="preserve"> digitization</w:t>
            </w:r>
          </w:p>
        </w:tc>
        <w:tc>
          <w:tcPr>
            <w:tcW w:w="1606" w:type="dxa"/>
            <w:shd w:val="clear" w:color="auto" w:fill="auto"/>
          </w:tcPr>
          <w:p w14:paraId="4F1604EE" w14:textId="77777777" w:rsidR="00F3260C" w:rsidRPr="00BD295E" w:rsidRDefault="00F3260C" w:rsidP="00E3510B">
            <w:pPr>
              <w:jc w:val="both"/>
              <w:rPr>
                <w:rFonts w:ascii="Arial" w:hAnsi="Arial" w:cs="Arial"/>
                <w:sz w:val="18"/>
                <w:szCs w:val="18"/>
                <w:lang w:val="en-US"/>
              </w:rPr>
            </w:pPr>
          </w:p>
        </w:tc>
      </w:tr>
      <w:tr w:rsidR="008A5057" w:rsidRPr="00BD295E" w14:paraId="52D77C03" w14:textId="77777777" w:rsidTr="00E3510B">
        <w:tc>
          <w:tcPr>
            <w:tcW w:w="9634" w:type="dxa"/>
            <w:gridSpan w:val="6"/>
            <w:shd w:val="clear" w:color="auto" w:fill="auto"/>
          </w:tcPr>
          <w:p w14:paraId="0775F227" w14:textId="77777777" w:rsidR="00F3260C" w:rsidRPr="00BD295E" w:rsidRDefault="008A5057" w:rsidP="00E3510B">
            <w:pPr>
              <w:jc w:val="both"/>
              <w:rPr>
                <w:rFonts w:ascii="Arial" w:hAnsi="Arial" w:cs="Arial"/>
                <w:b/>
                <w:sz w:val="18"/>
                <w:szCs w:val="18"/>
                <w:lang w:val="en-US"/>
              </w:rPr>
            </w:pPr>
            <w:r w:rsidRPr="00BD295E">
              <w:rPr>
                <w:rFonts w:ascii="Arial" w:hAnsi="Arial" w:cs="Arial"/>
                <w:b/>
                <w:sz w:val="18"/>
                <w:szCs w:val="18"/>
                <w:lang w:val="en-US"/>
              </w:rPr>
              <w:t>Members of the Board of Directors</w:t>
            </w:r>
          </w:p>
        </w:tc>
      </w:tr>
      <w:tr w:rsidR="008A5057" w:rsidRPr="00BD295E" w14:paraId="5F4B0350" w14:textId="77777777" w:rsidTr="00E3510B">
        <w:tc>
          <w:tcPr>
            <w:tcW w:w="1526" w:type="dxa"/>
            <w:shd w:val="clear" w:color="auto" w:fill="auto"/>
          </w:tcPr>
          <w:p w14:paraId="2FBD619F"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Andrey </w:t>
            </w:r>
          </w:p>
          <w:p w14:paraId="0F56E522"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Ryumin </w:t>
            </w:r>
          </w:p>
        </w:tc>
        <w:tc>
          <w:tcPr>
            <w:tcW w:w="1984" w:type="dxa"/>
            <w:shd w:val="clear" w:color="auto" w:fill="auto"/>
          </w:tcPr>
          <w:p w14:paraId="13A11110" w14:textId="77777777" w:rsidR="00F3260C" w:rsidRPr="00BD295E" w:rsidRDefault="008A5057" w:rsidP="00E3510B">
            <w:pPr>
              <w:jc w:val="both"/>
              <w:rPr>
                <w:rStyle w:val="description"/>
                <w:rFonts w:ascii="Arial" w:hAnsi="Arial" w:cs="Arial"/>
                <w:sz w:val="18"/>
                <w:szCs w:val="18"/>
                <w:lang w:val="en-US"/>
              </w:rPr>
            </w:pPr>
            <w:r w:rsidRPr="00BD295E">
              <w:rPr>
                <w:rFonts w:ascii="Arial" w:hAnsi="Arial" w:cs="Arial"/>
                <w:sz w:val="18"/>
                <w:szCs w:val="18"/>
                <w:lang w:val="en-US"/>
              </w:rPr>
              <w:t xml:space="preserve">Member of the Management Board </w:t>
            </w:r>
          </w:p>
          <w:p w14:paraId="25183FC5" w14:textId="77777777" w:rsidR="00F3260C" w:rsidRPr="00BD295E" w:rsidRDefault="008A5057" w:rsidP="00E3510B">
            <w:pPr>
              <w:jc w:val="both"/>
              <w:rPr>
                <w:rStyle w:val="description"/>
                <w:rFonts w:ascii="Arial" w:hAnsi="Arial" w:cs="Arial"/>
                <w:sz w:val="18"/>
                <w:szCs w:val="18"/>
                <w:lang w:val="en-US"/>
              </w:rPr>
            </w:pPr>
            <w:r w:rsidRPr="00BD295E">
              <w:rPr>
                <w:rStyle w:val="description"/>
                <w:rFonts w:ascii="Arial" w:hAnsi="Arial" w:cs="Arial"/>
                <w:sz w:val="18"/>
                <w:szCs w:val="18"/>
                <w:lang w:val="en-US"/>
              </w:rPr>
              <w:t>CEO</w:t>
            </w:r>
          </w:p>
          <w:p w14:paraId="2E5341CF" w14:textId="77777777" w:rsidR="00F3260C" w:rsidRPr="00BD295E" w:rsidRDefault="00EE5753" w:rsidP="00E3510B">
            <w:pPr>
              <w:jc w:val="both"/>
              <w:rPr>
                <w:rFonts w:ascii="Arial" w:hAnsi="Arial" w:cs="Arial"/>
                <w:sz w:val="18"/>
                <w:szCs w:val="18"/>
                <w:lang w:val="en-US"/>
              </w:rPr>
            </w:pPr>
            <w:r w:rsidRPr="00BD295E">
              <w:rPr>
                <w:rStyle w:val="description"/>
                <w:rFonts w:ascii="Arial" w:hAnsi="Arial" w:cs="Arial"/>
                <w:sz w:val="18"/>
                <w:szCs w:val="18"/>
                <w:lang w:val="en-US"/>
              </w:rPr>
              <w:t>PJSC “Lenenergo”</w:t>
            </w:r>
          </w:p>
        </w:tc>
        <w:tc>
          <w:tcPr>
            <w:tcW w:w="1418" w:type="dxa"/>
            <w:shd w:val="clear" w:color="auto" w:fill="auto"/>
          </w:tcPr>
          <w:p w14:paraId="4B10627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Executive director</w:t>
            </w:r>
          </w:p>
          <w:p w14:paraId="4E9F2967"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4B04460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Rosseti</w:t>
            </w:r>
          </w:p>
        </w:tc>
        <w:tc>
          <w:tcPr>
            <w:tcW w:w="1654" w:type="dxa"/>
            <w:shd w:val="clear" w:color="auto" w:fill="auto"/>
          </w:tcPr>
          <w:p w14:paraId="7DFEA2A6" w14:textId="77777777" w:rsidR="00F3260C" w:rsidRPr="00BD295E" w:rsidRDefault="00293DDA" w:rsidP="00293DDA">
            <w:pPr>
              <w:jc w:val="center"/>
              <w:rPr>
                <w:rFonts w:ascii="Arial" w:hAnsi="Arial" w:cs="Arial"/>
                <w:sz w:val="18"/>
                <w:szCs w:val="18"/>
                <w:lang w:val="en-US"/>
              </w:rPr>
            </w:pPr>
            <w:r w:rsidRPr="00BD295E">
              <w:rPr>
                <w:rFonts w:ascii="Arial" w:hAnsi="Arial" w:cs="Arial"/>
                <w:sz w:val="18"/>
                <w:szCs w:val="18"/>
                <w:lang w:val="en-US"/>
              </w:rPr>
              <w:t>S</w:t>
            </w:r>
            <w:r w:rsidR="008A5057" w:rsidRPr="00BD295E">
              <w:rPr>
                <w:rFonts w:ascii="Arial" w:hAnsi="Arial" w:cs="Arial"/>
                <w:sz w:val="18"/>
                <w:szCs w:val="18"/>
                <w:lang w:val="en-US"/>
              </w:rPr>
              <w:t>trategic development</w:t>
            </w:r>
            <w:r w:rsidRPr="00BD295E">
              <w:rPr>
                <w:rFonts w:ascii="Arial" w:hAnsi="Arial" w:cs="Arial"/>
                <w:sz w:val="18"/>
                <w:szCs w:val="18"/>
                <w:lang w:val="en-US"/>
              </w:rPr>
              <w:t xml:space="preserve"> and</w:t>
            </w:r>
            <w:r w:rsidR="008A5057" w:rsidRPr="00BD295E">
              <w:rPr>
                <w:rFonts w:ascii="Arial" w:hAnsi="Arial" w:cs="Arial"/>
                <w:sz w:val="18"/>
                <w:szCs w:val="18"/>
                <w:lang w:val="en-US"/>
              </w:rPr>
              <w:t xml:space="preserve"> energy system</w:t>
            </w:r>
            <w:r w:rsidRPr="00BD295E">
              <w:rPr>
                <w:rFonts w:ascii="Arial" w:hAnsi="Arial" w:cs="Arial"/>
                <w:sz w:val="18"/>
                <w:szCs w:val="18"/>
                <w:lang w:val="en-US"/>
              </w:rPr>
              <w:t xml:space="preserve"> reliability</w:t>
            </w:r>
          </w:p>
        </w:tc>
        <w:tc>
          <w:tcPr>
            <w:tcW w:w="1606" w:type="dxa"/>
            <w:shd w:val="clear" w:color="auto" w:fill="auto"/>
          </w:tcPr>
          <w:p w14:paraId="2CB2B809" w14:textId="77777777" w:rsidR="00F3260C" w:rsidRPr="00BD295E" w:rsidRDefault="00F3260C" w:rsidP="00E3510B">
            <w:pPr>
              <w:jc w:val="both"/>
              <w:rPr>
                <w:rFonts w:ascii="Arial" w:hAnsi="Arial" w:cs="Arial"/>
                <w:sz w:val="18"/>
                <w:szCs w:val="18"/>
                <w:lang w:val="en-US"/>
              </w:rPr>
            </w:pPr>
          </w:p>
        </w:tc>
      </w:tr>
      <w:tr w:rsidR="008A5057" w:rsidRPr="00BD295E" w14:paraId="300DAF3D" w14:textId="77777777" w:rsidTr="00E3510B">
        <w:tc>
          <w:tcPr>
            <w:tcW w:w="1526" w:type="dxa"/>
            <w:shd w:val="clear" w:color="auto" w:fill="auto"/>
          </w:tcPr>
          <w:p w14:paraId="5BCB104B"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Olga Sergeyeva </w:t>
            </w:r>
          </w:p>
          <w:p w14:paraId="183CED3B" w14:textId="77777777" w:rsidR="00F3260C" w:rsidRPr="00BD295E" w:rsidRDefault="00F3260C" w:rsidP="00E3510B">
            <w:pPr>
              <w:jc w:val="both"/>
              <w:rPr>
                <w:rFonts w:ascii="Arial" w:hAnsi="Arial" w:cs="Arial"/>
                <w:sz w:val="18"/>
                <w:szCs w:val="18"/>
                <w:lang w:val="en-US"/>
              </w:rPr>
            </w:pPr>
          </w:p>
        </w:tc>
        <w:tc>
          <w:tcPr>
            <w:tcW w:w="1984" w:type="dxa"/>
            <w:shd w:val="clear" w:color="auto" w:fill="auto"/>
          </w:tcPr>
          <w:p w14:paraId="7465BE0E"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Deputy CEO – Head of the Administrative Office at </w:t>
            </w:r>
            <w:r w:rsidR="00BF106F" w:rsidRPr="00BD295E">
              <w:rPr>
                <w:rFonts w:ascii="Arial" w:hAnsi="Arial" w:cs="Arial"/>
                <w:sz w:val="18"/>
                <w:szCs w:val="18"/>
                <w:lang w:val="en-US"/>
              </w:rPr>
              <w:t>PJSC “Rosseti”</w:t>
            </w:r>
          </w:p>
        </w:tc>
        <w:tc>
          <w:tcPr>
            <w:tcW w:w="1418" w:type="dxa"/>
            <w:shd w:val="clear" w:color="auto" w:fill="auto"/>
          </w:tcPr>
          <w:p w14:paraId="7E39262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717A9FBB"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084EADD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Rosseti</w:t>
            </w:r>
          </w:p>
        </w:tc>
        <w:tc>
          <w:tcPr>
            <w:tcW w:w="1654" w:type="dxa"/>
            <w:shd w:val="clear" w:color="auto" w:fill="auto"/>
          </w:tcPr>
          <w:p w14:paraId="4D70C48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 xml:space="preserve">HR policy and organizational design </w:t>
            </w:r>
          </w:p>
        </w:tc>
        <w:tc>
          <w:tcPr>
            <w:tcW w:w="1606" w:type="dxa"/>
            <w:shd w:val="clear" w:color="auto" w:fill="auto"/>
          </w:tcPr>
          <w:p w14:paraId="7A30A005"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Chairman of the Audit Committee</w:t>
            </w:r>
          </w:p>
          <w:p w14:paraId="3677E15E"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Chairman of the Nomination and Remuneration Committee</w:t>
            </w:r>
          </w:p>
        </w:tc>
      </w:tr>
      <w:tr w:rsidR="008A5057" w:rsidRPr="00BD295E" w14:paraId="78E2FA78" w14:textId="77777777" w:rsidTr="00E3510B">
        <w:tc>
          <w:tcPr>
            <w:tcW w:w="1526" w:type="dxa"/>
            <w:shd w:val="clear" w:color="auto" w:fill="auto"/>
          </w:tcPr>
          <w:p w14:paraId="180873B4"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Sergey Sergeyev </w:t>
            </w:r>
          </w:p>
          <w:p w14:paraId="174B913E" w14:textId="77777777" w:rsidR="00F3260C" w:rsidRPr="00BD295E" w:rsidRDefault="00F3260C" w:rsidP="00E3510B">
            <w:pPr>
              <w:jc w:val="both"/>
              <w:rPr>
                <w:rFonts w:ascii="Arial" w:hAnsi="Arial" w:cs="Arial"/>
                <w:sz w:val="18"/>
                <w:szCs w:val="18"/>
                <w:lang w:val="en-US"/>
              </w:rPr>
            </w:pPr>
          </w:p>
        </w:tc>
        <w:tc>
          <w:tcPr>
            <w:tcW w:w="1984" w:type="dxa"/>
            <w:shd w:val="clear" w:color="auto" w:fill="auto"/>
          </w:tcPr>
          <w:p w14:paraId="490FAAA0"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Deputy CEO for Capital Construction, </w:t>
            </w:r>
            <w:r w:rsidR="00BF106F" w:rsidRPr="00BD295E">
              <w:rPr>
                <w:rFonts w:ascii="Arial" w:hAnsi="Arial" w:cs="Arial"/>
                <w:sz w:val="18"/>
                <w:szCs w:val="18"/>
                <w:lang w:val="en-US"/>
              </w:rPr>
              <w:t>PJSC “Rosseti”</w:t>
            </w:r>
          </w:p>
        </w:tc>
        <w:tc>
          <w:tcPr>
            <w:tcW w:w="1418" w:type="dxa"/>
            <w:shd w:val="clear" w:color="auto" w:fill="auto"/>
          </w:tcPr>
          <w:p w14:paraId="7911915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3200BE6C"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6196019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Rosseti</w:t>
            </w:r>
          </w:p>
        </w:tc>
        <w:tc>
          <w:tcPr>
            <w:tcW w:w="1654" w:type="dxa"/>
            <w:shd w:val="clear" w:color="auto" w:fill="auto"/>
          </w:tcPr>
          <w:p w14:paraId="52C7B4DA" w14:textId="77777777" w:rsidR="00F3260C" w:rsidRPr="00BD295E" w:rsidRDefault="00293DDA" w:rsidP="00E3510B">
            <w:pPr>
              <w:jc w:val="center"/>
              <w:rPr>
                <w:rFonts w:ascii="Arial" w:hAnsi="Arial" w:cs="Arial"/>
                <w:sz w:val="18"/>
                <w:szCs w:val="18"/>
                <w:lang w:val="en-US"/>
              </w:rPr>
            </w:pPr>
            <w:r w:rsidRPr="00BD295E">
              <w:rPr>
                <w:rFonts w:ascii="Arial" w:hAnsi="Arial" w:cs="Arial"/>
                <w:sz w:val="18"/>
                <w:szCs w:val="18"/>
                <w:lang w:val="en-US"/>
              </w:rPr>
              <w:t xml:space="preserve">Capital </w:t>
            </w:r>
            <w:r w:rsidR="008A5057" w:rsidRPr="00BD295E">
              <w:rPr>
                <w:rFonts w:ascii="Arial" w:hAnsi="Arial" w:cs="Arial"/>
                <w:sz w:val="18"/>
                <w:szCs w:val="18"/>
                <w:lang w:val="en-US"/>
              </w:rPr>
              <w:t>construction</w:t>
            </w:r>
          </w:p>
        </w:tc>
        <w:tc>
          <w:tcPr>
            <w:tcW w:w="1606" w:type="dxa"/>
            <w:shd w:val="clear" w:color="auto" w:fill="auto"/>
          </w:tcPr>
          <w:p w14:paraId="5271F579"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Member of the Audit Committee</w:t>
            </w:r>
          </w:p>
        </w:tc>
      </w:tr>
      <w:tr w:rsidR="008A5057" w:rsidRPr="00BD295E" w14:paraId="50488E36" w14:textId="77777777" w:rsidTr="00E3510B">
        <w:tc>
          <w:tcPr>
            <w:tcW w:w="1526" w:type="dxa"/>
            <w:shd w:val="clear" w:color="auto" w:fill="auto"/>
          </w:tcPr>
          <w:p w14:paraId="36AFD3CB"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Sergey Miloslavsky </w:t>
            </w:r>
          </w:p>
        </w:tc>
        <w:tc>
          <w:tcPr>
            <w:tcW w:w="1984" w:type="dxa"/>
            <w:shd w:val="clear" w:color="auto" w:fill="auto"/>
          </w:tcPr>
          <w:p w14:paraId="125CD283"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Deputy CEO at </w:t>
            </w:r>
            <w:r w:rsidR="00293DDA" w:rsidRPr="00BD295E">
              <w:rPr>
                <w:rFonts w:ascii="Arial" w:hAnsi="Arial" w:cs="Arial"/>
                <w:sz w:val="18"/>
                <w:szCs w:val="18"/>
                <w:lang w:val="en-US"/>
              </w:rPr>
              <w:t>OJSC “Metrostroy”</w:t>
            </w:r>
          </w:p>
        </w:tc>
        <w:tc>
          <w:tcPr>
            <w:tcW w:w="1418" w:type="dxa"/>
            <w:shd w:val="clear" w:color="auto" w:fill="auto"/>
          </w:tcPr>
          <w:p w14:paraId="0E04B52C"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65A71AB2"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56B803F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Government of Saint Petersburg</w:t>
            </w:r>
          </w:p>
        </w:tc>
        <w:tc>
          <w:tcPr>
            <w:tcW w:w="1654" w:type="dxa"/>
            <w:shd w:val="clear" w:color="auto" w:fill="auto"/>
          </w:tcPr>
          <w:p w14:paraId="6C7D0ABF" w14:textId="77777777" w:rsidR="00F3260C" w:rsidRPr="00BD295E" w:rsidRDefault="00293DDA" w:rsidP="00E3510B">
            <w:pPr>
              <w:jc w:val="center"/>
              <w:rPr>
                <w:rFonts w:ascii="Arial" w:hAnsi="Arial" w:cs="Arial"/>
                <w:sz w:val="18"/>
                <w:szCs w:val="18"/>
                <w:lang w:val="en-US"/>
              </w:rPr>
            </w:pPr>
            <w:r w:rsidRPr="00BD295E">
              <w:rPr>
                <w:rFonts w:ascii="Arial" w:hAnsi="Arial" w:cs="Arial"/>
                <w:sz w:val="18"/>
                <w:szCs w:val="18"/>
                <w:lang w:val="en-US"/>
              </w:rPr>
              <w:t xml:space="preserve">Capital </w:t>
            </w:r>
            <w:r w:rsidR="008A5057" w:rsidRPr="00BD295E">
              <w:rPr>
                <w:rFonts w:ascii="Arial" w:hAnsi="Arial" w:cs="Arial"/>
                <w:sz w:val="18"/>
                <w:szCs w:val="18"/>
                <w:lang w:val="en-US"/>
              </w:rPr>
              <w:t>construction</w:t>
            </w:r>
          </w:p>
          <w:p w14:paraId="1412306F" w14:textId="77777777" w:rsidR="00F3260C" w:rsidRPr="00BD295E" w:rsidRDefault="00F3260C" w:rsidP="00E3510B">
            <w:pPr>
              <w:jc w:val="center"/>
              <w:rPr>
                <w:rFonts w:ascii="Arial" w:hAnsi="Arial" w:cs="Arial"/>
                <w:sz w:val="18"/>
                <w:szCs w:val="18"/>
                <w:lang w:val="en-US"/>
              </w:rPr>
            </w:pPr>
          </w:p>
        </w:tc>
        <w:tc>
          <w:tcPr>
            <w:tcW w:w="1606" w:type="dxa"/>
            <w:shd w:val="clear" w:color="auto" w:fill="auto"/>
          </w:tcPr>
          <w:p w14:paraId="18D8CD4C"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Member of the Strategy and Development Committee</w:t>
            </w:r>
          </w:p>
        </w:tc>
      </w:tr>
      <w:tr w:rsidR="008A5057" w:rsidRPr="00BD295E" w14:paraId="1E3794B5" w14:textId="77777777" w:rsidTr="00E3510B">
        <w:tc>
          <w:tcPr>
            <w:tcW w:w="1526" w:type="dxa"/>
            <w:shd w:val="clear" w:color="auto" w:fill="auto"/>
          </w:tcPr>
          <w:p w14:paraId="0A8490E7"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Yevgeny Olkhovich</w:t>
            </w:r>
          </w:p>
        </w:tc>
        <w:tc>
          <w:tcPr>
            <w:tcW w:w="1984" w:type="dxa"/>
            <w:shd w:val="clear" w:color="auto" w:fill="auto"/>
          </w:tcPr>
          <w:p w14:paraId="1AB794E2"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Deputy CEO</w:t>
            </w:r>
          </w:p>
          <w:p w14:paraId="0FD766F7"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for Strategic Development</w:t>
            </w:r>
          </w:p>
          <w:p w14:paraId="5595C26F" w14:textId="77777777" w:rsidR="00F3260C" w:rsidRPr="00BD295E" w:rsidRDefault="00BF106F" w:rsidP="00E3510B">
            <w:pPr>
              <w:jc w:val="both"/>
              <w:rPr>
                <w:rFonts w:ascii="Arial" w:hAnsi="Arial" w:cs="Arial"/>
                <w:sz w:val="18"/>
                <w:szCs w:val="18"/>
                <w:lang w:val="en-US"/>
              </w:rPr>
            </w:pPr>
            <w:r w:rsidRPr="00BD295E">
              <w:rPr>
                <w:rFonts w:ascii="Arial" w:hAnsi="Arial" w:cs="Arial"/>
                <w:sz w:val="18"/>
                <w:szCs w:val="18"/>
                <w:lang w:val="en-US"/>
              </w:rPr>
              <w:t>PJSC “Rosseti”</w:t>
            </w:r>
          </w:p>
        </w:tc>
        <w:tc>
          <w:tcPr>
            <w:tcW w:w="1418" w:type="dxa"/>
            <w:shd w:val="clear" w:color="auto" w:fill="auto"/>
          </w:tcPr>
          <w:p w14:paraId="6D50F8B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56623688"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10D2E62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Rosseti</w:t>
            </w:r>
          </w:p>
        </w:tc>
        <w:tc>
          <w:tcPr>
            <w:tcW w:w="1654" w:type="dxa"/>
            <w:shd w:val="clear" w:color="auto" w:fill="auto"/>
          </w:tcPr>
          <w:p w14:paraId="05D38152" w14:textId="77777777" w:rsidR="00F3260C" w:rsidRPr="00BD295E" w:rsidRDefault="00293DDA" w:rsidP="00E3510B">
            <w:pPr>
              <w:jc w:val="center"/>
              <w:rPr>
                <w:rFonts w:ascii="Arial" w:hAnsi="Arial" w:cs="Arial"/>
                <w:strike/>
                <w:sz w:val="18"/>
                <w:szCs w:val="18"/>
                <w:lang w:val="en-US"/>
              </w:rPr>
            </w:pPr>
            <w:r w:rsidRPr="00BD295E">
              <w:rPr>
                <w:rFonts w:ascii="Arial" w:hAnsi="Arial" w:cs="Arial"/>
                <w:sz w:val="18"/>
                <w:szCs w:val="18"/>
                <w:lang w:val="en-US"/>
              </w:rPr>
              <w:t xml:space="preserve">Strategic </w:t>
            </w:r>
            <w:r w:rsidR="008A5057" w:rsidRPr="00BD295E">
              <w:rPr>
                <w:rFonts w:ascii="Arial" w:hAnsi="Arial" w:cs="Arial"/>
                <w:sz w:val="18"/>
                <w:szCs w:val="18"/>
                <w:lang w:val="en-US"/>
              </w:rPr>
              <w:t>development</w:t>
            </w:r>
          </w:p>
        </w:tc>
        <w:tc>
          <w:tcPr>
            <w:tcW w:w="1606" w:type="dxa"/>
            <w:shd w:val="clear" w:color="auto" w:fill="auto"/>
          </w:tcPr>
          <w:p w14:paraId="1E14C789" w14:textId="77777777" w:rsidR="00F3260C" w:rsidRPr="00BD295E" w:rsidRDefault="008A5057" w:rsidP="00E3510B">
            <w:pPr>
              <w:jc w:val="both"/>
              <w:rPr>
                <w:rFonts w:ascii="Arial" w:hAnsi="Arial" w:cs="Arial"/>
                <w:strike/>
                <w:sz w:val="18"/>
                <w:szCs w:val="18"/>
                <w:lang w:val="en-US"/>
              </w:rPr>
            </w:pPr>
            <w:r w:rsidRPr="00BD295E">
              <w:rPr>
                <w:rFonts w:ascii="Arial" w:hAnsi="Arial" w:cs="Arial"/>
                <w:sz w:val="18"/>
                <w:szCs w:val="18"/>
                <w:lang w:val="en-US"/>
              </w:rPr>
              <w:t>Member of the Strategy and Development Committee</w:t>
            </w:r>
          </w:p>
        </w:tc>
      </w:tr>
      <w:tr w:rsidR="008A5057" w:rsidRPr="00BD295E" w14:paraId="5C300B28" w14:textId="77777777" w:rsidTr="00E3510B">
        <w:tc>
          <w:tcPr>
            <w:tcW w:w="1526" w:type="dxa"/>
            <w:shd w:val="clear" w:color="auto" w:fill="auto"/>
          </w:tcPr>
          <w:p w14:paraId="5550B799"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Sergey Pikin</w:t>
            </w:r>
          </w:p>
        </w:tc>
        <w:tc>
          <w:tcPr>
            <w:tcW w:w="1984" w:type="dxa"/>
            <w:shd w:val="clear" w:color="auto" w:fill="auto"/>
          </w:tcPr>
          <w:p w14:paraId="14A04C3D"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Director of the Energy Development Fund</w:t>
            </w:r>
          </w:p>
        </w:tc>
        <w:tc>
          <w:tcPr>
            <w:tcW w:w="1418" w:type="dxa"/>
            <w:shd w:val="clear" w:color="auto" w:fill="auto"/>
          </w:tcPr>
          <w:p w14:paraId="649989F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Independent director</w:t>
            </w:r>
          </w:p>
          <w:p w14:paraId="714E9F58"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7043F24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Rosseti</w:t>
            </w:r>
          </w:p>
        </w:tc>
        <w:tc>
          <w:tcPr>
            <w:tcW w:w="1654" w:type="dxa"/>
            <w:shd w:val="clear" w:color="auto" w:fill="auto"/>
          </w:tcPr>
          <w:p w14:paraId="79B23248" w14:textId="77777777" w:rsidR="00F3260C" w:rsidRPr="00BD295E" w:rsidRDefault="00293DDA" w:rsidP="00E3510B">
            <w:pPr>
              <w:jc w:val="center"/>
              <w:rPr>
                <w:rFonts w:ascii="Arial" w:hAnsi="Arial" w:cs="Arial"/>
                <w:sz w:val="18"/>
                <w:szCs w:val="18"/>
                <w:lang w:val="en-US"/>
              </w:rPr>
            </w:pPr>
            <w:r w:rsidRPr="00BD295E">
              <w:rPr>
                <w:rFonts w:ascii="Arial" w:hAnsi="Arial" w:cs="Arial"/>
                <w:sz w:val="18"/>
                <w:szCs w:val="18"/>
                <w:lang w:val="en-US"/>
              </w:rPr>
              <w:t xml:space="preserve">Strategic </w:t>
            </w:r>
            <w:r w:rsidR="008A5057" w:rsidRPr="00BD295E">
              <w:rPr>
                <w:rFonts w:ascii="Arial" w:hAnsi="Arial" w:cs="Arial"/>
                <w:sz w:val="18"/>
                <w:szCs w:val="18"/>
                <w:lang w:val="en-US"/>
              </w:rPr>
              <w:t>development</w:t>
            </w:r>
          </w:p>
        </w:tc>
        <w:tc>
          <w:tcPr>
            <w:tcW w:w="1606" w:type="dxa"/>
            <w:shd w:val="clear" w:color="auto" w:fill="auto"/>
          </w:tcPr>
          <w:p w14:paraId="443FDFAE" w14:textId="77777777" w:rsidR="00F3260C" w:rsidRPr="00BD295E" w:rsidRDefault="008A5057" w:rsidP="00E3510B">
            <w:pPr>
              <w:jc w:val="both"/>
              <w:rPr>
                <w:rFonts w:ascii="Arial" w:hAnsi="Arial" w:cs="Arial"/>
                <w:strike/>
                <w:kern w:val="36"/>
                <w:sz w:val="18"/>
                <w:szCs w:val="18"/>
                <w:lang w:val="en-US"/>
              </w:rPr>
            </w:pPr>
            <w:r w:rsidRPr="00BD295E">
              <w:rPr>
                <w:rFonts w:ascii="Arial" w:hAnsi="Arial" w:cs="Arial"/>
                <w:sz w:val="18"/>
                <w:szCs w:val="18"/>
                <w:lang w:val="en-US"/>
              </w:rPr>
              <w:t>Member of the Audit Committee,</w:t>
            </w:r>
            <w:r w:rsidRPr="00BD295E">
              <w:rPr>
                <w:rFonts w:ascii="Arial" w:hAnsi="Arial" w:cs="Arial"/>
                <w:strike/>
                <w:sz w:val="18"/>
                <w:szCs w:val="18"/>
                <w:lang w:val="en-US"/>
              </w:rPr>
              <w:t xml:space="preserve"> </w:t>
            </w:r>
          </w:p>
          <w:p w14:paraId="6174E2DC"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Member of the Strategy and Development Committee</w:t>
            </w:r>
          </w:p>
        </w:tc>
      </w:tr>
      <w:tr w:rsidR="008A5057" w:rsidRPr="00BD295E" w14:paraId="79DBD7FA" w14:textId="77777777" w:rsidTr="00E3510B">
        <w:tc>
          <w:tcPr>
            <w:tcW w:w="1526" w:type="dxa"/>
            <w:shd w:val="clear" w:color="auto" w:fill="auto"/>
          </w:tcPr>
          <w:p w14:paraId="3A28D353" w14:textId="2BDD2FB1"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Dani</w:t>
            </w:r>
            <w:r w:rsidR="001045D6" w:rsidRPr="00BD295E">
              <w:rPr>
                <w:rFonts w:ascii="Arial" w:hAnsi="Arial" w:cs="Arial"/>
                <w:sz w:val="18"/>
                <w:szCs w:val="18"/>
                <w:lang w:val="en-US"/>
              </w:rPr>
              <w:t>il Krainsk</w:t>
            </w:r>
            <w:r w:rsidRPr="00BD295E">
              <w:rPr>
                <w:rFonts w:ascii="Arial" w:hAnsi="Arial" w:cs="Arial"/>
                <w:sz w:val="18"/>
                <w:szCs w:val="18"/>
                <w:lang w:val="en-US"/>
              </w:rPr>
              <w:t>y</w:t>
            </w:r>
          </w:p>
          <w:p w14:paraId="4B3FF02B" w14:textId="77777777" w:rsidR="00F3260C" w:rsidRPr="00BD295E" w:rsidRDefault="00F3260C" w:rsidP="00E3510B">
            <w:pPr>
              <w:jc w:val="both"/>
              <w:rPr>
                <w:rFonts w:ascii="Arial" w:hAnsi="Arial" w:cs="Arial"/>
                <w:sz w:val="18"/>
                <w:szCs w:val="18"/>
                <w:lang w:val="en-US"/>
              </w:rPr>
            </w:pPr>
          </w:p>
        </w:tc>
        <w:tc>
          <w:tcPr>
            <w:tcW w:w="1984" w:type="dxa"/>
            <w:shd w:val="clear" w:color="auto" w:fill="auto"/>
          </w:tcPr>
          <w:p w14:paraId="6EED735E"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Acting Deputy CEO for Legal and Corporate Governance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66FBD82" w14:textId="77777777" w:rsidR="00B02CD2"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Chief Advisor, </w:t>
            </w:r>
            <w:r w:rsidR="00BF106F" w:rsidRPr="00BD295E">
              <w:rPr>
                <w:rFonts w:ascii="Arial" w:hAnsi="Arial" w:cs="Arial"/>
                <w:sz w:val="18"/>
                <w:szCs w:val="18"/>
                <w:lang w:val="en-US"/>
              </w:rPr>
              <w:t>PJSC “Rosseti”</w:t>
            </w:r>
          </w:p>
        </w:tc>
        <w:tc>
          <w:tcPr>
            <w:tcW w:w="1418" w:type="dxa"/>
            <w:shd w:val="clear" w:color="auto" w:fill="auto"/>
          </w:tcPr>
          <w:p w14:paraId="27C5EE7B"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Executive director</w:t>
            </w:r>
          </w:p>
          <w:p w14:paraId="6F5ABEBF"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07548BF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Rosseti</w:t>
            </w:r>
          </w:p>
        </w:tc>
        <w:tc>
          <w:tcPr>
            <w:tcW w:w="1654" w:type="dxa"/>
            <w:shd w:val="clear" w:color="auto" w:fill="auto"/>
          </w:tcPr>
          <w:p w14:paraId="518A4FD5" w14:textId="77777777" w:rsidR="00F3260C" w:rsidRPr="00BD295E" w:rsidRDefault="00293DDA" w:rsidP="00E3510B">
            <w:pPr>
              <w:jc w:val="center"/>
              <w:rPr>
                <w:rFonts w:ascii="Arial" w:hAnsi="Arial" w:cs="Arial"/>
                <w:sz w:val="18"/>
                <w:szCs w:val="18"/>
                <w:lang w:val="en-US"/>
              </w:rPr>
            </w:pPr>
            <w:r w:rsidRPr="00BD295E">
              <w:rPr>
                <w:rFonts w:ascii="Arial" w:hAnsi="Arial" w:cs="Arial"/>
                <w:sz w:val="18"/>
                <w:szCs w:val="18"/>
                <w:lang w:val="en-US"/>
              </w:rPr>
              <w:t>Legal</w:t>
            </w:r>
            <w:r w:rsidR="008A5057" w:rsidRPr="00BD295E">
              <w:rPr>
                <w:rFonts w:ascii="Arial" w:hAnsi="Arial" w:cs="Arial"/>
                <w:sz w:val="18"/>
                <w:szCs w:val="18"/>
                <w:lang w:val="en-US"/>
              </w:rPr>
              <w:t>, corporate governance, property management</w:t>
            </w:r>
          </w:p>
        </w:tc>
        <w:tc>
          <w:tcPr>
            <w:tcW w:w="1606" w:type="dxa"/>
            <w:shd w:val="clear" w:color="auto" w:fill="auto"/>
          </w:tcPr>
          <w:p w14:paraId="422574B2" w14:textId="77777777" w:rsidR="00F3260C" w:rsidRPr="00BD295E" w:rsidRDefault="008A5057" w:rsidP="00E3510B">
            <w:pPr>
              <w:jc w:val="both"/>
              <w:rPr>
                <w:rFonts w:ascii="Arial" w:hAnsi="Arial" w:cs="Arial"/>
                <w:strike/>
                <w:kern w:val="36"/>
                <w:sz w:val="18"/>
                <w:szCs w:val="18"/>
                <w:lang w:val="en-US"/>
              </w:rPr>
            </w:pPr>
            <w:r w:rsidRPr="00BD295E">
              <w:rPr>
                <w:rFonts w:ascii="Arial" w:hAnsi="Arial" w:cs="Arial"/>
                <w:sz w:val="18"/>
                <w:szCs w:val="18"/>
                <w:lang w:val="en-US"/>
              </w:rPr>
              <w:t>Member of the Audit Committee</w:t>
            </w:r>
          </w:p>
          <w:p w14:paraId="31FAB418" w14:textId="77777777" w:rsidR="00F3260C" w:rsidRPr="00BD295E" w:rsidRDefault="00F3260C" w:rsidP="00E3510B">
            <w:pPr>
              <w:jc w:val="both"/>
              <w:rPr>
                <w:rFonts w:ascii="Arial" w:hAnsi="Arial" w:cs="Arial"/>
                <w:strike/>
                <w:sz w:val="18"/>
                <w:szCs w:val="18"/>
                <w:lang w:val="en-US"/>
              </w:rPr>
            </w:pPr>
          </w:p>
        </w:tc>
      </w:tr>
      <w:tr w:rsidR="008A5057" w:rsidRPr="00BD295E" w14:paraId="7A8E66EF" w14:textId="77777777" w:rsidTr="00E3510B">
        <w:tc>
          <w:tcPr>
            <w:tcW w:w="1526" w:type="dxa"/>
            <w:shd w:val="clear" w:color="auto" w:fill="auto"/>
          </w:tcPr>
          <w:p w14:paraId="01F99B2B"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Andrey Bondarchuk </w:t>
            </w:r>
          </w:p>
          <w:p w14:paraId="5FC27226" w14:textId="77777777" w:rsidR="00F3260C" w:rsidRPr="00BD295E" w:rsidRDefault="00F3260C" w:rsidP="00E3510B">
            <w:pPr>
              <w:jc w:val="both"/>
              <w:rPr>
                <w:rFonts w:ascii="Arial" w:hAnsi="Arial" w:cs="Arial"/>
                <w:sz w:val="18"/>
                <w:szCs w:val="18"/>
                <w:lang w:val="en-US"/>
              </w:rPr>
            </w:pPr>
          </w:p>
        </w:tc>
        <w:tc>
          <w:tcPr>
            <w:tcW w:w="1984" w:type="dxa"/>
            <w:shd w:val="clear" w:color="auto" w:fill="auto"/>
          </w:tcPr>
          <w:p w14:paraId="41A1F81E" w14:textId="77777777" w:rsidR="00F3260C" w:rsidRPr="00BD295E" w:rsidRDefault="008A5057" w:rsidP="00E3510B">
            <w:pPr>
              <w:jc w:val="both"/>
              <w:rPr>
                <w:rFonts w:ascii="Arial" w:hAnsi="Arial" w:cs="Arial"/>
                <w:sz w:val="18"/>
                <w:szCs w:val="18"/>
                <w:lang w:val="en-US"/>
              </w:rPr>
            </w:pPr>
            <w:r w:rsidRPr="00BD295E">
              <w:rPr>
                <w:rStyle w:val="description"/>
                <w:rFonts w:ascii="Arial" w:hAnsi="Arial" w:cs="Arial"/>
                <w:sz w:val="18"/>
                <w:szCs w:val="18"/>
                <w:lang w:val="en-US"/>
              </w:rPr>
              <w:t>Chairman of the Energy and Engineering Support Committee of Saint Petersburg</w:t>
            </w:r>
          </w:p>
        </w:tc>
        <w:tc>
          <w:tcPr>
            <w:tcW w:w="1418" w:type="dxa"/>
            <w:shd w:val="clear" w:color="auto" w:fill="auto"/>
          </w:tcPr>
          <w:p w14:paraId="7DB87F5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29FA5B1D"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0486430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Government of Saint Petersburg</w:t>
            </w:r>
          </w:p>
        </w:tc>
        <w:tc>
          <w:tcPr>
            <w:tcW w:w="1654" w:type="dxa"/>
            <w:shd w:val="clear" w:color="auto" w:fill="auto"/>
          </w:tcPr>
          <w:p w14:paraId="2DC60EB4" w14:textId="77777777" w:rsidR="00F3260C" w:rsidRPr="00BD295E" w:rsidRDefault="00293DDA" w:rsidP="00293DDA">
            <w:pPr>
              <w:jc w:val="center"/>
              <w:rPr>
                <w:rFonts w:ascii="Arial" w:hAnsi="Arial" w:cs="Arial"/>
                <w:sz w:val="18"/>
                <w:szCs w:val="18"/>
                <w:lang w:val="en-US"/>
              </w:rPr>
            </w:pPr>
            <w:r w:rsidRPr="00BD295E">
              <w:rPr>
                <w:rFonts w:ascii="Arial" w:hAnsi="Arial" w:cs="Arial"/>
                <w:sz w:val="18"/>
                <w:szCs w:val="18"/>
                <w:lang w:val="en-US"/>
              </w:rPr>
              <w:t>E</w:t>
            </w:r>
            <w:r w:rsidR="008A5057" w:rsidRPr="00BD295E">
              <w:rPr>
                <w:rFonts w:ascii="Arial" w:hAnsi="Arial" w:cs="Arial"/>
                <w:sz w:val="18"/>
                <w:szCs w:val="18"/>
                <w:lang w:val="en-US"/>
              </w:rPr>
              <w:t>nergy system</w:t>
            </w:r>
            <w:r w:rsidRPr="00BD295E">
              <w:rPr>
                <w:rFonts w:ascii="Arial" w:hAnsi="Arial" w:cs="Arial"/>
                <w:sz w:val="18"/>
                <w:szCs w:val="18"/>
                <w:lang w:val="en-US"/>
              </w:rPr>
              <w:t xml:space="preserve"> reliability</w:t>
            </w:r>
            <w:r w:rsidR="008A5057" w:rsidRPr="00BD295E">
              <w:rPr>
                <w:rFonts w:ascii="Arial" w:hAnsi="Arial" w:cs="Arial"/>
                <w:sz w:val="18"/>
                <w:szCs w:val="18"/>
                <w:lang w:val="en-US"/>
              </w:rPr>
              <w:t xml:space="preserve">, </w:t>
            </w:r>
            <w:r w:rsidR="003D49A2" w:rsidRPr="00BD295E">
              <w:rPr>
                <w:rFonts w:ascii="Arial" w:hAnsi="Arial" w:cs="Arial"/>
                <w:sz w:val="18"/>
                <w:szCs w:val="18"/>
                <w:lang w:val="en-US"/>
              </w:rPr>
              <w:t>long-term development</w:t>
            </w:r>
          </w:p>
        </w:tc>
        <w:tc>
          <w:tcPr>
            <w:tcW w:w="1606" w:type="dxa"/>
            <w:shd w:val="clear" w:color="auto" w:fill="auto"/>
          </w:tcPr>
          <w:p w14:paraId="222EDAD8"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Member of the Audit Committee</w:t>
            </w:r>
          </w:p>
        </w:tc>
      </w:tr>
      <w:tr w:rsidR="008A5057" w:rsidRPr="00BD295E" w14:paraId="794E38F2" w14:textId="77777777" w:rsidTr="00E3510B">
        <w:tc>
          <w:tcPr>
            <w:tcW w:w="1526" w:type="dxa"/>
            <w:shd w:val="clear" w:color="auto" w:fill="auto"/>
          </w:tcPr>
          <w:p w14:paraId="440FD031"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Olga Kolesnikova </w:t>
            </w:r>
          </w:p>
          <w:p w14:paraId="2DB2BAE6" w14:textId="77777777" w:rsidR="00F3260C" w:rsidRPr="00BD295E" w:rsidRDefault="00F3260C" w:rsidP="00E3510B">
            <w:pPr>
              <w:jc w:val="both"/>
              <w:rPr>
                <w:rFonts w:ascii="Arial" w:hAnsi="Arial" w:cs="Arial"/>
                <w:sz w:val="18"/>
                <w:szCs w:val="18"/>
                <w:lang w:val="en-US"/>
              </w:rPr>
            </w:pPr>
          </w:p>
        </w:tc>
        <w:tc>
          <w:tcPr>
            <w:tcW w:w="1984" w:type="dxa"/>
            <w:shd w:val="clear" w:color="auto" w:fill="auto"/>
          </w:tcPr>
          <w:p w14:paraId="3CB8CDE4" w14:textId="77777777" w:rsidR="00F3260C" w:rsidRPr="00BD295E" w:rsidRDefault="008A5057" w:rsidP="00E3510B">
            <w:pPr>
              <w:jc w:val="both"/>
              <w:rPr>
                <w:rFonts w:ascii="Arial" w:hAnsi="Arial" w:cs="Arial"/>
                <w:sz w:val="18"/>
                <w:szCs w:val="18"/>
                <w:lang w:val="en-US"/>
              </w:rPr>
            </w:pPr>
            <w:r w:rsidRPr="00BD295E">
              <w:rPr>
                <w:rStyle w:val="description"/>
                <w:rFonts w:ascii="Arial" w:hAnsi="Arial" w:cs="Arial"/>
                <w:sz w:val="18"/>
                <w:szCs w:val="18"/>
                <w:lang w:val="en-US"/>
              </w:rPr>
              <w:t>First Deputy Chairman of the Energy and Engineering Support Committee of Saint Petersburg</w:t>
            </w:r>
          </w:p>
        </w:tc>
        <w:tc>
          <w:tcPr>
            <w:tcW w:w="1418" w:type="dxa"/>
            <w:shd w:val="clear" w:color="auto" w:fill="auto"/>
          </w:tcPr>
          <w:p w14:paraId="18BF707C"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034AF18F"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6D21AA60"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Government of Saint Petersburg</w:t>
            </w:r>
          </w:p>
        </w:tc>
        <w:tc>
          <w:tcPr>
            <w:tcW w:w="1654" w:type="dxa"/>
            <w:shd w:val="clear" w:color="auto" w:fill="auto"/>
          </w:tcPr>
          <w:p w14:paraId="3F92244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Street lighting</w:t>
            </w:r>
          </w:p>
        </w:tc>
        <w:tc>
          <w:tcPr>
            <w:tcW w:w="1606" w:type="dxa"/>
            <w:shd w:val="clear" w:color="auto" w:fill="auto"/>
          </w:tcPr>
          <w:p w14:paraId="6485BA70" w14:textId="77777777" w:rsidR="00F3260C" w:rsidRPr="00BD295E" w:rsidRDefault="00F3260C" w:rsidP="00E3510B">
            <w:pPr>
              <w:jc w:val="both"/>
              <w:rPr>
                <w:rFonts w:ascii="Arial" w:hAnsi="Arial" w:cs="Arial"/>
                <w:strike/>
                <w:sz w:val="18"/>
                <w:szCs w:val="18"/>
                <w:lang w:val="en-US"/>
              </w:rPr>
            </w:pPr>
          </w:p>
        </w:tc>
      </w:tr>
      <w:tr w:rsidR="008A5057" w:rsidRPr="00BD295E" w14:paraId="2BED645F" w14:textId="77777777" w:rsidTr="00E3510B">
        <w:tc>
          <w:tcPr>
            <w:tcW w:w="1526" w:type="dxa"/>
            <w:shd w:val="clear" w:color="auto" w:fill="auto"/>
          </w:tcPr>
          <w:p w14:paraId="48EB891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Gasan Safarov </w:t>
            </w:r>
          </w:p>
          <w:p w14:paraId="0EF6DD7F" w14:textId="77777777" w:rsidR="00F3260C" w:rsidRPr="00BD295E" w:rsidRDefault="00F3260C" w:rsidP="00E3510B">
            <w:pPr>
              <w:jc w:val="both"/>
              <w:rPr>
                <w:rFonts w:ascii="Arial" w:hAnsi="Arial" w:cs="Arial"/>
                <w:sz w:val="18"/>
                <w:szCs w:val="18"/>
                <w:lang w:val="en-US"/>
              </w:rPr>
            </w:pPr>
          </w:p>
        </w:tc>
        <w:tc>
          <w:tcPr>
            <w:tcW w:w="1984" w:type="dxa"/>
            <w:shd w:val="clear" w:color="auto" w:fill="auto"/>
          </w:tcPr>
          <w:p w14:paraId="2F9C1612" w14:textId="77777777" w:rsidR="00F3260C" w:rsidRPr="00BD295E" w:rsidRDefault="008A5057" w:rsidP="00E3510B">
            <w:pPr>
              <w:jc w:val="both"/>
              <w:rPr>
                <w:rStyle w:val="description"/>
                <w:rFonts w:ascii="Arial" w:hAnsi="Arial" w:cs="Arial"/>
                <w:sz w:val="18"/>
                <w:szCs w:val="18"/>
                <w:lang w:val="en-US"/>
              </w:rPr>
            </w:pPr>
            <w:r w:rsidRPr="00BD295E">
              <w:rPr>
                <w:rStyle w:val="description"/>
                <w:rFonts w:ascii="Arial" w:hAnsi="Arial" w:cs="Arial"/>
                <w:sz w:val="18"/>
                <w:szCs w:val="18"/>
                <w:lang w:val="en-US"/>
              </w:rPr>
              <w:t>First Deputy Chairman of the Tariffs Committee of Saint Petersburg</w:t>
            </w:r>
          </w:p>
          <w:p w14:paraId="12078E94" w14:textId="77777777" w:rsidR="00F3260C" w:rsidRPr="00BD295E" w:rsidRDefault="00F3260C" w:rsidP="00E3510B">
            <w:pPr>
              <w:jc w:val="both"/>
              <w:rPr>
                <w:rFonts w:ascii="Arial" w:hAnsi="Arial" w:cs="Arial"/>
                <w:sz w:val="18"/>
                <w:szCs w:val="18"/>
                <w:lang w:val="en-US"/>
              </w:rPr>
            </w:pPr>
          </w:p>
        </w:tc>
        <w:tc>
          <w:tcPr>
            <w:tcW w:w="1418" w:type="dxa"/>
            <w:shd w:val="clear" w:color="auto" w:fill="auto"/>
          </w:tcPr>
          <w:p w14:paraId="46F575AB"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51AFF9E9"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671342D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Government of Saint Petersburg</w:t>
            </w:r>
          </w:p>
        </w:tc>
        <w:tc>
          <w:tcPr>
            <w:tcW w:w="1654" w:type="dxa"/>
            <w:shd w:val="clear" w:color="auto" w:fill="auto"/>
          </w:tcPr>
          <w:p w14:paraId="68F86B8D" w14:textId="77777777" w:rsidR="00F3260C" w:rsidRPr="00BD295E" w:rsidRDefault="00293DDA" w:rsidP="00E3510B">
            <w:pPr>
              <w:jc w:val="center"/>
              <w:rPr>
                <w:rFonts w:ascii="Arial" w:hAnsi="Arial" w:cs="Arial"/>
                <w:sz w:val="18"/>
                <w:szCs w:val="18"/>
                <w:lang w:val="en-US"/>
              </w:rPr>
            </w:pPr>
            <w:r w:rsidRPr="00BD295E">
              <w:rPr>
                <w:rFonts w:ascii="Arial" w:hAnsi="Arial" w:cs="Arial"/>
                <w:sz w:val="18"/>
                <w:szCs w:val="18"/>
                <w:lang w:val="en-US"/>
              </w:rPr>
              <w:t xml:space="preserve">Tariff </w:t>
            </w:r>
            <w:r w:rsidR="008A5057" w:rsidRPr="00BD295E">
              <w:rPr>
                <w:rFonts w:ascii="Arial" w:hAnsi="Arial" w:cs="Arial"/>
                <w:sz w:val="18"/>
                <w:szCs w:val="18"/>
                <w:lang w:val="en-US"/>
              </w:rPr>
              <w:t>policy, business planning</w:t>
            </w:r>
          </w:p>
        </w:tc>
        <w:tc>
          <w:tcPr>
            <w:tcW w:w="1606" w:type="dxa"/>
            <w:shd w:val="clear" w:color="auto" w:fill="auto"/>
          </w:tcPr>
          <w:p w14:paraId="1D42EF92"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Member of the Audit Committee</w:t>
            </w:r>
          </w:p>
        </w:tc>
      </w:tr>
      <w:tr w:rsidR="008A5057" w:rsidRPr="00BD295E" w14:paraId="57568AEE" w14:textId="77777777" w:rsidTr="00E3510B">
        <w:tc>
          <w:tcPr>
            <w:tcW w:w="1526" w:type="dxa"/>
            <w:shd w:val="clear" w:color="auto" w:fill="auto"/>
          </w:tcPr>
          <w:p w14:paraId="4D304A0E"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Lyudmila Solovyova</w:t>
            </w:r>
          </w:p>
        </w:tc>
        <w:tc>
          <w:tcPr>
            <w:tcW w:w="1984" w:type="dxa"/>
            <w:shd w:val="clear" w:color="auto" w:fill="auto"/>
          </w:tcPr>
          <w:p w14:paraId="5095E81B" w14:textId="77777777" w:rsidR="00F3260C" w:rsidRPr="00BD295E" w:rsidRDefault="008A5057" w:rsidP="00E3510B">
            <w:pPr>
              <w:jc w:val="both"/>
              <w:rPr>
                <w:rFonts w:ascii="Arial" w:hAnsi="Arial" w:cs="Arial"/>
                <w:sz w:val="18"/>
                <w:szCs w:val="18"/>
                <w:lang w:val="en-US"/>
              </w:rPr>
            </w:pPr>
            <w:r w:rsidRPr="00BD295E">
              <w:rPr>
                <w:rStyle w:val="description"/>
                <w:rFonts w:ascii="Arial" w:hAnsi="Arial" w:cs="Arial"/>
                <w:sz w:val="18"/>
                <w:szCs w:val="18"/>
                <w:lang w:val="en-US"/>
              </w:rPr>
              <w:t>Deputy Chairman of the Housing Committee of Saint Petersburg</w:t>
            </w:r>
          </w:p>
        </w:tc>
        <w:tc>
          <w:tcPr>
            <w:tcW w:w="1418" w:type="dxa"/>
            <w:shd w:val="clear" w:color="auto" w:fill="auto"/>
          </w:tcPr>
          <w:p w14:paraId="21F638A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7DE897F6"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5F1AC02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Government of Saint Petersburg</w:t>
            </w:r>
          </w:p>
        </w:tc>
        <w:tc>
          <w:tcPr>
            <w:tcW w:w="1654" w:type="dxa"/>
            <w:shd w:val="clear" w:color="auto" w:fill="auto"/>
          </w:tcPr>
          <w:p w14:paraId="2049DDA7" w14:textId="77777777" w:rsidR="00F3260C" w:rsidRPr="00BD295E" w:rsidRDefault="00293DDA" w:rsidP="00E3510B">
            <w:pPr>
              <w:jc w:val="center"/>
              <w:rPr>
                <w:rFonts w:ascii="Arial" w:hAnsi="Arial" w:cs="Arial"/>
                <w:sz w:val="18"/>
                <w:szCs w:val="18"/>
                <w:lang w:val="en-US"/>
              </w:rPr>
            </w:pPr>
            <w:r w:rsidRPr="00BD295E">
              <w:rPr>
                <w:rFonts w:ascii="Arial" w:hAnsi="Arial" w:cs="Arial"/>
                <w:sz w:val="18"/>
                <w:szCs w:val="18"/>
                <w:lang w:val="en-US"/>
              </w:rPr>
              <w:t xml:space="preserve">Customer </w:t>
            </w:r>
            <w:r w:rsidR="008A5057" w:rsidRPr="00BD295E">
              <w:rPr>
                <w:rFonts w:ascii="Arial" w:hAnsi="Arial" w:cs="Arial"/>
                <w:sz w:val="18"/>
                <w:szCs w:val="18"/>
                <w:lang w:val="en-US"/>
              </w:rPr>
              <w:t>service, service development</w:t>
            </w:r>
          </w:p>
        </w:tc>
        <w:tc>
          <w:tcPr>
            <w:tcW w:w="1606" w:type="dxa"/>
            <w:shd w:val="clear" w:color="auto" w:fill="auto"/>
          </w:tcPr>
          <w:p w14:paraId="4CC90877"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Member of the Strategy and Development Committee:</w:t>
            </w:r>
          </w:p>
        </w:tc>
      </w:tr>
      <w:tr w:rsidR="008A5057" w:rsidRPr="00BD295E" w14:paraId="5FEB1AB0" w14:textId="77777777" w:rsidTr="00E3510B">
        <w:tc>
          <w:tcPr>
            <w:tcW w:w="1526" w:type="dxa"/>
            <w:shd w:val="clear" w:color="auto" w:fill="auto"/>
          </w:tcPr>
          <w:p w14:paraId="2E1CB42A"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Aleksandr German</w:t>
            </w:r>
          </w:p>
        </w:tc>
        <w:tc>
          <w:tcPr>
            <w:tcW w:w="1984" w:type="dxa"/>
            <w:shd w:val="clear" w:color="auto" w:fill="auto"/>
          </w:tcPr>
          <w:p w14:paraId="1E3871B9" w14:textId="77777777" w:rsidR="00F3260C" w:rsidRPr="00BD295E" w:rsidRDefault="008A5057" w:rsidP="00E3510B">
            <w:pPr>
              <w:jc w:val="both"/>
              <w:rPr>
                <w:rFonts w:ascii="Arial" w:hAnsi="Arial" w:cs="Arial"/>
                <w:sz w:val="18"/>
                <w:szCs w:val="18"/>
                <w:lang w:val="en-US"/>
              </w:rPr>
            </w:pPr>
            <w:r w:rsidRPr="00BD295E">
              <w:rPr>
                <w:rStyle w:val="description"/>
                <w:rFonts w:ascii="Arial" w:hAnsi="Arial" w:cs="Arial"/>
                <w:sz w:val="18"/>
                <w:szCs w:val="18"/>
                <w:lang w:val="en-US"/>
              </w:rPr>
              <w:t>Deputy Chairman of the Property Relations Committee of Saint Petersburg</w:t>
            </w:r>
          </w:p>
        </w:tc>
        <w:tc>
          <w:tcPr>
            <w:tcW w:w="1418" w:type="dxa"/>
            <w:shd w:val="clear" w:color="auto" w:fill="auto"/>
          </w:tcPr>
          <w:p w14:paraId="766F7E1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Non-executive director</w:t>
            </w:r>
          </w:p>
          <w:p w14:paraId="2E45989E" w14:textId="77777777" w:rsidR="00F3260C" w:rsidRPr="00BD295E" w:rsidRDefault="00F3260C" w:rsidP="00E3510B">
            <w:pPr>
              <w:jc w:val="center"/>
              <w:rPr>
                <w:rFonts w:ascii="Arial" w:hAnsi="Arial" w:cs="Arial"/>
                <w:sz w:val="18"/>
                <w:szCs w:val="18"/>
                <w:lang w:val="en-US"/>
              </w:rPr>
            </w:pPr>
          </w:p>
        </w:tc>
        <w:tc>
          <w:tcPr>
            <w:tcW w:w="1446" w:type="dxa"/>
            <w:shd w:val="clear" w:color="auto" w:fill="auto"/>
          </w:tcPr>
          <w:p w14:paraId="3EFCB1E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Government of Saint Petersburg</w:t>
            </w:r>
          </w:p>
        </w:tc>
        <w:tc>
          <w:tcPr>
            <w:tcW w:w="1654" w:type="dxa"/>
            <w:shd w:val="clear" w:color="auto" w:fill="auto"/>
          </w:tcPr>
          <w:p w14:paraId="7F41AFD9" w14:textId="77777777" w:rsidR="00F3260C" w:rsidRPr="00BD295E" w:rsidRDefault="00293DDA" w:rsidP="00E3510B">
            <w:pPr>
              <w:jc w:val="center"/>
              <w:rPr>
                <w:rFonts w:ascii="Arial" w:hAnsi="Arial" w:cs="Arial"/>
                <w:sz w:val="18"/>
                <w:szCs w:val="18"/>
                <w:lang w:val="en-US"/>
              </w:rPr>
            </w:pPr>
            <w:r w:rsidRPr="00BD295E">
              <w:rPr>
                <w:rFonts w:ascii="Arial" w:hAnsi="Arial" w:cs="Arial"/>
                <w:sz w:val="18"/>
                <w:szCs w:val="18"/>
                <w:lang w:val="en-US"/>
              </w:rPr>
              <w:t xml:space="preserve">Property </w:t>
            </w:r>
            <w:r w:rsidR="008A5057" w:rsidRPr="00BD295E">
              <w:rPr>
                <w:rFonts w:ascii="Arial" w:hAnsi="Arial" w:cs="Arial"/>
                <w:sz w:val="18"/>
                <w:szCs w:val="18"/>
                <w:lang w:val="en-US"/>
              </w:rPr>
              <w:t>management, corporate governance</w:t>
            </w:r>
          </w:p>
        </w:tc>
        <w:tc>
          <w:tcPr>
            <w:tcW w:w="1606" w:type="dxa"/>
            <w:shd w:val="clear" w:color="auto" w:fill="auto"/>
          </w:tcPr>
          <w:p w14:paraId="16041C3C"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Member of the Audit Committee;</w:t>
            </w:r>
          </w:p>
          <w:p w14:paraId="36BBDBC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Member of the Nomination and Remuneration Committee</w:t>
            </w:r>
          </w:p>
        </w:tc>
      </w:tr>
    </w:tbl>
    <w:p w14:paraId="596BB105" w14:textId="77777777" w:rsidR="00F3260C" w:rsidRPr="00BD295E" w:rsidRDefault="00F3260C" w:rsidP="00F3260C">
      <w:pPr>
        <w:jc w:val="both"/>
        <w:rPr>
          <w:rFonts w:ascii="Arial" w:hAnsi="Arial" w:cs="Arial"/>
          <w:b/>
          <w:sz w:val="18"/>
          <w:szCs w:val="18"/>
          <w:lang w:val="en-US"/>
        </w:rPr>
      </w:pPr>
    </w:p>
    <w:p w14:paraId="1372F9EA" w14:textId="77777777" w:rsidR="00F3260C" w:rsidRPr="00BD295E" w:rsidRDefault="00293DDA" w:rsidP="00F3260C">
      <w:pPr>
        <w:jc w:val="both"/>
        <w:rPr>
          <w:rFonts w:ascii="Arial" w:hAnsi="Arial" w:cs="Arial"/>
          <w:sz w:val="18"/>
          <w:szCs w:val="18"/>
          <w:lang w:val="en-US"/>
        </w:rPr>
      </w:pPr>
      <w:r w:rsidRPr="00BD295E">
        <w:rPr>
          <w:rFonts w:ascii="Arial" w:hAnsi="Arial" w:cs="Arial"/>
          <w:b/>
          <w:sz w:val="18"/>
          <w:szCs w:val="18"/>
          <w:lang w:val="en-US"/>
        </w:rPr>
        <w:t>S</w:t>
      </w:r>
      <w:r w:rsidR="008A5057" w:rsidRPr="00BD295E">
        <w:rPr>
          <w:rFonts w:ascii="Arial" w:hAnsi="Arial" w:cs="Arial"/>
          <w:b/>
          <w:sz w:val="18"/>
          <w:szCs w:val="18"/>
          <w:lang w:val="en-US"/>
        </w:rPr>
        <w:t>hareholder</w:t>
      </w:r>
      <w:r w:rsidRPr="00BD295E">
        <w:rPr>
          <w:rFonts w:ascii="Arial" w:hAnsi="Arial" w:cs="Arial"/>
          <w:b/>
          <w:sz w:val="18"/>
          <w:szCs w:val="18"/>
          <w:lang w:val="en-US"/>
        </w:rPr>
        <w:t xml:space="preserve"> representation </w:t>
      </w:r>
      <w:r w:rsidR="008A5057" w:rsidRPr="00BD295E">
        <w:rPr>
          <w:rFonts w:ascii="Arial" w:hAnsi="Arial" w:cs="Arial"/>
          <w:b/>
          <w:sz w:val="18"/>
          <w:szCs w:val="18"/>
          <w:lang w:val="en-US"/>
        </w:rPr>
        <w:t>in the Company’s Board of Directors, persons</w:t>
      </w:r>
    </w:p>
    <w:p w14:paraId="3CEA4B78" w14:textId="1F5A72F3" w:rsidR="00F3260C" w:rsidRPr="00BD295E" w:rsidRDefault="00997D07" w:rsidP="00F3260C">
      <w:pPr>
        <w:jc w:val="both"/>
        <w:rPr>
          <w:rFonts w:ascii="Arial" w:hAnsi="Arial" w:cs="Arial"/>
          <w:sz w:val="18"/>
          <w:szCs w:val="18"/>
          <w:lang w:val="en-US"/>
        </w:rPr>
      </w:pPr>
      <w:bookmarkStart w:id="399" w:name="_Hlk95938796"/>
      <w:r w:rsidRPr="00BD295E">
        <w:rPr>
          <w:rFonts w:ascii="Arial" w:hAnsi="Arial" w:cs="Arial"/>
          <w:sz w:val="18"/>
          <w:szCs w:val="18"/>
          <w:shd w:val="clear" w:color="auto" w:fill="5B9BD5"/>
          <w:lang w:val="en-US" w:eastAsia="en-US"/>
        </w:rPr>
        <w:drawing>
          <wp:inline distT="0" distB="0" distL="0" distR="0" wp14:anchorId="15D534E6" wp14:editId="21F8B08D">
            <wp:extent cx="4010025" cy="2052955"/>
            <wp:effectExtent l="0" t="0" r="0" b="0"/>
            <wp:docPr id="68" name="Диаграмма 3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bookmarkEnd w:id="399"/>
    </w:p>
    <w:p w14:paraId="035DFCAF" w14:textId="77777777" w:rsidR="00F3260C" w:rsidRPr="00BD295E" w:rsidRDefault="00F3260C" w:rsidP="00F3260C">
      <w:pPr>
        <w:jc w:val="both"/>
        <w:rPr>
          <w:rFonts w:ascii="Arial" w:hAnsi="Arial" w:cs="Arial"/>
          <w:sz w:val="18"/>
          <w:szCs w:val="18"/>
          <w:lang w:val="en-US"/>
        </w:rPr>
      </w:pPr>
    </w:p>
    <w:p w14:paraId="072222D3" w14:textId="77777777"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 xml:space="preserve">Composition of the Board of Directors of </w:t>
      </w:r>
      <w:r w:rsidR="00EE5753" w:rsidRPr="00BD295E">
        <w:rPr>
          <w:rFonts w:ascii="Arial" w:hAnsi="Arial" w:cs="Arial"/>
          <w:b/>
          <w:sz w:val="18"/>
          <w:szCs w:val="18"/>
          <w:lang w:val="en-US"/>
        </w:rPr>
        <w:t>PJSC “Lenenergo”</w:t>
      </w:r>
      <w:r w:rsidRPr="00BD295E">
        <w:rPr>
          <w:rFonts w:ascii="Arial" w:hAnsi="Arial" w:cs="Arial"/>
          <w:b/>
          <w:sz w:val="18"/>
          <w:szCs w:val="18"/>
          <w:lang w:val="en-US"/>
        </w:rPr>
        <w:t xml:space="preserve"> as at December 31, 2018, elected by Resolution of the Annual </w:t>
      </w:r>
      <w:r w:rsidR="0053339C" w:rsidRPr="00BD295E">
        <w:rPr>
          <w:rFonts w:ascii="Arial" w:hAnsi="Arial" w:cs="Arial"/>
          <w:b/>
          <w:sz w:val="18"/>
          <w:szCs w:val="18"/>
          <w:lang w:val="en-US"/>
        </w:rPr>
        <w:t>General Meeting</w:t>
      </w:r>
      <w:r w:rsidRPr="00BD295E">
        <w:rPr>
          <w:rFonts w:ascii="Arial" w:hAnsi="Arial" w:cs="Arial"/>
          <w:b/>
          <w:sz w:val="18"/>
          <w:szCs w:val="18"/>
          <w:lang w:val="en-US"/>
        </w:rPr>
        <w:t xml:space="preserve">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June 8, 2018 (Minutes No. 2/2018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June 13, 2018):</w:t>
      </w:r>
    </w:p>
    <w:p w14:paraId="439EA4EF"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4D554CC7"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382A4C14"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49B55A48"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Pavel Livinsky</w:t>
            </w:r>
            <w:r w:rsidRPr="00BD295E">
              <w:rPr>
                <w:rStyle w:val="Subst0"/>
                <w:rFonts w:ascii="Arial" w:hAnsi="Arial" w:cs="Arial"/>
                <w:bCs/>
                <w:iCs/>
                <w:sz w:val="18"/>
                <w:szCs w:val="18"/>
                <w:lang w:val="en-US"/>
              </w:rPr>
              <w:t xml:space="preserve"> </w:t>
            </w:r>
          </w:p>
        </w:tc>
      </w:tr>
      <w:tr w:rsidR="008A5057" w:rsidRPr="00BD295E" w14:paraId="438998A4"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C6F593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36BE748A" w14:textId="77777777" w:rsidR="00F3260C" w:rsidRPr="00BD295E" w:rsidRDefault="008A5057" w:rsidP="0031297B">
            <w:pPr>
              <w:rPr>
                <w:rFonts w:ascii="Arial" w:hAnsi="Arial" w:cs="Arial"/>
                <w:iCs/>
                <w:sz w:val="18"/>
                <w:szCs w:val="18"/>
                <w:lang w:val="en-US"/>
              </w:rPr>
            </w:pPr>
            <w:r w:rsidRPr="00BD295E">
              <w:rPr>
                <w:rFonts w:ascii="Arial" w:hAnsi="Arial" w:cs="Arial"/>
                <w:iCs/>
                <w:sz w:val="18"/>
                <w:szCs w:val="18"/>
                <w:lang w:val="en-US"/>
              </w:rPr>
              <w:t>Chairman of the Company’s Board of Directors</w:t>
            </w:r>
          </w:p>
        </w:tc>
      </w:tr>
      <w:tr w:rsidR="008A5057" w:rsidRPr="00BD295E" w14:paraId="4D8A4B26"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0B1A28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09B3B097" w14:textId="77777777"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1980 Russian Federation</w:t>
            </w:r>
          </w:p>
        </w:tc>
      </w:tr>
      <w:tr w:rsidR="008A5057" w:rsidRPr="00BD295E" w14:paraId="59727BB6"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D71D6C8"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234998AA" w14:textId="77777777"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February 5, 2018</w:t>
            </w:r>
          </w:p>
        </w:tc>
      </w:tr>
      <w:tr w:rsidR="008A5057" w:rsidRPr="00BD295E" w14:paraId="57707B61"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800D9A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73AB6C2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Higher education. Moscow Lomonosov State University, majoring in Economics (2001); </w:t>
            </w:r>
          </w:p>
          <w:p w14:paraId="1262129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Moscow Lomonosov State University Master's degree in Management (2003).</w:t>
            </w:r>
          </w:p>
        </w:tc>
      </w:tr>
      <w:tr w:rsidR="008A5057" w:rsidRPr="00BD295E" w14:paraId="5E26A80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13A257D"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for the last </w:t>
            </w:r>
          </w:p>
          <w:p w14:paraId="7EBCD97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2DEEA44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2018 to date – Chairman of the Company’s Board of Directors;</w:t>
            </w:r>
          </w:p>
          <w:p w14:paraId="37205A8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2017 to date – Chairman of the Management Board, CEO of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6F3D019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2017 – 2017 Head of the Utilities Department of Moscow;</w:t>
            </w:r>
          </w:p>
          <w:p w14:paraId="1273124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2013 – 2017 Head of the Energy Department of Moscow;</w:t>
            </w:r>
          </w:p>
          <w:p w14:paraId="63917447" w14:textId="77777777" w:rsidR="00F3260C" w:rsidRPr="00BD295E" w:rsidRDefault="008A5057" w:rsidP="00293DDA">
            <w:pPr>
              <w:rPr>
                <w:rFonts w:ascii="Arial" w:hAnsi="Arial" w:cs="Arial"/>
                <w:iCs/>
                <w:sz w:val="18"/>
                <w:szCs w:val="18"/>
                <w:lang w:val="en-US"/>
              </w:rPr>
            </w:pPr>
            <w:r w:rsidRPr="00BD295E">
              <w:rPr>
                <w:rFonts w:ascii="Arial" w:hAnsi="Arial" w:cs="Arial"/>
                <w:sz w:val="18"/>
                <w:szCs w:val="18"/>
                <w:lang w:val="en-US"/>
              </w:rPr>
              <w:t xml:space="preserve">2011 – 2013 – CEO of </w:t>
            </w:r>
            <w:r w:rsidR="00293DDA" w:rsidRPr="00BD295E">
              <w:rPr>
                <w:rFonts w:ascii="Arial" w:hAnsi="Arial" w:cs="Arial"/>
                <w:sz w:val="18"/>
                <w:szCs w:val="18"/>
                <w:lang w:val="en-US"/>
              </w:rPr>
              <w:t>OJSC “</w:t>
            </w:r>
            <w:r w:rsidRPr="00BD295E">
              <w:rPr>
                <w:rFonts w:ascii="Arial" w:hAnsi="Arial" w:cs="Arial"/>
                <w:sz w:val="18"/>
                <w:szCs w:val="18"/>
                <w:lang w:val="en-US"/>
              </w:rPr>
              <w:t>UNECO</w:t>
            </w:r>
            <w:r w:rsidR="00293DDA" w:rsidRPr="00BD295E">
              <w:rPr>
                <w:rFonts w:ascii="Arial" w:hAnsi="Arial" w:cs="Arial"/>
                <w:sz w:val="18"/>
                <w:szCs w:val="18"/>
                <w:lang w:val="en-US"/>
              </w:rPr>
              <w:t>”.</w:t>
            </w:r>
          </w:p>
        </w:tc>
      </w:tr>
      <w:tr w:rsidR="008A5057" w:rsidRPr="00BD295E" w14:paraId="4411950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0C07EA89"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26BD37C7" w14:textId="77777777" w:rsidR="00F3260C" w:rsidRPr="00BD295E" w:rsidRDefault="008A5057" w:rsidP="0031297B">
            <w:pPr>
              <w:rPr>
                <w:rFonts w:ascii="Arial" w:hAnsi="Arial" w:cs="Arial"/>
                <w:iCs/>
                <w:sz w:val="18"/>
                <w:szCs w:val="18"/>
                <w:lang w:val="en-US"/>
              </w:rPr>
            </w:pPr>
            <w:r w:rsidRPr="00BD295E">
              <w:rPr>
                <w:rFonts w:ascii="Arial" w:hAnsi="Arial" w:cs="Arial"/>
                <w:iCs/>
                <w:sz w:val="18"/>
                <w:szCs w:val="18"/>
                <w:lang w:val="en-US"/>
              </w:rPr>
              <w:t>None</w:t>
            </w:r>
          </w:p>
        </w:tc>
      </w:tr>
      <w:tr w:rsidR="008A5057" w:rsidRPr="00BD295E" w14:paraId="537ABC74" w14:textId="77777777" w:rsidTr="0031297B">
        <w:trPr>
          <w:trHeight w:val="2850"/>
        </w:trPr>
        <w:tc>
          <w:tcPr>
            <w:tcW w:w="2941" w:type="dxa"/>
            <w:tcBorders>
              <w:top w:val="single" w:sz="6" w:space="0" w:color="C0C0C0"/>
              <w:left w:val="single" w:sz="4" w:space="0" w:color="C0C0C0"/>
              <w:bottom w:val="single" w:sz="6" w:space="0" w:color="333399"/>
              <w:right w:val="single" w:sz="6" w:space="0" w:color="C0C0C0"/>
            </w:tcBorders>
            <w:vAlign w:val="center"/>
          </w:tcPr>
          <w:p w14:paraId="718DF451"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6DE2C707" w14:textId="77777777" w:rsidR="00922D8A"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CEO, Chairman of the Management Board, member of the Board of Directors of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2FFA3E45" w14:textId="118B9E1B"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Chairman of the Board of Directors of </w:t>
            </w:r>
            <w:r w:rsidR="00472677" w:rsidRPr="00BD295E">
              <w:rPr>
                <w:rFonts w:ascii="Arial" w:hAnsi="Arial" w:cs="Arial"/>
                <w:sz w:val="18"/>
                <w:szCs w:val="18"/>
                <w:lang w:val="en-US"/>
              </w:rPr>
              <w:t xml:space="preserve">“MOESK”, </w:t>
            </w:r>
            <w:r w:rsidR="002C3947" w:rsidRPr="00BD295E">
              <w:rPr>
                <w:rFonts w:ascii="Arial" w:hAnsi="Arial" w:cs="Arial"/>
                <w:sz w:val="18"/>
                <w:szCs w:val="18"/>
                <w:lang w:val="en-US"/>
              </w:rPr>
              <w:t>PJSC;</w:t>
            </w:r>
          </w:p>
          <w:p w14:paraId="2E33B81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Member of the Board of Directors of </w:t>
            </w:r>
            <w:r w:rsidR="00293DDA" w:rsidRPr="00BD295E">
              <w:rPr>
                <w:rFonts w:ascii="Arial" w:hAnsi="Arial" w:cs="Arial"/>
                <w:sz w:val="18"/>
                <w:szCs w:val="18"/>
                <w:lang w:val="en-US"/>
              </w:rPr>
              <w:t>PJSC “</w:t>
            </w:r>
            <w:r w:rsidRPr="00BD295E">
              <w:rPr>
                <w:rFonts w:ascii="Arial" w:hAnsi="Arial" w:cs="Arial"/>
                <w:sz w:val="18"/>
                <w:szCs w:val="18"/>
                <w:lang w:val="en-US"/>
              </w:rPr>
              <w:t>Mosenergo</w:t>
            </w:r>
            <w:r w:rsidR="00293DDA" w:rsidRPr="00BD295E">
              <w:rPr>
                <w:rFonts w:ascii="Arial" w:hAnsi="Arial" w:cs="Arial"/>
                <w:sz w:val="18"/>
                <w:szCs w:val="18"/>
                <w:lang w:val="en-US"/>
              </w:rPr>
              <w:t>”</w:t>
            </w:r>
            <w:r w:rsidRPr="00BD295E">
              <w:rPr>
                <w:rFonts w:ascii="Arial" w:hAnsi="Arial" w:cs="Arial"/>
                <w:sz w:val="18"/>
                <w:szCs w:val="18"/>
                <w:lang w:val="en-US"/>
              </w:rPr>
              <w:t>;</w:t>
            </w:r>
          </w:p>
          <w:p w14:paraId="112AB1E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Member of the Board of Trustees of the Federal State-Sponsored Educational Institution of Higher Professional Education National Research University </w:t>
            </w:r>
            <w:r w:rsidRPr="00BD295E">
              <w:rPr>
                <w:rFonts w:ascii="Arial" w:hAnsi="Arial" w:cs="Arial"/>
                <w:i/>
                <w:iCs/>
                <w:sz w:val="18"/>
                <w:szCs w:val="18"/>
                <w:lang w:val="en-US"/>
              </w:rPr>
              <w:t>Moscow Power Engineering Institute</w:t>
            </w:r>
            <w:r w:rsidRPr="00BD295E">
              <w:rPr>
                <w:rFonts w:ascii="Arial" w:hAnsi="Arial" w:cs="Arial"/>
                <w:sz w:val="18"/>
                <w:szCs w:val="18"/>
                <w:lang w:val="en-US"/>
              </w:rPr>
              <w:t>;</w:t>
            </w:r>
          </w:p>
          <w:p w14:paraId="2DF70F4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President, member of the Presidium of the Regional Public Organization </w:t>
            </w:r>
            <w:r w:rsidRPr="00BD295E">
              <w:rPr>
                <w:rFonts w:ascii="Arial" w:hAnsi="Arial" w:cs="Arial"/>
                <w:i/>
                <w:iCs/>
                <w:sz w:val="18"/>
                <w:szCs w:val="18"/>
                <w:lang w:val="en-US"/>
              </w:rPr>
              <w:t>Sport Federation of Firemen and Rescuers</w:t>
            </w:r>
            <w:r w:rsidRPr="00BD295E">
              <w:rPr>
                <w:rFonts w:ascii="Arial" w:hAnsi="Arial" w:cs="Arial"/>
                <w:sz w:val="18"/>
                <w:szCs w:val="18"/>
                <w:lang w:val="en-US"/>
              </w:rPr>
              <w:t>;</w:t>
            </w:r>
          </w:p>
          <w:p w14:paraId="7A12115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Member of the Board of Trustees of the Christ the Savior Cathedral Foundation;</w:t>
            </w:r>
          </w:p>
          <w:p w14:paraId="2231700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Member of the Presidium of the Energy Sector Association </w:t>
            </w:r>
            <w:r w:rsidRPr="00BD295E">
              <w:rPr>
                <w:rFonts w:ascii="Arial" w:hAnsi="Arial" w:cs="Arial"/>
                <w:i/>
                <w:iCs/>
                <w:sz w:val="18"/>
                <w:szCs w:val="18"/>
                <w:lang w:val="en-US"/>
              </w:rPr>
              <w:t>Russian National Committee of the World Energy Council</w:t>
            </w:r>
            <w:r w:rsidRPr="00BD295E">
              <w:rPr>
                <w:rFonts w:ascii="Arial" w:hAnsi="Arial" w:cs="Arial"/>
                <w:sz w:val="18"/>
                <w:szCs w:val="18"/>
                <w:lang w:val="en-US"/>
              </w:rPr>
              <w:t>;</w:t>
            </w:r>
          </w:p>
          <w:p w14:paraId="5DA2D85D" w14:textId="77777777" w:rsidR="00922D8A"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Member of the Management Board of the All-Russian Association of Employers </w:t>
            </w:r>
            <w:r w:rsidRPr="00BD295E">
              <w:rPr>
                <w:rFonts w:ascii="Arial" w:hAnsi="Arial" w:cs="Arial"/>
                <w:i/>
                <w:iCs/>
                <w:sz w:val="18"/>
                <w:szCs w:val="18"/>
                <w:lang w:val="en-US"/>
              </w:rPr>
              <w:t>Russian Union of Industrialists and Entrepreneurs</w:t>
            </w:r>
            <w:r w:rsidRPr="00BD295E">
              <w:rPr>
                <w:rFonts w:ascii="Arial" w:hAnsi="Arial" w:cs="Arial"/>
                <w:sz w:val="18"/>
                <w:szCs w:val="18"/>
                <w:lang w:val="en-US"/>
              </w:rPr>
              <w:t>;</w:t>
            </w:r>
          </w:p>
          <w:p w14:paraId="4B53473E" w14:textId="77777777" w:rsidR="00922D8A" w:rsidRPr="00BD295E" w:rsidRDefault="008A5057" w:rsidP="00922D8A">
            <w:pPr>
              <w:rPr>
                <w:rFonts w:ascii="Arial" w:hAnsi="Arial" w:cs="Arial"/>
                <w:sz w:val="18"/>
                <w:szCs w:val="18"/>
                <w:lang w:val="en-US"/>
              </w:rPr>
            </w:pPr>
            <w:r w:rsidRPr="00BD295E">
              <w:rPr>
                <w:rFonts w:ascii="Arial" w:hAnsi="Arial" w:cs="Arial"/>
                <w:sz w:val="18"/>
                <w:szCs w:val="18"/>
                <w:lang w:val="en-US"/>
              </w:rPr>
              <w:t xml:space="preserve">Member of the Supervisory Board of Non-profit Partnership </w:t>
            </w:r>
            <w:r w:rsidRPr="00BD295E">
              <w:rPr>
                <w:rFonts w:ascii="Arial" w:hAnsi="Arial" w:cs="Arial"/>
                <w:i/>
                <w:iCs/>
                <w:sz w:val="18"/>
                <w:szCs w:val="18"/>
                <w:lang w:val="en-US"/>
              </w:rPr>
              <w:t>Scientific and Technical Council of Unified Energy System</w:t>
            </w:r>
            <w:r w:rsidRPr="00BD295E">
              <w:rPr>
                <w:rFonts w:ascii="Arial" w:hAnsi="Arial" w:cs="Arial"/>
                <w:sz w:val="18"/>
                <w:szCs w:val="18"/>
                <w:lang w:val="en-US"/>
              </w:rPr>
              <w:t>;</w:t>
            </w:r>
          </w:p>
          <w:p w14:paraId="54E0FF19" w14:textId="77777777" w:rsidR="00922D8A" w:rsidRPr="00BD295E" w:rsidRDefault="008A5057" w:rsidP="00922D8A">
            <w:pPr>
              <w:rPr>
                <w:rFonts w:ascii="Arial" w:hAnsi="Arial" w:cs="Arial"/>
                <w:sz w:val="18"/>
                <w:szCs w:val="18"/>
                <w:lang w:val="en-US"/>
              </w:rPr>
            </w:pPr>
            <w:r w:rsidRPr="00BD295E">
              <w:rPr>
                <w:rFonts w:ascii="Arial" w:hAnsi="Arial" w:cs="Arial"/>
                <w:sz w:val="18"/>
                <w:szCs w:val="18"/>
                <w:lang w:val="en-US"/>
              </w:rPr>
              <w:t>Member of the Board of Directors of RusHydro, PJSC;</w:t>
            </w:r>
          </w:p>
          <w:p w14:paraId="56A7394C" w14:textId="6DCBBDC8" w:rsidR="00922D8A" w:rsidRPr="00BD295E" w:rsidRDefault="008A5057" w:rsidP="00922D8A">
            <w:pPr>
              <w:rPr>
                <w:rFonts w:ascii="Arial" w:hAnsi="Arial" w:cs="Arial"/>
                <w:sz w:val="18"/>
                <w:szCs w:val="18"/>
                <w:lang w:val="en-US"/>
              </w:rPr>
            </w:pPr>
            <w:r w:rsidRPr="00BD295E">
              <w:rPr>
                <w:rFonts w:ascii="Arial" w:hAnsi="Arial" w:cs="Arial"/>
                <w:sz w:val="18"/>
                <w:szCs w:val="18"/>
                <w:lang w:val="en-US"/>
              </w:rPr>
              <w:t xml:space="preserve">Chairman of the Board of Directors of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w:t>
            </w:r>
          </w:p>
          <w:p w14:paraId="684E02EE" w14:textId="77777777" w:rsidR="00922D8A" w:rsidRPr="00BD295E" w:rsidRDefault="008A5057" w:rsidP="00922D8A">
            <w:pPr>
              <w:rPr>
                <w:rFonts w:ascii="Arial" w:hAnsi="Arial" w:cs="Arial"/>
                <w:sz w:val="18"/>
                <w:szCs w:val="18"/>
                <w:lang w:val="en-US"/>
              </w:rPr>
            </w:pPr>
            <w:r w:rsidRPr="00BD295E">
              <w:rPr>
                <w:rFonts w:ascii="Arial" w:hAnsi="Arial" w:cs="Arial"/>
                <w:sz w:val="18"/>
                <w:szCs w:val="18"/>
                <w:lang w:val="en-US"/>
              </w:rPr>
              <w:t>Member of the Board of Directors of SO UES, JSC;</w:t>
            </w:r>
          </w:p>
          <w:p w14:paraId="13D35B00" w14:textId="77777777" w:rsidR="00922D8A" w:rsidRPr="00BD295E" w:rsidRDefault="008A5057" w:rsidP="00922D8A">
            <w:pPr>
              <w:rPr>
                <w:rFonts w:ascii="Arial" w:hAnsi="Arial" w:cs="Arial"/>
                <w:sz w:val="18"/>
                <w:szCs w:val="18"/>
                <w:lang w:val="en-US"/>
              </w:rPr>
            </w:pPr>
            <w:r w:rsidRPr="00BD295E">
              <w:rPr>
                <w:rFonts w:ascii="Arial" w:hAnsi="Arial" w:cs="Arial"/>
                <w:sz w:val="18"/>
                <w:szCs w:val="18"/>
                <w:lang w:val="en-US"/>
              </w:rPr>
              <w:t>Member of the Presidium of the Russian National Committee of CIGRE;</w:t>
            </w:r>
          </w:p>
          <w:p w14:paraId="2E56D01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Member of the Board of Trustees of the Modern Pentathlon Federation of Russia</w:t>
            </w:r>
          </w:p>
        </w:tc>
      </w:tr>
    </w:tbl>
    <w:p w14:paraId="269C98C4" w14:textId="77777777" w:rsidR="00F3260C" w:rsidRPr="00BD295E" w:rsidRDefault="00F3260C" w:rsidP="00F3260C">
      <w:pPr>
        <w:jc w:val="both"/>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1C1F28ED"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609D5CE3"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10014776"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Andrey Ryumin</w:t>
            </w:r>
          </w:p>
        </w:tc>
      </w:tr>
      <w:tr w:rsidR="008A5057" w:rsidRPr="00BD295E" w14:paraId="2250F7E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271C24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1136B76C" w14:textId="77777777" w:rsidR="00F3260C" w:rsidRPr="00BD295E" w:rsidRDefault="008A5057" w:rsidP="0031297B">
            <w:pPr>
              <w:rPr>
                <w:rFonts w:ascii="Arial" w:hAnsi="Arial" w:cs="Arial"/>
                <w:iCs/>
                <w:sz w:val="18"/>
                <w:szCs w:val="18"/>
                <w:lang w:val="en-US"/>
              </w:rPr>
            </w:pPr>
            <w:r w:rsidRPr="00BD295E">
              <w:rPr>
                <w:rFonts w:ascii="Arial" w:hAnsi="Arial" w:cs="Arial"/>
                <w:iCs/>
                <w:sz w:val="18"/>
                <w:szCs w:val="18"/>
                <w:lang w:val="en-US"/>
              </w:rPr>
              <w:t>Member of the Board of Directors,</w:t>
            </w:r>
          </w:p>
          <w:p w14:paraId="7B276281" w14:textId="77777777" w:rsidR="00F3260C" w:rsidRPr="00BD295E" w:rsidRDefault="008A5057" w:rsidP="0031297B">
            <w:pPr>
              <w:rPr>
                <w:rFonts w:ascii="Arial" w:hAnsi="Arial" w:cs="Arial"/>
                <w:iCs/>
                <w:sz w:val="18"/>
                <w:szCs w:val="18"/>
                <w:lang w:val="en-US"/>
              </w:rPr>
            </w:pPr>
            <w:r w:rsidRPr="00BD295E">
              <w:rPr>
                <w:rFonts w:ascii="Arial" w:hAnsi="Arial" w:cs="Arial"/>
                <w:iCs/>
                <w:sz w:val="18"/>
                <w:szCs w:val="18"/>
                <w:lang w:val="en-US"/>
              </w:rPr>
              <w:t>Chairman of the Management Board,</w:t>
            </w:r>
          </w:p>
          <w:p w14:paraId="30FAD883" w14:textId="77777777" w:rsidR="00F3260C" w:rsidRPr="00BD295E" w:rsidRDefault="008A5057" w:rsidP="0031297B">
            <w:pPr>
              <w:rPr>
                <w:rFonts w:ascii="Arial" w:hAnsi="Arial" w:cs="Arial"/>
                <w:sz w:val="18"/>
                <w:szCs w:val="18"/>
                <w:lang w:val="en-US"/>
              </w:rPr>
            </w:pPr>
            <w:r w:rsidRPr="00BD295E">
              <w:rPr>
                <w:rFonts w:ascii="Arial" w:hAnsi="Arial" w:cs="Arial"/>
                <w:iCs/>
                <w:sz w:val="18"/>
                <w:szCs w:val="18"/>
                <w:lang w:val="en-US"/>
              </w:rPr>
              <w:t>CEO</w:t>
            </w:r>
          </w:p>
        </w:tc>
      </w:tr>
      <w:tr w:rsidR="008A5057" w:rsidRPr="00BD295E" w14:paraId="517CB8EA"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7440CE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28AEB5A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1980 Russian Federation</w:t>
            </w:r>
          </w:p>
        </w:tc>
      </w:tr>
      <w:tr w:rsidR="008A5057" w:rsidRPr="00BD295E" w14:paraId="44873741"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8CEC7A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6FCDC839"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February 5, 2018</w:t>
            </w:r>
          </w:p>
        </w:tc>
      </w:tr>
      <w:tr w:rsidR="008A5057" w:rsidRPr="00BD295E" w14:paraId="49161286"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25F9EE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795F6857" w14:textId="5C790CA9"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Higher education. Moscow State Lomonosov </w:t>
            </w:r>
            <w:r w:rsidR="002C3947" w:rsidRPr="00BD295E">
              <w:rPr>
                <w:rFonts w:ascii="Arial" w:hAnsi="Arial" w:cs="Arial"/>
                <w:sz w:val="18"/>
                <w:szCs w:val="18"/>
                <w:lang w:val="en-US"/>
              </w:rPr>
              <w:t>University, Department</w:t>
            </w:r>
            <w:r w:rsidRPr="00BD295E">
              <w:rPr>
                <w:rFonts w:ascii="Arial" w:hAnsi="Arial" w:cs="Arial"/>
                <w:sz w:val="18"/>
                <w:szCs w:val="18"/>
                <w:lang w:val="en-US"/>
              </w:rPr>
              <w:t xml:space="preserve"> of Mechanics and Mathematics (2002).</w:t>
            </w:r>
          </w:p>
          <w:p w14:paraId="5C32D7C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Peoples' Friendship University of Russia, majoring in Information Systems in Economics (2002).</w:t>
            </w:r>
          </w:p>
          <w:p w14:paraId="258DB99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PhD in Economics.</w:t>
            </w:r>
          </w:p>
        </w:tc>
      </w:tr>
      <w:tr w:rsidR="008A5057" w:rsidRPr="00BD295E" w14:paraId="235C464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ED186C1"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772B7F6A" w14:textId="777D4350"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2018 to date</w:t>
            </w:r>
            <w:r w:rsidRPr="00BD295E">
              <w:rPr>
                <w:rFonts w:ascii="Arial" w:hAnsi="Arial" w:cs="Arial"/>
                <w:iCs/>
                <w:sz w:val="18"/>
                <w:szCs w:val="18"/>
                <w:lang w:val="en-US"/>
              </w:rPr>
              <w:t xml:space="preserve"> </w:t>
            </w:r>
            <w:r w:rsidRPr="00BD295E">
              <w:rPr>
                <w:rFonts w:ascii="Arial" w:hAnsi="Arial" w:cs="Arial"/>
                <w:sz w:val="18"/>
                <w:szCs w:val="18"/>
                <w:lang w:val="en-US"/>
              </w:rPr>
              <w:t xml:space="preserve">–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5AC3F586"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2018 to date – Chairman of the Management Board, CEO of the Company;</w:t>
            </w:r>
          </w:p>
          <w:p w14:paraId="2AAF04CD"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2016 – 2017 – Independent Director, member of the Board of Directors of Mosenergo, OJSC;</w:t>
            </w:r>
          </w:p>
          <w:p w14:paraId="1757EE4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2011 – 2013 – First Deputy CEO, CEO of </w:t>
            </w:r>
            <w:r w:rsidR="00293DDA" w:rsidRPr="00BD295E">
              <w:rPr>
                <w:rFonts w:ascii="Arial" w:hAnsi="Arial" w:cs="Arial"/>
                <w:sz w:val="18"/>
                <w:szCs w:val="18"/>
                <w:lang w:val="en-US"/>
              </w:rPr>
              <w:t>OJSC “UNECO”</w:t>
            </w:r>
            <w:r w:rsidRPr="00BD295E">
              <w:rPr>
                <w:rFonts w:ascii="Arial" w:hAnsi="Arial" w:cs="Arial"/>
                <w:sz w:val="18"/>
                <w:szCs w:val="18"/>
                <w:lang w:val="en-US"/>
              </w:rPr>
              <w:t>.</w:t>
            </w:r>
          </w:p>
        </w:tc>
      </w:tr>
      <w:tr w:rsidR="008A5057" w:rsidRPr="00BD295E" w14:paraId="3C0D989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25FFCAC9"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61134A1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None</w:t>
            </w:r>
          </w:p>
        </w:tc>
      </w:tr>
      <w:tr w:rsidR="008A5057" w:rsidRPr="00BD295E" w14:paraId="370E17A2"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70A2A81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2B17B47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Member of the Board of Directors of FTC, PJSC</w:t>
            </w:r>
          </w:p>
          <w:p w14:paraId="47738DA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Member of the Board of Trustees of the Saint Petersburg Regional Sports Public Organization Sports Club </w:t>
            </w:r>
            <w:r w:rsidRPr="00BD295E">
              <w:rPr>
                <w:rFonts w:ascii="Arial" w:hAnsi="Arial" w:cs="Arial"/>
                <w:i/>
                <w:iCs/>
                <w:sz w:val="18"/>
                <w:szCs w:val="18"/>
                <w:lang w:val="en-US"/>
              </w:rPr>
              <w:t>Sport-Pravoporyadok</w:t>
            </w:r>
          </w:p>
        </w:tc>
      </w:tr>
    </w:tbl>
    <w:p w14:paraId="32AD8522"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3AA5679B"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45D936AD"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39137612" w14:textId="77777777" w:rsidR="00F3260C" w:rsidRPr="00BD295E" w:rsidRDefault="008A5057" w:rsidP="0031297B">
            <w:pPr>
              <w:snapToGrid w:val="0"/>
              <w:jc w:val="both"/>
              <w:rPr>
                <w:rFonts w:ascii="Arial" w:hAnsi="Arial" w:cs="Arial"/>
                <w:b/>
                <w:i/>
                <w:sz w:val="18"/>
                <w:szCs w:val="18"/>
                <w:lang w:val="en-US"/>
              </w:rPr>
            </w:pPr>
            <w:r w:rsidRPr="00BD295E">
              <w:rPr>
                <w:rStyle w:val="Subst0"/>
                <w:rFonts w:ascii="Arial" w:hAnsi="Arial" w:cs="Arial"/>
                <w:i w:val="0"/>
                <w:sz w:val="18"/>
                <w:szCs w:val="18"/>
                <w:lang w:val="en-US"/>
              </w:rPr>
              <w:t>Olga Sergeyeva</w:t>
            </w:r>
            <w:r w:rsidRPr="00BD295E">
              <w:rPr>
                <w:rStyle w:val="Subst0"/>
                <w:rFonts w:ascii="Arial" w:hAnsi="Arial" w:cs="Arial"/>
                <w:bCs/>
                <w:i w:val="0"/>
                <w:iCs/>
                <w:sz w:val="18"/>
                <w:szCs w:val="18"/>
                <w:lang w:val="en-US"/>
              </w:rPr>
              <w:t xml:space="preserve"> </w:t>
            </w:r>
          </w:p>
        </w:tc>
      </w:tr>
      <w:tr w:rsidR="008A5057" w:rsidRPr="00BD295E" w14:paraId="1AC5016B"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68481B1"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54706214" w14:textId="6474713A" w:rsidR="00F3260C" w:rsidRPr="00BD295E" w:rsidRDefault="002C3947" w:rsidP="0031297B">
            <w:pPr>
              <w:rPr>
                <w:rFonts w:ascii="Arial" w:hAnsi="Arial" w:cs="Arial"/>
                <w:iCs/>
                <w:sz w:val="18"/>
                <w:szCs w:val="18"/>
                <w:lang w:val="en-US"/>
              </w:rPr>
            </w:pPr>
            <w:r w:rsidRPr="00BD295E">
              <w:rPr>
                <w:rFonts w:ascii="Arial" w:hAnsi="Arial" w:cs="Arial"/>
                <w:iCs/>
                <w:sz w:val="18"/>
                <w:szCs w:val="18"/>
                <w:lang w:val="en-US"/>
              </w:rPr>
              <w:t>Member of</w:t>
            </w:r>
            <w:r w:rsidR="008A5057" w:rsidRPr="00BD295E">
              <w:rPr>
                <w:rFonts w:ascii="Arial" w:hAnsi="Arial" w:cs="Arial"/>
                <w:iCs/>
                <w:sz w:val="18"/>
                <w:szCs w:val="18"/>
                <w:lang w:val="en-US"/>
              </w:rPr>
              <w:t xml:space="preserve"> the Company’s Board of Directors,</w:t>
            </w:r>
          </w:p>
          <w:p w14:paraId="766F7FF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Chairman of the Audit Committee of the Company’s Board of Directors.</w:t>
            </w:r>
          </w:p>
          <w:p w14:paraId="2E8E0E3D" w14:textId="77777777"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Chairman of the Nomination and Remuneration Committee</w:t>
            </w:r>
          </w:p>
        </w:tc>
      </w:tr>
      <w:tr w:rsidR="008A5057" w:rsidRPr="00BD295E" w14:paraId="1DB8ED51"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2D435B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721EABFD" w14:textId="77777777" w:rsidR="00F3260C" w:rsidRPr="00BD295E" w:rsidRDefault="008A5057" w:rsidP="0031297B">
            <w:pPr>
              <w:rPr>
                <w:rFonts w:ascii="Arial" w:hAnsi="Arial" w:cs="Arial"/>
                <w:iCs/>
                <w:sz w:val="18"/>
                <w:szCs w:val="18"/>
                <w:lang w:val="en-US"/>
              </w:rPr>
            </w:pPr>
            <w:r w:rsidRPr="00BD295E">
              <w:rPr>
                <w:rFonts w:ascii="Arial" w:hAnsi="Arial" w:cs="Arial"/>
                <w:iCs/>
                <w:sz w:val="18"/>
                <w:szCs w:val="18"/>
                <w:lang w:val="en-US"/>
              </w:rPr>
              <w:t>1984 Russian Federation</w:t>
            </w:r>
          </w:p>
        </w:tc>
      </w:tr>
      <w:tr w:rsidR="008A5057" w:rsidRPr="00BD295E" w14:paraId="1137D5F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A74FF3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556EA835" w14:textId="77777777"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June 8, 2018.</w:t>
            </w:r>
          </w:p>
        </w:tc>
      </w:tr>
      <w:tr w:rsidR="008A5057" w:rsidRPr="00BD295E" w14:paraId="634B02C6"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26174C7A"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66DDBA90" w14:textId="77777777" w:rsidR="00F3260C" w:rsidRPr="00BD295E" w:rsidRDefault="008A5057" w:rsidP="0031297B">
            <w:pPr>
              <w:rPr>
                <w:rFonts w:ascii="Arial" w:hAnsi="Arial" w:cs="Arial"/>
                <w:b/>
                <w:i/>
                <w:iCs/>
                <w:sz w:val="18"/>
                <w:szCs w:val="18"/>
                <w:lang w:val="en-US"/>
              </w:rPr>
            </w:pPr>
            <w:r w:rsidRPr="00BD295E">
              <w:rPr>
                <w:rStyle w:val="Subst0"/>
                <w:rFonts w:ascii="Arial" w:hAnsi="Arial" w:cs="Arial"/>
                <w:b w:val="0"/>
                <w:bCs/>
                <w:i w:val="0"/>
                <w:iCs/>
                <w:sz w:val="18"/>
                <w:szCs w:val="18"/>
                <w:lang w:val="en-US"/>
              </w:rPr>
              <w:t>Higher education. Plekhanov Russian University of Economics (2006), majoring in Economics and Management at Enterprises and Construction, qualified as Planning Engineer.</w:t>
            </w:r>
          </w:p>
        </w:tc>
      </w:tr>
      <w:tr w:rsidR="008A5057" w:rsidRPr="00BD295E" w14:paraId="66CE845B"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FB6455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for the last </w:t>
            </w:r>
          </w:p>
          <w:p w14:paraId="1E8DF0A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4656AB75" w14:textId="192709D5"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2018 to date</w:t>
            </w:r>
            <w:r w:rsidRPr="00BD295E">
              <w:rPr>
                <w:rFonts w:ascii="Arial" w:hAnsi="Arial" w:cs="Arial"/>
                <w:iCs/>
                <w:sz w:val="18"/>
                <w:szCs w:val="18"/>
                <w:lang w:val="en-US"/>
              </w:rPr>
              <w:t xml:space="preserve"> </w:t>
            </w:r>
            <w:r w:rsidRPr="00BD295E">
              <w:rPr>
                <w:rFonts w:ascii="Arial" w:hAnsi="Arial" w:cs="Arial"/>
                <w:sz w:val="18"/>
                <w:szCs w:val="18"/>
                <w:lang w:val="en-US"/>
              </w:rPr>
              <w:t xml:space="preserve">–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05FC9175" w14:textId="77777777"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2018 to date</w:t>
            </w:r>
            <w:r w:rsidRPr="00BD295E">
              <w:rPr>
                <w:rFonts w:ascii="Arial" w:hAnsi="Arial" w:cs="Arial"/>
                <w:iCs/>
                <w:sz w:val="18"/>
                <w:szCs w:val="18"/>
                <w:lang w:val="en-US"/>
              </w:rPr>
              <w:t xml:space="preserve"> </w:t>
            </w:r>
            <w:r w:rsidRPr="00BD295E">
              <w:rPr>
                <w:rFonts w:ascii="Arial" w:hAnsi="Arial" w:cs="Arial"/>
                <w:sz w:val="18"/>
                <w:szCs w:val="18"/>
                <w:lang w:val="en-US"/>
              </w:rPr>
              <w:t xml:space="preserve">– Deputy CEO – Head of the Administrative Office at </w:t>
            </w:r>
            <w:r w:rsidR="00BF106F" w:rsidRPr="00BD295E">
              <w:rPr>
                <w:rFonts w:ascii="Arial" w:hAnsi="Arial" w:cs="Arial"/>
                <w:sz w:val="18"/>
                <w:szCs w:val="18"/>
                <w:lang w:val="en-US"/>
              </w:rPr>
              <w:t>PJSC “Rosseti”</w:t>
            </w:r>
          </w:p>
          <w:p w14:paraId="4564E2D6" w14:textId="77777777"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2017 – 2017 Deputy Head of the Utilities Department of Moscow;</w:t>
            </w:r>
          </w:p>
          <w:p w14:paraId="4A5F0176" w14:textId="77777777"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2016 – 2017 Deputy Head of the Energy Department of Moscow;</w:t>
            </w:r>
          </w:p>
          <w:p w14:paraId="39C7DDE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2015 – 2016 Head of the Administrative Office of the Energy Department of Moscow;</w:t>
            </w:r>
          </w:p>
          <w:p w14:paraId="43992FE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2012 – -2015 Head of the Administrative Office of the Energy Department of Moscow;</w:t>
            </w:r>
          </w:p>
        </w:tc>
      </w:tr>
      <w:tr w:rsidR="008A5057" w:rsidRPr="00BD295E" w14:paraId="54975B4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BB88B0D"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11BB2C18" w14:textId="77777777" w:rsidR="00F3260C" w:rsidRPr="00BD295E" w:rsidRDefault="008A5057" w:rsidP="0031297B">
            <w:pPr>
              <w:rPr>
                <w:rFonts w:ascii="Arial" w:hAnsi="Arial" w:cs="Arial"/>
                <w:iCs/>
                <w:sz w:val="18"/>
                <w:szCs w:val="18"/>
                <w:lang w:val="en-US"/>
              </w:rPr>
            </w:pPr>
            <w:r w:rsidRPr="00BD295E">
              <w:rPr>
                <w:rFonts w:ascii="Arial" w:hAnsi="Arial" w:cs="Arial"/>
                <w:iCs/>
                <w:sz w:val="18"/>
                <w:szCs w:val="18"/>
                <w:lang w:val="en-US"/>
              </w:rPr>
              <w:t>None</w:t>
            </w:r>
          </w:p>
        </w:tc>
      </w:tr>
      <w:tr w:rsidR="008A5057" w:rsidRPr="00BD295E" w14:paraId="56ADDD47"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4D9676D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205AA041" w14:textId="77777777" w:rsidR="00F3260C" w:rsidRPr="00BD295E" w:rsidRDefault="008A5057" w:rsidP="0031297B">
            <w:pPr>
              <w:rPr>
                <w:rFonts w:ascii="Arial" w:hAnsi="Arial" w:cs="Arial"/>
                <w:iCs/>
                <w:sz w:val="18"/>
                <w:szCs w:val="18"/>
                <w:lang w:val="en-US"/>
              </w:rPr>
            </w:pPr>
            <w:r w:rsidRPr="00BD295E">
              <w:rPr>
                <w:rFonts w:ascii="Arial" w:hAnsi="Arial" w:cs="Arial"/>
                <w:iCs/>
                <w:sz w:val="18"/>
                <w:szCs w:val="18"/>
                <w:lang w:val="en-US"/>
              </w:rPr>
              <w:t xml:space="preserve">Deputy CEO – Head of the Administrative Office at </w:t>
            </w:r>
            <w:r w:rsidR="00BF106F" w:rsidRPr="00BD295E">
              <w:rPr>
                <w:rFonts w:ascii="Arial" w:hAnsi="Arial" w:cs="Arial"/>
                <w:iCs/>
                <w:sz w:val="18"/>
                <w:szCs w:val="18"/>
                <w:lang w:val="en-US"/>
              </w:rPr>
              <w:t>PJSC “Rosseti”</w:t>
            </w:r>
          </w:p>
          <w:p w14:paraId="4FC29848"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Chairman of the Board of Directors of IDGC of the South, PJSC;</w:t>
            </w:r>
          </w:p>
          <w:p w14:paraId="7758E49C"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Chairman of the Board of Directors of IDGC of the North-West, PJSC;</w:t>
            </w:r>
          </w:p>
          <w:p w14:paraId="28472870"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Chairman of the Board of Directors of Kubanenergo, PJSC;</w:t>
            </w:r>
          </w:p>
          <w:p w14:paraId="4CE71C97"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Chairman of the Board of Directors of Power Grid Optical Networks Engineering, JSC;</w:t>
            </w:r>
          </w:p>
          <w:p w14:paraId="5940A6C5" w14:textId="77777777"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 xml:space="preserve">Chairman of the Supervisory Board of Association </w:t>
            </w:r>
            <w:r w:rsidRPr="00BD295E">
              <w:rPr>
                <w:rFonts w:ascii="Arial" w:hAnsi="Arial" w:cs="Arial"/>
                <w:i/>
                <w:iCs/>
                <w:sz w:val="18"/>
                <w:szCs w:val="18"/>
                <w:lang w:val="en-US"/>
              </w:rPr>
              <w:t>ERA of Russia</w:t>
            </w:r>
            <w:r w:rsidRPr="00BD295E">
              <w:rPr>
                <w:rFonts w:ascii="Arial" w:hAnsi="Arial" w:cs="Arial"/>
                <w:sz w:val="18"/>
                <w:szCs w:val="18"/>
                <w:lang w:val="en-US"/>
              </w:rPr>
              <w:t>;</w:t>
            </w:r>
            <w:r w:rsidRPr="00BD295E">
              <w:rPr>
                <w:rFonts w:ascii="Arial" w:hAnsi="Arial" w:cs="Arial"/>
                <w:iCs/>
                <w:sz w:val="18"/>
                <w:szCs w:val="18"/>
                <w:lang w:val="en-US"/>
              </w:rPr>
              <w:t xml:space="preserve"> </w:t>
            </w:r>
          </w:p>
          <w:p w14:paraId="204AAC3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Member of the Board of Directors of </w:t>
            </w:r>
            <w:r w:rsidR="00472677" w:rsidRPr="00BD295E">
              <w:rPr>
                <w:rFonts w:ascii="Arial" w:hAnsi="Arial" w:cs="Arial"/>
                <w:sz w:val="18"/>
                <w:szCs w:val="18"/>
                <w:lang w:val="en-US"/>
              </w:rPr>
              <w:t xml:space="preserve">“MOESK”, PJSC </w:t>
            </w:r>
          </w:p>
          <w:p w14:paraId="6BBD4285"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 xml:space="preserve">Chairman of the Board of Directors of </w:t>
            </w:r>
            <w:r w:rsidR="00472677" w:rsidRPr="00BD295E">
              <w:rPr>
                <w:rFonts w:ascii="Arial" w:hAnsi="Arial" w:cs="Arial"/>
                <w:sz w:val="18"/>
                <w:szCs w:val="18"/>
                <w:lang w:val="en-US"/>
              </w:rPr>
              <w:t>IDGC of Northern Caucasus, PJSC</w:t>
            </w:r>
            <w:r w:rsidRPr="00BD295E">
              <w:rPr>
                <w:rFonts w:ascii="Arial" w:hAnsi="Arial" w:cs="Arial"/>
                <w:sz w:val="18"/>
                <w:szCs w:val="18"/>
                <w:lang w:val="en-US"/>
              </w:rPr>
              <w:t>;</w:t>
            </w:r>
          </w:p>
        </w:tc>
      </w:tr>
    </w:tbl>
    <w:p w14:paraId="670EDB76"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490AC522"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40062292"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466919AC"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Sergey Sergeev</w:t>
            </w:r>
          </w:p>
        </w:tc>
      </w:tr>
      <w:tr w:rsidR="008A5057" w:rsidRPr="00BD295E" w14:paraId="23783F5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D39878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631178F8" w14:textId="016990D6" w:rsidR="00F3260C" w:rsidRPr="00BD295E" w:rsidRDefault="002C3947" w:rsidP="0031297B">
            <w:pPr>
              <w:snapToGrid w:val="0"/>
              <w:jc w:val="both"/>
              <w:rPr>
                <w:rFonts w:ascii="Arial" w:hAnsi="Arial" w:cs="Arial"/>
                <w:sz w:val="18"/>
                <w:szCs w:val="18"/>
                <w:lang w:val="en-US"/>
              </w:rPr>
            </w:pPr>
            <w:r w:rsidRPr="00BD295E">
              <w:rPr>
                <w:rFonts w:ascii="Arial" w:hAnsi="Arial" w:cs="Arial"/>
                <w:sz w:val="18"/>
                <w:szCs w:val="18"/>
                <w:lang w:val="en-US"/>
              </w:rPr>
              <w:t>Member of</w:t>
            </w:r>
            <w:r w:rsidR="008A5057" w:rsidRPr="00BD295E">
              <w:rPr>
                <w:rFonts w:ascii="Arial" w:hAnsi="Arial" w:cs="Arial"/>
                <w:sz w:val="18"/>
                <w:szCs w:val="18"/>
                <w:lang w:val="en-US"/>
              </w:rPr>
              <w:t xml:space="preserve"> the Company’s Board of Directors,</w:t>
            </w:r>
          </w:p>
          <w:p w14:paraId="305AB902"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sz w:val="18"/>
                <w:szCs w:val="18"/>
                <w:lang w:val="en-US"/>
              </w:rPr>
              <w:t>Chairman of the Audit Committee of the Company’s Board of Directors.</w:t>
            </w:r>
          </w:p>
        </w:tc>
      </w:tr>
      <w:tr w:rsidR="008A5057" w:rsidRPr="00BD295E" w14:paraId="783130FC"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721EC1A"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4B6B8DF1"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sz w:val="18"/>
                <w:szCs w:val="18"/>
                <w:lang w:val="en-US"/>
              </w:rPr>
              <w:t>1976 Russian Federation</w:t>
            </w:r>
          </w:p>
        </w:tc>
      </w:tr>
      <w:tr w:rsidR="008A5057" w:rsidRPr="00BD295E" w14:paraId="49C58EEB"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2313CF8"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05FCAEA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June 7, 2016.</w:t>
            </w:r>
          </w:p>
        </w:tc>
      </w:tr>
      <w:tr w:rsidR="008A5057" w:rsidRPr="00BD295E" w14:paraId="19CDB1F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B089B13"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Education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5431E93D" w14:textId="77777777" w:rsidR="00F3260C" w:rsidRPr="00BD295E" w:rsidRDefault="008A5057" w:rsidP="0031297B">
            <w:pPr>
              <w:suppressAutoHyphens/>
              <w:rPr>
                <w:rFonts w:ascii="Arial" w:hAnsi="Arial" w:cs="Arial"/>
                <w:sz w:val="18"/>
                <w:szCs w:val="18"/>
                <w:lang w:val="en-US"/>
              </w:rPr>
            </w:pPr>
            <w:r w:rsidRPr="00BD295E">
              <w:rPr>
                <w:rStyle w:val="Subst0"/>
                <w:rFonts w:ascii="Arial" w:hAnsi="Arial" w:cs="Arial"/>
                <w:b w:val="0"/>
                <w:bCs/>
                <w:i w:val="0"/>
                <w:iCs/>
                <w:sz w:val="18"/>
                <w:szCs w:val="18"/>
                <w:lang w:val="en-US"/>
              </w:rPr>
              <w:t>Higher education.</w:t>
            </w:r>
            <w:r w:rsidRPr="00BD295E">
              <w:rPr>
                <w:rStyle w:val="Subst0"/>
                <w:rFonts w:ascii="Arial" w:hAnsi="Arial" w:cs="Arial"/>
                <w:bCs/>
                <w:iCs/>
                <w:sz w:val="18"/>
                <w:szCs w:val="18"/>
                <w:lang w:val="en-US"/>
              </w:rPr>
              <w:t xml:space="preserve"> </w:t>
            </w:r>
            <w:r w:rsidRPr="00BD295E">
              <w:rPr>
                <w:rFonts w:ascii="Arial" w:hAnsi="Arial" w:cs="Arial"/>
                <w:sz w:val="18"/>
                <w:szCs w:val="18"/>
                <w:lang w:val="en-US"/>
              </w:rPr>
              <w:t>Novocherkassk State Technical University, majoring in industrial and civil construction, Civil Engineer</w:t>
            </w:r>
          </w:p>
        </w:tc>
      </w:tr>
      <w:tr w:rsidR="008A5057" w:rsidRPr="00BD295E" w14:paraId="21C699BE"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0331EED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2DA34202" w14:textId="73C1697F" w:rsidR="00F3260C" w:rsidRPr="00BD295E" w:rsidRDefault="008A5057" w:rsidP="0031297B">
            <w:pPr>
              <w:jc w:val="both"/>
              <w:rPr>
                <w:rFonts w:ascii="Arial" w:hAnsi="Arial" w:cs="Arial"/>
                <w:iCs/>
                <w:sz w:val="18"/>
                <w:szCs w:val="18"/>
                <w:lang w:val="en-US"/>
              </w:rPr>
            </w:pPr>
            <w:r w:rsidRPr="00BD295E">
              <w:rPr>
                <w:rFonts w:ascii="Arial" w:hAnsi="Arial" w:cs="Arial"/>
                <w:sz w:val="18"/>
                <w:szCs w:val="18"/>
                <w:lang w:val="en-US"/>
              </w:rPr>
              <w:t>2016 to date</w:t>
            </w:r>
            <w:r w:rsidRPr="00BD295E">
              <w:rPr>
                <w:rFonts w:ascii="Arial" w:hAnsi="Arial" w:cs="Arial"/>
                <w:iCs/>
                <w:sz w:val="18"/>
                <w:szCs w:val="18"/>
                <w:lang w:val="en-US"/>
              </w:rPr>
              <w:t xml:space="preserve"> </w:t>
            </w:r>
            <w:r w:rsidRPr="00BD295E">
              <w:rPr>
                <w:rFonts w:ascii="Arial" w:hAnsi="Arial" w:cs="Arial"/>
                <w:sz w:val="18"/>
                <w:szCs w:val="18"/>
                <w:lang w:val="en-US"/>
              </w:rPr>
              <w:t xml:space="preserve">–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6B281327" w14:textId="77777777" w:rsidR="00F3260C" w:rsidRPr="00BD295E" w:rsidRDefault="008A5057" w:rsidP="0031297B">
            <w:pPr>
              <w:jc w:val="both"/>
              <w:rPr>
                <w:rFonts w:ascii="Arial" w:hAnsi="Arial" w:cs="Arial"/>
                <w:iCs/>
                <w:sz w:val="18"/>
                <w:szCs w:val="18"/>
                <w:lang w:val="en-US"/>
              </w:rPr>
            </w:pPr>
            <w:r w:rsidRPr="00BD295E">
              <w:rPr>
                <w:rFonts w:ascii="Arial" w:hAnsi="Arial" w:cs="Arial"/>
                <w:sz w:val="18"/>
                <w:szCs w:val="18"/>
                <w:lang w:val="en-US"/>
              </w:rPr>
              <w:t>2013 to date</w:t>
            </w:r>
            <w:r w:rsidRPr="00BD295E">
              <w:rPr>
                <w:rFonts w:ascii="Arial" w:hAnsi="Arial" w:cs="Arial"/>
                <w:iCs/>
                <w:sz w:val="18"/>
                <w:szCs w:val="18"/>
                <w:lang w:val="en-US"/>
              </w:rPr>
              <w:t xml:space="preserve"> </w:t>
            </w:r>
            <w:r w:rsidRPr="00BD295E">
              <w:rPr>
                <w:rFonts w:ascii="Arial" w:hAnsi="Arial" w:cs="Arial"/>
                <w:sz w:val="18"/>
                <w:szCs w:val="18"/>
                <w:lang w:val="en-US"/>
              </w:rPr>
              <w:t xml:space="preserve">Deputy CEO for Capital Construction, </w:t>
            </w:r>
            <w:r w:rsidR="00BF106F" w:rsidRPr="00BD295E">
              <w:rPr>
                <w:rFonts w:ascii="Arial" w:hAnsi="Arial" w:cs="Arial"/>
                <w:sz w:val="18"/>
                <w:szCs w:val="18"/>
                <w:lang w:val="en-US"/>
              </w:rPr>
              <w:t>PJSC “Rosseti”</w:t>
            </w:r>
          </w:p>
          <w:p w14:paraId="7B73BA7F" w14:textId="77777777" w:rsidR="00F3260C" w:rsidRPr="00BD295E" w:rsidRDefault="008A5057" w:rsidP="0031297B">
            <w:pPr>
              <w:jc w:val="both"/>
              <w:rPr>
                <w:rFonts w:ascii="Arial" w:hAnsi="Arial" w:cs="Arial"/>
                <w:iCs/>
                <w:sz w:val="18"/>
                <w:szCs w:val="18"/>
                <w:lang w:val="en-US"/>
              </w:rPr>
            </w:pPr>
            <w:r w:rsidRPr="00BD295E">
              <w:rPr>
                <w:rFonts w:ascii="Arial" w:hAnsi="Arial" w:cs="Arial"/>
                <w:sz w:val="18"/>
                <w:szCs w:val="18"/>
                <w:lang w:val="en-US"/>
              </w:rPr>
              <w:t>2009–2013 – Deputy Chairman of the Management Board of FGC UES, OJSC</w:t>
            </w:r>
          </w:p>
        </w:tc>
      </w:tr>
      <w:tr w:rsidR="008A5057" w:rsidRPr="00BD295E" w14:paraId="453B1F91"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B04CE63"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626E86ED"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r w:rsidR="008A5057" w:rsidRPr="00BD295E" w14:paraId="5336DB26"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0836E5F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3D217BAA" w14:textId="77777777" w:rsidR="00922D8A" w:rsidRPr="00BD295E" w:rsidRDefault="008A5057" w:rsidP="00922D8A">
            <w:pPr>
              <w:jc w:val="both"/>
              <w:rPr>
                <w:rFonts w:ascii="Arial" w:hAnsi="Arial" w:cs="Arial"/>
                <w:iCs/>
                <w:sz w:val="18"/>
                <w:szCs w:val="18"/>
                <w:lang w:val="en-US"/>
              </w:rPr>
            </w:pPr>
            <w:r w:rsidRPr="00BD295E">
              <w:rPr>
                <w:rFonts w:ascii="Arial" w:hAnsi="Arial" w:cs="Arial"/>
                <w:sz w:val="18"/>
                <w:szCs w:val="18"/>
                <w:lang w:val="en-US"/>
              </w:rPr>
              <w:t xml:space="preserve">Deputy CEO for Capital Construction, </w:t>
            </w:r>
            <w:r w:rsidR="00BF106F" w:rsidRPr="00BD295E">
              <w:rPr>
                <w:rFonts w:ascii="Arial" w:hAnsi="Arial" w:cs="Arial"/>
                <w:sz w:val="18"/>
                <w:szCs w:val="18"/>
                <w:lang w:val="en-US"/>
              </w:rPr>
              <w:t>PJSC “Rosseti”</w:t>
            </w:r>
          </w:p>
          <w:p w14:paraId="48920C6A" w14:textId="2C379A64" w:rsidR="00F3260C" w:rsidRPr="00BD295E" w:rsidRDefault="008A5057" w:rsidP="0031297B">
            <w:pPr>
              <w:jc w:val="both"/>
              <w:rPr>
                <w:rFonts w:ascii="Arial" w:eastAsia="Calibri" w:hAnsi="Arial" w:cs="Arial"/>
                <w:sz w:val="18"/>
                <w:szCs w:val="18"/>
                <w:lang w:val="en-US"/>
              </w:rPr>
            </w:pPr>
            <w:r w:rsidRPr="00BD295E">
              <w:rPr>
                <w:rFonts w:ascii="Arial" w:hAnsi="Arial" w:cs="Arial"/>
                <w:sz w:val="18"/>
                <w:szCs w:val="18"/>
                <w:lang w:val="en-US"/>
              </w:rPr>
              <w:t xml:space="preserve">Member of the Board of Directors of </w:t>
            </w:r>
            <w:r w:rsidR="00472677" w:rsidRPr="00BD295E">
              <w:rPr>
                <w:rFonts w:ascii="Arial" w:hAnsi="Arial" w:cs="Arial"/>
                <w:sz w:val="18"/>
                <w:szCs w:val="18"/>
                <w:lang w:val="en-US"/>
              </w:rPr>
              <w:t xml:space="preserve">“FGC UES”, </w:t>
            </w:r>
            <w:r w:rsidR="002C3947" w:rsidRPr="00BD295E">
              <w:rPr>
                <w:rFonts w:ascii="Arial" w:hAnsi="Arial" w:cs="Arial"/>
                <w:sz w:val="18"/>
                <w:szCs w:val="18"/>
                <w:lang w:val="en-US"/>
              </w:rPr>
              <w:t>PJSC;</w:t>
            </w:r>
          </w:p>
          <w:p w14:paraId="25F30850" w14:textId="77777777" w:rsidR="00922D8A" w:rsidRPr="00BD295E" w:rsidRDefault="008A5057" w:rsidP="00922D8A">
            <w:pPr>
              <w:rPr>
                <w:rFonts w:ascii="Arial" w:hAnsi="Arial" w:cs="Arial"/>
                <w:sz w:val="18"/>
                <w:szCs w:val="18"/>
                <w:lang w:val="en-US"/>
              </w:rPr>
            </w:pPr>
            <w:r w:rsidRPr="00BD295E">
              <w:rPr>
                <w:rFonts w:ascii="Arial" w:hAnsi="Arial" w:cs="Arial"/>
                <w:sz w:val="18"/>
                <w:szCs w:val="18"/>
                <w:lang w:val="en-US"/>
              </w:rPr>
              <w:t xml:space="preserve">Member of the Board of Directors of </w:t>
            </w:r>
            <w:r w:rsidR="00472677" w:rsidRPr="00BD295E">
              <w:rPr>
                <w:rFonts w:ascii="Arial" w:hAnsi="Arial" w:cs="Arial"/>
                <w:sz w:val="18"/>
                <w:szCs w:val="18"/>
                <w:lang w:val="en-US"/>
              </w:rPr>
              <w:t xml:space="preserve">“MOESK”, PJSC </w:t>
            </w:r>
          </w:p>
          <w:p w14:paraId="7792BBAD" w14:textId="77777777" w:rsidR="00922D8A" w:rsidRPr="00BD295E" w:rsidRDefault="008A5057" w:rsidP="00DF5FA6">
            <w:pPr>
              <w:rPr>
                <w:rFonts w:ascii="Arial" w:hAnsi="Arial" w:cs="Arial"/>
                <w:sz w:val="18"/>
                <w:szCs w:val="18"/>
                <w:lang w:val="en-US"/>
              </w:rPr>
            </w:pPr>
            <w:r w:rsidRPr="00BD295E">
              <w:rPr>
                <w:rFonts w:ascii="Arial" w:hAnsi="Arial" w:cs="Arial"/>
                <w:sz w:val="18"/>
                <w:szCs w:val="18"/>
                <w:lang w:val="en-US"/>
              </w:rPr>
              <w:t>Chairman of the Board of Directors of TCC, JSC.</w:t>
            </w:r>
          </w:p>
        </w:tc>
      </w:tr>
    </w:tbl>
    <w:p w14:paraId="7A823205"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168F27E8"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6FC5D543"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13935777"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Yevgeny Olkhovich</w:t>
            </w:r>
          </w:p>
        </w:tc>
      </w:tr>
      <w:tr w:rsidR="008A5057" w:rsidRPr="00BD295E" w14:paraId="5EDD6521"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0CFAA13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060660DE" w14:textId="6D8A1684" w:rsidR="00F3260C" w:rsidRPr="00BD295E" w:rsidRDefault="002C394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Member of</w:t>
            </w:r>
            <w:r w:rsidR="008A5057" w:rsidRPr="00BD295E">
              <w:rPr>
                <w:rFonts w:ascii="Arial" w:hAnsi="Arial" w:cs="Arial"/>
                <w:sz w:val="18"/>
                <w:szCs w:val="18"/>
                <w:lang w:val="en-US"/>
              </w:rPr>
              <w:t xml:space="preserve"> the Company’s Board of Directors,</w:t>
            </w:r>
          </w:p>
          <w:p w14:paraId="3DBEE17E"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Chairman of the Strategy and Development Committee of the Company’s Board of Directors</w:t>
            </w:r>
          </w:p>
        </w:tc>
      </w:tr>
      <w:tr w:rsidR="008A5057" w:rsidRPr="00BD295E" w14:paraId="22A0CA06"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E7D9254"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62639D92"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1982</w:t>
            </w:r>
            <w:r w:rsidRPr="00BD295E">
              <w:rPr>
                <w:rStyle w:val="Subst0"/>
                <w:rFonts w:ascii="Arial" w:hAnsi="Arial" w:cs="Arial"/>
                <w:sz w:val="18"/>
                <w:szCs w:val="18"/>
                <w:lang w:val="en-US"/>
              </w:rPr>
              <w:t xml:space="preserve"> </w:t>
            </w:r>
            <w:r w:rsidRPr="00BD295E">
              <w:rPr>
                <w:rFonts w:ascii="Arial" w:hAnsi="Arial" w:cs="Arial"/>
                <w:sz w:val="18"/>
                <w:szCs w:val="18"/>
                <w:lang w:val="en-US"/>
              </w:rPr>
              <w:t>Russian Federation</w:t>
            </w:r>
          </w:p>
        </w:tc>
      </w:tr>
      <w:tr w:rsidR="008A5057" w:rsidRPr="00BD295E" w14:paraId="293D87A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0D7315C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13186092"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February 5, 2018</w:t>
            </w:r>
          </w:p>
        </w:tc>
      </w:tr>
      <w:tr w:rsidR="008A5057" w:rsidRPr="00BD295E" w14:paraId="62047A69"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888BCA6"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70B9F6A2" w14:textId="3E9AD796" w:rsidR="00F3260C" w:rsidRPr="00BD295E" w:rsidRDefault="008A5057" w:rsidP="0031297B">
            <w:pPr>
              <w:rPr>
                <w:rStyle w:val="Subst0"/>
                <w:rFonts w:ascii="Arial" w:hAnsi="Arial" w:cs="Arial"/>
                <w:b w:val="0"/>
                <w:bCs/>
                <w:i w:val="0"/>
                <w:iCs/>
                <w:sz w:val="18"/>
                <w:szCs w:val="18"/>
                <w:lang w:val="en-US"/>
              </w:rPr>
            </w:pPr>
            <w:r w:rsidRPr="00BD295E">
              <w:rPr>
                <w:rStyle w:val="Subst0"/>
                <w:rFonts w:ascii="Arial" w:hAnsi="Arial" w:cs="Arial"/>
                <w:b w:val="0"/>
                <w:bCs/>
                <w:i w:val="0"/>
                <w:iCs/>
                <w:sz w:val="18"/>
                <w:szCs w:val="18"/>
                <w:lang w:val="en-US"/>
              </w:rPr>
              <w:t xml:space="preserve">Higher </w:t>
            </w:r>
            <w:r w:rsidR="002C3947" w:rsidRPr="00BD295E">
              <w:rPr>
                <w:rStyle w:val="Subst0"/>
                <w:rFonts w:ascii="Arial" w:hAnsi="Arial" w:cs="Arial"/>
                <w:b w:val="0"/>
                <w:bCs/>
                <w:i w:val="0"/>
                <w:iCs/>
                <w:sz w:val="18"/>
                <w:szCs w:val="18"/>
                <w:lang w:val="en-US"/>
              </w:rPr>
              <w:t>education Plekhanov</w:t>
            </w:r>
            <w:r w:rsidRPr="00BD295E">
              <w:rPr>
                <w:rStyle w:val="Subst0"/>
                <w:rFonts w:ascii="Arial" w:hAnsi="Arial" w:cs="Arial"/>
                <w:b w:val="0"/>
                <w:bCs/>
                <w:i w:val="0"/>
                <w:iCs/>
                <w:sz w:val="18"/>
                <w:szCs w:val="18"/>
                <w:lang w:val="en-US"/>
              </w:rPr>
              <w:t xml:space="preserve"> Russian Academy of Economics (2003): </w:t>
            </w:r>
          </w:p>
          <w:p w14:paraId="293785E3" w14:textId="77777777" w:rsidR="00F3260C" w:rsidRPr="00BD295E" w:rsidRDefault="008A5057" w:rsidP="0031297B">
            <w:pPr>
              <w:rPr>
                <w:rStyle w:val="Subst0"/>
                <w:rFonts w:ascii="Arial" w:hAnsi="Arial" w:cs="Arial"/>
                <w:b w:val="0"/>
                <w:bCs/>
                <w:i w:val="0"/>
                <w:iCs/>
                <w:sz w:val="18"/>
                <w:szCs w:val="18"/>
                <w:lang w:val="en-US"/>
              </w:rPr>
            </w:pPr>
            <w:r w:rsidRPr="00BD295E">
              <w:rPr>
                <w:rStyle w:val="Subst0"/>
                <w:rFonts w:ascii="Arial" w:hAnsi="Arial" w:cs="Arial"/>
                <w:b w:val="0"/>
                <w:bCs/>
                <w:i w:val="0"/>
                <w:iCs/>
                <w:sz w:val="18"/>
                <w:szCs w:val="18"/>
                <w:lang w:val="en-US"/>
              </w:rPr>
              <w:t xml:space="preserve">1. Economics, Bachelor’s degree in Economics. </w:t>
            </w:r>
          </w:p>
          <w:p w14:paraId="521811A2" w14:textId="77777777" w:rsidR="00F3260C" w:rsidRPr="00BD295E" w:rsidRDefault="008A5057" w:rsidP="0031297B">
            <w:pPr>
              <w:rPr>
                <w:rStyle w:val="Subst0"/>
                <w:rFonts w:ascii="Arial" w:hAnsi="Arial" w:cs="Arial"/>
                <w:b w:val="0"/>
                <w:bCs/>
                <w:i w:val="0"/>
                <w:iCs/>
                <w:sz w:val="18"/>
                <w:szCs w:val="18"/>
                <w:lang w:val="en-US"/>
              </w:rPr>
            </w:pPr>
            <w:r w:rsidRPr="00BD295E">
              <w:rPr>
                <w:rStyle w:val="Subst0"/>
                <w:rFonts w:ascii="Arial" w:hAnsi="Arial" w:cs="Arial"/>
                <w:b w:val="0"/>
                <w:bCs/>
                <w:i w:val="0"/>
                <w:iCs/>
                <w:sz w:val="18"/>
                <w:szCs w:val="18"/>
                <w:lang w:val="en-US"/>
              </w:rPr>
              <w:t>2. PhD in Economics.</w:t>
            </w:r>
          </w:p>
          <w:p w14:paraId="0069483A" w14:textId="77777777" w:rsidR="00F3260C" w:rsidRPr="00BD295E" w:rsidRDefault="008A5057" w:rsidP="0031297B">
            <w:pPr>
              <w:rPr>
                <w:rStyle w:val="Subst0"/>
                <w:rFonts w:ascii="Arial" w:hAnsi="Arial" w:cs="Arial"/>
                <w:b w:val="0"/>
                <w:bCs/>
                <w:i w:val="0"/>
                <w:iCs/>
                <w:sz w:val="18"/>
                <w:szCs w:val="18"/>
                <w:lang w:val="en-US"/>
              </w:rPr>
            </w:pPr>
            <w:r w:rsidRPr="00BD295E">
              <w:rPr>
                <w:rStyle w:val="Subst0"/>
                <w:rFonts w:ascii="Arial" w:hAnsi="Arial" w:cs="Arial"/>
                <w:b w:val="0"/>
                <w:bCs/>
                <w:i w:val="0"/>
                <w:iCs/>
                <w:sz w:val="18"/>
                <w:szCs w:val="18"/>
                <w:lang w:val="en-US"/>
              </w:rPr>
              <w:t>3. Management Master’s degree in Management.</w:t>
            </w:r>
          </w:p>
        </w:tc>
      </w:tr>
      <w:tr w:rsidR="008A5057" w:rsidRPr="00BD295E" w14:paraId="25EF9F8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0D907D4"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010E37A5"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iCs/>
                <w:sz w:val="18"/>
                <w:szCs w:val="18"/>
                <w:lang w:val="en-US"/>
              </w:rPr>
              <w:t xml:space="preserve">2018 to date – Member of the Board of Directors of </w:t>
            </w:r>
            <w:r w:rsidR="00EE5753" w:rsidRPr="00BD295E">
              <w:rPr>
                <w:rFonts w:ascii="Arial" w:hAnsi="Arial" w:cs="Arial"/>
                <w:iCs/>
                <w:sz w:val="18"/>
                <w:szCs w:val="18"/>
                <w:lang w:val="en-US"/>
              </w:rPr>
              <w:t>PJSC “Lenenergo”</w:t>
            </w:r>
            <w:r w:rsidRPr="00BD295E">
              <w:rPr>
                <w:rFonts w:ascii="Arial" w:hAnsi="Arial" w:cs="Arial"/>
                <w:iCs/>
                <w:sz w:val="18"/>
                <w:szCs w:val="18"/>
                <w:lang w:val="en-US"/>
              </w:rPr>
              <w:t>;</w:t>
            </w:r>
          </w:p>
          <w:p w14:paraId="19797070"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iCs/>
                <w:sz w:val="18"/>
                <w:szCs w:val="18"/>
                <w:lang w:val="en-US"/>
              </w:rPr>
              <w:t xml:space="preserve">2017 to date – Deputy CEO for Strategic Development at </w:t>
            </w:r>
            <w:r w:rsidR="00BF106F" w:rsidRPr="00BD295E">
              <w:rPr>
                <w:rFonts w:ascii="Arial" w:hAnsi="Arial" w:cs="Arial"/>
                <w:iCs/>
                <w:sz w:val="18"/>
                <w:szCs w:val="18"/>
                <w:lang w:val="en-US"/>
              </w:rPr>
              <w:t>PJSC “Rosseti”</w:t>
            </w:r>
            <w:r w:rsidRPr="00BD295E">
              <w:rPr>
                <w:rFonts w:ascii="Arial" w:hAnsi="Arial" w:cs="Arial"/>
                <w:iCs/>
                <w:sz w:val="18"/>
                <w:szCs w:val="18"/>
                <w:lang w:val="en-US"/>
              </w:rPr>
              <w:t>;</w:t>
            </w:r>
          </w:p>
          <w:p w14:paraId="62DB34B4"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iCs/>
                <w:sz w:val="18"/>
                <w:szCs w:val="18"/>
                <w:lang w:val="en-US"/>
              </w:rPr>
              <w:t>2013–2017 – Deputy Director of the Department for State Regulation of Tariffs, Infrastructure Reforms, and Energy Efficiency of the Russian Ministry of Economic Development;</w:t>
            </w:r>
          </w:p>
          <w:p w14:paraId="0E81D5B1" w14:textId="77777777" w:rsidR="00F3260C" w:rsidRPr="00BD295E" w:rsidRDefault="008A5057" w:rsidP="0031297B">
            <w:pPr>
              <w:snapToGrid w:val="0"/>
              <w:jc w:val="both"/>
              <w:rPr>
                <w:rStyle w:val="Subst0"/>
                <w:rFonts w:ascii="Arial" w:hAnsi="Arial" w:cs="Arial"/>
                <w:b w:val="0"/>
                <w:i w:val="0"/>
                <w:iCs/>
                <w:sz w:val="18"/>
                <w:szCs w:val="18"/>
                <w:lang w:val="en-US"/>
              </w:rPr>
            </w:pPr>
            <w:r w:rsidRPr="00BD295E">
              <w:rPr>
                <w:rFonts w:ascii="Arial" w:hAnsi="Arial" w:cs="Arial"/>
                <w:iCs/>
                <w:sz w:val="18"/>
                <w:szCs w:val="18"/>
                <w:lang w:val="en-US"/>
              </w:rPr>
              <w:t>2010–2013 – Analyst of the Research Unit of Merrill Lynch Securities, LLC.</w:t>
            </w:r>
          </w:p>
        </w:tc>
      </w:tr>
      <w:tr w:rsidR="008A5057" w:rsidRPr="00BD295E" w14:paraId="7A93764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4C6ADD0"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05070D3C"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None</w:t>
            </w:r>
          </w:p>
        </w:tc>
      </w:tr>
      <w:tr w:rsidR="008A5057" w:rsidRPr="00BD295E" w14:paraId="61FCF0FC"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062CBC6A"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7D44DA7D" w14:textId="77777777" w:rsidR="00922D8A" w:rsidRPr="00BD295E" w:rsidRDefault="008A5057" w:rsidP="00922D8A">
            <w:pPr>
              <w:snapToGrid w:val="0"/>
              <w:jc w:val="both"/>
              <w:rPr>
                <w:rFonts w:ascii="Arial" w:hAnsi="Arial" w:cs="Arial"/>
                <w:iCs/>
                <w:sz w:val="18"/>
                <w:szCs w:val="18"/>
                <w:lang w:val="en-US"/>
              </w:rPr>
            </w:pPr>
            <w:r w:rsidRPr="00BD295E">
              <w:rPr>
                <w:rFonts w:ascii="Arial" w:hAnsi="Arial" w:cs="Arial"/>
                <w:iCs/>
                <w:sz w:val="18"/>
                <w:szCs w:val="18"/>
                <w:lang w:val="en-US"/>
              </w:rPr>
              <w:t xml:space="preserve">Deputy CEO for Strategic Development at </w:t>
            </w:r>
            <w:r w:rsidR="00BF106F" w:rsidRPr="00BD295E">
              <w:rPr>
                <w:rFonts w:ascii="Arial" w:hAnsi="Arial" w:cs="Arial"/>
                <w:iCs/>
                <w:sz w:val="18"/>
                <w:szCs w:val="18"/>
                <w:lang w:val="en-US"/>
              </w:rPr>
              <w:t>PJSC “Rosseti”</w:t>
            </w:r>
            <w:r w:rsidRPr="00BD295E">
              <w:rPr>
                <w:rFonts w:ascii="Arial" w:hAnsi="Arial" w:cs="Arial"/>
                <w:iCs/>
                <w:sz w:val="18"/>
                <w:szCs w:val="18"/>
                <w:lang w:val="en-US"/>
              </w:rPr>
              <w:t>;</w:t>
            </w:r>
          </w:p>
          <w:p w14:paraId="557EDF26" w14:textId="77777777" w:rsidR="00F3260C" w:rsidRPr="00BD295E" w:rsidRDefault="008A5057" w:rsidP="0031297B">
            <w:pPr>
              <w:shd w:val="clear" w:color="auto" w:fill="FFFFFF"/>
              <w:autoSpaceDE w:val="0"/>
              <w:autoSpaceDN w:val="0"/>
              <w:adjustRightInd w:val="0"/>
              <w:jc w:val="both"/>
              <w:rPr>
                <w:rFonts w:ascii="Arial" w:hAnsi="Arial" w:cs="Arial"/>
                <w:iCs/>
                <w:sz w:val="18"/>
                <w:szCs w:val="18"/>
                <w:lang w:val="en-US"/>
              </w:rPr>
            </w:pPr>
            <w:r w:rsidRPr="00BD295E">
              <w:rPr>
                <w:rFonts w:ascii="Arial" w:hAnsi="Arial" w:cs="Arial"/>
                <w:iCs/>
                <w:sz w:val="18"/>
                <w:szCs w:val="18"/>
                <w:lang w:val="en-US"/>
              </w:rPr>
              <w:t xml:space="preserve">Chairman of the Board of Directors of </w:t>
            </w:r>
            <w:r w:rsidR="00293DDA" w:rsidRPr="00BD295E">
              <w:rPr>
                <w:rFonts w:ascii="Arial" w:hAnsi="Arial" w:cs="Arial"/>
                <w:iCs/>
                <w:sz w:val="18"/>
                <w:szCs w:val="18"/>
                <w:lang w:val="en-US"/>
              </w:rPr>
              <w:t>OJSC “</w:t>
            </w:r>
            <w:r w:rsidRPr="00BD295E">
              <w:rPr>
                <w:rFonts w:ascii="Arial" w:hAnsi="Arial" w:cs="Arial"/>
                <w:iCs/>
                <w:sz w:val="18"/>
                <w:szCs w:val="18"/>
                <w:lang w:val="en-US"/>
              </w:rPr>
              <w:t>FTC</w:t>
            </w:r>
            <w:r w:rsidR="00293DDA" w:rsidRPr="00BD295E">
              <w:rPr>
                <w:rFonts w:ascii="Arial" w:hAnsi="Arial" w:cs="Arial"/>
                <w:iCs/>
                <w:sz w:val="18"/>
                <w:szCs w:val="18"/>
                <w:lang w:val="en-US"/>
              </w:rPr>
              <w:t>”</w:t>
            </w:r>
            <w:r w:rsidRPr="00BD295E">
              <w:rPr>
                <w:rFonts w:ascii="Arial" w:hAnsi="Arial" w:cs="Arial"/>
                <w:iCs/>
                <w:sz w:val="18"/>
                <w:szCs w:val="18"/>
                <w:lang w:val="en-US"/>
              </w:rPr>
              <w:t>;</w:t>
            </w:r>
          </w:p>
          <w:p w14:paraId="7F43AAD0"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iCs/>
                <w:sz w:val="18"/>
                <w:szCs w:val="18"/>
                <w:lang w:val="en-US"/>
              </w:rPr>
              <w:t xml:space="preserve">Member of the Board of Directors of </w:t>
            </w:r>
            <w:r w:rsidR="00472677" w:rsidRPr="00BD295E">
              <w:rPr>
                <w:rFonts w:ascii="Arial" w:hAnsi="Arial" w:cs="Arial"/>
                <w:iCs/>
                <w:sz w:val="18"/>
                <w:szCs w:val="18"/>
                <w:lang w:val="en-US"/>
              </w:rPr>
              <w:t xml:space="preserve">“MOESK”, PJSC </w:t>
            </w:r>
            <w:r w:rsidRPr="00BD295E">
              <w:rPr>
                <w:rFonts w:ascii="Arial" w:hAnsi="Arial" w:cs="Arial"/>
                <w:iCs/>
                <w:sz w:val="18"/>
                <w:szCs w:val="18"/>
                <w:lang w:val="en-US"/>
              </w:rPr>
              <w:t>.</w:t>
            </w:r>
          </w:p>
        </w:tc>
      </w:tr>
    </w:tbl>
    <w:p w14:paraId="3FB5E477"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019914FD"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400A78CE"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6CC94CED"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Sergey Pikin</w:t>
            </w:r>
          </w:p>
        </w:tc>
      </w:tr>
      <w:tr w:rsidR="008A5057" w:rsidRPr="00BD295E" w14:paraId="00F13AB1"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8C6EF2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32D24CD8" w14:textId="0D3DA619" w:rsidR="00F3260C" w:rsidRPr="00BD295E" w:rsidRDefault="002C3947" w:rsidP="0031297B">
            <w:pPr>
              <w:snapToGrid w:val="0"/>
              <w:jc w:val="both"/>
              <w:rPr>
                <w:rFonts w:ascii="Arial" w:hAnsi="Arial" w:cs="Arial"/>
                <w:sz w:val="18"/>
                <w:szCs w:val="18"/>
                <w:lang w:val="en-US"/>
              </w:rPr>
            </w:pPr>
            <w:r w:rsidRPr="00BD295E">
              <w:rPr>
                <w:rFonts w:ascii="Arial" w:hAnsi="Arial" w:cs="Arial"/>
                <w:sz w:val="18"/>
                <w:szCs w:val="18"/>
                <w:lang w:val="en-US"/>
              </w:rPr>
              <w:t>Member of</w:t>
            </w:r>
            <w:r w:rsidR="008A5057" w:rsidRPr="00BD295E">
              <w:rPr>
                <w:rFonts w:ascii="Arial" w:hAnsi="Arial" w:cs="Arial"/>
                <w:sz w:val="18"/>
                <w:szCs w:val="18"/>
                <w:lang w:val="en-US"/>
              </w:rPr>
              <w:t xml:space="preserve"> the Company’s Board of Directors, </w:t>
            </w:r>
          </w:p>
          <w:p w14:paraId="48DAC1F3"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Chairman of the Audit Committee of the Company’s Board of Directors</w:t>
            </w:r>
          </w:p>
          <w:p w14:paraId="0B4F6C0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Chairman of the Strategy and Development Committee of the Company’s Board of Directors</w:t>
            </w:r>
          </w:p>
        </w:tc>
      </w:tr>
      <w:tr w:rsidR="008A5057" w:rsidRPr="00BD295E" w14:paraId="16B08988"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165577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67D94ECA"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sz w:val="18"/>
                <w:szCs w:val="18"/>
                <w:lang w:val="en-US"/>
              </w:rPr>
              <w:t>1979 Russian Federation</w:t>
            </w:r>
          </w:p>
        </w:tc>
      </w:tr>
      <w:tr w:rsidR="008A5057" w:rsidRPr="00BD295E" w14:paraId="6AF7F4A9"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0D98DA56"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3BFCC3FF"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June 14, 2017.</w:t>
            </w:r>
          </w:p>
        </w:tc>
      </w:tr>
      <w:tr w:rsidR="008A5057" w:rsidRPr="00BD295E" w14:paraId="5FE6F469"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571EE3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3ECD2A92"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Higher education. Economic Department of  Moscow Lomonosov State University</w:t>
            </w:r>
          </w:p>
        </w:tc>
      </w:tr>
      <w:tr w:rsidR="008A5057" w:rsidRPr="00BD295E" w14:paraId="134838B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A3B4406"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0EAD78E4" w14:textId="0931BAA0" w:rsidR="00F3260C" w:rsidRPr="00BD295E" w:rsidRDefault="008A5057" w:rsidP="0031297B">
            <w:pPr>
              <w:jc w:val="both"/>
              <w:rPr>
                <w:rFonts w:ascii="Arial" w:hAnsi="Arial" w:cs="Arial"/>
                <w:iCs/>
                <w:sz w:val="18"/>
                <w:szCs w:val="18"/>
                <w:lang w:val="en-US"/>
              </w:rPr>
            </w:pPr>
            <w:r w:rsidRPr="00BD295E">
              <w:rPr>
                <w:rFonts w:ascii="Arial" w:hAnsi="Arial" w:cs="Arial"/>
                <w:iCs/>
                <w:sz w:val="18"/>
                <w:szCs w:val="18"/>
                <w:lang w:val="en-US"/>
              </w:rPr>
              <w:t xml:space="preserve">2017 to date – </w:t>
            </w:r>
            <w:r w:rsidR="002C3947" w:rsidRPr="00BD295E">
              <w:rPr>
                <w:rFonts w:ascii="Arial" w:hAnsi="Arial" w:cs="Arial"/>
                <w:iCs/>
                <w:sz w:val="18"/>
                <w:szCs w:val="18"/>
                <w:lang w:val="en-US"/>
              </w:rPr>
              <w:t>Member of</w:t>
            </w:r>
            <w:r w:rsidRPr="00BD295E">
              <w:rPr>
                <w:rFonts w:ascii="Arial" w:hAnsi="Arial" w:cs="Arial"/>
                <w:iCs/>
                <w:sz w:val="18"/>
                <w:szCs w:val="18"/>
                <w:lang w:val="en-US"/>
              </w:rPr>
              <w:t xml:space="preserve"> the Company’s Board of Directors</w:t>
            </w:r>
          </w:p>
          <w:p w14:paraId="30038D15" w14:textId="77777777" w:rsidR="00F3260C" w:rsidRPr="00BD295E" w:rsidRDefault="008A5057" w:rsidP="0031297B">
            <w:pPr>
              <w:jc w:val="both"/>
              <w:rPr>
                <w:rFonts w:ascii="Arial" w:hAnsi="Arial" w:cs="Arial"/>
                <w:iCs/>
                <w:sz w:val="18"/>
                <w:szCs w:val="18"/>
                <w:lang w:val="en-US"/>
              </w:rPr>
            </w:pPr>
            <w:r w:rsidRPr="00BD295E">
              <w:rPr>
                <w:rFonts w:ascii="Arial" w:hAnsi="Arial" w:cs="Arial"/>
                <w:iCs/>
                <w:sz w:val="18"/>
                <w:szCs w:val="18"/>
                <w:lang w:val="en-US"/>
              </w:rPr>
              <w:t xml:space="preserve">2007 to date – Director of the Energy Development Fund </w:t>
            </w:r>
          </w:p>
        </w:tc>
      </w:tr>
      <w:tr w:rsidR="008A5057" w:rsidRPr="00BD295E" w14:paraId="5781068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4B3C4E0"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0F94B8C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r w:rsidR="008A5057" w:rsidRPr="00BD295E" w14:paraId="23584C6E"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0BE536C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737324D1" w14:textId="77777777" w:rsidR="00F3260C" w:rsidRPr="00BD295E" w:rsidRDefault="008A5057" w:rsidP="0031297B">
            <w:pPr>
              <w:jc w:val="both"/>
              <w:rPr>
                <w:rFonts w:ascii="Arial" w:hAnsi="Arial" w:cs="Arial"/>
                <w:sz w:val="18"/>
                <w:szCs w:val="18"/>
                <w:lang w:val="en-US"/>
              </w:rPr>
            </w:pPr>
            <w:r w:rsidRPr="00BD295E">
              <w:rPr>
                <w:rFonts w:ascii="Arial" w:hAnsi="Arial" w:cs="Arial"/>
                <w:iCs/>
                <w:sz w:val="18"/>
                <w:szCs w:val="18"/>
                <w:lang w:val="en-US"/>
              </w:rPr>
              <w:t>Director of the Energy Development Fund.</w:t>
            </w:r>
          </w:p>
        </w:tc>
      </w:tr>
    </w:tbl>
    <w:p w14:paraId="0D78DE06"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17B66727"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70EA3949"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64A48CB2" w14:textId="77777777" w:rsidR="00F3260C" w:rsidRPr="00BD295E" w:rsidRDefault="008A5057" w:rsidP="0031297B">
            <w:pPr>
              <w:snapToGrid w:val="0"/>
              <w:jc w:val="both"/>
              <w:rPr>
                <w:rFonts w:ascii="Arial" w:hAnsi="Arial" w:cs="Arial"/>
                <w:b/>
                <w:i/>
                <w:sz w:val="18"/>
                <w:szCs w:val="18"/>
                <w:lang w:val="en-US"/>
              </w:rPr>
            </w:pPr>
            <w:r w:rsidRPr="00BD295E">
              <w:rPr>
                <w:rStyle w:val="Subst0"/>
                <w:rFonts w:ascii="Arial" w:hAnsi="Arial" w:cs="Arial"/>
                <w:i w:val="0"/>
                <w:sz w:val="18"/>
                <w:szCs w:val="18"/>
                <w:lang w:val="en-US"/>
              </w:rPr>
              <w:t>Daniil Krainsky</w:t>
            </w:r>
          </w:p>
        </w:tc>
      </w:tr>
      <w:tr w:rsidR="008A5057" w:rsidRPr="00BD295E" w14:paraId="7EFE16A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B9FF884"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530DC661" w14:textId="04362DF9" w:rsidR="00F3260C" w:rsidRPr="00BD295E" w:rsidRDefault="007F4315" w:rsidP="0031297B">
            <w:pPr>
              <w:snapToGrid w:val="0"/>
              <w:jc w:val="both"/>
              <w:rPr>
                <w:rFonts w:ascii="Arial" w:hAnsi="Arial" w:cs="Arial"/>
                <w:sz w:val="18"/>
                <w:szCs w:val="18"/>
                <w:lang w:val="en-US"/>
              </w:rPr>
            </w:pPr>
            <w:r w:rsidRPr="00BD295E">
              <w:rPr>
                <w:rFonts w:ascii="Arial" w:hAnsi="Arial" w:cs="Arial"/>
                <w:sz w:val="18"/>
                <w:szCs w:val="18"/>
                <w:lang w:val="en-US"/>
              </w:rPr>
              <w:t>Member</w:t>
            </w:r>
            <w:r w:rsidR="008A5057" w:rsidRPr="00BD295E">
              <w:rPr>
                <w:rFonts w:ascii="Arial" w:hAnsi="Arial" w:cs="Arial"/>
                <w:sz w:val="18"/>
                <w:szCs w:val="18"/>
                <w:lang w:val="en-US"/>
              </w:rPr>
              <w:t xml:space="preserve"> of the Company’s Board of Directors,</w:t>
            </w:r>
          </w:p>
          <w:p w14:paraId="52805CB1"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Chairman of the Audit Committee of the Company’s Board of Directors</w:t>
            </w:r>
          </w:p>
          <w:p w14:paraId="2170C9E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Deputy CEO for Legal and Corporate Governance.</w:t>
            </w:r>
          </w:p>
        </w:tc>
      </w:tr>
      <w:tr w:rsidR="008A5057" w:rsidRPr="00BD295E" w14:paraId="7F3716F6"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4B7006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2B97F24C"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sz w:val="18"/>
                <w:szCs w:val="18"/>
                <w:lang w:val="en-US"/>
              </w:rPr>
              <w:t>1979 Russian Federation</w:t>
            </w:r>
          </w:p>
        </w:tc>
      </w:tr>
      <w:tr w:rsidR="008A5057" w:rsidRPr="00BD295E" w14:paraId="7B4CAC0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F78D4E6"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598C6D5F"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February 5, 2018</w:t>
            </w:r>
          </w:p>
        </w:tc>
      </w:tr>
      <w:tr w:rsidR="008A5057" w:rsidRPr="00BD295E" w14:paraId="65A47CB8"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771670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648B797F"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Higher education. Moscow State Law Academy (2002),</w:t>
            </w:r>
          </w:p>
          <w:p w14:paraId="55C0EF2D"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majoring in Jurisprudence</w:t>
            </w:r>
          </w:p>
        </w:tc>
      </w:tr>
      <w:tr w:rsidR="008A5057" w:rsidRPr="00BD295E" w14:paraId="242C7448"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25183D8"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3C3BEFFA" w14:textId="1078857F" w:rsidR="00F3260C" w:rsidRPr="00BD295E" w:rsidRDefault="008A5057" w:rsidP="0031297B">
            <w:pPr>
              <w:jc w:val="both"/>
              <w:rPr>
                <w:rFonts w:ascii="Arial" w:hAnsi="Arial" w:cs="Arial"/>
                <w:iCs/>
                <w:sz w:val="18"/>
                <w:szCs w:val="18"/>
                <w:lang w:val="en-US"/>
              </w:rPr>
            </w:pPr>
            <w:r w:rsidRPr="00BD295E">
              <w:rPr>
                <w:rFonts w:ascii="Arial" w:hAnsi="Arial" w:cs="Arial"/>
                <w:sz w:val="18"/>
                <w:szCs w:val="18"/>
                <w:lang w:val="en-US"/>
              </w:rPr>
              <w:t>2018 to date</w:t>
            </w:r>
            <w:r w:rsidRPr="00BD295E">
              <w:rPr>
                <w:rFonts w:ascii="Arial" w:hAnsi="Arial" w:cs="Arial"/>
                <w:iCs/>
                <w:sz w:val="18"/>
                <w:szCs w:val="18"/>
                <w:lang w:val="en-US"/>
              </w:rPr>
              <w:t xml:space="preserve"> </w:t>
            </w:r>
            <w:r w:rsidRPr="00BD295E">
              <w:rPr>
                <w:rFonts w:ascii="Arial" w:hAnsi="Arial" w:cs="Arial"/>
                <w:sz w:val="18"/>
                <w:szCs w:val="18"/>
                <w:lang w:val="en-US"/>
              </w:rPr>
              <w:t xml:space="preserve">–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6272230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2018 to date</w:t>
            </w:r>
            <w:r w:rsidRPr="00BD295E">
              <w:rPr>
                <w:rFonts w:ascii="Arial" w:hAnsi="Arial" w:cs="Arial"/>
                <w:iCs/>
                <w:sz w:val="18"/>
                <w:szCs w:val="18"/>
                <w:lang w:val="en-US"/>
              </w:rPr>
              <w:t xml:space="preserve"> </w:t>
            </w:r>
            <w:r w:rsidRPr="00BD295E">
              <w:rPr>
                <w:rFonts w:ascii="Arial" w:hAnsi="Arial" w:cs="Arial"/>
                <w:sz w:val="18"/>
                <w:szCs w:val="18"/>
                <w:lang w:val="en-US"/>
              </w:rPr>
              <w:t xml:space="preserve">– Acting Deputy CEO for Legal and Corporate Governance of </w:t>
            </w:r>
            <w:r w:rsidR="00EE5753" w:rsidRPr="00BD295E">
              <w:rPr>
                <w:rFonts w:ascii="Arial" w:hAnsi="Arial" w:cs="Arial"/>
                <w:sz w:val="18"/>
                <w:szCs w:val="18"/>
                <w:lang w:val="en-US"/>
              </w:rPr>
              <w:t>PJSC “Lenenergo”</w:t>
            </w:r>
            <w:r w:rsidRPr="00BD295E">
              <w:rPr>
                <w:rStyle w:val="FontStyle20"/>
                <w:rFonts w:ascii="Arial" w:hAnsi="Arial" w:cs="Arial"/>
                <w:sz w:val="18"/>
                <w:szCs w:val="18"/>
                <w:lang w:val="en-US"/>
              </w:rPr>
              <w:t>;</w:t>
            </w:r>
          </w:p>
          <w:p w14:paraId="4FB7DD1A" w14:textId="5FBB5E39" w:rsidR="00F3260C" w:rsidRPr="00BD295E" w:rsidRDefault="008A5057" w:rsidP="0031297B">
            <w:pPr>
              <w:jc w:val="both"/>
              <w:rPr>
                <w:rFonts w:ascii="Arial" w:hAnsi="Arial" w:cs="Arial"/>
                <w:iCs/>
                <w:sz w:val="18"/>
                <w:szCs w:val="18"/>
                <w:lang w:val="en-US"/>
              </w:rPr>
            </w:pPr>
            <w:r w:rsidRPr="00BD295E">
              <w:rPr>
                <w:rFonts w:ascii="Arial" w:hAnsi="Arial" w:cs="Arial"/>
                <w:sz w:val="18"/>
                <w:szCs w:val="18"/>
                <w:lang w:val="en-US"/>
              </w:rPr>
              <w:t>2017 to date</w:t>
            </w:r>
            <w:r w:rsidRPr="00BD295E">
              <w:rPr>
                <w:rFonts w:ascii="Arial" w:hAnsi="Arial" w:cs="Arial"/>
                <w:iCs/>
                <w:sz w:val="18"/>
                <w:szCs w:val="18"/>
                <w:lang w:val="en-US"/>
              </w:rPr>
              <w:t xml:space="preserve"> </w:t>
            </w:r>
            <w:r w:rsidRPr="00BD295E">
              <w:rPr>
                <w:rFonts w:ascii="Arial" w:hAnsi="Arial" w:cs="Arial"/>
                <w:sz w:val="18"/>
                <w:szCs w:val="18"/>
                <w:lang w:val="en-US"/>
              </w:rPr>
              <w:t xml:space="preserve">– Advisor, Chief Advisor </w:t>
            </w:r>
            <w:r w:rsidR="002C3947" w:rsidRPr="00BD295E">
              <w:rPr>
                <w:rFonts w:ascii="Arial" w:hAnsi="Arial" w:cs="Arial"/>
                <w:sz w:val="18"/>
                <w:szCs w:val="18"/>
                <w:lang w:val="en-US"/>
              </w:rPr>
              <w:t>at PJSC</w:t>
            </w:r>
            <w:r w:rsidR="00BF106F" w:rsidRPr="00BD295E">
              <w:rPr>
                <w:rFonts w:ascii="Arial" w:hAnsi="Arial" w:cs="Arial"/>
                <w:sz w:val="18"/>
                <w:szCs w:val="18"/>
                <w:lang w:val="en-US"/>
              </w:rPr>
              <w:t xml:space="preserve"> “Rosseti”</w:t>
            </w:r>
            <w:r w:rsidRPr="00BD295E">
              <w:rPr>
                <w:rStyle w:val="FontStyle20"/>
                <w:rFonts w:ascii="Arial" w:hAnsi="Arial" w:cs="Arial"/>
                <w:sz w:val="18"/>
                <w:szCs w:val="18"/>
                <w:lang w:val="en-US"/>
              </w:rPr>
              <w:t>;</w:t>
            </w:r>
          </w:p>
          <w:p w14:paraId="5BAA0270" w14:textId="77777777" w:rsidR="00F3260C" w:rsidRPr="00BD295E" w:rsidRDefault="008A5057" w:rsidP="0031297B">
            <w:pPr>
              <w:jc w:val="both"/>
              <w:rPr>
                <w:rFonts w:ascii="Arial" w:hAnsi="Arial" w:cs="Arial"/>
                <w:iCs/>
                <w:sz w:val="18"/>
                <w:szCs w:val="18"/>
                <w:lang w:val="en-US"/>
              </w:rPr>
            </w:pPr>
            <w:r w:rsidRPr="00BD295E">
              <w:rPr>
                <w:rFonts w:ascii="Arial" w:hAnsi="Arial" w:cs="Arial"/>
                <w:sz w:val="18"/>
                <w:szCs w:val="18"/>
                <w:lang w:val="en-US"/>
              </w:rPr>
              <w:t xml:space="preserve">2011 – 2017 – First Deputy CEO, Deputy CEO of </w:t>
            </w:r>
            <w:r w:rsidR="00293DDA" w:rsidRPr="00BD295E">
              <w:rPr>
                <w:rFonts w:ascii="Arial" w:hAnsi="Arial" w:cs="Arial"/>
                <w:sz w:val="18"/>
                <w:szCs w:val="18"/>
                <w:lang w:val="en-US"/>
              </w:rPr>
              <w:t>OJSC “UNECO”</w:t>
            </w:r>
            <w:r w:rsidRPr="00BD295E">
              <w:rPr>
                <w:rFonts w:ascii="Arial" w:hAnsi="Arial" w:cs="Arial"/>
                <w:sz w:val="18"/>
                <w:szCs w:val="18"/>
                <w:lang w:val="en-US"/>
              </w:rPr>
              <w:t>.</w:t>
            </w:r>
          </w:p>
        </w:tc>
      </w:tr>
      <w:tr w:rsidR="008A5057" w:rsidRPr="00BD295E" w14:paraId="6018D283"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875AFB8"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35E2FD36"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r w:rsidR="008A5057" w:rsidRPr="00BD295E" w14:paraId="570A8E1A"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3350D9E3"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3FC39B54" w14:textId="6A4D1864" w:rsidR="00922D8A" w:rsidRPr="00BD295E" w:rsidRDefault="008A5057" w:rsidP="00922D8A">
            <w:pPr>
              <w:jc w:val="both"/>
              <w:rPr>
                <w:rFonts w:ascii="Arial" w:hAnsi="Arial" w:cs="Arial"/>
                <w:iCs/>
                <w:sz w:val="18"/>
                <w:szCs w:val="18"/>
                <w:lang w:val="en-US"/>
              </w:rPr>
            </w:pPr>
            <w:r w:rsidRPr="00BD295E">
              <w:rPr>
                <w:rFonts w:ascii="Arial" w:hAnsi="Arial" w:cs="Arial"/>
                <w:sz w:val="18"/>
                <w:szCs w:val="18"/>
                <w:lang w:val="en-US"/>
              </w:rPr>
              <w:t xml:space="preserve"> – Advisor, Chief Advisor </w:t>
            </w:r>
            <w:r w:rsidR="002C3947" w:rsidRPr="00BD295E">
              <w:rPr>
                <w:rFonts w:ascii="Arial" w:hAnsi="Arial" w:cs="Arial"/>
                <w:sz w:val="18"/>
                <w:szCs w:val="18"/>
                <w:lang w:val="en-US"/>
              </w:rPr>
              <w:t>at PJSC</w:t>
            </w:r>
            <w:r w:rsidR="00BF106F" w:rsidRPr="00BD295E">
              <w:rPr>
                <w:rFonts w:ascii="Arial" w:hAnsi="Arial" w:cs="Arial"/>
                <w:sz w:val="18"/>
                <w:szCs w:val="18"/>
                <w:lang w:val="en-US"/>
              </w:rPr>
              <w:t xml:space="preserve"> “Rosseti”</w:t>
            </w:r>
            <w:r w:rsidRPr="00BD295E">
              <w:rPr>
                <w:rStyle w:val="FontStyle20"/>
                <w:rFonts w:ascii="Arial" w:hAnsi="Arial" w:cs="Arial"/>
                <w:sz w:val="18"/>
                <w:szCs w:val="18"/>
                <w:lang w:val="en-US"/>
              </w:rPr>
              <w:t>;</w:t>
            </w:r>
          </w:p>
          <w:p w14:paraId="4E2AB264" w14:textId="77777777" w:rsidR="00922D8A"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Chairman of the Board of Directors of </w:t>
            </w:r>
            <w:r w:rsidR="006515AB" w:rsidRPr="00BD295E">
              <w:rPr>
                <w:rFonts w:ascii="Arial" w:hAnsi="Arial" w:cs="Arial"/>
                <w:sz w:val="18"/>
                <w:szCs w:val="18"/>
                <w:lang w:val="en-US"/>
              </w:rPr>
              <w:t>JSC “Lenenergo Energy Service Company”</w:t>
            </w:r>
            <w:r w:rsidRPr="00BD295E">
              <w:rPr>
                <w:rFonts w:ascii="Arial" w:hAnsi="Arial" w:cs="Arial"/>
                <w:sz w:val="18"/>
                <w:szCs w:val="18"/>
                <w:lang w:val="en-US"/>
              </w:rPr>
              <w:t>.</w:t>
            </w:r>
          </w:p>
        </w:tc>
      </w:tr>
    </w:tbl>
    <w:p w14:paraId="4AFA6B3D"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5D34B96F"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03F0DD4E"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4A669A27"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Andrey Bondarchuk</w:t>
            </w:r>
          </w:p>
        </w:tc>
      </w:tr>
      <w:tr w:rsidR="008A5057" w:rsidRPr="00BD295E" w14:paraId="7F3B9E0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ABACD6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7B67192C"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Member of the Company’s Board of Directors,</w:t>
            </w:r>
          </w:p>
          <w:p w14:paraId="3D3D99A2"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Chairman of the Audit Committee of the Company’s Board of Directors</w:t>
            </w:r>
          </w:p>
        </w:tc>
      </w:tr>
      <w:tr w:rsidR="008A5057" w:rsidRPr="00BD295E" w14:paraId="72FFCFB9"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2D29C1D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35FE2C8C"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1977</w:t>
            </w:r>
            <w:r w:rsidRPr="00BD295E">
              <w:rPr>
                <w:rStyle w:val="Subst0"/>
                <w:rFonts w:ascii="Arial" w:hAnsi="Arial" w:cs="Arial"/>
                <w:sz w:val="18"/>
                <w:szCs w:val="18"/>
                <w:lang w:val="en-US"/>
              </w:rPr>
              <w:t xml:space="preserve"> </w:t>
            </w:r>
            <w:r w:rsidRPr="00BD295E">
              <w:rPr>
                <w:rFonts w:ascii="Arial" w:hAnsi="Arial" w:cs="Arial"/>
                <w:sz w:val="18"/>
                <w:szCs w:val="18"/>
                <w:lang w:val="en-US"/>
              </w:rPr>
              <w:t>Russian Federation</w:t>
            </w:r>
          </w:p>
        </w:tc>
      </w:tr>
      <w:tr w:rsidR="008A5057" w:rsidRPr="00BD295E" w14:paraId="2CE3F455"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AD0D661"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18BD2FEA"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August 27, 2012.</w:t>
            </w:r>
          </w:p>
        </w:tc>
      </w:tr>
      <w:tr w:rsidR="008A5057" w:rsidRPr="00BD295E" w14:paraId="129C21C9"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0212FEE"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54388923" w14:textId="77777777" w:rsidR="00F3260C" w:rsidRPr="00BD295E" w:rsidRDefault="008A5057" w:rsidP="0031297B">
            <w:pPr>
              <w:rPr>
                <w:rStyle w:val="Subst0"/>
                <w:rFonts w:ascii="Arial" w:hAnsi="Arial" w:cs="Arial"/>
                <w:b w:val="0"/>
                <w:bCs/>
                <w:i w:val="0"/>
                <w:iCs/>
                <w:sz w:val="18"/>
                <w:szCs w:val="18"/>
                <w:lang w:val="en-US"/>
              </w:rPr>
            </w:pPr>
            <w:r w:rsidRPr="00BD295E">
              <w:rPr>
                <w:rStyle w:val="Subst0"/>
                <w:rFonts w:ascii="Arial" w:hAnsi="Arial" w:cs="Arial"/>
                <w:b w:val="0"/>
                <w:bCs/>
                <w:i w:val="0"/>
                <w:iCs/>
                <w:sz w:val="18"/>
                <w:szCs w:val="18"/>
                <w:lang w:val="en-US"/>
              </w:rPr>
              <w:t xml:space="preserve">Higher education. </w:t>
            </w:r>
            <w:r w:rsidRPr="00BD295E">
              <w:rPr>
                <w:rStyle w:val="Subst0"/>
                <w:rFonts w:ascii="Arial" w:hAnsi="Arial" w:cs="Arial"/>
                <w:b w:val="0"/>
                <w:i w:val="0"/>
                <w:sz w:val="18"/>
                <w:szCs w:val="18"/>
                <w:lang w:val="en-US"/>
              </w:rPr>
              <w:t>Saint Petersburg State Mining Institute, majoring in Power Supply of Enterprises (1999);</w:t>
            </w:r>
          </w:p>
          <w:p w14:paraId="17F1EF17" w14:textId="77777777" w:rsidR="00F3260C" w:rsidRPr="00BD295E" w:rsidRDefault="008A5057" w:rsidP="0031297B">
            <w:pPr>
              <w:rPr>
                <w:rStyle w:val="Subst0"/>
                <w:rFonts w:ascii="Arial" w:hAnsi="Arial" w:cs="Arial"/>
                <w:b w:val="0"/>
                <w:bCs/>
                <w:i w:val="0"/>
                <w:iCs/>
                <w:sz w:val="18"/>
                <w:szCs w:val="18"/>
                <w:lang w:val="en-US"/>
              </w:rPr>
            </w:pPr>
            <w:r w:rsidRPr="00BD295E">
              <w:rPr>
                <w:rStyle w:val="Subst0"/>
                <w:rFonts w:ascii="Arial" w:hAnsi="Arial" w:cs="Arial"/>
                <w:b w:val="0"/>
                <w:i w:val="0"/>
                <w:sz w:val="18"/>
                <w:szCs w:val="18"/>
                <w:lang w:val="en-US"/>
              </w:rPr>
              <w:t>Saint Petersburg State University, majoring in General Management (2006);</w:t>
            </w:r>
          </w:p>
          <w:p w14:paraId="376E03FF" w14:textId="77777777" w:rsidR="00F3260C" w:rsidRPr="00BD295E" w:rsidRDefault="008A5057" w:rsidP="0031297B">
            <w:pPr>
              <w:rPr>
                <w:rStyle w:val="Subst0"/>
                <w:rFonts w:ascii="Arial" w:hAnsi="Arial" w:cs="Arial"/>
                <w:b w:val="0"/>
                <w:i w:val="0"/>
                <w:sz w:val="18"/>
                <w:szCs w:val="18"/>
                <w:lang w:val="en-US"/>
              </w:rPr>
            </w:pPr>
            <w:r w:rsidRPr="00BD295E">
              <w:rPr>
                <w:rStyle w:val="Subst0"/>
                <w:rFonts w:ascii="Arial" w:hAnsi="Arial" w:cs="Arial"/>
                <w:b w:val="0"/>
                <w:bCs/>
                <w:i w:val="0"/>
                <w:iCs/>
                <w:sz w:val="18"/>
                <w:szCs w:val="18"/>
                <w:lang w:val="en-US"/>
              </w:rPr>
              <w:t>PhD in Engineering</w:t>
            </w:r>
          </w:p>
        </w:tc>
      </w:tr>
      <w:tr w:rsidR="008A5057" w:rsidRPr="00BD295E" w14:paraId="157A3C23"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0AC8CED3"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54B32DF9" w14:textId="621510F2"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2015 to date –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78F78192"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2013 to date Chairman of the Energy and Engineering Support Committee of Saint Petersburg;</w:t>
            </w:r>
          </w:p>
          <w:p w14:paraId="4A32AF41"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2006–2013 – Chairman of the Energy Committee of the Leningrad Region, Deputy Chairman of the Tariffs and Pricing Policy Committee of the Leningrad Region</w:t>
            </w:r>
          </w:p>
        </w:tc>
      </w:tr>
      <w:tr w:rsidR="008A5057" w:rsidRPr="00BD295E" w14:paraId="2AB09FB8"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0D61D74C"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7D8D2425"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None</w:t>
            </w:r>
          </w:p>
        </w:tc>
      </w:tr>
      <w:tr w:rsidR="008A5057" w:rsidRPr="00BD295E" w14:paraId="7CA49206"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54EC2E7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03C02052"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Chairman of the Energy and Engineering Support Committee of Saint Petersburg.</w:t>
            </w:r>
          </w:p>
        </w:tc>
      </w:tr>
    </w:tbl>
    <w:p w14:paraId="5082DEC6"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6640DDDD"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47A92FAA"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40966F83"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Sergey Miloslavsky</w:t>
            </w:r>
          </w:p>
        </w:tc>
      </w:tr>
      <w:tr w:rsidR="008A5057" w:rsidRPr="00BD295E" w14:paraId="58786684"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18C48FD"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5DD90CB7"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Member of the Company’s Board of Directors,</w:t>
            </w:r>
          </w:p>
          <w:p w14:paraId="6AC9BD84"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Chairman of the Strategy and Development Committee of the Company’s Board of Directors</w:t>
            </w:r>
          </w:p>
        </w:tc>
      </w:tr>
      <w:tr w:rsidR="008A5057" w:rsidRPr="00BD295E" w14:paraId="66D89E7A"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E01AFA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41BC10AD"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1960</w:t>
            </w:r>
            <w:r w:rsidRPr="00BD295E">
              <w:rPr>
                <w:rStyle w:val="Subst0"/>
                <w:rFonts w:ascii="Arial" w:hAnsi="Arial" w:cs="Arial"/>
                <w:sz w:val="18"/>
                <w:szCs w:val="18"/>
                <w:lang w:val="en-US"/>
              </w:rPr>
              <w:t xml:space="preserve"> </w:t>
            </w:r>
            <w:r w:rsidRPr="00BD295E">
              <w:rPr>
                <w:rFonts w:ascii="Arial" w:hAnsi="Arial" w:cs="Arial"/>
                <w:sz w:val="18"/>
                <w:szCs w:val="18"/>
                <w:lang w:val="en-US"/>
              </w:rPr>
              <w:t xml:space="preserve"> Russian Federation</w:t>
            </w:r>
          </w:p>
        </w:tc>
      </w:tr>
      <w:tr w:rsidR="008A5057" w:rsidRPr="00BD295E" w14:paraId="5832422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F44A22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270DD1B1"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June 8, 2018.</w:t>
            </w:r>
          </w:p>
        </w:tc>
      </w:tr>
      <w:tr w:rsidR="008A5057" w:rsidRPr="00BD295E" w14:paraId="269319D9"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B1FA2C3"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27B3E437" w14:textId="77777777" w:rsidR="00F3260C" w:rsidRPr="00BD295E" w:rsidRDefault="008A5057" w:rsidP="0031297B">
            <w:pPr>
              <w:rPr>
                <w:rFonts w:ascii="Arial" w:hAnsi="Arial" w:cs="Arial"/>
                <w:sz w:val="18"/>
                <w:szCs w:val="18"/>
                <w:lang w:val="en-US"/>
              </w:rPr>
            </w:pPr>
            <w:r w:rsidRPr="00BD295E">
              <w:rPr>
                <w:rStyle w:val="Subst0"/>
                <w:rFonts w:ascii="Arial" w:hAnsi="Arial" w:cs="Arial"/>
                <w:b w:val="0"/>
                <w:bCs/>
                <w:i w:val="0"/>
                <w:iCs/>
                <w:sz w:val="18"/>
                <w:szCs w:val="18"/>
                <w:lang w:val="en-US"/>
              </w:rPr>
              <w:t>Higher education.</w:t>
            </w:r>
            <w:r w:rsidRPr="00BD295E">
              <w:rPr>
                <w:rStyle w:val="Subst0"/>
                <w:rFonts w:ascii="Arial" w:hAnsi="Arial" w:cs="Arial"/>
                <w:bCs/>
                <w:iCs/>
                <w:sz w:val="18"/>
                <w:szCs w:val="18"/>
                <w:lang w:val="en-US"/>
              </w:rPr>
              <w:t xml:space="preserve"> </w:t>
            </w:r>
            <w:r w:rsidRPr="00BD295E">
              <w:rPr>
                <w:rFonts w:ascii="Arial" w:hAnsi="Arial" w:cs="Arial"/>
                <w:sz w:val="18"/>
                <w:szCs w:val="18"/>
                <w:lang w:val="en-US"/>
              </w:rPr>
              <w:t>Leningrad Polytechnic Institute (1983), majoring in Hydraulic Machinery and Automation Devices;</w:t>
            </w:r>
          </w:p>
          <w:p w14:paraId="3B46CF7F" w14:textId="77777777" w:rsidR="00F3260C" w:rsidRPr="00BD295E" w:rsidRDefault="008A5057" w:rsidP="0031297B">
            <w:pPr>
              <w:rPr>
                <w:rStyle w:val="Subst0"/>
                <w:rFonts w:ascii="Arial" w:hAnsi="Arial" w:cs="Arial"/>
                <w:b w:val="0"/>
                <w:i w:val="0"/>
                <w:sz w:val="18"/>
                <w:szCs w:val="18"/>
                <w:lang w:val="en-US"/>
              </w:rPr>
            </w:pPr>
            <w:r w:rsidRPr="00BD295E">
              <w:rPr>
                <w:rFonts w:ascii="Arial" w:hAnsi="Arial" w:cs="Arial"/>
                <w:sz w:val="18"/>
                <w:szCs w:val="18"/>
                <w:lang w:val="en-US"/>
              </w:rPr>
              <w:t>PhD in Economics.</w:t>
            </w:r>
          </w:p>
        </w:tc>
      </w:tr>
      <w:tr w:rsidR="008A5057" w:rsidRPr="00BD295E" w14:paraId="115DC927"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453641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3E337A0E" w14:textId="61B3CA0B"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2018 to date –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57DE51D0"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2017 to date – Deputy CEO at </w:t>
            </w:r>
            <w:r w:rsidR="00293DDA" w:rsidRPr="00BD295E">
              <w:rPr>
                <w:rFonts w:ascii="Arial" w:hAnsi="Arial" w:cs="Arial"/>
                <w:sz w:val="18"/>
                <w:szCs w:val="18"/>
                <w:lang w:val="en-US"/>
              </w:rPr>
              <w:t>OJSC “Metrostroy”</w:t>
            </w:r>
            <w:r w:rsidRPr="00BD295E">
              <w:rPr>
                <w:rFonts w:ascii="Arial" w:hAnsi="Arial" w:cs="Arial"/>
                <w:sz w:val="18"/>
                <w:szCs w:val="18"/>
                <w:lang w:val="en-US"/>
              </w:rPr>
              <w:t>;</w:t>
            </w:r>
          </w:p>
          <w:p w14:paraId="06F57387"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2016–2017 – Deputy Managing Director of Saint Petersburg State Public Institution </w:t>
            </w:r>
            <w:r w:rsidRPr="00BD295E">
              <w:rPr>
                <w:rFonts w:ascii="Arial" w:hAnsi="Arial" w:cs="Arial"/>
                <w:i/>
                <w:iCs/>
                <w:sz w:val="18"/>
                <w:szCs w:val="18"/>
                <w:lang w:val="en-US"/>
              </w:rPr>
              <w:t>Capital Construction and Renovation Fund</w:t>
            </w:r>
          </w:p>
        </w:tc>
      </w:tr>
      <w:tr w:rsidR="008A5057" w:rsidRPr="00BD295E" w14:paraId="1B8AC453"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5FA9F1B"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0AB6A2A8"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None</w:t>
            </w:r>
          </w:p>
        </w:tc>
      </w:tr>
      <w:tr w:rsidR="008A5057" w:rsidRPr="00BD295E" w14:paraId="42CB7AB4"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359A6DF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007926A0"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Deputy CEO at </w:t>
            </w:r>
            <w:r w:rsidR="00293DDA" w:rsidRPr="00BD295E">
              <w:rPr>
                <w:rFonts w:ascii="Arial" w:hAnsi="Arial" w:cs="Arial"/>
                <w:sz w:val="18"/>
                <w:szCs w:val="18"/>
                <w:lang w:val="en-US"/>
              </w:rPr>
              <w:t>OJSC “Metrostroy”</w:t>
            </w:r>
          </w:p>
        </w:tc>
      </w:tr>
    </w:tbl>
    <w:p w14:paraId="132F162C"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4FFA5E44"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10725F91"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0EC8FF64"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Olga Kolesnikova</w:t>
            </w:r>
          </w:p>
        </w:tc>
      </w:tr>
      <w:tr w:rsidR="008A5057" w:rsidRPr="00BD295E" w14:paraId="5727B8A5"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2FF46B8"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2648EFE4"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Member of the Company’s Board of Directors,</w:t>
            </w:r>
          </w:p>
        </w:tc>
      </w:tr>
      <w:tr w:rsidR="008A5057" w:rsidRPr="00BD295E" w14:paraId="1AF955FF"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29E38256"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180BE267"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1958</w:t>
            </w:r>
            <w:r w:rsidRPr="00BD295E">
              <w:rPr>
                <w:rStyle w:val="Subst0"/>
                <w:rFonts w:ascii="Arial" w:hAnsi="Arial" w:cs="Arial"/>
                <w:sz w:val="18"/>
                <w:szCs w:val="18"/>
                <w:lang w:val="en-US"/>
              </w:rPr>
              <w:t xml:space="preserve"> </w:t>
            </w:r>
            <w:r w:rsidRPr="00BD295E">
              <w:rPr>
                <w:rFonts w:ascii="Arial" w:hAnsi="Arial" w:cs="Arial"/>
                <w:sz w:val="18"/>
                <w:szCs w:val="18"/>
                <w:lang w:val="en-US"/>
              </w:rPr>
              <w:t xml:space="preserve"> Russian Federation</w:t>
            </w:r>
          </w:p>
        </w:tc>
      </w:tr>
      <w:tr w:rsidR="008A5057" w:rsidRPr="00BD295E" w14:paraId="523A480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A64E38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3B79FF0C"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August 29, 2016.</w:t>
            </w:r>
          </w:p>
        </w:tc>
      </w:tr>
      <w:tr w:rsidR="008A5057" w:rsidRPr="00BD295E" w14:paraId="7EC47E59"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20E8FD4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25490EAB" w14:textId="77777777" w:rsidR="00F3260C" w:rsidRPr="00BD295E" w:rsidRDefault="008A5057" w:rsidP="0031297B">
            <w:pPr>
              <w:rPr>
                <w:rStyle w:val="Subst0"/>
                <w:rFonts w:ascii="Arial" w:hAnsi="Arial" w:cs="Arial"/>
                <w:b w:val="0"/>
                <w:sz w:val="18"/>
                <w:szCs w:val="18"/>
                <w:lang w:val="en-US"/>
              </w:rPr>
            </w:pPr>
            <w:r w:rsidRPr="00BD295E">
              <w:rPr>
                <w:rStyle w:val="Subst0"/>
                <w:rFonts w:ascii="Arial" w:hAnsi="Arial" w:cs="Arial"/>
                <w:b w:val="0"/>
                <w:bCs/>
                <w:i w:val="0"/>
                <w:iCs/>
                <w:sz w:val="18"/>
                <w:szCs w:val="18"/>
                <w:lang w:val="en-US"/>
              </w:rPr>
              <w:t>Higher education.</w:t>
            </w:r>
            <w:r w:rsidRPr="00BD295E">
              <w:rPr>
                <w:rStyle w:val="Subst0"/>
                <w:rFonts w:ascii="Arial" w:hAnsi="Arial" w:cs="Arial"/>
                <w:bCs/>
                <w:iCs/>
                <w:sz w:val="18"/>
                <w:szCs w:val="18"/>
                <w:lang w:val="en-US"/>
              </w:rPr>
              <w:t xml:space="preserve"> </w:t>
            </w:r>
            <w:r w:rsidRPr="00BD295E">
              <w:rPr>
                <w:rFonts w:ascii="Arial" w:hAnsi="Arial" w:cs="Arial"/>
                <w:sz w:val="18"/>
                <w:szCs w:val="18"/>
                <w:lang w:val="en-US"/>
              </w:rPr>
              <w:t>Alma-Ata Institute of the National Economy (1983)</w:t>
            </w:r>
          </w:p>
        </w:tc>
      </w:tr>
      <w:tr w:rsidR="008A5057" w:rsidRPr="00BD295E" w14:paraId="7BEC3E1E"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330206E"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7858FECA" w14:textId="1CBF8B15"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2016 to date –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09337BA1" w14:textId="77777777" w:rsidR="00F3260C" w:rsidRPr="00BD295E" w:rsidRDefault="008A5057" w:rsidP="0031297B">
            <w:pPr>
              <w:shd w:val="clear" w:color="auto" w:fill="FFFFFF"/>
              <w:autoSpaceDE w:val="0"/>
              <w:autoSpaceDN w:val="0"/>
              <w:adjustRightInd w:val="0"/>
              <w:jc w:val="both"/>
              <w:rPr>
                <w:rStyle w:val="description"/>
                <w:rFonts w:ascii="Arial" w:hAnsi="Arial" w:cs="Arial"/>
                <w:sz w:val="18"/>
                <w:szCs w:val="18"/>
                <w:lang w:val="en-US"/>
              </w:rPr>
            </w:pPr>
            <w:r w:rsidRPr="00BD295E">
              <w:rPr>
                <w:rFonts w:ascii="Arial" w:hAnsi="Arial" w:cs="Arial"/>
                <w:iCs/>
                <w:sz w:val="18"/>
                <w:szCs w:val="18"/>
                <w:lang w:val="en-US"/>
              </w:rPr>
              <w:t>2015</w:t>
            </w:r>
            <w:r w:rsidRPr="00BD295E">
              <w:rPr>
                <w:rFonts w:ascii="Arial" w:hAnsi="Arial" w:cs="Arial"/>
                <w:sz w:val="18"/>
                <w:szCs w:val="18"/>
                <w:lang w:val="en-US"/>
              </w:rPr>
              <w:t xml:space="preserve">–2019 – </w:t>
            </w:r>
            <w:r w:rsidRPr="00BD295E">
              <w:rPr>
                <w:rStyle w:val="description"/>
                <w:rFonts w:ascii="Arial" w:hAnsi="Arial" w:cs="Arial"/>
                <w:sz w:val="18"/>
                <w:szCs w:val="18"/>
                <w:lang w:val="en-US"/>
              </w:rPr>
              <w:t>First Deputy Chairman of the Energy and Engineering Support Committee of Saint Petersburg;</w:t>
            </w:r>
          </w:p>
          <w:p w14:paraId="171A86DD"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2012–2014 – Director of the Document Management and Organization Department of the Ministry of Regional Development of the Russian Federation;</w:t>
            </w:r>
          </w:p>
          <w:p w14:paraId="6FB488AD"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2010–2012 – Director of the Energy and Pricing Policy of the Administration of the Kostroma Region.</w:t>
            </w:r>
          </w:p>
        </w:tc>
      </w:tr>
      <w:tr w:rsidR="008A5057" w:rsidRPr="00BD295E" w14:paraId="1705789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1180D0B"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02B93A7D"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None</w:t>
            </w:r>
          </w:p>
        </w:tc>
      </w:tr>
      <w:tr w:rsidR="008A5057" w:rsidRPr="00BD295E" w14:paraId="0A6EC9D4"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47EF447E"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4123833E"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None</w:t>
            </w:r>
          </w:p>
        </w:tc>
      </w:tr>
    </w:tbl>
    <w:p w14:paraId="5741777F"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03800ED8"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059226CC"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52E7038D"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Gasan Safarov</w:t>
            </w:r>
          </w:p>
        </w:tc>
      </w:tr>
      <w:tr w:rsidR="008A5057" w:rsidRPr="00BD295E" w14:paraId="302350E5"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2C6270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66D4C223"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Member of the Company’s Board of Directors,</w:t>
            </w:r>
          </w:p>
          <w:p w14:paraId="0B289D32"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Chairman of the Audit Committee of the Company’s Board of Directors</w:t>
            </w:r>
          </w:p>
        </w:tc>
      </w:tr>
      <w:tr w:rsidR="008A5057" w:rsidRPr="00BD295E" w14:paraId="25628D07"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5E330D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07D5852C"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1964</w:t>
            </w:r>
            <w:r w:rsidRPr="00BD295E">
              <w:rPr>
                <w:rStyle w:val="Subst0"/>
                <w:rFonts w:ascii="Arial" w:hAnsi="Arial" w:cs="Arial"/>
                <w:sz w:val="18"/>
                <w:szCs w:val="18"/>
                <w:lang w:val="en-US"/>
              </w:rPr>
              <w:t xml:space="preserve"> </w:t>
            </w:r>
            <w:r w:rsidRPr="00BD295E">
              <w:rPr>
                <w:rFonts w:ascii="Arial" w:hAnsi="Arial" w:cs="Arial"/>
                <w:sz w:val="18"/>
                <w:szCs w:val="18"/>
                <w:lang w:val="en-US"/>
              </w:rPr>
              <w:t xml:space="preserve"> Russian Federation</w:t>
            </w:r>
          </w:p>
        </w:tc>
      </w:tr>
      <w:tr w:rsidR="008A5057" w:rsidRPr="00BD295E" w14:paraId="712FF02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0C9072E"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4B254E0C"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August 29, 2016.</w:t>
            </w:r>
          </w:p>
        </w:tc>
      </w:tr>
      <w:tr w:rsidR="008A5057" w:rsidRPr="00BD295E" w14:paraId="01F8B0D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71C370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70779F98" w14:textId="77777777" w:rsidR="00F3260C" w:rsidRPr="00BD295E" w:rsidRDefault="008A5057" w:rsidP="0031297B">
            <w:pPr>
              <w:rPr>
                <w:rFonts w:ascii="Arial" w:hAnsi="Arial" w:cs="Arial"/>
                <w:sz w:val="18"/>
                <w:szCs w:val="18"/>
                <w:lang w:val="en-US"/>
              </w:rPr>
            </w:pPr>
            <w:r w:rsidRPr="00BD295E">
              <w:rPr>
                <w:rStyle w:val="Subst0"/>
                <w:rFonts w:ascii="Arial" w:hAnsi="Arial" w:cs="Arial"/>
                <w:b w:val="0"/>
                <w:bCs/>
                <w:i w:val="0"/>
                <w:iCs/>
                <w:sz w:val="18"/>
                <w:szCs w:val="18"/>
                <w:lang w:val="en-US"/>
              </w:rPr>
              <w:t>Higher education.</w:t>
            </w:r>
            <w:r w:rsidRPr="00BD295E">
              <w:rPr>
                <w:rStyle w:val="Subst0"/>
                <w:rFonts w:ascii="Arial" w:hAnsi="Arial" w:cs="Arial"/>
                <w:bCs/>
                <w:iCs/>
                <w:sz w:val="18"/>
                <w:szCs w:val="18"/>
                <w:lang w:val="en-US"/>
              </w:rPr>
              <w:t xml:space="preserve"> </w:t>
            </w:r>
            <w:r w:rsidRPr="00BD295E">
              <w:rPr>
                <w:rFonts w:ascii="Arial" w:hAnsi="Arial" w:cs="Arial"/>
                <w:sz w:val="18"/>
                <w:szCs w:val="18"/>
                <w:lang w:val="en-US"/>
              </w:rPr>
              <w:t xml:space="preserve">Baku branch of Leningrad Voznesensky Financial and Economic Institute (1988);   </w:t>
            </w:r>
          </w:p>
          <w:p w14:paraId="38326FD3" w14:textId="77777777" w:rsidR="00F3260C" w:rsidRPr="00BD295E" w:rsidRDefault="008A5057" w:rsidP="0031297B">
            <w:pPr>
              <w:rPr>
                <w:rStyle w:val="Subst0"/>
                <w:rFonts w:ascii="Arial" w:hAnsi="Arial" w:cs="Arial"/>
                <w:b w:val="0"/>
                <w:sz w:val="18"/>
                <w:szCs w:val="18"/>
                <w:lang w:val="en-US"/>
              </w:rPr>
            </w:pPr>
            <w:r w:rsidRPr="00BD295E">
              <w:rPr>
                <w:rFonts w:ascii="Arial" w:hAnsi="Arial" w:cs="Arial"/>
                <w:sz w:val="18"/>
                <w:szCs w:val="18"/>
                <w:lang w:val="en-US"/>
              </w:rPr>
              <w:t xml:space="preserve">PhD in Economics, Professor </w:t>
            </w:r>
          </w:p>
        </w:tc>
      </w:tr>
      <w:tr w:rsidR="008A5057" w:rsidRPr="00BD295E" w14:paraId="4403B244"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CA4207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7F7F17BA" w14:textId="51D7ED9B"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2016 to date –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49BE33E1" w14:textId="77777777" w:rsidR="00F3260C" w:rsidRPr="00BD295E" w:rsidRDefault="008A5057" w:rsidP="0031297B">
            <w:pPr>
              <w:shd w:val="clear" w:color="auto" w:fill="FFFFFF"/>
              <w:autoSpaceDE w:val="0"/>
              <w:autoSpaceDN w:val="0"/>
              <w:adjustRightInd w:val="0"/>
              <w:jc w:val="both"/>
              <w:rPr>
                <w:rStyle w:val="description"/>
                <w:rFonts w:ascii="Arial" w:hAnsi="Arial" w:cs="Arial"/>
                <w:sz w:val="18"/>
                <w:szCs w:val="18"/>
                <w:lang w:val="en-US"/>
              </w:rPr>
            </w:pPr>
            <w:r w:rsidRPr="00BD295E">
              <w:rPr>
                <w:rFonts w:ascii="Arial" w:hAnsi="Arial" w:cs="Arial"/>
                <w:sz w:val="18"/>
                <w:szCs w:val="18"/>
                <w:lang w:val="en-US"/>
              </w:rPr>
              <w:t xml:space="preserve">2015 to date – </w:t>
            </w:r>
            <w:r w:rsidRPr="00BD295E">
              <w:rPr>
                <w:rStyle w:val="description"/>
                <w:rFonts w:ascii="Arial" w:hAnsi="Arial" w:cs="Arial"/>
                <w:sz w:val="18"/>
                <w:szCs w:val="18"/>
                <w:lang w:val="en-US"/>
              </w:rPr>
              <w:t>First Deputy Chairman of the Tariffs Committee of Saint Petersburg;</w:t>
            </w:r>
          </w:p>
          <w:p w14:paraId="20D91B94"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2002–2015 – </w:t>
            </w:r>
            <w:r w:rsidRPr="00BD295E">
              <w:rPr>
                <w:rStyle w:val="description"/>
                <w:rFonts w:ascii="Arial" w:hAnsi="Arial" w:cs="Arial"/>
                <w:sz w:val="18"/>
                <w:szCs w:val="18"/>
                <w:lang w:val="en-US"/>
              </w:rPr>
              <w:t>Deputy Chairman of the Tariffs Committee of Saint Petersburg</w:t>
            </w:r>
          </w:p>
        </w:tc>
      </w:tr>
      <w:tr w:rsidR="008A5057" w:rsidRPr="00BD295E" w14:paraId="1016924A"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CDAA8B4"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4B86DE9A"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None</w:t>
            </w:r>
          </w:p>
        </w:tc>
      </w:tr>
      <w:tr w:rsidR="008A5057" w:rsidRPr="00BD295E" w14:paraId="42C7E279"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4CF6DA4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3520B4E1"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description"/>
                <w:rFonts w:ascii="Arial" w:hAnsi="Arial" w:cs="Arial"/>
                <w:sz w:val="18"/>
                <w:szCs w:val="18"/>
                <w:lang w:val="en-US"/>
              </w:rPr>
              <w:t>Deputy Chairman of the Tariffs Committee of Saint Petersburg</w:t>
            </w:r>
          </w:p>
        </w:tc>
      </w:tr>
    </w:tbl>
    <w:p w14:paraId="0948016B"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5BABD16E"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2A6B27F6"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6BE8C3C8"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Lyudmila Solovyova</w:t>
            </w:r>
          </w:p>
        </w:tc>
      </w:tr>
      <w:tr w:rsidR="008A5057" w:rsidRPr="00BD295E" w14:paraId="2CEC300F"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98E59E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151ADC51"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Member of the Company’s Board of Directors,</w:t>
            </w:r>
          </w:p>
          <w:p w14:paraId="4282BF28"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Member of the Strategy and Development Committee of the Company’s Board of Directors</w:t>
            </w:r>
          </w:p>
        </w:tc>
      </w:tr>
      <w:tr w:rsidR="008A5057" w:rsidRPr="00BD295E" w14:paraId="36764DF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BFC70B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1E7CD7FA"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1958</w:t>
            </w:r>
            <w:r w:rsidRPr="00BD295E">
              <w:rPr>
                <w:rStyle w:val="Subst0"/>
                <w:rFonts w:ascii="Arial" w:hAnsi="Arial" w:cs="Arial"/>
                <w:sz w:val="18"/>
                <w:szCs w:val="18"/>
                <w:lang w:val="en-US"/>
              </w:rPr>
              <w:t xml:space="preserve"> </w:t>
            </w:r>
            <w:r w:rsidRPr="00BD295E">
              <w:rPr>
                <w:rFonts w:ascii="Arial" w:hAnsi="Arial" w:cs="Arial"/>
                <w:sz w:val="18"/>
                <w:szCs w:val="18"/>
                <w:lang w:val="en-US"/>
              </w:rPr>
              <w:t>Russian Federation</w:t>
            </w:r>
          </w:p>
        </w:tc>
      </w:tr>
      <w:tr w:rsidR="008A5057" w:rsidRPr="00BD295E" w14:paraId="78D84DA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39AB74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11760CDE"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August 29, 2016.</w:t>
            </w:r>
          </w:p>
        </w:tc>
      </w:tr>
      <w:tr w:rsidR="008A5057" w:rsidRPr="00BD295E" w14:paraId="6EDCEEC9"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D28EC6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4602A767" w14:textId="77777777" w:rsidR="00F3260C" w:rsidRPr="00BD295E" w:rsidRDefault="008A5057" w:rsidP="0031297B">
            <w:pPr>
              <w:rPr>
                <w:rStyle w:val="Subst0"/>
                <w:rFonts w:ascii="Arial" w:hAnsi="Arial" w:cs="Arial"/>
                <w:b w:val="0"/>
                <w:i w:val="0"/>
                <w:sz w:val="18"/>
                <w:szCs w:val="18"/>
                <w:lang w:val="en-US"/>
              </w:rPr>
            </w:pPr>
            <w:r w:rsidRPr="00BD295E">
              <w:rPr>
                <w:rStyle w:val="Subst0"/>
                <w:rFonts w:ascii="Arial" w:hAnsi="Arial" w:cs="Arial"/>
                <w:b w:val="0"/>
                <w:bCs/>
                <w:i w:val="0"/>
                <w:iCs/>
                <w:sz w:val="18"/>
                <w:szCs w:val="18"/>
                <w:lang w:val="en-US"/>
              </w:rPr>
              <w:t>Higher education.</w:t>
            </w:r>
            <w:r w:rsidRPr="00BD295E">
              <w:rPr>
                <w:rStyle w:val="Subst0"/>
                <w:rFonts w:ascii="Arial" w:hAnsi="Arial" w:cs="Arial"/>
                <w:bCs/>
                <w:iCs/>
                <w:sz w:val="18"/>
                <w:szCs w:val="18"/>
                <w:lang w:val="en-US"/>
              </w:rPr>
              <w:t xml:space="preserve"> </w:t>
            </w:r>
            <w:r w:rsidRPr="00BD295E">
              <w:rPr>
                <w:rFonts w:ascii="Arial" w:hAnsi="Arial" w:cs="Arial"/>
                <w:sz w:val="18"/>
                <w:szCs w:val="18"/>
                <w:lang w:val="en-US"/>
              </w:rPr>
              <w:t>Tula Polytechnic Institute (1980)</w:t>
            </w:r>
          </w:p>
        </w:tc>
      </w:tr>
      <w:tr w:rsidR="008A5057" w:rsidRPr="00BD295E" w14:paraId="35644815"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2CC1831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16CEDCC1" w14:textId="62FDD0D8"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2016 to date –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18F791F6" w14:textId="77777777" w:rsidR="00F3260C" w:rsidRPr="00BD295E" w:rsidRDefault="008A5057" w:rsidP="0031297B">
            <w:pPr>
              <w:shd w:val="clear" w:color="auto" w:fill="FFFFFF"/>
              <w:autoSpaceDE w:val="0"/>
              <w:autoSpaceDN w:val="0"/>
              <w:adjustRightInd w:val="0"/>
              <w:jc w:val="both"/>
              <w:rPr>
                <w:rStyle w:val="description"/>
                <w:rFonts w:ascii="Arial" w:hAnsi="Arial" w:cs="Arial"/>
                <w:sz w:val="18"/>
                <w:szCs w:val="18"/>
                <w:lang w:val="en-US"/>
              </w:rPr>
            </w:pPr>
            <w:r w:rsidRPr="00BD295E">
              <w:rPr>
                <w:rFonts w:ascii="Arial" w:hAnsi="Arial" w:cs="Arial"/>
                <w:sz w:val="18"/>
                <w:szCs w:val="18"/>
                <w:lang w:val="en-US"/>
              </w:rPr>
              <w:t xml:space="preserve">2014 to date – </w:t>
            </w:r>
            <w:r w:rsidRPr="00BD295E">
              <w:rPr>
                <w:rStyle w:val="description"/>
                <w:rFonts w:ascii="Arial" w:hAnsi="Arial" w:cs="Arial"/>
                <w:sz w:val="18"/>
                <w:szCs w:val="18"/>
                <w:lang w:val="en-US"/>
              </w:rPr>
              <w:t>Deputy Chairman of the Housing Committee of Saint Petersburg;</w:t>
            </w:r>
          </w:p>
          <w:p w14:paraId="6CA74688"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2013–2014 – Assistant to the Minister of Regional Development of the Russian Federation;</w:t>
            </w:r>
          </w:p>
          <w:p w14:paraId="6849CA23" w14:textId="77777777" w:rsidR="00F3260C" w:rsidRPr="00BD295E" w:rsidRDefault="008A5057" w:rsidP="0031297B">
            <w:pPr>
              <w:shd w:val="clear" w:color="auto" w:fill="FFFFFF"/>
              <w:autoSpaceDE w:val="0"/>
              <w:autoSpaceDN w:val="0"/>
              <w:adjustRightInd w:val="0"/>
              <w:jc w:val="both"/>
              <w:rPr>
                <w:rStyle w:val="description"/>
                <w:rFonts w:ascii="Arial" w:hAnsi="Arial" w:cs="Arial"/>
                <w:sz w:val="18"/>
                <w:szCs w:val="18"/>
                <w:lang w:val="en-US"/>
              </w:rPr>
            </w:pPr>
            <w:r w:rsidRPr="00BD295E">
              <w:rPr>
                <w:rFonts w:ascii="Arial" w:hAnsi="Arial" w:cs="Arial"/>
                <w:iCs/>
                <w:sz w:val="18"/>
                <w:szCs w:val="18"/>
                <w:lang w:val="en-US"/>
              </w:rPr>
              <w:t xml:space="preserve">2013 </w:t>
            </w:r>
            <w:r w:rsidRPr="00BD295E">
              <w:rPr>
                <w:rFonts w:ascii="Arial" w:hAnsi="Arial" w:cs="Arial"/>
                <w:sz w:val="18"/>
                <w:szCs w:val="18"/>
                <w:lang w:val="en-US"/>
              </w:rPr>
              <w:t xml:space="preserve">– </w:t>
            </w:r>
            <w:r w:rsidRPr="00BD295E">
              <w:rPr>
                <w:rStyle w:val="description"/>
                <w:rFonts w:ascii="Arial" w:hAnsi="Arial" w:cs="Arial"/>
                <w:sz w:val="18"/>
                <w:szCs w:val="18"/>
                <w:lang w:val="en-US"/>
              </w:rPr>
              <w:t>Deputy Head of the Federal Agency for Construction, Housing and Utilities;</w:t>
            </w:r>
          </w:p>
          <w:p w14:paraId="71DC8EEF"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2012–2013 –- Advisor to the Minister of Regional Development of the Russian Federation, Assistant to the Minister of Regional Development of the Russian Federation;</w:t>
            </w:r>
          </w:p>
        </w:tc>
      </w:tr>
      <w:tr w:rsidR="008A5057" w:rsidRPr="00BD295E" w14:paraId="1AD526C7"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32E1EC6"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7B5F8744"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None</w:t>
            </w:r>
          </w:p>
        </w:tc>
      </w:tr>
      <w:tr w:rsidR="008A5057" w:rsidRPr="00BD295E" w14:paraId="7F92B7D7"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7E3D697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150518BD"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description"/>
                <w:rFonts w:ascii="Arial" w:hAnsi="Arial" w:cs="Arial"/>
                <w:sz w:val="18"/>
                <w:szCs w:val="18"/>
                <w:lang w:val="en-US"/>
              </w:rPr>
              <w:t>Deputy Chairman of the Housing Committee of Saint Petersburg</w:t>
            </w:r>
          </w:p>
        </w:tc>
      </w:tr>
    </w:tbl>
    <w:p w14:paraId="3AA3A140"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1F47C70F"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326DEEB1"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3E6AB8FE"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Aleksandr German</w:t>
            </w:r>
          </w:p>
        </w:tc>
      </w:tr>
      <w:tr w:rsidR="008A5057" w:rsidRPr="00BD295E" w14:paraId="7C6B35A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FAC5BA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3245AB6E" w14:textId="123C8966" w:rsidR="00F3260C" w:rsidRPr="00BD295E" w:rsidRDefault="002C394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Member of</w:t>
            </w:r>
            <w:r w:rsidR="008A5057" w:rsidRPr="00BD295E">
              <w:rPr>
                <w:rFonts w:ascii="Arial" w:hAnsi="Arial" w:cs="Arial"/>
                <w:sz w:val="18"/>
                <w:szCs w:val="18"/>
                <w:lang w:val="en-US"/>
              </w:rPr>
              <w:t xml:space="preserve"> the Company’s Board of Directors,</w:t>
            </w:r>
          </w:p>
          <w:p w14:paraId="35CE5B8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Member of the Audit Committee of the Company’s Board of Directors</w:t>
            </w:r>
          </w:p>
          <w:p w14:paraId="489AF9BA"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Member of the Nomination and Remuneration Committee of the Company’s Board of Directors</w:t>
            </w:r>
          </w:p>
        </w:tc>
      </w:tr>
      <w:tr w:rsidR="008A5057" w:rsidRPr="00BD295E" w14:paraId="6CFF6F3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7F71746"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1D44A1C9"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1969 Russian Federation</w:t>
            </w:r>
          </w:p>
        </w:tc>
      </w:tr>
      <w:tr w:rsidR="008A5057" w:rsidRPr="00BD295E" w14:paraId="5A0D66B8"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E59761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Data of first election to the Board of Directors</w:t>
            </w:r>
          </w:p>
        </w:tc>
        <w:tc>
          <w:tcPr>
            <w:tcW w:w="6659" w:type="dxa"/>
            <w:tcBorders>
              <w:top w:val="single" w:sz="6" w:space="0" w:color="C0C0C0"/>
              <w:left w:val="single" w:sz="6" w:space="0" w:color="C0C0C0"/>
              <w:bottom w:val="single" w:sz="6" w:space="0" w:color="C0C0C0"/>
              <w:right w:val="single" w:sz="4" w:space="0" w:color="C0C0C0"/>
            </w:tcBorders>
            <w:vAlign w:val="center"/>
          </w:tcPr>
          <w:p w14:paraId="6914B269"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First elected to the Company’s Board of Directors at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February 5, 2018</w:t>
            </w:r>
          </w:p>
        </w:tc>
      </w:tr>
      <w:tr w:rsidR="008A5057" w:rsidRPr="00BD295E" w14:paraId="283E545B"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F2A955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2FB0AF35" w14:textId="77777777" w:rsidR="00F3260C" w:rsidRPr="00BD295E" w:rsidRDefault="008A5057" w:rsidP="0031297B">
            <w:pPr>
              <w:rPr>
                <w:rStyle w:val="Subst0"/>
                <w:rFonts w:ascii="Arial" w:hAnsi="Arial" w:cs="Arial"/>
                <w:b w:val="0"/>
                <w:sz w:val="18"/>
                <w:szCs w:val="18"/>
                <w:lang w:val="en-US"/>
              </w:rPr>
            </w:pPr>
            <w:r w:rsidRPr="00BD295E">
              <w:rPr>
                <w:rStyle w:val="Subst0"/>
                <w:rFonts w:ascii="Arial" w:hAnsi="Arial" w:cs="Arial"/>
                <w:b w:val="0"/>
                <w:bCs/>
                <w:i w:val="0"/>
                <w:iCs/>
                <w:sz w:val="18"/>
                <w:szCs w:val="18"/>
                <w:lang w:val="en-US"/>
              </w:rPr>
              <w:t>Higher education.</w:t>
            </w:r>
            <w:r w:rsidRPr="00BD295E">
              <w:rPr>
                <w:rStyle w:val="Subst0"/>
                <w:rFonts w:ascii="Arial" w:hAnsi="Arial" w:cs="Arial"/>
                <w:bCs/>
                <w:iCs/>
                <w:sz w:val="18"/>
                <w:szCs w:val="18"/>
                <w:lang w:val="en-US"/>
              </w:rPr>
              <w:t xml:space="preserve"> </w:t>
            </w:r>
            <w:r w:rsidRPr="00BD295E">
              <w:rPr>
                <w:rFonts w:ascii="Arial" w:hAnsi="Arial" w:cs="Arial"/>
                <w:sz w:val="18"/>
                <w:szCs w:val="18"/>
                <w:lang w:val="en-US"/>
              </w:rPr>
              <w:t>Voronezh Higher School of the Ministry of Internal Affairs of Russia (1997), majoring as Radio Engineer</w:t>
            </w:r>
          </w:p>
        </w:tc>
      </w:tr>
      <w:tr w:rsidR="008A5057" w:rsidRPr="00BD295E" w14:paraId="4B9874B6"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A36E133"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266A5FEF" w14:textId="0EAD118B"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2018 to date –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59EF17C8" w14:textId="77777777" w:rsidR="00F3260C" w:rsidRPr="00BD295E" w:rsidRDefault="008A5057" w:rsidP="0031297B">
            <w:pPr>
              <w:shd w:val="clear" w:color="auto" w:fill="FFFFFF"/>
              <w:autoSpaceDE w:val="0"/>
              <w:autoSpaceDN w:val="0"/>
              <w:adjustRightInd w:val="0"/>
              <w:jc w:val="both"/>
              <w:rPr>
                <w:rStyle w:val="description"/>
                <w:rFonts w:ascii="Arial" w:hAnsi="Arial" w:cs="Arial"/>
                <w:sz w:val="18"/>
                <w:szCs w:val="18"/>
                <w:lang w:val="en-US"/>
              </w:rPr>
            </w:pPr>
            <w:r w:rsidRPr="00BD295E">
              <w:rPr>
                <w:rFonts w:ascii="Arial" w:hAnsi="Arial" w:cs="Arial"/>
                <w:sz w:val="18"/>
                <w:szCs w:val="18"/>
                <w:lang w:val="en-US"/>
              </w:rPr>
              <w:t>2016 to date –</w:t>
            </w:r>
            <w:r w:rsidRPr="00BD295E">
              <w:rPr>
                <w:rStyle w:val="description"/>
                <w:rFonts w:ascii="Arial" w:hAnsi="Arial" w:cs="Arial"/>
                <w:sz w:val="18"/>
                <w:szCs w:val="18"/>
                <w:lang w:val="en-US"/>
              </w:rPr>
              <w:t xml:space="preserve"> Deputy Chairman of the Property Relations Committee of Saint Petersburg;</w:t>
            </w:r>
          </w:p>
          <w:p w14:paraId="44704A31" w14:textId="77777777" w:rsidR="00F3260C" w:rsidRPr="00BD295E" w:rsidRDefault="008A5057" w:rsidP="0031297B">
            <w:pPr>
              <w:shd w:val="clear" w:color="auto" w:fill="FFFFFF"/>
              <w:autoSpaceDE w:val="0"/>
              <w:autoSpaceDN w:val="0"/>
              <w:adjustRightInd w:val="0"/>
              <w:jc w:val="both"/>
              <w:rPr>
                <w:rStyle w:val="description"/>
                <w:rFonts w:ascii="Arial" w:hAnsi="Arial" w:cs="Arial"/>
                <w:sz w:val="18"/>
                <w:szCs w:val="18"/>
                <w:lang w:val="en-US"/>
              </w:rPr>
            </w:pPr>
            <w:r w:rsidRPr="00BD295E">
              <w:rPr>
                <w:rFonts w:ascii="Arial" w:hAnsi="Arial" w:cs="Arial"/>
                <w:sz w:val="18"/>
                <w:szCs w:val="18"/>
                <w:lang w:val="en-US"/>
              </w:rPr>
              <w:t xml:space="preserve">2014–2016 – </w:t>
            </w:r>
            <w:r w:rsidRPr="00BD295E">
              <w:rPr>
                <w:rStyle w:val="description"/>
                <w:rFonts w:ascii="Arial" w:hAnsi="Arial" w:cs="Arial"/>
                <w:sz w:val="18"/>
                <w:szCs w:val="18"/>
                <w:lang w:val="en-US"/>
              </w:rPr>
              <w:t xml:space="preserve">First Deputy Chairman of the </w:t>
            </w:r>
            <w:r w:rsidR="00CF0D86" w:rsidRPr="00BD295E">
              <w:rPr>
                <w:rStyle w:val="description"/>
                <w:rFonts w:ascii="Arial" w:hAnsi="Arial" w:cs="Arial"/>
                <w:sz w:val="18"/>
                <w:szCs w:val="18"/>
                <w:lang w:val="en-US"/>
              </w:rPr>
              <w:t>Entrepreneurship</w:t>
            </w:r>
            <w:r w:rsidRPr="00BD295E">
              <w:rPr>
                <w:rStyle w:val="description"/>
                <w:rFonts w:ascii="Arial" w:hAnsi="Arial" w:cs="Arial"/>
                <w:sz w:val="18"/>
                <w:szCs w:val="18"/>
                <w:lang w:val="en-US"/>
              </w:rPr>
              <w:t xml:space="preserve"> and Consumer Market Development Committee of Saint Petersburg;</w:t>
            </w:r>
          </w:p>
          <w:p w14:paraId="22DB2147"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2004–2014 – Director of the Saint Petersburg State Budgetary Institution </w:t>
            </w:r>
            <w:r w:rsidRPr="00BD295E">
              <w:rPr>
                <w:rFonts w:ascii="Arial" w:hAnsi="Arial" w:cs="Arial"/>
                <w:i/>
                <w:iCs/>
                <w:sz w:val="18"/>
                <w:szCs w:val="18"/>
                <w:lang w:val="en-US"/>
              </w:rPr>
              <w:t>Center for Monitoring the Quality of Goods (Products), Work, and Services</w:t>
            </w:r>
          </w:p>
        </w:tc>
      </w:tr>
      <w:tr w:rsidR="008A5057" w:rsidRPr="00BD295E" w14:paraId="16EF70C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2C254BE"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6439C2B4"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None</w:t>
            </w:r>
          </w:p>
        </w:tc>
      </w:tr>
      <w:tr w:rsidR="008A5057" w:rsidRPr="00BD295E" w14:paraId="4A3C6D53"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7AC524CD"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Positions in other </w:t>
            </w:r>
            <w:r w:rsidR="00CF0D86" w:rsidRPr="00BD295E">
              <w:rPr>
                <w:rFonts w:ascii="Arial" w:hAnsi="Arial" w:cs="Arial"/>
                <w:sz w:val="18"/>
                <w:szCs w:val="18"/>
                <w:lang w:val="en-US"/>
              </w:rPr>
              <w:t>organizations</w:t>
            </w:r>
          </w:p>
        </w:tc>
        <w:tc>
          <w:tcPr>
            <w:tcW w:w="6659" w:type="dxa"/>
            <w:tcBorders>
              <w:top w:val="single" w:sz="6" w:space="0" w:color="C0C0C0"/>
              <w:left w:val="single" w:sz="6" w:space="0" w:color="C0C0C0"/>
              <w:bottom w:val="single" w:sz="6" w:space="0" w:color="333399"/>
              <w:right w:val="single" w:sz="4" w:space="0" w:color="C0C0C0"/>
            </w:tcBorders>
            <w:vAlign w:val="center"/>
          </w:tcPr>
          <w:p w14:paraId="7821CF5F" w14:textId="77777777" w:rsidR="00922D8A"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description"/>
                <w:rFonts w:ascii="Arial" w:hAnsi="Arial" w:cs="Arial"/>
                <w:sz w:val="18"/>
                <w:szCs w:val="18"/>
                <w:lang w:val="en-US"/>
              </w:rPr>
              <w:t>Deputy Chairman of the Property Relations Committee of Saint Petersburg</w:t>
            </w:r>
            <w:r w:rsidRPr="00BD295E">
              <w:rPr>
                <w:rStyle w:val="Subst0"/>
                <w:rFonts w:ascii="Arial" w:hAnsi="Arial" w:cs="Arial"/>
                <w:b w:val="0"/>
                <w:i w:val="0"/>
                <w:sz w:val="18"/>
                <w:szCs w:val="18"/>
                <w:lang w:val="en-US"/>
              </w:rPr>
              <w:t>;</w:t>
            </w:r>
          </w:p>
          <w:p w14:paraId="441D55F0"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Member of the Board of Directors of Western High-Speed Diameter, JSC</w:t>
            </w:r>
          </w:p>
          <w:p w14:paraId="3476BDB7"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Style w:val="Subst0"/>
                <w:rFonts w:ascii="Arial" w:hAnsi="Arial" w:cs="Arial"/>
                <w:b w:val="0"/>
                <w:i w:val="0"/>
                <w:sz w:val="18"/>
                <w:szCs w:val="18"/>
                <w:lang w:val="en-US"/>
              </w:rPr>
              <w:t>Member of the Board of Directors of Center for Exhibition and Museum Projects, JSC;</w:t>
            </w:r>
          </w:p>
          <w:p w14:paraId="4A58F40A"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Member of the Board of Directors of Housing and Utility Service No. 2 of the Moskovsky District, LLC;</w:t>
            </w:r>
          </w:p>
          <w:p w14:paraId="51970650"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Member of the Board of Directors of Property Fund of Saint Petersburg, JSC;</w:t>
            </w:r>
          </w:p>
          <w:p w14:paraId="29DA0D5F"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Member of the Board of Directors of Airport Pulkovo, JSC</w:t>
            </w:r>
          </w:p>
          <w:p w14:paraId="2D3FB4FA"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Member of the Board of Directors of South Western CHPP, JSC</w:t>
            </w:r>
          </w:p>
          <w:p w14:paraId="000EAEE5"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Member of the Board of Directors of Passenger Port Saint Petersburg </w:t>
            </w:r>
            <w:r w:rsidRPr="00BD295E">
              <w:rPr>
                <w:rFonts w:ascii="Arial" w:hAnsi="Arial" w:cs="Arial"/>
                <w:i/>
                <w:iCs/>
                <w:sz w:val="18"/>
                <w:szCs w:val="18"/>
                <w:lang w:val="en-US"/>
              </w:rPr>
              <w:t>Sea Facade</w:t>
            </w:r>
            <w:r w:rsidRPr="00BD295E">
              <w:rPr>
                <w:rFonts w:ascii="Arial" w:hAnsi="Arial" w:cs="Arial"/>
                <w:sz w:val="18"/>
                <w:szCs w:val="18"/>
                <w:lang w:val="en-US"/>
              </w:rPr>
              <w:t>, JSC;</w:t>
            </w:r>
          </w:p>
          <w:p w14:paraId="4E583306"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Member of the Board of Directors of PeterburgGaz, LLC;</w:t>
            </w:r>
          </w:p>
          <w:p w14:paraId="28AA50FD"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Member of the Board of Directors of Sports Complex </w:t>
            </w:r>
            <w:r w:rsidRPr="00BD295E">
              <w:rPr>
                <w:rFonts w:ascii="Arial" w:hAnsi="Arial" w:cs="Arial"/>
                <w:i/>
                <w:iCs/>
                <w:sz w:val="18"/>
                <w:szCs w:val="18"/>
                <w:lang w:val="en-US"/>
              </w:rPr>
              <w:t>Yubileyny</w:t>
            </w:r>
            <w:r w:rsidRPr="00BD295E">
              <w:rPr>
                <w:rFonts w:ascii="Arial" w:hAnsi="Arial" w:cs="Arial"/>
                <w:sz w:val="18"/>
                <w:szCs w:val="18"/>
                <w:lang w:val="en-US"/>
              </w:rPr>
              <w:t>, LLC</w:t>
            </w:r>
          </w:p>
          <w:p w14:paraId="28F1B8ED"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Member of the Board of Directors of </w:t>
            </w:r>
            <w:r w:rsidR="00293DDA" w:rsidRPr="00BD295E">
              <w:rPr>
                <w:rFonts w:ascii="Arial" w:hAnsi="Arial" w:cs="Arial"/>
                <w:sz w:val="18"/>
                <w:szCs w:val="18"/>
                <w:lang w:val="en-US"/>
              </w:rPr>
              <w:t>OJSC “Metrostroy”</w:t>
            </w:r>
            <w:r w:rsidRPr="00BD295E">
              <w:rPr>
                <w:rFonts w:ascii="Arial" w:hAnsi="Arial" w:cs="Arial"/>
                <w:sz w:val="18"/>
                <w:szCs w:val="18"/>
                <w:lang w:val="en-US"/>
              </w:rPr>
              <w:t>;</w:t>
            </w:r>
          </w:p>
          <w:p w14:paraId="5C502CB8"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Member of the Board of Directors of City Insurance Medical Company, JSC;</w:t>
            </w:r>
          </w:p>
          <w:p w14:paraId="0AD079C5"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Member of the Board of Directors of Center for Support of Infrastructure Projects, JSC;</w:t>
            </w:r>
          </w:p>
          <w:p w14:paraId="7ADC35C2"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Member of the Board of Directors of Saint Petersburg Direct Investment Agency, JSC;</w:t>
            </w:r>
          </w:p>
          <w:p w14:paraId="6D074058" w14:textId="77777777" w:rsidR="00F3260C" w:rsidRPr="00BD295E" w:rsidRDefault="008A5057" w:rsidP="0031297B">
            <w:pPr>
              <w:shd w:val="clear" w:color="auto" w:fill="FFFFFF"/>
              <w:autoSpaceDE w:val="0"/>
              <w:autoSpaceDN w:val="0"/>
              <w:adjustRightIn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Member of the Board of Directors of </w:t>
            </w:r>
            <w:r w:rsidR="00293DDA" w:rsidRPr="00BD295E">
              <w:rPr>
                <w:rFonts w:ascii="Arial" w:hAnsi="Arial" w:cs="Arial"/>
                <w:sz w:val="18"/>
                <w:szCs w:val="18"/>
                <w:lang w:val="en-US"/>
              </w:rPr>
              <w:t>OJSC “Geodesic and Engineering Survey Group”</w:t>
            </w:r>
            <w:r w:rsidRPr="00BD295E">
              <w:rPr>
                <w:rFonts w:ascii="Arial" w:hAnsi="Arial" w:cs="Arial"/>
                <w:sz w:val="18"/>
                <w:szCs w:val="18"/>
                <w:lang w:val="en-US"/>
              </w:rPr>
              <w:t>.</w:t>
            </w:r>
          </w:p>
        </w:tc>
      </w:tr>
    </w:tbl>
    <w:p w14:paraId="0B3ADEA6" w14:textId="77777777" w:rsidR="00F3260C" w:rsidRPr="00BD295E" w:rsidRDefault="00F3260C" w:rsidP="00F3260C">
      <w:pPr>
        <w:pStyle w:val="aff2"/>
        <w:spacing w:after="0"/>
        <w:rPr>
          <w:rFonts w:ascii="Arial" w:hAnsi="Arial" w:cs="Arial"/>
          <w:b/>
          <w:sz w:val="18"/>
          <w:szCs w:val="18"/>
          <w:lang w:val="en-US"/>
        </w:rPr>
      </w:pPr>
    </w:p>
    <w:p w14:paraId="6C7C4372" w14:textId="77777777" w:rsidR="00F3260C" w:rsidRPr="00BD295E" w:rsidRDefault="00F3260C" w:rsidP="00F3260C">
      <w:pPr>
        <w:pStyle w:val="aff2"/>
        <w:spacing w:after="0"/>
        <w:rPr>
          <w:rFonts w:ascii="Arial" w:hAnsi="Arial" w:cs="Arial"/>
          <w:b/>
          <w:sz w:val="18"/>
          <w:szCs w:val="18"/>
          <w:lang w:val="en-US"/>
        </w:rPr>
      </w:pPr>
    </w:p>
    <w:p w14:paraId="76344EA4" w14:textId="77777777" w:rsidR="00F3260C" w:rsidRPr="00BD295E" w:rsidRDefault="008A5057" w:rsidP="00F3260C">
      <w:pPr>
        <w:pStyle w:val="aff2"/>
        <w:spacing w:after="0"/>
        <w:rPr>
          <w:rFonts w:ascii="Arial" w:hAnsi="Arial" w:cs="Arial"/>
          <w:b/>
          <w:sz w:val="18"/>
          <w:szCs w:val="18"/>
          <w:lang w:val="en-US"/>
        </w:rPr>
      </w:pPr>
      <w:r w:rsidRPr="00BD295E">
        <w:rPr>
          <w:rFonts w:ascii="Arial" w:hAnsi="Arial" w:cs="Arial"/>
          <w:b/>
          <w:sz w:val="18"/>
          <w:szCs w:val="18"/>
          <w:lang w:val="en-US"/>
        </w:rPr>
        <w:t>Composition of the Board of Directors of the Company in 2018</w:t>
      </w:r>
    </w:p>
    <w:p w14:paraId="4FB9EEE0" w14:textId="77777777" w:rsidR="00F3260C" w:rsidRPr="00BD295E" w:rsidRDefault="00F3260C" w:rsidP="00F3260C">
      <w:pPr>
        <w:pStyle w:val="aff2"/>
        <w:spacing w:after="0"/>
        <w:rPr>
          <w:rFonts w:ascii="Arial" w:hAnsi="Arial" w:cs="Arial"/>
          <w:b/>
          <w:sz w:val="18"/>
          <w:szCs w:val="18"/>
          <w:lang w:val="en-US"/>
        </w:rPr>
      </w:pPr>
    </w:p>
    <w:p w14:paraId="2B0DE69C" w14:textId="426EC475" w:rsidR="00F3260C" w:rsidRPr="00BD295E" w:rsidRDefault="008A5057" w:rsidP="00F3260C">
      <w:pPr>
        <w:pStyle w:val="aff2"/>
        <w:spacing w:after="0"/>
        <w:rPr>
          <w:rFonts w:ascii="Arial" w:hAnsi="Arial" w:cs="Arial"/>
          <w:b/>
          <w:sz w:val="18"/>
          <w:szCs w:val="18"/>
          <w:lang w:val="en-US"/>
        </w:rPr>
      </w:pPr>
      <w:r w:rsidRPr="00BD295E">
        <w:rPr>
          <w:rFonts w:ascii="Arial" w:hAnsi="Arial" w:cs="Arial"/>
          <w:b/>
          <w:bCs/>
          <w:sz w:val="18"/>
          <w:szCs w:val="18"/>
          <w:lang w:val="en-US"/>
        </w:rPr>
        <w:t xml:space="preserve">Composition of the Board of Directors of the Company elected by Resolution of the Annual </w:t>
      </w:r>
      <w:r w:rsidR="0053339C" w:rsidRPr="00BD295E">
        <w:rPr>
          <w:rFonts w:ascii="Arial" w:hAnsi="Arial" w:cs="Arial"/>
          <w:b/>
          <w:bCs/>
          <w:sz w:val="18"/>
          <w:szCs w:val="18"/>
          <w:lang w:val="en-US"/>
        </w:rPr>
        <w:t>General Meeting</w:t>
      </w:r>
      <w:r w:rsidRPr="00BD295E">
        <w:rPr>
          <w:rFonts w:ascii="Arial" w:hAnsi="Arial" w:cs="Arial"/>
          <w:b/>
          <w:bCs/>
          <w:sz w:val="18"/>
          <w:szCs w:val="18"/>
          <w:lang w:val="en-US"/>
        </w:rPr>
        <w:t xml:space="preserve"> </w:t>
      </w:r>
      <w:r w:rsidR="008B183C" w:rsidRPr="00BD295E">
        <w:rPr>
          <w:rFonts w:ascii="Arial" w:hAnsi="Arial" w:cs="Arial"/>
          <w:b/>
          <w:bCs/>
          <w:sz w:val="18"/>
          <w:szCs w:val="18"/>
          <w:lang w:val="en-US"/>
        </w:rPr>
        <w:t>of</w:t>
      </w:r>
      <w:r w:rsidRPr="00BD295E">
        <w:rPr>
          <w:rFonts w:ascii="Arial" w:hAnsi="Arial" w:cs="Arial"/>
          <w:b/>
          <w:bCs/>
          <w:sz w:val="18"/>
          <w:szCs w:val="18"/>
          <w:lang w:val="en-US"/>
        </w:rPr>
        <w:t xml:space="preserve"> June 14, 2017 (Minutes No. 1/2017 </w:t>
      </w:r>
      <w:r w:rsidR="008B183C" w:rsidRPr="00BD295E">
        <w:rPr>
          <w:rFonts w:ascii="Arial" w:hAnsi="Arial" w:cs="Arial"/>
          <w:b/>
          <w:bCs/>
          <w:sz w:val="18"/>
          <w:szCs w:val="18"/>
          <w:lang w:val="en-US"/>
        </w:rPr>
        <w:t>of</w:t>
      </w:r>
      <w:r w:rsidRPr="00BD295E">
        <w:rPr>
          <w:rFonts w:ascii="Arial" w:hAnsi="Arial" w:cs="Arial"/>
          <w:b/>
          <w:bCs/>
          <w:sz w:val="18"/>
          <w:szCs w:val="18"/>
          <w:lang w:val="en-US"/>
        </w:rPr>
        <w:t xml:space="preserve"> June 14, 2017)*</w:t>
      </w:r>
      <w:r w:rsidR="002C3947" w:rsidRPr="00BD295E">
        <w:rPr>
          <w:rFonts w:ascii="Arial" w:hAnsi="Arial" w:cs="Arial"/>
          <w:b/>
          <w:bCs/>
          <w:sz w:val="18"/>
          <w:szCs w:val="18"/>
          <w:lang w:val="en-US"/>
        </w:rPr>
        <w:t>:</w:t>
      </w:r>
    </w:p>
    <w:p w14:paraId="4F54C357" w14:textId="77777777" w:rsidR="00F3260C" w:rsidRPr="00BD295E" w:rsidRDefault="00F3260C" w:rsidP="00F3260C">
      <w:pPr>
        <w:pStyle w:val="aff2"/>
        <w:spacing w:after="0"/>
        <w:rPr>
          <w:rFonts w:ascii="Arial" w:hAnsi="Arial" w:cs="Arial"/>
          <w:b/>
          <w:sz w:val="18"/>
          <w:szCs w:val="18"/>
          <w:lang w:val="en-US"/>
        </w:rPr>
      </w:pPr>
    </w:p>
    <w:p w14:paraId="01D6C430" w14:textId="77777777" w:rsidR="00F3260C" w:rsidRPr="00BD295E" w:rsidRDefault="00F3260C" w:rsidP="00F3260C">
      <w:pPr>
        <w:pStyle w:val="aff2"/>
        <w:spacing w:after="0"/>
        <w:rPr>
          <w:rFonts w:ascii="Arial" w:hAnsi="Arial" w:cs="Arial"/>
          <w:b/>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229"/>
        <w:gridCol w:w="5610"/>
      </w:tblGrid>
      <w:tr w:rsidR="008A5057" w:rsidRPr="00BD295E" w14:paraId="1E063A09" w14:textId="77777777" w:rsidTr="00E3510B">
        <w:tc>
          <w:tcPr>
            <w:tcW w:w="419" w:type="dxa"/>
            <w:shd w:val="clear" w:color="auto" w:fill="auto"/>
          </w:tcPr>
          <w:p w14:paraId="27312846" w14:textId="77777777" w:rsidR="00F3260C" w:rsidRPr="00BD295E" w:rsidRDefault="008A5057" w:rsidP="00E3510B">
            <w:pPr>
              <w:pStyle w:val="aff2"/>
              <w:spacing w:after="0"/>
              <w:jc w:val="center"/>
              <w:rPr>
                <w:rFonts w:ascii="Arial" w:hAnsi="Arial" w:cs="Arial"/>
                <w:b/>
                <w:sz w:val="18"/>
                <w:szCs w:val="18"/>
                <w:lang w:val="en-US"/>
              </w:rPr>
            </w:pPr>
            <w:r w:rsidRPr="00BD295E">
              <w:rPr>
                <w:rFonts w:ascii="Arial" w:hAnsi="Arial" w:cs="Arial"/>
                <w:b/>
                <w:sz w:val="18"/>
                <w:szCs w:val="18"/>
                <w:lang w:val="en-US"/>
              </w:rPr>
              <w:t>No.</w:t>
            </w:r>
          </w:p>
        </w:tc>
        <w:tc>
          <w:tcPr>
            <w:tcW w:w="3260" w:type="dxa"/>
            <w:shd w:val="clear" w:color="auto" w:fill="auto"/>
          </w:tcPr>
          <w:p w14:paraId="23E2E02C" w14:textId="77777777" w:rsidR="00F3260C" w:rsidRPr="00BD295E" w:rsidRDefault="008A5057" w:rsidP="00E3510B">
            <w:pPr>
              <w:pStyle w:val="aff2"/>
              <w:spacing w:after="0"/>
              <w:jc w:val="center"/>
              <w:rPr>
                <w:rFonts w:ascii="Arial" w:hAnsi="Arial" w:cs="Arial"/>
                <w:b/>
                <w:sz w:val="18"/>
                <w:szCs w:val="18"/>
                <w:lang w:val="en-US"/>
              </w:rPr>
            </w:pPr>
            <w:r w:rsidRPr="00BD295E">
              <w:rPr>
                <w:rFonts w:ascii="Arial" w:hAnsi="Arial" w:cs="Arial"/>
                <w:b/>
                <w:sz w:val="18"/>
                <w:szCs w:val="18"/>
                <w:lang w:val="en-US"/>
              </w:rPr>
              <w:t>Full name</w:t>
            </w:r>
          </w:p>
        </w:tc>
        <w:tc>
          <w:tcPr>
            <w:tcW w:w="5670" w:type="dxa"/>
            <w:shd w:val="clear" w:color="auto" w:fill="auto"/>
          </w:tcPr>
          <w:p w14:paraId="51BEC130" w14:textId="77777777" w:rsidR="00F3260C" w:rsidRPr="00BD295E" w:rsidRDefault="008A5057" w:rsidP="00E3510B">
            <w:pPr>
              <w:pStyle w:val="aff2"/>
              <w:spacing w:after="0"/>
              <w:jc w:val="center"/>
              <w:rPr>
                <w:rFonts w:ascii="Arial" w:hAnsi="Arial" w:cs="Arial"/>
                <w:b/>
                <w:sz w:val="18"/>
                <w:szCs w:val="18"/>
                <w:lang w:val="en-US"/>
              </w:rPr>
            </w:pPr>
            <w:r w:rsidRPr="00BD295E">
              <w:rPr>
                <w:rFonts w:ascii="Arial" w:hAnsi="Arial" w:cs="Arial"/>
                <w:b/>
                <w:sz w:val="18"/>
                <w:szCs w:val="18"/>
                <w:lang w:val="en-US"/>
              </w:rPr>
              <w:t>Position when elected</w:t>
            </w:r>
          </w:p>
        </w:tc>
      </w:tr>
      <w:tr w:rsidR="008A5057" w:rsidRPr="00BD295E" w14:paraId="14DCE3EF" w14:textId="77777777" w:rsidTr="00E3510B">
        <w:tc>
          <w:tcPr>
            <w:tcW w:w="419" w:type="dxa"/>
            <w:shd w:val="clear" w:color="auto" w:fill="auto"/>
          </w:tcPr>
          <w:p w14:paraId="6FED3ED0"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w:t>
            </w:r>
          </w:p>
        </w:tc>
        <w:tc>
          <w:tcPr>
            <w:tcW w:w="3260" w:type="dxa"/>
            <w:shd w:val="clear" w:color="auto" w:fill="auto"/>
          </w:tcPr>
          <w:p w14:paraId="7B8F9FB4"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Oleg Budarin</w:t>
            </w:r>
          </w:p>
        </w:tc>
        <w:tc>
          <w:tcPr>
            <w:tcW w:w="5670" w:type="dxa"/>
            <w:shd w:val="clear" w:color="auto" w:fill="auto"/>
          </w:tcPr>
          <w:p w14:paraId="4FEEBD31"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 xml:space="preserve">Chairman of the Management Board, CEO of </w:t>
            </w:r>
            <w:r w:rsidR="00BF106F" w:rsidRPr="00BD295E">
              <w:rPr>
                <w:rFonts w:ascii="Arial" w:hAnsi="Arial" w:cs="Arial"/>
                <w:sz w:val="18"/>
                <w:szCs w:val="18"/>
                <w:lang w:val="en-US"/>
              </w:rPr>
              <w:t>PJSC “Rosseti”</w:t>
            </w:r>
          </w:p>
        </w:tc>
      </w:tr>
      <w:tr w:rsidR="008A5057" w:rsidRPr="00BD295E" w14:paraId="4105FC38" w14:textId="77777777" w:rsidTr="00E3510B">
        <w:tc>
          <w:tcPr>
            <w:tcW w:w="419" w:type="dxa"/>
            <w:shd w:val="clear" w:color="auto" w:fill="auto"/>
          </w:tcPr>
          <w:p w14:paraId="79210736"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2</w:t>
            </w:r>
          </w:p>
        </w:tc>
        <w:tc>
          <w:tcPr>
            <w:tcW w:w="3260" w:type="dxa"/>
            <w:shd w:val="clear" w:color="auto" w:fill="auto"/>
          </w:tcPr>
          <w:p w14:paraId="031E9616"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Roman Berdnikov</w:t>
            </w:r>
          </w:p>
        </w:tc>
        <w:tc>
          <w:tcPr>
            <w:tcW w:w="5670" w:type="dxa"/>
            <w:shd w:val="clear" w:color="auto" w:fill="auto"/>
          </w:tcPr>
          <w:p w14:paraId="47707A05" w14:textId="77777777" w:rsidR="00F3260C" w:rsidRPr="00BD295E" w:rsidRDefault="008A5057" w:rsidP="00E3510B">
            <w:pPr>
              <w:pStyle w:val="aff2"/>
              <w:spacing w:after="0"/>
              <w:rPr>
                <w:rFonts w:ascii="Arial" w:hAnsi="Arial" w:cs="Arial"/>
                <w:b/>
                <w:sz w:val="18"/>
                <w:szCs w:val="18"/>
                <w:lang w:val="en-US"/>
              </w:rPr>
            </w:pPr>
            <w:r w:rsidRPr="00BD295E">
              <w:rPr>
                <w:rFonts w:ascii="Arial" w:hAnsi="Arial" w:cs="Arial"/>
                <w:sz w:val="18"/>
                <w:szCs w:val="18"/>
                <w:lang w:val="en-US"/>
              </w:rPr>
              <w:t>Chairman of the Management Board, Acting CEO of the Company</w:t>
            </w:r>
          </w:p>
        </w:tc>
      </w:tr>
      <w:tr w:rsidR="008A5057" w:rsidRPr="00BD295E" w14:paraId="4E5865A7" w14:textId="77777777" w:rsidTr="00E3510B">
        <w:tc>
          <w:tcPr>
            <w:tcW w:w="419" w:type="dxa"/>
            <w:shd w:val="clear" w:color="auto" w:fill="auto"/>
          </w:tcPr>
          <w:p w14:paraId="1DA9B821"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3</w:t>
            </w:r>
          </w:p>
        </w:tc>
        <w:tc>
          <w:tcPr>
            <w:tcW w:w="3260" w:type="dxa"/>
            <w:shd w:val="clear" w:color="auto" w:fill="auto"/>
          </w:tcPr>
          <w:p w14:paraId="13097DEB" w14:textId="77777777" w:rsidR="00F3260C" w:rsidRPr="00BD295E" w:rsidRDefault="008A5057" w:rsidP="00E3510B">
            <w:pPr>
              <w:pStyle w:val="aff2"/>
              <w:spacing w:after="0"/>
              <w:rPr>
                <w:rFonts w:ascii="Arial" w:hAnsi="Arial" w:cs="Arial"/>
                <w:sz w:val="18"/>
                <w:szCs w:val="18"/>
                <w:lang w:val="en-US"/>
              </w:rPr>
            </w:pPr>
            <w:r w:rsidRPr="00BD295E">
              <w:rPr>
                <w:rStyle w:val="Subst0"/>
                <w:rFonts w:ascii="Arial" w:hAnsi="Arial" w:cs="Arial"/>
                <w:b w:val="0"/>
                <w:i w:val="0"/>
                <w:sz w:val="18"/>
                <w:szCs w:val="18"/>
                <w:lang w:val="en-US"/>
              </w:rPr>
              <w:t>Yegor Prokhorov</w:t>
            </w:r>
          </w:p>
        </w:tc>
        <w:tc>
          <w:tcPr>
            <w:tcW w:w="5670" w:type="dxa"/>
            <w:shd w:val="clear" w:color="auto" w:fill="auto"/>
          </w:tcPr>
          <w:p w14:paraId="6E304F20" w14:textId="77777777" w:rsidR="00F3260C" w:rsidRPr="00BD295E" w:rsidRDefault="008A5057" w:rsidP="00E3510B">
            <w:pPr>
              <w:pStyle w:val="aff2"/>
              <w:spacing w:after="0"/>
              <w:rPr>
                <w:rFonts w:ascii="Arial" w:hAnsi="Arial" w:cs="Arial"/>
                <w:b/>
                <w:sz w:val="18"/>
                <w:szCs w:val="18"/>
                <w:lang w:val="en-US"/>
              </w:rPr>
            </w:pPr>
            <w:r w:rsidRPr="00BD295E">
              <w:rPr>
                <w:rFonts w:ascii="Arial" w:hAnsi="Arial" w:cs="Arial"/>
                <w:iCs/>
                <w:sz w:val="18"/>
                <w:szCs w:val="18"/>
                <w:lang w:val="en-US"/>
              </w:rPr>
              <w:t xml:space="preserve">Deputy CEO for Finance, CFO at </w:t>
            </w:r>
            <w:r w:rsidR="00BF106F" w:rsidRPr="00BD295E">
              <w:rPr>
                <w:rFonts w:ascii="Arial" w:hAnsi="Arial" w:cs="Arial"/>
                <w:iCs/>
                <w:sz w:val="18"/>
                <w:szCs w:val="18"/>
                <w:lang w:val="en-US"/>
              </w:rPr>
              <w:t>PJSC “Rosseti”</w:t>
            </w:r>
          </w:p>
        </w:tc>
      </w:tr>
      <w:tr w:rsidR="008A5057" w:rsidRPr="00BD295E" w14:paraId="6AEE1613" w14:textId="77777777" w:rsidTr="00E3510B">
        <w:tc>
          <w:tcPr>
            <w:tcW w:w="419" w:type="dxa"/>
            <w:shd w:val="clear" w:color="auto" w:fill="auto"/>
          </w:tcPr>
          <w:p w14:paraId="30408838"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4</w:t>
            </w:r>
          </w:p>
        </w:tc>
        <w:tc>
          <w:tcPr>
            <w:tcW w:w="3260" w:type="dxa"/>
            <w:shd w:val="clear" w:color="auto" w:fill="auto"/>
          </w:tcPr>
          <w:p w14:paraId="36B689F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Sergey Sergeev</w:t>
            </w:r>
          </w:p>
          <w:p w14:paraId="13D67B81"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264CCA00" w14:textId="77777777" w:rsidR="00F3260C" w:rsidRPr="00BD295E" w:rsidRDefault="008A5057" w:rsidP="0031297B">
            <w:pPr>
              <w:rPr>
                <w:rFonts w:ascii="Arial" w:hAnsi="Arial" w:cs="Arial"/>
                <w:b/>
                <w:sz w:val="18"/>
                <w:szCs w:val="18"/>
                <w:lang w:val="en-US"/>
              </w:rPr>
            </w:pPr>
            <w:r w:rsidRPr="00BD295E">
              <w:rPr>
                <w:rFonts w:ascii="Arial" w:hAnsi="Arial" w:cs="Arial"/>
                <w:sz w:val="18"/>
                <w:szCs w:val="18"/>
                <w:lang w:val="en-US"/>
              </w:rPr>
              <w:t xml:space="preserve">Deputy CEO for Capital Construction, </w:t>
            </w:r>
            <w:r w:rsidR="00BF106F" w:rsidRPr="00BD295E">
              <w:rPr>
                <w:rFonts w:ascii="Arial" w:hAnsi="Arial" w:cs="Arial"/>
                <w:sz w:val="18"/>
                <w:szCs w:val="18"/>
                <w:lang w:val="en-US"/>
              </w:rPr>
              <w:t>PJSC “Rosseti”</w:t>
            </w:r>
          </w:p>
        </w:tc>
      </w:tr>
      <w:tr w:rsidR="008A5057" w:rsidRPr="00BD295E" w14:paraId="1047E66D" w14:textId="77777777" w:rsidTr="00E3510B">
        <w:tc>
          <w:tcPr>
            <w:tcW w:w="419" w:type="dxa"/>
            <w:shd w:val="clear" w:color="auto" w:fill="auto"/>
          </w:tcPr>
          <w:p w14:paraId="4AD1B9F5"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5</w:t>
            </w:r>
          </w:p>
        </w:tc>
        <w:tc>
          <w:tcPr>
            <w:tcW w:w="3260" w:type="dxa"/>
            <w:shd w:val="clear" w:color="auto" w:fill="auto"/>
          </w:tcPr>
          <w:p w14:paraId="6AD7CAF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Konstantin Petukhov</w:t>
            </w:r>
          </w:p>
          <w:p w14:paraId="73913858"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252B7C2F" w14:textId="77777777" w:rsidR="00F3260C" w:rsidRPr="00BD295E" w:rsidRDefault="008A5057" w:rsidP="0031297B">
            <w:pPr>
              <w:rPr>
                <w:rFonts w:ascii="Arial" w:hAnsi="Arial" w:cs="Arial"/>
                <w:sz w:val="18"/>
                <w:szCs w:val="18"/>
                <w:lang w:val="en-US"/>
              </w:rPr>
            </w:pPr>
            <w:r w:rsidRPr="00BD295E">
              <w:rPr>
                <w:rFonts w:ascii="Arial" w:hAnsi="Arial" w:cs="Arial"/>
                <w:iCs/>
                <w:sz w:val="18"/>
                <w:szCs w:val="18"/>
                <w:lang w:val="en-US"/>
              </w:rPr>
              <w:t xml:space="preserve">Deputy CEO for Development and Sales of Services at </w:t>
            </w:r>
            <w:r w:rsidR="00BF106F" w:rsidRPr="00BD295E">
              <w:rPr>
                <w:rFonts w:ascii="Arial" w:hAnsi="Arial" w:cs="Arial"/>
                <w:iCs/>
                <w:sz w:val="18"/>
                <w:szCs w:val="18"/>
                <w:lang w:val="en-US"/>
              </w:rPr>
              <w:t>PJSC “Rosseti”</w:t>
            </w:r>
          </w:p>
        </w:tc>
      </w:tr>
      <w:tr w:rsidR="008A5057" w:rsidRPr="00BD295E" w14:paraId="3F485C14" w14:textId="77777777" w:rsidTr="00E3510B">
        <w:tc>
          <w:tcPr>
            <w:tcW w:w="419" w:type="dxa"/>
            <w:shd w:val="clear" w:color="auto" w:fill="auto"/>
          </w:tcPr>
          <w:p w14:paraId="315FA4C9"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6</w:t>
            </w:r>
          </w:p>
        </w:tc>
        <w:tc>
          <w:tcPr>
            <w:tcW w:w="3260" w:type="dxa"/>
            <w:shd w:val="clear" w:color="auto" w:fill="auto"/>
          </w:tcPr>
          <w:p w14:paraId="3D418DE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Sergey Pikin</w:t>
            </w:r>
          </w:p>
        </w:tc>
        <w:tc>
          <w:tcPr>
            <w:tcW w:w="5670" w:type="dxa"/>
            <w:shd w:val="clear" w:color="auto" w:fill="auto"/>
          </w:tcPr>
          <w:p w14:paraId="16EDE3C9" w14:textId="77777777" w:rsidR="00F3260C" w:rsidRPr="00BD295E" w:rsidRDefault="008A5057" w:rsidP="0031297B">
            <w:pPr>
              <w:rPr>
                <w:rFonts w:ascii="Arial" w:hAnsi="Arial" w:cs="Arial"/>
                <w:sz w:val="18"/>
                <w:szCs w:val="18"/>
                <w:lang w:val="en-US"/>
              </w:rPr>
            </w:pPr>
            <w:r w:rsidRPr="00BD295E">
              <w:rPr>
                <w:rFonts w:ascii="Arial" w:hAnsi="Arial" w:cs="Arial"/>
                <w:iCs/>
                <w:sz w:val="18"/>
                <w:szCs w:val="18"/>
                <w:lang w:val="en-US"/>
              </w:rPr>
              <w:t xml:space="preserve">Director of the Energy Development Fund </w:t>
            </w:r>
          </w:p>
        </w:tc>
      </w:tr>
      <w:tr w:rsidR="008A5057" w:rsidRPr="00BD295E" w14:paraId="5FA41460" w14:textId="77777777" w:rsidTr="00E3510B">
        <w:tc>
          <w:tcPr>
            <w:tcW w:w="419" w:type="dxa"/>
            <w:shd w:val="clear" w:color="auto" w:fill="auto"/>
          </w:tcPr>
          <w:p w14:paraId="56013EBC"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7</w:t>
            </w:r>
          </w:p>
        </w:tc>
        <w:tc>
          <w:tcPr>
            <w:tcW w:w="3260" w:type="dxa"/>
            <w:shd w:val="clear" w:color="auto" w:fill="auto"/>
          </w:tcPr>
          <w:p w14:paraId="08D0997A" w14:textId="77777777" w:rsidR="00F3260C" w:rsidRPr="00BD295E" w:rsidRDefault="008A5057" w:rsidP="0031297B">
            <w:pPr>
              <w:rPr>
                <w:rFonts w:ascii="Arial" w:hAnsi="Arial" w:cs="Arial"/>
                <w:sz w:val="18"/>
                <w:szCs w:val="18"/>
                <w:lang w:val="en-US"/>
              </w:rPr>
            </w:pPr>
            <w:r w:rsidRPr="00BD295E">
              <w:rPr>
                <w:rStyle w:val="Subst0"/>
                <w:rFonts w:ascii="Arial" w:hAnsi="Arial" w:cs="Arial"/>
                <w:b w:val="0"/>
                <w:i w:val="0"/>
                <w:sz w:val="18"/>
                <w:szCs w:val="18"/>
                <w:lang w:val="en-US"/>
              </w:rPr>
              <w:t>Pavel Snikkars</w:t>
            </w:r>
          </w:p>
          <w:p w14:paraId="459C955E"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231B0BE5" w14:textId="77777777" w:rsidR="00F3260C" w:rsidRPr="00BD295E" w:rsidRDefault="008A5057" w:rsidP="0031297B">
            <w:pPr>
              <w:rPr>
                <w:rFonts w:ascii="Arial" w:hAnsi="Arial" w:cs="Arial"/>
                <w:sz w:val="18"/>
                <w:szCs w:val="18"/>
                <w:lang w:val="en-US"/>
              </w:rPr>
            </w:pPr>
            <w:r w:rsidRPr="00BD295E">
              <w:rPr>
                <w:rStyle w:val="FontStyle20"/>
                <w:rFonts w:ascii="Arial" w:hAnsi="Arial" w:cs="Arial"/>
                <w:sz w:val="18"/>
                <w:szCs w:val="18"/>
                <w:lang w:val="en-US"/>
              </w:rPr>
              <w:t>Director of the Electricity Industry Development Department of Ministry of Energy of the Russian Federation</w:t>
            </w:r>
          </w:p>
        </w:tc>
      </w:tr>
      <w:tr w:rsidR="008A5057" w:rsidRPr="00BD295E" w14:paraId="55333673" w14:textId="77777777" w:rsidTr="00E3510B">
        <w:tc>
          <w:tcPr>
            <w:tcW w:w="419" w:type="dxa"/>
            <w:shd w:val="clear" w:color="auto" w:fill="auto"/>
          </w:tcPr>
          <w:p w14:paraId="34AE8BF4"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8</w:t>
            </w:r>
          </w:p>
        </w:tc>
        <w:tc>
          <w:tcPr>
            <w:tcW w:w="3260" w:type="dxa"/>
            <w:shd w:val="clear" w:color="auto" w:fill="auto"/>
          </w:tcPr>
          <w:p w14:paraId="273BEAC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Andrey Bondarchuk</w:t>
            </w:r>
          </w:p>
          <w:p w14:paraId="40A9C328"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4BB0B59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Chairman of the Energy and Engineering Support Committee of Saint Petersburg</w:t>
            </w:r>
          </w:p>
        </w:tc>
      </w:tr>
      <w:tr w:rsidR="008A5057" w:rsidRPr="00BD295E" w14:paraId="56A6A557" w14:textId="77777777" w:rsidTr="00E3510B">
        <w:tc>
          <w:tcPr>
            <w:tcW w:w="419" w:type="dxa"/>
            <w:shd w:val="clear" w:color="auto" w:fill="auto"/>
          </w:tcPr>
          <w:p w14:paraId="28BCB664"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9</w:t>
            </w:r>
          </w:p>
        </w:tc>
        <w:tc>
          <w:tcPr>
            <w:tcW w:w="3260" w:type="dxa"/>
            <w:shd w:val="clear" w:color="auto" w:fill="auto"/>
          </w:tcPr>
          <w:p w14:paraId="6AADE14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Elgiz Kachayev</w:t>
            </w:r>
          </w:p>
          <w:p w14:paraId="2BA887E2"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7B71C52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Chairman of the Entrepreneurship and Consumer Market Development Committee of Saint Petersburg</w:t>
            </w:r>
          </w:p>
        </w:tc>
      </w:tr>
      <w:tr w:rsidR="008A5057" w:rsidRPr="00BD295E" w14:paraId="67F94648" w14:textId="77777777" w:rsidTr="00E3510B">
        <w:tc>
          <w:tcPr>
            <w:tcW w:w="419" w:type="dxa"/>
            <w:shd w:val="clear" w:color="auto" w:fill="auto"/>
          </w:tcPr>
          <w:p w14:paraId="5221F1D1"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10</w:t>
            </w:r>
          </w:p>
        </w:tc>
        <w:tc>
          <w:tcPr>
            <w:tcW w:w="3260" w:type="dxa"/>
            <w:shd w:val="clear" w:color="auto" w:fill="auto"/>
          </w:tcPr>
          <w:p w14:paraId="7B46B86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Olga Kolesnikova</w:t>
            </w:r>
          </w:p>
          <w:p w14:paraId="631CA985"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5DA04162" w14:textId="77777777" w:rsidR="00F3260C" w:rsidRPr="00BD295E" w:rsidRDefault="008A5057" w:rsidP="0031297B">
            <w:pPr>
              <w:rPr>
                <w:rFonts w:ascii="Arial" w:hAnsi="Arial" w:cs="Arial"/>
                <w:sz w:val="18"/>
                <w:szCs w:val="18"/>
                <w:lang w:val="en-US"/>
              </w:rPr>
            </w:pPr>
            <w:r w:rsidRPr="00BD295E">
              <w:rPr>
                <w:rStyle w:val="description"/>
                <w:rFonts w:ascii="Arial" w:hAnsi="Arial" w:cs="Arial"/>
                <w:sz w:val="18"/>
                <w:szCs w:val="18"/>
                <w:lang w:val="en-US"/>
              </w:rPr>
              <w:t>First Deputy Chairman of the Energy and Engineering Support Committee of Saint Petersburg</w:t>
            </w:r>
          </w:p>
        </w:tc>
      </w:tr>
      <w:tr w:rsidR="008A5057" w:rsidRPr="00BD295E" w14:paraId="1AD29ADC" w14:textId="77777777" w:rsidTr="00E3510B">
        <w:tc>
          <w:tcPr>
            <w:tcW w:w="419" w:type="dxa"/>
            <w:shd w:val="clear" w:color="auto" w:fill="auto"/>
          </w:tcPr>
          <w:p w14:paraId="610A37C2"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11</w:t>
            </w:r>
          </w:p>
        </w:tc>
        <w:tc>
          <w:tcPr>
            <w:tcW w:w="3260" w:type="dxa"/>
            <w:shd w:val="clear" w:color="auto" w:fill="auto"/>
          </w:tcPr>
          <w:p w14:paraId="6009F42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Gasan Safarov</w:t>
            </w:r>
          </w:p>
          <w:p w14:paraId="78E769FB"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60D9B3C6" w14:textId="77777777" w:rsidR="00F3260C" w:rsidRPr="00BD295E" w:rsidRDefault="008A5057" w:rsidP="0031297B">
            <w:pPr>
              <w:rPr>
                <w:rFonts w:ascii="Arial" w:hAnsi="Arial" w:cs="Arial"/>
                <w:sz w:val="18"/>
                <w:szCs w:val="18"/>
                <w:lang w:val="en-US"/>
              </w:rPr>
            </w:pPr>
            <w:r w:rsidRPr="00BD295E">
              <w:rPr>
                <w:rStyle w:val="description"/>
                <w:rFonts w:ascii="Arial" w:hAnsi="Arial" w:cs="Arial"/>
                <w:sz w:val="18"/>
                <w:szCs w:val="18"/>
                <w:lang w:val="en-US"/>
              </w:rPr>
              <w:t>First Deputy Chairman of the Tariffs Committee of Saint Petersburg</w:t>
            </w:r>
          </w:p>
        </w:tc>
      </w:tr>
      <w:tr w:rsidR="008A5057" w:rsidRPr="00BD295E" w14:paraId="2FA815CC" w14:textId="77777777" w:rsidTr="00E3510B">
        <w:tc>
          <w:tcPr>
            <w:tcW w:w="419" w:type="dxa"/>
            <w:shd w:val="clear" w:color="auto" w:fill="auto"/>
          </w:tcPr>
          <w:p w14:paraId="1C8B9AED"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12</w:t>
            </w:r>
          </w:p>
        </w:tc>
        <w:tc>
          <w:tcPr>
            <w:tcW w:w="3260" w:type="dxa"/>
            <w:shd w:val="clear" w:color="auto" w:fill="auto"/>
          </w:tcPr>
          <w:p w14:paraId="32C347F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Lyudmila Solovyova</w:t>
            </w:r>
          </w:p>
          <w:p w14:paraId="08ADC992"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0E1AA7E8" w14:textId="77777777" w:rsidR="00F3260C" w:rsidRPr="00BD295E" w:rsidRDefault="008A5057" w:rsidP="0031297B">
            <w:pPr>
              <w:rPr>
                <w:rFonts w:ascii="Arial" w:hAnsi="Arial" w:cs="Arial"/>
                <w:sz w:val="18"/>
                <w:szCs w:val="18"/>
                <w:lang w:val="en-US"/>
              </w:rPr>
            </w:pPr>
            <w:r w:rsidRPr="00BD295E">
              <w:rPr>
                <w:rStyle w:val="description"/>
                <w:rFonts w:ascii="Arial" w:hAnsi="Arial" w:cs="Arial"/>
                <w:sz w:val="18"/>
                <w:szCs w:val="18"/>
                <w:lang w:val="en-US"/>
              </w:rPr>
              <w:t>Deputy Chairman of the Housing Committee of Saint Petersburg</w:t>
            </w:r>
          </w:p>
        </w:tc>
      </w:tr>
      <w:tr w:rsidR="008A5057" w:rsidRPr="00BD295E" w14:paraId="6A4B63CA" w14:textId="77777777" w:rsidTr="00E3510B">
        <w:tc>
          <w:tcPr>
            <w:tcW w:w="419" w:type="dxa"/>
            <w:shd w:val="clear" w:color="auto" w:fill="auto"/>
          </w:tcPr>
          <w:p w14:paraId="5E58F485"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13</w:t>
            </w:r>
          </w:p>
        </w:tc>
        <w:tc>
          <w:tcPr>
            <w:tcW w:w="3260" w:type="dxa"/>
            <w:shd w:val="clear" w:color="auto" w:fill="auto"/>
          </w:tcPr>
          <w:p w14:paraId="15A9821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Marina Yankina</w:t>
            </w:r>
          </w:p>
          <w:p w14:paraId="22F14650"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1D23323F" w14:textId="77777777" w:rsidR="00F3260C" w:rsidRPr="00BD295E" w:rsidRDefault="008A5057" w:rsidP="0031297B">
            <w:pPr>
              <w:rPr>
                <w:rFonts w:ascii="Arial" w:hAnsi="Arial" w:cs="Arial"/>
                <w:sz w:val="18"/>
                <w:szCs w:val="18"/>
                <w:lang w:val="en-US"/>
              </w:rPr>
            </w:pPr>
            <w:r w:rsidRPr="00BD295E">
              <w:rPr>
                <w:rStyle w:val="description"/>
                <w:rFonts w:ascii="Arial" w:hAnsi="Arial" w:cs="Arial"/>
                <w:sz w:val="18"/>
                <w:szCs w:val="18"/>
                <w:lang w:val="en-US"/>
              </w:rPr>
              <w:t>Deputy Chairman of the Property Relations Committee of Saint Petersburg</w:t>
            </w:r>
          </w:p>
        </w:tc>
      </w:tr>
    </w:tbl>
    <w:p w14:paraId="69403278" w14:textId="77777777" w:rsidR="00F3260C" w:rsidRPr="00BD295E" w:rsidRDefault="008A5057" w:rsidP="00F3260C">
      <w:pPr>
        <w:jc w:val="both"/>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5EDD099F" w14:textId="77777777" w:rsidR="00F3260C" w:rsidRPr="00BD295E" w:rsidRDefault="00F3260C" w:rsidP="00F3260C">
      <w:pPr>
        <w:jc w:val="both"/>
        <w:rPr>
          <w:rFonts w:ascii="Arial" w:hAnsi="Arial" w:cs="Arial"/>
          <w:sz w:val="18"/>
          <w:szCs w:val="18"/>
          <w:lang w:val="en-US"/>
        </w:rPr>
      </w:pPr>
    </w:p>
    <w:p w14:paraId="60C70568" w14:textId="37799F1E" w:rsidR="00F3260C" w:rsidRPr="00BD295E" w:rsidRDefault="008A5057" w:rsidP="00F3260C">
      <w:pPr>
        <w:pStyle w:val="aff2"/>
        <w:spacing w:after="0"/>
        <w:rPr>
          <w:rFonts w:ascii="Arial" w:hAnsi="Arial" w:cs="Arial"/>
          <w:b/>
          <w:sz w:val="18"/>
          <w:szCs w:val="18"/>
          <w:lang w:val="en-US"/>
        </w:rPr>
      </w:pPr>
      <w:r w:rsidRPr="00BD295E">
        <w:rPr>
          <w:rFonts w:ascii="Arial" w:hAnsi="Arial" w:cs="Arial"/>
          <w:b/>
          <w:bCs/>
          <w:sz w:val="18"/>
          <w:szCs w:val="18"/>
          <w:lang w:val="en-US"/>
        </w:rPr>
        <w:t xml:space="preserve">Composition of the Board of Directors of the Company elected by Resolution of the Annual </w:t>
      </w:r>
      <w:r w:rsidR="0053339C" w:rsidRPr="00BD295E">
        <w:rPr>
          <w:rFonts w:ascii="Arial" w:hAnsi="Arial" w:cs="Arial"/>
          <w:b/>
          <w:bCs/>
          <w:sz w:val="18"/>
          <w:szCs w:val="18"/>
          <w:lang w:val="en-US"/>
        </w:rPr>
        <w:t>General Meeting</w:t>
      </w:r>
      <w:r w:rsidRPr="00BD295E">
        <w:rPr>
          <w:rFonts w:ascii="Arial" w:hAnsi="Arial" w:cs="Arial"/>
          <w:b/>
          <w:bCs/>
          <w:sz w:val="18"/>
          <w:szCs w:val="18"/>
          <w:lang w:val="en-US"/>
        </w:rPr>
        <w:t xml:space="preserve"> </w:t>
      </w:r>
      <w:r w:rsidR="008B183C" w:rsidRPr="00BD295E">
        <w:rPr>
          <w:rFonts w:ascii="Arial" w:hAnsi="Arial" w:cs="Arial"/>
          <w:b/>
          <w:bCs/>
          <w:sz w:val="18"/>
          <w:szCs w:val="18"/>
          <w:lang w:val="en-US"/>
        </w:rPr>
        <w:t>of</w:t>
      </w:r>
      <w:r w:rsidRPr="00BD295E">
        <w:rPr>
          <w:rFonts w:ascii="Arial" w:hAnsi="Arial" w:cs="Arial"/>
          <w:b/>
          <w:bCs/>
          <w:sz w:val="18"/>
          <w:szCs w:val="18"/>
          <w:lang w:val="en-US"/>
        </w:rPr>
        <w:t xml:space="preserve"> February 5, 2018 (Minutes No. 1/2018 </w:t>
      </w:r>
      <w:r w:rsidR="008B183C" w:rsidRPr="00BD295E">
        <w:rPr>
          <w:rFonts w:ascii="Arial" w:hAnsi="Arial" w:cs="Arial"/>
          <w:b/>
          <w:bCs/>
          <w:sz w:val="18"/>
          <w:szCs w:val="18"/>
          <w:lang w:val="en-US"/>
        </w:rPr>
        <w:t>of</w:t>
      </w:r>
      <w:r w:rsidRPr="00BD295E">
        <w:rPr>
          <w:rFonts w:ascii="Arial" w:hAnsi="Arial" w:cs="Arial"/>
          <w:b/>
          <w:bCs/>
          <w:sz w:val="18"/>
          <w:szCs w:val="18"/>
          <w:lang w:val="en-US"/>
        </w:rPr>
        <w:t xml:space="preserve"> February 6, 2017)*</w:t>
      </w:r>
      <w:r w:rsidR="002C3947" w:rsidRPr="00BD295E">
        <w:rPr>
          <w:rFonts w:ascii="Arial" w:hAnsi="Arial" w:cs="Arial"/>
          <w:b/>
          <w:bCs/>
          <w:sz w:val="18"/>
          <w:szCs w:val="18"/>
          <w:lang w:val="en-US"/>
        </w:rPr>
        <w:t>:</w:t>
      </w:r>
    </w:p>
    <w:p w14:paraId="4E274F28" w14:textId="77777777" w:rsidR="00F3260C" w:rsidRPr="00BD295E" w:rsidRDefault="00F3260C" w:rsidP="00F3260C">
      <w:pPr>
        <w:pStyle w:val="aff2"/>
        <w:spacing w:after="0"/>
        <w:rPr>
          <w:rFonts w:ascii="Arial" w:hAnsi="Arial" w:cs="Arial"/>
          <w:b/>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231"/>
        <w:gridCol w:w="5608"/>
      </w:tblGrid>
      <w:tr w:rsidR="008A5057" w:rsidRPr="00BD295E" w14:paraId="0AA33F18" w14:textId="77777777" w:rsidTr="00E3510B">
        <w:tc>
          <w:tcPr>
            <w:tcW w:w="419" w:type="dxa"/>
            <w:shd w:val="clear" w:color="auto" w:fill="auto"/>
          </w:tcPr>
          <w:p w14:paraId="55148C58" w14:textId="77777777" w:rsidR="00F3260C" w:rsidRPr="00BD295E" w:rsidRDefault="008A5057" w:rsidP="00E3510B">
            <w:pPr>
              <w:pStyle w:val="aff2"/>
              <w:spacing w:after="0"/>
              <w:jc w:val="center"/>
              <w:rPr>
                <w:rFonts w:ascii="Arial" w:hAnsi="Arial" w:cs="Arial"/>
                <w:b/>
                <w:sz w:val="18"/>
                <w:szCs w:val="18"/>
                <w:lang w:val="en-US"/>
              </w:rPr>
            </w:pPr>
            <w:r w:rsidRPr="00BD295E">
              <w:rPr>
                <w:rFonts w:ascii="Arial" w:hAnsi="Arial" w:cs="Arial"/>
                <w:b/>
                <w:sz w:val="18"/>
                <w:szCs w:val="18"/>
                <w:lang w:val="en-US"/>
              </w:rPr>
              <w:t>No.</w:t>
            </w:r>
          </w:p>
        </w:tc>
        <w:tc>
          <w:tcPr>
            <w:tcW w:w="3260" w:type="dxa"/>
            <w:shd w:val="clear" w:color="auto" w:fill="auto"/>
          </w:tcPr>
          <w:p w14:paraId="1058EB81" w14:textId="77777777" w:rsidR="00F3260C" w:rsidRPr="00BD295E" w:rsidRDefault="008A5057" w:rsidP="00E3510B">
            <w:pPr>
              <w:pStyle w:val="aff2"/>
              <w:spacing w:after="0"/>
              <w:jc w:val="center"/>
              <w:rPr>
                <w:rFonts w:ascii="Arial" w:hAnsi="Arial" w:cs="Arial"/>
                <w:b/>
                <w:sz w:val="18"/>
                <w:szCs w:val="18"/>
                <w:lang w:val="en-US"/>
              </w:rPr>
            </w:pPr>
            <w:r w:rsidRPr="00BD295E">
              <w:rPr>
                <w:rFonts w:ascii="Arial" w:hAnsi="Arial" w:cs="Arial"/>
                <w:b/>
                <w:sz w:val="18"/>
                <w:szCs w:val="18"/>
                <w:lang w:val="en-US"/>
              </w:rPr>
              <w:t>Full name</w:t>
            </w:r>
          </w:p>
        </w:tc>
        <w:tc>
          <w:tcPr>
            <w:tcW w:w="5670" w:type="dxa"/>
            <w:shd w:val="clear" w:color="auto" w:fill="auto"/>
          </w:tcPr>
          <w:p w14:paraId="3E4F7E0B" w14:textId="77777777" w:rsidR="00F3260C" w:rsidRPr="00BD295E" w:rsidRDefault="008A5057" w:rsidP="00E3510B">
            <w:pPr>
              <w:pStyle w:val="aff2"/>
              <w:spacing w:after="0"/>
              <w:jc w:val="center"/>
              <w:rPr>
                <w:rFonts w:ascii="Arial" w:hAnsi="Arial" w:cs="Arial"/>
                <w:b/>
                <w:sz w:val="18"/>
                <w:szCs w:val="18"/>
                <w:lang w:val="en-US"/>
              </w:rPr>
            </w:pPr>
            <w:r w:rsidRPr="00BD295E">
              <w:rPr>
                <w:rFonts w:ascii="Arial" w:hAnsi="Arial" w:cs="Arial"/>
                <w:b/>
                <w:sz w:val="18"/>
                <w:szCs w:val="18"/>
                <w:lang w:val="en-US"/>
              </w:rPr>
              <w:t>Position when elected</w:t>
            </w:r>
          </w:p>
        </w:tc>
      </w:tr>
      <w:tr w:rsidR="008A5057" w:rsidRPr="00BD295E" w14:paraId="61EDB533" w14:textId="77777777" w:rsidTr="00E3510B">
        <w:tc>
          <w:tcPr>
            <w:tcW w:w="419" w:type="dxa"/>
            <w:shd w:val="clear" w:color="auto" w:fill="auto"/>
          </w:tcPr>
          <w:p w14:paraId="33B8400E"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w:t>
            </w:r>
          </w:p>
        </w:tc>
        <w:tc>
          <w:tcPr>
            <w:tcW w:w="3260" w:type="dxa"/>
            <w:shd w:val="clear" w:color="auto" w:fill="auto"/>
          </w:tcPr>
          <w:p w14:paraId="3E7E25BD"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Pavel Livinsky</w:t>
            </w:r>
          </w:p>
        </w:tc>
        <w:tc>
          <w:tcPr>
            <w:tcW w:w="5670" w:type="dxa"/>
            <w:shd w:val="clear" w:color="auto" w:fill="auto"/>
          </w:tcPr>
          <w:p w14:paraId="087A9689" w14:textId="77777777" w:rsidR="00F3260C" w:rsidRPr="00BD295E" w:rsidRDefault="008A5057" w:rsidP="00E3510B">
            <w:pPr>
              <w:pStyle w:val="aff2"/>
              <w:spacing w:after="0"/>
              <w:rPr>
                <w:rFonts w:ascii="Arial" w:hAnsi="Arial" w:cs="Arial"/>
                <w:b/>
                <w:sz w:val="18"/>
                <w:szCs w:val="18"/>
                <w:lang w:val="en-US"/>
              </w:rPr>
            </w:pPr>
            <w:r w:rsidRPr="00BD295E">
              <w:rPr>
                <w:rFonts w:ascii="Arial" w:hAnsi="Arial" w:cs="Arial"/>
                <w:sz w:val="18"/>
                <w:szCs w:val="18"/>
                <w:lang w:val="en-US"/>
              </w:rPr>
              <w:t xml:space="preserve">Chairman of the Management Board, CEO of </w:t>
            </w:r>
            <w:r w:rsidR="00BF106F" w:rsidRPr="00BD295E">
              <w:rPr>
                <w:rFonts w:ascii="Arial" w:hAnsi="Arial" w:cs="Arial"/>
                <w:sz w:val="18"/>
                <w:szCs w:val="18"/>
                <w:lang w:val="en-US"/>
              </w:rPr>
              <w:t>PJSC “Rosseti”</w:t>
            </w:r>
          </w:p>
        </w:tc>
      </w:tr>
      <w:tr w:rsidR="008A5057" w:rsidRPr="00BD295E" w14:paraId="02665615" w14:textId="77777777" w:rsidTr="00E3510B">
        <w:tc>
          <w:tcPr>
            <w:tcW w:w="419" w:type="dxa"/>
            <w:shd w:val="clear" w:color="auto" w:fill="auto"/>
          </w:tcPr>
          <w:p w14:paraId="774D3E8A"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2</w:t>
            </w:r>
          </w:p>
        </w:tc>
        <w:tc>
          <w:tcPr>
            <w:tcW w:w="3260" w:type="dxa"/>
            <w:shd w:val="clear" w:color="auto" w:fill="auto"/>
          </w:tcPr>
          <w:p w14:paraId="69652C3E"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 xml:space="preserve">Andrey Ryumin </w:t>
            </w:r>
          </w:p>
        </w:tc>
        <w:tc>
          <w:tcPr>
            <w:tcW w:w="5670" w:type="dxa"/>
            <w:shd w:val="clear" w:color="auto" w:fill="auto"/>
          </w:tcPr>
          <w:p w14:paraId="695F26F4" w14:textId="77777777" w:rsidR="00F3260C" w:rsidRPr="00BD295E" w:rsidRDefault="008A5057" w:rsidP="00E3510B">
            <w:pPr>
              <w:pStyle w:val="aff2"/>
              <w:spacing w:after="0"/>
              <w:rPr>
                <w:rFonts w:ascii="Arial" w:hAnsi="Arial" w:cs="Arial"/>
                <w:b/>
                <w:sz w:val="18"/>
                <w:szCs w:val="18"/>
                <w:lang w:val="en-US"/>
              </w:rPr>
            </w:pPr>
            <w:r w:rsidRPr="00BD295E">
              <w:rPr>
                <w:rFonts w:ascii="Arial" w:hAnsi="Arial" w:cs="Arial"/>
                <w:sz w:val="18"/>
                <w:szCs w:val="18"/>
                <w:lang w:val="en-US"/>
              </w:rPr>
              <w:t>Chairman of the Management Board, CEO of the Company</w:t>
            </w:r>
          </w:p>
        </w:tc>
      </w:tr>
      <w:tr w:rsidR="008A5057" w:rsidRPr="00BD295E" w14:paraId="4900AF2A" w14:textId="77777777" w:rsidTr="00E3510B">
        <w:tc>
          <w:tcPr>
            <w:tcW w:w="419" w:type="dxa"/>
            <w:shd w:val="clear" w:color="auto" w:fill="auto"/>
          </w:tcPr>
          <w:p w14:paraId="2B010546"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3</w:t>
            </w:r>
          </w:p>
        </w:tc>
        <w:tc>
          <w:tcPr>
            <w:tcW w:w="3260" w:type="dxa"/>
            <w:shd w:val="clear" w:color="auto" w:fill="auto"/>
          </w:tcPr>
          <w:p w14:paraId="61341743"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Yevgeny Olkhovich</w:t>
            </w:r>
          </w:p>
        </w:tc>
        <w:tc>
          <w:tcPr>
            <w:tcW w:w="5670" w:type="dxa"/>
            <w:shd w:val="clear" w:color="auto" w:fill="auto"/>
          </w:tcPr>
          <w:p w14:paraId="266D451A" w14:textId="77777777" w:rsidR="00F3260C" w:rsidRPr="00BD295E" w:rsidRDefault="008A5057" w:rsidP="00E3510B">
            <w:pPr>
              <w:pStyle w:val="aff2"/>
              <w:spacing w:after="0"/>
              <w:rPr>
                <w:rFonts w:ascii="Arial" w:hAnsi="Arial" w:cs="Arial"/>
                <w:b/>
                <w:sz w:val="18"/>
                <w:szCs w:val="18"/>
                <w:lang w:val="en-US"/>
              </w:rPr>
            </w:pPr>
            <w:r w:rsidRPr="00BD295E">
              <w:rPr>
                <w:rFonts w:ascii="Arial" w:hAnsi="Arial" w:cs="Arial"/>
                <w:iCs/>
                <w:sz w:val="18"/>
                <w:szCs w:val="18"/>
                <w:lang w:val="en-US"/>
              </w:rPr>
              <w:t xml:space="preserve">Deputy CEO for Strategic Development at </w:t>
            </w:r>
            <w:r w:rsidR="00BF106F" w:rsidRPr="00BD295E">
              <w:rPr>
                <w:rFonts w:ascii="Arial" w:hAnsi="Arial" w:cs="Arial"/>
                <w:iCs/>
                <w:sz w:val="18"/>
                <w:szCs w:val="18"/>
                <w:lang w:val="en-US"/>
              </w:rPr>
              <w:t>PJSC “Rosseti”</w:t>
            </w:r>
            <w:r w:rsidRPr="00BD295E">
              <w:rPr>
                <w:rFonts w:ascii="Arial" w:hAnsi="Arial" w:cs="Arial"/>
                <w:iCs/>
                <w:sz w:val="18"/>
                <w:szCs w:val="18"/>
                <w:lang w:val="en-US"/>
              </w:rPr>
              <w:t>;</w:t>
            </w:r>
          </w:p>
        </w:tc>
      </w:tr>
      <w:tr w:rsidR="008A5057" w:rsidRPr="00BD295E" w14:paraId="2620DFF1" w14:textId="77777777" w:rsidTr="00E3510B">
        <w:tc>
          <w:tcPr>
            <w:tcW w:w="419" w:type="dxa"/>
            <w:shd w:val="clear" w:color="auto" w:fill="auto"/>
          </w:tcPr>
          <w:p w14:paraId="3A4CCB5B"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4</w:t>
            </w:r>
          </w:p>
        </w:tc>
        <w:tc>
          <w:tcPr>
            <w:tcW w:w="3260" w:type="dxa"/>
            <w:shd w:val="clear" w:color="auto" w:fill="auto"/>
          </w:tcPr>
          <w:p w14:paraId="2F22278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Sergey Sergeev</w:t>
            </w:r>
          </w:p>
          <w:p w14:paraId="4C52DB67"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21B7E034" w14:textId="77777777" w:rsidR="00F3260C" w:rsidRPr="00BD295E" w:rsidRDefault="008A5057" w:rsidP="0031297B">
            <w:pPr>
              <w:rPr>
                <w:rFonts w:ascii="Arial" w:hAnsi="Arial" w:cs="Arial"/>
                <w:b/>
                <w:sz w:val="18"/>
                <w:szCs w:val="18"/>
                <w:lang w:val="en-US"/>
              </w:rPr>
            </w:pPr>
            <w:r w:rsidRPr="00BD295E">
              <w:rPr>
                <w:rFonts w:ascii="Arial" w:hAnsi="Arial" w:cs="Arial"/>
                <w:sz w:val="18"/>
                <w:szCs w:val="18"/>
                <w:lang w:val="en-US"/>
              </w:rPr>
              <w:t xml:space="preserve">Deputy CEO for Capital Construction, </w:t>
            </w:r>
            <w:r w:rsidR="00BF106F" w:rsidRPr="00BD295E">
              <w:rPr>
                <w:rFonts w:ascii="Arial" w:hAnsi="Arial" w:cs="Arial"/>
                <w:sz w:val="18"/>
                <w:szCs w:val="18"/>
                <w:lang w:val="en-US"/>
              </w:rPr>
              <w:t>PJSC “Rosseti”</w:t>
            </w:r>
          </w:p>
        </w:tc>
      </w:tr>
      <w:tr w:rsidR="008A5057" w:rsidRPr="00BD295E" w14:paraId="50935630" w14:textId="77777777" w:rsidTr="00E3510B">
        <w:tc>
          <w:tcPr>
            <w:tcW w:w="419" w:type="dxa"/>
            <w:shd w:val="clear" w:color="auto" w:fill="auto"/>
          </w:tcPr>
          <w:p w14:paraId="563BEB1A"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5</w:t>
            </w:r>
          </w:p>
        </w:tc>
        <w:tc>
          <w:tcPr>
            <w:tcW w:w="3260" w:type="dxa"/>
            <w:shd w:val="clear" w:color="auto" w:fill="auto"/>
          </w:tcPr>
          <w:p w14:paraId="53B73A62" w14:textId="77777777" w:rsidR="00F3260C" w:rsidRPr="00BD295E" w:rsidRDefault="008A5057" w:rsidP="0031297B">
            <w:pPr>
              <w:rPr>
                <w:rFonts w:ascii="Arial" w:hAnsi="Arial" w:cs="Arial"/>
                <w:b/>
                <w:sz w:val="18"/>
                <w:szCs w:val="18"/>
                <w:lang w:val="en-US"/>
              </w:rPr>
            </w:pPr>
            <w:r w:rsidRPr="00BD295E">
              <w:rPr>
                <w:rStyle w:val="Subst0"/>
                <w:rFonts w:ascii="Arial" w:hAnsi="Arial" w:cs="Arial"/>
                <w:b w:val="0"/>
                <w:i w:val="0"/>
                <w:sz w:val="18"/>
                <w:szCs w:val="18"/>
                <w:lang w:val="en-US"/>
              </w:rPr>
              <w:t>Daniil Krainsky</w:t>
            </w:r>
            <w:r w:rsidRPr="00BD295E">
              <w:rPr>
                <w:rFonts w:ascii="Arial" w:hAnsi="Arial" w:cs="Arial"/>
                <w:b/>
                <w:sz w:val="18"/>
                <w:szCs w:val="18"/>
                <w:lang w:val="en-US"/>
              </w:rPr>
              <w:t xml:space="preserve"> </w:t>
            </w:r>
          </w:p>
        </w:tc>
        <w:tc>
          <w:tcPr>
            <w:tcW w:w="5670" w:type="dxa"/>
            <w:shd w:val="clear" w:color="auto" w:fill="auto"/>
          </w:tcPr>
          <w:p w14:paraId="374797B2" w14:textId="77777777" w:rsidR="00F3260C" w:rsidRPr="00BD295E" w:rsidRDefault="008A5057" w:rsidP="002557A7">
            <w:pPr>
              <w:rPr>
                <w:rFonts w:ascii="Arial" w:hAnsi="Arial" w:cs="Arial"/>
                <w:sz w:val="18"/>
                <w:szCs w:val="18"/>
                <w:lang w:val="en-US"/>
              </w:rPr>
            </w:pPr>
            <w:r w:rsidRPr="00BD295E">
              <w:rPr>
                <w:rFonts w:ascii="Arial" w:hAnsi="Arial" w:cs="Arial"/>
                <w:sz w:val="18"/>
                <w:szCs w:val="18"/>
                <w:lang w:val="en-US"/>
              </w:rPr>
              <w:t xml:space="preserve">Acting Deputy CEO for Legal and Corporate Governance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Chief Advisor at </w:t>
            </w:r>
            <w:r w:rsidR="00BF106F" w:rsidRPr="00BD295E">
              <w:rPr>
                <w:rFonts w:ascii="Arial" w:hAnsi="Arial" w:cs="Arial"/>
                <w:sz w:val="18"/>
                <w:szCs w:val="18"/>
                <w:lang w:val="en-US"/>
              </w:rPr>
              <w:t>PJSC “Rosseti”</w:t>
            </w:r>
          </w:p>
        </w:tc>
      </w:tr>
      <w:tr w:rsidR="008A5057" w:rsidRPr="00BD295E" w14:paraId="54A2C74C" w14:textId="77777777" w:rsidTr="00E3510B">
        <w:tc>
          <w:tcPr>
            <w:tcW w:w="419" w:type="dxa"/>
            <w:shd w:val="clear" w:color="auto" w:fill="auto"/>
          </w:tcPr>
          <w:p w14:paraId="3F5E5710"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6</w:t>
            </w:r>
          </w:p>
        </w:tc>
        <w:tc>
          <w:tcPr>
            <w:tcW w:w="3260" w:type="dxa"/>
            <w:shd w:val="clear" w:color="auto" w:fill="auto"/>
          </w:tcPr>
          <w:p w14:paraId="213EE2A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Sergey Pikin</w:t>
            </w:r>
          </w:p>
        </w:tc>
        <w:tc>
          <w:tcPr>
            <w:tcW w:w="5670" w:type="dxa"/>
            <w:shd w:val="clear" w:color="auto" w:fill="auto"/>
          </w:tcPr>
          <w:p w14:paraId="048A9C82" w14:textId="77777777" w:rsidR="00F3260C" w:rsidRPr="00BD295E" w:rsidRDefault="008A5057" w:rsidP="0031297B">
            <w:pPr>
              <w:rPr>
                <w:rFonts w:ascii="Arial" w:hAnsi="Arial" w:cs="Arial"/>
                <w:sz w:val="18"/>
                <w:szCs w:val="18"/>
                <w:lang w:val="en-US"/>
              </w:rPr>
            </w:pPr>
            <w:r w:rsidRPr="00BD295E">
              <w:rPr>
                <w:rFonts w:ascii="Arial" w:hAnsi="Arial" w:cs="Arial"/>
                <w:iCs/>
                <w:sz w:val="18"/>
                <w:szCs w:val="18"/>
                <w:lang w:val="en-US"/>
              </w:rPr>
              <w:t xml:space="preserve">Director of the Energy Development Fund </w:t>
            </w:r>
          </w:p>
        </w:tc>
      </w:tr>
      <w:tr w:rsidR="008A5057" w:rsidRPr="00BD295E" w14:paraId="6B9EECE0" w14:textId="77777777" w:rsidTr="00E3510B">
        <w:tc>
          <w:tcPr>
            <w:tcW w:w="419" w:type="dxa"/>
            <w:shd w:val="clear" w:color="auto" w:fill="auto"/>
          </w:tcPr>
          <w:p w14:paraId="03C47E90"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7</w:t>
            </w:r>
          </w:p>
        </w:tc>
        <w:tc>
          <w:tcPr>
            <w:tcW w:w="3260" w:type="dxa"/>
            <w:shd w:val="clear" w:color="auto" w:fill="auto"/>
          </w:tcPr>
          <w:p w14:paraId="24380686" w14:textId="77777777" w:rsidR="00F3260C" w:rsidRPr="00BD295E" w:rsidRDefault="008A5057" w:rsidP="0031297B">
            <w:pPr>
              <w:rPr>
                <w:rFonts w:ascii="Arial" w:hAnsi="Arial" w:cs="Arial"/>
                <w:sz w:val="18"/>
                <w:szCs w:val="18"/>
                <w:lang w:val="en-US"/>
              </w:rPr>
            </w:pPr>
            <w:r w:rsidRPr="00BD295E">
              <w:rPr>
                <w:rStyle w:val="Subst0"/>
                <w:rFonts w:ascii="Arial" w:hAnsi="Arial" w:cs="Arial"/>
                <w:b w:val="0"/>
                <w:i w:val="0"/>
                <w:sz w:val="18"/>
                <w:szCs w:val="18"/>
                <w:lang w:val="en-US"/>
              </w:rPr>
              <w:t>Pavel Snikkars</w:t>
            </w:r>
          </w:p>
          <w:p w14:paraId="145EFC9A"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1B0D6315" w14:textId="77777777" w:rsidR="00F3260C" w:rsidRPr="00BD295E" w:rsidRDefault="008A5057" w:rsidP="0031297B">
            <w:pPr>
              <w:rPr>
                <w:rFonts w:ascii="Arial" w:hAnsi="Arial" w:cs="Arial"/>
                <w:sz w:val="18"/>
                <w:szCs w:val="18"/>
                <w:lang w:val="en-US"/>
              </w:rPr>
            </w:pPr>
            <w:r w:rsidRPr="00BD295E">
              <w:rPr>
                <w:rStyle w:val="FontStyle20"/>
                <w:rFonts w:ascii="Arial" w:hAnsi="Arial" w:cs="Arial"/>
                <w:sz w:val="18"/>
                <w:szCs w:val="18"/>
                <w:lang w:val="en-US"/>
              </w:rPr>
              <w:t>Director of the Electricity Industry Development Department of Ministry of Energy of the Russian Federation</w:t>
            </w:r>
          </w:p>
        </w:tc>
      </w:tr>
      <w:tr w:rsidR="008A5057" w:rsidRPr="00BD295E" w14:paraId="0D8D6E7C" w14:textId="77777777" w:rsidTr="00E3510B">
        <w:tc>
          <w:tcPr>
            <w:tcW w:w="419" w:type="dxa"/>
            <w:shd w:val="clear" w:color="auto" w:fill="auto"/>
          </w:tcPr>
          <w:p w14:paraId="4AF23BD2"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8</w:t>
            </w:r>
          </w:p>
        </w:tc>
        <w:tc>
          <w:tcPr>
            <w:tcW w:w="3260" w:type="dxa"/>
            <w:shd w:val="clear" w:color="auto" w:fill="auto"/>
          </w:tcPr>
          <w:p w14:paraId="49EDB73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Andrey Bondarchuk</w:t>
            </w:r>
          </w:p>
          <w:p w14:paraId="3F9B71BB"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4966F33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Chairman of the Energy and Engineering Support Committee of Saint Petersburg</w:t>
            </w:r>
          </w:p>
        </w:tc>
      </w:tr>
      <w:tr w:rsidR="008A5057" w:rsidRPr="00BD295E" w14:paraId="6E750A43" w14:textId="77777777" w:rsidTr="00E3510B">
        <w:tc>
          <w:tcPr>
            <w:tcW w:w="419" w:type="dxa"/>
            <w:shd w:val="clear" w:color="auto" w:fill="auto"/>
          </w:tcPr>
          <w:p w14:paraId="05D434F0"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9</w:t>
            </w:r>
          </w:p>
        </w:tc>
        <w:tc>
          <w:tcPr>
            <w:tcW w:w="3260" w:type="dxa"/>
            <w:shd w:val="clear" w:color="auto" w:fill="auto"/>
          </w:tcPr>
          <w:p w14:paraId="38FF7CE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Sergey Miloslavsky </w:t>
            </w:r>
          </w:p>
        </w:tc>
        <w:tc>
          <w:tcPr>
            <w:tcW w:w="5670" w:type="dxa"/>
            <w:shd w:val="clear" w:color="auto" w:fill="auto"/>
          </w:tcPr>
          <w:p w14:paraId="3C67A01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Deputy CEO at </w:t>
            </w:r>
            <w:r w:rsidR="00293DDA" w:rsidRPr="00BD295E">
              <w:rPr>
                <w:rFonts w:ascii="Arial" w:hAnsi="Arial" w:cs="Arial"/>
                <w:sz w:val="18"/>
                <w:szCs w:val="18"/>
                <w:lang w:val="en-US"/>
              </w:rPr>
              <w:t>OJSC “Metrostroy”</w:t>
            </w:r>
          </w:p>
        </w:tc>
      </w:tr>
      <w:tr w:rsidR="008A5057" w:rsidRPr="00BD295E" w14:paraId="78BC5084" w14:textId="77777777" w:rsidTr="00E3510B">
        <w:tc>
          <w:tcPr>
            <w:tcW w:w="419" w:type="dxa"/>
            <w:shd w:val="clear" w:color="auto" w:fill="auto"/>
          </w:tcPr>
          <w:p w14:paraId="1B1794DE"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10</w:t>
            </w:r>
          </w:p>
        </w:tc>
        <w:tc>
          <w:tcPr>
            <w:tcW w:w="3260" w:type="dxa"/>
            <w:shd w:val="clear" w:color="auto" w:fill="auto"/>
          </w:tcPr>
          <w:p w14:paraId="72B6CB1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Olga Kolesnikova</w:t>
            </w:r>
          </w:p>
          <w:p w14:paraId="699ACF6E"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73149C47" w14:textId="77777777" w:rsidR="00F3260C" w:rsidRPr="00BD295E" w:rsidRDefault="008A5057" w:rsidP="0031297B">
            <w:pPr>
              <w:rPr>
                <w:rFonts w:ascii="Arial" w:hAnsi="Arial" w:cs="Arial"/>
                <w:sz w:val="18"/>
                <w:szCs w:val="18"/>
                <w:lang w:val="en-US"/>
              </w:rPr>
            </w:pPr>
            <w:r w:rsidRPr="00BD295E">
              <w:rPr>
                <w:rStyle w:val="description"/>
                <w:rFonts w:ascii="Arial" w:hAnsi="Arial" w:cs="Arial"/>
                <w:sz w:val="18"/>
                <w:szCs w:val="18"/>
                <w:lang w:val="en-US"/>
              </w:rPr>
              <w:t>First Deputy Chairman of the Energy and Engineering Support Committee of Saint Petersburg</w:t>
            </w:r>
          </w:p>
        </w:tc>
      </w:tr>
      <w:tr w:rsidR="008A5057" w:rsidRPr="00BD295E" w14:paraId="06638542" w14:textId="77777777" w:rsidTr="00E3510B">
        <w:tc>
          <w:tcPr>
            <w:tcW w:w="419" w:type="dxa"/>
            <w:shd w:val="clear" w:color="auto" w:fill="auto"/>
          </w:tcPr>
          <w:p w14:paraId="6B69DA8D"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11</w:t>
            </w:r>
          </w:p>
        </w:tc>
        <w:tc>
          <w:tcPr>
            <w:tcW w:w="3260" w:type="dxa"/>
            <w:shd w:val="clear" w:color="auto" w:fill="auto"/>
          </w:tcPr>
          <w:p w14:paraId="56F2442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Gasan Safarov</w:t>
            </w:r>
          </w:p>
          <w:p w14:paraId="272CE8BB"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00E904A3" w14:textId="77777777" w:rsidR="00F3260C" w:rsidRPr="00BD295E" w:rsidRDefault="008A5057" w:rsidP="0031297B">
            <w:pPr>
              <w:rPr>
                <w:rFonts w:ascii="Arial" w:hAnsi="Arial" w:cs="Arial"/>
                <w:sz w:val="18"/>
                <w:szCs w:val="18"/>
                <w:lang w:val="en-US"/>
              </w:rPr>
            </w:pPr>
            <w:r w:rsidRPr="00BD295E">
              <w:rPr>
                <w:rStyle w:val="description"/>
                <w:rFonts w:ascii="Arial" w:hAnsi="Arial" w:cs="Arial"/>
                <w:sz w:val="18"/>
                <w:szCs w:val="18"/>
                <w:lang w:val="en-US"/>
              </w:rPr>
              <w:t>First Deputy Chairman of the Tariffs Committee of Saint Petersburg</w:t>
            </w:r>
          </w:p>
        </w:tc>
      </w:tr>
      <w:tr w:rsidR="008A5057" w:rsidRPr="00BD295E" w14:paraId="6522E082" w14:textId="77777777" w:rsidTr="00E3510B">
        <w:tc>
          <w:tcPr>
            <w:tcW w:w="419" w:type="dxa"/>
            <w:shd w:val="clear" w:color="auto" w:fill="auto"/>
          </w:tcPr>
          <w:p w14:paraId="32FBF69E"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12</w:t>
            </w:r>
          </w:p>
        </w:tc>
        <w:tc>
          <w:tcPr>
            <w:tcW w:w="3260" w:type="dxa"/>
            <w:shd w:val="clear" w:color="auto" w:fill="auto"/>
          </w:tcPr>
          <w:p w14:paraId="0730CED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Lyudmila Solovyova</w:t>
            </w:r>
          </w:p>
          <w:p w14:paraId="767CEF6D" w14:textId="77777777" w:rsidR="00F3260C" w:rsidRPr="00BD295E" w:rsidRDefault="00F3260C" w:rsidP="0031297B">
            <w:pPr>
              <w:rPr>
                <w:rFonts w:ascii="Arial" w:hAnsi="Arial" w:cs="Arial"/>
                <w:sz w:val="18"/>
                <w:szCs w:val="18"/>
                <w:lang w:val="en-US"/>
              </w:rPr>
            </w:pPr>
          </w:p>
        </w:tc>
        <w:tc>
          <w:tcPr>
            <w:tcW w:w="5670" w:type="dxa"/>
            <w:shd w:val="clear" w:color="auto" w:fill="auto"/>
          </w:tcPr>
          <w:p w14:paraId="31FA29D0" w14:textId="77777777" w:rsidR="00F3260C" w:rsidRPr="00BD295E" w:rsidRDefault="008A5057" w:rsidP="0031297B">
            <w:pPr>
              <w:rPr>
                <w:rFonts w:ascii="Arial" w:hAnsi="Arial" w:cs="Arial"/>
                <w:sz w:val="18"/>
                <w:szCs w:val="18"/>
                <w:lang w:val="en-US"/>
              </w:rPr>
            </w:pPr>
            <w:r w:rsidRPr="00BD295E">
              <w:rPr>
                <w:rStyle w:val="description"/>
                <w:rFonts w:ascii="Arial" w:hAnsi="Arial" w:cs="Arial"/>
                <w:sz w:val="18"/>
                <w:szCs w:val="18"/>
                <w:lang w:val="en-US"/>
              </w:rPr>
              <w:t>Deputy Chairman of the Housing Committee of Saint Petersburg</w:t>
            </w:r>
          </w:p>
        </w:tc>
      </w:tr>
      <w:tr w:rsidR="008A5057" w:rsidRPr="00BD295E" w14:paraId="7B961114" w14:textId="77777777" w:rsidTr="00E3510B">
        <w:tc>
          <w:tcPr>
            <w:tcW w:w="419" w:type="dxa"/>
            <w:shd w:val="clear" w:color="auto" w:fill="auto"/>
          </w:tcPr>
          <w:p w14:paraId="060BD42A" w14:textId="77777777" w:rsidR="00F3260C" w:rsidRPr="00BD295E" w:rsidRDefault="008A5057" w:rsidP="00E3510B">
            <w:pPr>
              <w:pStyle w:val="aff2"/>
              <w:spacing w:after="0"/>
              <w:rPr>
                <w:rFonts w:ascii="Arial" w:hAnsi="Arial" w:cs="Arial"/>
                <w:sz w:val="18"/>
                <w:szCs w:val="18"/>
                <w:lang w:val="en-US"/>
              </w:rPr>
            </w:pPr>
            <w:r w:rsidRPr="00BD295E">
              <w:rPr>
                <w:rFonts w:ascii="Arial" w:hAnsi="Arial" w:cs="Arial"/>
                <w:sz w:val="18"/>
                <w:szCs w:val="18"/>
                <w:lang w:val="en-US"/>
              </w:rPr>
              <w:t>13</w:t>
            </w:r>
          </w:p>
        </w:tc>
        <w:tc>
          <w:tcPr>
            <w:tcW w:w="3260" w:type="dxa"/>
            <w:shd w:val="clear" w:color="auto" w:fill="auto"/>
          </w:tcPr>
          <w:p w14:paraId="0ED7092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Aleksandr German </w:t>
            </w:r>
          </w:p>
        </w:tc>
        <w:tc>
          <w:tcPr>
            <w:tcW w:w="5670" w:type="dxa"/>
            <w:shd w:val="clear" w:color="auto" w:fill="auto"/>
          </w:tcPr>
          <w:p w14:paraId="6A87ECD8" w14:textId="77777777" w:rsidR="00F3260C" w:rsidRPr="00BD295E" w:rsidRDefault="008A5057" w:rsidP="0031297B">
            <w:pPr>
              <w:rPr>
                <w:rFonts w:ascii="Arial" w:hAnsi="Arial" w:cs="Arial"/>
                <w:sz w:val="18"/>
                <w:szCs w:val="18"/>
                <w:lang w:val="en-US"/>
              </w:rPr>
            </w:pPr>
            <w:r w:rsidRPr="00BD295E">
              <w:rPr>
                <w:rStyle w:val="description"/>
                <w:rFonts w:ascii="Arial" w:hAnsi="Arial" w:cs="Arial"/>
                <w:sz w:val="18"/>
                <w:szCs w:val="18"/>
                <w:lang w:val="en-US"/>
              </w:rPr>
              <w:t>Deputy Chairman of the Property Relations Committee of Saint Petersburg</w:t>
            </w:r>
          </w:p>
        </w:tc>
      </w:tr>
    </w:tbl>
    <w:p w14:paraId="471A1AB6" w14:textId="77777777" w:rsidR="00F3260C" w:rsidRPr="00BD295E" w:rsidRDefault="008A5057" w:rsidP="00F3260C">
      <w:pPr>
        <w:jc w:val="both"/>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4F7F8811" w14:textId="77777777" w:rsidR="00F3260C" w:rsidRPr="00BD295E" w:rsidRDefault="00F3260C" w:rsidP="00F3260C">
      <w:pPr>
        <w:rPr>
          <w:rFonts w:ascii="Arial" w:hAnsi="Arial" w:cs="Arial"/>
          <w:b/>
          <w:sz w:val="18"/>
          <w:szCs w:val="18"/>
          <w:lang w:val="en-US"/>
        </w:rPr>
      </w:pPr>
    </w:p>
    <w:p w14:paraId="6A93C6BF" w14:textId="77777777" w:rsidR="00293DDA" w:rsidRPr="00BD295E" w:rsidRDefault="00293DDA" w:rsidP="00F3260C">
      <w:pPr>
        <w:rPr>
          <w:rFonts w:ascii="Arial" w:hAnsi="Arial" w:cs="Arial"/>
          <w:b/>
          <w:sz w:val="18"/>
          <w:szCs w:val="18"/>
          <w:lang w:val="en-US"/>
        </w:rPr>
      </w:pPr>
    </w:p>
    <w:p w14:paraId="423C6DAB" w14:textId="77777777" w:rsidR="00293DDA" w:rsidRPr="00BD295E" w:rsidRDefault="00293DDA" w:rsidP="00F3260C">
      <w:pPr>
        <w:rPr>
          <w:rFonts w:ascii="Arial" w:hAnsi="Arial" w:cs="Arial"/>
          <w:b/>
          <w:sz w:val="18"/>
          <w:szCs w:val="18"/>
          <w:lang w:val="en-US"/>
        </w:rPr>
      </w:pPr>
    </w:p>
    <w:p w14:paraId="2348229F" w14:textId="77777777" w:rsidR="00293DDA" w:rsidRPr="00BD295E" w:rsidRDefault="00293DDA" w:rsidP="00F3260C">
      <w:pPr>
        <w:rPr>
          <w:rFonts w:ascii="Arial" w:hAnsi="Arial" w:cs="Arial"/>
          <w:b/>
          <w:sz w:val="18"/>
          <w:szCs w:val="18"/>
          <w:lang w:val="en-US"/>
        </w:rPr>
      </w:pPr>
    </w:p>
    <w:p w14:paraId="2164FE03" w14:textId="77777777" w:rsidR="00293DDA" w:rsidRPr="00BD295E" w:rsidRDefault="00293DDA" w:rsidP="00F3260C">
      <w:pPr>
        <w:rPr>
          <w:rFonts w:ascii="Arial" w:hAnsi="Arial" w:cs="Arial"/>
          <w:b/>
          <w:sz w:val="18"/>
          <w:szCs w:val="18"/>
          <w:lang w:val="en-US"/>
        </w:rPr>
      </w:pPr>
    </w:p>
    <w:p w14:paraId="3A71812C" w14:textId="77777777" w:rsidR="00293DDA" w:rsidRPr="00BD295E" w:rsidRDefault="00293DDA" w:rsidP="00F3260C">
      <w:pPr>
        <w:rPr>
          <w:rFonts w:ascii="Arial" w:hAnsi="Arial" w:cs="Arial"/>
          <w:b/>
          <w:sz w:val="18"/>
          <w:szCs w:val="18"/>
          <w:lang w:val="en-US"/>
        </w:rPr>
      </w:pPr>
    </w:p>
    <w:p w14:paraId="2F7544C9" w14:textId="77777777" w:rsidR="00293DDA" w:rsidRPr="00BD295E" w:rsidRDefault="00293DDA" w:rsidP="00F3260C">
      <w:pPr>
        <w:rPr>
          <w:rFonts w:ascii="Arial" w:hAnsi="Arial" w:cs="Arial"/>
          <w:b/>
          <w:sz w:val="18"/>
          <w:szCs w:val="18"/>
          <w:lang w:val="en-US"/>
        </w:rPr>
      </w:pPr>
    </w:p>
    <w:p w14:paraId="40DC97A7" w14:textId="77777777" w:rsidR="00293DDA" w:rsidRPr="00BD295E" w:rsidRDefault="00293DDA" w:rsidP="00F3260C">
      <w:pPr>
        <w:rPr>
          <w:rFonts w:ascii="Arial" w:hAnsi="Arial" w:cs="Arial"/>
          <w:b/>
          <w:sz w:val="18"/>
          <w:szCs w:val="18"/>
          <w:lang w:val="en-US"/>
        </w:rPr>
      </w:pPr>
    </w:p>
    <w:p w14:paraId="69B2CA31" w14:textId="77777777" w:rsidR="00293DDA" w:rsidRPr="00BD295E" w:rsidRDefault="00293DDA" w:rsidP="00F3260C">
      <w:pPr>
        <w:rPr>
          <w:rFonts w:ascii="Arial" w:hAnsi="Arial" w:cs="Arial"/>
          <w:b/>
          <w:sz w:val="18"/>
          <w:szCs w:val="18"/>
          <w:lang w:val="en-US"/>
        </w:rPr>
      </w:pPr>
    </w:p>
    <w:p w14:paraId="0B03A28E" w14:textId="77777777" w:rsidR="00F3260C" w:rsidRPr="00BD295E" w:rsidRDefault="00293DDA" w:rsidP="00F3260C">
      <w:pPr>
        <w:rPr>
          <w:rFonts w:ascii="Arial" w:hAnsi="Arial" w:cs="Arial"/>
          <w:b/>
          <w:sz w:val="18"/>
          <w:szCs w:val="18"/>
          <w:lang w:val="en-US"/>
        </w:rPr>
      </w:pPr>
      <w:r w:rsidRPr="00BD295E">
        <w:rPr>
          <w:rFonts w:ascii="Arial" w:hAnsi="Arial" w:cs="Arial"/>
          <w:b/>
          <w:sz w:val="18"/>
          <w:szCs w:val="18"/>
          <w:lang w:val="en-US"/>
        </w:rPr>
        <w:t xml:space="preserve">Member attendance at </w:t>
      </w:r>
      <w:r w:rsidR="008A5057" w:rsidRPr="00BD295E">
        <w:rPr>
          <w:rFonts w:ascii="Arial" w:hAnsi="Arial" w:cs="Arial"/>
          <w:b/>
          <w:sz w:val="18"/>
          <w:szCs w:val="18"/>
          <w:lang w:val="en-US"/>
        </w:rPr>
        <w:t>the Board of Directors of meetings of the</w:t>
      </w:r>
      <w:r w:rsidRPr="00BD295E">
        <w:rPr>
          <w:rFonts w:ascii="Arial" w:hAnsi="Arial" w:cs="Arial"/>
          <w:b/>
          <w:sz w:val="18"/>
          <w:szCs w:val="18"/>
          <w:lang w:val="en-US"/>
        </w:rPr>
        <w:t xml:space="preserve"> Company’s</w:t>
      </w:r>
      <w:r w:rsidR="008A5057" w:rsidRPr="00BD295E">
        <w:rPr>
          <w:rFonts w:ascii="Arial" w:hAnsi="Arial" w:cs="Arial"/>
          <w:b/>
          <w:sz w:val="18"/>
          <w:szCs w:val="18"/>
          <w:lang w:val="en-US"/>
        </w:rPr>
        <w:t xml:space="preserve"> Board of Directors and </w:t>
      </w:r>
      <w:r w:rsidRPr="00BD295E">
        <w:rPr>
          <w:rFonts w:ascii="Arial" w:hAnsi="Arial" w:cs="Arial"/>
          <w:b/>
          <w:sz w:val="18"/>
          <w:szCs w:val="18"/>
          <w:lang w:val="en-US"/>
        </w:rPr>
        <w:t xml:space="preserve">Board of Directors </w:t>
      </w:r>
      <w:r w:rsidR="008A5057" w:rsidRPr="00BD295E">
        <w:rPr>
          <w:rFonts w:ascii="Arial" w:hAnsi="Arial" w:cs="Arial"/>
          <w:b/>
          <w:sz w:val="18"/>
          <w:szCs w:val="18"/>
          <w:lang w:val="en-US"/>
        </w:rPr>
        <w:t>Committees in 2018*</w:t>
      </w:r>
    </w:p>
    <w:p w14:paraId="257FD284" w14:textId="77777777" w:rsidR="00F3260C" w:rsidRPr="00BD295E" w:rsidRDefault="00F3260C" w:rsidP="00F3260C">
      <w:pPr>
        <w:rPr>
          <w:rFonts w:ascii="Arial" w:hAnsi="Arial" w:cs="Arial"/>
          <w:b/>
          <w:sz w:val="18"/>
          <w:szCs w:val="18"/>
          <w:lang w:val="en-US"/>
        </w:rPr>
      </w:pPr>
    </w:p>
    <w:tbl>
      <w:tblPr>
        <w:tblW w:w="4852"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398"/>
        <w:gridCol w:w="718"/>
        <w:gridCol w:w="580"/>
        <w:gridCol w:w="836"/>
        <w:gridCol w:w="851"/>
        <w:gridCol w:w="709"/>
        <w:gridCol w:w="1161"/>
        <w:gridCol w:w="705"/>
        <w:gridCol w:w="1110"/>
      </w:tblGrid>
      <w:tr w:rsidR="008A5057" w:rsidRPr="00BD295E" w14:paraId="0017A056" w14:textId="77777777" w:rsidTr="00E3510B">
        <w:trPr>
          <w:tblHeader/>
        </w:trPr>
        <w:tc>
          <w:tcPr>
            <w:tcW w:w="2499" w:type="pct"/>
            <w:gridSpan w:val="4"/>
            <w:shd w:val="clear" w:color="auto" w:fill="DEEAF6"/>
            <w:vAlign w:val="center"/>
          </w:tcPr>
          <w:p w14:paraId="33BBDCE2"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Board of Directors</w:t>
            </w:r>
          </w:p>
        </w:tc>
        <w:tc>
          <w:tcPr>
            <w:tcW w:w="469" w:type="pct"/>
            <w:vMerge w:val="restart"/>
            <w:shd w:val="clear" w:color="auto" w:fill="DEEAF6"/>
            <w:textDirection w:val="btLr"/>
            <w:vAlign w:val="center"/>
          </w:tcPr>
          <w:p w14:paraId="49159627" w14:textId="77777777" w:rsidR="00F3260C" w:rsidRPr="00BD295E" w:rsidRDefault="008A5057" w:rsidP="00E3510B">
            <w:pPr>
              <w:ind w:left="113" w:right="113"/>
              <w:jc w:val="center"/>
              <w:rPr>
                <w:rFonts w:ascii="Arial" w:hAnsi="Arial" w:cs="Arial"/>
                <w:b/>
                <w:sz w:val="18"/>
                <w:szCs w:val="18"/>
                <w:lang w:val="en-US"/>
              </w:rPr>
            </w:pPr>
            <w:r w:rsidRPr="00BD295E">
              <w:rPr>
                <w:rFonts w:ascii="Arial" w:hAnsi="Arial" w:cs="Arial"/>
                <w:b/>
                <w:sz w:val="18"/>
                <w:szCs w:val="18"/>
                <w:lang w:val="en-US"/>
              </w:rPr>
              <w:t>Strategy and Development Committee</w:t>
            </w:r>
          </w:p>
        </w:tc>
        <w:tc>
          <w:tcPr>
            <w:tcW w:w="391" w:type="pct"/>
            <w:vMerge w:val="restart"/>
            <w:shd w:val="clear" w:color="auto" w:fill="DEEAF6"/>
            <w:textDirection w:val="btLr"/>
            <w:vAlign w:val="center"/>
          </w:tcPr>
          <w:p w14:paraId="5C2E3E04" w14:textId="77777777" w:rsidR="00F3260C" w:rsidRPr="00BD295E" w:rsidRDefault="008A5057" w:rsidP="00E3510B">
            <w:pPr>
              <w:ind w:left="113" w:right="113"/>
              <w:jc w:val="center"/>
              <w:rPr>
                <w:rFonts w:ascii="Arial" w:hAnsi="Arial" w:cs="Arial"/>
                <w:b/>
                <w:sz w:val="18"/>
                <w:szCs w:val="18"/>
                <w:lang w:val="en-US"/>
              </w:rPr>
            </w:pPr>
            <w:r w:rsidRPr="00BD295E">
              <w:rPr>
                <w:rFonts w:ascii="Arial" w:hAnsi="Arial" w:cs="Arial"/>
                <w:b/>
                <w:sz w:val="18"/>
                <w:szCs w:val="18"/>
                <w:lang w:val="en-US"/>
              </w:rPr>
              <w:t>Reliability Committee</w:t>
            </w:r>
          </w:p>
        </w:tc>
        <w:tc>
          <w:tcPr>
            <w:tcW w:w="640" w:type="pct"/>
            <w:vMerge w:val="restart"/>
            <w:shd w:val="clear" w:color="auto" w:fill="DEEAF6"/>
            <w:textDirection w:val="btLr"/>
            <w:vAlign w:val="center"/>
          </w:tcPr>
          <w:p w14:paraId="750E1636" w14:textId="77777777" w:rsidR="00F3260C" w:rsidRPr="00BD295E" w:rsidRDefault="008A5057" w:rsidP="00E3510B">
            <w:pPr>
              <w:ind w:left="113" w:right="113"/>
              <w:jc w:val="center"/>
              <w:rPr>
                <w:rFonts w:ascii="Arial" w:hAnsi="Arial" w:cs="Arial"/>
                <w:b/>
                <w:sz w:val="18"/>
                <w:szCs w:val="18"/>
                <w:lang w:val="en-US"/>
              </w:rPr>
            </w:pPr>
            <w:r w:rsidRPr="00BD295E">
              <w:rPr>
                <w:rFonts w:ascii="Arial" w:hAnsi="Arial" w:cs="Arial"/>
                <w:b/>
                <w:sz w:val="18"/>
                <w:szCs w:val="18"/>
                <w:lang w:val="en-US"/>
              </w:rPr>
              <w:t>Grid Connection Committee</w:t>
            </w:r>
          </w:p>
        </w:tc>
        <w:tc>
          <w:tcPr>
            <w:tcW w:w="389" w:type="pct"/>
            <w:vMerge w:val="restart"/>
            <w:shd w:val="clear" w:color="auto" w:fill="DEEAF6"/>
            <w:textDirection w:val="btLr"/>
            <w:vAlign w:val="center"/>
          </w:tcPr>
          <w:p w14:paraId="38771200" w14:textId="77777777" w:rsidR="00F3260C" w:rsidRPr="00BD295E" w:rsidRDefault="008A5057" w:rsidP="00E3510B">
            <w:pPr>
              <w:ind w:left="113" w:right="113"/>
              <w:jc w:val="center"/>
              <w:rPr>
                <w:rFonts w:ascii="Arial" w:hAnsi="Arial" w:cs="Arial"/>
                <w:b/>
                <w:sz w:val="18"/>
                <w:szCs w:val="18"/>
                <w:lang w:val="en-US"/>
              </w:rPr>
            </w:pPr>
            <w:r w:rsidRPr="00BD295E">
              <w:rPr>
                <w:rFonts w:ascii="Arial" w:hAnsi="Arial" w:cs="Arial"/>
                <w:b/>
                <w:sz w:val="18"/>
                <w:szCs w:val="18"/>
                <w:lang w:val="en-US"/>
              </w:rPr>
              <w:t>Audit Committee</w:t>
            </w:r>
          </w:p>
        </w:tc>
        <w:tc>
          <w:tcPr>
            <w:tcW w:w="612" w:type="pct"/>
            <w:vMerge w:val="restart"/>
            <w:shd w:val="clear" w:color="auto" w:fill="DEEAF6"/>
            <w:textDirection w:val="btLr"/>
            <w:vAlign w:val="center"/>
          </w:tcPr>
          <w:p w14:paraId="4AFA518E" w14:textId="77777777" w:rsidR="00F3260C" w:rsidRPr="00BD295E" w:rsidRDefault="008A5057" w:rsidP="00E3510B">
            <w:pPr>
              <w:ind w:left="113" w:right="113"/>
              <w:jc w:val="center"/>
              <w:rPr>
                <w:rFonts w:ascii="Arial" w:hAnsi="Arial" w:cs="Arial"/>
                <w:b/>
                <w:sz w:val="18"/>
                <w:szCs w:val="18"/>
                <w:lang w:val="en-US"/>
              </w:rPr>
            </w:pPr>
            <w:r w:rsidRPr="00BD295E">
              <w:rPr>
                <w:rFonts w:ascii="Arial" w:hAnsi="Arial" w:cs="Arial"/>
                <w:b/>
                <w:sz w:val="18"/>
                <w:szCs w:val="18"/>
                <w:lang w:val="en-US"/>
              </w:rPr>
              <w:t>Nomination and Remuneration Committee</w:t>
            </w:r>
          </w:p>
        </w:tc>
      </w:tr>
      <w:tr w:rsidR="008A5057" w:rsidRPr="00BD295E" w14:paraId="22919EE9" w14:textId="77777777" w:rsidTr="00E3510B">
        <w:trPr>
          <w:cantSplit/>
          <w:trHeight w:val="1134"/>
          <w:tblHeader/>
        </w:trPr>
        <w:tc>
          <w:tcPr>
            <w:tcW w:w="1322" w:type="pct"/>
            <w:shd w:val="clear" w:color="auto" w:fill="DEEAF6"/>
            <w:textDirection w:val="btLr"/>
            <w:vAlign w:val="center"/>
          </w:tcPr>
          <w:p w14:paraId="256EBE5D" w14:textId="77777777" w:rsidR="00F3260C" w:rsidRPr="00BD295E" w:rsidRDefault="008A5057" w:rsidP="00E3510B">
            <w:pPr>
              <w:ind w:left="113" w:right="113"/>
              <w:jc w:val="center"/>
              <w:rPr>
                <w:rFonts w:ascii="Arial" w:hAnsi="Arial" w:cs="Arial"/>
                <w:b/>
                <w:sz w:val="18"/>
                <w:szCs w:val="18"/>
                <w:lang w:val="en-US"/>
              </w:rPr>
            </w:pPr>
            <w:r w:rsidRPr="00BD295E">
              <w:rPr>
                <w:rFonts w:ascii="Arial" w:hAnsi="Arial" w:cs="Arial"/>
                <w:b/>
                <w:sz w:val="18"/>
                <w:szCs w:val="18"/>
                <w:lang w:val="en-US"/>
              </w:rPr>
              <w:t>Member of the Board of Directors</w:t>
            </w:r>
          </w:p>
        </w:tc>
        <w:tc>
          <w:tcPr>
            <w:tcW w:w="396" w:type="pct"/>
            <w:shd w:val="clear" w:color="auto" w:fill="DEEAF6"/>
            <w:textDirection w:val="btLr"/>
            <w:vAlign w:val="center"/>
          </w:tcPr>
          <w:p w14:paraId="2489B554" w14:textId="77777777" w:rsidR="00F3260C" w:rsidRPr="00BD295E" w:rsidRDefault="008A5057" w:rsidP="00E3510B">
            <w:pPr>
              <w:ind w:left="113" w:right="113"/>
              <w:jc w:val="center"/>
              <w:rPr>
                <w:rFonts w:ascii="Arial" w:hAnsi="Arial" w:cs="Arial"/>
                <w:b/>
                <w:sz w:val="18"/>
                <w:szCs w:val="18"/>
                <w:lang w:val="en-US"/>
              </w:rPr>
            </w:pPr>
            <w:r w:rsidRPr="00BD295E">
              <w:rPr>
                <w:rFonts w:ascii="Arial" w:hAnsi="Arial" w:cs="Arial"/>
                <w:b/>
                <w:sz w:val="18"/>
                <w:szCs w:val="18"/>
                <w:lang w:val="en-US"/>
              </w:rPr>
              <w:t>Non-executive director</w:t>
            </w:r>
          </w:p>
        </w:tc>
        <w:tc>
          <w:tcPr>
            <w:tcW w:w="320" w:type="pct"/>
            <w:shd w:val="clear" w:color="auto" w:fill="DEEAF6"/>
            <w:textDirection w:val="btLr"/>
            <w:vAlign w:val="center"/>
          </w:tcPr>
          <w:p w14:paraId="51FE19D4" w14:textId="77777777" w:rsidR="00F3260C" w:rsidRPr="00BD295E" w:rsidRDefault="008A5057" w:rsidP="00E3510B">
            <w:pPr>
              <w:ind w:left="113" w:right="113"/>
              <w:jc w:val="center"/>
              <w:rPr>
                <w:rFonts w:ascii="Arial" w:hAnsi="Arial" w:cs="Arial"/>
                <w:b/>
                <w:sz w:val="18"/>
                <w:szCs w:val="18"/>
                <w:lang w:val="en-US"/>
              </w:rPr>
            </w:pPr>
            <w:r w:rsidRPr="00BD295E">
              <w:rPr>
                <w:rFonts w:ascii="Arial" w:hAnsi="Arial" w:cs="Arial"/>
                <w:b/>
                <w:sz w:val="18"/>
                <w:szCs w:val="18"/>
                <w:lang w:val="en-US"/>
              </w:rPr>
              <w:t>Independent director</w:t>
            </w:r>
            <w:r w:rsidRPr="00BD295E">
              <w:rPr>
                <w:rStyle w:val="aff0"/>
                <w:rFonts w:ascii="Arial" w:hAnsi="Arial" w:cs="Arial"/>
                <w:b/>
                <w:sz w:val="18"/>
                <w:szCs w:val="18"/>
                <w:lang w:val="en-US"/>
              </w:rPr>
              <w:footnoteReference w:id="4"/>
            </w:r>
          </w:p>
        </w:tc>
        <w:tc>
          <w:tcPr>
            <w:tcW w:w="461" w:type="pct"/>
            <w:shd w:val="clear" w:color="auto" w:fill="DEEAF6"/>
            <w:textDirection w:val="btLr"/>
            <w:vAlign w:val="center"/>
          </w:tcPr>
          <w:p w14:paraId="1C31AA57" w14:textId="77777777" w:rsidR="00F3260C" w:rsidRPr="00BD295E" w:rsidRDefault="008A5057" w:rsidP="00E3510B">
            <w:pPr>
              <w:ind w:left="113" w:right="113"/>
              <w:jc w:val="center"/>
              <w:rPr>
                <w:rFonts w:ascii="Arial" w:hAnsi="Arial" w:cs="Arial"/>
                <w:b/>
                <w:sz w:val="18"/>
                <w:szCs w:val="18"/>
                <w:lang w:val="en-US"/>
              </w:rPr>
            </w:pPr>
            <w:r w:rsidRPr="00BD295E">
              <w:rPr>
                <w:rFonts w:ascii="Arial" w:hAnsi="Arial" w:cs="Arial"/>
                <w:b/>
                <w:sz w:val="18"/>
                <w:szCs w:val="18"/>
                <w:lang w:val="en-US"/>
              </w:rPr>
              <w:t xml:space="preserve">Meeting attendance </w:t>
            </w:r>
          </w:p>
        </w:tc>
        <w:tc>
          <w:tcPr>
            <w:tcW w:w="469" w:type="pct"/>
            <w:vMerge/>
            <w:shd w:val="clear" w:color="auto" w:fill="DEEAF6"/>
            <w:vAlign w:val="center"/>
          </w:tcPr>
          <w:p w14:paraId="38609AA8" w14:textId="77777777" w:rsidR="00F3260C" w:rsidRPr="00BD295E" w:rsidRDefault="00F3260C" w:rsidP="00E3510B">
            <w:pPr>
              <w:jc w:val="center"/>
              <w:rPr>
                <w:rFonts w:ascii="Arial" w:hAnsi="Arial" w:cs="Arial"/>
                <w:b/>
                <w:sz w:val="18"/>
                <w:szCs w:val="18"/>
                <w:lang w:val="en-US"/>
              </w:rPr>
            </w:pPr>
          </w:p>
        </w:tc>
        <w:tc>
          <w:tcPr>
            <w:tcW w:w="391" w:type="pct"/>
            <w:vMerge/>
            <w:shd w:val="clear" w:color="auto" w:fill="DEEAF6"/>
            <w:vAlign w:val="center"/>
          </w:tcPr>
          <w:p w14:paraId="6D19EAB5" w14:textId="77777777" w:rsidR="00F3260C" w:rsidRPr="00BD295E" w:rsidRDefault="00F3260C" w:rsidP="00E3510B">
            <w:pPr>
              <w:jc w:val="center"/>
              <w:rPr>
                <w:rFonts w:ascii="Arial" w:hAnsi="Arial" w:cs="Arial"/>
                <w:b/>
                <w:sz w:val="18"/>
                <w:szCs w:val="18"/>
                <w:lang w:val="en-US"/>
              </w:rPr>
            </w:pPr>
          </w:p>
        </w:tc>
        <w:tc>
          <w:tcPr>
            <w:tcW w:w="640" w:type="pct"/>
            <w:vMerge/>
            <w:shd w:val="clear" w:color="auto" w:fill="DEEAF6"/>
            <w:vAlign w:val="center"/>
          </w:tcPr>
          <w:p w14:paraId="164E0D21" w14:textId="77777777" w:rsidR="00F3260C" w:rsidRPr="00BD295E" w:rsidRDefault="00F3260C" w:rsidP="00E3510B">
            <w:pPr>
              <w:jc w:val="center"/>
              <w:rPr>
                <w:rFonts w:ascii="Arial" w:hAnsi="Arial" w:cs="Arial"/>
                <w:b/>
                <w:sz w:val="18"/>
                <w:szCs w:val="18"/>
                <w:lang w:val="en-US"/>
              </w:rPr>
            </w:pPr>
          </w:p>
        </w:tc>
        <w:tc>
          <w:tcPr>
            <w:tcW w:w="389" w:type="pct"/>
            <w:vMerge/>
            <w:shd w:val="clear" w:color="auto" w:fill="DEEAF6"/>
            <w:vAlign w:val="center"/>
          </w:tcPr>
          <w:p w14:paraId="4B5A69B4" w14:textId="77777777" w:rsidR="00F3260C" w:rsidRPr="00BD295E" w:rsidRDefault="00F3260C" w:rsidP="00E3510B">
            <w:pPr>
              <w:jc w:val="center"/>
              <w:rPr>
                <w:rFonts w:ascii="Arial" w:hAnsi="Arial" w:cs="Arial"/>
                <w:b/>
                <w:sz w:val="18"/>
                <w:szCs w:val="18"/>
                <w:lang w:val="en-US"/>
              </w:rPr>
            </w:pPr>
          </w:p>
        </w:tc>
        <w:tc>
          <w:tcPr>
            <w:tcW w:w="612" w:type="pct"/>
            <w:vMerge/>
            <w:shd w:val="clear" w:color="auto" w:fill="DEEAF6"/>
            <w:vAlign w:val="center"/>
          </w:tcPr>
          <w:p w14:paraId="6695F980" w14:textId="77777777" w:rsidR="00F3260C" w:rsidRPr="00BD295E" w:rsidRDefault="00F3260C" w:rsidP="00E3510B">
            <w:pPr>
              <w:jc w:val="center"/>
              <w:rPr>
                <w:rFonts w:ascii="Arial" w:hAnsi="Arial" w:cs="Arial"/>
                <w:b/>
                <w:sz w:val="18"/>
                <w:szCs w:val="18"/>
                <w:lang w:val="en-US"/>
              </w:rPr>
            </w:pPr>
          </w:p>
        </w:tc>
      </w:tr>
      <w:tr w:rsidR="008A5057" w:rsidRPr="00BD295E" w14:paraId="15BB8034" w14:textId="77777777" w:rsidTr="00E3510B">
        <w:tc>
          <w:tcPr>
            <w:tcW w:w="5000" w:type="pct"/>
            <w:gridSpan w:val="9"/>
            <w:shd w:val="clear" w:color="auto" w:fill="auto"/>
          </w:tcPr>
          <w:p w14:paraId="478A0A57"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Composition of the Board of Directors elected by the Resolution of the Company’s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June 8, 2018:</w:t>
            </w:r>
          </w:p>
        </w:tc>
      </w:tr>
      <w:tr w:rsidR="008A5057" w:rsidRPr="00BD295E" w14:paraId="3E0A4658" w14:textId="77777777" w:rsidTr="00E3510B">
        <w:tc>
          <w:tcPr>
            <w:tcW w:w="1322" w:type="pct"/>
            <w:shd w:val="clear" w:color="auto" w:fill="auto"/>
          </w:tcPr>
          <w:p w14:paraId="55320123"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P.A. Livinsky</w:t>
            </w:r>
          </w:p>
        </w:tc>
        <w:tc>
          <w:tcPr>
            <w:tcW w:w="396" w:type="pct"/>
            <w:shd w:val="clear" w:color="auto" w:fill="auto"/>
          </w:tcPr>
          <w:p w14:paraId="7A62890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312FF8A2" w14:textId="77777777" w:rsidR="00F3260C" w:rsidRPr="00BD295E" w:rsidRDefault="00F3260C" w:rsidP="00E3510B">
            <w:pPr>
              <w:jc w:val="center"/>
              <w:rPr>
                <w:rFonts w:ascii="Arial" w:hAnsi="Arial" w:cs="Arial"/>
                <w:sz w:val="18"/>
                <w:szCs w:val="18"/>
                <w:lang w:val="en-US"/>
              </w:rPr>
            </w:pPr>
          </w:p>
        </w:tc>
        <w:tc>
          <w:tcPr>
            <w:tcW w:w="461" w:type="pct"/>
            <w:shd w:val="clear" w:color="auto" w:fill="auto"/>
          </w:tcPr>
          <w:p w14:paraId="18623B1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41/40</w:t>
            </w:r>
          </w:p>
        </w:tc>
        <w:tc>
          <w:tcPr>
            <w:tcW w:w="469" w:type="pct"/>
            <w:shd w:val="clear" w:color="auto" w:fill="auto"/>
          </w:tcPr>
          <w:p w14:paraId="0B81ABD6" w14:textId="77777777" w:rsidR="00F3260C" w:rsidRPr="00BD295E" w:rsidRDefault="00F3260C" w:rsidP="00E3510B">
            <w:pPr>
              <w:jc w:val="center"/>
              <w:rPr>
                <w:rFonts w:ascii="Arial" w:hAnsi="Arial" w:cs="Arial"/>
                <w:sz w:val="18"/>
                <w:szCs w:val="18"/>
                <w:lang w:val="en-US"/>
              </w:rPr>
            </w:pPr>
          </w:p>
        </w:tc>
        <w:tc>
          <w:tcPr>
            <w:tcW w:w="391" w:type="pct"/>
            <w:shd w:val="clear" w:color="auto" w:fill="auto"/>
          </w:tcPr>
          <w:p w14:paraId="08A9F95A" w14:textId="77777777" w:rsidR="00F3260C" w:rsidRPr="00BD295E" w:rsidRDefault="00F3260C" w:rsidP="00E3510B">
            <w:pPr>
              <w:jc w:val="center"/>
              <w:rPr>
                <w:rFonts w:ascii="Arial" w:hAnsi="Arial" w:cs="Arial"/>
                <w:sz w:val="18"/>
                <w:szCs w:val="18"/>
                <w:lang w:val="en-US"/>
              </w:rPr>
            </w:pPr>
          </w:p>
        </w:tc>
        <w:tc>
          <w:tcPr>
            <w:tcW w:w="640" w:type="pct"/>
            <w:shd w:val="clear" w:color="auto" w:fill="auto"/>
          </w:tcPr>
          <w:p w14:paraId="7BCFA58B"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680EBA02"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1802C9F4" w14:textId="77777777" w:rsidR="00F3260C" w:rsidRPr="00BD295E" w:rsidRDefault="00F3260C" w:rsidP="00E3510B">
            <w:pPr>
              <w:jc w:val="center"/>
              <w:rPr>
                <w:rFonts w:ascii="Arial" w:hAnsi="Arial" w:cs="Arial"/>
                <w:sz w:val="18"/>
                <w:szCs w:val="18"/>
                <w:lang w:val="en-US"/>
              </w:rPr>
            </w:pPr>
          </w:p>
        </w:tc>
      </w:tr>
      <w:tr w:rsidR="008A5057" w:rsidRPr="00BD295E" w14:paraId="4A47BC48" w14:textId="77777777" w:rsidTr="00E3510B">
        <w:tc>
          <w:tcPr>
            <w:tcW w:w="1322" w:type="pct"/>
            <w:shd w:val="clear" w:color="auto" w:fill="auto"/>
          </w:tcPr>
          <w:p w14:paraId="2B397A5B"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A.V. Ryumin</w:t>
            </w:r>
          </w:p>
        </w:tc>
        <w:tc>
          <w:tcPr>
            <w:tcW w:w="396" w:type="pct"/>
            <w:shd w:val="clear" w:color="auto" w:fill="auto"/>
          </w:tcPr>
          <w:p w14:paraId="5717CD79" w14:textId="77777777" w:rsidR="00F3260C" w:rsidRPr="00BD295E" w:rsidRDefault="00F3260C" w:rsidP="00E3510B">
            <w:pPr>
              <w:jc w:val="center"/>
              <w:rPr>
                <w:rFonts w:ascii="Arial" w:hAnsi="Arial" w:cs="Arial"/>
                <w:sz w:val="18"/>
                <w:szCs w:val="18"/>
                <w:lang w:val="en-US"/>
              </w:rPr>
            </w:pPr>
          </w:p>
        </w:tc>
        <w:tc>
          <w:tcPr>
            <w:tcW w:w="320" w:type="pct"/>
            <w:shd w:val="clear" w:color="auto" w:fill="auto"/>
          </w:tcPr>
          <w:p w14:paraId="473281AF" w14:textId="77777777" w:rsidR="00F3260C" w:rsidRPr="00BD295E" w:rsidRDefault="00F3260C" w:rsidP="00E3510B">
            <w:pPr>
              <w:jc w:val="center"/>
              <w:rPr>
                <w:rFonts w:ascii="Arial" w:hAnsi="Arial" w:cs="Arial"/>
                <w:sz w:val="18"/>
                <w:szCs w:val="18"/>
                <w:lang w:val="en-US"/>
              </w:rPr>
            </w:pPr>
          </w:p>
        </w:tc>
        <w:tc>
          <w:tcPr>
            <w:tcW w:w="461" w:type="pct"/>
            <w:shd w:val="clear" w:color="auto" w:fill="auto"/>
          </w:tcPr>
          <w:p w14:paraId="77A5F18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41/37</w:t>
            </w:r>
          </w:p>
        </w:tc>
        <w:tc>
          <w:tcPr>
            <w:tcW w:w="469" w:type="pct"/>
            <w:shd w:val="clear" w:color="auto" w:fill="auto"/>
          </w:tcPr>
          <w:p w14:paraId="3430023E" w14:textId="77777777" w:rsidR="00F3260C" w:rsidRPr="00BD295E" w:rsidRDefault="00F3260C" w:rsidP="00E3510B">
            <w:pPr>
              <w:jc w:val="center"/>
              <w:rPr>
                <w:rFonts w:ascii="Arial" w:hAnsi="Arial" w:cs="Arial"/>
                <w:sz w:val="18"/>
                <w:szCs w:val="18"/>
                <w:lang w:val="en-US"/>
              </w:rPr>
            </w:pPr>
          </w:p>
        </w:tc>
        <w:tc>
          <w:tcPr>
            <w:tcW w:w="391" w:type="pct"/>
            <w:shd w:val="clear" w:color="auto" w:fill="auto"/>
          </w:tcPr>
          <w:p w14:paraId="30D2C689" w14:textId="77777777" w:rsidR="00F3260C" w:rsidRPr="00BD295E" w:rsidRDefault="00F3260C" w:rsidP="00E3510B">
            <w:pPr>
              <w:jc w:val="center"/>
              <w:rPr>
                <w:rFonts w:ascii="Arial" w:hAnsi="Arial" w:cs="Arial"/>
                <w:sz w:val="18"/>
                <w:szCs w:val="18"/>
                <w:lang w:val="en-US"/>
              </w:rPr>
            </w:pPr>
          </w:p>
        </w:tc>
        <w:tc>
          <w:tcPr>
            <w:tcW w:w="640" w:type="pct"/>
            <w:shd w:val="clear" w:color="auto" w:fill="auto"/>
          </w:tcPr>
          <w:p w14:paraId="21175096"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167B43AA"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11DF9AF1" w14:textId="77777777" w:rsidR="00F3260C" w:rsidRPr="00BD295E" w:rsidRDefault="00F3260C" w:rsidP="00E3510B">
            <w:pPr>
              <w:jc w:val="center"/>
              <w:rPr>
                <w:rFonts w:ascii="Arial" w:hAnsi="Arial" w:cs="Arial"/>
                <w:sz w:val="18"/>
                <w:szCs w:val="18"/>
                <w:lang w:val="en-US"/>
              </w:rPr>
            </w:pPr>
          </w:p>
        </w:tc>
      </w:tr>
      <w:tr w:rsidR="008A5057" w:rsidRPr="00BD295E" w14:paraId="774CA327" w14:textId="77777777" w:rsidTr="00E3510B">
        <w:tc>
          <w:tcPr>
            <w:tcW w:w="1322" w:type="pct"/>
            <w:shd w:val="clear" w:color="auto" w:fill="auto"/>
          </w:tcPr>
          <w:p w14:paraId="3D0F00DB"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O.A. Sergeeva</w:t>
            </w:r>
          </w:p>
        </w:tc>
        <w:tc>
          <w:tcPr>
            <w:tcW w:w="396" w:type="pct"/>
            <w:shd w:val="clear" w:color="auto" w:fill="auto"/>
          </w:tcPr>
          <w:p w14:paraId="03A09E3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43E2507D" w14:textId="77777777" w:rsidR="00F3260C" w:rsidRPr="00BD295E" w:rsidRDefault="00F3260C" w:rsidP="00E3510B">
            <w:pPr>
              <w:jc w:val="center"/>
              <w:rPr>
                <w:rFonts w:ascii="Arial" w:hAnsi="Arial" w:cs="Arial"/>
                <w:sz w:val="18"/>
                <w:szCs w:val="18"/>
                <w:lang w:val="en-US"/>
              </w:rPr>
            </w:pPr>
          </w:p>
        </w:tc>
        <w:tc>
          <w:tcPr>
            <w:tcW w:w="461" w:type="pct"/>
            <w:shd w:val="clear" w:color="auto" w:fill="auto"/>
          </w:tcPr>
          <w:p w14:paraId="5C36A13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21/20</w:t>
            </w:r>
          </w:p>
        </w:tc>
        <w:tc>
          <w:tcPr>
            <w:tcW w:w="469" w:type="pct"/>
            <w:shd w:val="clear" w:color="auto" w:fill="auto"/>
          </w:tcPr>
          <w:p w14:paraId="36D320E8" w14:textId="77777777" w:rsidR="00F3260C" w:rsidRPr="00BD295E" w:rsidRDefault="00F3260C" w:rsidP="00E3510B">
            <w:pPr>
              <w:jc w:val="center"/>
              <w:rPr>
                <w:rFonts w:ascii="Arial" w:hAnsi="Arial" w:cs="Arial"/>
                <w:sz w:val="18"/>
                <w:szCs w:val="18"/>
                <w:lang w:val="en-US"/>
              </w:rPr>
            </w:pPr>
          </w:p>
        </w:tc>
        <w:tc>
          <w:tcPr>
            <w:tcW w:w="391" w:type="pct"/>
            <w:shd w:val="clear" w:color="auto" w:fill="auto"/>
          </w:tcPr>
          <w:p w14:paraId="5CA23607" w14:textId="77777777" w:rsidR="00F3260C" w:rsidRPr="00BD295E" w:rsidRDefault="00F3260C" w:rsidP="00E3510B">
            <w:pPr>
              <w:jc w:val="center"/>
              <w:rPr>
                <w:rFonts w:ascii="Arial" w:hAnsi="Arial" w:cs="Arial"/>
                <w:sz w:val="18"/>
                <w:szCs w:val="18"/>
                <w:lang w:val="en-US"/>
              </w:rPr>
            </w:pPr>
          </w:p>
        </w:tc>
        <w:tc>
          <w:tcPr>
            <w:tcW w:w="640" w:type="pct"/>
            <w:shd w:val="clear" w:color="auto" w:fill="auto"/>
          </w:tcPr>
          <w:p w14:paraId="55FF8AE6"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47808A06"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293BD44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6/6</w:t>
            </w:r>
          </w:p>
        </w:tc>
      </w:tr>
      <w:tr w:rsidR="008A5057" w:rsidRPr="00BD295E" w14:paraId="79264B63" w14:textId="77777777" w:rsidTr="00E3510B">
        <w:tc>
          <w:tcPr>
            <w:tcW w:w="1322" w:type="pct"/>
            <w:shd w:val="clear" w:color="auto" w:fill="auto"/>
          </w:tcPr>
          <w:p w14:paraId="521C01CF"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S.V. Sergeev</w:t>
            </w:r>
          </w:p>
        </w:tc>
        <w:tc>
          <w:tcPr>
            <w:tcW w:w="396" w:type="pct"/>
            <w:shd w:val="clear" w:color="auto" w:fill="auto"/>
          </w:tcPr>
          <w:p w14:paraId="177E38B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6053A2FE" w14:textId="77777777" w:rsidR="00F3260C" w:rsidRPr="00BD295E" w:rsidRDefault="00F3260C" w:rsidP="00E3510B">
            <w:pPr>
              <w:jc w:val="center"/>
              <w:rPr>
                <w:rFonts w:ascii="Arial" w:hAnsi="Arial" w:cs="Arial"/>
                <w:sz w:val="18"/>
                <w:szCs w:val="18"/>
                <w:lang w:val="en-US"/>
              </w:rPr>
            </w:pPr>
          </w:p>
        </w:tc>
        <w:tc>
          <w:tcPr>
            <w:tcW w:w="461" w:type="pct"/>
            <w:shd w:val="clear" w:color="auto" w:fill="auto"/>
          </w:tcPr>
          <w:p w14:paraId="03A0DF8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45/43</w:t>
            </w:r>
          </w:p>
        </w:tc>
        <w:tc>
          <w:tcPr>
            <w:tcW w:w="469" w:type="pct"/>
            <w:shd w:val="clear" w:color="auto" w:fill="auto"/>
          </w:tcPr>
          <w:p w14:paraId="4DAC6EE0" w14:textId="77777777" w:rsidR="00F3260C" w:rsidRPr="00BD295E" w:rsidRDefault="00F3260C" w:rsidP="00E3510B">
            <w:pPr>
              <w:jc w:val="center"/>
              <w:rPr>
                <w:rFonts w:ascii="Arial" w:hAnsi="Arial" w:cs="Arial"/>
                <w:sz w:val="18"/>
                <w:szCs w:val="18"/>
                <w:lang w:val="en-US"/>
              </w:rPr>
            </w:pPr>
          </w:p>
        </w:tc>
        <w:tc>
          <w:tcPr>
            <w:tcW w:w="391" w:type="pct"/>
            <w:shd w:val="clear" w:color="auto" w:fill="auto"/>
          </w:tcPr>
          <w:p w14:paraId="6B2654A0" w14:textId="77777777" w:rsidR="00F3260C" w:rsidRPr="00BD295E" w:rsidRDefault="00F3260C" w:rsidP="00E3510B">
            <w:pPr>
              <w:jc w:val="center"/>
              <w:rPr>
                <w:rFonts w:ascii="Arial" w:hAnsi="Arial" w:cs="Arial"/>
                <w:sz w:val="18"/>
                <w:szCs w:val="18"/>
                <w:lang w:val="en-US"/>
              </w:rPr>
            </w:pPr>
          </w:p>
        </w:tc>
        <w:tc>
          <w:tcPr>
            <w:tcW w:w="640" w:type="pct"/>
            <w:shd w:val="clear" w:color="auto" w:fill="auto"/>
          </w:tcPr>
          <w:p w14:paraId="38896261"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098FFE9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10/9</w:t>
            </w:r>
          </w:p>
        </w:tc>
        <w:tc>
          <w:tcPr>
            <w:tcW w:w="612" w:type="pct"/>
            <w:shd w:val="clear" w:color="auto" w:fill="auto"/>
          </w:tcPr>
          <w:p w14:paraId="74263759" w14:textId="77777777" w:rsidR="00F3260C" w:rsidRPr="00BD295E" w:rsidRDefault="00F3260C" w:rsidP="00E3510B">
            <w:pPr>
              <w:jc w:val="center"/>
              <w:rPr>
                <w:rFonts w:ascii="Arial" w:hAnsi="Arial" w:cs="Arial"/>
                <w:sz w:val="18"/>
                <w:szCs w:val="18"/>
                <w:lang w:val="en-US"/>
              </w:rPr>
            </w:pPr>
          </w:p>
        </w:tc>
      </w:tr>
      <w:tr w:rsidR="008A5057" w:rsidRPr="00BD295E" w14:paraId="72DDF6CB" w14:textId="77777777" w:rsidTr="00E3510B">
        <w:tc>
          <w:tcPr>
            <w:tcW w:w="1322" w:type="pct"/>
            <w:shd w:val="clear" w:color="auto" w:fill="auto"/>
          </w:tcPr>
          <w:p w14:paraId="4D27111F"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S.S. Pikin</w:t>
            </w:r>
          </w:p>
        </w:tc>
        <w:tc>
          <w:tcPr>
            <w:tcW w:w="396" w:type="pct"/>
            <w:shd w:val="clear" w:color="auto" w:fill="auto"/>
          </w:tcPr>
          <w:p w14:paraId="6EC8AB5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2362746A" w14:textId="77777777" w:rsidR="00F3260C" w:rsidRPr="00BD295E" w:rsidRDefault="00F3260C" w:rsidP="00E3510B">
            <w:pPr>
              <w:jc w:val="center"/>
              <w:rPr>
                <w:rFonts w:ascii="Arial" w:hAnsi="Arial" w:cs="Arial"/>
                <w:sz w:val="18"/>
                <w:szCs w:val="18"/>
                <w:lang w:val="en-US"/>
              </w:rPr>
            </w:pPr>
          </w:p>
        </w:tc>
        <w:tc>
          <w:tcPr>
            <w:tcW w:w="461" w:type="pct"/>
            <w:shd w:val="clear" w:color="auto" w:fill="auto"/>
          </w:tcPr>
          <w:p w14:paraId="1318BC6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45/44</w:t>
            </w:r>
          </w:p>
        </w:tc>
        <w:tc>
          <w:tcPr>
            <w:tcW w:w="469" w:type="pct"/>
            <w:shd w:val="clear" w:color="auto" w:fill="auto"/>
          </w:tcPr>
          <w:p w14:paraId="36FFC61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9/9</w:t>
            </w:r>
          </w:p>
        </w:tc>
        <w:tc>
          <w:tcPr>
            <w:tcW w:w="391" w:type="pct"/>
            <w:shd w:val="clear" w:color="auto" w:fill="auto"/>
          </w:tcPr>
          <w:p w14:paraId="0D5EDC3D" w14:textId="77777777" w:rsidR="00F3260C" w:rsidRPr="00BD295E" w:rsidRDefault="00F3260C" w:rsidP="00E3510B">
            <w:pPr>
              <w:jc w:val="center"/>
              <w:rPr>
                <w:rFonts w:ascii="Arial" w:hAnsi="Arial" w:cs="Arial"/>
                <w:sz w:val="18"/>
                <w:szCs w:val="18"/>
                <w:lang w:val="en-US"/>
              </w:rPr>
            </w:pPr>
          </w:p>
        </w:tc>
        <w:tc>
          <w:tcPr>
            <w:tcW w:w="640" w:type="pct"/>
            <w:shd w:val="clear" w:color="auto" w:fill="auto"/>
          </w:tcPr>
          <w:p w14:paraId="0B33C404"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5BF3753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10/10</w:t>
            </w:r>
          </w:p>
        </w:tc>
        <w:tc>
          <w:tcPr>
            <w:tcW w:w="612" w:type="pct"/>
            <w:shd w:val="clear" w:color="auto" w:fill="auto"/>
          </w:tcPr>
          <w:p w14:paraId="25E5904F" w14:textId="77777777" w:rsidR="00F3260C" w:rsidRPr="00BD295E" w:rsidRDefault="00F3260C" w:rsidP="00E3510B">
            <w:pPr>
              <w:jc w:val="center"/>
              <w:rPr>
                <w:rFonts w:ascii="Arial" w:hAnsi="Arial" w:cs="Arial"/>
                <w:sz w:val="18"/>
                <w:szCs w:val="18"/>
                <w:lang w:val="en-US"/>
              </w:rPr>
            </w:pPr>
          </w:p>
        </w:tc>
      </w:tr>
      <w:tr w:rsidR="008A5057" w:rsidRPr="00BD295E" w14:paraId="47836AF4" w14:textId="77777777" w:rsidTr="00E3510B">
        <w:tc>
          <w:tcPr>
            <w:tcW w:w="1322" w:type="pct"/>
            <w:shd w:val="clear" w:color="auto" w:fill="auto"/>
          </w:tcPr>
          <w:p w14:paraId="4851D09E"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Ye.A. Olkhovich</w:t>
            </w:r>
          </w:p>
        </w:tc>
        <w:tc>
          <w:tcPr>
            <w:tcW w:w="396" w:type="pct"/>
            <w:shd w:val="clear" w:color="auto" w:fill="auto"/>
          </w:tcPr>
          <w:p w14:paraId="05BD157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41EC53F0" w14:textId="77777777" w:rsidR="00F3260C" w:rsidRPr="00BD295E" w:rsidRDefault="00F3260C" w:rsidP="00E3510B">
            <w:pPr>
              <w:jc w:val="center"/>
              <w:rPr>
                <w:rFonts w:ascii="Arial" w:hAnsi="Arial" w:cs="Arial"/>
                <w:sz w:val="18"/>
                <w:szCs w:val="18"/>
                <w:lang w:val="en-US"/>
              </w:rPr>
            </w:pPr>
          </w:p>
        </w:tc>
        <w:tc>
          <w:tcPr>
            <w:tcW w:w="461" w:type="pct"/>
            <w:shd w:val="clear" w:color="auto" w:fill="auto"/>
          </w:tcPr>
          <w:p w14:paraId="225CE76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41/39</w:t>
            </w:r>
          </w:p>
        </w:tc>
        <w:tc>
          <w:tcPr>
            <w:tcW w:w="469" w:type="pct"/>
            <w:shd w:val="clear" w:color="auto" w:fill="auto"/>
          </w:tcPr>
          <w:p w14:paraId="6125D2EC"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8/8</w:t>
            </w:r>
          </w:p>
        </w:tc>
        <w:tc>
          <w:tcPr>
            <w:tcW w:w="391" w:type="pct"/>
            <w:shd w:val="clear" w:color="auto" w:fill="auto"/>
          </w:tcPr>
          <w:p w14:paraId="0319A1A6" w14:textId="77777777" w:rsidR="00F3260C" w:rsidRPr="00BD295E" w:rsidRDefault="00F3260C" w:rsidP="00E3510B">
            <w:pPr>
              <w:jc w:val="center"/>
              <w:rPr>
                <w:rFonts w:ascii="Arial" w:hAnsi="Arial" w:cs="Arial"/>
                <w:sz w:val="18"/>
                <w:szCs w:val="18"/>
                <w:lang w:val="en-US"/>
              </w:rPr>
            </w:pPr>
          </w:p>
        </w:tc>
        <w:tc>
          <w:tcPr>
            <w:tcW w:w="640" w:type="pct"/>
            <w:shd w:val="clear" w:color="auto" w:fill="auto"/>
          </w:tcPr>
          <w:p w14:paraId="095AFEBA"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02EAD981"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06A6C941" w14:textId="77777777" w:rsidR="00F3260C" w:rsidRPr="00BD295E" w:rsidRDefault="00F3260C" w:rsidP="00E3510B">
            <w:pPr>
              <w:jc w:val="center"/>
              <w:rPr>
                <w:rFonts w:ascii="Arial" w:hAnsi="Arial" w:cs="Arial"/>
                <w:sz w:val="18"/>
                <w:szCs w:val="18"/>
                <w:lang w:val="en-US"/>
              </w:rPr>
            </w:pPr>
          </w:p>
        </w:tc>
      </w:tr>
      <w:tr w:rsidR="008A5057" w:rsidRPr="00BD295E" w14:paraId="7950F892" w14:textId="77777777" w:rsidTr="00E3510B">
        <w:tc>
          <w:tcPr>
            <w:tcW w:w="1322" w:type="pct"/>
            <w:shd w:val="clear" w:color="auto" w:fill="auto"/>
          </w:tcPr>
          <w:p w14:paraId="17AB003F"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D.V. Krainsky</w:t>
            </w:r>
          </w:p>
        </w:tc>
        <w:tc>
          <w:tcPr>
            <w:tcW w:w="396" w:type="pct"/>
            <w:shd w:val="clear" w:color="auto" w:fill="auto"/>
          </w:tcPr>
          <w:p w14:paraId="16352244" w14:textId="77777777" w:rsidR="00F3260C" w:rsidRPr="00BD295E" w:rsidRDefault="00F3260C" w:rsidP="00E3510B">
            <w:pPr>
              <w:jc w:val="center"/>
              <w:rPr>
                <w:rFonts w:ascii="Arial" w:hAnsi="Arial" w:cs="Arial"/>
                <w:sz w:val="18"/>
                <w:szCs w:val="18"/>
                <w:lang w:val="en-US"/>
              </w:rPr>
            </w:pPr>
          </w:p>
        </w:tc>
        <w:tc>
          <w:tcPr>
            <w:tcW w:w="320" w:type="pct"/>
            <w:shd w:val="clear" w:color="auto" w:fill="auto"/>
          </w:tcPr>
          <w:p w14:paraId="0F705915" w14:textId="77777777" w:rsidR="00F3260C" w:rsidRPr="00BD295E" w:rsidRDefault="00F3260C" w:rsidP="00E3510B">
            <w:pPr>
              <w:jc w:val="center"/>
              <w:rPr>
                <w:rFonts w:ascii="Arial" w:hAnsi="Arial" w:cs="Arial"/>
                <w:sz w:val="18"/>
                <w:szCs w:val="18"/>
                <w:lang w:val="en-US"/>
              </w:rPr>
            </w:pPr>
          </w:p>
        </w:tc>
        <w:tc>
          <w:tcPr>
            <w:tcW w:w="461" w:type="pct"/>
            <w:shd w:val="clear" w:color="auto" w:fill="auto"/>
          </w:tcPr>
          <w:p w14:paraId="64162DF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41/40</w:t>
            </w:r>
          </w:p>
        </w:tc>
        <w:tc>
          <w:tcPr>
            <w:tcW w:w="469" w:type="pct"/>
            <w:shd w:val="clear" w:color="auto" w:fill="auto"/>
          </w:tcPr>
          <w:p w14:paraId="41EDD3BD" w14:textId="77777777" w:rsidR="00F3260C" w:rsidRPr="00BD295E" w:rsidRDefault="00F3260C" w:rsidP="00E3510B">
            <w:pPr>
              <w:jc w:val="center"/>
              <w:rPr>
                <w:rFonts w:ascii="Arial" w:hAnsi="Arial" w:cs="Arial"/>
                <w:sz w:val="18"/>
                <w:szCs w:val="18"/>
                <w:lang w:val="en-US"/>
              </w:rPr>
            </w:pPr>
          </w:p>
        </w:tc>
        <w:tc>
          <w:tcPr>
            <w:tcW w:w="391" w:type="pct"/>
            <w:shd w:val="clear" w:color="auto" w:fill="auto"/>
          </w:tcPr>
          <w:p w14:paraId="5BE0DB4A" w14:textId="77777777" w:rsidR="00F3260C" w:rsidRPr="00BD295E" w:rsidRDefault="00F3260C" w:rsidP="00E3510B">
            <w:pPr>
              <w:jc w:val="center"/>
              <w:rPr>
                <w:rFonts w:ascii="Arial" w:hAnsi="Arial" w:cs="Arial"/>
                <w:sz w:val="18"/>
                <w:szCs w:val="18"/>
                <w:lang w:val="en-US"/>
              </w:rPr>
            </w:pPr>
          </w:p>
        </w:tc>
        <w:tc>
          <w:tcPr>
            <w:tcW w:w="640" w:type="pct"/>
            <w:shd w:val="clear" w:color="auto" w:fill="auto"/>
          </w:tcPr>
          <w:p w14:paraId="5C4999B8"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0E9B210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8/8</w:t>
            </w:r>
          </w:p>
        </w:tc>
        <w:tc>
          <w:tcPr>
            <w:tcW w:w="612" w:type="pct"/>
            <w:shd w:val="clear" w:color="auto" w:fill="auto"/>
          </w:tcPr>
          <w:p w14:paraId="704DF22F" w14:textId="77777777" w:rsidR="00F3260C" w:rsidRPr="00BD295E" w:rsidRDefault="00F3260C" w:rsidP="00E3510B">
            <w:pPr>
              <w:jc w:val="center"/>
              <w:rPr>
                <w:rFonts w:ascii="Arial" w:hAnsi="Arial" w:cs="Arial"/>
                <w:sz w:val="18"/>
                <w:szCs w:val="18"/>
                <w:lang w:val="en-US"/>
              </w:rPr>
            </w:pPr>
          </w:p>
        </w:tc>
      </w:tr>
      <w:tr w:rsidR="008A5057" w:rsidRPr="00BD295E" w14:paraId="1C448B69" w14:textId="77777777" w:rsidTr="00E3510B">
        <w:tc>
          <w:tcPr>
            <w:tcW w:w="1322" w:type="pct"/>
            <w:shd w:val="clear" w:color="auto" w:fill="auto"/>
          </w:tcPr>
          <w:p w14:paraId="325CF0DA"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A.S. Bondarchuk</w:t>
            </w:r>
          </w:p>
        </w:tc>
        <w:tc>
          <w:tcPr>
            <w:tcW w:w="396" w:type="pct"/>
            <w:shd w:val="clear" w:color="auto" w:fill="auto"/>
          </w:tcPr>
          <w:p w14:paraId="32909FC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714D90AB" w14:textId="77777777" w:rsidR="00F3260C" w:rsidRPr="00BD295E" w:rsidRDefault="00F3260C" w:rsidP="0031297B">
            <w:pPr>
              <w:rPr>
                <w:rFonts w:ascii="Arial" w:hAnsi="Arial" w:cs="Arial"/>
                <w:sz w:val="18"/>
                <w:szCs w:val="18"/>
                <w:lang w:val="en-US"/>
              </w:rPr>
            </w:pPr>
          </w:p>
        </w:tc>
        <w:tc>
          <w:tcPr>
            <w:tcW w:w="461" w:type="pct"/>
            <w:shd w:val="clear" w:color="auto" w:fill="auto"/>
          </w:tcPr>
          <w:p w14:paraId="47B3DCF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45/41</w:t>
            </w:r>
          </w:p>
        </w:tc>
        <w:tc>
          <w:tcPr>
            <w:tcW w:w="469" w:type="pct"/>
            <w:shd w:val="clear" w:color="auto" w:fill="auto"/>
          </w:tcPr>
          <w:p w14:paraId="5A31D344"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4482AD1F"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64385ACC"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61002A7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10/10</w:t>
            </w:r>
          </w:p>
        </w:tc>
        <w:tc>
          <w:tcPr>
            <w:tcW w:w="612" w:type="pct"/>
            <w:shd w:val="clear" w:color="auto" w:fill="auto"/>
          </w:tcPr>
          <w:p w14:paraId="5E69CF5A" w14:textId="77777777" w:rsidR="00F3260C" w:rsidRPr="00BD295E" w:rsidRDefault="00F3260C" w:rsidP="00E3510B">
            <w:pPr>
              <w:jc w:val="center"/>
              <w:rPr>
                <w:rFonts w:ascii="Arial" w:hAnsi="Arial" w:cs="Arial"/>
                <w:sz w:val="18"/>
                <w:szCs w:val="18"/>
                <w:lang w:val="en-US"/>
              </w:rPr>
            </w:pPr>
          </w:p>
        </w:tc>
      </w:tr>
      <w:tr w:rsidR="008A5057" w:rsidRPr="00BD295E" w14:paraId="6FA8702E" w14:textId="77777777" w:rsidTr="00E3510B">
        <w:tc>
          <w:tcPr>
            <w:tcW w:w="1322" w:type="pct"/>
            <w:shd w:val="clear" w:color="auto" w:fill="auto"/>
          </w:tcPr>
          <w:p w14:paraId="0CA4FB3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A.V. German</w:t>
            </w:r>
          </w:p>
        </w:tc>
        <w:tc>
          <w:tcPr>
            <w:tcW w:w="396" w:type="pct"/>
            <w:shd w:val="clear" w:color="auto" w:fill="auto"/>
          </w:tcPr>
          <w:p w14:paraId="304605B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0955C859" w14:textId="77777777" w:rsidR="00F3260C" w:rsidRPr="00BD295E" w:rsidRDefault="00F3260C" w:rsidP="0031297B">
            <w:pPr>
              <w:rPr>
                <w:rFonts w:ascii="Arial" w:hAnsi="Arial" w:cs="Arial"/>
                <w:sz w:val="18"/>
                <w:szCs w:val="18"/>
                <w:lang w:val="en-US"/>
              </w:rPr>
            </w:pPr>
          </w:p>
        </w:tc>
        <w:tc>
          <w:tcPr>
            <w:tcW w:w="461" w:type="pct"/>
            <w:shd w:val="clear" w:color="auto" w:fill="auto"/>
          </w:tcPr>
          <w:p w14:paraId="3AF3BEC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41/31</w:t>
            </w:r>
          </w:p>
        </w:tc>
        <w:tc>
          <w:tcPr>
            <w:tcW w:w="469" w:type="pct"/>
            <w:shd w:val="clear" w:color="auto" w:fill="auto"/>
          </w:tcPr>
          <w:p w14:paraId="33EA6D80"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43778A7C"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5C089FB8"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51E44C8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8/6</w:t>
            </w:r>
          </w:p>
        </w:tc>
        <w:tc>
          <w:tcPr>
            <w:tcW w:w="612" w:type="pct"/>
            <w:shd w:val="clear" w:color="auto" w:fill="auto"/>
          </w:tcPr>
          <w:p w14:paraId="3E58CC7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6/6</w:t>
            </w:r>
          </w:p>
        </w:tc>
      </w:tr>
      <w:tr w:rsidR="008A5057" w:rsidRPr="00BD295E" w14:paraId="74C71779" w14:textId="77777777" w:rsidTr="00E3510B">
        <w:tc>
          <w:tcPr>
            <w:tcW w:w="1322" w:type="pct"/>
            <w:shd w:val="clear" w:color="auto" w:fill="auto"/>
          </w:tcPr>
          <w:p w14:paraId="2BE4801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O.V. Kolesnikova</w:t>
            </w:r>
          </w:p>
        </w:tc>
        <w:tc>
          <w:tcPr>
            <w:tcW w:w="396" w:type="pct"/>
            <w:shd w:val="clear" w:color="auto" w:fill="auto"/>
          </w:tcPr>
          <w:p w14:paraId="78128AB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7A601CDD" w14:textId="77777777" w:rsidR="00F3260C" w:rsidRPr="00BD295E" w:rsidRDefault="00F3260C" w:rsidP="0031297B">
            <w:pPr>
              <w:rPr>
                <w:rFonts w:ascii="Arial" w:hAnsi="Arial" w:cs="Arial"/>
                <w:sz w:val="18"/>
                <w:szCs w:val="18"/>
                <w:lang w:val="en-US"/>
              </w:rPr>
            </w:pPr>
          </w:p>
        </w:tc>
        <w:tc>
          <w:tcPr>
            <w:tcW w:w="461" w:type="pct"/>
            <w:shd w:val="clear" w:color="auto" w:fill="auto"/>
          </w:tcPr>
          <w:p w14:paraId="544045B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45/28</w:t>
            </w:r>
          </w:p>
        </w:tc>
        <w:tc>
          <w:tcPr>
            <w:tcW w:w="469" w:type="pct"/>
            <w:shd w:val="clear" w:color="auto" w:fill="auto"/>
          </w:tcPr>
          <w:p w14:paraId="40BE776F"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65F8B8E2"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11D9B4F5"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67FFE255"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5E9AD415" w14:textId="77777777" w:rsidR="00F3260C" w:rsidRPr="00BD295E" w:rsidRDefault="00F3260C" w:rsidP="00E3510B">
            <w:pPr>
              <w:jc w:val="center"/>
              <w:rPr>
                <w:rFonts w:ascii="Arial" w:hAnsi="Arial" w:cs="Arial"/>
                <w:sz w:val="18"/>
                <w:szCs w:val="18"/>
                <w:lang w:val="en-US"/>
              </w:rPr>
            </w:pPr>
          </w:p>
        </w:tc>
      </w:tr>
      <w:tr w:rsidR="008A5057" w:rsidRPr="00BD295E" w14:paraId="0005A9C6" w14:textId="77777777" w:rsidTr="00E3510B">
        <w:tc>
          <w:tcPr>
            <w:tcW w:w="1322" w:type="pct"/>
            <w:shd w:val="clear" w:color="auto" w:fill="auto"/>
          </w:tcPr>
          <w:p w14:paraId="14DC61BD"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G.G. Safarov</w:t>
            </w:r>
          </w:p>
        </w:tc>
        <w:tc>
          <w:tcPr>
            <w:tcW w:w="396" w:type="pct"/>
            <w:shd w:val="clear" w:color="auto" w:fill="auto"/>
          </w:tcPr>
          <w:p w14:paraId="659E4EF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054892F5" w14:textId="77777777" w:rsidR="00F3260C" w:rsidRPr="00BD295E" w:rsidRDefault="00F3260C" w:rsidP="0031297B">
            <w:pPr>
              <w:rPr>
                <w:rFonts w:ascii="Arial" w:hAnsi="Arial" w:cs="Arial"/>
                <w:sz w:val="18"/>
                <w:szCs w:val="18"/>
                <w:lang w:val="en-US"/>
              </w:rPr>
            </w:pPr>
          </w:p>
        </w:tc>
        <w:tc>
          <w:tcPr>
            <w:tcW w:w="461" w:type="pct"/>
            <w:shd w:val="clear" w:color="auto" w:fill="auto"/>
          </w:tcPr>
          <w:p w14:paraId="4C3A751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45/38</w:t>
            </w:r>
          </w:p>
        </w:tc>
        <w:tc>
          <w:tcPr>
            <w:tcW w:w="469" w:type="pct"/>
            <w:shd w:val="clear" w:color="auto" w:fill="auto"/>
          </w:tcPr>
          <w:p w14:paraId="79AA6351"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18B11F93"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5E151BB3"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6AD47EF0"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10/9</w:t>
            </w:r>
          </w:p>
        </w:tc>
        <w:tc>
          <w:tcPr>
            <w:tcW w:w="612" w:type="pct"/>
            <w:shd w:val="clear" w:color="auto" w:fill="auto"/>
          </w:tcPr>
          <w:p w14:paraId="7516A004" w14:textId="77777777" w:rsidR="00F3260C" w:rsidRPr="00BD295E" w:rsidRDefault="00F3260C" w:rsidP="00E3510B">
            <w:pPr>
              <w:jc w:val="center"/>
              <w:rPr>
                <w:rFonts w:ascii="Arial" w:hAnsi="Arial" w:cs="Arial"/>
                <w:sz w:val="18"/>
                <w:szCs w:val="18"/>
                <w:lang w:val="en-US"/>
              </w:rPr>
            </w:pPr>
          </w:p>
        </w:tc>
      </w:tr>
      <w:tr w:rsidR="008A5057" w:rsidRPr="00BD295E" w14:paraId="58B6635B" w14:textId="77777777" w:rsidTr="00E3510B">
        <w:tc>
          <w:tcPr>
            <w:tcW w:w="1322" w:type="pct"/>
            <w:shd w:val="clear" w:color="auto" w:fill="auto"/>
          </w:tcPr>
          <w:p w14:paraId="744ECF31"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L.D. Solovyova</w:t>
            </w:r>
          </w:p>
        </w:tc>
        <w:tc>
          <w:tcPr>
            <w:tcW w:w="396" w:type="pct"/>
            <w:shd w:val="clear" w:color="auto" w:fill="auto"/>
          </w:tcPr>
          <w:p w14:paraId="0E6F88D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67E128B8" w14:textId="77777777" w:rsidR="00F3260C" w:rsidRPr="00BD295E" w:rsidRDefault="00F3260C" w:rsidP="0031297B">
            <w:pPr>
              <w:rPr>
                <w:rFonts w:ascii="Arial" w:hAnsi="Arial" w:cs="Arial"/>
                <w:sz w:val="18"/>
                <w:szCs w:val="18"/>
                <w:lang w:val="en-US"/>
              </w:rPr>
            </w:pPr>
          </w:p>
        </w:tc>
        <w:tc>
          <w:tcPr>
            <w:tcW w:w="461" w:type="pct"/>
            <w:shd w:val="clear" w:color="auto" w:fill="auto"/>
          </w:tcPr>
          <w:p w14:paraId="43E416C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45/41</w:t>
            </w:r>
          </w:p>
        </w:tc>
        <w:tc>
          <w:tcPr>
            <w:tcW w:w="469" w:type="pct"/>
            <w:shd w:val="clear" w:color="auto" w:fill="auto"/>
          </w:tcPr>
          <w:p w14:paraId="204A9468"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9/6</w:t>
            </w:r>
          </w:p>
        </w:tc>
        <w:tc>
          <w:tcPr>
            <w:tcW w:w="391" w:type="pct"/>
            <w:shd w:val="clear" w:color="auto" w:fill="auto"/>
          </w:tcPr>
          <w:p w14:paraId="682C1187"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7DA94746"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62204376"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0AC8E99A" w14:textId="77777777" w:rsidR="00F3260C" w:rsidRPr="00BD295E" w:rsidRDefault="00F3260C" w:rsidP="00E3510B">
            <w:pPr>
              <w:jc w:val="center"/>
              <w:rPr>
                <w:rFonts w:ascii="Arial" w:hAnsi="Arial" w:cs="Arial"/>
                <w:sz w:val="18"/>
                <w:szCs w:val="18"/>
                <w:lang w:val="en-US"/>
              </w:rPr>
            </w:pPr>
          </w:p>
        </w:tc>
      </w:tr>
      <w:tr w:rsidR="008A5057" w:rsidRPr="00BD295E" w14:paraId="0607BB48" w14:textId="77777777" w:rsidTr="00E3510B">
        <w:tc>
          <w:tcPr>
            <w:tcW w:w="1322" w:type="pct"/>
            <w:shd w:val="clear" w:color="auto" w:fill="auto"/>
          </w:tcPr>
          <w:p w14:paraId="680E6C8D"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S.L. Miloslavsky</w:t>
            </w:r>
          </w:p>
        </w:tc>
        <w:tc>
          <w:tcPr>
            <w:tcW w:w="396" w:type="pct"/>
            <w:shd w:val="clear" w:color="auto" w:fill="auto"/>
          </w:tcPr>
          <w:p w14:paraId="0C675CE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7463D12C" w14:textId="77777777" w:rsidR="00F3260C" w:rsidRPr="00BD295E" w:rsidRDefault="00F3260C" w:rsidP="0031297B">
            <w:pPr>
              <w:rPr>
                <w:rFonts w:ascii="Arial" w:hAnsi="Arial" w:cs="Arial"/>
                <w:sz w:val="18"/>
                <w:szCs w:val="18"/>
                <w:lang w:val="en-US"/>
              </w:rPr>
            </w:pPr>
          </w:p>
        </w:tc>
        <w:tc>
          <w:tcPr>
            <w:tcW w:w="461" w:type="pct"/>
            <w:shd w:val="clear" w:color="auto" w:fill="auto"/>
          </w:tcPr>
          <w:p w14:paraId="345C7B3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41/26</w:t>
            </w:r>
          </w:p>
        </w:tc>
        <w:tc>
          <w:tcPr>
            <w:tcW w:w="469" w:type="pct"/>
            <w:shd w:val="clear" w:color="auto" w:fill="auto"/>
          </w:tcPr>
          <w:p w14:paraId="5AF00575"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8/4</w:t>
            </w:r>
          </w:p>
        </w:tc>
        <w:tc>
          <w:tcPr>
            <w:tcW w:w="391" w:type="pct"/>
            <w:shd w:val="clear" w:color="auto" w:fill="auto"/>
          </w:tcPr>
          <w:p w14:paraId="450E4BD8"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50807E5A"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6C7C1736"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6F936E9F" w14:textId="77777777" w:rsidR="00F3260C" w:rsidRPr="00BD295E" w:rsidRDefault="00F3260C" w:rsidP="00E3510B">
            <w:pPr>
              <w:jc w:val="center"/>
              <w:rPr>
                <w:rFonts w:ascii="Arial" w:hAnsi="Arial" w:cs="Arial"/>
                <w:sz w:val="18"/>
                <w:szCs w:val="18"/>
                <w:lang w:val="en-US"/>
              </w:rPr>
            </w:pPr>
          </w:p>
        </w:tc>
      </w:tr>
      <w:tr w:rsidR="008A5057" w:rsidRPr="00BD295E" w14:paraId="6670481B" w14:textId="77777777" w:rsidTr="00E3510B">
        <w:tc>
          <w:tcPr>
            <w:tcW w:w="5000" w:type="pct"/>
            <w:gridSpan w:val="9"/>
            <w:shd w:val="clear" w:color="auto" w:fill="auto"/>
          </w:tcPr>
          <w:p w14:paraId="71A873D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Members of the Board of Directors who resigned from the Company’s Board of Directors on February 5, 2018:</w:t>
            </w:r>
          </w:p>
        </w:tc>
      </w:tr>
      <w:tr w:rsidR="008A5057" w:rsidRPr="00BD295E" w14:paraId="1EEC3F37" w14:textId="77777777" w:rsidTr="00E3510B">
        <w:tc>
          <w:tcPr>
            <w:tcW w:w="1322" w:type="pct"/>
            <w:shd w:val="clear" w:color="auto" w:fill="auto"/>
          </w:tcPr>
          <w:p w14:paraId="7C8B27B8"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O.M. Budargin</w:t>
            </w:r>
          </w:p>
        </w:tc>
        <w:tc>
          <w:tcPr>
            <w:tcW w:w="396" w:type="pct"/>
            <w:shd w:val="clear" w:color="auto" w:fill="auto"/>
          </w:tcPr>
          <w:p w14:paraId="017FBDF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1CA7C450" w14:textId="77777777" w:rsidR="00F3260C" w:rsidRPr="00BD295E" w:rsidRDefault="00F3260C" w:rsidP="0031297B">
            <w:pPr>
              <w:rPr>
                <w:rFonts w:ascii="Arial" w:hAnsi="Arial" w:cs="Arial"/>
                <w:sz w:val="18"/>
                <w:szCs w:val="18"/>
                <w:lang w:val="en-US"/>
              </w:rPr>
            </w:pPr>
          </w:p>
        </w:tc>
        <w:tc>
          <w:tcPr>
            <w:tcW w:w="461" w:type="pct"/>
            <w:shd w:val="clear" w:color="auto" w:fill="auto"/>
          </w:tcPr>
          <w:p w14:paraId="6B22F62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4/4</w:t>
            </w:r>
          </w:p>
        </w:tc>
        <w:tc>
          <w:tcPr>
            <w:tcW w:w="469" w:type="pct"/>
            <w:shd w:val="clear" w:color="auto" w:fill="auto"/>
          </w:tcPr>
          <w:p w14:paraId="3749E0EA"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28464FCB"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2C6FEFF8"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5D55D309"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408DE739" w14:textId="77777777" w:rsidR="00F3260C" w:rsidRPr="00BD295E" w:rsidRDefault="00F3260C" w:rsidP="00E3510B">
            <w:pPr>
              <w:jc w:val="center"/>
              <w:rPr>
                <w:rFonts w:ascii="Arial" w:hAnsi="Arial" w:cs="Arial"/>
                <w:sz w:val="18"/>
                <w:szCs w:val="18"/>
                <w:lang w:val="en-US"/>
              </w:rPr>
            </w:pPr>
          </w:p>
        </w:tc>
      </w:tr>
      <w:tr w:rsidR="008A5057" w:rsidRPr="00BD295E" w14:paraId="4BC4541F" w14:textId="77777777" w:rsidTr="00E3510B">
        <w:tc>
          <w:tcPr>
            <w:tcW w:w="1322" w:type="pct"/>
            <w:shd w:val="clear" w:color="auto" w:fill="auto"/>
          </w:tcPr>
          <w:p w14:paraId="6841DBB9"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R.N. Berdnikov</w:t>
            </w:r>
          </w:p>
        </w:tc>
        <w:tc>
          <w:tcPr>
            <w:tcW w:w="396" w:type="pct"/>
            <w:shd w:val="clear" w:color="auto" w:fill="auto"/>
          </w:tcPr>
          <w:p w14:paraId="419731A2" w14:textId="77777777" w:rsidR="00F3260C" w:rsidRPr="00BD295E" w:rsidRDefault="00F3260C" w:rsidP="00E3510B">
            <w:pPr>
              <w:jc w:val="center"/>
              <w:rPr>
                <w:rFonts w:ascii="Arial" w:hAnsi="Arial" w:cs="Arial"/>
                <w:sz w:val="18"/>
                <w:szCs w:val="18"/>
                <w:lang w:val="en-US"/>
              </w:rPr>
            </w:pPr>
          </w:p>
        </w:tc>
        <w:tc>
          <w:tcPr>
            <w:tcW w:w="320" w:type="pct"/>
            <w:shd w:val="clear" w:color="auto" w:fill="auto"/>
          </w:tcPr>
          <w:p w14:paraId="6057DD21" w14:textId="77777777" w:rsidR="00F3260C" w:rsidRPr="00BD295E" w:rsidRDefault="00F3260C" w:rsidP="0031297B">
            <w:pPr>
              <w:rPr>
                <w:rFonts w:ascii="Arial" w:hAnsi="Arial" w:cs="Arial"/>
                <w:sz w:val="18"/>
                <w:szCs w:val="18"/>
                <w:lang w:val="en-US"/>
              </w:rPr>
            </w:pPr>
          </w:p>
        </w:tc>
        <w:tc>
          <w:tcPr>
            <w:tcW w:w="461" w:type="pct"/>
            <w:shd w:val="clear" w:color="auto" w:fill="auto"/>
          </w:tcPr>
          <w:p w14:paraId="25CB2D8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4/3</w:t>
            </w:r>
          </w:p>
        </w:tc>
        <w:tc>
          <w:tcPr>
            <w:tcW w:w="469" w:type="pct"/>
            <w:shd w:val="clear" w:color="auto" w:fill="auto"/>
          </w:tcPr>
          <w:p w14:paraId="7E9F7002"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4598EB3F"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1685A6BB"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205A1B6B"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2/1</w:t>
            </w:r>
          </w:p>
        </w:tc>
        <w:tc>
          <w:tcPr>
            <w:tcW w:w="612" w:type="pct"/>
            <w:shd w:val="clear" w:color="auto" w:fill="auto"/>
          </w:tcPr>
          <w:p w14:paraId="3BDA9649" w14:textId="77777777" w:rsidR="00F3260C" w:rsidRPr="00BD295E" w:rsidRDefault="00F3260C" w:rsidP="00E3510B">
            <w:pPr>
              <w:jc w:val="center"/>
              <w:rPr>
                <w:rFonts w:ascii="Arial" w:hAnsi="Arial" w:cs="Arial"/>
                <w:sz w:val="18"/>
                <w:szCs w:val="18"/>
                <w:lang w:val="en-US"/>
              </w:rPr>
            </w:pPr>
          </w:p>
        </w:tc>
      </w:tr>
      <w:tr w:rsidR="008A5057" w:rsidRPr="00BD295E" w14:paraId="74384C6C" w14:textId="77777777" w:rsidTr="00E3510B">
        <w:tc>
          <w:tcPr>
            <w:tcW w:w="1322" w:type="pct"/>
            <w:shd w:val="clear" w:color="auto" w:fill="auto"/>
          </w:tcPr>
          <w:p w14:paraId="45DC0ECA"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Ye.V. Prokhorov</w:t>
            </w:r>
          </w:p>
        </w:tc>
        <w:tc>
          <w:tcPr>
            <w:tcW w:w="396" w:type="pct"/>
            <w:shd w:val="clear" w:color="auto" w:fill="auto"/>
          </w:tcPr>
          <w:p w14:paraId="263039F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232BB53C" w14:textId="77777777" w:rsidR="00F3260C" w:rsidRPr="00BD295E" w:rsidRDefault="00F3260C" w:rsidP="0031297B">
            <w:pPr>
              <w:rPr>
                <w:rFonts w:ascii="Arial" w:hAnsi="Arial" w:cs="Arial"/>
                <w:sz w:val="18"/>
                <w:szCs w:val="18"/>
                <w:lang w:val="en-US"/>
              </w:rPr>
            </w:pPr>
          </w:p>
        </w:tc>
        <w:tc>
          <w:tcPr>
            <w:tcW w:w="461" w:type="pct"/>
            <w:shd w:val="clear" w:color="auto" w:fill="auto"/>
          </w:tcPr>
          <w:p w14:paraId="5ED47AB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4/2</w:t>
            </w:r>
          </w:p>
        </w:tc>
        <w:tc>
          <w:tcPr>
            <w:tcW w:w="469" w:type="pct"/>
            <w:shd w:val="clear" w:color="auto" w:fill="auto"/>
          </w:tcPr>
          <w:p w14:paraId="18758A7E"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704EB17A"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15FB8DE2"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6E7ED49D"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12AF901C" w14:textId="77777777" w:rsidR="00F3260C" w:rsidRPr="00BD295E" w:rsidRDefault="00F3260C" w:rsidP="00E3510B">
            <w:pPr>
              <w:jc w:val="center"/>
              <w:rPr>
                <w:rFonts w:ascii="Arial" w:hAnsi="Arial" w:cs="Arial"/>
                <w:sz w:val="18"/>
                <w:szCs w:val="18"/>
                <w:lang w:val="en-US"/>
              </w:rPr>
            </w:pPr>
          </w:p>
        </w:tc>
      </w:tr>
      <w:tr w:rsidR="008A5057" w:rsidRPr="00BD295E" w14:paraId="73E875A8" w14:textId="77777777" w:rsidTr="00E3510B">
        <w:tc>
          <w:tcPr>
            <w:tcW w:w="1322" w:type="pct"/>
            <w:shd w:val="clear" w:color="auto" w:fill="auto"/>
          </w:tcPr>
          <w:p w14:paraId="2ED8CBAA"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Ye.V. Petukhov</w:t>
            </w:r>
          </w:p>
        </w:tc>
        <w:tc>
          <w:tcPr>
            <w:tcW w:w="396" w:type="pct"/>
            <w:shd w:val="clear" w:color="auto" w:fill="auto"/>
          </w:tcPr>
          <w:p w14:paraId="4E09F91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6FA6F539" w14:textId="77777777" w:rsidR="00F3260C" w:rsidRPr="00BD295E" w:rsidRDefault="00F3260C" w:rsidP="0031297B">
            <w:pPr>
              <w:rPr>
                <w:rFonts w:ascii="Arial" w:hAnsi="Arial" w:cs="Arial"/>
                <w:sz w:val="18"/>
                <w:szCs w:val="18"/>
                <w:lang w:val="en-US"/>
              </w:rPr>
            </w:pPr>
          </w:p>
        </w:tc>
        <w:tc>
          <w:tcPr>
            <w:tcW w:w="461" w:type="pct"/>
            <w:shd w:val="clear" w:color="auto" w:fill="auto"/>
          </w:tcPr>
          <w:p w14:paraId="731A792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4/4</w:t>
            </w:r>
          </w:p>
        </w:tc>
        <w:tc>
          <w:tcPr>
            <w:tcW w:w="469" w:type="pct"/>
            <w:shd w:val="clear" w:color="auto" w:fill="auto"/>
          </w:tcPr>
          <w:p w14:paraId="59A79BB9"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0E0DE319"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45CDF638"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096BAEC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2/2</w:t>
            </w:r>
          </w:p>
        </w:tc>
        <w:tc>
          <w:tcPr>
            <w:tcW w:w="612" w:type="pct"/>
            <w:shd w:val="clear" w:color="auto" w:fill="auto"/>
          </w:tcPr>
          <w:p w14:paraId="031C68AD" w14:textId="77777777" w:rsidR="00F3260C" w:rsidRPr="00BD295E" w:rsidRDefault="00F3260C" w:rsidP="00E3510B">
            <w:pPr>
              <w:jc w:val="center"/>
              <w:rPr>
                <w:rFonts w:ascii="Arial" w:hAnsi="Arial" w:cs="Arial"/>
                <w:sz w:val="18"/>
                <w:szCs w:val="18"/>
                <w:lang w:val="en-US"/>
              </w:rPr>
            </w:pPr>
          </w:p>
        </w:tc>
      </w:tr>
      <w:tr w:rsidR="008A5057" w:rsidRPr="00BD295E" w14:paraId="59BD3AB4" w14:textId="77777777" w:rsidTr="00E3510B">
        <w:tc>
          <w:tcPr>
            <w:tcW w:w="1322" w:type="pct"/>
            <w:shd w:val="clear" w:color="auto" w:fill="auto"/>
          </w:tcPr>
          <w:p w14:paraId="37F6B2CF"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E.I. Kachayev</w:t>
            </w:r>
          </w:p>
        </w:tc>
        <w:tc>
          <w:tcPr>
            <w:tcW w:w="396" w:type="pct"/>
            <w:shd w:val="clear" w:color="auto" w:fill="auto"/>
          </w:tcPr>
          <w:p w14:paraId="0E3674A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5A26397B" w14:textId="77777777" w:rsidR="00F3260C" w:rsidRPr="00BD295E" w:rsidRDefault="00F3260C" w:rsidP="0031297B">
            <w:pPr>
              <w:rPr>
                <w:rFonts w:ascii="Arial" w:hAnsi="Arial" w:cs="Arial"/>
                <w:sz w:val="18"/>
                <w:szCs w:val="18"/>
                <w:lang w:val="en-US"/>
              </w:rPr>
            </w:pPr>
          </w:p>
        </w:tc>
        <w:tc>
          <w:tcPr>
            <w:tcW w:w="461" w:type="pct"/>
            <w:shd w:val="clear" w:color="auto" w:fill="auto"/>
          </w:tcPr>
          <w:p w14:paraId="0778057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4/0</w:t>
            </w:r>
          </w:p>
        </w:tc>
        <w:tc>
          <w:tcPr>
            <w:tcW w:w="469" w:type="pct"/>
            <w:shd w:val="clear" w:color="auto" w:fill="auto"/>
          </w:tcPr>
          <w:p w14:paraId="227681A5"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3758617F"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54A114B6"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42A46036" w14:textId="77777777" w:rsidR="00F3260C" w:rsidRPr="00BD295E" w:rsidRDefault="00F3260C" w:rsidP="00E3510B">
            <w:pPr>
              <w:jc w:val="center"/>
              <w:rPr>
                <w:rFonts w:ascii="Arial" w:hAnsi="Arial" w:cs="Arial"/>
                <w:sz w:val="18"/>
                <w:szCs w:val="18"/>
                <w:lang w:val="en-US"/>
              </w:rPr>
            </w:pPr>
          </w:p>
        </w:tc>
        <w:tc>
          <w:tcPr>
            <w:tcW w:w="612" w:type="pct"/>
            <w:shd w:val="clear" w:color="auto" w:fill="auto"/>
          </w:tcPr>
          <w:p w14:paraId="370BC625" w14:textId="77777777" w:rsidR="00F3260C" w:rsidRPr="00BD295E" w:rsidRDefault="00F3260C" w:rsidP="00E3510B">
            <w:pPr>
              <w:jc w:val="center"/>
              <w:rPr>
                <w:rFonts w:ascii="Arial" w:hAnsi="Arial" w:cs="Arial"/>
                <w:sz w:val="18"/>
                <w:szCs w:val="18"/>
                <w:lang w:val="en-US"/>
              </w:rPr>
            </w:pPr>
          </w:p>
        </w:tc>
      </w:tr>
      <w:tr w:rsidR="008A5057" w:rsidRPr="00BD295E" w14:paraId="124DC15B" w14:textId="77777777" w:rsidTr="00E3510B">
        <w:tc>
          <w:tcPr>
            <w:tcW w:w="1322" w:type="pct"/>
            <w:shd w:val="clear" w:color="auto" w:fill="auto"/>
          </w:tcPr>
          <w:p w14:paraId="4B81ED3F"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M.M. Yankina</w:t>
            </w:r>
          </w:p>
        </w:tc>
        <w:tc>
          <w:tcPr>
            <w:tcW w:w="396" w:type="pct"/>
            <w:shd w:val="clear" w:color="auto" w:fill="auto"/>
          </w:tcPr>
          <w:p w14:paraId="52776C4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4A815980" w14:textId="77777777" w:rsidR="00F3260C" w:rsidRPr="00BD295E" w:rsidRDefault="00F3260C" w:rsidP="0031297B">
            <w:pPr>
              <w:rPr>
                <w:rFonts w:ascii="Arial" w:hAnsi="Arial" w:cs="Arial"/>
                <w:sz w:val="18"/>
                <w:szCs w:val="18"/>
                <w:lang w:val="en-US"/>
              </w:rPr>
            </w:pPr>
          </w:p>
        </w:tc>
        <w:tc>
          <w:tcPr>
            <w:tcW w:w="461" w:type="pct"/>
            <w:shd w:val="clear" w:color="auto" w:fill="auto"/>
          </w:tcPr>
          <w:p w14:paraId="5F53537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4/4</w:t>
            </w:r>
          </w:p>
        </w:tc>
        <w:tc>
          <w:tcPr>
            <w:tcW w:w="469" w:type="pct"/>
            <w:shd w:val="clear" w:color="auto" w:fill="auto"/>
          </w:tcPr>
          <w:p w14:paraId="1AB5355A" w14:textId="77777777" w:rsidR="00F3260C" w:rsidRPr="00BD295E" w:rsidRDefault="00F3260C" w:rsidP="00E3510B">
            <w:pPr>
              <w:jc w:val="both"/>
              <w:rPr>
                <w:rFonts w:ascii="Arial" w:hAnsi="Arial" w:cs="Arial"/>
                <w:sz w:val="18"/>
                <w:szCs w:val="18"/>
                <w:lang w:val="en-US"/>
              </w:rPr>
            </w:pPr>
          </w:p>
        </w:tc>
        <w:tc>
          <w:tcPr>
            <w:tcW w:w="391" w:type="pct"/>
            <w:shd w:val="clear" w:color="auto" w:fill="auto"/>
          </w:tcPr>
          <w:p w14:paraId="34CC779E"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2315AB89"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1162770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2/1</w:t>
            </w:r>
          </w:p>
        </w:tc>
        <w:tc>
          <w:tcPr>
            <w:tcW w:w="612" w:type="pct"/>
            <w:shd w:val="clear" w:color="auto" w:fill="auto"/>
          </w:tcPr>
          <w:p w14:paraId="097CC2E7" w14:textId="77777777" w:rsidR="00F3260C" w:rsidRPr="00BD295E" w:rsidRDefault="00F3260C" w:rsidP="00E3510B">
            <w:pPr>
              <w:jc w:val="center"/>
              <w:rPr>
                <w:rFonts w:ascii="Arial" w:hAnsi="Arial" w:cs="Arial"/>
                <w:sz w:val="18"/>
                <w:szCs w:val="18"/>
                <w:lang w:val="en-US"/>
              </w:rPr>
            </w:pPr>
          </w:p>
        </w:tc>
      </w:tr>
      <w:tr w:rsidR="008A5057" w:rsidRPr="00BD295E" w14:paraId="249262D4" w14:textId="77777777" w:rsidTr="00E3510B">
        <w:tc>
          <w:tcPr>
            <w:tcW w:w="5000" w:type="pct"/>
            <w:gridSpan w:val="9"/>
            <w:shd w:val="clear" w:color="auto" w:fill="auto"/>
          </w:tcPr>
          <w:p w14:paraId="4BFF84B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Members of the Board of Directors who resigned from the Company’s Board of Directors on June 8, 2018:</w:t>
            </w:r>
          </w:p>
        </w:tc>
      </w:tr>
      <w:tr w:rsidR="008A5057" w:rsidRPr="00BD295E" w14:paraId="4635021E" w14:textId="77777777" w:rsidTr="00E3510B">
        <w:tc>
          <w:tcPr>
            <w:tcW w:w="1322" w:type="pct"/>
            <w:shd w:val="clear" w:color="auto" w:fill="auto"/>
          </w:tcPr>
          <w:p w14:paraId="1EE62168"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P.N. Snikkars</w:t>
            </w:r>
          </w:p>
        </w:tc>
        <w:tc>
          <w:tcPr>
            <w:tcW w:w="396" w:type="pct"/>
            <w:shd w:val="clear" w:color="auto" w:fill="auto"/>
          </w:tcPr>
          <w:p w14:paraId="7D9C43B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Х</w:t>
            </w:r>
          </w:p>
        </w:tc>
        <w:tc>
          <w:tcPr>
            <w:tcW w:w="320" w:type="pct"/>
            <w:shd w:val="clear" w:color="auto" w:fill="auto"/>
          </w:tcPr>
          <w:p w14:paraId="6EDE680B" w14:textId="77777777" w:rsidR="00F3260C" w:rsidRPr="00BD295E" w:rsidRDefault="00F3260C" w:rsidP="0031297B">
            <w:pPr>
              <w:rPr>
                <w:rFonts w:ascii="Arial" w:hAnsi="Arial" w:cs="Arial"/>
                <w:sz w:val="18"/>
                <w:szCs w:val="18"/>
                <w:lang w:val="en-US"/>
              </w:rPr>
            </w:pPr>
          </w:p>
        </w:tc>
        <w:tc>
          <w:tcPr>
            <w:tcW w:w="461" w:type="pct"/>
            <w:shd w:val="clear" w:color="auto" w:fill="auto"/>
          </w:tcPr>
          <w:p w14:paraId="654A606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20/11</w:t>
            </w:r>
          </w:p>
        </w:tc>
        <w:tc>
          <w:tcPr>
            <w:tcW w:w="469" w:type="pct"/>
            <w:shd w:val="clear" w:color="auto" w:fill="auto"/>
          </w:tcPr>
          <w:p w14:paraId="71618411"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1/0</w:t>
            </w:r>
          </w:p>
        </w:tc>
        <w:tc>
          <w:tcPr>
            <w:tcW w:w="391" w:type="pct"/>
            <w:shd w:val="clear" w:color="auto" w:fill="auto"/>
          </w:tcPr>
          <w:p w14:paraId="45147DE8" w14:textId="77777777" w:rsidR="00F3260C" w:rsidRPr="00BD295E" w:rsidRDefault="00F3260C" w:rsidP="00E3510B">
            <w:pPr>
              <w:jc w:val="both"/>
              <w:rPr>
                <w:rFonts w:ascii="Arial" w:hAnsi="Arial" w:cs="Arial"/>
                <w:sz w:val="18"/>
                <w:szCs w:val="18"/>
                <w:lang w:val="en-US"/>
              </w:rPr>
            </w:pPr>
          </w:p>
        </w:tc>
        <w:tc>
          <w:tcPr>
            <w:tcW w:w="640" w:type="pct"/>
            <w:shd w:val="clear" w:color="auto" w:fill="auto"/>
          </w:tcPr>
          <w:p w14:paraId="3E2EFF54" w14:textId="77777777" w:rsidR="00F3260C" w:rsidRPr="00BD295E" w:rsidRDefault="00F3260C" w:rsidP="00E3510B">
            <w:pPr>
              <w:jc w:val="center"/>
              <w:rPr>
                <w:rFonts w:ascii="Arial" w:hAnsi="Arial" w:cs="Arial"/>
                <w:sz w:val="18"/>
                <w:szCs w:val="18"/>
                <w:lang w:val="en-US"/>
              </w:rPr>
            </w:pPr>
          </w:p>
        </w:tc>
        <w:tc>
          <w:tcPr>
            <w:tcW w:w="389" w:type="pct"/>
            <w:shd w:val="clear" w:color="auto" w:fill="auto"/>
          </w:tcPr>
          <w:p w14:paraId="2C060F6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8/8</w:t>
            </w:r>
          </w:p>
        </w:tc>
        <w:tc>
          <w:tcPr>
            <w:tcW w:w="612" w:type="pct"/>
            <w:shd w:val="clear" w:color="auto" w:fill="auto"/>
          </w:tcPr>
          <w:p w14:paraId="7F890295" w14:textId="77777777" w:rsidR="00F3260C" w:rsidRPr="00BD295E" w:rsidRDefault="00F3260C" w:rsidP="00E3510B">
            <w:pPr>
              <w:jc w:val="center"/>
              <w:rPr>
                <w:rFonts w:ascii="Arial" w:hAnsi="Arial" w:cs="Arial"/>
                <w:sz w:val="18"/>
                <w:szCs w:val="18"/>
                <w:lang w:val="en-US"/>
              </w:rPr>
            </w:pPr>
          </w:p>
        </w:tc>
      </w:tr>
    </w:tbl>
    <w:p w14:paraId="7A9F19A1" w14:textId="77777777" w:rsidR="00F3260C" w:rsidRPr="00BD295E" w:rsidRDefault="008A5057" w:rsidP="00F3260C">
      <w:pPr>
        <w:jc w:val="both"/>
        <w:rPr>
          <w:rFonts w:ascii="Arial" w:hAnsi="Arial" w:cs="Arial"/>
          <w:sz w:val="18"/>
          <w:szCs w:val="18"/>
          <w:lang w:val="en-US"/>
        </w:rPr>
      </w:pPr>
      <w:r w:rsidRPr="00BD295E">
        <w:rPr>
          <w:rFonts w:ascii="Arial" w:hAnsi="Arial" w:cs="Arial"/>
          <w:sz w:val="18"/>
          <w:szCs w:val="18"/>
          <w:lang w:val="en-US"/>
        </w:rPr>
        <w:t xml:space="preserve">*Data in the table are presented in the “X/Y” format, where: X is the number of board (committee) meetings that the director could attend; Y is the number of meetings that the director attended; </w:t>
      </w:r>
    </w:p>
    <w:p w14:paraId="44A7226F" w14:textId="77777777" w:rsidR="00F3260C" w:rsidRPr="00BD295E" w:rsidRDefault="00F3260C" w:rsidP="00F3260C">
      <w:pPr>
        <w:jc w:val="both"/>
        <w:rPr>
          <w:rFonts w:ascii="Arial" w:hAnsi="Arial" w:cs="Arial"/>
          <w:sz w:val="18"/>
          <w:szCs w:val="18"/>
          <w:lang w:val="en-US"/>
        </w:rPr>
      </w:pPr>
    </w:p>
    <w:p w14:paraId="5AE0DA5C" w14:textId="77777777"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 xml:space="preserve">Statistics of meetings of the Company’s Board of Directors </w:t>
      </w:r>
      <w:r w:rsidR="00A07300" w:rsidRPr="00BD295E">
        <w:rPr>
          <w:rFonts w:ascii="Arial" w:hAnsi="Arial" w:cs="Arial"/>
          <w:b/>
          <w:sz w:val="18"/>
          <w:szCs w:val="18"/>
          <w:lang w:val="en-US"/>
        </w:rPr>
        <w:t xml:space="preserve">for </w:t>
      </w:r>
      <w:r w:rsidRPr="00BD295E">
        <w:rPr>
          <w:rFonts w:ascii="Arial" w:hAnsi="Arial" w:cs="Arial"/>
          <w:b/>
          <w:sz w:val="18"/>
          <w:szCs w:val="18"/>
          <w:lang w:val="en-US"/>
        </w:rPr>
        <w:t>2011–2018.</w:t>
      </w:r>
    </w:p>
    <w:p w14:paraId="7F25D3AF" w14:textId="77777777" w:rsidR="00F3260C" w:rsidRPr="00BD295E" w:rsidRDefault="00F3260C" w:rsidP="00F3260C">
      <w:pPr>
        <w:jc w:val="both"/>
        <w:rPr>
          <w:rFonts w:ascii="Arial" w:hAnsi="Arial" w:cs="Arial"/>
          <w:b/>
          <w:sz w:val="18"/>
          <w:szCs w:val="18"/>
          <w:lang w:val="en-US"/>
        </w:rPr>
      </w:pPr>
    </w:p>
    <w:p w14:paraId="6936DFBA" w14:textId="77777777" w:rsidR="00F3260C" w:rsidRPr="00BD295E" w:rsidRDefault="008A5057" w:rsidP="009427FD">
      <w:pPr>
        <w:jc w:val="both"/>
        <w:rPr>
          <w:rFonts w:ascii="Arial" w:hAnsi="Arial" w:cs="Arial"/>
          <w:sz w:val="18"/>
          <w:szCs w:val="18"/>
          <w:lang w:val="en-US"/>
        </w:rPr>
      </w:pPr>
      <w:r w:rsidRPr="00BD295E">
        <w:rPr>
          <w:rFonts w:ascii="Arial" w:hAnsi="Arial" w:cs="Arial"/>
          <w:sz w:val="18"/>
          <w:szCs w:val="18"/>
          <w:lang w:val="en-US"/>
        </w:rPr>
        <w:t>In 2018, 45 meetings of the Company’s Board of Directors were held, including 42 meetings held by absentee voting (by ballot), 2 meetings held using mixed in-person/absentee voting (joint attendance with voting by ballot), and 1 meeting held in-person (joint attendance).</w:t>
      </w:r>
    </w:p>
    <w:p w14:paraId="7931C5D9" w14:textId="534A0491" w:rsidR="00F3260C" w:rsidRPr="00BD295E" w:rsidRDefault="00997D07" w:rsidP="00F3260C">
      <w:pPr>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82304" behindDoc="0" locked="0" layoutInCell="1" allowOverlap="1" wp14:anchorId="0221EF8F" wp14:editId="2B43636D">
                <wp:simplePos x="0" y="0"/>
                <wp:positionH relativeFrom="margin">
                  <wp:posOffset>2647950</wp:posOffset>
                </wp:positionH>
                <wp:positionV relativeFrom="paragraph">
                  <wp:posOffset>650875</wp:posOffset>
                </wp:positionV>
                <wp:extent cx="443865" cy="246380"/>
                <wp:effectExtent l="3810" t="3810" r="0" b="0"/>
                <wp:wrapNone/>
                <wp:docPr id="487"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87267A"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42</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221EF8F" id="TextBox 29" o:spid="_x0000_s1140" type="#_x0000_t202" style="position:absolute;left:0;text-align:left;margin-left:208.5pt;margin-top:51.25pt;width:34.95pt;height:19.4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" stroked="f">
                <v:textbox style="mso-fit-shape-to-text:t">
                  <w:txbxContent>
                    <w:p w14:paraId="5987267A"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42</w:t>
                      </w:r>
                    </w:p>
                  </w:txbxContent>
                </v:textbox>
                <w10:wrap anchorx="margin"/>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83328" behindDoc="0" locked="0" layoutInCell="1" allowOverlap="1" wp14:anchorId="6AEFF698" wp14:editId="733320A7">
                <wp:simplePos x="0" y="0"/>
                <wp:positionH relativeFrom="column">
                  <wp:posOffset>3142615</wp:posOffset>
                </wp:positionH>
                <wp:positionV relativeFrom="paragraph">
                  <wp:posOffset>619760</wp:posOffset>
                </wp:positionV>
                <wp:extent cx="443865" cy="246380"/>
                <wp:effectExtent l="3175" t="1270" r="635" b="0"/>
                <wp:wrapNone/>
                <wp:docPr id="486"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229DD5"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43</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EFF698" id="_x0000_s1141" type="#_x0000_t202" style="position:absolute;left:0;text-align:left;margin-left:247.45pt;margin-top:48.8pt;width:34.95pt;height:19.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" stroked="f">
                <v:textbox style="mso-fit-shape-to-text:t">
                  <w:txbxContent>
                    <w:p w14:paraId="04229DD5"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43</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80256" behindDoc="0" locked="0" layoutInCell="1" allowOverlap="1" wp14:anchorId="12D42786" wp14:editId="5CC431E2">
                <wp:simplePos x="0" y="0"/>
                <wp:positionH relativeFrom="column">
                  <wp:posOffset>2177415</wp:posOffset>
                </wp:positionH>
                <wp:positionV relativeFrom="paragraph">
                  <wp:posOffset>280670</wp:posOffset>
                </wp:positionV>
                <wp:extent cx="443865" cy="246380"/>
                <wp:effectExtent l="0" t="0" r="3810" b="0"/>
                <wp:wrapNone/>
                <wp:docPr id="485"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CAA447"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50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2D42786" id="_x0000_s1142" type="#_x0000_t202" style="position:absolute;left:0;text-align:left;margin-left:171.45pt;margin-top:22.1pt;width:34.95pt;height:19.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" stroked="f">
                <v:textbox style="mso-fit-shape-to-text:t">
                  <w:txbxContent>
                    <w:p w14:paraId="0ACAA447"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50</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79232" behindDoc="0" locked="0" layoutInCell="1" allowOverlap="1" wp14:anchorId="6FFD0549" wp14:editId="06F821FE">
                <wp:simplePos x="0" y="0"/>
                <wp:positionH relativeFrom="column">
                  <wp:posOffset>1675130</wp:posOffset>
                </wp:positionH>
                <wp:positionV relativeFrom="paragraph">
                  <wp:posOffset>817245</wp:posOffset>
                </wp:positionV>
                <wp:extent cx="443865" cy="246380"/>
                <wp:effectExtent l="2540" t="0" r="1270" b="2540"/>
                <wp:wrapNone/>
                <wp:docPr id="484"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09BA7D"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39</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FD0549" id="_x0000_s1143" type="#_x0000_t202" style="position:absolute;left:0;text-align:left;margin-left:131.9pt;margin-top:64.35pt;width:34.95pt;height:19.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" stroked="f">
                <v:textbox style="mso-fit-shape-to-text:t">
                  <w:txbxContent>
                    <w:p w14:paraId="5809BA7D"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39</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78208" behindDoc="0" locked="0" layoutInCell="1" allowOverlap="1" wp14:anchorId="58C0B7E8" wp14:editId="4E89D2A6">
                <wp:simplePos x="0" y="0"/>
                <wp:positionH relativeFrom="column">
                  <wp:posOffset>1160780</wp:posOffset>
                </wp:positionH>
                <wp:positionV relativeFrom="paragraph">
                  <wp:posOffset>906145</wp:posOffset>
                </wp:positionV>
                <wp:extent cx="443865" cy="246380"/>
                <wp:effectExtent l="2540" t="1905" r="1270" b="0"/>
                <wp:wrapNone/>
                <wp:docPr id="482"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E14E8C"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36</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C0B7E8" id="_x0000_s1144" type="#_x0000_t202" style="position:absolute;left:0;text-align:left;margin-left:91.4pt;margin-top:71.35pt;width:34.95pt;height:19.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" stroked="f">
                <v:textbox style="mso-fit-shape-to-text:t">
                  <w:txbxContent>
                    <w:p w14:paraId="3CE14E8C"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36</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76160" behindDoc="0" locked="0" layoutInCell="1" allowOverlap="1" wp14:anchorId="745C18D1" wp14:editId="6FB05836">
                <wp:simplePos x="0" y="0"/>
                <wp:positionH relativeFrom="column">
                  <wp:posOffset>672465</wp:posOffset>
                </wp:positionH>
                <wp:positionV relativeFrom="paragraph">
                  <wp:posOffset>831850</wp:posOffset>
                </wp:positionV>
                <wp:extent cx="443865" cy="246380"/>
                <wp:effectExtent l="0" t="3810" r="3810" b="0"/>
                <wp:wrapNone/>
                <wp:docPr id="481"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128A73"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38</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5C18D1" id="_x0000_s1145" type="#_x0000_t202" style="position:absolute;left:0;text-align:left;margin-left:52.95pt;margin-top:65.5pt;width:34.95pt;height:19.4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" stroked="f">
                <v:textbox style="mso-fit-shape-to-text:t">
                  <w:txbxContent>
                    <w:p w14:paraId="51128A73"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38</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85376" behindDoc="0" locked="0" layoutInCell="1" allowOverlap="1" wp14:anchorId="0C310C74" wp14:editId="7C58A5CA">
                <wp:simplePos x="0" y="0"/>
                <wp:positionH relativeFrom="column">
                  <wp:posOffset>176530</wp:posOffset>
                </wp:positionH>
                <wp:positionV relativeFrom="paragraph">
                  <wp:posOffset>1399540</wp:posOffset>
                </wp:positionV>
                <wp:extent cx="443865" cy="246380"/>
                <wp:effectExtent l="0" t="0" r="4445" b="1270"/>
                <wp:wrapNone/>
                <wp:docPr id="480"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8D337"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C310C74" id="_x0000_s1146" type="#_x0000_t202" style="position:absolute;left:0;text-align:left;margin-left:13.9pt;margin-top:110.2pt;width:34.95pt;height:19.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" stroked="f">
                <v:textbox style="mso-fit-shape-to-text:t">
                  <w:txbxContent>
                    <w:p w14:paraId="3A38D337" w14:textId="77777777" w:rsidR="002C3947" w:rsidRPr="002D75FC" w:rsidRDefault="002C3947" w:rsidP="00F3260C">
                      <w:pPr>
                        <w:pStyle w:val="16"/>
                        <w:spacing w:before="0" w:beforeAutospacing="0" w:after="0" w:afterAutospacing="0"/>
                        <w:jc w:val="center"/>
                        <w:rPr>
                          <w:sz w:val="20"/>
                          <w:szCs w:val="20"/>
                        </w:rPr>
                      </w:pPr>
                      <w:r>
                        <w:rPr>
                          <w:rFonts w:ascii="Calibri" w:hAnsi="Calibri"/>
                          <w:b/>
                          <w:bCs/>
                          <w:color w:val="000000"/>
                          <w:sz w:val="20"/>
                          <w:szCs w:val="20"/>
                        </w:rPr>
                        <w:t>25</w:t>
                      </w:r>
                    </w:p>
                  </w:txbxContent>
                </v:textbox>
              </v:shape>
            </w:pict>
          </mc:Fallback>
        </mc:AlternateContent>
      </w:r>
      <w:bookmarkStart w:id="400" w:name="_Hlk95938813"/>
      <w:r w:rsidRPr="00BD295E">
        <w:rPr>
          <w:rFonts w:ascii="Arial" w:hAnsi="Arial" w:cs="Arial"/>
          <w:sz w:val="18"/>
          <w:szCs w:val="18"/>
          <w:lang w:val="en-US" w:eastAsia="en-US"/>
        </w:rPr>
        <w:drawing>
          <wp:inline distT="0" distB="0" distL="0" distR="0" wp14:anchorId="2F5B13FA" wp14:editId="5435B6C7">
            <wp:extent cx="5486400" cy="3105150"/>
            <wp:effectExtent l="0" t="0" r="0" b="0"/>
            <wp:docPr id="69" name="Диаграмма 532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bookmarkEnd w:id="400"/>
    </w:p>
    <w:p w14:paraId="3276A3E5" w14:textId="3237ED0F" w:rsidR="00F3260C" w:rsidRPr="00BD295E" w:rsidRDefault="00997D07" w:rsidP="00F3260C">
      <w:pPr>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88448" behindDoc="0" locked="0" layoutInCell="1" allowOverlap="1" wp14:anchorId="50B781CD" wp14:editId="5A05F940">
                <wp:simplePos x="0" y="0"/>
                <wp:positionH relativeFrom="column">
                  <wp:posOffset>1024255</wp:posOffset>
                </wp:positionH>
                <wp:positionV relativeFrom="paragraph">
                  <wp:posOffset>39370</wp:posOffset>
                </wp:positionV>
                <wp:extent cx="1999615" cy="246380"/>
                <wp:effectExtent l="0" t="0" r="1270" b="0"/>
                <wp:wrapNone/>
                <wp:docPr id="479"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961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65C6F" w14:textId="77777777" w:rsidR="002C3947" w:rsidRDefault="002C3947" w:rsidP="00F3260C">
                            <w:pPr>
                              <w:pStyle w:val="16"/>
                              <w:spacing w:before="0" w:beforeAutospacing="0" w:after="0" w:afterAutospacing="0"/>
                              <w:jc w:val="center"/>
                            </w:pPr>
                            <w:r>
                              <w:rPr>
                                <w:rFonts w:ascii="Calibri" w:hAnsi="Calibri"/>
                                <w:b/>
                                <w:bCs/>
                                <w:color w:val="000000"/>
                                <w:sz w:val="20"/>
                                <w:szCs w:val="20"/>
                              </w:rPr>
                              <w:t>Matters reviewed</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B781CD" id="TextBox 27" o:spid="_x0000_s1147" type="#_x0000_t202" style="position:absolute;left:0;text-align:left;margin-left:80.65pt;margin-top:3.1pt;width:157.45pt;height:19.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ulvAIAAMQ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" filled="f" stroked="f">
                <v:textbox style="mso-fit-shape-to-text:t">
                  <w:txbxContent>
                    <w:p w14:paraId="2C565C6F" w14:textId="77777777" w:rsidR="002C3947" w:rsidRDefault="002C3947" w:rsidP="00F3260C">
                      <w:pPr>
                        <w:pStyle w:val="16"/>
                        <w:spacing w:before="0" w:beforeAutospacing="0" w:after="0" w:afterAutospacing="0"/>
                        <w:jc w:val="center"/>
                      </w:pPr>
                      <w:r>
                        <w:rPr>
                          <w:rFonts w:ascii="Calibri" w:hAnsi="Calibri"/>
                          <w:b/>
                          <w:bCs/>
                          <w:color w:val="000000"/>
                          <w:sz w:val="20"/>
                          <w:szCs w:val="20"/>
                        </w:rPr>
                        <w:t>Matters reviewed</w:t>
                      </w:r>
                    </w:p>
                  </w:txbxContent>
                </v:textbox>
              </v:shape>
            </w:pict>
          </mc:Fallback>
        </mc:AlternateContent>
      </w:r>
    </w:p>
    <w:p w14:paraId="0C7A4F87" w14:textId="77777777" w:rsidR="00F3260C" w:rsidRPr="00BD295E" w:rsidRDefault="00F3260C" w:rsidP="00F3260C">
      <w:pPr>
        <w:jc w:val="both"/>
        <w:rPr>
          <w:rFonts w:ascii="Arial" w:hAnsi="Arial" w:cs="Arial"/>
          <w:sz w:val="18"/>
          <w:szCs w:val="18"/>
          <w:lang w:val="en-US"/>
        </w:rPr>
      </w:pPr>
    </w:p>
    <w:p w14:paraId="4B499E85" w14:textId="7F021E23" w:rsidR="00F3260C" w:rsidRPr="00BD295E" w:rsidRDefault="00997D07" w:rsidP="00F3260C">
      <w:pPr>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74112" behindDoc="0" locked="0" layoutInCell="1" allowOverlap="1" wp14:anchorId="2AFB7023" wp14:editId="28131465">
                <wp:simplePos x="0" y="0"/>
                <wp:positionH relativeFrom="column">
                  <wp:posOffset>133985</wp:posOffset>
                </wp:positionH>
                <wp:positionV relativeFrom="paragraph">
                  <wp:posOffset>19050</wp:posOffset>
                </wp:positionV>
                <wp:extent cx="4110990" cy="492760"/>
                <wp:effectExtent l="13970" t="9525" r="8890" b="12065"/>
                <wp:wrapNone/>
                <wp:docPr id="478"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0990" cy="492760"/>
                        </a:xfrm>
                        <a:prstGeom prst="rect">
                          <a:avLst/>
                        </a:prstGeom>
                        <a:solidFill>
                          <a:srgbClr val="FFFFFF"/>
                        </a:solidFill>
                        <a:ln w="9525">
                          <a:solidFill>
                            <a:srgbClr val="1F4E79"/>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rect w14:anchorId="4BB3F590" id="Прямоугольник 33" o:spid="_x0000_s1026" style="position:absolute;margin-left:10.55pt;margin-top:1.5pt;width:323.7pt;height:38.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" strokecolor="#1f4e79"/>
            </w:pict>
          </mc:Fallback>
        </mc:AlternateContent>
      </w:r>
    </w:p>
    <w:p w14:paraId="62534229" w14:textId="399C629F" w:rsidR="00F3260C" w:rsidRPr="00BD295E" w:rsidRDefault="00997D07" w:rsidP="00F3260C">
      <w:pPr>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90496" behindDoc="0" locked="0" layoutInCell="1" allowOverlap="1" wp14:anchorId="0B09C051" wp14:editId="0F8D44FD">
                <wp:simplePos x="0" y="0"/>
                <wp:positionH relativeFrom="column">
                  <wp:posOffset>3696335</wp:posOffset>
                </wp:positionH>
                <wp:positionV relativeFrom="paragraph">
                  <wp:posOffset>9525</wp:posOffset>
                </wp:positionV>
                <wp:extent cx="473075" cy="262255"/>
                <wp:effectExtent l="4445" t="0" r="0" b="0"/>
                <wp:wrapNone/>
                <wp:docPr id="477"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 cy="26225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955453" w14:textId="77777777" w:rsidR="002C3947" w:rsidRPr="00581AD5" w:rsidRDefault="002C3947" w:rsidP="00F3260C">
                            <w:pPr>
                              <w:pStyle w:val="16"/>
                              <w:spacing w:before="0" w:beforeAutospacing="0" w:after="0" w:afterAutospacing="0"/>
                              <w:jc w:val="center"/>
                            </w:pPr>
                            <w:r>
                              <w:rPr>
                                <w:rFonts w:ascii="Calibri" w:hAnsi="Calibri"/>
                                <w:b/>
                                <w:bCs/>
                                <w:color w:val="000000"/>
                                <w:sz w:val="22"/>
                                <w:szCs w:val="22"/>
                              </w:rPr>
                              <w:t>159</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B09C051" id="TextBox 33" o:spid="_x0000_s1148" type="#_x0000_t202" style="position:absolute;left:0;text-align:left;margin-left:291.05pt;margin-top:.75pt;width:37.25pt;height:20.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" fillcolor="#d9d9d9" stroked="f">
                <v:textbox style="mso-fit-shape-to-text:t">
                  <w:txbxContent>
                    <w:p w14:paraId="09955453" w14:textId="77777777" w:rsidR="002C3947" w:rsidRPr="00581AD5" w:rsidRDefault="002C3947" w:rsidP="00F3260C">
                      <w:pPr>
                        <w:pStyle w:val="16"/>
                        <w:spacing w:before="0" w:beforeAutospacing="0" w:after="0" w:afterAutospacing="0"/>
                        <w:jc w:val="center"/>
                      </w:pPr>
                      <w:r>
                        <w:rPr>
                          <w:rFonts w:ascii="Calibri" w:hAnsi="Calibri"/>
                          <w:b/>
                          <w:bCs/>
                          <w:color w:val="000000"/>
                          <w:sz w:val="22"/>
                          <w:szCs w:val="22"/>
                        </w:rPr>
                        <w:t>159</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89472" behindDoc="0" locked="0" layoutInCell="1" allowOverlap="1" wp14:anchorId="10238F7D" wp14:editId="19DA1FC4">
                <wp:simplePos x="0" y="0"/>
                <wp:positionH relativeFrom="column">
                  <wp:posOffset>174625</wp:posOffset>
                </wp:positionH>
                <wp:positionV relativeFrom="paragraph">
                  <wp:posOffset>13335</wp:posOffset>
                </wp:positionV>
                <wp:extent cx="443865" cy="262255"/>
                <wp:effectExtent l="0" t="1905" r="0" b="2540"/>
                <wp:wrapNone/>
                <wp:docPr id="476"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6225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6B4C4B" w14:textId="77777777" w:rsidR="002C3947" w:rsidRDefault="002C3947" w:rsidP="00F3260C">
                            <w:pPr>
                              <w:pStyle w:val="16"/>
                              <w:spacing w:before="0" w:beforeAutospacing="0" w:after="0" w:afterAutospacing="0"/>
                              <w:jc w:val="center"/>
                            </w:pPr>
                            <w:r>
                              <w:rPr>
                                <w:rFonts w:ascii="Calibri" w:hAnsi="Calibri"/>
                                <w:b/>
                                <w:bCs/>
                                <w:color w:val="000000"/>
                                <w:sz w:val="22"/>
                                <w:szCs w:val="22"/>
                              </w:rPr>
                              <w:t>178</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238F7D" id="_x0000_s1149" type="#_x0000_t202" style="position:absolute;left:0;text-align:left;margin-left:13.75pt;margin-top:1.05pt;width:34.95pt;height:20.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" fillcolor="#d9d9d9" stroked="f">
                <v:textbox style="mso-fit-shape-to-text:t">
                  <w:txbxContent>
                    <w:p w14:paraId="1E6B4C4B" w14:textId="77777777" w:rsidR="002C3947" w:rsidRDefault="002C3947" w:rsidP="00F3260C">
                      <w:pPr>
                        <w:pStyle w:val="16"/>
                        <w:spacing w:before="0" w:beforeAutospacing="0" w:after="0" w:afterAutospacing="0"/>
                        <w:jc w:val="center"/>
                      </w:pPr>
                      <w:r>
                        <w:rPr>
                          <w:rFonts w:ascii="Calibri" w:hAnsi="Calibri"/>
                          <w:b/>
                          <w:bCs/>
                          <w:color w:val="000000"/>
                          <w:sz w:val="22"/>
                          <w:szCs w:val="22"/>
                        </w:rPr>
                        <w:t>178</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75136" behindDoc="0" locked="0" layoutInCell="1" allowOverlap="1" wp14:anchorId="3F445A65" wp14:editId="268CF06D">
                <wp:simplePos x="0" y="0"/>
                <wp:positionH relativeFrom="column">
                  <wp:posOffset>674370</wp:posOffset>
                </wp:positionH>
                <wp:positionV relativeFrom="paragraph">
                  <wp:posOffset>11430</wp:posOffset>
                </wp:positionV>
                <wp:extent cx="443865" cy="262255"/>
                <wp:effectExtent l="1905" t="0" r="1905" b="4445"/>
                <wp:wrapNone/>
                <wp:docPr id="475"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6225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08A205" w14:textId="77777777" w:rsidR="002C3947" w:rsidRDefault="002C3947" w:rsidP="00F3260C">
                            <w:pPr>
                              <w:pStyle w:val="16"/>
                              <w:spacing w:before="0" w:beforeAutospacing="0" w:after="0" w:afterAutospacing="0"/>
                              <w:jc w:val="center"/>
                            </w:pPr>
                            <w:r>
                              <w:rPr>
                                <w:rFonts w:ascii="Calibri" w:hAnsi="Calibri"/>
                                <w:b/>
                                <w:bCs/>
                                <w:color w:val="000000"/>
                                <w:sz w:val="22"/>
                                <w:szCs w:val="22"/>
                              </w:rPr>
                              <w:t>260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F445A65" id="TextBox 32" o:spid="_x0000_s1150" type="#_x0000_t202" style="position:absolute;left:0;text-align:left;margin-left:53.1pt;margin-top:.9pt;width:34.95pt;height:20.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" fillcolor="#d9d9d9" stroked="f">
                <v:textbox style="mso-fit-shape-to-text:t">
                  <w:txbxContent>
                    <w:p w14:paraId="5108A205" w14:textId="77777777" w:rsidR="002C3947" w:rsidRDefault="002C3947" w:rsidP="00F3260C">
                      <w:pPr>
                        <w:pStyle w:val="16"/>
                        <w:spacing w:before="0" w:beforeAutospacing="0" w:after="0" w:afterAutospacing="0"/>
                        <w:jc w:val="center"/>
                      </w:pPr>
                      <w:r>
                        <w:rPr>
                          <w:rFonts w:ascii="Calibri" w:hAnsi="Calibri"/>
                          <w:b/>
                          <w:bCs/>
                          <w:color w:val="000000"/>
                          <w:sz w:val="22"/>
                          <w:szCs w:val="22"/>
                        </w:rPr>
                        <w:t>260</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77184" behindDoc="0" locked="0" layoutInCell="1" allowOverlap="1" wp14:anchorId="3C4CA012" wp14:editId="2A65C11D">
                <wp:simplePos x="0" y="0"/>
                <wp:positionH relativeFrom="column">
                  <wp:posOffset>1170940</wp:posOffset>
                </wp:positionH>
                <wp:positionV relativeFrom="paragraph">
                  <wp:posOffset>12065</wp:posOffset>
                </wp:positionV>
                <wp:extent cx="443865" cy="262255"/>
                <wp:effectExtent l="3175" t="635" r="635" b="3810"/>
                <wp:wrapNone/>
                <wp:docPr id="474"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6225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52CD00" w14:textId="77777777" w:rsidR="002C3947" w:rsidRPr="00475CC0" w:rsidRDefault="002C3947" w:rsidP="00F3260C">
                            <w:pPr>
                              <w:pStyle w:val="16"/>
                              <w:spacing w:before="0" w:beforeAutospacing="0" w:after="0" w:afterAutospacing="0"/>
                              <w:jc w:val="center"/>
                            </w:pPr>
                            <w:r>
                              <w:rPr>
                                <w:rFonts w:ascii="Calibri" w:hAnsi="Calibri"/>
                                <w:b/>
                                <w:bCs/>
                                <w:color w:val="000000"/>
                                <w:sz w:val="22"/>
                                <w:szCs w:val="22"/>
                              </w:rPr>
                              <w:t>241</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4CA012" id="_x0000_s1151" type="#_x0000_t202" style="position:absolute;left:0;text-align:left;margin-left:92.2pt;margin-top:.95pt;width:34.95pt;height:20.6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" fillcolor="#d9d9d9" stroked="f">
                <v:textbox style="mso-fit-shape-to-text:t">
                  <w:txbxContent>
                    <w:p w14:paraId="5352CD00" w14:textId="77777777" w:rsidR="002C3947" w:rsidRPr="00475CC0" w:rsidRDefault="002C3947" w:rsidP="00F3260C">
                      <w:pPr>
                        <w:pStyle w:val="16"/>
                        <w:spacing w:before="0" w:beforeAutospacing="0" w:after="0" w:afterAutospacing="0"/>
                        <w:jc w:val="center"/>
                      </w:pPr>
                      <w:r>
                        <w:rPr>
                          <w:rFonts w:ascii="Calibri" w:hAnsi="Calibri"/>
                          <w:b/>
                          <w:bCs/>
                          <w:color w:val="000000"/>
                          <w:sz w:val="22"/>
                          <w:szCs w:val="22"/>
                        </w:rPr>
                        <w:t>241</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81280" behindDoc="0" locked="0" layoutInCell="1" allowOverlap="1" wp14:anchorId="62A5A209" wp14:editId="4305E32C">
                <wp:simplePos x="0" y="0"/>
                <wp:positionH relativeFrom="column">
                  <wp:posOffset>1660525</wp:posOffset>
                </wp:positionH>
                <wp:positionV relativeFrom="paragraph">
                  <wp:posOffset>12700</wp:posOffset>
                </wp:positionV>
                <wp:extent cx="443865" cy="262255"/>
                <wp:effectExtent l="0" t="1270" r="0" b="3175"/>
                <wp:wrapNone/>
                <wp:docPr id="473"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6225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1E949C" w14:textId="77777777" w:rsidR="002C3947" w:rsidRDefault="002C3947" w:rsidP="00F3260C">
                            <w:pPr>
                              <w:pStyle w:val="16"/>
                              <w:spacing w:before="0" w:beforeAutospacing="0" w:after="0" w:afterAutospacing="0"/>
                              <w:jc w:val="center"/>
                            </w:pPr>
                            <w:r>
                              <w:rPr>
                                <w:rFonts w:ascii="Calibri" w:hAnsi="Calibri"/>
                                <w:b/>
                                <w:bCs/>
                                <w:color w:val="000000"/>
                                <w:sz w:val="22"/>
                                <w:szCs w:val="22"/>
                              </w:rPr>
                              <w:t>257</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A5A209" id="_x0000_s1152" type="#_x0000_t202" style="position:absolute;left:0;text-align:left;margin-left:130.75pt;margin-top:1pt;width:34.95pt;height:20.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" fillcolor="#d9d9d9" stroked="f">
                <v:textbox style="mso-fit-shape-to-text:t">
                  <w:txbxContent>
                    <w:p w14:paraId="5A1E949C" w14:textId="77777777" w:rsidR="002C3947" w:rsidRDefault="002C3947" w:rsidP="00F3260C">
                      <w:pPr>
                        <w:pStyle w:val="16"/>
                        <w:spacing w:before="0" w:beforeAutospacing="0" w:after="0" w:afterAutospacing="0"/>
                        <w:jc w:val="center"/>
                      </w:pPr>
                      <w:r>
                        <w:rPr>
                          <w:rFonts w:ascii="Calibri" w:hAnsi="Calibri"/>
                          <w:b/>
                          <w:bCs/>
                          <w:color w:val="000000"/>
                          <w:sz w:val="22"/>
                          <w:szCs w:val="22"/>
                        </w:rPr>
                        <w:t>257</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84352" behindDoc="0" locked="0" layoutInCell="1" allowOverlap="1" wp14:anchorId="074628C3" wp14:editId="5E636676">
                <wp:simplePos x="0" y="0"/>
                <wp:positionH relativeFrom="column">
                  <wp:posOffset>2165985</wp:posOffset>
                </wp:positionH>
                <wp:positionV relativeFrom="paragraph">
                  <wp:posOffset>11430</wp:posOffset>
                </wp:positionV>
                <wp:extent cx="443865" cy="262255"/>
                <wp:effectExtent l="0" t="0" r="0" b="4445"/>
                <wp:wrapNone/>
                <wp:docPr id="472"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6225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BE52AB" w14:textId="77777777" w:rsidR="002C3947" w:rsidRPr="00475CC0" w:rsidRDefault="002C3947" w:rsidP="00F3260C">
                            <w:pPr>
                              <w:pStyle w:val="16"/>
                              <w:spacing w:before="0" w:beforeAutospacing="0" w:after="0" w:afterAutospacing="0"/>
                              <w:jc w:val="center"/>
                            </w:pPr>
                            <w:r>
                              <w:rPr>
                                <w:rFonts w:ascii="Calibri" w:hAnsi="Calibri"/>
                                <w:b/>
                                <w:bCs/>
                                <w:color w:val="000000"/>
                                <w:sz w:val="22"/>
                                <w:szCs w:val="22"/>
                              </w:rPr>
                              <w:t>268</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4628C3" id="_x0000_s1153" type="#_x0000_t202" style="position:absolute;left:0;text-align:left;margin-left:170.55pt;margin-top:.9pt;width:34.95pt;height:20.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" fillcolor="#d9d9d9" stroked="f">
                <v:textbox style="mso-fit-shape-to-text:t">
                  <w:txbxContent>
                    <w:p w14:paraId="19BE52AB" w14:textId="77777777" w:rsidR="002C3947" w:rsidRPr="00475CC0" w:rsidRDefault="002C3947" w:rsidP="00F3260C">
                      <w:pPr>
                        <w:pStyle w:val="16"/>
                        <w:spacing w:before="0" w:beforeAutospacing="0" w:after="0" w:afterAutospacing="0"/>
                        <w:jc w:val="center"/>
                      </w:pPr>
                      <w:r>
                        <w:rPr>
                          <w:rFonts w:ascii="Calibri" w:hAnsi="Calibri"/>
                          <w:b/>
                          <w:bCs/>
                          <w:color w:val="000000"/>
                          <w:sz w:val="22"/>
                          <w:szCs w:val="22"/>
                        </w:rPr>
                        <w:t>268</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86400" behindDoc="0" locked="0" layoutInCell="1" allowOverlap="1" wp14:anchorId="29966D20" wp14:editId="6D59BEDF">
                <wp:simplePos x="0" y="0"/>
                <wp:positionH relativeFrom="margin">
                  <wp:posOffset>2667635</wp:posOffset>
                </wp:positionH>
                <wp:positionV relativeFrom="paragraph">
                  <wp:posOffset>13970</wp:posOffset>
                </wp:positionV>
                <wp:extent cx="443865" cy="262255"/>
                <wp:effectExtent l="4445" t="2540" r="0" b="1905"/>
                <wp:wrapNone/>
                <wp:docPr id="471"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26225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488681" w14:textId="77777777" w:rsidR="002C3947" w:rsidRPr="00475CC0" w:rsidRDefault="002C3947" w:rsidP="00F3260C">
                            <w:pPr>
                              <w:pStyle w:val="16"/>
                              <w:spacing w:before="0" w:beforeAutospacing="0" w:after="0" w:afterAutospacing="0"/>
                              <w:jc w:val="center"/>
                            </w:pPr>
                            <w:r>
                              <w:rPr>
                                <w:rFonts w:ascii="Calibri" w:hAnsi="Calibri"/>
                                <w:b/>
                                <w:bCs/>
                                <w:color w:val="000000"/>
                                <w:sz w:val="22"/>
                                <w:szCs w:val="22"/>
                              </w:rPr>
                              <w:t>245</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966D20" id="_x0000_s1154" type="#_x0000_t202" style="position:absolute;left:0;text-align:left;margin-left:210.05pt;margin-top:1.1pt;width:34.95pt;height:20.6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" fillcolor="#d9d9d9" stroked="f">
                <v:textbox style="mso-fit-shape-to-text:t">
                  <w:txbxContent>
                    <w:p w14:paraId="12488681" w14:textId="77777777" w:rsidR="002C3947" w:rsidRPr="00475CC0" w:rsidRDefault="002C3947" w:rsidP="00F3260C">
                      <w:pPr>
                        <w:pStyle w:val="16"/>
                        <w:spacing w:before="0" w:beforeAutospacing="0" w:after="0" w:afterAutospacing="0"/>
                        <w:jc w:val="center"/>
                      </w:pPr>
                      <w:r>
                        <w:rPr>
                          <w:rFonts w:ascii="Calibri" w:hAnsi="Calibri"/>
                          <w:b/>
                          <w:bCs/>
                          <w:color w:val="000000"/>
                          <w:sz w:val="22"/>
                          <w:szCs w:val="22"/>
                        </w:rPr>
                        <w:t>245</w:t>
                      </w:r>
                    </w:p>
                  </w:txbxContent>
                </v:textbox>
                <w10:wrap anchorx="margin"/>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87424" behindDoc="0" locked="0" layoutInCell="1" allowOverlap="1" wp14:anchorId="0AE52584" wp14:editId="03B0053E">
                <wp:simplePos x="0" y="0"/>
                <wp:positionH relativeFrom="column">
                  <wp:posOffset>3155315</wp:posOffset>
                </wp:positionH>
                <wp:positionV relativeFrom="paragraph">
                  <wp:posOffset>10160</wp:posOffset>
                </wp:positionV>
                <wp:extent cx="473075" cy="262255"/>
                <wp:effectExtent l="0" t="0" r="0" b="0"/>
                <wp:wrapNone/>
                <wp:docPr id="470"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 cy="26225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41C83" w14:textId="77777777" w:rsidR="002C3947" w:rsidRPr="00211D6E" w:rsidRDefault="002C3947" w:rsidP="00F3260C">
                            <w:pPr>
                              <w:pStyle w:val="16"/>
                              <w:spacing w:before="0" w:beforeAutospacing="0" w:after="0" w:afterAutospacing="0"/>
                              <w:jc w:val="center"/>
                            </w:pPr>
                            <w:r>
                              <w:rPr>
                                <w:rFonts w:ascii="Calibri" w:hAnsi="Calibri"/>
                                <w:b/>
                                <w:bCs/>
                                <w:color w:val="000000"/>
                                <w:sz w:val="22"/>
                                <w:szCs w:val="22"/>
                              </w:rPr>
                              <w:t>160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AE52584" id="_x0000_s1155" type="#_x0000_t202" style="position:absolute;left:0;text-align:left;margin-left:248.45pt;margin-top:.8pt;width:37.25pt;height:20.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" fillcolor="#d9d9d9" stroked="f">
                <v:textbox style="mso-fit-shape-to-text:t">
                  <w:txbxContent>
                    <w:p w14:paraId="16841C83" w14:textId="77777777" w:rsidR="002C3947" w:rsidRPr="00211D6E" w:rsidRDefault="002C3947" w:rsidP="00F3260C">
                      <w:pPr>
                        <w:pStyle w:val="16"/>
                        <w:spacing w:before="0" w:beforeAutospacing="0" w:after="0" w:afterAutospacing="0"/>
                        <w:jc w:val="center"/>
                      </w:pPr>
                      <w:r>
                        <w:rPr>
                          <w:rFonts w:ascii="Calibri" w:hAnsi="Calibri"/>
                          <w:b/>
                          <w:bCs/>
                          <w:color w:val="000000"/>
                          <w:sz w:val="22"/>
                          <w:szCs w:val="22"/>
                        </w:rPr>
                        <w:t>160</w:t>
                      </w:r>
                    </w:p>
                  </w:txbxContent>
                </v:textbox>
              </v:shape>
            </w:pict>
          </mc:Fallback>
        </mc:AlternateContent>
      </w:r>
    </w:p>
    <w:p w14:paraId="2F1E03AD" w14:textId="77777777" w:rsidR="00F3260C" w:rsidRPr="00BD295E" w:rsidRDefault="00F3260C" w:rsidP="00F3260C">
      <w:pPr>
        <w:jc w:val="both"/>
        <w:rPr>
          <w:rFonts w:ascii="Arial" w:hAnsi="Arial" w:cs="Arial"/>
          <w:sz w:val="18"/>
          <w:szCs w:val="18"/>
          <w:lang w:val="en-US"/>
        </w:rPr>
      </w:pPr>
    </w:p>
    <w:p w14:paraId="2D7FC317" w14:textId="77777777" w:rsidR="00F3260C" w:rsidRPr="00BD295E" w:rsidRDefault="00F3260C" w:rsidP="00F3260C">
      <w:pPr>
        <w:jc w:val="both"/>
        <w:rPr>
          <w:rFonts w:ascii="Arial" w:hAnsi="Arial" w:cs="Arial"/>
          <w:sz w:val="18"/>
          <w:szCs w:val="18"/>
          <w:lang w:val="en-US"/>
        </w:rPr>
      </w:pPr>
    </w:p>
    <w:p w14:paraId="196C0886" w14:textId="77777777" w:rsidR="00F3260C" w:rsidRPr="00BD295E" w:rsidRDefault="00F3260C" w:rsidP="00F3260C">
      <w:pPr>
        <w:autoSpaceDE w:val="0"/>
        <w:autoSpaceDN w:val="0"/>
        <w:adjustRightInd w:val="0"/>
        <w:ind w:firstLine="567"/>
        <w:jc w:val="both"/>
        <w:rPr>
          <w:rFonts w:ascii="Arial" w:hAnsi="Arial" w:cs="Arial"/>
          <w:sz w:val="18"/>
          <w:szCs w:val="18"/>
          <w:lang w:val="en-US"/>
        </w:rPr>
      </w:pPr>
    </w:p>
    <w:p w14:paraId="608FB4E0" w14:textId="77777777" w:rsidR="00F3260C" w:rsidRPr="00BD295E" w:rsidRDefault="008A5057" w:rsidP="00E11870">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Meetings of the Board of Directors of the Company are held in accordance with the work plan of the Board of Directors. The date of meeting of the Company’s Board of Directors is determined by the Chairman of the Board of Directors. </w:t>
      </w:r>
    </w:p>
    <w:p w14:paraId="041AD80F" w14:textId="77777777" w:rsidR="00F3260C" w:rsidRPr="00BD295E" w:rsidRDefault="00F3260C" w:rsidP="00E11870">
      <w:pPr>
        <w:rPr>
          <w:rFonts w:ascii="Arial" w:hAnsi="Arial" w:cs="Arial"/>
          <w:sz w:val="18"/>
          <w:szCs w:val="18"/>
          <w:lang w:val="en-US"/>
        </w:rPr>
      </w:pPr>
    </w:p>
    <w:p w14:paraId="14DF7365" w14:textId="77777777" w:rsidR="00F3260C" w:rsidRPr="00BD295E" w:rsidRDefault="008A5057" w:rsidP="00E11870">
      <w:pPr>
        <w:rPr>
          <w:rFonts w:ascii="Arial" w:hAnsi="Arial" w:cs="Arial"/>
          <w:b/>
          <w:sz w:val="18"/>
          <w:szCs w:val="18"/>
          <w:lang w:val="en-US"/>
        </w:rPr>
      </w:pPr>
      <w:r w:rsidRPr="00BD295E">
        <w:rPr>
          <w:rFonts w:ascii="Arial" w:hAnsi="Arial" w:cs="Arial"/>
          <w:b/>
          <w:sz w:val="18"/>
          <w:szCs w:val="18"/>
          <w:lang w:val="en-US"/>
        </w:rPr>
        <w:t>Participation of the Company’s Board of Directors in management of the Company’s business</w:t>
      </w:r>
    </w:p>
    <w:p w14:paraId="5B5AA928" w14:textId="77777777" w:rsidR="00F3260C" w:rsidRPr="00BD295E" w:rsidRDefault="00F3260C" w:rsidP="00E11870">
      <w:pPr>
        <w:jc w:val="both"/>
        <w:rPr>
          <w:rFonts w:ascii="Arial" w:hAnsi="Arial" w:cs="Arial"/>
          <w:sz w:val="18"/>
          <w:szCs w:val="18"/>
          <w:lang w:val="en-US"/>
        </w:rPr>
      </w:pPr>
    </w:p>
    <w:p w14:paraId="4018379A" w14:textId="77777777" w:rsidR="00F3260C" w:rsidRPr="00BD295E" w:rsidRDefault="008A5057" w:rsidP="00E11870">
      <w:pPr>
        <w:pStyle w:val="af3"/>
        <w:tabs>
          <w:tab w:val="left" w:pos="0"/>
          <w:tab w:val="left" w:pos="851"/>
        </w:tabs>
        <w:ind w:left="0"/>
        <w:jc w:val="both"/>
        <w:rPr>
          <w:rFonts w:ascii="Arial" w:hAnsi="Arial" w:cs="Arial"/>
          <w:sz w:val="18"/>
          <w:szCs w:val="18"/>
          <w:lang w:val="en-US"/>
        </w:rPr>
      </w:pPr>
      <w:r w:rsidRPr="00BD295E">
        <w:rPr>
          <w:rFonts w:ascii="Arial" w:hAnsi="Arial" w:cs="Arial"/>
          <w:sz w:val="18"/>
          <w:szCs w:val="18"/>
          <w:lang w:val="en-US"/>
        </w:rPr>
        <w:t>The Company’s Board of Directors plays the key role in organizing an effective corporate governance system.</w:t>
      </w:r>
    </w:p>
    <w:p w14:paraId="7C19E123" w14:textId="77777777" w:rsidR="00F3260C" w:rsidRPr="00BD295E" w:rsidRDefault="008A5057" w:rsidP="00E11870">
      <w:pPr>
        <w:pStyle w:val="af3"/>
        <w:tabs>
          <w:tab w:val="left" w:pos="0"/>
          <w:tab w:val="left" w:pos="851"/>
        </w:tabs>
        <w:ind w:left="0"/>
        <w:jc w:val="both"/>
        <w:rPr>
          <w:rFonts w:ascii="Arial" w:hAnsi="Arial" w:cs="Arial"/>
          <w:sz w:val="18"/>
          <w:szCs w:val="18"/>
          <w:lang w:val="en-US"/>
        </w:rPr>
      </w:pPr>
      <w:r w:rsidRPr="00BD295E">
        <w:rPr>
          <w:rFonts w:ascii="Arial" w:hAnsi="Arial" w:cs="Arial"/>
          <w:sz w:val="18"/>
          <w:szCs w:val="18"/>
          <w:lang w:val="en-US"/>
        </w:rPr>
        <w:t xml:space="preserve">The competence of the Board of Directors includes matters defined by the applicable laws of the Russian Federation and the Articles of Association of </w:t>
      </w:r>
      <w:r w:rsidR="00EE5753" w:rsidRPr="00BD295E">
        <w:rPr>
          <w:rFonts w:ascii="Arial" w:hAnsi="Arial" w:cs="Arial"/>
          <w:sz w:val="18"/>
          <w:szCs w:val="18"/>
          <w:lang w:val="en-US"/>
        </w:rPr>
        <w:t>PJSC “Lenenergo”</w:t>
      </w:r>
      <w:r w:rsidRPr="00BD295E">
        <w:rPr>
          <w:rFonts w:ascii="Arial" w:hAnsi="Arial" w:cs="Arial"/>
          <w:sz w:val="18"/>
          <w:szCs w:val="18"/>
          <w:lang w:val="en-US"/>
        </w:rPr>
        <w:t>. In 2018, the Company’s Board of Directors reviewed 159 matters, with the most significant matters including:</w:t>
      </w:r>
    </w:p>
    <w:p w14:paraId="07DF05E3" w14:textId="77777777" w:rsidR="00F3260C" w:rsidRPr="00BD295E" w:rsidRDefault="008A5057" w:rsidP="00E11870">
      <w:pPr>
        <w:jc w:val="both"/>
        <w:rPr>
          <w:rFonts w:ascii="Arial" w:hAnsi="Arial" w:cs="Arial"/>
          <w:sz w:val="18"/>
          <w:szCs w:val="18"/>
          <w:lang w:val="en-US"/>
        </w:rPr>
      </w:pPr>
      <w:r w:rsidRPr="00BD295E">
        <w:rPr>
          <w:rFonts w:ascii="Arial" w:hAnsi="Arial" w:cs="Arial"/>
          <w:sz w:val="18"/>
          <w:szCs w:val="18"/>
          <w:lang w:val="en-US"/>
        </w:rPr>
        <w:t>•</w:t>
      </w:r>
      <w:r w:rsidRPr="00BD295E">
        <w:rPr>
          <w:rFonts w:ascii="Arial" w:hAnsi="Arial" w:cs="Arial"/>
          <w:sz w:val="18"/>
          <w:szCs w:val="18"/>
          <w:lang w:val="en-US"/>
        </w:rPr>
        <w:tab/>
        <w:t xml:space="preserve">Approval of the business plan of </w:t>
      </w:r>
      <w:r w:rsidR="00EE5753" w:rsidRPr="00BD295E">
        <w:rPr>
          <w:rFonts w:ascii="Arial" w:hAnsi="Arial" w:cs="Arial"/>
          <w:sz w:val="18"/>
          <w:szCs w:val="18"/>
          <w:lang w:val="en-US"/>
        </w:rPr>
        <w:t>PJSC “Lenenergo”</w:t>
      </w:r>
      <w:r w:rsidRPr="00BD295E">
        <w:rPr>
          <w:rFonts w:ascii="Arial" w:hAnsi="Arial" w:cs="Arial"/>
          <w:sz w:val="18"/>
          <w:szCs w:val="18"/>
          <w:lang w:val="en-US"/>
        </w:rPr>
        <w:t>, adjustments thereto, and the results of its implementation in the reporting year</w:t>
      </w:r>
    </w:p>
    <w:p w14:paraId="11F186D9" w14:textId="77777777" w:rsidR="00F3260C" w:rsidRPr="00BD295E" w:rsidRDefault="008A5057" w:rsidP="00E11870">
      <w:pPr>
        <w:jc w:val="both"/>
        <w:rPr>
          <w:rFonts w:ascii="Arial" w:hAnsi="Arial" w:cs="Arial"/>
          <w:b/>
          <w:sz w:val="18"/>
          <w:szCs w:val="18"/>
          <w:lang w:val="en-US"/>
        </w:rPr>
      </w:pPr>
      <w:r w:rsidRPr="00BD295E">
        <w:rPr>
          <w:rFonts w:ascii="Arial" w:hAnsi="Arial" w:cs="Arial"/>
          <w:b/>
          <w:sz w:val="18"/>
          <w:szCs w:val="18"/>
          <w:lang w:val="en-US"/>
        </w:rPr>
        <w:t>Approval of amendments to the Company’s internal documents:</w:t>
      </w:r>
    </w:p>
    <w:p w14:paraId="79CEDAD7" w14:textId="77777777" w:rsidR="00F3260C" w:rsidRPr="00BD295E" w:rsidRDefault="008A5057" w:rsidP="00E11870">
      <w:pPr>
        <w:jc w:val="both"/>
        <w:rPr>
          <w:rFonts w:ascii="Arial" w:hAnsi="Arial" w:cs="Arial"/>
          <w:sz w:val="18"/>
          <w:szCs w:val="18"/>
          <w:lang w:val="en-US"/>
        </w:rPr>
      </w:pPr>
      <w:r w:rsidRPr="00BD295E">
        <w:rPr>
          <w:rFonts w:ascii="Arial" w:hAnsi="Arial" w:cs="Arial"/>
          <w:sz w:val="18"/>
          <w:szCs w:val="18"/>
          <w:lang w:val="en-US"/>
        </w:rPr>
        <w:t>•</w:t>
      </w:r>
      <w:r w:rsidRPr="00BD295E">
        <w:rPr>
          <w:rFonts w:ascii="Arial" w:hAnsi="Arial" w:cs="Arial"/>
          <w:sz w:val="18"/>
          <w:szCs w:val="18"/>
          <w:lang w:val="en-US"/>
        </w:rPr>
        <w:tab/>
        <w:t xml:space="preserve">Regulations for the Information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restated);</w:t>
      </w:r>
    </w:p>
    <w:p w14:paraId="0FAE6A29" w14:textId="77777777" w:rsidR="00F3260C" w:rsidRPr="00BD295E" w:rsidRDefault="008A5057" w:rsidP="00E11870">
      <w:pPr>
        <w:jc w:val="both"/>
        <w:rPr>
          <w:rFonts w:ascii="Arial" w:hAnsi="Arial" w:cs="Arial"/>
          <w:sz w:val="18"/>
          <w:szCs w:val="18"/>
          <w:lang w:val="en-US"/>
        </w:rPr>
      </w:pPr>
      <w:r w:rsidRPr="00BD295E">
        <w:rPr>
          <w:rFonts w:ascii="Arial" w:hAnsi="Arial" w:cs="Arial"/>
          <w:sz w:val="18"/>
          <w:szCs w:val="18"/>
          <w:lang w:val="en-US"/>
        </w:rPr>
        <w:t>•</w:t>
      </w:r>
      <w:r w:rsidRPr="00BD295E">
        <w:rPr>
          <w:rFonts w:ascii="Arial" w:hAnsi="Arial" w:cs="Arial"/>
          <w:sz w:val="18"/>
          <w:szCs w:val="18"/>
          <w:lang w:val="en-US"/>
        </w:rPr>
        <w:tab/>
      </w:r>
      <w:r w:rsidRPr="00BD295E">
        <w:rPr>
          <w:rFonts w:ascii="Arial" w:hAnsi="Arial" w:cs="Arial"/>
          <w:bCs/>
          <w:sz w:val="18"/>
          <w:szCs w:val="18"/>
          <w:lang w:val="en-US"/>
        </w:rPr>
        <w:t xml:space="preserve">Regulations for Insurance Coverage of </w:t>
      </w:r>
      <w:r w:rsidR="00EE5753" w:rsidRPr="00BD295E">
        <w:rPr>
          <w:rFonts w:ascii="Arial" w:hAnsi="Arial" w:cs="Arial"/>
          <w:bCs/>
          <w:sz w:val="18"/>
          <w:szCs w:val="18"/>
          <w:lang w:val="en-US"/>
        </w:rPr>
        <w:t>PJSC “Lenenergo”</w:t>
      </w:r>
      <w:r w:rsidRPr="00BD295E">
        <w:rPr>
          <w:rFonts w:ascii="Arial" w:hAnsi="Arial" w:cs="Arial"/>
          <w:bCs/>
          <w:sz w:val="18"/>
          <w:szCs w:val="18"/>
          <w:lang w:val="en-US"/>
        </w:rPr>
        <w:t xml:space="preserve"> (as restated);</w:t>
      </w:r>
    </w:p>
    <w:p w14:paraId="312B6AB5" w14:textId="77777777" w:rsidR="00F3260C" w:rsidRPr="00BD295E" w:rsidRDefault="008A5057" w:rsidP="00E11870">
      <w:pPr>
        <w:jc w:val="both"/>
        <w:rPr>
          <w:rFonts w:ascii="Arial" w:hAnsi="Arial" w:cs="Arial"/>
          <w:b/>
          <w:sz w:val="18"/>
          <w:szCs w:val="18"/>
          <w:lang w:val="en-US"/>
        </w:rPr>
      </w:pPr>
      <w:r w:rsidRPr="00BD295E">
        <w:rPr>
          <w:rFonts w:ascii="Arial" w:hAnsi="Arial" w:cs="Arial"/>
          <w:b/>
          <w:sz w:val="18"/>
          <w:szCs w:val="18"/>
          <w:lang w:val="en-US"/>
        </w:rPr>
        <w:t xml:space="preserve">Approval/review of programs and reports of </w:t>
      </w:r>
      <w:r w:rsidR="00EE5753" w:rsidRPr="00BD295E">
        <w:rPr>
          <w:rFonts w:ascii="Arial" w:hAnsi="Arial" w:cs="Arial"/>
          <w:b/>
          <w:sz w:val="18"/>
          <w:szCs w:val="18"/>
          <w:lang w:val="en-US"/>
        </w:rPr>
        <w:t>PJSC “Lenenergo”</w:t>
      </w:r>
      <w:r w:rsidRPr="00BD295E">
        <w:rPr>
          <w:rFonts w:ascii="Arial" w:hAnsi="Arial" w:cs="Arial"/>
          <w:b/>
          <w:sz w:val="18"/>
          <w:szCs w:val="18"/>
          <w:lang w:val="en-US"/>
        </w:rPr>
        <w:t xml:space="preserve"> </w:t>
      </w:r>
    </w:p>
    <w:p w14:paraId="69A963FD" w14:textId="77777777" w:rsidR="00F3260C" w:rsidRPr="00BD295E" w:rsidRDefault="008A5057" w:rsidP="00E11870">
      <w:pPr>
        <w:jc w:val="both"/>
        <w:rPr>
          <w:rFonts w:ascii="Arial" w:hAnsi="Arial" w:cs="Arial"/>
          <w:sz w:val="18"/>
          <w:szCs w:val="18"/>
          <w:lang w:val="en-US"/>
        </w:rPr>
      </w:pPr>
      <w:r w:rsidRPr="00BD295E">
        <w:rPr>
          <w:rFonts w:ascii="Arial" w:hAnsi="Arial" w:cs="Arial"/>
          <w:sz w:val="18"/>
          <w:szCs w:val="18"/>
          <w:lang w:val="en-US"/>
        </w:rPr>
        <w:t>•</w:t>
      </w:r>
      <w:r w:rsidRPr="00BD295E">
        <w:rPr>
          <w:rFonts w:ascii="Arial" w:hAnsi="Arial" w:cs="Arial"/>
          <w:sz w:val="18"/>
          <w:szCs w:val="18"/>
          <w:lang w:val="en-US"/>
        </w:rPr>
        <w:tab/>
        <w:t xml:space="preserve">Insurance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w:t>
      </w:r>
    </w:p>
    <w:p w14:paraId="226DD0A1" w14:textId="77777777" w:rsidR="00F3260C" w:rsidRPr="00BD295E" w:rsidRDefault="008A5057" w:rsidP="00E11870">
      <w:pPr>
        <w:jc w:val="both"/>
        <w:rPr>
          <w:rFonts w:ascii="Arial" w:hAnsi="Arial" w:cs="Arial"/>
          <w:sz w:val="18"/>
          <w:szCs w:val="18"/>
          <w:lang w:val="en-US"/>
        </w:rPr>
      </w:pPr>
      <w:r w:rsidRPr="00BD295E">
        <w:rPr>
          <w:rFonts w:ascii="Arial" w:hAnsi="Arial" w:cs="Arial"/>
          <w:sz w:val="18"/>
          <w:szCs w:val="18"/>
          <w:lang w:val="en-US"/>
        </w:rPr>
        <w:t>•</w:t>
      </w:r>
      <w:r w:rsidRPr="00BD295E">
        <w:rPr>
          <w:rFonts w:ascii="Arial" w:hAnsi="Arial" w:cs="Arial"/>
          <w:sz w:val="18"/>
          <w:szCs w:val="18"/>
          <w:lang w:val="en-US"/>
        </w:rPr>
        <w:tab/>
        <w:t xml:space="preserve">Program for disposal of non-core assets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restated);</w:t>
      </w:r>
    </w:p>
    <w:p w14:paraId="69E983A8" w14:textId="77777777" w:rsidR="00F3260C" w:rsidRPr="00BD295E" w:rsidRDefault="008A5057" w:rsidP="00E11870">
      <w:pPr>
        <w:jc w:val="both"/>
        <w:rPr>
          <w:rFonts w:ascii="Arial" w:hAnsi="Arial" w:cs="Arial"/>
          <w:sz w:val="18"/>
          <w:szCs w:val="18"/>
          <w:lang w:val="en-US"/>
        </w:rPr>
      </w:pPr>
      <w:r w:rsidRPr="00BD295E">
        <w:rPr>
          <w:rFonts w:ascii="Arial" w:hAnsi="Arial" w:cs="Arial"/>
          <w:sz w:val="18"/>
          <w:szCs w:val="18"/>
          <w:lang w:val="en-US"/>
        </w:rPr>
        <w:t xml:space="preserve">• </w:t>
      </w:r>
      <w:r w:rsidRPr="00BD295E">
        <w:rPr>
          <w:rFonts w:ascii="Arial" w:hAnsi="Arial" w:cs="Arial"/>
          <w:snapToGrid w:val="0"/>
          <w:sz w:val="18"/>
          <w:szCs w:val="18"/>
          <w:lang w:val="en-US"/>
        </w:rPr>
        <w:t xml:space="preserve">Program for modernizing (renovating) of electric grid facilities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for 2018–2026;</w:t>
      </w:r>
    </w:p>
    <w:p w14:paraId="3E6CB5B3" w14:textId="77777777" w:rsidR="00F3260C" w:rsidRPr="00BD295E" w:rsidRDefault="008A5057" w:rsidP="00E11870">
      <w:pPr>
        <w:jc w:val="both"/>
        <w:rPr>
          <w:rFonts w:ascii="Arial" w:eastAsia="Calibri" w:hAnsi="Arial" w:cs="Arial"/>
          <w:snapToGrid w:val="0"/>
          <w:sz w:val="18"/>
          <w:szCs w:val="18"/>
          <w:lang w:val="en-US"/>
        </w:rPr>
      </w:pPr>
      <w:r w:rsidRPr="00BD295E">
        <w:rPr>
          <w:rFonts w:ascii="Arial" w:hAnsi="Arial" w:cs="Arial"/>
          <w:sz w:val="18"/>
          <w:szCs w:val="18"/>
          <w:lang w:val="en-US"/>
        </w:rPr>
        <w:t xml:space="preserve">• </w:t>
      </w:r>
      <w:r w:rsidRPr="00BD295E">
        <w:rPr>
          <w:rFonts w:ascii="Arial" w:hAnsi="Arial" w:cs="Arial"/>
          <w:snapToGrid w:val="0"/>
          <w:sz w:val="18"/>
          <w:szCs w:val="18"/>
          <w:lang w:val="en-US"/>
        </w:rPr>
        <w:t xml:space="preserve">Scenarios for building the investment program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w:t>
      </w:r>
    </w:p>
    <w:p w14:paraId="6B835C8E" w14:textId="77777777" w:rsidR="00F3260C" w:rsidRPr="00BD295E" w:rsidRDefault="008A5057" w:rsidP="00E11870">
      <w:pPr>
        <w:jc w:val="both"/>
        <w:rPr>
          <w:rFonts w:ascii="Arial" w:hAnsi="Arial" w:cs="Arial"/>
          <w:sz w:val="18"/>
          <w:szCs w:val="18"/>
          <w:lang w:val="en-US"/>
        </w:rPr>
      </w:pPr>
      <w:r w:rsidRPr="00BD295E">
        <w:rPr>
          <w:rFonts w:ascii="Arial" w:hAnsi="Arial" w:cs="Arial"/>
          <w:sz w:val="18"/>
          <w:szCs w:val="18"/>
          <w:lang w:val="en-US"/>
        </w:rPr>
        <w:t xml:space="preserve">• </w:t>
      </w:r>
      <w:r w:rsidRPr="00BD295E">
        <w:rPr>
          <w:rFonts w:ascii="Arial" w:hAnsi="Arial" w:cs="Arial"/>
          <w:snapToGrid w:val="0"/>
          <w:sz w:val="18"/>
          <w:szCs w:val="18"/>
          <w:lang w:val="en-US"/>
        </w:rPr>
        <w:t xml:space="preserve">Adjusted plan for the development of the production asset management system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for 2016–2019;</w:t>
      </w:r>
    </w:p>
    <w:p w14:paraId="2982AD32" w14:textId="77777777" w:rsidR="00F3260C" w:rsidRPr="00BD295E" w:rsidRDefault="008A5057" w:rsidP="00E11870">
      <w:pPr>
        <w:jc w:val="both"/>
        <w:rPr>
          <w:rFonts w:ascii="Arial" w:hAnsi="Arial" w:cs="Arial"/>
          <w:b/>
          <w:sz w:val="18"/>
          <w:szCs w:val="18"/>
          <w:lang w:val="en-US"/>
        </w:rPr>
      </w:pPr>
      <w:r w:rsidRPr="00BD295E">
        <w:rPr>
          <w:rFonts w:ascii="Arial" w:hAnsi="Arial" w:cs="Arial"/>
          <w:b/>
          <w:sz w:val="18"/>
          <w:szCs w:val="18"/>
          <w:lang w:val="en-US"/>
        </w:rPr>
        <w:t>•</w:t>
      </w:r>
      <w:r w:rsidRPr="00BD295E">
        <w:rPr>
          <w:rFonts w:ascii="Arial" w:hAnsi="Arial" w:cs="Arial"/>
          <w:b/>
          <w:sz w:val="18"/>
          <w:szCs w:val="18"/>
          <w:lang w:val="en-US"/>
        </w:rPr>
        <w:tab/>
        <w:t xml:space="preserve">Review of reports of the Company’s CEO </w:t>
      </w:r>
    </w:p>
    <w:p w14:paraId="153B2983" w14:textId="77777777" w:rsidR="00F3260C" w:rsidRPr="00BD295E" w:rsidRDefault="008A5057" w:rsidP="00E11870">
      <w:pPr>
        <w:jc w:val="both"/>
        <w:rPr>
          <w:rFonts w:ascii="Arial" w:hAnsi="Arial" w:cs="Arial"/>
          <w:sz w:val="18"/>
          <w:szCs w:val="18"/>
          <w:lang w:val="en-US"/>
        </w:rPr>
      </w:pPr>
      <w:r w:rsidRPr="00BD295E">
        <w:rPr>
          <w:rFonts w:ascii="Arial" w:hAnsi="Arial" w:cs="Arial"/>
          <w:i/>
          <w:iCs/>
          <w:sz w:val="18"/>
          <w:szCs w:val="18"/>
          <w:lang w:val="en-US"/>
        </w:rPr>
        <w:t>On management of key operational risks of the Company</w:t>
      </w:r>
      <w:r w:rsidRPr="00BD295E">
        <w:rPr>
          <w:rFonts w:ascii="Arial" w:hAnsi="Arial" w:cs="Arial"/>
          <w:sz w:val="18"/>
          <w:szCs w:val="18"/>
          <w:lang w:val="en-US"/>
        </w:rPr>
        <w:t xml:space="preserve"> for 2017, </w:t>
      </w:r>
      <w:r w:rsidRPr="00BD295E">
        <w:rPr>
          <w:rFonts w:ascii="Arial" w:hAnsi="Arial" w:cs="Arial"/>
          <w:i/>
          <w:iCs/>
          <w:sz w:val="18"/>
          <w:szCs w:val="18"/>
          <w:lang w:val="en-US"/>
        </w:rPr>
        <w:t xml:space="preserve">On implementation of the Innovative Development Program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for 2016-2020 and onwards to 2025 </w:t>
      </w:r>
      <w:r w:rsidRPr="00BD295E">
        <w:rPr>
          <w:rFonts w:ascii="Arial" w:hAnsi="Arial" w:cs="Arial"/>
          <w:sz w:val="18"/>
          <w:szCs w:val="18"/>
          <w:lang w:val="en-US"/>
        </w:rPr>
        <w:t xml:space="preserve">for 2017; </w:t>
      </w:r>
      <w:r w:rsidRPr="00BD295E">
        <w:rPr>
          <w:rFonts w:ascii="Arial" w:hAnsi="Arial" w:cs="Arial"/>
          <w:i/>
          <w:iCs/>
          <w:sz w:val="18"/>
          <w:szCs w:val="18"/>
          <w:lang w:val="en-US"/>
        </w:rPr>
        <w:t xml:space="preserve">On implementation of the Development Plan for the Production Asset Management System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for 2016–2018</w:t>
      </w:r>
      <w:r w:rsidRPr="00BD295E">
        <w:rPr>
          <w:rFonts w:ascii="Arial" w:hAnsi="Arial" w:cs="Arial"/>
          <w:sz w:val="18"/>
          <w:szCs w:val="18"/>
          <w:lang w:val="en-US"/>
        </w:rPr>
        <w:t xml:space="preserve"> (for 2017); </w:t>
      </w:r>
      <w:r w:rsidRPr="00BD295E">
        <w:rPr>
          <w:rFonts w:ascii="Arial" w:hAnsi="Arial" w:cs="Arial"/>
          <w:i/>
          <w:iCs/>
          <w:sz w:val="18"/>
          <w:szCs w:val="18"/>
          <w:lang w:val="en-US"/>
        </w:rPr>
        <w:t>On assessment of the effectiveness of internal control, risk management, and corporate governance at the Company</w:t>
      </w:r>
      <w:r w:rsidRPr="00BD295E">
        <w:rPr>
          <w:rFonts w:ascii="Arial" w:hAnsi="Arial" w:cs="Arial"/>
          <w:sz w:val="18"/>
          <w:szCs w:val="18"/>
          <w:lang w:val="en-US"/>
        </w:rPr>
        <w:t xml:space="preserve"> for 2017;</w:t>
      </w:r>
    </w:p>
    <w:p w14:paraId="19B451F8" w14:textId="77777777" w:rsidR="00F3260C" w:rsidRPr="00BD295E" w:rsidRDefault="008A5057" w:rsidP="00E11870">
      <w:pPr>
        <w:jc w:val="both"/>
        <w:rPr>
          <w:rFonts w:ascii="Arial" w:hAnsi="Arial" w:cs="Arial"/>
          <w:sz w:val="18"/>
          <w:szCs w:val="18"/>
          <w:lang w:val="en-US"/>
        </w:rPr>
      </w:pPr>
      <w:r w:rsidRPr="00BD295E">
        <w:rPr>
          <w:rFonts w:ascii="Arial" w:hAnsi="Arial" w:cs="Arial"/>
          <w:sz w:val="18"/>
          <w:szCs w:val="18"/>
          <w:lang w:val="en-US"/>
        </w:rPr>
        <w:t>•</w:t>
      </w:r>
      <w:r w:rsidRPr="00BD295E">
        <w:rPr>
          <w:rFonts w:ascii="Arial" w:hAnsi="Arial" w:cs="Arial"/>
          <w:sz w:val="18"/>
          <w:szCs w:val="18"/>
          <w:lang w:val="en-US"/>
        </w:rPr>
        <w:tab/>
        <w:t>Approval of the report on progress against key performance indicators (KPIs) by the CEO of the Company for Q3 and Q4 2017 and Q1 and Q2 2018.</w:t>
      </w:r>
    </w:p>
    <w:p w14:paraId="35B96698" w14:textId="77777777" w:rsidR="00F3260C" w:rsidRPr="00BD295E" w:rsidRDefault="00F3260C" w:rsidP="00E11870">
      <w:pPr>
        <w:autoSpaceDE w:val="0"/>
        <w:autoSpaceDN w:val="0"/>
        <w:adjustRightInd w:val="0"/>
        <w:jc w:val="both"/>
        <w:rPr>
          <w:rFonts w:ascii="Arial" w:eastAsia="Calibri" w:hAnsi="Arial" w:cs="Arial"/>
          <w:b/>
          <w:sz w:val="18"/>
          <w:szCs w:val="18"/>
          <w:lang w:val="en-US" w:eastAsia="en-US"/>
        </w:rPr>
      </w:pPr>
    </w:p>
    <w:p w14:paraId="24A1A458" w14:textId="77777777" w:rsidR="00F3260C" w:rsidRPr="00BD295E" w:rsidRDefault="008A5057" w:rsidP="00E11870">
      <w:pPr>
        <w:autoSpaceDE w:val="0"/>
        <w:autoSpaceDN w:val="0"/>
        <w:adjustRightInd w:val="0"/>
        <w:jc w:val="both"/>
        <w:rPr>
          <w:rFonts w:ascii="Arial" w:hAnsi="Arial" w:cs="Arial"/>
          <w:sz w:val="18"/>
          <w:szCs w:val="18"/>
          <w:lang w:val="en-US"/>
        </w:rPr>
      </w:pPr>
      <w:r w:rsidRPr="00BD295E">
        <w:rPr>
          <w:rFonts w:ascii="Arial" w:hAnsi="Arial" w:cs="Arial"/>
          <w:b/>
          <w:sz w:val="18"/>
          <w:szCs w:val="18"/>
          <w:lang w:val="en-US"/>
        </w:rPr>
        <w:t>Distribution of competences within the Board of Directors for the review of matters in 2018:</w:t>
      </w:r>
    </w:p>
    <w:p w14:paraId="682A969D" w14:textId="6403D0FC" w:rsidR="00F3260C" w:rsidRPr="00BD295E" w:rsidRDefault="00997D07" w:rsidP="00F3260C">
      <w:pPr>
        <w:autoSpaceDE w:val="0"/>
        <w:autoSpaceDN w:val="0"/>
        <w:adjustRightInd w:val="0"/>
        <w:jc w:val="both"/>
        <w:rPr>
          <w:rFonts w:ascii="Arial" w:hAnsi="Arial" w:cs="Arial"/>
          <w:sz w:val="18"/>
          <w:szCs w:val="18"/>
          <w:lang w:val="en-US"/>
        </w:rPr>
      </w:pPr>
      <w:bookmarkStart w:id="401" w:name="_Hlk95938823"/>
      <w:r w:rsidRPr="00BD295E">
        <w:rPr>
          <w:rFonts w:ascii="Arial" w:hAnsi="Arial" w:cs="Arial"/>
          <w:sz w:val="18"/>
          <w:szCs w:val="18"/>
          <w:lang w:val="en-US" w:eastAsia="en-US"/>
        </w:rPr>
        <w:drawing>
          <wp:inline distT="0" distB="0" distL="0" distR="0" wp14:anchorId="541A2F0B" wp14:editId="3ED245F0">
            <wp:extent cx="5486400" cy="3200400"/>
            <wp:effectExtent l="0" t="0" r="0" b="0"/>
            <wp:docPr id="70" name="Диаграмма 534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bookmarkEnd w:id="401"/>
    </w:p>
    <w:p w14:paraId="44E0EC49" w14:textId="77777777" w:rsidR="00F3260C" w:rsidRPr="00BD295E" w:rsidRDefault="00F3260C" w:rsidP="00F3260C">
      <w:pPr>
        <w:autoSpaceDE w:val="0"/>
        <w:autoSpaceDN w:val="0"/>
        <w:adjustRightInd w:val="0"/>
        <w:jc w:val="both"/>
        <w:rPr>
          <w:rFonts w:ascii="Arial" w:hAnsi="Arial" w:cs="Arial"/>
          <w:sz w:val="18"/>
          <w:szCs w:val="18"/>
          <w:lang w:val="en-US"/>
        </w:rPr>
      </w:pPr>
    </w:p>
    <w:p w14:paraId="28B4F777" w14:textId="77777777" w:rsidR="00A07300" w:rsidRPr="00BD295E" w:rsidRDefault="00A07300" w:rsidP="00F3260C">
      <w:pPr>
        <w:autoSpaceDE w:val="0"/>
        <w:autoSpaceDN w:val="0"/>
        <w:adjustRightInd w:val="0"/>
        <w:jc w:val="both"/>
        <w:rPr>
          <w:rFonts w:ascii="Arial" w:hAnsi="Arial" w:cs="Arial"/>
          <w:sz w:val="18"/>
          <w:szCs w:val="18"/>
          <w:lang w:val="en-US"/>
        </w:rPr>
      </w:pPr>
    </w:p>
    <w:p w14:paraId="41864C53" w14:textId="77777777" w:rsidR="00F3260C" w:rsidRPr="00BD295E" w:rsidRDefault="008A5057" w:rsidP="002342CA">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Minutes of the meetings of the Company</w:t>
      </w:r>
      <w:r w:rsidR="00CF0D86" w:rsidRPr="00BD295E">
        <w:rPr>
          <w:rFonts w:ascii="Arial" w:hAnsi="Arial" w:cs="Arial"/>
          <w:sz w:val="18"/>
          <w:szCs w:val="18"/>
          <w:lang w:val="en-US"/>
        </w:rPr>
        <w:t>’</w:t>
      </w:r>
      <w:r w:rsidRPr="00BD295E">
        <w:rPr>
          <w:rFonts w:ascii="Arial" w:hAnsi="Arial" w:cs="Arial"/>
          <w:sz w:val="18"/>
          <w:szCs w:val="18"/>
          <w:lang w:val="en-US"/>
        </w:rPr>
        <w:t xml:space="preserve">s Board of Directors are available on the Company’s official website at: </w:t>
      </w:r>
      <w:hyperlink r:id="rId101" w:history="1">
        <w:r w:rsidRPr="00BD295E">
          <w:rPr>
            <w:rStyle w:val="af0"/>
            <w:rFonts w:ascii="Arial" w:hAnsi="Arial" w:cs="Arial"/>
            <w:color w:val="auto"/>
            <w:sz w:val="18"/>
            <w:szCs w:val="18"/>
            <w:lang w:val="en-US"/>
          </w:rPr>
          <w:t>http://www.lenenergo.ru/shareholders/corp/control/sd/?part=1</w:t>
        </w:r>
      </w:hyperlink>
      <w:r w:rsidRPr="00BD295E">
        <w:rPr>
          <w:rFonts w:ascii="Arial" w:hAnsi="Arial" w:cs="Arial"/>
          <w:sz w:val="18"/>
          <w:szCs w:val="18"/>
          <w:lang w:val="en-US"/>
        </w:rPr>
        <w:t xml:space="preserve"> </w:t>
      </w:r>
    </w:p>
    <w:p w14:paraId="582AD98D" w14:textId="77777777" w:rsidR="00F3260C" w:rsidRPr="00BD295E" w:rsidRDefault="00F3260C" w:rsidP="002342CA">
      <w:pPr>
        <w:autoSpaceDE w:val="0"/>
        <w:autoSpaceDN w:val="0"/>
        <w:adjustRightInd w:val="0"/>
        <w:jc w:val="both"/>
        <w:rPr>
          <w:rFonts w:ascii="Arial" w:eastAsia="Calibri" w:hAnsi="Arial" w:cs="Arial"/>
          <w:sz w:val="18"/>
          <w:szCs w:val="18"/>
          <w:lang w:val="en-US" w:eastAsia="en-US"/>
        </w:rPr>
      </w:pPr>
    </w:p>
    <w:p w14:paraId="7EE8E869" w14:textId="77777777" w:rsidR="00F3260C" w:rsidRPr="00BD295E" w:rsidRDefault="008A5057" w:rsidP="002342CA">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Meetings of the Company’s Board of Directors are held in accordance with the work plan of the Board of Directors. The date of meeting of the Company’s Board of Directors is determined by the Chairman of the Board of Directors. The Board of Directors meets as needed, but at least once every quarter.</w:t>
      </w:r>
    </w:p>
    <w:p w14:paraId="4828FD74" w14:textId="2EFDF881" w:rsidR="00F3260C" w:rsidRPr="00BD295E" w:rsidRDefault="008A5057" w:rsidP="002342CA">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The work plan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prepared in accordance with the requirements of Russian laws, proposals of members of the Board of Directors and executive bodies, and is subject to approval by the Chairman of the Company’s Board of Directors. The work plan is drawn up for the entire year, covering the period between the Annual Meetings of General Shareholders. As necessary, but at least once every six months, the work plan of the Board of Directors is </w:t>
      </w:r>
      <w:r w:rsidR="00BF7D8E" w:rsidRPr="00BD295E">
        <w:rPr>
          <w:rFonts w:ascii="Arial" w:hAnsi="Arial" w:cs="Arial"/>
          <w:sz w:val="18"/>
          <w:szCs w:val="18"/>
          <w:lang w:val="en-US"/>
        </w:rPr>
        <w:t>updated</w:t>
      </w:r>
      <w:r w:rsidRPr="00BD295E">
        <w:rPr>
          <w:rFonts w:ascii="Arial" w:hAnsi="Arial" w:cs="Arial"/>
          <w:sz w:val="18"/>
          <w:szCs w:val="18"/>
          <w:lang w:val="en-US"/>
        </w:rPr>
        <w:t xml:space="preserve"> (adjusted).</w:t>
      </w:r>
    </w:p>
    <w:p w14:paraId="679027FA" w14:textId="77777777" w:rsidR="00F3260C" w:rsidRPr="00BD295E" w:rsidRDefault="008A5057" w:rsidP="002342CA">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The agenda of the Board of Directors’ meetings includes items provided for in the work plan of the Board of Directors, as well as additional items.</w:t>
      </w:r>
    </w:p>
    <w:p w14:paraId="205A7DAF" w14:textId="77777777" w:rsidR="00F3260C" w:rsidRPr="00BD295E" w:rsidRDefault="00F3260C" w:rsidP="002342CA">
      <w:pPr>
        <w:autoSpaceDE w:val="0"/>
        <w:autoSpaceDN w:val="0"/>
        <w:adjustRightInd w:val="0"/>
        <w:jc w:val="both"/>
        <w:rPr>
          <w:rFonts w:ascii="Arial" w:eastAsia="Calibri" w:hAnsi="Arial" w:cs="Arial"/>
          <w:sz w:val="18"/>
          <w:szCs w:val="18"/>
          <w:lang w:val="en-US" w:eastAsia="en-US"/>
        </w:rPr>
      </w:pPr>
    </w:p>
    <w:p w14:paraId="4A947093" w14:textId="77777777" w:rsidR="00F3260C" w:rsidRPr="00BD295E" w:rsidRDefault="008A5057" w:rsidP="002342CA">
      <w:pPr>
        <w:autoSpaceDE w:val="0"/>
        <w:autoSpaceDN w:val="0"/>
        <w:adjustRightInd w:val="0"/>
        <w:jc w:val="both"/>
        <w:rPr>
          <w:rFonts w:ascii="Arial" w:eastAsia="Calibri" w:hAnsi="Arial" w:cs="Arial"/>
          <w:b/>
          <w:sz w:val="18"/>
          <w:szCs w:val="18"/>
          <w:lang w:val="en-US"/>
        </w:rPr>
      </w:pPr>
      <w:r w:rsidRPr="00BD295E">
        <w:rPr>
          <w:rFonts w:ascii="Arial" w:hAnsi="Arial" w:cs="Arial"/>
          <w:b/>
          <w:sz w:val="18"/>
          <w:szCs w:val="18"/>
          <w:lang w:val="en-US"/>
        </w:rPr>
        <w:t>Participation of the Board of Directors in internal control and internal audit</w:t>
      </w:r>
    </w:p>
    <w:p w14:paraId="3BAF949D" w14:textId="77777777" w:rsidR="00F3260C" w:rsidRPr="00BD295E" w:rsidRDefault="00F3260C" w:rsidP="002342CA">
      <w:pPr>
        <w:tabs>
          <w:tab w:val="left" w:pos="1134"/>
        </w:tabs>
        <w:contextualSpacing/>
        <w:jc w:val="both"/>
        <w:rPr>
          <w:rFonts w:ascii="Arial" w:eastAsia="Calibri" w:hAnsi="Arial" w:cs="Arial"/>
          <w:sz w:val="18"/>
          <w:szCs w:val="18"/>
          <w:lang w:val="en-US" w:eastAsia="en-US"/>
        </w:rPr>
      </w:pPr>
    </w:p>
    <w:p w14:paraId="59E52360" w14:textId="77777777" w:rsidR="00F3260C" w:rsidRPr="00BD295E" w:rsidRDefault="008A5057" w:rsidP="002342CA">
      <w:pPr>
        <w:jc w:val="both"/>
        <w:rPr>
          <w:rFonts w:ascii="Arial" w:hAnsi="Arial" w:cs="Arial"/>
          <w:sz w:val="18"/>
          <w:szCs w:val="18"/>
          <w:lang w:val="en-US"/>
        </w:rPr>
      </w:pPr>
      <w:r w:rsidRPr="00BD295E">
        <w:rPr>
          <w:rFonts w:ascii="Arial" w:hAnsi="Arial" w:cs="Arial"/>
          <w:sz w:val="18"/>
          <w:szCs w:val="18"/>
          <w:lang w:val="en-US"/>
        </w:rPr>
        <w:t>During 2018, the Company’s Board of Directors reviewed the following matters regarding the organization, operation, and effectiveness of the internal control and internal audit system:</w:t>
      </w:r>
    </w:p>
    <w:p w14:paraId="468AF9A2" w14:textId="77777777" w:rsidR="00F3260C" w:rsidRPr="00BD295E" w:rsidRDefault="008A5057" w:rsidP="002342CA">
      <w:pPr>
        <w:jc w:val="both"/>
        <w:rPr>
          <w:rFonts w:ascii="Arial" w:eastAsia="Calibri" w:hAnsi="Arial" w:cs="Arial"/>
          <w:snapToGrid w:val="0"/>
          <w:sz w:val="18"/>
          <w:szCs w:val="18"/>
          <w:lang w:val="en-US"/>
        </w:rPr>
      </w:pPr>
      <w:r w:rsidRPr="00BD295E">
        <w:rPr>
          <w:rFonts w:ascii="Arial" w:hAnsi="Arial" w:cs="Arial"/>
          <w:sz w:val="18"/>
          <w:szCs w:val="18"/>
          <w:lang w:val="en-US"/>
        </w:rPr>
        <w:t>- approved the Work Plan of the Internal Audit and Control Department of the Company for 2018 (Minutes No. 24 of February 2, 2018) and reviewed reports on progress on the plan, including the results of a self-assessment of the quality of internal audit for 2017 (Minutes No. 39 of May 14, 2018);</w:t>
      </w:r>
    </w:p>
    <w:p w14:paraId="5C979AEF" w14:textId="77777777" w:rsidR="00F3260C" w:rsidRPr="00BD295E" w:rsidRDefault="008A5057" w:rsidP="002342CA">
      <w:pPr>
        <w:jc w:val="both"/>
        <w:rPr>
          <w:rFonts w:ascii="Arial" w:eastAsia="Calibri" w:hAnsi="Arial" w:cs="Arial"/>
          <w:snapToGrid w:val="0"/>
          <w:sz w:val="18"/>
          <w:szCs w:val="18"/>
          <w:lang w:val="en-US"/>
        </w:rPr>
      </w:pPr>
      <w:r w:rsidRPr="00BD295E">
        <w:rPr>
          <w:rFonts w:ascii="Arial" w:hAnsi="Arial" w:cs="Arial"/>
          <w:sz w:val="18"/>
          <w:szCs w:val="18"/>
          <w:lang w:val="en-US"/>
        </w:rPr>
        <w:t xml:space="preserve">- reviewed the internal auditor’s report on the results of the audit aimed at identifying and disposing of non-core assets of the Company in 2017 (Minutes No. 44 </w:t>
      </w:r>
      <w:r w:rsidR="008B183C" w:rsidRPr="00BD295E">
        <w:rPr>
          <w:rFonts w:ascii="Arial" w:hAnsi="Arial" w:cs="Arial"/>
          <w:sz w:val="18"/>
          <w:szCs w:val="18"/>
          <w:lang w:val="en-US"/>
        </w:rPr>
        <w:t>of</w:t>
      </w:r>
      <w:r w:rsidRPr="00BD295E">
        <w:rPr>
          <w:rFonts w:ascii="Arial" w:hAnsi="Arial" w:cs="Arial"/>
          <w:sz w:val="18"/>
          <w:szCs w:val="18"/>
          <w:lang w:val="en-US"/>
        </w:rPr>
        <w:t xml:space="preserve"> June 7, 2018);</w:t>
      </w:r>
      <w:r w:rsidRPr="00BD295E">
        <w:rPr>
          <w:rFonts w:ascii="Arial" w:hAnsi="Arial" w:cs="Arial"/>
          <w:bCs/>
          <w:iCs/>
          <w:sz w:val="18"/>
          <w:szCs w:val="18"/>
          <w:lang w:val="en-US"/>
        </w:rPr>
        <w:t xml:space="preserve"> </w:t>
      </w:r>
    </w:p>
    <w:p w14:paraId="3F1FAFEC" w14:textId="77777777" w:rsidR="00F3260C" w:rsidRPr="00BD295E" w:rsidRDefault="008A5057" w:rsidP="002342CA">
      <w:pPr>
        <w:jc w:val="both"/>
        <w:rPr>
          <w:rFonts w:ascii="Arial" w:hAnsi="Arial" w:cs="Arial"/>
          <w:sz w:val="18"/>
          <w:szCs w:val="18"/>
          <w:lang w:val="en-US"/>
        </w:rPr>
      </w:pPr>
      <w:r w:rsidRPr="00BD295E">
        <w:rPr>
          <w:rFonts w:ascii="Arial" w:hAnsi="Arial" w:cs="Arial"/>
          <w:sz w:val="18"/>
          <w:szCs w:val="18"/>
          <w:lang w:val="en-US"/>
        </w:rPr>
        <w:t xml:space="preserve">- reviewed the internal auditor’s report on the effectiveness of the Company’s internal control and risk management system in 2017 (Minutes No. 3 </w:t>
      </w:r>
      <w:r w:rsidR="008B183C" w:rsidRPr="00BD295E">
        <w:rPr>
          <w:rFonts w:ascii="Arial" w:hAnsi="Arial" w:cs="Arial"/>
          <w:sz w:val="18"/>
          <w:szCs w:val="18"/>
          <w:lang w:val="en-US"/>
        </w:rPr>
        <w:t>of</w:t>
      </w:r>
      <w:r w:rsidRPr="00BD295E">
        <w:rPr>
          <w:rFonts w:ascii="Arial" w:hAnsi="Arial" w:cs="Arial"/>
          <w:sz w:val="18"/>
          <w:szCs w:val="18"/>
          <w:lang w:val="en-US"/>
        </w:rPr>
        <w:t xml:space="preserve"> August 6, 2018).</w:t>
      </w:r>
    </w:p>
    <w:p w14:paraId="3DACB632" w14:textId="77777777" w:rsidR="00F3260C" w:rsidRPr="00BD295E" w:rsidRDefault="00F3260C" w:rsidP="002342CA">
      <w:pPr>
        <w:jc w:val="both"/>
        <w:rPr>
          <w:rFonts w:ascii="Arial" w:hAnsi="Arial" w:cs="Arial"/>
          <w:sz w:val="18"/>
          <w:szCs w:val="18"/>
          <w:lang w:val="en-US"/>
        </w:rPr>
      </w:pPr>
    </w:p>
    <w:p w14:paraId="25D65E41" w14:textId="77777777" w:rsidR="00F3260C" w:rsidRPr="00BD295E" w:rsidRDefault="008A5057" w:rsidP="002342CA">
      <w:pPr>
        <w:jc w:val="both"/>
        <w:rPr>
          <w:rFonts w:ascii="Arial" w:hAnsi="Arial" w:cs="Arial"/>
          <w:sz w:val="18"/>
          <w:szCs w:val="18"/>
          <w:lang w:val="en-US"/>
        </w:rPr>
      </w:pPr>
      <w:r w:rsidRPr="00BD295E">
        <w:rPr>
          <w:rFonts w:ascii="Arial" w:hAnsi="Arial" w:cs="Arial"/>
          <w:sz w:val="18"/>
          <w:szCs w:val="18"/>
          <w:lang w:val="en-US"/>
        </w:rPr>
        <w:t>Information on the evaluation of the effectiveness of the Company’s internal control system in the reporting year is shown in the Internal Control System section of this report.</w:t>
      </w:r>
    </w:p>
    <w:p w14:paraId="2BEA9F08" w14:textId="77777777" w:rsidR="00F3260C" w:rsidRPr="00BD295E" w:rsidRDefault="00F3260C" w:rsidP="002342CA">
      <w:pPr>
        <w:pStyle w:val="311"/>
        <w:spacing w:after="0"/>
        <w:jc w:val="both"/>
        <w:rPr>
          <w:rFonts w:ascii="Arial" w:hAnsi="Arial" w:cs="Arial"/>
          <w:sz w:val="18"/>
          <w:szCs w:val="18"/>
          <w:lang w:val="en-US"/>
        </w:rPr>
      </w:pPr>
    </w:p>
    <w:p w14:paraId="62E3D151" w14:textId="77777777" w:rsidR="00F3260C" w:rsidRPr="00BD295E" w:rsidRDefault="008A5057" w:rsidP="002342CA">
      <w:pPr>
        <w:pStyle w:val="311"/>
        <w:spacing w:after="0"/>
        <w:jc w:val="both"/>
        <w:rPr>
          <w:rFonts w:ascii="Arial" w:hAnsi="Arial" w:cs="Arial"/>
          <w:sz w:val="18"/>
          <w:szCs w:val="18"/>
          <w:lang w:val="en-US"/>
        </w:rPr>
      </w:pPr>
      <w:r w:rsidRPr="00BD295E">
        <w:rPr>
          <w:rFonts w:ascii="Arial" w:hAnsi="Arial" w:cs="Arial"/>
          <w:sz w:val="18"/>
          <w:szCs w:val="18"/>
          <w:lang w:val="en-US"/>
        </w:rPr>
        <w:t xml:space="preserve">The minutes of the meetings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are available on the Company’s corporate website at: </w:t>
      </w:r>
      <w:hyperlink r:id="rId102" w:history="1">
        <w:r w:rsidRPr="00BD295E">
          <w:rPr>
            <w:rStyle w:val="af0"/>
            <w:rFonts w:ascii="Arial" w:hAnsi="Arial" w:cs="Arial"/>
            <w:color w:val="auto"/>
            <w:sz w:val="18"/>
            <w:szCs w:val="18"/>
            <w:lang w:val="en-US"/>
          </w:rPr>
          <w:t>http://www.lenenergo.ru/shareholders/corp/control/sd/?part=1</w:t>
        </w:r>
      </w:hyperlink>
    </w:p>
    <w:p w14:paraId="58E20157" w14:textId="77777777" w:rsidR="00F3260C" w:rsidRPr="00BD295E" w:rsidRDefault="008A5057" w:rsidP="002342CA">
      <w:pPr>
        <w:tabs>
          <w:tab w:val="left" w:pos="0"/>
        </w:tabs>
        <w:jc w:val="both"/>
        <w:rPr>
          <w:rFonts w:ascii="Arial" w:hAnsi="Arial" w:cs="Arial"/>
          <w:sz w:val="18"/>
          <w:szCs w:val="18"/>
          <w:lang w:val="en-US"/>
        </w:rPr>
      </w:pPr>
      <w:r w:rsidRPr="00BD295E">
        <w:rPr>
          <w:rFonts w:ascii="Arial" w:hAnsi="Arial" w:cs="Arial"/>
          <w:sz w:val="18"/>
          <w:szCs w:val="18"/>
          <w:lang w:val="en-US"/>
        </w:rPr>
        <w:t xml:space="preserve">In 2018, the Company’s Board of Directors of the Company operated in accordance with the applicable Russian laws, the Company’s Articles of Association and the Regulations on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715A5C8A" w14:textId="77777777" w:rsidR="00F3260C" w:rsidRPr="00BD295E" w:rsidRDefault="00F3260C" w:rsidP="00F3260C">
      <w:pPr>
        <w:tabs>
          <w:tab w:val="left" w:pos="0"/>
        </w:tabs>
        <w:jc w:val="both"/>
        <w:rPr>
          <w:rFonts w:ascii="Arial" w:hAnsi="Arial" w:cs="Arial"/>
          <w:sz w:val="18"/>
          <w:szCs w:val="18"/>
          <w:lang w:val="en-US"/>
        </w:rPr>
      </w:pPr>
    </w:p>
    <w:p w14:paraId="329D1697" w14:textId="77777777" w:rsidR="00F3260C" w:rsidRPr="00BD295E" w:rsidRDefault="008A5057" w:rsidP="00F3260C">
      <w:pPr>
        <w:autoSpaceDE w:val="0"/>
        <w:autoSpaceDN w:val="0"/>
        <w:adjustRightInd w:val="0"/>
        <w:jc w:val="both"/>
        <w:rPr>
          <w:rFonts w:ascii="Arial" w:hAnsi="Arial" w:cs="Arial"/>
          <w:b/>
          <w:sz w:val="18"/>
          <w:szCs w:val="18"/>
          <w:lang w:val="en-US"/>
        </w:rPr>
      </w:pPr>
      <w:r w:rsidRPr="00BD295E">
        <w:rPr>
          <w:rFonts w:ascii="Arial" w:hAnsi="Arial" w:cs="Arial"/>
          <w:b/>
          <w:sz w:val="18"/>
          <w:szCs w:val="18"/>
          <w:lang w:val="en-US"/>
        </w:rPr>
        <w:t>Information on instructions of the Board of Directors in 2016–2018.</w:t>
      </w:r>
    </w:p>
    <w:p w14:paraId="4F786D74" w14:textId="77777777" w:rsidR="00ED28DE" w:rsidRPr="00BD295E" w:rsidRDefault="00ED28DE" w:rsidP="00ED28DE">
      <w:pPr>
        <w:autoSpaceDE w:val="0"/>
        <w:autoSpaceDN w:val="0"/>
        <w:adjustRightInd w:val="0"/>
        <w:ind w:firstLine="567"/>
        <w:jc w:val="both"/>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8"/>
        <w:gridCol w:w="3455"/>
        <w:gridCol w:w="3012"/>
      </w:tblGrid>
      <w:tr w:rsidR="008A5057" w:rsidRPr="00BD295E" w14:paraId="6664C5F5" w14:textId="77777777" w:rsidTr="00E3510B">
        <w:trPr>
          <w:trHeight w:val="913"/>
        </w:trPr>
        <w:tc>
          <w:tcPr>
            <w:tcW w:w="2943" w:type="dxa"/>
            <w:shd w:val="clear" w:color="auto" w:fill="auto"/>
          </w:tcPr>
          <w:p w14:paraId="5A0BE9BC"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In 2016, the Board of Directors issued 112 instructions to the Company’s management, including:</w:t>
            </w:r>
          </w:p>
          <w:p w14:paraId="1612AF09"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- 41 completed on time (37%);</w:t>
            </w:r>
          </w:p>
          <w:p w14:paraId="65D1A8A9"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- 16 completed with delay (14%);</w:t>
            </w:r>
          </w:p>
          <w:p w14:paraId="374044AB"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- 5 not completed (4%);</w:t>
            </w:r>
          </w:p>
          <w:p w14:paraId="379735D4"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- 50 completion in progress (45%).</w:t>
            </w:r>
          </w:p>
          <w:p w14:paraId="3EF8DA76" w14:textId="77777777" w:rsidR="00ED28DE" w:rsidRPr="00BD295E" w:rsidRDefault="00ED28DE" w:rsidP="00E3510B">
            <w:pPr>
              <w:autoSpaceDE w:val="0"/>
              <w:autoSpaceDN w:val="0"/>
              <w:adjustRightInd w:val="0"/>
              <w:jc w:val="both"/>
              <w:rPr>
                <w:rFonts w:ascii="Arial" w:hAnsi="Arial" w:cs="Arial"/>
                <w:sz w:val="18"/>
                <w:szCs w:val="18"/>
                <w:lang w:val="en-US"/>
              </w:rPr>
            </w:pPr>
          </w:p>
        </w:tc>
        <w:tc>
          <w:tcPr>
            <w:tcW w:w="3544" w:type="dxa"/>
            <w:shd w:val="clear" w:color="auto" w:fill="auto"/>
          </w:tcPr>
          <w:p w14:paraId="6BE1AF8A"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In 2017, the Board of Directors issued 86 instructions to the Company’s management, including:</w:t>
            </w:r>
          </w:p>
          <w:p w14:paraId="4C1836B2"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- 49 completed (57%);</w:t>
            </w:r>
          </w:p>
          <w:p w14:paraId="57F7245A"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- 20 completed with delay (23%);</w:t>
            </w:r>
          </w:p>
          <w:p w14:paraId="3F3A7ACB"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- 0 not completed (0%);</w:t>
            </w:r>
          </w:p>
          <w:p w14:paraId="41859F61"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- 17 completion in progress (20%).</w:t>
            </w:r>
          </w:p>
        </w:tc>
        <w:tc>
          <w:tcPr>
            <w:tcW w:w="3083" w:type="dxa"/>
            <w:shd w:val="clear" w:color="auto" w:fill="auto"/>
          </w:tcPr>
          <w:p w14:paraId="3E4019B7"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In 2018, the Board of Directors issued 55* instructions to the Company’s management, including:</w:t>
            </w:r>
          </w:p>
          <w:p w14:paraId="3C275447"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- 41 completed (75%);</w:t>
            </w:r>
          </w:p>
          <w:p w14:paraId="4BD8F69E"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- 6 completed with delay (11%);</w:t>
            </w:r>
          </w:p>
          <w:p w14:paraId="5D79E888"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- 0 not completed (0%);</w:t>
            </w:r>
          </w:p>
          <w:p w14:paraId="28DAA125" w14:textId="77777777" w:rsidR="00ED28DE"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- 8 completion in progress (14%).</w:t>
            </w:r>
          </w:p>
        </w:tc>
      </w:tr>
    </w:tbl>
    <w:p w14:paraId="430B26B7" w14:textId="77777777" w:rsidR="00ED28DE" w:rsidRPr="00BD295E" w:rsidRDefault="008A5057" w:rsidP="00ED28DE">
      <w:pPr>
        <w:tabs>
          <w:tab w:val="left" w:pos="0"/>
        </w:tabs>
        <w:ind w:left="720"/>
        <w:jc w:val="both"/>
        <w:rPr>
          <w:rFonts w:ascii="Arial" w:hAnsi="Arial" w:cs="Arial"/>
          <w:bCs/>
          <w:sz w:val="18"/>
          <w:szCs w:val="18"/>
          <w:lang w:val="en-US"/>
        </w:rPr>
      </w:pPr>
      <w:r w:rsidRPr="00BD295E">
        <w:rPr>
          <w:rFonts w:ascii="Arial" w:hAnsi="Arial" w:cs="Arial"/>
          <w:bCs/>
          <w:sz w:val="18"/>
          <w:szCs w:val="18"/>
          <w:lang w:val="en-US"/>
        </w:rPr>
        <w:t xml:space="preserve">* Excluding instructions that are to be completed periodically or regularly </w:t>
      </w:r>
    </w:p>
    <w:p w14:paraId="1DD904BD" w14:textId="77777777" w:rsidR="00ED28DE" w:rsidRPr="00BD295E" w:rsidRDefault="00ED28DE" w:rsidP="00ED28DE">
      <w:pPr>
        <w:tabs>
          <w:tab w:val="left" w:pos="0"/>
        </w:tabs>
        <w:jc w:val="both"/>
        <w:rPr>
          <w:rFonts w:ascii="Arial" w:hAnsi="Arial" w:cs="Arial"/>
          <w:b/>
          <w:bCs/>
          <w:sz w:val="18"/>
          <w:szCs w:val="18"/>
          <w:lang w:val="en-US"/>
        </w:rPr>
      </w:pPr>
    </w:p>
    <w:p w14:paraId="29977A5D" w14:textId="77777777" w:rsidR="00ED28DE" w:rsidRPr="00BD295E" w:rsidRDefault="00A07300" w:rsidP="00ED28DE">
      <w:pPr>
        <w:tabs>
          <w:tab w:val="left" w:pos="0"/>
        </w:tabs>
        <w:jc w:val="both"/>
        <w:rPr>
          <w:rFonts w:ascii="Arial" w:hAnsi="Arial" w:cs="Arial"/>
          <w:sz w:val="18"/>
          <w:szCs w:val="18"/>
          <w:lang w:val="en-US"/>
        </w:rPr>
      </w:pPr>
      <w:r w:rsidRPr="00BD295E">
        <w:rPr>
          <w:rFonts w:ascii="Arial" w:hAnsi="Arial" w:cs="Arial"/>
          <w:b/>
          <w:bCs/>
          <w:sz w:val="18"/>
          <w:szCs w:val="18"/>
          <w:lang w:val="en-US"/>
        </w:rPr>
        <w:t xml:space="preserve">Fulfillment of </w:t>
      </w:r>
      <w:r w:rsidR="008A5057" w:rsidRPr="00BD295E">
        <w:rPr>
          <w:rFonts w:ascii="Arial" w:hAnsi="Arial" w:cs="Arial"/>
          <w:b/>
          <w:bCs/>
          <w:sz w:val="18"/>
          <w:szCs w:val="18"/>
          <w:lang w:val="en-US"/>
        </w:rPr>
        <w:t>instructions of the Board of Directors in 2018</w:t>
      </w:r>
    </w:p>
    <w:p w14:paraId="333E0200" w14:textId="466FFBE0" w:rsidR="00ED28DE" w:rsidRPr="00BD295E" w:rsidRDefault="00997D07" w:rsidP="00ED28DE">
      <w:pPr>
        <w:tabs>
          <w:tab w:val="left" w:pos="0"/>
        </w:tabs>
        <w:jc w:val="both"/>
        <w:rPr>
          <w:rFonts w:ascii="Arial" w:hAnsi="Arial" w:cs="Arial"/>
          <w:sz w:val="18"/>
          <w:szCs w:val="18"/>
          <w:lang w:val="en-US"/>
        </w:rPr>
      </w:pPr>
      <w:bookmarkStart w:id="402" w:name="_Hlk95938833"/>
      <w:r w:rsidRPr="00BD295E">
        <w:rPr>
          <w:rFonts w:ascii="Arial" w:hAnsi="Arial" w:cs="Arial"/>
          <w:sz w:val="18"/>
          <w:szCs w:val="18"/>
          <w:lang w:val="en-US" w:eastAsia="en-US"/>
        </w:rPr>
        <w:drawing>
          <wp:inline distT="0" distB="0" distL="0" distR="0" wp14:anchorId="0B8B8EF1" wp14:editId="53CCF853">
            <wp:extent cx="5053330" cy="2757805"/>
            <wp:effectExtent l="0" t="0" r="0" b="0"/>
            <wp:docPr id="71" name="Диаграмма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bookmarkEnd w:id="402"/>
    </w:p>
    <w:p w14:paraId="6CDF8706" w14:textId="77777777" w:rsidR="00ED28DE" w:rsidRPr="00BD295E" w:rsidRDefault="00ED28DE" w:rsidP="00ED28DE">
      <w:pPr>
        <w:tabs>
          <w:tab w:val="left" w:pos="0"/>
        </w:tabs>
        <w:jc w:val="both"/>
        <w:rPr>
          <w:rFonts w:ascii="Arial" w:hAnsi="Arial" w:cs="Arial"/>
          <w:sz w:val="18"/>
          <w:szCs w:val="18"/>
          <w:lang w:val="en-US"/>
        </w:rPr>
      </w:pPr>
    </w:p>
    <w:p w14:paraId="45877985" w14:textId="77777777" w:rsidR="00ED28DE" w:rsidRPr="00BD295E" w:rsidRDefault="008A5057" w:rsidP="002342CA">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The Board of Directors reviews reports of the Company’s CEO on completion of instructions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on a permanent basis. No instructions of the Board of Directors were overdue in 2018.</w:t>
      </w:r>
    </w:p>
    <w:p w14:paraId="794DAC71" w14:textId="77777777" w:rsidR="00ED28DE" w:rsidRPr="00BD295E" w:rsidRDefault="00ED28DE" w:rsidP="00ED28DE">
      <w:pPr>
        <w:jc w:val="both"/>
        <w:rPr>
          <w:rFonts w:ascii="Arial" w:hAnsi="Arial" w:cs="Arial"/>
          <w:sz w:val="18"/>
          <w:szCs w:val="18"/>
          <w:lang w:val="en-US"/>
        </w:rPr>
      </w:pPr>
    </w:p>
    <w:p w14:paraId="33DD760B" w14:textId="219AF2B7" w:rsidR="00ED28DE" w:rsidRPr="00BD295E" w:rsidRDefault="00997D07" w:rsidP="00ED28DE">
      <w:pPr>
        <w:jc w:val="both"/>
        <w:rPr>
          <w:rFonts w:ascii="Arial" w:hAnsi="Arial" w:cs="Arial"/>
          <w:sz w:val="18"/>
          <w:szCs w:val="18"/>
          <w:lang w:val="en-US"/>
        </w:rPr>
      </w:pPr>
      <w:bookmarkStart w:id="403" w:name="_Hlk95938841"/>
      <w:r w:rsidRPr="00BD295E">
        <w:rPr>
          <w:rFonts w:ascii="Arial" w:hAnsi="Arial" w:cs="Arial"/>
          <w:sz w:val="18"/>
          <w:szCs w:val="18"/>
          <w:lang w:val="en-US" w:eastAsia="en-US"/>
        </w:rPr>
        <w:drawing>
          <wp:inline distT="0" distB="0" distL="0" distR="0" wp14:anchorId="03F77425" wp14:editId="6DB094E7">
            <wp:extent cx="4739005" cy="2586355"/>
            <wp:effectExtent l="0" t="0" r="4445" b="4445"/>
            <wp:docPr id="72" name="Диаграмма 534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bookmarkEnd w:id="403"/>
    </w:p>
    <w:p w14:paraId="52065BBD" w14:textId="77777777" w:rsidR="00ED28DE" w:rsidRPr="00BD295E" w:rsidRDefault="00ED28DE" w:rsidP="00F3260C">
      <w:pPr>
        <w:jc w:val="both"/>
        <w:rPr>
          <w:rFonts w:ascii="Arial" w:hAnsi="Arial" w:cs="Arial"/>
          <w:b/>
          <w:bCs/>
          <w:sz w:val="18"/>
          <w:szCs w:val="18"/>
          <w:lang w:val="en-US"/>
        </w:rPr>
      </w:pPr>
    </w:p>
    <w:p w14:paraId="56843B90" w14:textId="77777777" w:rsidR="00ED28DE" w:rsidRPr="00BD295E" w:rsidRDefault="00ED28DE" w:rsidP="00F3260C">
      <w:pPr>
        <w:jc w:val="both"/>
        <w:rPr>
          <w:rFonts w:ascii="Arial" w:hAnsi="Arial" w:cs="Arial"/>
          <w:b/>
          <w:bCs/>
          <w:sz w:val="18"/>
          <w:szCs w:val="18"/>
          <w:lang w:val="en-US"/>
        </w:rPr>
      </w:pPr>
    </w:p>
    <w:p w14:paraId="29EDEED6" w14:textId="77777777" w:rsidR="00F3260C" w:rsidRPr="00BD295E" w:rsidRDefault="008A5057" w:rsidP="002342CA">
      <w:pPr>
        <w:jc w:val="both"/>
        <w:rPr>
          <w:rFonts w:ascii="Arial" w:hAnsi="Arial" w:cs="Arial"/>
          <w:b/>
          <w:sz w:val="18"/>
          <w:szCs w:val="18"/>
          <w:lang w:val="en-US"/>
        </w:rPr>
      </w:pPr>
      <w:r w:rsidRPr="00BD295E">
        <w:rPr>
          <w:rFonts w:ascii="Arial" w:hAnsi="Arial" w:cs="Arial"/>
          <w:b/>
          <w:sz w:val="18"/>
          <w:szCs w:val="18"/>
          <w:lang w:val="en-US"/>
        </w:rPr>
        <w:t>Corporate Secretary of the Company</w:t>
      </w:r>
    </w:p>
    <w:p w14:paraId="27F05452" w14:textId="77777777" w:rsidR="00F3260C" w:rsidRPr="00BD295E" w:rsidRDefault="00F3260C" w:rsidP="002342CA">
      <w:pPr>
        <w:jc w:val="both"/>
        <w:rPr>
          <w:rFonts w:ascii="Arial" w:hAnsi="Arial" w:cs="Arial"/>
          <w:b/>
          <w:sz w:val="18"/>
          <w:szCs w:val="18"/>
          <w:lang w:val="en-US"/>
        </w:rPr>
      </w:pPr>
    </w:p>
    <w:p w14:paraId="49DF99B1" w14:textId="77777777" w:rsidR="00F3260C" w:rsidRPr="00BD295E" w:rsidRDefault="008A5057" w:rsidP="002342CA">
      <w:pPr>
        <w:jc w:val="both"/>
        <w:rPr>
          <w:rFonts w:ascii="Arial" w:hAnsi="Arial" w:cs="Arial"/>
          <w:sz w:val="18"/>
          <w:szCs w:val="18"/>
          <w:lang w:val="en-US"/>
        </w:rPr>
      </w:pPr>
      <w:r w:rsidRPr="00BD295E">
        <w:rPr>
          <w:rFonts w:ascii="Arial" w:hAnsi="Arial" w:cs="Arial"/>
          <w:sz w:val="18"/>
          <w:szCs w:val="18"/>
          <w:lang w:val="en-US"/>
        </w:rPr>
        <w:t xml:space="preserve">The activities of the Corporate Secretary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are regulated by the Company’s Articles of Association and the Regulations for the Corporate Secretary of </w:t>
      </w:r>
      <w:r w:rsidR="00EE5753" w:rsidRPr="00BD295E">
        <w:rPr>
          <w:rFonts w:ascii="Arial" w:hAnsi="Arial" w:cs="Arial"/>
          <w:sz w:val="18"/>
          <w:szCs w:val="18"/>
          <w:lang w:val="en-US"/>
        </w:rPr>
        <w:t>PJSC “Lenenergo”</w:t>
      </w:r>
      <w:r w:rsidRPr="00BD295E">
        <w:rPr>
          <w:rFonts w:ascii="Arial" w:hAnsi="Arial" w:cs="Arial"/>
          <w:sz w:val="18"/>
          <w:szCs w:val="18"/>
          <w:lang w:val="en-US"/>
        </w:rPr>
        <w:t>, approved by the Board of Directors on September 30, 2016 (Minutes No. 12 of October 5, 2016).</w:t>
      </w:r>
    </w:p>
    <w:p w14:paraId="2217F538" w14:textId="77777777" w:rsidR="00F3260C" w:rsidRPr="00BD295E" w:rsidRDefault="008A5057" w:rsidP="002342CA">
      <w:pPr>
        <w:jc w:val="both"/>
        <w:rPr>
          <w:rFonts w:ascii="Arial" w:eastAsia="Calibri" w:hAnsi="Arial" w:cs="Arial"/>
          <w:sz w:val="18"/>
          <w:szCs w:val="18"/>
          <w:lang w:val="en-US"/>
        </w:rPr>
      </w:pPr>
      <w:r w:rsidRPr="00BD295E">
        <w:rPr>
          <w:rFonts w:ascii="Arial" w:hAnsi="Arial" w:cs="Arial"/>
          <w:sz w:val="18"/>
          <w:szCs w:val="18"/>
          <w:lang w:val="en-US"/>
        </w:rPr>
        <w:t xml:space="preserve">The Corporate Secretary reports directly to the Board of Directors. </w:t>
      </w:r>
    </w:p>
    <w:p w14:paraId="0C2717A0" w14:textId="77777777" w:rsidR="00F3260C" w:rsidRPr="00BD295E" w:rsidRDefault="008A5057" w:rsidP="002342CA">
      <w:pPr>
        <w:jc w:val="both"/>
        <w:rPr>
          <w:rFonts w:ascii="Arial" w:eastAsia="Calibri" w:hAnsi="Arial" w:cs="Arial"/>
          <w:sz w:val="18"/>
          <w:szCs w:val="18"/>
          <w:lang w:val="en-US"/>
        </w:rPr>
      </w:pPr>
      <w:r w:rsidRPr="00BD295E">
        <w:rPr>
          <w:rFonts w:ascii="Arial" w:hAnsi="Arial" w:cs="Arial"/>
          <w:sz w:val="18"/>
          <w:szCs w:val="18"/>
          <w:lang w:val="en-US"/>
        </w:rPr>
        <w:t>The key functions of the Company’s Corporate Secretary include:</w:t>
      </w:r>
    </w:p>
    <w:p w14:paraId="52C20407" w14:textId="77777777" w:rsidR="00F3260C" w:rsidRPr="00BD295E" w:rsidRDefault="008A5057" w:rsidP="002342CA">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participating in the organization of the preparation and holding of General Meetings of Shareholders;</w:t>
      </w:r>
    </w:p>
    <w:p w14:paraId="78217581" w14:textId="77777777" w:rsidR="00F3260C" w:rsidRPr="00BD295E" w:rsidRDefault="008A5057" w:rsidP="002342CA">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supporting operation of the Board of Directors and Committees of the Board of Directors;</w:t>
      </w:r>
    </w:p>
    <w:p w14:paraId="36A5C475" w14:textId="77777777" w:rsidR="00F3260C" w:rsidRPr="00BD295E" w:rsidRDefault="008A5057" w:rsidP="002342CA">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participating in the implementation of the Company’s disclosure policy, as well as ensuring storage of the Company’s corporate documents;</w:t>
      </w:r>
    </w:p>
    <w:p w14:paraId="106E9A3E" w14:textId="77777777" w:rsidR="00F3260C" w:rsidRPr="00BD295E" w:rsidRDefault="008A5057" w:rsidP="002342CA">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securing interaction between the Company and its shareholders and participating in the prevention of corporate conflicts;</w:t>
      </w:r>
    </w:p>
    <w:p w14:paraId="7E1FF8EA" w14:textId="77777777" w:rsidR="00F3260C" w:rsidRPr="00BD295E" w:rsidRDefault="008A5057" w:rsidP="002342CA">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liaising between the Company and regulatory agencies, trade organizers, the registrar, and other participants of the professional securities market within the competence of the Corporate Secretary;</w:t>
      </w:r>
    </w:p>
    <w:p w14:paraId="2B9D1249" w14:textId="77777777" w:rsidR="00F3260C" w:rsidRPr="00BD295E" w:rsidRDefault="008A5057" w:rsidP="002342CA">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ensuring the implementation of the procedures set out in law and the Company’s internal documents to protect the rights and legal interests of shareholders and monitor compliance with such procedures;</w:t>
      </w:r>
    </w:p>
    <w:p w14:paraId="43D335F0" w14:textId="77777777" w:rsidR="00F3260C" w:rsidRPr="00BD295E" w:rsidRDefault="008A5057" w:rsidP="002342CA">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promptly informing the Board of Directors of all identified breaches of laws and the Company’s internal documents, compliance with which falls within the Corporate Secretary’s functions;</w:t>
      </w:r>
    </w:p>
    <w:p w14:paraId="18C9139A" w14:textId="77777777" w:rsidR="00F3260C" w:rsidRPr="00BD295E" w:rsidRDefault="008A5057" w:rsidP="002342CA">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participating in improvements to the Company’s corporate governance system and practices.</w:t>
      </w:r>
    </w:p>
    <w:p w14:paraId="7501C57F" w14:textId="77777777" w:rsidR="00F3260C" w:rsidRPr="00BD295E" w:rsidRDefault="00F3260C" w:rsidP="002342CA">
      <w:pPr>
        <w:jc w:val="both"/>
        <w:rPr>
          <w:rFonts w:ascii="Arial" w:hAnsi="Arial" w:cs="Arial"/>
          <w:sz w:val="18"/>
          <w:szCs w:val="18"/>
          <w:lang w:val="en-US"/>
        </w:rPr>
      </w:pPr>
    </w:p>
    <w:p w14:paraId="60028F12" w14:textId="77777777" w:rsidR="00F3260C" w:rsidRPr="00BD295E" w:rsidRDefault="008A5057" w:rsidP="002342CA">
      <w:pPr>
        <w:jc w:val="both"/>
        <w:rPr>
          <w:rFonts w:ascii="Arial" w:hAnsi="Arial" w:cs="Arial"/>
          <w:sz w:val="18"/>
          <w:szCs w:val="18"/>
          <w:lang w:val="en-US"/>
        </w:rPr>
      </w:pPr>
      <w:r w:rsidRPr="00BD295E">
        <w:rPr>
          <w:rFonts w:ascii="Arial" w:hAnsi="Arial" w:cs="Arial"/>
          <w:sz w:val="18"/>
          <w:szCs w:val="18"/>
          <w:lang w:val="en-US"/>
        </w:rPr>
        <w:t xml:space="preserve">Ilya Sobolev was elected Corporate Secretary of the Company by the Resolution of the Company’s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August 17, 2017 (Minutes No. 08 </w:t>
      </w:r>
      <w:r w:rsidR="008B183C" w:rsidRPr="00BD295E">
        <w:rPr>
          <w:rFonts w:ascii="Arial" w:hAnsi="Arial" w:cs="Arial"/>
          <w:sz w:val="18"/>
          <w:szCs w:val="18"/>
          <w:lang w:val="en-US"/>
        </w:rPr>
        <w:t>of</w:t>
      </w:r>
      <w:r w:rsidRPr="00BD295E">
        <w:rPr>
          <w:rFonts w:ascii="Arial" w:hAnsi="Arial" w:cs="Arial"/>
          <w:sz w:val="18"/>
          <w:szCs w:val="18"/>
          <w:lang w:val="en-US"/>
        </w:rPr>
        <w:t xml:space="preserve"> August 22, 2017):</w:t>
      </w:r>
    </w:p>
    <w:p w14:paraId="5D37A225" w14:textId="77777777" w:rsidR="00F3260C" w:rsidRPr="00BD295E" w:rsidRDefault="00F3260C" w:rsidP="00F3260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070ADE95"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3A5441E7"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4D711A4D"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Ilya Sobolev</w:t>
            </w:r>
          </w:p>
        </w:tc>
      </w:tr>
      <w:tr w:rsidR="008A5057" w:rsidRPr="00BD295E" w14:paraId="6CBE906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709AF1A"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598F6265"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iCs/>
                <w:sz w:val="18"/>
                <w:szCs w:val="18"/>
                <w:lang w:val="en-US"/>
              </w:rPr>
              <w:t xml:space="preserve">1987 </w:t>
            </w:r>
            <w:r w:rsidRPr="00BD295E">
              <w:rPr>
                <w:rFonts w:ascii="Arial" w:hAnsi="Arial" w:cs="Arial"/>
                <w:bCs/>
                <w:sz w:val="18"/>
                <w:szCs w:val="18"/>
                <w:lang w:val="en-US"/>
              </w:rPr>
              <w:t>Russian Federation</w:t>
            </w:r>
          </w:p>
        </w:tc>
      </w:tr>
      <w:tr w:rsidR="008A5057" w:rsidRPr="00BD295E" w14:paraId="2807C296"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5B5FBAE"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11853AA0"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Higher education, North-West Academy of State Service, majoring in State and Municipal Administration, 2009;</w:t>
            </w:r>
          </w:p>
          <w:p w14:paraId="3F26BBA1"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Higher education, Saint Petersburg State University, Department of Economics, majoring in Economics, 2009.</w:t>
            </w:r>
          </w:p>
          <w:p w14:paraId="4BF8EF79"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PhD in Economics.</w:t>
            </w:r>
          </w:p>
        </w:tc>
      </w:tr>
      <w:tr w:rsidR="008A5057" w:rsidRPr="00BD295E" w14:paraId="0E61A0FF"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4CC0AED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17011ADF"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2017 to date – the Company’s Corporate Secretary.</w:t>
            </w:r>
          </w:p>
          <w:p w14:paraId="20709489"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2016 to date – Head of the Corporate Governance and Shareholder Relations Department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19FF161A" w14:textId="700C5A0E"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2014–2016 – Head of the Corporate </w:t>
            </w:r>
            <w:r w:rsidR="002C3947" w:rsidRPr="00BD295E">
              <w:rPr>
                <w:rFonts w:ascii="Arial" w:hAnsi="Arial" w:cs="Arial"/>
                <w:sz w:val="18"/>
                <w:szCs w:val="18"/>
                <w:lang w:val="en-US"/>
              </w:rPr>
              <w:t>Policy Unit</w:t>
            </w:r>
            <w:r w:rsidRPr="00BD295E">
              <w:rPr>
                <w:rFonts w:ascii="Arial" w:hAnsi="Arial" w:cs="Arial"/>
                <w:sz w:val="18"/>
                <w:szCs w:val="18"/>
                <w:lang w:val="en-US"/>
              </w:rPr>
              <w:t xml:space="preserve"> of the Corporate Governance and Shareholder Relations Department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69FF9E1D" w14:textId="77777777" w:rsidR="00F3260C" w:rsidRPr="00BD295E" w:rsidRDefault="008A5057" w:rsidP="00A07300">
            <w:pPr>
              <w:jc w:val="both"/>
              <w:rPr>
                <w:rFonts w:ascii="Arial" w:hAnsi="Arial" w:cs="Arial"/>
                <w:sz w:val="18"/>
                <w:szCs w:val="18"/>
                <w:lang w:val="en-US"/>
              </w:rPr>
            </w:pPr>
            <w:r w:rsidRPr="00BD295E">
              <w:rPr>
                <w:rFonts w:ascii="Arial" w:hAnsi="Arial" w:cs="Arial"/>
                <w:sz w:val="18"/>
                <w:szCs w:val="18"/>
                <w:lang w:val="en-US"/>
              </w:rPr>
              <w:t xml:space="preserve">2010–2016 – Head of the Corporate Policy Unit of the Corporate Governance and Shareholder Relations Department of </w:t>
            </w:r>
            <w:r w:rsidR="00EE5753" w:rsidRPr="00BD295E">
              <w:rPr>
                <w:rFonts w:ascii="Arial" w:hAnsi="Arial" w:cs="Arial"/>
                <w:sz w:val="18"/>
                <w:szCs w:val="18"/>
                <w:lang w:val="en-US"/>
              </w:rPr>
              <w:t>PJSC “Lenenergo”</w:t>
            </w:r>
            <w:r w:rsidRPr="00BD295E">
              <w:rPr>
                <w:rFonts w:ascii="Arial" w:hAnsi="Arial" w:cs="Arial"/>
                <w:sz w:val="18"/>
                <w:szCs w:val="18"/>
                <w:lang w:val="en-US"/>
              </w:rPr>
              <w:t>;</w:t>
            </w:r>
          </w:p>
        </w:tc>
      </w:tr>
      <w:tr w:rsidR="008A5057" w:rsidRPr="00BD295E" w14:paraId="6F883CCA"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269FDAC"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4735A1AD"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None</w:t>
            </w:r>
          </w:p>
        </w:tc>
      </w:tr>
      <w:tr w:rsidR="008A5057" w:rsidRPr="00BD295E" w14:paraId="4A8ECF38" w14:textId="77777777" w:rsidTr="0031297B">
        <w:trPr>
          <w:trHeight w:val="456"/>
        </w:trPr>
        <w:tc>
          <w:tcPr>
            <w:tcW w:w="2941" w:type="dxa"/>
            <w:tcBorders>
              <w:top w:val="single" w:sz="6" w:space="0" w:color="C0C0C0"/>
              <w:left w:val="single" w:sz="4" w:space="0" w:color="C0C0C0"/>
              <w:bottom w:val="single" w:sz="6" w:space="0" w:color="333399"/>
              <w:right w:val="single" w:sz="6" w:space="0" w:color="C0C0C0"/>
            </w:tcBorders>
            <w:vAlign w:val="center"/>
          </w:tcPr>
          <w:p w14:paraId="58911482"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Positions with other employers</w:t>
            </w:r>
          </w:p>
        </w:tc>
        <w:tc>
          <w:tcPr>
            <w:tcW w:w="6659" w:type="dxa"/>
            <w:tcBorders>
              <w:top w:val="single" w:sz="6" w:space="0" w:color="C0C0C0"/>
              <w:left w:val="single" w:sz="6" w:space="0" w:color="C0C0C0"/>
              <w:bottom w:val="single" w:sz="6" w:space="0" w:color="333399"/>
              <w:right w:val="single" w:sz="4" w:space="0" w:color="C0C0C0"/>
            </w:tcBorders>
            <w:vAlign w:val="center"/>
          </w:tcPr>
          <w:p w14:paraId="50CC9445" w14:textId="77777777" w:rsidR="00F3260C" w:rsidRPr="00BD295E" w:rsidRDefault="008A5057" w:rsidP="0031297B">
            <w:pPr>
              <w:shd w:val="clear" w:color="auto" w:fill="FFFFFF"/>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Member of the Board of Directors of </w:t>
            </w:r>
            <w:r w:rsidR="00A07300" w:rsidRPr="00BD295E">
              <w:rPr>
                <w:rFonts w:ascii="Arial" w:hAnsi="Arial" w:cs="Arial"/>
                <w:sz w:val="18"/>
                <w:szCs w:val="18"/>
                <w:lang w:val="en-US"/>
              </w:rPr>
              <w:t>JSC “LESR”</w:t>
            </w:r>
            <w:r w:rsidRPr="00BD295E">
              <w:rPr>
                <w:rFonts w:ascii="Arial" w:hAnsi="Arial" w:cs="Arial"/>
                <w:sz w:val="18"/>
                <w:szCs w:val="18"/>
                <w:lang w:val="en-US"/>
              </w:rPr>
              <w:t>;</w:t>
            </w:r>
          </w:p>
          <w:p w14:paraId="5360FB20" w14:textId="77777777" w:rsidR="00F3260C" w:rsidRPr="00BD295E" w:rsidRDefault="008A5057" w:rsidP="0031297B">
            <w:pPr>
              <w:shd w:val="clear" w:color="auto" w:fill="FFFFFF"/>
              <w:autoSpaceDE w:val="0"/>
              <w:autoSpaceDN w:val="0"/>
              <w:adjustRightInd w:val="0"/>
              <w:jc w:val="both"/>
              <w:rPr>
                <w:rFonts w:ascii="Arial" w:hAnsi="Arial" w:cs="Arial"/>
                <w:bCs/>
                <w:iCs/>
                <w:sz w:val="18"/>
                <w:szCs w:val="18"/>
                <w:lang w:val="en-US"/>
              </w:rPr>
            </w:pPr>
            <w:r w:rsidRPr="00BD295E">
              <w:rPr>
                <w:rStyle w:val="Subst0"/>
                <w:rFonts w:ascii="Arial" w:hAnsi="Arial" w:cs="Arial"/>
                <w:b w:val="0"/>
                <w:bCs/>
                <w:i w:val="0"/>
                <w:iCs/>
                <w:sz w:val="18"/>
                <w:szCs w:val="18"/>
                <w:lang w:val="en-US"/>
              </w:rPr>
              <w:t xml:space="preserve">Member of the Board of Directors of </w:t>
            </w:r>
            <w:r w:rsidR="00A07300" w:rsidRPr="00BD295E">
              <w:rPr>
                <w:rStyle w:val="Subst0"/>
                <w:rFonts w:ascii="Arial" w:hAnsi="Arial" w:cs="Arial"/>
                <w:b w:val="0"/>
                <w:bCs/>
                <w:i w:val="0"/>
                <w:iCs/>
                <w:sz w:val="18"/>
                <w:szCs w:val="18"/>
                <w:lang w:val="en-US"/>
              </w:rPr>
              <w:t>JSC “Petrodvorets Electric Company”</w:t>
            </w:r>
            <w:r w:rsidRPr="00BD295E">
              <w:rPr>
                <w:rStyle w:val="Subst0"/>
                <w:rFonts w:ascii="Arial" w:hAnsi="Arial" w:cs="Arial"/>
                <w:b w:val="0"/>
                <w:bCs/>
                <w:i w:val="0"/>
                <w:iCs/>
                <w:sz w:val="18"/>
                <w:szCs w:val="18"/>
                <w:lang w:val="en-US"/>
              </w:rPr>
              <w:t>.</w:t>
            </w:r>
          </w:p>
        </w:tc>
      </w:tr>
    </w:tbl>
    <w:p w14:paraId="63B073F4" w14:textId="77777777" w:rsidR="00F3260C" w:rsidRPr="00BD295E" w:rsidRDefault="00F3260C" w:rsidP="00F3260C">
      <w:pPr>
        <w:rPr>
          <w:rFonts w:ascii="Arial" w:hAnsi="Arial" w:cs="Arial"/>
          <w:b/>
          <w:sz w:val="18"/>
          <w:szCs w:val="18"/>
          <w:lang w:val="en-US"/>
        </w:rPr>
      </w:pPr>
    </w:p>
    <w:p w14:paraId="035D44F7"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 xml:space="preserve">Committees of the Board of Directors of </w:t>
      </w:r>
      <w:r w:rsidR="00EE5753" w:rsidRPr="00BD295E">
        <w:rPr>
          <w:rFonts w:ascii="Arial" w:hAnsi="Arial" w:cs="Arial"/>
          <w:b/>
          <w:sz w:val="18"/>
          <w:szCs w:val="18"/>
          <w:lang w:val="en-US"/>
        </w:rPr>
        <w:t>PJSC “Lenenergo”</w:t>
      </w:r>
    </w:p>
    <w:p w14:paraId="2C2B6BBB" w14:textId="77777777" w:rsidR="00F3260C" w:rsidRPr="00BD295E" w:rsidRDefault="00F3260C" w:rsidP="00F3260C">
      <w:pPr>
        <w:rPr>
          <w:rFonts w:ascii="Arial" w:hAnsi="Arial" w:cs="Arial"/>
          <w:b/>
          <w:sz w:val="18"/>
          <w:szCs w:val="18"/>
          <w:lang w:val="en-US"/>
        </w:rPr>
      </w:pPr>
    </w:p>
    <w:p w14:paraId="18D0C106" w14:textId="77777777" w:rsidR="00F3260C" w:rsidRPr="00BD295E" w:rsidRDefault="008A5057" w:rsidP="002342CA">
      <w:pPr>
        <w:jc w:val="both"/>
        <w:rPr>
          <w:rFonts w:ascii="Arial" w:hAnsi="Arial" w:cs="Arial"/>
          <w:sz w:val="18"/>
          <w:szCs w:val="18"/>
          <w:lang w:val="en-US"/>
        </w:rPr>
      </w:pPr>
      <w:r w:rsidRPr="00BD295E">
        <w:rPr>
          <w:rFonts w:ascii="Arial" w:hAnsi="Arial" w:cs="Arial"/>
          <w:sz w:val="18"/>
          <w:szCs w:val="18"/>
          <w:lang w:val="en-US"/>
        </w:rPr>
        <w:t xml:space="preserve">Committees of the Company’s Board of Directors were established to </w:t>
      </w:r>
      <w:r w:rsidR="00480F9B" w:rsidRPr="00BD295E">
        <w:rPr>
          <w:rFonts w:ascii="Arial" w:hAnsi="Arial" w:cs="Arial"/>
          <w:sz w:val="18"/>
          <w:szCs w:val="18"/>
          <w:lang w:val="en-US"/>
        </w:rPr>
        <w:t xml:space="preserve">preliminarily </w:t>
      </w:r>
      <w:r w:rsidRPr="00BD295E">
        <w:rPr>
          <w:rFonts w:ascii="Arial" w:hAnsi="Arial" w:cs="Arial"/>
          <w:sz w:val="18"/>
          <w:szCs w:val="18"/>
          <w:lang w:val="en-US"/>
        </w:rPr>
        <w:t>review the most important matters related to the specific areas within the competence of the Board of Directors, settle disputes between representatives of shareholders prior to meetings, prepare informed recommendations to the Board of Directors, and ensure effective performance by the Company’s Board of Directors of its functions with regard to the overall management of the Company’s business.</w:t>
      </w:r>
    </w:p>
    <w:p w14:paraId="1B89BFB9" w14:textId="77777777" w:rsidR="00F3260C" w:rsidRPr="00BD295E" w:rsidRDefault="00F3260C" w:rsidP="00F3260C">
      <w:pPr>
        <w:jc w:val="both"/>
        <w:rPr>
          <w:rFonts w:ascii="Arial" w:hAnsi="Arial" w:cs="Arial"/>
          <w:sz w:val="18"/>
          <w:szCs w:val="18"/>
          <w:lang w:val="en-US"/>
        </w:rPr>
      </w:pPr>
    </w:p>
    <w:p w14:paraId="0E8CED0F" w14:textId="490CA299" w:rsidR="00F3260C" w:rsidRPr="00BD295E" w:rsidRDefault="0010560E" w:rsidP="00F3260C">
      <w:pPr>
        <w:jc w:val="both"/>
        <w:rPr>
          <w:rFonts w:ascii="Arial" w:hAnsi="Arial" w:cs="Arial"/>
          <w:sz w:val="18"/>
          <w:szCs w:val="18"/>
          <w:lang w:val="en-US"/>
        </w:rPr>
      </w:pPr>
      <w:bookmarkStart w:id="404" w:name="_Hlk95938850"/>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89152" behindDoc="0" locked="0" layoutInCell="1" allowOverlap="1" wp14:anchorId="04C69237" wp14:editId="1282C090">
                <wp:simplePos x="0" y="0"/>
                <wp:positionH relativeFrom="column">
                  <wp:posOffset>3095625</wp:posOffset>
                </wp:positionH>
                <wp:positionV relativeFrom="paragraph">
                  <wp:posOffset>3919958</wp:posOffset>
                </wp:positionV>
                <wp:extent cx="2809269" cy="750548"/>
                <wp:effectExtent l="0" t="0" r="0" b="0"/>
                <wp:wrapNone/>
                <wp:docPr id="1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69" cy="750548"/>
                        </a:xfrm>
                        <a:prstGeom prst="rect">
                          <a:avLst/>
                        </a:prstGeom>
                        <a:solidFill>
                          <a:schemeClr val="bg1"/>
                        </a:solidFill>
                        <a:ln w="9525">
                          <a:noFill/>
                          <a:miter lim="800000"/>
                          <a:headEnd/>
                          <a:tailEnd/>
                        </a:ln>
                      </wps:spPr>
                      <wps:txbx>
                        <w:txbxContent>
                          <w:p w14:paraId="608E9648" w14:textId="77777777"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0CDE6F98"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Developing recommendations for the Board on improving the Company’s internal regulations and standards to ensure non-discriminatory access by consumers to grid connection services;</w:t>
                            </w:r>
                          </w:p>
                          <w:p w14:paraId="777E5956" w14:textId="4C6BDD81"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Assessing the Company’s performance in providing gird connection services to consumers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C69237" id="_x0000_s1156" type="#_x0000_t202" style="position:absolute;left:0;text-align:left;margin-left:243.75pt;margin-top:308.65pt;width:221.2pt;height:59.1pt;z-index:25188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" fillcolor="white [3212]" stroked="f">
                <v:textbox inset="0,0,0,0">
                  <w:txbxContent>
                    <w:p w14:paraId="608E9648" w14:textId="77777777"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0CDE6F98"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Developing recommendations for the Board on improving the Company’s internal regulations and standards to ensure non-discriminatory access by consumers to grid connection services;</w:t>
                      </w:r>
                    </w:p>
                    <w:p w14:paraId="777E5956" w14:textId="4C6BDD81"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Assessing the Company’s performance in providing gird connection services to consumers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87104" behindDoc="0" locked="0" layoutInCell="1" allowOverlap="1" wp14:anchorId="73000799" wp14:editId="1BCF3E45">
                <wp:simplePos x="0" y="0"/>
                <wp:positionH relativeFrom="column">
                  <wp:posOffset>3090163</wp:posOffset>
                </wp:positionH>
                <wp:positionV relativeFrom="paragraph">
                  <wp:posOffset>2962576</wp:posOffset>
                </wp:positionV>
                <wp:extent cx="2809269" cy="750548"/>
                <wp:effectExtent l="0" t="0" r="0" b="0"/>
                <wp:wrapNone/>
                <wp:docPr id="1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69" cy="750548"/>
                        </a:xfrm>
                        <a:prstGeom prst="rect">
                          <a:avLst/>
                        </a:prstGeom>
                        <a:solidFill>
                          <a:schemeClr val="bg1"/>
                        </a:solidFill>
                        <a:ln w="9525">
                          <a:noFill/>
                          <a:miter lim="800000"/>
                          <a:headEnd/>
                          <a:tailEnd/>
                        </a:ln>
                      </wps:spPr>
                      <wps:txbx>
                        <w:txbxContent>
                          <w:p w14:paraId="4ED2981B" w14:textId="77777777"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7A355F2C"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Providing recommendations on updating the organizational structure of the Company’s Executive Arm and branches, on determining the terms of contracts and remuneration payable to members of the Company’s governing bodies;</w:t>
                            </w:r>
                          </w:p>
                          <w:p w14:paraId="375CA08A" w14:textId="6C911D48"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Determining the criteria for the selection of candidates to the Company’s collective executive body and to the position of the Company’s CEO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000799" id="_x0000_s1157" type="#_x0000_t202" style="position:absolute;left:0;text-align:left;margin-left:243.3pt;margin-top:233.25pt;width:221.2pt;height:59.1pt;z-index:25188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" fillcolor="white [3212]" stroked="f">
                <v:textbox inset="0,0,0,0">
                  <w:txbxContent>
                    <w:p w14:paraId="4ED2981B" w14:textId="77777777"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7A355F2C"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Providing recommendations on updating the organizational structure of the Company’s Executive Arm and branches, on determining the terms of contracts and remuneration payable to members of the Company’s governing bodies;</w:t>
                      </w:r>
                    </w:p>
                    <w:p w14:paraId="375CA08A" w14:textId="6C911D48"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Determining the criteria for the selection of candidates to the Company’s collective executive body and to the position of the Company’s CEO</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85056" behindDoc="0" locked="0" layoutInCell="1" allowOverlap="1" wp14:anchorId="55A01C3A" wp14:editId="27DEE587">
                <wp:simplePos x="0" y="0"/>
                <wp:positionH relativeFrom="column">
                  <wp:posOffset>3098092</wp:posOffset>
                </wp:positionH>
                <wp:positionV relativeFrom="paragraph">
                  <wp:posOffset>1823540</wp:posOffset>
                </wp:positionV>
                <wp:extent cx="2809269" cy="1049182"/>
                <wp:effectExtent l="0" t="0" r="0" b="0"/>
                <wp:wrapNone/>
                <wp:docPr id="1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69" cy="1049182"/>
                        </a:xfrm>
                        <a:prstGeom prst="rect">
                          <a:avLst/>
                        </a:prstGeom>
                        <a:solidFill>
                          <a:schemeClr val="bg1"/>
                        </a:solidFill>
                        <a:ln w="9525">
                          <a:noFill/>
                          <a:miter lim="800000"/>
                          <a:headEnd/>
                          <a:tailEnd/>
                        </a:ln>
                      </wps:spPr>
                      <wps:txbx>
                        <w:txbxContent>
                          <w:p w14:paraId="6B8AAAC4" w14:textId="49A8E55E"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4E1C15D0"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Reviewing the Company’s accounting (financial) statements and supervising their preparation;</w:t>
                            </w:r>
                          </w:p>
                          <w:p w14:paraId="267DB072"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Monitoring the reliability and effectiveness of the internal control system, risk management system, and corporate governance practices;</w:t>
                            </w:r>
                          </w:p>
                          <w:p w14:paraId="3EE6BDC3"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Monitoring the external audit and selection of the auditor;</w:t>
                            </w:r>
                          </w:p>
                          <w:p w14:paraId="350AAC18"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Ensuring the independence and objectivity of the internal audit function;</w:t>
                            </w:r>
                          </w:p>
                          <w:p w14:paraId="6602A6DF" w14:textId="7578EEC8"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Supervising the effectiveness of the system for counteracting dishonest actions by Company employees and third parties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A01C3A" id="_x0000_s1158" type="#_x0000_t202" style="position:absolute;left:0;text-align:left;margin-left:243.95pt;margin-top:143.6pt;width:221.2pt;height:82.6pt;z-index:25188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" fillcolor="white [3212]" stroked="f">
                <v:textbox inset="0,0,0,0">
                  <w:txbxContent>
                    <w:p w14:paraId="6B8AAAC4" w14:textId="49A8E55E"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4E1C15D0"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Reviewing the Company’s accounting (financial) statements and supervising their preparation;</w:t>
                      </w:r>
                    </w:p>
                    <w:p w14:paraId="267DB072"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Monitoring the reliability and effectiveness of the internal control system, risk management system, and corporate governance practices;</w:t>
                      </w:r>
                    </w:p>
                    <w:p w14:paraId="3EE6BDC3"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Monitoring the external audit and selection of the auditor;</w:t>
                      </w:r>
                    </w:p>
                    <w:p w14:paraId="350AAC18"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Ensuring the independence and objectivity of the internal audit function;</w:t>
                      </w:r>
                    </w:p>
                    <w:p w14:paraId="6602A6DF" w14:textId="7578EEC8"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Supervising the effectiveness of the system for counteracting dishonest actions by Company employees and third parties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83008" behindDoc="0" locked="0" layoutInCell="1" allowOverlap="1" wp14:anchorId="765516D9" wp14:editId="3C4E67DF">
                <wp:simplePos x="0" y="0"/>
                <wp:positionH relativeFrom="column">
                  <wp:posOffset>3093720</wp:posOffset>
                </wp:positionH>
                <wp:positionV relativeFrom="paragraph">
                  <wp:posOffset>980543</wp:posOffset>
                </wp:positionV>
                <wp:extent cx="2809269" cy="702978"/>
                <wp:effectExtent l="0" t="0" r="0" b="1905"/>
                <wp:wrapNone/>
                <wp:docPr id="1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69" cy="702978"/>
                        </a:xfrm>
                        <a:prstGeom prst="rect">
                          <a:avLst/>
                        </a:prstGeom>
                        <a:solidFill>
                          <a:schemeClr val="bg1"/>
                        </a:solidFill>
                        <a:ln w="9525">
                          <a:noFill/>
                          <a:miter lim="800000"/>
                          <a:headEnd/>
                          <a:tailEnd/>
                        </a:ln>
                      </wps:spPr>
                      <wps:txbx>
                        <w:txbxContent>
                          <w:p w14:paraId="76D5276F" w14:textId="3D773543"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1387AD7A"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Conducting expert review of investment programs and repair plans for power facilities, analyzing their implementation in terms of ensuring comprehensive reliability;</w:t>
                            </w:r>
                          </w:p>
                          <w:p w14:paraId="551B5940" w14:textId="5716ED39"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Assessing the completeness and sufficiency of measures taken to manage accidents and major process failures, following them up, assessing the performance of the Company’s technical services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5516D9" id="_x0000_s1159" type="#_x0000_t202" style="position:absolute;left:0;text-align:left;margin-left:243.6pt;margin-top:77.2pt;width:221.2pt;height:55.35pt;z-index:2518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" fillcolor="white [3212]" stroked="f">
                <v:textbox inset="0,0,0,0">
                  <w:txbxContent>
                    <w:p w14:paraId="76D5276F" w14:textId="3D773543"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1387AD7A"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Conducting expert review of investment programs and repair plans for power facilities, analyzing their implementation in terms of ensuring comprehensive reliability;</w:t>
                      </w:r>
                    </w:p>
                    <w:p w14:paraId="551B5940" w14:textId="5716ED39"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Assessing the completeness and sufficiency of measures taken to manage accidents and major process failures, following them up, assessing the performance of the Company’s technical services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80960" behindDoc="0" locked="0" layoutInCell="1" allowOverlap="1" wp14:anchorId="01A89F9A" wp14:editId="09317224">
                <wp:simplePos x="0" y="0"/>
                <wp:positionH relativeFrom="column">
                  <wp:posOffset>3098092</wp:posOffset>
                </wp:positionH>
                <wp:positionV relativeFrom="paragraph">
                  <wp:posOffset>118951</wp:posOffset>
                </wp:positionV>
                <wp:extent cx="2809269" cy="702978"/>
                <wp:effectExtent l="0" t="0" r="0" b="1905"/>
                <wp:wrapNone/>
                <wp:docPr id="1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69" cy="702978"/>
                        </a:xfrm>
                        <a:prstGeom prst="rect">
                          <a:avLst/>
                        </a:prstGeom>
                        <a:solidFill>
                          <a:schemeClr val="bg1"/>
                        </a:solidFill>
                        <a:ln w="9525">
                          <a:noFill/>
                          <a:miter lim="800000"/>
                          <a:headEnd/>
                          <a:tailEnd/>
                        </a:ln>
                      </wps:spPr>
                      <wps:txbx>
                        <w:txbxContent>
                          <w:p w14:paraId="0B0C316A" w14:textId="77777777"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6DD0653B"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Providing recommendations to the Board of Directors on determining the Company’s strategic goals and preparing, implementing, and adjusting the business plan, including an investment program;</w:t>
                            </w:r>
                          </w:p>
                          <w:p w14:paraId="6EC88254"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Following up the implementation of the approved business plan and investment program;</w:t>
                            </w:r>
                          </w:p>
                          <w:p w14:paraId="57AADA35" w14:textId="1D3CD5D1"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Evaluating the Company’s performance over the long term</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A89F9A" id="_x0000_s1160" type="#_x0000_t202" style="position:absolute;left:0;text-align:left;margin-left:243.95pt;margin-top:9.35pt;width:221.2pt;height:55.35pt;z-index:25188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" fillcolor="white [3212]" stroked="f">
                <v:textbox inset="0,0,0,0">
                  <w:txbxContent>
                    <w:p w14:paraId="0B0C316A" w14:textId="77777777" w:rsidR="002C3947" w:rsidRPr="0010560E" w:rsidRDefault="002C3947" w:rsidP="0010560E">
                      <w:pPr>
                        <w:jc w:val="both"/>
                        <w:rPr>
                          <w:rFonts w:ascii="Arial" w:hAnsi="Arial" w:cs="Arial"/>
                          <w:color w:val="000000" w:themeColor="text1"/>
                          <w:sz w:val="12"/>
                          <w:szCs w:val="20"/>
                        </w:rPr>
                      </w:pPr>
                      <w:r w:rsidRPr="0010560E">
                        <w:rPr>
                          <w:rFonts w:ascii="Arial" w:hAnsi="Arial" w:cs="Arial"/>
                          <w:color w:val="000000" w:themeColor="text1"/>
                          <w:sz w:val="12"/>
                          <w:szCs w:val="20"/>
                        </w:rPr>
                        <w:t>Principal tasks of the Committee:</w:t>
                      </w:r>
                    </w:p>
                    <w:p w14:paraId="6DD0653B"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Providing recommendations to the Board of Directors on determining the Company’s strategic goals and preparing, implementing, and adjusting the business plan, including an investment program;</w:t>
                      </w:r>
                    </w:p>
                    <w:p w14:paraId="6EC88254" w14:textId="77777777"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Following up the implementation of the approved business plan and investment program;</w:t>
                      </w:r>
                    </w:p>
                    <w:p w14:paraId="57AADA35" w14:textId="1D3CD5D1" w:rsidR="002C3947" w:rsidRPr="0010560E" w:rsidRDefault="002C3947" w:rsidP="0010560E">
                      <w:pPr>
                        <w:pStyle w:val="af3"/>
                        <w:numPr>
                          <w:ilvl w:val="0"/>
                          <w:numId w:val="171"/>
                        </w:numPr>
                        <w:ind w:left="142" w:hanging="142"/>
                        <w:jc w:val="both"/>
                        <w:rPr>
                          <w:rFonts w:ascii="Arial" w:hAnsi="Arial" w:cs="Arial"/>
                          <w:color w:val="000000" w:themeColor="text1"/>
                          <w:sz w:val="12"/>
                          <w:szCs w:val="20"/>
                        </w:rPr>
                      </w:pPr>
                      <w:r w:rsidRPr="0010560E">
                        <w:rPr>
                          <w:rFonts w:ascii="Arial" w:hAnsi="Arial" w:cs="Arial"/>
                          <w:color w:val="000000" w:themeColor="text1"/>
                          <w:sz w:val="12"/>
                          <w:szCs w:val="20"/>
                        </w:rPr>
                        <w:t>Evaluating the Company’s performance over the long term</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78912" behindDoc="0" locked="0" layoutInCell="1" allowOverlap="1" wp14:anchorId="4B6FDD40" wp14:editId="56509C19">
                <wp:simplePos x="0" y="0"/>
                <wp:positionH relativeFrom="column">
                  <wp:posOffset>114399</wp:posOffset>
                </wp:positionH>
                <wp:positionV relativeFrom="paragraph">
                  <wp:posOffset>4040828</wp:posOffset>
                </wp:positionV>
                <wp:extent cx="2632204" cy="710906"/>
                <wp:effectExtent l="0" t="0" r="0" b="0"/>
                <wp:wrapNone/>
                <wp:docPr id="1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204" cy="710906"/>
                        </a:xfrm>
                        <a:prstGeom prst="rect">
                          <a:avLst/>
                        </a:prstGeom>
                        <a:solidFill>
                          <a:srgbClr val="4F81BD"/>
                        </a:solidFill>
                        <a:ln w="9525">
                          <a:noFill/>
                          <a:miter lim="800000"/>
                          <a:headEnd/>
                          <a:tailEnd/>
                        </a:ln>
                      </wps:spPr>
                      <wps:txbx>
                        <w:txbxContent>
                          <w:p w14:paraId="02E93428" w14:textId="5309A372"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Ensuring an open approach and non-discriminatory access to the Company’s grid connection services by consumers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6FDD40" id="_x0000_s1161" type="#_x0000_t202" style="position:absolute;left:0;text-align:left;margin-left:9pt;margin-top:318.2pt;width:207.25pt;height:56pt;z-index:25187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" fillcolor="#4f81bd" stroked="f">
                <v:textbox inset="0,0,0,0">
                  <w:txbxContent>
                    <w:p w14:paraId="02E93428" w14:textId="5309A372"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Ensuring an open approach and non-discriminatory access to the Company’s grid connection services by consumers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76864" behindDoc="0" locked="0" layoutInCell="1" allowOverlap="1" wp14:anchorId="2E24F398" wp14:editId="7E2EBD99">
                <wp:simplePos x="0" y="0"/>
                <wp:positionH relativeFrom="column">
                  <wp:posOffset>326390</wp:posOffset>
                </wp:positionH>
                <wp:positionV relativeFrom="paragraph">
                  <wp:posOffset>3859427</wp:posOffset>
                </wp:positionV>
                <wp:extent cx="2447210" cy="174423"/>
                <wp:effectExtent l="0" t="0" r="0" b="0"/>
                <wp:wrapNone/>
                <wp:docPr id="1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10" cy="174423"/>
                        </a:xfrm>
                        <a:prstGeom prst="rect">
                          <a:avLst/>
                        </a:prstGeom>
                        <a:solidFill>
                          <a:srgbClr val="4F81BD"/>
                        </a:solidFill>
                        <a:ln w="9525">
                          <a:noFill/>
                          <a:miter lim="800000"/>
                          <a:headEnd/>
                          <a:tailEnd/>
                        </a:ln>
                      </wps:spPr>
                      <wps:txbx>
                        <w:txbxContent>
                          <w:p w14:paraId="6D397D6C" w14:textId="69D9FE1A" w:rsidR="002C3947" w:rsidRPr="0010560E" w:rsidRDefault="002C3947" w:rsidP="0010560E">
                            <w:pPr>
                              <w:rPr>
                                <w:rFonts w:asciiTheme="minorHAnsi" w:hAnsiTheme="minorHAnsi" w:cstheme="minorHAnsi"/>
                                <w:b/>
                                <w:bCs/>
                                <w:color w:val="FFFFFF" w:themeColor="background1"/>
                                <w:sz w:val="18"/>
                                <w:szCs w:val="28"/>
                              </w:rPr>
                            </w:pPr>
                            <w:r w:rsidRPr="0010560E">
                              <w:rPr>
                                <w:rFonts w:asciiTheme="minorHAnsi" w:hAnsiTheme="minorHAnsi" w:cstheme="minorHAnsi"/>
                                <w:b/>
                                <w:bCs/>
                                <w:color w:val="FFFFFF" w:themeColor="background1"/>
                                <w:sz w:val="18"/>
                                <w:szCs w:val="28"/>
                              </w:rPr>
                              <w:t>GRID CONNECTION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24F398" id="_x0000_s1162" type="#_x0000_t202" style="position:absolute;left:0;text-align:left;margin-left:25.7pt;margin-top:303.9pt;width:192.7pt;height:13.75pt;z-index:25187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" fillcolor="#4f81bd" stroked="f">
                <v:textbox inset="0,0,0,0">
                  <w:txbxContent>
                    <w:p w14:paraId="6D397D6C" w14:textId="69D9FE1A" w:rsidR="002C3947" w:rsidRPr="0010560E" w:rsidRDefault="002C3947" w:rsidP="0010560E">
                      <w:pPr>
                        <w:rPr>
                          <w:rFonts w:asciiTheme="minorHAnsi" w:hAnsiTheme="minorHAnsi" w:cstheme="minorHAnsi"/>
                          <w:b/>
                          <w:bCs/>
                          <w:color w:val="FFFFFF" w:themeColor="background1"/>
                          <w:sz w:val="18"/>
                          <w:szCs w:val="28"/>
                        </w:rPr>
                      </w:pPr>
                      <w:r w:rsidRPr="0010560E">
                        <w:rPr>
                          <w:rFonts w:asciiTheme="minorHAnsi" w:hAnsiTheme="minorHAnsi" w:cstheme="minorHAnsi"/>
                          <w:b/>
                          <w:bCs/>
                          <w:color w:val="FFFFFF" w:themeColor="background1"/>
                          <w:sz w:val="18"/>
                          <w:szCs w:val="28"/>
                        </w:rPr>
                        <w:t>GRID CONNECTION COMMITTEE</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74816" behindDoc="0" locked="0" layoutInCell="1" allowOverlap="1" wp14:anchorId="4CD7155A" wp14:editId="15EF2ED0">
                <wp:simplePos x="0" y="0"/>
                <wp:positionH relativeFrom="column">
                  <wp:posOffset>117042</wp:posOffset>
                </wp:positionH>
                <wp:positionV relativeFrom="paragraph">
                  <wp:posOffset>3181926</wp:posOffset>
                </wp:positionV>
                <wp:extent cx="2632204" cy="517984"/>
                <wp:effectExtent l="0" t="0" r="0" b="0"/>
                <wp:wrapNone/>
                <wp:docPr id="1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204" cy="517984"/>
                        </a:xfrm>
                        <a:prstGeom prst="rect">
                          <a:avLst/>
                        </a:prstGeom>
                        <a:solidFill>
                          <a:srgbClr val="4F81BD"/>
                        </a:solidFill>
                        <a:ln w="9525">
                          <a:noFill/>
                          <a:miter lim="800000"/>
                          <a:headEnd/>
                          <a:tailEnd/>
                        </a:ln>
                      </wps:spPr>
                      <wps:txbx>
                        <w:txbxContent>
                          <w:p w14:paraId="6F4C9E0A" w14:textId="568AE912"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Providing recommendations on preparing a system for selecting and motivating employees to successfully implement the Company’s strategic plans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CD7155A" id="_x0000_s1163" type="#_x0000_t202" style="position:absolute;left:0;text-align:left;margin-left:9.2pt;margin-top:250.55pt;width:207.25pt;height:40.8pt;z-index:25187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" fillcolor="#4f81bd" stroked="f">
                <v:textbox inset="0,0,0,0">
                  <w:txbxContent>
                    <w:p w14:paraId="6F4C9E0A" w14:textId="568AE912"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Providing recommendations on preparing a system for selecting and motivating employees to successfully implement the Company’s strategic plans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72768" behindDoc="0" locked="0" layoutInCell="1" allowOverlap="1" wp14:anchorId="20C72BB7" wp14:editId="778E6DE9">
                <wp:simplePos x="0" y="0"/>
                <wp:positionH relativeFrom="column">
                  <wp:posOffset>323178</wp:posOffset>
                </wp:positionH>
                <wp:positionV relativeFrom="paragraph">
                  <wp:posOffset>2965219</wp:posOffset>
                </wp:positionV>
                <wp:extent cx="2447210" cy="174423"/>
                <wp:effectExtent l="0" t="0" r="0" b="0"/>
                <wp:wrapNone/>
                <wp:docPr id="1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10" cy="174423"/>
                        </a:xfrm>
                        <a:prstGeom prst="rect">
                          <a:avLst/>
                        </a:prstGeom>
                        <a:solidFill>
                          <a:srgbClr val="4F81BD"/>
                        </a:solidFill>
                        <a:ln w="9525">
                          <a:noFill/>
                          <a:miter lim="800000"/>
                          <a:headEnd/>
                          <a:tailEnd/>
                        </a:ln>
                      </wps:spPr>
                      <wps:txbx>
                        <w:txbxContent>
                          <w:p w14:paraId="51A94021" w14:textId="7AB1E514" w:rsidR="002C3947" w:rsidRPr="0010560E" w:rsidRDefault="002C3947" w:rsidP="0010560E">
                            <w:pPr>
                              <w:rPr>
                                <w:rFonts w:asciiTheme="minorHAnsi" w:hAnsiTheme="minorHAnsi" w:cstheme="minorHAnsi"/>
                                <w:b/>
                                <w:bCs/>
                                <w:color w:val="FFFFFF" w:themeColor="background1"/>
                                <w:sz w:val="18"/>
                                <w:szCs w:val="28"/>
                              </w:rPr>
                            </w:pPr>
                            <w:r w:rsidRPr="0010560E">
                              <w:rPr>
                                <w:rFonts w:asciiTheme="minorHAnsi" w:hAnsiTheme="minorHAnsi" w:cstheme="minorHAnsi"/>
                                <w:b/>
                                <w:bCs/>
                                <w:color w:val="FFFFFF" w:themeColor="background1"/>
                                <w:sz w:val="18"/>
                                <w:szCs w:val="28"/>
                              </w:rPr>
                              <w:t>NOMINATION AND REMUNERATION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C72BB7" id="_x0000_s1164" type="#_x0000_t202" style="position:absolute;left:0;text-align:left;margin-left:25.45pt;margin-top:233.5pt;width:192.7pt;height:13.75pt;z-index:25187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" fillcolor="#4f81bd" stroked="f">
                <v:textbox inset="0,0,0,0">
                  <w:txbxContent>
                    <w:p w14:paraId="51A94021" w14:textId="7AB1E514" w:rsidR="002C3947" w:rsidRPr="0010560E" w:rsidRDefault="002C3947" w:rsidP="0010560E">
                      <w:pPr>
                        <w:rPr>
                          <w:rFonts w:asciiTheme="minorHAnsi" w:hAnsiTheme="minorHAnsi" w:cstheme="minorHAnsi"/>
                          <w:b/>
                          <w:bCs/>
                          <w:color w:val="FFFFFF" w:themeColor="background1"/>
                          <w:sz w:val="18"/>
                          <w:szCs w:val="28"/>
                        </w:rPr>
                      </w:pPr>
                      <w:r w:rsidRPr="0010560E">
                        <w:rPr>
                          <w:rFonts w:asciiTheme="minorHAnsi" w:hAnsiTheme="minorHAnsi" w:cstheme="minorHAnsi"/>
                          <w:b/>
                          <w:bCs/>
                          <w:color w:val="FFFFFF" w:themeColor="background1"/>
                          <w:sz w:val="18"/>
                          <w:szCs w:val="28"/>
                        </w:rPr>
                        <w:t>NOMINATION AND REMUNERATION COMMITTEE</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70720" behindDoc="0" locked="0" layoutInCell="1" allowOverlap="1" wp14:anchorId="6252870D" wp14:editId="2F07EA8A">
                <wp:simplePos x="0" y="0"/>
                <wp:positionH relativeFrom="column">
                  <wp:posOffset>109114</wp:posOffset>
                </wp:positionH>
                <wp:positionV relativeFrom="paragraph">
                  <wp:posOffset>2058747</wp:posOffset>
                </wp:positionV>
                <wp:extent cx="2632204" cy="560268"/>
                <wp:effectExtent l="0" t="0" r="0" b="0"/>
                <wp:wrapNone/>
                <wp:docPr id="1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204" cy="560268"/>
                        </a:xfrm>
                        <a:prstGeom prst="rect">
                          <a:avLst/>
                        </a:prstGeom>
                        <a:solidFill>
                          <a:srgbClr val="4F81BD"/>
                        </a:solidFill>
                        <a:ln w="9525">
                          <a:noFill/>
                          <a:miter lim="800000"/>
                          <a:headEnd/>
                          <a:tailEnd/>
                        </a:ln>
                      </wps:spPr>
                      <wps:txbx>
                        <w:txbxContent>
                          <w:p w14:paraId="3FB4154F" w14:textId="7E5B6789"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Detailed preliminary review of the most important matters and preparing recommendations for the Board of Directors to resolve on matters within the Committee’s competence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52870D" id="_x0000_s1165" type="#_x0000_t202" style="position:absolute;left:0;text-align:left;margin-left:8.6pt;margin-top:162.1pt;width:207.25pt;height:44.1pt;z-index:25187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" fillcolor="#4f81bd" stroked="f">
                <v:textbox inset="0,0,0,0">
                  <w:txbxContent>
                    <w:p w14:paraId="3FB4154F" w14:textId="7E5B6789"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Detailed preliminary review of the most important matters and preparing recommendations for the Board of Directors to resolve on matters within the Committee’s competence</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68672" behindDoc="0" locked="0" layoutInCell="1" allowOverlap="1" wp14:anchorId="71F9BB34" wp14:editId="3AD4501B">
                <wp:simplePos x="0" y="0"/>
                <wp:positionH relativeFrom="column">
                  <wp:posOffset>297283</wp:posOffset>
                </wp:positionH>
                <wp:positionV relativeFrom="paragraph">
                  <wp:posOffset>1873885</wp:posOffset>
                </wp:positionV>
                <wp:extent cx="2399640" cy="174423"/>
                <wp:effectExtent l="0" t="0" r="1270" b="0"/>
                <wp:wrapNone/>
                <wp:docPr id="1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40" cy="174423"/>
                        </a:xfrm>
                        <a:prstGeom prst="rect">
                          <a:avLst/>
                        </a:prstGeom>
                        <a:solidFill>
                          <a:srgbClr val="4F81BD"/>
                        </a:solidFill>
                        <a:ln w="9525">
                          <a:noFill/>
                          <a:miter lim="800000"/>
                          <a:headEnd/>
                          <a:tailEnd/>
                        </a:ln>
                      </wps:spPr>
                      <wps:txbx>
                        <w:txbxContent>
                          <w:p w14:paraId="6DE4B654" w14:textId="01FB2E2D" w:rsidR="002C3947" w:rsidRPr="0010560E" w:rsidRDefault="002C3947" w:rsidP="0010560E">
                            <w:pPr>
                              <w:rPr>
                                <w:rFonts w:asciiTheme="minorHAnsi" w:hAnsiTheme="minorHAnsi" w:cstheme="minorHAnsi"/>
                                <w:b/>
                                <w:bCs/>
                                <w:color w:val="FFFFFF" w:themeColor="background1"/>
                                <w:sz w:val="18"/>
                                <w:szCs w:val="28"/>
                              </w:rPr>
                            </w:pPr>
                            <w:r>
                              <w:rPr>
                                <w:rFonts w:asciiTheme="minorHAnsi" w:hAnsiTheme="minorHAnsi" w:cstheme="minorHAnsi"/>
                                <w:b/>
                                <w:bCs/>
                                <w:color w:val="FFFFFF" w:themeColor="background1"/>
                                <w:sz w:val="18"/>
                                <w:szCs w:val="28"/>
                              </w:rPr>
                              <w:t>AUDIT</w:t>
                            </w:r>
                            <w:r w:rsidRPr="0010560E">
                              <w:rPr>
                                <w:rFonts w:asciiTheme="minorHAnsi" w:hAnsiTheme="minorHAnsi" w:cstheme="minorHAnsi"/>
                                <w:b/>
                                <w:bCs/>
                                <w:color w:val="FFFFFF" w:themeColor="background1"/>
                                <w:sz w:val="18"/>
                                <w:szCs w:val="28"/>
                              </w:rPr>
                              <w:t xml:space="preserve">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F9BB34" id="_x0000_s1166" type="#_x0000_t202" style="position:absolute;left:0;text-align:left;margin-left:23.4pt;margin-top:147.55pt;width:188.95pt;height:13.75pt;z-index:25186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" fillcolor="#4f81bd" stroked="f">
                <v:textbox inset="0,0,0,0">
                  <w:txbxContent>
                    <w:p w14:paraId="6DE4B654" w14:textId="01FB2E2D" w:rsidR="002C3947" w:rsidRPr="0010560E" w:rsidRDefault="002C3947" w:rsidP="0010560E">
                      <w:pPr>
                        <w:rPr>
                          <w:rFonts w:asciiTheme="minorHAnsi" w:hAnsiTheme="minorHAnsi" w:cstheme="minorHAnsi"/>
                          <w:b/>
                          <w:bCs/>
                          <w:color w:val="FFFFFF" w:themeColor="background1"/>
                          <w:sz w:val="18"/>
                          <w:szCs w:val="28"/>
                        </w:rPr>
                      </w:pPr>
                      <w:r>
                        <w:rPr>
                          <w:rFonts w:asciiTheme="minorHAnsi" w:hAnsiTheme="minorHAnsi" w:cstheme="minorHAnsi"/>
                          <w:b/>
                          <w:bCs/>
                          <w:color w:val="FFFFFF" w:themeColor="background1"/>
                          <w:sz w:val="18"/>
                          <w:szCs w:val="28"/>
                        </w:rPr>
                        <w:t>AUDIT</w:t>
                      </w:r>
                      <w:r w:rsidRPr="0010560E">
                        <w:rPr>
                          <w:rFonts w:asciiTheme="minorHAnsi" w:hAnsiTheme="minorHAnsi" w:cstheme="minorHAnsi"/>
                          <w:b/>
                          <w:bCs/>
                          <w:color w:val="FFFFFF" w:themeColor="background1"/>
                          <w:sz w:val="18"/>
                          <w:szCs w:val="28"/>
                        </w:rPr>
                        <w:t xml:space="preserve"> COMMITTEE</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66624" behindDoc="0" locked="0" layoutInCell="1" allowOverlap="1" wp14:anchorId="1065D51B" wp14:editId="175FE322">
                <wp:simplePos x="0" y="0"/>
                <wp:positionH relativeFrom="column">
                  <wp:posOffset>111756</wp:posOffset>
                </wp:positionH>
                <wp:positionV relativeFrom="paragraph">
                  <wp:posOffset>1244774</wp:posOffset>
                </wp:positionV>
                <wp:extent cx="2632204" cy="295990"/>
                <wp:effectExtent l="0" t="0" r="0" b="8890"/>
                <wp:wrapNone/>
                <wp:docPr id="1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204" cy="295990"/>
                        </a:xfrm>
                        <a:prstGeom prst="rect">
                          <a:avLst/>
                        </a:prstGeom>
                        <a:solidFill>
                          <a:srgbClr val="4F81BD"/>
                        </a:solidFill>
                        <a:ln w="9525">
                          <a:noFill/>
                          <a:miter lim="800000"/>
                          <a:headEnd/>
                          <a:tailEnd/>
                        </a:ln>
                      </wps:spPr>
                      <wps:txbx>
                        <w:txbxContent>
                          <w:p w14:paraId="701CA17A" w14:textId="70C81EC2"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Ensuring comprehensive reliability of grid equipment and facilities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65D51B" id="_x0000_s1167" type="#_x0000_t202" style="position:absolute;left:0;text-align:left;margin-left:8.8pt;margin-top:98pt;width:207.25pt;height:23.3pt;z-index:25186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" fillcolor="#4f81bd" stroked="f">
                <v:textbox inset="0,0,0,0">
                  <w:txbxContent>
                    <w:p w14:paraId="701CA17A" w14:textId="70C81EC2"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Ensuring comprehensive reliability of grid equipment and facilities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64576" behindDoc="0" locked="0" layoutInCell="1" allowOverlap="1" wp14:anchorId="2D53763D" wp14:editId="2CE64C30">
                <wp:simplePos x="0" y="0"/>
                <wp:positionH relativeFrom="column">
                  <wp:posOffset>302895</wp:posOffset>
                </wp:positionH>
                <wp:positionV relativeFrom="paragraph">
                  <wp:posOffset>1080032</wp:posOffset>
                </wp:positionV>
                <wp:extent cx="2399640" cy="174423"/>
                <wp:effectExtent l="0" t="0" r="1270" b="0"/>
                <wp:wrapNone/>
                <wp:docPr id="1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40" cy="174423"/>
                        </a:xfrm>
                        <a:prstGeom prst="rect">
                          <a:avLst/>
                        </a:prstGeom>
                        <a:solidFill>
                          <a:srgbClr val="4F81BD"/>
                        </a:solidFill>
                        <a:ln w="9525">
                          <a:noFill/>
                          <a:miter lim="800000"/>
                          <a:headEnd/>
                          <a:tailEnd/>
                        </a:ln>
                      </wps:spPr>
                      <wps:txbx>
                        <w:txbxContent>
                          <w:p w14:paraId="1981B413" w14:textId="7F197840" w:rsidR="002C3947" w:rsidRPr="0010560E" w:rsidRDefault="002C3947" w:rsidP="0010560E">
                            <w:pPr>
                              <w:rPr>
                                <w:rFonts w:asciiTheme="minorHAnsi" w:hAnsiTheme="minorHAnsi" w:cstheme="minorHAnsi"/>
                                <w:b/>
                                <w:bCs/>
                                <w:color w:val="FFFFFF" w:themeColor="background1"/>
                                <w:sz w:val="18"/>
                                <w:szCs w:val="28"/>
                              </w:rPr>
                            </w:pPr>
                            <w:r w:rsidRPr="0010560E">
                              <w:rPr>
                                <w:rFonts w:asciiTheme="minorHAnsi" w:hAnsiTheme="minorHAnsi" w:cstheme="minorHAnsi"/>
                                <w:b/>
                                <w:bCs/>
                                <w:color w:val="FFFFFF" w:themeColor="background1"/>
                                <w:sz w:val="18"/>
                                <w:szCs w:val="28"/>
                              </w:rPr>
                              <w:t>RELIABILITY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D53763D" id="_x0000_s1168" type="#_x0000_t202" style="position:absolute;left:0;text-align:left;margin-left:23.85pt;margin-top:85.05pt;width:188.95pt;height:13.75pt;z-index:25186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" fillcolor="#4f81bd" stroked="f">
                <v:textbox inset="0,0,0,0">
                  <w:txbxContent>
                    <w:p w14:paraId="1981B413" w14:textId="7F197840" w:rsidR="002C3947" w:rsidRPr="0010560E" w:rsidRDefault="002C3947" w:rsidP="0010560E">
                      <w:pPr>
                        <w:rPr>
                          <w:rFonts w:asciiTheme="minorHAnsi" w:hAnsiTheme="minorHAnsi" w:cstheme="minorHAnsi"/>
                          <w:b/>
                          <w:bCs/>
                          <w:color w:val="FFFFFF" w:themeColor="background1"/>
                          <w:sz w:val="18"/>
                          <w:szCs w:val="28"/>
                        </w:rPr>
                      </w:pPr>
                      <w:r w:rsidRPr="0010560E">
                        <w:rPr>
                          <w:rFonts w:asciiTheme="minorHAnsi" w:hAnsiTheme="minorHAnsi" w:cstheme="minorHAnsi"/>
                          <w:b/>
                          <w:bCs/>
                          <w:color w:val="FFFFFF" w:themeColor="background1"/>
                          <w:sz w:val="18"/>
                          <w:szCs w:val="28"/>
                        </w:rPr>
                        <w:t>RELIABILITY COMMITTEE</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62528" behindDoc="0" locked="0" layoutInCell="1" allowOverlap="1" wp14:anchorId="649076D7" wp14:editId="4CDAD5D4">
                <wp:simplePos x="0" y="0"/>
                <wp:positionH relativeFrom="column">
                  <wp:posOffset>114399</wp:posOffset>
                </wp:positionH>
                <wp:positionV relativeFrom="paragraph">
                  <wp:posOffset>293373</wp:posOffset>
                </wp:positionV>
                <wp:extent cx="2632204" cy="510055"/>
                <wp:effectExtent l="0" t="0" r="0" b="4445"/>
                <wp:wrapNone/>
                <wp:docPr id="1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204" cy="510055"/>
                        </a:xfrm>
                        <a:prstGeom prst="rect">
                          <a:avLst/>
                        </a:prstGeom>
                        <a:solidFill>
                          <a:srgbClr val="4F81BD"/>
                        </a:solidFill>
                        <a:ln w="9525">
                          <a:noFill/>
                          <a:miter lim="800000"/>
                          <a:headEnd/>
                          <a:tailEnd/>
                        </a:ln>
                      </wps:spPr>
                      <wps:txbx>
                        <w:txbxContent>
                          <w:p w14:paraId="3A23400A" w14:textId="3B913C0C"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Determining the strategic goals, evaluating long-term performance, and updating the current development strategy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9076D7" id="_x0000_s1169" type="#_x0000_t202" style="position:absolute;left:0;text-align:left;margin-left:9pt;margin-top:23.1pt;width:207.25pt;height:40.15pt;z-index:2518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" fillcolor="#4f81bd" stroked="f">
                <v:textbox inset="0,0,0,0">
                  <w:txbxContent>
                    <w:p w14:paraId="3A23400A" w14:textId="3B913C0C" w:rsidR="002C3947" w:rsidRPr="0010560E" w:rsidRDefault="002C3947" w:rsidP="0010560E">
                      <w:pPr>
                        <w:jc w:val="both"/>
                        <w:rPr>
                          <w:rFonts w:asciiTheme="minorHAnsi" w:hAnsiTheme="minorHAnsi" w:cstheme="minorHAnsi"/>
                          <w:i/>
                          <w:iCs/>
                          <w:color w:val="FFFFFF" w:themeColor="background1"/>
                          <w:sz w:val="18"/>
                          <w:szCs w:val="28"/>
                        </w:rPr>
                      </w:pPr>
                      <w:r w:rsidRPr="0010560E">
                        <w:rPr>
                          <w:rFonts w:asciiTheme="minorHAnsi" w:hAnsiTheme="minorHAnsi" w:cstheme="minorHAnsi"/>
                          <w:i/>
                          <w:iCs/>
                          <w:color w:val="FFFFFF" w:themeColor="background1"/>
                          <w:sz w:val="18"/>
                          <w:szCs w:val="28"/>
                        </w:rPr>
                        <w:t>Determining the strategic goals, evaluating long-term performance, and updating the current development strategy</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60480" behindDoc="0" locked="0" layoutInCell="1" allowOverlap="1" wp14:anchorId="44B8043F" wp14:editId="6089954C">
                <wp:simplePos x="0" y="0"/>
                <wp:positionH relativeFrom="column">
                  <wp:posOffset>323178</wp:posOffset>
                </wp:positionH>
                <wp:positionV relativeFrom="paragraph">
                  <wp:posOffset>113665</wp:posOffset>
                </wp:positionV>
                <wp:extent cx="2399640" cy="174423"/>
                <wp:effectExtent l="0" t="0" r="1270" b="0"/>
                <wp:wrapNone/>
                <wp:docPr id="1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640" cy="174423"/>
                        </a:xfrm>
                        <a:prstGeom prst="rect">
                          <a:avLst/>
                        </a:prstGeom>
                        <a:solidFill>
                          <a:srgbClr val="4F81BD"/>
                        </a:solidFill>
                        <a:ln w="9525">
                          <a:noFill/>
                          <a:miter lim="800000"/>
                          <a:headEnd/>
                          <a:tailEnd/>
                        </a:ln>
                      </wps:spPr>
                      <wps:txbx>
                        <w:txbxContent>
                          <w:p w14:paraId="69BDAB9F" w14:textId="256CB85B" w:rsidR="002C3947" w:rsidRPr="0010560E" w:rsidRDefault="002C3947">
                            <w:pPr>
                              <w:rPr>
                                <w:rFonts w:asciiTheme="minorHAnsi" w:hAnsiTheme="minorHAnsi" w:cstheme="minorHAnsi"/>
                                <w:b/>
                                <w:bCs/>
                                <w:color w:val="FFFFFF" w:themeColor="background1"/>
                                <w:sz w:val="18"/>
                                <w:szCs w:val="28"/>
                              </w:rPr>
                            </w:pPr>
                            <w:r w:rsidRPr="0010560E">
                              <w:rPr>
                                <w:rFonts w:asciiTheme="minorHAnsi" w:hAnsiTheme="minorHAnsi" w:cstheme="minorHAnsi"/>
                                <w:b/>
                                <w:bCs/>
                                <w:color w:val="FFFFFF" w:themeColor="background1"/>
                                <w:sz w:val="18"/>
                                <w:szCs w:val="28"/>
                              </w:rPr>
                              <w:t>STRATEGY AND DEVELOPMENT COMMITTEE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B8043F" id="_x0000_s1170" type="#_x0000_t202" style="position:absolute;left:0;text-align:left;margin-left:25.45pt;margin-top:8.95pt;width:188.95pt;height:13.75pt;z-index:25186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" fillcolor="#4f81bd" stroked="f">
                <v:textbox inset="0,0,0,0">
                  <w:txbxContent>
                    <w:p w14:paraId="69BDAB9F" w14:textId="256CB85B" w:rsidR="002C3947" w:rsidRPr="0010560E" w:rsidRDefault="002C3947">
                      <w:pPr>
                        <w:rPr>
                          <w:rFonts w:asciiTheme="minorHAnsi" w:hAnsiTheme="minorHAnsi" w:cstheme="minorHAnsi"/>
                          <w:b/>
                          <w:bCs/>
                          <w:color w:val="FFFFFF" w:themeColor="background1"/>
                          <w:sz w:val="18"/>
                          <w:szCs w:val="28"/>
                        </w:rPr>
                      </w:pPr>
                      <w:r w:rsidRPr="0010560E">
                        <w:rPr>
                          <w:rFonts w:asciiTheme="minorHAnsi" w:hAnsiTheme="minorHAnsi" w:cstheme="minorHAnsi"/>
                          <w:b/>
                          <w:bCs/>
                          <w:color w:val="FFFFFF" w:themeColor="background1"/>
                          <w:sz w:val="18"/>
                          <w:szCs w:val="28"/>
                        </w:rPr>
                        <w:t>STRATEGY AND DEVELOPMENT COMMITTEE</w:t>
                      </w:r>
                    </w:p>
                  </w:txbxContent>
                </v:textbox>
              </v:shape>
            </w:pict>
          </mc:Fallback>
        </mc:AlternateContent>
      </w:r>
      <w:r w:rsidR="00997D07" w:rsidRPr="00BD295E">
        <w:rPr>
          <w:rFonts w:ascii="Arial" w:hAnsi="Arial" w:cs="Arial"/>
          <w:sz w:val="18"/>
          <w:szCs w:val="18"/>
          <w:lang w:val="en-US" w:eastAsia="en-US"/>
        </w:rPr>
        <w:drawing>
          <wp:inline distT="0" distB="0" distL="0" distR="0" wp14:anchorId="472F5295" wp14:editId="3BBC05E2">
            <wp:extent cx="5943600" cy="4796155"/>
            <wp:effectExtent l="0" t="0" r="0" b="0"/>
            <wp:docPr id="73"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4796155"/>
                    </a:xfrm>
                    <a:prstGeom prst="rect">
                      <a:avLst/>
                    </a:prstGeom>
                    <a:noFill/>
                    <a:ln>
                      <a:noFill/>
                    </a:ln>
                  </pic:spPr>
                </pic:pic>
              </a:graphicData>
            </a:graphic>
          </wp:inline>
        </w:drawing>
      </w:r>
      <w:bookmarkEnd w:id="404"/>
    </w:p>
    <w:p w14:paraId="79A6173A" w14:textId="77777777" w:rsidR="00F3260C" w:rsidRPr="00BD295E" w:rsidRDefault="00F3260C" w:rsidP="00F3260C">
      <w:pPr>
        <w:jc w:val="both"/>
        <w:rPr>
          <w:rFonts w:ascii="Arial" w:hAnsi="Arial" w:cs="Arial"/>
          <w:sz w:val="18"/>
          <w:szCs w:val="18"/>
          <w:lang w:val="en-US"/>
        </w:rPr>
      </w:pPr>
    </w:p>
    <w:p w14:paraId="73D617F5"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Report of the Strategy and Development Committee:</w:t>
      </w:r>
    </w:p>
    <w:p w14:paraId="77621700" w14:textId="77777777" w:rsidR="00F3260C" w:rsidRPr="00BD295E" w:rsidRDefault="00F3260C" w:rsidP="00F3260C">
      <w:pPr>
        <w:rPr>
          <w:rFonts w:ascii="Arial" w:hAnsi="Arial" w:cs="Arial"/>
          <w:b/>
          <w:sz w:val="18"/>
          <w:szCs w:val="18"/>
          <w:lang w:val="en-US"/>
        </w:rPr>
      </w:pPr>
    </w:p>
    <w:p w14:paraId="091944BA"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The Strategy and Development Committee of the Board of Directors has a primary role in determining the Company’s strategic goals, evaluating the Company’s long-term performance, and making recommendations to the Board of Directors on adjustments to the Company’s existing development strategy.</w:t>
      </w:r>
    </w:p>
    <w:p w14:paraId="296E5270"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The Committee operates in line with the Regulations for the Strategy and Development Committee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restated), approved by the Resolution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10, 2018 (Minutes No. 9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12, 2018).</w:t>
      </w:r>
    </w:p>
    <w:p w14:paraId="085D5561"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Principal tasks of the Committee: </w:t>
      </w:r>
    </w:p>
    <w:p w14:paraId="7FA110AC"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 Providing recommendations to the Board of Directors on determining the Company’s strategic goals; </w:t>
      </w:r>
    </w:p>
    <w:p w14:paraId="61099DA7"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 Preparing, implementing, and updating the business plan, including the Company’s investment program, as well as following up the implementation of the approved business plan and investment program of the Company; </w:t>
      </w:r>
    </w:p>
    <w:p w14:paraId="48F20395"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Evaluating the Company’s performance over the long term;</w:t>
      </w:r>
    </w:p>
    <w:p w14:paraId="078044E6" w14:textId="77777777" w:rsidR="00F3260C" w:rsidRPr="00BD295E" w:rsidRDefault="008A5057" w:rsidP="00695DA9">
      <w:pPr>
        <w:tabs>
          <w:tab w:val="left" w:pos="1560"/>
        </w:tabs>
        <w:jc w:val="both"/>
        <w:rPr>
          <w:rFonts w:ascii="Arial" w:hAnsi="Arial" w:cs="Arial"/>
          <w:sz w:val="18"/>
          <w:szCs w:val="18"/>
          <w:lang w:val="en-US"/>
        </w:rPr>
      </w:pPr>
      <w:r w:rsidRPr="00BD295E">
        <w:rPr>
          <w:rFonts w:ascii="Arial" w:hAnsi="Arial" w:cs="Arial"/>
          <w:sz w:val="18"/>
          <w:szCs w:val="18"/>
          <w:lang w:val="en-US"/>
        </w:rPr>
        <w:t>- Evaluating the progress in digitization of the Company’s electric grids.</w:t>
      </w:r>
    </w:p>
    <w:p w14:paraId="5EDFCFE5" w14:textId="77777777" w:rsidR="00F3260C" w:rsidRPr="00BD295E" w:rsidRDefault="00F3260C" w:rsidP="00695DA9">
      <w:pPr>
        <w:jc w:val="both"/>
        <w:rPr>
          <w:rFonts w:ascii="Arial" w:hAnsi="Arial" w:cs="Arial"/>
          <w:sz w:val="18"/>
          <w:szCs w:val="18"/>
          <w:lang w:val="en-US"/>
        </w:rPr>
      </w:pPr>
    </w:p>
    <w:p w14:paraId="4B3761B4" w14:textId="43A28DA1" w:rsidR="00F3260C" w:rsidRPr="00BD295E" w:rsidRDefault="008A5057" w:rsidP="00695DA9">
      <w:pPr>
        <w:jc w:val="both"/>
        <w:rPr>
          <w:rFonts w:ascii="Arial" w:hAnsi="Arial" w:cs="Arial"/>
          <w:b/>
          <w:sz w:val="18"/>
          <w:szCs w:val="18"/>
          <w:lang w:val="en-US"/>
        </w:rPr>
      </w:pPr>
      <w:r w:rsidRPr="00BD295E">
        <w:rPr>
          <w:rFonts w:ascii="Arial" w:hAnsi="Arial" w:cs="Arial"/>
          <w:b/>
          <w:sz w:val="18"/>
          <w:szCs w:val="18"/>
          <w:lang w:val="en-US"/>
        </w:rPr>
        <w:t xml:space="preserve">The current membership of the Strategy and Development Committee of the Company’s Board of Directors was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6, 2018 (Minutes No. 5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9, 2018</w:t>
      </w:r>
      <w:r w:rsidR="002C3947" w:rsidRPr="00BD295E">
        <w:rPr>
          <w:rFonts w:ascii="Arial" w:hAnsi="Arial" w:cs="Arial"/>
          <w:b/>
          <w:sz w:val="18"/>
          <w:szCs w:val="18"/>
          <w:lang w:val="en-US"/>
        </w:rPr>
        <w:t>)*:</w:t>
      </w:r>
    </w:p>
    <w:p w14:paraId="26AC043E" w14:textId="77777777" w:rsidR="00F3260C" w:rsidRPr="00BD295E" w:rsidRDefault="00F3260C" w:rsidP="00F3260C">
      <w:pPr>
        <w:ind w:firstLine="567"/>
        <w:jc w:val="both"/>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103"/>
        <w:gridCol w:w="5736"/>
      </w:tblGrid>
      <w:tr w:rsidR="008A5057" w:rsidRPr="00BD295E" w14:paraId="75AEB0D3" w14:textId="77777777" w:rsidTr="00E3510B">
        <w:tc>
          <w:tcPr>
            <w:tcW w:w="436" w:type="dxa"/>
            <w:shd w:val="clear" w:color="auto" w:fill="auto"/>
          </w:tcPr>
          <w:p w14:paraId="302B8DCD"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24" w:type="dxa"/>
            <w:shd w:val="clear" w:color="auto" w:fill="auto"/>
          </w:tcPr>
          <w:p w14:paraId="11EBABB2"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84" w:type="dxa"/>
            <w:shd w:val="clear" w:color="auto" w:fill="auto"/>
          </w:tcPr>
          <w:p w14:paraId="19268450"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457F7572" w14:textId="77777777" w:rsidTr="00E3510B">
        <w:tc>
          <w:tcPr>
            <w:tcW w:w="9344" w:type="dxa"/>
            <w:gridSpan w:val="3"/>
            <w:shd w:val="clear" w:color="auto" w:fill="auto"/>
          </w:tcPr>
          <w:p w14:paraId="49C27E98"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69D001CA" w14:textId="77777777" w:rsidTr="00E3510B">
        <w:tc>
          <w:tcPr>
            <w:tcW w:w="436" w:type="dxa"/>
            <w:shd w:val="clear" w:color="auto" w:fill="auto"/>
          </w:tcPr>
          <w:p w14:paraId="45C9634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24" w:type="dxa"/>
            <w:shd w:val="clear" w:color="auto" w:fill="auto"/>
          </w:tcPr>
          <w:p w14:paraId="59F2F5A8" w14:textId="77777777" w:rsidR="00F3260C" w:rsidRPr="00BD295E" w:rsidRDefault="008A5057" w:rsidP="00E3510B">
            <w:pPr>
              <w:tabs>
                <w:tab w:val="left" w:pos="851"/>
              </w:tabs>
              <w:ind w:firstLine="14"/>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Yevgeny Olkhovich</w:t>
            </w:r>
          </w:p>
        </w:tc>
        <w:tc>
          <w:tcPr>
            <w:tcW w:w="5784" w:type="dxa"/>
            <w:shd w:val="clear" w:color="auto" w:fill="auto"/>
            <w:vAlign w:val="center"/>
          </w:tcPr>
          <w:p w14:paraId="58C71DD3"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CEO for Strategic Development at </w:t>
            </w:r>
            <w:r w:rsidR="00BF106F" w:rsidRPr="00BD295E">
              <w:rPr>
                <w:rFonts w:ascii="Arial" w:hAnsi="Arial" w:cs="Arial"/>
                <w:snapToGrid w:val="0"/>
                <w:sz w:val="18"/>
                <w:szCs w:val="18"/>
                <w:lang w:val="en-US"/>
              </w:rPr>
              <w:t>PJSC “Rosseti”</w:t>
            </w:r>
            <w:r w:rsidRPr="00BD295E">
              <w:rPr>
                <w:rFonts w:ascii="Arial" w:hAnsi="Arial" w:cs="Arial"/>
                <w:snapToGrid w:val="0"/>
                <w:sz w:val="18"/>
                <w:szCs w:val="18"/>
                <w:lang w:val="en-US"/>
              </w:rPr>
              <w:t>;</w:t>
            </w:r>
          </w:p>
        </w:tc>
      </w:tr>
      <w:tr w:rsidR="008A5057" w:rsidRPr="00BD295E" w14:paraId="475B665E" w14:textId="77777777" w:rsidTr="00E3510B">
        <w:tc>
          <w:tcPr>
            <w:tcW w:w="9344" w:type="dxa"/>
            <w:gridSpan w:val="3"/>
            <w:shd w:val="clear" w:color="auto" w:fill="auto"/>
          </w:tcPr>
          <w:p w14:paraId="6BE18FED"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206EDE60" w14:textId="77777777" w:rsidTr="00E3510B">
        <w:tc>
          <w:tcPr>
            <w:tcW w:w="436" w:type="dxa"/>
            <w:shd w:val="clear" w:color="auto" w:fill="auto"/>
          </w:tcPr>
          <w:p w14:paraId="1872F3F3"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24" w:type="dxa"/>
            <w:shd w:val="clear" w:color="auto" w:fill="auto"/>
          </w:tcPr>
          <w:p w14:paraId="0D0575EA"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Berik Bekneyev</w:t>
            </w:r>
          </w:p>
        </w:tc>
        <w:tc>
          <w:tcPr>
            <w:tcW w:w="5784" w:type="dxa"/>
            <w:shd w:val="clear" w:color="auto" w:fill="auto"/>
          </w:tcPr>
          <w:p w14:paraId="2589542C" w14:textId="248E8F71"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Chief Expert of the </w:t>
            </w:r>
            <w:r w:rsidR="00BF7D8E" w:rsidRPr="00BD295E">
              <w:rPr>
                <w:rFonts w:ascii="Arial" w:hAnsi="Arial" w:cs="Arial"/>
                <w:snapToGrid w:val="0"/>
                <w:sz w:val="18"/>
                <w:szCs w:val="18"/>
                <w:lang w:val="en-US"/>
              </w:rPr>
              <w:t>Consolidated</w:t>
            </w:r>
            <w:r w:rsidRPr="00BD295E">
              <w:rPr>
                <w:rFonts w:ascii="Arial" w:hAnsi="Arial" w:cs="Arial"/>
                <w:snapToGrid w:val="0"/>
                <w:sz w:val="18"/>
                <w:szCs w:val="18"/>
                <w:lang w:val="en-US"/>
              </w:rPr>
              <w:t xml:space="preserve"> Planning and Reporting Division of the Investment Department at </w:t>
            </w:r>
            <w:r w:rsidR="00BF106F" w:rsidRPr="00BD295E">
              <w:rPr>
                <w:rFonts w:ascii="Arial" w:hAnsi="Arial" w:cs="Arial"/>
                <w:snapToGrid w:val="0"/>
                <w:sz w:val="18"/>
                <w:szCs w:val="18"/>
                <w:lang w:val="en-US"/>
              </w:rPr>
              <w:t>PJSC “Rosseti”</w:t>
            </w:r>
          </w:p>
        </w:tc>
      </w:tr>
      <w:tr w:rsidR="008A5057" w:rsidRPr="00BD295E" w14:paraId="110B928B" w14:textId="77777777" w:rsidTr="00E3510B">
        <w:tc>
          <w:tcPr>
            <w:tcW w:w="436" w:type="dxa"/>
            <w:shd w:val="clear" w:color="auto" w:fill="auto"/>
          </w:tcPr>
          <w:p w14:paraId="5855B9CD"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24" w:type="dxa"/>
            <w:shd w:val="clear" w:color="auto" w:fill="auto"/>
          </w:tcPr>
          <w:p w14:paraId="6BC5DEC3" w14:textId="77777777" w:rsidR="00F3260C" w:rsidRPr="00BD295E" w:rsidRDefault="008A5057" w:rsidP="00E3510B">
            <w:pPr>
              <w:tabs>
                <w:tab w:val="left" w:pos="851"/>
              </w:tabs>
              <w:ind w:firstLine="14"/>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Denis Guryanov</w:t>
            </w:r>
          </w:p>
        </w:tc>
        <w:tc>
          <w:tcPr>
            <w:tcW w:w="5784" w:type="dxa"/>
            <w:shd w:val="clear" w:color="auto" w:fill="auto"/>
            <w:vAlign w:val="center"/>
          </w:tcPr>
          <w:p w14:paraId="20FFD142"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Director of the Corporate Governance and Shareholder and Investor Relations Department at </w:t>
            </w:r>
            <w:r w:rsidR="00BF106F" w:rsidRPr="00BD295E">
              <w:rPr>
                <w:rFonts w:ascii="Arial" w:hAnsi="Arial" w:cs="Arial"/>
                <w:snapToGrid w:val="0"/>
                <w:sz w:val="18"/>
                <w:szCs w:val="18"/>
                <w:lang w:val="en-US"/>
              </w:rPr>
              <w:t>PJSC “Rosseti”</w:t>
            </w:r>
          </w:p>
        </w:tc>
      </w:tr>
      <w:tr w:rsidR="008A5057" w:rsidRPr="00BD295E" w14:paraId="33A446C6" w14:textId="77777777" w:rsidTr="00E3510B">
        <w:tc>
          <w:tcPr>
            <w:tcW w:w="436" w:type="dxa"/>
            <w:shd w:val="clear" w:color="auto" w:fill="auto"/>
          </w:tcPr>
          <w:p w14:paraId="04018F81"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24" w:type="dxa"/>
            <w:shd w:val="clear" w:color="auto" w:fill="auto"/>
          </w:tcPr>
          <w:p w14:paraId="4AEAF365" w14:textId="77777777" w:rsidR="00F3260C" w:rsidRPr="00BD295E" w:rsidRDefault="008A5057" w:rsidP="00E3510B">
            <w:pPr>
              <w:tabs>
                <w:tab w:val="left" w:pos="851"/>
              </w:tabs>
              <w:ind w:firstLine="14"/>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Yuri Zafesov</w:t>
            </w:r>
          </w:p>
        </w:tc>
        <w:tc>
          <w:tcPr>
            <w:tcW w:w="5784" w:type="dxa"/>
            <w:shd w:val="clear" w:color="auto" w:fill="auto"/>
            <w:vAlign w:val="center"/>
          </w:tcPr>
          <w:p w14:paraId="328857FD"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Director of the Procurement Department at </w:t>
            </w:r>
            <w:r w:rsidR="00BF106F" w:rsidRPr="00BD295E">
              <w:rPr>
                <w:rFonts w:ascii="Arial" w:hAnsi="Arial" w:cs="Arial"/>
                <w:snapToGrid w:val="0"/>
                <w:sz w:val="18"/>
                <w:szCs w:val="18"/>
                <w:lang w:val="en-US"/>
              </w:rPr>
              <w:t>PJSC “Rosseti”</w:t>
            </w:r>
          </w:p>
        </w:tc>
      </w:tr>
      <w:tr w:rsidR="008A5057" w:rsidRPr="00BD295E" w14:paraId="5A97B35E" w14:textId="77777777" w:rsidTr="00E3510B">
        <w:tc>
          <w:tcPr>
            <w:tcW w:w="436" w:type="dxa"/>
            <w:shd w:val="clear" w:color="auto" w:fill="auto"/>
          </w:tcPr>
          <w:p w14:paraId="403BE6C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24" w:type="dxa"/>
            <w:shd w:val="clear" w:color="auto" w:fill="auto"/>
          </w:tcPr>
          <w:p w14:paraId="5512549C"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Marina Lavrova</w:t>
            </w:r>
          </w:p>
        </w:tc>
        <w:tc>
          <w:tcPr>
            <w:tcW w:w="5784" w:type="dxa"/>
            <w:shd w:val="clear" w:color="auto" w:fill="auto"/>
          </w:tcPr>
          <w:p w14:paraId="3B44D477"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w:t>
            </w:r>
            <w:r w:rsidR="00A07300" w:rsidRPr="00BD295E">
              <w:rPr>
                <w:rFonts w:ascii="Arial" w:hAnsi="Arial" w:cs="Arial"/>
                <w:snapToGrid w:val="0"/>
                <w:sz w:val="18"/>
                <w:szCs w:val="18"/>
                <w:lang w:val="en-US"/>
              </w:rPr>
              <w:t>Subsidiaries and Affiliates</w:t>
            </w:r>
            <w:r w:rsidRPr="00BD295E">
              <w:rPr>
                <w:rFonts w:ascii="Arial" w:hAnsi="Arial" w:cs="Arial"/>
                <w:snapToGrid w:val="0"/>
                <w:sz w:val="18"/>
                <w:szCs w:val="18"/>
                <w:lang w:val="en-US"/>
              </w:rPr>
              <w:t xml:space="preserve"> Economics Division of the Economic Planning and Budgeting Department at </w:t>
            </w:r>
            <w:r w:rsidR="00BF106F" w:rsidRPr="00BD295E">
              <w:rPr>
                <w:rFonts w:ascii="Arial" w:hAnsi="Arial" w:cs="Arial"/>
                <w:snapToGrid w:val="0"/>
                <w:sz w:val="18"/>
                <w:szCs w:val="18"/>
                <w:lang w:val="en-US"/>
              </w:rPr>
              <w:t>PJSC “Rosseti”</w:t>
            </w:r>
          </w:p>
        </w:tc>
      </w:tr>
      <w:tr w:rsidR="008A5057" w:rsidRPr="00BD295E" w14:paraId="0D23004C" w14:textId="77777777" w:rsidTr="00E3510B">
        <w:tc>
          <w:tcPr>
            <w:tcW w:w="436" w:type="dxa"/>
            <w:shd w:val="clear" w:color="auto" w:fill="auto"/>
          </w:tcPr>
          <w:p w14:paraId="08C90AB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3124" w:type="dxa"/>
            <w:shd w:val="clear" w:color="auto" w:fill="auto"/>
            <w:vAlign w:val="center"/>
          </w:tcPr>
          <w:p w14:paraId="23AC1792" w14:textId="77777777" w:rsidR="00F3260C" w:rsidRPr="00BD295E" w:rsidRDefault="008A5057" w:rsidP="00E3510B">
            <w:pPr>
              <w:tabs>
                <w:tab w:val="left" w:pos="851"/>
              </w:tabs>
              <w:ind w:firstLine="14"/>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Svetlana Melnikova </w:t>
            </w:r>
          </w:p>
          <w:p w14:paraId="1C110BC4" w14:textId="77777777" w:rsidR="00F3260C" w:rsidRPr="00BD295E" w:rsidRDefault="00F3260C" w:rsidP="00E3510B">
            <w:pPr>
              <w:tabs>
                <w:tab w:val="left" w:pos="851"/>
              </w:tabs>
              <w:ind w:firstLine="14"/>
              <w:contextualSpacing/>
              <w:jc w:val="both"/>
              <w:rPr>
                <w:rFonts w:ascii="Arial" w:eastAsia="Calibri" w:hAnsi="Arial" w:cs="Arial"/>
                <w:bCs/>
                <w:snapToGrid w:val="0"/>
                <w:sz w:val="18"/>
                <w:szCs w:val="18"/>
                <w:lang w:val="en-US"/>
              </w:rPr>
            </w:pPr>
          </w:p>
        </w:tc>
        <w:tc>
          <w:tcPr>
            <w:tcW w:w="5784" w:type="dxa"/>
            <w:shd w:val="clear" w:color="auto" w:fill="auto"/>
            <w:vAlign w:val="center"/>
          </w:tcPr>
          <w:p w14:paraId="54FD1BDE" w14:textId="77777777" w:rsidR="00F3260C" w:rsidRPr="00BD295E" w:rsidRDefault="008A5057" w:rsidP="00E3510B">
            <w:pPr>
              <w:tabs>
                <w:tab w:val="left" w:pos="851"/>
              </w:tabs>
              <w:ind w:firstLine="14"/>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Deputy Chairman of the Energy and Engineering Support Committee of Saint Petersburg</w:t>
            </w:r>
          </w:p>
        </w:tc>
      </w:tr>
      <w:tr w:rsidR="008A5057" w:rsidRPr="00BD295E" w14:paraId="0D38A65F" w14:textId="77777777" w:rsidTr="00E3510B">
        <w:tc>
          <w:tcPr>
            <w:tcW w:w="436" w:type="dxa"/>
            <w:shd w:val="clear" w:color="auto" w:fill="auto"/>
          </w:tcPr>
          <w:p w14:paraId="12CF25A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w:t>
            </w:r>
          </w:p>
        </w:tc>
        <w:tc>
          <w:tcPr>
            <w:tcW w:w="3124" w:type="dxa"/>
            <w:shd w:val="clear" w:color="auto" w:fill="auto"/>
            <w:vAlign w:val="center"/>
          </w:tcPr>
          <w:p w14:paraId="2FE31F93" w14:textId="77777777" w:rsidR="00F3260C" w:rsidRPr="00BD295E" w:rsidRDefault="008A5057" w:rsidP="00E3510B">
            <w:pPr>
              <w:tabs>
                <w:tab w:val="left" w:pos="851"/>
              </w:tabs>
              <w:ind w:firstLine="14"/>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Sergey Miloslavsky</w:t>
            </w:r>
          </w:p>
        </w:tc>
        <w:tc>
          <w:tcPr>
            <w:tcW w:w="5784" w:type="dxa"/>
            <w:shd w:val="clear" w:color="auto" w:fill="auto"/>
            <w:vAlign w:val="center"/>
          </w:tcPr>
          <w:p w14:paraId="373F29F0" w14:textId="77777777" w:rsidR="00F3260C" w:rsidRPr="00BD295E" w:rsidRDefault="008A5057" w:rsidP="00E3510B">
            <w:pPr>
              <w:tabs>
                <w:tab w:val="left" w:pos="851"/>
              </w:tabs>
              <w:ind w:firstLine="14"/>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Deputy CEO at </w:t>
            </w:r>
            <w:r w:rsidR="00293DDA" w:rsidRPr="00BD295E">
              <w:rPr>
                <w:rFonts w:ascii="Arial" w:hAnsi="Arial" w:cs="Arial"/>
                <w:bCs/>
                <w:snapToGrid w:val="0"/>
                <w:sz w:val="18"/>
                <w:szCs w:val="18"/>
                <w:lang w:val="en-US"/>
              </w:rPr>
              <w:t>OJSC “Metrostroy”</w:t>
            </w:r>
          </w:p>
        </w:tc>
      </w:tr>
      <w:tr w:rsidR="008A5057" w:rsidRPr="00BD295E" w14:paraId="3FEDE74B" w14:textId="77777777" w:rsidTr="00E3510B">
        <w:tc>
          <w:tcPr>
            <w:tcW w:w="436" w:type="dxa"/>
            <w:shd w:val="clear" w:color="auto" w:fill="auto"/>
          </w:tcPr>
          <w:p w14:paraId="5153373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8</w:t>
            </w:r>
          </w:p>
        </w:tc>
        <w:tc>
          <w:tcPr>
            <w:tcW w:w="3124" w:type="dxa"/>
            <w:shd w:val="clear" w:color="auto" w:fill="auto"/>
          </w:tcPr>
          <w:p w14:paraId="007B303A"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Sergey Pikin</w:t>
            </w:r>
          </w:p>
        </w:tc>
        <w:tc>
          <w:tcPr>
            <w:tcW w:w="5784" w:type="dxa"/>
            <w:shd w:val="clear" w:color="auto" w:fill="auto"/>
          </w:tcPr>
          <w:p w14:paraId="10F5C75D"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Director of the Energy Development Fund</w:t>
            </w:r>
          </w:p>
        </w:tc>
      </w:tr>
      <w:tr w:rsidR="008A5057" w:rsidRPr="00BD295E" w14:paraId="4747D726" w14:textId="77777777" w:rsidTr="00E3510B">
        <w:tc>
          <w:tcPr>
            <w:tcW w:w="436" w:type="dxa"/>
            <w:shd w:val="clear" w:color="auto" w:fill="auto"/>
          </w:tcPr>
          <w:p w14:paraId="24CF098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w:t>
            </w:r>
          </w:p>
        </w:tc>
        <w:tc>
          <w:tcPr>
            <w:tcW w:w="3124" w:type="dxa"/>
            <w:shd w:val="clear" w:color="auto" w:fill="auto"/>
          </w:tcPr>
          <w:p w14:paraId="35ADDAD6"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Viktor Seleznev</w:t>
            </w:r>
          </w:p>
        </w:tc>
        <w:tc>
          <w:tcPr>
            <w:tcW w:w="5784" w:type="dxa"/>
            <w:shd w:val="clear" w:color="auto" w:fill="auto"/>
          </w:tcPr>
          <w:p w14:paraId="69B10634" w14:textId="77777777" w:rsidR="00F3260C" w:rsidRPr="00BD295E" w:rsidRDefault="008A5057" w:rsidP="00E3510B">
            <w:pPr>
              <w:tabs>
                <w:tab w:val="left" w:pos="851"/>
              </w:tabs>
              <w:ind w:firstLine="14"/>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Corporate Scientific and Technical Development and R&amp;D Follow-Up Division of the Technological Development and Innovation Department of </w:t>
            </w:r>
            <w:r w:rsidR="00BF106F" w:rsidRPr="00BD295E">
              <w:rPr>
                <w:rFonts w:ascii="Arial" w:hAnsi="Arial" w:cs="Arial"/>
                <w:snapToGrid w:val="0"/>
                <w:sz w:val="18"/>
                <w:szCs w:val="18"/>
                <w:lang w:val="en-US"/>
              </w:rPr>
              <w:t>PJSC “Rosseti”</w:t>
            </w:r>
          </w:p>
        </w:tc>
      </w:tr>
      <w:tr w:rsidR="008A5057" w:rsidRPr="00BD295E" w14:paraId="7BB23922" w14:textId="77777777" w:rsidTr="00E3510B">
        <w:tc>
          <w:tcPr>
            <w:tcW w:w="436" w:type="dxa"/>
            <w:shd w:val="clear" w:color="auto" w:fill="auto"/>
          </w:tcPr>
          <w:p w14:paraId="2A15B9FA" w14:textId="77777777" w:rsidR="00F3260C" w:rsidRPr="00BD295E" w:rsidRDefault="00F3260C" w:rsidP="0031297B">
            <w:pPr>
              <w:rPr>
                <w:rFonts w:ascii="Arial" w:hAnsi="Arial" w:cs="Arial"/>
                <w:sz w:val="18"/>
                <w:szCs w:val="18"/>
                <w:lang w:val="en-US"/>
              </w:rPr>
            </w:pPr>
          </w:p>
        </w:tc>
        <w:tc>
          <w:tcPr>
            <w:tcW w:w="3124" w:type="dxa"/>
            <w:shd w:val="clear" w:color="auto" w:fill="auto"/>
            <w:vAlign w:val="center"/>
          </w:tcPr>
          <w:p w14:paraId="1E8C7840" w14:textId="77777777" w:rsidR="00F3260C" w:rsidRPr="00BD295E" w:rsidRDefault="008A5057" w:rsidP="00E3510B">
            <w:pPr>
              <w:tabs>
                <w:tab w:val="left" w:pos="851"/>
              </w:tabs>
              <w:ind w:firstLine="14"/>
              <w:contextualSpacing/>
              <w:jc w:val="both"/>
              <w:rPr>
                <w:rFonts w:ascii="Arial" w:eastAsia="Calibri" w:hAnsi="Arial" w:cs="Arial"/>
                <w:iCs/>
                <w:snapToGrid w:val="0"/>
                <w:sz w:val="18"/>
                <w:szCs w:val="18"/>
                <w:lang w:val="en-US"/>
              </w:rPr>
            </w:pPr>
            <w:r w:rsidRPr="00BD295E">
              <w:rPr>
                <w:rFonts w:ascii="Arial" w:hAnsi="Arial" w:cs="Arial"/>
                <w:snapToGrid w:val="0"/>
                <w:sz w:val="18"/>
                <w:szCs w:val="18"/>
                <w:lang w:val="en-US"/>
              </w:rPr>
              <w:t>Lyudmila Solovyova</w:t>
            </w:r>
          </w:p>
        </w:tc>
        <w:tc>
          <w:tcPr>
            <w:tcW w:w="5784" w:type="dxa"/>
            <w:shd w:val="clear" w:color="auto" w:fill="auto"/>
            <w:vAlign w:val="center"/>
          </w:tcPr>
          <w:p w14:paraId="0DEDED38" w14:textId="77777777" w:rsidR="00F3260C" w:rsidRPr="00BD295E" w:rsidRDefault="008A5057" w:rsidP="00E3510B">
            <w:pPr>
              <w:tabs>
                <w:tab w:val="left" w:pos="851"/>
              </w:tabs>
              <w:ind w:firstLine="14"/>
              <w:contextualSpacing/>
              <w:jc w:val="both"/>
              <w:rPr>
                <w:rFonts w:ascii="Arial" w:eastAsia="Calibri" w:hAnsi="Arial" w:cs="Arial"/>
                <w:b/>
                <w:bCs/>
                <w:snapToGrid w:val="0"/>
                <w:sz w:val="18"/>
                <w:szCs w:val="18"/>
                <w:lang w:val="en-US"/>
              </w:rPr>
            </w:pPr>
            <w:r w:rsidRPr="00BD295E">
              <w:rPr>
                <w:rFonts w:ascii="Arial" w:hAnsi="Arial" w:cs="Arial"/>
                <w:snapToGrid w:val="0"/>
                <w:sz w:val="18"/>
                <w:szCs w:val="18"/>
                <w:lang w:val="en-US"/>
              </w:rPr>
              <w:t>Deputy Chairman of the Housing Committee of Saint Petersburg</w:t>
            </w:r>
          </w:p>
        </w:tc>
      </w:tr>
    </w:tbl>
    <w:p w14:paraId="7F46CB9A"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59FDD5B2" w14:textId="77777777" w:rsidR="00F3260C" w:rsidRPr="00BD295E" w:rsidRDefault="00F3260C" w:rsidP="00F3260C">
      <w:pPr>
        <w:jc w:val="both"/>
        <w:rPr>
          <w:rFonts w:ascii="Arial" w:hAnsi="Arial" w:cs="Arial"/>
          <w:sz w:val="18"/>
          <w:szCs w:val="18"/>
          <w:lang w:val="en-US"/>
        </w:rPr>
      </w:pPr>
    </w:p>
    <w:p w14:paraId="79FBE627" w14:textId="77777777" w:rsidR="00F3260C" w:rsidRPr="00BD295E" w:rsidRDefault="008A5057" w:rsidP="00F3260C">
      <w:pPr>
        <w:jc w:val="both"/>
        <w:rPr>
          <w:rFonts w:ascii="Arial" w:hAnsi="Arial" w:cs="Arial"/>
          <w:sz w:val="18"/>
          <w:szCs w:val="18"/>
          <w:lang w:val="en-US"/>
        </w:rPr>
      </w:pPr>
      <w:r w:rsidRPr="00BD295E">
        <w:rPr>
          <w:rFonts w:ascii="Arial" w:hAnsi="Arial" w:cs="Arial"/>
          <w:b/>
          <w:sz w:val="18"/>
          <w:szCs w:val="18"/>
          <w:lang w:val="en-US"/>
        </w:rPr>
        <w:t>Composition of the Strategy and Development Committee of the Company’s Board of Directors in 2018</w:t>
      </w:r>
    </w:p>
    <w:p w14:paraId="4FB953DD" w14:textId="77777777" w:rsidR="00F3260C" w:rsidRPr="00BD295E" w:rsidRDefault="00F3260C" w:rsidP="00F3260C">
      <w:pPr>
        <w:jc w:val="both"/>
        <w:rPr>
          <w:rFonts w:ascii="Arial" w:hAnsi="Arial" w:cs="Arial"/>
          <w:b/>
          <w:sz w:val="18"/>
          <w:szCs w:val="18"/>
          <w:lang w:val="en-US"/>
        </w:rPr>
      </w:pPr>
    </w:p>
    <w:p w14:paraId="13D31C21" w14:textId="42F69F5A"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 xml:space="preserve">The Strategy and Development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July 17, 2017 (Minutes No. 5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July 20, 2017</w:t>
      </w:r>
      <w:r w:rsidR="002C3947" w:rsidRPr="00BD295E">
        <w:rPr>
          <w:rFonts w:ascii="Arial" w:hAnsi="Arial" w:cs="Arial"/>
          <w:b/>
          <w:sz w:val="18"/>
          <w:szCs w:val="18"/>
          <w:lang w:val="en-US"/>
        </w:rPr>
        <w:t>)*:</w:t>
      </w:r>
    </w:p>
    <w:p w14:paraId="24EAE579" w14:textId="77777777" w:rsidR="00F3260C" w:rsidRPr="00BD295E" w:rsidRDefault="00F3260C" w:rsidP="00F3260C">
      <w:pPr>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102"/>
        <w:gridCol w:w="5737"/>
      </w:tblGrid>
      <w:tr w:rsidR="008A5057" w:rsidRPr="00BD295E" w14:paraId="3A70D15F" w14:textId="77777777" w:rsidTr="00E3510B">
        <w:tc>
          <w:tcPr>
            <w:tcW w:w="436" w:type="dxa"/>
            <w:shd w:val="clear" w:color="auto" w:fill="auto"/>
          </w:tcPr>
          <w:p w14:paraId="6272115F"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24" w:type="dxa"/>
            <w:shd w:val="clear" w:color="auto" w:fill="auto"/>
          </w:tcPr>
          <w:p w14:paraId="4D114F1D"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84" w:type="dxa"/>
            <w:shd w:val="clear" w:color="auto" w:fill="auto"/>
          </w:tcPr>
          <w:p w14:paraId="2C14F111"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1669961C" w14:textId="77777777" w:rsidTr="00E3510B">
        <w:tc>
          <w:tcPr>
            <w:tcW w:w="9344" w:type="dxa"/>
            <w:gridSpan w:val="3"/>
            <w:shd w:val="clear" w:color="auto" w:fill="auto"/>
          </w:tcPr>
          <w:p w14:paraId="151D0C32"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3802BE07" w14:textId="77777777" w:rsidTr="00E3510B">
        <w:tc>
          <w:tcPr>
            <w:tcW w:w="436" w:type="dxa"/>
            <w:shd w:val="clear" w:color="auto" w:fill="auto"/>
          </w:tcPr>
          <w:p w14:paraId="6BB06FA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24" w:type="dxa"/>
            <w:shd w:val="clear" w:color="auto" w:fill="auto"/>
            <w:vAlign w:val="center"/>
          </w:tcPr>
          <w:p w14:paraId="6AB79448"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Sergey Lebedev</w:t>
            </w:r>
          </w:p>
        </w:tc>
        <w:tc>
          <w:tcPr>
            <w:tcW w:w="5784" w:type="dxa"/>
            <w:shd w:val="clear" w:color="auto" w:fill="auto"/>
            <w:vAlign w:val="center"/>
          </w:tcPr>
          <w:p w14:paraId="1FC086DE" w14:textId="77777777" w:rsidR="00F3260C" w:rsidRPr="00BD295E" w:rsidRDefault="008A5057" w:rsidP="00A07300">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Director</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Strategic Development Department</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w:t>
            </w:r>
            <w:r w:rsidR="00BF106F" w:rsidRPr="00BD295E">
              <w:rPr>
                <w:rFonts w:ascii="Arial" w:hAnsi="Arial" w:cs="Arial"/>
                <w:snapToGrid w:val="0"/>
                <w:sz w:val="18"/>
                <w:szCs w:val="18"/>
                <w:lang w:val="en-US"/>
              </w:rPr>
              <w:t>PJSC “Rosseti”</w:t>
            </w:r>
          </w:p>
        </w:tc>
      </w:tr>
      <w:tr w:rsidR="008A5057" w:rsidRPr="00BD295E" w14:paraId="402C8F1F" w14:textId="77777777" w:rsidTr="00E3510B">
        <w:tc>
          <w:tcPr>
            <w:tcW w:w="9344" w:type="dxa"/>
            <w:gridSpan w:val="3"/>
            <w:shd w:val="clear" w:color="auto" w:fill="auto"/>
          </w:tcPr>
          <w:p w14:paraId="5C40E20A"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788AB2A4" w14:textId="77777777" w:rsidTr="00E3510B">
        <w:tc>
          <w:tcPr>
            <w:tcW w:w="436" w:type="dxa"/>
            <w:shd w:val="clear" w:color="auto" w:fill="auto"/>
          </w:tcPr>
          <w:p w14:paraId="087B6AE9"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24" w:type="dxa"/>
            <w:shd w:val="clear" w:color="auto" w:fill="auto"/>
            <w:vAlign w:val="center"/>
          </w:tcPr>
          <w:p w14:paraId="01C12D89"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Pavel Snikkars</w:t>
            </w:r>
          </w:p>
        </w:tc>
        <w:tc>
          <w:tcPr>
            <w:tcW w:w="5784" w:type="dxa"/>
            <w:shd w:val="clear" w:color="auto" w:fill="auto"/>
            <w:vAlign w:val="center"/>
          </w:tcPr>
          <w:p w14:paraId="6AFC9FC8" w14:textId="77777777" w:rsidR="00F3260C" w:rsidRPr="00BD295E" w:rsidRDefault="008A5057" w:rsidP="00A07300">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Director</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Electricity Development Department</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Russian Ministry of Energy</w:t>
            </w:r>
          </w:p>
        </w:tc>
      </w:tr>
      <w:tr w:rsidR="008A5057" w:rsidRPr="00BD295E" w14:paraId="1B7F7F23" w14:textId="77777777" w:rsidTr="00E3510B">
        <w:tc>
          <w:tcPr>
            <w:tcW w:w="436" w:type="dxa"/>
            <w:shd w:val="clear" w:color="auto" w:fill="auto"/>
          </w:tcPr>
          <w:p w14:paraId="7BF43F93"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24" w:type="dxa"/>
            <w:shd w:val="clear" w:color="auto" w:fill="auto"/>
            <w:vAlign w:val="center"/>
          </w:tcPr>
          <w:p w14:paraId="6437F04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Dmitry Akopyan</w:t>
            </w:r>
          </w:p>
        </w:tc>
        <w:tc>
          <w:tcPr>
            <w:tcW w:w="5784" w:type="dxa"/>
            <w:shd w:val="clear" w:color="auto" w:fill="auto"/>
            <w:vAlign w:val="center"/>
          </w:tcPr>
          <w:p w14:paraId="510A843A" w14:textId="77777777" w:rsidR="00F3260C" w:rsidRPr="00BD295E" w:rsidRDefault="008A5057" w:rsidP="00A07300">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Director</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Investment Department</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w:t>
            </w:r>
            <w:r w:rsidR="00BF106F" w:rsidRPr="00BD295E">
              <w:rPr>
                <w:rFonts w:ascii="Arial" w:hAnsi="Arial" w:cs="Arial"/>
                <w:snapToGrid w:val="0"/>
                <w:sz w:val="18"/>
                <w:szCs w:val="18"/>
                <w:lang w:val="en-US"/>
              </w:rPr>
              <w:t>PJSC “Rosseti”</w:t>
            </w:r>
          </w:p>
        </w:tc>
      </w:tr>
      <w:tr w:rsidR="008A5057" w:rsidRPr="00BD295E" w14:paraId="1CFD3008" w14:textId="77777777" w:rsidTr="00E3510B">
        <w:tc>
          <w:tcPr>
            <w:tcW w:w="436" w:type="dxa"/>
            <w:shd w:val="clear" w:color="auto" w:fill="auto"/>
          </w:tcPr>
          <w:p w14:paraId="053D21EF"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24" w:type="dxa"/>
            <w:shd w:val="clear" w:color="auto" w:fill="auto"/>
            <w:vAlign w:val="center"/>
          </w:tcPr>
          <w:p w14:paraId="154B747D"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Marina Lavrova</w:t>
            </w:r>
          </w:p>
        </w:tc>
        <w:tc>
          <w:tcPr>
            <w:tcW w:w="5784" w:type="dxa"/>
            <w:shd w:val="clear" w:color="auto" w:fill="auto"/>
            <w:vAlign w:val="center"/>
          </w:tcPr>
          <w:p w14:paraId="0AC0AEC3" w14:textId="77777777" w:rsidR="00F3260C" w:rsidRPr="00BD295E" w:rsidRDefault="008A5057" w:rsidP="00A07300">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w:t>
            </w:r>
            <w:r w:rsidR="00A07300" w:rsidRPr="00BD295E">
              <w:rPr>
                <w:rFonts w:ascii="Arial" w:hAnsi="Arial" w:cs="Arial"/>
                <w:snapToGrid w:val="0"/>
                <w:sz w:val="18"/>
                <w:szCs w:val="18"/>
                <w:lang w:val="en-US"/>
              </w:rPr>
              <w:t>Subsidiaries and Affiliates</w:t>
            </w:r>
            <w:r w:rsidRPr="00BD295E">
              <w:rPr>
                <w:rFonts w:ascii="Arial" w:hAnsi="Arial" w:cs="Arial"/>
                <w:snapToGrid w:val="0"/>
                <w:sz w:val="18"/>
                <w:szCs w:val="18"/>
                <w:lang w:val="en-US"/>
              </w:rPr>
              <w:t xml:space="preserve"> Economics</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Economic Planning and Budgeting Department</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w:t>
            </w:r>
            <w:r w:rsidR="00BF106F" w:rsidRPr="00BD295E">
              <w:rPr>
                <w:rFonts w:ascii="Arial" w:hAnsi="Arial" w:cs="Arial"/>
                <w:snapToGrid w:val="0"/>
                <w:sz w:val="18"/>
                <w:szCs w:val="18"/>
                <w:lang w:val="en-US"/>
              </w:rPr>
              <w:t>PJSC “Rosseti”</w:t>
            </w:r>
          </w:p>
        </w:tc>
      </w:tr>
      <w:tr w:rsidR="008A5057" w:rsidRPr="00BD295E" w14:paraId="6B65DE6D" w14:textId="77777777" w:rsidTr="00E3510B">
        <w:tc>
          <w:tcPr>
            <w:tcW w:w="436" w:type="dxa"/>
            <w:shd w:val="clear" w:color="auto" w:fill="auto"/>
          </w:tcPr>
          <w:p w14:paraId="3828576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24" w:type="dxa"/>
            <w:shd w:val="clear" w:color="auto" w:fill="auto"/>
            <w:vAlign w:val="center"/>
          </w:tcPr>
          <w:p w14:paraId="7EAEFD76"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Anton Smirnov</w:t>
            </w:r>
          </w:p>
        </w:tc>
        <w:tc>
          <w:tcPr>
            <w:tcW w:w="5784" w:type="dxa"/>
            <w:shd w:val="clear" w:color="auto" w:fill="auto"/>
            <w:vAlign w:val="center"/>
          </w:tcPr>
          <w:p w14:paraId="1A3E844B" w14:textId="77777777" w:rsidR="00F3260C" w:rsidRPr="00BD295E" w:rsidRDefault="008A5057" w:rsidP="00A07300">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Head of the Strategic Projects Unit</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Finance Department</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w:t>
            </w:r>
            <w:r w:rsidR="00BF106F" w:rsidRPr="00BD295E">
              <w:rPr>
                <w:rFonts w:ascii="Arial" w:hAnsi="Arial" w:cs="Arial"/>
                <w:snapToGrid w:val="0"/>
                <w:sz w:val="18"/>
                <w:szCs w:val="18"/>
                <w:lang w:val="en-US"/>
              </w:rPr>
              <w:t>PJSC “Rosseti”</w:t>
            </w:r>
          </w:p>
        </w:tc>
      </w:tr>
      <w:tr w:rsidR="008A5057" w:rsidRPr="00BD295E" w14:paraId="48F0A1AB" w14:textId="77777777" w:rsidTr="00E3510B">
        <w:tc>
          <w:tcPr>
            <w:tcW w:w="436" w:type="dxa"/>
            <w:shd w:val="clear" w:color="auto" w:fill="auto"/>
          </w:tcPr>
          <w:p w14:paraId="3E12E9B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3124" w:type="dxa"/>
            <w:shd w:val="clear" w:color="auto" w:fill="auto"/>
            <w:vAlign w:val="center"/>
          </w:tcPr>
          <w:p w14:paraId="769DF875"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Sergey Pikin</w:t>
            </w:r>
          </w:p>
        </w:tc>
        <w:tc>
          <w:tcPr>
            <w:tcW w:w="5784" w:type="dxa"/>
            <w:shd w:val="clear" w:color="auto" w:fill="auto"/>
            <w:vAlign w:val="center"/>
          </w:tcPr>
          <w:p w14:paraId="2551A9ED" w14:textId="77777777" w:rsidR="00F3260C" w:rsidRPr="00BD295E" w:rsidRDefault="008A5057" w:rsidP="00A07300">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Director</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Energy Development Fund</w:t>
            </w:r>
          </w:p>
        </w:tc>
      </w:tr>
      <w:tr w:rsidR="008A5057" w:rsidRPr="00BD295E" w14:paraId="625C7CCD" w14:textId="77777777" w:rsidTr="00E3510B">
        <w:tc>
          <w:tcPr>
            <w:tcW w:w="436" w:type="dxa"/>
            <w:shd w:val="clear" w:color="auto" w:fill="auto"/>
          </w:tcPr>
          <w:p w14:paraId="5276FC4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w:t>
            </w:r>
          </w:p>
        </w:tc>
        <w:tc>
          <w:tcPr>
            <w:tcW w:w="3124" w:type="dxa"/>
            <w:shd w:val="clear" w:color="auto" w:fill="auto"/>
            <w:vAlign w:val="center"/>
          </w:tcPr>
          <w:p w14:paraId="39B923D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Dmitry Koptin</w:t>
            </w:r>
          </w:p>
        </w:tc>
        <w:tc>
          <w:tcPr>
            <w:tcW w:w="5784" w:type="dxa"/>
            <w:shd w:val="clear" w:color="auto" w:fill="auto"/>
            <w:vAlign w:val="center"/>
          </w:tcPr>
          <w:p w14:paraId="0EA17043" w14:textId="77777777" w:rsidR="00F3260C" w:rsidRPr="00BD295E" w:rsidRDefault="008A5057" w:rsidP="00A07300">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Chairman</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Tariffs Committee of Saint Petersburg</w:t>
            </w:r>
          </w:p>
        </w:tc>
      </w:tr>
      <w:tr w:rsidR="008A5057" w:rsidRPr="00BD295E" w14:paraId="06414F21" w14:textId="77777777" w:rsidTr="00E3510B">
        <w:tc>
          <w:tcPr>
            <w:tcW w:w="436" w:type="dxa"/>
            <w:shd w:val="clear" w:color="auto" w:fill="auto"/>
          </w:tcPr>
          <w:p w14:paraId="112CA2B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8</w:t>
            </w:r>
          </w:p>
        </w:tc>
        <w:tc>
          <w:tcPr>
            <w:tcW w:w="3124" w:type="dxa"/>
            <w:shd w:val="clear" w:color="auto" w:fill="auto"/>
            <w:vAlign w:val="center"/>
          </w:tcPr>
          <w:p w14:paraId="786BCD1A"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Lyudmila Solovyova</w:t>
            </w:r>
          </w:p>
        </w:tc>
        <w:tc>
          <w:tcPr>
            <w:tcW w:w="5784" w:type="dxa"/>
            <w:shd w:val="clear" w:color="auto" w:fill="auto"/>
            <w:vAlign w:val="center"/>
          </w:tcPr>
          <w:p w14:paraId="5AA8513C" w14:textId="77777777" w:rsidR="00F3260C" w:rsidRPr="00BD295E" w:rsidRDefault="008A5057" w:rsidP="00A07300">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Chairman</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Housing Committee of Saint Petersburg</w:t>
            </w:r>
          </w:p>
        </w:tc>
      </w:tr>
      <w:tr w:rsidR="008A5057" w:rsidRPr="00BD295E" w14:paraId="4C10B46E" w14:textId="77777777" w:rsidTr="00E3510B">
        <w:tc>
          <w:tcPr>
            <w:tcW w:w="436" w:type="dxa"/>
            <w:shd w:val="clear" w:color="auto" w:fill="auto"/>
          </w:tcPr>
          <w:p w14:paraId="128560C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w:t>
            </w:r>
          </w:p>
        </w:tc>
        <w:tc>
          <w:tcPr>
            <w:tcW w:w="3124" w:type="dxa"/>
            <w:shd w:val="clear" w:color="auto" w:fill="auto"/>
            <w:vAlign w:val="center"/>
          </w:tcPr>
          <w:p w14:paraId="21DEB08D"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Svetlana Melnikova</w:t>
            </w:r>
          </w:p>
        </w:tc>
        <w:tc>
          <w:tcPr>
            <w:tcW w:w="5784" w:type="dxa"/>
            <w:shd w:val="clear" w:color="auto" w:fill="auto"/>
            <w:vAlign w:val="center"/>
          </w:tcPr>
          <w:p w14:paraId="7727C72B" w14:textId="77777777" w:rsidR="00F3260C" w:rsidRPr="00BD295E" w:rsidRDefault="008A5057" w:rsidP="00A07300">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Chairman</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Energy and Engineering Support Committee</w:t>
            </w:r>
          </w:p>
        </w:tc>
      </w:tr>
    </w:tbl>
    <w:p w14:paraId="37E6CAE2"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2C0221A9" w14:textId="77777777" w:rsidR="00F3260C" w:rsidRPr="00BD295E" w:rsidRDefault="00F3260C" w:rsidP="00F3260C">
      <w:pPr>
        <w:jc w:val="both"/>
        <w:rPr>
          <w:rFonts w:ascii="Arial" w:hAnsi="Arial" w:cs="Arial"/>
          <w:b/>
          <w:sz w:val="18"/>
          <w:szCs w:val="18"/>
          <w:lang w:val="en-US"/>
        </w:rPr>
      </w:pPr>
    </w:p>
    <w:p w14:paraId="68D216E6" w14:textId="26E0B2E6"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 xml:space="preserve">The Strategy and Development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21, 2018 (Minutes No. 32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23, 2018</w:t>
      </w:r>
      <w:r w:rsidR="002C3947" w:rsidRPr="00BD295E">
        <w:rPr>
          <w:rFonts w:ascii="Arial" w:hAnsi="Arial" w:cs="Arial"/>
          <w:b/>
          <w:sz w:val="18"/>
          <w:szCs w:val="18"/>
          <w:lang w:val="en-US"/>
        </w:rPr>
        <w:t>)*:</w:t>
      </w:r>
    </w:p>
    <w:p w14:paraId="5EC572D5" w14:textId="77777777" w:rsidR="00F3260C" w:rsidRPr="00BD295E" w:rsidRDefault="00F3260C" w:rsidP="00F3260C">
      <w:pPr>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103"/>
        <w:gridCol w:w="5736"/>
      </w:tblGrid>
      <w:tr w:rsidR="008A5057" w:rsidRPr="00BD295E" w14:paraId="38A9B0B1" w14:textId="77777777" w:rsidTr="00E3510B">
        <w:tc>
          <w:tcPr>
            <w:tcW w:w="436" w:type="dxa"/>
            <w:shd w:val="clear" w:color="auto" w:fill="auto"/>
          </w:tcPr>
          <w:p w14:paraId="57D34A31"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24" w:type="dxa"/>
            <w:shd w:val="clear" w:color="auto" w:fill="auto"/>
          </w:tcPr>
          <w:p w14:paraId="5FD21A75"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84" w:type="dxa"/>
            <w:shd w:val="clear" w:color="auto" w:fill="auto"/>
          </w:tcPr>
          <w:p w14:paraId="1A4DE07C"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6269E22A" w14:textId="77777777" w:rsidTr="00E3510B">
        <w:tc>
          <w:tcPr>
            <w:tcW w:w="9344" w:type="dxa"/>
            <w:gridSpan w:val="3"/>
            <w:shd w:val="clear" w:color="auto" w:fill="auto"/>
          </w:tcPr>
          <w:p w14:paraId="60EC4041"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4AC52E2B" w14:textId="77777777" w:rsidTr="00E3510B">
        <w:tc>
          <w:tcPr>
            <w:tcW w:w="436" w:type="dxa"/>
            <w:shd w:val="clear" w:color="auto" w:fill="auto"/>
          </w:tcPr>
          <w:p w14:paraId="13165C5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24" w:type="dxa"/>
            <w:shd w:val="clear" w:color="auto" w:fill="auto"/>
            <w:vAlign w:val="center"/>
          </w:tcPr>
          <w:p w14:paraId="5BE08151"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Yevgeny Olkhovich</w:t>
            </w:r>
          </w:p>
        </w:tc>
        <w:tc>
          <w:tcPr>
            <w:tcW w:w="5784" w:type="dxa"/>
            <w:shd w:val="clear" w:color="auto" w:fill="auto"/>
            <w:vAlign w:val="center"/>
          </w:tcPr>
          <w:p w14:paraId="4ECDDDDC" w14:textId="77777777" w:rsidR="00F3260C" w:rsidRPr="00BD295E" w:rsidRDefault="008A5057" w:rsidP="00A07300">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Deputy CEO for Strategic Development</w:t>
            </w:r>
            <w:r w:rsidR="00A07300" w:rsidRPr="00BD295E">
              <w:rPr>
                <w:rFonts w:ascii="Arial" w:hAnsi="Arial" w:cs="Arial"/>
                <w:bCs/>
                <w:snapToGrid w:val="0"/>
                <w:sz w:val="18"/>
                <w:szCs w:val="18"/>
                <w:lang w:val="en-US"/>
              </w:rPr>
              <w:t>,</w:t>
            </w:r>
            <w:r w:rsidRPr="00BD295E">
              <w:rPr>
                <w:rFonts w:ascii="Arial" w:hAnsi="Arial" w:cs="Arial"/>
                <w:bCs/>
                <w:snapToGrid w:val="0"/>
                <w:sz w:val="18"/>
                <w:szCs w:val="18"/>
                <w:lang w:val="en-US"/>
              </w:rPr>
              <w:t xml:space="preserve"> </w:t>
            </w:r>
            <w:r w:rsidR="00BF106F" w:rsidRPr="00BD295E">
              <w:rPr>
                <w:rFonts w:ascii="Arial" w:hAnsi="Arial" w:cs="Arial"/>
                <w:bCs/>
                <w:snapToGrid w:val="0"/>
                <w:sz w:val="18"/>
                <w:szCs w:val="18"/>
                <w:lang w:val="en-US"/>
              </w:rPr>
              <w:t>PJSC “Rosseti”</w:t>
            </w:r>
          </w:p>
        </w:tc>
      </w:tr>
      <w:tr w:rsidR="008A5057" w:rsidRPr="00BD295E" w14:paraId="6712A8A9" w14:textId="77777777" w:rsidTr="00E3510B">
        <w:tc>
          <w:tcPr>
            <w:tcW w:w="9344" w:type="dxa"/>
            <w:gridSpan w:val="3"/>
            <w:shd w:val="clear" w:color="auto" w:fill="auto"/>
          </w:tcPr>
          <w:p w14:paraId="0988FB05"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701E7D4A" w14:textId="77777777" w:rsidTr="00E3510B">
        <w:tc>
          <w:tcPr>
            <w:tcW w:w="436" w:type="dxa"/>
            <w:shd w:val="clear" w:color="auto" w:fill="auto"/>
          </w:tcPr>
          <w:p w14:paraId="51DD3DED"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24" w:type="dxa"/>
            <w:shd w:val="clear" w:color="auto" w:fill="auto"/>
            <w:vAlign w:val="center"/>
          </w:tcPr>
          <w:p w14:paraId="2F9D8178"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Yuri Goncharov</w:t>
            </w:r>
          </w:p>
        </w:tc>
        <w:tc>
          <w:tcPr>
            <w:tcW w:w="5784" w:type="dxa"/>
            <w:shd w:val="clear" w:color="auto" w:fill="auto"/>
            <w:vAlign w:val="center"/>
          </w:tcPr>
          <w:p w14:paraId="487CA04D"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Deputy CEO for Corporate Governance, </w:t>
            </w:r>
            <w:r w:rsidR="00BF106F" w:rsidRPr="00BD295E">
              <w:rPr>
                <w:rFonts w:ascii="Arial" w:hAnsi="Arial" w:cs="Arial"/>
                <w:bCs/>
                <w:snapToGrid w:val="0"/>
                <w:sz w:val="18"/>
                <w:szCs w:val="18"/>
                <w:lang w:val="en-US"/>
              </w:rPr>
              <w:t>PJSC “Rosseti”</w:t>
            </w:r>
          </w:p>
        </w:tc>
      </w:tr>
      <w:tr w:rsidR="008A5057" w:rsidRPr="00BD295E" w14:paraId="7FE3D44B" w14:textId="77777777" w:rsidTr="00E3510B">
        <w:tc>
          <w:tcPr>
            <w:tcW w:w="436" w:type="dxa"/>
            <w:shd w:val="clear" w:color="auto" w:fill="auto"/>
          </w:tcPr>
          <w:p w14:paraId="5CB97F7C"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24" w:type="dxa"/>
            <w:shd w:val="clear" w:color="auto" w:fill="auto"/>
            <w:vAlign w:val="center"/>
          </w:tcPr>
          <w:p w14:paraId="535C9EC6"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Dmitry Akopyan</w:t>
            </w:r>
          </w:p>
        </w:tc>
        <w:tc>
          <w:tcPr>
            <w:tcW w:w="5784" w:type="dxa"/>
            <w:shd w:val="clear" w:color="auto" w:fill="auto"/>
            <w:vAlign w:val="center"/>
          </w:tcPr>
          <w:p w14:paraId="2343ECE5"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Director of the Investment Department of </w:t>
            </w:r>
            <w:r w:rsidR="00BF106F" w:rsidRPr="00BD295E">
              <w:rPr>
                <w:rFonts w:ascii="Arial" w:hAnsi="Arial" w:cs="Arial"/>
                <w:bCs/>
                <w:snapToGrid w:val="0"/>
                <w:sz w:val="18"/>
                <w:szCs w:val="18"/>
                <w:lang w:val="en-US"/>
              </w:rPr>
              <w:t>PJSC “Rosseti”</w:t>
            </w:r>
          </w:p>
        </w:tc>
      </w:tr>
      <w:tr w:rsidR="008A5057" w:rsidRPr="00BD295E" w14:paraId="6745D1FA" w14:textId="77777777" w:rsidTr="00E3510B">
        <w:tc>
          <w:tcPr>
            <w:tcW w:w="436" w:type="dxa"/>
            <w:shd w:val="clear" w:color="auto" w:fill="auto"/>
          </w:tcPr>
          <w:p w14:paraId="62544FE8"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24" w:type="dxa"/>
            <w:shd w:val="clear" w:color="auto" w:fill="auto"/>
            <w:vAlign w:val="center"/>
          </w:tcPr>
          <w:p w14:paraId="578A717D"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Marina Lavrova</w:t>
            </w:r>
          </w:p>
        </w:tc>
        <w:tc>
          <w:tcPr>
            <w:tcW w:w="5784" w:type="dxa"/>
            <w:shd w:val="clear" w:color="auto" w:fill="auto"/>
            <w:vAlign w:val="center"/>
          </w:tcPr>
          <w:p w14:paraId="7530AC10" w14:textId="77777777" w:rsidR="00F3260C" w:rsidRPr="00BD295E" w:rsidRDefault="008A5057" w:rsidP="00A07300">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Head of the </w:t>
            </w:r>
            <w:r w:rsidR="00A07300" w:rsidRPr="00BD295E">
              <w:rPr>
                <w:rFonts w:ascii="Arial" w:hAnsi="Arial" w:cs="Arial"/>
                <w:bCs/>
                <w:snapToGrid w:val="0"/>
                <w:sz w:val="18"/>
                <w:szCs w:val="18"/>
                <w:lang w:val="en-US"/>
              </w:rPr>
              <w:t>Subsidiaries and Affiliates</w:t>
            </w:r>
            <w:r w:rsidRPr="00BD295E">
              <w:rPr>
                <w:rFonts w:ascii="Arial" w:hAnsi="Arial" w:cs="Arial"/>
                <w:bCs/>
                <w:snapToGrid w:val="0"/>
                <w:sz w:val="18"/>
                <w:szCs w:val="18"/>
                <w:lang w:val="en-US"/>
              </w:rPr>
              <w:t xml:space="preserve"> Economics</w:t>
            </w:r>
            <w:r w:rsidR="00A07300" w:rsidRPr="00BD295E">
              <w:rPr>
                <w:rFonts w:ascii="Arial" w:hAnsi="Arial" w:cs="Arial"/>
                <w:bCs/>
                <w:snapToGrid w:val="0"/>
                <w:sz w:val="18"/>
                <w:szCs w:val="18"/>
                <w:lang w:val="en-US"/>
              </w:rPr>
              <w:t>,</w:t>
            </w:r>
            <w:r w:rsidRPr="00BD295E">
              <w:rPr>
                <w:rFonts w:ascii="Arial" w:hAnsi="Arial" w:cs="Arial"/>
                <w:bCs/>
                <w:snapToGrid w:val="0"/>
                <w:sz w:val="18"/>
                <w:szCs w:val="18"/>
                <w:lang w:val="en-US"/>
              </w:rPr>
              <w:t xml:space="preserve"> Economic Planning and Budgeting Department</w:t>
            </w:r>
            <w:r w:rsidR="00A07300" w:rsidRPr="00BD295E">
              <w:rPr>
                <w:rFonts w:ascii="Arial" w:hAnsi="Arial" w:cs="Arial"/>
                <w:bCs/>
                <w:snapToGrid w:val="0"/>
                <w:sz w:val="18"/>
                <w:szCs w:val="18"/>
                <w:lang w:val="en-US"/>
              </w:rPr>
              <w:t>,</w:t>
            </w:r>
            <w:r w:rsidRPr="00BD295E">
              <w:rPr>
                <w:rFonts w:ascii="Arial" w:hAnsi="Arial" w:cs="Arial"/>
                <w:bCs/>
                <w:snapToGrid w:val="0"/>
                <w:sz w:val="18"/>
                <w:szCs w:val="18"/>
                <w:lang w:val="en-US"/>
              </w:rPr>
              <w:t xml:space="preserve"> </w:t>
            </w:r>
            <w:r w:rsidR="00BF106F" w:rsidRPr="00BD295E">
              <w:rPr>
                <w:rFonts w:ascii="Arial" w:hAnsi="Arial" w:cs="Arial"/>
                <w:bCs/>
                <w:snapToGrid w:val="0"/>
                <w:sz w:val="18"/>
                <w:szCs w:val="18"/>
                <w:lang w:val="en-US"/>
              </w:rPr>
              <w:t>PJSC “Rosseti”</w:t>
            </w:r>
          </w:p>
        </w:tc>
      </w:tr>
      <w:tr w:rsidR="008A5057" w:rsidRPr="00BD295E" w14:paraId="29A9B734" w14:textId="77777777" w:rsidTr="00E3510B">
        <w:tc>
          <w:tcPr>
            <w:tcW w:w="436" w:type="dxa"/>
            <w:shd w:val="clear" w:color="auto" w:fill="auto"/>
          </w:tcPr>
          <w:p w14:paraId="7C9560D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24" w:type="dxa"/>
            <w:shd w:val="clear" w:color="auto" w:fill="auto"/>
            <w:vAlign w:val="center"/>
          </w:tcPr>
          <w:p w14:paraId="09B25149"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Sergey Pikin</w:t>
            </w:r>
          </w:p>
        </w:tc>
        <w:tc>
          <w:tcPr>
            <w:tcW w:w="5784" w:type="dxa"/>
            <w:shd w:val="clear" w:color="auto" w:fill="auto"/>
            <w:vAlign w:val="center"/>
          </w:tcPr>
          <w:p w14:paraId="18E5242E" w14:textId="77777777" w:rsidR="00F3260C" w:rsidRPr="00BD295E" w:rsidRDefault="008A5057" w:rsidP="00A07300">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Director</w:t>
            </w:r>
            <w:r w:rsidR="00A07300" w:rsidRPr="00BD295E">
              <w:rPr>
                <w:rFonts w:ascii="Arial" w:hAnsi="Arial" w:cs="Arial"/>
                <w:bCs/>
                <w:snapToGrid w:val="0"/>
                <w:sz w:val="18"/>
                <w:szCs w:val="18"/>
                <w:lang w:val="en-US"/>
              </w:rPr>
              <w:t>,</w:t>
            </w:r>
            <w:r w:rsidRPr="00BD295E">
              <w:rPr>
                <w:rFonts w:ascii="Arial" w:hAnsi="Arial" w:cs="Arial"/>
                <w:bCs/>
                <w:snapToGrid w:val="0"/>
                <w:sz w:val="18"/>
                <w:szCs w:val="18"/>
                <w:lang w:val="en-US"/>
              </w:rPr>
              <w:t xml:space="preserve"> Energy Development Fund</w:t>
            </w:r>
          </w:p>
        </w:tc>
      </w:tr>
      <w:tr w:rsidR="008A5057" w:rsidRPr="00BD295E" w14:paraId="553C08B0" w14:textId="77777777" w:rsidTr="00E3510B">
        <w:tc>
          <w:tcPr>
            <w:tcW w:w="436" w:type="dxa"/>
            <w:shd w:val="clear" w:color="auto" w:fill="auto"/>
          </w:tcPr>
          <w:p w14:paraId="6EE60C1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3124" w:type="dxa"/>
            <w:shd w:val="clear" w:color="auto" w:fill="auto"/>
            <w:vAlign w:val="center"/>
          </w:tcPr>
          <w:p w14:paraId="0A6AFC7E"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Svetlana Melnikova </w:t>
            </w:r>
          </w:p>
          <w:p w14:paraId="45652658" w14:textId="77777777" w:rsidR="00F3260C" w:rsidRPr="00BD295E" w:rsidRDefault="00F3260C" w:rsidP="00E3510B">
            <w:pPr>
              <w:tabs>
                <w:tab w:val="left" w:pos="851"/>
              </w:tabs>
              <w:contextualSpacing/>
              <w:jc w:val="both"/>
              <w:rPr>
                <w:rFonts w:ascii="Arial" w:eastAsia="Calibri" w:hAnsi="Arial" w:cs="Arial"/>
                <w:bCs/>
                <w:snapToGrid w:val="0"/>
                <w:sz w:val="18"/>
                <w:szCs w:val="18"/>
                <w:lang w:val="en-US"/>
              </w:rPr>
            </w:pPr>
          </w:p>
        </w:tc>
        <w:tc>
          <w:tcPr>
            <w:tcW w:w="5784" w:type="dxa"/>
            <w:shd w:val="clear" w:color="auto" w:fill="auto"/>
            <w:vAlign w:val="center"/>
          </w:tcPr>
          <w:p w14:paraId="547CDD20" w14:textId="77777777" w:rsidR="00F3260C" w:rsidRPr="00BD295E" w:rsidRDefault="008A5057" w:rsidP="00A07300">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Deputy Chairman</w:t>
            </w:r>
            <w:r w:rsidR="00A07300" w:rsidRPr="00BD295E">
              <w:rPr>
                <w:rFonts w:ascii="Arial" w:hAnsi="Arial" w:cs="Arial"/>
                <w:bCs/>
                <w:snapToGrid w:val="0"/>
                <w:sz w:val="18"/>
                <w:szCs w:val="18"/>
                <w:lang w:val="en-US"/>
              </w:rPr>
              <w:t>,</w:t>
            </w:r>
            <w:r w:rsidRPr="00BD295E">
              <w:rPr>
                <w:rFonts w:ascii="Arial" w:hAnsi="Arial" w:cs="Arial"/>
                <w:bCs/>
                <w:snapToGrid w:val="0"/>
                <w:sz w:val="18"/>
                <w:szCs w:val="18"/>
                <w:lang w:val="en-US"/>
              </w:rPr>
              <w:t xml:space="preserve"> </w:t>
            </w:r>
            <w:r w:rsidR="00A07300" w:rsidRPr="00BD295E">
              <w:rPr>
                <w:rFonts w:ascii="Arial" w:hAnsi="Arial" w:cs="Arial"/>
                <w:bCs/>
                <w:snapToGrid w:val="0"/>
                <w:sz w:val="18"/>
                <w:szCs w:val="18"/>
                <w:lang w:val="en-US"/>
              </w:rPr>
              <w:t xml:space="preserve">Saint Petersburg </w:t>
            </w:r>
            <w:r w:rsidRPr="00BD295E">
              <w:rPr>
                <w:rFonts w:ascii="Arial" w:hAnsi="Arial" w:cs="Arial"/>
                <w:bCs/>
                <w:snapToGrid w:val="0"/>
                <w:sz w:val="18"/>
                <w:szCs w:val="18"/>
                <w:lang w:val="en-US"/>
              </w:rPr>
              <w:t>Energy and E</w:t>
            </w:r>
            <w:r w:rsidR="00A07300" w:rsidRPr="00BD295E">
              <w:rPr>
                <w:rFonts w:ascii="Arial" w:hAnsi="Arial" w:cs="Arial"/>
                <w:bCs/>
                <w:snapToGrid w:val="0"/>
                <w:sz w:val="18"/>
                <w:szCs w:val="18"/>
                <w:lang w:val="en-US"/>
              </w:rPr>
              <w:t>ngineering Support Committee</w:t>
            </w:r>
          </w:p>
        </w:tc>
      </w:tr>
      <w:tr w:rsidR="008A5057" w:rsidRPr="00BD295E" w14:paraId="157D31E0" w14:textId="77777777" w:rsidTr="00E3510B">
        <w:tc>
          <w:tcPr>
            <w:tcW w:w="436" w:type="dxa"/>
            <w:shd w:val="clear" w:color="auto" w:fill="auto"/>
          </w:tcPr>
          <w:p w14:paraId="7B262FA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w:t>
            </w:r>
          </w:p>
        </w:tc>
        <w:tc>
          <w:tcPr>
            <w:tcW w:w="3124" w:type="dxa"/>
            <w:shd w:val="clear" w:color="auto" w:fill="auto"/>
            <w:vAlign w:val="center"/>
          </w:tcPr>
          <w:p w14:paraId="02FE690B" w14:textId="77777777" w:rsidR="00F3260C" w:rsidRPr="00BD295E" w:rsidRDefault="008A5057" w:rsidP="00E3510B">
            <w:pPr>
              <w:tabs>
                <w:tab w:val="left" w:pos="851"/>
              </w:tabs>
              <w:contextualSpacing/>
              <w:jc w:val="both"/>
              <w:rPr>
                <w:rFonts w:ascii="Arial" w:eastAsia="Calibri" w:hAnsi="Arial" w:cs="Arial"/>
                <w:iCs/>
                <w:snapToGrid w:val="0"/>
                <w:sz w:val="18"/>
                <w:szCs w:val="18"/>
                <w:lang w:val="en-US"/>
              </w:rPr>
            </w:pPr>
            <w:r w:rsidRPr="00BD295E">
              <w:rPr>
                <w:rFonts w:ascii="Arial" w:hAnsi="Arial" w:cs="Arial"/>
                <w:snapToGrid w:val="0"/>
                <w:sz w:val="18"/>
                <w:szCs w:val="18"/>
                <w:lang w:val="en-US"/>
              </w:rPr>
              <w:t>Lyudmila Solovyova</w:t>
            </w:r>
          </w:p>
        </w:tc>
        <w:tc>
          <w:tcPr>
            <w:tcW w:w="5784" w:type="dxa"/>
            <w:shd w:val="clear" w:color="auto" w:fill="auto"/>
            <w:vAlign w:val="center"/>
          </w:tcPr>
          <w:p w14:paraId="751082F7" w14:textId="77777777" w:rsidR="00F3260C" w:rsidRPr="00BD295E" w:rsidRDefault="008A5057" w:rsidP="00A07300">
            <w:pPr>
              <w:tabs>
                <w:tab w:val="left" w:pos="851"/>
              </w:tabs>
              <w:contextualSpacing/>
              <w:jc w:val="both"/>
              <w:rPr>
                <w:rFonts w:ascii="Arial" w:eastAsia="Calibri" w:hAnsi="Arial" w:cs="Arial"/>
                <w:b/>
                <w:bCs/>
                <w:snapToGrid w:val="0"/>
                <w:sz w:val="18"/>
                <w:szCs w:val="18"/>
                <w:lang w:val="en-US"/>
              </w:rPr>
            </w:pPr>
            <w:r w:rsidRPr="00BD295E">
              <w:rPr>
                <w:rFonts w:ascii="Arial" w:hAnsi="Arial" w:cs="Arial"/>
                <w:snapToGrid w:val="0"/>
                <w:sz w:val="18"/>
                <w:szCs w:val="18"/>
                <w:lang w:val="en-US"/>
              </w:rPr>
              <w:t>Deputy Chairman</w:t>
            </w:r>
            <w:r w:rsidR="00A07300" w:rsidRPr="00BD295E">
              <w:rPr>
                <w:rFonts w:ascii="Arial" w:hAnsi="Arial" w:cs="Arial"/>
                <w:snapToGrid w:val="0"/>
                <w:sz w:val="18"/>
                <w:szCs w:val="18"/>
                <w:lang w:val="en-US"/>
              </w:rPr>
              <w:t>,</w:t>
            </w:r>
            <w:r w:rsidRPr="00BD295E">
              <w:rPr>
                <w:rFonts w:ascii="Arial" w:hAnsi="Arial" w:cs="Arial"/>
                <w:snapToGrid w:val="0"/>
                <w:sz w:val="18"/>
                <w:szCs w:val="18"/>
                <w:lang w:val="en-US"/>
              </w:rPr>
              <w:t xml:space="preserve"> Saint Petersburg</w:t>
            </w:r>
            <w:r w:rsidR="00A07300" w:rsidRPr="00BD295E">
              <w:rPr>
                <w:rFonts w:ascii="Arial" w:hAnsi="Arial" w:cs="Arial"/>
                <w:snapToGrid w:val="0"/>
                <w:sz w:val="18"/>
                <w:szCs w:val="18"/>
                <w:lang w:val="en-US"/>
              </w:rPr>
              <w:t xml:space="preserve"> Housing Committee</w:t>
            </w:r>
          </w:p>
        </w:tc>
      </w:tr>
      <w:tr w:rsidR="008A5057" w:rsidRPr="00BD295E" w14:paraId="798813DC" w14:textId="77777777" w:rsidTr="00E3510B">
        <w:tc>
          <w:tcPr>
            <w:tcW w:w="436" w:type="dxa"/>
            <w:shd w:val="clear" w:color="auto" w:fill="auto"/>
          </w:tcPr>
          <w:p w14:paraId="7EEF176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8</w:t>
            </w:r>
          </w:p>
        </w:tc>
        <w:tc>
          <w:tcPr>
            <w:tcW w:w="3124" w:type="dxa"/>
            <w:shd w:val="clear" w:color="auto" w:fill="auto"/>
            <w:vAlign w:val="center"/>
          </w:tcPr>
          <w:p w14:paraId="3561604C"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Sergey Miloslavsky</w:t>
            </w:r>
          </w:p>
        </w:tc>
        <w:tc>
          <w:tcPr>
            <w:tcW w:w="5784" w:type="dxa"/>
            <w:shd w:val="clear" w:color="auto" w:fill="auto"/>
            <w:vAlign w:val="center"/>
          </w:tcPr>
          <w:p w14:paraId="73B81EF2" w14:textId="77777777" w:rsidR="00F3260C" w:rsidRPr="00BD295E" w:rsidRDefault="008A5057" w:rsidP="00A07300">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Deputy CEO</w:t>
            </w:r>
            <w:r w:rsidR="00A07300" w:rsidRPr="00BD295E">
              <w:rPr>
                <w:rFonts w:ascii="Arial" w:hAnsi="Arial" w:cs="Arial"/>
                <w:bCs/>
                <w:snapToGrid w:val="0"/>
                <w:sz w:val="18"/>
                <w:szCs w:val="18"/>
                <w:lang w:val="en-US"/>
              </w:rPr>
              <w:t>,</w:t>
            </w:r>
            <w:r w:rsidRPr="00BD295E">
              <w:rPr>
                <w:rFonts w:ascii="Arial" w:hAnsi="Arial" w:cs="Arial"/>
                <w:bCs/>
                <w:snapToGrid w:val="0"/>
                <w:sz w:val="18"/>
                <w:szCs w:val="18"/>
                <w:lang w:val="en-US"/>
              </w:rPr>
              <w:t xml:space="preserve"> </w:t>
            </w:r>
            <w:r w:rsidR="00293DDA" w:rsidRPr="00BD295E">
              <w:rPr>
                <w:rFonts w:ascii="Arial" w:hAnsi="Arial" w:cs="Arial"/>
                <w:bCs/>
                <w:snapToGrid w:val="0"/>
                <w:sz w:val="18"/>
                <w:szCs w:val="18"/>
                <w:lang w:val="en-US"/>
              </w:rPr>
              <w:t>OJSC “Metrostroy”</w:t>
            </w:r>
          </w:p>
        </w:tc>
      </w:tr>
    </w:tbl>
    <w:p w14:paraId="746ED921"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5B8CAAB7" w14:textId="77777777" w:rsidR="00F3260C" w:rsidRPr="00BD295E" w:rsidRDefault="00F3260C" w:rsidP="00F3260C">
      <w:pPr>
        <w:jc w:val="both"/>
        <w:rPr>
          <w:rFonts w:ascii="Arial" w:hAnsi="Arial" w:cs="Arial"/>
          <w:sz w:val="18"/>
          <w:szCs w:val="18"/>
          <w:lang w:val="en-US"/>
        </w:rPr>
      </w:pPr>
    </w:p>
    <w:p w14:paraId="3E7E25B1"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In 2018, the Committee held nine meetings, including two in-person meetings.</w:t>
      </w:r>
    </w:p>
    <w:p w14:paraId="0878D0C5"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The Committee reviewed the following critical matters:</w:t>
      </w:r>
    </w:p>
    <w:p w14:paraId="1DEDC466"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 Review of the plan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on implementation of corrective and preventive measures aimed at remedying deficiencies identified by process and price audits of investment program progress reports.</w:t>
      </w:r>
    </w:p>
    <w:p w14:paraId="459444B0"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The priority focus of the Company in replacing outdoor lighting facilities in Saint Petersburg was determined.</w:t>
      </w:r>
    </w:p>
    <w:p w14:paraId="641BE04A"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 Recommendations to the Board of Directors on reviewing the draft business plan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 and the forecast for 2019–2022 were prepared.</w:t>
      </w:r>
    </w:p>
    <w:p w14:paraId="1C78543F"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Report on implementation of the Company’s business plan (including the investment program and information on key operational risks) for 2017 and 9M 2018.</w:t>
      </w:r>
    </w:p>
    <w:p w14:paraId="4F44B4CD"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 The report of the Company’s CEO on the management of key operational risks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2017 and 1H 2018.</w:t>
      </w:r>
    </w:p>
    <w:p w14:paraId="19D8F3FE" w14:textId="77777777" w:rsidR="00F3260C" w:rsidRPr="00BD295E" w:rsidRDefault="00F3260C" w:rsidP="00695DA9">
      <w:pPr>
        <w:jc w:val="both"/>
        <w:rPr>
          <w:rFonts w:ascii="Arial" w:hAnsi="Arial" w:cs="Arial"/>
          <w:sz w:val="18"/>
          <w:szCs w:val="18"/>
          <w:lang w:val="en-US"/>
        </w:rPr>
      </w:pPr>
    </w:p>
    <w:p w14:paraId="331510BF" w14:textId="77777777" w:rsidR="00F3260C" w:rsidRPr="00BD295E" w:rsidRDefault="008A5057" w:rsidP="00695DA9">
      <w:pPr>
        <w:pStyle w:val="311"/>
        <w:widowControl w:val="0"/>
        <w:spacing w:after="0"/>
        <w:jc w:val="both"/>
        <w:rPr>
          <w:rFonts w:ascii="Arial" w:hAnsi="Arial" w:cs="Arial"/>
          <w:sz w:val="18"/>
          <w:szCs w:val="18"/>
          <w:lang w:val="en-US"/>
        </w:rPr>
      </w:pPr>
      <w:r w:rsidRPr="00BD295E">
        <w:rPr>
          <w:rFonts w:ascii="Arial" w:hAnsi="Arial" w:cs="Arial"/>
          <w:sz w:val="18"/>
          <w:szCs w:val="18"/>
          <w:lang w:val="en-US"/>
        </w:rPr>
        <w:t xml:space="preserve">Minutes of meetings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are available on the Company’s corporate website at: </w:t>
      </w:r>
      <w:hyperlink r:id="rId106" w:history="1">
        <w:r w:rsidRPr="00BD295E">
          <w:rPr>
            <w:rStyle w:val="af0"/>
            <w:rFonts w:ascii="Arial" w:hAnsi="Arial" w:cs="Arial"/>
            <w:color w:val="auto"/>
            <w:sz w:val="18"/>
            <w:szCs w:val="18"/>
            <w:lang w:val="en-US"/>
          </w:rPr>
          <w:t>http://www.lenenergo.ru/shareholders/corp/control/komitets/kom_1/?part=2</w:t>
        </w:r>
      </w:hyperlink>
      <w:r w:rsidRPr="00BD295E">
        <w:rPr>
          <w:rFonts w:ascii="Arial" w:hAnsi="Arial" w:cs="Arial"/>
          <w:sz w:val="18"/>
          <w:szCs w:val="18"/>
          <w:lang w:val="en-US"/>
        </w:rPr>
        <w:t xml:space="preserve"> </w:t>
      </w:r>
    </w:p>
    <w:p w14:paraId="4A302F13" w14:textId="77777777" w:rsidR="00F3260C" w:rsidRPr="00BD295E" w:rsidRDefault="00F3260C" w:rsidP="00695DA9">
      <w:pPr>
        <w:rPr>
          <w:rFonts w:ascii="Arial" w:hAnsi="Arial" w:cs="Arial"/>
          <w:b/>
          <w:sz w:val="18"/>
          <w:szCs w:val="18"/>
          <w:lang w:val="en-US"/>
        </w:rPr>
      </w:pPr>
    </w:p>
    <w:p w14:paraId="358AD4E1" w14:textId="77777777" w:rsidR="00F3260C" w:rsidRPr="00BD295E" w:rsidRDefault="008A5057" w:rsidP="00695DA9">
      <w:pPr>
        <w:rPr>
          <w:rFonts w:ascii="Arial" w:hAnsi="Arial" w:cs="Arial"/>
          <w:b/>
          <w:sz w:val="18"/>
          <w:szCs w:val="18"/>
          <w:lang w:val="en-US"/>
        </w:rPr>
      </w:pPr>
      <w:r w:rsidRPr="00BD295E">
        <w:rPr>
          <w:rFonts w:ascii="Arial" w:hAnsi="Arial" w:cs="Arial"/>
          <w:b/>
          <w:sz w:val="18"/>
          <w:szCs w:val="18"/>
          <w:lang w:val="en-US"/>
        </w:rPr>
        <w:t>Report of the Reliability Committee</w:t>
      </w:r>
    </w:p>
    <w:p w14:paraId="2A158193" w14:textId="77777777" w:rsidR="00F3260C" w:rsidRPr="00BD295E" w:rsidRDefault="00F3260C" w:rsidP="00695DA9">
      <w:pPr>
        <w:rPr>
          <w:rFonts w:ascii="Arial" w:hAnsi="Arial" w:cs="Arial"/>
          <w:b/>
          <w:sz w:val="18"/>
          <w:szCs w:val="18"/>
          <w:lang w:val="en-US"/>
        </w:rPr>
      </w:pPr>
    </w:p>
    <w:p w14:paraId="1618A2F8"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The Reliability Committee of the Board of Directors plays an important role in ensuring the comprehensive reliability of grid equipment and facilities.</w:t>
      </w:r>
    </w:p>
    <w:p w14:paraId="4A30D145"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In 2018, the Committee operated in line with the Regulations for the Reliability Committee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restated, approved by the Resolution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19, 2017 (Minutes No. 10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22, 2017).</w:t>
      </w:r>
    </w:p>
    <w:p w14:paraId="4DD9215A"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Principal tasks of the Committee: </w:t>
      </w:r>
    </w:p>
    <w:p w14:paraId="1DE15902"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 Expert review of investment programs and repair plans for power facilities, analysis of their implementation in terms of ensuring comprehensive reliability; </w:t>
      </w:r>
    </w:p>
    <w:p w14:paraId="69205700"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 </w:t>
      </w:r>
      <w:r w:rsidR="00480F9B" w:rsidRPr="00BD295E">
        <w:rPr>
          <w:rFonts w:ascii="Arial" w:hAnsi="Arial" w:cs="Arial"/>
          <w:sz w:val="18"/>
          <w:szCs w:val="18"/>
          <w:lang w:val="en-US"/>
        </w:rPr>
        <w:t xml:space="preserve">Evaluation </w:t>
      </w:r>
      <w:r w:rsidRPr="00BD295E">
        <w:rPr>
          <w:rFonts w:ascii="Arial" w:hAnsi="Arial" w:cs="Arial"/>
          <w:sz w:val="18"/>
          <w:szCs w:val="18"/>
          <w:lang w:val="en-US"/>
        </w:rPr>
        <w:t xml:space="preserve">of completeness and sufficiency of measures taken to manage accidents and major process failures, as well as their follow-up, </w:t>
      </w:r>
      <w:r w:rsidR="00480F9B" w:rsidRPr="00BD295E">
        <w:rPr>
          <w:rFonts w:ascii="Arial" w:hAnsi="Arial" w:cs="Arial"/>
          <w:sz w:val="18"/>
          <w:szCs w:val="18"/>
          <w:lang w:val="en-US"/>
        </w:rPr>
        <w:t>performance evaluation</w:t>
      </w:r>
      <w:r w:rsidRPr="00BD295E">
        <w:rPr>
          <w:rFonts w:ascii="Arial" w:hAnsi="Arial" w:cs="Arial"/>
          <w:sz w:val="18"/>
          <w:szCs w:val="18"/>
          <w:lang w:val="en-US"/>
        </w:rPr>
        <w:t xml:space="preserve"> of the Company’s technical services.</w:t>
      </w:r>
    </w:p>
    <w:p w14:paraId="18B67A76" w14:textId="77777777" w:rsidR="00F3260C" w:rsidRPr="00BD295E" w:rsidRDefault="00F3260C" w:rsidP="00695DA9">
      <w:pPr>
        <w:jc w:val="both"/>
        <w:rPr>
          <w:rFonts w:ascii="Arial" w:hAnsi="Arial" w:cs="Arial"/>
          <w:b/>
          <w:sz w:val="18"/>
          <w:szCs w:val="18"/>
          <w:lang w:val="en-US"/>
        </w:rPr>
      </w:pPr>
    </w:p>
    <w:p w14:paraId="2B84C414" w14:textId="34067E77" w:rsidR="00F3260C" w:rsidRPr="00BD295E" w:rsidRDefault="008A5057" w:rsidP="00695DA9">
      <w:pPr>
        <w:jc w:val="both"/>
        <w:rPr>
          <w:rFonts w:ascii="Arial" w:hAnsi="Arial" w:cs="Arial"/>
          <w:b/>
          <w:sz w:val="18"/>
          <w:szCs w:val="18"/>
          <w:lang w:val="en-US"/>
        </w:rPr>
      </w:pPr>
      <w:r w:rsidRPr="00BD295E">
        <w:rPr>
          <w:rFonts w:ascii="Arial" w:hAnsi="Arial" w:cs="Arial"/>
          <w:b/>
          <w:sz w:val="18"/>
          <w:szCs w:val="18"/>
          <w:lang w:val="en-US"/>
        </w:rPr>
        <w:t xml:space="preserve">The current membership of the Reliability Committee of the Company’s Board of Directors was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6, 2018 (Minutes No. 5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9, 2018</w:t>
      </w:r>
      <w:r w:rsidR="002C3947" w:rsidRPr="00BD295E">
        <w:rPr>
          <w:rFonts w:ascii="Arial" w:hAnsi="Arial" w:cs="Arial"/>
          <w:b/>
          <w:sz w:val="18"/>
          <w:szCs w:val="18"/>
          <w:lang w:val="en-US"/>
        </w:rPr>
        <w:t>)*:</w:t>
      </w:r>
    </w:p>
    <w:p w14:paraId="1F630A7C" w14:textId="77777777" w:rsidR="00F3260C" w:rsidRPr="00BD295E" w:rsidRDefault="00F3260C" w:rsidP="00F3260C">
      <w:pPr>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103"/>
        <w:gridCol w:w="5736"/>
      </w:tblGrid>
      <w:tr w:rsidR="008A5057" w:rsidRPr="00BD295E" w14:paraId="6B5A6CD3" w14:textId="77777777" w:rsidTr="00E3510B">
        <w:tc>
          <w:tcPr>
            <w:tcW w:w="438" w:type="dxa"/>
            <w:shd w:val="clear" w:color="auto" w:fill="auto"/>
          </w:tcPr>
          <w:p w14:paraId="3595FB02"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24" w:type="dxa"/>
            <w:shd w:val="clear" w:color="auto" w:fill="auto"/>
          </w:tcPr>
          <w:p w14:paraId="55CB4BE6"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82" w:type="dxa"/>
            <w:shd w:val="clear" w:color="auto" w:fill="auto"/>
          </w:tcPr>
          <w:p w14:paraId="732B9E07"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3655FA8D" w14:textId="77777777" w:rsidTr="00E3510B">
        <w:tc>
          <w:tcPr>
            <w:tcW w:w="9344" w:type="dxa"/>
            <w:gridSpan w:val="3"/>
            <w:shd w:val="clear" w:color="auto" w:fill="auto"/>
          </w:tcPr>
          <w:p w14:paraId="070DC547"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26D46E0F" w14:textId="77777777" w:rsidTr="00E3510B">
        <w:tc>
          <w:tcPr>
            <w:tcW w:w="438" w:type="dxa"/>
            <w:shd w:val="clear" w:color="auto" w:fill="auto"/>
          </w:tcPr>
          <w:p w14:paraId="1B79D12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24" w:type="dxa"/>
            <w:shd w:val="clear" w:color="auto" w:fill="auto"/>
          </w:tcPr>
          <w:p w14:paraId="2B5AC95F" w14:textId="77777777" w:rsidR="00F3260C" w:rsidRPr="00BD295E" w:rsidRDefault="008A5057" w:rsidP="00E3510B">
            <w:pPr>
              <w:tabs>
                <w:tab w:val="left" w:pos="851"/>
              </w:tabs>
              <w:ind w:firstLine="41"/>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Dmitry Gvozdev</w:t>
            </w:r>
          </w:p>
          <w:p w14:paraId="54EC1E6C" w14:textId="77777777" w:rsidR="00F3260C" w:rsidRPr="00BD295E" w:rsidRDefault="00F3260C" w:rsidP="00E3510B">
            <w:pPr>
              <w:tabs>
                <w:tab w:val="left" w:pos="851"/>
              </w:tabs>
              <w:ind w:firstLine="41"/>
              <w:contextualSpacing/>
              <w:jc w:val="both"/>
              <w:rPr>
                <w:rFonts w:ascii="Arial" w:eastAsia="Calibri" w:hAnsi="Arial" w:cs="Arial"/>
                <w:snapToGrid w:val="0"/>
                <w:sz w:val="18"/>
                <w:szCs w:val="18"/>
                <w:lang w:val="en-US"/>
              </w:rPr>
            </w:pPr>
          </w:p>
        </w:tc>
        <w:tc>
          <w:tcPr>
            <w:tcW w:w="5782" w:type="dxa"/>
            <w:shd w:val="clear" w:color="auto" w:fill="auto"/>
          </w:tcPr>
          <w:p w14:paraId="0157F812"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Chief Engineer of </w:t>
            </w:r>
            <w:r w:rsidR="00BF106F" w:rsidRPr="00BD295E">
              <w:rPr>
                <w:rFonts w:ascii="Arial" w:hAnsi="Arial" w:cs="Arial"/>
                <w:snapToGrid w:val="0"/>
                <w:sz w:val="18"/>
                <w:szCs w:val="18"/>
                <w:lang w:val="en-US"/>
              </w:rPr>
              <w:t>PJSC “Rosseti”</w:t>
            </w:r>
          </w:p>
        </w:tc>
      </w:tr>
      <w:tr w:rsidR="008A5057" w:rsidRPr="00BD295E" w14:paraId="0C1A62CF" w14:textId="77777777" w:rsidTr="00E3510B">
        <w:tc>
          <w:tcPr>
            <w:tcW w:w="9344" w:type="dxa"/>
            <w:gridSpan w:val="3"/>
            <w:shd w:val="clear" w:color="auto" w:fill="auto"/>
          </w:tcPr>
          <w:p w14:paraId="3E8EECAC"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227DFB76" w14:textId="77777777" w:rsidTr="00E3510B">
        <w:tc>
          <w:tcPr>
            <w:tcW w:w="438" w:type="dxa"/>
            <w:shd w:val="clear" w:color="auto" w:fill="auto"/>
          </w:tcPr>
          <w:p w14:paraId="6B4D5299"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24" w:type="dxa"/>
            <w:shd w:val="clear" w:color="auto" w:fill="auto"/>
          </w:tcPr>
          <w:p w14:paraId="1066A8A7" w14:textId="77777777" w:rsidR="00F3260C" w:rsidRPr="00BD295E" w:rsidRDefault="008A5057" w:rsidP="00E3510B">
            <w:pPr>
              <w:tabs>
                <w:tab w:val="left" w:pos="851"/>
              </w:tabs>
              <w:ind w:firstLine="41"/>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Eduard Bogomolov</w:t>
            </w:r>
          </w:p>
          <w:p w14:paraId="4D60C5E4" w14:textId="77777777" w:rsidR="00F3260C" w:rsidRPr="00BD295E" w:rsidRDefault="00F3260C" w:rsidP="00E3510B">
            <w:pPr>
              <w:tabs>
                <w:tab w:val="left" w:pos="851"/>
              </w:tabs>
              <w:ind w:firstLine="41"/>
              <w:contextualSpacing/>
              <w:jc w:val="both"/>
              <w:rPr>
                <w:rFonts w:ascii="Arial" w:eastAsia="Calibri" w:hAnsi="Arial" w:cs="Arial"/>
                <w:snapToGrid w:val="0"/>
                <w:sz w:val="18"/>
                <w:szCs w:val="18"/>
                <w:lang w:val="en-US"/>
              </w:rPr>
            </w:pPr>
          </w:p>
        </w:tc>
        <w:tc>
          <w:tcPr>
            <w:tcW w:w="5782" w:type="dxa"/>
            <w:shd w:val="clear" w:color="auto" w:fill="auto"/>
          </w:tcPr>
          <w:p w14:paraId="149490A6"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First Deputy Director of Technical Supervision Center, a branch of </w:t>
            </w:r>
            <w:r w:rsidR="00BF106F" w:rsidRPr="00BD295E">
              <w:rPr>
                <w:rFonts w:ascii="Arial" w:hAnsi="Arial" w:cs="Arial"/>
                <w:snapToGrid w:val="0"/>
                <w:sz w:val="18"/>
                <w:szCs w:val="18"/>
                <w:lang w:val="en-US"/>
              </w:rPr>
              <w:t>PJSC “Rosseti”</w:t>
            </w:r>
          </w:p>
        </w:tc>
      </w:tr>
      <w:tr w:rsidR="008A5057" w:rsidRPr="00BD295E" w14:paraId="37594B99" w14:textId="77777777" w:rsidTr="00E3510B">
        <w:tc>
          <w:tcPr>
            <w:tcW w:w="438" w:type="dxa"/>
            <w:shd w:val="clear" w:color="auto" w:fill="auto"/>
          </w:tcPr>
          <w:p w14:paraId="56249876"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24" w:type="dxa"/>
            <w:shd w:val="clear" w:color="auto" w:fill="auto"/>
          </w:tcPr>
          <w:p w14:paraId="54F9C25B" w14:textId="77777777" w:rsidR="00F3260C" w:rsidRPr="00BD295E" w:rsidRDefault="008A5057" w:rsidP="00E3510B">
            <w:pPr>
              <w:tabs>
                <w:tab w:val="left" w:pos="851"/>
              </w:tabs>
              <w:ind w:firstLine="41"/>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Igor Kuzmin</w:t>
            </w:r>
          </w:p>
          <w:p w14:paraId="0CA1EE96" w14:textId="77777777" w:rsidR="00F3260C" w:rsidRPr="00BD295E" w:rsidRDefault="00F3260C" w:rsidP="00E3510B">
            <w:pPr>
              <w:tabs>
                <w:tab w:val="left" w:pos="851"/>
              </w:tabs>
              <w:ind w:firstLine="41"/>
              <w:contextualSpacing/>
              <w:jc w:val="both"/>
              <w:rPr>
                <w:rFonts w:ascii="Arial" w:eastAsia="Calibri" w:hAnsi="Arial" w:cs="Arial"/>
                <w:snapToGrid w:val="0"/>
                <w:sz w:val="18"/>
                <w:szCs w:val="18"/>
                <w:lang w:val="en-US"/>
              </w:rPr>
            </w:pPr>
          </w:p>
        </w:tc>
        <w:tc>
          <w:tcPr>
            <w:tcW w:w="5782" w:type="dxa"/>
            <w:shd w:val="clear" w:color="auto" w:fill="auto"/>
          </w:tcPr>
          <w:p w14:paraId="3B4A9595"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First Deputy CEO – Chief Engineer of </w:t>
            </w:r>
            <w:r w:rsidR="00EE5753" w:rsidRPr="00BD295E">
              <w:rPr>
                <w:rFonts w:ascii="Arial" w:hAnsi="Arial" w:cs="Arial"/>
                <w:snapToGrid w:val="0"/>
                <w:sz w:val="18"/>
                <w:szCs w:val="18"/>
                <w:lang w:val="en-US"/>
              </w:rPr>
              <w:t>PJSC “Lenenergo”</w:t>
            </w:r>
          </w:p>
        </w:tc>
      </w:tr>
      <w:tr w:rsidR="008A5057" w:rsidRPr="00BD295E" w14:paraId="1B9E6DD0" w14:textId="77777777" w:rsidTr="00E3510B">
        <w:tc>
          <w:tcPr>
            <w:tcW w:w="438" w:type="dxa"/>
            <w:shd w:val="clear" w:color="auto" w:fill="auto"/>
          </w:tcPr>
          <w:p w14:paraId="77B5F795"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24" w:type="dxa"/>
            <w:shd w:val="clear" w:color="auto" w:fill="auto"/>
          </w:tcPr>
          <w:p w14:paraId="1AE80884" w14:textId="77777777" w:rsidR="00F3260C" w:rsidRPr="00BD295E" w:rsidRDefault="008A5057" w:rsidP="00E3510B">
            <w:pPr>
              <w:tabs>
                <w:tab w:val="left" w:pos="851"/>
              </w:tabs>
              <w:ind w:firstLine="41"/>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Andrey Soldatov</w:t>
            </w:r>
          </w:p>
          <w:p w14:paraId="529B6D52" w14:textId="77777777" w:rsidR="00F3260C" w:rsidRPr="00BD295E" w:rsidRDefault="00F3260C" w:rsidP="00E3510B">
            <w:pPr>
              <w:tabs>
                <w:tab w:val="left" w:pos="851"/>
              </w:tabs>
              <w:ind w:firstLine="41"/>
              <w:contextualSpacing/>
              <w:jc w:val="both"/>
              <w:rPr>
                <w:rFonts w:ascii="Arial" w:eastAsia="Calibri" w:hAnsi="Arial" w:cs="Arial"/>
                <w:snapToGrid w:val="0"/>
                <w:sz w:val="18"/>
                <w:szCs w:val="18"/>
                <w:lang w:val="en-US"/>
              </w:rPr>
            </w:pPr>
          </w:p>
        </w:tc>
        <w:tc>
          <w:tcPr>
            <w:tcW w:w="5782" w:type="dxa"/>
            <w:shd w:val="clear" w:color="auto" w:fill="auto"/>
          </w:tcPr>
          <w:p w14:paraId="2FBDB390" w14:textId="78D562A5"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Energy and Fuel Budget Unit,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of Regulated Organizations Division of the Tariffs Committee of Saint Petersburg</w:t>
            </w:r>
          </w:p>
        </w:tc>
      </w:tr>
      <w:tr w:rsidR="008A5057" w:rsidRPr="00BD295E" w14:paraId="1D793106" w14:textId="77777777" w:rsidTr="00E3510B">
        <w:tc>
          <w:tcPr>
            <w:tcW w:w="438" w:type="dxa"/>
            <w:shd w:val="clear" w:color="auto" w:fill="auto"/>
          </w:tcPr>
          <w:p w14:paraId="27E7778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24" w:type="dxa"/>
            <w:shd w:val="clear" w:color="auto" w:fill="auto"/>
          </w:tcPr>
          <w:p w14:paraId="75E0CA35" w14:textId="77777777" w:rsidR="00F3260C" w:rsidRPr="00BD295E" w:rsidRDefault="008A5057" w:rsidP="00E3510B">
            <w:pPr>
              <w:tabs>
                <w:tab w:val="left" w:pos="851"/>
              </w:tabs>
              <w:ind w:firstLine="41"/>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Konstantin Kotvitsky </w:t>
            </w:r>
          </w:p>
          <w:p w14:paraId="4BBA497E" w14:textId="77777777" w:rsidR="00F3260C" w:rsidRPr="00BD295E" w:rsidRDefault="008A5057" w:rsidP="00E3510B">
            <w:pPr>
              <w:tabs>
                <w:tab w:val="left" w:pos="851"/>
              </w:tabs>
              <w:ind w:firstLine="41"/>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 </w:t>
            </w:r>
          </w:p>
        </w:tc>
        <w:tc>
          <w:tcPr>
            <w:tcW w:w="5782" w:type="dxa"/>
            <w:shd w:val="clear" w:color="auto" w:fill="auto"/>
          </w:tcPr>
          <w:p w14:paraId="44A23287"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Head of the Engineering Division of the Energy and Engineering Support Committee of Saint Petersburg</w:t>
            </w:r>
          </w:p>
        </w:tc>
      </w:tr>
    </w:tbl>
    <w:p w14:paraId="4D5A6DB3"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212F408C" w14:textId="77777777" w:rsidR="00F3260C" w:rsidRPr="00BD295E" w:rsidRDefault="00F3260C" w:rsidP="00F3260C">
      <w:pPr>
        <w:jc w:val="both"/>
        <w:rPr>
          <w:rFonts w:ascii="Arial" w:hAnsi="Arial" w:cs="Arial"/>
          <w:b/>
          <w:sz w:val="18"/>
          <w:szCs w:val="18"/>
          <w:lang w:val="en-US"/>
        </w:rPr>
      </w:pPr>
    </w:p>
    <w:p w14:paraId="2CCC1081" w14:textId="77777777"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Composition of the Reliability Committee of the Company’s Board of Directors in 2018</w:t>
      </w:r>
    </w:p>
    <w:p w14:paraId="2BA1EFF1" w14:textId="77777777" w:rsidR="00F3260C" w:rsidRPr="00BD295E" w:rsidRDefault="00F3260C" w:rsidP="00F3260C">
      <w:pPr>
        <w:ind w:firstLine="567"/>
        <w:jc w:val="both"/>
        <w:rPr>
          <w:rFonts w:ascii="Arial" w:hAnsi="Arial" w:cs="Arial"/>
          <w:sz w:val="18"/>
          <w:szCs w:val="18"/>
          <w:lang w:val="en-US"/>
        </w:rPr>
      </w:pPr>
    </w:p>
    <w:p w14:paraId="7E7ECA89" w14:textId="29C3DFE9"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 xml:space="preserve">The Reliability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July 17, 2017 (Minutes No. 5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July 20, 2017</w:t>
      </w:r>
      <w:r w:rsidR="002C3947" w:rsidRPr="00BD295E">
        <w:rPr>
          <w:rFonts w:ascii="Arial" w:hAnsi="Arial" w:cs="Arial"/>
          <w:b/>
          <w:sz w:val="18"/>
          <w:szCs w:val="18"/>
          <w:lang w:val="en-US"/>
        </w:rPr>
        <w:t>)*:</w:t>
      </w:r>
    </w:p>
    <w:p w14:paraId="612CEFBD" w14:textId="77777777" w:rsidR="00F3260C" w:rsidRPr="00BD295E" w:rsidRDefault="00F3260C" w:rsidP="00F3260C">
      <w:pPr>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102"/>
        <w:gridCol w:w="5737"/>
      </w:tblGrid>
      <w:tr w:rsidR="008A5057" w:rsidRPr="00BD295E" w14:paraId="1A234966" w14:textId="77777777" w:rsidTr="00E3510B">
        <w:tc>
          <w:tcPr>
            <w:tcW w:w="437" w:type="dxa"/>
            <w:shd w:val="clear" w:color="auto" w:fill="auto"/>
          </w:tcPr>
          <w:p w14:paraId="13F61D2C"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24" w:type="dxa"/>
            <w:shd w:val="clear" w:color="auto" w:fill="auto"/>
          </w:tcPr>
          <w:p w14:paraId="63C9EFF5"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83" w:type="dxa"/>
            <w:shd w:val="clear" w:color="auto" w:fill="auto"/>
          </w:tcPr>
          <w:p w14:paraId="55077513"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26EAFD75" w14:textId="77777777" w:rsidTr="00E3510B">
        <w:tc>
          <w:tcPr>
            <w:tcW w:w="9344" w:type="dxa"/>
            <w:gridSpan w:val="3"/>
            <w:shd w:val="clear" w:color="auto" w:fill="auto"/>
          </w:tcPr>
          <w:p w14:paraId="56C38C52"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0F706271" w14:textId="77777777" w:rsidTr="00E3510B">
        <w:tc>
          <w:tcPr>
            <w:tcW w:w="437" w:type="dxa"/>
            <w:shd w:val="clear" w:color="auto" w:fill="auto"/>
          </w:tcPr>
          <w:p w14:paraId="200A38E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24" w:type="dxa"/>
            <w:shd w:val="clear" w:color="auto" w:fill="auto"/>
          </w:tcPr>
          <w:p w14:paraId="43362074" w14:textId="77777777" w:rsidR="00F3260C" w:rsidRPr="00BD295E" w:rsidRDefault="008A5057" w:rsidP="00E3510B">
            <w:pPr>
              <w:widowControl w:val="0"/>
              <w:rPr>
                <w:rFonts w:ascii="Arial" w:hAnsi="Arial" w:cs="Arial"/>
                <w:sz w:val="18"/>
                <w:szCs w:val="18"/>
                <w:lang w:val="en-US"/>
              </w:rPr>
            </w:pPr>
            <w:r w:rsidRPr="00BD295E">
              <w:rPr>
                <w:rFonts w:ascii="Arial" w:hAnsi="Arial" w:cs="Arial"/>
                <w:bCs/>
                <w:sz w:val="18"/>
                <w:szCs w:val="18"/>
                <w:lang w:val="en-US"/>
              </w:rPr>
              <w:t>Vladimir Ukolov</w:t>
            </w:r>
          </w:p>
        </w:tc>
        <w:tc>
          <w:tcPr>
            <w:tcW w:w="5783" w:type="dxa"/>
            <w:shd w:val="clear" w:color="auto" w:fill="auto"/>
          </w:tcPr>
          <w:p w14:paraId="0E87EBDE" w14:textId="77777777" w:rsidR="00F3260C" w:rsidRPr="00BD295E" w:rsidRDefault="008A5057" w:rsidP="0031297B">
            <w:pPr>
              <w:rPr>
                <w:rFonts w:ascii="Arial" w:hAnsi="Arial" w:cs="Arial"/>
                <w:sz w:val="18"/>
                <w:szCs w:val="18"/>
                <w:lang w:val="en-US"/>
              </w:rPr>
            </w:pPr>
            <w:r w:rsidRPr="00BD295E">
              <w:rPr>
                <w:rFonts w:ascii="Arial" w:hAnsi="Arial" w:cs="Arial"/>
                <w:snapToGrid w:val="0"/>
                <w:sz w:val="18"/>
                <w:szCs w:val="18"/>
                <w:lang w:val="en-US"/>
              </w:rPr>
              <w:t xml:space="preserve">Deputy Director of the Command Center of </w:t>
            </w:r>
            <w:r w:rsidR="00BF106F" w:rsidRPr="00BD295E">
              <w:rPr>
                <w:rFonts w:ascii="Arial" w:hAnsi="Arial" w:cs="Arial"/>
                <w:snapToGrid w:val="0"/>
                <w:sz w:val="18"/>
                <w:szCs w:val="18"/>
                <w:lang w:val="en-US"/>
              </w:rPr>
              <w:t>PJSC “Rosseti”</w:t>
            </w:r>
          </w:p>
        </w:tc>
      </w:tr>
      <w:tr w:rsidR="008A5057" w:rsidRPr="00BD295E" w14:paraId="11C40A7E" w14:textId="77777777" w:rsidTr="00E3510B">
        <w:tc>
          <w:tcPr>
            <w:tcW w:w="9344" w:type="dxa"/>
            <w:gridSpan w:val="3"/>
            <w:shd w:val="clear" w:color="auto" w:fill="auto"/>
          </w:tcPr>
          <w:p w14:paraId="657D44C4"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3F49326B" w14:textId="77777777" w:rsidTr="00E3510B">
        <w:tc>
          <w:tcPr>
            <w:tcW w:w="437" w:type="dxa"/>
            <w:shd w:val="clear" w:color="auto" w:fill="auto"/>
          </w:tcPr>
          <w:p w14:paraId="28D33DD8"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24" w:type="dxa"/>
            <w:shd w:val="clear" w:color="auto" w:fill="auto"/>
          </w:tcPr>
          <w:p w14:paraId="4AF8588A"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Eduard Bogomolov</w:t>
            </w:r>
          </w:p>
        </w:tc>
        <w:tc>
          <w:tcPr>
            <w:tcW w:w="5783" w:type="dxa"/>
            <w:shd w:val="clear" w:color="auto" w:fill="auto"/>
          </w:tcPr>
          <w:p w14:paraId="34699481"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First Deputy Director of </w:t>
            </w:r>
          </w:p>
          <w:p w14:paraId="5172E1B1"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Technical Supervision Center, a branch of </w:t>
            </w:r>
            <w:r w:rsidR="00BF106F" w:rsidRPr="00BD295E">
              <w:rPr>
                <w:rFonts w:ascii="Arial" w:hAnsi="Arial" w:cs="Arial"/>
                <w:snapToGrid w:val="0"/>
                <w:sz w:val="18"/>
                <w:szCs w:val="18"/>
                <w:lang w:val="en-US"/>
              </w:rPr>
              <w:t>PJSC “Rosseti”</w:t>
            </w:r>
          </w:p>
        </w:tc>
      </w:tr>
      <w:tr w:rsidR="008A5057" w:rsidRPr="00BD295E" w14:paraId="26B061C1" w14:textId="77777777" w:rsidTr="00E3510B">
        <w:tc>
          <w:tcPr>
            <w:tcW w:w="437" w:type="dxa"/>
            <w:shd w:val="clear" w:color="auto" w:fill="auto"/>
          </w:tcPr>
          <w:p w14:paraId="76201B05"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24" w:type="dxa"/>
            <w:shd w:val="clear" w:color="auto" w:fill="auto"/>
          </w:tcPr>
          <w:p w14:paraId="48B97B16"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Kirill Martynov</w:t>
            </w:r>
          </w:p>
        </w:tc>
        <w:tc>
          <w:tcPr>
            <w:tcW w:w="5783" w:type="dxa"/>
            <w:shd w:val="clear" w:color="auto" w:fill="auto"/>
          </w:tcPr>
          <w:p w14:paraId="0EB3E6F8" w14:textId="77777777" w:rsidR="00F3260C" w:rsidRPr="00BD295E" w:rsidRDefault="008A5057" w:rsidP="00E3510B">
            <w:pPr>
              <w:tabs>
                <w:tab w:val="left" w:pos="851"/>
              </w:tabs>
              <w:ind w:right="460"/>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CEO for Economic</w:t>
            </w:r>
            <w:r w:rsidR="00971288" w:rsidRPr="00BD295E">
              <w:rPr>
                <w:rFonts w:ascii="Arial" w:hAnsi="Arial" w:cs="Arial"/>
                <w:snapToGrid w:val="0"/>
                <w:sz w:val="18"/>
                <w:szCs w:val="18"/>
                <w:lang w:val="en-US"/>
              </w:rPr>
              <w:t xml:space="preserve"> Affairs</w:t>
            </w:r>
            <w:r w:rsidRPr="00BD295E">
              <w:rPr>
                <w:rFonts w:ascii="Arial" w:hAnsi="Arial" w:cs="Arial"/>
                <w:snapToGrid w:val="0"/>
                <w:sz w:val="18"/>
                <w:szCs w:val="18"/>
                <w:lang w:val="en-US"/>
              </w:rPr>
              <w:t xml:space="preserve"> and Finance, </w:t>
            </w:r>
            <w:r w:rsidR="00EE5753" w:rsidRPr="00BD295E">
              <w:rPr>
                <w:rFonts w:ascii="Arial" w:hAnsi="Arial" w:cs="Arial"/>
                <w:snapToGrid w:val="0"/>
                <w:sz w:val="18"/>
                <w:szCs w:val="18"/>
                <w:lang w:val="en-US"/>
              </w:rPr>
              <w:t>PJSC “Lenenergo”</w:t>
            </w:r>
          </w:p>
        </w:tc>
      </w:tr>
      <w:tr w:rsidR="008A5057" w:rsidRPr="00BD295E" w14:paraId="3895A98E" w14:textId="77777777" w:rsidTr="00E3510B">
        <w:tc>
          <w:tcPr>
            <w:tcW w:w="437" w:type="dxa"/>
            <w:shd w:val="clear" w:color="auto" w:fill="auto"/>
          </w:tcPr>
          <w:p w14:paraId="57A302A7"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24" w:type="dxa"/>
            <w:shd w:val="clear" w:color="auto" w:fill="auto"/>
          </w:tcPr>
          <w:p w14:paraId="23A99CD5"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Maksim Artemyev</w:t>
            </w:r>
          </w:p>
        </w:tc>
        <w:tc>
          <w:tcPr>
            <w:tcW w:w="5783" w:type="dxa"/>
            <w:shd w:val="clear" w:color="auto" w:fill="auto"/>
          </w:tcPr>
          <w:p w14:paraId="3CF25AE4"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First Deputy CEO – Chief Engineer, </w:t>
            </w:r>
            <w:r w:rsidR="00EE5753" w:rsidRPr="00BD295E">
              <w:rPr>
                <w:rFonts w:ascii="Arial" w:hAnsi="Arial" w:cs="Arial"/>
                <w:snapToGrid w:val="0"/>
                <w:sz w:val="18"/>
                <w:szCs w:val="18"/>
                <w:lang w:val="en-US"/>
              </w:rPr>
              <w:t>PJSC “Lenenergo”</w:t>
            </w:r>
          </w:p>
        </w:tc>
      </w:tr>
      <w:tr w:rsidR="008A5057" w:rsidRPr="00BD295E" w14:paraId="39FA03BB" w14:textId="77777777" w:rsidTr="00E3510B">
        <w:tc>
          <w:tcPr>
            <w:tcW w:w="437" w:type="dxa"/>
            <w:shd w:val="clear" w:color="auto" w:fill="auto"/>
          </w:tcPr>
          <w:p w14:paraId="6096866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24" w:type="dxa"/>
            <w:shd w:val="clear" w:color="auto" w:fill="auto"/>
          </w:tcPr>
          <w:p w14:paraId="09AFD546"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Andrey Soldatov</w:t>
            </w:r>
          </w:p>
        </w:tc>
        <w:tc>
          <w:tcPr>
            <w:tcW w:w="5783" w:type="dxa"/>
            <w:shd w:val="clear" w:color="auto" w:fill="auto"/>
          </w:tcPr>
          <w:p w14:paraId="39959175" w14:textId="5BE52BA4"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Energy and Fuel Budget Unit,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of Regulated Organizations Division of the Tariffs Committee of Saint Petersburg</w:t>
            </w:r>
          </w:p>
        </w:tc>
      </w:tr>
      <w:tr w:rsidR="008A5057" w:rsidRPr="00BD295E" w14:paraId="6544D758" w14:textId="77777777" w:rsidTr="00E3510B">
        <w:tc>
          <w:tcPr>
            <w:tcW w:w="437" w:type="dxa"/>
            <w:shd w:val="clear" w:color="auto" w:fill="auto"/>
          </w:tcPr>
          <w:p w14:paraId="476DE8B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3124" w:type="dxa"/>
            <w:shd w:val="clear" w:color="auto" w:fill="auto"/>
          </w:tcPr>
          <w:p w14:paraId="5E8473EA"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Oleg Kurasov </w:t>
            </w:r>
          </w:p>
        </w:tc>
        <w:tc>
          <w:tcPr>
            <w:tcW w:w="5783" w:type="dxa"/>
            <w:shd w:val="clear" w:color="auto" w:fill="auto"/>
          </w:tcPr>
          <w:p w14:paraId="1A5FB8E5"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Leading Specialist of the Dispatch Control Service Sector of the Technical Division of the Energy and Engineering Support Committee of Saint Petersburg</w:t>
            </w:r>
          </w:p>
        </w:tc>
      </w:tr>
      <w:tr w:rsidR="008A5057" w:rsidRPr="00BD295E" w14:paraId="1E99881B" w14:textId="77777777" w:rsidTr="00E3510B">
        <w:tc>
          <w:tcPr>
            <w:tcW w:w="437" w:type="dxa"/>
            <w:shd w:val="clear" w:color="auto" w:fill="auto"/>
          </w:tcPr>
          <w:p w14:paraId="1D0646F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w:t>
            </w:r>
          </w:p>
        </w:tc>
        <w:tc>
          <w:tcPr>
            <w:tcW w:w="3124" w:type="dxa"/>
            <w:shd w:val="clear" w:color="auto" w:fill="auto"/>
          </w:tcPr>
          <w:p w14:paraId="14DDAFE7"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Dmitry Mikheyev</w:t>
            </w:r>
          </w:p>
        </w:tc>
        <w:tc>
          <w:tcPr>
            <w:tcW w:w="5783" w:type="dxa"/>
            <w:shd w:val="clear" w:color="auto" w:fill="auto"/>
          </w:tcPr>
          <w:p w14:paraId="17B1E48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Director of Department – Head of the Electricity Industry Perspective Development of the Electricity Department Development Department of the Russian Ministry of Energy</w:t>
            </w:r>
          </w:p>
        </w:tc>
      </w:tr>
    </w:tbl>
    <w:p w14:paraId="030744F6"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48ED39FA" w14:textId="77777777" w:rsidR="00F3260C" w:rsidRPr="00BD295E" w:rsidRDefault="00F3260C" w:rsidP="00F3260C">
      <w:pPr>
        <w:ind w:firstLine="567"/>
        <w:jc w:val="both"/>
        <w:rPr>
          <w:rFonts w:ascii="Arial" w:hAnsi="Arial" w:cs="Arial"/>
          <w:sz w:val="18"/>
          <w:szCs w:val="18"/>
          <w:lang w:val="en-US"/>
        </w:rPr>
      </w:pPr>
    </w:p>
    <w:p w14:paraId="4FD616E5" w14:textId="579D4D22"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 xml:space="preserve">The Reliability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21, 2018 (Minutes No. 32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23, 2018</w:t>
      </w:r>
      <w:r w:rsidR="002C3947" w:rsidRPr="00BD295E">
        <w:rPr>
          <w:rFonts w:ascii="Arial" w:hAnsi="Arial" w:cs="Arial"/>
          <w:b/>
          <w:sz w:val="18"/>
          <w:szCs w:val="18"/>
          <w:lang w:val="en-US"/>
        </w:rPr>
        <w:t>)*:</w:t>
      </w:r>
    </w:p>
    <w:p w14:paraId="63392F53" w14:textId="77777777" w:rsidR="00F3260C" w:rsidRPr="00BD295E" w:rsidRDefault="00F3260C" w:rsidP="00F3260C">
      <w:pPr>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103"/>
        <w:gridCol w:w="5736"/>
      </w:tblGrid>
      <w:tr w:rsidR="008A5057" w:rsidRPr="00BD295E" w14:paraId="3347B13A" w14:textId="77777777" w:rsidTr="00E3510B">
        <w:tc>
          <w:tcPr>
            <w:tcW w:w="437" w:type="dxa"/>
            <w:shd w:val="clear" w:color="auto" w:fill="auto"/>
          </w:tcPr>
          <w:p w14:paraId="23D95EB7"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24" w:type="dxa"/>
            <w:shd w:val="clear" w:color="auto" w:fill="auto"/>
          </w:tcPr>
          <w:p w14:paraId="65136AF8"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83" w:type="dxa"/>
            <w:shd w:val="clear" w:color="auto" w:fill="auto"/>
          </w:tcPr>
          <w:p w14:paraId="34FB99CA"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61B59700" w14:textId="77777777" w:rsidTr="00E3510B">
        <w:tc>
          <w:tcPr>
            <w:tcW w:w="9344" w:type="dxa"/>
            <w:gridSpan w:val="3"/>
            <w:shd w:val="clear" w:color="auto" w:fill="auto"/>
          </w:tcPr>
          <w:p w14:paraId="6066C58D"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42A0EBA2" w14:textId="77777777" w:rsidTr="00E3510B">
        <w:tc>
          <w:tcPr>
            <w:tcW w:w="437" w:type="dxa"/>
            <w:shd w:val="clear" w:color="auto" w:fill="auto"/>
          </w:tcPr>
          <w:p w14:paraId="0E6EC09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24" w:type="dxa"/>
            <w:shd w:val="clear" w:color="auto" w:fill="auto"/>
          </w:tcPr>
          <w:p w14:paraId="49DFB979"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Dmitry Gvozdev</w:t>
            </w:r>
          </w:p>
        </w:tc>
        <w:tc>
          <w:tcPr>
            <w:tcW w:w="5783" w:type="dxa"/>
            <w:shd w:val="clear" w:color="auto" w:fill="auto"/>
          </w:tcPr>
          <w:p w14:paraId="26DB3585"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Chief Engineer of </w:t>
            </w:r>
            <w:r w:rsidR="00BF106F" w:rsidRPr="00BD295E">
              <w:rPr>
                <w:rFonts w:ascii="Arial" w:hAnsi="Arial" w:cs="Arial"/>
                <w:snapToGrid w:val="0"/>
                <w:sz w:val="18"/>
                <w:szCs w:val="18"/>
                <w:lang w:val="en-US"/>
              </w:rPr>
              <w:t>PJSC “Rosseti”</w:t>
            </w:r>
          </w:p>
        </w:tc>
      </w:tr>
      <w:tr w:rsidR="008A5057" w:rsidRPr="00BD295E" w14:paraId="6E804C5B" w14:textId="77777777" w:rsidTr="00E3510B">
        <w:tc>
          <w:tcPr>
            <w:tcW w:w="9344" w:type="dxa"/>
            <w:gridSpan w:val="3"/>
            <w:shd w:val="clear" w:color="auto" w:fill="auto"/>
          </w:tcPr>
          <w:p w14:paraId="327C8829"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7F71C263" w14:textId="77777777" w:rsidTr="00E3510B">
        <w:tc>
          <w:tcPr>
            <w:tcW w:w="437" w:type="dxa"/>
            <w:shd w:val="clear" w:color="auto" w:fill="auto"/>
          </w:tcPr>
          <w:p w14:paraId="4AFE397E"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24" w:type="dxa"/>
            <w:shd w:val="clear" w:color="auto" w:fill="auto"/>
          </w:tcPr>
          <w:p w14:paraId="15F0691F"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Eduard Bogomolov</w:t>
            </w:r>
          </w:p>
        </w:tc>
        <w:tc>
          <w:tcPr>
            <w:tcW w:w="5783" w:type="dxa"/>
            <w:shd w:val="clear" w:color="auto" w:fill="auto"/>
          </w:tcPr>
          <w:p w14:paraId="42FD95A4"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First Deputy Director of </w:t>
            </w:r>
          </w:p>
          <w:p w14:paraId="15628414"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Technical Supervision Center, a branch of </w:t>
            </w:r>
            <w:r w:rsidR="00BF106F" w:rsidRPr="00BD295E">
              <w:rPr>
                <w:rFonts w:ascii="Arial" w:hAnsi="Arial" w:cs="Arial"/>
                <w:snapToGrid w:val="0"/>
                <w:sz w:val="18"/>
                <w:szCs w:val="18"/>
                <w:lang w:val="en-US"/>
              </w:rPr>
              <w:t>PJSC “Rosseti”</w:t>
            </w:r>
          </w:p>
        </w:tc>
      </w:tr>
      <w:tr w:rsidR="008A5057" w:rsidRPr="00BD295E" w14:paraId="6910BADD" w14:textId="77777777" w:rsidTr="00E3510B">
        <w:tc>
          <w:tcPr>
            <w:tcW w:w="437" w:type="dxa"/>
            <w:shd w:val="clear" w:color="auto" w:fill="auto"/>
          </w:tcPr>
          <w:p w14:paraId="4A3B48F9"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24" w:type="dxa"/>
            <w:shd w:val="clear" w:color="auto" w:fill="auto"/>
          </w:tcPr>
          <w:p w14:paraId="5F6B5FC8"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Pavel Dyakov</w:t>
            </w:r>
          </w:p>
        </w:tc>
        <w:tc>
          <w:tcPr>
            <w:tcW w:w="5783" w:type="dxa"/>
            <w:shd w:val="clear" w:color="auto" w:fill="auto"/>
          </w:tcPr>
          <w:p w14:paraId="35466801"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CEO for Development and Sales of Services at </w:t>
            </w:r>
            <w:r w:rsidR="00BF106F" w:rsidRPr="00BD295E">
              <w:rPr>
                <w:rFonts w:ascii="Arial" w:hAnsi="Arial" w:cs="Arial"/>
                <w:snapToGrid w:val="0"/>
                <w:sz w:val="18"/>
                <w:szCs w:val="18"/>
                <w:lang w:val="en-US"/>
              </w:rPr>
              <w:t>PJSC “Rosseti”</w:t>
            </w:r>
          </w:p>
        </w:tc>
      </w:tr>
      <w:tr w:rsidR="008A5057" w:rsidRPr="00BD295E" w14:paraId="0C3EEDA0" w14:textId="77777777" w:rsidTr="00E3510B">
        <w:tc>
          <w:tcPr>
            <w:tcW w:w="437" w:type="dxa"/>
            <w:shd w:val="clear" w:color="auto" w:fill="auto"/>
          </w:tcPr>
          <w:p w14:paraId="41DD9B95"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24" w:type="dxa"/>
            <w:shd w:val="clear" w:color="auto" w:fill="auto"/>
          </w:tcPr>
          <w:p w14:paraId="6DA68129"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Igor Kuzmin</w:t>
            </w:r>
          </w:p>
        </w:tc>
        <w:tc>
          <w:tcPr>
            <w:tcW w:w="5783" w:type="dxa"/>
            <w:shd w:val="clear" w:color="auto" w:fill="auto"/>
          </w:tcPr>
          <w:p w14:paraId="27B60086"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First Deputy CEO – Chief Engineer, </w:t>
            </w:r>
            <w:r w:rsidR="00EE5753" w:rsidRPr="00BD295E">
              <w:rPr>
                <w:rFonts w:ascii="Arial" w:hAnsi="Arial" w:cs="Arial"/>
                <w:snapToGrid w:val="0"/>
                <w:sz w:val="18"/>
                <w:szCs w:val="18"/>
                <w:lang w:val="en-US"/>
              </w:rPr>
              <w:t>PJSC “Lenenergo”</w:t>
            </w:r>
          </w:p>
        </w:tc>
      </w:tr>
      <w:tr w:rsidR="008A5057" w:rsidRPr="00BD295E" w14:paraId="2D4273DA" w14:textId="77777777" w:rsidTr="00E3510B">
        <w:tc>
          <w:tcPr>
            <w:tcW w:w="437" w:type="dxa"/>
            <w:shd w:val="clear" w:color="auto" w:fill="auto"/>
          </w:tcPr>
          <w:p w14:paraId="652EB78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24" w:type="dxa"/>
            <w:shd w:val="clear" w:color="auto" w:fill="auto"/>
          </w:tcPr>
          <w:p w14:paraId="4C440D9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Andrey Soldatov</w:t>
            </w:r>
          </w:p>
        </w:tc>
        <w:tc>
          <w:tcPr>
            <w:tcW w:w="5783" w:type="dxa"/>
            <w:shd w:val="clear" w:color="auto" w:fill="auto"/>
          </w:tcPr>
          <w:p w14:paraId="69CB09C3" w14:textId="12420CD2"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Energy and Fuel Budget Unit,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of Regulated Organizations Division of the Tariffs Committee of Saint Petersburg</w:t>
            </w:r>
          </w:p>
        </w:tc>
      </w:tr>
      <w:tr w:rsidR="008A5057" w:rsidRPr="00BD295E" w14:paraId="1DC1387F" w14:textId="77777777" w:rsidTr="00E3510B">
        <w:tc>
          <w:tcPr>
            <w:tcW w:w="437" w:type="dxa"/>
            <w:shd w:val="clear" w:color="auto" w:fill="auto"/>
          </w:tcPr>
          <w:p w14:paraId="69634F4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3124" w:type="dxa"/>
            <w:shd w:val="clear" w:color="auto" w:fill="auto"/>
          </w:tcPr>
          <w:p w14:paraId="21E46162"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Oleg Kurasov </w:t>
            </w:r>
          </w:p>
        </w:tc>
        <w:tc>
          <w:tcPr>
            <w:tcW w:w="5783" w:type="dxa"/>
            <w:shd w:val="clear" w:color="auto" w:fill="auto"/>
          </w:tcPr>
          <w:p w14:paraId="5178AE3D"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Leading Specialist of the Dispatch Control Service Sector of the Technical Division of the Energy and Engineering Support Committee of Saint Petersburg</w:t>
            </w:r>
          </w:p>
        </w:tc>
      </w:tr>
      <w:tr w:rsidR="008A5057" w:rsidRPr="00BD295E" w14:paraId="34AE3CD7" w14:textId="77777777" w:rsidTr="00E3510B">
        <w:tc>
          <w:tcPr>
            <w:tcW w:w="437" w:type="dxa"/>
            <w:shd w:val="clear" w:color="auto" w:fill="auto"/>
          </w:tcPr>
          <w:p w14:paraId="18A12DE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w:t>
            </w:r>
          </w:p>
        </w:tc>
        <w:tc>
          <w:tcPr>
            <w:tcW w:w="3124" w:type="dxa"/>
            <w:shd w:val="clear" w:color="auto" w:fill="auto"/>
          </w:tcPr>
          <w:p w14:paraId="7A6B324F"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Dmitry Mikheyev</w:t>
            </w:r>
          </w:p>
        </w:tc>
        <w:tc>
          <w:tcPr>
            <w:tcW w:w="5783" w:type="dxa"/>
            <w:shd w:val="clear" w:color="auto" w:fill="auto"/>
          </w:tcPr>
          <w:p w14:paraId="7D760BC3"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Director of Department – Head of the Electricity Industry Perspective Development of the Electricity Department Development Department of the Russian Ministry of Energy</w:t>
            </w:r>
          </w:p>
        </w:tc>
      </w:tr>
    </w:tbl>
    <w:p w14:paraId="1B60C778" w14:textId="77777777" w:rsidR="00F3260C" w:rsidRPr="00BD295E" w:rsidRDefault="008A5057" w:rsidP="00695DA9">
      <w:pPr>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6AD10562" w14:textId="77777777" w:rsidR="00F3260C" w:rsidRPr="00BD295E" w:rsidRDefault="00F3260C" w:rsidP="00695DA9">
      <w:pPr>
        <w:jc w:val="both"/>
        <w:rPr>
          <w:rFonts w:ascii="Arial" w:hAnsi="Arial" w:cs="Arial"/>
          <w:sz w:val="18"/>
          <w:szCs w:val="18"/>
          <w:lang w:val="en-US"/>
        </w:rPr>
      </w:pPr>
    </w:p>
    <w:p w14:paraId="6FC862AE"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Two meetings of the Committee were held in absentia in 2018.</w:t>
      </w:r>
    </w:p>
    <w:p w14:paraId="757EA492"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The Committee reviewed the following critical matters:</w:t>
      </w:r>
    </w:p>
    <w:p w14:paraId="167C5C85"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xml:space="preserve">- Review of the report on implementation of production programs (maintenance and repair, </w:t>
      </w:r>
      <w:r w:rsidR="00F37063" w:rsidRPr="00BD295E">
        <w:rPr>
          <w:rFonts w:ascii="Arial" w:hAnsi="Arial" w:cs="Arial"/>
          <w:sz w:val="18"/>
          <w:szCs w:val="18"/>
          <w:lang w:val="en-US"/>
        </w:rPr>
        <w:t>Retrofitting and renovation</w:t>
      </w:r>
      <w:r w:rsidRPr="00BD295E">
        <w:rPr>
          <w:rFonts w:ascii="Arial" w:hAnsi="Arial" w:cs="Arial"/>
          <w:sz w:val="18"/>
          <w:szCs w:val="18"/>
          <w:lang w:val="en-US"/>
        </w:rPr>
        <w:t>) for 2017 and Q1 2018;</w:t>
      </w:r>
    </w:p>
    <w:p w14:paraId="3BF607F3"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Report on the Company’s occupational safety system for 2017;</w:t>
      </w:r>
    </w:p>
    <w:p w14:paraId="689BC081"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Report on the Company’s preparation for operations during the lightning season in 2018;</w:t>
      </w:r>
    </w:p>
    <w:p w14:paraId="3A34FCCA" w14:textId="77777777" w:rsidR="00F3260C" w:rsidRPr="00BD295E" w:rsidRDefault="008A5057" w:rsidP="00695DA9">
      <w:pPr>
        <w:jc w:val="both"/>
        <w:rPr>
          <w:rFonts w:ascii="Arial" w:hAnsi="Arial" w:cs="Arial"/>
          <w:sz w:val="18"/>
          <w:szCs w:val="18"/>
          <w:lang w:val="en-US"/>
        </w:rPr>
      </w:pPr>
      <w:r w:rsidRPr="00BD295E">
        <w:rPr>
          <w:rFonts w:ascii="Arial" w:hAnsi="Arial" w:cs="Arial"/>
          <w:sz w:val="18"/>
          <w:szCs w:val="18"/>
          <w:lang w:val="en-US"/>
        </w:rPr>
        <w:t>- Report on the implementation of the Company’s repair program for 2017.</w:t>
      </w:r>
    </w:p>
    <w:p w14:paraId="1DD2A8C0" w14:textId="77777777" w:rsidR="00F3260C" w:rsidRPr="00BD295E" w:rsidRDefault="00F3260C" w:rsidP="00695DA9">
      <w:pPr>
        <w:rPr>
          <w:rFonts w:ascii="Arial" w:hAnsi="Arial" w:cs="Arial"/>
          <w:b/>
          <w:i/>
          <w:sz w:val="18"/>
          <w:szCs w:val="18"/>
          <w:lang w:val="en-US"/>
        </w:rPr>
      </w:pPr>
    </w:p>
    <w:p w14:paraId="35A09FA6" w14:textId="77777777" w:rsidR="00F3260C" w:rsidRPr="00BD295E" w:rsidRDefault="008A5057" w:rsidP="00695DA9">
      <w:pPr>
        <w:rPr>
          <w:rFonts w:ascii="Arial" w:hAnsi="Arial" w:cs="Arial"/>
          <w:b/>
          <w:sz w:val="18"/>
          <w:szCs w:val="18"/>
          <w:lang w:val="en-US"/>
        </w:rPr>
      </w:pPr>
      <w:r w:rsidRPr="00BD295E">
        <w:rPr>
          <w:rFonts w:ascii="Arial" w:hAnsi="Arial" w:cs="Arial"/>
          <w:b/>
          <w:sz w:val="18"/>
          <w:szCs w:val="18"/>
          <w:lang w:val="en-US"/>
        </w:rPr>
        <w:t>Report of the Audit Committee</w:t>
      </w:r>
    </w:p>
    <w:p w14:paraId="6E196B3C" w14:textId="77777777" w:rsidR="00F3260C" w:rsidRPr="00BD295E" w:rsidRDefault="00F3260C" w:rsidP="00695DA9">
      <w:pPr>
        <w:rPr>
          <w:rFonts w:ascii="Arial" w:hAnsi="Arial" w:cs="Arial"/>
          <w:b/>
          <w:sz w:val="18"/>
          <w:szCs w:val="18"/>
          <w:lang w:val="en-US"/>
        </w:rPr>
      </w:pPr>
    </w:p>
    <w:p w14:paraId="6033C505"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The Audit Committee was established by the Resolution of the Company’s Board of Directors for preliminary in-depth review of the most important matters and preparation of recommendations to the Board of Directors for making decisions on matters within the competence of the Committee, as well as for addressing other matters delegated to the Committee by the Company’s Board of Directors.</w:t>
      </w:r>
    </w:p>
    <w:p w14:paraId="3D1A4422"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 xml:space="preserve">The Committee operates in line with the Regulations for the Audit Committee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restated), approved by the Resolution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March 11, 2016 (Minutes No. 41 of March 15, 2016) as amended (Minutes No. 14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24, 2016).</w:t>
      </w:r>
    </w:p>
    <w:p w14:paraId="33B494BC"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The Audit Committee of the Board of Directors includes one independent director.</w:t>
      </w:r>
    </w:p>
    <w:p w14:paraId="31BAB59B"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The goal of the Committee is to assist the Company’s Board of Directors in effectively performing its functions regarding the preliminary review of matters related to monitoring of the financial and business operations of the Company.</w:t>
      </w:r>
    </w:p>
    <w:p w14:paraId="62D5D5D2"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Principal tasks of the Committee:</w:t>
      </w:r>
    </w:p>
    <w:p w14:paraId="4078C350"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 Reviewing the Company’s accounting (financial) statements and supervising their preparation;</w:t>
      </w:r>
    </w:p>
    <w:p w14:paraId="73E9AEB9"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 Monitoring of the reliability and effectiveness of the internal control system, risk management system, and corporate governance practices;</w:t>
      </w:r>
    </w:p>
    <w:p w14:paraId="66E0E72A"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 Monitoring of the external audit and selection of the auditor;</w:t>
      </w:r>
    </w:p>
    <w:p w14:paraId="5D112F1E"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 Ensuring the independence and objectivity of the internal audit function;</w:t>
      </w:r>
    </w:p>
    <w:p w14:paraId="77496B36" w14:textId="77777777" w:rsidR="00F3260C" w:rsidRPr="00BD295E" w:rsidRDefault="008A5057" w:rsidP="00695DA9">
      <w:pPr>
        <w:jc w:val="both"/>
        <w:rPr>
          <w:rFonts w:ascii="Arial" w:eastAsia="Calibri" w:hAnsi="Arial" w:cs="Arial"/>
          <w:sz w:val="18"/>
          <w:szCs w:val="18"/>
          <w:lang w:val="en-US"/>
        </w:rPr>
      </w:pPr>
      <w:r w:rsidRPr="00BD295E">
        <w:rPr>
          <w:rFonts w:ascii="Arial" w:hAnsi="Arial" w:cs="Arial"/>
          <w:sz w:val="18"/>
          <w:szCs w:val="18"/>
          <w:lang w:val="en-US"/>
        </w:rPr>
        <w:t>- Supervising the effectiveness of the system for counteracting dishonest actions by Company employees and third parties.</w:t>
      </w:r>
    </w:p>
    <w:p w14:paraId="56A2E43C" w14:textId="77777777" w:rsidR="00F3260C" w:rsidRPr="00BD295E" w:rsidRDefault="00F3260C" w:rsidP="00695DA9">
      <w:pPr>
        <w:jc w:val="both"/>
        <w:rPr>
          <w:rFonts w:ascii="Arial" w:eastAsia="Calibri" w:hAnsi="Arial" w:cs="Arial"/>
          <w:sz w:val="18"/>
          <w:szCs w:val="18"/>
          <w:lang w:val="en-US" w:eastAsia="en-US"/>
        </w:rPr>
      </w:pPr>
    </w:p>
    <w:p w14:paraId="421AC81C" w14:textId="7E409608" w:rsidR="00F3260C" w:rsidRPr="00BD295E" w:rsidRDefault="008A5057" w:rsidP="00695DA9">
      <w:pPr>
        <w:jc w:val="both"/>
        <w:rPr>
          <w:rFonts w:ascii="Arial" w:eastAsia="Calibri" w:hAnsi="Arial" w:cs="Arial"/>
          <w:sz w:val="18"/>
          <w:szCs w:val="18"/>
          <w:lang w:val="en-US"/>
        </w:rPr>
      </w:pPr>
      <w:r w:rsidRPr="00BD295E">
        <w:rPr>
          <w:rFonts w:ascii="Arial" w:hAnsi="Arial" w:cs="Arial"/>
          <w:b/>
          <w:bCs/>
          <w:sz w:val="18"/>
          <w:szCs w:val="18"/>
          <w:lang w:val="en-US"/>
        </w:rPr>
        <w:t xml:space="preserve">The current membership of the Audit Committee of the Company’s Board of Directors was elected by the Resolution of the Board of Directors </w:t>
      </w:r>
      <w:r w:rsidR="008B183C" w:rsidRPr="00BD295E">
        <w:rPr>
          <w:rFonts w:ascii="Arial" w:hAnsi="Arial" w:cs="Arial"/>
          <w:b/>
          <w:bCs/>
          <w:sz w:val="18"/>
          <w:szCs w:val="18"/>
          <w:lang w:val="en-US"/>
        </w:rPr>
        <w:t>of</w:t>
      </w:r>
      <w:r w:rsidRPr="00BD295E">
        <w:rPr>
          <w:rFonts w:ascii="Arial" w:hAnsi="Arial" w:cs="Arial"/>
          <w:b/>
          <w:bCs/>
          <w:sz w:val="18"/>
          <w:szCs w:val="18"/>
          <w:lang w:val="en-US"/>
        </w:rPr>
        <w:t xml:space="preserve"> August 6, 2018 (Minutes No. 5 </w:t>
      </w:r>
      <w:r w:rsidR="008B183C" w:rsidRPr="00BD295E">
        <w:rPr>
          <w:rFonts w:ascii="Arial" w:hAnsi="Arial" w:cs="Arial"/>
          <w:b/>
          <w:bCs/>
          <w:sz w:val="18"/>
          <w:szCs w:val="18"/>
          <w:lang w:val="en-US"/>
        </w:rPr>
        <w:t>of</w:t>
      </w:r>
      <w:r w:rsidRPr="00BD295E">
        <w:rPr>
          <w:rFonts w:ascii="Arial" w:hAnsi="Arial" w:cs="Arial"/>
          <w:b/>
          <w:bCs/>
          <w:sz w:val="18"/>
          <w:szCs w:val="18"/>
          <w:lang w:val="en-US"/>
        </w:rPr>
        <w:t xml:space="preserve"> August 9, 2018</w:t>
      </w:r>
      <w:r w:rsidR="002C3947" w:rsidRPr="00BD295E">
        <w:rPr>
          <w:rFonts w:ascii="Arial" w:hAnsi="Arial" w:cs="Arial"/>
          <w:b/>
          <w:bCs/>
          <w:sz w:val="18"/>
          <w:szCs w:val="18"/>
          <w:lang w:val="en-US"/>
        </w:rPr>
        <w:t>)*:</w:t>
      </w:r>
    </w:p>
    <w:p w14:paraId="187BACBF" w14:textId="77777777" w:rsidR="00F3260C" w:rsidRPr="00BD295E" w:rsidRDefault="00F3260C" w:rsidP="00695DA9">
      <w:pPr>
        <w:jc w:val="both"/>
        <w:rPr>
          <w:rFonts w:ascii="Arial" w:eastAsia="Calibri" w:hAnsi="Arial" w:cs="Arial"/>
          <w:b/>
          <w:bCs/>
          <w:sz w:val="18"/>
          <w:szCs w:val="18"/>
          <w:lang w:val="en-US" w:eastAsia="en-US"/>
        </w:rPr>
      </w:pPr>
    </w:p>
    <w:tbl>
      <w:tblPr>
        <w:tblW w:w="9346" w:type="dxa"/>
        <w:tblCellMar>
          <w:left w:w="0" w:type="dxa"/>
          <w:right w:w="0" w:type="dxa"/>
        </w:tblCellMar>
        <w:tblLook w:val="04A0" w:firstRow="1" w:lastRow="0" w:firstColumn="1" w:lastColumn="0" w:noHBand="0" w:noVBand="1"/>
      </w:tblPr>
      <w:tblGrid>
        <w:gridCol w:w="557"/>
        <w:gridCol w:w="2960"/>
        <w:gridCol w:w="3492"/>
        <w:gridCol w:w="2337"/>
      </w:tblGrid>
      <w:tr w:rsidR="008A5057" w:rsidRPr="00BD295E" w14:paraId="0E6155BB" w14:textId="77777777" w:rsidTr="0031297B">
        <w:tc>
          <w:tcPr>
            <w:tcW w:w="55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B9ED54E" w14:textId="77777777" w:rsidR="00F3260C" w:rsidRPr="00BD295E" w:rsidRDefault="008A5057" w:rsidP="0031297B">
            <w:pPr>
              <w:jc w:val="both"/>
              <w:rPr>
                <w:rFonts w:ascii="Arial" w:eastAsia="Calibri" w:hAnsi="Arial" w:cs="Arial"/>
                <w:b/>
                <w:bCs/>
                <w:sz w:val="18"/>
                <w:szCs w:val="18"/>
                <w:lang w:val="en-US"/>
              </w:rPr>
            </w:pPr>
            <w:r w:rsidRPr="00BD295E">
              <w:rPr>
                <w:rFonts w:ascii="Arial" w:hAnsi="Arial" w:cs="Arial"/>
                <w:b/>
                <w:bCs/>
                <w:sz w:val="18"/>
                <w:szCs w:val="18"/>
                <w:lang w:val="en-US"/>
              </w:rPr>
              <w:t>No.</w:t>
            </w:r>
          </w:p>
        </w:tc>
        <w:tc>
          <w:tcPr>
            <w:tcW w:w="29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769FAD5" w14:textId="77777777" w:rsidR="00F3260C" w:rsidRPr="00BD295E" w:rsidRDefault="008A5057" w:rsidP="0031297B">
            <w:pPr>
              <w:ind w:firstLine="567"/>
              <w:jc w:val="both"/>
              <w:rPr>
                <w:rFonts w:ascii="Arial" w:eastAsia="Calibri" w:hAnsi="Arial" w:cs="Arial"/>
                <w:b/>
                <w:bCs/>
                <w:sz w:val="18"/>
                <w:szCs w:val="18"/>
                <w:lang w:val="en-US"/>
              </w:rPr>
            </w:pPr>
            <w:r w:rsidRPr="00BD295E">
              <w:rPr>
                <w:rFonts w:ascii="Arial" w:hAnsi="Arial" w:cs="Arial"/>
                <w:b/>
                <w:bCs/>
                <w:sz w:val="18"/>
                <w:szCs w:val="18"/>
                <w:lang w:val="en-US"/>
              </w:rPr>
              <w:t>Full name</w:t>
            </w:r>
          </w:p>
        </w:tc>
        <w:tc>
          <w:tcPr>
            <w:tcW w:w="34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7C8B3FE" w14:textId="77777777" w:rsidR="00F3260C" w:rsidRPr="00BD295E" w:rsidRDefault="008A5057" w:rsidP="0031297B">
            <w:pPr>
              <w:ind w:firstLine="567"/>
              <w:jc w:val="both"/>
              <w:rPr>
                <w:rFonts w:ascii="Arial" w:eastAsia="Calibri" w:hAnsi="Arial" w:cs="Arial"/>
                <w:b/>
                <w:bCs/>
                <w:sz w:val="18"/>
                <w:szCs w:val="18"/>
                <w:lang w:val="en-US"/>
              </w:rPr>
            </w:pPr>
            <w:r w:rsidRPr="00BD295E">
              <w:rPr>
                <w:rFonts w:ascii="Arial" w:hAnsi="Arial" w:cs="Arial"/>
                <w:b/>
                <w:bCs/>
                <w:sz w:val="18"/>
                <w:szCs w:val="18"/>
                <w:lang w:val="en-US"/>
              </w:rPr>
              <w:t>Place of employment</w:t>
            </w:r>
          </w:p>
        </w:tc>
        <w:tc>
          <w:tcPr>
            <w:tcW w:w="23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9ADDF6E" w14:textId="77777777" w:rsidR="00F3260C" w:rsidRPr="00BD295E" w:rsidRDefault="008A5057" w:rsidP="0031297B">
            <w:pPr>
              <w:ind w:firstLine="567"/>
              <w:jc w:val="both"/>
              <w:rPr>
                <w:rFonts w:ascii="Arial" w:eastAsia="Calibri" w:hAnsi="Arial" w:cs="Arial"/>
                <w:b/>
                <w:bCs/>
                <w:sz w:val="18"/>
                <w:szCs w:val="18"/>
                <w:lang w:val="en-US"/>
              </w:rPr>
            </w:pPr>
            <w:r w:rsidRPr="00BD295E">
              <w:rPr>
                <w:rFonts w:ascii="Arial" w:hAnsi="Arial" w:cs="Arial"/>
                <w:b/>
                <w:bCs/>
                <w:sz w:val="18"/>
                <w:szCs w:val="18"/>
                <w:lang w:val="en-US"/>
              </w:rPr>
              <w:t>Status</w:t>
            </w:r>
          </w:p>
        </w:tc>
      </w:tr>
      <w:tr w:rsidR="008A5057" w:rsidRPr="00BD295E" w14:paraId="177EA951" w14:textId="77777777" w:rsidTr="0031297B">
        <w:tc>
          <w:tcPr>
            <w:tcW w:w="9346" w:type="dxa"/>
            <w:gridSpan w:val="4"/>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22A772" w14:textId="77777777" w:rsidR="00F3260C" w:rsidRPr="00BD295E" w:rsidRDefault="008A5057" w:rsidP="0031297B">
            <w:pPr>
              <w:ind w:firstLine="567"/>
              <w:jc w:val="both"/>
              <w:rPr>
                <w:rFonts w:ascii="Arial" w:eastAsia="Calibri" w:hAnsi="Arial" w:cs="Arial"/>
                <w:b/>
                <w:bCs/>
                <w:sz w:val="18"/>
                <w:szCs w:val="18"/>
                <w:lang w:val="en-US"/>
              </w:rPr>
            </w:pPr>
            <w:r w:rsidRPr="00BD295E">
              <w:rPr>
                <w:rFonts w:ascii="Arial" w:hAnsi="Arial" w:cs="Arial"/>
                <w:b/>
                <w:bCs/>
                <w:sz w:val="18"/>
                <w:szCs w:val="18"/>
                <w:lang w:val="en-US"/>
              </w:rPr>
              <w:t>Committee Chairman:</w:t>
            </w:r>
          </w:p>
        </w:tc>
      </w:tr>
      <w:tr w:rsidR="008A5057" w:rsidRPr="00BD295E" w14:paraId="3B8D0BAC"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32474A"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1</w:t>
            </w:r>
          </w:p>
        </w:tc>
        <w:tc>
          <w:tcPr>
            <w:tcW w:w="2960" w:type="dxa"/>
            <w:tcBorders>
              <w:top w:val="nil"/>
              <w:left w:val="nil"/>
              <w:bottom w:val="single" w:sz="8" w:space="0" w:color="auto"/>
              <w:right w:val="single" w:sz="8" w:space="0" w:color="auto"/>
            </w:tcBorders>
            <w:tcMar>
              <w:top w:w="0" w:type="dxa"/>
              <w:left w:w="108" w:type="dxa"/>
              <w:bottom w:w="0" w:type="dxa"/>
              <w:right w:w="108" w:type="dxa"/>
            </w:tcMar>
            <w:hideMark/>
          </w:tcPr>
          <w:p w14:paraId="30E5CAEF"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Olga Sergeyeva </w:t>
            </w:r>
          </w:p>
          <w:p w14:paraId="7AA6FFC6" w14:textId="77777777" w:rsidR="00F3260C" w:rsidRPr="00BD295E" w:rsidRDefault="00F3260C" w:rsidP="0031297B">
            <w:pPr>
              <w:tabs>
                <w:tab w:val="left" w:pos="851"/>
              </w:tabs>
              <w:contextualSpacing/>
              <w:jc w:val="both"/>
              <w:rPr>
                <w:rFonts w:ascii="Arial" w:eastAsia="Calibri" w:hAnsi="Arial" w:cs="Arial"/>
                <w:snapToGrid w:val="0"/>
                <w:sz w:val="18"/>
                <w:szCs w:val="18"/>
                <w:lang w:val="en-US"/>
              </w:rPr>
            </w:pPr>
          </w:p>
        </w:tc>
        <w:tc>
          <w:tcPr>
            <w:tcW w:w="3492" w:type="dxa"/>
            <w:tcBorders>
              <w:top w:val="nil"/>
              <w:left w:val="nil"/>
              <w:bottom w:val="single" w:sz="8" w:space="0" w:color="auto"/>
              <w:right w:val="single" w:sz="8" w:space="0" w:color="auto"/>
            </w:tcBorders>
            <w:tcMar>
              <w:top w:w="0" w:type="dxa"/>
              <w:left w:w="108" w:type="dxa"/>
              <w:bottom w:w="0" w:type="dxa"/>
              <w:right w:w="108" w:type="dxa"/>
            </w:tcMar>
            <w:hideMark/>
          </w:tcPr>
          <w:p w14:paraId="73AF3DAC"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Member of the Management Board, Deputy CEO – Head of the Administrative Office at </w:t>
            </w:r>
            <w:r w:rsidR="00BF106F" w:rsidRPr="00BD295E">
              <w:rPr>
                <w:rFonts w:ascii="Arial" w:hAnsi="Arial" w:cs="Arial"/>
                <w:snapToGrid w:val="0"/>
                <w:sz w:val="18"/>
                <w:szCs w:val="18"/>
                <w:lang w:val="en-US"/>
              </w:rPr>
              <w:t>PJSC “Rosseti”</w:t>
            </w:r>
          </w:p>
        </w:tc>
        <w:tc>
          <w:tcPr>
            <w:tcW w:w="2337" w:type="dxa"/>
            <w:tcBorders>
              <w:top w:val="nil"/>
              <w:left w:val="nil"/>
              <w:bottom w:val="single" w:sz="8" w:space="0" w:color="auto"/>
              <w:right w:val="single" w:sz="8" w:space="0" w:color="auto"/>
            </w:tcBorders>
            <w:tcMar>
              <w:top w:w="0" w:type="dxa"/>
              <w:left w:w="108" w:type="dxa"/>
              <w:bottom w:w="0" w:type="dxa"/>
              <w:right w:w="108" w:type="dxa"/>
            </w:tcMar>
          </w:tcPr>
          <w:p w14:paraId="24DDDB4F" w14:textId="77777777" w:rsidR="00F3260C" w:rsidRPr="00BD295E" w:rsidRDefault="008A5057" w:rsidP="0031297B">
            <w:pPr>
              <w:ind w:hanging="9"/>
              <w:jc w:val="both"/>
              <w:rPr>
                <w:rFonts w:ascii="Arial" w:eastAsia="Calibri" w:hAnsi="Arial" w:cs="Arial"/>
                <w:sz w:val="18"/>
                <w:szCs w:val="18"/>
                <w:lang w:val="en-US"/>
              </w:rPr>
            </w:pPr>
            <w:r w:rsidRPr="00BD295E">
              <w:rPr>
                <w:rFonts w:ascii="Arial" w:hAnsi="Arial" w:cs="Arial"/>
                <w:sz w:val="18"/>
                <w:szCs w:val="18"/>
                <w:lang w:val="en-US"/>
              </w:rPr>
              <w:t>Non-executive director</w:t>
            </w:r>
          </w:p>
          <w:p w14:paraId="6E3327DC" w14:textId="77777777" w:rsidR="00F3260C" w:rsidRPr="00BD295E" w:rsidRDefault="00F3260C" w:rsidP="0031297B">
            <w:pPr>
              <w:ind w:hanging="9"/>
              <w:jc w:val="both"/>
              <w:rPr>
                <w:rFonts w:ascii="Arial" w:eastAsia="Calibri" w:hAnsi="Arial" w:cs="Arial"/>
                <w:sz w:val="18"/>
                <w:szCs w:val="18"/>
                <w:lang w:val="en-US" w:eastAsia="en-US"/>
              </w:rPr>
            </w:pPr>
          </w:p>
        </w:tc>
      </w:tr>
      <w:tr w:rsidR="008A5057" w:rsidRPr="00BD295E" w14:paraId="4B6208F6" w14:textId="77777777" w:rsidTr="0031297B">
        <w:tc>
          <w:tcPr>
            <w:tcW w:w="9346" w:type="dxa"/>
            <w:gridSpan w:val="4"/>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059CED" w14:textId="77777777" w:rsidR="00F3260C" w:rsidRPr="00BD295E" w:rsidRDefault="008A5057" w:rsidP="0031297B">
            <w:pPr>
              <w:ind w:left="591" w:hanging="9"/>
              <w:rPr>
                <w:rFonts w:ascii="Arial" w:eastAsia="Calibri" w:hAnsi="Arial" w:cs="Arial"/>
                <w:b/>
                <w:sz w:val="18"/>
                <w:szCs w:val="18"/>
                <w:lang w:val="en-US"/>
              </w:rPr>
            </w:pPr>
            <w:r w:rsidRPr="00BD295E">
              <w:rPr>
                <w:rFonts w:ascii="Arial" w:hAnsi="Arial" w:cs="Arial"/>
                <w:b/>
                <w:sz w:val="18"/>
                <w:szCs w:val="18"/>
                <w:lang w:val="en-US"/>
              </w:rPr>
              <w:t>Committee Members</w:t>
            </w:r>
          </w:p>
        </w:tc>
      </w:tr>
      <w:tr w:rsidR="008A5057" w:rsidRPr="00BD295E" w14:paraId="5A1B3EC0"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AFEAF8B"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2</w:t>
            </w:r>
          </w:p>
        </w:tc>
        <w:tc>
          <w:tcPr>
            <w:tcW w:w="2960" w:type="dxa"/>
            <w:tcBorders>
              <w:top w:val="nil"/>
              <w:left w:val="nil"/>
              <w:bottom w:val="single" w:sz="8" w:space="0" w:color="auto"/>
              <w:right w:val="single" w:sz="8" w:space="0" w:color="auto"/>
            </w:tcBorders>
            <w:tcMar>
              <w:top w:w="0" w:type="dxa"/>
              <w:left w:w="108" w:type="dxa"/>
              <w:bottom w:w="0" w:type="dxa"/>
              <w:right w:w="108" w:type="dxa"/>
            </w:tcMar>
            <w:hideMark/>
          </w:tcPr>
          <w:p w14:paraId="67A129BB" w14:textId="5C32A01A" w:rsidR="00F3260C" w:rsidRPr="00BD295E" w:rsidRDefault="004D1143"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Sergey </w:t>
            </w:r>
            <w:r w:rsidR="008A5057" w:rsidRPr="00BD295E">
              <w:rPr>
                <w:rFonts w:ascii="Arial" w:hAnsi="Arial" w:cs="Arial"/>
                <w:snapToGrid w:val="0"/>
                <w:sz w:val="18"/>
                <w:szCs w:val="18"/>
                <w:lang w:val="en-US"/>
              </w:rPr>
              <w:t xml:space="preserve">Sergeyev </w:t>
            </w:r>
          </w:p>
          <w:p w14:paraId="2CCADAA7" w14:textId="7FE0F8FE" w:rsidR="00F3260C" w:rsidRPr="00BD295E" w:rsidRDefault="00F3260C" w:rsidP="0031297B">
            <w:pPr>
              <w:tabs>
                <w:tab w:val="left" w:pos="851"/>
              </w:tabs>
              <w:contextualSpacing/>
              <w:jc w:val="both"/>
              <w:rPr>
                <w:rFonts w:ascii="Arial" w:eastAsia="Calibri" w:hAnsi="Arial" w:cs="Arial"/>
                <w:snapToGrid w:val="0"/>
                <w:sz w:val="18"/>
                <w:szCs w:val="18"/>
                <w:lang w:val="en-US"/>
              </w:rPr>
            </w:pPr>
          </w:p>
        </w:tc>
        <w:tc>
          <w:tcPr>
            <w:tcW w:w="3492" w:type="dxa"/>
            <w:tcBorders>
              <w:top w:val="nil"/>
              <w:left w:val="nil"/>
              <w:bottom w:val="single" w:sz="8" w:space="0" w:color="auto"/>
              <w:right w:val="single" w:sz="8" w:space="0" w:color="auto"/>
            </w:tcBorders>
            <w:tcMar>
              <w:top w:w="0" w:type="dxa"/>
              <w:left w:w="108" w:type="dxa"/>
              <w:bottom w:w="0" w:type="dxa"/>
              <w:right w:w="108" w:type="dxa"/>
            </w:tcMar>
            <w:hideMark/>
          </w:tcPr>
          <w:p w14:paraId="7D330BD6"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CEO for Capital Construction, </w:t>
            </w:r>
            <w:r w:rsidR="00BF106F" w:rsidRPr="00BD295E">
              <w:rPr>
                <w:rFonts w:ascii="Arial" w:hAnsi="Arial" w:cs="Arial"/>
                <w:snapToGrid w:val="0"/>
                <w:sz w:val="18"/>
                <w:szCs w:val="18"/>
                <w:lang w:val="en-US"/>
              </w:rPr>
              <w:t>PJSC “Rosseti”</w:t>
            </w:r>
          </w:p>
        </w:tc>
        <w:tc>
          <w:tcPr>
            <w:tcW w:w="2337" w:type="dxa"/>
            <w:tcBorders>
              <w:top w:val="nil"/>
              <w:left w:val="nil"/>
              <w:bottom w:val="single" w:sz="8" w:space="0" w:color="auto"/>
              <w:right w:val="single" w:sz="8" w:space="0" w:color="auto"/>
            </w:tcBorders>
            <w:tcMar>
              <w:top w:w="0" w:type="dxa"/>
              <w:left w:w="108" w:type="dxa"/>
              <w:bottom w:w="0" w:type="dxa"/>
              <w:right w:w="108" w:type="dxa"/>
            </w:tcMar>
          </w:tcPr>
          <w:p w14:paraId="2A5A0269" w14:textId="77777777" w:rsidR="00F3260C" w:rsidRPr="00BD295E" w:rsidRDefault="008A5057" w:rsidP="0031297B">
            <w:pPr>
              <w:ind w:hanging="9"/>
              <w:jc w:val="both"/>
              <w:rPr>
                <w:rFonts w:ascii="Arial" w:eastAsia="Calibri" w:hAnsi="Arial" w:cs="Arial"/>
                <w:sz w:val="18"/>
                <w:szCs w:val="18"/>
                <w:lang w:val="en-US"/>
              </w:rPr>
            </w:pPr>
            <w:r w:rsidRPr="00BD295E">
              <w:rPr>
                <w:rFonts w:ascii="Arial" w:hAnsi="Arial" w:cs="Arial"/>
                <w:sz w:val="18"/>
                <w:szCs w:val="18"/>
                <w:lang w:val="en-US"/>
              </w:rPr>
              <w:t xml:space="preserve">Non-executive director </w:t>
            </w:r>
          </w:p>
        </w:tc>
      </w:tr>
      <w:tr w:rsidR="008A5057" w:rsidRPr="00BD295E" w14:paraId="72C1F454"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24325F6"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3</w:t>
            </w:r>
          </w:p>
        </w:tc>
        <w:tc>
          <w:tcPr>
            <w:tcW w:w="2960" w:type="dxa"/>
            <w:tcBorders>
              <w:top w:val="nil"/>
              <w:left w:val="nil"/>
              <w:bottom w:val="single" w:sz="8" w:space="0" w:color="auto"/>
              <w:right w:val="single" w:sz="8" w:space="0" w:color="auto"/>
            </w:tcBorders>
            <w:tcMar>
              <w:top w:w="0" w:type="dxa"/>
              <w:left w:w="108" w:type="dxa"/>
              <w:bottom w:w="0" w:type="dxa"/>
              <w:right w:w="108" w:type="dxa"/>
            </w:tcMar>
            <w:hideMark/>
          </w:tcPr>
          <w:p w14:paraId="451442E1" w14:textId="38A7C8D5"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Da</w:t>
            </w:r>
            <w:r w:rsidR="004D1143" w:rsidRPr="00BD295E">
              <w:rPr>
                <w:rFonts w:ascii="Arial" w:hAnsi="Arial" w:cs="Arial"/>
                <w:snapToGrid w:val="0"/>
                <w:sz w:val="18"/>
                <w:szCs w:val="18"/>
                <w:lang w:val="en-US"/>
              </w:rPr>
              <w:t>n</w:t>
            </w:r>
            <w:r w:rsidRPr="00BD295E">
              <w:rPr>
                <w:rFonts w:ascii="Arial" w:hAnsi="Arial" w:cs="Arial"/>
                <w:snapToGrid w:val="0"/>
                <w:sz w:val="18"/>
                <w:szCs w:val="18"/>
                <w:lang w:val="en-US"/>
              </w:rPr>
              <w:t xml:space="preserve">iil Krainsky </w:t>
            </w:r>
          </w:p>
          <w:p w14:paraId="35569CE3" w14:textId="77777777" w:rsidR="00F3260C" w:rsidRPr="00BD295E" w:rsidRDefault="00F3260C" w:rsidP="0031297B">
            <w:pPr>
              <w:tabs>
                <w:tab w:val="left" w:pos="851"/>
              </w:tabs>
              <w:contextualSpacing/>
              <w:jc w:val="both"/>
              <w:rPr>
                <w:rFonts w:ascii="Arial" w:eastAsia="Calibri" w:hAnsi="Arial" w:cs="Arial"/>
                <w:snapToGrid w:val="0"/>
                <w:sz w:val="18"/>
                <w:szCs w:val="18"/>
                <w:lang w:val="en-US"/>
              </w:rPr>
            </w:pPr>
          </w:p>
        </w:tc>
        <w:tc>
          <w:tcPr>
            <w:tcW w:w="3492" w:type="dxa"/>
            <w:tcBorders>
              <w:top w:val="nil"/>
              <w:left w:val="nil"/>
              <w:bottom w:val="single" w:sz="8" w:space="0" w:color="auto"/>
              <w:right w:val="single" w:sz="8" w:space="0" w:color="auto"/>
            </w:tcBorders>
            <w:tcMar>
              <w:top w:w="0" w:type="dxa"/>
              <w:left w:w="108" w:type="dxa"/>
              <w:bottom w:w="0" w:type="dxa"/>
              <w:right w:w="108" w:type="dxa"/>
            </w:tcMar>
            <w:hideMark/>
          </w:tcPr>
          <w:p w14:paraId="56CD8090"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Chief Advisor, </w:t>
            </w:r>
            <w:r w:rsidR="00BF106F" w:rsidRPr="00BD295E">
              <w:rPr>
                <w:rFonts w:ascii="Arial" w:hAnsi="Arial" w:cs="Arial"/>
                <w:snapToGrid w:val="0"/>
                <w:sz w:val="18"/>
                <w:szCs w:val="18"/>
                <w:lang w:val="en-US"/>
              </w:rPr>
              <w:t>PJSC “Rosseti”</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14:paraId="24C9F4D2" w14:textId="77777777" w:rsidR="00F3260C" w:rsidRPr="00BD295E" w:rsidRDefault="008A5057" w:rsidP="0031297B">
            <w:pPr>
              <w:jc w:val="both"/>
              <w:rPr>
                <w:rFonts w:ascii="Arial" w:eastAsia="Calibri" w:hAnsi="Arial" w:cs="Arial"/>
                <w:sz w:val="18"/>
                <w:szCs w:val="18"/>
                <w:lang w:val="en-US"/>
              </w:rPr>
            </w:pPr>
            <w:r w:rsidRPr="00BD295E">
              <w:rPr>
                <w:rFonts w:ascii="Arial" w:hAnsi="Arial" w:cs="Arial"/>
                <w:sz w:val="18"/>
                <w:szCs w:val="18"/>
                <w:lang w:val="en-US"/>
              </w:rPr>
              <w:t>Executive director</w:t>
            </w:r>
          </w:p>
        </w:tc>
      </w:tr>
      <w:tr w:rsidR="008A5057" w:rsidRPr="00BD295E" w14:paraId="27338C80"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5C724C4"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4</w:t>
            </w:r>
          </w:p>
        </w:tc>
        <w:tc>
          <w:tcPr>
            <w:tcW w:w="29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DA3C90"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Sergey Pikin </w:t>
            </w:r>
          </w:p>
          <w:p w14:paraId="36520D1F" w14:textId="77777777" w:rsidR="00F3260C" w:rsidRPr="00BD295E" w:rsidRDefault="00F3260C" w:rsidP="0031297B">
            <w:pPr>
              <w:tabs>
                <w:tab w:val="left" w:pos="851"/>
              </w:tabs>
              <w:contextualSpacing/>
              <w:jc w:val="both"/>
              <w:rPr>
                <w:rFonts w:ascii="Arial" w:eastAsia="Calibri" w:hAnsi="Arial" w:cs="Arial"/>
                <w:snapToGrid w:val="0"/>
                <w:sz w:val="18"/>
                <w:szCs w:val="18"/>
                <w:lang w:val="en-US"/>
              </w:rPr>
            </w:pPr>
          </w:p>
        </w:tc>
        <w:tc>
          <w:tcPr>
            <w:tcW w:w="34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CE2992" w14:textId="77777777" w:rsidR="00F3260C" w:rsidRPr="00BD295E" w:rsidRDefault="008A5057" w:rsidP="0031297B">
            <w:pPr>
              <w:tabs>
                <w:tab w:val="left" w:pos="851"/>
              </w:tabs>
              <w:contextualSpacing/>
              <w:jc w:val="both"/>
              <w:rPr>
                <w:rFonts w:ascii="Arial" w:eastAsia="Calibri" w:hAnsi="Arial" w:cs="Arial"/>
                <w:bCs/>
                <w:snapToGrid w:val="0"/>
                <w:sz w:val="18"/>
                <w:szCs w:val="18"/>
                <w:lang w:val="en-US"/>
              </w:rPr>
            </w:pPr>
            <w:r w:rsidRPr="00BD295E">
              <w:rPr>
                <w:rFonts w:ascii="Arial" w:hAnsi="Arial" w:cs="Arial"/>
                <w:snapToGrid w:val="0"/>
                <w:sz w:val="18"/>
                <w:szCs w:val="18"/>
                <w:lang w:val="en-US"/>
              </w:rPr>
              <w:t>Director of the Energy Development Fund</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14:paraId="741D6834" w14:textId="77777777" w:rsidR="00F3260C" w:rsidRPr="00BD295E" w:rsidRDefault="008A5057" w:rsidP="0031297B">
            <w:pPr>
              <w:ind w:hanging="9"/>
              <w:jc w:val="both"/>
              <w:rPr>
                <w:rFonts w:ascii="Arial" w:eastAsia="Calibri" w:hAnsi="Arial" w:cs="Arial"/>
                <w:sz w:val="18"/>
                <w:szCs w:val="18"/>
                <w:lang w:val="en-US"/>
              </w:rPr>
            </w:pPr>
            <w:r w:rsidRPr="00BD295E">
              <w:rPr>
                <w:rFonts w:ascii="Arial" w:hAnsi="Arial" w:cs="Arial"/>
                <w:sz w:val="18"/>
                <w:szCs w:val="18"/>
                <w:lang w:val="en-US"/>
              </w:rPr>
              <w:t>Independent director</w:t>
            </w:r>
          </w:p>
        </w:tc>
      </w:tr>
      <w:tr w:rsidR="008A5057" w:rsidRPr="00BD295E" w14:paraId="60FB2533"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FA1DCD8"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5</w:t>
            </w:r>
          </w:p>
        </w:tc>
        <w:tc>
          <w:tcPr>
            <w:tcW w:w="29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A23C35"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Gasan Safarov </w:t>
            </w:r>
          </w:p>
          <w:p w14:paraId="0DECB345" w14:textId="77777777" w:rsidR="00F3260C" w:rsidRPr="00BD295E" w:rsidRDefault="00F3260C" w:rsidP="0031297B">
            <w:pPr>
              <w:tabs>
                <w:tab w:val="left" w:pos="851"/>
              </w:tabs>
              <w:contextualSpacing/>
              <w:jc w:val="both"/>
              <w:rPr>
                <w:rFonts w:ascii="Arial" w:eastAsia="Calibri" w:hAnsi="Arial" w:cs="Arial"/>
                <w:bCs/>
                <w:snapToGrid w:val="0"/>
                <w:sz w:val="18"/>
                <w:szCs w:val="18"/>
                <w:lang w:val="en-US"/>
              </w:rPr>
            </w:pPr>
          </w:p>
        </w:tc>
        <w:tc>
          <w:tcPr>
            <w:tcW w:w="34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A614D7" w14:textId="77777777" w:rsidR="00F3260C" w:rsidRPr="00BD295E" w:rsidRDefault="008A5057" w:rsidP="0031297B">
            <w:pPr>
              <w:tabs>
                <w:tab w:val="left" w:pos="851"/>
              </w:tabs>
              <w:contextualSpacing/>
              <w:jc w:val="both"/>
              <w:rPr>
                <w:rFonts w:ascii="Arial" w:eastAsia="Calibri" w:hAnsi="Arial" w:cs="Arial"/>
                <w:bCs/>
                <w:snapToGrid w:val="0"/>
                <w:sz w:val="18"/>
                <w:szCs w:val="18"/>
                <w:lang w:val="en-US"/>
              </w:rPr>
            </w:pPr>
            <w:r w:rsidRPr="00BD295E">
              <w:rPr>
                <w:rFonts w:ascii="Arial" w:hAnsi="Arial" w:cs="Arial"/>
                <w:snapToGrid w:val="0"/>
                <w:sz w:val="18"/>
                <w:szCs w:val="18"/>
                <w:lang w:val="en-US"/>
              </w:rPr>
              <w:t>First Deputy Chairman of the Tariffs Committee of Saint Petersburg</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14:paraId="1A7A4D7B" w14:textId="77777777" w:rsidR="00F3260C" w:rsidRPr="00BD295E" w:rsidRDefault="008A5057" w:rsidP="0031297B">
            <w:pPr>
              <w:ind w:hanging="9"/>
              <w:jc w:val="both"/>
              <w:rPr>
                <w:rFonts w:ascii="Arial" w:eastAsia="Calibri" w:hAnsi="Arial" w:cs="Arial"/>
                <w:sz w:val="18"/>
                <w:szCs w:val="18"/>
                <w:lang w:val="en-US"/>
              </w:rPr>
            </w:pPr>
            <w:r w:rsidRPr="00BD295E">
              <w:rPr>
                <w:rFonts w:ascii="Arial" w:hAnsi="Arial" w:cs="Arial"/>
                <w:sz w:val="18"/>
                <w:szCs w:val="18"/>
                <w:lang w:val="en-US"/>
              </w:rPr>
              <w:t>Non-executive director</w:t>
            </w:r>
          </w:p>
        </w:tc>
      </w:tr>
      <w:tr w:rsidR="008A5057" w:rsidRPr="00BD295E" w14:paraId="5F9673D1"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DCEF43D"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6</w:t>
            </w:r>
          </w:p>
        </w:tc>
        <w:tc>
          <w:tcPr>
            <w:tcW w:w="29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7C926A"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Andrey Bondarchuk </w:t>
            </w:r>
          </w:p>
          <w:p w14:paraId="7109C692" w14:textId="77777777" w:rsidR="00F3260C" w:rsidRPr="00BD295E" w:rsidRDefault="00F3260C" w:rsidP="0031297B">
            <w:pPr>
              <w:tabs>
                <w:tab w:val="left" w:pos="851"/>
              </w:tabs>
              <w:contextualSpacing/>
              <w:jc w:val="both"/>
              <w:rPr>
                <w:rFonts w:ascii="Arial" w:eastAsia="Calibri" w:hAnsi="Arial" w:cs="Arial"/>
                <w:bCs/>
                <w:snapToGrid w:val="0"/>
                <w:sz w:val="18"/>
                <w:szCs w:val="18"/>
                <w:lang w:val="en-US"/>
              </w:rPr>
            </w:pPr>
          </w:p>
        </w:tc>
        <w:tc>
          <w:tcPr>
            <w:tcW w:w="34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13B59E" w14:textId="77777777" w:rsidR="00F3260C" w:rsidRPr="00BD295E" w:rsidRDefault="008A5057" w:rsidP="0031297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Chairman of the Energy and Engineering Support Committee of Saint Petersburg</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14:paraId="522B3B80" w14:textId="77777777" w:rsidR="00F3260C" w:rsidRPr="00BD295E" w:rsidRDefault="008A5057" w:rsidP="0031297B">
            <w:pPr>
              <w:ind w:hanging="9"/>
              <w:jc w:val="both"/>
              <w:rPr>
                <w:rFonts w:ascii="Arial" w:eastAsia="Calibri" w:hAnsi="Arial" w:cs="Arial"/>
                <w:sz w:val="18"/>
                <w:szCs w:val="18"/>
                <w:lang w:val="en-US"/>
              </w:rPr>
            </w:pPr>
            <w:r w:rsidRPr="00BD295E">
              <w:rPr>
                <w:rFonts w:ascii="Arial" w:hAnsi="Arial" w:cs="Arial"/>
                <w:sz w:val="18"/>
                <w:szCs w:val="18"/>
                <w:lang w:val="en-US"/>
              </w:rPr>
              <w:t>Non-executive director</w:t>
            </w:r>
          </w:p>
        </w:tc>
      </w:tr>
      <w:tr w:rsidR="008A5057" w:rsidRPr="00BD295E" w14:paraId="6C25825F"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9E5FC5B"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7</w:t>
            </w:r>
          </w:p>
        </w:tc>
        <w:tc>
          <w:tcPr>
            <w:tcW w:w="2960" w:type="dxa"/>
            <w:tcBorders>
              <w:top w:val="nil"/>
              <w:left w:val="nil"/>
              <w:bottom w:val="single" w:sz="8" w:space="0" w:color="auto"/>
              <w:right w:val="single" w:sz="8" w:space="0" w:color="auto"/>
            </w:tcBorders>
            <w:tcMar>
              <w:top w:w="0" w:type="dxa"/>
              <w:left w:w="108" w:type="dxa"/>
              <w:bottom w:w="0" w:type="dxa"/>
              <w:right w:w="108" w:type="dxa"/>
            </w:tcMar>
            <w:hideMark/>
          </w:tcPr>
          <w:p w14:paraId="770F0A51"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Aleksandr German </w:t>
            </w:r>
          </w:p>
          <w:p w14:paraId="170BCEC6" w14:textId="77777777" w:rsidR="00F3260C" w:rsidRPr="00BD295E" w:rsidRDefault="00F3260C" w:rsidP="0031297B">
            <w:pPr>
              <w:tabs>
                <w:tab w:val="left" w:pos="851"/>
              </w:tabs>
              <w:contextualSpacing/>
              <w:jc w:val="both"/>
              <w:rPr>
                <w:rFonts w:ascii="Arial" w:eastAsia="Calibri" w:hAnsi="Arial" w:cs="Arial"/>
                <w:snapToGrid w:val="0"/>
                <w:sz w:val="18"/>
                <w:szCs w:val="18"/>
                <w:lang w:val="en-US"/>
              </w:rPr>
            </w:pPr>
          </w:p>
        </w:tc>
        <w:tc>
          <w:tcPr>
            <w:tcW w:w="3492" w:type="dxa"/>
            <w:tcBorders>
              <w:top w:val="nil"/>
              <w:left w:val="nil"/>
              <w:bottom w:val="single" w:sz="8" w:space="0" w:color="auto"/>
              <w:right w:val="single" w:sz="8" w:space="0" w:color="auto"/>
            </w:tcBorders>
            <w:tcMar>
              <w:top w:w="0" w:type="dxa"/>
              <w:left w:w="108" w:type="dxa"/>
              <w:bottom w:w="0" w:type="dxa"/>
              <w:right w:w="108" w:type="dxa"/>
            </w:tcMar>
            <w:hideMark/>
          </w:tcPr>
          <w:p w14:paraId="3B083375"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Chairman of the Property Relations Committee of Saint Petersburg</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14:paraId="44AAEBD1" w14:textId="77777777" w:rsidR="00F3260C" w:rsidRPr="00BD295E" w:rsidRDefault="008A5057" w:rsidP="0031297B">
            <w:pPr>
              <w:ind w:hanging="9"/>
              <w:jc w:val="both"/>
              <w:rPr>
                <w:rFonts w:ascii="Arial" w:eastAsia="Calibri" w:hAnsi="Arial" w:cs="Arial"/>
                <w:sz w:val="18"/>
                <w:szCs w:val="18"/>
                <w:lang w:val="en-US"/>
              </w:rPr>
            </w:pPr>
            <w:r w:rsidRPr="00BD295E">
              <w:rPr>
                <w:rFonts w:ascii="Arial" w:hAnsi="Arial" w:cs="Arial"/>
                <w:sz w:val="18"/>
                <w:szCs w:val="18"/>
                <w:lang w:val="en-US"/>
              </w:rPr>
              <w:t>Non-executive director</w:t>
            </w:r>
          </w:p>
        </w:tc>
      </w:tr>
    </w:tbl>
    <w:p w14:paraId="7607615B" w14:textId="77777777" w:rsidR="00F3260C" w:rsidRPr="00BD295E" w:rsidRDefault="008A5057" w:rsidP="008A28D4">
      <w:pPr>
        <w:jc w:val="both"/>
        <w:rPr>
          <w:rFonts w:ascii="Arial" w:eastAsia="Calibri" w:hAnsi="Arial" w:cs="Arial"/>
          <w:sz w:val="18"/>
          <w:szCs w:val="18"/>
          <w:lang w:val="en-US"/>
        </w:rPr>
      </w:pPr>
      <w:r w:rsidRPr="00BD295E">
        <w:rPr>
          <w:rFonts w:ascii="Arial" w:hAnsi="Arial" w:cs="Arial"/>
          <w:sz w:val="18"/>
          <w:szCs w:val="18"/>
          <w:lang w:val="en-US"/>
        </w:rPr>
        <w:t>*</w:t>
      </w:r>
      <w:r w:rsidRPr="00BD295E">
        <w:rPr>
          <w:rFonts w:ascii="Arial" w:hAnsi="Arial" w:cs="Arial"/>
          <w:bCs/>
          <w:sz w:val="18"/>
          <w:szCs w:val="18"/>
          <w:lang w:val="en-US"/>
        </w:rPr>
        <w:t>As at the moment of election</w:t>
      </w:r>
    </w:p>
    <w:p w14:paraId="142EE12A" w14:textId="77777777" w:rsidR="00F3260C" w:rsidRPr="00BD295E" w:rsidRDefault="00F3260C" w:rsidP="008A28D4">
      <w:pPr>
        <w:jc w:val="both"/>
        <w:rPr>
          <w:rFonts w:ascii="Arial" w:eastAsia="Calibri" w:hAnsi="Arial" w:cs="Arial"/>
          <w:b/>
          <w:bCs/>
          <w:sz w:val="18"/>
          <w:szCs w:val="18"/>
          <w:lang w:val="en-US" w:eastAsia="en-US"/>
        </w:rPr>
      </w:pPr>
    </w:p>
    <w:p w14:paraId="6580BA88" w14:textId="77777777" w:rsidR="00F3260C" w:rsidRPr="00BD295E" w:rsidRDefault="008A5057" w:rsidP="008A28D4">
      <w:pPr>
        <w:jc w:val="both"/>
        <w:rPr>
          <w:rFonts w:ascii="Arial" w:eastAsia="Calibri" w:hAnsi="Arial" w:cs="Arial"/>
          <w:b/>
          <w:bCs/>
          <w:sz w:val="18"/>
          <w:szCs w:val="18"/>
          <w:lang w:val="en-US"/>
        </w:rPr>
      </w:pPr>
      <w:r w:rsidRPr="00BD295E">
        <w:rPr>
          <w:rFonts w:ascii="Arial" w:hAnsi="Arial" w:cs="Arial"/>
          <w:b/>
          <w:bCs/>
          <w:sz w:val="18"/>
          <w:szCs w:val="18"/>
          <w:lang w:val="en-US"/>
        </w:rPr>
        <w:t>Composition of the Audit Committee of the Company’s Board of Directors in 2018</w:t>
      </w:r>
    </w:p>
    <w:p w14:paraId="1680EF0A" w14:textId="77777777" w:rsidR="00F3260C" w:rsidRPr="00BD295E" w:rsidRDefault="00F3260C" w:rsidP="008A28D4">
      <w:pPr>
        <w:jc w:val="both"/>
        <w:rPr>
          <w:rFonts w:ascii="Arial" w:eastAsia="Calibri" w:hAnsi="Arial" w:cs="Arial"/>
          <w:sz w:val="18"/>
          <w:szCs w:val="18"/>
          <w:lang w:val="en-US" w:eastAsia="en-US"/>
        </w:rPr>
      </w:pPr>
    </w:p>
    <w:p w14:paraId="6B5F213B" w14:textId="44C94AB6" w:rsidR="00F3260C" w:rsidRPr="00BD295E" w:rsidRDefault="008A5057" w:rsidP="008A28D4">
      <w:pPr>
        <w:jc w:val="both"/>
        <w:rPr>
          <w:rFonts w:ascii="Arial" w:hAnsi="Arial" w:cs="Arial"/>
          <w:b/>
          <w:sz w:val="18"/>
          <w:szCs w:val="18"/>
          <w:lang w:val="en-US"/>
        </w:rPr>
      </w:pPr>
      <w:r w:rsidRPr="00BD295E">
        <w:rPr>
          <w:rFonts w:ascii="Arial" w:hAnsi="Arial" w:cs="Arial"/>
          <w:b/>
          <w:sz w:val="18"/>
          <w:szCs w:val="18"/>
          <w:lang w:val="en-US"/>
        </w:rPr>
        <w:t xml:space="preserve">The Audit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July 17, 2017 (Minutes No. 5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July 20, 2017</w:t>
      </w:r>
      <w:r w:rsidR="002C3947" w:rsidRPr="00BD295E">
        <w:rPr>
          <w:rFonts w:ascii="Arial" w:hAnsi="Arial" w:cs="Arial"/>
          <w:b/>
          <w:sz w:val="18"/>
          <w:szCs w:val="18"/>
          <w:lang w:val="en-US"/>
        </w:rPr>
        <w:t>)*:</w:t>
      </w:r>
    </w:p>
    <w:p w14:paraId="3B8AC307" w14:textId="77777777" w:rsidR="00F3260C" w:rsidRPr="00BD295E" w:rsidRDefault="00F3260C" w:rsidP="00F3260C">
      <w:pPr>
        <w:ind w:firstLine="567"/>
        <w:jc w:val="both"/>
        <w:rPr>
          <w:rFonts w:ascii="Arial" w:eastAsia="Calibri" w:hAnsi="Arial" w:cs="Arial"/>
          <w:sz w:val="18"/>
          <w:szCs w:val="18"/>
          <w:lang w:val="en-US" w:eastAsia="en-US"/>
        </w:rPr>
      </w:pPr>
    </w:p>
    <w:tbl>
      <w:tblPr>
        <w:tblW w:w="9346" w:type="dxa"/>
        <w:tblCellMar>
          <w:left w:w="0" w:type="dxa"/>
          <w:right w:w="0" w:type="dxa"/>
        </w:tblCellMar>
        <w:tblLook w:val="04A0" w:firstRow="1" w:lastRow="0" w:firstColumn="1" w:lastColumn="0" w:noHBand="0" w:noVBand="1"/>
      </w:tblPr>
      <w:tblGrid>
        <w:gridCol w:w="557"/>
        <w:gridCol w:w="2316"/>
        <w:gridCol w:w="3921"/>
        <w:gridCol w:w="2552"/>
      </w:tblGrid>
      <w:tr w:rsidR="008A5057" w:rsidRPr="00BD295E" w14:paraId="64F518E4" w14:textId="77777777" w:rsidTr="0031297B">
        <w:tc>
          <w:tcPr>
            <w:tcW w:w="55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568C147" w14:textId="77777777" w:rsidR="00F3260C" w:rsidRPr="00BD295E" w:rsidRDefault="008A5057" w:rsidP="0031297B">
            <w:pPr>
              <w:jc w:val="both"/>
              <w:rPr>
                <w:rFonts w:ascii="Arial" w:eastAsia="Calibri" w:hAnsi="Arial" w:cs="Arial"/>
                <w:b/>
                <w:bCs/>
                <w:sz w:val="18"/>
                <w:szCs w:val="18"/>
                <w:lang w:val="en-US"/>
              </w:rPr>
            </w:pPr>
            <w:r w:rsidRPr="00BD295E">
              <w:rPr>
                <w:rFonts w:ascii="Arial" w:hAnsi="Arial" w:cs="Arial"/>
                <w:b/>
                <w:bCs/>
                <w:sz w:val="18"/>
                <w:szCs w:val="18"/>
                <w:lang w:val="en-US"/>
              </w:rPr>
              <w:t>No.</w:t>
            </w:r>
          </w:p>
        </w:tc>
        <w:tc>
          <w:tcPr>
            <w:tcW w:w="231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ECBA38D" w14:textId="77777777" w:rsidR="00F3260C" w:rsidRPr="00BD295E" w:rsidRDefault="008A5057" w:rsidP="0031297B">
            <w:pPr>
              <w:ind w:firstLine="567"/>
              <w:jc w:val="both"/>
              <w:rPr>
                <w:rFonts w:ascii="Arial" w:eastAsia="Calibri" w:hAnsi="Arial" w:cs="Arial"/>
                <w:b/>
                <w:bCs/>
                <w:sz w:val="18"/>
                <w:szCs w:val="18"/>
                <w:lang w:val="en-US"/>
              </w:rPr>
            </w:pPr>
            <w:r w:rsidRPr="00BD295E">
              <w:rPr>
                <w:rFonts w:ascii="Arial" w:hAnsi="Arial" w:cs="Arial"/>
                <w:b/>
                <w:bCs/>
                <w:sz w:val="18"/>
                <w:szCs w:val="18"/>
                <w:lang w:val="en-US"/>
              </w:rPr>
              <w:t>Full name</w:t>
            </w:r>
          </w:p>
        </w:tc>
        <w:tc>
          <w:tcPr>
            <w:tcW w:w="392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54E1B22" w14:textId="77777777" w:rsidR="00F3260C" w:rsidRPr="00BD295E" w:rsidRDefault="008A5057" w:rsidP="0031297B">
            <w:pPr>
              <w:ind w:firstLine="567"/>
              <w:jc w:val="both"/>
              <w:rPr>
                <w:rFonts w:ascii="Arial" w:eastAsia="Calibri" w:hAnsi="Arial" w:cs="Arial"/>
                <w:b/>
                <w:bCs/>
                <w:sz w:val="18"/>
                <w:szCs w:val="18"/>
                <w:lang w:val="en-US"/>
              </w:rPr>
            </w:pPr>
            <w:r w:rsidRPr="00BD295E">
              <w:rPr>
                <w:rFonts w:ascii="Arial" w:hAnsi="Arial" w:cs="Arial"/>
                <w:b/>
                <w:bCs/>
                <w:sz w:val="18"/>
                <w:szCs w:val="18"/>
                <w:lang w:val="en-US"/>
              </w:rPr>
              <w:t>Place of employment</w:t>
            </w:r>
          </w:p>
        </w:tc>
        <w:tc>
          <w:tcPr>
            <w:tcW w:w="255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073C90F" w14:textId="77777777" w:rsidR="00F3260C" w:rsidRPr="00BD295E" w:rsidRDefault="008A5057" w:rsidP="0031297B">
            <w:pPr>
              <w:ind w:firstLine="567"/>
              <w:jc w:val="both"/>
              <w:rPr>
                <w:rFonts w:ascii="Arial" w:eastAsia="Calibri" w:hAnsi="Arial" w:cs="Arial"/>
                <w:b/>
                <w:bCs/>
                <w:sz w:val="18"/>
                <w:szCs w:val="18"/>
                <w:lang w:val="en-US"/>
              </w:rPr>
            </w:pPr>
            <w:r w:rsidRPr="00BD295E">
              <w:rPr>
                <w:rFonts w:ascii="Arial" w:hAnsi="Arial" w:cs="Arial"/>
                <w:b/>
                <w:bCs/>
                <w:sz w:val="18"/>
                <w:szCs w:val="18"/>
                <w:lang w:val="en-US"/>
              </w:rPr>
              <w:t>Status</w:t>
            </w:r>
          </w:p>
        </w:tc>
      </w:tr>
      <w:tr w:rsidR="008A5057" w:rsidRPr="00BD295E" w14:paraId="190E2EDA" w14:textId="77777777" w:rsidTr="0031297B">
        <w:tc>
          <w:tcPr>
            <w:tcW w:w="9346" w:type="dxa"/>
            <w:gridSpan w:val="4"/>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C8D7DE" w14:textId="77777777" w:rsidR="00F3260C" w:rsidRPr="00BD295E" w:rsidRDefault="008A5057" w:rsidP="0031297B">
            <w:pPr>
              <w:ind w:firstLine="567"/>
              <w:jc w:val="both"/>
              <w:rPr>
                <w:rFonts w:ascii="Arial" w:eastAsia="Calibri" w:hAnsi="Arial" w:cs="Arial"/>
                <w:b/>
                <w:bCs/>
                <w:sz w:val="18"/>
                <w:szCs w:val="18"/>
                <w:lang w:val="en-US"/>
              </w:rPr>
            </w:pPr>
            <w:r w:rsidRPr="00BD295E">
              <w:rPr>
                <w:rFonts w:ascii="Arial" w:hAnsi="Arial" w:cs="Arial"/>
                <w:b/>
                <w:bCs/>
                <w:sz w:val="18"/>
                <w:szCs w:val="18"/>
                <w:lang w:val="en-US"/>
              </w:rPr>
              <w:t>Committee Chairman:</w:t>
            </w:r>
          </w:p>
        </w:tc>
      </w:tr>
      <w:tr w:rsidR="008A5057" w:rsidRPr="00BD295E" w14:paraId="615A9F85"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281472"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1</w:t>
            </w:r>
          </w:p>
        </w:tc>
        <w:tc>
          <w:tcPr>
            <w:tcW w:w="2316" w:type="dxa"/>
            <w:tcBorders>
              <w:top w:val="nil"/>
              <w:left w:val="nil"/>
              <w:bottom w:val="single" w:sz="8" w:space="0" w:color="auto"/>
              <w:right w:val="single" w:sz="8" w:space="0" w:color="auto"/>
            </w:tcBorders>
            <w:tcMar>
              <w:top w:w="0" w:type="dxa"/>
              <w:left w:w="108" w:type="dxa"/>
              <w:bottom w:w="0" w:type="dxa"/>
              <w:right w:w="108" w:type="dxa"/>
            </w:tcMar>
            <w:hideMark/>
          </w:tcPr>
          <w:p w14:paraId="2CA53C8C" w14:textId="77777777" w:rsidR="00F3260C" w:rsidRPr="00BD295E" w:rsidRDefault="008A5057" w:rsidP="0031297B">
            <w:pPr>
              <w:tabs>
                <w:tab w:val="left" w:pos="851"/>
              </w:tabs>
              <w:contextualSpacing/>
              <w:jc w:val="both"/>
              <w:rPr>
                <w:rFonts w:ascii="Arial" w:eastAsia="Calibri" w:hAnsi="Arial" w:cs="Arial"/>
                <w:sz w:val="18"/>
                <w:szCs w:val="18"/>
                <w:lang w:val="en-US"/>
              </w:rPr>
            </w:pPr>
            <w:r w:rsidRPr="00BD295E">
              <w:rPr>
                <w:rFonts w:ascii="Arial" w:hAnsi="Arial" w:cs="Arial"/>
                <w:snapToGrid w:val="0"/>
                <w:sz w:val="18"/>
                <w:szCs w:val="18"/>
                <w:lang w:val="en-US"/>
              </w:rPr>
              <w:t>Sergey Sergeev</w:t>
            </w:r>
            <w:r w:rsidRPr="00BD295E">
              <w:rPr>
                <w:rFonts w:ascii="Arial" w:hAnsi="Arial" w:cs="Arial"/>
                <w:sz w:val="18"/>
                <w:szCs w:val="18"/>
                <w:lang w:val="en-US"/>
              </w:rPr>
              <w:t xml:space="preserve"> </w:t>
            </w:r>
          </w:p>
        </w:tc>
        <w:tc>
          <w:tcPr>
            <w:tcW w:w="3921" w:type="dxa"/>
            <w:tcBorders>
              <w:top w:val="nil"/>
              <w:left w:val="nil"/>
              <w:bottom w:val="single" w:sz="8" w:space="0" w:color="auto"/>
              <w:right w:val="single" w:sz="8" w:space="0" w:color="auto"/>
            </w:tcBorders>
            <w:tcMar>
              <w:top w:w="0" w:type="dxa"/>
              <w:left w:w="108" w:type="dxa"/>
              <w:bottom w:w="0" w:type="dxa"/>
              <w:right w:w="108" w:type="dxa"/>
            </w:tcMar>
            <w:hideMark/>
          </w:tcPr>
          <w:p w14:paraId="5A10863F" w14:textId="77777777" w:rsidR="00F3260C" w:rsidRPr="00BD295E" w:rsidRDefault="008A5057" w:rsidP="0031297B">
            <w:pPr>
              <w:jc w:val="both"/>
              <w:rPr>
                <w:rFonts w:ascii="Arial" w:eastAsia="Calibri" w:hAnsi="Arial" w:cs="Arial"/>
                <w:sz w:val="18"/>
                <w:szCs w:val="18"/>
                <w:lang w:val="en-US"/>
              </w:rPr>
            </w:pPr>
            <w:r w:rsidRPr="00BD295E">
              <w:rPr>
                <w:rFonts w:ascii="Arial" w:hAnsi="Arial" w:cs="Arial"/>
                <w:snapToGrid w:val="0"/>
                <w:sz w:val="18"/>
                <w:szCs w:val="18"/>
                <w:lang w:val="en-US"/>
              </w:rPr>
              <w:t xml:space="preserve">Deputy CEO for Capital Construction, </w:t>
            </w:r>
            <w:r w:rsidR="00BF106F" w:rsidRPr="00BD295E">
              <w:rPr>
                <w:rFonts w:ascii="Arial" w:hAnsi="Arial" w:cs="Arial"/>
                <w:snapToGrid w:val="0"/>
                <w:sz w:val="18"/>
                <w:szCs w:val="18"/>
                <w:lang w:val="en-US"/>
              </w:rPr>
              <w:t>PJSC “Rosseti”</w:t>
            </w:r>
          </w:p>
        </w:tc>
        <w:tc>
          <w:tcPr>
            <w:tcW w:w="2552" w:type="dxa"/>
            <w:tcBorders>
              <w:top w:val="nil"/>
              <w:left w:val="nil"/>
              <w:bottom w:val="single" w:sz="8" w:space="0" w:color="auto"/>
              <w:right w:val="single" w:sz="8" w:space="0" w:color="auto"/>
            </w:tcBorders>
            <w:tcMar>
              <w:top w:w="0" w:type="dxa"/>
              <w:left w:w="108" w:type="dxa"/>
              <w:bottom w:w="0" w:type="dxa"/>
              <w:right w:w="108" w:type="dxa"/>
            </w:tcMar>
          </w:tcPr>
          <w:p w14:paraId="46FB125A" w14:textId="77777777" w:rsidR="00F3260C" w:rsidRPr="00BD295E" w:rsidRDefault="008A5057" w:rsidP="0031297B">
            <w:pPr>
              <w:jc w:val="both"/>
              <w:rPr>
                <w:rFonts w:ascii="Arial" w:eastAsia="Calibri" w:hAnsi="Arial" w:cs="Arial"/>
                <w:sz w:val="18"/>
                <w:szCs w:val="18"/>
                <w:lang w:val="en-US"/>
              </w:rPr>
            </w:pPr>
            <w:r w:rsidRPr="00BD295E">
              <w:rPr>
                <w:rFonts w:ascii="Arial" w:hAnsi="Arial" w:cs="Arial"/>
                <w:sz w:val="18"/>
                <w:szCs w:val="18"/>
                <w:lang w:val="en-US"/>
              </w:rPr>
              <w:t>Non-executive director</w:t>
            </w:r>
          </w:p>
          <w:p w14:paraId="28FBDD04" w14:textId="77777777" w:rsidR="00F3260C" w:rsidRPr="00BD295E" w:rsidRDefault="00F3260C" w:rsidP="0031297B">
            <w:pPr>
              <w:jc w:val="both"/>
              <w:rPr>
                <w:rFonts w:ascii="Arial" w:eastAsia="Calibri" w:hAnsi="Arial" w:cs="Arial"/>
                <w:sz w:val="18"/>
                <w:szCs w:val="18"/>
                <w:lang w:val="en-US" w:eastAsia="en-US"/>
              </w:rPr>
            </w:pPr>
          </w:p>
        </w:tc>
      </w:tr>
      <w:tr w:rsidR="008A5057" w:rsidRPr="00BD295E" w14:paraId="4C6BECBF" w14:textId="77777777" w:rsidTr="0031297B">
        <w:tc>
          <w:tcPr>
            <w:tcW w:w="9346" w:type="dxa"/>
            <w:gridSpan w:val="4"/>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A68C94" w14:textId="77777777" w:rsidR="00F3260C" w:rsidRPr="00BD295E" w:rsidRDefault="008A5057" w:rsidP="0031297B">
            <w:pPr>
              <w:ind w:left="591"/>
              <w:jc w:val="both"/>
              <w:rPr>
                <w:rFonts w:ascii="Arial" w:eastAsia="Calibri" w:hAnsi="Arial" w:cs="Arial"/>
                <w:b/>
                <w:sz w:val="18"/>
                <w:szCs w:val="18"/>
                <w:lang w:val="en-US"/>
              </w:rPr>
            </w:pPr>
            <w:r w:rsidRPr="00BD295E">
              <w:rPr>
                <w:rFonts w:ascii="Arial" w:hAnsi="Arial" w:cs="Arial"/>
                <w:b/>
                <w:sz w:val="18"/>
                <w:szCs w:val="18"/>
                <w:lang w:val="en-US"/>
              </w:rPr>
              <w:t>Committee Members</w:t>
            </w:r>
          </w:p>
        </w:tc>
      </w:tr>
      <w:tr w:rsidR="008A5057" w:rsidRPr="00BD295E" w14:paraId="7F20C7DF"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3663347" w14:textId="77777777" w:rsidR="00F3260C" w:rsidRPr="00BD295E" w:rsidRDefault="008A5057" w:rsidP="0031297B">
            <w:pPr>
              <w:pStyle w:val="af3"/>
              <w:ind w:left="0"/>
              <w:jc w:val="center"/>
              <w:rPr>
                <w:rFonts w:ascii="Arial" w:eastAsia="Calibri" w:hAnsi="Arial" w:cs="Arial"/>
                <w:sz w:val="18"/>
                <w:szCs w:val="18"/>
                <w:lang w:val="en-US"/>
              </w:rPr>
            </w:pPr>
            <w:r w:rsidRPr="00BD295E">
              <w:rPr>
                <w:rFonts w:ascii="Arial" w:hAnsi="Arial" w:cs="Arial"/>
                <w:sz w:val="18"/>
                <w:szCs w:val="18"/>
                <w:lang w:val="en-US"/>
              </w:rPr>
              <w:t>2</w:t>
            </w:r>
          </w:p>
        </w:tc>
        <w:tc>
          <w:tcPr>
            <w:tcW w:w="2316" w:type="dxa"/>
            <w:tcBorders>
              <w:top w:val="nil"/>
              <w:left w:val="nil"/>
              <w:bottom w:val="single" w:sz="8" w:space="0" w:color="auto"/>
              <w:right w:val="single" w:sz="8" w:space="0" w:color="auto"/>
            </w:tcBorders>
            <w:tcMar>
              <w:top w:w="0" w:type="dxa"/>
              <w:left w:w="108" w:type="dxa"/>
              <w:bottom w:w="0" w:type="dxa"/>
              <w:right w:w="108" w:type="dxa"/>
            </w:tcMar>
            <w:hideMark/>
          </w:tcPr>
          <w:p w14:paraId="62CA071A"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Roman Berdnikov</w:t>
            </w:r>
          </w:p>
        </w:tc>
        <w:tc>
          <w:tcPr>
            <w:tcW w:w="3921" w:type="dxa"/>
            <w:tcBorders>
              <w:top w:val="nil"/>
              <w:left w:val="nil"/>
              <w:bottom w:val="single" w:sz="8" w:space="0" w:color="auto"/>
              <w:right w:val="single" w:sz="8" w:space="0" w:color="auto"/>
            </w:tcBorders>
            <w:tcMar>
              <w:top w:w="0" w:type="dxa"/>
              <w:left w:w="108" w:type="dxa"/>
              <w:bottom w:w="0" w:type="dxa"/>
              <w:right w:w="108" w:type="dxa"/>
            </w:tcMar>
            <w:hideMark/>
          </w:tcPr>
          <w:p w14:paraId="7B7F6841"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First Deputy CEO of </w:t>
            </w:r>
            <w:r w:rsidR="00BF106F" w:rsidRPr="00BD295E">
              <w:rPr>
                <w:rFonts w:ascii="Arial" w:hAnsi="Arial" w:cs="Arial"/>
                <w:snapToGrid w:val="0"/>
                <w:sz w:val="18"/>
                <w:szCs w:val="18"/>
                <w:lang w:val="en-US"/>
              </w:rPr>
              <w:t>PJSC “Rosseti”</w:t>
            </w:r>
          </w:p>
        </w:tc>
        <w:tc>
          <w:tcPr>
            <w:tcW w:w="2552" w:type="dxa"/>
            <w:tcBorders>
              <w:top w:val="nil"/>
              <w:left w:val="nil"/>
              <w:bottom w:val="single" w:sz="8" w:space="0" w:color="auto"/>
              <w:right w:val="single" w:sz="8" w:space="0" w:color="auto"/>
            </w:tcBorders>
            <w:tcMar>
              <w:top w:w="0" w:type="dxa"/>
              <w:left w:w="108" w:type="dxa"/>
              <w:bottom w:w="0" w:type="dxa"/>
              <w:right w:w="108" w:type="dxa"/>
            </w:tcMar>
          </w:tcPr>
          <w:p w14:paraId="61CF7076" w14:textId="77777777" w:rsidR="00F3260C" w:rsidRPr="00BD295E" w:rsidRDefault="008A5057" w:rsidP="0031297B">
            <w:pPr>
              <w:jc w:val="both"/>
              <w:rPr>
                <w:rFonts w:ascii="Arial" w:eastAsia="Calibri" w:hAnsi="Arial" w:cs="Arial"/>
                <w:sz w:val="18"/>
                <w:szCs w:val="18"/>
                <w:lang w:val="en-US"/>
              </w:rPr>
            </w:pPr>
            <w:r w:rsidRPr="00BD295E">
              <w:rPr>
                <w:rFonts w:ascii="Arial" w:hAnsi="Arial" w:cs="Arial"/>
                <w:sz w:val="18"/>
                <w:szCs w:val="18"/>
                <w:lang w:val="en-US"/>
              </w:rPr>
              <w:t>Executive director</w:t>
            </w:r>
          </w:p>
          <w:p w14:paraId="6E1A399A" w14:textId="77777777" w:rsidR="00F3260C" w:rsidRPr="00BD295E" w:rsidRDefault="00F3260C" w:rsidP="0031297B">
            <w:pPr>
              <w:jc w:val="both"/>
              <w:rPr>
                <w:rFonts w:ascii="Arial" w:eastAsia="Calibri" w:hAnsi="Arial" w:cs="Arial"/>
                <w:sz w:val="18"/>
                <w:szCs w:val="18"/>
                <w:lang w:val="en-US" w:eastAsia="en-US"/>
              </w:rPr>
            </w:pPr>
          </w:p>
        </w:tc>
      </w:tr>
      <w:tr w:rsidR="008A5057" w:rsidRPr="00BD295E" w14:paraId="4205A2B7"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7A0AAD4"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3</w:t>
            </w:r>
          </w:p>
        </w:tc>
        <w:tc>
          <w:tcPr>
            <w:tcW w:w="2316" w:type="dxa"/>
            <w:tcBorders>
              <w:top w:val="nil"/>
              <w:left w:val="nil"/>
              <w:bottom w:val="single" w:sz="8" w:space="0" w:color="auto"/>
              <w:right w:val="single" w:sz="8" w:space="0" w:color="auto"/>
            </w:tcBorders>
            <w:tcMar>
              <w:top w:w="0" w:type="dxa"/>
              <w:left w:w="108" w:type="dxa"/>
              <w:bottom w:w="0" w:type="dxa"/>
              <w:right w:w="108" w:type="dxa"/>
            </w:tcMar>
            <w:hideMark/>
          </w:tcPr>
          <w:p w14:paraId="59C64162"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Konstantin Petukhov</w:t>
            </w:r>
          </w:p>
        </w:tc>
        <w:tc>
          <w:tcPr>
            <w:tcW w:w="3921" w:type="dxa"/>
            <w:tcBorders>
              <w:top w:val="nil"/>
              <w:left w:val="nil"/>
              <w:bottom w:val="single" w:sz="8" w:space="0" w:color="auto"/>
              <w:right w:val="single" w:sz="8" w:space="0" w:color="auto"/>
            </w:tcBorders>
            <w:tcMar>
              <w:top w:w="0" w:type="dxa"/>
              <w:left w:w="108" w:type="dxa"/>
              <w:bottom w:w="0" w:type="dxa"/>
              <w:right w:w="108" w:type="dxa"/>
            </w:tcMar>
            <w:hideMark/>
          </w:tcPr>
          <w:p w14:paraId="25C7398D"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CEO for Development and Sales of Services at </w:t>
            </w:r>
            <w:r w:rsidR="00BF106F" w:rsidRPr="00BD295E">
              <w:rPr>
                <w:rFonts w:ascii="Arial" w:hAnsi="Arial" w:cs="Arial"/>
                <w:snapToGrid w:val="0"/>
                <w:sz w:val="18"/>
                <w:szCs w:val="18"/>
                <w:lang w:val="en-US"/>
              </w:rPr>
              <w:t>PJSC “Rosseti”</w:t>
            </w:r>
          </w:p>
        </w:tc>
        <w:tc>
          <w:tcPr>
            <w:tcW w:w="2552" w:type="dxa"/>
            <w:tcBorders>
              <w:top w:val="nil"/>
              <w:left w:val="nil"/>
              <w:bottom w:val="single" w:sz="8" w:space="0" w:color="auto"/>
              <w:right w:val="single" w:sz="8" w:space="0" w:color="auto"/>
            </w:tcBorders>
            <w:tcMar>
              <w:top w:w="0" w:type="dxa"/>
              <w:left w:w="108" w:type="dxa"/>
              <w:bottom w:w="0" w:type="dxa"/>
              <w:right w:w="108" w:type="dxa"/>
            </w:tcMar>
            <w:hideMark/>
          </w:tcPr>
          <w:p w14:paraId="66F78DBE" w14:textId="77777777" w:rsidR="00F3260C" w:rsidRPr="00BD295E" w:rsidRDefault="008A5057" w:rsidP="0031297B">
            <w:pPr>
              <w:jc w:val="both"/>
              <w:rPr>
                <w:rFonts w:ascii="Arial" w:eastAsia="Calibri" w:hAnsi="Arial" w:cs="Arial"/>
                <w:sz w:val="18"/>
                <w:szCs w:val="18"/>
                <w:lang w:val="en-US"/>
              </w:rPr>
            </w:pPr>
            <w:r w:rsidRPr="00BD295E">
              <w:rPr>
                <w:rFonts w:ascii="Arial" w:hAnsi="Arial" w:cs="Arial"/>
                <w:sz w:val="18"/>
                <w:szCs w:val="18"/>
                <w:lang w:val="en-US"/>
              </w:rPr>
              <w:t>Non-executive director</w:t>
            </w:r>
          </w:p>
        </w:tc>
      </w:tr>
      <w:tr w:rsidR="008A5057" w:rsidRPr="00BD295E" w14:paraId="5ACD46D9"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D402783"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4</w:t>
            </w:r>
          </w:p>
        </w:tc>
        <w:tc>
          <w:tcPr>
            <w:tcW w:w="2316" w:type="dxa"/>
            <w:tcBorders>
              <w:top w:val="nil"/>
              <w:left w:val="nil"/>
              <w:bottom w:val="single" w:sz="8" w:space="0" w:color="auto"/>
              <w:right w:val="single" w:sz="8" w:space="0" w:color="auto"/>
            </w:tcBorders>
            <w:tcMar>
              <w:top w:w="0" w:type="dxa"/>
              <w:left w:w="108" w:type="dxa"/>
              <w:bottom w:w="0" w:type="dxa"/>
              <w:right w:w="108" w:type="dxa"/>
            </w:tcMar>
          </w:tcPr>
          <w:p w14:paraId="5138AF0B"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Sergey Pikin</w:t>
            </w:r>
          </w:p>
        </w:tc>
        <w:tc>
          <w:tcPr>
            <w:tcW w:w="3921" w:type="dxa"/>
            <w:tcBorders>
              <w:top w:val="nil"/>
              <w:left w:val="nil"/>
              <w:bottom w:val="single" w:sz="8" w:space="0" w:color="auto"/>
              <w:right w:val="single" w:sz="8" w:space="0" w:color="auto"/>
            </w:tcBorders>
            <w:tcMar>
              <w:top w:w="0" w:type="dxa"/>
              <w:left w:w="108" w:type="dxa"/>
              <w:bottom w:w="0" w:type="dxa"/>
              <w:right w:w="108" w:type="dxa"/>
            </w:tcMar>
          </w:tcPr>
          <w:p w14:paraId="06A02CEA"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Director of the Energy Development Fund</w:t>
            </w:r>
          </w:p>
        </w:tc>
        <w:tc>
          <w:tcPr>
            <w:tcW w:w="2552" w:type="dxa"/>
            <w:tcBorders>
              <w:top w:val="nil"/>
              <w:left w:val="nil"/>
              <w:bottom w:val="single" w:sz="8" w:space="0" w:color="auto"/>
              <w:right w:val="single" w:sz="8" w:space="0" w:color="auto"/>
            </w:tcBorders>
            <w:tcMar>
              <w:top w:w="0" w:type="dxa"/>
              <w:left w:w="108" w:type="dxa"/>
              <w:bottom w:w="0" w:type="dxa"/>
              <w:right w:w="108" w:type="dxa"/>
            </w:tcMar>
          </w:tcPr>
          <w:p w14:paraId="49E7C069" w14:textId="77777777" w:rsidR="00F3260C" w:rsidRPr="00BD295E" w:rsidRDefault="008A5057" w:rsidP="0031297B">
            <w:pPr>
              <w:jc w:val="both"/>
              <w:rPr>
                <w:rFonts w:ascii="Arial" w:eastAsia="Calibri" w:hAnsi="Arial" w:cs="Arial"/>
                <w:sz w:val="18"/>
                <w:szCs w:val="18"/>
                <w:lang w:val="en-US"/>
              </w:rPr>
            </w:pPr>
            <w:r w:rsidRPr="00BD295E">
              <w:rPr>
                <w:rFonts w:ascii="Arial" w:hAnsi="Arial" w:cs="Arial"/>
                <w:sz w:val="18"/>
                <w:szCs w:val="18"/>
                <w:lang w:val="en-US"/>
              </w:rPr>
              <w:t>Independent director</w:t>
            </w:r>
          </w:p>
        </w:tc>
      </w:tr>
      <w:tr w:rsidR="008A5057" w:rsidRPr="00BD295E" w14:paraId="0530D434"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023D059"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5</w:t>
            </w:r>
          </w:p>
        </w:tc>
        <w:tc>
          <w:tcPr>
            <w:tcW w:w="2316" w:type="dxa"/>
            <w:tcBorders>
              <w:top w:val="nil"/>
              <w:left w:val="nil"/>
              <w:bottom w:val="single" w:sz="8" w:space="0" w:color="auto"/>
              <w:right w:val="single" w:sz="8" w:space="0" w:color="auto"/>
            </w:tcBorders>
            <w:tcMar>
              <w:top w:w="0" w:type="dxa"/>
              <w:left w:w="108" w:type="dxa"/>
              <w:bottom w:w="0" w:type="dxa"/>
              <w:right w:w="108" w:type="dxa"/>
            </w:tcMar>
            <w:hideMark/>
          </w:tcPr>
          <w:p w14:paraId="48FC8DD2"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Andrey Bondarchuk</w:t>
            </w:r>
          </w:p>
        </w:tc>
        <w:tc>
          <w:tcPr>
            <w:tcW w:w="3921" w:type="dxa"/>
            <w:tcBorders>
              <w:top w:val="nil"/>
              <w:left w:val="nil"/>
              <w:bottom w:val="single" w:sz="8" w:space="0" w:color="auto"/>
              <w:right w:val="single" w:sz="8" w:space="0" w:color="auto"/>
            </w:tcBorders>
            <w:tcMar>
              <w:top w:w="0" w:type="dxa"/>
              <w:left w:w="108" w:type="dxa"/>
              <w:bottom w:w="0" w:type="dxa"/>
              <w:right w:w="108" w:type="dxa"/>
            </w:tcMar>
            <w:hideMark/>
          </w:tcPr>
          <w:p w14:paraId="1BD98091"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Chairman of the Energy and Engineering Support Committee of Saint Petersburg</w:t>
            </w:r>
          </w:p>
        </w:tc>
        <w:tc>
          <w:tcPr>
            <w:tcW w:w="2552" w:type="dxa"/>
            <w:tcBorders>
              <w:top w:val="nil"/>
              <w:left w:val="nil"/>
              <w:bottom w:val="single" w:sz="8" w:space="0" w:color="auto"/>
              <w:right w:val="single" w:sz="8" w:space="0" w:color="auto"/>
            </w:tcBorders>
            <w:tcMar>
              <w:top w:w="0" w:type="dxa"/>
              <w:left w:w="108" w:type="dxa"/>
              <w:bottom w:w="0" w:type="dxa"/>
              <w:right w:w="108" w:type="dxa"/>
            </w:tcMar>
            <w:hideMark/>
          </w:tcPr>
          <w:p w14:paraId="0225F4E6" w14:textId="77777777" w:rsidR="00F3260C" w:rsidRPr="00BD295E" w:rsidRDefault="008A5057" w:rsidP="0031297B">
            <w:pPr>
              <w:jc w:val="both"/>
              <w:rPr>
                <w:rFonts w:ascii="Arial" w:eastAsia="Calibri" w:hAnsi="Arial" w:cs="Arial"/>
                <w:sz w:val="18"/>
                <w:szCs w:val="18"/>
                <w:lang w:val="en-US"/>
              </w:rPr>
            </w:pPr>
            <w:r w:rsidRPr="00BD295E">
              <w:rPr>
                <w:rFonts w:ascii="Arial" w:hAnsi="Arial" w:cs="Arial"/>
                <w:sz w:val="18"/>
                <w:szCs w:val="18"/>
                <w:lang w:val="en-US"/>
              </w:rPr>
              <w:t>Non-executive director</w:t>
            </w:r>
          </w:p>
        </w:tc>
      </w:tr>
      <w:tr w:rsidR="008A5057" w:rsidRPr="00BD295E" w14:paraId="4155C48C"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D498EA8"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6</w:t>
            </w:r>
          </w:p>
        </w:tc>
        <w:tc>
          <w:tcPr>
            <w:tcW w:w="2316" w:type="dxa"/>
            <w:tcBorders>
              <w:top w:val="nil"/>
              <w:left w:val="nil"/>
              <w:bottom w:val="single" w:sz="8" w:space="0" w:color="auto"/>
              <w:right w:val="single" w:sz="8" w:space="0" w:color="auto"/>
            </w:tcBorders>
            <w:tcMar>
              <w:top w:w="0" w:type="dxa"/>
              <w:left w:w="108" w:type="dxa"/>
              <w:bottom w:w="0" w:type="dxa"/>
              <w:right w:w="108" w:type="dxa"/>
            </w:tcMar>
            <w:hideMark/>
          </w:tcPr>
          <w:p w14:paraId="49F2A39B"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Gasan Safarov</w:t>
            </w:r>
          </w:p>
        </w:tc>
        <w:tc>
          <w:tcPr>
            <w:tcW w:w="3921" w:type="dxa"/>
            <w:tcBorders>
              <w:top w:val="nil"/>
              <w:left w:val="nil"/>
              <w:bottom w:val="single" w:sz="8" w:space="0" w:color="auto"/>
              <w:right w:val="single" w:sz="8" w:space="0" w:color="auto"/>
            </w:tcBorders>
            <w:tcMar>
              <w:top w:w="0" w:type="dxa"/>
              <w:left w:w="108" w:type="dxa"/>
              <w:bottom w:w="0" w:type="dxa"/>
              <w:right w:w="108" w:type="dxa"/>
            </w:tcMar>
            <w:hideMark/>
          </w:tcPr>
          <w:p w14:paraId="7C7B4107"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First Deputy Chairman of the Tariffs Committee of Saint Petersburg</w:t>
            </w:r>
          </w:p>
        </w:tc>
        <w:tc>
          <w:tcPr>
            <w:tcW w:w="2552" w:type="dxa"/>
            <w:tcBorders>
              <w:top w:val="nil"/>
              <w:left w:val="nil"/>
              <w:bottom w:val="single" w:sz="8" w:space="0" w:color="auto"/>
              <w:right w:val="single" w:sz="8" w:space="0" w:color="auto"/>
            </w:tcBorders>
            <w:tcMar>
              <w:top w:w="0" w:type="dxa"/>
              <w:left w:w="108" w:type="dxa"/>
              <w:bottom w:w="0" w:type="dxa"/>
              <w:right w:w="108" w:type="dxa"/>
            </w:tcMar>
            <w:hideMark/>
          </w:tcPr>
          <w:p w14:paraId="1F7AB3F0" w14:textId="77777777" w:rsidR="00F3260C" w:rsidRPr="00BD295E" w:rsidRDefault="008A5057" w:rsidP="0031297B">
            <w:pPr>
              <w:jc w:val="both"/>
              <w:rPr>
                <w:rFonts w:ascii="Arial" w:eastAsia="Calibri" w:hAnsi="Arial" w:cs="Arial"/>
                <w:sz w:val="18"/>
                <w:szCs w:val="18"/>
                <w:lang w:val="en-US"/>
              </w:rPr>
            </w:pPr>
            <w:r w:rsidRPr="00BD295E">
              <w:rPr>
                <w:rFonts w:ascii="Arial" w:hAnsi="Arial" w:cs="Arial"/>
                <w:sz w:val="18"/>
                <w:szCs w:val="18"/>
                <w:lang w:val="en-US"/>
              </w:rPr>
              <w:t>Non-executive director</w:t>
            </w:r>
          </w:p>
        </w:tc>
      </w:tr>
      <w:tr w:rsidR="008A5057" w:rsidRPr="00BD295E" w14:paraId="786023CF" w14:textId="77777777" w:rsidTr="0031297B">
        <w:tc>
          <w:tcPr>
            <w:tcW w:w="55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261F7D8"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sz w:val="18"/>
                <w:szCs w:val="18"/>
                <w:lang w:val="en-US"/>
              </w:rPr>
              <w:t>7</w:t>
            </w:r>
          </w:p>
        </w:tc>
        <w:tc>
          <w:tcPr>
            <w:tcW w:w="2316" w:type="dxa"/>
            <w:tcBorders>
              <w:top w:val="nil"/>
              <w:left w:val="nil"/>
              <w:bottom w:val="single" w:sz="8" w:space="0" w:color="auto"/>
              <w:right w:val="single" w:sz="8" w:space="0" w:color="auto"/>
            </w:tcBorders>
            <w:tcMar>
              <w:top w:w="0" w:type="dxa"/>
              <w:left w:w="108" w:type="dxa"/>
              <w:bottom w:w="0" w:type="dxa"/>
              <w:right w:w="108" w:type="dxa"/>
            </w:tcMar>
            <w:hideMark/>
          </w:tcPr>
          <w:p w14:paraId="536DC9CC"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Marina Yankina</w:t>
            </w:r>
          </w:p>
        </w:tc>
        <w:tc>
          <w:tcPr>
            <w:tcW w:w="3921" w:type="dxa"/>
            <w:tcBorders>
              <w:top w:val="nil"/>
              <w:left w:val="nil"/>
              <w:bottom w:val="single" w:sz="8" w:space="0" w:color="auto"/>
              <w:right w:val="single" w:sz="8" w:space="0" w:color="auto"/>
            </w:tcBorders>
            <w:tcMar>
              <w:top w:w="0" w:type="dxa"/>
              <w:left w:w="108" w:type="dxa"/>
              <w:bottom w:w="0" w:type="dxa"/>
              <w:right w:w="108" w:type="dxa"/>
            </w:tcMar>
            <w:hideMark/>
          </w:tcPr>
          <w:p w14:paraId="35E37705" w14:textId="77777777" w:rsidR="00F3260C" w:rsidRPr="00BD295E" w:rsidRDefault="008A5057" w:rsidP="0031297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Chairman of the Property Relations Committee of Saint Petersburg</w:t>
            </w:r>
          </w:p>
        </w:tc>
        <w:tc>
          <w:tcPr>
            <w:tcW w:w="2552" w:type="dxa"/>
            <w:tcBorders>
              <w:top w:val="nil"/>
              <w:left w:val="nil"/>
              <w:bottom w:val="single" w:sz="8" w:space="0" w:color="auto"/>
              <w:right w:val="single" w:sz="8" w:space="0" w:color="auto"/>
            </w:tcBorders>
            <w:tcMar>
              <w:top w:w="0" w:type="dxa"/>
              <w:left w:w="108" w:type="dxa"/>
              <w:bottom w:w="0" w:type="dxa"/>
              <w:right w:w="108" w:type="dxa"/>
            </w:tcMar>
            <w:hideMark/>
          </w:tcPr>
          <w:p w14:paraId="7259C179" w14:textId="77777777" w:rsidR="00F3260C" w:rsidRPr="00BD295E" w:rsidRDefault="008A5057" w:rsidP="0031297B">
            <w:pPr>
              <w:jc w:val="both"/>
              <w:rPr>
                <w:rFonts w:ascii="Arial" w:eastAsia="Calibri" w:hAnsi="Arial" w:cs="Arial"/>
                <w:sz w:val="18"/>
                <w:szCs w:val="18"/>
                <w:lang w:val="en-US"/>
              </w:rPr>
            </w:pPr>
            <w:r w:rsidRPr="00BD295E">
              <w:rPr>
                <w:rFonts w:ascii="Arial" w:hAnsi="Arial" w:cs="Arial"/>
                <w:sz w:val="18"/>
                <w:szCs w:val="18"/>
                <w:lang w:val="en-US"/>
              </w:rPr>
              <w:t>Non-executive director</w:t>
            </w:r>
          </w:p>
        </w:tc>
      </w:tr>
    </w:tbl>
    <w:p w14:paraId="1B4AA8EC" w14:textId="77777777" w:rsidR="00F3260C" w:rsidRPr="00BD295E" w:rsidRDefault="008A5057" w:rsidP="00F3260C">
      <w:pPr>
        <w:ind w:firstLine="567"/>
        <w:jc w:val="both"/>
        <w:rPr>
          <w:rFonts w:ascii="Arial" w:eastAsia="Calibri" w:hAnsi="Arial" w:cs="Arial"/>
          <w:sz w:val="18"/>
          <w:szCs w:val="18"/>
          <w:lang w:val="en-US"/>
        </w:rPr>
      </w:pPr>
      <w:r w:rsidRPr="00BD295E">
        <w:rPr>
          <w:rFonts w:ascii="Arial" w:hAnsi="Arial" w:cs="Arial"/>
          <w:sz w:val="18"/>
          <w:szCs w:val="18"/>
          <w:lang w:val="en-US"/>
        </w:rPr>
        <w:t>*</w:t>
      </w:r>
      <w:r w:rsidRPr="00BD295E">
        <w:rPr>
          <w:rFonts w:ascii="Arial" w:hAnsi="Arial" w:cs="Arial"/>
          <w:bCs/>
          <w:sz w:val="18"/>
          <w:szCs w:val="18"/>
          <w:lang w:val="en-US"/>
        </w:rPr>
        <w:t>As at the moment of election</w:t>
      </w:r>
    </w:p>
    <w:p w14:paraId="1A3F2ECB" w14:textId="77777777" w:rsidR="00F3260C" w:rsidRPr="00BD295E" w:rsidRDefault="00F3260C" w:rsidP="00F3260C">
      <w:pPr>
        <w:ind w:firstLine="567"/>
        <w:jc w:val="both"/>
        <w:rPr>
          <w:rFonts w:ascii="Arial" w:eastAsia="Calibri" w:hAnsi="Arial" w:cs="Arial"/>
          <w:sz w:val="18"/>
          <w:szCs w:val="18"/>
          <w:lang w:val="en-US" w:eastAsia="en-US"/>
        </w:rPr>
      </w:pPr>
    </w:p>
    <w:p w14:paraId="04F2D90C" w14:textId="412004C5" w:rsidR="00F3260C" w:rsidRPr="00BD295E" w:rsidRDefault="008A5057" w:rsidP="00F3260C">
      <w:pPr>
        <w:ind w:firstLine="567"/>
        <w:jc w:val="both"/>
        <w:rPr>
          <w:rFonts w:ascii="Arial" w:hAnsi="Arial" w:cs="Arial"/>
          <w:b/>
          <w:sz w:val="18"/>
          <w:szCs w:val="18"/>
          <w:lang w:val="en-US"/>
        </w:rPr>
      </w:pPr>
      <w:r w:rsidRPr="00BD295E">
        <w:rPr>
          <w:rFonts w:ascii="Arial" w:hAnsi="Arial" w:cs="Arial"/>
          <w:b/>
          <w:sz w:val="18"/>
          <w:szCs w:val="18"/>
          <w:lang w:val="en-US"/>
        </w:rPr>
        <w:t xml:space="preserve">The Audit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21, 2018 (Minutes No. 32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23, 2018</w:t>
      </w:r>
      <w:r w:rsidR="002C3947" w:rsidRPr="00BD295E">
        <w:rPr>
          <w:rFonts w:ascii="Arial" w:hAnsi="Arial" w:cs="Arial"/>
          <w:b/>
          <w:sz w:val="18"/>
          <w:szCs w:val="18"/>
          <w:lang w:val="en-US"/>
        </w:rPr>
        <w:t>)*:</w:t>
      </w:r>
    </w:p>
    <w:p w14:paraId="737D56C8" w14:textId="77777777" w:rsidR="00F3260C" w:rsidRPr="00BD295E" w:rsidRDefault="00F3260C" w:rsidP="00F3260C">
      <w:pPr>
        <w:rPr>
          <w:rFonts w:ascii="Arial" w:hAnsi="Arial" w:cs="Arial"/>
          <w:sz w:val="18"/>
          <w:szCs w:val="18"/>
          <w:lang w:val="en-US"/>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2519"/>
        <w:gridCol w:w="3792"/>
        <w:gridCol w:w="2534"/>
      </w:tblGrid>
      <w:tr w:rsidR="008A5057" w:rsidRPr="00BD295E" w14:paraId="2C8772B1" w14:textId="77777777" w:rsidTr="00E3510B">
        <w:tc>
          <w:tcPr>
            <w:tcW w:w="435" w:type="dxa"/>
            <w:shd w:val="clear" w:color="auto" w:fill="auto"/>
          </w:tcPr>
          <w:p w14:paraId="2A77240E"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2537" w:type="dxa"/>
            <w:shd w:val="clear" w:color="auto" w:fill="auto"/>
          </w:tcPr>
          <w:p w14:paraId="37AEE80E"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3827" w:type="dxa"/>
            <w:shd w:val="clear" w:color="auto" w:fill="auto"/>
          </w:tcPr>
          <w:p w14:paraId="4C09390D" w14:textId="77777777" w:rsidR="00F3260C" w:rsidRPr="00BD295E" w:rsidRDefault="008A5057" w:rsidP="00E3510B">
            <w:pPr>
              <w:ind w:left="-841" w:firstLine="841"/>
              <w:rPr>
                <w:rFonts w:ascii="Arial" w:hAnsi="Arial" w:cs="Arial"/>
                <w:b/>
                <w:sz w:val="18"/>
                <w:szCs w:val="18"/>
                <w:lang w:val="en-US"/>
              </w:rPr>
            </w:pPr>
            <w:r w:rsidRPr="00BD295E">
              <w:rPr>
                <w:rFonts w:ascii="Arial" w:hAnsi="Arial" w:cs="Arial"/>
                <w:b/>
                <w:sz w:val="18"/>
                <w:szCs w:val="18"/>
                <w:lang w:val="en-US"/>
              </w:rPr>
              <w:t>Place of employment</w:t>
            </w:r>
          </w:p>
        </w:tc>
        <w:tc>
          <w:tcPr>
            <w:tcW w:w="2552" w:type="dxa"/>
            <w:shd w:val="clear" w:color="auto" w:fill="auto"/>
          </w:tcPr>
          <w:p w14:paraId="18DE8B01" w14:textId="77777777" w:rsidR="00F3260C" w:rsidRPr="00BD295E" w:rsidRDefault="008A5057" w:rsidP="00E3510B">
            <w:pPr>
              <w:ind w:left="-841" w:firstLine="841"/>
              <w:jc w:val="center"/>
              <w:rPr>
                <w:rFonts w:ascii="Arial" w:hAnsi="Arial" w:cs="Arial"/>
                <w:b/>
                <w:sz w:val="18"/>
                <w:szCs w:val="18"/>
                <w:lang w:val="en-US"/>
              </w:rPr>
            </w:pPr>
            <w:r w:rsidRPr="00BD295E">
              <w:rPr>
                <w:rFonts w:ascii="Arial" w:hAnsi="Arial" w:cs="Arial"/>
                <w:b/>
                <w:sz w:val="18"/>
                <w:szCs w:val="18"/>
                <w:lang w:val="en-US"/>
              </w:rPr>
              <w:t>Status</w:t>
            </w:r>
          </w:p>
        </w:tc>
      </w:tr>
      <w:tr w:rsidR="008A5057" w:rsidRPr="00BD295E" w14:paraId="314705C1" w14:textId="77777777" w:rsidTr="00E3510B">
        <w:tc>
          <w:tcPr>
            <w:tcW w:w="6799" w:type="dxa"/>
            <w:gridSpan w:val="3"/>
            <w:shd w:val="clear" w:color="auto" w:fill="auto"/>
          </w:tcPr>
          <w:p w14:paraId="6347B528"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c>
          <w:tcPr>
            <w:tcW w:w="2552" w:type="dxa"/>
            <w:shd w:val="clear" w:color="auto" w:fill="auto"/>
          </w:tcPr>
          <w:p w14:paraId="50FDBCF6" w14:textId="77777777" w:rsidR="00F3260C" w:rsidRPr="00BD295E" w:rsidRDefault="00F3260C" w:rsidP="0031297B">
            <w:pPr>
              <w:rPr>
                <w:rFonts w:ascii="Arial" w:hAnsi="Arial" w:cs="Arial"/>
                <w:b/>
                <w:sz w:val="18"/>
                <w:szCs w:val="18"/>
                <w:lang w:val="en-US"/>
              </w:rPr>
            </w:pPr>
          </w:p>
        </w:tc>
      </w:tr>
      <w:tr w:rsidR="008A5057" w:rsidRPr="00BD295E" w14:paraId="6DA7EDAC" w14:textId="77777777" w:rsidTr="00E3510B">
        <w:tc>
          <w:tcPr>
            <w:tcW w:w="435" w:type="dxa"/>
            <w:shd w:val="clear" w:color="auto" w:fill="auto"/>
          </w:tcPr>
          <w:p w14:paraId="0CB4958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2537" w:type="dxa"/>
            <w:shd w:val="clear" w:color="auto" w:fill="auto"/>
            <w:vAlign w:val="center"/>
          </w:tcPr>
          <w:p w14:paraId="06D942C6"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Sergey Sergeev</w:t>
            </w:r>
          </w:p>
        </w:tc>
        <w:tc>
          <w:tcPr>
            <w:tcW w:w="3827" w:type="dxa"/>
            <w:shd w:val="clear" w:color="auto" w:fill="auto"/>
            <w:vAlign w:val="center"/>
          </w:tcPr>
          <w:p w14:paraId="57E35A87"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Deputy CEO for Capital Construction, </w:t>
            </w:r>
            <w:r w:rsidR="00BF106F" w:rsidRPr="00BD295E">
              <w:rPr>
                <w:rFonts w:ascii="Arial" w:hAnsi="Arial" w:cs="Arial"/>
                <w:bCs/>
                <w:snapToGrid w:val="0"/>
                <w:sz w:val="18"/>
                <w:szCs w:val="18"/>
                <w:lang w:val="en-US"/>
              </w:rPr>
              <w:t>PJSC “Rosseti”</w:t>
            </w:r>
          </w:p>
        </w:tc>
        <w:tc>
          <w:tcPr>
            <w:tcW w:w="2552" w:type="dxa"/>
            <w:shd w:val="clear" w:color="auto" w:fill="auto"/>
          </w:tcPr>
          <w:p w14:paraId="4814DA83" w14:textId="77777777" w:rsidR="00F3260C" w:rsidRPr="00BD295E" w:rsidRDefault="008A5057" w:rsidP="00E3510B">
            <w:pPr>
              <w:jc w:val="both"/>
              <w:rPr>
                <w:rFonts w:ascii="Arial" w:eastAsia="Calibri" w:hAnsi="Arial" w:cs="Arial"/>
                <w:sz w:val="18"/>
                <w:szCs w:val="18"/>
                <w:lang w:val="en-US"/>
              </w:rPr>
            </w:pPr>
            <w:r w:rsidRPr="00BD295E">
              <w:rPr>
                <w:rFonts w:ascii="Arial" w:hAnsi="Arial" w:cs="Arial"/>
                <w:sz w:val="18"/>
                <w:szCs w:val="18"/>
                <w:lang w:val="en-US"/>
              </w:rPr>
              <w:t>Non-executive director</w:t>
            </w:r>
          </w:p>
          <w:p w14:paraId="630FBBE3" w14:textId="77777777" w:rsidR="00F3260C" w:rsidRPr="00BD295E" w:rsidRDefault="00F3260C" w:rsidP="00E3510B">
            <w:pPr>
              <w:tabs>
                <w:tab w:val="left" w:pos="851"/>
              </w:tabs>
              <w:contextualSpacing/>
              <w:jc w:val="both"/>
              <w:rPr>
                <w:rFonts w:ascii="Arial" w:eastAsia="Calibri" w:hAnsi="Arial" w:cs="Arial"/>
                <w:bCs/>
                <w:snapToGrid w:val="0"/>
                <w:sz w:val="18"/>
                <w:szCs w:val="18"/>
                <w:lang w:val="en-US"/>
              </w:rPr>
            </w:pPr>
          </w:p>
        </w:tc>
      </w:tr>
      <w:tr w:rsidR="008A5057" w:rsidRPr="00BD295E" w14:paraId="02F04577" w14:textId="77777777" w:rsidTr="00E3510B">
        <w:tc>
          <w:tcPr>
            <w:tcW w:w="6799" w:type="dxa"/>
            <w:gridSpan w:val="3"/>
            <w:shd w:val="clear" w:color="auto" w:fill="auto"/>
          </w:tcPr>
          <w:p w14:paraId="5E55C323"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c>
          <w:tcPr>
            <w:tcW w:w="2552" w:type="dxa"/>
            <w:shd w:val="clear" w:color="auto" w:fill="auto"/>
          </w:tcPr>
          <w:p w14:paraId="1B2C0609" w14:textId="77777777" w:rsidR="00F3260C" w:rsidRPr="00BD295E" w:rsidRDefault="00F3260C" w:rsidP="0031297B">
            <w:pPr>
              <w:rPr>
                <w:rFonts w:ascii="Arial" w:hAnsi="Arial" w:cs="Arial"/>
                <w:b/>
                <w:sz w:val="18"/>
                <w:szCs w:val="18"/>
                <w:lang w:val="en-US"/>
              </w:rPr>
            </w:pPr>
          </w:p>
        </w:tc>
      </w:tr>
      <w:tr w:rsidR="008A5057" w:rsidRPr="00BD295E" w14:paraId="135A793D" w14:textId="77777777" w:rsidTr="00E3510B">
        <w:tc>
          <w:tcPr>
            <w:tcW w:w="435" w:type="dxa"/>
            <w:shd w:val="clear" w:color="auto" w:fill="auto"/>
          </w:tcPr>
          <w:p w14:paraId="56A59090"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2537" w:type="dxa"/>
            <w:shd w:val="clear" w:color="auto" w:fill="auto"/>
            <w:vAlign w:val="center"/>
          </w:tcPr>
          <w:p w14:paraId="28A7D635"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Daniil Krainsky </w:t>
            </w:r>
          </w:p>
        </w:tc>
        <w:tc>
          <w:tcPr>
            <w:tcW w:w="3827" w:type="dxa"/>
            <w:shd w:val="clear" w:color="auto" w:fill="auto"/>
            <w:vAlign w:val="center"/>
          </w:tcPr>
          <w:p w14:paraId="49D17D54"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Chief Advisor, </w:t>
            </w:r>
            <w:r w:rsidR="00BF106F" w:rsidRPr="00BD295E">
              <w:rPr>
                <w:rFonts w:ascii="Arial" w:hAnsi="Arial" w:cs="Arial"/>
                <w:bCs/>
                <w:snapToGrid w:val="0"/>
                <w:sz w:val="18"/>
                <w:szCs w:val="18"/>
                <w:lang w:val="en-US"/>
              </w:rPr>
              <w:t>PJSC “Rosseti”</w:t>
            </w:r>
          </w:p>
        </w:tc>
        <w:tc>
          <w:tcPr>
            <w:tcW w:w="2552" w:type="dxa"/>
            <w:shd w:val="clear" w:color="auto" w:fill="auto"/>
          </w:tcPr>
          <w:p w14:paraId="04C1E3B3" w14:textId="77777777" w:rsidR="00F3260C" w:rsidRPr="00BD295E" w:rsidRDefault="008A5057" w:rsidP="00E3510B">
            <w:pPr>
              <w:jc w:val="both"/>
              <w:rPr>
                <w:rFonts w:ascii="Arial" w:eastAsia="Calibri" w:hAnsi="Arial" w:cs="Arial"/>
                <w:sz w:val="18"/>
                <w:szCs w:val="18"/>
                <w:lang w:val="en-US"/>
              </w:rPr>
            </w:pPr>
            <w:r w:rsidRPr="00BD295E">
              <w:rPr>
                <w:rFonts w:ascii="Arial" w:hAnsi="Arial" w:cs="Arial"/>
                <w:sz w:val="18"/>
                <w:szCs w:val="18"/>
                <w:lang w:val="en-US"/>
              </w:rPr>
              <w:t>Non-executive director</w:t>
            </w:r>
          </w:p>
          <w:p w14:paraId="1D48F7E3" w14:textId="77777777" w:rsidR="00F3260C" w:rsidRPr="00BD295E" w:rsidRDefault="00F3260C" w:rsidP="00E3510B">
            <w:pPr>
              <w:tabs>
                <w:tab w:val="left" w:pos="851"/>
              </w:tabs>
              <w:contextualSpacing/>
              <w:jc w:val="both"/>
              <w:rPr>
                <w:rFonts w:ascii="Arial" w:eastAsia="Calibri" w:hAnsi="Arial" w:cs="Arial"/>
                <w:bCs/>
                <w:snapToGrid w:val="0"/>
                <w:sz w:val="18"/>
                <w:szCs w:val="18"/>
                <w:lang w:val="en-US"/>
              </w:rPr>
            </w:pPr>
          </w:p>
        </w:tc>
      </w:tr>
      <w:tr w:rsidR="008A5057" w:rsidRPr="00BD295E" w14:paraId="3312FEB4" w14:textId="77777777" w:rsidTr="00E3510B">
        <w:tc>
          <w:tcPr>
            <w:tcW w:w="435" w:type="dxa"/>
            <w:shd w:val="clear" w:color="auto" w:fill="auto"/>
          </w:tcPr>
          <w:p w14:paraId="10E9CE5D"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2537" w:type="dxa"/>
            <w:shd w:val="clear" w:color="auto" w:fill="auto"/>
            <w:vAlign w:val="center"/>
          </w:tcPr>
          <w:p w14:paraId="749E77E9"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Marina Lelekova</w:t>
            </w:r>
          </w:p>
        </w:tc>
        <w:tc>
          <w:tcPr>
            <w:tcW w:w="3827" w:type="dxa"/>
            <w:shd w:val="clear" w:color="auto" w:fill="auto"/>
            <w:vAlign w:val="center"/>
          </w:tcPr>
          <w:p w14:paraId="7E6B1356"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Director of the Controlling and Internal Inspection Department at </w:t>
            </w:r>
            <w:r w:rsidR="00BF106F" w:rsidRPr="00BD295E">
              <w:rPr>
                <w:rFonts w:ascii="Arial" w:hAnsi="Arial" w:cs="Arial"/>
                <w:bCs/>
                <w:snapToGrid w:val="0"/>
                <w:sz w:val="18"/>
                <w:szCs w:val="18"/>
                <w:lang w:val="en-US"/>
              </w:rPr>
              <w:t>PJSC “Rosseti”</w:t>
            </w:r>
          </w:p>
        </w:tc>
        <w:tc>
          <w:tcPr>
            <w:tcW w:w="2552" w:type="dxa"/>
            <w:shd w:val="clear" w:color="auto" w:fill="auto"/>
          </w:tcPr>
          <w:p w14:paraId="6CD1C772" w14:textId="77777777" w:rsidR="00F3260C" w:rsidRPr="00BD295E" w:rsidRDefault="008A5057" w:rsidP="00E3510B">
            <w:pPr>
              <w:jc w:val="both"/>
              <w:rPr>
                <w:rFonts w:ascii="Arial" w:eastAsia="Calibri" w:hAnsi="Arial" w:cs="Arial"/>
                <w:sz w:val="18"/>
                <w:szCs w:val="18"/>
                <w:lang w:val="en-US"/>
              </w:rPr>
            </w:pPr>
            <w:r w:rsidRPr="00BD295E">
              <w:rPr>
                <w:rFonts w:ascii="Arial" w:hAnsi="Arial" w:cs="Arial"/>
                <w:sz w:val="18"/>
                <w:szCs w:val="18"/>
                <w:lang w:val="en-US"/>
              </w:rPr>
              <w:t>Non-executive director</w:t>
            </w:r>
          </w:p>
          <w:p w14:paraId="46DD4E55" w14:textId="77777777" w:rsidR="00F3260C" w:rsidRPr="00BD295E" w:rsidRDefault="00F3260C" w:rsidP="00E3510B">
            <w:pPr>
              <w:tabs>
                <w:tab w:val="left" w:pos="851"/>
              </w:tabs>
              <w:contextualSpacing/>
              <w:jc w:val="both"/>
              <w:rPr>
                <w:rFonts w:ascii="Arial" w:eastAsia="Calibri" w:hAnsi="Arial" w:cs="Arial"/>
                <w:bCs/>
                <w:snapToGrid w:val="0"/>
                <w:sz w:val="18"/>
                <w:szCs w:val="18"/>
                <w:lang w:val="en-US"/>
              </w:rPr>
            </w:pPr>
          </w:p>
        </w:tc>
      </w:tr>
      <w:tr w:rsidR="008A5057" w:rsidRPr="00BD295E" w14:paraId="76F03EBA" w14:textId="77777777" w:rsidTr="00E3510B">
        <w:tc>
          <w:tcPr>
            <w:tcW w:w="435" w:type="dxa"/>
            <w:shd w:val="clear" w:color="auto" w:fill="auto"/>
          </w:tcPr>
          <w:p w14:paraId="7AC2017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w:t>
            </w:r>
          </w:p>
        </w:tc>
        <w:tc>
          <w:tcPr>
            <w:tcW w:w="2537" w:type="dxa"/>
            <w:shd w:val="clear" w:color="auto" w:fill="auto"/>
            <w:vAlign w:val="center"/>
          </w:tcPr>
          <w:p w14:paraId="7FBF8719"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Sergey Pikin</w:t>
            </w:r>
          </w:p>
        </w:tc>
        <w:tc>
          <w:tcPr>
            <w:tcW w:w="3827" w:type="dxa"/>
            <w:shd w:val="clear" w:color="auto" w:fill="auto"/>
            <w:vAlign w:val="center"/>
          </w:tcPr>
          <w:p w14:paraId="71AECBEE"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Director of the Energy Development Fund</w:t>
            </w:r>
          </w:p>
        </w:tc>
        <w:tc>
          <w:tcPr>
            <w:tcW w:w="2552" w:type="dxa"/>
            <w:shd w:val="clear" w:color="auto" w:fill="auto"/>
          </w:tcPr>
          <w:p w14:paraId="59D2616B"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Independent director</w:t>
            </w:r>
          </w:p>
        </w:tc>
      </w:tr>
      <w:tr w:rsidR="008A5057" w:rsidRPr="00BD295E" w14:paraId="184D95A8" w14:textId="77777777" w:rsidTr="00E3510B">
        <w:tc>
          <w:tcPr>
            <w:tcW w:w="435" w:type="dxa"/>
            <w:shd w:val="clear" w:color="auto" w:fill="auto"/>
          </w:tcPr>
          <w:p w14:paraId="79A3653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2537" w:type="dxa"/>
            <w:shd w:val="clear" w:color="auto" w:fill="auto"/>
            <w:vAlign w:val="center"/>
          </w:tcPr>
          <w:p w14:paraId="0C700F83"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snapToGrid w:val="0"/>
                <w:sz w:val="18"/>
                <w:szCs w:val="18"/>
                <w:lang w:val="en-US"/>
              </w:rPr>
              <w:t>Gasan Safarov</w:t>
            </w:r>
          </w:p>
        </w:tc>
        <w:tc>
          <w:tcPr>
            <w:tcW w:w="3827" w:type="dxa"/>
            <w:shd w:val="clear" w:color="auto" w:fill="auto"/>
            <w:vAlign w:val="center"/>
          </w:tcPr>
          <w:p w14:paraId="420FBE2D"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snapToGrid w:val="0"/>
                <w:sz w:val="18"/>
                <w:szCs w:val="18"/>
                <w:lang w:val="en-US"/>
              </w:rPr>
              <w:t>First Deputy Chairman of the Tariffs Committee of Saint Petersburg</w:t>
            </w:r>
          </w:p>
        </w:tc>
        <w:tc>
          <w:tcPr>
            <w:tcW w:w="2552" w:type="dxa"/>
            <w:shd w:val="clear" w:color="auto" w:fill="auto"/>
          </w:tcPr>
          <w:p w14:paraId="70FF96E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Non-executive director</w:t>
            </w:r>
          </w:p>
        </w:tc>
      </w:tr>
      <w:tr w:rsidR="008A5057" w:rsidRPr="00BD295E" w14:paraId="38048353" w14:textId="77777777" w:rsidTr="00E3510B">
        <w:tc>
          <w:tcPr>
            <w:tcW w:w="435" w:type="dxa"/>
            <w:shd w:val="clear" w:color="auto" w:fill="auto"/>
          </w:tcPr>
          <w:p w14:paraId="7373113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2537" w:type="dxa"/>
            <w:shd w:val="clear" w:color="auto" w:fill="auto"/>
            <w:vAlign w:val="center"/>
          </w:tcPr>
          <w:p w14:paraId="20694EBE"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snapToGrid w:val="0"/>
                <w:sz w:val="18"/>
                <w:szCs w:val="18"/>
                <w:lang w:val="en-US"/>
              </w:rPr>
              <w:t>Andrey Bondarchuk</w:t>
            </w:r>
          </w:p>
        </w:tc>
        <w:tc>
          <w:tcPr>
            <w:tcW w:w="3827" w:type="dxa"/>
            <w:shd w:val="clear" w:color="auto" w:fill="auto"/>
            <w:vAlign w:val="center"/>
          </w:tcPr>
          <w:p w14:paraId="02FE92FD"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Chairman of the Energy and Engineering Support Committee of Saint Petersburg</w:t>
            </w:r>
          </w:p>
        </w:tc>
        <w:tc>
          <w:tcPr>
            <w:tcW w:w="2552" w:type="dxa"/>
            <w:shd w:val="clear" w:color="auto" w:fill="auto"/>
          </w:tcPr>
          <w:p w14:paraId="7B599DB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Non-executive director</w:t>
            </w:r>
          </w:p>
        </w:tc>
      </w:tr>
      <w:tr w:rsidR="008A5057" w:rsidRPr="00BD295E" w14:paraId="2F2E8EBA" w14:textId="77777777" w:rsidTr="00E3510B">
        <w:tc>
          <w:tcPr>
            <w:tcW w:w="435" w:type="dxa"/>
            <w:shd w:val="clear" w:color="auto" w:fill="auto"/>
          </w:tcPr>
          <w:p w14:paraId="202ECBB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w:t>
            </w:r>
          </w:p>
        </w:tc>
        <w:tc>
          <w:tcPr>
            <w:tcW w:w="2537" w:type="dxa"/>
            <w:shd w:val="clear" w:color="auto" w:fill="auto"/>
          </w:tcPr>
          <w:p w14:paraId="3E49E6AD"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Aleksandr German</w:t>
            </w:r>
          </w:p>
        </w:tc>
        <w:tc>
          <w:tcPr>
            <w:tcW w:w="3827" w:type="dxa"/>
            <w:shd w:val="clear" w:color="auto" w:fill="auto"/>
          </w:tcPr>
          <w:p w14:paraId="3423415B"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Chairman of the Property Relations Committee of Saint Petersburg</w:t>
            </w:r>
          </w:p>
        </w:tc>
        <w:tc>
          <w:tcPr>
            <w:tcW w:w="2552" w:type="dxa"/>
            <w:shd w:val="clear" w:color="auto" w:fill="auto"/>
          </w:tcPr>
          <w:p w14:paraId="478F16FA" w14:textId="77777777" w:rsidR="00F3260C" w:rsidRPr="00BD295E" w:rsidRDefault="008A5057" w:rsidP="00E3510B">
            <w:pPr>
              <w:jc w:val="both"/>
              <w:rPr>
                <w:rFonts w:ascii="Arial" w:eastAsia="Calibri" w:hAnsi="Arial" w:cs="Arial"/>
                <w:sz w:val="18"/>
                <w:szCs w:val="18"/>
                <w:lang w:val="en-US"/>
              </w:rPr>
            </w:pPr>
            <w:r w:rsidRPr="00BD295E">
              <w:rPr>
                <w:rFonts w:ascii="Arial" w:hAnsi="Arial" w:cs="Arial"/>
                <w:sz w:val="18"/>
                <w:szCs w:val="18"/>
                <w:lang w:val="en-US"/>
              </w:rPr>
              <w:t>Non-executive director</w:t>
            </w:r>
          </w:p>
          <w:p w14:paraId="57714345" w14:textId="77777777" w:rsidR="00F3260C" w:rsidRPr="00BD295E" w:rsidRDefault="00F3260C" w:rsidP="00E3510B">
            <w:pPr>
              <w:tabs>
                <w:tab w:val="left" w:pos="851"/>
              </w:tabs>
              <w:contextualSpacing/>
              <w:jc w:val="both"/>
              <w:rPr>
                <w:rFonts w:ascii="Arial" w:eastAsia="Calibri" w:hAnsi="Arial" w:cs="Arial"/>
                <w:snapToGrid w:val="0"/>
                <w:sz w:val="18"/>
                <w:szCs w:val="18"/>
                <w:lang w:val="en-US"/>
              </w:rPr>
            </w:pPr>
          </w:p>
        </w:tc>
      </w:tr>
    </w:tbl>
    <w:p w14:paraId="28263530"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5CD32E14" w14:textId="77777777" w:rsidR="00F3260C" w:rsidRPr="00BD295E" w:rsidRDefault="00F3260C" w:rsidP="00F3260C">
      <w:pPr>
        <w:ind w:firstLine="567"/>
        <w:jc w:val="both"/>
        <w:rPr>
          <w:rFonts w:ascii="Arial" w:eastAsia="Calibri" w:hAnsi="Arial" w:cs="Arial"/>
          <w:sz w:val="18"/>
          <w:szCs w:val="18"/>
          <w:lang w:val="en-US" w:eastAsia="en-US"/>
        </w:rPr>
      </w:pPr>
    </w:p>
    <w:p w14:paraId="2C9BA596" w14:textId="77777777" w:rsidR="00F3260C" w:rsidRPr="00BD295E" w:rsidRDefault="008A5057" w:rsidP="00A30013">
      <w:pPr>
        <w:jc w:val="both"/>
        <w:rPr>
          <w:rFonts w:ascii="Arial" w:eastAsia="Calibri" w:hAnsi="Arial" w:cs="Arial"/>
          <w:sz w:val="18"/>
          <w:szCs w:val="18"/>
          <w:lang w:val="en-US"/>
        </w:rPr>
      </w:pPr>
      <w:r w:rsidRPr="00BD295E">
        <w:rPr>
          <w:rFonts w:ascii="Arial" w:hAnsi="Arial" w:cs="Arial"/>
          <w:sz w:val="18"/>
          <w:szCs w:val="18"/>
          <w:lang w:val="en-US"/>
        </w:rPr>
        <w:t>In 2018, the Committee held ten meetings, including four in-person meetings.</w:t>
      </w:r>
    </w:p>
    <w:p w14:paraId="6A2C29AE" w14:textId="77777777" w:rsidR="00F3260C" w:rsidRPr="00BD295E" w:rsidRDefault="008A5057" w:rsidP="00A30013">
      <w:pPr>
        <w:jc w:val="both"/>
        <w:rPr>
          <w:rFonts w:ascii="Arial" w:eastAsia="Calibri" w:hAnsi="Arial" w:cs="Arial"/>
          <w:sz w:val="18"/>
          <w:szCs w:val="18"/>
          <w:lang w:val="en-US"/>
        </w:rPr>
      </w:pPr>
      <w:r w:rsidRPr="00BD295E">
        <w:rPr>
          <w:rFonts w:ascii="Arial" w:hAnsi="Arial" w:cs="Arial"/>
          <w:sz w:val="18"/>
          <w:szCs w:val="18"/>
          <w:lang w:val="en-US"/>
        </w:rPr>
        <w:t>The Committee reviewed the following critical matters:</w:t>
      </w:r>
    </w:p>
    <w:p w14:paraId="3B47EF46" w14:textId="77777777" w:rsidR="00F3260C" w:rsidRPr="00BD295E" w:rsidRDefault="008A5057" w:rsidP="00A30013">
      <w:pPr>
        <w:tabs>
          <w:tab w:val="left" w:pos="709"/>
          <w:tab w:val="left" w:pos="1276"/>
        </w:tabs>
        <w:autoSpaceDE w:val="0"/>
        <w:autoSpaceDN w:val="0"/>
        <w:adjustRightInd w:val="0"/>
        <w:jc w:val="both"/>
        <w:rPr>
          <w:rFonts w:ascii="Arial" w:hAnsi="Arial" w:cs="Arial"/>
          <w:bCs/>
          <w:sz w:val="18"/>
          <w:szCs w:val="18"/>
          <w:lang w:val="en-US"/>
        </w:rPr>
      </w:pPr>
      <w:r w:rsidRPr="00BD295E">
        <w:rPr>
          <w:rFonts w:ascii="Arial" w:hAnsi="Arial" w:cs="Arial"/>
          <w:sz w:val="18"/>
          <w:szCs w:val="18"/>
          <w:lang w:val="en-US"/>
        </w:rPr>
        <w:t xml:space="preserve">- Report of the Company’s management on implementation of the Corrective Action Plans to remedy deficiencies identified by the Company’s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the Company’s internal audit function, external control (supervision) bodies, implementation of measures taken to address cases of whistleblowing with regard to employees, as well as the results of investigations conducted in 2017 (Minutes of the Audit Committee’s meeting No. 92 </w:t>
      </w:r>
      <w:r w:rsidR="008B183C" w:rsidRPr="00BD295E">
        <w:rPr>
          <w:rFonts w:ascii="Arial" w:hAnsi="Arial" w:cs="Arial"/>
          <w:sz w:val="18"/>
          <w:szCs w:val="18"/>
          <w:lang w:val="en-US"/>
        </w:rPr>
        <w:t>of</w:t>
      </w:r>
      <w:r w:rsidRPr="00BD295E">
        <w:rPr>
          <w:rFonts w:ascii="Arial" w:hAnsi="Arial" w:cs="Arial"/>
          <w:sz w:val="18"/>
          <w:szCs w:val="18"/>
          <w:lang w:val="en-US"/>
        </w:rPr>
        <w:t xml:space="preserve"> March 2, 2018), over 9 months of 2018 (Minutes of the Audit Committee’s meeting No. 100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10, 2019);</w:t>
      </w:r>
    </w:p>
    <w:p w14:paraId="51B31BF5" w14:textId="77777777" w:rsidR="00F3260C" w:rsidRPr="00BD295E" w:rsidRDefault="008A5057" w:rsidP="00A30013">
      <w:pPr>
        <w:jc w:val="both"/>
        <w:rPr>
          <w:rFonts w:ascii="Arial" w:eastAsia="Calibri" w:hAnsi="Arial" w:cs="Arial"/>
          <w:sz w:val="18"/>
          <w:szCs w:val="18"/>
          <w:lang w:val="en-US"/>
        </w:rPr>
      </w:pPr>
      <w:r w:rsidRPr="00BD295E">
        <w:rPr>
          <w:rFonts w:ascii="Arial" w:hAnsi="Arial" w:cs="Arial"/>
          <w:sz w:val="18"/>
          <w:szCs w:val="18"/>
          <w:lang w:val="en-US"/>
        </w:rPr>
        <w:t xml:space="preserve">- Report on anti-corruption monitoring for 2017 (Minutes of the Audit Committee’s meeting No. 92 </w:t>
      </w:r>
      <w:r w:rsidR="008B183C" w:rsidRPr="00BD295E">
        <w:rPr>
          <w:rFonts w:ascii="Arial" w:hAnsi="Arial" w:cs="Arial"/>
          <w:sz w:val="18"/>
          <w:szCs w:val="18"/>
          <w:lang w:val="en-US"/>
        </w:rPr>
        <w:t>of</w:t>
      </w:r>
      <w:r w:rsidRPr="00BD295E">
        <w:rPr>
          <w:rFonts w:ascii="Arial" w:hAnsi="Arial" w:cs="Arial"/>
          <w:sz w:val="18"/>
          <w:szCs w:val="18"/>
          <w:lang w:val="en-US"/>
        </w:rPr>
        <w:t xml:space="preserve"> March 2, 2018);</w:t>
      </w:r>
    </w:p>
    <w:p w14:paraId="5F446370" w14:textId="01B113DB" w:rsidR="00F3260C" w:rsidRPr="00BD295E" w:rsidRDefault="008A5057" w:rsidP="00A30013">
      <w:pPr>
        <w:tabs>
          <w:tab w:val="left" w:pos="993"/>
          <w:tab w:val="left" w:pos="1134"/>
        </w:tabs>
        <w:suppressAutoHyphens/>
        <w:jc w:val="both"/>
        <w:rPr>
          <w:rFonts w:ascii="Arial" w:hAnsi="Arial" w:cs="Arial"/>
          <w:sz w:val="18"/>
          <w:szCs w:val="18"/>
          <w:lang w:val="en-US"/>
        </w:rPr>
      </w:pPr>
      <w:r w:rsidRPr="00BD295E">
        <w:rPr>
          <w:rFonts w:ascii="Arial" w:hAnsi="Arial" w:cs="Arial"/>
          <w:sz w:val="18"/>
          <w:szCs w:val="18"/>
          <w:lang w:val="en-US"/>
        </w:rPr>
        <w:t xml:space="preserve">- Preview of the Company’s RAS accounting (financial) statements for 2017 and the Company’s IFRS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financial statements for 2017 (Minutes of the Audit Committee’s meeting No. 96 </w:t>
      </w:r>
      <w:r w:rsidR="008B183C" w:rsidRPr="00BD295E">
        <w:rPr>
          <w:rFonts w:ascii="Arial" w:hAnsi="Arial" w:cs="Arial"/>
          <w:sz w:val="18"/>
          <w:szCs w:val="18"/>
          <w:lang w:val="en-US"/>
        </w:rPr>
        <w:t>of</w:t>
      </w:r>
      <w:r w:rsidRPr="00BD295E">
        <w:rPr>
          <w:rFonts w:ascii="Arial" w:hAnsi="Arial" w:cs="Arial"/>
          <w:sz w:val="18"/>
          <w:szCs w:val="18"/>
          <w:lang w:val="en-US"/>
        </w:rPr>
        <w:t xml:space="preserve"> May 7, 2018);</w:t>
      </w:r>
    </w:p>
    <w:p w14:paraId="5DA7ACEE" w14:textId="77777777" w:rsidR="00F3260C" w:rsidRPr="00BD295E" w:rsidRDefault="008A5057" w:rsidP="00A30013">
      <w:pPr>
        <w:tabs>
          <w:tab w:val="left" w:pos="993"/>
          <w:tab w:val="left" w:pos="1134"/>
        </w:tabs>
        <w:suppressAutoHyphens/>
        <w:jc w:val="both"/>
        <w:rPr>
          <w:rFonts w:ascii="Arial" w:eastAsia="Calibri" w:hAnsi="Arial" w:cs="Arial"/>
          <w:sz w:val="18"/>
          <w:szCs w:val="18"/>
          <w:lang w:val="en-US"/>
        </w:rPr>
      </w:pPr>
      <w:r w:rsidRPr="00BD295E">
        <w:rPr>
          <w:rFonts w:ascii="Arial" w:hAnsi="Arial" w:cs="Arial"/>
          <w:sz w:val="18"/>
          <w:szCs w:val="18"/>
          <w:lang w:val="en-US"/>
        </w:rPr>
        <w:t xml:space="preserve">- Prereview of the Company’s internal audit report on evaluation of the effectiveness of the internal control system, risk management system, and corporate governance for 2017 (Minutes of the Audit </w:t>
      </w:r>
      <w:r w:rsidR="00CF0D86" w:rsidRPr="00BD295E">
        <w:rPr>
          <w:rFonts w:ascii="Arial" w:hAnsi="Arial" w:cs="Arial"/>
          <w:sz w:val="18"/>
          <w:szCs w:val="18"/>
          <w:lang w:val="en-US"/>
        </w:rPr>
        <w:t>Committee’s</w:t>
      </w:r>
      <w:r w:rsidRPr="00BD295E">
        <w:rPr>
          <w:rFonts w:ascii="Arial" w:hAnsi="Arial" w:cs="Arial"/>
          <w:sz w:val="18"/>
          <w:szCs w:val="18"/>
          <w:lang w:val="en-US"/>
        </w:rPr>
        <w:t xml:space="preserve"> meeting No. 95 </w:t>
      </w:r>
      <w:r w:rsidR="008B183C" w:rsidRPr="00BD295E">
        <w:rPr>
          <w:rFonts w:ascii="Arial" w:hAnsi="Arial" w:cs="Arial"/>
          <w:sz w:val="18"/>
          <w:szCs w:val="18"/>
          <w:lang w:val="en-US"/>
        </w:rPr>
        <w:t>of</w:t>
      </w:r>
      <w:r w:rsidRPr="00BD295E">
        <w:rPr>
          <w:rFonts w:ascii="Arial" w:hAnsi="Arial" w:cs="Arial"/>
          <w:sz w:val="18"/>
          <w:szCs w:val="18"/>
          <w:lang w:val="en-US"/>
        </w:rPr>
        <w:t xml:space="preserve"> May 7, 2018);</w:t>
      </w:r>
    </w:p>
    <w:p w14:paraId="04A22039" w14:textId="758A47CA" w:rsidR="00F3260C" w:rsidRPr="00BD295E" w:rsidRDefault="008A5057" w:rsidP="00A30013">
      <w:pPr>
        <w:tabs>
          <w:tab w:val="left" w:pos="709"/>
          <w:tab w:val="left" w:pos="1276"/>
        </w:tabs>
        <w:autoSpaceDE w:val="0"/>
        <w:autoSpaceDN w:val="0"/>
        <w:adjustRightInd w:val="0"/>
        <w:jc w:val="both"/>
        <w:rPr>
          <w:rFonts w:ascii="Arial" w:hAnsi="Arial" w:cs="Arial"/>
          <w:bCs/>
          <w:sz w:val="18"/>
          <w:szCs w:val="18"/>
          <w:lang w:val="en-US"/>
        </w:rPr>
      </w:pPr>
      <w:r w:rsidRPr="00BD295E">
        <w:rPr>
          <w:rFonts w:ascii="Arial" w:hAnsi="Arial" w:cs="Arial"/>
          <w:sz w:val="18"/>
          <w:szCs w:val="18"/>
          <w:lang w:val="en-US"/>
        </w:rPr>
        <w:t xml:space="preserve">- Review of a written statement provided by the external auditor on major issues in the Company’s RAS accounting (financial) statements and IFRS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financial statements for 2017 as well as information from the Company’s management on material adjustments made as a result of the external audit of the statements (Minutes of the Audit Committee’s meeting No. 96 </w:t>
      </w:r>
      <w:r w:rsidR="008B183C" w:rsidRPr="00BD295E">
        <w:rPr>
          <w:rFonts w:ascii="Arial" w:hAnsi="Arial" w:cs="Arial"/>
          <w:sz w:val="18"/>
          <w:szCs w:val="18"/>
          <w:lang w:val="en-US"/>
        </w:rPr>
        <w:t>of</w:t>
      </w:r>
      <w:r w:rsidRPr="00BD295E">
        <w:rPr>
          <w:rFonts w:ascii="Arial" w:hAnsi="Arial" w:cs="Arial"/>
          <w:sz w:val="18"/>
          <w:szCs w:val="18"/>
          <w:lang w:val="en-US"/>
        </w:rPr>
        <w:t xml:space="preserve"> May 7, 2018);</w:t>
      </w:r>
    </w:p>
    <w:p w14:paraId="5ABAE48D" w14:textId="3E5B0B2D" w:rsidR="00F3260C" w:rsidRPr="00BD295E" w:rsidRDefault="008A5057" w:rsidP="00A30013">
      <w:pPr>
        <w:tabs>
          <w:tab w:val="left" w:pos="709"/>
          <w:tab w:val="left" w:pos="1276"/>
        </w:tabs>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 Preview of the Company’s RAS accounting (financial) statements for 2017 and IFRS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financial statements for 2017 (Minutes of the Audit Committee’s meeting No. 96 </w:t>
      </w:r>
      <w:r w:rsidR="008B183C" w:rsidRPr="00BD295E">
        <w:rPr>
          <w:rFonts w:ascii="Arial" w:hAnsi="Arial" w:cs="Arial"/>
          <w:sz w:val="18"/>
          <w:szCs w:val="18"/>
          <w:lang w:val="en-US"/>
        </w:rPr>
        <w:t>of</w:t>
      </w:r>
      <w:r w:rsidRPr="00BD295E">
        <w:rPr>
          <w:rFonts w:ascii="Arial" w:hAnsi="Arial" w:cs="Arial"/>
          <w:sz w:val="18"/>
          <w:szCs w:val="18"/>
          <w:lang w:val="en-US"/>
        </w:rPr>
        <w:t xml:space="preserve"> May 7, 2018);</w:t>
      </w:r>
    </w:p>
    <w:p w14:paraId="4EDED7C1" w14:textId="77777777" w:rsidR="00F3260C" w:rsidRPr="00BD295E" w:rsidRDefault="008A5057" w:rsidP="00A30013">
      <w:pPr>
        <w:tabs>
          <w:tab w:val="left" w:pos="709"/>
          <w:tab w:val="left" w:pos="1276"/>
        </w:tabs>
        <w:autoSpaceDE w:val="0"/>
        <w:autoSpaceDN w:val="0"/>
        <w:adjustRightInd w:val="0"/>
        <w:jc w:val="both"/>
        <w:rPr>
          <w:rFonts w:ascii="Arial" w:hAnsi="Arial" w:cs="Arial"/>
          <w:bCs/>
          <w:sz w:val="18"/>
          <w:szCs w:val="18"/>
          <w:lang w:val="en-US"/>
        </w:rPr>
      </w:pPr>
      <w:r w:rsidRPr="00BD295E">
        <w:rPr>
          <w:rFonts w:ascii="Arial" w:hAnsi="Arial" w:cs="Arial"/>
          <w:sz w:val="18"/>
          <w:szCs w:val="18"/>
          <w:lang w:val="en-US"/>
        </w:rPr>
        <w:t xml:space="preserve">- Preview of the work plan of the internal audit function for 2018 and 2019 and the budget of the internal audit function for 2018 and 2019 (Minutes of the Audit Committee’s meeting No. 99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30, 2018, and Minutes of the Audit Committee’s meeting No. 101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28, 2018);</w:t>
      </w:r>
    </w:p>
    <w:p w14:paraId="5607DB7B" w14:textId="77777777" w:rsidR="00F3260C" w:rsidRPr="00BD295E" w:rsidRDefault="008A5057" w:rsidP="00A30013">
      <w:pPr>
        <w:tabs>
          <w:tab w:val="left" w:pos="709"/>
          <w:tab w:val="left" w:pos="1276"/>
        </w:tabs>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 Review of the results of anti-corruption monitoring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1H 2018 (Minutes of the Audit Committee’s meeting No. 99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30, 2018);</w:t>
      </w:r>
    </w:p>
    <w:p w14:paraId="067BEBC2" w14:textId="77777777" w:rsidR="00F3260C" w:rsidRPr="00BD295E" w:rsidRDefault="008A5057" w:rsidP="00A30013">
      <w:pPr>
        <w:tabs>
          <w:tab w:val="left" w:pos="709"/>
          <w:tab w:val="left" w:pos="1276"/>
        </w:tabs>
        <w:autoSpaceDE w:val="0"/>
        <w:autoSpaceDN w:val="0"/>
        <w:adjustRightInd w:val="0"/>
        <w:jc w:val="both"/>
        <w:rPr>
          <w:rFonts w:ascii="Arial" w:hAnsi="Arial" w:cs="Arial"/>
          <w:bCs/>
          <w:sz w:val="18"/>
          <w:szCs w:val="18"/>
          <w:lang w:val="en-US"/>
        </w:rPr>
      </w:pPr>
      <w:r w:rsidRPr="00BD295E">
        <w:rPr>
          <w:rFonts w:ascii="Arial" w:hAnsi="Arial" w:cs="Arial"/>
          <w:sz w:val="18"/>
          <w:szCs w:val="18"/>
          <w:lang w:val="en-US"/>
        </w:rPr>
        <w:t xml:space="preserve">- Review of a report by management on the implementation of the Internal Control Policy of the Company (Minutes of the Audit Committee’s meeting No. 101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28, 2018);</w:t>
      </w:r>
    </w:p>
    <w:p w14:paraId="5B101E6F" w14:textId="77777777" w:rsidR="00F3260C" w:rsidRPr="00BD295E" w:rsidRDefault="008A5057" w:rsidP="00A30013">
      <w:pPr>
        <w:tabs>
          <w:tab w:val="left" w:pos="709"/>
          <w:tab w:val="left" w:pos="1276"/>
        </w:tabs>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 Review of the action plan to improve the internal control and risk management system (Minutes of the Audit Committee’s meeting No. 101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28, 2018).</w:t>
      </w:r>
    </w:p>
    <w:p w14:paraId="146C6191" w14:textId="297C3719" w:rsidR="00565F41" w:rsidRPr="00BD295E" w:rsidRDefault="00565F41">
      <w:pPr>
        <w:rPr>
          <w:rFonts w:ascii="Arial" w:hAnsi="Arial" w:cs="Arial"/>
          <w:sz w:val="18"/>
          <w:szCs w:val="18"/>
          <w:lang w:val="en-US"/>
        </w:rPr>
      </w:pPr>
      <w:r w:rsidRPr="00BD295E">
        <w:rPr>
          <w:rFonts w:ascii="Arial" w:hAnsi="Arial" w:cs="Arial"/>
          <w:sz w:val="18"/>
          <w:szCs w:val="18"/>
          <w:lang w:val="en-US"/>
        </w:rPr>
        <w:br w:type="page"/>
      </w:r>
    </w:p>
    <w:p w14:paraId="1D5A8277" w14:textId="77777777" w:rsidR="00F3260C" w:rsidRPr="00BD295E" w:rsidRDefault="00F3260C" w:rsidP="00A30013">
      <w:pPr>
        <w:tabs>
          <w:tab w:val="left" w:pos="993"/>
          <w:tab w:val="left" w:pos="1134"/>
        </w:tabs>
        <w:suppressAutoHyphens/>
        <w:jc w:val="both"/>
        <w:rPr>
          <w:rFonts w:ascii="Arial" w:hAnsi="Arial" w:cs="Arial"/>
          <w:sz w:val="18"/>
          <w:szCs w:val="18"/>
          <w:lang w:val="en-US"/>
        </w:rPr>
      </w:pPr>
    </w:p>
    <w:p w14:paraId="1CE7B7F7" w14:textId="77777777" w:rsidR="00F3260C" w:rsidRPr="00BD295E" w:rsidRDefault="008A5057" w:rsidP="00A30013">
      <w:pPr>
        <w:rPr>
          <w:rFonts w:ascii="Arial" w:hAnsi="Arial" w:cs="Arial"/>
          <w:b/>
          <w:sz w:val="18"/>
          <w:szCs w:val="18"/>
          <w:lang w:val="en-US"/>
        </w:rPr>
      </w:pPr>
      <w:r w:rsidRPr="00BD295E">
        <w:rPr>
          <w:rFonts w:ascii="Arial" w:hAnsi="Arial" w:cs="Arial"/>
          <w:b/>
          <w:sz w:val="18"/>
          <w:szCs w:val="18"/>
          <w:lang w:val="en-US"/>
        </w:rPr>
        <w:t>Report of the Nomination and Remuneration Committee</w:t>
      </w:r>
    </w:p>
    <w:p w14:paraId="008952BB" w14:textId="77777777" w:rsidR="00F3260C" w:rsidRPr="00BD295E" w:rsidRDefault="00F3260C" w:rsidP="00A30013">
      <w:pPr>
        <w:jc w:val="both"/>
        <w:rPr>
          <w:rFonts w:ascii="Arial" w:hAnsi="Arial" w:cs="Arial"/>
          <w:sz w:val="18"/>
          <w:szCs w:val="18"/>
          <w:lang w:val="en-US"/>
        </w:rPr>
      </w:pPr>
    </w:p>
    <w:p w14:paraId="2F3774CD" w14:textId="77777777" w:rsidR="00F3260C" w:rsidRPr="00BD295E" w:rsidRDefault="008A5057" w:rsidP="00A30013">
      <w:pPr>
        <w:jc w:val="both"/>
        <w:rPr>
          <w:rFonts w:ascii="Arial" w:hAnsi="Arial" w:cs="Arial"/>
          <w:sz w:val="18"/>
          <w:szCs w:val="18"/>
          <w:lang w:val="en-US"/>
        </w:rPr>
      </w:pPr>
      <w:r w:rsidRPr="00BD295E">
        <w:rPr>
          <w:rFonts w:ascii="Arial" w:hAnsi="Arial" w:cs="Arial"/>
          <w:sz w:val="18"/>
          <w:szCs w:val="18"/>
          <w:lang w:val="en-US"/>
        </w:rPr>
        <w:t>The goal of the Nomination and Remuneration Committee of the Board of Directors is to provide recommendations on building a system for recruiting and motivating employees to successfully implement the strategic plans of the Company.</w:t>
      </w:r>
    </w:p>
    <w:p w14:paraId="7D889E08" w14:textId="77777777" w:rsidR="00F3260C" w:rsidRPr="00BD295E" w:rsidRDefault="008A5057" w:rsidP="00F3260C">
      <w:pPr>
        <w:ind w:firstLine="567"/>
        <w:jc w:val="both"/>
        <w:rPr>
          <w:rFonts w:ascii="Arial" w:hAnsi="Arial" w:cs="Arial"/>
          <w:sz w:val="18"/>
          <w:szCs w:val="18"/>
          <w:lang w:val="en-US"/>
        </w:rPr>
      </w:pPr>
      <w:r w:rsidRPr="00BD295E">
        <w:rPr>
          <w:rFonts w:ascii="Arial" w:hAnsi="Arial" w:cs="Arial"/>
          <w:sz w:val="18"/>
          <w:szCs w:val="18"/>
          <w:lang w:val="en-US"/>
        </w:rPr>
        <w:t xml:space="preserve">The Committee operates in line with the Regulations for the Nomination and Remuneration Committee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restated), approved by the Resolution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August 11, 2014 (Minutes No. 4 of August 13, 2014).</w:t>
      </w:r>
    </w:p>
    <w:p w14:paraId="7D23A222" w14:textId="77777777" w:rsidR="00F3260C" w:rsidRPr="00BD295E" w:rsidRDefault="008A5057" w:rsidP="00F3260C">
      <w:pPr>
        <w:ind w:firstLine="567"/>
        <w:jc w:val="both"/>
        <w:rPr>
          <w:rFonts w:ascii="Arial" w:hAnsi="Arial" w:cs="Arial"/>
          <w:sz w:val="18"/>
          <w:szCs w:val="18"/>
          <w:lang w:val="en-US"/>
        </w:rPr>
      </w:pPr>
      <w:r w:rsidRPr="00BD295E">
        <w:rPr>
          <w:rFonts w:ascii="Arial" w:hAnsi="Arial" w:cs="Arial"/>
          <w:sz w:val="18"/>
          <w:szCs w:val="18"/>
          <w:lang w:val="en-US"/>
        </w:rPr>
        <w:t xml:space="preserve">Principal tasks of the Committee: </w:t>
      </w:r>
    </w:p>
    <w:p w14:paraId="5B0FF94C" w14:textId="77777777" w:rsidR="00F3260C" w:rsidRPr="00BD295E" w:rsidRDefault="008A5057" w:rsidP="00F3260C">
      <w:pPr>
        <w:ind w:firstLine="567"/>
        <w:jc w:val="both"/>
        <w:rPr>
          <w:rFonts w:ascii="Arial" w:hAnsi="Arial" w:cs="Arial"/>
          <w:sz w:val="18"/>
          <w:szCs w:val="18"/>
          <w:lang w:val="en-US"/>
        </w:rPr>
      </w:pPr>
      <w:r w:rsidRPr="00BD295E">
        <w:rPr>
          <w:rFonts w:ascii="Arial" w:hAnsi="Arial" w:cs="Arial"/>
          <w:sz w:val="18"/>
          <w:szCs w:val="18"/>
          <w:lang w:val="en-US"/>
        </w:rPr>
        <w:t xml:space="preserve">- Providing recommendations to the Board of Directors on updating the organizational structure of the Company’s executive arm and branches, on determining the material terms of contracts and remuneration payable to members of the Company’s governing bodies; </w:t>
      </w:r>
    </w:p>
    <w:p w14:paraId="0EDBB7B2" w14:textId="77777777" w:rsidR="00F3260C" w:rsidRPr="00BD295E" w:rsidRDefault="008A5057" w:rsidP="00F3260C">
      <w:pPr>
        <w:ind w:firstLine="567"/>
        <w:jc w:val="both"/>
        <w:rPr>
          <w:rFonts w:ascii="Arial" w:hAnsi="Arial" w:cs="Arial"/>
          <w:sz w:val="18"/>
          <w:szCs w:val="18"/>
          <w:lang w:val="en-US"/>
        </w:rPr>
      </w:pPr>
      <w:r w:rsidRPr="00BD295E">
        <w:rPr>
          <w:rFonts w:ascii="Arial" w:hAnsi="Arial" w:cs="Arial"/>
          <w:sz w:val="18"/>
          <w:szCs w:val="18"/>
          <w:lang w:val="en-US"/>
        </w:rPr>
        <w:t>- Determining the criteria for the selection of candidates to the Company’s collective executive body and to the position of the Company’s CEO.</w:t>
      </w:r>
    </w:p>
    <w:p w14:paraId="1E22EE66" w14:textId="77777777" w:rsidR="00F3260C" w:rsidRPr="00BD295E" w:rsidRDefault="00F3260C" w:rsidP="00F3260C">
      <w:pPr>
        <w:jc w:val="both"/>
        <w:rPr>
          <w:rFonts w:ascii="Arial" w:hAnsi="Arial" w:cs="Arial"/>
          <w:b/>
          <w:sz w:val="18"/>
          <w:szCs w:val="18"/>
          <w:lang w:val="en-US"/>
        </w:rPr>
      </w:pPr>
    </w:p>
    <w:p w14:paraId="3D208484" w14:textId="0610BEAE"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 xml:space="preserve">The current membership of the Nomination and Remuneration Committee of the Company’s Board of Directors was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1, 2018 (Minutes No. 3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6, 2018</w:t>
      </w:r>
      <w:r w:rsidR="002C3947" w:rsidRPr="00BD295E">
        <w:rPr>
          <w:rFonts w:ascii="Arial" w:hAnsi="Arial" w:cs="Arial"/>
          <w:b/>
          <w:sz w:val="18"/>
          <w:szCs w:val="18"/>
          <w:lang w:val="en-US"/>
        </w:rPr>
        <w:t>)*:</w:t>
      </w:r>
    </w:p>
    <w:p w14:paraId="23887E0B" w14:textId="77777777" w:rsidR="00F3260C" w:rsidRPr="00BD295E" w:rsidRDefault="00F3260C" w:rsidP="00F3260C">
      <w:pPr>
        <w:jc w:val="both"/>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110"/>
        <w:gridCol w:w="5729"/>
      </w:tblGrid>
      <w:tr w:rsidR="008A5057" w:rsidRPr="00BD295E" w14:paraId="08D09676" w14:textId="77777777" w:rsidTr="00E3510B">
        <w:tc>
          <w:tcPr>
            <w:tcW w:w="437" w:type="dxa"/>
            <w:shd w:val="clear" w:color="auto" w:fill="auto"/>
          </w:tcPr>
          <w:p w14:paraId="4658276A"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29" w:type="dxa"/>
            <w:shd w:val="clear" w:color="auto" w:fill="auto"/>
          </w:tcPr>
          <w:p w14:paraId="3EECE8EC"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78" w:type="dxa"/>
            <w:shd w:val="clear" w:color="auto" w:fill="auto"/>
          </w:tcPr>
          <w:p w14:paraId="21B0704A"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4BA3A81B" w14:textId="77777777" w:rsidTr="00E3510B">
        <w:tc>
          <w:tcPr>
            <w:tcW w:w="9344" w:type="dxa"/>
            <w:gridSpan w:val="3"/>
            <w:shd w:val="clear" w:color="auto" w:fill="auto"/>
          </w:tcPr>
          <w:p w14:paraId="4528DC99"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46C3001F" w14:textId="77777777" w:rsidTr="00E3510B">
        <w:tc>
          <w:tcPr>
            <w:tcW w:w="437" w:type="dxa"/>
            <w:shd w:val="clear" w:color="auto" w:fill="auto"/>
          </w:tcPr>
          <w:p w14:paraId="6074FB6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29" w:type="dxa"/>
            <w:shd w:val="clear" w:color="auto" w:fill="auto"/>
          </w:tcPr>
          <w:p w14:paraId="02DEB32F" w14:textId="77777777" w:rsidR="00F3260C" w:rsidRPr="00BD295E" w:rsidRDefault="008A5057" w:rsidP="00E3510B">
            <w:pPr>
              <w:widowControl w:val="0"/>
              <w:rPr>
                <w:rFonts w:ascii="Arial" w:hAnsi="Arial" w:cs="Arial"/>
                <w:sz w:val="18"/>
                <w:szCs w:val="18"/>
                <w:lang w:val="en-US"/>
              </w:rPr>
            </w:pPr>
            <w:r w:rsidRPr="00BD295E">
              <w:rPr>
                <w:rFonts w:ascii="Arial" w:hAnsi="Arial" w:cs="Arial"/>
                <w:sz w:val="18"/>
                <w:szCs w:val="18"/>
                <w:lang w:val="en-US"/>
              </w:rPr>
              <w:t xml:space="preserve">Olga Sergeyeva </w:t>
            </w:r>
          </w:p>
          <w:p w14:paraId="348CCE18" w14:textId="77777777" w:rsidR="00F3260C" w:rsidRPr="00BD295E" w:rsidRDefault="00F3260C" w:rsidP="0031297B">
            <w:pPr>
              <w:rPr>
                <w:rFonts w:ascii="Arial" w:hAnsi="Arial" w:cs="Arial"/>
                <w:sz w:val="18"/>
                <w:szCs w:val="18"/>
                <w:lang w:val="en-US"/>
              </w:rPr>
            </w:pPr>
          </w:p>
        </w:tc>
        <w:tc>
          <w:tcPr>
            <w:tcW w:w="5778" w:type="dxa"/>
            <w:shd w:val="clear" w:color="auto" w:fill="auto"/>
          </w:tcPr>
          <w:p w14:paraId="18CB352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Deputy CEO – Head of the Administrative Office at </w:t>
            </w:r>
            <w:r w:rsidR="00BF106F" w:rsidRPr="00BD295E">
              <w:rPr>
                <w:rFonts w:ascii="Arial" w:hAnsi="Arial" w:cs="Arial"/>
                <w:sz w:val="18"/>
                <w:szCs w:val="18"/>
                <w:lang w:val="en-US"/>
              </w:rPr>
              <w:t>PJSC “Rosseti”</w:t>
            </w:r>
          </w:p>
        </w:tc>
      </w:tr>
      <w:tr w:rsidR="008A5057" w:rsidRPr="00BD295E" w14:paraId="0CEE3650" w14:textId="77777777" w:rsidTr="00E3510B">
        <w:tc>
          <w:tcPr>
            <w:tcW w:w="9344" w:type="dxa"/>
            <w:gridSpan w:val="3"/>
            <w:shd w:val="clear" w:color="auto" w:fill="auto"/>
          </w:tcPr>
          <w:p w14:paraId="41E86EC4"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7587BE8B" w14:textId="77777777" w:rsidTr="00E3510B">
        <w:tc>
          <w:tcPr>
            <w:tcW w:w="437" w:type="dxa"/>
            <w:shd w:val="clear" w:color="auto" w:fill="auto"/>
          </w:tcPr>
          <w:p w14:paraId="29A65E20"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29" w:type="dxa"/>
            <w:shd w:val="clear" w:color="auto" w:fill="auto"/>
            <w:vAlign w:val="center"/>
          </w:tcPr>
          <w:p w14:paraId="6E75BAE7" w14:textId="77777777" w:rsidR="00F3260C" w:rsidRPr="00BD295E" w:rsidRDefault="008A5057" w:rsidP="00E3510B">
            <w:pPr>
              <w:ind w:firstLine="44"/>
              <w:rPr>
                <w:rFonts w:ascii="Arial" w:hAnsi="Arial" w:cs="Arial"/>
                <w:sz w:val="18"/>
                <w:szCs w:val="18"/>
                <w:lang w:val="en-US"/>
              </w:rPr>
            </w:pPr>
            <w:r w:rsidRPr="00BD295E">
              <w:rPr>
                <w:rFonts w:ascii="Arial" w:hAnsi="Arial" w:cs="Arial"/>
                <w:sz w:val="18"/>
                <w:szCs w:val="18"/>
                <w:lang w:val="en-US"/>
              </w:rPr>
              <w:t>Dmitry Chevkin</w:t>
            </w:r>
          </w:p>
        </w:tc>
        <w:tc>
          <w:tcPr>
            <w:tcW w:w="5778" w:type="dxa"/>
            <w:shd w:val="clear" w:color="auto" w:fill="auto"/>
          </w:tcPr>
          <w:p w14:paraId="3590227C" w14:textId="77777777" w:rsidR="00F3260C" w:rsidRPr="00BD295E" w:rsidRDefault="008A5057" w:rsidP="00E3510B">
            <w:pPr>
              <w:ind w:firstLine="44"/>
              <w:rPr>
                <w:rFonts w:ascii="Arial" w:hAnsi="Arial" w:cs="Arial"/>
                <w:sz w:val="18"/>
                <w:szCs w:val="18"/>
                <w:lang w:val="en-US"/>
              </w:rPr>
            </w:pPr>
            <w:r w:rsidRPr="00BD295E">
              <w:rPr>
                <w:rFonts w:ascii="Arial" w:hAnsi="Arial" w:cs="Arial"/>
                <w:sz w:val="18"/>
                <w:szCs w:val="18"/>
                <w:lang w:val="en-US"/>
              </w:rPr>
              <w:t xml:space="preserve">Director of the HR Policy and Organizational Development Department at </w:t>
            </w:r>
            <w:r w:rsidR="00BF106F" w:rsidRPr="00BD295E">
              <w:rPr>
                <w:rFonts w:ascii="Arial" w:hAnsi="Arial" w:cs="Arial"/>
                <w:sz w:val="18"/>
                <w:szCs w:val="18"/>
                <w:lang w:val="en-US"/>
              </w:rPr>
              <w:t>PJSC “Rosseti”</w:t>
            </w:r>
          </w:p>
        </w:tc>
      </w:tr>
      <w:tr w:rsidR="008A5057" w:rsidRPr="00BD295E" w14:paraId="79316BF8" w14:textId="77777777" w:rsidTr="00E3510B">
        <w:tc>
          <w:tcPr>
            <w:tcW w:w="437" w:type="dxa"/>
            <w:shd w:val="clear" w:color="auto" w:fill="auto"/>
          </w:tcPr>
          <w:p w14:paraId="73A5CFFB"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29" w:type="dxa"/>
            <w:shd w:val="clear" w:color="auto" w:fill="auto"/>
            <w:vAlign w:val="center"/>
          </w:tcPr>
          <w:p w14:paraId="3B28C932" w14:textId="77777777" w:rsidR="00F3260C" w:rsidRPr="00BD295E" w:rsidRDefault="008A5057" w:rsidP="00E3510B">
            <w:pPr>
              <w:ind w:firstLine="44"/>
              <w:rPr>
                <w:rFonts w:ascii="Arial" w:hAnsi="Arial" w:cs="Arial"/>
                <w:sz w:val="18"/>
                <w:szCs w:val="18"/>
                <w:lang w:val="en-US"/>
              </w:rPr>
            </w:pPr>
            <w:r w:rsidRPr="00BD295E">
              <w:rPr>
                <w:rFonts w:ascii="Arial" w:hAnsi="Arial" w:cs="Arial"/>
                <w:sz w:val="18"/>
                <w:szCs w:val="18"/>
                <w:lang w:val="en-US"/>
              </w:rPr>
              <w:t>Yelena Peshekhonova</w:t>
            </w:r>
          </w:p>
        </w:tc>
        <w:tc>
          <w:tcPr>
            <w:tcW w:w="5778" w:type="dxa"/>
            <w:shd w:val="clear" w:color="auto" w:fill="auto"/>
          </w:tcPr>
          <w:p w14:paraId="26BB4421" w14:textId="77777777" w:rsidR="00F3260C" w:rsidRPr="00BD295E" w:rsidRDefault="008A5057" w:rsidP="00E3510B">
            <w:pPr>
              <w:ind w:firstLine="44"/>
              <w:jc w:val="both"/>
              <w:rPr>
                <w:rFonts w:ascii="Arial" w:hAnsi="Arial" w:cs="Arial"/>
                <w:sz w:val="18"/>
                <w:szCs w:val="18"/>
                <w:lang w:val="en-US"/>
              </w:rPr>
            </w:pPr>
            <w:r w:rsidRPr="00BD295E">
              <w:rPr>
                <w:rFonts w:ascii="Arial" w:hAnsi="Arial" w:cs="Arial"/>
                <w:sz w:val="18"/>
                <w:szCs w:val="18"/>
                <w:lang w:val="en-US"/>
              </w:rPr>
              <w:t xml:space="preserve">Head of the HR Audit and Analysis Division of the HR Policy and Organizational Development Department at </w:t>
            </w:r>
            <w:r w:rsidR="00BF106F" w:rsidRPr="00BD295E">
              <w:rPr>
                <w:rFonts w:ascii="Arial" w:hAnsi="Arial" w:cs="Arial"/>
                <w:sz w:val="18"/>
                <w:szCs w:val="18"/>
                <w:lang w:val="en-US"/>
              </w:rPr>
              <w:t>PJSC “Rosseti”</w:t>
            </w:r>
          </w:p>
        </w:tc>
      </w:tr>
      <w:tr w:rsidR="008A5057" w:rsidRPr="00BD295E" w14:paraId="52764FC1" w14:textId="77777777" w:rsidTr="00E3510B">
        <w:tc>
          <w:tcPr>
            <w:tcW w:w="437" w:type="dxa"/>
            <w:shd w:val="clear" w:color="auto" w:fill="auto"/>
          </w:tcPr>
          <w:p w14:paraId="7807FBF5"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29" w:type="dxa"/>
            <w:shd w:val="clear" w:color="auto" w:fill="auto"/>
            <w:vAlign w:val="center"/>
          </w:tcPr>
          <w:p w14:paraId="6559D160" w14:textId="77777777" w:rsidR="00F3260C" w:rsidRPr="00BD295E" w:rsidRDefault="008A5057" w:rsidP="00E3510B">
            <w:pPr>
              <w:ind w:firstLine="44"/>
              <w:rPr>
                <w:rFonts w:ascii="Arial" w:hAnsi="Arial" w:cs="Arial"/>
                <w:sz w:val="18"/>
                <w:szCs w:val="18"/>
                <w:lang w:val="en-US"/>
              </w:rPr>
            </w:pPr>
            <w:r w:rsidRPr="00BD295E">
              <w:rPr>
                <w:rFonts w:ascii="Arial" w:hAnsi="Arial" w:cs="Arial"/>
                <w:sz w:val="18"/>
                <w:szCs w:val="18"/>
                <w:lang w:val="en-US"/>
              </w:rPr>
              <w:t>Aleksandr German</w:t>
            </w:r>
          </w:p>
        </w:tc>
        <w:tc>
          <w:tcPr>
            <w:tcW w:w="5778" w:type="dxa"/>
            <w:shd w:val="clear" w:color="auto" w:fill="auto"/>
          </w:tcPr>
          <w:p w14:paraId="41C234F4" w14:textId="77777777" w:rsidR="00F3260C" w:rsidRPr="00BD295E" w:rsidRDefault="008A5057" w:rsidP="00E3510B">
            <w:pPr>
              <w:ind w:firstLine="44"/>
              <w:jc w:val="both"/>
              <w:rPr>
                <w:rFonts w:ascii="Arial" w:hAnsi="Arial" w:cs="Arial"/>
                <w:sz w:val="18"/>
                <w:szCs w:val="18"/>
                <w:lang w:val="en-US"/>
              </w:rPr>
            </w:pPr>
            <w:r w:rsidRPr="00BD295E">
              <w:rPr>
                <w:rFonts w:ascii="Arial" w:hAnsi="Arial" w:cs="Arial"/>
                <w:sz w:val="18"/>
                <w:szCs w:val="18"/>
                <w:lang w:val="en-US"/>
              </w:rPr>
              <w:t>Deputy Chairman of the Property Relations Committee of Saint Petersburg</w:t>
            </w:r>
          </w:p>
        </w:tc>
      </w:tr>
      <w:tr w:rsidR="008A5057" w:rsidRPr="00BD295E" w14:paraId="120C2B64" w14:textId="77777777" w:rsidTr="00E3510B">
        <w:tc>
          <w:tcPr>
            <w:tcW w:w="437" w:type="dxa"/>
            <w:shd w:val="clear" w:color="auto" w:fill="auto"/>
          </w:tcPr>
          <w:p w14:paraId="1FDE742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29" w:type="dxa"/>
            <w:shd w:val="clear" w:color="auto" w:fill="auto"/>
            <w:vAlign w:val="center"/>
          </w:tcPr>
          <w:p w14:paraId="341B0297" w14:textId="77777777" w:rsidR="00F3260C" w:rsidRPr="00BD295E" w:rsidRDefault="008A5057" w:rsidP="00E3510B">
            <w:pPr>
              <w:ind w:firstLine="44"/>
              <w:rPr>
                <w:rFonts w:ascii="Arial" w:hAnsi="Arial" w:cs="Arial"/>
                <w:sz w:val="18"/>
                <w:szCs w:val="18"/>
                <w:lang w:val="en-US"/>
              </w:rPr>
            </w:pPr>
            <w:r w:rsidRPr="00BD295E">
              <w:rPr>
                <w:rFonts w:ascii="Arial" w:hAnsi="Arial" w:cs="Arial"/>
                <w:sz w:val="18"/>
                <w:szCs w:val="18"/>
                <w:lang w:val="en-US"/>
              </w:rPr>
              <w:t>Ksenia Zimnukhova</w:t>
            </w:r>
          </w:p>
        </w:tc>
        <w:tc>
          <w:tcPr>
            <w:tcW w:w="5778" w:type="dxa"/>
            <w:shd w:val="clear" w:color="auto" w:fill="auto"/>
          </w:tcPr>
          <w:p w14:paraId="0B3F2F74" w14:textId="77777777" w:rsidR="00F3260C" w:rsidRPr="00BD295E" w:rsidRDefault="008A5057" w:rsidP="00E3510B">
            <w:pPr>
              <w:ind w:firstLine="44"/>
              <w:jc w:val="both"/>
              <w:rPr>
                <w:rFonts w:ascii="Arial" w:hAnsi="Arial" w:cs="Arial"/>
                <w:sz w:val="18"/>
                <w:szCs w:val="18"/>
                <w:lang w:val="en-US"/>
              </w:rPr>
            </w:pPr>
            <w:r w:rsidRPr="00BD295E">
              <w:rPr>
                <w:rFonts w:ascii="Arial" w:hAnsi="Arial" w:cs="Arial"/>
                <w:sz w:val="18"/>
                <w:szCs w:val="18"/>
                <w:lang w:val="en-US"/>
              </w:rPr>
              <w:t>Head of the Government Relations and HR Unit of the Energy and Engineering Support Committee of Saint Petersburg</w:t>
            </w:r>
          </w:p>
        </w:tc>
      </w:tr>
    </w:tbl>
    <w:p w14:paraId="77E96248" w14:textId="77777777" w:rsidR="00F3260C" w:rsidRPr="00BD295E" w:rsidRDefault="00F3260C" w:rsidP="00F3260C">
      <w:pPr>
        <w:jc w:val="both"/>
        <w:rPr>
          <w:rFonts w:ascii="Arial" w:hAnsi="Arial" w:cs="Arial"/>
          <w:b/>
          <w:sz w:val="18"/>
          <w:szCs w:val="18"/>
          <w:lang w:val="en-US"/>
        </w:rPr>
      </w:pPr>
    </w:p>
    <w:p w14:paraId="4F6C64E2" w14:textId="77777777" w:rsidR="00F3260C" w:rsidRPr="00BD295E" w:rsidRDefault="008A5057" w:rsidP="00F3260C">
      <w:pPr>
        <w:jc w:val="both"/>
        <w:rPr>
          <w:rFonts w:ascii="Arial" w:hAnsi="Arial" w:cs="Arial"/>
          <w:sz w:val="18"/>
          <w:szCs w:val="18"/>
          <w:lang w:val="en-US"/>
        </w:rPr>
      </w:pPr>
      <w:r w:rsidRPr="00BD295E">
        <w:rPr>
          <w:rFonts w:ascii="Arial" w:hAnsi="Arial" w:cs="Arial"/>
          <w:b/>
          <w:sz w:val="18"/>
          <w:szCs w:val="18"/>
          <w:lang w:val="en-US"/>
        </w:rPr>
        <w:t>Composition of the Nomination and Remuneration Committee of the Company’s Board of Directors in 2018</w:t>
      </w:r>
    </w:p>
    <w:p w14:paraId="0C670E57" w14:textId="77777777" w:rsidR="00F3260C" w:rsidRPr="00BD295E" w:rsidRDefault="00F3260C" w:rsidP="00F3260C">
      <w:pPr>
        <w:jc w:val="both"/>
        <w:rPr>
          <w:rFonts w:ascii="Arial" w:hAnsi="Arial" w:cs="Arial"/>
          <w:sz w:val="18"/>
          <w:szCs w:val="18"/>
          <w:lang w:val="en-US"/>
        </w:rPr>
      </w:pPr>
    </w:p>
    <w:p w14:paraId="689DEA15" w14:textId="1A5FD55F" w:rsidR="00F3260C" w:rsidRPr="00BD295E" w:rsidRDefault="008A5057" w:rsidP="00F3260C">
      <w:pPr>
        <w:ind w:firstLine="567"/>
        <w:jc w:val="both"/>
        <w:rPr>
          <w:rFonts w:ascii="Arial" w:hAnsi="Arial" w:cs="Arial"/>
          <w:b/>
          <w:sz w:val="18"/>
          <w:szCs w:val="18"/>
          <w:lang w:val="en-US"/>
        </w:rPr>
      </w:pPr>
      <w:r w:rsidRPr="00BD295E">
        <w:rPr>
          <w:rFonts w:ascii="Arial" w:hAnsi="Arial" w:cs="Arial"/>
          <w:b/>
          <w:sz w:val="18"/>
          <w:szCs w:val="18"/>
          <w:lang w:val="en-US"/>
        </w:rPr>
        <w:t xml:space="preserve">The Nomination and Remuneration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1, 2018 (Minutes No. 5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6, 2018</w:t>
      </w:r>
      <w:r w:rsidR="002C3947" w:rsidRPr="00BD295E">
        <w:rPr>
          <w:rFonts w:ascii="Arial" w:hAnsi="Arial" w:cs="Arial"/>
          <w:b/>
          <w:sz w:val="18"/>
          <w:szCs w:val="18"/>
          <w:lang w:val="en-US"/>
        </w:rPr>
        <w:t>)*:</w:t>
      </w:r>
    </w:p>
    <w:p w14:paraId="0D2A169A" w14:textId="77777777" w:rsidR="00F3260C" w:rsidRPr="00BD295E" w:rsidRDefault="00F3260C" w:rsidP="00F3260C">
      <w:pPr>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108"/>
        <w:gridCol w:w="5731"/>
      </w:tblGrid>
      <w:tr w:rsidR="008A5057" w:rsidRPr="00BD295E" w14:paraId="3E6407B9" w14:textId="77777777" w:rsidTr="00E3510B">
        <w:tc>
          <w:tcPr>
            <w:tcW w:w="437" w:type="dxa"/>
            <w:shd w:val="clear" w:color="auto" w:fill="auto"/>
          </w:tcPr>
          <w:p w14:paraId="22B1C5CC"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29" w:type="dxa"/>
            <w:shd w:val="clear" w:color="auto" w:fill="auto"/>
          </w:tcPr>
          <w:p w14:paraId="18FDF143"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78" w:type="dxa"/>
            <w:shd w:val="clear" w:color="auto" w:fill="auto"/>
          </w:tcPr>
          <w:p w14:paraId="611D5C1F"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0E525886" w14:textId="77777777" w:rsidTr="00E3510B">
        <w:tc>
          <w:tcPr>
            <w:tcW w:w="9344" w:type="dxa"/>
            <w:gridSpan w:val="3"/>
            <w:shd w:val="clear" w:color="auto" w:fill="auto"/>
          </w:tcPr>
          <w:p w14:paraId="1E8924B8"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35EB567E" w14:textId="77777777" w:rsidTr="00E3510B">
        <w:tc>
          <w:tcPr>
            <w:tcW w:w="437" w:type="dxa"/>
            <w:shd w:val="clear" w:color="auto" w:fill="auto"/>
          </w:tcPr>
          <w:p w14:paraId="081AD09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29" w:type="dxa"/>
            <w:shd w:val="clear" w:color="auto" w:fill="auto"/>
          </w:tcPr>
          <w:p w14:paraId="07C013E2" w14:textId="77777777" w:rsidR="00F3260C" w:rsidRPr="00BD295E" w:rsidRDefault="008A5057" w:rsidP="00E3510B">
            <w:pPr>
              <w:widowControl w:val="0"/>
              <w:rPr>
                <w:rFonts w:ascii="Arial" w:hAnsi="Arial" w:cs="Arial"/>
                <w:sz w:val="18"/>
                <w:szCs w:val="18"/>
                <w:lang w:val="en-US"/>
              </w:rPr>
            </w:pPr>
            <w:r w:rsidRPr="00BD295E">
              <w:rPr>
                <w:rFonts w:ascii="Arial" w:hAnsi="Arial" w:cs="Arial"/>
                <w:sz w:val="18"/>
                <w:szCs w:val="18"/>
                <w:lang w:val="en-US"/>
              </w:rPr>
              <w:t>Nikolay Varlamov</w:t>
            </w:r>
          </w:p>
          <w:p w14:paraId="6EC78A55" w14:textId="77777777" w:rsidR="00F3260C" w:rsidRPr="00BD295E" w:rsidRDefault="00F3260C" w:rsidP="0031297B">
            <w:pPr>
              <w:rPr>
                <w:rFonts w:ascii="Arial" w:hAnsi="Arial" w:cs="Arial"/>
                <w:sz w:val="18"/>
                <w:szCs w:val="18"/>
                <w:lang w:val="en-US"/>
              </w:rPr>
            </w:pPr>
          </w:p>
        </w:tc>
        <w:tc>
          <w:tcPr>
            <w:tcW w:w="5778" w:type="dxa"/>
            <w:shd w:val="clear" w:color="auto" w:fill="auto"/>
          </w:tcPr>
          <w:p w14:paraId="7812D8C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Deputy CEO – Head of the Administrative Office at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p>
          <w:p w14:paraId="0613853E" w14:textId="77777777" w:rsidR="00F3260C" w:rsidRPr="00BD295E" w:rsidRDefault="00F3260C" w:rsidP="0031297B">
            <w:pPr>
              <w:rPr>
                <w:rFonts w:ascii="Arial" w:hAnsi="Arial" w:cs="Arial"/>
                <w:sz w:val="18"/>
                <w:szCs w:val="18"/>
                <w:lang w:val="en-US"/>
              </w:rPr>
            </w:pPr>
          </w:p>
        </w:tc>
      </w:tr>
      <w:tr w:rsidR="008A5057" w:rsidRPr="00BD295E" w14:paraId="6969F0F0" w14:textId="77777777" w:rsidTr="00E3510B">
        <w:tc>
          <w:tcPr>
            <w:tcW w:w="9344" w:type="dxa"/>
            <w:gridSpan w:val="3"/>
            <w:shd w:val="clear" w:color="auto" w:fill="auto"/>
          </w:tcPr>
          <w:p w14:paraId="2061F7BE"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3F18CEB1" w14:textId="77777777" w:rsidTr="00E3510B">
        <w:tc>
          <w:tcPr>
            <w:tcW w:w="437" w:type="dxa"/>
            <w:shd w:val="clear" w:color="auto" w:fill="auto"/>
          </w:tcPr>
          <w:p w14:paraId="204D1AE1"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29" w:type="dxa"/>
            <w:shd w:val="clear" w:color="auto" w:fill="auto"/>
          </w:tcPr>
          <w:p w14:paraId="490CEE99"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Yuri Mangarov</w:t>
            </w:r>
          </w:p>
        </w:tc>
        <w:tc>
          <w:tcPr>
            <w:tcW w:w="5778" w:type="dxa"/>
            <w:shd w:val="clear" w:color="auto" w:fill="auto"/>
          </w:tcPr>
          <w:p w14:paraId="102A3AA7"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Official Secretary at </w:t>
            </w:r>
            <w:r w:rsidR="00BF106F" w:rsidRPr="00BD295E">
              <w:rPr>
                <w:rFonts w:ascii="Arial" w:hAnsi="Arial" w:cs="Arial"/>
                <w:snapToGrid w:val="0"/>
                <w:sz w:val="18"/>
                <w:szCs w:val="18"/>
                <w:lang w:val="en-US"/>
              </w:rPr>
              <w:t>PJSC “Rosseti”</w:t>
            </w:r>
          </w:p>
        </w:tc>
      </w:tr>
      <w:tr w:rsidR="008A5057" w:rsidRPr="00BD295E" w14:paraId="0E327674" w14:textId="77777777" w:rsidTr="00E3510B">
        <w:tc>
          <w:tcPr>
            <w:tcW w:w="437" w:type="dxa"/>
            <w:shd w:val="clear" w:color="auto" w:fill="auto"/>
          </w:tcPr>
          <w:p w14:paraId="35BE34B8"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29" w:type="dxa"/>
            <w:shd w:val="clear" w:color="auto" w:fill="auto"/>
            <w:vAlign w:val="center"/>
          </w:tcPr>
          <w:p w14:paraId="5CF93735"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Dmitry Chevkin</w:t>
            </w:r>
          </w:p>
        </w:tc>
        <w:tc>
          <w:tcPr>
            <w:tcW w:w="5778" w:type="dxa"/>
            <w:shd w:val="clear" w:color="auto" w:fill="auto"/>
            <w:vAlign w:val="center"/>
          </w:tcPr>
          <w:p w14:paraId="5FC7C737" w14:textId="77777777" w:rsidR="00F3260C" w:rsidRPr="00BD295E" w:rsidRDefault="008A5057" w:rsidP="00E3510B">
            <w:pPr>
              <w:tabs>
                <w:tab w:val="left" w:pos="851"/>
              </w:tabs>
              <w:contextualSpacing/>
              <w:jc w:val="both"/>
              <w:rPr>
                <w:rFonts w:ascii="Arial" w:eastAsia="Calibri" w:hAnsi="Arial" w:cs="Arial"/>
                <w:bCs/>
                <w:snapToGrid w:val="0"/>
                <w:sz w:val="18"/>
                <w:szCs w:val="18"/>
                <w:lang w:val="en-US"/>
              </w:rPr>
            </w:pPr>
            <w:r w:rsidRPr="00BD295E">
              <w:rPr>
                <w:rFonts w:ascii="Arial" w:hAnsi="Arial" w:cs="Arial"/>
                <w:bCs/>
                <w:snapToGrid w:val="0"/>
                <w:sz w:val="18"/>
                <w:szCs w:val="18"/>
                <w:lang w:val="en-US"/>
              </w:rPr>
              <w:t xml:space="preserve">Director of the HR Policy and Organizational Development Department at </w:t>
            </w:r>
            <w:r w:rsidR="00BF106F" w:rsidRPr="00BD295E">
              <w:rPr>
                <w:rFonts w:ascii="Arial" w:hAnsi="Arial" w:cs="Arial"/>
                <w:bCs/>
                <w:snapToGrid w:val="0"/>
                <w:sz w:val="18"/>
                <w:szCs w:val="18"/>
                <w:lang w:val="en-US"/>
              </w:rPr>
              <w:t>PJSC “Rosseti”</w:t>
            </w:r>
          </w:p>
        </w:tc>
      </w:tr>
      <w:tr w:rsidR="008A5057" w:rsidRPr="00BD295E" w14:paraId="3915E4D2" w14:textId="77777777" w:rsidTr="00E3510B">
        <w:tc>
          <w:tcPr>
            <w:tcW w:w="437" w:type="dxa"/>
            <w:shd w:val="clear" w:color="auto" w:fill="auto"/>
          </w:tcPr>
          <w:p w14:paraId="40F70214"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29" w:type="dxa"/>
            <w:shd w:val="clear" w:color="auto" w:fill="auto"/>
          </w:tcPr>
          <w:p w14:paraId="5F178D1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Ksenia Zimnukhova</w:t>
            </w:r>
          </w:p>
        </w:tc>
        <w:tc>
          <w:tcPr>
            <w:tcW w:w="5778" w:type="dxa"/>
            <w:shd w:val="clear" w:color="auto" w:fill="auto"/>
          </w:tcPr>
          <w:p w14:paraId="258D4ED4"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Government Relations and HR Unit of the Energy and Engineering Support Committee </w:t>
            </w:r>
          </w:p>
        </w:tc>
      </w:tr>
      <w:tr w:rsidR="008A5057" w:rsidRPr="00BD295E" w14:paraId="17314987" w14:textId="77777777" w:rsidTr="00E3510B">
        <w:tc>
          <w:tcPr>
            <w:tcW w:w="437" w:type="dxa"/>
            <w:shd w:val="clear" w:color="auto" w:fill="auto"/>
          </w:tcPr>
          <w:p w14:paraId="17F822E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29" w:type="dxa"/>
            <w:shd w:val="clear" w:color="auto" w:fill="auto"/>
          </w:tcPr>
          <w:p w14:paraId="255FF739"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Marina Yankina</w:t>
            </w:r>
          </w:p>
        </w:tc>
        <w:tc>
          <w:tcPr>
            <w:tcW w:w="5778" w:type="dxa"/>
            <w:shd w:val="clear" w:color="auto" w:fill="auto"/>
          </w:tcPr>
          <w:p w14:paraId="6D9C107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Chairman of the Property Relations Committee of Saint Petersburg</w:t>
            </w:r>
          </w:p>
        </w:tc>
      </w:tr>
    </w:tbl>
    <w:p w14:paraId="58DE89D9"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6C5B2072" w14:textId="77777777" w:rsidR="00F3260C" w:rsidRPr="00BD295E" w:rsidRDefault="00F3260C" w:rsidP="00F3260C">
      <w:pPr>
        <w:jc w:val="both"/>
        <w:rPr>
          <w:rFonts w:ascii="Arial" w:hAnsi="Arial" w:cs="Arial"/>
          <w:sz w:val="18"/>
          <w:szCs w:val="18"/>
          <w:lang w:val="en-US"/>
        </w:rPr>
      </w:pPr>
    </w:p>
    <w:p w14:paraId="7EF8B4B7" w14:textId="5672EEDF" w:rsidR="00F3260C" w:rsidRPr="00BD295E" w:rsidRDefault="008A5057" w:rsidP="00F3260C">
      <w:pPr>
        <w:ind w:firstLine="567"/>
        <w:jc w:val="both"/>
        <w:rPr>
          <w:rFonts w:ascii="Arial" w:hAnsi="Arial" w:cs="Arial"/>
          <w:b/>
          <w:sz w:val="18"/>
          <w:szCs w:val="18"/>
          <w:lang w:val="en-US"/>
        </w:rPr>
      </w:pPr>
      <w:r w:rsidRPr="00BD295E">
        <w:rPr>
          <w:rFonts w:ascii="Arial" w:hAnsi="Arial" w:cs="Arial"/>
          <w:b/>
          <w:sz w:val="18"/>
          <w:szCs w:val="18"/>
          <w:lang w:val="en-US"/>
        </w:rPr>
        <w:t xml:space="preserve">The Nomination and Remuneration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21, 2018 (Minutes No. 32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23, 2018</w:t>
      </w:r>
      <w:r w:rsidR="002C3947" w:rsidRPr="00BD295E">
        <w:rPr>
          <w:rFonts w:ascii="Arial" w:hAnsi="Arial" w:cs="Arial"/>
          <w:b/>
          <w:sz w:val="18"/>
          <w:szCs w:val="18"/>
          <w:lang w:val="en-US"/>
        </w:rPr>
        <w:t>)*:</w:t>
      </w:r>
    </w:p>
    <w:p w14:paraId="2639C1B3" w14:textId="77777777" w:rsidR="00F3260C" w:rsidRPr="00BD295E" w:rsidRDefault="00F3260C" w:rsidP="00F3260C">
      <w:pPr>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105"/>
        <w:gridCol w:w="5734"/>
      </w:tblGrid>
      <w:tr w:rsidR="008A5057" w:rsidRPr="00BD295E" w14:paraId="4382250C" w14:textId="77777777" w:rsidTr="00E3510B">
        <w:tc>
          <w:tcPr>
            <w:tcW w:w="437" w:type="dxa"/>
            <w:shd w:val="clear" w:color="auto" w:fill="auto"/>
          </w:tcPr>
          <w:p w14:paraId="10C8B530"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24" w:type="dxa"/>
            <w:shd w:val="clear" w:color="auto" w:fill="auto"/>
          </w:tcPr>
          <w:p w14:paraId="7EDBBF03"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83" w:type="dxa"/>
            <w:shd w:val="clear" w:color="auto" w:fill="auto"/>
          </w:tcPr>
          <w:p w14:paraId="4F3BC85B"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4E68273E" w14:textId="77777777" w:rsidTr="00E3510B">
        <w:tc>
          <w:tcPr>
            <w:tcW w:w="9344" w:type="dxa"/>
            <w:gridSpan w:val="3"/>
            <w:shd w:val="clear" w:color="auto" w:fill="auto"/>
          </w:tcPr>
          <w:p w14:paraId="72D41CF7"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6E775337" w14:textId="77777777" w:rsidTr="00E3510B">
        <w:tc>
          <w:tcPr>
            <w:tcW w:w="437" w:type="dxa"/>
            <w:shd w:val="clear" w:color="auto" w:fill="auto"/>
          </w:tcPr>
          <w:p w14:paraId="0CB6449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24" w:type="dxa"/>
            <w:shd w:val="clear" w:color="auto" w:fill="auto"/>
          </w:tcPr>
          <w:p w14:paraId="47718714"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Olga Sergeyeva</w:t>
            </w:r>
          </w:p>
        </w:tc>
        <w:tc>
          <w:tcPr>
            <w:tcW w:w="5783" w:type="dxa"/>
            <w:shd w:val="clear" w:color="auto" w:fill="auto"/>
          </w:tcPr>
          <w:p w14:paraId="6957F5A3"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Member of the Management Board, Deputy CEO – Head of the Administrative Office at </w:t>
            </w:r>
            <w:r w:rsidR="00BF106F" w:rsidRPr="00BD295E">
              <w:rPr>
                <w:rFonts w:ascii="Arial" w:hAnsi="Arial" w:cs="Arial"/>
                <w:snapToGrid w:val="0"/>
                <w:sz w:val="18"/>
                <w:szCs w:val="18"/>
                <w:lang w:val="en-US"/>
              </w:rPr>
              <w:t>PJSC “Rosseti”</w:t>
            </w:r>
          </w:p>
        </w:tc>
      </w:tr>
      <w:tr w:rsidR="008A5057" w:rsidRPr="00BD295E" w14:paraId="591C17A6" w14:textId="77777777" w:rsidTr="00E3510B">
        <w:tc>
          <w:tcPr>
            <w:tcW w:w="9344" w:type="dxa"/>
            <w:gridSpan w:val="3"/>
            <w:shd w:val="clear" w:color="auto" w:fill="auto"/>
          </w:tcPr>
          <w:p w14:paraId="72C05F7C"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244B7047" w14:textId="77777777" w:rsidTr="00E3510B">
        <w:tc>
          <w:tcPr>
            <w:tcW w:w="437" w:type="dxa"/>
            <w:shd w:val="clear" w:color="auto" w:fill="auto"/>
          </w:tcPr>
          <w:p w14:paraId="25C42209"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24" w:type="dxa"/>
            <w:shd w:val="clear" w:color="auto" w:fill="auto"/>
          </w:tcPr>
          <w:p w14:paraId="705A67DE" w14:textId="77777777" w:rsidR="00F3260C" w:rsidRPr="00BD295E" w:rsidRDefault="00F3260C" w:rsidP="00E3510B">
            <w:pPr>
              <w:tabs>
                <w:tab w:val="left" w:pos="851"/>
              </w:tabs>
              <w:contextualSpacing/>
              <w:jc w:val="both"/>
              <w:rPr>
                <w:rFonts w:ascii="Arial" w:eastAsia="Calibri" w:hAnsi="Arial" w:cs="Arial"/>
                <w:snapToGrid w:val="0"/>
                <w:sz w:val="18"/>
                <w:szCs w:val="18"/>
                <w:lang w:val="en-US"/>
              </w:rPr>
            </w:pPr>
          </w:p>
        </w:tc>
        <w:tc>
          <w:tcPr>
            <w:tcW w:w="5783" w:type="dxa"/>
            <w:shd w:val="clear" w:color="auto" w:fill="auto"/>
          </w:tcPr>
          <w:p w14:paraId="574F9D1E" w14:textId="77777777" w:rsidR="00F3260C" w:rsidRPr="00BD295E" w:rsidRDefault="00F3260C" w:rsidP="00E3510B">
            <w:pPr>
              <w:tabs>
                <w:tab w:val="left" w:pos="851"/>
              </w:tabs>
              <w:contextualSpacing/>
              <w:jc w:val="both"/>
              <w:rPr>
                <w:rFonts w:ascii="Arial" w:eastAsia="Calibri" w:hAnsi="Arial" w:cs="Arial"/>
                <w:snapToGrid w:val="0"/>
                <w:sz w:val="18"/>
                <w:szCs w:val="18"/>
                <w:lang w:val="en-US"/>
              </w:rPr>
            </w:pPr>
          </w:p>
        </w:tc>
      </w:tr>
      <w:tr w:rsidR="008A5057" w:rsidRPr="00BD295E" w14:paraId="6A383A74" w14:textId="77777777" w:rsidTr="00E3510B">
        <w:tc>
          <w:tcPr>
            <w:tcW w:w="437" w:type="dxa"/>
            <w:shd w:val="clear" w:color="auto" w:fill="auto"/>
          </w:tcPr>
          <w:p w14:paraId="7D1F083D"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24" w:type="dxa"/>
            <w:shd w:val="clear" w:color="auto" w:fill="auto"/>
          </w:tcPr>
          <w:p w14:paraId="2A8C120F"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Yelena Peshekhonova</w:t>
            </w:r>
          </w:p>
        </w:tc>
        <w:tc>
          <w:tcPr>
            <w:tcW w:w="5783" w:type="dxa"/>
            <w:shd w:val="clear" w:color="auto" w:fill="auto"/>
          </w:tcPr>
          <w:p w14:paraId="5A9D93B4"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HR Audit and Analysis Division of the HR Policy and Organizational Development Department at </w:t>
            </w:r>
            <w:r w:rsidR="00BF106F" w:rsidRPr="00BD295E">
              <w:rPr>
                <w:rFonts w:ascii="Arial" w:hAnsi="Arial" w:cs="Arial"/>
                <w:snapToGrid w:val="0"/>
                <w:sz w:val="18"/>
                <w:szCs w:val="18"/>
                <w:lang w:val="en-US"/>
              </w:rPr>
              <w:t>PJSC “Rosseti”</w:t>
            </w:r>
          </w:p>
        </w:tc>
      </w:tr>
      <w:tr w:rsidR="008A5057" w:rsidRPr="00BD295E" w14:paraId="786C1BF8" w14:textId="77777777" w:rsidTr="00E3510B">
        <w:tc>
          <w:tcPr>
            <w:tcW w:w="437" w:type="dxa"/>
            <w:shd w:val="clear" w:color="auto" w:fill="auto"/>
          </w:tcPr>
          <w:p w14:paraId="0A275AB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w:t>
            </w:r>
          </w:p>
        </w:tc>
        <w:tc>
          <w:tcPr>
            <w:tcW w:w="3124" w:type="dxa"/>
            <w:shd w:val="clear" w:color="auto" w:fill="auto"/>
          </w:tcPr>
          <w:p w14:paraId="22D011DF"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Andrey Budnikov</w:t>
            </w:r>
          </w:p>
        </w:tc>
        <w:tc>
          <w:tcPr>
            <w:tcW w:w="5783" w:type="dxa"/>
            <w:shd w:val="clear" w:color="auto" w:fill="auto"/>
          </w:tcPr>
          <w:p w14:paraId="234A675D"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Director for HR Management and Organizational Design at </w:t>
            </w:r>
            <w:r w:rsidR="00EE5753" w:rsidRPr="00BD295E">
              <w:rPr>
                <w:rFonts w:ascii="Arial" w:hAnsi="Arial" w:cs="Arial"/>
                <w:snapToGrid w:val="0"/>
                <w:sz w:val="18"/>
                <w:szCs w:val="18"/>
                <w:lang w:val="en-US"/>
              </w:rPr>
              <w:t>PJSC “Lenenergo”</w:t>
            </w:r>
          </w:p>
        </w:tc>
      </w:tr>
      <w:tr w:rsidR="008A5057" w:rsidRPr="00BD295E" w14:paraId="476946D0" w14:textId="77777777" w:rsidTr="00E3510B">
        <w:tc>
          <w:tcPr>
            <w:tcW w:w="437" w:type="dxa"/>
            <w:shd w:val="clear" w:color="auto" w:fill="auto"/>
          </w:tcPr>
          <w:p w14:paraId="6679FA5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24" w:type="dxa"/>
            <w:shd w:val="clear" w:color="auto" w:fill="auto"/>
          </w:tcPr>
          <w:p w14:paraId="7085E88B"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Aleksandr German</w:t>
            </w:r>
          </w:p>
        </w:tc>
        <w:tc>
          <w:tcPr>
            <w:tcW w:w="5783" w:type="dxa"/>
            <w:shd w:val="clear" w:color="auto" w:fill="auto"/>
          </w:tcPr>
          <w:p w14:paraId="5C370FE2"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Chairman of the Property Relations Committee of Saint Petersburg</w:t>
            </w:r>
          </w:p>
        </w:tc>
      </w:tr>
      <w:tr w:rsidR="008A5057" w:rsidRPr="00BD295E" w14:paraId="4DD049B8" w14:textId="77777777" w:rsidTr="00E3510B">
        <w:tc>
          <w:tcPr>
            <w:tcW w:w="437" w:type="dxa"/>
            <w:shd w:val="clear" w:color="auto" w:fill="auto"/>
          </w:tcPr>
          <w:p w14:paraId="2CCE811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3124" w:type="dxa"/>
            <w:shd w:val="clear" w:color="auto" w:fill="auto"/>
          </w:tcPr>
          <w:p w14:paraId="093C106D"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Ksenia Zimnukhova</w:t>
            </w:r>
          </w:p>
        </w:tc>
        <w:tc>
          <w:tcPr>
            <w:tcW w:w="5783" w:type="dxa"/>
            <w:shd w:val="clear" w:color="auto" w:fill="auto"/>
          </w:tcPr>
          <w:p w14:paraId="604EE5B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Head of the Government Relations and HR Unit of the Energy and Engineering Support Committee of Saint Petersburg</w:t>
            </w:r>
          </w:p>
        </w:tc>
      </w:tr>
    </w:tbl>
    <w:p w14:paraId="4AA8EB50"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4D58433D" w14:textId="77777777" w:rsidR="00F3260C" w:rsidRPr="00BD295E" w:rsidRDefault="00F3260C" w:rsidP="00F3260C">
      <w:pPr>
        <w:ind w:firstLine="567"/>
        <w:jc w:val="both"/>
        <w:rPr>
          <w:rFonts w:ascii="Arial" w:hAnsi="Arial" w:cs="Arial"/>
          <w:sz w:val="18"/>
          <w:szCs w:val="18"/>
          <w:lang w:val="en-US"/>
        </w:rPr>
      </w:pPr>
    </w:p>
    <w:p w14:paraId="4E185992" w14:textId="77777777" w:rsidR="00F3260C" w:rsidRPr="00BD295E" w:rsidRDefault="008A5057" w:rsidP="00A30013">
      <w:pPr>
        <w:jc w:val="both"/>
        <w:rPr>
          <w:rFonts w:ascii="Arial" w:hAnsi="Arial" w:cs="Arial"/>
          <w:sz w:val="18"/>
          <w:szCs w:val="18"/>
          <w:lang w:val="en-US"/>
        </w:rPr>
      </w:pPr>
      <w:r w:rsidRPr="00BD295E">
        <w:rPr>
          <w:rFonts w:ascii="Arial" w:hAnsi="Arial" w:cs="Arial"/>
          <w:sz w:val="18"/>
          <w:szCs w:val="18"/>
          <w:lang w:val="en-US"/>
        </w:rPr>
        <w:t>Six meetings of the Committee were held in absentia in 2018.</w:t>
      </w:r>
    </w:p>
    <w:p w14:paraId="17310AC9" w14:textId="77777777" w:rsidR="00F3260C" w:rsidRPr="00BD295E" w:rsidRDefault="008A5057" w:rsidP="00A30013">
      <w:pPr>
        <w:jc w:val="both"/>
        <w:rPr>
          <w:rFonts w:ascii="Arial" w:hAnsi="Arial" w:cs="Arial"/>
          <w:sz w:val="18"/>
          <w:szCs w:val="18"/>
          <w:lang w:val="en-US"/>
        </w:rPr>
      </w:pPr>
      <w:r w:rsidRPr="00BD295E">
        <w:rPr>
          <w:rFonts w:ascii="Arial" w:hAnsi="Arial" w:cs="Arial"/>
          <w:sz w:val="18"/>
          <w:szCs w:val="18"/>
          <w:lang w:val="en-US"/>
        </w:rPr>
        <w:t xml:space="preserve">The Committee prepared recommendations for the Board of Directors regarding approval of candidates for certain positions in the executive arm of the Company, approval of the organizational structure of the executive arm of </w:t>
      </w:r>
      <w:r w:rsidR="00EE5753" w:rsidRPr="00BD295E">
        <w:rPr>
          <w:rFonts w:ascii="Arial" w:hAnsi="Arial" w:cs="Arial"/>
          <w:sz w:val="18"/>
          <w:szCs w:val="18"/>
          <w:lang w:val="en-US"/>
        </w:rPr>
        <w:t>PJSC “Lenenergo”</w:t>
      </w:r>
      <w:r w:rsidRPr="00BD295E">
        <w:rPr>
          <w:rFonts w:ascii="Arial" w:hAnsi="Arial" w:cs="Arial"/>
          <w:sz w:val="18"/>
          <w:szCs w:val="18"/>
          <w:lang w:val="en-US"/>
        </w:rPr>
        <w:t>, and also pre</w:t>
      </w:r>
      <w:r w:rsidR="00480F9B" w:rsidRPr="00BD295E">
        <w:rPr>
          <w:rFonts w:ascii="Arial" w:hAnsi="Arial" w:cs="Arial"/>
          <w:sz w:val="18"/>
          <w:szCs w:val="18"/>
          <w:lang w:val="en-US"/>
        </w:rPr>
        <w:t>liminarily re</w:t>
      </w:r>
      <w:r w:rsidRPr="00BD295E">
        <w:rPr>
          <w:rFonts w:ascii="Arial" w:hAnsi="Arial" w:cs="Arial"/>
          <w:sz w:val="18"/>
          <w:szCs w:val="18"/>
          <w:lang w:val="en-US"/>
        </w:rPr>
        <w:t xml:space="preserve">viewed the Regulations for Financial Incentives Payable to the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(restated version).</w:t>
      </w:r>
    </w:p>
    <w:p w14:paraId="4F778534" w14:textId="77777777" w:rsidR="00F3260C" w:rsidRPr="00BD295E" w:rsidRDefault="008A5057" w:rsidP="00A30013">
      <w:pPr>
        <w:jc w:val="both"/>
        <w:rPr>
          <w:rFonts w:ascii="Arial" w:hAnsi="Arial" w:cs="Arial"/>
          <w:sz w:val="18"/>
          <w:szCs w:val="18"/>
          <w:lang w:val="en-US"/>
        </w:rPr>
      </w:pPr>
      <w:r w:rsidRPr="00BD295E">
        <w:rPr>
          <w:rFonts w:ascii="Arial" w:hAnsi="Arial" w:cs="Arial"/>
          <w:sz w:val="18"/>
          <w:szCs w:val="18"/>
          <w:lang w:val="en-US"/>
        </w:rPr>
        <w:t xml:space="preserve">The Committee also reviewed matters related to the approval of HR decisions with respect to key employees of the Company, and approved the composition of the young talent pool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373E00F8" w14:textId="77777777" w:rsidR="00F3260C" w:rsidRPr="00BD295E" w:rsidRDefault="00F3260C" w:rsidP="00A30013">
      <w:pPr>
        <w:tabs>
          <w:tab w:val="left" w:pos="360"/>
        </w:tabs>
        <w:jc w:val="both"/>
        <w:rPr>
          <w:rFonts w:ascii="Arial" w:hAnsi="Arial" w:cs="Arial"/>
          <w:b/>
          <w:sz w:val="18"/>
          <w:szCs w:val="18"/>
          <w:lang w:val="en-US"/>
        </w:rPr>
      </w:pPr>
    </w:p>
    <w:p w14:paraId="60B80534" w14:textId="77777777" w:rsidR="00F3260C" w:rsidRPr="00BD295E" w:rsidRDefault="008A5057" w:rsidP="00A30013">
      <w:pPr>
        <w:rPr>
          <w:rFonts w:ascii="Arial" w:hAnsi="Arial" w:cs="Arial"/>
          <w:b/>
          <w:sz w:val="18"/>
          <w:szCs w:val="18"/>
          <w:lang w:val="en-US"/>
        </w:rPr>
      </w:pPr>
      <w:r w:rsidRPr="00BD295E">
        <w:rPr>
          <w:rFonts w:ascii="Arial" w:hAnsi="Arial" w:cs="Arial"/>
          <w:b/>
          <w:sz w:val="18"/>
          <w:szCs w:val="18"/>
          <w:lang w:val="en-US"/>
        </w:rPr>
        <w:t>Report of the Grid Connection Committee</w:t>
      </w:r>
    </w:p>
    <w:p w14:paraId="0EAC974D" w14:textId="77777777" w:rsidR="00F3260C" w:rsidRPr="00BD295E" w:rsidRDefault="00F3260C" w:rsidP="00A30013">
      <w:pPr>
        <w:jc w:val="both"/>
        <w:rPr>
          <w:rFonts w:ascii="Arial" w:hAnsi="Arial" w:cs="Arial"/>
          <w:sz w:val="18"/>
          <w:szCs w:val="18"/>
          <w:lang w:val="en-US"/>
        </w:rPr>
      </w:pPr>
    </w:p>
    <w:p w14:paraId="0E351EAC" w14:textId="77777777" w:rsidR="00F3260C" w:rsidRPr="00BD295E" w:rsidRDefault="008A5057" w:rsidP="00A30013">
      <w:pPr>
        <w:jc w:val="both"/>
        <w:rPr>
          <w:rFonts w:ascii="Arial" w:hAnsi="Arial" w:cs="Arial"/>
          <w:sz w:val="18"/>
          <w:szCs w:val="18"/>
          <w:lang w:val="en-US"/>
        </w:rPr>
      </w:pPr>
      <w:r w:rsidRPr="00BD295E">
        <w:rPr>
          <w:rFonts w:ascii="Arial" w:hAnsi="Arial" w:cs="Arial"/>
          <w:sz w:val="18"/>
          <w:szCs w:val="18"/>
          <w:lang w:val="en-US"/>
        </w:rPr>
        <w:t>The key goal of the Grid Connection Committee of the Board of Directors consists in ensuring transparent operations and non-discriminatory access by consumers to grid connection services of the Company.</w:t>
      </w:r>
    </w:p>
    <w:p w14:paraId="26E65AB8" w14:textId="77777777" w:rsidR="00F3260C" w:rsidRPr="00BD295E" w:rsidRDefault="008A5057" w:rsidP="00A30013">
      <w:pPr>
        <w:jc w:val="both"/>
        <w:rPr>
          <w:rFonts w:ascii="Arial" w:hAnsi="Arial" w:cs="Arial"/>
          <w:sz w:val="18"/>
          <w:szCs w:val="18"/>
          <w:lang w:val="en-US"/>
        </w:rPr>
      </w:pPr>
      <w:r w:rsidRPr="00BD295E">
        <w:rPr>
          <w:rFonts w:ascii="Arial" w:hAnsi="Arial" w:cs="Arial"/>
          <w:sz w:val="18"/>
          <w:szCs w:val="18"/>
          <w:lang w:val="en-US"/>
        </w:rPr>
        <w:t xml:space="preserve">The Committee operates in line with the Regulations for the Grid Connection Committee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approved by the Resolution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9, 2009 (Minutes No. 8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10, 2009) as amended and approved by the Resolution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July 17, 2017 (Minutes No. 5 </w:t>
      </w:r>
      <w:r w:rsidR="008B183C" w:rsidRPr="00BD295E">
        <w:rPr>
          <w:rFonts w:ascii="Arial" w:hAnsi="Arial" w:cs="Arial"/>
          <w:sz w:val="18"/>
          <w:szCs w:val="18"/>
          <w:lang w:val="en-US"/>
        </w:rPr>
        <w:t>of</w:t>
      </w:r>
      <w:r w:rsidRPr="00BD295E">
        <w:rPr>
          <w:rFonts w:ascii="Arial" w:hAnsi="Arial" w:cs="Arial"/>
          <w:sz w:val="18"/>
          <w:szCs w:val="18"/>
          <w:lang w:val="en-US"/>
        </w:rPr>
        <w:t xml:space="preserve"> July 20, 2017).</w:t>
      </w:r>
    </w:p>
    <w:p w14:paraId="6E32FB17" w14:textId="77777777" w:rsidR="00F3260C" w:rsidRPr="00BD295E" w:rsidRDefault="008A5057" w:rsidP="00A30013">
      <w:pPr>
        <w:jc w:val="both"/>
        <w:rPr>
          <w:rFonts w:ascii="Arial" w:hAnsi="Arial" w:cs="Arial"/>
          <w:sz w:val="18"/>
          <w:szCs w:val="18"/>
          <w:lang w:val="en-US"/>
        </w:rPr>
      </w:pPr>
      <w:r w:rsidRPr="00BD295E">
        <w:rPr>
          <w:rFonts w:ascii="Arial" w:hAnsi="Arial" w:cs="Arial"/>
          <w:sz w:val="18"/>
          <w:szCs w:val="18"/>
          <w:lang w:val="en-US"/>
        </w:rPr>
        <w:t xml:space="preserve">Principal tasks of the Committee: </w:t>
      </w:r>
    </w:p>
    <w:p w14:paraId="34D78EAD" w14:textId="77777777" w:rsidR="00F3260C" w:rsidRPr="00BD295E" w:rsidRDefault="008A5057" w:rsidP="00A30013">
      <w:pPr>
        <w:jc w:val="both"/>
        <w:rPr>
          <w:rFonts w:ascii="Arial" w:hAnsi="Arial" w:cs="Arial"/>
          <w:sz w:val="18"/>
          <w:szCs w:val="18"/>
          <w:lang w:val="en-US"/>
        </w:rPr>
      </w:pPr>
      <w:r w:rsidRPr="00BD295E">
        <w:rPr>
          <w:rFonts w:ascii="Arial" w:hAnsi="Arial" w:cs="Arial"/>
          <w:sz w:val="18"/>
          <w:szCs w:val="18"/>
          <w:lang w:val="en-US"/>
        </w:rPr>
        <w:t xml:space="preserve">- Developing recommendations for the Board on improving the Company’s internal regulations and standards to ensure non-discriminatory access by consumers to grid connection services; </w:t>
      </w:r>
    </w:p>
    <w:p w14:paraId="4C895D49" w14:textId="77777777" w:rsidR="00F3260C" w:rsidRPr="00BD295E" w:rsidRDefault="008A5057" w:rsidP="00A30013">
      <w:pPr>
        <w:jc w:val="both"/>
        <w:rPr>
          <w:rFonts w:ascii="Arial" w:hAnsi="Arial" w:cs="Arial"/>
          <w:sz w:val="18"/>
          <w:szCs w:val="18"/>
          <w:lang w:val="en-US"/>
        </w:rPr>
      </w:pPr>
      <w:r w:rsidRPr="00BD295E">
        <w:rPr>
          <w:rFonts w:ascii="Arial" w:hAnsi="Arial" w:cs="Arial"/>
          <w:sz w:val="18"/>
          <w:szCs w:val="18"/>
          <w:lang w:val="en-US"/>
        </w:rPr>
        <w:t>- Assessing the Company’s performance in providing gird connection services to consumers.</w:t>
      </w:r>
    </w:p>
    <w:p w14:paraId="4CCC9C93" w14:textId="77777777" w:rsidR="00F3260C" w:rsidRPr="00BD295E" w:rsidRDefault="00F3260C" w:rsidP="00A30013">
      <w:pPr>
        <w:jc w:val="both"/>
        <w:rPr>
          <w:rFonts w:ascii="Arial" w:hAnsi="Arial" w:cs="Arial"/>
          <w:sz w:val="18"/>
          <w:szCs w:val="18"/>
          <w:lang w:val="en-US"/>
        </w:rPr>
      </w:pPr>
    </w:p>
    <w:p w14:paraId="609F922F" w14:textId="25D6058F" w:rsidR="00F3260C" w:rsidRPr="00BD295E" w:rsidRDefault="008A5057" w:rsidP="00A30013">
      <w:pPr>
        <w:jc w:val="both"/>
        <w:rPr>
          <w:rFonts w:ascii="Arial" w:hAnsi="Arial" w:cs="Arial"/>
          <w:b/>
          <w:sz w:val="18"/>
          <w:szCs w:val="18"/>
          <w:lang w:val="en-US"/>
        </w:rPr>
      </w:pPr>
      <w:r w:rsidRPr="00BD295E">
        <w:rPr>
          <w:rFonts w:ascii="Arial" w:hAnsi="Arial" w:cs="Arial"/>
          <w:b/>
          <w:sz w:val="18"/>
          <w:szCs w:val="18"/>
          <w:lang w:val="en-US"/>
        </w:rPr>
        <w:t xml:space="preserve">The current membership of the Grid Connection Committee of the Company’s Board of Directors was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6, 2018 (Minutes No. 5 </w:t>
      </w:r>
      <w:r w:rsidR="008B183C" w:rsidRPr="00BD295E">
        <w:rPr>
          <w:rFonts w:ascii="Arial" w:hAnsi="Arial" w:cs="Arial"/>
          <w:b/>
          <w:sz w:val="18"/>
          <w:szCs w:val="18"/>
          <w:lang w:val="en-US"/>
        </w:rPr>
        <w:t>of</w:t>
      </w:r>
      <w:r w:rsidRPr="00BD295E">
        <w:rPr>
          <w:rFonts w:ascii="Arial" w:hAnsi="Arial" w:cs="Arial"/>
          <w:b/>
          <w:sz w:val="18"/>
          <w:szCs w:val="18"/>
          <w:lang w:val="en-US"/>
        </w:rPr>
        <w:t xml:space="preserve"> August 9, 2018</w:t>
      </w:r>
      <w:r w:rsidR="002C3947" w:rsidRPr="00BD295E">
        <w:rPr>
          <w:rFonts w:ascii="Arial" w:hAnsi="Arial" w:cs="Arial"/>
          <w:b/>
          <w:sz w:val="18"/>
          <w:szCs w:val="18"/>
          <w:lang w:val="en-US"/>
        </w:rPr>
        <w:t>)*:</w:t>
      </w:r>
    </w:p>
    <w:p w14:paraId="64B80CA8" w14:textId="77777777" w:rsidR="00F3260C" w:rsidRPr="00BD295E" w:rsidRDefault="00F3260C" w:rsidP="00F3260C">
      <w:pPr>
        <w:jc w:val="both"/>
        <w:rPr>
          <w:rFonts w:ascii="Arial" w:hAnsi="Arial" w:cs="Arial"/>
          <w:b/>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092"/>
        <w:gridCol w:w="5747"/>
      </w:tblGrid>
      <w:tr w:rsidR="008A5057" w:rsidRPr="00BD295E" w14:paraId="654C7F3A" w14:textId="77777777" w:rsidTr="00E3510B">
        <w:tc>
          <w:tcPr>
            <w:tcW w:w="437" w:type="dxa"/>
            <w:shd w:val="clear" w:color="auto" w:fill="auto"/>
          </w:tcPr>
          <w:p w14:paraId="03CA8557"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15" w:type="dxa"/>
            <w:shd w:val="clear" w:color="auto" w:fill="auto"/>
          </w:tcPr>
          <w:p w14:paraId="0B6A1B32"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92" w:type="dxa"/>
            <w:shd w:val="clear" w:color="auto" w:fill="auto"/>
          </w:tcPr>
          <w:p w14:paraId="00A216AC"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6AA785E1" w14:textId="77777777" w:rsidTr="00E3510B">
        <w:tc>
          <w:tcPr>
            <w:tcW w:w="9344" w:type="dxa"/>
            <w:gridSpan w:val="3"/>
            <w:shd w:val="clear" w:color="auto" w:fill="auto"/>
          </w:tcPr>
          <w:p w14:paraId="42B9BD7F"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258E25B6" w14:textId="77777777" w:rsidTr="00E3510B">
        <w:tc>
          <w:tcPr>
            <w:tcW w:w="437" w:type="dxa"/>
            <w:shd w:val="clear" w:color="auto" w:fill="auto"/>
          </w:tcPr>
          <w:p w14:paraId="37C7F34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15" w:type="dxa"/>
            <w:shd w:val="clear" w:color="auto" w:fill="auto"/>
          </w:tcPr>
          <w:p w14:paraId="0CCD1C9A"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Aleksandr Pyatigor</w:t>
            </w:r>
          </w:p>
        </w:tc>
        <w:tc>
          <w:tcPr>
            <w:tcW w:w="5792" w:type="dxa"/>
            <w:shd w:val="clear" w:color="auto" w:fill="auto"/>
            <w:vAlign w:val="center"/>
          </w:tcPr>
          <w:p w14:paraId="33CEF4B2"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CEO for Development and Sales of Services at </w:t>
            </w:r>
            <w:r w:rsidR="00BF106F" w:rsidRPr="00BD295E">
              <w:rPr>
                <w:rFonts w:ascii="Arial" w:hAnsi="Arial" w:cs="Arial"/>
                <w:snapToGrid w:val="0"/>
                <w:sz w:val="18"/>
                <w:szCs w:val="18"/>
                <w:lang w:val="en-US"/>
              </w:rPr>
              <w:t>PJSC “Rosseti”</w:t>
            </w:r>
          </w:p>
        </w:tc>
      </w:tr>
      <w:tr w:rsidR="008A5057" w:rsidRPr="00BD295E" w14:paraId="7179B027" w14:textId="77777777" w:rsidTr="00E3510B">
        <w:tc>
          <w:tcPr>
            <w:tcW w:w="9344" w:type="dxa"/>
            <w:gridSpan w:val="3"/>
            <w:shd w:val="clear" w:color="auto" w:fill="auto"/>
          </w:tcPr>
          <w:p w14:paraId="594970D0"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7512F51B" w14:textId="77777777" w:rsidTr="00E3510B">
        <w:tc>
          <w:tcPr>
            <w:tcW w:w="437" w:type="dxa"/>
            <w:shd w:val="clear" w:color="auto" w:fill="auto"/>
          </w:tcPr>
          <w:p w14:paraId="6467CB24"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15" w:type="dxa"/>
            <w:shd w:val="clear" w:color="auto" w:fill="auto"/>
          </w:tcPr>
          <w:p w14:paraId="7CE91165"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Aleksandr Korneev</w:t>
            </w:r>
          </w:p>
        </w:tc>
        <w:tc>
          <w:tcPr>
            <w:tcW w:w="5792" w:type="dxa"/>
            <w:shd w:val="clear" w:color="auto" w:fill="auto"/>
          </w:tcPr>
          <w:p w14:paraId="144D506C" w14:textId="408841BA"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Director of the Grid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and Grid Connection Department at </w:t>
            </w:r>
            <w:r w:rsidR="00BF106F" w:rsidRPr="00BD295E">
              <w:rPr>
                <w:rFonts w:ascii="Arial" w:hAnsi="Arial" w:cs="Arial"/>
                <w:snapToGrid w:val="0"/>
                <w:sz w:val="18"/>
                <w:szCs w:val="18"/>
                <w:lang w:val="en-US"/>
              </w:rPr>
              <w:t>PJSC “Rosseti”</w:t>
            </w:r>
          </w:p>
        </w:tc>
      </w:tr>
      <w:tr w:rsidR="008A5057" w:rsidRPr="00BD295E" w14:paraId="46DE4EBE" w14:textId="77777777" w:rsidTr="00E3510B">
        <w:tc>
          <w:tcPr>
            <w:tcW w:w="437" w:type="dxa"/>
            <w:shd w:val="clear" w:color="auto" w:fill="auto"/>
          </w:tcPr>
          <w:p w14:paraId="7351FDA6"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15" w:type="dxa"/>
            <w:shd w:val="clear" w:color="auto" w:fill="auto"/>
          </w:tcPr>
          <w:p w14:paraId="2B7CB86D"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Pavel Dyakov</w:t>
            </w:r>
          </w:p>
        </w:tc>
        <w:tc>
          <w:tcPr>
            <w:tcW w:w="5792" w:type="dxa"/>
            <w:shd w:val="clear" w:color="auto" w:fill="auto"/>
          </w:tcPr>
          <w:p w14:paraId="6ABBEF75"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CEO for Service Delivery and Development at </w:t>
            </w:r>
            <w:r w:rsidR="00EE5753" w:rsidRPr="00BD295E">
              <w:rPr>
                <w:rFonts w:ascii="Arial" w:hAnsi="Arial" w:cs="Arial"/>
                <w:snapToGrid w:val="0"/>
                <w:sz w:val="18"/>
                <w:szCs w:val="18"/>
                <w:lang w:val="en-US"/>
              </w:rPr>
              <w:t>PJSC “Lenenergo”</w:t>
            </w:r>
          </w:p>
        </w:tc>
      </w:tr>
      <w:tr w:rsidR="008A5057" w:rsidRPr="00BD295E" w14:paraId="413175A2" w14:textId="77777777" w:rsidTr="00E3510B">
        <w:tc>
          <w:tcPr>
            <w:tcW w:w="437" w:type="dxa"/>
            <w:shd w:val="clear" w:color="auto" w:fill="auto"/>
          </w:tcPr>
          <w:p w14:paraId="597FB6CC"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15" w:type="dxa"/>
            <w:shd w:val="clear" w:color="auto" w:fill="auto"/>
          </w:tcPr>
          <w:p w14:paraId="13949FE8"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Snezhana Kitayeva</w:t>
            </w:r>
          </w:p>
        </w:tc>
        <w:tc>
          <w:tcPr>
            <w:tcW w:w="5792" w:type="dxa"/>
            <w:shd w:val="clear" w:color="auto" w:fill="auto"/>
          </w:tcPr>
          <w:p w14:paraId="47C73B0E"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Advisor to CEO for Engagement with Customers at </w:t>
            </w:r>
            <w:r w:rsidR="00EE5753" w:rsidRPr="00BD295E">
              <w:rPr>
                <w:rFonts w:ascii="Arial" w:hAnsi="Arial" w:cs="Arial"/>
                <w:snapToGrid w:val="0"/>
                <w:sz w:val="18"/>
                <w:szCs w:val="18"/>
                <w:lang w:val="en-US"/>
              </w:rPr>
              <w:t>PJSC “Lenenergo”</w:t>
            </w:r>
          </w:p>
        </w:tc>
      </w:tr>
      <w:tr w:rsidR="008A5057" w:rsidRPr="00BD295E" w14:paraId="7368DE4E" w14:textId="77777777" w:rsidTr="00E3510B">
        <w:tc>
          <w:tcPr>
            <w:tcW w:w="437" w:type="dxa"/>
            <w:shd w:val="clear" w:color="auto" w:fill="auto"/>
          </w:tcPr>
          <w:p w14:paraId="217A90C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15" w:type="dxa"/>
            <w:shd w:val="clear" w:color="auto" w:fill="auto"/>
          </w:tcPr>
          <w:p w14:paraId="76103233"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Yelena Kapustina</w:t>
            </w:r>
          </w:p>
        </w:tc>
        <w:tc>
          <w:tcPr>
            <w:tcW w:w="5792" w:type="dxa"/>
            <w:shd w:val="clear" w:color="auto" w:fill="auto"/>
          </w:tcPr>
          <w:p w14:paraId="6662B28E"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Chairman of the Entrepreneurship and Consumer Market Development Committee of Saint Petersburg</w:t>
            </w:r>
          </w:p>
        </w:tc>
      </w:tr>
      <w:tr w:rsidR="008A5057" w:rsidRPr="00BD295E" w14:paraId="41BC1274" w14:textId="77777777" w:rsidTr="00E3510B">
        <w:tc>
          <w:tcPr>
            <w:tcW w:w="437" w:type="dxa"/>
            <w:shd w:val="clear" w:color="auto" w:fill="auto"/>
          </w:tcPr>
          <w:p w14:paraId="192545A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3115" w:type="dxa"/>
            <w:shd w:val="clear" w:color="auto" w:fill="auto"/>
          </w:tcPr>
          <w:p w14:paraId="45EEFB0E"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Roman Kanivtsov</w:t>
            </w:r>
          </w:p>
        </w:tc>
        <w:tc>
          <w:tcPr>
            <w:tcW w:w="5792" w:type="dxa"/>
            <w:shd w:val="clear" w:color="auto" w:fill="auto"/>
            <w:vAlign w:val="center"/>
          </w:tcPr>
          <w:p w14:paraId="7C220F90"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Head of the Electricity Industry Tariff Regulation Unit at the Tariff Regulation Division of the Tariffs Committee of Saint Petersburg</w:t>
            </w:r>
          </w:p>
        </w:tc>
      </w:tr>
      <w:tr w:rsidR="008A5057" w:rsidRPr="00BD295E" w14:paraId="4F63B18A" w14:textId="77777777" w:rsidTr="00E3510B">
        <w:tc>
          <w:tcPr>
            <w:tcW w:w="437" w:type="dxa"/>
            <w:shd w:val="clear" w:color="auto" w:fill="auto"/>
          </w:tcPr>
          <w:p w14:paraId="671CD1D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w:t>
            </w:r>
          </w:p>
        </w:tc>
        <w:tc>
          <w:tcPr>
            <w:tcW w:w="3115" w:type="dxa"/>
            <w:shd w:val="clear" w:color="auto" w:fill="auto"/>
          </w:tcPr>
          <w:p w14:paraId="57AA2B6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Valery Uskov</w:t>
            </w:r>
          </w:p>
        </w:tc>
        <w:tc>
          <w:tcPr>
            <w:tcW w:w="5792" w:type="dxa"/>
            <w:shd w:val="clear" w:color="auto" w:fill="auto"/>
          </w:tcPr>
          <w:p w14:paraId="3650A8AC" w14:textId="50E114B4"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Project Support Unit of the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Division at the Energy and Engineering Support Committee of Saint Petersburg</w:t>
            </w:r>
          </w:p>
        </w:tc>
      </w:tr>
    </w:tbl>
    <w:p w14:paraId="3E9ED9EB" w14:textId="77777777" w:rsidR="00F3260C" w:rsidRPr="00BD295E" w:rsidRDefault="00F3260C" w:rsidP="00F3260C">
      <w:pPr>
        <w:jc w:val="both"/>
        <w:rPr>
          <w:rFonts w:ascii="Arial" w:hAnsi="Arial" w:cs="Arial"/>
          <w:b/>
          <w:sz w:val="18"/>
          <w:szCs w:val="18"/>
          <w:lang w:val="en-US"/>
        </w:rPr>
      </w:pPr>
    </w:p>
    <w:p w14:paraId="6F1ADD97" w14:textId="77777777"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Composition of the Grid Connection Committee of the Company’s Board of Directors in 2018</w:t>
      </w:r>
    </w:p>
    <w:p w14:paraId="74B3E629" w14:textId="77777777" w:rsidR="00F3260C" w:rsidRPr="00BD295E" w:rsidRDefault="00F3260C" w:rsidP="00F3260C">
      <w:pPr>
        <w:jc w:val="both"/>
        <w:rPr>
          <w:rFonts w:ascii="Arial" w:hAnsi="Arial" w:cs="Arial"/>
          <w:b/>
          <w:sz w:val="18"/>
          <w:szCs w:val="18"/>
          <w:lang w:val="en-US"/>
        </w:rPr>
      </w:pPr>
    </w:p>
    <w:p w14:paraId="349199EC" w14:textId="7A99C074" w:rsidR="00F3260C" w:rsidRPr="00BD295E" w:rsidRDefault="008A5057" w:rsidP="00F3260C">
      <w:pPr>
        <w:ind w:firstLine="567"/>
        <w:jc w:val="both"/>
        <w:rPr>
          <w:rFonts w:ascii="Arial" w:hAnsi="Arial" w:cs="Arial"/>
          <w:b/>
          <w:sz w:val="18"/>
          <w:szCs w:val="18"/>
          <w:lang w:val="en-US"/>
        </w:rPr>
      </w:pPr>
      <w:r w:rsidRPr="00BD295E">
        <w:rPr>
          <w:rFonts w:ascii="Arial" w:hAnsi="Arial" w:cs="Arial"/>
          <w:b/>
          <w:sz w:val="18"/>
          <w:szCs w:val="18"/>
          <w:lang w:val="en-US"/>
        </w:rPr>
        <w:t xml:space="preserve">The membership of the Grid Connection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July 17, 2017 (Minutes No. 5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July 20, 2017</w:t>
      </w:r>
      <w:r w:rsidR="002C3947" w:rsidRPr="00BD295E">
        <w:rPr>
          <w:rFonts w:ascii="Arial" w:hAnsi="Arial" w:cs="Arial"/>
          <w:b/>
          <w:sz w:val="18"/>
          <w:szCs w:val="18"/>
          <w:lang w:val="en-US"/>
        </w:rPr>
        <w:t>)*:</w:t>
      </w:r>
    </w:p>
    <w:p w14:paraId="50CAC348" w14:textId="77777777" w:rsidR="00F3260C" w:rsidRPr="00BD295E" w:rsidRDefault="00F3260C" w:rsidP="00F3260C">
      <w:pPr>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095"/>
        <w:gridCol w:w="5744"/>
      </w:tblGrid>
      <w:tr w:rsidR="008A5057" w:rsidRPr="00BD295E" w14:paraId="1C2C25F5" w14:textId="77777777" w:rsidTr="00E3510B">
        <w:tc>
          <w:tcPr>
            <w:tcW w:w="437" w:type="dxa"/>
            <w:shd w:val="clear" w:color="auto" w:fill="auto"/>
          </w:tcPr>
          <w:p w14:paraId="0DB2851D"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17" w:type="dxa"/>
            <w:shd w:val="clear" w:color="auto" w:fill="auto"/>
          </w:tcPr>
          <w:p w14:paraId="14A968DA"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90" w:type="dxa"/>
            <w:shd w:val="clear" w:color="auto" w:fill="auto"/>
          </w:tcPr>
          <w:p w14:paraId="42283954"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242A5F73" w14:textId="77777777" w:rsidTr="00E3510B">
        <w:tc>
          <w:tcPr>
            <w:tcW w:w="9344" w:type="dxa"/>
            <w:gridSpan w:val="3"/>
            <w:shd w:val="clear" w:color="auto" w:fill="auto"/>
          </w:tcPr>
          <w:p w14:paraId="64B8E4B2"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0F699F85" w14:textId="77777777" w:rsidTr="00E3510B">
        <w:tc>
          <w:tcPr>
            <w:tcW w:w="437" w:type="dxa"/>
            <w:shd w:val="clear" w:color="auto" w:fill="auto"/>
          </w:tcPr>
          <w:p w14:paraId="089C900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17" w:type="dxa"/>
            <w:shd w:val="clear" w:color="auto" w:fill="auto"/>
          </w:tcPr>
          <w:p w14:paraId="794D25F1"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Pavel Dyakov</w:t>
            </w:r>
          </w:p>
        </w:tc>
        <w:tc>
          <w:tcPr>
            <w:tcW w:w="5790" w:type="dxa"/>
            <w:shd w:val="clear" w:color="auto" w:fill="auto"/>
          </w:tcPr>
          <w:p w14:paraId="1FB57581"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CEO for Service Delivery and Development at </w:t>
            </w:r>
            <w:r w:rsidR="00EE5753" w:rsidRPr="00BD295E">
              <w:rPr>
                <w:rFonts w:ascii="Arial" w:hAnsi="Arial" w:cs="Arial"/>
                <w:snapToGrid w:val="0"/>
                <w:sz w:val="18"/>
                <w:szCs w:val="18"/>
                <w:lang w:val="en-US"/>
              </w:rPr>
              <w:t>PJSC “Lenenergo”</w:t>
            </w:r>
          </w:p>
        </w:tc>
      </w:tr>
      <w:tr w:rsidR="008A5057" w:rsidRPr="00BD295E" w14:paraId="066A0CD3" w14:textId="77777777" w:rsidTr="00E3510B">
        <w:tc>
          <w:tcPr>
            <w:tcW w:w="9344" w:type="dxa"/>
            <w:gridSpan w:val="3"/>
            <w:shd w:val="clear" w:color="auto" w:fill="auto"/>
          </w:tcPr>
          <w:p w14:paraId="621979FF"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6AE94F75" w14:textId="77777777" w:rsidTr="00E3510B">
        <w:tc>
          <w:tcPr>
            <w:tcW w:w="437" w:type="dxa"/>
            <w:shd w:val="clear" w:color="auto" w:fill="auto"/>
          </w:tcPr>
          <w:p w14:paraId="2D7A9E52"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17" w:type="dxa"/>
            <w:shd w:val="clear" w:color="auto" w:fill="auto"/>
          </w:tcPr>
          <w:p w14:paraId="541874F2"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Aleksandr Korneev</w:t>
            </w:r>
          </w:p>
        </w:tc>
        <w:tc>
          <w:tcPr>
            <w:tcW w:w="5790" w:type="dxa"/>
            <w:shd w:val="clear" w:color="auto" w:fill="auto"/>
            <w:vAlign w:val="center"/>
          </w:tcPr>
          <w:p w14:paraId="494B5ADB" w14:textId="75EC984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Director of the Grid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and Grid Connection Department at </w:t>
            </w:r>
            <w:r w:rsidR="00BF106F" w:rsidRPr="00BD295E">
              <w:rPr>
                <w:rFonts w:ascii="Arial" w:hAnsi="Arial" w:cs="Arial"/>
                <w:snapToGrid w:val="0"/>
                <w:sz w:val="18"/>
                <w:szCs w:val="18"/>
                <w:lang w:val="en-US"/>
              </w:rPr>
              <w:t>PJSC “Rosseti”</w:t>
            </w:r>
          </w:p>
        </w:tc>
      </w:tr>
      <w:tr w:rsidR="008A5057" w:rsidRPr="00BD295E" w14:paraId="6C511E56" w14:textId="77777777" w:rsidTr="00E3510B">
        <w:tc>
          <w:tcPr>
            <w:tcW w:w="437" w:type="dxa"/>
            <w:shd w:val="clear" w:color="auto" w:fill="auto"/>
          </w:tcPr>
          <w:p w14:paraId="139A3BC9"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17" w:type="dxa"/>
            <w:shd w:val="clear" w:color="auto" w:fill="auto"/>
          </w:tcPr>
          <w:p w14:paraId="1EF4404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Denis Sokolov</w:t>
            </w:r>
          </w:p>
        </w:tc>
        <w:tc>
          <w:tcPr>
            <w:tcW w:w="5790" w:type="dxa"/>
            <w:shd w:val="clear" w:color="auto" w:fill="auto"/>
          </w:tcPr>
          <w:p w14:paraId="1B5378E1" w14:textId="443AA3E6"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Chief Expert of the Grid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and Grid Connection Department at </w:t>
            </w:r>
            <w:r w:rsidR="00BF106F" w:rsidRPr="00BD295E">
              <w:rPr>
                <w:rFonts w:ascii="Arial" w:hAnsi="Arial" w:cs="Arial"/>
                <w:snapToGrid w:val="0"/>
                <w:sz w:val="18"/>
                <w:szCs w:val="18"/>
                <w:lang w:val="en-US"/>
              </w:rPr>
              <w:t>PJSC “Rosseti”</w:t>
            </w:r>
          </w:p>
        </w:tc>
      </w:tr>
      <w:tr w:rsidR="008A5057" w:rsidRPr="00BD295E" w14:paraId="30967B0C" w14:textId="77777777" w:rsidTr="00E3510B">
        <w:tc>
          <w:tcPr>
            <w:tcW w:w="437" w:type="dxa"/>
            <w:shd w:val="clear" w:color="auto" w:fill="auto"/>
          </w:tcPr>
          <w:p w14:paraId="7F05B7D5"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17" w:type="dxa"/>
            <w:shd w:val="clear" w:color="auto" w:fill="auto"/>
          </w:tcPr>
          <w:p w14:paraId="196A6A7B"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Natalia Sokolova</w:t>
            </w:r>
          </w:p>
        </w:tc>
        <w:tc>
          <w:tcPr>
            <w:tcW w:w="5790" w:type="dxa"/>
            <w:shd w:val="clear" w:color="auto" w:fill="auto"/>
          </w:tcPr>
          <w:p w14:paraId="2283AD27" w14:textId="4EA93BB9"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Chief Expert of the Grid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and Grid Connection Department at </w:t>
            </w:r>
            <w:r w:rsidR="00BF106F" w:rsidRPr="00BD295E">
              <w:rPr>
                <w:rFonts w:ascii="Arial" w:hAnsi="Arial" w:cs="Arial"/>
                <w:snapToGrid w:val="0"/>
                <w:sz w:val="18"/>
                <w:szCs w:val="18"/>
                <w:lang w:val="en-US"/>
              </w:rPr>
              <w:t>PJSC “Rosseti”</w:t>
            </w:r>
          </w:p>
        </w:tc>
      </w:tr>
      <w:tr w:rsidR="008A5057" w:rsidRPr="00BD295E" w14:paraId="6A9667BB" w14:textId="77777777" w:rsidTr="00E3510B">
        <w:tc>
          <w:tcPr>
            <w:tcW w:w="437" w:type="dxa"/>
            <w:shd w:val="clear" w:color="auto" w:fill="auto"/>
          </w:tcPr>
          <w:p w14:paraId="17FB58F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17" w:type="dxa"/>
            <w:shd w:val="clear" w:color="auto" w:fill="auto"/>
          </w:tcPr>
          <w:p w14:paraId="209010B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Berik Bekneyev</w:t>
            </w:r>
          </w:p>
        </w:tc>
        <w:tc>
          <w:tcPr>
            <w:tcW w:w="5790" w:type="dxa"/>
            <w:shd w:val="clear" w:color="auto" w:fill="auto"/>
          </w:tcPr>
          <w:p w14:paraId="51DEC773"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Chief Expert of the Investment Department at </w:t>
            </w:r>
            <w:r w:rsidR="00BF106F" w:rsidRPr="00BD295E">
              <w:rPr>
                <w:rFonts w:ascii="Arial" w:hAnsi="Arial" w:cs="Arial"/>
                <w:snapToGrid w:val="0"/>
                <w:sz w:val="18"/>
                <w:szCs w:val="18"/>
                <w:lang w:val="en-US"/>
              </w:rPr>
              <w:t>PJSC “Rosseti”</w:t>
            </w:r>
          </w:p>
        </w:tc>
      </w:tr>
      <w:tr w:rsidR="008A5057" w:rsidRPr="00BD295E" w14:paraId="4E68ADBE" w14:textId="77777777" w:rsidTr="00E3510B">
        <w:tc>
          <w:tcPr>
            <w:tcW w:w="437" w:type="dxa"/>
            <w:shd w:val="clear" w:color="auto" w:fill="auto"/>
          </w:tcPr>
          <w:p w14:paraId="271672C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3117" w:type="dxa"/>
            <w:shd w:val="clear" w:color="auto" w:fill="auto"/>
          </w:tcPr>
          <w:p w14:paraId="233E5A8B"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Yelena Kapustina</w:t>
            </w:r>
          </w:p>
        </w:tc>
        <w:tc>
          <w:tcPr>
            <w:tcW w:w="5790" w:type="dxa"/>
            <w:shd w:val="clear" w:color="auto" w:fill="auto"/>
          </w:tcPr>
          <w:p w14:paraId="2A2451F3"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Head of the Consumer Market Development Division of the Entrepreneurship and Consumer Market Development Committee of Saint Petersburg</w:t>
            </w:r>
          </w:p>
        </w:tc>
      </w:tr>
      <w:tr w:rsidR="008A5057" w:rsidRPr="00BD295E" w14:paraId="1B8A1E96" w14:textId="77777777" w:rsidTr="00E3510B">
        <w:tc>
          <w:tcPr>
            <w:tcW w:w="437" w:type="dxa"/>
            <w:shd w:val="clear" w:color="auto" w:fill="auto"/>
          </w:tcPr>
          <w:p w14:paraId="20DE436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w:t>
            </w:r>
          </w:p>
        </w:tc>
        <w:tc>
          <w:tcPr>
            <w:tcW w:w="3117" w:type="dxa"/>
            <w:shd w:val="clear" w:color="auto" w:fill="auto"/>
          </w:tcPr>
          <w:p w14:paraId="09CC265A"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Roman Kanivtsov</w:t>
            </w:r>
          </w:p>
        </w:tc>
        <w:tc>
          <w:tcPr>
            <w:tcW w:w="5790" w:type="dxa"/>
            <w:shd w:val="clear" w:color="auto" w:fill="auto"/>
            <w:vAlign w:val="center"/>
          </w:tcPr>
          <w:p w14:paraId="77E8080F"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Head of the Electricity Industry Tariff Regulation Unit at the Tariff Regulation Division of the Tariffs Committee of Saint Petersburg</w:t>
            </w:r>
          </w:p>
        </w:tc>
      </w:tr>
      <w:tr w:rsidR="008A5057" w:rsidRPr="00BD295E" w14:paraId="0705B3CC" w14:textId="77777777" w:rsidTr="00E3510B">
        <w:tc>
          <w:tcPr>
            <w:tcW w:w="437" w:type="dxa"/>
            <w:shd w:val="clear" w:color="auto" w:fill="auto"/>
          </w:tcPr>
          <w:p w14:paraId="1CC4332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8</w:t>
            </w:r>
          </w:p>
        </w:tc>
        <w:tc>
          <w:tcPr>
            <w:tcW w:w="3117" w:type="dxa"/>
            <w:shd w:val="clear" w:color="auto" w:fill="auto"/>
          </w:tcPr>
          <w:p w14:paraId="2DEAACF8"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Valery Uskov</w:t>
            </w:r>
          </w:p>
        </w:tc>
        <w:tc>
          <w:tcPr>
            <w:tcW w:w="5790" w:type="dxa"/>
            <w:shd w:val="clear" w:color="auto" w:fill="auto"/>
          </w:tcPr>
          <w:p w14:paraId="1EFA651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Head of the Government Relations and HR Unit of the Energy and Engineering Support Committee of Saint Petersburg</w:t>
            </w:r>
          </w:p>
        </w:tc>
      </w:tr>
      <w:tr w:rsidR="008A5057" w:rsidRPr="00BD295E" w14:paraId="65A86443" w14:textId="77777777" w:rsidTr="00E3510B">
        <w:tc>
          <w:tcPr>
            <w:tcW w:w="437" w:type="dxa"/>
            <w:shd w:val="clear" w:color="auto" w:fill="auto"/>
          </w:tcPr>
          <w:p w14:paraId="00CF5DA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w:t>
            </w:r>
          </w:p>
        </w:tc>
        <w:tc>
          <w:tcPr>
            <w:tcW w:w="3117" w:type="dxa"/>
            <w:shd w:val="clear" w:color="auto" w:fill="auto"/>
          </w:tcPr>
          <w:p w14:paraId="2E494AAE"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Dmitry Mikheyev</w:t>
            </w:r>
          </w:p>
        </w:tc>
        <w:tc>
          <w:tcPr>
            <w:tcW w:w="5790" w:type="dxa"/>
            <w:shd w:val="clear" w:color="auto" w:fill="auto"/>
          </w:tcPr>
          <w:p w14:paraId="4CC2BBB8"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Director of Department – Head of the Electricity Industry Perspective Development of the Electricity Department Development Department of the Russian Ministry of Energy</w:t>
            </w:r>
          </w:p>
        </w:tc>
      </w:tr>
      <w:tr w:rsidR="008A5057" w:rsidRPr="00BD295E" w14:paraId="4654BD38" w14:textId="77777777" w:rsidTr="00E3510B">
        <w:tc>
          <w:tcPr>
            <w:tcW w:w="437" w:type="dxa"/>
            <w:shd w:val="clear" w:color="auto" w:fill="auto"/>
          </w:tcPr>
          <w:p w14:paraId="081B3B6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w:t>
            </w:r>
          </w:p>
        </w:tc>
        <w:tc>
          <w:tcPr>
            <w:tcW w:w="3117" w:type="dxa"/>
            <w:shd w:val="clear" w:color="auto" w:fill="auto"/>
          </w:tcPr>
          <w:p w14:paraId="17C2A8D3"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Igor Korolyov</w:t>
            </w:r>
          </w:p>
        </w:tc>
        <w:tc>
          <w:tcPr>
            <w:tcW w:w="5790" w:type="dxa"/>
            <w:shd w:val="clear" w:color="auto" w:fill="auto"/>
            <w:vAlign w:val="center"/>
          </w:tcPr>
          <w:p w14:paraId="21D3684B"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Head of the Connection and Classification Sector of the Energy Committee of the Leningrad Region</w:t>
            </w:r>
          </w:p>
        </w:tc>
      </w:tr>
      <w:tr w:rsidR="008A5057" w:rsidRPr="00BD295E" w14:paraId="7B2406DF" w14:textId="77777777" w:rsidTr="00E3510B">
        <w:tc>
          <w:tcPr>
            <w:tcW w:w="437" w:type="dxa"/>
            <w:shd w:val="clear" w:color="auto" w:fill="auto"/>
          </w:tcPr>
          <w:p w14:paraId="3BEBDB1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11</w:t>
            </w:r>
          </w:p>
        </w:tc>
        <w:tc>
          <w:tcPr>
            <w:tcW w:w="3117" w:type="dxa"/>
            <w:shd w:val="clear" w:color="auto" w:fill="auto"/>
          </w:tcPr>
          <w:p w14:paraId="6241FC91"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Svetlana Prokofyeva</w:t>
            </w:r>
          </w:p>
        </w:tc>
        <w:tc>
          <w:tcPr>
            <w:tcW w:w="5790" w:type="dxa"/>
            <w:shd w:val="clear" w:color="auto" w:fill="auto"/>
          </w:tcPr>
          <w:p w14:paraId="18832B62"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Grid Connection Director of </w:t>
            </w:r>
            <w:r w:rsidR="00EE5753" w:rsidRPr="00BD295E">
              <w:rPr>
                <w:rFonts w:ascii="Arial" w:hAnsi="Arial" w:cs="Arial"/>
                <w:snapToGrid w:val="0"/>
                <w:sz w:val="18"/>
                <w:szCs w:val="18"/>
                <w:lang w:val="en-US"/>
              </w:rPr>
              <w:t>PJSC “Lenenergo”</w:t>
            </w:r>
          </w:p>
        </w:tc>
      </w:tr>
    </w:tbl>
    <w:p w14:paraId="302882A9" w14:textId="77777777" w:rsidR="00F3260C" w:rsidRPr="00BD295E" w:rsidRDefault="00F3260C" w:rsidP="00F3260C">
      <w:pPr>
        <w:ind w:firstLine="567"/>
        <w:jc w:val="both"/>
        <w:rPr>
          <w:rFonts w:ascii="Arial" w:hAnsi="Arial" w:cs="Arial"/>
          <w:b/>
          <w:sz w:val="18"/>
          <w:szCs w:val="18"/>
          <w:lang w:val="en-US"/>
        </w:rPr>
      </w:pPr>
    </w:p>
    <w:p w14:paraId="1D296BBB" w14:textId="7D49DA29" w:rsidR="00F3260C" w:rsidRPr="00BD295E" w:rsidRDefault="008A5057" w:rsidP="00F3260C">
      <w:pPr>
        <w:ind w:firstLine="567"/>
        <w:jc w:val="both"/>
        <w:rPr>
          <w:rFonts w:ascii="Arial" w:hAnsi="Arial" w:cs="Arial"/>
          <w:b/>
          <w:sz w:val="18"/>
          <w:szCs w:val="18"/>
          <w:lang w:val="en-US"/>
        </w:rPr>
      </w:pPr>
      <w:r w:rsidRPr="00BD295E">
        <w:rPr>
          <w:rFonts w:ascii="Arial" w:hAnsi="Arial" w:cs="Arial"/>
          <w:b/>
          <w:sz w:val="18"/>
          <w:szCs w:val="18"/>
          <w:lang w:val="en-US"/>
        </w:rPr>
        <w:t xml:space="preserve">The membership of the Grid Connection Committee of the Company’s Board of Directors elected by the Resolution of the Board of Directors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21, 2018 (Minutes No. 32 </w:t>
      </w:r>
      <w:r w:rsidR="008B183C" w:rsidRPr="00BD295E">
        <w:rPr>
          <w:rFonts w:ascii="Arial" w:hAnsi="Arial" w:cs="Arial"/>
          <w:b/>
          <w:sz w:val="18"/>
          <w:szCs w:val="18"/>
          <w:lang w:val="en-US"/>
        </w:rPr>
        <w:t>of</w:t>
      </w:r>
      <w:r w:rsidRPr="00BD295E">
        <w:rPr>
          <w:rFonts w:ascii="Arial" w:hAnsi="Arial" w:cs="Arial"/>
          <w:b/>
          <w:sz w:val="18"/>
          <w:szCs w:val="18"/>
          <w:lang w:val="en-US"/>
        </w:rPr>
        <w:t xml:space="preserve"> March 23, 2018</w:t>
      </w:r>
      <w:r w:rsidR="002C3947" w:rsidRPr="00BD295E">
        <w:rPr>
          <w:rFonts w:ascii="Arial" w:hAnsi="Arial" w:cs="Arial"/>
          <w:b/>
          <w:sz w:val="18"/>
          <w:szCs w:val="18"/>
          <w:lang w:val="en-US"/>
        </w:rPr>
        <w:t>)*:</w:t>
      </w:r>
    </w:p>
    <w:p w14:paraId="5916B2B5" w14:textId="77777777" w:rsidR="00F3260C" w:rsidRPr="00BD295E" w:rsidRDefault="00F3260C" w:rsidP="00F3260C">
      <w:pPr>
        <w:jc w:val="both"/>
        <w:rPr>
          <w:rFonts w:ascii="Arial" w:hAnsi="Arial" w:cs="Arial"/>
          <w:b/>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097"/>
        <w:gridCol w:w="5742"/>
      </w:tblGrid>
      <w:tr w:rsidR="008A5057" w:rsidRPr="00BD295E" w14:paraId="23404604" w14:textId="77777777" w:rsidTr="00E3510B">
        <w:tc>
          <w:tcPr>
            <w:tcW w:w="437" w:type="dxa"/>
            <w:shd w:val="clear" w:color="auto" w:fill="auto"/>
          </w:tcPr>
          <w:p w14:paraId="56D2B86C"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117" w:type="dxa"/>
            <w:shd w:val="clear" w:color="auto" w:fill="auto"/>
          </w:tcPr>
          <w:p w14:paraId="6CF9EBF0"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90" w:type="dxa"/>
            <w:shd w:val="clear" w:color="auto" w:fill="auto"/>
          </w:tcPr>
          <w:p w14:paraId="4ADD34D2"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45241A9B" w14:textId="77777777" w:rsidTr="00E3510B">
        <w:tc>
          <w:tcPr>
            <w:tcW w:w="9344" w:type="dxa"/>
            <w:gridSpan w:val="3"/>
            <w:shd w:val="clear" w:color="auto" w:fill="auto"/>
          </w:tcPr>
          <w:p w14:paraId="73CAC63D"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Chairman:</w:t>
            </w:r>
          </w:p>
        </w:tc>
      </w:tr>
      <w:tr w:rsidR="008A5057" w:rsidRPr="00BD295E" w14:paraId="24B3926B" w14:textId="77777777" w:rsidTr="00E3510B">
        <w:tc>
          <w:tcPr>
            <w:tcW w:w="437" w:type="dxa"/>
            <w:shd w:val="clear" w:color="auto" w:fill="auto"/>
          </w:tcPr>
          <w:p w14:paraId="151D7D4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117" w:type="dxa"/>
            <w:shd w:val="clear" w:color="auto" w:fill="auto"/>
          </w:tcPr>
          <w:p w14:paraId="275D00BD"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Pavel Dyakov</w:t>
            </w:r>
          </w:p>
        </w:tc>
        <w:tc>
          <w:tcPr>
            <w:tcW w:w="5790" w:type="dxa"/>
            <w:shd w:val="clear" w:color="auto" w:fill="auto"/>
          </w:tcPr>
          <w:p w14:paraId="35F21F9D"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CEO for Service Delivery and Development at </w:t>
            </w:r>
            <w:r w:rsidR="00EE5753" w:rsidRPr="00BD295E">
              <w:rPr>
                <w:rFonts w:ascii="Arial" w:hAnsi="Arial" w:cs="Arial"/>
                <w:snapToGrid w:val="0"/>
                <w:sz w:val="18"/>
                <w:szCs w:val="18"/>
                <w:lang w:val="en-US"/>
              </w:rPr>
              <w:t>PJSC “Lenenergo”</w:t>
            </w:r>
          </w:p>
        </w:tc>
      </w:tr>
      <w:tr w:rsidR="008A5057" w:rsidRPr="00BD295E" w14:paraId="0CE6373A" w14:textId="77777777" w:rsidTr="00E3510B">
        <w:tc>
          <w:tcPr>
            <w:tcW w:w="9344" w:type="dxa"/>
            <w:gridSpan w:val="3"/>
            <w:shd w:val="clear" w:color="auto" w:fill="auto"/>
          </w:tcPr>
          <w:p w14:paraId="1804D82F"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Committee Members</w:t>
            </w:r>
          </w:p>
        </w:tc>
      </w:tr>
      <w:tr w:rsidR="008A5057" w:rsidRPr="00BD295E" w14:paraId="5406E4DF" w14:textId="77777777" w:rsidTr="00E3510B">
        <w:tc>
          <w:tcPr>
            <w:tcW w:w="437" w:type="dxa"/>
            <w:shd w:val="clear" w:color="auto" w:fill="auto"/>
          </w:tcPr>
          <w:p w14:paraId="76E16FBA"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117" w:type="dxa"/>
            <w:shd w:val="clear" w:color="auto" w:fill="auto"/>
            <w:vAlign w:val="center"/>
          </w:tcPr>
          <w:p w14:paraId="41883399"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Aleksandr Korneev</w:t>
            </w:r>
          </w:p>
        </w:tc>
        <w:tc>
          <w:tcPr>
            <w:tcW w:w="5790" w:type="dxa"/>
            <w:shd w:val="clear" w:color="auto" w:fill="auto"/>
            <w:vAlign w:val="center"/>
          </w:tcPr>
          <w:p w14:paraId="21304655" w14:textId="06AAEF38"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Director of the Grid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and Grid Connection Department at </w:t>
            </w:r>
            <w:r w:rsidR="00BF106F" w:rsidRPr="00BD295E">
              <w:rPr>
                <w:rFonts w:ascii="Arial" w:hAnsi="Arial" w:cs="Arial"/>
                <w:snapToGrid w:val="0"/>
                <w:sz w:val="18"/>
                <w:szCs w:val="18"/>
                <w:lang w:val="en-US"/>
              </w:rPr>
              <w:t>PJSC “Rosseti”</w:t>
            </w:r>
          </w:p>
        </w:tc>
      </w:tr>
      <w:tr w:rsidR="008A5057" w:rsidRPr="00BD295E" w14:paraId="3EEFA518" w14:textId="77777777" w:rsidTr="00E3510B">
        <w:tc>
          <w:tcPr>
            <w:tcW w:w="437" w:type="dxa"/>
            <w:shd w:val="clear" w:color="auto" w:fill="auto"/>
          </w:tcPr>
          <w:p w14:paraId="27872F7B"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117" w:type="dxa"/>
            <w:shd w:val="clear" w:color="auto" w:fill="auto"/>
          </w:tcPr>
          <w:p w14:paraId="08354DD1"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Irina Bogacheva</w:t>
            </w:r>
          </w:p>
        </w:tc>
        <w:tc>
          <w:tcPr>
            <w:tcW w:w="5790" w:type="dxa"/>
            <w:shd w:val="clear" w:color="auto" w:fill="auto"/>
          </w:tcPr>
          <w:p w14:paraId="7FF6ED04" w14:textId="3A68891A"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Chief Expert of the </w:t>
            </w:r>
            <w:r w:rsidR="00BF7D8E" w:rsidRPr="00BD295E">
              <w:rPr>
                <w:rFonts w:ascii="Arial" w:hAnsi="Arial" w:cs="Arial"/>
                <w:snapToGrid w:val="0"/>
                <w:sz w:val="18"/>
                <w:szCs w:val="18"/>
                <w:lang w:val="en-US"/>
              </w:rPr>
              <w:t>Consolidated</w:t>
            </w:r>
            <w:r w:rsidRPr="00BD295E">
              <w:rPr>
                <w:rFonts w:ascii="Arial" w:hAnsi="Arial" w:cs="Arial"/>
                <w:snapToGrid w:val="0"/>
                <w:sz w:val="18"/>
                <w:szCs w:val="18"/>
                <w:lang w:val="en-US"/>
              </w:rPr>
              <w:t xml:space="preserve"> Planning and Reporting Division of the Investment Department at </w:t>
            </w:r>
            <w:r w:rsidR="00BF106F" w:rsidRPr="00BD295E">
              <w:rPr>
                <w:rFonts w:ascii="Arial" w:hAnsi="Arial" w:cs="Arial"/>
                <w:snapToGrid w:val="0"/>
                <w:sz w:val="18"/>
                <w:szCs w:val="18"/>
                <w:lang w:val="en-US"/>
              </w:rPr>
              <w:t>PJSC “Rosseti”</w:t>
            </w:r>
          </w:p>
        </w:tc>
      </w:tr>
      <w:tr w:rsidR="008A5057" w:rsidRPr="00BD295E" w14:paraId="32C71C79" w14:textId="77777777" w:rsidTr="00E3510B">
        <w:tc>
          <w:tcPr>
            <w:tcW w:w="437" w:type="dxa"/>
            <w:shd w:val="clear" w:color="auto" w:fill="auto"/>
          </w:tcPr>
          <w:p w14:paraId="0A9D6044"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117" w:type="dxa"/>
            <w:shd w:val="clear" w:color="auto" w:fill="auto"/>
          </w:tcPr>
          <w:p w14:paraId="5282BC50"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Natalia Sokolova</w:t>
            </w:r>
          </w:p>
        </w:tc>
        <w:tc>
          <w:tcPr>
            <w:tcW w:w="5790" w:type="dxa"/>
            <w:shd w:val="clear" w:color="auto" w:fill="auto"/>
          </w:tcPr>
          <w:p w14:paraId="7C7F17F5"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Deputy Head of the </w:t>
            </w:r>
            <w:r w:rsidR="00BB3AB9" w:rsidRPr="00BD295E">
              <w:rPr>
                <w:rFonts w:ascii="Arial" w:hAnsi="Arial" w:cs="Arial"/>
                <w:snapToGrid w:val="0"/>
                <w:sz w:val="18"/>
                <w:szCs w:val="18"/>
                <w:lang w:val="en-US"/>
              </w:rPr>
              <w:t>Ong-Term</w:t>
            </w:r>
            <w:r w:rsidRPr="00BD295E">
              <w:rPr>
                <w:rFonts w:ascii="Arial" w:hAnsi="Arial" w:cs="Arial"/>
                <w:snapToGrid w:val="0"/>
                <w:sz w:val="18"/>
                <w:szCs w:val="18"/>
                <w:lang w:val="en-US"/>
              </w:rPr>
              <w:t xml:space="preserve"> Grid Development of the </w:t>
            </w:r>
            <w:r w:rsidR="00BB3AB9" w:rsidRPr="00BD295E">
              <w:rPr>
                <w:rFonts w:ascii="Arial" w:hAnsi="Arial" w:cs="Arial"/>
                <w:snapToGrid w:val="0"/>
                <w:sz w:val="18"/>
                <w:szCs w:val="18"/>
                <w:lang w:val="en-US"/>
              </w:rPr>
              <w:t xml:space="preserve">Long-Term </w:t>
            </w:r>
            <w:r w:rsidRPr="00BD295E">
              <w:rPr>
                <w:rFonts w:ascii="Arial" w:hAnsi="Arial" w:cs="Arial"/>
                <w:snapToGrid w:val="0"/>
                <w:sz w:val="18"/>
                <w:szCs w:val="18"/>
                <w:lang w:val="en-US"/>
              </w:rPr>
              <w:t xml:space="preserve">Grid Development and Grid Connection Department at </w:t>
            </w:r>
            <w:r w:rsidR="00BF106F" w:rsidRPr="00BD295E">
              <w:rPr>
                <w:rFonts w:ascii="Arial" w:hAnsi="Arial" w:cs="Arial"/>
                <w:snapToGrid w:val="0"/>
                <w:sz w:val="18"/>
                <w:szCs w:val="18"/>
                <w:lang w:val="en-US"/>
              </w:rPr>
              <w:t>PJSC “Rosseti”</w:t>
            </w:r>
          </w:p>
        </w:tc>
      </w:tr>
      <w:tr w:rsidR="008A5057" w:rsidRPr="00BD295E" w14:paraId="1260C086" w14:textId="77777777" w:rsidTr="00E3510B">
        <w:tc>
          <w:tcPr>
            <w:tcW w:w="437" w:type="dxa"/>
            <w:shd w:val="clear" w:color="auto" w:fill="auto"/>
          </w:tcPr>
          <w:p w14:paraId="1B9C1B3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117" w:type="dxa"/>
            <w:shd w:val="clear" w:color="auto" w:fill="auto"/>
          </w:tcPr>
          <w:p w14:paraId="4ECCA482"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Yelena Arzhanukhina</w:t>
            </w:r>
          </w:p>
        </w:tc>
        <w:tc>
          <w:tcPr>
            <w:tcW w:w="5790" w:type="dxa"/>
            <w:shd w:val="clear" w:color="auto" w:fill="auto"/>
          </w:tcPr>
          <w:p w14:paraId="1BCFEA6B"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Grid Connection Department for the Leningrad Region at </w:t>
            </w:r>
            <w:r w:rsidR="00EE5753" w:rsidRPr="00BD295E">
              <w:rPr>
                <w:rFonts w:ascii="Arial" w:hAnsi="Arial" w:cs="Arial"/>
                <w:snapToGrid w:val="0"/>
                <w:sz w:val="18"/>
                <w:szCs w:val="18"/>
                <w:lang w:val="en-US"/>
              </w:rPr>
              <w:t>PJSC “Lenenergo”</w:t>
            </w:r>
          </w:p>
        </w:tc>
      </w:tr>
      <w:tr w:rsidR="008A5057" w:rsidRPr="00BD295E" w14:paraId="1DBDEA23" w14:textId="77777777" w:rsidTr="00E3510B">
        <w:tc>
          <w:tcPr>
            <w:tcW w:w="437" w:type="dxa"/>
            <w:shd w:val="clear" w:color="auto" w:fill="auto"/>
          </w:tcPr>
          <w:p w14:paraId="24C68A4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w:t>
            </w:r>
          </w:p>
        </w:tc>
        <w:tc>
          <w:tcPr>
            <w:tcW w:w="3117" w:type="dxa"/>
            <w:shd w:val="clear" w:color="auto" w:fill="auto"/>
            <w:vAlign w:val="center"/>
          </w:tcPr>
          <w:p w14:paraId="6FB2B494"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Vyacheslav Kalinin</w:t>
            </w:r>
          </w:p>
        </w:tc>
        <w:tc>
          <w:tcPr>
            <w:tcW w:w="5790" w:type="dxa"/>
            <w:shd w:val="clear" w:color="auto" w:fill="auto"/>
          </w:tcPr>
          <w:p w14:paraId="35C69138"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Grid Connection Department for Saint Petersburg at </w:t>
            </w:r>
            <w:r w:rsidR="00EE5753" w:rsidRPr="00BD295E">
              <w:rPr>
                <w:rFonts w:ascii="Arial" w:hAnsi="Arial" w:cs="Arial"/>
                <w:snapToGrid w:val="0"/>
                <w:sz w:val="18"/>
                <w:szCs w:val="18"/>
                <w:lang w:val="en-US"/>
              </w:rPr>
              <w:t>PJSC “Lenenergo”</w:t>
            </w:r>
          </w:p>
        </w:tc>
      </w:tr>
      <w:tr w:rsidR="008A5057" w:rsidRPr="00BD295E" w14:paraId="5A9571E7" w14:textId="77777777" w:rsidTr="00E3510B">
        <w:tc>
          <w:tcPr>
            <w:tcW w:w="437" w:type="dxa"/>
            <w:shd w:val="clear" w:color="auto" w:fill="auto"/>
          </w:tcPr>
          <w:p w14:paraId="19CBFD8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w:t>
            </w:r>
          </w:p>
        </w:tc>
        <w:tc>
          <w:tcPr>
            <w:tcW w:w="3117" w:type="dxa"/>
            <w:shd w:val="clear" w:color="auto" w:fill="auto"/>
          </w:tcPr>
          <w:p w14:paraId="41CB1D4F"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Snezhana Kitayeva</w:t>
            </w:r>
          </w:p>
        </w:tc>
        <w:tc>
          <w:tcPr>
            <w:tcW w:w="5790" w:type="dxa"/>
            <w:shd w:val="clear" w:color="auto" w:fill="auto"/>
            <w:vAlign w:val="center"/>
          </w:tcPr>
          <w:p w14:paraId="283028AE"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CEO for Grid Connection at Energy Service Company Lenenergo, JSC</w:t>
            </w:r>
          </w:p>
        </w:tc>
      </w:tr>
      <w:tr w:rsidR="008A5057" w:rsidRPr="00BD295E" w14:paraId="002DC3D1" w14:textId="77777777" w:rsidTr="00E3510B">
        <w:tc>
          <w:tcPr>
            <w:tcW w:w="437" w:type="dxa"/>
            <w:shd w:val="clear" w:color="auto" w:fill="auto"/>
          </w:tcPr>
          <w:p w14:paraId="323F8AD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8</w:t>
            </w:r>
          </w:p>
        </w:tc>
        <w:tc>
          <w:tcPr>
            <w:tcW w:w="3117" w:type="dxa"/>
            <w:shd w:val="clear" w:color="auto" w:fill="auto"/>
          </w:tcPr>
          <w:p w14:paraId="4ABDADA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Yelena Kapustina</w:t>
            </w:r>
          </w:p>
        </w:tc>
        <w:tc>
          <w:tcPr>
            <w:tcW w:w="5790" w:type="dxa"/>
            <w:shd w:val="clear" w:color="auto" w:fill="auto"/>
          </w:tcPr>
          <w:p w14:paraId="69BC8456"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Chairman of the Entrepreneurship and Consumer Market Development Committee of Saint Petersburg</w:t>
            </w:r>
          </w:p>
        </w:tc>
      </w:tr>
      <w:tr w:rsidR="008A5057" w:rsidRPr="00BD295E" w14:paraId="483E6D35" w14:textId="77777777" w:rsidTr="00E3510B">
        <w:tc>
          <w:tcPr>
            <w:tcW w:w="437" w:type="dxa"/>
            <w:shd w:val="clear" w:color="auto" w:fill="auto"/>
          </w:tcPr>
          <w:p w14:paraId="76BDE3F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w:t>
            </w:r>
          </w:p>
        </w:tc>
        <w:tc>
          <w:tcPr>
            <w:tcW w:w="3117" w:type="dxa"/>
            <w:shd w:val="clear" w:color="auto" w:fill="auto"/>
            <w:vAlign w:val="center"/>
          </w:tcPr>
          <w:p w14:paraId="6DDF8007"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Roman Kanivtsov</w:t>
            </w:r>
          </w:p>
        </w:tc>
        <w:tc>
          <w:tcPr>
            <w:tcW w:w="5790" w:type="dxa"/>
            <w:shd w:val="clear" w:color="auto" w:fill="auto"/>
            <w:vAlign w:val="center"/>
          </w:tcPr>
          <w:p w14:paraId="323F7A2A"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Head of the Electricity Industry Tariff Regulation Unit at the Tariff Regulation Division of the Tariffs Committee of Saint Petersburg</w:t>
            </w:r>
          </w:p>
        </w:tc>
      </w:tr>
      <w:tr w:rsidR="008A5057" w:rsidRPr="00BD295E" w14:paraId="19EF8C67" w14:textId="77777777" w:rsidTr="00E3510B">
        <w:tc>
          <w:tcPr>
            <w:tcW w:w="437" w:type="dxa"/>
            <w:shd w:val="clear" w:color="auto" w:fill="auto"/>
          </w:tcPr>
          <w:p w14:paraId="1DF05CD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w:t>
            </w:r>
          </w:p>
        </w:tc>
        <w:tc>
          <w:tcPr>
            <w:tcW w:w="3117" w:type="dxa"/>
            <w:shd w:val="clear" w:color="auto" w:fill="auto"/>
            <w:vAlign w:val="center"/>
          </w:tcPr>
          <w:p w14:paraId="2925EAF0"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Valery Uskov</w:t>
            </w:r>
          </w:p>
        </w:tc>
        <w:tc>
          <w:tcPr>
            <w:tcW w:w="5790" w:type="dxa"/>
            <w:shd w:val="clear" w:color="auto" w:fill="auto"/>
          </w:tcPr>
          <w:p w14:paraId="2EB2BC53" w14:textId="3AC5E193"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 xml:space="preserve">Head of the Project Support Unit of the </w:t>
            </w:r>
            <w:r w:rsidR="004F729F" w:rsidRPr="00BD295E">
              <w:rPr>
                <w:rFonts w:ascii="Arial" w:hAnsi="Arial" w:cs="Arial"/>
                <w:snapToGrid w:val="0"/>
                <w:sz w:val="18"/>
                <w:szCs w:val="18"/>
                <w:lang w:val="en-US"/>
              </w:rPr>
              <w:t>Long-</w:t>
            </w:r>
            <w:r w:rsidR="003D49A2" w:rsidRPr="00BD295E">
              <w:rPr>
                <w:rFonts w:ascii="Arial" w:hAnsi="Arial" w:cs="Arial"/>
                <w:snapToGrid w:val="0"/>
                <w:sz w:val="18"/>
                <w:szCs w:val="18"/>
                <w:lang w:val="en-US"/>
              </w:rPr>
              <w:t>term Development</w:t>
            </w:r>
            <w:r w:rsidRPr="00BD295E">
              <w:rPr>
                <w:rFonts w:ascii="Arial" w:hAnsi="Arial" w:cs="Arial"/>
                <w:snapToGrid w:val="0"/>
                <w:sz w:val="18"/>
                <w:szCs w:val="18"/>
                <w:lang w:val="en-US"/>
              </w:rPr>
              <w:t xml:space="preserve"> Division at the Energy and Engineering Support Committee of Saint Petersburg</w:t>
            </w:r>
          </w:p>
        </w:tc>
      </w:tr>
      <w:tr w:rsidR="008A5057" w:rsidRPr="00BD295E" w14:paraId="709B45D5" w14:textId="77777777" w:rsidTr="00E3510B">
        <w:tc>
          <w:tcPr>
            <w:tcW w:w="437" w:type="dxa"/>
            <w:shd w:val="clear" w:color="auto" w:fill="auto"/>
          </w:tcPr>
          <w:p w14:paraId="15EA138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11</w:t>
            </w:r>
          </w:p>
        </w:tc>
        <w:tc>
          <w:tcPr>
            <w:tcW w:w="3117" w:type="dxa"/>
            <w:shd w:val="clear" w:color="auto" w:fill="auto"/>
            <w:vAlign w:val="center"/>
          </w:tcPr>
          <w:p w14:paraId="4FFAE54C"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Dmitry Mikheyev</w:t>
            </w:r>
          </w:p>
        </w:tc>
        <w:tc>
          <w:tcPr>
            <w:tcW w:w="5790" w:type="dxa"/>
            <w:shd w:val="clear" w:color="auto" w:fill="auto"/>
            <w:vAlign w:val="center"/>
          </w:tcPr>
          <w:p w14:paraId="673B7F9B" w14:textId="77777777" w:rsidR="00F3260C" w:rsidRPr="00BD295E" w:rsidRDefault="008A5057" w:rsidP="00E3510B">
            <w:pPr>
              <w:tabs>
                <w:tab w:val="left" w:pos="851"/>
              </w:tabs>
              <w:contextualSpacing/>
              <w:jc w:val="both"/>
              <w:rPr>
                <w:rFonts w:ascii="Arial" w:eastAsia="Calibri" w:hAnsi="Arial" w:cs="Arial"/>
                <w:snapToGrid w:val="0"/>
                <w:sz w:val="18"/>
                <w:szCs w:val="18"/>
                <w:lang w:val="en-US"/>
              </w:rPr>
            </w:pPr>
            <w:r w:rsidRPr="00BD295E">
              <w:rPr>
                <w:rFonts w:ascii="Arial" w:hAnsi="Arial" w:cs="Arial"/>
                <w:snapToGrid w:val="0"/>
                <w:sz w:val="18"/>
                <w:szCs w:val="18"/>
                <w:lang w:val="en-US"/>
              </w:rPr>
              <w:t>Deputy Director of Department – Head of the Electricity Industry Perspective Development of the Electricity Department Development Department of the Russian Ministry of Energy</w:t>
            </w:r>
          </w:p>
        </w:tc>
      </w:tr>
    </w:tbl>
    <w:p w14:paraId="0FD2E522" w14:textId="77777777" w:rsidR="00F3260C" w:rsidRPr="00BD295E" w:rsidRDefault="008A5057" w:rsidP="00F3260C">
      <w:pPr>
        <w:jc w:val="both"/>
        <w:rPr>
          <w:rStyle w:val="aff9"/>
          <w:rFonts w:ascii="Arial" w:hAnsi="Arial" w:cs="Arial"/>
          <w:b w:val="0"/>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28ACFA6E" w14:textId="77777777" w:rsidR="00F3260C" w:rsidRPr="00BD295E" w:rsidRDefault="00F3260C" w:rsidP="0035451C">
      <w:pPr>
        <w:jc w:val="both"/>
        <w:rPr>
          <w:rFonts w:ascii="Arial" w:hAnsi="Arial" w:cs="Arial"/>
          <w:sz w:val="18"/>
          <w:szCs w:val="18"/>
          <w:lang w:val="en-US"/>
        </w:rPr>
      </w:pPr>
    </w:p>
    <w:p w14:paraId="0F1026D4"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Two meetings of the Committee were held in absentia in 2018.</w:t>
      </w:r>
    </w:p>
    <w:p w14:paraId="79AE56D3"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The Committee reviewed reports on the progress on the Company’s grid connection contracts.</w:t>
      </w:r>
    </w:p>
    <w:p w14:paraId="3045C541" w14:textId="77777777" w:rsidR="00F3260C" w:rsidRPr="00BD295E" w:rsidRDefault="00F3260C" w:rsidP="0035451C">
      <w:pPr>
        <w:jc w:val="both"/>
        <w:rPr>
          <w:rFonts w:ascii="Arial" w:hAnsi="Arial" w:cs="Arial"/>
          <w:sz w:val="18"/>
          <w:szCs w:val="18"/>
          <w:lang w:val="en-US"/>
        </w:rPr>
      </w:pPr>
    </w:p>
    <w:p w14:paraId="7FAD17F7" w14:textId="77777777" w:rsidR="00F3260C" w:rsidRPr="00BD295E" w:rsidRDefault="008A5057" w:rsidP="0035451C">
      <w:pPr>
        <w:rPr>
          <w:rFonts w:ascii="Arial" w:hAnsi="Arial" w:cs="Arial"/>
          <w:b/>
          <w:sz w:val="18"/>
          <w:szCs w:val="18"/>
          <w:lang w:val="en-US"/>
        </w:rPr>
      </w:pPr>
      <w:r w:rsidRPr="00BD295E">
        <w:rPr>
          <w:rFonts w:ascii="Arial" w:hAnsi="Arial" w:cs="Arial"/>
          <w:b/>
          <w:sz w:val="18"/>
          <w:szCs w:val="18"/>
          <w:lang w:val="en-US"/>
        </w:rPr>
        <w:t xml:space="preserve">Information on remuneration and compensation paid to members of the Board of Directors and Committees of the Board of Directors of </w:t>
      </w:r>
      <w:r w:rsidR="00EE5753" w:rsidRPr="00BD295E">
        <w:rPr>
          <w:rFonts w:ascii="Arial" w:hAnsi="Arial" w:cs="Arial"/>
          <w:b/>
          <w:sz w:val="18"/>
          <w:szCs w:val="18"/>
          <w:lang w:val="en-US"/>
        </w:rPr>
        <w:t>PJSC “Lenenergo”</w:t>
      </w:r>
    </w:p>
    <w:p w14:paraId="2E7D5844" w14:textId="77777777" w:rsidR="00F3260C" w:rsidRPr="00BD295E" w:rsidRDefault="00F3260C" w:rsidP="0035451C">
      <w:pPr>
        <w:pStyle w:val="aff2"/>
        <w:spacing w:after="0"/>
        <w:rPr>
          <w:rFonts w:ascii="Arial" w:hAnsi="Arial" w:cs="Arial"/>
          <w:b/>
          <w:bCs/>
          <w:i/>
          <w:sz w:val="18"/>
          <w:szCs w:val="18"/>
          <w:lang w:val="en-US"/>
        </w:rPr>
      </w:pPr>
    </w:p>
    <w:p w14:paraId="19AFF429"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The amount and procedure for payment of remuneration and compensations to members of the Board of Directors and Committees of the Board of Directors are governed by the Company’s internal documents approved by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and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p>
    <w:p w14:paraId="0E367900"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Remuneration and compensations are paid to members of the Company’s Board of Directors in line with the Regulations for Payment of Remuneration and Compensations to Members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restated and approved by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June 22, 2015 (Minutes of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No. 1/2015 </w:t>
      </w:r>
      <w:r w:rsidR="008B183C" w:rsidRPr="00BD295E">
        <w:rPr>
          <w:rFonts w:ascii="Arial" w:hAnsi="Arial" w:cs="Arial"/>
          <w:sz w:val="18"/>
          <w:szCs w:val="18"/>
          <w:lang w:val="en-US"/>
        </w:rPr>
        <w:t>of</w:t>
      </w:r>
      <w:r w:rsidRPr="00BD295E">
        <w:rPr>
          <w:rFonts w:ascii="Arial" w:hAnsi="Arial" w:cs="Arial"/>
          <w:sz w:val="18"/>
          <w:szCs w:val="18"/>
          <w:lang w:val="en-US"/>
        </w:rPr>
        <w:t xml:space="preserve"> June 24, 2015).</w:t>
      </w:r>
    </w:p>
    <w:p w14:paraId="5ACCC000" w14:textId="77777777" w:rsidR="00F3260C" w:rsidRPr="00BD295E" w:rsidRDefault="00F3260C" w:rsidP="0035451C">
      <w:pPr>
        <w:pStyle w:val="aff2"/>
        <w:spacing w:after="0"/>
        <w:rPr>
          <w:rFonts w:ascii="Arial" w:hAnsi="Arial" w:cs="Arial"/>
          <w:b/>
          <w:bCs/>
          <w:i/>
          <w:sz w:val="18"/>
          <w:szCs w:val="18"/>
          <w:lang w:val="en-US"/>
        </w:rPr>
      </w:pPr>
    </w:p>
    <w:p w14:paraId="7BEEB961" w14:textId="77777777" w:rsidR="00F3260C" w:rsidRPr="00BD295E" w:rsidRDefault="008A5057" w:rsidP="0035451C">
      <w:pPr>
        <w:pStyle w:val="aff2"/>
        <w:spacing w:after="0"/>
        <w:rPr>
          <w:rFonts w:ascii="Arial" w:hAnsi="Arial" w:cs="Arial"/>
          <w:b/>
          <w:bCs/>
          <w:sz w:val="18"/>
          <w:szCs w:val="18"/>
          <w:lang w:val="en-US"/>
        </w:rPr>
      </w:pPr>
      <w:r w:rsidRPr="00BD295E">
        <w:rPr>
          <w:rFonts w:ascii="Arial" w:hAnsi="Arial" w:cs="Arial"/>
          <w:b/>
          <w:sz w:val="18"/>
          <w:szCs w:val="18"/>
          <w:lang w:val="en-US"/>
        </w:rPr>
        <w:t xml:space="preserve">Analysis of Regulations on Payment of Remuneration and Compensations to Members of the Board of Directors of </w:t>
      </w:r>
      <w:r w:rsidR="00EE5753" w:rsidRPr="00BD295E">
        <w:rPr>
          <w:rFonts w:ascii="Arial" w:hAnsi="Arial" w:cs="Arial"/>
          <w:b/>
          <w:sz w:val="18"/>
          <w:szCs w:val="18"/>
          <w:lang w:val="en-US"/>
        </w:rPr>
        <w:t>PJSC “Lenenergo”</w:t>
      </w:r>
    </w:p>
    <w:p w14:paraId="104AC856" w14:textId="77777777" w:rsidR="00F3260C" w:rsidRPr="00BD295E" w:rsidRDefault="00F3260C" w:rsidP="00F3260C">
      <w:pPr>
        <w:pStyle w:val="aff2"/>
        <w:spacing w:after="0"/>
        <w:rPr>
          <w:rFonts w:ascii="Arial" w:hAnsi="Arial" w:cs="Arial"/>
          <w:b/>
          <w:bCs/>
          <w:i/>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8A5057" w:rsidRPr="00BD295E" w14:paraId="76BDFA08" w14:textId="77777777" w:rsidTr="00E3510B">
        <w:tc>
          <w:tcPr>
            <w:tcW w:w="0" w:type="auto"/>
            <w:shd w:val="clear" w:color="auto" w:fill="auto"/>
          </w:tcPr>
          <w:p w14:paraId="1FF435BB"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Remuneration for participation in meetings of the Board of Directors</w:t>
            </w:r>
          </w:p>
        </w:tc>
      </w:tr>
      <w:tr w:rsidR="008A5057" w:rsidRPr="00BD295E" w14:paraId="41C8FB29" w14:textId="77777777" w:rsidTr="00E3510B">
        <w:tc>
          <w:tcPr>
            <w:tcW w:w="0" w:type="auto"/>
            <w:shd w:val="clear" w:color="auto" w:fill="auto"/>
          </w:tcPr>
          <w:p w14:paraId="712E007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The amount of remuneration of a member of the Board of Directors (S) depends on:</w:t>
            </w:r>
          </w:p>
          <w:p w14:paraId="0CD49CF1"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 the base part of remuneration based on the Company’s revenue (RUB 900,000 for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53957695"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the number of meetings in which the member of the Board of Directors participated.</w:t>
            </w:r>
          </w:p>
          <w:p w14:paraId="27F31257" w14:textId="77777777" w:rsidR="00F3260C" w:rsidRPr="00BD295E" w:rsidRDefault="00F3260C" w:rsidP="00E3510B">
            <w:pPr>
              <w:jc w:val="both"/>
              <w:rPr>
                <w:rFonts w:ascii="Arial" w:hAnsi="Arial" w:cs="Arial"/>
                <w:sz w:val="18"/>
                <w:szCs w:val="18"/>
                <w:lang w:val="en-US"/>
              </w:rPr>
            </w:pPr>
          </w:p>
          <w:p w14:paraId="33134FC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Additional premiums:</w:t>
            </w:r>
          </w:p>
          <w:p w14:paraId="06E8334E"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30% of S to the Chairman of the Company’s Board of Directors;</w:t>
            </w:r>
          </w:p>
          <w:p w14:paraId="1504D8AF"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20% of S to the Chairman of a specialized Committee of the Company’s Board of Directors;</w:t>
            </w:r>
          </w:p>
          <w:p w14:paraId="75F95E87"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10% of S to every member of a specialized Committee of the Company’s Board of Directors.</w:t>
            </w:r>
          </w:p>
          <w:p w14:paraId="7AAC60A5" w14:textId="77777777" w:rsidR="00F3260C" w:rsidRPr="00BD295E" w:rsidRDefault="00F3260C" w:rsidP="00E3510B">
            <w:pPr>
              <w:jc w:val="both"/>
              <w:rPr>
                <w:rFonts w:ascii="Arial" w:hAnsi="Arial" w:cs="Arial"/>
                <w:sz w:val="18"/>
                <w:szCs w:val="18"/>
                <w:lang w:val="en-US"/>
              </w:rPr>
            </w:pPr>
          </w:p>
          <w:p w14:paraId="420480AB"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The total amount of remuneration per member of the Board of Directors, including premiums, may not exceed the base part of remuneration (RUB 900,000).</w:t>
            </w:r>
          </w:p>
        </w:tc>
      </w:tr>
      <w:tr w:rsidR="008A5057" w:rsidRPr="00BD295E" w14:paraId="0E1C0B47" w14:textId="77777777" w:rsidTr="00E3510B">
        <w:trPr>
          <w:trHeight w:val="438"/>
        </w:trPr>
        <w:tc>
          <w:tcPr>
            <w:tcW w:w="0" w:type="auto"/>
            <w:shd w:val="clear" w:color="auto" w:fill="auto"/>
          </w:tcPr>
          <w:p w14:paraId="565821F8" w14:textId="77777777" w:rsidR="00F3260C" w:rsidRPr="00BD295E" w:rsidRDefault="008A5057" w:rsidP="00E3510B">
            <w:pPr>
              <w:jc w:val="center"/>
              <w:rPr>
                <w:rFonts w:ascii="Arial" w:hAnsi="Arial" w:cs="Arial"/>
                <w:sz w:val="18"/>
                <w:szCs w:val="18"/>
                <w:lang w:val="en-US"/>
              </w:rPr>
            </w:pPr>
            <w:r w:rsidRPr="00BD295E">
              <w:rPr>
                <w:rFonts w:ascii="Arial" w:hAnsi="Arial" w:cs="Arial"/>
                <w:b/>
                <w:sz w:val="18"/>
                <w:szCs w:val="18"/>
                <w:lang w:val="en-US"/>
              </w:rPr>
              <w:t>Additional remuneration for achieving the net profit target of the Company under the annual accounting statements</w:t>
            </w:r>
          </w:p>
        </w:tc>
      </w:tr>
      <w:tr w:rsidR="008A5057" w:rsidRPr="00BD295E" w14:paraId="65C7D070" w14:textId="77777777" w:rsidTr="00E3510B">
        <w:trPr>
          <w:trHeight w:val="496"/>
        </w:trPr>
        <w:tc>
          <w:tcPr>
            <w:tcW w:w="0" w:type="auto"/>
            <w:shd w:val="clear" w:color="auto" w:fill="auto"/>
          </w:tcPr>
          <w:p w14:paraId="64E950A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No additional remuneration for achieving the net profit target is provided for.</w:t>
            </w:r>
          </w:p>
        </w:tc>
      </w:tr>
      <w:tr w:rsidR="008A5057" w:rsidRPr="00BD295E" w14:paraId="79A553BD" w14:textId="77777777" w:rsidTr="00E3510B">
        <w:trPr>
          <w:trHeight w:val="290"/>
        </w:trPr>
        <w:tc>
          <w:tcPr>
            <w:tcW w:w="0" w:type="auto"/>
            <w:shd w:val="clear" w:color="auto" w:fill="auto"/>
          </w:tcPr>
          <w:p w14:paraId="3D943440"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Additional remuneration for achieving an increase in the market capitalization of the Company</w:t>
            </w:r>
          </w:p>
        </w:tc>
      </w:tr>
      <w:tr w:rsidR="008A5057" w:rsidRPr="00BD295E" w14:paraId="3F6D923D" w14:textId="77777777" w:rsidTr="00E3510B">
        <w:trPr>
          <w:trHeight w:val="2466"/>
        </w:trPr>
        <w:tc>
          <w:tcPr>
            <w:tcW w:w="0" w:type="auto"/>
            <w:shd w:val="clear" w:color="auto" w:fill="auto"/>
          </w:tcPr>
          <w:p w14:paraId="568A675B"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The coefficient to be applied is 0.0175 per cent of the increase in the Company’s market value during the period between the election of the member of the Board of Directors and the election of a new Board of Directors of the Company</w:t>
            </w:r>
          </w:p>
          <w:p w14:paraId="16ABE4E7" w14:textId="77777777" w:rsidR="00F3260C" w:rsidRPr="00BD295E" w:rsidRDefault="00F3260C" w:rsidP="00E3510B">
            <w:pPr>
              <w:jc w:val="both"/>
              <w:rPr>
                <w:rFonts w:ascii="Arial" w:hAnsi="Arial" w:cs="Arial"/>
                <w:b/>
                <w:sz w:val="18"/>
                <w:szCs w:val="18"/>
                <w:lang w:val="en-US"/>
              </w:rPr>
            </w:pPr>
          </w:p>
          <w:p w14:paraId="5B79396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The amount of remuneration depends on:</w:t>
            </w:r>
          </w:p>
          <w:p w14:paraId="549BE2D5"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the weighted average price of the Company’s shares on the MICEX Stock Exchange;</w:t>
            </w:r>
          </w:p>
          <w:p w14:paraId="7B59EAFA"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the amount of trading in the Company’s shares on the MICEX Stock Exchange;</w:t>
            </w:r>
          </w:p>
          <w:p w14:paraId="439884B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the MICEX Index.</w:t>
            </w:r>
          </w:p>
          <w:p w14:paraId="4D2818C0" w14:textId="77777777" w:rsidR="00F3260C" w:rsidRPr="00BD295E" w:rsidRDefault="00F3260C" w:rsidP="00E3510B">
            <w:pPr>
              <w:jc w:val="both"/>
              <w:rPr>
                <w:rFonts w:ascii="Arial" w:hAnsi="Arial" w:cs="Arial"/>
                <w:sz w:val="18"/>
                <w:szCs w:val="18"/>
                <w:lang w:val="en-US"/>
              </w:rPr>
            </w:pPr>
          </w:p>
          <w:p w14:paraId="164A6767" w14:textId="77777777" w:rsidR="00F3260C" w:rsidRPr="00BD295E" w:rsidRDefault="008A5057" w:rsidP="00E3510B">
            <w:pPr>
              <w:jc w:val="both"/>
              <w:rPr>
                <w:rFonts w:ascii="Arial" w:hAnsi="Arial" w:cs="Arial"/>
                <w:b/>
                <w:sz w:val="18"/>
                <w:szCs w:val="18"/>
                <w:lang w:val="en-US"/>
              </w:rPr>
            </w:pPr>
            <w:r w:rsidRPr="00BD295E">
              <w:rPr>
                <w:rFonts w:ascii="Arial" w:hAnsi="Arial" w:cs="Arial"/>
                <w:sz w:val="18"/>
                <w:szCs w:val="18"/>
                <w:lang w:val="en-US"/>
              </w:rPr>
              <w:t>The total amount of remuneration payable to members of the Company’s Board of Directors may not exceed 5% of the RAS net profit for the financial year.</w:t>
            </w:r>
          </w:p>
        </w:tc>
      </w:tr>
    </w:tbl>
    <w:p w14:paraId="6990145C" w14:textId="77777777" w:rsidR="00F3260C" w:rsidRPr="00BD295E" w:rsidRDefault="00F3260C" w:rsidP="00F3260C">
      <w:pPr>
        <w:tabs>
          <w:tab w:val="left" w:pos="709"/>
          <w:tab w:val="left" w:pos="851"/>
        </w:tabs>
        <w:jc w:val="both"/>
        <w:rPr>
          <w:rFonts w:ascii="Arial" w:hAnsi="Arial" w:cs="Arial"/>
          <w:sz w:val="18"/>
          <w:szCs w:val="18"/>
          <w:lang w:val="en-US"/>
        </w:rPr>
      </w:pPr>
    </w:p>
    <w:p w14:paraId="576A0455" w14:textId="77777777" w:rsidR="00F3260C" w:rsidRPr="00BD295E" w:rsidRDefault="008A5057" w:rsidP="00F3260C">
      <w:pPr>
        <w:tabs>
          <w:tab w:val="left" w:pos="709"/>
          <w:tab w:val="left" w:pos="851"/>
        </w:tabs>
        <w:jc w:val="both"/>
        <w:rPr>
          <w:rFonts w:ascii="Arial" w:hAnsi="Arial" w:cs="Arial"/>
          <w:b/>
          <w:sz w:val="18"/>
          <w:szCs w:val="18"/>
          <w:lang w:val="en-US"/>
        </w:rPr>
      </w:pPr>
      <w:r w:rsidRPr="00BD295E">
        <w:rPr>
          <w:rFonts w:ascii="Arial" w:hAnsi="Arial" w:cs="Arial"/>
          <w:b/>
          <w:sz w:val="18"/>
          <w:szCs w:val="18"/>
          <w:lang w:val="en-US"/>
        </w:rPr>
        <w:t>Information on remuneration payable to members of the Company’s Board of Directors in 2018, RUB</w:t>
      </w:r>
    </w:p>
    <w:p w14:paraId="193514D6" w14:textId="77777777" w:rsidR="00F3260C" w:rsidRPr="00BD295E" w:rsidRDefault="00F3260C" w:rsidP="00F3260C">
      <w:pPr>
        <w:tabs>
          <w:tab w:val="left" w:pos="709"/>
          <w:tab w:val="left" w:pos="851"/>
        </w:tabs>
        <w:jc w:val="both"/>
        <w:rPr>
          <w:rFonts w:ascii="Arial" w:hAnsi="Arial" w:cs="Arial"/>
          <w:b/>
          <w:sz w:val="18"/>
          <w:szCs w:val="18"/>
          <w:lang w:val="en-US"/>
        </w:rPr>
      </w:pPr>
    </w:p>
    <w:tbl>
      <w:tblPr>
        <w:tblW w:w="50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902"/>
        <w:gridCol w:w="1107"/>
        <w:gridCol w:w="1675"/>
        <w:gridCol w:w="1136"/>
        <w:gridCol w:w="1559"/>
        <w:gridCol w:w="1561"/>
      </w:tblGrid>
      <w:tr w:rsidR="008A5057" w:rsidRPr="00BD295E" w14:paraId="565349DE" w14:textId="77777777" w:rsidTr="00E3510B">
        <w:trPr>
          <w:trHeight w:val="455"/>
        </w:trPr>
        <w:tc>
          <w:tcPr>
            <w:tcW w:w="819" w:type="pct"/>
            <w:vMerge w:val="restart"/>
            <w:shd w:val="clear" w:color="auto" w:fill="auto"/>
          </w:tcPr>
          <w:p w14:paraId="246D150F"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Full name</w:t>
            </w:r>
          </w:p>
        </w:tc>
        <w:tc>
          <w:tcPr>
            <w:tcW w:w="2538" w:type="pct"/>
            <w:gridSpan w:val="4"/>
            <w:shd w:val="clear" w:color="auto" w:fill="auto"/>
          </w:tcPr>
          <w:p w14:paraId="07CDA696" w14:textId="77777777" w:rsidR="00F3260C" w:rsidRPr="00BD295E" w:rsidRDefault="008A5057" w:rsidP="00E3510B">
            <w:pPr>
              <w:jc w:val="center"/>
              <w:rPr>
                <w:rFonts w:ascii="Arial" w:hAnsi="Arial" w:cs="Arial"/>
                <w:sz w:val="18"/>
                <w:szCs w:val="18"/>
                <w:lang w:val="en-US"/>
              </w:rPr>
            </w:pPr>
            <w:r w:rsidRPr="00BD295E">
              <w:rPr>
                <w:rFonts w:ascii="Arial" w:hAnsi="Arial" w:cs="Arial"/>
                <w:b/>
                <w:sz w:val="18"/>
                <w:szCs w:val="18"/>
                <w:lang w:val="en-US"/>
              </w:rPr>
              <w:t>Remuneration paid as to members of the Board of Directors</w:t>
            </w:r>
          </w:p>
        </w:tc>
        <w:tc>
          <w:tcPr>
            <w:tcW w:w="821" w:type="pct"/>
            <w:vMerge w:val="restart"/>
            <w:shd w:val="clear" w:color="auto" w:fill="auto"/>
          </w:tcPr>
          <w:p w14:paraId="777C7C90"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Bonuses, commissions, compensations</w:t>
            </w:r>
          </w:p>
        </w:tc>
        <w:tc>
          <w:tcPr>
            <w:tcW w:w="822" w:type="pct"/>
            <w:vMerge w:val="restart"/>
            <w:shd w:val="clear" w:color="auto" w:fill="auto"/>
          </w:tcPr>
          <w:p w14:paraId="7DC3A9BA"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Total</w:t>
            </w:r>
          </w:p>
        </w:tc>
      </w:tr>
      <w:tr w:rsidR="008A5057" w:rsidRPr="00BD295E" w14:paraId="0F493604" w14:textId="77777777" w:rsidTr="00E3510B">
        <w:trPr>
          <w:trHeight w:val="519"/>
        </w:trPr>
        <w:tc>
          <w:tcPr>
            <w:tcW w:w="819" w:type="pct"/>
            <w:vMerge/>
            <w:shd w:val="clear" w:color="auto" w:fill="auto"/>
          </w:tcPr>
          <w:p w14:paraId="5445A8E2" w14:textId="77777777" w:rsidR="00F3260C" w:rsidRPr="00BD295E" w:rsidRDefault="00F3260C" w:rsidP="00E3510B">
            <w:pPr>
              <w:jc w:val="center"/>
              <w:rPr>
                <w:rFonts w:ascii="Arial" w:hAnsi="Arial" w:cs="Arial"/>
                <w:b/>
                <w:sz w:val="18"/>
                <w:szCs w:val="18"/>
                <w:lang w:val="en-US"/>
              </w:rPr>
            </w:pPr>
          </w:p>
        </w:tc>
        <w:tc>
          <w:tcPr>
            <w:tcW w:w="475" w:type="pct"/>
            <w:shd w:val="clear" w:color="auto" w:fill="auto"/>
          </w:tcPr>
          <w:p w14:paraId="0F6CBAC6" w14:textId="77777777" w:rsidR="00F3260C" w:rsidRPr="00BD295E" w:rsidRDefault="008A5057" w:rsidP="00E3510B">
            <w:pPr>
              <w:jc w:val="center"/>
              <w:rPr>
                <w:rFonts w:ascii="Arial" w:hAnsi="Arial" w:cs="Arial"/>
                <w:spacing w:val="-4"/>
                <w:sz w:val="18"/>
                <w:szCs w:val="18"/>
                <w:lang w:val="en-US"/>
              </w:rPr>
            </w:pPr>
            <w:r w:rsidRPr="00BD295E">
              <w:rPr>
                <w:rFonts w:ascii="Arial" w:hAnsi="Arial" w:cs="Arial"/>
                <w:sz w:val="18"/>
                <w:szCs w:val="18"/>
                <w:lang w:val="en-US"/>
              </w:rPr>
              <w:t>Premium</w:t>
            </w:r>
          </w:p>
        </w:tc>
        <w:tc>
          <w:tcPr>
            <w:tcW w:w="583" w:type="pct"/>
            <w:shd w:val="clear" w:color="auto" w:fill="auto"/>
          </w:tcPr>
          <w:p w14:paraId="5945FB25" w14:textId="77777777" w:rsidR="00F3260C" w:rsidRPr="00BD295E" w:rsidRDefault="008A5057" w:rsidP="00E3510B">
            <w:pPr>
              <w:jc w:val="center"/>
              <w:rPr>
                <w:rFonts w:ascii="Arial" w:hAnsi="Arial" w:cs="Arial"/>
                <w:spacing w:val="-4"/>
                <w:sz w:val="18"/>
                <w:szCs w:val="18"/>
                <w:lang w:val="en-US"/>
              </w:rPr>
            </w:pPr>
            <w:r w:rsidRPr="00BD295E">
              <w:rPr>
                <w:rFonts w:ascii="Arial" w:hAnsi="Arial" w:cs="Arial"/>
                <w:sz w:val="18"/>
                <w:szCs w:val="18"/>
                <w:lang w:val="en-US"/>
              </w:rPr>
              <w:t>Remuneration for participation</w:t>
            </w:r>
          </w:p>
        </w:tc>
        <w:tc>
          <w:tcPr>
            <w:tcW w:w="882" w:type="pct"/>
            <w:shd w:val="clear" w:color="auto" w:fill="auto"/>
          </w:tcPr>
          <w:p w14:paraId="6CC0A3A3" w14:textId="77777777" w:rsidR="00F3260C" w:rsidRPr="00BD295E" w:rsidRDefault="008A5057" w:rsidP="00E3510B">
            <w:pPr>
              <w:jc w:val="center"/>
              <w:rPr>
                <w:rFonts w:ascii="Arial" w:hAnsi="Arial" w:cs="Arial"/>
                <w:spacing w:val="-4"/>
                <w:sz w:val="18"/>
                <w:szCs w:val="18"/>
                <w:lang w:val="en-US"/>
              </w:rPr>
            </w:pPr>
            <w:r w:rsidRPr="00BD295E">
              <w:rPr>
                <w:rFonts w:ascii="Arial" w:hAnsi="Arial" w:cs="Arial"/>
                <w:sz w:val="18"/>
                <w:szCs w:val="18"/>
                <w:lang w:val="en-US"/>
              </w:rPr>
              <w:t>Remuneration for capitalization</w:t>
            </w:r>
          </w:p>
        </w:tc>
        <w:tc>
          <w:tcPr>
            <w:tcW w:w="598" w:type="pct"/>
            <w:shd w:val="clear" w:color="auto" w:fill="auto"/>
          </w:tcPr>
          <w:p w14:paraId="3552A551" w14:textId="77777777" w:rsidR="00F3260C" w:rsidRPr="00BD295E" w:rsidRDefault="008A5057" w:rsidP="00E3510B">
            <w:pPr>
              <w:jc w:val="center"/>
              <w:rPr>
                <w:rFonts w:ascii="Arial" w:hAnsi="Arial" w:cs="Arial"/>
                <w:spacing w:val="-4"/>
                <w:sz w:val="18"/>
                <w:szCs w:val="18"/>
                <w:lang w:val="en-US"/>
              </w:rPr>
            </w:pPr>
            <w:r w:rsidRPr="00BD295E">
              <w:rPr>
                <w:rFonts w:ascii="Arial" w:hAnsi="Arial" w:cs="Arial"/>
                <w:sz w:val="18"/>
                <w:szCs w:val="18"/>
                <w:lang w:val="en-US"/>
              </w:rPr>
              <w:t>Total</w:t>
            </w:r>
          </w:p>
        </w:tc>
        <w:tc>
          <w:tcPr>
            <w:tcW w:w="821" w:type="pct"/>
            <w:vMerge/>
            <w:shd w:val="clear" w:color="auto" w:fill="auto"/>
          </w:tcPr>
          <w:p w14:paraId="3E9CED11" w14:textId="77777777" w:rsidR="00F3260C" w:rsidRPr="00BD295E" w:rsidRDefault="00F3260C" w:rsidP="00E3510B">
            <w:pPr>
              <w:jc w:val="center"/>
              <w:rPr>
                <w:rFonts w:ascii="Arial" w:hAnsi="Arial" w:cs="Arial"/>
                <w:b/>
                <w:sz w:val="18"/>
                <w:szCs w:val="18"/>
                <w:lang w:val="en-US"/>
              </w:rPr>
            </w:pPr>
          </w:p>
        </w:tc>
        <w:tc>
          <w:tcPr>
            <w:tcW w:w="822" w:type="pct"/>
            <w:vMerge/>
            <w:shd w:val="clear" w:color="auto" w:fill="auto"/>
          </w:tcPr>
          <w:p w14:paraId="253F7A72" w14:textId="77777777" w:rsidR="00F3260C" w:rsidRPr="00BD295E" w:rsidRDefault="00F3260C" w:rsidP="00E3510B">
            <w:pPr>
              <w:jc w:val="center"/>
              <w:rPr>
                <w:rFonts w:ascii="Arial" w:hAnsi="Arial" w:cs="Arial"/>
                <w:b/>
                <w:sz w:val="18"/>
                <w:szCs w:val="18"/>
                <w:lang w:val="en-US"/>
              </w:rPr>
            </w:pPr>
          </w:p>
        </w:tc>
      </w:tr>
      <w:tr w:rsidR="008A5057" w:rsidRPr="00BD295E" w14:paraId="42C2BA4F" w14:textId="77777777" w:rsidTr="00E3510B">
        <w:tc>
          <w:tcPr>
            <w:tcW w:w="5000" w:type="pct"/>
            <w:gridSpan w:val="7"/>
            <w:shd w:val="clear" w:color="auto" w:fill="auto"/>
          </w:tcPr>
          <w:p w14:paraId="06A9FFB0"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 xml:space="preserve">Composition of the Board of Directors elected by the Resolution of the Company’s Annual </w:t>
            </w:r>
            <w:r w:rsidR="0053339C" w:rsidRPr="00BD295E">
              <w:rPr>
                <w:rFonts w:ascii="Arial" w:hAnsi="Arial" w:cs="Arial"/>
                <w:b/>
                <w:sz w:val="18"/>
                <w:szCs w:val="18"/>
                <w:lang w:val="en-US"/>
              </w:rPr>
              <w:t>General Meeting</w:t>
            </w:r>
            <w:r w:rsidRPr="00BD295E">
              <w:rPr>
                <w:rFonts w:ascii="Arial" w:hAnsi="Arial" w:cs="Arial"/>
                <w:b/>
                <w:sz w:val="18"/>
                <w:szCs w:val="18"/>
                <w:lang w:val="en-US"/>
              </w:rPr>
              <w:t xml:space="preserve"> of June 8, 2018:*</w:t>
            </w:r>
          </w:p>
        </w:tc>
      </w:tr>
      <w:tr w:rsidR="008A5057" w:rsidRPr="00BD295E" w14:paraId="68219A93" w14:textId="77777777" w:rsidTr="00E3510B">
        <w:tc>
          <w:tcPr>
            <w:tcW w:w="819" w:type="pct"/>
            <w:shd w:val="clear" w:color="auto" w:fill="auto"/>
          </w:tcPr>
          <w:p w14:paraId="43724B74"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P.A. Livinsky</w:t>
            </w:r>
          </w:p>
        </w:tc>
        <w:tc>
          <w:tcPr>
            <w:tcW w:w="475" w:type="pct"/>
            <w:shd w:val="clear" w:color="auto" w:fill="auto"/>
          </w:tcPr>
          <w:p w14:paraId="12C58A6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30%</w:t>
            </w:r>
          </w:p>
        </w:tc>
        <w:tc>
          <w:tcPr>
            <w:tcW w:w="583" w:type="pct"/>
            <w:shd w:val="clear" w:color="auto" w:fill="auto"/>
          </w:tcPr>
          <w:p w14:paraId="3F5BE637" w14:textId="77777777" w:rsidR="00F3260C" w:rsidRPr="00BD295E" w:rsidRDefault="008A5057" w:rsidP="00E3510B">
            <w:pPr>
              <w:ind w:firstLine="28"/>
              <w:rPr>
                <w:rFonts w:ascii="Arial" w:hAnsi="Arial" w:cs="Arial"/>
                <w:sz w:val="18"/>
                <w:szCs w:val="18"/>
                <w:lang w:val="en-US"/>
              </w:rPr>
            </w:pPr>
            <w:r w:rsidRPr="00BD295E">
              <w:rPr>
                <w:rFonts w:ascii="Arial" w:hAnsi="Arial" w:cs="Arial"/>
                <w:sz w:val="18"/>
                <w:szCs w:val="18"/>
                <w:lang w:val="en-US"/>
              </w:rPr>
              <w:t>380,000</w:t>
            </w:r>
          </w:p>
        </w:tc>
        <w:tc>
          <w:tcPr>
            <w:tcW w:w="882" w:type="pct"/>
            <w:shd w:val="clear" w:color="auto" w:fill="auto"/>
          </w:tcPr>
          <w:p w14:paraId="439BA06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92,570</w:t>
            </w:r>
          </w:p>
        </w:tc>
        <w:tc>
          <w:tcPr>
            <w:tcW w:w="598" w:type="pct"/>
            <w:shd w:val="clear" w:color="auto" w:fill="auto"/>
          </w:tcPr>
          <w:p w14:paraId="4466444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472,570</w:t>
            </w:r>
          </w:p>
        </w:tc>
        <w:tc>
          <w:tcPr>
            <w:tcW w:w="821" w:type="pct"/>
            <w:shd w:val="clear" w:color="auto" w:fill="auto"/>
          </w:tcPr>
          <w:p w14:paraId="225600A2"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5862FA1A" w14:textId="77777777" w:rsidR="00F3260C" w:rsidRPr="00BD295E" w:rsidRDefault="008A5057" w:rsidP="00E3510B">
            <w:pPr>
              <w:ind w:firstLine="35"/>
              <w:jc w:val="center"/>
              <w:rPr>
                <w:rFonts w:ascii="Arial" w:hAnsi="Arial" w:cs="Arial"/>
                <w:sz w:val="18"/>
                <w:szCs w:val="18"/>
                <w:lang w:val="en-US"/>
              </w:rPr>
            </w:pPr>
            <w:r w:rsidRPr="00BD295E">
              <w:rPr>
                <w:rFonts w:ascii="Arial" w:hAnsi="Arial" w:cs="Arial"/>
                <w:sz w:val="18"/>
                <w:szCs w:val="18"/>
                <w:lang w:val="en-US"/>
              </w:rPr>
              <w:t>472,570</w:t>
            </w:r>
          </w:p>
        </w:tc>
      </w:tr>
      <w:tr w:rsidR="008A5057" w:rsidRPr="00BD295E" w14:paraId="2E3C895C" w14:textId="77777777" w:rsidTr="00E3510B">
        <w:tc>
          <w:tcPr>
            <w:tcW w:w="819" w:type="pct"/>
            <w:shd w:val="clear" w:color="auto" w:fill="auto"/>
          </w:tcPr>
          <w:p w14:paraId="6C33DF27"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 xml:space="preserve">A.V. Ryumin </w:t>
            </w:r>
            <w:r w:rsidRPr="00BD295E">
              <w:rPr>
                <w:rFonts w:ascii="Arial" w:hAnsi="Arial" w:cs="Arial"/>
                <w:b/>
                <w:sz w:val="18"/>
                <w:szCs w:val="18"/>
                <w:lang w:val="en-US"/>
              </w:rPr>
              <w:t>(as to a Member of the Board of Directors)</w:t>
            </w:r>
          </w:p>
        </w:tc>
        <w:tc>
          <w:tcPr>
            <w:tcW w:w="475" w:type="pct"/>
            <w:shd w:val="clear" w:color="auto" w:fill="auto"/>
          </w:tcPr>
          <w:p w14:paraId="1D04CEA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0%</w:t>
            </w:r>
          </w:p>
        </w:tc>
        <w:tc>
          <w:tcPr>
            <w:tcW w:w="583" w:type="pct"/>
            <w:shd w:val="clear" w:color="auto" w:fill="auto"/>
          </w:tcPr>
          <w:p w14:paraId="5C77F33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276,923</w:t>
            </w:r>
          </w:p>
        </w:tc>
        <w:tc>
          <w:tcPr>
            <w:tcW w:w="882" w:type="pct"/>
            <w:shd w:val="clear" w:color="auto" w:fill="auto"/>
          </w:tcPr>
          <w:p w14:paraId="00BB7BE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92,570</w:t>
            </w:r>
          </w:p>
        </w:tc>
        <w:tc>
          <w:tcPr>
            <w:tcW w:w="598" w:type="pct"/>
            <w:shd w:val="clear" w:color="auto" w:fill="auto"/>
          </w:tcPr>
          <w:p w14:paraId="338DE3E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369,493</w:t>
            </w:r>
          </w:p>
        </w:tc>
        <w:tc>
          <w:tcPr>
            <w:tcW w:w="821" w:type="pct"/>
            <w:shd w:val="clear" w:color="auto" w:fill="auto"/>
          </w:tcPr>
          <w:p w14:paraId="656BEBBB"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783F44BA" w14:textId="77777777" w:rsidR="00F3260C" w:rsidRPr="00BD295E" w:rsidRDefault="008A5057" w:rsidP="00E3510B">
            <w:pPr>
              <w:ind w:firstLine="35"/>
              <w:jc w:val="center"/>
              <w:rPr>
                <w:rFonts w:ascii="Arial" w:hAnsi="Arial" w:cs="Arial"/>
                <w:sz w:val="18"/>
                <w:szCs w:val="18"/>
                <w:lang w:val="en-US"/>
              </w:rPr>
            </w:pPr>
            <w:r w:rsidRPr="00BD295E">
              <w:rPr>
                <w:rFonts w:ascii="Arial" w:hAnsi="Arial" w:cs="Arial"/>
                <w:sz w:val="18"/>
                <w:szCs w:val="18"/>
                <w:lang w:val="en-US"/>
              </w:rPr>
              <w:t>369,493</w:t>
            </w:r>
          </w:p>
        </w:tc>
      </w:tr>
      <w:tr w:rsidR="008A5057" w:rsidRPr="00BD295E" w14:paraId="3E37FE0D" w14:textId="77777777" w:rsidTr="00E3510B">
        <w:tc>
          <w:tcPr>
            <w:tcW w:w="819" w:type="pct"/>
            <w:shd w:val="clear" w:color="auto" w:fill="auto"/>
          </w:tcPr>
          <w:p w14:paraId="636E5693"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O.A. Sergeeva</w:t>
            </w:r>
          </w:p>
        </w:tc>
        <w:tc>
          <w:tcPr>
            <w:tcW w:w="475" w:type="pct"/>
            <w:shd w:val="clear" w:color="auto" w:fill="auto"/>
          </w:tcPr>
          <w:p w14:paraId="1AFC428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w:t>
            </w:r>
          </w:p>
        </w:tc>
        <w:tc>
          <w:tcPr>
            <w:tcW w:w="583" w:type="pct"/>
            <w:shd w:val="clear" w:color="auto" w:fill="auto"/>
          </w:tcPr>
          <w:p w14:paraId="5A914248" w14:textId="77777777" w:rsidR="00F3260C" w:rsidRPr="00BD295E" w:rsidRDefault="00F3260C" w:rsidP="0031297B">
            <w:pPr>
              <w:rPr>
                <w:rFonts w:ascii="Arial" w:hAnsi="Arial" w:cs="Arial"/>
                <w:sz w:val="18"/>
                <w:szCs w:val="18"/>
                <w:lang w:val="en-US"/>
              </w:rPr>
            </w:pPr>
          </w:p>
        </w:tc>
        <w:tc>
          <w:tcPr>
            <w:tcW w:w="882" w:type="pct"/>
            <w:shd w:val="clear" w:color="auto" w:fill="auto"/>
          </w:tcPr>
          <w:p w14:paraId="11A8AD0F" w14:textId="77777777" w:rsidR="00F3260C" w:rsidRPr="00BD295E" w:rsidRDefault="00F3260C" w:rsidP="0031297B">
            <w:pPr>
              <w:rPr>
                <w:rFonts w:ascii="Arial" w:hAnsi="Arial" w:cs="Arial"/>
                <w:sz w:val="18"/>
                <w:szCs w:val="18"/>
                <w:lang w:val="en-US"/>
              </w:rPr>
            </w:pPr>
          </w:p>
        </w:tc>
        <w:tc>
          <w:tcPr>
            <w:tcW w:w="598" w:type="pct"/>
            <w:shd w:val="clear" w:color="auto" w:fill="auto"/>
          </w:tcPr>
          <w:p w14:paraId="0F03D751" w14:textId="77777777" w:rsidR="00F3260C" w:rsidRPr="00BD295E" w:rsidRDefault="00F3260C" w:rsidP="0031297B">
            <w:pPr>
              <w:rPr>
                <w:rFonts w:ascii="Arial" w:hAnsi="Arial" w:cs="Arial"/>
                <w:sz w:val="18"/>
                <w:szCs w:val="18"/>
                <w:lang w:val="en-US"/>
              </w:rPr>
            </w:pPr>
          </w:p>
        </w:tc>
        <w:tc>
          <w:tcPr>
            <w:tcW w:w="821" w:type="pct"/>
            <w:shd w:val="clear" w:color="auto" w:fill="auto"/>
          </w:tcPr>
          <w:p w14:paraId="2168011D" w14:textId="77777777" w:rsidR="00F3260C" w:rsidRPr="00BD295E" w:rsidRDefault="00F3260C" w:rsidP="0031297B">
            <w:pPr>
              <w:rPr>
                <w:rFonts w:ascii="Arial" w:hAnsi="Arial" w:cs="Arial"/>
                <w:sz w:val="18"/>
                <w:szCs w:val="18"/>
                <w:lang w:val="en-US"/>
              </w:rPr>
            </w:pPr>
          </w:p>
        </w:tc>
        <w:tc>
          <w:tcPr>
            <w:tcW w:w="822" w:type="pct"/>
            <w:shd w:val="clear" w:color="auto" w:fill="auto"/>
          </w:tcPr>
          <w:p w14:paraId="2DFF8257" w14:textId="77777777" w:rsidR="00F3260C" w:rsidRPr="00BD295E" w:rsidRDefault="00F3260C" w:rsidP="00E3510B">
            <w:pPr>
              <w:jc w:val="center"/>
              <w:rPr>
                <w:rFonts w:ascii="Arial" w:hAnsi="Arial" w:cs="Arial"/>
                <w:sz w:val="18"/>
                <w:szCs w:val="18"/>
                <w:lang w:val="en-US"/>
              </w:rPr>
            </w:pPr>
          </w:p>
        </w:tc>
      </w:tr>
      <w:tr w:rsidR="008A5057" w:rsidRPr="00BD295E" w14:paraId="12C35BD5" w14:textId="77777777" w:rsidTr="00E3510B">
        <w:tc>
          <w:tcPr>
            <w:tcW w:w="819" w:type="pct"/>
            <w:shd w:val="clear" w:color="auto" w:fill="auto"/>
          </w:tcPr>
          <w:p w14:paraId="051A0647"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S.V. Sergeev</w:t>
            </w:r>
          </w:p>
        </w:tc>
        <w:tc>
          <w:tcPr>
            <w:tcW w:w="475" w:type="pct"/>
            <w:shd w:val="clear" w:color="auto" w:fill="auto"/>
          </w:tcPr>
          <w:p w14:paraId="526F853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w:t>
            </w:r>
          </w:p>
        </w:tc>
        <w:tc>
          <w:tcPr>
            <w:tcW w:w="583" w:type="pct"/>
            <w:shd w:val="clear" w:color="auto" w:fill="auto"/>
          </w:tcPr>
          <w:p w14:paraId="1B5599D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812,308</w:t>
            </w:r>
          </w:p>
        </w:tc>
        <w:tc>
          <w:tcPr>
            <w:tcW w:w="882" w:type="pct"/>
            <w:shd w:val="clear" w:color="auto" w:fill="auto"/>
          </w:tcPr>
          <w:p w14:paraId="3DFCB72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92,570</w:t>
            </w:r>
          </w:p>
        </w:tc>
        <w:tc>
          <w:tcPr>
            <w:tcW w:w="598" w:type="pct"/>
            <w:shd w:val="clear" w:color="auto" w:fill="auto"/>
          </w:tcPr>
          <w:p w14:paraId="230B6DB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904,878</w:t>
            </w:r>
          </w:p>
        </w:tc>
        <w:tc>
          <w:tcPr>
            <w:tcW w:w="821" w:type="pct"/>
            <w:shd w:val="clear" w:color="auto" w:fill="auto"/>
          </w:tcPr>
          <w:p w14:paraId="087E07A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106,231</w:t>
            </w:r>
          </w:p>
        </w:tc>
        <w:tc>
          <w:tcPr>
            <w:tcW w:w="822" w:type="pct"/>
            <w:shd w:val="clear" w:color="auto" w:fill="auto"/>
          </w:tcPr>
          <w:p w14:paraId="65F8BEFA" w14:textId="77777777" w:rsidR="00F3260C" w:rsidRPr="00BD295E" w:rsidRDefault="008A5057" w:rsidP="00E3510B">
            <w:pPr>
              <w:ind w:firstLine="35"/>
              <w:jc w:val="center"/>
              <w:rPr>
                <w:rFonts w:ascii="Arial" w:hAnsi="Arial" w:cs="Arial"/>
                <w:sz w:val="18"/>
                <w:szCs w:val="18"/>
                <w:lang w:val="en-US"/>
              </w:rPr>
            </w:pPr>
            <w:r w:rsidRPr="00BD295E">
              <w:rPr>
                <w:rFonts w:ascii="Arial" w:hAnsi="Arial" w:cs="Arial"/>
                <w:sz w:val="18"/>
                <w:szCs w:val="18"/>
                <w:lang w:val="en-US"/>
              </w:rPr>
              <w:t>1,011,109</w:t>
            </w:r>
          </w:p>
        </w:tc>
      </w:tr>
      <w:tr w:rsidR="008A5057" w:rsidRPr="00BD295E" w14:paraId="4C3B29F1" w14:textId="77777777" w:rsidTr="00E3510B">
        <w:tc>
          <w:tcPr>
            <w:tcW w:w="819" w:type="pct"/>
            <w:shd w:val="clear" w:color="auto" w:fill="auto"/>
          </w:tcPr>
          <w:p w14:paraId="6BA6BA24"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S.S. Pikin</w:t>
            </w:r>
          </w:p>
        </w:tc>
        <w:tc>
          <w:tcPr>
            <w:tcW w:w="475" w:type="pct"/>
            <w:shd w:val="clear" w:color="auto" w:fill="auto"/>
          </w:tcPr>
          <w:p w14:paraId="763FE70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w:t>
            </w:r>
          </w:p>
        </w:tc>
        <w:tc>
          <w:tcPr>
            <w:tcW w:w="583" w:type="pct"/>
            <w:shd w:val="clear" w:color="auto" w:fill="auto"/>
          </w:tcPr>
          <w:p w14:paraId="0C8E930C"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744,615</w:t>
            </w:r>
          </w:p>
        </w:tc>
        <w:tc>
          <w:tcPr>
            <w:tcW w:w="882" w:type="pct"/>
            <w:shd w:val="clear" w:color="auto" w:fill="auto"/>
          </w:tcPr>
          <w:p w14:paraId="54ABD9F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92,570</w:t>
            </w:r>
          </w:p>
        </w:tc>
        <w:tc>
          <w:tcPr>
            <w:tcW w:w="598" w:type="pct"/>
            <w:shd w:val="clear" w:color="auto" w:fill="auto"/>
          </w:tcPr>
          <w:p w14:paraId="5FD507A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837,185</w:t>
            </w:r>
          </w:p>
        </w:tc>
        <w:tc>
          <w:tcPr>
            <w:tcW w:w="821" w:type="pct"/>
            <w:shd w:val="clear" w:color="auto" w:fill="auto"/>
          </w:tcPr>
          <w:p w14:paraId="0A93A3B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24,322</w:t>
            </w:r>
          </w:p>
        </w:tc>
        <w:tc>
          <w:tcPr>
            <w:tcW w:w="822" w:type="pct"/>
            <w:shd w:val="clear" w:color="auto" w:fill="auto"/>
          </w:tcPr>
          <w:p w14:paraId="5CFC0AE7" w14:textId="77777777" w:rsidR="00F3260C" w:rsidRPr="00BD295E" w:rsidRDefault="008A5057" w:rsidP="00E3510B">
            <w:pPr>
              <w:ind w:firstLine="35"/>
              <w:jc w:val="center"/>
              <w:rPr>
                <w:rFonts w:ascii="Arial" w:hAnsi="Arial" w:cs="Arial"/>
                <w:sz w:val="18"/>
                <w:szCs w:val="18"/>
                <w:lang w:val="en-US"/>
              </w:rPr>
            </w:pPr>
            <w:r w:rsidRPr="00BD295E">
              <w:rPr>
                <w:rFonts w:ascii="Arial" w:hAnsi="Arial" w:cs="Arial"/>
                <w:sz w:val="18"/>
                <w:szCs w:val="18"/>
                <w:lang w:val="en-US"/>
              </w:rPr>
              <w:t>861,507</w:t>
            </w:r>
          </w:p>
        </w:tc>
      </w:tr>
      <w:tr w:rsidR="008A5057" w:rsidRPr="00BD295E" w14:paraId="3DC58BC3" w14:textId="77777777" w:rsidTr="00E3510B">
        <w:tc>
          <w:tcPr>
            <w:tcW w:w="819" w:type="pct"/>
            <w:shd w:val="clear" w:color="auto" w:fill="auto"/>
          </w:tcPr>
          <w:p w14:paraId="14C4DD38"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Ye.A. Olkhovich</w:t>
            </w:r>
          </w:p>
        </w:tc>
        <w:tc>
          <w:tcPr>
            <w:tcW w:w="475" w:type="pct"/>
            <w:shd w:val="clear" w:color="auto" w:fill="auto"/>
          </w:tcPr>
          <w:p w14:paraId="5F67589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w:t>
            </w:r>
          </w:p>
        </w:tc>
        <w:tc>
          <w:tcPr>
            <w:tcW w:w="583" w:type="pct"/>
            <w:shd w:val="clear" w:color="auto" w:fill="auto"/>
          </w:tcPr>
          <w:p w14:paraId="1ABDF830"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332,308</w:t>
            </w:r>
          </w:p>
        </w:tc>
        <w:tc>
          <w:tcPr>
            <w:tcW w:w="882" w:type="pct"/>
            <w:shd w:val="clear" w:color="auto" w:fill="auto"/>
          </w:tcPr>
          <w:p w14:paraId="04E71BC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92,570</w:t>
            </w:r>
          </w:p>
        </w:tc>
        <w:tc>
          <w:tcPr>
            <w:tcW w:w="598" w:type="pct"/>
            <w:shd w:val="clear" w:color="auto" w:fill="auto"/>
          </w:tcPr>
          <w:p w14:paraId="3121B96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424,878</w:t>
            </w:r>
          </w:p>
        </w:tc>
        <w:tc>
          <w:tcPr>
            <w:tcW w:w="821" w:type="pct"/>
            <w:shd w:val="clear" w:color="auto" w:fill="auto"/>
          </w:tcPr>
          <w:p w14:paraId="75D24D8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72,799</w:t>
            </w:r>
          </w:p>
        </w:tc>
        <w:tc>
          <w:tcPr>
            <w:tcW w:w="822" w:type="pct"/>
            <w:shd w:val="clear" w:color="auto" w:fill="auto"/>
          </w:tcPr>
          <w:p w14:paraId="1FF60FB6" w14:textId="77777777" w:rsidR="00F3260C" w:rsidRPr="00BD295E" w:rsidRDefault="008A5057" w:rsidP="00E3510B">
            <w:pPr>
              <w:ind w:firstLine="35"/>
              <w:jc w:val="center"/>
              <w:rPr>
                <w:rFonts w:ascii="Arial" w:hAnsi="Arial" w:cs="Arial"/>
                <w:sz w:val="18"/>
                <w:szCs w:val="18"/>
                <w:lang w:val="en-US"/>
              </w:rPr>
            </w:pPr>
            <w:r w:rsidRPr="00BD295E">
              <w:rPr>
                <w:rFonts w:ascii="Arial" w:hAnsi="Arial" w:cs="Arial"/>
                <w:sz w:val="18"/>
                <w:szCs w:val="18"/>
                <w:lang w:val="en-US"/>
              </w:rPr>
              <w:t>497,677</w:t>
            </w:r>
          </w:p>
        </w:tc>
      </w:tr>
      <w:tr w:rsidR="008A5057" w:rsidRPr="00BD295E" w14:paraId="1AA1BBEB" w14:textId="77777777" w:rsidTr="00E3510B">
        <w:tc>
          <w:tcPr>
            <w:tcW w:w="819" w:type="pct"/>
            <w:shd w:val="clear" w:color="auto" w:fill="auto"/>
          </w:tcPr>
          <w:p w14:paraId="5E8F9F17"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D.V. Krainsky</w:t>
            </w:r>
          </w:p>
        </w:tc>
        <w:tc>
          <w:tcPr>
            <w:tcW w:w="475" w:type="pct"/>
            <w:shd w:val="clear" w:color="auto" w:fill="auto"/>
          </w:tcPr>
          <w:p w14:paraId="46D71AB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w:t>
            </w:r>
          </w:p>
        </w:tc>
        <w:tc>
          <w:tcPr>
            <w:tcW w:w="583" w:type="pct"/>
            <w:shd w:val="clear" w:color="auto" w:fill="auto"/>
          </w:tcPr>
          <w:p w14:paraId="45296EE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321,539</w:t>
            </w:r>
          </w:p>
        </w:tc>
        <w:tc>
          <w:tcPr>
            <w:tcW w:w="882" w:type="pct"/>
            <w:shd w:val="clear" w:color="auto" w:fill="auto"/>
          </w:tcPr>
          <w:p w14:paraId="6191184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92,570</w:t>
            </w:r>
          </w:p>
        </w:tc>
        <w:tc>
          <w:tcPr>
            <w:tcW w:w="598" w:type="pct"/>
            <w:shd w:val="clear" w:color="auto" w:fill="auto"/>
          </w:tcPr>
          <w:p w14:paraId="165DD6C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414,109</w:t>
            </w:r>
          </w:p>
        </w:tc>
        <w:tc>
          <w:tcPr>
            <w:tcW w:w="821" w:type="pct"/>
            <w:shd w:val="clear" w:color="auto" w:fill="auto"/>
          </w:tcPr>
          <w:p w14:paraId="2906635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11,694,559</w:t>
            </w:r>
          </w:p>
        </w:tc>
        <w:tc>
          <w:tcPr>
            <w:tcW w:w="822" w:type="pct"/>
            <w:shd w:val="clear" w:color="auto" w:fill="auto"/>
          </w:tcPr>
          <w:p w14:paraId="751DFDE2" w14:textId="77777777" w:rsidR="00F3260C" w:rsidRPr="00BD295E" w:rsidRDefault="008A5057" w:rsidP="00E3510B">
            <w:pPr>
              <w:ind w:firstLine="35"/>
              <w:rPr>
                <w:rFonts w:ascii="Arial" w:hAnsi="Arial" w:cs="Arial"/>
                <w:sz w:val="18"/>
                <w:szCs w:val="18"/>
                <w:lang w:val="en-US"/>
              </w:rPr>
            </w:pPr>
            <w:r w:rsidRPr="00BD295E">
              <w:rPr>
                <w:rFonts w:ascii="Arial" w:hAnsi="Arial" w:cs="Arial"/>
                <w:sz w:val="18"/>
                <w:szCs w:val="18"/>
                <w:lang w:val="en-US"/>
              </w:rPr>
              <w:t>12,108,668</w:t>
            </w:r>
          </w:p>
        </w:tc>
      </w:tr>
      <w:tr w:rsidR="008A5057" w:rsidRPr="00BD295E" w14:paraId="4498FF80" w14:textId="77777777" w:rsidTr="00E3510B">
        <w:tc>
          <w:tcPr>
            <w:tcW w:w="819" w:type="pct"/>
            <w:shd w:val="clear" w:color="auto" w:fill="auto"/>
          </w:tcPr>
          <w:p w14:paraId="49B2E0BD"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A.S. Bondarchuk</w:t>
            </w:r>
          </w:p>
        </w:tc>
        <w:tc>
          <w:tcPr>
            <w:tcW w:w="475" w:type="pct"/>
            <w:shd w:val="clear" w:color="auto" w:fill="auto"/>
          </w:tcPr>
          <w:p w14:paraId="6E649F9A" w14:textId="77777777" w:rsidR="00F3260C" w:rsidRPr="00BD295E" w:rsidRDefault="00F3260C" w:rsidP="0031297B">
            <w:pPr>
              <w:rPr>
                <w:rFonts w:ascii="Arial" w:hAnsi="Arial" w:cs="Arial"/>
                <w:sz w:val="18"/>
                <w:szCs w:val="18"/>
                <w:lang w:val="en-US"/>
              </w:rPr>
            </w:pPr>
          </w:p>
        </w:tc>
        <w:tc>
          <w:tcPr>
            <w:tcW w:w="583" w:type="pct"/>
            <w:shd w:val="clear" w:color="auto" w:fill="auto"/>
          </w:tcPr>
          <w:p w14:paraId="254BDB32" w14:textId="77777777" w:rsidR="00F3260C" w:rsidRPr="00BD295E" w:rsidRDefault="00F3260C" w:rsidP="0031297B">
            <w:pPr>
              <w:rPr>
                <w:rFonts w:ascii="Arial" w:hAnsi="Arial" w:cs="Arial"/>
                <w:sz w:val="18"/>
                <w:szCs w:val="18"/>
                <w:lang w:val="en-US"/>
              </w:rPr>
            </w:pPr>
          </w:p>
        </w:tc>
        <w:tc>
          <w:tcPr>
            <w:tcW w:w="882" w:type="pct"/>
            <w:shd w:val="clear" w:color="auto" w:fill="auto"/>
          </w:tcPr>
          <w:p w14:paraId="6A24D791" w14:textId="77777777" w:rsidR="00F3260C" w:rsidRPr="00BD295E" w:rsidRDefault="00F3260C" w:rsidP="0031297B">
            <w:pPr>
              <w:rPr>
                <w:rFonts w:ascii="Arial" w:hAnsi="Arial" w:cs="Arial"/>
                <w:sz w:val="18"/>
                <w:szCs w:val="18"/>
                <w:lang w:val="en-US"/>
              </w:rPr>
            </w:pPr>
          </w:p>
        </w:tc>
        <w:tc>
          <w:tcPr>
            <w:tcW w:w="598" w:type="pct"/>
            <w:shd w:val="clear" w:color="auto" w:fill="auto"/>
          </w:tcPr>
          <w:p w14:paraId="226EBDAE" w14:textId="77777777" w:rsidR="00F3260C" w:rsidRPr="00BD295E" w:rsidRDefault="00F3260C" w:rsidP="0031297B">
            <w:pPr>
              <w:rPr>
                <w:rFonts w:ascii="Arial" w:hAnsi="Arial" w:cs="Arial"/>
                <w:sz w:val="18"/>
                <w:szCs w:val="18"/>
                <w:lang w:val="en-US"/>
              </w:rPr>
            </w:pPr>
          </w:p>
        </w:tc>
        <w:tc>
          <w:tcPr>
            <w:tcW w:w="821" w:type="pct"/>
            <w:shd w:val="clear" w:color="auto" w:fill="auto"/>
          </w:tcPr>
          <w:p w14:paraId="0D6F7430"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07C8FCD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Not paid</w:t>
            </w:r>
          </w:p>
        </w:tc>
      </w:tr>
      <w:tr w:rsidR="008A5057" w:rsidRPr="00BD295E" w14:paraId="76E7E643" w14:textId="77777777" w:rsidTr="00E3510B">
        <w:tc>
          <w:tcPr>
            <w:tcW w:w="819" w:type="pct"/>
            <w:shd w:val="clear" w:color="auto" w:fill="auto"/>
          </w:tcPr>
          <w:p w14:paraId="3C8EB634"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A.V. German</w:t>
            </w:r>
          </w:p>
        </w:tc>
        <w:tc>
          <w:tcPr>
            <w:tcW w:w="475" w:type="pct"/>
            <w:shd w:val="clear" w:color="auto" w:fill="auto"/>
          </w:tcPr>
          <w:p w14:paraId="49F0C786" w14:textId="77777777" w:rsidR="00F3260C" w:rsidRPr="00BD295E" w:rsidRDefault="00F3260C" w:rsidP="0031297B">
            <w:pPr>
              <w:rPr>
                <w:rFonts w:ascii="Arial" w:hAnsi="Arial" w:cs="Arial"/>
                <w:sz w:val="18"/>
                <w:szCs w:val="18"/>
                <w:lang w:val="en-US"/>
              </w:rPr>
            </w:pPr>
          </w:p>
        </w:tc>
        <w:tc>
          <w:tcPr>
            <w:tcW w:w="583" w:type="pct"/>
            <w:shd w:val="clear" w:color="auto" w:fill="auto"/>
          </w:tcPr>
          <w:p w14:paraId="35234954" w14:textId="77777777" w:rsidR="00F3260C" w:rsidRPr="00BD295E" w:rsidRDefault="00F3260C" w:rsidP="0031297B">
            <w:pPr>
              <w:rPr>
                <w:rFonts w:ascii="Arial" w:hAnsi="Arial" w:cs="Arial"/>
                <w:sz w:val="18"/>
                <w:szCs w:val="18"/>
                <w:lang w:val="en-US"/>
              </w:rPr>
            </w:pPr>
          </w:p>
        </w:tc>
        <w:tc>
          <w:tcPr>
            <w:tcW w:w="882" w:type="pct"/>
            <w:shd w:val="clear" w:color="auto" w:fill="auto"/>
          </w:tcPr>
          <w:p w14:paraId="25C0F9B4" w14:textId="77777777" w:rsidR="00F3260C" w:rsidRPr="00BD295E" w:rsidRDefault="00F3260C" w:rsidP="0031297B">
            <w:pPr>
              <w:rPr>
                <w:rFonts w:ascii="Arial" w:hAnsi="Arial" w:cs="Arial"/>
                <w:sz w:val="18"/>
                <w:szCs w:val="18"/>
                <w:lang w:val="en-US"/>
              </w:rPr>
            </w:pPr>
          </w:p>
        </w:tc>
        <w:tc>
          <w:tcPr>
            <w:tcW w:w="598" w:type="pct"/>
            <w:shd w:val="clear" w:color="auto" w:fill="auto"/>
          </w:tcPr>
          <w:p w14:paraId="77382E3A" w14:textId="77777777" w:rsidR="00F3260C" w:rsidRPr="00BD295E" w:rsidRDefault="00F3260C" w:rsidP="0031297B">
            <w:pPr>
              <w:rPr>
                <w:rFonts w:ascii="Arial" w:hAnsi="Arial" w:cs="Arial"/>
                <w:sz w:val="18"/>
                <w:szCs w:val="18"/>
                <w:lang w:val="en-US"/>
              </w:rPr>
            </w:pPr>
          </w:p>
        </w:tc>
        <w:tc>
          <w:tcPr>
            <w:tcW w:w="821" w:type="pct"/>
            <w:shd w:val="clear" w:color="auto" w:fill="auto"/>
          </w:tcPr>
          <w:p w14:paraId="41525DFB"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0FEC4A3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Not paid</w:t>
            </w:r>
          </w:p>
        </w:tc>
      </w:tr>
      <w:tr w:rsidR="008A5057" w:rsidRPr="00BD295E" w14:paraId="5D18886A" w14:textId="77777777" w:rsidTr="00E3510B">
        <w:tc>
          <w:tcPr>
            <w:tcW w:w="819" w:type="pct"/>
            <w:shd w:val="clear" w:color="auto" w:fill="auto"/>
          </w:tcPr>
          <w:p w14:paraId="397980B7"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O.V. Kolesnikova</w:t>
            </w:r>
          </w:p>
        </w:tc>
        <w:tc>
          <w:tcPr>
            <w:tcW w:w="475" w:type="pct"/>
            <w:shd w:val="clear" w:color="auto" w:fill="auto"/>
          </w:tcPr>
          <w:p w14:paraId="054BC75F" w14:textId="77777777" w:rsidR="00F3260C" w:rsidRPr="00BD295E" w:rsidRDefault="00F3260C" w:rsidP="0031297B">
            <w:pPr>
              <w:rPr>
                <w:rFonts w:ascii="Arial" w:hAnsi="Arial" w:cs="Arial"/>
                <w:sz w:val="18"/>
                <w:szCs w:val="18"/>
                <w:lang w:val="en-US"/>
              </w:rPr>
            </w:pPr>
          </w:p>
        </w:tc>
        <w:tc>
          <w:tcPr>
            <w:tcW w:w="583" w:type="pct"/>
            <w:shd w:val="clear" w:color="auto" w:fill="auto"/>
          </w:tcPr>
          <w:p w14:paraId="472C47A6" w14:textId="77777777" w:rsidR="00F3260C" w:rsidRPr="00BD295E" w:rsidRDefault="00F3260C" w:rsidP="0031297B">
            <w:pPr>
              <w:rPr>
                <w:rFonts w:ascii="Arial" w:hAnsi="Arial" w:cs="Arial"/>
                <w:sz w:val="18"/>
                <w:szCs w:val="18"/>
                <w:lang w:val="en-US"/>
              </w:rPr>
            </w:pPr>
          </w:p>
        </w:tc>
        <w:tc>
          <w:tcPr>
            <w:tcW w:w="882" w:type="pct"/>
            <w:shd w:val="clear" w:color="auto" w:fill="auto"/>
          </w:tcPr>
          <w:p w14:paraId="08C597BB" w14:textId="77777777" w:rsidR="00F3260C" w:rsidRPr="00BD295E" w:rsidRDefault="00F3260C" w:rsidP="0031297B">
            <w:pPr>
              <w:rPr>
                <w:rFonts w:ascii="Arial" w:hAnsi="Arial" w:cs="Arial"/>
                <w:sz w:val="18"/>
                <w:szCs w:val="18"/>
                <w:lang w:val="en-US"/>
              </w:rPr>
            </w:pPr>
          </w:p>
        </w:tc>
        <w:tc>
          <w:tcPr>
            <w:tcW w:w="598" w:type="pct"/>
            <w:shd w:val="clear" w:color="auto" w:fill="auto"/>
          </w:tcPr>
          <w:p w14:paraId="1F5A8E0B" w14:textId="77777777" w:rsidR="00F3260C" w:rsidRPr="00BD295E" w:rsidRDefault="00F3260C" w:rsidP="0031297B">
            <w:pPr>
              <w:rPr>
                <w:rFonts w:ascii="Arial" w:hAnsi="Arial" w:cs="Arial"/>
                <w:sz w:val="18"/>
                <w:szCs w:val="18"/>
                <w:lang w:val="en-US"/>
              </w:rPr>
            </w:pPr>
          </w:p>
        </w:tc>
        <w:tc>
          <w:tcPr>
            <w:tcW w:w="821" w:type="pct"/>
            <w:shd w:val="clear" w:color="auto" w:fill="auto"/>
          </w:tcPr>
          <w:p w14:paraId="7007FCCE"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7D7A6F9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Not paid</w:t>
            </w:r>
          </w:p>
        </w:tc>
      </w:tr>
      <w:tr w:rsidR="008A5057" w:rsidRPr="00BD295E" w14:paraId="02165860" w14:textId="77777777" w:rsidTr="00E3510B">
        <w:tc>
          <w:tcPr>
            <w:tcW w:w="819" w:type="pct"/>
            <w:shd w:val="clear" w:color="auto" w:fill="auto"/>
          </w:tcPr>
          <w:p w14:paraId="11363522"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G.G. Safarov</w:t>
            </w:r>
          </w:p>
        </w:tc>
        <w:tc>
          <w:tcPr>
            <w:tcW w:w="475" w:type="pct"/>
            <w:shd w:val="clear" w:color="auto" w:fill="auto"/>
          </w:tcPr>
          <w:p w14:paraId="67A11F08" w14:textId="77777777" w:rsidR="00F3260C" w:rsidRPr="00BD295E" w:rsidRDefault="00F3260C" w:rsidP="0031297B">
            <w:pPr>
              <w:rPr>
                <w:rFonts w:ascii="Arial" w:hAnsi="Arial" w:cs="Arial"/>
                <w:sz w:val="18"/>
                <w:szCs w:val="18"/>
                <w:lang w:val="en-US"/>
              </w:rPr>
            </w:pPr>
          </w:p>
        </w:tc>
        <w:tc>
          <w:tcPr>
            <w:tcW w:w="583" w:type="pct"/>
            <w:shd w:val="clear" w:color="auto" w:fill="auto"/>
          </w:tcPr>
          <w:p w14:paraId="2B307343" w14:textId="77777777" w:rsidR="00F3260C" w:rsidRPr="00BD295E" w:rsidRDefault="00F3260C" w:rsidP="0031297B">
            <w:pPr>
              <w:rPr>
                <w:rFonts w:ascii="Arial" w:hAnsi="Arial" w:cs="Arial"/>
                <w:sz w:val="18"/>
                <w:szCs w:val="18"/>
                <w:lang w:val="en-US"/>
              </w:rPr>
            </w:pPr>
          </w:p>
        </w:tc>
        <w:tc>
          <w:tcPr>
            <w:tcW w:w="882" w:type="pct"/>
            <w:shd w:val="clear" w:color="auto" w:fill="auto"/>
          </w:tcPr>
          <w:p w14:paraId="7CC2A6C1" w14:textId="77777777" w:rsidR="00F3260C" w:rsidRPr="00BD295E" w:rsidRDefault="00F3260C" w:rsidP="0031297B">
            <w:pPr>
              <w:rPr>
                <w:rFonts w:ascii="Arial" w:hAnsi="Arial" w:cs="Arial"/>
                <w:sz w:val="18"/>
                <w:szCs w:val="18"/>
                <w:lang w:val="en-US"/>
              </w:rPr>
            </w:pPr>
          </w:p>
        </w:tc>
        <w:tc>
          <w:tcPr>
            <w:tcW w:w="598" w:type="pct"/>
            <w:shd w:val="clear" w:color="auto" w:fill="auto"/>
          </w:tcPr>
          <w:p w14:paraId="52843D03" w14:textId="77777777" w:rsidR="00F3260C" w:rsidRPr="00BD295E" w:rsidRDefault="00F3260C" w:rsidP="0031297B">
            <w:pPr>
              <w:rPr>
                <w:rFonts w:ascii="Arial" w:hAnsi="Arial" w:cs="Arial"/>
                <w:sz w:val="18"/>
                <w:szCs w:val="18"/>
                <w:lang w:val="en-US"/>
              </w:rPr>
            </w:pPr>
          </w:p>
        </w:tc>
        <w:tc>
          <w:tcPr>
            <w:tcW w:w="821" w:type="pct"/>
            <w:shd w:val="clear" w:color="auto" w:fill="auto"/>
          </w:tcPr>
          <w:p w14:paraId="36258285"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580CE76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Not paid</w:t>
            </w:r>
          </w:p>
        </w:tc>
      </w:tr>
      <w:tr w:rsidR="008A5057" w:rsidRPr="00BD295E" w14:paraId="549BF881" w14:textId="77777777" w:rsidTr="00E3510B">
        <w:tc>
          <w:tcPr>
            <w:tcW w:w="819" w:type="pct"/>
            <w:shd w:val="clear" w:color="auto" w:fill="auto"/>
          </w:tcPr>
          <w:p w14:paraId="2E491B51"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L.D. Solovyova</w:t>
            </w:r>
          </w:p>
        </w:tc>
        <w:tc>
          <w:tcPr>
            <w:tcW w:w="475" w:type="pct"/>
            <w:shd w:val="clear" w:color="auto" w:fill="auto"/>
          </w:tcPr>
          <w:p w14:paraId="45A9ADFF" w14:textId="77777777" w:rsidR="00F3260C" w:rsidRPr="00BD295E" w:rsidRDefault="00F3260C" w:rsidP="0031297B">
            <w:pPr>
              <w:rPr>
                <w:rFonts w:ascii="Arial" w:hAnsi="Arial" w:cs="Arial"/>
                <w:sz w:val="18"/>
                <w:szCs w:val="18"/>
                <w:lang w:val="en-US"/>
              </w:rPr>
            </w:pPr>
          </w:p>
        </w:tc>
        <w:tc>
          <w:tcPr>
            <w:tcW w:w="583" w:type="pct"/>
            <w:shd w:val="clear" w:color="auto" w:fill="auto"/>
          </w:tcPr>
          <w:p w14:paraId="1984E9A1" w14:textId="77777777" w:rsidR="00F3260C" w:rsidRPr="00BD295E" w:rsidRDefault="00F3260C" w:rsidP="0031297B">
            <w:pPr>
              <w:rPr>
                <w:rFonts w:ascii="Arial" w:hAnsi="Arial" w:cs="Arial"/>
                <w:sz w:val="18"/>
                <w:szCs w:val="18"/>
                <w:lang w:val="en-US"/>
              </w:rPr>
            </w:pPr>
          </w:p>
        </w:tc>
        <w:tc>
          <w:tcPr>
            <w:tcW w:w="882" w:type="pct"/>
            <w:shd w:val="clear" w:color="auto" w:fill="auto"/>
          </w:tcPr>
          <w:p w14:paraId="1B037EBC" w14:textId="77777777" w:rsidR="00F3260C" w:rsidRPr="00BD295E" w:rsidRDefault="00F3260C" w:rsidP="0031297B">
            <w:pPr>
              <w:rPr>
                <w:rFonts w:ascii="Arial" w:hAnsi="Arial" w:cs="Arial"/>
                <w:sz w:val="18"/>
                <w:szCs w:val="18"/>
                <w:lang w:val="en-US"/>
              </w:rPr>
            </w:pPr>
          </w:p>
        </w:tc>
        <w:tc>
          <w:tcPr>
            <w:tcW w:w="598" w:type="pct"/>
            <w:shd w:val="clear" w:color="auto" w:fill="auto"/>
          </w:tcPr>
          <w:p w14:paraId="7021C371" w14:textId="77777777" w:rsidR="00F3260C" w:rsidRPr="00BD295E" w:rsidRDefault="00F3260C" w:rsidP="0031297B">
            <w:pPr>
              <w:rPr>
                <w:rFonts w:ascii="Arial" w:hAnsi="Arial" w:cs="Arial"/>
                <w:sz w:val="18"/>
                <w:szCs w:val="18"/>
                <w:lang w:val="en-US"/>
              </w:rPr>
            </w:pPr>
          </w:p>
        </w:tc>
        <w:tc>
          <w:tcPr>
            <w:tcW w:w="821" w:type="pct"/>
            <w:shd w:val="clear" w:color="auto" w:fill="auto"/>
          </w:tcPr>
          <w:p w14:paraId="5A53BB63"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5948B03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Not paid</w:t>
            </w:r>
          </w:p>
        </w:tc>
      </w:tr>
      <w:tr w:rsidR="008A5057" w:rsidRPr="00BD295E" w14:paraId="2F697D8F" w14:textId="77777777" w:rsidTr="00E3510B">
        <w:tc>
          <w:tcPr>
            <w:tcW w:w="819" w:type="pct"/>
            <w:shd w:val="clear" w:color="auto" w:fill="auto"/>
          </w:tcPr>
          <w:p w14:paraId="7E99493F" w14:textId="77777777" w:rsidR="00F3260C" w:rsidRPr="00BD295E" w:rsidRDefault="008A5057" w:rsidP="00E3510B">
            <w:pPr>
              <w:ind w:firstLine="27"/>
              <w:jc w:val="both"/>
              <w:rPr>
                <w:rFonts w:ascii="Arial" w:hAnsi="Arial" w:cs="Arial"/>
                <w:sz w:val="18"/>
                <w:szCs w:val="18"/>
                <w:lang w:val="en-US"/>
              </w:rPr>
            </w:pPr>
            <w:r w:rsidRPr="00BD295E">
              <w:rPr>
                <w:rFonts w:ascii="Arial" w:hAnsi="Arial" w:cs="Arial"/>
                <w:sz w:val="18"/>
                <w:szCs w:val="18"/>
                <w:lang w:val="en-US"/>
              </w:rPr>
              <w:t>S.L. Miloslavsky</w:t>
            </w:r>
          </w:p>
        </w:tc>
        <w:tc>
          <w:tcPr>
            <w:tcW w:w="475" w:type="pct"/>
            <w:shd w:val="clear" w:color="auto" w:fill="auto"/>
          </w:tcPr>
          <w:p w14:paraId="599BF4A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w:t>
            </w:r>
          </w:p>
        </w:tc>
        <w:tc>
          <w:tcPr>
            <w:tcW w:w="583" w:type="pct"/>
            <w:shd w:val="clear" w:color="auto" w:fill="auto"/>
          </w:tcPr>
          <w:p w14:paraId="4F06047C" w14:textId="77777777" w:rsidR="00F3260C" w:rsidRPr="00BD295E" w:rsidRDefault="00F3260C" w:rsidP="0031297B">
            <w:pPr>
              <w:rPr>
                <w:rFonts w:ascii="Arial" w:hAnsi="Arial" w:cs="Arial"/>
                <w:sz w:val="18"/>
                <w:szCs w:val="18"/>
                <w:lang w:val="en-US"/>
              </w:rPr>
            </w:pPr>
          </w:p>
        </w:tc>
        <w:tc>
          <w:tcPr>
            <w:tcW w:w="882" w:type="pct"/>
            <w:shd w:val="clear" w:color="auto" w:fill="auto"/>
          </w:tcPr>
          <w:p w14:paraId="34E6E40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92,570</w:t>
            </w:r>
          </w:p>
        </w:tc>
        <w:tc>
          <w:tcPr>
            <w:tcW w:w="598" w:type="pct"/>
            <w:shd w:val="clear" w:color="auto" w:fill="auto"/>
          </w:tcPr>
          <w:p w14:paraId="18C60E3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92,570</w:t>
            </w:r>
          </w:p>
        </w:tc>
        <w:tc>
          <w:tcPr>
            <w:tcW w:w="821" w:type="pct"/>
            <w:shd w:val="clear" w:color="auto" w:fill="auto"/>
          </w:tcPr>
          <w:p w14:paraId="011B7C78"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1682B51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92,570</w:t>
            </w:r>
          </w:p>
        </w:tc>
      </w:tr>
      <w:tr w:rsidR="008A5057" w:rsidRPr="00BD295E" w14:paraId="6A971EE0" w14:textId="77777777" w:rsidTr="00E3510B">
        <w:tc>
          <w:tcPr>
            <w:tcW w:w="5000" w:type="pct"/>
            <w:gridSpan w:val="7"/>
            <w:shd w:val="clear" w:color="auto" w:fill="auto"/>
          </w:tcPr>
          <w:p w14:paraId="7D02AC40"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Members of the Board of Directors who resigned from the Company’s Board of Directors on February 5, 2018:</w:t>
            </w:r>
          </w:p>
        </w:tc>
      </w:tr>
      <w:tr w:rsidR="008A5057" w:rsidRPr="00BD295E" w14:paraId="27AA9B02" w14:textId="77777777" w:rsidTr="00E3510B">
        <w:tc>
          <w:tcPr>
            <w:tcW w:w="819" w:type="pct"/>
            <w:shd w:val="clear" w:color="auto" w:fill="auto"/>
          </w:tcPr>
          <w:p w14:paraId="42887721"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O.M. Budargin</w:t>
            </w:r>
          </w:p>
        </w:tc>
        <w:tc>
          <w:tcPr>
            <w:tcW w:w="475" w:type="pct"/>
            <w:shd w:val="clear" w:color="auto" w:fill="auto"/>
          </w:tcPr>
          <w:p w14:paraId="084EFB3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30%</w:t>
            </w:r>
          </w:p>
        </w:tc>
        <w:tc>
          <w:tcPr>
            <w:tcW w:w="583" w:type="pct"/>
            <w:shd w:val="clear" w:color="auto" w:fill="auto"/>
          </w:tcPr>
          <w:p w14:paraId="590838BB" w14:textId="77777777" w:rsidR="00F3260C" w:rsidRPr="00BD295E" w:rsidRDefault="008A5057" w:rsidP="00E3510B">
            <w:pPr>
              <w:ind w:firstLine="28"/>
              <w:jc w:val="center"/>
              <w:rPr>
                <w:rFonts w:ascii="Arial" w:hAnsi="Arial" w:cs="Arial"/>
                <w:sz w:val="18"/>
                <w:szCs w:val="18"/>
                <w:lang w:val="en-US"/>
              </w:rPr>
            </w:pPr>
            <w:r w:rsidRPr="00BD295E">
              <w:rPr>
                <w:rFonts w:ascii="Arial" w:hAnsi="Arial" w:cs="Arial"/>
                <w:sz w:val="18"/>
                <w:szCs w:val="18"/>
                <w:lang w:val="en-US"/>
              </w:rPr>
              <w:t>500,000</w:t>
            </w:r>
          </w:p>
        </w:tc>
        <w:tc>
          <w:tcPr>
            <w:tcW w:w="882" w:type="pct"/>
            <w:shd w:val="clear" w:color="auto" w:fill="auto"/>
          </w:tcPr>
          <w:p w14:paraId="2B755047" w14:textId="77777777" w:rsidR="00F3260C" w:rsidRPr="00BD295E" w:rsidRDefault="00F3260C" w:rsidP="0031297B">
            <w:pPr>
              <w:rPr>
                <w:rFonts w:ascii="Arial" w:hAnsi="Arial" w:cs="Arial"/>
                <w:sz w:val="18"/>
                <w:szCs w:val="18"/>
                <w:lang w:val="en-US"/>
              </w:rPr>
            </w:pPr>
          </w:p>
        </w:tc>
        <w:tc>
          <w:tcPr>
            <w:tcW w:w="598" w:type="pct"/>
            <w:shd w:val="clear" w:color="auto" w:fill="auto"/>
          </w:tcPr>
          <w:p w14:paraId="4E956E5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500,000</w:t>
            </w:r>
          </w:p>
        </w:tc>
        <w:tc>
          <w:tcPr>
            <w:tcW w:w="821" w:type="pct"/>
            <w:shd w:val="clear" w:color="auto" w:fill="auto"/>
          </w:tcPr>
          <w:p w14:paraId="55B5C795"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39B674C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500,000</w:t>
            </w:r>
          </w:p>
        </w:tc>
      </w:tr>
      <w:tr w:rsidR="008A5057" w:rsidRPr="00BD295E" w14:paraId="009DEB27" w14:textId="77777777" w:rsidTr="00E3510B">
        <w:tc>
          <w:tcPr>
            <w:tcW w:w="819" w:type="pct"/>
            <w:shd w:val="clear" w:color="auto" w:fill="auto"/>
          </w:tcPr>
          <w:p w14:paraId="570975B7"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R.N. Berdnikov</w:t>
            </w:r>
          </w:p>
        </w:tc>
        <w:tc>
          <w:tcPr>
            <w:tcW w:w="475" w:type="pct"/>
            <w:shd w:val="clear" w:color="auto" w:fill="auto"/>
          </w:tcPr>
          <w:p w14:paraId="20F5CD1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w:t>
            </w:r>
          </w:p>
        </w:tc>
        <w:tc>
          <w:tcPr>
            <w:tcW w:w="583" w:type="pct"/>
            <w:shd w:val="clear" w:color="auto" w:fill="auto"/>
          </w:tcPr>
          <w:p w14:paraId="10C9BC8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406,154</w:t>
            </w:r>
          </w:p>
        </w:tc>
        <w:tc>
          <w:tcPr>
            <w:tcW w:w="882" w:type="pct"/>
            <w:shd w:val="clear" w:color="auto" w:fill="auto"/>
          </w:tcPr>
          <w:p w14:paraId="26516FD7" w14:textId="77777777" w:rsidR="00F3260C" w:rsidRPr="00BD295E" w:rsidRDefault="00F3260C" w:rsidP="0031297B">
            <w:pPr>
              <w:rPr>
                <w:rFonts w:ascii="Arial" w:hAnsi="Arial" w:cs="Arial"/>
                <w:sz w:val="18"/>
                <w:szCs w:val="18"/>
                <w:lang w:val="en-US"/>
              </w:rPr>
            </w:pPr>
          </w:p>
        </w:tc>
        <w:tc>
          <w:tcPr>
            <w:tcW w:w="598" w:type="pct"/>
            <w:shd w:val="clear" w:color="auto" w:fill="auto"/>
          </w:tcPr>
          <w:p w14:paraId="1D3C4FD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406,154</w:t>
            </w:r>
          </w:p>
        </w:tc>
        <w:tc>
          <w:tcPr>
            <w:tcW w:w="821" w:type="pct"/>
            <w:shd w:val="clear" w:color="auto" w:fill="auto"/>
          </w:tcPr>
          <w:p w14:paraId="2DCECE0F"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71C3D3B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406,154</w:t>
            </w:r>
          </w:p>
        </w:tc>
      </w:tr>
      <w:tr w:rsidR="008A5057" w:rsidRPr="00BD295E" w14:paraId="19D38364" w14:textId="77777777" w:rsidTr="00E3510B">
        <w:tc>
          <w:tcPr>
            <w:tcW w:w="819" w:type="pct"/>
            <w:shd w:val="clear" w:color="auto" w:fill="auto"/>
          </w:tcPr>
          <w:p w14:paraId="4552D85C"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Ye.V. Prokhorov</w:t>
            </w:r>
          </w:p>
        </w:tc>
        <w:tc>
          <w:tcPr>
            <w:tcW w:w="475" w:type="pct"/>
            <w:shd w:val="clear" w:color="auto" w:fill="auto"/>
          </w:tcPr>
          <w:p w14:paraId="16432D2C" w14:textId="77777777" w:rsidR="00F3260C" w:rsidRPr="00BD295E" w:rsidRDefault="00F3260C" w:rsidP="0031297B">
            <w:pPr>
              <w:rPr>
                <w:rFonts w:ascii="Arial" w:hAnsi="Arial" w:cs="Arial"/>
                <w:sz w:val="18"/>
                <w:szCs w:val="18"/>
                <w:lang w:val="en-US"/>
              </w:rPr>
            </w:pPr>
          </w:p>
        </w:tc>
        <w:tc>
          <w:tcPr>
            <w:tcW w:w="583" w:type="pct"/>
            <w:shd w:val="clear" w:color="auto" w:fill="auto"/>
          </w:tcPr>
          <w:p w14:paraId="2A28B79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292,308</w:t>
            </w:r>
          </w:p>
        </w:tc>
        <w:tc>
          <w:tcPr>
            <w:tcW w:w="882" w:type="pct"/>
            <w:shd w:val="clear" w:color="auto" w:fill="auto"/>
          </w:tcPr>
          <w:p w14:paraId="7717138F" w14:textId="77777777" w:rsidR="00F3260C" w:rsidRPr="00BD295E" w:rsidRDefault="00F3260C" w:rsidP="0031297B">
            <w:pPr>
              <w:rPr>
                <w:rFonts w:ascii="Arial" w:hAnsi="Arial" w:cs="Arial"/>
                <w:sz w:val="18"/>
                <w:szCs w:val="18"/>
                <w:lang w:val="en-US"/>
              </w:rPr>
            </w:pPr>
          </w:p>
        </w:tc>
        <w:tc>
          <w:tcPr>
            <w:tcW w:w="598" w:type="pct"/>
            <w:shd w:val="clear" w:color="auto" w:fill="auto"/>
          </w:tcPr>
          <w:p w14:paraId="4B5645A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292,308</w:t>
            </w:r>
          </w:p>
        </w:tc>
        <w:tc>
          <w:tcPr>
            <w:tcW w:w="821" w:type="pct"/>
            <w:shd w:val="clear" w:color="auto" w:fill="auto"/>
          </w:tcPr>
          <w:p w14:paraId="47BA859C"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46,096</w:t>
            </w:r>
          </w:p>
        </w:tc>
        <w:tc>
          <w:tcPr>
            <w:tcW w:w="822" w:type="pct"/>
            <w:shd w:val="clear" w:color="auto" w:fill="auto"/>
          </w:tcPr>
          <w:p w14:paraId="59A49420"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338,404</w:t>
            </w:r>
          </w:p>
        </w:tc>
      </w:tr>
      <w:tr w:rsidR="008A5057" w:rsidRPr="00BD295E" w14:paraId="11366698" w14:textId="77777777" w:rsidTr="00E3510B">
        <w:tc>
          <w:tcPr>
            <w:tcW w:w="819" w:type="pct"/>
            <w:shd w:val="clear" w:color="auto" w:fill="auto"/>
          </w:tcPr>
          <w:p w14:paraId="62645F27"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Ye.V. Petukhov</w:t>
            </w:r>
          </w:p>
        </w:tc>
        <w:tc>
          <w:tcPr>
            <w:tcW w:w="475" w:type="pct"/>
            <w:shd w:val="clear" w:color="auto" w:fill="auto"/>
          </w:tcPr>
          <w:p w14:paraId="3FA3547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w:t>
            </w:r>
          </w:p>
        </w:tc>
        <w:tc>
          <w:tcPr>
            <w:tcW w:w="583" w:type="pct"/>
            <w:shd w:val="clear" w:color="auto" w:fill="auto"/>
          </w:tcPr>
          <w:p w14:paraId="77ECA91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389,231</w:t>
            </w:r>
          </w:p>
        </w:tc>
        <w:tc>
          <w:tcPr>
            <w:tcW w:w="882" w:type="pct"/>
            <w:shd w:val="clear" w:color="auto" w:fill="auto"/>
          </w:tcPr>
          <w:p w14:paraId="4D1F5F86" w14:textId="77777777" w:rsidR="00F3260C" w:rsidRPr="00BD295E" w:rsidRDefault="00F3260C" w:rsidP="0031297B">
            <w:pPr>
              <w:rPr>
                <w:rFonts w:ascii="Arial" w:hAnsi="Arial" w:cs="Arial"/>
                <w:sz w:val="18"/>
                <w:szCs w:val="18"/>
                <w:lang w:val="en-US"/>
              </w:rPr>
            </w:pPr>
          </w:p>
        </w:tc>
        <w:tc>
          <w:tcPr>
            <w:tcW w:w="598" w:type="pct"/>
            <w:shd w:val="clear" w:color="auto" w:fill="auto"/>
          </w:tcPr>
          <w:p w14:paraId="47A069E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389,231</w:t>
            </w:r>
          </w:p>
        </w:tc>
        <w:tc>
          <w:tcPr>
            <w:tcW w:w="821" w:type="pct"/>
            <w:shd w:val="clear" w:color="auto" w:fill="auto"/>
          </w:tcPr>
          <w:p w14:paraId="700A9A2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12,530</w:t>
            </w:r>
          </w:p>
        </w:tc>
        <w:tc>
          <w:tcPr>
            <w:tcW w:w="822" w:type="pct"/>
            <w:shd w:val="clear" w:color="auto" w:fill="auto"/>
          </w:tcPr>
          <w:p w14:paraId="61C9AE7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401,761</w:t>
            </w:r>
          </w:p>
        </w:tc>
      </w:tr>
      <w:tr w:rsidR="008A5057" w:rsidRPr="00BD295E" w14:paraId="6E0ED521" w14:textId="77777777" w:rsidTr="00E3510B">
        <w:tc>
          <w:tcPr>
            <w:tcW w:w="819" w:type="pct"/>
            <w:shd w:val="clear" w:color="auto" w:fill="auto"/>
          </w:tcPr>
          <w:p w14:paraId="6F0A8F83"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E.I. Kachayev</w:t>
            </w:r>
          </w:p>
        </w:tc>
        <w:tc>
          <w:tcPr>
            <w:tcW w:w="475" w:type="pct"/>
            <w:shd w:val="clear" w:color="auto" w:fill="auto"/>
          </w:tcPr>
          <w:p w14:paraId="03307A92" w14:textId="77777777" w:rsidR="00F3260C" w:rsidRPr="00BD295E" w:rsidRDefault="00F3260C" w:rsidP="0031297B">
            <w:pPr>
              <w:rPr>
                <w:rFonts w:ascii="Arial" w:hAnsi="Arial" w:cs="Arial"/>
                <w:sz w:val="18"/>
                <w:szCs w:val="18"/>
                <w:lang w:val="en-US"/>
              </w:rPr>
            </w:pPr>
          </w:p>
        </w:tc>
        <w:tc>
          <w:tcPr>
            <w:tcW w:w="583" w:type="pct"/>
            <w:shd w:val="clear" w:color="auto" w:fill="auto"/>
          </w:tcPr>
          <w:p w14:paraId="75DAEEC1" w14:textId="77777777" w:rsidR="00F3260C" w:rsidRPr="00BD295E" w:rsidRDefault="00F3260C" w:rsidP="0031297B">
            <w:pPr>
              <w:rPr>
                <w:rFonts w:ascii="Arial" w:hAnsi="Arial" w:cs="Arial"/>
                <w:sz w:val="18"/>
                <w:szCs w:val="18"/>
                <w:lang w:val="en-US"/>
              </w:rPr>
            </w:pPr>
          </w:p>
        </w:tc>
        <w:tc>
          <w:tcPr>
            <w:tcW w:w="882" w:type="pct"/>
            <w:shd w:val="clear" w:color="auto" w:fill="auto"/>
          </w:tcPr>
          <w:p w14:paraId="6B065966" w14:textId="77777777" w:rsidR="00F3260C" w:rsidRPr="00BD295E" w:rsidRDefault="00F3260C" w:rsidP="0031297B">
            <w:pPr>
              <w:rPr>
                <w:rFonts w:ascii="Arial" w:hAnsi="Arial" w:cs="Arial"/>
                <w:sz w:val="18"/>
                <w:szCs w:val="18"/>
                <w:lang w:val="en-US"/>
              </w:rPr>
            </w:pPr>
          </w:p>
        </w:tc>
        <w:tc>
          <w:tcPr>
            <w:tcW w:w="598" w:type="pct"/>
            <w:shd w:val="clear" w:color="auto" w:fill="auto"/>
          </w:tcPr>
          <w:p w14:paraId="6DA09590" w14:textId="77777777" w:rsidR="00F3260C" w:rsidRPr="00BD295E" w:rsidRDefault="00F3260C" w:rsidP="0031297B">
            <w:pPr>
              <w:rPr>
                <w:rFonts w:ascii="Arial" w:hAnsi="Arial" w:cs="Arial"/>
                <w:sz w:val="18"/>
                <w:szCs w:val="18"/>
                <w:lang w:val="en-US"/>
              </w:rPr>
            </w:pPr>
          </w:p>
        </w:tc>
        <w:tc>
          <w:tcPr>
            <w:tcW w:w="821" w:type="pct"/>
            <w:shd w:val="clear" w:color="auto" w:fill="auto"/>
          </w:tcPr>
          <w:p w14:paraId="4496AABA"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63206D5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Not paid</w:t>
            </w:r>
          </w:p>
        </w:tc>
      </w:tr>
      <w:tr w:rsidR="008A5057" w:rsidRPr="00BD295E" w14:paraId="412E85B9" w14:textId="77777777" w:rsidTr="00E3510B">
        <w:tc>
          <w:tcPr>
            <w:tcW w:w="819" w:type="pct"/>
            <w:shd w:val="clear" w:color="auto" w:fill="auto"/>
          </w:tcPr>
          <w:p w14:paraId="4A1333DF"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M.M. Yankina</w:t>
            </w:r>
          </w:p>
        </w:tc>
        <w:tc>
          <w:tcPr>
            <w:tcW w:w="475" w:type="pct"/>
            <w:shd w:val="clear" w:color="auto" w:fill="auto"/>
          </w:tcPr>
          <w:p w14:paraId="5DB9C69B" w14:textId="77777777" w:rsidR="00F3260C" w:rsidRPr="00BD295E" w:rsidRDefault="00F3260C" w:rsidP="0031297B">
            <w:pPr>
              <w:rPr>
                <w:rFonts w:ascii="Arial" w:hAnsi="Arial" w:cs="Arial"/>
                <w:sz w:val="18"/>
                <w:szCs w:val="18"/>
                <w:lang w:val="en-US"/>
              </w:rPr>
            </w:pPr>
          </w:p>
        </w:tc>
        <w:tc>
          <w:tcPr>
            <w:tcW w:w="583" w:type="pct"/>
            <w:shd w:val="clear" w:color="auto" w:fill="auto"/>
          </w:tcPr>
          <w:p w14:paraId="3B0504EC" w14:textId="77777777" w:rsidR="00F3260C" w:rsidRPr="00BD295E" w:rsidRDefault="00F3260C" w:rsidP="0031297B">
            <w:pPr>
              <w:rPr>
                <w:rFonts w:ascii="Arial" w:hAnsi="Arial" w:cs="Arial"/>
                <w:sz w:val="18"/>
                <w:szCs w:val="18"/>
                <w:lang w:val="en-US"/>
              </w:rPr>
            </w:pPr>
          </w:p>
        </w:tc>
        <w:tc>
          <w:tcPr>
            <w:tcW w:w="882" w:type="pct"/>
            <w:shd w:val="clear" w:color="auto" w:fill="auto"/>
          </w:tcPr>
          <w:p w14:paraId="4A9A98B1" w14:textId="77777777" w:rsidR="00F3260C" w:rsidRPr="00BD295E" w:rsidRDefault="00F3260C" w:rsidP="0031297B">
            <w:pPr>
              <w:rPr>
                <w:rFonts w:ascii="Arial" w:hAnsi="Arial" w:cs="Arial"/>
                <w:sz w:val="18"/>
                <w:szCs w:val="18"/>
                <w:lang w:val="en-US"/>
              </w:rPr>
            </w:pPr>
          </w:p>
        </w:tc>
        <w:tc>
          <w:tcPr>
            <w:tcW w:w="598" w:type="pct"/>
            <w:shd w:val="clear" w:color="auto" w:fill="auto"/>
          </w:tcPr>
          <w:p w14:paraId="27E098AB" w14:textId="77777777" w:rsidR="00F3260C" w:rsidRPr="00BD295E" w:rsidRDefault="00F3260C" w:rsidP="0031297B">
            <w:pPr>
              <w:rPr>
                <w:rFonts w:ascii="Arial" w:hAnsi="Arial" w:cs="Arial"/>
                <w:sz w:val="18"/>
                <w:szCs w:val="18"/>
                <w:lang w:val="en-US"/>
              </w:rPr>
            </w:pPr>
          </w:p>
        </w:tc>
        <w:tc>
          <w:tcPr>
            <w:tcW w:w="821" w:type="pct"/>
            <w:shd w:val="clear" w:color="auto" w:fill="auto"/>
          </w:tcPr>
          <w:p w14:paraId="6E4D8DD8" w14:textId="77777777" w:rsidR="00F3260C" w:rsidRPr="00BD295E" w:rsidRDefault="00F3260C" w:rsidP="00E3510B">
            <w:pPr>
              <w:jc w:val="center"/>
              <w:rPr>
                <w:rFonts w:ascii="Arial" w:hAnsi="Arial" w:cs="Arial"/>
                <w:sz w:val="18"/>
                <w:szCs w:val="18"/>
                <w:lang w:val="en-US"/>
              </w:rPr>
            </w:pPr>
          </w:p>
        </w:tc>
        <w:tc>
          <w:tcPr>
            <w:tcW w:w="822" w:type="pct"/>
            <w:shd w:val="clear" w:color="auto" w:fill="auto"/>
          </w:tcPr>
          <w:p w14:paraId="30477A6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Not paid</w:t>
            </w:r>
          </w:p>
        </w:tc>
      </w:tr>
      <w:tr w:rsidR="008A5057" w:rsidRPr="00BD295E" w14:paraId="3F4712AE" w14:textId="77777777" w:rsidTr="00E3510B">
        <w:tc>
          <w:tcPr>
            <w:tcW w:w="5000" w:type="pct"/>
            <w:gridSpan w:val="7"/>
            <w:shd w:val="clear" w:color="auto" w:fill="auto"/>
            <w:vAlign w:val="center"/>
          </w:tcPr>
          <w:p w14:paraId="30CCE3AC"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Members of the Board of Directors who resigned from the Company’s Board of Directors on June 8, 2018:</w:t>
            </w:r>
          </w:p>
        </w:tc>
      </w:tr>
      <w:tr w:rsidR="008A5057" w:rsidRPr="00BD295E" w14:paraId="7B16205C" w14:textId="77777777" w:rsidTr="00E3510B">
        <w:tc>
          <w:tcPr>
            <w:tcW w:w="819" w:type="pct"/>
            <w:shd w:val="clear" w:color="auto" w:fill="auto"/>
          </w:tcPr>
          <w:p w14:paraId="24A464D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P.N. Snikkars</w:t>
            </w:r>
          </w:p>
        </w:tc>
        <w:tc>
          <w:tcPr>
            <w:tcW w:w="475" w:type="pct"/>
            <w:shd w:val="clear" w:color="auto" w:fill="auto"/>
          </w:tcPr>
          <w:p w14:paraId="51BD7ED2" w14:textId="77777777" w:rsidR="00F3260C" w:rsidRPr="00BD295E" w:rsidRDefault="00F3260C" w:rsidP="0031297B">
            <w:pPr>
              <w:rPr>
                <w:rFonts w:ascii="Arial" w:hAnsi="Arial" w:cs="Arial"/>
                <w:sz w:val="18"/>
                <w:szCs w:val="18"/>
                <w:lang w:val="en-US"/>
              </w:rPr>
            </w:pPr>
          </w:p>
        </w:tc>
        <w:tc>
          <w:tcPr>
            <w:tcW w:w="583" w:type="pct"/>
            <w:shd w:val="clear" w:color="auto" w:fill="auto"/>
          </w:tcPr>
          <w:p w14:paraId="6DB71BA6" w14:textId="77777777" w:rsidR="00F3260C" w:rsidRPr="00BD295E" w:rsidRDefault="00F3260C" w:rsidP="0031297B">
            <w:pPr>
              <w:rPr>
                <w:rFonts w:ascii="Arial" w:hAnsi="Arial" w:cs="Arial"/>
                <w:sz w:val="18"/>
                <w:szCs w:val="18"/>
                <w:lang w:val="en-US"/>
              </w:rPr>
            </w:pPr>
          </w:p>
        </w:tc>
        <w:tc>
          <w:tcPr>
            <w:tcW w:w="882" w:type="pct"/>
            <w:shd w:val="clear" w:color="auto" w:fill="auto"/>
          </w:tcPr>
          <w:p w14:paraId="24AC9595" w14:textId="77777777" w:rsidR="00F3260C" w:rsidRPr="00BD295E" w:rsidRDefault="00F3260C" w:rsidP="0031297B">
            <w:pPr>
              <w:rPr>
                <w:rFonts w:ascii="Arial" w:hAnsi="Arial" w:cs="Arial"/>
                <w:sz w:val="18"/>
                <w:szCs w:val="18"/>
                <w:lang w:val="en-US"/>
              </w:rPr>
            </w:pPr>
          </w:p>
        </w:tc>
        <w:tc>
          <w:tcPr>
            <w:tcW w:w="598" w:type="pct"/>
            <w:shd w:val="clear" w:color="auto" w:fill="auto"/>
          </w:tcPr>
          <w:p w14:paraId="0BF34CB9" w14:textId="77777777" w:rsidR="00F3260C" w:rsidRPr="00BD295E" w:rsidRDefault="00F3260C" w:rsidP="0031297B">
            <w:pPr>
              <w:rPr>
                <w:rFonts w:ascii="Arial" w:hAnsi="Arial" w:cs="Arial"/>
                <w:sz w:val="18"/>
                <w:szCs w:val="18"/>
                <w:lang w:val="en-US"/>
              </w:rPr>
            </w:pPr>
          </w:p>
        </w:tc>
        <w:tc>
          <w:tcPr>
            <w:tcW w:w="821" w:type="pct"/>
            <w:shd w:val="clear" w:color="auto" w:fill="auto"/>
          </w:tcPr>
          <w:p w14:paraId="0FD315A6" w14:textId="77777777" w:rsidR="00F3260C" w:rsidRPr="00BD295E" w:rsidRDefault="00F3260C" w:rsidP="0031297B">
            <w:pPr>
              <w:rPr>
                <w:rFonts w:ascii="Arial" w:hAnsi="Arial" w:cs="Arial"/>
                <w:sz w:val="18"/>
                <w:szCs w:val="18"/>
                <w:lang w:val="en-US"/>
              </w:rPr>
            </w:pPr>
          </w:p>
        </w:tc>
        <w:tc>
          <w:tcPr>
            <w:tcW w:w="822" w:type="pct"/>
            <w:shd w:val="clear" w:color="auto" w:fill="auto"/>
          </w:tcPr>
          <w:p w14:paraId="2FF23CE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Not paid</w:t>
            </w:r>
          </w:p>
        </w:tc>
      </w:tr>
    </w:tbl>
    <w:p w14:paraId="1AE45219" w14:textId="77777777" w:rsidR="00F3260C" w:rsidRPr="00BD295E" w:rsidRDefault="008A5057" w:rsidP="00F3260C">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 xml:space="preserve">* Remuneration will be paid based on the results of 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to be held in 2019.</w:t>
      </w:r>
    </w:p>
    <w:p w14:paraId="442E597B" w14:textId="77777777" w:rsidR="00F3260C" w:rsidRPr="00BD295E" w:rsidRDefault="00F3260C" w:rsidP="00F3260C">
      <w:pPr>
        <w:tabs>
          <w:tab w:val="left" w:pos="709"/>
          <w:tab w:val="left" w:pos="851"/>
        </w:tabs>
        <w:jc w:val="both"/>
        <w:rPr>
          <w:rFonts w:ascii="Arial" w:hAnsi="Arial" w:cs="Arial"/>
          <w:sz w:val="18"/>
          <w:szCs w:val="18"/>
          <w:lang w:val="en-US"/>
        </w:rPr>
      </w:pPr>
    </w:p>
    <w:p w14:paraId="412B99B4" w14:textId="2EEB9F18" w:rsidR="00F3260C" w:rsidRPr="00BD295E" w:rsidRDefault="00997D07" w:rsidP="00F3260C">
      <w:pPr>
        <w:tabs>
          <w:tab w:val="left" w:pos="709"/>
          <w:tab w:val="left" w:pos="851"/>
        </w:tabs>
        <w:jc w:val="both"/>
        <w:rPr>
          <w:rFonts w:ascii="Arial" w:hAnsi="Arial" w:cs="Arial"/>
          <w:b/>
          <w:sz w:val="18"/>
          <w:szCs w:val="18"/>
          <w:lang w:val="en-US"/>
        </w:rPr>
      </w:pPr>
      <w:bookmarkStart w:id="405" w:name="_Hlk95939975"/>
      <w:r w:rsidRPr="00BD295E">
        <w:rPr>
          <w:rFonts w:ascii="Arial" w:hAnsi="Arial" w:cs="Arial"/>
          <w:b/>
          <w:sz w:val="18"/>
          <w:szCs w:val="18"/>
          <w:lang w:val="en-US" w:eastAsia="en-US"/>
        </w:rPr>
        <w:drawing>
          <wp:inline distT="0" distB="0" distL="0" distR="0" wp14:anchorId="7D7FFF3C" wp14:editId="328DD26C">
            <wp:extent cx="5934075" cy="3215005"/>
            <wp:effectExtent l="0" t="0" r="9525" b="4445"/>
            <wp:docPr id="74" name="Диаграмма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bookmarkEnd w:id="405"/>
    </w:p>
    <w:p w14:paraId="40B455F3" w14:textId="77777777" w:rsidR="00B20A51" w:rsidRPr="00BD295E" w:rsidRDefault="00B20A51" w:rsidP="00F3260C">
      <w:pPr>
        <w:tabs>
          <w:tab w:val="left" w:pos="709"/>
          <w:tab w:val="left" w:pos="851"/>
        </w:tabs>
        <w:ind w:firstLine="567"/>
        <w:jc w:val="both"/>
        <w:rPr>
          <w:rFonts w:ascii="Arial" w:hAnsi="Arial" w:cs="Arial"/>
          <w:sz w:val="18"/>
          <w:szCs w:val="18"/>
          <w:lang w:val="en-US"/>
        </w:rPr>
      </w:pPr>
    </w:p>
    <w:p w14:paraId="6D010051" w14:textId="77777777" w:rsidR="00F3260C" w:rsidRPr="00BD295E" w:rsidRDefault="008A5057" w:rsidP="0035451C">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 Net of bonuses, commissions, and compensations.</w:t>
      </w:r>
    </w:p>
    <w:p w14:paraId="5A761E02" w14:textId="77777777" w:rsidR="00F3260C" w:rsidRPr="00BD295E" w:rsidRDefault="00F3260C" w:rsidP="0035451C">
      <w:pPr>
        <w:tabs>
          <w:tab w:val="left" w:pos="709"/>
          <w:tab w:val="left" w:pos="851"/>
        </w:tabs>
        <w:jc w:val="both"/>
        <w:rPr>
          <w:rFonts w:ascii="Arial" w:hAnsi="Arial" w:cs="Arial"/>
          <w:sz w:val="18"/>
          <w:szCs w:val="18"/>
          <w:lang w:val="en-US"/>
        </w:rPr>
      </w:pPr>
    </w:p>
    <w:p w14:paraId="006A12DD" w14:textId="77777777" w:rsidR="00F3260C" w:rsidRPr="00BD295E" w:rsidRDefault="008A5057" w:rsidP="0035451C">
      <w:pPr>
        <w:tabs>
          <w:tab w:val="left" w:pos="709"/>
          <w:tab w:val="left" w:pos="851"/>
        </w:tabs>
        <w:jc w:val="both"/>
        <w:rPr>
          <w:rFonts w:ascii="Arial" w:hAnsi="Arial" w:cs="Arial"/>
          <w:sz w:val="18"/>
          <w:szCs w:val="18"/>
          <w:lang w:val="en-US"/>
        </w:rPr>
      </w:pPr>
      <w:r w:rsidRPr="00BD295E">
        <w:rPr>
          <w:rFonts w:ascii="Arial" w:hAnsi="Arial" w:cs="Arial"/>
          <w:sz w:val="18"/>
          <w:szCs w:val="18"/>
          <w:lang w:val="en-US"/>
        </w:rPr>
        <w:t>No payments were made to members of the Committees of the Company’s Board of Directors in 2018.</w:t>
      </w:r>
    </w:p>
    <w:p w14:paraId="00625D7D"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In the reporting year, no transactions were made among members of the Board of Directors, Committees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and no loans (credits) were issued by the Company to members of the Board of Directors and Committees. No claims were filed by the Company against members of its Board of Directors and Committees.</w:t>
      </w:r>
      <w:bookmarkStart w:id="406" w:name="OLE_LINK11"/>
      <w:bookmarkStart w:id="407" w:name="OLE_LINK12"/>
    </w:p>
    <w:p w14:paraId="58A9368A"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Members of the Board of Directors and Committees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did not perform any transactions with Company shares in 2018.</w:t>
      </w:r>
    </w:p>
    <w:p w14:paraId="6E9E1EF6" w14:textId="77777777" w:rsidR="00F3260C" w:rsidRPr="00BD295E" w:rsidRDefault="00F3260C" w:rsidP="0035451C">
      <w:pPr>
        <w:pStyle w:val="220"/>
        <w:jc w:val="both"/>
        <w:rPr>
          <w:rFonts w:ascii="Arial" w:hAnsi="Arial" w:cs="Arial"/>
          <w:b w:val="0"/>
          <w:i w:val="0"/>
          <w:sz w:val="18"/>
          <w:szCs w:val="18"/>
          <w:u w:val="none"/>
          <w:lang w:val="en-US"/>
        </w:rPr>
      </w:pPr>
    </w:p>
    <w:p w14:paraId="4316BB1A" w14:textId="77777777" w:rsidR="00F3260C" w:rsidRPr="00BD295E" w:rsidRDefault="008A5057" w:rsidP="0035451C">
      <w:pPr>
        <w:pStyle w:val="220"/>
        <w:jc w:val="both"/>
        <w:rPr>
          <w:rFonts w:ascii="Arial" w:hAnsi="Arial" w:cs="Arial"/>
          <w:b w:val="0"/>
          <w:i w:val="0"/>
          <w:sz w:val="18"/>
          <w:szCs w:val="18"/>
          <w:u w:val="none"/>
          <w:lang w:val="en-US"/>
        </w:rPr>
      </w:pPr>
      <w:r w:rsidRPr="00BD295E">
        <w:rPr>
          <w:rFonts w:ascii="Arial" w:hAnsi="Arial" w:cs="Arial"/>
          <w:b w:val="0"/>
          <w:bCs w:val="0"/>
          <w:i w:val="0"/>
          <w:iCs w:val="0"/>
          <w:sz w:val="18"/>
          <w:szCs w:val="18"/>
          <w:u w:val="none"/>
          <w:lang w:val="en-US"/>
        </w:rPr>
        <w:t>Taking into account the high degree of responsibility of members of the Board of Directors and executive bodies, subject to the scale of ongoing projects and the materiality of transactions, the Company insures the liability of members of its Board of Directors and management of the Company at its own expense. The insured amount is RUB 1 billion; in addition, the additional insured amount for independent directors for the period from August 2017 to July 2018 was RUB 160 million, and for the period from August 2018 to July 2019 is RUB 200 million.</w:t>
      </w:r>
    </w:p>
    <w:p w14:paraId="5A14B879" w14:textId="77777777" w:rsidR="00F3260C" w:rsidRPr="00BD295E" w:rsidRDefault="00F3260C" w:rsidP="00F3260C">
      <w:pPr>
        <w:pStyle w:val="220"/>
        <w:ind w:firstLine="567"/>
        <w:jc w:val="both"/>
        <w:rPr>
          <w:rFonts w:ascii="Arial" w:hAnsi="Arial" w:cs="Arial"/>
          <w:b w:val="0"/>
          <w:i w:val="0"/>
          <w:sz w:val="18"/>
          <w:szCs w:val="18"/>
          <w:u w:val="none"/>
          <w:lang w:val="en-US"/>
        </w:rPr>
      </w:pPr>
    </w:p>
    <w:p w14:paraId="67F5E69A" w14:textId="4BC1BA95" w:rsidR="00F3260C" w:rsidRPr="00BD295E" w:rsidRDefault="00997D07" w:rsidP="00F3260C">
      <w:pPr>
        <w:pStyle w:val="220"/>
        <w:ind w:firstLine="567"/>
        <w:jc w:val="both"/>
        <w:rPr>
          <w:rFonts w:ascii="Arial" w:hAnsi="Arial" w:cs="Arial"/>
          <w:b w:val="0"/>
          <w:i w:val="0"/>
          <w:sz w:val="18"/>
          <w:szCs w:val="18"/>
          <w:u w:val="none"/>
          <w:lang w:val="en-US"/>
        </w:rPr>
      </w:pPr>
      <w:bookmarkStart w:id="408" w:name="_Hlk95939987"/>
      <w:r w:rsidRPr="00BD295E">
        <w:rPr>
          <w:rFonts w:ascii="Arial" w:hAnsi="Arial" w:cs="Arial"/>
          <w:b w:val="0"/>
          <w:i w:val="0"/>
          <w:sz w:val="18"/>
          <w:szCs w:val="18"/>
          <w:u w:val="none"/>
          <w:lang w:val="en-US" w:eastAsia="en-US"/>
        </w:rPr>
        <w:drawing>
          <wp:inline distT="0" distB="0" distL="0" distR="0" wp14:anchorId="326F8A39" wp14:editId="2CA83790">
            <wp:extent cx="5610225" cy="3215005"/>
            <wp:effectExtent l="0" t="0" r="9525" b="4445"/>
            <wp:docPr id="75"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bookmarkEnd w:id="408"/>
    </w:p>
    <w:p w14:paraId="00962E6B" w14:textId="48FEB27B" w:rsidR="002D093A" w:rsidRPr="00BD295E" w:rsidRDefault="002D093A">
      <w:pPr>
        <w:rPr>
          <w:rFonts w:ascii="Arial" w:hAnsi="Arial" w:cs="Arial"/>
          <w:sz w:val="18"/>
          <w:szCs w:val="18"/>
          <w:lang w:val="en-US"/>
        </w:rPr>
      </w:pPr>
      <w:r w:rsidRPr="00BD295E">
        <w:rPr>
          <w:rFonts w:ascii="Arial" w:hAnsi="Arial" w:cs="Arial"/>
          <w:sz w:val="18"/>
          <w:szCs w:val="18"/>
          <w:lang w:val="en-US"/>
        </w:rPr>
        <w:br w:type="page"/>
      </w:r>
    </w:p>
    <w:p w14:paraId="6E11FE49" w14:textId="77777777" w:rsidR="00F3260C" w:rsidRPr="00BD295E" w:rsidRDefault="00F3260C" w:rsidP="00F3260C">
      <w:pPr>
        <w:rPr>
          <w:rFonts w:ascii="Arial" w:hAnsi="Arial" w:cs="Arial"/>
          <w:sz w:val="18"/>
          <w:szCs w:val="18"/>
          <w:lang w:val="en-US"/>
        </w:rPr>
      </w:pPr>
    </w:p>
    <w:p w14:paraId="1C7F7BB7"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Executive bodies of the Company</w:t>
      </w:r>
    </w:p>
    <w:p w14:paraId="61B9E1D6" w14:textId="77777777" w:rsidR="00F3260C" w:rsidRPr="00BD295E" w:rsidRDefault="00F3260C" w:rsidP="0035451C">
      <w:pPr>
        <w:jc w:val="both"/>
        <w:rPr>
          <w:rFonts w:ascii="Arial" w:hAnsi="Arial" w:cs="Arial"/>
          <w:sz w:val="18"/>
          <w:szCs w:val="18"/>
          <w:lang w:val="en-US"/>
        </w:rPr>
      </w:pPr>
    </w:p>
    <w:p w14:paraId="3319C997"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The executive bodies of the Company include the sole executive body (CEO) and the collective executive body (Management Board)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7F5764CB" w14:textId="77777777" w:rsidR="00F3260C" w:rsidRPr="00BD295E" w:rsidRDefault="00F3260C" w:rsidP="0035451C">
      <w:pPr>
        <w:jc w:val="both"/>
        <w:rPr>
          <w:rFonts w:ascii="Arial" w:hAnsi="Arial" w:cs="Arial"/>
          <w:i/>
          <w:sz w:val="18"/>
          <w:szCs w:val="18"/>
          <w:lang w:val="en-US"/>
        </w:rPr>
      </w:pPr>
    </w:p>
    <w:p w14:paraId="56C2AFC3" w14:textId="77777777" w:rsidR="00F3260C" w:rsidRPr="00BD295E" w:rsidRDefault="008A5057" w:rsidP="0035451C">
      <w:pPr>
        <w:jc w:val="both"/>
        <w:rPr>
          <w:rFonts w:ascii="Arial" w:hAnsi="Arial" w:cs="Arial"/>
          <w:b/>
          <w:sz w:val="18"/>
          <w:szCs w:val="18"/>
          <w:lang w:val="en-US"/>
        </w:rPr>
      </w:pPr>
      <w:r w:rsidRPr="00BD295E">
        <w:rPr>
          <w:rFonts w:ascii="Arial" w:hAnsi="Arial" w:cs="Arial"/>
          <w:b/>
          <w:sz w:val="18"/>
          <w:szCs w:val="18"/>
          <w:lang w:val="en-US"/>
        </w:rPr>
        <w:t>Collective executive body (Management Board)</w:t>
      </w:r>
    </w:p>
    <w:p w14:paraId="05DDBAF6" w14:textId="77777777" w:rsidR="00F3260C" w:rsidRPr="00BD295E" w:rsidRDefault="00F3260C" w:rsidP="0035451C">
      <w:pPr>
        <w:jc w:val="both"/>
        <w:rPr>
          <w:rFonts w:ascii="Arial" w:hAnsi="Arial" w:cs="Arial"/>
          <w:b/>
          <w:sz w:val="18"/>
          <w:szCs w:val="18"/>
          <w:lang w:val="en-US"/>
        </w:rPr>
      </w:pPr>
    </w:p>
    <w:p w14:paraId="265A3128" w14:textId="5B3E2F2A" w:rsidR="00F3260C" w:rsidRPr="00BD295E" w:rsidRDefault="002C3947" w:rsidP="0035451C">
      <w:pPr>
        <w:pStyle w:val="220"/>
        <w:jc w:val="both"/>
        <w:rPr>
          <w:rFonts w:ascii="Arial" w:eastAsia="Calibri" w:hAnsi="Arial" w:cs="Arial"/>
          <w:b w:val="0"/>
          <w:i w:val="0"/>
          <w:sz w:val="18"/>
          <w:szCs w:val="18"/>
          <w:u w:val="none"/>
          <w:lang w:val="en-US"/>
        </w:rPr>
      </w:pPr>
      <w:r w:rsidRPr="00BD295E">
        <w:rPr>
          <w:rFonts w:ascii="Arial" w:hAnsi="Arial" w:cs="Arial"/>
          <w:b w:val="0"/>
          <w:i w:val="0"/>
          <w:sz w:val="18"/>
          <w:szCs w:val="18"/>
          <w:u w:val="none"/>
          <w:lang w:val="en-US"/>
        </w:rPr>
        <w:t>The Management Board of PJSC “Lenenergo”</w:t>
      </w:r>
      <w:r w:rsidR="008A5057" w:rsidRPr="00BD295E">
        <w:rPr>
          <w:rFonts w:ascii="Arial" w:hAnsi="Arial" w:cs="Arial"/>
          <w:b w:val="0"/>
          <w:i w:val="0"/>
          <w:sz w:val="18"/>
          <w:szCs w:val="18"/>
          <w:u w:val="none"/>
          <w:lang w:val="en-US"/>
        </w:rPr>
        <w:t xml:space="preserve"> is a collective executive body of the Company, which manages the day-to-day operations of </w:t>
      </w:r>
      <w:r w:rsidR="00EE5753" w:rsidRPr="00BD295E">
        <w:rPr>
          <w:rFonts w:ascii="Arial" w:hAnsi="Arial" w:cs="Arial"/>
          <w:b w:val="0"/>
          <w:i w:val="0"/>
          <w:sz w:val="18"/>
          <w:szCs w:val="18"/>
          <w:u w:val="none"/>
          <w:lang w:val="en-US"/>
        </w:rPr>
        <w:t>PJSC “Lenenergo”</w:t>
      </w:r>
      <w:r w:rsidR="008A5057" w:rsidRPr="00BD295E">
        <w:rPr>
          <w:rFonts w:ascii="Arial" w:hAnsi="Arial" w:cs="Arial"/>
          <w:b w:val="0"/>
          <w:i w:val="0"/>
          <w:sz w:val="18"/>
          <w:szCs w:val="18"/>
          <w:u w:val="none"/>
          <w:lang w:val="en-US"/>
        </w:rPr>
        <w:t xml:space="preserve"> in accordance with the Federal Law </w:t>
      </w:r>
      <w:r w:rsidR="008A5057" w:rsidRPr="00BD295E">
        <w:rPr>
          <w:rFonts w:ascii="Arial" w:hAnsi="Arial" w:cs="Arial"/>
          <w:b w:val="0"/>
          <w:sz w:val="18"/>
          <w:szCs w:val="18"/>
          <w:u w:val="none"/>
          <w:lang w:val="en-US"/>
        </w:rPr>
        <w:t>On Joint Stock Companies</w:t>
      </w:r>
      <w:r w:rsidR="008A5057" w:rsidRPr="00BD295E">
        <w:rPr>
          <w:rFonts w:ascii="Arial" w:hAnsi="Arial" w:cs="Arial"/>
          <w:b w:val="0"/>
          <w:i w:val="0"/>
          <w:sz w:val="18"/>
          <w:szCs w:val="18"/>
          <w:u w:val="none"/>
          <w:lang w:val="en-US"/>
        </w:rPr>
        <w:t xml:space="preserve">, the Company’s Articles of Association, the Regulations for the Management Board of </w:t>
      </w:r>
      <w:r w:rsidR="00EE5753" w:rsidRPr="00BD295E">
        <w:rPr>
          <w:rFonts w:ascii="Arial" w:hAnsi="Arial" w:cs="Arial"/>
          <w:b w:val="0"/>
          <w:i w:val="0"/>
          <w:sz w:val="18"/>
          <w:szCs w:val="18"/>
          <w:u w:val="none"/>
          <w:lang w:val="en-US"/>
        </w:rPr>
        <w:t>PJSC “Lenenergo”</w:t>
      </w:r>
      <w:r w:rsidR="008A5057" w:rsidRPr="00BD295E">
        <w:rPr>
          <w:rFonts w:ascii="Arial" w:hAnsi="Arial" w:cs="Arial"/>
          <w:b w:val="0"/>
          <w:i w:val="0"/>
          <w:sz w:val="18"/>
          <w:szCs w:val="18"/>
          <w:u w:val="none"/>
          <w:lang w:val="en-US"/>
        </w:rPr>
        <w:t xml:space="preserve"> as restated and approved by the Resolution of the Annual </w:t>
      </w:r>
      <w:r w:rsidR="0053339C" w:rsidRPr="00BD295E">
        <w:rPr>
          <w:rFonts w:ascii="Arial" w:hAnsi="Arial" w:cs="Arial"/>
          <w:b w:val="0"/>
          <w:i w:val="0"/>
          <w:sz w:val="18"/>
          <w:szCs w:val="18"/>
          <w:u w:val="none"/>
          <w:lang w:val="en-US"/>
        </w:rPr>
        <w:t>General Meeting</w:t>
      </w:r>
      <w:r w:rsidR="008A5057" w:rsidRPr="00BD295E">
        <w:rPr>
          <w:rFonts w:ascii="Arial" w:hAnsi="Arial" w:cs="Arial"/>
          <w:b w:val="0"/>
          <w:i w:val="0"/>
          <w:sz w:val="18"/>
          <w:szCs w:val="18"/>
          <w:u w:val="none"/>
          <w:lang w:val="en-US"/>
        </w:rPr>
        <w:t xml:space="preserve"> </w:t>
      </w:r>
      <w:r w:rsidR="008B183C" w:rsidRPr="00BD295E">
        <w:rPr>
          <w:rFonts w:ascii="Arial" w:hAnsi="Arial" w:cs="Arial"/>
          <w:b w:val="0"/>
          <w:i w:val="0"/>
          <w:sz w:val="18"/>
          <w:szCs w:val="18"/>
          <w:u w:val="none"/>
          <w:lang w:val="en-US"/>
        </w:rPr>
        <w:t>of</w:t>
      </w:r>
      <w:r w:rsidR="008A5057" w:rsidRPr="00BD295E">
        <w:rPr>
          <w:rFonts w:ascii="Arial" w:hAnsi="Arial" w:cs="Arial"/>
          <w:b w:val="0"/>
          <w:i w:val="0"/>
          <w:sz w:val="18"/>
          <w:szCs w:val="18"/>
          <w:u w:val="none"/>
          <w:lang w:val="en-US"/>
        </w:rPr>
        <w:t xml:space="preserve"> June 8, 2018 (Minutes No. 2/2018 </w:t>
      </w:r>
      <w:r w:rsidR="008B183C" w:rsidRPr="00BD295E">
        <w:rPr>
          <w:rFonts w:ascii="Arial" w:hAnsi="Arial" w:cs="Arial"/>
          <w:b w:val="0"/>
          <w:i w:val="0"/>
          <w:sz w:val="18"/>
          <w:szCs w:val="18"/>
          <w:u w:val="none"/>
          <w:lang w:val="en-US"/>
        </w:rPr>
        <w:t>of</w:t>
      </w:r>
      <w:r w:rsidR="008A5057" w:rsidRPr="00BD295E">
        <w:rPr>
          <w:rFonts w:ascii="Arial" w:hAnsi="Arial" w:cs="Arial"/>
          <w:b w:val="0"/>
          <w:i w:val="0"/>
          <w:sz w:val="18"/>
          <w:szCs w:val="18"/>
          <w:u w:val="none"/>
          <w:lang w:val="en-US"/>
        </w:rPr>
        <w:t xml:space="preserve"> June 13, 2018).</w:t>
      </w:r>
    </w:p>
    <w:p w14:paraId="6D1C9170"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10 meetings of the Management Board of the Company were held in the reporting year. The work of the Management Board is organized by the Chairman of the Management Board – CEO of the Company. </w:t>
      </w:r>
    </w:p>
    <w:p w14:paraId="7C046195" w14:textId="77777777" w:rsidR="00F3260C" w:rsidRPr="00BD295E" w:rsidRDefault="00F3260C" w:rsidP="0035451C">
      <w:pPr>
        <w:jc w:val="both"/>
        <w:rPr>
          <w:rFonts w:ascii="Arial" w:hAnsi="Arial" w:cs="Arial"/>
          <w:sz w:val="18"/>
          <w:szCs w:val="18"/>
          <w:lang w:val="en-US"/>
        </w:rPr>
      </w:pPr>
    </w:p>
    <w:p w14:paraId="4F20808C"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The Committee reviewed the following critical matters:</w:t>
      </w:r>
    </w:p>
    <w:p w14:paraId="2CF05899" w14:textId="77777777" w:rsidR="00F3260C" w:rsidRPr="00BD295E" w:rsidRDefault="008A5057" w:rsidP="0035451C">
      <w:pPr>
        <w:tabs>
          <w:tab w:val="left" w:pos="851"/>
          <w:tab w:val="left" w:pos="1134"/>
          <w:tab w:val="left" w:pos="1560"/>
        </w:tabs>
        <w:jc w:val="both"/>
        <w:rPr>
          <w:rFonts w:ascii="Arial" w:hAnsi="Arial" w:cs="Arial"/>
          <w:sz w:val="18"/>
          <w:szCs w:val="18"/>
          <w:lang w:val="en-US"/>
        </w:rPr>
      </w:pPr>
      <w:r w:rsidRPr="00BD295E">
        <w:rPr>
          <w:rFonts w:ascii="Arial" w:hAnsi="Arial" w:cs="Arial"/>
          <w:sz w:val="18"/>
          <w:szCs w:val="18"/>
          <w:lang w:val="en-US"/>
        </w:rPr>
        <w:t>- Approved the Company’s Operational Risk Management Action Plan for 2019;</w:t>
      </w:r>
    </w:p>
    <w:p w14:paraId="1B83A1FA"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Reports on implementation of the Company’s business plan (including the investment program and information on key operational risks);</w:t>
      </w:r>
    </w:p>
    <w:p w14:paraId="23E9B6BC"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 Business plan (including the investment program and information on key operational risks)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 and the forecast for 2019-2022, etc.</w:t>
      </w:r>
    </w:p>
    <w:p w14:paraId="581405A4" w14:textId="77777777" w:rsidR="00F3260C" w:rsidRPr="00BD295E" w:rsidRDefault="00F3260C" w:rsidP="0035451C">
      <w:pPr>
        <w:spacing w:after="160" w:line="259" w:lineRule="auto"/>
        <w:rPr>
          <w:rFonts w:ascii="Arial" w:hAnsi="Arial" w:cs="Arial"/>
          <w:b/>
          <w:sz w:val="18"/>
          <w:szCs w:val="18"/>
          <w:lang w:val="en-US"/>
        </w:rPr>
      </w:pPr>
    </w:p>
    <w:p w14:paraId="13293906" w14:textId="77777777" w:rsidR="00F3260C" w:rsidRPr="00BD295E" w:rsidRDefault="008A5057" w:rsidP="0035451C">
      <w:pPr>
        <w:spacing w:after="160" w:line="259" w:lineRule="auto"/>
        <w:rPr>
          <w:rFonts w:ascii="Arial" w:hAnsi="Arial" w:cs="Arial"/>
          <w:b/>
          <w:sz w:val="18"/>
          <w:szCs w:val="18"/>
          <w:lang w:val="en-US"/>
        </w:rPr>
      </w:pPr>
      <w:r w:rsidRPr="00BD295E">
        <w:rPr>
          <w:rFonts w:ascii="Arial" w:hAnsi="Arial" w:cs="Arial"/>
          <w:b/>
          <w:sz w:val="18"/>
          <w:szCs w:val="18"/>
          <w:lang w:val="en-US"/>
        </w:rPr>
        <w:t>The current members of the Company’s Management Board: *</w:t>
      </w: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77797D16"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2F7D69DB"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7952C5C1"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Andrey Ryumin</w:t>
            </w:r>
          </w:p>
        </w:tc>
      </w:tr>
      <w:tr w:rsidR="008A5057" w:rsidRPr="00BD295E" w14:paraId="2154E572"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0AC0BE7D"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1F5880E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Member of the Board of Directors, Chairman of the Management Board, CEO of the Company</w:t>
            </w:r>
          </w:p>
        </w:tc>
      </w:tr>
      <w:tr w:rsidR="008A5057" w:rsidRPr="00BD295E" w14:paraId="48F9AC1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0F3189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1903FC7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1980 Russian Federation</w:t>
            </w:r>
          </w:p>
        </w:tc>
      </w:tr>
      <w:tr w:rsidR="008A5057" w:rsidRPr="00BD295E" w14:paraId="2616FBA8"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2D4AB03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2555FB21" w14:textId="76D1E35D"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Higher education. Moscow State Lomonosov </w:t>
            </w:r>
            <w:r w:rsidR="002C3947" w:rsidRPr="00BD295E">
              <w:rPr>
                <w:rFonts w:ascii="Arial" w:hAnsi="Arial" w:cs="Arial"/>
                <w:sz w:val="18"/>
                <w:szCs w:val="18"/>
                <w:lang w:val="en-US"/>
              </w:rPr>
              <w:t>University, Department</w:t>
            </w:r>
            <w:r w:rsidRPr="00BD295E">
              <w:rPr>
                <w:rFonts w:ascii="Arial" w:hAnsi="Arial" w:cs="Arial"/>
                <w:sz w:val="18"/>
                <w:szCs w:val="18"/>
                <w:lang w:val="en-US"/>
              </w:rPr>
              <w:t xml:space="preserve"> of Mechanics and Mathematics (2002).</w:t>
            </w:r>
          </w:p>
          <w:p w14:paraId="6E8FE4B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Peoples' Friendship University of Russia, majoring in Information Systems in Economics (2002).</w:t>
            </w:r>
          </w:p>
          <w:p w14:paraId="21466ED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PhD in Economics.</w:t>
            </w:r>
          </w:p>
        </w:tc>
      </w:tr>
      <w:tr w:rsidR="008A5057" w:rsidRPr="00BD295E" w14:paraId="39F6558C"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AC135C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41399DD0" w14:textId="4E4E21E3" w:rsidR="00F3260C" w:rsidRPr="00BD295E" w:rsidRDefault="008A5057" w:rsidP="0031297B">
            <w:pPr>
              <w:rPr>
                <w:rFonts w:ascii="Arial" w:hAnsi="Arial" w:cs="Arial"/>
                <w:iCs/>
                <w:sz w:val="18"/>
                <w:szCs w:val="18"/>
                <w:lang w:val="en-US"/>
              </w:rPr>
            </w:pPr>
            <w:r w:rsidRPr="00BD295E">
              <w:rPr>
                <w:rFonts w:ascii="Arial" w:hAnsi="Arial" w:cs="Arial"/>
                <w:sz w:val="18"/>
                <w:szCs w:val="18"/>
                <w:lang w:val="en-US"/>
              </w:rPr>
              <w:t>2018 to date</w:t>
            </w:r>
            <w:r w:rsidRPr="00BD295E">
              <w:rPr>
                <w:rFonts w:ascii="Arial" w:hAnsi="Arial" w:cs="Arial"/>
                <w:iCs/>
                <w:sz w:val="18"/>
                <w:szCs w:val="18"/>
                <w:lang w:val="en-US"/>
              </w:rPr>
              <w:t xml:space="preserve"> </w:t>
            </w:r>
            <w:r w:rsidRPr="00BD295E">
              <w:rPr>
                <w:rFonts w:ascii="Arial" w:hAnsi="Arial" w:cs="Arial"/>
                <w:sz w:val="18"/>
                <w:szCs w:val="18"/>
                <w:lang w:val="en-US"/>
              </w:rPr>
              <w:t xml:space="preserve">–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5A681212"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2018 to date – Chairman of the Management Board, CEO of the Company;</w:t>
            </w:r>
          </w:p>
          <w:p w14:paraId="658A30C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2016 – 2017 – Independent Director, member of the Board of Directors of Mosenergo, OJSC;</w:t>
            </w:r>
          </w:p>
          <w:p w14:paraId="017D2B6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2011 – 2013 – First Deputy CEO, CEO of </w:t>
            </w:r>
            <w:r w:rsidR="00293DDA" w:rsidRPr="00BD295E">
              <w:rPr>
                <w:rFonts w:ascii="Arial" w:hAnsi="Arial" w:cs="Arial"/>
                <w:sz w:val="18"/>
                <w:szCs w:val="18"/>
                <w:lang w:val="en-US"/>
              </w:rPr>
              <w:t>OJSC “UNECO”</w:t>
            </w:r>
            <w:r w:rsidRPr="00BD295E">
              <w:rPr>
                <w:rFonts w:ascii="Arial" w:hAnsi="Arial" w:cs="Arial"/>
                <w:sz w:val="18"/>
                <w:szCs w:val="18"/>
                <w:lang w:val="en-US"/>
              </w:rPr>
              <w:t>.</w:t>
            </w:r>
          </w:p>
        </w:tc>
      </w:tr>
      <w:tr w:rsidR="008A5057" w:rsidRPr="00BD295E" w14:paraId="2BE3B416"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3A3CBADF"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46D9C83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None</w:t>
            </w:r>
          </w:p>
        </w:tc>
      </w:tr>
      <w:tr w:rsidR="008A5057" w:rsidRPr="00BD295E" w14:paraId="2C1DC56B"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5980875B"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Positions with other employers</w:t>
            </w:r>
          </w:p>
        </w:tc>
        <w:tc>
          <w:tcPr>
            <w:tcW w:w="6659" w:type="dxa"/>
            <w:tcBorders>
              <w:top w:val="single" w:sz="6" w:space="0" w:color="C0C0C0"/>
              <w:left w:val="single" w:sz="6" w:space="0" w:color="C0C0C0"/>
              <w:bottom w:val="single" w:sz="6" w:space="0" w:color="333399"/>
              <w:right w:val="single" w:sz="4" w:space="0" w:color="C0C0C0"/>
            </w:tcBorders>
            <w:vAlign w:val="center"/>
          </w:tcPr>
          <w:p w14:paraId="32D5A65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Member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495A5FB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Member of the Board of Directors of FTC, PJSC</w:t>
            </w:r>
          </w:p>
          <w:p w14:paraId="2B16FE1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Member of the Board of Trustees of the Saint Petersburg Regional Sports Public Organization Sports Club </w:t>
            </w:r>
            <w:r w:rsidRPr="00BD295E">
              <w:rPr>
                <w:rFonts w:ascii="Arial" w:hAnsi="Arial" w:cs="Arial"/>
                <w:i/>
                <w:iCs/>
                <w:sz w:val="18"/>
                <w:szCs w:val="18"/>
                <w:lang w:val="en-US"/>
              </w:rPr>
              <w:t>Sport-Pravoporyadok</w:t>
            </w:r>
          </w:p>
        </w:tc>
      </w:tr>
    </w:tbl>
    <w:p w14:paraId="0D2B5B49" w14:textId="77777777" w:rsidR="00F3260C" w:rsidRPr="00BD295E" w:rsidRDefault="00F3260C" w:rsidP="00F3260C">
      <w:pPr>
        <w:rPr>
          <w:rFonts w:ascii="Arial" w:hAnsi="Arial" w:cs="Arial"/>
          <w:sz w:val="18"/>
          <w:szCs w:val="18"/>
          <w:lang w:val="en-US"/>
        </w:rPr>
      </w:pPr>
    </w:p>
    <w:tbl>
      <w:tblPr>
        <w:tblW w:w="9606"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2943"/>
        <w:gridCol w:w="6663"/>
      </w:tblGrid>
      <w:tr w:rsidR="008A5057" w:rsidRPr="00BD295E" w14:paraId="3E408C0E" w14:textId="77777777" w:rsidTr="00E3510B">
        <w:trPr>
          <w:trHeight w:val="276"/>
        </w:trPr>
        <w:tc>
          <w:tcPr>
            <w:tcW w:w="2943" w:type="dxa"/>
            <w:shd w:val="clear" w:color="auto" w:fill="DEEAF6"/>
            <w:vAlign w:val="center"/>
          </w:tcPr>
          <w:p w14:paraId="5359C8F3"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63" w:type="dxa"/>
            <w:shd w:val="clear" w:color="auto" w:fill="DEEAF6"/>
            <w:vAlign w:val="center"/>
          </w:tcPr>
          <w:p w14:paraId="367EEC6B"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Maksim Artemyev</w:t>
            </w:r>
          </w:p>
        </w:tc>
      </w:tr>
      <w:tr w:rsidR="008A5057" w:rsidRPr="00BD295E" w14:paraId="2C3682AB" w14:textId="77777777" w:rsidTr="0031297B">
        <w:trPr>
          <w:trHeight w:val="276"/>
        </w:trPr>
        <w:tc>
          <w:tcPr>
            <w:tcW w:w="2943" w:type="dxa"/>
            <w:vAlign w:val="center"/>
          </w:tcPr>
          <w:p w14:paraId="4D49BDFE"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63" w:type="dxa"/>
            <w:vAlign w:val="center"/>
          </w:tcPr>
          <w:p w14:paraId="210A890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Member of the Management Board</w:t>
            </w:r>
          </w:p>
        </w:tc>
      </w:tr>
      <w:tr w:rsidR="008A5057" w:rsidRPr="00BD295E" w14:paraId="06758190" w14:textId="77777777" w:rsidTr="0031297B">
        <w:trPr>
          <w:trHeight w:val="276"/>
        </w:trPr>
        <w:tc>
          <w:tcPr>
            <w:tcW w:w="2943" w:type="dxa"/>
            <w:vAlign w:val="center"/>
          </w:tcPr>
          <w:p w14:paraId="423FA06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63" w:type="dxa"/>
            <w:vAlign w:val="center"/>
          </w:tcPr>
          <w:p w14:paraId="1DF977C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1977 Russian Federation</w:t>
            </w:r>
          </w:p>
        </w:tc>
      </w:tr>
      <w:tr w:rsidR="008A5057" w:rsidRPr="00BD295E" w14:paraId="7170012A" w14:textId="77777777" w:rsidTr="0031297B">
        <w:trPr>
          <w:trHeight w:val="276"/>
        </w:trPr>
        <w:tc>
          <w:tcPr>
            <w:tcW w:w="2943" w:type="dxa"/>
            <w:tcBorders>
              <w:bottom w:val="single" w:sz="6" w:space="0" w:color="C0C0C0"/>
            </w:tcBorders>
            <w:vAlign w:val="center"/>
          </w:tcPr>
          <w:p w14:paraId="64F82A7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63" w:type="dxa"/>
            <w:tcBorders>
              <w:bottom w:val="single" w:sz="6" w:space="0" w:color="C0C0C0"/>
            </w:tcBorders>
            <w:vAlign w:val="center"/>
          </w:tcPr>
          <w:p w14:paraId="1F82A13A"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iCs/>
                <w:sz w:val="18"/>
                <w:szCs w:val="18"/>
                <w:lang w:val="en-US"/>
              </w:rPr>
              <w:t xml:space="preserve">Higher education. </w:t>
            </w:r>
            <w:r w:rsidRPr="00BD295E">
              <w:rPr>
                <w:rFonts w:ascii="Arial" w:hAnsi="Arial" w:cs="Arial"/>
                <w:sz w:val="18"/>
                <w:szCs w:val="18"/>
                <w:lang w:val="en-US"/>
              </w:rPr>
              <w:t>Ivanovo State Power Engineering University (1999)</w:t>
            </w:r>
          </w:p>
        </w:tc>
      </w:tr>
      <w:tr w:rsidR="008A5057" w:rsidRPr="00BD295E" w14:paraId="4C3EE04D" w14:textId="77777777" w:rsidTr="0031297B">
        <w:trPr>
          <w:trHeight w:val="276"/>
        </w:trPr>
        <w:tc>
          <w:tcPr>
            <w:tcW w:w="2943" w:type="dxa"/>
            <w:vAlign w:val="center"/>
          </w:tcPr>
          <w:p w14:paraId="70E992F4"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63" w:type="dxa"/>
            <w:vAlign w:val="center"/>
          </w:tcPr>
          <w:p w14:paraId="4BB78DA8"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2010 to date - Member of the Management Board of the Company;</w:t>
            </w:r>
          </w:p>
          <w:p w14:paraId="5BC238F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2018 to date - CEO of EXPO-Resource, LLC;</w:t>
            </w:r>
          </w:p>
          <w:p w14:paraId="4510AB9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2017–2018 – Deputy Director of Technical Supervision Center, a branch of </w:t>
            </w:r>
            <w:r w:rsidR="00BF106F" w:rsidRPr="00BD295E">
              <w:rPr>
                <w:rFonts w:ascii="Arial" w:hAnsi="Arial" w:cs="Arial"/>
                <w:sz w:val="18"/>
                <w:szCs w:val="18"/>
                <w:lang w:val="en-US"/>
              </w:rPr>
              <w:t>PJSC “Rosseti”</w:t>
            </w:r>
          </w:p>
          <w:p w14:paraId="2B934806" w14:textId="77777777" w:rsidR="00F3260C" w:rsidRPr="00BD295E" w:rsidRDefault="008A5057" w:rsidP="0031297B">
            <w:pPr>
              <w:jc w:val="both"/>
              <w:rPr>
                <w:rFonts w:ascii="Arial" w:hAnsi="Arial" w:cs="Arial"/>
                <w:bCs/>
                <w:iCs/>
                <w:sz w:val="18"/>
                <w:szCs w:val="18"/>
                <w:lang w:val="en-US"/>
              </w:rPr>
            </w:pPr>
            <w:r w:rsidRPr="00BD295E">
              <w:rPr>
                <w:rFonts w:ascii="Arial" w:hAnsi="Arial" w:cs="Arial"/>
                <w:sz w:val="18"/>
                <w:szCs w:val="18"/>
                <w:lang w:val="en-US"/>
              </w:rPr>
              <w:t xml:space="preserve">2008–2017 – First Deputy CEO –  Chief Engineer, Deputy CEO for Sales of Services, Director for Technical Development at </w:t>
            </w:r>
            <w:r w:rsidR="00EE5753" w:rsidRPr="00BD295E">
              <w:rPr>
                <w:rFonts w:ascii="Arial" w:hAnsi="Arial" w:cs="Arial"/>
                <w:sz w:val="18"/>
                <w:szCs w:val="18"/>
                <w:lang w:val="en-US"/>
              </w:rPr>
              <w:t>PJSC “Lenenergo”</w:t>
            </w:r>
          </w:p>
        </w:tc>
      </w:tr>
      <w:tr w:rsidR="008A5057" w:rsidRPr="00BD295E" w14:paraId="1D1666D1" w14:textId="77777777" w:rsidTr="0031297B">
        <w:trPr>
          <w:trHeight w:val="276"/>
        </w:trPr>
        <w:tc>
          <w:tcPr>
            <w:tcW w:w="2943" w:type="dxa"/>
            <w:vAlign w:val="center"/>
          </w:tcPr>
          <w:p w14:paraId="232FC6D0"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63" w:type="dxa"/>
            <w:vAlign w:val="center"/>
          </w:tcPr>
          <w:p w14:paraId="7AEACF0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r w:rsidR="008A5057" w:rsidRPr="00BD295E" w14:paraId="2A01DAB8" w14:textId="77777777" w:rsidTr="0031297B">
        <w:trPr>
          <w:trHeight w:val="276"/>
        </w:trPr>
        <w:tc>
          <w:tcPr>
            <w:tcW w:w="2943" w:type="dxa"/>
            <w:tcBorders>
              <w:bottom w:val="single" w:sz="6" w:space="0" w:color="000080"/>
            </w:tcBorders>
            <w:vAlign w:val="center"/>
          </w:tcPr>
          <w:p w14:paraId="7F7316D8"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Positions with other employers</w:t>
            </w:r>
          </w:p>
        </w:tc>
        <w:tc>
          <w:tcPr>
            <w:tcW w:w="6663" w:type="dxa"/>
            <w:tcBorders>
              <w:bottom w:val="single" w:sz="6" w:space="0" w:color="000080"/>
            </w:tcBorders>
            <w:vAlign w:val="center"/>
          </w:tcPr>
          <w:p w14:paraId="7D406223"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bl>
    <w:p w14:paraId="24307E04" w14:textId="77777777" w:rsidR="00F3260C" w:rsidRPr="00BD295E" w:rsidRDefault="00F3260C" w:rsidP="00F3260C">
      <w:pPr>
        <w:rPr>
          <w:rFonts w:ascii="Arial" w:hAnsi="Arial" w:cs="Arial"/>
          <w:sz w:val="18"/>
          <w:szCs w:val="18"/>
          <w:lang w:val="en-US"/>
        </w:rPr>
      </w:pPr>
    </w:p>
    <w:tbl>
      <w:tblPr>
        <w:tblW w:w="9606"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2943"/>
        <w:gridCol w:w="6663"/>
      </w:tblGrid>
      <w:tr w:rsidR="008A5057" w:rsidRPr="00BD295E" w14:paraId="675D74AF" w14:textId="77777777" w:rsidTr="00E3510B">
        <w:trPr>
          <w:trHeight w:val="276"/>
        </w:trPr>
        <w:tc>
          <w:tcPr>
            <w:tcW w:w="2943" w:type="dxa"/>
            <w:shd w:val="clear" w:color="auto" w:fill="DEEAF6"/>
            <w:vAlign w:val="center"/>
          </w:tcPr>
          <w:p w14:paraId="735F29A1"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63" w:type="dxa"/>
            <w:shd w:val="clear" w:color="auto" w:fill="DEEAF6"/>
            <w:vAlign w:val="center"/>
          </w:tcPr>
          <w:p w14:paraId="24CCFEF3"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Aleksandr Nikonov</w:t>
            </w:r>
          </w:p>
        </w:tc>
      </w:tr>
      <w:tr w:rsidR="008A5057" w:rsidRPr="00BD295E" w14:paraId="7E60C431" w14:textId="77777777" w:rsidTr="0031297B">
        <w:trPr>
          <w:trHeight w:val="276"/>
        </w:trPr>
        <w:tc>
          <w:tcPr>
            <w:tcW w:w="2943" w:type="dxa"/>
            <w:vAlign w:val="center"/>
          </w:tcPr>
          <w:p w14:paraId="0752579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63" w:type="dxa"/>
            <w:vAlign w:val="center"/>
          </w:tcPr>
          <w:p w14:paraId="7CF5D7B2"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Member of the Management Board, Deputy CEO for Security at the Company</w:t>
            </w:r>
          </w:p>
        </w:tc>
      </w:tr>
      <w:tr w:rsidR="008A5057" w:rsidRPr="00BD295E" w14:paraId="4924ECA7" w14:textId="77777777" w:rsidTr="0031297B">
        <w:trPr>
          <w:trHeight w:val="276"/>
        </w:trPr>
        <w:tc>
          <w:tcPr>
            <w:tcW w:w="2943" w:type="dxa"/>
            <w:vAlign w:val="center"/>
          </w:tcPr>
          <w:p w14:paraId="615387CE"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63" w:type="dxa"/>
            <w:vAlign w:val="center"/>
          </w:tcPr>
          <w:p w14:paraId="5C8DDB5A"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1960 Russian Federation</w:t>
            </w:r>
          </w:p>
        </w:tc>
      </w:tr>
      <w:tr w:rsidR="008A5057" w:rsidRPr="00BD295E" w14:paraId="731DBE99" w14:textId="77777777" w:rsidTr="0031297B">
        <w:trPr>
          <w:trHeight w:val="276"/>
        </w:trPr>
        <w:tc>
          <w:tcPr>
            <w:tcW w:w="2943" w:type="dxa"/>
            <w:tcBorders>
              <w:bottom w:val="single" w:sz="6" w:space="0" w:color="C0C0C0"/>
            </w:tcBorders>
            <w:vAlign w:val="center"/>
          </w:tcPr>
          <w:p w14:paraId="28979E28"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63" w:type="dxa"/>
            <w:tcBorders>
              <w:bottom w:val="single" w:sz="6" w:space="0" w:color="C0C0C0"/>
            </w:tcBorders>
            <w:vAlign w:val="center"/>
          </w:tcPr>
          <w:p w14:paraId="5B9B360D" w14:textId="77777777" w:rsidR="00F3260C" w:rsidRPr="00BD295E" w:rsidRDefault="008A5057" w:rsidP="0031297B">
            <w:pPr>
              <w:snapToGrid w:val="0"/>
              <w:jc w:val="both"/>
              <w:rPr>
                <w:rStyle w:val="Subst0"/>
                <w:rFonts w:ascii="Arial" w:hAnsi="Arial" w:cs="Arial"/>
                <w:b w:val="0"/>
                <w:i w:val="0"/>
                <w:sz w:val="18"/>
                <w:szCs w:val="18"/>
                <w:lang w:val="en-US"/>
              </w:rPr>
            </w:pPr>
            <w:r w:rsidRPr="00BD295E">
              <w:rPr>
                <w:rFonts w:ascii="Arial" w:hAnsi="Arial" w:cs="Arial"/>
                <w:sz w:val="18"/>
                <w:szCs w:val="18"/>
                <w:lang w:val="en-US"/>
              </w:rPr>
              <w:t xml:space="preserve">Higher education. </w:t>
            </w:r>
            <w:r w:rsidRPr="00BD295E">
              <w:rPr>
                <w:rStyle w:val="Subst0"/>
                <w:rFonts w:ascii="Arial" w:hAnsi="Arial" w:cs="Arial"/>
                <w:b w:val="0"/>
                <w:i w:val="0"/>
                <w:sz w:val="18"/>
                <w:szCs w:val="18"/>
                <w:lang w:val="en-US"/>
              </w:rPr>
              <w:t xml:space="preserve">60th Anniversary of the Komsomol Higher Political School of the Soviet Ministry of Internal Affairs (1984) </w:t>
            </w:r>
          </w:p>
          <w:p w14:paraId="6C758289" w14:textId="77777777" w:rsidR="00F3260C" w:rsidRPr="00BD295E" w:rsidRDefault="008A5057" w:rsidP="0031297B">
            <w:pPr>
              <w:snapToGrid w:val="0"/>
              <w:jc w:val="both"/>
              <w:rPr>
                <w:rFonts w:ascii="Arial" w:hAnsi="Arial" w:cs="Arial"/>
                <w:iCs/>
                <w:sz w:val="18"/>
                <w:szCs w:val="18"/>
                <w:lang w:val="en-US"/>
              </w:rPr>
            </w:pPr>
            <w:r w:rsidRPr="00BD295E">
              <w:rPr>
                <w:rStyle w:val="Subst0"/>
                <w:rFonts w:ascii="Arial" w:hAnsi="Arial" w:cs="Arial"/>
                <w:b w:val="0"/>
                <w:i w:val="0"/>
                <w:sz w:val="18"/>
                <w:szCs w:val="18"/>
                <w:lang w:val="en-US"/>
              </w:rPr>
              <w:t>Saint Petersburg Law Institute, majoring in Jurisprudence, lawyer (1996)</w:t>
            </w:r>
          </w:p>
        </w:tc>
      </w:tr>
      <w:tr w:rsidR="008A5057" w:rsidRPr="00BD295E" w14:paraId="312DA0AD" w14:textId="77777777" w:rsidTr="0031297B">
        <w:trPr>
          <w:trHeight w:val="276"/>
        </w:trPr>
        <w:tc>
          <w:tcPr>
            <w:tcW w:w="2943" w:type="dxa"/>
            <w:vAlign w:val="center"/>
          </w:tcPr>
          <w:p w14:paraId="5725E51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63" w:type="dxa"/>
            <w:vAlign w:val="center"/>
          </w:tcPr>
          <w:p w14:paraId="63D2D11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2013 to date - Member of the Management Board of the Company;</w:t>
            </w:r>
          </w:p>
          <w:p w14:paraId="29AD27FE"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2013 to date – Deputy CEO for Security at </w:t>
            </w:r>
            <w:r w:rsidR="00EE5753" w:rsidRPr="00BD295E">
              <w:rPr>
                <w:rFonts w:ascii="Arial" w:hAnsi="Arial" w:cs="Arial"/>
                <w:sz w:val="18"/>
                <w:szCs w:val="18"/>
                <w:lang w:val="en-US"/>
              </w:rPr>
              <w:t>PJSC “Lenenergo”</w:t>
            </w:r>
          </w:p>
          <w:p w14:paraId="72E408AC"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2008–2013</w:t>
            </w:r>
            <w:r w:rsidRPr="00BD295E">
              <w:rPr>
                <w:rFonts w:ascii="Arial" w:hAnsi="Arial" w:cs="Arial"/>
                <w:iCs/>
                <w:sz w:val="18"/>
                <w:szCs w:val="18"/>
                <w:lang w:val="en-US"/>
              </w:rPr>
              <w:t xml:space="preserve"> </w:t>
            </w:r>
            <w:r w:rsidRPr="00BD295E">
              <w:rPr>
                <w:rFonts w:ascii="Arial" w:hAnsi="Arial" w:cs="Arial"/>
                <w:sz w:val="18"/>
                <w:szCs w:val="18"/>
                <w:lang w:val="en-US"/>
              </w:rPr>
              <w:t>– Deputy CEO at OP Galaks, OOO</w:t>
            </w:r>
          </w:p>
        </w:tc>
      </w:tr>
      <w:tr w:rsidR="008A5057" w:rsidRPr="00BD295E" w14:paraId="4EDC8F1F" w14:textId="77777777" w:rsidTr="0031297B">
        <w:trPr>
          <w:trHeight w:val="276"/>
        </w:trPr>
        <w:tc>
          <w:tcPr>
            <w:tcW w:w="2943" w:type="dxa"/>
            <w:vAlign w:val="center"/>
          </w:tcPr>
          <w:p w14:paraId="3E79DFCB"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63" w:type="dxa"/>
            <w:vAlign w:val="center"/>
          </w:tcPr>
          <w:p w14:paraId="648B4B81"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r w:rsidR="008A5057" w:rsidRPr="00BD295E" w14:paraId="307FBAA0" w14:textId="77777777" w:rsidTr="0031297B">
        <w:trPr>
          <w:trHeight w:val="276"/>
        </w:trPr>
        <w:tc>
          <w:tcPr>
            <w:tcW w:w="2943" w:type="dxa"/>
            <w:tcBorders>
              <w:bottom w:val="single" w:sz="6" w:space="0" w:color="000080"/>
            </w:tcBorders>
            <w:vAlign w:val="center"/>
          </w:tcPr>
          <w:p w14:paraId="7E6B6A61"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Positions with other employers</w:t>
            </w:r>
          </w:p>
        </w:tc>
        <w:tc>
          <w:tcPr>
            <w:tcW w:w="6663" w:type="dxa"/>
            <w:tcBorders>
              <w:bottom w:val="single" w:sz="6" w:space="0" w:color="000080"/>
            </w:tcBorders>
            <w:vAlign w:val="center"/>
          </w:tcPr>
          <w:p w14:paraId="79DD0E6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bl>
    <w:p w14:paraId="2F27612C" w14:textId="77777777" w:rsidR="00F3260C" w:rsidRPr="00BD295E" w:rsidRDefault="00F3260C" w:rsidP="00F3260C">
      <w:pPr>
        <w:rPr>
          <w:rFonts w:ascii="Arial" w:hAnsi="Arial" w:cs="Arial"/>
          <w:sz w:val="18"/>
          <w:szCs w:val="18"/>
          <w:lang w:val="en-US"/>
        </w:rPr>
      </w:pPr>
    </w:p>
    <w:tbl>
      <w:tblPr>
        <w:tblW w:w="9606"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2943"/>
        <w:gridCol w:w="6663"/>
      </w:tblGrid>
      <w:tr w:rsidR="008A5057" w:rsidRPr="00BD295E" w14:paraId="551C2472" w14:textId="77777777" w:rsidTr="00E3510B">
        <w:trPr>
          <w:trHeight w:val="276"/>
        </w:trPr>
        <w:tc>
          <w:tcPr>
            <w:tcW w:w="2943" w:type="dxa"/>
            <w:shd w:val="clear" w:color="auto" w:fill="DEEAF6"/>
            <w:vAlign w:val="center"/>
          </w:tcPr>
          <w:p w14:paraId="14C78EAF"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63" w:type="dxa"/>
            <w:shd w:val="clear" w:color="auto" w:fill="DEEAF6"/>
            <w:vAlign w:val="center"/>
          </w:tcPr>
          <w:p w14:paraId="46B97DCE"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Andrey Smolnikov</w:t>
            </w:r>
          </w:p>
        </w:tc>
      </w:tr>
      <w:tr w:rsidR="008A5057" w:rsidRPr="00BD295E" w14:paraId="51A7A37B" w14:textId="77777777" w:rsidTr="0031297B">
        <w:trPr>
          <w:trHeight w:val="276"/>
        </w:trPr>
        <w:tc>
          <w:tcPr>
            <w:tcW w:w="2943" w:type="dxa"/>
            <w:vAlign w:val="center"/>
          </w:tcPr>
          <w:p w14:paraId="33AF16B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63" w:type="dxa"/>
            <w:vAlign w:val="center"/>
          </w:tcPr>
          <w:p w14:paraId="5F0804A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Member of the Management Board</w:t>
            </w:r>
          </w:p>
        </w:tc>
      </w:tr>
      <w:tr w:rsidR="008A5057" w:rsidRPr="00BD295E" w14:paraId="7BCFA7DA" w14:textId="77777777" w:rsidTr="0031297B">
        <w:trPr>
          <w:trHeight w:val="276"/>
        </w:trPr>
        <w:tc>
          <w:tcPr>
            <w:tcW w:w="2943" w:type="dxa"/>
            <w:vAlign w:val="center"/>
          </w:tcPr>
          <w:p w14:paraId="2737889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63" w:type="dxa"/>
            <w:vAlign w:val="center"/>
          </w:tcPr>
          <w:p w14:paraId="187FD9B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iCs/>
                <w:sz w:val="18"/>
                <w:szCs w:val="18"/>
                <w:lang w:val="en-US"/>
              </w:rPr>
              <w:t xml:space="preserve">1979 </w:t>
            </w:r>
            <w:r w:rsidRPr="00BD295E">
              <w:rPr>
                <w:rFonts w:ascii="Arial" w:hAnsi="Arial" w:cs="Arial"/>
                <w:bCs/>
                <w:sz w:val="18"/>
                <w:szCs w:val="18"/>
                <w:lang w:val="en-US"/>
              </w:rPr>
              <w:t>Russian Federation</w:t>
            </w:r>
          </w:p>
        </w:tc>
      </w:tr>
      <w:tr w:rsidR="008A5057" w:rsidRPr="00BD295E" w14:paraId="58CFEB9C" w14:textId="77777777" w:rsidTr="0031297B">
        <w:trPr>
          <w:trHeight w:val="276"/>
        </w:trPr>
        <w:tc>
          <w:tcPr>
            <w:tcW w:w="2943" w:type="dxa"/>
            <w:tcBorders>
              <w:bottom w:val="single" w:sz="6" w:space="0" w:color="C0C0C0"/>
            </w:tcBorders>
            <w:vAlign w:val="center"/>
          </w:tcPr>
          <w:p w14:paraId="686751C0"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63" w:type="dxa"/>
            <w:tcBorders>
              <w:bottom w:val="single" w:sz="6" w:space="0" w:color="C0C0C0"/>
            </w:tcBorders>
            <w:vAlign w:val="center"/>
          </w:tcPr>
          <w:p w14:paraId="5EB820D1"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sz w:val="18"/>
                <w:szCs w:val="18"/>
                <w:lang w:val="en-US"/>
              </w:rPr>
              <w:t>Higher education. Udmurtian State University, majoring in Jurisprudence, lawyer (2003)</w:t>
            </w:r>
          </w:p>
        </w:tc>
      </w:tr>
      <w:tr w:rsidR="008A5057" w:rsidRPr="00BD295E" w14:paraId="0FF4301C" w14:textId="77777777" w:rsidTr="0031297B">
        <w:trPr>
          <w:trHeight w:val="276"/>
        </w:trPr>
        <w:tc>
          <w:tcPr>
            <w:tcW w:w="2943" w:type="dxa"/>
            <w:vAlign w:val="center"/>
          </w:tcPr>
          <w:p w14:paraId="3B8E98E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63" w:type="dxa"/>
            <w:vAlign w:val="center"/>
          </w:tcPr>
          <w:p w14:paraId="688D094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2016 to date - Member of the Management Board of the Company;</w:t>
            </w:r>
          </w:p>
          <w:p w14:paraId="05AA7C9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2017 to date - Director for Corporate Governance and Legal Support at NIC UES, JSC</w:t>
            </w:r>
          </w:p>
          <w:p w14:paraId="787B1189"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2016 –2017 – Deputy CEO for Legal and Corporate Governance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45C9CB2"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2006–2016 – Head of the Corporate Governance and Shareholder Relations Department, Head of the Corporate Policy and Investor Relations Service, Head of the Capital Management and Investor Relations Unit at </w:t>
            </w:r>
            <w:r w:rsidR="00EE5753" w:rsidRPr="00BD295E">
              <w:rPr>
                <w:rFonts w:ascii="Arial" w:hAnsi="Arial" w:cs="Arial"/>
                <w:sz w:val="18"/>
                <w:szCs w:val="18"/>
                <w:lang w:val="en-US"/>
              </w:rPr>
              <w:t>PJSC “Lenenergo”</w:t>
            </w:r>
          </w:p>
        </w:tc>
      </w:tr>
      <w:tr w:rsidR="008A5057" w:rsidRPr="00BD295E" w14:paraId="302FF9A2" w14:textId="77777777" w:rsidTr="0031297B">
        <w:trPr>
          <w:trHeight w:val="276"/>
        </w:trPr>
        <w:tc>
          <w:tcPr>
            <w:tcW w:w="2943" w:type="dxa"/>
            <w:vAlign w:val="center"/>
          </w:tcPr>
          <w:p w14:paraId="25E654AD"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63" w:type="dxa"/>
            <w:vAlign w:val="center"/>
          </w:tcPr>
          <w:p w14:paraId="104B34A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r w:rsidR="008A5057" w:rsidRPr="00BD295E" w14:paraId="237A85E5" w14:textId="77777777" w:rsidTr="0031297B">
        <w:trPr>
          <w:trHeight w:val="276"/>
        </w:trPr>
        <w:tc>
          <w:tcPr>
            <w:tcW w:w="2943" w:type="dxa"/>
            <w:tcBorders>
              <w:bottom w:val="single" w:sz="6" w:space="0" w:color="000080"/>
            </w:tcBorders>
            <w:vAlign w:val="center"/>
          </w:tcPr>
          <w:p w14:paraId="3B888535"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Positions with other employers</w:t>
            </w:r>
          </w:p>
        </w:tc>
        <w:tc>
          <w:tcPr>
            <w:tcW w:w="6663" w:type="dxa"/>
            <w:tcBorders>
              <w:bottom w:val="single" w:sz="6" w:space="0" w:color="000080"/>
            </w:tcBorders>
            <w:vAlign w:val="center"/>
          </w:tcPr>
          <w:p w14:paraId="7F6B156C" w14:textId="77777777" w:rsidR="00F3260C" w:rsidRPr="00BD295E" w:rsidRDefault="008A5057" w:rsidP="0031297B">
            <w:pPr>
              <w:snapToGrid w:val="0"/>
              <w:jc w:val="both"/>
              <w:rPr>
                <w:rStyle w:val="Subst0"/>
                <w:rFonts w:ascii="Arial" w:hAnsi="Arial" w:cs="Arial"/>
                <w:b w:val="0"/>
                <w:bCs/>
                <w:i w:val="0"/>
                <w:iCs/>
                <w:sz w:val="18"/>
                <w:szCs w:val="18"/>
                <w:lang w:val="en-US"/>
              </w:rPr>
            </w:pPr>
            <w:r w:rsidRPr="00BD295E">
              <w:rPr>
                <w:rStyle w:val="Subst0"/>
                <w:rFonts w:ascii="Arial" w:hAnsi="Arial" w:cs="Arial"/>
                <w:b w:val="0"/>
                <w:bCs/>
                <w:i w:val="0"/>
                <w:iCs/>
                <w:sz w:val="18"/>
                <w:szCs w:val="18"/>
                <w:lang w:val="en-US"/>
              </w:rPr>
              <w:t xml:space="preserve">Member of the Board of Directors at </w:t>
            </w:r>
            <w:r w:rsidR="006515AB" w:rsidRPr="00BD295E">
              <w:rPr>
                <w:rStyle w:val="Subst0"/>
                <w:rFonts w:ascii="Arial" w:hAnsi="Arial" w:cs="Arial"/>
                <w:b w:val="0"/>
                <w:bCs/>
                <w:i w:val="0"/>
                <w:iCs/>
                <w:sz w:val="18"/>
                <w:szCs w:val="18"/>
                <w:lang w:val="en-US"/>
              </w:rPr>
              <w:t>JSC “Kurortenergo”</w:t>
            </w:r>
          </w:p>
          <w:p w14:paraId="4A21C1E6" w14:textId="77777777" w:rsidR="00F3260C" w:rsidRPr="00BD295E" w:rsidRDefault="008A5057" w:rsidP="0031297B">
            <w:pPr>
              <w:snapToGrid w:val="0"/>
              <w:jc w:val="both"/>
              <w:rPr>
                <w:rStyle w:val="Subst0"/>
                <w:rFonts w:ascii="Arial" w:hAnsi="Arial" w:cs="Arial"/>
                <w:b w:val="0"/>
                <w:bCs/>
                <w:i w:val="0"/>
                <w:iCs/>
                <w:sz w:val="18"/>
                <w:szCs w:val="18"/>
                <w:lang w:val="en-US"/>
              </w:rPr>
            </w:pPr>
            <w:r w:rsidRPr="00BD295E">
              <w:rPr>
                <w:rStyle w:val="Subst0"/>
                <w:rFonts w:ascii="Arial" w:hAnsi="Arial" w:cs="Arial"/>
                <w:b w:val="0"/>
                <w:bCs/>
                <w:i w:val="0"/>
                <w:iCs/>
                <w:sz w:val="18"/>
                <w:szCs w:val="18"/>
                <w:lang w:val="en-US"/>
              </w:rPr>
              <w:t xml:space="preserve">Member of the Board of Directors at </w:t>
            </w:r>
            <w:r w:rsidR="006515AB" w:rsidRPr="00BD295E">
              <w:rPr>
                <w:rStyle w:val="Subst0"/>
                <w:rFonts w:ascii="Arial" w:hAnsi="Arial" w:cs="Arial"/>
                <w:b w:val="0"/>
                <w:bCs/>
                <w:i w:val="0"/>
                <w:iCs/>
                <w:sz w:val="18"/>
                <w:szCs w:val="18"/>
                <w:lang w:val="en-US"/>
              </w:rPr>
              <w:t>JSC “Saint Petersburg Power Grid”</w:t>
            </w:r>
          </w:p>
          <w:p w14:paraId="0C188387" w14:textId="77777777" w:rsidR="00F3260C" w:rsidRPr="00BD295E" w:rsidRDefault="008A5057" w:rsidP="0031297B">
            <w:pPr>
              <w:snapToGrid w:val="0"/>
              <w:jc w:val="both"/>
              <w:rPr>
                <w:rFonts w:ascii="Arial" w:hAnsi="Arial" w:cs="Arial"/>
                <w:bCs/>
                <w:iCs/>
                <w:sz w:val="18"/>
                <w:szCs w:val="18"/>
                <w:lang w:val="en-US"/>
              </w:rPr>
            </w:pPr>
            <w:r w:rsidRPr="00BD295E">
              <w:rPr>
                <w:rStyle w:val="Subst0"/>
                <w:rFonts w:ascii="Arial" w:hAnsi="Arial" w:cs="Arial"/>
                <w:b w:val="0"/>
                <w:bCs/>
                <w:i w:val="0"/>
                <w:iCs/>
                <w:sz w:val="18"/>
                <w:szCs w:val="18"/>
                <w:lang w:val="en-US"/>
              </w:rPr>
              <w:t xml:space="preserve">Member of the Board of Directors at </w:t>
            </w:r>
            <w:r w:rsidR="00A07300" w:rsidRPr="00BD295E">
              <w:rPr>
                <w:rStyle w:val="Subst0"/>
                <w:rFonts w:ascii="Arial" w:hAnsi="Arial" w:cs="Arial"/>
                <w:b w:val="0"/>
                <w:bCs/>
                <w:i w:val="0"/>
                <w:iCs/>
                <w:sz w:val="18"/>
                <w:szCs w:val="18"/>
                <w:lang w:val="en-US"/>
              </w:rPr>
              <w:t>JSC “Petrodvorets Electric Company”</w:t>
            </w:r>
            <w:r w:rsidRPr="00BD295E">
              <w:rPr>
                <w:rStyle w:val="Subst0"/>
                <w:rFonts w:ascii="Arial" w:hAnsi="Arial" w:cs="Arial"/>
                <w:b w:val="0"/>
                <w:bCs/>
                <w:i w:val="0"/>
                <w:iCs/>
                <w:sz w:val="18"/>
                <w:szCs w:val="18"/>
                <w:lang w:val="en-US"/>
              </w:rPr>
              <w:t>.</w:t>
            </w:r>
          </w:p>
        </w:tc>
      </w:tr>
    </w:tbl>
    <w:p w14:paraId="2E6F7058" w14:textId="77777777" w:rsidR="00F3260C" w:rsidRPr="00BD295E" w:rsidRDefault="00F3260C" w:rsidP="00F3260C">
      <w:pPr>
        <w:rPr>
          <w:rFonts w:ascii="Arial" w:hAnsi="Arial" w:cs="Arial"/>
          <w:sz w:val="18"/>
          <w:szCs w:val="18"/>
          <w:lang w:val="en-US"/>
        </w:rPr>
      </w:pPr>
    </w:p>
    <w:tbl>
      <w:tblPr>
        <w:tblW w:w="9606"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2943"/>
        <w:gridCol w:w="6663"/>
      </w:tblGrid>
      <w:tr w:rsidR="008A5057" w:rsidRPr="00BD295E" w14:paraId="6F58081F" w14:textId="77777777" w:rsidTr="00E3510B">
        <w:trPr>
          <w:trHeight w:val="276"/>
        </w:trPr>
        <w:tc>
          <w:tcPr>
            <w:tcW w:w="2943" w:type="dxa"/>
            <w:shd w:val="clear" w:color="auto" w:fill="DEEAF6"/>
            <w:vAlign w:val="center"/>
          </w:tcPr>
          <w:p w14:paraId="0435A4C2"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63" w:type="dxa"/>
            <w:shd w:val="clear" w:color="auto" w:fill="DEEAF6"/>
            <w:vAlign w:val="center"/>
          </w:tcPr>
          <w:p w14:paraId="18FE5037"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Pavel Dyakov</w:t>
            </w:r>
          </w:p>
        </w:tc>
      </w:tr>
      <w:tr w:rsidR="008A5057" w:rsidRPr="00BD295E" w14:paraId="19026CCE" w14:textId="77777777" w:rsidTr="0031297B">
        <w:trPr>
          <w:trHeight w:val="276"/>
        </w:trPr>
        <w:tc>
          <w:tcPr>
            <w:tcW w:w="2943" w:type="dxa"/>
            <w:vAlign w:val="center"/>
          </w:tcPr>
          <w:p w14:paraId="1F3C8BA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63" w:type="dxa"/>
            <w:vAlign w:val="center"/>
          </w:tcPr>
          <w:p w14:paraId="70C6E314"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Member of the Management Board, Acting Deputy CEO for Grid Connection at the Company</w:t>
            </w:r>
          </w:p>
        </w:tc>
      </w:tr>
      <w:tr w:rsidR="008A5057" w:rsidRPr="00BD295E" w14:paraId="37C7B592" w14:textId="77777777" w:rsidTr="0031297B">
        <w:trPr>
          <w:trHeight w:val="276"/>
        </w:trPr>
        <w:tc>
          <w:tcPr>
            <w:tcW w:w="2943" w:type="dxa"/>
            <w:vAlign w:val="center"/>
          </w:tcPr>
          <w:p w14:paraId="0D14DC1A"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63" w:type="dxa"/>
            <w:vAlign w:val="center"/>
          </w:tcPr>
          <w:p w14:paraId="744C8CE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iCs/>
                <w:sz w:val="18"/>
                <w:szCs w:val="18"/>
                <w:lang w:val="en-US"/>
              </w:rPr>
              <w:t xml:space="preserve">1978 </w:t>
            </w:r>
            <w:r w:rsidRPr="00BD295E">
              <w:rPr>
                <w:rFonts w:ascii="Arial" w:hAnsi="Arial" w:cs="Arial"/>
                <w:bCs/>
                <w:sz w:val="18"/>
                <w:szCs w:val="18"/>
                <w:lang w:val="en-US"/>
              </w:rPr>
              <w:t>Russian Federation</w:t>
            </w:r>
          </w:p>
        </w:tc>
      </w:tr>
      <w:tr w:rsidR="008A5057" w:rsidRPr="00BD295E" w14:paraId="434835BE" w14:textId="77777777" w:rsidTr="0031297B">
        <w:trPr>
          <w:trHeight w:val="276"/>
        </w:trPr>
        <w:tc>
          <w:tcPr>
            <w:tcW w:w="2943" w:type="dxa"/>
            <w:tcBorders>
              <w:bottom w:val="single" w:sz="6" w:space="0" w:color="C0C0C0"/>
            </w:tcBorders>
            <w:vAlign w:val="center"/>
          </w:tcPr>
          <w:p w14:paraId="038D688D"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63" w:type="dxa"/>
            <w:tcBorders>
              <w:bottom w:val="single" w:sz="6" w:space="0" w:color="C0C0C0"/>
            </w:tcBorders>
            <w:vAlign w:val="center"/>
          </w:tcPr>
          <w:p w14:paraId="62F099C6"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sz w:val="18"/>
                <w:szCs w:val="18"/>
                <w:lang w:val="en-US"/>
              </w:rPr>
              <w:t xml:space="preserve">Higher education. Saint Petersburg Institute of Mechanical Engineering LMZ–VTUZ, </w:t>
            </w:r>
            <w:r w:rsidR="00CF0D86" w:rsidRPr="00BD295E">
              <w:rPr>
                <w:rFonts w:ascii="Arial" w:hAnsi="Arial" w:cs="Arial"/>
                <w:sz w:val="18"/>
                <w:szCs w:val="18"/>
                <w:lang w:val="en-US"/>
              </w:rPr>
              <w:t>majoring</w:t>
            </w:r>
            <w:r w:rsidRPr="00BD295E">
              <w:rPr>
                <w:rFonts w:ascii="Arial" w:hAnsi="Arial" w:cs="Arial"/>
                <w:sz w:val="18"/>
                <w:szCs w:val="18"/>
                <w:lang w:val="en-US"/>
              </w:rPr>
              <w:t xml:space="preserve"> in Turbine Manufacturing, engineer (2001)</w:t>
            </w:r>
          </w:p>
        </w:tc>
      </w:tr>
      <w:tr w:rsidR="008A5057" w:rsidRPr="00BD295E" w14:paraId="046649BE" w14:textId="77777777" w:rsidTr="0031297B">
        <w:trPr>
          <w:trHeight w:val="276"/>
        </w:trPr>
        <w:tc>
          <w:tcPr>
            <w:tcW w:w="2943" w:type="dxa"/>
            <w:vAlign w:val="center"/>
          </w:tcPr>
          <w:p w14:paraId="44429AAE"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63" w:type="dxa"/>
            <w:vAlign w:val="center"/>
          </w:tcPr>
          <w:p w14:paraId="4A34EB3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2016 to date - Member of the Management Board of the Company;</w:t>
            </w:r>
          </w:p>
          <w:p w14:paraId="6B2F7271"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2016 to date – - Acting Deputy CEO for Grid Connection, Deputy CEO for Sales and Development of Services at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1646495F" w14:textId="77777777" w:rsidR="00F3260C" w:rsidRPr="00BD295E" w:rsidRDefault="008A5057" w:rsidP="0031297B">
            <w:pPr>
              <w:jc w:val="both"/>
              <w:rPr>
                <w:rFonts w:ascii="Arial" w:hAnsi="Arial" w:cs="Arial"/>
                <w:sz w:val="18"/>
                <w:szCs w:val="18"/>
                <w:lang w:val="en-US"/>
              </w:rPr>
            </w:pPr>
            <w:r w:rsidRPr="00BD295E">
              <w:rPr>
                <w:rFonts w:ascii="Arial" w:hAnsi="Arial" w:cs="Arial"/>
                <w:iCs/>
                <w:sz w:val="18"/>
                <w:szCs w:val="18"/>
                <w:lang w:val="en-US"/>
              </w:rPr>
              <w:t>2014</w:t>
            </w:r>
            <w:r w:rsidRPr="00BD295E">
              <w:rPr>
                <w:rFonts w:ascii="Arial" w:hAnsi="Arial" w:cs="Arial"/>
                <w:sz w:val="18"/>
                <w:szCs w:val="18"/>
                <w:lang w:val="en-US"/>
              </w:rPr>
              <w:t>–</w:t>
            </w:r>
            <w:r w:rsidRPr="00BD295E">
              <w:rPr>
                <w:rFonts w:ascii="Arial" w:hAnsi="Arial" w:cs="Arial"/>
                <w:iCs/>
                <w:sz w:val="18"/>
                <w:szCs w:val="18"/>
                <w:lang w:val="en-US"/>
              </w:rPr>
              <w:t xml:space="preserve">2016 </w:t>
            </w:r>
            <w:r w:rsidRPr="00BD295E">
              <w:rPr>
                <w:rFonts w:ascii="Arial" w:hAnsi="Arial" w:cs="Arial"/>
                <w:sz w:val="18"/>
                <w:szCs w:val="18"/>
                <w:lang w:val="en-US"/>
              </w:rPr>
              <w:t xml:space="preserve">– Director of the Prigorodniye Power Grid branch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1797FC8" w14:textId="77777777" w:rsidR="00F3260C" w:rsidRPr="00BD295E" w:rsidRDefault="008A5057" w:rsidP="0031297B">
            <w:pPr>
              <w:jc w:val="both"/>
              <w:rPr>
                <w:rFonts w:ascii="Arial" w:hAnsi="Arial" w:cs="Arial"/>
                <w:sz w:val="18"/>
                <w:szCs w:val="18"/>
                <w:lang w:val="en-US"/>
              </w:rPr>
            </w:pPr>
            <w:r w:rsidRPr="00BD295E">
              <w:rPr>
                <w:rFonts w:ascii="Arial" w:hAnsi="Arial" w:cs="Arial"/>
                <w:iCs/>
                <w:sz w:val="18"/>
                <w:szCs w:val="18"/>
                <w:lang w:val="en-US"/>
              </w:rPr>
              <w:t>2013</w:t>
            </w:r>
            <w:r w:rsidRPr="00BD295E">
              <w:rPr>
                <w:rFonts w:ascii="Arial" w:hAnsi="Arial" w:cs="Arial"/>
                <w:sz w:val="18"/>
                <w:szCs w:val="18"/>
                <w:lang w:val="en-US"/>
              </w:rPr>
              <w:t>–</w:t>
            </w:r>
            <w:r w:rsidRPr="00BD295E">
              <w:rPr>
                <w:rFonts w:ascii="Arial" w:hAnsi="Arial" w:cs="Arial"/>
                <w:iCs/>
                <w:sz w:val="18"/>
                <w:szCs w:val="18"/>
                <w:lang w:val="en-US"/>
              </w:rPr>
              <w:t xml:space="preserve">2014 </w:t>
            </w:r>
            <w:r w:rsidRPr="00BD295E">
              <w:rPr>
                <w:rFonts w:ascii="Arial" w:hAnsi="Arial" w:cs="Arial"/>
                <w:sz w:val="18"/>
                <w:szCs w:val="18"/>
                <w:lang w:val="en-US"/>
              </w:rPr>
              <w:t xml:space="preserve">– Deputy Director for Capital Construction of the Prigorodniye Power Grid branch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4D27CCF5"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2013 – Advisor to CEO of </w:t>
            </w:r>
            <w:r w:rsidR="000D659F" w:rsidRPr="00BD295E">
              <w:rPr>
                <w:rFonts w:ascii="Arial" w:hAnsi="Arial" w:cs="Arial"/>
                <w:sz w:val="18"/>
                <w:szCs w:val="18"/>
                <w:lang w:val="en-US"/>
              </w:rPr>
              <w:t>OJSC “Lenenergo”</w:t>
            </w:r>
            <w:r w:rsidRPr="00BD295E">
              <w:rPr>
                <w:rFonts w:ascii="Arial" w:hAnsi="Arial" w:cs="Arial"/>
                <w:sz w:val="18"/>
                <w:szCs w:val="18"/>
                <w:lang w:val="en-US"/>
              </w:rPr>
              <w:t>;</w:t>
            </w:r>
          </w:p>
          <w:p w14:paraId="0AEEC0C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2012 – First Deputy Chairman of the Energy and Engineering Support Committee of Saint Petersburg</w:t>
            </w:r>
          </w:p>
        </w:tc>
      </w:tr>
      <w:tr w:rsidR="008A5057" w:rsidRPr="00BD295E" w14:paraId="3EDA1B32" w14:textId="77777777" w:rsidTr="0031297B">
        <w:trPr>
          <w:trHeight w:val="276"/>
        </w:trPr>
        <w:tc>
          <w:tcPr>
            <w:tcW w:w="2943" w:type="dxa"/>
            <w:vAlign w:val="center"/>
          </w:tcPr>
          <w:p w14:paraId="6327C162"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63" w:type="dxa"/>
            <w:vAlign w:val="center"/>
          </w:tcPr>
          <w:p w14:paraId="0732B1C2"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r w:rsidR="008A5057" w:rsidRPr="00BD295E" w14:paraId="3F9A7EA4" w14:textId="77777777" w:rsidTr="0031297B">
        <w:trPr>
          <w:trHeight w:val="276"/>
        </w:trPr>
        <w:tc>
          <w:tcPr>
            <w:tcW w:w="2943" w:type="dxa"/>
            <w:tcBorders>
              <w:bottom w:val="single" w:sz="6" w:space="0" w:color="000080"/>
            </w:tcBorders>
            <w:vAlign w:val="center"/>
          </w:tcPr>
          <w:p w14:paraId="50521E16"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Positions with other employers</w:t>
            </w:r>
          </w:p>
        </w:tc>
        <w:tc>
          <w:tcPr>
            <w:tcW w:w="6663" w:type="dxa"/>
            <w:tcBorders>
              <w:bottom w:val="single" w:sz="6" w:space="0" w:color="000080"/>
            </w:tcBorders>
            <w:vAlign w:val="center"/>
          </w:tcPr>
          <w:p w14:paraId="7959126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Member of the Board of Directors at </w:t>
            </w:r>
            <w:r w:rsidR="006515AB" w:rsidRPr="00BD295E">
              <w:rPr>
                <w:rFonts w:ascii="Arial" w:hAnsi="Arial" w:cs="Arial"/>
                <w:sz w:val="18"/>
                <w:szCs w:val="18"/>
                <w:lang w:val="en-US"/>
              </w:rPr>
              <w:t>JSC “Kurortenergo”</w:t>
            </w:r>
          </w:p>
          <w:p w14:paraId="6924B0AB" w14:textId="77777777" w:rsidR="00F3260C" w:rsidRPr="00BD295E" w:rsidRDefault="008A5057" w:rsidP="0031297B">
            <w:pPr>
              <w:snapToGrid w:val="0"/>
              <w:jc w:val="both"/>
              <w:rPr>
                <w:rFonts w:ascii="Arial" w:hAnsi="Arial" w:cs="Arial"/>
                <w:bCs/>
                <w:iCs/>
                <w:sz w:val="18"/>
                <w:szCs w:val="18"/>
                <w:lang w:val="en-US"/>
              </w:rPr>
            </w:pPr>
            <w:r w:rsidRPr="00BD295E">
              <w:rPr>
                <w:rStyle w:val="Subst0"/>
                <w:rFonts w:ascii="Arial" w:hAnsi="Arial" w:cs="Arial"/>
                <w:b w:val="0"/>
                <w:bCs/>
                <w:i w:val="0"/>
                <w:iCs/>
                <w:sz w:val="18"/>
                <w:szCs w:val="18"/>
                <w:lang w:val="en-US"/>
              </w:rPr>
              <w:t xml:space="preserve">Member of the Board of Directors of </w:t>
            </w:r>
            <w:r w:rsidR="006515AB" w:rsidRPr="00BD295E">
              <w:rPr>
                <w:rStyle w:val="Subst0"/>
                <w:rFonts w:ascii="Arial" w:hAnsi="Arial" w:cs="Arial"/>
                <w:b w:val="0"/>
                <w:bCs/>
                <w:i w:val="0"/>
                <w:iCs/>
                <w:sz w:val="18"/>
                <w:szCs w:val="18"/>
                <w:lang w:val="en-US"/>
              </w:rPr>
              <w:t>JSC “Lenenergo Energy Service Company”</w:t>
            </w:r>
            <w:r w:rsidRPr="00BD295E">
              <w:rPr>
                <w:rStyle w:val="Subst0"/>
                <w:rFonts w:ascii="Arial" w:hAnsi="Arial" w:cs="Arial"/>
                <w:b w:val="0"/>
                <w:bCs/>
                <w:i w:val="0"/>
                <w:iCs/>
                <w:sz w:val="18"/>
                <w:szCs w:val="18"/>
                <w:lang w:val="en-US"/>
              </w:rPr>
              <w:t>.</w:t>
            </w:r>
          </w:p>
        </w:tc>
      </w:tr>
    </w:tbl>
    <w:p w14:paraId="24F93059" w14:textId="77777777" w:rsidR="00F3260C" w:rsidRPr="00BD295E" w:rsidRDefault="00F3260C" w:rsidP="00F3260C">
      <w:pPr>
        <w:rPr>
          <w:rFonts w:ascii="Arial" w:hAnsi="Arial" w:cs="Arial"/>
          <w:sz w:val="18"/>
          <w:szCs w:val="18"/>
          <w:lang w:val="en-US"/>
        </w:rPr>
      </w:pPr>
    </w:p>
    <w:tbl>
      <w:tblPr>
        <w:tblW w:w="9606"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2943"/>
        <w:gridCol w:w="6663"/>
      </w:tblGrid>
      <w:tr w:rsidR="008A5057" w:rsidRPr="00BD295E" w14:paraId="1D2EFC61" w14:textId="77777777" w:rsidTr="00E3510B">
        <w:trPr>
          <w:trHeight w:val="276"/>
        </w:trPr>
        <w:tc>
          <w:tcPr>
            <w:tcW w:w="2943" w:type="dxa"/>
            <w:shd w:val="clear" w:color="auto" w:fill="DEEAF6"/>
            <w:vAlign w:val="center"/>
          </w:tcPr>
          <w:p w14:paraId="06C086D9"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63" w:type="dxa"/>
            <w:shd w:val="clear" w:color="auto" w:fill="DEEAF6"/>
            <w:vAlign w:val="center"/>
          </w:tcPr>
          <w:p w14:paraId="2301F55F"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Ilya Meshchyaryakov</w:t>
            </w:r>
          </w:p>
        </w:tc>
      </w:tr>
      <w:tr w:rsidR="008A5057" w:rsidRPr="00BD295E" w14:paraId="0634375E" w14:textId="77777777" w:rsidTr="0031297B">
        <w:trPr>
          <w:trHeight w:val="276"/>
        </w:trPr>
        <w:tc>
          <w:tcPr>
            <w:tcW w:w="2943" w:type="dxa"/>
            <w:vAlign w:val="center"/>
          </w:tcPr>
          <w:p w14:paraId="2E94D7ED"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63" w:type="dxa"/>
            <w:vAlign w:val="center"/>
          </w:tcPr>
          <w:p w14:paraId="1F2C6BE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Member of the Management Board, Director of the Prigorodniye Power Grid branch of the Company </w:t>
            </w:r>
          </w:p>
        </w:tc>
      </w:tr>
      <w:tr w:rsidR="008A5057" w:rsidRPr="00BD295E" w14:paraId="0CF9386F" w14:textId="77777777" w:rsidTr="0031297B">
        <w:trPr>
          <w:trHeight w:val="276"/>
        </w:trPr>
        <w:tc>
          <w:tcPr>
            <w:tcW w:w="2943" w:type="dxa"/>
            <w:vAlign w:val="center"/>
          </w:tcPr>
          <w:p w14:paraId="1C3CB85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63" w:type="dxa"/>
            <w:vAlign w:val="center"/>
          </w:tcPr>
          <w:p w14:paraId="60789501" w14:textId="4636C489" w:rsidR="00F3260C" w:rsidRPr="00BD295E" w:rsidRDefault="009C7C5B" w:rsidP="0031297B">
            <w:pPr>
              <w:snapToGrid w:val="0"/>
              <w:jc w:val="both"/>
              <w:rPr>
                <w:rFonts w:ascii="Arial" w:hAnsi="Arial" w:cs="Arial"/>
                <w:sz w:val="18"/>
                <w:szCs w:val="18"/>
                <w:lang w:val="en-US"/>
              </w:rPr>
            </w:pPr>
            <w:r w:rsidRPr="00BD295E">
              <w:rPr>
                <w:rFonts w:ascii="Arial" w:hAnsi="Arial" w:cs="Arial"/>
                <w:iCs/>
                <w:sz w:val="18"/>
                <w:szCs w:val="18"/>
                <w:lang w:val="en-US"/>
              </w:rPr>
              <w:t>1974</w:t>
            </w:r>
            <w:r w:rsidR="008A5057" w:rsidRPr="00BD295E">
              <w:rPr>
                <w:rFonts w:ascii="Arial" w:hAnsi="Arial" w:cs="Arial"/>
                <w:iCs/>
                <w:sz w:val="18"/>
                <w:szCs w:val="18"/>
                <w:lang w:val="en-US"/>
              </w:rPr>
              <w:t xml:space="preserve"> </w:t>
            </w:r>
            <w:r w:rsidR="008A5057" w:rsidRPr="00BD295E">
              <w:rPr>
                <w:rFonts w:ascii="Arial" w:hAnsi="Arial" w:cs="Arial"/>
                <w:bCs/>
                <w:sz w:val="18"/>
                <w:szCs w:val="18"/>
                <w:lang w:val="en-US"/>
              </w:rPr>
              <w:t>Russian Federation</w:t>
            </w:r>
          </w:p>
        </w:tc>
      </w:tr>
      <w:tr w:rsidR="008A5057" w:rsidRPr="00BD295E" w14:paraId="0540A07A" w14:textId="77777777" w:rsidTr="0031297B">
        <w:trPr>
          <w:trHeight w:val="276"/>
        </w:trPr>
        <w:tc>
          <w:tcPr>
            <w:tcW w:w="2943" w:type="dxa"/>
            <w:tcBorders>
              <w:bottom w:val="single" w:sz="6" w:space="0" w:color="C0C0C0"/>
            </w:tcBorders>
            <w:vAlign w:val="center"/>
          </w:tcPr>
          <w:p w14:paraId="4FF6B179"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63" w:type="dxa"/>
            <w:tcBorders>
              <w:bottom w:val="single" w:sz="6" w:space="0" w:color="C0C0C0"/>
            </w:tcBorders>
            <w:vAlign w:val="center"/>
          </w:tcPr>
          <w:p w14:paraId="46033CCF" w14:textId="77777777" w:rsidR="00F3260C" w:rsidRPr="00BD295E" w:rsidRDefault="008A5057" w:rsidP="0031297B">
            <w:pPr>
              <w:snapToGrid w:val="0"/>
              <w:jc w:val="both"/>
              <w:rPr>
                <w:rFonts w:ascii="Arial" w:hAnsi="Arial" w:cs="Arial"/>
                <w:iCs/>
                <w:sz w:val="18"/>
                <w:szCs w:val="18"/>
                <w:lang w:val="en-US"/>
              </w:rPr>
            </w:pPr>
            <w:r w:rsidRPr="00BD295E">
              <w:rPr>
                <w:rFonts w:ascii="Arial" w:hAnsi="Arial" w:cs="Arial"/>
                <w:sz w:val="18"/>
                <w:szCs w:val="18"/>
                <w:lang w:val="en-US"/>
              </w:rPr>
              <w:t>Higher education. Saint Petersburg State Technical University, majoring in Electrical Installations and Systems, electrical engineer (1997)</w:t>
            </w:r>
          </w:p>
        </w:tc>
      </w:tr>
      <w:tr w:rsidR="008A5057" w:rsidRPr="00BD295E" w14:paraId="04640D13" w14:textId="77777777" w:rsidTr="0031297B">
        <w:trPr>
          <w:trHeight w:val="276"/>
        </w:trPr>
        <w:tc>
          <w:tcPr>
            <w:tcW w:w="2943" w:type="dxa"/>
            <w:vAlign w:val="center"/>
          </w:tcPr>
          <w:p w14:paraId="1B59228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63" w:type="dxa"/>
            <w:vAlign w:val="center"/>
          </w:tcPr>
          <w:p w14:paraId="458EE72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2016 to date - Member of the Management Board of the Company;</w:t>
            </w:r>
          </w:p>
          <w:p w14:paraId="16463635" w14:textId="62D9B895" w:rsidR="00F3260C" w:rsidRPr="00BD295E" w:rsidRDefault="009C7C5B" w:rsidP="0031297B">
            <w:pPr>
              <w:jc w:val="both"/>
              <w:rPr>
                <w:rFonts w:ascii="Arial" w:hAnsi="Arial" w:cs="Arial"/>
                <w:sz w:val="18"/>
                <w:szCs w:val="18"/>
                <w:lang w:val="en-US"/>
              </w:rPr>
            </w:pPr>
            <w:r w:rsidRPr="00BD295E">
              <w:rPr>
                <w:rFonts w:ascii="Arial" w:hAnsi="Arial" w:cs="Arial"/>
                <w:sz w:val="18"/>
                <w:szCs w:val="18"/>
                <w:lang w:val="en-US"/>
              </w:rPr>
              <w:t>2017</w:t>
            </w:r>
            <w:r w:rsidR="008A5057" w:rsidRPr="00BD295E">
              <w:rPr>
                <w:rFonts w:ascii="Arial" w:hAnsi="Arial" w:cs="Arial"/>
                <w:sz w:val="18"/>
                <w:szCs w:val="18"/>
                <w:lang w:val="en-US"/>
              </w:rPr>
              <w:t xml:space="preserve"> to date Director of the Saint Petersburg High Voltage Power Grid branch of </w:t>
            </w:r>
            <w:r w:rsidR="00EE5753" w:rsidRPr="00BD295E">
              <w:rPr>
                <w:rFonts w:ascii="Arial" w:hAnsi="Arial" w:cs="Arial"/>
                <w:sz w:val="18"/>
                <w:szCs w:val="18"/>
                <w:lang w:val="en-US"/>
              </w:rPr>
              <w:t>PJSC “Lenenergo”</w:t>
            </w:r>
            <w:r w:rsidR="008A5057" w:rsidRPr="00BD295E">
              <w:rPr>
                <w:rFonts w:ascii="Arial" w:hAnsi="Arial" w:cs="Arial"/>
                <w:sz w:val="18"/>
                <w:szCs w:val="18"/>
                <w:lang w:val="en-US"/>
              </w:rPr>
              <w:t>;</w:t>
            </w:r>
          </w:p>
          <w:p w14:paraId="1E9A58D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2014–2017 – Director, Deputy Director for Capital Construction, and Deputy Director for Sales and Development of Services</w:t>
            </w:r>
            <w:r w:rsidR="006515AB" w:rsidRPr="00BD295E">
              <w:rPr>
                <w:rFonts w:ascii="Arial" w:hAnsi="Arial" w:cs="Arial"/>
                <w:sz w:val="18"/>
                <w:szCs w:val="18"/>
                <w:lang w:val="en-US"/>
              </w:rPr>
              <w:t>,</w:t>
            </w:r>
            <w:r w:rsidRPr="00BD295E">
              <w:rPr>
                <w:rFonts w:ascii="Arial" w:hAnsi="Arial" w:cs="Arial"/>
                <w:sz w:val="18"/>
                <w:szCs w:val="18"/>
                <w:lang w:val="en-US"/>
              </w:rPr>
              <w:t xml:space="preserve"> Prigorodniye Power Grid</w:t>
            </w:r>
            <w:r w:rsidR="006515AB" w:rsidRPr="00BD295E">
              <w:rPr>
                <w:rFonts w:ascii="Arial" w:hAnsi="Arial" w:cs="Arial"/>
                <w:sz w:val="18"/>
                <w:szCs w:val="18"/>
                <w:lang w:val="en-US"/>
              </w:rPr>
              <w:t>s,</w:t>
            </w:r>
            <w:r w:rsidRPr="00BD295E">
              <w:rPr>
                <w:rFonts w:ascii="Arial" w:hAnsi="Arial" w:cs="Arial"/>
                <w:sz w:val="18"/>
                <w:szCs w:val="18"/>
                <w:lang w:val="en-US"/>
              </w:rPr>
              <w:t xml:space="preserve">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24ECB75" w14:textId="77777777" w:rsidR="00F3260C" w:rsidRPr="00BD295E" w:rsidRDefault="008A5057" w:rsidP="0031297B">
            <w:pPr>
              <w:jc w:val="both"/>
              <w:rPr>
                <w:rFonts w:ascii="Arial" w:hAnsi="Arial" w:cs="Arial"/>
                <w:sz w:val="18"/>
                <w:szCs w:val="18"/>
                <w:lang w:val="en-US"/>
              </w:rPr>
            </w:pPr>
            <w:r w:rsidRPr="00BD295E">
              <w:rPr>
                <w:rFonts w:ascii="Arial" w:hAnsi="Arial" w:cs="Arial"/>
                <w:iCs/>
                <w:sz w:val="18"/>
                <w:szCs w:val="18"/>
                <w:lang w:val="en-US"/>
              </w:rPr>
              <w:t>2013</w:t>
            </w:r>
            <w:r w:rsidRPr="00BD295E">
              <w:rPr>
                <w:rFonts w:ascii="Arial" w:hAnsi="Arial" w:cs="Arial"/>
                <w:sz w:val="18"/>
                <w:szCs w:val="18"/>
                <w:lang w:val="en-US"/>
              </w:rPr>
              <w:t>–</w:t>
            </w:r>
            <w:r w:rsidRPr="00BD295E">
              <w:rPr>
                <w:rFonts w:ascii="Arial" w:hAnsi="Arial" w:cs="Arial"/>
                <w:iCs/>
                <w:sz w:val="18"/>
                <w:szCs w:val="18"/>
                <w:lang w:val="en-US"/>
              </w:rPr>
              <w:t xml:space="preserve">2014 </w:t>
            </w:r>
            <w:r w:rsidRPr="00BD295E">
              <w:rPr>
                <w:rFonts w:ascii="Arial" w:hAnsi="Arial" w:cs="Arial"/>
                <w:sz w:val="18"/>
                <w:szCs w:val="18"/>
                <w:lang w:val="en-US"/>
              </w:rPr>
              <w:t xml:space="preserve">- CEO of </w:t>
            </w:r>
            <w:r w:rsidR="006515AB" w:rsidRPr="00BD295E">
              <w:rPr>
                <w:rFonts w:ascii="Arial" w:hAnsi="Arial" w:cs="Arial"/>
                <w:sz w:val="18"/>
                <w:szCs w:val="18"/>
                <w:lang w:val="en-US"/>
              </w:rPr>
              <w:t>LLC “</w:t>
            </w:r>
            <w:r w:rsidRPr="00BD295E">
              <w:rPr>
                <w:rFonts w:ascii="Arial" w:hAnsi="Arial" w:cs="Arial"/>
                <w:sz w:val="18"/>
                <w:szCs w:val="18"/>
                <w:lang w:val="en-US"/>
              </w:rPr>
              <w:t>Northwestern Energy Company</w:t>
            </w:r>
            <w:r w:rsidR="006515AB" w:rsidRPr="00BD295E">
              <w:rPr>
                <w:rFonts w:ascii="Arial" w:hAnsi="Arial" w:cs="Arial"/>
                <w:sz w:val="18"/>
                <w:szCs w:val="18"/>
                <w:lang w:val="en-US"/>
              </w:rPr>
              <w:t>”</w:t>
            </w:r>
            <w:r w:rsidRPr="00BD295E">
              <w:rPr>
                <w:rFonts w:ascii="Arial" w:hAnsi="Arial" w:cs="Arial"/>
                <w:sz w:val="18"/>
                <w:szCs w:val="18"/>
                <w:lang w:val="en-US"/>
              </w:rPr>
              <w:t>;</w:t>
            </w:r>
          </w:p>
          <w:p w14:paraId="43E00672" w14:textId="77777777" w:rsidR="00F3260C" w:rsidRPr="00BD295E" w:rsidRDefault="008A5057" w:rsidP="006515AB">
            <w:pPr>
              <w:jc w:val="both"/>
              <w:rPr>
                <w:rFonts w:ascii="Arial" w:hAnsi="Arial" w:cs="Arial"/>
                <w:iCs/>
                <w:sz w:val="18"/>
                <w:szCs w:val="18"/>
                <w:lang w:val="en-US"/>
              </w:rPr>
            </w:pPr>
            <w:r w:rsidRPr="00BD295E">
              <w:rPr>
                <w:rFonts w:ascii="Arial" w:hAnsi="Arial" w:cs="Arial"/>
                <w:sz w:val="18"/>
                <w:szCs w:val="18"/>
                <w:lang w:val="en-US"/>
              </w:rPr>
              <w:t>2012–2013</w:t>
            </w:r>
            <w:r w:rsidRPr="00BD295E">
              <w:rPr>
                <w:rFonts w:ascii="Arial" w:hAnsi="Arial" w:cs="Arial"/>
                <w:iCs/>
                <w:sz w:val="18"/>
                <w:szCs w:val="18"/>
                <w:lang w:val="en-US"/>
              </w:rPr>
              <w:t xml:space="preserve"> </w:t>
            </w:r>
            <w:r w:rsidRPr="00BD295E">
              <w:rPr>
                <w:rFonts w:ascii="Arial" w:hAnsi="Arial" w:cs="Arial"/>
                <w:sz w:val="18"/>
                <w:szCs w:val="18"/>
                <w:lang w:val="en-US"/>
              </w:rPr>
              <w:t xml:space="preserve">– Deputy Commercial Director of </w:t>
            </w:r>
            <w:r w:rsidR="006515AB" w:rsidRPr="00BD295E">
              <w:rPr>
                <w:rFonts w:ascii="Arial" w:hAnsi="Arial" w:cs="Arial"/>
                <w:sz w:val="18"/>
                <w:szCs w:val="18"/>
                <w:lang w:val="en-US"/>
              </w:rPr>
              <w:t>JSC “</w:t>
            </w:r>
            <w:r w:rsidRPr="00BD295E">
              <w:rPr>
                <w:rFonts w:ascii="Arial" w:hAnsi="Arial" w:cs="Arial"/>
                <w:sz w:val="18"/>
                <w:szCs w:val="18"/>
                <w:lang w:val="en-US"/>
              </w:rPr>
              <w:t>Dominanta Energy</w:t>
            </w:r>
            <w:r w:rsidR="006515AB" w:rsidRPr="00BD295E">
              <w:rPr>
                <w:rFonts w:ascii="Arial" w:hAnsi="Arial" w:cs="Arial"/>
                <w:sz w:val="18"/>
                <w:szCs w:val="18"/>
                <w:lang w:val="en-US"/>
              </w:rPr>
              <w:t>”</w:t>
            </w:r>
            <w:r w:rsidRPr="00BD295E">
              <w:rPr>
                <w:rFonts w:ascii="Arial" w:hAnsi="Arial" w:cs="Arial"/>
                <w:sz w:val="18"/>
                <w:szCs w:val="18"/>
                <w:lang w:val="en-US"/>
              </w:rPr>
              <w:t>.</w:t>
            </w:r>
          </w:p>
        </w:tc>
      </w:tr>
      <w:tr w:rsidR="008A5057" w:rsidRPr="00BD295E" w14:paraId="032BEA13" w14:textId="77777777" w:rsidTr="0031297B">
        <w:trPr>
          <w:trHeight w:val="276"/>
        </w:trPr>
        <w:tc>
          <w:tcPr>
            <w:tcW w:w="2943" w:type="dxa"/>
            <w:vAlign w:val="center"/>
          </w:tcPr>
          <w:p w14:paraId="0D563439"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63" w:type="dxa"/>
            <w:vAlign w:val="center"/>
          </w:tcPr>
          <w:p w14:paraId="3F1E298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r w:rsidR="008A5057" w:rsidRPr="00BD295E" w14:paraId="16A1A93C" w14:textId="77777777" w:rsidTr="0031297B">
        <w:trPr>
          <w:trHeight w:val="276"/>
        </w:trPr>
        <w:tc>
          <w:tcPr>
            <w:tcW w:w="2943" w:type="dxa"/>
            <w:tcBorders>
              <w:bottom w:val="single" w:sz="6" w:space="0" w:color="000080"/>
            </w:tcBorders>
            <w:vAlign w:val="center"/>
          </w:tcPr>
          <w:p w14:paraId="46BFA010"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Positions with other employers</w:t>
            </w:r>
          </w:p>
        </w:tc>
        <w:tc>
          <w:tcPr>
            <w:tcW w:w="6663" w:type="dxa"/>
            <w:tcBorders>
              <w:bottom w:val="single" w:sz="6" w:space="0" w:color="000080"/>
            </w:tcBorders>
            <w:vAlign w:val="center"/>
          </w:tcPr>
          <w:p w14:paraId="406C5264"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None</w:t>
            </w:r>
          </w:p>
        </w:tc>
      </w:tr>
    </w:tbl>
    <w:p w14:paraId="52E633A5"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 As at December 31, 2018</w:t>
      </w:r>
    </w:p>
    <w:p w14:paraId="64581A67" w14:textId="77777777" w:rsidR="00F3260C" w:rsidRPr="00BD295E" w:rsidRDefault="00F3260C" w:rsidP="00F3260C">
      <w:pPr>
        <w:rPr>
          <w:rFonts w:ascii="Arial" w:hAnsi="Arial" w:cs="Arial"/>
          <w:sz w:val="18"/>
          <w:szCs w:val="18"/>
          <w:lang w:val="en-US"/>
        </w:rPr>
      </w:pPr>
    </w:p>
    <w:p w14:paraId="22F9DCFA"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There were no changes in the composition of the Company's Management Board in 2018.</w:t>
      </w:r>
    </w:p>
    <w:p w14:paraId="669F2A73"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In line with Clause 21.3 of the Company’s Articles of Association, the CEO performs the functions of the Chairman of the Company's Management Board. Andrey Ryumin has been the Chairman of the Management Board since January 12, 2018 due to the termination of the powers of Roman Berdnikov, the Acting CEO of the Company.</w:t>
      </w:r>
    </w:p>
    <w:p w14:paraId="032C707F" w14:textId="77777777" w:rsidR="00F3260C" w:rsidRPr="00BD295E" w:rsidRDefault="00F3260C" w:rsidP="0035451C">
      <w:pPr>
        <w:jc w:val="both"/>
        <w:rPr>
          <w:rFonts w:ascii="Arial" w:hAnsi="Arial" w:cs="Arial"/>
          <w:b/>
          <w:sz w:val="18"/>
          <w:szCs w:val="18"/>
          <w:lang w:val="en-US"/>
        </w:rPr>
      </w:pPr>
    </w:p>
    <w:p w14:paraId="5AE46F22" w14:textId="77777777" w:rsidR="00F3260C" w:rsidRPr="00BD295E" w:rsidRDefault="008A5057" w:rsidP="0035451C">
      <w:pPr>
        <w:rPr>
          <w:rFonts w:ascii="Arial" w:hAnsi="Arial" w:cs="Arial"/>
          <w:b/>
          <w:sz w:val="18"/>
          <w:szCs w:val="18"/>
          <w:lang w:val="en-US"/>
        </w:rPr>
      </w:pPr>
      <w:r w:rsidRPr="00BD295E">
        <w:rPr>
          <w:rFonts w:ascii="Arial" w:hAnsi="Arial" w:cs="Arial"/>
          <w:b/>
          <w:sz w:val="18"/>
          <w:szCs w:val="18"/>
          <w:lang w:val="en-US"/>
        </w:rPr>
        <w:t>Sole executive body (CEO)*</w:t>
      </w:r>
    </w:p>
    <w:p w14:paraId="088851A2" w14:textId="77777777" w:rsidR="00F3260C" w:rsidRPr="00BD295E" w:rsidRDefault="00F3260C" w:rsidP="0035451C">
      <w:pPr>
        <w:rPr>
          <w:rFonts w:ascii="Arial" w:hAnsi="Arial" w:cs="Arial"/>
          <w:sz w:val="18"/>
          <w:szCs w:val="18"/>
          <w:lang w:val="en-US"/>
        </w:rPr>
      </w:pPr>
    </w:p>
    <w:p w14:paraId="70B07C01"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The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the sole executive body of the Company, which manages the day-today activities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accordance with the Federal Law </w:t>
      </w:r>
      <w:r w:rsidRPr="00BD295E">
        <w:rPr>
          <w:rFonts w:ascii="Arial" w:hAnsi="Arial" w:cs="Arial"/>
          <w:i/>
          <w:iCs/>
          <w:sz w:val="18"/>
          <w:szCs w:val="18"/>
          <w:lang w:val="en-US"/>
        </w:rPr>
        <w:t>On Joint-Stock Companies</w:t>
      </w:r>
      <w:r w:rsidRPr="00BD295E">
        <w:rPr>
          <w:rFonts w:ascii="Arial" w:hAnsi="Arial" w:cs="Arial"/>
          <w:sz w:val="18"/>
          <w:szCs w:val="18"/>
          <w:lang w:val="en-US"/>
        </w:rPr>
        <w:t xml:space="preserve"> and the Company’s Articles of Association.</w:t>
      </w:r>
    </w:p>
    <w:p w14:paraId="3D922F7E" w14:textId="77777777" w:rsidR="00F3260C" w:rsidRPr="00BD295E" w:rsidRDefault="00F3260C" w:rsidP="0035451C">
      <w:pPr>
        <w:jc w:val="both"/>
        <w:rPr>
          <w:rFonts w:ascii="Arial" w:hAnsi="Arial" w:cs="Arial"/>
          <w:sz w:val="18"/>
          <w:szCs w:val="18"/>
          <w:lang w:val="en-US"/>
        </w:rPr>
      </w:pPr>
    </w:p>
    <w:p w14:paraId="2C34DBCD" w14:textId="1B5CA4F9"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On December 25, 2017,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(Minutes NO. 18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28, 2017</w:t>
      </w:r>
      <w:r w:rsidR="002C3947" w:rsidRPr="00BD295E">
        <w:rPr>
          <w:rFonts w:ascii="Arial" w:hAnsi="Arial" w:cs="Arial"/>
          <w:sz w:val="18"/>
          <w:szCs w:val="18"/>
          <w:lang w:val="en-US"/>
        </w:rPr>
        <w:t>) resolved</w:t>
      </w:r>
      <w:r w:rsidRPr="00BD295E">
        <w:rPr>
          <w:rFonts w:ascii="Arial" w:hAnsi="Arial" w:cs="Arial"/>
          <w:sz w:val="18"/>
          <w:szCs w:val="18"/>
          <w:lang w:val="en-US"/>
        </w:rPr>
        <w:t xml:space="preserve"> to elect Andrey Ryumin as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from January 12, 2018 to January 11, 2023, inclusive. </w:t>
      </w:r>
    </w:p>
    <w:p w14:paraId="02E117F3" w14:textId="77777777" w:rsidR="00F3260C" w:rsidRPr="00BD295E" w:rsidRDefault="00F3260C" w:rsidP="0035451C">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5F464FD1"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10607BE7"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607E105B" w14:textId="77777777" w:rsidR="00F3260C" w:rsidRPr="00BD295E" w:rsidRDefault="008A5057" w:rsidP="0031297B">
            <w:pPr>
              <w:snapToGrid w:val="0"/>
              <w:jc w:val="both"/>
              <w:rPr>
                <w:rFonts w:ascii="Arial" w:hAnsi="Arial" w:cs="Arial"/>
                <w:b/>
                <w:sz w:val="18"/>
                <w:szCs w:val="18"/>
                <w:lang w:val="en-US"/>
              </w:rPr>
            </w:pPr>
            <w:r w:rsidRPr="00BD295E">
              <w:rPr>
                <w:rFonts w:ascii="Arial" w:hAnsi="Arial" w:cs="Arial"/>
                <w:b/>
                <w:sz w:val="18"/>
                <w:szCs w:val="18"/>
                <w:lang w:val="en-US"/>
              </w:rPr>
              <w:t>Andrey Ryumin</w:t>
            </w:r>
          </w:p>
        </w:tc>
      </w:tr>
      <w:tr w:rsidR="008A5057" w:rsidRPr="00BD295E" w14:paraId="48D2A40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2771002F"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3520DD3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Member of the Board of Directors, Chairman of the Management Board, CEO of the Company</w:t>
            </w:r>
          </w:p>
        </w:tc>
      </w:tr>
      <w:tr w:rsidR="008A5057" w:rsidRPr="00BD295E" w14:paraId="13D2B0BC"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3EA6FDC"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63D23F4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1980 Russian Federation</w:t>
            </w:r>
          </w:p>
        </w:tc>
      </w:tr>
      <w:tr w:rsidR="008A5057" w:rsidRPr="00BD295E" w14:paraId="1CC57FB3"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14D2CE47"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7640332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Higher education, PhD in Economics.</w:t>
            </w:r>
          </w:p>
          <w:p w14:paraId="17F89786" w14:textId="7E0BB4CA"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1887–2002 – Moscow Lomonosov State </w:t>
            </w:r>
            <w:r w:rsidR="002C3947" w:rsidRPr="00BD295E">
              <w:rPr>
                <w:rFonts w:ascii="Arial" w:hAnsi="Arial" w:cs="Arial"/>
                <w:sz w:val="18"/>
                <w:szCs w:val="18"/>
                <w:lang w:val="en-US"/>
              </w:rPr>
              <w:t>University, Department</w:t>
            </w:r>
            <w:r w:rsidRPr="00BD295E">
              <w:rPr>
                <w:rFonts w:ascii="Arial" w:hAnsi="Arial" w:cs="Arial"/>
                <w:sz w:val="18"/>
                <w:szCs w:val="18"/>
                <w:lang w:val="en-US"/>
              </w:rPr>
              <w:t xml:space="preserve"> of Mechanics and Mathematics</w:t>
            </w:r>
          </w:p>
          <w:p w14:paraId="36D9B67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1997–2002 – Peoples' Friendship University of Russia, majoring in Information Systems in Economics</w:t>
            </w:r>
          </w:p>
          <w:p w14:paraId="593AA5D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2020 – Training and Upskilling Research Center of Gubkin State Academy of Oil and Gas, Oil and Gas Operations  </w:t>
            </w:r>
          </w:p>
          <w:p w14:paraId="39F8E71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2002–2004 – Postgraduate studies at the Institute for Market Problems of the Russian Academy of Oil and Gas.</w:t>
            </w:r>
          </w:p>
        </w:tc>
      </w:tr>
      <w:tr w:rsidR="008A5057" w:rsidRPr="00BD295E" w14:paraId="6E923207"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FC0A78E"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7CE8CEE5"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2018 to date – Member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0A561F01"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2018 to date – Chairman of the Management Board, CEO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4F02DED"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2016–2017 – Independent Director, Member of the Board of Directors of Mosenergo, OJSC</w:t>
            </w:r>
          </w:p>
          <w:p w14:paraId="2D1E984B" w14:textId="77777777" w:rsidR="00F3260C" w:rsidRPr="00BD295E" w:rsidRDefault="008A5057" w:rsidP="0031297B">
            <w:pPr>
              <w:snapToGrid w:val="0"/>
              <w:jc w:val="both"/>
              <w:rPr>
                <w:rFonts w:ascii="Arial" w:hAnsi="Arial" w:cs="Arial"/>
                <w:sz w:val="18"/>
                <w:szCs w:val="18"/>
                <w:lang w:val="en-US"/>
              </w:rPr>
            </w:pPr>
            <w:r w:rsidRPr="00BD295E">
              <w:rPr>
                <w:rFonts w:ascii="Arial" w:hAnsi="Arial" w:cs="Arial"/>
                <w:sz w:val="18"/>
                <w:szCs w:val="18"/>
                <w:lang w:val="en-US"/>
              </w:rPr>
              <w:t xml:space="preserve">2013–2014 – </w:t>
            </w:r>
            <w:r w:rsidR="006515AB" w:rsidRPr="00BD295E">
              <w:rPr>
                <w:rFonts w:ascii="Arial" w:hAnsi="Arial" w:cs="Arial"/>
                <w:sz w:val="18"/>
                <w:szCs w:val="18"/>
                <w:lang w:val="en-US"/>
              </w:rPr>
              <w:t>OJSC “</w:t>
            </w:r>
            <w:r w:rsidRPr="00BD295E">
              <w:rPr>
                <w:rFonts w:ascii="Arial" w:hAnsi="Arial" w:cs="Arial"/>
                <w:sz w:val="18"/>
                <w:szCs w:val="18"/>
                <w:lang w:val="en-US"/>
              </w:rPr>
              <w:t>United Energy Company</w:t>
            </w:r>
            <w:r w:rsidR="006515AB" w:rsidRPr="00BD295E">
              <w:rPr>
                <w:rFonts w:ascii="Arial" w:hAnsi="Arial" w:cs="Arial"/>
                <w:sz w:val="18"/>
                <w:szCs w:val="18"/>
                <w:lang w:val="en-US"/>
              </w:rPr>
              <w:t>”</w:t>
            </w:r>
            <w:r w:rsidRPr="00BD295E">
              <w:rPr>
                <w:rFonts w:ascii="Arial" w:hAnsi="Arial" w:cs="Arial"/>
                <w:sz w:val="18"/>
                <w:szCs w:val="18"/>
                <w:lang w:val="en-US"/>
              </w:rPr>
              <w:t>, CEO, Member of the Board of Directors of Mosenergo, OJSC</w:t>
            </w:r>
          </w:p>
          <w:p w14:paraId="09C53BC2" w14:textId="77777777" w:rsidR="00F3260C" w:rsidRPr="00BD295E" w:rsidRDefault="008A5057" w:rsidP="006515AB">
            <w:pPr>
              <w:snapToGrid w:val="0"/>
              <w:jc w:val="both"/>
              <w:rPr>
                <w:rFonts w:ascii="Arial" w:hAnsi="Arial" w:cs="Arial"/>
                <w:sz w:val="18"/>
                <w:szCs w:val="18"/>
                <w:lang w:val="en-US"/>
              </w:rPr>
            </w:pPr>
            <w:r w:rsidRPr="00BD295E">
              <w:rPr>
                <w:rFonts w:ascii="Arial" w:hAnsi="Arial" w:cs="Arial"/>
                <w:sz w:val="18"/>
                <w:szCs w:val="18"/>
                <w:lang w:val="en-US"/>
              </w:rPr>
              <w:t xml:space="preserve">2011–2013 – </w:t>
            </w:r>
            <w:r w:rsidR="006515AB" w:rsidRPr="00BD295E">
              <w:rPr>
                <w:rFonts w:ascii="Arial" w:hAnsi="Arial" w:cs="Arial"/>
                <w:sz w:val="18"/>
                <w:szCs w:val="18"/>
                <w:lang w:val="en-US"/>
              </w:rPr>
              <w:t>JSC “</w:t>
            </w:r>
            <w:r w:rsidRPr="00BD295E">
              <w:rPr>
                <w:rFonts w:ascii="Arial" w:hAnsi="Arial" w:cs="Arial"/>
                <w:sz w:val="18"/>
                <w:szCs w:val="18"/>
                <w:lang w:val="en-US"/>
              </w:rPr>
              <w:t>United Energy Company</w:t>
            </w:r>
            <w:r w:rsidR="006515AB" w:rsidRPr="00BD295E">
              <w:rPr>
                <w:rFonts w:ascii="Arial" w:hAnsi="Arial" w:cs="Arial"/>
                <w:sz w:val="18"/>
                <w:szCs w:val="18"/>
                <w:lang w:val="en-US"/>
              </w:rPr>
              <w:t>”</w:t>
            </w:r>
            <w:r w:rsidRPr="00BD295E">
              <w:rPr>
                <w:rFonts w:ascii="Arial" w:hAnsi="Arial" w:cs="Arial"/>
                <w:sz w:val="18"/>
                <w:szCs w:val="18"/>
                <w:lang w:val="en-US"/>
              </w:rPr>
              <w:t>, First Deputy CEO</w:t>
            </w:r>
          </w:p>
        </w:tc>
      </w:tr>
      <w:tr w:rsidR="008A5057" w:rsidRPr="00BD295E" w14:paraId="4CE58C67"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79962B5A"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110A22C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None</w:t>
            </w:r>
          </w:p>
        </w:tc>
      </w:tr>
      <w:tr w:rsidR="008A5057" w:rsidRPr="00BD295E" w14:paraId="7FA8559E"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1D483046" w14:textId="77777777" w:rsidR="00F3260C" w:rsidRPr="00BD295E" w:rsidRDefault="006515AB" w:rsidP="0031297B">
            <w:pPr>
              <w:snapToGrid w:val="0"/>
              <w:jc w:val="both"/>
              <w:rPr>
                <w:rFonts w:ascii="Arial" w:hAnsi="Arial" w:cs="Arial"/>
                <w:sz w:val="18"/>
                <w:szCs w:val="18"/>
                <w:lang w:val="en-US"/>
              </w:rPr>
            </w:pPr>
            <w:r w:rsidRPr="00BD295E">
              <w:rPr>
                <w:rFonts w:ascii="Arial" w:hAnsi="Arial" w:cs="Arial"/>
                <w:sz w:val="18"/>
                <w:szCs w:val="18"/>
                <w:lang w:val="en-US"/>
              </w:rPr>
              <w:t>Positions with other employers</w:t>
            </w:r>
          </w:p>
        </w:tc>
        <w:tc>
          <w:tcPr>
            <w:tcW w:w="6659" w:type="dxa"/>
            <w:tcBorders>
              <w:top w:val="single" w:sz="6" w:space="0" w:color="C0C0C0"/>
              <w:left w:val="single" w:sz="6" w:space="0" w:color="C0C0C0"/>
              <w:bottom w:val="single" w:sz="6" w:space="0" w:color="333399"/>
              <w:right w:val="single" w:sz="4" w:space="0" w:color="C0C0C0"/>
            </w:tcBorders>
            <w:vAlign w:val="center"/>
          </w:tcPr>
          <w:p w14:paraId="7570B3A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None</w:t>
            </w:r>
          </w:p>
        </w:tc>
      </w:tr>
    </w:tbl>
    <w:p w14:paraId="77E993B1" w14:textId="77777777" w:rsidR="00F3260C" w:rsidRPr="00BD295E" w:rsidRDefault="00F3260C" w:rsidP="00F3260C">
      <w:pPr>
        <w:ind w:firstLine="567"/>
        <w:jc w:val="both"/>
        <w:rPr>
          <w:rFonts w:ascii="Arial" w:hAnsi="Arial" w:cs="Arial"/>
          <w:sz w:val="18"/>
          <w:szCs w:val="18"/>
          <w:lang w:val="en-US"/>
        </w:rPr>
      </w:pPr>
    </w:p>
    <w:p w14:paraId="56D3F2E6" w14:textId="77777777" w:rsidR="00F3260C" w:rsidRPr="00BD295E" w:rsidRDefault="008A5057" w:rsidP="0035451C">
      <w:pPr>
        <w:jc w:val="both"/>
        <w:rPr>
          <w:rFonts w:ascii="Arial" w:hAnsi="Arial" w:cs="Arial"/>
          <w:sz w:val="18"/>
          <w:szCs w:val="18"/>
          <w:lang w:val="en-US"/>
        </w:rPr>
      </w:pPr>
      <w:r w:rsidRPr="00BD295E">
        <w:rPr>
          <w:rFonts w:ascii="Arial" w:hAnsi="Arial" w:cs="Arial"/>
          <w:sz w:val="18"/>
          <w:szCs w:val="18"/>
          <w:lang w:val="en-US"/>
        </w:rPr>
        <w:t xml:space="preserve">From January 01, 2018 to January 11, 2018, Roman Berdnikov, acting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(elected by the Resolution of the Company’s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23, 2015, Minutes No.29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23, 2015), exercised the powers of the sole executive body of the Company.</w:t>
      </w:r>
    </w:p>
    <w:p w14:paraId="1C1A364D"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On December 25, 2017,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resolved (Minutes No. 18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28, 2017) to terminate the powers of Roman Berdnikov as the Acting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with effect from January 12, 2018. </w:t>
      </w:r>
    </w:p>
    <w:p w14:paraId="34A1EC29" w14:textId="77777777" w:rsidR="00F3260C" w:rsidRPr="00BD295E" w:rsidRDefault="00F3260C" w:rsidP="00C968B7">
      <w:pPr>
        <w:rPr>
          <w:rFonts w:ascii="Arial" w:hAnsi="Arial" w:cs="Arial"/>
          <w:sz w:val="18"/>
          <w:szCs w:val="18"/>
          <w:lang w:val="en-US"/>
        </w:rPr>
      </w:pPr>
    </w:p>
    <w:tbl>
      <w:tblPr>
        <w:tblW w:w="9600" w:type="dxa"/>
        <w:tblBorders>
          <w:top w:val="single" w:sz="4" w:space="0" w:color="C0C0C0"/>
          <w:left w:val="single" w:sz="4" w:space="0" w:color="C0C0C0"/>
          <w:bottom w:val="single" w:sz="4" w:space="0" w:color="C0C0C0"/>
          <w:right w:val="single" w:sz="4" w:space="0" w:color="C0C0C0"/>
          <w:insideH w:val="single" w:sz="6" w:space="0" w:color="C0C0C0"/>
          <w:insideV w:val="single" w:sz="6" w:space="0" w:color="C0C0C0"/>
        </w:tblBorders>
        <w:tblLayout w:type="fixed"/>
        <w:tblLook w:val="04A0" w:firstRow="1" w:lastRow="0" w:firstColumn="1" w:lastColumn="0" w:noHBand="0" w:noVBand="1"/>
      </w:tblPr>
      <w:tblGrid>
        <w:gridCol w:w="2941"/>
        <w:gridCol w:w="6659"/>
      </w:tblGrid>
      <w:tr w:rsidR="008A5057" w:rsidRPr="00BD295E" w14:paraId="740B3A0F" w14:textId="77777777" w:rsidTr="00E3510B">
        <w:trPr>
          <w:trHeight w:val="276"/>
        </w:trPr>
        <w:tc>
          <w:tcPr>
            <w:tcW w:w="2941" w:type="dxa"/>
            <w:tcBorders>
              <w:top w:val="single" w:sz="4" w:space="0" w:color="C0C0C0"/>
              <w:left w:val="single" w:sz="4" w:space="0" w:color="C0C0C0"/>
              <w:bottom w:val="single" w:sz="6" w:space="0" w:color="C0C0C0"/>
              <w:right w:val="single" w:sz="6" w:space="0" w:color="C0C0C0"/>
            </w:tcBorders>
            <w:shd w:val="clear" w:color="auto" w:fill="DEEAF6"/>
          </w:tcPr>
          <w:p w14:paraId="42ED9F9C" w14:textId="77777777" w:rsidR="00F3260C" w:rsidRPr="00BD295E" w:rsidRDefault="008A5057" w:rsidP="00C968B7">
            <w:pPr>
              <w:snapToGrid w:val="0"/>
              <w:jc w:val="both"/>
              <w:rPr>
                <w:rFonts w:ascii="Arial" w:hAnsi="Arial" w:cs="Arial"/>
                <w:b/>
                <w:sz w:val="18"/>
                <w:szCs w:val="18"/>
                <w:lang w:val="en-US"/>
              </w:rPr>
            </w:pPr>
            <w:r w:rsidRPr="00BD295E">
              <w:rPr>
                <w:rFonts w:ascii="Arial" w:hAnsi="Arial" w:cs="Arial"/>
                <w:b/>
                <w:sz w:val="18"/>
                <w:szCs w:val="18"/>
                <w:lang w:val="en-US"/>
              </w:rPr>
              <w:t>Full name</w:t>
            </w:r>
          </w:p>
        </w:tc>
        <w:tc>
          <w:tcPr>
            <w:tcW w:w="6659" w:type="dxa"/>
            <w:tcBorders>
              <w:top w:val="single" w:sz="4" w:space="0" w:color="C0C0C0"/>
              <w:left w:val="single" w:sz="6" w:space="0" w:color="C0C0C0"/>
              <w:bottom w:val="single" w:sz="6" w:space="0" w:color="C0C0C0"/>
              <w:right w:val="single" w:sz="4" w:space="0" w:color="C0C0C0"/>
            </w:tcBorders>
            <w:shd w:val="clear" w:color="auto" w:fill="DEEAF6"/>
          </w:tcPr>
          <w:p w14:paraId="3110FEC9" w14:textId="77777777" w:rsidR="00F3260C" w:rsidRPr="00BD295E" w:rsidRDefault="008A5057" w:rsidP="00C968B7">
            <w:pPr>
              <w:snapToGrid w:val="0"/>
              <w:jc w:val="both"/>
              <w:rPr>
                <w:rFonts w:ascii="Arial" w:hAnsi="Arial" w:cs="Arial"/>
                <w:b/>
                <w:sz w:val="18"/>
                <w:szCs w:val="18"/>
                <w:lang w:val="en-US"/>
              </w:rPr>
            </w:pPr>
            <w:r w:rsidRPr="00BD295E">
              <w:rPr>
                <w:rFonts w:ascii="Arial" w:hAnsi="Arial" w:cs="Arial"/>
                <w:b/>
                <w:sz w:val="18"/>
                <w:szCs w:val="18"/>
                <w:lang w:val="en-US"/>
              </w:rPr>
              <w:t>Roman Berdnikov</w:t>
            </w:r>
          </w:p>
        </w:tc>
      </w:tr>
      <w:tr w:rsidR="008A5057" w:rsidRPr="00BD295E" w14:paraId="2FC708B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DBF57DE" w14:textId="77777777" w:rsidR="00F3260C" w:rsidRPr="00BD295E" w:rsidRDefault="008A5057" w:rsidP="00C968B7">
            <w:pPr>
              <w:snapToGrid w:val="0"/>
              <w:jc w:val="both"/>
              <w:rPr>
                <w:rFonts w:ascii="Arial" w:hAnsi="Arial" w:cs="Arial"/>
                <w:sz w:val="18"/>
                <w:szCs w:val="18"/>
                <w:lang w:val="en-US"/>
              </w:rPr>
            </w:pPr>
            <w:r w:rsidRPr="00BD295E">
              <w:rPr>
                <w:rFonts w:ascii="Arial" w:hAnsi="Arial" w:cs="Arial"/>
                <w:sz w:val="18"/>
                <w:szCs w:val="18"/>
                <w:lang w:val="en-US"/>
              </w:rPr>
              <w:t>Position</w:t>
            </w:r>
          </w:p>
        </w:tc>
        <w:tc>
          <w:tcPr>
            <w:tcW w:w="6659" w:type="dxa"/>
            <w:tcBorders>
              <w:top w:val="single" w:sz="6" w:space="0" w:color="C0C0C0"/>
              <w:left w:val="single" w:sz="6" w:space="0" w:color="C0C0C0"/>
              <w:bottom w:val="single" w:sz="6" w:space="0" w:color="C0C0C0"/>
              <w:right w:val="single" w:sz="4" w:space="0" w:color="C0C0C0"/>
            </w:tcBorders>
            <w:vAlign w:val="center"/>
          </w:tcPr>
          <w:p w14:paraId="609ADAC1" w14:textId="77777777" w:rsidR="00F3260C" w:rsidRPr="00BD295E" w:rsidRDefault="008A5057" w:rsidP="00C968B7">
            <w:pPr>
              <w:rPr>
                <w:rFonts w:ascii="Arial" w:hAnsi="Arial" w:cs="Arial"/>
                <w:sz w:val="18"/>
                <w:szCs w:val="18"/>
                <w:lang w:val="en-US"/>
              </w:rPr>
            </w:pPr>
            <w:r w:rsidRPr="00BD295E">
              <w:rPr>
                <w:rFonts w:ascii="Arial" w:hAnsi="Arial" w:cs="Arial"/>
                <w:sz w:val="18"/>
                <w:szCs w:val="18"/>
                <w:lang w:val="en-US"/>
              </w:rPr>
              <w:t>Chairman of the Management Board, Acting CEO of the Company</w:t>
            </w:r>
          </w:p>
        </w:tc>
      </w:tr>
      <w:tr w:rsidR="008A5057" w:rsidRPr="00BD295E" w14:paraId="67A8E0C9"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01A70059" w14:textId="77777777" w:rsidR="00F3260C" w:rsidRPr="00BD295E" w:rsidRDefault="008A5057" w:rsidP="00C968B7">
            <w:pPr>
              <w:snapToGrid w:val="0"/>
              <w:jc w:val="both"/>
              <w:rPr>
                <w:rFonts w:ascii="Arial" w:hAnsi="Arial" w:cs="Arial"/>
                <w:sz w:val="18"/>
                <w:szCs w:val="18"/>
                <w:lang w:val="en-US"/>
              </w:rPr>
            </w:pPr>
            <w:r w:rsidRPr="00BD295E">
              <w:rPr>
                <w:rFonts w:ascii="Arial" w:hAnsi="Arial" w:cs="Arial"/>
                <w:sz w:val="18"/>
                <w:szCs w:val="18"/>
                <w:lang w:val="en-US"/>
              </w:rPr>
              <w:t>Year of birth. Nationality</w:t>
            </w:r>
          </w:p>
        </w:tc>
        <w:tc>
          <w:tcPr>
            <w:tcW w:w="6659" w:type="dxa"/>
            <w:tcBorders>
              <w:top w:val="single" w:sz="6" w:space="0" w:color="C0C0C0"/>
              <w:left w:val="single" w:sz="6" w:space="0" w:color="C0C0C0"/>
              <w:bottom w:val="single" w:sz="6" w:space="0" w:color="C0C0C0"/>
              <w:right w:val="single" w:sz="4" w:space="0" w:color="C0C0C0"/>
            </w:tcBorders>
            <w:vAlign w:val="center"/>
          </w:tcPr>
          <w:p w14:paraId="7EC506F5" w14:textId="77777777" w:rsidR="00F3260C" w:rsidRPr="00BD295E" w:rsidRDefault="008A5057" w:rsidP="00C968B7">
            <w:pPr>
              <w:rPr>
                <w:rFonts w:ascii="Arial" w:hAnsi="Arial" w:cs="Arial"/>
                <w:sz w:val="18"/>
                <w:szCs w:val="18"/>
                <w:lang w:val="en-US"/>
              </w:rPr>
            </w:pPr>
            <w:r w:rsidRPr="00BD295E">
              <w:rPr>
                <w:rFonts w:ascii="Arial" w:hAnsi="Arial" w:cs="Arial"/>
                <w:sz w:val="18"/>
                <w:szCs w:val="18"/>
                <w:lang w:val="en-US"/>
              </w:rPr>
              <w:t>1973 Russian Federation</w:t>
            </w:r>
          </w:p>
        </w:tc>
      </w:tr>
      <w:tr w:rsidR="008A5057" w:rsidRPr="00BD295E" w14:paraId="63665E6C"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54C46718" w14:textId="77777777" w:rsidR="00F3260C" w:rsidRPr="00BD295E" w:rsidRDefault="008A5057" w:rsidP="00C968B7">
            <w:pPr>
              <w:snapToGrid w:val="0"/>
              <w:jc w:val="both"/>
              <w:rPr>
                <w:rFonts w:ascii="Arial" w:hAnsi="Arial" w:cs="Arial"/>
                <w:sz w:val="18"/>
                <w:szCs w:val="18"/>
                <w:lang w:val="en-US"/>
              </w:rPr>
            </w:pPr>
            <w:r w:rsidRPr="00BD295E">
              <w:rPr>
                <w:rFonts w:ascii="Arial" w:hAnsi="Arial" w:cs="Arial"/>
                <w:sz w:val="18"/>
                <w:szCs w:val="18"/>
                <w:lang w:val="en-US"/>
              </w:rPr>
              <w:t>Degree</w:t>
            </w:r>
          </w:p>
        </w:tc>
        <w:tc>
          <w:tcPr>
            <w:tcW w:w="6659" w:type="dxa"/>
            <w:tcBorders>
              <w:top w:val="single" w:sz="6" w:space="0" w:color="C0C0C0"/>
              <w:left w:val="single" w:sz="6" w:space="0" w:color="C0C0C0"/>
              <w:bottom w:val="single" w:sz="6" w:space="0" w:color="C0C0C0"/>
              <w:right w:val="single" w:sz="4" w:space="0" w:color="C0C0C0"/>
            </w:tcBorders>
            <w:vAlign w:val="center"/>
          </w:tcPr>
          <w:p w14:paraId="0DB3E906" w14:textId="77777777" w:rsidR="00F3260C" w:rsidRPr="00BD295E" w:rsidRDefault="008A5057" w:rsidP="00C968B7">
            <w:pPr>
              <w:rPr>
                <w:rStyle w:val="Subst0"/>
                <w:rFonts w:ascii="Arial" w:hAnsi="Arial" w:cs="Arial"/>
                <w:b w:val="0"/>
                <w:bCs/>
                <w:i w:val="0"/>
                <w:iCs/>
                <w:sz w:val="18"/>
                <w:szCs w:val="18"/>
                <w:lang w:val="en-US"/>
              </w:rPr>
            </w:pPr>
            <w:r w:rsidRPr="00BD295E">
              <w:rPr>
                <w:rFonts w:ascii="Arial" w:hAnsi="Arial" w:cs="Arial"/>
                <w:sz w:val="18"/>
                <w:szCs w:val="18"/>
                <w:lang w:val="en-US"/>
              </w:rPr>
              <w:t xml:space="preserve">Higher education. </w:t>
            </w:r>
            <w:r w:rsidRPr="00BD295E">
              <w:rPr>
                <w:rStyle w:val="Subst0"/>
                <w:rFonts w:ascii="Arial" w:hAnsi="Arial" w:cs="Arial"/>
                <w:b w:val="0"/>
                <w:bCs/>
                <w:i w:val="0"/>
                <w:iCs/>
                <w:sz w:val="18"/>
                <w:szCs w:val="18"/>
                <w:lang w:val="en-US"/>
              </w:rPr>
              <w:t>Moscow Power Engineering Institute, majoring in Power Stations, electrical engineer (1998);</w:t>
            </w:r>
          </w:p>
          <w:p w14:paraId="49FF54D5" w14:textId="77777777" w:rsidR="00F3260C" w:rsidRPr="00BD295E" w:rsidRDefault="008A5057" w:rsidP="00C968B7">
            <w:pPr>
              <w:rPr>
                <w:rFonts w:ascii="Arial" w:hAnsi="Arial" w:cs="Arial"/>
                <w:sz w:val="18"/>
                <w:szCs w:val="18"/>
                <w:lang w:val="en-US"/>
              </w:rPr>
            </w:pPr>
            <w:r w:rsidRPr="00BD295E">
              <w:rPr>
                <w:rStyle w:val="Subst0"/>
                <w:rFonts w:ascii="Arial" w:hAnsi="Arial" w:cs="Arial"/>
                <w:b w:val="0"/>
                <w:bCs/>
                <w:i w:val="0"/>
                <w:iCs/>
                <w:sz w:val="18"/>
                <w:szCs w:val="18"/>
                <w:lang w:val="en-US"/>
              </w:rPr>
              <w:t>Moscow Power Engineering Institute, majoring in Economics and Management at Electricity Industry Enterprises, planning engineer (2002)</w:t>
            </w:r>
          </w:p>
        </w:tc>
      </w:tr>
      <w:tr w:rsidR="008A5057" w:rsidRPr="00BD295E" w14:paraId="36561A6D"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6941366A" w14:textId="77777777" w:rsidR="00F3260C" w:rsidRPr="00BD295E" w:rsidRDefault="008A5057" w:rsidP="00C968B7">
            <w:pPr>
              <w:snapToGrid w:val="0"/>
              <w:jc w:val="both"/>
              <w:rPr>
                <w:rFonts w:ascii="Arial" w:hAnsi="Arial" w:cs="Arial"/>
                <w:sz w:val="18"/>
                <w:szCs w:val="18"/>
                <w:lang w:val="en-US"/>
              </w:rPr>
            </w:pPr>
            <w:r w:rsidRPr="00BD295E">
              <w:rPr>
                <w:rFonts w:ascii="Arial" w:hAnsi="Arial" w:cs="Arial"/>
                <w:sz w:val="18"/>
                <w:szCs w:val="18"/>
                <w:lang w:val="en-US"/>
              </w:rPr>
              <w:t>Positions for the last five years</w:t>
            </w:r>
          </w:p>
        </w:tc>
        <w:tc>
          <w:tcPr>
            <w:tcW w:w="6659" w:type="dxa"/>
            <w:tcBorders>
              <w:top w:val="single" w:sz="6" w:space="0" w:color="C0C0C0"/>
              <w:left w:val="single" w:sz="6" w:space="0" w:color="C0C0C0"/>
              <w:bottom w:val="single" w:sz="6" w:space="0" w:color="C0C0C0"/>
              <w:right w:val="single" w:sz="4" w:space="0" w:color="C0C0C0"/>
            </w:tcBorders>
            <w:vAlign w:val="center"/>
          </w:tcPr>
          <w:p w14:paraId="05D170E7" w14:textId="2FAA1EFE" w:rsidR="00F3260C" w:rsidRPr="00BD295E" w:rsidRDefault="008A5057" w:rsidP="00C968B7">
            <w:pPr>
              <w:snapToGrid w:val="0"/>
              <w:jc w:val="both"/>
              <w:rPr>
                <w:rFonts w:ascii="Arial" w:hAnsi="Arial" w:cs="Arial"/>
                <w:sz w:val="18"/>
                <w:szCs w:val="18"/>
                <w:lang w:val="en-US"/>
              </w:rPr>
            </w:pPr>
            <w:r w:rsidRPr="00BD295E">
              <w:rPr>
                <w:rFonts w:ascii="Arial" w:hAnsi="Arial" w:cs="Arial"/>
                <w:sz w:val="18"/>
                <w:szCs w:val="18"/>
                <w:lang w:val="en-US"/>
              </w:rPr>
              <w:t xml:space="preserve">2016–2018 – </w:t>
            </w:r>
            <w:r w:rsidR="002C3947" w:rsidRPr="00BD295E">
              <w:rPr>
                <w:rFonts w:ascii="Arial" w:hAnsi="Arial" w:cs="Arial"/>
                <w:sz w:val="18"/>
                <w:szCs w:val="18"/>
                <w:lang w:val="en-US"/>
              </w:rPr>
              <w:t>Member of</w:t>
            </w:r>
            <w:r w:rsidRPr="00BD295E">
              <w:rPr>
                <w:rFonts w:ascii="Arial" w:hAnsi="Arial" w:cs="Arial"/>
                <w:sz w:val="18"/>
                <w:szCs w:val="18"/>
                <w:lang w:val="en-US"/>
              </w:rPr>
              <w:t xml:space="preserve"> the Company’s Board of Directors;</w:t>
            </w:r>
          </w:p>
          <w:p w14:paraId="4EE51314" w14:textId="77777777" w:rsidR="00F3260C" w:rsidRPr="00BD295E" w:rsidRDefault="008A5057" w:rsidP="00C968B7">
            <w:pPr>
              <w:snapToGrid w:val="0"/>
              <w:jc w:val="both"/>
              <w:rPr>
                <w:rFonts w:ascii="Arial" w:hAnsi="Arial" w:cs="Arial"/>
                <w:sz w:val="18"/>
                <w:szCs w:val="18"/>
                <w:lang w:val="en-US"/>
              </w:rPr>
            </w:pPr>
            <w:r w:rsidRPr="00BD295E">
              <w:rPr>
                <w:rFonts w:ascii="Arial" w:hAnsi="Arial" w:cs="Arial"/>
                <w:sz w:val="18"/>
                <w:szCs w:val="18"/>
                <w:lang w:val="en-US"/>
              </w:rPr>
              <w:t>2015–2018 – Chairman of the Management Board, Acting CEO of the Company;</w:t>
            </w:r>
          </w:p>
          <w:p w14:paraId="4519B2D8" w14:textId="77777777" w:rsidR="00F3260C" w:rsidRPr="00BD295E" w:rsidRDefault="008A5057" w:rsidP="00C968B7">
            <w:pPr>
              <w:snapToGrid w:val="0"/>
              <w:jc w:val="both"/>
              <w:rPr>
                <w:rFonts w:ascii="Arial" w:hAnsi="Arial" w:cs="Arial"/>
                <w:sz w:val="18"/>
                <w:szCs w:val="18"/>
                <w:lang w:val="en-US"/>
              </w:rPr>
            </w:pPr>
            <w:r w:rsidRPr="00BD295E">
              <w:rPr>
                <w:rFonts w:ascii="Arial" w:hAnsi="Arial" w:cs="Arial"/>
                <w:sz w:val="18"/>
                <w:szCs w:val="18"/>
                <w:lang w:val="en-US"/>
              </w:rPr>
              <w:t xml:space="preserve">2013–2018 – Member of the Management Board, First Deputy CEO of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05EED460" w14:textId="77777777" w:rsidR="00F3260C" w:rsidRPr="00BD295E" w:rsidRDefault="008A5057" w:rsidP="00C968B7">
            <w:pPr>
              <w:rPr>
                <w:rFonts w:ascii="Arial" w:hAnsi="Arial" w:cs="Arial"/>
                <w:sz w:val="18"/>
                <w:szCs w:val="18"/>
                <w:lang w:val="en-US"/>
              </w:rPr>
            </w:pPr>
            <w:r w:rsidRPr="00BD295E">
              <w:rPr>
                <w:rFonts w:ascii="Arial" w:hAnsi="Arial" w:cs="Arial"/>
                <w:sz w:val="18"/>
                <w:szCs w:val="18"/>
                <w:lang w:val="en-US"/>
              </w:rPr>
              <w:t xml:space="preserve">2009–2013 – Member of the Management Board, Deputy Chairman of the Management Board, First Deputy Chairman of the Management Board of </w:t>
            </w:r>
            <w:r w:rsidR="00472677" w:rsidRPr="00BD295E">
              <w:rPr>
                <w:rFonts w:ascii="Arial" w:hAnsi="Arial" w:cs="Arial"/>
                <w:sz w:val="18"/>
                <w:szCs w:val="18"/>
                <w:lang w:val="en-US"/>
              </w:rPr>
              <w:t xml:space="preserve">“FGC UES”, PJSC </w:t>
            </w:r>
          </w:p>
        </w:tc>
      </w:tr>
      <w:tr w:rsidR="008A5057" w:rsidRPr="00BD295E" w14:paraId="1DEC5F90" w14:textId="77777777" w:rsidTr="0031297B">
        <w:trPr>
          <w:trHeight w:val="276"/>
        </w:trPr>
        <w:tc>
          <w:tcPr>
            <w:tcW w:w="2941" w:type="dxa"/>
            <w:tcBorders>
              <w:top w:val="single" w:sz="6" w:space="0" w:color="C0C0C0"/>
              <w:left w:val="single" w:sz="4" w:space="0" w:color="C0C0C0"/>
              <w:bottom w:val="single" w:sz="6" w:space="0" w:color="C0C0C0"/>
              <w:right w:val="single" w:sz="6" w:space="0" w:color="C0C0C0"/>
            </w:tcBorders>
            <w:vAlign w:val="center"/>
          </w:tcPr>
          <w:p w14:paraId="2040A03D" w14:textId="77777777" w:rsidR="00F3260C" w:rsidRPr="00BD295E" w:rsidRDefault="006515AB" w:rsidP="00C968B7">
            <w:pPr>
              <w:snapToGrid w:val="0"/>
              <w:jc w:val="both"/>
              <w:rPr>
                <w:rFonts w:ascii="Arial" w:hAnsi="Arial" w:cs="Arial"/>
                <w:sz w:val="18"/>
                <w:szCs w:val="18"/>
                <w:lang w:val="en-US"/>
              </w:rPr>
            </w:pPr>
            <w:r w:rsidRPr="00BD295E">
              <w:rPr>
                <w:rFonts w:ascii="Arial" w:hAnsi="Arial" w:cs="Arial"/>
                <w:sz w:val="18"/>
                <w:szCs w:val="18"/>
                <w:lang w:val="en-US"/>
              </w:rPr>
              <w:t>Interest in the Company</w:t>
            </w:r>
          </w:p>
        </w:tc>
        <w:tc>
          <w:tcPr>
            <w:tcW w:w="6659" w:type="dxa"/>
            <w:tcBorders>
              <w:top w:val="single" w:sz="6" w:space="0" w:color="C0C0C0"/>
              <w:left w:val="single" w:sz="6" w:space="0" w:color="C0C0C0"/>
              <w:bottom w:val="single" w:sz="6" w:space="0" w:color="C0C0C0"/>
              <w:right w:val="single" w:sz="4" w:space="0" w:color="C0C0C0"/>
            </w:tcBorders>
            <w:vAlign w:val="center"/>
          </w:tcPr>
          <w:p w14:paraId="6A50196D" w14:textId="77777777" w:rsidR="00F3260C" w:rsidRPr="00BD295E" w:rsidRDefault="008A5057" w:rsidP="00C968B7">
            <w:pPr>
              <w:rPr>
                <w:rFonts w:ascii="Arial" w:hAnsi="Arial" w:cs="Arial"/>
                <w:sz w:val="18"/>
                <w:szCs w:val="18"/>
                <w:lang w:val="en-US"/>
              </w:rPr>
            </w:pPr>
            <w:r w:rsidRPr="00BD295E">
              <w:rPr>
                <w:rFonts w:ascii="Arial" w:hAnsi="Arial" w:cs="Arial"/>
                <w:sz w:val="18"/>
                <w:szCs w:val="18"/>
                <w:lang w:val="en-US"/>
              </w:rPr>
              <w:t>None</w:t>
            </w:r>
          </w:p>
        </w:tc>
      </w:tr>
      <w:tr w:rsidR="008A5057" w:rsidRPr="00BD295E" w14:paraId="537B7B30" w14:textId="77777777" w:rsidTr="0031297B">
        <w:trPr>
          <w:trHeight w:val="276"/>
        </w:trPr>
        <w:tc>
          <w:tcPr>
            <w:tcW w:w="2941" w:type="dxa"/>
            <w:tcBorders>
              <w:top w:val="single" w:sz="6" w:space="0" w:color="C0C0C0"/>
              <w:left w:val="single" w:sz="4" w:space="0" w:color="C0C0C0"/>
              <w:bottom w:val="single" w:sz="6" w:space="0" w:color="333399"/>
              <w:right w:val="single" w:sz="6" w:space="0" w:color="C0C0C0"/>
            </w:tcBorders>
            <w:vAlign w:val="center"/>
          </w:tcPr>
          <w:p w14:paraId="101ADF8C" w14:textId="77777777" w:rsidR="00F3260C" w:rsidRPr="00BD295E" w:rsidRDefault="006515AB" w:rsidP="00C968B7">
            <w:pPr>
              <w:snapToGrid w:val="0"/>
              <w:jc w:val="both"/>
              <w:rPr>
                <w:rFonts w:ascii="Arial" w:hAnsi="Arial" w:cs="Arial"/>
                <w:sz w:val="18"/>
                <w:szCs w:val="18"/>
                <w:lang w:val="en-US"/>
              </w:rPr>
            </w:pPr>
            <w:r w:rsidRPr="00BD295E">
              <w:rPr>
                <w:rFonts w:ascii="Arial" w:hAnsi="Arial" w:cs="Arial"/>
                <w:sz w:val="18"/>
                <w:szCs w:val="18"/>
                <w:lang w:val="en-US"/>
              </w:rPr>
              <w:t>Positions with other employers</w:t>
            </w:r>
          </w:p>
        </w:tc>
        <w:tc>
          <w:tcPr>
            <w:tcW w:w="6659" w:type="dxa"/>
            <w:tcBorders>
              <w:top w:val="single" w:sz="6" w:space="0" w:color="C0C0C0"/>
              <w:left w:val="single" w:sz="6" w:space="0" w:color="C0C0C0"/>
              <w:bottom w:val="single" w:sz="6" w:space="0" w:color="333399"/>
              <w:right w:val="single" w:sz="4" w:space="0" w:color="C0C0C0"/>
            </w:tcBorders>
            <w:vAlign w:val="center"/>
          </w:tcPr>
          <w:p w14:paraId="71FEB53B" w14:textId="77777777" w:rsidR="00F3260C" w:rsidRPr="00BD295E" w:rsidRDefault="008A5057" w:rsidP="00C968B7">
            <w:pPr>
              <w:rPr>
                <w:rFonts w:ascii="Arial" w:hAnsi="Arial" w:cs="Arial"/>
                <w:sz w:val="18"/>
                <w:szCs w:val="18"/>
                <w:lang w:val="en-US"/>
              </w:rPr>
            </w:pPr>
            <w:r w:rsidRPr="00BD295E">
              <w:rPr>
                <w:rFonts w:ascii="Arial" w:hAnsi="Arial" w:cs="Arial"/>
                <w:sz w:val="18"/>
                <w:szCs w:val="18"/>
                <w:lang w:val="en-US"/>
              </w:rPr>
              <w:t xml:space="preserve">None </w:t>
            </w:r>
          </w:p>
        </w:tc>
      </w:tr>
    </w:tbl>
    <w:p w14:paraId="4331C9DD" w14:textId="77777777" w:rsidR="00F3260C" w:rsidRPr="00BD295E" w:rsidRDefault="008A5057" w:rsidP="00C968B7">
      <w:pPr>
        <w:rPr>
          <w:rStyle w:val="aff9"/>
          <w:rFonts w:ascii="Arial" w:hAnsi="Arial" w:cs="Arial"/>
          <w:b w:val="0"/>
          <w:sz w:val="18"/>
          <w:szCs w:val="18"/>
          <w:lang w:val="en-US"/>
        </w:rPr>
      </w:pPr>
      <w:r w:rsidRPr="00BD295E">
        <w:rPr>
          <w:rFonts w:ascii="Arial" w:hAnsi="Arial" w:cs="Arial"/>
          <w:sz w:val="18"/>
          <w:szCs w:val="18"/>
          <w:lang w:val="en-US"/>
        </w:rPr>
        <w:t>* As at December 31, 2018</w:t>
      </w:r>
    </w:p>
    <w:p w14:paraId="6819EC90" w14:textId="77777777" w:rsidR="00F3260C" w:rsidRPr="00BD295E" w:rsidRDefault="00F3260C" w:rsidP="00C968B7">
      <w:pPr>
        <w:rPr>
          <w:rFonts w:ascii="Arial" w:hAnsi="Arial" w:cs="Arial"/>
          <w:b/>
          <w:sz w:val="18"/>
          <w:szCs w:val="18"/>
          <w:lang w:val="en-US"/>
        </w:rPr>
      </w:pPr>
    </w:p>
    <w:p w14:paraId="459542E1" w14:textId="77777777" w:rsidR="00F3260C" w:rsidRPr="00BD295E" w:rsidRDefault="006515AB" w:rsidP="00C968B7">
      <w:pPr>
        <w:rPr>
          <w:rFonts w:ascii="Arial" w:hAnsi="Arial" w:cs="Arial"/>
          <w:b/>
          <w:sz w:val="18"/>
          <w:szCs w:val="18"/>
          <w:lang w:val="en-US"/>
        </w:rPr>
      </w:pPr>
      <w:r w:rsidRPr="00BD295E">
        <w:rPr>
          <w:rFonts w:ascii="Arial" w:hAnsi="Arial" w:cs="Arial"/>
          <w:b/>
          <w:sz w:val="18"/>
          <w:szCs w:val="18"/>
          <w:lang w:val="en-US"/>
        </w:rPr>
        <w:t>R</w:t>
      </w:r>
      <w:r w:rsidR="008A5057" w:rsidRPr="00BD295E">
        <w:rPr>
          <w:rFonts w:ascii="Arial" w:hAnsi="Arial" w:cs="Arial"/>
          <w:b/>
          <w:sz w:val="18"/>
          <w:szCs w:val="18"/>
          <w:lang w:val="en-US"/>
        </w:rPr>
        <w:t xml:space="preserve">emuneration </w:t>
      </w:r>
      <w:r w:rsidRPr="00BD295E">
        <w:rPr>
          <w:rFonts w:ascii="Arial" w:hAnsi="Arial" w:cs="Arial"/>
          <w:b/>
          <w:sz w:val="18"/>
          <w:szCs w:val="18"/>
          <w:lang w:val="en-US"/>
        </w:rPr>
        <w:t>of</w:t>
      </w:r>
      <w:r w:rsidR="008A5057" w:rsidRPr="00BD295E">
        <w:rPr>
          <w:rFonts w:ascii="Arial" w:hAnsi="Arial" w:cs="Arial"/>
          <w:b/>
          <w:sz w:val="18"/>
          <w:szCs w:val="18"/>
          <w:lang w:val="en-US"/>
        </w:rPr>
        <w:t xml:space="preserve"> members of the Management Board and </w:t>
      </w:r>
      <w:r w:rsidRPr="00BD295E">
        <w:rPr>
          <w:rFonts w:ascii="Arial" w:hAnsi="Arial" w:cs="Arial"/>
          <w:b/>
          <w:sz w:val="18"/>
          <w:szCs w:val="18"/>
          <w:lang w:val="en-US"/>
        </w:rPr>
        <w:t xml:space="preserve">of </w:t>
      </w:r>
      <w:r w:rsidR="008A5057" w:rsidRPr="00BD295E">
        <w:rPr>
          <w:rFonts w:ascii="Arial" w:hAnsi="Arial" w:cs="Arial"/>
          <w:b/>
          <w:sz w:val="18"/>
          <w:szCs w:val="18"/>
          <w:lang w:val="en-US"/>
        </w:rPr>
        <w:t>the CEO of the Company</w:t>
      </w:r>
    </w:p>
    <w:p w14:paraId="0A33812A" w14:textId="77777777" w:rsidR="00F3260C" w:rsidRPr="00BD295E" w:rsidRDefault="00F3260C" w:rsidP="00C968B7">
      <w:pPr>
        <w:rPr>
          <w:rFonts w:ascii="Arial" w:hAnsi="Arial" w:cs="Arial"/>
          <w:sz w:val="18"/>
          <w:szCs w:val="18"/>
          <w:lang w:val="en-US"/>
        </w:rPr>
      </w:pPr>
    </w:p>
    <w:p w14:paraId="74EEF069"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system of financial incentives and key performance indicators for the CEO of the Company is </w:t>
      </w:r>
      <w:r w:rsidR="006515AB" w:rsidRPr="00BD295E">
        <w:rPr>
          <w:rFonts w:ascii="Arial" w:hAnsi="Arial" w:cs="Arial"/>
          <w:sz w:val="18"/>
          <w:szCs w:val="18"/>
          <w:lang w:val="en-US"/>
        </w:rPr>
        <w:t>implemented based on</w:t>
      </w:r>
      <w:r w:rsidRPr="00BD295E">
        <w:rPr>
          <w:rFonts w:ascii="Arial" w:hAnsi="Arial" w:cs="Arial"/>
          <w:sz w:val="18"/>
          <w:szCs w:val="18"/>
          <w:lang w:val="en-US"/>
        </w:rPr>
        <w:t xml:space="preserve"> the Regulations for Financial Incentives for the CEO of the Company as restated and in effect from January 1, 2018, as approved by the Resolution of the Company’s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26, 2018 (Minutes No. 11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29, 2018).</w:t>
      </w:r>
    </w:p>
    <w:p w14:paraId="0D89E947"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system of financial incentives for the Company’s top managers is governed by the Regulations on Financial Incentives and Social Benefits for the Company’s Top Managers as approved by the Company's Board of Directors on July 22, 2011 (Minutes No. 1 </w:t>
      </w:r>
      <w:r w:rsidR="008B183C" w:rsidRPr="00BD295E">
        <w:rPr>
          <w:rFonts w:ascii="Arial" w:hAnsi="Arial" w:cs="Arial"/>
          <w:sz w:val="18"/>
          <w:szCs w:val="18"/>
          <w:lang w:val="en-US"/>
        </w:rPr>
        <w:t>of</w:t>
      </w:r>
      <w:r w:rsidRPr="00BD295E">
        <w:rPr>
          <w:rFonts w:ascii="Arial" w:hAnsi="Arial" w:cs="Arial"/>
          <w:sz w:val="18"/>
          <w:szCs w:val="18"/>
          <w:lang w:val="en-US"/>
        </w:rPr>
        <w:t xml:space="preserve"> July 25, 2011). </w:t>
      </w:r>
    </w:p>
    <w:p w14:paraId="7EC70974"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system of key performance indicators for the Company's top managers is in line with the principle of distributing performance indicators used in the bonus system applicable to the Company's CEO, including specific weights and target indicators for each of the top managers set by resolution of the Company's CEO. </w:t>
      </w:r>
    </w:p>
    <w:p w14:paraId="34C29DFA"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Achievement of the Company’s priority development goals is measured using a system of key performance indicators (KPI) applied at the Company.</w:t>
      </w:r>
    </w:p>
    <w:p w14:paraId="29335CF5"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In 2018, in order to take into account the priorities set in the Strategy for the Development of the Electric Grid Sector as approved by Directive No. 511-r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April 3, 2013, align the indicators with the goals of the Company's Long-Term Development Program, and comply with certain instructions of the Russian Government, the following structure and target values of key performance indicators were established:</w:t>
      </w:r>
    </w:p>
    <w:p w14:paraId="3281F461" w14:textId="77777777" w:rsidR="00F3260C" w:rsidRPr="00BD295E" w:rsidRDefault="00F3260C" w:rsidP="00F3260C">
      <w:pPr>
        <w:ind w:left="-426" w:firstLine="284"/>
        <w:jc w:val="both"/>
        <w:rPr>
          <w:rFonts w:ascii="Arial" w:hAnsi="Arial" w:cs="Arial"/>
          <w:sz w:val="18"/>
          <w:szCs w:val="18"/>
          <w:lang w:val="en-US"/>
        </w:rPr>
      </w:pPr>
    </w:p>
    <w:p w14:paraId="3E88EAC1" w14:textId="77777777" w:rsidR="00F3260C" w:rsidRPr="00BD295E" w:rsidRDefault="008A5057" w:rsidP="00F3260C">
      <w:pPr>
        <w:ind w:left="-426" w:firstLine="284"/>
        <w:jc w:val="center"/>
        <w:rPr>
          <w:rFonts w:ascii="Arial" w:hAnsi="Arial" w:cs="Arial"/>
          <w:b/>
          <w:sz w:val="18"/>
          <w:szCs w:val="18"/>
          <w:lang w:val="en-US"/>
        </w:rPr>
      </w:pPr>
      <w:r w:rsidRPr="00BD295E">
        <w:rPr>
          <w:rFonts w:ascii="Arial" w:hAnsi="Arial" w:cs="Arial"/>
          <w:b/>
          <w:sz w:val="18"/>
          <w:szCs w:val="18"/>
          <w:lang w:val="en-US"/>
        </w:rPr>
        <w:t>Key Performance Indicators</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678"/>
        <w:gridCol w:w="3827"/>
      </w:tblGrid>
      <w:tr w:rsidR="008A5057" w:rsidRPr="00BD295E" w14:paraId="530E20B2" w14:textId="77777777" w:rsidTr="0031297B">
        <w:trPr>
          <w:trHeight w:val="397"/>
          <w:tblHeader/>
        </w:trPr>
        <w:tc>
          <w:tcPr>
            <w:tcW w:w="851" w:type="dxa"/>
            <w:vAlign w:val="center"/>
          </w:tcPr>
          <w:p w14:paraId="25A2CCD3"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 xml:space="preserve">No. </w:t>
            </w:r>
          </w:p>
        </w:tc>
        <w:tc>
          <w:tcPr>
            <w:tcW w:w="4678" w:type="dxa"/>
            <w:vAlign w:val="center"/>
          </w:tcPr>
          <w:p w14:paraId="719884E7"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KPI</w:t>
            </w:r>
          </w:p>
        </w:tc>
        <w:tc>
          <w:tcPr>
            <w:tcW w:w="3827" w:type="dxa"/>
            <w:vAlign w:val="center"/>
          </w:tcPr>
          <w:p w14:paraId="032F9259"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2018 targets</w:t>
            </w:r>
          </w:p>
        </w:tc>
      </w:tr>
      <w:tr w:rsidR="008A5057" w:rsidRPr="00BD295E" w14:paraId="5A422999" w14:textId="77777777" w:rsidTr="0031297B">
        <w:trPr>
          <w:trHeight w:val="397"/>
        </w:trPr>
        <w:tc>
          <w:tcPr>
            <w:tcW w:w="9356" w:type="dxa"/>
            <w:gridSpan w:val="3"/>
            <w:vAlign w:val="center"/>
          </w:tcPr>
          <w:p w14:paraId="600927A1"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sz w:val="18"/>
                <w:szCs w:val="18"/>
                <w:lang w:val="en-US"/>
              </w:rPr>
              <w:t>Quarterly KPIs</w:t>
            </w:r>
          </w:p>
        </w:tc>
      </w:tr>
      <w:tr w:rsidR="008A5057" w:rsidRPr="00BD295E" w14:paraId="51DF1970" w14:textId="77777777" w:rsidTr="0031297B">
        <w:trPr>
          <w:trHeight w:val="397"/>
        </w:trPr>
        <w:tc>
          <w:tcPr>
            <w:tcW w:w="851" w:type="dxa"/>
            <w:vAlign w:val="center"/>
          </w:tcPr>
          <w:p w14:paraId="3742B1D1"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2.1.</w:t>
            </w:r>
          </w:p>
        </w:tc>
        <w:tc>
          <w:tcPr>
            <w:tcW w:w="4678" w:type="dxa"/>
            <w:vAlign w:val="center"/>
          </w:tcPr>
          <w:p w14:paraId="14AC7399" w14:textId="2D6F0E4E" w:rsidR="00F3260C" w:rsidRPr="00BD295E" w:rsidRDefault="00BF7D8E" w:rsidP="0031297B">
            <w:pPr>
              <w:ind w:left="-426" w:firstLine="284"/>
              <w:jc w:val="center"/>
              <w:rPr>
                <w:rFonts w:ascii="Arial" w:hAnsi="Arial" w:cs="Arial"/>
                <w:b/>
                <w:sz w:val="18"/>
                <w:szCs w:val="18"/>
                <w:lang w:val="en-US"/>
              </w:rPr>
            </w:pPr>
            <w:r w:rsidRPr="00BD295E">
              <w:rPr>
                <w:rFonts w:ascii="Arial" w:hAnsi="Arial" w:cs="Arial"/>
                <w:b/>
                <w:sz w:val="18"/>
                <w:szCs w:val="18"/>
                <w:lang w:val="en-US"/>
              </w:rPr>
              <w:t>Consolidated</w:t>
            </w:r>
            <w:r w:rsidR="008A5057" w:rsidRPr="00BD295E">
              <w:rPr>
                <w:rFonts w:ascii="Arial" w:hAnsi="Arial" w:cs="Arial"/>
                <w:b/>
                <w:sz w:val="18"/>
                <w:szCs w:val="18"/>
                <w:lang w:val="en-US"/>
              </w:rPr>
              <w:t xml:space="preserve"> EBITDA</w:t>
            </w:r>
          </w:p>
        </w:tc>
        <w:tc>
          <w:tcPr>
            <w:tcW w:w="3827" w:type="dxa"/>
            <w:vAlign w:val="center"/>
          </w:tcPr>
          <w:p w14:paraId="36DB71CD"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 xml:space="preserve">For Q1, 1H, and 9M 2018 ≥ 0;  </w:t>
            </w:r>
          </w:p>
          <w:p w14:paraId="1BA98850"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sz w:val="18"/>
                <w:szCs w:val="18"/>
                <w:lang w:val="en-US"/>
              </w:rPr>
              <w:t xml:space="preserve">For the full year ≥ 3 %. </w:t>
            </w:r>
            <w:r w:rsidRPr="00BD295E">
              <w:rPr>
                <w:rFonts w:ascii="Arial" w:hAnsi="Arial" w:cs="Arial"/>
                <w:b/>
                <w:bCs/>
                <w:sz w:val="18"/>
                <w:szCs w:val="18"/>
                <w:lang w:val="en-US"/>
              </w:rPr>
              <w:t xml:space="preserve"> </w:t>
            </w:r>
          </w:p>
        </w:tc>
      </w:tr>
      <w:tr w:rsidR="008A5057" w:rsidRPr="00BD295E" w14:paraId="5023D5BC" w14:textId="77777777" w:rsidTr="0031297B">
        <w:trPr>
          <w:trHeight w:val="397"/>
        </w:trPr>
        <w:tc>
          <w:tcPr>
            <w:tcW w:w="851" w:type="dxa"/>
            <w:vAlign w:val="center"/>
          </w:tcPr>
          <w:p w14:paraId="76DFB640"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2.2.</w:t>
            </w:r>
          </w:p>
        </w:tc>
        <w:tc>
          <w:tcPr>
            <w:tcW w:w="4678" w:type="dxa"/>
            <w:vAlign w:val="center"/>
          </w:tcPr>
          <w:p w14:paraId="7F5FA9E9" w14:textId="2FC2F565" w:rsidR="00F3260C" w:rsidRPr="00BD295E" w:rsidRDefault="00BF7D8E" w:rsidP="0031297B">
            <w:pPr>
              <w:ind w:left="-426" w:firstLine="284"/>
              <w:jc w:val="center"/>
              <w:rPr>
                <w:rFonts w:ascii="Arial" w:hAnsi="Arial" w:cs="Arial"/>
                <w:b/>
                <w:sz w:val="18"/>
                <w:szCs w:val="18"/>
                <w:lang w:val="en-US"/>
              </w:rPr>
            </w:pPr>
            <w:r w:rsidRPr="00BD295E">
              <w:rPr>
                <w:rFonts w:ascii="Arial" w:hAnsi="Arial" w:cs="Arial"/>
                <w:b/>
                <w:sz w:val="18"/>
                <w:szCs w:val="18"/>
                <w:lang w:val="en-US"/>
              </w:rPr>
              <w:t>Consolidated</w:t>
            </w:r>
            <w:r w:rsidR="008A5057" w:rsidRPr="00BD295E">
              <w:rPr>
                <w:rFonts w:ascii="Arial" w:hAnsi="Arial" w:cs="Arial"/>
                <w:b/>
                <w:sz w:val="18"/>
                <w:szCs w:val="18"/>
                <w:lang w:val="en-US"/>
              </w:rPr>
              <w:t xml:space="preserve"> Net Debt/EBITDA</w:t>
            </w:r>
          </w:p>
        </w:tc>
        <w:tc>
          <w:tcPr>
            <w:tcW w:w="3827" w:type="dxa"/>
            <w:vAlign w:val="center"/>
          </w:tcPr>
          <w:p w14:paraId="140648CE"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Q1, 2, 3, 4 ≤ 3,0</w:t>
            </w:r>
          </w:p>
        </w:tc>
      </w:tr>
      <w:tr w:rsidR="008A5057" w:rsidRPr="00BD295E" w14:paraId="59698310" w14:textId="77777777" w:rsidTr="0031297B">
        <w:trPr>
          <w:trHeight w:val="397"/>
        </w:trPr>
        <w:tc>
          <w:tcPr>
            <w:tcW w:w="851" w:type="dxa"/>
            <w:vAlign w:val="center"/>
          </w:tcPr>
          <w:p w14:paraId="09CB7168"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2.3.</w:t>
            </w:r>
          </w:p>
        </w:tc>
        <w:tc>
          <w:tcPr>
            <w:tcW w:w="4678" w:type="dxa"/>
            <w:vAlign w:val="center"/>
          </w:tcPr>
          <w:p w14:paraId="5CCA49AB"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Implementation of an action plan to reduce receivables of the Company</w:t>
            </w:r>
          </w:p>
        </w:tc>
        <w:tc>
          <w:tcPr>
            <w:tcW w:w="3827" w:type="dxa"/>
            <w:vAlign w:val="center"/>
          </w:tcPr>
          <w:p w14:paraId="57790960"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 xml:space="preserve"> ≤ 100.0%</w:t>
            </w:r>
          </w:p>
        </w:tc>
      </w:tr>
      <w:tr w:rsidR="008A5057" w:rsidRPr="00BD295E" w14:paraId="4456FABE" w14:textId="77777777" w:rsidTr="0031297B">
        <w:trPr>
          <w:trHeight w:val="397"/>
        </w:trPr>
        <w:tc>
          <w:tcPr>
            <w:tcW w:w="851" w:type="dxa"/>
            <w:vAlign w:val="center"/>
          </w:tcPr>
          <w:p w14:paraId="3FD5D8D3"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2.4.</w:t>
            </w:r>
          </w:p>
        </w:tc>
        <w:tc>
          <w:tcPr>
            <w:tcW w:w="4678" w:type="dxa"/>
            <w:vAlign w:val="center"/>
          </w:tcPr>
          <w:p w14:paraId="09EBF298"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No increase in major accidents</w:t>
            </w:r>
          </w:p>
        </w:tc>
        <w:tc>
          <w:tcPr>
            <w:tcW w:w="3827" w:type="dxa"/>
            <w:vAlign w:val="center"/>
          </w:tcPr>
          <w:p w14:paraId="3BC65FD3"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No increase</w:t>
            </w:r>
          </w:p>
        </w:tc>
      </w:tr>
      <w:tr w:rsidR="008A5057" w:rsidRPr="00BD295E" w14:paraId="26FEE8E1" w14:textId="77777777" w:rsidTr="0031297B">
        <w:trPr>
          <w:trHeight w:val="397"/>
        </w:trPr>
        <w:tc>
          <w:tcPr>
            <w:tcW w:w="851" w:type="dxa"/>
            <w:vAlign w:val="center"/>
          </w:tcPr>
          <w:p w14:paraId="57DE23BD"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2.5</w:t>
            </w:r>
          </w:p>
        </w:tc>
        <w:tc>
          <w:tcPr>
            <w:tcW w:w="4678" w:type="dxa"/>
            <w:vAlign w:val="center"/>
          </w:tcPr>
          <w:p w14:paraId="000DE5E7"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No increase in the number of persons injured in accidents</w:t>
            </w:r>
          </w:p>
        </w:tc>
        <w:tc>
          <w:tcPr>
            <w:tcW w:w="3827" w:type="dxa"/>
            <w:vAlign w:val="center"/>
          </w:tcPr>
          <w:p w14:paraId="30397309"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No increase</w:t>
            </w:r>
          </w:p>
        </w:tc>
      </w:tr>
      <w:tr w:rsidR="008A5057" w:rsidRPr="00BD295E" w14:paraId="48599E78" w14:textId="77777777" w:rsidTr="0031297B">
        <w:trPr>
          <w:trHeight w:val="397"/>
        </w:trPr>
        <w:tc>
          <w:tcPr>
            <w:tcW w:w="9356" w:type="dxa"/>
            <w:gridSpan w:val="3"/>
            <w:vAlign w:val="center"/>
          </w:tcPr>
          <w:p w14:paraId="1C38C13A"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sz w:val="18"/>
                <w:szCs w:val="18"/>
                <w:lang w:val="en-US"/>
              </w:rPr>
              <w:t>Annual KPIs</w:t>
            </w:r>
          </w:p>
        </w:tc>
      </w:tr>
      <w:tr w:rsidR="008A5057" w:rsidRPr="00BD295E" w14:paraId="4A8B226D" w14:textId="77777777" w:rsidTr="0031297B">
        <w:trPr>
          <w:trHeight w:val="397"/>
        </w:trPr>
        <w:tc>
          <w:tcPr>
            <w:tcW w:w="851" w:type="dxa"/>
            <w:vAlign w:val="center"/>
          </w:tcPr>
          <w:p w14:paraId="3121379D"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3.1.</w:t>
            </w:r>
          </w:p>
        </w:tc>
        <w:tc>
          <w:tcPr>
            <w:tcW w:w="4678" w:type="dxa"/>
            <w:vAlign w:val="center"/>
          </w:tcPr>
          <w:p w14:paraId="625F4997" w14:textId="55D7F9E1" w:rsidR="00F3260C" w:rsidRPr="00BD295E" w:rsidRDefault="00BF7D8E"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Consolidated</w:t>
            </w:r>
            <w:r w:rsidR="008A5057" w:rsidRPr="00BD295E">
              <w:rPr>
                <w:rFonts w:ascii="Arial" w:hAnsi="Arial" w:cs="Arial"/>
                <w:b/>
                <w:bCs/>
                <w:sz w:val="18"/>
                <w:szCs w:val="18"/>
                <w:lang w:val="en-US"/>
              </w:rPr>
              <w:t xml:space="preserve"> net cash flow</w:t>
            </w:r>
          </w:p>
        </w:tc>
        <w:tc>
          <w:tcPr>
            <w:tcW w:w="3827" w:type="dxa"/>
            <w:vAlign w:val="center"/>
          </w:tcPr>
          <w:p w14:paraId="7C971199"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bCs/>
                <w:sz w:val="18"/>
                <w:szCs w:val="18"/>
                <w:lang w:val="en-US"/>
              </w:rPr>
              <w:t>≥ RUB 1,792.7 million</w:t>
            </w:r>
          </w:p>
        </w:tc>
      </w:tr>
      <w:tr w:rsidR="008A5057" w:rsidRPr="00BD295E" w14:paraId="30AE2BA3" w14:textId="77777777" w:rsidTr="0031297B">
        <w:trPr>
          <w:trHeight w:val="397"/>
        </w:trPr>
        <w:tc>
          <w:tcPr>
            <w:tcW w:w="851" w:type="dxa"/>
            <w:vAlign w:val="center"/>
          </w:tcPr>
          <w:p w14:paraId="56B49593"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3.2.</w:t>
            </w:r>
          </w:p>
        </w:tc>
        <w:tc>
          <w:tcPr>
            <w:tcW w:w="4678" w:type="dxa"/>
            <w:vAlign w:val="center"/>
          </w:tcPr>
          <w:p w14:paraId="68DB0A68"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Decrease in per unit operating (costs)</w:t>
            </w:r>
          </w:p>
        </w:tc>
        <w:tc>
          <w:tcPr>
            <w:tcW w:w="3827" w:type="dxa"/>
            <w:vAlign w:val="center"/>
          </w:tcPr>
          <w:p w14:paraId="362B281A"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 2.0%</w:t>
            </w:r>
          </w:p>
        </w:tc>
      </w:tr>
      <w:tr w:rsidR="008A5057" w:rsidRPr="00BD295E" w14:paraId="55147123" w14:textId="77777777" w:rsidTr="0031297B">
        <w:trPr>
          <w:trHeight w:val="397"/>
        </w:trPr>
        <w:tc>
          <w:tcPr>
            <w:tcW w:w="851" w:type="dxa"/>
            <w:vAlign w:val="center"/>
          </w:tcPr>
          <w:p w14:paraId="24CCDCEA"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3.3.</w:t>
            </w:r>
          </w:p>
        </w:tc>
        <w:tc>
          <w:tcPr>
            <w:tcW w:w="4678" w:type="dxa"/>
            <w:vAlign w:val="center"/>
          </w:tcPr>
          <w:p w14:paraId="6243C889"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Increase of electric grid equipment capacity utilization</w:t>
            </w:r>
          </w:p>
        </w:tc>
        <w:tc>
          <w:tcPr>
            <w:tcW w:w="3827" w:type="dxa"/>
            <w:vAlign w:val="center"/>
          </w:tcPr>
          <w:p w14:paraId="5D710D34" w14:textId="77777777" w:rsidR="00F3260C" w:rsidRPr="00BD295E" w:rsidRDefault="00C968B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Achieved</w:t>
            </w:r>
          </w:p>
        </w:tc>
      </w:tr>
      <w:tr w:rsidR="008A5057" w:rsidRPr="00BD295E" w14:paraId="1944F5F0" w14:textId="77777777" w:rsidTr="0031297B">
        <w:trPr>
          <w:trHeight w:val="397"/>
        </w:trPr>
        <w:tc>
          <w:tcPr>
            <w:tcW w:w="851" w:type="dxa"/>
            <w:vAlign w:val="center"/>
          </w:tcPr>
          <w:p w14:paraId="0C451F1D"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34</w:t>
            </w:r>
          </w:p>
        </w:tc>
        <w:tc>
          <w:tcPr>
            <w:tcW w:w="4678" w:type="dxa"/>
            <w:vAlign w:val="center"/>
          </w:tcPr>
          <w:p w14:paraId="52C75561"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Electricity losses</w:t>
            </w:r>
          </w:p>
        </w:tc>
        <w:tc>
          <w:tcPr>
            <w:tcW w:w="3827" w:type="dxa"/>
            <w:vAlign w:val="center"/>
          </w:tcPr>
          <w:p w14:paraId="44234CC5"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 11.51%</w:t>
            </w:r>
            <w:r w:rsidRPr="00BD295E">
              <w:rPr>
                <w:rFonts w:ascii="Arial" w:hAnsi="Arial" w:cs="Arial"/>
                <w:b/>
                <w:bCs/>
                <w:sz w:val="18"/>
                <w:szCs w:val="18"/>
                <w:vertAlign w:val="superscript"/>
                <w:lang w:val="en-US"/>
              </w:rPr>
              <w:t xml:space="preserve"> </w:t>
            </w:r>
          </w:p>
        </w:tc>
      </w:tr>
      <w:tr w:rsidR="008A5057" w:rsidRPr="00BD295E" w14:paraId="7FEEFCAA" w14:textId="77777777" w:rsidTr="0031297B">
        <w:trPr>
          <w:trHeight w:val="397"/>
        </w:trPr>
        <w:tc>
          <w:tcPr>
            <w:tcW w:w="851" w:type="dxa"/>
            <w:vAlign w:val="center"/>
          </w:tcPr>
          <w:p w14:paraId="059BBFE6"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35</w:t>
            </w:r>
          </w:p>
        </w:tc>
        <w:tc>
          <w:tcPr>
            <w:tcW w:w="4678" w:type="dxa"/>
            <w:vAlign w:val="center"/>
          </w:tcPr>
          <w:p w14:paraId="431D8783"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Decrease in per unit investment costs</w:t>
            </w:r>
          </w:p>
        </w:tc>
        <w:tc>
          <w:tcPr>
            <w:tcW w:w="3827" w:type="dxa"/>
            <w:vAlign w:val="center"/>
          </w:tcPr>
          <w:p w14:paraId="5EE485D4"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 1.00</w:t>
            </w:r>
          </w:p>
        </w:tc>
      </w:tr>
      <w:tr w:rsidR="008A5057" w:rsidRPr="00BD295E" w14:paraId="017D837C" w14:textId="77777777" w:rsidTr="0031297B">
        <w:trPr>
          <w:trHeight w:val="397"/>
        </w:trPr>
        <w:tc>
          <w:tcPr>
            <w:tcW w:w="851" w:type="dxa"/>
            <w:vAlign w:val="center"/>
          </w:tcPr>
          <w:p w14:paraId="0E60001E"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36</w:t>
            </w:r>
          </w:p>
        </w:tc>
        <w:tc>
          <w:tcPr>
            <w:tcW w:w="4678" w:type="dxa"/>
            <w:vAlign w:val="center"/>
          </w:tcPr>
          <w:p w14:paraId="13F14A34"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Increase in labor productivity</w:t>
            </w:r>
          </w:p>
        </w:tc>
        <w:tc>
          <w:tcPr>
            <w:tcW w:w="3827" w:type="dxa"/>
            <w:vAlign w:val="center"/>
          </w:tcPr>
          <w:p w14:paraId="2AB8756C"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 2%</w:t>
            </w:r>
          </w:p>
        </w:tc>
      </w:tr>
      <w:tr w:rsidR="008A5057" w:rsidRPr="00BD295E" w14:paraId="28AD70F4" w14:textId="77777777" w:rsidTr="0031297B">
        <w:trPr>
          <w:trHeight w:val="397"/>
        </w:trPr>
        <w:tc>
          <w:tcPr>
            <w:tcW w:w="851" w:type="dxa"/>
            <w:vAlign w:val="center"/>
          </w:tcPr>
          <w:p w14:paraId="4729D7F4"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37</w:t>
            </w:r>
          </w:p>
        </w:tc>
        <w:tc>
          <w:tcPr>
            <w:tcW w:w="4678" w:type="dxa"/>
            <w:vAlign w:val="center"/>
          </w:tcPr>
          <w:p w14:paraId="2B4E966B"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Innovation effectiveness</w:t>
            </w:r>
          </w:p>
        </w:tc>
        <w:tc>
          <w:tcPr>
            <w:tcW w:w="3827" w:type="dxa"/>
            <w:vAlign w:val="center"/>
          </w:tcPr>
          <w:p w14:paraId="00ED3F99"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 xml:space="preserve">≤ 90% </w:t>
            </w:r>
          </w:p>
        </w:tc>
      </w:tr>
      <w:tr w:rsidR="008A5057" w:rsidRPr="00BD295E" w14:paraId="1C811F1B" w14:textId="77777777" w:rsidTr="0031297B">
        <w:trPr>
          <w:trHeight w:val="397"/>
        </w:trPr>
        <w:tc>
          <w:tcPr>
            <w:tcW w:w="851" w:type="dxa"/>
            <w:vAlign w:val="center"/>
          </w:tcPr>
          <w:p w14:paraId="20D3061A"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38</w:t>
            </w:r>
          </w:p>
        </w:tc>
        <w:tc>
          <w:tcPr>
            <w:tcW w:w="4678" w:type="dxa"/>
            <w:vAlign w:val="center"/>
          </w:tcPr>
          <w:p w14:paraId="5A9DE108"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Performance against the commissioning schedule</w:t>
            </w:r>
          </w:p>
        </w:tc>
        <w:tc>
          <w:tcPr>
            <w:tcW w:w="3827" w:type="dxa"/>
            <w:vAlign w:val="center"/>
          </w:tcPr>
          <w:p w14:paraId="75CEE055"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 90%</w:t>
            </w:r>
          </w:p>
        </w:tc>
      </w:tr>
      <w:tr w:rsidR="008A5057" w:rsidRPr="00BD295E" w14:paraId="371FD736" w14:textId="77777777" w:rsidTr="0031297B">
        <w:trPr>
          <w:trHeight w:val="397"/>
        </w:trPr>
        <w:tc>
          <w:tcPr>
            <w:tcW w:w="851" w:type="dxa"/>
            <w:vAlign w:val="center"/>
          </w:tcPr>
          <w:p w14:paraId="20931CF6"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39</w:t>
            </w:r>
          </w:p>
        </w:tc>
        <w:tc>
          <w:tcPr>
            <w:tcW w:w="4678" w:type="dxa"/>
            <w:vAlign w:val="center"/>
          </w:tcPr>
          <w:p w14:paraId="46CACE27"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Performance against grid connection timelines</w:t>
            </w:r>
          </w:p>
        </w:tc>
        <w:tc>
          <w:tcPr>
            <w:tcW w:w="3827" w:type="dxa"/>
            <w:vAlign w:val="center"/>
          </w:tcPr>
          <w:p w14:paraId="6D537E44"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 1.1</w:t>
            </w:r>
          </w:p>
        </w:tc>
      </w:tr>
      <w:tr w:rsidR="008A5057" w:rsidRPr="00BD295E" w14:paraId="1B005D05" w14:textId="77777777" w:rsidTr="0031297B">
        <w:trPr>
          <w:trHeight w:val="397"/>
        </w:trPr>
        <w:tc>
          <w:tcPr>
            <w:tcW w:w="851" w:type="dxa"/>
            <w:vAlign w:val="center"/>
          </w:tcPr>
          <w:p w14:paraId="5B900AA8" w14:textId="77777777" w:rsidR="00F3260C" w:rsidRPr="00BD295E" w:rsidRDefault="008A5057" w:rsidP="0031297B">
            <w:pPr>
              <w:ind w:left="-426" w:firstLine="284"/>
              <w:jc w:val="center"/>
              <w:rPr>
                <w:rFonts w:ascii="Arial" w:hAnsi="Arial" w:cs="Arial"/>
                <w:b/>
                <w:sz w:val="18"/>
                <w:szCs w:val="18"/>
                <w:lang w:val="en-US"/>
              </w:rPr>
            </w:pPr>
            <w:r w:rsidRPr="00BD295E">
              <w:rPr>
                <w:rFonts w:ascii="Arial" w:hAnsi="Arial" w:cs="Arial"/>
                <w:b/>
                <w:sz w:val="18"/>
                <w:szCs w:val="18"/>
                <w:lang w:val="en-US"/>
              </w:rPr>
              <w:t>310</w:t>
            </w:r>
          </w:p>
        </w:tc>
        <w:tc>
          <w:tcPr>
            <w:tcW w:w="4678" w:type="dxa"/>
            <w:vAlign w:val="center"/>
          </w:tcPr>
          <w:p w14:paraId="3FF5B948"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Achievement of the service reliability level</w:t>
            </w:r>
          </w:p>
        </w:tc>
        <w:tc>
          <w:tcPr>
            <w:tcW w:w="3827" w:type="dxa"/>
            <w:vAlign w:val="center"/>
          </w:tcPr>
          <w:p w14:paraId="50D1C85C" w14:textId="77777777" w:rsidR="00F3260C" w:rsidRPr="00BD295E" w:rsidRDefault="008A5057" w:rsidP="0031297B">
            <w:pPr>
              <w:ind w:left="-426" w:firstLine="284"/>
              <w:jc w:val="center"/>
              <w:rPr>
                <w:rFonts w:ascii="Arial" w:hAnsi="Arial" w:cs="Arial"/>
                <w:b/>
                <w:bCs/>
                <w:sz w:val="18"/>
                <w:szCs w:val="18"/>
                <w:lang w:val="en-US"/>
              </w:rPr>
            </w:pPr>
            <w:r w:rsidRPr="00BD295E">
              <w:rPr>
                <w:rFonts w:ascii="Arial" w:hAnsi="Arial" w:cs="Arial"/>
                <w:b/>
                <w:bCs/>
                <w:sz w:val="18"/>
                <w:szCs w:val="18"/>
                <w:lang w:val="en-US"/>
              </w:rPr>
              <w:t>≤ 1.00</w:t>
            </w:r>
          </w:p>
        </w:tc>
      </w:tr>
    </w:tbl>
    <w:p w14:paraId="77FD5C5C"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The system of key performance indicators applied by the Company is linked to the size of the variable part of management remuneration: a specific weight set for each indicator is applied to the amount of bonuses to be paid, with quarterly and annual bonuses paid for achieving relevant KPIs.</w:t>
      </w:r>
    </w:p>
    <w:p w14:paraId="4DCD2391"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In accordance with the Regulations for Financial Incentives for the CEO of the Company, as approved by the Resolution of the Company’s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26, 2018 (Minutes No. 11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29, 2018), the following types and amounts of remuneration are payable to the Company’s CEO by Resolution of the Company’s Board of Directors:</w:t>
      </w:r>
    </w:p>
    <w:p w14:paraId="51DA4C1D" w14:textId="77777777" w:rsidR="00F3260C" w:rsidRPr="00BD295E" w:rsidRDefault="00F3260C" w:rsidP="00F3260C">
      <w:pPr>
        <w:ind w:firstLine="567"/>
        <w:jc w:val="both"/>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8A5057" w:rsidRPr="00BD295E" w14:paraId="029E56CE" w14:textId="77777777" w:rsidTr="00E3510B">
        <w:tc>
          <w:tcPr>
            <w:tcW w:w="4785" w:type="dxa"/>
            <w:shd w:val="clear" w:color="auto" w:fill="auto"/>
          </w:tcPr>
          <w:p w14:paraId="3EA6D797"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Remuneration type</w:t>
            </w:r>
          </w:p>
        </w:tc>
        <w:tc>
          <w:tcPr>
            <w:tcW w:w="4786" w:type="dxa"/>
            <w:shd w:val="clear" w:color="auto" w:fill="auto"/>
          </w:tcPr>
          <w:p w14:paraId="21A99AA4"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Remuneration amount</w:t>
            </w:r>
          </w:p>
        </w:tc>
      </w:tr>
      <w:tr w:rsidR="008A5057" w:rsidRPr="00BD295E" w14:paraId="4BB9C060" w14:textId="77777777" w:rsidTr="00E3510B">
        <w:tc>
          <w:tcPr>
            <w:tcW w:w="4785" w:type="dxa"/>
            <w:shd w:val="clear" w:color="auto" w:fill="auto"/>
          </w:tcPr>
          <w:p w14:paraId="0F74CC6B"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Bonus for meeting KPIs for the quarter</w:t>
            </w:r>
          </w:p>
        </w:tc>
        <w:tc>
          <w:tcPr>
            <w:tcW w:w="4786" w:type="dxa"/>
            <w:shd w:val="clear" w:color="auto" w:fill="auto"/>
          </w:tcPr>
          <w:p w14:paraId="0ED2E57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1.5 official salary</w:t>
            </w:r>
          </w:p>
        </w:tc>
      </w:tr>
      <w:tr w:rsidR="008A5057" w:rsidRPr="00BD295E" w14:paraId="1B9A262F" w14:textId="77777777" w:rsidTr="00E3510B">
        <w:tc>
          <w:tcPr>
            <w:tcW w:w="4785" w:type="dxa"/>
            <w:shd w:val="clear" w:color="auto" w:fill="auto"/>
          </w:tcPr>
          <w:p w14:paraId="3015FAEB"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Bonus for meeting KPIs for the year</w:t>
            </w:r>
          </w:p>
        </w:tc>
        <w:tc>
          <w:tcPr>
            <w:tcW w:w="4786" w:type="dxa"/>
            <w:shd w:val="clear" w:color="auto" w:fill="auto"/>
          </w:tcPr>
          <w:p w14:paraId="5647CD4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12 official salaries</w:t>
            </w:r>
          </w:p>
        </w:tc>
      </w:tr>
      <w:tr w:rsidR="008A5057" w:rsidRPr="00BD295E" w14:paraId="791908AA" w14:textId="77777777" w:rsidTr="00E3510B">
        <w:tc>
          <w:tcPr>
            <w:tcW w:w="4785" w:type="dxa"/>
            <w:shd w:val="clear" w:color="auto" w:fill="auto"/>
          </w:tcPr>
          <w:p w14:paraId="03B79E50"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Premium for working with information that constitutes state secret</w:t>
            </w:r>
          </w:p>
        </w:tc>
        <w:tc>
          <w:tcPr>
            <w:tcW w:w="4786" w:type="dxa"/>
            <w:shd w:val="clear" w:color="auto" w:fill="auto"/>
          </w:tcPr>
          <w:p w14:paraId="3641103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 xml:space="preserve">The amount of this premium is set as a percentage of the base salary (in accordance with the </w:t>
            </w:r>
            <w:r w:rsidRPr="00BD295E">
              <w:rPr>
                <w:rFonts w:ascii="Arial" w:hAnsi="Arial" w:cs="Arial"/>
                <w:i/>
                <w:iCs/>
                <w:sz w:val="18"/>
                <w:szCs w:val="18"/>
                <w:lang w:val="en-US"/>
              </w:rPr>
              <w:t>Rules for paying monthly percentage-based premiums for the base salary (tariff rate) for individuals who have access to state secrets on a permanent basis and employees of structural units responsible for protection of state secrets</w:t>
            </w:r>
            <w:r w:rsidRPr="00BD295E">
              <w:rPr>
                <w:rFonts w:ascii="Arial" w:hAnsi="Arial" w:cs="Arial"/>
                <w:sz w:val="18"/>
                <w:szCs w:val="18"/>
                <w:lang w:val="en-US"/>
              </w:rPr>
              <w:t xml:space="preserve"> as approved by the Resolution No. 573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18, 2006)</w:t>
            </w:r>
          </w:p>
        </w:tc>
      </w:tr>
      <w:tr w:rsidR="008A5057" w:rsidRPr="00BD295E" w14:paraId="7505703C" w14:textId="77777777" w:rsidTr="00E3510B">
        <w:tc>
          <w:tcPr>
            <w:tcW w:w="4785" w:type="dxa"/>
            <w:shd w:val="clear" w:color="auto" w:fill="auto"/>
          </w:tcPr>
          <w:p w14:paraId="506E626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Additional bonus for meeting the conditions (strategic priorities) set by the Company’s Board of Directors for the year</w:t>
            </w:r>
          </w:p>
        </w:tc>
        <w:tc>
          <w:tcPr>
            <w:tcW w:w="4786" w:type="dxa"/>
            <w:shd w:val="clear" w:color="auto" w:fill="auto"/>
          </w:tcPr>
          <w:p w14:paraId="35C22B5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6 official salaries</w:t>
            </w:r>
          </w:p>
        </w:tc>
      </w:tr>
      <w:tr w:rsidR="008A5057" w:rsidRPr="00BD295E" w14:paraId="27BA9680" w14:textId="77777777" w:rsidTr="00E3510B">
        <w:tc>
          <w:tcPr>
            <w:tcW w:w="4785" w:type="dxa"/>
            <w:shd w:val="clear" w:color="auto" w:fill="auto"/>
          </w:tcPr>
          <w:p w14:paraId="6CAFA08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Bonus for achieving a high KPI defined as a priority by the Board of Directors of the Company</w:t>
            </w:r>
          </w:p>
        </w:tc>
        <w:tc>
          <w:tcPr>
            <w:tcW w:w="4786" w:type="dxa"/>
            <w:shd w:val="clear" w:color="auto" w:fill="auto"/>
          </w:tcPr>
          <w:p w14:paraId="28AD9F0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1% of net profit</w:t>
            </w:r>
          </w:p>
        </w:tc>
      </w:tr>
      <w:tr w:rsidR="008A5057" w:rsidRPr="00BD295E" w14:paraId="65CE276A" w14:textId="77777777" w:rsidTr="00E3510B">
        <w:tc>
          <w:tcPr>
            <w:tcW w:w="4785" w:type="dxa"/>
            <w:shd w:val="clear" w:color="auto" w:fill="auto"/>
          </w:tcPr>
          <w:p w14:paraId="3C2C86D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Bonus for performing a particularly important assignment (job)</w:t>
            </w:r>
          </w:p>
        </w:tc>
        <w:tc>
          <w:tcPr>
            <w:tcW w:w="4786" w:type="dxa"/>
            <w:shd w:val="clear" w:color="auto" w:fill="auto"/>
          </w:tcPr>
          <w:p w14:paraId="133EA860"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6 times the official salary per assignment</w:t>
            </w:r>
          </w:p>
        </w:tc>
      </w:tr>
    </w:tbl>
    <w:p w14:paraId="30CB04B8" w14:textId="77777777" w:rsidR="00F3260C" w:rsidRPr="00BD295E" w:rsidRDefault="00F3260C" w:rsidP="00F3260C">
      <w:pPr>
        <w:ind w:firstLine="708"/>
        <w:jc w:val="both"/>
        <w:rPr>
          <w:rFonts w:ascii="Arial" w:hAnsi="Arial" w:cs="Arial"/>
          <w:sz w:val="18"/>
          <w:szCs w:val="18"/>
          <w:lang w:val="en-US"/>
        </w:rPr>
      </w:pPr>
    </w:p>
    <w:p w14:paraId="7780E04E" w14:textId="77777777" w:rsidR="00F3260C" w:rsidRPr="00BD295E" w:rsidRDefault="008A5057" w:rsidP="00F3260C">
      <w:pPr>
        <w:ind w:firstLine="567"/>
        <w:jc w:val="both"/>
        <w:rPr>
          <w:rFonts w:ascii="Arial" w:hAnsi="Arial" w:cs="Arial"/>
          <w:sz w:val="18"/>
          <w:szCs w:val="18"/>
          <w:lang w:val="en-US"/>
        </w:rPr>
      </w:pPr>
      <w:r w:rsidRPr="00BD295E">
        <w:rPr>
          <w:rFonts w:ascii="Arial" w:hAnsi="Arial" w:cs="Arial"/>
          <w:sz w:val="18"/>
          <w:szCs w:val="18"/>
          <w:lang w:val="en-US"/>
        </w:rPr>
        <w:t xml:space="preserve">In accordance with the Regulations for Financial Incentives and the Social Benefits for the Company’s Top Managers as approved by the Resolution of the Company’s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July 22, 2011 (Minutes No. 1 </w:t>
      </w:r>
      <w:r w:rsidR="008B183C" w:rsidRPr="00BD295E">
        <w:rPr>
          <w:rFonts w:ascii="Arial" w:hAnsi="Arial" w:cs="Arial"/>
          <w:sz w:val="18"/>
          <w:szCs w:val="18"/>
          <w:lang w:val="en-US"/>
        </w:rPr>
        <w:t>of</w:t>
      </w:r>
      <w:r w:rsidRPr="00BD295E">
        <w:rPr>
          <w:rFonts w:ascii="Arial" w:hAnsi="Arial" w:cs="Arial"/>
          <w:sz w:val="18"/>
          <w:szCs w:val="18"/>
          <w:lang w:val="en-US"/>
        </w:rPr>
        <w:t xml:space="preserve"> July 25, 2011), the following types and amounts of remuneration are payable to the Company’s top managers by Resolution of the Company’s CEO:</w:t>
      </w:r>
    </w:p>
    <w:p w14:paraId="262A0BE5" w14:textId="77777777" w:rsidR="00F3260C" w:rsidRPr="00BD295E" w:rsidRDefault="00F3260C" w:rsidP="00F3260C">
      <w:pPr>
        <w:ind w:firstLine="567"/>
        <w:jc w:val="both"/>
        <w:rPr>
          <w:rFonts w:ascii="Arial" w:hAnsi="Arial" w:cs="Arial"/>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0"/>
        <w:gridCol w:w="4675"/>
      </w:tblGrid>
      <w:tr w:rsidR="008A5057" w:rsidRPr="00BD295E" w14:paraId="2D745B9E" w14:textId="77777777" w:rsidTr="00E3510B">
        <w:tc>
          <w:tcPr>
            <w:tcW w:w="4785" w:type="dxa"/>
            <w:shd w:val="clear" w:color="auto" w:fill="auto"/>
          </w:tcPr>
          <w:p w14:paraId="361717E6"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Remuneration type</w:t>
            </w:r>
          </w:p>
        </w:tc>
        <w:tc>
          <w:tcPr>
            <w:tcW w:w="4786" w:type="dxa"/>
            <w:shd w:val="clear" w:color="auto" w:fill="auto"/>
          </w:tcPr>
          <w:p w14:paraId="2EFCA5E0" w14:textId="77777777" w:rsidR="00F3260C" w:rsidRPr="00BD295E" w:rsidRDefault="008A5057" w:rsidP="00E3510B">
            <w:pPr>
              <w:jc w:val="center"/>
              <w:rPr>
                <w:rFonts w:ascii="Arial" w:hAnsi="Arial" w:cs="Arial"/>
                <w:b/>
                <w:sz w:val="18"/>
                <w:szCs w:val="18"/>
                <w:lang w:val="en-US"/>
              </w:rPr>
            </w:pPr>
            <w:r w:rsidRPr="00BD295E">
              <w:rPr>
                <w:rFonts w:ascii="Arial" w:hAnsi="Arial" w:cs="Arial"/>
                <w:b/>
                <w:sz w:val="18"/>
                <w:szCs w:val="18"/>
                <w:lang w:val="en-US"/>
              </w:rPr>
              <w:t>Remuneration amount</w:t>
            </w:r>
          </w:p>
        </w:tc>
      </w:tr>
      <w:tr w:rsidR="008A5057" w:rsidRPr="00BD295E" w14:paraId="1C707F0E" w14:textId="77777777" w:rsidTr="00E3510B">
        <w:tc>
          <w:tcPr>
            <w:tcW w:w="4785" w:type="dxa"/>
            <w:shd w:val="clear" w:color="auto" w:fill="auto"/>
          </w:tcPr>
          <w:p w14:paraId="63EB7CA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Bonus for meeting KPIs for the quarter</w:t>
            </w:r>
          </w:p>
        </w:tc>
        <w:tc>
          <w:tcPr>
            <w:tcW w:w="4786" w:type="dxa"/>
            <w:shd w:val="clear" w:color="auto" w:fill="auto"/>
          </w:tcPr>
          <w:p w14:paraId="5C1B3FE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1.5 official salary</w:t>
            </w:r>
          </w:p>
        </w:tc>
      </w:tr>
      <w:tr w:rsidR="008A5057" w:rsidRPr="00BD295E" w14:paraId="0B09B862" w14:textId="77777777" w:rsidTr="00E3510B">
        <w:tc>
          <w:tcPr>
            <w:tcW w:w="4785" w:type="dxa"/>
            <w:shd w:val="clear" w:color="auto" w:fill="auto"/>
          </w:tcPr>
          <w:p w14:paraId="22C6FDA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Bonus for meeting KPIs for the year</w:t>
            </w:r>
          </w:p>
        </w:tc>
        <w:tc>
          <w:tcPr>
            <w:tcW w:w="4786" w:type="dxa"/>
            <w:shd w:val="clear" w:color="auto" w:fill="auto"/>
          </w:tcPr>
          <w:p w14:paraId="46FDA0AC"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12 official salaries</w:t>
            </w:r>
          </w:p>
        </w:tc>
      </w:tr>
      <w:tr w:rsidR="008A5057" w:rsidRPr="00BD295E" w14:paraId="366E9FBB" w14:textId="77777777" w:rsidTr="00E3510B">
        <w:tc>
          <w:tcPr>
            <w:tcW w:w="4785" w:type="dxa"/>
            <w:shd w:val="clear" w:color="auto" w:fill="auto"/>
          </w:tcPr>
          <w:p w14:paraId="0EF34F8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A personal premium when elected a Member of the Management Board of the Company</w:t>
            </w:r>
          </w:p>
        </w:tc>
        <w:tc>
          <w:tcPr>
            <w:tcW w:w="4786" w:type="dxa"/>
            <w:shd w:val="clear" w:color="auto" w:fill="auto"/>
          </w:tcPr>
          <w:p w14:paraId="273EFCA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15% of the official salary</w:t>
            </w:r>
          </w:p>
        </w:tc>
      </w:tr>
      <w:tr w:rsidR="008A5057" w:rsidRPr="00BD295E" w14:paraId="4491AFFB" w14:textId="77777777" w:rsidTr="00E3510B">
        <w:tc>
          <w:tcPr>
            <w:tcW w:w="4785" w:type="dxa"/>
            <w:shd w:val="clear" w:color="auto" w:fill="auto"/>
          </w:tcPr>
          <w:p w14:paraId="4CF28A5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Premium for working with information that constitutes state secret</w:t>
            </w:r>
          </w:p>
        </w:tc>
        <w:tc>
          <w:tcPr>
            <w:tcW w:w="4786" w:type="dxa"/>
            <w:shd w:val="clear" w:color="auto" w:fill="auto"/>
          </w:tcPr>
          <w:p w14:paraId="0FB241C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 xml:space="preserve">The amount of this premium is set as a percentage of the base salary (in accordance with the </w:t>
            </w:r>
            <w:r w:rsidRPr="00BD295E">
              <w:rPr>
                <w:rFonts w:ascii="Arial" w:hAnsi="Arial" w:cs="Arial"/>
                <w:i/>
                <w:iCs/>
                <w:sz w:val="18"/>
                <w:szCs w:val="18"/>
                <w:lang w:val="en-US"/>
              </w:rPr>
              <w:t>Rules for paying monthly percentage-based premiums for the base salary (tariff rate) for individuals who have access to state secrets on a permanent basis and employees of structural units responsible for protection of state secrets</w:t>
            </w:r>
            <w:r w:rsidRPr="00BD295E">
              <w:rPr>
                <w:rFonts w:ascii="Arial" w:hAnsi="Arial" w:cs="Arial"/>
                <w:sz w:val="18"/>
                <w:szCs w:val="18"/>
                <w:lang w:val="en-US"/>
              </w:rPr>
              <w:t xml:space="preserve"> as approved by the Resolution No. 573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18, 2006)</w:t>
            </w:r>
          </w:p>
        </w:tc>
      </w:tr>
      <w:tr w:rsidR="008A5057" w:rsidRPr="00BD295E" w14:paraId="7FE0DACE" w14:textId="77777777" w:rsidTr="00E3510B">
        <w:tc>
          <w:tcPr>
            <w:tcW w:w="4785" w:type="dxa"/>
            <w:shd w:val="clear" w:color="auto" w:fill="auto"/>
          </w:tcPr>
          <w:p w14:paraId="2418F75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Additional bonus for meeting the conditions (strategic priorities) set by the Company’s Board of Directors for the year</w:t>
            </w:r>
          </w:p>
        </w:tc>
        <w:tc>
          <w:tcPr>
            <w:tcW w:w="4786" w:type="dxa"/>
            <w:shd w:val="clear" w:color="auto" w:fill="auto"/>
          </w:tcPr>
          <w:p w14:paraId="6CD69A0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4 official salaries</w:t>
            </w:r>
          </w:p>
        </w:tc>
      </w:tr>
      <w:tr w:rsidR="008A5057" w:rsidRPr="00BD295E" w14:paraId="168670CE" w14:textId="77777777" w:rsidTr="00E3510B">
        <w:tc>
          <w:tcPr>
            <w:tcW w:w="4785" w:type="dxa"/>
            <w:shd w:val="clear" w:color="auto" w:fill="auto"/>
          </w:tcPr>
          <w:p w14:paraId="70371B3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Bonus for achieving a high KPI defined as a priority by the Company’s CEO</w:t>
            </w:r>
          </w:p>
        </w:tc>
        <w:tc>
          <w:tcPr>
            <w:tcW w:w="4786" w:type="dxa"/>
            <w:shd w:val="clear" w:color="auto" w:fill="auto"/>
          </w:tcPr>
          <w:p w14:paraId="0D1C6CCB"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The amount of the special bonus payable to the CEO and approved by the Company's Board of Directors (cumulatively for all top managers)</w:t>
            </w:r>
          </w:p>
        </w:tc>
      </w:tr>
      <w:tr w:rsidR="008A5057" w:rsidRPr="00BD295E" w14:paraId="634B0180" w14:textId="77777777" w:rsidTr="00E3510B">
        <w:tc>
          <w:tcPr>
            <w:tcW w:w="4785" w:type="dxa"/>
            <w:shd w:val="clear" w:color="auto" w:fill="auto"/>
          </w:tcPr>
          <w:p w14:paraId="3EA2462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Bonus for performing a particularly important assignment (job)</w:t>
            </w:r>
          </w:p>
        </w:tc>
        <w:tc>
          <w:tcPr>
            <w:tcW w:w="4786" w:type="dxa"/>
            <w:shd w:val="clear" w:color="auto" w:fill="auto"/>
          </w:tcPr>
          <w:p w14:paraId="7269622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3 official salaries per assignment – by Resolution of the Company's CEO, it may not exceed 6 official salaries per year</w:t>
            </w:r>
          </w:p>
          <w:p w14:paraId="4FE6C61C"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 on the recommendation of the Board of Directors: without taking account of restrictions set out in these Regulations</w:t>
            </w:r>
          </w:p>
        </w:tc>
      </w:tr>
      <w:tr w:rsidR="008A5057" w:rsidRPr="00BD295E" w14:paraId="583EC9EF" w14:textId="77777777" w:rsidTr="00E3510B">
        <w:tc>
          <w:tcPr>
            <w:tcW w:w="4785" w:type="dxa"/>
            <w:shd w:val="clear" w:color="auto" w:fill="auto"/>
          </w:tcPr>
          <w:p w14:paraId="4F8589D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Lump sum payment for each standard vacation</w:t>
            </w:r>
          </w:p>
        </w:tc>
        <w:tc>
          <w:tcPr>
            <w:tcW w:w="4786" w:type="dxa"/>
            <w:shd w:val="clear" w:color="auto" w:fill="auto"/>
          </w:tcPr>
          <w:p w14:paraId="51056D4B"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up to 1 official salary</w:t>
            </w:r>
          </w:p>
        </w:tc>
      </w:tr>
    </w:tbl>
    <w:p w14:paraId="7BD5C10B" w14:textId="77777777" w:rsidR="00F3260C" w:rsidRPr="00BD295E" w:rsidRDefault="00F3260C" w:rsidP="00F3260C">
      <w:pPr>
        <w:jc w:val="both"/>
        <w:rPr>
          <w:rFonts w:ascii="Arial" w:hAnsi="Arial" w:cs="Arial"/>
          <w:b/>
          <w:sz w:val="18"/>
          <w:szCs w:val="18"/>
          <w:lang w:val="en-US"/>
        </w:rPr>
      </w:pPr>
    </w:p>
    <w:p w14:paraId="525BC06D"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criteria for determining and the amount of remuneration of the Company’s CEO are set out in the employment contract and the Regulations for Financial Incentives as approved by the Board of Directors of the Company (Minutes No. 11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29, 2018).</w:t>
      </w:r>
    </w:p>
    <w:p w14:paraId="24F1F223"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Bonuses are paid to the Company’s CEO based on performance against the KPIs set by the Company's Board of Directors for the relevant reporting periods (quarter and year).</w:t>
      </w:r>
    </w:p>
    <w:p w14:paraId="70E2E8B3" w14:textId="77777777" w:rsidR="00F3260C" w:rsidRPr="00BD295E" w:rsidRDefault="008A5057" w:rsidP="00C968B7">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By its Resolution </w:t>
      </w:r>
      <w:r w:rsidR="008B183C" w:rsidRPr="00BD295E">
        <w:rPr>
          <w:rFonts w:ascii="Arial" w:hAnsi="Arial" w:cs="Arial"/>
          <w:sz w:val="18"/>
          <w:szCs w:val="18"/>
          <w:lang w:val="en-US"/>
        </w:rPr>
        <w:t>of</w:t>
      </w:r>
      <w:r w:rsidRPr="00BD295E">
        <w:rPr>
          <w:rFonts w:ascii="Arial" w:hAnsi="Arial" w:cs="Arial"/>
          <w:sz w:val="18"/>
          <w:szCs w:val="18"/>
          <w:lang w:val="en-US"/>
        </w:rPr>
        <w:t xml:space="preserve"> April 14, 2017 (Minutes No. 31 </w:t>
      </w:r>
      <w:r w:rsidR="008B183C" w:rsidRPr="00BD295E">
        <w:rPr>
          <w:rFonts w:ascii="Arial" w:hAnsi="Arial" w:cs="Arial"/>
          <w:sz w:val="18"/>
          <w:szCs w:val="18"/>
          <w:lang w:val="en-US"/>
        </w:rPr>
        <w:t>of</w:t>
      </w:r>
      <w:r w:rsidRPr="00BD295E">
        <w:rPr>
          <w:rFonts w:ascii="Arial" w:hAnsi="Arial" w:cs="Arial"/>
          <w:sz w:val="18"/>
          <w:szCs w:val="18"/>
          <w:lang w:val="en-US"/>
        </w:rPr>
        <w:t xml:space="preserve"> April 19, 2017), the Company’s Board of Directors approved the Methodology for Calculating and Evaluating Performance against the Key Performance Indicators of the Company’s CEO.</w:t>
      </w:r>
    </w:p>
    <w:p w14:paraId="4C061FE0" w14:textId="77777777" w:rsidR="00F3260C" w:rsidRPr="00BD295E" w:rsidRDefault="00F3260C" w:rsidP="00F3260C">
      <w:pPr>
        <w:jc w:val="both"/>
        <w:rPr>
          <w:rFonts w:ascii="Arial" w:hAnsi="Arial" w:cs="Arial"/>
          <w:b/>
          <w:sz w:val="18"/>
          <w:szCs w:val="18"/>
          <w:lang w:val="en-US"/>
        </w:rPr>
      </w:pPr>
    </w:p>
    <w:p w14:paraId="2201B02A" w14:textId="77777777" w:rsidR="00F3260C" w:rsidRPr="00BD295E" w:rsidRDefault="008A5057" w:rsidP="00F3260C">
      <w:pPr>
        <w:jc w:val="both"/>
        <w:rPr>
          <w:rFonts w:ascii="Arial" w:hAnsi="Arial" w:cs="Arial"/>
          <w:b/>
          <w:sz w:val="18"/>
          <w:szCs w:val="18"/>
          <w:lang w:val="en-US"/>
        </w:rPr>
      </w:pPr>
      <w:r w:rsidRPr="00BD295E">
        <w:rPr>
          <w:rFonts w:ascii="Arial" w:hAnsi="Arial" w:cs="Arial"/>
          <w:b/>
          <w:bCs/>
          <w:sz w:val="18"/>
          <w:szCs w:val="18"/>
          <w:lang w:val="en-US"/>
        </w:rPr>
        <w:t>Total amount of remuneration and compensations paid to members of the Company’s Management Board in 2018 (including taxes)</w:t>
      </w:r>
      <w:r w:rsidRPr="00BD295E">
        <w:rPr>
          <w:rFonts w:ascii="Arial" w:hAnsi="Arial" w:cs="Arial"/>
          <w:sz w:val="18"/>
          <w:szCs w:val="18"/>
          <w:lang w:val="en-US"/>
        </w:rPr>
        <w:t xml:space="preserve"> (excluding remuneration paid to R.N. Berdnikov, Acting CEO of </w:t>
      </w:r>
      <w:r w:rsidR="00EE5753" w:rsidRPr="00BD295E">
        <w:rPr>
          <w:rFonts w:ascii="Arial" w:hAnsi="Arial" w:cs="Arial"/>
          <w:sz w:val="18"/>
          <w:szCs w:val="18"/>
          <w:lang w:val="en-US"/>
        </w:rPr>
        <w:t>PJSC “Lenenergo”</w:t>
      </w:r>
      <w:r w:rsidRPr="00BD295E">
        <w:rPr>
          <w:rFonts w:ascii="Arial" w:hAnsi="Arial" w:cs="Arial"/>
          <w:sz w:val="18"/>
          <w:szCs w:val="18"/>
          <w:lang w:val="en-US"/>
        </w:rPr>
        <w:t>, as a member of the Board of Directors and CEO):</w:t>
      </w:r>
    </w:p>
    <w:p w14:paraId="35D0024A" w14:textId="77777777" w:rsidR="00F3260C" w:rsidRPr="00BD295E" w:rsidRDefault="00F3260C" w:rsidP="00F3260C">
      <w:pPr>
        <w:jc w:val="both"/>
        <w:rPr>
          <w:rFonts w:ascii="Arial" w:hAnsi="Arial" w:cs="Arial"/>
          <w:sz w:val="18"/>
          <w:szCs w:val="18"/>
          <w:lang w:val="en-U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275"/>
        <w:gridCol w:w="1701"/>
        <w:gridCol w:w="1843"/>
        <w:gridCol w:w="1701"/>
        <w:gridCol w:w="1418"/>
      </w:tblGrid>
      <w:tr w:rsidR="008A5057" w:rsidRPr="00BD295E" w14:paraId="6FA613C1" w14:textId="77777777" w:rsidTr="00E3510B">
        <w:tc>
          <w:tcPr>
            <w:tcW w:w="1555" w:type="dxa"/>
            <w:shd w:val="clear" w:color="auto" w:fill="auto"/>
          </w:tcPr>
          <w:p w14:paraId="07F4B238" w14:textId="77777777" w:rsidR="00F3260C" w:rsidRPr="00BD295E" w:rsidRDefault="008A5057" w:rsidP="0031297B">
            <w:pPr>
              <w:rPr>
                <w:rFonts w:ascii="Arial" w:hAnsi="Arial" w:cs="Arial"/>
                <w:b/>
                <w:sz w:val="18"/>
                <w:szCs w:val="18"/>
                <w:u w:val="single"/>
                <w:lang w:val="en-US"/>
              </w:rPr>
            </w:pPr>
            <w:r w:rsidRPr="00BD295E">
              <w:rPr>
                <w:rFonts w:ascii="Arial" w:hAnsi="Arial" w:cs="Arial"/>
                <w:b/>
                <w:sz w:val="18"/>
                <w:szCs w:val="18"/>
                <w:lang w:val="en-US"/>
              </w:rPr>
              <w:t>Full name</w:t>
            </w:r>
          </w:p>
        </w:tc>
        <w:tc>
          <w:tcPr>
            <w:tcW w:w="1275" w:type="dxa"/>
            <w:shd w:val="clear" w:color="auto" w:fill="auto"/>
          </w:tcPr>
          <w:p w14:paraId="5165BFF2" w14:textId="77777777" w:rsidR="00F3260C" w:rsidRPr="00BD295E" w:rsidRDefault="008A5057" w:rsidP="0031297B">
            <w:pPr>
              <w:rPr>
                <w:rFonts w:ascii="Arial" w:hAnsi="Arial" w:cs="Arial"/>
                <w:b/>
                <w:sz w:val="18"/>
                <w:szCs w:val="18"/>
                <w:u w:val="single"/>
                <w:lang w:val="en-US"/>
              </w:rPr>
            </w:pPr>
            <w:r w:rsidRPr="00BD295E">
              <w:rPr>
                <w:rFonts w:ascii="Arial" w:hAnsi="Arial" w:cs="Arial"/>
                <w:b/>
                <w:sz w:val="18"/>
                <w:szCs w:val="18"/>
                <w:lang w:val="en-US"/>
              </w:rPr>
              <w:t>Salary</w:t>
            </w:r>
          </w:p>
        </w:tc>
        <w:tc>
          <w:tcPr>
            <w:tcW w:w="1701" w:type="dxa"/>
            <w:shd w:val="clear" w:color="auto" w:fill="auto"/>
          </w:tcPr>
          <w:p w14:paraId="47818A32" w14:textId="77777777" w:rsidR="00F3260C" w:rsidRPr="00BD295E" w:rsidRDefault="008A5057" w:rsidP="0031297B">
            <w:pPr>
              <w:rPr>
                <w:rFonts w:ascii="Arial" w:hAnsi="Arial" w:cs="Arial"/>
                <w:b/>
                <w:sz w:val="18"/>
                <w:szCs w:val="18"/>
                <w:u w:val="single"/>
                <w:lang w:val="en-US"/>
              </w:rPr>
            </w:pPr>
            <w:r w:rsidRPr="00BD295E">
              <w:rPr>
                <w:rFonts w:ascii="Arial" w:hAnsi="Arial" w:cs="Arial"/>
                <w:b/>
                <w:sz w:val="18"/>
                <w:szCs w:val="18"/>
                <w:lang w:val="en-US"/>
              </w:rPr>
              <w:t>Bonuses, commissions, compensations</w:t>
            </w:r>
          </w:p>
        </w:tc>
        <w:tc>
          <w:tcPr>
            <w:tcW w:w="1843" w:type="dxa"/>
            <w:shd w:val="clear" w:color="auto" w:fill="auto"/>
          </w:tcPr>
          <w:p w14:paraId="4F9F6D7D" w14:textId="77777777" w:rsidR="00F3260C" w:rsidRPr="00BD295E" w:rsidRDefault="008A5057" w:rsidP="0031297B">
            <w:pPr>
              <w:rPr>
                <w:rFonts w:ascii="Arial" w:hAnsi="Arial" w:cs="Arial"/>
                <w:b/>
                <w:sz w:val="18"/>
                <w:szCs w:val="18"/>
                <w:u w:val="single"/>
                <w:lang w:val="en-US"/>
              </w:rPr>
            </w:pPr>
            <w:r w:rsidRPr="00BD295E">
              <w:rPr>
                <w:rFonts w:ascii="Arial" w:hAnsi="Arial" w:cs="Arial"/>
                <w:b/>
                <w:sz w:val="18"/>
                <w:szCs w:val="18"/>
                <w:lang w:val="en-US"/>
              </w:rPr>
              <w:t>Remuneration paid as to members of the Management Board</w:t>
            </w:r>
          </w:p>
        </w:tc>
        <w:tc>
          <w:tcPr>
            <w:tcW w:w="1701" w:type="dxa"/>
            <w:shd w:val="clear" w:color="auto" w:fill="auto"/>
          </w:tcPr>
          <w:p w14:paraId="32383FA2" w14:textId="77777777" w:rsidR="00F3260C" w:rsidRPr="00BD295E" w:rsidRDefault="008A5057" w:rsidP="0031297B">
            <w:pPr>
              <w:rPr>
                <w:rFonts w:ascii="Arial" w:hAnsi="Arial" w:cs="Arial"/>
                <w:b/>
                <w:sz w:val="18"/>
                <w:szCs w:val="18"/>
                <w:u w:val="single"/>
                <w:lang w:val="en-US"/>
              </w:rPr>
            </w:pPr>
            <w:r w:rsidRPr="00BD295E">
              <w:rPr>
                <w:rFonts w:ascii="Arial" w:hAnsi="Arial" w:cs="Arial"/>
                <w:b/>
                <w:sz w:val="18"/>
                <w:szCs w:val="18"/>
                <w:lang w:val="en-US"/>
              </w:rPr>
              <w:t>Other remuneration</w:t>
            </w:r>
          </w:p>
        </w:tc>
        <w:tc>
          <w:tcPr>
            <w:tcW w:w="1418" w:type="dxa"/>
            <w:shd w:val="clear" w:color="auto" w:fill="auto"/>
          </w:tcPr>
          <w:p w14:paraId="32EE00EB" w14:textId="77777777" w:rsidR="00F3260C" w:rsidRPr="00BD295E" w:rsidRDefault="008A5057" w:rsidP="0031297B">
            <w:pPr>
              <w:rPr>
                <w:rFonts w:ascii="Arial" w:hAnsi="Arial" w:cs="Arial"/>
                <w:b/>
                <w:sz w:val="18"/>
                <w:szCs w:val="18"/>
                <w:u w:val="single"/>
                <w:lang w:val="en-US"/>
              </w:rPr>
            </w:pPr>
            <w:r w:rsidRPr="00BD295E">
              <w:rPr>
                <w:rFonts w:ascii="Arial" w:hAnsi="Arial" w:cs="Arial"/>
                <w:b/>
                <w:sz w:val="18"/>
                <w:szCs w:val="18"/>
                <w:lang w:val="en-US"/>
              </w:rPr>
              <w:t>Total</w:t>
            </w:r>
          </w:p>
        </w:tc>
      </w:tr>
      <w:tr w:rsidR="008A5057" w:rsidRPr="00BD295E" w14:paraId="7AF43838" w14:textId="77777777" w:rsidTr="00E3510B">
        <w:tc>
          <w:tcPr>
            <w:tcW w:w="1555" w:type="dxa"/>
            <w:shd w:val="clear" w:color="auto" w:fill="auto"/>
          </w:tcPr>
          <w:p w14:paraId="5150D1E4"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A.V. Ryumin</w:t>
            </w:r>
          </w:p>
        </w:tc>
        <w:tc>
          <w:tcPr>
            <w:tcW w:w="1275" w:type="dxa"/>
            <w:shd w:val="clear" w:color="auto" w:fill="auto"/>
          </w:tcPr>
          <w:p w14:paraId="2490FE8F" w14:textId="77777777" w:rsidR="00F3260C" w:rsidRPr="00BD295E" w:rsidRDefault="00F3260C" w:rsidP="00E3510B">
            <w:pPr>
              <w:jc w:val="both"/>
              <w:rPr>
                <w:rFonts w:ascii="Arial" w:hAnsi="Arial" w:cs="Arial"/>
                <w:sz w:val="18"/>
                <w:szCs w:val="18"/>
                <w:lang w:val="en-US"/>
              </w:rPr>
            </w:pPr>
          </w:p>
        </w:tc>
        <w:tc>
          <w:tcPr>
            <w:tcW w:w="1701" w:type="dxa"/>
            <w:shd w:val="clear" w:color="auto" w:fill="auto"/>
          </w:tcPr>
          <w:p w14:paraId="6982688C" w14:textId="77777777" w:rsidR="00F3260C" w:rsidRPr="00BD295E" w:rsidRDefault="00F3260C" w:rsidP="0031297B">
            <w:pPr>
              <w:rPr>
                <w:rFonts w:ascii="Arial" w:hAnsi="Arial" w:cs="Arial"/>
                <w:sz w:val="18"/>
                <w:szCs w:val="18"/>
                <w:lang w:val="en-US"/>
              </w:rPr>
            </w:pPr>
          </w:p>
        </w:tc>
        <w:tc>
          <w:tcPr>
            <w:tcW w:w="1843" w:type="dxa"/>
            <w:shd w:val="clear" w:color="auto" w:fill="auto"/>
          </w:tcPr>
          <w:p w14:paraId="4AF1B054" w14:textId="77777777" w:rsidR="00F3260C" w:rsidRPr="00BD295E" w:rsidRDefault="00F3260C" w:rsidP="0031297B">
            <w:pPr>
              <w:rPr>
                <w:rFonts w:ascii="Arial" w:hAnsi="Arial" w:cs="Arial"/>
                <w:sz w:val="18"/>
                <w:szCs w:val="18"/>
                <w:lang w:val="en-US"/>
              </w:rPr>
            </w:pPr>
          </w:p>
        </w:tc>
        <w:tc>
          <w:tcPr>
            <w:tcW w:w="1701" w:type="dxa"/>
            <w:shd w:val="clear" w:color="auto" w:fill="auto"/>
          </w:tcPr>
          <w:p w14:paraId="35066ED1" w14:textId="77777777" w:rsidR="00F3260C" w:rsidRPr="00BD295E" w:rsidRDefault="00F3260C" w:rsidP="0031297B">
            <w:pPr>
              <w:rPr>
                <w:rFonts w:ascii="Arial" w:hAnsi="Arial" w:cs="Arial"/>
                <w:sz w:val="18"/>
                <w:szCs w:val="18"/>
                <w:lang w:val="en-US"/>
              </w:rPr>
            </w:pPr>
          </w:p>
        </w:tc>
        <w:tc>
          <w:tcPr>
            <w:tcW w:w="1418" w:type="dxa"/>
            <w:shd w:val="clear" w:color="auto" w:fill="auto"/>
          </w:tcPr>
          <w:p w14:paraId="52D61BC5" w14:textId="77777777" w:rsidR="00F3260C" w:rsidRPr="00BD295E" w:rsidRDefault="00F3260C" w:rsidP="0031297B">
            <w:pPr>
              <w:rPr>
                <w:rFonts w:ascii="Arial" w:hAnsi="Arial" w:cs="Arial"/>
                <w:sz w:val="18"/>
                <w:szCs w:val="18"/>
                <w:lang w:val="en-US"/>
              </w:rPr>
            </w:pPr>
          </w:p>
        </w:tc>
      </w:tr>
      <w:tr w:rsidR="008A5057" w:rsidRPr="00BD295E" w14:paraId="57B5D3C5" w14:textId="77777777" w:rsidTr="00E3510B">
        <w:tc>
          <w:tcPr>
            <w:tcW w:w="1555" w:type="dxa"/>
            <w:shd w:val="clear" w:color="auto" w:fill="auto"/>
          </w:tcPr>
          <w:p w14:paraId="061DAC84"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R.N. Berdnikov</w:t>
            </w:r>
          </w:p>
        </w:tc>
        <w:tc>
          <w:tcPr>
            <w:tcW w:w="1275" w:type="dxa"/>
            <w:shd w:val="clear" w:color="auto" w:fill="auto"/>
          </w:tcPr>
          <w:p w14:paraId="3B6FF448" w14:textId="77777777" w:rsidR="00F3260C" w:rsidRPr="00BD295E" w:rsidRDefault="00F3260C" w:rsidP="00E3510B">
            <w:pPr>
              <w:jc w:val="both"/>
              <w:rPr>
                <w:rFonts w:ascii="Arial" w:hAnsi="Arial" w:cs="Arial"/>
                <w:sz w:val="18"/>
                <w:szCs w:val="18"/>
                <w:lang w:val="en-US"/>
              </w:rPr>
            </w:pPr>
          </w:p>
        </w:tc>
        <w:tc>
          <w:tcPr>
            <w:tcW w:w="1701" w:type="dxa"/>
            <w:shd w:val="clear" w:color="auto" w:fill="auto"/>
          </w:tcPr>
          <w:p w14:paraId="50FB4E10" w14:textId="77777777" w:rsidR="00F3260C" w:rsidRPr="00BD295E" w:rsidRDefault="00F3260C" w:rsidP="0031297B">
            <w:pPr>
              <w:rPr>
                <w:rFonts w:ascii="Arial" w:hAnsi="Arial" w:cs="Arial"/>
                <w:sz w:val="18"/>
                <w:szCs w:val="18"/>
                <w:lang w:val="en-US"/>
              </w:rPr>
            </w:pPr>
          </w:p>
        </w:tc>
        <w:tc>
          <w:tcPr>
            <w:tcW w:w="1843" w:type="dxa"/>
            <w:shd w:val="clear" w:color="auto" w:fill="auto"/>
          </w:tcPr>
          <w:p w14:paraId="53EEA8D5" w14:textId="77777777" w:rsidR="00F3260C" w:rsidRPr="00BD295E" w:rsidRDefault="00F3260C" w:rsidP="0031297B">
            <w:pPr>
              <w:rPr>
                <w:rFonts w:ascii="Arial" w:hAnsi="Arial" w:cs="Arial"/>
                <w:sz w:val="18"/>
                <w:szCs w:val="18"/>
                <w:lang w:val="en-US"/>
              </w:rPr>
            </w:pPr>
          </w:p>
        </w:tc>
        <w:tc>
          <w:tcPr>
            <w:tcW w:w="1701" w:type="dxa"/>
            <w:shd w:val="clear" w:color="auto" w:fill="auto"/>
          </w:tcPr>
          <w:p w14:paraId="05CFD83C" w14:textId="77777777" w:rsidR="00F3260C" w:rsidRPr="00BD295E" w:rsidRDefault="00F3260C" w:rsidP="0031297B">
            <w:pPr>
              <w:rPr>
                <w:rFonts w:ascii="Arial" w:hAnsi="Arial" w:cs="Arial"/>
                <w:sz w:val="18"/>
                <w:szCs w:val="18"/>
                <w:lang w:val="en-US"/>
              </w:rPr>
            </w:pPr>
          </w:p>
        </w:tc>
        <w:tc>
          <w:tcPr>
            <w:tcW w:w="1418" w:type="dxa"/>
            <w:shd w:val="clear" w:color="auto" w:fill="auto"/>
          </w:tcPr>
          <w:p w14:paraId="11A73C02" w14:textId="77777777" w:rsidR="00F3260C" w:rsidRPr="00BD295E" w:rsidRDefault="00F3260C" w:rsidP="0031297B">
            <w:pPr>
              <w:rPr>
                <w:rFonts w:ascii="Arial" w:hAnsi="Arial" w:cs="Arial"/>
                <w:sz w:val="18"/>
                <w:szCs w:val="18"/>
                <w:lang w:val="en-US"/>
              </w:rPr>
            </w:pPr>
          </w:p>
        </w:tc>
      </w:tr>
      <w:tr w:rsidR="008A5057" w:rsidRPr="00BD295E" w14:paraId="3E51C197" w14:textId="77777777" w:rsidTr="00E3510B">
        <w:tc>
          <w:tcPr>
            <w:tcW w:w="1555" w:type="dxa"/>
            <w:shd w:val="clear" w:color="auto" w:fill="auto"/>
          </w:tcPr>
          <w:p w14:paraId="758A0B7F"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M.S. Art</w:t>
            </w:r>
            <w:r w:rsidR="00CF0D86" w:rsidRPr="00BD295E">
              <w:rPr>
                <w:rFonts w:ascii="Arial" w:hAnsi="Arial" w:cs="Arial"/>
                <w:sz w:val="18"/>
                <w:szCs w:val="18"/>
                <w:lang w:val="en-US"/>
              </w:rPr>
              <w:t>e</w:t>
            </w:r>
            <w:r w:rsidRPr="00BD295E">
              <w:rPr>
                <w:rFonts w:ascii="Arial" w:hAnsi="Arial" w:cs="Arial"/>
                <w:sz w:val="18"/>
                <w:szCs w:val="18"/>
                <w:lang w:val="en-US"/>
              </w:rPr>
              <w:t>myev</w:t>
            </w:r>
          </w:p>
        </w:tc>
        <w:tc>
          <w:tcPr>
            <w:tcW w:w="1275" w:type="dxa"/>
            <w:shd w:val="clear" w:color="auto" w:fill="auto"/>
          </w:tcPr>
          <w:p w14:paraId="4BE80CA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50,000</w:t>
            </w:r>
          </w:p>
        </w:tc>
        <w:tc>
          <w:tcPr>
            <w:tcW w:w="1701" w:type="dxa"/>
            <w:shd w:val="clear" w:color="auto" w:fill="auto"/>
          </w:tcPr>
          <w:p w14:paraId="203A7D3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3,332,252</w:t>
            </w:r>
          </w:p>
        </w:tc>
        <w:tc>
          <w:tcPr>
            <w:tcW w:w="1843" w:type="dxa"/>
            <w:shd w:val="clear" w:color="auto" w:fill="auto"/>
          </w:tcPr>
          <w:p w14:paraId="7EE3A928" w14:textId="77777777" w:rsidR="00F3260C" w:rsidRPr="00BD295E" w:rsidRDefault="00F3260C" w:rsidP="0031297B">
            <w:pPr>
              <w:rPr>
                <w:rFonts w:ascii="Arial" w:hAnsi="Arial" w:cs="Arial"/>
                <w:sz w:val="18"/>
                <w:szCs w:val="18"/>
                <w:lang w:val="en-US"/>
              </w:rPr>
            </w:pPr>
          </w:p>
        </w:tc>
        <w:tc>
          <w:tcPr>
            <w:tcW w:w="1701" w:type="dxa"/>
            <w:shd w:val="clear" w:color="auto" w:fill="auto"/>
          </w:tcPr>
          <w:p w14:paraId="7EDD6A79" w14:textId="77777777" w:rsidR="00F3260C" w:rsidRPr="00BD295E" w:rsidRDefault="00F3260C" w:rsidP="0031297B">
            <w:pPr>
              <w:rPr>
                <w:rFonts w:ascii="Arial" w:hAnsi="Arial" w:cs="Arial"/>
                <w:sz w:val="18"/>
                <w:szCs w:val="18"/>
                <w:lang w:val="en-US"/>
              </w:rPr>
            </w:pPr>
          </w:p>
        </w:tc>
        <w:tc>
          <w:tcPr>
            <w:tcW w:w="1418" w:type="dxa"/>
            <w:shd w:val="clear" w:color="auto" w:fill="auto"/>
          </w:tcPr>
          <w:p w14:paraId="0F4AA96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3,382,252</w:t>
            </w:r>
          </w:p>
        </w:tc>
      </w:tr>
      <w:tr w:rsidR="008A5057" w:rsidRPr="00BD295E" w14:paraId="42A7196A" w14:textId="77777777" w:rsidTr="00E3510B">
        <w:tc>
          <w:tcPr>
            <w:tcW w:w="1555" w:type="dxa"/>
            <w:shd w:val="clear" w:color="auto" w:fill="auto"/>
          </w:tcPr>
          <w:p w14:paraId="617C8A4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A.D. Nikonov</w:t>
            </w:r>
          </w:p>
        </w:tc>
        <w:tc>
          <w:tcPr>
            <w:tcW w:w="1275" w:type="dxa"/>
            <w:shd w:val="clear" w:color="auto" w:fill="auto"/>
          </w:tcPr>
          <w:p w14:paraId="01D1D07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8,145,243</w:t>
            </w:r>
          </w:p>
        </w:tc>
        <w:tc>
          <w:tcPr>
            <w:tcW w:w="1701" w:type="dxa"/>
            <w:shd w:val="clear" w:color="auto" w:fill="auto"/>
          </w:tcPr>
          <w:p w14:paraId="6938073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6,879,805</w:t>
            </w:r>
          </w:p>
        </w:tc>
        <w:tc>
          <w:tcPr>
            <w:tcW w:w="1843" w:type="dxa"/>
            <w:shd w:val="clear" w:color="auto" w:fill="auto"/>
          </w:tcPr>
          <w:p w14:paraId="25792DC9" w14:textId="77777777" w:rsidR="00F3260C" w:rsidRPr="00BD295E" w:rsidRDefault="00F3260C" w:rsidP="0031297B">
            <w:pPr>
              <w:rPr>
                <w:rFonts w:ascii="Arial" w:hAnsi="Arial" w:cs="Arial"/>
                <w:sz w:val="18"/>
                <w:szCs w:val="18"/>
                <w:lang w:val="en-US"/>
              </w:rPr>
            </w:pPr>
          </w:p>
        </w:tc>
        <w:tc>
          <w:tcPr>
            <w:tcW w:w="1701" w:type="dxa"/>
            <w:shd w:val="clear" w:color="auto" w:fill="auto"/>
          </w:tcPr>
          <w:p w14:paraId="34DE44F9" w14:textId="77777777" w:rsidR="00F3260C" w:rsidRPr="00BD295E" w:rsidRDefault="00F3260C" w:rsidP="0031297B">
            <w:pPr>
              <w:rPr>
                <w:rFonts w:ascii="Arial" w:hAnsi="Arial" w:cs="Arial"/>
                <w:sz w:val="18"/>
                <w:szCs w:val="18"/>
                <w:lang w:val="en-US"/>
              </w:rPr>
            </w:pPr>
          </w:p>
        </w:tc>
        <w:tc>
          <w:tcPr>
            <w:tcW w:w="1418" w:type="dxa"/>
            <w:shd w:val="clear" w:color="auto" w:fill="auto"/>
          </w:tcPr>
          <w:p w14:paraId="4E08CCD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15,025,048</w:t>
            </w:r>
          </w:p>
        </w:tc>
      </w:tr>
      <w:tr w:rsidR="008A5057" w:rsidRPr="00BD295E" w14:paraId="3B53F538" w14:textId="77777777" w:rsidTr="00E3510B">
        <w:tc>
          <w:tcPr>
            <w:tcW w:w="1555" w:type="dxa"/>
            <w:shd w:val="clear" w:color="auto" w:fill="auto"/>
          </w:tcPr>
          <w:p w14:paraId="1F86D20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A.S. Smolnikov</w:t>
            </w:r>
          </w:p>
        </w:tc>
        <w:tc>
          <w:tcPr>
            <w:tcW w:w="1275" w:type="dxa"/>
            <w:shd w:val="clear" w:color="auto" w:fill="auto"/>
          </w:tcPr>
          <w:p w14:paraId="1233F3D8" w14:textId="77777777" w:rsidR="00F3260C" w:rsidRPr="00BD295E" w:rsidRDefault="00F3260C" w:rsidP="0031297B">
            <w:pPr>
              <w:rPr>
                <w:rFonts w:ascii="Arial" w:hAnsi="Arial" w:cs="Arial"/>
                <w:sz w:val="18"/>
                <w:szCs w:val="18"/>
                <w:lang w:val="en-US"/>
              </w:rPr>
            </w:pPr>
          </w:p>
        </w:tc>
        <w:tc>
          <w:tcPr>
            <w:tcW w:w="1701" w:type="dxa"/>
            <w:shd w:val="clear" w:color="auto" w:fill="auto"/>
          </w:tcPr>
          <w:p w14:paraId="6E1E59C4" w14:textId="77777777" w:rsidR="00F3260C" w:rsidRPr="00BD295E" w:rsidRDefault="00F3260C" w:rsidP="0031297B">
            <w:pPr>
              <w:rPr>
                <w:rFonts w:ascii="Arial" w:hAnsi="Arial" w:cs="Arial"/>
                <w:sz w:val="18"/>
                <w:szCs w:val="18"/>
                <w:lang w:val="en-US"/>
              </w:rPr>
            </w:pPr>
          </w:p>
        </w:tc>
        <w:tc>
          <w:tcPr>
            <w:tcW w:w="1843" w:type="dxa"/>
            <w:shd w:val="clear" w:color="auto" w:fill="auto"/>
          </w:tcPr>
          <w:p w14:paraId="1D66AC2A" w14:textId="77777777" w:rsidR="00F3260C" w:rsidRPr="00BD295E" w:rsidRDefault="00F3260C" w:rsidP="0031297B">
            <w:pPr>
              <w:rPr>
                <w:rFonts w:ascii="Arial" w:hAnsi="Arial" w:cs="Arial"/>
                <w:sz w:val="18"/>
                <w:szCs w:val="18"/>
                <w:lang w:val="en-US"/>
              </w:rPr>
            </w:pPr>
          </w:p>
        </w:tc>
        <w:tc>
          <w:tcPr>
            <w:tcW w:w="1701" w:type="dxa"/>
            <w:shd w:val="clear" w:color="auto" w:fill="auto"/>
          </w:tcPr>
          <w:p w14:paraId="06E799C2" w14:textId="77777777" w:rsidR="00F3260C" w:rsidRPr="00BD295E" w:rsidRDefault="00F3260C" w:rsidP="0031297B">
            <w:pPr>
              <w:rPr>
                <w:rFonts w:ascii="Arial" w:hAnsi="Arial" w:cs="Arial"/>
                <w:sz w:val="18"/>
                <w:szCs w:val="18"/>
                <w:lang w:val="en-US"/>
              </w:rPr>
            </w:pPr>
          </w:p>
        </w:tc>
        <w:tc>
          <w:tcPr>
            <w:tcW w:w="1418" w:type="dxa"/>
            <w:shd w:val="clear" w:color="auto" w:fill="auto"/>
          </w:tcPr>
          <w:p w14:paraId="7E025A6D" w14:textId="77777777" w:rsidR="00F3260C" w:rsidRPr="00BD295E" w:rsidRDefault="00F3260C" w:rsidP="00E3510B">
            <w:pPr>
              <w:jc w:val="center"/>
              <w:rPr>
                <w:rFonts w:ascii="Arial" w:hAnsi="Arial" w:cs="Arial"/>
                <w:sz w:val="18"/>
                <w:szCs w:val="18"/>
                <w:lang w:val="en-US"/>
              </w:rPr>
            </w:pPr>
          </w:p>
        </w:tc>
      </w:tr>
      <w:tr w:rsidR="008A5057" w:rsidRPr="00BD295E" w14:paraId="1735098B" w14:textId="77777777" w:rsidTr="00E3510B">
        <w:tc>
          <w:tcPr>
            <w:tcW w:w="1555" w:type="dxa"/>
            <w:shd w:val="clear" w:color="auto" w:fill="auto"/>
          </w:tcPr>
          <w:p w14:paraId="1EF3354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P.N. Dyakov</w:t>
            </w:r>
          </w:p>
        </w:tc>
        <w:tc>
          <w:tcPr>
            <w:tcW w:w="1275" w:type="dxa"/>
            <w:shd w:val="clear" w:color="auto" w:fill="auto"/>
          </w:tcPr>
          <w:p w14:paraId="735050D0"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9,386,714</w:t>
            </w:r>
          </w:p>
        </w:tc>
        <w:tc>
          <w:tcPr>
            <w:tcW w:w="1701" w:type="dxa"/>
            <w:shd w:val="clear" w:color="auto" w:fill="auto"/>
          </w:tcPr>
          <w:p w14:paraId="6B39423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5,399,008</w:t>
            </w:r>
          </w:p>
        </w:tc>
        <w:tc>
          <w:tcPr>
            <w:tcW w:w="1843" w:type="dxa"/>
            <w:shd w:val="clear" w:color="auto" w:fill="auto"/>
          </w:tcPr>
          <w:p w14:paraId="0EADD4D5" w14:textId="77777777" w:rsidR="00F3260C" w:rsidRPr="00BD295E" w:rsidRDefault="00F3260C" w:rsidP="0031297B">
            <w:pPr>
              <w:rPr>
                <w:rFonts w:ascii="Arial" w:hAnsi="Arial" w:cs="Arial"/>
                <w:sz w:val="18"/>
                <w:szCs w:val="18"/>
                <w:lang w:val="en-US"/>
              </w:rPr>
            </w:pPr>
          </w:p>
        </w:tc>
        <w:tc>
          <w:tcPr>
            <w:tcW w:w="1701" w:type="dxa"/>
            <w:shd w:val="clear" w:color="auto" w:fill="auto"/>
          </w:tcPr>
          <w:p w14:paraId="3DCAA04F" w14:textId="77777777" w:rsidR="00F3260C" w:rsidRPr="00BD295E" w:rsidRDefault="00F3260C" w:rsidP="0031297B">
            <w:pPr>
              <w:rPr>
                <w:rFonts w:ascii="Arial" w:hAnsi="Arial" w:cs="Arial"/>
                <w:sz w:val="18"/>
                <w:szCs w:val="18"/>
                <w:lang w:val="en-US"/>
              </w:rPr>
            </w:pPr>
          </w:p>
        </w:tc>
        <w:tc>
          <w:tcPr>
            <w:tcW w:w="1418" w:type="dxa"/>
            <w:shd w:val="clear" w:color="auto" w:fill="auto"/>
          </w:tcPr>
          <w:p w14:paraId="2174C1A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14,785,722</w:t>
            </w:r>
          </w:p>
        </w:tc>
      </w:tr>
      <w:tr w:rsidR="008A5057" w:rsidRPr="00BD295E" w14:paraId="4E39B985" w14:textId="77777777" w:rsidTr="00E3510B">
        <w:tc>
          <w:tcPr>
            <w:tcW w:w="1555" w:type="dxa"/>
            <w:shd w:val="clear" w:color="auto" w:fill="auto"/>
          </w:tcPr>
          <w:p w14:paraId="68BBDAF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I.M. Meshcheryakov</w:t>
            </w:r>
          </w:p>
        </w:tc>
        <w:tc>
          <w:tcPr>
            <w:tcW w:w="1275" w:type="dxa"/>
            <w:shd w:val="clear" w:color="auto" w:fill="auto"/>
          </w:tcPr>
          <w:p w14:paraId="09CCC5F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4,486,396</w:t>
            </w:r>
          </w:p>
        </w:tc>
        <w:tc>
          <w:tcPr>
            <w:tcW w:w="1701" w:type="dxa"/>
            <w:shd w:val="clear" w:color="auto" w:fill="auto"/>
          </w:tcPr>
          <w:p w14:paraId="0FD2AAE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1,843,100</w:t>
            </w:r>
          </w:p>
        </w:tc>
        <w:tc>
          <w:tcPr>
            <w:tcW w:w="1843" w:type="dxa"/>
            <w:shd w:val="clear" w:color="auto" w:fill="auto"/>
          </w:tcPr>
          <w:p w14:paraId="1FF45A62" w14:textId="77777777" w:rsidR="00F3260C" w:rsidRPr="00BD295E" w:rsidRDefault="00F3260C" w:rsidP="0031297B">
            <w:pPr>
              <w:rPr>
                <w:rFonts w:ascii="Arial" w:hAnsi="Arial" w:cs="Arial"/>
                <w:sz w:val="18"/>
                <w:szCs w:val="18"/>
                <w:lang w:val="en-US"/>
              </w:rPr>
            </w:pPr>
          </w:p>
        </w:tc>
        <w:tc>
          <w:tcPr>
            <w:tcW w:w="1701" w:type="dxa"/>
            <w:shd w:val="clear" w:color="auto" w:fill="auto"/>
          </w:tcPr>
          <w:p w14:paraId="7C3C26FB" w14:textId="77777777" w:rsidR="00F3260C" w:rsidRPr="00BD295E" w:rsidRDefault="00F3260C" w:rsidP="0031297B">
            <w:pPr>
              <w:rPr>
                <w:rFonts w:ascii="Arial" w:hAnsi="Arial" w:cs="Arial"/>
                <w:sz w:val="18"/>
                <w:szCs w:val="18"/>
                <w:lang w:val="en-US"/>
              </w:rPr>
            </w:pPr>
          </w:p>
        </w:tc>
        <w:tc>
          <w:tcPr>
            <w:tcW w:w="1418" w:type="dxa"/>
            <w:shd w:val="clear" w:color="auto" w:fill="auto"/>
          </w:tcPr>
          <w:p w14:paraId="2AB0730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6,329,496</w:t>
            </w:r>
          </w:p>
        </w:tc>
      </w:tr>
    </w:tbl>
    <w:p w14:paraId="178F0553" w14:textId="77777777" w:rsidR="00F3260C" w:rsidRPr="00BD295E" w:rsidRDefault="00F3260C" w:rsidP="00F3260C">
      <w:pPr>
        <w:jc w:val="both"/>
        <w:rPr>
          <w:rFonts w:ascii="Arial" w:hAnsi="Arial" w:cs="Arial"/>
          <w:sz w:val="18"/>
          <w:szCs w:val="18"/>
          <w:lang w:val="en-US"/>
        </w:rPr>
      </w:pPr>
    </w:p>
    <w:p w14:paraId="64CC0B1B" w14:textId="77777777" w:rsidR="00F3260C" w:rsidRPr="00BD295E" w:rsidRDefault="00F3260C" w:rsidP="00F3260C">
      <w:pPr>
        <w:jc w:val="both"/>
        <w:rPr>
          <w:rFonts w:ascii="Arial" w:hAnsi="Arial" w:cs="Arial"/>
          <w:sz w:val="18"/>
          <w:szCs w:val="18"/>
          <w:lang w:val="en-US"/>
        </w:rPr>
      </w:pPr>
    </w:p>
    <w:p w14:paraId="02D2EF5E" w14:textId="77777777" w:rsidR="00F3260C" w:rsidRPr="00BD295E" w:rsidRDefault="00F3260C" w:rsidP="00F3260C">
      <w:pPr>
        <w:jc w:val="both"/>
        <w:rPr>
          <w:rFonts w:ascii="Arial" w:hAnsi="Arial" w:cs="Arial"/>
          <w:sz w:val="18"/>
          <w:szCs w:val="18"/>
          <w:lang w:val="en-US"/>
        </w:rPr>
      </w:pPr>
    </w:p>
    <w:p w14:paraId="7135937B" w14:textId="0974E9EC" w:rsidR="00B20A51" w:rsidRPr="00BD295E" w:rsidRDefault="00997D07" w:rsidP="00F3260C">
      <w:pPr>
        <w:tabs>
          <w:tab w:val="left" w:pos="709"/>
          <w:tab w:val="left" w:pos="851"/>
        </w:tabs>
        <w:jc w:val="center"/>
        <w:rPr>
          <w:rFonts w:ascii="Arial" w:hAnsi="Arial" w:cs="Arial"/>
          <w:sz w:val="18"/>
          <w:szCs w:val="18"/>
          <w:lang w:val="en-US"/>
        </w:rPr>
      </w:pPr>
      <w:bookmarkStart w:id="409" w:name="_Hlk95940005"/>
      <w:r w:rsidRPr="00BD295E">
        <w:rPr>
          <w:rFonts w:ascii="Arial" w:hAnsi="Arial" w:cs="Arial"/>
          <w:sz w:val="18"/>
          <w:szCs w:val="18"/>
          <w:lang w:val="en-US" w:eastAsia="en-US"/>
        </w:rPr>
        <w:drawing>
          <wp:inline distT="0" distB="0" distL="0" distR="0" wp14:anchorId="7C16760F" wp14:editId="69948995">
            <wp:extent cx="6010275" cy="3215005"/>
            <wp:effectExtent l="0" t="0" r="9525" b="4445"/>
            <wp:docPr id="76" name="Диаграмма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bookmarkEnd w:id="409"/>
    </w:p>
    <w:bookmarkEnd w:id="406"/>
    <w:bookmarkEnd w:id="407"/>
    <w:p w14:paraId="16D81113" w14:textId="77777777" w:rsidR="00F3260C" w:rsidRPr="00BD295E" w:rsidRDefault="00F3260C" w:rsidP="00F3260C">
      <w:pPr>
        <w:rPr>
          <w:rFonts w:ascii="Arial" w:hAnsi="Arial" w:cs="Arial"/>
          <w:sz w:val="18"/>
          <w:szCs w:val="18"/>
          <w:lang w:val="en-US"/>
        </w:rPr>
      </w:pPr>
    </w:p>
    <w:p w14:paraId="7A13BE8B" w14:textId="77777777"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 xml:space="preserve">Total amount of remuneration and compensations paid to R.N. Berdnikov, the Company’s CEO in 2018 (including taxes) </w:t>
      </w:r>
      <w:r w:rsidRPr="00BD295E">
        <w:rPr>
          <w:rFonts w:ascii="Arial" w:hAnsi="Arial" w:cs="Arial"/>
          <w:b/>
          <w:bCs/>
          <w:sz w:val="18"/>
          <w:szCs w:val="18"/>
          <w:lang w:val="en-US"/>
        </w:rPr>
        <w:t xml:space="preserve">(excluding remuneration paid to the Acting CEO of </w:t>
      </w:r>
      <w:r w:rsidR="00EE5753" w:rsidRPr="00BD295E">
        <w:rPr>
          <w:rFonts w:ascii="Arial" w:hAnsi="Arial" w:cs="Arial"/>
          <w:b/>
          <w:bCs/>
          <w:sz w:val="18"/>
          <w:szCs w:val="18"/>
          <w:lang w:val="en-US"/>
        </w:rPr>
        <w:t>PJSC “Lenenergo”</w:t>
      </w:r>
      <w:r w:rsidRPr="00BD295E">
        <w:rPr>
          <w:rFonts w:ascii="Arial" w:hAnsi="Arial" w:cs="Arial"/>
          <w:b/>
          <w:bCs/>
          <w:sz w:val="18"/>
          <w:szCs w:val="18"/>
          <w:lang w:val="en-US"/>
        </w:rPr>
        <w:t xml:space="preserve"> as a member of the Board of Directors and Chairman of the Management Board):</w:t>
      </w:r>
    </w:p>
    <w:p w14:paraId="6281E6FC" w14:textId="77777777" w:rsidR="00F3260C" w:rsidRPr="00BD295E" w:rsidRDefault="00F3260C" w:rsidP="00F3260C">
      <w:pPr>
        <w:jc w:val="right"/>
        <w:rPr>
          <w:rFonts w:ascii="Arial" w:hAnsi="Arial" w:cs="Arial"/>
          <w:sz w:val="18"/>
          <w:szCs w:val="18"/>
          <w:lang w:val="en-US"/>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969"/>
      </w:tblGrid>
      <w:tr w:rsidR="008A5057" w:rsidRPr="00BD295E" w14:paraId="6645243D" w14:textId="77777777" w:rsidTr="00E3510B">
        <w:tc>
          <w:tcPr>
            <w:tcW w:w="5382" w:type="dxa"/>
            <w:shd w:val="clear" w:color="auto" w:fill="auto"/>
          </w:tcPr>
          <w:p w14:paraId="2C87419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Remuneration type</w:t>
            </w:r>
          </w:p>
        </w:tc>
        <w:tc>
          <w:tcPr>
            <w:tcW w:w="3969" w:type="dxa"/>
            <w:shd w:val="clear" w:color="auto" w:fill="auto"/>
          </w:tcPr>
          <w:p w14:paraId="5BEB205B"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Total remuneration, RUB</w:t>
            </w:r>
          </w:p>
        </w:tc>
      </w:tr>
      <w:tr w:rsidR="008A5057" w:rsidRPr="00BD295E" w14:paraId="30E32FF7" w14:textId="77777777" w:rsidTr="00E3510B">
        <w:tc>
          <w:tcPr>
            <w:tcW w:w="5382" w:type="dxa"/>
            <w:shd w:val="clear" w:color="auto" w:fill="auto"/>
          </w:tcPr>
          <w:p w14:paraId="058C288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Salary</w:t>
            </w:r>
          </w:p>
        </w:tc>
        <w:tc>
          <w:tcPr>
            <w:tcW w:w="3969" w:type="dxa"/>
            <w:shd w:val="clear" w:color="auto" w:fill="auto"/>
          </w:tcPr>
          <w:p w14:paraId="6CFC94B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88,235</w:t>
            </w:r>
          </w:p>
        </w:tc>
      </w:tr>
      <w:tr w:rsidR="008A5057" w:rsidRPr="00BD295E" w14:paraId="160A1DA1" w14:textId="77777777" w:rsidTr="00E3510B">
        <w:tc>
          <w:tcPr>
            <w:tcW w:w="5382" w:type="dxa"/>
            <w:shd w:val="clear" w:color="auto" w:fill="auto"/>
          </w:tcPr>
          <w:p w14:paraId="16B3E2C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Bonuses, commissions, compensations</w:t>
            </w:r>
          </w:p>
        </w:tc>
        <w:tc>
          <w:tcPr>
            <w:tcW w:w="3969" w:type="dxa"/>
            <w:shd w:val="clear" w:color="auto" w:fill="auto"/>
          </w:tcPr>
          <w:p w14:paraId="0E0FFA8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7,892,564</w:t>
            </w:r>
          </w:p>
        </w:tc>
      </w:tr>
      <w:tr w:rsidR="008A5057" w:rsidRPr="00BD295E" w14:paraId="1258CD63" w14:textId="77777777" w:rsidTr="00E3510B">
        <w:tc>
          <w:tcPr>
            <w:tcW w:w="5382" w:type="dxa"/>
            <w:shd w:val="clear" w:color="auto" w:fill="auto"/>
          </w:tcPr>
          <w:p w14:paraId="1D1F592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Other remuneration</w:t>
            </w:r>
          </w:p>
        </w:tc>
        <w:tc>
          <w:tcPr>
            <w:tcW w:w="3969" w:type="dxa"/>
            <w:shd w:val="clear" w:color="auto" w:fill="auto"/>
          </w:tcPr>
          <w:p w14:paraId="56ABA7FF" w14:textId="77777777" w:rsidR="00F3260C" w:rsidRPr="00BD295E" w:rsidRDefault="00F3260C" w:rsidP="00E3510B">
            <w:pPr>
              <w:jc w:val="center"/>
              <w:rPr>
                <w:rFonts w:ascii="Arial" w:hAnsi="Arial" w:cs="Arial"/>
                <w:sz w:val="18"/>
                <w:szCs w:val="18"/>
                <w:lang w:val="en-US"/>
              </w:rPr>
            </w:pPr>
          </w:p>
        </w:tc>
      </w:tr>
      <w:tr w:rsidR="008A5057" w:rsidRPr="00BD295E" w14:paraId="562D1571" w14:textId="77777777" w:rsidTr="00E3510B">
        <w:tc>
          <w:tcPr>
            <w:tcW w:w="5382" w:type="dxa"/>
            <w:shd w:val="clear" w:color="auto" w:fill="auto"/>
          </w:tcPr>
          <w:p w14:paraId="73CC0A1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Total</w:t>
            </w:r>
          </w:p>
        </w:tc>
        <w:tc>
          <w:tcPr>
            <w:tcW w:w="3969" w:type="dxa"/>
            <w:shd w:val="clear" w:color="auto" w:fill="auto"/>
          </w:tcPr>
          <w:p w14:paraId="75ABAD8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7,980,799</w:t>
            </w:r>
          </w:p>
        </w:tc>
      </w:tr>
    </w:tbl>
    <w:p w14:paraId="1A9C8491" w14:textId="77777777" w:rsidR="00F3260C" w:rsidRPr="00BD295E" w:rsidRDefault="00F3260C" w:rsidP="00F3260C">
      <w:pPr>
        <w:rPr>
          <w:rFonts w:ascii="Arial" w:hAnsi="Arial" w:cs="Arial"/>
          <w:sz w:val="18"/>
          <w:szCs w:val="18"/>
          <w:lang w:val="en-US"/>
        </w:rPr>
      </w:pPr>
    </w:p>
    <w:p w14:paraId="01967377" w14:textId="77777777" w:rsidR="00F3260C" w:rsidRPr="00BD295E" w:rsidRDefault="008A5057" w:rsidP="00F3260C">
      <w:pPr>
        <w:jc w:val="both"/>
        <w:rPr>
          <w:rFonts w:ascii="Arial" w:hAnsi="Arial" w:cs="Arial"/>
          <w:b/>
          <w:sz w:val="18"/>
          <w:szCs w:val="18"/>
          <w:lang w:val="en-US"/>
        </w:rPr>
      </w:pPr>
      <w:r w:rsidRPr="00BD295E">
        <w:rPr>
          <w:rFonts w:ascii="Arial" w:hAnsi="Arial" w:cs="Arial"/>
          <w:b/>
          <w:sz w:val="18"/>
          <w:szCs w:val="18"/>
          <w:lang w:val="en-US"/>
        </w:rPr>
        <w:t xml:space="preserve">Total amount of remuneration and compensations paid to A.V. Ryumin, the Company’s CEO in 2018 (including taxes) </w:t>
      </w:r>
      <w:r w:rsidRPr="00BD295E">
        <w:rPr>
          <w:rFonts w:ascii="Arial" w:hAnsi="Arial" w:cs="Arial"/>
          <w:b/>
          <w:bCs/>
          <w:sz w:val="18"/>
          <w:szCs w:val="18"/>
          <w:lang w:val="en-US"/>
        </w:rPr>
        <w:t xml:space="preserve">(excluding remuneration paid to the CEO of </w:t>
      </w:r>
      <w:r w:rsidR="00EE5753" w:rsidRPr="00BD295E">
        <w:rPr>
          <w:rFonts w:ascii="Arial" w:hAnsi="Arial" w:cs="Arial"/>
          <w:b/>
          <w:bCs/>
          <w:sz w:val="18"/>
          <w:szCs w:val="18"/>
          <w:lang w:val="en-US"/>
        </w:rPr>
        <w:t>PJSC “Lenenergo”</w:t>
      </w:r>
      <w:r w:rsidRPr="00BD295E">
        <w:rPr>
          <w:rFonts w:ascii="Arial" w:hAnsi="Arial" w:cs="Arial"/>
          <w:b/>
          <w:bCs/>
          <w:sz w:val="18"/>
          <w:szCs w:val="18"/>
          <w:lang w:val="en-US"/>
        </w:rPr>
        <w:t xml:space="preserve"> as a member of the Board of Directors and Chairman of the Management Board):</w:t>
      </w:r>
    </w:p>
    <w:p w14:paraId="03D845F8" w14:textId="77777777" w:rsidR="00F3260C" w:rsidRPr="00BD295E" w:rsidRDefault="00F3260C" w:rsidP="00F3260C">
      <w:pPr>
        <w:jc w:val="right"/>
        <w:rPr>
          <w:rFonts w:ascii="Arial" w:hAnsi="Arial" w:cs="Arial"/>
          <w:sz w:val="18"/>
          <w:szCs w:val="18"/>
          <w:lang w:val="en-US"/>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969"/>
      </w:tblGrid>
      <w:tr w:rsidR="008A5057" w:rsidRPr="00BD295E" w14:paraId="6AD385EA" w14:textId="77777777" w:rsidTr="00E3510B">
        <w:tc>
          <w:tcPr>
            <w:tcW w:w="5382" w:type="dxa"/>
            <w:shd w:val="clear" w:color="auto" w:fill="auto"/>
          </w:tcPr>
          <w:p w14:paraId="1B00F53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Remuneration type</w:t>
            </w:r>
          </w:p>
        </w:tc>
        <w:tc>
          <w:tcPr>
            <w:tcW w:w="3969" w:type="dxa"/>
            <w:shd w:val="clear" w:color="auto" w:fill="auto"/>
          </w:tcPr>
          <w:p w14:paraId="0ECD08B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Total remuneration, RUB</w:t>
            </w:r>
          </w:p>
        </w:tc>
      </w:tr>
      <w:tr w:rsidR="008A5057" w:rsidRPr="00BD295E" w14:paraId="01A2634B" w14:textId="77777777" w:rsidTr="00E3510B">
        <w:tc>
          <w:tcPr>
            <w:tcW w:w="5382" w:type="dxa"/>
            <w:shd w:val="clear" w:color="auto" w:fill="auto"/>
          </w:tcPr>
          <w:p w14:paraId="4FC5641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Salary</w:t>
            </w:r>
          </w:p>
        </w:tc>
        <w:tc>
          <w:tcPr>
            <w:tcW w:w="3969" w:type="dxa"/>
            <w:shd w:val="clear" w:color="auto" w:fill="auto"/>
          </w:tcPr>
          <w:p w14:paraId="629ED01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17,874,087</w:t>
            </w:r>
          </w:p>
        </w:tc>
      </w:tr>
      <w:tr w:rsidR="008A5057" w:rsidRPr="00BD295E" w14:paraId="620C81A0" w14:textId="77777777" w:rsidTr="00E3510B">
        <w:tc>
          <w:tcPr>
            <w:tcW w:w="5382" w:type="dxa"/>
            <w:shd w:val="clear" w:color="auto" w:fill="auto"/>
          </w:tcPr>
          <w:p w14:paraId="4DC7F2A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Bonuses, commissions, compensations</w:t>
            </w:r>
          </w:p>
        </w:tc>
        <w:tc>
          <w:tcPr>
            <w:tcW w:w="3969" w:type="dxa"/>
            <w:shd w:val="clear" w:color="auto" w:fill="auto"/>
          </w:tcPr>
          <w:p w14:paraId="0AB5230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4,492,793</w:t>
            </w:r>
          </w:p>
        </w:tc>
      </w:tr>
      <w:tr w:rsidR="008A5057" w:rsidRPr="00BD295E" w14:paraId="69456EA3" w14:textId="77777777" w:rsidTr="00E3510B">
        <w:tc>
          <w:tcPr>
            <w:tcW w:w="5382" w:type="dxa"/>
            <w:shd w:val="clear" w:color="auto" w:fill="auto"/>
          </w:tcPr>
          <w:p w14:paraId="14D5D40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Other remuneration</w:t>
            </w:r>
          </w:p>
        </w:tc>
        <w:tc>
          <w:tcPr>
            <w:tcW w:w="3969" w:type="dxa"/>
            <w:shd w:val="clear" w:color="auto" w:fill="auto"/>
          </w:tcPr>
          <w:p w14:paraId="6A3408E0" w14:textId="77777777" w:rsidR="00F3260C" w:rsidRPr="00BD295E" w:rsidRDefault="00F3260C" w:rsidP="00E3510B">
            <w:pPr>
              <w:jc w:val="center"/>
              <w:rPr>
                <w:rFonts w:ascii="Arial" w:hAnsi="Arial" w:cs="Arial"/>
                <w:sz w:val="18"/>
                <w:szCs w:val="18"/>
                <w:lang w:val="en-US"/>
              </w:rPr>
            </w:pPr>
          </w:p>
        </w:tc>
      </w:tr>
      <w:tr w:rsidR="008A5057" w:rsidRPr="00BD295E" w14:paraId="6EFA7DE2" w14:textId="77777777" w:rsidTr="00E3510B">
        <w:tc>
          <w:tcPr>
            <w:tcW w:w="5382" w:type="dxa"/>
            <w:shd w:val="clear" w:color="auto" w:fill="auto"/>
          </w:tcPr>
          <w:p w14:paraId="27B2475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Total</w:t>
            </w:r>
          </w:p>
        </w:tc>
        <w:tc>
          <w:tcPr>
            <w:tcW w:w="3969" w:type="dxa"/>
            <w:shd w:val="clear" w:color="auto" w:fill="auto"/>
          </w:tcPr>
          <w:p w14:paraId="7D66E20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22,366,880</w:t>
            </w:r>
          </w:p>
        </w:tc>
      </w:tr>
    </w:tbl>
    <w:p w14:paraId="1ABC48CE" w14:textId="77777777" w:rsidR="00F3260C" w:rsidRPr="00BD295E" w:rsidRDefault="00F3260C" w:rsidP="00F3260C">
      <w:pPr>
        <w:rPr>
          <w:rFonts w:ascii="Arial" w:hAnsi="Arial" w:cs="Arial"/>
          <w:sz w:val="18"/>
          <w:szCs w:val="18"/>
          <w:lang w:val="en-US"/>
        </w:rPr>
      </w:pPr>
    </w:p>
    <w:p w14:paraId="4441CA7F" w14:textId="484DA2AE" w:rsidR="00F3260C" w:rsidRPr="00BD295E" w:rsidRDefault="00997D07" w:rsidP="00F3260C">
      <w:pPr>
        <w:tabs>
          <w:tab w:val="left" w:pos="709"/>
          <w:tab w:val="left" w:pos="851"/>
        </w:tabs>
        <w:jc w:val="both"/>
        <w:rPr>
          <w:rFonts w:ascii="Arial" w:hAnsi="Arial" w:cs="Arial"/>
          <w:b/>
          <w:sz w:val="18"/>
          <w:szCs w:val="18"/>
          <w:lang w:val="en-US"/>
        </w:rPr>
      </w:pPr>
      <w:bookmarkStart w:id="410" w:name="_Hlk95940015"/>
      <w:r w:rsidRPr="00BD295E">
        <w:rPr>
          <w:rFonts w:ascii="Arial" w:hAnsi="Arial" w:cs="Arial"/>
          <w:sz w:val="18"/>
          <w:szCs w:val="18"/>
          <w:lang w:val="en-US" w:eastAsia="en-US"/>
        </w:rPr>
        <w:drawing>
          <wp:inline distT="0" distB="0" distL="0" distR="0" wp14:anchorId="04BC16FD" wp14:editId="73316927">
            <wp:extent cx="5924550" cy="3215005"/>
            <wp:effectExtent l="0" t="0" r="0" b="4445"/>
            <wp:docPr id="7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bookmarkEnd w:id="410"/>
    </w:p>
    <w:p w14:paraId="55A951B6" w14:textId="77777777" w:rsidR="00F3260C" w:rsidRPr="00BD295E" w:rsidRDefault="00F3260C" w:rsidP="00F3260C">
      <w:pPr>
        <w:tabs>
          <w:tab w:val="left" w:pos="709"/>
          <w:tab w:val="left" w:pos="851"/>
        </w:tabs>
        <w:jc w:val="center"/>
        <w:rPr>
          <w:rFonts w:ascii="Arial" w:hAnsi="Arial" w:cs="Arial"/>
          <w:sz w:val="18"/>
          <w:szCs w:val="18"/>
          <w:lang w:val="en-US"/>
        </w:rPr>
      </w:pPr>
    </w:p>
    <w:p w14:paraId="5BB0A4DB" w14:textId="77777777" w:rsidR="00F3260C" w:rsidRPr="00BD295E" w:rsidRDefault="00F3260C" w:rsidP="00F3260C">
      <w:pPr>
        <w:rPr>
          <w:rFonts w:ascii="Arial" w:hAnsi="Arial" w:cs="Arial"/>
          <w:sz w:val="18"/>
          <w:szCs w:val="18"/>
          <w:lang w:val="en-US"/>
        </w:rPr>
      </w:pPr>
    </w:p>
    <w:p w14:paraId="22B15B6C" w14:textId="77777777" w:rsidR="00F3260C" w:rsidRPr="00BD295E" w:rsidRDefault="008A5057" w:rsidP="00F3260C">
      <w:pPr>
        <w:ind w:firstLine="567"/>
        <w:jc w:val="both"/>
        <w:rPr>
          <w:rFonts w:ascii="Arial" w:hAnsi="Arial" w:cs="Arial"/>
          <w:sz w:val="18"/>
          <w:szCs w:val="18"/>
          <w:lang w:val="en-US"/>
        </w:rPr>
      </w:pPr>
      <w:r w:rsidRPr="00BD295E">
        <w:rPr>
          <w:rFonts w:ascii="Arial" w:hAnsi="Arial" w:cs="Arial"/>
          <w:sz w:val="18"/>
          <w:szCs w:val="18"/>
          <w:lang w:val="en-US"/>
        </w:rPr>
        <w:t xml:space="preserve">The executive bodies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made no transactions with Company shares in 2018.</w:t>
      </w:r>
    </w:p>
    <w:p w14:paraId="090D0D5D"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In the reporting year, no transactions were made between the executive bodies of the Company and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no loans (credits) were issued to its executive bodies by the Company. </w:t>
      </w:r>
    </w:p>
    <w:p w14:paraId="54C65511" w14:textId="77777777" w:rsidR="00F3260C" w:rsidRPr="00BD295E" w:rsidRDefault="00F3260C" w:rsidP="00C968B7">
      <w:pPr>
        <w:pStyle w:val="aff2"/>
        <w:spacing w:after="0"/>
        <w:rPr>
          <w:rFonts w:ascii="Arial" w:hAnsi="Arial" w:cs="Arial"/>
          <w:b/>
          <w:sz w:val="18"/>
          <w:szCs w:val="18"/>
          <w:lang w:val="en-US"/>
        </w:rPr>
      </w:pPr>
    </w:p>
    <w:p w14:paraId="57BA546D" w14:textId="77777777" w:rsidR="00F3260C" w:rsidRPr="00BD295E" w:rsidRDefault="008A5057" w:rsidP="00C968B7">
      <w:pPr>
        <w:pStyle w:val="aff2"/>
        <w:spacing w:after="0"/>
        <w:rPr>
          <w:rFonts w:ascii="Arial" w:hAnsi="Arial" w:cs="Arial"/>
          <w:b/>
          <w:sz w:val="18"/>
          <w:szCs w:val="18"/>
          <w:lang w:val="en-US"/>
        </w:rPr>
      </w:pPr>
      <w:r w:rsidRPr="00BD295E">
        <w:rPr>
          <w:rFonts w:ascii="Arial" w:hAnsi="Arial" w:cs="Arial"/>
          <w:b/>
          <w:sz w:val="18"/>
          <w:szCs w:val="18"/>
          <w:lang w:val="en-US"/>
        </w:rPr>
        <w:t>The Company’s policy with respect to severance payments to key executives</w:t>
      </w:r>
    </w:p>
    <w:p w14:paraId="2245BEFA" w14:textId="77777777" w:rsidR="00F3260C" w:rsidRPr="00BD295E" w:rsidRDefault="00F3260C" w:rsidP="00C968B7">
      <w:pPr>
        <w:pStyle w:val="aff2"/>
        <w:spacing w:after="0"/>
        <w:rPr>
          <w:rFonts w:ascii="Arial" w:hAnsi="Arial" w:cs="Arial"/>
          <w:b/>
          <w:sz w:val="18"/>
          <w:szCs w:val="18"/>
          <w:lang w:val="en-US"/>
        </w:rPr>
      </w:pPr>
    </w:p>
    <w:p w14:paraId="68BC4D71"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Key executives, provided that they achieve their key performance indicators and do not commit any gross violations in their work, may be paid compensation not exceeding their three average monthly salaries in case of:</w:t>
      </w:r>
    </w:p>
    <w:p w14:paraId="1AF3D2FA" w14:textId="77777777" w:rsidR="00F3260C" w:rsidRPr="00BD295E" w:rsidRDefault="008A5057" w:rsidP="00C968B7">
      <w:pPr>
        <w:pStyle w:val="af3"/>
        <w:numPr>
          <w:ilvl w:val="0"/>
          <w:numId w:val="105"/>
        </w:numPr>
        <w:ind w:left="0" w:firstLine="0"/>
        <w:jc w:val="both"/>
        <w:rPr>
          <w:rFonts w:ascii="Arial" w:hAnsi="Arial" w:cs="Arial"/>
          <w:sz w:val="18"/>
          <w:szCs w:val="18"/>
          <w:lang w:val="en-US"/>
        </w:rPr>
      </w:pPr>
      <w:r w:rsidRPr="00BD295E">
        <w:rPr>
          <w:rFonts w:ascii="Arial" w:hAnsi="Arial" w:cs="Arial"/>
          <w:sz w:val="18"/>
          <w:szCs w:val="18"/>
          <w:lang w:val="en-US"/>
        </w:rPr>
        <w:t>dismissal by agreement between the parties;</w:t>
      </w:r>
    </w:p>
    <w:p w14:paraId="16F17C04" w14:textId="77777777" w:rsidR="00F3260C" w:rsidRPr="00BD295E" w:rsidRDefault="008A5057" w:rsidP="00C968B7">
      <w:pPr>
        <w:pStyle w:val="af3"/>
        <w:numPr>
          <w:ilvl w:val="0"/>
          <w:numId w:val="105"/>
        </w:numPr>
        <w:ind w:left="0" w:firstLine="0"/>
        <w:jc w:val="both"/>
        <w:rPr>
          <w:rFonts w:ascii="Arial" w:hAnsi="Arial" w:cs="Arial"/>
          <w:sz w:val="18"/>
          <w:szCs w:val="18"/>
          <w:lang w:val="en-US"/>
        </w:rPr>
      </w:pPr>
      <w:r w:rsidRPr="00BD295E">
        <w:rPr>
          <w:rFonts w:ascii="Arial" w:hAnsi="Arial" w:cs="Arial"/>
          <w:sz w:val="18"/>
          <w:szCs w:val="18"/>
          <w:lang w:val="en-US"/>
        </w:rPr>
        <w:t>transfer of the employee at his or her request or with his or her consent to work for another employer or transfer to an elective job (position);</w:t>
      </w:r>
    </w:p>
    <w:p w14:paraId="492F6BF6" w14:textId="77777777" w:rsidR="00F3260C" w:rsidRPr="00BD295E" w:rsidRDefault="008A5057" w:rsidP="00C968B7">
      <w:pPr>
        <w:pStyle w:val="af3"/>
        <w:numPr>
          <w:ilvl w:val="0"/>
          <w:numId w:val="105"/>
        </w:numPr>
        <w:ind w:left="0" w:firstLine="0"/>
        <w:jc w:val="both"/>
        <w:rPr>
          <w:rFonts w:ascii="Arial" w:hAnsi="Arial" w:cs="Arial"/>
          <w:sz w:val="18"/>
          <w:szCs w:val="18"/>
          <w:lang w:val="en-US"/>
        </w:rPr>
      </w:pPr>
      <w:r w:rsidRPr="00BD295E">
        <w:rPr>
          <w:rFonts w:ascii="Arial" w:hAnsi="Arial" w:cs="Arial"/>
          <w:sz w:val="18"/>
          <w:szCs w:val="18"/>
          <w:lang w:val="en-US"/>
        </w:rPr>
        <w:t>recognition of the employee as completely unfit for work based on a medical report;</w:t>
      </w:r>
    </w:p>
    <w:p w14:paraId="3B4D9349" w14:textId="77777777" w:rsidR="00F3260C" w:rsidRPr="00BD295E" w:rsidRDefault="008A5057" w:rsidP="00C968B7">
      <w:pPr>
        <w:pStyle w:val="af3"/>
        <w:numPr>
          <w:ilvl w:val="0"/>
          <w:numId w:val="105"/>
        </w:numPr>
        <w:ind w:left="0" w:firstLine="0"/>
        <w:jc w:val="both"/>
        <w:rPr>
          <w:rFonts w:ascii="Arial" w:hAnsi="Arial" w:cs="Arial"/>
          <w:sz w:val="18"/>
          <w:szCs w:val="18"/>
          <w:lang w:val="en-US"/>
        </w:rPr>
      </w:pPr>
      <w:r w:rsidRPr="00BD295E">
        <w:rPr>
          <w:rFonts w:ascii="Arial" w:hAnsi="Arial" w:cs="Arial"/>
          <w:sz w:val="18"/>
          <w:szCs w:val="18"/>
          <w:lang w:val="en-US"/>
        </w:rPr>
        <w:t>termination of the employment contract at the employee’s initiative (of the employee’s own will due to retirement);</w:t>
      </w:r>
    </w:p>
    <w:p w14:paraId="2A1825F9" w14:textId="77777777" w:rsidR="00F3260C" w:rsidRPr="00BD295E" w:rsidRDefault="008A5057" w:rsidP="00C968B7">
      <w:pPr>
        <w:pStyle w:val="af3"/>
        <w:numPr>
          <w:ilvl w:val="0"/>
          <w:numId w:val="105"/>
        </w:numPr>
        <w:ind w:left="0" w:firstLine="0"/>
        <w:jc w:val="both"/>
        <w:rPr>
          <w:rFonts w:ascii="Arial" w:hAnsi="Arial" w:cs="Arial"/>
          <w:sz w:val="18"/>
          <w:szCs w:val="18"/>
          <w:lang w:val="en-US"/>
        </w:rPr>
      </w:pPr>
      <w:r w:rsidRPr="00BD295E">
        <w:rPr>
          <w:rFonts w:ascii="Arial" w:hAnsi="Arial" w:cs="Arial"/>
          <w:sz w:val="18"/>
          <w:szCs w:val="18"/>
          <w:lang w:val="en-US"/>
        </w:rPr>
        <w:t>refusal of the employee to be transferred to another job in cases of medical necessity or unavailability of the respective job at the employer’s enterprise.</w:t>
      </w:r>
    </w:p>
    <w:p w14:paraId="7B757BBF" w14:textId="77777777" w:rsidR="00F3260C" w:rsidRPr="00BD295E" w:rsidRDefault="00F3260C" w:rsidP="00C968B7">
      <w:pPr>
        <w:rPr>
          <w:rFonts w:ascii="Arial" w:hAnsi="Arial" w:cs="Arial"/>
          <w:sz w:val="18"/>
          <w:szCs w:val="18"/>
          <w:lang w:val="en-US"/>
        </w:rPr>
      </w:pPr>
    </w:p>
    <w:p w14:paraId="65195ABA" w14:textId="77777777" w:rsidR="00F3260C" w:rsidRPr="00BD295E" w:rsidRDefault="008A5057" w:rsidP="00C968B7">
      <w:pPr>
        <w:pStyle w:val="aff2"/>
        <w:spacing w:after="0"/>
        <w:rPr>
          <w:rFonts w:ascii="Arial" w:hAnsi="Arial" w:cs="Arial"/>
          <w:b/>
          <w:sz w:val="18"/>
          <w:szCs w:val="18"/>
          <w:lang w:val="en-US"/>
        </w:rPr>
      </w:pPr>
      <w:bookmarkStart w:id="411" w:name="_Toc385931267"/>
      <w:r w:rsidRPr="00BD295E">
        <w:rPr>
          <w:rFonts w:ascii="Arial" w:hAnsi="Arial" w:cs="Arial"/>
          <w:b/>
          <w:sz w:val="18"/>
          <w:szCs w:val="18"/>
          <w:lang w:val="en-US"/>
        </w:rPr>
        <w:t xml:space="preserve">4.1.3. </w:t>
      </w:r>
      <w:r w:rsidR="00101C37" w:rsidRPr="00BD295E">
        <w:rPr>
          <w:rFonts w:ascii="Arial" w:hAnsi="Arial" w:cs="Arial"/>
          <w:b/>
          <w:sz w:val="18"/>
          <w:szCs w:val="18"/>
          <w:lang w:val="en-US"/>
        </w:rPr>
        <w:t>Control</w:t>
      </w:r>
      <w:r w:rsidRPr="00BD295E">
        <w:rPr>
          <w:rFonts w:ascii="Arial" w:hAnsi="Arial" w:cs="Arial"/>
          <w:b/>
          <w:sz w:val="18"/>
          <w:szCs w:val="18"/>
          <w:lang w:val="en-US"/>
        </w:rPr>
        <w:t xml:space="preserve"> Body</w:t>
      </w:r>
      <w:bookmarkEnd w:id="411"/>
    </w:p>
    <w:p w14:paraId="18BA73A7" w14:textId="77777777" w:rsidR="00F3260C" w:rsidRPr="00BD295E" w:rsidRDefault="00F3260C" w:rsidP="00C968B7">
      <w:pPr>
        <w:pStyle w:val="aff2"/>
        <w:spacing w:after="0"/>
        <w:rPr>
          <w:rFonts w:ascii="Arial" w:hAnsi="Arial" w:cs="Arial"/>
          <w:b/>
          <w:sz w:val="18"/>
          <w:szCs w:val="18"/>
          <w:lang w:val="en-US"/>
        </w:rPr>
      </w:pPr>
    </w:p>
    <w:p w14:paraId="43F39E97" w14:textId="77777777" w:rsidR="00F3260C" w:rsidRPr="00BD295E" w:rsidRDefault="008A5057" w:rsidP="00C968B7">
      <w:pPr>
        <w:pStyle w:val="aff2"/>
        <w:spacing w:after="0"/>
        <w:rPr>
          <w:rFonts w:ascii="Arial" w:hAnsi="Arial" w:cs="Arial"/>
          <w:b/>
          <w:sz w:val="18"/>
          <w:szCs w:val="18"/>
          <w:lang w:val="en-US"/>
        </w:rPr>
      </w:pPr>
      <w:r w:rsidRPr="00BD295E">
        <w:rPr>
          <w:rFonts w:ascii="Arial" w:hAnsi="Arial" w:cs="Arial"/>
          <w:b/>
          <w:sz w:val="18"/>
          <w:szCs w:val="18"/>
          <w:lang w:val="en-US"/>
        </w:rPr>
        <w:t xml:space="preserve">The </w:t>
      </w:r>
      <w:r w:rsidR="00293DDA" w:rsidRPr="00BD295E">
        <w:rPr>
          <w:rFonts w:ascii="Arial" w:hAnsi="Arial" w:cs="Arial"/>
          <w:b/>
          <w:sz w:val="18"/>
          <w:szCs w:val="18"/>
          <w:lang w:val="en-US"/>
        </w:rPr>
        <w:t>Internal Audit Commission</w:t>
      </w:r>
      <w:r w:rsidRPr="00BD295E">
        <w:rPr>
          <w:rFonts w:ascii="Arial" w:hAnsi="Arial" w:cs="Arial"/>
          <w:b/>
          <w:sz w:val="18"/>
          <w:szCs w:val="18"/>
          <w:lang w:val="en-US"/>
        </w:rPr>
        <w:t xml:space="preserve"> of the Company</w:t>
      </w:r>
    </w:p>
    <w:p w14:paraId="7417E749" w14:textId="77777777" w:rsidR="00F3260C" w:rsidRPr="00BD295E" w:rsidRDefault="00F3260C" w:rsidP="00C968B7">
      <w:pPr>
        <w:pStyle w:val="aff2"/>
        <w:spacing w:after="0"/>
        <w:rPr>
          <w:rFonts w:ascii="Arial" w:hAnsi="Arial" w:cs="Arial"/>
          <w:sz w:val="18"/>
          <w:szCs w:val="18"/>
          <w:lang w:val="en-US"/>
        </w:rPr>
      </w:pPr>
    </w:p>
    <w:p w14:paraId="5410D2F4" w14:textId="77777777" w:rsidR="00F3260C" w:rsidRPr="00BD295E" w:rsidRDefault="008A5057" w:rsidP="00C968B7">
      <w:pPr>
        <w:pStyle w:val="aff2"/>
        <w:rPr>
          <w:rFonts w:ascii="Arial" w:hAnsi="Arial" w:cs="Arial"/>
          <w:sz w:val="18"/>
          <w:szCs w:val="18"/>
          <w:lang w:val="en-US"/>
        </w:rPr>
      </w:pPr>
      <w:r w:rsidRPr="00BD295E">
        <w:rPr>
          <w:rFonts w:ascii="Arial" w:hAnsi="Arial" w:cs="Arial"/>
          <w:sz w:val="18"/>
          <w:szCs w:val="18"/>
          <w:lang w:val="en-US"/>
        </w:rPr>
        <w:t xml:space="preserve">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a permanent internal control body of the Company, independent of the officers of the Company’s governing bodies and the executive arm of the Company, which is guided in its activities by the Federal Law </w:t>
      </w:r>
      <w:r w:rsidRPr="00BD295E">
        <w:rPr>
          <w:rFonts w:ascii="Arial" w:hAnsi="Arial" w:cs="Arial"/>
          <w:i/>
          <w:iCs/>
          <w:sz w:val="18"/>
          <w:szCs w:val="18"/>
          <w:lang w:val="en-US"/>
        </w:rPr>
        <w:t>On Joint Stock Companies</w:t>
      </w:r>
      <w:r w:rsidRPr="00BD295E">
        <w:rPr>
          <w:rFonts w:ascii="Arial" w:hAnsi="Arial" w:cs="Arial"/>
          <w:sz w:val="18"/>
          <w:szCs w:val="18"/>
          <w:lang w:val="en-US"/>
        </w:rPr>
        <w:t xml:space="preserve">, the Company’s Articles of Association, and the Regulations for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restated), approved by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(Minutes No. 1/2017 </w:t>
      </w:r>
      <w:r w:rsidR="008B183C" w:rsidRPr="00BD295E">
        <w:rPr>
          <w:rFonts w:ascii="Arial" w:hAnsi="Arial" w:cs="Arial"/>
          <w:sz w:val="18"/>
          <w:szCs w:val="18"/>
          <w:lang w:val="en-US"/>
        </w:rPr>
        <w:t>of</w:t>
      </w:r>
      <w:r w:rsidRPr="00BD295E">
        <w:rPr>
          <w:rFonts w:ascii="Arial" w:hAnsi="Arial" w:cs="Arial"/>
          <w:sz w:val="18"/>
          <w:szCs w:val="18"/>
          <w:lang w:val="en-US"/>
        </w:rPr>
        <w:t xml:space="preserve"> June 14, 2017). </w:t>
      </w:r>
    </w:p>
    <w:p w14:paraId="2479C929" w14:textId="77777777" w:rsidR="00F3260C" w:rsidRPr="00BD295E" w:rsidRDefault="008A5057" w:rsidP="00C968B7">
      <w:pPr>
        <w:pStyle w:val="aff2"/>
        <w:rPr>
          <w:rFonts w:ascii="Arial" w:hAnsi="Arial" w:cs="Arial"/>
          <w:sz w:val="18"/>
          <w:szCs w:val="18"/>
          <w:lang w:val="en-US"/>
        </w:rPr>
      </w:pPr>
      <w:r w:rsidRPr="00BD295E">
        <w:rPr>
          <w:rFonts w:ascii="Arial" w:hAnsi="Arial" w:cs="Arial"/>
          <w:sz w:val="18"/>
          <w:szCs w:val="18"/>
          <w:lang w:val="en-US"/>
        </w:rPr>
        <w:t xml:space="preserve">In accordance with the Company’s Articles of Association,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is elected by the </w:t>
      </w:r>
      <w:r w:rsidR="0053339C" w:rsidRPr="00BD295E">
        <w:rPr>
          <w:rFonts w:ascii="Arial" w:hAnsi="Arial" w:cs="Arial"/>
          <w:sz w:val="18"/>
          <w:szCs w:val="18"/>
          <w:lang w:val="en-US"/>
        </w:rPr>
        <w:t>General Meeting</w:t>
      </w:r>
      <w:r w:rsidRPr="00BD295E">
        <w:rPr>
          <w:rFonts w:ascii="Arial" w:hAnsi="Arial" w:cs="Arial"/>
          <w:sz w:val="18"/>
          <w:szCs w:val="18"/>
          <w:lang w:val="en-US"/>
        </w:rPr>
        <w:t>, comprising five (5) members with a term of office of one year (until the date of the next Annual General Meeting).</w:t>
      </w:r>
    </w:p>
    <w:p w14:paraId="6F2700A9" w14:textId="77777777" w:rsidR="00F3260C" w:rsidRPr="00BD295E" w:rsidRDefault="008A5057" w:rsidP="00C968B7">
      <w:pPr>
        <w:pStyle w:val="aff2"/>
        <w:rPr>
          <w:rFonts w:ascii="Arial" w:hAnsi="Arial" w:cs="Arial"/>
          <w:sz w:val="18"/>
          <w:szCs w:val="18"/>
          <w:lang w:val="en-US"/>
        </w:rPr>
      </w:pPr>
      <w:r w:rsidRPr="00BD295E">
        <w:rPr>
          <w:rFonts w:ascii="Arial" w:hAnsi="Arial" w:cs="Arial"/>
          <w:sz w:val="18"/>
          <w:szCs w:val="18"/>
          <w:lang w:val="en-US"/>
        </w:rPr>
        <w:t xml:space="preserve">In 2018,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conducted an audit of the financial and business activities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2017. Based on the results of the audit,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prepared an opinion on the reliability of data contained in the annual report and accounting (financial) statements of the Company for 2017.</w:t>
      </w:r>
    </w:p>
    <w:p w14:paraId="46513A45" w14:textId="2D978D33" w:rsidR="00E87949" w:rsidRPr="00BD295E" w:rsidRDefault="00E87949">
      <w:pPr>
        <w:rPr>
          <w:rFonts w:ascii="Arial" w:hAnsi="Arial" w:cs="Arial"/>
          <w:b/>
          <w:sz w:val="18"/>
          <w:szCs w:val="18"/>
          <w:lang w:val="en-US"/>
        </w:rPr>
      </w:pPr>
      <w:r w:rsidRPr="00BD295E">
        <w:rPr>
          <w:rFonts w:ascii="Arial" w:hAnsi="Arial" w:cs="Arial"/>
          <w:b/>
          <w:sz w:val="18"/>
          <w:szCs w:val="18"/>
          <w:lang w:val="en-US"/>
        </w:rPr>
        <w:br w:type="page"/>
      </w:r>
    </w:p>
    <w:p w14:paraId="2A10ADC7" w14:textId="77777777" w:rsidR="00F3260C" w:rsidRPr="00BD295E" w:rsidRDefault="00F3260C" w:rsidP="00C968B7">
      <w:pPr>
        <w:pStyle w:val="aff2"/>
        <w:spacing w:after="0"/>
        <w:rPr>
          <w:rFonts w:ascii="Arial" w:hAnsi="Arial" w:cs="Arial"/>
          <w:b/>
          <w:sz w:val="18"/>
          <w:szCs w:val="18"/>
          <w:lang w:val="en-US"/>
        </w:rPr>
      </w:pPr>
    </w:p>
    <w:p w14:paraId="3535520B" w14:textId="52C4B396" w:rsidR="00F3260C" w:rsidRPr="00BD295E" w:rsidRDefault="008A5057" w:rsidP="001548C9">
      <w:pPr>
        <w:pStyle w:val="aff2"/>
        <w:spacing w:after="0" w:line="228" w:lineRule="auto"/>
        <w:rPr>
          <w:rFonts w:ascii="Arial" w:hAnsi="Arial" w:cs="Arial"/>
          <w:b/>
          <w:sz w:val="18"/>
          <w:szCs w:val="18"/>
          <w:lang w:val="en-US"/>
        </w:rPr>
      </w:pPr>
      <w:r w:rsidRPr="00BD295E">
        <w:rPr>
          <w:rFonts w:ascii="Arial" w:hAnsi="Arial" w:cs="Arial"/>
          <w:b/>
          <w:sz w:val="18"/>
          <w:szCs w:val="18"/>
          <w:lang w:val="en-US"/>
        </w:rPr>
        <w:t xml:space="preserve">The current membership of the Company’s </w:t>
      </w:r>
      <w:r w:rsidR="00293DDA" w:rsidRPr="00BD295E">
        <w:rPr>
          <w:rFonts w:ascii="Arial" w:hAnsi="Arial" w:cs="Arial"/>
          <w:b/>
          <w:sz w:val="18"/>
          <w:szCs w:val="18"/>
          <w:lang w:val="en-US"/>
        </w:rPr>
        <w:t>Internal Audit Commission</w:t>
      </w:r>
      <w:r w:rsidRPr="00BD295E">
        <w:rPr>
          <w:rFonts w:ascii="Arial" w:hAnsi="Arial" w:cs="Arial"/>
          <w:b/>
          <w:sz w:val="18"/>
          <w:szCs w:val="18"/>
          <w:lang w:val="en-US"/>
        </w:rPr>
        <w:t xml:space="preserve"> elected by the Resolution of the </w:t>
      </w:r>
      <w:r w:rsidR="0053339C" w:rsidRPr="00BD295E">
        <w:rPr>
          <w:rFonts w:ascii="Arial" w:hAnsi="Arial" w:cs="Arial"/>
          <w:b/>
          <w:sz w:val="18"/>
          <w:szCs w:val="18"/>
          <w:lang w:val="en-US"/>
        </w:rPr>
        <w:t>General Meeting</w:t>
      </w:r>
      <w:r w:rsidRPr="00BD295E">
        <w:rPr>
          <w:rFonts w:ascii="Arial" w:hAnsi="Arial" w:cs="Arial"/>
          <w:b/>
          <w:sz w:val="18"/>
          <w:szCs w:val="18"/>
          <w:lang w:val="en-US"/>
        </w:rPr>
        <w:t xml:space="preserve">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June 8, 2018 (Minutes No. 2/2018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June 13, 2018</w:t>
      </w:r>
      <w:r w:rsidR="002C3947" w:rsidRPr="00BD295E">
        <w:rPr>
          <w:rFonts w:ascii="Arial" w:hAnsi="Arial" w:cs="Arial"/>
          <w:b/>
          <w:sz w:val="18"/>
          <w:szCs w:val="18"/>
          <w:lang w:val="en-US"/>
        </w:rPr>
        <w:t>)*:</w:t>
      </w:r>
    </w:p>
    <w:p w14:paraId="599935D4" w14:textId="77777777" w:rsidR="00F3260C" w:rsidRPr="00BD295E" w:rsidRDefault="00F3260C" w:rsidP="001548C9">
      <w:pPr>
        <w:pStyle w:val="aff2"/>
        <w:spacing w:after="0" w:line="228" w:lineRule="auto"/>
        <w:rPr>
          <w:rFonts w:ascii="Arial" w:hAnsi="Arial" w:cs="Arial"/>
          <w:sz w:val="18"/>
          <w:szCs w:val="18"/>
          <w:lang w:val="en-US"/>
        </w:rPr>
      </w:pPr>
    </w:p>
    <w:tbl>
      <w:tblPr>
        <w:tblW w:w="9464"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3510"/>
        <w:gridCol w:w="5954"/>
      </w:tblGrid>
      <w:tr w:rsidR="008A5057" w:rsidRPr="00BD295E" w14:paraId="4AA536A4" w14:textId="77777777" w:rsidTr="00E3510B">
        <w:trPr>
          <w:trHeight w:val="276"/>
        </w:trPr>
        <w:tc>
          <w:tcPr>
            <w:tcW w:w="3510" w:type="dxa"/>
            <w:shd w:val="clear" w:color="auto" w:fill="BDD6EE"/>
          </w:tcPr>
          <w:p w14:paraId="65B2EAF1"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Full name</w:t>
            </w:r>
          </w:p>
        </w:tc>
        <w:tc>
          <w:tcPr>
            <w:tcW w:w="5954" w:type="dxa"/>
            <w:shd w:val="clear" w:color="auto" w:fill="BDD6EE"/>
          </w:tcPr>
          <w:p w14:paraId="1BEC1318" w14:textId="77777777" w:rsidR="00F3260C" w:rsidRPr="00BD295E" w:rsidRDefault="008A5057" w:rsidP="001548C9">
            <w:pPr>
              <w:snapToGrid w:val="0"/>
              <w:spacing w:line="228" w:lineRule="auto"/>
              <w:jc w:val="both"/>
              <w:rPr>
                <w:rFonts w:ascii="Arial" w:hAnsi="Arial" w:cs="Arial"/>
                <w:b/>
                <w:bCs/>
                <w:iCs/>
                <w:sz w:val="18"/>
                <w:szCs w:val="18"/>
                <w:lang w:val="en-US"/>
              </w:rPr>
            </w:pPr>
            <w:r w:rsidRPr="00BD295E">
              <w:rPr>
                <w:rFonts w:ascii="Arial" w:hAnsi="Arial" w:cs="Arial"/>
                <w:b/>
                <w:bCs/>
                <w:sz w:val="18"/>
                <w:szCs w:val="18"/>
                <w:lang w:val="en-US"/>
              </w:rPr>
              <w:t>Marina Lelekova</w:t>
            </w:r>
          </w:p>
        </w:tc>
      </w:tr>
      <w:tr w:rsidR="008A5057" w:rsidRPr="00BD295E" w14:paraId="7D52B4E7" w14:textId="77777777" w:rsidTr="0031297B">
        <w:trPr>
          <w:trHeight w:val="276"/>
        </w:trPr>
        <w:tc>
          <w:tcPr>
            <w:tcW w:w="3510" w:type="dxa"/>
            <w:vAlign w:val="center"/>
          </w:tcPr>
          <w:p w14:paraId="3F2E10E3"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Position</w:t>
            </w:r>
          </w:p>
        </w:tc>
        <w:tc>
          <w:tcPr>
            <w:tcW w:w="5954" w:type="dxa"/>
            <w:vAlign w:val="center"/>
          </w:tcPr>
          <w:p w14:paraId="654AB01A"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Chairman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w:t>
            </w:r>
          </w:p>
        </w:tc>
      </w:tr>
      <w:tr w:rsidR="008A5057" w:rsidRPr="00BD295E" w14:paraId="3E450F1B" w14:textId="77777777" w:rsidTr="0031297B">
        <w:trPr>
          <w:trHeight w:val="276"/>
        </w:trPr>
        <w:tc>
          <w:tcPr>
            <w:tcW w:w="3510" w:type="dxa"/>
            <w:vAlign w:val="center"/>
          </w:tcPr>
          <w:p w14:paraId="68F2EB7D"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Year of birth. Nationality</w:t>
            </w:r>
          </w:p>
        </w:tc>
        <w:tc>
          <w:tcPr>
            <w:tcW w:w="5954" w:type="dxa"/>
            <w:vAlign w:val="center"/>
          </w:tcPr>
          <w:p w14:paraId="4A411811" w14:textId="54FDF82A" w:rsidR="00F3260C" w:rsidRPr="00BD295E" w:rsidRDefault="009C7C5B"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1961</w:t>
            </w:r>
            <w:r w:rsidR="008A5057" w:rsidRPr="00BD295E">
              <w:rPr>
                <w:rFonts w:ascii="Arial" w:hAnsi="Arial" w:cs="Arial"/>
                <w:sz w:val="18"/>
                <w:szCs w:val="18"/>
                <w:lang w:val="en-US"/>
              </w:rPr>
              <w:t xml:space="preserve"> Russian Federation</w:t>
            </w:r>
          </w:p>
        </w:tc>
      </w:tr>
      <w:tr w:rsidR="008A5057" w:rsidRPr="00BD295E" w14:paraId="69F3997A" w14:textId="77777777" w:rsidTr="0031297B">
        <w:trPr>
          <w:trHeight w:val="276"/>
        </w:trPr>
        <w:tc>
          <w:tcPr>
            <w:tcW w:w="3510" w:type="dxa"/>
            <w:vAlign w:val="center"/>
          </w:tcPr>
          <w:p w14:paraId="7A614ADC"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Degree</w:t>
            </w:r>
          </w:p>
        </w:tc>
        <w:tc>
          <w:tcPr>
            <w:tcW w:w="5954" w:type="dxa"/>
            <w:vAlign w:val="center"/>
          </w:tcPr>
          <w:p w14:paraId="0181C1C7"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Higher education. </w:t>
            </w:r>
            <w:r w:rsidRPr="00BD295E">
              <w:rPr>
                <w:rFonts w:ascii="Arial" w:hAnsi="Arial" w:cs="Arial"/>
                <w:bCs/>
                <w:iCs/>
                <w:sz w:val="18"/>
                <w:szCs w:val="18"/>
                <w:lang w:val="en-US"/>
              </w:rPr>
              <w:t>Far Eastern Institute of Soviet Trade, economist.</w:t>
            </w:r>
          </w:p>
        </w:tc>
      </w:tr>
      <w:tr w:rsidR="008A5057" w:rsidRPr="00BD295E" w14:paraId="6D6BD801" w14:textId="77777777" w:rsidTr="0031297B">
        <w:trPr>
          <w:trHeight w:val="276"/>
        </w:trPr>
        <w:tc>
          <w:tcPr>
            <w:tcW w:w="3510" w:type="dxa"/>
            <w:tcBorders>
              <w:bottom w:val="single" w:sz="6" w:space="0" w:color="C0C0C0"/>
            </w:tcBorders>
            <w:vAlign w:val="center"/>
          </w:tcPr>
          <w:p w14:paraId="4153C147"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Work experience over the last five (5) years</w:t>
            </w:r>
          </w:p>
        </w:tc>
        <w:tc>
          <w:tcPr>
            <w:tcW w:w="5954" w:type="dxa"/>
            <w:tcBorders>
              <w:bottom w:val="single" w:sz="6" w:space="0" w:color="C0C0C0"/>
            </w:tcBorders>
            <w:vAlign w:val="center"/>
          </w:tcPr>
          <w:p w14:paraId="452A8B92"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2015 to date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w:t>
            </w:r>
          </w:p>
          <w:p w14:paraId="0C394485"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2013 to date – Director of the Controlling and Internal Inspection Department at </w:t>
            </w:r>
            <w:r w:rsidR="00BF106F" w:rsidRPr="00BD295E">
              <w:rPr>
                <w:rFonts w:ascii="Arial" w:hAnsi="Arial" w:cs="Arial"/>
                <w:sz w:val="18"/>
                <w:szCs w:val="18"/>
                <w:lang w:val="en-US"/>
              </w:rPr>
              <w:t>PJSC “Rosseti”</w:t>
            </w:r>
          </w:p>
          <w:p w14:paraId="0C066C0D"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2009–2013</w:t>
            </w:r>
            <w:r w:rsidRPr="00BD295E">
              <w:rPr>
                <w:rFonts w:ascii="Arial" w:hAnsi="Arial" w:cs="Arial"/>
                <w:iCs/>
                <w:sz w:val="18"/>
                <w:szCs w:val="18"/>
                <w:lang w:val="en-US"/>
              </w:rPr>
              <w:t xml:space="preserve"> </w:t>
            </w:r>
            <w:r w:rsidRPr="00BD295E">
              <w:rPr>
                <w:rFonts w:ascii="Arial" w:hAnsi="Arial" w:cs="Arial"/>
                <w:sz w:val="18"/>
                <w:szCs w:val="18"/>
                <w:lang w:val="en-US"/>
              </w:rPr>
              <w:t xml:space="preserve">– Head of the Controlling and Internal Inspection Department at </w:t>
            </w:r>
            <w:r w:rsidR="00472677" w:rsidRPr="00BD295E">
              <w:rPr>
                <w:rFonts w:ascii="Arial" w:hAnsi="Arial" w:cs="Arial"/>
                <w:sz w:val="18"/>
                <w:szCs w:val="18"/>
                <w:lang w:val="en-US"/>
              </w:rPr>
              <w:t xml:space="preserve">“FGC UES”, PJSC </w:t>
            </w:r>
            <w:r w:rsidRPr="00BD295E">
              <w:rPr>
                <w:rFonts w:ascii="Arial" w:hAnsi="Arial" w:cs="Arial"/>
                <w:sz w:val="18"/>
                <w:szCs w:val="18"/>
                <w:lang w:val="en-US"/>
              </w:rPr>
              <w:t>.</w:t>
            </w:r>
          </w:p>
        </w:tc>
      </w:tr>
      <w:tr w:rsidR="008A5057" w:rsidRPr="00BD295E" w14:paraId="5584A2C3" w14:textId="77777777" w:rsidTr="0031297B">
        <w:trPr>
          <w:trHeight w:val="276"/>
        </w:trPr>
        <w:tc>
          <w:tcPr>
            <w:tcW w:w="3510" w:type="dxa"/>
            <w:tcBorders>
              <w:bottom w:val="single" w:sz="6" w:space="0" w:color="000080"/>
            </w:tcBorders>
            <w:vAlign w:val="center"/>
          </w:tcPr>
          <w:p w14:paraId="5D4AA1C9" w14:textId="77777777" w:rsidR="00F3260C" w:rsidRPr="00BD295E" w:rsidRDefault="006515AB"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Interest in the Company</w:t>
            </w:r>
          </w:p>
        </w:tc>
        <w:tc>
          <w:tcPr>
            <w:tcW w:w="5954" w:type="dxa"/>
            <w:tcBorders>
              <w:bottom w:val="single" w:sz="6" w:space="0" w:color="000080"/>
            </w:tcBorders>
            <w:vAlign w:val="center"/>
          </w:tcPr>
          <w:p w14:paraId="132D8CF1"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None</w:t>
            </w:r>
          </w:p>
        </w:tc>
      </w:tr>
    </w:tbl>
    <w:p w14:paraId="5C64E8EE" w14:textId="77777777" w:rsidR="00F3260C" w:rsidRPr="00BD295E" w:rsidRDefault="00F3260C" w:rsidP="001548C9">
      <w:pPr>
        <w:pStyle w:val="aff2"/>
        <w:spacing w:after="0" w:line="228" w:lineRule="auto"/>
        <w:rPr>
          <w:rFonts w:ascii="Arial" w:hAnsi="Arial" w:cs="Arial"/>
          <w:sz w:val="18"/>
          <w:szCs w:val="18"/>
          <w:lang w:val="en-US"/>
        </w:rPr>
      </w:pPr>
    </w:p>
    <w:tbl>
      <w:tblPr>
        <w:tblW w:w="9464"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3510"/>
        <w:gridCol w:w="5954"/>
      </w:tblGrid>
      <w:tr w:rsidR="008A5057" w:rsidRPr="00BD295E" w14:paraId="139020DD" w14:textId="77777777" w:rsidTr="00E3510B">
        <w:trPr>
          <w:trHeight w:val="276"/>
        </w:trPr>
        <w:tc>
          <w:tcPr>
            <w:tcW w:w="3510" w:type="dxa"/>
            <w:shd w:val="clear" w:color="auto" w:fill="BDD6EE"/>
          </w:tcPr>
          <w:p w14:paraId="2648E75A"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Full name</w:t>
            </w:r>
          </w:p>
        </w:tc>
        <w:tc>
          <w:tcPr>
            <w:tcW w:w="5954" w:type="dxa"/>
            <w:shd w:val="clear" w:color="auto" w:fill="BDD6EE"/>
          </w:tcPr>
          <w:p w14:paraId="55E028F5" w14:textId="77777777" w:rsidR="00F3260C" w:rsidRPr="00BD295E" w:rsidRDefault="008A5057" w:rsidP="001548C9">
            <w:pPr>
              <w:spacing w:line="228" w:lineRule="auto"/>
              <w:jc w:val="both"/>
              <w:rPr>
                <w:rFonts w:ascii="Arial" w:hAnsi="Arial" w:cs="Arial"/>
                <w:b/>
                <w:sz w:val="18"/>
                <w:szCs w:val="18"/>
                <w:lang w:val="en-US"/>
              </w:rPr>
            </w:pPr>
            <w:r w:rsidRPr="00BD295E">
              <w:rPr>
                <w:rFonts w:ascii="Arial" w:hAnsi="Arial" w:cs="Arial"/>
                <w:b/>
                <w:sz w:val="18"/>
                <w:szCs w:val="18"/>
                <w:lang w:val="en-US"/>
              </w:rPr>
              <w:t>Oksana Medvedeva</w:t>
            </w:r>
          </w:p>
        </w:tc>
      </w:tr>
      <w:tr w:rsidR="008A5057" w:rsidRPr="00BD295E" w14:paraId="4653FD84" w14:textId="77777777" w:rsidTr="0031297B">
        <w:trPr>
          <w:trHeight w:val="276"/>
        </w:trPr>
        <w:tc>
          <w:tcPr>
            <w:tcW w:w="3510" w:type="dxa"/>
            <w:vAlign w:val="center"/>
          </w:tcPr>
          <w:p w14:paraId="1B497A4E"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Position</w:t>
            </w:r>
          </w:p>
        </w:tc>
        <w:tc>
          <w:tcPr>
            <w:tcW w:w="5954" w:type="dxa"/>
            <w:vAlign w:val="center"/>
          </w:tcPr>
          <w:p w14:paraId="6CE5C8C4"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Chairman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w:t>
            </w:r>
          </w:p>
        </w:tc>
      </w:tr>
      <w:tr w:rsidR="008A5057" w:rsidRPr="00BD295E" w14:paraId="113FAFC3" w14:textId="77777777" w:rsidTr="0031297B">
        <w:trPr>
          <w:trHeight w:val="276"/>
        </w:trPr>
        <w:tc>
          <w:tcPr>
            <w:tcW w:w="3510" w:type="dxa"/>
            <w:vAlign w:val="center"/>
          </w:tcPr>
          <w:p w14:paraId="1F31839A"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Year of birth. Nationality</w:t>
            </w:r>
          </w:p>
        </w:tc>
        <w:tc>
          <w:tcPr>
            <w:tcW w:w="5954" w:type="dxa"/>
            <w:vAlign w:val="center"/>
          </w:tcPr>
          <w:p w14:paraId="49926BD5" w14:textId="2E6B31AE" w:rsidR="00F3260C" w:rsidRPr="00BD295E" w:rsidRDefault="009C7C5B"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1978</w:t>
            </w:r>
            <w:r w:rsidR="008A5057" w:rsidRPr="00BD295E">
              <w:rPr>
                <w:rFonts w:ascii="Arial" w:hAnsi="Arial" w:cs="Arial"/>
                <w:sz w:val="18"/>
                <w:szCs w:val="18"/>
                <w:lang w:val="en-US"/>
              </w:rPr>
              <w:t xml:space="preserve"> Russian Federation</w:t>
            </w:r>
          </w:p>
        </w:tc>
      </w:tr>
      <w:tr w:rsidR="008A5057" w:rsidRPr="00BD295E" w14:paraId="301D773E" w14:textId="77777777" w:rsidTr="0031297B">
        <w:trPr>
          <w:trHeight w:val="276"/>
        </w:trPr>
        <w:tc>
          <w:tcPr>
            <w:tcW w:w="3510" w:type="dxa"/>
            <w:vAlign w:val="center"/>
          </w:tcPr>
          <w:p w14:paraId="53467619"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Degree</w:t>
            </w:r>
          </w:p>
        </w:tc>
        <w:tc>
          <w:tcPr>
            <w:tcW w:w="5954" w:type="dxa"/>
            <w:vAlign w:val="center"/>
          </w:tcPr>
          <w:p w14:paraId="512D8801" w14:textId="77777777" w:rsidR="00F3260C" w:rsidRPr="00BD295E" w:rsidRDefault="008A5057" w:rsidP="001548C9">
            <w:pPr>
              <w:spacing w:line="228" w:lineRule="auto"/>
              <w:rPr>
                <w:rFonts w:ascii="Arial" w:hAnsi="Arial" w:cs="Arial"/>
                <w:sz w:val="18"/>
                <w:szCs w:val="18"/>
                <w:lang w:val="en-US"/>
              </w:rPr>
            </w:pPr>
            <w:r w:rsidRPr="00BD295E">
              <w:rPr>
                <w:rStyle w:val="Subst0"/>
                <w:rFonts w:ascii="Arial" w:hAnsi="Arial" w:cs="Arial"/>
                <w:b w:val="0"/>
                <w:bCs/>
                <w:i w:val="0"/>
                <w:iCs/>
                <w:sz w:val="18"/>
                <w:szCs w:val="18"/>
                <w:lang w:val="en-US"/>
              </w:rPr>
              <w:t xml:space="preserve">Higher education. </w:t>
            </w:r>
            <w:r w:rsidRPr="00BD295E">
              <w:rPr>
                <w:rFonts w:ascii="Arial" w:hAnsi="Arial" w:cs="Arial"/>
                <w:sz w:val="18"/>
                <w:szCs w:val="18"/>
                <w:lang w:val="en-US"/>
              </w:rPr>
              <w:t>Russian Academy of Entrepreneurship</w:t>
            </w:r>
          </w:p>
          <w:p w14:paraId="5AC76FEB" w14:textId="77777777" w:rsidR="00F3260C" w:rsidRPr="00BD295E" w:rsidRDefault="008A5057" w:rsidP="001548C9">
            <w:pPr>
              <w:spacing w:line="228" w:lineRule="auto"/>
              <w:rPr>
                <w:rFonts w:ascii="Arial" w:hAnsi="Arial" w:cs="Arial"/>
                <w:sz w:val="18"/>
                <w:szCs w:val="18"/>
                <w:lang w:val="en-US"/>
              </w:rPr>
            </w:pPr>
            <w:r w:rsidRPr="00BD295E">
              <w:rPr>
                <w:rFonts w:ascii="Arial" w:hAnsi="Arial" w:cs="Arial"/>
                <w:sz w:val="18"/>
                <w:szCs w:val="18"/>
                <w:lang w:val="en-US"/>
              </w:rPr>
              <w:t>Accounting, analysis, and audit.</w:t>
            </w:r>
          </w:p>
        </w:tc>
      </w:tr>
      <w:tr w:rsidR="008A5057" w:rsidRPr="00BD295E" w14:paraId="00FD6862" w14:textId="77777777" w:rsidTr="0031297B">
        <w:trPr>
          <w:trHeight w:val="276"/>
        </w:trPr>
        <w:tc>
          <w:tcPr>
            <w:tcW w:w="3510" w:type="dxa"/>
            <w:tcBorders>
              <w:bottom w:val="single" w:sz="6" w:space="0" w:color="C0C0C0"/>
            </w:tcBorders>
            <w:vAlign w:val="center"/>
          </w:tcPr>
          <w:p w14:paraId="75745C70"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Work experience over the last five (5) years</w:t>
            </w:r>
          </w:p>
        </w:tc>
        <w:tc>
          <w:tcPr>
            <w:tcW w:w="5954" w:type="dxa"/>
            <w:tcBorders>
              <w:bottom w:val="single" w:sz="6" w:space="0" w:color="C0C0C0"/>
            </w:tcBorders>
            <w:vAlign w:val="center"/>
          </w:tcPr>
          <w:p w14:paraId="0C0B2981" w14:textId="77777777" w:rsidR="00F3260C" w:rsidRPr="00BD295E" w:rsidRDefault="008A5057" w:rsidP="001548C9">
            <w:pPr>
              <w:snapToGrid w:val="0"/>
              <w:spacing w:line="228" w:lineRule="auto"/>
              <w:jc w:val="both"/>
              <w:rPr>
                <w:rFonts w:ascii="Arial" w:hAnsi="Arial" w:cs="Arial"/>
                <w:iCs/>
                <w:sz w:val="18"/>
                <w:szCs w:val="18"/>
                <w:lang w:val="en-US"/>
              </w:rPr>
            </w:pPr>
            <w:r w:rsidRPr="00BD295E">
              <w:rPr>
                <w:rFonts w:ascii="Arial" w:hAnsi="Arial" w:cs="Arial"/>
                <w:sz w:val="18"/>
                <w:szCs w:val="18"/>
                <w:lang w:val="en-US"/>
              </w:rPr>
              <w:t xml:space="preserve">2014 to date – Chief Expert of the Controlling and Internal Inspection Department at </w:t>
            </w:r>
            <w:r w:rsidR="00BF106F" w:rsidRPr="00BD295E">
              <w:rPr>
                <w:rFonts w:ascii="Arial" w:hAnsi="Arial" w:cs="Arial"/>
                <w:sz w:val="18"/>
                <w:szCs w:val="18"/>
                <w:lang w:val="en-US"/>
              </w:rPr>
              <w:t>PJSC “Rosseti”</w:t>
            </w:r>
          </w:p>
          <w:p w14:paraId="2343F43C" w14:textId="77777777" w:rsidR="00F3260C" w:rsidRPr="00BD295E" w:rsidRDefault="008A5057" w:rsidP="001548C9">
            <w:pPr>
              <w:snapToGrid w:val="0"/>
              <w:spacing w:line="228" w:lineRule="auto"/>
              <w:jc w:val="both"/>
              <w:rPr>
                <w:rFonts w:ascii="Arial" w:hAnsi="Arial" w:cs="Arial"/>
                <w:iCs/>
                <w:sz w:val="18"/>
                <w:szCs w:val="18"/>
                <w:lang w:val="en-US"/>
              </w:rPr>
            </w:pPr>
            <w:r w:rsidRPr="00BD295E">
              <w:rPr>
                <w:rFonts w:ascii="Arial" w:hAnsi="Arial" w:cs="Arial"/>
                <w:iCs/>
                <w:sz w:val="18"/>
                <w:szCs w:val="18"/>
                <w:lang w:val="en-US"/>
              </w:rPr>
              <w:t>2011</w:t>
            </w:r>
            <w:r w:rsidRPr="00BD295E">
              <w:rPr>
                <w:rFonts w:ascii="Arial" w:hAnsi="Arial" w:cs="Arial"/>
                <w:sz w:val="18"/>
                <w:szCs w:val="18"/>
                <w:lang w:val="en-US"/>
              </w:rPr>
              <w:t>–</w:t>
            </w:r>
            <w:r w:rsidRPr="00BD295E">
              <w:rPr>
                <w:rFonts w:ascii="Arial" w:hAnsi="Arial" w:cs="Arial"/>
                <w:iCs/>
                <w:sz w:val="18"/>
                <w:szCs w:val="18"/>
                <w:lang w:val="en-US"/>
              </w:rPr>
              <w:t xml:space="preserve">2014 </w:t>
            </w:r>
            <w:r w:rsidRPr="00BD295E">
              <w:rPr>
                <w:rFonts w:ascii="Arial" w:hAnsi="Arial" w:cs="Arial"/>
                <w:sz w:val="18"/>
                <w:szCs w:val="18"/>
                <w:lang w:val="en-US"/>
              </w:rPr>
              <w:t xml:space="preserve">– Head of Unit of the Controlling and Internal Inspection Department at </w:t>
            </w:r>
            <w:r w:rsidR="00472677" w:rsidRPr="00BD295E">
              <w:rPr>
                <w:rFonts w:ascii="Arial" w:hAnsi="Arial" w:cs="Arial"/>
                <w:sz w:val="18"/>
                <w:szCs w:val="18"/>
                <w:lang w:val="en-US"/>
              </w:rPr>
              <w:t xml:space="preserve">“FGC UES”, PJSC </w:t>
            </w:r>
            <w:r w:rsidRPr="00BD295E">
              <w:rPr>
                <w:rFonts w:ascii="Arial" w:hAnsi="Arial" w:cs="Arial"/>
                <w:sz w:val="18"/>
                <w:szCs w:val="18"/>
                <w:lang w:val="en-US"/>
              </w:rPr>
              <w:t>.</w:t>
            </w:r>
          </w:p>
        </w:tc>
      </w:tr>
      <w:tr w:rsidR="008A5057" w:rsidRPr="00BD295E" w14:paraId="1F74852D" w14:textId="77777777" w:rsidTr="0031297B">
        <w:trPr>
          <w:trHeight w:val="276"/>
        </w:trPr>
        <w:tc>
          <w:tcPr>
            <w:tcW w:w="3510" w:type="dxa"/>
            <w:tcBorders>
              <w:bottom w:val="single" w:sz="6" w:space="0" w:color="000080"/>
            </w:tcBorders>
            <w:vAlign w:val="center"/>
          </w:tcPr>
          <w:p w14:paraId="149A2F20" w14:textId="77777777" w:rsidR="00F3260C" w:rsidRPr="00BD295E" w:rsidRDefault="006515AB"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Interest in the Company</w:t>
            </w:r>
          </w:p>
        </w:tc>
        <w:tc>
          <w:tcPr>
            <w:tcW w:w="5954" w:type="dxa"/>
            <w:tcBorders>
              <w:bottom w:val="single" w:sz="6" w:space="0" w:color="000080"/>
            </w:tcBorders>
            <w:vAlign w:val="center"/>
          </w:tcPr>
          <w:p w14:paraId="7A0EA8F4"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None</w:t>
            </w:r>
          </w:p>
        </w:tc>
      </w:tr>
    </w:tbl>
    <w:p w14:paraId="5425DA33" w14:textId="77777777" w:rsidR="00F3260C" w:rsidRPr="00BD295E" w:rsidRDefault="00F3260C" w:rsidP="001548C9">
      <w:pPr>
        <w:pStyle w:val="aff2"/>
        <w:spacing w:after="0" w:line="228" w:lineRule="auto"/>
        <w:rPr>
          <w:rFonts w:ascii="Arial" w:hAnsi="Arial" w:cs="Arial"/>
          <w:sz w:val="18"/>
          <w:szCs w:val="18"/>
          <w:lang w:val="en-US"/>
        </w:rPr>
      </w:pPr>
    </w:p>
    <w:tbl>
      <w:tblPr>
        <w:tblW w:w="9464"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3510"/>
        <w:gridCol w:w="5954"/>
      </w:tblGrid>
      <w:tr w:rsidR="008A5057" w:rsidRPr="00BD295E" w14:paraId="7809A0FB" w14:textId="77777777" w:rsidTr="00E3510B">
        <w:trPr>
          <w:trHeight w:val="276"/>
        </w:trPr>
        <w:tc>
          <w:tcPr>
            <w:tcW w:w="3510" w:type="dxa"/>
            <w:shd w:val="clear" w:color="auto" w:fill="BDD6EE"/>
          </w:tcPr>
          <w:p w14:paraId="4B30C1F9"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Full name</w:t>
            </w:r>
          </w:p>
        </w:tc>
        <w:tc>
          <w:tcPr>
            <w:tcW w:w="5954" w:type="dxa"/>
            <w:shd w:val="clear" w:color="auto" w:fill="BDD6EE"/>
          </w:tcPr>
          <w:p w14:paraId="288E596E" w14:textId="77777777" w:rsidR="00F3260C" w:rsidRPr="00BD295E" w:rsidRDefault="008A5057" w:rsidP="001548C9">
            <w:pPr>
              <w:spacing w:line="228" w:lineRule="auto"/>
              <w:jc w:val="both"/>
              <w:rPr>
                <w:rFonts w:ascii="Arial" w:hAnsi="Arial" w:cs="Arial"/>
                <w:b/>
                <w:sz w:val="18"/>
                <w:szCs w:val="18"/>
                <w:lang w:val="en-US"/>
              </w:rPr>
            </w:pPr>
            <w:r w:rsidRPr="00BD295E">
              <w:rPr>
                <w:rFonts w:ascii="Arial" w:hAnsi="Arial" w:cs="Arial"/>
                <w:b/>
                <w:bCs/>
                <w:sz w:val="18"/>
                <w:szCs w:val="18"/>
                <w:lang w:val="en-US"/>
              </w:rPr>
              <w:t>Artyom Kirillov</w:t>
            </w:r>
          </w:p>
        </w:tc>
      </w:tr>
      <w:tr w:rsidR="008A5057" w:rsidRPr="00BD295E" w14:paraId="6EBA8EE9" w14:textId="77777777" w:rsidTr="0031297B">
        <w:trPr>
          <w:trHeight w:val="276"/>
        </w:trPr>
        <w:tc>
          <w:tcPr>
            <w:tcW w:w="3510" w:type="dxa"/>
            <w:vAlign w:val="center"/>
          </w:tcPr>
          <w:p w14:paraId="2471BD17"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Position</w:t>
            </w:r>
          </w:p>
        </w:tc>
        <w:tc>
          <w:tcPr>
            <w:tcW w:w="5954" w:type="dxa"/>
            <w:vAlign w:val="center"/>
          </w:tcPr>
          <w:p w14:paraId="3A6FD13B"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Member of the Company’s </w:t>
            </w:r>
            <w:r w:rsidR="00293DDA" w:rsidRPr="00BD295E">
              <w:rPr>
                <w:rFonts w:ascii="Arial" w:hAnsi="Arial" w:cs="Arial"/>
                <w:sz w:val="18"/>
                <w:szCs w:val="18"/>
                <w:lang w:val="en-US"/>
              </w:rPr>
              <w:t>Internal Audit Commission</w:t>
            </w:r>
          </w:p>
        </w:tc>
      </w:tr>
      <w:tr w:rsidR="008A5057" w:rsidRPr="00BD295E" w14:paraId="6311A945" w14:textId="77777777" w:rsidTr="0031297B">
        <w:trPr>
          <w:trHeight w:val="276"/>
        </w:trPr>
        <w:tc>
          <w:tcPr>
            <w:tcW w:w="3510" w:type="dxa"/>
            <w:vAlign w:val="center"/>
          </w:tcPr>
          <w:p w14:paraId="06096F9E"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Year of birth. Nationality</w:t>
            </w:r>
          </w:p>
        </w:tc>
        <w:tc>
          <w:tcPr>
            <w:tcW w:w="5954" w:type="dxa"/>
            <w:vAlign w:val="center"/>
          </w:tcPr>
          <w:p w14:paraId="330BB453" w14:textId="1F83E65E" w:rsidR="00F3260C" w:rsidRPr="00BD295E" w:rsidRDefault="009C7C5B"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1984</w:t>
            </w:r>
            <w:r w:rsidR="008A5057" w:rsidRPr="00BD295E">
              <w:rPr>
                <w:rFonts w:ascii="Arial" w:hAnsi="Arial" w:cs="Arial"/>
                <w:sz w:val="18"/>
                <w:szCs w:val="18"/>
                <w:lang w:val="en-US"/>
              </w:rPr>
              <w:t xml:space="preserve"> Russian Federation</w:t>
            </w:r>
          </w:p>
        </w:tc>
      </w:tr>
      <w:tr w:rsidR="008A5057" w:rsidRPr="00BD295E" w14:paraId="160654CA" w14:textId="77777777" w:rsidTr="0031297B">
        <w:trPr>
          <w:trHeight w:val="276"/>
        </w:trPr>
        <w:tc>
          <w:tcPr>
            <w:tcW w:w="3510" w:type="dxa"/>
            <w:vAlign w:val="center"/>
          </w:tcPr>
          <w:p w14:paraId="3797A318"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Degree</w:t>
            </w:r>
          </w:p>
        </w:tc>
        <w:tc>
          <w:tcPr>
            <w:tcW w:w="5954" w:type="dxa"/>
            <w:vAlign w:val="center"/>
          </w:tcPr>
          <w:p w14:paraId="4F58A031" w14:textId="77777777" w:rsidR="00F3260C" w:rsidRPr="00BD295E" w:rsidRDefault="008A5057" w:rsidP="001548C9">
            <w:pPr>
              <w:snapToGrid w:val="0"/>
              <w:spacing w:line="228" w:lineRule="auto"/>
              <w:jc w:val="both"/>
              <w:rPr>
                <w:rFonts w:ascii="Arial" w:hAnsi="Arial" w:cs="Arial"/>
                <w:b/>
                <w:i/>
                <w:sz w:val="18"/>
                <w:szCs w:val="18"/>
                <w:lang w:val="en-US"/>
              </w:rPr>
            </w:pPr>
            <w:r w:rsidRPr="00BD295E">
              <w:rPr>
                <w:rStyle w:val="Subst0"/>
                <w:rFonts w:ascii="Arial" w:hAnsi="Arial" w:cs="Arial"/>
                <w:b w:val="0"/>
                <w:bCs/>
                <w:i w:val="0"/>
                <w:iCs/>
                <w:sz w:val="18"/>
                <w:szCs w:val="18"/>
                <w:lang w:val="en-US"/>
              </w:rPr>
              <w:t>Higher education. Moscow Energy Institute, electrical engineer</w:t>
            </w:r>
          </w:p>
        </w:tc>
      </w:tr>
      <w:tr w:rsidR="008A5057" w:rsidRPr="00BD295E" w14:paraId="2339473D" w14:textId="77777777" w:rsidTr="0031297B">
        <w:trPr>
          <w:trHeight w:val="276"/>
        </w:trPr>
        <w:tc>
          <w:tcPr>
            <w:tcW w:w="3510" w:type="dxa"/>
            <w:tcBorders>
              <w:bottom w:val="single" w:sz="6" w:space="0" w:color="C0C0C0"/>
            </w:tcBorders>
            <w:vAlign w:val="center"/>
          </w:tcPr>
          <w:p w14:paraId="0BEF8CD2"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Work experience over the last five (5) years</w:t>
            </w:r>
          </w:p>
        </w:tc>
        <w:tc>
          <w:tcPr>
            <w:tcW w:w="5954" w:type="dxa"/>
            <w:tcBorders>
              <w:bottom w:val="single" w:sz="6" w:space="0" w:color="C0C0C0"/>
            </w:tcBorders>
            <w:vAlign w:val="center"/>
          </w:tcPr>
          <w:p w14:paraId="7FFA1A0B"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2015 to date – Member of the Company’s </w:t>
            </w:r>
            <w:r w:rsidR="00293DDA" w:rsidRPr="00BD295E">
              <w:rPr>
                <w:rFonts w:ascii="Arial" w:hAnsi="Arial" w:cs="Arial"/>
                <w:sz w:val="18"/>
                <w:szCs w:val="18"/>
                <w:lang w:val="en-US"/>
              </w:rPr>
              <w:t>Internal Audit Commission</w:t>
            </w:r>
            <w:r w:rsidRPr="00BD295E">
              <w:rPr>
                <w:rFonts w:ascii="Arial" w:hAnsi="Arial" w:cs="Arial"/>
                <w:sz w:val="18"/>
                <w:szCs w:val="18"/>
                <w:lang w:val="en-US"/>
              </w:rPr>
              <w:t>;</w:t>
            </w:r>
          </w:p>
          <w:p w14:paraId="38C61C52" w14:textId="77777777" w:rsidR="00F3260C" w:rsidRPr="00BD295E" w:rsidRDefault="008A5057" w:rsidP="001548C9">
            <w:pPr>
              <w:snapToGrid w:val="0"/>
              <w:spacing w:line="228" w:lineRule="auto"/>
              <w:jc w:val="both"/>
              <w:rPr>
                <w:rFonts w:ascii="Arial" w:hAnsi="Arial" w:cs="Arial"/>
                <w:iCs/>
                <w:sz w:val="18"/>
                <w:szCs w:val="18"/>
                <w:lang w:val="en-US"/>
              </w:rPr>
            </w:pPr>
            <w:r w:rsidRPr="00BD295E">
              <w:rPr>
                <w:rFonts w:ascii="Arial" w:hAnsi="Arial" w:cs="Arial"/>
                <w:sz w:val="18"/>
                <w:szCs w:val="18"/>
                <w:lang w:val="en-US"/>
              </w:rPr>
              <w:t xml:space="preserve">2013 to date – Deputy Head of the Internal Inspection Division of the Controlling and Internal Inspection Department, Head of Unit at </w:t>
            </w:r>
            <w:r w:rsidR="006515AB" w:rsidRPr="00BD295E">
              <w:rPr>
                <w:rFonts w:ascii="Arial" w:hAnsi="Arial" w:cs="Arial"/>
                <w:sz w:val="18"/>
                <w:szCs w:val="18"/>
                <w:lang w:val="en-US"/>
              </w:rPr>
              <w:t>PJSC “Rosseti”</w:t>
            </w:r>
            <w:r w:rsidRPr="00BD295E">
              <w:rPr>
                <w:rFonts w:ascii="Arial" w:hAnsi="Arial" w:cs="Arial"/>
                <w:sz w:val="18"/>
                <w:szCs w:val="18"/>
                <w:lang w:val="en-US"/>
              </w:rPr>
              <w:t>.</w:t>
            </w:r>
          </w:p>
        </w:tc>
      </w:tr>
      <w:tr w:rsidR="008A5057" w:rsidRPr="00BD295E" w14:paraId="08D17B0A" w14:textId="77777777" w:rsidTr="0031297B">
        <w:trPr>
          <w:trHeight w:val="276"/>
        </w:trPr>
        <w:tc>
          <w:tcPr>
            <w:tcW w:w="3510" w:type="dxa"/>
            <w:tcBorders>
              <w:bottom w:val="single" w:sz="6" w:space="0" w:color="000080"/>
            </w:tcBorders>
            <w:vAlign w:val="center"/>
          </w:tcPr>
          <w:p w14:paraId="676EB3A4" w14:textId="77777777" w:rsidR="00F3260C" w:rsidRPr="00BD295E" w:rsidRDefault="006515AB"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Interest in the Company</w:t>
            </w:r>
          </w:p>
        </w:tc>
        <w:tc>
          <w:tcPr>
            <w:tcW w:w="5954" w:type="dxa"/>
            <w:tcBorders>
              <w:bottom w:val="single" w:sz="6" w:space="0" w:color="000080"/>
            </w:tcBorders>
            <w:vAlign w:val="center"/>
          </w:tcPr>
          <w:p w14:paraId="1CEE9B88"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None</w:t>
            </w:r>
          </w:p>
        </w:tc>
      </w:tr>
    </w:tbl>
    <w:p w14:paraId="6769DECF" w14:textId="77777777" w:rsidR="00F3260C" w:rsidRPr="00BD295E" w:rsidRDefault="00F3260C" w:rsidP="001548C9">
      <w:pPr>
        <w:pStyle w:val="aff2"/>
        <w:spacing w:after="0" w:line="228" w:lineRule="auto"/>
        <w:rPr>
          <w:rFonts w:ascii="Arial" w:hAnsi="Arial" w:cs="Arial"/>
          <w:sz w:val="18"/>
          <w:szCs w:val="18"/>
          <w:lang w:val="en-US"/>
        </w:rPr>
      </w:pPr>
    </w:p>
    <w:tbl>
      <w:tblPr>
        <w:tblW w:w="9464"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3510"/>
        <w:gridCol w:w="5954"/>
      </w:tblGrid>
      <w:tr w:rsidR="008A5057" w:rsidRPr="00BD295E" w14:paraId="2FDABD3A" w14:textId="77777777" w:rsidTr="00E3510B">
        <w:trPr>
          <w:trHeight w:val="276"/>
        </w:trPr>
        <w:tc>
          <w:tcPr>
            <w:tcW w:w="3510" w:type="dxa"/>
            <w:shd w:val="clear" w:color="auto" w:fill="BDD6EE"/>
          </w:tcPr>
          <w:p w14:paraId="6395A388"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Full name</w:t>
            </w:r>
          </w:p>
        </w:tc>
        <w:tc>
          <w:tcPr>
            <w:tcW w:w="5954" w:type="dxa"/>
            <w:shd w:val="clear" w:color="auto" w:fill="BDD6EE"/>
          </w:tcPr>
          <w:p w14:paraId="7EAF8DAA" w14:textId="77777777" w:rsidR="00F3260C" w:rsidRPr="00BD295E" w:rsidRDefault="008A5057" w:rsidP="001548C9">
            <w:pPr>
              <w:spacing w:line="228" w:lineRule="auto"/>
              <w:jc w:val="both"/>
              <w:rPr>
                <w:rFonts w:ascii="Arial" w:hAnsi="Arial" w:cs="Arial"/>
                <w:b/>
                <w:i/>
                <w:sz w:val="18"/>
                <w:szCs w:val="18"/>
                <w:lang w:val="en-US"/>
              </w:rPr>
            </w:pPr>
            <w:r w:rsidRPr="00BD295E">
              <w:rPr>
                <w:rFonts w:ascii="Arial" w:hAnsi="Arial" w:cs="Arial"/>
                <w:b/>
                <w:bCs/>
                <w:sz w:val="18"/>
                <w:szCs w:val="18"/>
                <w:lang w:val="en-US"/>
              </w:rPr>
              <w:t>Yelena Kabizskina</w:t>
            </w:r>
          </w:p>
        </w:tc>
      </w:tr>
      <w:tr w:rsidR="008A5057" w:rsidRPr="00BD295E" w14:paraId="6DDBD655" w14:textId="77777777" w:rsidTr="0031297B">
        <w:trPr>
          <w:trHeight w:val="276"/>
        </w:trPr>
        <w:tc>
          <w:tcPr>
            <w:tcW w:w="3510" w:type="dxa"/>
            <w:vAlign w:val="center"/>
          </w:tcPr>
          <w:p w14:paraId="759A2752"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Position</w:t>
            </w:r>
          </w:p>
        </w:tc>
        <w:tc>
          <w:tcPr>
            <w:tcW w:w="5954" w:type="dxa"/>
            <w:vAlign w:val="center"/>
          </w:tcPr>
          <w:p w14:paraId="35E3590B"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Member of the Company’s </w:t>
            </w:r>
            <w:r w:rsidR="00293DDA" w:rsidRPr="00BD295E">
              <w:rPr>
                <w:rFonts w:ascii="Arial" w:hAnsi="Arial" w:cs="Arial"/>
                <w:sz w:val="18"/>
                <w:szCs w:val="18"/>
                <w:lang w:val="en-US"/>
              </w:rPr>
              <w:t>Internal Audit Commission</w:t>
            </w:r>
          </w:p>
        </w:tc>
      </w:tr>
      <w:tr w:rsidR="008A5057" w:rsidRPr="00BD295E" w14:paraId="701D9793" w14:textId="77777777" w:rsidTr="0031297B">
        <w:trPr>
          <w:trHeight w:val="276"/>
        </w:trPr>
        <w:tc>
          <w:tcPr>
            <w:tcW w:w="3510" w:type="dxa"/>
            <w:vAlign w:val="center"/>
          </w:tcPr>
          <w:p w14:paraId="25BA64D4"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Year of birth. Nationality</w:t>
            </w:r>
          </w:p>
        </w:tc>
        <w:tc>
          <w:tcPr>
            <w:tcW w:w="5954" w:type="dxa"/>
            <w:vAlign w:val="center"/>
          </w:tcPr>
          <w:p w14:paraId="7ABAECDB" w14:textId="3F009899" w:rsidR="00F3260C" w:rsidRPr="00BD295E" w:rsidRDefault="009C7C5B"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1964</w:t>
            </w:r>
            <w:r w:rsidR="008A5057" w:rsidRPr="00BD295E">
              <w:rPr>
                <w:rFonts w:ascii="Arial" w:hAnsi="Arial" w:cs="Arial"/>
                <w:sz w:val="18"/>
                <w:szCs w:val="18"/>
                <w:lang w:val="en-US"/>
              </w:rPr>
              <w:t xml:space="preserve"> Russian Federation</w:t>
            </w:r>
          </w:p>
        </w:tc>
      </w:tr>
      <w:tr w:rsidR="008A5057" w:rsidRPr="00BD295E" w14:paraId="25D716A0" w14:textId="77777777" w:rsidTr="0031297B">
        <w:trPr>
          <w:trHeight w:val="276"/>
        </w:trPr>
        <w:tc>
          <w:tcPr>
            <w:tcW w:w="3510" w:type="dxa"/>
            <w:vAlign w:val="center"/>
          </w:tcPr>
          <w:p w14:paraId="3A4CD2B8"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Degree</w:t>
            </w:r>
          </w:p>
        </w:tc>
        <w:tc>
          <w:tcPr>
            <w:tcW w:w="5954" w:type="dxa"/>
            <w:vAlign w:val="center"/>
          </w:tcPr>
          <w:p w14:paraId="303CC179" w14:textId="77777777" w:rsidR="00F3260C" w:rsidRPr="00BD295E" w:rsidRDefault="008A5057" w:rsidP="001548C9">
            <w:pPr>
              <w:snapToGrid w:val="0"/>
              <w:spacing w:line="228" w:lineRule="auto"/>
              <w:jc w:val="both"/>
              <w:rPr>
                <w:rFonts w:ascii="Arial" w:hAnsi="Arial" w:cs="Arial"/>
                <w:b/>
                <w:i/>
                <w:sz w:val="18"/>
                <w:szCs w:val="18"/>
                <w:lang w:val="en-US"/>
              </w:rPr>
            </w:pPr>
            <w:r w:rsidRPr="00BD295E">
              <w:rPr>
                <w:rStyle w:val="Subst0"/>
                <w:rFonts w:ascii="Arial" w:hAnsi="Arial" w:cs="Arial"/>
                <w:b w:val="0"/>
                <w:bCs/>
                <w:i w:val="0"/>
                <w:iCs/>
                <w:sz w:val="18"/>
                <w:szCs w:val="18"/>
                <w:lang w:val="en-US"/>
              </w:rPr>
              <w:t>Higher education.</w:t>
            </w:r>
          </w:p>
        </w:tc>
      </w:tr>
      <w:tr w:rsidR="008A5057" w:rsidRPr="00BD295E" w14:paraId="4EC62594" w14:textId="77777777" w:rsidTr="0031297B">
        <w:trPr>
          <w:trHeight w:val="276"/>
        </w:trPr>
        <w:tc>
          <w:tcPr>
            <w:tcW w:w="3510" w:type="dxa"/>
            <w:tcBorders>
              <w:bottom w:val="single" w:sz="6" w:space="0" w:color="C0C0C0"/>
            </w:tcBorders>
            <w:vAlign w:val="center"/>
          </w:tcPr>
          <w:p w14:paraId="478BBF88"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Work experience over the last five (5) years</w:t>
            </w:r>
          </w:p>
        </w:tc>
        <w:tc>
          <w:tcPr>
            <w:tcW w:w="5954" w:type="dxa"/>
            <w:tcBorders>
              <w:bottom w:val="single" w:sz="6" w:space="0" w:color="C0C0C0"/>
            </w:tcBorders>
            <w:vAlign w:val="center"/>
          </w:tcPr>
          <w:p w14:paraId="573FA237"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2015 to date – Member of the Company’s </w:t>
            </w:r>
            <w:r w:rsidR="00293DDA" w:rsidRPr="00BD295E">
              <w:rPr>
                <w:rFonts w:ascii="Arial" w:hAnsi="Arial" w:cs="Arial"/>
                <w:sz w:val="18"/>
                <w:szCs w:val="18"/>
                <w:lang w:val="en-US"/>
              </w:rPr>
              <w:t>Internal Audit Commission</w:t>
            </w:r>
            <w:r w:rsidRPr="00BD295E">
              <w:rPr>
                <w:rFonts w:ascii="Arial" w:hAnsi="Arial" w:cs="Arial"/>
                <w:sz w:val="18"/>
                <w:szCs w:val="18"/>
                <w:lang w:val="en-US"/>
              </w:rPr>
              <w:t>;</w:t>
            </w:r>
          </w:p>
          <w:p w14:paraId="3F3F01B4"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2014 to date – Deputy Head of the Internal Inspection Division of the Controlling and Internal Inspection Department, Head of Unit at </w:t>
            </w:r>
            <w:r w:rsidR="006515AB" w:rsidRPr="00BD295E">
              <w:rPr>
                <w:rFonts w:ascii="Arial" w:hAnsi="Arial" w:cs="Arial"/>
                <w:sz w:val="18"/>
                <w:szCs w:val="18"/>
                <w:lang w:val="en-US"/>
              </w:rPr>
              <w:t>PJSC “Rosseti”</w:t>
            </w:r>
            <w:r w:rsidRPr="00BD295E">
              <w:rPr>
                <w:rFonts w:ascii="Arial" w:hAnsi="Arial" w:cs="Arial"/>
                <w:sz w:val="18"/>
                <w:szCs w:val="18"/>
                <w:lang w:val="en-US"/>
              </w:rPr>
              <w:t>.</w:t>
            </w:r>
          </w:p>
          <w:p w14:paraId="6F313B8B"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2013 – 2014 – Head of the Methodological Support Division of the Internal Audit Department at </w:t>
            </w:r>
            <w:r w:rsidR="00472677" w:rsidRPr="00BD295E">
              <w:rPr>
                <w:rFonts w:ascii="Arial" w:hAnsi="Arial" w:cs="Arial"/>
                <w:sz w:val="18"/>
                <w:szCs w:val="18"/>
                <w:lang w:val="en-US"/>
              </w:rPr>
              <w:t xml:space="preserve">“MOESK”, PJSC </w:t>
            </w:r>
          </w:p>
        </w:tc>
      </w:tr>
      <w:tr w:rsidR="008A5057" w:rsidRPr="00BD295E" w14:paraId="35E9DE7A" w14:textId="77777777" w:rsidTr="0031297B">
        <w:trPr>
          <w:trHeight w:val="276"/>
        </w:trPr>
        <w:tc>
          <w:tcPr>
            <w:tcW w:w="3510" w:type="dxa"/>
            <w:tcBorders>
              <w:bottom w:val="single" w:sz="6" w:space="0" w:color="000080"/>
            </w:tcBorders>
            <w:vAlign w:val="center"/>
          </w:tcPr>
          <w:p w14:paraId="229C6FC4" w14:textId="77777777" w:rsidR="00F3260C" w:rsidRPr="00BD295E" w:rsidRDefault="006515AB"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Interest in the Company</w:t>
            </w:r>
          </w:p>
        </w:tc>
        <w:tc>
          <w:tcPr>
            <w:tcW w:w="5954" w:type="dxa"/>
            <w:tcBorders>
              <w:bottom w:val="single" w:sz="6" w:space="0" w:color="000080"/>
            </w:tcBorders>
            <w:vAlign w:val="center"/>
          </w:tcPr>
          <w:p w14:paraId="6678733D"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None</w:t>
            </w:r>
          </w:p>
        </w:tc>
      </w:tr>
    </w:tbl>
    <w:p w14:paraId="6808B6B3" w14:textId="77777777" w:rsidR="00F3260C" w:rsidRPr="00BD295E" w:rsidRDefault="00F3260C" w:rsidP="001548C9">
      <w:pPr>
        <w:pStyle w:val="aff2"/>
        <w:spacing w:after="0" w:line="228" w:lineRule="auto"/>
        <w:rPr>
          <w:rFonts w:ascii="Arial" w:hAnsi="Arial" w:cs="Arial"/>
          <w:sz w:val="18"/>
          <w:szCs w:val="18"/>
          <w:lang w:val="en-US"/>
        </w:rPr>
      </w:pPr>
    </w:p>
    <w:tbl>
      <w:tblPr>
        <w:tblpPr w:leftFromText="180" w:rightFromText="180" w:vertAnchor="text" w:horzAnchor="margin" w:tblpY="72"/>
        <w:tblW w:w="9464"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ayout w:type="fixed"/>
        <w:tblLook w:val="0000" w:firstRow="0" w:lastRow="0" w:firstColumn="0" w:lastColumn="0" w:noHBand="0" w:noVBand="0"/>
      </w:tblPr>
      <w:tblGrid>
        <w:gridCol w:w="3510"/>
        <w:gridCol w:w="5954"/>
      </w:tblGrid>
      <w:tr w:rsidR="008A5057" w:rsidRPr="00BD295E" w14:paraId="200F2D29" w14:textId="77777777" w:rsidTr="00E3510B">
        <w:trPr>
          <w:trHeight w:val="276"/>
        </w:trPr>
        <w:tc>
          <w:tcPr>
            <w:tcW w:w="3510" w:type="dxa"/>
            <w:shd w:val="clear" w:color="auto" w:fill="DEEAF6"/>
          </w:tcPr>
          <w:p w14:paraId="3155DCB3"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Full name</w:t>
            </w:r>
          </w:p>
        </w:tc>
        <w:tc>
          <w:tcPr>
            <w:tcW w:w="5954" w:type="dxa"/>
            <w:shd w:val="clear" w:color="auto" w:fill="DEEAF6"/>
          </w:tcPr>
          <w:p w14:paraId="4600998A" w14:textId="77777777" w:rsidR="00F3260C" w:rsidRPr="00BD295E" w:rsidRDefault="008A5057" w:rsidP="001548C9">
            <w:pPr>
              <w:snapToGrid w:val="0"/>
              <w:spacing w:line="228" w:lineRule="auto"/>
              <w:jc w:val="both"/>
              <w:rPr>
                <w:rFonts w:ascii="Arial" w:hAnsi="Arial" w:cs="Arial"/>
                <w:b/>
                <w:bCs/>
                <w:i/>
                <w:iCs/>
                <w:sz w:val="18"/>
                <w:szCs w:val="18"/>
                <w:lang w:val="en-US"/>
              </w:rPr>
            </w:pPr>
            <w:r w:rsidRPr="00BD295E">
              <w:rPr>
                <w:rFonts w:ascii="Arial" w:hAnsi="Arial" w:cs="Arial"/>
                <w:b/>
                <w:bCs/>
                <w:sz w:val="18"/>
                <w:szCs w:val="18"/>
                <w:lang w:val="en-US"/>
              </w:rPr>
              <w:t>Yelena Yerandina</w:t>
            </w:r>
          </w:p>
        </w:tc>
      </w:tr>
      <w:tr w:rsidR="008A5057" w:rsidRPr="00BD295E" w14:paraId="1ABA0044" w14:textId="77777777" w:rsidTr="0031297B">
        <w:trPr>
          <w:trHeight w:val="276"/>
        </w:trPr>
        <w:tc>
          <w:tcPr>
            <w:tcW w:w="3510" w:type="dxa"/>
            <w:vAlign w:val="center"/>
          </w:tcPr>
          <w:p w14:paraId="01443233"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Position</w:t>
            </w:r>
          </w:p>
        </w:tc>
        <w:tc>
          <w:tcPr>
            <w:tcW w:w="5954" w:type="dxa"/>
            <w:vAlign w:val="center"/>
          </w:tcPr>
          <w:p w14:paraId="304679C3"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Member of the Company’s </w:t>
            </w:r>
            <w:r w:rsidR="00293DDA" w:rsidRPr="00BD295E">
              <w:rPr>
                <w:rFonts w:ascii="Arial" w:hAnsi="Arial" w:cs="Arial"/>
                <w:sz w:val="18"/>
                <w:szCs w:val="18"/>
                <w:lang w:val="en-US"/>
              </w:rPr>
              <w:t>Internal Audit Commission</w:t>
            </w:r>
          </w:p>
        </w:tc>
      </w:tr>
      <w:tr w:rsidR="008A5057" w:rsidRPr="00BD295E" w14:paraId="06EECC2F" w14:textId="77777777" w:rsidTr="0031297B">
        <w:trPr>
          <w:trHeight w:val="276"/>
        </w:trPr>
        <w:tc>
          <w:tcPr>
            <w:tcW w:w="3510" w:type="dxa"/>
            <w:vAlign w:val="center"/>
          </w:tcPr>
          <w:p w14:paraId="6CA8E82F"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Year of birth. Nationality</w:t>
            </w:r>
          </w:p>
        </w:tc>
        <w:tc>
          <w:tcPr>
            <w:tcW w:w="5954" w:type="dxa"/>
            <w:vAlign w:val="center"/>
          </w:tcPr>
          <w:p w14:paraId="26E05377"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1972 Russian Federation</w:t>
            </w:r>
          </w:p>
        </w:tc>
      </w:tr>
      <w:tr w:rsidR="008A5057" w:rsidRPr="00BD295E" w14:paraId="25921F30" w14:textId="77777777" w:rsidTr="0031297B">
        <w:trPr>
          <w:trHeight w:val="276"/>
        </w:trPr>
        <w:tc>
          <w:tcPr>
            <w:tcW w:w="3510" w:type="dxa"/>
            <w:vAlign w:val="center"/>
          </w:tcPr>
          <w:p w14:paraId="121BD349"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Degree</w:t>
            </w:r>
          </w:p>
        </w:tc>
        <w:tc>
          <w:tcPr>
            <w:tcW w:w="5954" w:type="dxa"/>
            <w:vAlign w:val="center"/>
          </w:tcPr>
          <w:p w14:paraId="50855170" w14:textId="77777777" w:rsidR="00F3260C" w:rsidRPr="00BD295E" w:rsidRDefault="008A5057" w:rsidP="001548C9">
            <w:pPr>
              <w:snapToGrid w:val="0"/>
              <w:spacing w:line="228" w:lineRule="auto"/>
              <w:jc w:val="both"/>
              <w:rPr>
                <w:rFonts w:ascii="Arial" w:hAnsi="Arial" w:cs="Arial"/>
                <w:b/>
                <w:i/>
                <w:iCs/>
                <w:sz w:val="18"/>
                <w:szCs w:val="18"/>
                <w:lang w:val="en-US"/>
              </w:rPr>
            </w:pPr>
            <w:r w:rsidRPr="00BD295E">
              <w:rPr>
                <w:rStyle w:val="Subst0"/>
                <w:rFonts w:ascii="Arial" w:hAnsi="Arial" w:cs="Arial"/>
                <w:b w:val="0"/>
                <w:bCs/>
                <w:i w:val="0"/>
                <w:iCs/>
                <w:sz w:val="18"/>
                <w:szCs w:val="18"/>
                <w:lang w:val="en-US"/>
              </w:rPr>
              <w:t>Higher education. Moscow State University of Environmental Engineering, planning engineer (1994); State University of Management, economist (2006).</w:t>
            </w:r>
          </w:p>
        </w:tc>
      </w:tr>
      <w:tr w:rsidR="008A5057" w:rsidRPr="00BD295E" w14:paraId="35C9CC29" w14:textId="77777777" w:rsidTr="0031297B">
        <w:trPr>
          <w:trHeight w:val="276"/>
        </w:trPr>
        <w:tc>
          <w:tcPr>
            <w:tcW w:w="3510" w:type="dxa"/>
            <w:tcBorders>
              <w:bottom w:val="single" w:sz="6" w:space="0" w:color="C0C0C0"/>
            </w:tcBorders>
            <w:vAlign w:val="center"/>
          </w:tcPr>
          <w:p w14:paraId="71C344AF"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Work experience over the last five (5) years</w:t>
            </w:r>
          </w:p>
        </w:tc>
        <w:tc>
          <w:tcPr>
            <w:tcW w:w="5954" w:type="dxa"/>
            <w:tcBorders>
              <w:bottom w:val="single" w:sz="6" w:space="0" w:color="C0C0C0"/>
            </w:tcBorders>
            <w:vAlign w:val="center"/>
          </w:tcPr>
          <w:p w14:paraId="6B2EDC04" w14:textId="77777777" w:rsidR="00F3260C" w:rsidRPr="00BD295E" w:rsidRDefault="008A5057" w:rsidP="001548C9">
            <w:pPr>
              <w:snapToGrid w:val="0"/>
              <w:spacing w:line="228" w:lineRule="auto"/>
              <w:jc w:val="both"/>
              <w:rPr>
                <w:rFonts w:ascii="Arial" w:hAnsi="Arial" w:cs="Arial"/>
                <w:iCs/>
                <w:sz w:val="18"/>
                <w:szCs w:val="18"/>
                <w:lang w:val="en-US"/>
              </w:rPr>
            </w:pPr>
            <w:r w:rsidRPr="00BD295E">
              <w:rPr>
                <w:rFonts w:ascii="Arial" w:hAnsi="Arial" w:cs="Arial"/>
                <w:sz w:val="18"/>
                <w:szCs w:val="18"/>
                <w:lang w:val="en-US"/>
              </w:rPr>
              <w:t xml:space="preserve">2018 to date – Member of the Company’s </w:t>
            </w:r>
            <w:r w:rsidR="00293DDA" w:rsidRPr="00BD295E">
              <w:rPr>
                <w:rFonts w:ascii="Arial" w:hAnsi="Arial" w:cs="Arial"/>
                <w:sz w:val="18"/>
                <w:szCs w:val="18"/>
                <w:lang w:val="en-US"/>
              </w:rPr>
              <w:t>Internal Audit Commission</w:t>
            </w:r>
            <w:r w:rsidRPr="00BD295E">
              <w:rPr>
                <w:rFonts w:ascii="Arial" w:hAnsi="Arial" w:cs="Arial"/>
                <w:sz w:val="18"/>
                <w:szCs w:val="18"/>
                <w:lang w:val="en-US"/>
              </w:rPr>
              <w:t>;</w:t>
            </w:r>
          </w:p>
          <w:p w14:paraId="7FBB7BC3" w14:textId="77777777" w:rsidR="00F3260C" w:rsidRPr="00BD295E" w:rsidRDefault="008A5057"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 xml:space="preserve">2016 to date – Chief Expert of the Control and Expert Appraisal Division of the Controlling and Internal Inspection Department at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5687E0D9" w14:textId="77777777" w:rsidR="00F3260C" w:rsidRPr="00BD295E" w:rsidRDefault="008A5057" w:rsidP="001548C9">
            <w:pPr>
              <w:snapToGrid w:val="0"/>
              <w:spacing w:line="228" w:lineRule="auto"/>
              <w:jc w:val="both"/>
              <w:rPr>
                <w:rFonts w:ascii="Arial" w:hAnsi="Arial" w:cs="Arial"/>
                <w:iCs/>
                <w:sz w:val="18"/>
                <w:szCs w:val="18"/>
                <w:lang w:val="en-US"/>
              </w:rPr>
            </w:pPr>
            <w:r w:rsidRPr="00BD295E">
              <w:rPr>
                <w:rFonts w:ascii="Arial" w:hAnsi="Arial" w:cs="Arial"/>
                <w:sz w:val="18"/>
                <w:szCs w:val="18"/>
                <w:lang w:val="en-US"/>
              </w:rPr>
              <w:t xml:space="preserve">2013 – 2015 – Chief Specialist of the Internal Audit Service at ELEKTROSETSERVIS of the UNES, OJSC. </w:t>
            </w:r>
          </w:p>
        </w:tc>
      </w:tr>
      <w:tr w:rsidR="008A5057" w:rsidRPr="00BD295E" w14:paraId="0980B976" w14:textId="77777777" w:rsidTr="0031297B">
        <w:trPr>
          <w:trHeight w:val="276"/>
        </w:trPr>
        <w:tc>
          <w:tcPr>
            <w:tcW w:w="3510" w:type="dxa"/>
            <w:tcBorders>
              <w:bottom w:val="single" w:sz="6" w:space="0" w:color="000080"/>
            </w:tcBorders>
            <w:vAlign w:val="center"/>
          </w:tcPr>
          <w:p w14:paraId="19AA06E1" w14:textId="77777777" w:rsidR="00F3260C" w:rsidRPr="00BD295E" w:rsidRDefault="006515AB" w:rsidP="001548C9">
            <w:pPr>
              <w:snapToGrid w:val="0"/>
              <w:spacing w:line="228" w:lineRule="auto"/>
              <w:jc w:val="both"/>
              <w:rPr>
                <w:rFonts w:ascii="Arial" w:hAnsi="Arial" w:cs="Arial"/>
                <w:sz w:val="18"/>
                <w:szCs w:val="18"/>
                <w:lang w:val="en-US"/>
              </w:rPr>
            </w:pPr>
            <w:r w:rsidRPr="00BD295E">
              <w:rPr>
                <w:rFonts w:ascii="Arial" w:hAnsi="Arial" w:cs="Arial"/>
                <w:sz w:val="18"/>
                <w:szCs w:val="18"/>
                <w:lang w:val="en-US"/>
              </w:rPr>
              <w:t>Interest in the Company</w:t>
            </w:r>
          </w:p>
        </w:tc>
        <w:tc>
          <w:tcPr>
            <w:tcW w:w="5954" w:type="dxa"/>
            <w:tcBorders>
              <w:bottom w:val="single" w:sz="6" w:space="0" w:color="000080"/>
            </w:tcBorders>
            <w:vAlign w:val="center"/>
          </w:tcPr>
          <w:p w14:paraId="2AD6B23E" w14:textId="77777777" w:rsidR="00F3260C" w:rsidRPr="00BD295E" w:rsidRDefault="008A5057" w:rsidP="001548C9">
            <w:pPr>
              <w:snapToGrid w:val="0"/>
              <w:spacing w:line="228" w:lineRule="auto"/>
              <w:jc w:val="both"/>
              <w:rPr>
                <w:rFonts w:ascii="Arial" w:hAnsi="Arial" w:cs="Arial"/>
                <w:iCs/>
                <w:sz w:val="18"/>
                <w:szCs w:val="18"/>
                <w:lang w:val="en-US"/>
              </w:rPr>
            </w:pPr>
            <w:r w:rsidRPr="00BD295E">
              <w:rPr>
                <w:rFonts w:ascii="Arial" w:hAnsi="Arial" w:cs="Arial"/>
                <w:sz w:val="18"/>
                <w:szCs w:val="18"/>
                <w:lang w:val="en-US"/>
              </w:rPr>
              <w:t>None</w:t>
            </w:r>
          </w:p>
        </w:tc>
      </w:tr>
    </w:tbl>
    <w:p w14:paraId="2A579B8A" w14:textId="77777777" w:rsidR="00F3260C" w:rsidRPr="00BD295E" w:rsidRDefault="008A5057" w:rsidP="00F3260C">
      <w:pPr>
        <w:pStyle w:val="aff2"/>
        <w:spacing w:after="0"/>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7DF6D565" w14:textId="77777777" w:rsidR="00F3260C" w:rsidRPr="00BD295E" w:rsidRDefault="00F3260C" w:rsidP="00F3260C">
      <w:pPr>
        <w:pStyle w:val="aff2"/>
        <w:spacing w:after="0"/>
        <w:rPr>
          <w:rFonts w:ascii="Arial" w:hAnsi="Arial" w:cs="Arial"/>
          <w:b/>
          <w:sz w:val="18"/>
          <w:szCs w:val="18"/>
          <w:lang w:val="en-US"/>
        </w:rPr>
      </w:pPr>
    </w:p>
    <w:p w14:paraId="016582D9" w14:textId="77777777" w:rsidR="00F3260C" w:rsidRPr="00BD295E" w:rsidRDefault="008A5057" w:rsidP="00F3260C">
      <w:pPr>
        <w:pStyle w:val="aff2"/>
        <w:spacing w:after="0"/>
        <w:rPr>
          <w:rFonts w:ascii="Arial" w:hAnsi="Arial" w:cs="Arial"/>
          <w:b/>
          <w:sz w:val="18"/>
          <w:szCs w:val="18"/>
          <w:lang w:val="en-US"/>
        </w:rPr>
      </w:pPr>
      <w:r w:rsidRPr="00BD295E">
        <w:rPr>
          <w:rFonts w:ascii="Arial" w:hAnsi="Arial" w:cs="Arial"/>
          <w:b/>
          <w:sz w:val="18"/>
          <w:szCs w:val="18"/>
          <w:lang w:val="en-US"/>
        </w:rPr>
        <w:t>Composition of the Board of Directors of the Company in 2018</w:t>
      </w:r>
    </w:p>
    <w:p w14:paraId="2E597BC0" w14:textId="77777777" w:rsidR="00F3260C" w:rsidRPr="00BD295E" w:rsidRDefault="00F3260C" w:rsidP="00F3260C">
      <w:pPr>
        <w:pStyle w:val="aff2"/>
        <w:spacing w:after="0"/>
        <w:rPr>
          <w:rFonts w:ascii="Arial" w:hAnsi="Arial" w:cs="Arial"/>
          <w:sz w:val="18"/>
          <w:szCs w:val="18"/>
          <w:lang w:val="en-US"/>
        </w:rPr>
      </w:pPr>
    </w:p>
    <w:p w14:paraId="39ED4214" w14:textId="7A8814CF" w:rsidR="00F3260C" w:rsidRPr="00BD295E" w:rsidRDefault="008A5057" w:rsidP="00F3260C">
      <w:pPr>
        <w:pStyle w:val="aff2"/>
        <w:spacing w:after="0"/>
        <w:rPr>
          <w:rFonts w:ascii="Arial" w:hAnsi="Arial" w:cs="Arial"/>
          <w:b/>
          <w:sz w:val="18"/>
          <w:szCs w:val="18"/>
          <w:lang w:val="en-US"/>
        </w:rPr>
      </w:pPr>
      <w:r w:rsidRPr="00BD295E">
        <w:rPr>
          <w:rFonts w:ascii="Arial" w:hAnsi="Arial" w:cs="Arial"/>
          <w:b/>
          <w:sz w:val="18"/>
          <w:szCs w:val="18"/>
          <w:lang w:val="en-US"/>
        </w:rPr>
        <w:t xml:space="preserve">Membership of the Company’s </w:t>
      </w:r>
      <w:r w:rsidR="00293DDA" w:rsidRPr="00BD295E">
        <w:rPr>
          <w:rFonts w:ascii="Arial" w:hAnsi="Arial" w:cs="Arial"/>
          <w:b/>
          <w:sz w:val="18"/>
          <w:szCs w:val="18"/>
          <w:lang w:val="en-US"/>
        </w:rPr>
        <w:t>Internal Audit Commission</w:t>
      </w:r>
      <w:r w:rsidRPr="00BD295E">
        <w:rPr>
          <w:rFonts w:ascii="Arial" w:hAnsi="Arial" w:cs="Arial"/>
          <w:b/>
          <w:sz w:val="18"/>
          <w:szCs w:val="18"/>
          <w:lang w:val="en-US"/>
        </w:rPr>
        <w:t xml:space="preserve"> elected by the Resolution of the </w:t>
      </w:r>
      <w:r w:rsidR="0053339C" w:rsidRPr="00BD295E">
        <w:rPr>
          <w:rFonts w:ascii="Arial" w:hAnsi="Arial" w:cs="Arial"/>
          <w:b/>
          <w:sz w:val="18"/>
          <w:szCs w:val="18"/>
          <w:lang w:val="en-US"/>
        </w:rPr>
        <w:t>General Meeting</w:t>
      </w:r>
      <w:r w:rsidRPr="00BD295E">
        <w:rPr>
          <w:rFonts w:ascii="Arial" w:hAnsi="Arial" w:cs="Arial"/>
          <w:b/>
          <w:sz w:val="18"/>
          <w:szCs w:val="18"/>
          <w:lang w:val="en-US"/>
        </w:rPr>
        <w:t xml:space="preserve">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June 14, 2017 (Minutes No. 1/2017 </w:t>
      </w:r>
      <w:r w:rsidR="008B183C" w:rsidRPr="00BD295E">
        <w:rPr>
          <w:rFonts w:ascii="Arial" w:hAnsi="Arial" w:cs="Arial"/>
          <w:b/>
          <w:sz w:val="18"/>
          <w:szCs w:val="18"/>
          <w:lang w:val="en-US"/>
        </w:rPr>
        <w:t>of</w:t>
      </w:r>
      <w:r w:rsidRPr="00BD295E">
        <w:rPr>
          <w:rFonts w:ascii="Arial" w:hAnsi="Arial" w:cs="Arial"/>
          <w:b/>
          <w:sz w:val="18"/>
          <w:szCs w:val="18"/>
          <w:lang w:val="en-US"/>
        </w:rPr>
        <w:t xml:space="preserve"> June 14, 2017</w:t>
      </w:r>
      <w:r w:rsidR="002C3947" w:rsidRPr="00BD295E">
        <w:rPr>
          <w:rFonts w:ascii="Arial" w:hAnsi="Arial" w:cs="Arial"/>
          <w:b/>
          <w:sz w:val="18"/>
          <w:szCs w:val="18"/>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260"/>
        <w:gridCol w:w="5579"/>
      </w:tblGrid>
      <w:tr w:rsidR="008A5057" w:rsidRPr="00BD295E" w14:paraId="4A89066C" w14:textId="77777777" w:rsidTr="00E3510B">
        <w:tc>
          <w:tcPr>
            <w:tcW w:w="437" w:type="dxa"/>
            <w:shd w:val="clear" w:color="auto" w:fill="auto"/>
          </w:tcPr>
          <w:p w14:paraId="5E0CC9A0" w14:textId="77777777" w:rsidR="00F3260C" w:rsidRPr="00BD295E" w:rsidRDefault="008A5057" w:rsidP="00E3510B">
            <w:pPr>
              <w:tabs>
                <w:tab w:val="right" w:pos="231"/>
                <w:tab w:val="center" w:pos="475"/>
              </w:tabs>
              <w:rPr>
                <w:rFonts w:ascii="Arial" w:hAnsi="Arial" w:cs="Arial"/>
                <w:b/>
                <w:sz w:val="18"/>
                <w:szCs w:val="18"/>
                <w:lang w:val="en-US"/>
              </w:rPr>
            </w:pPr>
            <w:r w:rsidRPr="00BD295E">
              <w:rPr>
                <w:rFonts w:ascii="Arial" w:hAnsi="Arial" w:cs="Arial"/>
                <w:b/>
                <w:sz w:val="18"/>
                <w:szCs w:val="18"/>
                <w:lang w:val="en-US"/>
              </w:rPr>
              <w:t>No.</w:t>
            </w:r>
          </w:p>
        </w:tc>
        <w:tc>
          <w:tcPr>
            <w:tcW w:w="3357" w:type="dxa"/>
            <w:shd w:val="clear" w:color="auto" w:fill="auto"/>
          </w:tcPr>
          <w:p w14:paraId="2B9FE4E1"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Full name</w:t>
            </w:r>
          </w:p>
        </w:tc>
        <w:tc>
          <w:tcPr>
            <w:tcW w:w="5776" w:type="dxa"/>
            <w:shd w:val="clear" w:color="auto" w:fill="auto"/>
          </w:tcPr>
          <w:p w14:paraId="301C58D7" w14:textId="77777777" w:rsidR="00F3260C" w:rsidRPr="00BD295E" w:rsidRDefault="008A5057" w:rsidP="0031297B">
            <w:pPr>
              <w:rPr>
                <w:rFonts w:ascii="Arial" w:hAnsi="Arial" w:cs="Arial"/>
                <w:b/>
                <w:sz w:val="18"/>
                <w:szCs w:val="18"/>
                <w:lang w:val="en-US"/>
              </w:rPr>
            </w:pPr>
            <w:r w:rsidRPr="00BD295E">
              <w:rPr>
                <w:rFonts w:ascii="Arial" w:hAnsi="Arial" w:cs="Arial"/>
                <w:b/>
                <w:sz w:val="18"/>
                <w:szCs w:val="18"/>
                <w:lang w:val="en-US"/>
              </w:rPr>
              <w:t>Place of employment</w:t>
            </w:r>
          </w:p>
        </w:tc>
      </w:tr>
      <w:tr w:rsidR="008A5057" w:rsidRPr="00BD295E" w14:paraId="6B40794F" w14:textId="77777777" w:rsidTr="00E3510B">
        <w:tc>
          <w:tcPr>
            <w:tcW w:w="437" w:type="dxa"/>
            <w:shd w:val="clear" w:color="auto" w:fill="auto"/>
          </w:tcPr>
          <w:p w14:paraId="05C840A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3357" w:type="dxa"/>
            <w:shd w:val="clear" w:color="auto" w:fill="auto"/>
          </w:tcPr>
          <w:p w14:paraId="6E659505" w14:textId="77777777" w:rsidR="00F3260C" w:rsidRPr="00BD295E" w:rsidRDefault="008A5057" w:rsidP="00E3510B">
            <w:pPr>
              <w:jc w:val="both"/>
              <w:rPr>
                <w:rFonts w:ascii="Arial" w:hAnsi="Arial" w:cs="Arial"/>
                <w:sz w:val="18"/>
                <w:szCs w:val="18"/>
                <w:lang w:val="en-US"/>
              </w:rPr>
            </w:pPr>
            <w:r w:rsidRPr="00BD295E">
              <w:rPr>
                <w:rFonts w:ascii="Arial" w:hAnsi="Arial" w:cs="Arial"/>
                <w:bCs/>
                <w:sz w:val="18"/>
                <w:szCs w:val="18"/>
                <w:lang w:val="en-US"/>
              </w:rPr>
              <w:t>Svetlana Kim</w:t>
            </w:r>
          </w:p>
        </w:tc>
        <w:tc>
          <w:tcPr>
            <w:tcW w:w="5776" w:type="dxa"/>
            <w:shd w:val="clear" w:color="auto" w:fill="auto"/>
          </w:tcPr>
          <w:p w14:paraId="4A12C3C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Chairman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w:t>
            </w:r>
          </w:p>
          <w:p w14:paraId="4CEE410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Head of the Internal Inspection Division of the Controlling and Internal Inspection Department at </w:t>
            </w:r>
            <w:r w:rsidR="00BF106F" w:rsidRPr="00BD295E">
              <w:rPr>
                <w:rFonts w:ascii="Arial" w:hAnsi="Arial" w:cs="Arial"/>
                <w:sz w:val="18"/>
                <w:szCs w:val="18"/>
                <w:lang w:val="en-US"/>
              </w:rPr>
              <w:t>PJSC “Rosseti”</w:t>
            </w:r>
            <w:r w:rsidRPr="00BD295E">
              <w:rPr>
                <w:rFonts w:ascii="Arial" w:hAnsi="Arial" w:cs="Arial"/>
                <w:sz w:val="18"/>
                <w:szCs w:val="18"/>
                <w:lang w:val="en-US"/>
              </w:rPr>
              <w:t>.</w:t>
            </w:r>
          </w:p>
        </w:tc>
      </w:tr>
      <w:tr w:rsidR="008A5057" w:rsidRPr="00BD295E" w14:paraId="34ECCE2A" w14:textId="77777777" w:rsidTr="00E3510B">
        <w:tc>
          <w:tcPr>
            <w:tcW w:w="437" w:type="dxa"/>
            <w:shd w:val="clear" w:color="auto" w:fill="auto"/>
          </w:tcPr>
          <w:p w14:paraId="237AC383"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2</w:t>
            </w:r>
          </w:p>
        </w:tc>
        <w:tc>
          <w:tcPr>
            <w:tcW w:w="3357" w:type="dxa"/>
            <w:shd w:val="clear" w:color="auto" w:fill="auto"/>
          </w:tcPr>
          <w:p w14:paraId="37AB3D26"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Oksana Medvedeva</w:t>
            </w:r>
          </w:p>
        </w:tc>
        <w:tc>
          <w:tcPr>
            <w:tcW w:w="5776" w:type="dxa"/>
            <w:shd w:val="clear" w:color="auto" w:fill="auto"/>
          </w:tcPr>
          <w:p w14:paraId="3F55BC5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Chairman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w:t>
            </w:r>
          </w:p>
          <w:p w14:paraId="5728024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Chief Expert of the Controlling and Internal Inspection Department at </w:t>
            </w:r>
            <w:r w:rsidR="00BF106F" w:rsidRPr="00BD295E">
              <w:rPr>
                <w:rFonts w:ascii="Arial" w:hAnsi="Arial" w:cs="Arial"/>
                <w:sz w:val="18"/>
                <w:szCs w:val="18"/>
                <w:lang w:val="en-US"/>
              </w:rPr>
              <w:t>PJSC “Rosseti”</w:t>
            </w:r>
          </w:p>
        </w:tc>
      </w:tr>
      <w:tr w:rsidR="008A5057" w:rsidRPr="00BD295E" w14:paraId="4E1250CD" w14:textId="77777777" w:rsidTr="00E3510B">
        <w:tc>
          <w:tcPr>
            <w:tcW w:w="437" w:type="dxa"/>
            <w:shd w:val="clear" w:color="auto" w:fill="auto"/>
          </w:tcPr>
          <w:p w14:paraId="7BADEFB4"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3</w:t>
            </w:r>
          </w:p>
        </w:tc>
        <w:tc>
          <w:tcPr>
            <w:tcW w:w="3357" w:type="dxa"/>
            <w:shd w:val="clear" w:color="auto" w:fill="auto"/>
          </w:tcPr>
          <w:p w14:paraId="5AD1D369" w14:textId="77777777" w:rsidR="00F3260C" w:rsidRPr="00BD295E" w:rsidRDefault="008A5057" w:rsidP="0031297B">
            <w:pPr>
              <w:rPr>
                <w:rFonts w:ascii="Arial" w:hAnsi="Arial" w:cs="Arial"/>
                <w:sz w:val="18"/>
                <w:szCs w:val="18"/>
                <w:lang w:val="en-US"/>
              </w:rPr>
            </w:pPr>
            <w:r w:rsidRPr="00BD295E">
              <w:rPr>
                <w:rFonts w:ascii="Arial" w:hAnsi="Arial" w:cs="Arial"/>
                <w:bCs/>
                <w:sz w:val="18"/>
                <w:szCs w:val="18"/>
                <w:lang w:val="en-US"/>
              </w:rPr>
              <w:t>Artyom Kirillov</w:t>
            </w:r>
          </w:p>
        </w:tc>
        <w:tc>
          <w:tcPr>
            <w:tcW w:w="5776" w:type="dxa"/>
            <w:shd w:val="clear" w:color="auto" w:fill="auto"/>
          </w:tcPr>
          <w:p w14:paraId="3EA8494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Chairman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w:t>
            </w:r>
          </w:p>
          <w:p w14:paraId="590FCC0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Head of the Internal Inspection Division of the Controlling and Internal Inspection Department at </w:t>
            </w:r>
            <w:r w:rsidR="00BF106F" w:rsidRPr="00BD295E">
              <w:rPr>
                <w:rFonts w:ascii="Arial" w:hAnsi="Arial" w:cs="Arial"/>
                <w:sz w:val="18"/>
                <w:szCs w:val="18"/>
                <w:lang w:val="en-US"/>
              </w:rPr>
              <w:t>PJSC “Rosseti”</w:t>
            </w:r>
            <w:r w:rsidRPr="00BD295E">
              <w:rPr>
                <w:rFonts w:ascii="Arial" w:hAnsi="Arial" w:cs="Arial"/>
                <w:sz w:val="18"/>
                <w:szCs w:val="18"/>
                <w:lang w:val="en-US"/>
              </w:rPr>
              <w:t>.</w:t>
            </w:r>
          </w:p>
        </w:tc>
      </w:tr>
      <w:tr w:rsidR="008A5057" w:rsidRPr="00BD295E" w14:paraId="589F7935" w14:textId="77777777" w:rsidTr="00E3510B">
        <w:tc>
          <w:tcPr>
            <w:tcW w:w="437" w:type="dxa"/>
            <w:shd w:val="clear" w:color="auto" w:fill="auto"/>
          </w:tcPr>
          <w:p w14:paraId="2FB2ADC7" w14:textId="77777777" w:rsidR="00F3260C" w:rsidRPr="00BD295E" w:rsidRDefault="008A5057" w:rsidP="00E3510B">
            <w:pPr>
              <w:tabs>
                <w:tab w:val="right" w:pos="231"/>
                <w:tab w:val="center" w:pos="475"/>
              </w:tabs>
              <w:rPr>
                <w:rFonts w:ascii="Arial" w:hAnsi="Arial" w:cs="Arial"/>
                <w:sz w:val="18"/>
                <w:szCs w:val="18"/>
                <w:lang w:val="en-US"/>
              </w:rPr>
            </w:pPr>
            <w:r w:rsidRPr="00BD295E">
              <w:rPr>
                <w:rFonts w:ascii="Arial" w:hAnsi="Arial" w:cs="Arial"/>
                <w:sz w:val="18"/>
                <w:szCs w:val="18"/>
                <w:lang w:val="en-US"/>
              </w:rPr>
              <w:t>4</w:t>
            </w:r>
          </w:p>
        </w:tc>
        <w:tc>
          <w:tcPr>
            <w:tcW w:w="3357" w:type="dxa"/>
            <w:shd w:val="clear" w:color="auto" w:fill="auto"/>
          </w:tcPr>
          <w:p w14:paraId="74C174F2" w14:textId="77777777" w:rsidR="00F3260C" w:rsidRPr="00BD295E" w:rsidRDefault="008A5057" w:rsidP="00E3510B">
            <w:pPr>
              <w:jc w:val="both"/>
              <w:rPr>
                <w:rFonts w:ascii="Arial" w:hAnsi="Arial" w:cs="Arial"/>
                <w:sz w:val="18"/>
                <w:szCs w:val="18"/>
                <w:lang w:val="en-US"/>
              </w:rPr>
            </w:pPr>
            <w:r w:rsidRPr="00BD295E">
              <w:rPr>
                <w:rStyle w:val="Subst0"/>
                <w:rFonts w:ascii="Arial" w:hAnsi="Arial" w:cs="Arial"/>
                <w:b w:val="0"/>
                <w:bCs/>
                <w:i w:val="0"/>
                <w:iCs/>
                <w:sz w:val="18"/>
                <w:szCs w:val="18"/>
                <w:lang w:val="en-US"/>
              </w:rPr>
              <w:t>Sergey Malyshev</w:t>
            </w:r>
          </w:p>
        </w:tc>
        <w:tc>
          <w:tcPr>
            <w:tcW w:w="5776" w:type="dxa"/>
            <w:shd w:val="clear" w:color="auto" w:fill="auto"/>
          </w:tcPr>
          <w:p w14:paraId="3CB056F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Chairman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w:t>
            </w:r>
          </w:p>
          <w:p w14:paraId="5404D65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Head of the Internal Inspection Division of the Controlling and Internal Inspection Department at </w:t>
            </w:r>
            <w:r w:rsidR="00BF106F" w:rsidRPr="00BD295E">
              <w:rPr>
                <w:rFonts w:ascii="Arial" w:hAnsi="Arial" w:cs="Arial"/>
                <w:sz w:val="18"/>
                <w:szCs w:val="18"/>
                <w:lang w:val="en-US"/>
              </w:rPr>
              <w:t>PJSC “Rosseti”</w:t>
            </w:r>
            <w:r w:rsidRPr="00BD295E">
              <w:rPr>
                <w:rFonts w:ascii="Arial" w:hAnsi="Arial" w:cs="Arial"/>
                <w:sz w:val="18"/>
                <w:szCs w:val="18"/>
                <w:lang w:val="en-US"/>
              </w:rPr>
              <w:t>.</w:t>
            </w:r>
          </w:p>
        </w:tc>
      </w:tr>
      <w:tr w:rsidR="008A5057" w:rsidRPr="00BD295E" w14:paraId="72ADCAC8" w14:textId="77777777" w:rsidTr="00E3510B">
        <w:tc>
          <w:tcPr>
            <w:tcW w:w="437" w:type="dxa"/>
            <w:shd w:val="clear" w:color="auto" w:fill="auto"/>
          </w:tcPr>
          <w:p w14:paraId="78F9C98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w:t>
            </w:r>
          </w:p>
        </w:tc>
        <w:tc>
          <w:tcPr>
            <w:tcW w:w="3357" w:type="dxa"/>
            <w:shd w:val="clear" w:color="auto" w:fill="auto"/>
          </w:tcPr>
          <w:p w14:paraId="21B55A19" w14:textId="77777777" w:rsidR="00F3260C" w:rsidRPr="00BD295E" w:rsidRDefault="008A5057" w:rsidP="0031297B">
            <w:pPr>
              <w:rPr>
                <w:rFonts w:ascii="Arial" w:hAnsi="Arial" w:cs="Arial"/>
                <w:sz w:val="18"/>
                <w:szCs w:val="18"/>
                <w:lang w:val="en-US"/>
              </w:rPr>
            </w:pPr>
            <w:r w:rsidRPr="00BD295E">
              <w:rPr>
                <w:rStyle w:val="Subst0"/>
                <w:rFonts w:ascii="Arial" w:hAnsi="Arial" w:cs="Arial"/>
                <w:b w:val="0"/>
                <w:bCs/>
                <w:i w:val="0"/>
                <w:iCs/>
                <w:sz w:val="18"/>
                <w:szCs w:val="18"/>
                <w:lang w:val="en-US"/>
              </w:rPr>
              <w:t>Valery Uskov</w:t>
            </w:r>
          </w:p>
        </w:tc>
        <w:tc>
          <w:tcPr>
            <w:tcW w:w="5776" w:type="dxa"/>
            <w:shd w:val="clear" w:color="auto" w:fill="auto"/>
          </w:tcPr>
          <w:p w14:paraId="454E35F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Chairman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w:t>
            </w:r>
          </w:p>
          <w:p w14:paraId="6478359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Head of the Government Relations and HR Unit of the Energy and Engineering Support Committee of Saint Petersburg</w:t>
            </w:r>
          </w:p>
        </w:tc>
      </w:tr>
    </w:tbl>
    <w:p w14:paraId="10495970" w14:textId="77777777" w:rsidR="00F3260C" w:rsidRPr="00BD295E" w:rsidRDefault="008A5057" w:rsidP="00F3260C">
      <w:pPr>
        <w:pStyle w:val="aff2"/>
        <w:spacing w:after="0"/>
        <w:rPr>
          <w:rFonts w:ascii="Arial" w:hAnsi="Arial" w:cs="Arial"/>
          <w:sz w:val="18"/>
          <w:szCs w:val="18"/>
          <w:lang w:val="en-US"/>
        </w:rPr>
      </w:pPr>
      <w:r w:rsidRPr="00BD295E">
        <w:rPr>
          <w:rFonts w:ascii="Arial" w:hAnsi="Arial" w:cs="Arial"/>
          <w:sz w:val="18"/>
          <w:szCs w:val="18"/>
          <w:lang w:val="en-US"/>
        </w:rPr>
        <w:t>*</w:t>
      </w:r>
      <w:r w:rsidRPr="00BD295E">
        <w:rPr>
          <w:rStyle w:val="aff9"/>
          <w:rFonts w:ascii="Arial" w:hAnsi="Arial" w:cs="Arial"/>
          <w:b w:val="0"/>
          <w:sz w:val="18"/>
          <w:szCs w:val="18"/>
          <w:lang w:val="en-US"/>
        </w:rPr>
        <w:t>As at the moment of election</w:t>
      </w:r>
    </w:p>
    <w:p w14:paraId="68F8DE0C" w14:textId="77777777" w:rsidR="00F3260C" w:rsidRPr="00BD295E" w:rsidRDefault="00F3260C" w:rsidP="00F3260C">
      <w:pPr>
        <w:rPr>
          <w:rFonts w:ascii="Arial" w:hAnsi="Arial" w:cs="Arial"/>
          <w:b/>
          <w:sz w:val="18"/>
          <w:szCs w:val="18"/>
          <w:lang w:val="en-US"/>
        </w:rPr>
      </w:pPr>
    </w:p>
    <w:p w14:paraId="2E6B73B0" w14:textId="77777777" w:rsidR="00F3260C" w:rsidRPr="00BD295E" w:rsidRDefault="008A5057" w:rsidP="00C968B7">
      <w:pPr>
        <w:rPr>
          <w:rFonts w:ascii="Arial" w:hAnsi="Arial" w:cs="Arial"/>
          <w:b/>
          <w:sz w:val="18"/>
          <w:szCs w:val="18"/>
          <w:lang w:val="en-US"/>
        </w:rPr>
      </w:pPr>
      <w:r w:rsidRPr="00BD295E">
        <w:rPr>
          <w:rFonts w:ascii="Arial" w:hAnsi="Arial" w:cs="Arial"/>
          <w:b/>
          <w:sz w:val="18"/>
          <w:szCs w:val="18"/>
          <w:lang w:val="en-US"/>
        </w:rPr>
        <w:t xml:space="preserve">Information concerning remuneration and compensations for members of the </w:t>
      </w:r>
      <w:r w:rsidR="00293DDA" w:rsidRPr="00BD295E">
        <w:rPr>
          <w:rFonts w:ascii="Arial" w:hAnsi="Arial" w:cs="Arial"/>
          <w:b/>
          <w:sz w:val="18"/>
          <w:szCs w:val="18"/>
          <w:lang w:val="en-US"/>
        </w:rPr>
        <w:t>Internal Audit Commission</w:t>
      </w:r>
    </w:p>
    <w:p w14:paraId="6B41EE0B" w14:textId="77777777" w:rsidR="00F3260C" w:rsidRPr="00BD295E" w:rsidRDefault="00F3260C" w:rsidP="00C968B7">
      <w:pPr>
        <w:rPr>
          <w:rFonts w:ascii="Arial" w:hAnsi="Arial" w:cs="Arial"/>
          <w:b/>
          <w:sz w:val="18"/>
          <w:szCs w:val="18"/>
          <w:lang w:val="en-US"/>
        </w:rPr>
      </w:pPr>
    </w:p>
    <w:p w14:paraId="5B56044C"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amount and procedure for payment of remuneration and compensations to members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 are governed by the Company’s internal documents approved by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0DEFAB75"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Remuneration and compensations are paid to members of the Company’s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in line with the Regulations for Payment of Remuneration and Compensations to Members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restated and approved by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June 8, 2018 (Minutes No. 2/2018 </w:t>
      </w:r>
      <w:r w:rsidR="008B183C" w:rsidRPr="00BD295E">
        <w:rPr>
          <w:rFonts w:ascii="Arial" w:hAnsi="Arial" w:cs="Arial"/>
          <w:sz w:val="18"/>
          <w:szCs w:val="18"/>
          <w:lang w:val="en-US"/>
        </w:rPr>
        <w:t>of</w:t>
      </w:r>
      <w:r w:rsidRPr="00BD295E">
        <w:rPr>
          <w:rFonts w:ascii="Arial" w:hAnsi="Arial" w:cs="Arial"/>
          <w:sz w:val="18"/>
          <w:szCs w:val="18"/>
          <w:lang w:val="en-US"/>
        </w:rPr>
        <w:t xml:space="preserve"> June 13, 2018).</w:t>
      </w:r>
    </w:p>
    <w:p w14:paraId="3E9164CC" w14:textId="77777777" w:rsidR="00F3260C" w:rsidRPr="00BD295E" w:rsidRDefault="00F3260C" w:rsidP="00F3260C">
      <w:pPr>
        <w:pStyle w:val="aff2"/>
        <w:spacing w:after="0"/>
        <w:rPr>
          <w:rFonts w:ascii="Arial" w:hAnsi="Arial" w:cs="Arial"/>
          <w:b/>
          <w:bCs/>
          <w:i/>
          <w:sz w:val="18"/>
          <w:szCs w:val="18"/>
          <w:lang w:val="en-US"/>
        </w:rPr>
      </w:pPr>
    </w:p>
    <w:p w14:paraId="6AD4AFE9" w14:textId="77777777" w:rsidR="00F3260C" w:rsidRPr="00BD295E" w:rsidRDefault="008A5057" w:rsidP="00F3260C">
      <w:pPr>
        <w:pStyle w:val="aff2"/>
        <w:spacing w:after="0"/>
        <w:jc w:val="center"/>
        <w:rPr>
          <w:rFonts w:ascii="Arial" w:hAnsi="Arial" w:cs="Arial"/>
          <w:b/>
          <w:bCs/>
          <w:sz w:val="18"/>
          <w:szCs w:val="18"/>
          <w:lang w:val="en-US"/>
        </w:rPr>
      </w:pPr>
      <w:r w:rsidRPr="00BD295E">
        <w:rPr>
          <w:rFonts w:ascii="Arial" w:hAnsi="Arial" w:cs="Arial"/>
          <w:b/>
          <w:sz w:val="18"/>
          <w:szCs w:val="18"/>
          <w:lang w:val="en-US"/>
        </w:rPr>
        <w:t xml:space="preserve">Analysis of Regulations on Payment of Remuneration and Compensations to Members of the </w:t>
      </w:r>
      <w:r w:rsidR="00293DDA" w:rsidRPr="00BD295E">
        <w:rPr>
          <w:rFonts w:ascii="Arial" w:hAnsi="Arial" w:cs="Arial"/>
          <w:b/>
          <w:sz w:val="18"/>
          <w:szCs w:val="18"/>
          <w:lang w:val="en-US"/>
        </w:rPr>
        <w:t>Internal Audit Commission</w:t>
      </w:r>
      <w:r w:rsidRPr="00BD295E">
        <w:rPr>
          <w:rFonts w:ascii="Arial" w:hAnsi="Arial" w:cs="Arial"/>
          <w:b/>
          <w:sz w:val="18"/>
          <w:szCs w:val="18"/>
          <w:lang w:val="en-US"/>
        </w:rPr>
        <w:t xml:space="preserve"> of </w:t>
      </w:r>
      <w:r w:rsidR="00EE5753" w:rsidRPr="00BD295E">
        <w:rPr>
          <w:rFonts w:ascii="Arial" w:hAnsi="Arial" w:cs="Arial"/>
          <w:b/>
          <w:sz w:val="18"/>
          <w:szCs w:val="18"/>
          <w:lang w:val="en-US"/>
        </w:rPr>
        <w:t>PJSC “Lenenergo”</w:t>
      </w:r>
    </w:p>
    <w:p w14:paraId="7C6D7A9F" w14:textId="77777777" w:rsidR="00F3260C" w:rsidRPr="00BD295E" w:rsidRDefault="00F3260C" w:rsidP="00F3260C">
      <w:pPr>
        <w:rPr>
          <w:rFonts w:ascii="Arial" w:hAnsi="Arial" w:cs="Arial"/>
          <w:b/>
          <w:sz w:val="18"/>
          <w:szCs w:val="1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8A5057" w:rsidRPr="00BD295E" w14:paraId="79C8C807" w14:textId="77777777" w:rsidTr="00E3510B">
        <w:tc>
          <w:tcPr>
            <w:tcW w:w="0" w:type="auto"/>
            <w:shd w:val="clear" w:color="auto" w:fill="auto"/>
          </w:tcPr>
          <w:p w14:paraId="0F062511" w14:textId="77777777" w:rsidR="00F3260C" w:rsidRPr="00BD295E" w:rsidRDefault="008A5057" w:rsidP="006515AB">
            <w:pPr>
              <w:jc w:val="center"/>
              <w:rPr>
                <w:rFonts w:ascii="Arial" w:hAnsi="Arial" w:cs="Arial"/>
                <w:b/>
                <w:sz w:val="18"/>
                <w:szCs w:val="18"/>
                <w:lang w:val="en-US"/>
              </w:rPr>
            </w:pPr>
            <w:r w:rsidRPr="00BD295E">
              <w:rPr>
                <w:rFonts w:ascii="Arial" w:hAnsi="Arial" w:cs="Arial"/>
                <w:b/>
                <w:sz w:val="18"/>
                <w:szCs w:val="18"/>
                <w:lang w:val="en-US"/>
              </w:rPr>
              <w:t xml:space="preserve">Remuneration </w:t>
            </w:r>
            <w:r w:rsidR="006515AB" w:rsidRPr="00BD295E">
              <w:rPr>
                <w:rFonts w:ascii="Arial" w:hAnsi="Arial" w:cs="Arial"/>
                <w:b/>
                <w:sz w:val="18"/>
                <w:szCs w:val="18"/>
                <w:lang w:val="en-US"/>
              </w:rPr>
              <w:t>of</w:t>
            </w:r>
            <w:r w:rsidRPr="00BD295E">
              <w:rPr>
                <w:rFonts w:ascii="Arial" w:hAnsi="Arial" w:cs="Arial"/>
                <w:b/>
                <w:sz w:val="18"/>
                <w:szCs w:val="18"/>
                <w:lang w:val="en-US"/>
              </w:rPr>
              <w:t xml:space="preserve"> members of the </w:t>
            </w:r>
            <w:r w:rsidR="00293DDA" w:rsidRPr="00BD295E">
              <w:rPr>
                <w:rFonts w:ascii="Arial" w:hAnsi="Arial" w:cs="Arial"/>
                <w:b/>
                <w:sz w:val="18"/>
                <w:szCs w:val="18"/>
                <w:lang w:val="en-US"/>
              </w:rPr>
              <w:t>Internal Audit Commission</w:t>
            </w:r>
          </w:p>
        </w:tc>
      </w:tr>
      <w:tr w:rsidR="008A5057" w:rsidRPr="00BD295E" w14:paraId="7EEFA535" w14:textId="77777777" w:rsidTr="00E3510B">
        <w:tc>
          <w:tcPr>
            <w:tcW w:w="10024" w:type="dxa"/>
            <w:shd w:val="clear" w:color="auto" w:fill="auto"/>
          </w:tcPr>
          <w:p w14:paraId="26AE9FFE" w14:textId="77777777" w:rsidR="00F3260C" w:rsidRPr="00BD295E" w:rsidRDefault="008A5057" w:rsidP="00E3510B">
            <w:pPr>
              <w:jc w:val="both"/>
              <w:rPr>
                <w:rFonts w:ascii="Arial" w:hAnsi="Arial" w:cs="Arial"/>
                <w:sz w:val="18"/>
                <w:szCs w:val="18"/>
                <w:lang w:val="en-US"/>
              </w:rPr>
            </w:pPr>
            <w:r w:rsidRPr="00BD295E">
              <w:rPr>
                <w:rFonts w:ascii="Arial" w:hAnsi="Arial" w:cs="Arial"/>
                <w:sz w:val="18"/>
                <w:szCs w:val="18"/>
                <w:lang w:val="en-US"/>
              </w:rPr>
              <w:t xml:space="preserve">Remuneration payable to a member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is determined based on the base part of remuneration (Rbase). The base remuneration payable to a member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is determined based on the Company’s revenue.</w:t>
            </w:r>
          </w:p>
          <w:p w14:paraId="143C9909" w14:textId="77777777" w:rsidR="00F3260C"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The actual amount of remuneration payable to a member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for each corporate year is calculated using the formula below:</w:t>
            </w:r>
          </w:p>
          <w:p w14:paraId="73C7A5DD" w14:textId="77777777" w:rsidR="00F3260C" w:rsidRPr="00BD295E" w:rsidRDefault="00F3260C" w:rsidP="00E3510B">
            <w:pPr>
              <w:pStyle w:val="af3"/>
              <w:autoSpaceDE w:val="0"/>
              <w:autoSpaceDN w:val="0"/>
              <w:adjustRightInd w:val="0"/>
              <w:ind w:left="0"/>
              <w:jc w:val="both"/>
              <w:rPr>
                <w:rFonts w:ascii="Arial" w:hAnsi="Arial" w:cs="Arial"/>
                <w:sz w:val="18"/>
                <w:szCs w:val="18"/>
                <w:lang w:val="en-US"/>
              </w:rPr>
            </w:pPr>
          </w:p>
          <w:p w14:paraId="4D3306F2" w14:textId="03FEDEA2" w:rsidR="00F3260C" w:rsidRPr="00BD295E" w:rsidRDefault="008A5057" w:rsidP="00E3510B">
            <w:pPr>
              <w:pStyle w:val="af3"/>
              <w:autoSpaceDE w:val="0"/>
              <w:autoSpaceDN w:val="0"/>
              <w:adjustRightInd w:val="0"/>
              <w:ind w:left="0"/>
              <w:jc w:val="center"/>
              <w:rPr>
                <w:rFonts w:ascii="Arial" w:hAnsi="Arial" w:cs="Arial"/>
                <w:sz w:val="18"/>
                <w:szCs w:val="18"/>
                <w:lang w:val="en-US"/>
              </w:rPr>
            </w:pPr>
            <w:r w:rsidRPr="00BD295E">
              <w:rPr>
                <w:rFonts w:ascii="Arial" w:hAnsi="Arial" w:cs="Arial"/>
                <w:sz w:val="18"/>
                <w:szCs w:val="18"/>
                <w:lang w:val="en-US"/>
              </w:rPr>
              <w:t>R</w:t>
            </w:r>
            <w:r w:rsidRPr="00BD295E">
              <w:rPr>
                <w:rFonts w:ascii="Arial" w:hAnsi="Arial" w:cs="Arial"/>
                <w:sz w:val="18"/>
                <w:szCs w:val="18"/>
                <w:vertAlign w:val="subscript"/>
                <w:lang w:val="en-US"/>
              </w:rPr>
              <w:t>act</w:t>
            </w:r>
            <w:r w:rsidRPr="00BD295E">
              <w:rPr>
                <w:rFonts w:ascii="Arial" w:hAnsi="Arial" w:cs="Arial"/>
                <w:sz w:val="18"/>
                <w:szCs w:val="18"/>
                <w:lang w:val="en-US"/>
              </w:rPr>
              <w:t xml:space="preserve"> = R</w:t>
            </w:r>
            <w:r w:rsidRPr="00BD295E">
              <w:rPr>
                <w:rFonts w:ascii="Arial" w:hAnsi="Arial" w:cs="Arial"/>
                <w:sz w:val="18"/>
                <w:szCs w:val="18"/>
                <w:vertAlign w:val="subscript"/>
                <w:lang w:val="en-US"/>
              </w:rPr>
              <w:t>base</w:t>
            </w:r>
            <w:r w:rsidRPr="00BD295E">
              <w:rPr>
                <w:rFonts w:ascii="Arial" w:hAnsi="Arial" w:cs="Arial"/>
                <w:sz w:val="18"/>
                <w:szCs w:val="18"/>
                <w:lang w:val="en-US"/>
              </w:rPr>
              <w:t xml:space="preserve"> * </w:t>
            </w:r>
            <w:r w:rsidR="002C3947" w:rsidRPr="00BD295E">
              <w:rPr>
                <w:rFonts w:ascii="Arial" w:hAnsi="Arial" w:cs="Arial"/>
                <w:sz w:val="18"/>
                <w:szCs w:val="18"/>
                <w:lang w:val="en-US"/>
              </w:rPr>
              <w:t>(mi</w:t>
            </w:r>
            <w:r w:rsidRPr="00BD295E">
              <w:rPr>
                <w:rFonts w:ascii="Arial" w:hAnsi="Arial" w:cs="Arial"/>
                <w:sz w:val="18"/>
                <w:szCs w:val="18"/>
                <w:lang w:val="en-US"/>
              </w:rPr>
              <w:t xml:space="preserve"> / </w:t>
            </w:r>
            <w:r w:rsidR="002C3947" w:rsidRPr="00BD295E">
              <w:rPr>
                <w:rFonts w:ascii="Arial" w:hAnsi="Arial" w:cs="Arial"/>
                <w:sz w:val="18"/>
                <w:szCs w:val="18"/>
                <w:lang w:val="en-US"/>
              </w:rPr>
              <w:t>m)</w:t>
            </w:r>
            <w:r w:rsidRPr="00BD295E">
              <w:rPr>
                <w:rFonts w:ascii="Arial" w:hAnsi="Arial" w:cs="Arial"/>
                <w:sz w:val="18"/>
                <w:szCs w:val="18"/>
                <w:lang w:val="en-US"/>
              </w:rPr>
              <w:t xml:space="preserve"> * C</w:t>
            </w:r>
            <w:r w:rsidRPr="00BD295E">
              <w:rPr>
                <w:rFonts w:ascii="Arial" w:hAnsi="Arial" w:cs="Arial"/>
                <w:sz w:val="18"/>
                <w:szCs w:val="18"/>
                <w:vertAlign w:val="subscript"/>
                <w:lang w:val="en-US"/>
              </w:rPr>
              <w:t>inv</w:t>
            </w:r>
            <w:r w:rsidRPr="00BD295E">
              <w:rPr>
                <w:rFonts w:ascii="Arial" w:hAnsi="Arial" w:cs="Arial"/>
                <w:sz w:val="18"/>
                <w:szCs w:val="18"/>
                <w:lang w:val="en-US"/>
              </w:rPr>
              <w:t>, where:</w:t>
            </w:r>
          </w:p>
          <w:p w14:paraId="399E4EE7" w14:textId="77777777" w:rsidR="00F3260C" w:rsidRPr="00BD295E" w:rsidRDefault="00F3260C" w:rsidP="00E3510B">
            <w:pPr>
              <w:pStyle w:val="af3"/>
              <w:autoSpaceDE w:val="0"/>
              <w:autoSpaceDN w:val="0"/>
              <w:adjustRightInd w:val="0"/>
              <w:ind w:left="0"/>
              <w:jc w:val="both"/>
              <w:rPr>
                <w:rFonts w:ascii="Arial" w:hAnsi="Arial" w:cs="Arial"/>
                <w:sz w:val="18"/>
                <w:szCs w:val="18"/>
                <w:lang w:val="en-US"/>
              </w:rPr>
            </w:pPr>
          </w:p>
          <w:p w14:paraId="0945B75B" w14:textId="77777777" w:rsidR="00F3260C" w:rsidRPr="00BD295E" w:rsidRDefault="008A5057" w:rsidP="00E3510B">
            <w:pPr>
              <w:pStyle w:val="af3"/>
              <w:autoSpaceDE w:val="0"/>
              <w:autoSpaceDN w:val="0"/>
              <w:adjustRightInd w:val="0"/>
              <w:ind w:left="0" w:firstLine="742"/>
              <w:jc w:val="both"/>
              <w:rPr>
                <w:rFonts w:ascii="Arial" w:hAnsi="Arial" w:cs="Arial"/>
                <w:sz w:val="18"/>
                <w:szCs w:val="18"/>
                <w:lang w:val="en-US"/>
              </w:rPr>
            </w:pPr>
            <w:r w:rsidRPr="00BD295E">
              <w:rPr>
                <w:rFonts w:ascii="Arial" w:hAnsi="Arial" w:cs="Arial"/>
                <w:sz w:val="18"/>
                <w:szCs w:val="18"/>
                <w:lang w:val="en-US"/>
              </w:rPr>
              <w:t>R</w:t>
            </w:r>
            <w:r w:rsidRPr="00BD295E">
              <w:rPr>
                <w:rFonts w:ascii="Arial" w:hAnsi="Arial" w:cs="Arial"/>
                <w:sz w:val="18"/>
                <w:szCs w:val="18"/>
                <w:vertAlign w:val="subscript"/>
                <w:lang w:val="en-US"/>
              </w:rPr>
              <w:t>act</w:t>
            </w:r>
            <w:r w:rsidRPr="00BD295E">
              <w:rPr>
                <w:rFonts w:ascii="Arial" w:hAnsi="Arial" w:cs="Arial"/>
                <w:sz w:val="18"/>
                <w:szCs w:val="18"/>
                <w:lang w:val="en-US"/>
              </w:rPr>
              <w:t xml:space="preserve"> is the actual amount of remuneration calculated based on the base remuneration;</w:t>
            </w:r>
          </w:p>
          <w:p w14:paraId="5297E3D1" w14:textId="77777777" w:rsidR="00F3260C" w:rsidRPr="00BD295E" w:rsidRDefault="008A5057" w:rsidP="00E3510B">
            <w:pPr>
              <w:pStyle w:val="af3"/>
              <w:autoSpaceDE w:val="0"/>
              <w:autoSpaceDN w:val="0"/>
              <w:adjustRightInd w:val="0"/>
              <w:ind w:left="0" w:firstLine="742"/>
              <w:jc w:val="both"/>
              <w:rPr>
                <w:rFonts w:ascii="Arial" w:hAnsi="Arial" w:cs="Arial"/>
                <w:sz w:val="18"/>
                <w:szCs w:val="18"/>
                <w:lang w:val="en-US"/>
              </w:rPr>
            </w:pPr>
            <w:r w:rsidRPr="00BD295E">
              <w:rPr>
                <w:rFonts w:ascii="Arial" w:hAnsi="Arial" w:cs="Arial"/>
                <w:sz w:val="18"/>
                <w:szCs w:val="18"/>
                <w:lang w:val="en-US"/>
              </w:rPr>
              <w:t>R</w:t>
            </w:r>
            <w:r w:rsidRPr="00BD295E">
              <w:rPr>
                <w:rFonts w:ascii="Arial" w:hAnsi="Arial" w:cs="Arial"/>
                <w:sz w:val="18"/>
                <w:szCs w:val="18"/>
                <w:vertAlign w:val="subscript"/>
                <w:lang w:val="en-US"/>
              </w:rPr>
              <w:t>base</w:t>
            </w:r>
            <w:r w:rsidRPr="00BD295E">
              <w:rPr>
                <w:rFonts w:ascii="Arial" w:hAnsi="Arial" w:cs="Arial"/>
                <w:sz w:val="18"/>
                <w:szCs w:val="18"/>
                <w:lang w:val="en-US"/>
              </w:rPr>
              <w:t xml:space="preserve"> is the base remuneration determined according to the scale described in Item 2.2;</w:t>
            </w:r>
          </w:p>
          <w:p w14:paraId="280BA6E3" w14:textId="77777777" w:rsidR="00F3260C" w:rsidRPr="00BD295E" w:rsidRDefault="008A5057" w:rsidP="00E3510B">
            <w:pPr>
              <w:pStyle w:val="af3"/>
              <w:autoSpaceDE w:val="0"/>
              <w:autoSpaceDN w:val="0"/>
              <w:adjustRightInd w:val="0"/>
              <w:ind w:left="0" w:firstLine="708"/>
              <w:jc w:val="both"/>
              <w:rPr>
                <w:rFonts w:ascii="Arial" w:hAnsi="Arial" w:cs="Arial"/>
                <w:sz w:val="18"/>
                <w:szCs w:val="18"/>
                <w:lang w:val="en-US"/>
              </w:rPr>
            </w:pPr>
            <w:r w:rsidRPr="00BD295E">
              <w:rPr>
                <w:rFonts w:ascii="Arial" w:hAnsi="Arial" w:cs="Arial"/>
                <w:sz w:val="18"/>
                <w:szCs w:val="18"/>
                <w:lang w:val="en-US"/>
              </w:rPr>
              <w:t xml:space="preserve">mi is the number of calendar days in the corporate year during which the member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performed his or her duties;</w:t>
            </w:r>
          </w:p>
          <w:p w14:paraId="620E23C3" w14:textId="77777777" w:rsidR="00F3260C" w:rsidRPr="00BD295E" w:rsidRDefault="008A5057" w:rsidP="00E3510B">
            <w:pPr>
              <w:pStyle w:val="af3"/>
              <w:autoSpaceDE w:val="0"/>
              <w:autoSpaceDN w:val="0"/>
              <w:adjustRightInd w:val="0"/>
              <w:ind w:left="0" w:firstLine="708"/>
              <w:jc w:val="both"/>
              <w:rPr>
                <w:rFonts w:ascii="Arial" w:hAnsi="Arial" w:cs="Arial"/>
                <w:sz w:val="18"/>
                <w:szCs w:val="18"/>
                <w:lang w:val="en-US"/>
              </w:rPr>
            </w:pPr>
            <w:r w:rsidRPr="00BD295E">
              <w:rPr>
                <w:rFonts w:ascii="Arial" w:hAnsi="Arial" w:cs="Arial"/>
                <w:sz w:val="18"/>
                <w:szCs w:val="18"/>
                <w:lang w:val="en-US"/>
              </w:rPr>
              <w:t>m is the total number of calendar days in the corporate year;</w:t>
            </w:r>
          </w:p>
          <w:p w14:paraId="537ECCC0" w14:textId="77777777" w:rsidR="00F3260C" w:rsidRPr="00BD295E" w:rsidRDefault="008A5057" w:rsidP="00E3510B">
            <w:pPr>
              <w:pStyle w:val="af3"/>
              <w:autoSpaceDE w:val="0"/>
              <w:autoSpaceDN w:val="0"/>
              <w:adjustRightInd w:val="0"/>
              <w:ind w:left="0" w:firstLine="708"/>
              <w:jc w:val="both"/>
              <w:rPr>
                <w:rFonts w:ascii="Arial" w:hAnsi="Arial" w:cs="Arial"/>
                <w:sz w:val="18"/>
                <w:szCs w:val="18"/>
                <w:lang w:val="en-US"/>
              </w:rPr>
            </w:pPr>
            <w:r w:rsidRPr="00BD295E">
              <w:rPr>
                <w:rFonts w:ascii="Arial" w:hAnsi="Arial" w:cs="Arial"/>
                <w:sz w:val="18"/>
                <w:szCs w:val="18"/>
                <w:lang w:val="en-US"/>
              </w:rPr>
              <w:t>C</w:t>
            </w:r>
            <w:r w:rsidRPr="00BD295E">
              <w:rPr>
                <w:rFonts w:ascii="Arial" w:hAnsi="Arial" w:cs="Arial"/>
                <w:sz w:val="18"/>
                <w:szCs w:val="18"/>
                <w:vertAlign w:val="subscript"/>
                <w:lang w:val="en-US"/>
              </w:rPr>
              <w:t>inv</w:t>
            </w:r>
            <w:r w:rsidRPr="00BD295E">
              <w:rPr>
                <w:rFonts w:ascii="Arial" w:hAnsi="Arial" w:cs="Arial"/>
                <w:sz w:val="18"/>
                <w:szCs w:val="18"/>
                <w:lang w:val="en-US"/>
              </w:rPr>
              <w:t xml:space="preserve"> is the coefficient of personal involvement of the member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w:t>
            </w:r>
          </w:p>
          <w:p w14:paraId="4281C495" w14:textId="77777777" w:rsidR="00F3260C" w:rsidRPr="00BD295E" w:rsidRDefault="00F3260C" w:rsidP="00E3510B">
            <w:pPr>
              <w:pStyle w:val="af3"/>
              <w:autoSpaceDE w:val="0"/>
              <w:autoSpaceDN w:val="0"/>
              <w:adjustRightInd w:val="0"/>
              <w:ind w:left="0"/>
              <w:jc w:val="both"/>
              <w:rPr>
                <w:rFonts w:ascii="Arial" w:hAnsi="Arial" w:cs="Arial"/>
                <w:sz w:val="18"/>
                <w:szCs w:val="18"/>
                <w:lang w:val="en-US"/>
              </w:rPr>
            </w:pPr>
          </w:p>
          <w:p w14:paraId="075F5203" w14:textId="77777777" w:rsidR="00F3260C" w:rsidRPr="00BD295E" w:rsidRDefault="008A5057" w:rsidP="00E3510B">
            <w:pPr>
              <w:autoSpaceDE w:val="0"/>
              <w:autoSpaceDN w:val="0"/>
              <w:adjustRightInd w:val="0"/>
              <w:contextualSpacing/>
              <w:jc w:val="both"/>
              <w:rPr>
                <w:rFonts w:ascii="Arial" w:hAnsi="Arial" w:cs="Arial"/>
                <w:sz w:val="18"/>
                <w:szCs w:val="18"/>
                <w:lang w:val="en-US"/>
              </w:rPr>
            </w:pPr>
            <w:r w:rsidRPr="00BD295E">
              <w:rPr>
                <w:rFonts w:ascii="Arial" w:hAnsi="Arial" w:cs="Arial"/>
                <w:sz w:val="18"/>
                <w:szCs w:val="18"/>
                <w:lang w:val="en-US"/>
              </w:rPr>
              <w:t xml:space="preserve">The coefficient of personal involvement reflects involvement of the member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in the meetings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as well as his or her performance of additional duties as Chairman or Secretary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w:t>
            </w:r>
          </w:p>
          <w:p w14:paraId="6ED9F44F" w14:textId="77777777" w:rsidR="00F3260C" w:rsidRPr="00BD295E" w:rsidRDefault="00F3260C" w:rsidP="00E3510B">
            <w:pPr>
              <w:autoSpaceDE w:val="0"/>
              <w:autoSpaceDN w:val="0"/>
              <w:adjustRightInd w:val="0"/>
              <w:contextualSpacing/>
              <w:jc w:val="both"/>
              <w:rPr>
                <w:rFonts w:ascii="Arial" w:hAnsi="Arial" w:cs="Arial"/>
                <w:sz w:val="18"/>
                <w:szCs w:val="18"/>
                <w:lang w:val="en-US"/>
              </w:rPr>
            </w:pPr>
          </w:p>
          <w:p w14:paraId="3A7E75E2" w14:textId="77777777" w:rsidR="00F3260C" w:rsidRPr="00BD295E" w:rsidRDefault="008A5057" w:rsidP="00E3510B">
            <w:pPr>
              <w:autoSpaceDE w:val="0"/>
              <w:autoSpaceDN w:val="0"/>
              <w:adjustRightInd w:val="0"/>
              <w:contextualSpacing/>
              <w:jc w:val="both"/>
              <w:rPr>
                <w:rFonts w:ascii="Arial" w:hAnsi="Arial" w:cs="Arial"/>
                <w:sz w:val="18"/>
                <w:szCs w:val="18"/>
                <w:lang w:val="en-US"/>
              </w:rPr>
            </w:pPr>
            <w:r w:rsidRPr="00BD295E">
              <w:rPr>
                <w:rFonts w:ascii="Arial" w:hAnsi="Arial" w:cs="Arial"/>
                <w:sz w:val="18"/>
                <w:szCs w:val="18"/>
                <w:lang w:val="en-US"/>
              </w:rPr>
              <w:t xml:space="preserve">The coefficient of personal involvement is determined separately for each member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using the formula below:</w:t>
            </w:r>
          </w:p>
          <w:p w14:paraId="207D2A42" w14:textId="77777777" w:rsidR="00F3260C" w:rsidRPr="00BD295E" w:rsidRDefault="008A5057" w:rsidP="00E3510B">
            <w:pPr>
              <w:pStyle w:val="af3"/>
              <w:autoSpaceDE w:val="0"/>
              <w:autoSpaceDN w:val="0"/>
              <w:adjustRightInd w:val="0"/>
              <w:ind w:left="600"/>
              <w:jc w:val="center"/>
              <w:rPr>
                <w:rFonts w:ascii="Arial" w:hAnsi="Arial" w:cs="Arial"/>
                <w:sz w:val="18"/>
                <w:szCs w:val="18"/>
                <w:lang w:val="en-US"/>
              </w:rPr>
            </w:pPr>
            <w:r w:rsidRPr="00BD295E">
              <w:rPr>
                <w:rFonts w:ascii="Arial" w:hAnsi="Arial" w:cs="Arial"/>
                <w:sz w:val="18"/>
                <w:szCs w:val="18"/>
                <w:lang w:val="en-US"/>
              </w:rPr>
              <w:t>C</w:t>
            </w:r>
            <w:r w:rsidRPr="00BD295E">
              <w:rPr>
                <w:rFonts w:ascii="Arial" w:hAnsi="Arial" w:cs="Arial"/>
                <w:sz w:val="18"/>
                <w:szCs w:val="18"/>
                <w:vertAlign w:val="subscript"/>
                <w:lang w:val="en-US"/>
              </w:rPr>
              <w:t>inv</w:t>
            </w:r>
            <w:r w:rsidRPr="00BD295E">
              <w:rPr>
                <w:rFonts w:ascii="Arial" w:hAnsi="Arial" w:cs="Arial"/>
                <w:sz w:val="18"/>
                <w:szCs w:val="18"/>
                <w:lang w:val="en-US"/>
              </w:rPr>
              <w:t xml:space="preserve"> = (1 + C</w:t>
            </w:r>
            <w:r w:rsidRPr="00BD295E">
              <w:rPr>
                <w:rFonts w:ascii="Arial" w:hAnsi="Arial" w:cs="Arial"/>
                <w:sz w:val="18"/>
                <w:szCs w:val="18"/>
                <w:vertAlign w:val="subscript"/>
                <w:lang w:val="en-US"/>
              </w:rPr>
              <w:t>m</w:t>
            </w:r>
            <w:r w:rsidRPr="00BD295E">
              <w:rPr>
                <w:rFonts w:ascii="Arial" w:hAnsi="Arial" w:cs="Arial"/>
                <w:sz w:val="18"/>
                <w:szCs w:val="18"/>
                <w:lang w:val="en-US"/>
              </w:rPr>
              <w:t xml:space="preserve"> + C</w:t>
            </w:r>
            <w:r w:rsidRPr="00BD295E">
              <w:rPr>
                <w:rFonts w:ascii="Arial" w:hAnsi="Arial" w:cs="Arial"/>
                <w:sz w:val="18"/>
                <w:szCs w:val="18"/>
                <w:vertAlign w:val="subscript"/>
                <w:lang w:val="en-US"/>
              </w:rPr>
              <w:t>add</w:t>
            </w:r>
            <w:r w:rsidRPr="00BD295E">
              <w:rPr>
                <w:rFonts w:ascii="Arial" w:hAnsi="Arial" w:cs="Arial"/>
                <w:sz w:val="18"/>
                <w:szCs w:val="18"/>
                <w:lang w:val="en-US"/>
              </w:rPr>
              <w:t>) * C</w:t>
            </w:r>
            <w:r w:rsidRPr="00BD295E">
              <w:rPr>
                <w:rFonts w:ascii="Arial" w:hAnsi="Arial" w:cs="Arial"/>
                <w:sz w:val="18"/>
                <w:szCs w:val="18"/>
                <w:vertAlign w:val="subscript"/>
                <w:lang w:val="en-US"/>
              </w:rPr>
              <w:t>insp</w:t>
            </w:r>
            <w:r w:rsidRPr="00BD295E">
              <w:rPr>
                <w:rFonts w:ascii="Arial" w:hAnsi="Arial" w:cs="Arial"/>
                <w:sz w:val="18"/>
                <w:szCs w:val="18"/>
                <w:lang w:val="en-US"/>
              </w:rPr>
              <w:t>, where:</w:t>
            </w:r>
          </w:p>
          <w:p w14:paraId="7CCAE091" w14:textId="77777777" w:rsidR="00F3260C" w:rsidRPr="00BD295E" w:rsidRDefault="00F3260C" w:rsidP="00E3510B">
            <w:pPr>
              <w:autoSpaceDE w:val="0"/>
              <w:autoSpaceDN w:val="0"/>
              <w:adjustRightInd w:val="0"/>
              <w:rPr>
                <w:rFonts w:ascii="Arial" w:hAnsi="Arial" w:cs="Arial"/>
                <w:sz w:val="18"/>
                <w:szCs w:val="18"/>
                <w:lang w:val="en-US"/>
              </w:rPr>
            </w:pPr>
          </w:p>
          <w:p w14:paraId="0E161C88" w14:textId="77777777" w:rsidR="00F3260C" w:rsidRPr="00BD295E" w:rsidRDefault="008A5057" w:rsidP="00E3510B">
            <w:pPr>
              <w:autoSpaceDE w:val="0"/>
              <w:autoSpaceDN w:val="0"/>
              <w:adjustRightInd w:val="0"/>
              <w:ind w:firstLine="708"/>
              <w:rPr>
                <w:rFonts w:ascii="Arial" w:hAnsi="Arial" w:cs="Arial"/>
                <w:sz w:val="18"/>
                <w:szCs w:val="18"/>
                <w:lang w:val="en-US"/>
              </w:rPr>
            </w:pPr>
            <w:r w:rsidRPr="00BD295E">
              <w:rPr>
                <w:rFonts w:ascii="Arial" w:hAnsi="Arial" w:cs="Arial"/>
                <w:sz w:val="18"/>
                <w:szCs w:val="18"/>
                <w:lang w:val="en-US"/>
              </w:rPr>
              <w:t>C</w:t>
            </w:r>
            <w:r w:rsidRPr="00BD295E">
              <w:rPr>
                <w:rFonts w:ascii="Arial" w:hAnsi="Arial" w:cs="Arial"/>
                <w:sz w:val="18"/>
                <w:szCs w:val="18"/>
                <w:vertAlign w:val="subscript"/>
                <w:lang w:val="en-US"/>
              </w:rPr>
              <w:t>inv</w:t>
            </w:r>
            <w:r w:rsidRPr="00BD295E">
              <w:rPr>
                <w:rFonts w:ascii="Arial" w:hAnsi="Arial" w:cs="Arial"/>
                <w:sz w:val="18"/>
                <w:szCs w:val="18"/>
                <w:lang w:val="en-US"/>
              </w:rPr>
              <w:t xml:space="preserve"> is the coefficient of personal involvement;</w:t>
            </w:r>
          </w:p>
          <w:p w14:paraId="015138A5" w14:textId="77777777" w:rsidR="00F3260C" w:rsidRPr="00BD295E" w:rsidRDefault="008A5057" w:rsidP="00E3510B">
            <w:pPr>
              <w:pStyle w:val="af3"/>
              <w:autoSpaceDE w:val="0"/>
              <w:autoSpaceDN w:val="0"/>
              <w:adjustRightInd w:val="0"/>
              <w:ind w:left="0" w:firstLine="708"/>
              <w:jc w:val="both"/>
              <w:rPr>
                <w:rFonts w:ascii="Arial" w:hAnsi="Arial" w:cs="Arial"/>
                <w:sz w:val="18"/>
                <w:szCs w:val="18"/>
                <w:lang w:val="en-US"/>
              </w:rPr>
            </w:pPr>
            <w:r w:rsidRPr="00BD295E">
              <w:rPr>
                <w:rFonts w:ascii="Arial" w:hAnsi="Arial" w:cs="Arial"/>
                <w:sz w:val="18"/>
                <w:szCs w:val="18"/>
                <w:lang w:val="en-US"/>
              </w:rPr>
              <w:t>C</w:t>
            </w:r>
            <w:r w:rsidRPr="00BD295E">
              <w:rPr>
                <w:rFonts w:ascii="Arial" w:hAnsi="Arial" w:cs="Arial"/>
                <w:sz w:val="18"/>
                <w:szCs w:val="18"/>
                <w:vertAlign w:val="subscript"/>
                <w:lang w:val="en-US"/>
              </w:rPr>
              <w:t>m</w:t>
            </w:r>
            <w:r w:rsidRPr="00BD295E">
              <w:rPr>
                <w:rFonts w:ascii="Arial" w:hAnsi="Arial" w:cs="Arial"/>
                <w:sz w:val="18"/>
                <w:szCs w:val="18"/>
                <w:lang w:val="en-US"/>
              </w:rPr>
              <w:t xml:space="preserve"> is the coefficient of involvement in meetings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w:t>
            </w:r>
          </w:p>
          <w:p w14:paraId="23F6BE00" w14:textId="77777777" w:rsidR="00F3260C" w:rsidRPr="00BD295E" w:rsidRDefault="008A5057" w:rsidP="00E3510B">
            <w:pPr>
              <w:pStyle w:val="af3"/>
              <w:autoSpaceDE w:val="0"/>
              <w:autoSpaceDN w:val="0"/>
              <w:adjustRightInd w:val="0"/>
              <w:ind w:left="0" w:firstLine="708"/>
              <w:jc w:val="both"/>
              <w:rPr>
                <w:rFonts w:ascii="Arial" w:hAnsi="Arial" w:cs="Arial"/>
                <w:sz w:val="18"/>
                <w:szCs w:val="18"/>
                <w:lang w:val="en-US"/>
              </w:rPr>
            </w:pPr>
            <w:r w:rsidRPr="00BD295E">
              <w:rPr>
                <w:rFonts w:ascii="Arial" w:hAnsi="Arial" w:cs="Arial"/>
                <w:sz w:val="18"/>
                <w:szCs w:val="18"/>
                <w:lang w:val="en-US"/>
              </w:rPr>
              <w:t>C</w:t>
            </w:r>
            <w:r w:rsidRPr="00BD295E">
              <w:rPr>
                <w:rFonts w:ascii="Arial" w:hAnsi="Arial" w:cs="Arial"/>
                <w:sz w:val="18"/>
                <w:szCs w:val="18"/>
                <w:vertAlign w:val="subscript"/>
                <w:lang w:val="en-US"/>
              </w:rPr>
              <w:t>add</w:t>
            </w:r>
            <w:r w:rsidRPr="00BD295E">
              <w:rPr>
                <w:rFonts w:ascii="Arial" w:hAnsi="Arial" w:cs="Arial"/>
                <w:sz w:val="18"/>
                <w:szCs w:val="18"/>
                <w:lang w:val="en-US"/>
              </w:rPr>
              <w:t xml:space="preserve"> is the coefficient reflecting the work as the Chairman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 Secretary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w:t>
            </w:r>
          </w:p>
          <w:p w14:paraId="4BE3D859" w14:textId="77777777" w:rsidR="00F3260C" w:rsidRPr="00BD295E" w:rsidRDefault="008A5057" w:rsidP="00E3510B">
            <w:pPr>
              <w:pStyle w:val="af3"/>
              <w:autoSpaceDE w:val="0"/>
              <w:autoSpaceDN w:val="0"/>
              <w:adjustRightInd w:val="0"/>
              <w:ind w:left="0" w:firstLine="708"/>
              <w:jc w:val="both"/>
              <w:rPr>
                <w:rFonts w:ascii="Arial" w:hAnsi="Arial" w:cs="Arial"/>
                <w:sz w:val="18"/>
                <w:szCs w:val="18"/>
                <w:lang w:val="en-US"/>
              </w:rPr>
            </w:pPr>
            <w:r w:rsidRPr="00BD295E">
              <w:rPr>
                <w:rFonts w:ascii="Arial" w:hAnsi="Arial" w:cs="Arial"/>
                <w:sz w:val="18"/>
                <w:szCs w:val="18"/>
                <w:lang w:val="en-US"/>
              </w:rPr>
              <w:t>C</w:t>
            </w:r>
            <w:r w:rsidRPr="00BD295E">
              <w:rPr>
                <w:rFonts w:ascii="Arial" w:hAnsi="Arial" w:cs="Arial"/>
                <w:sz w:val="18"/>
                <w:szCs w:val="18"/>
                <w:vertAlign w:val="subscript"/>
                <w:lang w:val="en-US"/>
              </w:rPr>
              <w:t>insp</w:t>
            </w:r>
            <w:r w:rsidRPr="00BD295E">
              <w:rPr>
                <w:rFonts w:ascii="Arial" w:hAnsi="Arial" w:cs="Arial"/>
                <w:sz w:val="18"/>
                <w:szCs w:val="18"/>
                <w:lang w:val="en-US"/>
              </w:rPr>
              <w:t xml:space="preserve"> is the coefficient of involvement in inspections conducted by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w:t>
            </w:r>
          </w:p>
        </w:tc>
      </w:tr>
      <w:tr w:rsidR="008A5057" w:rsidRPr="00BD295E" w14:paraId="401D4CCE" w14:textId="77777777" w:rsidTr="00E3510B">
        <w:trPr>
          <w:trHeight w:val="242"/>
        </w:trPr>
        <w:tc>
          <w:tcPr>
            <w:tcW w:w="0" w:type="auto"/>
            <w:shd w:val="clear" w:color="auto" w:fill="auto"/>
          </w:tcPr>
          <w:p w14:paraId="4AA1E6BA" w14:textId="77777777" w:rsidR="00F3260C" w:rsidRPr="00BD295E" w:rsidRDefault="008A5057" w:rsidP="00E3510B">
            <w:pPr>
              <w:jc w:val="center"/>
              <w:rPr>
                <w:rFonts w:ascii="Arial" w:hAnsi="Arial" w:cs="Arial"/>
                <w:sz w:val="18"/>
                <w:szCs w:val="18"/>
                <w:lang w:val="en-US"/>
              </w:rPr>
            </w:pPr>
            <w:r w:rsidRPr="00BD295E">
              <w:rPr>
                <w:rFonts w:ascii="Arial" w:hAnsi="Arial" w:cs="Arial"/>
                <w:b/>
                <w:sz w:val="18"/>
                <w:szCs w:val="18"/>
                <w:lang w:val="en-US"/>
              </w:rPr>
              <w:t xml:space="preserve">Compensations payable to members of the </w:t>
            </w:r>
            <w:r w:rsidR="00293DDA" w:rsidRPr="00BD295E">
              <w:rPr>
                <w:rFonts w:ascii="Arial" w:hAnsi="Arial" w:cs="Arial"/>
                <w:b/>
                <w:sz w:val="18"/>
                <w:szCs w:val="18"/>
                <w:lang w:val="en-US"/>
              </w:rPr>
              <w:t>Internal Audit Commission</w:t>
            </w:r>
          </w:p>
        </w:tc>
      </w:tr>
      <w:tr w:rsidR="008A5057" w:rsidRPr="00BD295E" w14:paraId="22AEEB72" w14:textId="77777777" w:rsidTr="00E3510B">
        <w:trPr>
          <w:trHeight w:val="955"/>
        </w:trPr>
        <w:tc>
          <w:tcPr>
            <w:tcW w:w="10024" w:type="dxa"/>
            <w:shd w:val="clear" w:color="auto" w:fill="auto"/>
          </w:tcPr>
          <w:p w14:paraId="3F184F81" w14:textId="77777777" w:rsidR="00F3260C" w:rsidRPr="00BD295E" w:rsidRDefault="008A5057" w:rsidP="00E3510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Members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are to be compensated for documented expenses incurred in connection with their involvement in events held by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 if they visit the Company’s facilities, attend meetings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 held at the actual location of the Company, or perform other tasks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w:t>
            </w:r>
          </w:p>
        </w:tc>
      </w:tr>
    </w:tbl>
    <w:p w14:paraId="2B8B3740" w14:textId="77777777" w:rsidR="00F3260C" w:rsidRPr="00BD295E" w:rsidRDefault="00F3260C" w:rsidP="00F3260C">
      <w:pPr>
        <w:rPr>
          <w:rFonts w:ascii="Arial" w:hAnsi="Arial" w:cs="Arial"/>
          <w:b/>
          <w:sz w:val="18"/>
          <w:szCs w:val="18"/>
          <w:lang w:val="en-US"/>
        </w:rPr>
      </w:pPr>
    </w:p>
    <w:p w14:paraId="16D36CFE" w14:textId="77777777" w:rsidR="00F3260C" w:rsidRPr="00BD295E" w:rsidRDefault="006515AB" w:rsidP="00F3260C">
      <w:pPr>
        <w:jc w:val="both"/>
        <w:rPr>
          <w:rFonts w:ascii="Arial" w:hAnsi="Arial" w:cs="Arial"/>
          <w:b/>
          <w:bCs/>
          <w:sz w:val="18"/>
          <w:szCs w:val="18"/>
          <w:lang w:val="en-US"/>
        </w:rPr>
      </w:pPr>
      <w:r w:rsidRPr="00BD295E">
        <w:rPr>
          <w:rFonts w:ascii="Arial" w:hAnsi="Arial" w:cs="Arial"/>
          <w:b/>
          <w:bCs/>
          <w:sz w:val="18"/>
          <w:szCs w:val="18"/>
          <w:lang w:val="en-US"/>
        </w:rPr>
        <w:t>R</w:t>
      </w:r>
      <w:r w:rsidR="008A5057" w:rsidRPr="00BD295E">
        <w:rPr>
          <w:rFonts w:ascii="Arial" w:hAnsi="Arial" w:cs="Arial"/>
          <w:b/>
          <w:bCs/>
          <w:sz w:val="18"/>
          <w:szCs w:val="18"/>
          <w:lang w:val="en-US"/>
        </w:rPr>
        <w:t xml:space="preserve">emuneration and compensations payable to members of the </w:t>
      </w:r>
      <w:r w:rsidR="00293DDA" w:rsidRPr="00BD295E">
        <w:rPr>
          <w:rFonts w:ascii="Arial" w:hAnsi="Arial" w:cs="Arial"/>
          <w:b/>
          <w:bCs/>
          <w:sz w:val="18"/>
          <w:szCs w:val="18"/>
          <w:lang w:val="en-US"/>
        </w:rPr>
        <w:t>Internal Audit Commission</w:t>
      </w:r>
      <w:r w:rsidR="008A5057" w:rsidRPr="00BD295E">
        <w:rPr>
          <w:rFonts w:ascii="Arial" w:hAnsi="Arial" w:cs="Arial"/>
          <w:b/>
          <w:bCs/>
          <w:sz w:val="18"/>
          <w:szCs w:val="18"/>
          <w:lang w:val="en-US"/>
        </w:rPr>
        <w:t xml:space="preserve"> of the Company and </w:t>
      </w:r>
      <w:r w:rsidRPr="00BD295E">
        <w:rPr>
          <w:rFonts w:ascii="Arial" w:hAnsi="Arial" w:cs="Arial"/>
          <w:b/>
          <w:bCs/>
          <w:sz w:val="18"/>
          <w:szCs w:val="18"/>
          <w:lang w:val="en-US"/>
        </w:rPr>
        <w:t xml:space="preserve">experts </w:t>
      </w:r>
      <w:r w:rsidR="008A5057" w:rsidRPr="00BD295E">
        <w:rPr>
          <w:rFonts w:ascii="Arial" w:hAnsi="Arial" w:cs="Arial"/>
          <w:b/>
          <w:bCs/>
          <w:sz w:val="18"/>
          <w:szCs w:val="18"/>
          <w:lang w:val="en-US"/>
        </w:rPr>
        <w:t>engaged in 2018</w:t>
      </w:r>
    </w:p>
    <w:p w14:paraId="4808FE7A" w14:textId="77777777" w:rsidR="00F3260C" w:rsidRPr="00BD295E" w:rsidRDefault="00F3260C" w:rsidP="00C968B7">
      <w:pPr>
        <w:jc w:val="both"/>
        <w:rPr>
          <w:rFonts w:ascii="Arial" w:hAnsi="Arial" w:cs="Arial"/>
          <w:b/>
          <w:bCs/>
          <w:sz w:val="18"/>
          <w:szCs w:val="18"/>
          <w:lang w:val="en-US"/>
        </w:rPr>
      </w:pPr>
    </w:p>
    <w:p w14:paraId="1C175C9F"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total amount of remuneration and compensations paid to members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 in 2018 was RUB 638,949.73.</w:t>
      </w:r>
    </w:p>
    <w:p w14:paraId="4749127C" w14:textId="77777777" w:rsidR="00F3260C" w:rsidRPr="00BD295E" w:rsidRDefault="00F3260C" w:rsidP="00F3260C">
      <w:pPr>
        <w:ind w:firstLine="567"/>
        <w:jc w:val="both"/>
        <w:rPr>
          <w:rFonts w:ascii="Arial" w:hAnsi="Arial" w:cs="Arial"/>
          <w:sz w:val="18"/>
          <w:szCs w:val="18"/>
          <w:lang w:val="en-US"/>
        </w:rPr>
      </w:pPr>
    </w:p>
    <w:p w14:paraId="5956E6E7" w14:textId="77777777" w:rsidR="00F3260C" w:rsidRPr="00BD295E" w:rsidRDefault="00F3260C" w:rsidP="00F3260C">
      <w:pPr>
        <w:ind w:firstLine="567"/>
        <w:jc w:val="both"/>
        <w:rPr>
          <w:rFonts w:ascii="Arial" w:hAnsi="Arial" w:cs="Arial"/>
          <w:sz w:val="18"/>
          <w:szCs w:val="18"/>
          <w:lang w:val="en-US"/>
        </w:rPr>
      </w:pPr>
    </w:p>
    <w:p w14:paraId="75E50D2C" w14:textId="2BEC3B32" w:rsidR="00B20A51" w:rsidRPr="00BD295E" w:rsidRDefault="00997D07" w:rsidP="00F3260C">
      <w:pPr>
        <w:tabs>
          <w:tab w:val="left" w:pos="709"/>
          <w:tab w:val="left" w:pos="851"/>
        </w:tabs>
        <w:jc w:val="center"/>
        <w:rPr>
          <w:rFonts w:ascii="Arial" w:hAnsi="Arial" w:cs="Arial"/>
          <w:sz w:val="18"/>
          <w:szCs w:val="18"/>
          <w:lang w:val="en-US"/>
        </w:rPr>
      </w:pPr>
      <w:bookmarkStart w:id="412" w:name="_Hlk95940028"/>
      <w:r w:rsidRPr="00BD295E">
        <w:rPr>
          <w:rFonts w:ascii="Arial" w:hAnsi="Arial" w:cs="Arial"/>
          <w:sz w:val="18"/>
          <w:szCs w:val="18"/>
          <w:lang w:val="en-US" w:eastAsia="en-US"/>
        </w:rPr>
        <w:drawing>
          <wp:inline distT="0" distB="0" distL="0" distR="0" wp14:anchorId="3ECA8D00" wp14:editId="44E99C69">
            <wp:extent cx="5943600" cy="3215005"/>
            <wp:effectExtent l="0" t="0" r="0" b="4445"/>
            <wp:docPr id="78" name="Диаграмма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bookmarkEnd w:id="412"/>
    </w:p>
    <w:p w14:paraId="4D5BA35F" w14:textId="77777777" w:rsidR="00F3260C" w:rsidRPr="00BD295E" w:rsidRDefault="00F3260C" w:rsidP="00F3260C">
      <w:pPr>
        <w:tabs>
          <w:tab w:val="left" w:pos="709"/>
          <w:tab w:val="left" w:pos="851"/>
        </w:tabs>
        <w:jc w:val="center"/>
        <w:rPr>
          <w:rFonts w:ascii="Arial" w:hAnsi="Arial" w:cs="Arial"/>
          <w:sz w:val="18"/>
          <w:szCs w:val="18"/>
          <w:lang w:val="en-US"/>
        </w:rPr>
      </w:pPr>
    </w:p>
    <w:p w14:paraId="4F975B70" w14:textId="77777777" w:rsidR="00F3260C" w:rsidRPr="00BD295E" w:rsidRDefault="00F3260C" w:rsidP="00F3260C">
      <w:pPr>
        <w:jc w:val="both"/>
        <w:rPr>
          <w:rFonts w:ascii="Arial" w:hAnsi="Arial" w:cs="Arial"/>
          <w:sz w:val="18"/>
          <w:szCs w:val="18"/>
          <w:lang w:val="en-US"/>
        </w:rPr>
      </w:pPr>
    </w:p>
    <w:p w14:paraId="7C9BAF0D"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No transactions were made between members of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and the Company in the reporting year. No claims were filed by the Company against members of its </w:t>
      </w:r>
      <w:r w:rsidR="00293DDA" w:rsidRPr="00BD295E">
        <w:rPr>
          <w:rFonts w:ascii="Arial" w:hAnsi="Arial" w:cs="Arial"/>
          <w:sz w:val="18"/>
          <w:szCs w:val="18"/>
          <w:lang w:val="en-US"/>
        </w:rPr>
        <w:t>Internal Audit Commission</w:t>
      </w:r>
      <w:r w:rsidRPr="00BD295E">
        <w:rPr>
          <w:rFonts w:ascii="Arial" w:hAnsi="Arial" w:cs="Arial"/>
          <w:sz w:val="18"/>
          <w:szCs w:val="18"/>
          <w:lang w:val="en-US"/>
        </w:rPr>
        <w:t>.</w:t>
      </w:r>
    </w:p>
    <w:p w14:paraId="7B977DFB" w14:textId="77777777" w:rsidR="00F3260C" w:rsidRPr="00BD295E" w:rsidRDefault="00F3260C" w:rsidP="00C968B7">
      <w:pPr>
        <w:jc w:val="both"/>
        <w:rPr>
          <w:rFonts w:ascii="Arial" w:hAnsi="Arial" w:cs="Arial"/>
          <w:sz w:val="18"/>
          <w:szCs w:val="18"/>
          <w:lang w:val="en-US"/>
        </w:rPr>
      </w:pPr>
    </w:p>
    <w:p w14:paraId="7DC8F48D" w14:textId="77777777" w:rsidR="00F3260C" w:rsidRPr="00BD295E" w:rsidRDefault="008A5057" w:rsidP="00C968B7">
      <w:pPr>
        <w:rPr>
          <w:rFonts w:ascii="Arial" w:hAnsi="Arial" w:cs="Arial"/>
          <w:b/>
          <w:sz w:val="18"/>
          <w:szCs w:val="18"/>
          <w:lang w:val="en-US"/>
        </w:rPr>
      </w:pPr>
      <w:r w:rsidRPr="00BD295E">
        <w:rPr>
          <w:rFonts w:ascii="Arial" w:hAnsi="Arial" w:cs="Arial"/>
          <w:b/>
          <w:sz w:val="18"/>
          <w:szCs w:val="18"/>
          <w:lang w:val="en-US"/>
        </w:rPr>
        <w:t>INTERNAL AND EXTERNAL AUDIT</w:t>
      </w:r>
    </w:p>
    <w:p w14:paraId="215AB47E" w14:textId="77777777" w:rsidR="00F3260C" w:rsidRPr="00BD295E" w:rsidRDefault="00F3260C" w:rsidP="00C968B7">
      <w:pPr>
        <w:rPr>
          <w:rFonts w:ascii="Arial" w:hAnsi="Arial" w:cs="Arial"/>
          <w:b/>
          <w:sz w:val="18"/>
          <w:szCs w:val="18"/>
          <w:lang w:val="en-US"/>
        </w:rPr>
      </w:pPr>
    </w:p>
    <w:p w14:paraId="2FCB1593" w14:textId="77777777" w:rsidR="00F3260C" w:rsidRPr="00BD295E" w:rsidRDefault="008A5057" w:rsidP="00C968B7">
      <w:pPr>
        <w:rPr>
          <w:rFonts w:ascii="Arial" w:hAnsi="Arial" w:cs="Arial"/>
          <w:b/>
          <w:sz w:val="18"/>
          <w:szCs w:val="18"/>
          <w:lang w:val="en-US"/>
        </w:rPr>
      </w:pPr>
      <w:r w:rsidRPr="00BD295E">
        <w:rPr>
          <w:rFonts w:ascii="Arial" w:hAnsi="Arial" w:cs="Arial"/>
          <w:b/>
          <w:sz w:val="18"/>
          <w:szCs w:val="18"/>
          <w:lang w:val="en-US"/>
        </w:rPr>
        <w:t xml:space="preserve">Internal Audit Department </w:t>
      </w:r>
    </w:p>
    <w:p w14:paraId="1D076D0A" w14:textId="77777777" w:rsidR="00F3260C" w:rsidRPr="00BD295E" w:rsidRDefault="00F3260C" w:rsidP="00C968B7">
      <w:pPr>
        <w:rPr>
          <w:rFonts w:ascii="Arial" w:hAnsi="Arial" w:cs="Arial"/>
          <w:b/>
          <w:bCs/>
          <w:sz w:val="18"/>
          <w:szCs w:val="18"/>
          <w:lang w:val="en-US"/>
        </w:rPr>
      </w:pPr>
    </w:p>
    <w:p w14:paraId="40EEDACB"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In order to implement the principle of independence of internal audit and separation of internal audit, internal control, and risk management functions, the Board of Directors approved a new organizational structure of the Company by its Resolution </w:t>
      </w:r>
      <w:r w:rsidR="008B183C" w:rsidRPr="00BD295E">
        <w:rPr>
          <w:rFonts w:ascii="Arial" w:hAnsi="Arial" w:cs="Arial"/>
          <w:sz w:val="18"/>
          <w:szCs w:val="18"/>
          <w:lang w:val="en-US"/>
        </w:rPr>
        <w:t>of</w:t>
      </w:r>
      <w:r w:rsidRPr="00BD295E">
        <w:rPr>
          <w:rFonts w:ascii="Arial" w:hAnsi="Arial" w:cs="Arial"/>
          <w:sz w:val="18"/>
          <w:szCs w:val="18"/>
          <w:lang w:val="en-US"/>
        </w:rPr>
        <w:t xml:space="preserve"> June 8, 2018 and established the Internal Audit Department with solid line reporting to the CEO and dotted line reporting to the Audit Committee of the Board of Directors.</w:t>
      </w:r>
    </w:p>
    <w:p w14:paraId="264C867F"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In accordance with Сlause 3.2 of the Regulations for the Internal Audit Department agreed by the Audit Committee of the Company’s Board of Directors on November 30, 2018 (Minutes No. 99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30, 2018), approved by the Board of Directors of the Company on February 28, 2019 (Minutes No. 26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28, 2019) and approved on March 1, 2019, the key objectives of the Department include:</w:t>
      </w:r>
    </w:p>
    <w:p w14:paraId="60D08D6D" w14:textId="77777777" w:rsidR="00F3260C" w:rsidRPr="00BD295E" w:rsidRDefault="008A5057" w:rsidP="00C968B7">
      <w:pPr>
        <w:pStyle w:val="af3"/>
        <w:widowControl w:val="0"/>
        <w:numPr>
          <w:ilvl w:val="2"/>
          <w:numId w:val="135"/>
        </w:numPr>
        <w:tabs>
          <w:tab w:val="left" w:pos="993"/>
        </w:tabs>
        <w:ind w:left="0" w:firstLine="0"/>
        <w:jc w:val="both"/>
        <w:rPr>
          <w:rFonts w:ascii="Arial" w:hAnsi="Arial" w:cs="Arial"/>
          <w:sz w:val="18"/>
          <w:szCs w:val="18"/>
          <w:lang w:val="en-US"/>
        </w:rPr>
      </w:pPr>
      <w:r w:rsidRPr="00BD295E">
        <w:rPr>
          <w:rFonts w:ascii="Arial" w:hAnsi="Arial" w:cs="Arial"/>
          <w:sz w:val="18"/>
          <w:szCs w:val="18"/>
          <w:lang w:val="en-US"/>
        </w:rPr>
        <w:t>adopting and applying unified approaches to building, managing, and coordinating the internal audit function at the Company;</w:t>
      </w:r>
    </w:p>
    <w:p w14:paraId="3BCE7FE4" w14:textId="77777777" w:rsidR="00F3260C" w:rsidRPr="00BD295E" w:rsidRDefault="008A5057" w:rsidP="00C968B7">
      <w:pPr>
        <w:pStyle w:val="af3"/>
        <w:widowControl w:val="0"/>
        <w:numPr>
          <w:ilvl w:val="2"/>
          <w:numId w:val="135"/>
        </w:numPr>
        <w:tabs>
          <w:tab w:val="left" w:pos="993"/>
        </w:tabs>
        <w:ind w:left="0" w:firstLine="0"/>
        <w:jc w:val="both"/>
        <w:rPr>
          <w:rFonts w:ascii="Arial" w:hAnsi="Arial" w:cs="Arial"/>
          <w:sz w:val="18"/>
          <w:szCs w:val="18"/>
          <w:lang w:val="en-US"/>
        </w:rPr>
      </w:pPr>
      <w:r w:rsidRPr="00BD295E">
        <w:rPr>
          <w:rFonts w:ascii="Arial" w:hAnsi="Arial" w:cs="Arial"/>
          <w:sz w:val="18"/>
          <w:szCs w:val="18"/>
          <w:lang w:val="en-US"/>
        </w:rPr>
        <w:t xml:space="preserve">performing internal audits, participating in other audits across the Company and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w:t>
      </w:r>
    </w:p>
    <w:p w14:paraId="7C0D19E1" w14:textId="77777777" w:rsidR="00F3260C" w:rsidRPr="00BD295E" w:rsidRDefault="008A5057" w:rsidP="00C968B7">
      <w:pPr>
        <w:pStyle w:val="af3"/>
        <w:widowControl w:val="0"/>
        <w:numPr>
          <w:ilvl w:val="2"/>
          <w:numId w:val="135"/>
        </w:numPr>
        <w:tabs>
          <w:tab w:val="left" w:pos="993"/>
        </w:tabs>
        <w:ind w:left="0" w:firstLine="0"/>
        <w:jc w:val="both"/>
        <w:rPr>
          <w:rFonts w:ascii="Arial" w:hAnsi="Arial" w:cs="Arial"/>
          <w:sz w:val="18"/>
          <w:szCs w:val="18"/>
          <w:lang w:val="en-US"/>
        </w:rPr>
      </w:pPr>
      <w:r w:rsidRPr="00BD295E">
        <w:rPr>
          <w:rFonts w:ascii="Arial" w:hAnsi="Arial" w:cs="Arial"/>
          <w:sz w:val="18"/>
          <w:szCs w:val="18"/>
          <w:lang w:val="en-US"/>
        </w:rPr>
        <w:t>providing independent and objective assurance regarding the effectiveness of the internal control, risk management, and corporate governance systems, as well as assisting the Company’s executive bodies and employees in developing and monitoring procedures and measures to improve the internal control, risk management, and corporate governance systems of the Company;</w:t>
      </w:r>
    </w:p>
    <w:p w14:paraId="1DA6B497" w14:textId="77777777" w:rsidR="00F3260C" w:rsidRPr="00BD295E" w:rsidRDefault="008A5057" w:rsidP="00C968B7">
      <w:pPr>
        <w:pStyle w:val="af3"/>
        <w:widowControl w:val="0"/>
        <w:numPr>
          <w:ilvl w:val="2"/>
          <w:numId w:val="135"/>
        </w:numPr>
        <w:tabs>
          <w:tab w:val="left" w:pos="993"/>
        </w:tabs>
        <w:ind w:left="0" w:firstLine="0"/>
        <w:jc w:val="both"/>
        <w:rPr>
          <w:rFonts w:ascii="Arial" w:hAnsi="Arial" w:cs="Arial"/>
          <w:sz w:val="18"/>
          <w:szCs w:val="18"/>
          <w:lang w:val="en-US"/>
        </w:rPr>
      </w:pPr>
      <w:r w:rsidRPr="00BD295E">
        <w:rPr>
          <w:rFonts w:ascii="Arial" w:hAnsi="Arial" w:cs="Arial"/>
          <w:sz w:val="18"/>
          <w:szCs w:val="18"/>
          <w:lang w:val="en-US"/>
        </w:rPr>
        <w:t xml:space="preserve">organizing effective interaction between the Company and the Company’s external auditor,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 and other stakeholders on matters within the remit of the internal audit function;</w:t>
      </w:r>
    </w:p>
    <w:p w14:paraId="1F6AD568" w14:textId="77777777" w:rsidR="00F3260C" w:rsidRPr="00BD295E" w:rsidRDefault="008A5057" w:rsidP="00C968B7">
      <w:pPr>
        <w:pStyle w:val="af3"/>
        <w:widowControl w:val="0"/>
        <w:numPr>
          <w:ilvl w:val="2"/>
          <w:numId w:val="135"/>
        </w:numPr>
        <w:tabs>
          <w:tab w:val="left" w:pos="993"/>
        </w:tabs>
        <w:ind w:left="0" w:firstLine="0"/>
        <w:jc w:val="both"/>
        <w:rPr>
          <w:rFonts w:ascii="Arial" w:hAnsi="Arial" w:cs="Arial"/>
          <w:sz w:val="18"/>
          <w:szCs w:val="18"/>
          <w:lang w:val="en-US"/>
        </w:rPr>
      </w:pPr>
      <w:r w:rsidRPr="00BD295E">
        <w:rPr>
          <w:rFonts w:ascii="Arial" w:hAnsi="Arial" w:cs="Arial"/>
          <w:sz w:val="18"/>
          <w:szCs w:val="18"/>
          <w:lang w:val="en-US"/>
        </w:rPr>
        <w:t>preparing and submitting to the Board of Directors, Audit Committee, and executive bodies of the Company, responses on the performance of the internal audit function (including information on existing risks, weaknesses, results, and effectiveness of measures taken to address the identified weaknesses, the results of implementing the internal audit plan, assessment of the actual state, reliability, and effectiveness of internal control, risk management, and corporate governance systems).</w:t>
      </w:r>
    </w:p>
    <w:p w14:paraId="6089B45F" w14:textId="77777777" w:rsidR="00F3260C" w:rsidRPr="00BD295E" w:rsidRDefault="00F3260C" w:rsidP="00C968B7">
      <w:pPr>
        <w:jc w:val="both"/>
        <w:rPr>
          <w:rFonts w:ascii="Arial" w:hAnsi="Arial" w:cs="Arial"/>
          <w:sz w:val="18"/>
          <w:szCs w:val="18"/>
          <w:lang w:val="en-US"/>
        </w:rPr>
      </w:pPr>
    </w:p>
    <w:p w14:paraId="1DD98631"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In 2018, the internal audit function operated in line with: </w:t>
      </w:r>
    </w:p>
    <w:p w14:paraId="3CFDCBEF"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 the Regulations for the Internal Audit and Control Department agreed by the Resolution of the Audit Committee of the Company’s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19, 2014 (Minutes No. 47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22, 2014);</w:t>
      </w:r>
    </w:p>
    <w:p w14:paraId="6F856A43"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 the Regulations for the Internal Audit Department agreed by the Resolution of the Audit Committee of the Company’s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30, 2018 (Minutes No. 99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30, 2018);</w:t>
      </w:r>
    </w:p>
    <w:p w14:paraId="6C4A6F65"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 the restated version of the Company’s Risk Management Policy approved by the Board of Directors on April 7, 2016 (Minutes No. 45 </w:t>
      </w:r>
      <w:r w:rsidR="008B183C" w:rsidRPr="00BD295E">
        <w:rPr>
          <w:rFonts w:ascii="Arial" w:hAnsi="Arial" w:cs="Arial"/>
          <w:sz w:val="18"/>
          <w:szCs w:val="18"/>
          <w:lang w:val="en-US"/>
        </w:rPr>
        <w:t>of</w:t>
      </w:r>
      <w:r w:rsidRPr="00BD295E">
        <w:rPr>
          <w:rFonts w:ascii="Arial" w:hAnsi="Arial" w:cs="Arial"/>
          <w:sz w:val="18"/>
          <w:szCs w:val="18"/>
          <w:lang w:val="en-US"/>
        </w:rPr>
        <w:t xml:space="preserve"> April 12, 2016), which outlines the basic principles of the risk management system organization, its goals and objectives, approaches to risk identification, assessment, and management, as well as functions and responsibilities of the risk management system stakeholders;</w:t>
      </w:r>
    </w:p>
    <w:p w14:paraId="7EA0549F"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 The restated Internal Control Policy of the Company approved by the Resolution of the Company’s Board of Directors on March 11, 2016 (Minutes No. 41 of March 15, 2016), which outlines the basic principles of the organization and operation of the internal control system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well as a uniform approach to the implementation of internal control processes at the Company, the functions and responsibilities of the </w:t>
      </w:r>
      <w:r w:rsidR="00AB4381" w:rsidRPr="00BD295E">
        <w:rPr>
          <w:rFonts w:ascii="Arial" w:hAnsi="Arial" w:cs="Arial"/>
          <w:sz w:val="18"/>
          <w:szCs w:val="18"/>
          <w:lang w:val="en-US"/>
        </w:rPr>
        <w:t>internal control system actors</w:t>
      </w:r>
      <w:r w:rsidRPr="00BD295E">
        <w:rPr>
          <w:rFonts w:ascii="Arial" w:hAnsi="Arial" w:cs="Arial"/>
          <w:sz w:val="18"/>
          <w:szCs w:val="18"/>
          <w:lang w:val="en-US"/>
        </w:rPr>
        <w:t>, and the assessment criteria for the internal control system;</w:t>
      </w:r>
    </w:p>
    <w:p w14:paraId="67DB5D5B"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 The restated Internal Audit Policy of the Company approved by the Resolution of the Company’s Board of Directors on March 11, 2016 (Minutes No. 41 </w:t>
      </w:r>
      <w:r w:rsidR="008B183C" w:rsidRPr="00BD295E">
        <w:rPr>
          <w:rFonts w:ascii="Arial" w:hAnsi="Arial" w:cs="Arial"/>
          <w:sz w:val="18"/>
          <w:szCs w:val="18"/>
          <w:lang w:val="en-US"/>
        </w:rPr>
        <w:t>of</w:t>
      </w:r>
      <w:r w:rsidRPr="00BD295E">
        <w:rPr>
          <w:rFonts w:ascii="Arial" w:hAnsi="Arial" w:cs="Arial"/>
          <w:sz w:val="18"/>
          <w:szCs w:val="18"/>
          <w:lang w:val="en-US"/>
        </w:rPr>
        <w:t xml:space="preserve"> March 15, 2016, as amended (Minutes No. 26 </w:t>
      </w:r>
      <w:r w:rsidR="008B183C" w:rsidRPr="00BD295E">
        <w:rPr>
          <w:rFonts w:ascii="Arial" w:hAnsi="Arial" w:cs="Arial"/>
          <w:sz w:val="18"/>
          <w:szCs w:val="18"/>
          <w:lang w:val="en-US"/>
        </w:rPr>
        <w:t>of</w:t>
      </w:r>
      <w:r w:rsidRPr="00BD295E">
        <w:rPr>
          <w:rFonts w:ascii="Arial" w:hAnsi="Arial" w:cs="Arial"/>
          <w:sz w:val="18"/>
          <w:szCs w:val="18"/>
          <w:lang w:val="en-US"/>
        </w:rPr>
        <w:t xml:space="preserve"> March 16, 2017), which outlines the objectives and principles of internal audit, the powers of internal auditors and the corresponding responsibilities of management and employees of audited units, as well as monitoring of the activities of internal auditors and reporting.</w:t>
      </w:r>
    </w:p>
    <w:p w14:paraId="6599672A" w14:textId="77777777" w:rsidR="00F3260C" w:rsidRPr="00BD295E" w:rsidRDefault="00F3260C" w:rsidP="00C968B7">
      <w:pPr>
        <w:jc w:val="both"/>
        <w:rPr>
          <w:rFonts w:ascii="Arial" w:hAnsi="Arial" w:cs="Arial"/>
          <w:sz w:val="18"/>
          <w:szCs w:val="18"/>
          <w:lang w:val="en-US"/>
        </w:rPr>
      </w:pPr>
    </w:p>
    <w:p w14:paraId="4917A0CE" w14:textId="77777777" w:rsidR="00F3260C" w:rsidRPr="00BD295E" w:rsidRDefault="008A5057" w:rsidP="00C968B7">
      <w:pPr>
        <w:rPr>
          <w:rFonts w:ascii="Arial" w:hAnsi="Arial" w:cs="Arial"/>
          <w:b/>
          <w:sz w:val="18"/>
          <w:szCs w:val="18"/>
          <w:lang w:val="en-US"/>
        </w:rPr>
      </w:pPr>
      <w:r w:rsidRPr="00BD295E">
        <w:rPr>
          <w:rFonts w:ascii="Arial" w:hAnsi="Arial" w:cs="Arial"/>
          <w:b/>
          <w:sz w:val="18"/>
          <w:szCs w:val="18"/>
          <w:lang w:val="en-US"/>
        </w:rPr>
        <w:t>External auditor of the Company</w:t>
      </w:r>
    </w:p>
    <w:p w14:paraId="2A80E3EA" w14:textId="77777777" w:rsidR="00F3260C" w:rsidRPr="00BD295E" w:rsidRDefault="00F3260C" w:rsidP="00C968B7">
      <w:pPr>
        <w:rPr>
          <w:rFonts w:ascii="Arial" w:hAnsi="Arial" w:cs="Arial"/>
          <w:b/>
          <w:sz w:val="18"/>
          <w:szCs w:val="18"/>
          <w:lang w:val="en-US"/>
        </w:rPr>
      </w:pPr>
    </w:p>
    <w:p w14:paraId="2DB4631F" w14:textId="1B4357B2"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the Company approved the appointment of Ernst &amp; Young, LLC (Minutes No. 2/2018 </w:t>
      </w:r>
      <w:r w:rsidR="008B183C" w:rsidRPr="00BD295E">
        <w:rPr>
          <w:rFonts w:ascii="Arial" w:hAnsi="Arial" w:cs="Arial"/>
          <w:sz w:val="18"/>
          <w:szCs w:val="18"/>
          <w:lang w:val="en-US"/>
        </w:rPr>
        <w:t>of</w:t>
      </w:r>
      <w:r w:rsidRPr="00BD295E">
        <w:rPr>
          <w:rFonts w:ascii="Arial" w:hAnsi="Arial" w:cs="Arial"/>
          <w:sz w:val="18"/>
          <w:szCs w:val="18"/>
          <w:lang w:val="en-US"/>
        </w:rPr>
        <w:t xml:space="preserve"> June 13, 2018) to audit the Company’s 2018 accounting (financial) statements prepared under the Russian Accounting Standards (RAS) and the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financial statements for the year ended December 31, 2018 prepared under International Financial Reporting Standards (IFRS).</w:t>
      </w:r>
    </w:p>
    <w:p w14:paraId="7C4B714D"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Following the procurement procedures, the proposal to appoint Ernst &amp; Young, LLC as the auditor was reviewed by the Audit Committee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on April 26, 2018 (Minutes No. 94 of </w:t>
      </w:r>
      <w:r w:rsidR="00CF0D86" w:rsidRPr="00BD295E">
        <w:rPr>
          <w:rFonts w:ascii="Arial" w:hAnsi="Arial" w:cs="Arial"/>
          <w:sz w:val="18"/>
          <w:szCs w:val="18"/>
          <w:lang w:val="en-US"/>
        </w:rPr>
        <w:t>April</w:t>
      </w:r>
      <w:r w:rsidRPr="00BD295E">
        <w:rPr>
          <w:rFonts w:ascii="Arial" w:hAnsi="Arial" w:cs="Arial"/>
          <w:sz w:val="18"/>
          <w:szCs w:val="18"/>
          <w:lang w:val="en-US"/>
        </w:rPr>
        <w:t xml:space="preserve"> 26, 2018). Based on a recommendation of the Committee, the Board of Directors resolved to nominate Ernst &amp; Young, LLC as an auditor subject to approval by 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(Minutes No. 38 of May 11, 2018).</w:t>
      </w:r>
    </w:p>
    <w:p w14:paraId="75469D64"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In accordance with Clause 22.9 of the Company’s Articles of Association, the amount of the Auditor’s remuneration is determined by the Board of Directors.</w:t>
      </w:r>
    </w:p>
    <w:p w14:paraId="31110070" w14:textId="77777777" w:rsidR="00F3260C" w:rsidRPr="00BD295E" w:rsidRDefault="008A5057" w:rsidP="00C968B7">
      <w:pPr>
        <w:autoSpaceDE w:val="0"/>
        <w:autoSpaceDN w:val="0"/>
        <w:jc w:val="both"/>
        <w:rPr>
          <w:rFonts w:ascii="Arial" w:hAnsi="Arial" w:cs="Arial"/>
          <w:sz w:val="18"/>
          <w:szCs w:val="18"/>
          <w:lang w:val="en-US"/>
        </w:rPr>
      </w:pPr>
      <w:r w:rsidRPr="00BD295E">
        <w:rPr>
          <w:rFonts w:ascii="Arial" w:hAnsi="Arial" w:cs="Arial"/>
          <w:sz w:val="18"/>
          <w:szCs w:val="18"/>
          <w:lang w:val="en-US"/>
        </w:rPr>
        <w:t xml:space="preserve">According to the Resolution of the Company’s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20, 2018, the fee for the services of Ernst &amp; Young, LLC as the Company's auditor is RUB </w:t>
      </w:r>
      <w:r w:rsidRPr="00BD295E">
        <w:rPr>
          <w:rFonts w:ascii="Arial" w:hAnsi="Arial" w:cs="Arial"/>
          <w:bCs/>
          <w:sz w:val="18"/>
          <w:szCs w:val="18"/>
          <w:lang w:val="en-US"/>
        </w:rPr>
        <w:t>7,905,341</w:t>
      </w:r>
      <w:r w:rsidRPr="00BD295E">
        <w:rPr>
          <w:rFonts w:ascii="Arial" w:hAnsi="Arial" w:cs="Arial"/>
          <w:sz w:val="18"/>
          <w:szCs w:val="18"/>
          <w:lang w:val="en-US"/>
        </w:rPr>
        <w:t xml:space="preserve">.17, including 18% VAT (Minutes No. 19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21, 2018).</w:t>
      </w:r>
    </w:p>
    <w:p w14:paraId="744A8CF2" w14:textId="77777777" w:rsidR="00F3260C" w:rsidRPr="00BD295E" w:rsidRDefault="008A5057" w:rsidP="00C968B7">
      <w:pPr>
        <w:autoSpaceDE w:val="0"/>
        <w:autoSpaceDN w:val="0"/>
        <w:jc w:val="both"/>
        <w:rPr>
          <w:rFonts w:ascii="Arial" w:hAnsi="Arial" w:cs="Arial"/>
          <w:sz w:val="18"/>
          <w:szCs w:val="18"/>
          <w:lang w:val="en-US"/>
        </w:rPr>
      </w:pPr>
      <w:r w:rsidRPr="00BD295E">
        <w:rPr>
          <w:rFonts w:ascii="Arial" w:hAnsi="Arial" w:cs="Arial"/>
          <w:sz w:val="18"/>
          <w:szCs w:val="18"/>
          <w:lang w:val="en-US"/>
        </w:rPr>
        <w:t>The auditor does not provide non-audit services to the Company.</w:t>
      </w:r>
    </w:p>
    <w:p w14:paraId="6B0E0BF5" w14:textId="77777777" w:rsidR="00F3260C" w:rsidRPr="00BD295E" w:rsidRDefault="00F3260C" w:rsidP="00C968B7">
      <w:pPr>
        <w:jc w:val="both"/>
        <w:rPr>
          <w:rFonts w:ascii="Arial" w:hAnsi="Arial" w:cs="Arial"/>
          <w:b/>
          <w:sz w:val="18"/>
          <w:szCs w:val="18"/>
          <w:lang w:val="en-US"/>
        </w:rPr>
      </w:pPr>
    </w:p>
    <w:p w14:paraId="14EDB383" w14:textId="77777777" w:rsidR="00F3260C" w:rsidRPr="00BD295E" w:rsidRDefault="008A5057" w:rsidP="00C968B7">
      <w:pPr>
        <w:jc w:val="both"/>
        <w:rPr>
          <w:rFonts w:ascii="Arial" w:hAnsi="Arial" w:cs="Arial"/>
          <w:b/>
          <w:sz w:val="18"/>
          <w:szCs w:val="18"/>
          <w:lang w:val="en-US"/>
        </w:rPr>
      </w:pPr>
      <w:r w:rsidRPr="00BD295E">
        <w:rPr>
          <w:rFonts w:ascii="Arial" w:hAnsi="Arial" w:cs="Arial"/>
          <w:b/>
          <w:sz w:val="18"/>
          <w:szCs w:val="18"/>
          <w:lang w:val="en-US"/>
        </w:rPr>
        <w:t>Management of controlled companies by the Company</w:t>
      </w:r>
    </w:p>
    <w:p w14:paraId="7E0C65A7" w14:textId="77777777" w:rsidR="00F3260C" w:rsidRPr="00BD295E" w:rsidRDefault="00F3260C" w:rsidP="00C968B7">
      <w:pPr>
        <w:jc w:val="both"/>
        <w:rPr>
          <w:rFonts w:ascii="Arial" w:hAnsi="Arial" w:cs="Arial"/>
          <w:b/>
          <w:sz w:val="18"/>
          <w:szCs w:val="18"/>
          <w:lang w:val="en-US"/>
        </w:rPr>
      </w:pPr>
    </w:p>
    <w:p w14:paraId="3CA4B94B"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legal status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is regulated by the Federal Law </w:t>
      </w:r>
      <w:r w:rsidRPr="00BD295E">
        <w:rPr>
          <w:rFonts w:ascii="Arial" w:hAnsi="Arial" w:cs="Arial"/>
          <w:i/>
          <w:iCs/>
          <w:sz w:val="18"/>
          <w:szCs w:val="18"/>
          <w:lang w:val="en-US"/>
        </w:rPr>
        <w:t>On Joint Stock Companies</w:t>
      </w:r>
      <w:r w:rsidRPr="00BD295E">
        <w:rPr>
          <w:rFonts w:ascii="Arial" w:hAnsi="Arial" w:cs="Arial"/>
          <w:sz w:val="18"/>
          <w:szCs w:val="18"/>
          <w:lang w:val="en-US"/>
        </w:rPr>
        <w:t xml:space="preserve"> and the Civil Code of the Russian Federation.</w:t>
      </w:r>
    </w:p>
    <w:p w14:paraId="16655561"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key documents governing the relations between the Company and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include the Articles of Association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the Procedure for Interaction between the Company and Business Entities Shares (Interest Stakes) in Which Are Held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(hereinafter the “Procedure”), approved by the Resolution of the Board of Directors of March 24, 2009 (Minutes No. 12 of March 24, 2009).</w:t>
      </w:r>
    </w:p>
    <w:p w14:paraId="488929A1"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above documents establish the general principles of corporate relations between the Company and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in such areas as corporate planning, organization, and follow-up of corporate actions during the review by governing bodies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of matters that require determining the position of the Company in line with the Company’s Articles of Association. They also govern in detail the exercise of shareholder (member) rights by the Company with respect to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in order to ensure effective performance of the Company’s representatives at General Meetings of Shareholders (Members), at meetings of the boards of directors and internal inspection commissions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w:t>
      </w:r>
    </w:p>
    <w:p w14:paraId="510ED297" w14:textId="77777777" w:rsidR="00F3260C" w:rsidRPr="00BD295E" w:rsidRDefault="00F3260C" w:rsidP="00C968B7">
      <w:pPr>
        <w:jc w:val="both"/>
        <w:rPr>
          <w:rFonts w:ascii="Arial" w:hAnsi="Arial" w:cs="Arial"/>
          <w:sz w:val="18"/>
          <w:szCs w:val="18"/>
          <w:lang w:val="en-US"/>
        </w:rPr>
      </w:pPr>
    </w:p>
    <w:p w14:paraId="40B1C12C" w14:textId="77777777" w:rsidR="00F3260C" w:rsidRPr="00BD295E" w:rsidRDefault="008A5057" w:rsidP="00C968B7">
      <w:pPr>
        <w:jc w:val="both"/>
        <w:rPr>
          <w:rFonts w:ascii="Arial" w:hAnsi="Arial" w:cs="Arial"/>
          <w:b/>
          <w:sz w:val="18"/>
          <w:szCs w:val="18"/>
          <w:lang w:val="en-US"/>
        </w:rPr>
      </w:pPr>
      <w:r w:rsidRPr="00BD295E">
        <w:rPr>
          <w:rFonts w:ascii="Arial" w:hAnsi="Arial" w:cs="Arial"/>
          <w:b/>
          <w:sz w:val="18"/>
          <w:szCs w:val="18"/>
          <w:lang w:val="en-US"/>
        </w:rPr>
        <w:t xml:space="preserve">List of </w:t>
      </w:r>
      <w:r w:rsidR="006515AB" w:rsidRPr="00BD295E">
        <w:rPr>
          <w:rFonts w:ascii="Arial" w:hAnsi="Arial" w:cs="Arial"/>
          <w:b/>
          <w:sz w:val="18"/>
          <w:szCs w:val="18"/>
          <w:lang w:val="en-US"/>
        </w:rPr>
        <w:t>subsidiaries and affiliates</w:t>
      </w:r>
      <w:r w:rsidRPr="00BD295E">
        <w:rPr>
          <w:rFonts w:ascii="Arial" w:hAnsi="Arial" w:cs="Arial"/>
          <w:b/>
          <w:sz w:val="18"/>
          <w:szCs w:val="18"/>
          <w:lang w:val="en-US"/>
        </w:rPr>
        <w:t xml:space="preserve"> of </w:t>
      </w:r>
      <w:r w:rsidR="00EE5753" w:rsidRPr="00BD295E">
        <w:rPr>
          <w:rFonts w:ascii="Arial" w:hAnsi="Arial" w:cs="Arial"/>
          <w:b/>
          <w:sz w:val="18"/>
          <w:szCs w:val="18"/>
          <w:lang w:val="en-US"/>
        </w:rPr>
        <w:t>PJSC “Lenenergo”</w:t>
      </w:r>
      <w:r w:rsidRPr="00BD295E">
        <w:rPr>
          <w:rFonts w:ascii="Arial" w:hAnsi="Arial" w:cs="Arial"/>
          <w:b/>
          <w:sz w:val="18"/>
          <w:szCs w:val="18"/>
          <w:lang w:val="en-US"/>
        </w:rPr>
        <w:t>:</w:t>
      </w:r>
    </w:p>
    <w:p w14:paraId="7E4C9869" w14:textId="77777777" w:rsidR="00F3260C" w:rsidRPr="00BD295E" w:rsidRDefault="00F3260C" w:rsidP="00C968B7">
      <w:pPr>
        <w:jc w:val="both"/>
        <w:rPr>
          <w:rFonts w:ascii="Arial" w:hAnsi="Arial" w:cs="Arial"/>
          <w:b/>
          <w:sz w:val="18"/>
          <w:szCs w:val="18"/>
          <w:lang w:val="en-US"/>
        </w:rPr>
      </w:pPr>
    </w:p>
    <w:p w14:paraId="5B7FF5C5"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1. </w:t>
      </w:r>
      <w:r w:rsidR="006515AB" w:rsidRPr="00BD295E">
        <w:rPr>
          <w:rFonts w:ascii="Arial" w:hAnsi="Arial" w:cs="Arial"/>
          <w:sz w:val="18"/>
          <w:szCs w:val="18"/>
          <w:lang w:val="en-US"/>
        </w:rPr>
        <w:t>JSC “Lenenergospetsremont”</w:t>
      </w:r>
      <w:r w:rsidRPr="00BD295E">
        <w:rPr>
          <w:rFonts w:ascii="Arial" w:hAnsi="Arial" w:cs="Arial"/>
          <w:sz w:val="18"/>
          <w:szCs w:val="18"/>
          <w:lang w:val="en-US"/>
        </w:rPr>
        <w:t>;</w:t>
      </w:r>
    </w:p>
    <w:p w14:paraId="570469B2"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2. </w:t>
      </w:r>
      <w:r w:rsidR="006515AB" w:rsidRPr="00BD295E">
        <w:rPr>
          <w:rFonts w:ascii="Arial" w:hAnsi="Arial" w:cs="Arial"/>
          <w:sz w:val="18"/>
          <w:szCs w:val="18"/>
          <w:lang w:val="en-US"/>
        </w:rPr>
        <w:t>JSC “Lenenergo Energy Service Company”</w:t>
      </w:r>
      <w:r w:rsidRPr="00BD295E">
        <w:rPr>
          <w:rFonts w:ascii="Arial" w:hAnsi="Arial" w:cs="Arial"/>
          <w:sz w:val="18"/>
          <w:szCs w:val="18"/>
          <w:lang w:val="en-US"/>
        </w:rPr>
        <w:t>;</w:t>
      </w:r>
    </w:p>
    <w:p w14:paraId="5F57B76A" w14:textId="77777777" w:rsidR="00F3260C" w:rsidRPr="00BD295E" w:rsidRDefault="008A5057" w:rsidP="00C968B7">
      <w:pPr>
        <w:jc w:val="both"/>
        <w:rPr>
          <w:rFonts w:ascii="Arial" w:hAnsi="Arial" w:cs="Arial"/>
          <w:b/>
          <w:i/>
          <w:sz w:val="18"/>
          <w:szCs w:val="18"/>
          <w:lang w:val="en-US"/>
        </w:rPr>
      </w:pPr>
      <w:r w:rsidRPr="00BD295E">
        <w:rPr>
          <w:rFonts w:ascii="Arial" w:hAnsi="Arial" w:cs="Arial"/>
          <w:sz w:val="18"/>
          <w:szCs w:val="18"/>
          <w:lang w:val="en-US"/>
        </w:rPr>
        <w:t xml:space="preserve">3. </w:t>
      </w:r>
      <w:r w:rsidR="006515AB" w:rsidRPr="00BD295E">
        <w:rPr>
          <w:rStyle w:val="Subst0"/>
          <w:rFonts w:ascii="Arial" w:hAnsi="Arial" w:cs="Arial"/>
          <w:b w:val="0"/>
          <w:bCs/>
          <w:i w:val="0"/>
          <w:iCs/>
          <w:sz w:val="18"/>
          <w:szCs w:val="18"/>
          <w:lang w:val="en-US"/>
        </w:rPr>
        <w:t>JSC “Saint Petersburg Power Grid”</w:t>
      </w:r>
      <w:r w:rsidRPr="00BD295E">
        <w:rPr>
          <w:rStyle w:val="Subst0"/>
          <w:rFonts w:ascii="Arial" w:hAnsi="Arial" w:cs="Arial"/>
          <w:b w:val="0"/>
          <w:bCs/>
          <w:i w:val="0"/>
          <w:iCs/>
          <w:sz w:val="18"/>
          <w:szCs w:val="18"/>
          <w:lang w:val="en-US"/>
        </w:rPr>
        <w:t>;</w:t>
      </w:r>
    </w:p>
    <w:p w14:paraId="432450F9"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4. </w:t>
      </w:r>
      <w:r w:rsidR="006515AB" w:rsidRPr="00BD295E">
        <w:rPr>
          <w:rFonts w:ascii="Arial" w:hAnsi="Arial" w:cs="Arial"/>
          <w:sz w:val="18"/>
          <w:szCs w:val="18"/>
          <w:lang w:val="en-US"/>
        </w:rPr>
        <w:t>JSC “Tsarskoye Selo Energy Company”</w:t>
      </w:r>
      <w:r w:rsidRPr="00BD295E">
        <w:rPr>
          <w:rFonts w:ascii="Arial" w:hAnsi="Arial" w:cs="Arial"/>
          <w:sz w:val="18"/>
          <w:szCs w:val="18"/>
          <w:lang w:val="en-US"/>
        </w:rPr>
        <w:t>;</w:t>
      </w:r>
    </w:p>
    <w:p w14:paraId="634336C6"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5. </w:t>
      </w:r>
      <w:r w:rsidR="006515AB" w:rsidRPr="00BD295E">
        <w:rPr>
          <w:rFonts w:ascii="Arial" w:hAnsi="Arial" w:cs="Arial"/>
          <w:sz w:val="18"/>
          <w:szCs w:val="18"/>
          <w:lang w:val="en-US"/>
        </w:rPr>
        <w:t>JSC “Kurortenergo”</w:t>
      </w:r>
      <w:r w:rsidRPr="00BD295E">
        <w:rPr>
          <w:rFonts w:ascii="Arial" w:hAnsi="Arial" w:cs="Arial"/>
          <w:sz w:val="18"/>
          <w:szCs w:val="18"/>
          <w:lang w:val="en-US"/>
        </w:rPr>
        <w:t>;</w:t>
      </w:r>
    </w:p>
    <w:p w14:paraId="24992D5D" w14:textId="77777777" w:rsidR="00F3260C" w:rsidRPr="00BD295E" w:rsidRDefault="008A5057" w:rsidP="00C968B7">
      <w:pPr>
        <w:jc w:val="both"/>
        <w:rPr>
          <w:rFonts w:ascii="Arial" w:hAnsi="Arial" w:cs="Arial"/>
          <w:b/>
          <w:i/>
          <w:sz w:val="18"/>
          <w:szCs w:val="18"/>
          <w:lang w:val="en-US"/>
        </w:rPr>
      </w:pPr>
      <w:r w:rsidRPr="00BD295E">
        <w:rPr>
          <w:rStyle w:val="Subst0"/>
          <w:rFonts w:ascii="Arial" w:hAnsi="Arial" w:cs="Arial"/>
          <w:b w:val="0"/>
          <w:bCs/>
          <w:i w:val="0"/>
          <w:iCs/>
          <w:sz w:val="18"/>
          <w:szCs w:val="18"/>
          <w:lang w:val="en-US"/>
        </w:rPr>
        <w:t xml:space="preserve">6. </w:t>
      </w:r>
      <w:r w:rsidR="006515AB" w:rsidRPr="00BD295E">
        <w:rPr>
          <w:rStyle w:val="Subst0"/>
          <w:rFonts w:ascii="Arial" w:hAnsi="Arial" w:cs="Arial"/>
          <w:b w:val="0"/>
          <w:bCs/>
          <w:i w:val="0"/>
          <w:iCs/>
          <w:sz w:val="18"/>
          <w:szCs w:val="18"/>
          <w:lang w:val="en-US"/>
        </w:rPr>
        <w:t>JSC “Petrodvorets Power Grid”</w:t>
      </w:r>
      <w:r w:rsidRPr="00BD295E">
        <w:rPr>
          <w:rStyle w:val="Subst0"/>
          <w:rFonts w:ascii="Arial" w:hAnsi="Arial" w:cs="Arial"/>
          <w:b w:val="0"/>
          <w:bCs/>
          <w:i w:val="0"/>
          <w:iCs/>
          <w:sz w:val="18"/>
          <w:szCs w:val="18"/>
          <w:lang w:val="en-US"/>
        </w:rPr>
        <w:t>.</w:t>
      </w:r>
    </w:p>
    <w:p w14:paraId="236DFDB0" w14:textId="77777777" w:rsidR="00F3260C" w:rsidRPr="00BD295E" w:rsidRDefault="00F3260C" w:rsidP="00C968B7">
      <w:pPr>
        <w:jc w:val="both"/>
        <w:rPr>
          <w:rFonts w:ascii="Arial" w:hAnsi="Arial" w:cs="Arial"/>
          <w:sz w:val="18"/>
          <w:szCs w:val="18"/>
          <w:lang w:val="en-US"/>
        </w:rPr>
      </w:pPr>
    </w:p>
    <w:p w14:paraId="4DAA058E" w14:textId="77777777" w:rsidR="00F3260C" w:rsidRPr="00BD295E" w:rsidRDefault="008A5057" w:rsidP="00C968B7">
      <w:pPr>
        <w:jc w:val="both"/>
        <w:rPr>
          <w:rFonts w:ascii="Arial" w:hAnsi="Arial" w:cs="Arial"/>
          <w:b/>
          <w:i/>
          <w:sz w:val="18"/>
          <w:szCs w:val="18"/>
          <w:lang w:val="en-US"/>
        </w:rPr>
      </w:pPr>
      <w:r w:rsidRPr="00BD295E">
        <w:rPr>
          <w:rFonts w:ascii="Arial" w:hAnsi="Arial" w:cs="Arial"/>
          <w:sz w:val="18"/>
          <w:szCs w:val="18"/>
          <w:lang w:val="en-US"/>
        </w:rPr>
        <w:t xml:space="preserve">Boards of Directors of the Company’s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are formed from highly qualified specialists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who have the necessary experience and expertise in electric power. </w:t>
      </w:r>
      <w:r w:rsidRPr="00BD295E">
        <w:rPr>
          <w:rStyle w:val="Subst0"/>
          <w:rFonts w:ascii="Arial" w:hAnsi="Arial" w:cs="Arial"/>
          <w:b w:val="0"/>
          <w:bCs/>
          <w:i w:val="0"/>
          <w:iCs/>
          <w:sz w:val="18"/>
          <w:szCs w:val="18"/>
          <w:lang w:val="en-US"/>
        </w:rPr>
        <w:t xml:space="preserve">The Company constantly strives to ensure that representatives of governmental executive authorities are nominated and elected to boards of directors of its </w:t>
      </w:r>
      <w:r w:rsidR="006515AB" w:rsidRPr="00BD295E">
        <w:rPr>
          <w:rStyle w:val="Subst0"/>
          <w:rFonts w:ascii="Arial" w:hAnsi="Arial" w:cs="Arial"/>
          <w:b w:val="0"/>
          <w:bCs/>
          <w:i w:val="0"/>
          <w:iCs/>
          <w:sz w:val="18"/>
          <w:szCs w:val="18"/>
          <w:lang w:val="en-US"/>
        </w:rPr>
        <w:t>subsidiaries and affiliates</w:t>
      </w:r>
      <w:r w:rsidRPr="00BD295E">
        <w:rPr>
          <w:rStyle w:val="Subst0"/>
          <w:rFonts w:ascii="Arial" w:hAnsi="Arial" w:cs="Arial"/>
          <w:b w:val="0"/>
          <w:bCs/>
          <w:i w:val="0"/>
          <w:iCs/>
          <w:sz w:val="18"/>
          <w:szCs w:val="18"/>
          <w:lang w:val="en-US"/>
        </w:rPr>
        <w:t xml:space="preserve">, in addition to representatives of </w:t>
      </w:r>
      <w:r w:rsidR="00EE5753" w:rsidRPr="00BD295E">
        <w:rPr>
          <w:rStyle w:val="Subst0"/>
          <w:rFonts w:ascii="Arial" w:hAnsi="Arial" w:cs="Arial"/>
          <w:b w:val="0"/>
          <w:bCs/>
          <w:i w:val="0"/>
          <w:iCs/>
          <w:sz w:val="18"/>
          <w:szCs w:val="18"/>
          <w:lang w:val="en-US"/>
        </w:rPr>
        <w:t>PJSC “Lenenergo”</w:t>
      </w:r>
      <w:r w:rsidRPr="00BD295E">
        <w:rPr>
          <w:rStyle w:val="Subst0"/>
          <w:rFonts w:ascii="Arial" w:hAnsi="Arial" w:cs="Arial"/>
          <w:b w:val="0"/>
          <w:bCs/>
          <w:i w:val="0"/>
          <w:iCs/>
          <w:sz w:val="18"/>
          <w:szCs w:val="18"/>
          <w:lang w:val="en-US"/>
        </w:rPr>
        <w:t>.</w:t>
      </w:r>
    </w:p>
    <w:p w14:paraId="0EA3F068" w14:textId="481CD638" w:rsidR="00F3260C" w:rsidRPr="00BD295E" w:rsidRDefault="007B59B6" w:rsidP="00F3260C">
      <w:pPr>
        <w:rPr>
          <w:rFonts w:ascii="Arial" w:hAnsi="Arial" w:cs="Arial"/>
          <w:sz w:val="18"/>
          <w:szCs w:val="18"/>
          <w:lang w:val="en-US"/>
        </w:rPr>
      </w:pPr>
      <w:bookmarkStart w:id="413" w:name="_Hlk95940038"/>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07584" behindDoc="0" locked="0" layoutInCell="1" allowOverlap="1" wp14:anchorId="1553057A" wp14:editId="2AB41CC8">
                <wp:simplePos x="0" y="0"/>
                <wp:positionH relativeFrom="column">
                  <wp:posOffset>502920</wp:posOffset>
                </wp:positionH>
                <wp:positionV relativeFrom="paragraph">
                  <wp:posOffset>2821340</wp:posOffset>
                </wp:positionV>
                <wp:extent cx="1801243" cy="403338"/>
                <wp:effectExtent l="0" t="0" r="8890" b="0"/>
                <wp:wrapNone/>
                <wp:docPr id="1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243" cy="403338"/>
                        </a:xfrm>
                        <a:prstGeom prst="rect">
                          <a:avLst/>
                        </a:prstGeom>
                        <a:solidFill>
                          <a:srgbClr val="D2D2D2"/>
                        </a:solidFill>
                        <a:ln w="9525">
                          <a:noFill/>
                          <a:miter lim="800000"/>
                          <a:headEnd/>
                          <a:tailEnd/>
                        </a:ln>
                      </wps:spPr>
                      <wps:txbx>
                        <w:txbxContent>
                          <w:p w14:paraId="666FDB87" w14:textId="73A2599C" w:rsidR="002C3947" w:rsidRPr="00A85F11" w:rsidRDefault="002C3947" w:rsidP="007B59B6">
                            <w:pPr>
                              <w:jc w:val="center"/>
                              <w:rPr>
                                <w:rFonts w:ascii="Arial" w:hAnsi="Arial" w:cs="Arial"/>
                                <w:b/>
                                <w:bCs/>
                                <w:sz w:val="14"/>
                                <w:szCs w:val="22"/>
                              </w:rPr>
                            </w:pPr>
                            <w:r w:rsidRPr="007B59B6">
                              <w:rPr>
                                <w:rFonts w:ascii="Arial" w:hAnsi="Arial" w:cs="Arial"/>
                                <w:b/>
                                <w:bCs/>
                                <w:sz w:val="14"/>
                                <w:szCs w:val="22"/>
                              </w:rPr>
                              <w:t>The Management Board of PJSC “Lenenergo” acts as the general meeting for all Company subsidiaries and affiliates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53057A" id="_x0000_s1171" type="#_x0000_t202" style="position:absolute;margin-left:39.6pt;margin-top:222.15pt;width:141.85pt;height:31.75pt;z-index:25190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" fillcolor="#d2d2d2" stroked="f">
                <v:textbox inset="0,0,0,0">
                  <w:txbxContent>
                    <w:p w14:paraId="666FDB87" w14:textId="73A2599C" w:rsidR="002C3947" w:rsidRPr="00A85F11" w:rsidRDefault="002C3947" w:rsidP="007B59B6">
                      <w:pPr>
                        <w:jc w:val="center"/>
                        <w:rPr>
                          <w:rFonts w:ascii="Arial" w:hAnsi="Arial" w:cs="Arial"/>
                          <w:b/>
                          <w:bCs/>
                          <w:sz w:val="14"/>
                          <w:szCs w:val="22"/>
                        </w:rPr>
                      </w:pPr>
                      <w:r w:rsidRPr="007B59B6">
                        <w:rPr>
                          <w:rFonts w:ascii="Arial" w:hAnsi="Arial" w:cs="Arial"/>
                          <w:b/>
                          <w:bCs/>
                          <w:sz w:val="14"/>
                          <w:szCs w:val="22"/>
                        </w:rPr>
                        <w:t>The Management Board of PJSC “Lenenergo” acts as the general meeting for all Company subsidiaries and affiliates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05536" behindDoc="0" locked="0" layoutInCell="1" allowOverlap="1" wp14:anchorId="556DCB81" wp14:editId="2A01793F">
                <wp:simplePos x="0" y="0"/>
                <wp:positionH relativeFrom="column">
                  <wp:posOffset>197520</wp:posOffset>
                </wp:positionH>
                <wp:positionV relativeFrom="paragraph">
                  <wp:posOffset>1947475</wp:posOffset>
                </wp:positionV>
                <wp:extent cx="5594898" cy="240500"/>
                <wp:effectExtent l="0" t="0" r="6350" b="7620"/>
                <wp:wrapNone/>
                <wp:docPr id="1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898" cy="240500"/>
                        </a:xfrm>
                        <a:prstGeom prst="rect">
                          <a:avLst/>
                        </a:prstGeom>
                        <a:solidFill>
                          <a:srgbClr val="D2D2D2"/>
                        </a:solidFill>
                        <a:ln w="9525">
                          <a:noFill/>
                          <a:miter lim="800000"/>
                          <a:headEnd/>
                          <a:tailEnd/>
                        </a:ln>
                      </wps:spPr>
                      <wps:txbx>
                        <w:txbxContent>
                          <w:p w14:paraId="46385326" w14:textId="30C90562" w:rsidR="002C3947" w:rsidRPr="00A85F11" w:rsidRDefault="002C3947" w:rsidP="007B59B6">
                            <w:pPr>
                              <w:jc w:val="center"/>
                              <w:rPr>
                                <w:rFonts w:ascii="Arial" w:hAnsi="Arial" w:cs="Arial"/>
                                <w:b/>
                                <w:bCs/>
                                <w:sz w:val="14"/>
                                <w:szCs w:val="22"/>
                              </w:rPr>
                            </w:pPr>
                            <w:r w:rsidRPr="007B59B6">
                              <w:rPr>
                                <w:rFonts w:ascii="Arial" w:hAnsi="Arial" w:cs="Arial"/>
                                <w:b/>
                                <w:bCs/>
                                <w:sz w:val="14"/>
                                <w:szCs w:val="22"/>
                              </w:rPr>
                              <w:t>PJSC “Lenenergo” interest in subsidiaries and affiliates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6DCB81" id="_x0000_s1172" type="#_x0000_t202" style="position:absolute;margin-left:15.55pt;margin-top:153.35pt;width:440.55pt;height:18.95pt;z-index:25190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" fillcolor="#d2d2d2" stroked="f">
                <v:textbox inset="0,0,0,0">
                  <w:txbxContent>
                    <w:p w14:paraId="46385326" w14:textId="30C90562" w:rsidR="002C3947" w:rsidRPr="00A85F11" w:rsidRDefault="002C3947" w:rsidP="007B59B6">
                      <w:pPr>
                        <w:jc w:val="center"/>
                        <w:rPr>
                          <w:rFonts w:ascii="Arial" w:hAnsi="Arial" w:cs="Arial"/>
                          <w:b/>
                          <w:bCs/>
                          <w:sz w:val="14"/>
                          <w:szCs w:val="22"/>
                        </w:rPr>
                      </w:pPr>
                      <w:r w:rsidRPr="007B59B6">
                        <w:rPr>
                          <w:rFonts w:ascii="Arial" w:hAnsi="Arial" w:cs="Arial"/>
                          <w:b/>
                          <w:bCs/>
                          <w:sz w:val="14"/>
                          <w:szCs w:val="22"/>
                        </w:rPr>
                        <w:t>PJSC “Lenenergo” interest in subsidiaries and affiliates</w:t>
                      </w:r>
                    </w:p>
                  </w:txbxContent>
                </v:textbox>
              </v:shape>
            </w:pict>
          </mc:Fallback>
        </mc:AlternateContent>
      </w:r>
      <w:r w:rsidR="001D0AE4"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03488" behindDoc="0" locked="0" layoutInCell="1" allowOverlap="1" wp14:anchorId="24BE9698" wp14:editId="535CBEC3">
                <wp:simplePos x="0" y="0"/>
                <wp:positionH relativeFrom="column">
                  <wp:posOffset>5007514</wp:posOffset>
                </wp:positionH>
                <wp:positionV relativeFrom="paragraph">
                  <wp:posOffset>757503</wp:posOffset>
                </wp:positionV>
                <wp:extent cx="816697" cy="212942"/>
                <wp:effectExtent l="0" t="0" r="2540" b="0"/>
                <wp:wrapNone/>
                <wp:docPr id="1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697" cy="212942"/>
                        </a:xfrm>
                        <a:prstGeom prst="rect">
                          <a:avLst/>
                        </a:prstGeom>
                        <a:solidFill>
                          <a:srgbClr val="D2D2D2"/>
                        </a:solidFill>
                        <a:ln w="9525">
                          <a:noFill/>
                          <a:miter lim="800000"/>
                          <a:headEnd/>
                          <a:tailEnd/>
                        </a:ln>
                      </wps:spPr>
                      <wps:txbx>
                        <w:txbxContent>
                          <w:p w14:paraId="14D07F74" w14:textId="589E1270" w:rsidR="002C3947" w:rsidRPr="007B59B6" w:rsidRDefault="002C3947" w:rsidP="001D0AE4">
                            <w:pPr>
                              <w:jc w:val="center"/>
                              <w:rPr>
                                <w:rFonts w:ascii="Arial" w:hAnsi="Arial" w:cs="Arial"/>
                                <w:b/>
                                <w:bCs/>
                                <w:sz w:val="10"/>
                                <w:szCs w:val="18"/>
                              </w:rPr>
                            </w:pPr>
                            <w:r w:rsidRPr="007B59B6">
                              <w:rPr>
                                <w:rFonts w:ascii="Arial" w:hAnsi="Arial" w:cs="Arial"/>
                                <w:b/>
                                <w:bCs/>
                                <w:sz w:val="10"/>
                                <w:szCs w:val="18"/>
                              </w:rPr>
                              <w:t>JSC “Tsarskoye Selo Energy Company”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4BE9698" id="_x0000_s1173" type="#_x0000_t202" style="position:absolute;margin-left:394.3pt;margin-top:59.65pt;width:64.3pt;height:16.75pt;z-index:25190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" fillcolor="#d2d2d2" stroked="f">
                <v:textbox inset="0,0,0,0">
                  <w:txbxContent>
                    <w:p w14:paraId="14D07F74" w14:textId="589E1270" w:rsidR="002C3947" w:rsidRPr="007B59B6" w:rsidRDefault="002C3947" w:rsidP="001D0AE4">
                      <w:pPr>
                        <w:jc w:val="center"/>
                        <w:rPr>
                          <w:rFonts w:ascii="Arial" w:hAnsi="Arial" w:cs="Arial"/>
                          <w:b/>
                          <w:bCs/>
                          <w:sz w:val="10"/>
                          <w:szCs w:val="18"/>
                        </w:rPr>
                      </w:pPr>
                      <w:r w:rsidRPr="007B59B6">
                        <w:rPr>
                          <w:rFonts w:ascii="Arial" w:hAnsi="Arial" w:cs="Arial"/>
                          <w:b/>
                          <w:bCs/>
                          <w:sz w:val="10"/>
                          <w:szCs w:val="18"/>
                        </w:rPr>
                        <w:t>JSC “Tsarskoye Selo Energy Company”</w:t>
                      </w:r>
                    </w:p>
                  </w:txbxContent>
                </v:textbox>
              </v:shape>
            </w:pict>
          </mc:Fallback>
        </mc:AlternateContent>
      </w:r>
      <w:r w:rsidR="00A85F11"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01440" behindDoc="0" locked="0" layoutInCell="1" allowOverlap="1" wp14:anchorId="1B968464" wp14:editId="40B732F6">
                <wp:simplePos x="0" y="0"/>
                <wp:positionH relativeFrom="column">
                  <wp:posOffset>3960338</wp:posOffset>
                </wp:positionH>
                <wp:positionV relativeFrom="paragraph">
                  <wp:posOffset>762513</wp:posOffset>
                </wp:positionV>
                <wp:extent cx="871812" cy="212942"/>
                <wp:effectExtent l="0" t="0" r="5080" b="0"/>
                <wp:wrapNone/>
                <wp:docPr id="1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12" cy="212942"/>
                        </a:xfrm>
                        <a:prstGeom prst="rect">
                          <a:avLst/>
                        </a:prstGeom>
                        <a:solidFill>
                          <a:srgbClr val="D2D2D2"/>
                        </a:solidFill>
                        <a:ln w="9525">
                          <a:noFill/>
                          <a:miter lim="800000"/>
                          <a:headEnd/>
                          <a:tailEnd/>
                        </a:ln>
                      </wps:spPr>
                      <wps:txbx>
                        <w:txbxContent>
                          <w:p w14:paraId="00525E5B" w14:textId="0A8DC972"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JSC “Kurortenergo”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968464" id="_x0000_s1174" type="#_x0000_t202" style="position:absolute;margin-left:311.85pt;margin-top:60.05pt;width:68.65pt;height:16.75pt;z-index:25190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" fillcolor="#d2d2d2" stroked="f">
                <v:textbox inset="0,0,0,0">
                  <w:txbxContent>
                    <w:p w14:paraId="00525E5B" w14:textId="0A8DC972"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JSC “Kurortenergo”</w:t>
                      </w:r>
                    </w:p>
                  </w:txbxContent>
                </v:textbox>
              </v:shape>
            </w:pict>
          </mc:Fallback>
        </mc:AlternateContent>
      </w:r>
      <w:r w:rsidR="00A85F11"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99392" behindDoc="0" locked="0" layoutInCell="1" allowOverlap="1" wp14:anchorId="043901A0" wp14:editId="51B45549">
                <wp:simplePos x="0" y="0"/>
                <wp:positionH relativeFrom="column">
                  <wp:posOffset>2955752</wp:posOffset>
                </wp:positionH>
                <wp:positionV relativeFrom="paragraph">
                  <wp:posOffset>757503</wp:posOffset>
                </wp:positionV>
                <wp:extent cx="839244" cy="212942"/>
                <wp:effectExtent l="0" t="0" r="0" b="0"/>
                <wp:wrapNone/>
                <wp:docPr id="1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244" cy="212942"/>
                        </a:xfrm>
                        <a:prstGeom prst="rect">
                          <a:avLst/>
                        </a:prstGeom>
                        <a:solidFill>
                          <a:srgbClr val="D2D2D2"/>
                        </a:solidFill>
                        <a:ln w="9525">
                          <a:noFill/>
                          <a:miter lim="800000"/>
                          <a:headEnd/>
                          <a:tailEnd/>
                        </a:ln>
                      </wps:spPr>
                      <wps:txbx>
                        <w:txbxContent>
                          <w:p w14:paraId="2CCA7DCC" w14:textId="41972742"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Petrodvorets power grid, JSC</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3901A0" id="_x0000_s1175" type="#_x0000_t202" style="position:absolute;margin-left:232.75pt;margin-top:59.65pt;width:66.1pt;height:16.75pt;z-index:25189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" fillcolor="#d2d2d2" stroked="f">
                <v:textbox inset="0,0,0,0">
                  <w:txbxContent>
                    <w:p w14:paraId="2CCA7DCC" w14:textId="41972742"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Petrodvorets power grid, JSC</w:t>
                      </w:r>
                    </w:p>
                  </w:txbxContent>
                </v:textbox>
              </v:shape>
            </w:pict>
          </mc:Fallback>
        </mc:AlternateContent>
      </w:r>
      <w:r w:rsidR="00A85F11"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97344" behindDoc="0" locked="0" layoutInCell="1" allowOverlap="1" wp14:anchorId="2BA5C1F1" wp14:editId="23FCC02A">
                <wp:simplePos x="0" y="0"/>
                <wp:positionH relativeFrom="column">
                  <wp:posOffset>2108992</wp:posOffset>
                </wp:positionH>
                <wp:positionV relativeFrom="paragraph">
                  <wp:posOffset>760008</wp:posOffset>
                </wp:positionV>
                <wp:extent cx="678910" cy="212942"/>
                <wp:effectExtent l="0" t="0" r="6985" b="0"/>
                <wp:wrapNone/>
                <wp:docPr id="1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10" cy="212942"/>
                        </a:xfrm>
                        <a:prstGeom prst="rect">
                          <a:avLst/>
                        </a:prstGeom>
                        <a:solidFill>
                          <a:srgbClr val="D2D2D2"/>
                        </a:solidFill>
                        <a:ln w="9525">
                          <a:noFill/>
                          <a:miter lim="800000"/>
                          <a:headEnd/>
                          <a:tailEnd/>
                        </a:ln>
                      </wps:spPr>
                      <wps:txbx>
                        <w:txbxContent>
                          <w:p w14:paraId="640E5370" w14:textId="368DB88A" w:rsidR="002C3947" w:rsidRPr="00A85F11" w:rsidRDefault="002C3947" w:rsidP="00A85F11">
                            <w:pPr>
                              <w:jc w:val="center"/>
                              <w:rPr>
                                <w:rFonts w:ascii="Arial" w:hAnsi="Arial" w:cs="Arial"/>
                                <w:b/>
                                <w:bCs/>
                                <w:sz w:val="10"/>
                                <w:szCs w:val="18"/>
                              </w:rPr>
                            </w:pPr>
                            <w:r w:rsidRPr="00A85F11">
                              <w:rPr>
                                <w:rFonts w:ascii="Arial" w:hAnsi="Arial" w:cs="Arial"/>
                                <w:b/>
                                <w:bCs/>
                                <w:sz w:val="10"/>
                                <w:szCs w:val="18"/>
                              </w:rPr>
                              <w:t>JSC “Saint Petersburg Power Grid”</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A5C1F1" id="_x0000_s1176" type="#_x0000_t202" style="position:absolute;margin-left:166.05pt;margin-top:59.85pt;width:53.45pt;height:16.75pt;z-index:25189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" fillcolor="#d2d2d2" stroked="f">
                <v:textbox inset="0,0,0,0">
                  <w:txbxContent>
                    <w:p w14:paraId="640E5370" w14:textId="368DB88A" w:rsidR="002C3947" w:rsidRPr="00A85F11" w:rsidRDefault="002C3947" w:rsidP="00A85F11">
                      <w:pPr>
                        <w:jc w:val="center"/>
                        <w:rPr>
                          <w:rFonts w:ascii="Arial" w:hAnsi="Arial" w:cs="Arial"/>
                          <w:b/>
                          <w:bCs/>
                          <w:sz w:val="10"/>
                          <w:szCs w:val="18"/>
                        </w:rPr>
                      </w:pPr>
                      <w:r w:rsidRPr="00A85F11">
                        <w:rPr>
                          <w:rFonts w:ascii="Arial" w:hAnsi="Arial" w:cs="Arial"/>
                          <w:b/>
                          <w:bCs/>
                          <w:sz w:val="10"/>
                          <w:szCs w:val="18"/>
                        </w:rPr>
                        <w:t>JSC “Saint Petersburg Power Grid”</w:t>
                      </w:r>
                    </w:p>
                  </w:txbxContent>
                </v:textbox>
              </v:shape>
            </w:pict>
          </mc:Fallback>
        </mc:AlternateContent>
      </w:r>
      <w:r w:rsidR="00A85F11"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95296" behindDoc="0" locked="0" layoutInCell="1" allowOverlap="1" wp14:anchorId="568FC4A5" wp14:editId="5469A51F">
                <wp:simplePos x="0" y="0"/>
                <wp:positionH relativeFrom="column">
                  <wp:posOffset>936555</wp:posOffset>
                </wp:positionH>
                <wp:positionV relativeFrom="paragraph">
                  <wp:posOffset>760008</wp:posOffset>
                </wp:positionV>
                <wp:extent cx="1007093" cy="212942"/>
                <wp:effectExtent l="0" t="0" r="3175" b="0"/>
                <wp:wrapNone/>
                <wp:docPr id="1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093" cy="212942"/>
                        </a:xfrm>
                        <a:prstGeom prst="rect">
                          <a:avLst/>
                        </a:prstGeom>
                        <a:solidFill>
                          <a:srgbClr val="D2D2D2"/>
                        </a:solidFill>
                        <a:ln w="9525">
                          <a:noFill/>
                          <a:miter lim="800000"/>
                          <a:headEnd/>
                          <a:tailEnd/>
                        </a:ln>
                      </wps:spPr>
                      <wps:txbx>
                        <w:txbxContent>
                          <w:p w14:paraId="4B8C56C0" w14:textId="1CE34128"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JSC “Energoservice Company Lenenergo”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8FC4A5" id="_x0000_s1177" type="#_x0000_t202" style="position:absolute;margin-left:73.75pt;margin-top:59.85pt;width:79.3pt;height:16.75pt;z-index:25189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" fillcolor="#d2d2d2" stroked="f">
                <v:textbox inset="0,0,0,0">
                  <w:txbxContent>
                    <w:p w14:paraId="4B8C56C0" w14:textId="1CE34128"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JSC “Energoservice Company Lenenergo”</w:t>
                      </w:r>
                    </w:p>
                  </w:txbxContent>
                </v:textbox>
              </v:shape>
            </w:pict>
          </mc:Fallback>
        </mc:AlternateContent>
      </w:r>
      <w:r w:rsidR="00A85F11"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93248" behindDoc="0" locked="0" layoutInCell="1" allowOverlap="1" wp14:anchorId="108F34FB" wp14:editId="3D4C50D0">
                <wp:simplePos x="0" y="0"/>
                <wp:positionH relativeFrom="column">
                  <wp:posOffset>192510</wp:posOffset>
                </wp:positionH>
                <wp:positionV relativeFrom="paragraph">
                  <wp:posOffset>760008</wp:posOffset>
                </wp:positionV>
                <wp:extent cx="573692" cy="212942"/>
                <wp:effectExtent l="0" t="0" r="0" b="0"/>
                <wp:wrapNone/>
                <wp:docPr id="1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92" cy="212942"/>
                        </a:xfrm>
                        <a:prstGeom prst="rect">
                          <a:avLst/>
                        </a:prstGeom>
                        <a:solidFill>
                          <a:srgbClr val="D2D2D2"/>
                        </a:solidFill>
                        <a:ln w="9525">
                          <a:noFill/>
                          <a:miter lim="800000"/>
                          <a:headEnd/>
                          <a:tailEnd/>
                        </a:ln>
                      </wps:spPr>
                      <wps:txbx>
                        <w:txbxContent>
                          <w:p w14:paraId="4942B635" w14:textId="4C63754C"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JSC “LESR”</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8F34FB" id="_x0000_s1178" type="#_x0000_t202" style="position:absolute;margin-left:15.15pt;margin-top:59.85pt;width:45.15pt;height:16.75pt;z-index:25189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" fillcolor="#d2d2d2" stroked="f">
                <v:textbox inset="0,0,0,0">
                  <w:txbxContent>
                    <w:p w14:paraId="4942B635" w14:textId="4C63754C"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JSC “LESR”</w:t>
                      </w:r>
                    </w:p>
                  </w:txbxContent>
                </v:textbox>
              </v:shape>
            </w:pict>
          </mc:Fallback>
        </mc:AlternateContent>
      </w:r>
      <w:r w:rsidR="00CF1594"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891200" behindDoc="0" locked="0" layoutInCell="1" allowOverlap="1" wp14:anchorId="14C3CA78" wp14:editId="6189431D">
                <wp:simplePos x="0" y="0"/>
                <wp:positionH relativeFrom="column">
                  <wp:posOffset>2123070</wp:posOffset>
                </wp:positionH>
                <wp:positionV relativeFrom="paragraph">
                  <wp:posOffset>186593</wp:posOffset>
                </wp:positionV>
                <wp:extent cx="3668820" cy="190500"/>
                <wp:effectExtent l="0" t="0" r="8255" b="0"/>
                <wp:wrapNone/>
                <wp:docPr id="1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8820" cy="190500"/>
                        </a:xfrm>
                        <a:prstGeom prst="rect">
                          <a:avLst/>
                        </a:prstGeom>
                        <a:solidFill>
                          <a:srgbClr val="D2D2D2"/>
                        </a:solidFill>
                        <a:ln w="9525">
                          <a:noFill/>
                          <a:miter lim="800000"/>
                          <a:headEnd/>
                          <a:tailEnd/>
                        </a:ln>
                      </wps:spPr>
                      <wps:txbx>
                        <w:txbxContent>
                          <w:p w14:paraId="3FE1BA8F" w14:textId="15CCC88A"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Subsidiaries and affiliates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C3CA78" id="_x0000_s1179" type="#_x0000_t202" style="position:absolute;margin-left:167.15pt;margin-top:14.7pt;width:288.9pt;height:15pt;z-index:25189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" fillcolor="#d2d2d2" stroked="f">
                <v:textbox inset="0,0,0,0">
                  <w:txbxContent>
                    <w:p w14:paraId="3FE1BA8F" w14:textId="15CCC88A" w:rsidR="002C3947" w:rsidRPr="00A85F11" w:rsidRDefault="002C3947" w:rsidP="00A85F11">
                      <w:pPr>
                        <w:jc w:val="center"/>
                        <w:rPr>
                          <w:rFonts w:ascii="Arial" w:hAnsi="Arial" w:cs="Arial"/>
                          <w:b/>
                          <w:bCs/>
                          <w:sz w:val="14"/>
                          <w:szCs w:val="22"/>
                        </w:rPr>
                      </w:pPr>
                      <w:r w:rsidRPr="00A85F11">
                        <w:rPr>
                          <w:rFonts w:ascii="Arial" w:hAnsi="Arial" w:cs="Arial"/>
                          <w:b/>
                          <w:bCs/>
                          <w:sz w:val="14"/>
                          <w:szCs w:val="22"/>
                        </w:rPr>
                        <w:t>Subsidiaries and affiliates</w:t>
                      </w:r>
                    </w:p>
                  </w:txbxContent>
                </v:textbox>
              </v:shape>
            </w:pict>
          </mc:Fallback>
        </mc:AlternateContent>
      </w:r>
      <w:r w:rsidR="00997D07" w:rsidRPr="00BD295E">
        <w:rPr>
          <w:rFonts w:ascii="Arial" w:hAnsi="Arial" w:cs="Arial"/>
          <w:sz w:val="18"/>
          <w:szCs w:val="18"/>
          <w:lang w:val="en-US" w:eastAsia="en-US"/>
        </w:rPr>
        <w:drawing>
          <wp:inline distT="0" distB="0" distL="0" distR="0" wp14:anchorId="7B900F77" wp14:editId="3A5104FF">
            <wp:extent cx="5939155" cy="3314700"/>
            <wp:effectExtent l="0" t="0" r="0" b="0"/>
            <wp:docPr id="7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9155" cy="3314700"/>
                    </a:xfrm>
                    <a:prstGeom prst="rect">
                      <a:avLst/>
                    </a:prstGeom>
                    <a:noFill/>
                    <a:ln>
                      <a:noFill/>
                    </a:ln>
                  </pic:spPr>
                </pic:pic>
              </a:graphicData>
            </a:graphic>
          </wp:inline>
        </w:drawing>
      </w:r>
      <w:bookmarkEnd w:id="413"/>
    </w:p>
    <w:p w14:paraId="23D585C6" w14:textId="77777777" w:rsidR="00F3260C" w:rsidRPr="00BD295E" w:rsidRDefault="00F3260C" w:rsidP="00F3260C">
      <w:pPr>
        <w:rPr>
          <w:rFonts w:ascii="Arial" w:hAnsi="Arial" w:cs="Arial"/>
          <w:sz w:val="18"/>
          <w:szCs w:val="18"/>
          <w:lang w:val="en-US"/>
        </w:rPr>
      </w:pPr>
    </w:p>
    <w:p w14:paraId="5179CDEE" w14:textId="77777777" w:rsidR="00F3260C" w:rsidRPr="00BD295E" w:rsidRDefault="008A5057" w:rsidP="00C968B7">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The key organizational and management activities of the Company in implementing the Company’s corporate control over the activities of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include the adoption, in accordance with the Company’s Articles of Association and the Procedure, of resolutions of the Company’s Board of Directors on determining the position of the Company (representatives of the Company) on the most important matters on the agenda of General Meetings of Shareholders and meetings of boards of directors of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w:t>
      </w:r>
    </w:p>
    <w:p w14:paraId="48DDFB80" w14:textId="77777777" w:rsidR="00F3260C" w:rsidRPr="00BD295E" w:rsidRDefault="008A5057" w:rsidP="00C968B7">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 reorganization or liquidation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w:t>
      </w:r>
    </w:p>
    <w:p w14:paraId="070647C1" w14:textId="77777777" w:rsidR="00F3260C" w:rsidRPr="00BD295E" w:rsidRDefault="008A5057" w:rsidP="00C968B7">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 determining the number of members in governing and supervisory bodies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nominating and electing their members and terminating their powers earlier, nominating and electing the sole executive body of the subsidiary or dependent company, and terminating their powers earlier;</w:t>
      </w:r>
    </w:p>
    <w:p w14:paraId="16FB59F5" w14:textId="77777777" w:rsidR="00F3260C" w:rsidRPr="00BD295E" w:rsidRDefault="008A5057" w:rsidP="00C968B7">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 increasing the authorized capital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by increasing the par value of their shares or by placing additional shares;</w:t>
      </w:r>
    </w:p>
    <w:p w14:paraId="43B6D13D" w14:textId="77777777" w:rsidR="00F3260C" w:rsidRPr="00BD295E" w:rsidRDefault="008A5057" w:rsidP="00C968B7">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 approving major transactions made by </w:t>
      </w:r>
      <w:r w:rsidR="006515AB" w:rsidRPr="00BD295E">
        <w:rPr>
          <w:rFonts w:ascii="Arial" w:hAnsi="Arial" w:cs="Arial"/>
          <w:sz w:val="18"/>
          <w:szCs w:val="18"/>
          <w:lang w:val="en-US"/>
        </w:rPr>
        <w:t>subsidiaries and affiliates</w:t>
      </w:r>
      <w:r w:rsidRPr="00BD295E">
        <w:rPr>
          <w:rFonts w:ascii="Arial" w:hAnsi="Arial" w:cs="Arial"/>
          <w:sz w:val="18"/>
          <w:szCs w:val="18"/>
          <w:lang w:val="en-US"/>
        </w:rPr>
        <w:t>;</w:t>
      </w:r>
    </w:p>
    <w:p w14:paraId="5785E4B4" w14:textId="77777777" w:rsidR="00F3260C" w:rsidRPr="00BD295E" w:rsidRDefault="008A5057" w:rsidP="00C968B7">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 participation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in other organizations, as well as acquisition, disposal, or encumbrance of shares or units in the authorized capitals of organizations in which such subsidiaries or dependent companies participate, or change of interest in the authorized capitals of respective organizations;</w:t>
      </w:r>
    </w:p>
    <w:p w14:paraId="46A3BB89" w14:textId="77777777" w:rsidR="00F3260C" w:rsidRPr="00BD295E" w:rsidRDefault="008A5057" w:rsidP="00C968B7">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 making amendments and additions to the constituent documents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w:t>
      </w:r>
    </w:p>
    <w:p w14:paraId="125E5110" w14:textId="77777777" w:rsidR="00F3260C" w:rsidRPr="00BD295E" w:rsidRDefault="008A5057" w:rsidP="00C968B7">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 xml:space="preserve">- determining the procedure for paying remuneration to members of the Board of Directors and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etc.</w:t>
      </w:r>
    </w:p>
    <w:p w14:paraId="47588191" w14:textId="77777777" w:rsidR="00F3260C" w:rsidRPr="00BD295E" w:rsidRDefault="00F3260C" w:rsidP="00C968B7">
      <w:pPr>
        <w:autoSpaceDE w:val="0"/>
        <w:autoSpaceDN w:val="0"/>
        <w:adjustRightInd w:val="0"/>
        <w:jc w:val="both"/>
        <w:rPr>
          <w:rFonts w:ascii="Arial" w:hAnsi="Arial" w:cs="Arial"/>
          <w:sz w:val="18"/>
          <w:szCs w:val="18"/>
          <w:lang w:val="en-US"/>
        </w:rPr>
      </w:pPr>
    </w:p>
    <w:p w14:paraId="296F7EB4"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Company’s representatives vote at general meetings of shareholders and meetings of the boards of directors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under a special directive (final instruction) reflecting the Company’s position on voting on items included in the agenda of the relevant governing body of relevant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and binding on the Company’s representatives.</w:t>
      </w:r>
    </w:p>
    <w:p w14:paraId="355C8FDD"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activities of the Company’s representatives, as well as follow-up of their activities, are organized by an authorized unit of the executive arm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3B07EE46"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With respect to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whose sole shareholder is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functions of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are performed by the Management Board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3A4CB6DE" w14:textId="77777777" w:rsidR="00F3260C" w:rsidRPr="00BD295E" w:rsidRDefault="00F3260C" w:rsidP="00C968B7">
      <w:pPr>
        <w:jc w:val="both"/>
        <w:rPr>
          <w:rFonts w:ascii="Arial" w:hAnsi="Arial" w:cs="Arial"/>
          <w:b/>
          <w:sz w:val="18"/>
          <w:szCs w:val="18"/>
          <w:lang w:val="en-US"/>
        </w:rPr>
      </w:pPr>
    </w:p>
    <w:p w14:paraId="2C102869" w14:textId="77777777" w:rsidR="00F3260C" w:rsidRPr="00BD295E" w:rsidRDefault="008A5057" w:rsidP="00C968B7">
      <w:pPr>
        <w:jc w:val="both"/>
        <w:rPr>
          <w:rFonts w:ascii="Arial" w:hAnsi="Arial" w:cs="Arial"/>
          <w:b/>
          <w:sz w:val="18"/>
          <w:szCs w:val="18"/>
          <w:lang w:val="en-US"/>
        </w:rPr>
      </w:pPr>
      <w:r w:rsidRPr="00BD295E">
        <w:rPr>
          <w:rFonts w:ascii="Arial" w:hAnsi="Arial" w:cs="Arial"/>
          <w:b/>
          <w:sz w:val="18"/>
          <w:szCs w:val="18"/>
          <w:lang w:val="en-US"/>
        </w:rPr>
        <w:t xml:space="preserve">Forming the boards of directors at </w:t>
      </w:r>
      <w:r w:rsidR="006515AB" w:rsidRPr="00BD295E">
        <w:rPr>
          <w:rFonts w:ascii="Arial" w:hAnsi="Arial" w:cs="Arial"/>
          <w:b/>
          <w:sz w:val="18"/>
          <w:szCs w:val="18"/>
          <w:lang w:val="en-US"/>
        </w:rPr>
        <w:t>subsidiaries and affiliates</w:t>
      </w:r>
    </w:p>
    <w:p w14:paraId="02EAFBBF" w14:textId="77777777" w:rsidR="00F3260C" w:rsidRPr="00BD295E" w:rsidRDefault="00F3260C" w:rsidP="00C968B7">
      <w:pPr>
        <w:jc w:val="both"/>
        <w:rPr>
          <w:rFonts w:ascii="Arial" w:hAnsi="Arial" w:cs="Arial"/>
          <w:b/>
          <w:sz w:val="18"/>
          <w:szCs w:val="18"/>
          <w:lang w:val="en-US"/>
        </w:rPr>
      </w:pPr>
    </w:p>
    <w:p w14:paraId="0BC87953"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 xml:space="preserve">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may nominate candidates to the boards of directors of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for election at general meetings of shareholders of such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w:t>
      </w:r>
    </w:p>
    <w:p w14:paraId="24E31BB4"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 xml:space="preserve">Boards of directors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decide on including candidates of the shareholder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the list of candidates for election at general meetings of shareholders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The Company’s representatives on boards of directors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vote in accordance with the position determined by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37AA9BDA"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 xml:space="preserve">On receiving notices of general meetings held at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works out the Company’s position on voting by the Company’s representatives at general meetings of such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regarding the election of members to the boards of directors of such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w:t>
      </w:r>
    </w:p>
    <w:p w14:paraId="2729D220"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 xml:space="preserve">Prior to the date of the general meetings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an authorized unit of the executive arm of the Company should prepare and send to representatives of the Company who will attend such general meetings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a final instruction reflecting the position of the Company on candidates to the boards of directors of such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based on a relevant resolution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0A6EE235"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 xml:space="preserve">On the day of such general meetings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the Company’s representatives should vote on candidates to the boards of directors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in strict compliance with the final instruction reflecting the position of the Company on this matter.</w:t>
      </w:r>
    </w:p>
    <w:p w14:paraId="5AE8B0CB" w14:textId="77777777" w:rsidR="00F3260C" w:rsidRPr="00BD295E" w:rsidRDefault="00F3260C" w:rsidP="00C968B7">
      <w:pPr>
        <w:jc w:val="both"/>
        <w:rPr>
          <w:rFonts w:ascii="Arial" w:eastAsia="Calibri" w:hAnsi="Arial" w:cs="Arial"/>
          <w:sz w:val="18"/>
          <w:szCs w:val="18"/>
          <w:lang w:val="en-US" w:eastAsia="en-US"/>
        </w:rPr>
      </w:pPr>
    </w:p>
    <w:p w14:paraId="2BD335A9" w14:textId="77777777" w:rsidR="00F3260C" w:rsidRPr="00BD295E" w:rsidRDefault="00EE5753" w:rsidP="00C968B7">
      <w:pPr>
        <w:jc w:val="both"/>
        <w:rPr>
          <w:rFonts w:ascii="Arial" w:hAnsi="Arial" w:cs="Arial"/>
          <w:b/>
          <w:sz w:val="18"/>
          <w:szCs w:val="18"/>
          <w:lang w:val="en-US"/>
        </w:rPr>
      </w:pPr>
      <w:r w:rsidRPr="00BD295E">
        <w:rPr>
          <w:rFonts w:ascii="Arial" w:hAnsi="Arial" w:cs="Arial"/>
          <w:b/>
          <w:sz w:val="18"/>
          <w:szCs w:val="18"/>
          <w:lang w:val="en-US"/>
        </w:rPr>
        <w:t>PJSC “Lenenergo”</w:t>
      </w:r>
      <w:r w:rsidR="008A5057" w:rsidRPr="00BD295E">
        <w:rPr>
          <w:rFonts w:ascii="Arial" w:hAnsi="Arial" w:cs="Arial"/>
          <w:b/>
          <w:sz w:val="18"/>
          <w:szCs w:val="18"/>
          <w:lang w:val="en-US"/>
        </w:rPr>
        <w:t xml:space="preserve"> </w:t>
      </w:r>
      <w:r w:rsidR="00AB4381" w:rsidRPr="00BD295E">
        <w:rPr>
          <w:rFonts w:ascii="Arial" w:hAnsi="Arial" w:cs="Arial"/>
          <w:b/>
          <w:sz w:val="18"/>
          <w:szCs w:val="18"/>
          <w:lang w:val="en-US"/>
        </w:rPr>
        <w:t>as</w:t>
      </w:r>
      <w:r w:rsidR="008A5057" w:rsidRPr="00BD295E">
        <w:rPr>
          <w:rFonts w:ascii="Arial" w:hAnsi="Arial" w:cs="Arial"/>
          <w:b/>
          <w:sz w:val="18"/>
          <w:szCs w:val="18"/>
          <w:lang w:val="en-US"/>
        </w:rPr>
        <w:t xml:space="preserve"> the sole executive body at </w:t>
      </w:r>
      <w:r w:rsidR="00AB4381" w:rsidRPr="00BD295E">
        <w:rPr>
          <w:rFonts w:ascii="Arial" w:hAnsi="Arial" w:cs="Arial"/>
          <w:b/>
          <w:sz w:val="18"/>
          <w:szCs w:val="18"/>
          <w:lang w:val="en-US"/>
        </w:rPr>
        <w:t xml:space="preserve">its </w:t>
      </w:r>
      <w:r w:rsidR="008A5057" w:rsidRPr="00BD295E">
        <w:rPr>
          <w:rFonts w:ascii="Arial" w:hAnsi="Arial" w:cs="Arial"/>
          <w:b/>
          <w:sz w:val="18"/>
          <w:szCs w:val="18"/>
          <w:lang w:val="en-US"/>
        </w:rPr>
        <w:t>subsidiaries</w:t>
      </w:r>
    </w:p>
    <w:p w14:paraId="60BE6D08" w14:textId="77777777" w:rsidR="00F3260C" w:rsidRPr="00BD295E" w:rsidRDefault="00F3260C" w:rsidP="00C968B7">
      <w:pPr>
        <w:jc w:val="both"/>
        <w:rPr>
          <w:rFonts w:ascii="Arial" w:hAnsi="Arial" w:cs="Arial"/>
          <w:b/>
          <w:sz w:val="18"/>
          <w:szCs w:val="18"/>
          <w:lang w:val="en-US"/>
        </w:rPr>
      </w:pPr>
    </w:p>
    <w:p w14:paraId="0469C78B"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 xml:space="preserve">By the Resolution of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w:t>
      </w:r>
      <w:r w:rsidR="006515AB" w:rsidRPr="00BD295E">
        <w:rPr>
          <w:rFonts w:ascii="Arial" w:hAnsi="Arial" w:cs="Arial"/>
          <w:sz w:val="18"/>
          <w:szCs w:val="18"/>
          <w:lang w:val="en-US"/>
        </w:rPr>
        <w:t>JSC “Petrodvorets Power Grid”</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August 12, 2016 (Minutes No. VOSA-16(2) </w:t>
      </w:r>
      <w:r w:rsidR="008B183C" w:rsidRPr="00BD295E">
        <w:rPr>
          <w:rFonts w:ascii="Arial" w:hAnsi="Arial" w:cs="Arial"/>
          <w:sz w:val="18"/>
          <w:szCs w:val="18"/>
          <w:lang w:val="en-US"/>
        </w:rPr>
        <w:t>of</w:t>
      </w:r>
      <w:r w:rsidRPr="00BD295E">
        <w:rPr>
          <w:rFonts w:ascii="Arial" w:hAnsi="Arial" w:cs="Arial"/>
          <w:sz w:val="18"/>
          <w:szCs w:val="18"/>
          <w:lang w:val="en-US"/>
        </w:rPr>
        <w:t xml:space="preserve"> August 15, 2016) and Resolution No. 5-2016 of the sole shareholder of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30, 2016, the powers of the sole executive body of these companies were transferred to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the managing company.</w:t>
      </w:r>
    </w:p>
    <w:p w14:paraId="6918C7BB"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 xml:space="preserve">The terms and conditions of the Agreements for the transfer of the powers of the sole executive body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to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the managing company, as well as addenda thereto were approved by Resolutions of the Board of Directors of </w:t>
      </w:r>
      <w:r w:rsidR="006515AB" w:rsidRPr="00BD295E">
        <w:rPr>
          <w:rFonts w:ascii="Arial" w:hAnsi="Arial" w:cs="Arial"/>
          <w:sz w:val="18"/>
          <w:szCs w:val="18"/>
          <w:lang w:val="en-US"/>
        </w:rPr>
        <w:t>JSC “Petrodvorets Power Grid”</w:t>
      </w:r>
      <w:r w:rsidRPr="00BD295E">
        <w:rPr>
          <w:rFonts w:ascii="Arial" w:hAnsi="Arial" w:cs="Arial"/>
          <w:sz w:val="18"/>
          <w:szCs w:val="18"/>
          <w:lang w:val="en-US"/>
        </w:rPr>
        <w:t xml:space="preserve"> (Minutes No. 4 </w:t>
      </w:r>
      <w:r w:rsidR="008B183C" w:rsidRPr="00BD295E">
        <w:rPr>
          <w:rFonts w:ascii="Arial" w:hAnsi="Arial" w:cs="Arial"/>
          <w:sz w:val="18"/>
          <w:szCs w:val="18"/>
          <w:lang w:val="en-US"/>
        </w:rPr>
        <w:t>of</w:t>
      </w:r>
      <w:r w:rsidRPr="00BD295E">
        <w:rPr>
          <w:rFonts w:ascii="Arial" w:hAnsi="Arial" w:cs="Arial"/>
          <w:sz w:val="18"/>
          <w:szCs w:val="18"/>
          <w:lang w:val="en-US"/>
        </w:rPr>
        <w:t xml:space="preserve"> March 31, 2017, Minutes No. 16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29, 2017) and Resolutions of the Board of Directors of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(Minutes No. 6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20, 2017, Minutes No. 9 </w:t>
      </w:r>
      <w:r w:rsidR="008B183C" w:rsidRPr="00BD295E">
        <w:rPr>
          <w:rFonts w:ascii="Arial" w:hAnsi="Arial" w:cs="Arial"/>
          <w:sz w:val="18"/>
          <w:szCs w:val="18"/>
          <w:lang w:val="en-US"/>
        </w:rPr>
        <w:t>of</w:t>
      </w:r>
      <w:r w:rsidRPr="00BD295E">
        <w:rPr>
          <w:rFonts w:ascii="Arial" w:hAnsi="Arial" w:cs="Arial"/>
          <w:sz w:val="18"/>
          <w:szCs w:val="18"/>
          <w:lang w:val="en-US"/>
        </w:rPr>
        <w:t xml:space="preserve"> March 31, 2017, and Minutes No. 23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25, 2017). </w:t>
      </w:r>
    </w:p>
    <w:p w14:paraId="76B33F86"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Under the terms and conditions of these Agreements, the goals and objectives of the managing company are as follows:</w:t>
      </w:r>
    </w:p>
    <w:p w14:paraId="5598FBC7" w14:textId="77777777" w:rsidR="00F3260C" w:rsidRPr="00BD295E" w:rsidRDefault="008A5057" w:rsidP="00C968B7">
      <w:pPr>
        <w:pStyle w:val="af3"/>
        <w:numPr>
          <w:ilvl w:val="0"/>
          <w:numId w:val="102"/>
        </w:numPr>
        <w:tabs>
          <w:tab w:val="left" w:pos="851"/>
        </w:tabs>
        <w:ind w:left="0" w:firstLine="0"/>
        <w:jc w:val="both"/>
        <w:rPr>
          <w:rFonts w:ascii="Arial" w:eastAsia="Calibri" w:hAnsi="Arial" w:cs="Arial"/>
          <w:sz w:val="18"/>
          <w:szCs w:val="18"/>
          <w:lang w:val="en-US"/>
        </w:rPr>
      </w:pPr>
      <w:r w:rsidRPr="00BD295E">
        <w:rPr>
          <w:rFonts w:ascii="Arial" w:hAnsi="Arial" w:cs="Arial"/>
          <w:sz w:val="18"/>
          <w:szCs w:val="18"/>
          <w:lang w:val="en-US"/>
        </w:rPr>
        <w:t>Achieving the goals of the Company’s operations under the Company’s Articles of Association;</w:t>
      </w:r>
    </w:p>
    <w:p w14:paraId="68FFE41F" w14:textId="77777777" w:rsidR="00F3260C" w:rsidRPr="00BD295E" w:rsidRDefault="008A5057" w:rsidP="00C968B7">
      <w:pPr>
        <w:pStyle w:val="af3"/>
        <w:numPr>
          <w:ilvl w:val="0"/>
          <w:numId w:val="102"/>
        </w:numPr>
        <w:tabs>
          <w:tab w:val="left" w:pos="851"/>
        </w:tabs>
        <w:ind w:left="0" w:firstLine="0"/>
        <w:jc w:val="both"/>
        <w:rPr>
          <w:rFonts w:ascii="Arial" w:eastAsia="Calibri" w:hAnsi="Arial" w:cs="Arial"/>
          <w:sz w:val="18"/>
          <w:szCs w:val="18"/>
          <w:lang w:val="en-US"/>
        </w:rPr>
      </w:pPr>
      <w:r w:rsidRPr="00BD295E">
        <w:rPr>
          <w:rFonts w:ascii="Arial" w:hAnsi="Arial" w:cs="Arial"/>
          <w:sz w:val="18"/>
          <w:szCs w:val="18"/>
          <w:lang w:val="en-US"/>
        </w:rPr>
        <w:t>Ensuring profit making by the Company;</w:t>
      </w:r>
    </w:p>
    <w:p w14:paraId="3BDF6981" w14:textId="77777777" w:rsidR="00F3260C" w:rsidRPr="00BD295E" w:rsidRDefault="008A5057" w:rsidP="00C968B7">
      <w:pPr>
        <w:pStyle w:val="af3"/>
        <w:numPr>
          <w:ilvl w:val="0"/>
          <w:numId w:val="102"/>
        </w:numPr>
        <w:tabs>
          <w:tab w:val="left" w:pos="851"/>
        </w:tabs>
        <w:ind w:left="0" w:firstLine="0"/>
        <w:jc w:val="both"/>
        <w:rPr>
          <w:rFonts w:ascii="Arial" w:eastAsia="Calibri" w:hAnsi="Arial" w:cs="Arial"/>
          <w:sz w:val="18"/>
          <w:szCs w:val="18"/>
          <w:lang w:val="en-US"/>
        </w:rPr>
      </w:pPr>
      <w:r w:rsidRPr="00BD295E">
        <w:rPr>
          <w:rFonts w:ascii="Arial" w:hAnsi="Arial" w:cs="Arial"/>
          <w:sz w:val="18"/>
          <w:szCs w:val="18"/>
          <w:lang w:val="en-US"/>
        </w:rPr>
        <w:t>Effective and reliable operation of electricity distribution grid facilities;</w:t>
      </w:r>
    </w:p>
    <w:p w14:paraId="04DF5774" w14:textId="77777777" w:rsidR="00F3260C" w:rsidRPr="00BD295E" w:rsidRDefault="008A5057" w:rsidP="00C968B7">
      <w:pPr>
        <w:pStyle w:val="af3"/>
        <w:numPr>
          <w:ilvl w:val="0"/>
          <w:numId w:val="102"/>
        </w:numPr>
        <w:tabs>
          <w:tab w:val="left" w:pos="851"/>
        </w:tabs>
        <w:ind w:left="0" w:firstLine="0"/>
        <w:jc w:val="both"/>
        <w:rPr>
          <w:rFonts w:ascii="Arial" w:eastAsia="Calibri" w:hAnsi="Arial" w:cs="Arial"/>
          <w:sz w:val="18"/>
          <w:szCs w:val="18"/>
          <w:lang w:val="en-US"/>
        </w:rPr>
      </w:pPr>
      <w:r w:rsidRPr="00BD295E">
        <w:rPr>
          <w:rFonts w:ascii="Arial" w:hAnsi="Arial" w:cs="Arial"/>
          <w:sz w:val="18"/>
          <w:szCs w:val="18"/>
          <w:lang w:val="en-US"/>
        </w:rPr>
        <w:t>Ensuring sustainable development of the electricity distribution grid industry;</w:t>
      </w:r>
    </w:p>
    <w:p w14:paraId="072AAB9A" w14:textId="77777777" w:rsidR="00F3260C" w:rsidRPr="00BD295E" w:rsidRDefault="008A5057" w:rsidP="00C968B7">
      <w:pPr>
        <w:pStyle w:val="af3"/>
        <w:numPr>
          <w:ilvl w:val="0"/>
          <w:numId w:val="102"/>
        </w:numPr>
        <w:tabs>
          <w:tab w:val="left" w:pos="851"/>
        </w:tabs>
        <w:ind w:left="0" w:firstLine="0"/>
        <w:jc w:val="both"/>
        <w:rPr>
          <w:rFonts w:ascii="Arial" w:eastAsia="Calibri" w:hAnsi="Arial" w:cs="Arial"/>
          <w:sz w:val="18"/>
          <w:szCs w:val="18"/>
          <w:lang w:val="en-US"/>
        </w:rPr>
      </w:pPr>
      <w:r w:rsidRPr="00BD295E">
        <w:rPr>
          <w:rFonts w:ascii="Arial" w:hAnsi="Arial" w:cs="Arial"/>
          <w:sz w:val="18"/>
          <w:szCs w:val="18"/>
          <w:lang w:val="en-US"/>
        </w:rPr>
        <w:t>Connecting electricity receiving devices (electrical appliances and electric grid facilities) of legal entities and individuals to electric grids;</w:t>
      </w:r>
    </w:p>
    <w:p w14:paraId="0B05D7BD" w14:textId="77777777" w:rsidR="00F3260C" w:rsidRPr="00BD295E" w:rsidRDefault="008A5057" w:rsidP="00C968B7">
      <w:pPr>
        <w:pStyle w:val="af3"/>
        <w:numPr>
          <w:ilvl w:val="0"/>
          <w:numId w:val="102"/>
        </w:numPr>
        <w:tabs>
          <w:tab w:val="left" w:pos="851"/>
        </w:tabs>
        <w:ind w:left="0" w:firstLine="0"/>
        <w:jc w:val="both"/>
        <w:rPr>
          <w:rFonts w:ascii="Arial" w:eastAsia="Calibri" w:hAnsi="Arial" w:cs="Arial"/>
          <w:sz w:val="18"/>
          <w:szCs w:val="18"/>
          <w:lang w:val="en-US"/>
        </w:rPr>
      </w:pPr>
      <w:r w:rsidRPr="00BD295E">
        <w:rPr>
          <w:rFonts w:ascii="Arial" w:hAnsi="Arial" w:cs="Arial"/>
          <w:sz w:val="18"/>
          <w:szCs w:val="18"/>
          <w:lang w:val="en-US"/>
        </w:rPr>
        <w:t>Ensuring reliable and high-quality electricity supply to consumers (as far as electricity distribution services are concerned).</w:t>
      </w:r>
    </w:p>
    <w:p w14:paraId="7A322840" w14:textId="77777777" w:rsidR="00F3260C" w:rsidRPr="00BD295E" w:rsidRDefault="008A5057" w:rsidP="00C968B7">
      <w:pPr>
        <w:pStyle w:val="af3"/>
        <w:numPr>
          <w:ilvl w:val="0"/>
          <w:numId w:val="102"/>
        </w:numPr>
        <w:tabs>
          <w:tab w:val="left" w:pos="851"/>
        </w:tabs>
        <w:ind w:left="0" w:firstLine="0"/>
        <w:jc w:val="both"/>
        <w:rPr>
          <w:rFonts w:ascii="Arial" w:eastAsia="Calibri" w:hAnsi="Arial" w:cs="Arial"/>
          <w:sz w:val="18"/>
          <w:szCs w:val="18"/>
          <w:lang w:val="en-US"/>
        </w:rPr>
      </w:pPr>
      <w:r w:rsidRPr="00BD295E">
        <w:rPr>
          <w:rFonts w:ascii="Arial" w:hAnsi="Arial" w:cs="Arial"/>
          <w:sz w:val="18"/>
          <w:szCs w:val="18"/>
          <w:lang w:val="en-US"/>
        </w:rPr>
        <w:t>Trust management of property;</w:t>
      </w:r>
    </w:p>
    <w:p w14:paraId="713F2119" w14:textId="77777777" w:rsidR="00F3260C" w:rsidRPr="00BD295E" w:rsidRDefault="008A5057" w:rsidP="00C968B7">
      <w:pPr>
        <w:pStyle w:val="af3"/>
        <w:numPr>
          <w:ilvl w:val="0"/>
          <w:numId w:val="102"/>
        </w:numPr>
        <w:tabs>
          <w:tab w:val="left" w:pos="851"/>
        </w:tabs>
        <w:ind w:left="0" w:firstLine="0"/>
        <w:jc w:val="both"/>
        <w:rPr>
          <w:rFonts w:ascii="Arial" w:eastAsia="Calibri" w:hAnsi="Arial" w:cs="Arial"/>
          <w:sz w:val="18"/>
          <w:szCs w:val="18"/>
          <w:lang w:val="en-US"/>
        </w:rPr>
      </w:pPr>
      <w:r w:rsidRPr="00BD295E">
        <w:rPr>
          <w:rFonts w:ascii="Arial" w:hAnsi="Arial" w:cs="Arial"/>
          <w:sz w:val="18"/>
          <w:szCs w:val="18"/>
          <w:lang w:val="en-US"/>
        </w:rPr>
        <w:t>The task of the Managing Company also consists in ensuring the implementation by the Company of activities outlined in the Company’s Articles of Association.</w:t>
      </w:r>
    </w:p>
    <w:p w14:paraId="1DE5B40B"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 xml:space="preserve">The Agreements are valid until July 1, 2019. </w:t>
      </w:r>
    </w:p>
    <w:p w14:paraId="1038DC7F" w14:textId="77777777" w:rsidR="00F3260C" w:rsidRPr="00BD295E" w:rsidRDefault="008A5057" w:rsidP="00C968B7">
      <w:pPr>
        <w:jc w:val="both"/>
        <w:rPr>
          <w:rFonts w:ascii="Arial" w:eastAsia="Calibri" w:hAnsi="Arial" w:cs="Arial"/>
          <w:sz w:val="18"/>
          <w:szCs w:val="18"/>
          <w:lang w:val="en-US"/>
        </w:rPr>
      </w:pPr>
      <w:r w:rsidRPr="00BD295E">
        <w:rPr>
          <w:rFonts w:ascii="Arial" w:hAnsi="Arial" w:cs="Arial"/>
          <w:sz w:val="18"/>
          <w:szCs w:val="18"/>
          <w:lang w:val="en-US"/>
        </w:rPr>
        <w:t xml:space="preserve">Remuneration amount: </w:t>
      </w:r>
    </w:p>
    <w:p w14:paraId="706FA716" w14:textId="77777777" w:rsidR="00F3260C" w:rsidRPr="00BD295E" w:rsidRDefault="008A5057" w:rsidP="00C968B7">
      <w:pPr>
        <w:pStyle w:val="af3"/>
        <w:numPr>
          <w:ilvl w:val="0"/>
          <w:numId w:val="102"/>
        </w:numPr>
        <w:ind w:left="0" w:firstLine="0"/>
        <w:jc w:val="both"/>
        <w:rPr>
          <w:rFonts w:ascii="Arial" w:eastAsia="Calibri" w:hAnsi="Arial" w:cs="Arial"/>
          <w:sz w:val="18"/>
          <w:szCs w:val="18"/>
          <w:lang w:val="en-US"/>
        </w:rPr>
      </w:pPr>
      <w:r w:rsidRPr="00BD295E">
        <w:rPr>
          <w:rFonts w:ascii="Arial" w:hAnsi="Arial" w:cs="Arial"/>
          <w:sz w:val="18"/>
          <w:szCs w:val="18"/>
          <w:lang w:val="en-US"/>
        </w:rPr>
        <w:t xml:space="preserve">under the agreement with </w:t>
      </w:r>
      <w:r w:rsidR="006515AB" w:rsidRPr="00BD295E">
        <w:rPr>
          <w:rFonts w:ascii="Arial" w:hAnsi="Arial" w:cs="Arial"/>
          <w:sz w:val="18"/>
          <w:szCs w:val="18"/>
          <w:lang w:val="en-US"/>
        </w:rPr>
        <w:t>JSC “Petrodvorets Power Grid”</w:t>
      </w:r>
      <w:r w:rsidRPr="00BD295E">
        <w:rPr>
          <w:rFonts w:ascii="Arial" w:hAnsi="Arial" w:cs="Arial"/>
          <w:sz w:val="18"/>
          <w:szCs w:val="18"/>
          <w:lang w:val="en-US"/>
        </w:rPr>
        <w:t xml:space="preserve"> – RUB 348,956.59,</w:t>
      </w:r>
      <w:r w:rsidRPr="00BD295E">
        <w:rPr>
          <w:rStyle w:val="FontStyle28"/>
          <w:rFonts w:ascii="Arial" w:hAnsi="Arial" w:cs="Arial"/>
          <w:sz w:val="18"/>
          <w:szCs w:val="18"/>
          <w:lang w:val="en-US"/>
        </w:rPr>
        <w:t xml:space="preserve">  </w:t>
      </w:r>
      <w:r w:rsidRPr="00BD295E">
        <w:rPr>
          <w:rFonts w:ascii="Arial" w:hAnsi="Arial" w:cs="Arial"/>
          <w:sz w:val="18"/>
          <w:szCs w:val="18"/>
          <w:lang w:val="en-US"/>
        </w:rPr>
        <w:t xml:space="preserve"> including VAT (18%), per month.</w:t>
      </w:r>
    </w:p>
    <w:p w14:paraId="0669E49E" w14:textId="77777777" w:rsidR="00F3260C" w:rsidRPr="00BD295E" w:rsidRDefault="008A5057" w:rsidP="00C968B7">
      <w:pPr>
        <w:pStyle w:val="af3"/>
        <w:numPr>
          <w:ilvl w:val="0"/>
          <w:numId w:val="102"/>
        </w:numPr>
        <w:ind w:left="0" w:firstLine="0"/>
        <w:jc w:val="both"/>
        <w:rPr>
          <w:rFonts w:ascii="Arial" w:eastAsia="Calibri" w:hAnsi="Arial" w:cs="Arial"/>
          <w:sz w:val="18"/>
          <w:szCs w:val="18"/>
          <w:lang w:val="en-US"/>
        </w:rPr>
      </w:pPr>
      <w:r w:rsidRPr="00BD295E">
        <w:rPr>
          <w:rFonts w:ascii="Arial" w:hAnsi="Arial" w:cs="Arial"/>
          <w:sz w:val="18"/>
          <w:szCs w:val="18"/>
          <w:lang w:val="en-US"/>
        </w:rPr>
        <w:t xml:space="preserve">under the agreement with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  RUB 1,251,208.96, including VAT (18%), per month.</w:t>
      </w:r>
    </w:p>
    <w:p w14:paraId="27742AFC" w14:textId="77777777" w:rsidR="00F3260C" w:rsidRPr="00BD295E" w:rsidRDefault="00F3260C" w:rsidP="00C968B7">
      <w:pPr>
        <w:rPr>
          <w:rFonts w:ascii="Arial" w:hAnsi="Arial" w:cs="Arial"/>
          <w:sz w:val="18"/>
          <w:szCs w:val="18"/>
          <w:lang w:val="en-US"/>
        </w:rPr>
      </w:pPr>
    </w:p>
    <w:p w14:paraId="2EA1D81F" w14:textId="77777777" w:rsidR="00F3260C" w:rsidRPr="00BD295E" w:rsidRDefault="00AB4381" w:rsidP="00C968B7">
      <w:pPr>
        <w:jc w:val="both"/>
        <w:rPr>
          <w:rFonts w:ascii="Arial" w:hAnsi="Arial" w:cs="Arial"/>
          <w:b/>
          <w:sz w:val="18"/>
          <w:szCs w:val="18"/>
          <w:lang w:val="en-US"/>
        </w:rPr>
      </w:pPr>
      <w:r w:rsidRPr="00BD295E">
        <w:rPr>
          <w:rFonts w:ascii="Arial" w:hAnsi="Arial" w:cs="Arial"/>
          <w:b/>
          <w:sz w:val="18"/>
          <w:szCs w:val="18"/>
          <w:lang w:val="en-US"/>
        </w:rPr>
        <w:t>S</w:t>
      </w:r>
      <w:r w:rsidR="006515AB" w:rsidRPr="00BD295E">
        <w:rPr>
          <w:rFonts w:ascii="Arial" w:hAnsi="Arial" w:cs="Arial"/>
          <w:b/>
          <w:sz w:val="18"/>
          <w:szCs w:val="18"/>
          <w:lang w:val="en-US"/>
        </w:rPr>
        <w:t>ubsidiaries and affiliates</w:t>
      </w:r>
      <w:r w:rsidR="008A5057" w:rsidRPr="00BD295E">
        <w:rPr>
          <w:rFonts w:ascii="Arial" w:hAnsi="Arial" w:cs="Arial"/>
          <w:b/>
          <w:sz w:val="18"/>
          <w:szCs w:val="18"/>
          <w:lang w:val="en-US"/>
        </w:rPr>
        <w:t xml:space="preserve"> of </w:t>
      </w:r>
      <w:r w:rsidR="00EE5753" w:rsidRPr="00BD295E">
        <w:rPr>
          <w:rFonts w:ascii="Arial" w:hAnsi="Arial" w:cs="Arial"/>
          <w:b/>
          <w:sz w:val="18"/>
          <w:szCs w:val="18"/>
          <w:lang w:val="en-US"/>
        </w:rPr>
        <w:t>PJSC “Lenenergo”</w:t>
      </w:r>
    </w:p>
    <w:p w14:paraId="11ECD72F" w14:textId="77777777" w:rsidR="00F3260C" w:rsidRPr="00BD295E" w:rsidRDefault="00F3260C" w:rsidP="00F3260C">
      <w:pPr>
        <w:rPr>
          <w:rFonts w:ascii="Arial" w:hAnsi="Arial" w:cs="Arial"/>
          <w:sz w:val="18"/>
          <w:szCs w:val="18"/>
          <w:lang w:val="en-US"/>
        </w:rPr>
      </w:pPr>
    </w:p>
    <w:tbl>
      <w:tblPr>
        <w:tblW w:w="0" w:type="auto"/>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ook w:val="01E0" w:firstRow="1" w:lastRow="1" w:firstColumn="1" w:lastColumn="1" w:noHBand="0" w:noVBand="0"/>
      </w:tblPr>
      <w:tblGrid>
        <w:gridCol w:w="3285"/>
        <w:gridCol w:w="6054"/>
      </w:tblGrid>
      <w:tr w:rsidR="008A5057" w:rsidRPr="00BD295E" w14:paraId="364AE8BB" w14:textId="77777777" w:rsidTr="00E3510B">
        <w:tc>
          <w:tcPr>
            <w:tcW w:w="3369" w:type="dxa"/>
            <w:shd w:val="clear" w:color="auto" w:fill="DEEAF6"/>
            <w:vAlign w:val="center"/>
          </w:tcPr>
          <w:p w14:paraId="4607E936"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Name</w:t>
            </w:r>
          </w:p>
        </w:tc>
        <w:tc>
          <w:tcPr>
            <w:tcW w:w="6202" w:type="dxa"/>
            <w:shd w:val="clear" w:color="auto" w:fill="DEEAF6"/>
            <w:vAlign w:val="center"/>
          </w:tcPr>
          <w:p w14:paraId="388A8CDE" w14:textId="77777777" w:rsidR="00F3260C" w:rsidRPr="00BD295E" w:rsidRDefault="006515AB" w:rsidP="0031297B">
            <w:pPr>
              <w:rPr>
                <w:rFonts w:ascii="Arial" w:hAnsi="Arial" w:cs="Arial"/>
                <w:b/>
                <w:sz w:val="18"/>
                <w:szCs w:val="18"/>
                <w:lang w:val="en-US"/>
              </w:rPr>
            </w:pPr>
            <w:r w:rsidRPr="00BD295E">
              <w:rPr>
                <w:rFonts w:ascii="Arial" w:hAnsi="Arial" w:cs="Arial"/>
                <w:b/>
                <w:sz w:val="18"/>
                <w:szCs w:val="18"/>
                <w:lang w:val="en-US"/>
              </w:rPr>
              <w:t>JSC “Lenenergospetsremont”</w:t>
            </w:r>
          </w:p>
        </w:tc>
      </w:tr>
      <w:tr w:rsidR="008A5057" w:rsidRPr="00BD295E" w14:paraId="3CB687FD" w14:textId="77777777" w:rsidTr="0031297B">
        <w:tc>
          <w:tcPr>
            <w:tcW w:w="3369" w:type="dxa"/>
            <w:vAlign w:val="center"/>
          </w:tcPr>
          <w:p w14:paraId="72CF1DB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Legal and physical address</w:t>
            </w:r>
          </w:p>
        </w:tc>
        <w:tc>
          <w:tcPr>
            <w:tcW w:w="6202" w:type="dxa"/>
            <w:vAlign w:val="center"/>
          </w:tcPr>
          <w:p w14:paraId="0EB479EF"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196191, Saint Petersburg, </w:t>
            </w:r>
            <w:r w:rsidR="00CF0D86" w:rsidRPr="00BD295E">
              <w:rPr>
                <w:rFonts w:ascii="Arial" w:hAnsi="Arial" w:cs="Arial"/>
                <w:sz w:val="18"/>
                <w:szCs w:val="18"/>
                <w:lang w:val="en-US"/>
              </w:rPr>
              <w:t xml:space="preserve">Ploshchad </w:t>
            </w:r>
            <w:r w:rsidRPr="00BD295E">
              <w:rPr>
                <w:rFonts w:ascii="Arial" w:hAnsi="Arial" w:cs="Arial"/>
                <w:sz w:val="18"/>
                <w:szCs w:val="18"/>
                <w:lang w:val="en-US"/>
              </w:rPr>
              <w:t>Konstitutsii 7</w:t>
            </w:r>
            <w:r w:rsidR="00CF0D86" w:rsidRPr="00BD295E">
              <w:rPr>
                <w:rFonts w:ascii="Arial" w:hAnsi="Arial" w:cs="Arial"/>
                <w:sz w:val="18"/>
                <w:szCs w:val="18"/>
                <w:lang w:val="en-US"/>
              </w:rPr>
              <w:t>a</w:t>
            </w:r>
            <w:r w:rsidRPr="00BD295E">
              <w:rPr>
                <w:rFonts w:ascii="Arial" w:hAnsi="Arial" w:cs="Arial"/>
                <w:sz w:val="18"/>
                <w:szCs w:val="18"/>
                <w:lang w:val="en-US"/>
              </w:rPr>
              <w:t>, room 23N</w:t>
            </w:r>
          </w:p>
        </w:tc>
      </w:tr>
      <w:tr w:rsidR="008A5057" w:rsidRPr="00BD295E" w14:paraId="316629D9" w14:textId="77777777" w:rsidTr="0031297B">
        <w:tc>
          <w:tcPr>
            <w:tcW w:w="3369" w:type="dxa"/>
            <w:vAlign w:val="center"/>
          </w:tcPr>
          <w:p w14:paraId="418BB74C"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Authorized capital</w:t>
            </w:r>
          </w:p>
        </w:tc>
        <w:tc>
          <w:tcPr>
            <w:tcW w:w="6202" w:type="dxa"/>
            <w:vAlign w:val="center"/>
          </w:tcPr>
          <w:p w14:paraId="2803B5E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RUB 7,500,000</w:t>
            </w:r>
          </w:p>
        </w:tc>
      </w:tr>
      <w:tr w:rsidR="008A5057" w:rsidRPr="00BD295E" w14:paraId="79178F09" w14:textId="77777777" w:rsidTr="0031297B">
        <w:tc>
          <w:tcPr>
            <w:tcW w:w="3369" w:type="dxa"/>
            <w:vAlign w:val="center"/>
          </w:tcPr>
          <w:p w14:paraId="376035E3"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Stake held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042C54" w:rsidRPr="00BD295E">
              <w:rPr>
                <w:rFonts w:ascii="Arial" w:hAnsi="Arial" w:cs="Arial"/>
                <w:sz w:val="18"/>
                <w:szCs w:val="18"/>
                <w:lang w:val="en-US"/>
              </w:rPr>
              <w:t>in</w:t>
            </w:r>
            <w:r w:rsidRPr="00BD295E">
              <w:rPr>
                <w:rFonts w:ascii="Arial" w:hAnsi="Arial" w:cs="Arial"/>
                <w:sz w:val="18"/>
                <w:szCs w:val="18"/>
                <w:lang w:val="en-US"/>
              </w:rPr>
              <w:t xml:space="preserve"> the company</w:t>
            </w:r>
          </w:p>
        </w:tc>
        <w:tc>
          <w:tcPr>
            <w:tcW w:w="6202" w:type="dxa"/>
            <w:vAlign w:val="center"/>
          </w:tcPr>
          <w:p w14:paraId="010006F5"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100 %</w:t>
            </w:r>
          </w:p>
        </w:tc>
      </w:tr>
      <w:tr w:rsidR="008A5057" w:rsidRPr="00BD295E" w14:paraId="764F8089" w14:textId="77777777" w:rsidTr="0031297B">
        <w:tc>
          <w:tcPr>
            <w:tcW w:w="3369" w:type="dxa"/>
            <w:vAlign w:val="center"/>
          </w:tcPr>
          <w:p w14:paraId="17D748A8"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Coverage</w:t>
            </w:r>
          </w:p>
        </w:tc>
        <w:tc>
          <w:tcPr>
            <w:tcW w:w="6202" w:type="dxa"/>
            <w:vAlign w:val="center"/>
          </w:tcPr>
          <w:p w14:paraId="390B01C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Saint Petersburg</w:t>
            </w:r>
          </w:p>
        </w:tc>
      </w:tr>
      <w:tr w:rsidR="008A5057" w:rsidRPr="00BD295E" w14:paraId="4F79B77E" w14:textId="77777777" w:rsidTr="0031297B">
        <w:tc>
          <w:tcPr>
            <w:tcW w:w="3369" w:type="dxa"/>
            <w:tcBorders>
              <w:bottom w:val="single" w:sz="6" w:space="0" w:color="C0C0C0"/>
            </w:tcBorders>
            <w:vAlign w:val="center"/>
          </w:tcPr>
          <w:p w14:paraId="6302FAC8"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Core operations</w:t>
            </w:r>
          </w:p>
        </w:tc>
        <w:tc>
          <w:tcPr>
            <w:tcW w:w="6202" w:type="dxa"/>
            <w:tcBorders>
              <w:bottom w:val="single" w:sz="6" w:space="0" w:color="C0C0C0"/>
            </w:tcBorders>
            <w:vAlign w:val="center"/>
          </w:tcPr>
          <w:p w14:paraId="045BC3F8" w14:textId="77777777" w:rsidR="00F3260C" w:rsidRPr="00BD295E" w:rsidRDefault="008A5057" w:rsidP="0031297B">
            <w:pPr>
              <w:jc w:val="both"/>
              <w:rPr>
                <w:rFonts w:ascii="Arial" w:hAnsi="Arial" w:cs="Arial"/>
                <w:bCs/>
                <w:iCs/>
                <w:sz w:val="18"/>
                <w:szCs w:val="18"/>
                <w:lang w:val="en-US"/>
              </w:rPr>
            </w:pPr>
            <w:r w:rsidRPr="00BD295E">
              <w:rPr>
                <w:rFonts w:ascii="Arial" w:hAnsi="Arial" w:cs="Arial"/>
                <w:sz w:val="18"/>
                <w:szCs w:val="18"/>
                <w:lang w:val="en-US"/>
              </w:rPr>
              <w:t>Engineering surveys, engineering design, management of construction projects</w:t>
            </w:r>
          </w:p>
        </w:tc>
      </w:tr>
      <w:tr w:rsidR="008A5057" w:rsidRPr="00BD295E" w14:paraId="27B5FA6B" w14:textId="77777777" w:rsidTr="0031297B">
        <w:tc>
          <w:tcPr>
            <w:tcW w:w="3369" w:type="dxa"/>
            <w:vAlign w:val="center"/>
          </w:tcPr>
          <w:p w14:paraId="0B8131AC"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CEO</w:t>
            </w:r>
          </w:p>
        </w:tc>
        <w:tc>
          <w:tcPr>
            <w:tcW w:w="6202" w:type="dxa"/>
            <w:vAlign w:val="center"/>
          </w:tcPr>
          <w:p w14:paraId="765B3F3D"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Acting CEO</w:t>
            </w:r>
          </w:p>
          <w:p w14:paraId="25960A5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Stanislav Kozlov </w:t>
            </w:r>
          </w:p>
          <w:p w14:paraId="0818475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Born in 1991</w:t>
            </w:r>
          </w:p>
          <w:p w14:paraId="2676696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In office since May 19, 2018</w:t>
            </w:r>
          </w:p>
        </w:tc>
      </w:tr>
    </w:tbl>
    <w:p w14:paraId="0B54B397" w14:textId="77777777" w:rsidR="00F3260C" w:rsidRPr="00BD295E" w:rsidRDefault="00F3260C" w:rsidP="00F3260C">
      <w:pPr>
        <w:jc w:val="both"/>
        <w:rPr>
          <w:rFonts w:ascii="Arial" w:hAnsi="Arial" w:cs="Arial"/>
          <w:b/>
          <w:sz w:val="18"/>
          <w:szCs w:val="18"/>
          <w:lang w:val="en-US"/>
        </w:rPr>
      </w:pPr>
    </w:p>
    <w:tbl>
      <w:tblPr>
        <w:tblW w:w="0" w:type="auto"/>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ook w:val="01E0" w:firstRow="1" w:lastRow="1" w:firstColumn="1" w:lastColumn="1" w:noHBand="0" w:noVBand="0"/>
      </w:tblPr>
      <w:tblGrid>
        <w:gridCol w:w="3297"/>
        <w:gridCol w:w="6042"/>
      </w:tblGrid>
      <w:tr w:rsidR="008A5057" w:rsidRPr="00BD295E" w14:paraId="048C401E" w14:textId="77777777" w:rsidTr="00E3510B">
        <w:tc>
          <w:tcPr>
            <w:tcW w:w="3369" w:type="dxa"/>
            <w:shd w:val="clear" w:color="auto" w:fill="DEEAF6"/>
            <w:vAlign w:val="center"/>
          </w:tcPr>
          <w:p w14:paraId="4B7A5DBB"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Name</w:t>
            </w:r>
          </w:p>
        </w:tc>
        <w:tc>
          <w:tcPr>
            <w:tcW w:w="6202" w:type="dxa"/>
            <w:shd w:val="clear" w:color="auto" w:fill="DEEAF6"/>
            <w:vAlign w:val="center"/>
          </w:tcPr>
          <w:p w14:paraId="306A996A" w14:textId="77777777" w:rsidR="00F3260C" w:rsidRPr="00BD295E" w:rsidRDefault="006515AB" w:rsidP="0031297B">
            <w:pPr>
              <w:jc w:val="both"/>
              <w:rPr>
                <w:rFonts w:ascii="Arial" w:hAnsi="Arial" w:cs="Arial"/>
                <w:b/>
                <w:sz w:val="18"/>
                <w:szCs w:val="18"/>
                <w:lang w:val="en-US"/>
              </w:rPr>
            </w:pPr>
            <w:r w:rsidRPr="00BD295E">
              <w:rPr>
                <w:rFonts w:ascii="Arial" w:hAnsi="Arial" w:cs="Arial"/>
                <w:b/>
                <w:sz w:val="18"/>
                <w:szCs w:val="18"/>
                <w:lang w:val="en-US"/>
              </w:rPr>
              <w:t>JSC “Lenenergo Energy Service Company”</w:t>
            </w:r>
          </w:p>
        </w:tc>
      </w:tr>
      <w:tr w:rsidR="008A5057" w:rsidRPr="00BD295E" w14:paraId="4E434BB4" w14:textId="77777777" w:rsidTr="0031297B">
        <w:tc>
          <w:tcPr>
            <w:tcW w:w="3369" w:type="dxa"/>
            <w:vAlign w:val="center"/>
          </w:tcPr>
          <w:p w14:paraId="138472C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Legal and physical address</w:t>
            </w:r>
          </w:p>
        </w:tc>
        <w:tc>
          <w:tcPr>
            <w:tcW w:w="6202" w:type="dxa"/>
            <w:vAlign w:val="center"/>
          </w:tcPr>
          <w:p w14:paraId="5B32FDE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191124, Saint Petersburg, Ploshchad Konstitutsii, 60–62А</w:t>
            </w:r>
          </w:p>
        </w:tc>
      </w:tr>
      <w:tr w:rsidR="008A5057" w:rsidRPr="00BD295E" w14:paraId="3A37A66A" w14:textId="77777777" w:rsidTr="0031297B">
        <w:tc>
          <w:tcPr>
            <w:tcW w:w="3369" w:type="dxa"/>
            <w:vAlign w:val="center"/>
          </w:tcPr>
          <w:p w14:paraId="06BC087E"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Authorized capital</w:t>
            </w:r>
          </w:p>
        </w:tc>
        <w:tc>
          <w:tcPr>
            <w:tcW w:w="6202" w:type="dxa"/>
            <w:vAlign w:val="center"/>
          </w:tcPr>
          <w:p w14:paraId="769E83EA"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RUB 1,000,000</w:t>
            </w:r>
          </w:p>
        </w:tc>
      </w:tr>
      <w:tr w:rsidR="008A5057" w:rsidRPr="00BD295E" w14:paraId="404E99AE" w14:textId="77777777" w:rsidTr="0031297B">
        <w:tc>
          <w:tcPr>
            <w:tcW w:w="3369" w:type="dxa"/>
            <w:vAlign w:val="center"/>
          </w:tcPr>
          <w:p w14:paraId="03F7F479"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Stake held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042C54" w:rsidRPr="00BD295E">
              <w:rPr>
                <w:rFonts w:ascii="Arial" w:hAnsi="Arial" w:cs="Arial"/>
                <w:sz w:val="18"/>
                <w:szCs w:val="18"/>
                <w:lang w:val="en-US"/>
              </w:rPr>
              <w:t>in</w:t>
            </w:r>
            <w:r w:rsidRPr="00BD295E">
              <w:rPr>
                <w:rFonts w:ascii="Arial" w:hAnsi="Arial" w:cs="Arial"/>
                <w:sz w:val="18"/>
                <w:szCs w:val="18"/>
                <w:lang w:val="en-US"/>
              </w:rPr>
              <w:t xml:space="preserve"> the company</w:t>
            </w:r>
          </w:p>
        </w:tc>
        <w:tc>
          <w:tcPr>
            <w:tcW w:w="6202" w:type="dxa"/>
            <w:vAlign w:val="center"/>
          </w:tcPr>
          <w:p w14:paraId="5A6A6FC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100 %</w:t>
            </w:r>
          </w:p>
        </w:tc>
      </w:tr>
      <w:tr w:rsidR="008A5057" w:rsidRPr="00BD295E" w14:paraId="3E7094B8" w14:textId="77777777" w:rsidTr="0031297B">
        <w:tc>
          <w:tcPr>
            <w:tcW w:w="3369" w:type="dxa"/>
            <w:vAlign w:val="center"/>
          </w:tcPr>
          <w:p w14:paraId="226A7C22"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Coverage</w:t>
            </w:r>
          </w:p>
        </w:tc>
        <w:tc>
          <w:tcPr>
            <w:tcW w:w="6202" w:type="dxa"/>
            <w:vAlign w:val="center"/>
          </w:tcPr>
          <w:p w14:paraId="6A28E89C"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Saint Petersburg</w:t>
            </w:r>
          </w:p>
        </w:tc>
      </w:tr>
      <w:tr w:rsidR="008A5057" w:rsidRPr="00BD295E" w14:paraId="7E845EF5" w14:textId="77777777" w:rsidTr="0031297B">
        <w:tc>
          <w:tcPr>
            <w:tcW w:w="3369" w:type="dxa"/>
            <w:tcBorders>
              <w:bottom w:val="single" w:sz="6" w:space="0" w:color="C0C0C0"/>
            </w:tcBorders>
            <w:vAlign w:val="center"/>
          </w:tcPr>
          <w:p w14:paraId="00062DD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Core operations</w:t>
            </w:r>
          </w:p>
        </w:tc>
        <w:tc>
          <w:tcPr>
            <w:tcW w:w="6202" w:type="dxa"/>
            <w:tcBorders>
              <w:bottom w:val="single" w:sz="6" w:space="0" w:color="C0C0C0"/>
            </w:tcBorders>
            <w:vAlign w:val="center"/>
          </w:tcPr>
          <w:p w14:paraId="0819402A" w14:textId="77777777" w:rsidR="00F3260C" w:rsidRPr="00BD295E" w:rsidRDefault="008A5057" w:rsidP="00CA2271">
            <w:pPr>
              <w:pStyle w:val="af3"/>
              <w:numPr>
                <w:ilvl w:val="0"/>
                <w:numId w:val="38"/>
              </w:numPr>
              <w:tabs>
                <w:tab w:val="left" w:pos="280"/>
              </w:tabs>
              <w:ind w:left="0" w:firstLine="0"/>
              <w:contextualSpacing w:val="0"/>
              <w:rPr>
                <w:rFonts w:ascii="Arial" w:hAnsi="Arial" w:cs="Arial"/>
                <w:bCs/>
                <w:iCs/>
                <w:sz w:val="18"/>
                <w:szCs w:val="18"/>
                <w:lang w:val="en-US"/>
              </w:rPr>
            </w:pPr>
            <w:r w:rsidRPr="00BD295E">
              <w:rPr>
                <w:rFonts w:ascii="Arial" w:hAnsi="Arial" w:cs="Arial"/>
                <w:bCs/>
                <w:iCs/>
                <w:sz w:val="18"/>
                <w:szCs w:val="18"/>
                <w:lang w:val="en-US"/>
              </w:rPr>
              <w:t>Consumer services;</w:t>
            </w:r>
          </w:p>
          <w:p w14:paraId="4BBF416F" w14:textId="77777777" w:rsidR="00F3260C" w:rsidRPr="00BD295E" w:rsidRDefault="008A5057" w:rsidP="00CA2271">
            <w:pPr>
              <w:pStyle w:val="af3"/>
              <w:numPr>
                <w:ilvl w:val="0"/>
                <w:numId w:val="38"/>
              </w:numPr>
              <w:tabs>
                <w:tab w:val="left" w:pos="280"/>
              </w:tabs>
              <w:ind w:left="0" w:firstLine="0"/>
              <w:contextualSpacing w:val="0"/>
              <w:rPr>
                <w:rFonts w:ascii="Arial" w:hAnsi="Arial" w:cs="Arial"/>
                <w:bCs/>
                <w:iCs/>
                <w:sz w:val="18"/>
                <w:szCs w:val="18"/>
                <w:lang w:val="en-US"/>
              </w:rPr>
            </w:pPr>
            <w:r w:rsidRPr="00BD295E">
              <w:rPr>
                <w:rFonts w:ascii="Arial" w:hAnsi="Arial" w:cs="Arial"/>
                <w:bCs/>
                <w:iCs/>
                <w:sz w:val="18"/>
                <w:szCs w:val="18"/>
                <w:lang w:val="en-US"/>
              </w:rPr>
              <w:t>surveys of consumers’ electrical appliances;</w:t>
            </w:r>
          </w:p>
          <w:p w14:paraId="033E0CF9" w14:textId="77777777" w:rsidR="00F3260C" w:rsidRPr="00BD295E" w:rsidRDefault="008A5057" w:rsidP="00CA2271">
            <w:pPr>
              <w:pStyle w:val="af3"/>
              <w:numPr>
                <w:ilvl w:val="0"/>
                <w:numId w:val="38"/>
              </w:numPr>
              <w:tabs>
                <w:tab w:val="left" w:pos="280"/>
              </w:tabs>
              <w:ind w:left="0" w:firstLine="0"/>
              <w:contextualSpacing w:val="0"/>
              <w:rPr>
                <w:rFonts w:ascii="Arial" w:hAnsi="Arial" w:cs="Arial"/>
                <w:bCs/>
                <w:iCs/>
                <w:sz w:val="18"/>
                <w:szCs w:val="18"/>
                <w:lang w:val="en-US"/>
              </w:rPr>
            </w:pPr>
            <w:r w:rsidRPr="00BD295E">
              <w:rPr>
                <w:rFonts w:ascii="Arial" w:hAnsi="Arial" w:cs="Arial"/>
                <w:bCs/>
                <w:iCs/>
                <w:sz w:val="18"/>
                <w:szCs w:val="18"/>
                <w:lang w:val="en-US"/>
              </w:rPr>
              <w:t>commercial projects.</w:t>
            </w:r>
          </w:p>
        </w:tc>
      </w:tr>
      <w:tr w:rsidR="008A5057" w:rsidRPr="00BD295E" w14:paraId="12B21ADD" w14:textId="77777777" w:rsidTr="0031297B">
        <w:tc>
          <w:tcPr>
            <w:tcW w:w="3369" w:type="dxa"/>
            <w:vAlign w:val="center"/>
          </w:tcPr>
          <w:p w14:paraId="373BC72E"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CEO</w:t>
            </w:r>
          </w:p>
        </w:tc>
        <w:tc>
          <w:tcPr>
            <w:tcW w:w="6202" w:type="dxa"/>
            <w:vAlign w:val="center"/>
          </w:tcPr>
          <w:p w14:paraId="0B5508F4"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Acting CEO</w:t>
            </w:r>
          </w:p>
          <w:p w14:paraId="584538EE"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Igor Filippenko</w:t>
            </w:r>
          </w:p>
          <w:p w14:paraId="72A5D67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Born in 1970</w:t>
            </w:r>
          </w:p>
          <w:p w14:paraId="5F2111B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In office since June 27, 2018</w:t>
            </w:r>
          </w:p>
        </w:tc>
      </w:tr>
    </w:tbl>
    <w:p w14:paraId="55BD414A" w14:textId="0C0C15A0" w:rsidR="008A71CC" w:rsidRPr="00BD295E" w:rsidRDefault="008A71CC" w:rsidP="00F3260C">
      <w:pPr>
        <w:jc w:val="both"/>
        <w:rPr>
          <w:rFonts w:ascii="Arial" w:hAnsi="Arial" w:cs="Arial"/>
          <w:b/>
          <w:sz w:val="18"/>
          <w:szCs w:val="18"/>
          <w:lang w:val="en-US"/>
        </w:rPr>
      </w:pPr>
    </w:p>
    <w:p w14:paraId="46A64888" w14:textId="77777777" w:rsidR="008A71CC" w:rsidRPr="00BD295E" w:rsidRDefault="008A71CC">
      <w:pPr>
        <w:rPr>
          <w:rFonts w:ascii="Arial" w:hAnsi="Arial" w:cs="Arial"/>
          <w:b/>
          <w:sz w:val="18"/>
          <w:szCs w:val="18"/>
          <w:lang w:val="en-US"/>
        </w:rPr>
      </w:pPr>
      <w:r w:rsidRPr="00BD295E">
        <w:rPr>
          <w:rFonts w:ascii="Arial" w:hAnsi="Arial" w:cs="Arial"/>
          <w:b/>
          <w:sz w:val="18"/>
          <w:szCs w:val="18"/>
          <w:lang w:val="en-US"/>
        </w:rPr>
        <w:br w:type="page"/>
      </w:r>
    </w:p>
    <w:p w14:paraId="363E388C" w14:textId="77777777" w:rsidR="00F3260C" w:rsidRPr="00BD295E" w:rsidRDefault="00F3260C" w:rsidP="00F3260C">
      <w:pPr>
        <w:jc w:val="both"/>
        <w:rPr>
          <w:rFonts w:ascii="Arial" w:hAnsi="Arial" w:cs="Arial"/>
          <w:b/>
          <w:sz w:val="18"/>
          <w:szCs w:val="18"/>
          <w:lang w:val="en-US"/>
        </w:rPr>
      </w:pPr>
    </w:p>
    <w:tbl>
      <w:tblPr>
        <w:tblW w:w="0" w:type="auto"/>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ook w:val="01E0" w:firstRow="1" w:lastRow="1" w:firstColumn="1" w:lastColumn="1" w:noHBand="0" w:noVBand="0"/>
      </w:tblPr>
      <w:tblGrid>
        <w:gridCol w:w="3298"/>
        <w:gridCol w:w="6041"/>
      </w:tblGrid>
      <w:tr w:rsidR="008A5057" w:rsidRPr="00BD295E" w14:paraId="70B28FB7" w14:textId="77777777" w:rsidTr="00E3510B">
        <w:tc>
          <w:tcPr>
            <w:tcW w:w="3369" w:type="dxa"/>
            <w:shd w:val="clear" w:color="auto" w:fill="DEEAF6"/>
            <w:vAlign w:val="center"/>
          </w:tcPr>
          <w:p w14:paraId="587E85C7"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Name</w:t>
            </w:r>
          </w:p>
        </w:tc>
        <w:tc>
          <w:tcPr>
            <w:tcW w:w="6202" w:type="dxa"/>
            <w:shd w:val="clear" w:color="auto" w:fill="DEEAF6"/>
            <w:vAlign w:val="center"/>
          </w:tcPr>
          <w:p w14:paraId="08DF1197" w14:textId="77777777" w:rsidR="00F3260C" w:rsidRPr="00BD295E" w:rsidRDefault="006515AB" w:rsidP="00AB4381">
            <w:pPr>
              <w:jc w:val="both"/>
              <w:rPr>
                <w:rFonts w:ascii="Arial" w:hAnsi="Arial" w:cs="Arial"/>
                <w:b/>
                <w:bCs/>
                <w:iCs/>
                <w:sz w:val="18"/>
                <w:szCs w:val="18"/>
                <w:lang w:val="en-US"/>
              </w:rPr>
            </w:pPr>
            <w:r w:rsidRPr="00BD295E">
              <w:rPr>
                <w:rStyle w:val="Subst0"/>
                <w:rFonts w:ascii="Arial" w:hAnsi="Arial" w:cs="Arial"/>
                <w:bCs/>
                <w:i w:val="0"/>
                <w:iCs/>
                <w:sz w:val="18"/>
                <w:szCs w:val="18"/>
                <w:lang w:val="en-US"/>
              </w:rPr>
              <w:t>JSC “Saint Petersburg Power Grid”</w:t>
            </w:r>
          </w:p>
        </w:tc>
      </w:tr>
      <w:tr w:rsidR="008A5057" w:rsidRPr="00BD295E" w14:paraId="0D0510F0" w14:textId="77777777" w:rsidTr="0031297B">
        <w:tc>
          <w:tcPr>
            <w:tcW w:w="3369" w:type="dxa"/>
            <w:vAlign w:val="center"/>
          </w:tcPr>
          <w:p w14:paraId="0D4052B9"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Legal and physical address</w:t>
            </w:r>
          </w:p>
        </w:tc>
        <w:tc>
          <w:tcPr>
            <w:tcW w:w="6202" w:type="dxa"/>
          </w:tcPr>
          <w:p w14:paraId="77B244C4" w14:textId="77777777" w:rsidR="00F3260C" w:rsidRPr="00BD295E" w:rsidRDefault="008A5057" w:rsidP="0031297B">
            <w:pPr>
              <w:pStyle w:val="Default"/>
              <w:jc w:val="both"/>
              <w:rPr>
                <w:rFonts w:ascii="Arial" w:hAnsi="Arial" w:cs="Arial"/>
                <w:b/>
                <w:i/>
                <w:color w:val="auto"/>
                <w:sz w:val="18"/>
                <w:szCs w:val="18"/>
                <w:lang w:val="en-US"/>
              </w:rPr>
            </w:pPr>
            <w:r w:rsidRPr="00BD295E">
              <w:rPr>
                <w:rStyle w:val="Subst0"/>
                <w:rFonts w:ascii="Arial" w:hAnsi="Arial" w:cs="Arial"/>
                <w:b w:val="0"/>
                <w:bCs/>
                <w:i w:val="0"/>
                <w:iCs/>
                <w:color w:val="auto"/>
                <w:sz w:val="18"/>
                <w:szCs w:val="18"/>
                <w:lang w:val="en-US"/>
              </w:rPr>
              <w:t xml:space="preserve">196191, Saint Petersburg, </w:t>
            </w:r>
            <w:r w:rsidR="00CF0D86" w:rsidRPr="00BD295E">
              <w:rPr>
                <w:rFonts w:ascii="Arial" w:hAnsi="Arial" w:cs="Arial"/>
                <w:sz w:val="18"/>
                <w:szCs w:val="18"/>
                <w:lang w:val="en-US"/>
              </w:rPr>
              <w:t>Ploshchad</w:t>
            </w:r>
            <w:r w:rsidR="00CF0D86" w:rsidRPr="00BD295E">
              <w:rPr>
                <w:rStyle w:val="Subst0"/>
                <w:rFonts w:ascii="Arial" w:hAnsi="Arial" w:cs="Arial"/>
                <w:b w:val="0"/>
                <w:bCs/>
                <w:i w:val="0"/>
                <w:iCs/>
                <w:color w:val="auto"/>
                <w:sz w:val="18"/>
                <w:szCs w:val="18"/>
                <w:lang w:val="en-US"/>
              </w:rPr>
              <w:t xml:space="preserve"> </w:t>
            </w:r>
            <w:r w:rsidRPr="00BD295E">
              <w:rPr>
                <w:rStyle w:val="Subst0"/>
                <w:rFonts w:ascii="Arial" w:hAnsi="Arial" w:cs="Arial"/>
                <w:b w:val="0"/>
                <w:bCs/>
                <w:i w:val="0"/>
                <w:iCs/>
                <w:color w:val="auto"/>
                <w:sz w:val="18"/>
                <w:szCs w:val="18"/>
                <w:lang w:val="en-US"/>
              </w:rPr>
              <w:t>Konstitutsii, 7</w:t>
            </w:r>
            <w:r w:rsidR="00CF0D86" w:rsidRPr="00BD295E">
              <w:rPr>
                <w:rStyle w:val="Subst0"/>
                <w:rFonts w:ascii="Arial" w:hAnsi="Arial" w:cs="Arial"/>
                <w:b w:val="0"/>
                <w:bCs/>
                <w:i w:val="0"/>
                <w:iCs/>
                <w:color w:val="auto"/>
                <w:sz w:val="18"/>
                <w:szCs w:val="18"/>
                <w:lang w:val="en-US"/>
              </w:rPr>
              <w:t>A</w:t>
            </w:r>
          </w:p>
        </w:tc>
      </w:tr>
      <w:tr w:rsidR="008A5057" w:rsidRPr="00BD295E" w14:paraId="5CDE59B8" w14:textId="77777777" w:rsidTr="0031297B">
        <w:tc>
          <w:tcPr>
            <w:tcW w:w="3369" w:type="dxa"/>
            <w:vAlign w:val="center"/>
          </w:tcPr>
          <w:p w14:paraId="166772E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Authorized capital</w:t>
            </w:r>
          </w:p>
        </w:tc>
        <w:tc>
          <w:tcPr>
            <w:tcW w:w="6202" w:type="dxa"/>
            <w:vAlign w:val="center"/>
          </w:tcPr>
          <w:p w14:paraId="19AEAAE2"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color w:val="auto"/>
                <w:sz w:val="18"/>
                <w:szCs w:val="18"/>
                <w:lang w:val="en-US"/>
              </w:rPr>
              <w:t>RUB 35,769,200</w:t>
            </w:r>
          </w:p>
        </w:tc>
      </w:tr>
      <w:tr w:rsidR="008A5057" w:rsidRPr="00BD295E" w14:paraId="393E2E1E" w14:textId="77777777" w:rsidTr="0031297B">
        <w:tc>
          <w:tcPr>
            <w:tcW w:w="3369" w:type="dxa"/>
            <w:vAlign w:val="center"/>
          </w:tcPr>
          <w:p w14:paraId="5924DBD5"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Stake held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042C54" w:rsidRPr="00BD295E">
              <w:rPr>
                <w:rFonts w:ascii="Arial" w:hAnsi="Arial" w:cs="Arial"/>
                <w:sz w:val="18"/>
                <w:szCs w:val="18"/>
                <w:lang w:val="en-US"/>
              </w:rPr>
              <w:t>in</w:t>
            </w:r>
            <w:r w:rsidRPr="00BD295E">
              <w:rPr>
                <w:rFonts w:ascii="Arial" w:hAnsi="Arial" w:cs="Arial"/>
                <w:sz w:val="18"/>
                <w:szCs w:val="18"/>
                <w:lang w:val="en-US"/>
              </w:rPr>
              <w:t xml:space="preserve"> the company</w:t>
            </w:r>
          </w:p>
        </w:tc>
        <w:tc>
          <w:tcPr>
            <w:tcW w:w="6202" w:type="dxa"/>
            <w:vAlign w:val="center"/>
          </w:tcPr>
          <w:p w14:paraId="76125B1C"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bCs/>
                <w:color w:val="auto"/>
                <w:sz w:val="18"/>
                <w:szCs w:val="18"/>
                <w:lang w:val="en-US"/>
              </w:rPr>
              <w:t>100 %</w:t>
            </w:r>
          </w:p>
        </w:tc>
      </w:tr>
      <w:tr w:rsidR="008A5057" w:rsidRPr="00BD295E" w14:paraId="0687D226" w14:textId="77777777" w:rsidTr="0031297B">
        <w:tc>
          <w:tcPr>
            <w:tcW w:w="3369" w:type="dxa"/>
            <w:vAlign w:val="center"/>
          </w:tcPr>
          <w:p w14:paraId="217C12F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Coverage</w:t>
            </w:r>
          </w:p>
        </w:tc>
        <w:tc>
          <w:tcPr>
            <w:tcW w:w="6202" w:type="dxa"/>
            <w:vAlign w:val="center"/>
          </w:tcPr>
          <w:p w14:paraId="2FEF331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Saint Petersburg and the Leningrad Region</w:t>
            </w:r>
          </w:p>
        </w:tc>
      </w:tr>
      <w:tr w:rsidR="008A5057" w:rsidRPr="00BD295E" w14:paraId="6DA5115A" w14:textId="77777777" w:rsidTr="0031297B">
        <w:tc>
          <w:tcPr>
            <w:tcW w:w="3369" w:type="dxa"/>
            <w:vAlign w:val="center"/>
          </w:tcPr>
          <w:p w14:paraId="2395B8A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Core operations</w:t>
            </w:r>
          </w:p>
        </w:tc>
        <w:tc>
          <w:tcPr>
            <w:tcW w:w="6202" w:type="dxa"/>
            <w:vAlign w:val="center"/>
          </w:tcPr>
          <w:p w14:paraId="41D97EAA" w14:textId="77777777" w:rsidR="00F3260C" w:rsidRPr="00BD295E" w:rsidRDefault="008A5057" w:rsidP="00CA2271">
            <w:pPr>
              <w:pStyle w:val="af3"/>
              <w:numPr>
                <w:ilvl w:val="0"/>
                <w:numId w:val="40"/>
              </w:numPr>
              <w:tabs>
                <w:tab w:val="left" w:pos="-4800"/>
                <w:tab w:val="left" w:pos="265"/>
                <w:tab w:val="left" w:pos="835"/>
                <w:tab w:val="left" w:pos="960"/>
              </w:tabs>
              <w:ind w:left="0" w:firstLine="0"/>
              <w:contextualSpacing w:val="0"/>
              <w:jc w:val="both"/>
              <w:rPr>
                <w:rFonts w:ascii="Arial" w:hAnsi="Arial" w:cs="Arial"/>
                <w:sz w:val="18"/>
                <w:szCs w:val="18"/>
                <w:lang w:val="en-US"/>
              </w:rPr>
            </w:pPr>
            <w:r w:rsidRPr="00BD295E">
              <w:rPr>
                <w:rFonts w:ascii="Arial" w:hAnsi="Arial" w:cs="Arial"/>
                <w:sz w:val="18"/>
                <w:szCs w:val="18"/>
                <w:lang w:val="en-US"/>
              </w:rPr>
              <w:t>lease of electric grid assets;</w:t>
            </w:r>
          </w:p>
          <w:p w14:paraId="4FDD08BD" w14:textId="77777777" w:rsidR="00F3260C" w:rsidRPr="00BD295E" w:rsidRDefault="008A5057" w:rsidP="00CA2271">
            <w:pPr>
              <w:pStyle w:val="af3"/>
              <w:numPr>
                <w:ilvl w:val="0"/>
                <w:numId w:val="40"/>
              </w:numPr>
              <w:tabs>
                <w:tab w:val="left" w:pos="-4800"/>
                <w:tab w:val="left" w:pos="265"/>
                <w:tab w:val="left" w:pos="835"/>
                <w:tab w:val="left" w:pos="960"/>
              </w:tabs>
              <w:ind w:left="0" w:firstLine="0"/>
              <w:contextualSpacing w:val="0"/>
              <w:jc w:val="both"/>
              <w:rPr>
                <w:rFonts w:ascii="Arial" w:hAnsi="Arial" w:cs="Arial"/>
                <w:sz w:val="18"/>
                <w:szCs w:val="18"/>
                <w:lang w:val="en-US"/>
              </w:rPr>
            </w:pPr>
            <w:r w:rsidRPr="00BD295E">
              <w:rPr>
                <w:rFonts w:ascii="Arial" w:hAnsi="Arial" w:cs="Arial"/>
                <w:sz w:val="18"/>
                <w:szCs w:val="18"/>
                <w:lang w:val="en-US"/>
              </w:rPr>
              <w:t>trust management of electric grid assets of the Government of Saint Petersburg</w:t>
            </w:r>
          </w:p>
        </w:tc>
      </w:tr>
      <w:tr w:rsidR="008A5057" w:rsidRPr="00BD295E" w14:paraId="16BD6ACB" w14:textId="77777777" w:rsidTr="0031297B">
        <w:tc>
          <w:tcPr>
            <w:tcW w:w="3369" w:type="dxa"/>
            <w:tcBorders>
              <w:bottom w:val="single" w:sz="6" w:space="0" w:color="C0C0C0"/>
            </w:tcBorders>
            <w:vAlign w:val="center"/>
          </w:tcPr>
          <w:p w14:paraId="7097899A"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CEO</w:t>
            </w:r>
          </w:p>
        </w:tc>
        <w:tc>
          <w:tcPr>
            <w:tcW w:w="6202" w:type="dxa"/>
            <w:tcBorders>
              <w:bottom w:val="single" w:sz="6" w:space="0" w:color="C0C0C0"/>
            </w:tcBorders>
            <w:vAlign w:val="center"/>
          </w:tcPr>
          <w:p w14:paraId="0086C5F8"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Managing organization</w:t>
            </w:r>
          </w:p>
          <w:p w14:paraId="4D6579A9" w14:textId="77777777" w:rsidR="00F3260C" w:rsidRPr="00BD295E" w:rsidRDefault="00EE5753" w:rsidP="0031297B">
            <w:pPr>
              <w:jc w:val="both"/>
              <w:rPr>
                <w:rFonts w:ascii="Arial" w:hAnsi="Arial" w:cs="Arial"/>
                <w:sz w:val="18"/>
                <w:szCs w:val="18"/>
                <w:lang w:val="en-US"/>
              </w:rPr>
            </w:pPr>
            <w:r w:rsidRPr="00BD295E">
              <w:rPr>
                <w:rFonts w:ascii="Arial" w:hAnsi="Arial" w:cs="Arial"/>
                <w:sz w:val="18"/>
                <w:szCs w:val="18"/>
                <w:lang w:val="en-US"/>
              </w:rPr>
              <w:t>PJSC “Lenenergo”</w:t>
            </w:r>
          </w:p>
          <w:p w14:paraId="48F91592"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In office since February 21, 2017.</w:t>
            </w:r>
          </w:p>
        </w:tc>
      </w:tr>
    </w:tbl>
    <w:p w14:paraId="7BB69EAC" w14:textId="77777777" w:rsidR="00F3260C" w:rsidRPr="00BD295E" w:rsidRDefault="00F3260C" w:rsidP="00F3260C">
      <w:pPr>
        <w:jc w:val="both"/>
        <w:rPr>
          <w:rFonts w:ascii="Arial" w:hAnsi="Arial" w:cs="Arial"/>
          <w:b/>
          <w:sz w:val="18"/>
          <w:szCs w:val="18"/>
          <w:lang w:val="en-US"/>
        </w:rPr>
      </w:pPr>
    </w:p>
    <w:tbl>
      <w:tblPr>
        <w:tblW w:w="0" w:type="auto"/>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ook w:val="01E0" w:firstRow="1" w:lastRow="1" w:firstColumn="1" w:lastColumn="1" w:noHBand="0" w:noVBand="0"/>
      </w:tblPr>
      <w:tblGrid>
        <w:gridCol w:w="3296"/>
        <w:gridCol w:w="6043"/>
      </w:tblGrid>
      <w:tr w:rsidR="008A5057" w:rsidRPr="00BD295E" w14:paraId="0C8B42D3" w14:textId="77777777" w:rsidTr="00E3510B">
        <w:tc>
          <w:tcPr>
            <w:tcW w:w="3369" w:type="dxa"/>
            <w:shd w:val="clear" w:color="auto" w:fill="DEEAF6"/>
            <w:vAlign w:val="center"/>
          </w:tcPr>
          <w:p w14:paraId="27F21DC7"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Name</w:t>
            </w:r>
          </w:p>
        </w:tc>
        <w:tc>
          <w:tcPr>
            <w:tcW w:w="6202" w:type="dxa"/>
            <w:shd w:val="clear" w:color="auto" w:fill="DEEAF6"/>
            <w:vAlign w:val="center"/>
          </w:tcPr>
          <w:p w14:paraId="0E6D2759" w14:textId="77777777" w:rsidR="00F3260C" w:rsidRPr="00BD295E" w:rsidRDefault="006515AB" w:rsidP="0031297B">
            <w:pPr>
              <w:jc w:val="both"/>
              <w:rPr>
                <w:rFonts w:ascii="Arial" w:hAnsi="Arial" w:cs="Arial"/>
                <w:b/>
                <w:sz w:val="18"/>
                <w:szCs w:val="18"/>
                <w:lang w:val="en-US"/>
              </w:rPr>
            </w:pPr>
            <w:r w:rsidRPr="00BD295E">
              <w:rPr>
                <w:rFonts w:ascii="Arial" w:hAnsi="Arial" w:cs="Arial"/>
                <w:b/>
                <w:sz w:val="18"/>
                <w:szCs w:val="18"/>
                <w:lang w:val="en-US"/>
              </w:rPr>
              <w:t>JSC “Tsarskoye Selo Energy Company”</w:t>
            </w:r>
          </w:p>
        </w:tc>
      </w:tr>
      <w:tr w:rsidR="008A5057" w:rsidRPr="00BD295E" w14:paraId="7982918F" w14:textId="77777777" w:rsidTr="0031297B">
        <w:tc>
          <w:tcPr>
            <w:tcW w:w="3369" w:type="dxa"/>
            <w:vAlign w:val="center"/>
          </w:tcPr>
          <w:p w14:paraId="558F42B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Legal and physical address</w:t>
            </w:r>
          </w:p>
        </w:tc>
        <w:tc>
          <w:tcPr>
            <w:tcW w:w="6202" w:type="dxa"/>
          </w:tcPr>
          <w:p w14:paraId="73FE2FF4"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bCs/>
                <w:color w:val="auto"/>
                <w:sz w:val="18"/>
                <w:szCs w:val="18"/>
                <w:lang w:val="en-US"/>
              </w:rPr>
              <w:t>196601, Saint Petersburg, Pushkin, Glinki 5</w:t>
            </w:r>
          </w:p>
        </w:tc>
      </w:tr>
      <w:tr w:rsidR="008A5057" w:rsidRPr="00BD295E" w14:paraId="3A50071B" w14:textId="77777777" w:rsidTr="0031297B">
        <w:tc>
          <w:tcPr>
            <w:tcW w:w="3369" w:type="dxa"/>
            <w:vAlign w:val="center"/>
          </w:tcPr>
          <w:p w14:paraId="211706C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Authorized capital</w:t>
            </w:r>
          </w:p>
        </w:tc>
        <w:tc>
          <w:tcPr>
            <w:tcW w:w="6202" w:type="dxa"/>
            <w:vAlign w:val="center"/>
          </w:tcPr>
          <w:p w14:paraId="0B6B9C18"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color w:val="auto"/>
                <w:sz w:val="18"/>
                <w:szCs w:val="18"/>
                <w:lang w:val="en-US"/>
              </w:rPr>
              <w:t>RUB 13,152,000</w:t>
            </w:r>
          </w:p>
        </w:tc>
      </w:tr>
      <w:tr w:rsidR="008A5057" w:rsidRPr="00BD295E" w14:paraId="6D2C7CED" w14:textId="77777777" w:rsidTr="0031297B">
        <w:tc>
          <w:tcPr>
            <w:tcW w:w="3369" w:type="dxa"/>
            <w:vAlign w:val="center"/>
          </w:tcPr>
          <w:p w14:paraId="2B2D6E1A"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Stake held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042C54" w:rsidRPr="00BD295E">
              <w:rPr>
                <w:rFonts w:ascii="Arial" w:hAnsi="Arial" w:cs="Arial"/>
                <w:sz w:val="18"/>
                <w:szCs w:val="18"/>
                <w:lang w:val="en-US"/>
              </w:rPr>
              <w:t>in</w:t>
            </w:r>
            <w:r w:rsidRPr="00BD295E">
              <w:rPr>
                <w:rFonts w:ascii="Arial" w:hAnsi="Arial" w:cs="Arial"/>
                <w:sz w:val="18"/>
                <w:szCs w:val="18"/>
                <w:lang w:val="en-US"/>
              </w:rPr>
              <w:t xml:space="preserve"> the company</w:t>
            </w:r>
          </w:p>
        </w:tc>
        <w:tc>
          <w:tcPr>
            <w:tcW w:w="6202" w:type="dxa"/>
            <w:vAlign w:val="center"/>
          </w:tcPr>
          <w:p w14:paraId="08E5A661"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bCs/>
                <w:color w:val="auto"/>
                <w:sz w:val="18"/>
                <w:szCs w:val="18"/>
                <w:lang w:val="en-US"/>
              </w:rPr>
              <w:t xml:space="preserve">96.95 % </w:t>
            </w:r>
          </w:p>
        </w:tc>
      </w:tr>
      <w:tr w:rsidR="008A5057" w:rsidRPr="00BD295E" w14:paraId="4E6C039B" w14:textId="77777777" w:rsidTr="0031297B">
        <w:tc>
          <w:tcPr>
            <w:tcW w:w="3369" w:type="dxa"/>
            <w:vAlign w:val="center"/>
          </w:tcPr>
          <w:p w14:paraId="5EC177F2"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Coverage</w:t>
            </w:r>
          </w:p>
        </w:tc>
        <w:tc>
          <w:tcPr>
            <w:tcW w:w="6202" w:type="dxa"/>
            <w:vAlign w:val="center"/>
          </w:tcPr>
          <w:p w14:paraId="3F2375D3"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Saint Petersburg</w:t>
            </w:r>
          </w:p>
        </w:tc>
      </w:tr>
      <w:tr w:rsidR="008A5057" w:rsidRPr="00BD295E" w14:paraId="021BBF07" w14:textId="77777777" w:rsidTr="0031297B">
        <w:tc>
          <w:tcPr>
            <w:tcW w:w="3369" w:type="dxa"/>
            <w:tcBorders>
              <w:bottom w:val="single" w:sz="6" w:space="0" w:color="C0C0C0"/>
            </w:tcBorders>
            <w:vAlign w:val="center"/>
          </w:tcPr>
          <w:p w14:paraId="20D336F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Core operations</w:t>
            </w:r>
          </w:p>
        </w:tc>
        <w:tc>
          <w:tcPr>
            <w:tcW w:w="6202" w:type="dxa"/>
            <w:tcBorders>
              <w:bottom w:val="single" w:sz="6" w:space="0" w:color="C0C0C0"/>
            </w:tcBorders>
            <w:vAlign w:val="center"/>
          </w:tcPr>
          <w:p w14:paraId="61F14E0B" w14:textId="77777777" w:rsidR="00F3260C" w:rsidRPr="00BD295E" w:rsidRDefault="008A5057" w:rsidP="00CA2271">
            <w:pPr>
              <w:pStyle w:val="af3"/>
              <w:numPr>
                <w:ilvl w:val="0"/>
                <w:numId w:val="39"/>
              </w:numPr>
              <w:tabs>
                <w:tab w:val="left" w:pos="265"/>
              </w:tabs>
              <w:ind w:left="0" w:firstLine="0"/>
              <w:contextualSpacing w:val="0"/>
              <w:jc w:val="both"/>
              <w:rPr>
                <w:rFonts w:ascii="Arial" w:hAnsi="Arial" w:cs="Arial"/>
                <w:sz w:val="18"/>
                <w:szCs w:val="18"/>
                <w:lang w:val="en-US"/>
              </w:rPr>
            </w:pPr>
            <w:r w:rsidRPr="00BD295E">
              <w:rPr>
                <w:rFonts w:ascii="Arial" w:hAnsi="Arial" w:cs="Arial"/>
                <w:sz w:val="18"/>
                <w:szCs w:val="18"/>
                <w:lang w:val="en-US"/>
              </w:rPr>
              <w:t>Electricity distribution services via distribution grids;</w:t>
            </w:r>
          </w:p>
          <w:p w14:paraId="014BD670" w14:textId="77777777" w:rsidR="00F3260C" w:rsidRPr="00BD295E" w:rsidRDefault="008A5057" w:rsidP="00CA2271">
            <w:pPr>
              <w:pStyle w:val="af3"/>
              <w:numPr>
                <w:ilvl w:val="0"/>
                <w:numId w:val="39"/>
              </w:numPr>
              <w:tabs>
                <w:tab w:val="left" w:pos="265"/>
              </w:tabs>
              <w:ind w:left="0" w:firstLine="0"/>
              <w:contextualSpacing w:val="0"/>
              <w:jc w:val="both"/>
              <w:rPr>
                <w:rFonts w:ascii="Arial" w:hAnsi="Arial" w:cs="Arial"/>
                <w:sz w:val="18"/>
                <w:szCs w:val="18"/>
                <w:lang w:val="en-US"/>
              </w:rPr>
            </w:pPr>
            <w:r w:rsidRPr="00BD295E">
              <w:rPr>
                <w:rFonts w:ascii="Arial" w:hAnsi="Arial" w:cs="Arial"/>
                <w:sz w:val="18"/>
                <w:szCs w:val="18"/>
                <w:lang w:val="en-US"/>
              </w:rPr>
              <w:t>Grid connection services;</w:t>
            </w:r>
          </w:p>
          <w:p w14:paraId="556E4361" w14:textId="77777777" w:rsidR="00F3260C" w:rsidRPr="00BD295E" w:rsidRDefault="008A5057" w:rsidP="00CA2271">
            <w:pPr>
              <w:pStyle w:val="af3"/>
              <w:numPr>
                <w:ilvl w:val="0"/>
                <w:numId w:val="39"/>
              </w:numPr>
              <w:tabs>
                <w:tab w:val="left" w:pos="265"/>
              </w:tabs>
              <w:ind w:left="0" w:firstLine="0"/>
              <w:contextualSpacing w:val="0"/>
              <w:jc w:val="both"/>
              <w:rPr>
                <w:rFonts w:ascii="Arial" w:hAnsi="Arial" w:cs="Arial"/>
                <w:sz w:val="18"/>
                <w:szCs w:val="18"/>
                <w:lang w:val="en-US"/>
              </w:rPr>
            </w:pPr>
            <w:r w:rsidRPr="00BD295E">
              <w:rPr>
                <w:rFonts w:ascii="Arial" w:hAnsi="Arial" w:cs="Arial"/>
                <w:sz w:val="18"/>
                <w:szCs w:val="18"/>
                <w:lang w:val="en-US"/>
              </w:rPr>
              <w:t>Maintenance of outdoor lighting networks</w:t>
            </w:r>
          </w:p>
        </w:tc>
      </w:tr>
      <w:tr w:rsidR="008A5057" w:rsidRPr="00BD295E" w14:paraId="7C647987" w14:textId="77777777" w:rsidTr="0031297B">
        <w:tc>
          <w:tcPr>
            <w:tcW w:w="3369" w:type="dxa"/>
            <w:vAlign w:val="center"/>
          </w:tcPr>
          <w:p w14:paraId="7D7C25D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CEO</w:t>
            </w:r>
          </w:p>
        </w:tc>
        <w:tc>
          <w:tcPr>
            <w:tcW w:w="6202" w:type="dxa"/>
            <w:vAlign w:val="center"/>
          </w:tcPr>
          <w:p w14:paraId="1EC58394"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CEO</w:t>
            </w:r>
          </w:p>
          <w:p w14:paraId="1A558BBA"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Veronika Tarnorutskaya</w:t>
            </w:r>
          </w:p>
          <w:p w14:paraId="5EDE1292"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Born in 1959</w:t>
            </w:r>
          </w:p>
          <w:p w14:paraId="087B4721"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In office since 2005</w:t>
            </w:r>
          </w:p>
        </w:tc>
      </w:tr>
    </w:tbl>
    <w:p w14:paraId="35972741" w14:textId="77777777" w:rsidR="00F3260C" w:rsidRPr="00BD295E" w:rsidRDefault="00F3260C" w:rsidP="00F3260C">
      <w:pPr>
        <w:jc w:val="both"/>
        <w:rPr>
          <w:rFonts w:ascii="Arial" w:hAnsi="Arial" w:cs="Arial"/>
          <w:b/>
          <w:sz w:val="18"/>
          <w:szCs w:val="18"/>
          <w:lang w:val="en-US"/>
        </w:rPr>
      </w:pPr>
    </w:p>
    <w:tbl>
      <w:tblPr>
        <w:tblW w:w="0" w:type="auto"/>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ook w:val="01E0" w:firstRow="1" w:lastRow="1" w:firstColumn="1" w:lastColumn="1" w:noHBand="0" w:noVBand="0"/>
      </w:tblPr>
      <w:tblGrid>
        <w:gridCol w:w="3295"/>
        <w:gridCol w:w="6044"/>
      </w:tblGrid>
      <w:tr w:rsidR="008A5057" w:rsidRPr="00BD295E" w14:paraId="1A403665" w14:textId="77777777" w:rsidTr="00E3510B">
        <w:tc>
          <w:tcPr>
            <w:tcW w:w="3369" w:type="dxa"/>
            <w:shd w:val="clear" w:color="auto" w:fill="DEEAF6"/>
            <w:vAlign w:val="center"/>
          </w:tcPr>
          <w:p w14:paraId="02C9C228"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Name</w:t>
            </w:r>
          </w:p>
        </w:tc>
        <w:tc>
          <w:tcPr>
            <w:tcW w:w="6202" w:type="dxa"/>
            <w:shd w:val="clear" w:color="auto" w:fill="DEEAF6"/>
            <w:vAlign w:val="center"/>
          </w:tcPr>
          <w:p w14:paraId="112A2E55" w14:textId="77777777" w:rsidR="00F3260C" w:rsidRPr="00BD295E" w:rsidRDefault="006515AB" w:rsidP="0031297B">
            <w:pPr>
              <w:jc w:val="both"/>
              <w:rPr>
                <w:rFonts w:ascii="Arial" w:hAnsi="Arial" w:cs="Arial"/>
                <w:b/>
                <w:sz w:val="18"/>
                <w:szCs w:val="18"/>
                <w:lang w:val="en-US"/>
              </w:rPr>
            </w:pPr>
            <w:r w:rsidRPr="00BD295E">
              <w:rPr>
                <w:rFonts w:ascii="Arial" w:hAnsi="Arial" w:cs="Arial"/>
                <w:b/>
                <w:sz w:val="18"/>
                <w:szCs w:val="18"/>
                <w:lang w:val="en-US"/>
              </w:rPr>
              <w:t>JSC “Kurortenergo”</w:t>
            </w:r>
          </w:p>
        </w:tc>
      </w:tr>
      <w:tr w:rsidR="008A5057" w:rsidRPr="00BD295E" w14:paraId="58A21B34" w14:textId="77777777" w:rsidTr="0031297B">
        <w:tc>
          <w:tcPr>
            <w:tcW w:w="3369" w:type="dxa"/>
            <w:vAlign w:val="center"/>
          </w:tcPr>
          <w:p w14:paraId="2C737E0F"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Legal and physical address</w:t>
            </w:r>
          </w:p>
        </w:tc>
        <w:tc>
          <w:tcPr>
            <w:tcW w:w="6202" w:type="dxa"/>
          </w:tcPr>
          <w:p w14:paraId="65B7D638"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bCs/>
                <w:color w:val="auto"/>
                <w:sz w:val="18"/>
                <w:szCs w:val="18"/>
                <w:lang w:val="en-US"/>
              </w:rPr>
              <w:t>197706, Saint Petersburg, Sestroretsk,</w:t>
            </w:r>
            <w:r w:rsidR="00CF0D86" w:rsidRPr="00BD295E">
              <w:rPr>
                <w:rFonts w:ascii="Arial" w:hAnsi="Arial" w:cs="Arial"/>
                <w:bCs/>
                <w:color w:val="auto"/>
                <w:sz w:val="18"/>
                <w:szCs w:val="18"/>
                <w:lang w:val="en-US"/>
              </w:rPr>
              <w:t xml:space="preserve"> </w:t>
            </w:r>
            <w:r w:rsidRPr="00BD295E">
              <w:rPr>
                <w:rFonts w:ascii="Arial" w:hAnsi="Arial" w:cs="Arial"/>
                <w:bCs/>
                <w:color w:val="auto"/>
                <w:sz w:val="18"/>
                <w:szCs w:val="18"/>
                <w:lang w:val="en-US"/>
              </w:rPr>
              <w:t>Kommunarov 16</w:t>
            </w:r>
          </w:p>
        </w:tc>
      </w:tr>
      <w:tr w:rsidR="008A5057" w:rsidRPr="00BD295E" w14:paraId="02829478" w14:textId="77777777" w:rsidTr="0031297B">
        <w:tc>
          <w:tcPr>
            <w:tcW w:w="3369" w:type="dxa"/>
            <w:vAlign w:val="center"/>
          </w:tcPr>
          <w:p w14:paraId="5DFA733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Authorized capital</w:t>
            </w:r>
          </w:p>
        </w:tc>
        <w:tc>
          <w:tcPr>
            <w:tcW w:w="6202" w:type="dxa"/>
            <w:vAlign w:val="center"/>
          </w:tcPr>
          <w:p w14:paraId="6C227F82"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color w:val="auto"/>
                <w:sz w:val="18"/>
                <w:szCs w:val="18"/>
                <w:lang w:val="en-US"/>
              </w:rPr>
              <w:t>RUB 209,160</w:t>
            </w:r>
          </w:p>
        </w:tc>
      </w:tr>
      <w:tr w:rsidR="008A5057" w:rsidRPr="00BD295E" w14:paraId="51118390" w14:textId="77777777" w:rsidTr="0031297B">
        <w:tc>
          <w:tcPr>
            <w:tcW w:w="3369" w:type="dxa"/>
            <w:vAlign w:val="center"/>
          </w:tcPr>
          <w:p w14:paraId="668664F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Stake held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042C54" w:rsidRPr="00BD295E">
              <w:rPr>
                <w:rFonts w:ascii="Arial" w:hAnsi="Arial" w:cs="Arial"/>
                <w:sz w:val="18"/>
                <w:szCs w:val="18"/>
                <w:lang w:val="en-US"/>
              </w:rPr>
              <w:t>in</w:t>
            </w:r>
            <w:r w:rsidRPr="00BD295E">
              <w:rPr>
                <w:rFonts w:ascii="Arial" w:hAnsi="Arial" w:cs="Arial"/>
                <w:sz w:val="18"/>
                <w:szCs w:val="18"/>
                <w:lang w:val="en-US"/>
              </w:rPr>
              <w:t xml:space="preserve"> the company</w:t>
            </w:r>
          </w:p>
        </w:tc>
        <w:tc>
          <w:tcPr>
            <w:tcW w:w="6202" w:type="dxa"/>
            <w:vAlign w:val="center"/>
          </w:tcPr>
          <w:p w14:paraId="4CDCE387"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bCs/>
                <w:color w:val="auto"/>
                <w:sz w:val="18"/>
                <w:szCs w:val="18"/>
                <w:lang w:val="en-US"/>
              </w:rPr>
              <w:t>98.13 %</w:t>
            </w:r>
          </w:p>
        </w:tc>
      </w:tr>
      <w:tr w:rsidR="008A5057" w:rsidRPr="00BD295E" w14:paraId="15FCC083" w14:textId="77777777" w:rsidTr="0031297B">
        <w:tc>
          <w:tcPr>
            <w:tcW w:w="3369" w:type="dxa"/>
            <w:vAlign w:val="center"/>
          </w:tcPr>
          <w:p w14:paraId="27F11D21"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Coverage</w:t>
            </w:r>
          </w:p>
        </w:tc>
        <w:tc>
          <w:tcPr>
            <w:tcW w:w="6202" w:type="dxa"/>
            <w:vAlign w:val="center"/>
          </w:tcPr>
          <w:p w14:paraId="67F7517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Saint Petersburg</w:t>
            </w:r>
          </w:p>
        </w:tc>
      </w:tr>
      <w:tr w:rsidR="008A5057" w:rsidRPr="00BD295E" w14:paraId="2764CA00" w14:textId="77777777" w:rsidTr="0031297B">
        <w:tc>
          <w:tcPr>
            <w:tcW w:w="3369" w:type="dxa"/>
            <w:vAlign w:val="center"/>
          </w:tcPr>
          <w:p w14:paraId="1C720E4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Core operations</w:t>
            </w:r>
          </w:p>
        </w:tc>
        <w:tc>
          <w:tcPr>
            <w:tcW w:w="6202" w:type="dxa"/>
            <w:vAlign w:val="center"/>
          </w:tcPr>
          <w:p w14:paraId="5E996A9D" w14:textId="77777777" w:rsidR="00F3260C" w:rsidRPr="00BD295E" w:rsidRDefault="008A5057" w:rsidP="00CA2271">
            <w:pPr>
              <w:pStyle w:val="af3"/>
              <w:numPr>
                <w:ilvl w:val="0"/>
                <w:numId w:val="40"/>
              </w:numPr>
              <w:tabs>
                <w:tab w:val="left" w:pos="265"/>
              </w:tabs>
              <w:ind w:left="0" w:firstLine="0"/>
              <w:contextualSpacing w:val="0"/>
              <w:jc w:val="both"/>
              <w:rPr>
                <w:rFonts w:ascii="Arial" w:hAnsi="Arial" w:cs="Arial"/>
                <w:sz w:val="18"/>
                <w:szCs w:val="18"/>
                <w:lang w:val="en-US"/>
              </w:rPr>
            </w:pPr>
            <w:r w:rsidRPr="00BD295E">
              <w:rPr>
                <w:rFonts w:ascii="Arial" w:hAnsi="Arial" w:cs="Arial"/>
                <w:sz w:val="18"/>
                <w:szCs w:val="18"/>
                <w:lang w:val="en-US"/>
              </w:rPr>
              <w:t>Electricity distribution services via distribution grids;</w:t>
            </w:r>
          </w:p>
          <w:p w14:paraId="3E9C002C" w14:textId="77777777" w:rsidR="00F3260C" w:rsidRPr="00BD295E" w:rsidRDefault="008A5057" w:rsidP="00CA2271">
            <w:pPr>
              <w:pStyle w:val="af3"/>
              <w:numPr>
                <w:ilvl w:val="0"/>
                <w:numId w:val="40"/>
              </w:numPr>
              <w:tabs>
                <w:tab w:val="left" w:pos="265"/>
              </w:tabs>
              <w:ind w:left="0" w:firstLine="0"/>
              <w:contextualSpacing w:val="0"/>
              <w:jc w:val="both"/>
              <w:rPr>
                <w:rFonts w:ascii="Arial" w:hAnsi="Arial" w:cs="Arial"/>
                <w:sz w:val="18"/>
                <w:szCs w:val="18"/>
                <w:lang w:val="en-US"/>
              </w:rPr>
            </w:pPr>
            <w:r w:rsidRPr="00BD295E">
              <w:rPr>
                <w:rFonts w:ascii="Arial" w:hAnsi="Arial" w:cs="Arial"/>
                <w:sz w:val="18"/>
                <w:szCs w:val="18"/>
                <w:lang w:val="en-US"/>
              </w:rPr>
              <w:t>Grid connection services;</w:t>
            </w:r>
          </w:p>
          <w:p w14:paraId="01BF6A7C" w14:textId="77777777" w:rsidR="00F3260C" w:rsidRPr="00BD295E" w:rsidRDefault="008A5057" w:rsidP="00CA2271">
            <w:pPr>
              <w:pStyle w:val="af3"/>
              <w:numPr>
                <w:ilvl w:val="0"/>
                <w:numId w:val="40"/>
              </w:numPr>
              <w:tabs>
                <w:tab w:val="left" w:pos="-4800"/>
                <w:tab w:val="left" w:pos="265"/>
                <w:tab w:val="left" w:pos="835"/>
                <w:tab w:val="left" w:pos="960"/>
              </w:tabs>
              <w:ind w:left="0" w:firstLine="0"/>
              <w:contextualSpacing w:val="0"/>
              <w:jc w:val="both"/>
              <w:rPr>
                <w:rFonts w:ascii="Arial" w:hAnsi="Arial" w:cs="Arial"/>
                <w:sz w:val="18"/>
                <w:szCs w:val="18"/>
                <w:lang w:val="en-US"/>
              </w:rPr>
            </w:pPr>
            <w:r w:rsidRPr="00BD295E">
              <w:rPr>
                <w:rFonts w:ascii="Arial" w:hAnsi="Arial" w:cs="Arial"/>
                <w:sz w:val="18"/>
                <w:szCs w:val="18"/>
                <w:lang w:val="en-US"/>
              </w:rPr>
              <w:t>Maintenance of outdoor lighting networks</w:t>
            </w:r>
          </w:p>
        </w:tc>
      </w:tr>
      <w:tr w:rsidR="008A5057" w:rsidRPr="00BD295E" w14:paraId="7E299466" w14:textId="77777777" w:rsidTr="0031297B">
        <w:tc>
          <w:tcPr>
            <w:tcW w:w="3369" w:type="dxa"/>
            <w:tcBorders>
              <w:bottom w:val="single" w:sz="6" w:space="0" w:color="C0C0C0"/>
            </w:tcBorders>
            <w:vAlign w:val="center"/>
          </w:tcPr>
          <w:p w14:paraId="60A62942"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CEO</w:t>
            </w:r>
          </w:p>
        </w:tc>
        <w:tc>
          <w:tcPr>
            <w:tcW w:w="6202" w:type="dxa"/>
            <w:tcBorders>
              <w:bottom w:val="single" w:sz="6" w:space="0" w:color="C0C0C0"/>
            </w:tcBorders>
            <w:vAlign w:val="center"/>
          </w:tcPr>
          <w:p w14:paraId="6189AFDA"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CEO</w:t>
            </w:r>
          </w:p>
          <w:p w14:paraId="7A2C271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Vadim Peshkurov</w:t>
            </w:r>
          </w:p>
          <w:p w14:paraId="0AE4A8F3"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Born in 1964</w:t>
            </w:r>
          </w:p>
          <w:p w14:paraId="0132350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In office since April 1, 2016 </w:t>
            </w:r>
          </w:p>
        </w:tc>
      </w:tr>
    </w:tbl>
    <w:p w14:paraId="1C2F101C" w14:textId="77777777" w:rsidR="00F3260C" w:rsidRPr="00BD295E" w:rsidRDefault="00F3260C" w:rsidP="00F3260C">
      <w:pPr>
        <w:jc w:val="both"/>
        <w:rPr>
          <w:rFonts w:ascii="Arial" w:hAnsi="Arial" w:cs="Arial"/>
          <w:b/>
          <w:sz w:val="18"/>
          <w:szCs w:val="18"/>
          <w:lang w:val="en-US"/>
        </w:rPr>
      </w:pPr>
    </w:p>
    <w:p w14:paraId="5489B559" w14:textId="77777777" w:rsidR="00F3260C" w:rsidRPr="00BD295E" w:rsidRDefault="00F3260C" w:rsidP="00F3260C">
      <w:pPr>
        <w:jc w:val="both"/>
        <w:rPr>
          <w:rFonts w:ascii="Arial" w:hAnsi="Arial" w:cs="Arial"/>
          <w:b/>
          <w:sz w:val="18"/>
          <w:szCs w:val="18"/>
          <w:lang w:val="en-US"/>
        </w:rPr>
      </w:pPr>
    </w:p>
    <w:tbl>
      <w:tblPr>
        <w:tblW w:w="0" w:type="auto"/>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ook w:val="01E0" w:firstRow="1" w:lastRow="1" w:firstColumn="1" w:lastColumn="1" w:noHBand="0" w:noVBand="0"/>
      </w:tblPr>
      <w:tblGrid>
        <w:gridCol w:w="3297"/>
        <w:gridCol w:w="6042"/>
      </w:tblGrid>
      <w:tr w:rsidR="008A5057" w:rsidRPr="00BD295E" w14:paraId="05683709" w14:textId="77777777" w:rsidTr="00E3510B">
        <w:tc>
          <w:tcPr>
            <w:tcW w:w="3369" w:type="dxa"/>
            <w:shd w:val="clear" w:color="auto" w:fill="DEEAF6"/>
            <w:vAlign w:val="center"/>
          </w:tcPr>
          <w:p w14:paraId="41FEF37E"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Name</w:t>
            </w:r>
          </w:p>
        </w:tc>
        <w:tc>
          <w:tcPr>
            <w:tcW w:w="6201" w:type="dxa"/>
            <w:shd w:val="clear" w:color="auto" w:fill="DEEAF6"/>
            <w:vAlign w:val="center"/>
          </w:tcPr>
          <w:p w14:paraId="6CD012A5" w14:textId="77777777" w:rsidR="00F3260C" w:rsidRPr="00BD295E" w:rsidRDefault="006515AB" w:rsidP="0031297B">
            <w:pPr>
              <w:jc w:val="both"/>
              <w:rPr>
                <w:rFonts w:ascii="Arial" w:hAnsi="Arial" w:cs="Arial"/>
                <w:i/>
                <w:sz w:val="18"/>
                <w:szCs w:val="18"/>
                <w:lang w:val="en-US"/>
              </w:rPr>
            </w:pPr>
            <w:r w:rsidRPr="00BD295E">
              <w:rPr>
                <w:rStyle w:val="Subst0"/>
                <w:rFonts w:ascii="Arial" w:hAnsi="Arial" w:cs="Arial"/>
                <w:bCs/>
                <w:i w:val="0"/>
                <w:iCs/>
                <w:sz w:val="18"/>
                <w:szCs w:val="18"/>
                <w:lang w:val="en-US"/>
              </w:rPr>
              <w:t>JSC “Petrodvorets Power Grid”</w:t>
            </w:r>
          </w:p>
        </w:tc>
      </w:tr>
      <w:tr w:rsidR="008A5057" w:rsidRPr="00BD295E" w14:paraId="0BC7A4D8" w14:textId="77777777" w:rsidTr="0031297B">
        <w:tc>
          <w:tcPr>
            <w:tcW w:w="3369" w:type="dxa"/>
            <w:vAlign w:val="center"/>
          </w:tcPr>
          <w:p w14:paraId="0A1407C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Legal and physical address</w:t>
            </w:r>
          </w:p>
        </w:tc>
        <w:tc>
          <w:tcPr>
            <w:tcW w:w="6201" w:type="dxa"/>
          </w:tcPr>
          <w:p w14:paraId="3D79FC0F" w14:textId="77777777" w:rsidR="00F3260C" w:rsidRPr="00BD295E" w:rsidRDefault="008A5057" w:rsidP="0031297B">
            <w:pPr>
              <w:pStyle w:val="Default"/>
              <w:jc w:val="both"/>
              <w:rPr>
                <w:rFonts w:ascii="Arial" w:hAnsi="Arial" w:cs="Arial"/>
                <w:b/>
                <w:i/>
                <w:color w:val="auto"/>
                <w:sz w:val="18"/>
                <w:szCs w:val="18"/>
                <w:lang w:val="en-US"/>
              </w:rPr>
            </w:pPr>
            <w:r w:rsidRPr="00BD295E">
              <w:rPr>
                <w:rStyle w:val="Subst0"/>
                <w:rFonts w:ascii="Arial" w:hAnsi="Arial" w:cs="Arial"/>
                <w:b w:val="0"/>
                <w:bCs/>
                <w:i w:val="0"/>
                <w:iCs/>
                <w:color w:val="auto"/>
                <w:sz w:val="18"/>
                <w:szCs w:val="18"/>
                <w:lang w:val="en-US"/>
              </w:rPr>
              <w:t>198510, Russian Federation, Saint Petersburg, Petergof, Volodi Dubinina 9</w:t>
            </w:r>
          </w:p>
        </w:tc>
      </w:tr>
      <w:tr w:rsidR="008A5057" w:rsidRPr="00BD295E" w14:paraId="2A6964D5" w14:textId="77777777" w:rsidTr="0031297B">
        <w:tc>
          <w:tcPr>
            <w:tcW w:w="3369" w:type="dxa"/>
            <w:vAlign w:val="center"/>
          </w:tcPr>
          <w:p w14:paraId="050B9A5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Authorized capital</w:t>
            </w:r>
          </w:p>
        </w:tc>
        <w:tc>
          <w:tcPr>
            <w:tcW w:w="6201" w:type="dxa"/>
            <w:vAlign w:val="center"/>
          </w:tcPr>
          <w:p w14:paraId="292C7AA2"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color w:val="auto"/>
                <w:sz w:val="18"/>
                <w:szCs w:val="18"/>
                <w:lang w:val="en-US"/>
              </w:rPr>
              <w:t>RUB 10,370</w:t>
            </w:r>
          </w:p>
        </w:tc>
      </w:tr>
      <w:tr w:rsidR="008A5057" w:rsidRPr="00BD295E" w14:paraId="7D93CB8B" w14:textId="77777777" w:rsidTr="0031297B">
        <w:tc>
          <w:tcPr>
            <w:tcW w:w="3369" w:type="dxa"/>
            <w:vAlign w:val="center"/>
          </w:tcPr>
          <w:p w14:paraId="284DF9E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Stake held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042C54" w:rsidRPr="00BD295E">
              <w:rPr>
                <w:rFonts w:ascii="Arial" w:hAnsi="Arial" w:cs="Arial"/>
                <w:sz w:val="18"/>
                <w:szCs w:val="18"/>
                <w:lang w:val="en-US"/>
              </w:rPr>
              <w:t>in</w:t>
            </w:r>
            <w:r w:rsidRPr="00BD295E">
              <w:rPr>
                <w:rFonts w:ascii="Arial" w:hAnsi="Arial" w:cs="Arial"/>
                <w:sz w:val="18"/>
                <w:szCs w:val="18"/>
                <w:lang w:val="en-US"/>
              </w:rPr>
              <w:t xml:space="preserve"> the company</w:t>
            </w:r>
          </w:p>
        </w:tc>
        <w:tc>
          <w:tcPr>
            <w:tcW w:w="6201" w:type="dxa"/>
            <w:vAlign w:val="center"/>
          </w:tcPr>
          <w:p w14:paraId="5278C113" w14:textId="77777777" w:rsidR="00F3260C" w:rsidRPr="00BD295E" w:rsidRDefault="008A5057" w:rsidP="0031297B">
            <w:pPr>
              <w:pStyle w:val="Default"/>
              <w:jc w:val="both"/>
              <w:rPr>
                <w:rFonts w:ascii="Arial" w:hAnsi="Arial" w:cs="Arial"/>
                <w:b/>
                <w:i/>
                <w:color w:val="auto"/>
                <w:sz w:val="18"/>
                <w:szCs w:val="18"/>
                <w:lang w:val="en-US"/>
              </w:rPr>
            </w:pPr>
            <w:r w:rsidRPr="00BD295E">
              <w:rPr>
                <w:rStyle w:val="Subst0"/>
                <w:rFonts w:ascii="Arial" w:hAnsi="Arial" w:cs="Arial"/>
                <w:b w:val="0"/>
                <w:bCs/>
                <w:i w:val="0"/>
                <w:iCs/>
                <w:color w:val="auto"/>
                <w:sz w:val="18"/>
                <w:szCs w:val="18"/>
                <w:lang w:val="en-US"/>
              </w:rPr>
              <w:t>60.09%</w:t>
            </w:r>
          </w:p>
        </w:tc>
      </w:tr>
      <w:tr w:rsidR="008A5057" w:rsidRPr="00BD295E" w14:paraId="2D4AEEB3" w14:textId="77777777" w:rsidTr="0031297B">
        <w:tc>
          <w:tcPr>
            <w:tcW w:w="3369" w:type="dxa"/>
            <w:vAlign w:val="center"/>
          </w:tcPr>
          <w:p w14:paraId="29F484F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Stake held by </w:t>
            </w:r>
            <w:r w:rsidR="006515AB" w:rsidRPr="00BD295E">
              <w:rPr>
                <w:rFonts w:ascii="Arial" w:hAnsi="Arial" w:cs="Arial"/>
                <w:sz w:val="18"/>
                <w:szCs w:val="18"/>
                <w:lang w:val="en-US"/>
              </w:rPr>
              <w:t>JSC “Saint Petersburg Power Grid”</w:t>
            </w:r>
            <w:r w:rsidRPr="00BD295E">
              <w:rPr>
                <w:rFonts w:ascii="Arial" w:hAnsi="Arial" w:cs="Arial"/>
                <w:sz w:val="18"/>
                <w:szCs w:val="18"/>
                <w:lang w:val="en-US"/>
              </w:rPr>
              <w:t xml:space="preserve"> </w:t>
            </w:r>
            <w:r w:rsidR="00042C54" w:rsidRPr="00BD295E">
              <w:rPr>
                <w:rFonts w:ascii="Arial" w:hAnsi="Arial" w:cs="Arial"/>
                <w:sz w:val="18"/>
                <w:szCs w:val="18"/>
                <w:lang w:val="en-US"/>
              </w:rPr>
              <w:t>in</w:t>
            </w:r>
            <w:r w:rsidRPr="00BD295E">
              <w:rPr>
                <w:rFonts w:ascii="Arial" w:hAnsi="Arial" w:cs="Arial"/>
                <w:sz w:val="18"/>
                <w:szCs w:val="18"/>
                <w:lang w:val="en-US"/>
              </w:rPr>
              <w:t xml:space="preserve"> the company</w:t>
            </w:r>
          </w:p>
        </w:tc>
        <w:tc>
          <w:tcPr>
            <w:tcW w:w="6201" w:type="dxa"/>
            <w:vAlign w:val="center"/>
          </w:tcPr>
          <w:p w14:paraId="249CC554" w14:textId="77777777" w:rsidR="00F3260C" w:rsidRPr="00BD295E" w:rsidRDefault="008A5057" w:rsidP="0031297B">
            <w:pPr>
              <w:pStyle w:val="Default"/>
              <w:jc w:val="both"/>
              <w:rPr>
                <w:rStyle w:val="Subst0"/>
                <w:rFonts w:ascii="Arial" w:hAnsi="Arial" w:cs="Arial"/>
                <w:b w:val="0"/>
                <w:bCs/>
                <w:i w:val="0"/>
                <w:iCs/>
                <w:color w:val="auto"/>
                <w:sz w:val="18"/>
                <w:szCs w:val="18"/>
                <w:lang w:val="en-US"/>
              </w:rPr>
            </w:pPr>
            <w:r w:rsidRPr="00BD295E">
              <w:rPr>
                <w:rFonts w:ascii="Arial" w:hAnsi="Arial" w:cs="Arial"/>
                <w:color w:val="auto"/>
                <w:sz w:val="18"/>
                <w:szCs w:val="18"/>
                <w:lang w:val="en-US"/>
              </w:rPr>
              <w:t>28.6%</w:t>
            </w:r>
          </w:p>
        </w:tc>
      </w:tr>
      <w:tr w:rsidR="008A5057" w:rsidRPr="00BD295E" w14:paraId="7E7A57E3" w14:textId="77777777" w:rsidTr="0031297B">
        <w:tc>
          <w:tcPr>
            <w:tcW w:w="3369" w:type="dxa"/>
            <w:vAlign w:val="center"/>
          </w:tcPr>
          <w:p w14:paraId="2EB411EF"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Coverage</w:t>
            </w:r>
          </w:p>
        </w:tc>
        <w:tc>
          <w:tcPr>
            <w:tcW w:w="6201" w:type="dxa"/>
            <w:vAlign w:val="center"/>
          </w:tcPr>
          <w:p w14:paraId="4D20CD8C"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Saint Petersburg and the Leningrad Region</w:t>
            </w:r>
          </w:p>
        </w:tc>
      </w:tr>
      <w:tr w:rsidR="008A5057" w:rsidRPr="00BD295E" w14:paraId="0A5DF36B" w14:textId="77777777" w:rsidTr="0031297B">
        <w:tc>
          <w:tcPr>
            <w:tcW w:w="3369" w:type="dxa"/>
            <w:vAlign w:val="center"/>
          </w:tcPr>
          <w:p w14:paraId="368A8C1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Core operations</w:t>
            </w:r>
          </w:p>
        </w:tc>
        <w:tc>
          <w:tcPr>
            <w:tcW w:w="6201" w:type="dxa"/>
            <w:vAlign w:val="center"/>
          </w:tcPr>
          <w:p w14:paraId="7C2DF6B2" w14:textId="77777777" w:rsidR="00F3260C" w:rsidRPr="00BD295E" w:rsidRDefault="008A5057" w:rsidP="0031297B">
            <w:pPr>
              <w:pStyle w:val="af3"/>
              <w:tabs>
                <w:tab w:val="left" w:pos="-4800"/>
                <w:tab w:val="left" w:pos="265"/>
                <w:tab w:val="left" w:pos="835"/>
                <w:tab w:val="left" w:pos="960"/>
              </w:tabs>
              <w:ind w:left="0"/>
              <w:contextualSpacing w:val="0"/>
              <w:jc w:val="both"/>
              <w:rPr>
                <w:rFonts w:ascii="Arial" w:hAnsi="Arial" w:cs="Arial"/>
                <w:sz w:val="18"/>
                <w:szCs w:val="18"/>
                <w:lang w:val="en-US"/>
              </w:rPr>
            </w:pPr>
            <w:r w:rsidRPr="00BD295E">
              <w:rPr>
                <w:rFonts w:ascii="Arial" w:hAnsi="Arial" w:cs="Arial"/>
                <w:sz w:val="18"/>
                <w:szCs w:val="18"/>
                <w:lang w:val="en-US"/>
              </w:rPr>
              <w:t>Lease of electric grid assets</w:t>
            </w:r>
          </w:p>
        </w:tc>
      </w:tr>
      <w:tr w:rsidR="008A5057" w:rsidRPr="00BD295E" w14:paraId="4F84ED8D" w14:textId="77777777" w:rsidTr="0031297B">
        <w:tc>
          <w:tcPr>
            <w:tcW w:w="3369" w:type="dxa"/>
            <w:tcBorders>
              <w:bottom w:val="single" w:sz="6" w:space="0" w:color="C0C0C0"/>
            </w:tcBorders>
            <w:vAlign w:val="center"/>
          </w:tcPr>
          <w:p w14:paraId="515000F3"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CEO</w:t>
            </w:r>
          </w:p>
        </w:tc>
        <w:tc>
          <w:tcPr>
            <w:tcW w:w="6201" w:type="dxa"/>
            <w:tcBorders>
              <w:bottom w:val="single" w:sz="6" w:space="0" w:color="C0C0C0"/>
            </w:tcBorders>
            <w:vAlign w:val="center"/>
          </w:tcPr>
          <w:p w14:paraId="05414325" w14:textId="77777777" w:rsidR="00F3260C" w:rsidRPr="00BD295E" w:rsidRDefault="008A5057" w:rsidP="0031297B">
            <w:pPr>
              <w:jc w:val="both"/>
              <w:rPr>
                <w:rFonts w:ascii="Arial" w:hAnsi="Arial" w:cs="Arial"/>
                <w:b/>
                <w:sz w:val="18"/>
                <w:szCs w:val="18"/>
                <w:lang w:val="en-US"/>
              </w:rPr>
            </w:pPr>
            <w:r w:rsidRPr="00BD295E">
              <w:rPr>
                <w:rFonts w:ascii="Arial" w:hAnsi="Arial" w:cs="Arial"/>
                <w:b/>
                <w:sz w:val="18"/>
                <w:szCs w:val="18"/>
                <w:lang w:val="en-US"/>
              </w:rPr>
              <w:t>Managing organization</w:t>
            </w:r>
          </w:p>
          <w:p w14:paraId="33B9A641"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Lenenergo, JSC</w:t>
            </w:r>
          </w:p>
          <w:p w14:paraId="742BCDD9"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In office since April 01, 2017</w:t>
            </w:r>
          </w:p>
        </w:tc>
      </w:tr>
    </w:tbl>
    <w:p w14:paraId="399A0D78" w14:textId="73A8E4E4" w:rsidR="008A71CC" w:rsidRPr="00BD295E" w:rsidRDefault="008A71CC" w:rsidP="00F3260C">
      <w:pPr>
        <w:jc w:val="both"/>
        <w:rPr>
          <w:rFonts w:ascii="Arial" w:hAnsi="Arial" w:cs="Arial"/>
          <w:b/>
          <w:sz w:val="18"/>
          <w:szCs w:val="18"/>
          <w:lang w:val="en-US"/>
        </w:rPr>
      </w:pPr>
    </w:p>
    <w:p w14:paraId="3161E3FC" w14:textId="77777777" w:rsidR="008A71CC" w:rsidRPr="00BD295E" w:rsidRDefault="008A71CC">
      <w:pPr>
        <w:rPr>
          <w:rFonts w:ascii="Arial" w:hAnsi="Arial" w:cs="Arial"/>
          <w:b/>
          <w:sz w:val="18"/>
          <w:szCs w:val="18"/>
          <w:lang w:val="en-US"/>
        </w:rPr>
      </w:pPr>
      <w:r w:rsidRPr="00BD295E">
        <w:rPr>
          <w:rFonts w:ascii="Arial" w:hAnsi="Arial" w:cs="Arial"/>
          <w:b/>
          <w:sz w:val="18"/>
          <w:szCs w:val="18"/>
          <w:lang w:val="en-US"/>
        </w:rPr>
        <w:br w:type="page"/>
      </w:r>
    </w:p>
    <w:p w14:paraId="26E67F28" w14:textId="77777777" w:rsidR="00F3260C" w:rsidRPr="00BD295E" w:rsidRDefault="00F3260C" w:rsidP="00F3260C">
      <w:pPr>
        <w:jc w:val="both"/>
        <w:rPr>
          <w:rFonts w:ascii="Arial" w:hAnsi="Arial" w:cs="Arial"/>
          <w:b/>
          <w:sz w:val="18"/>
          <w:szCs w:val="18"/>
          <w:lang w:val="en-US"/>
        </w:rPr>
      </w:pPr>
    </w:p>
    <w:p w14:paraId="660386DD"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 xml:space="preserve">Company's contributions to other </w:t>
      </w:r>
      <w:r w:rsidR="00AB4381" w:rsidRPr="00BD295E">
        <w:rPr>
          <w:rFonts w:ascii="Arial" w:hAnsi="Arial" w:cs="Arial"/>
          <w:b/>
          <w:sz w:val="18"/>
          <w:szCs w:val="18"/>
          <w:lang w:val="en-US"/>
        </w:rPr>
        <w:t>entities</w:t>
      </w:r>
    </w:p>
    <w:p w14:paraId="3059B70F" w14:textId="77777777" w:rsidR="00F3260C" w:rsidRPr="00BD295E" w:rsidRDefault="00F3260C" w:rsidP="00F3260C">
      <w:pPr>
        <w:jc w:val="both"/>
        <w:rPr>
          <w:rFonts w:ascii="Arial" w:hAnsi="Arial" w:cs="Arial"/>
          <w:b/>
          <w:sz w:val="18"/>
          <w:szCs w:val="18"/>
          <w:lang w:val="en-US"/>
        </w:rPr>
      </w:pPr>
    </w:p>
    <w:p w14:paraId="7CD08E11" w14:textId="77777777" w:rsidR="00F3260C" w:rsidRPr="00BD295E" w:rsidRDefault="00F3260C" w:rsidP="00F3260C">
      <w:pPr>
        <w:jc w:val="both"/>
        <w:rPr>
          <w:rFonts w:ascii="Arial" w:hAnsi="Arial" w:cs="Arial"/>
          <w:b/>
          <w:sz w:val="18"/>
          <w:szCs w:val="18"/>
          <w:lang w:val="en-US"/>
        </w:rPr>
      </w:pPr>
    </w:p>
    <w:tbl>
      <w:tblPr>
        <w:tblpPr w:leftFromText="180" w:rightFromText="180" w:vertAnchor="text" w:horzAnchor="page" w:tblpX="1675" w:tblpY="-57"/>
        <w:tblW w:w="9348" w:type="dxa"/>
        <w:tblBorders>
          <w:top w:val="single" w:sz="6" w:space="0" w:color="C0C0C0"/>
          <w:left w:val="single" w:sz="6" w:space="0" w:color="C0C0C0"/>
          <w:bottom w:val="single" w:sz="6" w:space="0" w:color="C0C0C0"/>
          <w:right w:val="single" w:sz="6" w:space="0" w:color="C0C0C0"/>
          <w:insideH w:val="single" w:sz="6" w:space="0" w:color="C0C0C0"/>
          <w:insideV w:val="single" w:sz="6" w:space="0" w:color="C0C0C0"/>
        </w:tblBorders>
        <w:tblLook w:val="01E0" w:firstRow="1" w:lastRow="1" w:firstColumn="1" w:lastColumn="1" w:noHBand="0" w:noVBand="0"/>
      </w:tblPr>
      <w:tblGrid>
        <w:gridCol w:w="2811"/>
        <w:gridCol w:w="2478"/>
        <w:gridCol w:w="1664"/>
        <w:gridCol w:w="1127"/>
        <w:gridCol w:w="1268"/>
      </w:tblGrid>
      <w:tr w:rsidR="008A5057" w:rsidRPr="00BD295E" w14:paraId="76062E05" w14:textId="77777777" w:rsidTr="00E3510B">
        <w:tc>
          <w:tcPr>
            <w:tcW w:w="2941" w:type="dxa"/>
            <w:shd w:val="clear" w:color="auto" w:fill="BDD6EE"/>
            <w:vAlign w:val="center"/>
          </w:tcPr>
          <w:p w14:paraId="67E71749" w14:textId="77777777" w:rsidR="00F3260C" w:rsidRPr="00BD295E" w:rsidRDefault="00AB4381" w:rsidP="00AB4381">
            <w:pPr>
              <w:jc w:val="center"/>
              <w:rPr>
                <w:rFonts w:ascii="Arial" w:hAnsi="Arial" w:cs="Arial"/>
                <w:b/>
                <w:sz w:val="18"/>
                <w:szCs w:val="18"/>
                <w:lang w:val="en-US"/>
              </w:rPr>
            </w:pPr>
            <w:r w:rsidRPr="00BD295E">
              <w:rPr>
                <w:rFonts w:ascii="Arial" w:hAnsi="Arial" w:cs="Arial"/>
                <w:b/>
                <w:sz w:val="18"/>
                <w:szCs w:val="18"/>
                <w:lang w:val="en-US"/>
              </w:rPr>
              <w:t>Entity n</w:t>
            </w:r>
            <w:r w:rsidR="008A5057" w:rsidRPr="00BD295E">
              <w:rPr>
                <w:rFonts w:ascii="Arial" w:hAnsi="Arial" w:cs="Arial"/>
                <w:b/>
                <w:sz w:val="18"/>
                <w:szCs w:val="18"/>
                <w:lang w:val="en-US"/>
              </w:rPr>
              <w:t>ame</w:t>
            </w:r>
          </w:p>
        </w:tc>
        <w:tc>
          <w:tcPr>
            <w:tcW w:w="2580" w:type="dxa"/>
            <w:shd w:val="clear" w:color="auto" w:fill="BDD6EE"/>
            <w:vAlign w:val="center"/>
          </w:tcPr>
          <w:p w14:paraId="27754821" w14:textId="77777777" w:rsidR="00F3260C" w:rsidRPr="00BD295E" w:rsidRDefault="008A5057" w:rsidP="0031297B">
            <w:pPr>
              <w:jc w:val="center"/>
              <w:rPr>
                <w:rFonts w:ascii="Arial" w:hAnsi="Arial" w:cs="Arial"/>
                <w:b/>
                <w:sz w:val="18"/>
                <w:szCs w:val="18"/>
                <w:lang w:val="en-US"/>
              </w:rPr>
            </w:pPr>
            <w:r w:rsidRPr="00BD295E">
              <w:rPr>
                <w:rFonts w:ascii="Arial" w:hAnsi="Arial" w:cs="Arial"/>
                <w:b/>
                <w:sz w:val="18"/>
                <w:szCs w:val="18"/>
                <w:lang w:val="en-US"/>
              </w:rPr>
              <w:t>Type of operations</w:t>
            </w:r>
          </w:p>
        </w:tc>
        <w:tc>
          <w:tcPr>
            <w:tcW w:w="1701" w:type="dxa"/>
            <w:shd w:val="clear" w:color="auto" w:fill="BDD6EE"/>
            <w:vAlign w:val="center"/>
          </w:tcPr>
          <w:p w14:paraId="595CD016" w14:textId="77777777" w:rsidR="00F3260C" w:rsidRPr="00BD295E" w:rsidRDefault="008A5057" w:rsidP="0031297B">
            <w:pPr>
              <w:jc w:val="center"/>
              <w:rPr>
                <w:rFonts w:ascii="Arial" w:hAnsi="Arial" w:cs="Arial"/>
                <w:b/>
                <w:sz w:val="18"/>
                <w:szCs w:val="18"/>
                <w:lang w:val="en-US"/>
              </w:rPr>
            </w:pPr>
            <w:r w:rsidRPr="00BD295E">
              <w:rPr>
                <w:rFonts w:ascii="Arial" w:hAnsi="Arial" w:cs="Arial"/>
                <w:b/>
                <w:sz w:val="18"/>
                <w:szCs w:val="18"/>
                <w:lang w:val="en-US"/>
              </w:rPr>
              <w:t>Authorized capital (RUB)</w:t>
            </w:r>
          </w:p>
        </w:tc>
        <w:tc>
          <w:tcPr>
            <w:tcW w:w="850" w:type="dxa"/>
            <w:shd w:val="clear" w:color="auto" w:fill="BDD6EE"/>
            <w:vAlign w:val="center"/>
          </w:tcPr>
          <w:p w14:paraId="58A7BB60" w14:textId="77777777" w:rsidR="00F3260C" w:rsidRPr="00BD295E" w:rsidRDefault="008A5057" w:rsidP="0031297B">
            <w:pPr>
              <w:jc w:val="center"/>
              <w:rPr>
                <w:rFonts w:ascii="Arial" w:hAnsi="Arial" w:cs="Arial"/>
                <w:b/>
                <w:sz w:val="18"/>
                <w:szCs w:val="18"/>
                <w:lang w:val="en-US"/>
              </w:rPr>
            </w:pPr>
            <w:r w:rsidRPr="00BD295E">
              <w:rPr>
                <w:rFonts w:ascii="Arial" w:hAnsi="Arial" w:cs="Arial"/>
                <w:b/>
                <w:sz w:val="18"/>
                <w:szCs w:val="18"/>
                <w:lang w:val="en-US"/>
              </w:rPr>
              <w:t>Share in the authorized capital (%)</w:t>
            </w:r>
          </w:p>
        </w:tc>
        <w:tc>
          <w:tcPr>
            <w:tcW w:w="1276" w:type="dxa"/>
            <w:shd w:val="clear" w:color="auto" w:fill="BDD6EE"/>
            <w:vAlign w:val="center"/>
          </w:tcPr>
          <w:p w14:paraId="35CC347B" w14:textId="77777777" w:rsidR="00F3260C" w:rsidRPr="00BD295E" w:rsidRDefault="008A5057" w:rsidP="0031297B">
            <w:pPr>
              <w:jc w:val="center"/>
              <w:rPr>
                <w:rFonts w:ascii="Arial" w:hAnsi="Arial" w:cs="Arial"/>
                <w:b/>
                <w:sz w:val="18"/>
                <w:szCs w:val="18"/>
                <w:lang w:val="en-US"/>
              </w:rPr>
            </w:pPr>
            <w:r w:rsidRPr="00BD295E">
              <w:rPr>
                <w:rFonts w:ascii="Arial" w:hAnsi="Arial" w:cs="Arial"/>
                <w:b/>
                <w:sz w:val="18"/>
                <w:szCs w:val="18"/>
                <w:lang w:val="en-US"/>
              </w:rPr>
              <w:t>Investment year</w:t>
            </w:r>
          </w:p>
        </w:tc>
      </w:tr>
      <w:tr w:rsidR="008A5057" w:rsidRPr="00BD295E" w14:paraId="4E8B6B74" w14:textId="77777777" w:rsidTr="0031297B">
        <w:tc>
          <w:tcPr>
            <w:tcW w:w="2941" w:type="dxa"/>
            <w:vAlign w:val="center"/>
          </w:tcPr>
          <w:p w14:paraId="66205FC3" w14:textId="77777777" w:rsidR="00F3260C" w:rsidRPr="00BD295E" w:rsidRDefault="00AB4381" w:rsidP="00AB4381">
            <w:pPr>
              <w:jc w:val="both"/>
              <w:rPr>
                <w:rFonts w:ascii="Arial" w:hAnsi="Arial" w:cs="Arial"/>
                <w:sz w:val="18"/>
                <w:szCs w:val="18"/>
                <w:lang w:val="en-US"/>
              </w:rPr>
            </w:pPr>
            <w:r w:rsidRPr="00BD295E">
              <w:rPr>
                <w:rFonts w:ascii="Arial" w:hAnsi="Arial" w:cs="Arial"/>
                <w:sz w:val="18"/>
                <w:szCs w:val="18"/>
                <w:lang w:val="en-US"/>
              </w:rPr>
              <w:t>PJSC “</w:t>
            </w:r>
            <w:r w:rsidR="008A5057" w:rsidRPr="00BD295E">
              <w:rPr>
                <w:rFonts w:ascii="Arial" w:hAnsi="Arial" w:cs="Arial"/>
                <w:sz w:val="18"/>
                <w:szCs w:val="18"/>
                <w:lang w:val="en-US"/>
              </w:rPr>
              <w:t>North-West Energy Management Company</w:t>
            </w:r>
            <w:r w:rsidRPr="00BD295E">
              <w:rPr>
                <w:rFonts w:ascii="Arial" w:hAnsi="Arial" w:cs="Arial"/>
                <w:sz w:val="18"/>
                <w:szCs w:val="18"/>
                <w:lang w:val="en-US"/>
              </w:rPr>
              <w:t>”</w:t>
            </w:r>
          </w:p>
        </w:tc>
        <w:tc>
          <w:tcPr>
            <w:tcW w:w="2580" w:type="dxa"/>
            <w:vAlign w:val="center"/>
          </w:tcPr>
          <w:p w14:paraId="0306B60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Trust management of property; consulting services</w:t>
            </w:r>
          </w:p>
        </w:tc>
        <w:tc>
          <w:tcPr>
            <w:tcW w:w="1701" w:type="dxa"/>
            <w:vAlign w:val="center"/>
          </w:tcPr>
          <w:p w14:paraId="3382CE0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897,363,008</w:t>
            </w:r>
          </w:p>
        </w:tc>
        <w:tc>
          <w:tcPr>
            <w:tcW w:w="850" w:type="dxa"/>
            <w:vAlign w:val="center"/>
          </w:tcPr>
          <w:p w14:paraId="3C263943"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12.51</w:t>
            </w:r>
          </w:p>
        </w:tc>
        <w:tc>
          <w:tcPr>
            <w:tcW w:w="1276" w:type="dxa"/>
            <w:vAlign w:val="center"/>
          </w:tcPr>
          <w:p w14:paraId="216F8699"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2005</w:t>
            </w:r>
          </w:p>
        </w:tc>
      </w:tr>
      <w:tr w:rsidR="008A5057" w:rsidRPr="00BD295E" w14:paraId="46332B11" w14:textId="77777777" w:rsidTr="0031297B">
        <w:trPr>
          <w:trHeight w:val="854"/>
        </w:trPr>
        <w:tc>
          <w:tcPr>
            <w:tcW w:w="2941" w:type="dxa"/>
            <w:tcBorders>
              <w:bottom w:val="single" w:sz="6" w:space="0" w:color="000080"/>
            </w:tcBorders>
            <w:vAlign w:val="center"/>
          </w:tcPr>
          <w:p w14:paraId="55A6331B" w14:textId="77777777" w:rsidR="00F3260C" w:rsidRPr="00BD295E" w:rsidRDefault="00AB4381" w:rsidP="00AB4381">
            <w:pPr>
              <w:jc w:val="both"/>
              <w:rPr>
                <w:rFonts w:ascii="Arial" w:hAnsi="Arial" w:cs="Arial"/>
                <w:sz w:val="18"/>
                <w:szCs w:val="18"/>
                <w:lang w:val="en-US"/>
              </w:rPr>
            </w:pPr>
            <w:r w:rsidRPr="00BD295E">
              <w:rPr>
                <w:rFonts w:ascii="Arial" w:hAnsi="Arial" w:cs="Arial"/>
                <w:sz w:val="18"/>
                <w:szCs w:val="18"/>
                <w:lang w:val="en-US"/>
              </w:rPr>
              <w:t>PJSC “</w:t>
            </w:r>
            <w:r w:rsidR="008A5057" w:rsidRPr="00BD295E">
              <w:rPr>
                <w:rFonts w:ascii="Arial" w:hAnsi="Arial" w:cs="Arial"/>
                <w:sz w:val="18"/>
                <w:szCs w:val="18"/>
                <w:lang w:val="en-US"/>
              </w:rPr>
              <w:t>Federal Test Center</w:t>
            </w:r>
            <w:r w:rsidRPr="00BD295E">
              <w:rPr>
                <w:rFonts w:ascii="Arial" w:hAnsi="Arial" w:cs="Arial"/>
                <w:sz w:val="18"/>
                <w:szCs w:val="18"/>
                <w:lang w:val="en-US"/>
              </w:rPr>
              <w:t>”</w:t>
            </w:r>
          </w:p>
        </w:tc>
        <w:tc>
          <w:tcPr>
            <w:tcW w:w="2580" w:type="dxa"/>
            <w:tcBorders>
              <w:bottom w:val="single" w:sz="6" w:space="0" w:color="000080"/>
            </w:tcBorders>
            <w:vAlign w:val="center"/>
          </w:tcPr>
          <w:p w14:paraId="6403773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Research and development</w:t>
            </w:r>
          </w:p>
        </w:tc>
        <w:tc>
          <w:tcPr>
            <w:tcW w:w="1701" w:type="dxa"/>
            <w:tcBorders>
              <w:bottom w:val="single" w:sz="6" w:space="0" w:color="000080"/>
            </w:tcBorders>
            <w:vAlign w:val="center"/>
          </w:tcPr>
          <w:p w14:paraId="74013BB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350,000,000</w:t>
            </w:r>
          </w:p>
        </w:tc>
        <w:tc>
          <w:tcPr>
            <w:tcW w:w="850" w:type="dxa"/>
            <w:tcBorders>
              <w:bottom w:val="single" w:sz="6" w:space="0" w:color="000080"/>
            </w:tcBorders>
            <w:vAlign w:val="center"/>
          </w:tcPr>
          <w:p w14:paraId="6E5DBBCA"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w:t>
            </w:r>
          </w:p>
        </w:tc>
        <w:tc>
          <w:tcPr>
            <w:tcW w:w="1276" w:type="dxa"/>
            <w:tcBorders>
              <w:bottom w:val="single" w:sz="6" w:space="0" w:color="000080"/>
            </w:tcBorders>
            <w:vAlign w:val="center"/>
          </w:tcPr>
          <w:p w14:paraId="1CFA379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2014</w:t>
            </w:r>
          </w:p>
        </w:tc>
      </w:tr>
    </w:tbl>
    <w:p w14:paraId="34080025"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Company</w:t>
      </w:r>
      <w:r w:rsidR="00AB4381" w:rsidRPr="00BD295E">
        <w:rPr>
          <w:rFonts w:ascii="Arial" w:hAnsi="Arial" w:cs="Arial"/>
          <w:b/>
          <w:sz w:val="18"/>
          <w:szCs w:val="18"/>
          <w:lang w:val="en-US"/>
        </w:rPr>
        <w:t xml:space="preserve">’s participation </w:t>
      </w:r>
      <w:r w:rsidRPr="00BD295E">
        <w:rPr>
          <w:rFonts w:ascii="Arial" w:hAnsi="Arial" w:cs="Arial"/>
          <w:b/>
          <w:sz w:val="18"/>
          <w:szCs w:val="18"/>
          <w:lang w:val="en-US"/>
        </w:rPr>
        <w:t>in non-profit organizations</w:t>
      </w:r>
    </w:p>
    <w:p w14:paraId="31FA6488" w14:textId="77777777" w:rsidR="00F3260C" w:rsidRPr="00BD295E" w:rsidRDefault="00F3260C" w:rsidP="00F3260C">
      <w:pPr>
        <w:rPr>
          <w:rFonts w:ascii="Arial" w:hAnsi="Arial" w:cs="Arial"/>
          <w:b/>
          <w:sz w:val="18"/>
          <w:szCs w:val="18"/>
          <w:lang w:val="en-US"/>
        </w:rPr>
      </w:pPr>
    </w:p>
    <w:p w14:paraId="6DEF8E1E" w14:textId="77777777" w:rsidR="00F3260C" w:rsidRPr="00BD295E" w:rsidRDefault="008A5057" w:rsidP="00BF42CB">
      <w:pPr>
        <w:ind w:firstLine="567"/>
        <w:jc w:val="both"/>
        <w:rPr>
          <w:rFonts w:ascii="Arial" w:hAnsi="Arial" w:cs="Arial"/>
          <w:sz w:val="18"/>
          <w:szCs w:val="18"/>
          <w:lang w:val="en-US"/>
        </w:rPr>
      </w:pPr>
      <w:r w:rsidRPr="00BD295E">
        <w:rPr>
          <w:rFonts w:ascii="Arial" w:hAnsi="Arial" w:cs="Arial"/>
          <w:sz w:val="18"/>
          <w:szCs w:val="18"/>
          <w:lang w:val="en-US"/>
        </w:rPr>
        <w:t>The Company is a member of the following non-profit organizations and partnerships: *</w:t>
      </w:r>
    </w:p>
    <w:tbl>
      <w:tblPr>
        <w:tblpPr w:leftFromText="180" w:rightFromText="180" w:bottomFromText="70" w:vertAnchor="text"/>
        <w:tblW w:w="9348" w:type="dxa"/>
        <w:tblCellMar>
          <w:left w:w="0" w:type="dxa"/>
          <w:right w:w="0" w:type="dxa"/>
        </w:tblCellMar>
        <w:tblLook w:val="04A0" w:firstRow="1" w:lastRow="0" w:firstColumn="1" w:lastColumn="0" w:noHBand="0" w:noVBand="1"/>
      </w:tblPr>
      <w:tblGrid>
        <w:gridCol w:w="6929"/>
        <w:gridCol w:w="2419"/>
      </w:tblGrid>
      <w:tr w:rsidR="008A5057" w:rsidRPr="00BD295E" w14:paraId="773B6CA8" w14:textId="77777777" w:rsidTr="00D20832">
        <w:tc>
          <w:tcPr>
            <w:tcW w:w="6929" w:type="dxa"/>
            <w:tcBorders>
              <w:top w:val="single" w:sz="8" w:space="0" w:color="C0C0C0"/>
              <w:left w:val="single" w:sz="8" w:space="0" w:color="C0C0C0"/>
              <w:bottom w:val="single" w:sz="8" w:space="0" w:color="C0C0C0"/>
              <w:right w:val="single" w:sz="8" w:space="0" w:color="C0C0C0"/>
            </w:tcBorders>
            <w:shd w:val="clear" w:color="auto" w:fill="BDD6EE"/>
            <w:tcMar>
              <w:top w:w="0" w:type="dxa"/>
              <w:left w:w="108" w:type="dxa"/>
              <w:bottom w:w="0" w:type="dxa"/>
              <w:right w:w="108" w:type="dxa"/>
            </w:tcMar>
            <w:hideMark/>
          </w:tcPr>
          <w:p w14:paraId="1A2C1780" w14:textId="77777777" w:rsidR="00D20832" w:rsidRPr="00BD295E" w:rsidRDefault="008A5057">
            <w:pPr>
              <w:spacing w:line="252" w:lineRule="auto"/>
              <w:jc w:val="center"/>
              <w:rPr>
                <w:rFonts w:ascii="Arial" w:eastAsia="Calibri" w:hAnsi="Arial" w:cs="Arial"/>
                <w:b/>
                <w:bCs/>
                <w:sz w:val="18"/>
                <w:szCs w:val="18"/>
                <w:lang w:val="en-US"/>
              </w:rPr>
            </w:pPr>
            <w:r w:rsidRPr="00BD295E">
              <w:rPr>
                <w:rFonts w:ascii="Arial" w:hAnsi="Arial" w:cs="Arial"/>
                <w:b/>
                <w:bCs/>
                <w:sz w:val="18"/>
                <w:szCs w:val="18"/>
                <w:lang w:val="en-US"/>
              </w:rPr>
              <w:t>Name of the organization</w:t>
            </w:r>
          </w:p>
        </w:tc>
        <w:tc>
          <w:tcPr>
            <w:tcW w:w="2419" w:type="dxa"/>
            <w:tcBorders>
              <w:top w:val="single" w:sz="8" w:space="0" w:color="C0C0C0"/>
              <w:left w:val="nil"/>
              <w:bottom w:val="single" w:sz="8" w:space="0" w:color="C0C0C0"/>
              <w:right w:val="single" w:sz="8" w:space="0" w:color="C0C0C0"/>
            </w:tcBorders>
            <w:shd w:val="clear" w:color="auto" w:fill="BDD6EE"/>
            <w:tcMar>
              <w:top w:w="0" w:type="dxa"/>
              <w:left w:w="108" w:type="dxa"/>
              <w:bottom w:w="0" w:type="dxa"/>
              <w:right w:w="108" w:type="dxa"/>
            </w:tcMar>
            <w:hideMark/>
          </w:tcPr>
          <w:p w14:paraId="288E540E" w14:textId="77777777" w:rsidR="00D20832" w:rsidRPr="00BD295E" w:rsidRDefault="008A5057">
            <w:pPr>
              <w:spacing w:line="252" w:lineRule="auto"/>
              <w:jc w:val="center"/>
              <w:rPr>
                <w:rFonts w:ascii="Arial" w:eastAsia="Calibri" w:hAnsi="Arial" w:cs="Arial"/>
                <w:b/>
                <w:bCs/>
                <w:sz w:val="18"/>
                <w:szCs w:val="18"/>
                <w:lang w:val="en-US"/>
              </w:rPr>
            </w:pPr>
            <w:r w:rsidRPr="00BD295E">
              <w:rPr>
                <w:rFonts w:ascii="Arial" w:hAnsi="Arial" w:cs="Arial"/>
                <w:b/>
                <w:bCs/>
                <w:sz w:val="18"/>
                <w:szCs w:val="18"/>
                <w:lang w:val="en-US"/>
              </w:rPr>
              <w:t>Member since</w:t>
            </w:r>
          </w:p>
        </w:tc>
      </w:tr>
      <w:tr w:rsidR="008A5057" w:rsidRPr="00BD295E" w14:paraId="7CC2AA51"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3DC4657D"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Chamber of Commerce and Industry of the Leningrad Region</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32763B03"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September 3, 2003</w:t>
            </w:r>
          </w:p>
        </w:tc>
      </w:tr>
      <w:tr w:rsidR="008A5057" w:rsidRPr="00BD295E" w14:paraId="6EEC1777"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530CE986"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Chamber of Commerce and Industry of Saint Petersburg</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31679C83"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 xml:space="preserve">December 14, 2006 </w:t>
            </w:r>
          </w:p>
        </w:tc>
      </w:tr>
      <w:tr w:rsidR="008A5057" w:rsidRPr="00BD295E" w14:paraId="68C61581"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724D342D"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 xml:space="preserve">All-Russian Public Organization </w:t>
            </w:r>
            <w:r w:rsidRPr="00BD295E">
              <w:rPr>
                <w:rFonts w:ascii="Arial" w:hAnsi="Arial" w:cs="Arial"/>
                <w:i/>
                <w:iCs/>
                <w:sz w:val="18"/>
                <w:szCs w:val="18"/>
                <w:lang w:val="en-US"/>
              </w:rPr>
              <w:t>Business Russia</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16D79D9C"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September 27, 2007</w:t>
            </w:r>
          </w:p>
        </w:tc>
      </w:tr>
      <w:tr w:rsidR="008A5057" w:rsidRPr="00BD295E" w14:paraId="26BB88A9"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1233D9AC" w14:textId="77777777" w:rsidR="00D20832" w:rsidRPr="00BD295E" w:rsidRDefault="008A5057">
            <w:pPr>
              <w:spacing w:line="252" w:lineRule="auto"/>
              <w:jc w:val="both"/>
              <w:rPr>
                <w:rFonts w:ascii="Arial" w:eastAsia="Calibri" w:hAnsi="Arial" w:cs="Arial"/>
                <w:b/>
                <w:bCs/>
                <w:sz w:val="18"/>
                <w:szCs w:val="18"/>
                <w:lang w:val="en-US"/>
              </w:rPr>
            </w:pPr>
            <w:r w:rsidRPr="00BD295E">
              <w:rPr>
                <w:rStyle w:val="aff9"/>
                <w:rFonts w:ascii="Arial" w:hAnsi="Arial" w:cs="Arial"/>
                <w:b w:val="0"/>
                <w:bCs w:val="0"/>
                <w:sz w:val="18"/>
                <w:szCs w:val="18"/>
                <w:shd w:val="clear" w:color="auto" w:fill="F7F7F7"/>
                <w:lang w:val="en-US"/>
              </w:rPr>
              <w:t>Association of Builders of Saint Petersburg Self-Regulated Organization</w:t>
            </w:r>
            <w:r w:rsidRPr="00BD295E">
              <w:rPr>
                <w:rFonts w:ascii="Arial" w:hAnsi="Arial" w:cs="Arial"/>
                <w:b/>
                <w:bCs/>
                <w:sz w:val="18"/>
                <w:szCs w:val="18"/>
                <w:shd w:val="clear" w:color="auto" w:fill="F7F7F7"/>
                <w:lang w:val="en-US"/>
              </w:rPr>
              <w:t> </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6A324CDC"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September 25, 2008</w:t>
            </w:r>
          </w:p>
        </w:tc>
      </w:tr>
      <w:tr w:rsidR="008A5057" w:rsidRPr="00BD295E" w14:paraId="41543134"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03769516"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 xml:space="preserve">Non-Commercial Partnership </w:t>
            </w:r>
            <w:r w:rsidRPr="00BD295E">
              <w:rPr>
                <w:rFonts w:ascii="Arial" w:hAnsi="Arial" w:cs="Arial"/>
                <w:i/>
                <w:iCs/>
                <w:sz w:val="18"/>
                <w:szCs w:val="18"/>
                <w:lang w:val="en-US"/>
              </w:rPr>
              <w:t>Scientific and Technical Council of the Unified Energy System of Russia</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774230B9"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December 1, 2008</w:t>
            </w:r>
          </w:p>
        </w:tc>
      </w:tr>
      <w:tr w:rsidR="008A5057" w:rsidRPr="00BD295E" w14:paraId="2FFE11A1"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55F06571"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 xml:space="preserve">Regional Association of Employers </w:t>
            </w:r>
            <w:r w:rsidRPr="00BD295E">
              <w:rPr>
                <w:rFonts w:ascii="Arial" w:hAnsi="Arial" w:cs="Arial"/>
                <w:i/>
                <w:iCs/>
                <w:sz w:val="18"/>
                <w:szCs w:val="18"/>
                <w:lang w:val="en-US"/>
              </w:rPr>
              <w:t>Saint-Petersburg Union of Industrialists and Entrepreneurs</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027079D2"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December 24, 2009</w:t>
            </w:r>
          </w:p>
        </w:tc>
      </w:tr>
      <w:tr w:rsidR="008A5057" w:rsidRPr="00BD295E" w14:paraId="6A842EC4"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40F72B00"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 xml:space="preserve">Association of organizations involved in the design of energy projects </w:t>
            </w:r>
            <w:r w:rsidRPr="00BD295E">
              <w:rPr>
                <w:rFonts w:ascii="Arial" w:hAnsi="Arial" w:cs="Arial"/>
                <w:i/>
                <w:iCs/>
                <w:sz w:val="18"/>
                <w:szCs w:val="18"/>
                <w:lang w:val="en-US"/>
              </w:rPr>
              <w:t>Yenergoproekt</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653983DA"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March 5, 2010</w:t>
            </w:r>
          </w:p>
        </w:tc>
      </w:tr>
      <w:tr w:rsidR="008A5057" w:rsidRPr="00BD295E" w14:paraId="609A228A"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6C02F69C"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Self-regulated organization Association of Ener</w:t>
            </w:r>
            <w:r w:rsidR="00CF0D86" w:rsidRPr="00BD295E">
              <w:rPr>
                <w:rFonts w:ascii="Arial" w:hAnsi="Arial" w:cs="Arial"/>
                <w:sz w:val="18"/>
                <w:szCs w:val="18"/>
                <w:lang w:val="en-US"/>
              </w:rPr>
              <w:t>g</w:t>
            </w:r>
            <w:r w:rsidRPr="00BD295E">
              <w:rPr>
                <w:rFonts w:ascii="Arial" w:hAnsi="Arial" w:cs="Arial"/>
                <w:sz w:val="18"/>
                <w:szCs w:val="18"/>
                <w:lang w:val="en-US"/>
              </w:rPr>
              <w:t xml:space="preserve">y Audit Organizations </w:t>
            </w:r>
            <w:r w:rsidRPr="00BD295E">
              <w:rPr>
                <w:rFonts w:ascii="Arial" w:hAnsi="Arial" w:cs="Arial"/>
                <w:i/>
                <w:iCs/>
                <w:sz w:val="18"/>
                <w:szCs w:val="18"/>
                <w:lang w:val="en-US"/>
              </w:rPr>
              <w:t>EnergoProfAudit</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48BB9D9B"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December 23, 2010</w:t>
            </w:r>
          </w:p>
        </w:tc>
      </w:tr>
      <w:tr w:rsidR="008A5057" w:rsidRPr="00BD295E" w14:paraId="5BBE0BF1"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142C032B"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i/>
                <w:iCs/>
                <w:sz w:val="18"/>
                <w:szCs w:val="18"/>
                <w:lang w:val="en-US"/>
              </w:rPr>
              <w:t>CIRED National Committee</w:t>
            </w:r>
            <w:r w:rsidRPr="00BD295E">
              <w:rPr>
                <w:rFonts w:ascii="Arial" w:hAnsi="Arial" w:cs="Arial"/>
                <w:sz w:val="18"/>
                <w:szCs w:val="18"/>
                <w:lang w:val="en-US"/>
              </w:rPr>
              <w:t xml:space="preserve"> </w:t>
            </w:r>
            <w:r w:rsidRPr="00BD295E">
              <w:rPr>
                <w:rFonts w:ascii="Arial" w:hAnsi="Arial" w:cs="Arial"/>
                <w:i/>
                <w:iCs/>
                <w:sz w:val="18"/>
                <w:szCs w:val="18"/>
                <w:lang w:val="en-US"/>
              </w:rPr>
              <w:t>Electricity Distribution Grids</w:t>
            </w:r>
            <w:r w:rsidRPr="00BD295E">
              <w:rPr>
                <w:rFonts w:ascii="Arial" w:hAnsi="Arial" w:cs="Arial"/>
                <w:sz w:val="18"/>
                <w:szCs w:val="18"/>
                <w:lang w:val="en-US"/>
              </w:rPr>
              <w:t xml:space="preserve"> Non-profit Partnership </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778245D6"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May 29, 2012</w:t>
            </w:r>
          </w:p>
        </w:tc>
      </w:tr>
      <w:tr w:rsidR="008A5057" w:rsidRPr="00BD295E" w14:paraId="5D22CC13" w14:textId="77777777" w:rsidTr="00D20832">
        <w:tc>
          <w:tcPr>
            <w:tcW w:w="6929" w:type="dxa"/>
            <w:tcBorders>
              <w:top w:val="nil"/>
              <w:left w:val="single" w:sz="8" w:space="0" w:color="C0C0C0"/>
              <w:bottom w:val="single" w:sz="8" w:space="0" w:color="C0C0C0"/>
              <w:right w:val="single" w:sz="8" w:space="0" w:color="C0C0C0"/>
            </w:tcBorders>
            <w:tcMar>
              <w:top w:w="0" w:type="dxa"/>
              <w:left w:w="108" w:type="dxa"/>
              <w:bottom w:w="0" w:type="dxa"/>
              <w:right w:w="108" w:type="dxa"/>
            </w:tcMar>
            <w:hideMark/>
          </w:tcPr>
          <w:p w14:paraId="24DCF74A"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 xml:space="preserve">Autonomous Non-profit Organization </w:t>
            </w:r>
            <w:r w:rsidRPr="00BD295E">
              <w:rPr>
                <w:rFonts w:ascii="Arial" w:hAnsi="Arial" w:cs="Arial"/>
                <w:i/>
                <w:iCs/>
                <w:sz w:val="18"/>
                <w:szCs w:val="18"/>
                <w:lang w:val="en-US"/>
              </w:rPr>
              <w:t>Strategic Partnership for Economic and Social Development of the Northwestern Federal District</w:t>
            </w:r>
          </w:p>
        </w:tc>
        <w:tc>
          <w:tcPr>
            <w:tcW w:w="2419" w:type="dxa"/>
            <w:tcBorders>
              <w:top w:val="nil"/>
              <w:left w:val="nil"/>
              <w:bottom w:val="single" w:sz="8" w:space="0" w:color="C0C0C0"/>
              <w:right w:val="single" w:sz="8" w:space="0" w:color="C0C0C0"/>
            </w:tcBorders>
            <w:tcMar>
              <w:top w:w="0" w:type="dxa"/>
              <w:left w:w="108" w:type="dxa"/>
              <w:bottom w:w="0" w:type="dxa"/>
              <w:right w:w="108" w:type="dxa"/>
            </w:tcMar>
            <w:hideMark/>
          </w:tcPr>
          <w:p w14:paraId="4C07AA73"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 xml:space="preserve">2012 </w:t>
            </w:r>
          </w:p>
        </w:tc>
      </w:tr>
      <w:tr w:rsidR="008A5057" w:rsidRPr="00BD295E" w14:paraId="03A0A277" w14:textId="77777777" w:rsidTr="00D20832">
        <w:tc>
          <w:tcPr>
            <w:tcW w:w="6929" w:type="dxa"/>
            <w:tcBorders>
              <w:top w:val="nil"/>
              <w:left w:val="single" w:sz="8" w:space="0" w:color="C0C0C0"/>
              <w:bottom w:val="single" w:sz="8" w:space="0" w:color="000080"/>
              <w:right w:val="single" w:sz="8" w:space="0" w:color="C0C0C0"/>
            </w:tcBorders>
            <w:tcMar>
              <w:top w:w="0" w:type="dxa"/>
              <w:left w:w="108" w:type="dxa"/>
              <w:bottom w:w="0" w:type="dxa"/>
              <w:right w:w="108" w:type="dxa"/>
            </w:tcMar>
            <w:hideMark/>
          </w:tcPr>
          <w:p w14:paraId="1AFBEDFD"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 xml:space="preserve">Non-profit Partnership of </w:t>
            </w:r>
            <w:r w:rsidR="000D659F" w:rsidRPr="00BD295E">
              <w:rPr>
                <w:rFonts w:ascii="Arial" w:hAnsi="Arial" w:cs="Arial"/>
                <w:sz w:val="18"/>
                <w:szCs w:val="18"/>
                <w:lang w:val="en-US"/>
              </w:rPr>
              <w:t>Local grids</w:t>
            </w:r>
          </w:p>
        </w:tc>
        <w:tc>
          <w:tcPr>
            <w:tcW w:w="2419" w:type="dxa"/>
            <w:tcBorders>
              <w:top w:val="nil"/>
              <w:left w:val="nil"/>
              <w:bottom w:val="single" w:sz="8" w:space="0" w:color="000080"/>
              <w:right w:val="single" w:sz="8" w:space="0" w:color="C0C0C0"/>
            </w:tcBorders>
            <w:tcMar>
              <w:top w:w="0" w:type="dxa"/>
              <w:left w:w="108" w:type="dxa"/>
              <w:bottom w:w="0" w:type="dxa"/>
              <w:right w:w="108" w:type="dxa"/>
            </w:tcMar>
            <w:hideMark/>
          </w:tcPr>
          <w:p w14:paraId="4DE5CAC4" w14:textId="77777777" w:rsidR="00D20832" w:rsidRPr="00BD295E" w:rsidRDefault="008A5057">
            <w:pPr>
              <w:spacing w:line="252" w:lineRule="auto"/>
              <w:jc w:val="both"/>
              <w:rPr>
                <w:rFonts w:ascii="Arial" w:eastAsia="Calibri" w:hAnsi="Arial" w:cs="Arial"/>
                <w:sz w:val="18"/>
                <w:szCs w:val="18"/>
                <w:lang w:val="en-US"/>
              </w:rPr>
            </w:pPr>
            <w:r w:rsidRPr="00BD295E">
              <w:rPr>
                <w:rFonts w:ascii="Arial" w:hAnsi="Arial" w:cs="Arial"/>
                <w:sz w:val="18"/>
                <w:szCs w:val="18"/>
                <w:lang w:val="en-US"/>
              </w:rPr>
              <w:t>February 25, 2014</w:t>
            </w:r>
          </w:p>
        </w:tc>
      </w:tr>
    </w:tbl>
    <w:p w14:paraId="448559DD" w14:textId="77777777" w:rsidR="00F3260C" w:rsidRPr="00BD295E" w:rsidRDefault="008A5057" w:rsidP="00F3260C">
      <w:pPr>
        <w:jc w:val="both"/>
        <w:rPr>
          <w:rFonts w:ascii="Arial" w:hAnsi="Arial" w:cs="Arial"/>
          <w:sz w:val="18"/>
          <w:szCs w:val="18"/>
          <w:lang w:val="en-US"/>
        </w:rPr>
      </w:pPr>
      <w:r w:rsidRPr="00BD295E">
        <w:rPr>
          <w:rFonts w:ascii="Arial" w:hAnsi="Arial" w:cs="Arial"/>
          <w:sz w:val="18"/>
          <w:szCs w:val="18"/>
          <w:lang w:val="en-US"/>
        </w:rPr>
        <w:t>*As at December 31, 2018.</w:t>
      </w:r>
    </w:p>
    <w:p w14:paraId="4AD55AB0" w14:textId="77777777" w:rsidR="00F3260C" w:rsidRPr="00BD295E" w:rsidRDefault="00F3260C" w:rsidP="00F3260C">
      <w:pPr>
        <w:jc w:val="both"/>
        <w:rPr>
          <w:rFonts w:ascii="Arial" w:hAnsi="Arial" w:cs="Arial"/>
          <w:b/>
          <w:sz w:val="18"/>
          <w:szCs w:val="18"/>
          <w:lang w:val="en-US"/>
        </w:rPr>
      </w:pPr>
    </w:p>
    <w:p w14:paraId="7604DEE3" w14:textId="77777777" w:rsidR="00F3260C" w:rsidRPr="00BD295E" w:rsidRDefault="00AB4381" w:rsidP="00C968B7">
      <w:pPr>
        <w:jc w:val="both"/>
        <w:rPr>
          <w:rFonts w:ascii="Arial" w:hAnsi="Arial" w:cs="Arial"/>
          <w:b/>
          <w:sz w:val="18"/>
          <w:szCs w:val="18"/>
          <w:lang w:val="en-US"/>
        </w:rPr>
      </w:pPr>
      <w:r w:rsidRPr="00BD295E">
        <w:rPr>
          <w:rFonts w:ascii="Arial" w:hAnsi="Arial" w:cs="Arial"/>
          <w:b/>
          <w:sz w:val="18"/>
          <w:szCs w:val="18"/>
          <w:lang w:val="en-US"/>
        </w:rPr>
        <w:t>M</w:t>
      </w:r>
      <w:r w:rsidR="008A5057" w:rsidRPr="00BD295E">
        <w:rPr>
          <w:rFonts w:ascii="Arial" w:hAnsi="Arial" w:cs="Arial"/>
          <w:b/>
          <w:sz w:val="18"/>
          <w:szCs w:val="18"/>
          <w:lang w:val="en-US"/>
        </w:rPr>
        <w:t xml:space="preserve">ajor transactions, related party transactions, and other transactions recognized by </w:t>
      </w:r>
      <w:r w:rsidR="00EE5753" w:rsidRPr="00BD295E">
        <w:rPr>
          <w:rFonts w:ascii="Arial" w:hAnsi="Arial" w:cs="Arial"/>
          <w:b/>
          <w:sz w:val="18"/>
          <w:szCs w:val="18"/>
          <w:lang w:val="en-US"/>
        </w:rPr>
        <w:t>PJSC “Lenenergo”</w:t>
      </w:r>
      <w:r w:rsidR="008A5057" w:rsidRPr="00BD295E">
        <w:rPr>
          <w:rFonts w:ascii="Arial" w:hAnsi="Arial" w:cs="Arial"/>
          <w:b/>
          <w:sz w:val="18"/>
          <w:szCs w:val="18"/>
          <w:lang w:val="en-US"/>
        </w:rPr>
        <w:t xml:space="preserve"> as </w:t>
      </w:r>
      <w:r w:rsidRPr="00BD295E">
        <w:rPr>
          <w:rFonts w:ascii="Arial" w:hAnsi="Arial" w:cs="Arial"/>
          <w:b/>
          <w:sz w:val="18"/>
          <w:szCs w:val="18"/>
          <w:lang w:val="en-US"/>
        </w:rPr>
        <w:t xml:space="preserve">its </w:t>
      </w:r>
      <w:r w:rsidR="008A5057" w:rsidRPr="00BD295E">
        <w:rPr>
          <w:rFonts w:ascii="Arial" w:hAnsi="Arial" w:cs="Arial"/>
          <w:b/>
          <w:sz w:val="18"/>
          <w:szCs w:val="18"/>
          <w:lang w:val="en-US"/>
        </w:rPr>
        <w:t>major transactions performed in 2018</w:t>
      </w:r>
    </w:p>
    <w:p w14:paraId="33E79936" w14:textId="77777777" w:rsidR="00F3260C" w:rsidRPr="00BD295E" w:rsidRDefault="00F3260C" w:rsidP="00C968B7">
      <w:pPr>
        <w:jc w:val="both"/>
        <w:rPr>
          <w:rFonts w:ascii="Arial" w:hAnsi="Arial" w:cs="Arial"/>
          <w:b/>
          <w:sz w:val="18"/>
          <w:szCs w:val="18"/>
          <w:lang w:val="en-US"/>
        </w:rPr>
      </w:pPr>
    </w:p>
    <w:p w14:paraId="56ED7213" w14:textId="77777777" w:rsidR="00F3260C" w:rsidRPr="00BD295E" w:rsidRDefault="008A5057" w:rsidP="00C968B7">
      <w:pPr>
        <w:pStyle w:val="320"/>
        <w:widowControl w:val="0"/>
        <w:spacing w:after="0"/>
        <w:ind w:left="0"/>
        <w:jc w:val="both"/>
        <w:rPr>
          <w:rFonts w:ascii="Arial" w:hAnsi="Arial" w:cs="Arial"/>
          <w:sz w:val="18"/>
          <w:szCs w:val="18"/>
          <w:lang w:val="en-US"/>
        </w:rPr>
      </w:pPr>
      <w:r w:rsidRPr="00BD295E">
        <w:rPr>
          <w:rFonts w:ascii="Arial" w:hAnsi="Arial" w:cs="Arial"/>
          <w:sz w:val="18"/>
          <w:szCs w:val="18"/>
          <w:lang w:val="en-US"/>
        </w:rPr>
        <w:t xml:space="preserve">In the reporting year, the Company did not perform any transactions recognized under the Federal Law </w:t>
      </w:r>
      <w:r w:rsidRPr="00BD295E">
        <w:rPr>
          <w:rFonts w:ascii="Arial" w:hAnsi="Arial" w:cs="Arial"/>
          <w:i/>
          <w:iCs/>
          <w:sz w:val="18"/>
          <w:szCs w:val="18"/>
          <w:lang w:val="en-US"/>
        </w:rPr>
        <w:t>On Joint-Stock Companies</w:t>
      </w:r>
      <w:r w:rsidRPr="00BD295E">
        <w:rPr>
          <w:rFonts w:ascii="Arial" w:hAnsi="Arial" w:cs="Arial"/>
          <w:sz w:val="18"/>
          <w:szCs w:val="18"/>
          <w:lang w:val="en-US"/>
        </w:rPr>
        <w:t xml:space="preserve"> as major transactions.</w:t>
      </w:r>
    </w:p>
    <w:p w14:paraId="6E3E2B5A" w14:textId="77777777" w:rsidR="00F3260C" w:rsidRPr="00BD295E" w:rsidRDefault="008A5057" w:rsidP="00C968B7">
      <w:pPr>
        <w:pStyle w:val="16"/>
        <w:spacing w:before="0" w:beforeAutospacing="0" w:after="0" w:afterAutospacing="0"/>
        <w:jc w:val="both"/>
        <w:rPr>
          <w:rFonts w:ascii="Arial" w:hAnsi="Arial" w:cs="Arial"/>
          <w:sz w:val="18"/>
          <w:szCs w:val="18"/>
          <w:lang w:val="en-US"/>
        </w:rPr>
      </w:pPr>
      <w:r w:rsidRPr="00BD295E">
        <w:rPr>
          <w:rFonts w:ascii="Arial" w:hAnsi="Arial" w:cs="Arial"/>
          <w:sz w:val="18"/>
          <w:szCs w:val="18"/>
          <w:lang w:val="en-US"/>
        </w:rPr>
        <w:t xml:space="preserve">Information on the transactions recognized by the Company as interested-party transactions in accordance with the Federal Law </w:t>
      </w:r>
      <w:r w:rsidRPr="00BD295E">
        <w:rPr>
          <w:rFonts w:ascii="Arial" w:hAnsi="Arial" w:cs="Arial"/>
          <w:i/>
          <w:iCs/>
          <w:sz w:val="18"/>
          <w:szCs w:val="18"/>
          <w:lang w:val="en-US"/>
        </w:rPr>
        <w:t>On Joint Stock Companies</w:t>
      </w:r>
      <w:r w:rsidRPr="00BD295E">
        <w:rPr>
          <w:rFonts w:ascii="Arial" w:hAnsi="Arial" w:cs="Arial"/>
          <w:sz w:val="18"/>
          <w:szCs w:val="18"/>
          <w:lang w:val="en-US"/>
        </w:rPr>
        <w:t xml:space="preserve"> in 2018 is provided in Appendix 6.4 to this Report.</w:t>
      </w:r>
    </w:p>
    <w:p w14:paraId="6211FD7A" w14:textId="77777777" w:rsidR="00DB2DAC" w:rsidRPr="00BD295E" w:rsidRDefault="00DB2DAC" w:rsidP="00DB2DAC">
      <w:pPr>
        <w:pStyle w:val="16"/>
        <w:spacing w:before="0" w:beforeAutospacing="0" w:after="0" w:afterAutospacing="0"/>
        <w:jc w:val="both"/>
        <w:rPr>
          <w:rFonts w:ascii="Arial" w:hAnsi="Arial" w:cs="Arial"/>
          <w:sz w:val="18"/>
          <w:szCs w:val="18"/>
          <w:lang w:val="en-US"/>
        </w:rPr>
      </w:pPr>
    </w:p>
    <w:p w14:paraId="67360CCE" w14:textId="77777777" w:rsidR="00E928EA" w:rsidRPr="00BD295E" w:rsidRDefault="008A5057" w:rsidP="00C968B7">
      <w:pPr>
        <w:keepNext/>
        <w:numPr>
          <w:ilvl w:val="0"/>
          <w:numId w:val="9"/>
        </w:numPr>
        <w:ind w:firstLine="66"/>
        <w:jc w:val="both"/>
        <w:outlineLvl w:val="1"/>
        <w:rPr>
          <w:rFonts w:ascii="Arial" w:hAnsi="Arial" w:cs="Arial"/>
          <w:b/>
          <w:sz w:val="18"/>
          <w:szCs w:val="18"/>
          <w:lang w:val="en-US"/>
        </w:rPr>
      </w:pPr>
      <w:bookmarkStart w:id="414" w:name="_Toc509493402"/>
      <w:bookmarkStart w:id="415" w:name="_Toc509497966"/>
      <w:bookmarkStart w:id="416" w:name="_Toc509581268"/>
      <w:bookmarkStart w:id="417" w:name="_Toc510452232"/>
      <w:bookmarkStart w:id="418" w:name="_Toc5027021"/>
      <w:bookmarkStart w:id="419" w:name="_Toc5105980"/>
      <w:bookmarkStart w:id="420" w:name="_Toc5203833"/>
      <w:bookmarkStart w:id="421" w:name="_Toc6230930"/>
      <w:bookmarkStart w:id="422" w:name="_Toc7172578"/>
      <w:bookmarkStart w:id="423" w:name="_Toc7172624"/>
      <w:bookmarkStart w:id="424" w:name="_Toc95855299"/>
      <w:bookmarkStart w:id="425" w:name="_Toc95935358"/>
      <w:r w:rsidRPr="00BD295E">
        <w:rPr>
          <w:rFonts w:ascii="Arial" w:hAnsi="Arial" w:cs="Arial"/>
          <w:b/>
          <w:sz w:val="18"/>
          <w:szCs w:val="18"/>
          <w:lang w:val="en-US"/>
        </w:rPr>
        <w:t>Risk Management</w:t>
      </w:r>
      <w:bookmarkEnd w:id="414"/>
      <w:bookmarkEnd w:id="415"/>
      <w:bookmarkEnd w:id="416"/>
      <w:bookmarkEnd w:id="417"/>
      <w:bookmarkEnd w:id="418"/>
      <w:bookmarkEnd w:id="419"/>
      <w:bookmarkEnd w:id="420"/>
      <w:bookmarkEnd w:id="421"/>
      <w:bookmarkEnd w:id="422"/>
      <w:bookmarkEnd w:id="423"/>
      <w:bookmarkEnd w:id="424"/>
      <w:bookmarkEnd w:id="425"/>
    </w:p>
    <w:p w14:paraId="1F9632B9" w14:textId="77777777" w:rsidR="00CC542E" w:rsidRPr="00BD295E" w:rsidRDefault="00CC542E" w:rsidP="00AB5DBB">
      <w:pPr>
        <w:suppressAutoHyphens/>
        <w:contextualSpacing/>
        <w:jc w:val="both"/>
        <w:rPr>
          <w:rFonts w:ascii="Arial" w:hAnsi="Arial" w:cs="Arial"/>
          <w:sz w:val="18"/>
          <w:szCs w:val="18"/>
          <w:lang w:val="en-US"/>
        </w:rPr>
      </w:pPr>
    </w:p>
    <w:p w14:paraId="6024AEA8" w14:textId="77777777" w:rsidR="00F3260C" w:rsidRPr="00BD295E" w:rsidRDefault="008A5057" w:rsidP="00C968B7">
      <w:pPr>
        <w:suppressAutoHyphens/>
        <w:contextualSpacing/>
        <w:jc w:val="both"/>
        <w:rPr>
          <w:rFonts w:ascii="Arial" w:hAnsi="Arial" w:cs="Arial"/>
          <w:b/>
          <w:sz w:val="18"/>
          <w:szCs w:val="18"/>
          <w:lang w:val="en-US"/>
        </w:rPr>
      </w:pPr>
      <w:r w:rsidRPr="00BD295E">
        <w:rPr>
          <w:rFonts w:ascii="Arial" w:hAnsi="Arial" w:cs="Arial"/>
          <w:b/>
          <w:sz w:val="18"/>
          <w:szCs w:val="18"/>
          <w:lang w:val="en-US"/>
        </w:rPr>
        <w:t>Internal Control System</w:t>
      </w:r>
    </w:p>
    <w:p w14:paraId="7A4D5FDC" w14:textId="77777777" w:rsidR="00F3260C" w:rsidRPr="00BD295E" w:rsidRDefault="008A5057" w:rsidP="00C968B7">
      <w:pPr>
        <w:tabs>
          <w:tab w:val="left" w:pos="709"/>
        </w:tabs>
        <w:suppressAutoHyphens/>
        <w:contextualSpacing/>
        <w:jc w:val="both"/>
        <w:rPr>
          <w:rFonts w:ascii="Arial" w:hAnsi="Arial" w:cs="Arial"/>
          <w:sz w:val="18"/>
          <w:szCs w:val="18"/>
          <w:lang w:val="en-US"/>
        </w:rPr>
      </w:pPr>
      <w:r w:rsidRPr="00BD295E">
        <w:rPr>
          <w:rFonts w:ascii="Arial" w:hAnsi="Arial" w:cs="Arial"/>
          <w:sz w:val="18"/>
          <w:szCs w:val="18"/>
          <w:lang w:val="en-US"/>
        </w:rPr>
        <w:t>The Company’s internal control system (hereinafter “ICS”) is an element of the Company’s overall management system, which is designed to provide reasonable assurance of achieving goals across the following areas:</w:t>
      </w:r>
    </w:p>
    <w:p w14:paraId="05636C4B" w14:textId="77777777" w:rsidR="00F3260C" w:rsidRPr="00BD295E" w:rsidRDefault="008A5057" w:rsidP="0033027C">
      <w:pPr>
        <w:pStyle w:val="af3"/>
        <w:numPr>
          <w:ilvl w:val="0"/>
          <w:numId w:val="13"/>
        </w:numPr>
        <w:tabs>
          <w:tab w:val="left" w:pos="-426"/>
          <w:tab w:val="left" w:pos="1134"/>
        </w:tabs>
        <w:suppressAutoHyphens/>
        <w:ind w:left="0" w:firstLine="709"/>
        <w:jc w:val="both"/>
        <w:rPr>
          <w:rFonts w:ascii="Arial" w:hAnsi="Arial" w:cs="Arial"/>
          <w:sz w:val="18"/>
          <w:szCs w:val="18"/>
          <w:lang w:val="en-US"/>
        </w:rPr>
      </w:pPr>
      <w:r w:rsidRPr="00BD295E">
        <w:rPr>
          <w:rFonts w:ascii="Arial" w:hAnsi="Arial" w:cs="Arial"/>
          <w:sz w:val="18"/>
          <w:szCs w:val="18"/>
          <w:lang w:val="en-US"/>
        </w:rPr>
        <w:t xml:space="preserve"> Efficiency and effectiveness of the Company’s operations, including achievement of financial and operational targets, as well as integrity of the Company’s assets;</w:t>
      </w:r>
    </w:p>
    <w:p w14:paraId="523E25FA" w14:textId="77777777" w:rsidR="00F3260C" w:rsidRPr="00BD295E" w:rsidRDefault="008A5057" w:rsidP="0033027C">
      <w:pPr>
        <w:pStyle w:val="af3"/>
        <w:numPr>
          <w:ilvl w:val="0"/>
          <w:numId w:val="13"/>
        </w:numPr>
        <w:tabs>
          <w:tab w:val="left" w:pos="-426"/>
          <w:tab w:val="left" w:pos="1134"/>
        </w:tabs>
        <w:suppressAutoHyphens/>
        <w:ind w:left="0" w:firstLine="709"/>
        <w:jc w:val="both"/>
        <w:rPr>
          <w:rFonts w:ascii="Arial" w:hAnsi="Arial" w:cs="Arial"/>
          <w:sz w:val="18"/>
          <w:szCs w:val="18"/>
          <w:lang w:val="en-US"/>
        </w:rPr>
      </w:pPr>
      <w:r w:rsidRPr="00BD295E">
        <w:rPr>
          <w:rFonts w:ascii="Arial" w:hAnsi="Arial" w:cs="Arial"/>
          <w:sz w:val="18"/>
          <w:szCs w:val="18"/>
          <w:lang w:val="en-US"/>
        </w:rPr>
        <w:t xml:space="preserve"> Compliance with the legal requirements applicable to the Company and the Company’s internal regulations, including when conducting business and keeping accounting records;</w:t>
      </w:r>
    </w:p>
    <w:p w14:paraId="3543D285" w14:textId="77777777" w:rsidR="00F3260C" w:rsidRPr="00BD295E" w:rsidRDefault="008A5057" w:rsidP="0033027C">
      <w:pPr>
        <w:pStyle w:val="af3"/>
        <w:numPr>
          <w:ilvl w:val="0"/>
          <w:numId w:val="13"/>
        </w:numPr>
        <w:tabs>
          <w:tab w:val="left" w:pos="-426"/>
          <w:tab w:val="left" w:pos="1134"/>
        </w:tabs>
        <w:suppressAutoHyphens/>
        <w:ind w:left="0" w:firstLine="709"/>
        <w:jc w:val="both"/>
        <w:rPr>
          <w:rFonts w:ascii="Arial" w:hAnsi="Arial" w:cs="Arial"/>
          <w:sz w:val="18"/>
          <w:szCs w:val="18"/>
          <w:lang w:val="en-US"/>
        </w:rPr>
      </w:pPr>
      <w:r w:rsidRPr="00BD295E">
        <w:rPr>
          <w:rFonts w:ascii="Arial" w:hAnsi="Arial" w:cs="Arial"/>
          <w:sz w:val="18"/>
          <w:szCs w:val="18"/>
          <w:lang w:val="en-US"/>
        </w:rPr>
        <w:t xml:space="preserve"> Ensuring the reliability and timeliness of the accounting (financial) and other reports.</w:t>
      </w:r>
    </w:p>
    <w:p w14:paraId="05F004F9" w14:textId="77777777" w:rsidR="00F3260C" w:rsidRPr="00BD295E" w:rsidRDefault="008A5057" w:rsidP="00F3260C">
      <w:pPr>
        <w:tabs>
          <w:tab w:val="left" w:pos="993"/>
        </w:tabs>
        <w:ind w:firstLine="709"/>
        <w:jc w:val="both"/>
        <w:rPr>
          <w:rFonts w:ascii="Arial" w:hAnsi="Arial" w:cs="Arial"/>
          <w:sz w:val="18"/>
          <w:szCs w:val="18"/>
          <w:lang w:val="en-US"/>
        </w:rPr>
      </w:pPr>
      <w:r w:rsidRPr="00BD295E">
        <w:rPr>
          <w:rFonts w:ascii="Arial" w:hAnsi="Arial" w:cs="Arial"/>
          <w:sz w:val="18"/>
          <w:szCs w:val="18"/>
          <w:lang w:val="en-US"/>
        </w:rPr>
        <w:t>The internal control system covers all of the Company’s business lines, with control procedures performed on an ongoing basis in all processes (business lines) of the Company across all management levels (Figure 1).</w:t>
      </w:r>
    </w:p>
    <w:p w14:paraId="63FB70F6" w14:textId="77777777" w:rsidR="00F3260C" w:rsidRPr="00BD295E" w:rsidRDefault="00F3260C" w:rsidP="00F3260C">
      <w:pPr>
        <w:pStyle w:val="af3"/>
        <w:tabs>
          <w:tab w:val="left" w:pos="993"/>
        </w:tabs>
        <w:ind w:left="709" w:firstLine="709"/>
        <w:jc w:val="both"/>
        <w:rPr>
          <w:rFonts w:ascii="Arial" w:hAnsi="Arial" w:cs="Arial"/>
          <w:sz w:val="18"/>
          <w:szCs w:val="18"/>
          <w:lang w:val="en-US"/>
        </w:rPr>
      </w:pPr>
    </w:p>
    <w:bookmarkStart w:id="426" w:name="_Hlk95940049"/>
    <w:p w14:paraId="40298986" w14:textId="351E4817" w:rsidR="00F3260C" w:rsidRPr="00BD295E" w:rsidRDefault="007B59B6" w:rsidP="00F3260C">
      <w:pPr>
        <w:tabs>
          <w:tab w:val="left" w:pos="0"/>
          <w:tab w:val="left" w:pos="993"/>
        </w:tabs>
        <w:ind w:firstLine="709"/>
        <w:contextualSpacing/>
        <w:jc w:val="center"/>
        <w:rPr>
          <w:rFonts w:ascii="Arial" w:eastAsia="Calibri" w:hAnsi="Arial" w:cs="Arial"/>
          <w:i/>
          <w:sz w:val="18"/>
          <w:szCs w:val="18"/>
          <w:lang w:val="en-US"/>
        </w:rPr>
      </w:pPr>
      <w:r w:rsidRPr="00BD295E">
        <w:rPr>
          <w:rFonts w:ascii="Arial" w:hAnsi="Arial" w:cs="Arial"/>
          <w:sz w:val="18"/>
          <w:szCs w:val="18"/>
          <w:lang w:val="en-US"/>
        </w:rPr>
        <w:object w:dxaOrig="8182" w:dyaOrig="7920" w14:anchorId="60AE3998">
          <v:shape id="_x0000_i1025" type="#_x0000_t75" style="width:409.1pt;height:396pt" o:ole="">
            <v:imagedata r:id="rId113" o:title=""/>
          </v:shape>
          <o:OLEObject Type="Embed" ProgID="Visio.Drawing.11" ShapeID="_x0000_i1025" DrawAspect="Content" ObjectID="_1707220735" r:id="rId114"/>
        </w:object>
      </w:r>
      <w:bookmarkEnd w:id="426"/>
    </w:p>
    <w:p w14:paraId="165ABD80" w14:textId="77777777" w:rsidR="00F3260C" w:rsidRPr="00BD295E" w:rsidRDefault="008A5057" w:rsidP="00F3260C">
      <w:pPr>
        <w:tabs>
          <w:tab w:val="left" w:pos="0"/>
          <w:tab w:val="left" w:pos="1276"/>
        </w:tabs>
        <w:ind w:firstLine="709"/>
        <w:contextualSpacing/>
        <w:jc w:val="center"/>
        <w:rPr>
          <w:rFonts w:ascii="Arial" w:hAnsi="Arial" w:cs="Arial"/>
          <w:bCs/>
          <w:sz w:val="18"/>
          <w:szCs w:val="18"/>
          <w:lang w:val="en-US"/>
        </w:rPr>
      </w:pPr>
      <w:r w:rsidRPr="00BD295E">
        <w:rPr>
          <w:rFonts w:ascii="Arial" w:hAnsi="Arial" w:cs="Arial"/>
          <w:bCs/>
          <w:sz w:val="18"/>
          <w:szCs w:val="18"/>
          <w:lang w:val="en-US"/>
        </w:rPr>
        <w:t>Figure 1. Internal Control System</w:t>
      </w:r>
      <w:r w:rsidR="00AB4381" w:rsidRPr="00BD295E">
        <w:rPr>
          <w:rFonts w:ascii="Arial" w:hAnsi="Arial" w:cs="Arial"/>
          <w:bCs/>
          <w:sz w:val="18"/>
          <w:szCs w:val="18"/>
          <w:lang w:val="en-US"/>
        </w:rPr>
        <w:t xml:space="preserve"> Actors</w:t>
      </w:r>
    </w:p>
    <w:p w14:paraId="322490BF" w14:textId="77777777" w:rsidR="00F3260C" w:rsidRPr="00BD295E" w:rsidRDefault="00F3260C" w:rsidP="00F3260C">
      <w:pPr>
        <w:tabs>
          <w:tab w:val="left" w:pos="0"/>
          <w:tab w:val="left" w:pos="1276"/>
        </w:tabs>
        <w:ind w:firstLine="709"/>
        <w:jc w:val="center"/>
        <w:rPr>
          <w:rFonts w:ascii="Arial" w:eastAsia="Calibri" w:hAnsi="Arial" w:cs="Arial"/>
          <w:b/>
          <w:sz w:val="18"/>
          <w:szCs w:val="18"/>
          <w:lang w:val="en-US"/>
        </w:rPr>
      </w:pPr>
    </w:p>
    <w:p w14:paraId="3FD1C089" w14:textId="77777777" w:rsidR="00F3260C" w:rsidRPr="00BD295E" w:rsidRDefault="008A5057" w:rsidP="00C968B7">
      <w:pPr>
        <w:tabs>
          <w:tab w:val="left" w:pos="993"/>
        </w:tabs>
        <w:jc w:val="both"/>
        <w:rPr>
          <w:rFonts w:ascii="Arial" w:eastAsia="Calibri" w:hAnsi="Arial" w:cs="Arial"/>
          <w:b/>
          <w:sz w:val="18"/>
          <w:szCs w:val="18"/>
          <w:lang w:val="en-US"/>
        </w:rPr>
      </w:pPr>
      <w:r w:rsidRPr="00BD295E">
        <w:rPr>
          <w:rFonts w:ascii="Arial" w:hAnsi="Arial" w:cs="Arial"/>
          <w:sz w:val="18"/>
          <w:szCs w:val="18"/>
          <w:lang w:val="en-US"/>
        </w:rPr>
        <w:t xml:space="preserve">The functions of the </w:t>
      </w:r>
      <w:r w:rsidR="00AB4381" w:rsidRPr="00BD295E">
        <w:rPr>
          <w:rFonts w:ascii="Arial" w:hAnsi="Arial" w:cs="Arial"/>
          <w:sz w:val="18"/>
          <w:szCs w:val="18"/>
          <w:lang w:val="en-US"/>
        </w:rPr>
        <w:t>internal control system actors</w:t>
      </w:r>
      <w:r w:rsidRPr="00BD295E">
        <w:rPr>
          <w:rFonts w:ascii="Arial" w:hAnsi="Arial" w:cs="Arial"/>
          <w:sz w:val="18"/>
          <w:szCs w:val="18"/>
          <w:lang w:val="en-US"/>
        </w:rPr>
        <w:t xml:space="preserve"> are outlined in the Company’s Internal Control Policy approved by the Board of Directors on March 11, 2016 (Minutes No. 41 </w:t>
      </w:r>
      <w:r w:rsidR="008B183C" w:rsidRPr="00BD295E">
        <w:rPr>
          <w:rFonts w:ascii="Arial" w:hAnsi="Arial" w:cs="Arial"/>
          <w:sz w:val="18"/>
          <w:szCs w:val="18"/>
          <w:lang w:val="en-US"/>
        </w:rPr>
        <w:t>of</w:t>
      </w:r>
      <w:r w:rsidRPr="00BD295E">
        <w:rPr>
          <w:rFonts w:ascii="Arial" w:hAnsi="Arial" w:cs="Arial"/>
          <w:sz w:val="18"/>
          <w:szCs w:val="18"/>
          <w:lang w:val="en-US"/>
        </w:rPr>
        <w:t xml:space="preserve"> March 15, 2016), and provided in Appendix No. 11 to this Annual Report.</w:t>
      </w:r>
    </w:p>
    <w:p w14:paraId="6CD416BE" w14:textId="77777777" w:rsidR="00F3260C" w:rsidRPr="00BD295E" w:rsidRDefault="00F3260C" w:rsidP="00C968B7">
      <w:pPr>
        <w:tabs>
          <w:tab w:val="left" w:pos="0"/>
          <w:tab w:val="left" w:pos="1276"/>
        </w:tabs>
        <w:jc w:val="right"/>
        <w:rPr>
          <w:rFonts w:ascii="Arial" w:eastAsia="Calibri" w:hAnsi="Arial" w:cs="Arial"/>
          <w:sz w:val="18"/>
          <w:szCs w:val="18"/>
          <w:lang w:val="en-US"/>
        </w:rPr>
      </w:pPr>
    </w:p>
    <w:p w14:paraId="1F796219" w14:textId="77777777" w:rsidR="00F3260C" w:rsidRPr="00BD295E" w:rsidRDefault="008A5057" w:rsidP="00C968B7">
      <w:pPr>
        <w:tabs>
          <w:tab w:val="left" w:pos="993"/>
          <w:tab w:val="left" w:pos="1134"/>
        </w:tabs>
        <w:jc w:val="both"/>
        <w:rPr>
          <w:rFonts w:ascii="Arial" w:hAnsi="Arial" w:cs="Arial"/>
          <w:bCs/>
          <w:sz w:val="18"/>
          <w:szCs w:val="18"/>
          <w:lang w:val="en-US"/>
        </w:rPr>
      </w:pPr>
      <w:r w:rsidRPr="00BD295E">
        <w:rPr>
          <w:rFonts w:ascii="Arial" w:hAnsi="Arial" w:cs="Arial"/>
          <w:sz w:val="18"/>
          <w:szCs w:val="18"/>
          <w:lang w:val="en-US"/>
        </w:rPr>
        <w:t xml:space="preserve">For the purpose of implementing the Strategy for Developing and Improving the Internal Control System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and </w:t>
      </w:r>
      <w:r w:rsidR="00A07300" w:rsidRPr="00BD295E">
        <w:rPr>
          <w:rFonts w:ascii="Arial" w:hAnsi="Arial" w:cs="Arial"/>
          <w:sz w:val="18"/>
          <w:szCs w:val="18"/>
          <w:lang w:val="en-US"/>
        </w:rPr>
        <w:t>Subsidiaries and Affiliates</w:t>
      </w:r>
      <w:r w:rsidRPr="00BD295E">
        <w:rPr>
          <w:rFonts w:ascii="Arial" w:hAnsi="Arial" w:cs="Arial"/>
          <w:sz w:val="18"/>
          <w:szCs w:val="18"/>
          <w:lang w:val="en-US"/>
        </w:rPr>
        <w:t xml:space="preserve">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as approved by the Resolution of the Board of Directors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10, 2014 (Minutes No. 143), the Company’s Board of Directors approved the restated Internal Control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on March 11, 2016 (Minutes No. 41 </w:t>
      </w:r>
      <w:r w:rsidR="008B183C" w:rsidRPr="00BD295E">
        <w:rPr>
          <w:rFonts w:ascii="Arial" w:hAnsi="Arial" w:cs="Arial"/>
          <w:sz w:val="18"/>
          <w:szCs w:val="18"/>
          <w:lang w:val="en-US"/>
        </w:rPr>
        <w:t>of</w:t>
      </w:r>
      <w:r w:rsidRPr="00BD295E">
        <w:rPr>
          <w:rFonts w:ascii="Arial" w:hAnsi="Arial" w:cs="Arial"/>
          <w:sz w:val="18"/>
          <w:szCs w:val="18"/>
          <w:lang w:val="en-US"/>
        </w:rPr>
        <w:t xml:space="preserve"> March 15, 2016).</w:t>
      </w:r>
      <w:r w:rsidRPr="00BD295E">
        <w:rPr>
          <w:rFonts w:ascii="Arial" w:hAnsi="Arial" w:cs="Arial"/>
          <w:bCs/>
          <w:sz w:val="18"/>
          <w:szCs w:val="18"/>
          <w:lang w:val="en-US"/>
        </w:rPr>
        <w:t xml:space="preserve"> The Policy outlines the objectives, operating principles and elements of the Company’s internal control system, the key functions and responsibilities of the </w:t>
      </w:r>
      <w:r w:rsidR="00AB4381" w:rsidRPr="00BD295E">
        <w:rPr>
          <w:rFonts w:ascii="Arial" w:hAnsi="Arial" w:cs="Arial"/>
          <w:bCs/>
          <w:sz w:val="18"/>
          <w:szCs w:val="18"/>
          <w:lang w:val="en-US"/>
        </w:rPr>
        <w:t>internal control system actors</w:t>
      </w:r>
      <w:r w:rsidRPr="00BD295E">
        <w:rPr>
          <w:rFonts w:ascii="Arial" w:hAnsi="Arial" w:cs="Arial"/>
          <w:bCs/>
          <w:sz w:val="18"/>
          <w:szCs w:val="18"/>
          <w:lang w:val="en-US"/>
        </w:rPr>
        <w:t>, and the procedure for evaluating the effectiveness of the internal control system.</w:t>
      </w:r>
    </w:p>
    <w:p w14:paraId="0EB5224A" w14:textId="77777777" w:rsidR="00F3260C" w:rsidRPr="00BD295E" w:rsidRDefault="008A5057" w:rsidP="00C968B7">
      <w:pPr>
        <w:tabs>
          <w:tab w:val="left" w:pos="993"/>
          <w:tab w:val="left" w:pos="1134"/>
        </w:tabs>
        <w:jc w:val="both"/>
        <w:rPr>
          <w:rFonts w:ascii="Arial" w:hAnsi="Arial" w:cs="Arial"/>
          <w:sz w:val="18"/>
          <w:szCs w:val="18"/>
          <w:lang w:val="en-US"/>
        </w:rPr>
      </w:pPr>
      <w:r w:rsidRPr="00BD295E">
        <w:rPr>
          <w:rFonts w:ascii="Arial" w:hAnsi="Arial" w:cs="Arial"/>
          <w:sz w:val="18"/>
          <w:szCs w:val="18"/>
          <w:lang w:val="en-US"/>
        </w:rPr>
        <w:t xml:space="preserve">The Company has in place the Procedure for Implementing the Requirements of the Internal Control Policy (Order No. 39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27, 2017), which discloses the hands-on aspects of applying the standards set out in the Internal Control Policy. </w:t>
      </w:r>
    </w:p>
    <w:p w14:paraId="55F1361E" w14:textId="77777777" w:rsidR="00F3260C" w:rsidRPr="00BD295E" w:rsidRDefault="008A5057" w:rsidP="00C968B7">
      <w:pPr>
        <w:tabs>
          <w:tab w:val="left" w:pos="993"/>
          <w:tab w:val="left" w:pos="1134"/>
        </w:tabs>
        <w:jc w:val="both"/>
        <w:rPr>
          <w:rFonts w:ascii="Arial" w:hAnsi="Arial" w:cs="Arial"/>
          <w:sz w:val="18"/>
          <w:szCs w:val="18"/>
          <w:lang w:val="en-US"/>
        </w:rPr>
      </w:pPr>
      <w:r w:rsidRPr="00BD295E">
        <w:rPr>
          <w:rFonts w:ascii="Arial" w:hAnsi="Arial" w:cs="Arial"/>
          <w:sz w:val="18"/>
          <w:szCs w:val="18"/>
          <w:lang w:val="en-US"/>
        </w:rPr>
        <w:t>The control procedures for the processes and subprocesses of the core and supporting activities, as well as management processes of the Company are documented in the risk and controls matrices.</w:t>
      </w:r>
    </w:p>
    <w:p w14:paraId="21B5F072" w14:textId="77777777" w:rsidR="00F3260C" w:rsidRPr="00BD295E" w:rsidRDefault="008A5057" w:rsidP="00C968B7">
      <w:pPr>
        <w:tabs>
          <w:tab w:val="left" w:pos="142"/>
          <w:tab w:val="left" w:pos="284"/>
          <w:tab w:val="left" w:pos="1134"/>
        </w:tabs>
        <w:jc w:val="both"/>
        <w:rPr>
          <w:rFonts w:ascii="Arial" w:hAnsi="Arial" w:cs="Arial"/>
          <w:sz w:val="18"/>
          <w:szCs w:val="18"/>
          <w:lang w:val="en-US"/>
        </w:rPr>
      </w:pPr>
      <w:r w:rsidRPr="00BD295E">
        <w:rPr>
          <w:rFonts w:ascii="Arial" w:hAnsi="Arial" w:cs="Arial"/>
          <w:sz w:val="18"/>
          <w:szCs w:val="18"/>
          <w:lang w:val="en-US"/>
        </w:rPr>
        <w:t xml:space="preserve">In order to develop, improve, and increase the maturity of its internal control system, the Company approved a plan for improving its internal control system by adopting Order No. 265 </w:t>
      </w:r>
      <w:r w:rsidR="008B183C" w:rsidRPr="00BD295E">
        <w:rPr>
          <w:rFonts w:ascii="Arial" w:hAnsi="Arial" w:cs="Arial"/>
          <w:sz w:val="18"/>
          <w:szCs w:val="18"/>
          <w:lang w:val="en-US"/>
        </w:rPr>
        <w:t>of</w:t>
      </w:r>
      <w:r w:rsidRPr="00BD295E">
        <w:rPr>
          <w:rFonts w:ascii="Arial" w:hAnsi="Arial" w:cs="Arial"/>
          <w:sz w:val="18"/>
          <w:szCs w:val="18"/>
          <w:lang w:val="en-US"/>
        </w:rPr>
        <w:t xml:space="preserve"> June 9, 2018 in accordance with the Instruction of the Company’s Management Board (Minutes No. 166 </w:t>
      </w:r>
      <w:r w:rsidR="008B183C" w:rsidRPr="00BD295E">
        <w:rPr>
          <w:rFonts w:ascii="Arial" w:hAnsi="Arial" w:cs="Arial"/>
          <w:sz w:val="18"/>
          <w:szCs w:val="18"/>
          <w:lang w:val="en-US"/>
        </w:rPr>
        <w:t>of</w:t>
      </w:r>
      <w:r w:rsidRPr="00BD295E">
        <w:rPr>
          <w:rFonts w:ascii="Arial" w:hAnsi="Arial" w:cs="Arial"/>
          <w:sz w:val="18"/>
          <w:szCs w:val="18"/>
          <w:lang w:val="en-US"/>
        </w:rPr>
        <w:t xml:space="preserve"> April 20, 2018) and the Audit Committee (Minutes No. 95 </w:t>
      </w:r>
      <w:r w:rsidR="008B183C" w:rsidRPr="00BD295E">
        <w:rPr>
          <w:rFonts w:ascii="Arial" w:hAnsi="Arial" w:cs="Arial"/>
          <w:sz w:val="18"/>
          <w:szCs w:val="18"/>
          <w:lang w:val="en-US"/>
        </w:rPr>
        <w:t>of</w:t>
      </w:r>
      <w:r w:rsidRPr="00BD295E">
        <w:rPr>
          <w:rFonts w:ascii="Arial" w:hAnsi="Arial" w:cs="Arial"/>
          <w:sz w:val="18"/>
          <w:szCs w:val="18"/>
          <w:lang w:val="en-US"/>
        </w:rPr>
        <w:t xml:space="preserve"> May 7, 2018).  </w:t>
      </w:r>
    </w:p>
    <w:p w14:paraId="5BD60D32" w14:textId="77777777" w:rsidR="00F3260C" w:rsidRPr="00BD295E" w:rsidRDefault="008A5057" w:rsidP="00C968B7">
      <w:pPr>
        <w:tabs>
          <w:tab w:val="left" w:pos="0"/>
          <w:tab w:val="left" w:pos="993"/>
          <w:tab w:val="left" w:pos="1276"/>
        </w:tabs>
        <w:jc w:val="both"/>
        <w:rPr>
          <w:rFonts w:ascii="Arial" w:eastAsia="Calibri" w:hAnsi="Arial" w:cs="Arial"/>
          <w:sz w:val="18"/>
          <w:szCs w:val="18"/>
          <w:lang w:val="en-US"/>
        </w:rPr>
      </w:pPr>
      <w:r w:rsidRPr="00BD295E">
        <w:rPr>
          <w:rFonts w:ascii="Arial" w:hAnsi="Arial" w:cs="Arial"/>
          <w:sz w:val="18"/>
          <w:szCs w:val="18"/>
          <w:lang w:val="en-US"/>
        </w:rPr>
        <w:t>To guarantee that the internal control system is effective and meets the actually changing requirements and conditions, the Company evaluates its effectiveness and compliance with the targets, including the target maturity level.</w:t>
      </w:r>
    </w:p>
    <w:p w14:paraId="3DC51174" w14:textId="77777777" w:rsidR="00F3260C" w:rsidRPr="00BD295E" w:rsidRDefault="008A5057" w:rsidP="00C968B7">
      <w:pPr>
        <w:tabs>
          <w:tab w:val="left" w:pos="709"/>
          <w:tab w:val="left" w:pos="993"/>
        </w:tabs>
        <w:contextualSpacing/>
        <w:jc w:val="both"/>
        <w:rPr>
          <w:rFonts w:ascii="Arial" w:hAnsi="Arial" w:cs="Arial"/>
          <w:bCs/>
          <w:sz w:val="18"/>
          <w:szCs w:val="18"/>
          <w:lang w:val="en-US"/>
        </w:rPr>
      </w:pPr>
      <w:r w:rsidRPr="00BD295E">
        <w:rPr>
          <w:rFonts w:ascii="Arial" w:hAnsi="Arial" w:cs="Arial"/>
          <w:bCs/>
          <w:sz w:val="18"/>
          <w:szCs w:val="18"/>
          <w:lang w:val="en-US"/>
        </w:rPr>
        <w:t xml:space="preserve">Internal independent evaluation of the internal control system’s effectiveness is performed by the Company’s internal auditor. </w:t>
      </w:r>
      <w:r w:rsidRPr="00BD295E">
        <w:rPr>
          <w:rFonts w:ascii="Arial" w:hAnsi="Arial" w:cs="Arial"/>
          <w:sz w:val="18"/>
          <w:szCs w:val="18"/>
          <w:lang w:val="en-US"/>
        </w:rPr>
        <w:t>The external evaluation of the internal control system’s effectiveness will be performed by an independent external consultant in Q1–Q2 2019.</w:t>
      </w:r>
      <w:r w:rsidRPr="00BD295E">
        <w:rPr>
          <w:rFonts w:ascii="Arial" w:hAnsi="Arial" w:cs="Arial"/>
          <w:bCs/>
          <w:sz w:val="18"/>
          <w:szCs w:val="18"/>
          <w:lang w:val="en-US"/>
        </w:rPr>
        <w:t xml:space="preserve"> </w:t>
      </w:r>
    </w:p>
    <w:p w14:paraId="4C3B6442" w14:textId="77777777" w:rsidR="00F3260C" w:rsidRPr="00BD295E" w:rsidRDefault="008A5057" w:rsidP="00C968B7">
      <w:pPr>
        <w:tabs>
          <w:tab w:val="left" w:pos="-426"/>
          <w:tab w:val="left" w:pos="1276"/>
        </w:tabs>
        <w:contextualSpacing/>
        <w:jc w:val="both"/>
        <w:rPr>
          <w:rFonts w:ascii="Arial" w:eastAsia="Calibri" w:hAnsi="Arial" w:cs="Arial"/>
          <w:sz w:val="18"/>
          <w:szCs w:val="18"/>
          <w:lang w:val="en-US"/>
        </w:rPr>
      </w:pPr>
      <w:r w:rsidRPr="00BD295E">
        <w:rPr>
          <w:rFonts w:ascii="Arial" w:hAnsi="Arial" w:cs="Arial"/>
          <w:sz w:val="18"/>
          <w:szCs w:val="18"/>
          <w:lang w:val="en-US"/>
        </w:rPr>
        <w:t xml:space="preserve">The internal control system’s effectiveness in 2018 was reviewed at the meeting of the Board of Directors (Minutes No. __.__.2019) after a preliminary review of the matter by the Audit Committee of the Board of Directors (Minutes No. 106 </w:t>
      </w:r>
      <w:r w:rsidR="008B183C" w:rsidRPr="00BD295E">
        <w:rPr>
          <w:rFonts w:ascii="Arial" w:hAnsi="Arial" w:cs="Arial"/>
          <w:sz w:val="18"/>
          <w:szCs w:val="18"/>
          <w:lang w:val="en-US"/>
        </w:rPr>
        <w:t>of</w:t>
      </w:r>
      <w:r w:rsidRPr="00BD295E">
        <w:rPr>
          <w:rFonts w:ascii="Arial" w:hAnsi="Arial" w:cs="Arial"/>
          <w:sz w:val="18"/>
          <w:szCs w:val="18"/>
          <w:lang w:val="en-US"/>
        </w:rPr>
        <w:t xml:space="preserve"> April 25, 2019). The above resolutions estimated the internal control system’s maturity as “</w:t>
      </w:r>
      <w:r w:rsidRPr="00BD295E">
        <w:rPr>
          <w:rFonts w:ascii="Arial" w:hAnsi="Arial" w:cs="Arial"/>
          <w:i/>
          <w:iCs/>
          <w:sz w:val="18"/>
          <w:szCs w:val="18"/>
          <w:lang w:val="en-US"/>
        </w:rPr>
        <w:t>intermediate between moderate and optimal</w:t>
      </w:r>
      <w:r w:rsidRPr="00BD295E">
        <w:rPr>
          <w:rFonts w:ascii="Arial" w:hAnsi="Arial" w:cs="Arial"/>
          <w:sz w:val="18"/>
          <w:szCs w:val="18"/>
          <w:lang w:val="en-US"/>
        </w:rPr>
        <w:t>”.</w:t>
      </w:r>
      <w:r w:rsidRPr="00BD295E">
        <w:rPr>
          <w:rFonts w:ascii="Arial" w:hAnsi="Arial" w:cs="Arial"/>
          <w:bCs/>
          <w:i/>
          <w:sz w:val="18"/>
          <w:szCs w:val="18"/>
          <w:lang w:val="en-US"/>
        </w:rPr>
        <w:t xml:space="preserve"> </w:t>
      </w:r>
      <w:r w:rsidRPr="00BD295E">
        <w:rPr>
          <w:rFonts w:ascii="Arial" w:hAnsi="Arial" w:cs="Arial"/>
          <w:sz w:val="18"/>
          <w:szCs w:val="18"/>
          <w:lang w:val="en-US"/>
        </w:rPr>
        <w:t>The maturity level did not change as compared to the results of the internal control system’s effectiveness evaluation for 2017.</w:t>
      </w:r>
    </w:p>
    <w:p w14:paraId="1D821F01" w14:textId="77777777" w:rsidR="00F3260C" w:rsidRPr="00BD295E" w:rsidRDefault="008A5057" w:rsidP="00C968B7">
      <w:pPr>
        <w:tabs>
          <w:tab w:val="left" w:pos="993"/>
        </w:tabs>
        <w:jc w:val="both"/>
        <w:rPr>
          <w:rFonts w:ascii="Arial" w:hAnsi="Arial" w:cs="Arial"/>
          <w:sz w:val="18"/>
          <w:szCs w:val="18"/>
          <w:lang w:val="en-US"/>
        </w:rPr>
      </w:pPr>
      <w:r w:rsidRPr="00BD295E">
        <w:rPr>
          <w:rFonts w:ascii="Arial" w:hAnsi="Arial" w:cs="Arial"/>
          <w:sz w:val="18"/>
          <w:szCs w:val="18"/>
          <w:lang w:val="en-US"/>
        </w:rPr>
        <w:t xml:space="preserve">In the reporting year, the Company implemented the following key measures to improve the internal control system: </w:t>
      </w:r>
    </w:p>
    <w:p w14:paraId="23EC39D7" w14:textId="77777777" w:rsidR="00F3260C" w:rsidRPr="00BD295E" w:rsidRDefault="008A5057" w:rsidP="00C968B7">
      <w:pPr>
        <w:pStyle w:val="affff6"/>
        <w:numPr>
          <w:ilvl w:val="0"/>
          <w:numId w:val="127"/>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In order to improve the quality of management and motivation of the Company’s employees, the Company developed and adopted bonus KPIs for the Company's units.</w:t>
      </w:r>
    </w:p>
    <w:p w14:paraId="3873A3BB" w14:textId="77777777" w:rsidR="00F3260C" w:rsidRPr="00BD295E" w:rsidRDefault="008A5057" w:rsidP="00C968B7">
      <w:pPr>
        <w:pStyle w:val="affff6"/>
        <w:numPr>
          <w:ilvl w:val="0"/>
          <w:numId w:val="127"/>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In order to improve the effectiveness of internal control in business processes:</w:t>
      </w:r>
    </w:p>
    <w:p w14:paraId="475D005E" w14:textId="457B3471" w:rsidR="00F3260C" w:rsidRPr="00BD295E" w:rsidRDefault="008A5057" w:rsidP="00C968B7">
      <w:pPr>
        <w:pStyle w:val="affff6"/>
        <w:numPr>
          <w:ilvl w:val="0"/>
          <w:numId w:val="134"/>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Process (business line) owners conducted a self-assessment of design efficiency of controls and an assessment of the actual implementation of control procedures for processes owned by them in 2017, as well as a self-assessment of the effectiveness of internal controls with respect </w:t>
      </w:r>
      <w:r w:rsidR="002C3947" w:rsidRPr="00BD295E">
        <w:rPr>
          <w:rFonts w:ascii="Arial" w:hAnsi="Arial" w:cs="Arial"/>
          <w:sz w:val="18"/>
          <w:szCs w:val="18"/>
          <w:lang w:val="en-US"/>
        </w:rPr>
        <w:t>to business</w:t>
      </w:r>
      <w:r w:rsidRPr="00BD295E">
        <w:rPr>
          <w:rFonts w:ascii="Arial" w:hAnsi="Arial" w:cs="Arial"/>
          <w:sz w:val="18"/>
          <w:szCs w:val="18"/>
          <w:lang w:val="en-US"/>
        </w:rPr>
        <w:t xml:space="preserve"> processes in 2017 and 2018. Also, the Internal Control and Risk Management Division conducted a stage-wise evaluation of the design and operational effectiveness of controls applied to business process control matrices approved at the Company.</w:t>
      </w:r>
    </w:p>
    <w:p w14:paraId="55E40245" w14:textId="294C0327" w:rsidR="00F3260C" w:rsidRPr="00BD295E" w:rsidRDefault="008A5057" w:rsidP="00C968B7">
      <w:pPr>
        <w:pStyle w:val="affff6"/>
        <w:numPr>
          <w:ilvl w:val="0"/>
          <w:numId w:val="134"/>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The </w:t>
      </w:r>
      <w:r w:rsidR="00BF7D8E" w:rsidRPr="00BD295E">
        <w:rPr>
          <w:rFonts w:ascii="Arial" w:hAnsi="Arial" w:cs="Arial"/>
          <w:sz w:val="18"/>
          <w:szCs w:val="18"/>
          <w:lang w:val="en-US"/>
        </w:rPr>
        <w:t>updated</w:t>
      </w:r>
      <w:r w:rsidRPr="00BD295E">
        <w:rPr>
          <w:rFonts w:ascii="Arial" w:hAnsi="Arial" w:cs="Arial"/>
          <w:sz w:val="18"/>
          <w:szCs w:val="18"/>
          <w:lang w:val="en-US"/>
        </w:rPr>
        <w:t xml:space="preserve"> risk matrices, control procedures, and flowcharts of the Company’s 27 key business processes (business lines) were approved.</w:t>
      </w:r>
    </w:p>
    <w:p w14:paraId="2737EF07" w14:textId="7B85CD4C" w:rsidR="00F3260C" w:rsidRPr="00BD295E" w:rsidRDefault="008A5057" w:rsidP="00C968B7">
      <w:pPr>
        <w:pStyle w:val="affff6"/>
        <w:numPr>
          <w:ilvl w:val="0"/>
          <w:numId w:val="134"/>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The Company put in place a process for approval of responsibility matrices for all internal regulations governing the Company’s business processes (business lines) applied when the relevant regulatory documents need to be </w:t>
      </w:r>
      <w:r w:rsidR="00BF7D8E" w:rsidRPr="00BD295E">
        <w:rPr>
          <w:rFonts w:ascii="Arial" w:hAnsi="Arial" w:cs="Arial"/>
          <w:sz w:val="18"/>
          <w:szCs w:val="18"/>
          <w:lang w:val="en-US"/>
        </w:rPr>
        <w:t>updated</w:t>
      </w:r>
      <w:r w:rsidRPr="00BD295E">
        <w:rPr>
          <w:rFonts w:ascii="Arial" w:hAnsi="Arial" w:cs="Arial"/>
          <w:sz w:val="18"/>
          <w:szCs w:val="18"/>
          <w:lang w:val="en-US"/>
        </w:rPr>
        <w:t xml:space="preserve"> or developed.</w:t>
      </w:r>
    </w:p>
    <w:p w14:paraId="27D9B0D8" w14:textId="77777777" w:rsidR="00F3260C" w:rsidRPr="00BD295E" w:rsidRDefault="008A5057" w:rsidP="00C968B7">
      <w:pPr>
        <w:pStyle w:val="affff6"/>
        <w:numPr>
          <w:ilvl w:val="0"/>
          <w:numId w:val="127"/>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The following projects were implemented to automate process control systems:</w:t>
      </w:r>
    </w:p>
    <w:p w14:paraId="65620504" w14:textId="77777777" w:rsidR="00F3260C" w:rsidRPr="00BD295E" w:rsidRDefault="008A5057" w:rsidP="00C968B7">
      <w:pPr>
        <w:pStyle w:val="affff6"/>
        <w:numPr>
          <w:ilvl w:val="0"/>
          <w:numId w:val="134"/>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creation of an automated process control system for grid connection,</w:t>
      </w:r>
    </w:p>
    <w:p w14:paraId="7C674D48" w14:textId="77777777" w:rsidR="00F3260C" w:rsidRPr="00BD295E" w:rsidRDefault="008A5057" w:rsidP="00C968B7">
      <w:pPr>
        <w:pStyle w:val="affff6"/>
        <w:numPr>
          <w:ilvl w:val="0"/>
          <w:numId w:val="134"/>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automation of controls related to the automated reporting system,</w:t>
      </w:r>
    </w:p>
    <w:p w14:paraId="220CB367" w14:textId="77777777" w:rsidR="00F3260C" w:rsidRPr="00BD295E" w:rsidRDefault="008A5057" w:rsidP="00C968B7">
      <w:pPr>
        <w:pStyle w:val="affff6"/>
        <w:numPr>
          <w:ilvl w:val="0"/>
          <w:numId w:val="134"/>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creation and launch of an automated risk management system (ARMS).</w:t>
      </w:r>
    </w:p>
    <w:p w14:paraId="5C4B2DCA" w14:textId="47F03705" w:rsidR="00F3260C" w:rsidRPr="00BD295E" w:rsidRDefault="008A5057" w:rsidP="00C968B7">
      <w:pPr>
        <w:pStyle w:val="affff6"/>
        <w:numPr>
          <w:ilvl w:val="0"/>
          <w:numId w:val="127"/>
        </w:numPr>
        <w:tabs>
          <w:tab w:val="left" w:pos="1134"/>
        </w:tabs>
        <w:ind w:left="0" w:firstLine="0"/>
        <w:jc w:val="both"/>
        <w:rPr>
          <w:rFonts w:ascii="Arial" w:hAnsi="Arial" w:cs="Arial"/>
          <w:bCs/>
          <w:iCs/>
          <w:sz w:val="18"/>
          <w:szCs w:val="18"/>
          <w:lang w:val="en-US"/>
        </w:rPr>
      </w:pPr>
      <w:r w:rsidRPr="00BD295E">
        <w:rPr>
          <w:rFonts w:ascii="Arial" w:hAnsi="Arial" w:cs="Arial"/>
          <w:sz w:val="18"/>
          <w:szCs w:val="18"/>
          <w:lang w:val="en-US"/>
        </w:rPr>
        <w:t xml:space="preserve">In order to increase involvement of the Company’s employees in applying the internal control and risk management policies in practice, presentation and training materials related to the internal control and risk management system were </w:t>
      </w:r>
      <w:r w:rsidR="00BF7D8E" w:rsidRPr="00BD295E">
        <w:rPr>
          <w:rFonts w:ascii="Arial" w:hAnsi="Arial" w:cs="Arial"/>
          <w:sz w:val="18"/>
          <w:szCs w:val="18"/>
          <w:lang w:val="en-US"/>
        </w:rPr>
        <w:t>updated</w:t>
      </w:r>
      <w:r w:rsidRPr="00BD295E">
        <w:rPr>
          <w:rFonts w:ascii="Arial" w:hAnsi="Arial" w:cs="Arial"/>
          <w:sz w:val="18"/>
          <w:szCs w:val="18"/>
          <w:lang w:val="en-US"/>
        </w:rPr>
        <w:t xml:space="preserve"> and published on the Company’s website, with distance learning organized for the Company’s employees, including final knowledge checks. </w:t>
      </w:r>
      <w:r w:rsidRPr="00BD295E">
        <w:rPr>
          <w:rFonts w:ascii="Arial" w:hAnsi="Arial" w:cs="Arial"/>
          <w:bCs/>
          <w:iCs/>
          <w:sz w:val="18"/>
          <w:szCs w:val="18"/>
          <w:lang w:val="en-US"/>
        </w:rPr>
        <w:t xml:space="preserve">In addition, the Head of the Internal Control and Risk Management Department at the Training Center of </w:t>
      </w:r>
      <w:r w:rsidR="00EE5753" w:rsidRPr="00BD295E">
        <w:rPr>
          <w:rFonts w:ascii="Arial" w:hAnsi="Arial" w:cs="Arial"/>
          <w:bCs/>
          <w:iCs/>
          <w:sz w:val="18"/>
          <w:szCs w:val="18"/>
          <w:lang w:val="en-US"/>
        </w:rPr>
        <w:t>PJSC “Lenenergo”</w:t>
      </w:r>
      <w:r w:rsidRPr="00BD295E">
        <w:rPr>
          <w:rFonts w:ascii="Arial" w:hAnsi="Arial" w:cs="Arial"/>
          <w:bCs/>
          <w:iCs/>
          <w:sz w:val="18"/>
          <w:szCs w:val="18"/>
          <w:lang w:val="en-US"/>
        </w:rPr>
        <w:t xml:space="preserve"> conducts regular face-to-face Risk Management trainings for heads and chief engineers of electric grid districts.</w:t>
      </w:r>
    </w:p>
    <w:p w14:paraId="4B288123" w14:textId="77777777" w:rsidR="00F3260C" w:rsidRPr="00BD295E" w:rsidRDefault="008A5057" w:rsidP="00C968B7">
      <w:pPr>
        <w:pStyle w:val="affff6"/>
        <w:numPr>
          <w:ilvl w:val="0"/>
          <w:numId w:val="127"/>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In order to meet the principle of internal audit independence, the Internal Audit and Control Department of the Company has been reorganized with the internal audit function now reporting to the CEO and separated from the internal control and risk management function (reporting to the Deputy CEO – Head of the Administrative Office).</w:t>
      </w:r>
    </w:p>
    <w:p w14:paraId="6BEF04FD" w14:textId="77777777" w:rsidR="00F3260C" w:rsidRPr="00BD295E" w:rsidRDefault="008A5057" w:rsidP="00C968B7">
      <w:pPr>
        <w:pStyle w:val="af3"/>
        <w:tabs>
          <w:tab w:val="left" w:pos="1134"/>
          <w:tab w:val="left" w:pos="1276"/>
        </w:tabs>
        <w:ind w:left="0"/>
        <w:jc w:val="both"/>
        <w:rPr>
          <w:rFonts w:ascii="Arial" w:hAnsi="Arial" w:cs="Arial"/>
          <w:sz w:val="18"/>
          <w:szCs w:val="18"/>
          <w:lang w:val="en-US"/>
        </w:rPr>
      </w:pPr>
      <w:r w:rsidRPr="00BD295E">
        <w:rPr>
          <w:rFonts w:ascii="Arial" w:hAnsi="Arial" w:cs="Arial"/>
          <w:sz w:val="18"/>
          <w:szCs w:val="18"/>
          <w:lang w:val="en-US"/>
        </w:rPr>
        <w:t>Going forward, the Company plans to continue developing and improving its internal control system so as to increase its effectiveness and maturity, in particular, across the following areas:</w:t>
      </w:r>
    </w:p>
    <w:p w14:paraId="4B9F3F9E" w14:textId="77777777" w:rsidR="00F3260C" w:rsidRPr="00BD295E" w:rsidRDefault="008A5057" w:rsidP="00C968B7">
      <w:pPr>
        <w:pStyle w:val="af3"/>
        <w:numPr>
          <w:ilvl w:val="0"/>
          <w:numId w:val="133"/>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automating business processes (business lines) and control procedures (including taking into account the </w:t>
      </w:r>
      <w:r w:rsidRPr="00BD295E">
        <w:rPr>
          <w:rFonts w:ascii="Arial" w:hAnsi="Arial" w:cs="Arial"/>
          <w:i/>
          <w:iCs/>
          <w:sz w:val="18"/>
          <w:szCs w:val="18"/>
          <w:lang w:val="en-US"/>
        </w:rPr>
        <w:t>Digital Transformation Concept 2030</w:t>
      </w:r>
      <w:r w:rsidRPr="00BD295E">
        <w:rPr>
          <w:rFonts w:ascii="Arial" w:hAnsi="Arial" w:cs="Arial"/>
          <w:sz w:val="18"/>
          <w:szCs w:val="18"/>
          <w:lang w:val="en-US"/>
        </w:rPr>
        <w:t>),</w:t>
      </w:r>
    </w:p>
    <w:p w14:paraId="375864D8" w14:textId="77777777" w:rsidR="00F3260C" w:rsidRPr="00BD295E" w:rsidRDefault="008A5057" w:rsidP="00C968B7">
      <w:pPr>
        <w:pStyle w:val="af3"/>
        <w:numPr>
          <w:ilvl w:val="0"/>
          <w:numId w:val="133"/>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building an effective risk-oriented process management model based on an assessment of the effectiveness and efficiency of the Company’s business processes,</w:t>
      </w:r>
    </w:p>
    <w:p w14:paraId="55218124" w14:textId="77777777" w:rsidR="00F3260C" w:rsidRPr="00BD295E" w:rsidRDefault="008A5057" w:rsidP="00C968B7">
      <w:pPr>
        <w:tabs>
          <w:tab w:val="left" w:pos="0"/>
        </w:tabs>
        <w:jc w:val="both"/>
        <w:rPr>
          <w:rFonts w:ascii="Arial" w:hAnsi="Arial" w:cs="Arial"/>
          <w:b/>
          <w:sz w:val="18"/>
          <w:szCs w:val="18"/>
          <w:lang w:val="en-US"/>
        </w:rPr>
      </w:pPr>
      <w:r w:rsidRPr="00BD295E">
        <w:rPr>
          <w:rFonts w:ascii="Arial" w:hAnsi="Arial" w:cs="Arial"/>
          <w:sz w:val="18"/>
          <w:szCs w:val="18"/>
          <w:lang w:val="en-US"/>
        </w:rPr>
        <w:t>including taking into account the results of an external independent evaluation of the internal control system’s performance.</w:t>
      </w:r>
    </w:p>
    <w:p w14:paraId="016437A5" w14:textId="77777777" w:rsidR="00F3260C" w:rsidRPr="00BD295E" w:rsidRDefault="00F3260C" w:rsidP="00C968B7">
      <w:pPr>
        <w:tabs>
          <w:tab w:val="left" w:pos="0"/>
        </w:tabs>
        <w:jc w:val="both"/>
        <w:rPr>
          <w:rFonts w:ascii="Arial" w:hAnsi="Arial" w:cs="Arial"/>
          <w:b/>
          <w:sz w:val="18"/>
          <w:szCs w:val="18"/>
          <w:lang w:val="en-US"/>
        </w:rPr>
      </w:pPr>
    </w:p>
    <w:p w14:paraId="7CB76830" w14:textId="77777777" w:rsidR="00F3260C" w:rsidRPr="00BD295E" w:rsidRDefault="008A5057" w:rsidP="00C968B7">
      <w:pPr>
        <w:tabs>
          <w:tab w:val="left" w:pos="0"/>
        </w:tabs>
        <w:jc w:val="both"/>
        <w:rPr>
          <w:rFonts w:ascii="Arial" w:hAnsi="Arial" w:cs="Arial"/>
          <w:b/>
          <w:sz w:val="18"/>
          <w:szCs w:val="18"/>
          <w:lang w:val="en-US"/>
        </w:rPr>
      </w:pPr>
      <w:r w:rsidRPr="00BD295E">
        <w:rPr>
          <w:rFonts w:ascii="Arial" w:hAnsi="Arial" w:cs="Arial"/>
          <w:b/>
          <w:sz w:val="18"/>
          <w:szCs w:val="18"/>
          <w:lang w:val="en-US"/>
        </w:rPr>
        <w:t>Internal audit</w:t>
      </w:r>
    </w:p>
    <w:p w14:paraId="232502EF" w14:textId="30605E5F" w:rsidR="00F3260C" w:rsidRPr="00BD295E" w:rsidRDefault="008A5057" w:rsidP="00C968B7">
      <w:pPr>
        <w:tabs>
          <w:tab w:val="left" w:pos="0"/>
        </w:tabs>
        <w:jc w:val="both"/>
        <w:rPr>
          <w:rFonts w:ascii="Arial" w:hAnsi="Arial" w:cs="Arial"/>
          <w:sz w:val="18"/>
          <w:szCs w:val="18"/>
          <w:lang w:val="en-US"/>
        </w:rPr>
      </w:pPr>
      <w:r w:rsidRPr="00BD295E">
        <w:rPr>
          <w:rFonts w:ascii="Arial" w:hAnsi="Arial" w:cs="Arial"/>
          <w:sz w:val="18"/>
          <w:szCs w:val="18"/>
          <w:lang w:val="en-US"/>
        </w:rPr>
        <w:t>From June 9, 2018, the Internal Audit Department is responsible for performing the internal audit function at the C</w:t>
      </w:r>
      <w:r w:rsidR="008437C0" w:rsidRPr="00BD295E">
        <w:rPr>
          <w:rFonts w:ascii="Arial" w:hAnsi="Arial" w:cs="Arial"/>
          <w:sz w:val="18"/>
          <w:szCs w:val="18"/>
          <w:lang w:val="en-US"/>
        </w:rPr>
        <w:t>ompany. Based on the Resolution</w:t>
      </w:r>
      <w:r w:rsidRPr="00BD295E">
        <w:rPr>
          <w:rFonts w:ascii="Arial" w:hAnsi="Arial" w:cs="Arial"/>
          <w:sz w:val="18"/>
          <w:szCs w:val="18"/>
          <w:lang w:val="en-US"/>
        </w:rPr>
        <w:t xml:space="preserve">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June 8, 2018 (Minutes No. 1 </w:t>
      </w:r>
      <w:r w:rsidR="008B183C" w:rsidRPr="00BD295E">
        <w:rPr>
          <w:rFonts w:ascii="Arial" w:hAnsi="Arial" w:cs="Arial"/>
          <w:sz w:val="18"/>
          <w:szCs w:val="18"/>
          <w:lang w:val="en-US"/>
        </w:rPr>
        <w:t>of</w:t>
      </w:r>
      <w:r w:rsidRPr="00BD295E">
        <w:rPr>
          <w:rFonts w:ascii="Arial" w:hAnsi="Arial" w:cs="Arial"/>
          <w:sz w:val="18"/>
          <w:szCs w:val="18"/>
          <w:lang w:val="en-US"/>
        </w:rPr>
        <w:t xml:space="preserve"> June 14, 2018), a new organizational structure of the executive arm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introduced at the Company on June 9, 2018, according to which the former Internal Audit and Control Department was divided into the Internal Audit Department (directly reporting to the CEO) and the Internal Control and Risk Management Department (reporting to the Deputy CEO – Head of the Administrative Office) in order to meet the principle of internal audit independence.</w:t>
      </w:r>
    </w:p>
    <w:p w14:paraId="5DEE55D3" w14:textId="77777777" w:rsidR="00F3260C" w:rsidRPr="00BD295E" w:rsidRDefault="008A5057" w:rsidP="00C968B7">
      <w:pPr>
        <w:tabs>
          <w:tab w:val="left" w:pos="0"/>
        </w:tabs>
        <w:jc w:val="both"/>
        <w:rPr>
          <w:rFonts w:ascii="Arial" w:hAnsi="Arial" w:cs="Arial"/>
          <w:sz w:val="18"/>
          <w:szCs w:val="18"/>
          <w:lang w:val="en-US"/>
        </w:rPr>
      </w:pPr>
      <w:r w:rsidRPr="00BD295E">
        <w:rPr>
          <w:rFonts w:ascii="Arial" w:hAnsi="Arial" w:cs="Arial"/>
          <w:sz w:val="18"/>
          <w:szCs w:val="18"/>
          <w:lang w:val="en-US"/>
        </w:rPr>
        <w:t>The internal audit has dotted-line reporting relations with the Company’s Board of Directors, which means that the Board of Directors monitors and organizes the activities of the internal audit function, including approval of the function’s activity plan, a progress report on the plan and budget implementation, approval of decisions on appointment and dismissal of relevant officers, as well as determining the remuneration for the internal audit function’s head.</w:t>
      </w:r>
    </w:p>
    <w:p w14:paraId="1B5F790A" w14:textId="77777777" w:rsidR="00F3260C" w:rsidRPr="00BD295E" w:rsidRDefault="008A5057" w:rsidP="00C968B7">
      <w:pPr>
        <w:tabs>
          <w:tab w:val="left" w:pos="0"/>
        </w:tabs>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The goal of the Company’s internal audit function is to assist the Board of Directors and executive bodies of the Company in improving the effectiveness of the Company’s governance and its financial and business activities, including through a systematic and consistent approach to the analysis and evaluation of its risk management, internal control, and corporate governance systems as tools for providing reasonable assurance that the Company’s goals are achieved.</w:t>
      </w:r>
    </w:p>
    <w:p w14:paraId="38B33200" w14:textId="77777777" w:rsidR="00F3260C" w:rsidRPr="00BD295E" w:rsidRDefault="008A5057" w:rsidP="00C968B7">
      <w:pPr>
        <w:tabs>
          <w:tab w:val="left" w:pos="0"/>
        </w:tabs>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The goals, objectives, basic principles of organization and operation, functions, and powers of the internal audit function are outlined in the Internal Audit Policy, as well as in the Regulations for the Department.</w:t>
      </w:r>
    </w:p>
    <w:p w14:paraId="4D91FAC6" w14:textId="77777777" w:rsidR="00F3260C" w:rsidRPr="00BD295E" w:rsidRDefault="008A5057" w:rsidP="00C968B7">
      <w:pPr>
        <w:tabs>
          <w:tab w:val="left" w:pos="142"/>
          <w:tab w:val="left" w:pos="1276"/>
        </w:tabs>
        <w:contextualSpacing/>
        <w:jc w:val="both"/>
        <w:rPr>
          <w:rFonts w:ascii="Arial" w:hAnsi="Arial" w:cs="Arial"/>
          <w:sz w:val="18"/>
          <w:szCs w:val="18"/>
          <w:lang w:val="en-US"/>
        </w:rPr>
      </w:pPr>
      <w:r w:rsidRPr="00BD295E">
        <w:rPr>
          <w:rFonts w:ascii="Arial" w:hAnsi="Arial" w:cs="Arial"/>
          <w:sz w:val="18"/>
          <w:szCs w:val="18"/>
          <w:lang w:val="en-US"/>
        </w:rPr>
        <w:t xml:space="preserve">The following internal audit documents are in place at the Company: </w:t>
      </w:r>
    </w:p>
    <w:p w14:paraId="744E506C" w14:textId="77777777" w:rsidR="00F3260C" w:rsidRPr="00BD295E" w:rsidRDefault="008A5057" w:rsidP="00C968B7">
      <w:pPr>
        <w:pStyle w:val="af3"/>
        <w:numPr>
          <w:ilvl w:val="0"/>
          <w:numId w:val="14"/>
        </w:numPr>
        <w:tabs>
          <w:tab w:val="left" w:pos="-426"/>
          <w:tab w:val="left" w:pos="993"/>
        </w:tabs>
        <w:ind w:left="0" w:firstLine="0"/>
        <w:jc w:val="both"/>
        <w:rPr>
          <w:rFonts w:ascii="Arial" w:hAnsi="Arial" w:cs="Arial"/>
          <w:sz w:val="18"/>
          <w:szCs w:val="18"/>
          <w:lang w:val="en-US"/>
        </w:rPr>
      </w:pPr>
      <w:r w:rsidRPr="00BD295E">
        <w:rPr>
          <w:rFonts w:ascii="Arial" w:hAnsi="Arial" w:cs="Arial"/>
          <w:sz w:val="18"/>
          <w:szCs w:val="18"/>
          <w:lang w:val="en-US"/>
        </w:rPr>
        <w:t xml:space="preserve">The restated version of the Company’s Internal Audit Policy and the Code of Ethics for Internal Auditors approved by the Board of Directors on March 11, 2016 (Minutes No. 41 </w:t>
      </w:r>
      <w:r w:rsidR="008B183C" w:rsidRPr="00BD295E">
        <w:rPr>
          <w:rFonts w:ascii="Arial" w:hAnsi="Arial" w:cs="Arial"/>
          <w:sz w:val="18"/>
          <w:szCs w:val="18"/>
          <w:lang w:val="en-US"/>
        </w:rPr>
        <w:t>of</w:t>
      </w:r>
      <w:r w:rsidRPr="00BD295E">
        <w:rPr>
          <w:rFonts w:ascii="Arial" w:hAnsi="Arial" w:cs="Arial"/>
          <w:sz w:val="18"/>
          <w:szCs w:val="18"/>
          <w:lang w:val="en-US"/>
        </w:rPr>
        <w:t xml:space="preserve"> March 15, 2016, with amendments approved by the Board of Directors (Minutes No. 6 </w:t>
      </w:r>
      <w:r w:rsidR="008B183C" w:rsidRPr="00BD295E">
        <w:rPr>
          <w:rFonts w:ascii="Arial" w:hAnsi="Arial" w:cs="Arial"/>
          <w:sz w:val="18"/>
          <w:szCs w:val="18"/>
          <w:lang w:val="en-US"/>
        </w:rPr>
        <w:t>of</w:t>
      </w:r>
      <w:r w:rsidRPr="00BD295E">
        <w:rPr>
          <w:rFonts w:ascii="Arial" w:hAnsi="Arial" w:cs="Arial"/>
          <w:sz w:val="18"/>
          <w:szCs w:val="18"/>
          <w:lang w:val="en-US"/>
        </w:rPr>
        <w:t xml:space="preserve"> March 16, 2017);</w:t>
      </w:r>
    </w:p>
    <w:p w14:paraId="7B703EE9" w14:textId="77777777" w:rsidR="00F3260C" w:rsidRPr="00BD295E" w:rsidRDefault="008A5057" w:rsidP="00C968B7">
      <w:pPr>
        <w:pStyle w:val="af3"/>
        <w:numPr>
          <w:ilvl w:val="0"/>
          <w:numId w:val="14"/>
        </w:numPr>
        <w:tabs>
          <w:tab w:val="left" w:pos="-426"/>
          <w:tab w:val="left" w:pos="993"/>
        </w:tabs>
        <w:ind w:left="0" w:firstLine="0"/>
        <w:jc w:val="both"/>
        <w:rPr>
          <w:rFonts w:ascii="Arial" w:hAnsi="Arial" w:cs="Arial"/>
          <w:sz w:val="18"/>
          <w:szCs w:val="18"/>
          <w:lang w:val="en-US"/>
        </w:rPr>
      </w:pPr>
      <w:r w:rsidRPr="00BD295E">
        <w:rPr>
          <w:rFonts w:ascii="Arial" w:hAnsi="Arial" w:cs="Arial"/>
          <w:sz w:val="18"/>
          <w:szCs w:val="18"/>
          <w:lang w:val="en-US"/>
        </w:rPr>
        <w:t xml:space="preserve">Regulations for the Internal Audit Department agreed by the Audit Committee of the Company’s Board of Directors (Minutes No. 99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30, 2018), approved by the Board of Directors of the Company (Minutes No. 26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28, 2019) and approved by the CEO on March 1, 2019;</w:t>
      </w:r>
    </w:p>
    <w:p w14:paraId="1C2A5E44" w14:textId="77777777" w:rsidR="00F3260C" w:rsidRPr="00BD295E" w:rsidRDefault="008A5057" w:rsidP="00C968B7">
      <w:pPr>
        <w:pStyle w:val="af3"/>
        <w:numPr>
          <w:ilvl w:val="0"/>
          <w:numId w:val="14"/>
        </w:numPr>
        <w:tabs>
          <w:tab w:val="left" w:pos="142"/>
          <w:tab w:val="left" w:pos="993"/>
          <w:tab w:val="left" w:pos="1276"/>
        </w:tabs>
        <w:ind w:left="0" w:firstLine="0"/>
        <w:jc w:val="both"/>
        <w:rPr>
          <w:rFonts w:ascii="Arial" w:hAnsi="Arial" w:cs="Arial"/>
          <w:sz w:val="18"/>
          <w:szCs w:val="18"/>
          <w:lang w:val="en-US"/>
        </w:rPr>
      </w:pPr>
      <w:r w:rsidRPr="00BD295E">
        <w:rPr>
          <w:rFonts w:ascii="Arial" w:hAnsi="Arial" w:cs="Arial"/>
          <w:sz w:val="18"/>
          <w:szCs w:val="18"/>
          <w:lang w:val="en-US"/>
        </w:rPr>
        <w:t xml:space="preserve">The program for assurance and improvement of internal audit quality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(Order No. 40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27, 2017);</w:t>
      </w:r>
    </w:p>
    <w:p w14:paraId="206F26A7" w14:textId="77777777" w:rsidR="00F3260C" w:rsidRPr="00BD295E" w:rsidRDefault="008A5057" w:rsidP="00C968B7">
      <w:pPr>
        <w:pStyle w:val="af3"/>
        <w:numPr>
          <w:ilvl w:val="0"/>
          <w:numId w:val="14"/>
        </w:numPr>
        <w:tabs>
          <w:tab w:val="left" w:pos="142"/>
          <w:tab w:val="left" w:pos="993"/>
          <w:tab w:val="left" w:pos="1276"/>
        </w:tabs>
        <w:ind w:left="0" w:firstLine="0"/>
        <w:jc w:val="both"/>
        <w:rPr>
          <w:rFonts w:ascii="Arial" w:hAnsi="Arial" w:cs="Arial"/>
          <w:sz w:val="18"/>
          <w:szCs w:val="18"/>
          <w:lang w:val="en-US"/>
        </w:rPr>
      </w:pPr>
      <w:r w:rsidRPr="00BD295E">
        <w:rPr>
          <w:rFonts w:ascii="Arial" w:hAnsi="Arial" w:cs="Arial"/>
          <w:sz w:val="18"/>
          <w:szCs w:val="18"/>
          <w:lang w:val="en-US"/>
        </w:rPr>
        <w:t>internal operating standards of the internal audit function and practical guidelines developed in accordance with the International Standards for the Professional Practice of Internal Auditing.</w:t>
      </w:r>
    </w:p>
    <w:p w14:paraId="632AA73D" w14:textId="77777777" w:rsidR="00F3260C" w:rsidRPr="00BD295E" w:rsidRDefault="00F3260C" w:rsidP="00C968B7">
      <w:pPr>
        <w:tabs>
          <w:tab w:val="left" w:pos="0"/>
        </w:tabs>
        <w:autoSpaceDE w:val="0"/>
        <w:autoSpaceDN w:val="0"/>
        <w:adjustRightInd w:val="0"/>
        <w:jc w:val="both"/>
        <w:rPr>
          <w:rFonts w:ascii="Arial" w:hAnsi="Arial" w:cs="Arial"/>
          <w:sz w:val="18"/>
          <w:szCs w:val="18"/>
          <w:lang w:val="en-US"/>
        </w:rPr>
      </w:pPr>
    </w:p>
    <w:p w14:paraId="765EAF71" w14:textId="77777777" w:rsidR="00F3260C" w:rsidRPr="00BD295E" w:rsidRDefault="008A5057" w:rsidP="00C968B7">
      <w:pPr>
        <w:tabs>
          <w:tab w:val="left" w:pos="0"/>
        </w:tabs>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In 2018, a total of six employees were engaged in internal audit.</w:t>
      </w:r>
    </w:p>
    <w:p w14:paraId="297D6B8D" w14:textId="77777777" w:rsidR="00F3260C" w:rsidRPr="00BD295E" w:rsidRDefault="008A5057" w:rsidP="00C968B7">
      <w:pPr>
        <w:tabs>
          <w:tab w:val="left" w:pos="0"/>
        </w:tabs>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In 2018, the internal auditor conducted 19 internal audits (Chart 1).</w:t>
      </w:r>
    </w:p>
    <w:p w14:paraId="4B93D078" w14:textId="77777777" w:rsidR="00F3260C" w:rsidRPr="00BD295E" w:rsidRDefault="00F3260C" w:rsidP="00F3260C">
      <w:pPr>
        <w:tabs>
          <w:tab w:val="left" w:pos="0"/>
        </w:tabs>
        <w:autoSpaceDE w:val="0"/>
        <w:autoSpaceDN w:val="0"/>
        <w:adjustRightInd w:val="0"/>
        <w:ind w:firstLine="709"/>
        <w:jc w:val="both"/>
        <w:rPr>
          <w:rFonts w:ascii="Arial" w:hAnsi="Arial" w:cs="Arial"/>
          <w:sz w:val="18"/>
          <w:szCs w:val="18"/>
          <w:lang w:val="en-US"/>
        </w:rPr>
      </w:pPr>
    </w:p>
    <w:p w14:paraId="00B17A0B" w14:textId="5CA8E93E" w:rsidR="00F3260C" w:rsidRPr="00BD295E" w:rsidRDefault="00126423" w:rsidP="00F3260C">
      <w:pPr>
        <w:tabs>
          <w:tab w:val="left" w:pos="0"/>
        </w:tabs>
        <w:autoSpaceDE w:val="0"/>
        <w:autoSpaceDN w:val="0"/>
        <w:adjustRightInd w:val="0"/>
        <w:ind w:left="1135" w:hanging="1135"/>
        <w:jc w:val="center"/>
        <w:rPr>
          <w:rFonts w:ascii="Arial" w:hAnsi="Arial" w:cs="Arial"/>
          <w:i/>
          <w:sz w:val="18"/>
          <w:szCs w:val="18"/>
          <w:lang w:val="en-US"/>
        </w:rPr>
      </w:pPr>
      <w:bookmarkStart w:id="427" w:name="_Hlk95940059"/>
      <w:r w:rsidRPr="00BD295E">
        <w:rPr>
          <w:rFonts w:ascii="Arial Narrow" w:hAnsi="Arial Narrow" w:cs="Arial"/>
          <w:b/>
          <w:bCs/>
          <w:i/>
          <w:color w:val="44596B"/>
          <w:sz w:val="18"/>
          <w:szCs w:val="18"/>
          <w:lang w:val="en-US" w:eastAsia="en-US"/>
        </w:rPr>
        <mc:AlternateContent>
          <mc:Choice Requires="wps">
            <w:drawing>
              <wp:anchor distT="45720" distB="45720" distL="114300" distR="114300" simplePos="0" relativeHeight="251909632" behindDoc="0" locked="0" layoutInCell="1" allowOverlap="1" wp14:anchorId="5708D86C" wp14:editId="1C6CE1F7">
                <wp:simplePos x="0" y="0"/>
                <wp:positionH relativeFrom="column">
                  <wp:posOffset>3452720</wp:posOffset>
                </wp:positionH>
                <wp:positionV relativeFrom="paragraph">
                  <wp:posOffset>136585</wp:posOffset>
                </wp:positionV>
                <wp:extent cx="2650866" cy="2293446"/>
                <wp:effectExtent l="0" t="0" r="0" b="0"/>
                <wp:wrapNone/>
                <wp:docPr id="1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0866" cy="2293446"/>
                        </a:xfrm>
                        <a:prstGeom prst="rect">
                          <a:avLst/>
                        </a:prstGeom>
                        <a:solidFill>
                          <a:schemeClr val="bg1"/>
                        </a:solidFill>
                        <a:ln w="9525">
                          <a:noFill/>
                          <a:miter lim="800000"/>
                          <a:headEnd/>
                          <a:tailEnd/>
                        </a:ln>
                      </wps:spPr>
                      <wps:txbx>
                        <w:txbxContent>
                          <w:p w14:paraId="0A5EE3FC" w14:textId="7A24C180" w:rsidR="002C3947" w:rsidRPr="00126423" w:rsidRDefault="002C3947" w:rsidP="00126423">
                            <w:pPr>
                              <w:ind w:left="280" w:hanging="280"/>
                              <w:rPr>
                                <w:sz w:val="22"/>
                                <w:szCs w:val="36"/>
                              </w:rPr>
                            </w:pPr>
                            <w:r w:rsidRPr="00126423">
                              <w:rPr>
                                <w:color w:val="5089BC"/>
                                <w:sz w:val="18"/>
                                <w:szCs w:val="28"/>
                              </w:rPr>
                              <w:sym w:font="Wingdings 2" w:char="F0A2"/>
                            </w:r>
                            <w:r>
                              <w:rPr>
                                <w:sz w:val="22"/>
                                <w:szCs w:val="36"/>
                              </w:rPr>
                              <w:tab/>
                            </w:r>
                            <w:r w:rsidRPr="00126423">
                              <w:rPr>
                                <w:sz w:val="22"/>
                                <w:szCs w:val="36"/>
                              </w:rPr>
                              <w:t>Business process audits</w:t>
                            </w:r>
                          </w:p>
                          <w:p w14:paraId="06F966D1" w14:textId="52341084" w:rsidR="002C3947" w:rsidRPr="00126423" w:rsidRDefault="002C3947" w:rsidP="00126423">
                            <w:pPr>
                              <w:spacing w:before="240"/>
                              <w:ind w:left="280" w:hanging="280"/>
                              <w:rPr>
                                <w:sz w:val="22"/>
                                <w:szCs w:val="36"/>
                              </w:rPr>
                            </w:pPr>
                            <w:r w:rsidRPr="00126423">
                              <w:rPr>
                                <w:color w:val="D26E2A"/>
                                <w:sz w:val="18"/>
                                <w:szCs w:val="28"/>
                              </w:rPr>
                              <w:sym w:font="Wingdings 2" w:char="F0A2"/>
                            </w:r>
                            <w:r>
                              <w:rPr>
                                <w:sz w:val="22"/>
                                <w:szCs w:val="36"/>
                              </w:rPr>
                              <w:tab/>
                            </w:r>
                            <w:r w:rsidRPr="00126423">
                              <w:rPr>
                                <w:sz w:val="22"/>
                                <w:szCs w:val="36"/>
                              </w:rPr>
                              <w:t>Due diligence of branches,</w:t>
                            </w:r>
                            <w:r>
                              <w:rPr>
                                <w:sz w:val="22"/>
                                <w:szCs w:val="36"/>
                                <w:lang w:val="ru-RU"/>
                              </w:rPr>
                              <w:t xml:space="preserve"> </w:t>
                            </w:r>
                            <w:r w:rsidRPr="00126423">
                              <w:rPr>
                                <w:sz w:val="22"/>
                                <w:szCs w:val="36"/>
                              </w:rPr>
                              <w:t>subsidiaries and affiliates</w:t>
                            </w:r>
                          </w:p>
                          <w:p w14:paraId="28EA08C3" w14:textId="05A4442F" w:rsidR="002C3947" w:rsidRPr="00126423" w:rsidRDefault="002C3947" w:rsidP="00126423">
                            <w:pPr>
                              <w:spacing w:before="240"/>
                              <w:ind w:left="280" w:hanging="280"/>
                              <w:rPr>
                                <w:sz w:val="22"/>
                                <w:szCs w:val="36"/>
                              </w:rPr>
                            </w:pPr>
                            <w:r w:rsidRPr="00126423">
                              <w:rPr>
                                <w:color w:val="929292"/>
                                <w:sz w:val="18"/>
                                <w:szCs w:val="28"/>
                              </w:rPr>
                              <w:sym w:font="Wingdings 2" w:char="F0A2"/>
                            </w:r>
                            <w:r>
                              <w:rPr>
                                <w:sz w:val="22"/>
                                <w:szCs w:val="36"/>
                              </w:rPr>
                              <w:tab/>
                            </w:r>
                            <w:r w:rsidRPr="00126423">
                              <w:rPr>
                                <w:sz w:val="22"/>
                                <w:szCs w:val="36"/>
                              </w:rPr>
                              <w:t>Thematic audits</w:t>
                            </w:r>
                          </w:p>
                          <w:p w14:paraId="355EFA74" w14:textId="6C44A110" w:rsidR="002C3947" w:rsidRPr="00126423" w:rsidRDefault="002C3947" w:rsidP="00126423">
                            <w:pPr>
                              <w:spacing w:before="240"/>
                              <w:ind w:left="280" w:hanging="280"/>
                              <w:rPr>
                                <w:sz w:val="22"/>
                                <w:szCs w:val="36"/>
                              </w:rPr>
                            </w:pPr>
                            <w:r w:rsidRPr="00126423">
                              <w:rPr>
                                <w:color w:val="E2AA00"/>
                                <w:sz w:val="18"/>
                                <w:szCs w:val="28"/>
                              </w:rPr>
                              <w:sym w:font="Wingdings 2" w:char="F0A2"/>
                            </w:r>
                            <w:r>
                              <w:rPr>
                                <w:sz w:val="22"/>
                                <w:szCs w:val="36"/>
                              </w:rPr>
                              <w:tab/>
                            </w:r>
                            <w:r w:rsidRPr="00126423">
                              <w:rPr>
                                <w:sz w:val="22"/>
                                <w:szCs w:val="36"/>
                              </w:rPr>
                              <w:t>Monitoring of corrective measures</w:t>
                            </w:r>
                          </w:p>
                          <w:p w14:paraId="17BB1746" w14:textId="7F55B63E" w:rsidR="002C3947" w:rsidRPr="00126423" w:rsidRDefault="002C3947" w:rsidP="00126423">
                            <w:pPr>
                              <w:spacing w:before="240"/>
                              <w:ind w:left="280" w:hanging="280"/>
                              <w:rPr>
                                <w:sz w:val="22"/>
                                <w:szCs w:val="36"/>
                              </w:rPr>
                            </w:pPr>
                            <w:r w:rsidRPr="00126423">
                              <w:rPr>
                                <w:color w:val="3B64AD"/>
                                <w:sz w:val="18"/>
                                <w:szCs w:val="28"/>
                              </w:rPr>
                              <w:sym w:font="Wingdings 2" w:char="F0A2"/>
                            </w:r>
                            <w:r>
                              <w:rPr>
                                <w:sz w:val="22"/>
                                <w:szCs w:val="36"/>
                              </w:rPr>
                              <w:tab/>
                            </w:r>
                            <w:r w:rsidRPr="00126423">
                              <w:rPr>
                                <w:sz w:val="22"/>
                                <w:szCs w:val="36"/>
                              </w:rPr>
                              <w:t>Evaluation of the internal control and risk management systems</w:t>
                            </w:r>
                          </w:p>
                          <w:p w14:paraId="5D8308DA" w14:textId="47545CB6" w:rsidR="002C3947" w:rsidRPr="00126423" w:rsidRDefault="002C3947" w:rsidP="00126423">
                            <w:pPr>
                              <w:spacing w:before="240"/>
                              <w:ind w:left="280" w:hanging="280"/>
                              <w:rPr>
                                <w:sz w:val="22"/>
                                <w:szCs w:val="36"/>
                              </w:rPr>
                            </w:pPr>
                            <w:r w:rsidRPr="00126423">
                              <w:rPr>
                                <w:color w:val="62993E"/>
                                <w:sz w:val="18"/>
                                <w:szCs w:val="28"/>
                              </w:rPr>
                              <w:sym w:font="Wingdings 2" w:char="F0A2"/>
                            </w:r>
                            <w:r>
                              <w:rPr>
                                <w:sz w:val="22"/>
                                <w:szCs w:val="36"/>
                              </w:rPr>
                              <w:tab/>
                            </w:r>
                            <w:r w:rsidRPr="00126423">
                              <w:rPr>
                                <w:sz w:val="22"/>
                                <w:szCs w:val="36"/>
                              </w:rPr>
                              <w:t>Evaluation of corporate governance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708D86C" id="_x0000_s1180" type="#_x0000_t202" style="position:absolute;left:0;text-align:left;margin-left:271.85pt;margin-top:10.75pt;width:208.75pt;height:180.6pt;z-index:25190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" fillcolor="white [3212]" stroked="f">
                <v:textbox inset="0,0,0,0">
                  <w:txbxContent>
                    <w:p w14:paraId="0A5EE3FC" w14:textId="7A24C180" w:rsidR="002C3947" w:rsidRPr="00126423" w:rsidRDefault="002C3947" w:rsidP="00126423">
                      <w:pPr>
                        <w:ind w:left="280" w:hanging="280"/>
                        <w:rPr>
                          <w:sz w:val="22"/>
                          <w:szCs w:val="36"/>
                        </w:rPr>
                      </w:pPr>
                      <w:r w:rsidRPr="00126423">
                        <w:rPr>
                          <w:color w:val="5089BC"/>
                          <w:sz w:val="18"/>
                          <w:szCs w:val="28"/>
                        </w:rPr>
                        <w:sym w:font="Wingdings 2" w:char="F0A2"/>
                      </w:r>
                      <w:r>
                        <w:rPr>
                          <w:sz w:val="22"/>
                          <w:szCs w:val="36"/>
                        </w:rPr>
                        <w:tab/>
                      </w:r>
                      <w:r w:rsidRPr="00126423">
                        <w:rPr>
                          <w:sz w:val="22"/>
                          <w:szCs w:val="36"/>
                        </w:rPr>
                        <w:t>Business process audits</w:t>
                      </w:r>
                    </w:p>
                    <w:p w14:paraId="06F966D1" w14:textId="52341084" w:rsidR="002C3947" w:rsidRPr="00126423" w:rsidRDefault="002C3947" w:rsidP="00126423">
                      <w:pPr>
                        <w:spacing w:before="240"/>
                        <w:ind w:left="280" w:hanging="280"/>
                        <w:rPr>
                          <w:sz w:val="22"/>
                          <w:szCs w:val="36"/>
                        </w:rPr>
                      </w:pPr>
                      <w:r w:rsidRPr="00126423">
                        <w:rPr>
                          <w:color w:val="D26E2A"/>
                          <w:sz w:val="18"/>
                          <w:szCs w:val="28"/>
                        </w:rPr>
                        <w:sym w:font="Wingdings 2" w:char="F0A2"/>
                      </w:r>
                      <w:r>
                        <w:rPr>
                          <w:sz w:val="22"/>
                          <w:szCs w:val="36"/>
                        </w:rPr>
                        <w:tab/>
                      </w:r>
                      <w:r w:rsidRPr="00126423">
                        <w:rPr>
                          <w:sz w:val="22"/>
                          <w:szCs w:val="36"/>
                        </w:rPr>
                        <w:t>Due diligence of branches,</w:t>
                      </w:r>
                      <w:r>
                        <w:rPr>
                          <w:sz w:val="22"/>
                          <w:szCs w:val="36"/>
                          <w:lang w:val="ru-RU"/>
                        </w:rPr>
                        <w:t xml:space="preserve"> </w:t>
                      </w:r>
                      <w:r w:rsidRPr="00126423">
                        <w:rPr>
                          <w:sz w:val="22"/>
                          <w:szCs w:val="36"/>
                        </w:rPr>
                        <w:t>subsidiaries and affiliates</w:t>
                      </w:r>
                    </w:p>
                    <w:p w14:paraId="28EA08C3" w14:textId="05A4442F" w:rsidR="002C3947" w:rsidRPr="00126423" w:rsidRDefault="002C3947" w:rsidP="00126423">
                      <w:pPr>
                        <w:spacing w:before="240"/>
                        <w:ind w:left="280" w:hanging="280"/>
                        <w:rPr>
                          <w:sz w:val="22"/>
                          <w:szCs w:val="36"/>
                        </w:rPr>
                      </w:pPr>
                      <w:r w:rsidRPr="00126423">
                        <w:rPr>
                          <w:color w:val="929292"/>
                          <w:sz w:val="18"/>
                          <w:szCs w:val="28"/>
                        </w:rPr>
                        <w:sym w:font="Wingdings 2" w:char="F0A2"/>
                      </w:r>
                      <w:r>
                        <w:rPr>
                          <w:sz w:val="22"/>
                          <w:szCs w:val="36"/>
                        </w:rPr>
                        <w:tab/>
                      </w:r>
                      <w:r w:rsidRPr="00126423">
                        <w:rPr>
                          <w:sz w:val="22"/>
                          <w:szCs w:val="36"/>
                        </w:rPr>
                        <w:t>Thematic audits</w:t>
                      </w:r>
                    </w:p>
                    <w:p w14:paraId="355EFA74" w14:textId="6C44A110" w:rsidR="002C3947" w:rsidRPr="00126423" w:rsidRDefault="002C3947" w:rsidP="00126423">
                      <w:pPr>
                        <w:spacing w:before="240"/>
                        <w:ind w:left="280" w:hanging="280"/>
                        <w:rPr>
                          <w:sz w:val="22"/>
                          <w:szCs w:val="36"/>
                        </w:rPr>
                      </w:pPr>
                      <w:r w:rsidRPr="00126423">
                        <w:rPr>
                          <w:color w:val="E2AA00"/>
                          <w:sz w:val="18"/>
                          <w:szCs w:val="28"/>
                        </w:rPr>
                        <w:sym w:font="Wingdings 2" w:char="F0A2"/>
                      </w:r>
                      <w:r>
                        <w:rPr>
                          <w:sz w:val="22"/>
                          <w:szCs w:val="36"/>
                        </w:rPr>
                        <w:tab/>
                      </w:r>
                      <w:r w:rsidRPr="00126423">
                        <w:rPr>
                          <w:sz w:val="22"/>
                          <w:szCs w:val="36"/>
                        </w:rPr>
                        <w:t>Monitoring of corrective measures</w:t>
                      </w:r>
                    </w:p>
                    <w:p w14:paraId="17BB1746" w14:textId="7F55B63E" w:rsidR="002C3947" w:rsidRPr="00126423" w:rsidRDefault="002C3947" w:rsidP="00126423">
                      <w:pPr>
                        <w:spacing w:before="240"/>
                        <w:ind w:left="280" w:hanging="280"/>
                        <w:rPr>
                          <w:sz w:val="22"/>
                          <w:szCs w:val="36"/>
                        </w:rPr>
                      </w:pPr>
                      <w:r w:rsidRPr="00126423">
                        <w:rPr>
                          <w:color w:val="3B64AD"/>
                          <w:sz w:val="18"/>
                          <w:szCs w:val="28"/>
                        </w:rPr>
                        <w:sym w:font="Wingdings 2" w:char="F0A2"/>
                      </w:r>
                      <w:r>
                        <w:rPr>
                          <w:sz w:val="22"/>
                          <w:szCs w:val="36"/>
                        </w:rPr>
                        <w:tab/>
                      </w:r>
                      <w:r w:rsidRPr="00126423">
                        <w:rPr>
                          <w:sz w:val="22"/>
                          <w:szCs w:val="36"/>
                        </w:rPr>
                        <w:t>Evaluation of the internal control and risk management systems</w:t>
                      </w:r>
                    </w:p>
                    <w:p w14:paraId="5D8308DA" w14:textId="47545CB6" w:rsidR="002C3947" w:rsidRPr="00126423" w:rsidRDefault="002C3947" w:rsidP="00126423">
                      <w:pPr>
                        <w:spacing w:before="240"/>
                        <w:ind w:left="280" w:hanging="280"/>
                        <w:rPr>
                          <w:sz w:val="22"/>
                          <w:szCs w:val="36"/>
                        </w:rPr>
                      </w:pPr>
                      <w:r w:rsidRPr="00126423">
                        <w:rPr>
                          <w:color w:val="62993E"/>
                          <w:sz w:val="18"/>
                          <w:szCs w:val="28"/>
                        </w:rPr>
                        <w:sym w:font="Wingdings 2" w:char="F0A2"/>
                      </w:r>
                      <w:r>
                        <w:rPr>
                          <w:sz w:val="22"/>
                          <w:szCs w:val="36"/>
                        </w:rPr>
                        <w:tab/>
                      </w:r>
                      <w:r w:rsidRPr="00126423">
                        <w:rPr>
                          <w:sz w:val="22"/>
                          <w:szCs w:val="36"/>
                        </w:rPr>
                        <w:t>Evaluation of corporate governance</w:t>
                      </w:r>
                    </w:p>
                  </w:txbxContent>
                </v:textbox>
              </v:shape>
            </w:pict>
          </mc:Fallback>
        </mc:AlternateContent>
      </w:r>
      <w:r w:rsidR="00997D07" w:rsidRPr="00BD295E">
        <w:rPr>
          <w:rFonts w:ascii="Arial" w:hAnsi="Arial" w:cs="Arial"/>
          <w:sz w:val="18"/>
          <w:szCs w:val="18"/>
          <w:lang w:val="en-US" w:eastAsia="en-US"/>
        </w:rPr>
        <w:drawing>
          <wp:inline distT="0" distB="0" distL="0" distR="0" wp14:anchorId="16E475AE" wp14:editId="41C5D571">
            <wp:extent cx="5705475" cy="2638425"/>
            <wp:effectExtent l="0" t="0" r="0" b="0"/>
            <wp:docPr id="81" name="Диаграмма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2"/>
                    <pic:cNvPicPr>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05475" cy="2638425"/>
                    </a:xfrm>
                    <a:prstGeom prst="rect">
                      <a:avLst/>
                    </a:prstGeom>
                    <a:noFill/>
                    <a:ln>
                      <a:noFill/>
                    </a:ln>
                  </pic:spPr>
                </pic:pic>
              </a:graphicData>
            </a:graphic>
          </wp:inline>
        </w:drawing>
      </w:r>
      <w:bookmarkEnd w:id="427"/>
    </w:p>
    <w:p w14:paraId="377ED41A" w14:textId="77777777" w:rsidR="00B20A51" w:rsidRPr="00BD295E" w:rsidRDefault="00B20A51" w:rsidP="00F3260C">
      <w:pPr>
        <w:tabs>
          <w:tab w:val="left" w:pos="0"/>
        </w:tabs>
        <w:ind w:firstLine="709"/>
        <w:jc w:val="center"/>
        <w:rPr>
          <w:rFonts w:ascii="Arial" w:hAnsi="Arial" w:cs="Arial"/>
          <w:sz w:val="18"/>
          <w:szCs w:val="18"/>
          <w:lang w:val="en-US"/>
        </w:rPr>
      </w:pPr>
    </w:p>
    <w:p w14:paraId="179BCB3B" w14:textId="77777777" w:rsidR="00F3260C" w:rsidRPr="00BD295E" w:rsidRDefault="008A5057" w:rsidP="00F3260C">
      <w:pPr>
        <w:tabs>
          <w:tab w:val="left" w:pos="0"/>
        </w:tabs>
        <w:ind w:firstLine="709"/>
        <w:jc w:val="center"/>
        <w:rPr>
          <w:rFonts w:ascii="Arial" w:hAnsi="Arial" w:cs="Arial"/>
          <w:sz w:val="18"/>
          <w:szCs w:val="18"/>
          <w:lang w:val="en-US"/>
        </w:rPr>
      </w:pPr>
      <w:r w:rsidRPr="00BD295E">
        <w:rPr>
          <w:rFonts w:ascii="Arial" w:hAnsi="Arial" w:cs="Arial"/>
          <w:sz w:val="18"/>
          <w:szCs w:val="18"/>
          <w:lang w:val="en-US"/>
        </w:rPr>
        <w:t>Chart 1. Results of audits made by the internal audit function in 2018</w:t>
      </w:r>
    </w:p>
    <w:p w14:paraId="4ED04B7B" w14:textId="77777777" w:rsidR="00F3260C" w:rsidRPr="00BD295E" w:rsidRDefault="00F3260C" w:rsidP="00F3260C">
      <w:pPr>
        <w:pStyle w:val="af3"/>
        <w:tabs>
          <w:tab w:val="left" w:pos="0"/>
        </w:tabs>
        <w:autoSpaceDE w:val="0"/>
        <w:autoSpaceDN w:val="0"/>
        <w:adjustRightInd w:val="0"/>
        <w:ind w:left="1495" w:firstLine="709"/>
        <w:jc w:val="both"/>
        <w:rPr>
          <w:rFonts w:ascii="Arial" w:hAnsi="Arial" w:cs="Arial"/>
          <w:i/>
          <w:sz w:val="18"/>
          <w:szCs w:val="18"/>
          <w:lang w:val="en-US"/>
        </w:rPr>
      </w:pPr>
    </w:p>
    <w:p w14:paraId="27EC9E9A" w14:textId="77777777" w:rsidR="00F3260C" w:rsidRPr="00BD295E" w:rsidRDefault="008A5057" w:rsidP="00C968B7">
      <w:pPr>
        <w:tabs>
          <w:tab w:val="left" w:pos="0"/>
          <w:tab w:val="left" w:pos="1276"/>
        </w:tabs>
        <w:jc w:val="both"/>
        <w:rPr>
          <w:rFonts w:ascii="Arial" w:hAnsi="Arial" w:cs="Arial"/>
          <w:sz w:val="18"/>
          <w:szCs w:val="18"/>
          <w:lang w:val="en-US"/>
        </w:rPr>
      </w:pPr>
      <w:r w:rsidRPr="00BD295E">
        <w:rPr>
          <w:rFonts w:ascii="Arial" w:hAnsi="Arial" w:cs="Arial"/>
          <w:sz w:val="18"/>
          <w:szCs w:val="18"/>
          <w:lang w:val="en-US"/>
        </w:rPr>
        <w:t xml:space="preserve">Based on the results of internal audits of business processes and comprehensive audits of branches and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conducted in 2018, 330 corrective measures were approved to be taken in order to remedy and preventing further violations and deficiencies identified by the internal audits.</w:t>
      </w:r>
    </w:p>
    <w:p w14:paraId="3B8D4985" w14:textId="77777777" w:rsidR="00F3260C" w:rsidRPr="00BD295E" w:rsidRDefault="008A5057" w:rsidP="00C968B7">
      <w:pPr>
        <w:tabs>
          <w:tab w:val="left" w:pos="0"/>
          <w:tab w:val="left" w:pos="1276"/>
        </w:tabs>
        <w:jc w:val="both"/>
        <w:rPr>
          <w:rFonts w:ascii="Arial" w:hAnsi="Arial" w:cs="Arial"/>
          <w:bCs/>
          <w:i/>
          <w:sz w:val="18"/>
          <w:szCs w:val="18"/>
          <w:lang w:val="en-US"/>
        </w:rPr>
      </w:pPr>
      <w:r w:rsidRPr="00BD295E">
        <w:rPr>
          <w:rFonts w:ascii="Arial" w:hAnsi="Arial" w:cs="Arial"/>
          <w:bCs/>
          <w:sz w:val="18"/>
          <w:szCs w:val="18"/>
          <w:lang w:val="en-US"/>
        </w:rPr>
        <w:t>Out of 231 measures that were due in the reporting year, 218 corrective measures were implemented (Chart 2).</w:t>
      </w:r>
    </w:p>
    <w:p w14:paraId="364A4969" w14:textId="54916BCE" w:rsidR="00F3260C" w:rsidRPr="00BD295E" w:rsidRDefault="00126423" w:rsidP="00F3260C">
      <w:pPr>
        <w:pStyle w:val="af3"/>
        <w:tabs>
          <w:tab w:val="left" w:pos="0"/>
          <w:tab w:val="left" w:pos="1276"/>
        </w:tabs>
        <w:ind w:left="1495" w:hanging="1495"/>
        <w:jc w:val="center"/>
        <w:rPr>
          <w:rFonts w:ascii="Arial" w:hAnsi="Arial" w:cs="Arial"/>
          <w:bCs/>
          <w:i/>
          <w:sz w:val="18"/>
          <w:szCs w:val="18"/>
          <w:lang w:val="en-US"/>
        </w:rPr>
      </w:pPr>
      <w:bookmarkStart w:id="428" w:name="_Hlk95940067"/>
      <w:r w:rsidRPr="00BD295E">
        <w:rPr>
          <w:rFonts w:ascii="Arial Narrow" w:hAnsi="Arial Narrow" w:cs="Arial"/>
          <w:b/>
          <w:bCs/>
          <w:i/>
          <w:color w:val="44596B"/>
          <w:sz w:val="18"/>
          <w:szCs w:val="18"/>
          <w:lang w:val="en-US" w:eastAsia="en-US"/>
        </w:rPr>
        <mc:AlternateContent>
          <mc:Choice Requires="wps">
            <w:drawing>
              <wp:anchor distT="45720" distB="45720" distL="114300" distR="114300" simplePos="0" relativeHeight="251915776" behindDoc="0" locked="0" layoutInCell="1" allowOverlap="1" wp14:anchorId="69E1B259" wp14:editId="3179C1B4">
                <wp:simplePos x="0" y="0"/>
                <wp:positionH relativeFrom="column">
                  <wp:posOffset>849630</wp:posOffset>
                </wp:positionH>
                <wp:positionV relativeFrom="paragraph">
                  <wp:posOffset>1424305</wp:posOffset>
                </wp:positionV>
                <wp:extent cx="1729910" cy="562937"/>
                <wp:effectExtent l="0" t="0" r="3810" b="8890"/>
                <wp:wrapNone/>
                <wp:docPr id="1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910" cy="562937"/>
                        </a:xfrm>
                        <a:prstGeom prst="rect">
                          <a:avLst/>
                        </a:prstGeom>
                        <a:solidFill>
                          <a:schemeClr val="bg1"/>
                        </a:solidFill>
                        <a:ln w="9525">
                          <a:noFill/>
                          <a:miter lim="800000"/>
                          <a:headEnd/>
                          <a:tailEnd/>
                        </a:ln>
                      </wps:spPr>
                      <wps:txbx>
                        <w:txbxContent>
                          <w:p w14:paraId="28E50A95" w14:textId="104ADDBD" w:rsidR="002C3947" w:rsidRPr="00126423" w:rsidRDefault="002C3947" w:rsidP="00126423">
                            <w:pPr>
                              <w:jc w:val="right"/>
                              <w:rPr>
                                <w:sz w:val="22"/>
                                <w:szCs w:val="36"/>
                              </w:rPr>
                            </w:pPr>
                            <w:r w:rsidRPr="00126423">
                              <w:rPr>
                                <w:sz w:val="22"/>
                                <w:szCs w:val="36"/>
                              </w:rPr>
                              <w:t>Completed measures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E1B259" id="_x0000_s1181" type="#_x0000_t202" style="position:absolute;left:0;text-align:left;margin-left:66.9pt;margin-top:112.15pt;width:136.2pt;height:44.35pt;z-index:2519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" fillcolor="white [3212]" stroked="f">
                <v:textbox inset="0,0,0,0">
                  <w:txbxContent>
                    <w:p w14:paraId="28E50A95" w14:textId="104ADDBD" w:rsidR="002C3947" w:rsidRPr="00126423" w:rsidRDefault="002C3947" w:rsidP="00126423">
                      <w:pPr>
                        <w:jc w:val="right"/>
                        <w:rPr>
                          <w:sz w:val="22"/>
                          <w:szCs w:val="36"/>
                        </w:rPr>
                      </w:pPr>
                      <w:r w:rsidRPr="00126423">
                        <w:rPr>
                          <w:sz w:val="22"/>
                          <w:szCs w:val="36"/>
                        </w:rPr>
                        <w:t>Completed measures</w:t>
                      </w:r>
                    </w:p>
                  </w:txbxContent>
                </v:textbox>
              </v:shape>
            </w:pict>
          </mc:Fallback>
        </mc:AlternateContent>
      </w:r>
      <w:r w:rsidRPr="00BD295E">
        <w:rPr>
          <w:rFonts w:ascii="Arial Narrow" w:hAnsi="Arial Narrow" w:cs="Arial"/>
          <w:b/>
          <w:bCs/>
          <w:i/>
          <w:color w:val="44596B"/>
          <w:sz w:val="18"/>
          <w:szCs w:val="18"/>
          <w:lang w:val="en-US" w:eastAsia="en-US"/>
        </w:rPr>
        <mc:AlternateContent>
          <mc:Choice Requires="wps">
            <w:drawing>
              <wp:anchor distT="45720" distB="45720" distL="114300" distR="114300" simplePos="0" relativeHeight="251913728" behindDoc="0" locked="0" layoutInCell="1" allowOverlap="1" wp14:anchorId="55DC1F18" wp14:editId="2708D8DB">
                <wp:simplePos x="0" y="0"/>
                <wp:positionH relativeFrom="column">
                  <wp:posOffset>1049020</wp:posOffset>
                </wp:positionH>
                <wp:positionV relativeFrom="paragraph">
                  <wp:posOffset>781050</wp:posOffset>
                </wp:positionV>
                <wp:extent cx="1530950" cy="562937"/>
                <wp:effectExtent l="0" t="0" r="0" b="8890"/>
                <wp:wrapNone/>
                <wp:docPr id="1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950" cy="562937"/>
                        </a:xfrm>
                        <a:prstGeom prst="rect">
                          <a:avLst/>
                        </a:prstGeom>
                        <a:solidFill>
                          <a:schemeClr val="bg1"/>
                        </a:solidFill>
                        <a:ln w="9525">
                          <a:noFill/>
                          <a:miter lim="800000"/>
                          <a:headEnd/>
                          <a:tailEnd/>
                        </a:ln>
                      </wps:spPr>
                      <wps:txbx>
                        <w:txbxContent>
                          <w:p w14:paraId="102E75A9" w14:textId="67151EBD" w:rsidR="002C3947" w:rsidRPr="00126423" w:rsidRDefault="002C3947" w:rsidP="00126423">
                            <w:pPr>
                              <w:jc w:val="right"/>
                              <w:rPr>
                                <w:sz w:val="22"/>
                                <w:szCs w:val="36"/>
                              </w:rPr>
                            </w:pPr>
                            <w:r w:rsidRPr="00126423">
                              <w:rPr>
                                <w:sz w:val="22"/>
                                <w:szCs w:val="36"/>
                              </w:rPr>
                              <w:t>Overdue measures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DC1F18" id="_x0000_s1182" type="#_x0000_t202" style="position:absolute;left:0;text-align:left;margin-left:82.6pt;margin-top:61.5pt;width:120.55pt;height:44.35pt;z-index:25191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" fillcolor="white [3212]" stroked="f">
                <v:textbox inset="0,0,0,0">
                  <w:txbxContent>
                    <w:p w14:paraId="102E75A9" w14:textId="67151EBD" w:rsidR="002C3947" w:rsidRPr="00126423" w:rsidRDefault="002C3947" w:rsidP="00126423">
                      <w:pPr>
                        <w:jc w:val="right"/>
                        <w:rPr>
                          <w:sz w:val="22"/>
                          <w:szCs w:val="36"/>
                        </w:rPr>
                      </w:pPr>
                      <w:r w:rsidRPr="00126423">
                        <w:rPr>
                          <w:sz w:val="22"/>
                          <w:szCs w:val="36"/>
                        </w:rPr>
                        <w:t>Overdue measures</w:t>
                      </w:r>
                    </w:p>
                  </w:txbxContent>
                </v:textbox>
              </v:shape>
            </w:pict>
          </mc:Fallback>
        </mc:AlternateContent>
      </w:r>
      <w:r w:rsidRPr="00BD295E">
        <w:rPr>
          <w:rFonts w:ascii="Arial Narrow" w:hAnsi="Arial Narrow" w:cs="Arial"/>
          <w:b/>
          <w:bCs/>
          <w:i/>
          <w:color w:val="44596B"/>
          <w:sz w:val="18"/>
          <w:szCs w:val="18"/>
          <w:lang w:val="en-US" w:eastAsia="en-US"/>
        </w:rPr>
        <mc:AlternateContent>
          <mc:Choice Requires="wps">
            <w:drawing>
              <wp:anchor distT="45720" distB="45720" distL="114300" distR="114300" simplePos="0" relativeHeight="251911680" behindDoc="0" locked="0" layoutInCell="1" allowOverlap="1" wp14:anchorId="477850BE" wp14:editId="19740175">
                <wp:simplePos x="0" y="0"/>
                <wp:positionH relativeFrom="column">
                  <wp:posOffset>1221740</wp:posOffset>
                </wp:positionH>
                <wp:positionV relativeFrom="paragraph">
                  <wp:posOffset>161290</wp:posOffset>
                </wp:positionV>
                <wp:extent cx="1358197" cy="562937"/>
                <wp:effectExtent l="0" t="0" r="0" b="8890"/>
                <wp:wrapNone/>
                <wp:docPr id="1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197" cy="562937"/>
                        </a:xfrm>
                        <a:prstGeom prst="rect">
                          <a:avLst/>
                        </a:prstGeom>
                        <a:solidFill>
                          <a:schemeClr val="bg1"/>
                        </a:solidFill>
                        <a:ln w="9525">
                          <a:noFill/>
                          <a:miter lim="800000"/>
                          <a:headEnd/>
                          <a:tailEnd/>
                        </a:ln>
                      </wps:spPr>
                      <wps:txbx>
                        <w:txbxContent>
                          <w:p w14:paraId="2A7303DB" w14:textId="2308AB03" w:rsidR="002C3947" w:rsidRPr="00126423" w:rsidRDefault="002C3947" w:rsidP="00126423">
                            <w:pPr>
                              <w:jc w:val="right"/>
                              <w:rPr>
                                <w:sz w:val="22"/>
                                <w:szCs w:val="36"/>
                              </w:rPr>
                            </w:pPr>
                            <w:r w:rsidRPr="00126423">
                              <w:rPr>
                                <w:sz w:val="22"/>
                                <w:szCs w:val="36"/>
                              </w:rPr>
                              <w:t>Total corrective measures prescribed</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77850BE" id="_x0000_s1183" type="#_x0000_t202" style="position:absolute;left:0;text-align:left;margin-left:96.2pt;margin-top:12.7pt;width:106.95pt;height:44.35pt;z-index:25191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" fillcolor="white [3212]" stroked="f">
                <v:textbox inset="0,0,0,0">
                  <w:txbxContent>
                    <w:p w14:paraId="2A7303DB" w14:textId="2308AB03" w:rsidR="002C3947" w:rsidRPr="00126423" w:rsidRDefault="002C3947" w:rsidP="00126423">
                      <w:pPr>
                        <w:jc w:val="right"/>
                        <w:rPr>
                          <w:sz w:val="22"/>
                          <w:szCs w:val="36"/>
                        </w:rPr>
                      </w:pPr>
                      <w:r w:rsidRPr="00126423">
                        <w:rPr>
                          <w:sz w:val="22"/>
                          <w:szCs w:val="36"/>
                        </w:rPr>
                        <w:t>Total corrective measures prescribed</w:t>
                      </w:r>
                    </w:p>
                  </w:txbxContent>
                </v:textbox>
              </v:shape>
            </w:pict>
          </mc:Fallback>
        </mc:AlternateContent>
      </w:r>
      <w:r w:rsidR="00997D07" w:rsidRPr="00BD295E">
        <w:rPr>
          <w:rFonts w:ascii="Arial" w:hAnsi="Arial" w:cs="Arial"/>
          <w:sz w:val="18"/>
          <w:szCs w:val="18"/>
          <w:lang w:val="en-US" w:eastAsia="en-US"/>
        </w:rPr>
        <w:drawing>
          <wp:inline distT="0" distB="0" distL="0" distR="0" wp14:anchorId="5583588B" wp14:editId="0AFC5C36">
            <wp:extent cx="4267200" cy="2152650"/>
            <wp:effectExtent l="0" t="0" r="0" b="0"/>
            <wp:docPr id="82" name="Диаграмма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3"/>
                    <pic:cNvPicPr>
                      <a:picLocks noChangeArrowheads="1"/>
                    </pic:cNvPicPr>
                  </pic:nvPicPr>
                  <pic:blipFill>
                    <a:blip r:embed="rId116">
                      <a:extLst>
                        <a:ext uri="{28A0092B-C50C-407E-A947-70E740481C1C}">
                          <a14:useLocalDpi xmlns:a14="http://schemas.microsoft.com/office/drawing/2010/main" val="0"/>
                        </a:ext>
                      </a:extLst>
                    </a:blip>
                    <a:srcRect b="-31"/>
                    <a:stretch>
                      <a:fillRect/>
                    </a:stretch>
                  </pic:blipFill>
                  <pic:spPr bwMode="auto">
                    <a:xfrm>
                      <a:off x="0" y="0"/>
                      <a:ext cx="4267200" cy="2152650"/>
                    </a:xfrm>
                    <a:prstGeom prst="rect">
                      <a:avLst/>
                    </a:prstGeom>
                    <a:noFill/>
                    <a:ln>
                      <a:noFill/>
                    </a:ln>
                  </pic:spPr>
                </pic:pic>
              </a:graphicData>
            </a:graphic>
          </wp:inline>
        </w:drawing>
      </w:r>
      <w:bookmarkEnd w:id="428"/>
    </w:p>
    <w:p w14:paraId="1B2F1DAF" w14:textId="77777777" w:rsidR="00F3260C" w:rsidRPr="00BD295E" w:rsidRDefault="008A5057" w:rsidP="00F3260C">
      <w:pPr>
        <w:pStyle w:val="af3"/>
        <w:tabs>
          <w:tab w:val="left" w:pos="0"/>
          <w:tab w:val="left" w:pos="1276"/>
        </w:tabs>
        <w:ind w:left="1495" w:firstLine="709"/>
        <w:rPr>
          <w:rFonts w:ascii="Arial" w:hAnsi="Arial" w:cs="Arial"/>
          <w:sz w:val="18"/>
          <w:szCs w:val="18"/>
          <w:lang w:val="en-US"/>
        </w:rPr>
      </w:pPr>
      <w:r w:rsidRPr="00BD295E">
        <w:rPr>
          <w:rFonts w:ascii="Arial" w:hAnsi="Arial" w:cs="Arial"/>
          <w:sz w:val="18"/>
          <w:szCs w:val="18"/>
          <w:lang w:val="en-US"/>
        </w:rPr>
        <w:t>Chart 2. Corrective measures</w:t>
      </w:r>
    </w:p>
    <w:p w14:paraId="799284F5" w14:textId="77777777" w:rsidR="00F3260C" w:rsidRPr="00BD295E" w:rsidRDefault="00F3260C" w:rsidP="00F3260C">
      <w:pPr>
        <w:tabs>
          <w:tab w:val="left" w:pos="0"/>
          <w:tab w:val="left" w:pos="1276"/>
        </w:tabs>
        <w:ind w:firstLine="709"/>
        <w:jc w:val="both"/>
        <w:rPr>
          <w:rFonts w:ascii="Arial" w:hAnsi="Arial" w:cs="Arial"/>
          <w:bCs/>
          <w:i/>
          <w:sz w:val="18"/>
          <w:szCs w:val="18"/>
          <w:lang w:val="en-US"/>
        </w:rPr>
      </w:pPr>
    </w:p>
    <w:p w14:paraId="0503A8AA" w14:textId="77777777" w:rsidR="00F3260C" w:rsidRPr="00BD295E" w:rsidRDefault="008A5057" w:rsidP="00C968B7">
      <w:pPr>
        <w:tabs>
          <w:tab w:val="left" w:pos="0"/>
          <w:tab w:val="left" w:pos="1276"/>
        </w:tabs>
        <w:jc w:val="both"/>
        <w:rPr>
          <w:rFonts w:ascii="Arial" w:eastAsia="Calibri" w:hAnsi="Arial" w:cs="Arial"/>
          <w:sz w:val="18"/>
          <w:szCs w:val="18"/>
          <w:lang w:val="en-US"/>
        </w:rPr>
      </w:pPr>
      <w:r w:rsidRPr="00BD295E">
        <w:rPr>
          <w:rFonts w:ascii="Arial" w:hAnsi="Arial" w:cs="Arial"/>
          <w:bCs/>
          <w:sz w:val="18"/>
          <w:szCs w:val="18"/>
          <w:lang w:val="en-US"/>
        </w:rPr>
        <w:t xml:space="preserve">The implementation of corrective measures is followed up by the Audit Committee of the Board of Directors, which reviews regular reports of the Company’s management on the implementation of corrective action plans to remedy deficiencies identified by the </w:t>
      </w:r>
      <w:r w:rsidR="00293DDA" w:rsidRPr="00BD295E">
        <w:rPr>
          <w:rFonts w:ascii="Arial" w:hAnsi="Arial" w:cs="Arial"/>
          <w:bCs/>
          <w:sz w:val="18"/>
          <w:szCs w:val="18"/>
          <w:lang w:val="en-US"/>
        </w:rPr>
        <w:t>Internal Audit Commission</w:t>
      </w:r>
      <w:r w:rsidRPr="00BD295E">
        <w:rPr>
          <w:rFonts w:ascii="Arial" w:hAnsi="Arial" w:cs="Arial"/>
          <w:bCs/>
          <w:sz w:val="18"/>
          <w:szCs w:val="18"/>
          <w:lang w:val="en-US"/>
        </w:rPr>
        <w:t>, the Company's internal auditor, and external control bodies.</w:t>
      </w:r>
      <w:r w:rsidRPr="00BD295E">
        <w:rPr>
          <w:rFonts w:ascii="Arial" w:hAnsi="Arial" w:cs="Arial"/>
          <w:sz w:val="18"/>
          <w:szCs w:val="18"/>
          <w:lang w:val="en-US"/>
        </w:rPr>
        <w:t xml:space="preserve"> </w:t>
      </w:r>
    </w:p>
    <w:p w14:paraId="786A2665"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Head of Internal Audit receives various forms of feedback from the Audit Committee when interacting with the Audit Committee, including analysis of decisions/recommendations of the Audit Committee on matters within the competence of the internal audit function, as well as through surveys of members of the Audit Committee. </w:t>
      </w:r>
    </w:p>
    <w:p w14:paraId="1B4FEA14" w14:textId="77777777" w:rsidR="00F3260C" w:rsidRPr="00BD295E" w:rsidRDefault="008A5057" w:rsidP="00C968B7">
      <w:pPr>
        <w:jc w:val="both"/>
        <w:rPr>
          <w:rFonts w:ascii="Arial" w:hAnsi="Arial" w:cs="Arial"/>
          <w:sz w:val="18"/>
          <w:szCs w:val="18"/>
          <w:lang w:val="en-US"/>
        </w:rPr>
      </w:pPr>
      <w:bookmarkStart w:id="429" w:name="_Toc506202358"/>
      <w:bookmarkEnd w:id="429"/>
      <w:r w:rsidRPr="00BD295E">
        <w:rPr>
          <w:rFonts w:ascii="Arial" w:hAnsi="Arial" w:cs="Arial"/>
          <w:sz w:val="18"/>
          <w:szCs w:val="18"/>
          <w:lang w:val="en-US"/>
        </w:rPr>
        <w:t>The satisfaction of the Audit Committee of the Company’s Board of Directors with the performance of the internal audit function in 2018 has been assessed as “substantially compliant, excluding certain aspects”.</w:t>
      </w:r>
    </w:p>
    <w:p w14:paraId="63D3BEA1" w14:textId="77777777" w:rsidR="00F3260C" w:rsidRPr="00BD295E" w:rsidRDefault="008A5057" w:rsidP="00C968B7">
      <w:pPr>
        <w:jc w:val="both"/>
        <w:rPr>
          <w:rFonts w:ascii="Arial" w:hAnsi="Arial" w:cs="Arial"/>
          <w:sz w:val="18"/>
          <w:szCs w:val="18"/>
          <w:lang w:val="en-US"/>
        </w:rPr>
      </w:pPr>
      <w:r w:rsidRPr="00BD295E">
        <w:rPr>
          <w:rFonts w:ascii="Arial" w:hAnsi="Arial" w:cs="Arial"/>
          <w:sz w:val="18"/>
          <w:szCs w:val="18"/>
          <w:lang w:val="en-US"/>
        </w:rPr>
        <w:t xml:space="preserve">The action plan for the development and improvement of internal audit for 2017–2019 was approved by the Board of Directors of the Company (Minutes No. 4 </w:t>
      </w:r>
      <w:r w:rsidR="008B183C" w:rsidRPr="00BD295E">
        <w:rPr>
          <w:rFonts w:ascii="Arial" w:hAnsi="Arial" w:cs="Arial"/>
          <w:sz w:val="18"/>
          <w:szCs w:val="18"/>
          <w:lang w:val="en-US"/>
        </w:rPr>
        <w:t>of</w:t>
      </w:r>
      <w:r w:rsidRPr="00BD295E">
        <w:rPr>
          <w:rFonts w:ascii="Arial" w:hAnsi="Arial" w:cs="Arial"/>
          <w:sz w:val="18"/>
          <w:szCs w:val="18"/>
          <w:lang w:val="en-US"/>
        </w:rPr>
        <w:t xml:space="preserve"> July 17, 2017) and was fully implemented in 2018.</w:t>
      </w:r>
    </w:p>
    <w:p w14:paraId="4D451DA0" w14:textId="77777777" w:rsidR="00F3260C" w:rsidRPr="00BD295E" w:rsidRDefault="00F3260C" w:rsidP="00C968B7">
      <w:pPr>
        <w:autoSpaceDE w:val="0"/>
        <w:autoSpaceDN w:val="0"/>
        <w:adjustRightInd w:val="0"/>
        <w:jc w:val="both"/>
        <w:rPr>
          <w:rFonts w:ascii="Arial" w:hAnsi="Arial" w:cs="Arial"/>
          <w:sz w:val="18"/>
          <w:szCs w:val="18"/>
          <w:lang w:val="en-US"/>
        </w:rPr>
      </w:pPr>
    </w:p>
    <w:p w14:paraId="6F8E559E" w14:textId="77777777" w:rsidR="00F3260C" w:rsidRPr="00BD295E" w:rsidRDefault="008A5057" w:rsidP="00C968B7">
      <w:pPr>
        <w:pStyle w:val="af7"/>
        <w:spacing w:line="240" w:lineRule="auto"/>
        <w:rPr>
          <w:rFonts w:ascii="Arial" w:hAnsi="Arial" w:cs="Arial"/>
          <w:b/>
          <w:sz w:val="18"/>
          <w:szCs w:val="18"/>
          <w:lang w:val="en-US"/>
        </w:rPr>
      </w:pPr>
      <w:r w:rsidRPr="00BD295E">
        <w:rPr>
          <w:rFonts w:ascii="Arial" w:hAnsi="Arial" w:cs="Arial"/>
          <w:b/>
          <w:sz w:val="18"/>
          <w:szCs w:val="18"/>
          <w:lang w:val="en-US"/>
        </w:rPr>
        <w:t>Risk management system</w:t>
      </w:r>
    </w:p>
    <w:p w14:paraId="42778E14" w14:textId="77777777" w:rsidR="00F3260C" w:rsidRPr="00BD295E" w:rsidRDefault="008A5057" w:rsidP="00C968B7">
      <w:pPr>
        <w:tabs>
          <w:tab w:val="left" w:pos="1276"/>
        </w:tabs>
        <w:contextualSpacing/>
        <w:jc w:val="both"/>
        <w:rPr>
          <w:rFonts w:ascii="Arial" w:eastAsia="SimSun" w:hAnsi="Arial" w:cs="Arial"/>
          <w:sz w:val="18"/>
          <w:szCs w:val="18"/>
          <w:lang w:val="en-US"/>
        </w:rPr>
      </w:pPr>
      <w:r w:rsidRPr="00BD295E">
        <w:rPr>
          <w:rFonts w:ascii="Arial" w:hAnsi="Arial" w:cs="Arial"/>
          <w:sz w:val="18"/>
          <w:szCs w:val="18"/>
          <w:lang w:val="en-US"/>
        </w:rPr>
        <w:t>The Company has in place risk management system (“RMS”), which aims to ensure sustainable and continuous operation and development of the Company through timely identification, assessment, and effective management of risks that pose a threat to the effective conduct of business activities and the reputation of the Company, health of employees, the environment, as well as the property interests of its shareholders and investors.</w:t>
      </w:r>
    </w:p>
    <w:p w14:paraId="7F925C85" w14:textId="77777777" w:rsidR="00F3260C" w:rsidRPr="00BD295E" w:rsidRDefault="008A5057" w:rsidP="00C968B7">
      <w:pPr>
        <w:tabs>
          <w:tab w:val="left" w:pos="1276"/>
        </w:tabs>
        <w:contextualSpacing/>
        <w:jc w:val="both"/>
        <w:rPr>
          <w:rFonts w:ascii="Arial" w:eastAsia="SimSun" w:hAnsi="Arial" w:cs="Arial"/>
          <w:sz w:val="18"/>
          <w:szCs w:val="18"/>
          <w:lang w:val="en-US"/>
        </w:rPr>
      </w:pPr>
      <w:r w:rsidRPr="00BD295E">
        <w:rPr>
          <w:rFonts w:ascii="Arial" w:hAnsi="Arial" w:cs="Arial"/>
          <w:sz w:val="18"/>
          <w:szCs w:val="18"/>
          <w:lang w:val="en-US"/>
        </w:rPr>
        <w:t xml:space="preserve">In order to develop the risk management system in the Company, the Board of Directors approved a restated version of the Risk Management Policy (Minutes No. 45 </w:t>
      </w:r>
      <w:r w:rsidR="008B183C" w:rsidRPr="00BD295E">
        <w:rPr>
          <w:rFonts w:ascii="Arial" w:hAnsi="Arial" w:cs="Arial"/>
          <w:sz w:val="18"/>
          <w:szCs w:val="18"/>
          <w:lang w:val="en-US"/>
        </w:rPr>
        <w:t>of</w:t>
      </w:r>
      <w:r w:rsidRPr="00BD295E">
        <w:rPr>
          <w:rFonts w:ascii="Arial" w:hAnsi="Arial" w:cs="Arial"/>
          <w:sz w:val="18"/>
          <w:szCs w:val="18"/>
          <w:lang w:val="en-US"/>
        </w:rPr>
        <w:t xml:space="preserve"> April 12, 2016).</w:t>
      </w:r>
    </w:p>
    <w:p w14:paraId="2CF4508E" w14:textId="77777777" w:rsidR="00F3260C" w:rsidRPr="00BD295E" w:rsidRDefault="008A5057" w:rsidP="00C968B7">
      <w:pPr>
        <w:tabs>
          <w:tab w:val="left" w:pos="1276"/>
        </w:tabs>
        <w:contextualSpacing/>
        <w:jc w:val="both"/>
        <w:rPr>
          <w:rFonts w:ascii="Arial" w:hAnsi="Arial" w:cs="Arial"/>
          <w:sz w:val="18"/>
          <w:szCs w:val="18"/>
          <w:lang w:val="en-US"/>
        </w:rPr>
      </w:pPr>
      <w:r w:rsidRPr="00BD295E">
        <w:rPr>
          <w:rFonts w:ascii="Arial" w:hAnsi="Arial" w:cs="Arial"/>
          <w:sz w:val="18"/>
          <w:szCs w:val="18"/>
          <w:lang w:val="en-US"/>
        </w:rPr>
        <w:t xml:space="preserve">The risk management system is integrated into the business planning system of the Company, while the Company has also in place the approved Business Planning Standard and Rules (Minutes No. 31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April 14, 2015, with the restated version approved by Minutes No. 9 of the Board of Directors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4, 2017), which provide for the assessment of key operational risks of the Company when preparing the business plan, including their quarterly monitoring, with reports to be submitted to the Company’s Board of Directors. Guidelines were also approved by Order No. 386 </w:t>
      </w:r>
      <w:r w:rsidR="008B183C" w:rsidRPr="00BD295E">
        <w:rPr>
          <w:rFonts w:ascii="Arial" w:hAnsi="Arial" w:cs="Arial"/>
          <w:sz w:val="18"/>
          <w:szCs w:val="18"/>
          <w:lang w:val="en-US"/>
        </w:rPr>
        <w:t>of</w:t>
      </w:r>
      <w:r w:rsidRPr="00BD295E">
        <w:rPr>
          <w:rFonts w:ascii="Arial" w:hAnsi="Arial" w:cs="Arial"/>
          <w:sz w:val="18"/>
          <w:szCs w:val="18"/>
          <w:lang w:val="en-US"/>
        </w:rPr>
        <w:t xml:space="preserve"> August 28, 2015 to assess operational risks, outlining the approaches to classification and assessment of risks, risk assessment methods and algorithms, the format for presenting information on risks (risk descriptions), with risk materiality scales developed, and a process codified for drafting a risk management plan and a review of related progress reports by governing bodies (Order No. 603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22, 2015 and Order No. 127 </w:t>
      </w:r>
      <w:r w:rsidR="008B183C" w:rsidRPr="00BD295E">
        <w:rPr>
          <w:rFonts w:ascii="Arial" w:hAnsi="Arial" w:cs="Arial"/>
          <w:sz w:val="18"/>
          <w:szCs w:val="18"/>
          <w:lang w:val="en-US"/>
        </w:rPr>
        <w:t>of</w:t>
      </w:r>
      <w:r w:rsidRPr="00BD295E">
        <w:rPr>
          <w:rFonts w:ascii="Arial" w:hAnsi="Arial" w:cs="Arial"/>
          <w:sz w:val="18"/>
          <w:szCs w:val="18"/>
          <w:lang w:val="en-US"/>
        </w:rPr>
        <w:t xml:space="preserve"> March 17, 2017). </w:t>
      </w:r>
    </w:p>
    <w:p w14:paraId="33C32357" w14:textId="77777777" w:rsidR="00F3260C" w:rsidRPr="00BD295E" w:rsidRDefault="008A5057" w:rsidP="00C968B7">
      <w:pPr>
        <w:tabs>
          <w:tab w:val="left" w:pos="1276"/>
        </w:tabs>
        <w:contextualSpacing/>
        <w:jc w:val="both"/>
        <w:rPr>
          <w:rFonts w:ascii="Arial" w:hAnsi="Arial" w:cs="Arial"/>
          <w:sz w:val="18"/>
          <w:szCs w:val="18"/>
          <w:lang w:val="en-US"/>
        </w:rPr>
      </w:pPr>
      <w:r w:rsidRPr="00BD295E">
        <w:rPr>
          <w:rFonts w:ascii="Arial" w:hAnsi="Arial" w:cs="Arial"/>
          <w:sz w:val="18"/>
          <w:szCs w:val="18"/>
          <w:lang w:val="en-US"/>
        </w:rPr>
        <w:t xml:space="preserve">Key stakeholders </w:t>
      </w:r>
      <w:r w:rsidR="00AB4381" w:rsidRPr="00BD295E">
        <w:rPr>
          <w:rFonts w:ascii="Arial" w:hAnsi="Arial" w:cs="Arial"/>
          <w:sz w:val="18"/>
          <w:szCs w:val="18"/>
          <w:lang w:val="en-US"/>
        </w:rPr>
        <w:t>in</w:t>
      </w:r>
      <w:r w:rsidRPr="00BD295E">
        <w:rPr>
          <w:rFonts w:ascii="Arial" w:hAnsi="Arial" w:cs="Arial"/>
          <w:sz w:val="18"/>
          <w:szCs w:val="18"/>
          <w:lang w:val="en-US"/>
        </w:rPr>
        <w:t xml:space="preserve"> the risk management process (Table 2):</w:t>
      </w:r>
    </w:p>
    <w:p w14:paraId="602F8C95" w14:textId="77777777" w:rsidR="00F3260C" w:rsidRPr="00BD295E" w:rsidRDefault="008A5057" w:rsidP="00F3260C">
      <w:pPr>
        <w:tabs>
          <w:tab w:val="left" w:pos="1134"/>
        </w:tabs>
        <w:autoSpaceDE w:val="0"/>
        <w:autoSpaceDN w:val="0"/>
        <w:adjustRightInd w:val="0"/>
        <w:ind w:firstLine="709"/>
        <w:jc w:val="right"/>
        <w:rPr>
          <w:rFonts w:ascii="Arial" w:hAnsi="Arial" w:cs="Arial"/>
          <w:sz w:val="18"/>
          <w:szCs w:val="18"/>
          <w:lang w:val="en-US"/>
        </w:rPr>
      </w:pPr>
      <w:r w:rsidRPr="00BD295E">
        <w:rPr>
          <w:rFonts w:ascii="Arial" w:hAnsi="Arial" w:cs="Arial"/>
          <w:sz w:val="18"/>
          <w:szCs w:val="18"/>
          <w:lang w:val="en-US"/>
        </w:rPr>
        <w:t>Table 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6429"/>
      </w:tblGrid>
      <w:tr w:rsidR="008A5057" w:rsidRPr="00BD295E" w14:paraId="29945A51" w14:textId="77777777" w:rsidTr="0031297B">
        <w:trPr>
          <w:trHeight w:val="20"/>
          <w:tblHeader/>
        </w:trPr>
        <w:tc>
          <w:tcPr>
            <w:tcW w:w="2808" w:type="dxa"/>
            <w:shd w:val="clear" w:color="auto" w:fill="auto"/>
            <w:vAlign w:val="center"/>
          </w:tcPr>
          <w:p w14:paraId="1B311104" w14:textId="77777777" w:rsidR="00F3260C" w:rsidRPr="00BD295E" w:rsidRDefault="008A5057" w:rsidP="0031297B">
            <w:pPr>
              <w:widowControl w:val="0"/>
              <w:tabs>
                <w:tab w:val="left" w:pos="993"/>
                <w:tab w:val="left" w:pos="1276"/>
              </w:tabs>
              <w:jc w:val="center"/>
              <w:rPr>
                <w:rFonts w:ascii="Arial" w:eastAsia="Calibri" w:hAnsi="Arial" w:cs="Arial"/>
                <w:b/>
                <w:sz w:val="18"/>
                <w:szCs w:val="18"/>
                <w:lang w:val="en-US"/>
              </w:rPr>
            </w:pPr>
            <w:r w:rsidRPr="00BD295E">
              <w:rPr>
                <w:rFonts w:ascii="Arial" w:hAnsi="Arial" w:cs="Arial"/>
                <w:b/>
                <w:sz w:val="18"/>
                <w:szCs w:val="18"/>
                <w:lang w:val="en-US"/>
              </w:rPr>
              <w:t>Stakeholder</w:t>
            </w:r>
          </w:p>
        </w:tc>
        <w:tc>
          <w:tcPr>
            <w:tcW w:w="0" w:type="auto"/>
            <w:shd w:val="clear" w:color="auto" w:fill="auto"/>
            <w:vAlign w:val="center"/>
          </w:tcPr>
          <w:p w14:paraId="4466749C" w14:textId="77777777" w:rsidR="00F3260C" w:rsidRPr="00BD295E" w:rsidRDefault="008A5057" w:rsidP="0031297B">
            <w:pPr>
              <w:widowControl w:val="0"/>
              <w:tabs>
                <w:tab w:val="left" w:pos="993"/>
                <w:tab w:val="left" w:pos="1276"/>
              </w:tabs>
              <w:jc w:val="center"/>
              <w:rPr>
                <w:rFonts w:ascii="Arial" w:eastAsia="Calibri" w:hAnsi="Arial" w:cs="Arial"/>
                <w:b/>
                <w:sz w:val="18"/>
                <w:szCs w:val="18"/>
                <w:lang w:val="en-US"/>
              </w:rPr>
            </w:pPr>
            <w:r w:rsidRPr="00BD295E">
              <w:rPr>
                <w:rFonts w:ascii="Arial" w:hAnsi="Arial" w:cs="Arial"/>
                <w:b/>
                <w:sz w:val="18"/>
                <w:szCs w:val="18"/>
                <w:lang w:val="en-US"/>
              </w:rPr>
              <w:t>Key risk management functions</w:t>
            </w:r>
          </w:p>
        </w:tc>
      </w:tr>
      <w:tr w:rsidR="008A5057" w:rsidRPr="00BD295E" w14:paraId="46C0F1E9" w14:textId="77777777" w:rsidTr="0031297B">
        <w:trPr>
          <w:trHeight w:val="20"/>
        </w:trPr>
        <w:tc>
          <w:tcPr>
            <w:tcW w:w="2808" w:type="dxa"/>
            <w:shd w:val="clear" w:color="auto" w:fill="auto"/>
          </w:tcPr>
          <w:p w14:paraId="3B59A081" w14:textId="77777777" w:rsidR="00F3260C" w:rsidRPr="00BD295E" w:rsidRDefault="008A5057"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 xml:space="preserve">Board of Directors </w:t>
            </w:r>
          </w:p>
        </w:tc>
        <w:tc>
          <w:tcPr>
            <w:tcW w:w="0" w:type="auto"/>
            <w:shd w:val="clear" w:color="auto" w:fill="auto"/>
          </w:tcPr>
          <w:p w14:paraId="786F4ED9"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Approves the Risk Management Policy of the Company;</w:t>
            </w:r>
          </w:p>
          <w:p w14:paraId="6130E0CD"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Approves the Company’s internal documents governing the organization and operation of the Company’s risk management system;</w:t>
            </w:r>
          </w:p>
          <w:p w14:paraId="2B2D0FFC"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Assesses key operational risks and determines the acceptable risk-appetite for the Company;</w:t>
            </w:r>
          </w:p>
          <w:p w14:paraId="7ACB0585" w14:textId="77777777" w:rsidR="00F3260C" w:rsidRPr="00BD295E" w:rsidRDefault="008A5057" w:rsidP="00CA2271">
            <w:pPr>
              <w:pStyle w:val="Default"/>
              <w:widowControl w:val="0"/>
              <w:numPr>
                <w:ilvl w:val="1"/>
                <w:numId w:val="89"/>
              </w:numPr>
              <w:tabs>
                <w:tab w:val="left" w:pos="345"/>
                <w:tab w:val="left" w:pos="993"/>
                <w:tab w:val="left" w:pos="1134"/>
              </w:tabs>
              <w:ind w:left="0" w:firstLine="0"/>
              <w:jc w:val="both"/>
              <w:rPr>
                <w:rFonts w:ascii="Arial" w:hAnsi="Arial" w:cs="Arial"/>
                <w:color w:val="auto"/>
                <w:sz w:val="18"/>
                <w:szCs w:val="18"/>
                <w:lang w:val="en-US"/>
              </w:rPr>
            </w:pPr>
            <w:r w:rsidRPr="00BD295E">
              <w:rPr>
                <w:rFonts w:ascii="Arial" w:hAnsi="Arial" w:cs="Arial"/>
                <w:color w:val="auto"/>
                <w:sz w:val="18"/>
                <w:szCs w:val="18"/>
                <w:lang w:val="en-US"/>
              </w:rPr>
              <w:t>Arranges for an analysis and evaluation of the risk management system at least once a year;</w:t>
            </w:r>
          </w:p>
          <w:p w14:paraId="599FAA63"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Annually reviews reports from the Company’s executive bodies on the organization, operation, and effectiveness of the risk management system, as well as evaluates the functioning of the risk management system and develops recommendations for its improvement;</w:t>
            </w:r>
          </w:p>
          <w:p w14:paraId="5D588788"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Annually reviews reports by the internal audit function on the effectiveness of the risk management system;</w:t>
            </w:r>
          </w:p>
          <w:p w14:paraId="28545801"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Reviews the results of the external independent evaluation of the risk management system’s effectiveness.</w:t>
            </w:r>
          </w:p>
        </w:tc>
      </w:tr>
      <w:tr w:rsidR="008A5057" w:rsidRPr="00BD295E" w14:paraId="1ED19905" w14:textId="77777777" w:rsidTr="0031297B">
        <w:trPr>
          <w:trHeight w:val="20"/>
        </w:trPr>
        <w:tc>
          <w:tcPr>
            <w:tcW w:w="2808" w:type="dxa"/>
            <w:shd w:val="clear" w:color="auto" w:fill="auto"/>
          </w:tcPr>
          <w:p w14:paraId="730D3F6C" w14:textId="77777777" w:rsidR="00F3260C" w:rsidRPr="00BD295E" w:rsidRDefault="008A5057"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Authorized Committee of the Board of Directors (Strategy and Development Committee)</w:t>
            </w:r>
          </w:p>
        </w:tc>
        <w:tc>
          <w:tcPr>
            <w:tcW w:w="0" w:type="auto"/>
            <w:shd w:val="clear" w:color="auto" w:fill="auto"/>
          </w:tcPr>
          <w:p w14:paraId="5E4712E2"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Follows up the effectiveness of risk management procedures;</w:t>
            </w:r>
          </w:p>
          <w:p w14:paraId="67AC63A8"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Evaluates the effectiveness of risk management and improvements to the risks management system;</w:t>
            </w:r>
          </w:p>
          <w:p w14:paraId="5B781206"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Previews reports from executive bodies on the organization and operation of the risk management system prior to their submittal to the Board of Directors;</w:t>
            </w:r>
          </w:p>
          <w:p w14:paraId="285862E6"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Analyzes proposals on improvements to the risk management system, including on risk identification and adjustment of risk parameters;</w:t>
            </w:r>
          </w:p>
          <w:p w14:paraId="61D6C88D"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Previews, prior to approval by the Board of Directors, of the Company’s internal documents that outline the organization and operation of the Company’s risk management system, the Risk Management Policy, and subsequent amendments thereto;</w:t>
            </w:r>
          </w:p>
          <w:p w14:paraId="07D8AF81"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Previews, prior to approval by the Board of Directors, and prepares an opinion on, the text of the risk management section of the Company’s annual report.</w:t>
            </w:r>
          </w:p>
        </w:tc>
      </w:tr>
      <w:tr w:rsidR="008A5057" w:rsidRPr="00BD295E" w14:paraId="68188603" w14:textId="77777777" w:rsidTr="0031297B">
        <w:trPr>
          <w:trHeight w:val="20"/>
        </w:trPr>
        <w:tc>
          <w:tcPr>
            <w:tcW w:w="2808" w:type="dxa"/>
            <w:shd w:val="clear" w:color="auto" w:fill="auto"/>
          </w:tcPr>
          <w:p w14:paraId="69E80E49" w14:textId="77777777" w:rsidR="00F3260C" w:rsidRPr="00BD295E" w:rsidRDefault="008A5057"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Audit Committee of the Board of Directors</w:t>
            </w:r>
          </w:p>
        </w:tc>
        <w:tc>
          <w:tcPr>
            <w:tcW w:w="0" w:type="auto"/>
            <w:shd w:val="clear" w:color="auto" w:fill="auto"/>
          </w:tcPr>
          <w:p w14:paraId="0678EC93"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Previews the results of the risk management system’s performance evaluation based on the internal auditor’s report before submitting them to the Board of Directors for review.</w:t>
            </w:r>
          </w:p>
        </w:tc>
      </w:tr>
      <w:tr w:rsidR="008A5057" w:rsidRPr="00BD295E" w14:paraId="1D319EF5" w14:textId="77777777" w:rsidTr="0031297B">
        <w:trPr>
          <w:trHeight w:val="20"/>
        </w:trPr>
        <w:tc>
          <w:tcPr>
            <w:tcW w:w="2808" w:type="dxa"/>
            <w:shd w:val="clear" w:color="auto" w:fill="auto"/>
          </w:tcPr>
          <w:p w14:paraId="0FDA0D4A" w14:textId="77777777" w:rsidR="00F3260C" w:rsidRPr="00BD295E" w:rsidRDefault="00293DDA"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Internal Audit Commission</w:t>
            </w:r>
          </w:p>
        </w:tc>
        <w:tc>
          <w:tcPr>
            <w:tcW w:w="0" w:type="auto"/>
            <w:shd w:val="clear" w:color="auto" w:fill="auto"/>
          </w:tcPr>
          <w:p w14:paraId="3B3C8E73"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Prepares proposals/recommendations regarding improvements to the risk management system based on the results of the internal inspection.</w:t>
            </w:r>
          </w:p>
        </w:tc>
      </w:tr>
      <w:tr w:rsidR="008A5057" w:rsidRPr="00BD295E" w14:paraId="247FCF55" w14:textId="77777777" w:rsidTr="0031297B">
        <w:trPr>
          <w:trHeight w:val="20"/>
        </w:trPr>
        <w:tc>
          <w:tcPr>
            <w:tcW w:w="2808" w:type="dxa"/>
            <w:shd w:val="clear" w:color="auto" w:fill="auto"/>
          </w:tcPr>
          <w:p w14:paraId="13ABD3EE" w14:textId="77777777" w:rsidR="00F3260C" w:rsidRPr="00BD295E" w:rsidRDefault="008A5057"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CEO and the Management Board of the Company</w:t>
            </w:r>
          </w:p>
        </w:tc>
        <w:tc>
          <w:tcPr>
            <w:tcW w:w="0" w:type="auto"/>
            <w:shd w:val="clear" w:color="auto" w:fill="auto"/>
          </w:tcPr>
          <w:p w14:paraId="41EE0A68"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Ensure the creation and maintenance of an effective risk management system using unified approaches and standards developed and approved across Rosseti Group;</w:t>
            </w:r>
          </w:p>
          <w:p w14:paraId="6412136B"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Are responsible for implementing the resolutions of the Board of Directors regarding the organization and operation of the risk management system.</w:t>
            </w:r>
          </w:p>
        </w:tc>
      </w:tr>
      <w:tr w:rsidR="008A5057" w:rsidRPr="00BD295E" w14:paraId="021782CD" w14:textId="77777777" w:rsidTr="0031297B">
        <w:trPr>
          <w:trHeight w:val="20"/>
        </w:trPr>
        <w:tc>
          <w:tcPr>
            <w:tcW w:w="2808" w:type="dxa"/>
            <w:shd w:val="clear" w:color="auto" w:fill="auto"/>
          </w:tcPr>
          <w:p w14:paraId="5641B317" w14:textId="77777777" w:rsidR="00F3260C" w:rsidRPr="00BD295E" w:rsidRDefault="008A5057"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Management Board</w:t>
            </w:r>
          </w:p>
        </w:tc>
        <w:tc>
          <w:tcPr>
            <w:tcW w:w="0" w:type="auto"/>
            <w:shd w:val="clear" w:color="auto" w:fill="auto"/>
          </w:tcPr>
          <w:p w14:paraId="31805093"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Determines the focus areas and prepares the plans for developing the risk management system;</w:t>
            </w:r>
          </w:p>
          <w:p w14:paraId="229FDB5D" w14:textId="77777777" w:rsidR="00F3260C" w:rsidRPr="00BD295E" w:rsidRDefault="008A5057" w:rsidP="00CA2271">
            <w:pPr>
              <w:widowControl w:val="0"/>
              <w:numPr>
                <w:ilvl w:val="1"/>
                <w:numId w:val="89"/>
              </w:numPr>
              <w:tabs>
                <w:tab w:val="left" w:pos="345"/>
                <w:tab w:val="left" w:pos="993"/>
                <w:tab w:val="left" w:pos="1134"/>
              </w:tabs>
              <w:autoSpaceDE w:val="0"/>
              <w:autoSpaceDN w:val="0"/>
              <w:adjustRightInd w:val="0"/>
              <w:ind w:left="0" w:firstLine="0"/>
              <w:jc w:val="both"/>
              <w:rPr>
                <w:rFonts w:ascii="Arial" w:hAnsi="Arial" w:cs="Arial"/>
                <w:sz w:val="18"/>
                <w:szCs w:val="18"/>
                <w:lang w:val="en-US"/>
              </w:rPr>
            </w:pPr>
            <w:r w:rsidRPr="00BD295E">
              <w:rPr>
                <w:rFonts w:ascii="Arial" w:hAnsi="Arial" w:cs="Arial"/>
                <w:sz w:val="18"/>
                <w:szCs w:val="18"/>
                <w:lang w:val="en-US"/>
              </w:rPr>
              <w:t>Sets the requirements for the format and completeness of disclosures on the Company’s risks;</w:t>
            </w:r>
          </w:p>
          <w:p w14:paraId="69AF4EF5" w14:textId="77777777" w:rsidR="00F3260C" w:rsidRPr="00BD295E" w:rsidRDefault="008A5057" w:rsidP="00CA2271">
            <w:pPr>
              <w:widowControl w:val="0"/>
              <w:numPr>
                <w:ilvl w:val="1"/>
                <w:numId w:val="89"/>
              </w:numPr>
              <w:tabs>
                <w:tab w:val="left" w:pos="345"/>
                <w:tab w:val="left" w:pos="993"/>
                <w:tab w:val="left" w:pos="1134"/>
              </w:tabs>
              <w:autoSpaceDE w:val="0"/>
              <w:autoSpaceDN w:val="0"/>
              <w:adjustRightInd w:val="0"/>
              <w:ind w:left="0" w:firstLine="0"/>
              <w:jc w:val="both"/>
              <w:rPr>
                <w:rFonts w:ascii="Arial" w:hAnsi="Arial" w:cs="Arial"/>
                <w:sz w:val="18"/>
                <w:szCs w:val="18"/>
                <w:lang w:val="en-US"/>
              </w:rPr>
            </w:pPr>
            <w:r w:rsidRPr="00BD295E">
              <w:rPr>
                <w:rFonts w:ascii="Arial" w:hAnsi="Arial" w:cs="Arial"/>
                <w:sz w:val="18"/>
                <w:szCs w:val="18"/>
                <w:lang w:val="en-US"/>
              </w:rPr>
              <w:t>Analyzes the risk portfolio and develops measures for the response strategy and reallocation of resources for the relevant risk management; approves the budget for risk management at the Company within the limits agreed by the Company’s Board of Directors; handles cross-functional risk management tasks (performed by several structural units);</w:t>
            </w:r>
          </w:p>
          <w:p w14:paraId="0574F47C" w14:textId="77777777" w:rsidR="00F3260C" w:rsidRPr="00BD295E" w:rsidRDefault="008A5057" w:rsidP="00CA2271">
            <w:pPr>
              <w:widowControl w:val="0"/>
              <w:numPr>
                <w:ilvl w:val="1"/>
                <w:numId w:val="89"/>
              </w:numPr>
              <w:tabs>
                <w:tab w:val="left" w:pos="345"/>
                <w:tab w:val="left" w:pos="993"/>
                <w:tab w:val="left" w:pos="1134"/>
              </w:tabs>
              <w:autoSpaceDE w:val="0"/>
              <w:autoSpaceDN w:val="0"/>
              <w:adjustRightInd w:val="0"/>
              <w:ind w:left="0" w:firstLine="0"/>
              <w:jc w:val="both"/>
              <w:rPr>
                <w:rFonts w:ascii="Arial" w:hAnsi="Arial" w:cs="Arial"/>
                <w:sz w:val="18"/>
                <w:szCs w:val="18"/>
                <w:lang w:val="en-US"/>
              </w:rPr>
            </w:pPr>
            <w:r w:rsidRPr="00BD295E">
              <w:rPr>
                <w:rFonts w:ascii="Arial" w:hAnsi="Arial" w:cs="Arial"/>
                <w:sz w:val="18"/>
                <w:szCs w:val="18"/>
                <w:lang w:val="en-US"/>
              </w:rPr>
              <w:t>Reviews, at least every six months, the report of the risk management function on the results of risk management and evaluation of its effectiveness;</w:t>
            </w:r>
          </w:p>
          <w:p w14:paraId="72D3E69A" w14:textId="77777777" w:rsidR="00F3260C" w:rsidRPr="00BD295E" w:rsidRDefault="008A5057" w:rsidP="00CA2271">
            <w:pPr>
              <w:widowControl w:val="0"/>
              <w:numPr>
                <w:ilvl w:val="1"/>
                <w:numId w:val="89"/>
              </w:numPr>
              <w:tabs>
                <w:tab w:val="left" w:pos="345"/>
                <w:tab w:val="left" w:pos="993"/>
                <w:tab w:val="left" w:pos="1134"/>
              </w:tabs>
              <w:autoSpaceDE w:val="0"/>
              <w:autoSpaceDN w:val="0"/>
              <w:adjustRightInd w:val="0"/>
              <w:ind w:left="0" w:firstLine="0"/>
              <w:jc w:val="both"/>
              <w:rPr>
                <w:rFonts w:ascii="Arial" w:hAnsi="Arial" w:cs="Arial"/>
                <w:sz w:val="18"/>
                <w:szCs w:val="18"/>
                <w:lang w:val="en-US"/>
              </w:rPr>
            </w:pPr>
            <w:r w:rsidRPr="00BD295E">
              <w:rPr>
                <w:rFonts w:ascii="Arial" w:hAnsi="Arial" w:cs="Arial"/>
                <w:sz w:val="18"/>
                <w:szCs w:val="18"/>
                <w:lang w:val="en-US"/>
              </w:rPr>
              <w:t>Reviews the results of an internal assessment of the risk management system’s effectiveness, and prepares measures to develop and improve the risk management system;</w:t>
            </w:r>
          </w:p>
          <w:p w14:paraId="46428C91"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Annually submits to the Board of Directors a report on the organization, operation, and effectiveness of the Company’s risk management system as well as proposals to develop and improve the risk management system.</w:t>
            </w:r>
          </w:p>
        </w:tc>
      </w:tr>
      <w:tr w:rsidR="008A5057" w:rsidRPr="00BD295E" w14:paraId="4150D0D0" w14:textId="77777777" w:rsidTr="0031297B">
        <w:trPr>
          <w:trHeight w:val="20"/>
        </w:trPr>
        <w:tc>
          <w:tcPr>
            <w:tcW w:w="2808" w:type="dxa"/>
            <w:shd w:val="clear" w:color="auto" w:fill="auto"/>
          </w:tcPr>
          <w:p w14:paraId="5B01AA11" w14:textId="77777777" w:rsidR="00F3260C" w:rsidRPr="00BD295E" w:rsidRDefault="008A5057"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CEO</w:t>
            </w:r>
          </w:p>
        </w:tc>
        <w:tc>
          <w:tcPr>
            <w:tcW w:w="0" w:type="auto"/>
            <w:shd w:val="clear" w:color="auto" w:fill="auto"/>
          </w:tcPr>
          <w:p w14:paraId="69E645D6"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Ensures effective risk management in the Company’s day-to-day operations;</w:t>
            </w:r>
          </w:p>
          <w:p w14:paraId="421216A8" w14:textId="275AD135" w:rsidR="00F3260C" w:rsidRPr="00BD295E" w:rsidRDefault="008A5057" w:rsidP="00CA2271">
            <w:pPr>
              <w:widowControl w:val="0"/>
              <w:numPr>
                <w:ilvl w:val="1"/>
                <w:numId w:val="89"/>
              </w:numPr>
              <w:tabs>
                <w:tab w:val="left" w:pos="345"/>
                <w:tab w:val="left" w:pos="993"/>
                <w:tab w:val="left" w:pos="1134"/>
              </w:tabs>
              <w:autoSpaceDE w:val="0"/>
              <w:autoSpaceDN w:val="0"/>
              <w:adjustRightInd w:val="0"/>
              <w:ind w:left="0" w:firstLine="0"/>
              <w:jc w:val="both"/>
              <w:rPr>
                <w:rFonts w:ascii="Arial" w:hAnsi="Arial" w:cs="Arial"/>
                <w:sz w:val="18"/>
                <w:szCs w:val="18"/>
                <w:lang w:val="en-US"/>
              </w:rPr>
            </w:pPr>
            <w:r w:rsidRPr="00BD295E">
              <w:rPr>
                <w:rFonts w:ascii="Arial" w:hAnsi="Arial" w:cs="Arial"/>
                <w:sz w:val="18"/>
                <w:szCs w:val="18"/>
                <w:lang w:val="en-US"/>
              </w:rPr>
              <w:t xml:space="preserve">Approves the Company’s regulations and guidelines on the organization and operation of the risk management system, excluding documents that lie </w:t>
            </w:r>
            <w:r w:rsidR="002C3947" w:rsidRPr="00BD295E">
              <w:rPr>
                <w:rFonts w:ascii="Arial" w:hAnsi="Arial" w:cs="Arial"/>
                <w:sz w:val="18"/>
                <w:szCs w:val="18"/>
                <w:lang w:val="en-US"/>
              </w:rPr>
              <w:t>within the</w:t>
            </w:r>
            <w:r w:rsidRPr="00BD295E">
              <w:rPr>
                <w:rFonts w:ascii="Arial" w:hAnsi="Arial" w:cs="Arial"/>
                <w:sz w:val="18"/>
                <w:szCs w:val="18"/>
                <w:lang w:val="en-US"/>
              </w:rPr>
              <w:t xml:space="preserve"> competence of the Company’s Board of Directors;</w:t>
            </w:r>
          </w:p>
          <w:p w14:paraId="4AFC04CC"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Prepares annual reports on the organization, operation, and effectiveness of the Company’s risk management system and proposals to develop and improve the risk management system for review by the Board of Directors.</w:t>
            </w:r>
          </w:p>
        </w:tc>
      </w:tr>
      <w:tr w:rsidR="008A5057" w:rsidRPr="00BD295E" w14:paraId="517C9B61" w14:textId="77777777" w:rsidTr="0031297B">
        <w:trPr>
          <w:trHeight w:val="20"/>
        </w:trPr>
        <w:tc>
          <w:tcPr>
            <w:tcW w:w="2808" w:type="dxa"/>
            <w:shd w:val="clear" w:color="auto" w:fill="auto"/>
          </w:tcPr>
          <w:p w14:paraId="54679912" w14:textId="77777777" w:rsidR="00F3260C" w:rsidRPr="00BD295E" w:rsidRDefault="008A5057"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Risk owners</w:t>
            </w:r>
          </w:p>
        </w:tc>
        <w:tc>
          <w:tcPr>
            <w:tcW w:w="0" w:type="auto"/>
            <w:shd w:val="clear" w:color="auto" w:fill="auto"/>
          </w:tcPr>
          <w:p w14:paraId="25683BC1"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Timely identify and assess risks;</w:t>
            </w:r>
          </w:p>
          <w:p w14:paraId="2AC92A64"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Choose responses to risks;</w:t>
            </w:r>
          </w:p>
          <w:p w14:paraId="026BF88D"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Timely develop and organize the implementation of measures to manage risks;</w:t>
            </w:r>
          </w:p>
          <w:p w14:paraId="032AF1DF"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Regularly monitor risks;</w:t>
            </w:r>
          </w:p>
          <w:p w14:paraId="218DB7C8"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Ensure timely notification of the Company’s executive bodies of performance in risk management;</w:t>
            </w:r>
          </w:p>
          <w:p w14:paraId="54D02DDF"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Ensure effective interaction with the risk management function with regard to risk management documents and reports.</w:t>
            </w:r>
          </w:p>
        </w:tc>
      </w:tr>
      <w:tr w:rsidR="008A5057" w:rsidRPr="00BD295E" w14:paraId="08182080" w14:textId="77777777" w:rsidTr="0031297B">
        <w:trPr>
          <w:trHeight w:val="20"/>
        </w:trPr>
        <w:tc>
          <w:tcPr>
            <w:tcW w:w="2808" w:type="dxa"/>
            <w:shd w:val="clear" w:color="auto" w:fill="auto"/>
          </w:tcPr>
          <w:p w14:paraId="3461AA23" w14:textId="77777777" w:rsidR="00F3260C" w:rsidRPr="00BD295E" w:rsidRDefault="00C968B7"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Persons responsible for performing r</w:t>
            </w:r>
            <w:r w:rsidR="008A5057" w:rsidRPr="00BD295E">
              <w:rPr>
                <w:rFonts w:ascii="Arial" w:hAnsi="Arial" w:cs="Arial"/>
                <w:b/>
                <w:sz w:val="18"/>
                <w:szCs w:val="18"/>
                <w:lang w:val="en-US"/>
              </w:rPr>
              <w:t xml:space="preserve">isk management </w:t>
            </w:r>
            <w:r w:rsidRPr="00BD295E">
              <w:rPr>
                <w:rFonts w:ascii="Arial" w:hAnsi="Arial" w:cs="Arial"/>
                <w:b/>
                <w:sz w:val="18"/>
                <w:szCs w:val="18"/>
                <w:lang w:val="en-US"/>
              </w:rPr>
              <w:t>measures</w:t>
            </w:r>
          </w:p>
        </w:tc>
        <w:tc>
          <w:tcPr>
            <w:tcW w:w="0" w:type="auto"/>
            <w:shd w:val="clear" w:color="auto" w:fill="auto"/>
          </w:tcPr>
          <w:p w14:paraId="21C8C8A6"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Timely identify and/or minimize risks in accordance with their job descriptions and existing regulations;</w:t>
            </w:r>
          </w:p>
          <w:p w14:paraId="2EC64A2B" w14:textId="77777777" w:rsidR="00F3260C" w:rsidRPr="00BD295E" w:rsidRDefault="008A5057" w:rsidP="00CA2271">
            <w:pPr>
              <w:widowControl w:val="0"/>
              <w:numPr>
                <w:ilvl w:val="1"/>
                <w:numId w:val="89"/>
              </w:numPr>
              <w:tabs>
                <w:tab w:val="left" w:pos="345"/>
                <w:tab w:val="left" w:pos="459"/>
                <w:tab w:val="left" w:pos="993"/>
                <w:tab w:val="left" w:pos="1134"/>
              </w:tabs>
              <w:autoSpaceDE w:val="0"/>
              <w:autoSpaceDN w:val="0"/>
              <w:adjustRightInd w:val="0"/>
              <w:ind w:left="0" w:firstLine="0"/>
              <w:jc w:val="both"/>
              <w:rPr>
                <w:rFonts w:ascii="Arial" w:hAnsi="Arial" w:cs="Arial"/>
                <w:sz w:val="18"/>
                <w:szCs w:val="18"/>
                <w:lang w:val="en-US"/>
              </w:rPr>
            </w:pPr>
            <w:r w:rsidRPr="00BD295E">
              <w:rPr>
                <w:rFonts w:ascii="Arial" w:hAnsi="Arial" w:cs="Arial"/>
                <w:sz w:val="18"/>
                <w:szCs w:val="18"/>
                <w:lang w:val="en-US"/>
              </w:rPr>
              <w:t>Timely and fully implement risk management activities.</w:t>
            </w:r>
          </w:p>
        </w:tc>
      </w:tr>
      <w:tr w:rsidR="008A5057" w:rsidRPr="00BD295E" w14:paraId="173FB941" w14:textId="77777777" w:rsidTr="0031297B">
        <w:trPr>
          <w:trHeight w:val="20"/>
        </w:trPr>
        <w:tc>
          <w:tcPr>
            <w:tcW w:w="2808" w:type="dxa"/>
            <w:shd w:val="clear" w:color="auto" w:fill="auto"/>
          </w:tcPr>
          <w:p w14:paraId="20A38FEA" w14:textId="77777777" w:rsidR="00F3260C" w:rsidRPr="00BD295E" w:rsidRDefault="008A5057" w:rsidP="0031297B">
            <w:pPr>
              <w:widowControl w:val="0"/>
              <w:tabs>
                <w:tab w:val="left" w:pos="993"/>
                <w:tab w:val="left" w:pos="1276"/>
              </w:tabs>
              <w:rPr>
                <w:rFonts w:ascii="Arial" w:eastAsia="Calibri" w:hAnsi="Arial" w:cs="Arial"/>
                <w:b/>
                <w:sz w:val="18"/>
                <w:szCs w:val="18"/>
                <w:lang w:val="en-US"/>
              </w:rPr>
            </w:pPr>
            <w:r w:rsidRPr="00BD295E">
              <w:rPr>
                <w:rFonts w:ascii="Arial" w:hAnsi="Arial" w:cs="Arial"/>
                <w:b/>
                <w:sz w:val="18"/>
                <w:szCs w:val="18"/>
                <w:lang w:val="en-US"/>
              </w:rPr>
              <w:t>Internal Control and Risk Management Division</w:t>
            </w:r>
          </w:p>
        </w:tc>
        <w:tc>
          <w:tcPr>
            <w:tcW w:w="0" w:type="auto"/>
            <w:shd w:val="clear" w:color="auto" w:fill="auto"/>
          </w:tcPr>
          <w:p w14:paraId="3DD4CD70"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Provides overall coordination of risk management processes, including engagement between all risk management system stakeholders;</w:t>
            </w:r>
          </w:p>
          <w:p w14:paraId="27DA1BD4"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Implement guidelines on risk management processes and operation of the risk management system at the Company;</w:t>
            </w:r>
          </w:p>
          <w:p w14:paraId="756A5B32"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Organize risk management training for the Company’s employees;</w:t>
            </w:r>
          </w:p>
          <w:p w14:paraId="0C397C70"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Timely aggregate information on all identified risks and prepare proposals to update the risk register;</w:t>
            </w:r>
          </w:p>
          <w:p w14:paraId="14677E20"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Monitor the risk management process at the Company and at its controlled entities in line with the established procedure;</w:t>
            </w:r>
          </w:p>
          <w:p w14:paraId="615E5642"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Report, at least every six months, and inform the Company’s executive bodies on the results of risk management and the risk management system’s effectiveness evaluation;</w:t>
            </w:r>
          </w:p>
          <w:p w14:paraId="7B200A80"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Prepare an annual report on the organization, operation, and effectiveness of the Company’s risk management system, as well as on other matters provided for under the Risk Management Policy.</w:t>
            </w:r>
          </w:p>
        </w:tc>
      </w:tr>
      <w:tr w:rsidR="008A5057" w:rsidRPr="00BD295E" w14:paraId="04D78291" w14:textId="77777777" w:rsidTr="0031297B">
        <w:trPr>
          <w:trHeight w:val="20"/>
        </w:trPr>
        <w:tc>
          <w:tcPr>
            <w:tcW w:w="2808" w:type="dxa"/>
            <w:shd w:val="clear" w:color="auto" w:fill="auto"/>
          </w:tcPr>
          <w:p w14:paraId="02B2A3B2" w14:textId="77777777" w:rsidR="00F3260C" w:rsidRPr="00BD295E" w:rsidRDefault="008A5057" w:rsidP="0031297B">
            <w:pPr>
              <w:widowControl w:val="0"/>
              <w:tabs>
                <w:tab w:val="left" w:pos="993"/>
                <w:tab w:val="left" w:pos="1276"/>
              </w:tabs>
              <w:rPr>
                <w:rFonts w:ascii="Arial" w:eastAsia="Calibri" w:hAnsi="Arial" w:cs="Arial"/>
                <w:i/>
                <w:sz w:val="18"/>
                <w:szCs w:val="18"/>
                <w:lang w:val="en-US"/>
              </w:rPr>
            </w:pPr>
            <w:r w:rsidRPr="00BD295E">
              <w:rPr>
                <w:rFonts w:ascii="Arial" w:hAnsi="Arial" w:cs="Arial"/>
                <w:b/>
                <w:sz w:val="18"/>
                <w:szCs w:val="18"/>
                <w:lang w:val="en-US"/>
              </w:rPr>
              <w:t>Internal Audit Department</w:t>
            </w:r>
          </w:p>
        </w:tc>
        <w:tc>
          <w:tcPr>
            <w:tcW w:w="0" w:type="auto"/>
            <w:shd w:val="clear" w:color="auto" w:fill="auto"/>
          </w:tcPr>
          <w:p w14:paraId="1A3E962B" w14:textId="77777777" w:rsidR="00F3260C" w:rsidRPr="00BD295E" w:rsidRDefault="008A5057" w:rsidP="00CA2271">
            <w:pPr>
              <w:pStyle w:val="af3"/>
              <w:widowControl w:val="0"/>
              <w:numPr>
                <w:ilvl w:val="1"/>
                <w:numId w:val="89"/>
              </w:numPr>
              <w:tabs>
                <w:tab w:val="left" w:pos="345"/>
                <w:tab w:val="left" w:pos="993"/>
                <w:tab w:val="left" w:pos="1134"/>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Performs internal independent assessment of the risk management system’s effectiveness and issues recommendations to the risk management function aimed at improving the efficiency and effectiveness of the risk management system;</w:t>
            </w:r>
          </w:p>
          <w:p w14:paraId="6E13B36E" w14:textId="77777777" w:rsidR="00F3260C" w:rsidRPr="00BD295E" w:rsidRDefault="008A5057" w:rsidP="00CA2271">
            <w:pPr>
              <w:widowControl w:val="0"/>
              <w:numPr>
                <w:ilvl w:val="1"/>
                <w:numId w:val="89"/>
              </w:numPr>
              <w:tabs>
                <w:tab w:val="left" w:pos="345"/>
                <w:tab w:val="left" w:pos="993"/>
                <w:tab w:val="left" w:pos="1134"/>
              </w:tabs>
              <w:autoSpaceDE w:val="0"/>
              <w:autoSpaceDN w:val="0"/>
              <w:adjustRightInd w:val="0"/>
              <w:ind w:left="0" w:firstLine="0"/>
              <w:jc w:val="both"/>
              <w:rPr>
                <w:rFonts w:ascii="Arial" w:hAnsi="Arial" w:cs="Arial"/>
                <w:sz w:val="18"/>
                <w:szCs w:val="18"/>
                <w:lang w:val="en-US"/>
              </w:rPr>
            </w:pPr>
            <w:r w:rsidRPr="00BD295E">
              <w:rPr>
                <w:rFonts w:ascii="Arial" w:hAnsi="Arial" w:cs="Arial"/>
                <w:sz w:val="18"/>
                <w:szCs w:val="18"/>
                <w:lang w:val="en-US"/>
              </w:rPr>
              <w:t>Informs the executive bodies and the Board of Directors (an authorized committee of the Board of Directors) of the Company about the state of the risk management system.</w:t>
            </w:r>
          </w:p>
        </w:tc>
      </w:tr>
    </w:tbl>
    <w:p w14:paraId="5AB8B50A" w14:textId="77777777" w:rsidR="00F3260C" w:rsidRPr="00BD295E" w:rsidRDefault="008A5057" w:rsidP="00F3260C">
      <w:pPr>
        <w:tabs>
          <w:tab w:val="left" w:pos="1134"/>
        </w:tabs>
        <w:autoSpaceDE w:val="0"/>
        <w:autoSpaceDN w:val="0"/>
        <w:adjustRightInd w:val="0"/>
        <w:ind w:firstLine="709"/>
        <w:jc w:val="both"/>
        <w:rPr>
          <w:rFonts w:ascii="Arial" w:hAnsi="Arial" w:cs="Arial"/>
          <w:sz w:val="18"/>
          <w:szCs w:val="18"/>
          <w:lang w:val="en-US"/>
        </w:rPr>
      </w:pPr>
      <w:r w:rsidRPr="00BD295E">
        <w:rPr>
          <w:rFonts w:ascii="Arial" w:hAnsi="Arial" w:cs="Arial"/>
          <w:sz w:val="18"/>
          <w:szCs w:val="18"/>
          <w:lang w:val="en-US"/>
        </w:rPr>
        <w:t xml:space="preserve"> </w:t>
      </w:r>
    </w:p>
    <w:p w14:paraId="7B061B98" w14:textId="77777777" w:rsidR="00F3260C" w:rsidRPr="00BD295E" w:rsidRDefault="008A5057" w:rsidP="00C968B7">
      <w:pPr>
        <w:pStyle w:val="Default"/>
        <w:jc w:val="both"/>
        <w:rPr>
          <w:rFonts w:ascii="Arial" w:hAnsi="Arial" w:cs="Arial"/>
          <w:color w:val="auto"/>
          <w:sz w:val="18"/>
          <w:szCs w:val="18"/>
          <w:lang w:val="en-US"/>
        </w:rPr>
      </w:pPr>
      <w:r w:rsidRPr="00BD295E">
        <w:rPr>
          <w:rFonts w:ascii="Arial" w:hAnsi="Arial" w:cs="Arial"/>
          <w:color w:val="auto"/>
          <w:sz w:val="18"/>
          <w:szCs w:val="18"/>
          <w:lang w:val="en-US"/>
        </w:rPr>
        <w:t xml:space="preserve">The Company regularly identifies, assesses, and monitors risks, adapts its activities in order to reduce the probability and potential consequences of risk realization, while also informing thereof shareholders and other stakeholders. </w:t>
      </w:r>
    </w:p>
    <w:p w14:paraId="345D83B1" w14:textId="77777777" w:rsidR="00F3260C" w:rsidRPr="00BD295E" w:rsidRDefault="008A5057" w:rsidP="00C968B7">
      <w:pPr>
        <w:pStyle w:val="ConsPlusNormal"/>
        <w:jc w:val="both"/>
        <w:rPr>
          <w:rFonts w:ascii="Arial" w:hAnsi="Arial" w:cs="Arial"/>
          <w:sz w:val="18"/>
          <w:szCs w:val="18"/>
          <w:lang w:val="en-US"/>
        </w:rPr>
      </w:pPr>
      <w:r w:rsidRPr="00BD295E">
        <w:rPr>
          <w:rFonts w:ascii="Arial" w:hAnsi="Arial" w:cs="Arial"/>
          <w:sz w:val="18"/>
          <w:szCs w:val="18"/>
          <w:lang w:val="en-US"/>
        </w:rPr>
        <w:t>Below is a list of the most significant risks that may affect the Company’s operations, as well as measures taken to prevent them and minimize the negative implications of their impact.</w:t>
      </w:r>
    </w:p>
    <w:p w14:paraId="0291DF51" w14:textId="77777777" w:rsidR="00F3260C" w:rsidRPr="00BD295E" w:rsidRDefault="008A5057" w:rsidP="00C968B7">
      <w:pPr>
        <w:pStyle w:val="ConsPlusNormal"/>
        <w:jc w:val="both"/>
        <w:rPr>
          <w:rFonts w:ascii="Arial" w:hAnsi="Arial" w:cs="Arial"/>
          <w:sz w:val="18"/>
          <w:szCs w:val="18"/>
          <w:lang w:val="en-US"/>
        </w:rPr>
      </w:pPr>
      <w:r w:rsidRPr="00BD295E">
        <w:rPr>
          <w:rFonts w:ascii="Arial" w:hAnsi="Arial" w:cs="Arial"/>
          <w:sz w:val="18"/>
          <w:szCs w:val="18"/>
          <w:lang w:val="en-US"/>
        </w:rPr>
        <w:t>Risk materiality is a combination of the probability that the risk will occur and the scale of implications for the Company in value and other terms. The risk materiality is assessed based on existing risk desriptions or expert reviews in line with the following scale:</w:t>
      </w:r>
    </w:p>
    <w:p w14:paraId="3130DAE0" w14:textId="77777777" w:rsidR="00F3260C" w:rsidRPr="00BD295E" w:rsidRDefault="00F3260C" w:rsidP="00F3260C">
      <w:pPr>
        <w:pStyle w:val="ConsPlusNormal"/>
        <w:ind w:firstLine="709"/>
        <w:jc w:val="both"/>
        <w:rPr>
          <w:rFonts w:ascii="Arial" w:hAnsi="Arial" w:cs="Arial"/>
          <w:sz w:val="18"/>
          <w:szCs w:val="18"/>
          <w:lang w:val="en-US"/>
        </w:rPr>
      </w:pPr>
    </w:p>
    <w:tbl>
      <w:tblPr>
        <w:tblW w:w="0" w:type="auto"/>
        <w:jc w:val="center"/>
        <w:tblCellMar>
          <w:left w:w="0" w:type="dxa"/>
          <w:right w:w="0" w:type="dxa"/>
        </w:tblCellMar>
        <w:tblLook w:val="04A0" w:firstRow="1" w:lastRow="0" w:firstColumn="1" w:lastColumn="0" w:noHBand="0" w:noVBand="1"/>
      </w:tblPr>
      <w:tblGrid>
        <w:gridCol w:w="2280"/>
        <w:gridCol w:w="1300"/>
        <w:gridCol w:w="3402"/>
        <w:gridCol w:w="925"/>
      </w:tblGrid>
      <w:tr w:rsidR="008A5057" w:rsidRPr="00BD295E" w14:paraId="1215800C" w14:textId="77777777" w:rsidTr="0031297B">
        <w:trPr>
          <w:trHeight w:val="217"/>
          <w:jc w:val="center"/>
        </w:trPr>
        <w:tc>
          <w:tcPr>
            <w:tcW w:w="3130" w:type="dxa"/>
            <w:gridSpan w:val="2"/>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A49A2E9"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b/>
                <w:bCs/>
                <w:sz w:val="18"/>
                <w:szCs w:val="18"/>
                <w:lang w:val="en-US"/>
              </w:rPr>
              <w:t>Materiality</w:t>
            </w:r>
          </w:p>
        </w:tc>
        <w:tc>
          <w:tcPr>
            <w:tcW w:w="4253" w:type="dxa"/>
            <w:gridSpan w:val="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5FBA5D4" w14:textId="77777777" w:rsidR="00F3260C" w:rsidRPr="00BD295E" w:rsidRDefault="008A5057" w:rsidP="0031297B">
            <w:pPr>
              <w:jc w:val="center"/>
              <w:rPr>
                <w:rFonts w:ascii="Arial" w:eastAsia="Calibri" w:hAnsi="Arial" w:cs="Arial"/>
                <w:sz w:val="18"/>
                <w:szCs w:val="18"/>
                <w:lang w:val="en-US"/>
              </w:rPr>
            </w:pPr>
            <w:r w:rsidRPr="00BD295E">
              <w:rPr>
                <w:rFonts w:ascii="Arial" w:hAnsi="Arial" w:cs="Arial"/>
                <w:b/>
                <w:bCs/>
                <w:sz w:val="18"/>
                <w:szCs w:val="18"/>
                <w:lang w:val="en-US"/>
              </w:rPr>
              <w:t>Changes</w:t>
            </w:r>
          </w:p>
        </w:tc>
      </w:tr>
      <w:tr w:rsidR="008A5057" w:rsidRPr="00BD295E" w14:paraId="2687D17E" w14:textId="77777777" w:rsidTr="0031297B">
        <w:trPr>
          <w:trHeight w:val="657"/>
          <w:jc w:val="center"/>
        </w:trPr>
        <w:tc>
          <w:tcPr>
            <w:tcW w:w="22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DDE1184"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Critical</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B52E7E5" w14:textId="5A7D4DD4" w:rsidR="00F3260C" w:rsidRPr="00BD295E" w:rsidRDefault="00997D07" w:rsidP="0031297B">
            <w:pPr>
              <w:ind w:firstLine="709"/>
              <w:jc w:val="center"/>
              <w:rPr>
                <w:rFonts w:ascii="Arial" w:eastAsia="Calibri"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55680" behindDoc="0" locked="0" layoutInCell="1" allowOverlap="1" wp14:anchorId="13DCF7F9" wp14:editId="741B684D">
                      <wp:simplePos x="0" y="0"/>
                      <wp:positionH relativeFrom="column">
                        <wp:posOffset>55245</wp:posOffset>
                      </wp:positionH>
                      <wp:positionV relativeFrom="paragraph">
                        <wp:posOffset>52070</wp:posOffset>
                      </wp:positionV>
                      <wp:extent cx="270510" cy="278130"/>
                      <wp:effectExtent l="20320" t="16510" r="13970" b="19685"/>
                      <wp:wrapNone/>
                      <wp:docPr id="469" name="Овал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C0504D"/>
                              </a:solidFill>
                              <a:ln w="25400" algn="ctr">
                                <a:solidFill>
                                  <a:srgbClr val="8C3836"/>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2C3FE05" id="Овал 63" o:spid="_x0000_s1026" style="position:absolute;margin-left:4.35pt;margin-top:4.1pt;width:21.3pt;height:21.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" fillcolor="#c0504d" strokecolor="#8c3836" strokeweight="2pt"/>
                  </w:pict>
                </mc:Fallback>
              </mc:AlternateContent>
            </w:r>
            <w:r w:rsidRPr="00BD295E">
              <w:rPr>
                <w:rFonts w:ascii="Arial" w:hAnsi="Arial" w:cs="Arial"/>
                <w:sz w:val="18"/>
                <w:szCs w:val="18"/>
                <w:lang w:val="en-US" w:eastAsia="en-US"/>
              </w:rPr>
              <w:drawing>
                <wp:inline distT="0" distB="0" distL="0" distR="0" wp14:anchorId="2AE8BF83" wp14:editId="643C9AAA">
                  <wp:extent cx="238125" cy="2667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p>
        </w:tc>
        <w:tc>
          <w:tcPr>
            <w:tcW w:w="340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6970818" w14:textId="77777777" w:rsidR="00F3260C" w:rsidRPr="00BD295E" w:rsidRDefault="00AB4381" w:rsidP="0031297B">
            <w:pPr>
              <w:rPr>
                <w:rFonts w:ascii="Arial" w:eastAsia="Calibri" w:hAnsi="Arial" w:cs="Arial"/>
                <w:sz w:val="18"/>
                <w:szCs w:val="18"/>
                <w:lang w:val="en-US"/>
              </w:rPr>
            </w:pPr>
            <w:r w:rsidRPr="00BD295E">
              <w:rPr>
                <w:rFonts w:ascii="Arial" w:hAnsi="Arial" w:cs="Arial"/>
                <w:sz w:val="18"/>
                <w:szCs w:val="18"/>
                <w:lang w:val="en-US"/>
              </w:rPr>
              <w:t>No (or negligible) change</w:t>
            </w:r>
          </w:p>
        </w:tc>
        <w:tc>
          <w:tcPr>
            <w:tcW w:w="85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B1E5AA3" w14:textId="77777777" w:rsidR="00F3260C" w:rsidRPr="00BD295E" w:rsidRDefault="00F3260C" w:rsidP="0031297B">
            <w:pPr>
              <w:ind w:firstLine="709"/>
              <w:jc w:val="center"/>
              <w:rPr>
                <w:rFonts w:ascii="Arial" w:eastAsia="Calibri" w:hAnsi="Arial" w:cs="Arial"/>
                <w:sz w:val="18"/>
                <w:szCs w:val="18"/>
                <w:lang w:val="en-US" w:eastAsia="en-US"/>
              </w:rPr>
            </w:pPr>
          </w:p>
        </w:tc>
      </w:tr>
      <w:tr w:rsidR="008A5057" w:rsidRPr="00BD295E" w14:paraId="66BDD070" w14:textId="77777777" w:rsidTr="0031297B">
        <w:trPr>
          <w:trHeight w:val="550"/>
          <w:jc w:val="center"/>
        </w:trPr>
        <w:tc>
          <w:tcPr>
            <w:tcW w:w="22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37CA40B"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Significant</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FAE0899" w14:textId="43C7444E" w:rsidR="00F3260C" w:rsidRPr="00BD295E" w:rsidRDefault="00997D07" w:rsidP="0031297B">
            <w:pPr>
              <w:ind w:firstLine="709"/>
              <w:jc w:val="center"/>
              <w:rPr>
                <w:rFonts w:ascii="Arial" w:eastAsia="Calibri"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58752" behindDoc="0" locked="0" layoutInCell="1" allowOverlap="1" wp14:anchorId="1F21B5B8" wp14:editId="13C9E79E">
                      <wp:simplePos x="0" y="0"/>
                      <wp:positionH relativeFrom="column">
                        <wp:posOffset>56515</wp:posOffset>
                      </wp:positionH>
                      <wp:positionV relativeFrom="paragraph">
                        <wp:posOffset>33020</wp:posOffset>
                      </wp:positionV>
                      <wp:extent cx="270510" cy="278130"/>
                      <wp:effectExtent l="21590" t="17780" r="12700" b="18415"/>
                      <wp:wrapNone/>
                      <wp:docPr id="468" name="Овал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FFC000"/>
                              </a:solidFill>
                              <a:ln w="25400" algn="ctr">
                                <a:solidFill>
                                  <a:srgbClr val="B66D31"/>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15F00748" id="Овал 18" o:spid="_x0000_s1026" style="position:absolute;margin-left:4.45pt;margin-top:2.6pt;width:21.3pt;height:21.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" fillcolor="#ffc000" strokecolor="#b66d31" strokeweight="2pt"/>
                  </w:pict>
                </mc:Fallback>
              </mc:AlternateContent>
            </w:r>
            <w:r w:rsidRPr="00BD295E">
              <w:rPr>
                <w:rFonts w:ascii="Arial" w:hAnsi="Arial" w:cs="Arial"/>
                <w:sz w:val="18"/>
                <w:szCs w:val="18"/>
                <w:lang w:val="en-US" w:eastAsia="en-US"/>
              </w:rPr>
              <w:drawing>
                <wp:inline distT="0" distB="0" distL="0" distR="0" wp14:anchorId="3E07D776" wp14:editId="37FB6B47">
                  <wp:extent cx="238125" cy="23812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340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28C9DC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Increase in risk materiality </w:t>
            </w:r>
          </w:p>
        </w:tc>
        <w:tc>
          <w:tcPr>
            <w:tcW w:w="85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78F124D" w14:textId="1DCCDA1C" w:rsidR="00F3260C" w:rsidRPr="00BD295E" w:rsidRDefault="00997D07" w:rsidP="0031297B">
            <w:pPr>
              <w:ind w:firstLine="709"/>
              <w:jc w:val="center"/>
              <w:rPr>
                <w:rFonts w:ascii="Arial" w:eastAsia="Calibri"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56704" behindDoc="0" locked="0" layoutInCell="1" allowOverlap="1" wp14:anchorId="6B451867" wp14:editId="3CE7A5B5">
                      <wp:simplePos x="0" y="0"/>
                      <wp:positionH relativeFrom="column">
                        <wp:posOffset>203200</wp:posOffset>
                      </wp:positionH>
                      <wp:positionV relativeFrom="paragraph">
                        <wp:posOffset>-635</wp:posOffset>
                      </wp:positionV>
                      <wp:extent cx="0" cy="301625"/>
                      <wp:effectExtent l="86995" t="22225" r="84455" b="38100"/>
                      <wp:wrapNone/>
                      <wp:docPr id="467"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1625"/>
                              </a:xfrm>
                              <a:prstGeom prst="straightConnector1">
                                <a:avLst/>
                              </a:prstGeom>
                              <a:noFill/>
                              <a:ln w="25400" algn="ctr">
                                <a:solidFill>
                                  <a:srgbClr val="000000"/>
                                </a:solidFill>
                                <a:round/>
                                <a:headEnd/>
                                <a:tailEnd type="arrow" w="med" len="med"/>
                              </a:ln>
                              <a:effectLst>
                                <a:outerShdw dist="19939"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2F78A49C" id="_x0000_t32" coordsize="21600,21600" o:spt="32" o:oned="t" path="m,l21600,21600e" filled="f">
                      <v:path arrowok="t" fillok="f" o:connecttype="none"/>
                      <o:lock v:ext="edit" shapetype="t"/>
                    </v:shapetype>
                    <v:shape id="Прямая со стрелкой 12" o:spid="_x0000_s1026" type="#_x0000_t32" style="position:absolute;margin-left:16pt;margin-top:-.05pt;width:0;height:23.75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" strokeweight="2pt">
                      <v:stroke endarrow="open"/>
                      <v:shadow on="t" color="black" opacity="24903f" origin=",.5" offset="0,1.57pt"/>
                    </v:shape>
                  </w:pict>
                </mc:Fallback>
              </mc:AlternateContent>
            </w:r>
          </w:p>
        </w:tc>
      </w:tr>
      <w:tr w:rsidR="008A5057" w:rsidRPr="00BD295E" w14:paraId="0C9F6B52" w14:textId="77777777" w:rsidTr="0031297B">
        <w:trPr>
          <w:trHeight w:val="685"/>
          <w:jc w:val="center"/>
        </w:trPr>
        <w:tc>
          <w:tcPr>
            <w:tcW w:w="2280"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AF248EF"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Moderate</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BE4B00C" w14:textId="482F8F55" w:rsidR="00F3260C" w:rsidRPr="00BD295E" w:rsidRDefault="00997D07" w:rsidP="0031297B">
            <w:pPr>
              <w:ind w:firstLine="709"/>
              <w:jc w:val="center"/>
              <w:rPr>
                <w:rFonts w:ascii="Arial" w:eastAsia="Calibri"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57728" behindDoc="0" locked="0" layoutInCell="1" allowOverlap="1" wp14:anchorId="54C608F9" wp14:editId="7716FE88">
                      <wp:simplePos x="0" y="0"/>
                      <wp:positionH relativeFrom="column">
                        <wp:posOffset>56515</wp:posOffset>
                      </wp:positionH>
                      <wp:positionV relativeFrom="paragraph">
                        <wp:posOffset>67945</wp:posOffset>
                      </wp:positionV>
                      <wp:extent cx="270510" cy="278130"/>
                      <wp:effectExtent l="21590" t="14605" r="12700" b="21590"/>
                      <wp:wrapNone/>
                      <wp:docPr id="466" name="Овал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806ED9D" id="Овал 23" o:spid="_x0000_s1026" style="position:absolute;margin-left:4.45pt;margin-top:5.35pt;width:21.3pt;height:21.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" fillcolor="#9bbb59" strokecolor="#71893f" strokeweight="2pt"/>
                  </w:pict>
                </mc:Fallback>
              </mc:AlternateContent>
            </w:r>
            <w:r w:rsidRPr="00BD295E">
              <w:rPr>
                <w:rFonts w:ascii="Arial" w:hAnsi="Arial" w:cs="Arial"/>
                <w:sz w:val="18"/>
                <w:szCs w:val="18"/>
                <w:lang w:val="en-US" w:eastAsia="en-US"/>
              </w:rPr>
              <w:drawing>
                <wp:inline distT="0" distB="0" distL="0" distR="0" wp14:anchorId="4DE19FA9" wp14:editId="254714CE">
                  <wp:extent cx="238125" cy="25717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link="rId119">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p>
        </w:tc>
        <w:tc>
          <w:tcPr>
            <w:tcW w:w="340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F42912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Decrease in risk materiality </w:t>
            </w:r>
          </w:p>
        </w:tc>
        <w:tc>
          <w:tcPr>
            <w:tcW w:w="85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7C85CDD" w14:textId="57A0F41A" w:rsidR="00F3260C" w:rsidRPr="00BD295E" w:rsidRDefault="00997D07" w:rsidP="0031297B">
            <w:pPr>
              <w:ind w:firstLine="709"/>
              <w:jc w:val="center"/>
              <w:rPr>
                <w:rFonts w:ascii="Arial" w:eastAsia="Calibri"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62848" behindDoc="0" locked="0" layoutInCell="1" allowOverlap="1" wp14:anchorId="4C53257A" wp14:editId="0BC9CBED">
                      <wp:simplePos x="0" y="0"/>
                      <wp:positionH relativeFrom="column">
                        <wp:posOffset>207010</wp:posOffset>
                      </wp:positionH>
                      <wp:positionV relativeFrom="paragraph">
                        <wp:posOffset>82550</wp:posOffset>
                      </wp:positionV>
                      <wp:extent cx="0" cy="301625"/>
                      <wp:effectExtent l="81280" t="19685" r="80645" b="50165"/>
                      <wp:wrapNone/>
                      <wp:docPr id="465"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1625"/>
                              </a:xfrm>
                              <a:prstGeom prst="straightConnector1">
                                <a:avLst/>
                              </a:prstGeom>
                              <a:noFill/>
                              <a:ln w="25400" algn="ctr">
                                <a:solidFill>
                                  <a:srgbClr val="000000"/>
                                </a:solidFill>
                                <a:round/>
                                <a:headEnd/>
                                <a:tailEnd type="arrow" w="med" len="med"/>
                              </a:ln>
                              <a:effectLst>
                                <a:outerShdw dist="19939"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4C036C7" id="Прямая со стрелкой 22" o:spid="_x0000_s1026" type="#_x0000_t32" style="position:absolute;margin-left:16.3pt;margin-top:6.5pt;width:0;height:23.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" strokeweight="2pt">
                      <v:stroke endarrow="open"/>
                      <v:shadow on="t" color="black" opacity="24903f" origin=",.5" offset="0,1.57pt"/>
                    </v:shape>
                  </w:pict>
                </mc:Fallback>
              </mc:AlternateContent>
            </w:r>
          </w:p>
        </w:tc>
      </w:tr>
    </w:tbl>
    <w:p w14:paraId="5AE4E4E1" w14:textId="77777777" w:rsidR="00F3260C" w:rsidRPr="00BD295E" w:rsidRDefault="00F3260C" w:rsidP="00F3260C">
      <w:pPr>
        <w:ind w:firstLine="709"/>
        <w:jc w:val="center"/>
        <w:rPr>
          <w:rFonts w:ascii="Arial" w:hAnsi="Arial" w:cs="Arial"/>
          <w:b/>
          <w:sz w:val="18"/>
          <w:szCs w:val="18"/>
          <w:lang w:val="en-US"/>
        </w:rPr>
        <w:sectPr w:rsidR="00F3260C" w:rsidRPr="00BD295E" w:rsidSect="00162DD0">
          <w:pgSz w:w="11906" w:h="16838"/>
          <w:pgMar w:top="1134" w:right="850" w:bottom="1134" w:left="1701" w:header="709" w:footer="709" w:gutter="0"/>
          <w:cols w:space="708"/>
          <w:docGrid w:linePitch="360"/>
        </w:sectPr>
      </w:pPr>
    </w:p>
    <w:p w14:paraId="1A2D7F81" w14:textId="77777777" w:rsidR="00F3260C" w:rsidRPr="00BD295E" w:rsidRDefault="008A5057" w:rsidP="00F3260C">
      <w:pPr>
        <w:ind w:firstLine="709"/>
        <w:jc w:val="center"/>
        <w:rPr>
          <w:rFonts w:ascii="Arial" w:hAnsi="Arial" w:cs="Arial"/>
          <w:b/>
          <w:sz w:val="18"/>
          <w:szCs w:val="18"/>
          <w:lang w:val="en-US"/>
        </w:rPr>
      </w:pPr>
      <w:r w:rsidRPr="00BD295E">
        <w:rPr>
          <w:rFonts w:ascii="Arial" w:hAnsi="Arial" w:cs="Arial"/>
          <w:b/>
          <w:sz w:val="18"/>
          <w:szCs w:val="18"/>
          <w:lang w:val="en-US"/>
        </w:rPr>
        <w:t xml:space="preserve">Assessment of risk materiality </w:t>
      </w:r>
    </w:p>
    <w:p w14:paraId="5E8143B0" w14:textId="77777777" w:rsidR="00F3260C" w:rsidRPr="00BD295E" w:rsidRDefault="00F3260C" w:rsidP="00F3260C">
      <w:pPr>
        <w:tabs>
          <w:tab w:val="left" w:pos="1276"/>
        </w:tabs>
        <w:ind w:firstLine="709"/>
        <w:jc w:val="right"/>
        <w:rPr>
          <w:rFonts w:ascii="Arial" w:eastAsia="Calibri" w:hAnsi="Arial" w:cs="Arial"/>
          <w:sz w:val="18"/>
          <w:szCs w:val="18"/>
          <w:lang w:val="en-US"/>
        </w:r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984"/>
        <w:gridCol w:w="4820"/>
        <w:gridCol w:w="5528"/>
        <w:gridCol w:w="1559"/>
      </w:tblGrid>
      <w:tr w:rsidR="008A5057" w:rsidRPr="00BD295E" w14:paraId="61784FD4" w14:textId="77777777" w:rsidTr="0031297B">
        <w:trPr>
          <w:cantSplit/>
          <w:trHeight w:val="20"/>
          <w:tblHeader/>
        </w:trPr>
        <w:tc>
          <w:tcPr>
            <w:tcW w:w="534" w:type="dxa"/>
            <w:shd w:val="clear" w:color="auto" w:fill="auto"/>
            <w:vAlign w:val="center"/>
          </w:tcPr>
          <w:p w14:paraId="200EB040" w14:textId="77777777" w:rsidR="00F3260C" w:rsidRPr="00BD295E" w:rsidRDefault="008A5057" w:rsidP="0031297B">
            <w:pPr>
              <w:jc w:val="center"/>
              <w:rPr>
                <w:rFonts w:ascii="Arial" w:hAnsi="Arial" w:cs="Arial"/>
                <w:b/>
                <w:sz w:val="18"/>
                <w:szCs w:val="18"/>
                <w:lang w:val="en-US"/>
              </w:rPr>
            </w:pPr>
            <w:r w:rsidRPr="00BD295E">
              <w:rPr>
                <w:rFonts w:ascii="Arial" w:hAnsi="Arial" w:cs="Arial"/>
                <w:b/>
                <w:sz w:val="18"/>
                <w:szCs w:val="18"/>
                <w:lang w:val="en-US"/>
              </w:rPr>
              <w:t>item</w:t>
            </w:r>
          </w:p>
        </w:tc>
        <w:tc>
          <w:tcPr>
            <w:tcW w:w="1984" w:type="dxa"/>
            <w:shd w:val="clear" w:color="auto" w:fill="auto"/>
            <w:vAlign w:val="center"/>
          </w:tcPr>
          <w:p w14:paraId="6E8C3DA5" w14:textId="77777777" w:rsidR="00F3260C" w:rsidRPr="00BD295E" w:rsidRDefault="008A5057" w:rsidP="0031297B">
            <w:pPr>
              <w:jc w:val="center"/>
              <w:rPr>
                <w:rFonts w:ascii="Arial" w:hAnsi="Arial" w:cs="Arial"/>
                <w:b/>
                <w:sz w:val="18"/>
                <w:szCs w:val="18"/>
                <w:lang w:val="en-US"/>
              </w:rPr>
            </w:pPr>
            <w:r w:rsidRPr="00BD295E">
              <w:rPr>
                <w:rFonts w:ascii="Arial" w:hAnsi="Arial" w:cs="Arial"/>
                <w:b/>
                <w:sz w:val="18"/>
                <w:szCs w:val="18"/>
                <w:lang w:val="en-US"/>
              </w:rPr>
              <w:t>Risk</w:t>
            </w:r>
          </w:p>
        </w:tc>
        <w:tc>
          <w:tcPr>
            <w:tcW w:w="4820" w:type="dxa"/>
            <w:shd w:val="clear" w:color="auto" w:fill="auto"/>
            <w:vAlign w:val="center"/>
          </w:tcPr>
          <w:p w14:paraId="1525DE34" w14:textId="77777777" w:rsidR="00F3260C" w:rsidRPr="00BD295E" w:rsidRDefault="008A5057" w:rsidP="0031297B">
            <w:pPr>
              <w:jc w:val="center"/>
              <w:rPr>
                <w:rFonts w:ascii="Arial" w:hAnsi="Arial" w:cs="Arial"/>
                <w:b/>
                <w:sz w:val="18"/>
                <w:szCs w:val="18"/>
                <w:lang w:val="en-US"/>
              </w:rPr>
            </w:pPr>
            <w:r w:rsidRPr="00BD295E">
              <w:rPr>
                <w:rFonts w:ascii="Arial" w:hAnsi="Arial" w:cs="Arial"/>
                <w:b/>
                <w:sz w:val="18"/>
                <w:szCs w:val="18"/>
                <w:lang w:val="en-US"/>
              </w:rPr>
              <w:t>Description</w:t>
            </w:r>
          </w:p>
        </w:tc>
        <w:tc>
          <w:tcPr>
            <w:tcW w:w="5528" w:type="dxa"/>
            <w:shd w:val="clear" w:color="auto" w:fill="auto"/>
            <w:vAlign w:val="center"/>
          </w:tcPr>
          <w:p w14:paraId="68CA1CB9" w14:textId="77777777" w:rsidR="00F3260C" w:rsidRPr="00BD295E" w:rsidRDefault="008A5057" w:rsidP="0031297B">
            <w:pPr>
              <w:jc w:val="center"/>
              <w:rPr>
                <w:rFonts w:ascii="Arial" w:hAnsi="Arial" w:cs="Arial"/>
                <w:b/>
                <w:sz w:val="18"/>
                <w:szCs w:val="18"/>
                <w:lang w:val="en-US"/>
              </w:rPr>
            </w:pPr>
            <w:r w:rsidRPr="00BD295E">
              <w:rPr>
                <w:rFonts w:ascii="Arial" w:hAnsi="Arial" w:cs="Arial"/>
                <w:b/>
                <w:sz w:val="18"/>
                <w:szCs w:val="18"/>
                <w:lang w:val="en-US"/>
              </w:rPr>
              <w:t>Risk mitigants</w:t>
            </w:r>
          </w:p>
        </w:tc>
        <w:tc>
          <w:tcPr>
            <w:tcW w:w="1559" w:type="dxa"/>
            <w:shd w:val="clear" w:color="auto" w:fill="auto"/>
            <w:vAlign w:val="center"/>
          </w:tcPr>
          <w:p w14:paraId="2CBCC903" w14:textId="77777777" w:rsidR="00F3260C" w:rsidRPr="00BD295E" w:rsidRDefault="008A5057" w:rsidP="0031297B">
            <w:pPr>
              <w:jc w:val="center"/>
              <w:rPr>
                <w:rFonts w:ascii="Arial" w:hAnsi="Arial" w:cs="Arial"/>
                <w:b/>
                <w:sz w:val="18"/>
                <w:szCs w:val="18"/>
                <w:lang w:val="en-US"/>
              </w:rPr>
            </w:pPr>
            <w:r w:rsidRPr="00BD295E">
              <w:rPr>
                <w:rFonts w:ascii="Arial" w:hAnsi="Arial" w:cs="Arial"/>
                <w:b/>
                <w:sz w:val="18"/>
                <w:szCs w:val="18"/>
                <w:lang w:val="en-US"/>
              </w:rPr>
              <w:t>Assessment and changes of risk materiality compared to 2017</w:t>
            </w:r>
          </w:p>
        </w:tc>
      </w:tr>
      <w:tr w:rsidR="008A5057" w:rsidRPr="00BD295E" w14:paraId="68A801CD" w14:textId="77777777" w:rsidTr="0031297B">
        <w:trPr>
          <w:cantSplit/>
          <w:trHeight w:val="20"/>
        </w:trPr>
        <w:tc>
          <w:tcPr>
            <w:tcW w:w="14425" w:type="dxa"/>
            <w:gridSpan w:val="5"/>
            <w:shd w:val="clear" w:color="auto" w:fill="auto"/>
          </w:tcPr>
          <w:p w14:paraId="5F9B6CC1" w14:textId="77777777" w:rsidR="00F3260C" w:rsidRPr="00BD295E" w:rsidRDefault="008A5057" w:rsidP="0031297B">
            <w:pPr>
              <w:ind w:firstLine="709"/>
              <w:rPr>
                <w:rFonts w:ascii="Arial" w:hAnsi="Arial" w:cs="Arial"/>
                <w:sz w:val="18"/>
                <w:szCs w:val="18"/>
                <w:lang w:val="en-US"/>
              </w:rPr>
            </w:pPr>
            <w:r w:rsidRPr="00BD295E">
              <w:rPr>
                <w:rFonts w:ascii="Arial" w:hAnsi="Arial" w:cs="Arial"/>
                <w:b/>
                <w:sz w:val="18"/>
                <w:szCs w:val="18"/>
                <w:lang w:val="en-US"/>
              </w:rPr>
              <w:t>Industry risks:</w:t>
            </w:r>
          </w:p>
        </w:tc>
      </w:tr>
      <w:tr w:rsidR="008A5057" w:rsidRPr="00BD295E" w14:paraId="654B7D87" w14:textId="77777777" w:rsidTr="0031297B">
        <w:trPr>
          <w:cantSplit/>
          <w:trHeight w:val="20"/>
        </w:trPr>
        <w:tc>
          <w:tcPr>
            <w:tcW w:w="534" w:type="dxa"/>
            <w:shd w:val="clear" w:color="auto" w:fill="auto"/>
          </w:tcPr>
          <w:p w14:paraId="1059FF93"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w:t>
            </w:r>
          </w:p>
        </w:tc>
        <w:tc>
          <w:tcPr>
            <w:tcW w:w="1984" w:type="dxa"/>
            <w:shd w:val="clear" w:color="auto" w:fill="auto"/>
          </w:tcPr>
          <w:p w14:paraId="67AE65A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Regulatory risks</w:t>
            </w:r>
          </w:p>
          <w:p w14:paraId="287F44F6" w14:textId="77777777" w:rsidR="00F3260C" w:rsidRPr="00BD295E" w:rsidRDefault="00F3260C" w:rsidP="0031297B">
            <w:pPr>
              <w:ind w:firstLine="709"/>
              <w:jc w:val="both"/>
              <w:rPr>
                <w:rFonts w:ascii="Arial" w:hAnsi="Arial" w:cs="Arial"/>
                <w:sz w:val="18"/>
                <w:szCs w:val="18"/>
                <w:lang w:val="en-US"/>
              </w:rPr>
            </w:pPr>
          </w:p>
        </w:tc>
        <w:tc>
          <w:tcPr>
            <w:tcW w:w="4820" w:type="dxa"/>
            <w:shd w:val="clear" w:color="auto" w:fill="auto"/>
          </w:tcPr>
          <w:p w14:paraId="3585642A"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The Company’s core operations such as distribution of electricity via distribution grids and grid connection of consumers are regulated by the government. Approval of service tariffs by the regulatory authorities directly impact the amount of the Company’s revenue. Key risks: </w:t>
            </w:r>
          </w:p>
          <w:p w14:paraId="59606E15" w14:textId="77777777" w:rsidR="00F3260C" w:rsidRPr="00BD295E" w:rsidRDefault="008A5057" w:rsidP="00CA2271">
            <w:pPr>
              <w:pStyle w:val="af3"/>
              <w:numPr>
                <w:ilvl w:val="0"/>
                <w:numId w:val="128"/>
              </w:numPr>
              <w:tabs>
                <w:tab w:val="left" w:pos="459"/>
              </w:tabs>
              <w:ind w:left="34" w:firstLine="0"/>
              <w:jc w:val="both"/>
              <w:rPr>
                <w:rFonts w:ascii="Arial" w:hAnsi="Arial" w:cs="Arial"/>
                <w:sz w:val="18"/>
                <w:szCs w:val="18"/>
                <w:lang w:val="en-US"/>
              </w:rPr>
            </w:pPr>
            <w:r w:rsidRPr="00BD295E">
              <w:rPr>
                <w:rFonts w:ascii="Arial" w:hAnsi="Arial" w:cs="Arial"/>
                <w:sz w:val="18"/>
                <w:szCs w:val="18"/>
                <w:lang w:val="en-US"/>
              </w:rPr>
              <w:t xml:space="preserve">Limitations/bans on the tariff rate growth (average </w:t>
            </w:r>
            <w:r w:rsidR="000A385C" w:rsidRPr="00BD295E">
              <w:rPr>
                <w:rFonts w:ascii="Arial" w:hAnsi="Arial" w:cs="Arial"/>
                <w:sz w:val="18"/>
                <w:szCs w:val="18"/>
                <w:lang w:val="en-US"/>
              </w:rPr>
              <w:t>pool</w:t>
            </w:r>
            <w:r w:rsidRPr="00BD295E">
              <w:rPr>
                <w:rFonts w:ascii="Arial" w:hAnsi="Arial" w:cs="Arial"/>
                <w:sz w:val="18"/>
                <w:szCs w:val="18"/>
                <w:lang w:val="en-US"/>
              </w:rPr>
              <w:t xml:space="preserve"> tariff rates by voltage level for each consumer group) and, as a consequence, the Company’s tariff revenue not covering its economically justified expenses. </w:t>
            </w:r>
          </w:p>
          <w:p w14:paraId="636BF8C3" w14:textId="77777777" w:rsidR="00F3260C" w:rsidRPr="00BD295E" w:rsidRDefault="008A5057" w:rsidP="00CA2271">
            <w:pPr>
              <w:pStyle w:val="af3"/>
              <w:numPr>
                <w:ilvl w:val="0"/>
                <w:numId w:val="128"/>
              </w:numPr>
              <w:tabs>
                <w:tab w:val="left" w:pos="459"/>
              </w:tabs>
              <w:ind w:left="34" w:firstLine="0"/>
              <w:jc w:val="both"/>
              <w:rPr>
                <w:rFonts w:ascii="Arial" w:hAnsi="Arial" w:cs="Arial"/>
                <w:sz w:val="18"/>
                <w:szCs w:val="18"/>
                <w:lang w:val="en-US"/>
              </w:rPr>
            </w:pPr>
            <w:r w:rsidRPr="00BD295E">
              <w:rPr>
                <w:rFonts w:ascii="Arial" w:hAnsi="Arial" w:cs="Arial"/>
                <w:sz w:val="18"/>
                <w:szCs w:val="18"/>
                <w:lang w:val="en-US"/>
              </w:rPr>
              <w:t>Risks related to changes in laws on retail electricity and heat pricing.</w:t>
            </w:r>
          </w:p>
          <w:p w14:paraId="40334893" w14:textId="77777777" w:rsidR="00F3260C" w:rsidRPr="00BD295E" w:rsidRDefault="008A5057" w:rsidP="00CA2271">
            <w:pPr>
              <w:pStyle w:val="af3"/>
              <w:numPr>
                <w:ilvl w:val="0"/>
                <w:numId w:val="128"/>
              </w:numPr>
              <w:tabs>
                <w:tab w:val="left" w:pos="459"/>
              </w:tabs>
              <w:ind w:left="34" w:firstLine="0"/>
              <w:jc w:val="both"/>
              <w:rPr>
                <w:rFonts w:ascii="Arial" w:hAnsi="Arial" w:cs="Arial"/>
                <w:sz w:val="18"/>
                <w:szCs w:val="18"/>
                <w:lang w:val="en-US"/>
              </w:rPr>
            </w:pPr>
            <w:r w:rsidRPr="00BD295E">
              <w:rPr>
                <w:rFonts w:ascii="Arial" w:hAnsi="Arial" w:cs="Arial"/>
                <w:sz w:val="18"/>
                <w:szCs w:val="18"/>
                <w:lang w:val="en-US"/>
              </w:rPr>
              <w:t>A decrease in revenue due to the methods used by the regulator to assess the stated amount of capacity.</w:t>
            </w:r>
          </w:p>
          <w:p w14:paraId="0A741349" w14:textId="77777777" w:rsidR="00F3260C" w:rsidRPr="00BD295E" w:rsidRDefault="008A5057" w:rsidP="00CA2271">
            <w:pPr>
              <w:pStyle w:val="af3"/>
              <w:numPr>
                <w:ilvl w:val="0"/>
                <w:numId w:val="128"/>
              </w:numPr>
              <w:tabs>
                <w:tab w:val="left" w:pos="459"/>
              </w:tabs>
              <w:ind w:left="34" w:firstLine="0"/>
              <w:jc w:val="both"/>
              <w:rPr>
                <w:rFonts w:ascii="Arial" w:hAnsi="Arial" w:cs="Arial"/>
                <w:sz w:val="18"/>
                <w:szCs w:val="18"/>
                <w:lang w:val="en-US"/>
              </w:rPr>
            </w:pPr>
            <w:r w:rsidRPr="00BD295E">
              <w:rPr>
                <w:rFonts w:ascii="Arial" w:hAnsi="Arial" w:cs="Arial"/>
                <w:sz w:val="18"/>
                <w:szCs w:val="18"/>
                <w:lang w:val="en-US"/>
              </w:rPr>
              <w:t>A decrease in revenue due to changes in the actual structure of electricity distribution by voltage level as compared to the structure that existed when the tariffs were adopted.</w:t>
            </w:r>
          </w:p>
        </w:tc>
        <w:tc>
          <w:tcPr>
            <w:tcW w:w="5528" w:type="dxa"/>
            <w:shd w:val="clear" w:color="auto" w:fill="auto"/>
          </w:tcPr>
          <w:p w14:paraId="22148FDE" w14:textId="77777777" w:rsidR="00F3260C" w:rsidRPr="00BD295E" w:rsidRDefault="008A5057" w:rsidP="00CA2271">
            <w:pPr>
              <w:pStyle w:val="af3"/>
              <w:numPr>
                <w:ilvl w:val="0"/>
                <w:numId w:val="129"/>
              </w:numPr>
              <w:tabs>
                <w:tab w:val="left" w:pos="422"/>
              </w:tabs>
              <w:ind w:left="34" w:firstLine="0"/>
              <w:jc w:val="both"/>
              <w:rPr>
                <w:rFonts w:ascii="Arial" w:hAnsi="Arial" w:cs="Arial"/>
                <w:sz w:val="18"/>
                <w:szCs w:val="18"/>
                <w:lang w:val="en-US"/>
              </w:rPr>
            </w:pPr>
            <w:r w:rsidRPr="00BD295E">
              <w:rPr>
                <w:rFonts w:ascii="Arial" w:hAnsi="Arial" w:cs="Arial"/>
                <w:sz w:val="18"/>
                <w:szCs w:val="18"/>
                <w:lang w:val="en-US"/>
              </w:rPr>
              <w:t>Consistent engagements with regional regulators to come at economically justified tariffs which would, where possible, cover all costs of the Company.</w:t>
            </w:r>
          </w:p>
          <w:p w14:paraId="09E001E8" w14:textId="77777777" w:rsidR="00F3260C" w:rsidRPr="00BD295E" w:rsidRDefault="008A5057" w:rsidP="00CA2271">
            <w:pPr>
              <w:pStyle w:val="af3"/>
              <w:numPr>
                <w:ilvl w:val="0"/>
                <w:numId w:val="129"/>
              </w:numPr>
              <w:tabs>
                <w:tab w:val="left" w:pos="422"/>
              </w:tabs>
              <w:ind w:left="34" w:firstLine="0"/>
              <w:jc w:val="both"/>
              <w:rPr>
                <w:rFonts w:ascii="Arial" w:hAnsi="Arial" w:cs="Arial"/>
                <w:sz w:val="18"/>
                <w:szCs w:val="18"/>
                <w:lang w:val="en-US"/>
              </w:rPr>
            </w:pPr>
            <w:r w:rsidRPr="00BD295E">
              <w:rPr>
                <w:rFonts w:ascii="Arial" w:hAnsi="Arial" w:cs="Arial"/>
                <w:sz w:val="18"/>
                <w:szCs w:val="18"/>
                <w:lang w:val="en-US"/>
              </w:rPr>
              <w:t xml:space="preserve">Monitoring the adoption of tariff </w:t>
            </w:r>
            <w:r w:rsidR="0052069E" w:rsidRPr="00BD295E">
              <w:rPr>
                <w:rFonts w:ascii="Arial" w:hAnsi="Arial" w:cs="Arial"/>
                <w:sz w:val="18"/>
                <w:szCs w:val="18"/>
                <w:lang w:val="en-US"/>
              </w:rPr>
              <w:t>regulator’s decisions across</w:t>
            </w:r>
            <w:r w:rsidRPr="00BD295E">
              <w:rPr>
                <w:rFonts w:ascii="Arial" w:hAnsi="Arial" w:cs="Arial"/>
                <w:sz w:val="18"/>
                <w:szCs w:val="18"/>
                <w:lang w:val="en-US"/>
              </w:rPr>
              <w:t xml:space="preserve"> the Company’s operating regions, and using the safeguards to protect the Company’s legitimate rights before the Federal Antimonopoly Service of Russia. </w:t>
            </w:r>
          </w:p>
          <w:p w14:paraId="71B5D4FB" w14:textId="77777777" w:rsidR="00F3260C" w:rsidRPr="00BD295E" w:rsidRDefault="008A5057" w:rsidP="00CA2271">
            <w:pPr>
              <w:pStyle w:val="af3"/>
              <w:numPr>
                <w:ilvl w:val="0"/>
                <w:numId w:val="129"/>
              </w:numPr>
              <w:tabs>
                <w:tab w:val="left" w:pos="422"/>
              </w:tabs>
              <w:ind w:left="34" w:firstLine="0"/>
              <w:jc w:val="both"/>
              <w:rPr>
                <w:rFonts w:ascii="Arial" w:hAnsi="Arial" w:cs="Arial"/>
                <w:iCs/>
                <w:sz w:val="18"/>
                <w:szCs w:val="18"/>
                <w:lang w:val="en-US"/>
              </w:rPr>
            </w:pPr>
            <w:r w:rsidRPr="00BD295E">
              <w:rPr>
                <w:rFonts w:ascii="Arial" w:hAnsi="Arial" w:cs="Arial"/>
                <w:sz w:val="18"/>
                <w:szCs w:val="18"/>
                <w:lang w:val="en-US"/>
              </w:rPr>
              <w:t xml:space="preserve">Monitoring and forecasting of electricity consumption and energy flows, agreeing the planned amount of services with consumers. </w:t>
            </w:r>
          </w:p>
        </w:tc>
        <w:tc>
          <w:tcPr>
            <w:tcW w:w="1559" w:type="dxa"/>
            <w:shd w:val="clear" w:color="auto" w:fill="auto"/>
          </w:tcPr>
          <w:p w14:paraId="67B887C2" w14:textId="5B13FD03" w:rsidR="00F3260C" w:rsidRPr="00BD295E" w:rsidRDefault="00997D07" w:rsidP="0031297B">
            <w:pPr>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61824" behindDoc="0" locked="0" layoutInCell="1" allowOverlap="1" wp14:anchorId="2CD19E2D" wp14:editId="13BD2A7F">
                      <wp:simplePos x="0" y="0"/>
                      <wp:positionH relativeFrom="margin">
                        <wp:posOffset>283210</wp:posOffset>
                      </wp:positionH>
                      <wp:positionV relativeFrom="margin">
                        <wp:posOffset>19050</wp:posOffset>
                      </wp:positionV>
                      <wp:extent cx="270510" cy="278130"/>
                      <wp:effectExtent l="19685" t="17145" r="14605" b="19050"/>
                      <wp:wrapSquare wrapText="bothSides"/>
                      <wp:docPr id="464" name="Овал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FFC000"/>
                              </a:solidFill>
                              <a:ln w="25400" algn="ctr">
                                <a:solidFill>
                                  <a:srgbClr val="B66D31"/>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07CD7CA4" id="Овал 64" o:spid="_x0000_s1026" style="position:absolute;margin-left:22.3pt;margin-top:1.5pt;width:21.3pt;height:21.9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" fillcolor="#ffc000" strokecolor="#b66d31" strokeweight="2pt">
                      <w10:wrap type="square" anchorx="margin" anchory="margin"/>
                    </v:oval>
                  </w:pict>
                </mc:Fallback>
              </mc:AlternateContent>
            </w:r>
          </w:p>
          <w:p w14:paraId="2D3D10F1" w14:textId="77777777" w:rsidR="00F3260C" w:rsidRPr="00BD295E" w:rsidRDefault="00F3260C" w:rsidP="0031297B">
            <w:pPr>
              <w:ind w:firstLine="709"/>
              <w:jc w:val="both"/>
              <w:rPr>
                <w:rFonts w:ascii="Arial" w:hAnsi="Arial" w:cs="Arial"/>
                <w:sz w:val="18"/>
                <w:szCs w:val="18"/>
                <w:lang w:val="en-US"/>
              </w:rPr>
            </w:pPr>
          </w:p>
          <w:p w14:paraId="1ABFC3DF" w14:textId="77777777" w:rsidR="00F3260C" w:rsidRPr="00BD295E" w:rsidRDefault="00F3260C" w:rsidP="0031297B">
            <w:pPr>
              <w:ind w:firstLine="709"/>
              <w:jc w:val="both"/>
              <w:rPr>
                <w:rFonts w:ascii="Arial" w:hAnsi="Arial" w:cs="Arial"/>
                <w:sz w:val="18"/>
                <w:szCs w:val="18"/>
                <w:lang w:val="en-US"/>
              </w:rPr>
            </w:pPr>
          </w:p>
          <w:p w14:paraId="49C9FF14" w14:textId="77777777" w:rsidR="00F3260C" w:rsidRPr="00BD295E" w:rsidRDefault="00F3260C" w:rsidP="0031297B">
            <w:pPr>
              <w:ind w:firstLine="709"/>
              <w:jc w:val="both"/>
              <w:rPr>
                <w:rFonts w:ascii="Arial" w:hAnsi="Arial" w:cs="Arial"/>
                <w:sz w:val="18"/>
                <w:szCs w:val="18"/>
                <w:lang w:val="en-US"/>
              </w:rPr>
            </w:pPr>
          </w:p>
        </w:tc>
      </w:tr>
      <w:tr w:rsidR="008A5057" w:rsidRPr="00BD295E" w14:paraId="0B6322E5" w14:textId="77777777" w:rsidTr="0031297B">
        <w:trPr>
          <w:cantSplit/>
          <w:trHeight w:val="20"/>
        </w:trPr>
        <w:tc>
          <w:tcPr>
            <w:tcW w:w="534" w:type="dxa"/>
            <w:shd w:val="clear" w:color="auto" w:fill="auto"/>
          </w:tcPr>
          <w:p w14:paraId="1C1B870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2.</w:t>
            </w:r>
          </w:p>
        </w:tc>
        <w:tc>
          <w:tcPr>
            <w:tcW w:w="1984" w:type="dxa"/>
            <w:shd w:val="clear" w:color="auto" w:fill="auto"/>
          </w:tcPr>
          <w:p w14:paraId="6717C8FE"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Risk of a decrease in the amount of electricity distribution services.</w:t>
            </w:r>
          </w:p>
          <w:p w14:paraId="1686B3FC" w14:textId="77777777" w:rsidR="00F3260C" w:rsidRPr="00BD295E" w:rsidRDefault="00F3260C" w:rsidP="0031297B">
            <w:pPr>
              <w:ind w:firstLine="709"/>
              <w:jc w:val="both"/>
              <w:rPr>
                <w:rFonts w:ascii="Arial" w:hAnsi="Arial" w:cs="Arial"/>
                <w:sz w:val="18"/>
                <w:szCs w:val="18"/>
                <w:lang w:val="en-US"/>
              </w:rPr>
            </w:pPr>
          </w:p>
        </w:tc>
        <w:tc>
          <w:tcPr>
            <w:tcW w:w="4820" w:type="dxa"/>
            <w:shd w:val="clear" w:color="auto" w:fill="auto"/>
          </w:tcPr>
          <w:p w14:paraId="48B379C0" w14:textId="77777777" w:rsidR="00F3260C" w:rsidRPr="00BD295E" w:rsidRDefault="008A5057" w:rsidP="0031297B">
            <w:pPr>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The risk is associated with a general decline in demand for electricity and capacity from large consumers due to a decrease in industrial production, optimization of external electricity supply arrangements by consumers, the development of their in-house generating facilities, or weaker solvency</w:t>
            </w:r>
          </w:p>
        </w:tc>
        <w:tc>
          <w:tcPr>
            <w:tcW w:w="5528" w:type="dxa"/>
            <w:shd w:val="clear" w:color="auto" w:fill="auto"/>
          </w:tcPr>
          <w:p w14:paraId="2852A53A" w14:textId="77777777" w:rsidR="00F3260C" w:rsidRPr="00BD295E" w:rsidRDefault="008A5057" w:rsidP="00CA2271">
            <w:pPr>
              <w:pStyle w:val="af3"/>
              <w:numPr>
                <w:ilvl w:val="0"/>
                <w:numId w:val="130"/>
              </w:numPr>
              <w:tabs>
                <w:tab w:val="left" w:pos="422"/>
              </w:tabs>
              <w:ind w:left="0" w:firstLine="34"/>
              <w:jc w:val="both"/>
              <w:rPr>
                <w:rFonts w:ascii="Arial" w:hAnsi="Arial" w:cs="Arial"/>
                <w:sz w:val="18"/>
                <w:szCs w:val="18"/>
                <w:lang w:val="en-US"/>
              </w:rPr>
            </w:pPr>
            <w:r w:rsidRPr="00BD295E">
              <w:rPr>
                <w:rFonts w:ascii="Arial" w:hAnsi="Arial" w:cs="Arial"/>
                <w:sz w:val="18"/>
                <w:szCs w:val="18"/>
                <w:lang w:val="en-US"/>
              </w:rPr>
              <w:t>In order to minimize the risk, the Company uses economic development statistics and forecasts for the Russian Federation and its constituent entities, as well as forecasts on behavior of large consumers, while taking measures to improve the reliability of forecasting the amount of electricity distribution services used for pricing and business planning.</w:t>
            </w:r>
          </w:p>
          <w:p w14:paraId="059959D2" w14:textId="77777777" w:rsidR="00F3260C" w:rsidRPr="00BD295E" w:rsidRDefault="008A5057" w:rsidP="00CA2271">
            <w:pPr>
              <w:pStyle w:val="af3"/>
              <w:numPr>
                <w:ilvl w:val="0"/>
                <w:numId w:val="130"/>
              </w:numPr>
              <w:tabs>
                <w:tab w:val="left" w:pos="422"/>
              </w:tabs>
              <w:ind w:left="34" w:firstLine="0"/>
              <w:jc w:val="both"/>
              <w:rPr>
                <w:rFonts w:ascii="Arial" w:hAnsi="Arial" w:cs="Arial"/>
                <w:sz w:val="18"/>
                <w:szCs w:val="18"/>
                <w:lang w:val="en-US"/>
              </w:rPr>
            </w:pPr>
            <w:r w:rsidRPr="00BD295E">
              <w:rPr>
                <w:rFonts w:ascii="Arial" w:hAnsi="Arial" w:cs="Arial"/>
                <w:sz w:val="18"/>
                <w:szCs w:val="18"/>
                <w:lang w:val="en-US"/>
              </w:rPr>
              <w:t>In order to boost the competitive edge of electricity supply through the connection to the Company’s grid, the Company takes measures to enhance the reliability, quality, and safety of its electricity supply, simplify the grid connection process, implement a customer-oriented approach to its engagements with consumers, as well as enhance the effectiveness of its electric grid facilities.</w:t>
            </w:r>
          </w:p>
          <w:p w14:paraId="67178628" w14:textId="77777777" w:rsidR="00F3260C" w:rsidRPr="00BD295E" w:rsidRDefault="008A5057" w:rsidP="00CA2271">
            <w:pPr>
              <w:pStyle w:val="af3"/>
              <w:numPr>
                <w:ilvl w:val="0"/>
                <w:numId w:val="130"/>
              </w:numPr>
              <w:tabs>
                <w:tab w:val="left" w:pos="422"/>
              </w:tabs>
              <w:ind w:left="34" w:firstLine="0"/>
              <w:jc w:val="both"/>
              <w:rPr>
                <w:rFonts w:ascii="Arial" w:hAnsi="Arial" w:cs="Arial"/>
                <w:sz w:val="18"/>
                <w:szCs w:val="18"/>
                <w:lang w:val="en-US"/>
              </w:rPr>
            </w:pPr>
            <w:r w:rsidRPr="00BD295E">
              <w:rPr>
                <w:rFonts w:ascii="Arial" w:hAnsi="Arial" w:cs="Arial"/>
                <w:sz w:val="18"/>
                <w:szCs w:val="18"/>
                <w:lang w:val="en-US"/>
              </w:rPr>
              <w:t>Measures are taken to implement the Future Metering Development Program, as well as to implement the energy saving program.</w:t>
            </w:r>
          </w:p>
        </w:tc>
        <w:tc>
          <w:tcPr>
            <w:tcW w:w="1559" w:type="dxa"/>
            <w:shd w:val="clear" w:color="auto" w:fill="auto"/>
          </w:tcPr>
          <w:p w14:paraId="0C82A791" w14:textId="27D7F26D"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64896" behindDoc="0" locked="0" layoutInCell="1" allowOverlap="1" wp14:anchorId="00ADEA8F" wp14:editId="6468E9A3">
                      <wp:simplePos x="0" y="0"/>
                      <wp:positionH relativeFrom="margin">
                        <wp:posOffset>283210</wp:posOffset>
                      </wp:positionH>
                      <wp:positionV relativeFrom="margin">
                        <wp:posOffset>19050</wp:posOffset>
                      </wp:positionV>
                      <wp:extent cx="270510" cy="278130"/>
                      <wp:effectExtent l="19685" t="12700" r="14605" b="13970"/>
                      <wp:wrapSquare wrapText="bothSides"/>
                      <wp:docPr id="463" name="Овал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FFC000"/>
                              </a:solidFill>
                              <a:ln w="25400" algn="ctr">
                                <a:solidFill>
                                  <a:srgbClr val="B66D31"/>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76CA81D" id="Овал 41" o:spid="_x0000_s1026" style="position:absolute;margin-left:22.3pt;margin-top:1.5pt;width:21.3pt;height:21.9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" fillcolor="#ffc000" strokecolor="#b66d31" strokeweight="2pt">
                      <w10:wrap type="square" anchorx="margin" anchory="margin"/>
                    </v:oval>
                  </w:pict>
                </mc:Fallback>
              </mc:AlternateContent>
            </w:r>
          </w:p>
        </w:tc>
      </w:tr>
      <w:tr w:rsidR="008A5057" w:rsidRPr="00BD295E" w14:paraId="108A4193" w14:textId="77777777" w:rsidTr="0031297B">
        <w:trPr>
          <w:cantSplit/>
          <w:trHeight w:val="20"/>
        </w:trPr>
        <w:tc>
          <w:tcPr>
            <w:tcW w:w="534" w:type="dxa"/>
            <w:shd w:val="clear" w:color="auto" w:fill="auto"/>
          </w:tcPr>
          <w:p w14:paraId="753E6E0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3.</w:t>
            </w:r>
          </w:p>
        </w:tc>
        <w:tc>
          <w:tcPr>
            <w:tcW w:w="1984" w:type="dxa"/>
            <w:shd w:val="clear" w:color="auto" w:fill="auto"/>
          </w:tcPr>
          <w:p w14:paraId="770FDD4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Grid connection risks</w:t>
            </w:r>
          </w:p>
          <w:p w14:paraId="36A8EBCC" w14:textId="77777777" w:rsidR="00F3260C" w:rsidRPr="00BD295E" w:rsidRDefault="00F3260C" w:rsidP="0031297B">
            <w:pPr>
              <w:ind w:firstLine="709"/>
              <w:jc w:val="both"/>
              <w:rPr>
                <w:rFonts w:ascii="Arial" w:hAnsi="Arial" w:cs="Arial"/>
                <w:sz w:val="18"/>
                <w:szCs w:val="18"/>
                <w:lang w:val="en-US"/>
              </w:rPr>
            </w:pPr>
          </w:p>
        </w:tc>
        <w:tc>
          <w:tcPr>
            <w:tcW w:w="4820" w:type="dxa"/>
            <w:shd w:val="clear" w:color="auto" w:fill="auto"/>
          </w:tcPr>
          <w:p w14:paraId="096AC675" w14:textId="77777777" w:rsidR="00F3260C" w:rsidRPr="00BD295E" w:rsidRDefault="008A5057" w:rsidP="00CA2271">
            <w:pPr>
              <w:pStyle w:val="af3"/>
              <w:numPr>
                <w:ilvl w:val="0"/>
                <w:numId w:val="131"/>
              </w:numPr>
              <w:tabs>
                <w:tab w:val="left" w:pos="422"/>
              </w:tabs>
              <w:ind w:left="0" w:firstLine="0"/>
              <w:jc w:val="both"/>
              <w:rPr>
                <w:rFonts w:ascii="Arial" w:hAnsi="Arial" w:cs="Arial"/>
                <w:sz w:val="18"/>
                <w:szCs w:val="18"/>
                <w:lang w:val="en-US"/>
              </w:rPr>
            </w:pPr>
            <w:r w:rsidRPr="00BD295E">
              <w:rPr>
                <w:rFonts w:ascii="Arial" w:hAnsi="Arial" w:cs="Arial"/>
                <w:sz w:val="18"/>
                <w:szCs w:val="18"/>
                <w:lang w:val="en-US"/>
              </w:rPr>
              <w:t xml:space="preserve">The situation where the proceeds under large grid connection contracts do not cover the investment expenses required to meet the respective obligations is conducive to delays in meeting such grid connection obligations, which may entail risks of </w:t>
            </w:r>
            <w:r w:rsidR="000D659F" w:rsidRPr="00BD295E">
              <w:rPr>
                <w:rFonts w:ascii="Arial" w:hAnsi="Arial" w:cs="Arial"/>
                <w:sz w:val="18"/>
                <w:szCs w:val="18"/>
                <w:lang w:val="en-US"/>
              </w:rPr>
              <w:t>customer</w:t>
            </w:r>
            <w:r w:rsidRPr="00BD295E">
              <w:rPr>
                <w:rFonts w:ascii="Arial" w:hAnsi="Arial" w:cs="Arial"/>
                <w:sz w:val="18"/>
                <w:szCs w:val="18"/>
                <w:lang w:val="en-US"/>
              </w:rPr>
              <w:t>s initiating legal proceedings as well as risks of breaching antitrust laws due to delays in providing grid connection services.</w:t>
            </w:r>
          </w:p>
          <w:p w14:paraId="604C25B5" w14:textId="77777777" w:rsidR="00F3260C" w:rsidRPr="00BD295E" w:rsidRDefault="008A5057" w:rsidP="00CA2271">
            <w:pPr>
              <w:pStyle w:val="af3"/>
              <w:numPr>
                <w:ilvl w:val="0"/>
                <w:numId w:val="131"/>
              </w:numPr>
              <w:tabs>
                <w:tab w:val="left" w:pos="422"/>
              </w:tabs>
              <w:ind w:left="0" w:firstLine="34"/>
              <w:jc w:val="both"/>
              <w:rPr>
                <w:rFonts w:ascii="Arial" w:hAnsi="Arial" w:cs="Arial"/>
                <w:sz w:val="18"/>
                <w:szCs w:val="18"/>
                <w:lang w:val="en-US"/>
              </w:rPr>
            </w:pPr>
            <w:r w:rsidRPr="00BD295E">
              <w:rPr>
                <w:rFonts w:ascii="Arial" w:hAnsi="Arial" w:cs="Arial"/>
                <w:sz w:val="18"/>
                <w:szCs w:val="18"/>
                <w:lang w:val="en-US"/>
              </w:rPr>
              <w:t xml:space="preserve">In recent years, the demand for electric grid connection has substantially increased as a result of higher accessibility of electric grids and benefits granted to certain groups of </w:t>
            </w:r>
            <w:r w:rsidR="000D659F" w:rsidRPr="00BD295E">
              <w:rPr>
                <w:rFonts w:ascii="Arial" w:hAnsi="Arial" w:cs="Arial"/>
                <w:sz w:val="18"/>
                <w:szCs w:val="18"/>
                <w:lang w:val="en-US"/>
              </w:rPr>
              <w:t>customer</w:t>
            </w:r>
            <w:r w:rsidRPr="00BD295E">
              <w:rPr>
                <w:rFonts w:ascii="Arial" w:hAnsi="Arial" w:cs="Arial"/>
                <w:sz w:val="18"/>
                <w:szCs w:val="18"/>
                <w:lang w:val="en-US"/>
              </w:rPr>
              <w:t xml:space="preserve">s. At the same time, the connection of an increased number of new consumers did not entail a comparable increase in electricity consumption. </w:t>
            </w:r>
            <w:r w:rsidR="000D659F" w:rsidRPr="00BD295E">
              <w:rPr>
                <w:rFonts w:ascii="Arial" w:hAnsi="Arial" w:cs="Arial"/>
                <w:sz w:val="18"/>
                <w:szCs w:val="18"/>
                <w:lang w:val="en-US"/>
              </w:rPr>
              <w:t>Customer</w:t>
            </w:r>
            <w:r w:rsidRPr="00BD295E">
              <w:rPr>
                <w:rFonts w:ascii="Arial" w:hAnsi="Arial" w:cs="Arial"/>
                <w:sz w:val="18"/>
                <w:szCs w:val="18"/>
                <w:lang w:val="en-US"/>
              </w:rPr>
              <w:t>s do not consume the maximum capacity requested by them in full, which results in an increase in the number of underutilized electricity supply sources.</w:t>
            </w:r>
          </w:p>
          <w:p w14:paraId="644F7B3A" w14:textId="77777777" w:rsidR="00F3260C" w:rsidRPr="00BD295E" w:rsidRDefault="008A5057" w:rsidP="00CA2271">
            <w:pPr>
              <w:pStyle w:val="af3"/>
              <w:numPr>
                <w:ilvl w:val="0"/>
                <w:numId w:val="131"/>
              </w:numPr>
              <w:tabs>
                <w:tab w:val="left" w:pos="422"/>
              </w:tabs>
              <w:ind w:left="0" w:firstLine="34"/>
              <w:jc w:val="both"/>
              <w:rPr>
                <w:rFonts w:ascii="Arial" w:hAnsi="Arial" w:cs="Arial"/>
                <w:sz w:val="18"/>
                <w:szCs w:val="18"/>
                <w:lang w:val="en-US"/>
              </w:rPr>
            </w:pPr>
            <w:r w:rsidRPr="00BD295E">
              <w:rPr>
                <w:rFonts w:ascii="Arial" w:hAnsi="Arial" w:cs="Arial"/>
                <w:sz w:val="18"/>
                <w:szCs w:val="18"/>
                <w:lang w:val="en-US"/>
              </w:rPr>
              <w:t xml:space="preserve">Shortfalls in potential revenue for electricity transmission services due to the failure of </w:t>
            </w:r>
            <w:r w:rsidR="000D659F" w:rsidRPr="00BD295E">
              <w:rPr>
                <w:rFonts w:ascii="Arial" w:hAnsi="Arial" w:cs="Arial"/>
                <w:sz w:val="18"/>
                <w:szCs w:val="18"/>
                <w:lang w:val="en-US"/>
              </w:rPr>
              <w:t>customer</w:t>
            </w:r>
            <w:r w:rsidRPr="00BD295E">
              <w:rPr>
                <w:rFonts w:ascii="Arial" w:hAnsi="Arial" w:cs="Arial"/>
                <w:sz w:val="18"/>
                <w:szCs w:val="18"/>
                <w:lang w:val="en-US"/>
              </w:rPr>
              <w:t xml:space="preserve">s to meet their obligations (including the refusal of grid connection), and as a consequence, failure to use newly built equipment and the underutilization of electricity supply sources. </w:t>
            </w:r>
          </w:p>
          <w:p w14:paraId="58373E2E" w14:textId="77777777" w:rsidR="00F3260C" w:rsidRPr="00BD295E" w:rsidRDefault="008A5057" w:rsidP="00CA2271">
            <w:pPr>
              <w:pStyle w:val="af3"/>
              <w:numPr>
                <w:ilvl w:val="0"/>
                <w:numId w:val="131"/>
              </w:numPr>
              <w:tabs>
                <w:tab w:val="left" w:pos="422"/>
              </w:tabs>
              <w:ind w:left="0" w:firstLine="34"/>
              <w:jc w:val="both"/>
              <w:rPr>
                <w:rFonts w:ascii="Arial" w:hAnsi="Arial" w:cs="Arial"/>
                <w:sz w:val="18"/>
                <w:szCs w:val="18"/>
                <w:lang w:val="en-US"/>
              </w:rPr>
            </w:pPr>
            <w:r w:rsidRPr="00BD295E">
              <w:rPr>
                <w:rFonts w:ascii="Arial" w:hAnsi="Arial" w:cs="Arial"/>
                <w:sz w:val="18"/>
                <w:szCs w:val="18"/>
                <w:lang w:val="en-US"/>
              </w:rPr>
              <w:t>Risk of lack of financing for implementing grid connection contracts due to the approval by the regulator of grid connection fee rates that do not cover economically justified costs.</w:t>
            </w:r>
          </w:p>
        </w:tc>
        <w:tc>
          <w:tcPr>
            <w:tcW w:w="5528" w:type="dxa"/>
            <w:shd w:val="clear" w:color="auto" w:fill="auto"/>
          </w:tcPr>
          <w:p w14:paraId="5A5949F2" w14:textId="77777777" w:rsidR="00F3260C" w:rsidRPr="00BD295E" w:rsidRDefault="008A5057" w:rsidP="00CA2271">
            <w:pPr>
              <w:pStyle w:val="af3"/>
              <w:numPr>
                <w:ilvl w:val="0"/>
                <w:numId w:val="132"/>
              </w:numPr>
              <w:tabs>
                <w:tab w:val="left" w:pos="422"/>
              </w:tabs>
              <w:ind w:left="33" w:firstLine="0"/>
              <w:jc w:val="both"/>
              <w:rPr>
                <w:rFonts w:ascii="Arial" w:hAnsi="Arial" w:cs="Arial"/>
                <w:sz w:val="18"/>
                <w:szCs w:val="18"/>
                <w:lang w:val="en-US"/>
              </w:rPr>
            </w:pPr>
            <w:r w:rsidRPr="00BD295E">
              <w:rPr>
                <w:rFonts w:ascii="Arial" w:hAnsi="Arial" w:cs="Arial"/>
                <w:sz w:val="18"/>
                <w:szCs w:val="18"/>
                <w:lang w:val="en-US"/>
              </w:rPr>
              <w:t xml:space="preserve">Optimizing the Company’s costs related to the construction of a distribution grid to connect consumers. </w:t>
            </w:r>
          </w:p>
          <w:p w14:paraId="2E769D96" w14:textId="77777777" w:rsidR="00F3260C" w:rsidRPr="00BD295E" w:rsidRDefault="008A5057" w:rsidP="00CA2271">
            <w:pPr>
              <w:pStyle w:val="af3"/>
              <w:numPr>
                <w:ilvl w:val="0"/>
                <w:numId w:val="132"/>
              </w:numPr>
              <w:tabs>
                <w:tab w:val="left" w:pos="422"/>
              </w:tabs>
              <w:ind w:left="33" w:firstLine="0"/>
              <w:jc w:val="both"/>
              <w:rPr>
                <w:rFonts w:ascii="Arial" w:hAnsi="Arial" w:cs="Arial"/>
                <w:sz w:val="18"/>
                <w:szCs w:val="18"/>
                <w:lang w:val="en-US"/>
              </w:rPr>
            </w:pPr>
            <w:r w:rsidRPr="00BD295E">
              <w:rPr>
                <w:rFonts w:ascii="Arial" w:hAnsi="Arial" w:cs="Arial"/>
                <w:sz w:val="18"/>
                <w:szCs w:val="18"/>
                <w:lang w:val="en-US"/>
              </w:rPr>
              <w:t>Improving the grid connection business process using information technologies and standard solutions aimed at reducing the number of stages and timeframes for the grid connection process, developing interactive services, and preparing draft law initiatives.</w:t>
            </w:r>
          </w:p>
          <w:p w14:paraId="178840B6" w14:textId="77777777" w:rsidR="00F3260C" w:rsidRPr="00BD295E" w:rsidRDefault="008A5057" w:rsidP="00CA2271">
            <w:pPr>
              <w:pStyle w:val="af3"/>
              <w:numPr>
                <w:ilvl w:val="0"/>
                <w:numId w:val="132"/>
              </w:numPr>
              <w:tabs>
                <w:tab w:val="left" w:pos="422"/>
              </w:tabs>
              <w:ind w:left="33" w:firstLine="0"/>
              <w:jc w:val="both"/>
              <w:rPr>
                <w:rFonts w:ascii="Arial" w:hAnsi="Arial" w:cs="Arial"/>
                <w:sz w:val="18"/>
                <w:szCs w:val="18"/>
                <w:lang w:val="en-US"/>
              </w:rPr>
            </w:pPr>
            <w:r w:rsidRPr="00BD295E">
              <w:rPr>
                <w:rFonts w:ascii="Arial" w:hAnsi="Arial" w:cs="Arial"/>
                <w:sz w:val="18"/>
                <w:szCs w:val="18"/>
                <w:lang w:val="en-US"/>
              </w:rPr>
              <w:t xml:space="preserve">Continuous monitoring of the relevance of grid connection. The resulting claim management with regard to </w:t>
            </w:r>
            <w:r w:rsidR="000D659F" w:rsidRPr="00BD295E">
              <w:rPr>
                <w:rFonts w:ascii="Arial" w:hAnsi="Arial" w:cs="Arial"/>
                <w:sz w:val="18"/>
                <w:szCs w:val="18"/>
                <w:lang w:val="en-US"/>
              </w:rPr>
              <w:t>customer</w:t>
            </w:r>
            <w:r w:rsidRPr="00BD295E">
              <w:rPr>
                <w:rFonts w:ascii="Arial" w:hAnsi="Arial" w:cs="Arial"/>
                <w:sz w:val="18"/>
                <w:szCs w:val="18"/>
                <w:lang w:val="en-US"/>
              </w:rPr>
              <w:t>s aimed at recovering grid connection costs.</w:t>
            </w:r>
          </w:p>
          <w:p w14:paraId="612748F4" w14:textId="77777777" w:rsidR="00F3260C" w:rsidRPr="00BD295E" w:rsidRDefault="008A5057" w:rsidP="00CA2271">
            <w:pPr>
              <w:pStyle w:val="af3"/>
              <w:numPr>
                <w:ilvl w:val="0"/>
                <w:numId w:val="132"/>
              </w:numPr>
              <w:tabs>
                <w:tab w:val="left" w:pos="422"/>
              </w:tabs>
              <w:ind w:left="33" w:firstLine="0"/>
              <w:jc w:val="both"/>
              <w:rPr>
                <w:rFonts w:ascii="Arial" w:hAnsi="Arial" w:cs="Arial"/>
                <w:sz w:val="18"/>
                <w:szCs w:val="18"/>
                <w:lang w:val="en-US"/>
              </w:rPr>
            </w:pPr>
            <w:r w:rsidRPr="00BD295E">
              <w:rPr>
                <w:rFonts w:ascii="Arial" w:hAnsi="Arial" w:cs="Arial"/>
                <w:sz w:val="18"/>
                <w:szCs w:val="18"/>
                <w:lang w:val="en-US"/>
              </w:rPr>
              <w:t xml:space="preserve">Interaction with regulatory authorities of constituent entities of the Russian Federation aimed at including grid connection costs for the </w:t>
            </w:r>
            <w:r w:rsidR="00CF0D86" w:rsidRPr="00BD295E">
              <w:rPr>
                <w:rFonts w:ascii="Arial" w:hAnsi="Arial" w:cs="Arial"/>
                <w:sz w:val="18"/>
                <w:szCs w:val="18"/>
                <w:lang w:val="en-US"/>
              </w:rPr>
              <w:t>subsidized</w:t>
            </w:r>
            <w:r w:rsidRPr="00BD295E">
              <w:rPr>
                <w:rFonts w:ascii="Arial" w:hAnsi="Arial" w:cs="Arial"/>
                <w:sz w:val="18"/>
                <w:szCs w:val="18"/>
                <w:lang w:val="en-US"/>
              </w:rPr>
              <w:t xml:space="preserve"> category of </w:t>
            </w:r>
            <w:r w:rsidR="000D659F" w:rsidRPr="00BD295E">
              <w:rPr>
                <w:rFonts w:ascii="Arial" w:hAnsi="Arial" w:cs="Arial"/>
                <w:sz w:val="18"/>
                <w:szCs w:val="18"/>
                <w:lang w:val="en-US"/>
              </w:rPr>
              <w:t>customer</w:t>
            </w:r>
            <w:r w:rsidRPr="00BD295E">
              <w:rPr>
                <w:rFonts w:ascii="Arial" w:hAnsi="Arial" w:cs="Arial"/>
                <w:sz w:val="18"/>
                <w:szCs w:val="18"/>
                <w:lang w:val="en-US"/>
              </w:rPr>
              <w:t>s to the distribution tariff.</w:t>
            </w:r>
          </w:p>
          <w:p w14:paraId="3B269361" w14:textId="77777777" w:rsidR="00F3260C" w:rsidRPr="00BD295E" w:rsidRDefault="008A5057" w:rsidP="00CA2271">
            <w:pPr>
              <w:pStyle w:val="af3"/>
              <w:numPr>
                <w:ilvl w:val="0"/>
                <w:numId w:val="132"/>
              </w:numPr>
              <w:tabs>
                <w:tab w:val="left" w:pos="422"/>
              </w:tabs>
              <w:ind w:left="33" w:firstLine="0"/>
              <w:jc w:val="both"/>
              <w:rPr>
                <w:rFonts w:ascii="Arial" w:hAnsi="Arial" w:cs="Arial"/>
                <w:sz w:val="18"/>
                <w:szCs w:val="18"/>
                <w:lang w:val="en-US"/>
              </w:rPr>
            </w:pPr>
            <w:r w:rsidRPr="00BD295E">
              <w:rPr>
                <w:rFonts w:ascii="Arial" w:hAnsi="Arial" w:cs="Arial"/>
                <w:sz w:val="18"/>
                <w:szCs w:val="18"/>
                <w:lang w:val="en-US"/>
              </w:rPr>
              <w:t>Requesting regulatory authorities to set individual grid connection tariffs.</w:t>
            </w:r>
          </w:p>
          <w:p w14:paraId="51F0C8CE" w14:textId="77777777" w:rsidR="00F3260C" w:rsidRPr="00BD295E" w:rsidRDefault="008A5057" w:rsidP="00CA2271">
            <w:pPr>
              <w:pStyle w:val="af3"/>
              <w:numPr>
                <w:ilvl w:val="0"/>
                <w:numId w:val="132"/>
              </w:numPr>
              <w:tabs>
                <w:tab w:val="left" w:pos="422"/>
              </w:tabs>
              <w:ind w:left="33" w:firstLine="0"/>
              <w:jc w:val="both"/>
              <w:rPr>
                <w:rFonts w:ascii="Arial" w:hAnsi="Arial" w:cs="Arial"/>
                <w:sz w:val="18"/>
                <w:szCs w:val="18"/>
                <w:lang w:val="en-US"/>
              </w:rPr>
            </w:pPr>
            <w:r w:rsidRPr="00BD295E">
              <w:rPr>
                <w:rFonts w:ascii="Arial" w:hAnsi="Arial" w:cs="Arial"/>
                <w:sz w:val="18"/>
                <w:szCs w:val="18"/>
                <w:lang w:val="en-US"/>
              </w:rPr>
              <w:t>Implementing measures to reduce the number of stages and timeframes for grid connection in order to achieve and then maintain target levels in the Business Conduct rating in the grid connection category.</w:t>
            </w:r>
          </w:p>
          <w:p w14:paraId="1D545523" w14:textId="77777777" w:rsidR="00F3260C" w:rsidRPr="00BD295E" w:rsidRDefault="008A5057" w:rsidP="00CA2271">
            <w:pPr>
              <w:pStyle w:val="af3"/>
              <w:numPr>
                <w:ilvl w:val="0"/>
                <w:numId w:val="132"/>
              </w:numPr>
              <w:tabs>
                <w:tab w:val="left" w:pos="422"/>
              </w:tabs>
              <w:ind w:left="33" w:firstLine="0"/>
              <w:jc w:val="both"/>
              <w:rPr>
                <w:rFonts w:ascii="Arial" w:eastAsia="Calibri" w:hAnsi="Arial" w:cs="Arial"/>
                <w:b/>
                <w:i/>
                <w:sz w:val="18"/>
                <w:szCs w:val="18"/>
                <w:lang w:val="en-US"/>
              </w:rPr>
            </w:pPr>
            <w:r w:rsidRPr="00BD295E">
              <w:rPr>
                <w:rFonts w:ascii="Arial" w:hAnsi="Arial" w:cs="Arial"/>
                <w:sz w:val="18"/>
                <w:szCs w:val="18"/>
                <w:lang w:val="en-US"/>
              </w:rPr>
              <w:t>In order to reduce the risks of an electric grid organization related to an increase in costs for grid connection and subsequent full-fledged maintenance of electric grids and reliable electricity supply to consumers, the Company engages in developing legislative initiatives.</w:t>
            </w:r>
          </w:p>
        </w:tc>
        <w:tc>
          <w:tcPr>
            <w:tcW w:w="1559" w:type="dxa"/>
            <w:shd w:val="clear" w:color="auto" w:fill="auto"/>
          </w:tcPr>
          <w:p w14:paraId="4752F270" w14:textId="76FC75E2"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65920" behindDoc="0" locked="0" layoutInCell="1" allowOverlap="1" wp14:anchorId="2B0C2AFF" wp14:editId="22BE3B7A">
                      <wp:simplePos x="0" y="0"/>
                      <wp:positionH relativeFrom="margin">
                        <wp:posOffset>283210</wp:posOffset>
                      </wp:positionH>
                      <wp:positionV relativeFrom="margin">
                        <wp:posOffset>19050</wp:posOffset>
                      </wp:positionV>
                      <wp:extent cx="270510" cy="278130"/>
                      <wp:effectExtent l="19685" t="16510" r="14605" b="19685"/>
                      <wp:wrapSquare wrapText="bothSides"/>
                      <wp:docPr id="462" name="Овал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FFC000"/>
                              </a:solidFill>
                              <a:ln w="25400" algn="ctr">
                                <a:solidFill>
                                  <a:srgbClr val="B66D31"/>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1C4DE191" id="Овал 43" o:spid="_x0000_s1026" style="position:absolute;margin-left:22.3pt;margin-top:1.5pt;width:21.3pt;height:21.9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" fillcolor="#ffc000" strokecolor="#b66d31" strokeweight="2pt">
                      <w10:wrap type="square" anchorx="margin" anchory="margin"/>
                    </v:oval>
                  </w:pict>
                </mc:Fallback>
              </mc:AlternateContent>
            </w:r>
          </w:p>
          <w:p w14:paraId="542B7A8B" w14:textId="77777777" w:rsidR="00F3260C" w:rsidRPr="00BD295E" w:rsidRDefault="00F3260C" w:rsidP="0031297B">
            <w:pPr>
              <w:ind w:firstLine="709"/>
              <w:jc w:val="both"/>
              <w:rPr>
                <w:rFonts w:ascii="Arial" w:hAnsi="Arial" w:cs="Arial"/>
                <w:sz w:val="18"/>
                <w:szCs w:val="18"/>
                <w:lang w:val="en-US"/>
              </w:rPr>
            </w:pPr>
          </w:p>
          <w:p w14:paraId="230907C1" w14:textId="77777777" w:rsidR="00F3260C" w:rsidRPr="00BD295E" w:rsidRDefault="00F3260C" w:rsidP="0031297B">
            <w:pPr>
              <w:ind w:firstLine="709"/>
              <w:jc w:val="both"/>
              <w:rPr>
                <w:rFonts w:ascii="Arial" w:hAnsi="Arial" w:cs="Arial"/>
                <w:sz w:val="18"/>
                <w:szCs w:val="18"/>
                <w:lang w:val="en-US"/>
              </w:rPr>
            </w:pPr>
          </w:p>
          <w:p w14:paraId="2C7B481D" w14:textId="77777777" w:rsidR="00F3260C" w:rsidRPr="00BD295E" w:rsidRDefault="00F3260C" w:rsidP="0031297B">
            <w:pPr>
              <w:ind w:firstLine="709"/>
              <w:jc w:val="both"/>
              <w:rPr>
                <w:rFonts w:ascii="Arial" w:hAnsi="Arial" w:cs="Arial"/>
                <w:sz w:val="18"/>
                <w:szCs w:val="18"/>
                <w:lang w:val="en-US"/>
              </w:rPr>
            </w:pPr>
          </w:p>
        </w:tc>
      </w:tr>
      <w:tr w:rsidR="008A5057" w:rsidRPr="00BD295E" w14:paraId="1004EF47" w14:textId="77777777" w:rsidTr="0031297B">
        <w:trPr>
          <w:cantSplit/>
          <w:trHeight w:val="20"/>
        </w:trPr>
        <w:tc>
          <w:tcPr>
            <w:tcW w:w="534" w:type="dxa"/>
            <w:shd w:val="clear" w:color="auto" w:fill="auto"/>
          </w:tcPr>
          <w:p w14:paraId="2302715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4.</w:t>
            </w:r>
          </w:p>
        </w:tc>
        <w:tc>
          <w:tcPr>
            <w:tcW w:w="1984" w:type="dxa"/>
            <w:shd w:val="clear" w:color="auto" w:fill="auto"/>
          </w:tcPr>
          <w:p w14:paraId="2FC37871"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Risks of an increase in overdue and bad debts</w:t>
            </w:r>
          </w:p>
        </w:tc>
        <w:tc>
          <w:tcPr>
            <w:tcW w:w="4820" w:type="dxa"/>
            <w:shd w:val="clear" w:color="auto" w:fill="auto"/>
          </w:tcPr>
          <w:p w14:paraId="78F04C5B" w14:textId="77777777" w:rsidR="00F3260C" w:rsidRPr="00BD295E" w:rsidRDefault="008A5057" w:rsidP="0031297B">
            <w:pPr>
              <w:jc w:val="both"/>
              <w:rPr>
                <w:rFonts w:ascii="Arial" w:hAnsi="Arial" w:cs="Arial"/>
                <w:iCs/>
                <w:sz w:val="18"/>
                <w:szCs w:val="18"/>
                <w:lang w:val="en-US"/>
              </w:rPr>
            </w:pPr>
            <w:r w:rsidRPr="00BD295E">
              <w:rPr>
                <w:rFonts w:ascii="Arial" w:hAnsi="Arial" w:cs="Arial"/>
                <w:sz w:val="18"/>
                <w:szCs w:val="18"/>
                <w:lang w:val="en-US"/>
              </w:rPr>
              <w:t>Risks of income shortfalls due to non-payments by energy retailers as a result of disagreements on the amount of electricity and capacity consumption used to calculate tariffs.</w:t>
            </w:r>
            <w:r w:rsidRPr="00BD295E">
              <w:rPr>
                <w:rFonts w:ascii="Arial" w:hAnsi="Arial" w:cs="Arial"/>
                <w:iCs/>
                <w:sz w:val="18"/>
                <w:szCs w:val="18"/>
                <w:lang w:val="en-US"/>
              </w:rPr>
              <w:t xml:space="preserve">  </w:t>
            </w:r>
          </w:p>
          <w:p w14:paraId="35AE3FF0" w14:textId="77777777" w:rsidR="00F3260C" w:rsidRPr="00BD295E" w:rsidRDefault="00F3260C" w:rsidP="0031297B">
            <w:pPr>
              <w:autoSpaceDE w:val="0"/>
              <w:autoSpaceDN w:val="0"/>
              <w:adjustRightInd w:val="0"/>
              <w:ind w:firstLine="709"/>
              <w:jc w:val="both"/>
              <w:rPr>
                <w:rFonts w:ascii="Arial" w:eastAsia="Calibri" w:hAnsi="Arial" w:cs="Arial"/>
                <w:sz w:val="18"/>
                <w:szCs w:val="18"/>
                <w:lang w:val="en-US" w:eastAsia="en-US"/>
              </w:rPr>
            </w:pPr>
          </w:p>
          <w:p w14:paraId="78D79DD8" w14:textId="77777777" w:rsidR="00F3260C" w:rsidRPr="00BD295E" w:rsidRDefault="00F3260C" w:rsidP="0031297B">
            <w:pPr>
              <w:autoSpaceDE w:val="0"/>
              <w:autoSpaceDN w:val="0"/>
              <w:adjustRightInd w:val="0"/>
              <w:ind w:firstLine="709"/>
              <w:jc w:val="both"/>
              <w:rPr>
                <w:rFonts w:ascii="Arial" w:hAnsi="Arial" w:cs="Arial"/>
                <w:sz w:val="18"/>
                <w:szCs w:val="18"/>
                <w:lang w:val="en-US"/>
              </w:rPr>
            </w:pPr>
          </w:p>
        </w:tc>
        <w:tc>
          <w:tcPr>
            <w:tcW w:w="5528" w:type="dxa"/>
            <w:shd w:val="clear" w:color="auto" w:fill="auto"/>
          </w:tcPr>
          <w:p w14:paraId="02CF6880" w14:textId="77777777" w:rsidR="00F3260C" w:rsidRPr="00BD295E" w:rsidRDefault="008A5057" w:rsidP="0033027C">
            <w:pPr>
              <w:pStyle w:val="af3"/>
              <w:numPr>
                <w:ilvl w:val="0"/>
                <w:numId w:val="15"/>
              </w:numPr>
              <w:tabs>
                <w:tab w:val="left" w:pos="427"/>
              </w:tabs>
              <w:ind w:left="0" w:firstLine="0"/>
              <w:contextualSpacing w:val="0"/>
              <w:jc w:val="both"/>
              <w:rPr>
                <w:rFonts w:ascii="Arial" w:hAnsi="Arial" w:cs="Arial"/>
                <w:sz w:val="18"/>
                <w:szCs w:val="18"/>
                <w:lang w:val="en-US"/>
              </w:rPr>
            </w:pPr>
            <w:r w:rsidRPr="00BD295E">
              <w:rPr>
                <w:rFonts w:ascii="Arial" w:hAnsi="Arial" w:cs="Arial"/>
                <w:sz w:val="18"/>
                <w:szCs w:val="18"/>
                <w:lang w:val="en-US"/>
              </w:rPr>
              <w:t>Working with counterparties to ensure timely performance of their contractual obligations and recovery of overdue debts, imposing penalties on counterparties.</w:t>
            </w:r>
          </w:p>
          <w:p w14:paraId="69E8A1E2" w14:textId="77777777" w:rsidR="00F3260C" w:rsidRPr="00BD295E" w:rsidRDefault="008A5057" w:rsidP="0033027C">
            <w:pPr>
              <w:pStyle w:val="af3"/>
              <w:numPr>
                <w:ilvl w:val="0"/>
                <w:numId w:val="15"/>
              </w:numPr>
              <w:tabs>
                <w:tab w:val="left" w:pos="427"/>
              </w:tabs>
              <w:ind w:left="0" w:firstLine="0"/>
              <w:contextualSpacing w:val="0"/>
              <w:jc w:val="both"/>
              <w:rPr>
                <w:rFonts w:ascii="Arial" w:hAnsi="Arial" w:cs="Arial"/>
                <w:sz w:val="18"/>
                <w:szCs w:val="18"/>
                <w:lang w:val="en-US"/>
              </w:rPr>
            </w:pPr>
            <w:r w:rsidRPr="00BD295E">
              <w:rPr>
                <w:rFonts w:ascii="Arial" w:hAnsi="Arial" w:cs="Arial"/>
                <w:sz w:val="18"/>
                <w:szCs w:val="18"/>
                <w:lang w:val="en-US"/>
              </w:rPr>
              <w:t>Conducting inspections and imposing restrictions on electricity consumption by consumers who fail to meet their obligations.</w:t>
            </w:r>
          </w:p>
          <w:p w14:paraId="1C973B77" w14:textId="77777777" w:rsidR="00F3260C" w:rsidRPr="00BD295E" w:rsidRDefault="008A5057" w:rsidP="0033027C">
            <w:pPr>
              <w:pStyle w:val="af3"/>
              <w:numPr>
                <w:ilvl w:val="0"/>
                <w:numId w:val="15"/>
              </w:numPr>
              <w:tabs>
                <w:tab w:val="left" w:pos="427"/>
              </w:tabs>
              <w:ind w:left="0" w:firstLine="0"/>
              <w:contextualSpacing w:val="0"/>
              <w:jc w:val="both"/>
              <w:rPr>
                <w:rFonts w:ascii="Arial" w:hAnsi="Arial" w:cs="Arial"/>
                <w:iCs/>
                <w:sz w:val="18"/>
                <w:szCs w:val="18"/>
                <w:lang w:val="en-US"/>
              </w:rPr>
            </w:pPr>
            <w:r w:rsidRPr="00BD295E">
              <w:rPr>
                <w:rFonts w:ascii="Arial" w:hAnsi="Arial" w:cs="Arial"/>
                <w:sz w:val="18"/>
                <w:szCs w:val="18"/>
                <w:lang w:val="en-US"/>
              </w:rPr>
              <w:t>Performing claim management to recover receivables (penalties for delay in payments) and building a successful case history in terms of legal proceedings.</w:t>
            </w:r>
          </w:p>
          <w:p w14:paraId="70D0FEF9" w14:textId="77777777" w:rsidR="00F3260C" w:rsidRPr="00BD295E" w:rsidRDefault="008A5057" w:rsidP="0033027C">
            <w:pPr>
              <w:pStyle w:val="af3"/>
              <w:numPr>
                <w:ilvl w:val="0"/>
                <w:numId w:val="15"/>
              </w:numPr>
              <w:tabs>
                <w:tab w:val="left" w:pos="427"/>
              </w:tabs>
              <w:ind w:left="0" w:firstLine="0"/>
              <w:contextualSpacing w:val="0"/>
              <w:jc w:val="both"/>
              <w:rPr>
                <w:rFonts w:ascii="Arial" w:hAnsi="Arial" w:cs="Arial"/>
                <w:iCs/>
                <w:sz w:val="18"/>
                <w:szCs w:val="18"/>
                <w:lang w:val="en-US"/>
              </w:rPr>
            </w:pPr>
            <w:r w:rsidRPr="00BD295E">
              <w:rPr>
                <w:rFonts w:ascii="Arial" w:hAnsi="Arial" w:cs="Arial"/>
                <w:sz w:val="18"/>
                <w:szCs w:val="18"/>
                <w:lang w:val="en-US"/>
              </w:rPr>
              <w:t>Implementation of a comprehensive Energy Saving and Energy Efficiency Program, including installation of metering devices and measures to detect non-contractual consumption.</w:t>
            </w:r>
          </w:p>
        </w:tc>
        <w:tc>
          <w:tcPr>
            <w:tcW w:w="1559" w:type="dxa"/>
            <w:shd w:val="clear" w:color="auto" w:fill="auto"/>
          </w:tcPr>
          <w:p w14:paraId="1CD27FE2" w14:textId="29ABA035"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66944" behindDoc="0" locked="0" layoutInCell="1" allowOverlap="1" wp14:anchorId="0CDA3136" wp14:editId="03E60071">
                      <wp:simplePos x="0" y="0"/>
                      <wp:positionH relativeFrom="margin">
                        <wp:posOffset>283210</wp:posOffset>
                      </wp:positionH>
                      <wp:positionV relativeFrom="margin">
                        <wp:posOffset>19050</wp:posOffset>
                      </wp:positionV>
                      <wp:extent cx="270510" cy="278130"/>
                      <wp:effectExtent l="19685" t="18415" r="14605" b="17780"/>
                      <wp:wrapSquare wrapText="bothSides"/>
                      <wp:docPr id="461" name="Овал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FFC000"/>
                              </a:solidFill>
                              <a:ln w="25400" algn="ctr">
                                <a:solidFill>
                                  <a:srgbClr val="B66D31"/>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32CC1EF" id="Овал 44" o:spid="_x0000_s1026" style="position:absolute;margin-left:22.3pt;margin-top:1.5pt;width:21.3pt;height:21.9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" fillcolor="#ffc000" strokecolor="#b66d31" strokeweight="2pt">
                      <w10:wrap type="square" anchorx="margin" anchory="margin"/>
                    </v:oval>
                  </w:pict>
                </mc:Fallback>
              </mc:AlternateContent>
            </w:r>
          </w:p>
          <w:p w14:paraId="5280CA75" w14:textId="7950EFBA"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51584" behindDoc="0" locked="0" layoutInCell="1" allowOverlap="1" wp14:anchorId="299EA8EB" wp14:editId="45195EA6">
                      <wp:simplePos x="0" y="0"/>
                      <wp:positionH relativeFrom="column">
                        <wp:posOffset>-2611755</wp:posOffset>
                      </wp:positionH>
                      <wp:positionV relativeFrom="paragraph">
                        <wp:posOffset>5958840</wp:posOffset>
                      </wp:positionV>
                      <wp:extent cx="0" cy="301625"/>
                      <wp:effectExtent l="86995" t="22860" r="84455" b="37465"/>
                      <wp:wrapNone/>
                      <wp:docPr id="460"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1625"/>
                              </a:xfrm>
                              <a:prstGeom prst="straightConnector1">
                                <a:avLst/>
                              </a:prstGeom>
                              <a:noFill/>
                              <a:ln w="25400" algn="ctr">
                                <a:solidFill>
                                  <a:srgbClr val="000000"/>
                                </a:solidFill>
                                <a:round/>
                                <a:headEnd/>
                                <a:tailEnd type="arrow" w="med" len="med"/>
                              </a:ln>
                              <a:effectLst>
                                <a:outerShdw dist="19939"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F390E1A" id="Прямая со стрелкой 65" o:spid="_x0000_s1026" type="#_x0000_t32" style="position:absolute;margin-left:-205.65pt;margin-top:469.2pt;width:0;height:23.75pt;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" strokeweight="2pt">
                      <v:stroke endarrow="open"/>
                      <v:shadow on="t" color="black" opacity="24903f" origin=",.5" offset="0,1.57pt"/>
                    </v:shape>
                  </w:pict>
                </mc:Fallback>
              </mc:AlternateContent>
            </w:r>
          </w:p>
          <w:p w14:paraId="31E3BDAD" w14:textId="77777777" w:rsidR="00F3260C" w:rsidRPr="00BD295E" w:rsidRDefault="00F3260C" w:rsidP="0031297B">
            <w:pPr>
              <w:ind w:firstLine="709"/>
              <w:jc w:val="both"/>
              <w:rPr>
                <w:rFonts w:ascii="Arial" w:hAnsi="Arial" w:cs="Arial"/>
                <w:sz w:val="18"/>
                <w:szCs w:val="18"/>
                <w:lang w:val="en-US"/>
              </w:rPr>
            </w:pPr>
          </w:p>
          <w:p w14:paraId="08F06127" w14:textId="77777777" w:rsidR="00F3260C" w:rsidRPr="00BD295E" w:rsidRDefault="00F3260C" w:rsidP="0031297B">
            <w:pPr>
              <w:ind w:firstLine="709"/>
              <w:jc w:val="both"/>
              <w:rPr>
                <w:rFonts w:ascii="Arial" w:hAnsi="Arial" w:cs="Arial"/>
                <w:sz w:val="18"/>
                <w:szCs w:val="18"/>
                <w:lang w:val="en-US"/>
              </w:rPr>
            </w:pPr>
          </w:p>
          <w:p w14:paraId="08CBDDB4" w14:textId="77777777" w:rsidR="00F3260C" w:rsidRPr="00BD295E" w:rsidRDefault="00F3260C" w:rsidP="0031297B">
            <w:pPr>
              <w:ind w:firstLine="709"/>
              <w:jc w:val="both"/>
              <w:rPr>
                <w:rFonts w:ascii="Arial" w:hAnsi="Arial" w:cs="Arial"/>
                <w:sz w:val="18"/>
                <w:szCs w:val="18"/>
                <w:lang w:val="en-US"/>
              </w:rPr>
            </w:pPr>
          </w:p>
        </w:tc>
      </w:tr>
      <w:tr w:rsidR="008A5057" w:rsidRPr="00BD295E" w14:paraId="71AC17CC" w14:textId="77777777" w:rsidTr="0031297B">
        <w:trPr>
          <w:cantSplit/>
          <w:trHeight w:val="20"/>
        </w:trPr>
        <w:tc>
          <w:tcPr>
            <w:tcW w:w="14425" w:type="dxa"/>
            <w:gridSpan w:val="5"/>
            <w:shd w:val="clear" w:color="auto" w:fill="auto"/>
          </w:tcPr>
          <w:p w14:paraId="285C22B4" w14:textId="77777777" w:rsidR="00F3260C" w:rsidRPr="00BD295E" w:rsidRDefault="008A5057" w:rsidP="0031297B">
            <w:pPr>
              <w:ind w:firstLine="709"/>
              <w:rPr>
                <w:rFonts w:ascii="Arial" w:hAnsi="Arial" w:cs="Arial"/>
                <w:b/>
                <w:sz w:val="18"/>
                <w:szCs w:val="18"/>
                <w:lang w:val="en-US"/>
              </w:rPr>
            </w:pPr>
            <w:r w:rsidRPr="00BD295E">
              <w:rPr>
                <w:rFonts w:ascii="Arial" w:hAnsi="Arial" w:cs="Arial"/>
                <w:b/>
                <w:sz w:val="18"/>
                <w:szCs w:val="18"/>
                <w:lang w:val="en-US"/>
              </w:rPr>
              <w:t>Country and regional risks:</w:t>
            </w:r>
          </w:p>
        </w:tc>
      </w:tr>
      <w:tr w:rsidR="008A5057" w:rsidRPr="00BD295E" w14:paraId="35E91B3F" w14:textId="77777777" w:rsidTr="0031297B">
        <w:trPr>
          <w:cantSplit/>
          <w:trHeight w:val="20"/>
        </w:trPr>
        <w:tc>
          <w:tcPr>
            <w:tcW w:w="534" w:type="dxa"/>
            <w:shd w:val="clear" w:color="auto" w:fill="auto"/>
          </w:tcPr>
          <w:p w14:paraId="7219E71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5.</w:t>
            </w:r>
          </w:p>
        </w:tc>
        <w:tc>
          <w:tcPr>
            <w:tcW w:w="1984" w:type="dxa"/>
            <w:shd w:val="clear" w:color="auto" w:fill="auto"/>
          </w:tcPr>
          <w:p w14:paraId="66C3527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Risks related to the political and economic situation in the country and in the region</w:t>
            </w:r>
          </w:p>
        </w:tc>
        <w:tc>
          <w:tcPr>
            <w:tcW w:w="4820" w:type="dxa"/>
            <w:shd w:val="clear" w:color="auto" w:fill="auto"/>
          </w:tcPr>
          <w:p w14:paraId="6E3F9BD5"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Country and regional risks are caused by macroeconomic factors that manifest themselves globally, at the level of the Russian Federation, and at the level of individual regions. First of all, they include the introduction of anti-Russian sanctions by the European Union, which, through a number of macroeconomic factors, have an impact at the level of the Russian Federation (instability of currency exchange rates, restrictions on supplies of imported raw materials and equipment, etc.).</w:t>
            </w:r>
          </w:p>
          <w:p w14:paraId="194A3D35" w14:textId="77777777" w:rsidR="00F3260C" w:rsidRPr="00BD295E" w:rsidRDefault="008A5057" w:rsidP="0031297B">
            <w:pPr>
              <w:jc w:val="both"/>
              <w:rPr>
                <w:rFonts w:ascii="Arial" w:hAnsi="Arial" w:cs="Arial"/>
                <w:bCs/>
                <w:iCs/>
                <w:sz w:val="18"/>
                <w:szCs w:val="18"/>
                <w:lang w:val="en-US"/>
              </w:rPr>
            </w:pPr>
            <w:r w:rsidRPr="00BD295E">
              <w:rPr>
                <w:rFonts w:ascii="Arial" w:hAnsi="Arial" w:cs="Arial"/>
                <w:bCs/>
                <w:iCs/>
                <w:sz w:val="18"/>
                <w:szCs w:val="18"/>
                <w:lang w:val="en-US"/>
              </w:rPr>
              <w:t>The Company operates in two constituent entities of the Russian Federation: Saint Petersburg and the Leningrad Region, which are economically developed regions of the country and on the centers of financial and political activity. Although this factor ensures a stable demand for the Company’s services, such demand is subject to economic cycles.</w:t>
            </w:r>
          </w:p>
        </w:tc>
        <w:tc>
          <w:tcPr>
            <w:tcW w:w="5528" w:type="dxa"/>
            <w:shd w:val="clear" w:color="auto" w:fill="auto"/>
          </w:tcPr>
          <w:p w14:paraId="501AD36C"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The Company analyzes the situation and takes crisis management measures to mitigate the negative impact as much as possible. As part of efforts to minimizing the above risks, the company attempts to reduce internal costs and streamline the investment program while pursuing a balanced borrowing policy. </w:t>
            </w:r>
          </w:p>
        </w:tc>
        <w:tc>
          <w:tcPr>
            <w:tcW w:w="1559" w:type="dxa"/>
            <w:shd w:val="clear" w:color="auto" w:fill="auto"/>
          </w:tcPr>
          <w:p w14:paraId="302DC6C7" w14:textId="17E3FC56"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63872" behindDoc="0" locked="0" layoutInCell="1" allowOverlap="1" wp14:anchorId="46C2F55B" wp14:editId="6B6B8BED">
                      <wp:simplePos x="0" y="0"/>
                      <wp:positionH relativeFrom="margin">
                        <wp:posOffset>283210</wp:posOffset>
                      </wp:positionH>
                      <wp:positionV relativeFrom="margin">
                        <wp:posOffset>19050</wp:posOffset>
                      </wp:positionV>
                      <wp:extent cx="270510" cy="278130"/>
                      <wp:effectExtent l="19685" t="20955" r="14605" b="15240"/>
                      <wp:wrapSquare wrapText="bothSides"/>
                      <wp:docPr id="459"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82D2121" id="Овал 8" o:spid="_x0000_s1026" style="position:absolute;margin-left:22.3pt;margin-top:1.5pt;width:21.3pt;height:21.9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" fillcolor="#9bbb59" strokecolor="#71893f" strokeweight="2pt">
                      <w10:wrap type="square" anchorx="margin" anchory="margin"/>
                    </v:oval>
                  </w:pict>
                </mc:Fallback>
              </mc:AlternateContent>
            </w:r>
          </w:p>
          <w:p w14:paraId="672F9363" w14:textId="77777777" w:rsidR="00F3260C" w:rsidRPr="00BD295E" w:rsidRDefault="00F3260C" w:rsidP="0031297B">
            <w:pPr>
              <w:ind w:firstLine="709"/>
              <w:jc w:val="both"/>
              <w:rPr>
                <w:rFonts w:ascii="Arial" w:hAnsi="Arial" w:cs="Arial"/>
                <w:sz w:val="18"/>
                <w:szCs w:val="18"/>
                <w:lang w:val="en-US"/>
              </w:rPr>
            </w:pPr>
          </w:p>
          <w:p w14:paraId="273627AA" w14:textId="77777777" w:rsidR="00F3260C" w:rsidRPr="00BD295E" w:rsidRDefault="00F3260C" w:rsidP="0031297B">
            <w:pPr>
              <w:ind w:firstLine="709"/>
              <w:jc w:val="both"/>
              <w:rPr>
                <w:rFonts w:ascii="Arial" w:hAnsi="Arial" w:cs="Arial"/>
                <w:sz w:val="18"/>
                <w:szCs w:val="18"/>
                <w:lang w:val="en-US"/>
              </w:rPr>
            </w:pPr>
          </w:p>
          <w:p w14:paraId="639C7168" w14:textId="77777777" w:rsidR="00F3260C" w:rsidRPr="00BD295E" w:rsidRDefault="00F3260C" w:rsidP="0031297B">
            <w:pPr>
              <w:ind w:firstLine="709"/>
              <w:jc w:val="both"/>
              <w:rPr>
                <w:rFonts w:ascii="Arial" w:hAnsi="Arial" w:cs="Arial"/>
                <w:sz w:val="18"/>
                <w:szCs w:val="18"/>
                <w:lang w:val="en-US"/>
              </w:rPr>
            </w:pPr>
          </w:p>
          <w:p w14:paraId="03B79C05" w14:textId="77777777" w:rsidR="00F3260C" w:rsidRPr="00BD295E" w:rsidRDefault="00F3260C" w:rsidP="0031297B">
            <w:pPr>
              <w:ind w:firstLine="709"/>
              <w:jc w:val="both"/>
              <w:rPr>
                <w:rFonts w:ascii="Arial" w:hAnsi="Arial" w:cs="Arial"/>
                <w:sz w:val="18"/>
                <w:szCs w:val="18"/>
                <w:lang w:val="en-US"/>
              </w:rPr>
            </w:pPr>
          </w:p>
        </w:tc>
      </w:tr>
      <w:tr w:rsidR="008A5057" w:rsidRPr="00BD295E" w14:paraId="5E295E0A" w14:textId="77777777" w:rsidTr="0031297B">
        <w:trPr>
          <w:cantSplit/>
          <w:trHeight w:val="20"/>
        </w:trPr>
        <w:tc>
          <w:tcPr>
            <w:tcW w:w="534" w:type="dxa"/>
            <w:shd w:val="clear" w:color="auto" w:fill="auto"/>
          </w:tcPr>
          <w:p w14:paraId="4AC718E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6.</w:t>
            </w:r>
          </w:p>
        </w:tc>
        <w:tc>
          <w:tcPr>
            <w:tcW w:w="1984" w:type="dxa"/>
            <w:shd w:val="clear" w:color="auto" w:fill="auto"/>
          </w:tcPr>
          <w:p w14:paraId="531327AA"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Risks associated with the geographical profile of the operating country or region, including increased danger of natural disasters and the risk of traffic disruptions.</w:t>
            </w:r>
          </w:p>
        </w:tc>
        <w:tc>
          <w:tcPr>
            <w:tcW w:w="4820" w:type="dxa"/>
            <w:shd w:val="clear" w:color="auto" w:fill="auto"/>
          </w:tcPr>
          <w:p w14:paraId="20E5851E" w14:textId="77777777" w:rsidR="00F3260C" w:rsidRPr="00BD295E" w:rsidRDefault="008A5057" w:rsidP="0031297B">
            <w:pPr>
              <w:jc w:val="both"/>
              <w:rPr>
                <w:rFonts w:ascii="Arial" w:hAnsi="Arial" w:cs="Arial"/>
                <w:sz w:val="18"/>
                <w:szCs w:val="18"/>
                <w:lang w:val="en-US"/>
              </w:rPr>
            </w:pPr>
            <w:r w:rsidRPr="00BD295E">
              <w:rPr>
                <w:rFonts w:ascii="Arial" w:hAnsi="Arial" w:cs="Arial"/>
                <w:bCs/>
                <w:iCs/>
                <w:sz w:val="18"/>
                <w:szCs w:val="18"/>
                <w:lang w:val="en-US"/>
              </w:rPr>
              <w:t>The geographical profile of the Company’s operating region implies the risk of natural disasters (hurricanes, heavy rainfall, floods, snowfall, snowdrifts, etc.), which may result in interruption of electricity supply to the region and material damage to the Company’s assets.</w:t>
            </w:r>
          </w:p>
        </w:tc>
        <w:tc>
          <w:tcPr>
            <w:tcW w:w="5528" w:type="dxa"/>
            <w:shd w:val="clear" w:color="auto" w:fill="auto"/>
          </w:tcPr>
          <w:p w14:paraId="20309A01" w14:textId="77777777" w:rsidR="00F3260C" w:rsidRPr="00BD295E" w:rsidRDefault="008A5057" w:rsidP="0033027C">
            <w:pPr>
              <w:pStyle w:val="af3"/>
              <w:numPr>
                <w:ilvl w:val="0"/>
                <w:numId w:val="17"/>
              </w:numPr>
              <w:tabs>
                <w:tab w:val="left" w:pos="459"/>
              </w:tabs>
              <w:ind w:left="0" w:firstLine="33"/>
              <w:contextualSpacing w:val="0"/>
              <w:jc w:val="both"/>
              <w:rPr>
                <w:rFonts w:ascii="Arial" w:hAnsi="Arial" w:cs="Arial"/>
                <w:bCs/>
                <w:iCs/>
                <w:sz w:val="18"/>
                <w:szCs w:val="18"/>
                <w:lang w:val="en-US"/>
              </w:rPr>
            </w:pPr>
            <w:r w:rsidRPr="00BD295E">
              <w:rPr>
                <w:rFonts w:ascii="Arial" w:hAnsi="Arial" w:cs="Arial"/>
                <w:bCs/>
                <w:iCs/>
                <w:sz w:val="18"/>
                <w:szCs w:val="18"/>
                <w:lang w:val="en-US"/>
              </w:rPr>
              <w:t xml:space="preserve">Implementing a range of measures to prepare the grid facilities for the cold season. </w:t>
            </w:r>
          </w:p>
          <w:p w14:paraId="0390E47F" w14:textId="77777777" w:rsidR="00F3260C" w:rsidRPr="00BD295E" w:rsidRDefault="008A5057" w:rsidP="0033027C">
            <w:pPr>
              <w:pStyle w:val="af3"/>
              <w:numPr>
                <w:ilvl w:val="0"/>
                <w:numId w:val="17"/>
              </w:numPr>
              <w:tabs>
                <w:tab w:val="left" w:pos="459"/>
              </w:tabs>
              <w:ind w:left="0" w:firstLine="33"/>
              <w:contextualSpacing w:val="0"/>
              <w:jc w:val="both"/>
              <w:rPr>
                <w:rFonts w:ascii="Arial" w:hAnsi="Arial" w:cs="Arial"/>
                <w:sz w:val="18"/>
                <w:szCs w:val="18"/>
                <w:lang w:val="en-US"/>
              </w:rPr>
            </w:pPr>
            <w:r w:rsidRPr="00BD295E">
              <w:rPr>
                <w:rFonts w:ascii="Arial" w:hAnsi="Arial" w:cs="Arial"/>
                <w:bCs/>
                <w:iCs/>
                <w:sz w:val="18"/>
                <w:szCs w:val="18"/>
                <w:lang w:val="en-US"/>
              </w:rPr>
              <w:t xml:space="preserve">Efforts to reduce the period required to promptly handle the consequences of natural disasters during the cold season. </w:t>
            </w:r>
          </w:p>
          <w:p w14:paraId="689A7E3A" w14:textId="77777777" w:rsidR="00F3260C" w:rsidRPr="00BD295E" w:rsidRDefault="008A5057" w:rsidP="0033027C">
            <w:pPr>
              <w:pStyle w:val="Default"/>
              <w:numPr>
                <w:ilvl w:val="0"/>
                <w:numId w:val="17"/>
              </w:numPr>
              <w:tabs>
                <w:tab w:val="left" w:pos="459"/>
              </w:tabs>
              <w:ind w:left="0" w:firstLine="33"/>
              <w:jc w:val="both"/>
              <w:rPr>
                <w:rFonts w:ascii="Arial" w:hAnsi="Arial" w:cs="Arial"/>
                <w:bCs/>
                <w:iCs/>
                <w:color w:val="auto"/>
                <w:sz w:val="18"/>
                <w:szCs w:val="18"/>
                <w:lang w:val="en-US"/>
              </w:rPr>
            </w:pPr>
            <w:r w:rsidRPr="00BD295E">
              <w:rPr>
                <w:rFonts w:ascii="Arial" w:hAnsi="Arial" w:cs="Arial"/>
                <w:bCs/>
                <w:iCs/>
                <w:color w:val="auto"/>
                <w:sz w:val="18"/>
                <w:szCs w:val="18"/>
                <w:lang w:val="en-US"/>
              </w:rPr>
              <w:t xml:space="preserve">Designing energy facilities taking into account the regional climate and geography. </w:t>
            </w:r>
          </w:p>
          <w:p w14:paraId="09E969B7" w14:textId="77777777" w:rsidR="00F3260C" w:rsidRPr="00BD295E" w:rsidRDefault="008A5057" w:rsidP="0033027C">
            <w:pPr>
              <w:pStyle w:val="Default"/>
              <w:numPr>
                <w:ilvl w:val="0"/>
                <w:numId w:val="17"/>
              </w:numPr>
              <w:tabs>
                <w:tab w:val="left" w:pos="459"/>
              </w:tabs>
              <w:ind w:left="0" w:firstLine="33"/>
              <w:jc w:val="both"/>
              <w:rPr>
                <w:rFonts w:ascii="Arial" w:hAnsi="Arial" w:cs="Arial"/>
                <w:bCs/>
                <w:iCs/>
                <w:color w:val="auto"/>
                <w:sz w:val="18"/>
                <w:szCs w:val="18"/>
                <w:lang w:val="en-US"/>
              </w:rPr>
            </w:pPr>
            <w:r w:rsidRPr="00BD295E">
              <w:rPr>
                <w:rFonts w:ascii="Arial" w:hAnsi="Arial" w:cs="Arial"/>
                <w:bCs/>
                <w:iCs/>
                <w:color w:val="auto"/>
                <w:sz w:val="18"/>
                <w:szCs w:val="18"/>
                <w:lang w:val="en-US"/>
              </w:rPr>
              <w:t>Expanding the overhead line rights-of-way in accordance with the regulations governing the procedure for determining protected zones and for cutting the rights-of-way in the vicinity of electric grid facilities.</w:t>
            </w:r>
          </w:p>
          <w:p w14:paraId="5A894182" w14:textId="77777777" w:rsidR="00F3260C" w:rsidRPr="00BD295E" w:rsidRDefault="008A5057" w:rsidP="0033027C">
            <w:pPr>
              <w:pStyle w:val="Default"/>
              <w:numPr>
                <w:ilvl w:val="0"/>
                <w:numId w:val="17"/>
              </w:numPr>
              <w:tabs>
                <w:tab w:val="left" w:pos="459"/>
              </w:tabs>
              <w:ind w:left="0" w:firstLine="33"/>
              <w:jc w:val="both"/>
              <w:rPr>
                <w:rFonts w:ascii="Arial" w:hAnsi="Arial" w:cs="Arial"/>
                <w:bCs/>
                <w:iCs/>
                <w:color w:val="auto"/>
                <w:sz w:val="18"/>
                <w:szCs w:val="18"/>
                <w:lang w:val="en-US"/>
              </w:rPr>
            </w:pPr>
            <w:r w:rsidRPr="00BD295E">
              <w:rPr>
                <w:rFonts w:ascii="Arial" w:hAnsi="Arial" w:cs="Arial"/>
                <w:bCs/>
                <w:iCs/>
                <w:color w:val="auto"/>
                <w:sz w:val="18"/>
                <w:szCs w:val="18"/>
                <w:lang w:val="en-US"/>
              </w:rPr>
              <w:t>Implementing a property insurance coverage program. Ensuring the lability and mobilization readiness of emergency repair crews.</w:t>
            </w:r>
          </w:p>
          <w:p w14:paraId="5EA302A0" w14:textId="77777777" w:rsidR="00F3260C" w:rsidRPr="00BD295E" w:rsidRDefault="008A5057" w:rsidP="0033027C">
            <w:pPr>
              <w:pStyle w:val="Default"/>
              <w:numPr>
                <w:ilvl w:val="0"/>
                <w:numId w:val="17"/>
              </w:numPr>
              <w:tabs>
                <w:tab w:val="left" w:pos="459"/>
              </w:tabs>
              <w:ind w:left="0" w:firstLine="33"/>
              <w:jc w:val="both"/>
              <w:rPr>
                <w:rFonts w:ascii="Arial" w:hAnsi="Arial" w:cs="Arial"/>
                <w:bCs/>
                <w:iCs/>
                <w:color w:val="auto"/>
                <w:sz w:val="18"/>
                <w:szCs w:val="18"/>
                <w:lang w:val="en-US"/>
              </w:rPr>
            </w:pPr>
            <w:r w:rsidRPr="00BD295E">
              <w:rPr>
                <w:rFonts w:ascii="Arial" w:hAnsi="Arial" w:cs="Arial"/>
                <w:color w:val="auto"/>
                <w:sz w:val="18"/>
                <w:szCs w:val="18"/>
                <w:lang w:val="en-US"/>
              </w:rPr>
              <w:t xml:space="preserve"> Organizing the work of the Task Force of </w:t>
            </w:r>
            <w:r w:rsidR="00EE5753" w:rsidRPr="00BD295E">
              <w:rPr>
                <w:rFonts w:ascii="Arial" w:hAnsi="Arial" w:cs="Arial"/>
                <w:color w:val="auto"/>
                <w:sz w:val="18"/>
                <w:szCs w:val="18"/>
                <w:lang w:val="en-US"/>
              </w:rPr>
              <w:t>PJSC “Lenenergo”</w:t>
            </w:r>
            <w:r w:rsidRPr="00BD295E">
              <w:rPr>
                <w:rFonts w:ascii="Arial" w:hAnsi="Arial" w:cs="Arial"/>
                <w:color w:val="auto"/>
                <w:sz w:val="18"/>
                <w:szCs w:val="18"/>
                <w:lang w:val="en-US"/>
              </w:rPr>
              <w:t xml:space="preserve"> so as to ensure reliable operation of electric grid facilities of </w:t>
            </w:r>
            <w:r w:rsidR="00EE5753" w:rsidRPr="00BD295E">
              <w:rPr>
                <w:rFonts w:ascii="Arial" w:hAnsi="Arial" w:cs="Arial"/>
                <w:color w:val="auto"/>
                <w:sz w:val="18"/>
                <w:szCs w:val="18"/>
                <w:lang w:val="en-US"/>
              </w:rPr>
              <w:t>PJSC “Lenenergo”</w:t>
            </w:r>
            <w:r w:rsidRPr="00BD295E">
              <w:rPr>
                <w:rFonts w:ascii="Arial" w:hAnsi="Arial" w:cs="Arial"/>
                <w:color w:val="auto"/>
                <w:sz w:val="18"/>
                <w:szCs w:val="18"/>
                <w:lang w:val="en-US"/>
              </w:rPr>
              <w:t>, increase effective management and prompt response in case of an actual or threatened electricity supply interruption, accelerate the handling of accidents, minimize the impact of accidents, organize interaction and coordination of joint accident prevention and handling activities of electric grid companies.</w:t>
            </w:r>
          </w:p>
        </w:tc>
        <w:tc>
          <w:tcPr>
            <w:tcW w:w="1559" w:type="dxa"/>
            <w:shd w:val="clear" w:color="auto" w:fill="auto"/>
          </w:tcPr>
          <w:p w14:paraId="2EA88B45" w14:textId="2CC3DB00"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49536" behindDoc="0" locked="0" layoutInCell="1" allowOverlap="1" wp14:anchorId="404B8C2C" wp14:editId="5B357484">
                      <wp:simplePos x="0" y="0"/>
                      <wp:positionH relativeFrom="margin">
                        <wp:posOffset>283210</wp:posOffset>
                      </wp:positionH>
                      <wp:positionV relativeFrom="margin">
                        <wp:posOffset>19050</wp:posOffset>
                      </wp:positionV>
                      <wp:extent cx="270510" cy="278130"/>
                      <wp:effectExtent l="19685" t="15875" r="14605" b="20320"/>
                      <wp:wrapSquare wrapText="bothSides"/>
                      <wp:docPr id="458" name="Овал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1BB6BD35" id="Овал 21" o:spid="_x0000_s1026" style="position:absolute;margin-left:22.3pt;margin-top:1.5pt;width:21.3pt;height:21.9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" fillcolor="#9bbb59" strokecolor="#71893f" strokeweight="2pt">
                      <w10:wrap type="square" anchorx="margin" anchory="margin"/>
                    </v:oval>
                  </w:pict>
                </mc:Fallback>
              </mc:AlternateContent>
            </w:r>
          </w:p>
          <w:p w14:paraId="12F39310" w14:textId="77777777" w:rsidR="00F3260C" w:rsidRPr="00BD295E" w:rsidRDefault="00F3260C" w:rsidP="0031297B">
            <w:pPr>
              <w:ind w:firstLine="709"/>
              <w:jc w:val="both"/>
              <w:rPr>
                <w:rFonts w:ascii="Arial" w:hAnsi="Arial" w:cs="Arial"/>
                <w:sz w:val="18"/>
                <w:szCs w:val="18"/>
                <w:lang w:val="en-US"/>
              </w:rPr>
            </w:pPr>
          </w:p>
          <w:p w14:paraId="255D7ABF" w14:textId="77777777" w:rsidR="00F3260C" w:rsidRPr="00BD295E" w:rsidRDefault="00F3260C" w:rsidP="0031297B">
            <w:pPr>
              <w:ind w:firstLine="709"/>
              <w:jc w:val="both"/>
              <w:rPr>
                <w:rFonts w:ascii="Arial" w:hAnsi="Arial" w:cs="Arial"/>
                <w:sz w:val="18"/>
                <w:szCs w:val="18"/>
                <w:lang w:val="en-US"/>
              </w:rPr>
            </w:pPr>
          </w:p>
          <w:p w14:paraId="0E3AB221" w14:textId="77777777" w:rsidR="00F3260C" w:rsidRPr="00BD295E" w:rsidRDefault="00F3260C" w:rsidP="0031297B">
            <w:pPr>
              <w:ind w:firstLine="709"/>
              <w:jc w:val="both"/>
              <w:rPr>
                <w:rFonts w:ascii="Arial" w:hAnsi="Arial" w:cs="Arial"/>
                <w:sz w:val="18"/>
                <w:szCs w:val="18"/>
                <w:lang w:val="en-US"/>
              </w:rPr>
            </w:pPr>
          </w:p>
          <w:p w14:paraId="7CD04D10" w14:textId="77777777" w:rsidR="00F3260C" w:rsidRPr="00BD295E" w:rsidRDefault="00F3260C" w:rsidP="0031297B">
            <w:pPr>
              <w:ind w:firstLine="709"/>
              <w:jc w:val="both"/>
              <w:rPr>
                <w:rFonts w:ascii="Arial" w:hAnsi="Arial" w:cs="Arial"/>
                <w:sz w:val="18"/>
                <w:szCs w:val="18"/>
                <w:lang w:val="en-US"/>
              </w:rPr>
            </w:pPr>
          </w:p>
        </w:tc>
      </w:tr>
      <w:tr w:rsidR="008A5057" w:rsidRPr="00BD295E" w14:paraId="49A2035A" w14:textId="77777777" w:rsidTr="0031297B">
        <w:trPr>
          <w:cantSplit/>
          <w:trHeight w:val="20"/>
        </w:trPr>
        <w:tc>
          <w:tcPr>
            <w:tcW w:w="534" w:type="dxa"/>
            <w:shd w:val="clear" w:color="auto" w:fill="auto"/>
          </w:tcPr>
          <w:p w14:paraId="74098FF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7.</w:t>
            </w:r>
          </w:p>
        </w:tc>
        <w:tc>
          <w:tcPr>
            <w:tcW w:w="1984" w:type="dxa"/>
            <w:shd w:val="clear" w:color="auto" w:fill="auto"/>
          </w:tcPr>
          <w:p w14:paraId="2DE47A2E"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Risks related to potential conflicts, state of emergency, and strikes in the country (countries) and region</w:t>
            </w:r>
          </w:p>
        </w:tc>
        <w:tc>
          <w:tcPr>
            <w:tcW w:w="4820" w:type="dxa"/>
            <w:shd w:val="clear" w:color="auto" w:fill="auto"/>
          </w:tcPr>
          <w:p w14:paraId="312FF7FA" w14:textId="77777777" w:rsidR="00F3260C" w:rsidRPr="00BD295E" w:rsidRDefault="008A5057" w:rsidP="0031297B">
            <w:pPr>
              <w:jc w:val="both"/>
              <w:rPr>
                <w:rFonts w:ascii="Arial" w:hAnsi="Arial" w:cs="Arial"/>
                <w:bCs/>
                <w:iCs/>
                <w:sz w:val="18"/>
                <w:szCs w:val="18"/>
                <w:lang w:val="en-US"/>
              </w:rPr>
            </w:pPr>
            <w:r w:rsidRPr="00BD295E">
              <w:rPr>
                <w:rFonts w:ascii="Arial" w:hAnsi="Arial" w:cs="Arial"/>
                <w:bCs/>
                <w:iCs/>
                <w:sz w:val="18"/>
                <w:szCs w:val="18"/>
                <w:lang w:val="en-US"/>
              </w:rPr>
              <w:t>The Company may not completely rule out risks related to the potential imposition of a state of emergency in the region in which the Company is located, and in Russia on the whole. Operations may be affected by acts of terrorism, both domestic and international, which may also have a negative impact on the Company’s operations. In the event of possible military conflicts or acts of terrorism, the Company may bear the risk of its fixed assets being put out of operation.</w:t>
            </w:r>
          </w:p>
        </w:tc>
        <w:tc>
          <w:tcPr>
            <w:tcW w:w="5528" w:type="dxa"/>
            <w:shd w:val="clear" w:color="auto" w:fill="auto"/>
          </w:tcPr>
          <w:p w14:paraId="1848ED51" w14:textId="77777777" w:rsidR="00F3260C" w:rsidRPr="00BD295E" w:rsidRDefault="008A5057" w:rsidP="0031297B">
            <w:pPr>
              <w:jc w:val="both"/>
              <w:rPr>
                <w:rFonts w:ascii="Arial" w:hAnsi="Arial" w:cs="Arial"/>
                <w:bCs/>
                <w:iCs/>
                <w:sz w:val="18"/>
                <w:szCs w:val="18"/>
                <w:lang w:val="en-US"/>
              </w:rPr>
            </w:pPr>
            <w:r w:rsidRPr="00BD295E">
              <w:rPr>
                <w:rFonts w:ascii="Arial" w:hAnsi="Arial" w:cs="Arial"/>
                <w:bCs/>
                <w:iCs/>
                <w:sz w:val="18"/>
                <w:szCs w:val="18"/>
                <w:lang w:val="en-US"/>
              </w:rPr>
              <w:t xml:space="preserve">In order to minimize these risks, the Company takes measures to meet the requirements of Federal Law No. 256-FZ, </w:t>
            </w:r>
            <w:r w:rsidRPr="00BD295E">
              <w:rPr>
                <w:rFonts w:ascii="Arial" w:hAnsi="Arial" w:cs="Arial"/>
                <w:bCs/>
                <w:i/>
                <w:iCs/>
                <w:sz w:val="18"/>
                <w:szCs w:val="18"/>
                <w:lang w:val="en-US"/>
              </w:rPr>
              <w:t>On Safety of Energy Facilities</w:t>
            </w:r>
            <w:r w:rsidRPr="00BD295E">
              <w:rPr>
                <w:rFonts w:ascii="Arial" w:hAnsi="Arial" w:cs="Arial"/>
                <w:bCs/>
                <w:iCs/>
                <w:sz w:val="18"/>
                <w:szCs w:val="18"/>
                <w:lang w:val="en-US"/>
              </w:rPr>
              <w:t xml:space="preserve">, </w:t>
            </w:r>
            <w:r w:rsidR="008B183C" w:rsidRPr="00BD295E">
              <w:rPr>
                <w:rFonts w:ascii="Arial" w:hAnsi="Arial" w:cs="Arial"/>
                <w:bCs/>
                <w:iCs/>
                <w:sz w:val="18"/>
                <w:szCs w:val="18"/>
                <w:lang w:val="en-US"/>
              </w:rPr>
              <w:t>of</w:t>
            </w:r>
            <w:r w:rsidRPr="00BD295E">
              <w:rPr>
                <w:rFonts w:ascii="Arial" w:hAnsi="Arial" w:cs="Arial"/>
                <w:bCs/>
                <w:iCs/>
                <w:sz w:val="18"/>
                <w:szCs w:val="18"/>
                <w:lang w:val="en-US"/>
              </w:rPr>
              <w:t xml:space="preserve"> 21 July 2011.</w:t>
            </w:r>
          </w:p>
        </w:tc>
        <w:tc>
          <w:tcPr>
            <w:tcW w:w="1559" w:type="dxa"/>
            <w:shd w:val="clear" w:color="auto" w:fill="auto"/>
          </w:tcPr>
          <w:p w14:paraId="40C4F872" w14:textId="1F6F6638"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45440" behindDoc="0" locked="0" layoutInCell="1" allowOverlap="1" wp14:anchorId="2D4D498E" wp14:editId="440F7103">
                      <wp:simplePos x="0" y="0"/>
                      <wp:positionH relativeFrom="margin">
                        <wp:posOffset>283210</wp:posOffset>
                      </wp:positionH>
                      <wp:positionV relativeFrom="margin">
                        <wp:posOffset>19050</wp:posOffset>
                      </wp:positionV>
                      <wp:extent cx="270510" cy="278130"/>
                      <wp:effectExtent l="19685" t="16510" r="14605" b="19685"/>
                      <wp:wrapSquare wrapText="bothSides"/>
                      <wp:docPr id="457" name="Овал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4D799A63" id="Овал 15" o:spid="_x0000_s1026" style="position:absolute;margin-left:22.3pt;margin-top:1.5pt;width:21.3pt;height:21.9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" fillcolor="#9bbb59" strokecolor="#71893f" strokeweight="2pt">
                      <w10:wrap type="square" anchorx="margin" anchory="margin"/>
                    </v:oval>
                  </w:pict>
                </mc:Fallback>
              </mc:AlternateContent>
            </w:r>
          </w:p>
          <w:p w14:paraId="5F7BF3D8" w14:textId="77777777" w:rsidR="00F3260C" w:rsidRPr="00BD295E" w:rsidRDefault="00F3260C" w:rsidP="0031297B">
            <w:pPr>
              <w:ind w:firstLine="709"/>
              <w:jc w:val="both"/>
              <w:rPr>
                <w:rFonts w:ascii="Arial" w:hAnsi="Arial" w:cs="Arial"/>
                <w:sz w:val="18"/>
                <w:szCs w:val="18"/>
                <w:lang w:val="en-US"/>
              </w:rPr>
            </w:pPr>
          </w:p>
          <w:p w14:paraId="31469BC8" w14:textId="77777777" w:rsidR="00F3260C" w:rsidRPr="00BD295E" w:rsidRDefault="00F3260C" w:rsidP="0031297B">
            <w:pPr>
              <w:ind w:firstLine="709"/>
              <w:jc w:val="both"/>
              <w:rPr>
                <w:rFonts w:ascii="Arial" w:hAnsi="Arial" w:cs="Arial"/>
                <w:sz w:val="18"/>
                <w:szCs w:val="18"/>
                <w:lang w:val="en-US"/>
              </w:rPr>
            </w:pPr>
          </w:p>
          <w:p w14:paraId="7CD31A39" w14:textId="77777777" w:rsidR="00F3260C" w:rsidRPr="00BD295E" w:rsidRDefault="00F3260C" w:rsidP="0031297B">
            <w:pPr>
              <w:ind w:firstLine="709"/>
              <w:jc w:val="both"/>
              <w:rPr>
                <w:rFonts w:ascii="Arial" w:hAnsi="Arial" w:cs="Arial"/>
                <w:sz w:val="18"/>
                <w:szCs w:val="18"/>
                <w:lang w:val="en-US"/>
              </w:rPr>
            </w:pPr>
          </w:p>
        </w:tc>
      </w:tr>
      <w:tr w:rsidR="008A5057" w:rsidRPr="00BD295E" w14:paraId="083D9749" w14:textId="77777777" w:rsidTr="0031297B">
        <w:trPr>
          <w:cantSplit/>
          <w:trHeight w:val="20"/>
        </w:trPr>
        <w:tc>
          <w:tcPr>
            <w:tcW w:w="14425" w:type="dxa"/>
            <w:gridSpan w:val="5"/>
            <w:shd w:val="clear" w:color="auto" w:fill="auto"/>
          </w:tcPr>
          <w:p w14:paraId="67677D44" w14:textId="77777777" w:rsidR="00F3260C" w:rsidRPr="00BD295E" w:rsidRDefault="008A5057" w:rsidP="0031297B">
            <w:pPr>
              <w:ind w:firstLine="709"/>
              <w:rPr>
                <w:rFonts w:ascii="Arial" w:hAnsi="Arial" w:cs="Arial"/>
                <w:sz w:val="18"/>
                <w:szCs w:val="18"/>
                <w:lang w:val="en-US"/>
              </w:rPr>
            </w:pPr>
            <w:r w:rsidRPr="00BD295E">
              <w:rPr>
                <w:rFonts w:ascii="Arial" w:hAnsi="Arial" w:cs="Arial"/>
                <w:b/>
                <w:sz w:val="18"/>
                <w:szCs w:val="18"/>
                <w:lang w:val="en-US"/>
              </w:rPr>
              <w:t>Financial risks:</w:t>
            </w:r>
          </w:p>
        </w:tc>
      </w:tr>
      <w:tr w:rsidR="008A5057" w:rsidRPr="00BD295E" w14:paraId="2A34EBC7" w14:textId="77777777" w:rsidTr="0031297B">
        <w:trPr>
          <w:cantSplit/>
          <w:trHeight w:val="20"/>
        </w:trPr>
        <w:tc>
          <w:tcPr>
            <w:tcW w:w="534" w:type="dxa"/>
            <w:shd w:val="clear" w:color="auto" w:fill="auto"/>
          </w:tcPr>
          <w:p w14:paraId="3DE18F7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8.</w:t>
            </w:r>
          </w:p>
        </w:tc>
        <w:tc>
          <w:tcPr>
            <w:tcW w:w="1984" w:type="dxa"/>
            <w:shd w:val="clear" w:color="auto" w:fill="auto"/>
          </w:tcPr>
          <w:p w14:paraId="114A31DC"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Foreign exchange risks</w:t>
            </w:r>
          </w:p>
        </w:tc>
        <w:tc>
          <w:tcPr>
            <w:tcW w:w="4820" w:type="dxa"/>
            <w:shd w:val="clear" w:color="auto" w:fill="auto"/>
          </w:tcPr>
          <w:p w14:paraId="66678608" w14:textId="77777777" w:rsidR="00F3260C" w:rsidRPr="00BD295E" w:rsidRDefault="008A5057" w:rsidP="0031297B">
            <w:pPr>
              <w:jc w:val="both"/>
              <w:rPr>
                <w:rFonts w:ascii="Arial" w:hAnsi="Arial" w:cs="Arial"/>
                <w:bCs/>
                <w:iCs/>
                <w:sz w:val="18"/>
                <w:szCs w:val="18"/>
                <w:lang w:val="en-US"/>
              </w:rPr>
            </w:pPr>
            <w:r w:rsidRPr="00BD295E">
              <w:rPr>
                <w:rFonts w:ascii="Arial" w:hAnsi="Arial" w:cs="Arial"/>
                <w:bCs/>
                <w:iCs/>
                <w:sz w:val="18"/>
                <w:szCs w:val="18"/>
                <w:lang w:val="en-US"/>
              </w:rPr>
              <w:t xml:space="preserve">The Company is not currently engaged in foreign trade, with its major electricity consumers being residents of the Russian Federation, while its payments for electricity distribution are also made in the currency of the Russian Federation. </w:t>
            </w:r>
          </w:p>
          <w:p w14:paraId="2C8DDB31" w14:textId="77777777" w:rsidR="00F3260C" w:rsidRPr="00BD295E" w:rsidRDefault="008A5057" w:rsidP="0031297B">
            <w:pPr>
              <w:jc w:val="both"/>
              <w:rPr>
                <w:rFonts w:ascii="Arial" w:hAnsi="Arial" w:cs="Arial"/>
                <w:iCs/>
                <w:sz w:val="18"/>
                <w:szCs w:val="18"/>
                <w:lang w:val="en-US"/>
              </w:rPr>
            </w:pPr>
            <w:r w:rsidRPr="00BD295E">
              <w:rPr>
                <w:rFonts w:ascii="Arial" w:hAnsi="Arial" w:cs="Arial"/>
                <w:sz w:val="18"/>
                <w:szCs w:val="18"/>
                <w:lang w:val="en-US"/>
              </w:rPr>
              <w:t xml:space="preserve">However, given that the products and equipment purchased by the Company contain imported components, an increase in currency exchange rates may entail the risk of a rise in the cost of purchased products. </w:t>
            </w:r>
          </w:p>
        </w:tc>
        <w:tc>
          <w:tcPr>
            <w:tcW w:w="5528" w:type="dxa"/>
            <w:shd w:val="clear" w:color="auto" w:fill="auto"/>
          </w:tcPr>
          <w:p w14:paraId="591EAB0F"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The Company regularly monitors prices, conducts public bidding procedures, and pursues an import substitution policy.</w:t>
            </w:r>
          </w:p>
        </w:tc>
        <w:tc>
          <w:tcPr>
            <w:tcW w:w="1559" w:type="dxa"/>
            <w:shd w:val="clear" w:color="auto" w:fill="auto"/>
          </w:tcPr>
          <w:p w14:paraId="08954A80" w14:textId="424D227F"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46464" behindDoc="0" locked="0" layoutInCell="1" allowOverlap="1" wp14:anchorId="090B90B3" wp14:editId="50756268">
                      <wp:simplePos x="0" y="0"/>
                      <wp:positionH relativeFrom="margin">
                        <wp:posOffset>283210</wp:posOffset>
                      </wp:positionH>
                      <wp:positionV relativeFrom="margin">
                        <wp:posOffset>19050</wp:posOffset>
                      </wp:positionV>
                      <wp:extent cx="270510" cy="278130"/>
                      <wp:effectExtent l="19685" t="12700" r="14605" b="13970"/>
                      <wp:wrapSquare wrapText="bothSides"/>
                      <wp:docPr id="456" name="Овал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EF232E4" id="Овал 9" o:spid="_x0000_s1026" style="position:absolute;margin-left:22.3pt;margin-top:1.5pt;width:21.3pt;height:21.9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" fillcolor="#9bbb59" strokecolor="#71893f" strokeweight="2pt">
                      <w10:wrap type="square" anchorx="margin" anchory="margin"/>
                    </v:oval>
                  </w:pict>
                </mc:Fallback>
              </mc:AlternateContent>
            </w:r>
          </w:p>
          <w:p w14:paraId="6257C120" w14:textId="77777777" w:rsidR="00F3260C" w:rsidRPr="00BD295E" w:rsidRDefault="00F3260C" w:rsidP="0031297B">
            <w:pPr>
              <w:ind w:firstLine="709"/>
              <w:jc w:val="both"/>
              <w:rPr>
                <w:rFonts w:ascii="Arial" w:hAnsi="Arial" w:cs="Arial"/>
                <w:sz w:val="18"/>
                <w:szCs w:val="18"/>
                <w:lang w:val="en-US"/>
              </w:rPr>
            </w:pPr>
          </w:p>
          <w:p w14:paraId="5B98E468" w14:textId="77777777" w:rsidR="00F3260C" w:rsidRPr="00BD295E" w:rsidRDefault="00F3260C" w:rsidP="0031297B">
            <w:pPr>
              <w:ind w:firstLine="709"/>
              <w:jc w:val="both"/>
              <w:rPr>
                <w:rFonts w:ascii="Arial" w:hAnsi="Arial" w:cs="Arial"/>
                <w:sz w:val="18"/>
                <w:szCs w:val="18"/>
                <w:lang w:val="en-US"/>
              </w:rPr>
            </w:pPr>
          </w:p>
          <w:p w14:paraId="137F4652" w14:textId="77777777" w:rsidR="00F3260C" w:rsidRPr="00BD295E" w:rsidRDefault="00F3260C" w:rsidP="0031297B">
            <w:pPr>
              <w:ind w:firstLine="709"/>
              <w:jc w:val="both"/>
              <w:rPr>
                <w:rFonts w:ascii="Arial" w:hAnsi="Arial" w:cs="Arial"/>
                <w:sz w:val="18"/>
                <w:szCs w:val="18"/>
                <w:lang w:val="en-US"/>
              </w:rPr>
            </w:pPr>
          </w:p>
          <w:p w14:paraId="14B977C8" w14:textId="77777777" w:rsidR="00F3260C" w:rsidRPr="00BD295E" w:rsidRDefault="00F3260C" w:rsidP="0031297B">
            <w:pPr>
              <w:ind w:firstLine="709"/>
              <w:jc w:val="both"/>
              <w:rPr>
                <w:rFonts w:ascii="Arial" w:hAnsi="Arial" w:cs="Arial"/>
                <w:sz w:val="18"/>
                <w:szCs w:val="18"/>
                <w:lang w:val="en-US"/>
              </w:rPr>
            </w:pPr>
          </w:p>
        </w:tc>
      </w:tr>
      <w:tr w:rsidR="008A5057" w:rsidRPr="00BD295E" w14:paraId="6C5AEC29" w14:textId="77777777" w:rsidTr="0031297B">
        <w:trPr>
          <w:cantSplit/>
          <w:trHeight w:val="20"/>
        </w:trPr>
        <w:tc>
          <w:tcPr>
            <w:tcW w:w="534" w:type="dxa"/>
            <w:shd w:val="clear" w:color="auto" w:fill="auto"/>
          </w:tcPr>
          <w:p w14:paraId="4B460D01"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9.</w:t>
            </w:r>
          </w:p>
        </w:tc>
        <w:tc>
          <w:tcPr>
            <w:tcW w:w="1984" w:type="dxa"/>
            <w:shd w:val="clear" w:color="auto" w:fill="auto"/>
          </w:tcPr>
          <w:p w14:paraId="596DC5CA"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Interest rate risks</w:t>
            </w:r>
          </w:p>
        </w:tc>
        <w:tc>
          <w:tcPr>
            <w:tcW w:w="4820" w:type="dxa"/>
            <w:shd w:val="clear" w:color="auto" w:fill="auto"/>
          </w:tcPr>
          <w:p w14:paraId="6349BBD5" w14:textId="77777777" w:rsidR="00F3260C" w:rsidRPr="00BD295E" w:rsidRDefault="008A5057" w:rsidP="0031297B">
            <w:pPr>
              <w:jc w:val="both"/>
              <w:rPr>
                <w:rFonts w:ascii="Arial" w:hAnsi="Arial" w:cs="Arial"/>
                <w:iCs/>
                <w:sz w:val="18"/>
                <w:szCs w:val="18"/>
                <w:lang w:val="en-US"/>
              </w:rPr>
            </w:pPr>
            <w:r w:rsidRPr="00BD295E">
              <w:rPr>
                <w:rFonts w:ascii="Arial" w:hAnsi="Arial" w:cs="Arial"/>
                <w:sz w:val="18"/>
                <w:szCs w:val="18"/>
                <w:lang w:val="en-US"/>
              </w:rPr>
              <w:t>The Company has borrowings and is therefore exposed to the risk of increased interest rates on loans and borrowings. An abrupt increase in interest rates on borrowings may lead to a rise in the cost of debt service.</w:t>
            </w:r>
          </w:p>
        </w:tc>
        <w:tc>
          <w:tcPr>
            <w:tcW w:w="5528" w:type="dxa"/>
            <w:shd w:val="clear" w:color="auto" w:fill="auto"/>
          </w:tcPr>
          <w:p w14:paraId="1EB7D856" w14:textId="77777777" w:rsidR="00F3260C" w:rsidRPr="00BD295E" w:rsidRDefault="008A5057" w:rsidP="0031297B">
            <w:pPr>
              <w:autoSpaceDE w:val="0"/>
              <w:autoSpaceDN w:val="0"/>
              <w:adjustRightInd w:val="0"/>
              <w:jc w:val="both"/>
              <w:rPr>
                <w:rFonts w:ascii="Arial" w:eastAsia="Calibri" w:hAnsi="Arial" w:cs="Arial"/>
                <w:sz w:val="18"/>
                <w:szCs w:val="18"/>
                <w:lang w:val="en-US"/>
              </w:rPr>
            </w:pPr>
            <w:r w:rsidRPr="00BD295E">
              <w:rPr>
                <w:rFonts w:ascii="Arial" w:hAnsi="Arial" w:cs="Arial"/>
                <w:sz w:val="18"/>
                <w:szCs w:val="18"/>
                <w:lang w:val="en-US"/>
              </w:rPr>
              <w:t>In order to reduce its interest rate risk, the Company pursues a balanced credit policy aimed at streamlining its credit portfolio mix and minimizing the cost of debt service.</w:t>
            </w:r>
          </w:p>
          <w:p w14:paraId="0DF31BAF" w14:textId="77777777" w:rsidR="00F3260C" w:rsidRPr="00BD295E" w:rsidRDefault="00F3260C" w:rsidP="0031297B">
            <w:pPr>
              <w:ind w:firstLine="709"/>
              <w:jc w:val="both"/>
              <w:rPr>
                <w:rFonts w:ascii="Arial" w:hAnsi="Arial" w:cs="Arial"/>
                <w:sz w:val="18"/>
                <w:szCs w:val="18"/>
                <w:lang w:val="en-US"/>
              </w:rPr>
            </w:pPr>
          </w:p>
        </w:tc>
        <w:tc>
          <w:tcPr>
            <w:tcW w:w="1559" w:type="dxa"/>
            <w:shd w:val="clear" w:color="auto" w:fill="auto"/>
          </w:tcPr>
          <w:p w14:paraId="4279C424" w14:textId="3D35E421"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67968" behindDoc="0" locked="0" layoutInCell="1" allowOverlap="1" wp14:anchorId="1BBADAC7" wp14:editId="2565608E">
                      <wp:simplePos x="0" y="0"/>
                      <wp:positionH relativeFrom="margin">
                        <wp:posOffset>283210</wp:posOffset>
                      </wp:positionH>
                      <wp:positionV relativeFrom="margin">
                        <wp:posOffset>19050</wp:posOffset>
                      </wp:positionV>
                      <wp:extent cx="270510" cy="278130"/>
                      <wp:effectExtent l="19685" t="16510" r="14605" b="19685"/>
                      <wp:wrapSquare wrapText="bothSides"/>
                      <wp:docPr id="455" name="Овал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FFC000"/>
                              </a:solidFill>
                              <a:ln w="25400" algn="ctr">
                                <a:solidFill>
                                  <a:srgbClr val="B66D31"/>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8A79D65" id="Овал 45" o:spid="_x0000_s1026" style="position:absolute;margin-left:22.3pt;margin-top:1.5pt;width:21.3pt;height:21.9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" fillcolor="#ffc000" strokecolor="#b66d31" strokeweight="2pt">
                      <w10:wrap type="square" anchorx="margin" anchory="margin"/>
                    </v:oval>
                  </w:pict>
                </mc:Fallback>
              </mc:AlternateContent>
            </w:r>
          </w:p>
          <w:p w14:paraId="5466826D" w14:textId="77777777" w:rsidR="00F3260C" w:rsidRPr="00BD295E" w:rsidRDefault="00F3260C" w:rsidP="0031297B">
            <w:pPr>
              <w:ind w:firstLine="709"/>
              <w:jc w:val="both"/>
              <w:rPr>
                <w:rFonts w:ascii="Arial" w:hAnsi="Arial" w:cs="Arial"/>
                <w:sz w:val="18"/>
                <w:szCs w:val="18"/>
                <w:lang w:val="en-US"/>
              </w:rPr>
            </w:pPr>
          </w:p>
          <w:p w14:paraId="7BA67845" w14:textId="77777777" w:rsidR="00F3260C" w:rsidRPr="00BD295E" w:rsidRDefault="00F3260C" w:rsidP="0031297B">
            <w:pPr>
              <w:ind w:firstLine="709"/>
              <w:jc w:val="both"/>
              <w:rPr>
                <w:rFonts w:ascii="Arial" w:hAnsi="Arial" w:cs="Arial"/>
                <w:sz w:val="18"/>
                <w:szCs w:val="18"/>
                <w:lang w:val="en-US"/>
              </w:rPr>
            </w:pPr>
          </w:p>
          <w:p w14:paraId="3C60E5C1" w14:textId="77777777" w:rsidR="00F3260C" w:rsidRPr="00BD295E" w:rsidRDefault="00F3260C" w:rsidP="0031297B">
            <w:pPr>
              <w:ind w:firstLine="709"/>
              <w:jc w:val="both"/>
              <w:rPr>
                <w:rFonts w:ascii="Arial" w:hAnsi="Arial" w:cs="Arial"/>
                <w:sz w:val="18"/>
                <w:szCs w:val="18"/>
                <w:lang w:val="en-US"/>
              </w:rPr>
            </w:pPr>
          </w:p>
        </w:tc>
      </w:tr>
      <w:tr w:rsidR="008A5057" w:rsidRPr="00BD295E" w14:paraId="69E92106" w14:textId="77777777" w:rsidTr="0031297B">
        <w:trPr>
          <w:cantSplit/>
          <w:trHeight w:val="20"/>
        </w:trPr>
        <w:tc>
          <w:tcPr>
            <w:tcW w:w="534" w:type="dxa"/>
            <w:shd w:val="clear" w:color="auto" w:fill="auto"/>
          </w:tcPr>
          <w:p w14:paraId="7722D2EF"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10.</w:t>
            </w:r>
          </w:p>
        </w:tc>
        <w:tc>
          <w:tcPr>
            <w:tcW w:w="1984" w:type="dxa"/>
            <w:shd w:val="clear" w:color="auto" w:fill="auto"/>
          </w:tcPr>
          <w:p w14:paraId="0E03065A"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Inflation risks</w:t>
            </w:r>
          </w:p>
        </w:tc>
        <w:tc>
          <w:tcPr>
            <w:tcW w:w="4820" w:type="dxa"/>
            <w:shd w:val="clear" w:color="auto" w:fill="auto"/>
          </w:tcPr>
          <w:p w14:paraId="251750FC" w14:textId="77777777" w:rsidR="00F3260C" w:rsidRPr="00BD295E" w:rsidRDefault="008A5057" w:rsidP="00CA2271">
            <w:pPr>
              <w:pStyle w:val="af3"/>
              <w:numPr>
                <w:ilvl w:val="0"/>
                <w:numId w:val="82"/>
              </w:numPr>
              <w:tabs>
                <w:tab w:val="left" w:pos="459"/>
              </w:tabs>
              <w:ind w:left="34" w:firstLine="0"/>
              <w:contextualSpacing w:val="0"/>
              <w:jc w:val="both"/>
              <w:rPr>
                <w:rFonts w:ascii="Arial" w:hAnsi="Arial" w:cs="Arial"/>
                <w:sz w:val="18"/>
                <w:szCs w:val="18"/>
                <w:lang w:val="en-US"/>
              </w:rPr>
            </w:pPr>
            <w:r w:rsidRPr="00BD295E">
              <w:rPr>
                <w:rFonts w:ascii="Arial" w:hAnsi="Arial" w:cs="Arial"/>
                <w:sz w:val="18"/>
                <w:szCs w:val="18"/>
                <w:lang w:val="en-US"/>
              </w:rPr>
              <w:t xml:space="preserve">The risk of losses related to losses in the real value of receivables in case of a considerable deferral or delay in payment; </w:t>
            </w:r>
          </w:p>
          <w:p w14:paraId="0A8AA66C" w14:textId="77777777" w:rsidR="00F3260C" w:rsidRPr="00BD295E" w:rsidRDefault="008A5057" w:rsidP="00CA2271">
            <w:pPr>
              <w:pStyle w:val="af3"/>
              <w:numPr>
                <w:ilvl w:val="0"/>
                <w:numId w:val="82"/>
              </w:numPr>
              <w:tabs>
                <w:tab w:val="left" w:pos="459"/>
              </w:tabs>
              <w:ind w:left="34" w:firstLine="0"/>
              <w:contextualSpacing w:val="0"/>
              <w:jc w:val="both"/>
              <w:rPr>
                <w:rFonts w:ascii="Arial" w:hAnsi="Arial" w:cs="Arial"/>
                <w:sz w:val="18"/>
                <w:szCs w:val="18"/>
                <w:lang w:val="en-US"/>
              </w:rPr>
            </w:pPr>
            <w:r w:rsidRPr="00BD295E">
              <w:rPr>
                <w:rFonts w:ascii="Arial" w:hAnsi="Arial" w:cs="Arial"/>
                <w:sz w:val="18"/>
                <w:szCs w:val="18"/>
                <w:lang w:val="en-US"/>
              </w:rPr>
              <w:t xml:space="preserve">The risk of increase of interest payable on borrowings; </w:t>
            </w:r>
          </w:p>
          <w:p w14:paraId="041F2CAB" w14:textId="77777777" w:rsidR="00F3260C" w:rsidRPr="00BD295E" w:rsidRDefault="008A5057" w:rsidP="00CA2271">
            <w:pPr>
              <w:pStyle w:val="af3"/>
              <w:numPr>
                <w:ilvl w:val="0"/>
                <w:numId w:val="82"/>
              </w:numPr>
              <w:tabs>
                <w:tab w:val="left" w:pos="459"/>
              </w:tabs>
              <w:ind w:left="34" w:firstLine="0"/>
              <w:contextualSpacing w:val="0"/>
              <w:jc w:val="both"/>
              <w:rPr>
                <w:rFonts w:ascii="Arial" w:hAnsi="Arial" w:cs="Arial"/>
                <w:sz w:val="18"/>
                <w:szCs w:val="18"/>
                <w:lang w:val="en-US"/>
              </w:rPr>
            </w:pPr>
            <w:r w:rsidRPr="00BD295E">
              <w:rPr>
                <w:rFonts w:ascii="Arial" w:hAnsi="Arial" w:cs="Arial"/>
                <w:sz w:val="18"/>
                <w:szCs w:val="18"/>
                <w:lang w:val="en-US"/>
              </w:rPr>
              <w:t xml:space="preserve">The risk of increase in the cost of goods, products, or services due to higher prices for energy resources, transportation services, salaries, etc; </w:t>
            </w:r>
          </w:p>
          <w:p w14:paraId="3B014EC6" w14:textId="77777777" w:rsidR="00F3260C" w:rsidRPr="00BD295E" w:rsidRDefault="008A5057" w:rsidP="00CA2271">
            <w:pPr>
              <w:pStyle w:val="af3"/>
              <w:numPr>
                <w:ilvl w:val="0"/>
                <w:numId w:val="82"/>
              </w:numPr>
              <w:tabs>
                <w:tab w:val="left" w:pos="459"/>
              </w:tabs>
              <w:ind w:left="34" w:firstLine="0"/>
              <w:contextualSpacing w:val="0"/>
              <w:jc w:val="both"/>
              <w:rPr>
                <w:rFonts w:ascii="Arial" w:hAnsi="Arial" w:cs="Arial"/>
                <w:sz w:val="18"/>
                <w:szCs w:val="18"/>
                <w:lang w:val="en-US"/>
              </w:rPr>
            </w:pPr>
            <w:r w:rsidRPr="00BD295E">
              <w:rPr>
                <w:rFonts w:ascii="Arial" w:hAnsi="Arial" w:cs="Arial"/>
                <w:sz w:val="18"/>
                <w:szCs w:val="18"/>
                <w:lang w:val="en-US"/>
              </w:rPr>
              <w:t>The risk of decrease in the real value of funds under the investment program.</w:t>
            </w:r>
          </w:p>
        </w:tc>
        <w:tc>
          <w:tcPr>
            <w:tcW w:w="5528" w:type="dxa"/>
            <w:shd w:val="clear" w:color="auto" w:fill="auto"/>
          </w:tcPr>
          <w:p w14:paraId="3C37D3AD" w14:textId="77777777" w:rsidR="00F3260C" w:rsidRPr="00BD295E" w:rsidRDefault="008A5057" w:rsidP="00CA2271">
            <w:pPr>
              <w:pStyle w:val="af3"/>
              <w:numPr>
                <w:ilvl w:val="0"/>
                <w:numId w:val="83"/>
              </w:numPr>
              <w:tabs>
                <w:tab w:val="left" w:pos="459"/>
              </w:tabs>
              <w:ind w:left="34" w:hanging="1"/>
              <w:contextualSpacing w:val="0"/>
              <w:jc w:val="both"/>
              <w:rPr>
                <w:rFonts w:ascii="Arial" w:hAnsi="Arial" w:cs="Arial"/>
                <w:sz w:val="18"/>
                <w:szCs w:val="18"/>
                <w:lang w:val="en-US"/>
              </w:rPr>
            </w:pPr>
            <w:r w:rsidRPr="00BD295E">
              <w:rPr>
                <w:rFonts w:ascii="Arial" w:hAnsi="Arial" w:cs="Arial"/>
                <w:sz w:val="18"/>
                <w:szCs w:val="18"/>
                <w:lang w:val="en-US"/>
              </w:rPr>
              <w:t xml:space="preserve">The impact of inflation on the financial stability of the Issuer is forecast by the Company when preparing financial plans. </w:t>
            </w:r>
          </w:p>
          <w:p w14:paraId="44C07435" w14:textId="77777777" w:rsidR="00F3260C" w:rsidRPr="00BD295E" w:rsidRDefault="008A5057" w:rsidP="00CA2271">
            <w:pPr>
              <w:pStyle w:val="af3"/>
              <w:numPr>
                <w:ilvl w:val="0"/>
                <w:numId w:val="83"/>
              </w:numPr>
              <w:tabs>
                <w:tab w:val="left" w:pos="459"/>
              </w:tabs>
              <w:ind w:left="34" w:hanging="1"/>
              <w:contextualSpacing w:val="0"/>
              <w:jc w:val="both"/>
              <w:rPr>
                <w:rFonts w:ascii="Arial" w:hAnsi="Arial" w:cs="Arial"/>
                <w:sz w:val="18"/>
                <w:szCs w:val="18"/>
                <w:lang w:val="en-US"/>
              </w:rPr>
            </w:pPr>
            <w:r w:rsidRPr="00BD295E">
              <w:rPr>
                <w:rFonts w:ascii="Arial" w:hAnsi="Arial" w:cs="Arial"/>
                <w:iCs/>
                <w:sz w:val="18"/>
                <w:szCs w:val="18"/>
                <w:lang w:val="en-US"/>
              </w:rPr>
              <w:t>Implementing measures to reduce accounts receivable and increase their turnover.</w:t>
            </w:r>
          </w:p>
          <w:p w14:paraId="2636DF5C" w14:textId="77777777" w:rsidR="00F3260C" w:rsidRPr="00BD295E" w:rsidRDefault="008A5057" w:rsidP="00CA2271">
            <w:pPr>
              <w:pStyle w:val="af3"/>
              <w:numPr>
                <w:ilvl w:val="0"/>
                <w:numId w:val="83"/>
              </w:numPr>
              <w:tabs>
                <w:tab w:val="left" w:pos="459"/>
              </w:tabs>
              <w:ind w:left="34" w:hanging="1"/>
              <w:contextualSpacing w:val="0"/>
              <w:jc w:val="both"/>
              <w:rPr>
                <w:rFonts w:ascii="Arial" w:hAnsi="Arial" w:cs="Arial"/>
                <w:sz w:val="18"/>
                <w:szCs w:val="18"/>
                <w:lang w:val="en-US"/>
              </w:rPr>
            </w:pPr>
            <w:r w:rsidRPr="00BD295E">
              <w:rPr>
                <w:rFonts w:ascii="Arial" w:hAnsi="Arial" w:cs="Arial"/>
                <w:sz w:val="18"/>
                <w:szCs w:val="18"/>
                <w:lang w:val="en-US"/>
              </w:rPr>
              <w:t>The inflation risk is not critical for the issuer, since if the actual inflation rate during the current regulated period exceeds the one included in the tariff model, the regulator will take this into account during the next regulated period in line with applicable laws.</w:t>
            </w:r>
          </w:p>
        </w:tc>
        <w:tc>
          <w:tcPr>
            <w:tcW w:w="1559" w:type="dxa"/>
            <w:shd w:val="clear" w:color="auto" w:fill="auto"/>
          </w:tcPr>
          <w:p w14:paraId="2223988D" w14:textId="7CE96F50"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68992" behindDoc="0" locked="0" layoutInCell="1" allowOverlap="1" wp14:anchorId="6A67BD29" wp14:editId="14182252">
                      <wp:simplePos x="0" y="0"/>
                      <wp:positionH relativeFrom="margin">
                        <wp:posOffset>283210</wp:posOffset>
                      </wp:positionH>
                      <wp:positionV relativeFrom="margin">
                        <wp:posOffset>19050</wp:posOffset>
                      </wp:positionV>
                      <wp:extent cx="270510" cy="278130"/>
                      <wp:effectExtent l="19685" t="17145" r="14605" b="19050"/>
                      <wp:wrapSquare wrapText="bothSides"/>
                      <wp:docPr id="454" name="Овал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FFC000"/>
                              </a:solidFill>
                              <a:ln w="25400" algn="ctr">
                                <a:solidFill>
                                  <a:srgbClr val="B66D31"/>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82FD4E9" id="Овал 66" o:spid="_x0000_s1026" style="position:absolute;margin-left:22.3pt;margin-top:1.5pt;width:21.3pt;height:21.9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" fillcolor="#ffc000" strokecolor="#b66d31" strokeweight="2pt">
                      <w10:wrap type="square" anchorx="margin" anchory="margin"/>
                    </v:oval>
                  </w:pict>
                </mc:Fallback>
              </mc:AlternateContent>
            </w:r>
          </w:p>
          <w:p w14:paraId="4AA021AE" w14:textId="77777777" w:rsidR="00F3260C" w:rsidRPr="00BD295E" w:rsidRDefault="00F3260C" w:rsidP="0031297B">
            <w:pPr>
              <w:ind w:firstLine="709"/>
              <w:jc w:val="both"/>
              <w:rPr>
                <w:rFonts w:ascii="Arial" w:hAnsi="Arial" w:cs="Arial"/>
                <w:sz w:val="18"/>
                <w:szCs w:val="18"/>
                <w:lang w:val="en-US"/>
              </w:rPr>
            </w:pPr>
          </w:p>
          <w:p w14:paraId="7C38DC7C" w14:textId="77777777" w:rsidR="00F3260C" w:rsidRPr="00BD295E" w:rsidRDefault="00F3260C" w:rsidP="0031297B">
            <w:pPr>
              <w:ind w:firstLine="709"/>
              <w:jc w:val="both"/>
              <w:rPr>
                <w:rFonts w:ascii="Arial" w:hAnsi="Arial" w:cs="Arial"/>
                <w:sz w:val="18"/>
                <w:szCs w:val="18"/>
                <w:lang w:val="en-US"/>
              </w:rPr>
            </w:pPr>
          </w:p>
          <w:p w14:paraId="2C6F7DCE" w14:textId="77777777" w:rsidR="00F3260C" w:rsidRPr="00BD295E" w:rsidRDefault="00F3260C" w:rsidP="0031297B">
            <w:pPr>
              <w:ind w:firstLine="709"/>
              <w:jc w:val="both"/>
              <w:rPr>
                <w:rFonts w:ascii="Arial" w:hAnsi="Arial" w:cs="Arial"/>
                <w:sz w:val="18"/>
                <w:szCs w:val="18"/>
                <w:lang w:val="en-US"/>
              </w:rPr>
            </w:pPr>
          </w:p>
          <w:p w14:paraId="4C3A0BF2" w14:textId="77777777" w:rsidR="00F3260C" w:rsidRPr="00BD295E" w:rsidRDefault="00F3260C" w:rsidP="0031297B">
            <w:pPr>
              <w:ind w:firstLine="709"/>
              <w:jc w:val="both"/>
              <w:rPr>
                <w:rFonts w:ascii="Arial" w:hAnsi="Arial" w:cs="Arial"/>
                <w:sz w:val="18"/>
                <w:szCs w:val="18"/>
                <w:lang w:val="en-US"/>
              </w:rPr>
            </w:pPr>
          </w:p>
        </w:tc>
      </w:tr>
      <w:tr w:rsidR="008A5057" w:rsidRPr="00BD295E" w14:paraId="5EC3312D" w14:textId="77777777" w:rsidTr="0031297B">
        <w:trPr>
          <w:cantSplit/>
          <w:trHeight w:val="20"/>
        </w:trPr>
        <w:tc>
          <w:tcPr>
            <w:tcW w:w="14425" w:type="dxa"/>
            <w:gridSpan w:val="5"/>
            <w:shd w:val="clear" w:color="auto" w:fill="auto"/>
          </w:tcPr>
          <w:p w14:paraId="2FA4C26A" w14:textId="77777777" w:rsidR="00F3260C" w:rsidRPr="00BD295E" w:rsidRDefault="008A5057" w:rsidP="0031297B">
            <w:pPr>
              <w:ind w:firstLine="709"/>
              <w:rPr>
                <w:rFonts w:ascii="Arial" w:hAnsi="Arial" w:cs="Arial"/>
                <w:sz w:val="18"/>
                <w:szCs w:val="18"/>
                <w:lang w:val="en-US"/>
              </w:rPr>
            </w:pPr>
            <w:r w:rsidRPr="00BD295E">
              <w:rPr>
                <w:rFonts w:ascii="Arial" w:hAnsi="Arial" w:cs="Arial"/>
                <w:b/>
                <w:sz w:val="18"/>
                <w:szCs w:val="18"/>
                <w:lang w:val="en-US"/>
              </w:rPr>
              <w:t>Legal risks:</w:t>
            </w:r>
          </w:p>
        </w:tc>
      </w:tr>
      <w:tr w:rsidR="008A5057" w:rsidRPr="00BD295E" w14:paraId="064B21A8" w14:textId="77777777" w:rsidTr="0031297B">
        <w:trPr>
          <w:cantSplit/>
          <w:trHeight w:val="20"/>
        </w:trPr>
        <w:tc>
          <w:tcPr>
            <w:tcW w:w="534" w:type="dxa"/>
            <w:shd w:val="clear" w:color="auto" w:fill="auto"/>
          </w:tcPr>
          <w:p w14:paraId="01426EEE"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11.</w:t>
            </w:r>
          </w:p>
        </w:tc>
        <w:tc>
          <w:tcPr>
            <w:tcW w:w="1984" w:type="dxa"/>
            <w:shd w:val="clear" w:color="auto" w:fill="auto"/>
          </w:tcPr>
          <w:p w14:paraId="6CA6634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Legal risks</w:t>
            </w:r>
          </w:p>
        </w:tc>
        <w:tc>
          <w:tcPr>
            <w:tcW w:w="4820" w:type="dxa"/>
            <w:shd w:val="clear" w:color="auto" w:fill="auto"/>
          </w:tcPr>
          <w:p w14:paraId="463C3559" w14:textId="77777777" w:rsidR="00F3260C" w:rsidRPr="00BD295E" w:rsidRDefault="008A5057" w:rsidP="0033027C">
            <w:pPr>
              <w:pStyle w:val="af3"/>
              <w:numPr>
                <w:ilvl w:val="0"/>
                <w:numId w:val="18"/>
              </w:numPr>
              <w:tabs>
                <w:tab w:val="left" w:pos="339"/>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The risk of changes in legislation (federal laws and regulations) regulating shareholder and corporate relations. </w:t>
            </w:r>
          </w:p>
          <w:p w14:paraId="0ED77B84" w14:textId="77777777" w:rsidR="00F3260C" w:rsidRPr="00BD295E" w:rsidRDefault="008A5057" w:rsidP="0033027C">
            <w:pPr>
              <w:pStyle w:val="af3"/>
              <w:numPr>
                <w:ilvl w:val="0"/>
                <w:numId w:val="18"/>
              </w:numPr>
              <w:tabs>
                <w:tab w:val="left" w:pos="339"/>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Connection of consumers’ electrical installations to the Company’s electric grids are exposed to anti-trust regulation risks to the largest extent. If the Company is considered to have breached of anti-trust laws, this may lead to fines, including assessed as a percentage of the Company’s revenue. </w:t>
            </w:r>
          </w:p>
          <w:p w14:paraId="7BAA24CE" w14:textId="77777777" w:rsidR="00F3260C" w:rsidRPr="00BD295E" w:rsidRDefault="008A5057" w:rsidP="0033027C">
            <w:pPr>
              <w:pStyle w:val="af3"/>
              <w:numPr>
                <w:ilvl w:val="0"/>
                <w:numId w:val="18"/>
              </w:numPr>
              <w:tabs>
                <w:tab w:val="left" w:pos="339"/>
              </w:tabs>
              <w:ind w:left="0" w:firstLine="0"/>
              <w:contextualSpacing w:val="0"/>
              <w:jc w:val="both"/>
              <w:rPr>
                <w:rFonts w:ascii="Arial" w:hAnsi="Arial" w:cs="Arial"/>
                <w:sz w:val="18"/>
                <w:szCs w:val="18"/>
                <w:lang w:val="en-US"/>
              </w:rPr>
            </w:pPr>
            <w:r w:rsidRPr="00BD295E">
              <w:rPr>
                <w:rFonts w:ascii="Arial" w:hAnsi="Arial" w:cs="Arial"/>
                <w:sz w:val="18"/>
                <w:szCs w:val="18"/>
                <w:lang w:val="en-US"/>
              </w:rPr>
              <w:t>The risk of losses due to incorrect legal execution of documents and support of the Company’s operations.</w:t>
            </w:r>
          </w:p>
          <w:p w14:paraId="4952F955" w14:textId="77777777" w:rsidR="00F3260C" w:rsidRPr="00BD295E" w:rsidRDefault="00F3260C" w:rsidP="0031297B">
            <w:pPr>
              <w:tabs>
                <w:tab w:val="left" w:pos="339"/>
              </w:tabs>
              <w:ind w:firstLine="709"/>
              <w:jc w:val="both"/>
              <w:rPr>
                <w:rFonts w:ascii="Arial" w:hAnsi="Arial" w:cs="Arial"/>
                <w:bCs/>
                <w:iCs/>
                <w:sz w:val="18"/>
                <w:szCs w:val="18"/>
                <w:lang w:val="en-US"/>
              </w:rPr>
            </w:pPr>
          </w:p>
        </w:tc>
        <w:tc>
          <w:tcPr>
            <w:tcW w:w="5528" w:type="dxa"/>
            <w:shd w:val="clear" w:color="auto" w:fill="auto"/>
          </w:tcPr>
          <w:p w14:paraId="0F340D85" w14:textId="77777777" w:rsidR="00F3260C" w:rsidRPr="00BD295E" w:rsidRDefault="008A5057" w:rsidP="0033027C">
            <w:pPr>
              <w:pStyle w:val="af3"/>
              <w:numPr>
                <w:ilvl w:val="0"/>
                <w:numId w:val="19"/>
              </w:numPr>
              <w:tabs>
                <w:tab w:val="left" w:pos="367"/>
              </w:tabs>
              <w:ind w:left="0" w:firstLine="33"/>
              <w:contextualSpacing w:val="0"/>
              <w:jc w:val="both"/>
              <w:rPr>
                <w:rFonts w:ascii="Arial" w:hAnsi="Arial" w:cs="Arial"/>
                <w:bCs/>
                <w:iCs/>
                <w:sz w:val="18"/>
                <w:szCs w:val="18"/>
                <w:lang w:val="en-US"/>
              </w:rPr>
            </w:pPr>
            <w:r w:rsidRPr="00BD295E">
              <w:rPr>
                <w:rFonts w:ascii="Arial" w:hAnsi="Arial" w:cs="Arial"/>
                <w:sz w:val="18"/>
                <w:szCs w:val="18"/>
                <w:lang w:val="en-US"/>
              </w:rPr>
              <w:t>Monitoring to ensure timely response to changes in Russian laws affecting various aspects of the Company’s activities, as well as through active interaction with legislative and executive authorities and public organizations regarding the interpretation and improvement of laws.</w:t>
            </w:r>
          </w:p>
          <w:p w14:paraId="5AF76069" w14:textId="77777777" w:rsidR="00F3260C" w:rsidRPr="00BD295E" w:rsidRDefault="008A5057" w:rsidP="0033027C">
            <w:pPr>
              <w:pStyle w:val="af3"/>
              <w:numPr>
                <w:ilvl w:val="0"/>
                <w:numId w:val="19"/>
              </w:numPr>
              <w:tabs>
                <w:tab w:val="left" w:pos="367"/>
              </w:tabs>
              <w:ind w:left="0" w:firstLine="33"/>
              <w:contextualSpacing w:val="0"/>
              <w:jc w:val="both"/>
              <w:rPr>
                <w:rFonts w:ascii="Arial" w:hAnsi="Arial" w:cs="Arial"/>
                <w:sz w:val="18"/>
                <w:szCs w:val="18"/>
                <w:lang w:val="en-US"/>
              </w:rPr>
            </w:pPr>
            <w:r w:rsidRPr="00BD295E">
              <w:rPr>
                <w:rFonts w:ascii="Arial" w:hAnsi="Arial" w:cs="Arial"/>
                <w:sz w:val="18"/>
                <w:szCs w:val="18"/>
                <w:lang w:val="en-US"/>
              </w:rPr>
              <w:t xml:space="preserve">To reduce the impact of factors that lead to the realization of anti-trust regulation risks, the Company improves its grid connection business processes, simplifies and shortens its internal procedures, introduces new customer service formats, in particular interactive service formats, in order to reduce the impact of human error and abuse factors. If the Company is unreasonably prosecuted by anti-trust authorities for breaches of anti-trust laws, the Company will challenge their legality in court. </w:t>
            </w:r>
          </w:p>
          <w:p w14:paraId="5F3A85B8" w14:textId="77777777" w:rsidR="00F3260C" w:rsidRPr="00BD295E" w:rsidRDefault="008A5057" w:rsidP="0033027C">
            <w:pPr>
              <w:pStyle w:val="af3"/>
              <w:numPr>
                <w:ilvl w:val="0"/>
                <w:numId w:val="19"/>
              </w:numPr>
              <w:tabs>
                <w:tab w:val="left" w:pos="367"/>
              </w:tabs>
              <w:ind w:left="0" w:firstLine="33"/>
              <w:contextualSpacing w:val="0"/>
              <w:jc w:val="both"/>
              <w:rPr>
                <w:rFonts w:ascii="Arial" w:hAnsi="Arial" w:cs="Arial"/>
                <w:bCs/>
                <w:iCs/>
                <w:sz w:val="18"/>
                <w:szCs w:val="18"/>
                <w:lang w:val="en-US"/>
              </w:rPr>
            </w:pPr>
            <w:r w:rsidRPr="00BD295E">
              <w:rPr>
                <w:rFonts w:ascii="Arial" w:hAnsi="Arial" w:cs="Arial"/>
                <w:bCs/>
                <w:iCs/>
                <w:sz w:val="18"/>
                <w:szCs w:val="18"/>
                <w:lang w:val="en-US"/>
              </w:rPr>
              <w:t>To minimize legal risks, any risk-prone business processes of the Company (such as contracting) undergo mandatory legal due diligence.</w:t>
            </w:r>
          </w:p>
        </w:tc>
        <w:tc>
          <w:tcPr>
            <w:tcW w:w="1559" w:type="dxa"/>
            <w:shd w:val="clear" w:color="auto" w:fill="auto"/>
          </w:tcPr>
          <w:p w14:paraId="6328BB0F" w14:textId="2F5CA599"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59776" behindDoc="0" locked="0" layoutInCell="1" allowOverlap="1" wp14:anchorId="28D0C8EE" wp14:editId="74BDC5DD">
                      <wp:simplePos x="0" y="0"/>
                      <wp:positionH relativeFrom="margin">
                        <wp:posOffset>283210</wp:posOffset>
                      </wp:positionH>
                      <wp:positionV relativeFrom="margin">
                        <wp:posOffset>19050</wp:posOffset>
                      </wp:positionV>
                      <wp:extent cx="270510" cy="278130"/>
                      <wp:effectExtent l="19685" t="16510" r="14605" b="19685"/>
                      <wp:wrapSquare wrapText="bothSides"/>
                      <wp:docPr id="453" name="Овал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9B6AAF0" id="Овал 1" o:spid="_x0000_s1026" style="position:absolute;margin-left:22.3pt;margin-top:1.5pt;width:21.3pt;height:21.9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" fillcolor="#9bbb59" strokecolor="#71893f" strokeweight="2pt">
                      <w10:wrap type="square" anchorx="margin" anchory="margin"/>
                    </v:oval>
                  </w:pict>
                </mc:Fallback>
              </mc:AlternateContent>
            </w:r>
          </w:p>
          <w:p w14:paraId="2C9D18C6" w14:textId="77777777" w:rsidR="00F3260C" w:rsidRPr="00BD295E" w:rsidRDefault="00F3260C" w:rsidP="0031297B">
            <w:pPr>
              <w:ind w:firstLine="709"/>
              <w:jc w:val="both"/>
              <w:rPr>
                <w:rFonts w:ascii="Arial" w:hAnsi="Arial" w:cs="Arial"/>
                <w:sz w:val="18"/>
                <w:szCs w:val="18"/>
                <w:lang w:val="en-US"/>
              </w:rPr>
            </w:pPr>
          </w:p>
          <w:p w14:paraId="21CC341B" w14:textId="77777777" w:rsidR="00F3260C" w:rsidRPr="00BD295E" w:rsidRDefault="00F3260C" w:rsidP="0031297B">
            <w:pPr>
              <w:ind w:firstLine="709"/>
              <w:jc w:val="both"/>
              <w:rPr>
                <w:rFonts w:ascii="Arial" w:hAnsi="Arial" w:cs="Arial"/>
                <w:sz w:val="18"/>
                <w:szCs w:val="18"/>
                <w:lang w:val="en-US"/>
              </w:rPr>
            </w:pPr>
          </w:p>
          <w:p w14:paraId="31F7B0EC" w14:textId="77777777" w:rsidR="00F3260C" w:rsidRPr="00BD295E" w:rsidRDefault="00F3260C" w:rsidP="0031297B">
            <w:pPr>
              <w:ind w:firstLine="709"/>
              <w:jc w:val="both"/>
              <w:rPr>
                <w:rFonts w:ascii="Arial" w:hAnsi="Arial" w:cs="Arial"/>
                <w:sz w:val="18"/>
                <w:szCs w:val="18"/>
                <w:lang w:val="en-US"/>
              </w:rPr>
            </w:pPr>
          </w:p>
        </w:tc>
      </w:tr>
      <w:tr w:rsidR="008A5057" w:rsidRPr="00BD295E" w14:paraId="4806DE00" w14:textId="77777777" w:rsidTr="0031297B">
        <w:trPr>
          <w:cantSplit/>
          <w:trHeight w:val="20"/>
        </w:trPr>
        <w:tc>
          <w:tcPr>
            <w:tcW w:w="534" w:type="dxa"/>
            <w:shd w:val="clear" w:color="auto" w:fill="auto"/>
          </w:tcPr>
          <w:p w14:paraId="0B56EE4B"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12.</w:t>
            </w:r>
          </w:p>
        </w:tc>
        <w:tc>
          <w:tcPr>
            <w:tcW w:w="1984" w:type="dxa"/>
            <w:shd w:val="clear" w:color="auto" w:fill="auto"/>
          </w:tcPr>
          <w:p w14:paraId="210078EE" w14:textId="77777777" w:rsidR="00F3260C" w:rsidRPr="00BD295E" w:rsidRDefault="008A5057" w:rsidP="0031297B">
            <w:pPr>
              <w:jc w:val="both"/>
              <w:rPr>
                <w:rFonts w:ascii="Arial" w:hAnsi="Arial" w:cs="Arial"/>
                <w:bCs/>
                <w:iCs/>
                <w:sz w:val="18"/>
                <w:szCs w:val="18"/>
                <w:lang w:val="en-US"/>
              </w:rPr>
            </w:pPr>
            <w:r w:rsidRPr="00BD295E">
              <w:rPr>
                <w:rFonts w:ascii="Arial" w:hAnsi="Arial" w:cs="Arial"/>
                <w:sz w:val="18"/>
                <w:szCs w:val="18"/>
                <w:lang w:val="en-US"/>
              </w:rPr>
              <w:t>Tax risks</w:t>
            </w:r>
          </w:p>
        </w:tc>
        <w:tc>
          <w:tcPr>
            <w:tcW w:w="4820" w:type="dxa"/>
            <w:shd w:val="clear" w:color="auto" w:fill="auto"/>
          </w:tcPr>
          <w:p w14:paraId="2A2C1974" w14:textId="77777777" w:rsidR="00F3260C" w:rsidRPr="00BD295E" w:rsidRDefault="008A5057" w:rsidP="00CA2271">
            <w:pPr>
              <w:pStyle w:val="af3"/>
              <w:numPr>
                <w:ilvl w:val="0"/>
                <w:numId w:val="84"/>
              </w:numPr>
              <w:tabs>
                <w:tab w:val="left" w:pos="317"/>
              </w:tabs>
              <w:ind w:left="34" w:firstLine="0"/>
              <w:contextualSpacing w:val="0"/>
              <w:jc w:val="both"/>
              <w:rPr>
                <w:rFonts w:ascii="Arial" w:hAnsi="Arial" w:cs="Arial"/>
                <w:bCs/>
                <w:iCs/>
                <w:sz w:val="18"/>
                <w:szCs w:val="18"/>
                <w:lang w:val="en-US"/>
              </w:rPr>
            </w:pPr>
            <w:r w:rsidRPr="00BD295E">
              <w:rPr>
                <w:rFonts w:ascii="Arial" w:hAnsi="Arial" w:cs="Arial"/>
                <w:bCs/>
                <w:iCs/>
                <w:sz w:val="18"/>
                <w:szCs w:val="18"/>
                <w:lang w:val="en-US"/>
              </w:rPr>
              <w:t xml:space="preserve">Introduction of new types of taxes and charges; increase in the rates of existing taxes; expansion of the tax base. </w:t>
            </w:r>
          </w:p>
          <w:p w14:paraId="78D94C8E" w14:textId="77777777" w:rsidR="00F3260C" w:rsidRPr="00BD295E" w:rsidRDefault="008A5057" w:rsidP="00CA2271">
            <w:pPr>
              <w:pStyle w:val="af3"/>
              <w:numPr>
                <w:ilvl w:val="0"/>
                <w:numId w:val="84"/>
              </w:numPr>
              <w:tabs>
                <w:tab w:val="left" w:pos="317"/>
              </w:tabs>
              <w:ind w:left="34" w:firstLine="0"/>
              <w:contextualSpacing w:val="0"/>
              <w:jc w:val="both"/>
              <w:rPr>
                <w:rFonts w:ascii="Arial" w:hAnsi="Arial" w:cs="Arial"/>
                <w:bCs/>
                <w:iCs/>
                <w:sz w:val="18"/>
                <w:szCs w:val="18"/>
                <w:lang w:val="en-US"/>
              </w:rPr>
            </w:pPr>
            <w:r w:rsidRPr="00BD295E">
              <w:rPr>
                <w:rFonts w:ascii="Arial" w:hAnsi="Arial" w:cs="Arial"/>
                <w:bCs/>
                <w:iCs/>
                <w:sz w:val="18"/>
                <w:szCs w:val="18"/>
                <w:lang w:val="en-US"/>
              </w:rPr>
              <w:t>Change of the terms and procedure for tax payment as well as for tax reporting</w:t>
            </w:r>
          </w:p>
          <w:p w14:paraId="435AE67C" w14:textId="77777777" w:rsidR="00F3260C" w:rsidRPr="00BD295E" w:rsidRDefault="008A5057" w:rsidP="00CA2271">
            <w:pPr>
              <w:pStyle w:val="af3"/>
              <w:numPr>
                <w:ilvl w:val="0"/>
                <w:numId w:val="84"/>
              </w:numPr>
              <w:tabs>
                <w:tab w:val="left" w:pos="317"/>
              </w:tabs>
              <w:ind w:left="34" w:firstLine="0"/>
              <w:contextualSpacing w:val="0"/>
              <w:jc w:val="both"/>
              <w:rPr>
                <w:rFonts w:ascii="Arial" w:hAnsi="Arial" w:cs="Arial"/>
                <w:bCs/>
                <w:iCs/>
                <w:sz w:val="18"/>
                <w:szCs w:val="18"/>
                <w:lang w:val="en-US"/>
              </w:rPr>
            </w:pPr>
            <w:r w:rsidRPr="00BD295E">
              <w:rPr>
                <w:rFonts w:ascii="Arial" w:hAnsi="Arial" w:cs="Arial"/>
                <w:sz w:val="18"/>
                <w:szCs w:val="18"/>
                <w:lang w:val="en-US"/>
              </w:rPr>
              <w:t>Potential risks of tax liability being imposed on the Company in case of changes in the government fiscal policy with respect to certain taxes and charges, as well as changes (not in favor of the taxpayer) of judicial practice with respect to certain categories of tax cases.</w:t>
            </w:r>
          </w:p>
        </w:tc>
        <w:tc>
          <w:tcPr>
            <w:tcW w:w="5528" w:type="dxa"/>
            <w:shd w:val="clear" w:color="auto" w:fill="auto"/>
          </w:tcPr>
          <w:p w14:paraId="1149097A" w14:textId="77777777" w:rsidR="00F3260C" w:rsidRPr="00BD295E" w:rsidRDefault="008A5057" w:rsidP="0033027C">
            <w:pPr>
              <w:pStyle w:val="af3"/>
              <w:numPr>
                <w:ilvl w:val="0"/>
                <w:numId w:val="20"/>
              </w:numPr>
              <w:tabs>
                <w:tab w:val="left" w:pos="397"/>
              </w:tabs>
              <w:ind w:left="0" w:firstLine="33"/>
              <w:contextualSpacing w:val="0"/>
              <w:jc w:val="both"/>
              <w:rPr>
                <w:rFonts w:ascii="Arial" w:hAnsi="Arial" w:cs="Arial"/>
                <w:bCs/>
                <w:iCs/>
                <w:sz w:val="18"/>
                <w:szCs w:val="18"/>
                <w:lang w:val="en-US"/>
              </w:rPr>
            </w:pPr>
            <w:r w:rsidRPr="00BD295E">
              <w:rPr>
                <w:rFonts w:ascii="Arial" w:hAnsi="Arial" w:cs="Arial"/>
                <w:bCs/>
                <w:iCs/>
                <w:sz w:val="18"/>
                <w:szCs w:val="18"/>
                <w:lang w:val="en-US"/>
              </w:rPr>
              <w:t xml:space="preserve">In the event of changes in the existing taxation terms and procedures, the Company intends to plan its financial and business activities with due account of such changes. </w:t>
            </w:r>
          </w:p>
          <w:p w14:paraId="39FD4C69" w14:textId="77777777" w:rsidR="00F3260C" w:rsidRPr="00BD295E" w:rsidRDefault="008A5057" w:rsidP="0033027C">
            <w:pPr>
              <w:pStyle w:val="af3"/>
              <w:numPr>
                <w:ilvl w:val="0"/>
                <w:numId w:val="20"/>
              </w:numPr>
              <w:tabs>
                <w:tab w:val="left" w:pos="397"/>
              </w:tabs>
              <w:ind w:left="0" w:firstLine="33"/>
              <w:contextualSpacing w:val="0"/>
              <w:jc w:val="both"/>
              <w:rPr>
                <w:rFonts w:ascii="Arial" w:hAnsi="Arial" w:cs="Arial"/>
                <w:bCs/>
                <w:iCs/>
                <w:sz w:val="18"/>
                <w:szCs w:val="18"/>
                <w:lang w:val="en-US"/>
              </w:rPr>
            </w:pPr>
            <w:r w:rsidRPr="00BD295E">
              <w:rPr>
                <w:rFonts w:ascii="Arial" w:hAnsi="Arial" w:cs="Arial"/>
                <w:bCs/>
                <w:iCs/>
                <w:sz w:val="18"/>
                <w:szCs w:val="18"/>
                <w:lang w:val="en-US"/>
              </w:rPr>
              <w:t xml:space="preserve">The Company’s obligations to pay taxes and charges in accordance with Russian tax laws are taken into account when setting tariffs as economically justified expenses. </w:t>
            </w:r>
          </w:p>
          <w:p w14:paraId="45692FBC" w14:textId="77777777" w:rsidR="00F3260C" w:rsidRPr="00BD295E" w:rsidRDefault="008A5057" w:rsidP="0033027C">
            <w:pPr>
              <w:pStyle w:val="af3"/>
              <w:numPr>
                <w:ilvl w:val="0"/>
                <w:numId w:val="20"/>
              </w:numPr>
              <w:tabs>
                <w:tab w:val="left" w:pos="397"/>
              </w:tabs>
              <w:ind w:left="0" w:firstLine="33"/>
              <w:contextualSpacing w:val="0"/>
              <w:jc w:val="both"/>
              <w:rPr>
                <w:rFonts w:ascii="Arial" w:hAnsi="Arial" w:cs="Arial"/>
                <w:sz w:val="18"/>
                <w:szCs w:val="18"/>
                <w:lang w:val="en-US"/>
              </w:rPr>
            </w:pPr>
            <w:r w:rsidRPr="00BD295E">
              <w:rPr>
                <w:rFonts w:ascii="Arial" w:hAnsi="Arial" w:cs="Arial"/>
                <w:bCs/>
                <w:iCs/>
                <w:sz w:val="18"/>
                <w:szCs w:val="18"/>
                <w:lang w:val="en-US"/>
              </w:rPr>
              <w:t>In the event of claims for payment of taxes and charges that are incompliant with the tax laws, the Company settles such discrepancies with the tax authorities out of court or exercises its right to legal defense.</w:t>
            </w:r>
          </w:p>
        </w:tc>
        <w:tc>
          <w:tcPr>
            <w:tcW w:w="1559" w:type="dxa"/>
            <w:shd w:val="clear" w:color="auto" w:fill="auto"/>
          </w:tcPr>
          <w:p w14:paraId="6F592619" w14:textId="0E004223"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47488" behindDoc="0" locked="0" layoutInCell="1" allowOverlap="1" wp14:anchorId="6CB90FAD" wp14:editId="5DE7504B">
                      <wp:simplePos x="0" y="0"/>
                      <wp:positionH relativeFrom="margin">
                        <wp:posOffset>283210</wp:posOffset>
                      </wp:positionH>
                      <wp:positionV relativeFrom="margin">
                        <wp:posOffset>19050</wp:posOffset>
                      </wp:positionV>
                      <wp:extent cx="270510" cy="278130"/>
                      <wp:effectExtent l="19685" t="20955" r="14605" b="15240"/>
                      <wp:wrapSquare wrapText="bothSides"/>
                      <wp:docPr id="452" name="Овал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5365BED" id="Овал 2" o:spid="_x0000_s1026" style="position:absolute;margin-left:22.3pt;margin-top:1.5pt;width:21.3pt;height:21.9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" fillcolor="#9bbb59" strokecolor="#71893f" strokeweight="2pt">
                      <w10:wrap type="square" anchorx="margin" anchory="margin"/>
                    </v:oval>
                  </w:pict>
                </mc:Fallback>
              </mc:AlternateContent>
            </w:r>
          </w:p>
          <w:p w14:paraId="4A176F03" w14:textId="77777777" w:rsidR="00F3260C" w:rsidRPr="00BD295E" w:rsidRDefault="00F3260C" w:rsidP="0031297B">
            <w:pPr>
              <w:ind w:firstLine="709"/>
              <w:jc w:val="both"/>
              <w:rPr>
                <w:rFonts w:ascii="Arial" w:hAnsi="Arial" w:cs="Arial"/>
                <w:sz w:val="18"/>
                <w:szCs w:val="18"/>
                <w:lang w:val="en-US"/>
              </w:rPr>
            </w:pPr>
          </w:p>
          <w:p w14:paraId="000AAF85" w14:textId="77777777" w:rsidR="00F3260C" w:rsidRPr="00BD295E" w:rsidRDefault="00F3260C" w:rsidP="0031297B">
            <w:pPr>
              <w:ind w:firstLine="709"/>
              <w:jc w:val="both"/>
              <w:rPr>
                <w:rFonts w:ascii="Arial" w:hAnsi="Arial" w:cs="Arial"/>
                <w:sz w:val="18"/>
                <w:szCs w:val="18"/>
                <w:lang w:val="en-US"/>
              </w:rPr>
            </w:pPr>
          </w:p>
          <w:p w14:paraId="34FC243C" w14:textId="77777777" w:rsidR="00F3260C" w:rsidRPr="00BD295E" w:rsidRDefault="00F3260C" w:rsidP="0031297B">
            <w:pPr>
              <w:ind w:firstLine="709"/>
              <w:jc w:val="both"/>
              <w:rPr>
                <w:rFonts w:ascii="Arial" w:hAnsi="Arial" w:cs="Arial"/>
                <w:sz w:val="18"/>
                <w:szCs w:val="18"/>
                <w:lang w:val="en-US"/>
              </w:rPr>
            </w:pPr>
          </w:p>
        </w:tc>
      </w:tr>
      <w:tr w:rsidR="008A5057" w:rsidRPr="00BD295E" w14:paraId="06B2A0F9" w14:textId="77777777" w:rsidTr="0031297B">
        <w:trPr>
          <w:cantSplit/>
          <w:trHeight w:val="20"/>
        </w:trPr>
        <w:tc>
          <w:tcPr>
            <w:tcW w:w="534" w:type="dxa"/>
            <w:shd w:val="clear" w:color="auto" w:fill="auto"/>
          </w:tcPr>
          <w:p w14:paraId="4A7F831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13.</w:t>
            </w:r>
          </w:p>
        </w:tc>
        <w:tc>
          <w:tcPr>
            <w:tcW w:w="1984" w:type="dxa"/>
            <w:shd w:val="clear" w:color="auto" w:fill="auto"/>
          </w:tcPr>
          <w:p w14:paraId="18D3C738" w14:textId="77777777" w:rsidR="00F3260C" w:rsidRPr="00BD295E" w:rsidRDefault="008A5057" w:rsidP="00922A9F">
            <w:pPr>
              <w:jc w:val="both"/>
              <w:rPr>
                <w:rFonts w:ascii="Arial" w:hAnsi="Arial" w:cs="Arial"/>
                <w:sz w:val="18"/>
                <w:szCs w:val="18"/>
                <w:lang w:val="en-US"/>
              </w:rPr>
            </w:pPr>
            <w:r w:rsidRPr="00BD295E">
              <w:rPr>
                <w:rFonts w:ascii="Arial" w:hAnsi="Arial" w:cs="Arial"/>
                <w:bCs/>
                <w:iCs/>
                <w:sz w:val="18"/>
                <w:szCs w:val="18"/>
                <w:lang w:val="en-US"/>
              </w:rPr>
              <w:t>Changes in court practice with regard to matters related to the Company’s operations</w:t>
            </w:r>
          </w:p>
        </w:tc>
        <w:tc>
          <w:tcPr>
            <w:tcW w:w="4820" w:type="dxa"/>
            <w:shd w:val="clear" w:color="auto" w:fill="auto"/>
          </w:tcPr>
          <w:p w14:paraId="0F8E70FC" w14:textId="77777777" w:rsidR="00F3260C" w:rsidRPr="00BD295E" w:rsidRDefault="008A5057" w:rsidP="0031297B">
            <w:pPr>
              <w:jc w:val="both"/>
              <w:rPr>
                <w:rFonts w:ascii="Arial" w:hAnsi="Arial" w:cs="Arial"/>
                <w:iCs/>
                <w:sz w:val="18"/>
                <w:szCs w:val="18"/>
                <w:lang w:val="en-US"/>
              </w:rPr>
            </w:pPr>
            <w:r w:rsidRPr="00BD295E">
              <w:rPr>
                <w:rFonts w:ascii="Arial" w:hAnsi="Arial" w:cs="Arial"/>
                <w:bCs/>
                <w:iCs/>
                <w:sz w:val="18"/>
                <w:szCs w:val="18"/>
                <w:lang w:val="en-US"/>
              </w:rPr>
              <w:t>Changes in court practice with regard to matters related to the Company’s operations may result in court rulings that are disadvantageous for the Company, which may adversely affect its performance.</w:t>
            </w:r>
          </w:p>
        </w:tc>
        <w:tc>
          <w:tcPr>
            <w:tcW w:w="5528" w:type="dxa"/>
            <w:shd w:val="clear" w:color="auto" w:fill="auto"/>
          </w:tcPr>
          <w:p w14:paraId="66912B84" w14:textId="77777777" w:rsidR="00F3260C" w:rsidRPr="00BD295E" w:rsidRDefault="008A5057" w:rsidP="00CA2271">
            <w:pPr>
              <w:pStyle w:val="af3"/>
              <w:numPr>
                <w:ilvl w:val="0"/>
                <w:numId w:val="91"/>
              </w:numPr>
              <w:tabs>
                <w:tab w:val="left" w:pos="397"/>
              </w:tabs>
              <w:ind w:left="33" w:firstLine="0"/>
              <w:contextualSpacing w:val="0"/>
              <w:jc w:val="both"/>
              <w:rPr>
                <w:rFonts w:ascii="Arial" w:hAnsi="Arial" w:cs="Arial"/>
                <w:bCs/>
                <w:iCs/>
                <w:sz w:val="18"/>
                <w:szCs w:val="18"/>
                <w:lang w:val="en-US"/>
              </w:rPr>
            </w:pPr>
            <w:r w:rsidRPr="00BD295E">
              <w:rPr>
                <w:rFonts w:ascii="Arial" w:hAnsi="Arial" w:cs="Arial"/>
                <w:bCs/>
                <w:iCs/>
                <w:sz w:val="18"/>
                <w:szCs w:val="18"/>
                <w:lang w:val="en-US"/>
              </w:rPr>
              <w:t>Ongoing monitoring of commercial court caselaw.</w:t>
            </w:r>
          </w:p>
          <w:p w14:paraId="6A3F5B17" w14:textId="77777777" w:rsidR="00F3260C" w:rsidRPr="00BD295E" w:rsidRDefault="008A5057" w:rsidP="00CA2271">
            <w:pPr>
              <w:pStyle w:val="af3"/>
              <w:numPr>
                <w:ilvl w:val="0"/>
                <w:numId w:val="91"/>
              </w:numPr>
              <w:tabs>
                <w:tab w:val="left" w:pos="397"/>
              </w:tabs>
              <w:ind w:left="33" w:firstLine="0"/>
              <w:contextualSpacing w:val="0"/>
              <w:jc w:val="both"/>
              <w:rPr>
                <w:rFonts w:ascii="Arial" w:hAnsi="Arial" w:cs="Arial"/>
                <w:iCs/>
                <w:sz w:val="18"/>
                <w:szCs w:val="18"/>
                <w:lang w:val="en-US"/>
              </w:rPr>
            </w:pPr>
            <w:r w:rsidRPr="00BD295E">
              <w:rPr>
                <w:rFonts w:ascii="Arial" w:hAnsi="Arial" w:cs="Arial"/>
                <w:bCs/>
                <w:iCs/>
                <w:sz w:val="18"/>
                <w:szCs w:val="18"/>
                <w:lang w:val="en-US"/>
              </w:rPr>
              <w:t>Streamlining the legal execution of documents and support of the Company’s operations.</w:t>
            </w:r>
          </w:p>
        </w:tc>
        <w:tc>
          <w:tcPr>
            <w:tcW w:w="1559" w:type="dxa"/>
            <w:shd w:val="clear" w:color="auto" w:fill="auto"/>
          </w:tcPr>
          <w:p w14:paraId="1B967007" w14:textId="102F485F"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48512" behindDoc="0" locked="0" layoutInCell="1" allowOverlap="1" wp14:anchorId="129B490D" wp14:editId="53877F66">
                      <wp:simplePos x="0" y="0"/>
                      <wp:positionH relativeFrom="margin">
                        <wp:posOffset>283210</wp:posOffset>
                      </wp:positionH>
                      <wp:positionV relativeFrom="margin">
                        <wp:posOffset>19050</wp:posOffset>
                      </wp:positionV>
                      <wp:extent cx="270510" cy="278130"/>
                      <wp:effectExtent l="19685" t="17145" r="14605" b="19050"/>
                      <wp:wrapSquare wrapText="bothSides"/>
                      <wp:docPr id="451" name="Овал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5AD60C04" id="Овал 68" o:spid="_x0000_s1026" style="position:absolute;margin-left:22.3pt;margin-top:1.5pt;width:21.3pt;height:21.9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" fillcolor="#9bbb59" strokecolor="#71893f" strokeweight="2pt">
                      <w10:wrap type="square" anchorx="margin" anchory="margin"/>
                    </v:oval>
                  </w:pict>
                </mc:Fallback>
              </mc:AlternateContent>
            </w:r>
          </w:p>
          <w:p w14:paraId="75547AE1" w14:textId="77777777" w:rsidR="00F3260C" w:rsidRPr="00BD295E" w:rsidRDefault="00F3260C" w:rsidP="0031297B">
            <w:pPr>
              <w:ind w:firstLine="709"/>
              <w:jc w:val="both"/>
              <w:rPr>
                <w:rFonts w:ascii="Arial" w:hAnsi="Arial" w:cs="Arial"/>
                <w:sz w:val="18"/>
                <w:szCs w:val="18"/>
                <w:lang w:val="en-US"/>
              </w:rPr>
            </w:pPr>
          </w:p>
          <w:p w14:paraId="44FB0EBC" w14:textId="77777777" w:rsidR="00F3260C" w:rsidRPr="00BD295E" w:rsidRDefault="00F3260C" w:rsidP="0031297B">
            <w:pPr>
              <w:ind w:firstLine="709"/>
              <w:jc w:val="both"/>
              <w:rPr>
                <w:rFonts w:ascii="Arial" w:hAnsi="Arial" w:cs="Arial"/>
                <w:sz w:val="18"/>
                <w:szCs w:val="18"/>
                <w:lang w:val="en-US"/>
              </w:rPr>
            </w:pPr>
          </w:p>
          <w:p w14:paraId="6E712C05" w14:textId="77777777" w:rsidR="00F3260C" w:rsidRPr="00BD295E" w:rsidRDefault="00F3260C" w:rsidP="0031297B">
            <w:pPr>
              <w:ind w:firstLine="709"/>
              <w:jc w:val="both"/>
              <w:rPr>
                <w:rFonts w:ascii="Arial" w:hAnsi="Arial" w:cs="Arial"/>
                <w:sz w:val="18"/>
                <w:szCs w:val="18"/>
                <w:lang w:val="en-US"/>
              </w:rPr>
            </w:pPr>
          </w:p>
        </w:tc>
      </w:tr>
      <w:tr w:rsidR="008A5057" w:rsidRPr="00BD295E" w14:paraId="6C6F4B02" w14:textId="77777777" w:rsidTr="0031297B">
        <w:trPr>
          <w:cantSplit/>
          <w:trHeight w:val="20"/>
        </w:trPr>
        <w:tc>
          <w:tcPr>
            <w:tcW w:w="14425" w:type="dxa"/>
            <w:gridSpan w:val="5"/>
            <w:shd w:val="clear" w:color="auto" w:fill="auto"/>
          </w:tcPr>
          <w:p w14:paraId="0DD62C54" w14:textId="77777777" w:rsidR="00F3260C" w:rsidRPr="00BD295E" w:rsidRDefault="008A5057" w:rsidP="0031297B">
            <w:pPr>
              <w:ind w:firstLine="709"/>
              <w:rPr>
                <w:rFonts w:ascii="Arial" w:hAnsi="Arial" w:cs="Arial"/>
                <w:b/>
                <w:sz w:val="18"/>
                <w:szCs w:val="18"/>
                <w:lang w:val="en-US"/>
              </w:rPr>
            </w:pPr>
            <w:r w:rsidRPr="00BD295E">
              <w:rPr>
                <w:rFonts w:ascii="Arial" w:hAnsi="Arial" w:cs="Arial"/>
                <w:b/>
                <w:sz w:val="18"/>
                <w:szCs w:val="18"/>
                <w:lang w:val="en-US"/>
              </w:rPr>
              <w:t>Risk of loss of business reputation (reputational risk)</w:t>
            </w:r>
          </w:p>
        </w:tc>
      </w:tr>
      <w:tr w:rsidR="008A5057" w:rsidRPr="00BD295E" w14:paraId="74A09B80" w14:textId="77777777" w:rsidTr="0031297B">
        <w:trPr>
          <w:cantSplit/>
          <w:trHeight w:val="20"/>
        </w:trPr>
        <w:tc>
          <w:tcPr>
            <w:tcW w:w="534" w:type="dxa"/>
            <w:shd w:val="clear" w:color="auto" w:fill="auto"/>
          </w:tcPr>
          <w:p w14:paraId="049D8A49"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14</w:t>
            </w:r>
          </w:p>
        </w:tc>
        <w:tc>
          <w:tcPr>
            <w:tcW w:w="1984" w:type="dxa"/>
            <w:shd w:val="clear" w:color="auto" w:fill="auto"/>
          </w:tcPr>
          <w:p w14:paraId="2ACEBE0E" w14:textId="77777777" w:rsidR="00F3260C" w:rsidRPr="00BD295E" w:rsidRDefault="008A5057" w:rsidP="0031297B">
            <w:pPr>
              <w:jc w:val="both"/>
              <w:rPr>
                <w:rFonts w:ascii="Arial" w:hAnsi="Arial" w:cs="Arial"/>
                <w:bCs/>
                <w:iCs/>
                <w:sz w:val="18"/>
                <w:szCs w:val="18"/>
                <w:lang w:val="en-US"/>
              </w:rPr>
            </w:pPr>
            <w:r w:rsidRPr="00BD295E">
              <w:rPr>
                <w:rFonts w:ascii="Arial" w:hAnsi="Arial" w:cs="Arial"/>
                <w:bCs/>
                <w:iCs/>
                <w:sz w:val="18"/>
                <w:szCs w:val="18"/>
                <w:lang w:val="en-US"/>
              </w:rPr>
              <w:t>Reputational risk</w:t>
            </w:r>
          </w:p>
        </w:tc>
        <w:tc>
          <w:tcPr>
            <w:tcW w:w="4820" w:type="dxa"/>
            <w:shd w:val="clear" w:color="auto" w:fill="auto"/>
          </w:tcPr>
          <w:p w14:paraId="585DE70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This risk is associated with the potential failure to perform in full obligations owed to customers and counterparties.</w:t>
            </w:r>
          </w:p>
        </w:tc>
        <w:tc>
          <w:tcPr>
            <w:tcW w:w="5528" w:type="dxa"/>
            <w:shd w:val="clear" w:color="auto" w:fill="auto"/>
          </w:tcPr>
          <w:p w14:paraId="25746CAE" w14:textId="77777777" w:rsidR="00F3260C" w:rsidRPr="00BD295E" w:rsidRDefault="00EE5753" w:rsidP="00CA2271">
            <w:pPr>
              <w:pStyle w:val="af3"/>
              <w:numPr>
                <w:ilvl w:val="0"/>
                <w:numId w:val="90"/>
              </w:numPr>
              <w:tabs>
                <w:tab w:val="left" w:pos="397"/>
              </w:tabs>
              <w:ind w:left="0" w:firstLine="33"/>
              <w:contextualSpacing w:val="0"/>
              <w:jc w:val="both"/>
              <w:rPr>
                <w:rFonts w:ascii="Arial" w:hAnsi="Arial" w:cs="Arial"/>
                <w:bCs/>
                <w:iCs/>
                <w:sz w:val="18"/>
                <w:szCs w:val="18"/>
                <w:lang w:val="en-US"/>
              </w:rPr>
            </w:pPr>
            <w:r w:rsidRPr="00BD295E">
              <w:rPr>
                <w:rFonts w:ascii="Arial" w:hAnsi="Arial" w:cs="Arial"/>
                <w:bCs/>
                <w:iCs/>
                <w:sz w:val="18"/>
                <w:szCs w:val="18"/>
                <w:lang w:val="en-US"/>
              </w:rPr>
              <w:t>PJSC “Lenenergo”</w:t>
            </w:r>
            <w:r w:rsidR="008A5057" w:rsidRPr="00BD295E">
              <w:rPr>
                <w:rFonts w:ascii="Arial" w:hAnsi="Arial" w:cs="Arial"/>
                <w:bCs/>
                <w:iCs/>
                <w:sz w:val="18"/>
                <w:szCs w:val="18"/>
                <w:lang w:val="en-US"/>
              </w:rPr>
              <w:t xml:space="preserve"> is constantly working on maintaining a reliable and uninterrupted electricity supply to consumers, improving the quality of services provided, and increasing its customer focus so as to achieve the goals defined by the Strategy for the Development of the Electric Grid Sector of the Russian Federation (as approved by Directive No. 511-r of the Russian Government </w:t>
            </w:r>
            <w:r w:rsidR="008B183C" w:rsidRPr="00BD295E">
              <w:rPr>
                <w:rFonts w:ascii="Arial" w:hAnsi="Arial" w:cs="Arial"/>
                <w:bCs/>
                <w:iCs/>
                <w:sz w:val="18"/>
                <w:szCs w:val="18"/>
                <w:lang w:val="en-US"/>
              </w:rPr>
              <w:t>of</w:t>
            </w:r>
            <w:r w:rsidR="008A5057" w:rsidRPr="00BD295E">
              <w:rPr>
                <w:rFonts w:ascii="Arial" w:hAnsi="Arial" w:cs="Arial"/>
                <w:bCs/>
                <w:iCs/>
                <w:sz w:val="18"/>
                <w:szCs w:val="18"/>
                <w:lang w:val="en-US"/>
              </w:rPr>
              <w:t xml:space="preserve"> April 3, 2013). </w:t>
            </w:r>
          </w:p>
          <w:p w14:paraId="7E7A1C15" w14:textId="77777777" w:rsidR="00F3260C" w:rsidRPr="00BD295E" w:rsidRDefault="008A5057" w:rsidP="00CA2271">
            <w:pPr>
              <w:pStyle w:val="af3"/>
              <w:numPr>
                <w:ilvl w:val="0"/>
                <w:numId w:val="90"/>
              </w:numPr>
              <w:tabs>
                <w:tab w:val="left" w:pos="397"/>
              </w:tabs>
              <w:ind w:left="0" w:firstLine="33"/>
              <w:contextualSpacing w:val="0"/>
              <w:jc w:val="both"/>
              <w:rPr>
                <w:rFonts w:ascii="Arial" w:hAnsi="Arial" w:cs="Arial"/>
                <w:bCs/>
                <w:iCs/>
                <w:sz w:val="18"/>
                <w:szCs w:val="18"/>
                <w:lang w:val="en-US"/>
              </w:rPr>
            </w:pPr>
            <w:r w:rsidRPr="00BD295E">
              <w:rPr>
                <w:rFonts w:ascii="Arial" w:hAnsi="Arial" w:cs="Arial"/>
                <w:bCs/>
                <w:iCs/>
                <w:sz w:val="18"/>
                <w:szCs w:val="18"/>
                <w:lang w:val="en-US"/>
              </w:rPr>
              <w:t>Organizing the work to resume electricity supply to consumers after natural disasters in the shortest possible time, engaging emergency crews from all branches.</w:t>
            </w:r>
          </w:p>
          <w:p w14:paraId="2D945FC5" w14:textId="77777777" w:rsidR="00F3260C" w:rsidRPr="00BD295E" w:rsidRDefault="008A5057" w:rsidP="00CA2271">
            <w:pPr>
              <w:pStyle w:val="af3"/>
              <w:numPr>
                <w:ilvl w:val="0"/>
                <w:numId w:val="90"/>
              </w:numPr>
              <w:tabs>
                <w:tab w:val="left" w:pos="397"/>
              </w:tabs>
              <w:ind w:left="0" w:firstLine="33"/>
              <w:contextualSpacing w:val="0"/>
              <w:jc w:val="both"/>
              <w:rPr>
                <w:rFonts w:ascii="Arial" w:hAnsi="Arial" w:cs="Arial"/>
                <w:bCs/>
                <w:iCs/>
                <w:sz w:val="18"/>
                <w:szCs w:val="18"/>
                <w:lang w:val="en-US"/>
              </w:rPr>
            </w:pPr>
            <w:r w:rsidRPr="00BD295E">
              <w:rPr>
                <w:rFonts w:ascii="Arial" w:hAnsi="Arial" w:cs="Arial"/>
                <w:bCs/>
                <w:iCs/>
                <w:sz w:val="18"/>
                <w:szCs w:val="18"/>
                <w:lang w:val="en-US"/>
              </w:rPr>
              <w:t>Timely responses to customer requests.</w:t>
            </w:r>
          </w:p>
          <w:p w14:paraId="302AD213" w14:textId="77777777" w:rsidR="00F3260C" w:rsidRPr="00BD295E" w:rsidRDefault="008A5057" w:rsidP="00CA2271">
            <w:pPr>
              <w:pStyle w:val="af3"/>
              <w:numPr>
                <w:ilvl w:val="0"/>
                <w:numId w:val="90"/>
              </w:numPr>
              <w:tabs>
                <w:tab w:val="left" w:pos="397"/>
              </w:tabs>
              <w:ind w:left="0" w:firstLine="33"/>
              <w:contextualSpacing w:val="0"/>
              <w:jc w:val="both"/>
              <w:rPr>
                <w:rFonts w:ascii="Arial" w:hAnsi="Arial" w:cs="Arial"/>
                <w:bCs/>
                <w:iCs/>
                <w:sz w:val="18"/>
                <w:szCs w:val="18"/>
                <w:lang w:val="en-US"/>
              </w:rPr>
            </w:pPr>
            <w:r w:rsidRPr="00BD295E">
              <w:rPr>
                <w:rFonts w:ascii="Arial" w:hAnsi="Arial" w:cs="Arial"/>
                <w:bCs/>
                <w:iCs/>
                <w:sz w:val="18"/>
                <w:szCs w:val="18"/>
                <w:lang w:val="en-US"/>
              </w:rPr>
              <w:t>Meeting grid connection obligations.</w:t>
            </w:r>
          </w:p>
          <w:p w14:paraId="75C9DDA5" w14:textId="77777777" w:rsidR="00F3260C" w:rsidRPr="00BD295E" w:rsidRDefault="008A5057" w:rsidP="00CA2271">
            <w:pPr>
              <w:pStyle w:val="af3"/>
              <w:numPr>
                <w:ilvl w:val="0"/>
                <w:numId w:val="90"/>
              </w:numPr>
              <w:tabs>
                <w:tab w:val="left" w:pos="397"/>
              </w:tabs>
              <w:ind w:left="0" w:firstLine="33"/>
              <w:contextualSpacing w:val="0"/>
              <w:jc w:val="both"/>
              <w:rPr>
                <w:rFonts w:ascii="Arial" w:hAnsi="Arial" w:cs="Arial"/>
                <w:bCs/>
                <w:iCs/>
                <w:sz w:val="18"/>
                <w:szCs w:val="18"/>
                <w:lang w:val="en-US"/>
              </w:rPr>
            </w:pPr>
            <w:r w:rsidRPr="00BD295E">
              <w:rPr>
                <w:rFonts w:ascii="Arial" w:hAnsi="Arial" w:cs="Arial"/>
                <w:bCs/>
                <w:iCs/>
                <w:sz w:val="18"/>
                <w:szCs w:val="18"/>
                <w:lang w:val="en-US"/>
              </w:rPr>
              <w:t>Disclosing information on the Company's operations in compliance with applicable laws.</w:t>
            </w:r>
          </w:p>
        </w:tc>
        <w:tc>
          <w:tcPr>
            <w:tcW w:w="1559" w:type="dxa"/>
            <w:shd w:val="clear" w:color="auto" w:fill="auto"/>
          </w:tcPr>
          <w:p w14:paraId="5C48EC5D" w14:textId="7040BF8C"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71040" behindDoc="0" locked="0" layoutInCell="1" allowOverlap="1" wp14:anchorId="6A4E2C18" wp14:editId="30BD7BBD">
                      <wp:simplePos x="0" y="0"/>
                      <wp:positionH relativeFrom="margin">
                        <wp:posOffset>283210</wp:posOffset>
                      </wp:positionH>
                      <wp:positionV relativeFrom="margin">
                        <wp:posOffset>19050</wp:posOffset>
                      </wp:positionV>
                      <wp:extent cx="270510" cy="278130"/>
                      <wp:effectExtent l="19685" t="16510" r="14605" b="19685"/>
                      <wp:wrapSquare wrapText="bothSides"/>
                      <wp:docPr id="450" name="Овал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0DB618A" id="Овал 69" o:spid="_x0000_s1026" style="position:absolute;margin-left:22.3pt;margin-top:1.5pt;width:21.3pt;height:21.9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" fillcolor="#9bbb59" strokecolor="#71893f" strokeweight="2pt">
                      <w10:wrap type="square" anchorx="margin" anchory="margin"/>
                    </v:oval>
                  </w:pict>
                </mc:Fallback>
              </mc:AlternateContent>
            </w:r>
          </w:p>
        </w:tc>
      </w:tr>
      <w:tr w:rsidR="008A5057" w:rsidRPr="00BD295E" w14:paraId="05355FBA" w14:textId="77777777" w:rsidTr="0031297B">
        <w:trPr>
          <w:cantSplit/>
          <w:trHeight w:val="20"/>
        </w:trPr>
        <w:tc>
          <w:tcPr>
            <w:tcW w:w="14425" w:type="dxa"/>
            <w:gridSpan w:val="5"/>
            <w:shd w:val="clear" w:color="auto" w:fill="auto"/>
          </w:tcPr>
          <w:p w14:paraId="507A7708" w14:textId="77777777" w:rsidR="00F3260C" w:rsidRPr="00BD295E" w:rsidRDefault="008A5057" w:rsidP="0031297B">
            <w:pPr>
              <w:ind w:firstLine="709"/>
              <w:rPr>
                <w:rFonts w:ascii="Arial" w:hAnsi="Arial" w:cs="Arial"/>
                <w:b/>
                <w:sz w:val="18"/>
                <w:szCs w:val="18"/>
                <w:lang w:val="en-US"/>
              </w:rPr>
            </w:pPr>
            <w:r w:rsidRPr="00BD295E">
              <w:rPr>
                <w:rFonts w:ascii="Arial" w:hAnsi="Arial" w:cs="Arial"/>
                <w:b/>
                <w:sz w:val="18"/>
                <w:szCs w:val="18"/>
                <w:lang w:val="en-US"/>
              </w:rPr>
              <w:t>Strategic risk</w:t>
            </w:r>
          </w:p>
        </w:tc>
      </w:tr>
      <w:tr w:rsidR="008A5057" w:rsidRPr="00BD295E" w14:paraId="49CA3E01" w14:textId="77777777" w:rsidTr="0031297B">
        <w:trPr>
          <w:cantSplit/>
          <w:trHeight w:val="20"/>
        </w:trPr>
        <w:tc>
          <w:tcPr>
            <w:tcW w:w="534" w:type="dxa"/>
            <w:shd w:val="clear" w:color="auto" w:fill="auto"/>
          </w:tcPr>
          <w:p w14:paraId="6BA612AC"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15.</w:t>
            </w:r>
          </w:p>
        </w:tc>
        <w:tc>
          <w:tcPr>
            <w:tcW w:w="1984" w:type="dxa"/>
            <w:shd w:val="clear" w:color="auto" w:fill="auto"/>
          </w:tcPr>
          <w:p w14:paraId="5D2741D9" w14:textId="77777777" w:rsidR="00F3260C" w:rsidRPr="00BD295E" w:rsidRDefault="008A5057" w:rsidP="0031297B">
            <w:pPr>
              <w:jc w:val="both"/>
              <w:rPr>
                <w:rFonts w:ascii="Arial" w:hAnsi="Arial" w:cs="Arial"/>
                <w:bCs/>
                <w:iCs/>
                <w:sz w:val="18"/>
                <w:szCs w:val="18"/>
                <w:lang w:val="en-US"/>
              </w:rPr>
            </w:pPr>
            <w:r w:rsidRPr="00BD295E">
              <w:rPr>
                <w:rFonts w:ascii="Arial" w:hAnsi="Arial" w:cs="Arial"/>
                <w:sz w:val="18"/>
                <w:szCs w:val="18"/>
                <w:lang w:val="en-US"/>
              </w:rPr>
              <w:t>Strategic risk</w:t>
            </w:r>
          </w:p>
        </w:tc>
        <w:tc>
          <w:tcPr>
            <w:tcW w:w="4820" w:type="dxa"/>
            <w:shd w:val="clear" w:color="auto" w:fill="auto"/>
          </w:tcPr>
          <w:p w14:paraId="46161B4A" w14:textId="77777777" w:rsidR="00F3260C" w:rsidRPr="00BD295E" w:rsidRDefault="008A5057" w:rsidP="0031297B">
            <w:pPr>
              <w:tabs>
                <w:tab w:val="left" w:pos="975"/>
              </w:tabs>
              <w:jc w:val="both"/>
              <w:rPr>
                <w:rFonts w:ascii="Arial" w:hAnsi="Arial" w:cs="Arial"/>
                <w:bCs/>
                <w:iCs/>
                <w:sz w:val="18"/>
                <w:szCs w:val="18"/>
                <w:lang w:val="en-US"/>
              </w:rPr>
            </w:pPr>
            <w:r w:rsidRPr="00BD295E">
              <w:rPr>
                <w:rStyle w:val="Subst0"/>
                <w:rFonts w:ascii="Arial" w:hAnsi="Arial" w:cs="Arial"/>
                <w:i w:val="0"/>
                <w:sz w:val="18"/>
                <w:szCs w:val="18"/>
                <w:lang w:val="en-US"/>
              </w:rPr>
              <w:t xml:space="preserve">The strategic priorities of the Company’s operations are determined by the Strategy for the Development of the Electric Grid Sector of the Russian Federation approved by the Russian Government, which outlines the approaches to addressing the systemic problems of the electricity industry. </w:t>
            </w:r>
            <w:r w:rsidRPr="00BD295E">
              <w:rPr>
                <w:rFonts w:ascii="Arial" w:hAnsi="Arial" w:cs="Arial"/>
                <w:sz w:val="18"/>
                <w:szCs w:val="18"/>
                <w:lang w:val="en-US"/>
              </w:rPr>
              <w:t>Therefore, the strategic risks of the Company are those that affect the Company’s ability to provide a reliable, high-quality, and affordable long-term electricity supply to its customers in the Russian Federation, as well as to increase the performance of its electric grid facilities.</w:t>
            </w:r>
          </w:p>
          <w:p w14:paraId="5921D094" w14:textId="77777777" w:rsidR="00F3260C" w:rsidRPr="00BD295E" w:rsidRDefault="00F3260C" w:rsidP="0031297B">
            <w:pPr>
              <w:tabs>
                <w:tab w:val="left" w:pos="975"/>
              </w:tabs>
              <w:ind w:firstLine="709"/>
              <w:jc w:val="both"/>
              <w:rPr>
                <w:rFonts w:ascii="Arial" w:hAnsi="Arial" w:cs="Arial"/>
                <w:sz w:val="18"/>
                <w:szCs w:val="18"/>
                <w:lang w:val="en-US"/>
              </w:rPr>
            </w:pPr>
          </w:p>
        </w:tc>
        <w:tc>
          <w:tcPr>
            <w:tcW w:w="5528" w:type="dxa"/>
            <w:shd w:val="clear" w:color="auto" w:fill="auto"/>
          </w:tcPr>
          <w:p w14:paraId="014BB0C9" w14:textId="77777777" w:rsidR="00F3260C" w:rsidRPr="00BD295E" w:rsidRDefault="008A5057" w:rsidP="00CA2271">
            <w:pPr>
              <w:pStyle w:val="af3"/>
              <w:numPr>
                <w:ilvl w:val="0"/>
                <w:numId w:val="85"/>
              </w:numPr>
              <w:tabs>
                <w:tab w:val="left" w:pos="337"/>
              </w:tabs>
              <w:ind w:left="34" w:hanging="1"/>
              <w:contextualSpacing w:val="0"/>
              <w:jc w:val="both"/>
              <w:rPr>
                <w:rFonts w:ascii="Arial" w:hAnsi="Arial" w:cs="Arial"/>
                <w:sz w:val="18"/>
                <w:szCs w:val="18"/>
                <w:lang w:val="en-US"/>
              </w:rPr>
            </w:pPr>
            <w:r w:rsidRPr="00BD295E">
              <w:rPr>
                <w:rFonts w:ascii="Arial" w:hAnsi="Arial" w:cs="Arial"/>
                <w:sz w:val="18"/>
                <w:szCs w:val="18"/>
                <w:lang w:val="en-US"/>
              </w:rPr>
              <w:t xml:space="preserve">Implementing a range of organizational measures to: </w:t>
            </w:r>
          </w:p>
          <w:p w14:paraId="4FC9BB87" w14:textId="77777777" w:rsidR="00F3260C" w:rsidRPr="00BD295E" w:rsidRDefault="008A5057" w:rsidP="00CA2271">
            <w:pPr>
              <w:pStyle w:val="af3"/>
              <w:numPr>
                <w:ilvl w:val="0"/>
                <w:numId w:val="86"/>
              </w:numPr>
              <w:tabs>
                <w:tab w:val="left" w:pos="337"/>
              </w:tabs>
              <w:ind w:left="34" w:hanging="1"/>
              <w:contextualSpacing w:val="0"/>
              <w:jc w:val="both"/>
              <w:rPr>
                <w:rFonts w:ascii="Arial" w:hAnsi="Arial" w:cs="Arial"/>
                <w:sz w:val="18"/>
                <w:szCs w:val="18"/>
                <w:lang w:val="en-US"/>
              </w:rPr>
            </w:pPr>
            <w:r w:rsidRPr="00BD295E">
              <w:rPr>
                <w:rFonts w:ascii="Arial" w:hAnsi="Arial" w:cs="Arial"/>
                <w:sz w:val="18"/>
                <w:szCs w:val="18"/>
                <w:lang w:val="en-US"/>
              </w:rPr>
              <w:t xml:space="preserve">raise the reliability and quality of electricity supply to a level that meets consumer demand; </w:t>
            </w:r>
          </w:p>
          <w:p w14:paraId="092BFFD7" w14:textId="77777777" w:rsidR="00F3260C" w:rsidRPr="00BD295E" w:rsidRDefault="008A5057" w:rsidP="00CA2271">
            <w:pPr>
              <w:pStyle w:val="af3"/>
              <w:numPr>
                <w:ilvl w:val="0"/>
                <w:numId w:val="86"/>
              </w:numPr>
              <w:tabs>
                <w:tab w:val="left" w:pos="337"/>
              </w:tabs>
              <w:ind w:left="34" w:hanging="1"/>
              <w:contextualSpacing w:val="0"/>
              <w:jc w:val="both"/>
              <w:rPr>
                <w:rFonts w:ascii="Arial" w:hAnsi="Arial" w:cs="Arial"/>
                <w:sz w:val="18"/>
                <w:szCs w:val="18"/>
                <w:lang w:val="en-US"/>
              </w:rPr>
            </w:pPr>
            <w:r w:rsidRPr="00BD295E">
              <w:rPr>
                <w:rFonts w:ascii="Arial" w:hAnsi="Arial" w:cs="Arial"/>
                <w:sz w:val="18"/>
                <w:szCs w:val="18"/>
                <w:lang w:val="en-US"/>
              </w:rPr>
              <w:t xml:space="preserve">increase the safety of electricity supply, including reduce the number of accidents; </w:t>
            </w:r>
          </w:p>
          <w:p w14:paraId="78029938" w14:textId="77777777" w:rsidR="00F3260C" w:rsidRPr="00BD295E" w:rsidRDefault="008A5057" w:rsidP="00CA2271">
            <w:pPr>
              <w:pStyle w:val="af3"/>
              <w:numPr>
                <w:ilvl w:val="0"/>
                <w:numId w:val="86"/>
              </w:numPr>
              <w:tabs>
                <w:tab w:val="left" w:pos="337"/>
              </w:tabs>
              <w:ind w:left="34" w:hanging="1"/>
              <w:contextualSpacing w:val="0"/>
              <w:jc w:val="both"/>
              <w:rPr>
                <w:rFonts w:ascii="Arial" w:hAnsi="Arial" w:cs="Arial"/>
                <w:sz w:val="18"/>
                <w:szCs w:val="18"/>
                <w:lang w:val="en-US"/>
              </w:rPr>
            </w:pPr>
            <w:r w:rsidRPr="00BD295E">
              <w:rPr>
                <w:rFonts w:ascii="Arial" w:hAnsi="Arial" w:cs="Arial"/>
                <w:sz w:val="18"/>
                <w:szCs w:val="18"/>
                <w:lang w:val="en-US"/>
              </w:rPr>
              <w:t xml:space="preserve">increase the performance of electric grid facilities, including: </w:t>
            </w:r>
          </w:p>
          <w:p w14:paraId="16BCE970" w14:textId="77777777" w:rsidR="00F3260C" w:rsidRPr="00BD295E" w:rsidRDefault="008A5057" w:rsidP="00CA2271">
            <w:pPr>
              <w:pStyle w:val="af3"/>
              <w:numPr>
                <w:ilvl w:val="0"/>
                <w:numId w:val="87"/>
              </w:numPr>
              <w:tabs>
                <w:tab w:val="left" w:pos="337"/>
                <w:tab w:val="left" w:pos="1026"/>
              </w:tabs>
              <w:ind w:left="34" w:hanging="1"/>
              <w:contextualSpacing w:val="0"/>
              <w:jc w:val="both"/>
              <w:rPr>
                <w:rFonts w:ascii="Arial" w:hAnsi="Arial" w:cs="Arial"/>
                <w:sz w:val="18"/>
                <w:szCs w:val="18"/>
                <w:lang w:val="en-US"/>
              </w:rPr>
            </w:pPr>
            <w:r w:rsidRPr="00BD295E">
              <w:rPr>
                <w:rFonts w:ascii="Arial" w:hAnsi="Arial" w:cs="Arial"/>
                <w:sz w:val="18"/>
                <w:szCs w:val="18"/>
                <w:lang w:val="en-US"/>
              </w:rPr>
              <w:t xml:space="preserve">increase capacity utilization; </w:t>
            </w:r>
          </w:p>
          <w:p w14:paraId="68543D56" w14:textId="77777777" w:rsidR="00F3260C" w:rsidRPr="00BD295E" w:rsidRDefault="008A5057" w:rsidP="00CA2271">
            <w:pPr>
              <w:pStyle w:val="af3"/>
              <w:numPr>
                <w:ilvl w:val="0"/>
                <w:numId w:val="87"/>
              </w:numPr>
              <w:tabs>
                <w:tab w:val="left" w:pos="337"/>
                <w:tab w:val="left" w:pos="1026"/>
              </w:tabs>
              <w:ind w:left="34" w:hanging="1"/>
              <w:contextualSpacing w:val="0"/>
              <w:jc w:val="both"/>
              <w:rPr>
                <w:rFonts w:ascii="Arial" w:hAnsi="Arial" w:cs="Arial"/>
                <w:sz w:val="18"/>
                <w:szCs w:val="18"/>
                <w:lang w:val="en-US"/>
              </w:rPr>
            </w:pPr>
            <w:r w:rsidRPr="00BD295E">
              <w:rPr>
                <w:rFonts w:ascii="Arial" w:hAnsi="Arial" w:cs="Arial"/>
                <w:sz w:val="18"/>
                <w:szCs w:val="18"/>
                <w:lang w:val="en-US"/>
              </w:rPr>
              <w:t xml:space="preserve">decrease per unit investment costs </w:t>
            </w:r>
          </w:p>
          <w:p w14:paraId="02C1E94F" w14:textId="77777777" w:rsidR="00F3260C" w:rsidRPr="00BD295E" w:rsidRDefault="008A5057" w:rsidP="00CA2271">
            <w:pPr>
              <w:pStyle w:val="af3"/>
              <w:numPr>
                <w:ilvl w:val="0"/>
                <w:numId w:val="87"/>
              </w:numPr>
              <w:tabs>
                <w:tab w:val="left" w:pos="337"/>
                <w:tab w:val="left" w:pos="1026"/>
              </w:tabs>
              <w:ind w:left="34" w:hanging="1"/>
              <w:contextualSpacing w:val="0"/>
              <w:jc w:val="both"/>
              <w:rPr>
                <w:rFonts w:ascii="Arial" w:hAnsi="Arial" w:cs="Arial"/>
                <w:sz w:val="18"/>
                <w:szCs w:val="18"/>
                <w:lang w:val="en-US"/>
              </w:rPr>
            </w:pPr>
            <w:r w:rsidRPr="00BD295E">
              <w:rPr>
                <w:rFonts w:ascii="Arial" w:hAnsi="Arial" w:cs="Arial"/>
                <w:sz w:val="18"/>
                <w:szCs w:val="18"/>
                <w:lang w:val="en-US"/>
              </w:rPr>
              <w:t xml:space="preserve">decrease operating expenses; </w:t>
            </w:r>
          </w:p>
          <w:p w14:paraId="64201FBD" w14:textId="77777777" w:rsidR="00F3260C" w:rsidRPr="00BD295E" w:rsidRDefault="008A5057" w:rsidP="00CA2271">
            <w:pPr>
              <w:pStyle w:val="af3"/>
              <w:numPr>
                <w:ilvl w:val="0"/>
                <w:numId w:val="87"/>
              </w:numPr>
              <w:tabs>
                <w:tab w:val="left" w:pos="337"/>
                <w:tab w:val="left" w:pos="1026"/>
              </w:tabs>
              <w:ind w:left="34" w:hanging="1"/>
              <w:contextualSpacing w:val="0"/>
              <w:jc w:val="both"/>
              <w:rPr>
                <w:rFonts w:ascii="Arial" w:hAnsi="Arial" w:cs="Arial"/>
                <w:sz w:val="18"/>
                <w:szCs w:val="18"/>
                <w:lang w:val="en-US"/>
              </w:rPr>
            </w:pPr>
            <w:r w:rsidRPr="00BD295E">
              <w:rPr>
                <w:rFonts w:ascii="Arial" w:hAnsi="Arial" w:cs="Arial"/>
                <w:sz w:val="18"/>
                <w:szCs w:val="18"/>
                <w:lang w:val="en-US"/>
              </w:rPr>
              <w:t>reduce electricity losses.</w:t>
            </w:r>
          </w:p>
          <w:p w14:paraId="3F6E7DAA" w14:textId="77777777" w:rsidR="00F3260C" w:rsidRPr="00BD295E" w:rsidRDefault="008A5057" w:rsidP="00CA2271">
            <w:pPr>
              <w:pStyle w:val="af3"/>
              <w:numPr>
                <w:ilvl w:val="0"/>
                <w:numId w:val="85"/>
              </w:numPr>
              <w:tabs>
                <w:tab w:val="left" w:pos="337"/>
                <w:tab w:val="left" w:pos="367"/>
              </w:tabs>
              <w:ind w:left="34" w:hanging="1"/>
              <w:contextualSpacing w:val="0"/>
              <w:jc w:val="both"/>
              <w:rPr>
                <w:rFonts w:ascii="Arial" w:hAnsi="Arial" w:cs="Arial"/>
                <w:bCs/>
                <w:iCs/>
                <w:sz w:val="18"/>
                <w:szCs w:val="18"/>
                <w:lang w:val="en-US"/>
              </w:rPr>
            </w:pPr>
            <w:r w:rsidRPr="00BD295E">
              <w:rPr>
                <w:rFonts w:ascii="Arial" w:hAnsi="Arial" w:cs="Arial"/>
                <w:sz w:val="18"/>
                <w:szCs w:val="18"/>
                <w:lang w:val="en-US"/>
              </w:rPr>
              <w:t xml:space="preserve">In order to achieve balanced development of Saint Petersburg’s electric grid facilities, streamline the investment program of Saint-Petersburg, and increase its efficiency, the Company has taken measures to implement the instructions of the Russian President adopted following a meeting with the Russian President on the </w:t>
            </w:r>
            <w:r w:rsidRPr="00BD295E">
              <w:rPr>
                <w:rFonts w:ascii="Arial" w:hAnsi="Arial" w:cs="Arial"/>
                <w:i/>
                <w:iCs/>
                <w:sz w:val="18"/>
                <w:szCs w:val="18"/>
                <w:lang w:val="en-US"/>
              </w:rPr>
              <w:t xml:space="preserve">Mechanisms for the </w:t>
            </w:r>
            <w:r w:rsidR="00CF0D86" w:rsidRPr="00BD295E">
              <w:rPr>
                <w:rFonts w:ascii="Arial" w:hAnsi="Arial" w:cs="Arial"/>
                <w:i/>
                <w:iCs/>
                <w:sz w:val="18"/>
                <w:szCs w:val="18"/>
                <w:lang w:val="en-US"/>
              </w:rPr>
              <w:t>Regulation</w:t>
            </w:r>
            <w:r w:rsidRPr="00BD295E">
              <w:rPr>
                <w:rFonts w:ascii="Arial" w:hAnsi="Arial" w:cs="Arial"/>
                <w:i/>
                <w:iCs/>
                <w:sz w:val="18"/>
                <w:szCs w:val="18"/>
                <w:lang w:val="en-US"/>
              </w:rPr>
              <w:t xml:space="preserve"> and Financial Recovery of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in particular, all key strategic benchmarks are currently aligned with measures taken to adopt the “common share” across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(implying reorganization).</w:t>
            </w:r>
          </w:p>
        </w:tc>
        <w:tc>
          <w:tcPr>
            <w:tcW w:w="1559" w:type="dxa"/>
            <w:shd w:val="clear" w:color="auto" w:fill="auto"/>
          </w:tcPr>
          <w:p w14:paraId="0CD7B1BC" w14:textId="4E20911A"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72064" behindDoc="0" locked="0" layoutInCell="1" allowOverlap="1" wp14:anchorId="53FE93A5" wp14:editId="3E9DFDDB">
                      <wp:simplePos x="0" y="0"/>
                      <wp:positionH relativeFrom="margin">
                        <wp:posOffset>283210</wp:posOffset>
                      </wp:positionH>
                      <wp:positionV relativeFrom="margin">
                        <wp:posOffset>19050</wp:posOffset>
                      </wp:positionV>
                      <wp:extent cx="270510" cy="278130"/>
                      <wp:effectExtent l="19685" t="12700" r="14605" b="13970"/>
                      <wp:wrapSquare wrapText="bothSides"/>
                      <wp:docPr id="449" name="Овал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6F2089B" id="Овал 70" o:spid="_x0000_s1026" style="position:absolute;margin-left:22.3pt;margin-top:1.5pt;width:21.3pt;height:21.9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" fillcolor="#9bbb59" strokecolor="#71893f" strokeweight="2pt">
                      <w10:wrap type="square" anchorx="margin" anchory="margin"/>
                    </v:oval>
                  </w:pict>
                </mc:Fallback>
              </mc:AlternateContent>
            </w:r>
          </w:p>
        </w:tc>
      </w:tr>
      <w:tr w:rsidR="008A5057" w:rsidRPr="00BD295E" w14:paraId="619D0530" w14:textId="77777777" w:rsidTr="0031297B">
        <w:trPr>
          <w:cantSplit/>
          <w:trHeight w:val="20"/>
        </w:trPr>
        <w:tc>
          <w:tcPr>
            <w:tcW w:w="14425" w:type="dxa"/>
            <w:gridSpan w:val="5"/>
            <w:shd w:val="clear" w:color="auto" w:fill="auto"/>
          </w:tcPr>
          <w:p w14:paraId="6EB99BDB" w14:textId="77777777" w:rsidR="00F3260C" w:rsidRPr="00BD295E" w:rsidRDefault="008A5057" w:rsidP="0031297B">
            <w:pPr>
              <w:ind w:firstLine="709"/>
              <w:rPr>
                <w:rFonts w:ascii="Arial" w:hAnsi="Arial" w:cs="Arial"/>
                <w:sz w:val="18"/>
                <w:szCs w:val="18"/>
                <w:lang w:val="en-US"/>
              </w:rPr>
            </w:pPr>
            <w:r w:rsidRPr="00BD295E">
              <w:rPr>
                <w:rFonts w:ascii="Arial" w:hAnsi="Arial" w:cs="Arial"/>
                <w:b/>
                <w:sz w:val="18"/>
                <w:szCs w:val="18"/>
                <w:lang w:val="en-US"/>
              </w:rPr>
              <w:t>Risks related to the Company’s business:</w:t>
            </w:r>
          </w:p>
        </w:tc>
      </w:tr>
      <w:tr w:rsidR="008A5057" w:rsidRPr="00BD295E" w14:paraId="3D879EF2" w14:textId="77777777" w:rsidTr="0031297B">
        <w:trPr>
          <w:cantSplit/>
          <w:trHeight w:val="20"/>
        </w:trPr>
        <w:tc>
          <w:tcPr>
            <w:tcW w:w="534" w:type="dxa"/>
            <w:shd w:val="clear" w:color="auto" w:fill="auto"/>
          </w:tcPr>
          <w:p w14:paraId="5FDCDA2D"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16.</w:t>
            </w:r>
          </w:p>
        </w:tc>
        <w:tc>
          <w:tcPr>
            <w:tcW w:w="1984" w:type="dxa"/>
            <w:shd w:val="clear" w:color="auto" w:fill="auto"/>
          </w:tcPr>
          <w:p w14:paraId="36AAE51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Operational risks</w:t>
            </w:r>
          </w:p>
        </w:tc>
        <w:tc>
          <w:tcPr>
            <w:tcW w:w="4820" w:type="dxa"/>
            <w:shd w:val="clear" w:color="auto" w:fill="auto"/>
          </w:tcPr>
          <w:p w14:paraId="552356AE"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Operational and process risks that affect the reliability of electricity supply are related to system failures and malfunctions of the equipment within the electric distribution grid and interruptions of electricity supply to the Company’s customers due to natural disasters, high physical and moral wear of electric grid facilities, violations of operating standards and operational modes of electric grid equipment, and an inadequate repair program. </w:t>
            </w:r>
          </w:p>
          <w:p w14:paraId="47C13B4F"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These risk factors affect the amount of network losses, increasing the Company’s expenses on the purchase of electricity to compensate for losses. </w:t>
            </w:r>
          </w:p>
          <w:p w14:paraId="5B0D275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 xml:space="preserve">The above risks may entail both significant economic and reputational implications. </w:t>
            </w:r>
          </w:p>
          <w:p w14:paraId="22AAB55B" w14:textId="77777777" w:rsidR="00F3260C" w:rsidRPr="00BD295E" w:rsidRDefault="00F3260C" w:rsidP="0031297B">
            <w:pPr>
              <w:ind w:firstLine="709"/>
              <w:jc w:val="both"/>
              <w:rPr>
                <w:rFonts w:ascii="Arial" w:hAnsi="Arial" w:cs="Arial"/>
                <w:iCs/>
                <w:sz w:val="18"/>
                <w:szCs w:val="18"/>
                <w:lang w:val="en-US"/>
              </w:rPr>
            </w:pPr>
          </w:p>
        </w:tc>
        <w:tc>
          <w:tcPr>
            <w:tcW w:w="5528" w:type="dxa"/>
            <w:shd w:val="clear" w:color="auto" w:fill="auto"/>
          </w:tcPr>
          <w:p w14:paraId="09FC36DC" w14:textId="77777777" w:rsidR="00F3260C" w:rsidRPr="00BD295E" w:rsidRDefault="008A5057" w:rsidP="00FA6082">
            <w:pPr>
              <w:pStyle w:val="af3"/>
              <w:numPr>
                <w:ilvl w:val="0"/>
                <w:numId w:val="157"/>
              </w:numPr>
              <w:jc w:val="both"/>
              <w:rPr>
                <w:rFonts w:ascii="Arial" w:hAnsi="Arial" w:cs="Arial"/>
                <w:sz w:val="18"/>
                <w:szCs w:val="18"/>
                <w:lang w:val="en-US"/>
              </w:rPr>
            </w:pPr>
            <w:r w:rsidRPr="00BD295E">
              <w:rPr>
                <w:rFonts w:ascii="Arial" w:hAnsi="Arial" w:cs="Arial"/>
                <w:sz w:val="18"/>
                <w:szCs w:val="18"/>
                <w:lang w:val="en-US"/>
              </w:rPr>
              <w:t xml:space="preserve">To reduce the probability of operational and process risks, the Company improves the reliability of electricity supply to consumers, and prevents process failure risks, including by: </w:t>
            </w:r>
          </w:p>
          <w:p w14:paraId="2BD13E62" w14:textId="77777777" w:rsidR="00F3260C" w:rsidRPr="00BD295E" w:rsidRDefault="008A5057" w:rsidP="009E7B27">
            <w:pPr>
              <w:jc w:val="both"/>
              <w:rPr>
                <w:rFonts w:ascii="Arial" w:hAnsi="Arial" w:cs="Arial"/>
                <w:sz w:val="18"/>
                <w:szCs w:val="18"/>
                <w:lang w:val="en-US"/>
              </w:rPr>
            </w:pPr>
            <w:r w:rsidRPr="00BD295E">
              <w:rPr>
                <w:rFonts w:ascii="Arial" w:hAnsi="Arial" w:cs="Arial"/>
                <w:sz w:val="18"/>
                <w:szCs w:val="18"/>
                <w:lang w:val="en-US"/>
              </w:rPr>
              <w:t xml:space="preserve">clearing and widening of overhead line rights-of-way and routes, renovating electric grid facilities, </w:t>
            </w:r>
          </w:p>
          <w:p w14:paraId="155312BE" w14:textId="77777777" w:rsidR="00F3260C" w:rsidRPr="00BD295E" w:rsidRDefault="008A5057" w:rsidP="009E7B27">
            <w:pPr>
              <w:jc w:val="both"/>
              <w:rPr>
                <w:rFonts w:ascii="Arial" w:hAnsi="Arial" w:cs="Arial"/>
                <w:sz w:val="18"/>
                <w:szCs w:val="18"/>
                <w:lang w:val="en-US"/>
              </w:rPr>
            </w:pPr>
            <w:r w:rsidRPr="00BD295E">
              <w:rPr>
                <w:rFonts w:ascii="Arial" w:hAnsi="Arial" w:cs="Arial"/>
                <w:sz w:val="18"/>
                <w:szCs w:val="18"/>
                <w:lang w:val="en-US"/>
              </w:rPr>
              <w:t xml:space="preserve">expanding the fleet of reserve electricity supply sources and specialized vehicles for emergency repair. </w:t>
            </w:r>
          </w:p>
          <w:p w14:paraId="2F02AE09" w14:textId="77777777" w:rsidR="00F3260C" w:rsidRPr="00BD295E" w:rsidRDefault="008A5057" w:rsidP="009E7B27">
            <w:pPr>
              <w:jc w:val="both"/>
              <w:rPr>
                <w:rFonts w:ascii="Arial" w:hAnsi="Arial" w:cs="Arial"/>
                <w:sz w:val="18"/>
                <w:szCs w:val="18"/>
                <w:lang w:val="en-US"/>
              </w:rPr>
            </w:pPr>
            <w:r w:rsidRPr="00BD295E">
              <w:rPr>
                <w:rFonts w:ascii="Arial" w:hAnsi="Arial" w:cs="Arial"/>
                <w:sz w:val="18"/>
                <w:szCs w:val="18"/>
                <w:lang w:val="en-US"/>
              </w:rPr>
              <w:t xml:space="preserve">running a comprehensive program to upgrade electric grid facilities, switching equipment and remote control systems, </w:t>
            </w:r>
          </w:p>
          <w:p w14:paraId="14DB4CCA" w14:textId="77777777" w:rsidR="00F3260C" w:rsidRPr="00BD295E" w:rsidRDefault="008A5057" w:rsidP="009E7B27">
            <w:pPr>
              <w:jc w:val="both"/>
              <w:rPr>
                <w:rFonts w:ascii="Arial" w:hAnsi="Arial" w:cs="Arial"/>
                <w:sz w:val="18"/>
                <w:szCs w:val="18"/>
                <w:lang w:val="en-US"/>
              </w:rPr>
            </w:pPr>
            <w:r w:rsidRPr="00BD295E">
              <w:rPr>
                <w:rFonts w:ascii="Arial" w:hAnsi="Arial" w:cs="Arial"/>
                <w:sz w:val="18"/>
                <w:szCs w:val="18"/>
                <w:lang w:val="en-US"/>
              </w:rPr>
              <w:t xml:space="preserve">improving data collection and communication systems, analyzing process failures, etc. </w:t>
            </w:r>
          </w:p>
          <w:p w14:paraId="3C1D99BB" w14:textId="77777777" w:rsidR="00F3260C" w:rsidRPr="00BD295E" w:rsidRDefault="008A5057" w:rsidP="00FA6082">
            <w:pPr>
              <w:pStyle w:val="af3"/>
              <w:numPr>
                <w:ilvl w:val="0"/>
                <w:numId w:val="157"/>
              </w:numPr>
              <w:jc w:val="both"/>
              <w:rPr>
                <w:rFonts w:ascii="Arial" w:hAnsi="Arial" w:cs="Arial"/>
                <w:sz w:val="18"/>
                <w:szCs w:val="18"/>
                <w:lang w:val="en-US"/>
              </w:rPr>
            </w:pPr>
            <w:bookmarkStart w:id="430" w:name="_Toc5027022"/>
            <w:r w:rsidRPr="00BD295E">
              <w:rPr>
                <w:rFonts w:ascii="Arial" w:hAnsi="Arial" w:cs="Arial"/>
                <w:sz w:val="18"/>
                <w:szCs w:val="18"/>
                <w:lang w:val="en-US"/>
              </w:rPr>
              <w:t>The Company implements a range of measures to prepare its grid facilities for the heat deficit period (including the issuance of Certificates of Preparedness).</w:t>
            </w:r>
            <w:bookmarkEnd w:id="430"/>
            <w:r w:rsidRPr="00BD295E">
              <w:rPr>
                <w:rFonts w:ascii="Arial" w:hAnsi="Arial" w:cs="Arial"/>
                <w:sz w:val="18"/>
                <w:szCs w:val="18"/>
                <w:lang w:val="en-US"/>
              </w:rPr>
              <w:t xml:space="preserve"> </w:t>
            </w:r>
          </w:p>
          <w:p w14:paraId="569F6530" w14:textId="77777777" w:rsidR="00F3260C" w:rsidRPr="00BD295E" w:rsidRDefault="008A5057" w:rsidP="009E7B27">
            <w:pPr>
              <w:jc w:val="both"/>
              <w:rPr>
                <w:rFonts w:ascii="Arial" w:hAnsi="Arial" w:cs="Arial"/>
                <w:sz w:val="18"/>
                <w:szCs w:val="18"/>
                <w:lang w:val="en-US"/>
              </w:rPr>
            </w:pPr>
            <w:r w:rsidRPr="00BD295E">
              <w:rPr>
                <w:rFonts w:ascii="Arial" w:hAnsi="Arial" w:cs="Arial"/>
                <w:sz w:val="18"/>
                <w:szCs w:val="18"/>
                <w:lang w:val="en-US"/>
              </w:rPr>
              <w:t>The Company is implementing a program to reduce the risk of injuries at electric grid facilities, as well as to train, monitor, and certify its employees.</w:t>
            </w:r>
          </w:p>
          <w:p w14:paraId="3BF9BC80" w14:textId="77777777" w:rsidR="00F3260C" w:rsidRPr="00BD295E" w:rsidRDefault="008A5057" w:rsidP="009E7B27">
            <w:pPr>
              <w:jc w:val="both"/>
              <w:rPr>
                <w:rFonts w:ascii="Arial" w:hAnsi="Arial" w:cs="Arial"/>
                <w:sz w:val="18"/>
                <w:szCs w:val="18"/>
                <w:lang w:val="en-US"/>
              </w:rPr>
            </w:pPr>
            <w:r w:rsidRPr="00BD295E">
              <w:rPr>
                <w:rFonts w:ascii="Arial" w:hAnsi="Arial" w:cs="Arial"/>
                <w:sz w:val="18"/>
                <w:szCs w:val="18"/>
                <w:lang w:val="en-US"/>
              </w:rPr>
              <w:t>The Company operates, develops, and continuously improves its integrated management system certified to ISO 9001:2015, ISO 14001:2015, ISO 45001:2018, and the corresponding national standards.</w:t>
            </w:r>
          </w:p>
          <w:p w14:paraId="76C16113" w14:textId="77777777" w:rsidR="00F3260C" w:rsidRPr="00BD295E" w:rsidRDefault="008A5057" w:rsidP="009E7B27">
            <w:pPr>
              <w:jc w:val="both"/>
              <w:rPr>
                <w:rFonts w:ascii="Arial" w:hAnsi="Arial" w:cs="Arial"/>
                <w:sz w:val="18"/>
                <w:szCs w:val="18"/>
                <w:lang w:val="en-US"/>
              </w:rPr>
            </w:pPr>
            <w:r w:rsidRPr="00BD295E">
              <w:rPr>
                <w:rFonts w:ascii="Arial" w:hAnsi="Arial" w:cs="Arial"/>
                <w:sz w:val="18"/>
                <w:szCs w:val="18"/>
                <w:lang w:val="en-US"/>
              </w:rPr>
              <w:t>Electric grid facilities are being upgraded, renovated, and new facilities are built. The repair and maintenance policy is being improved with advanced equipment diagnostics methods being introduced.</w:t>
            </w:r>
          </w:p>
        </w:tc>
        <w:tc>
          <w:tcPr>
            <w:tcW w:w="1559" w:type="dxa"/>
            <w:shd w:val="clear" w:color="auto" w:fill="auto"/>
          </w:tcPr>
          <w:p w14:paraId="73B6094A" w14:textId="3BC49533"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60800" behindDoc="0" locked="0" layoutInCell="1" allowOverlap="1" wp14:anchorId="6873159A" wp14:editId="441A3087">
                      <wp:simplePos x="0" y="0"/>
                      <wp:positionH relativeFrom="margin">
                        <wp:posOffset>283210</wp:posOffset>
                      </wp:positionH>
                      <wp:positionV relativeFrom="margin">
                        <wp:posOffset>19050</wp:posOffset>
                      </wp:positionV>
                      <wp:extent cx="270510" cy="278130"/>
                      <wp:effectExtent l="19685" t="16510" r="14605" b="19685"/>
                      <wp:wrapSquare wrapText="bothSides"/>
                      <wp:docPr id="448" name="Овал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FFC000"/>
                              </a:solidFill>
                              <a:ln w="25400" algn="ctr">
                                <a:solidFill>
                                  <a:srgbClr val="B66D31"/>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FC719FF" id="Овал 47" o:spid="_x0000_s1026" style="position:absolute;margin-left:22.3pt;margin-top:1.5pt;width:21.3pt;height:21.9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" fillcolor="#ffc000" strokecolor="#b66d31" strokeweight="2pt">
                      <w10:wrap type="square" anchorx="margin" anchory="margin"/>
                    </v:oval>
                  </w:pict>
                </mc:Fallback>
              </mc:AlternateContent>
            </w:r>
          </w:p>
          <w:p w14:paraId="298F5199" w14:textId="77777777" w:rsidR="00F3260C" w:rsidRPr="00BD295E" w:rsidRDefault="00F3260C" w:rsidP="0031297B">
            <w:pPr>
              <w:ind w:firstLine="709"/>
              <w:jc w:val="both"/>
              <w:rPr>
                <w:rFonts w:ascii="Arial" w:hAnsi="Arial" w:cs="Arial"/>
                <w:sz w:val="18"/>
                <w:szCs w:val="18"/>
                <w:lang w:val="en-US"/>
              </w:rPr>
            </w:pPr>
          </w:p>
          <w:p w14:paraId="7A3A1BD7" w14:textId="77777777" w:rsidR="00F3260C" w:rsidRPr="00BD295E" w:rsidRDefault="00F3260C" w:rsidP="0031297B">
            <w:pPr>
              <w:ind w:firstLine="709"/>
              <w:jc w:val="both"/>
              <w:rPr>
                <w:rFonts w:ascii="Arial" w:hAnsi="Arial" w:cs="Arial"/>
                <w:sz w:val="18"/>
                <w:szCs w:val="18"/>
                <w:lang w:val="en-US"/>
              </w:rPr>
            </w:pPr>
          </w:p>
          <w:p w14:paraId="224B0F54" w14:textId="77777777" w:rsidR="00F3260C" w:rsidRPr="00BD295E" w:rsidRDefault="00F3260C" w:rsidP="0031297B">
            <w:pPr>
              <w:ind w:firstLine="709"/>
              <w:jc w:val="both"/>
              <w:rPr>
                <w:rFonts w:ascii="Arial" w:hAnsi="Arial" w:cs="Arial"/>
                <w:sz w:val="18"/>
                <w:szCs w:val="18"/>
                <w:lang w:val="en-US"/>
              </w:rPr>
            </w:pPr>
          </w:p>
          <w:p w14:paraId="3497C5AF" w14:textId="77777777" w:rsidR="00F3260C" w:rsidRPr="00BD295E" w:rsidRDefault="00F3260C" w:rsidP="0031297B">
            <w:pPr>
              <w:ind w:firstLine="709"/>
              <w:jc w:val="both"/>
              <w:rPr>
                <w:rFonts w:ascii="Arial" w:hAnsi="Arial" w:cs="Arial"/>
                <w:sz w:val="18"/>
                <w:szCs w:val="18"/>
                <w:lang w:val="en-US"/>
              </w:rPr>
            </w:pPr>
          </w:p>
        </w:tc>
      </w:tr>
      <w:tr w:rsidR="008A5057" w:rsidRPr="00BD295E" w14:paraId="11A1F6DE" w14:textId="77777777" w:rsidTr="0031297B">
        <w:trPr>
          <w:cantSplit/>
          <w:trHeight w:val="20"/>
        </w:trPr>
        <w:tc>
          <w:tcPr>
            <w:tcW w:w="534" w:type="dxa"/>
            <w:shd w:val="clear" w:color="auto" w:fill="auto"/>
          </w:tcPr>
          <w:p w14:paraId="16E971A0"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17.</w:t>
            </w:r>
          </w:p>
        </w:tc>
        <w:tc>
          <w:tcPr>
            <w:tcW w:w="1984" w:type="dxa"/>
            <w:shd w:val="clear" w:color="auto" w:fill="auto"/>
          </w:tcPr>
          <w:p w14:paraId="14B8B416"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Environmental risks</w:t>
            </w:r>
          </w:p>
        </w:tc>
        <w:tc>
          <w:tcPr>
            <w:tcW w:w="4820" w:type="dxa"/>
            <w:shd w:val="clear" w:color="auto" w:fill="auto"/>
          </w:tcPr>
          <w:p w14:paraId="0CE162DF"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color w:val="auto"/>
                <w:sz w:val="18"/>
                <w:szCs w:val="18"/>
                <w:lang w:val="en-US"/>
              </w:rPr>
              <w:t xml:space="preserve">Environmental risks include potential harmful emissions from motor transport. </w:t>
            </w:r>
          </w:p>
          <w:p w14:paraId="3D9AC54D" w14:textId="77777777" w:rsidR="00F3260C" w:rsidRPr="00BD295E" w:rsidRDefault="008A5057" w:rsidP="0031297B">
            <w:pPr>
              <w:pStyle w:val="Default"/>
              <w:jc w:val="both"/>
              <w:rPr>
                <w:rFonts w:ascii="Arial" w:hAnsi="Arial" w:cs="Arial"/>
                <w:color w:val="auto"/>
                <w:sz w:val="18"/>
                <w:szCs w:val="18"/>
                <w:lang w:val="en-US"/>
              </w:rPr>
            </w:pPr>
            <w:r w:rsidRPr="00BD295E">
              <w:rPr>
                <w:rFonts w:ascii="Arial" w:hAnsi="Arial" w:cs="Arial"/>
                <w:color w:val="auto"/>
                <w:sz w:val="18"/>
                <w:szCs w:val="18"/>
                <w:lang w:val="en-US"/>
              </w:rPr>
              <w:t xml:space="preserve">Environmental risks may also arise from transformer oil leaks at substations in case of malfunctioning oil receivers, which may lead to pollution of the environment with petroleum products. </w:t>
            </w:r>
          </w:p>
          <w:p w14:paraId="758FEEF7" w14:textId="77777777" w:rsidR="00F3260C" w:rsidRPr="00BD295E" w:rsidRDefault="00F3260C" w:rsidP="0031297B">
            <w:pPr>
              <w:ind w:firstLine="709"/>
              <w:jc w:val="both"/>
              <w:rPr>
                <w:rFonts w:ascii="Arial" w:hAnsi="Arial" w:cs="Arial"/>
                <w:sz w:val="18"/>
                <w:szCs w:val="18"/>
                <w:lang w:val="en-US"/>
              </w:rPr>
            </w:pPr>
          </w:p>
        </w:tc>
        <w:tc>
          <w:tcPr>
            <w:tcW w:w="5528" w:type="dxa"/>
            <w:shd w:val="clear" w:color="auto" w:fill="auto"/>
          </w:tcPr>
          <w:p w14:paraId="2DCF6B53" w14:textId="77777777" w:rsidR="00F3260C" w:rsidRPr="00BD295E" w:rsidRDefault="008A5057" w:rsidP="0033027C">
            <w:pPr>
              <w:pStyle w:val="af3"/>
              <w:numPr>
                <w:ilvl w:val="0"/>
                <w:numId w:val="16"/>
              </w:numPr>
              <w:tabs>
                <w:tab w:val="left" w:pos="317"/>
              </w:tabs>
              <w:autoSpaceDE w:val="0"/>
              <w:autoSpaceDN w:val="0"/>
              <w:adjustRightInd w:val="0"/>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The Company implements its Environmental Policy aimed at minimizing the negative environmental impact of electric facilities and foster environmental safety in Saint Petersburg and the Leningrad Region. </w:t>
            </w:r>
          </w:p>
          <w:p w14:paraId="095510B8" w14:textId="77777777" w:rsidR="00F3260C" w:rsidRPr="00BD295E" w:rsidRDefault="008A5057" w:rsidP="0033027C">
            <w:pPr>
              <w:pStyle w:val="Default"/>
              <w:numPr>
                <w:ilvl w:val="0"/>
                <w:numId w:val="16"/>
              </w:numPr>
              <w:tabs>
                <w:tab w:val="left" w:pos="317"/>
              </w:tabs>
              <w:ind w:left="0" w:firstLine="0"/>
              <w:jc w:val="both"/>
              <w:rPr>
                <w:rFonts w:ascii="Arial" w:hAnsi="Arial" w:cs="Arial"/>
                <w:color w:val="auto"/>
                <w:sz w:val="18"/>
                <w:szCs w:val="18"/>
                <w:lang w:val="en-US"/>
              </w:rPr>
            </w:pPr>
            <w:r w:rsidRPr="00BD295E">
              <w:rPr>
                <w:rFonts w:ascii="Arial" w:hAnsi="Arial" w:cs="Arial"/>
                <w:color w:val="auto"/>
                <w:sz w:val="18"/>
                <w:szCs w:val="18"/>
                <w:lang w:val="en-US"/>
              </w:rPr>
              <w:t xml:space="preserve">Environmental risks are mitigated through a multi-year long-term program to replace oil circuit breakers in 6-110 kV distribution grids with vacuum and gas-insulated circuit breakers and install reclosers to reduce the process turnover of dielectric oils and prevent their discharge into the environment, while reducing expenses on waste oil disposal. </w:t>
            </w:r>
          </w:p>
          <w:p w14:paraId="1F6F13D9" w14:textId="77777777" w:rsidR="00F3260C" w:rsidRPr="00BD295E" w:rsidRDefault="008A5057" w:rsidP="0033027C">
            <w:pPr>
              <w:pStyle w:val="af3"/>
              <w:numPr>
                <w:ilvl w:val="0"/>
                <w:numId w:val="16"/>
              </w:numPr>
              <w:tabs>
                <w:tab w:val="left" w:pos="317"/>
              </w:tabs>
              <w:ind w:left="0" w:firstLine="0"/>
              <w:contextualSpacing w:val="0"/>
              <w:jc w:val="both"/>
              <w:rPr>
                <w:rFonts w:ascii="Arial" w:hAnsi="Arial" w:cs="Arial"/>
                <w:bCs/>
                <w:iCs/>
                <w:sz w:val="18"/>
                <w:szCs w:val="18"/>
                <w:lang w:val="en-US"/>
              </w:rPr>
            </w:pPr>
            <w:r w:rsidRPr="00BD295E">
              <w:rPr>
                <w:rFonts w:ascii="Arial" w:hAnsi="Arial" w:cs="Arial"/>
                <w:sz w:val="18"/>
                <w:szCs w:val="18"/>
                <w:lang w:val="en-US"/>
              </w:rPr>
              <w:t>Maximum allowable emissions at the enterprise’s sites and wastewater discharges are monitored, with waste timely disposed of.</w:t>
            </w:r>
          </w:p>
        </w:tc>
        <w:tc>
          <w:tcPr>
            <w:tcW w:w="1559" w:type="dxa"/>
            <w:shd w:val="clear" w:color="auto" w:fill="auto"/>
          </w:tcPr>
          <w:p w14:paraId="03593DBC" w14:textId="5CBB2B89"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50560" behindDoc="0" locked="0" layoutInCell="1" allowOverlap="1" wp14:anchorId="2210AE08" wp14:editId="1EF5F4C0">
                      <wp:simplePos x="0" y="0"/>
                      <wp:positionH relativeFrom="margin">
                        <wp:posOffset>283210</wp:posOffset>
                      </wp:positionH>
                      <wp:positionV relativeFrom="margin">
                        <wp:posOffset>19050</wp:posOffset>
                      </wp:positionV>
                      <wp:extent cx="270510" cy="278130"/>
                      <wp:effectExtent l="19685" t="13335" r="14605" b="13335"/>
                      <wp:wrapSquare wrapText="bothSides"/>
                      <wp:docPr id="14" name="Овал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9BBB59"/>
                              </a:solidFill>
                              <a:ln w="25400" algn="ctr">
                                <a:solidFill>
                                  <a:srgbClr val="71893F"/>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46D1CF7C" id="Овал 33" o:spid="_x0000_s1026" style="position:absolute;margin-left:22.3pt;margin-top:1.5pt;width:21.3pt;height:21.9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" fillcolor="#9bbb59" strokecolor="#71893f" strokeweight="2pt">
                      <w10:wrap type="square" anchorx="margin" anchory="margin"/>
                    </v:oval>
                  </w:pict>
                </mc:Fallback>
              </mc:AlternateContent>
            </w:r>
          </w:p>
        </w:tc>
      </w:tr>
      <w:tr w:rsidR="008A5057" w:rsidRPr="00BD295E" w14:paraId="65FF5D27" w14:textId="77777777" w:rsidTr="0031297B">
        <w:trPr>
          <w:cantSplit/>
          <w:trHeight w:val="20"/>
        </w:trPr>
        <w:tc>
          <w:tcPr>
            <w:tcW w:w="534" w:type="dxa"/>
            <w:shd w:val="clear" w:color="auto" w:fill="auto"/>
          </w:tcPr>
          <w:p w14:paraId="0D886484"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18.</w:t>
            </w:r>
          </w:p>
        </w:tc>
        <w:tc>
          <w:tcPr>
            <w:tcW w:w="1984" w:type="dxa"/>
            <w:shd w:val="clear" w:color="auto" w:fill="auto"/>
          </w:tcPr>
          <w:p w14:paraId="4484C277" w14:textId="77777777" w:rsidR="00F3260C" w:rsidRPr="00BD295E" w:rsidRDefault="008A5057" w:rsidP="0031297B">
            <w:pPr>
              <w:jc w:val="both"/>
              <w:rPr>
                <w:rFonts w:ascii="Arial" w:hAnsi="Arial" w:cs="Arial"/>
                <w:sz w:val="18"/>
                <w:szCs w:val="18"/>
                <w:lang w:val="en-US"/>
              </w:rPr>
            </w:pPr>
            <w:r w:rsidRPr="00BD295E">
              <w:rPr>
                <w:rFonts w:ascii="Arial" w:hAnsi="Arial" w:cs="Arial"/>
                <w:sz w:val="18"/>
                <w:szCs w:val="18"/>
                <w:lang w:val="en-US"/>
              </w:rPr>
              <w:t>Investment risk</w:t>
            </w:r>
          </w:p>
        </w:tc>
        <w:tc>
          <w:tcPr>
            <w:tcW w:w="4820" w:type="dxa"/>
            <w:shd w:val="clear" w:color="auto" w:fill="auto"/>
          </w:tcPr>
          <w:p w14:paraId="34253702" w14:textId="77777777" w:rsidR="00F3260C" w:rsidRPr="00BD295E" w:rsidRDefault="008A5057" w:rsidP="00CA2271">
            <w:pPr>
              <w:pStyle w:val="af3"/>
              <w:numPr>
                <w:ilvl w:val="0"/>
                <w:numId w:val="88"/>
              </w:numPr>
              <w:tabs>
                <w:tab w:val="left" w:pos="339"/>
              </w:tabs>
              <w:ind w:left="34" w:firstLine="0"/>
              <w:contextualSpacing w:val="0"/>
              <w:jc w:val="both"/>
              <w:rPr>
                <w:rFonts w:ascii="Arial" w:hAnsi="Arial" w:cs="Arial"/>
                <w:sz w:val="18"/>
                <w:szCs w:val="18"/>
                <w:lang w:val="en-US"/>
              </w:rPr>
            </w:pPr>
            <w:r w:rsidRPr="00BD295E">
              <w:rPr>
                <w:rFonts w:ascii="Arial" w:hAnsi="Arial" w:cs="Arial"/>
                <w:sz w:val="18"/>
                <w:szCs w:val="18"/>
                <w:lang w:val="en-US"/>
              </w:rPr>
              <w:t xml:space="preserve">The risk of failure to meet the target deadlines for commissioning the investment program facilities, including due to non-performance or delays in performance by contractors and suppliers of their obligations. </w:t>
            </w:r>
          </w:p>
          <w:p w14:paraId="12BC1129" w14:textId="77777777" w:rsidR="00F3260C" w:rsidRPr="00BD295E" w:rsidRDefault="008A5057" w:rsidP="00CA2271">
            <w:pPr>
              <w:pStyle w:val="af3"/>
              <w:numPr>
                <w:ilvl w:val="0"/>
                <w:numId w:val="88"/>
              </w:numPr>
              <w:tabs>
                <w:tab w:val="left" w:pos="339"/>
              </w:tabs>
              <w:ind w:left="34" w:firstLine="0"/>
              <w:contextualSpacing w:val="0"/>
              <w:jc w:val="both"/>
              <w:rPr>
                <w:rFonts w:ascii="Arial" w:hAnsi="Arial" w:cs="Arial"/>
                <w:sz w:val="18"/>
                <w:szCs w:val="18"/>
                <w:lang w:val="en-US"/>
              </w:rPr>
            </w:pPr>
            <w:r w:rsidRPr="00BD295E">
              <w:rPr>
                <w:rFonts w:ascii="Arial" w:hAnsi="Arial" w:cs="Arial"/>
                <w:sz w:val="18"/>
                <w:szCs w:val="18"/>
                <w:lang w:val="en-US"/>
              </w:rPr>
              <w:t xml:space="preserve">The risk of regulatory authorities applying requirements (penalties) that providing for a reduction in tariff revenue in the event of failure to deliver on the investment program. </w:t>
            </w:r>
          </w:p>
          <w:p w14:paraId="53EB05AB" w14:textId="77777777" w:rsidR="00F3260C" w:rsidRPr="00BD295E" w:rsidRDefault="008A5057" w:rsidP="00CA2271">
            <w:pPr>
              <w:pStyle w:val="af3"/>
              <w:numPr>
                <w:ilvl w:val="0"/>
                <w:numId w:val="88"/>
              </w:numPr>
              <w:tabs>
                <w:tab w:val="left" w:pos="339"/>
              </w:tabs>
              <w:ind w:left="34" w:firstLine="0"/>
              <w:contextualSpacing w:val="0"/>
              <w:jc w:val="both"/>
              <w:rPr>
                <w:rFonts w:ascii="Arial" w:hAnsi="Arial" w:cs="Arial"/>
                <w:sz w:val="18"/>
                <w:szCs w:val="18"/>
                <w:lang w:val="en-US"/>
              </w:rPr>
            </w:pPr>
            <w:r w:rsidRPr="00BD295E">
              <w:rPr>
                <w:rFonts w:ascii="Arial" w:hAnsi="Arial" w:cs="Arial"/>
                <w:sz w:val="18"/>
                <w:szCs w:val="18"/>
                <w:lang w:val="en-US"/>
              </w:rPr>
              <w:t xml:space="preserve">Risk of failing to achieve the target of reducing specific investment expenses in line with the relevant target set in the Strategy for the Development of the Electric Grid Sector of the Russian Federation, due to the fact that imported materials account for a certain share of investment expenses and due to rising prices for basic materials. </w:t>
            </w:r>
          </w:p>
        </w:tc>
        <w:tc>
          <w:tcPr>
            <w:tcW w:w="5528" w:type="dxa"/>
            <w:shd w:val="clear" w:color="auto" w:fill="auto"/>
          </w:tcPr>
          <w:p w14:paraId="7A455EAA" w14:textId="77777777" w:rsidR="00F3260C" w:rsidRPr="00BD295E" w:rsidRDefault="008A5057" w:rsidP="00CA2271">
            <w:pPr>
              <w:pStyle w:val="af3"/>
              <w:numPr>
                <w:ilvl w:val="0"/>
                <w:numId w:val="21"/>
              </w:numPr>
              <w:tabs>
                <w:tab w:val="left" w:pos="317"/>
              </w:tabs>
              <w:ind w:left="0" w:firstLine="0"/>
              <w:contextualSpacing w:val="0"/>
              <w:jc w:val="both"/>
              <w:rPr>
                <w:rFonts w:ascii="Arial" w:hAnsi="Arial" w:cs="Arial"/>
                <w:sz w:val="18"/>
                <w:szCs w:val="18"/>
                <w:lang w:val="en-US"/>
              </w:rPr>
            </w:pPr>
            <w:r w:rsidRPr="00BD295E">
              <w:rPr>
                <w:rFonts w:ascii="Arial" w:hAnsi="Arial" w:cs="Arial"/>
                <w:sz w:val="18"/>
                <w:szCs w:val="18"/>
                <w:lang w:val="en-US"/>
              </w:rPr>
              <w:t>Monitoring the investment program’s implementation and financing, analyzing the causes of deviation of actual performance under investment programs from targets.</w:t>
            </w:r>
          </w:p>
          <w:p w14:paraId="524D8F07" w14:textId="77777777" w:rsidR="00F3260C" w:rsidRPr="00BD295E" w:rsidRDefault="008A5057" w:rsidP="00CA2271">
            <w:pPr>
              <w:pStyle w:val="af3"/>
              <w:numPr>
                <w:ilvl w:val="0"/>
                <w:numId w:val="21"/>
              </w:numPr>
              <w:tabs>
                <w:tab w:val="left" w:pos="317"/>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Improving the capital construction process control and quality management system when implementing the investment program. </w:t>
            </w:r>
          </w:p>
          <w:p w14:paraId="0474CF58" w14:textId="77777777" w:rsidR="00F3260C" w:rsidRPr="00BD295E" w:rsidRDefault="008A5057" w:rsidP="00CA2271">
            <w:pPr>
              <w:pStyle w:val="af3"/>
              <w:numPr>
                <w:ilvl w:val="0"/>
                <w:numId w:val="21"/>
              </w:numPr>
              <w:tabs>
                <w:tab w:val="left" w:pos="317"/>
              </w:tabs>
              <w:ind w:left="0" w:firstLine="0"/>
              <w:contextualSpacing w:val="0"/>
              <w:jc w:val="both"/>
              <w:rPr>
                <w:rFonts w:ascii="Arial" w:eastAsia="Calibri" w:hAnsi="Arial" w:cs="Arial"/>
                <w:sz w:val="18"/>
                <w:szCs w:val="18"/>
                <w:lang w:val="en-US"/>
              </w:rPr>
            </w:pPr>
            <w:r w:rsidRPr="00BD295E">
              <w:rPr>
                <w:rFonts w:ascii="Arial" w:hAnsi="Arial" w:cs="Arial"/>
                <w:sz w:val="18"/>
                <w:szCs w:val="18"/>
                <w:lang w:val="en-US"/>
              </w:rPr>
              <w:t xml:space="preserve">Continuous control over the cost of construction per km and per MVA. </w:t>
            </w:r>
          </w:p>
          <w:p w14:paraId="1043279B" w14:textId="77777777" w:rsidR="00F3260C" w:rsidRPr="00BD295E" w:rsidRDefault="008A5057" w:rsidP="00CA2271">
            <w:pPr>
              <w:pStyle w:val="af3"/>
              <w:numPr>
                <w:ilvl w:val="0"/>
                <w:numId w:val="21"/>
              </w:numPr>
              <w:tabs>
                <w:tab w:val="left" w:pos="317"/>
              </w:tabs>
              <w:ind w:left="0" w:firstLine="0"/>
              <w:contextualSpacing w:val="0"/>
              <w:jc w:val="both"/>
              <w:rPr>
                <w:rFonts w:ascii="Arial" w:eastAsia="Calibri" w:hAnsi="Arial" w:cs="Arial"/>
                <w:sz w:val="18"/>
                <w:szCs w:val="18"/>
                <w:lang w:val="en-US"/>
              </w:rPr>
            </w:pPr>
            <w:r w:rsidRPr="00BD295E">
              <w:rPr>
                <w:rFonts w:ascii="Arial" w:hAnsi="Arial" w:cs="Arial"/>
                <w:sz w:val="18"/>
                <w:szCs w:val="18"/>
                <w:lang w:val="en-US"/>
              </w:rPr>
              <w:t xml:space="preserve">Implementing an import substitution plan to reduce dependence on imported equipment, technical devices, components, etc., </w:t>
            </w:r>
          </w:p>
        </w:tc>
        <w:tc>
          <w:tcPr>
            <w:tcW w:w="1559" w:type="dxa"/>
            <w:shd w:val="clear" w:color="auto" w:fill="auto"/>
          </w:tcPr>
          <w:p w14:paraId="7B532778" w14:textId="4180C227" w:rsidR="00F3260C" w:rsidRPr="00BD295E" w:rsidRDefault="00997D07" w:rsidP="0031297B">
            <w:pPr>
              <w:ind w:firstLine="709"/>
              <w:jc w:val="both"/>
              <w:rPr>
                <w:rFonts w:ascii="Arial" w:hAnsi="Arial" w:cs="Arial"/>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70016" behindDoc="0" locked="0" layoutInCell="1" allowOverlap="1" wp14:anchorId="74F130C2" wp14:editId="6430DC50">
                      <wp:simplePos x="0" y="0"/>
                      <wp:positionH relativeFrom="margin">
                        <wp:posOffset>283210</wp:posOffset>
                      </wp:positionH>
                      <wp:positionV relativeFrom="margin">
                        <wp:posOffset>19050</wp:posOffset>
                      </wp:positionV>
                      <wp:extent cx="270510" cy="278130"/>
                      <wp:effectExtent l="19685" t="16510" r="14605" b="19685"/>
                      <wp:wrapSquare wrapText="bothSides"/>
                      <wp:docPr id="11" name="Овал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8130"/>
                              </a:xfrm>
                              <a:prstGeom prst="ellipse">
                                <a:avLst/>
                              </a:prstGeom>
                              <a:solidFill>
                                <a:srgbClr val="FFC000"/>
                              </a:solidFill>
                              <a:ln w="25400" algn="ctr">
                                <a:solidFill>
                                  <a:srgbClr val="B66D31"/>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3AA69ED8" id="Овал 71" o:spid="_x0000_s1026" style="position:absolute;margin-left:22.3pt;margin-top:1.5pt;width:21.3pt;height:21.9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" fillcolor="#ffc000" strokecolor="#b66d31" strokeweight="2pt">
                      <w10:wrap type="square" anchorx="margin" anchory="margin"/>
                    </v:oval>
                  </w:pict>
                </mc:Fallback>
              </mc:AlternateContent>
            </w:r>
          </w:p>
          <w:p w14:paraId="401E0F58" w14:textId="77777777" w:rsidR="00F3260C" w:rsidRPr="00BD295E" w:rsidRDefault="00F3260C" w:rsidP="0031297B">
            <w:pPr>
              <w:ind w:firstLine="709"/>
              <w:jc w:val="both"/>
              <w:rPr>
                <w:rFonts w:ascii="Arial" w:hAnsi="Arial" w:cs="Arial"/>
                <w:sz w:val="18"/>
                <w:szCs w:val="18"/>
                <w:lang w:val="en-US"/>
              </w:rPr>
            </w:pPr>
          </w:p>
          <w:p w14:paraId="5C3F7A69" w14:textId="77777777" w:rsidR="00F3260C" w:rsidRPr="00BD295E" w:rsidRDefault="00F3260C" w:rsidP="0031297B">
            <w:pPr>
              <w:ind w:firstLine="709"/>
              <w:jc w:val="both"/>
              <w:rPr>
                <w:rFonts w:ascii="Arial" w:hAnsi="Arial" w:cs="Arial"/>
                <w:sz w:val="18"/>
                <w:szCs w:val="18"/>
                <w:lang w:val="en-US"/>
              </w:rPr>
            </w:pPr>
          </w:p>
          <w:p w14:paraId="0A47E703" w14:textId="77777777" w:rsidR="00F3260C" w:rsidRPr="00BD295E" w:rsidRDefault="00F3260C" w:rsidP="0031297B">
            <w:pPr>
              <w:ind w:firstLine="709"/>
              <w:jc w:val="both"/>
              <w:rPr>
                <w:rFonts w:ascii="Arial" w:hAnsi="Arial" w:cs="Arial"/>
                <w:sz w:val="18"/>
                <w:szCs w:val="18"/>
                <w:lang w:val="en-US"/>
              </w:rPr>
            </w:pPr>
          </w:p>
          <w:p w14:paraId="037621E7" w14:textId="77777777" w:rsidR="00F3260C" w:rsidRPr="00BD295E" w:rsidRDefault="00F3260C" w:rsidP="0031297B">
            <w:pPr>
              <w:ind w:firstLine="709"/>
              <w:jc w:val="both"/>
              <w:rPr>
                <w:rFonts w:ascii="Arial" w:hAnsi="Arial" w:cs="Arial"/>
                <w:sz w:val="18"/>
                <w:szCs w:val="18"/>
                <w:lang w:val="en-US"/>
              </w:rPr>
            </w:pPr>
          </w:p>
        </w:tc>
      </w:tr>
    </w:tbl>
    <w:p w14:paraId="10A590E4" w14:textId="77777777" w:rsidR="00F3260C" w:rsidRPr="00BD295E" w:rsidRDefault="00F3260C" w:rsidP="00F3260C">
      <w:pPr>
        <w:ind w:firstLine="709"/>
        <w:jc w:val="center"/>
        <w:rPr>
          <w:rFonts w:ascii="Arial" w:hAnsi="Arial" w:cs="Arial"/>
          <w:b/>
          <w:bCs/>
          <w:sz w:val="18"/>
          <w:szCs w:val="18"/>
          <w:lang w:val="en-US"/>
        </w:rPr>
        <w:sectPr w:rsidR="00F3260C" w:rsidRPr="00BD295E" w:rsidSect="0031297B">
          <w:pgSz w:w="16838" w:h="11906" w:orient="landscape"/>
          <w:pgMar w:top="1701" w:right="1134" w:bottom="851" w:left="1134" w:header="709" w:footer="709" w:gutter="0"/>
          <w:cols w:space="708"/>
          <w:docGrid w:linePitch="360"/>
        </w:sectPr>
      </w:pPr>
    </w:p>
    <w:p w14:paraId="2C616385" w14:textId="215AA9EB" w:rsidR="00F3260C" w:rsidRPr="00BD295E" w:rsidRDefault="008A5057" w:rsidP="00F3260C">
      <w:pPr>
        <w:tabs>
          <w:tab w:val="left" w:pos="1276"/>
        </w:tabs>
        <w:ind w:firstLine="709"/>
        <w:jc w:val="center"/>
        <w:rPr>
          <w:rFonts w:ascii="Arial" w:eastAsia="Calibri" w:hAnsi="Arial" w:cs="Arial"/>
          <w:b/>
          <w:sz w:val="18"/>
          <w:szCs w:val="18"/>
          <w:lang w:val="en-US"/>
        </w:rPr>
      </w:pPr>
      <w:r w:rsidRPr="00BD295E">
        <w:rPr>
          <w:rFonts w:ascii="Arial" w:hAnsi="Arial" w:cs="Arial"/>
          <w:b/>
          <w:sz w:val="18"/>
          <w:szCs w:val="18"/>
          <w:lang w:val="en-US"/>
        </w:rPr>
        <w:t>Assessment of risk materiality</w:t>
      </w:r>
    </w:p>
    <w:p w14:paraId="2F33ADD9" w14:textId="52EBE469" w:rsidR="00F3260C" w:rsidRPr="00BD295E" w:rsidRDefault="00BE7F4E" w:rsidP="00F3260C">
      <w:pPr>
        <w:ind w:firstLine="709"/>
        <w:jc w:val="center"/>
        <w:rPr>
          <w:rFonts w:ascii="Arial" w:hAnsi="Arial" w:cs="Arial"/>
          <w:b/>
          <w:sz w:val="18"/>
          <w:szCs w:val="18"/>
          <w:lang w:val="en-US"/>
        </w:rPr>
      </w:pP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57760" behindDoc="0" locked="0" layoutInCell="1" allowOverlap="1" wp14:anchorId="3EA6717A" wp14:editId="756819DF">
                <wp:simplePos x="0" y="0"/>
                <wp:positionH relativeFrom="margin">
                  <wp:posOffset>1457569</wp:posOffset>
                </wp:positionH>
                <wp:positionV relativeFrom="paragraph">
                  <wp:posOffset>1102817</wp:posOffset>
                </wp:positionV>
                <wp:extent cx="2075435" cy="244237"/>
                <wp:effectExtent l="0" t="0" r="1270" b="3810"/>
                <wp:wrapNone/>
                <wp:docPr id="5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435" cy="244237"/>
                        </a:xfrm>
                        <a:prstGeom prst="rect">
                          <a:avLst/>
                        </a:prstGeom>
                        <a:solidFill>
                          <a:schemeClr val="bg1"/>
                        </a:solidFill>
                        <a:ln w="9525">
                          <a:noFill/>
                          <a:miter lim="800000"/>
                          <a:headEnd/>
                          <a:tailEnd/>
                        </a:ln>
                      </wps:spPr>
                      <wps:txbx>
                        <w:txbxContent>
                          <w:p w14:paraId="52CE9487" w14:textId="1CE0A3A0" w:rsidR="002C3947" w:rsidRPr="00BE7F4E" w:rsidRDefault="002C3947" w:rsidP="00BE7F4E">
                            <w:pPr>
                              <w:jc w:val="right"/>
                              <w:rPr>
                                <w:sz w:val="18"/>
                                <w:szCs w:val="28"/>
                              </w:rPr>
                            </w:pPr>
                            <w:r>
                              <w:rPr>
                                <w:sz w:val="18"/>
                                <w:szCs w:val="28"/>
                              </w:rPr>
                              <w:t xml:space="preserve">Ecological </w:t>
                            </w:r>
                            <w:r w:rsidRPr="00BE7F4E">
                              <w:rPr>
                                <w:sz w:val="18"/>
                                <w:szCs w:val="28"/>
                              </w:rPr>
                              <w:t>risk</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A6717A" id="_x0000_s1184" type="#_x0000_t202" style="position:absolute;left:0;text-align:left;margin-left:114.75pt;margin-top:86.85pt;width:163.4pt;height:19.25pt;z-index:25195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" fillcolor="white [3212]" stroked="f">
                <v:textbox inset="0,0,0,0">
                  <w:txbxContent>
                    <w:p w14:paraId="52CE9487" w14:textId="1CE0A3A0" w:rsidR="002C3947" w:rsidRPr="00BE7F4E" w:rsidRDefault="002C3947" w:rsidP="00BE7F4E">
                      <w:pPr>
                        <w:jc w:val="right"/>
                        <w:rPr>
                          <w:sz w:val="18"/>
                          <w:szCs w:val="28"/>
                        </w:rPr>
                      </w:pPr>
                      <w:r>
                        <w:rPr>
                          <w:sz w:val="18"/>
                          <w:szCs w:val="28"/>
                        </w:rPr>
                        <w:t xml:space="preserve">Ecological </w:t>
                      </w:r>
                      <w:r w:rsidRPr="00BE7F4E">
                        <w:rPr>
                          <w:sz w:val="18"/>
                          <w:szCs w:val="28"/>
                        </w:rPr>
                        <w:t>risk</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55712" behindDoc="0" locked="0" layoutInCell="1" allowOverlap="1" wp14:anchorId="04465BF7" wp14:editId="48936D7D">
                <wp:simplePos x="0" y="0"/>
                <wp:positionH relativeFrom="margin">
                  <wp:posOffset>2088984</wp:posOffset>
                </wp:positionH>
                <wp:positionV relativeFrom="paragraph">
                  <wp:posOffset>736536</wp:posOffset>
                </wp:positionV>
                <wp:extent cx="2075435" cy="244237"/>
                <wp:effectExtent l="0" t="0" r="1270" b="3810"/>
                <wp:wrapNone/>
                <wp:docPr id="5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435" cy="244237"/>
                        </a:xfrm>
                        <a:prstGeom prst="rect">
                          <a:avLst/>
                        </a:prstGeom>
                        <a:solidFill>
                          <a:schemeClr val="bg1"/>
                        </a:solidFill>
                        <a:ln w="9525">
                          <a:noFill/>
                          <a:miter lim="800000"/>
                          <a:headEnd/>
                          <a:tailEnd/>
                        </a:ln>
                      </wps:spPr>
                      <wps:txbx>
                        <w:txbxContent>
                          <w:p w14:paraId="410C364C" w14:textId="1E769DCB" w:rsidR="002C3947" w:rsidRPr="00BE7F4E" w:rsidRDefault="002C3947" w:rsidP="00BE7F4E">
                            <w:pPr>
                              <w:jc w:val="right"/>
                              <w:rPr>
                                <w:sz w:val="18"/>
                                <w:szCs w:val="28"/>
                              </w:rPr>
                            </w:pPr>
                            <w:r w:rsidRPr="00BE7F4E">
                              <w:rPr>
                                <w:sz w:val="18"/>
                                <w:szCs w:val="28"/>
                              </w:rPr>
                              <w:t>Investment risk</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465BF7" id="_x0000_s1185" type="#_x0000_t202" style="position:absolute;left:0;text-align:left;margin-left:164.5pt;margin-top:58pt;width:163.4pt;height:19.25pt;z-index:25195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" fillcolor="white [3212]" stroked="f">
                <v:textbox inset="0,0,0,0">
                  <w:txbxContent>
                    <w:p w14:paraId="410C364C" w14:textId="1E769DCB" w:rsidR="002C3947" w:rsidRPr="00BE7F4E" w:rsidRDefault="002C3947" w:rsidP="00BE7F4E">
                      <w:pPr>
                        <w:jc w:val="right"/>
                        <w:rPr>
                          <w:sz w:val="18"/>
                          <w:szCs w:val="28"/>
                        </w:rPr>
                      </w:pPr>
                      <w:r w:rsidRPr="00BE7F4E">
                        <w:rPr>
                          <w:sz w:val="18"/>
                          <w:szCs w:val="28"/>
                        </w:rPr>
                        <w:t>Investment risk</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53664" behindDoc="0" locked="0" layoutInCell="1" allowOverlap="1" wp14:anchorId="18FF44C6" wp14:editId="6685F519">
                <wp:simplePos x="0" y="0"/>
                <wp:positionH relativeFrom="margin">
                  <wp:posOffset>972156</wp:posOffset>
                </wp:positionH>
                <wp:positionV relativeFrom="paragraph">
                  <wp:posOffset>1719309</wp:posOffset>
                </wp:positionV>
                <wp:extent cx="2075435" cy="244237"/>
                <wp:effectExtent l="0" t="0" r="1270" b="3810"/>
                <wp:wrapNone/>
                <wp:docPr id="5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435" cy="244237"/>
                        </a:xfrm>
                        <a:prstGeom prst="rect">
                          <a:avLst/>
                        </a:prstGeom>
                        <a:solidFill>
                          <a:schemeClr val="bg1"/>
                        </a:solidFill>
                        <a:ln w="9525">
                          <a:noFill/>
                          <a:miter lim="800000"/>
                          <a:headEnd/>
                          <a:tailEnd/>
                        </a:ln>
                      </wps:spPr>
                      <wps:txbx>
                        <w:txbxContent>
                          <w:p w14:paraId="657C21A5" w14:textId="126DBB09" w:rsidR="002C3947" w:rsidRPr="00BE7F4E" w:rsidRDefault="002C3947" w:rsidP="00BE7F4E">
                            <w:pPr>
                              <w:jc w:val="right"/>
                              <w:rPr>
                                <w:sz w:val="18"/>
                                <w:szCs w:val="28"/>
                              </w:rPr>
                            </w:pPr>
                            <w:r w:rsidRPr="00BE7F4E">
                              <w:rPr>
                                <w:sz w:val="18"/>
                                <w:szCs w:val="28"/>
                              </w:rPr>
                              <w:t>Operational risks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8FF44C6" id="_x0000_s1186" type="#_x0000_t202" style="position:absolute;left:0;text-align:left;margin-left:76.55pt;margin-top:135.4pt;width:163.4pt;height:19.25pt;z-index:25195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" fillcolor="white [3212]" stroked="f">
                <v:textbox inset="0,0,0,0">
                  <w:txbxContent>
                    <w:p w14:paraId="657C21A5" w14:textId="126DBB09" w:rsidR="002C3947" w:rsidRPr="00BE7F4E" w:rsidRDefault="002C3947" w:rsidP="00BE7F4E">
                      <w:pPr>
                        <w:jc w:val="right"/>
                        <w:rPr>
                          <w:sz w:val="18"/>
                          <w:szCs w:val="28"/>
                        </w:rPr>
                      </w:pPr>
                      <w:r w:rsidRPr="00BE7F4E">
                        <w:rPr>
                          <w:sz w:val="18"/>
                          <w:szCs w:val="28"/>
                        </w:rPr>
                        <w:t>Operational risks</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51616" behindDoc="0" locked="0" layoutInCell="1" allowOverlap="1" wp14:anchorId="25464D32" wp14:editId="5AE39B99">
                <wp:simplePos x="0" y="0"/>
                <wp:positionH relativeFrom="margin">
                  <wp:posOffset>741680</wp:posOffset>
                </wp:positionH>
                <wp:positionV relativeFrom="paragraph">
                  <wp:posOffset>2412123</wp:posOffset>
                </wp:positionV>
                <wp:extent cx="2075435" cy="244237"/>
                <wp:effectExtent l="0" t="0" r="1270" b="3810"/>
                <wp:wrapNone/>
                <wp:docPr id="5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435" cy="244237"/>
                        </a:xfrm>
                        <a:prstGeom prst="rect">
                          <a:avLst/>
                        </a:prstGeom>
                        <a:solidFill>
                          <a:schemeClr val="bg1"/>
                        </a:solidFill>
                        <a:ln w="9525">
                          <a:noFill/>
                          <a:miter lim="800000"/>
                          <a:headEnd/>
                          <a:tailEnd/>
                        </a:ln>
                      </wps:spPr>
                      <wps:txbx>
                        <w:txbxContent>
                          <w:p w14:paraId="5C7DC63D" w14:textId="638B4E04" w:rsidR="002C3947" w:rsidRPr="00BE7F4E" w:rsidRDefault="002C3947" w:rsidP="00BE7F4E">
                            <w:pPr>
                              <w:jc w:val="right"/>
                              <w:rPr>
                                <w:sz w:val="18"/>
                                <w:szCs w:val="28"/>
                              </w:rPr>
                            </w:pPr>
                            <w:r w:rsidRPr="00BE7F4E">
                              <w:rPr>
                                <w:sz w:val="18"/>
                                <w:szCs w:val="28"/>
                              </w:rPr>
                              <w:t>Strategic risk</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464D32" id="_x0000_s1187" type="#_x0000_t202" style="position:absolute;left:0;text-align:left;margin-left:58.4pt;margin-top:189.95pt;width:163.4pt;height:19.25pt;z-index:25195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" fillcolor="white [3212]" stroked="f">
                <v:textbox inset="0,0,0,0">
                  <w:txbxContent>
                    <w:p w14:paraId="5C7DC63D" w14:textId="638B4E04" w:rsidR="002C3947" w:rsidRPr="00BE7F4E" w:rsidRDefault="002C3947" w:rsidP="00BE7F4E">
                      <w:pPr>
                        <w:jc w:val="right"/>
                        <w:rPr>
                          <w:sz w:val="18"/>
                          <w:szCs w:val="28"/>
                        </w:rPr>
                      </w:pPr>
                      <w:r w:rsidRPr="00BE7F4E">
                        <w:rPr>
                          <w:sz w:val="18"/>
                          <w:szCs w:val="28"/>
                        </w:rPr>
                        <w:t>Strategic risk</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49568" behindDoc="0" locked="0" layoutInCell="1" allowOverlap="1" wp14:anchorId="5ED05973" wp14:editId="58464772">
                <wp:simplePos x="0" y="0"/>
                <wp:positionH relativeFrom="margin">
                  <wp:posOffset>724483</wp:posOffset>
                </wp:positionH>
                <wp:positionV relativeFrom="paragraph">
                  <wp:posOffset>3131075</wp:posOffset>
                </wp:positionV>
                <wp:extent cx="2075435" cy="244237"/>
                <wp:effectExtent l="0" t="0" r="1270" b="3810"/>
                <wp:wrapNone/>
                <wp:docPr id="5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435" cy="244237"/>
                        </a:xfrm>
                        <a:prstGeom prst="rect">
                          <a:avLst/>
                        </a:prstGeom>
                        <a:solidFill>
                          <a:schemeClr val="bg1"/>
                        </a:solidFill>
                        <a:ln w="9525">
                          <a:noFill/>
                          <a:miter lim="800000"/>
                          <a:headEnd/>
                          <a:tailEnd/>
                        </a:ln>
                      </wps:spPr>
                      <wps:txbx>
                        <w:txbxContent>
                          <w:p w14:paraId="261D33EC" w14:textId="0B8C2FA1" w:rsidR="002C3947" w:rsidRPr="00BE7F4E" w:rsidRDefault="002C3947" w:rsidP="00BE7F4E">
                            <w:pPr>
                              <w:jc w:val="right"/>
                              <w:rPr>
                                <w:sz w:val="18"/>
                                <w:szCs w:val="28"/>
                              </w:rPr>
                            </w:pPr>
                            <w:r w:rsidRPr="00BE7F4E">
                              <w:rPr>
                                <w:sz w:val="18"/>
                                <w:szCs w:val="28"/>
                              </w:rPr>
                              <w:t>Reputational risk</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D05973" id="_x0000_s1188" type="#_x0000_t202" style="position:absolute;left:0;text-align:left;margin-left:57.05pt;margin-top:246.55pt;width:163.4pt;height:19.25pt;z-index:251949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" fillcolor="white [3212]" stroked="f">
                <v:textbox inset="0,0,0,0">
                  <w:txbxContent>
                    <w:p w14:paraId="261D33EC" w14:textId="0B8C2FA1" w:rsidR="002C3947" w:rsidRPr="00BE7F4E" w:rsidRDefault="002C3947" w:rsidP="00BE7F4E">
                      <w:pPr>
                        <w:jc w:val="right"/>
                        <w:rPr>
                          <w:sz w:val="18"/>
                          <w:szCs w:val="28"/>
                        </w:rPr>
                      </w:pPr>
                      <w:r w:rsidRPr="00BE7F4E">
                        <w:rPr>
                          <w:sz w:val="18"/>
                          <w:szCs w:val="28"/>
                        </w:rPr>
                        <w:t>Reputational risk</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47520" behindDoc="0" locked="0" layoutInCell="1" allowOverlap="1" wp14:anchorId="73160FDB" wp14:editId="48506769">
                <wp:simplePos x="0" y="0"/>
                <wp:positionH relativeFrom="margin">
                  <wp:posOffset>816841</wp:posOffset>
                </wp:positionH>
                <wp:positionV relativeFrom="paragraph">
                  <wp:posOffset>3875756</wp:posOffset>
                </wp:positionV>
                <wp:extent cx="2233876" cy="244237"/>
                <wp:effectExtent l="0" t="0" r="0" b="3810"/>
                <wp:wrapNone/>
                <wp:docPr id="5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876" cy="244237"/>
                        </a:xfrm>
                        <a:prstGeom prst="rect">
                          <a:avLst/>
                        </a:prstGeom>
                        <a:solidFill>
                          <a:schemeClr val="bg1"/>
                        </a:solidFill>
                        <a:ln w="9525">
                          <a:noFill/>
                          <a:miter lim="800000"/>
                          <a:headEnd/>
                          <a:tailEnd/>
                        </a:ln>
                      </wps:spPr>
                      <wps:txbx>
                        <w:txbxContent>
                          <w:p w14:paraId="2CB606E1" w14:textId="3DD0C200" w:rsidR="002C3947" w:rsidRPr="00BE7F4E" w:rsidRDefault="002C3947" w:rsidP="00BE7F4E">
                            <w:pPr>
                              <w:jc w:val="right"/>
                              <w:rPr>
                                <w:sz w:val="18"/>
                                <w:szCs w:val="28"/>
                              </w:rPr>
                            </w:pPr>
                            <w:r w:rsidRPr="00BE7F4E">
                              <w:rPr>
                                <w:sz w:val="18"/>
                                <w:szCs w:val="28"/>
                              </w:rPr>
                              <w:t>Changes to judicial practice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160FDB" id="_x0000_s1189" type="#_x0000_t202" style="position:absolute;left:0;text-align:left;margin-left:64.3pt;margin-top:305.2pt;width:175.9pt;height:19.25pt;z-index:25194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" fillcolor="white [3212]" stroked="f">
                <v:textbox inset="0,0,0,0">
                  <w:txbxContent>
                    <w:p w14:paraId="2CB606E1" w14:textId="3DD0C200" w:rsidR="002C3947" w:rsidRPr="00BE7F4E" w:rsidRDefault="002C3947" w:rsidP="00BE7F4E">
                      <w:pPr>
                        <w:jc w:val="right"/>
                        <w:rPr>
                          <w:sz w:val="18"/>
                          <w:szCs w:val="28"/>
                        </w:rPr>
                      </w:pPr>
                      <w:r w:rsidRPr="00BE7F4E">
                        <w:rPr>
                          <w:sz w:val="18"/>
                          <w:szCs w:val="28"/>
                        </w:rPr>
                        <w:t>Changes to judicial practice</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45472" behindDoc="0" locked="0" layoutInCell="1" allowOverlap="1" wp14:anchorId="46BC526B" wp14:editId="379C8C01">
                <wp:simplePos x="0" y="0"/>
                <wp:positionH relativeFrom="margin">
                  <wp:posOffset>1284442</wp:posOffset>
                </wp:positionH>
                <wp:positionV relativeFrom="paragraph">
                  <wp:posOffset>4402895</wp:posOffset>
                </wp:positionV>
                <wp:extent cx="2233876" cy="244237"/>
                <wp:effectExtent l="0" t="0" r="0" b="3810"/>
                <wp:wrapNone/>
                <wp:docPr id="5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876" cy="244237"/>
                        </a:xfrm>
                        <a:prstGeom prst="rect">
                          <a:avLst/>
                        </a:prstGeom>
                        <a:solidFill>
                          <a:schemeClr val="bg1"/>
                        </a:solidFill>
                        <a:ln w="9525">
                          <a:noFill/>
                          <a:miter lim="800000"/>
                          <a:headEnd/>
                          <a:tailEnd/>
                        </a:ln>
                      </wps:spPr>
                      <wps:txbx>
                        <w:txbxContent>
                          <w:p w14:paraId="5A6FF0AC" w14:textId="212D8F28" w:rsidR="002C3947" w:rsidRPr="00BE7F4E" w:rsidRDefault="002C3947" w:rsidP="00BE7F4E">
                            <w:pPr>
                              <w:jc w:val="right"/>
                              <w:rPr>
                                <w:sz w:val="18"/>
                                <w:szCs w:val="28"/>
                              </w:rPr>
                            </w:pPr>
                            <w:r w:rsidRPr="00BE7F4E">
                              <w:rPr>
                                <w:sz w:val="18"/>
                                <w:szCs w:val="28"/>
                              </w:rPr>
                              <w:t>Tax risks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BC526B" id="_x0000_s1190" type="#_x0000_t202" style="position:absolute;left:0;text-align:left;margin-left:101.15pt;margin-top:346.7pt;width:175.9pt;height:19.25pt;z-index:251945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" fillcolor="white [3212]" stroked="f">
                <v:textbox inset="0,0,0,0">
                  <w:txbxContent>
                    <w:p w14:paraId="5A6FF0AC" w14:textId="212D8F28" w:rsidR="002C3947" w:rsidRPr="00BE7F4E" w:rsidRDefault="002C3947" w:rsidP="00BE7F4E">
                      <w:pPr>
                        <w:jc w:val="right"/>
                        <w:rPr>
                          <w:sz w:val="18"/>
                          <w:szCs w:val="28"/>
                        </w:rPr>
                      </w:pPr>
                      <w:r w:rsidRPr="00BE7F4E">
                        <w:rPr>
                          <w:sz w:val="18"/>
                          <w:szCs w:val="28"/>
                        </w:rPr>
                        <w:t>Tax risks</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41376" behindDoc="0" locked="0" layoutInCell="1" allowOverlap="1" wp14:anchorId="57EB61D8" wp14:editId="4414AB31">
                <wp:simplePos x="0" y="0"/>
                <wp:positionH relativeFrom="margin">
                  <wp:posOffset>4632325</wp:posOffset>
                </wp:positionH>
                <wp:positionV relativeFrom="paragraph">
                  <wp:posOffset>5164651</wp:posOffset>
                </wp:positionV>
                <wp:extent cx="2233295" cy="219710"/>
                <wp:effectExtent l="0" t="0" r="0" b="8890"/>
                <wp:wrapNone/>
                <wp:docPr id="1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295" cy="219710"/>
                        </a:xfrm>
                        <a:prstGeom prst="rect">
                          <a:avLst/>
                        </a:prstGeom>
                        <a:solidFill>
                          <a:schemeClr val="bg1"/>
                        </a:solidFill>
                        <a:ln w="9525">
                          <a:noFill/>
                          <a:miter lim="800000"/>
                          <a:headEnd/>
                          <a:tailEnd/>
                        </a:ln>
                      </wps:spPr>
                      <wps:txbx>
                        <w:txbxContent>
                          <w:p w14:paraId="45BAB978" w14:textId="213A580F" w:rsidR="002C3947" w:rsidRPr="00BE7F4E" w:rsidRDefault="002C3947" w:rsidP="00BE7F4E">
                            <w:pPr>
                              <w:rPr>
                                <w:sz w:val="18"/>
                                <w:szCs w:val="28"/>
                                <w:lang w:val="ru-RU"/>
                              </w:rPr>
                            </w:pPr>
                            <w:r w:rsidRPr="00BE7F4E">
                              <w:rPr>
                                <w:sz w:val="18"/>
                                <w:szCs w:val="28"/>
                              </w:rPr>
                              <w:t>Risk assessment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7EB61D8" id="_x0000_s1191" type="#_x0000_t202" style="position:absolute;left:0;text-align:left;margin-left:364.75pt;margin-top:406.65pt;width:175.85pt;height:17.3pt;z-index:25194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" fillcolor="white [3212]" stroked="f">
                <v:textbox inset="0,0,0,0">
                  <w:txbxContent>
                    <w:p w14:paraId="45BAB978" w14:textId="213A580F" w:rsidR="002C3947" w:rsidRPr="00BE7F4E" w:rsidRDefault="002C3947" w:rsidP="00BE7F4E">
                      <w:pPr>
                        <w:rPr>
                          <w:sz w:val="18"/>
                          <w:szCs w:val="28"/>
                          <w:lang w:val="ru-RU"/>
                        </w:rPr>
                      </w:pPr>
                      <w:r w:rsidRPr="00BE7F4E">
                        <w:rPr>
                          <w:sz w:val="18"/>
                          <w:szCs w:val="28"/>
                        </w:rPr>
                        <w:t>Risk assessment</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43424" behindDoc="0" locked="0" layoutInCell="1" allowOverlap="1" wp14:anchorId="7FB6B00D" wp14:editId="7158A4EB">
                <wp:simplePos x="0" y="0"/>
                <wp:positionH relativeFrom="margin">
                  <wp:posOffset>1918139</wp:posOffset>
                </wp:positionH>
                <wp:positionV relativeFrom="paragraph">
                  <wp:posOffset>4825365</wp:posOffset>
                </wp:positionV>
                <wp:extent cx="2233876" cy="219888"/>
                <wp:effectExtent l="0" t="0" r="0" b="8890"/>
                <wp:wrapNone/>
                <wp:docPr id="5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876" cy="219888"/>
                        </a:xfrm>
                        <a:prstGeom prst="rect">
                          <a:avLst/>
                        </a:prstGeom>
                        <a:solidFill>
                          <a:schemeClr val="bg1"/>
                        </a:solidFill>
                        <a:ln w="9525">
                          <a:noFill/>
                          <a:miter lim="800000"/>
                          <a:headEnd/>
                          <a:tailEnd/>
                        </a:ln>
                      </wps:spPr>
                      <wps:txbx>
                        <w:txbxContent>
                          <w:p w14:paraId="2EBA2FAF" w14:textId="1882F064" w:rsidR="002C3947" w:rsidRPr="00BE7F4E" w:rsidRDefault="002C3947" w:rsidP="00BE7F4E">
                            <w:pPr>
                              <w:jc w:val="right"/>
                              <w:rPr>
                                <w:sz w:val="18"/>
                                <w:szCs w:val="28"/>
                              </w:rPr>
                            </w:pPr>
                            <w:r w:rsidRPr="00BE7F4E">
                              <w:rPr>
                                <w:sz w:val="18"/>
                                <w:szCs w:val="28"/>
                              </w:rPr>
                              <w:t>Legal risks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B6B00D" id="_x0000_s1192" type="#_x0000_t202" style="position:absolute;left:0;text-align:left;margin-left:151.05pt;margin-top:379.95pt;width:175.9pt;height:17.3pt;z-index:25194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" fillcolor="white [3212]" stroked="f">
                <v:textbox inset="0,0,0,0">
                  <w:txbxContent>
                    <w:p w14:paraId="2EBA2FAF" w14:textId="1882F064" w:rsidR="002C3947" w:rsidRPr="00BE7F4E" w:rsidRDefault="002C3947" w:rsidP="00BE7F4E">
                      <w:pPr>
                        <w:jc w:val="right"/>
                        <w:rPr>
                          <w:sz w:val="18"/>
                          <w:szCs w:val="28"/>
                        </w:rPr>
                      </w:pPr>
                      <w:r w:rsidRPr="00BE7F4E">
                        <w:rPr>
                          <w:sz w:val="18"/>
                          <w:szCs w:val="28"/>
                        </w:rPr>
                        <w:t>Legal risks</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39328" behindDoc="0" locked="0" layoutInCell="1" allowOverlap="1" wp14:anchorId="19FEC2CB" wp14:editId="7192E57D">
                <wp:simplePos x="0" y="0"/>
                <wp:positionH relativeFrom="margin">
                  <wp:posOffset>4245072</wp:posOffset>
                </wp:positionH>
                <wp:positionV relativeFrom="paragraph">
                  <wp:posOffset>4971789</wp:posOffset>
                </wp:positionV>
                <wp:extent cx="1242035" cy="219888"/>
                <wp:effectExtent l="0" t="0" r="0" b="8890"/>
                <wp:wrapNone/>
                <wp:docPr id="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35" cy="219888"/>
                        </a:xfrm>
                        <a:prstGeom prst="rect">
                          <a:avLst/>
                        </a:prstGeom>
                        <a:solidFill>
                          <a:schemeClr val="bg1"/>
                        </a:solidFill>
                        <a:ln w="9525">
                          <a:noFill/>
                          <a:miter lim="800000"/>
                          <a:headEnd/>
                          <a:tailEnd/>
                        </a:ln>
                      </wps:spPr>
                      <wps:txbx>
                        <w:txbxContent>
                          <w:p w14:paraId="4A9765A8" w14:textId="2792A8CB" w:rsidR="002C3947" w:rsidRPr="00BE7F4E" w:rsidRDefault="002C3947" w:rsidP="00BE7F4E">
                            <w:pPr>
                              <w:jc w:val="center"/>
                              <w:rPr>
                                <w:sz w:val="18"/>
                                <w:szCs w:val="28"/>
                              </w:rPr>
                            </w:pPr>
                            <w:r w:rsidRPr="00BE7F4E">
                              <w:rPr>
                                <w:sz w:val="18"/>
                                <w:szCs w:val="28"/>
                              </w:rPr>
                              <w:t>Inflation risks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FEC2CB" id="_x0000_s1193" type="#_x0000_t202" style="position:absolute;left:0;text-align:left;margin-left:334.25pt;margin-top:391.5pt;width:97.8pt;height:17.3pt;z-index:25193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" fillcolor="white [3212]" stroked="f">
                <v:textbox inset="0,0,0,0">
                  <w:txbxContent>
                    <w:p w14:paraId="4A9765A8" w14:textId="2792A8CB" w:rsidR="002C3947" w:rsidRPr="00BE7F4E" w:rsidRDefault="002C3947" w:rsidP="00BE7F4E">
                      <w:pPr>
                        <w:jc w:val="center"/>
                        <w:rPr>
                          <w:sz w:val="18"/>
                          <w:szCs w:val="28"/>
                        </w:rPr>
                      </w:pPr>
                      <w:r w:rsidRPr="00BE7F4E">
                        <w:rPr>
                          <w:sz w:val="18"/>
                          <w:szCs w:val="28"/>
                        </w:rPr>
                        <w:t>Inflation risks</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37280" behindDoc="0" locked="0" layoutInCell="1" allowOverlap="1" wp14:anchorId="74FED66D" wp14:editId="3A7A1DE6">
                <wp:simplePos x="0" y="0"/>
                <wp:positionH relativeFrom="margin">
                  <wp:posOffset>5561330</wp:posOffset>
                </wp:positionH>
                <wp:positionV relativeFrom="paragraph">
                  <wp:posOffset>4810321</wp:posOffset>
                </wp:positionV>
                <wp:extent cx="2233876" cy="219888"/>
                <wp:effectExtent l="0" t="0" r="0" b="8890"/>
                <wp:wrapNone/>
                <wp:docPr id="1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876" cy="219888"/>
                        </a:xfrm>
                        <a:prstGeom prst="rect">
                          <a:avLst/>
                        </a:prstGeom>
                        <a:solidFill>
                          <a:schemeClr val="bg1"/>
                        </a:solidFill>
                        <a:ln w="9525">
                          <a:noFill/>
                          <a:miter lim="800000"/>
                          <a:headEnd/>
                          <a:tailEnd/>
                        </a:ln>
                      </wps:spPr>
                      <wps:txbx>
                        <w:txbxContent>
                          <w:p w14:paraId="36605C68" w14:textId="1E24645B" w:rsidR="002C3947" w:rsidRPr="00BE7F4E" w:rsidRDefault="002C3947" w:rsidP="00BE7F4E">
                            <w:pPr>
                              <w:rPr>
                                <w:sz w:val="18"/>
                                <w:szCs w:val="28"/>
                              </w:rPr>
                            </w:pPr>
                            <w:r w:rsidRPr="00BE7F4E">
                              <w:rPr>
                                <w:sz w:val="18"/>
                                <w:szCs w:val="28"/>
                              </w:rPr>
                              <w:t>Interest rate risks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FED66D" id="_x0000_s1194" type="#_x0000_t202" style="position:absolute;left:0;text-align:left;margin-left:437.9pt;margin-top:378.75pt;width:175.9pt;height:17.3pt;z-index:25193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" fillcolor="white [3212]" stroked="f">
                <v:textbox inset="0,0,0,0">
                  <w:txbxContent>
                    <w:p w14:paraId="36605C68" w14:textId="1E24645B" w:rsidR="002C3947" w:rsidRPr="00BE7F4E" w:rsidRDefault="002C3947" w:rsidP="00BE7F4E">
                      <w:pPr>
                        <w:rPr>
                          <w:sz w:val="18"/>
                          <w:szCs w:val="28"/>
                        </w:rPr>
                      </w:pPr>
                      <w:r w:rsidRPr="00BE7F4E">
                        <w:rPr>
                          <w:sz w:val="18"/>
                          <w:szCs w:val="28"/>
                        </w:rPr>
                        <w:t>Interest rate risks</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35232" behindDoc="0" locked="0" layoutInCell="1" allowOverlap="1" wp14:anchorId="7F0C3609" wp14:editId="2D7465EA">
                <wp:simplePos x="0" y="0"/>
                <wp:positionH relativeFrom="margin">
                  <wp:posOffset>6195398</wp:posOffset>
                </wp:positionH>
                <wp:positionV relativeFrom="paragraph">
                  <wp:posOffset>4441467</wp:posOffset>
                </wp:positionV>
                <wp:extent cx="2233876" cy="219888"/>
                <wp:effectExtent l="0" t="0" r="0" b="8890"/>
                <wp:wrapNone/>
                <wp:docPr id="1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876" cy="219888"/>
                        </a:xfrm>
                        <a:prstGeom prst="rect">
                          <a:avLst/>
                        </a:prstGeom>
                        <a:solidFill>
                          <a:schemeClr val="bg1"/>
                        </a:solidFill>
                        <a:ln w="9525">
                          <a:noFill/>
                          <a:miter lim="800000"/>
                          <a:headEnd/>
                          <a:tailEnd/>
                        </a:ln>
                      </wps:spPr>
                      <wps:txbx>
                        <w:txbxContent>
                          <w:p w14:paraId="1BA0D06B" w14:textId="53A618C8" w:rsidR="002C3947" w:rsidRPr="00BE7F4E" w:rsidRDefault="002C3947" w:rsidP="00BE7F4E">
                            <w:pPr>
                              <w:rPr>
                                <w:sz w:val="18"/>
                                <w:szCs w:val="28"/>
                              </w:rPr>
                            </w:pPr>
                            <w:r w:rsidRPr="00BE7F4E">
                              <w:rPr>
                                <w:sz w:val="18"/>
                                <w:szCs w:val="28"/>
                              </w:rPr>
                              <w:t>FX risks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0C3609" id="_x0000_s1195" type="#_x0000_t202" style="position:absolute;left:0;text-align:left;margin-left:487.85pt;margin-top:349.7pt;width:175.9pt;height:17.3pt;z-index:25193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" fillcolor="white [3212]" stroked="f">
                <v:textbox inset="0,0,0,0">
                  <w:txbxContent>
                    <w:p w14:paraId="1BA0D06B" w14:textId="53A618C8" w:rsidR="002C3947" w:rsidRPr="00BE7F4E" w:rsidRDefault="002C3947" w:rsidP="00BE7F4E">
                      <w:pPr>
                        <w:rPr>
                          <w:sz w:val="18"/>
                          <w:szCs w:val="28"/>
                        </w:rPr>
                      </w:pPr>
                      <w:r w:rsidRPr="00BE7F4E">
                        <w:rPr>
                          <w:sz w:val="18"/>
                          <w:szCs w:val="28"/>
                        </w:rPr>
                        <w:t>FX risks</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33184" behindDoc="0" locked="0" layoutInCell="1" allowOverlap="1" wp14:anchorId="142799A3" wp14:editId="49E9933C">
                <wp:simplePos x="0" y="0"/>
                <wp:positionH relativeFrom="margin">
                  <wp:posOffset>6684465</wp:posOffset>
                </wp:positionH>
                <wp:positionV relativeFrom="paragraph">
                  <wp:posOffset>3771453</wp:posOffset>
                </wp:positionV>
                <wp:extent cx="2233876" cy="434861"/>
                <wp:effectExtent l="0" t="0" r="0" b="3810"/>
                <wp:wrapNone/>
                <wp:docPr id="1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876" cy="434861"/>
                        </a:xfrm>
                        <a:prstGeom prst="rect">
                          <a:avLst/>
                        </a:prstGeom>
                        <a:solidFill>
                          <a:schemeClr val="bg1"/>
                        </a:solidFill>
                        <a:ln w="9525">
                          <a:noFill/>
                          <a:miter lim="800000"/>
                          <a:headEnd/>
                          <a:tailEnd/>
                        </a:ln>
                      </wps:spPr>
                      <wps:txbx>
                        <w:txbxContent>
                          <w:p w14:paraId="253A080F" w14:textId="4406E490" w:rsidR="002C3947" w:rsidRPr="00BE7F4E" w:rsidRDefault="002C3947" w:rsidP="00BE7F4E">
                            <w:pPr>
                              <w:rPr>
                                <w:sz w:val="18"/>
                                <w:szCs w:val="28"/>
                              </w:rPr>
                            </w:pPr>
                            <w:r w:rsidRPr="00BE7F4E">
                              <w:rPr>
                                <w:sz w:val="18"/>
                                <w:szCs w:val="28"/>
                              </w:rPr>
                              <w:t>Risks related to potential military conflicts, emergency situations or strikes in the country (countries) and the region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2799A3" id="_x0000_s1196" type="#_x0000_t202" style="position:absolute;left:0;text-align:left;margin-left:526.35pt;margin-top:296.95pt;width:175.9pt;height:34.25pt;z-index:25193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" fillcolor="white [3212]" stroked="f">
                <v:textbox inset="0,0,0,0">
                  <w:txbxContent>
                    <w:p w14:paraId="253A080F" w14:textId="4406E490" w:rsidR="002C3947" w:rsidRPr="00BE7F4E" w:rsidRDefault="002C3947" w:rsidP="00BE7F4E">
                      <w:pPr>
                        <w:rPr>
                          <w:sz w:val="18"/>
                          <w:szCs w:val="28"/>
                        </w:rPr>
                      </w:pPr>
                      <w:r w:rsidRPr="00BE7F4E">
                        <w:rPr>
                          <w:sz w:val="18"/>
                          <w:szCs w:val="28"/>
                        </w:rPr>
                        <w:t>Risks related to potential military conflicts, emergency situations or strikes in the country (countries) and the region</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31136" behindDoc="0" locked="0" layoutInCell="1" allowOverlap="1" wp14:anchorId="635D346F" wp14:editId="3E314147">
                <wp:simplePos x="0" y="0"/>
                <wp:positionH relativeFrom="margin">
                  <wp:posOffset>6914088</wp:posOffset>
                </wp:positionH>
                <wp:positionV relativeFrom="paragraph">
                  <wp:posOffset>3015261</wp:posOffset>
                </wp:positionV>
                <wp:extent cx="2055166" cy="434861"/>
                <wp:effectExtent l="0" t="0" r="2540" b="3810"/>
                <wp:wrapNone/>
                <wp:docPr id="1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5166" cy="434861"/>
                        </a:xfrm>
                        <a:prstGeom prst="rect">
                          <a:avLst/>
                        </a:prstGeom>
                        <a:solidFill>
                          <a:schemeClr val="bg1"/>
                        </a:solidFill>
                        <a:ln w="9525">
                          <a:noFill/>
                          <a:miter lim="800000"/>
                          <a:headEnd/>
                          <a:tailEnd/>
                        </a:ln>
                      </wps:spPr>
                      <wps:txbx>
                        <w:txbxContent>
                          <w:p w14:paraId="3C6C3810" w14:textId="0FC1D7A6" w:rsidR="002C3947" w:rsidRPr="00BE7F4E" w:rsidRDefault="002C3947" w:rsidP="00BE7F4E">
                            <w:pPr>
                              <w:rPr>
                                <w:sz w:val="18"/>
                                <w:szCs w:val="28"/>
                              </w:rPr>
                            </w:pPr>
                            <w:r w:rsidRPr="00BE7F4E">
                              <w:rPr>
                                <w:sz w:val="18"/>
                                <w:szCs w:val="28"/>
                              </w:rPr>
                              <w:t>Risks related to the geography of the country or region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5D346F" id="_x0000_s1197" type="#_x0000_t202" style="position:absolute;left:0;text-align:left;margin-left:544.4pt;margin-top:237.4pt;width:161.8pt;height:34.25pt;z-index:25193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" fillcolor="white [3212]" stroked="f">
                <v:textbox inset="0,0,0,0">
                  <w:txbxContent>
                    <w:p w14:paraId="3C6C3810" w14:textId="0FC1D7A6" w:rsidR="002C3947" w:rsidRPr="00BE7F4E" w:rsidRDefault="002C3947" w:rsidP="00BE7F4E">
                      <w:pPr>
                        <w:rPr>
                          <w:sz w:val="18"/>
                          <w:szCs w:val="28"/>
                        </w:rPr>
                      </w:pPr>
                      <w:r w:rsidRPr="00BE7F4E">
                        <w:rPr>
                          <w:sz w:val="18"/>
                          <w:szCs w:val="28"/>
                        </w:rPr>
                        <w:t>Risks related to the geography of the country or region</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29088" behindDoc="0" locked="0" layoutInCell="1" allowOverlap="1" wp14:anchorId="52B350AF" wp14:editId="488F8442">
                <wp:simplePos x="0" y="0"/>
                <wp:positionH relativeFrom="margin">
                  <wp:posOffset>6928703</wp:posOffset>
                </wp:positionH>
                <wp:positionV relativeFrom="paragraph">
                  <wp:posOffset>2309009</wp:posOffset>
                </wp:positionV>
                <wp:extent cx="2055166" cy="434861"/>
                <wp:effectExtent l="0" t="0" r="2540" b="3810"/>
                <wp:wrapNone/>
                <wp:docPr id="1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5166" cy="434861"/>
                        </a:xfrm>
                        <a:prstGeom prst="rect">
                          <a:avLst/>
                        </a:prstGeom>
                        <a:solidFill>
                          <a:schemeClr val="bg1"/>
                        </a:solidFill>
                        <a:ln w="9525">
                          <a:noFill/>
                          <a:miter lim="800000"/>
                          <a:headEnd/>
                          <a:tailEnd/>
                        </a:ln>
                      </wps:spPr>
                      <wps:txbx>
                        <w:txbxContent>
                          <w:p w14:paraId="410C253F" w14:textId="48B09C82" w:rsidR="002C3947" w:rsidRPr="00BE7F4E" w:rsidRDefault="002C3947" w:rsidP="00BE7F4E">
                            <w:pPr>
                              <w:rPr>
                                <w:sz w:val="18"/>
                                <w:szCs w:val="28"/>
                              </w:rPr>
                            </w:pPr>
                            <w:r w:rsidRPr="00BE7F4E">
                              <w:rPr>
                                <w:sz w:val="18"/>
                                <w:szCs w:val="28"/>
                              </w:rPr>
                              <w:t>Risks related to the political and economic situation in the country and region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B350AF" id="_x0000_s1198" type="#_x0000_t202" style="position:absolute;left:0;text-align:left;margin-left:545.55pt;margin-top:181.8pt;width:161.8pt;height:34.25pt;z-index:25192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" fillcolor="white [3212]" stroked="f">
                <v:textbox inset="0,0,0,0">
                  <w:txbxContent>
                    <w:p w14:paraId="410C253F" w14:textId="48B09C82" w:rsidR="002C3947" w:rsidRPr="00BE7F4E" w:rsidRDefault="002C3947" w:rsidP="00BE7F4E">
                      <w:pPr>
                        <w:rPr>
                          <w:sz w:val="18"/>
                          <w:szCs w:val="28"/>
                        </w:rPr>
                      </w:pPr>
                      <w:r w:rsidRPr="00BE7F4E">
                        <w:rPr>
                          <w:sz w:val="18"/>
                          <w:szCs w:val="28"/>
                        </w:rPr>
                        <w:t>Risks related to the political and economic situation in the country and region</w:t>
                      </w:r>
                    </w:p>
                  </w:txbxContent>
                </v:textbox>
                <w10:wrap anchorx="margin"/>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27040" behindDoc="0" locked="0" layoutInCell="1" allowOverlap="1" wp14:anchorId="0E5CEBDB" wp14:editId="585CB1BC">
                <wp:simplePos x="0" y="0"/>
                <wp:positionH relativeFrom="column">
                  <wp:posOffset>6693731</wp:posOffset>
                </wp:positionH>
                <wp:positionV relativeFrom="paragraph">
                  <wp:posOffset>1691005</wp:posOffset>
                </wp:positionV>
                <wp:extent cx="2317274" cy="300829"/>
                <wp:effectExtent l="0" t="0" r="6985" b="4445"/>
                <wp:wrapNone/>
                <wp:docPr id="1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274" cy="300829"/>
                        </a:xfrm>
                        <a:prstGeom prst="rect">
                          <a:avLst/>
                        </a:prstGeom>
                        <a:solidFill>
                          <a:schemeClr val="bg1"/>
                        </a:solidFill>
                        <a:ln w="9525">
                          <a:noFill/>
                          <a:miter lim="800000"/>
                          <a:headEnd/>
                          <a:tailEnd/>
                        </a:ln>
                      </wps:spPr>
                      <wps:txbx>
                        <w:txbxContent>
                          <w:p w14:paraId="728583D2" w14:textId="21D03ED6" w:rsidR="002C3947" w:rsidRPr="00BE7F4E" w:rsidRDefault="002C3947" w:rsidP="00BE7F4E">
                            <w:pPr>
                              <w:rPr>
                                <w:sz w:val="18"/>
                                <w:szCs w:val="28"/>
                              </w:rPr>
                            </w:pPr>
                            <w:r w:rsidRPr="00BE7F4E">
                              <w:rPr>
                                <w:sz w:val="18"/>
                                <w:szCs w:val="28"/>
                              </w:rPr>
                              <w:t>Risks of an increase in overdue and bad debts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5CEBDB" id="_x0000_s1199" type="#_x0000_t202" style="position:absolute;left:0;text-align:left;margin-left:527.05pt;margin-top:133.15pt;width:182.45pt;height:23.7pt;z-index:25192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" fillcolor="white [3212]" stroked="f">
                <v:textbox inset="0,0,0,0">
                  <w:txbxContent>
                    <w:p w14:paraId="728583D2" w14:textId="21D03ED6" w:rsidR="002C3947" w:rsidRPr="00BE7F4E" w:rsidRDefault="002C3947" w:rsidP="00BE7F4E">
                      <w:pPr>
                        <w:rPr>
                          <w:sz w:val="18"/>
                          <w:szCs w:val="28"/>
                        </w:rPr>
                      </w:pPr>
                      <w:r w:rsidRPr="00BE7F4E">
                        <w:rPr>
                          <w:sz w:val="18"/>
                          <w:szCs w:val="28"/>
                        </w:rPr>
                        <w:t>Risks of an increase in overdue and bad debts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24992" behindDoc="0" locked="0" layoutInCell="1" allowOverlap="1" wp14:anchorId="135DEC2B" wp14:editId="1B57D97D">
                <wp:simplePos x="0" y="0"/>
                <wp:positionH relativeFrom="column">
                  <wp:posOffset>6202054</wp:posOffset>
                </wp:positionH>
                <wp:positionV relativeFrom="paragraph">
                  <wp:posOffset>1096755</wp:posOffset>
                </wp:positionV>
                <wp:extent cx="2600232" cy="243672"/>
                <wp:effectExtent l="0" t="0" r="0" b="4445"/>
                <wp:wrapNone/>
                <wp:docPr id="1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232" cy="243672"/>
                        </a:xfrm>
                        <a:prstGeom prst="rect">
                          <a:avLst/>
                        </a:prstGeom>
                        <a:solidFill>
                          <a:schemeClr val="bg1"/>
                        </a:solidFill>
                        <a:ln w="9525">
                          <a:noFill/>
                          <a:miter lim="800000"/>
                          <a:headEnd/>
                          <a:tailEnd/>
                        </a:ln>
                      </wps:spPr>
                      <wps:txbx>
                        <w:txbxContent>
                          <w:p w14:paraId="67446A9A" w14:textId="75ED344E" w:rsidR="002C3947" w:rsidRPr="00BE7F4E" w:rsidRDefault="002C3947" w:rsidP="00BE7F4E">
                            <w:pPr>
                              <w:rPr>
                                <w:sz w:val="18"/>
                                <w:szCs w:val="28"/>
                              </w:rPr>
                            </w:pPr>
                            <w:r w:rsidRPr="00BE7F4E">
                              <w:rPr>
                                <w:sz w:val="18"/>
                                <w:szCs w:val="28"/>
                              </w:rPr>
                              <w:t>Grid connection risks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35DEC2B" id="_x0000_s1200" type="#_x0000_t202" style="position:absolute;left:0;text-align:left;margin-left:488.35pt;margin-top:86.35pt;width:204.75pt;height:19.2pt;z-index:25192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" fillcolor="white [3212]" stroked="f">
                <v:textbox inset="0,0,0,0">
                  <w:txbxContent>
                    <w:p w14:paraId="67446A9A" w14:textId="75ED344E" w:rsidR="002C3947" w:rsidRPr="00BE7F4E" w:rsidRDefault="002C3947" w:rsidP="00BE7F4E">
                      <w:pPr>
                        <w:rPr>
                          <w:sz w:val="18"/>
                          <w:szCs w:val="28"/>
                        </w:rPr>
                      </w:pPr>
                      <w:r w:rsidRPr="00BE7F4E">
                        <w:rPr>
                          <w:sz w:val="18"/>
                          <w:szCs w:val="28"/>
                        </w:rPr>
                        <w:t>Grid connection risks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21920" behindDoc="0" locked="0" layoutInCell="1" allowOverlap="1" wp14:anchorId="6D904922" wp14:editId="674350DA">
                <wp:simplePos x="0" y="0"/>
                <wp:positionH relativeFrom="column">
                  <wp:posOffset>6347365</wp:posOffset>
                </wp:positionH>
                <wp:positionV relativeFrom="paragraph">
                  <wp:posOffset>834646</wp:posOffset>
                </wp:positionV>
                <wp:extent cx="682076" cy="217431"/>
                <wp:effectExtent l="0" t="0" r="3810" b="0"/>
                <wp:wrapNone/>
                <wp:docPr id="1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076" cy="217431"/>
                        </a:xfrm>
                        <a:prstGeom prst="rect">
                          <a:avLst/>
                        </a:prstGeom>
                        <a:solidFill>
                          <a:schemeClr val="bg1"/>
                        </a:solidFill>
                        <a:ln w="9525">
                          <a:noFill/>
                          <a:miter lim="800000"/>
                          <a:headEnd/>
                          <a:tailEnd/>
                        </a:ln>
                      </wps:spPr>
                      <wps:txbx>
                        <w:txbxContent>
                          <w:p w14:paraId="255F1B45" w14:textId="502365EB" w:rsidR="002C3947" w:rsidRPr="00BE7F4E" w:rsidRDefault="002C3947" w:rsidP="00BE7F4E">
                            <w:pPr>
                              <w:rPr>
                                <w:sz w:val="18"/>
                                <w:szCs w:val="28"/>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904922" id="_x0000_s1201" type="#_x0000_t202" style="position:absolute;left:0;text-align:left;margin-left:499.8pt;margin-top:65.7pt;width:53.7pt;height:17.1pt;z-index:25192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" fillcolor="white [3212]" stroked="f">
                <v:textbox inset="0,0,0,0">
                  <w:txbxContent>
                    <w:p w14:paraId="255F1B45" w14:textId="502365EB" w:rsidR="002C3947" w:rsidRPr="00BE7F4E" w:rsidRDefault="002C3947" w:rsidP="00BE7F4E">
                      <w:pPr>
                        <w:rPr>
                          <w:sz w:val="18"/>
                          <w:szCs w:val="28"/>
                        </w:rPr>
                      </w:pP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22944" behindDoc="0" locked="0" layoutInCell="1" allowOverlap="1" wp14:anchorId="0DD51D00" wp14:editId="356147DC">
                <wp:simplePos x="0" y="0"/>
                <wp:positionH relativeFrom="column">
                  <wp:posOffset>5549656</wp:posOffset>
                </wp:positionH>
                <wp:positionV relativeFrom="paragraph">
                  <wp:posOffset>715511</wp:posOffset>
                </wp:positionV>
                <wp:extent cx="2600232" cy="243672"/>
                <wp:effectExtent l="0" t="0" r="0" b="4445"/>
                <wp:wrapNone/>
                <wp:docPr id="1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232" cy="243672"/>
                        </a:xfrm>
                        <a:prstGeom prst="rect">
                          <a:avLst/>
                        </a:prstGeom>
                        <a:solidFill>
                          <a:schemeClr val="bg1"/>
                        </a:solidFill>
                        <a:ln w="9525">
                          <a:noFill/>
                          <a:miter lim="800000"/>
                          <a:headEnd/>
                          <a:tailEnd/>
                        </a:ln>
                      </wps:spPr>
                      <wps:txbx>
                        <w:txbxContent>
                          <w:p w14:paraId="526C64C2" w14:textId="722207F3" w:rsidR="002C3947" w:rsidRPr="00BE7F4E" w:rsidRDefault="002C3947" w:rsidP="00BE7F4E">
                            <w:pPr>
                              <w:rPr>
                                <w:sz w:val="18"/>
                                <w:szCs w:val="28"/>
                              </w:rPr>
                            </w:pPr>
                            <w:r w:rsidRPr="00BE7F4E">
                              <w:rPr>
                                <w:sz w:val="18"/>
                                <w:szCs w:val="28"/>
                              </w:rPr>
                              <w:t>Risk of reduction in electricity transmission services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D51D00" id="_x0000_s1202" type="#_x0000_t202" style="position:absolute;left:0;text-align:left;margin-left:437pt;margin-top:56.35pt;width:204.75pt;height:19.2pt;z-index:25192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" fillcolor="white [3212]" stroked="f">
                <v:textbox inset="0,0,0,0">
                  <w:txbxContent>
                    <w:p w14:paraId="526C64C2" w14:textId="722207F3" w:rsidR="002C3947" w:rsidRPr="00BE7F4E" w:rsidRDefault="002C3947" w:rsidP="00BE7F4E">
                      <w:pPr>
                        <w:rPr>
                          <w:sz w:val="18"/>
                          <w:szCs w:val="28"/>
                        </w:rPr>
                      </w:pPr>
                      <w:r w:rsidRPr="00BE7F4E">
                        <w:rPr>
                          <w:sz w:val="18"/>
                          <w:szCs w:val="28"/>
                        </w:rPr>
                        <w:t>Risk of reduction in electricity transmission services</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17824" behindDoc="0" locked="0" layoutInCell="1" allowOverlap="1" wp14:anchorId="45CF5E16" wp14:editId="5D1BF1C4">
                <wp:simplePos x="0" y="0"/>
                <wp:positionH relativeFrom="column">
                  <wp:posOffset>3711920</wp:posOffset>
                </wp:positionH>
                <wp:positionV relativeFrom="paragraph">
                  <wp:posOffset>602327</wp:posOffset>
                </wp:positionV>
                <wp:extent cx="2021025" cy="190500"/>
                <wp:effectExtent l="0" t="0" r="0" b="0"/>
                <wp:wrapNone/>
                <wp:docPr id="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025" cy="190500"/>
                        </a:xfrm>
                        <a:prstGeom prst="rect">
                          <a:avLst/>
                        </a:prstGeom>
                        <a:solidFill>
                          <a:schemeClr val="bg1"/>
                        </a:solidFill>
                        <a:ln w="9525">
                          <a:noFill/>
                          <a:miter lim="800000"/>
                          <a:headEnd/>
                          <a:tailEnd/>
                        </a:ln>
                      </wps:spPr>
                      <wps:txbx>
                        <w:txbxContent>
                          <w:p w14:paraId="75292E0B" w14:textId="732541C6" w:rsidR="002C3947" w:rsidRPr="00BE7F4E" w:rsidRDefault="002C3947" w:rsidP="00BE7F4E">
                            <w:pPr>
                              <w:jc w:val="center"/>
                              <w:rPr>
                                <w:sz w:val="18"/>
                                <w:szCs w:val="28"/>
                              </w:rPr>
                            </w:pPr>
                            <w:r w:rsidRPr="00BE7F4E">
                              <w:rPr>
                                <w:sz w:val="18"/>
                                <w:szCs w:val="28"/>
                              </w:rPr>
                              <w:t>Tariff regulation risks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CF5E16" id="_x0000_s1203" type="#_x0000_t202" style="position:absolute;left:0;text-align:left;margin-left:292.3pt;margin-top:47.45pt;width:159.15pt;height:15pt;z-index:25191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" fillcolor="white [3212]" stroked="f">
                <v:textbox inset="0,0,0,0">
                  <w:txbxContent>
                    <w:p w14:paraId="75292E0B" w14:textId="732541C6" w:rsidR="002C3947" w:rsidRPr="00BE7F4E" w:rsidRDefault="002C3947" w:rsidP="00BE7F4E">
                      <w:pPr>
                        <w:jc w:val="center"/>
                        <w:rPr>
                          <w:sz w:val="18"/>
                          <w:szCs w:val="28"/>
                        </w:rPr>
                      </w:pPr>
                      <w:r w:rsidRPr="00BE7F4E">
                        <w:rPr>
                          <w:sz w:val="18"/>
                          <w:szCs w:val="28"/>
                        </w:rPr>
                        <w:t>Tariff regulation risks</w:t>
                      </w:r>
                    </w:p>
                  </w:txbxContent>
                </v:textbox>
              </v:shape>
            </w:pict>
          </mc:Fallback>
        </mc:AlternateContent>
      </w:r>
      <w:r w:rsidR="00997D07" w:rsidRPr="00BD295E">
        <w:rPr>
          <w:rFonts w:ascii="Arial" w:hAnsi="Arial" w:cs="Arial"/>
          <w:sz w:val="18"/>
          <w:szCs w:val="18"/>
          <w:lang w:val="en-US" w:eastAsia="en-US"/>
        </w:rPr>
        <mc:AlternateContent>
          <mc:Choice Requires="wps">
            <w:drawing>
              <wp:anchor distT="0" distB="0" distL="114300" distR="114300" simplePos="0" relativeHeight="251654656" behindDoc="0" locked="0" layoutInCell="1" allowOverlap="1" wp14:anchorId="63E88A18" wp14:editId="7A62B48C">
                <wp:simplePos x="0" y="0"/>
                <wp:positionH relativeFrom="column">
                  <wp:posOffset>4244340</wp:posOffset>
                </wp:positionH>
                <wp:positionV relativeFrom="paragraph">
                  <wp:posOffset>2888615</wp:posOffset>
                </wp:positionV>
                <wp:extent cx="1247775" cy="237490"/>
                <wp:effectExtent l="0" t="0" r="3810" b="0"/>
                <wp:wrapNone/>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1EE3B" w14:textId="77777777" w:rsidR="002C3947" w:rsidRPr="002A3947" w:rsidRDefault="002C3947" w:rsidP="00F3260C">
                            <w:pPr>
                              <w:jc w:val="center"/>
                              <w:rPr>
                                <w:b/>
                                <w:sz w:val="20"/>
                              </w:rPr>
                            </w:pPr>
                            <w:r>
                              <w:rPr>
                                <w:b/>
                                <w:sz w:val="20"/>
                              </w:rPr>
                              <w:t>Moderate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3E88A18" id="_x0000_s1204" type="#_x0000_t202" style="position:absolute;left:0;text-align:left;margin-left:334.2pt;margin-top:227.45pt;width:98.25pt;height:18.7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" filled="f" stroked="f">
                <v:textbox style="mso-fit-shape-to-text:t">
                  <w:txbxContent>
                    <w:p w14:paraId="60B1EE3B" w14:textId="77777777" w:rsidR="002C3947" w:rsidRPr="002A3947" w:rsidRDefault="002C3947" w:rsidP="00F3260C">
                      <w:pPr>
                        <w:jc w:val="center"/>
                        <w:rPr>
                          <w:b/>
                          <w:sz w:val="20"/>
                        </w:rPr>
                      </w:pPr>
                      <w:r>
                        <w:rPr>
                          <w:b/>
                          <w:sz w:val="20"/>
                        </w:rPr>
                        <w:t>Moderate</w:t>
                      </w:r>
                    </w:p>
                  </w:txbxContent>
                </v:textbox>
              </v:shape>
            </w:pict>
          </mc:Fallback>
        </mc:AlternateContent>
      </w:r>
      <w:r w:rsidR="00997D07" w:rsidRPr="00BD295E">
        <w:rPr>
          <w:rFonts w:ascii="Arial" w:hAnsi="Arial" w:cs="Arial"/>
          <w:sz w:val="18"/>
          <w:szCs w:val="18"/>
          <w:lang w:val="en-US" w:eastAsia="en-US"/>
        </w:rPr>
        <mc:AlternateContent>
          <mc:Choice Requires="wps">
            <w:drawing>
              <wp:anchor distT="0" distB="0" distL="114300" distR="114300" simplePos="0" relativeHeight="251653632" behindDoc="0" locked="0" layoutInCell="1" allowOverlap="1" wp14:anchorId="6B06B23A" wp14:editId="5EBEA454">
                <wp:simplePos x="0" y="0"/>
                <wp:positionH relativeFrom="column">
                  <wp:posOffset>4244340</wp:posOffset>
                </wp:positionH>
                <wp:positionV relativeFrom="paragraph">
                  <wp:posOffset>3774440</wp:posOffset>
                </wp:positionV>
                <wp:extent cx="1247775" cy="237490"/>
                <wp:effectExtent l="0" t="0" r="3810" b="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E1EE4" w14:textId="77777777" w:rsidR="002C3947" w:rsidRPr="002A3947" w:rsidRDefault="002C3947" w:rsidP="00F3260C">
                            <w:pPr>
                              <w:jc w:val="center"/>
                              <w:rPr>
                                <w:b/>
                                <w:sz w:val="20"/>
                              </w:rPr>
                            </w:pPr>
                            <w:r>
                              <w:rPr>
                                <w:b/>
                                <w:sz w:val="20"/>
                              </w:rPr>
                              <w:t>Significant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B06B23A" id="_x0000_s1205" type="#_x0000_t202" style="position:absolute;left:0;text-align:left;margin-left:334.2pt;margin-top:297.2pt;width:98.25pt;height:18.7pt;z-index:25165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" filled="f" stroked="f">
                <v:textbox style="mso-fit-shape-to-text:t">
                  <w:txbxContent>
                    <w:p w14:paraId="043E1EE4" w14:textId="77777777" w:rsidR="002C3947" w:rsidRPr="002A3947" w:rsidRDefault="002C3947" w:rsidP="00F3260C">
                      <w:pPr>
                        <w:jc w:val="center"/>
                        <w:rPr>
                          <w:b/>
                          <w:sz w:val="20"/>
                        </w:rPr>
                      </w:pPr>
                      <w:r>
                        <w:rPr>
                          <w:b/>
                          <w:sz w:val="20"/>
                        </w:rPr>
                        <w:t>Significant</w:t>
                      </w:r>
                    </w:p>
                  </w:txbxContent>
                </v:textbox>
              </v:shape>
            </w:pict>
          </mc:Fallback>
        </mc:AlternateContent>
      </w:r>
      <w:r w:rsidR="00997D07" w:rsidRPr="00BD295E">
        <w:rPr>
          <w:rFonts w:ascii="Arial" w:hAnsi="Arial" w:cs="Arial"/>
          <w:sz w:val="18"/>
          <w:szCs w:val="18"/>
          <w:lang w:val="en-US" w:eastAsia="en-US"/>
        </w:rPr>
        <mc:AlternateContent>
          <mc:Choice Requires="wps">
            <w:drawing>
              <wp:anchor distT="0" distB="0" distL="114300" distR="114300" simplePos="0" relativeHeight="251652608" behindDoc="0" locked="0" layoutInCell="1" allowOverlap="1" wp14:anchorId="7AF05068" wp14:editId="5B8F1E53">
                <wp:simplePos x="0" y="0"/>
                <wp:positionH relativeFrom="column">
                  <wp:posOffset>4234815</wp:posOffset>
                </wp:positionH>
                <wp:positionV relativeFrom="paragraph">
                  <wp:posOffset>4441190</wp:posOffset>
                </wp:positionV>
                <wp:extent cx="1247775" cy="237490"/>
                <wp:effectExtent l="0" t="0" r="3810" b="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81878" w14:textId="77777777" w:rsidR="002C3947" w:rsidRPr="002A3947" w:rsidRDefault="002C3947" w:rsidP="00F3260C">
                            <w:pPr>
                              <w:jc w:val="center"/>
                              <w:rPr>
                                <w:b/>
                                <w:sz w:val="20"/>
                              </w:rPr>
                            </w:pPr>
                            <w:r>
                              <w:rPr>
                                <w:b/>
                                <w:sz w:val="20"/>
                              </w:rPr>
                              <w:t>Critical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AF05068" id="_x0000_s1206" type="#_x0000_t202" style="position:absolute;left:0;text-align:left;margin-left:333.45pt;margin-top:349.7pt;width:98.25pt;height:18.7pt;z-index:251652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" filled="f" stroked="f">
                <v:textbox style="mso-fit-shape-to-text:t">
                  <w:txbxContent>
                    <w:p w14:paraId="02C81878" w14:textId="77777777" w:rsidR="002C3947" w:rsidRPr="002A3947" w:rsidRDefault="002C3947" w:rsidP="00F3260C">
                      <w:pPr>
                        <w:jc w:val="center"/>
                        <w:rPr>
                          <w:b/>
                          <w:sz w:val="20"/>
                        </w:rPr>
                      </w:pPr>
                      <w:r>
                        <w:rPr>
                          <w:b/>
                          <w:sz w:val="20"/>
                        </w:rPr>
                        <w:t>Critical</w:t>
                      </w:r>
                    </w:p>
                  </w:txbxContent>
                </v:textbox>
              </v:shape>
            </w:pict>
          </mc:Fallback>
        </mc:AlternateContent>
      </w:r>
      <w:bookmarkStart w:id="431" w:name="_Hlk95940090"/>
      <w:r w:rsidR="00997D07" w:rsidRPr="00BD295E">
        <w:rPr>
          <w:rFonts w:ascii="Arial" w:hAnsi="Arial" w:cs="Arial"/>
          <w:sz w:val="18"/>
          <w:szCs w:val="18"/>
          <w:lang w:val="en-US" w:eastAsia="en-US"/>
        </w:rPr>
        <w:drawing>
          <wp:inline distT="0" distB="0" distL="0" distR="0" wp14:anchorId="63B6EF68" wp14:editId="7A1998F7">
            <wp:extent cx="8382000" cy="5462905"/>
            <wp:effectExtent l="0" t="0" r="0" b="0"/>
            <wp:docPr id="86" name="Диаграмма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
                    <pic:cNvPicPr>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382000" cy="5462905"/>
                    </a:xfrm>
                    <a:prstGeom prst="rect">
                      <a:avLst/>
                    </a:prstGeom>
                    <a:noFill/>
                    <a:ln>
                      <a:noFill/>
                    </a:ln>
                  </pic:spPr>
                </pic:pic>
              </a:graphicData>
            </a:graphic>
          </wp:inline>
        </w:drawing>
      </w:r>
      <w:bookmarkEnd w:id="431"/>
    </w:p>
    <w:p w14:paraId="6CA13113" w14:textId="77777777" w:rsidR="00F3260C" w:rsidRPr="00BD295E" w:rsidRDefault="00F3260C" w:rsidP="00F3260C">
      <w:pPr>
        <w:spacing w:after="160" w:line="259" w:lineRule="auto"/>
        <w:rPr>
          <w:rFonts w:ascii="Arial" w:hAnsi="Arial" w:cs="Arial"/>
          <w:b/>
          <w:sz w:val="18"/>
          <w:szCs w:val="18"/>
          <w:lang w:val="en-US"/>
        </w:rPr>
        <w:sectPr w:rsidR="00F3260C" w:rsidRPr="00BD295E" w:rsidSect="00F3260C">
          <w:headerReference w:type="default" r:id="rId121"/>
          <w:pgSz w:w="16838" w:h="11906" w:orient="landscape"/>
          <w:pgMar w:top="1701" w:right="1134" w:bottom="850" w:left="1134" w:header="708" w:footer="708" w:gutter="0"/>
          <w:cols w:space="708"/>
          <w:docGrid w:linePitch="360"/>
        </w:sectPr>
      </w:pPr>
    </w:p>
    <w:p w14:paraId="68DA3C26" w14:textId="77777777" w:rsidR="00F3260C" w:rsidRPr="00BD295E" w:rsidRDefault="008A5057" w:rsidP="00CE7475">
      <w:pPr>
        <w:contextualSpacing/>
        <w:jc w:val="both"/>
        <w:rPr>
          <w:rFonts w:ascii="Arial" w:hAnsi="Arial" w:cs="Arial"/>
          <w:b/>
          <w:sz w:val="18"/>
          <w:szCs w:val="18"/>
          <w:lang w:val="en-US"/>
        </w:rPr>
      </w:pPr>
      <w:r w:rsidRPr="00BD295E">
        <w:rPr>
          <w:rFonts w:ascii="Arial" w:hAnsi="Arial" w:cs="Arial"/>
          <w:b/>
          <w:sz w:val="18"/>
          <w:szCs w:val="18"/>
          <w:lang w:val="en-US"/>
        </w:rPr>
        <w:t>4.3. Anti-Corruption Policy.</w:t>
      </w:r>
    </w:p>
    <w:p w14:paraId="1742686E" w14:textId="77777777" w:rsidR="00F3260C" w:rsidRPr="00BD295E" w:rsidRDefault="00F3260C" w:rsidP="00CE7475">
      <w:pPr>
        <w:contextualSpacing/>
        <w:jc w:val="both"/>
        <w:rPr>
          <w:rFonts w:ascii="Arial" w:hAnsi="Arial" w:cs="Arial"/>
          <w:b/>
          <w:sz w:val="18"/>
          <w:szCs w:val="18"/>
          <w:lang w:val="en-US"/>
        </w:rPr>
      </w:pPr>
    </w:p>
    <w:p w14:paraId="69AD09A4" w14:textId="77777777" w:rsidR="00F3260C" w:rsidRPr="00BD295E" w:rsidRDefault="008A5057" w:rsidP="00CE7475">
      <w:pPr>
        <w:contextualSpacing/>
        <w:jc w:val="both"/>
        <w:rPr>
          <w:rFonts w:ascii="Arial" w:hAnsi="Arial" w:cs="Arial"/>
          <w:sz w:val="18"/>
          <w:szCs w:val="18"/>
          <w:lang w:val="en-US"/>
        </w:rPr>
      </w:pPr>
      <w:r w:rsidRPr="00BD295E">
        <w:rPr>
          <w:rFonts w:ascii="Arial" w:hAnsi="Arial" w:cs="Arial"/>
          <w:sz w:val="18"/>
          <w:szCs w:val="18"/>
          <w:lang w:val="en-US"/>
        </w:rPr>
        <w:t xml:space="preserve">Federal Law No. 273-FZ, </w:t>
      </w:r>
      <w:r w:rsidRPr="00BD295E">
        <w:rPr>
          <w:rFonts w:ascii="Arial" w:hAnsi="Arial" w:cs="Arial"/>
          <w:i/>
          <w:iCs/>
          <w:sz w:val="18"/>
          <w:szCs w:val="18"/>
          <w:lang w:val="en-US"/>
        </w:rPr>
        <w:t>On Combating Corruption</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25, 2008 is the fundamental legal anti-corruption act. </w:t>
      </w:r>
    </w:p>
    <w:p w14:paraId="2E57D5EF" w14:textId="77777777" w:rsidR="00F3260C" w:rsidRPr="00BD295E" w:rsidRDefault="008A5057" w:rsidP="00CE7475">
      <w:pPr>
        <w:contextualSpacing/>
        <w:jc w:val="both"/>
        <w:rPr>
          <w:rFonts w:ascii="Arial" w:hAnsi="Arial" w:cs="Arial"/>
          <w:sz w:val="18"/>
          <w:szCs w:val="18"/>
          <w:lang w:val="en-US"/>
        </w:rPr>
      </w:pPr>
      <w:r w:rsidRPr="00BD295E">
        <w:rPr>
          <w:rFonts w:ascii="Arial" w:hAnsi="Arial" w:cs="Arial"/>
          <w:sz w:val="18"/>
          <w:szCs w:val="18"/>
          <w:lang w:val="en-US"/>
        </w:rPr>
        <w:t xml:space="preserve">The Anti-corruption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approved by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an internal document of the Company (Minutes No. 23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27, 2017). The Anti-Corruption Policy is a set of interrelated principles, procedures and specific measures aimed at preventing and suppressing corruption offenses in the Company’s operations. </w:t>
      </w:r>
    </w:p>
    <w:p w14:paraId="7AB7073D" w14:textId="77777777" w:rsidR="00F3260C" w:rsidRPr="00BD295E" w:rsidRDefault="008A5057" w:rsidP="00CE7475">
      <w:pPr>
        <w:contextualSpacing/>
        <w:jc w:val="both"/>
        <w:rPr>
          <w:rFonts w:ascii="Arial" w:hAnsi="Arial" w:cs="Arial"/>
          <w:sz w:val="18"/>
          <w:szCs w:val="18"/>
          <w:lang w:val="en-US"/>
        </w:rPr>
      </w:pPr>
      <w:r w:rsidRPr="00BD295E">
        <w:rPr>
          <w:rFonts w:ascii="Arial" w:hAnsi="Arial" w:cs="Arial"/>
          <w:sz w:val="18"/>
          <w:szCs w:val="18"/>
          <w:lang w:val="en-US"/>
        </w:rPr>
        <w:t xml:space="preserve">The Anti-Corruption Policy aims to ensure a uniform approach to implementing the requirements of Article 13.3. of the Anti-Corruption Law concerning the obligation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and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to develop and take measures to prevent and combat corruption, namely: identify and subsequently eliminate the causes of corruption; detect, prevent, and suppress corruption and other offenses; minimize and/or eliminate the consequences of corruption and other offenses. </w:t>
      </w:r>
    </w:p>
    <w:p w14:paraId="5A9DB20F" w14:textId="77777777" w:rsidR="00F3260C" w:rsidRPr="00BD295E" w:rsidRDefault="008A5057" w:rsidP="00CE7475">
      <w:pPr>
        <w:contextualSpacing/>
        <w:jc w:val="both"/>
        <w:rPr>
          <w:rFonts w:ascii="Arial" w:hAnsi="Arial" w:cs="Arial"/>
          <w:sz w:val="18"/>
          <w:szCs w:val="18"/>
          <w:lang w:val="en-US"/>
        </w:rPr>
      </w:pPr>
      <w:r w:rsidRPr="00BD295E">
        <w:rPr>
          <w:rFonts w:ascii="Arial" w:hAnsi="Arial" w:cs="Arial"/>
          <w:sz w:val="18"/>
          <w:szCs w:val="18"/>
          <w:lang w:val="en-US"/>
        </w:rPr>
        <w:t xml:space="preserve">The principal range of persons covered by the Anti-Corruption Policy includes 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regardless of their position or functions, as well as partners and counterparties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and its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and other persons by virtue of mutual obligations between them and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including Anti-Corruption Obligations and other anti-corruption agreements. </w:t>
      </w:r>
    </w:p>
    <w:p w14:paraId="6EC4CFE0" w14:textId="77777777" w:rsidR="00F3260C" w:rsidRPr="00BD295E" w:rsidRDefault="008A5057" w:rsidP="00CE7475">
      <w:pPr>
        <w:contextualSpacing/>
        <w:jc w:val="both"/>
        <w:rPr>
          <w:rFonts w:ascii="Arial" w:hAnsi="Arial" w:cs="Arial"/>
          <w:sz w:val="18"/>
          <w:szCs w:val="18"/>
          <w:lang w:val="en-US"/>
        </w:rPr>
      </w:pPr>
      <w:r w:rsidRPr="00BD295E">
        <w:rPr>
          <w:rFonts w:ascii="Arial" w:hAnsi="Arial" w:cs="Arial"/>
          <w:sz w:val="18"/>
          <w:szCs w:val="18"/>
          <w:lang w:val="en-US"/>
        </w:rPr>
        <w:t>The documents adopted to prevent and combat corruption are publicly available on the Company’s corporate website in the Anti-Corruption Policy section at http://lenenergo.ru/about/corruption/.</w:t>
      </w:r>
    </w:p>
    <w:p w14:paraId="0F67A9D5" w14:textId="77777777" w:rsidR="00F3260C" w:rsidRPr="00BD295E" w:rsidRDefault="00F3260C" w:rsidP="00CE7475">
      <w:pPr>
        <w:contextualSpacing/>
        <w:jc w:val="both"/>
        <w:rPr>
          <w:rFonts w:ascii="Arial" w:hAnsi="Arial" w:cs="Arial"/>
          <w:sz w:val="18"/>
          <w:szCs w:val="18"/>
          <w:lang w:val="en-US"/>
        </w:rPr>
      </w:pPr>
    </w:p>
    <w:p w14:paraId="16EB01C2" w14:textId="77777777" w:rsidR="00F3260C" w:rsidRPr="00BD295E" w:rsidRDefault="008A5057" w:rsidP="00CE7475">
      <w:pPr>
        <w:contextualSpacing/>
        <w:jc w:val="both"/>
        <w:rPr>
          <w:rFonts w:ascii="Arial" w:hAnsi="Arial" w:cs="Arial"/>
          <w:b/>
          <w:sz w:val="18"/>
          <w:szCs w:val="18"/>
          <w:lang w:val="en-US"/>
        </w:rPr>
      </w:pPr>
      <w:r w:rsidRPr="00BD295E">
        <w:rPr>
          <w:rFonts w:ascii="Arial" w:hAnsi="Arial" w:cs="Arial"/>
          <w:b/>
          <w:sz w:val="18"/>
          <w:szCs w:val="18"/>
          <w:lang w:val="en-US"/>
        </w:rPr>
        <w:t>Local regulations adopted in the reporting period as part of complying with the requirements of federal anti-corruption legislation</w:t>
      </w:r>
    </w:p>
    <w:p w14:paraId="50AF3DDA" w14:textId="77777777" w:rsidR="00F3260C" w:rsidRPr="00BD295E" w:rsidRDefault="00F3260C" w:rsidP="00CE7475">
      <w:pPr>
        <w:contextualSpacing/>
        <w:jc w:val="both"/>
        <w:rPr>
          <w:rFonts w:ascii="Arial" w:hAnsi="Arial" w:cs="Arial"/>
          <w:b/>
          <w:sz w:val="18"/>
          <w:szCs w:val="18"/>
          <w:lang w:val="en-US"/>
        </w:rPr>
      </w:pPr>
    </w:p>
    <w:p w14:paraId="6DE4ADE2" w14:textId="4E76400F" w:rsidR="00F3260C" w:rsidRPr="00BD295E" w:rsidRDefault="008A5057" w:rsidP="00CE7475">
      <w:pPr>
        <w:contextualSpacing/>
        <w:jc w:val="both"/>
        <w:rPr>
          <w:rFonts w:ascii="Arial" w:hAnsi="Arial" w:cs="Arial"/>
          <w:sz w:val="18"/>
          <w:szCs w:val="18"/>
          <w:lang w:val="en-US"/>
        </w:rPr>
      </w:pPr>
      <w:r w:rsidRPr="00BD295E">
        <w:rPr>
          <w:rFonts w:ascii="Arial" w:hAnsi="Arial" w:cs="Arial"/>
          <w:sz w:val="18"/>
          <w:szCs w:val="18"/>
          <w:lang w:val="en-US"/>
        </w:rPr>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BF7D8E" w:rsidRPr="00BD295E">
        <w:rPr>
          <w:rFonts w:ascii="Arial" w:hAnsi="Arial" w:cs="Arial"/>
          <w:sz w:val="18"/>
          <w:szCs w:val="18"/>
          <w:lang w:val="en-US"/>
        </w:rPr>
        <w:t>updated</w:t>
      </w:r>
      <w:r w:rsidRPr="00BD295E">
        <w:rPr>
          <w:rFonts w:ascii="Arial" w:hAnsi="Arial" w:cs="Arial"/>
          <w:sz w:val="18"/>
          <w:szCs w:val="18"/>
          <w:lang w:val="en-US"/>
        </w:rPr>
        <w:t xml:space="preserve"> internal documents aimed at preventing corruption and eliminating its causes, which meet the requirements of Russian legislation, as well as documents setting the procedure for identifying and resolving pre-conflict of interest situations that arise among 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its subsidiaries: </w:t>
      </w:r>
    </w:p>
    <w:p w14:paraId="78EFA132" w14:textId="77777777" w:rsidR="00F3260C" w:rsidRPr="00BD295E" w:rsidRDefault="008A5057" w:rsidP="00CE7475">
      <w:pPr>
        <w:numPr>
          <w:ilvl w:val="0"/>
          <w:numId w:val="126"/>
        </w:numPr>
        <w:tabs>
          <w:tab w:val="left" w:pos="1418"/>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The anti-corruption program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 (approved by Order No. 76 order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21, 2018);</w:t>
      </w:r>
    </w:p>
    <w:p w14:paraId="1C080329" w14:textId="77777777" w:rsidR="00F3260C" w:rsidRPr="00BD295E" w:rsidRDefault="008A5057" w:rsidP="00CE7475">
      <w:pPr>
        <w:numPr>
          <w:ilvl w:val="0"/>
          <w:numId w:val="126"/>
        </w:numPr>
        <w:tabs>
          <w:tab w:val="left" w:pos="1418"/>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In accordance with the National Anti-Corruption Plan for 2018–2020 (approved by Executive Order No. 378 of the Russian President </w:t>
      </w:r>
      <w:r w:rsidR="008B183C" w:rsidRPr="00BD295E">
        <w:rPr>
          <w:rFonts w:ascii="Arial" w:hAnsi="Arial" w:cs="Arial"/>
          <w:sz w:val="18"/>
          <w:szCs w:val="18"/>
          <w:lang w:val="en-US"/>
        </w:rPr>
        <w:t>of</w:t>
      </w:r>
      <w:r w:rsidRPr="00BD295E">
        <w:rPr>
          <w:rFonts w:ascii="Arial" w:hAnsi="Arial" w:cs="Arial"/>
          <w:sz w:val="18"/>
          <w:szCs w:val="18"/>
          <w:lang w:val="en-US"/>
        </w:rPr>
        <w:t xml:space="preserve"> June 29, 2018), the Plan for Combating Corruption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 was adopted instead of the Anti-Corruption Program (Order No. 435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25, 2018) in order to step up anti-corruption efforts at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7A6E0971" w14:textId="77777777" w:rsidR="00F3260C" w:rsidRPr="00BD295E" w:rsidRDefault="008A5057" w:rsidP="00CE7475">
      <w:pPr>
        <w:numPr>
          <w:ilvl w:val="0"/>
          <w:numId w:val="126"/>
        </w:numPr>
        <w:tabs>
          <w:tab w:val="left" w:pos="1418"/>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Order No. 134, </w:t>
      </w:r>
      <w:r w:rsidRPr="00BD295E">
        <w:rPr>
          <w:rFonts w:ascii="Arial" w:hAnsi="Arial" w:cs="Arial"/>
          <w:i/>
          <w:iCs/>
          <w:sz w:val="18"/>
          <w:szCs w:val="18"/>
          <w:lang w:val="en-US"/>
        </w:rPr>
        <w:t>On improvements to prevention of corruption and prevention and management of conflicts of interest</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March 23, 2017 (as amended by Order No. 209 </w:t>
      </w:r>
      <w:r w:rsidR="008B183C" w:rsidRPr="00BD295E">
        <w:rPr>
          <w:rFonts w:ascii="Arial" w:hAnsi="Arial" w:cs="Arial"/>
          <w:sz w:val="18"/>
          <w:szCs w:val="18"/>
          <w:lang w:val="en-US"/>
        </w:rPr>
        <w:t>of</w:t>
      </w:r>
      <w:r w:rsidRPr="00BD295E">
        <w:rPr>
          <w:rFonts w:ascii="Arial" w:hAnsi="Arial" w:cs="Arial"/>
          <w:sz w:val="18"/>
          <w:szCs w:val="18"/>
          <w:lang w:val="en-US"/>
        </w:rPr>
        <w:t xml:space="preserve"> May 14, 2018 and No. 625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26, 2018);</w:t>
      </w:r>
    </w:p>
    <w:p w14:paraId="6A6D342D" w14:textId="77777777" w:rsidR="00F3260C" w:rsidRPr="00BD295E" w:rsidRDefault="008A5057" w:rsidP="00CE7475">
      <w:pPr>
        <w:numPr>
          <w:ilvl w:val="0"/>
          <w:numId w:val="126"/>
        </w:numPr>
        <w:tabs>
          <w:tab w:val="left" w:pos="1418"/>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Order No. 197, </w:t>
      </w:r>
      <w:r w:rsidRPr="00BD295E">
        <w:rPr>
          <w:rFonts w:ascii="Arial" w:hAnsi="Arial" w:cs="Arial"/>
          <w:i/>
          <w:iCs/>
          <w:sz w:val="18"/>
          <w:szCs w:val="18"/>
          <w:lang w:val="en-US"/>
        </w:rPr>
        <w:t xml:space="preserve">On Approval of the Guidelines for Corruption Risk Assessment at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26, 2018.</w:t>
      </w:r>
    </w:p>
    <w:p w14:paraId="7A779390" w14:textId="77777777" w:rsidR="00F3260C" w:rsidRPr="00BD295E" w:rsidRDefault="008A5057" w:rsidP="00CE7475">
      <w:pPr>
        <w:numPr>
          <w:ilvl w:val="0"/>
          <w:numId w:val="126"/>
        </w:numPr>
        <w:tabs>
          <w:tab w:val="left" w:pos="1418"/>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Order No. 201, </w:t>
      </w:r>
      <w:r w:rsidRPr="00BD295E">
        <w:rPr>
          <w:rFonts w:ascii="Arial" w:hAnsi="Arial" w:cs="Arial"/>
          <w:i/>
          <w:iCs/>
          <w:sz w:val="18"/>
          <w:szCs w:val="18"/>
          <w:lang w:val="en-US"/>
        </w:rPr>
        <w:t xml:space="preserve">On approval of the Regulations for the Procedure of Processing Personal Data in the Automated System for Collecting and Analyzing Information on Beneficiaries of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28, 2018. </w:t>
      </w:r>
    </w:p>
    <w:p w14:paraId="5864E6C2" w14:textId="77777777" w:rsidR="00F3260C" w:rsidRPr="00BD295E" w:rsidRDefault="008A5057" w:rsidP="00CE7475">
      <w:pPr>
        <w:numPr>
          <w:ilvl w:val="0"/>
          <w:numId w:val="126"/>
        </w:numPr>
        <w:tabs>
          <w:tab w:val="left" w:pos="1418"/>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Regulations for Insider Information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approved by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(Minutes No. 44 </w:t>
      </w:r>
      <w:r w:rsidR="008B183C" w:rsidRPr="00BD295E">
        <w:rPr>
          <w:rFonts w:ascii="Arial" w:hAnsi="Arial" w:cs="Arial"/>
          <w:sz w:val="18"/>
          <w:szCs w:val="18"/>
          <w:lang w:val="en-US"/>
        </w:rPr>
        <w:t>of</w:t>
      </w:r>
      <w:r w:rsidRPr="00BD295E">
        <w:rPr>
          <w:rFonts w:ascii="Arial" w:hAnsi="Arial" w:cs="Arial"/>
          <w:sz w:val="18"/>
          <w:szCs w:val="18"/>
          <w:lang w:val="en-US"/>
        </w:rPr>
        <w:t xml:space="preserve"> June 7, 2018)</w:t>
      </w:r>
    </w:p>
    <w:p w14:paraId="31F58C99" w14:textId="77777777" w:rsidR="00F3260C" w:rsidRPr="00BD295E" w:rsidRDefault="00F3260C" w:rsidP="00CE7475">
      <w:pPr>
        <w:contextualSpacing/>
        <w:jc w:val="both"/>
        <w:rPr>
          <w:rFonts w:ascii="Arial" w:hAnsi="Arial" w:cs="Arial"/>
          <w:sz w:val="18"/>
          <w:szCs w:val="18"/>
          <w:lang w:val="en-US"/>
        </w:rPr>
      </w:pPr>
    </w:p>
    <w:p w14:paraId="341FA78B" w14:textId="77777777" w:rsidR="00F3260C" w:rsidRPr="00BD295E" w:rsidRDefault="008A5057" w:rsidP="00CE7475">
      <w:pPr>
        <w:contextualSpacing/>
        <w:jc w:val="both"/>
        <w:rPr>
          <w:rFonts w:ascii="Arial" w:hAnsi="Arial" w:cs="Arial"/>
          <w:b/>
          <w:sz w:val="18"/>
          <w:szCs w:val="18"/>
          <w:lang w:val="en-US"/>
        </w:rPr>
      </w:pPr>
      <w:r w:rsidRPr="00BD295E">
        <w:rPr>
          <w:rFonts w:ascii="Arial" w:hAnsi="Arial" w:cs="Arial"/>
          <w:b/>
          <w:sz w:val="18"/>
          <w:szCs w:val="18"/>
          <w:lang w:val="en-US"/>
        </w:rPr>
        <w:t>Information on alleged cases of corruption and other abuses at the Company</w:t>
      </w:r>
    </w:p>
    <w:p w14:paraId="3D6B50CB" w14:textId="77777777" w:rsidR="00F3260C" w:rsidRPr="00BD295E" w:rsidRDefault="00F3260C" w:rsidP="00CE7475">
      <w:pPr>
        <w:contextualSpacing/>
        <w:jc w:val="both"/>
        <w:rPr>
          <w:rFonts w:ascii="Arial" w:hAnsi="Arial" w:cs="Arial"/>
          <w:sz w:val="18"/>
          <w:szCs w:val="18"/>
          <w:lang w:val="en-US"/>
        </w:rPr>
      </w:pPr>
    </w:p>
    <w:p w14:paraId="590758A8" w14:textId="77777777" w:rsidR="00F3260C" w:rsidRPr="00BD295E" w:rsidRDefault="008A5057" w:rsidP="00CE7475">
      <w:pPr>
        <w:contextualSpacing/>
        <w:jc w:val="both"/>
        <w:rPr>
          <w:rFonts w:ascii="Arial" w:hAnsi="Arial" w:cs="Arial"/>
          <w:sz w:val="18"/>
          <w:szCs w:val="18"/>
          <w:lang w:val="en-US"/>
        </w:rPr>
      </w:pPr>
      <w:r w:rsidRPr="00BD295E">
        <w:rPr>
          <w:rFonts w:ascii="Arial" w:hAnsi="Arial" w:cs="Arial"/>
          <w:sz w:val="18"/>
          <w:szCs w:val="18"/>
          <w:lang w:val="en-US"/>
        </w:rPr>
        <w:t xml:space="preserve">In 2018, the Company monitored information on reports and complaints </w:t>
      </w:r>
      <w:r w:rsidR="00CF0D86" w:rsidRPr="00BD295E">
        <w:rPr>
          <w:rFonts w:ascii="Arial" w:hAnsi="Arial" w:cs="Arial"/>
          <w:sz w:val="18"/>
          <w:szCs w:val="18"/>
          <w:lang w:val="en-US"/>
        </w:rPr>
        <w:t>concerning</w:t>
      </w:r>
      <w:r w:rsidRPr="00BD295E">
        <w:rPr>
          <w:rFonts w:ascii="Arial" w:hAnsi="Arial" w:cs="Arial"/>
          <w:sz w:val="18"/>
          <w:szCs w:val="18"/>
          <w:lang w:val="en-US"/>
        </w:rPr>
        <w:t xml:space="preserve"> alleged cases of corruption in accordance with the Procedure for Receiving, Reviewing, and Handling Reports (from Employees and Counterparties of </w:t>
      </w:r>
      <w:r w:rsidR="00EE5753" w:rsidRPr="00BD295E">
        <w:rPr>
          <w:rFonts w:ascii="Arial" w:hAnsi="Arial" w:cs="Arial"/>
          <w:sz w:val="18"/>
          <w:szCs w:val="18"/>
          <w:lang w:val="en-US"/>
        </w:rPr>
        <w:t>PJSC “Lenenergo”</w:t>
      </w:r>
      <w:r w:rsidRPr="00BD295E">
        <w:rPr>
          <w:rFonts w:ascii="Arial" w:hAnsi="Arial" w:cs="Arial"/>
          <w:sz w:val="18"/>
          <w:szCs w:val="18"/>
          <w:lang w:val="en-US"/>
        </w:rPr>
        <w:t>, and from Other Individuals and Legal Entities) on Alleged Cases of Corruption.</w:t>
      </w:r>
    </w:p>
    <w:p w14:paraId="09E107DE" w14:textId="77777777" w:rsidR="00F3260C" w:rsidRPr="00BD295E" w:rsidRDefault="008A5057" w:rsidP="00CE7475">
      <w:pPr>
        <w:contextualSpacing/>
        <w:jc w:val="both"/>
        <w:rPr>
          <w:rFonts w:ascii="Arial" w:hAnsi="Arial" w:cs="Arial"/>
          <w:sz w:val="18"/>
          <w:szCs w:val="18"/>
          <w:lang w:val="en-US"/>
        </w:rPr>
      </w:pPr>
      <w:r w:rsidRPr="00BD295E">
        <w:rPr>
          <w:rFonts w:ascii="Arial" w:hAnsi="Arial" w:cs="Arial"/>
          <w:sz w:val="18"/>
          <w:szCs w:val="18"/>
          <w:lang w:val="en-US"/>
        </w:rPr>
        <w:t>Such whistleblowing reports (“Reports”) are registered in a relevant logbook. In accordance with the requirements of the Company’s administrative documents, Reports are verified for the existence of the alleged cases of corruption, and, where necessary, investigations are conducted and appropriate measures are designed to suppress corruption offenses.</w:t>
      </w:r>
    </w:p>
    <w:p w14:paraId="18F7732B" w14:textId="00EDEDCB" w:rsidR="00F3260C" w:rsidRPr="00BD295E" w:rsidRDefault="00997D07" w:rsidP="00CE7475">
      <w:pPr>
        <w:pStyle w:val="Style3"/>
        <w:tabs>
          <w:tab w:val="left" w:pos="709"/>
        </w:tabs>
        <w:spacing w:line="240" w:lineRule="auto"/>
        <w:ind w:firstLine="0"/>
        <w:contextualSpacing/>
        <w:rPr>
          <w:rFonts w:ascii="Arial" w:eastAsia="Calibri" w:hAnsi="Arial" w:cs="Arial"/>
          <w:sz w:val="18"/>
          <w:szCs w:val="18"/>
          <w:lang w:val="en-US"/>
        </w:rPr>
      </w:pPr>
      <w:r w:rsidRPr="00BD295E">
        <w:rPr>
          <w:rFonts w:ascii="Arial" w:hAnsi="Arial" w:cs="Arial"/>
          <w:sz w:val="18"/>
          <w:szCs w:val="18"/>
          <w:lang w:val="en-US" w:eastAsia="en-US"/>
        </w:rPr>
        <w:drawing>
          <wp:anchor distT="0" distB="0" distL="114300" distR="114300" simplePos="0" relativeHeight="251643392" behindDoc="0" locked="0" layoutInCell="1" allowOverlap="1" wp14:anchorId="70499100" wp14:editId="3F21815B">
            <wp:simplePos x="0" y="0"/>
            <wp:positionH relativeFrom="column">
              <wp:posOffset>-40005</wp:posOffset>
            </wp:positionH>
            <wp:positionV relativeFrom="paragraph">
              <wp:posOffset>342900</wp:posOffset>
            </wp:positionV>
            <wp:extent cx="6120130" cy="2414270"/>
            <wp:effectExtent l="0" t="0" r="13970" b="5080"/>
            <wp:wrapTopAndBottom/>
            <wp:docPr id="168" name="Диаграмма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r w:rsidR="008A5057" w:rsidRPr="00BD295E">
        <w:rPr>
          <w:rFonts w:ascii="Arial" w:hAnsi="Arial" w:cs="Arial"/>
          <w:sz w:val="18"/>
          <w:szCs w:val="18"/>
          <w:lang w:val="en-US"/>
        </w:rPr>
        <w:t xml:space="preserve">A total of 47 reports were registered at </w:t>
      </w:r>
      <w:r w:rsidR="00EE5753" w:rsidRPr="00BD295E">
        <w:rPr>
          <w:rFonts w:ascii="Arial" w:hAnsi="Arial" w:cs="Arial"/>
          <w:sz w:val="18"/>
          <w:szCs w:val="18"/>
          <w:lang w:val="en-US"/>
        </w:rPr>
        <w:t>PJSC “Lenenergo”</w:t>
      </w:r>
      <w:r w:rsidR="008A5057" w:rsidRPr="00BD295E">
        <w:rPr>
          <w:rFonts w:ascii="Arial" w:hAnsi="Arial" w:cs="Arial"/>
          <w:sz w:val="18"/>
          <w:szCs w:val="18"/>
          <w:lang w:val="en-US"/>
        </w:rPr>
        <w:t xml:space="preserve"> in 2018. </w:t>
      </w:r>
    </w:p>
    <w:p w14:paraId="6809EFD7" w14:textId="77777777" w:rsidR="00F3260C" w:rsidRPr="00BD295E" w:rsidRDefault="00F3260C" w:rsidP="00F3260C">
      <w:pPr>
        <w:pStyle w:val="Style3"/>
        <w:tabs>
          <w:tab w:val="left" w:pos="709"/>
        </w:tabs>
        <w:spacing w:line="240" w:lineRule="auto"/>
        <w:ind w:firstLine="709"/>
        <w:contextualSpacing/>
        <w:rPr>
          <w:rFonts w:ascii="Arial" w:hAnsi="Arial" w:cs="Arial"/>
          <w:sz w:val="18"/>
          <w:szCs w:val="18"/>
          <w:lang w:val="en-US"/>
        </w:rPr>
      </w:pPr>
    </w:p>
    <w:p w14:paraId="60430649" w14:textId="77777777" w:rsidR="00F3260C" w:rsidRPr="00BD295E" w:rsidRDefault="00F3260C" w:rsidP="00F3260C">
      <w:pPr>
        <w:pStyle w:val="Style3"/>
        <w:tabs>
          <w:tab w:val="left" w:pos="709"/>
        </w:tabs>
        <w:spacing w:line="240" w:lineRule="auto"/>
        <w:ind w:firstLine="709"/>
        <w:contextualSpacing/>
        <w:rPr>
          <w:rFonts w:ascii="Arial" w:hAnsi="Arial" w:cs="Arial"/>
          <w:sz w:val="18"/>
          <w:szCs w:val="18"/>
          <w:lang w:val="en-US"/>
        </w:rPr>
      </w:pPr>
    </w:p>
    <w:p w14:paraId="4EEC0EA0" w14:textId="77777777" w:rsidR="00F3260C" w:rsidRPr="00BD295E" w:rsidRDefault="008A5057" w:rsidP="00CE7475">
      <w:pPr>
        <w:pStyle w:val="Style3"/>
        <w:tabs>
          <w:tab w:val="left" w:pos="709"/>
        </w:tabs>
        <w:spacing w:line="240" w:lineRule="auto"/>
        <w:ind w:firstLine="0"/>
        <w:contextualSpacing/>
        <w:rPr>
          <w:rFonts w:ascii="Arial" w:hAnsi="Arial" w:cs="Arial"/>
          <w:sz w:val="18"/>
          <w:szCs w:val="18"/>
          <w:lang w:val="en-US"/>
        </w:rPr>
      </w:pPr>
      <w:r w:rsidRPr="00BD295E">
        <w:rPr>
          <w:rFonts w:ascii="Arial" w:hAnsi="Arial" w:cs="Arial"/>
          <w:sz w:val="18"/>
          <w:szCs w:val="18"/>
          <w:lang w:val="en-US"/>
        </w:rPr>
        <w:t>Review results:</w:t>
      </w:r>
    </w:p>
    <w:p w14:paraId="50F9F01C" w14:textId="77777777" w:rsidR="00F3260C" w:rsidRPr="00BD295E" w:rsidRDefault="008A5057" w:rsidP="00CE7475">
      <w:pPr>
        <w:pStyle w:val="Style3"/>
        <w:tabs>
          <w:tab w:val="left" w:pos="709"/>
        </w:tabs>
        <w:spacing w:line="240" w:lineRule="auto"/>
        <w:ind w:firstLine="0"/>
        <w:contextualSpacing/>
        <w:rPr>
          <w:rFonts w:ascii="Arial" w:hAnsi="Arial" w:cs="Arial"/>
          <w:sz w:val="18"/>
          <w:szCs w:val="18"/>
          <w:lang w:val="en-US"/>
        </w:rPr>
      </w:pPr>
      <w:r w:rsidRPr="00BD295E">
        <w:rPr>
          <w:rFonts w:ascii="Arial" w:hAnsi="Arial" w:cs="Arial"/>
          <w:sz w:val="18"/>
          <w:szCs w:val="18"/>
          <w:lang w:val="en-US"/>
        </w:rPr>
        <w:t>In 29 cases, the reports were filed with respect to the Company’s employees and performance of contractual obligations on grid connection.</w:t>
      </w:r>
    </w:p>
    <w:p w14:paraId="1F7D2FCD" w14:textId="77777777" w:rsidR="00F3260C" w:rsidRPr="00BD295E" w:rsidRDefault="008A5057" w:rsidP="00CE7475">
      <w:pPr>
        <w:pStyle w:val="Style3"/>
        <w:tabs>
          <w:tab w:val="left" w:pos="709"/>
        </w:tabs>
        <w:spacing w:line="240" w:lineRule="auto"/>
        <w:ind w:firstLine="0"/>
        <w:contextualSpacing/>
        <w:rPr>
          <w:rFonts w:ascii="Arial" w:hAnsi="Arial" w:cs="Arial"/>
          <w:sz w:val="18"/>
          <w:szCs w:val="18"/>
          <w:lang w:val="en-US"/>
        </w:rPr>
      </w:pPr>
      <w:r w:rsidRPr="00BD295E">
        <w:rPr>
          <w:rFonts w:ascii="Arial" w:hAnsi="Arial" w:cs="Arial"/>
          <w:sz w:val="18"/>
          <w:szCs w:val="18"/>
          <w:lang w:val="en-US"/>
        </w:rPr>
        <w:t xml:space="preserve">In 18 cases, individuals and organizations contacted the Company on other matters, including electricity supply interruptions, domestic power outages, and execution of documents for signing a grid connection contract. </w:t>
      </w:r>
    </w:p>
    <w:p w14:paraId="209F85D8" w14:textId="77777777" w:rsidR="00F3260C" w:rsidRPr="00BD295E" w:rsidRDefault="008A5057" w:rsidP="00CE7475">
      <w:pPr>
        <w:pStyle w:val="Style3"/>
        <w:tabs>
          <w:tab w:val="left" w:pos="709"/>
        </w:tabs>
        <w:spacing w:line="240" w:lineRule="auto"/>
        <w:ind w:firstLine="0"/>
        <w:contextualSpacing/>
        <w:rPr>
          <w:rFonts w:ascii="Arial" w:hAnsi="Arial" w:cs="Arial"/>
          <w:sz w:val="18"/>
          <w:szCs w:val="18"/>
          <w:lang w:val="en-US"/>
        </w:rPr>
      </w:pPr>
      <w:r w:rsidRPr="00BD295E">
        <w:rPr>
          <w:rFonts w:ascii="Arial" w:hAnsi="Arial" w:cs="Arial"/>
          <w:sz w:val="18"/>
          <w:szCs w:val="18"/>
          <w:lang w:val="en-US"/>
        </w:rPr>
        <w:t>Four cases included whistleblowing reports.</w:t>
      </w:r>
    </w:p>
    <w:p w14:paraId="22DE760E" w14:textId="77777777" w:rsidR="00F3260C" w:rsidRPr="00BD295E" w:rsidRDefault="008A5057" w:rsidP="00CE7475">
      <w:pPr>
        <w:pStyle w:val="Style3"/>
        <w:tabs>
          <w:tab w:val="left" w:pos="709"/>
        </w:tabs>
        <w:spacing w:line="240" w:lineRule="auto"/>
        <w:ind w:firstLine="0"/>
        <w:contextualSpacing/>
        <w:rPr>
          <w:rFonts w:ascii="Arial" w:hAnsi="Arial" w:cs="Arial"/>
          <w:sz w:val="18"/>
          <w:szCs w:val="18"/>
          <w:lang w:val="en-US"/>
        </w:rPr>
      </w:pPr>
      <w:r w:rsidRPr="00BD295E">
        <w:rPr>
          <w:rFonts w:ascii="Arial" w:hAnsi="Arial" w:cs="Arial"/>
          <w:sz w:val="18"/>
          <w:szCs w:val="18"/>
          <w:lang w:val="en-US"/>
        </w:rPr>
        <w:t>The relevant information regarding the alleged corruption offenses was investigated, with no confirmation of corrupt practices or other abuses found out as a result.</w:t>
      </w:r>
    </w:p>
    <w:p w14:paraId="4B63AE9C" w14:textId="77777777" w:rsidR="00F3260C" w:rsidRPr="00BD295E" w:rsidRDefault="008A5057" w:rsidP="00CE7475">
      <w:pPr>
        <w:pStyle w:val="Style3"/>
        <w:tabs>
          <w:tab w:val="left" w:pos="709"/>
        </w:tabs>
        <w:spacing w:line="240" w:lineRule="auto"/>
        <w:ind w:firstLine="0"/>
        <w:contextualSpacing/>
        <w:rPr>
          <w:rFonts w:ascii="Arial" w:hAnsi="Arial" w:cs="Arial"/>
          <w:sz w:val="18"/>
          <w:szCs w:val="18"/>
          <w:lang w:val="en-US"/>
        </w:rPr>
      </w:pPr>
      <w:r w:rsidRPr="00BD295E">
        <w:rPr>
          <w:rFonts w:ascii="Arial" w:hAnsi="Arial" w:cs="Arial"/>
          <w:sz w:val="18"/>
          <w:szCs w:val="18"/>
          <w:lang w:val="en-US"/>
        </w:rPr>
        <w:t xml:space="preserve">All complaints received were reviewed in accordance with the procedure applicable at the Company, with appropriate measures and decisions taken based on the results of such analysis and review. </w:t>
      </w:r>
    </w:p>
    <w:p w14:paraId="4A2E6100" w14:textId="77777777" w:rsidR="00F3260C" w:rsidRPr="00BD295E" w:rsidRDefault="00F3260C" w:rsidP="00CE7475">
      <w:pPr>
        <w:pStyle w:val="Style3"/>
        <w:tabs>
          <w:tab w:val="left" w:pos="709"/>
        </w:tabs>
        <w:spacing w:line="240" w:lineRule="auto"/>
        <w:ind w:firstLine="0"/>
        <w:contextualSpacing/>
        <w:rPr>
          <w:rFonts w:ascii="Arial" w:hAnsi="Arial" w:cs="Arial"/>
          <w:sz w:val="18"/>
          <w:szCs w:val="18"/>
          <w:lang w:val="en-US"/>
        </w:rPr>
      </w:pPr>
    </w:p>
    <w:p w14:paraId="704C1E08" w14:textId="77777777" w:rsidR="00F3260C" w:rsidRPr="00BD295E" w:rsidRDefault="008A5057" w:rsidP="00CE7475">
      <w:pPr>
        <w:pStyle w:val="Style3"/>
        <w:tabs>
          <w:tab w:val="left" w:pos="709"/>
        </w:tabs>
        <w:spacing w:line="240" w:lineRule="auto"/>
        <w:ind w:firstLine="0"/>
        <w:contextualSpacing/>
        <w:rPr>
          <w:rFonts w:ascii="Arial" w:eastAsia="Calibri" w:hAnsi="Arial" w:cs="Arial"/>
          <w:b/>
          <w:sz w:val="18"/>
          <w:szCs w:val="18"/>
          <w:lang w:val="en-US"/>
        </w:rPr>
      </w:pPr>
      <w:r w:rsidRPr="00BD295E">
        <w:rPr>
          <w:rFonts w:ascii="Arial" w:hAnsi="Arial" w:cs="Arial"/>
          <w:b/>
          <w:sz w:val="18"/>
          <w:szCs w:val="18"/>
          <w:lang w:val="en-US"/>
        </w:rPr>
        <w:t xml:space="preserve">Measures to identify and resolve conflicts of interest </w:t>
      </w:r>
    </w:p>
    <w:p w14:paraId="3328FB5D" w14:textId="77777777" w:rsidR="00F3260C" w:rsidRPr="00BD295E" w:rsidRDefault="00F3260C" w:rsidP="00CE7475">
      <w:pPr>
        <w:pStyle w:val="Style3"/>
        <w:tabs>
          <w:tab w:val="left" w:pos="709"/>
        </w:tabs>
        <w:spacing w:line="240" w:lineRule="auto"/>
        <w:ind w:firstLine="0"/>
        <w:contextualSpacing/>
        <w:rPr>
          <w:rFonts w:ascii="Arial" w:hAnsi="Arial" w:cs="Arial"/>
          <w:sz w:val="18"/>
          <w:szCs w:val="18"/>
          <w:lang w:val="en-US"/>
        </w:rPr>
      </w:pPr>
    </w:p>
    <w:p w14:paraId="463FEC56" w14:textId="77777777" w:rsidR="00F3260C" w:rsidRPr="00BD295E" w:rsidRDefault="00EE5753" w:rsidP="00CE7475">
      <w:pPr>
        <w:pStyle w:val="Style3"/>
        <w:tabs>
          <w:tab w:val="left" w:pos="709"/>
        </w:tabs>
        <w:spacing w:line="240" w:lineRule="auto"/>
        <w:ind w:firstLine="0"/>
        <w:contextualSpacing/>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has in place a system for preventing, timely identifying, and resolving conflicts of interest as well as for coordinating the course of action to be taken by employees in case of actual or potential conflict of interest, which includes, </w:t>
      </w:r>
      <w:r w:rsidR="008A5057" w:rsidRPr="00BD295E">
        <w:rPr>
          <w:rFonts w:ascii="Arial" w:hAnsi="Arial" w:cs="Arial"/>
          <w:i/>
          <w:iCs/>
          <w:sz w:val="18"/>
          <w:szCs w:val="18"/>
          <w:lang w:val="en-US"/>
        </w:rPr>
        <w:t>inter alia</w:t>
      </w:r>
      <w:r w:rsidR="008A5057" w:rsidRPr="00BD295E">
        <w:rPr>
          <w:rFonts w:ascii="Arial" w:hAnsi="Arial" w:cs="Arial"/>
          <w:sz w:val="18"/>
          <w:szCs w:val="18"/>
          <w:lang w:val="en-US"/>
        </w:rPr>
        <w:t>, procedures for disclosing information on the existence of a conflict of interest (declaration of a conflict of interest):</w:t>
      </w:r>
    </w:p>
    <w:p w14:paraId="1D5A7902" w14:textId="77777777" w:rsidR="00F3260C" w:rsidRPr="00BD295E" w:rsidRDefault="008A5057" w:rsidP="00CE7475">
      <w:pPr>
        <w:pStyle w:val="af3"/>
        <w:numPr>
          <w:ilvl w:val="0"/>
          <w:numId w:val="92"/>
        </w:numPr>
        <w:tabs>
          <w:tab w:val="left" w:pos="993"/>
        </w:tabs>
        <w:ind w:left="0" w:firstLine="0"/>
        <w:jc w:val="both"/>
        <w:rPr>
          <w:rFonts w:ascii="Arial" w:hAnsi="Arial" w:cs="Arial"/>
          <w:sz w:val="18"/>
          <w:szCs w:val="18"/>
          <w:lang w:val="en-US"/>
        </w:rPr>
      </w:pPr>
      <w:r w:rsidRPr="00BD295E">
        <w:rPr>
          <w:rFonts w:ascii="Arial" w:hAnsi="Arial" w:cs="Arial"/>
          <w:sz w:val="18"/>
          <w:szCs w:val="18"/>
          <w:lang w:val="en-US"/>
        </w:rPr>
        <w:t>initial disclosure of the existence of a conflict of interest upon hiring;</w:t>
      </w:r>
    </w:p>
    <w:p w14:paraId="32E10C6E" w14:textId="77777777" w:rsidR="00F3260C" w:rsidRPr="00BD295E" w:rsidRDefault="008A5057" w:rsidP="00CE7475">
      <w:pPr>
        <w:pStyle w:val="af3"/>
        <w:numPr>
          <w:ilvl w:val="0"/>
          <w:numId w:val="92"/>
        </w:numPr>
        <w:tabs>
          <w:tab w:val="left" w:pos="993"/>
        </w:tabs>
        <w:ind w:left="0" w:firstLine="0"/>
        <w:jc w:val="both"/>
        <w:rPr>
          <w:rFonts w:ascii="Arial" w:hAnsi="Arial" w:cs="Arial"/>
          <w:sz w:val="18"/>
          <w:szCs w:val="18"/>
          <w:lang w:val="en-US"/>
        </w:rPr>
      </w:pPr>
      <w:r w:rsidRPr="00BD295E">
        <w:rPr>
          <w:rFonts w:ascii="Arial" w:hAnsi="Arial" w:cs="Arial"/>
          <w:bCs/>
          <w:sz w:val="18"/>
          <w:szCs w:val="18"/>
          <w:lang w:val="en-US"/>
        </w:rPr>
        <w:t>verification of conflict of interest declarations of candidates for vacant positions (when hiring/transferring to another position);</w:t>
      </w:r>
      <w:r w:rsidRPr="00BD295E">
        <w:rPr>
          <w:rFonts w:ascii="Arial" w:hAnsi="Arial" w:cs="Arial"/>
          <w:sz w:val="18"/>
          <w:szCs w:val="18"/>
          <w:lang w:val="en-US"/>
        </w:rPr>
        <w:t xml:space="preserve"> </w:t>
      </w:r>
    </w:p>
    <w:p w14:paraId="7EA6B578" w14:textId="77777777" w:rsidR="00F3260C" w:rsidRPr="00BD295E" w:rsidRDefault="008A5057" w:rsidP="00CE7475">
      <w:pPr>
        <w:pStyle w:val="af3"/>
        <w:numPr>
          <w:ilvl w:val="0"/>
          <w:numId w:val="92"/>
        </w:numPr>
        <w:tabs>
          <w:tab w:val="left" w:pos="993"/>
        </w:tabs>
        <w:ind w:left="0" w:firstLine="0"/>
        <w:jc w:val="both"/>
        <w:rPr>
          <w:rFonts w:ascii="Arial" w:hAnsi="Arial" w:cs="Arial"/>
          <w:sz w:val="18"/>
          <w:szCs w:val="18"/>
          <w:lang w:val="en-US"/>
        </w:rPr>
      </w:pPr>
      <w:r w:rsidRPr="00BD295E">
        <w:rPr>
          <w:rFonts w:ascii="Arial" w:hAnsi="Arial" w:cs="Arial"/>
          <w:sz w:val="18"/>
          <w:szCs w:val="18"/>
          <w:lang w:val="en-US"/>
        </w:rPr>
        <w:t>annual disclosure of conflicts of interest as at December 31 of the respective year;</w:t>
      </w:r>
    </w:p>
    <w:p w14:paraId="5C8CB0CE" w14:textId="77777777" w:rsidR="00F3260C" w:rsidRPr="00BD295E" w:rsidRDefault="008A5057" w:rsidP="00CE7475">
      <w:pPr>
        <w:pStyle w:val="af3"/>
        <w:numPr>
          <w:ilvl w:val="0"/>
          <w:numId w:val="92"/>
        </w:numPr>
        <w:tabs>
          <w:tab w:val="left" w:pos="993"/>
        </w:tabs>
        <w:ind w:left="0" w:firstLine="0"/>
        <w:jc w:val="both"/>
        <w:rPr>
          <w:rFonts w:ascii="Arial" w:hAnsi="Arial" w:cs="Arial"/>
          <w:sz w:val="18"/>
          <w:szCs w:val="18"/>
          <w:lang w:val="en-US"/>
        </w:rPr>
      </w:pPr>
      <w:r w:rsidRPr="00BD295E">
        <w:rPr>
          <w:rFonts w:ascii="Arial" w:hAnsi="Arial" w:cs="Arial"/>
          <w:sz w:val="18"/>
          <w:szCs w:val="18"/>
          <w:lang w:val="en-US"/>
        </w:rPr>
        <w:t>disclosure of any personal interest that employees have in performing their job duties, which leads or may lead to a conflict of interest.</w:t>
      </w:r>
    </w:p>
    <w:p w14:paraId="1C67C48D" w14:textId="77777777" w:rsidR="00F3260C" w:rsidRPr="00BD295E" w:rsidRDefault="00F3260C" w:rsidP="00CE7475">
      <w:pPr>
        <w:pStyle w:val="af3"/>
        <w:ind w:left="0"/>
        <w:rPr>
          <w:rStyle w:val="FontStyle17"/>
          <w:rFonts w:ascii="Arial" w:hAnsi="Arial" w:cs="Arial"/>
          <w:sz w:val="18"/>
          <w:szCs w:val="18"/>
          <w:lang w:val="en-US"/>
        </w:rPr>
      </w:pPr>
    </w:p>
    <w:p w14:paraId="53EC1669" w14:textId="77777777" w:rsidR="00F3260C" w:rsidRPr="00BD295E" w:rsidRDefault="008A5057" w:rsidP="00CE7475">
      <w:pPr>
        <w:contextualSpacing/>
        <w:jc w:val="both"/>
        <w:rPr>
          <w:rStyle w:val="FontStyle17"/>
          <w:rFonts w:ascii="Arial" w:hAnsi="Arial" w:cs="Arial"/>
          <w:sz w:val="18"/>
          <w:szCs w:val="18"/>
          <w:lang w:val="en-US"/>
        </w:rPr>
      </w:pPr>
      <w:r w:rsidRPr="00BD295E">
        <w:rPr>
          <w:rStyle w:val="FontStyle17"/>
          <w:rFonts w:ascii="Arial" w:hAnsi="Arial" w:cs="Arial"/>
          <w:sz w:val="18"/>
          <w:szCs w:val="18"/>
          <w:lang w:val="en-US"/>
        </w:rPr>
        <w:t xml:space="preserve">In accordance with the Regulations for Conflict of Interest Resolution of </w:t>
      </w:r>
      <w:r w:rsidR="00EE5753" w:rsidRPr="00BD295E">
        <w:rPr>
          <w:rStyle w:val="FontStyle17"/>
          <w:rFonts w:ascii="Arial" w:hAnsi="Arial" w:cs="Arial"/>
          <w:sz w:val="18"/>
          <w:szCs w:val="18"/>
          <w:lang w:val="en-US"/>
        </w:rPr>
        <w:t>PJSC “Lenenergo”</w:t>
      </w:r>
      <w:r w:rsidRPr="00BD295E">
        <w:rPr>
          <w:rStyle w:val="FontStyle17"/>
          <w:rFonts w:ascii="Arial" w:hAnsi="Arial" w:cs="Arial"/>
          <w:sz w:val="18"/>
          <w:szCs w:val="18"/>
          <w:lang w:val="en-US"/>
        </w:rPr>
        <w:t xml:space="preserve">, the Company fully and timely implemented the measures required for the annual conflict of interest declaration by employees of </w:t>
      </w:r>
      <w:r w:rsidR="00EE5753" w:rsidRPr="00BD295E">
        <w:rPr>
          <w:rStyle w:val="FontStyle17"/>
          <w:rFonts w:ascii="Arial" w:hAnsi="Arial" w:cs="Arial"/>
          <w:sz w:val="18"/>
          <w:szCs w:val="18"/>
          <w:lang w:val="en-US"/>
        </w:rPr>
        <w:t>PJSC “Lenenergo”</w:t>
      </w:r>
      <w:r w:rsidRPr="00BD295E">
        <w:rPr>
          <w:rStyle w:val="FontStyle17"/>
          <w:rFonts w:ascii="Arial" w:hAnsi="Arial" w:cs="Arial"/>
          <w:sz w:val="18"/>
          <w:szCs w:val="18"/>
          <w:lang w:val="en-US"/>
        </w:rPr>
        <w:t xml:space="preserve"> and </w:t>
      </w:r>
      <w:r w:rsidR="006515AB" w:rsidRPr="00BD295E">
        <w:rPr>
          <w:rStyle w:val="FontStyle17"/>
          <w:rFonts w:ascii="Arial" w:hAnsi="Arial" w:cs="Arial"/>
          <w:sz w:val="18"/>
          <w:szCs w:val="18"/>
          <w:lang w:val="en-US"/>
        </w:rPr>
        <w:t>subsidiaries and affiliates</w:t>
      </w:r>
      <w:r w:rsidRPr="00BD295E">
        <w:rPr>
          <w:rStyle w:val="FontStyle17"/>
          <w:rFonts w:ascii="Arial" w:hAnsi="Arial" w:cs="Arial"/>
          <w:sz w:val="18"/>
          <w:szCs w:val="18"/>
          <w:lang w:val="en-US"/>
        </w:rPr>
        <w:t xml:space="preserve"> of </w:t>
      </w:r>
      <w:r w:rsidR="00EE5753" w:rsidRPr="00BD295E">
        <w:rPr>
          <w:rStyle w:val="FontStyle17"/>
          <w:rFonts w:ascii="Arial" w:hAnsi="Arial" w:cs="Arial"/>
          <w:sz w:val="18"/>
          <w:szCs w:val="18"/>
          <w:lang w:val="en-US"/>
        </w:rPr>
        <w:t>PJSC “Lenenergo”</w:t>
      </w:r>
      <w:r w:rsidRPr="00BD295E">
        <w:rPr>
          <w:rStyle w:val="FontStyle17"/>
          <w:rFonts w:ascii="Arial" w:hAnsi="Arial" w:cs="Arial"/>
          <w:sz w:val="18"/>
          <w:szCs w:val="18"/>
          <w:lang w:val="en-US"/>
        </w:rPr>
        <w:t xml:space="preserve"> via an electronic declaration subsystem, </w:t>
      </w:r>
      <w:r w:rsidRPr="00BD295E">
        <w:rPr>
          <w:rStyle w:val="FontStyle17"/>
          <w:rFonts w:ascii="Arial" w:hAnsi="Arial" w:cs="Arial"/>
          <w:i/>
          <w:iCs/>
          <w:sz w:val="18"/>
          <w:szCs w:val="18"/>
          <w:lang w:val="en-US"/>
        </w:rPr>
        <w:t>Automated Analysis and Collection System for Information on Beneficiaries</w:t>
      </w:r>
      <w:r w:rsidRPr="00BD295E">
        <w:rPr>
          <w:rStyle w:val="FontStyle17"/>
          <w:rFonts w:ascii="Arial" w:hAnsi="Arial" w:cs="Arial"/>
          <w:sz w:val="18"/>
          <w:szCs w:val="18"/>
          <w:lang w:val="en-US"/>
        </w:rPr>
        <w:t>.</w:t>
      </w:r>
    </w:p>
    <w:p w14:paraId="23249509" w14:textId="77777777" w:rsidR="00F3260C" w:rsidRPr="00BD295E" w:rsidRDefault="008A5057" w:rsidP="00CE7475">
      <w:pPr>
        <w:contextualSpacing/>
        <w:jc w:val="both"/>
        <w:rPr>
          <w:rStyle w:val="FontStyle17"/>
          <w:rFonts w:ascii="Arial" w:hAnsi="Arial" w:cs="Arial"/>
          <w:sz w:val="18"/>
          <w:szCs w:val="18"/>
          <w:lang w:val="en-US"/>
        </w:rPr>
      </w:pPr>
      <w:r w:rsidRPr="00BD295E">
        <w:rPr>
          <w:rFonts w:ascii="Arial" w:hAnsi="Arial" w:cs="Arial"/>
          <w:sz w:val="18"/>
          <w:szCs w:val="18"/>
          <w:lang w:val="en-US"/>
        </w:rPr>
        <w:t>In 2018, the annual procedure for declaring conflicts of interest for 2017 was held for the Company’s employees.</w:t>
      </w:r>
    </w:p>
    <w:p w14:paraId="4D763A68" w14:textId="77777777" w:rsidR="00F3260C" w:rsidRPr="00BD295E" w:rsidRDefault="00F3260C" w:rsidP="00F3260C">
      <w:pPr>
        <w:contextualSpacing/>
        <w:jc w:val="both"/>
        <w:rPr>
          <w:rStyle w:val="FontStyle17"/>
          <w:rFonts w:ascii="Arial" w:hAnsi="Arial" w:cs="Arial"/>
          <w:sz w:val="18"/>
          <w:szCs w:val="18"/>
          <w:lang w:val="en-US"/>
        </w:rPr>
      </w:pPr>
    </w:p>
    <w:tbl>
      <w:tblPr>
        <w:tblW w:w="99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
        <w:gridCol w:w="709"/>
        <w:gridCol w:w="7625"/>
        <w:gridCol w:w="171"/>
        <w:gridCol w:w="65"/>
        <w:gridCol w:w="1176"/>
      </w:tblGrid>
      <w:tr w:rsidR="008A5057" w:rsidRPr="00BD295E" w14:paraId="49C5ADFE" w14:textId="77777777" w:rsidTr="00E3510B">
        <w:tc>
          <w:tcPr>
            <w:tcW w:w="8505" w:type="dxa"/>
            <w:gridSpan w:val="3"/>
            <w:tcBorders>
              <w:top w:val="nil"/>
              <w:left w:val="nil"/>
              <w:bottom w:val="single" w:sz="4" w:space="0" w:color="auto"/>
              <w:right w:val="nil"/>
            </w:tcBorders>
            <w:shd w:val="clear" w:color="auto" w:fill="auto"/>
            <w:vAlign w:val="center"/>
          </w:tcPr>
          <w:p w14:paraId="4BAB9434" w14:textId="77777777" w:rsidR="00F3260C" w:rsidRPr="00BD295E" w:rsidRDefault="008A5057" w:rsidP="00CE7475">
            <w:pPr>
              <w:rPr>
                <w:rFonts w:ascii="Arial" w:hAnsi="Arial" w:cs="Arial"/>
                <w:b/>
                <w:sz w:val="18"/>
                <w:szCs w:val="18"/>
                <w:lang w:val="en-US"/>
              </w:rPr>
            </w:pPr>
            <w:r w:rsidRPr="00BD295E">
              <w:rPr>
                <w:rStyle w:val="FontStyle17"/>
                <w:rFonts w:ascii="Arial" w:hAnsi="Arial" w:cs="Arial"/>
                <w:sz w:val="18"/>
                <w:szCs w:val="18"/>
                <w:lang w:val="en-US"/>
              </w:rPr>
              <w:t>Declaration results</w:t>
            </w:r>
          </w:p>
        </w:tc>
        <w:tc>
          <w:tcPr>
            <w:tcW w:w="236" w:type="dxa"/>
            <w:gridSpan w:val="2"/>
            <w:tcBorders>
              <w:top w:val="nil"/>
              <w:left w:val="nil"/>
              <w:bottom w:val="single" w:sz="4" w:space="0" w:color="auto"/>
              <w:right w:val="nil"/>
            </w:tcBorders>
            <w:shd w:val="clear" w:color="auto" w:fill="auto"/>
            <w:vAlign w:val="center"/>
          </w:tcPr>
          <w:p w14:paraId="1061625D" w14:textId="77777777" w:rsidR="00F3260C" w:rsidRPr="00BD295E" w:rsidRDefault="00F3260C" w:rsidP="00CE7475">
            <w:pPr>
              <w:jc w:val="center"/>
              <w:rPr>
                <w:rFonts w:ascii="Arial" w:hAnsi="Arial" w:cs="Arial"/>
                <w:i/>
                <w:sz w:val="18"/>
                <w:szCs w:val="18"/>
                <w:lang w:val="en-US"/>
              </w:rPr>
            </w:pPr>
          </w:p>
        </w:tc>
        <w:tc>
          <w:tcPr>
            <w:tcW w:w="1176" w:type="dxa"/>
            <w:tcBorders>
              <w:top w:val="nil"/>
              <w:left w:val="nil"/>
              <w:bottom w:val="single" w:sz="4" w:space="0" w:color="auto"/>
              <w:right w:val="nil"/>
            </w:tcBorders>
            <w:shd w:val="clear" w:color="auto" w:fill="auto"/>
            <w:vAlign w:val="center"/>
          </w:tcPr>
          <w:p w14:paraId="03074A9A" w14:textId="77777777" w:rsidR="00F3260C" w:rsidRPr="00BD295E" w:rsidRDefault="00F3260C" w:rsidP="00CE7475">
            <w:pPr>
              <w:jc w:val="center"/>
              <w:rPr>
                <w:rFonts w:ascii="Arial" w:hAnsi="Arial" w:cs="Arial"/>
                <w:i/>
                <w:sz w:val="18"/>
                <w:szCs w:val="18"/>
                <w:lang w:val="en-US"/>
              </w:rPr>
            </w:pPr>
          </w:p>
        </w:tc>
      </w:tr>
      <w:tr w:rsidR="008A5057" w:rsidRPr="00BD295E" w14:paraId="382261D0" w14:textId="77777777" w:rsidTr="00E3510B">
        <w:trPr>
          <w:gridBefore w:val="1"/>
          <w:wBefore w:w="171" w:type="dxa"/>
        </w:trPr>
        <w:tc>
          <w:tcPr>
            <w:tcW w:w="709" w:type="dxa"/>
            <w:tcBorders>
              <w:top w:val="single" w:sz="4" w:space="0" w:color="auto"/>
              <w:left w:val="single" w:sz="4" w:space="0" w:color="auto"/>
              <w:bottom w:val="single" w:sz="4" w:space="0" w:color="auto"/>
              <w:right w:val="single" w:sz="4" w:space="0" w:color="auto"/>
            </w:tcBorders>
            <w:shd w:val="clear" w:color="auto" w:fill="D9E2F3"/>
            <w:vAlign w:val="center"/>
          </w:tcPr>
          <w:p w14:paraId="3FB0BE05" w14:textId="77777777" w:rsidR="00F3260C" w:rsidRPr="00BD295E" w:rsidRDefault="008A5057" w:rsidP="00CE7475">
            <w:pPr>
              <w:contextualSpacing/>
              <w:jc w:val="center"/>
              <w:rPr>
                <w:rFonts w:ascii="Arial" w:hAnsi="Arial" w:cs="Arial"/>
                <w:sz w:val="18"/>
                <w:szCs w:val="18"/>
                <w:lang w:val="en-US"/>
              </w:rPr>
            </w:pPr>
            <w:r w:rsidRPr="00BD295E">
              <w:rPr>
                <w:rFonts w:ascii="Arial" w:hAnsi="Arial" w:cs="Arial"/>
                <w:sz w:val="18"/>
                <w:szCs w:val="18"/>
                <w:lang w:val="en-US"/>
              </w:rPr>
              <w:t>No.</w:t>
            </w:r>
          </w:p>
        </w:tc>
        <w:tc>
          <w:tcPr>
            <w:tcW w:w="7796" w:type="dxa"/>
            <w:gridSpan w:val="2"/>
            <w:tcBorders>
              <w:top w:val="single" w:sz="4" w:space="0" w:color="auto"/>
              <w:left w:val="single" w:sz="4" w:space="0" w:color="auto"/>
              <w:bottom w:val="single" w:sz="4" w:space="0" w:color="auto"/>
              <w:right w:val="single" w:sz="4" w:space="0" w:color="auto"/>
            </w:tcBorders>
            <w:shd w:val="clear" w:color="auto" w:fill="D9E2F3"/>
            <w:vAlign w:val="center"/>
          </w:tcPr>
          <w:p w14:paraId="7A76A100" w14:textId="77777777" w:rsidR="00F3260C" w:rsidRPr="00BD295E" w:rsidRDefault="008A5057" w:rsidP="00CE7475">
            <w:pPr>
              <w:contextualSpacing/>
              <w:rPr>
                <w:rFonts w:ascii="Arial" w:hAnsi="Arial" w:cs="Arial"/>
                <w:sz w:val="18"/>
                <w:szCs w:val="18"/>
                <w:lang w:val="en-US"/>
              </w:rPr>
            </w:pPr>
            <w:r w:rsidRPr="00BD295E">
              <w:rPr>
                <w:rFonts w:ascii="Arial" w:hAnsi="Arial" w:cs="Arial"/>
                <w:sz w:val="18"/>
                <w:szCs w:val="18"/>
                <w:lang w:val="en-US"/>
              </w:rPr>
              <w:t>Results of verification</w:t>
            </w:r>
          </w:p>
        </w:tc>
        <w:tc>
          <w:tcPr>
            <w:tcW w:w="1241" w:type="dxa"/>
            <w:gridSpan w:val="2"/>
            <w:tcBorders>
              <w:top w:val="single" w:sz="4" w:space="0" w:color="auto"/>
              <w:left w:val="single" w:sz="4" w:space="0" w:color="auto"/>
              <w:bottom w:val="single" w:sz="4" w:space="0" w:color="auto"/>
              <w:right w:val="single" w:sz="4" w:space="0" w:color="auto"/>
            </w:tcBorders>
            <w:shd w:val="clear" w:color="auto" w:fill="D9E2F3"/>
            <w:vAlign w:val="center"/>
          </w:tcPr>
          <w:p w14:paraId="340B7F60" w14:textId="77777777" w:rsidR="00F3260C" w:rsidRPr="00BD295E" w:rsidRDefault="008A5057" w:rsidP="00CE7475">
            <w:pPr>
              <w:contextualSpacing/>
              <w:jc w:val="center"/>
              <w:rPr>
                <w:rFonts w:ascii="Arial" w:hAnsi="Arial" w:cs="Arial"/>
                <w:sz w:val="18"/>
                <w:szCs w:val="18"/>
                <w:lang w:val="en-US"/>
              </w:rPr>
            </w:pPr>
            <w:r w:rsidRPr="00BD295E">
              <w:rPr>
                <w:rFonts w:ascii="Arial" w:hAnsi="Arial" w:cs="Arial"/>
                <w:sz w:val="18"/>
                <w:szCs w:val="18"/>
                <w:lang w:val="en-US"/>
              </w:rPr>
              <w:t>Verified/identified</w:t>
            </w:r>
          </w:p>
        </w:tc>
      </w:tr>
      <w:tr w:rsidR="008A5057" w:rsidRPr="00BD295E" w14:paraId="7CDEA26E" w14:textId="77777777" w:rsidTr="00E3510B">
        <w:trPr>
          <w:gridBefore w:val="1"/>
          <w:wBefore w:w="171" w:type="dxa"/>
        </w:trPr>
        <w:tc>
          <w:tcPr>
            <w:tcW w:w="709" w:type="dxa"/>
            <w:shd w:val="clear" w:color="auto" w:fill="auto"/>
          </w:tcPr>
          <w:p w14:paraId="1A0F3D89"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1.</w:t>
            </w:r>
          </w:p>
        </w:tc>
        <w:tc>
          <w:tcPr>
            <w:tcW w:w="7796" w:type="dxa"/>
            <w:gridSpan w:val="2"/>
            <w:shd w:val="clear" w:color="auto" w:fill="auto"/>
          </w:tcPr>
          <w:p w14:paraId="55B8637F"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Employees that are required to submit declarations</w:t>
            </w:r>
          </w:p>
        </w:tc>
        <w:tc>
          <w:tcPr>
            <w:tcW w:w="1241" w:type="dxa"/>
            <w:gridSpan w:val="2"/>
            <w:shd w:val="clear" w:color="auto" w:fill="auto"/>
          </w:tcPr>
          <w:p w14:paraId="1DCDD7DB"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2,078</w:t>
            </w:r>
          </w:p>
        </w:tc>
      </w:tr>
      <w:tr w:rsidR="008A5057" w:rsidRPr="00BD295E" w14:paraId="32C054A3" w14:textId="77777777" w:rsidTr="00E3510B">
        <w:trPr>
          <w:gridBefore w:val="1"/>
          <w:wBefore w:w="171" w:type="dxa"/>
        </w:trPr>
        <w:tc>
          <w:tcPr>
            <w:tcW w:w="709" w:type="dxa"/>
            <w:shd w:val="clear" w:color="auto" w:fill="auto"/>
          </w:tcPr>
          <w:p w14:paraId="040A46CF" w14:textId="77777777" w:rsidR="00F3260C" w:rsidRPr="00BD295E" w:rsidRDefault="00F3260C" w:rsidP="00CE7475">
            <w:pPr>
              <w:tabs>
                <w:tab w:val="left" w:pos="993"/>
              </w:tabs>
              <w:rPr>
                <w:rFonts w:ascii="Arial" w:hAnsi="Arial" w:cs="Arial"/>
                <w:sz w:val="18"/>
                <w:szCs w:val="18"/>
                <w:lang w:val="en-US"/>
              </w:rPr>
            </w:pPr>
          </w:p>
        </w:tc>
        <w:tc>
          <w:tcPr>
            <w:tcW w:w="7796" w:type="dxa"/>
            <w:gridSpan w:val="2"/>
            <w:shd w:val="clear" w:color="auto" w:fill="auto"/>
          </w:tcPr>
          <w:p w14:paraId="194B1598"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Including,</w:t>
            </w:r>
          </w:p>
        </w:tc>
        <w:tc>
          <w:tcPr>
            <w:tcW w:w="1241" w:type="dxa"/>
            <w:gridSpan w:val="2"/>
            <w:shd w:val="clear" w:color="auto" w:fill="auto"/>
          </w:tcPr>
          <w:p w14:paraId="70882A01" w14:textId="77777777" w:rsidR="00F3260C" w:rsidRPr="00BD295E" w:rsidRDefault="00F3260C" w:rsidP="00CE7475">
            <w:pPr>
              <w:tabs>
                <w:tab w:val="left" w:pos="993"/>
              </w:tabs>
              <w:jc w:val="right"/>
              <w:rPr>
                <w:rFonts w:ascii="Arial" w:hAnsi="Arial" w:cs="Arial"/>
                <w:sz w:val="18"/>
                <w:szCs w:val="18"/>
                <w:lang w:val="en-US"/>
              </w:rPr>
            </w:pPr>
          </w:p>
        </w:tc>
      </w:tr>
      <w:tr w:rsidR="008A5057" w:rsidRPr="00BD295E" w14:paraId="0C488C22" w14:textId="77777777" w:rsidTr="00E3510B">
        <w:trPr>
          <w:gridBefore w:val="1"/>
          <w:wBefore w:w="171" w:type="dxa"/>
        </w:trPr>
        <w:tc>
          <w:tcPr>
            <w:tcW w:w="709" w:type="dxa"/>
            <w:shd w:val="clear" w:color="auto" w:fill="auto"/>
          </w:tcPr>
          <w:p w14:paraId="177BB6D3"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1.1</w:t>
            </w:r>
          </w:p>
        </w:tc>
        <w:tc>
          <w:tcPr>
            <w:tcW w:w="7796" w:type="dxa"/>
            <w:gridSpan w:val="2"/>
            <w:shd w:val="clear" w:color="auto" w:fill="auto"/>
          </w:tcPr>
          <w:p w14:paraId="00218CAE"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 xml:space="preserve">- those who submitted declarations. </w:t>
            </w:r>
          </w:p>
        </w:tc>
        <w:tc>
          <w:tcPr>
            <w:tcW w:w="1241" w:type="dxa"/>
            <w:gridSpan w:val="2"/>
            <w:shd w:val="clear" w:color="auto" w:fill="auto"/>
          </w:tcPr>
          <w:p w14:paraId="221EA264"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2,018</w:t>
            </w:r>
          </w:p>
        </w:tc>
      </w:tr>
      <w:tr w:rsidR="008A5057" w:rsidRPr="00BD295E" w14:paraId="0E74ED40" w14:textId="77777777" w:rsidTr="00E3510B">
        <w:trPr>
          <w:gridBefore w:val="1"/>
          <w:wBefore w:w="171" w:type="dxa"/>
        </w:trPr>
        <w:tc>
          <w:tcPr>
            <w:tcW w:w="709" w:type="dxa"/>
            <w:shd w:val="clear" w:color="auto" w:fill="auto"/>
          </w:tcPr>
          <w:p w14:paraId="56349FE2"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2.</w:t>
            </w:r>
          </w:p>
        </w:tc>
        <w:tc>
          <w:tcPr>
            <w:tcW w:w="7796" w:type="dxa"/>
            <w:gridSpan w:val="2"/>
            <w:shd w:val="clear" w:color="auto" w:fill="auto"/>
          </w:tcPr>
          <w:p w14:paraId="3BE68F66"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Employees who did not submit declarations</w:t>
            </w:r>
          </w:p>
        </w:tc>
        <w:tc>
          <w:tcPr>
            <w:tcW w:w="1241" w:type="dxa"/>
            <w:gridSpan w:val="2"/>
            <w:shd w:val="clear" w:color="auto" w:fill="auto"/>
          </w:tcPr>
          <w:p w14:paraId="1717FDEB"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60</w:t>
            </w:r>
          </w:p>
        </w:tc>
      </w:tr>
      <w:tr w:rsidR="008A5057" w:rsidRPr="00BD295E" w14:paraId="758EC3F2" w14:textId="77777777" w:rsidTr="00E3510B">
        <w:trPr>
          <w:gridBefore w:val="1"/>
          <w:wBefore w:w="171" w:type="dxa"/>
        </w:trPr>
        <w:tc>
          <w:tcPr>
            <w:tcW w:w="709" w:type="dxa"/>
            <w:shd w:val="clear" w:color="auto" w:fill="auto"/>
          </w:tcPr>
          <w:p w14:paraId="36BE71AA" w14:textId="77777777" w:rsidR="00F3260C" w:rsidRPr="00BD295E" w:rsidRDefault="00F3260C" w:rsidP="00CE7475">
            <w:pPr>
              <w:tabs>
                <w:tab w:val="left" w:pos="993"/>
              </w:tabs>
              <w:rPr>
                <w:rFonts w:ascii="Arial" w:hAnsi="Arial" w:cs="Arial"/>
                <w:sz w:val="18"/>
                <w:szCs w:val="18"/>
                <w:lang w:val="en-US"/>
              </w:rPr>
            </w:pPr>
          </w:p>
        </w:tc>
        <w:tc>
          <w:tcPr>
            <w:tcW w:w="7796" w:type="dxa"/>
            <w:gridSpan w:val="2"/>
            <w:shd w:val="clear" w:color="auto" w:fill="auto"/>
          </w:tcPr>
          <w:p w14:paraId="431B5030"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Including due to:</w:t>
            </w:r>
          </w:p>
        </w:tc>
        <w:tc>
          <w:tcPr>
            <w:tcW w:w="1241" w:type="dxa"/>
            <w:gridSpan w:val="2"/>
            <w:shd w:val="clear" w:color="auto" w:fill="auto"/>
          </w:tcPr>
          <w:p w14:paraId="09E01B94" w14:textId="77777777" w:rsidR="00F3260C" w:rsidRPr="00BD295E" w:rsidRDefault="00F3260C" w:rsidP="00CE7475">
            <w:pPr>
              <w:tabs>
                <w:tab w:val="left" w:pos="993"/>
              </w:tabs>
              <w:jc w:val="right"/>
              <w:rPr>
                <w:rFonts w:ascii="Arial" w:hAnsi="Arial" w:cs="Arial"/>
                <w:sz w:val="18"/>
                <w:szCs w:val="18"/>
                <w:lang w:val="en-US"/>
              </w:rPr>
            </w:pPr>
          </w:p>
        </w:tc>
      </w:tr>
      <w:tr w:rsidR="008A5057" w:rsidRPr="00BD295E" w14:paraId="36FEDACB" w14:textId="77777777" w:rsidTr="00E3510B">
        <w:trPr>
          <w:gridBefore w:val="1"/>
          <w:wBefore w:w="171" w:type="dxa"/>
        </w:trPr>
        <w:tc>
          <w:tcPr>
            <w:tcW w:w="709" w:type="dxa"/>
            <w:shd w:val="clear" w:color="auto" w:fill="auto"/>
          </w:tcPr>
          <w:p w14:paraId="01000A30"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2.1.</w:t>
            </w:r>
          </w:p>
        </w:tc>
        <w:tc>
          <w:tcPr>
            <w:tcW w:w="7796" w:type="dxa"/>
            <w:gridSpan w:val="2"/>
            <w:shd w:val="clear" w:color="auto" w:fill="auto"/>
          </w:tcPr>
          <w:p w14:paraId="79937CDF"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 maternity leave/long sick leave;</w:t>
            </w:r>
          </w:p>
        </w:tc>
        <w:tc>
          <w:tcPr>
            <w:tcW w:w="1241" w:type="dxa"/>
            <w:gridSpan w:val="2"/>
            <w:shd w:val="clear" w:color="auto" w:fill="auto"/>
          </w:tcPr>
          <w:p w14:paraId="2A2A6203"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58</w:t>
            </w:r>
          </w:p>
        </w:tc>
      </w:tr>
      <w:tr w:rsidR="008A5057" w:rsidRPr="00BD295E" w14:paraId="08504F3B" w14:textId="77777777" w:rsidTr="00E3510B">
        <w:trPr>
          <w:gridBefore w:val="1"/>
          <w:wBefore w:w="171" w:type="dxa"/>
        </w:trPr>
        <w:tc>
          <w:tcPr>
            <w:tcW w:w="709" w:type="dxa"/>
            <w:shd w:val="clear" w:color="auto" w:fill="auto"/>
          </w:tcPr>
          <w:p w14:paraId="6A1C5F15"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2.2.</w:t>
            </w:r>
          </w:p>
        </w:tc>
        <w:tc>
          <w:tcPr>
            <w:tcW w:w="7796" w:type="dxa"/>
            <w:gridSpan w:val="2"/>
            <w:shd w:val="clear" w:color="auto" w:fill="auto"/>
          </w:tcPr>
          <w:p w14:paraId="5D789174"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 dismissal at the time of submitting declarations;</w:t>
            </w:r>
          </w:p>
        </w:tc>
        <w:tc>
          <w:tcPr>
            <w:tcW w:w="1241" w:type="dxa"/>
            <w:gridSpan w:val="2"/>
            <w:shd w:val="clear" w:color="auto" w:fill="auto"/>
          </w:tcPr>
          <w:p w14:paraId="7570ED66"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1</w:t>
            </w:r>
          </w:p>
        </w:tc>
      </w:tr>
      <w:tr w:rsidR="008A5057" w:rsidRPr="00BD295E" w14:paraId="4A73B50F" w14:textId="77777777" w:rsidTr="00E3510B">
        <w:trPr>
          <w:gridBefore w:val="1"/>
          <w:wBefore w:w="171" w:type="dxa"/>
        </w:trPr>
        <w:tc>
          <w:tcPr>
            <w:tcW w:w="709" w:type="dxa"/>
            <w:shd w:val="clear" w:color="auto" w:fill="auto"/>
          </w:tcPr>
          <w:p w14:paraId="0BFC3093"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2.3.</w:t>
            </w:r>
          </w:p>
        </w:tc>
        <w:tc>
          <w:tcPr>
            <w:tcW w:w="7796" w:type="dxa"/>
            <w:gridSpan w:val="2"/>
            <w:shd w:val="clear" w:color="auto" w:fill="auto"/>
          </w:tcPr>
          <w:p w14:paraId="64E03C56"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 refusal to submit the declaration.</w:t>
            </w:r>
          </w:p>
        </w:tc>
        <w:tc>
          <w:tcPr>
            <w:tcW w:w="1241" w:type="dxa"/>
            <w:gridSpan w:val="2"/>
            <w:shd w:val="clear" w:color="auto" w:fill="auto"/>
          </w:tcPr>
          <w:p w14:paraId="09778D48"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1</w:t>
            </w:r>
          </w:p>
        </w:tc>
      </w:tr>
      <w:tr w:rsidR="008A5057" w:rsidRPr="00BD295E" w14:paraId="4155EC35" w14:textId="77777777" w:rsidTr="00E3510B">
        <w:trPr>
          <w:gridBefore w:val="1"/>
          <w:wBefore w:w="171" w:type="dxa"/>
        </w:trPr>
        <w:tc>
          <w:tcPr>
            <w:tcW w:w="709" w:type="dxa"/>
            <w:shd w:val="clear" w:color="auto" w:fill="auto"/>
          </w:tcPr>
          <w:p w14:paraId="53F5D93D"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3.</w:t>
            </w:r>
          </w:p>
        </w:tc>
        <w:tc>
          <w:tcPr>
            <w:tcW w:w="7796" w:type="dxa"/>
            <w:gridSpan w:val="2"/>
            <w:shd w:val="clear" w:color="auto" w:fill="auto"/>
          </w:tcPr>
          <w:p w14:paraId="199BDC5E"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 xml:space="preserve">Cases of conflict of interests identified, </w:t>
            </w:r>
          </w:p>
        </w:tc>
        <w:tc>
          <w:tcPr>
            <w:tcW w:w="1241" w:type="dxa"/>
            <w:gridSpan w:val="2"/>
            <w:shd w:val="clear" w:color="auto" w:fill="auto"/>
          </w:tcPr>
          <w:p w14:paraId="0B61C882"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1</w:t>
            </w:r>
          </w:p>
        </w:tc>
      </w:tr>
      <w:tr w:rsidR="008A5057" w:rsidRPr="00BD295E" w14:paraId="7F9C768D" w14:textId="77777777" w:rsidTr="00E3510B">
        <w:trPr>
          <w:gridBefore w:val="1"/>
          <w:wBefore w:w="171" w:type="dxa"/>
        </w:trPr>
        <w:tc>
          <w:tcPr>
            <w:tcW w:w="709" w:type="dxa"/>
            <w:shd w:val="clear" w:color="auto" w:fill="auto"/>
          </w:tcPr>
          <w:p w14:paraId="185383F3" w14:textId="77777777" w:rsidR="00F3260C" w:rsidRPr="00BD295E" w:rsidRDefault="00F3260C" w:rsidP="00CE7475">
            <w:pPr>
              <w:tabs>
                <w:tab w:val="left" w:pos="993"/>
              </w:tabs>
              <w:rPr>
                <w:rFonts w:ascii="Arial" w:hAnsi="Arial" w:cs="Arial"/>
                <w:sz w:val="18"/>
                <w:szCs w:val="18"/>
                <w:lang w:val="en-US"/>
              </w:rPr>
            </w:pPr>
          </w:p>
        </w:tc>
        <w:tc>
          <w:tcPr>
            <w:tcW w:w="7796" w:type="dxa"/>
            <w:gridSpan w:val="2"/>
            <w:shd w:val="clear" w:color="auto" w:fill="auto"/>
          </w:tcPr>
          <w:p w14:paraId="56F9BAD2"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Including,</w:t>
            </w:r>
          </w:p>
        </w:tc>
        <w:tc>
          <w:tcPr>
            <w:tcW w:w="1241" w:type="dxa"/>
            <w:gridSpan w:val="2"/>
            <w:shd w:val="clear" w:color="auto" w:fill="auto"/>
          </w:tcPr>
          <w:p w14:paraId="4580F74F" w14:textId="77777777" w:rsidR="00F3260C" w:rsidRPr="00BD295E" w:rsidRDefault="00F3260C" w:rsidP="00CE7475">
            <w:pPr>
              <w:tabs>
                <w:tab w:val="left" w:pos="993"/>
              </w:tabs>
              <w:jc w:val="right"/>
              <w:rPr>
                <w:rFonts w:ascii="Arial" w:hAnsi="Arial" w:cs="Arial"/>
                <w:sz w:val="18"/>
                <w:szCs w:val="18"/>
                <w:lang w:val="en-US"/>
              </w:rPr>
            </w:pPr>
          </w:p>
        </w:tc>
      </w:tr>
      <w:tr w:rsidR="008A5057" w:rsidRPr="00BD295E" w14:paraId="212EB57F" w14:textId="77777777" w:rsidTr="00E3510B">
        <w:trPr>
          <w:gridBefore w:val="1"/>
          <w:wBefore w:w="171" w:type="dxa"/>
        </w:trPr>
        <w:tc>
          <w:tcPr>
            <w:tcW w:w="709" w:type="dxa"/>
            <w:shd w:val="clear" w:color="auto" w:fill="auto"/>
          </w:tcPr>
          <w:p w14:paraId="307CEBCC"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3.1.</w:t>
            </w:r>
          </w:p>
        </w:tc>
        <w:tc>
          <w:tcPr>
            <w:tcW w:w="7796" w:type="dxa"/>
            <w:gridSpan w:val="2"/>
            <w:shd w:val="clear" w:color="auto" w:fill="auto"/>
          </w:tcPr>
          <w:p w14:paraId="436EAC3A"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 resolved as at the date of the meeting of the Company’s Commission on Corporate Ethics Compliance and Conflict of Interest Resolution.</w:t>
            </w:r>
          </w:p>
        </w:tc>
        <w:tc>
          <w:tcPr>
            <w:tcW w:w="1241" w:type="dxa"/>
            <w:gridSpan w:val="2"/>
            <w:shd w:val="clear" w:color="auto" w:fill="auto"/>
          </w:tcPr>
          <w:p w14:paraId="07D212FA"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1</w:t>
            </w:r>
          </w:p>
        </w:tc>
      </w:tr>
      <w:tr w:rsidR="008A5057" w:rsidRPr="00BD295E" w14:paraId="3B8D8AA6" w14:textId="77777777" w:rsidTr="00E3510B">
        <w:trPr>
          <w:gridBefore w:val="1"/>
          <w:wBefore w:w="171" w:type="dxa"/>
        </w:trPr>
        <w:tc>
          <w:tcPr>
            <w:tcW w:w="709" w:type="dxa"/>
            <w:shd w:val="clear" w:color="auto" w:fill="auto"/>
          </w:tcPr>
          <w:p w14:paraId="17F59737"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4.</w:t>
            </w:r>
          </w:p>
        </w:tc>
        <w:tc>
          <w:tcPr>
            <w:tcW w:w="7796" w:type="dxa"/>
            <w:gridSpan w:val="2"/>
            <w:shd w:val="clear" w:color="auto" w:fill="auto"/>
          </w:tcPr>
          <w:p w14:paraId="43B6D6CC"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Cases of pre-conflict situations identified,</w:t>
            </w:r>
          </w:p>
        </w:tc>
        <w:tc>
          <w:tcPr>
            <w:tcW w:w="1241" w:type="dxa"/>
            <w:gridSpan w:val="2"/>
            <w:shd w:val="clear" w:color="auto" w:fill="auto"/>
          </w:tcPr>
          <w:p w14:paraId="585B2454"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4</w:t>
            </w:r>
          </w:p>
        </w:tc>
      </w:tr>
      <w:tr w:rsidR="008A5057" w:rsidRPr="00BD295E" w14:paraId="1CC4A4FD" w14:textId="77777777" w:rsidTr="00E3510B">
        <w:trPr>
          <w:gridBefore w:val="1"/>
          <w:wBefore w:w="171" w:type="dxa"/>
        </w:trPr>
        <w:tc>
          <w:tcPr>
            <w:tcW w:w="709" w:type="dxa"/>
            <w:shd w:val="clear" w:color="auto" w:fill="auto"/>
          </w:tcPr>
          <w:p w14:paraId="400CDDDE" w14:textId="77777777" w:rsidR="00F3260C" w:rsidRPr="00BD295E" w:rsidRDefault="00F3260C" w:rsidP="00CE7475">
            <w:pPr>
              <w:tabs>
                <w:tab w:val="left" w:pos="993"/>
              </w:tabs>
              <w:rPr>
                <w:rFonts w:ascii="Arial" w:hAnsi="Arial" w:cs="Arial"/>
                <w:sz w:val="18"/>
                <w:szCs w:val="18"/>
                <w:lang w:val="en-US"/>
              </w:rPr>
            </w:pPr>
          </w:p>
        </w:tc>
        <w:tc>
          <w:tcPr>
            <w:tcW w:w="7796" w:type="dxa"/>
            <w:gridSpan w:val="2"/>
            <w:shd w:val="clear" w:color="auto" w:fill="auto"/>
          </w:tcPr>
          <w:p w14:paraId="48A86623"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Including:</w:t>
            </w:r>
          </w:p>
        </w:tc>
        <w:tc>
          <w:tcPr>
            <w:tcW w:w="1241" w:type="dxa"/>
            <w:gridSpan w:val="2"/>
            <w:shd w:val="clear" w:color="auto" w:fill="auto"/>
          </w:tcPr>
          <w:p w14:paraId="7F633A68" w14:textId="77777777" w:rsidR="00F3260C" w:rsidRPr="00BD295E" w:rsidRDefault="00F3260C" w:rsidP="00CE7475">
            <w:pPr>
              <w:tabs>
                <w:tab w:val="left" w:pos="993"/>
              </w:tabs>
              <w:jc w:val="right"/>
              <w:rPr>
                <w:rFonts w:ascii="Arial" w:hAnsi="Arial" w:cs="Arial"/>
                <w:sz w:val="18"/>
                <w:szCs w:val="18"/>
                <w:lang w:val="en-US"/>
              </w:rPr>
            </w:pPr>
          </w:p>
        </w:tc>
      </w:tr>
      <w:tr w:rsidR="008A5057" w:rsidRPr="00BD295E" w14:paraId="542280E0" w14:textId="77777777" w:rsidTr="00E3510B">
        <w:trPr>
          <w:gridBefore w:val="1"/>
          <w:wBefore w:w="171" w:type="dxa"/>
        </w:trPr>
        <w:tc>
          <w:tcPr>
            <w:tcW w:w="709" w:type="dxa"/>
            <w:shd w:val="clear" w:color="auto" w:fill="auto"/>
          </w:tcPr>
          <w:p w14:paraId="3EFA4578"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41</w:t>
            </w:r>
          </w:p>
        </w:tc>
        <w:tc>
          <w:tcPr>
            <w:tcW w:w="7796" w:type="dxa"/>
            <w:gridSpan w:val="2"/>
            <w:shd w:val="clear" w:color="auto" w:fill="auto"/>
          </w:tcPr>
          <w:p w14:paraId="2247D1FB"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 taken under control in accordance with guidelines;</w:t>
            </w:r>
          </w:p>
        </w:tc>
        <w:tc>
          <w:tcPr>
            <w:tcW w:w="1241" w:type="dxa"/>
            <w:gridSpan w:val="2"/>
            <w:shd w:val="clear" w:color="auto" w:fill="auto"/>
          </w:tcPr>
          <w:p w14:paraId="384F454E"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4</w:t>
            </w:r>
          </w:p>
        </w:tc>
      </w:tr>
      <w:tr w:rsidR="008A5057" w:rsidRPr="00BD295E" w14:paraId="5A9CCEEB" w14:textId="77777777" w:rsidTr="00E3510B">
        <w:trPr>
          <w:gridBefore w:val="1"/>
          <w:wBefore w:w="171" w:type="dxa"/>
        </w:trPr>
        <w:tc>
          <w:tcPr>
            <w:tcW w:w="709" w:type="dxa"/>
            <w:shd w:val="clear" w:color="auto" w:fill="auto"/>
          </w:tcPr>
          <w:p w14:paraId="4AB6EC6A" w14:textId="77777777" w:rsidR="00F3260C" w:rsidRPr="00BD295E" w:rsidRDefault="008A5057" w:rsidP="00CE7475">
            <w:pPr>
              <w:tabs>
                <w:tab w:val="left" w:pos="993"/>
              </w:tabs>
              <w:rPr>
                <w:rFonts w:ascii="Arial" w:hAnsi="Arial" w:cs="Arial"/>
                <w:sz w:val="18"/>
                <w:szCs w:val="18"/>
                <w:lang w:val="en-US"/>
              </w:rPr>
            </w:pPr>
            <w:r w:rsidRPr="00BD295E">
              <w:rPr>
                <w:rFonts w:ascii="Arial" w:hAnsi="Arial" w:cs="Arial"/>
                <w:sz w:val="18"/>
                <w:szCs w:val="18"/>
                <w:lang w:val="en-US"/>
              </w:rPr>
              <w:t>4.2</w:t>
            </w:r>
          </w:p>
        </w:tc>
        <w:tc>
          <w:tcPr>
            <w:tcW w:w="7796" w:type="dxa"/>
            <w:gridSpan w:val="2"/>
            <w:shd w:val="clear" w:color="auto" w:fill="auto"/>
          </w:tcPr>
          <w:p w14:paraId="66986C95" w14:textId="77777777" w:rsidR="00F3260C" w:rsidRPr="00BD295E" w:rsidRDefault="008A5057" w:rsidP="00CE7475">
            <w:pPr>
              <w:tabs>
                <w:tab w:val="left" w:pos="993"/>
              </w:tabs>
              <w:jc w:val="both"/>
              <w:rPr>
                <w:rFonts w:ascii="Arial" w:hAnsi="Arial" w:cs="Arial"/>
                <w:sz w:val="18"/>
                <w:szCs w:val="18"/>
                <w:lang w:val="en-US"/>
              </w:rPr>
            </w:pPr>
            <w:r w:rsidRPr="00BD295E">
              <w:rPr>
                <w:rFonts w:ascii="Arial" w:hAnsi="Arial" w:cs="Arial"/>
                <w:sz w:val="18"/>
                <w:szCs w:val="18"/>
                <w:lang w:val="en-US"/>
              </w:rPr>
              <w:t>* Resolved as at December 31, 2018.</w:t>
            </w:r>
          </w:p>
        </w:tc>
        <w:tc>
          <w:tcPr>
            <w:tcW w:w="1241" w:type="dxa"/>
            <w:gridSpan w:val="2"/>
            <w:shd w:val="clear" w:color="auto" w:fill="auto"/>
          </w:tcPr>
          <w:p w14:paraId="008A7450" w14:textId="77777777" w:rsidR="00F3260C" w:rsidRPr="00BD295E" w:rsidRDefault="008A5057" w:rsidP="00CE7475">
            <w:pPr>
              <w:tabs>
                <w:tab w:val="left" w:pos="993"/>
              </w:tabs>
              <w:jc w:val="right"/>
              <w:rPr>
                <w:rFonts w:ascii="Arial" w:hAnsi="Arial" w:cs="Arial"/>
                <w:sz w:val="18"/>
                <w:szCs w:val="18"/>
                <w:lang w:val="en-US"/>
              </w:rPr>
            </w:pPr>
            <w:r w:rsidRPr="00BD295E">
              <w:rPr>
                <w:rFonts w:ascii="Arial" w:hAnsi="Arial" w:cs="Arial"/>
                <w:sz w:val="18"/>
                <w:szCs w:val="18"/>
                <w:lang w:val="en-US"/>
              </w:rPr>
              <w:t>4</w:t>
            </w:r>
          </w:p>
        </w:tc>
      </w:tr>
    </w:tbl>
    <w:p w14:paraId="4CBAED81" w14:textId="77777777" w:rsidR="00F3260C" w:rsidRPr="00BD295E" w:rsidRDefault="00F3260C" w:rsidP="00CE7475">
      <w:pPr>
        <w:jc w:val="both"/>
        <w:rPr>
          <w:rStyle w:val="FontStyle17"/>
          <w:rFonts w:ascii="Arial" w:hAnsi="Arial" w:cs="Arial"/>
          <w:sz w:val="18"/>
          <w:szCs w:val="18"/>
          <w:lang w:val="en-US"/>
        </w:rPr>
      </w:pPr>
    </w:p>
    <w:p w14:paraId="3A3654E4" w14:textId="77777777" w:rsidR="00F3260C" w:rsidRPr="00BD295E" w:rsidRDefault="008A5057" w:rsidP="00CE7475">
      <w:pPr>
        <w:jc w:val="both"/>
        <w:rPr>
          <w:rStyle w:val="FontStyle17"/>
          <w:rFonts w:ascii="Arial" w:hAnsi="Arial" w:cs="Arial"/>
          <w:sz w:val="18"/>
          <w:szCs w:val="18"/>
          <w:lang w:val="en-US"/>
        </w:rPr>
      </w:pPr>
      <w:r w:rsidRPr="00BD295E">
        <w:rPr>
          <w:rStyle w:val="FontStyle17"/>
          <w:rFonts w:ascii="Arial" w:hAnsi="Arial" w:cs="Arial"/>
          <w:sz w:val="18"/>
          <w:szCs w:val="18"/>
          <w:lang w:val="en-US"/>
        </w:rPr>
        <w:t xml:space="preserve">One pre-conflict situation, not indicated in the Conflict of Interest Declaration Campaign for 2017, which existed between the Company’s employees who were close relatives and were directly reporting one to another, was resolved through HR decisions and was reviewed at a meeting of the Commission on Corporate Ethics Compliance and Conflict of Interest Resolution (Minutes No. 1 </w:t>
      </w:r>
      <w:r w:rsidR="008B183C" w:rsidRPr="00BD295E">
        <w:rPr>
          <w:rStyle w:val="FontStyle17"/>
          <w:rFonts w:ascii="Arial" w:hAnsi="Arial" w:cs="Arial"/>
          <w:sz w:val="18"/>
          <w:szCs w:val="18"/>
          <w:lang w:val="en-US"/>
        </w:rPr>
        <w:t>of</w:t>
      </w:r>
      <w:r w:rsidRPr="00BD295E">
        <w:rPr>
          <w:rStyle w:val="FontStyle17"/>
          <w:rFonts w:ascii="Arial" w:hAnsi="Arial" w:cs="Arial"/>
          <w:sz w:val="18"/>
          <w:szCs w:val="18"/>
          <w:lang w:val="en-US"/>
        </w:rPr>
        <w:t xml:space="preserve"> April 25, 2018).</w:t>
      </w:r>
    </w:p>
    <w:p w14:paraId="51637F4D" w14:textId="77777777" w:rsidR="00F3260C" w:rsidRPr="00BD295E" w:rsidRDefault="00F3260C" w:rsidP="00CE7475">
      <w:pPr>
        <w:contextualSpacing/>
        <w:jc w:val="both"/>
        <w:rPr>
          <w:rStyle w:val="FontStyle17"/>
          <w:rFonts w:ascii="Arial" w:hAnsi="Arial" w:cs="Arial"/>
          <w:sz w:val="18"/>
          <w:szCs w:val="18"/>
          <w:lang w:val="en-US"/>
        </w:rPr>
      </w:pPr>
    </w:p>
    <w:p w14:paraId="711789F5" w14:textId="77777777" w:rsidR="00F3260C" w:rsidRPr="00BD295E" w:rsidRDefault="00EE5753" w:rsidP="00CE7475">
      <w:pPr>
        <w:pStyle w:val="Style3"/>
        <w:spacing w:line="240" w:lineRule="auto"/>
        <w:ind w:firstLine="0"/>
        <w:contextualSpacing/>
        <w:rPr>
          <w:rStyle w:val="FontStyle17"/>
          <w:rFonts w:ascii="Arial" w:hAnsi="Arial" w:cs="Arial"/>
          <w:sz w:val="18"/>
          <w:szCs w:val="18"/>
          <w:lang w:val="en-US"/>
        </w:rPr>
      </w:pPr>
      <w:r w:rsidRPr="00BD295E">
        <w:rPr>
          <w:rStyle w:val="FontStyle17"/>
          <w:rFonts w:ascii="Arial" w:hAnsi="Arial" w:cs="Arial"/>
          <w:sz w:val="18"/>
          <w:szCs w:val="18"/>
          <w:lang w:val="en-US"/>
        </w:rPr>
        <w:t>PJSC “Lenenergo”</w:t>
      </w:r>
      <w:r w:rsidR="008A5057" w:rsidRPr="00BD295E">
        <w:rPr>
          <w:rStyle w:val="FontStyle17"/>
          <w:rFonts w:ascii="Arial" w:hAnsi="Arial" w:cs="Arial"/>
          <w:sz w:val="18"/>
          <w:szCs w:val="18"/>
          <w:lang w:val="en-US"/>
        </w:rPr>
        <w:t xml:space="preserve"> has in place the Rules for Organizing the Declaration of Information on Property-Related Liabilities of Managers of the Company and Its </w:t>
      </w:r>
      <w:r w:rsidR="00A07300" w:rsidRPr="00BD295E">
        <w:rPr>
          <w:rStyle w:val="FontStyle17"/>
          <w:rFonts w:ascii="Arial" w:hAnsi="Arial" w:cs="Arial"/>
          <w:sz w:val="18"/>
          <w:szCs w:val="18"/>
          <w:lang w:val="en-US"/>
        </w:rPr>
        <w:t>Subsidiaries and Affiliates</w:t>
      </w:r>
      <w:r w:rsidR="008A5057" w:rsidRPr="00BD295E">
        <w:rPr>
          <w:rStyle w:val="FontStyle17"/>
          <w:rFonts w:ascii="Arial" w:hAnsi="Arial" w:cs="Arial"/>
          <w:sz w:val="18"/>
          <w:szCs w:val="18"/>
          <w:lang w:val="en-US"/>
        </w:rPr>
        <w:t xml:space="preserve">, which outline the procedure for preparing, submitting, analyzing, and processing, as well as forwarding to </w:t>
      </w:r>
      <w:r w:rsidR="00BF106F" w:rsidRPr="00BD295E">
        <w:rPr>
          <w:rStyle w:val="FontStyle17"/>
          <w:rFonts w:ascii="Arial" w:hAnsi="Arial" w:cs="Arial"/>
          <w:sz w:val="18"/>
          <w:szCs w:val="18"/>
          <w:lang w:val="en-US"/>
        </w:rPr>
        <w:t>PJSC “Rosseti”</w:t>
      </w:r>
      <w:r w:rsidR="008A5057" w:rsidRPr="00BD295E">
        <w:rPr>
          <w:rStyle w:val="FontStyle17"/>
          <w:rFonts w:ascii="Arial" w:hAnsi="Arial" w:cs="Arial"/>
          <w:sz w:val="18"/>
          <w:szCs w:val="18"/>
          <w:lang w:val="en-US"/>
        </w:rPr>
        <w:t xml:space="preserve">, statements of income, property and property-related obligations of employees of the Company, its </w:t>
      </w:r>
      <w:r w:rsidR="006515AB" w:rsidRPr="00BD295E">
        <w:rPr>
          <w:rStyle w:val="FontStyle17"/>
          <w:rFonts w:ascii="Arial" w:hAnsi="Arial" w:cs="Arial"/>
          <w:sz w:val="18"/>
          <w:szCs w:val="18"/>
          <w:lang w:val="en-US"/>
        </w:rPr>
        <w:t>subsidiaries and affiliates</w:t>
      </w:r>
      <w:r w:rsidR="008A5057" w:rsidRPr="00BD295E">
        <w:rPr>
          <w:rStyle w:val="FontStyle17"/>
          <w:rFonts w:ascii="Arial" w:hAnsi="Arial" w:cs="Arial"/>
          <w:sz w:val="18"/>
          <w:szCs w:val="18"/>
          <w:lang w:val="en-US"/>
        </w:rPr>
        <w:t>, as well as of their close relatives.</w:t>
      </w:r>
    </w:p>
    <w:p w14:paraId="2F1465CE" w14:textId="77777777" w:rsidR="00F3260C" w:rsidRPr="00BD295E" w:rsidRDefault="008A5057" w:rsidP="00CE7475">
      <w:pPr>
        <w:pStyle w:val="af3"/>
        <w:tabs>
          <w:tab w:val="left" w:pos="1276"/>
        </w:tabs>
        <w:autoSpaceDE w:val="0"/>
        <w:autoSpaceDN w:val="0"/>
        <w:adjustRightInd w:val="0"/>
        <w:ind w:left="0"/>
        <w:jc w:val="both"/>
        <w:rPr>
          <w:rStyle w:val="FontStyle17"/>
          <w:rFonts w:ascii="Arial" w:hAnsi="Arial" w:cs="Arial"/>
          <w:sz w:val="18"/>
          <w:szCs w:val="18"/>
          <w:lang w:val="en-US"/>
        </w:rPr>
      </w:pPr>
      <w:r w:rsidRPr="00BD295E">
        <w:rPr>
          <w:rStyle w:val="FontStyle17"/>
          <w:rFonts w:ascii="Arial" w:hAnsi="Arial" w:cs="Arial"/>
          <w:sz w:val="18"/>
          <w:szCs w:val="18"/>
          <w:lang w:val="en-US"/>
        </w:rPr>
        <w:t xml:space="preserve">  In 2018, verification covered 94 declared employees and 392 of their close relatives. The submitted statements were verified for completeness, reliable information, signs of affiliation, conflict of interest, pre-conflict situations, and other abuses of positions held. No pre-conflict or conflict situations were identified.</w:t>
      </w:r>
    </w:p>
    <w:p w14:paraId="3C925598" w14:textId="77777777" w:rsidR="00F3260C" w:rsidRPr="00BD295E" w:rsidRDefault="00F3260C" w:rsidP="00CE7475">
      <w:pPr>
        <w:contextualSpacing/>
        <w:jc w:val="both"/>
        <w:rPr>
          <w:rStyle w:val="FontStyle17"/>
          <w:rFonts w:ascii="Arial" w:hAnsi="Arial" w:cs="Arial"/>
          <w:sz w:val="18"/>
          <w:szCs w:val="18"/>
          <w:lang w:val="en-US"/>
        </w:rPr>
      </w:pPr>
    </w:p>
    <w:p w14:paraId="54EA862E" w14:textId="77777777" w:rsidR="00F3260C" w:rsidRPr="00BD295E" w:rsidRDefault="008A5057" w:rsidP="00CE7475">
      <w:pPr>
        <w:pStyle w:val="af3"/>
        <w:tabs>
          <w:tab w:val="left" w:pos="1276"/>
        </w:tabs>
        <w:autoSpaceDE w:val="0"/>
        <w:autoSpaceDN w:val="0"/>
        <w:adjustRightInd w:val="0"/>
        <w:ind w:left="0"/>
        <w:jc w:val="both"/>
        <w:rPr>
          <w:rStyle w:val="FontStyle17"/>
          <w:rFonts w:ascii="Arial" w:hAnsi="Arial" w:cs="Arial"/>
          <w:sz w:val="18"/>
          <w:szCs w:val="18"/>
          <w:lang w:val="en-US"/>
        </w:rPr>
      </w:pPr>
      <w:r w:rsidRPr="00BD295E">
        <w:rPr>
          <w:rStyle w:val="FontStyle17"/>
          <w:rFonts w:ascii="Arial" w:hAnsi="Arial" w:cs="Arial"/>
          <w:sz w:val="18"/>
          <w:szCs w:val="18"/>
          <w:lang w:val="en-US"/>
        </w:rPr>
        <w:t xml:space="preserve">In order to comply with the requirements for preventing conflict of interest / pre-conflict situations, </w:t>
      </w:r>
      <w:r w:rsidR="00EE5753" w:rsidRPr="00BD295E">
        <w:rPr>
          <w:rStyle w:val="FontStyle17"/>
          <w:rFonts w:ascii="Arial" w:hAnsi="Arial" w:cs="Arial"/>
          <w:sz w:val="18"/>
          <w:szCs w:val="18"/>
          <w:lang w:val="en-US"/>
        </w:rPr>
        <w:t>PJSC “Lenenergo”</w:t>
      </w:r>
      <w:r w:rsidRPr="00BD295E">
        <w:rPr>
          <w:rStyle w:val="FontStyle17"/>
          <w:rFonts w:ascii="Arial" w:hAnsi="Arial" w:cs="Arial"/>
          <w:sz w:val="18"/>
          <w:szCs w:val="18"/>
          <w:lang w:val="en-US"/>
        </w:rPr>
        <w:t xml:space="preserve"> continuously vets new hires and employees transferred to another position within the Company. In 2018, the Company vetted relevant materials and prepared 451 opinions on the existence/absence of conflicts of interest for </w:t>
      </w:r>
      <w:r w:rsidR="000D659F" w:rsidRPr="00BD295E">
        <w:rPr>
          <w:rStyle w:val="FontStyle17"/>
          <w:rFonts w:ascii="Arial" w:hAnsi="Arial" w:cs="Arial"/>
          <w:sz w:val="18"/>
          <w:szCs w:val="18"/>
          <w:lang w:val="en-US"/>
        </w:rPr>
        <w:t>customer</w:t>
      </w:r>
      <w:r w:rsidRPr="00BD295E">
        <w:rPr>
          <w:rStyle w:val="FontStyle17"/>
          <w:rFonts w:ascii="Arial" w:hAnsi="Arial" w:cs="Arial"/>
          <w:sz w:val="18"/>
          <w:szCs w:val="18"/>
          <w:lang w:val="en-US"/>
        </w:rPr>
        <w:t xml:space="preserve">s to vacant positions (new hires/transferees) within the Company, with breaches identified with respect to 18 </w:t>
      </w:r>
      <w:r w:rsidR="000D659F" w:rsidRPr="00BD295E">
        <w:rPr>
          <w:rStyle w:val="FontStyle17"/>
          <w:rFonts w:ascii="Arial" w:hAnsi="Arial" w:cs="Arial"/>
          <w:sz w:val="18"/>
          <w:szCs w:val="18"/>
          <w:lang w:val="en-US"/>
        </w:rPr>
        <w:t>customer</w:t>
      </w:r>
      <w:r w:rsidRPr="00BD295E">
        <w:rPr>
          <w:rStyle w:val="FontStyle17"/>
          <w:rFonts w:ascii="Arial" w:hAnsi="Arial" w:cs="Arial"/>
          <w:sz w:val="18"/>
          <w:szCs w:val="18"/>
          <w:lang w:val="en-US"/>
        </w:rPr>
        <w:t>s.</w:t>
      </w:r>
    </w:p>
    <w:p w14:paraId="442A6402" w14:textId="77777777" w:rsidR="00F3260C" w:rsidRPr="00BD295E" w:rsidRDefault="00F3260C" w:rsidP="00CE7475">
      <w:pPr>
        <w:pStyle w:val="af3"/>
        <w:tabs>
          <w:tab w:val="left" w:pos="1276"/>
        </w:tabs>
        <w:autoSpaceDE w:val="0"/>
        <w:autoSpaceDN w:val="0"/>
        <w:adjustRightInd w:val="0"/>
        <w:ind w:left="0"/>
        <w:jc w:val="both"/>
        <w:rPr>
          <w:rFonts w:ascii="Arial" w:hAnsi="Arial" w:cs="Arial"/>
          <w:sz w:val="18"/>
          <w:szCs w:val="18"/>
          <w:lang w:val="en-US"/>
        </w:rPr>
      </w:pPr>
    </w:p>
    <w:p w14:paraId="294B7DA4" w14:textId="77777777" w:rsidR="00F3260C" w:rsidRPr="00BD295E" w:rsidRDefault="008A5057" w:rsidP="00CE7475">
      <w:pPr>
        <w:contextualSpacing/>
        <w:jc w:val="both"/>
        <w:rPr>
          <w:rFonts w:ascii="Arial" w:hAnsi="Arial" w:cs="Arial"/>
          <w:b/>
          <w:sz w:val="18"/>
          <w:szCs w:val="18"/>
          <w:lang w:val="en-US"/>
        </w:rPr>
      </w:pPr>
      <w:r w:rsidRPr="00BD295E">
        <w:rPr>
          <w:rFonts w:ascii="Arial" w:hAnsi="Arial" w:cs="Arial"/>
          <w:b/>
          <w:sz w:val="18"/>
          <w:szCs w:val="18"/>
          <w:lang w:val="en-US"/>
        </w:rPr>
        <w:t xml:space="preserve">Measures to eliminate the causes of corruption and prevent corruption in engagements with partners and counterparties </w:t>
      </w:r>
    </w:p>
    <w:p w14:paraId="501FB90B" w14:textId="77777777" w:rsidR="00F3260C" w:rsidRPr="00BD295E" w:rsidRDefault="00F3260C" w:rsidP="00CE7475">
      <w:pPr>
        <w:contextualSpacing/>
        <w:jc w:val="both"/>
        <w:rPr>
          <w:rFonts w:ascii="Arial" w:hAnsi="Arial" w:cs="Arial"/>
          <w:sz w:val="18"/>
          <w:szCs w:val="18"/>
          <w:lang w:val="en-US"/>
        </w:rPr>
      </w:pPr>
    </w:p>
    <w:p w14:paraId="6C0ACB3C" w14:textId="77777777" w:rsidR="00F3260C" w:rsidRPr="00BD295E" w:rsidRDefault="008A5057" w:rsidP="00CE7475">
      <w:pPr>
        <w:pStyle w:val="af3"/>
        <w:tabs>
          <w:tab w:val="left" w:pos="1276"/>
        </w:tabs>
        <w:autoSpaceDE w:val="0"/>
        <w:autoSpaceDN w:val="0"/>
        <w:adjustRightInd w:val="0"/>
        <w:ind w:left="0"/>
        <w:jc w:val="both"/>
        <w:rPr>
          <w:rFonts w:ascii="Arial" w:hAnsi="Arial" w:cs="Arial"/>
          <w:sz w:val="18"/>
          <w:szCs w:val="18"/>
          <w:lang w:val="en-US"/>
        </w:rPr>
      </w:pPr>
      <w:r w:rsidRPr="00BD295E">
        <w:rPr>
          <w:rFonts w:ascii="Arial" w:hAnsi="Arial" w:cs="Arial"/>
          <w:sz w:val="18"/>
          <w:szCs w:val="18"/>
          <w:lang w:val="en-US"/>
        </w:rPr>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engaged with partners, counterparties, and third parties in line its anti-corruption principles and standards while carrying out competitive procurement procedures guided by objective criteria in the selection of its suppliers and implementing the necessary appropriate awareness raising initiatives. </w:t>
      </w:r>
    </w:p>
    <w:p w14:paraId="7523C0BE" w14:textId="77777777" w:rsidR="00F3260C" w:rsidRPr="00BD295E" w:rsidRDefault="008A5057" w:rsidP="00CE7475">
      <w:pPr>
        <w:tabs>
          <w:tab w:val="left" w:pos="993"/>
        </w:tabs>
        <w:contextualSpacing/>
        <w:jc w:val="both"/>
        <w:rPr>
          <w:rFonts w:ascii="Arial" w:hAnsi="Arial" w:cs="Arial"/>
          <w:sz w:val="18"/>
          <w:szCs w:val="18"/>
          <w:lang w:val="en-US"/>
        </w:rPr>
      </w:pPr>
      <w:r w:rsidRPr="00BD295E">
        <w:rPr>
          <w:rFonts w:ascii="Arial" w:hAnsi="Arial" w:cs="Arial"/>
          <w:sz w:val="18"/>
          <w:szCs w:val="18"/>
          <w:lang w:val="en-US"/>
        </w:rPr>
        <w:t>In accordance with the Company’s administrative documents, procurement participants/counterparties are vetted for complete disclosure of information contained in the certificates and documents submitted by them, its reliability and compliance with the established requirements, as well as for signs of affiliation, conflict of interest, pre-conflict situations, and other abuses.</w:t>
      </w:r>
    </w:p>
    <w:p w14:paraId="77A63447" w14:textId="77777777" w:rsidR="00F3260C" w:rsidRPr="00BD295E" w:rsidRDefault="008A5057" w:rsidP="00CE7475">
      <w:pPr>
        <w:contextualSpacing/>
        <w:jc w:val="both"/>
        <w:rPr>
          <w:rFonts w:ascii="Arial" w:hAnsi="Arial" w:cs="Arial"/>
          <w:sz w:val="18"/>
          <w:szCs w:val="18"/>
          <w:lang w:val="en-US"/>
        </w:rPr>
      </w:pPr>
      <w:r w:rsidRPr="00BD295E">
        <w:rPr>
          <w:rFonts w:ascii="Arial" w:hAnsi="Arial" w:cs="Arial"/>
          <w:sz w:val="18"/>
          <w:szCs w:val="18"/>
          <w:lang w:val="en-US"/>
        </w:rPr>
        <w:t xml:space="preserve">In 2018, at least 871 major procurement procedures and 2,341 procurement participants were vetted and approved. A total of 686 participants were rejected from further participation in the procurement procedures due to identified breaches of the Uniform Procurement Standard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p>
    <w:p w14:paraId="3E30805A" w14:textId="28C49E7D" w:rsidR="00F3260C" w:rsidRPr="00BD295E" w:rsidRDefault="00997D07" w:rsidP="00CE7475">
      <w:pPr>
        <w:contextualSpacing/>
        <w:jc w:val="both"/>
        <w:rPr>
          <w:rFonts w:ascii="Arial" w:hAnsi="Arial" w:cs="Arial"/>
          <w:sz w:val="18"/>
          <w:szCs w:val="18"/>
          <w:lang w:val="en-US"/>
        </w:rPr>
      </w:pPr>
      <w:r w:rsidRPr="00BD295E">
        <w:rPr>
          <w:rFonts w:ascii="Arial" w:hAnsi="Arial" w:cs="Arial"/>
          <w:sz w:val="18"/>
          <w:szCs w:val="18"/>
          <w:lang w:val="en-US" w:eastAsia="en-US"/>
        </w:rPr>
        <w:drawing>
          <wp:anchor distT="0" distB="0" distL="114300" distR="114300" simplePos="0" relativeHeight="251642368" behindDoc="0" locked="0" layoutInCell="1" allowOverlap="1" wp14:anchorId="514CAA81" wp14:editId="5EB686CE">
            <wp:simplePos x="0" y="0"/>
            <wp:positionH relativeFrom="column">
              <wp:posOffset>-294640</wp:posOffset>
            </wp:positionH>
            <wp:positionV relativeFrom="paragraph">
              <wp:posOffset>744220</wp:posOffset>
            </wp:positionV>
            <wp:extent cx="3329305" cy="2675890"/>
            <wp:effectExtent l="0" t="0" r="4445" b="10160"/>
            <wp:wrapTopAndBottom/>
            <wp:docPr id="169" name="Диаграмма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r w:rsidRPr="00BD295E">
        <w:rPr>
          <w:rFonts w:ascii="Arial" w:hAnsi="Arial" w:cs="Arial"/>
          <w:sz w:val="18"/>
          <w:szCs w:val="18"/>
          <w:lang w:val="en-US" w:eastAsia="en-US"/>
        </w:rPr>
        <w:drawing>
          <wp:anchor distT="0" distB="0" distL="114300" distR="114300" simplePos="0" relativeHeight="251644416" behindDoc="0" locked="0" layoutInCell="1" allowOverlap="1" wp14:anchorId="0535FA4C" wp14:editId="3E530CC9">
            <wp:simplePos x="0" y="0"/>
            <wp:positionH relativeFrom="column">
              <wp:posOffset>3069590</wp:posOffset>
            </wp:positionH>
            <wp:positionV relativeFrom="paragraph">
              <wp:posOffset>744220</wp:posOffset>
            </wp:positionV>
            <wp:extent cx="3255010" cy="2675890"/>
            <wp:effectExtent l="0" t="0" r="2540" b="10160"/>
            <wp:wrapTopAndBottom/>
            <wp:docPr id="4" name="Диаграмма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r w:rsidR="008A5057" w:rsidRPr="00BD295E">
        <w:rPr>
          <w:rFonts w:ascii="Arial" w:hAnsi="Arial" w:cs="Arial"/>
          <w:sz w:val="18"/>
          <w:szCs w:val="18"/>
          <w:lang w:val="en-US"/>
        </w:rPr>
        <w:t>At least 2,833 procurements and 6,873 bidders were vetted for compliance with anti-corruption laws by checking materials on their simpler and minor procurements. Breaches were identified with respect to 1,993 bidders.</w:t>
      </w:r>
    </w:p>
    <w:p w14:paraId="65B8E093" w14:textId="77777777" w:rsidR="00F3260C" w:rsidRPr="00BD295E" w:rsidRDefault="00F3260C" w:rsidP="00F3260C">
      <w:pPr>
        <w:ind w:firstLine="709"/>
        <w:contextualSpacing/>
        <w:jc w:val="both"/>
        <w:rPr>
          <w:rFonts w:ascii="Arial" w:hAnsi="Arial" w:cs="Arial"/>
          <w:sz w:val="18"/>
          <w:szCs w:val="18"/>
          <w:lang w:val="en-US"/>
        </w:rPr>
      </w:pPr>
    </w:p>
    <w:p w14:paraId="206A90CB" w14:textId="0C5B61D3" w:rsidR="00B20A51" w:rsidRPr="00BD295E" w:rsidRDefault="00B20A51" w:rsidP="00F3260C">
      <w:pPr>
        <w:ind w:firstLine="709"/>
        <w:contextualSpacing/>
        <w:jc w:val="both"/>
        <w:rPr>
          <w:rFonts w:ascii="Arial" w:hAnsi="Arial" w:cs="Arial"/>
          <w:sz w:val="18"/>
          <w:szCs w:val="18"/>
          <w:lang w:val="en-US"/>
        </w:rPr>
      </w:pPr>
    </w:p>
    <w:p w14:paraId="7B543540" w14:textId="77777777" w:rsidR="00B20A51" w:rsidRPr="00BD295E" w:rsidRDefault="00B20A51" w:rsidP="00F3260C">
      <w:pPr>
        <w:ind w:firstLine="709"/>
        <w:contextualSpacing/>
        <w:jc w:val="both"/>
        <w:rPr>
          <w:rFonts w:ascii="Arial" w:hAnsi="Arial" w:cs="Arial"/>
          <w:sz w:val="18"/>
          <w:szCs w:val="18"/>
          <w:lang w:val="en-US"/>
        </w:rPr>
      </w:pPr>
    </w:p>
    <w:p w14:paraId="688BE3C4" w14:textId="77777777" w:rsidR="00B20A51" w:rsidRPr="00BD295E" w:rsidRDefault="00B20A51" w:rsidP="00F3260C">
      <w:pPr>
        <w:ind w:firstLine="709"/>
        <w:contextualSpacing/>
        <w:jc w:val="both"/>
        <w:rPr>
          <w:rFonts w:ascii="Arial" w:hAnsi="Arial" w:cs="Arial"/>
          <w:sz w:val="18"/>
          <w:szCs w:val="18"/>
          <w:lang w:val="en-US"/>
        </w:rPr>
      </w:pPr>
    </w:p>
    <w:p w14:paraId="59ADB86F" w14:textId="77777777" w:rsidR="00F3260C" w:rsidRPr="00BD295E" w:rsidRDefault="008A5057" w:rsidP="00F7146A">
      <w:pPr>
        <w:contextualSpacing/>
        <w:jc w:val="both"/>
        <w:rPr>
          <w:rFonts w:ascii="Arial" w:hAnsi="Arial" w:cs="Arial"/>
          <w:sz w:val="18"/>
          <w:szCs w:val="18"/>
          <w:lang w:val="en-US"/>
        </w:rPr>
      </w:pPr>
      <w:r w:rsidRPr="00BD295E">
        <w:rPr>
          <w:rFonts w:ascii="Arial" w:hAnsi="Arial" w:cs="Arial"/>
          <w:sz w:val="18"/>
          <w:szCs w:val="18"/>
          <w:lang w:val="en-US"/>
        </w:rPr>
        <w:t xml:space="preserve">The Company regularly checks contracts for compliance with the established requirements for the mandatory disclosure of information on the counterparty’s owners (including beneficiaries, including ultimate beneficiaries). The information is entered into the Automated Analysis and Collection System for Information on Beneficiaries of Counterparties using an electronic digital signature via a secure communication channel. </w:t>
      </w:r>
    </w:p>
    <w:p w14:paraId="7889592E" w14:textId="77777777" w:rsidR="00F3260C" w:rsidRPr="00BD295E" w:rsidRDefault="00F3260C" w:rsidP="00F7146A">
      <w:pPr>
        <w:contextualSpacing/>
        <w:jc w:val="both"/>
        <w:rPr>
          <w:rFonts w:ascii="Arial" w:hAnsi="Arial" w:cs="Arial"/>
          <w:sz w:val="18"/>
          <w:szCs w:val="18"/>
          <w:lang w:val="en-US"/>
        </w:rPr>
      </w:pPr>
    </w:p>
    <w:p w14:paraId="482F3844" w14:textId="77777777" w:rsidR="00F3260C" w:rsidRPr="00BD295E" w:rsidRDefault="008A5057" w:rsidP="00F7146A">
      <w:pPr>
        <w:contextualSpacing/>
        <w:jc w:val="both"/>
        <w:rPr>
          <w:rFonts w:ascii="Arial" w:hAnsi="Arial" w:cs="Arial"/>
          <w:sz w:val="18"/>
          <w:szCs w:val="18"/>
          <w:lang w:val="en-US"/>
        </w:rPr>
      </w:pPr>
      <w:r w:rsidRPr="00BD295E">
        <w:rPr>
          <w:rFonts w:ascii="Arial" w:hAnsi="Arial" w:cs="Arial"/>
          <w:b/>
          <w:bCs/>
          <w:sz w:val="18"/>
          <w:szCs w:val="18"/>
          <w:lang w:val="en-US"/>
        </w:rPr>
        <w:t>Participation in working groups and collective initiatives to combat and prevent corruption</w:t>
      </w:r>
      <w:r w:rsidRPr="00BD295E">
        <w:rPr>
          <w:rFonts w:ascii="Arial" w:hAnsi="Arial" w:cs="Arial"/>
          <w:sz w:val="18"/>
          <w:szCs w:val="18"/>
          <w:lang w:val="en-US"/>
        </w:rPr>
        <w:t xml:space="preserve"> (interaction with public authorities and civil society institutions in implementing the Anti-Corruption Policy) </w:t>
      </w:r>
    </w:p>
    <w:p w14:paraId="568E5A99" w14:textId="77777777" w:rsidR="00F3260C" w:rsidRPr="00BD295E" w:rsidRDefault="00F3260C" w:rsidP="00F7146A">
      <w:pPr>
        <w:contextualSpacing/>
        <w:jc w:val="both"/>
        <w:rPr>
          <w:rFonts w:ascii="Arial" w:hAnsi="Arial" w:cs="Arial"/>
          <w:sz w:val="18"/>
          <w:szCs w:val="18"/>
          <w:lang w:val="en-US"/>
        </w:rPr>
      </w:pPr>
    </w:p>
    <w:p w14:paraId="2E368DE1" w14:textId="77777777" w:rsidR="00F3260C" w:rsidRPr="00BD295E" w:rsidRDefault="008A5057" w:rsidP="00F7146A">
      <w:pPr>
        <w:pStyle w:val="ConsPlusNormal"/>
        <w:contextualSpacing/>
        <w:jc w:val="both"/>
        <w:rPr>
          <w:rFonts w:ascii="Arial" w:hAnsi="Arial" w:cs="Arial"/>
          <w:sz w:val="18"/>
          <w:szCs w:val="18"/>
          <w:lang w:val="en-US"/>
        </w:rPr>
      </w:pPr>
      <w:r w:rsidRPr="00BD295E">
        <w:rPr>
          <w:rFonts w:ascii="Arial" w:hAnsi="Arial" w:cs="Arial"/>
          <w:sz w:val="18"/>
          <w:szCs w:val="18"/>
          <w:lang w:val="en-US"/>
        </w:rPr>
        <w:t xml:space="preserve">As part of anti-corruption efforts governed by applicable Russian laws, the Company participates in collective anti-corruption initiatives. </w:t>
      </w:r>
      <w:r w:rsidRPr="00BD295E">
        <w:rPr>
          <w:rStyle w:val="FontStyle17"/>
          <w:rFonts w:ascii="Arial" w:hAnsi="Arial" w:cs="Arial"/>
          <w:sz w:val="18"/>
          <w:szCs w:val="18"/>
          <w:lang w:val="en-US"/>
        </w:rPr>
        <w:t xml:space="preserve">The Company is a member of the Anti-Corruption Charter of Russian Business (Certificate of Accession No. 2023 </w:t>
      </w:r>
      <w:r w:rsidR="008B183C" w:rsidRPr="00BD295E">
        <w:rPr>
          <w:rStyle w:val="FontStyle17"/>
          <w:rFonts w:ascii="Arial" w:hAnsi="Arial" w:cs="Arial"/>
          <w:sz w:val="18"/>
          <w:szCs w:val="18"/>
          <w:lang w:val="en-US"/>
        </w:rPr>
        <w:t>of</w:t>
      </w:r>
      <w:r w:rsidRPr="00BD295E">
        <w:rPr>
          <w:rStyle w:val="FontStyle17"/>
          <w:rFonts w:ascii="Arial" w:hAnsi="Arial" w:cs="Arial"/>
          <w:sz w:val="18"/>
          <w:szCs w:val="18"/>
          <w:lang w:val="en-US"/>
        </w:rPr>
        <w:t xml:space="preserve"> June 1, 2015), </w:t>
      </w:r>
      <w:hyperlink r:id="rId125" w:tgtFrame="_blank" w:history="1">
        <w:r w:rsidRPr="00BD295E">
          <w:rPr>
            <w:rStyle w:val="FontStyle17"/>
            <w:rFonts w:ascii="Arial" w:hAnsi="Arial" w:cs="Arial"/>
            <w:sz w:val="18"/>
            <w:szCs w:val="18"/>
            <w:lang w:val="en-US"/>
          </w:rPr>
          <w:t>No. 2023, June 1, 2015</w:t>
        </w:r>
      </w:hyperlink>
      <w:r w:rsidRPr="00BD295E">
        <w:rPr>
          <w:rStyle w:val="FontStyle17"/>
          <w:rFonts w:ascii="Arial" w:hAnsi="Arial" w:cs="Arial"/>
          <w:sz w:val="18"/>
          <w:szCs w:val="18"/>
          <w:lang w:val="en-US"/>
        </w:rPr>
        <w:t>)which confirms the compliance of the Company’s operations with anti-corruption requirements of international legal standards..</w:t>
      </w:r>
    </w:p>
    <w:p w14:paraId="7DEDB299" w14:textId="77777777" w:rsidR="00F3260C" w:rsidRPr="00BD295E" w:rsidRDefault="00EE5753" w:rsidP="00F7146A">
      <w:pPr>
        <w:contextualSpacing/>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is actively involved in the activities of the Working Group of </w:t>
      </w:r>
      <w:r w:rsidR="00BF106F" w:rsidRPr="00BD295E">
        <w:rPr>
          <w:rFonts w:ascii="Arial" w:hAnsi="Arial" w:cs="Arial"/>
          <w:sz w:val="18"/>
          <w:szCs w:val="18"/>
          <w:lang w:val="en-US"/>
        </w:rPr>
        <w:t>PJSC “Rosseti”</w:t>
      </w:r>
      <w:r w:rsidR="008A5057" w:rsidRPr="00BD295E">
        <w:rPr>
          <w:rFonts w:ascii="Arial" w:hAnsi="Arial" w:cs="Arial"/>
          <w:sz w:val="18"/>
          <w:szCs w:val="18"/>
          <w:lang w:val="en-US"/>
        </w:rPr>
        <w:t xml:space="preserve"> on improving the methodological support for anti-corruption efforts (set up by Directive No. 244r of </w:t>
      </w:r>
      <w:r w:rsidR="00BF106F" w:rsidRPr="00BD295E">
        <w:rPr>
          <w:rFonts w:ascii="Arial" w:hAnsi="Arial" w:cs="Arial"/>
          <w:sz w:val="18"/>
          <w:szCs w:val="18"/>
          <w:lang w:val="en-US"/>
        </w:rPr>
        <w:t>PJSC “Rosseti”</w:t>
      </w:r>
      <w:r w:rsidR="008A5057" w:rsidRPr="00BD295E">
        <w:rPr>
          <w:rFonts w:ascii="Arial" w:hAnsi="Arial" w:cs="Arial"/>
          <w:sz w:val="18"/>
          <w:szCs w:val="18"/>
          <w:lang w:val="en-US"/>
        </w:rPr>
        <w:t xml:space="preserve"> </w:t>
      </w:r>
      <w:r w:rsidR="008B183C" w:rsidRPr="00BD295E">
        <w:rPr>
          <w:rFonts w:ascii="Arial" w:hAnsi="Arial" w:cs="Arial"/>
          <w:sz w:val="18"/>
          <w:szCs w:val="18"/>
          <w:lang w:val="en-US"/>
        </w:rPr>
        <w:t>of</w:t>
      </w:r>
      <w:r w:rsidR="008A5057" w:rsidRPr="00BD295E">
        <w:rPr>
          <w:rFonts w:ascii="Arial" w:hAnsi="Arial" w:cs="Arial"/>
          <w:sz w:val="18"/>
          <w:szCs w:val="18"/>
          <w:lang w:val="en-US"/>
        </w:rPr>
        <w:t xml:space="preserve"> June 20, 2016).</w:t>
      </w:r>
    </w:p>
    <w:p w14:paraId="22E98AD3" w14:textId="77777777" w:rsidR="00F3260C" w:rsidRPr="00BD295E" w:rsidRDefault="00F3260C" w:rsidP="00F7146A">
      <w:pPr>
        <w:contextualSpacing/>
        <w:rPr>
          <w:rFonts w:ascii="Arial" w:hAnsi="Arial" w:cs="Arial"/>
          <w:sz w:val="18"/>
          <w:szCs w:val="18"/>
          <w:lang w:val="en-US"/>
        </w:rPr>
      </w:pPr>
    </w:p>
    <w:p w14:paraId="747F8236" w14:textId="77777777" w:rsidR="00F3260C" w:rsidRPr="00BD295E" w:rsidRDefault="008A5057" w:rsidP="00F7146A">
      <w:pPr>
        <w:contextualSpacing/>
        <w:rPr>
          <w:rFonts w:ascii="Arial" w:hAnsi="Arial" w:cs="Arial"/>
          <w:b/>
          <w:sz w:val="18"/>
          <w:szCs w:val="18"/>
          <w:lang w:val="en-US"/>
        </w:rPr>
      </w:pPr>
      <w:r w:rsidRPr="00BD295E">
        <w:rPr>
          <w:rFonts w:ascii="Arial" w:hAnsi="Arial" w:cs="Arial"/>
          <w:b/>
          <w:sz w:val="18"/>
          <w:szCs w:val="18"/>
          <w:lang w:val="en-US"/>
        </w:rPr>
        <w:t>Training of employees in anti-corruption approaches</w:t>
      </w:r>
    </w:p>
    <w:p w14:paraId="5AB34F58" w14:textId="77777777" w:rsidR="00F3260C" w:rsidRPr="00BD295E" w:rsidRDefault="00F3260C" w:rsidP="00F7146A">
      <w:pPr>
        <w:contextualSpacing/>
        <w:jc w:val="both"/>
        <w:rPr>
          <w:rFonts w:ascii="Arial" w:hAnsi="Arial" w:cs="Arial"/>
          <w:sz w:val="18"/>
          <w:szCs w:val="18"/>
          <w:lang w:val="en-US"/>
        </w:rPr>
      </w:pPr>
    </w:p>
    <w:p w14:paraId="2BF7DB61" w14:textId="77777777" w:rsidR="00F3260C" w:rsidRPr="00BD295E" w:rsidRDefault="008A5057" w:rsidP="00F7146A">
      <w:pPr>
        <w:contextualSpacing/>
        <w:jc w:val="both"/>
        <w:rPr>
          <w:rFonts w:ascii="Arial" w:hAnsi="Arial" w:cs="Arial"/>
          <w:sz w:val="18"/>
          <w:szCs w:val="18"/>
          <w:lang w:val="en-US"/>
        </w:rPr>
      </w:pPr>
      <w:r w:rsidRPr="00BD295E">
        <w:rPr>
          <w:rFonts w:ascii="Arial" w:hAnsi="Arial" w:cs="Arial"/>
          <w:sz w:val="18"/>
          <w:szCs w:val="18"/>
          <w:lang w:val="en-US"/>
        </w:rPr>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jointly with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and IDGC of the North-West, PJSC, took part in preparing and holding a workshop on </w:t>
      </w:r>
      <w:r w:rsidRPr="00BD295E">
        <w:rPr>
          <w:rFonts w:ascii="Arial" w:hAnsi="Arial" w:cs="Arial"/>
          <w:i/>
          <w:iCs/>
          <w:sz w:val="18"/>
          <w:szCs w:val="18"/>
          <w:lang w:val="en-US"/>
        </w:rPr>
        <w:t>Update on Preventing and Combating Corruption in the Electric Grid Sector</w:t>
      </w:r>
      <w:r w:rsidRPr="00BD295E">
        <w:rPr>
          <w:rFonts w:ascii="Arial" w:hAnsi="Arial" w:cs="Arial"/>
          <w:sz w:val="18"/>
          <w:szCs w:val="18"/>
          <w:lang w:val="en-US"/>
        </w:rPr>
        <w:t xml:space="preserve"> in Saint Petersburg, involving competent experts and faculty members of the Saint Petersburg Security Academy. On completion of training, employees of the Company’s anti-corruption function were issued upskilling certificates.</w:t>
      </w:r>
    </w:p>
    <w:p w14:paraId="5EA7EE1B" w14:textId="77777777" w:rsidR="00F3260C"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In accordance with Item 8.4 of the Anti-Corruption Plan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2018 and the Company’s training plan, the compliance officer of the Company underwent an upskilling course on Compliance Risks at the Russian School of Management.</w:t>
      </w:r>
    </w:p>
    <w:p w14:paraId="6B6661CA" w14:textId="77777777" w:rsidR="00F3260C" w:rsidRPr="00BD295E" w:rsidRDefault="00F3260C" w:rsidP="00F7146A">
      <w:pPr>
        <w:jc w:val="both"/>
        <w:rPr>
          <w:rFonts w:ascii="Arial" w:hAnsi="Arial" w:cs="Arial"/>
          <w:sz w:val="18"/>
          <w:szCs w:val="18"/>
          <w:lang w:val="en-US"/>
        </w:rPr>
      </w:pPr>
    </w:p>
    <w:p w14:paraId="51C2765F" w14:textId="578744DA" w:rsidR="00F3260C"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In order to prevent corruption risks in 2018, the Company </w:t>
      </w:r>
      <w:r w:rsidR="00BF7D8E" w:rsidRPr="00BD295E">
        <w:rPr>
          <w:rFonts w:ascii="Arial" w:hAnsi="Arial" w:cs="Arial"/>
          <w:sz w:val="18"/>
          <w:szCs w:val="18"/>
          <w:lang w:val="en-US"/>
        </w:rPr>
        <w:t>updated</w:t>
      </w:r>
      <w:r w:rsidRPr="00BD295E">
        <w:rPr>
          <w:rFonts w:ascii="Arial" w:hAnsi="Arial" w:cs="Arial"/>
          <w:sz w:val="18"/>
          <w:szCs w:val="18"/>
          <w:lang w:val="en-US"/>
        </w:rPr>
        <w:t xml:space="preserve"> its model corruption risk control matrices. </w:t>
      </w:r>
    </w:p>
    <w:p w14:paraId="2C43FB3F" w14:textId="77777777" w:rsidR="00F3260C"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As part of its anti-corruption activity plan, the Company engaged in developing, adopting, and adapting the Model Guidelines for Corruption Risk Assessment at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and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p>
    <w:p w14:paraId="470A6678" w14:textId="77777777" w:rsidR="00F3260C"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At meetings of the Working Group, the Company repeatedly submitted proposals regarding the compliance of certain provisions of the Model Guidelines with applicable laws and the operational profile of Rosseti Group.</w:t>
      </w:r>
    </w:p>
    <w:p w14:paraId="7509E77A" w14:textId="77777777" w:rsidR="00F3260C"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As a result of these efforts, the Company adopted the Guidelines for Assessing Corruption risks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(Order No. 197 </w:t>
      </w:r>
      <w:r w:rsidR="008B183C" w:rsidRPr="00BD295E">
        <w:rPr>
          <w:rFonts w:ascii="Arial" w:hAnsi="Arial" w:cs="Arial"/>
          <w:sz w:val="18"/>
          <w:szCs w:val="18"/>
          <w:lang w:val="en-US"/>
        </w:rPr>
        <w:t>of</w:t>
      </w:r>
      <w:r w:rsidRPr="00BD295E">
        <w:rPr>
          <w:rFonts w:ascii="Arial" w:hAnsi="Arial" w:cs="Arial"/>
          <w:sz w:val="18"/>
          <w:szCs w:val="18"/>
          <w:lang w:val="en-US"/>
        </w:rPr>
        <w:t xml:space="preserve"> April 26, 2018). </w:t>
      </w:r>
    </w:p>
    <w:p w14:paraId="18022404" w14:textId="77777777" w:rsidR="00F3260C"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In order to automate anti-corruption and other similar efforts, the Working Group is considering options for developing and implementing specialized software that will identify “corruption markers”. At one of the regular meetings of the Working Group, the Company submitted proposals and comments on the development of a module of automated multi-criteria assessment of corruption risks and abuses with regard to grid connections.</w:t>
      </w:r>
    </w:p>
    <w:p w14:paraId="252C6820" w14:textId="77777777" w:rsidR="00F3260C" w:rsidRPr="00BD295E" w:rsidRDefault="00F3260C" w:rsidP="00F7146A">
      <w:pPr>
        <w:jc w:val="both"/>
        <w:rPr>
          <w:rFonts w:ascii="Arial" w:hAnsi="Arial" w:cs="Arial"/>
          <w:sz w:val="18"/>
          <w:szCs w:val="18"/>
          <w:lang w:val="en-US"/>
        </w:rPr>
      </w:pPr>
    </w:p>
    <w:p w14:paraId="33A34FB8" w14:textId="77777777" w:rsidR="00F3260C" w:rsidRPr="00BD295E" w:rsidRDefault="00F3260C" w:rsidP="00F7146A">
      <w:pPr>
        <w:jc w:val="both"/>
        <w:rPr>
          <w:rFonts w:ascii="Arial" w:hAnsi="Arial" w:cs="Arial"/>
          <w:sz w:val="18"/>
          <w:szCs w:val="18"/>
          <w:lang w:val="en-US"/>
        </w:rPr>
      </w:pPr>
    </w:p>
    <w:p w14:paraId="1B36133F" w14:textId="77777777" w:rsidR="00F3260C" w:rsidRPr="00BD295E" w:rsidRDefault="008A5057" w:rsidP="00F7146A">
      <w:pPr>
        <w:keepNext/>
        <w:numPr>
          <w:ilvl w:val="0"/>
          <w:numId w:val="9"/>
        </w:numPr>
        <w:ind w:firstLine="0"/>
        <w:jc w:val="both"/>
        <w:outlineLvl w:val="1"/>
        <w:rPr>
          <w:rFonts w:ascii="Arial" w:hAnsi="Arial" w:cs="Arial"/>
          <w:b/>
          <w:sz w:val="18"/>
          <w:szCs w:val="18"/>
          <w:lang w:val="en-US"/>
        </w:rPr>
      </w:pPr>
      <w:bookmarkStart w:id="432" w:name="_Toc509493405"/>
      <w:bookmarkStart w:id="433" w:name="_Toc509497968"/>
      <w:bookmarkStart w:id="434" w:name="_Toc509581270"/>
      <w:bookmarkStart w:id="435" w:name="_Toc510452234"/>
      <w:bookmarkStart w:id="436" w:name="_Toc5027023"/>
      <w:bookmarkStart w:id="437" w:name="_Toc5105981"/>
      <w:bookmarkStart w:id="438" w:name="_Toc5203834"/>
      <w:bookmarkStart w:id="439" w:name="_Toc6230931"/>
      <w:bookmarkStart w:id="440" w:name="_Toc7172579"/>
      <w:bookmarkStart w:id="441" w:name="_Toc7172625"/>
      <w:bookmarkStart w:id="442" w:name="_Toc95855300"/>
      <w:bookmarkStart w:id="443" w:name="_Toc95935359"/>
      <w:r w:rsidRPr="00BD295E">
        <w:rPr>
          <w:rFonts w:ascii="Arial" w:hAnsi="Arial" w:cs="Arial"/>
          <w:b/>
          <w:sz w:val="18"/>
          <w:szCs w:val="18"/>
          <w:lang w:val="en-US"/>
        </w:rPr>
        <w:t>Securities</w:t>
      </w:r>
      <w:bookmarkEnd w:id="432"/>
      <w:bookmarkEnd w:id="433"/>
      <w:bookmarkEnd w:id="434"/>
      <w:bookmarkEnd w:id="435"/>
      <w:bookmarkEnd w:id="436"/>
      <w:bookmarkEnd w:id="437"/>
      <w:bookmarkEnd w:id="438"/>
      <w:bookmarkEnd w:id="439"/>
      <w:bookmarkEnd w:id="440"/>
      <w:bookmarkEnd w:id="441"/>
      <w:bookmarkEnd w:id="442"/>
      <w:bookmarkEnd w:id="443"/>
    </w:p>
    <w:p w14:paraId="048D23B8" w14:textId="77777777" w:rsidR="00F3260C" w:rsidRPr="00BD295E" w:rsidRDefault="00F3260C" w:rsidP="00F7146A">
      <w:pPr>
        <w:jc w:val="both"/>
        <w:rPr>
          <w:rFonts w:ascii="Arial" w:hAnsi="Arial" w:cs="Arial"/>
          <w:sz w:val="18"/>
          <w:szCs w:val="18"/>
          <w:lang w:val="en-US"/>
        </w:rPr>
      </w:pPr>
    </w:p>
    <w:p w14:paraId="359FF66D" w14:textId="77777777" w:rsidR="00F3260C" w:rsidRPr="00BD295E" w:rsidRDefault="00F3260C" w:rsidP="00F7146A">
      <w:pPr>
        <w:jc w:val="both"/>
        <w:rPr>
          <w:rFonts w:ascii="Arial" w:hAnsi="Arial" w:cs="Arial"/>
          <w:sz w:val="18"/>
          <w:szCs w:val="18"/>
          <w:lang w:val="en-US"/>
        </w:rPr>
      </w:pPr>
    </w:p>
    <w:p w14:paraId="54BD905C" w14:textId="77777777" w:rsidR="00F3260C"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As at December 31, 2018, the authorized capital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RUB 8,617,049,631.05 divided into 8,523,785,320.05 ordinary shares and 93,264,311 preference shares (with a par value of RUB 1 each).</w:t>
      </w:r>
    </w:p>
    <w:p w14:paraId="0757EE52" w14:textId="77777777" w:rsidR="00F3260C"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The number of authorized, but unissued shares is 12,017,484,970 shares (ordinary shares with a par value of RUB 1 each). Authorized, but unissued ordinary shares grant the same rights as authorized and issued ordinary shares. </w:t>
      </w:r>
    </w:p>
    <w:p w14:paraId="535E6B8C" w14:textId="5E91E9EC" w:rsidR="00785F89" w:rsidRPr="00BD295E" w:rsidRDefault="00785F89">
      <w:pPr>
        <w:rPr>
          <w:rFonts w:ascii="Arial" w:hAnsi="Arial" w:cs="Arial"/>
          <w:sz w:val="18"/>
          <w:szCs w:val="18"/>
          <w:lang w:val="en-US"/>
        </w:rPr>
      </w:pPr>
      <w:r w:rsidRPr="00BD295E">
        <w:rPr>
          <w:rFonts w:ascii="Arial" w:hAnsi="Arial" w:cs="Arial"/>
          <w:sz w:val="18"/>
          <w:szCs w:val="18"/>
          <w:lang w:val="en-US"/>
        </w:rPr>
        <w:br w:type="page"/>
      </w:r>
    </w:p>
    <w:p w14:paraId="6850B6B2" w14:textId="06026CA2" w:rsidR="00F3260C" w:rsidRPr="00BD295E" w:rsidRDefault="008A5057" w:rsidP="00F7146A">
      <w:pPr>
        <w:rPr>
          <w:rFonts w:ascii="Arial" w:hAnsi="Arial" w:cs="Arial"/>
          <w:b/>
          <w:sz w:val="18"/>
          <w:szCs w:val="18"/>
          <w:lang w:val="en-US"/>
        </w:rPr>
      </w:pPr>
      <w:r w:rsidRPr="00BD295E">
        <w:rPr>
          <w:rFonts w:ascii="Arial" w:hAnsi="Arial" w:cs="Arial"/>
          <w:b/>
          <w:sz w:val="18"/>
          <w:szCs w:val="18"/>
          <w:lang w:val="en-US"/>
        </w:rPr>
        <w:t>Equity structure</w:t>
      </w:r>
    </w:p>
    <w:p w14:paraId="7B7DA686" w14:textId="77777777" w:rsidR="00F3260C" w:rsidRPr="00BD295E" w:rsidRDefault="00F3260C" w:rsidP="00F7146A">
      <w:pPr>
        <w:shd w:val="clear" w:color="auto" w:fill="FFFFFF"/>
        <w:rPr>
          <w:rFonts w:ascii="Arial" w:hAnsi="Arial" w:cs="Arial"/>
          <w:b/>
          <w:sz w:val="18"/>
          <w:szCs w:val="18"/>
          <w:lang w:val="en-US"/>
        </w:rPr>
      </w:pPr>
    </w:p>
    <w:p w14:paraId="1E6A570C" w14:textId="77777777" w:rsidR="00F3260C" w:rsidRPr="00BD295E" w:rsidRDefault="008A5057" w:rsidP="00F3260C">
      <w:pPr>
        <w:pStyle w:val="ConsPlusNormal"/>
        <w:jc w:val="center"/>
        <w:rPr>
          <w:rFonts w:ascii="Arial" w:hAnsi="Arial" w:cs="Arial"/>
          <w:b/>
          <w:sz w:val="18"/>
          <w:szCs w:val="18"/>
          <w:lang w:val="en-US"/>
        </w:rPr>
      </w:pPr>
      <w:r w:rsidRPr="00BD295E">
        <w:rPr>
          <w:rFonts w:ascii="Arial" w:hAnsi="Arial" w:cs="Arial"/>
          <w:b/>
          <w:sz w:val="18"/>
          <w:szCs w:val="18"/>
          <w:lang w:val="en-US"/>
        </w:rPr>
        <w:t>Structure of shareholders owning more than 1% of ordinary shares</w:t>
      </w:r>
    </w:p>
    <w:p w14:paraId="709A1E47" w14:textId="77777777" w:rsidR="00F3260C" w:rsidRPr="00BD295E" w:rsidRDefault="008A5057" w:rsidP="00F3260C">
      <w:pPr>
        <w:pStyle w:val="ConsPlusNormal"/>
        <w:jc w:val="center"/>
        <w:rPr>
          <w:rFonts w:ascii="Arial" w:hAnsi="Arial" w:cs="Arial"/>
          <w:b/>
          <w:sz w:val="18"/>
          <w:szCs w:val="18"/>
          <w:lang w:val="en-US"/>
        </w:rPr>
      </w:pPr>
      <w:r w:rsidRPr="00BD295E">
        <w:rPr>
          <w:rFonts w:ascii="Arial" w:hAnsi="Arial" w:cs="Arial"/>
          <w:b/>
          <w:sz w:val="18"/>
          <w:szCs w:val="18"/>
          <w:lang w:val="en-US"/>
        </w:rPr>
        <w:t>Including disclosure of nominal holders*</w:t>
      </w:r>
    </w:p>
    <w:p w14:paraId="63888F77" w14:textId="77777777" w:rsidR="00F3260C" w:rsidRPr="00BD295E" w:rsidRDefault="00F3260C" w:rsidP="00F3260C">
      <w:pPr>
        <w:pStyle w:val="ConsPlusNormal"/>
        <w:ind w:left="928"/>
        <w:jc w:val="both"/>
        <w:rPr>
          <w:rFonts w:ascii="Arial" w:hAnsi="Arial" w:cs="Arial"/>
          <w:b/>
          <w:sz w:val="18"/>
          <w:szCs w:val="18"/>
          <w:lang w:val="en-US"/>
        </w:rPr>
      </w:pPr>
    </w:p>
    <w:p w14:paraId="08F4A3DF" w14:textId="29F74C9E" w:rsidR="00F3260C" w:rsidRPr="00BD295E" w:rsidRDefault="00DC4B7A" w:rsidP="00F3260C">
      <w:pPr>
        <w:pStyle w:val="ConsPlusNormal"/>
        <w:ind w:left="928"/>
        <w:jc w:val="center"/>
        <w:rPr>
          <w:rFonts w:ascii="Arial" w:hAnsi="Arial" w:cs="Arial"/>
          <w:sz w:val="18"/>
          <w:szCs w:val="18"/>
          <w:lang w:val="en-US"/>
        </w:rPr>
      </w:pPr>
      <w:bookmarkStart w:id="444" w:name="_Hlk95940131"/>
      <w:r w:rsidRPr="00BD295E">
        <w:rPr>
          <w:lang w:val="en-US"/>
        </w:rPr>
        <mc:AlternateContent>
          <mc:Choice Requires="wps">
            <w:drawing>
              <wp:anchor distT="45720" distB="45720" distL="114300" distR="114300" simplePos="0" relativeHeight="251959808" behindDoc="0" locked="0" layoutInCell="1" allowOverlap="1" wp14:anchorId="0769C121" wp14:editId="1C5E3BD6">
                <wp:simplePos x="0" y="0"/>
                <wp:positionH relativeFrom="column">
                  <wp:posOffset>3929705</wp:posOffset>
                </wp:positionH>
                <wp:positionV relativeFrom="paragraph">
                  <wp:posOffset>826346</wp:posOffset>
                </wp:positionV>
                <wp:extent cx="1644133" cy="1533928"/>
                <wp:effectExtent l="0" t="0" r="0" b="9525"/>
                <wp:wrapNone/>
                <wp:docPr id="5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133" cy="1533928"/>
                        </a:xfrm>
                        <a:prstGeom prst="rect">
                          <a:avLst/>
                        </a:prstGeom>
                        <a:solidFill>
                          <a:sysClr val="window" lastClr="FFFFFF"/>
                        </a:solidFill>
                        <a:ln w="9525">
                          <a:noFill/>
                          <a:miter lim="800000"/>
                          <a:headEnd/>
                          <a:tailEnd/>
                        </a:ln>
                      </wps:spPr>
                      <wps:txbx>
                        <w:txbxContent>
                          <w:p w14:paraId="01E3BF74" w14:textId="77777777" w:rsidR="002C3947" w:rsidRPr="00DC4B7A" w:rsidRDefault="002C3947" w:rsidP="00DC4B7A">
                            <w:pPr>
                              <w:pStyle w:val="ConsPlusNormal"/>
                              <w:ind w:left="210" w:hanging="210"/>
                              <w:rPr>
                                <w:rFonts w:ascii="Arial" w:hAnsi="Arial" w:cs="Arial"/>
                                <w:sz w:val="18"/>
                                <w:szCs w:val="18"/>
                                <w:lang w:val="en-US"/>
                              </w:rPr>
                            </w:pPr>
                            <w:r w:rsidRPr="00DC4B7A">
                              <w:rPr>
                                <w:rFonts w:ascii="Wingdings 2" w:hAnsi="Wingdings 2" w:cs="Arial"/>
                                <w:color w:val="5B9BD5"/>
                                <w:sz w:val="18"/>
                                <w:szCs w:val="18"/>
                                <w:lang w:val="en-US"/>
                              </w:rPr>
                              <w:t></w:t>
                            </w:r>
                            <w:r w:rsidRPr="00DC4B7A">
                              <w:rPr>
                                <w:rFonts w:ascii="Arial" w:hAnsi="Arial" w:cs="Arial"/>
                                <w:sz w:val="18"/>
                                <w:szCs w:val="18"/>
                                <w:lang w:val="en-US"/>
                              </w:rPr>
                              <w:tab/>
                              <w:t>PJSC “Rosseti”</w:t>
                            </w:r>
                          </w:p>
                          <w:p w14:paraId="193479BE"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ED7D31"/>
                                <w:sz w:val="18"/>
                                <w:szCs w:val="18"/>
                                <w:lang w:val="en-US"/>
                              </w:rPr>
                              <w:t></w:t>
                            </w:r>
                            <w:r w:rsidRPr="00DC4B7A">
                              <w:rPr>
                                <w:rFonts w:ascii="Arial" w:hAnsi="Arial" w:cs="Arial"/>
                                <w:sz w:val="18"/>
                                <w:szCs w:val="18"/>
                                <w:lang w:val="en-US"/>
                              </w:rPr>
                              <w:tab/>
                              <w:t>Saint Petersburg represented by the Property Relations Committee</w:t>
                            </w:r>
                          </w:p>
                          <w:p w14:paraId="0D2F3523"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A5A5A5"/>
                                <w:sz w:val="18"/>
                                <w:szCs w:val="18"/>
                                <w:lang w:val="en-US"/>
                              </w:rPr>
                              <w:t></w:t>
                            </w:r>
                            <w:r w:rsidRPr="00DC4B7A">
                              <w:rPr>
                                <w:rFonts w:ascii="Arial" w:hAnsi="Arial" w:cs="Arial"/>
                                <w:sz w:val="18"/>
                                <w:szCs w:val="18"/>
                                <w:lang w:val="en-US"/>
                              </w:rPr>
                              <w:tab/>
                              <w:t>IDGC of Urals, OJSC</w:t>
                            </w:r>
                          </w:p>
                          <w:p w14:paraId="6716324A"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FFC000"/>
                                <w:sz w:val="18"/>
                                <w:szCs w:val="18"/>
                                <w:lang w:val="en-US"/>
                              </w:rPr>
                              <w:t></w:t>
                            </w:r>
                            <w:r w:rsidRPr="00DC4B7A">
                              <w:rPr>
                                <w:rFonts w:ascii="Arial" w:hAnsi="Arial" w:cs="Arial"/>
                                <w:sz w:val="18"/>
                                <w:szCs w:val="18"/>
                                <w:lang w:val="en-US"/>
                              </w:rPr>
                              <w:tab/>
                              <w:t>Other</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769C121" id="_x0000_s1207" type="#_x0000_t202" style="position:absolute;left:0;text-align:left;margin-left:309.45pt;margin-top:65.05pt;width:129.45pt;height:120.8pt;z-index:25195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" fillcolor="window" stroked="f">
                <v:textbox inset="0,0,0,0">
                  <w:txbxContent>
                    <w:p w14:paraId="01E3BF74" w14:textId="77777777" w:rsidR="002C3947" w:rsidRPr="00DC4B7A" w:rsidRDefault="002C3947" w:rsidP="00DC4B7A">
                      <w:pPr>
                        <w:pStyle w:val="ConsPlusNormal"/>
                        <w:ind w:left="210" w:hanging="210"/>
                        <w:rPr>
                          <w:rFonts w:ascii="Arial" w:hAnsi="Arial" w:cs="Arial"/>
                          <w:sz w:val="18"/>
                          <w:szCs w:val="18"/>
                          <w:lang w:val="en-US"/>
                        </w:rPr>
                      </w:pPr>
                      <w:r w:rsidRPr="00DC4B7A">
                        <w:rPr>
                          <w:rFonts w:ascii="Wingdings 2" w:hAnsi="Wingdings 2" w:cs="Arial"/>
                          <w:color w:val="5B9BD5"/>
                          <w:sz w:val="18"/>
                          <w:szCs w:val="18"/>
                          <w:lang w:val="en-US"/>
                        </w:rPr>
                        <w:t></w:t>
                      </w:r>
                      <w:r w:rsidRPr="00DC4B7A">
                        <w:rPr>
                          <w:rFonts w:ascii="Arial" w:hAnsi="Arial" w:cs="Arial"/>
                          <w:sz w:val="18"/>
                          <w:szCs w:val="18"/>
                          <w:lang w:val="en-US"/>
                        </w:rPr>
                        <w:tab/>
                        <w:t>PJSC “Rosseti”</w:t>
                      </w:r>
                    </w:p>
                    <w:p w14:paraId="193479BE"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ED7D31"/>
                          <w:sz w:val="18"/>
                          <w:szCs w:val="18"/>
                          <w:lang w:val="en-US"/>
                        </w:rPr>
                        <w:t></w:t>
                      </w:r>
                      <w:r w:rsidRPr="00DC4B7A">
                        <w:rPr>
                          <w:rFonts w:ascii="Arial" w:hAnsi="Arial" w:cs="Arial"/>
                          <w:sz w:val="18"/>
                          <w:szCs w:val="18"/>
                          <w:lang w:val="en-US"/>
                        </w:rPr>
                        <w:tab/>
                        <w:t>Saint Petersburg represented by the Property Relations Committee</w:t>
                      </w:r>
                    </w:p>
                    <w:p w14:paraId="0D2F3523"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A5A5A5"/>
                          <w:sz w:val="18"/>
                          <w:szCs w:val="18"/>
                          <w:lang w:val="en-US"/>
                        </w:rPr>
                        <w:t></w:t>
                      </w:r>
                      <w:r w:rsidRPr="00DC4B7A">
                        <w:rPr>
                          <w:rFonts w:ascii="Arial" w:hAnsi="Arial" w:cs="Arial"/>
                          <w:sz w:val="18"/>
                          <w:szCs w:val="18"/>
                          <w:lang w:val="en-US"/>
                        </w:rPr>
                        <w:tab/>
                        <w:t>IDGC of Urals, OJSC</w:t>
                      </w:r>
                    </w:p>
                    <w:p w14:paraId="6716324A"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FFC000"/>
                          <w:sz w:val="18"/>
                          <w:szCs w:val="18"/>
                          <w:lang w:val="en-US"/>
                        </w:rPr>
                        <w:t></w:t>
                      </w:r>
                      <w:r w:rsidRPr="00DC4B7A">
                        <w:rPr>
                          <w:rFonts w:ascii="Arial" w:hAnsi="Arial" w:cs="Arial"/>
                          <w:sz w:val="18"/>
                          <w:szCs w:val="18"/>
                          <w:lang w:val="en-US"/>
                        </w:rPr>
                        <w:tab/>
                        <w:t>Other</w:t>
                      </w:r>
                    </w:p>
                  </w:txbxContent>
                </v:textbox>
              </v:shape>
            </w:pict>
          </mc:Fallback>
        </mc:AlternateContent>
      </w:r>
      <w:r w:rsidR="00997D07" w:rsidRPr="00BD295E">
        <w:rPr>
          <w:rFonts w:ascii="Arial" w:hAnsi="Arial" w:cs="Arial"/>
          <w:sz w:val="18"/>
          <w:szCs w:val="18"/>
          <w:lang w:val="en-US"/>
        </w:rPr>
        <w:drawing>
          <wp:inline distT="0" distB="0" distL="0" distR="0" wp14:anchorId="7C0B60E3" wp14:editId="41EF994C">
            <wp:extent cx="4739005" cy="3352800"/>
            <wp:effectExtent l="0" t="0" r="0" b="0"/>
            <wp:docPr id="87" name="Диаграмма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4"/>
                    <pic:cNvPicPr>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39005" cy="3352800"/>
                    </a:xfrm>
                    <a:prstGeom prst="rect">
                      <a:avLst/>
                    </a:prstGeom>
                    <a:noFill/>
                    <a:ln>
                      <a:noFill/>
                    </a:ln>
                  </pic:spPr>
                </pic:pic>
              </a:graphicData>
            </a:graphic>
          </wp:inline>
        </w:drawing>
      </w:r>
      <w:bookmarkEnd w:id="444"/>
    </w:p>
    <w:p w14:paraId="6676AFD0" w14:textId="5B4FD728" w:rsidR="00B20A51" w:rsidRPr="00BD295E" w:rsidRDefault="00B20A51" w:rsidP="00F3260C">
      <w:pPr>
        <w:pStyle w:val="ConsPlusNormal"/>
        <w:jc w:val="both"/>
        <w:rPr>
          <w:rFonts w:ascii="Arial" w:hAnsi="Arial" w:cs="Arial"/>
          <w:b/>
          <w:sz w:val="18"/>
          <w:szCs w:val="18"/>
          <w:lang w:val="en-US"/>
        </w:rPr>
      </w:pPr>
    </w:p>
    <w:p w14:paraId="7243B52C" w14:textId="519AE58A" w:rsidR="00F3260C" w:rsidRPr="00BD295E" w:rsidRDefault="008A5057" w:rsidP="00F3260C">
      <w:pPr>
        <w:pStyle w:val="ConsPlusNormal"/>
        <w:jc w:val="both"/>
        <w:rPr>
          <w:rFonts w:ascii="Arial" w:hAnsi="Arial" w:cs="Arial"/>
          <w:b/>
          <w:sz w:val="18"/>
          <w:szCs w:val="18"/>
          <w:lang w:val="en-US"/>
        </w:rPr>
      </w:pPr>
      <w:r w:rsidRPr="00BD295E">
        <w:rPr>
          <w:rFonts w:ascii="Arial" w:hAnsi="Arial" w:cs="Arial"/>
          <w:b/>
          <w:sz w:val="18"/>
          <w:szCs w:val="18"/>
          <w:lang w:val="en-US"/>
        </w:rPr>
        <w:t>Structure of shareholders owning more than 1% of the authorized capital, including disclosure of nominal holders*</w:t>
      </w:r>
    </w:p>
    <w:p w14:paraId="2A8A476E" w14:textId="2F60011F" w:rsidR="00F3260C" w:rsidRPr="00BD295E" w:rsidRDefault="00F3260C" w:rsidP="00F3260C">
      <w:pPr>
        <w:pStyle w:val="ConsPlusNormal"/>
        <w:jc w:val="both"/>
        <w:rPr>
          <w:rFonts w:ascii="Arial" w:hAnsi="Arial" w:cs="Arial"/>
          <w:sz w:val="18"/>
          <w:szCs w:val="18"/>
          <w:lang w:val="en-US"/>
        </w:rPr>
      </w:pPr>
    </w:p>
    <w:p w14:paraId="15E316EA" w14:textId="1117D91B" w:rsidR="00F3260C" w:rsidRPr="00BD295E" w:rsidRDefault="00DC4B7A" w:rsidP="00F3260C">
      <w:pPr>
        <w:pStyle w:val="ConsPlusNormal"/>
        <w:jc w:val="center"/>
        <w:rPr>
          <w:rFonts w:ascii="Arial" w:hAnsi="Arial" w:cs="Arial"/>
          <w:sz w:val="18"/>
          <w:szCs w:val="18"/>
          <w:lang w:val="en-US"/>
        </w:rPr>
      </w:pPr>
      <w:bookmarkStart w:id="445" w:name="_Hlk95940140"/>
      <w:r w:rsidRPr="00BD295E">
        <w:rPr>
          <w:lang w:val="en-US"/>
        </w:rPr>
        <mc:AlternateContent>
          <mc:Choice Requires="wps">
            <w:drawing>
              <wp:anchor distT="45720" distB="45720" distL="114300" distR="114300" simplePos="0" relativeHeight="251961856" behindDoc="0" locked="0" layoutInCell="1" allowOverlap="1" wp14:anchorId="5A4B9518" wp14:editId="35C4E51C">
                <wp:simplePos x="0" y="0"/>
                <wp:positionH relativeFrom="column">
                  <wp:posOffset>3670356</wp:posOffset>
                </wp:positionH>
                <wp:positionV relativeFrom="paragraph">
                  <wp:posOffset>849735</wp:posOffset>
                </wp:positionV>
                <wp:extent cx="1644133" cy="1533928"/>
                <wp:effectExtent l="0" t="0" r="0" b="9525"/>
                <wp:wrapNone/>
                <wp:docPr id="5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133" cy="1533928"/>
                        </a:xfrm>
                        <a:prstGeom prst="rect">
                          <a:avLst/>
                        </a:prstGeom>
                        <a:solidFill>
                          <a:sysClr val="window" lastClr="FFFFFF"/>
                        </a:solidFill>
                        <a:ln w="9525">
                          <a:noFill/>
                          <a:miter lim="800000"/>
                          <a:headEnd/>
                          <a:tailEnd/>
                        </a:ln>
                      </wps:spPr>
                      <wps:txbx>
                        <w:txbxContent>
                          <w:p w14:paraId="16202639" w14:textId="77777777" w:rsidR="002C3947" w:rsidRPr="00DC4B7A" w:rsidRDefault="002C3947" w:rsidP="00DC4B7A">
                            <w:pPr>
                              <w:pStyle w:val="ConsPlusNormal"/>
                              <w:ind w:left="210" w:hanging="210"/>
                              <w:rPr>
                                <w:rFonts w:ascii="Arial" w:hAnsi="Arial" w:cs="Arial"/>
                                <w:sz w:val="18"/>
                                <w:szCs w:val="18"/>
                                <w:lang w:val="en-US"/>
                              </w:rPr>
                            </w:pPr>
                            <w:r w:rsidRPr="00DC4B7A">
                              <w:rPr>
                                <w:rFonts w:ascii="Wingdings 2" w:hAnsi="Wingdings 2" w:cs="Arial"/>
                                <w:color w:val="5B9BD5"/>
                                <w:sz w:val="18"/>
                                <w:szCs w:val="18"/>
                                <w:lang w:val="en-US"/>
                              </w:rPr>
                              <w:t></w:t>
                            </w:r>
                            <w:r w:rsidRPr="00DC4B7A">
                              <w:rPr>
                                <w:rFonts w:ascii="Arial" w:hAnsi="Arial" w:cs="Arial"/>
                                <w:sz w:val="18"/>
                                <w:szCs w:val="18"/>
                                <w:lang w:val="en-US"/>
                              </w:rPr>
                              <w:tab/>
                              <w:t>PJSC “Rosseti”</w:t>
                            </w:r>
                          </w:p>
                          <w:p w14:paraId="6A67061C"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ED7D31"/>
                                <w:sz w:val="18"/>
                                <w:szCs w:val="18"/>
                                <w:lang w:val="en-US"/>
                              </w:rPr>
                              <w:t></w:t>
                            </w:r>
                            <w:r w:rsidRPr="00DC4B7A">
                              <w:rPr>
                                <w:rFonts w:ascii="Arial" w:hAnsi="Arial" w:cs="Arial"/>
                                <w:sz w:val="18"/>
                                <w:szCs w:val="18"/>
                                <w:lang w:val="en-US"/>
                              </w:rPr>
                              <w:tab/>
                              <w:t>Saint Petersburg represented by the Property Relations Committee</w:t>
                            </w:r>
                          </w:p>
                          <w:p w14:paraId="0D62633A"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A5A5A5"/>
                                <w:sz w:val="18"/>
                                <w:szCs w:val="18"/>
                                <w:lang w:val="en-US"/>
                              </w:rPr>
                              <w:t></w:t>
                            </w:r>
                            <w:r w:rsidRPr="00DC4B7A">
                              <w:rPr>
                                <w:rFonts w:ascii="Arial" w:hAnsi="Arial" w:cs="Arial"/>
                                <w:sz w:val="18"/>
                                <w:szCs w:val="18"/>
                                <w:lang w:val="en-US"/>
                              </w:rPr>
                              <w:tab/>
                              <w:t>IDGC of Urals, OJSC</w:t>
                            </w:r>
                          </w:p>
                          <w:p w14:paraId="12854FA3"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FFC000"/>
                                <w:sz w:val="18"/>
                                <w:szCs w:val="18"/>
                                <w:lang w:val="en-US"/>
                              </w:rPr>
                              <w:t></w:t>
                            </w:r>
                            <w:r w:rsidRPr="00DC4B7A">
                              <w:rPr>
                                <w:rFonts w:ascii="Arial" w:hAnsi="Arial" w:cs="Arial"/>
                                <w:sz w:val="18"/>
                                <w:szCs w:val="18"/>
                                <w:lang w:val="en-US"/>
                              </w:rPr>
                              <w:tab/>
                              <w:t>Other</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4B9518" id="_x0000_s1208" type="#_x0000_t202" style="position:absolute;left:0;text-align:left;margin-left:289pt;margin-top:66.9pt;width:129.45pt;height:120.8pt;z-index:25196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" fillcolor="window" stroked="f">
                <v:textbox inset="0,0,0,0">
                  <w:txbxContent>
                    <w:p w14:paraId="16202639" w14:textId="77777777" w:rsidR="002C3947" w:rsidRPr="00DC4B7A" w:rsidRDefault="002C3947" w:rsidP="00DC4B7A">
                      <w:pPr>
                        <w:pStyle w:val="ConsPlusNormal"/>
                        <w:ind w:left="210" w:hanging="210"/>
                        <w:rPr>
                          <w:rFonts w:ascii="Arial" w:hAnsi="Arial" w:cs="Arial"/>
                          <w:sz w:val="18"/>
                          <w:szCs w:val="18"/>
                          <w:lang w:val="en-US"/>
                        </w:rPr>
                      </w:pPr>
                      <w:r w:rsidRPr="00DC4B7A">
                        <w:rPr>
                          <w:rFonts w:ascii="Wingdings 2" w:hAnsi="Wingdings 2" w:cs="Arial"/>
                          <w:color w:val="5B9BD5"/>
                          <w:sz w:val="18"/>
                          <w:szCs w:val="18"/>
                          <w:lang w:val="en-US"/>
                        </w:rPr>
                        <w:t></w:t>
                      </w:r>
                      <w:r w:rsidRPr="00DC4B7A">
                        <w:rPr>
                          <w:rFonts w:ascii="Arial" w:hAnsi="Arial" w:cs="Arial"/>
                          <w:sz w:val="18"/>
                          <w:szCs w:val="18"/>
                          <w:lang w:val="en-US"/>
                        </w:rPr>
                        <w:tab/>
                        <w:t>PJSC “Rosseti”</w:t>
                      </w:r>
                    </w:p>
                    <w:p w14:paraId="6A67061C"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ED7D31"/>
                          <w:sz w:val="18"/>
                          <w:szCs w:val="18"/>
                          <w:lang w:val="en-US"/>
                        </w:rPr>
                        <w:t></w:t>
                      </w:r>
                      <w:r w:rsidRPr="00DC4B7A">
                        <w:rPr>
                          <w:rFonts w:ascii="Arial" w:hAnsi="Arial" w:cs="Arial"/>
                          <w:sz w:val="18"/>
                          <w:szCs w:val="18"/>
                          <w:lang w:val="en-US"/>
                        </w:rPr>
                        <w:tab/>
                        <w:t>Saint Petersburg represented by the Property Relations Committee</w:t>
                      </w:r>
                    </w:p>
                    <w:p w14:paraId="0D62633A"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A5A5A5"/>
                          <w:sz w:val="18"/>
                          <w:szCs w:val="18"/>
                          <w:lang w:val="en-US"/>
                        </w:rPr>
                        <w:t></w:t>
                      </w:r>
                      <w:r w:rsidRPr="00DC4B7A">
                        <w:rPr>
                          <w:rFonts w:ascii="Arial" w:hAnsi="Arial" w:cs="Arial"/>
                          <w:sz w:val="18"/>
                          <w:szCs w:val="18"/>
                          <w:lang w:val="en-US"/>
                        </w:rPr>
                        <w:tab/>
                        <w:t>IDGC of Urals, OJSC</w:t>
                      </w:r>
                    </w:p>
                    <w:p w14:paraId="12854FA3" w14:textId="77777777" w:rsidR="002C3947" w:rsidRPr="00DC4B7A" w:rsidRDefault="002C3947" w:rsidP="00DC4B7A">
                      <w:pPr>
                        <w:pStyle w:val="ConsPlusNormal"/>
                        <w:spacing w:before="240"/>
                        <w:ind w:left="210" w:hanging="210"/>
                        <w:rPr>
                          <w:rFonts w:ascii="Arial" w:hAnsi="Arial" w:cs="Arial"/>
                          <w:sz w:val="18"/>
                          <w:szCs w:val="18"/>
                          <w:lang w:val="en-US"/>
                        </w:rPr>
                      </w:pPr>
                      <w:r w:rsidRPr="00DC4B7A">
                        <w:rPr>
                          <w:rFonts w:ascii="Wingdings 2" w:hAnsi="Wingdings 2" w:cs="Arial"/>
                          <w:color w:val="FFC000"/>
                          <w:sz w:val="18"/>
                          <w:szCs w:val="18"/>
                          <w:lang w:val="en-US"/>
                        </w:rPr>
                        <w:t></w:t>
                      </w:r>
                      <w:r w:rsidRPr="00DC4B7A">
                        <w:rPr>
                          <w:rFonts w:ascii="Arial" w:hAnsi="Arial" w:cs="Arial"/>
                          <w:sz w:val="18"/>
                          <w:szCs w:val="18"/>
                          <w:lang w:val="en-US"/>
                        </w:rPr>
                        <w:tab/>
                        <w:t>Other</w:t>
                      </w:r>
                    </w:p>
                  </w:txbxContent>
                </v:textbox>
              </v:shape>
            </w:pict>
          </mc:Fallback>
        </mc:AlternateContent>
      </w:r>
      <w:r w:rsidR="00997D07" w:rsidRPr="00BD295E">
        <w:rPr>
          <w:rFonts w:ascii="Arial" w:hAnsi="Arial" w:cs="Arial"/>
          <w:sz w:val="18"/>
          <w:szCs w:val="18"/>
          <w:lang w:val="en-US"/>
        </w:rPr>
        <w:drawing>
          <wp:inline distT="0" distB="0" distL="0" distR="0" wp14:anchorId="5B90EB2F" wp14:editId="51AEE205">
            <wp:extent cx="4834255" cy="3352800"/>
            <wp:effectExtent l="0" t="0" r="0" b="0"/>
            <wp:docPr id="88" name="Диаграмма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5"/>
                    <pic:cNvPicPr>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34255" cy="3352800"/>
                    </a:xfrm>
                    <a:prstGeom prst="rect">
                      <a:avLst/>
                    </a:prstGeom>
                    <a:noFill/>
                    <a:ln>
                      <a:noFill/>
                    </a:ln>
                  </pic:spPr>
                </pic:pic>
              </a:graphicData>
            </a:graphic>
          </wp:inline>
        </w:drawing>
      </w:r>
      <w:bookmarkEnd w:id="445"/>
    </w:p>
    <w:p w14:paraId="43F2BB37" w14:textId="77777777" w:rsidR="00B20A51" w:rsidRPr="00BD295E" w:rsidRDefault="00B20A51" w:rsidP="00A100A1">
      <w:pPr>
        <w:pStyle w:val="ConsPlusNormal"/>
        <w:jc w:val="both"/>
        <w:rPr>
          <w:rFonts w:ascii="Arial" w:hAnsi="Arial" w:cs="Arial"/>
          <w:sz w:val="18"/>
          <w:szCs w:val="18"/>
          <w:lang w:val="en-US"/>
        </w:rPr>
      </w:pPr>
    </w:p>
    <w:p w14:paraId="1A171751" w14:textId="77777777" w:rsidR="00F3260C" w:rsidRPr="00BD295E" w:rsidRDefault="008A5057" w:rsidP="00A100A1">
      <w:pPr>
        <w:pStyle w:val="ConsPlusNormal"/>
        <w:jc w:val="both"/>
        <w:rPr>
          <w:rFonts w:ascii="Arial" w:hAnsi="Arial" w:cs="Arial"/>
          <w:sz w:val="18"/>
          <w:szCs w:val="18"/>
          <w:lang w:val="en-US"/>
        </w:rPr>
      </w:pPr>
      <w:r w:rsidRPr="00BD295E">
        <w:rPr>
          <w:rFonts w:ascii="Arial" w:hAnsi="Arial" w:cs="Arial"/>
          <w:sz w:val="18"/>
          <w:szCs w:val="18"/>
          <w:lang w:val="en-US"/>
        </w:rPr>
        <w:t>The share capital structure is given as at December 31, 2018.</w:t>
      </w:r>
    </w:p>
    <w:p w14:paraId="02E62B50" w14:textId="714AED95" w:rsidR="00785F89" w:rsidRPr="00BD295E" w:rsidRDefault="00785F89">
      <w:pPr>
        <w:rPr>
          <w:rFonts w:ascii="Arial" w:hAnsi="Arial" w:cs="Arial"/>
          <w:sz w:val="18"/>
          <w:szCs w:val="18"/>
          <w:lang w:val="en-US"/>
        </w:rPr>
      </w:pPr>
      <w:r w:rsidRPr="00BD295E">
        <w:rPr>
          <w:rFonts w:ascii="Arial" w:hAnsi="Arial" w:cs="Arial"/>
          <w:sz w:val="18"/>
          <w:szCs w:val="18"/>
          <w:lang w:val="en-US"/>
        </w:rPr>
        <w:br w:type="page"/>
      </w:r>
    </w:p>
    <w:p w14:paraId="62894F6F" w14:textId="77777777" w:rsidR="00F3260C" w:rsidRPr="00BD295E" w:rsidRDefault="00F3260C" w:rsidP="00F3260C">
      <w:pPr>
        <w:autoSpaceDE w:val="0"/>
        <w:autoSpaceDN w:val="0"/>
        <w:adjustRightInd w:val="0"/>
        <w:ind w:firstLine="709"/>
        <w:rPr>
          <w:rFonts w:ascii="Arial" w:hAnsi="Arial" w:cs="Arial"/>
          <w:sz w:val="18"/>
          <w:szCs w:val="18"/>
          <w:lang w:val="en-US"/>
        </w:rPr>
      </w:pPr>
    </w:p>
    <w:p w14:paraId="531847F8" w14:textId="77777777" w:rsidR="00F3260C" w:rsidRPr="00BD295E" w:rsidRDefault="008A5057" w:rsidP="00F3260C">
      <w:pPr>
        <w:pStyle w:val="ConsPlusNormal"/>
        <w:jc w:val="both"/>
        <w:rPr>
          <w:rFonts w:ascii="Arial" w:hAnsi="Arial" w:cs="Arial"/>
          <w:sz w:val="18"/>
          <w:szCs w:val="18"/>
          <w:lang w:val="en-US"/>
        </w:rPr>
      </w:pPr>
      <w:r w:rsidRPr="00BD295E">
        <w:rPr>
          <w:rFonts w:ascii="Arial" w:hAnsi="Arial" w:cs="Arial"/>
          <w:sz w:val="18"/>
          <w:szCs w:val="18"/>
          <w:lang w:val="en-US"/>
        </w:rPr>
        <w:t xml:space="preserve">Share capital structure as at December 31, 2018. </w:t>
      </w:r>
    </w:p>
    <w:p w14:paraId="658DDFDE" w14:textId="77777777" w:rsidR="00F3260C" w:rsidRPr="00BD295E" w:rsidRDefault="00F3260C" w:rsidP="00F3260C">
      <w:pPr>
        <w:rPr>
          <w:rFonts w:ascii="Arial" w:hAnsi="Arial" w:cs="Arial"/>
          <w:sz w:val="18"/>
          <w:szCs w:val="18"/>
          <w:lang w:val="en-US"/>
        </w:rPr>
      </w:pP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87"/>
        <w:gridCol w:w="2346"/>
        <w:gridCol w:w="1723"/>
      </w:tblGrid>
      <w:tr w:rsidR="008A5057" w:rsidRPr="00BD295E" w14:paraId="233EB877" w14:textId="77777777" w:rsidTr="00E3510B">
        <w:trPr>
          <w:trHeight w:val="604"/>
        </w:trPr>
        <w:tc>
          <w:tcPr>
            <w:tcW w:w="5787" w:type="dxa"/>
            <w:shd w:val="clear" w:color="auto" w:fill="auto"/>
            <w:vAlign w:val="center"/>
          </w:tcPr>
          <w:p w14:paraId="0ED2324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Information on shareholders as at December 31, 2018.</w:t>
            </w:r>
          </w:p>
        </w:tc>
        <w:tc>
          <w:tcPr>
            <w:tcW w:w="2346" w:type="dxa"/>
            <w:shd w:val="clear" w:color="auto" w:fill="auto"/>
            <w:vAlign w:val="center"/>
          </w:tcPr>
          <w:p w14:paraId="30DF6D1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Number of holders</w:t>
            </w:r>
          </w:p>
        </w:tc>
        <w:tc>
          <w:tcPr>
            <w:tcW w:w="1723" w:type="dxa"/>
            <w:shd w:val="clear" w:color="auto" w:fill="auto"/>
            <w:vAlign w:val="center"/>
          </w:tcPr>
          <w:p w14:paraId="0669C88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Share in the authorized capital</w:t>
            </w:r>
          </w:p>
        </w:tc>
      </w:tr>
      <w:tr w:rsidR="008A5057" w:rsidRPr="00BD295E" w14:paraId="5AB9CE6F" w14:textId="77777777" w:rsidTr="00E3510B">
        <w:trPr>
          <w:trHeight w:val="452"/>
        </w:trPr>
        <w:tc>
          <w:tcPr>
            <w:tcW w:w="5787" w:type="dxa"/>
            <w:shd w:val="clear" w:color="auto" w:fill="auto"/>
            <w:vAlign w:val="center"/>
          </w:tcPr>
          <w:p w14:paraId="3837636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Corporate holders</w:t>
            </w:r>
          </w:p>
        </w:tc>
        <w:tc>
          <w:tcPr>
            <w:tcW w:w="2346" w:type="dxa"/>
            <w:shd w:val="clear" w:color="auto" w:fill="auto"/>
          </w:tcPr>
          <w:p w14:paraId="3FED4CC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150</w:t>
            </w:r>
          </w:p>
        </w:tc>
        <w:tc>
          <w:tcPr>
            <w:tcW w:w="1723" w:type="dxa"/>
            <w:shd w:val="clear" w:color="auto" w:fill="auto"/>
          </w:tcPr>
          <w:p w14:paraId="0DA7000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98.57</w:t>
            </w:r>
          </w:p>
        </w:tc>
      </w:tr>
      <w:tr w:rsidR="008A5057" w:rsidRPr="00BD295E" w14:paraId="7307488F" w14:textId="77777777" w:rsidTr="00E3510B">
        <w:trPr>
          <w:trHeight w:val="452"/>
        </w:trPr>
        <w:tc>
          <w:tcPr>
            <w:tcW w:w="5787" w:type="dxa"/>
            <w:shd w:val="clear" w:color="auto" w:fill="auto"/>
            <w:vAlign w:val="center"/>
          </w:tcPr>
          <w:p w14:paraId="25315EC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Retail shareholders</w:t>
            </w:r>
          </w:p>
        </w:tc>
        <w:tc>
          <w:tcPr>
            <w:tcW w:w="2346" w:type="dxa"/>
            <w:shd w:val="clear" w:color="auto" w:fill="auto"/>
          </w:tcPr>
          <w:p w14:paraId="720CD13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23152</w:t>
            </w:r>
          </w:p>
        </w:tc>
        <w:tc>
          <w:tcPr>
            <w:tcW w:w="1723" w:type="dxa"/>
            <w:shd w:val="clear" w:color="auto" w:fill="auto"/>
          </w:tcPr>
          <w:p w14:paraId="70C28F7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1.43</w:t>
            </w:r>
          </w:p>
        </w:tc>
      </w:tr>
      <w:tr w:rsidR="008A5057" w:rsidRPr="00BD295E" w14:paraId="28D6CD58" w14:textId="77777777" w:rsidTr="00E3510B">
        <w:trPr>
          <w:trHeight w:val="452"/>
        </w:trPr>
        <w:tc>
          <w:tcPr>
            <w:tcW w:w="5787" w:type="dxa"/>
            <w:shd w:val="clear" w:color="auto" w:fill="auto"/>
            <w:vAlign w:val="center"/>
          </w:tcPr>
          <w:p w14:paraId="79777EE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Shares held by tenants in common</w:t>
            </w:r>
          </w:p>
        </w:tc>
        <w:tc>
          <w:tcPr>
            <w:tcW w:w="2346" w:type="dxa"/>
            <w:shd w:val="clear" w:color="auto" w:fill="auto"/>
          </w:tcPr>
          <w:p w14:paraId="784D100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41</w:t>
            </w:r>
          </w:p>
        </w:tc>
        <w:tc>
          <w:tcPr>
            <w:tcW w:w="1723" w:type="dxa"/>
            <w:shd w:val="clear" w:color="auto" w:fill="auto"/>
          </w:tcPr>
          <w:p w14:paraId="3F6BE25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0.0028</w:t>
            </w:r>
          </w:p>
        </w:tc>
      </w:tr>
      <w:tr w:rsidR="008A5057" w:rsidRPr="00BD295E" w14:paraId="6FB5FBDF" w14:textId="77777777" w:rsidTr="00E3510B">
        <w:trPr>
          <w:trHeight w:val="452"/>
        </w:trPr>
        <w:tc>
          <w:tcPr>
            <w:tcW w:w="5787" w:type="dxa"/>
            <w:shd w:val="clear" w:color="auto" w:fill="auto"/>
            <w:vAlign w:val="center"/>
          </w:tcPr>
          <w:p w14:paraId="5390631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TOTAL number of persons in the shareholders register</w:t>
            </w:r>
          </w:p>
        </w:tc>
        <w:tc>
          <w:tcPr>
            <w:tcW w:w="2346" w:type="dxa"/>
            <w:shd w:val="clear" w:color="auto" w:fill="auto"/>
          </w:tcPr>
          <w:p w14:paraId="6537279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23343</w:t>
            </w:r>
          </w:p>
        </w:tc>
        <w:tc>
          <w:tcPr>
            <w:tcW w:w="1723" w:type="dxa"/>
            <w:shd w:val="clear" w:color="auto" w:fill="auto"/>
          </w:tcPr>
          <w:p w14:paraId="0FF61CA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100</w:t>
            </w:r>
          </w:p>
        </w:tc>
      </w:tr>
      <w:tr w:rsidR="008A5057" w:rsidRPr="00BD295E" w14:paraId="30EE8538" w14:textId="77777777" w:rsidTr="00E3510B">
        <w:trPr>
          <w:trHeight w:val="452"/>
        </w:trPr>
        <w:tc>
          <w:tcPr>
            <w:tcW w:w="9856" w:type="dxa"/>
            <w:gridSpan w:val="3"/>
            <w:shd w:val="clear" w:color="auto" w:fill="auto"/>
            <w:vAlign w:val="center"/>
          </w:tcPr>
          <w:p w14:paraId="338C859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For reference:</w:t>
            </w:r>
          </w:p>
        </w:tc>
      </w:tr>
      <w:tr w:rsidR="008A5057" w:rsidRPr="00BD295E" w14:paraId="5A4F3EA6" w14:textId="77777777" w:rsidTr="00E3510B">
        <w:trPr>
          <w:trHeight w:val="452"/>
        </w:trPr>
        <w:tc>
          <w:tcPr>
            <w:tcW w:w="5787" w:type="dxa"/>
            <w:shd w:val="clear" w:color="auto" w:fill="auto"/>
            <w:vAlign w:val="center"/>
          </w:tcPr>
          <w:p w14:paraId="49797D2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Unidentified persons account</w:t>
            </w:r>
          </w:p>
        </w:tc>
        <w:tc>
          <w:tcPr>
            <w:tcW w:w="2346" w:type="dxa"/>
            <w:shd w:val="clear" w:color="auto" w:fill="auto"/>
          </w:tcPr>
          <w:p w14:paraId="54C20EE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w:t>
            </w:r>
          </w:p>
        </w:tc>
        <w:tc>
          <w:tcPr>
            <w:tcW w:w="1723" w:type="dxa"/>
            <w:shd w:val="clear" w:color="auto" w:fill="auto"/>
          </w:tcPr>
          <w:p w14:paraId="33C2FC2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0.0004</w:t>
            </w:r>
          </w:p>
        </w:tc>
      </w:tr>
      <w:tr w:rsidR="008A5057" w:rsidRPr="00BD295E" w14:paraId="58D6A2CB" w14:textId="77777777" w:rsidTr="00E3510B">
        <w:trPr>
          <w:trHeight w:val="452"/>
        </w:trPr>
        <w:tc>
          <w:tcPr>
            <w:tcW w:w="5787" w:type="dxa"/>
            <w:shd w:val="clear" w:color="auto" w:fill="auto"/>
            <w:vAlign w:val="center"/>
          </w:tcPr>
          <w:p w14:paraId="2D235D2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Nominal holder</w:t>
            </w:r>
          </w:p>
        </w:tc>
        <w:tc>
          <w:tcPr>
            <w:tcW w:w="2346" w:type="dxa"/>
            <w:shd w:val="clear" w:color="auto" w:fill="auto"/>
          </w:tcPr>
          <w:p w14:paraId="40B90B1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3</w:t>
            </w:r>
          </w:p>
        </w:tc>
        <w:tc>
          <w:tcPr>
            <w:tcW w:w="1723" w:type="dxa"/>
            <w:shd w:val="clear" w:color="auto" w:fill="auto"/>
          </w:tcPr>
          <w:p w14:paraId="15EA4E9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0.0101</w:t>
            </w:r>
          </w:p>
        </w:tc>
      </w:tr>
    </w:tbl>
    <w:p w14:paraId="3D3023B5" w14:textId="77777777" w:rsidR="00F3260C" w:rsidRPr="00BD295E" w:rsidRDefault="00F3260C" w:rsidP="00F3260C">
      <w:pPr>
        <w:rPr>
          <w:rFonts w:ascii="Arial" w:hAnsi="Arial" w:cs="Arial"/>
          <w:sz w:val="18"/>
          <w:szCs w:val="18"/>
          <w:lang w:val="en-US"/>
        </w:rPr>
      </w:pPr>
    </w:p>
    <w:p w14:paraId="7AD6A80C"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 xml:space="preserve">Brief history of the Company’s </w:t>
      </w:r>
      <w:r w:rsidR="00AB4381" w:rsidRPr="00BD295E">
        <w:rPr>
          <w:rFonts w:ascii="Arial" w:hAnsi="Arial" w:cs="Arial"/>
          <w:b/>
          <w:sz w:val="18"/>
          <w:szCs w:val="18"/>
          <w:lang w:val="en-US"/>
        </w:rPr>
        <w:t xml:space="preserve">stock </w:t>
      </w:r>
      <w:r w:rsidRPr="00BD295E">
        <w:rPr>
          <w:rFonts w:ascii="Arial" w:hAnsi="Arial" w:cs="Arial"/>
          <w:b/>
          <w:sz w:val="18"/>
          <w:szCs w:val="18"/>
          <w:lang w:val="en-US"/>
        </w:rPr>
        <w:t>offerings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96"/>
        <w:gridCol w:w="2908"/>
        <w:gridCol w:w="388"/>
        <w:gridCol w:w="1772"/>
        <w:gridCol w:w="1525"/>
      </w:tblGrid>
      <w:tr w:rsidR="008A5057" w:rsidRPr="00BD295E" w14:paraId="7607BAB9" w14:textId="77777777" w:rsidTr="00E3510B">
        <w:tc>
          <w:tcPr>
            <w:tcW w:w="6204" w:type="dxa"/>
            <w:gridSpan w:val="2"/>
            <w:shd w:val="clear" w:color="auto" w:fill="auto"/>
            <w:vAlign w:val="center"/>
          </w:tcPr>
          <w:p w14:paraId="17F9D7A3" w14:textId="77777777" w:rsidR="00F3260C" w:rsidRPr="00BD295E" w:rsidRDefault="008A5057" w:rsidP="0031297B">
            <w:pPr>
              <w:rPr>
                <w:rFonts w:ascii="Arial" w:hAnsi="Arial" w:cs="Arial"/>
                <w:bCs/>
                <w:sz w:val="18"/>
                <w:szCs w:val="18"/>
                <w:lang w:val="en-US"/>
              </w:rPr>
            </w:pPr>
            <w:r w:rsidRPr="00BD295E">
              <w:rPr>
                <w:rFonts w:ascii="Arial" w:hAnsi="Arial" w:cs="Arial"/>
                <w:bCs/>
                <w:sz w:val="18"/>
                <w:szCs w:val="18"/>
                <w:lang w:val="en-US"/>
              </w:rPr>
              <w:t>Brief history of the Company’s offerings</w:t>
            </w:r>
          </w:p>
        </w:tc>
        <w:tc>
          <w:tcPr>
            <w:tcW w:w="2160" w:type="dxa"/>
            <w:gridSpan w:val="2"/>
            <w:shd w:val="clear" w:color="auto" w:fill="auto"/>
            <w:vAlign w:val="center"/>
          </w:tcPr>
          <w:p w14:paraId="66D244AE" w14:textId="77777777" w:rsidR="00F3260C" w:rsidRPr="00BD295E" w:rsidRDefault="008A5057" w:rsidP="0031297B">
            <w:pPr>
              <w:rPr>
                <w:rFonts w:ascii="Arial" w:hAnsi="Arial" w:cs="Arial"/>
                <w:bCs/>
                <w:sz w:val="18"/>
                <w:szCs w:val="18"/>
                <w:lang w:val="en-US"/>
              </w:rPr>
            </w:pPr>
            <w:r w:rsidRPr="00BD295E">
              <w:rPr>
                <w:rFonts w:ascii="Arial" w:hAnsi="Arial" w:cs="Arial"/>
                <w:bCs/>
                <w:sz w:val="18"/>
                <w:szCs w:val="18"/>
                <w:lang w:val="en-US"/>
              </w:rPr>
              <w:t>State registered number</w:t>
            </w:r>
          </w:p>
        </w:tc>
        <w:tc>
          <w:tcPr>
            <w:tcW w:w="1525" w:type="dxa"/>
            <w:shd w:val="clear" w:color="auto" w:fill="auto"/>
            <w:vAlign w:val="center"/>
          </w:tcPr>
          <w:p w14:paraId="2BA1B775" w14:textId="77777777" w:rsidR="00F3260C" w:rsidRPr="00BD295E" w:rsidRDefault="008A5057" w:rsidP="0031297B">
            <w:pPr>
              <w:rPr>
                <w:rFonts w:ascii="Arial" w:hAnsi="Arial" w:cs="Arial"/>
                <w:bCs/>
                <w:sz w:val="18"/>
                <w:szCs w:val="18"/>
                <w:lang w:val="en-US"/>
              </w:rPr>
            </w:pPr>
            <w:r w:rsidRPr="00BD295E">
              <w:rPr>
                <w:rFonts w:ascii="Arial" w:hAnsi="Arial" w:cs="Arial"/>
                <w:bCs/>
                <w:sz w:val="18"/>
                <w:szCs w:val="18"/>
                <w:lang w:val="en-US"/>
              </w:rPr>
              <w:t>Number of shares</w:t>
            </w:r>
          </w:p>
        </w:tc>
      </w:tr>
      <w:tr w:rsidR="008A5057" w:rsidRPr="00BD295E" w14:paraId="4789BF11" w14:textId="77777777" w:rsidTr="00E3510B">
        <w:tc>
          <w:tcPr>
            <w:tcW w:w="6204" w:type="dxa"/>
            <w:gridSpan w:val="2"/>
            <w:shd w:val="clear" w:color="auto" w:fill="auto"/>
          </w:tcPr>
          <w:p w14:paraId="21934664"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First issue</w:t>
            </w:r>
          </w:p>
        </w:tc>
        <w:tc>
          <w:tcPr>
            <w:tcW w:w="2160" w:type="dxa"/>
            <w:gridSpan w:val="2"/>
            <w:shd w:val="clear" w:color="auto" w:fill="auto"/>
          </w:tcPr>
          <w:p w14:paraId="2A00357C"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72-1p-191</w:t>
            </w:r>
          </w:p>
        </w:tc>
        <w:tc>
          <w:tcPr>
            <w:tcW w:w="1525" w:type="dxa"/>
            <w:shd w:val="clear" w:color="auto" w:fill="auto"/>
          </w:tcPr>
          <w:p w14:paraId="651090A4"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2,951,852</w:t>
            </w:r>
          </w:p>
        </w:tc>
      </w:tr>
      <w:tr w:rsidR="008A5057" w:rsidRPr="00BD295E" w14:paraId="6FB0822B" w14:textId="77777777" w:rsidTr="00E3510B">
        <w:tc>
          <w:tcPr>
            <w:tcW w:w="9889" w:type="dxa"/>
            <w:gridSpan w:val="5"/>
            <w:shd w:val="clear" w:color="auto" w:fill="auto"/>
          </w:tcPr>
          <w:p w14:paraId="0A73C0B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Shares were issued in connection with the privatization of the Company under Executive Order No. 923 of the Russian President August 15, 1992.</w:t>
            </w:r>
          </w:p>
          <w:p w14:paraId="15B45E7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The issue was registered by the Finance Committee of Saint Petersburg Mayor’s Office on February 1, 1993.</w:t>
            </w:r>
          </w:p>
          <w:p w14:paraId="43996B2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Shares issued as part of the offering:</w:t>
            </w:r>
          </w:p>
        </w:tc>
      </w:tr>
      <w:tr w:rsidR="008A5057" w:rsidRPr="00BD295E" w14:paraId="0AABEC46" w14:textId="77777777" w:rsidTr="00E3510B">
        <w:tc>
          <w:tcPr>
            <w:tcW w:w="6204" w:type="dxa"/>
            <w:gridSpan w:val="2"/>
            <w:shd w:val="clear" w:color="auto" w:fill="auto"/>
          </w:tcPr>
          <w:p w14:paraId="617EA50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Ordinary shares</w:t>
            </w:r>
          </w:p>
        </w:tc>
        <w:tc>
          <w:tcPr>
            <w:tcW w:w="2160" w:type="dxa"/>
            <w:gridSpan w:val="2"/>
            <w:shd w:val="clear" w:color="auto" w:fill="auto"/>
          </w:tcPr>
          <w:p w14:paraId="528CFB18" w14:textId="77777777" w:rsidR="00F3260C" w:rsidRPr="00BD295E" w:rsidRDefault="00F3260C" w:rsidP="0031297B">
            <w:pPr>
              <w:rPr>
                <w:rFonts w:ascii="Arial" w:hAnsi="Arial" w:cs="Arial"/>
                <w:sz w:val="18"/>
                <w:szCs w:val="18"/>
                <w:lang w:val="en-US"/>
              </w:rPr>
            </w:pPr>
          </w:p>
        </w:tc>
        <w:tc>
          <w:tcPr>
            <w:tcW w:w="1525" w:type="dxa"/>
            <w:shd w:val="clear" w:color="auto" w:fill="auto"/>
          </w:tcPr>
          <w:p w14:paraId="0589987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2,519,852</w:t>
            </w:r>
          </w:p>
        </w:tc>
      </w:tr>
      <w:tr w:rsidR="008A5057" w:rsidRPr="00BD295E" w14:paraId="7647F62C" w14:textId="77777777" w:rsidTr="00E3510B">
        <w:tc>
          <w:tcPr>
            <w:tcW w:w="6204" w:type="dxa"/>
            <w:gridSpan w:val="2"/>
            <w:shd w:val="clear" w:color="auto" w:fill="auto"/>
          </w:tcPr>
          <w:p w14:paraId="0093EC6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Preference shares</w:t>
            </w:r>
          </w:p>
        </w:tc>
        <w:tc>
          <w:tcPr>
            <w:tcW w:w="2160" w:type="dxa"/>
            <w:gridSpan w:val="2"/>
            <w:shd w:val="clear" w:color="auto" w:fill="auto"/>
          </w:tcPr>
          <w:p w14:paraId="45E032DC" w14:textId="77777777" w:rsidR="00F3260C" w:rsidRPr="00BD295E" w:rsidRDefault="00F3260C" w:rsidP="0031297B">
            <w:pPr>
              <w:rPr>
                <w:rFonts w:ascii="Arial" w:hAnsi="Arial" w:cs="Arial"/>
                <w:sz w:val="18"/>
                <w:szCs w:val="18"/>
                <w:lang w:val="en-US"/>
              </w:rPr>
            </w:pPr>
          </w:p>
        </w:tc>
        <w:tc>
          <w:tcPr>
            <w:tcW w:w="1525" w:type="dxa"/>
            <w:shd w:val="clear" w:color="auto" w:fill="auto"/>
          </w:tcPr>
          <w:p w14:paraId="450BF1C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432,000</w:t>
            </w:r>
          </w:p>
        </w:tc>
      </w:tr>
      <w:tr w:rsidR="008A5057" w:rsidRPr="00BD295E" w14:paraId="7A5738B6" w14:textId="77777777" w:rsidTr="00E3510B">
        <w:tc>
          <w:tcPr>
            <w:tcW w:w="9889" w:type="dxa"/>
            <w:gridSpan w:val="5"/>
            <w:shd w:val="clear" w:color="auto" w:fill="auto"/>
          </w:tcPr>
          <w:p w14:paraId="41BBF8B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Par value of each security of the issue: RUB 1,000 (not redenominated).</w:t>
            </w:r>
          </w:p>
          <w:p w14:paraId="63421CC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Date of state registration of the offering report: September 6, 1999</w:t>
            </w:r>
          </w:p>
        </w:tc>
      </w:tr>
      <w:tr w:rsidR="008A5057" w:rsidRPr="00BD295E" w14:paraId="059624DB" w14:textId="77777777" w:rsidTr="00E3510B">
        <w:tc>
          <w:tcPr>
            <w:tcW w:w="6204" w:type="dxa"/>
            <w:gridSpan w:val="2"/>
            <w:shd w:val="clear" w:color="auto" w:fill="auto"/>
          </w:tcPr>
          <w:p w14:paraId="7F279B52"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Follow-on offering (1)</w:t>
            </w:r>
          </w:p>
        </w:tc>
        <w:tc>
          <w:tcPr>
            <w:tcW w:w="2160" w:type="dxa"/>
            <w:gridSpan w:val="2"/>
            <w:shd w:val="clear" w:color="auto" w:fill="auto"/>
          </w:tcPr>
          <w:p w14:paraId="2D7E86B6"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72-1-2367</w:t>
            </w:r>
          </w:p>
        </w:tc>
        <w:tc>
          <w:tcPr>
            <w:tcW w:w="1525" w:type="dxa"/>
            <w:shd w:val="clear" w:color="auto" w:fill="auto"/>
          </w:tcPr>
          <w:p w14:paraId="6A02B993"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894,411,156</w:t>
            </w:r>
          </w:p>
        </w:tc>
      </w:tr>
      <w:tr w:rsidR="008A5057" w:rsidRPr="00BD295E" w14:paraId="73B73259" w14:textId="77777777" w:rsidTr="00E3510B">
        <w:tc>
          <w:tcPr>
            <w:tcW w:w="9889" w:type="dxa"/>
            <w:gridSpan w:val="5"/>
            <w:shd w:val="clear" w:color="auto" w:fill="auto"/>
          </w:tcPr>
          <w:p w14:paraId="6C10A0F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The issue was registered by the Economics and Finance Committee of Saint Petersburg on November 29, 1995.</w:t>
            </w:r>
          </w:p>
          <w:p w14:paraId="54FC723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Shares issued as part of the follow-on offering:</w:t>
            </w:r>
          </w:p>
        </w:tc>
      </w:tr>
      <w:tr w:rsidR="008A5057" w:rsidRPr="00BD295E" w14:paraId="369AAE47" w14:textId="77777777" w:rsidTr="00E3510B">
        <w:tc>
          <w:tcPr>
            <w:tcW w:w="6204" w:type="dxa"/>
            <w:gridSpan w:val="2"/>
            <w:shd w:val="clear" w:color="auto" w:fill="auto"/>
          </w:tcPr>
          <w:p w14:paraId="5613764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Ordinary registered shares</w:t>
            </w:r>
          </w:p>
        </w:tc>
        <w:tc>
          <w:tcPr>
            <w:tcW w:w="2160" w:type="dxa"/>
            <w:gridSpan w:val="2"/>
            <w:shd w:val="clear" w:color="auto" w:fill="auto"/>
          </w:tcPr>
          <w:p w14:paraId="43AD0B4F" w14:textId="77777777" w:rsidR="00F3260C" w:rsidRPr="00BD295E" w:rsidRDefault="00F3260C" w:rsidP="0031297B">
            <w:pPr>
              <w:rPr>
                <w:rFonts w:ascii="Arial" w:hAnsi="Arial" w:cs="Arial"/>
                <w:sz w:val="18"/>
                <w:szCs w:val="18"/>
                <w:lang w:val="en-US"/>
              </w:rPr>
            </w:pPr>
          </w:p>
        </w:tc>
        <w:tc>
          <w:tcPr>
            <w:tcW w:w="1525" w:type="dxa"/>
            <w:shd w:val="clear" w:color="auto" w:fill="auto"/>
          </w:tcPr>
          <w:p w14:paraId="6097B22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763,515,156</w:t>
            </w:r>
          </w:p>
        </w:tc>
      </w:tr>
      <w:tr w:rsidR="008A5057" w:rsidRPr="00BD295E" w14:paraId="6E79F57C" w14:textId="77777777" w:rsidTr="00E3510B">
        <w:tc>
          <w:tcPr>
            <w:tcW w:w="6204" w:type="dxa"/>
            <w:gridSpan w:val="2"/>
            <w:shd w:val="clear" w:color="auto" w:fill="auto"/>
          </w:tcPr>
          <w:p w14:paraId="671CBC6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Type A preference shares</w:t>
            </w:r>
          </w:p>
        </w:tc>
        <w:tc>
          <w:tcPr>
            <w:tcW w:w="2160" w:type="dxa"/>
            <w:gridSpan w:val="2"/>
            <w:shd w:val="clear" w:color="auto" w:fill="auto"/>
          </w:tcPr>
          <w:p w14:paraId="54747064" w14:textId="77777777" w:rsidR="00F3260C" w:rsidRPr="00BD295E" w:rsidRDefault="00F3260C" w:rsidP="0031297B">
            <w:pPr>
              <w:rPr>
                <w:rFonts w:ascii="Arial" w:hAnsi="Arial" w:cs="Arial"/>
                <w:sz w:val="18"/>
                <w:szCs w:val="18"/>
                <w:lang w:val="en-US"/>
              </w:rPr>
            </w:pPr>
          </w:p>
        </w:tc>
        <w:tc>
          <w:tcPr>
            <w:tcW w:w="1525" w:type="dxa"/>
            <w:shd w:val="clear" w:color="auto" w:fill="auto"/>
          </w:tcPr>
          <w:p w14:paraId="1208964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130,896,000</w:t>
            </w:r>
          </w:p>
        </w:tc>
      </w:tr>
      <w:tr w:rsidR="008A5057" w:rsidRPr="00BD295E" w14:paraId="3B3A0523" w14:textId="77777777" w:rsidTr="00E3510B">
        <w:tc>
          <w:tcPr>
            <w:tcW w:w="9889" w:type="dxa"/>
            <w:gridSpan w:val="5"/>
            <w:shd w:val="clear" w:color="auto" w:fill="auto"/>
          </w:tcPr>
          <w:p w14:paraId="57CB922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Par value of each security of the issue: RUB 1,000 (not redenominated).</w:t>
            </w:r>
          </w:p>
          <w:p w14:paraId="37B1CE0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Date of state registration of the offering report: August 9, 1999</w:t>
            </w:r>
          </w:p>
        </w:tc>
      </w:tr>
      <w:tr w:rsidR="008A5057" w:rsidRPr="00BD295E" w14:paraId="2C2AA389" w14:textId="77777777" w:rsidTr="00E3510B">
        <w:tc>
          <w:tcPr>
            <w:tcW w:w="9889" w:type="dxa"/>
            <w:gridSpan w:val="5"/>
            <w:shd w:val="clear" w:color="auto" w:fill="auto"/>
          </w:tcPr>
          <w:p w14:paraId="3BE3EFB3"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Consolidation of issues</w:t>
            </w:r>
          </w:p>
          <w:p w14:paraId="326F73A7" w14:textId="5880E856"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The issues of securities were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by Directive No. 03-1269/r of the Federal Securities Commission of Russia </w:t>
            </w:r>
            <w:r w:rsidR="008B183C" w:rsidRPr="00BD295E">
              <w:rPr>
                <w:rFonts w:ascii="Arial" w:hAnsi="Arial" w:cs="Arial"/>
                <w:sz w:val="18"/>
                <w:szCs w:val="18"/>
                <w:lang w:val="en-US"/>
              </w:rPr>
              <w:t>of</w:t>
            </w:r>
            <w:r w:rsidRPr="00BD295E">
              <w:rPr>
                <w:rFonts w:ascii="Arial" w:hAnsi="Arial" w:cs="Arial"/>
                <w:sz w:val="18"/>
                <w:szCs w:val="18"/>
                <w:lang w:val="en-US"/>
              </w:rPr>
              <w:t xml:space="preserve"> June 27, 2003.</w:t>
            </w:r>
          </w:p>
          <w:p w14:paraId="78B4AE6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Par value of each security of the issue: RUB 1</w:t>
            </w:r>
          </w:p>
          <w:p w14:paraId="46936C0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The amount of the authorized capital was reduced as a result of the shares buyback in accordance with the Resolution of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on reorganization made on April 8, 2005. (Share Buyback Report </w:t>
            </w:r>
            <w:r w:rsidR="008B183C" w:rsidRPr="00BD295E">
              <w:rPr>
                <w:rFonts w:ascii="Arial" w:hAnsi="Arial" w:cs="Arial"/>
                <w:sz w:val="18"/>
                <w:szCs w:val="18"/>
                <w:lang w:val="en-US"/>
              </w:rPr>
              <w:t>of</w:t>
            </w:r>
            <w:r w:rsidRPr="00BD295E">
              <w:rPr>
                <w:rFonts w:ascii="Arial" w:hAnsi="Arial" w:cs="Arial"/>
                <w:sz w:val="18"/>
                <w:szCs w:val="18"/>
                <w:lang w:val="en-US"/>
              </w:rPr>
              <w:t xml:space="preserve"> August 1, 2005).</w:t>
            </w:r>
          </w:p>
          <w:p w14:paraId="20A31A0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After the share buyback, the authorized capital included:</w:t>
            </w:r>
          </w:p>
        </w:tc>
      </w:tr>
      <w:tr w:rsidR="008A5057" w:rsidRPr="00BD295E" w14:paraId="1DE1B3D0" w14:textId="77777777" w:rsidTr="00E3510B">
        <w:tc>
          <w:tcPr>
            <w:tcW w:w="6204" w:type="dxa"/>
            <w:gridSpan w:val="2"/>
            <w:shd w:val="clear" w:color="auto" w:fill="auto"/>
          </w:tcPr>
          <w:p w14:paraId="7AD0978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Ordinary registered shares</w:t>
            </w:r>
          </w:p>
        </w:tc>
        <w:tc>
          <w:tcPr>
            <w:tcW w:w="2160" w:type="dxa"/>
            <w:gridSpan w:val="2"/>
            <w:shd w:val="clear" w:color="auto" w:fill="auto"/>
          </w:tcPr>
          <w:p w14:paraId="2F532C2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1-01-00073-A</w:t>
            </w:r>
          </w:p>
        </w:tc>
        <w:tc>
          <w:tcPr>
            <w:tcW w:w="1525" w:type="dxa"/>
            <w:shd w:val="clear" w:color="auto" w:fill="auto"/>
          </w:tcPr>
          <w:p w14:paraId="24D1C0E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691,854,144</w:t>
            </w:r>
          </w:p>
        </w:tc>
      </w:tr>
      <w:tr w:rsidR="008A5057" w:rsidRPr="00BD295E" w14:paraId="7B496147" w14:textId="77777777" w:rsidTr="00E3510B">
        <w:tc>
          <w:tcPr>
            <w:tcW w:w="6204" w:type="dxa"/>
            <w:gridSpan w:val="2"/>
            <w:shd w:val="clear" w:color="auto" w:fill="auto"/>
          </w:tcPr>
          <w:p w14:paraId="76BBE2E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Type A preference shares</w:t>
            </w:r>
          </w:p>
        </w:tc>
        <w:tc>
          <w:tcPr>
            <w:tcW w:w="2160" w:type="dxa"/>
            <w:gridSpan w:val="2"/>
            <w:shd w:val="clear" w:color="auto" w:fill="auto"/>
          </w:tcPr>
          <w:p w14:paraId="20FC24B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2-01-00073-А</w:t>
            </w:r>
          </w:p>
        </w:tc>
        <w:tc>
          <w:tcPr>
            <w:tcW w:w="1525" w:type="dxa"/>
            <w:shd w:val="clear" w:color="auto" w:fill="auto"/>
          </w:tcPr>
          <w:p w14:paraId="041A2D5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93,264,311</w:t>
            </w:r>
          </w:p>
        </w:tc>
      </w:tr>
      <w:tr w:rsidR="008A5057" w:rsidRPr="00BD295E" w14:paraId="500B2D59" w14:textId="77777777" w:rsidTr="00E3510B">
        <w:tc>
          <w:tcPr>
            <w:tcW w:w="6204" w:type="dxa"/>
            <w:gridSpan w:val="2"/>
            <w:shd w:val="clear" w:color="auto" w:fill="auto"/>
          </w:tcPr>
          <w:p w14:paraId="4925CD5D"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Follow-on offering (2)*</w:t>
            </w:r>
          </w:p>
        </w:tc>
        <w:tc>
          <w:tcPr>
            <w:tcW w:w="2160" w:type="dxa"/>
            <w:gridSpan w:val="2"/>
            <w:shd w:val="clear" w:color="auto" w:fill="auto"/>
          </w:tcPr>
          <w:p w14:paraId="4A444A44"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1-01-00073-А-001D</w:t>
            </w:r>
          </w:p>
        </w:tc>
        <w:tc>
          <w:tcPr>
            <w:tcW w:w="1525" w:type="dxa"/>
            <w:shd w:val="clear" w:color="auto" w:fill="auto"/>
          </w:tcPr>
          <w:p w14:paraId="38E1F89B"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234,167,535.04</w:t>
            </w:r>
          </w:p>
        </w:tc>
      </w:tr>
      <w:tr w:rsidR="008A5057" w:rsidRPr="00BD295E" w14:paraId="00F9CB97" w14:textId="77777777" w:rsidTr="00E3510B">
        <w:tc>
          <w:tcPr>
            <w:tcW w:w="9889" w:type="dxa"/>
            <w:gridSpan w:val="5"/>
            <w:shd w:val="clear" w:color="auto" w:fill="auto"/>
          </w:tcPr>
          <w:p w14:paraId="57D77D6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The issue was registered by the Federal Financial Markets Service (FFMS of Russia) on October 25, 2007.</w:t>
            </w:r>
          </w:p>
          <w:p w14:paraId="00F2E2F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Shares issued as part of the follow-on offering:</w:t>
            </w:r>
          </w:p>
        </w:tc>
      </w:tr>
      <w:tr w:rsidR="008A5057" w:rsidRPr="00BD295E" w14:paraId="533BB730" w14:textId="77777777" w:rsidTr="00E3510B">
        <w:tc>
          <w:tcPr>
            <w:tcW w:w="6204" w:type="dxa"/>
            <w:gridSpan w:val="2"/>
            <w:shd w:val="clear" w:color="auto" w:fill="auto"/>
          </w:tcPr>
          <w:p w14:paraId="0A0419A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Ordinary registered shares</w:t>
            </w:r>
          </w:p>
        </w:tc>
        <w:tc>
          <w:tcPr>
            <w:tcW w:w="2160" w:type="dxa"/>
            <w:gridSpan w:val="2"/>
            <w:shd w:val="clear" w:color="auto" w:fill="auto"/>
          </w:tcPr>
          <w:p w14:paraId="5A57F62F" w14:textId="77777777" w:rsidR="00F3260C" w:rsidRPr="00BD295E" w:rsidRDefault="00F3260C" w:rsidP="0031297B">
            <w:pPr>
              <w:rPr>
                <w:rFonts w:ascii="Arial" w:hAnsi="Arial" w:cs="Arial"/>
                <w:sz w:val="18"/>
                <w:szCs w:val="18"/>
                <w:lang w:val="en-US"/>
              </w:rPr>
            </w:pPr>
          </w:p>
        </w:tc>
        <w:tc>
          <w:tcPr>
            <w:tcW w:w="1525" w:type="dxa"/>
            <w:shd w:val="clear" w:color="auto" w:fill="auto"/>
          </w:tcPr>
          <w:p w14:paraId="7B8C5F9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234,167,535.04</w:t>
            </w:r>
          </w:p>
        </w:tc>
      </w:tr>
      <w:tr w:rsidR="008A5057" w:rsidRPr="00BD295E" w14:paraId="20020533" w14:textId="77777777" w:rsidTr="00E3510B">
        <w:tc>
          <w:tcPr>
            <w:tcW w:w="9889" w:type="dxa"/>
            <w:gridSpan w:val="5"/>
            <w:shd w:val="clear" w:color="auto" w:fill="auto"/>
          </w:tcPr>
          <w:p w14:paraId="34EF812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Par value of each security of the issue: RUB 1</w:t>
            </w:r>
          </w:p>
          <w:p w14:paraId="633BAC4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Date of state registration of the offering report: December 12, 2008</w:t>
            </w:r>
          </w:p>
          <w:p w14:paraId="034C450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On expiry of three months after the state registration of the report on the follow-on offering of ordinary registered shares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individual number of Follow-on Offering 001D (state registered number – 1-01-00073-А-001D) was canceled (notice No. 09-ЕК-03/6679 </w:t>
            </w:r>
            <w:r w:rsidR="008B183C" w:rsidRPr="00BD295E">
              <w:rPr>
                <w:rFonts w:ascii="Arial" w:hAnsi="Arial" w:cs="Arial"/>
                <w:sz w:val="18"/>
                <w:szCs w:val="18"/>
                <w:lang w:val="en-US"/>
              </w:rPr>
              <w:t>of</w:t>
            </w:r>
            <w:r w:rsidRPr="00BD295E">
              <w:rPr>
                <w:rFonts w:ascii="Arial" w:hAnsi="Arial" w:cs="Arial"/>
                <w:sz w:val="18"/>
                <w:szCs w:val="18"/>
                <w:lang w:val="en-US"/>
              </w:rPr>
              <w:t xml:space="preserve"> April 1, 2009)</w:t>
            </w:r>
          </w:p>
        </w:tc>
      </w:tr>
      <w:tr w:rsidR="008A5057" w:rsidRPr="00BD295E" w14:paraId="6CCD27E4" w14:textId="77777777" w:rsidTr="00E3510B">
        <w:tc>
          <w:tcPr>
            <w:tcW w:w="6204" w:type="dxa"/>
            <w:gridSpan w:val="2"/>
            <w:shd w:val="clear" w:color="auto" w:fill="auto"/>
          </w:tcPr>
          <w:p w14:paraId="088E4A94"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Follow-on offering (3)*</w:t>
            </w:r>
          </w:p>
        </w:tc>
        <w:tc>
          <w:tcPr>
            <w:tcW w:w="2160" w:type="dxa"/>
            <w:gridSpan w:val="2"/>
            <w:shd w:val="clear" w:color="auto" w:fill="auto"/>
          </w:tcPr>
          <w:p w14:paraId="55CFBA19"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1-01-00073-А-002D</w:t>
            </w:r>
          </w:p>
        </w:tc>
        <w:tc>
          <w:tcPr>
            <w:tcW w:w="1525" w:type="dxa"/>
            <w:shd w:val="clear" w:color="auto" w:fill="auto"/>
          </w:tcPr>
          <w:p w14:paraId="1D2342FA"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209,039634.04</w:t>
            </w:r>
          </w:p>
        </w:tc>
      </w:tr>
      <w:tr w:rsidR="008A5057" w:rsidRPr="00BD295E" w14:paraId="53831A8F" w14:textId="77777777" w:rsidTr="00E3510B">
        <w:tc>
          <w:tcPr>
            <w:tcW w:w="9889" w:type="dxa"/>
            <w:gridSpan w:val="5"/>
            <w:shd w:val="clear" w:color="auto" w:fill="auto"/>
          </w:tcPr>
          <w:p w14:paraId="1580431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The issue was registered by the Federal Financial Markets Service (FFMS of Russia) on February 21, 2012.</w:t>
            </w:r>
          </w:p>
          <w:p w14:paraId="749A037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Shares issued as part of the follow-on offering:</w:t>
            </w:r>
          </w:p>
        </w:tc>
      </w:tr>
      <w:tr w:rsidR="008A5057" w:rsidRPr="00BD295E" w14:paraId="114D2E2C" w14:textId="77777777" w:rsidTr="00E3510B">
        <w:tc>
          <w:tcPr>
            <w:tcW w:w="6204" w:type="dxa"/>
            <w:gridSpan w:val="2"/>
            <w:shd w:val="clear" w:color="auto" w:fill="auto"/>
          </w:tcPr>
          <w:p w14:paraId="679EBA6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Ordinary registered shares</w:t>
            </w:r>
          </w:p>
        </w:tc>
        <w:tc>
          <w:tcPr>
            <w:tcW w:w="2160" w:type="dxa"/>
            <w:gridSpan w:val="2"/>
            <w:shd w:val="clear" w:color="auto" w:fill="auto"/>
          </w:tcPr>
          <w:p w14:paraId="4F614B05" w14:textId="77777777" w:rsidR="00F3260C" w:rsidRPr="00BD295E" w:rsidRDefault="00F3260C" w:rsidP="0031297B">
            <w:pPr>
              <w:rPr>
                <w:rFonts w:ascii="Arial" w:hAnsi="Arial" w:cs="Arial"/>
                <w:sz w:val="18"/>
                <w:szCs w:val="18"/>
                <w:lang w:val="en-US"/>
              </w:rPr>
            </w:pPr>
          </w:p>
        </w:tc>
        <w:tc>
          <w:tcPr>
            <w:tcW w:w="1525" w:type="dxa"/>
            <w:shd w:val="clear" w:color="auto" w:fill="auto"/>
          </w:tcPr>
          <w:p w14:paraId="6287DD9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209,039634.04</w:t>
            </w:r>
          </w:p>
        </w:tc>
      </w:tr>
      <w:tr w:rsidR="008A5057" w:rsidRPr="00BD295E" w14:paraId="6CC8285C" w14:textId="77777777" w:rsidTr="00E3510B">
        <w:tc>
          <w:tcPr>
            <w:tcW w:w="9889" w:type="dxa"/>
            <w:gridSpan w:val="5"/>
            <w:shd w:val="clear" w:color="auto" w:fill="auto"/>
          </w:tcPr>
          <w:p w14:paraId="58F0FD9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Par value of each security of the issue: RUB 1</w:t>
            </w:r>
          </w:p>
          <w:p w14:paraId="303C644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Date of state registration of the offering report: September 18, 2012</w:t>
            </w:r>
          </w:p>
          <w:p w14:paraId="17DF4E3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On expiry of three months after the state registration of the report on the follow-on offering of ordinary registered shares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individual number of Follow-on Offering 002D (state registered number – 1-01-00073-А-002D) was canceled (notice No. 13-ЕК-03/3554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7, 2013)</w:t>
            </w:r>
          </w:p>
        </w:tc>
      </w:tr>
      <w:tr w:rsidR="008A5057" w:rsidRPr="00BD295E" w14:paraId="55400020" w14:textId="77777777" w:rsidTr="00E3510B">
        <w:tc>
          <w:tcPr>
            <w:tcW w:w="6204" w:type="dxa"/>
            <w:gridSpan w:val="2"/>
            <w:shd w:val="clear" w:color="auto" w:fill="auto"/>
          </w:tcPr>
          <w:p w14:paraId="55C13AD8"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Follow-on offering (4)*</w:t>
            </w:r>
          </w:p>
        </w:tc>
        <w:tc>
          <w:tcPr>
            <w:tcW w:w="2160" w:type="dxa"/>
            <w:gridSpan w:val="2"/>
            <w:shd w:val="clear" w:color="auto" w:fill="auto"/>
          </w:tcPr>
          <w:p w14:paraId="70FB602F"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1-01-00073-А-003D</w:t>
            </w:r>
          </w:p>
        </w:tc>
        <w:tc>
          <w:tcPr>
            <w:tcW w:w="1525" w:type="dxa"/>
            <w:shd w:val="clear" w:color="auto" w:fill="auto"/>
          </w:tcPr>
          <w:p w14:paraId="76A5E49B" w14:textId="77777777" w:rsidR="00F3260C" w:rsidRPr="00BD295E" w:rsidRDefault="008A5057" w:rsidP="0031297B">
            <w:pPr>
              <w:rPr>
                <w:rFonts w:ascii="Arial" w:hAnsi="Arial" w:cs="Arial"/>
                <w:b/>
                <w:bCs/>
                <w:sz w:val="18"/>
                <w:szCs w:val="18"/>
                <w:lang w:val="en-US"/>
              </w:rPr>
            </w:pPr>
            <w:r w:rsidRPr="00BD295E">
              <w:rPr>
                <w:rFonts w:ascii="Arial" w:hAnsi="Arial" w:cs="Arial"/>
                <w:b/>
                <w:sz w:val="18"/>
                <w:szCs w:val="18"/>
                <w:lang w:val="en-US"/>
              </w:rPr>
              <w:t>926,876,304</w:t>
            </w:r>
          </w:p>
        </w:tc>
      </w:tr>
      <w:tr w:rsidR="008A5057" w:rsidRPr="00BD295E" w14:paraId="1AC71F1F" w14:textId="77777777" w:rsidTr="00E3510B">
        <w:tc>
          <w:tcPr>
            <w:tcW w:w="9889" w:type="dxa"/>
            <w:gridSpan w:val="5"/>
            <w:shd w:val="clear" w:color="auto" w:fill="auto"/>
          </w:tcPr>
          <w:p w14:paraId="1351A22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The issue was registered by the Financial Markets Service of the Bank of Russia on September 10, 2013.</w:t>
            </w:r>
          </w:p>
          <w:p w14:paraId="3DC71D9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Shares issued as part of the follow-on offering:</w:t>
            </w:r>
          </w:p>
        </w:tc>
      </w:tr>
      <w:tr w:rsidR="008A5057" w:rsidRPr="00BD295E" w14:paraId="087EDA13" w14:textId="77777777" w:rsidTr="00E3510B">
        <w:tc>
          <w:tcPr>
            <w:tcW w:w="6204" w:type="dxa"/>
            <w:gridSpan w:val="2"/>
            <w:shd w:val="clear" w:color="auto" w:fill="auto"/>
          </w:tcPr>
          <w:p w14:paraId="6401A60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Ordinary registered shares</w:t>
            </w:r>
          </w:p>
        </w:tc>
        <w:tc>
          <w:tcPr>
            <w:tcW w:w="2160" w:type="dxa"/>
            <w:gridSpan w:val="2"/>
            <w:shd w:val="clear" w:color="auto" w:fill="auto"/>
          </w:tcPr>
          <w:p w14:paraId="2E4A419E" w14:textId="77777777" w:rsidR="00F3260C" w:rsidRPr="00BD295E" w:rsidRDefault="00F3260C" w:rsidP="0031297B">
            <w:pPr>
              <w:rPr>
                <w:rFonts w:ascii="Arial" w:hAnsi="Arial" w:cs="Arial"/>
                <w:sz w:val="18"/>
                <w:szCs w:val="18"/>
                <w:lang w:val="en-US"/>
              </w:rPr>
            </w:pPr>
          </w:p>
        </w:tc>
        <w:tc>
          <w:tcPr>
            <w:tcW w:w="1525" w:type="dxa"/>
            <w:shd w:val="clear" w:color="auto" w:fill="auto"/>
          </w:tcPr>
          <w:p w14:paraId="71C4084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523,753525.97</w:t>
            </w:r>
          </w:p>
        </w:tc>
      </w:tr>
      <w:tr w:rsidR="008A5057" w:rsidRPr="00BD295E" w14:paraId="5F512193" w14:textId="77777777" w:rsidTr="00E3510B">
        <w:tc>
          <w:tcPr>
            <w:tcW w:w="9889" w:type="dxa"/>
            <w:gridSpan w:val="5"/>
            <w:shd w:val="clear" w:color="auto" w:fill="auto"/>
          </w:tcPr>
          <w:p w14:paraId="0580C0A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Par value of each security of the issue: RUB 1</w:t>
            </w:r>
          </w:p>
          <w:p w14:paraId="376A9D0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Date of state registration of the offering report: October 16, 2014</w:t>
            </w:r>
          </w:p>
          <w:p w14:paraId="10170CC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On expiry of three months after the state registration of the report on the follow-on offering of ordinary registered shares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individual number of Follow-on Offering 003D (state registered number – 1-01-00073-А-003D) was canceled (notice No.  52-4/290 of the Bank of Russia,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16, 2015)</w:t>
            </w:r>
          </w:p>
        </w:tc>
      </w:tr>
      <w:tr w:rsidR="008A5057" w:rsidRPr="00BD295E" w14:paraId="0D95FE0F" w14:textId="77777777" w:rsidTr="00E3510B">
        <w:tc>
          <w:tcPr>
            <w:tcW w:w="6204" w:type="dxa"/>
            <w:gridSpan w:val="2"/>
            <w:shd w:val="clear" w:color="auto" w:fill="auto"/>
          </w:tcPr>
          <w:p w14:paraId="4681FFF6" w14:textId="77777777" w:rsidR="00F3260C" w:rsidRPr="00BD295E" w:rsidRDefault="008A5057" w:rsidP="0031297B">
            <w:pPr>
              <w:rPr>
                <w:rFonts w:ascii="Arial" w:hAnsi="Arial" w:cs="Arial"/>
                <w:sz w:val="18"/>
                <w:szCs w:val="18"/>
                <w:lang w:val="en-US"/>
              </w:rPr>
            </w:pPr>
            <w:r w:rsidRPr="00BD295E">
              <w:rPr>
                <w:rFonts w:ascii="Arial" w:hAnsi="Arial" w:cs="Arial"/>
                <w:b/>
                <w:bCs/>
                <w:sz w:val="18"/>
                <w:szCs w:val="18"/>
                <w:lang w:val="en-US"/>
              </w:rPr>
              <w:t>Follow-on offering (5)*</w:t>
            </w:r>
          </w:p>
        </w:tc>
        <w:tc>
          <w:tcPr>
            <w:tcW w:w="2160" w:type="dxa"/>
            <w:gridSpan w:val="2"/>
            <w:shd w:val="clear" w:color="auto" w:fill="auto"/>
          </w:tcPr>
          <w:p w14:paraId="04454801" w14:textId="77777777" w:rsidR="00F3260C" w:rsidRPr="00BD295E" w:rsidRDefault="008A5057" w:rsidP="0031297B">
            <w:pPr>
              <w:rPr>
                <w:rFonts w:ascii="Arial" w:hAnsi="Arial" w:cs="Arial"/>
                <w:sz w:val="18"/>
                <w:szCs w:val="18"/>
                <w:lang w:val="en-US"/>
              </w:rPr>
            </w:pPr>
            <w:r w:rsidRPr="00BD295E">
              <w:rPr>
                <w:rFonts w:ascii="Arial" w:hAnsi="Arial" w:cs="Arial"/>
                <w:b/>
                <w:bCs/>
                <w:sz w:val="18"/>
                <w:szCs w:val="18"/>
                <w:lang w:val="en-US"/>
              </w:rPr>
              <w:t>1-01-00073-А-004D</w:t>
            </w:r>
          </w:p>
        </w:tc>
        <w:tc>
          <w:tcPr>
            <w:tcW w:w="1525" w:type="dxa"/>
            <w:shd w:val="clear" w:color="auto" w:fill="auto"/>
          </w:tcPr>
          <w:p w14:paraId="70E7F459" w14:textId="77777777" w:rsidR="00F3260C" w:rsidRPr="00BD295E" w:rsidRDefault="00F3260C" w:rsidP="0031297B">
            <w:pPr>
              <w:rPr>
                <w:rFonts w:ascii="Arial" w:hAnsi="Arial" w:cs="Arial"/>
                <w:sz w:val="18"/>
                <w:szCs w:val="18"/>
                <w:lang w:val="en-US"/>
              </w:rPr>
            </w:pPr>
          </w:p>
        </w:tc>
      </w:tr>
      <w:tr w:rsidR="008A5057" w:rsidRPr="00BD295E" w14:paraId="2850B597" w14:textId="77777777" w:rsidTr="00E3510B">
        <w:tc>
          <w:tcPr>
            <w:tcW w:w="9889" w:type="dxa"/>
            <w:gridSpan w:val="5"/>
            <w:shd w:val="clear" w:color="auto" w:fill="auto"/>
          </w:tcPr>
          <w:p w14:paraId="4E40458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The issue was registered by the Bank of Russia on December 3, 2015.</w:t>
            </w:r>
          </w:p>
          <w:p w14:paraId="12B7980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Shares issued as part of the follow-on offering:</w:t>
            </w:r>
          </w:p>
        </w:tc>
      </w:tr>
      <w:tr w:rsidR="008A5057" w:rsidRPr="00BD295E" w14:paraId="3318417D" w14:textId="77777777" w:rsidTr="00E3510B">
        <w:tc>
          <w:tcPr>
            <w:tcW w:w="3296" w:type="dxa"/>
            <w:shd w:val="clear" w:color="auto" w:fill="auto"/>
          </w:tcPr>
          <w:p w14:paraId="3B53224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Ordinary registered shares</w:t>
            </w:r>
          </w:p>
        </w:tc>
        <w:tc>
          <w:tcPr>
            <w:tcW w:w="3296" w:type="dxa"/>
            <w:gridSpan w:val="2"/>
            <w:shd w:val="clear" w:color="auto" w:fill="auto"/>
          </w:tcPr>
          <w:p w14:paraId="7F57792D" w14:textId="77777777" w:rsidR="00F3260C" w:rsidRPr="00BD295E" w:rsidRDefault="00F3260C" w:rsidP="0031297B">
            <w:pPr>
              <w:rPr>
                <w:rFonts w:ascii="Arial" w:hAnsi="Arial" w:cs="Arial"/>
                <w:sz w:val="18"/>
                <w:szCs w:val="18"/>
                <w:lang w:val="en-US"/>
              </w:rPr>
            </w:pPr>
          </w:p>
        </w:tc>
        <w:tc>
          <w:tcPr>
            <w:tcW w:w="3297" w:type="dxa"/>
            <w:gridSpan w:val="2"/>
            <w:shd w:val="clear" w:color="auto" w:fill="auto"/>
          </w:tcPr>
          <w:p w14:paraId="59D09CB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6,864,970,481</w:t>
            </w:r>
          </w:p>
        </w:tc>
      </w:tr>
      <w:tr w:rsidR="008A5057" w:rsidRPr="00BD295E" w14:paraId="69AFB2D0" w14:textId="77777777" w:rsidTr="00E3510B">
        <w:tc>
          <w:tcPr>
            <w:tcW w:w="9889" w:type="dxa"/>
            <w:gridSpan w:val="5"/>
            <w:shd w:val="clear" w:color="auto" w:fill="auto"/>
          </w:tcPr>
          <w:p w14:paraId="449536A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Par value of each security of the issue: RUB 1</w:t>
            </w:r>
          </w:p>
          <w:p w14:paraId="2B5F2B4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Date of state registration of the offering report: January 26, 2017</w:t>
            </w:r>
          </w:p>
          <w:p w14:paraId="7D0CA8A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On expiry of three months after the state registration of the report on the follow-on offering of ordinary registered shares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individual number of Follow-on Offering 004D (state registered number – 1-01-00073-А-004D) was canceled (notice No. 28-1/1611 of the Bank of Russia, </w:t>
            </w:r>
            <w:r w:rsidR="008B183C" w:rsidRPr="00BD295E">
              <w:rPr>
                <w:rFonts w:ascii="Arial" w:hAnsi="Arial" w:cs="Arial"/>
                <w:sz w:val="18"/>
                <w:szCs w:val="18"/>
                <w:lang w:val="en-US"/>
              </w:rPr>
              <w:t>of</w:t>
            </w:r>
            <w:r w:rsidRPr="00BD295E">
              <w:rPr>
                <w:rFonts w:ascii="Arial" w:hAnsi="Arial" w:cs="Arial"/>
                <w:sz w:val="18"/>
                <w:szCs w:val="18"/>
                <w:lang w:val="en-US"/>
              </w:rPr>
              <w:t xml:space="preserve"> May 5, 2017)</w:t>
            </w:r>
          </w:p>
        </w:tc>
      </w:tr>
    </w:tbl>
    <w:p w14:paraId="146BB7CC" w14:textId="77777777" w:rsidR="00F3260C" w:rsidRPr="00BD295E" w:rsidRDefault="008A5057" w:rsidP="00F3260C">
      <w:pPr>
        <w:jc w:val="both"/>
        <w:rPr>
          <w:rFonts w:ascii="Arial" w:hAnsi="Arial" w:cs="Arial"/>
          <w:sz w:val="18"/>
          <w:szCs w:val="18"/>
          <w:lang w:val="en-US"/>
        </w:rPr>
      </w:pPr>
      <w:r w:rsidRPr="00BD295E">
        <w:rPr>
          <w:rFonts w:ascii="Arial" w:hAnsi="Arial" w:cs="Arial"/>
          <w:sz w:val="18"/>
          <w:szCs w:val="18"/>
          <w:lang w:val="en-US"/>
        </w:rPr>
        <w:t xml:space="preserve">* The key purpose of the follow-on offerings made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2008 was to create a joint grid company in Saint Petersburg with increased process and economic reliability, based on technically inseparable and interconnected grid equipment.</w:t>
      </w:r>
    </w:p>
    <w:p w14:paraId="0376C59C" w14:textId="77777777" w:rsidR="00F3260C" w:rsidRPr="00BD295E" w:rsidRDefault="008A5057" w:rsidP="00F3260C">
      <w:pPr>
        <w:jc w:val="both"/>
        <w:rPr>
          <w:rFonts w:ascii="Arial" w:hAnsi="Arial" w:cs="Arial"/>
          <w:sz w:val="18"/>
          <w:szCs w:val="18"/>
          <w:lang w:val="en-US"/>
        </w:rPr>
      </w:pPr>
      <w:r w:rsidRPr="00BD295E">
        <w:rPr>
          <w:rFonts w:ascii="Arial" w:hAnsi="Arial" w:cs="Arial"/>
          <w:sz w:val="18"/>
          <w:szCs w:val="18"/>
          <w:lang w:val="en-US"/>
        </w:rPr>
        <w:t xml:space="preserve">** The key purpose of follow-on offerings of ordinary shares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2012–2014 was to finance the program for renovation of 6–110 kV cable lines in Saint Petersburg.</w:t>
      </w:r>
    </w:p>
    <w:p w14:paraId="7E87A37F" w14:textId="77777777" w:rsidR="00F3260C" w:rsidRPr="00BD295E" w:rsidRDefault="008A5057" w:rsidP="00F3260C">
      <w:pPr>
        <w:jc w:val="both"/>
        <w:rPr>
          <w:rFonts w:ascii="Arial" w:hAnsi="Arial" w:cs="Arial"/>
          <w:sz w:val="18"/>
          <w:szCs w:val="18"/>
          <w:lang w:val="en-US"/>
        </w:rPr>
      </w:pPr>
      <w:r w:rsidRPr="00BD295E">
        <w:rPr>
          <w:rFonts w:ascii="Arial" w:hAnsi="Arial" w:cs="Arial"/>
          <w:sz w:val="18"/>
          <w:szCs w:val="18"/>
          <w:lang w:val="en-US"/>
        </w:rPr>
        <w:t xml:space="preserve">*** Follow-on offerings of ordinary shares in 2015–2017 were conducted as part of financial recovery efforts undertaken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consolidation of grid assets at </w:t>
      </w:r>
      <w:r w:rsidR="00EE5753" w:rsidRPr="00BD295E">
        <w:rPr>
          <w:rFonts w:ascii="Arial" w:hAnsi="Arial" w:cs="Arial"/>
          <w:sz w:val="18"/>
          <w:szCs w:val="18"/>
          <w:lang w:val="en-US"/>
        </w:rPr>
        <w:t>PJSC “Lenenergo”</w:t>
      </w:r>
    </w:p>
    <w:p w14:paraId="34983753" w14:textId="77777777" w:rsidR="00F3260C" w:rsidRPr="00BD295E" w:rsidRDefault="00F3260C" w:rsidP="00F3260C">
      <w:pPr>
        <w:pStyle w:val="af9"/>
        <w:spacing w:line="240" w:lineRule="auto"/>
        <w:ind w:firstLine="0"/>
        <w:rPr>
          <w:rFonts w:ascii="Arial" w:hAnsi="Arial" w:cs="Arial"/>
          <w:b/>
          <w:sz w:val="18"/>
          <w:szCs w:val="18"/>
          <w:lang w:val="en-US"/>
        </w:rPr>
      </w:pPr>
    </w:p>
    <w:p w14:paraId="4E8F2C1D" w14:textId="77777777" w:rsidR="00F3260C" w:rsidRPr="00BD295E" w:rsidRDefault="00AB4381" w:rsidP="00F3260C">
      <w:pPr>
        <w:pStyle w:val="af9"/>
        <w:spacing w:line="240" w:lineRule="auto"/>
        <w:ind w:firstLine="0"/>
        <w:rPr>
          <w:rFonts w:ascii="Arial" w:hAnsi="Arial" w:cs="Arial"/>
          <w:b/>
          <w:sz w:val="18"/>
          <w:szCs w:val="18"/>
          <w:lang w:val="en-US"/>
        </w:rPr>
      </w:pPr>
      <w:r w:rsidRPr="00BD295E">
        <w:rPr>
          <w:rFonts w:ascii="Arial" w:hAnsi="Arial" w:cs="Arial"/>
          <w:b/>
          <w:sz w:val="18"/>
          <w:szCs w:val="18"/>
          <w:lang w:val="en-US"/>
        </w:rPr>
        <w:t xml:space="preserve">Lenenergo stock: </w:t>
      </w:r>
      <w:r w:rsidR="008A5057" w:rsidRPr="00BD295E">
        <w:rPr>
          <w:rFonts w:ascii="Arial" w:hAnsi="Arial" w:cs="Arial"/>
          <w:b/>
          <w:sz w:val="18"/>
          <w:szCs w:val="18"/>
          <w:lang w:val="en-US"/>
        </w:rPr>
        <w:t xml:space="preserve">Key parameters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3"/>
        <w:gridCol w:w="3098"/>
        <w:gridCol w:w="3107"/>
      </w:tblGrid>
      <w:tr w:rsidR="008A5057" w:rsidRPr="00BD295E" w14:paraId="60EBF1C5" w14:textId="77777777" w:rsidTr="00E3510B">
        <w:tc>
          <w:tcPr>
            <w:tcW w:w="3083" w:type="dxa"/>
            <w:shd w:val="clear" w:color="auto" w:fill="auto"/>
            <w:vAlign w:val="center"/>
          </w:tcPr>
          <w:p w14:paraId="659C40E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Type of shares</w:t>
            </w:r>
          </w:p>
        </w:tc>
        <w:tc>
          <w:tcPr>
            <w:tcW w:w="3098" w:type="dxa"/>
            <w:shd w:val="clear" w:color="auto" w:fill="auto"/>
            <w:vAlign w:val="center"/>
          </w:tcPr>
          <w:p w14:paraId="3671EA9B" w14:textId="77777777" w:rsidR="00AB4381" w:rsidRPr="00BD295E" w:rsidRDefault="00AB4381" w:rsidP="00AB4381">
            <w:pPr>
              <w:rPr>
                <w:rFonts w:ascii="Arial" w:hAnsi="Arial" w:cs="Arial"/>
                <w:sz w:val="18"/>
                <w:szCs w:val="18"/>
                <w:lang w:val="en-US"/>
              </w:rPr>
            </w:pPr>
            <w:r w:rsidRPr="00BD295E">
              <w:rPr>
                <w:rFonts w:ascii="Arial" w:hAnsi="Arial" w:cs="Arial"/>
                <w:sz w:val="18"/>
                <w:szCs w:val="18"/>
                <w:lang w:val="en-US"/>
              </w:rPr>
              <w:t xml:space="preserve">Uncertificated </w:t>
            </w:r>
          </w:p>
          <w:p w14:paraId="4B42013E" w14:textId="77777777" w:rsidR="00F3260C" w:rsidRPr="00BD295E" w:rsidRDefault="00AB4381" w:rsidP="00AB4381">
            <w:pPr>
              <w:rPr>
                <w:rFonts w:ascii="Arial" w:hAnsi="Arial" w:cs="Arial"/>
                <w:sz w:val="18"/>
                <w:szCs w:val="18"/>
                <w:lang w:val="en-US"/>
              </w:rPr>
            </w:pPr>
            <w:r w:rsidRPr="00BD295E">
              <w:rPr>
                <w:rFonts w:ascii="Arial" w:hAnsi="Arial" w:cs="Arial"/>
                <w:sz w:val="18"/>
                <w:szCs w:val="18"/>
                <w:lang w:val="en-US"/>
              </w:rPr>
              <w:t xml:space="preserve">registered ordinary </w:t>
            </w:r>
            <w:r w:rsidR="008A5057" w:rsidRPr="00BD295E">
              <w:rPr>
                <w:rFonts w:ascii="Arial" w:hAnsi="Arial" w:cs="Arial"/>
                <w:sz w:val="18"/>
                <w:szCs w:val="18"/>
                <w:lang w:val="en-US"/>
              </w:rPr>
              <w:t>shares</w:t>
            </w:r>
          </w:p>
        </w:tc>
        <w:tc>
          <w:tcPr>
            <w:tcW w:w="3107" w:type="dxa"/>
            <w:shd w:val="clear" w:color="auto" w:fill="auto"/>
            <w:vAlign w:val="center"/>
          </w:tcPr>
          <w:p w14:paraId="3E36858F" w14:textId="77777777" w:rsidR="00AB4381"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Uncertificated </w:t>
            </w:r>
          </w:p>
          <w:p w14:paraId="4CAE973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registered Type A preference shares</w:t>
            </w:r>
          </w:p>
        </w:tc>
      </w:tr>
      <w:tr w:rsidR="008A5057" w:rsidRPr="00BD295E" w14:paraId="461C42FA" w14:textId="77777777" w:rsidTr="00E3510B">
        <w:tc>
          <w:tcPr>
            <w:tcW w:w="3083" w:type="dxa"/>
            <w:shd w:val="clear" w:color="auto" w:fill="auto"/>
            <w:vAlign w:val="center"/>
          </w:tcPr>
          <w:p w14:paraId="56A6F5C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Number of state registration</w:t>
            </w:r>
          </w:p>
        </w:tc>
        <w:tc>
          <w:tcPr>
            <w:tcW w:w="3098" w:type="dxa"/>
            <w:shd w:val="clear" w:color="auto" w:fill="auto"/>
            <w:vAlign w:val="center"/>
          </w:tcPr>
          <w:p w14:paraId="5E2F7349" w14:textId="77777777" w:rsidR="00F3260C" w:rsidRPr="00BD295E" w:rsidRDefault="008A5057" w:rsidP="0031297B">
            <w:pPr>
              <w:rPr>
                <w:rFonts w:ascii="Arial" w:hAnsi="Arial" w:cs="Arial"/>
                <w:sz w:val="18"/>
                <w:szCs w:val="18"/>
                <w:lang w:val="en-US"/>
              </w:rPr>
            </w:pPr>
            <w:r w:rsidRPr="00BD295E">
              <w:rPr>
                <w:rFonts w:ascii="Arial" w:hAnsi="Arial" w:cs="Arial"/>
                <w:bCs/>
                <w:sz w:val="18"/>
                <w:szCs w:val="18"/>
                <w:lang w:val="en-US"/>
              </w:rPr>
              <w:t>1-01-00073-А</w:t>
            </w:r>
          </w:p>
        </w:tc>
        <w:tc>
          <w:tcPr>
            <w:tcW w:w="3107" w:type="dxa"/>
            <w:shd w:val="clear" w:color="auto" w:fill="auto"/>
            <w:vAlign w:val="center"/>
          </w:tcPr>
          <w:p w14:paraId="5D66A6DD" w14:textId="77777777" w:rsidR="00F3260C" w:rsidRPr="00BD295E" w:rsidRDefault="008A5057" w:rsidP="0031297B">
            <w:pPr>
              <w:rPr>
                <w:rFonts w:ascii="Arial" w:hAnsi="Arial" w:cs="Arial"/>
                <w:sz w:val="18"/>
                <w:szCs w:val="18"/>
                <w:lang w:val="en-US"/>
              </w:rPr>
            </w:pPr>
            <w:r w:rsidRPr="00BD295E">
              <w:rPr>
                <w:rFonts w:ascii="Arial" w:hAnsi="Arial" w:cs="Arial"/>
                <w:bCs/>
                <w:sz w:val="18"/>
                <w:szCs w:val="18"/>
                <w:lang w:val="en-US"/>
              </w:rPr>
              <w:t>2-01-00073-А</w:t>
            </w:r>
          </w:p>
        </w:tc>
      </w:tr>
      <w:tr w:rsidR="008A5057" w:rsidRPr="00BD295E" w14:paraId="7B3D1952" w14:textId="77777777" w:rsidTr="00E3510B">
        <w:tc>
          <w:tcPr>
            <w:tcW w:w="3083" w:type="dxa"/>
            <w:shd w:val="clear" w:color="auto" w:fill="auto"/>
            <w:vAlign w:val="center"/>
          </w:tcPr>
          <w:p w14:paraId="454250B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Offering amount</w:t>
            </w:r>
          </w:p>
        </w:tc>
        <w:tc>
          <w:tcPr>
            <w:tcW w:w="3098" w:type="dxa"/>
            <w:shd w:val="clear" w:color="auto" w:fill="auto"/>
            <w:vAlign w:val="center"/>
          </w:tcPr>
          <w:p w14:paraId="1C1FDC9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8,523,785,320.05</w:t>
            </w:r>
          </w:p>
        </w:tc>
        <w:tc>
          <w:tcPr>
            <w:tcW w:w="3107" w:type="dxa"/>
            <w:shd w:val="clear" w:color="auto" w:fill="auto"/>
            <w:vAlign w:val="center"/>
          </w:tcPr>
          <w:p w14:paraId="0D5E71B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93,264,311</w:t>
            </w:r>
          </w:p>
        </w:tc>
      </w:tr>
      <w:tr w:rsidR="008A5057" w:rsidRPr="00BD295E" w14:paraId="22E30AEA" w14:textId="77777777" w:rsidTr="00E3510B">
        <w:tc>
          <w:tcPr>
            <w:tcW w:w="3083" w:type="dxa"/>
            <w:shd w:val="clear" w:color="auto" w:fill="auto"/>
            <w:vAlign w:val="center"/>
          </w:tcPr>
          <w:p w14:paraId="7201668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Par value</w:t>
            </w:r>
          </w:p>
        </w:tc>
        <w:tc>
          <w:tcPr>
            <w:tcW w:w="3098" w:type="dxa"/>
            <w:shd w:val="clear" w:color="auto" w:fill="auto"/>
            <w:vAlign w:val="center"/>
          </w:tcPr>
          <w:p w14:paraId="3AC85AE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RUB 1</w:t>
            </w:r>
          </w:p>
        </w:tc>
        <w:tc>
          <w:tcPr>
            <w:tcW w:w="3107" w:type="dxa"/>
            <w:shd w:val="clear" w:color="auto" w:fill="auto"/>
            <w:vAlign w:val="center"/>
          </w:tcPr>
          <w:p w14:paraId="33536F56" w14:textId="77777777" w:rsidR="00F3260C" w:rsidRPr="00BD295E" w:rsidRDefault="008A5057" w:rsidP="0031297B">
            <w:pPr>
              <w:rPr>
                <w:rFonts w:ascii="Arial" w:eastAsia="Calibri" w:hAnsi="Arial" w:cs="Arial"/>
                <w:sz w:val="18"/>
                <w:szCs w:val="18"/>
                <w:lang w:val="en-US"/>
              </w:rPr>
            </w:pPr>
            <w:r w:rsidRPr="00BD295E">
              <w:rPr>
                <w:rFonts w:ascii="Arial" w:hAnsi="Arial" w:cs="Arial"/>
                <w:sz w:val="18"/>
                <w:szCs w:val="18"/>
                <w:lang w:val="en-US"/>
              </w:rPr>
              <w:t>RUB 1</w:t>
            </w:r>
          </w:p>
        </w:tc>
      </w:tr>
      <w:tr w:rsidR="008A5057" w:rsidRPr="00BD295E" w14:paraId="32F2D662" w14:textId="77777777" w:rsidTr="00E3510B">
        <w:tc>
          <w:tcPr>
            <w:tcW w:w="3083" w:type="dxa"/>
            <w:shd w:val="clear" w:color="auto" w:fill="auto"/>
            <w:vAlign w:val="center"/>
          </w:tcPr>
          <w:p w14:paraId="7B26703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Stock exchange</w:t>
            </w:r>
          </w:p>
        </w:tc>
        <w:tc>
          <w:tcPr>
            <w:tcW w:w="3098" w:type="dxa"/>
            <w:shd w:val="clear" w:color="auto" w:fill="auto"/>
            <w:vAlign w:val="center"/>
          </w:tcPr>
          <w:p w14:paraId="0CAC23E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Moscow Exchange, PJSC</w:t>
            </w:r>
          </w:p>
        </w:tc>
        <w:tc>
          <w:tcPr>
            <w:tcW w:w="3107" w:type="dxa"/>
            <w:shd w:val="clear" w:color="auto" w:fill="auto"/>
            <w:vAlign w:val="center"/>
          </w:tcPr>
          <w:p w14:paraId="42EA560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Moscow Exchange, PJSC</w:t>
            </w:r>
          </w:p>
        </w:tc>
      </w:tr>
      <w:tr w:rsidR="008A5057" w:rsidRPr="00BD295E" w14:paraId="05ACA9A9" w14:textId="77777777" w:rsidTr="00E3510B">
        <w:tc>
          <w:tcPr>
            <w:tcW w:w="3083" w:type="dxa"/>
            <w:shd w:val="clear" w:color="auto" w:fill="auto"/>
            <w:vAlign w:val="center"/>
          </w:tcPr>
          <w:p w14:paraId="29173BE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Trading start</w:t>
            </w:r>
          </w:p>
        </w:tc>
        <w:tc>
          <w:tcPr>
            <w:tcW w:w="3098" w:type="dxa"/>
            <w:shd w:val="clear" w:color="auto" w:fill="auto"/>
            <w:vAlign w:val="center"/>
          </w:tcPr>
          <w:p w14:paraId="7B61DFA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July 16, 2003</w:t>
            </w:r>
          </w:p>
        </w:tc>
        <w:tc>
          <w:tcPr>
            <w:tcW w:w="3107" w:type="dxa"/>
            <w:shd w:val="clear" w:color="auto" w:fill="auto"/>
            <w:vAlign w:val="center"/>
          </w:tcPr>
          <w:p w14:paraId="74CD5E6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July 16, 2003</w:t>
            </w:r>
          </w:p>
        </w:tc>
      </w:tr>
      <w:tr w:rsidR="008A5057" w:rsidRPr="00BD295E" w14:paraId="1BE40A17" w14:textId="77777777" w:rsidTr="00E3510B">
        <w:tc>
          <w:tcPr>
            <w:tcW w:w="3083" w:type="dxa"/>
            <w:shd w:val="clear" w:color="auto" w:fill="auto"/>
            <w:vAlign w:val="center"/>
          </w:tcPr>
          <w:p w14:paraId="4BF56A1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ISIN</w:t>
            </w:r>
          </w:p>
        </w:tc>
        <w:tc>
          <w:tcPr>
            <w:tcW w:w="3098" w:type="dxa"/>
            <w:shd w:val="clear" w:color="auto" w:fill="auto"/>
            <w:vAlign w:val="center"/>
          </w:tcPr>
          <w:p w14:paraId="20F31EC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shd w:val="clear" w:color="auto" w:fill="FFFFFF"/>
                <w:lang w:val="en-US"/>
              </w:rPr>
              <w:t>RU0009034490</w:t>
            </w:r>
          </w:p>
        </w:tc>
        <w:tc>
          <w:tcPr>
            <w:tcW w:w="3107" w:type="dxa"/>
            <w:shd w:val="clear" w:color="auto" w:fill="auto"/>
            <w:vAlign w:val="center"/>
          </w:tcPr>
          <w:p w14:paraId="29F0F49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shd w:val="clear" w:color="auto" w:fill="FFFFFF"/>
                <w:lang w:val="en-US"/>
              </w:rPr>
              <w:t>RU0009092134</w:t>
            </w:r>
          </w:p>
        </w:tc>
      </w:tr>
      <w:tr w:rsidR="008A5057" w:rsidRPr="00BD295E" w14:paraId="6E63A18B" w14:textId="77777777" w:rsidTr="00E3510B">
        <w:tc>
          <w:tcPr>
            <w:tcW w:w="3083" w:type="dxa"/>
            <w:shd w:val="clear" w:color="auto" w:fill="auto"/>
            <w:vAlign w:val="center"/>
          </w:tcPr>
          <w:p w14:paraId="1663E7E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Ticker</w:t>
            </w:r>
          </w:p>
        </w:tc>
        <w:tc>
          <w:tcPr>
            <w:tcW w:w="3098" w:type="dxa"/>
            <w:shd w:val="clear" w:color="auto" w:fill="auto"/>
            <w:vAlign w:val="center"/>
          </w:tcPr>
          <w:p w14:paraId="11C450B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LSNG</w:t>
            </w:r>
          </w:p>
        </w:tc>
        <w:tc>
          <w:tcPr>
            <w:tcW w:w="3107" w:type="dxa"/>
            <w:shd w:val="clear" w:color="auto" w:fill="auto"/>
            <w:vAlign w:val="center"/>
          </w:tcPr>
          <w:p w14:paraId="3358BD5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LSNGP</w:t>
            </w:r>
          </w:p>
        </w:tc>
      </w:tr>
      <w:tr w:rsidR="008A5057" w:rsidRPr="00BD295E" w14:paraId="6EC8B1BA" w14:textId="77777777" w:rsidTr="00E3510B">
        <w:tc>
          <w:tcPr>
            <w:tcW w:w="3083" w:type="dxa"/>
            <w:shd w:val="clear" w:color="auto" w:fill="auto"/>
            <w:vAlign w:val="center"/>
          </w:tcPr>
          <w:p w14:paraId="7F39388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Quotation list</w:t>
            </w:r>
          </w:p>
        </w:tc>
        <w:tc>
          <w:tcPr>
            <w:tcW w:w="3098" w:type="dxa"/>
            <w:shd w:val="clear" w:color="auto" w:fill="auto"/>
            <w:vAlign w:val="center"/>
          </w:tcPr>
          <w:p w14:paraId="513A3D3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Level 3</w:t>
            </w:r>
          </w:p>
        </w:tc>
        <w:tc>
          <w:tcPr>
            <w:tcW w:w="3107" w:type="dxa"/>
            <w:shd w:val="clear" w:color="auto" w:fill="auto"/>
            <w:vAlign w:val="center"/>
          </w:tcPr>
          <w:p w14:paraId="424BBE1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Level 3</w:t>
            </w:r>
          </w:p>
        </w:tc>
      </w:tr>
      <w:tr w:rsidR="008A5057" w:rsidRPr="00BD295E" w14:paraId="7C34D95E" w14:textId="77777777" w:rsidTr="00E3510B">
        <w:tc>
          <w:tcPr>
            <w:tcW w:w="3083" w:type="dxa"/>
            <w:shd w:val="clear" w:color="auto" w:fill="auto"/>
            <w:vAlign w:val="center"/>
          </w:tcPr>
          <w:p w14:paraId="245714F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Listing in stock exchange indices</w:t>
            </w:r>
          </w:p>
        </w:tc>
        <w:tc>
          <w:tcPr>
            <w:tcW w:w="3098" w:type="dxa"/>
            <w:shd w:val="clear" w:color="auto" w:fill="auto"/>
            <w:vAlign w:val="center"/>
          </w:tcPr>
          <w:p w14:paraId="3BCB62C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 </w:t>
            </w:r>
          </w:p>
        </w:tc>
        <w:tc>
          <w:tcPr>
            <w:tcW w:w="3107" w:type="dxa"/>
            <w:shd w:val="clear" w:color="auto" w:fill="auto"/>
            <w:vAlign w:val="center"/>
          </w:tcPr>
          <w:p w14:paraId="049A38F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Broad Market Index (MOEX BMI), </w:t>
            </w:r>
          </w:p>
          <w:p w14:paraId="2B8894E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Electric Utilities Index (MOEXEU),</w:t>
            </w:r>
          </w:p>
          <w:p w14:paraId="31C44F3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RTS Electric Utilities (RTSeu),</w:t>
            </w:r>
          </w:p>
          <w:p w14:paraId="531F8B6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RTS Broad Market Index (RUBMI) </w:t>
            </w:r>
          </w:p>
        </w:tc>
      </w:tr>
    </w:tbl>
    <w:p w14:paraId="1283E642" w14:textId="77777777" w:rsidR="00F3260C" w:rsidRPr="00BD295E" w:rsidRDefault="00F3260C" w:rsidP="00F3260C">
      <w:pPr>
        <w:rPr>
          <w:rFonts w:ascii="Arial" w:hAnsi="Arial" w:cs="Arial"/>
          <w:b/>
          <w:sz w:val="18"/>
          <w:szCs w:val="18"/>
          <w:lang w:val="en-US"/>
        </w:rPr>
      </w:pPr>
    </w:p>
    <w:p w14:paraId="6925363C"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 xml:space="preserve">Key trading performance indicators of Lenenergo shares </w:t>
      </w:r>
    </w:p>
    <w:tbl>
      <w:tblPr>
        <w:tblW w:w="85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3"/>
        <w:gridCol w:w="1520"/>
        <w:gridCol w:w="1371"/>
        <w:gridCol w:w="1520"/>
        <w:gridCol w:w="1205"/>
      </w:tblGrid>
      <w:tr w:rsidR="008A5057" w:rsidRPr="00BD295E" w14:paraId="364E1353" w14:textId="77777777" w:rsidTr="00E3510B">
        <w:trPr>
          <w:trHeight w:val="255"/>
        </w:trPr>
        <w:tc>
          <w:tcPr>
            <w:tcW w:w="2963" w:type="dxa"/>
            <w:tcBorders>
              <w:bottom w:val="single" w:sz="12" w:space="0" w:color="auto"/>
            </w:tcBorders>
            <w:shd w:val="clear" w:color="auto" w:fill="auto"/>
            <w:vAlign w:val="center"/>
            <w:hideMark/>
          </w:tcPr>
          <w:p w14:paraId="539E87D8" w14:textId="77777777" w:rsidR="00F3260C" w:rsidRPr="00BD295E" w:rsidRDefault="00F3260C" w:rsidP="00E3510B">
            <w:pPr>
              <w:jc w:val="center"/>
              <w:rPr>
                <w:rFonts w:ascii="Arial" w:hAnsi="Arial" w:cs="Arial"/>
                <w:sz w:val="18"/>
                <w:szCs w:val="18"/>
                <w:lang w:val="en-US"/>
              </w:rPr>
            </w:pPr>
          </w:p>
        </w:tc>
        <w:tc>
          <w:tcPr>
            <w:tcW w:w="1520" w:type="dxa"/>
            <w:tcBorders>
              <w:bottom w:val="single" w:sz="12" w:space="0" w:color="auto"/>
            </w:tcBorders>
            <w:shd w:val="clear" w:color="auto" w:fill="auto"/>
            <w:vAlign w:val="center"/>
            <w:hideMark/>
          </w:tcPr>
          <w:p w14:paraId="03CE4077" w14:textId="77777777" w:rsidR="00F3260C" w:rsidRPr="00BD295E" w:rsidRDefault="008A5057" w:rsidP="00E3510B">
            <w:pPr>
              <w:jc w:val="center"/>
              <w:rPr>
                <w:rFonts w:ascii="Arial" w:hAnsi="Arial" w:cs="Arial"/>
                <w:bCs/>
                <w:sz w:val="18"/>
                <w:szCs w:val="18"/>
                <w:lang w:val="en-US"/>
              </w:rPr>
            </w:pPr>
            <w:r w:rsidRPr="00BD295E">
              <w:rPr>
                <w:rFonts w:ascii="Arial" w:hAnsi="Arial" w:cs="Arial"/>
                <w:bCs/>
                <w:sz w:val="18"/>
                <w:szCs w:val="18"/>
                <w:lang w:val="en-US"/>
              </w:rPr>
              <w:t>2016</w:t>
            </w:r>
          </w:p>
        </w:tc>
        <w:tc>
          <w:tcPr>
            <w:tcW w:w="1371" w:type="dxa"/>
            <w:tcBorders>
              <w:bottom w:val="single" w:sz="12" w:space="0" w:color="auto"/>
            </w:tcBorders>
            <w:shd w:val="clear" w:color="auto" w:fill="auto"/>
            <w:vAlign w:val="center"/>
            <w:hideMark/>
          </w:tcPr>
          <w:p w14:paraId="1A8BC44A" w14:textId="77777777" w:rsidR="00F3260C" w:rsidRPr="00BD295E" w:rsidRDefault="008A5057" w:rsidP="00E3510B">
            <w:pPr>
              <w:jc w:val="center"/>
              <w:rPr>
                <w:rFonts w:ascii="Arial" w:hAnsi="Arial" w:cs="Arial"/>
                <w:bCs/>
                <w:sz w:val="18"/>
                <w:szCs w:val="18"/>
                <w:lang w:val="en-US"/>
              </w:rPr>
            </w:pPr>
            <w:r w:rsidRPr="00BD295E">
              <w:rPr>
                <w:rFonts w:ascii="Arial" w:hAnsi="Arial" w:cs="Arial"/>
                <w:bCs/>
                <w:sz w:val="18"/>
                <w:szCs w:val="18"/>
                <w:lang w:val="en-US"/>
              </w:rPr>
              <w:t>2017</w:t>
            </w:r>
          </w:p>
        </w:tc>
        <w:tc>
          <w:tcPr>
            <w:tcW w:w="1520" w:type="dxa"/>
            <w:tcBorders>
              <w:bottom w:val="single" w:sz="12" w:space="0" w:color="auto"/>
            </w:tcBorders>
            <w:shd w:val="clear" w:color="auto" w:fill="auto"/>
            <w:vAlign w:val="center"/>
            <w:hideMark/>
          </w:tcPr>
          <w:p w14:paraId="7EF6010D" w14:textId="77777777" w:rsidR="00F3260C" w:rsidRPr="00BD295E" w:rsidRDefault="008A5057" w:rsidP="00E3510B">
            <w:pPr>
              <w:jc w:val="center"/>
              <w:rPr>
                <w:rFonts w:ascii="Arial" w:hAnsi="Arial" w:cs="Arial"/>
                <w:bCs/>
                <w:sz w:val="18"/>
                <w:szCs w:val="18"/>
                <w:lang w:val="en-US"/>
              </w:rPr>
            </w:pPr>
            <w:r w:rsidRPr="00BD295E">
              <w:rPr>
                <w:rFonts w:ascii="Arial" w:hAnsi="Arial" w:cs="Arial"/>
                <w:bCs/>
                <w:sz w:val="18"/>
                <w:szCs w:val="18"/>
                <w:lang w:val="en-US"/>
              </w:rPr>
              <w:t>2018</w:t>
            </w:r>
          </w:p>
        </w:tc>
        <w:tc>
          <w:tcPr>
            <w:tcW w:w="1205" w:type="dxa"/>
            <w:tcBorders>
              <w:bottom w:val="single" w:sz="12" w:space="0" w:color="auto"/>
            </w:tcBorders>
            <w:shd w:val="clear" w:color="auto" w:fill="auto"/>
            <w:vAlign w:val="center"/>
            <w:hideMark/>
          </w:tcPr>
          <w:p w14:paraId="3E935C70" w14:textId="77777777" w:rsidR="00F3260C" w:rsidRPr="00BD295E" w:rsidRDefault="008A5057" w:rsidP="00E3510B">
            <w:pPr>
              <w:jc w:val="center"/>
              <w:rPr>
                <w:rFonts w:ascii="Arial" w:hAnsi="Arial" w:cs="Arial"/>
                <w:bCs/>
                <w:sz w:val="18"/>
                <w:szCs w:val="18"/>
                <w:lang w:val="en-US"/>
              </w:rPr>
            </w:pPr>
            <w:r w:rsidRPr="00BD295E">
              <w:rPr>
                <w:rFonts w:ascii="Arial" w:hAnsi="Arial" w:cs="Arial"/>
                <w:sz w:val="18"/>
                <w:szCs w:val="18"/>
                <w:lang w:val="en-US"/>
              </w:rPr>
              <w:t>2018 vs. 2017, %</w:t>
            </w:r>
          </w:p>
        </w:tc>
      </w:tr>
      <w:tr w:rsidR="008A5057" w:rsidRPr="00BD295E" w14:paraId="4DDF88FB" w14:textId="77777777" w:rsidTr="00E3510B">
        <w:trPr>
          <w:trHeight w:val="255"/>
        </w:trPr>
        <w:tc>
          <w:tcPr>
            <w:tcW w:w="2963" w:type="dxa"/>
            <w:tcBorders>
              <w:top w:val="single" w:sz="12" w:space="0" w:color="auto"/>
            </w:tcBorders>
            <w:shd w:val="clear" w:color="auto" w:fill="auto"/>
            <w:hideMark/>
          </w:tcPr>
          <w:p w14:paraId="6C481A70"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Ordinary shares</w:t>
            </w:r>
          </w:p>
        </w:tc>
        <w:tc>
          <w:tcPr>
            <w:tcW w:w="1520" w:type="dxa"/>
            <w:tcBorders>
              <w:top w:val="single" w:sz="12" w:space="0" w:color="auto"/>
            </w:tcBorders>
            <w:shd w:val="clear" w:color="auto" w:fill="auto"/>
          </w:tcPr>
          <w:p w14:paraId="252B18E0" w14:textId="77777777" w:rsidR="00F3260C" w:rsidRPr="00BD295E" w:rsidRDefault="00F3260C" w:rsidP="00E3510B">
            <w:pPr>
              <w:jc w:val="center"/>
              <w:rPr>
                <w:rFonts w:ascii="Arial" w:eastAsia="Calibri" w:hAnsi="Arial" w:cs="Arial"/>
                <w:b/>
                <w:bCs/>
                <w:sz w:val="18"/>
                <w:szCs w:val="18"/>
                <w:lang w:val="en-US" w:eastAsia="en-US"/>
              </w:rPr>
            </w:pPr>
          </w:p>
        </w:tc>
        <w:tc>
          <w:tcPr>
            <w:tcW w:w="1371" w:type="dxa"/>
            <w:tcBorders>
              <w:top w:val="single" w:sz="12" w:space="0" w:color="auto"/>
            </w:tcBorders>
            <w:shd w:val="clear" w:color="auto" w:fill="auto"/>
          </w:tcPr>
          <w:p w14:paraId="0166094B" w14:textId="77777777" w:rsidR="00F3260C" w:rsidRPr="00BD295E" w:rsidRDefault="00F3260C" w:rsidP="00E3510B">
            <w:pPr>
              <w:jc w:val="center"/>
              <w:rPr>
                <w:rFonts w:ascii="Arial" w:eastAsia="Calibri" w:hAnsi="Arial" w:cs="Arial"/>
                <w:b/>
                <w:bCs/>
                <w:sz w:val="18"/>
                <w:szCs w:val="18"/>
                <w:lang w:val="en-US" w:eastAsia="en-US"/>
              </w:rPr>
            </w:pPr>
          </w:p>
        </w:tc>
        <w:tc>
          <w:tcPr>
            <w:tcW w:w="1520" w:type="dxa"/>
            <w:tcBorders>
              <w:top w:val="single" w:sz="12" w:space="0" w:color="auto"/>
            </w:tcBorders>
            <w:shd w:val="clear" w:color="auto" w:fill="auto"/>
          </w:tcPr>
          <w:p w14:paraId="427F3366" w14:textId="77777777" w:rsidR="00F3260C" w:rsidRPr="00BD295E" w:rsidRDefault="00F3260C" w:rsidP="00E3510B">
            <w:pPr>
              <w:jc w:val="center"/>
              <w:rPr>
                <w:rFonts w:ascii="Arial" w:eastAsia="Calibri" w:hAnsi="Arial" w:cs="Arial"/>
                <w:b/>
                <w:bCs/>
                <w:sz w:val="18"/>
                <w:szCs w:val="18"/>
                <w:lang w:val="en-US" w:eastAsia="en-US"/>
              </w:rPr>
            </w:pPr>
          </w:p>
        </w:tc>
        <w:tc>
          <w:tcPr>
            <w:tcW w:w="1205" w:type="dxa"/>
            <w:tcBorders>
              <w:top w:val="single" w:sz="12" w:space="0" w:color="auto"/>
            </w:tcBorders>
            <w:shd w:val="clear" w:color="auto" w:fill="auto"/>
            <w:vAlign w:val="bottom"/>
          </w:tcPr>
          <w:p w14:paraId="24E3AFE4" w14:textId="77777777" w:rsidR="00F3260C" w:rsidRPr="00BD295E" w:rsidRDefault="00F3260C" w:rsidP="00E3510B">
            <w:pPr>
              <w:jc w:val="center"/>
              <w:rPr>
                <w:rFonts w:ascii="Arial" w:hAnsi="Arial" w:cs="Arial"/>
                <w:sz w:val="18"/>
                <w:szCs w:val="18"/>
                <w:lang w:val="en-US"/>
              </w:rPr>
            </w:pPr>
          </w:p>
        </w:tc>
      </w:tr>
      <w:tr w:rsidR="008A5057" w:rsidRPr="00BD295E" w14:paraId="45D7A9AC" w14:textId="77777777" w:rsidTr="00E3510B">
        <w:trPr>
          <w:trHeight w:val="255"/>
        </w:trPr>
        <w:tc>
          <w:tcPr>
            <w:tcW w:w="2963" w:type="dxa"/>
            <w:shd w:val="clear" w:color="auto" w:fill="auto"/>
            <w:hideMark/>
          </w:tcPr>
          <w:p w14:paraId="1396E62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Minimum price, RUB</w:t>
            </w:r>
          </w:p>
        </w:tc>
        <w:tc>
          <w:tcPr>
            <w:tcW w:w="1520" w:type="dxa"/>
            <w:shd w:val="clear" w:color="auto" w:fill="auto"/>
            <w:noWrap/>
          </w:tcPr>
          <w:p w14:paraId="1F07CE91"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2.15</w:t>
            </w:r>
          </w:p>
        </w:tc>
        <w:tc>
          <w:tcPr>
            <w:tcW w:w="1371" w:type="dxa"/>
            <w:shd w:val="clear" w:color="auto" w:fill="auto"/>
            <w:noWrap/>
          </w:tcPr>
          <w:p w14:paraId="098C6234"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3.76</w:t>
            </w:r>
          </w:p>
        </w:tc>
        <w:tc>
          <w:tcPr>
            <w:tcW w:w="1520" w:type="dxa"/>
            <w:shd w:val="clear" w:color="auto" w:fill="auto"/>
            <w:noWrap/>
          </w:tcPr>
          <w:p w14:paraId="69A009FA"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4.4</w:t>
            </w:r>
          </w:p>
        </w:tc>
        <w:tc>
          <w:tcPr>
            <w:tcW w:w="1205" w:type="dxa"/>
            <w:shd w:val="clear" w:color="auto" w:fill="auto"/>
            <w:vAlign w:val="bottom"/>
          </w:tcPr>
          <w:p w14:paraId="3BABB8A7"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17.0%</w:t>
            </w:r>
          </w:p>
        </w:tc>
      </w:tr>
      <w:tr w:rsidR="008A5057" w:rsidRPr="00BD295E" w14:paraId="08975E91" w14:textId="77777777" w:rsidTr="00E3510B">
        <w:trPr>
          <w:trHeight w:val="255"/>
        </w:trPr>
        <w:tc>
          <w:tcPr>
            <w:tcW w:w="2963" w:type="dxa"/>
            <w:tcBorders>
              <w:bottom w:val="single" w:sz="4" w:space="0" w:color="auto"/>
            </w:tcBorders>
            <w:shd w:val="clear" w:color="auto" w:fill="auto"/>
            <w:hideMark/>
          </w:tcPr>
          <w:p w14:paraId="7D94FE8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Maximum price, RUB</w:t>
            </w:r>
          </w:p>
        </w:tc>
        <w:tc>
          <w:tcPr>
            <w:tcW w:w="1520" w:type="dxa"/>
            <w:tcBorders>
              <w:bottom w:val="single" w:sz="4" w:space="0" w:color="auto"/>
            </w:tcBorders>
            <w:shd w:val="clear" w:color="auto" w:fill="auto"/>
            <w:noWrap/>
          </w:tcPr>
          <w:p w14:paraId="57F47E97"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6.25</w:t>
            </w:r>
          </w:p>
        </w:tc>
        <w:tc>
          <w:tcPr>
            <w:tcW w:w="1371" w:type="dxa"/>
            <w:tcBorders>
              <w:bottom w:val="single" w:sz="4" w:space="0" w:color="auto"/>
            </w:tcBorders>
            <w:shd w:val="clear" w:color="auto" w:fill="auto"/>
            <w:noWrap/>
          </w:tcPr>
          <w:p w14:paraId="59A95E11"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6.20</w:t>
            </w:r>
          </w:p>
        </w:tc>
        <w:tc>
          <w:tcPr>
            <w:tcW w:w="1520" w:type="dxa"/>
            <w:tcBorders>
              <w:bottom w:val="single" w:sz="4" w:space="0" w:color="auto"/>
            </w:tcBorders>
            <w:shd w:val="clear" w:color="auto" w:fill="auto"/>
            <w:noWrap/>
          </w:tcPr>
          <w:p w14:paraId="518A8BA4"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6.95</w:t>
            </w:r>
          </w:p>
        </w:tc>
        <w:tc>
          <w:tcPr>
            <w:tcW w:w="1205" w:type="dxa"/>
            <w:tcBorders>
              <w:bottom w:val="single" w:sz="4" w:space="0" w:color="auto"/>
            </w:tcBorders>
            <w:shd w:val="clear" w:color="auto" w:fill="auto"/>
            <w:vAlign w:val="bottom"/>
          </w:tcPr>
          <w:p w14:paraId="4B1BE7C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12.1%</w:t>
            </w:r>
          </w:p>
        </w:tc>
      </w:tr>
      <w:tr w:rsidR="008A5057" w:rsidRPr="00BD295E" w14:paraId="4BE3B5F3" w14:textId="77777777" w:rsidTr="00E3510B">
        <w:trPr>
          <w:trHeight w:val="255"/>
        </w:trPr>
        <w:tc>
          <w:tcPr>
            <w:tcW w:w="2963" w:type="dxa"/>
            <w:tcBorders>
              <w:bottom w:val="single" w:sz="12" w:space="0" w:color="auto"/>
            </w:tcBorders>
            <w:shd w:val="clear" w:color="auto" w:fill="auto"/>
            <w:hideMark/>
          </w:tcPr>
          <w:p w14:paraId="321386A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Year-end price</w:t>
            </w:r>
          </w:p>
        </w:tc>
        <w:tc>
          <w:tcPr>
            <w:tcW w:w="1520" w:type="dxa"/>
            <w:tcBorders>
              <w:bottom w:val="single" w:sz="12" w:space="0" w:color="auto"/>
            </w:tcBorders>
            <w:shd w:val="clear" w:color="auto" w:fill="auto"/>
            <w:noWrap/>
          </w:tcPr>
          <w:p w14:paraId="3222051F"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5.505</w:t>
            </w:r>
          </w:p>
        </w:tc>
        <w:tc>
          <w:tcPr>
            <w:tcW w:w="1371" w:type="dxa"/>
            <w:tcBorders>
              <w:bottom w:val="single" w:sz="12" w:space="0" w:color="auto"/>
            </w:tcBorders>
            <w:shd w:val="clear" w:color="auto" w:fill="auto"/>
            <w:noWrap/>
          </w:tcPr>
          <w:p w14:paraId="5E2B362D" w14:textId="77777777" w:rsidR="00F3260C" w:rsidRPr="00BD295E" w:rsidRDefault="008A5057" w:rsidP="00E3510B">
            <w:pPr>
              <w:jc w:val="center"/>
              <w:rPr>
                <w:rFonts w:ascii="Arial" w:eastAsia="Calibri" w:hAnsi="Arial" w:cs="Arial"/>
                <w:i/>
                <w:sz w:val="18"/>
                <w:szCs w:val="18"/>
                <w:lang w:val="en-US"/>
              </w:rPr>
            </w:pPr>
            <w:r w:rsidRPr="00BD295E">
              <w:rPr>
                <w:rFonts w:ascii="Arial" w:hAnsi="Arial" w:cs="Arial"/>
                <w:i/>
                <w:sz w:val="18"/>
                <w:szCs w:val="18"/>
                <w:lang w:val="en-US"/>
              </w:rPr>
              <w:t>4.8</w:t>
            </w:r>
          </w:p>
        </w:tc>
        <w:tc>
          <w:tcPr>
            <w:tcW w:w="1520" w:type="dxa"/>
            <w:tcBorders>
              <w:bottom w:val="single" w:sz="12" w:space="0" w:color="auto"/>
            </w:tcBorders>
            <w:shd w:val="clear" w:color="auto" w:fill="auto"/>
            <w:noWrap/>
          </w:tcPr>
          <w:p w14:paraId="3ACA33DD" w14:textId="77777777" w:rsidR="00F3260C" w:rsidRPr="00BD295E" w:rsidRDefault="008A5057" w:rsidP="00E3510B">
            <w:pPr>
              <w:jc w:val="center"/>
              <w:rPr>
                <w:rFonts w:ascii="Arial" w:eastAsia="Calibri" w:hAnsi="Arial" w:cs="Arial"/>
                <w:i/>
                <w:sz w:val="18"/>
                <w:szCs w:val="18"/>
                <w:lang w:val="en-US"/>
              </w:rPr>
            </w:pPr>
            <w:r w:rsidRPr="00BD295E">
              <w:rPr>
                <w:rFonts w:ascii="Arial" w:hAnsi="Arial" w:cs="Arial"/>
                <w:i/>
                <w:sz w:val="18"/>
                <w:szCs w:val="18"/>
                <w:lang w:val="en-US"/>
              </w:rPr>
              <w:t>5.29</w:t>
            </w:r>
          </w:p>
        </w:tc>
        <w:tc>
          <w:tcPr>
            <w:tcW w:w="1205" w:type="dxa"/>
            <w:tcBorders>
              <w:bottom w:val="single" w:sz="12" w:space="0" w:color="auto"/>
            </w:tcBorders>
            <w:shd w:val="clear" w:color="auto" w:fill="auto"/>
            <w:vAlign w:val="bottom"/>
          </w:tcPr>
          <w:p w14:paraId="7A34851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10.2%</w:t>
            </w:r>
          </w:p>
        </w:tc>
      </w:tr>
      <w:tr w:rsidR="008A5057" w:rsidRPr="00BD295E" w14:paraId="4FC4AB19" w14:textId="77777777" w:rsidTr="00E3510B">
        <w:trPr>
          <w:trHeight w:val="255"/>
        </w:trPr>
        <w:tc>
          <w:tcPr>
            <w:tcW w:w="2963" w:type="dxa"/>
            <w:tcBorders>
              <w:bottom w:val="single" w:sz="4" w:space="0" w:color="auto"/>
            </w:tcBorders>
            <w:shd w:val="clear" w:color="auto" w:fill="auto"/>
            <w:hideMark/>
          </w:tcPr>
          <w:p w14:paraId="79C8146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Trading amount, RUB</w:t>
            </w:r>
          </w:p>
        </w:tc>
        <w:tc>
          <w:tcPr>
            <w:tcW w:w="1520" w:type="dxa"/>
            <w:tcBorders>
              <w:bottom w:val="single" w:sz="4" w:space="0" w:color="auto"/>
            </w:tcBorders>
            <w:shd w:val="clear" w:color="auto" w:fill="auto"/>
          </w:tcPr>
          <w:p w14:paraId="0BC38731"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1,101,400,813</w:t>
            </w:r>
          </w:p>
        </w:tc>
        <w:tc>
          <w:tcPr>
            <w:tcW w:w="1371" w:type="dxa"/>
            <w:tcBorders>
              <w:bottom w:val="single" w:sz="4" w:space="0" w:color="auto"/>
            </w:tcBorders>
            <w:shd w:val="clear" w:color="auto" w:fill="auto"/>
          </w:tcPr>
          <w:p w14:paraId="67261946"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540,268,420</w:t>
            </w:r>
          </w:p>
        </w:tc>
        <w:tc>
          <w:tcPr>
            <w:tcW w:w="1520" w:type="dxa"/>
            <w:tcBorders>
              <w:bottom w:val="single" w:sz="4" w:space="0" w:color="auto"/>
            </w:tcBorders>
            <w:shd w:val="clear" w:color="auto" w:fill="auto"/>
          </w:tcPr>
          <w:p w14:paraId="3BA46E4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422,066,769</w:t>
            </w:r>
          </w:p>
        </w:tc>
        <w:tc>
          <w:tcPr>
            <w:tcW w:w="1205" w:type="dxa"/>
            <w:tcBorders>
              <w:bottom w:val="single" w:sz="4" w:space="0" w:color="auto"/>
            </w:tcBorders>
            <w:shd w:val="clear" w:color="auto" w:fill="auto"/>
            <w:vAlign w:val="bottom"/>
          </w:tcPr>
          <w:p w14:paraId="2E28013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-21.9%</w:t>
            </w:r>
          </w:p>
        </w:tc>
      </w:tr>
      <w:tr w:rsidR="008A5057" w:rsidRPr="00BD295E" w14:paraId="3C96505C" w14:textId="77777777" w:rsidTr="00E3510B">
        <w:trPr>
          <w:trHeight w:val="255"/>
        </w:trPr>
        <w:tc>
          <w:tcPr>
            <w:tcW w:w="2963" w:type="dxa"/>
            <w:tcBorders>
              <w:bottom w:val="single" w:sz="12" w:space="0" w:color="auto"/>
            </w:tcBorders>
            <w:shd w:val="clear" w:color="auto" w:fill="auto"/>
            <w:hideMark/>
          </w:tcPr>
          <w:p w14:paraId="46E4B66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Number of transactions </w:t>
            </w:r>
          </w:p>
        </w:tc>
        <w:tc>
          <w:tcPr>
            <w:tcW w:w="1520" w:type="dxa"/>
            <w:tcBorders>
              <w:bottom w:val="single" w:sz="12" w:space="0" w:color="auto"/>
            </w:tcBorders>
            <w:shd w:val="clear" w:color="auto" w:fill="auto"/>
          </w:tcPr>
          <w:p w14:paraId="4F372CF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65,023</w:t>
            </w:r>
          </w:p>
        </w:tc>
        <w:tc>
          <w:tcPr>
            <w:tcW w:w="1371" w:type="dxa"/>
            <w:tcBorders>
              <w:bottom w:val="single" w:sz="12" w:space="0" w:color="auto"/>
            </w:tcBorders>
            <w:shd w:val="clear" w:color="auto" w:fill="auto"/>
            <w:noWrap/>
          </w:tcPr>
          <w:p w14:paraId="12C5EB5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41761</w:t>
            </w:r>
          </w:p>
        </w:tc>
        <w:tc>
          <w:tcPr>
            <w:tcW w:w="1520" w:type="dxa"/>
            <w:tcBorders>
              <w:bottom w:val="single" w:sz="12" w:space="0" w:color="auto"/>
            </w:tcBorders>
            <w:shd w:val="clear" w:color="auto" w:fill="auto"/>
          </w:tcPr>
          <w:p w14:paraId="4DE2EF2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35752</w:t>
            </w:r>
          </w:p>
        </w:tc>
        <w:tc>
          <w:tcPr>
            <w:tcW w:w="1205" w:type="dxa"/>
            <w:tcBorders>
              <w:bottom w:val="single" w:sz="12" w:space="0" w:color="auto"/>
            </w:tcBorders>
            <w:shd w:val="clear" w:color="auto" w:fill="auto"/>
            <w:vAlign w:val="bottom"/>
          </w:tcPr>
          <w:p w14:paraId="15FD96F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-14.4%</w:t>
            </w:r>
          </w:p>
        </w:tc>
      </w:tr>
      <w:tr w:rsidR="008A5057" w:rsidRPr="00BD295E" w14:paraId="1579D21E" w14:textId="77777777" w:rsidTr="00E3510B">
        <w:trPr>
          <w:trHeight w:val="255"/>
        </w:trPr>
        <w:tc>
          <w:tcPr>
            <w:tcW w:w="2963" w:type="dxa"/>
            <w:tcBorders>
              <w:top w:val="single" w:sz="12" w:space="0" w:color="auto"/>
            </w:tcBorders>
            <w:shd w:val="clear" w:color="auto" w:fill="auto"/>
            <w:hideMark/>
          </w:tcPr>
          <w:p w14:paraId="6D95BB33" w14:textId="77777777" w:rsidR="00F3260C" w:rsidRPr="00BD295E" w:rsidRDefault="008A5057" w:rsidP="0031297B">
            <w:pPr>
              <w:rPr>
                <w:rFonts w:ascii="Arial" w:hAnsi="Arial" w:cs="Arial"/>
                <w:b/>
                <w:bCs/>
                <w:sz w:val="18"/>
                <w:szCs w:val="18"/>
                <w:lang w:val="en-US"/>
              </w:rPr>
            </w:pPr>
            <w:r w:rsidRPr="00BD295E">
              <w:rPr>
                <w:rFonts w:ascii="Arial" w:hAnsi="Arial" w:cs="Arial"/>
                <w:b/>
                <w:bCs/>
                <w:sz w:val="18"/>
                <w:szCs w:val="18"/>
                <w:lang w:val="en-US"/>
              </w:rPr>
              <w:t>Preference shares</w:t>
            </w:r>
          </w:p>
        </w:tc>
        <w:tc>
          <w:tcPr>
            <w:tcW w:w="1520" w:type="dxa"/>
            <w:tcBorders>
              <w:top w:val="single" w:sz="12" w:space="0" w:color="auto"/>
            </w:tcBorders>
            <w:shd w:val="clear" w:color="auto" w:fill="auto"/>
            <w:hideMark/>
          </w:tcPr>
          <w:p w14:paraId="243B954E" w14:textId="77777777" w:rsidR="00F3260C" w:rsidRPr="00BD295E" w:rsidRDefault="00F3260C" w:rsidP="00E3510B">
            <w:pPr>
              <w:jc w:val="center"/>
              <w:rPr>
                <w:rFonts w:ascii="Arial" w:hAnsi="Arial" w:cs="Arial"/>
                <w:b/>
                <w:bCs/>
                <w:sz w:val="18"/>
                <w:szCs w:val="18"/>
                <w:lang w:val="en-US"/>
              </w:rPr>
            </w:pPr>
          </w:p>
        </w:tc>
        <w:tc>
          <w:tcPr>
            <w:tcW w:w="1371" w:type="dxa"/>
            <w:tcBorders>
              <w:top w:val="single" w:sz="12" w:space="0" w:color="auto"/>
            </w:tcBorders>
            <w:shd w:val="clear" w:color="auto" w:fill="auto"/>
            <w:hideMark/>
          </w:tcPr>
          <w:p w14:paraId="1CDB9BE4" w14:textId="77777777" w:rsidR="00F3260C" w:rsidRPr="00BD295E" w:rsidRDefault="00F3260C" w:rsidP="00E3510B">
            <w:pPr>
              <w:jc w:val="center"/>
              <w:rPr>
                <w:rFonts w:ascii="Arial" w:hAnsi="Arial" w:cs="Arial"/>
                <w:b/>
                <w:bCs/>
                <w:sz w:val="18"/>
                <w:szCs w:val="18"/>
                <w:lang w:val="en-US"/>
              </w:rPr>
            </w:pPr>
          </w:p>
        </w:tc>
        <w:tc>
          <w:tcPr>
            <w:tcW w:w="1520" w:type="dxa"/>
            <w:tcBorders>
              <w:top w:val="single" w:sz="12" w:space="0" w:color="auto"/>
            </w:tcBorders>
            <w:shd w:val="clear" w:color="auto" w:fill="auto"/>
          </w:tcPr>
          <w:p w14:paraId="2FF84967" w14:textId="77777777" w:rsidR="00F3260C" w:rsidRPr="00BD295E" w:rsidRDefault="00F3260C" w:rsidP="00E3510B">
            <w:pPr>
              <w:jc w:val="center"/>
              <w:rPr>
                <w:rFonts w:ascii="Arial" w:hAnsi="Arial" w:cs="Arial"/>
                <w:b/>
                <w:bCs/>
                <w:sz w:val="18"/>
                <w:szCs w:val="18"/>
                <w:lang w:val="en-US"/>
              </w:rPr>
            </w:pPr>
          </w:p>
        </w:tc>
        <w:tc>
          <w:tcPr>
            <w:tcW w:w="1205" w:type="dxa"/>
            <w:tcBorders>
              <w:top w:val="single" w:sz="12" w:space="0" w:color="auto"/>
            </w:tcBorders>
            <w:shd w:val="clear" w:color="auto" w:fill="auto"/>
            <w:vAlign w:val="bottom"/>
          </w:tcPr>
          <w:p w14:paraId="6324CA82" w14:textId="77777777" w:rsidR="00F3260C" w:rsidRPr="00BD295E" w:rsidRDefault="00F3260C" w:rsidP="00E3510B">
            <w:pPr>
              <w:jc w:val="center"/>
              <w:rPr>
                <w:rFonts w:ascii="Arial" w:hAnsi="Arial" w:cs="Arial"/>
                <w:sz w:val="18"/>
                <w:szCs w:val="18"/>
                <w:lang w:val="en-US"/>
              </w:rPr>
            </w:pPr>
          </w:p>
        </w:tc>
      </w:tr>
      <w:tr w:rsidR="008A5057" w:rsidRPr="00BD295E" w14:paraId="566ABB1C" w14:textId="77777777" w:rsidTr="00E3510B">
        <w:trPr>
          <w:trHeight w:val="255"/>
        </w:trPr>
        <w:tc>
          <w:tcPr>
            <w:tcW w:w="2963" w:type="dxa"/>
            <w:shd w:val="clear" w:color="auto" w:fill="auto"/>
            <w:hideMark/>
          </w:tcPr>
          <w:p w14:paraId="7D7E8A2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Minimum price, RUB</w:t>
            </w:r>
          </w:p>
        </w:tc>
        <w:tc>
          <w:tcPr>
            <w:tcW w:w="1520" w:type="dxa"/>
            <w:shd w:val="clear" w:color="auto" w:fill="auto"/>
          </w:tcPr>
          <w:p w14:paraId="7A8728B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11.6</w:t>
            </w:r>
          </w:p>
        </w:tc>
        <w:tc>
          <w:tcPr>
            <w:tcW w:w="1371" w:type="dxa"/>
            <w:shd w:val="clear" w:color="auto" w:fill="auto"/>
          </w:tcPr>
          <w:p w14:paraId="2E33304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40</w:t>
            </w:r>
          </w:p>
        </w:tc>
        <w:tc>
          <w:tcPr>
            <w:tcW w:w="1520" w:type="dxa"/>
            <w:shd w:val="clear" w:color="auto" w:fill="auto"/>
            <w:noWrap/>
          </w:tcPr>
          <w:p w14:paraId="7CD00E9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80.4</w:t>
            </w:r>
          </w:p>
        </w:tc>
        <w:tc>
          <w:tcPr>
            <w:tcW w:w="1205" w:type="dxa"/>
            <w:shd w:val="clear" w:color="auto" w:fill="auto"/>
            <w:vAlign w:val="bottom"/>
          </w:tcPr>
          <w:p w14:paraId="54CCF89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101.0%</w:t>
            </w:r>
          </w:p>
        </w:tc>
      </w:tr>
      <w:tr w:rsidR="008A5057" w:rsidRPr="00BD295E" w14:paraId="6E765ECF" w14:textId="77777777" w:rsidTr="00E3510B">
        <w:trPr>
          <w:trHeight w:val="255"/>
        </w:trPr>
        <w:tc>
          <w:tcPr>
            <w:tcW w:w="2963" w:type="dxa"/>
            <w:tcBorders>
              <w:bottom w:val="single" w:sz="4" w:space="0" w:color="auto"/>
            </w:tcBorders>
            <w:shd w:val="clear" w:color="auto" w:fill="auto"/>
            <w:hideMark/>
          </w:tcPr>
          <w:p w14:paraId="579908B9"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Maximum price, RUB</w:t>
            </w:r>
          </w:p>
        </w:tc>
        <w:tc>
          <w:tcPr>
            <w:tcW w:w="1520" w:type="dxa"/>
            <w:tcBorders>
              <w:bottom w:val="single" w:sz="4" w:space="0" w:color="auto"/>
            </w:tcBorders>
            <w:shd w:val="clear" w:color="auto" w:fill="auto"/>
          </w:tcPr>
          <w:p w14:paraId="24F07C19"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51.1</w:t>
            </w:r>
          </w:p>
        </w:tc>
        <w:tc>
          <w:tcPr>
            <w:tcW w:w="1371" w:type="dxa"/>
            <w:tcBorders>
              <w:bottom w:val="single" w:sz="4" w:space="0" w:color="auto"/>
            </w:tcBorders>
            <w:shd w:val="clear" w:color="auto" w:fill="auto"/>
          </w:tcPr>
          <w:p w14:paraId="38D58B39"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93</w:t>
            </w:r>
          </w:p>
        </w:tc>
        <w:tc>
          <w:tcPr>
            <w:tcW w:w="1520" w:type="dxa"/>
            <w:tcBorders>
              <w:bottom w:val="single" w:sz="4" w:space="0" w:color="auto"/>
            </w:tcBorders>
            <w:shd w:val="clear" w:color="auto" w:fill="auto"/>
            <w:noWrap/>
          </w:tcPr>
          <w:p w14:paraId="734ACFC3"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122</w:t>
            </w:r>
          </w:p>
        </w:tc>
        <w:tc>
          <w:tcPr>
            <w:tcW w:w="1205" w:type="dxa"/>
            <w:tcBorders>
              <w:bottom w:val="single" w:sz="4" w:space="0" w:color="auto"/>
            </w:tcBorders>
            <w:shd w:val="clear" w:color="auto" w:fill="auto"/>
            <w:vAlign w:val="bottom"/>
          </w:tcPr>
          <w:p w14:paraId="181165A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31.2%</w:t>
            </w:r>
          </w:p>
        </w:tc>
      </w:tr>
      <w:tr w:rsidR="008A5057" w:rsidRPr="00BD295E" w14:paraId="136C33E5" w14:textId="77777777" w:rsidTr="00E3510B">
        <w:trPr>
          <w:trHeight w:val="255"/>
        </w:trPr>
        <w:tc>
          <w:tcPr>
            <w:tcW w:w="2963" w:type="dxa"/>
            <w:tcBorders>
              <w:bottom w:val="single" w:sz="12" w:space="0" w:color="auto"/>
            </w:tcBorders>
            <w:shd w:val="clear" w:color="auto" w:fill="auto"/>
            <w:hideMark/>
          </w:tcPr>
          <w:p w14:paraId="4E20178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Year-end price</w:t>
            </w:r>
          </w:p>
        </w:tc>
        <w:tc>
          <w:tcPr>
            <w:tcW w:w="1520" w:type="dxa"/>
            <w:tcBorders>
              <w:bottom w:val="single" w:sz="12" w:space="0" w:color="auto"/>
            </w:tcBorders>
            <w:shd w:val="clear" w:color="auto" w:fill="auto"/>
          </w:tcPr>
          <w:p w14:paraId="40342283"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45.4</w:t>
            </w:r>
          </w:p>
        </w:tc>
        <w:tc>
          <w:tcPr>
            <w:tcW w:w="1371" w:type="dxa"/>
            <w:tcBorders>
              <w:bottom w:val="single" w:sz="12" w:space="0" w:color="auto"/>
            </w:tcBorders>
            <w:shd w:val="clear" w:color="auto" w:fill="auto"/>
          </w:tcPr>
          <w:p w14:paraId="2B1CCE76"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81.4</w:t>
            </w:r>
          </w:p>
        </w:tc>
        <w:tc>
          <w:tcPr>
            <w:tcW w:w="1520" w:type="dxa"/>
            <w:tcBorders>
              <w:bottom w:val="single" w:sz="12" w:space="0" w:color="auto"/>
            </w:tcBorders>
            <w:shd w:val="clear" w:color="auto" w:fill="auto"/>
            <w:noWrap/>
          </w:tcPr>
          <w:p w14:paraId="0B295AAA"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93.9</w:t>
            </w:r>
          </w:p>
        </w:tc>
        <w:tc>
          <w:tcPr>
            <w:tcW w:w="1205" w:type="dxa"/>
            <w:tcBorders>
              <w:bottom w:val="single" w:sz="12" w:space="0" w:color="auto"/>
            </w:tcBorders>
            <w:shd w:val="clear" w:color="auto" w:fill="auto"/>
            <w:vAlign w:val="bottom"/>
          </w:tcPr>
          <w:p w14:paraId="4C87DE6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15.4%</w:t>
            </w:r>
          </w:p>
        </w:tc>
      </w:tr>
      <w:tr w:rsidR="008A5057" w:rsidRPr="00BD295E" w14:paraId="0F4C932D" w14:textId="77777777" w:rsidTr="00E3510B">
        <w:trPr>
          <w:trHeight w:val="255"/>
        </w:trPr>
        <w:tc>
          <w:tcPr>
            <w:tcW w:w="2963" w:type="dxa"/>
            <w:shd w:val="clear" w:color="auto" w:fill="auto"/>
            <w:hideMark/>
          </w:tcPr>
          <w:p w14:paraId="390F923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Trading amount, RUB</w:t>
            </w:r>
          </w:p>
        </w:tc>
        <w:tc>
          <w:tcPr>
            <w:tcW w:w="1520" w:type="dxa"/>
            <w:shd w:val="clear" w:color="auto" w:fill="auto"/>
          </w:tcPr>
          <w:p w14:paraId="2568058B"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2,757,028,975</w:t>
            </w:r>
          </w:p>
        </w:tc>
        <w:tc>
          <w:tcPr>
            <w:tcW w:w="1371" w:type="dxa"/>
            <w:shd w:val="clear" w:color="auto" w:fill="auto"/>
          </w:tcPr>
          <w:p w14:paraId="22A971A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4,889,875,845</w:t>
            </w:r>
          </w:p>
        </w:tc>
        <w:tc>
          <w:tcPr>
            <w:tcW w:w="1520" w:type="dxa"/>
            <w:shd w:val="clear" w:color="auto" w:fill="auto"/>
          </w:tcPr>
          <w:p w14:paraId="5978CF9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7,805,883,355</w:t>
            </w:r>
          </w:p>
        </w:tc>
        <w:tc>
          <w:tcPr>
            <w:tcW w:w="1205" w:type="dxa"/>
            <w:shd w:val="clear" w:color="auto" w:fill="auto"/>
            <w:vAlign w:val="bottom"/>
          </w:tcPr>
          <w:p w14:paraId="0AC0536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59.6%</w:t>
            </w:r>
          </w:p>
        </w:tc>
      </w:tr>
      <w:tr w:rsidR="008A5057" w:rsidRPr="00BD295E" w14:paraId="3B92468A" w14:textId="77777777" w:rsidTr="00E3510B">
        <w:trPr>
          <w:trHeight w:val="255"/>
        </w:trPr>
        <w:tc>
          <w:tcPr>
            <w:tcW w:w="2963" w:type="dxa"/>
            <w:shd w:val="clear" w:color="auto" w:fill="auto"/>
            <w:hideMark/>
          </w:tcPr>
          <w:p w14:paraId="07B6E96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 xml:space="preserve">Number of transactions </w:t>
            </w:r>
          </w:p>
        </w:tc>
        <w:tc>
          <w:tcPr>
            <w:tcW w:w="1520" w:type="dxa"/>
            <w:shd w:val="clear" w:color="auto" w:fill="auto"/>
          </w:tcPr>
          <w:p w14:paraId="0F242BB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58,688</w:t>
            </w:r>
          </w:p>
        </w:tc>
        <w:tc>
          <w:tcPr>
            <w:tcW w:w="1371" w:type="dxa"/>
            <w:shd w:val="clear" w:color="auto" w:fill="auto"/>
          </w:tcPr>
          <w:p w14:paraId="79AEFB60"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142,335</w:t>
            </w:r>
          </w:p>
        </w:tc>
        <w:tc>
          <w:tcPr>
            <w:tcW w:w="1520" w:type="dxa"/>
            <w:shd w:val="clear" w:color="auto" w:fill="auto"/>
          </w:tcPr>
          <w:p w14:paraId="48EE8C88"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187,032</w:t>
            </w:r>
          </w:p>
        </w:tc>
        <w:tc>
          <w:tcPr>
            <w:tcW w:w="1205" w:type="dxa"/>
            <w:shd w:val="clear" w:color="auto" w:fill="auto"/>
            <w:vAlign w:val="bottom"/>
          </w:tcPr>
          <w:p w14:paraId="0292249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31.4%</w:t>
            </w:r>
          </w:p>
        </w:tc>
      </w:tr>
    </w:tbl>
    <w:p w14:paraId="75A8F0E0"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 Based on trading data from Moscow Exchange, PJSC (</w:t>
      </w:r>
      <w:hyperlink r:id="rId128" w:history="1">
        <w:r w:rsidRPr="00BD295E">
          <w:rPr>
            <w:rStyle w:val="af0"/>
            <w:rFonts w:ascii="Arial" w:hAnsi="Arial" w:cs="Arial"/>
            <w:color w:val="auto"/>
            <w:sz w:val="18"/>
            <w:szCs w:val="18"/>
            <w:lang w:val="en-US"/>
          </w:rPr>
          <w:t>http://www.moex.com/</w:t>
        </w:r>
      </w:hyperlink>
      <w:r w:rsidRPr="00BD295E">
        <w:rPr>
          <w:rFonts w:ascii="Arial" w:hAnsi="Arial" w:cs="Arial"/>
          <w:sz w:val="18"/>
          <w:szCs w:val="18"/>
          <w:lang w:val="en-US"/>
        </w:rPr>
        <w:t>).</w:t>
      </w:r>
    </w:p>
    <w:p w14:paraId="6D2DC2EC" w14:textId="77777777" w:rsidR="00F3260C" w:rsidRPr="00BD295E" w:rsidRDefault="008A5057" w:rsidP="00F7146A">
      <w:pPr>
        <w:spacing w:before="120" w:after="120"/>
        <w:jc w:val="both"/>
        <w:rPr>
          <w:rFonts w:ascii="Arial" w:hAnsi="Arial" w:cs="Arial"/>
          <w:sz w:val="18"/>
          <w:szCs w:val="18"/>
          <w:lang w:val="en-US"/>
        </w:rPr>
      </w:pPr>
      <w:r w:rsidRPr="00BD295E">
        <w:rPr>
          <w:rFonts w:ascii="Arial" w:hAnsi="Arial" w:cs="Arial"/>
          <w:sz w:val="18"/>
          <w:szCs w:val="18"/>
          <w:lang w:val="en-US"/>
        </w:rPr>
        <w:t>Throughout the year, share prices of Rosseti Group’s companies showed mostly negative trends amid weaker investor appetite for the sector and uncertainty in the market as a whole. Investor sentiment was determined in each case by the news around the Сompany; the Northwestern Federal District showed the best performance.</w:t>
      </w:r>
    </w:p>
    <w:p w14:paraId="0F9BDA30"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 xml:space="preserve">Shares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showed strong performance during the year. Despite the year-end growth for both types of shares, investors were mainly focused on the Company’s preference shares due to a robust dividend policy amid strong interim financial performance. This is evident from the analysis of trading volume and share performance over the year – therefore, in value terms, the amount of trading in preference shares grew by 60%, while the performance of ordinary shares fell 14%. Therefore, the gap between the securities liquidity has increased even further.</w:t>
      </w:r>
    </w:p>
    <w:p w14:paraId="690E200D" w14:textId="77777777" w:rsidR="00F3260C" w:rsidRPr="00BD295E" w:rsidRDefault="00F3260C" w:rsidP="00F3260C">
      <w:pPr>
        <w:rPr>
          <w:rFonts w:ascii="Arial" w:hAnsi="Arial" w:cs="Arial"/>
          <w:sz w:val="18"/>
          <w:szCs w:val="18"/>
          <w:lang w:val="en-US"/>
        </w:rPr>
      </w:pPr>
    </w:p>
    <w:p w14:paraId="5DF090E7"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 xml:space="preserve">Key multiples of ordinary shares of </w:t>
      </w:r>
      <w:r w:rsidR="00EE5753" w:rsidRPr="00BD295E">
        <w:rPr>
          <w:rFonts w:ascii="Arial" w:hAnsi="Arial" w:cs="Arial"/>
          <w:b/>
          <w:sz w:val="18"/>
          <w:szCs w:val="18"/>
          <w:lang w:val="en-US"/>
        </w:rPr>
        <w:t>PJSC “Lenenergo”</w:t>
      </w:r>
    </w:p>
    <w:tbl>
      <w:tblPr>
        <w:tblW w:w="8084" w:type="dxa"/>
        <w:tblInd w:w="93" w:type="dxa"/>
        <w:tblLook w:val="04A0" w:firstRow="1" w:lastRow="0" w:firstColumn="1" w:lastColumn="0" w:noHBand="0" w:noVBand="1"/>
      </w:tblPr>
      <w:tblGrid>
        <w:gridCol w:w="3023"/>
        <w:gridCol w:w="1694"/>
        <w:gridCol w:w="1673"/>
        <w:gridCol w:w="1694"/>
      </w:tblGrid>
      <w:tr w:rsidR="008A5057" w:rsidRPr="00BD295E" w14:paraId="44D3CBDF" w14:textId="77777777" w:rsidTr="0031297B">
        <w:trPr>
          <w:trHeight w:val="293"/>
        </w:trPr>
        <w:tc>
          <w:tcPr>
            <w:tcW w:w="3023"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0F3C342" w14:textId="77777777" w:rsidR="00F3260C"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 </w:t>
            </w:r>
          </w:p>
        </w:tc>
        <w:tc>
          <w:tcPr>
            <w:tcW w:w="1694" w:type="dxa"/>
            <w:tcBorders>
              <w:top w:val="single" w:sz="8" w:space="0" w:color="auto"/>
              <w:left w:val="nil"/>
              <w:bottom w:val="single" w:sz="4" w:space="0" w:color="auto"/>
              <w:right w:val="single" w:sz="4" w:space="0" w:color="auto"/>
            </w:tcBorders>
            <w:shd w:val="clear" w:color="auto" w:fill="auto"/>
            <w:noWrap/>
            <w:vAlign w:val="bottom"/>
            <w:hideMark/>
          </w:tcPr>
          <w:p w14:paraId="5296B6E8" w14:textId="77777777" w:rsidR="00F3260C" w:rsidRPr="00BD295E" w:rsidRDefault="008A5057" w:rsidP="0031297B">
            <w:pPr>
              <w:jc w:val="center"/>
              <w:rPr>
                <w:rFonts w:ascii="Arial" w:hAnsi="Arial" w:cs="Arial"/>
                <w:b/>
                <w:bCs/>
                <w:sz w:val="18"/>
                <w:szCs w:val="18"/>
                <w:lang w:val="en-US"/>
              </w:rPr>
            </w:pPr>
            <w:r w:rsidRPr="00BD295E">
              <w:rPr>
                <w:rFonts w:ascii="Arial" w:hAnsi="Arial" w:cs="Arial"/>
                <w:b/>
                <w:bCs/>
                <w:sz w:val="18"/>
                <w:szCs w:val="18"/>
                <w:lang w:val="en-US"/>
              </w:rPr>
              <w:t>2016</w:t>
            </w:r>
          </w:p>
        </w:tc>
        <w:tc>
          <w:tcPr>
            <w:tcW w:w="1673" w:type="dxa"/>
            <w:tcBorders>
              <w:top w:val="single" w:sz="8" w:space="0" w:color="auto"/>
              <w:left w:val="nil"/>
              <w:bottom w:val="single" w:sz="4" w:space="0" w:color="auto"/>
              <w:right w:val="single" w:sz="4" w:space="0" w:color="auto"/>
            </w:tcBorders>
            <w:shd w:val="clear" w:color="auto" w:fill="auto"/>
            <w:noWrap/>
            <w:vAlign w:val="bottom"/>
            <w:hideMark/>
          </w:tcPr>
          <w:p w14:paraId="7AF3CCE7" w14:textId="77777777" w:rsidR="00F3260C" w:rsidRPr="00BD295E" w:rsidRDefault="008A5057" w:rsidP="0031297B">
            <w:pPr>
              <w:jc w:val="center"/>
              <w:rPr>
                <w:rFonts w:ascii="Arial" w:hAnsi="Arial" w:cs="Arial"/>
                <w:b/>
                <w:bCs/>
                <w:sz w:val="18"/>
                <w:szCs w:val="18"/>
                <w:lang w:val="en-US"/>
              </w:rPr>
            </w:pPr>
            <w:r w:rsidRPr="00BD295E">
              <w:rPr>
                <w:rFonts w:ascii="Arial" w:hAnsi="Arial" w:cs="Arial"/>
                <w:b/>
                <w:bCs/>
                <w:sz w:val="18"/>
                <w:szCs w:val="18"/>
                <w:lang w:val="en-US"/>
              </w:rPr>
              <w:t>2017</w:t>
            </w:r>
          </w:p>
        </w:tc>
        <w:tc>
          <w:tcPr>
            <w:tcW w:w="1694" w:type="dxa"/>
            <w:tcBorders>
              <w:top w:val="single" w:sz="4" w:space="0" w:color="auto"/>
              <w:left w:val="nil"/>
              <w:bottom w:val="single" w:sz="4" w:space="0" w:color="auto"/>
              <w:right w:val="single" w:sz="4" w:space="0" w:color="auto"/>
            </w:tcBorders>
            <w:shd w:val="clear" w:color="auto" w:fill="auto"/>
            <w:noWrap/>
            <w:vAlign w:val="bottom"/>
            <w:hideMark/>
          </w:tcPr>
          <w:p w14:paraId="7608A5F6" w14:textId="77777777" w:rsidR="00F3260C" w:rsidRPr="00BD295E" w:rsidRDefault="008A5057" w:rsidP="0031297B">
            <w:pPr>
              <w:jc w:val="center"/>
              <w:rPr>
                <w:rFonts w:ascii="Arial" w:hAnsi="Arial" w:cs="Arial"/>
                <w:b/>
                <w:bCs/>
                <w:sz w:val="18"/>
                <w:szCs w:val="18"/>
                <w:lang w:val="en-US"/>
              </w:rPr>
            </w:pPr>
            <w:r w:rsidRPr="00BD295E">
              <w:rPr>
                <w:rFonts w:ascii="Arial" w:hAnsi="Arial" w:cs="Arial"/>
                <w:b/>
                <w:bCs/>
                <w:sz w:val="18"/>
                <w:szCs w:val="18"/>
                <w:lang w:val="en-US"/>
              </w:rPr>
              <w:t>2018</w:t>
            </w:r>
          </w:p>
        </w:tc>
      </w:tr>
      <w:tr w:rsidR="008A5057" w:rsidRPr="00BD295E" w14:paraId="1FAE11DA" w14:textId="77777777" w:rsidTr="0031297B">
        <w:trPr>
          <w:trHeight w:val="293"/>
        </w:trPr>
        <w:tc>
          <w:tcPr>
            <w:tcW w:w="3023"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C410D7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Earnings per share (EPS), RUB</w:t>
            </w:r>
          </w:p>
        </w:tc>
        <w:tc>
          <w:tcPr>
            <w:tcW w:w="1694" w:type="dxa"/>
            <w:tcBorders>
              <w:top w:val="single" w:sz="8" w:space="0" w:color="auto"/>
              <w:left w:val="nil"/>
              <w:bottom w:val="single" w:sz="4" w:space="0" w:color="auto"/>
              <w:right w:val="single" w:sz="4" w:space="0" w:color="auto"/>
            </w:tcBorders>
            <w:shd w:val="clear" w:color="auto" w:fill="auto"/>
            <w:noWrap/>
            <w:vAlign w:val="center"/>
          </w:tcPr>
          <w:p w14:paraId="36AD8350" w14:textId="77777777" w:rsidR="00F3260C"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0.8</w:t>
            </w:r>
          </w:p>
        </w:tc>
        <w:tc>
          <w:tcPr>
            <w:tcW w:w="1673" w:type="dxa"/>
            <w:tcBorders>
              <w:top w:val="single" w:sz="8" w:space="0" w:color="auto"/>
              <w:left w:val="nil"/>
              <w:bottom w:val="single" w:sz="4" w:space="0" w:color="auto"/>
              <w:right w:val="single" w:sz="4" w:space="0" w:color="auto"/>
            </w:tcBorders>
            <w:shd w:val="clear" w:color="auto" w:fill="auto"/>
            <w:noWrap/>
            <w:vAlign w:val="center"/>
          </w:tcPr>
          <w:p w14:paraId="3993770B" w14:textId="77777777" w:rsidR="00F3260C"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1.46</w:t>
            </w:r>
          </w:p>
        </w:tc>
        <w:tc>
          <w:tcPr>
            <w:tcW w:w="1694" w:type="dxa"/>
            <w:tcBorders>
              <w:top w:val="single" w:sz="8" w:space="0" w:color="auto"/>
              <w:left w:val="nil"/>
              <w:bottom w:val="single" w:sz="4" w:space="0" w:color="auto"/>
              <w:right w:val="single" w:sz="4" w:space="0" w:color="auto"/>
            </w:tcBorders>
            <w:shd w:val="clear" w:color="auto" w:fill="auto"/>
            <w:noWrap/>
            <w:vAlign w:val="center"/>
          </w:tcPr>
          <w:p w14:paraId="694AB8CF" w14:textId="77777777" w:rsidR="00F3260C"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1.10</w:t>
            </w:r>
          </w:p>
          <w:p w14:paraId="72A0D8E7" w14:textId="77777777" w:rsidR="00F3260C" w:rsidRPr="00BD295E" w:rsidRDefault="00F3260C" w:rsidP="0031297B">
            <w:pPr>
              <w:jc w:val="center"/>
              <w:rPr>
                <w:rFonts w:ascii="Arial" w:hAnsi="Arial" w:cs="Arial"/>
                <w:sz w:val="18"/>
                <w:szCs w:val="18"/>
                <w:lang w:val="en-US"/>
              </w:rPr>
            </w:pPr>
          </w:p>
        </w:tc>
      </w:tr>
      <w:tr w:rsidR="008A5057" w:rsidRPr="00BD295E" w14:paraId="3CE0D08E" w14:textId="77777777" w:rsidTr="0031297B">
        <w:trPr>
          <w:trHeight w:val="293"/>
        </w:trPr>
        <w:tc>
          <w:tcPr>
            <w:tcW w:w="3023" w:type="dxa"/>
            <w:tcBorders>
              <w:top w:val="nil"/>
              <w:left w:val="single" w:sz="4" w:space="0" w:color="auto"/>
              <w:bottom w:val="single" w:sz="4" w:space="0" w:color="auto"/>
              <w:right w:val="single" w:sz="4" w:space="0" w:color="auto"/>
            </w:tcBorders>
            <w:shd w:val="clear" w:color="auto" w:fill="auto"/>
            <w:noWrap/>
            <w:vAlign w:val="center"/>
            <w:hideMark/>
          </w:tcPr>
          <w:p w14:paraId="73EF9C74"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P/E**</w:t>
            </w:r>
          </w:p>
        </w:tc>
        <w:tc>
          <w:tcPr>
            <w:tcW w:w="1694" w:type="dxa"/>
            <w:tcBorders>
              <w:top w:val="nil"/>
              <w:left w:val="nil"/>
              <w:bottom w:val="single" w:sz="4" w:space="0" w:color="auto"/>
              <w:right w:val="single" w:sz="4" w:space="0" w:color="auto"/>
            </w:tcBorders>
            <w:shd w:val="clear" w:color="auto" w:fill="auto"/>
            <w:noWrap/>
            <w:vAlign w:val="center"/>
          </w:tcPr>
          <w:p w14:paraId="4A51FA30" w14:textId="77777777" w:rsidR="00F3260C"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6.88</w:t>
            </w:r>
          </w:p>
        </w:tc>
        <w:tc>
          <w:tcPr>
            <w:tcW w:w="1673" w:type="dxa"/>
            <w:tcBorders>
              <w:top w:val="nil"/>
              <w:left w:val="nil"/>
              <w:bottom w:val="single" w:sz="4" w:space="0" w:color="auto"/>
              <w:right w:val="single" w:sz="4" w:space="0" w:color="auto"/>
            </w:tcBorders>
            <w:shd w:val="clear" w:color="auto" w:fill="auto"/>
            <w:noWrap/>
            <w:vAlign w:val="center"/>
          </w:tcPr>
          <w:p w14:paraId="45F7DA94" w14:textId="77777777" w:rsidR="00F3260C"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3.30</w:t>
            </w:r>
          </w:p>
        </w:tc>
        <w:tc>
          <w:tcPr>
            <w:tcW w:w="1694" w:type="dxa"/>
            <w:tcBorders>
              <w:top w:val="nil"/>
              <w:left w:val="nil"/>
              <w:bottom w:val="single" w:sz="4" w:space="0" w:color="auto"/>
              <w:right w:val="single" w:sz="4" w:space="0" w:color="auto"/>
            </w:tcBorders>
            <w:shd w:val="clear" w:color="auto" w:fill="auto"/>
            <w:noWrap/>
            <w:vAlign w:val="center"/>
          </w:tcPr>
          <w:p w14:paraId="5089431F" w14:textId="77777777" w:rsidR="00F3260C"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4.81</w:t>
            </w:r>
          </w:p>
        </w:tc>
      </w:tr>
    </w:tbl>
    <w:p w14:paraId="17ADBEB1"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 xml:space="preserve">*Calculated using the following formula: (net profit for the reporting year under RAS – dividends accrued on preference shares for the reporting year (for 2017 – in line with the dividend policy of </w:t>
      </w:r>
      <w:r w:rsidR="00EE5753" w:rsidRPr="00BD295E">
        <w:rPr>
          <w:rFonts w:ascii="Arial" w:hAnsi="Arial" w:cs="Arial"/>
          <w:sz w:val="18"/>
          <w:szCs w:val="18"/>
          <w:lang w:val="en-US"/>
        </w:rPr>
        <w:t>PJSC “Lenenergo”</w:t>
      </w:r>
      <w:r w:rsidRPr="00BD295E">
        <w:rPr>
          <w:rFonts w:ascii="Arial" w:hAnsi="Arial" w:cs="Arial"/>
          <w:sz w:val="18"/>
          <w:szCs w:val="18"/>
          <w:lang w:val="en-US"/>
        </w:rPr>
        <w:t>))/outstanding ordinary shares).</w:t>
      </w:r>
    </w:p>
    <w:p w14:paraId="7F793D60" w14:textId="77777777" w:rsidR="00F3260C" w:rsidRPr="00BD295E" w:rsidRDefault="008A5057" w:rsidP="00F3260C">
      <w:pPr>
        <w:rPr>
          <w:rFonts w:ascii="Arial" w:hAnsi="Arial" w:cs="Arial"/>
          <w:sz w:val="18"/>
          <w:szCs w:val="18"/>
          <w:lang w:val="en-US"/>
        </w:rPr>
      </w:pPr>
      <w:r w:rsidRPr="00BD295E">
        <w:rPr>
          <w:rFonts w:ascii="Arial" w:hAnsi="Arial" w:cs="Arial"/>
          <w:sz w:val="18"/>
          <w:szCs w:val="18"/>
          <w:lang w:val="en-US"/>
        </w:rPr>
        <w:t>**Calculated using the following formula: weighted average cost per ordinary share at the end of the reporting year / earnings per share.</w:t>
      </w:r>
    </w:p>
    <w:p w14:paraId="69348B1A" w14:textId="77777777" w:rsidR="00F3260C" w:rsidRPr="00BD295E" w:rsidRDefault="00F3260C" w:rsidP="00F3260C">
      <w:pPr>
        <w:rPr>
          <w:rFonts w:ascii="Arial" w:hAnsi="Arial" w:cs="Arial"/>
          <w:b/>
          <w:sz w:val="18"/>
          <w:szCs w:val="18"/>
          <w:lang w:val="en-US"/>
        </w:rPr>
      </w:pPr>
    </w:p>
    <w:p w14:paraId="1FC94EC5"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 xml:space="preserve">Key events that, in the Company’s opinion, may have influenced the share price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7"/>
        <w:gridCol w:w="4678"/>
      </w:tblGrid>
      <w:tr w:rsidR="008A5057" w:rsidRPr="00BD295E" w14:paraId="458467A2" w14:textId="77777777" w:rsidTr="00E3510B">
        <w:tc>
          <w:tcPr>
            <w:tcW w:w="4785" w:type="dxa"/>
            <w:shd w:val="clear" w:color="auto" w:fill="auto"/>
          </w:tcPr>
          <w:p w14:paraId="08DFABBE"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Date</w:t>
            </w:r>
          </w:p>
        </w:tc>
        <w:tc>
          <w:tcPr>
            <w:tcW w:w="4786" w:type="dxa"/>
            <w:shd w:val="clear" w:color="auto" w:fill="auto"/>
          </w:tcPr>
          <w:p w14:paraId="07CC5924"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Event</w:t>
            </w:r>
          </w:p>
        </w:tc>
      </w:tr>
      <w:tr w:rsidR="008A5057" w:rsidRPr="00BD295E" w14:paraId="16D78F5C" w14:textId="77777777" w:rsidTr="00E3510B">
        <w:tc>
          <w:tcPr>
            <w:tcW w:w="4785" w:type="dxa"/>
            <w:shd w:val="clear" w:color="auto" w:fill="auto"/>
          </w:tcPr>
          <w:p w14:paraId="03889C7B"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February 5, 2018</w:t>
            </w:r>
          </w:p>
        </w:tc>
        <w:tc>
          <w:tcPr>
            <w:tcW w:w="4786" w:type="dxa"/>
            <w:shd w:val="clear" w:color="auto" w:fill="auto"/>
          </w:tcPr>
          <w:p w14:paraId="2AE7BA01"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 xml:space="preserve">An Extraordinary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held, at which a new composition of the Board of Directors was elected</w:t>
            </w:r>
          </w:p>
        </w:tc>
      </w:tr>
      <w:tr w:rsidR="008A5057" w:rsidRPr="00BD295E" w14:paraId="2623CEEA" w14:textId="77777777" w:rsidTr="00E3510B">
        <w:tc>
          <w:tcPr>
            <w:tcW w:w="4785" w:type="dxa"/>
            <w:shd w:val="clear" w:color="auto" w:fill="auto"/>
          </w:tcPr>
          <w:p w14:paraId="66A36B7A"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February 26, 2018</w:t>
            </w:r>
          </w:p>
        </w:tc>
        <w:tc>
          <w:tcPr>
            <w:tcW w:w="4786" w:type="dxa"/>
            <w:shd w:val="clear" w:color="auto" w:fill="auto"/>
          </w:tcPr>
          <w:p w14:paraId="265F03DC" w14:textId="77777777" w:rsidR="00F3260C" w:rsidRPr="00BD295E" w:rsidRDefault="00EE5753" w:rsidP="00E3510B">
            <w:pPr>
              <w:keepNext/>
              <w:keepLines/>
              <w:outlineLvl w:val="3"/>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published its RAS Financial Statements for 2017</w:t>
            </w:r>
          </w:p>
        </w:tc>
      </w:tr>
      <w:tr w:rsidR="008A5057" w:rsidRPr="00BD295E" w14:paraId="2D9A0975" w14:textId="77777777" w:rsidTr="00E3510B">
        <w:tc>
          <w:tcPr>
            <w:tcW w:w="4785" w:type="dxa"/>
            <w:shd w:val="clear" w:color="auto" w:fill="auto"/>
          </w:tcPr>
          <w:p w14:paraId="46C59F21"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March 19, 2018</w:t>
            </w:r>
          </w:p>
        </w:tc>
        <w:tc>
          <w:tcPr>
            <w:tcW w:w="4786" w:type="dxa"/>
            <w:shd w:val="clear" w:color="auto" w:fill="auto"/>
          </w:tcPr>
          <w:p w14:paraId="267690B4" w14:textId="77777777" w:rsidR="00F3260C" w:rsidRPr="00BD295E" w:rsidRDefault="00EE5753" w:rsidP="00E3510B">
            <w:pPr>
              <w:keepNext/>
              <w:keepLines/>
              <w:outlineLvl w:val="3"/>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published its IFRS Financial Statements for 2017</w:t>
            </w:r>
          </w:p>
        </w:tc>
      </w:tr>
      <w:tr w:rsidR="008A5057" w:rsidRPr="00BD295E" w14:paraId="04CB3E01" w14:textId="77777777" w:rsidTr="00E3510B">
        <w:tc>
          <w:tcPr>
            <w:tcW w:w="4785" w:type="dxa"/>
            <w:shd w:val="clear" w:color="auto" w:fill="auto"/>
          </w:tcPr>
          <w:p w14:paraId="09698C99"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May 8, 2018</w:t>
            </w:r>
          </w:p>
        </w:tc>
        <w:tc>
          <w:tcPr>
            <w:tcW w:w="4786" w:type="dxa"/>
            <w:shd w:val="clear" w:color="auto" w:fill="auto"/>
          </w:tcPr>
          <w:p w14:paraId="31437AD0" w14:textId="77777777" w:rsidR="00F3260C" w:rsidRPr="00BD295E" w:rsidRDefault="00EE5753" w:rsidP="00E3510B">
            <w:pPr>
              <w:keepNext/>
              <w:keepLines/>
              <w:outlineLvl w:val="3"/>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published its RAS Financial Statements for Q1 2018</w:t>
            </w:r>
          </w:p>
        </w:tc>
      </w:tr>
      <w:tr w:rsidR="008A5057" w:rsidRPr="00BD295E" w14:paraId="4A4533E0" w14:textId="77777777" w:rsidTr="00E3510B">
        <w:tc>
          <w:tcPr>
            <w:tcW w:w="4785" w:type="dxa"/>
            <w:shd w:val="clear" w:color="auto" w:fill="auto"/>
          </w:tcPr>
          <w:p w14:paraId="041667EF"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May 30, 2018</w:t>
            </w:r>
          </w:p>
        </w:tc>
        <w:tc>
          <w:tcPr>
            <w:tcW w:w="4786" w:type="dxa"/>
            <w:shd w:val="clear" w:color="auto" w:fill="auto"/>
          </w:tcPr>
          <w:p w14:paraId="6A9DFECF" w14:textId="77777777" w:rsidR="00F3260C" w:rsidRPr="00BD295E" w:rsidRDefault="00EE5753" w:rsidP="00E3510B">
            <w:pPr>
              <w:keepNext/>
              <w:keepLines/>
              <w:outlineLvl w:val="3"/>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published its IFRS Financial Statements for 3M 2018</w:t>
            </w:r>
          </w:p>
        </w:tc>
      </w:tr>
      <w:tr w:rsidR="008A5057" w:rsidRPr="00BD295E" w14:paraId="5ABACCF1" w14:textId="77777777" w:rsidTr="00E3510B">
        <w:tc>
          <w:tcPr>
            <w:tcW w:w="4785" w:type="dxa"/>
            <w:shd w:val="clear" w:color="auto" w:fill="auto"/>
          </w:tcPr>
          <w:p w14:paraId="5BE3E8B2"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May 7, 2018</w:t>
            </w:r>
          </w:p>
        </w:tc>
        <w:tc>
          <w:tcPr>
            <w:tcW w:w="4786" w:type="dxa"/>
            <w:shd w:val="clear" w:color="auto" w:fill="auto"/>
          </w:tcPr>
          <w:p w14:paraId="5162EA13"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 xml:space="preserve">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recommended that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adopt a resolution on the payment of dividends for FY2017 on ordinary and preference shares</w:t>
            </w:r>
          </w:p>
        </w:tc>
      </w:tr>
      <w:tr w:rsidR="008A5057" w:rsidRPr="00BD295E" w14:paraId="02EA64CF" w14:textId="77777777" w:rsidTr="00E3510B">
        <w:tc>
          <w:tcPr>
            <w:tcW w:w="4785" w:type="dxa"/>
            <w:shd w:val="clear" w:color="auto" w:fill="auto"/>
          </w:tcPr>
          <w:p w14:paraId="4B5524EC"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June 8, 2018</w:t>
            </w:r>
          </w:p>
        </w:tc>
        <w:tc>
          <w:tcPr>
            <w:tcW w:w="4786" w:type="dxa"/>
            <w:shd w:val="clear" w:color="auto" w:fill="auto"/>
          </w:tcPr>
          <w:p w14:paraId="1C7656BD"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 xml:space="preserve">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decided to pay out dividends for 2017. </w:t>
            </w:r>
          </w:p>
        </w:tc>
      </w:tr>
      <w:tr w:rsidR="008A5057" w:rsidRPr="00BD295E" w14:paraId="54CD97B1" w14:textId="77777777" w:rsidTr="00E3510B">
        <w:tc>
          <w:tcPr>
            <w:tcW w:w="4785" w:type="dxa"/>
            <w:shd w:val="clear" w:color="auto" w:fill="auto"/>
          </w:tcPr>
          <w:p w14:paraId="752A0BFF"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July 27, 2018</w:t>
            </w:r>
          </w:p>
        </w:tc>
        <w:tc>
          <w:tcPr>
            <w:tcW w:w="4786" w:type="dxa"/>
            <w:shd w:val="clear" w:color="auto" w:fill="auto"/>
          </w:tcPr>
          <w:p w14:paraId="691B3BAF" w14:textId="77777777" w:rsidR="00F3260C" w:rsidRPr="00BD295E" w:rsidRDefault="00EE5753" w:rsidP="00E3510B">
            <w:pPr>
              <w:keepNext/>
              <w:keepLines/>
              <w:outlineLvl w:val="3"/>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published its RAS Financial Statements for 6M 2018</w:t>
            </w:r>
          </w:p>
        </w:tc>
      </w:tr>
      <w:tr w:rsidR="008A5057" w:rsidRPr="00BD295E" w14:paraId="2A1A9155" w14:textId="77777777" w:rsidTr="00E3510B">
        <w:tc>
          <w:tcPr>
            <w:tcW w:w="4785" w:type="dxa"/>
            <w:shd w:val="clear" w:color="auto" w:fill="auto"/>
          </w:tcPr>
          <w:p w14:paraId="6E414973"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August 29, 2018</w:t>
            </w:r>
          </w:p>
        </w:tc>
        <w:tc>
          <w:tcPr>
            <w:tcW w:w="4786" w:type="dxa"/>
            <w:shd w:val="clear" w:color="auto" w:fill="auto"/>
          </w:tcPr>
          <w:p w14:paraId="59ABAD0C" w14:textId="77777777" w:rsidR="00F3260C" w:rsidRPr="00BD295E" w:rsidRDefault="00EE5753" w:rsidP="00E3510B">
            <w:pPr>
              <w:keepNext/>
              <w:keepLines/>
              <w:outlineLvl w:val="3"/>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published its IFRS Financial Statements for 6M 2018</w:t>
            </w:r>
          </w:p>
        </w:tc>
      </w:tr>
      <w:tr w:rsidR="008A5057" w:rsidRPr="00BD295E" w14:paraId="353E60AB" w14:textId="77777777" w:rsidTr="00E3510B">
        <w:tc>
          <w:tcPr>
            <w:tcW w:w="4785" w:type="dxa"/>
            <w:shd w:val="clear" w:color="auto" w:fill="auto"/>
          </w:tcPr>
          <w:p w14:paraId="584639E7"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October 31, 2018</w:t>
            </w:r>
          </w:p>
        </w:tc>
        <w:tc>
          <w:tcPr>
            <w:tcW w:w="4786" w:type="dxa"/>
            <w:shd w:val="clear" w:color="auto" w:fill="auto"/>
          </w:tcPr>
          <w:p w14:paraId="19282C76" w14:textId="77777777" w:rsidR="00F3260C" w:rsidRPr="00BD295E" w:rsidRDefault="00EE5753" w:rsidP="00E3510B">
            <w:pPr>
              <w:keepNext/>
              <w:keepLines/>
              <w:outlineLvl w:val="3"/>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published its RAS Financial Statements for 9M 2018</w:t>
            </w:r>
          </w:p>
        </w:tc>
      </w:tr>
      <w:tr w:rsidR="008A5057" w:rsidRPr="00BD295E" w14:paraId="62DF899A" w14:textId="77777777" w:rsidTr="00E3510B">
        <w:tc>
          <w:tcPr>
            <w:tcW w:w="4785" w:type="dxa"/>
            <w:shd w:val="clear" w:color="auto" w:fill="auto"/>
          </w:tcPr>
          <w:p w14:paraId="350F43A2" w14:textId="77777777" w:rsidR="00F3260C" w:rsidRPr="00BD295E" w:rsidRDefault="008A5057" w:rsidP="00E3510B">
            <w:pPr>
              <w:keepNext/>
              <w:keepLines/>
              <w:outlineLvl w:val="3"/>
              <w:rPr>
                <w:rFonts w:ascii="Arial" w:hAnsi="Arial" w:cs="Arial"/>
                <w:sz w:val="18"/>
                <w:szCs w:val="18"/>
                <w:lang w:val="en-US"/>
              </w:rPr>
            </w:pPr>
            <w:r w:rsidRPr="00BD295E">
              <w:rPr>
                <w:rFonts w:ascii="Arial" w:hAnsi="Arial" w:cs="Arial"/>
                <w:sz w:val="18"/>
                <w:szCs w:val="18"/>
                <w:lang w:val="en-US"/>
              </w:rPr>
              <w:t>November 22, 2018</w:t>
            </w:r>
          </w:p>
        </w:tc>
        <w:tc>
          <w:tcPr>
            <w:tcW w:w="4786" w:type="dxa"/>
            <w:shd w:val="clear" w:color="auto" w:fill="auto"/>
          </w:tcPr>
          <w:p w14:paraId="25A26A94" w14:textId="77777777" w:rsidR="00F3260C" w:rsidRPr="00BD295E" w:rsidRDefault="00EE5753" w:rsidP="00E3510B">
            <w:pPr>
              <w:keepNext/>
              <w:keepLines/>
              <w:outlineLvl w:val="3"/>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published its IFRS Financial Statements for 9M 2018</w:t>
            </w:r>
          </w:p>
        </w:tc>
      </w:tr>
    </w:tbl>
    <w:p w14:paraId="34AED0FB" w14:textId="78B1830D" w:rsidR="00F973B6" w:rsidRPr="00BD295E" w:rsidRDefault="00F973B6" w:rsidP="00F3260C">
      <w:pPr>
        <w:rPr>
          <w:rFonts w:ascii="Arial" w:hAnsi="Arial" w:cs="Arial"/>
          <w:b/>
          <w:sz w:val="18"/>
          <w:szCs w:val="18"/>
          <w:lang w:val="en-US"/>
        </w:rPr>
      </w:pPr>
    </w:p>
    <w:p w14:paraId="4CFD7339" w14:textId="77777777" w:rsidR="00F973B6" w:rsidRPr="00BD295E" w:rsidRDefault="00F973B6">
      <w:pPr>
        <w:rPr>
          <w:rFonts w:ascii="Arial" w:hAnsi="Arial" w:cs="Arial"/>
          <w:b/>
          <w:sz w:val="18"/>
          <w:szCs w:val="18"/>
          <w:lang w:val="en-US"/>
        </w:rPr>
      </w:pPr>
      <w:r w:rsidRPr="00BD295E">
        <w:rPr>
          <w:rFonts w:ascii="Arial" w:hAnsi="Arial" w:cs="Arial"/>
          <w:b/>
          <w:sz w:val="18"/>
          <w:szCs w:val="18"/>
          <w:lang w:val="en-US"/>
        </w:rPr>
        <w:br w:type="page"/>
      </w:r>
    </w:p>
    <w:p w14:paraId="31940693"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Price performance and trading in ordinary shares on the Moscow Exchange in 2018</w:t>
      </w:r>
    </w:p>
    <w:p w14:paraId="16CD03A1" w14:textId="77777777" w:rsidR="00F3260C" w:rsidRPr="00BD295E" w:rsidRDefault="00F3260C" w:rsidP="00F3260C">
      <w:pPr>
        <w:spacing w:before="120" w:after="120"/>
        <w:rPr>
          <w:rFonts w:ascii="Arial" w:hAnsi="Arial" w:cs="Arial"/>
          <w:sz w:val="18"/>
          <w:szCs w:val="18"/>
          <w:lang w:val="en-US"/>
        </w:rPr>
      </w:pPr>
    </w:p>
    <w:p w14:paraId="5211033D" w14:textId="7F2D9A57" w:rsidR="00F3260C" w:rsidRPr="00BD295E" w:rsidRDefault="00DC4B7A" w:rsidP="00F3260C">
      <w:pPr>
        <w:spacing w:before="120" w:after="120"/>
        <w:rPr>
          <w:rFonts w:ascii="Arial" w:hAnsi="Arial" w:cs="Arial"/>
          <w:sz w:val="18"/>
          <w:szCs w:val="18"/>
          <w:lang w:val="en-US"/>
        </w:rPr>
      </w:pPr>
      <w:bookmarkStart w:id="446" w:name="_Hlk95940165"/>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65952" behindDoc="0" locked="0" layoutInCell="1" allowOverlap="1" wp14:anchorId="13870181" wp14:editId="3AB9A7CD">
                <wp:simplePos x="0" y="0"/>
                <wp:positionH relativeFrom="column">
                  <wp:posOffset>2628100</wp:posOffset>
                </wp:positionH>
                <wp:positionV relativeFrom="paragraph">
                  <wp:posOffset>2277919</wp:posOffset>
                </wp:positionV>
                <wp:extent cx="1667960" cy="223387"/>
                <wp:effectExtent l="0" t="0" r="8890" b="5715"/>
                <wp:wrapNone/>
                <wp:docPr id="5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7960" cy="223387"/>
                        </a:xfrm>
                        <a:prstGeom prst="rect">
                          <a:avLst/>
                        </a:prstGeom>
                        <a:solidFill>
                          <a:schemeClr val="bg1"/>
                        </a:solidFill>
                        <a:ln w="9525">
                          <a:noFill/>
                          <a:miter lim="800000"/>
                          <a:headEnd/>
                          <a:tailEnd/>
                        </a:ln>
                      </wps:spPr>
                      <wps:txbx>
                        <w:txbxContent>
                          <w:p w14:paraId="4B86A368" w14:textId="771411AD" w:rsidR="002C3947" w:rsidRPr="00CC44B5" w:rsidRDefault="002C3947" w:rsidP="00DC4B7A">
                            <w:pPr>
                              <w:rPr>
                                <w:rFonts w:ascii="Arial" w:hAnsi="Arial" w:cs="Arial"/>
                                <w:sz w:val="16"/>
                              </w:rPr>
                            </w:pPr>
                            <w:r w:rsidRPr="00DC4B7A">
                              <w:rPr>
                                <w:rFonts w:ascii="Arial" w:hAnsi="Arial" w:cs="Arial"/>
                                <w:sz w:val="18"/>
                                <w:szCs w:val="18"/>
                                <w:lang w:val="en-US"/>
                              </w:rPr>
                              <w:t>Ordinary shares, RUB</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3870181" id="_x0000_s1209" type="#_x0000_t202" style="position:absolute;margin-left:206.95pt;margin-top:179.35pt;width:131.35pt;height:17.6pt;z-index:25196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" fillcolor="white [3212]" stroked="f">
                <v:textbox inset="0,0,0,0">
                  <w:txbxContent>
                    <w:p w14:paraId="4B86A368" w14:textId="771411AD" w:rsidR="002C3947" w:rsidRPr="00CC44B5" w:rsidRDefault="002C3947" w:rsidP="00DC4B7A">
                      <w:pPr>
                        <w:rPr>
                          <w:rFonts w:ascii="Arial" w:hAnsi="Arial" w:cs="Arial"/>
                          <w:sz w:val="16"/>
                        </w:rPr>
                      </w:pPr>
                      <w:r w:rsidRPr="00DC4B7A">
                        <w:rPr>
                          <w:rFonts w:ascii="Arial" w:hAnsi="Arial" w:cs="Arial"/>
                          <w:sz w:val="18"/>
                          <w:szCs w:val="18"/>
                          <w:lang w:val="en-US"/>
                        </w:rPr>
                        <w:t>Ordinary shares, RUB</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63904" behindDoc="0" locked="0" layoutInCell="1" allowOverlap="1" wp14:anchorId="705B21B9" wp14:editId="1710A5E9">
                <wp:simplePos x="0" y="0"/>
                <wp:positionH relativeFrom="column">
                  <wp:posOffset>889439</wp:posOffset>
                </wp:positionH>
                <wp:positionV relativeFrom="paragraph">
                  <wp:posOffset>2271395</wp:posOffset>
                </wp:positionV>
                <wp:extent cx="1385003" cy="223387"/>
                <wp:effectExtent l="0" t="0" r="5715" b="5715"/>
                <wp:wrapNone/>
                <wp:docPr id="5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003" cy="223387"/>
                        </a:xfrm>
                        <a:prstGeom prst="rect">
                          <a:avLst/>
                        </a:prstGeom>
                        <a:solidFill>
                          <a:schemeClr val="bg1"/>
                        </a:solidFill>
                        <a:ln w="9525">
                          <a:noFill/>
                          <a:miter lim="800000"/>
                          <a:headEnd/>
                          <a:tailEnd/>
                        </a:ln>
                      </wps:spPr>
                      <wps:txbx>
                        <w:txbxContent>
                          <w:p w14:paraId="1043807B" w14:textId="72386ADB" w:rsidR="002C3947" w:rsidRPr="00CC44B5" w:rsidRDefault="002C3947">
                            <w:pPr>
                              <w:rPr>
                                <w:rFonts w:ascii="Arial" w:hAnsi="Arial" w:cs="Arial"/>
                                <w:sz w:val="16"/>
                              </w:rPr>
                            </w:pPr>
                            <w:r w:rsidRPr="0052069E">
                              <w:rPr>
                                <w:rFonts w:ascii="Arial" w:hAnsi="Arial" w:cs="Arial"/>
                                <w:sz w:val="18"/>
                                <w:szCs w:val="18"/>
                                <w:lang w:val="en-US"/>
                              </w:rPr>
                              <w:t>Trading volume, RUB</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5B21B9" id="_x0000_s1210" type="#_x0000_t202" style="position:absolute;margin-left:70.05pt;margin-top:178.85pt;width:109.05pt;height:17.6pt;z-index:25196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" fillcolor="white [3212]" stroked="f">
                <v:textbox inset="0,0,0,0">
                  <w:txbxContent>
                    <w:p w14:paraId="1043807B" w14:textId="72386ADB" w:rsidR="002C3947" w:rsidRPr="00CC44B5" w:rsidRDefault="002C3947">
                      <w:pPr>
                        <w:rPr>
                          <w:rFonts w:ascii="Arial" w:hAnsi="Arial" w:cs="Arial"/>
                          <w:sz w:val="16"/>
                        </w:rPr>
                      </w:pPr>
                      <w:r w:rsidRPr="0052069E">
                        <w:rPr>
                          <w:rFonts w:ascii="Arial" w:hAnsi="Arial" w:cs="Arial"/>
                          <w:sz w:val="18"/>
                          <w:szCs w:val="18"/>
                          <w:lang w:val="en-US"/>
                        </w:rPr>
                        <w:t>Trading volume, RUB</w:t>
                      </w:r>
                    </w:p>
                  </w:txbxContent>
                </v:textbox>
              </v:shape>
            </w:pict>
          </mc:Fallback>
        </mc:AlternateContent>
      </w:r>
      <w:r w:rsidR="00997D07" w:rsidRPr="00BD295E">
        <w:rPr>
          <w:rFonts w:ascii="Arial" w:hAnsi="Arial" w:cs="Arial"/>
          <w:sz w:val="18"/>
          <w:szCs w:val="18"/>
          <w:lang w:val="en-US" w:eastAsia="en-US"/>
        </w:rPr>
        <w:drawing>
          <wp:inline distT="0" distB="0" distL="0" distR="0" wp14:anchorId="619B5AB1" wp14:editId="633302A5">
            <wp:extent cx="4895850" cy="2586355"/>
            <wp:effectExtent l="0" t="0" r="0" b="0"/>
            <wp:docPr id="89" name="Диаграмма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6"/>
                    <pic:cNvPicPr>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95850" cy="2586355"/>
                    </a:xfrm>
                    <a:prstGeom prst="rect">
                      <a:avLst/>
                    </a:prstGeom>
                    <a:noFill/>
                    <a:ln>
                      <a:noFill/>
                    </a:ln>
                  </pic:spPr>
                </pic:pic>
              </a:graphicData>
            </a:graphic>
          </wp:inline>
        </w:drawing>
      </w:r>
      <w:bookmarkEnd w:id="446"/>
    </w:p>
    <w:p w14:paraId="6219AF53" w14:textId="0A259293" w:rsidR="00F3260C" w:rsidRPr="00BD295E" w:rsidRDefault="00F3260C" w:rsidP="00F3260C">
      <w:pPr>
        <w:spacing w:before="120" w:after="120"/>
        <w:rPr>
          <w:rFonts w:ascii="Arial" w:hAnsi="Arial" w:cs="Arial"/>
          <w:sz w:val="18"/>
          <w:szCs w:val="18"/>
          <w:lang w:val="en-US"/>
        </w:rPr>
      </w:pPr>
    </w:p>
    <w:p w14:paraId="0E67E28A" w14:textId="49F14D08" w:rsidR="00F3260C" w:rsidRPr="00BD295E" w:rsidRDefault="008A5057" w:rsidP="00DC4B7A">
      <w:pPr>
        <w:keepNext/>
        <w:rPr>
          <w:rFonts w:ascii="Arial" w:hAnsi="Arial" w:cs="Arial"/>
          <w:b/>
          <w:sz w:val="18"/>
          <w:szCs w:val="18"/>
          <w:lang w:val="en-US"/>
        </w:rPr>
      </w:pPr>
      <w:r w:rsidRPr="00BD295E">
        <w:rPr>
          <w:rFonts w:ascii="Arial" w:hAnsi="Arial" w:cs="Arial"/>
          <w:b/>
          <w:sz w:val="18"/>
          <w:szCs w:val="18"/>
          <w:lang w:val="en-US"/>
        </w:rPr>
        <w:t>Price performance and trading in preference shares on the Moscow Exchange in 2018</w:t>
      </w:r>
    </w:p>
    <w:p w14:paraId="0B653237" w14:textId="40B16094" w:rsidR="00F3260C" w:rsidRPr="00BD295E" w:rsidRDefault="00DC4B7A" w:rsidP="00F3260C">
      <w:pPr>
        <w:rPr>
          <w:rFonts w:ascii="Arial" w:hAnsi="Arial" w:cs="Arial"/>
          <w:b/>
          <w:sz w:val="18"/>
          <w:szCs w:val="18"/>
          <w:lang w:val="en-US"/>
        </w:rPr>
      </w:pPr>
      <w:bookmarkStart w:id="447" w:name="_Hlk95940170"/>
      <w:r w:rsidRPr="00BD295E">
        <w:rPr>
          <w:rFonts w:ascii="Arial" w:hAnsi="Arial" w:cs="Arial"/>
          <w:b/>
          <w:sz w:val="18"/>
          <w:szCs w:val="18"/>
          <w:lang w:val="en-US" w:eastAsia="en-US"/>
        </w:rPr>
        <mc:AlternateContent>
          <mc:Choice Requires="wps">
            <w:drawing>
              <wp:anchor distT="45720" distB="45720" distL="114300" distR="114300" simplePos="0" relativeHeight="251968000" behindDoc="0" locked="0" layoutInCell="1" allowOverlap="1" wp14:anchorId="68DB1193" wp14:editId="4DD2B1AA">
                <wp:simplePos x="0" y="0"/>
                <wp:positionH relativeFrom="column">
                  <wp:posOffset>936383</wp:posOffset>
                </wp:positionH>
                <wp:positionV relativeFrom="paragraph">
                  <wp:posOffset>2313305</wp:posOffset>
                </wp:positionV>
                <wp:extent cx="1384935" cy="222885"/>
                <wp:effectExtent l="0" t="0" r="5715" b="5715"/>
                <wp:wrapNone/>
                <wp:docPr id="5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935" cy="222885"/>
                        </a:xfrm>
                        <a:prstGeom prst="rect">
                          <a:avLst/>
                        </a:prstGeom>
                        <a:solidFill>
                          <a:schemeClr val="bg1"/>
                        </a:solidFill>
                        <a:ln w="9525">
                          <a:noFill/>
                          <a:miter lim="800000"/>
                          <a:headEnd/>
                          <a:tailEnd/>
                        </a:ln>
                      </wps:spPr>
                      <wps:txbx>
                        <w:txbxContent>
                          <w:p w14:paraId="1C134962" w14:textId="77777777" w:rsidR="002C3947" w:rsidRPr="00CC44B5" w:rsidRDefault="002C3947" w:rsidP="00DC4B7A">
                            <w:pPr>
                              <w:rPr>
                                <w:rFonts w:ascii="Arial" w:hAnsi="Arial" w:cs="Arial"/>
                                <w:sz w:val="16"/>
                              </w:rPr>
                            </w:pPr>
                            <w:r w:rsidRPr="0052069E">
                              <w:rPr>
                                <w:rFonts w:ascii="Arial" w:hAnsi="Arial" w:cs="Arial"/>
                                <w:sz w:val="18"/>
                                <w:szCs w:val="18"/>
                                <w:lang w:val="en-US"/>
                              </w:rPr>
                              <w:t>Trading volume, RUB</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DB1193" id="_x0000_s1211" type="#_x0000_t202" style="position:absolute;margin-left:73.75pt;margin-top:182.15pt;width:109.05pt;height:17.55pt;z-index:25196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" fillcolor="white [3212]" stroked="f">
                <v:textbox inset="0,0,0,0">
                  <w:txbxContent>
                    <w:p w14:paraId="1C134962" w14:textId="77777777" w:rsidR="002C3947" w:rsidRPr="00CC44B5" w:rsidRDefault="002C3947" w:rsidP="00DC4B7A">
                      <w:pPr>
                        <w:rPr>
                          <w:rFonts w:ascii="Arial" w:hAnsi="Arial" w:cs="Arial"/>
                          <w:sz w:val="16"/>
                        </w:rPr>
                      </w:pPr>
                      <w:r w:rsidRPr="0052069E">
                        <w:rPr>
                          <w:rFonts w:ascii="Arial" w:hAnsi="Arial" w:cs="Arial"/>
                          <w:sz w:val="18"/>
                          <w:szCs w:val="18"/>
                          <w:lang w:val="en-US"/>
                        </w:rPr>
                        <w:t>Trading volume, RUB</w:t>
                      </w:r>
                    </w:p>
                  </w:txbxContent>
                </v:textbox>
              </v:shape>
            </w:pict>
          </mc:Fallback>
        </mc:AlternateContent>
      </w:r>
      <w:r w:rsidRPr="00BD295E">
        <w:rPr>
          <w:rFonts w:ascii="Arial" w:hAnsi="Arial" w:cs="Arial"/>
          <w:b/>
          <w:sz w:val="18"/>
          <w:szCs w:val="18"/>
          <w:lang w:val="en-US" w:eastAsia="en-US"/>
        </w:rPr>
        <mc:AlternateContent>
          <mc:Choice Requires="wps">
            <w:drawing>
              <wp:anchor distT="45720" distB="45720" distL="114300" distR="114300" simplePos="0" relativeHeight="251969024" behindDoc="0" locked="0" layoutInCell="1" allowOverlap="1" wp14:anchorId="65951116" wp14:editId="6FD2D59F">
                <wp:simplePos x="0" y="0"/>
                <wp:positionH relativeFrom="column">
                  <wp:posOffset>2709303</wp:posOffset>
                </wp:positionH>
                <wp:positionV relativeFrom="paragraph">
                  <wp:posOffset>2310765</wp:posOffset>
                </wp:positionV>
                <wp:extent cx="1667510" cy="222885"/>
                <wp:effectExtent l="0" t="0" r="8890" b="5715"/>
                <wp:wrapNone/>
                <wp:docPr id="5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7510" cy="222885"/>
                        </a:xfrm>
                        <a:prstGeom prst="rect">
                          <a:avLst/>
                        </a:prstGeom>
                        <a:solidFill>
                          <a:schemeClr val="bg1"/>
                        </a:solidFill>
                        <a:ln w="9525">
                          <a:noFill/>
                          <a:miter lim="800000"/>
                          <a:headEnd/>
                          <a:tailEnd/>
                        </a:ln>
                      </wps:spPr>
                      <wps:txbx>
                        <w:txbxContent>
                          <w:p w14:paraId="4852E42C" w14:textId="51909E58" w:rsidR="002C3947" w:rsidRPr="00CC44B5" w:rsidRDefault="002C3947" w:rsidP="00DC4B7A">
                            <w:pPr>
                              <w:rPr>
                                <w:rFonts w:ascii="Arial" w:hAnsi="Arial" w:cs="Arial"/>
                                <w:sz w:val="16"/>
                              </w:rPr>
                            </w:pPr>
                            <w:r w:rsidRPr="00DC4B7A">
                              <w:rPr>
                                <w:rFonts w:ascii="Arial" w:hAnsi="Arial" w:cs="Arial"/>
                                <w:sz w:val="18"/>
                                <w:szCs w:val="18"/>
                                <w:lang w:val="en-US"/>
                              </w:rPr>
                              <w:t>Preference shares, RUB</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951116" id="_x0000_s1212" type="#_x0000_t202" style="position:absolute;margin-left:213.35pt;margin-top:181.95pt;width:131.3pt;height:17.55pt;z-index:25196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" fillcolor="white [3212]" stroked="f">
                <v:textbox inset="0,0,0,0">
                  <w:txbxContent>
                    <w:p w14:paraId="4852E42C" w14:textId="51909E58" w:rsidR="002C3947" w:rsidRPr="00CC44B5" w:rsidRDefault="002C3947" w:rsidP="00DC4B7A">
                      <w:pPr>
                        <w:rPr>
                          <w:rFonts w:ascii="Arial" w:hAnsi="Arial" w:cs="Arial"/>
                          <w:sz w:val="16"/>
                        </w:rPr>
                      </w:pPr>
                      <w:r w:rsidRPr="00DC4B7A">
                        <w:rPr>
                          <w:rFonts w:ascii="Arial" w:hAnsi="Arial" w:cs="Arial"/>
                          <w:sz w:val="18"/>
                          <w:szCs w:val="18"/>
                          <w:lang w:val="en-US"/>
                        </w:rPr>
                        <w:t>Preference shares, RUB</w:t>
                      </w:r>
                    </w:p>
                  </w:txbxContent>
                </v:textbox>
              </v:shape>
            </w:pict>
          </mc:Fallback>
        </mc:AlternateContent>
      </w:r>
      <w:r w:rsidR="00997D07" w:rsidRPr="00BD295E">
        <w:rPr>
          <w:rFonts w:ascii="Arial" w:hAnsi="Arial" w:cs="Arial"/>
          <w:sz w:val="18"/>
          <w:szCs w:val="18"/>
          <w:lang w:val="en-US" w:eastAsia="en-US"/>
        </w:rPr>
        <w:drawing>
          <wp:inline distT="0" distB="0" distL="0" distR="0" wp14:anchorId="1FF3125E" wp14:editId="233D3EC0">
            <wp:extent cx="5262880" cy="2614930"/>
            <wp:effectExtent l="0" t="0" r="0" b="0"/>
            <wp:docPr id="90" name="Диаграмма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1"/>
                    <pic:cNvPicPr>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62880" cy="2614930"/>
                    </a:xfrm>
                    <a:prstGeom prst="rect">
                      <a:avLst/>
                    </a:prstGeom>
                    <a:noFill/>
                    <a:ln>
                      <a:noFill/>
                    </a:ln>
                  </pic:spPr>
                </pic:pic>
              </a:graphicData>
            </a:graphic>
          </wp:inline>
        </w:drawing>
      </w:r>
      <w:bookmarkEnd w:id="447"/>
    </w:p>
    <w:p w14:paraId="44442B91" w14:textId="0109D8F4" w:rsidR="00F973B6" w:rsidRPr="00BD295E" w:rsidRDefault="00F973B6">
      <w:pPr>
        <w:rPr>
          <w:rFonts w:ascii="Arial" w:hAnsi="Arial" w:cs="Arial"/>
          <w:b/>
          <w:sz w:val="18"/>
          <w:szCs w:val="18"/>
          <w:lang w:val="en-US"/>
        </w:rPr>
      </w:pPr>
      <w:r w:rsidRPr="00BD295E">
        <w:rPr>
          <w:rFonts w:ascii="Arial" w:hAnsi="Arial" w:cs="Arial"/>
          <w:b/>
          <w:sz w:val="18"/>
          <w:szCs w:val="18"/>
          <w:lang w:val="en-US"/>
        </w:rPr>
        <w:br w:type="page"/>
      </w:r>
    </w:p>
    <w:p w14:paraId="6F03296D" w14:textId="16F2AE28" w:rsidR="00F3260C" w:rsidRPr="00BD295E" w:rsidRDefault="00EE5753" w:rsidP="00F3260C">
      <w:pPr>
        <w:rPr>
          <w:rFonts w:ascii="Arial" w:hAnsi="Arial" w:cs="Arial"/>
          <w:b/>
          <w:sz w:val="18"/>
          <w:szCs w:val="18"/>
          <w:lang w:val="en-US"/>
        </w:rPr>
      </w:pPr>
      <w:r w:rsidRPr="00BD295E">
        <w:rPr>
          <w:rFonts w:ascii="Arial" w:hAnsi="Arial" w:cs="Arial"/>
          <w:b/>
          <w:sz w:val="18"/>
          <w:szCs w:val="18"/>
          <w:lang w:val="en-US"/>
        </w:rPr>
        <w:t>Lenenergo</w:t>
      </w:r>
      <w:r w:rsidR="008A5057" w:rsidRPr="00BD295E">
        <w:rPr>
          <w:rFonts w:ascii="Arial" w:hAnsi="Arial" w:cs="Arial"/>
          <w:b/>
          <w:sz w:val="18"/>
          <w:szCs w:val="18"/>
          <w:lang w:val="en-US"/>
        </w:rPr>
        <w:t xml:space="preserve"> </w:t>
      </w:r>
      <w:r w:rsidR="00AB4381" w:rsidRPr="00BD295E">
        <w:rPr>
          <w:rFonts w:ascii="Arial" w:hAnsi="Arial" w:cs="Arial"/>
          <w:b/>
          <w:sz w:val="18"/>
          <w:szCs w:val="18"/>
          <w:lang w:val="en-US"/>
        </w:rPr>
        <w:t xml:space="preserve">stock performance </w:t>
      </w:r>
      <w:r w:rsidR="008A5057" w:rsidRPr="00BD295E">
        <w:rPr>
          <w:rFonts w:ascii="Arial" w:hAnsi="Arial" w:cs="Arial"/>
          <w:b/>
          <w:sz w:val="18"/>
          <w:szCs w:val="18"/>
          <w:lang w:val="en-US"/>
        </w:rPr>
        <w:t>vs. Moscow Exchange and electricity industry indices in 2018</w:t>
      </w:r>
    </w:p>
    <w:p w14:paraId="67593F4B" w14:textId="4495DEF7" w:rsidR="00F3260C" w:rsidRPr="00BD295E" w:rsidRDefault="00DC4B7A" w:rsidP="00F3260C">
      <w:pPr>
        <w:spacing w:before="120" w:after="120"/>
        <w:rPr>
          <w:rFonts w:ascii="Arial" w:hAnsi="Arial" w:cs="Arial"/>
          <w:sz w:val="18"/>
          <w:szCs w:val="18"/>
          <w:lang w:val="en-US"/>
        </w:rPr>
      </w:pPr>
      <w:bookmarkStart w:id="448" w:name="_Hlk95940175"/>
      <w:r w:rsidRPr="00BD295E">
        <w:rPr>
          <w:rFonts w:ascii="Arial" w:hAnsi="Arial" w:cs="Arial"/>
          <w:b/>
          <w:sz w:val="18"/>
          <w:szCs w:val="18"/>
          <w:lang w:val="en-US" w:eastAsia="en-US"/>
        </w:rPr>
        <mc:AlternateContent>
          <mc:Choice Requires="wps">
            <w:drawing>
              <wp:anchor distT="45720" distB="45720" distL="114300" distR="114300" simplePos="0" relativeHeight="251973120" behindDoc="0" locked="0" layoutInCell="1" allowOverlap="1" wp14:anchorId="44977E53" wp14:editId="54227989">
                <wp:simplePos x="0" y="0"/>
                <wp:positionH relativeFrom="column">
                  <wp:posOffset>2449389</wp:posOffset>
                </wp:positionH>
                <wp:positionV relativeFrom="paragraph">
                  <wp:posOffset>2630340</wp:posOffset>
                </wp:positionV>
                <wp:extent cx="988863" cy="268065"/>
                <wp:effectExtent l="0" t="0" r="1905" b="0"/>
                <wp:wrapNone/>
                <wp:docPr id="5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863" cy="268065"/>
                        </a:xfrm>
                        <a:prstGeom prst="rect">
                          <a:avLst/>
                        </a:prstGeom>
                        <a:solidFill>
                          <a:schemeClr val="bg1"/>
                        </a:solidFill>
                        <a:ln w="9525">
                          <a:noFill/>
                          <a:miter lim="800000"/>
                          <a:headEnd/>
                          <a:tailEnd/>
                        </a:ln>
                      </wps:spPr>
                      <wps:txbx>
                        <w:txbxContent>
                          <w:p w14:paraId="6170F920" w14:textId="0818E045" w:rsidR="002C3947" w:rsidRPr="00DC4B7A" w:rsidRDefault="002C3947" w:rsidP="00DC4B7A">
                            <w:pPr>
                              <w:rPr>
                                <w:rFonts w:ascii="Arial" w:hAnsi="Arial" w:cs="Arial"/>
                                <w:sz w:val="14"/>
                                <w:szCs w:val="22"/>
                              </w:rPr>
                            </w:pPr>
                            <w:r w:rsidRPr="00DC4B7A">
                              <w:rPr>
                                <w:rFonts w:ascii="Arial" w:hAnsi="Arial" w:cs="Arial"/>
                                <w:sz w:val="16"/>
                                <w:szCs w:val="16"/>
                                <w:lang w:val="en-US"/>
                              </w:rPr>
                              <w:t>Preference shares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77E53" id="_x0000_s1213" type="#_x0000_t202" style="position:absolute;margin-left:192.85pt;margin-top:207.1pt;width:77.85pt;height:21.1pt;z-index:25197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" fillcolor="white [3212]" stroked="f">
                <v:textbox inset="0,0,0,0">
                  <w:txbxContent>
                    <w:p w14:paraId="6170F920" w14:textId="0818E045" w:rsidR="002C3947" w:rsidRPr="00DC4B7A" w:rsidRDefault="002C3947" w:rsidP="00DC4B7A">
                      <w:pPr>
                        <w:rPr>
                          <w:rFonts w:ascii="Arial" w:hAnsi="Arial" w:cs="Arial"/>
                          <w:sz w:val="14"/>
                          <w:szCs w:val="22"/>
                        </w:rPr>
                      </w:pPr>
                      <w:r w:rsidRPr="00DC4B7A">
                        <w:rPr>
                          <w:rFonts w:ascii="Arial" w:hAnsi="Arial" w:cs="Arial"/>
                          <w:sz w:val="16"/>
                          <w:szCs w:val="16"/>
                          <w:lang w:val="en-US"/>
                        </w:rPr>
                        <w:t>Preference shares</w:t>
                      </w:r>
                    </w:p>
                  </w:txbxContent>
                </v:textbox>
              </v:shape>
            </w:pict>
          </mc:Fallback>
        </mc:AlternateContent>
      </w:r>
      <w:r w:rsidRPr="00BD295E">
        <w:rPr>
          <w:rFonts w:ascii="Arial" w:hAnsi="Arial" w:cs="Arial"/>
          <w:b/>
          <w:sz w:val="18"/>
          <w:szCs w:val="18"/>
          <w:lang w:val="en-US" w:eastAsia="en-US"/>
        </w:rPr>
        <mc:AlternateContent>
          <mc:Choice Requires="wps">
            <w:drawing>
              <wp:anchor distT="45720" distB="45720" distL="114300" distR="114300" simplePos="0" relativeHeight="251971072" behindDoc="0" locked="0" layoutInCell="1" allowOverlap="1" wp14:anchorId="73D53C5E" wp14:editId="787C5053">
                <wp:simplePos x="0" y="0"/>
                <wp:positionH relativeFrom="column">
                  <wp:posOffset>1189483</wp:posOffset>
                </wp:positionH>
                <wp:positionV relativeFrom="paragraph">
                  <wp:posOffset>2630340</wp:posOffset>
                </wp:positionV>
                <wp:extent cx="863766" cy="268065"/>
                <wp:effectExtent l="0" t="0" r="0" b="0"/>
                <wp:wrapNone/>
                <wp:docPr id="5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766" cy="268065"/>
                        </a:xfrm>
                        <a:prstGeom prst="rect">
                          <a:avLst/>
                        </a:prstGeom>
                        <a:solidFill>
                          <a:schemeClr val="bg1"/>
                        </a:solidFill>
                        <a:ln w="9525">
                          <a:noFill/>
                          <a:miter lim="800000"/>
                          <a:headEnd/>
                          <a:tailEnd/>
                        </a:ln>
                      </wps:spPr>
                      <wps:txbx>
                        <w:txbxContent>
                          <w:p w14:paraId="20B45EA0" w14:textId="455CF034" w:rsidR="002C3947" w:rsidRPr="00DC4B7A" w:rsidRDefault="002C3947" w:rsidP="00DC4B7A">
                            <w:pPr>
                              <w:rPr>
                                <w:rFonts w:ascii="Arial" w:hAnsi="Arial" w:cs="Arial"/>
                                <w:sz w:val="14"/>
                                <w:szCs w:val="22"/>
                              </w:rPr>
                            </w:pPr>
                            <w:r w:rsidRPr="00DC4B7A">
                              <w:rPr>
                                <w:rFonts w:ascii="Arial" w:hAnsi="Arial" w:cs="Arial"/>
                                <w:sz w:val="16"/>
                                <w:szCs w:val="16"/>
                                <w:lang w:val="en-US"/>
                              </w:rPr>
                              <w:t>Ordinary shares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53C5E" id="_x0000_s1214" type="#_x0000_t202" style="position:absolute;margin-left:93.65pt;margin-top:207.1pt;width:68pt;height:21.1pt;z-index:25197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" fillcolor="white [3212]" stroked="f">
                <v:textbox inset="0,0,0,0">
                  <w:txbxContent>
                    <w:p w14:paraId="20B45EA0" w14:textId="455CF034" w:rsidR="002C3947" w:rsidRPr="00DC4B7A" w:rsidRDefault="002C3947" w:rsidP="00DC4B7A">
                      <w:pPr>
                        <w:rPr>
                          <w:rFonts w:ascii="Arial" w:hAnsi="Arial" w:cs="Arial"/>
                          <w:sz w:val="14"/>
                          <w:szCs w:val="22"/>
                        </w:rPr>
                      </w:pPr>
                      <w:r w:rsidRPr="00DC4B7A">
                        <w:rPr>
                          <w:rFonts w:ascii="Arial" w:hAnsi="Arial" w:cs="Arial"/>
                          <w:sz w:val="16"/>
                          <w:szCs w:val="16"/>
                          <w:lang w:val="en-US"/>
                        </w:rPr>
                        <w:t>Ordinary shares</w:t>
                      </w:r>
                    </w:p>
                  </w:txbxContent>
                </v:textbox>
              </v:shape>
            </w:pict>
          </mc:Fallback>
        </mc:AlternateContent>
      </w:r>
      <w:r w:rsidR="00997D07" w:rsidRPr="00BD295E">
        <w:rPr>
          <w:rFonts w:ascii="Arial" w:hAnsi="Arial" w:cs="Arial"/>
          <w:sz w:val="18"/>
          <w:szCs w:val="18"/>
          <w:lang w:val="en-US" w:eastAsia="en-US"/>
        </w:rPr>
        <w:drawing>
          <wp:inline distT="0" distB="0" distL="0" distR="0" wp14:anchorId="4B14605D" wp14:editId="38B29AC5">
            <wp:extent cx="5939155" cy="2847975"/>
            <wp:effectExtent l="0" t="0" r="0" b="0"/>
            <wp:docPr id="91" name="Диаграмма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6"/>
                    <pic:cNvPicPr>
                      <a:picLocks noChangeArrowheads="1"/>
                    </pic:cNvPicPr>
                  </pic:nvPicPr>
                  <pic:blipFill>
                    <a:blip r:embed="rId131">
                      <a:extLst>
                        <a:ext uri="{28A0092B-C50C-407E-A947-70E740481C1C}">
                          <a14:useLocalDpi xmlns:a14="http://schemas.microsoft.com/office/drawing/2010/main" val="0"/>
                        </a:ext>
                      </a:extLst>
                    </a:blip>
                    <a:srcRect r="-53" b="-44"/>
                    <a:stretch>
                      <a:fillRect/>
                    </a:stretch>
                  </pic:blipFill>
                  <pic:spPr bwMode="auto">
                    <a:xfrm>
                      <a:off x="0" y="0"/>
                      <a:ext cx="5939155" cy="2847975"/>
                    </a:xfrm>
                    <a:prstGeom prst="rect">
                      <a:avLst/>
                    </a:prstGeom>
                    <a:noFill/>
                    <a:ln>
                      <a:noFill/>
                    </a:ln>
                  </pic:spPr>
                </pic:pic>
              </a:graphicData>
            </a:graphic>
          </wp:inline>
        </w:drawing>
      </w:r>
      <w:bookmarkEnd w:id="448"/>
    </w:p>
    <w:p w14:paraId="2BAB6AA3" w14:textId="77777777" w:rsidR="00F3260C" w:rsidRPr="00BD295E" w:rsidRDefault="00F3260C" w:rsidP="00F3260C">
      <w:pPr>
        <w:spacing w:before="120" w:after="120"/>
        <w:rPr>
          <w:rFonts w:ascii="Arial" w:hAnsi="Arial" w:cs="Arial"/>
          <w:sz w:val="18"/>
          <w:szCs w:val="18"/>
          <w:lang w:val="en-US"/>
        </w:rPr>
      </w:pPr>
    </w:p>
    <w:p w14:paraId="6A26AA08" w14:textId="77777777" w:rsidR="00F3260C" w:rsidRPr="00BD295E" w:rsidRDefault="008A5057" w:rsidP="00F3260C">
      <w:pPr>
        <w:spacing w:before="120" w:after="120"/>
        <w:rPr>
          <w:rFonts w:ascii="Arial" w:hAnsi="Arial" w:cs="Arial"/>
          <w:b/>
          <w:sz w:val="18"/>
          <w:szCs w:val="18"/>
          <w:lang w:val="en-US"/>
        </w:rPr>
      </w:pPr>
      <w:r w:rsidRPr="00BD295E">
        <w:rPr>
          <w:rFonts w:ascii="Arial" w:hAnsi="Arial" w:cs="Arial"/>
          <w:b/>
          <w:sz w:val="18"/>
          <w:szCs w:val="18"/>
          <w:lang w:val="en-US"/>
        </w:rPr>
        <w:t xml:space="preserve">Share performance of </w:t>
      </w:r>
      <w:r w:rsidR="00EE5753" w:rsidRPr="00BD295E">
        <w:rPr>
          <w:rFonts w:ascii="Arial" w:hAnsi="Arial" w:cs="Arial"/>
          <w:b/>
          <w:sz w:val="18"/>
          <w:szCs w:val="18"/>
          <w:lang w:val="en-US"/>
        </w:rPr>
        <w:t>PJSC “Lenenergo”</w:t>
      </w:r>
      <w:r w:rsidRPr="00BD295E">
        <w:rPr>
          <w:rFonts w:ascii="Arial" w:hAnsi="Arial" w:cs="Arial"/>
          <w:b/>
          <w:sz w:val="18"/>
          <w:szCs w:val="18"/>
          <w:lang w:val="en-US"/>
        </w:rPr>
        <w:t xml:space="preserve"> vs the Moscow Exchange and electricity industry indices on the Moscow Exchange*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1559"/>
        <w:gridCol w:w="1559"/>
        <w:gridCol w:w="1418"/>
        <w:gridCol w:w="1701"/>
      </w:tblGrid>
      <w:tr w:rsidR="008A5057" w:rsidRPr="00BD295E" w14:paraId="1DAF4AAC" w14:textId="77777777" w:rsidTr="00E3510B">
        <w:tc>
          <w:tcPr>
            <w:tcW w:w="3085" w:type="dxa"/>
            <w:shd w:val="clear" w:color="auto" w:fill="auto"/>
          </w:tcPr>
          <w:p w14:paraId="6855E54C" w14:textId="77777777" w:rsidR="00F3260C" w:rsidRPr="00BD295E" w:rsidRDefault="00F3260C" w:rsidP="00E3510B">
            <w:pPr>
              <w:tabs>
                <w:tab w:val="decimal" w:pos="510"/>
              </w:tabs>
              <w:rPr>
                <w:rFonts w:ascii="Arial" w:hAnsi="Arial" w:cs="Arial"/>
                <w:sz w:val="18"/>
                <w:szCs w:val="18"/>
                <w:lang w:val="en-US"/>
              </w:rPr>
            </w:pPr>
          </w:p>
        </w:tc>
        <w:tc>
          <w:tcPr>
            <w:tcW w:w="1559" w:type="dxa"/>
            <w:shd w:val="clear" w:color="auto" w:fill="auto"/>
            <w:vAlign w:val="center"/>
          </w:tcPr>
          <w:p w14:paraId="424A802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2016</w:t>
            </w:r>
          </w:p>
        </w:tc>
        <w:tc>
          <w:tcPr>
            <w:tcW w:w="1559" w:type="dxa"/>
            <w:shd w:val="clear" w:color="auto" w:fill="auto"/>
            <w:vAlign w:val="center"/>
          </w:tcPr>
          <w:p w14:paraId="3F2264E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2017</w:t>
            </w:r>
          </w:p>
        </w:tc>
        <w:tc>
          <w:tcPr>
            <w:tcW w:w="1418" w:type="dxa"/>
            <w:shd w:val="clear" w:color="auto" w:fill="auto"/>
            <w:vAlign w:val="center"/>
          </w:tcPr>
          <w:p w14:paraId="2586CA5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2018</w:t>
            </w:r>
          </w:p>
        </w:tc>
        <w:tc>
          <w:tcPr>
            <w:tcW w:w="1701" w:type="dxa"/>
            <w:shd w:val="clear" w:color="auto" w:fill="auto"/>
            <w:vAlign w:val="center"/>
          </w:tcPr>
          <w:p w14:paraId="3F0E2BB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2018 vs 2017</w:t>
            </w:r>
          </w:p>
        </w:tc>
      </w:tr>
      <w:tr w:rsidR="008A5057" w:rsidRPr="00BD295E" w14:paraId="209FCE75" w14:textId="77777777" w:rsidTr="00E3510B">
        <w:trPr>
          <w:trHeight w:val="512"/>
        </w:trPr>
        <w:tc>
          <w:tcPr>
            <w:tcW w:w="3085" w:type="dxa"/>
            <w:shd w:val="clear" w:color="auto" w:fill="auto"/>
          </w:tcPr>
          <w:p w14:paraId="68D05763"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Moscow Exchange Index, p.</w:t>
            </w:r>
          </w:p>
        </w:tc>
        <w:tc>
          <w:tcPr>
            <w:tcW w:w="1559" w:type="dxa"/>
            <w:shd w:val="clear" w:color="auto" w:fill="auto"/>
            <w:vAlign w:val="center"/>
          </w:tcPr>
          <w:p w14:paraId="1BB565E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2,232.7</w:t>
            </w:r>
          </w:p>
        </w:tc>
        <w:tc>
          <w:tcPr>
            <w:tcW w:w="1559" w:type="dxa"/>
            <w:shd w:val="clear" w:color="auto" w:fill="auto"/>
            <w:vAlign w:val="center"/>
          </w:tcPr>
          <w:p w14:paraId="191423B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2,109.7</w:t>
            </w:r>
          </w:p>
        </w:tc>
        <w:tc>
          <w:tcPr>
            <w:tcW w:w="1418" w:type="dxa"/>
            <w:shd w:val="clear" w:color="auto" w:fill="auto"/>
            <w:vAlign w:val="center"/>
          </w:tcPr>
          <w:p w14:paraId="34AA1B0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2,369.2</w:t>
            </w:r>
          </w:p>
        </w:tc>
        <w:tc>
          <w:tcPr>
            <w:tcW w:w="1701" w:type="dxa"/>
            <w:shd w:val="clear" w:color="auto" w:fill="auto"/>
            <w:vAlign w:val="bottom"/>
          </w:tcPr>
          <w:p w14:paraId="7CDC0B06" w14:textId="77777777" w:rsidR="00F3260C" w:rsidRPr="00BD295E" w:rsidRDefault="008A5057" w:rsidP="00E3510B">
            <w:pPr>
              <w:jc w:val="right"/>
              <w:rPr>
                <w:rFonts w:ascii="Arial" w:hAnsi="Arial" w:cs="Arial"/>
                <w:sz w:val="18"/>
                <w:szCs w:val="18"/>
                <w:lang w:val="en-US"/>
              </w:rPr>
            </w:pPr>
            <w:r w:rsidRPr="00BD295E">
              <w:rPr>
                <w:rFonts w:ascii="Arial" w:hAnsi="Arial" w:cs="Arial"/>
                <w:sz w:val="18"/>
                <w:szCs w:val="18"/>
                <w:lang w:val="en-US"/>
              </w:rPr>
              <w:t>12.3%</w:t>
            </w:r>
          </w:p>
        </w:tc>
      </w:tr>
      <w:tr w:rsidR="008A5057" w:rsidRPr="00BD295E" w14:paraId="3352A276" w14:textId="77777777" w:rsidTr="00E3510B">
        <w:tc>
          <w:tcPr>
            <w:tcW w:w="3085" w:type="dxa"/>
            <w:shd w:val="clear" w:color="auto" w:fill="auto"/>
          </w:tcPr>
          <w:p w14:paraId="2DC019EC"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Moscow Exchange Utilities Index, p.</w:t>
            </w:r>
          </w:p>
        </w:tc>
        <w:tc>
          <w:tcPr>
            <w:tcW w:w="1559" w:type="dxa"/>
            <w:shd w:val="clear" w:color="auto" w:fill="auto"/>
            <w:vAlign w:val="center"/>
          </w:tcPr>
          <w:p w14:paraId="3DAF4E26"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1984.2</w:t>
            </w:r>
          </w:p>
        </w:tc>
        <w:tc>
          <w:tcPr>
            <w:tcW w:w="1559" w:type="dxa"/>
            <w:shd w:val="clear" w:color="auto" w:fill="auto"/>
            <w:vAlign w:val="center"/>
          </w:tcPr>
          <w:p w14:paraId="0955D25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1816.3</w:t>
            </w:r>
          </w:p>
        </w:tc>
        <w:tc>
          <w:tcPr>
            <w:tcW w:w="1418" w:type="dxa"/>
            <w:shd w:val="clear" w:color="auto" w:fill="auto"/>
            <w:vAlign w:val="center"/>
          </w:tcPr>
          <w:p w14:paraId="3C73E2FF"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1608.2</w:t>
            </w:r>
          </w:p>
        </w:tc>
        <w:tc>
          <w:tcPr>
            <w:tcW w:w="1701" w:type="dxa"/>
            <w:shd w:val="clear" w:color="auto" w:fill="auto"/>
            <w:vAlign w:val="bottom"/>
          </w:tcPr>
          <w:p w14:paraId="44D826BB" w14:textId="77777777" w:rsidR="00F3260C" w:rsidRPr="00BD295E" w:rsidRDefault="008A5057" w:rsidP="00E3510B">
            <w:pPr>
              <w:jc w:val="right"/>
              <w:rPr>
                <w:rFonts w:ascii="Arial" w:hAnsi="Arial" w:cs="Arial"/>
                <w:sz w:val="18"/>
                <w:szCs w:val="18"/>
                <w:lang w:val="en-US"/>
              </w:rPr>
            </w:pPr>
            <w:r w:rsidRPr="00BD295E">
              <w:rPr>
                <w:rFonts w:ascii="Arial" w:hAnsi="Arial" w:cs="Arial"/>
                <w:sz w:val="18"/>
                <w:szCs w:val="18"/>
                <w:lang w:val="en-US"/>
              </w:rPr>
              <w:t>-11.5%</w:t>
            </w:r>
          </w:p>
        </w:tc>
      </w:tr>
      <w:tr w:rsidR="008A5057" w:rsidRPr="00BD295E" w14:paraId="52B78942" w14:textId="77777777" w:rsidTr="00E3510B">
        <w:tc>
          <w:tcPr>
            <w:tcW w:w="3085" w:type="dxa"/>
            <w:shd w:val="clear" w:color="auto" w:fill="auto"/>
          </w:tcPr>
          <w:p w14:paraId="042F4A2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Ordinary share (LSNG),* RUB</w:t>
            </w:r>
          </w:p>
        </w:tc>
        <w:tc>
          <w:tcPr>
            <w:tcW w:w="1559" w:type="dxa"/>
            <w:shd w:val="clear" w:color="auto" w:fill="auto"/>
            <w:vAlign w:val="center"/>
          </w:tcPr>
          <w:p w14:paraId="253BB5D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5.51</w:t>
            </w:r>
          </w:p>
        </w:tc>
        <w:tc>
          <w:tcPr>
            <w:tcW w:w="1559" w:type="dxa"/>
            <w:shd w:val="clear" w:color="auto" w:fill="auto"/>
            <w:vAlign w:val="center"/>
          </w:tcPr>
          <w:p w14:paraId="7EBC01D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4.80</w:t>
            </w:r>
          </w:p>
        </w:tc>
        <w:tc>
          <w:tcPr>
            <w:tcW w:w="1418" w:type="dxa"/>
            <w:shd w:val="clear" w:color="auto" w:fill="auto"/>
            <w:vAlign w:val="center"/>
          </w:tcPr>
          <w:p w14:paraId="0D9FCEA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5.29</w:t>
            </w:r>
          </w:p>
        </w:tc>
        <w:tc>
          <w:tcPr>
            <w:tcW w:w="1701" w:type="dxa"/>
            <w:shd w:val="clear" w:color="auto" w:fill="auto"/>
            <w:vAlign w:val="bottom"/>
          </w:tcPr>
          <w:p w14:paraId="46C6C670" w14:textId="77777777" w:rsidR="00F3260C" w:rsidRPr="00BD295E" w:rsidRDefault="008A5057" w:rsidP="00E3510B">
            <w:pPr>
              <w:jc w:val="right"/>
              <w:rPr>
                <w:rFonts w:ascii="Arial" w:hAnsi="Arial" w:cs="Arial"/>
                <w:sz w:val="18"/>
                <w:szCs w:val="18"/>
                <w:lang w:val="en-US"/>
              </w:rPr>
            </w:pPr>
            <w:r w:rsidRPr="00BD295E">
              <w:rPr>
                <w:rFonts w:ascii="Arial" w:hAnsi="Arial" w:cs="Arial"/>
                <w:sz w:val="18"/>
                <w:szCs w:val="18"/>
                <w:lang w:val="en-US"/>
              </w:rPr>
              <w:t>10.2%</w:t>
            </w:r>
          </w:p>
        </w:tc>
      </w:tr>
      <w:tr w:rsidR="008A5057" w:rsidRPr="00BD295E" w14:paraId="5ABA707C" w14:textId="77777777" w:rsidTr="00E3510B">
        <w:tc>
          <w:tcPr>
            <w:tcW w:w="3085" w:type="dxa"/>
            <w:shd w:val="clear" w:color="auto" w:fill="auto"/>
          </w:tcPr>
          <w:p w14:paraId="66198942"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Preference share (LSNGP),* RUB</w:t>
            </w:r>
          </w:p>
        </w:tc>
        <w:tc>
          <w:tcPr>
            <w:tcW w:w="1559" w:type="dxa"/>
            <w:shd w:val="clear" w:color="auto" w:fill="auto"/>
            <w:vAlign w:val="center"/>
          </w:tcPr>
          <w:p w14:paraId="7CB3927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45.4</w:t>
            </w:r>
          </w:p>
        </w:tc>
        <w:tc>
          <w:tcPr>
            <w:tcW w:w="1559" w:type="dxa"/>
            <w:shd w:val="clear" w:color="auto" w:fill="auto"/>
            <w:vAlign w:val="center"/>
          </w:tcPr>
          <w:p w14:paraId="1007229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81.4</w:t>
            </w:r>
          </w:p>
        </w:tc>
        <w:tc>
          <w:tcPr>
            <w:tcW w:w="1418" w:type="dxa"/>
            <w:shd w:val="clear" w:color="auto" w:fill="auto"/>
            <w:vAlign w:val="center"/>
          </w:tcPr>
          <w:p w14:paraId="7CC6033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93.9</w:t>
            </w:r>
          </w:p>
        </w:tc>
        <w:tc>
          <w:tcPr>
            <w:tcW w:w="1701" w:type="dxa"/>
            <w:shd w:val="clear" w:color="auto" w:fill="auto"/>
            <w:vAlign w:val="bottom"/>
          </w:tcPr>
          <w:p w14:paraId="53756BEE" w14:textId="77777777" w:rsidR="00F3260C" w:rsidRPr="00BD295E" w:rsidRDefault="008A5057" w:rsidP="00E3510B">
            <w:pPr>
              <w:jc w:val="right"/>
              <w:rPr>
                <w:rFonts w:ascii="Arial" w:hAnsi="Arial" w:cs="Arial"/>
                <w:sz w:val="18"/>
                <w:szCs w:val="18"/>
                <w:lang w:val="en-US"/>
              </w:rPr>
            </w:pPr>
            <w:r w:rsidRPr="00BD295E">
              <w:rPr>
                <w:rFonts w:ascii="Arial" w:hAnsi="Arial" w:cs="Arial"/>
                <w:sz w:val="18"/>
                <w:szCs w:val="18"/>
                <w:lang w:val="en-US"/>
              </w:rPr>
              <w:t>15.4%</w:t>
            </w:r>
          </w:p>
        </w:tc>
      </w:tr>
    </w:tbl>
    <w:p w14:paraId="3D7A3BE2" w14:textId="77777777" w:rsidR="00F3260C" w:rsidRPr="00BD295E" w:rsidRDefault="008A5057" w:rsidP="00F3260C">
      <w:pPr>
        <w:spacing w:before="120" w:after="120"/>
        <w:rPr>
          <w:rFonts w:ascii="Arial" w:hAnsi="Arial" w:cs="Arial"/>
          <w:sz w:val="18"/>
          <w:szCs w:val="18"/>
          <w:lang w:val="en-US"/>
        </w:rPr>
      </w:pPr>
      <w:r w:rsidRPr="00BD295E">
        <w:rPr>
          <w:rFonts w:ascii="Arial" w:hAnsi="Arial" w:cs="Arial"/>
          <w:sz w:val="18"/>
          <w:szCs w:val="18"/>
          <w:lang w:val="en-US"/>
        </w:rPr>
        <w:t>* Closing prices on the last business day of the reporting period</w:t>
      </w:r>
    </w:p>
    <w:p w14:paraId="15582A17" w14:textId="77777777" w:rsidR="00F3260C" w:rsidRPr="00BD295E" w:rsidRDefault="00CF0D86" w:rsidP="00F3260C">
      <w:pPr>
        <w:spacing w:before="120" w:after="120"/>
        <w:rPr>
          <w:rFonts w:ascii="Arial" w:hAnsi="Arial" w:cs="Arial"/>
          <w:b/>
          <w:sz w:val="18"/>
          <w:szCs w:val="18"/>
          <w:lang w:val="en-US"/>
        </w:rPr>
      </w:pPr>
      <w:r w:rsidRPr="00BD295E">
        <w:rPr>
          <w:rFonts w:ascii="Arial" w:hAnsi="Arial" w:cs="Arial"/>
          <w:b/>
          <w:sz w:val="18"/>
          <w:szCs w:val="18"/>
          <w:lang w:val="en-US"/>
        </w:rPr>
        <w:t>Capitalization</w:t>
      </w:r>
    </w:p>
    <w:p w14:paraId="725377CA" w14:textId="77777777" w:rsidR="00F3260C" w:rsidRPr="00BD295E" w:rsidRDefault="008A5057" w:rsidP="00B175EC">
      <w:pPr>
        <w:jc w:val="both"/>
        <w:rPr>
          <w:rFonts w:ascii="Arial" w:hAnsi="Arial" w:cs="Arial"/>
          <w:sz w:val="18"/>
          <w:szCs w:val="18"/>
          <w:lang w:val="en-US"/>
        </w:rPr>
      </w:pPr>
      <w:r w:rsidRPr="00BD295E">
        <w:rPr>
          <w:rFonts w:ascii="Arial" w:hAnsi="Arial" w:cs="Arial"/>
          <w:sz w:val="18"/>
          <w:szCs w:val="18"/>
          <w:lang w:val="en-US"/>
        </w:rPr>
        <w:t>Hereinafter, capitalization is calculated based on the weighted average price of shares on the Moscow Exchange on the last trading day of the reporting period. The change in the number of outstanding shares in connection with the follow-on offering of 2015–2017occurred on April 16, 2017 on receipt of a notice on consolidation of issues by the Moscow Exchange.</w:t>
      </w:r>
    </w:p>
    <w:p w14:paraId="07276C82" w14:textId="77777777" w:rsidR="00F3260C" w:rsidRPr="00BD295E" w:rsidRDefault="00F3260C" w:rsidP="00F3260C">
      <w:pPr>
        <w:rPr>
          <w:rFonts w:ascii="Arial" w:hAnsi="Arial" w:cs="Arial"/>
          <w:b/>
          <w:sz w:val="18"/>
          <w:szCs w:val="18"/>
          <w:lang w:val="en-US"/>
        </w:rPr>
      </w:pPr>
    </w:p>
    <w:p w14:paraId="0E7A6EE7" w14:textId="77777777" w:rsidR="00F3260C" w:rsidRPr="00BD295E" w:rsidRDefault="008A5057" w:rsidP="00F3260C">
      <w:pPr>
        <w:spacing w:before="120" w:after="120"/>
        <w:rPr>
          <w:rFonts w:ascii="Arial" w:hAnsi="Arial" w:cs="Arial"/>
          <w:b/>
          <w:sz w:val="18"/>
          <w:szCs w:val="18"/>
          <w:lang w:val="en-US"/>
        </w:rPr>
      </w:pPr>
      <w:r w:rsidRPr="00BD295E">
        <w:rPr>
          <w:rFonts w:ascii="Arial" w:hAnsi="Arial" w:cs="Arial"/>
          <w:b/>
          <w:sz w:val="18"/>
          <w:szCs w:val="18"/>
          <w:lang w:val="en-US"/>
        </w:rPr>
        <w:t xml:space="preserve">Changes in the capitalization of </w:t>
      </w:r>
      <w:r w:rsidR="00EE5753" w:rsidRPr="00BD295E">
        <w:rPr>
          <w:rFonts w:ascii="Arial" w:hAnsi="Arial" w:cs="Arial"/>
          <w:b/>
          <w:sz w:val="18"/>
          <w:szCs w:val="18"/>
          <w:lang w:val="en-US"/>
        </w:rPr>
        <w:t>PJSC “Lenenergo”</w:t>
      </w:r>
      <w:r w:rsidRPr="00BD295E">
        <w:rPr>
          <w:rFonts w:ascii="Arial" w:hAnsi="Arial" w:cs="Arial"/>
          <w:b/>
          <w:sz w:val="18"/>
          <w:szCs w:val="18"/>
          <w:lang w:val="en-US"/>
        </w:rPr>
        <w:t xml:space="preserve"> on the Moscow Exchange, RUB million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34"/>
        <w:gridCol w:w="1113"/>
        <w:gridCol w:w="1112"/>
        <w:gridCol w:w="1271"/>
        <w:gridCol w:w="1494"/>
      </w:tblGrid>
      <w:tr w:rsidR="008A5057" w:rsidRPr="00BD295E" w14:paraId="5887BC79" w14:textId="77777777" w:rsidTr="00E3510B">
        <w:trPr>
          <w:trHeight w:val="509"/>
        </w:trPr>
        <w:tc>
          <w:tcPr>
            <w:tcW w:w="3934" w:type="dxa"/>
            <w:shd w:val="clear" w:color="auto" w:fill="auto"/>
            <w:vAlign w:val="center"/>
          </w:tcPr>
          <w:p w14:paraId="09FD45D3" w14:textId="77777777" w:rsidR="00F3260C" w:rsidRPr="00BD295E" w:rsidRDefault="00F3260C" w:rsidP="00E3510B">
            <w:pPr>
              <w:jc w:val="center"/>
              <w:rPr>
                <w:rFonts w:ascii="Arial" w:hAnsi="Arial" w:cs="Arial"/>
                <w:sz w:val="18"/>
                <w:szCs w:val="18"/>
                <w:lang w:val="en-US"/>
              </w:rPr>
            </w:pPr>
          </w:p>
        </w:tc>
        <w:tc>
          <w:tcPr>
            <w:tcW w:w="1113" w:type="dxa"/>
            <w:shd w:val="clear" w:color="auto" w:fill="auto"/>
            <w:vAlign w:val="center"/>
          </w:tcPr>
          <w:p w14:paraId="546C621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2016</w:t>
            </w:r>
          </w:p>
        </w:tc>
        <w:tc>
          <w:tcPr>
            <w:tcW w:w="1112" w:type="dxa"/>
            <w:shd w:val="clear" w:color="auto" w:fill="auto"/>
            <w:vAlign w:val="center"/>
          </w:tcPr>
          <w:p w14:paraId="5CFB7C7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2017</w:t>
            </w:r>
          </w:p>
        </w:tc>
        <w:tc>
          <w:tcPr>
            <w:tcW w:w="1271" w:type="dxa"/>
            <w:shd w:val="clear" w:color="auto" w:fill="auto"/>
            <w:vAlign w:val="center"/>
          </w:tcPr>
          <w:p w14:paraId="36E2F45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2018</w:t>
            </w:r>
          </w:p>
        </w:tc>
        <w:tc>
          <w:tcPr>
            <w:tcW w:w="1494" w:type="dxa"/>
            <w:shd w:val="clear" w:color="auto" w:fill="auto"/>
            <w:vAlign w:val="center"/>
          </w:tcPr>
          <w:p w14:paraId="3BC39068"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2018 vs 2017</w:t>
            </w:r>
          </w:p>
        </w:tc>
      </w:tr>
      <w:tr w:rsidR="008A5057" w:rsidRPr="00BD295E" w14:paraId="2CFC4828" w14:textId="77777777" w:rsidTr="00E3510B">
        <w:trPr>
          <w:trHeight w:val="271"/>
        </w:trPr>
        <w:tc>
          <w:tcPr>
            <w:tcW w:w="3934" w:type="dxa"/>
            <w:shd w:val="clear" w:color="auto" w:fill="auto"/>
          </w:tcPr>
          <w:p w14:paraId="6A564DDD"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Capitalization, RUB million</w:t>
            </w:r>
          </w:p>
        </w:tc>
        <w:tc>
          <w:tcPr>
            <w:tcW w:w="1113" w:type="dxa"/>
            <w:shd w:val="clear" w:color="auto" w:fill="auto"/>
            <w:vAlign w:val="center"/>
          </w:tcPr>
          <w:p w14:paraId="0BF6044F"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13,335</w:t>
            </w:r>
          </w:p>
        </w:tc>
        <w:tc>
          <w:tcPr>
            <w:tcW w:w="1112" w:type="dxa"/>
            <w:shd w:val="clear" w:color="auto" w:fill="auto"/>
            <w:vAlign w:val="center"/>
          </w:tcPr>
          <w:p w14:paraId="78100930"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48,554</w:t>
            </w:r>
          </w:p>
        </w:tc>
        <w:tc>
          <w:tcPr>
            <w:tcW w:w="1271" w:type="dxa"/>
            <w:shd w:val="clear" w:color="auto" w:fill="auto"/>
            <w:vAlign w:val="center"/>
          </w:tcPr>
          <w:p w14:paraId="1A3D6303"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53,682</w:t>
            </w:r>
          </w:p>
        </w:tc>
        <w:tc>
          <w:tcPr>
            <w:tcW w:w="1494" w:type="dxa"/>
            <w:shd w:val="clear" w:color="auto" w:fill="auto"/>
            <w:vAlign w:val="center"/>
          </w:tcPr>
          <w:p w14:paraId="400C2535" w14:textId="77777777" w:rsidR="00F3260C" w:rsidRPr="00BD295E" w:rsidRDefault="008A5057" w:rsidP="00E3510B">
            <w:pPr>
              <w:jc w:val="center"/>
              <w:rPr>
                <w:rFonts w:ascii="Arial" w:eastAsia="Calibri" w:hAnsi="Arial" w:cs="Arial"/>
                <w:sz w:val="18"/>
                <w:szCs w:val="18"/>
                <w:lang w:val="en-US"/>
              </w:rPr>
            </w:pPr>
            <w:r w:rsidRPr="00BD295E">
              <w:rPr>
                <w:rFonts w:ascii="Arial" w:hAnsi="Arial" w:cs="Arial"/>
                <w:sz w:val="18"/>
                <w:szCs w:val="18"/>
                <w:lang w:val="en-US"/>
              </w:rPr>
              <w:t>10.6%</w:t>
            </w:r>
          </w:p>
        </w:tc>
      </w:tr>
    </w:tbl>
    <w:p w14:paraId="65690191" w14:textId="6A8C8DF1" w:rsidR="00067915" w:rsidRPr="00BD295E" w:rsidRDefault="00067915" w:rsidP="00F3260C">
      <w:pPr>
        <w:rPr>
          <w:rFonts w:ascii="Arial" w:hAnsi="Arial" w:cs="Arial"/>
          <w:b/>
          <w:sz w:val="18"/>
          <w:szCs w:val="18"/>
          <w:lang w:val="en-US"/>
        </w:rPr>
      </w:pPr>
    </w:p>
    <w:p w14:paraId="2D2E3C74" w14:textId="77777777" w:rsidR="00067915" w:rsidRPr="00BD295E" w:rsidRDefault="00067915">
      <w:pPr>
        <w:rPr>
          <w:rFonts w:ascii="Arial" w:hAnsi="Arial" w:cs="Arial"/>
          <w:b/>
          <w:sz w:val="18"/>
          <w:szCs w:val="18"/>
          <w:lang w:val="en-US"/>
        </w:rPr>
      </w:pPr>
      <w:r w:rsidRPr="00BD295E">
        <w:rPr>
          <w:rFonts w:ascii="Arial" w:hAnsi="Arial" w:cs="Arial"/>
          <w:b/>
          <w:sz w:val="18"/>
          <w:szCs w:val="18"/>
          <w:lang w:val="en-US"/>
        </w:rPr>
        <w:br w:type="page"/>
      </w:r>
    </w:p>
    <w:p w14:paraId="086E0C1E" w14:textId="77777777" w:rsidR="00F3260C" w:rsidRPr="00BD295E" w:rsidRDefault="008A5057" w:rsidP="00F3260C">
      <w:pPr>
        <w:rPr>
          <w:rFonts w:ascii="Arial" w:hAnsi="Arial" w:cs="Arial"/>
          <w:b/>
          <w:sz w:val="18"/>
          <w:szCs w:val="18"/>
          <w:lang w:val="en-US"/>
        </w:rPr>
      </w:pPr>
      <w:r w:rsidRPr="00BD295E">
        <w:rPr>
          <w:rFonts w:ascii="Arial" w:hAnsi="Arial" w:cs="Arial"/>
          <w:b/>
          <w:sz w:val="18"/>
          <w:szCs w:val="18"/>
          <w:lang w:val="en-US"/>
        </w:rPr>
        <w:t xml:space="preserve">Changes in the capitalization of </w:t>
      </w:r>
      <w:r w:rsidR="00EE5753" w:rsidRPr="00BD295E">
        <w:rPr>
          <w:rFonts w:ascii="Arial" w:hAnsi="Arial" w:cs="Arial"/>
          <w:b/>
          <w:sz w:val="18"/>
          <w:szCs w:val="18"/>
          <w:lang w:val="en-US"/>
        </w:rPr>
        <w:t>PJSC “Lenenergo”</w:t>
      </w:r>
      <w:r w:rsidRPr="00BD295E">
        <w:rPr>
          <w:rFonts w:ascii="Arial" w:hAnsi="Arial" w:cs="Arial"/>
          <w:b/>
          <w:sz w:val="18"/>
          <w:szCs w:val="18"/>
          <w:lang w:val="en-US"/>
        </w:rPr>
        <w:t>, RUB million</w:t>
      </w:r>
    </w:p>
    <w:p w14:paraId="00D398B8" w14:textId="499D6080" w:rsidR="00F3260C" w:rsidRPr="00BD295E" w:rsidRDefault="00997D07" w:rsidP="0036089D">
      <w:pPr>
        <w:spacing w:before="120"/>
        <w:rPr>
          <w:rFonts w:ascii="Arial" w:hAnsi="Arial" w:cs="Arial"/>
          <w:sz w:val="18"/>
          <w:szCs w:val="18"/>
          <w:lang w:val="en-US"/>
        </w:rPr>
      </w:pPr>
      <w:bookmarkStart w:id="449" w:name="_Hlk95940182"/>
      <w:r w:rsidRPr="00BD295E">
        <w:rPr>
          <w:rFonts w:ascii="Arial" w:hAnsi="Arial" w:cs="Arial"/>
          <w:sz w:val="18"/>
          <w:szCs w:val="18"/>
          <w:lang w:val="en-US" w:eastAsia="en-US"/>
        </w:rPr>
        <w:drawing>
          <wp:inline distT="0" distB="0" distL="0" distR="0" wp14:anchorId="67C19CCF" wp14:editId="3270340C">
            <wp:extent cx="5448300" cy="1629241"/>
            <wp:effectExtent l="0" t="0" r="0" b="9525"/>
            <wp:docPr id="92" name="Диаграмма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6"/>
                    <pic:cNvPicPr>
                      <a:picLocks noChangeArrowheads="1"/>
                    </pic:cNvPicPr>
                  </pic:nvPicPr>
                  <pic:blipFill rotWithShape="1">
                    <a:blip r:embed="rId132">
                      <a:extLst>
                        <a:ext uri="{28A0092B-C50C-407E-A947-70E740481C1C}">
                          <a14:useLocalDpi xmlns:a14="http://schemas.microsoft.com/office/drawing/2010/main" val="0"/>
                        </a:ext>
                      </a:extLst>
                    </a:blip>
                    <a:srcRect b="11617"/>
                    <a:stretch/>
                  </pic:blipFill>
                  <pic:spPr bwMode="auto">
                    <a:xfrm>
                      <a:off x="0" y="0"/>
                      <a:ext cx="5448300" cy="1629241"/>
                    </a:xfrm>
                    <a:prstGeom prst="rect">
                      <a:avLst/>
                    </a:prstGeom>
                    <a:noFill/>
                    <a:ln>
                      <a:noFill/>
                    </a:ln>
                    <a:extLst>
                      <a:ext uri="{53640926-AAD7-44D8-BBD7-CCE9431645EC}">
                        <a14:shadowObscured xmlns:a14="http://schemas.microsoft.com/office/drawing/2010/main"/>
                      </a:ext>
                    </a:extLst>
                  </pic:spPr>
                </pic:pic>
              </a:graphicData>
            </a:graphic>
          </wp:inline>
        </w:drawing>
      </w:r>
      <w:bookmarkEnd w:id="449"/>
    </w:p>
    <w:tbl>
      <w:tblPr>
        <w:tblStyle w:val="ad"/>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697"/>
        <w:gridCol w:w="697"/>
        <w:gridCol w:w="697"/>
        <w:gridCol w:w="697"/>
        <w:gridCol w:w="697"/>
        <w:gridCol w:w="697"/>
        <w:gridCol w:w="697"/>
        <w:gridCol w:w="697"/>
        <w:gridCol w:w="697"/>
        <w:gridCol w:w="697"/>
        <w:gridCol w:w="697"/>
        <w:gridCol w:w="697"/>
      </w:tblGrid>
      <w:tr w:rsidR="00DC4B7A" w:rsidRPr="00BD295E" w14:paraId="719BA5B2" w14:textId="77777777" w:rsidTr="0036089D">
        <w:trPr>
          <w:trHeight w:val="113"/>
        </w:trPr>
        <w:tc>
          <w:tcPr>
            <w:tcW w:w="697" w:type="dxa"/>
            <w:shd w:val="clear" w:color="auto" w:fill="auto"/>
            <w:tcMar>
              <w:top w:w="28" w:type="dxa"/>
              <w:left w:w="28" w:type="dxa"/>
              <w:bottom w:w="28" w:type="dxa"/>
              <w:right w:w="28" w:type="dxa"/>
            </w:tcMar>
          </w:tcPr>
          <w:p w14:paraId="1433F12F" w14:textId="0814077E"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Jan 18</w:t>
            </w:r>
          </w:p>
        </w:tc>
        <w:tc>
          <w:tcPr>
            <w:tcW w:w="697" w:type="dxa"/>
            <w:shd w:val="clear" w:color="auto" w:fill="auto"/>
          </w:tcPr>
          <w:p w14:paraId="27B851EC" w14:textId="0039F863"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Feb 18</w:t>
            </w:r>
          </w:p>
        </w:tc>
        <w:tc>
          <w:tcPr>
            <w:tcW w:w="697" w:type="dxa"/>
            <w:shd w:val="clear" w:color="auto" w:fill="auto"/>
          </w:tcPr>
          <w:p w14:paraId="652B86E6" w14:textId="088CE168"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Mar 18</w:t>
            </w:r>
          </w:p>
        </w:tc>
        <w:tc>
          <w:tcPr>
            <w:tcW w:w="697" w:type="dxa"/>
            <w:shd w:val="clear" w:color="auto" w:fill="auto"/>
          </w:tcPr>
          <w:p w14:paraId="51E32049" w14:textId="73F2F561"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Apr 18</w:t>
            </w:r>
          </w:p>
        </w:tc>
        <w:tc>
          <w:tcPr>
            <w:tcW w:w="697" w:type="dxa"/>
            <w:shd w:val="clear" w:color="auto" w:fill="auto"/>
          </w:tcPr>
          <w:p w14:paraId="115A7E98" w14:textId="711C7B25"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May 18</w:t>
            </w:r>
          </w:p>
        </w:tc>
        <w:tc>
          <w:tcPr>
            <w:tcW w:w="697" w:type="dxa"/>
            <w:shd w:val="clear" w:color="auto" w:fill="auto"/>
          </w:tcPr>
          <w:p w14:paraId="57B73A2D" w14:textId="28D9E69B"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Jun 18</w:t>
            </w:r>
          </w:p>
        </w:tc>
        <w:tc>
          <w:tcPr>
            <w:tcW w:w="697" w:type="dxa"/>
            <w:shd w:val="clear" w:color="auto" w:fill="auto"/>
          </w:tcPr>
          <w:p w14:paraId="2B3FA997" w14:textId="67FBAE7A"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Jul 18</w:t>
            </w:r>
          </w:p>
        </w:tc>
        <w:tc>
          <w:tcPr>
            <w:tcW w:w="697" w:type="dxa"/>
            <w:shd w:val="clear" w:color="auto" w:fill="auto"/>
          </w:tcPr>
          <w:p w14:paraId="4459C625" w14:textId="146A0499"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Aug 18</w:t>
            </w:r>
          </w:p>
        </w:tc>
        <w:tc>
          <w:tcPr>
            <w:tcW w:w="697" w:type="dxa"/>
            <w:shd w:val="clear" w:color="auto" w:fill="auto"/>
          </w:tcPr>
          <w:p w14:paraId="43134D70" w14:textId="7A4D8787"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Sep 18</w:t>
            </w:r>
          </w:p>
        </w:tc>
        <w:tc>
          <w:tcPr>
            <w:tcW w:w="697" w:type="dxa"/>
            <w:shd w:val="clear" w:color="auto" w:fill="auto"/>
          </w:tcPr>
          <w:p w14:paraId="568E8CEA" w14:textId="2CDF5631"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Oct 18</w:t>
            </w:r>
          </w:p>
        </w:tc>
        <w:tc>
          <w:tcPr>
            <w:tcW w:w="697" w:type="dxa"/>
            <w:shd w:val="clear" w:color="auto" w:fill="auto"/>
          </w:tcPr>
          <w:p w14:paraId="35C0D4EF" w14:textId="490ADA11"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Nov 18</w:t>
            </w:r>
          </w:p>
        </w:tc>
        <w:tc>
          <w:tcPr>
            <w:tcW w:w="697" w:type="dxa"/>
            <w:shd w:val="clear" w:color="auto" w:fill="auto"/>
          </w:tcPr>
          <w:p w14:paraId="41B5AC31" w14:textId="34B92947" w:rsidR="00DC4B7A"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Dec 18</w:t>
            </w:r>
          </w:p>
        </w:tc>
      </w:tr>
    </w:tbl>
    <w:p w14:paraId="0FBA92A2" w14:textId="77777777" w:rsidR="00F3260C" w:rsidRPr="00BD295E" w:rsidRDefault="00F3260C" w:rsidP="00F3260C">
      <w:pPr>
        <w:spacing w:before="120" w:after="120"/>
        <w:rPr>
          <w:rFonts w:ascii="Arial" w:hAnsi="Arial" w:cs="Arial"/>
          <w:b/>
          <w:sz w:val="18"/>
          <w:szCs w:val="18"/>
          <w:lang w:val="en-US"/>
        </w:rPr>
      </w:pPr>
    </w:p>
    <w:p w14:paraId="03980442" w14:textId="518AD075" w:rsidR="00F3260C" w:rsidRPr="00BD295E" w:rsidRDefault="00997D07" w:rsidP="00F3260C">
      <w:pPr>
        <w:spacing w:before="120" w:after="120"/>
        <w:jc w:val="center"/>
        <w:rPr>
          <w:rFonts w:ascii="Arial" w:hAnsi="Arial" w:cs="Arial"/>
          <w:b/>
          <w:sz w:val="18"/>
          <w:szCs w:val="18"/>
          <w:lang w:val="en-US"/>
        </w:rPr>
      </w:pPr>
      <w:r w:rsidRPr="00BD295E">
        <w:rPr>
          <w:rFonts w:ascii="Arial" w:hAnsi="Arial" w:cs="Arial"/>
          <w:sz w:val="18"/>
          <w:szCs w:val="18"/>
          <w:lang w:val="en-US" w:eastAsia="en-US"/>
        </w:rPr>
        <mc:AlternateContent>
          <mc:Choice Requires="wps">
            <w:drawing>
              <wp:anchor distT="0" distB="0" distL="114300" distR="114300" simplePos="0" relativeHeight="251641344" behindDoc="1" locked="0" layoutInCell="1" allowOverlap="1" wp14:anchorId="02CFEA83" wp14:editId="72C02CFD">
                <wp:simplePos x="0" y="0"/>
                <wp:positionH relativeFrom="column">
                  <wp:posOffset>4601210</wp:posOffset>
                </wp:positionH>
                <wp:positionV relativeFrom="paragraph">
                  <wp:posOffset>756920</wp:posOffset>
                </wp:positionV>
                <wp:extent cx="198755" cy="160020"/>
                <wp:effectExtent l="4445" t="4445" r="0" b="0"/>
                <wp:wrapNone/>
                <wp:docPr id="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 cy="160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65F7E7" w14:textId="77777777" w:rsidR="002C3947" w:rsidRDefault="002C3947" w:rsidP="00F3260C">
                            <w:pPr>
                              <w:rPr>
                                <w:sz w:val="16"/>
                                <w:szCs w:val="16"/>
                              </w:rPr>
                            </w:pP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FEA83" id="Text Box 70" o:spid="_x0000_s1215" type="#_x0000_t202" style="position:absolute;left:0;text-align:left;margin-left:362.3pt;margin-top:59.6pt;width:15.65pt;height:12.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" stroked="f">
                <v:textbox>
                  <w:txbxContent>
                    <w:p w14:paraId="0965F7E7" w14:textId="77777777" w:rsidR="002C3947" w:rsidRDefault="002C3947" w:rsidP="00F3260C">
                      <w:pPr>
                        <w:rPr>
                          <w:sz w:val="16"/>
                          <w:szCs w:val="16"/>
                        </w:rPr>
                      </w:pPr>
                      <w:r>
                        <w:rPr>
                          <w:sz w:val="16"/>
                          <w:szCs w:val="16"/>
                        </w:rPr>
                        <w:t>*</w:t>
                      </w:r>
                    </w:p>
                  </w:txbxContent>
                </v:textbox>
              </v:shape>
            </w:pict>
          </mc:Fallback>
        </mc:AlternateContent>
      </w:r>
      <w:r w:rsidRPr="00BD295E">
        <w:rPr>
          <w:rFonts w:ascii="Arial" w:hAnsi="Arial" w:cs="Arial"/>
          <w:sz w:val="18"/>
          <w:szCs w:val="18"/>
          <w:lang w:val="en-US" w:eastAsia="en-US"/>
        </w:rPr>
        <mc:AlternateContent>
          <mc:Choice Requires="wps">
            <w:drawing>
              <wp:anchor distT="0" distB="0" distL="114300" distR="114300" simplePos="0" relativeHeight="251640320" behindDoc="1" locked="0" layoutInCell="1" allowOverlap="1" wp14:anchorId="7D646034" wp14:editId="3D2960E8">
                <wp:simplePos x="0" y="0"/>
                <wp:positionH relativeFrom="column">
                  <wp:posOffset>374650</wp:posOffset>
                </wp:positionH>
                <wp:positionV relativeFrom="paragraph">
                  <wp:posOffset>756920</wp:posOffset>
                </wp:positionV>
                <wp:extent cx="224790" cy="196850"/>
                <wp:effectExtent l="0" t="4445" r="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6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7A8A5B" w14:textId="77777777" w:rsidR="002C3947" w:rsidRDefault="002C3947" w:rsidP="00F3260C">
                            <w:pPr>
                              <w:rPr>
                                <w:sz w:val="16"/>
                                <w:szCs w:val="16"/>
                              </w:rPr>
                            </w:pPr>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646034" id="_x0000_s1216" type="#_x0000_t202" style="position:absolute;left:0;text-align:left;margin-left:29.5pt;margin-top:59.6pt;width:17.7pt;height:1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" stroked="f">
                <v:textbox>
                  <w:txbxContent>
                    <w:p w14:paraId="707A8A5B" w14:textId="77777777" w:rsidR="002C3947" w:rsidRDefault="002C3947" w:rsidP="00F3260C">
                      <w:pPr>
                        <w:rPr>
                          <w:sz w:val="16"/>
                          <w:szCs w:val="16"/>
                        </w:rPr>
                      </w:pPr>
                      <w:r>
                        <w:rPr>
                          <w:sz w:val="16"/>
                          <w:szCs w:val="16"/>
                        </w:rPr>
                        <w:t>*</w:t>
                      </w:r>
                    </w:p>
                  </w:txbxContent>
                </v:textbox>
              </v:shape>
            </w:pict>
          </mc:Fallback>
        </mc:AlternateContent>
      </w:r>
      <w:r w:rsidR="008A5057" w:rsidRPr="00BD295E">
        <w:rPr>
          <w:rFonts w:ascii="Arial" w:hAnsi="Arial" w:cs="Arial"/>
          <w:b/>
          <w:sz w:val="18"/>
          <w:szCs w:val="18"/>
          <w:lang w:val="en-US"/>
        </w:rPr>
        <w:t>Capitalization of distribution grid companies on the Moscow Exchange in 2018, RUB billion</w:t>
      </w:r>
    </w:p>
    <w:p w14:paraId="79E7FC50" w14:textId="57D98871" w:rsidR="00F3260C" w:rsidRPr="00BD295E" w:rsidRDefault="00997D07" w:rsidP="0036089D">
      <w:pPr>
        <w:spacing w:before="120"/>
        <w:rPr>
          <w:rFonts w:ascii="Arial" w:hAnsi="Arial" w:cs="Arial"/>
          <w:sz w:val="18"/>
          <w:szCs w:val="18"/>
          <w:lang w:val="en-US"/>
        </w:rPr>
      </w:pPr>
      <w:bookmarkStart w:id="450" w:name="_Hlk95940187"/>
      <w:r w:rsidRPr="00BD295E">
        <w:rPr>
          <w:rFonts w:ascii="Arial" w:hAnsi="Arial" w:cs="Arial"/>
          <w:sz w:val="18"/>
          <w:szCs w:val="18"/>
          <w:lang w:val="en-US" w:eastAsia="en-US"/>
        </w:rPr>
        <w:drawing>
          <wp:inline distT="0" distB="0" distL="0" distR="0" wp14:anchorId="09A9A6EA" wp14:editId="105DA7E0">
            <wp:extent cx="5943600" cy="1417767"/>
            <wp:effectExtent l="0" t="0" r="0" b="0"/>
            <wp:docPr id="93" name="Диаграмма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4"/>
                    <pic:cNvPicPr>
                      <a:picLocks noChangeArrowheads="1"/>
                    </pic:cNvPicPr>
                  </pic:nvPicPr>
                  <pic:blipFill rotWithShape="1">
                    <a:blip r:embed="rId133">
                      <a:extLst>
                        <a:ext uri="{28A0092B-C50C-407E-A947-70E740481C1C}">
                          <a14:useLocalDpi xmlns:a14="http://schemas.microsoft.com/office/drawing/2010/main" val="0"/>
                        </a:ext>
                      </a:extLst>
                    </a:blip>
                    <a:srcRect l="-111" t="-2151" r="-3787" b="19419"/>
                    <a:stretch/>
                  </pic:blipFill>
                  <pic:spPr bwMode="auto">
                    <a:xfrm>
                      <a:off x="0" y="0"/>
                      <a:ext cx="5943600" cy="1417767"/>
                    </a:xfrm>
                    <a:prstGeom prst="rect">
                      <a:avLst/>
                    </a:prstGeom>
                    <a:noFill/>
                    <a:ln>
                      <a:noFill/>
                    </a:ln>
                    <a:extLst>
                      <a:ext uri="{53640926-AAD7-44D8-BBD7-CCE9431645EC}">
                        <a14:shadowObscured xmlns:a14="http://schemas.microsoft.com/office/drawing/2010/main"/>
                      </a:ext>
                    </a:extLst>
                  </pic:spPr>
                </pic:pic>
              </a:graphicData>
            </a:graphic>
          </wp:inline>
        </w:drawing>
      </w:r>
      <w:bookmarkEnd w:id="450"/>
    </w:p>
    <w:tbl>
      <w:tblPr>
        <w:tblStyle w:val="ad"/>
        <w:tblW w:w="0" w:type="auto"/>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703"/>
        <w:gridCol w:w="703"/>
        <w:gridCol w:w="703"/>
        <w:gridCol w:w="703"/>
        <w:gridCol w:w="703"/>
        <w:gridCol w:w="703"/>
        <w:gridCol w:w="703"/>
        <w:gridCol w:w="703"/>
        <w:gridCol w:w="703"/>
        <w:gridCol w:w="703"/>
        <w:gridCol w:w="703"/>
        <w:gridCol w:w="703"/>
      </w:tblGrid>
      <w:tr w:rsidR="0036089D" w:rsidRPr="00BD295E" w14:paraId="1C6A340B" w14:textId="77777777" w:rsidTr="0036089D">
        <w:trPr>
          <w:trHeight w:val="113"/>
        </w:trPr>
        <w:tc>
          <w:tcPr>
            <w:tcW w:w="703" w:type="dxa"/>
            <w:shd w:val="clear" w:color="auto" w:fill="auto"/>
            <w:tcMar>
              <w:top w:w="28" w:type="dxa"/>
              <w:left w:w="28" w:type="dxa"/>
              <w:bottom w:w="28" w:type="dxa"/>
              <w:right w:w="28" w:type="dxa"/>
            </w:tcMar>
          </w:tcPr>
          <w:p w14:paraId="3D44805D" w14:textId="5AC2FB5D"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Rosseti</w:t>
            </w:r>
          </w:p>
        </w:tc>
        <w:tc>
          <w:tcPr>
            <w:tcW w:w="703" w:type="dxa"/>
            <w:shd w:val="clear" w:color="auto" w:fill="auto"/>
          </w:tcPr>
          <w:p w14:paraId="07FD3EB1" w14:textId="74B27CDC"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MOESK</w:t>
            </w:r>
          </w:p>
        </w:tc>
        <w:tc>
          <w:tcPr>
            <w:tcW w:w="703" w:type="dxa"/>
            <w:shd w:val="clear" w:color="auto" w:fill="auto"/>
          </w:tcPr>
          <w:p w14:paraId="195ABAAF" w14:textId="42E139D0"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IDGC of the Center</w:t>
            </w:r>
          </w:p>
        </w:tc>
        <w:tc>
          <w:tcPr>
            <w:tcW w:w="703" w:type="dxa"/>
            <w:shd w:val="clear" w:color="auto" w:fill="auto"/>
          </w:tcPr>
          <w:p w14:paraId="48B88FC2" w14:textId="20794110"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Lenenergo</w:t>
            </w:r>
          </w:p>
        </w:tc>
        <w:tc>
          <w:tcPr>
            <w:tcW w:w="703" w:type="dxa"/>
            <w:shd w:val="clear" w:color="auto" w:fill="auto"/>
          </w:tcPr>
          <w:p w14:paraId="6B6FEA8D" w14:textId="3A2F9A6D"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IDGC of the Center and Volga Region</w:t>
            </w:r>
          </w:p>
        </w:tc>
        <w:tc>
          <w:tcPr>
            <w:tcW w:w="703" w:type="dxa"/>
            <w:shd w:val="clear" w:color="auto" w:fill="auto"/>
          </w:tcPr>
          <w:p w14:paraId="3F8624B3" w14:textId="3153DED1"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IDGC of the Urals</w:t>
            </w:r>
          </w:p>
        </w:tc>
        <w:tc>
          <w:tcPr>
            <w:tcW w:w="703" w:type="dxa"/>
            <w:shd w:val="clear" w:color="auto" w:fill="auto"/>
          </w:tcPr>
          <w:p w14:paraId="183ABC13" w14:textId="5B835271"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IDGC of Volga</w:t>
            </w:r>
          </w:p>
        </w:tc>
        <w:tc>
          <w:tcPr>
            <w:tcW w:w="703" w:type="dxa"/>
            <w:shd w:val="clear" w:color="auto" w:fill="auto"/>
          </w:tcPr>
          <w:p w14:paraId="204DDE99" w14:textId="58FB63C6"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IDGC of Siberia</w:t>
            </w:r>
          </w:p>
        </w:tc>
        <w:tc>
          <w:tcPr>
            <w:tcW w:w="703" w:type="dxa"/>
            <w:shd w:val="clear" w:color="auto" w:fill="auto"/>
          </w:tcPr>
          <w:p w14:paraId="6661682D" w14:textId="722F25C4"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IDGC of NW</w:t>
            </w:r>
          </w:p>
        </w:tc>
        <w:tc>
          <w:tcPr>
            <w:tcW w:w="703" w:type="dxa"/>
            <w:shd w:val="clear" w:color="auto" w:fill="auto"/>
          </w:tcPr>
          <w:p w14:paraId="41E662F6" w14:textId="6C121212"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IDGC of  NC</w:t>
            </w:r>
          </w:p>
        </w:tc>
        <w:tc>
          <w:tcPr>
            <w:tcW w:w="703" w:type="dxa"/>
            <w:shd w:val="clear" w:color="auto" w:fill="auto"/>
          </w:tcPr>
          <w:p w14:paraId="3E6F3E53" w14:textId="490E526F"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IDGC of the South</w:t>
            </w:r>
          </w:p>
        </w:tc>
        <w:tc>
          <w:tcPr>
            <w:tcW w:w="703" w:type="dxa"/>
            <w:shd w:val="clear" w:color="auto" w:fill="auto"/>
          </w:tcPr>
          <w:p w14:paraId="4CB6D084" w14:textId="0957C689" w:rsidR="0036089D" w:rsidRPr="00BD295E" w:rsidRDefault="0036089D" w:rsidP="0036089D">
            <w:pPr>
              <w:jc w:val="center"/>
              <w:rPr>
                <w:rFonts w:ascii="Arial" w:hAnsi="Arial" w:cs="Arial"/>
                <w:sz w:val="12"/>
                <w:szCs w:val="12"/>
                <w:lang w:val="en-US"/>
              </w:rPr>
            </w:pPr>
            <w:r w:rsidRPr="00BD295E">
              <w:rPr>
                <w:rFonts w:ascii="Arial" w:hAnsi="Arial" w:cs="Arial"/>
                <w:sz w:val="12"/>
                <w:szCs w:val="12"/>
                <w:lang w:val="en-US"/>
              </w:rPr>
              <w:t>FGC UES</w:t>
            </w:r>
          </w:p>
        </w:tc>
      </w:tr>
    </w:tbl>
    <w:p w14:paraId="4F544160" w14:textId="6E5CD00C" w:rsidR="0036089D" w:rsidRPr="00BD295E" w:rsidRDefault="0036089D" w:rsidP="00F3260C">
      <w:pPr>
        <w:spacing w:before="120" w:after="120"/>
        <w:rPr>
          <w:rFonts w:ascii="Arial" w:hAnsi="Arial" w:cs="Arial"/>
          <w:sz w:val="18"/>
          <w:szCs w:val="18"/>
          <w:lang w:val="en-US"/>
        </w:rPr>
      </w:pPr>
    </w:p>
    <w:p w14:paraId="4934195C" w14:textId="77777777" w:rsidR="00F3260C" w:rsidRPr="00BD295E" w:rsidRDefault="008A5057" w:rsidP="00F7146A">
      <w:pPr>
        <w:spacing w:before="120" w:after="120"/>
        <w:rPr>
          <w:rFonts w:ascii="Arial" w:hAnsi="Arial" w:cs="Arial"/>
          <w:b/>
          <w:sz w:val="18"/>
          <w:szCs w:val="18"/>
          <w:lang w:val="en-US"/>
        </w:rPr>
      </w:pPr>
      <w:r w:rsidRPr="00BD295E">
        <w:rPr>
          <w:rFonts w:ascii="Arial" w:hAnsi="Arial" w:cs="Arial"/>
          <w:b/>
          <w:sz w:val="18"/>
          <w:szCs w:val="18"/>
          <w:lang w:val="en-US"/>
        </w:rPr>
        <w:t>GDR Program</w:t>
      </w:r>
    </w:p>
    <w:p w14:paraId="6EBDAB85" w14:textId="75390EB6" w:rsidR="00F3260C" w:rsidRPr="00BD295E" w:rsidRDefault="008A5057" w:rsidP="00F7146A">
      <w:pPr>
        <w:spacing w:before="120" w:after="120"/>
        <w:jc w:val="both"/>
        <w:rPr>
          <w:rFonts w:ascii="Arial" w:hAnsi="Arial" w:cs="Arial"/>
          <w:sz w:val="18"/>
          <w:szCs w:val="18"/>
          <w:lang w:val="en-US"/>
        </w:rPr>
      </w:pPr>
      <w:r w:rsidRPr="00BD295E">
        <w:rPr>
          <w:rFonts w:ascii="Arial" w:hAnsi="Arial" w:cs="Arial"/>
          <w:sz w:val="18"/>
          <w:szCs w:val="18"/>
          <w:lang w:val="en-US"/>
        </w:rPr>
        <w:t xml:space="preserve">On September 30, 2008, the Federal Financial Markets Service (FFMS) of Russia issued a permission to trade ordinary and preference shares of </w:t>
      </w:r>
      <w:r w:rsidR="00067915" w:rsidRPr="00BD295E">
        <w:rPr>
          <w:rFonts w:ascii="Arial" w:hAnsi="Arial" w:cs="Arial"/>
          <w:sz w:val="18"/>
          <w:szCs w:val="18"/>
          <w:lang w:val="en-US"/>
        </w:rPr>
        <w:t>O</w:t>
      </w:r>
      <w:r w:rsidR="00EE5753" w:rsidRPr="00BD295E">
        <w:rPr>
          <w:rFonts w:ascii="Arial" w:hAnsi="Arial" w:cs="Arial"/>
          <w:sz w:val="18"/>
          <w:szCs w:val="18"/>
          <w:lang w:val="en-US"/>
        </w:rPr>
        <w:t>JSC “Lenenergo”</w:t>
      </w:r>
      <w:r w:rsidRPr="00BD295E">
        <w:rPr>
          <w:rFonts w:ascii="Arial" w:hAnsi="Arial" w:cs="Arial"/>
          <w:sz w:val="18"/>
          <w:szCs w:val="18"/>
          <w:lang w:val="en-US"/>
        </w:rPr>
        <w:t xml:space="preserve"> outside Russia. 74,206,626 ordinary shares and 19,585,504 preference shares of the Company, which represents 12.0% of the total amount of issued shares (at the moment of the permission’s issuance) were allowed for trading in international markets.</w:t>
      </w:r>
    </w:p>
    <w:p w14:paraId="7D6A09FE" w14:textId="30A3BD8B" w:rsidR="00F3260C" w:rsidRPr="00BD295E" w:rsidRDefault="008A5057" w:rsidP="00F7146A">
      <w:pPr>
        <w:spacing w:before="120" w:after="120"/>
        <w:jc w:val="both"/>
        <w:rPr>
          <w:rFonts w:ascii="Arial" w:hAnsi="Arial" w:cs="Arial"/>
          <w:sz w:val="18"/>
          <w:szCs w:val="18"/>
          <w:lang w:val="en-US"/>
        </w:rPr>
      </w:pPr>
      <w:r w:rsidRPr="00BD295E">
        <w:rPr>
          <w:rFonts w:ascii="Arial" w:hAnsi="Arial" w:cs="Arial"/>
          <w:sz w:val="18"/>
          <w:szCs w:val="18"/>
          <w:lang w:val="en-US"/>
        </w:rPr>
        <w:t xml:space="preserve">In Q4 2008, </w:t>
      </w:r>
      <w:r w:rsidR="00067915" w:rsidRPr="00BD295E">
        <w:rPr>
          <w:rFonts w:ascii="Arial" w:hAnsi="Arial" w:cs="Arial"/>
          <w:sz w:val="18"/>
          <w:szCs w:val="18"/>
          <w:lang w:val="en-US"/>
        </w:rPr>
        <w:t>O</w:t>
      </w:r>
      <w:r w:rsidR="00EE5753" w:rsidRPr="00BD295E">
        <w:rPr>
          <w:rFonts w:ascii="Arial" w:hAnsi="Arial" w:cs="Arial"/>
          <w:sz w:val="18"/>
          <w:szCs w:val="18"/>
          <w:lang w:val="en-US"/>
        </w:rPr>
        <w:t>JSC “Lenenergo”</w:t>
      </w:r>
      <w:r w:rsidRPr="00BD295E">
        <w:rPr>
          <w:rFonts w:ascii="Arial" w:hAnsi="Arial" w:cs="Arial"/>
          <w:sz w:val="18"/>
          <w:szCs w:val="18"/>
          <w:lang w:val="en-US"/>
        </w:rPr>
        <w:t xml:space="preserve"> launched four sponsored Global Depositary Receipt (GDR) Programs for its shares, which could be traded in Central Europe and in the USA. The GDRs were issued under Rule 144A and Regulation S programs. The depositary bank for the GDRs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The Bank of New York Mellon. </w:t>
      </w:r>
    </w:p>
    <w:p w14:paraId="680E5F10" w14:textId="77777777" w:rsidR="00B30DC3" w:rsidRPr="00BD295E" w:rsidRDefault="008A5057" w:rsidP="00F7146A">
      <w:pPr>
        <w:rPr>
          <w:rFonts w:ascii="Arial" w:hAnsi="Arial" w:cs="Arial"/>
          <w:sz w:val="18"/>
          <w:szCs w:val="18"/>
          <w:lang w:val="en-US"/>
        </w:rPr>
      </w:pPr>
      <w:r w:rsidRPr="00BD295E">
        <w:rPr>
          <w:rFonts w:ascii="Arial" w:hAnsi="Arial" w:cs="Arial"/>
          <w:sz w:val="18"/>
          <w:szCs w:val="18"/>
          <w:lang w:val="en-US"/>
        </w:rPr>
        <w:t xml:space="preserve">In October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received a notice from the depositary bank of its intention to terminate the GDR program. Therefore, after proper notification to GDR holders by the depositary bank, all receipts will be converted into shares or sold. The termination of the program is due to demand for securities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being limited to the Russian market only.</w:t>
      </w:r>
    </w:p>
    <w:p w14:paraId="0A61EA84" w14:textId="77777777" w:rsidR="00F3260C" w:rsidRPr="00BD295E" w:rsidRDefault="00F3260C" w:rsidP="00F7146A">
      <w:pPr>
        <w:rPr>
          <w:rFonts w:ascii="Arial" w:hAnsi="Arial" w:cs="Arial"/>
          <w:sz w:val="18"/>
          <w:szCs w:val="18"/>
          <w:lang w:val="en-US"/>
        </w:rPr>
      </w:pPr>
    </w:p>
    <w:p w14:paraId="696E8D89" w14:textId="77777777" w:rsidR="00F3260C" w:rsidRPr="00BD295E" w:rsidRDefault="008A5057" w:rsidP="00F7146A">
      <w:pPr>
        <w:pStyle w:val="aff2"/>
        <w:spacing w:after="0"/>
        <w:rPr>
          <w:rFonts w:ascii="Arial" w:hAnsi="Arial" w:cs="Arial"/>
          <w:b/>
          <w:sz w:val="18"/>
          <w:szCs w:val="18"/>
          <w:lang w:val="en-US"/>
        </w:rPr>
      </w:pPr>
      <w:bookmarkStart w:id="451" w:name="_Toc389489082"/>
      <w:bookmarkStart w:id="452" w:name="_Toc410809550"/>
      <w:bookmarkStart w:id="453" w:name="_Toc478558852"/>
      <w:r w:rsidRPr="00BD295E">
        <w:rPr>
          <w:rFonts w:ascii="Arial" w:hAnsi="Arial" w:cs="Arial"/>
          <w:b/>
          <w:sz w:val="18"/>
          <w:szCs w:val="18"/>
          <w:lang w:val="en-US"/>
        </w:rPr>
        <w:t>Profit Distribution and Dividend Policy</w:t>
      </w:r>
      <w:bookmarkEnd w:id="451"/>
      <w:bookmarkEnd w:id="452"/>
      <w:bookmarkEnd w:id="453"/>
    </w:p>
    <w:p w14:paraId="5138BAD4" w14:textId="77777777" w:rsidR="00F3260C" w:rsidRPr="00BD295E" w:rsidRDefault="00F3260C" w:rsidP="00F7146A">
      <w:pPr>
        <w:pStyle w:val="aff2"/>
        <w:spacing w:after="0"/>
        <w:rPr>
          <w:rFonts w:ascii="Arial" w:hAnsi="Arial" w:cs="Arial"/>
          <w:i/>
          <w:sz w:val="18"/>
          <w:szCs w:val="18"/>
          <w:lang w:val="en-US"/>
        </w:rPr>
      </w:pPr>
    </w:p>
    <w:p w14:paraId="08642CBD" w14:textId="77777777" w:rsidR="00A44F69" w:rsidRPr="00BD295E" w:rsidRDefault="008A5057" w:rsidP="00F7146A">
      <w:pPr>
        <w:pStyle w:val="aff2"/>
        <w:spacing w:after="0"/>
        <w:rPr>
          <w:rFonts w:ascii="Arial" w:hAnsi="Arial" w:cs="Arial"/>
          <w:sz w:val="18"/>
          <w:szCs w:val="18"/>
          <w:lang w:val="en-US"/>
        </w:rPr>
      </w:pPr>
      <w:r w:rsidRPr="00BD295E">
        <w:rPr>
          <w:rFonts w:ascii="Arial" w:hAnsi="Arial" w:cs="Arial"/>
          <w:sz w:val="18"/>
          <w:szCs w:val="18"/>
          <w:lang w:val="en-US"/>
        </w:rPr>
        <w:t xml:space="preserve">The dividend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determined in line with the approved Regulations for the Dividend Policy developed in accordance with applicable laws, the Articles of Association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well as the recommendations of the Corporate Governance Code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other internal documents. The Regulations outline the general principles of the dividend policy of </w:t>
      </w:r>
      <w:r w:rsidR="00EE5753" w:rsidRPr="00BD295E">
        <w:rPr>
          <w:rFonts w:ascii="Arial" w:hAnsi="Arial" w:cs="Arial"/>
          <w:sz w:val="18"/>
          <w:szCs w:val="18"/>
          <w:lang w:val="en-US"/>
        </w:rPr>
        <w:t>PJSC “Lenenergo”</w:t>
      </w:r>
      <w:r w:rsidRPr="00BD295E">
        <w:rPr>
          <w:rFonts w:ascii="Arial" w:hAnsi="Arial" w:cs="Arial"/>
          <w:sz w:val="18"/>
          <w:szCs w:val="18"/>
          <w:lang w:val="en-US"/>
        </w:rPr>
        <w:t>, the payout terms and amount of dividends; funding sources for dividend payouts; the procedure for making decisions on dividend payouts; the procedure for drafting the list of persons entitled to receive dividends; the procedure, terms, and format of dividend payouts; disclosure of information on the dividend policy; and the Company’s liability for failure to pay dividends.</w:t>
      </w:r>
    </w:p>
    <w:p w14:paraId="0614FA59" w14:textId="77777777" w:rsidR="00F3260C" w:rsidRPr="00BD295E" w:rsidRDefault="008A5057" w:rsidP="00F7146A">
      <w:pPr>
        <w:pStyle w:val="aff2"/>
        <w:spacing w:after="0"/>
        <w:rPr>
          <w:rFonts w:ascii="Arial" w:hAnsi="Arial" w:cs="Arial"/>
          <w:sz w:val="18"/>
          <w:szCs w:val="18"/>
          <w:lang w:val="en-US"/>
        </w:rPr>
      </w:pPr>
      <w:r w:rsidRPr="00BD295E">
        <w:rPr>
          <w:rFonts w:ascii="Arial" w:hAnsi="Arial" w:cs="Arial"/>
          <w:sz w:val="18"/>
          <w:szCs w:val="18"/>
          <w:lang w:val="en-US"/>
        </w:rPr>
        <w:t xml:space="preserve">The dividend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a set of principles and methods used by the Company to determine the proportions between the capitalized part of the Company’s profit and the part of profit distributed as dividends, as well as a system of relations and principles that outlines the order and timing of dividend payouts and establishes the Company’s liability for failure to pay dividends. It is based on a balance of interests of the Company and its shareholders when determining the amount of dividend to be paid, on respect and strict observance of shareholders’ rights granted under applicable Russian laws, the Articles of Association, and internal documents of the Company, and is aimed at enhancing the Company’s equity story and increasing its market capitalization.</w:t>
      </w:r>
    </w:p>
    <w:p w14:paraId="6DD4D7D6" w14:textId="77777777" w:rsidR="00F3260C" w:rsidRPr="00BD295E" w:rsidRDefault="008A5057" w:rsidP="00F7146A">
      <w:pPr>
        <w:pStyle w:val="aff2"/>
        <w:spacing w:after="0"/>
        <w:rPr>
          <w:rFonts w:ascii="Arial" w:hAnsi="Arial" w:cs="Arial"/>
          <w:sz w:val="18"/>
          <w:szCs w:val="18"/>
          <w:lang w:val="en-US"/>
        </w:rPr>
      </w:pPr>
      <w:r w:rsidRPr="00BD295E">
        <w:rPr>
          <w:rFonts w:ascii="Arial" w:hAnsi="Arial" w:cs="Arial"/>
          <w:sz w:val="18"/>
          <w:szCs w:val="18"/>
          <w:lang w:val="en-US"/>
        </w:rPr>
        <w:t xml:space="preserve">The dividend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based on the following principles:</w:t>
      </w:r>
    </w:p>
    <w:p w14:paraId="19690CBA" w14:textId="77777777" w:rsidR="00F3260C" w:rsidRPr="00BD295E" w:rsidRDefault="008A5057" w:rsidP="00F7146A">
      <w:pPr>
        <w:pStyle w:val="af3"/>
        <w:widowControl w:val="0"/>
        <w:numPr>
          <w:ilvl w:val="0"/>
          <w:numId w:val="28"/>
        </w:numPr>
        <w:autoSpaceDE w:val="0"/>
        <w:autoSpaceDN w:val="0"/>
        <w:adjustRightInd w:val="0"/>
        <w:ind w:left="709" w:firstLine="0"/>
        <w:contextualSpacing w:val="0"/>
        <w:jc w:val="both"/>
        <w:rPr>
          <w:rFonts w:ascii="Arial" w:hAnsi="Arial" w:cs="Arial"/>
          <w:sz w:val="18"/>
          <w:szCs w:val="18"/>
          <w:lang w:val="en-US"/>
        </w:rPr>
      </w:pPr>
      <w:bookmarkStart w:id="454" w:name="_Toc266713449"/>
      <w:r w:rsidRPr="00BD295E">
        <w:rPr>
          <w:rFonts w:ascii="Arial" w:hAnsi="Arial" w:cs="Arial"/>
          <w:sz w:val="18"/>
          <w:szCs w:val="18"/>
          <w:lang w:val="en-US"/>
        </w:rPr>
        <w:t>calculating dividends based on the use of profit without taking into account the effect of revaluation of financial investments;</w:t>
      </w:r>
      <w:bookmarkEnd w:id="454"/>
    </w:p>
    <w:p w14:paraId="6E1A0945" w14:textId="77777777" w:rsidR="00F3260C" w:rsidRPr="00BD295E" w:rsidRDefault="008A5057" w:rsidP="00F7146A">
      <w:pPr>
        <w:pStyle w:val="af3"/>
        <w:widowControl w:val="0"/>
        <w:numPr>
          <w:ilvl w:val="0"/>
          <w:numId w:val="28"/>
        </w:numPr>
        <w:autoSpaceDE w:val="0"/>
        <w:autoSpaceDN w:val="0"/>
        <w:adjustRightInd w:val="0"/>
        <w:ind w:left="709" w:firstLine="0"/>
        <w:contextualSpacing w:val="0"/>
        <w:jc w:val="both"/>
        <w:rPr>
          <w:rFonts w:ascii="Arial" w:hAnsi="Arial" w:cs="Arial"/>
          <w:sz w:val="18"/>
          <w:szCs w:val="18"/>
          <w:lang w:val="en-US"/>
        </w:rPr>
      </w:pPr>
      <w:bookmarkStart w:id="455" w:name="_Toc266713450"/>
      <w:r w:rsidRPr="00BD295E">
        <w:rPr>
          <w:rFonts w:ascii="Arial" w:hAnsi="Arial" w:cs="Arial"/>
          <w:sz w:val="18"/>
          <w:szCs w:val="18"/>
          <w:lang w:val="en-US"/>
        </w:rPr>
        <w:t>the need to maintain the necessary level of financial and technical condition of the Company (implementing the investment program) to secure the Company’s development going forward;</w:t>
      </w:r>
      <w:bookmarkEnd w:id="455"/>
    </w:p>
    <w:p w14:paraId="77E283C4" w14:textId="77777777" w:rsidR="00F3260C" w:rsidRPr="00BD295E" w:rsidRDefault="008A5057" w:rsidP="00F7146A">
      <w:pPr>
        <w:pStyle w:val="af3"/>
        <w:widowControl w:val="0"/>
        <w:numPr>
          <w:ilvl w:val="0"/>
          <w:numId w:val="28"/>
        </w:numPr>
        <w:autoSpaceDE w:val="0"/>
        <w:autoSpaceDN w:val="0"/>
        <w:adjustRightInd w:val="0"/>
        <w:ind w:left="709" w:firstLine="0"/>
        <w:contextualSpacing w:val="0"/>
        <w:jc w:val="both"/>
        <w:rPr>
          <w:rFonts w:ascii="Arial" w:hAnsi="Arial" w:cs="Arial"/>
          <w:sz w:val="18"/>
          <w:szCs w:val="18"/>
          <w:lang w:val="en-US"/>
        </w:rPr>
      </w:pPr>
      <w:bookmarkStart w:id="456" w:name="_Toc266713451"/>
      <w:r w:rsidRPr="00BD295E">
        <w:rPr>
          <w:rFonts w:ascii="Arial" w:hAnsi="Arial" w:cs="Arial"/>
          <w:sz w:val="18"/>
          <w:szCs w:val="18"/>
          <w:lang w:val="en-US"/>
        </w:rPr>
        <w:t>ensuring that the Company’s dividend calculation and payout practices comply with Russian laws and best practices in corporate governance;</w:t>
      </w:r>
      <w:bookmarkEnd w:id="456"/>
    </w:p>
    <w:p w14:paraId="47E5DF07" w14:textId="77777777" w:rsidR="00F3260C" w:rsidRPr="00BD295E" w:rsidRDefault="008A5057" w:rsidP="00F7146A">
      <w:pPr>
        <w:pStyle w:val="af3"/>
        <w:widowControl w:val="0"/>
        <w:numPr>
          <w:ilvl w:val="0"/>
          <w:numId w:val="28"/>
        </w:numPr>
        <w:autoSpaceDE w:val="0"/>
        <w:autoSpaceDN w:val="0"/>
        <w:adjustRightInd w:val="0"/>
        <w:ind w:left="709" w:firstLine="0"/>
        <w:contextualSpacing w:val="0"/>
        <w:jc w:val="both"/>
        <w:rPr>
          <w:rFonts w:ascii="Arial" w:hAnsi="Arial" w:cs="Arial"/>
          <w:sz w:val="18"/>
          <w:szCs w:val="18"/>
          <w:lang w:val="en-US"/>
        </w:rPr>
      </w:pPr>
      <w:bookmarkStart w:id="457" w:name="_Toc266713452"/>
      <w:r w:rsidRPr="00BD295E">
        <w:rPr>
          <w:rFonts w:ascii="Arial" w:hAnsi="Arial" w:cs="Arial"/>
          <w:sz w:val="18"/>
          <w:szCs w:val="18"/>
          <w:lang w:val="en-US"/>
        </w:rPr>
        <w:t>ensuring the optimal combination of the interests of the Company and its shareholders;</w:t>
      </w:r>
      <w:bookmarkEnd w:id="457"/>
    </w:p>
    <w:p w14:paraId="58A9EDE0" w14:textId="6A6332EF" w:rsidR="00F3260C" w:rsidRPr="00BD295E" w:rsidRDefault="008A5057" w:rsidP="00F7146A">
      <w:pPr>
        <w:pStyle w:val="af3"/>
        <w:widowControl w:val="0"/>
        <w:numPr>
          <w:ilvl w:val="0"/>
          <w:numId w:val="28"/>
        </w:numPr>
        <w:autoSpaceDE w:val="0"/>
        <w:autoSpaceDN w:val="0"/>
        <w:adjustRightInd w:val="0"/>
        <w:ind w:left="709" w:firstLine="0"/>
        <w:contextualSpacing w:val="0"/>
        <w:jc w:val="both"/>
        <w:rPr>
          <w:rFonts w:ascii="Arial" w:hAnsi="Arial" w:cs="Arial"/>
          <w:sz w:val="18"/>
          <w:szCs w:val="18"/>
          <w:lang w:val="en-US"/>
        </w:rPr>
      </w:pPr>
      <w:bookmarkStart w:id="458" w:name="_Toc266713454"/>
      <w:r w:rsidRPr="00BD295E">
        <w:rPr>
          <w:rFonts w:ascii="Arial" w:hAnsi="Arial" w:cs="Arial"/>
          <w:sz w:val="18"/>
          <w:szCs w:val="18"/>
          <w:lang w:val="en-US"/>
        </w:rPr>
        <w:t xml:space="preserve">the need to enhance the Company’s investment case and increase </w:t>
      </w:r>
      <w:bookmarkEnd w:id="458"/>
      <w:r w:rsidR="002C3947" w:rsidRPr="00BD295E">
        <w:rPr>
          <w:rFonts w:ascii="Arial" w:hAnsi="Arial" w:cs="Arial"/>
          <w:sz w:val="18"/>
          <w:szCs w:val="18"/>
          <w:lang w:val="en-US"/>
        </w:rPr>
        <w:t>capitalization;</w:t>
      </w:r>
    </w:p>
    <w:p w14:paraId="0A179E84" w14:textId="77777777" w:rsidR="00F3260C" w:rsidRPr="00BD295E" w:rsidRDefault="008A5057" w:rsidP="00F7146A">
      <w:pPr>
        <w:pStyle w:val="af3"/>
        <w:widowControl w:val="0"/>
        <w:numPr>
          <w:ilvl w:val="0"/>
          <w:numId w:val="28"/>
        </w:numPr>
        <w:autoSpaceDE w:val="0"/>
        <w:autoSpaceDN w:val="0"/>
        <w:adjustRightInd w:val="0"/>
        <w:ind w:left="709" w:firstLine="0"/>
        <w:contextualSpacing w:val="0"/>
        <w:jc w:val="both"/>
        <w:rPr>
          <w:rFonts w:ascii="Arial" w:hAnsi="Arial" w:cs="Arial"/>
          <w:sz w:val="18"/>
          <w:szCs w:val="18"/>
          <w:lang w:val="en-US"/>
        </w:rPr>
      </w:pPr>
      <w:bookmarkStart w:id="459" w:name="_Toc266713456"/>
      <w:r w:rsidRPr="00BD295E">
        <w:rPr>
          <w:rFonts w:ascii="Arial" w:hAnsi="Arial" w:cs="Arial"/>
          <w:sz w:val="18"/>
          <w:szCs w:val="18"/>
          <w:lang w:val="en-US"/>
        </w:rPr>
        <w:t>ensuring a transparent (clear) mechanism for determining the amount of, and paying, dividends;</w:t>
      </w:r>
      <w:bookmarkEnd w:id="459"/>
    </w:p>
    <w:p w14:paraId="4728F642" w14:textId="77777777" w:rsidR="00F3260C" w:rsidRPr="00BD295E" w:rsidRDefault="008A5057" w:rsidP="00F7146A">
      <w:pPr>
        <w:pStyle w:val="af3"/>
        <w:widowControl w:val="0"/>
        <w:numPr>
          <w:ilvl w:val="0"/>
          <w:numId w:val="28"/>
        </w:numPr>
        <w:autoSpaceDE w:val="0"/>
        <w:autoSpaceDN w:val="0"/>
        <w:adjustRightInd w:val="0"/>
        <w:ind w:left="709" w:firstLine="0"/>
        <w:contextualSpacing w:val="0"/>
        <w:jc w:val="both"/>
        <w:rPr>
          <w:rFonts w:ascii="Arial" w:hAnsi="Arial" w:cs="Arial"/>
          <w:sz w:val="18"/>
          <w:szCs w:val="18"/>
          <w:lang w:val="en-US"/>
        </w:rPr>
      </w:pPr>
      <w:bookmarkStart w:id="460" w:name="_Toc266713457"/>
      <w:r w:rsidRPr="00BD295E">
        <w:rPr>
          <w:rFonts w:ascii="Arial" w:hAnsi="Arial" w:cs="Arial"/>
          <w:sz w:val="18"/>
          <w:szCs w:val="18"/>
          <w:lang w:val="en-US"/>
        </w:rPr>
        <w:t>Dividends for ordinary shares are only paid if dividends for preference shares are paid in full in line with the Company’s Articles of Association (if the Company has issued preference shares).</w:t>
      </w:r>
      <w:bookmarkEnd w:id="460"/>
    </w:p>
    <w:p w14:paraId="097C26AF" w14:textId="77777777" w:rsidR="00F3260C" w:rsidRPr="00BD295E" w:rsidRDefault="008A5057" w:rsidP="00F7146A">
      <w:pPr>
        <w:pStyle w:val="16"/>
        <w:spacing w:before="0" w:beforeAutospacing="0" w:after="0" w:afterAutospacing="0"/>
        <w:jc w:val="both"/>
        <w:rPr>
          <w:rFonts w:ascii="Arial" w:hAnsi="Arial" w:cs="Arial"/>
          <w:sz w:val="18"/>
          <w:szCs w:val="18"/>
          <w:lang w:val="en-US"/>
        </w:rPr>
      </w:pPr>
      <w:r w:rsidRPr="00BD295E">
        <w:rPr>
          <w:rFonts w:ascii="Arial" w:hAnsi="Arial" w:cs="Arial"/>
          <w:sz w:val="18"/>
          <w:szCs w:val="18"/>
          <w:lang w:val="en-US"/>
        </w:rPr>
        <w:t xml:space="preserve">The recommended amount of dividend payout is determined by the Board of Directors based on the Company’s financial performance, while the Board of Directors strives to ensure that the amount of dividends paid out shareholders has a tendency to increase. </w:t>
      </w:r>
    </w:p>
    <w:p w14:paraId="7AE4BFD8" w14:textId="77777777" w:rsidR="00F3260C" w:rsidRPr="00BD295E" w:rsidRDefault="008A5057" w:rsidP="00F7146A">
      <w:pPr>
        <w:widowControl w:val="0"/>
        <w:autoSpaceDE w:val="0"/>
        <w:autoSpaceDN w:val="0"/>
        <w:adjustRightInd w:val="0"/>
        <w:jc w:val="both"/>
        <w:rPr>
          <w:rFonts w:ascii="Arial" w:hAnsi="Arial" w:cs="Arial"/>
          <w:sz w:val="18"/>
          <w:szCs w:val="18"/>
          <w:lang w:val="en-US"/>
        </w:rPr>
      </w:pPr>
      <w:r w:rsidRPr="00BD295E">
        <w:rPr>
          <w:rFonts w:ascii="Arial" w:hAnsi="Arial" w:cs="Arial"/>
          <w:sz w:val="18"/>
          <w:szCs w:val="18"/>
          <w:lang w:val="en-US"/>
        </w:rPr>
        <w:t xml:space="preserve">The Company discloses its dividend policy by publishing the Regulations for the Dividend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all amendments thereto on the Company’s website.</w:t>
      </w:r>
    </w:p>
    <w:p w14:paraId="34A0AB1E" w14:textId="77777777" w:rsidR="00F3260C" w:rsidRPr="00BD295E" w:rsidRDefault="00F3260C" w:rsidP="00F3260C">
      <w:pPr>
        <w:pStyle w:val="aff2"/>
        <w:spacing w:before="120"/>
        <w:ind w:firstLine="709"/>
        <w:rPr>
          <w:rFonts w:ascii="Arial" w:hAnsi="Arial" w:cs="Arial"/>
          <w:sz w:val="18"/>
          <w:szCs w:val="18"/>
          <w:lang w:val="en-US"/>
        </w:rPr>
      </w:pPr>
    </w:p>
    <w:p w14:paraId="12D17C3C" w14:textId="77777777" w:rsidR="00F3260C" w:rsidRPr="00BD295E" w:rsidRDefault="008A5057" w:rsidP="00F3260C">
      <w:pPr>
        <w:ind w:left="-567" w:firstLine="567"/>
        <w:jc w:val="center"/>
        <w:rPr>
          <w:rFonts w:ascii="Arial" w:eastAsia="Calibri" w:hAnsi="Arial" w:cs="Arial"/>
          <w:b/>
          <w:sz w:val="18"/>
          <w:szCs w:val="18"/>
          <w:lang w:val="en-US"/>
        </w:rPr>
      </w:pPr>
      <w:r w:rsidRPr="00BD295E">
        <w:rPr>
          <w:rFonts w:ascii="Arial" w:hAnsi="Arial" w:cs="Arial"/>
          <w:b/>
          <w:sz w:val="18"/>
          <w:szCs w:val="18"/>
          <w:lang w:val="en-US"/>
        </w:rPr>
        <w:t>Profit distribution in 2016–2018*</w:t>
      </w:r>
    </w:p>
    <w:tbl>
      <w:tblPr>
        <w:tblW w:w="83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089"/>
        <w:gridCol w:w="1422"/>
        <w:gridCol w:w="1548"/>
        <w:gridCol w:w="1628"/>
        <w:gridCol w:w="1637"/>
      </w:tblGrid>
      <w:tr w:rsidR="008A5057" w:rsidRPr="00BD295E" w14:paraId="3A4C4607" w14:textId="77777777" w:rsidTr="0031297B">
        <w:trPr>
          <w:trHeight w:val="809"/>
        </w:trPr>
        <w:tc>
          <w:tcPr>
            <w:tcW w:w="3511" w:type="dxa"/>
            <w:gridSpan w:val="2"/>
          </w:tcPr>
          <w:p w14:paraId="0997D793" w14:textId="77777777" w:rsidR="00F3260C" w:rsidRPr="00BD295E" w:rsidRDefault="00F3260C" w:rsidP="0031297B">
            <w:pPr>
              <w:ind w:right="-108"/>
              <w:jc w:val="center"/>
              <w:rPr>
                <w:rFonts w:ascii="Arial" w:hAnsi="Arial" w:cs="Arial"/>
                <w:sz w:val="18"/>
                <w:szCs w:val="18"/>
                <w:lang w:val="en-US"/>
              </w:rPr>
            </w:pPr>
          </w:p>
        </w:tc>
        <w:tc>
          <w:tcPr>
            <w:tcW w:w="1548" w:type="dxa"/>
            <w:tcMar>
              <w:top w:w="0" w:type="dxa"/>
              <w:left w:w="108" w:type="dxa"/>
              <w:bottom w:w="0" w:type="dxa"/>
              <w:right w:w="108" w:type="dxa"/>
            </w:tcMar>
            <w:vAlign w:val="center"/>
          </w:tcPr>
          <w:p w14:paraId="2135EAB6"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2015</w:t>
            </w:r>
          </w:p>
          <w:p w14:paraId="2C7A0676"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 xml:space="preserve">(Annual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2016)</w:t>
            </w:r>
          </w:p>
        </w:tc>
        <w:tc>
          <w:tcPr>
            <w:tcW w:w="1628" w:type="dxa"/>
            <w:tcMar>
              <w:top w:w="0" w:type="dxa"/>
              <w:left w:w="108" w:type="dxa"/>
              <w:bottom w:w="0" w:type="dxa"/>
              <w:right w:w="108" w:type="dxa"/>
            </w:tcMar>
            <w:vAlign w:val="center"/>
          </w:tcPr>
          <w:p w14:paraId="60569523"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2016</w:t>
            </w:r>
          </w:p>
          <w:p w14:paraId="74A4495C"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 xml:space="preserve">(Annual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2017)</w:t>
            </w:r>
          </w:p>
        </w:tc>
        <w:tc>
          <w:tcPr>
            <w:tcW w:w="1637" w:type="dxa"/>
            <w:tcMar>
              <w:top w:w="0" w:type="dxa"/>
              <w:left w:w="108" w:type="dxa"/>
              <w:bottom w:w="0" w:type="dxa"/>
              <w:right w:w="108" w:type="dxa"/>
            </w:tcMar>
            <w:vAlign w:val="center"/>
          </w:tcPr>
          <w:p w14:paraId="5D9F52F8"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2017</w:t>
            </w:r>
          </w:p>
          <w:p w14:paraId="443EDA5F"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 xml:space="preserve">(Annual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2018)</w:t>
            </w:r>
          </w:p>
        </w:tc>
      </w:tr>
      <w:tr w:rsidR="008A5057" w:rsidRPr="00BD295E" w14:paraId="3F4DF43F" w14:textId="77777777" w:rsidTr="0031297B">
        <w:trPr>
          <w:trHeight w:val="560"/>
        </w:trPr>
        <w:tc>
          <w:tcPr>
            <w:tcW w:w="3511" w:type="dxa"/>
            <w:gridSpan w:val="2"/>
          </w:tcPr>
          <w:p w14:paraId="1B275A61" w14:textId="77777777" w:rsidR="00F3260C" w:rsidRPr="00BD295E" w:rsidRDefault="008A5057" w:rsidP="0031297B">
            <w:pPr>
              <w:tabs>
                <w:tab w:val="left" w:pos="142"/>
              </w:tabs>
              <w:ind w:left="142" w:hanging="142"/>
              <w:rPr>
                <w:rFonts w:ascii="Arial" w:hAnsi="Arial" w:cs="Arial"/>
                <w:sz w:val="18"/>
                <w:szCs w:val="18"/>
                <w:lang w:val="en-US"/>
              </w:rPr>
            </w:pPr>
            <w:r w:rsidRPr="00BD295E">
              <w:rPr>
                <w:rFonts w:ascii="Arial" w:hAnsi="Arial" w:cs="Arial"/>
                <w:sz w:val="18"/>
                <w:szCs w:val="18"/>
                <w:lang w:val="en-US"/>
              </w:rPr>
              <w:t xml:space="preserve">  Retained earnings </w:t>
            </w:r>
          </w:p>
          <w:p w14:paraId="4FC2FAED" w14:textId="77777777" w:rsidR="00F3260C" w:rsidRPr="00BD295E" w:rsidRDefault="008A5057" w:rsidP="0031297B">
            <w:pPr>
              <w:tabs>
                <w:tab w:val="left" w:pos="142"/>
              </w:tabs>
              <w:ind w:left="142" w:hanging="142"/>
              <w:rPr>
                <w:rFonts w:ascii="Arial" w:hAnsi="Arial" w:cs="Arial"/>
                <w:sz w:val="18"/>
                <w:szCs w:val="18"/>
                <w:lang w:val="en-US"/>
              </w:rPr>
            </w:pPr>
            <w:r w:rsidRPr="00BD295E">
              <w:rPr>
                <w:rFonts w:ascii="Arial" w:hAnsi="Arial" w:cs="Arial"/>
                <w:sz w:val="18"/>
                <w:szCs w:val="18"/>
                <w:lang w:val="en-US"/>
              </w:rPr>
              <w:t xml:space="preserve"> TOTAL, RUB thousand, including:</w:t>
            </w:r>
          </w:p>
        </w:tc>
        <w:tc>
          <w:tcPr>
            <w:tcW w:w="1548" w:type="dxa"/>
            <w:tcMar>
              <w:top w:w="0" w:type="dxa"/>
              <w:left w:w="108" w:type="dxa"/>
              <w:bottom w:w="0" w:type="dxa"/>
              <w:right w:w="108" w:type="dxa"/>
            </w:tcMar>
          </w:tcPr>
          <w:p w14:paraId="06213F13"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-5,916,496</w:t>
            </w:r>
          </w:p>
        </w:tc>
        <w:tc>
          <w:tcPr>
            <w:tcW w:w="1628" w:type="dxa"/>
            <w:tcMar>
              <w:top w:w="0" w:type="dxa"/>
              <w:left w:w="108" w:type="dxa"/>
              <w:bottom w:w="0" w:type="dxa"/>
              <w:right w:w="108" w:type="dxa"/>
            </w:tcMar>
          </w:tcPr>
          <w:p w14:paraId="447D81BC"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7,561,315</w:t>
            </w:r>
          </w:p>
        </w:tc>
        <w:tc>
          <w:tcPr>
            <w:tcW w:w="1637" w:type="dxa"/>
            <w:tcMar>
              <w:top w:w="0" w:type="dxa"/>
              <w:left w:w="108" w:type="dxa"/>
              <w:bottom w:w="0" w:type="dxa"/>
              <w:right w:w="108" w:type="dxa"/>
            </w:tcMar>
          </w:tcPr>
          <w:p w14:paraId="1DE6EE3A"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12,560,998</w:t>
            </w:r>
          </w:p>
        </w:tc>
      </w:tr>
      <w:tr w:rsidR="008A5057" w:rsidRPr="00BD295E" w14:paraId="3D19BD87" w14:textId="77777777" w:rsidTr="0031297B">
        <w:trPr>
          <w:trHeight w:val="280"/>
        </w:trPr>
        <w:tc>
          <w:tcPr>
            <w:tcW w:w="3511" w:type="dxa"/>
            <w:gridSpan w:val="2"/>
          </w:tcPr>
          <w:p w14:paraId="2C9FF22D" w14:textId="77777777" w:rsidR="00F3260C" w:rsidRPr="00BD295E" w:rsidRDefault="008A5057" w:rsidP="0031297B">
            <w:pPr>
              <w:tabs>
                <w:tab w:val="left" w:pos="142"/>
              </w:tabs>
              <w:ind w:firstLine="57"/>
              <w:rPr>
                <w:rFonts w:ascii="Arial" w:hAnsi="Arial" w:cs="Arial"/>
                <w:sz w:val="18"/>
                <w:szCs w:val="18"/>
                <w:lang w:val="en-US"/>
              </w:rPr>
            </w:pPr>
            <w:r w:rsidRPr="00BD295E">
              <w:rPr>
                <w:rFonts w:ascii="Arial" w:hAnsi="Arial" w:cs="Arial"/>
                <w:sz w:val="18"/>
                <w:szCs w:val="18"/>
                <w:lang w:val="en-US"/>
              </w:rPr>
              <w:t>  Reserve fund, RUB thousand</w:t>
            </w:r>
          </w:p>
        </w:tc>
        <w:tc>
          <w:tcPr>
            <w:tcW w:w="1548" w:type="dxa"/>
            <w:tcMar>
              <w:top w:w="0" w:type="dxa"/>
              <w:left w:w="108" w:type="dxa"/>
              <w:bottom w:w="0" w:type="dxa"/>
              <w:right w:w="108" w:type="dxa"/>
            </w:tcMar>
          </w:tcPr>
          <w:p w14:paraId="0F1A614C"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c>
          <w:tcPr>
            <w:tcW w:w="1628" w:type="dxa"/>
            <w:tcMar>
              <w:top w:w="0" w:type="dxa"/>
              <w:left w:w="108" w:type="dxa"/>
              <w:bottom w:w="0" w:type="dxa"/>
              <w:right w:w="108" w:type="dxa"/>
            </w:tcMar>
          </w:tcPr>
          <w:p w14:paraId="021355E3"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378,066</w:t>
            </w:r>
          </w:p>
        </w:tc>
        <w:tc>
          <w:tcPr>
            <w:tcW w:w="1637" w:type="dxa"/>
            <w:tcMar>
              <w:top w:w="0" w:type="dxa"/>
              <w:left w:w="108" w:type="dxa"/>
              <w:bottom w:w="0" w:type="dxa"/>
              <w:right w:w="108" w:type="dxa"/>
            </w:tcMar>
          </w:tcPr>
          <w:p w14:paraId="3AD29E90"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628,050</w:t>
            </w:r>
          </w:p>
        </w:tc>
      </w:tr>
      <w:tr w:rsidR="008A5057" w:rsidRPr="00BD295E" w14:paraId="09D359A6" w14:textId="77777777" w:rsidTr="0031297B">
        <w:trPr>
          <w:trHeight w:val="280"/>
        </w:trPr>
        <w:tc>
          <w:tcPr>
            <w:tcW w:w="3511" w:type="dxa"/>
            <w:gridSpan w:val="2"/>
          </w:tcPr>
          <w:p w14:paraId="1F88ABE7" w14:textId="77777777" w:rsidR="00F3260C" w:rsidRPr="00BD295E" w:rsidRDefault="008A5057" w:rsidP="0031297B">
            <w:pPr>
              <w:tabs>
                <w:tab w:val="left" w:pos="142"/>
              </w:tabs>
              <w:ind w:firstLine="57"/>
              <w:rPr>
                <w:rFonts w:ascii="Arial" w:hAnsi="Arial" w:cs="Arial"/>
                <w:sz w:val="18"/>
                <w:szCs w:val="18"/>
                <w:lang w:val="en-US"/>
              </w:rPr>
            </w:pPr>
            <w:r w:rsidRPr="00BD295E">
              <w:rPr>
                <w:rFonts w:ascii="Arial" w:hAnsi="Arial" w:cs="Arial"/>
                <w:sz w:val="18"/>
                <w:szCs w:val="18"/>
                <w:lang w:val="en-US"/>
              </w:rPr>
              <w:t>  Development profit, RUB thousand</w:t>
            </w:r>
          </w:p>
        </w:tc>
        <w:tc>
          <w:tcPr>
            <w:tcW w:w="1548" w:type="dxa"/>
            <w:tcMar>
              <w:top w:w="0" w:type="dxa"/>
              <w:left w:w="108" w:type="dxa"/>
              <w:bottom w:w="0" w:type="dxa"/>
              <w:right w:w="108" w:type="dxa"/>
            </w:tcMar>
          </w:tcPr>
          <w:p w14:paraId="593777CF"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c>
          <w:tcPr>
            <w:tcW w:w="1628" w:type="dxa"/>
            <w:tcMar>
              <w:top w:w="0" w:type="dxa"/>
              <w:left w:w="108" w:type="dxa"/>
              <w:bottom w:w="0" w:type="dxa"/>
              <w:right w:w="108" w:type="dxa"/>
            </w:tcMar>
          </w:tcPr>
          <w:p w14:paraId="3FFC378F"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5,292,602</w:t>
            </w:r>
          </w:p>
        </w:tc>
        <w:tc>
          <w:tcPr>
            <w:tcW w:w="1637" w:type="dxa"/>
            <w:tcMar>
              <w:top w:w="0" w:type="dxa"/>
              <w:left w:w="108" w:type="dxa"/>
              <w:bottom w:w="0" w:type="dxa"/>
              <w:right w:w="108" w:type="dxa"/>
            </w:tcMar>
          </w:tcPr>
          <w:p w14:paraId="49EC505A"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9,512,497</w:t>
            </w:r>
          </w:p>
        </w:tc>
      </w:tr>
      <w:tr w:rsidR="008A5057" w:rsidRPr="00BD295E" w14:paraId="0AC789EF" w14:textId="77777777" w:rsidTr="0031297B">
        <w:trPr>
          <w:trHeight w:val="280"/>
        </w:trPr>
        <w:tc>
          <w:tcPr>
            <w:tcW w:w="3511" w:type="dxa"/>
            <w:gridSpan w:val="2"/>
          </w:tcPr>
          <w:p w14:paraId="0C22FDB0" w14:textId="77777777" w:rsidR="00F3260C" w:rsidRPr="00BD295E" w:rsidRDefault="008A5057" w:rsidP="0031297B">
            <w:pPr>
              <w:tabs>
                <w:tab w:val="left" w:pos="142"/>
              </w:tabs>
              <w:ind w:firstLine="57"/>
              <w:rPr>
                <w:rFonts w:ascii="Arial" w:hAnsi="Arial" w:cs="Arial"/>
                <w:sz w:val="18"/>
                <w:szCs w:val="18"/>
                <w:lang w:val="en-US"/>
              </w:rPr>
            </w:pPr>
            <w:r w:rsidRPr="00BD295E">
              <w:rPr>
                <w:rFonts w:ascii="Arial" w:hAnsi="Arial" w:cs="Arial"/>
                <w:sz w:val="18"/>
                <w:szCs w:val="18"/>
                <w:lang w:val="en-US"/>
              </w:rPr>
              <w:t xml:space="preserve">  Dividends, RUB thousand</w:t>
            </w:r>
          </w:p>
        </w:tc>
        <w:tc>
          <w:tcPr>
            <w:tcW w:w="1548" w:type="dxa"/>
            <w:tcMar>
              <w:top w:w="0" w:type="dxa"/>
              <w:left w:w="108" w:type="dxa"/>
              <w:bottom w:w="0" w:type="dxa"/>
              <w:right w:w="108" w:type="dxa"/>
            </w:tcMar>
          </w:tcPr>
          <w:p w14:paraId="356B0E3F"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c>
          <w:tcPr>
            <w:tcW w:w="1628" w:type="dxa"/>
            <w:tcMar>
              <w:top w:w="0" w:type="dxa"/>
              <w:left w:w="108" w:type="dxa"/>
              <w:bottom w:w="0" w:type="dxa"/>
              <w:right w:w="108" w:type="dxa"/>
            </w:tcMar>
          </w:tcPr>
          <w:p w14:paraId="670E6166"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1,890,647</w:t>
            </w:r>
          </w:p>
        </w:tc>
        <w:tc>
          <w:tcPr>
            <w:tcW w:w="1637" w:type="dxa"/>
            <w:tcMar>
              <w:top w:w="0" w:type="dxa"/>
              <w:left w:w="108" w:type="dxa"/>
              <w:bottom w:w="0" w:type="dxa"/>
              <w:right w:w="108" w:type="dxa"/>
            </w:tcMar>
          </w:tcPr>
          <w:p w14:paraId="2DBB7014"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2,420,451</w:t>
            </w:r>
          </w:p>
        </w:tc>
      </w:tr>
      <w:tr w:rsidR="008A5057" w:rsidRPr="00BD295E" w14:paraId="088496FA" w14:textId="77777777" w:rsidTr="0031297B">
        <w:trPr>
          <w:trHeight w:val="282"/>
        </w:trPr>
        <w:tc>
          <w:tcPr>
            <w:tcW w:w="3511" w:type="dxa"/>
            <w:gridSpan w:val="2"/>
          </w:tcPr>
          <w:p w14:paraId="2403410F" w14:textId="77777777" w:rsidR="00F3260C" w:rsidRPr="00BD295E" w:rsidRDefault="008A5057" w:rsidP="0031297B">
            <w:pPr>
              <w:tabs>
                <w:tab w:val="left" w:pos="142"/>
              </w:tabs>
              <w:ind w:firstLine="57"/>
              <w:rPr>
                <w:rFonts w:ascii="Arial" w:hAnsi="Arial" w:cs="Arial"/>
                <w:sz w:val="18"/>
                <w:szCs w:val="18"/>
                <w:lang w:val="en-US"/>
              </w:rPr>
            </w:pPr>
            <w:r w:rsidRPr="00BD295E">
              <w:rPr>
                <w:rFonts w:ascii="Arial" w:hAnsi="Arial" w:cs="Arial"/>
                <w:sz w:val="18"/>
                <w:szCs w:val="18"/>
                <w:lang w:val="en-US"/>
              </w:rPr>
              <w:t>  Repayment of losses for prior periods, RUB thousand</w:t>
            </w:r>
          </w:p>
        </w:tc>
        <w:tc>
          <w:tcPr>
            <w:tcW w:w="1548" w:type="dxa"/>
            <w:tcMar>
              <w:top w:w="0" w:type="dxa"/>
              <w:left w:w="108" w:type="dxa"/>
              <w:bottom w:w="0" w:type="dxa"/>
              <w:right w:w="108" w:type="dxa"/>
            </w:tcMar>
          </w:tcPr>
          <w:p w14:paraId="2BE3AEDF"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c>
          <w:tcPr>
            <w:tcW w:w="1628" w:type="dxa"/>
            <w:tcMar>
              <w:top w:w="0" w:type="dxa"/>
              <w:left w:w="108" w:type="dxa"/>
              <w:bottom w:w="0" w:type="dxa"/>
              <w:right w:w="108" w:type="dxa"/>
            </w:tcMar>
          </w:tcPr>
          <w:p w14:paraId="58B8735B"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c>
          <w:tcPr>
            <w:tcW w:w="1637" w:type="dxa"/>
            <w:tcMar>
              <w:top w:w="0" w:type="dxa"/>
              <w:left w:w="108" w:type="dxa"/>
              <w:bottom w:w="0" w:type="dxa"/>
              <w:right w:w="108" w:type="dxa"/>
            </w:tcMar>
          </w:tcPr>
          <w:p w14:paraId="372E5BCD"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r>
      <w:tr w:rsidR="008A5057" w:rsidRPr="00BD295E" w14:paraId="69CA2FC6" w14:textId="77777777" w:rsidTr="0031297B">
        <w:trPr>
          <w:gridAfter w:val="3"/>
          <w:wAfter w:w="4813" w:type="dxa"/>
          <w:trHeight w:val="200"/>
        </w:trPr>
        <w:tc>
          <w:tcPr>
            <w:tcW w:w="3511" w:type="dxa"/>
            <w:gridSpan w:val="2"/>
            <w:tcMar>
              <w:top w:w="0" w:type="dxa"/>
              <w:left w:w="108" w:type="dxa"/>
              <w:bottom w:w="0" w:type="dxa"/>
              <w:right w:w="108" w:type="dxa"/>
            </w:tcMar>
          </w:tcPr>
          <w:p w14:paraId="61A09D94" w14:textId="77777777" w:rsidR="00F3260C" w:rsidRPr="00BD295E" w:rsidRDefault="00F3260C" w:rsidP="0031297B">
            <w:pPr>
              <w:ind w:firstLine="57"/>
              <w:rPr>
                <w:rFonts w:ascii="Arial" w:hAnsi="Arial" w:cs="Arial"/>
                <w:sz w:val="18"/>
                <w:szCs w:val="18"/>
                <w:lang w:val="en-US"/>
              </w:rPr>
            </w:pPr>
          </w:p>
        </w:tc>
      </w:tr>
      <w:tr w:rsidR="008A5057" w:rsidRPr="00BD295E" w14:paraId="544BD7C9" w14:textId="77777777" w:rsidTr="0031297B">
        <w:trPr>
          <w:trHeight w:val="296"/>
        </w:trPr>
        <w:tc>
          <w:tcPr>
            <w:tcW w:w="2089" w:type="dxa"/>
            <w:vMerge w:val="restart"/>
            <w:vAlign w:val="center"/>
          </w:tcPr>
          <w:p w14:paraId="0C97A62F" w14:textId="77777777" w:rsidR="00F3260C" w:rsidRPr="00BD295E" w:rsidRDefault="008A5057" w:rsidP="0031297B">
            <w:pPr>
              <w:tabs>
                <w:tab w:val="left" w:pos="142"/>
              </w:tabs>
              <w:ind w:firstLine="57"/>
              <w:rPr>
                <w:rFonts w:ascii="Arial" w:hAnsi="Arial" w:cs="Arial"/>
                <w:sz w:val="18"/>
                <w:szCs w:val="18"/>
                <w:lang w:val="en-US"/>
              </w:rPr>
            </w:pPr>
            <w:r w:rsidRPr="00BD295E">
              <w:rPr>
                <w:rFonts w:ascii="Arial" w:hAnsi="Arial" w:cs="Arial"/>
                <w:sz w:val="18"/>
                <w:szCs w:val="18"/>
                <w:lang w:val="en-US"/>
              </w:rPr>
              <w:t xml:space="preserve">  Dividend payout,</w:t>
            </w:r>
          </w:p>
        </w:tc>
        <w:tc>
          <w:tcPr>
            <w:tcW w:w="1422" w:type="dxa"/>
            <w:tcMar>
              <w:top w:w="0" w:type="dxa"/>
              <w:left w:w="108" w:type="dxa"/>
              <w:bottom w:w="0" w:type="dxa"/>
              <w:right w:w="108" w:type="dxa"/>
            </w:tcMar>
            <w:vAlign w:val="center"/>
          </w:tcPr>
          <w:p w14:paraId="30CF1817" w14:textId="77777777" w:rsidR="00F3260C" w:rsidRPr="00BD295E" w:rsidRDefault="008A5057" w:rsidP="0031297B">
            <w:pPr>
              <w:ind w:left="-108" w:firstLine="57"/>
              <w:jc w:val="center"/>
              <w:rPr>
                <w:rFonts w:ascii="Arial" w:hAnsi="Arial" w:cs="Arial"/>
                <w:sz w:val="18"/>
                <w:szCs w:val="18"/>
                <w:lang w:val="en-US"/>
              </w:rPr>
            </w:pPr>
            <w:r w:rsidRPr="00BD295E">
              <w:rPr>
                <w:rFonts w:ascii="Arial" w:hAnsi="Arial" w:cs="Arial"/>
                <w:sz w:val="18"/>
                <w:szCs w:val="18"/>
                <w:lang w:val="en-US"/>
              </w:rPr>
              <w:t>RUB thousand</w:t>
            </w:r>
          </w:p>
        </w:tc>
        <w:tc>
          <w:tcPr>
            <w:tcW w:w="1548" w:type="dxa"/>
            <w:tcMar>
              <w:top w:w="0" w:type="dxa"/>
              <w:left w:w="108" w:type="dxa"/>
              <w:bottom w:w="0" w:type="dxa"/>
              <w:right w:w="108" w:type="dxa"/>
            </w:tcMar>
            <w:vAlign w:val="center"/>
          </w:tcPr>
          <w:p w14:paraId="13DBFAFB"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c>
          <w:tcPr>
            <w:tcW w:w="1628" w:type="dxa"/>
            <w:tcMar>
              <w:top w:w="0" w:type="dxa"/>
              <w:left w:w="108" w:type="dxa"/>
              <w:bottom w:w="0" w:type="dxa"/>
              <w:right w:w="108" w:type="dxa"/>
            </w:tcMar>
            <w:vAlign w:val="center"/>
          </w:tcPr>
          <w:p w14:paraId="793833BD"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1,890,647</w:t>
            </w:r>
          </w:p>
        </w:tc>
        <w:tc>
          <w:tcPr>
            <w:tcW w:w="1637" w:type="dxa"/>
            <w:tcMar>
              <w:top w:w="0" w:type="dxa"/>
              <w:left w:w="108" w:type="dxa"/>
              <w:bottom w:w="0" w:type="dxa"/>
              <w:right w:w="108" w:type="dxa"/>
            </w:tcMar>
            <w:vAlign w:val="center"/>
          </w:tcPr>
          <w:p w14:paraId="7C25E194"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2,420,451</w:t>
            </w:r>
          </w:p>
        </w:tc>
      </w:tr>
      <w:tr w:rsidR="008A5057" w:rsidRPr="00BD295E" w14:paraId="7183A046" w14:textId="77777777" w:rsidTr="0031297B">
        <w:trPr>
          <w:trHeight w:val="149"/>
        </w:trPr>
        <w:tc>
          <w:tcPr>
            <w:tcW w:w="2089" w:type="dxa"/>
            <w:vMerge/>
            <w:vAlign w:val="center"/>
          </w:tcPr>
          <w:p w14:paraId="7CA21EF2" w14:textId="77777777" w:rsidR="00F3260C" w:rsidRPr="00BD295E" w:rsidRDefault="00F3260C" w:rsidP="0031297B">
            <w:pPr>
              <w:ind w:firstLine="57"/>
              <w:rPr>
                <w:rFonts w:ascii="Arial" w:hAnsi="Arial" w:cs="Arial"/>
                <w:sz w:val="18"/>
                <w:szCs w:val="18"/>
                <w:lang w:val="en-US"/>
              </w:rPr>
            </w:pPr>
          </w:p>
        </w:tc>
        <w:tc>
          <w:tcPr>
            <w:tcW w:w="1422" w:type="dxa"/>
            <w:tcMar>
              <w:top w:w="0" w:type="dxa"/>
              <w:left w:w="108" w:type="dxa"/>
              <w:bottom w:w="0" w:type="dxa"/>
              <w:right w:w="108" w:type="dxa"/>
            </w:tcMar>
            <w:vAlign w:val="center"/>
          </w:tcPr>
          <w:p w14:paraId="728A1D73" w14:textId="77777777" w:rsidR="00F3260C" w:rsidRPr="00BD295E" w:rsidRDefault="008A5057" w:rsidP="0031297B">
            <w:pPr>
              <w:ind w:left="-288" w:firstLine="57"/>
              <w:jc w:val="center"/>
              <w:rPr>
                <w:rFonts w:ascii="Arial" w:hAnsi="Arial" w:cs="Arial"/>
                <w:sz w:val="18"/>
                <w:szCs w:val="18"/>
                <w:lang w:val="en-US"/>
              </w:rPr>
            </w:pPr>
            <w:r w:rsidRPr="00BD295E">
              <w:rPr>
                <w:rFonts w:ascii="Arial" w:hAnsi="Arial" w:cs="Arial"/>
                <w:sz w:val="18"/>
                <w:szCs w:val="18"/>
                <w:lang w:val="en-US"/>
              </w:rPr>
              <w:t>% of net profit</w:t>
            </w:r>
          </w:p>
        </w:tc>
        <w:tc>
          <w:tcPr>
            <w:tcW w:w="1548" w:type="dxa"/>
            <w:tcMar>
              <w:top w:w="0" w:type="dxa"/>
              <w:left w:w="108" w:type="dxa"/>
              <w:bottom w:w="0" w:type="dxa"/>
              <w:right w:w="108" w:type="dxa"/>
            </w:tcMar>
            <w:vAlign w:val="center"/>
          </w:tcPr>
          <w:p w14:paraId="3798C894"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c>
          <w:tcPr>
            <w:tcW w:w="1628" w:type="dxa"/>
            <w:tcMar>
              <w:top w:w="0" w:type="dxa"/>
              <w:left w:w="108" w:type="dxa"/>
              <w:bottom w:w="0" w:type="dxa"/>
              <w:right w:w="108" w:type="dxa"/>
            </w:tcMar>
            <w:vAlign w:val="center"/>
          </w:tcPr>
          <w:p w14:paraId="7B539CB8"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25</w:t>
            </w:r>
          </w:p>
        </w:tc>
        <w:tc>
          <w:tcPr>
            <w:tcW w:w="1637" w:type="dxa"/>
            <w:tcMar>
              <w:top w:w="0" w:type="dxa"/>
              <w:left w:w="108" w:type="dxa"/>
              <w:bottom w:w="0" w:type="dxa"/>
              <w:right w:w="108" w:type="dxa"/>
            </w:tcMar>
            <w:vAlign w:val="center"/>
          </w:tcPr>
          <w:p w14:paraId="51B03F92"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19.3</w:t>
            </w:r>
          </w:p>
        </w:tc>
      </w:tr>
      <w:tr w:rsidR="008A5057" w:rsidRPr="00BD295E" w14:paraId="1F7557CB" w14:textId="77777777" w:rsidTr="0031297B">
        <w:trPr>
          <w:trHeight w:val="406"/>
        </w:trPr>
        <w:tc>
          <w:tcPr>
            <w:tcW w:w="3511" w:type="dxa"/>
            <w:gridSpan w:val="2"/>
            <w:vAlign w:val="center"/>
          </w:tcPr>
          <w:p w14:paraId="61A88E45" w14:textId="77777777" w:rsidR="00F3260C" w:rsidRPr="00BD295E" w:rsidRDefault="008A5057" w:rsidP="0031297B">
            <w:pPr>
              <w:ind w:firstLine="57"/>
              <w:rPr>
                <w:rFonts w:ascii="Arial" w:hAnsi="Arial" w:cs="Arial"/>
                <w:sz w:val="18"/>
                <w:szCs w:val="18"/>
                <w:lang w:val="en-US"/>
              </w:rPr>
            </w:pPr>
            <w:r w:rsidRPr="00BD295E">
              <w:rPr>
                <w:rFonts w:ascii="Arial" w:hAnsi="Arial" w:cs="Arial"/>
                <w:sz w:val="18"/>
                <w:szCs w:val="18"/>
                <w:lang w:val="en-US"/>
              </w:rPr>
              <w:t xml:space="preserve">  Dividend per ordinary share, RUB</w:t>
            </w:r>
          </w:p>
        </w:tc>
        <w:tc>
          <w:tcPr>
            <w:tcW w:w="1548" w:type="dxa"/>
            <w:tcMar>
              <w:top w:w="0" w:type="dxa"/>
              <w:left w:w="108" w:type="dxa"/>
              <w:bottom w:w="0" w:type="dxa"/>
              <w:right w:w="108" w:type="dxa"/>
            </w:tcMar>
            <w:vAlign w:val="center"/>
          </w:tcPr>
          <w:p w14:paraId="1A66DC30"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c>
          <w:tcPr>
            <w:tcW w:w="1628" w:type="dxa"/>
            <w:tcMar>
              <w:top w:w="0" w:type="dxa"/>
              <w:left w:w="108" w:type="dxa"/>
              <w:bottom w:w="0" w:type="dxa"/>
              <w:right w:w="108" w:type="dxa"/>
            </w:tcMar>
            <w:vAlign w:val="center"/>
          </w:tcPr>
          <w:p w14:paraId="7719DF39" w14:textId="77777777" w:rsidR="00F3260C" w:rsidRPr="00BD295E" w:rsidRDefault="008A5057" w:rsidP="0031297B">
            <w:pPr>
              <w:jc w:val="center"/>
              <w:rPr>
                <w:rFonts w:ascii="Arial" w:hAnsi="Arial" w:cs="Arial"/>
                <w:sz w:val="18"/>
                <w:szCs w:val="18"/>
                <w:lang w:val="en-US"/>
              </w:rPr>
            </w:pPr>
            <w:r w:rsidRPr="00BD295E">
              <w:rPr>
                <w:rFonts w:ascii="Arial" w:hAnsi="Arial" w:cs="Arial"/>
                <w:sz w:val="18"/>
                <w:szCs w:val="18"/>
                <w:lang w:val="en-US"/>
              </w:rPr>
              <w:t>0.1331</w:t>
            </w:r>
          </w:p>
        </w:tc>
        <w:tc>
          <w:tcPr>
            <w:tcW w:w="1637" w:type="dxa"/>
            <w:tcMar>
              <w:top w:w="0" w:type="dxa"/>
              <w:left w:w="108" w:type="dxa"/>
              <w:bottom w:w="0" w:type="dxa"/>
              <w:right w:w="108" w:type="dxa"/>
            </w:tcMar>
            <w:vAlign w:val="center"/>
          </w:tcPr>
          <w:p w14:paraId="369579FB"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0.1366</w:t>
            </w:r>
          </w:p>
        </w:tc>
      </w:tr>
      <w:tr w:rsidR="008A5057" w:rsidRPr="00BD295E" w14:paraId="3CE537B6" w14:textId="77777777" w:rsidTr="0031297B">
        <w:trPr>
          <w:trHeight w:val="406"/>
        </w:trPr>
        <w:tc>
          <w:tcPr>
            <w:tcW w:w="3511" w:type="dxa"/>
            <w:gridSpan w:val="2"/>
            <w:vAlign w:val="center"/>
          </w:tcPr>
          <w:p w14:paraId="73B5D6C4" w14:textId="77777777" w:rsidR="00F3260C" w:rsidRPr="00BD295E" w:rsidRDefault="008A5057" w:rsidP="0031297B">
            <w:pPr>
              <w:ind w:firstLine="57"/>
              <w:rPr>
                <w:rFonts w:ascii="Arial" w:hAnsi="Arial" w:cs="Arial"/>
                <w:sz w:val="18"/>
                <w:szCs w:val="18"/>
                <w:lang w:val="en-US"/>
              </w:rPr>
            </w:pPr>
            <w:r w:rsidRPr="00BD295E">
              <w:rPr>
                <w:rFonts w:ascii="Arial" w:hAnsi="Arial" w:cs="Arial"/>
                <w:sz w:val="18"/>
                <w:szCs w:val="18"/>
                <w:lang w:val="en-US"/>
              </w:rPr>
              <w:t>Dividend per preference share, RUB</w:t>
            </w:r>
          </w:p>
        </w:tc>
        <w:tc>
          <w:tcPr>
            <w:tcW w:w="1548" w:type="dxa"/>
            <w:tcMar>
              <w:top w:w="0" w:type="dxa"/>
              <w:left w:w="108" w:type="dxa"/>
              <w:bottom w:w="0" w:type="dxa"/>
              <w:right w:w="108" w:type="dxa"/>
            </w:tcMar>
            <w:vAlign w:val="center"/>
          </w:tcPr>
          <w:p w14:paraId="21FD1D1C"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0</w:t>
            </w:r>
          </w:p>
        </w:tc>
        <w:tc>
          <w:tcPr>
            <w:tcW w:w="1628" w:type="dxa"/>
            <w:tcMar>
              <w:top w:w="0" w:type="dxa"/>
              <w:left w:w="108" w:type="dxa"/>
              <w:bottom w:w="0" w:type="dxa"/>
              <w:right w:w="108" w:type="dxa"/>
            </w:tcMar>
            <w:vAlign w:val="center"/>
          </w:tcPr>
          <w:p w14:paraId="0652710D"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8.107405</w:t>
            </w:r>
          </w:p>
        </w:tc>
        <w:tc>
          <w:tcPr>
            <w:tcW w:w="1637" w:type="dxa"/>
            <w:tcMar>
              <w:top w:w="0" w:type="dxa"/>
              <w:left w:w="108" w:type="dxa"/>
              <w:bottom w:w="0" w:type="dxa"/>
              <w:right w:w="108" w:type="dxa"/>
            </w:tcMar>
            <w:vAlign w:val="center"/>
          </w:tcPr>
          <w:p w14:paraId="23C7A3D7" w14:textId="77777777" w:rsidR="00F3260C" w:rsidRPr="00BD295E" w:rsidRDefault="008A5057" w:rsidP="0031297B">
            <w:pPr>
              <w:ind w:firstLine="57"/>
              <w:jc w:val="center"/>
              <w:rPr>
                <w:rFonts w:ascii="Arial" w:hAnsi="Arial" w:cs="Arial"/>
                <w:sz w:val="18"/>
                <w:szCs w:val="18"/>
                <w:lang w:val="en-US"/>
              </w:rPr>
            </w:pPr>
            <w:r w:rsidRPr="00BD295E">
              <w:rPr>
                <w:rFonts w:ascii="Arial" w:hAnsi="Arial" w:cs="Arial"/>
                <w:sz w:val="18"/>
                <w:szCs w:val="18"/>
                <w:lang w:val="en-US"/>
              </w:rPr>
              <w:t>13.4682</w:t>
            </w:r>
          </w:p>
        </w:tc>
      </w:tr>
    </w:tbl>
    <w:p w14:paraId="40971B55" w14:textId="77777777" w:rsidR="00F3260C" w:rsidRPr="00BD295E" w:rsidRDefault="008A5057" w:rsidP="00F3260C">
      <w:pPr>
        <w:ind w:firstLine="709"/>
        <w:jc w:val="both"/>
        <w:rPr>
          <w:rFonts w:ascii="Arial" w:hAnsi="Arial" w:cs="Arial"/>
          <w:sz w:val="18"/>
          <w:szCs w:val="18"/>
          <w:lang w:val="en-US"/>
        </w:rPr>
      </w:pPr>
      <w:r w:rsidRPr="00BD295E">
        <w:rPr>
          <w:rFonts w:ascii="Arial" w:hAnsi="Arial" w:cs="Arial"/>
          <w:sz w:val="18"/>
          <w:szCs w:val="18"/>
          <w:lang w:val="en-US"/>
        </w:rPr>
        <w:t>* Information on profit distribution under resolutions of annual general meetings (AGMs)</w:t>
      </w:r>
    </w:p>
    <w:p w14:paraId="00005A09" w14:textId="77777777" w:rsidR="00F3260C" w:rsidRPr="00BD295E" w:rsidRDefault="008A5057" w:rsidP="00F3260C">
      <w:pPr>
        <w:ind w:firstLine="709"/>
        <w:jc w:val="both"/>
        <w:rPr>
          <w:rFonts w:ascii="Arial" w:hAnsi="Arial" w:cs="Arial"/>
          <w:sz w:val="18"/>
          <w:szCs w:val="18"/>
          <w:lang w:val="en-US"/>
        </w:rPr>
      </w:pPr>
      <w:r w:rsidRPr="00BD295E">
        <w:rPr>
          <w:rFonts w:ascii="Arial" w:hAnsi="Arial" w:cs="Arial"/>
          <w:sz w:val="18"/>
          <w:szCs w:val="18"/>
          <w:lang w:val="en-US"/>
        </w:rPr>
        <w:t xml:space="preserve">AGM 2016 (for 2015) – AGM Minutes No. 1/2016 </w:t>
      </w:r>
      <w:r w:rsidR="008B183C" w:rsidRPr="00BD295E">
        <w:rPr>
          <w:rFonts w:ascii="Arial" w:hAnsi="Arial" w:cs="Arial"/>
          <w:sz w:val="18"/>
          <w:szCs w:val="18"/>
          <w:lang w:val="en-US"/>
        </w:rPr>
        <w:t>of</w:t>
      </w:r>
      <w:r w:rsidRPr="00BD295E">
        <w:rPr>
          <w:rFonts w:ascii="Arial" w:hAnsi="Arial" w:cs="Arial"/>
          <w:sz w:val="18"/>
          <w:szCs w:val="18"/>
          <w:lang w:val="en-US"/>
        </w:rPr>
        <w:t xml:space="preserve"> June 9, 2016</w:t>
      </w:r>
    </w:p>
    <w:p w14:paraId="288AA9B1" w14:textId="77777777" w:rsidR="00F3260C" w:rsidRPr="00BD295E" w:rsidRDefault="008A5057" w:rsidP="00F3260C">
      <w:pPr>
        <w:ind w:firstLine="709"/>
        <w:jc w:val="both"/>
        <w:rPr>
          <w:rFonts w:ascii="Arial" w:hAnsi="Arial" w:cs="Arial"/>
          <w:sz w:val="18"/>
          <w:szCs w:val="18"/>
          <w:lang w:val="en-US"/>
        </w:rPr>
      </w:pPr>
      <w:r w:rsidRPr="00BD295E">
        <w:rPr>
          <w:rFonts w:ascii="Arial" w:hAnsi="Arial" w:cs="Arial"/>
          <w:sz w:val="18"/>
          <w:szCs w:val="18"/>
          <w:lang w:val="en-US"/>
        </w:rPr>
        <w:t xml:space="preserve">AGM 2017 (for 2016) – AGM Minutes No. 1/2017 </w:t>
      </w:r>
      <w:r w:rsidR="008B183C" w:rsidRPr="00BD295E">
        <w:rPr>
          <w:rFonts w:ascii="Arial" w:hAnsi="Arial" w:cs="Arial"/>
          <w:sz w:val="18"/>
          <w:szCs w:val="18"/>
          <w:lang w:val="en-US"/>
        </w:rPr>
        <w:t>of</w:t>
      </w:r>
      <w:r w:rsidRPr="00BD295E">
        <w:rPr>
          <w:rFonts w:ascii="Arial" w:hAnsi="Arial" w:cs="Arial"/>
          <w:sz w:val="18"/>
          <w:szCs w:val="18"/>
          <w:lang w:val="en-US"/>
        </w:rPr>
        <w:t xml:space="preserve"> June 14, 2017</w:t>
      </w:r>
    </w:p>
    <w:p w14:paraId="6A9CBB66" w14:textId="77777777" w:rsidR="00F3260C" w:rsidRPr="00BD295E" w:rsidRDefault="008A5057" w:rsidP="00F3260C">
      <w:pPr>
        <w:ind w:firstLine="709"/>
        <w:jc w:val="both"/>
        <w:rPr>
          <w:rFonts w:ascii="Arial" w:hAnsi="Arial" w:cs="Arial"/>
          <w:sz w:val="18"/>
          <w:szCs w:val="18"/>
          <w:lang w:val="en-US"/>
        </w:rPr>
      </w:pPr>
      <w:r w:rsidRPr="00BD295E">
        <w:rPr>
          <w:rFonts w:ascii="Arial" w:hAnsi="Arial" w:cs="Arial"/>
          <w:sz w:val="18"/>
          <w:szCs w:val="18"/>
          <w:lang w:val="en-US"/>
        </w:rPr>
        <w:t xml:space="preserve">AGM 2018 (for 2017) – AGM Minutes No. 2/2018 </w:t>
      </w:r>
      <w:r w:rsidR="008B183C" w:rsidRPr="00BD295E">
        <w:rPr>
          <w:rFonts w:ascii="Arial" w:hAnsi="Arial" w:cs="Arial"/>
          <w:sz w:val="18"/>
          <w:szCs w:val="18"/>
          <w:lang w:val="en-US"/>
        </w:rPr>
        <w:t>of</w:t>
      </w:r>
      <w:r w:rsidRPr="00BD295E">
        <w:rPr>
          <w:rFonts w:ascii="Arial" w:hAnsi="Arial" w:cs="Arial"/>
          <w:sz w:val="18"/>
          <w:szCs w:val="18"/>
          <w:lang w:val="en-US"/>
        </w:rPr>
        <w:t xml:space="preserve"> June 13, 2018</w:t>
      </w:r>
    </w:p>
    <w:p w14:paraId="19CE265A" w14:textId="77777777" w:rsidR="00F3260C" w:rsidRPr="00BD295E" w:rsidRDefault="008A5057" w:rsidP="00F3260C">
      <w:pPr>
        <w:ind w:firstLine="709"/>
        <w:jc w:val="both"/>
        <w:rPr>
          <w:rFonts w:ascii="Arial" w:hAnsi="Arial" w:cs="Arial"/>
          <w:sz w:val="18"/>
          <w:szCs w:val="18"/>
          <w:lang w:val="en-US"/>
        </w:rPr>
      </w:pPr>
      <w:r w:rsidRPr="00BD295E">
        <w:rPr>
          <w:rFonts w:ascii="Arial" w:hAnsi="Arial" w:cs="Arial"/>
          <w:sz w:val="18"/>
          <w:szCs w:val="18"/>
          <w:lang w:val="en-US"/>
        </w:rPr>
        <w:t xml:space="preserve">In line with the Articles of Association of the Company, the resolution on profit distribution for 2018 will be made by 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(AGMS).</w:t>
      </w:r>
    </w:p>
    <w:p w14:paraId="14A20C8F" w14:textId="77777777" w:rsidR="00F3260C" w:rsidRPr="00BD295E" w:rsidRDefault="00F3260C" w:rsidP="00F3260C">
      <w:pPr>
        <w:ind w:firstLine="709"/>
        <w:jc w:val="both"/>
        <w:rPr>
          <w:rFonts w:ascii="Arial" w:hAnsi="Arial" w:cs="Arial"/>
          <w:sz w:val="18"/>
          <w:szCs w:val="18"/>
          <w:lang w:val="en-US"/>
        </w:rPr>
      </w:pPr>
    </w:p>
    <w:p w14:paraId="27C896D4" w14:textId="77777777" w:rsidR="00F3260C" w:rsidRPr="00BD295E" w:rsidRDefault="008A5057" w:rsidP="00F3260C">
      <w:pPr>
        <w:ind w:firstLine="709"/>
        <w:jc w:val="both"/>
        <w:rPr>
          <w:rFonts w:ascii="Arial" w:hAnsi="Arial" w:cs="Arial"/>
          <w:b/>
          <w:sz w:val="18"/>
          <w:szCs w:val="18"/>
          <w:lang w:val="en-US"/>
        </w:rPr>
      </w:pPr>
      <w:r w:rsidRPr="00BD295E">
        <w:rPr>
          <w:rFonts w:ascii="Arial" w:hAnsi="Arial" w:cs="Arial"/>
          <w:b/>
          <w:sz w:val="18"/>
          <w:szCs w:val="18"/>
          <w:lang w:val="en-US"/>
        </w:rPr>
        <w:t>Information on dividends accrued, RUB</w:t>
      </w:r>
    </w:p>
    <w:tbl>
      <w:tblPr>
        <w:tblW w:w="7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1495"/>
        <w:gridCol w:w="1614"/>
        <w:gridCol w:w="1577"/>
      </w:tblGrid>
      <w:tr w:rsidR="008A5057" w:rsidRPr="00BD295E" w14:paraId="2DDEEB84" w14:textId="77777777" w:rsidTr="00E3510B">
        <w:trPr>
          <w:trHeight w:val="20"/>
        </w:trPr>
        <w:tc>
          <w:tcPr>
            <w:tcW w:w="2906" w:type="dxa"/>
            <w:shd w:val="clear" w:color="auto" w:fill="auto"/>
            <w:hideMark/>
          </w:tcPr>
          <w:p w14:paraId="554F046D"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bCs/>
                <w:sz w:val="18"/>
                <w:szCs w:val="18"/>
                <w:lang w:val="en-US"/>
              </w:rPr>
              <w:t>Income type</w:t>
            </w:r>
          </w:p>
        </w:tc>
        <w:tc>
          <w:tcPr>
            <w:tcW w:w="1495" w:type="dxa"/>
            <w:shd w:val="clear" w:color="auto" w:fill="auto"/>
            <w:hideMark/>
          </w:tcPr>
          <w:p w14:paraId="5369B964"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bCs/>
                <w:sz w:val="18"/>
                <w:szCs w:val="18"/>
                <w:lang w:val="en-US"/>
              </w:rPr>
              <w:t>2015</w:t>
            </w:r>
          </w:p>
          <w:p w14:paraId="19FA0B78"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bCs/>
                <w:sz w:val="18"/>
                <w:szCs w:val="18"/>
                <w:lang w:val="en-US"/>
              </w:rPr>
              <w:t xml:space="preserve">(Annual </w:t>
            </w:r>
            <w:r w:rsidR="0053339C" w:rsidRPr="00BD295E">
              <w:rPr>
                <w:rFonts w:ascii="Arial" w:hAnsi="Arial" w:cs="Arial"/>
                <w:b/>
                <w:bCs/>
                <w:sz w:val="18"/>
                <w:szCs w:val="18"/>
                <w:lang w:val="en-US"/>
              </w:rPr>
              <w:t>General Meeting</w:t>
            </w:r>
            <w:r w:rsidRPr="00BD295E">
              <w:rPr>
                <w:rFonts w:ascii="Arial" w:hAnsi="Arial" w:cs="Arial"/>
                <w:b/>
                <w:bCs/>
                <w:sz w:val="18"/>
                <w:szCs w:val="18"/>
                <w:lang w:val="en-US"/>
              </w:rPr>
              <w:t>, 2016)</w:t>
            </w:r>
          </w:p>
        </w:tc>
        <w:tc>
          <w:tcPr>
            <w:tcW w:w="1614" w:type="dxa"/>
            <w:shd w:val="clear" w:color="auto" w:fill="auto"/>
            <w:hideMark/>
          </w:tcPr>
          <w:p w14:paraId="2896C1C7" w14:textId="77777777" w:rsidR="00F3260C" w:rsidRPr="00BD295E" w:rsidRDefault="008A5057" w:rsidP="00E3510B">
            <w:pPr>
              <w:ind w:firstLine="57"/>
              <w:jc w:val="center"/>
              <w:rPr>
                <w:rFonts w:ascii="Arial" w:hAnsi="Arial" w:cs="Arial"/>
                <w:b/>
                <w:sz w:val="18"/>
                <w:szCs w:val="18"/>
                <w:lang w:val="en-US"/>
              </w:rPr>
            </w:pPr>
            <w:r w:rsidRPr="00BD295E">
              <w:rPr>
                <w:rFonts w:ascii="Arial" w:hAnsi="Arial" w:cs="Arial"/>
                <w:b/>
                <w:sz w:val="18"/>
                <w:szCs w:val="18"/>
                <w:lang w:val="en-US"/>
              </w:rPr>
              <w:t>2016</w:t>
            </w:r>
          </w:p>
          <w:p w14:paraId="3A94B833"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sz w:val="18"/>
                <w:szCs w:val="18"/>
                <w:lang w:val="en-US"/>
              </w:rPr>
              <w:t xml:space="preserve">(Annual </w:t>
            </w:r>
            <w:r w:rsidR="0053339C" w:rsidRPr="00BD295E">
              <w:rPr>
                <w:rFonts w:ascii="Arial" w:hAnsi="Arial" w:cs="Arial"/>
                <w:b/>
                <w:sz w:val="18"/>
                <w:szCs w:val="18"/>
                <w:lang w:val="en-US"/>
              </w:rPr>
              <w:t>General Meeting</w:t>
            </w:r>
            <w:r w:rsidRPr="00BD295E">
              <w:rPr>
                <w:rFonts w:ascii="Arial" w:hAnsi="Arial" w:cs="Arial"/>
                <w:b/>
                <w:sz w:val="18"/>
                <w:szCs w:val="18"/>
                <w:lang w:val="en-US"/>
              </w:rPr>
              <w:t>, 2017)</w:t>
            </w:r>
          </w:p>
        </w:tc>
        <w:tc>
          <w:tcPr>
            <w:tcW w:w="1577" w:type="dxa"/>
            <w:shd w:val="clear" w:color="auto" w:fill="auto"/>
            <w:hideMark/>
          </w:tcPr>
          <w:p w14:paraId="766B4C40" w14:textId="77777777" w:rsidR="00F3260C" w:rsidRPr="00BD295E" w:rsidRDefault="008A5057" w:rsidP="00E3510B">
            <w:pPr>
              <w:ind w:firstLine="57"/>
              <w:jc w:val="center"/>
              <w:rPr>
                <w:rFonts w:ascii="Arial" w:hAnsi="Arial" w:cs="Arial"/>
                <w:b/>
                <w:sz w:val="18"/>
                <w:szCs w:val="18"/>
                <w:lang w:val="en-US"/>
              </w:rPr>
            </w:pPr>
            <w:r w:rsidRPr="00BD295E">
              <w:rPr>
                <w:rFonts w:ascii="Arial" w:hAnsi="Arial" w:cs="Arial"/>
                <w:b/>
                <w:sz w:val="18"/>
                <w:szCs w:val="18"/>
                <w:lang w:val="en-US"/>
              </w:rPr>
              <w:t>2017</w:t>
            </w:r>
          </w:p>
          <w:p w14:paraId="0D591748"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sz w:val="18"/>
                <w:szCs w:val="18"/>
                <w:lang w:val="en-US"/>
              </w:rPr>
              <w:t xml:space="preserve">(Annual </w:t>
            </w:r>
            <w:r w:rsidR="0053339C" w:rsidRPr="00BD295E">
              <w:rPr>
                <w:rFonts w:ascii="Arial" w:hAnsi="Arial" w:cs="Arial"/>
                <w:b/>
                <w:sz w:val="18"/>
                <w:szCs w:val="18"/>
                <w:lang w:val="en-US"/>
              </w:rPr>
              <w:t>General Meeting</w:t>
            </w:r>
            <w:r w:rsidRPr="00BD295E">
              <w:rPr>
                <w:rFonts w:ascii="Arial" w:hAnsi="Arial" w:cs="Arial"/>
                <w:b/>
                <w:sz w:val="18"/>
                <w:szCs w:val="18"/>
                <w:lang w:val="en-US"/>
              </w:rPr>
              <w:t>, 2018)</w:t>
            </w:r>
          </w:p>
        </w:tc>
      </w:tr>
      <w:tr w:rsidR="008A5057" w:rsidRPr="00BD295E" w14:paraId="20875768" w14:textId="77777777" w:rsidTr="00E3510B">
        <w:trPr>
          <w:trHeight w:val="20"/>
        </w:trPr>
        <w:tc>
          <w:tcPr>
            <w:tcW w:w="2906" w:type="dxa"/>
            <w:shd w:val="clear" w:color="auto" w:fill="auto"/>
            <w:hideMark/>
          </w:tcPr>
          <w:p w14:paraId="5BFDEFEF"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Per ordinary share</w:t>
            </w:r>
          </w:p>
        </w:tc>
        <w:tc>
          <w:tcPr>
            <w:tcW w:w="1495" w:type="dxa"/>
            <w:shd w:val="clear" w:color="auto" w:fill="auto"/>
            <w:vAlign w:val="center"/>
          </w:tcPr>
          <w:p w14:paraId="37EA7A8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0</w:t>
            </w:r>
          </w:p>
        </w:tc>
        <w:tc>
          <w:tcPr>
            <w:tcW w:w="1614" w:type="dxa"/>
            <w:shd w:val="clear" w:color="auto" w:fill="auto"/>
            <w:vAlign w:val="center"/>
          </w:tcPr>
          <w:p w14:paraId="396AF9D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0.1331</w:t>
            </w:r>
          </w:p>
        </w:tc>
        <w:tc>
          <w:tcPr>
            <w:tcW w:w="1577" w:type="dxa"/>
            <w:shd w:val="clear" w:color="auto" w:fill="auto"/>
            <w:vAlign w:val="center"/>
          </w:tcPr>
          <w:p w14:paraId="580059F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0.1366</w:t>
            </w:r>
          </w:p>
        </w:tc>
      </w:tr>
      <w:tr w:rsidR="008A5057" w:rsidRPr="00BD295E" w14:paraId="3CD9A51D" w14:textId="77777777" w:rsidTr="00E3510B">
        <w:trPr>
          <w:trHeight w:val="20"/>
        </w:trPr>
        <w:tc>
          <w:tcPr>
            <w:tcW w:w="2906" w:type="dxa"/>
            <w:shd w:val="clear" w:color="auto" w:fill="auto"/>
          </w:tcPr>
          <w:p w14:paraId="0330F6FE"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Total on ordinary shares</w:t>
            </w:r>
          </w:p>
        </w:tc>
        <w:tc>
          <w:tcPr>
            <w:tcW w:w="1495" w:type="dxa"/>
            <w:shd w:val="clear" w:color="auto" w:fill="auto"/>
            <w:vAlign w:val="center"/>
          </w:tcPr>
          <w:p w14:paraId="0880295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0</w:t>
            </w:r>
          </w:p>
        </w:tc>
        <w:tc>
          <w:tcPr>
            <w:tcW w:w="1614" w:type="dxa"/>
            <w:shd w:val="clear" w:color="auto" w:fill="auto"/>
            <w:vAlign w:val="center"/>
          </w:tcPr>
          <w:p w14:paraId="37BDE75D"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1,134,515,826.1</w:t>
            </w:r>
          </w:p>
        </w:tc>
        <w:tc>
          <w:tcPr>
            <w:tcW w:w="1577" w:type="dxa"/>
            <w:shd w:val="clear" w:color="auto" w:fill="auto"/>
            <w:vAlign w:val="center"/>
          </w:tcPr>
          <w:p w14:paraId="0B61AA94"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1,164,349,074.7</w:t>
            </w:r>
          </w:p>
        </w:tc>
      </w:tr>
      <w:tr w:rsidR="008A5057" w:rsidRPr="00BD295E" w14:paraId="4ADA2610" w14:textId="77777777" w:rsidTr="00E3510B">
        <w:trPr>
          <w:trHeight w:val="20"/>
        </w:trPr>
        <w:tc>
          <w:tcPr>
            <w:tcW w:w="2906" w:type="dxa"/>
            <w:shd w:val="clear" w:color="auto" w:fill="auto"/>
            <w:hideMark/>
          </w:tcPr>
          <w:p w14:paraId="04A02FF7"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Per preference share</w:t>
            </w:r>
          </w:p>
        </w:tc>
        <w:tc>
          <w:tcPr>
            <w:tcW w:w="1495" w:type="dxa"/>
            <w:shd w:val="clear" w:color="auto" w:fill="auto"/>
            <w:vAlign w:val="center"/>
          </w:tcPr>
          <w:p w14:paraId="105CD5D3"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0</w:t>
            </w:r>
          </w:p>
        </w:tc>
        <w:tc>
          <w:tcPr>
            <w:tcW w:w="1614" w:type="dxa"/>
            <w:shd w:val="clear" w:color="auto" w:fill="auto"/>
            <w:vAlign w:val="center"/>
          </w:tcPr>
          <w:p w14:paraId="5483B0E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8.107405</w:t>
            </w:r>
          </w:p>
        </w:tc>
        <w:tc>
          <w:tcPr>
            <w:tcW w:w="1577" w:type="dxa"/>
            <w:shd w:val="clear" w:color="auto" w:fill="auto"/>
            <w:vAlign w:val="center"/>
          </w:tcPr>
          <w:p w14:paraId="5B258E8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13.4682</w:t>
            </w:r>
          </w:p>
        </w:tc>
      </w:tr>
      <w:tr w:rsidR="008A5057" w:rsidRPr="00BD295E" w14:paraId="7AAECA7E" w14:textId="77777777" w:rsidTr="00E3510B">
        <w:trPr>
          <w:trHeight w:val="20"/>
        </w:trPr>
        <w:tc>
          <w:tcPr>
            <w:tcW w:w="2906" w:type="dxa"/>
            <w:shd w:val="clear" w:color="auto" w:fill="auto"/>
          </w:tcPr>
          <w:p w14:paraId="2DF31D2A"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Total on preference shares</w:t>
            </w:r>
          </w:p>
        </w:tc>
        <w:tc>
          <w:tcPr>
            <w:tcW w:w="1495" w:type="dxa"/>
            <w:shd w:val="clear" w:color="auto" w:fill="auto"/>
            <w:vAlign w:val="center"/>
          </w:tcPr>
          <w:p w14:paraId="62B29691" w14:textId="77777777" w:rsidR="00F3260C" w:rsidRPr="00BD295E" w:rsidRDefault="00F3260C" w:rsidP="00E3510B">
            <w:pPr>
              <w:jc w:val="center"/>
              <w:rPr>
                <w:rFonts w:ascii="Arial" w:hAnsi="Arial" w:cs="Arial"/>
                <w:sz w:val="18"/>
                <w:szCs w:val="18"/>
                <w:lang w:val="en-US"/>
              </w:rPr>
            </w:pPr>
          </w:p>
        </w:tc>
        <w:tc>
          <w:tcPr>
            <w:tcW w:w="1614" w:type="dxa"/>
            <w:shd w:val="clear" w:color="auto" w:fill="auto"/>
            <w:vAlign w:val="center"/>
          </w:tcPr>
          <w:p w14:paraId="78472F5C"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756,131,541.3</w:t>
            </w:r>
          </w:p>
        </w:tc>
        <w:tc>
          <w:tcPr>
            <w:tcW w:w="1577" w:type="dxa"/>
            <w:shd w:val="clear" w:color="auto" w:fill="auto"/>
            <w:vAlign w:val="center"/>
          </w:tcPr>
          <w:p w14:paraId="5DF0D1D5"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1,256,102,393.4</w:t>
            </w:r>
          </w:p>
        </w:tc>
      </w:tr>
    </w:tbl>
    <w:p w14:paraId="1E9B361E" w14:textId="77777777" w:rsidR="00F3260C" w:rsidRPr="00BD295E" w:rsidRDefault="00F3260C" w:rsidP="00F3260C">
      <w:pPr>
        <w:ind w:firstLine="709"/>
        <w:jc w:val="both"/>
        <w:rPr>
          <w:rFonts w:ascii="Arial" w:hAnsi="Arial" w:cs="Arial"/>
          <w:b/>
          <w:sz w:val="18"/>
          <w:szCs w:val="18"/>
          <w:lang w:val="en-US"/>
        </w:rPr>
      </w:pPr>
    </w:p>
    <w:p w14:paraId="4377D791" w14:textId="77777777" w:rsidR="00F3260C" w:rsidRPr="00BD295E" w:rsidRDefault="008A5057" w:rsidP="00F3260C">
      <w:pPr>
        <w:ind w:firstLine="709"/>
        <w:jc w:val="both"/>
        <w:rPr>
          <w:rFonts w:ascii="Arial" w:hAnsi="Arial" w:cs="Arial"/>
          <w:b/>
          <w:sz w:val="18"/>
          <w:szCs w:val="18"/>
          <w:lang w:val="en-US"/>
        </w:rPr>
      </w:pPr>
      <w:r w:rsidRPr="00BD295E">
        <w:rPr>
          <w:rFonts w:ascii="Arial" w:hAnsi="Arial" w:cs="Arial"/>
          <w:b/>
          <w:sz w:val="18"/>
          <w:szCs w:val="18"/>
          <w:lang w:val="en-US"/>
        </w:rPr>
        <w:t>Information on dividends paid out from 2015 to 2017</w:t>
      </w:r>
    </w:p>
    <w:tbl>
      <w:tblPr>
        <w:tblW w:w="7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8"/>
        <w:gridCol w:w="1450"/>
        <w:gridCol w:w="1618"/>
        <w:gridCol w:w="1734"/>
      </w:tblGrid>
      <w:tr w:rsidR="008A5057" w:rsidRPr="00BD295E" w14:paraId="286EDD43" w14:textId="77777777" w:rsidTr="00E3510B">
        <w:trPr>
          <w:trHeight w:val="20"/>
        </w:trPr>
        <w:tc>
          <w:tcPr>
            <w:tcW w:w="2810" w:type="dxa"/>
            <w:shd w:val="clear" w:color="auto" w:fill="auto"/>
            <w:hideMark/>
          </w:tcPr>
          <w:p w14:paraId="6795B821"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bCs/>
                <w:sz w:val="18"/>
                <w:szCs w:val="18"/>
                <w:lang w:val="en-US"/>
              </w:rPr>
              <w:t>Income type</w:t>
            </w:r>
          </w:p>
        </w:tc>
        <w:tc>
          <w:tcPr>
            <w:tcW w:w="1459" w:type="dxa"/>
            <w:shd w:val="clear" w:color="auto" w:fill="auto"/>
            <w:hideMark/>
          </w:tcPr>
          <w:p w14:paraId="75C5BDC0"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bCs/>
                <w:sz w:val="18"/>
                <w:szCs w:val="18"/>
                <w:lang w:val="en-US"/>
              </w:rPr>
              <w:t>2015</w:t>
            </w:r>
          </w:p>
          <w:p w14:paraId="3E0D60F1"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bCs/>
                <w:sz w:val="18"/>
                <w:szCs w:val="18"/>
                <w:lang w:val="en-US"/>
              </w:rPr>
              <w:t xml:space="preserve">(Annual </w:t>
            </w:r>
            <w:r w:rsidR="0053339C" w:rsidRPr="00BD295E">
              <w:rPr>
                <w:rFonts w:ascii="Arial" w:hAnsi="Arial" w:cs="Arial"/>
                <w:b/>
                <w:bCs/>
                <w:sz w:val="18"/>
                <w:szCs w:val="18"/>
                <w:lang w:val="en-US"/>
              </w:rPr>
              <w:t>General Meeting</w:t>
            </w:r>
            <w:r w:rsidRPr="00BD295E">
              <w:rPr>
                <w:rFonts w:ascii="Arial" w:hAnsi="Arial" w:cs="Arial"/>
                <w:b/>
                <w:bCs/>
                <w:sz w:val="18"/>
                <w:szCs w:val="18"/>
                <w:lang w:val="en-US"/>
              </w:rPr>
              <w:t>, 2016)</w:t>
            </w:r>
          </w:p>
        </w:tc>
        <w:tc>
          <w:tcPr>
            <w:tcW w:w="1575" w:type="dxa"/>
            <w:shd w:val="clear" w:color="auto" w:fill="auto"/>
            <w:hideMark/>
          </w:tcPr>
          <w:p w14:paraId="224CD080" w14:textId="77777777" w:rsidR="00F3260C" w:rsidRPr="00BD295E" w:rsidRDefault="008A5057" w:rsidP="00E3510B">
            <w:pPr>
              <w:ind w:firstLine="57"/>
              <w:jc w:val="center"/>
              <w:rPr>
                <w:rFonts w:ascii="Arial" w:hAnsi="Arial" w:cs="Arial"/>
                <w:b/>
                <w:sz w:val="18"/>
                <w:szCs w:val="18"/>
                <w:lang w:val="en-US"/>
              </w:rPr>
            </w:pPr>
            <w:r w:rsidRPr="00BD295E">
              <w:rPr>
                <w:rFonts w:ascii="Arial" w:hAnsi="Arial" w:cs="Arial"/>
                <w:b/>
                <w:sz w:val="18"/>
                <w:szCs w:val="18"/>
                <w:lang w:val="en-US"/>
              </w:rPr>
              <w:t>2016</w:t>
            </w:r>
          </w:p>
          <w:p w14:paraId="77E774E5"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sz w:val="18"/>
                <w:szCs w:val="18"/>
                <w:lang w:val="en-US"/>
              </w:rPr>
              <w:t xml:space="preserve">(Annual </w:t>
            </w:r>
            <w:r w:rsidR="0053339C" w:rsidRPr="00BD295E">
              <w:rPr>
                <w:rFonts w:ascii="Arial" w:hAnsi="Arial" w:cs="Arial"/>
                <w:b/>
                <w:sz w:val="18"/>
                <w:szCs w:val="18"/>
                <w:lang w:val="en-US"/>
              </w:rPr>
              <w:t>General Meeting</w:t>
            </w:r>
            <w:r w:rsidRPr="00BD295E">
              <w:rPr>
                <w:rFonts w:ascii="Arial" w:hAnsi="Arial" w:cs="Arial"/>
                <w:b/>
                <w:sz w:val="18"/>
                <w:szCs w:val="18"/>
                <w:lang w:val="en-US"/>
              </w:rPr>
              <w:t>, 2017)</w:t>
            </w:r>
          </w:p>
        </w:tc>
        <w:tc>
          <w:tcPr>
            <w:tcW w:w="1736" w:type="dxa"/>
            <w:shd w:val="clear" w:color="auto" w:fill="auto"/>
            <w:hideMark/>
          </w:tcPr>
          <w:p w14:paraId="057C7074" w14:textId="77777777" w:rsidR="00F3260C" w:rsidRPr="00BD295E" w:rsidRDefault="008A5057" w:rsidP="00E3510B">
            <w:pPr>
              <w:ind w:firstLine="57"/>
              <w:jc w:val="center"/>
              <w:rPr>
                <w:rFonts w:ascii="Arial" w:hAnsi="Arial" w:cs="Arial"/>
                <w:b/>
                <w:sz w:val="18"/>
                <w:szCs w:val="18"/>
                <w:lang w:val="en-US"/>
              </w:rPr>
            </w:pPr>
            <w:r w:rsidRPr="00BD295E">
              <w:rPr>
                <w:rFonts w:ascii="Arial" w:hAnsi="Arial" w:cs="Arial"/>
                <w:b/>
                <w:sz w:val="18"/>
                <w:szCs w:val="18"/>
                <w:lang w:val="en-US"/>
              </w:rPr>
              <w:t>2017</w:t>
            </w:r>
          </w:p>
          <w:p w14:paraId="11F2BDFA" w14:textId="77777777" w:rsidR="00F3260C" w:rsidRPr="00BD295E" w:rsidRDefault="008A5057" w:rsidP="00E3510B">
            <w:pPr>
              <w:jc w:val="center"/>
              <w:rPr>
                <w:rFonts w:ascii="Arial" w:hAnsi="Arial" w:cs="Arial"/>
                <w:b/>
                <w:bCs/>
                <w:sz w:val="18"/>
                <w:szCs w:val="18"/>
                <w:lang w:val="en-US"/>
              </w:rPr>
            </w:pPr>
            <w:r w:rsidRPr="00BD295E">
              <w:rPr>
                <w:rFonts w:ascii="Arial" w:hAnsi="Arial" w:cs="Arial"/>
                <w:b/>
                <w:sz w:val="18"/>
                <w:szCs w:val="18"/>
                <w:lang w:val="en-US"/>
              </w:rPr>
              <w:t xml:space="preserve">(Annual </w:t>
            </w:r>
            <w:r w:rsidR="0053339C" w:rsidRPr="00BD295E">
              <w:rPr>
                <w:rFonts w:ascii="Arial" w:hAnsi="Arial" w:cs="Arial"/>
                <w:b/>
                <w:sz w:val="18"/>
                <w:szCs w:val="18"/>
                <w:lang w:val="en-US"/>
              </w:rPr>
              <w:t>General Meeting</w:t>
            </w:r>
            <w:r w:rsidRPr="00BD295E">
              <w:rPr>
                <w:rFonts w:ascii="Arial" w:hAnsi="Arial" w:cs="Arial"/>
                <w:b/>
                <w:sz w:val="18"/>
                <w:szCs w:val="18"/>
                <w:lang w:val="en-US"/>
              </w:rPr>
              <w:t>, 2018)</w:t>
            </w:r>
          </w:p>
        </w:tc>
      </w:tr>
      <w:tr w:rsidR="008A5057" w:rsidRPr="00BD295E" w14:paraId="35EA24EC" w14:textId="77777777" w:rsidTr="00E3510B">
        <w:trPr>
          <w:trHeight w:val="20"/>
        </w:trPr>
        <w:tc>
          <w:tcPr>
            <w:tcW w:w="2810" w:type="dxa"/>
            <w:shd w:val="clear" w:color="auto" w:fill="auto"/>
            <w:hideMark/>
          </w:tcPr>
          <w:p w14:paraId="402B2B1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Ordinary shares, RUB</w:t>
            </w:r>
          </w:p>
        </w:tc>
        <w:tc>
          <w:tcPr>
            <w:tcW w:w="1459" w:type="dxa"/>
            <w:shd w:val="clear" w:color="auto" w:fill="auto"/>
          </w:tcPr>
          <w:p w14:paraId="53209301"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0</w:t>
            </w:r>
          </w:p>
        </w:tc>
        <w:tc>
          <w:tcPr>
            <w:tcW w:w="1575" w:type="dxa"/>
            <w:shd w:val="clear" w:color="auto" w:fill="auto"/>
          </w:tcPr>
          <w:p w14:paraId="23B4670E"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1,134,218,239.87</w:t>
            </w:r>
          </w:p>
        </w:tc>
        <w:tc>
          <w:tcPr>
            <w:tcW w:w="1736" w:type="dxa"/>
            <w:shd w:val="clear" w:color="auto" w:fill="auto"/>
          </w:tcPr>
          <w:p w14:paraId="5AE247D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1,164,041,279</w:t>
            </w:r>
          </w:p>
        </w:tc>
      </w:tr>
      <w:tr w:rsidR="008A5057" w:rsidRPr="00BD295E" w14:paraId="39BCC0B7" w14:textId="77777777" w:rsidTr="00E3510B">
        <w:trPr>
          <w:trHeight w:val="20"/>
        </w:trPr>
        <w:tc>
          <w:tcPr>
            <w:tcW w:w="2810" w:type="dxa"/>
            <w:shd w:val="clear" w:color="auto" w:fill="auto"/>
            <w:hideMark/>
          </w:tcPr>
          <w:p w14:paraId="72973F35" w14:textId="77777777" w:rsidR="00F3260C" w:rsidRPr="00BD295E" w:rsidRDefault="008A5057" w:rsidP="0031297B">
            <w:pPr>
              <w:rPr>
                <w:rFonts w:ascii="Arial" w:hAnsi="Arial" w:cs="Arial"/>
                <w:sz w:val="18"/>
                <w:szCs w:val="18"/>
                <w:lang w:val="en-US"/>
              </w:rPr>
            </w:pPr>
            <w:r w:rsidRPr="00BD295E">
              <w:rPr>
                <w:rFonts w:ascii="Arial" w:hAnsi="Arial" w:cs="Arial"/>
                <w:sz w:val="18"/>
                <w:szCs w:val="18"/>
                <w:lang w:val="en-US"/>
              </w:rPr>
              <w:t>Preference shares, RUB</w:t>
            </w:r>
          </w:p>
        </w:tc>
        <w:tc>
          <w:tcPr>
            <w:tcW w:w="1459" w:type="dxa"/>
            <w:shd w:val="clear" w:color="auto" w:fill="auto"/>
          </w:tcPr>
          <w:p w14:paraId="2F60CD6A"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0</w:t>
            </w:r>
          </w:p>
        </w:tc>
        <w:tc>
          <w:tcPr>
            <w:tcW w:w="1575" w:type="dxa"/>
            <w:shd w:val="clear" w:color="auto" w:fill="auto"/>
          </w:tcPr>
          <w:p w14:paraId="2FB52A69"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725,802,606.92</w:t>
            </w:r>
          </w:p>
        </w:tc>
        <w:tc>
          <w:tcPr>
            <w:tcW w:w="1736" w:type="dxa"/>
            <w:shd w:val="clear" w:color="auto" w:fill="auto"/>
          </w:tcPr>
          <w:p w14:paraId="5428BBE2" w14:textId="77777777" w:rsidR="00F3260C"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1,202,597,411.03</w:t>
            </w:r>
          </w:p>
        </w:tc>
      </w:tr>
    </w:tbl>
    <w:p w14:paraId="193A10BD" w14:textId="77777777" w:rsidR="00F3260C" w:rsidRPr="00BD295E" w:rsidRDefault="008A5057" w:rsidP="005C27E8">
      <w:pPr>
        <w:jc w:val="both"/>
        <w:rPr>
          <w:rFonts w:ascii="Arial" w:hAnsi="Arial" w:cs="Arial"/>
          <w:sz w:val="18"/>
          <w:szCs w:val="18"/>
          <w:lang w:val="en-US"/>
        </w:rPr>
      </w:pPr>
      <w:r w:rsidRPr="00BD295E">
        <w:rPr>
          <w:rFonts w:ascii="Arial" w:hAnsi="Arial" w:cs="Arial"/>
          <w:sz w:val="18"/>
          <w:szCs w:val="18"/>
          <w:lang w:val="en-US"/>
        </w:rPr>
        <w:t>Reasons for non-payment of declared dividends for 2016–2017:</w:t>
      </w:r>
    </w:p>
    <w:p w14:paraId="63A0D77C" w14:textId="77777777" w:rsidR="00F3260C" w:rsidRPr="00BD295E" w:rsidRDefault="008A5057" w:rsidP="005C27E8">
      <w:pPr>
        <w:jc w:val="both"/>
        <w:rPr>
          <w:rFonts w:ascii="Arial" w:hAnsi="Arial" w:cs="Arial"/>
          <w:sz w:val="18"/>
          <w:szCs w:val="18"/>
          <w:lang w:val="en-US"/>
        </w:rPr>
      </w:pPr>
      <w:r w:rsidRPr="00BD295E">
        <w:rPr>
          <w:rFonts w:ascii="Arial" w:hAnsi="Arial" w:cs="Arial"/>
          <w:sz w:val="18"/>
          <w:szCs w:val="18"/>
          <w:lang w:val="en-US"/>
        </w:rPr>
        <w:t>- Failure by persons included in the dividend list to provide reliable and complete information required for the payment of dividends</w:t>
      </w:r>
    </w:p>
    <w:p w14:paraId="2C778C0F" w14:textId="00BDBAD5" w:rsidR="00EB57B0" w:rsidRPr="00BD295E" w:rsidRDefault="00EB57B0">
      <w:pPr>
        <w:rPr>
          <w:rFonts w:ascii="Arial" w:hAnsi="Arial" w:cs="Arial"/>
          <w:b/>
          <w:sz w:val="18"/>
          <w:szCs w:val="18"/>
          <w:lang w:val="en-US"/>
        </w:rPr>
      </w:pPr>
      <w:r w:rsidRPr="00BD295E">
        <w:rPr>
          <w:rFonts w:ascii="Arial" w:hAnsi="Arial" w:cs="Arial"/>
          <w:b/>
          <w:sz w:val="18"/>
          <w:szCs w:val="18"/>
          <w:lang w:val="en-US"/>
        </w:rPr>
        <w:br w:type="page"/>
      </w:r>
    </w:p>
    <w:p w14:paraId="0144F764" w14:textId="77777777" w:rsidR="00F3260C" w:rsidRPr="00BD295E" w:rsidRDefault="008A5057" w:rsidP="000F339F">
      <w:pPr>
        <w:spacing w:line="228" w:lineRule="auto"/>
        <w:rPr>
          <w:rFonts w:ascii="Arial" w:hAnsi="Arial" w:cs="Arial"/>
          <w:b/>
          <w:sz w:val="18"/>
          <w:szCs w:val="18"/>
          <w:lang w:val="en-US"/>
        </w:rPr>
      </w:pPr>
      <w:r w:rsidRPr="00BD295E">
        <w:rPr>
          <w:rFonts w:ascii="Arial" w:hAnsi="Arial" w:cs="Arial"/>
          <w:b/>
          <w:sz w:val="18"/>
          <w:szCs w:val="18"/>
          <w:lang w:val="en-US"/>
        </w:rPr>
        <w:t xml:space="preserve">Dividend yield on shares of </w:t>
      </w:r>
      <w:r w:rsidR="00EE5753" w:rsidRPr="00BD295E">
        <w:rPr>
          <w:rFonts w:ascii="Arial" w:hAnsi="Arial" w:cs="Arial"/>
          <w:b/>
          <w:sz w:val="18"/>
          <w:szCs w:val="18"/>
          <w:lang w:val="en-US"/>
        </w:rPr>
        <w:t>PJSC “Lenenergo”</w:t>
      </w:r>
    </w:p>
    <w:tbl>
      <w:tblPr>
        <w:tblW w:w="7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1"/>
        <w:gridCol w:w="586"/>
        <w:gridCol w:w="1553"/>
        <w:gridCol w:w="1534"/>
        <w:gridCol w:w="1553"/>
      </w:tblGrid>
      <w:tr w:rsidR="00F7146A" w:rsidRPr="00BD295E" w14:paraId="03E5FD2B" w14:textId="77777777" w:rsidTr="00E3510B">
        <w:trPr>
          <w:trHeight w:val="220"/>
        </w:trPr>
        <w:tc>
          <w:tcPr>
            <w:tcW w:w="2887" w:type="dxa"/>
            <w:gridSpan w:val="2"/>
            <w:shd w:val="clear" w:color="auto" w:fill="auto"/>
            <w:noWrap/>
            <w:hideMark/>
          </w:tcPr>
          <w:p w14:paraId="4DD365EF" w14:textId="77777777" w:rsidR="00F3260C" w:rsidRPr="00BD295E" w:rsidRDefault="00F3260C" w:rsidP="000F339F">
            <w:pPr>
              <w:spacing w:line="228" w:lineRule="auto"/>
              <w:jc w:val="center"/>
              <w:rPr>
                <w:rFonts w:ascii="Arial" w:hAnsi="Arial" w:cs="Arial"/>
                <w:sz w:val="18"/>
                <w:szCs w:val="18"/>
                <w:lang w:val="en-US"/>
              </w:rPr>
            </w:pPr>
          </w:p>
        </w:tc>
        <w:tc>
          <w:tcPr>
            <w:tcW w:w="1553" w:type="dxa"/>
            <w:shd w:val="clear" w:color="auto" w:fill="auto"/>
            <w:noWrap/>
            <w:hideMark/>
          </w:tcPr>
          <w:p w14:paraId="41FA5AEA" w14:textId="77777777" w:rsidR="00F3260C" w:rsidRPr="00BD295E" w:rsidRDefault="008A5057" w:rsidP="000F339F">
            <w:pPr>
              <w:spacing w:line="228" w:lineRule="auto"/>
              <w:jc w:val="center"/>
              <w:rPr>
                <w:rFonts w:ascii="Arial" w:hAnsi="Arial" w:cs="Arial"/>
                <w:b/>
                <w:bCs/>
                <w:sz w:val="18"/>
                <w:szCs w:val="18"/>
                <w:lang w:val="en-US"/>
              </w:rPr>
            </w:pPr>
            <w:r w:rsidRPr="00BD295E">
              <w:rPr>
                <w:rFonts w:ascii="Arial" w:hAnsi="Arial" w:cs="Arial"/>
                <w:b/>
                <w:bCs/>
                <w:sz w:val="18"/>
                <w:szCs w:val="18"/>
                <w:lang w:val="en-US"/>
              </w:rPr>
              <w:t>2016</w:t>
            </w:r>
          </w:p>
        </w:tc>
        <w:tc>
          <w:tcPr>
            <w:tcW w:w="1534" w:type="dxa"/>
            <w:shd w:val="clear" w:color="auto" w:fill="auto"/>
            <w:noWrap/>
            <w:hideMark/>
          </w:tcPr>
          <w:p w14:paraId="3C7EA730" w14:textId="77777777" w:rsidR="00F3260C" w:rsidRPr="00BD295E" w:rsidRDefault="008A5057" w:rsidP="000F339F">
            <w:pPr>
              <w:spacing w:line="228" w:lineRule="auto"/>
              <w:jc w:val="center"/>
              <w:rPr>
                <w:rFonts w:ascii="Arial" w:hAnsi="Arial" w:cs="Arial"/>
                <w:b/>
                <w:bCs/>
                <w:sz w:val="18"/>
                <w:szCs w:val="18"/>
                <w:lang w:val="en-US"/>
              </w:rPr>
            </w:pPr>
            <w:r w:rsidRPr="00BD295E">
              <w:rPr>
                <w:rFonts w:ascii="Arial" w:hAnsi="Arial" w:cs="Arial"/>
                <w:b/>
                <w:bCs/>
                <w:sz w:val="18"/>
                <w:szCs w:val="18"/>
                <w:lang w:val="en-US"/>
              </w:rPr>
              <w:t>2017</w:t>
            </w:r>
          </w:p>
        </w:tc>
        <w:tc>
          <w:tcPr>
            <w:tcW w:w="1553" w:type="dxa"/>
            <w:shd w:val="clear" w:color="auto" w:fill="auto"/>
            <w:noWrap/>
            <w:hideMark/>
          </w:tcPr>
          <w:p w14:paraId="61E0B0A8" w14:textId="77777777" w:rsidR="00F3260C" w:rsidRPr="00BD295E" w:rsidRDefault="008A5057" w:rsidP="000F339F">
            <w:pPr>
              <w:spacing w:line="228" w:lineRule="auto"/>
              <w:jc w:val="center"/>
              <w:rPr>
                <w:rFonts w:ascii="Arial" w:hAnsi="Arial" w:cs="Arial"/>
                <w:b/>
                <w:bCs/>
                <w:sz w:val="18"/>
                <w:szCs w:val="18"/>
                <w:lang w:val="en-US"/>
              </w:rPr>
            </w:pPr>
            <w:r w:rsidRPr="00BD295E">
              <w:rPr>
                <w:rFonts w:ascii="Arial" w:hAnsi="Arial" w:cs="Arial"/>
                <w:b/>
                <w:bCs/>
                <w:sz w:val="18"/>
                <w:szCs w:val="18"/>
                <w:lang w:val="en-US"/>
              </w:rPr>
              <w:t>2018</w:t>
            </w:r>
          </w:p>
        </w:tc>
      </w:tr>
      <w:tr w:rsidR="00F7146A" w:rsidRPr="00BD295E" w14:paraId="3E8760FF" w14:textId="77777777" w:rsidTr="00E3510B">
        <w:trPr>
          <w:trHeight w:val="354"/>
        </w:trPr>
        <w:tc>
          <w:tcPr>
            <w:tcW w:w="2301" w:type="dxa"/>
            <w:vMerge w:val="restart"/>
            <w:shd w:val="clear" w:color="auto" w:fill="auto"/>
            <w:noWrap/>
            <w:hideMark/>
          </w:tcPr>
          <w:p w14:paraId="292E0FD2"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 xml:space="preserve">Payout ratio,* %  </w:t>
            </w:r>
          </w:p>
        </w:tc>
        <w:tc>
          <w:tcPr>
            <w:tcW w:w="586" w:type="dxa"/>
            <w:shd w:val="clear" w:color="auto" w:fill="auto"/>
            <w:vAlign w:val="center"/>
          </w:tcPr>
          <w:p w14:paraId="6721C3C7" w14:textId="77777777" w:rsidR="00F3260C" w:rsidRPr="00BD295E" w:rsidRDefault="00F7146A" w:rsidP="000F339F">
            <w:pPr>
              <w:spacing w:line="228" w:lineRule="auto"/>
              <w:jc w:val="center"/>
              <w:rPr>
                <w:rFonts w:ascii="Arial" w:hAnsi="Arial" w:cs="Arial"/>
                <w:sz w:val="18"/>
                <w:szCs w:val="18"/>
                <w:lang w:val="en-US"/>
              </w:rPr>
            </w:pPr>
            <w:r w:rsidRPr="00BD295E">
              <w:rPr>
                <w:rFonts w:ascii="Arial" w:hAnsi="Arial" w:cs="Arial"/>
                <w:sz w:val="18"/>
                <w:szCs w:val="18"/>
                <w:lang w:val="en-US"/>
              </w:rPr>
              <w:t>OS</w:t>
            </w:r>
          </w:p>
        </w:tc>
        <w:tc>
          <w:tcPr>
            <w:tcW w:w="1553" w:type="dxa"/>
            <w:shd w:val="clear" w:color="auto" w:fill="auto"/>
            <w:noWrap/>
            <w:vAlign w:val="center"/>
          </w:tcPr>
          <w:p w14:paraId="156096FE"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0</w:t>
            </w:r>
          </w:p>
        </w:tc>
        <w:tc>
          <w:tcPr>
            <w:tcW w:w="1534" w:type="dxa"/>
            <w:shd w:val="clear" w:color="auto" w:fill="auto"/>
            <w:noWrap/>
            <w:vAlign w:val="center"/>
          </w:tcPr>
          <w:p w14:paraId="358D3EC1"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15</w:t>
            </w:r>
          </w:p>
        </w:tc>
        <w:tc>
          <w:tcPr>
            <w:tcW w:w="1553" w:type="dxa"/>
            <w:shd w:val="clear" w:color="auto" w:fill="auto"/>
            <w:noWrap/>
            <w:vAlign w:val="center"/>
          </w:tcPr>
          <w:p w14:paraId="06AD3999"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9.3</w:t>
            </w:r>
          </w:p>
        </w:tc>
      </w:tr>
      <w:tr w:rsidR="00F7146A" w:rsidRPr="00BD295E" w14:paraId="18973644" w14:textId="77777777" w:rsidTr="00E3510B">
        <w:trPr>
          <w:trHeight w:val="411"/>
        </w:trPr>
        <w:tc>
          <w:tcPr>
            <w:tcW w:w="2301" w:type="dxa"/>
            <w:vMerge/>
            <w:shd w:val="clear" w:color="auto" w:fill="auto"/>
            <w:noWrap/>
            <w:hideMark/>
          </w:tcPr>
          <w:p w14:paraId="6AA0FC3D" w14:textId="77777777" w:rsidR="00F3260C" w:rsidRPr="00BD295E" w:rsidRDefault="00F3260C" w:rsidP="000F339F">
            <w:pPr>
              <w:spacing w:line="228" w:lineRule="auto"/>
              <w:rPr>
                <w:rFonts w:ascii="Arial" w:hAnsi="Arial" w:cs="Arial"/>
                <w:sz w:val="18"/>
                <w:szCs w:val="18"/>
                <w:lang w:val="en-US"/>
              </w:rPr>
            </w:pPr>
          </w:p>
        </w:tc>
        <w:tc>
          <w:tcPr>
            <w:tcW w:w="586" w:type="dxa"/>
            <w:shd w:val="clear" w:color="auto" w:fill="auto"/>
            <w:vAlign w:val="center"/>
          </w:tcPr>
          <w:p w14:paraId="3CF995B0" w14:textId="77777777" w:rsidR="00F3260C" w:rsidRPr="00BD295E" w:rsidRDefault="00F7146A" w:rsidP="000F339F">
            <w:pPr>
              <w:spacing w:line="228" w:lineRule="auto"/>
              <w:jc w:val="center"/>
              <w:rPr>
                <w:rFonts w:ascii="Arial" w:hAnsi="Arial" w:cs="Arial"/>
                <w:sz w:val="18"/>
                <w:szCs w:val="18"/>
                <w:lang w:val="en-US"/>
              </w:rPr>
            </w:pPr>
            <w:r w:rsidRPr="00BD295E">
              <w:rPr>
                <w:rFonts w:ascii="Arial" w:hAnsi="Arial" w:cs="Arial"/>
                <w:sz w:val="18"/>
                <w:szCs w:val="18"/>
                <w:lang w:val="en-US"/>
              </w:rPr>
              <w:t>PS</w:t>
            </w:r>
          </w:p>
        </w:tc>
        <w:tc>
          <w:tcPr>
            <w:tcW w:w="1553" w:type="dxa"/>
            <w:shd w:val="clear" w:color="auto" w:fill="auto"/>
            <w:noWrap/>
            <w:vAlign w:val="center"/>
          </w:tcPr>
          <w:p w14:paraId="4DF05F7F"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0</w:t>
            </w:r>
          </w:p>
        </w:tc>
        <w:tc>
          <w:tcPr>
            <w:tcW w:w="1534" w:type="dxa"/>
            <w:shd w:val="clear" w:color="auto" w:fill="auto"/>
            <w:noWrap/>
            <w:vAlign w:val="center"/>
          </w:tcPr>
          <w:p w14:paraId="198C6DD2"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10</w:t>
            </w:r>
          </w:p>
        </w:tc>
        <w:tc>
          <w:tcPr>
            <w:tcW w:w="1553" w:type="dxa"/>
            <w:shd w:val="clear" w:color="auto" w:fill="auto"/>
            <w:noWrap/>
            <w:vAlign w:val="center"/>
          </w:tcPr>
          <w:p w14:paraId="3B5DCD3B"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10</w:t>
            </w:r>
          </w:p>
        </w:tc>
      </w:tr>
      <w:tr w:rsidR="00F7146A" w:rsidRPr="00BD295E" w14:paraId="4DCF2A37" w14:textId="77777777" w:rsidTr="00E3510B">
        <w:trPr>
          <w:trHeight w:val="421"/>
        </w:trPr>
        <w:tc>
          <w:tcPr>
            <w:tcW w:w="2301" w:type="dxa"/>
            <w:vMerge w:val="restart"/>
            <w:shd w:val="clear" w:color="auto" w:fill="auto"/>
            <w:noWrap/>
            <w:hideMark/>
          </w:tcPr>
          <w:p w14:paraId="7C097C68"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Dividend yield,</w:t>
            </w:r>
          </w:p>
          <w:p w14:paraId="12F69A58"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 xml:space="preserve">** %  </w:t>
            </w:r>
          </w:p>
        </w:tc>
        <w:tc>
          <w:tcPr>
            <w:tcW w:w="586" w:type="dxa"/>
            <w:shd w:val="clear" w:color="auto" w:fill="auto"/>
            <w:vAlign w:val="center"/>
          </w:tcPr>
          <w:p w14:paraId="198BDF7D" w14:textId="77777777" w:rsidR="00F3260C" w:rsidRPr="00BD295E" w:rsidRDefault="00F7146A" w:rsidP="000F339F">
            <w:pPr>
              <w:spacing w:line="228" w:lineRule="auto"/>
              <w:jc w:val="center"/>
              <w:rPr>
                <w:rFonts w:ascii="Arial" w:hAnsi="Arial" w:cs="Arial"/>
                <w:sz w:val="18"/>
                <w:szCs w:val="18"/>
                <w:lang w:val="en-US"/>
              </w:rPr>
            </w:pPr>
            <w:r w:rsidRPr="00BD295E">
              <w:rPr>
                <w:rFonts w:ascii="Arial" w:hAnsi="Arial" w:cs="Arial"/>
                <w:sz w:val="18"/>
                <w:szCs w:val="18"/>
                <w:lang w:val="en-US"/>
              </w:rPr>
              <w:t>OS</w:t>
            </w:r>
          </w:p>
        </w:tc>
        <w:tc>
          <w:tcPr>
            <w:tcW w:w="1553" w:type="dxa"/>
            <w:shd w:val="clear" w:color="auto" w:fill="auto"/>
            <w:noWrap/>
            <w:vAlign w:val="center"/>
          </w:tcPr>
          <w:p w14:paraId="260976C2"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0</w:t>
            </w:r>
          </w:p>
        </w:tc>
        <w:tc>
          <w:tcPr>
            <w:tcW w:w="1534" w:type="dxa"/>
            <w:shd w:val="clear" w:color="auto" w:fill="auto"/>
            <w:noWrap/>
            <w:vAlign w:val="center"/>
          </w:tcPr>
          <w:p w14:paraId="541DBABB"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2.76</w:t>
            </w:r>
          </w:p>
        </w:tc>
        <w:tc>
          <w:tcPr>
            <w:tcW w:w="1553" w:type="dxa"/>
            <w:shd w:val="clear" w:color="auto" w:fill="auto"/>
            <w:noWrap/>
            <w:vAlign w:val="center"/>
          </w:tcPr>
          <w:p w14:paraId="13917200"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2.59</w:t>
            </w:r>
          </w:p>
        </w:tc>
      </w:tr>
      <w:tr w:rsidR="00F7146A" w:rsidRPr="00BD295E" w14:paraId="2DB67733" w14:textId="77777777" w:rsidTr="00E3510B">
        <w:trPr>
          <w:trHeight w:val="272"/>
        </w:trPr>
        <w:tc>
          <w:tcPr>
            <w:tcW w:w="2301" w:type="dxa"/>
            <w:vMerge/>
            <w:shd w:val="clear" w:color="auto" w:fill="auto"/>
            <w:noWrap/>
            <w:hideMark/>
          </w:tcPr>
          <w:p w14:paraId="1F934D02" w14:textId="77777777" w:rsidR="00F3260C" w:rsidRPr="00BD295E" w:rsidRDefault="00F3260C" w:rsidP="000F339F">
            <w:pPr>
              <w:spacing w:line="228" w:lineRule="auto"/>
              <w:rPr>
                <w:rFonts w:ascii="Arial" w:hAnsi="Arial" w:cs="Arial"/>
                <w:sz w:val="18"/>
                <w:szCs w:val="18"/>
                <w:lang w:val="en-US"/>
              </w:rPr>
            </w:pPr>
          </w:p>
        </w:tc>
        <w:tc>
          <w:tcPr>
            <w:tcW w:w="586" w:type="dxa"/>
            <w:shd w:val="clear" w:color="auto" w:fill="auto"/>
            <w:vAlign w:val="center"/>
          </w:tcPr>
          <w:p w14:paraId="70FE1513" w14:textId="77777777" w:rsidR="00F3260C" w:rsidRPr="00BD295E" w:rsidRDefault="00F7146A" w:rsidP="000F339F">
            <w:pPr>
              <w:spacing w:line="228" w:lineRule="auto"/>
              <w:jc w:val="center"/>
              <w:rPr>
                <w:rFonts w:ascii="Arial" w:hAnsi="Arial" w:cs="Arial"/>
                <w:sz w:val="18"/>
                <w:szCs w:val="18"/>
                <w:lang w:val="en-US"/>
              </w:rPr>
            </w:pPr>
            <w:r w:rsidRPr="00BD295E">
              <w:rPr>
                <w:rFonts w:ascii="Arial" w:hAnsi="Arial" w:cs="Arial"/>
                <w:sz w:val="18"/>
                <w:szCs w:val="18"/>
                <w:lang w:val="en-US"/>
              </w:rPr>
              <w:t>PS</w:t>
            </w:r>
          </w:p>
        </w:tc>
        <w:tc>
          <w:tcPr>
            <w:tcW w:w="1553" w:type="dxa"/>
            <w:shd w:val="clear" w:color="auto" w:fill="auto"/>
            <w:noWrap/>
            <w:vAlign w:val="center"/>
          </w:tcPr>
          <w:p w14:paraId="5E7B6174"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0</w:t>
            </w:r>
          </w:p>
        </w:tc>
        <w:tc>
          <w:tcPr>
            <w:tcW w:w="1534" w:type="dxa"/>
            <w:shd w:val="clear" w:color="auto" w:fill="auto"/>
            <w:noWrap/>
            <w:vAlign w:val="center"/>
          </w:tcPr>
          <w:p w14:paraId="3E567A2E"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10.06</w:t>
            </w:r>
          </w:p>
        </w:tc>
        <w:tc>
          <w:tcPr>
            <w:tcW w:w="1553" w:type="dxa"/>
            <w:shd w:val="clear" w:color="auto" w:fill="auto"/>
            <w:noWrap/>
            <w:vAlign w:val="center"/>
          </w:tcPr>
          <w:p w14:paraId="169A04CA" w14:textId="77777777" w:rsidR="00F3260C" w:rsidRPr="00BD295E" w:rsidRDefault="008A5057" w:rsidP="000F339F">
            <w:pPr>
              <w:spacing w:line="228" w:lineRule="auto"/>
              <w:jc w:val="center"/>
              <w:rPr>
                <w:rFonts w:ascii="Arial" w:hAnsi="Arial" w:cs="Arial"/>
                <w:sz w:val="18"/>
                <w:szCs w:val="18"/>
                <w:lang w:val="en-US"/>
              </w:rPr>
            </w:pPr>
            <w:r w:rsidRPr="00BD295E">
              <w:rPr>
                <w:rFonts w:ascii="Arial" w:hAnsi="Arial" w:cs="Arial"/>
                <w:sz w:val="18"/>
                <w:szCs w:val="18"/>
                <w:lang w:val="en-US"/>
              </w:rPr>
              <w:t>14.3</w:t>
            </w:r>
          </w:p>
        </w:tc>
      </w:tr>
    </w:tbl>
    <w:p w14:paraId="4C07B3BF" w14:textId="77777777" w:rsidR="00F3260C" w:rsidRPr="00BD295E" w:rsidRDefault="008A5057" w:rsidP="000F339F">
      <w:pPr>
        <w:spacing w:line="228" w:lineRule="auto"/>
        <w:jc w:val="both"/>
        <w:rPr>
          <w:rFonts w:ascii="Arial" w:hAnsi="Arial" w:cs="Arial"/>
          <w:sz w:val="18"/>
          <w:szCs w:val="18"/>
          <w:lang w:val="en-US"/>
        </w:rPr>
      </w:pPr>
      <w:r w:rsidRPr="00BD295E">
        <w:rPr>
          <w:rFonts w:ascii="Arial" w:hAnsi="Arial" w:cs="Arial"/>
          <w:sz w:val="18"/>
          <w:szCs w:val="18"/>
          <w:lang w:val="en-US"/>
        </w:rPr>
        <w:t>*Calculated using the following formula: dividends accrued for the reporting year/net profit for the reporting year under RAS</w:t>
      </w:r>
    </w:p>
    <w:p w14:paraId="5E878685" w14:textId="77777777" w:rsidR="00F3260C" w:rsidRPr="00BD295E" w:rsidRDefault="008A5057" w:rsidP="000F339F">
      <w:pPr>
        <w:spacing w:line="228" w:lineRule="auto"/>
        <w:jc w:val="both"/>
        <w:rPr>
          <w:rFonts w:ascii="Arial" w:hAnsi="Arial" w:cs="Arial"/>
          <w:sz w:val="18"/>
          <w:szCs w:val="18"/>
          <w:lang w:val="en-US"/>
        </w:rPr>
      </w:pPr>
      <w:r w:rsidRPr="00BD295E">
        <w:rPr>
          <w:rFonts w:ascii="Arial" w:hAnsi="Arial" w:cs="Arial"/>
          <w:sz w:val="18"/>
          <w:szCs w:val="18"/>
          <w:lang w:val="en-US"/>
        </w:rPr>
        <w:t>**Calculated using the following formula: dividend per share for the reporting year/weighted average value per share at the end of the reporting year.</w:t>
      </w:r>
    </w:p>
    <w:p w14:paraId="104077E2" w14:textId="77777777" w:rsidR="00F3260C" w:rsidRPr="00BD295E" w:rsidRDefault="00F3260C" w:rsidP="000F339F">
      <w:pPr>
        <w:spacing w:line="228" w:lineRule="auto"/>
        <w:jc w:val="both"/>
        <w:rPr>
          <w:rFonts w:ascii="Arial" w:hAnsi="Arial" w:cs="Arial"/>
          <w:sz w:val="18"/>
          <w:szCs w:val="18"/>
          <w:lang w:val="en-US"/>
        </w:rPr>
      </w:pPr>
    </w:p>
    <w:p w14:paraId="1443CB3B" w14:textId="77777777" w:rsidR="00F3260C" w:rsidRPr="00BD295E" w:rsidRDefault="008A5057" w:rsidP="000F339F">
      <w:pPr>
        <w:pStyle w:val="NormalWeb1"/>
        <w:spacing w:before="0" w:beforeAutospacing="0" w:after="0" w:afterAutospacing="0" w:line="228" w:lineRule="auto"/>
        <w:jc w:val="both"/>
        <w:rPr>
          <w:b/>
          <w:color w:val="auto"/>
          <w:lang w:val="en-US"/>
        </w:rPr>
      </w:pPr>
      <w:bookmarkStart w:id="461" w:name="_Toc478558853"/>
      <w:r w:rsidRPr="00BD295E">
        <w:rPr>
          <w:b/>
          <w:color w:val="auto"/>
          <w:lang w:val="en-US"/>
        </w:rPr>
        <w:t>Bonds</w:t>
      </w:r>
      <w:bookmarkEnd w:id="461"/>
    </w:p>
    <w:p w14:paraId="07D85DC5" w14:textId="77777777" w:rsidR="003F4530" w:rsidRPr="00BD295E" w:rsidRDefault="003F4530" w:rsidP="000F339F">
      <w:pPr>
        <w:spacing w:line="228" w:lineRule="auto"/>
        <w:rPr>
          <w:rFonts w:ascii="Arial" w:hAnsi="Arial" w:cs="Arial"/>
          <w:sz w:val="18"/>
          <w:szCs w:val="18"/>
          <w:lang w:val="en-US"/>
        </w:rPr>
      </w:pPr>
    </w:p>
    <w:p w14:paraId="1291FF0C" w14:textId="77777777" w:rsidR="00F3260C" w:rsidRPr="00BD295E" w:rsidRDefault="008A5057" w:rsidP="000F339F">
      <w:pPr>
        <w:pStyle w:val="NormalWeb1"/>
        <w:spacing w:before="0" w:beforeAutospacing="0" w:after="0" w:afterAutospacing="0" w:line="228" w:lineRule="auto"/>
        <w:jc w:val="both"/>
        <w:rPr>
          <w:rFonts w:eastAsia="Times New Roman"/>
          <w:b/>
          <w:color w:val="auto"/>
          <w:lang w:val="en-US"/>
        </w:rPr>
      </w:pPr>
      <w:r w:rsidRPr="00BD295E">
        <w:rPr>
          <w:b/>
          <w:color w:val="auto"/>
          <w:lang w:val="en-US"/>
        </w:rPr>
        <w:t>Outstanding bonds</w:t>
      </w:r>
    </w:p>
    <w:p w14:paraId="05F236D8" w14:textId="77777777" w:rsidR="003F4530"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As at December 31, 2018:</w:t>
      </w:r>
    </w:p>
    <w:tbl>
      <w:tblPr>
        <w:tblW w:w="93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3"/>
        <w:gridCol w:w="3693"/>
      </w:tblGrid>
      <w:tr w:rsidR="008A5057" w:rsidRPr="00BD295E" w14:paraId="4E18BFEB" w14:textId="77777777" w:rsidTr="0031297B">
        <w:trPr>
          <w:trHeight w:val="19"/>
          <w:tblHeader/>
          <w:jc w:val="center"/>
        </w:trPr>
        <w:tc>
          <w:tcPr>
            <w:tcW w:w="5623" w:type="dxa"/>
            <w:shd w:val="clear" w:color="auto" w:fill="auto"/>
            <w:vAlign w:val="center"/>
            <w:hideMark/>
          </w:tcPr>
          <w:p w14:paraId="382EBAE3" w14:textId="77777777" w:rsidR="00F3260C" w:rsidRPr="00BD295E" w:rsidRDefault="008A5057" w:rsidP="000F339F">
            <w:pPr>
              <w:spacing w:line="228" w:lineRule="auto"/>
              <w:rPr>
                <w:rFonts w:ascii="Arial" w:hAnsi="Arial" w:cs="Arial"/>
                <w:b/>
                <w:sz w:val="18"/>
                <w:szCs w:val="18"/>
                <w:lang w:val="en-US"/>
              </w:rPr>
            </w:pPr>
            <w:r w:rsidRPr="00BD295E">
              <w:rPr>
                <w:rFonts w:ascii="Arial" w:hAnsi="Arial" w:cs="Arial"/>
                <w:b/>
                <w:sz w:val="18"/>
                <w:szCs w:val="18"/>
                <w:lang w:val="en-US"/>
              </w:rPr>
              <w:t> </w:t>
            </w:r>
          </w:p>
        </w:tc>
        <w:tc>
          <w:tcPr>
            <w:tcW w:w="3693" w:type="dxa"/>
            <w:shd w:val="clear" w:color="auto" w:fill="auto"/>
            <w:vAlign w:val="center"/>
          </w:tcPr>
          <w:p w14:paraId="73C455B4" w14:textId="77777777" w:rsidR="00F3260C" w:rsidRPr="00BD295E" w:rsidRDefault="008A5057" w:rsidP="000F339F">
            <w:pPr>
              <w:spacing w:line="228" w:lineRule="auto"/>
              <w:rPr>
                <w:rFonts w:ascii="Arial" w:hAnsi="Arial" w:cs="Arial"/>
                <w:b/>
                <w:sz w:val="18"/>
                <w:szCs w:val="18"/>
                <w:lang w:val="en-US"/>
              </w:rPr>
            </w:pPr>
            <w:r w:rsidRPr="00BD295E">
              <w:rPr>
                <w:rFonts w:ascii="Arial" w:hAnsi="Arial" w:cs="Arial"/>
                <w:b/>
                <w:sz w:val="18"/>
                <w:szCs w:val="18"/>
                <w:lang w:val="en-US"/>
              </w:rPr>
              <w:t xml:space="preserve">Issue </w:t>
            </w:r>
          </w:p>
        </w:tc>
      </w:tr>
      <w:tr w:rsidR="008A5057" w:rsidRPr="00BD295E" w14:paraId="6ADF2246" w14:textId="77777777" w:rsidTr="0031297B">
        <w:trPr>
          <w:trHeight w:val="19"/>
          <w:jc w:val="center"/>
        </w:trPr>
        <w:tc>
          <w:tcPr>
            <w:tcW w:w="5623" w:type="dxa"/>
            <w:shd w:val="clear" w:color="auto" w:fill="auto"/>
            <w:vAlign w:val="center"/>
            <w:hideMark/>
          </w:tcPr>
          <w:p w14:paraId="26877902" w14:textId="77777777" w:rsidR="00F3260C" w:rsidRPr="00BD295E" w:rsidRDefault="008A5057" w:rsidP="000F339F">
            <w:pPr>
              <w:spacing w:line="228" w:lineRule="auto"/>
              <w:rPr>
                <w:rFonts w:ascii="Arial" w:hAnsi="Arial" w:cs="Arial"/>
                <w:b/>
                <w:sz w:val="18"/>
                <w:szCs w:val="18"/>
                <w:lang w:val="en-US"/>
              </w:rPr>
            </w:pPr>
            <w:r w:rsidRPr="00BD295E">
              <w:rPr>
                <w:rFonts w:ascii="Arial" w:hAnsi="Arial" w:cs="Arial"/>
                <w:b/>
                <w:sz w:val="18"/>
                <w:szCs w:val="18"/>
                <w:lang w:val="en-US"/>
              </w:rPr>
              <w:t>Type of securities</w:t>
            </w:r>
          </w:p>
        </w:tc>
        <w:tc>
          <w:tcPr>
            <w:tcW w:w="3693" w:type="dxa"/>
            <w:shd w:val="clear" w:color="auto" w:fill="auto"/>
            <w:vAlign w:val="center"/>
          </w:tcPr>
          <w:p w14:paraId="363A0503" w14:textId="77777777" w:rsidR="00F3260C" w:rsidRPr="00BD295E" w:rsidRDefault="008A5057" w:rsidP="000F339F">
            <w:pPr>
              <w:spacing w:line="228" w:lineRule="auto"/>
              <w:rPr>
                <w:rFonts w:ascii="Arial" w:hAnsi="Arial" w:cs="Arial"/>
                <w:b/>
                <w:sz w:val="18"/>
                <w:szCs w:val="18"/>
                <w:lang w:val="en-US"/>
              </w:rPr>
            </w:pPr>
            <w:r w:rsidRPr="00BD295E">
              <w:rPr>
                <w:rFonts w:ascii="Arial" w:hAnsi="Arial" w:cs="Arial"/>
                <w:b/>
                <w:sz w:val="18"/>
                <w:szCs w:val="18"/>
                <w:lang w:val="en-US"/>
              </w:rPr>
              <w:t>Exchange-traded bonds Series BO-05</w:t>
            </w:r>
          </w:p>
        </w:tc>
      </w:tr>
      <w:tr w:rsidR="008A5057" w:rsidRPr="00BD295E" w14:paraId="4E5EED02" w14:textId="77777777" w:rsidTr="0031297B">
        <w:trPr>
          <w:trHeight w:val="19"/>
          <w:jc w:val="center"/>
        </w:trPr>
        <w:tc>
          <w:tcPr>
            <w:tcW w:w="5623" w:type="dxa"/>
            <w:shd w:val="clear" w:color="auto" w:fill="auto"/>
            <w:vAlign w:val="center"/>
            <w:hideMark/>
          </w:tcPr>
          <w:p w14:paraId="0D32BDA3"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Registered No.</w:t>
            </w:r>
          </w:p>
        </w:tc>
        <w:tc>
          <w:tcPr>
            <w:tcW w:w="3693" w:type="dxa"/>
            <w:shd w:val="clear" w:color="auto" w:fill="auto"/>
            <w:vAlign w:val="center"/>
          </w:tcPr>
          <w:p w14:paraId="6EA1C066"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4B02-05-00073-А</w:t>
            </w:r>
          </w:p>
        </w:tc>
      </w:tr>
      <w:tr w:rsidR="008A5057" w:rsidRPr="00BD295E" w14:paraId="57D4B13A" w14:textId="77777777" w:rsidTr="0031297B">
        <w:trPr>
          <w:trHeight w:val="19"/>
          <w:jc w:val="center"/>
        </w:trPr>
        <w:tc>
          <w:tcPr>
            <w:tcW w:w="5623" w:type="dxa"/>
            <w:shd w:val="clear" w:color="auto" w:fill="auto"/>
            <w:vAlign w:val="center"/>
            <w:hideMark/>
          </w:tcPr>
          <w:p w14:paraId="2AB74B8E"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Offering amount, RUB million</w:t>
            </w:r>
          </w:p>
        </w:tc>
        <w:tc>
          <w:tcPr>
            <w:tcW w:w="3693" w:type="dxa"/>
            <w:shd w:val="clear" w:color="auto" w:fill="auto"/>
            <w:vAlign w:val="center"/>
          </w:tcPr>
          <w:p w14:paraId="54DA5AA8"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2,400</w:t>
            </w:r>
          </w:p>
        </w:tc>
      </w:tr>
      <w:tr w:rsidR="008A5057" w:rsidRPr="00BD295E" w14:paraId="41281B46" w14:textId="77777777" w:rsidTr="0031297B">
        <w:trPr>
          <w:trHeight w:val="19"/>
          <w:jc w:val="center"/>
        </w:trPr>
        <w:tc>
          <w:tcPr>
            <w:tcW w:w="5623" w:type="dxa"/>
            <w:shd w:val="clear" w:color="auto" w:fill="auto"/>
            <w:vAlign w:val="center"/>
            <w:hideMark/>
          </w:tcPr>
          <w:p w14:paraId="159FE1E1"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Number, thousand units</w:t>
            </w:r>
          </w:p>
        </w:tc>
        <w:tc>
          <w:tcPr>
            <w:tcW w:w="3693" w:type="dxa"/>
            <w:shd w:val="clear" w:color="auto" w:fill="auto"/>
            <w:vAlign w:val="center"/>
          </w:tcPr>
          <w:p w14:paraId="31A9261E"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2,400</w:t>
            </w:r>
          </w:p>
        </w:tc>
      </w:tr>
      <w:tr w:rsidR="008A5057" w:rsidRPr="00BD295E" w14:paraId="4B64B645" w14:textId="77777777" w:rsidTr="0031297B">
        <w:trPr>
          <w:trHeight w:val="19"/>
          <w:jc w:val="center"/>
        </w:trPr>
        <w:tc>
          <w:tcPr>
            <w:tcW w:w="5623" w:type="dxa"/>
            <w:shd w:val="clear" w:color="auto" w:fill="auto"/>
            <w:vAlign w:val="center"/>
            <w:hideMark/>
          </w:tcPr>
          <w:p w14:paraId="3AAB261F"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Par value, RUB</w:t>
            </w:r>
          </w:p>
        </w:tc>
        <w:tc>
          <w:tcPr>
            <w:tcW w:w="3693" w:type="dxa"/>
            <w:shd w:val="clear" w:color="auto" w:fill="auto"/>
            <w:vAlign w:val="center"/>
          </w:tcPr>
          <w:p w14:paraId="52E236FF"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1,000</w:t>
            </w:r>
          </w:p>
        </w:tc>
      </w:tr>
      <w:tr w:rsidR="008A5057" w:rsidRPr="00BD295E" w14:paraId="55028925" w14:textId="77777777" w:rsidTr="0031297B">
        <w:trPr>
          <w:trHeight w:val="19"/>
          <w:jc w:val="center"/>
        </w:trPr>
        <w:tc>
          <w:tcPr>
            <w:tcW w:w="5623" w:type="dxa"/>
            <w:shd w:val="clear" w:color="auto" w:fill="auto"/>
            <w:vAlign w:val="center"/>
            <w:hideMark/>
          </w:tcPr>
          <w:p w14:paraId="71B1428A"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Maturity, years</w:t>
            </w:r>
          </w:p>
        </w:tc>
        <w:tc>
          <w:tcPr>
            <w:tcW w:w="3693" w:type="dxa"/>
            <w:shd w:val="clear" w:color="auto" w:fill="auto"/>
            <w:vAlign w:val="center"/>
          </w:tcPr>
          <w:p w14:paraId="3852A14B"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10</w:t>
            </w:r>
          </w:p>
        </w:tc>
      </w:tr>
      <w:tr w:rsidR="008A5057" w:rsidRPr="00BD295E" w14:paraId="3787926D" w14:textId="77777777" w:rsidTr="0031297B">
        <w:trPr>
          <w:trHeight w:val="19"/>
          <w:jc w:val="center"/>
        </w:trPr>
        <w:tc>
          <w:tcPr>
            <w:tcW w:w="5623" w:type="dxa"/>
            <w:shd w:val="clear" w:color="auto" w:fill="auto"/>
            <w:vAlign w:val="center"/>
            <w:hideMark/>
          </w:tcPr>
          <w:p w14:paraId="5D54348B"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Rate, %</w:t>
            </w:r>
          </w:p>
        </w:tc>
        <w:tc>
          <w:tcPr>
            <w:tcW w:w="3693" w:type="dxa"/>
            <w:shd w:val="clear" w:color="auto" w:fill="auto"/>
            <w:vAlign w:val="center"/>
          </w:tcPr>
          <w:p w14:paraId="0270AC1D"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7.4%</w:t>
            </w:r>
          </w:p>
        </w:tc>
      </w:tr>
      <w:tr w:rsidR="008A5057" w:rsidRPr="00BD295E" w14:paraId="5A704024" w14:textId="77777777" w:rsidTr="0031297B">
        <w:trPr>
          <w:trHeight w:val="19"/>
          <w:jc w:val="center"/>
        </w:trPr>
        <w:tc>
          <w:tcPr>
            <w:tcW w:w="5623" w:type="dxa"/>
            <w:shd w:val="clear" w:color="auto" w:fill="auto"/>
            <w:vAlign w:val="center"/>
            <w:hideMark/>
          </w:tcPr>
          <w:p w14:paraId="67093AC9"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Date of state registration of the issue</w:t>
            </w:r>
          </w:p>
        </w:tc>
        <w:tc>
          <w:tcPr>
            <w:tcW w:w="3693" w:type="dxa"/>
            <w:shd w:val="clear" w:color="auto" w:fill="auto"/>
            <w:vAlign w:val="center"/>
          </w:tcPr>
          <w:p w14:paraId="68212408"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 xml:space="preserve"> June 7, 2013</w:t>
            </w:r>
          </w:p>
        </w:tc>
      </w:tr>
      <w:tr w:rsidR="008A5057" w:rsidRPr="00BD295E" w14:paraId="0B475C4B" w14:textId="77777777" w:rsidTr="0031297B">
        <w:trPr>
          <w:trHeight w:val="19"/>
          <w:jc w:val="center"/>
        </w:trPr>
        <w:tc>
          <w:tcPr>
            <w:tcW w:w="5623" w:type="dxa"/>
            <w:shd w:val="clear" w:color="auto" w:fill="auto"/>
            <w:vAlign w:val="center"/>
            <w:hideMark/>
          </w:tcPr>
          <w:p w14:paraId="1F597AE0"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Offering date</w:t>
            </w:r>
          </w:p>
        </w:tc>
        <w:tc>
          <w:tcPr>
            <w:tcW w:w="3693" w:type="dxa"/>
            <w:shd w:val="clear" w:color="auto" w:fill="auto"/>
            <w:vAlign w:val="center"/>
          </w:tcPr>
          <w:p w14:paraId="46CB9607"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July 22, 2015</w:t>
            </w:r>
          </w:p>
        </w:tc>
      </w:tr>
      <w:tr w:rsidR="008A5057" w:rsidRPr="00BD295E" w14:paraId="4592EB9E" w14:textId="77777777" w:rsidTr="0031297B">
        <w:trPr>
          <w:trHeight w:val="19"/>
          <w:jc w:val="center"/>
        </w:trPr>
        <w:tc>
          <w:tcPr>
            <w:tcW w:w="5623" w:type="dxa"/>
            <w:shd w:val="clear" w:color="auto" w:fill="auto"/>
            <w:vAlign w:val="center"/>
            <w:hideMark/>
          </w:tcPr>
          <w:p w14:paraId="4BAC633D"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Maturity/put date</w:t>
            </w:r>
          </w:p>
        </w:tc>
        <w:tc>
          <w:tcPr>
            <w:tcW w:w="3693" w:type="dxa"/>
            <w:shd w:val="clear" w:color="auto" w:fill="auto"/>
            <w:vAlign w:val="center"/>
          </w:tcPr>
          <w:p w14:paraId="2F680BA1"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July 9, 2025/January 22, 2018</w:t>
            </w:r>
          </w:p>
        </w:tc>
      </w:tr>
      <w:tr w:rsidR="008A5057" w:rsidRPr="00BD295E" w14:paraId="19846523" w14:textId="77777777" w:rsidTr="0031297B">
        <w:trPr>
          <w:trHeight w:val="19"/>
          <w:jc w:val="center"/>
        </w:trPr>
        <w:tc>
          <w:tcPr>
            <w:tcW w:w="5623" w:type="dxa"/>
            <w:shd w:val="clear" w:color="auto" w:fill="auto"/>
            <w:vAlign w:val="center"/>
            <w:hideMark/>
          </w:tcPr>
          <w:p w14:paraId="3065D4DB"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Coupon yield per bond</w:t>
            </w:r>
          </w:p>
        </w:tc>
        <w:tc>
          <w:tcPr>
            <w:tcW w:w="3693" w:type="dxa"/>
            <w:shd w:val="clear" w:color="auto" w:fill="auto"/>
            <w:vAlign w:val="center"/>
          </w:tcPr>
          <w:p w14:paraId="4DA3A1D6"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36.90</w:t>
            </w:r>
          </w:p>
        </w:tc>
      </w:tr>
      <w:tr w:rsidR="008A5057" w:rsidRPr="00BD295E" w14:paraId="5E90452E" w14:textId="77777777" w:rsidTr="0031297B">
        <w:trPr>
          <w:trHeight w:val="19"/>
          <w:jc w:val="center"/>
        </w:trPr>
        <w:tc>
          <w:tcPr>
            <w:tcW w:w="5623" w:type="dxa"/>
            <w:shd w:val="clear" w:color="auto" w:fill="auto"/>
            <w:vAlign w:val="center"/>
            <w:hideMark/>
          </w:tcPr>
          <w:p w14:paraId="0728B3C1"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Stock exchange</w:t>
            </w:r>
          </w:p>
        </w:tc>
        <w:tc>
          <w:tcPr>
            <w:tcW w:w="3693" w:type="dxa"/>
            <w:shd w:val="clear" w:color="auto" w:fill="auto"/>
            <w:vAlign w:val="center"/>
          </w:tcPr>
          <w:p w14:paraId="3F84A3E4"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Moscow Exchange, PJSC</w:t>
            </w:r>
          </w:p>
        </w:tc>
      </w:tr>
      <w:tr w:rsidR="008A5057" w:rsidRPr="00BD295E" w14:paraId="3268C7B1" w14:textId="77777777" w:rsidTr="0031297B">
        <w:trPr>
          <w:trHeight w:val="19"/>
          <w:jc w:val="center"/>
        </w:trPr>
        <w:tc>
          <w:tcPr>
            <w:tcW w:w="5623" w:type="dxa"/>
            <w:shd w:val="clear" w:color="auto" w:fill="auto"/>
            <w:vAlign w:val="center"/>
            <w:hideMark/>
          </w:tcPr>
          <w:p w14:paraId="5FBAF05E"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Quotation list</w:t>
            </w:r>
          </w:p>
        </w:tc>
        <w:tc>
          <w:tcPr>
            <w:tcW w:w="3693" w:type="dxa"/>
            <w:shd w:val="clear" w:color="auto" w:fill="auto"/>
            <w:vAlign w:val="center"/>
          </w:tcPr>
          <w:p w14:paraId="21A42D40" w14:textId="77777777" w:rsidR="00F3260C" w:rsidRPr="00BD295E" w:rsidRDefault="008A5057" w:rsidP="000F339F">
            <w:pPr>
              <w:spacing w:line="228" w:lineRule="auto"/>
              <w:jc w:val="right"/>
              <w:rPr>
                <w:rFonts w:ascii="Arial" w:hAnsi="Arial" w:cs="Arial"/>
                <w:sz w:val="18"/>
                <w:szCs w:val="18"/>
                <w:lang w:val="en-US"/>
              </w:rPr>
            </w:pPr>
            <w:r w:rsidRPr="00BD295E">
              <w:rPr>
                <w:rFonts w:ascii="Arial" w:hAnsi="Arial" w:cs="Arial"/>
                <w:sz w:val="18"/>
                <w:szCs w:val="18"/>
                <w:lang w:val="en-US"/>
              </w:rPr>
              <w:t>Level 3</w:t>
            </w:r>
          </w:p>
        </w:tc>
      </w:tr>
    </w:tbl>
    <w:p w14:paraId="78C1AA2A" w14:textId="77777777" w:rsidR="00F3260C" w:rsidRPr="00BD295E" w:rsidRDefault="00F3260C" w:rsidP="000F339F">
      <w:pPr>
        <w:pStyle w:val="af3"/>
        <w:spacing w:line="228" w:lineRule="auto"/>
        <w:ind w:left="0"/>
        <w:jc w:val="both"/>
        <w:rPr>
          <w:rFonts w:ascii="Arial" w:hAnsi="Arial" w:cs="Arial"/>
          <w:sz w:val="18"/>
          <w:szCs w:val="18"/>
          <w:lang w:val="en-US"/>
        </w:rPr>
      </w:pPr>
    </w:p>
    <w:p w14:paraId="38A9F76F" w14:textId="77777777" w:rsidR="00F3260C" w:rsidRPr="00BD295E" w:rsidRDefault="008A5057" w:rsidP="000F339F">
      <w:pPr>
        <w:pStyle w:val="af3"/>
        <w:spacing w:line="228" w:lineRule="auto"/>
        <w:ind w:left="0"/>
        <w:jc w:val="both"/>
        <w:rPr>
          <w:rFonts w:ascii="Arial" w:hAnsi="Arial" w:cs="Arial"/>
          <w:sz w:val="18"/>
          <w:szCs w:val="18"/>
          <w:lang w:val="en-US"/>
        </w:rPr>
      </w:pPr>
      <w:r w:rsidRPr="00BD295E">
        <w:rPr>
          <w:rFonts w:ascii="Arial" w:hAnsi="Arial" w:cs="Arial"/>
          <w:sz w:val="18"/>
          <w:szCs w:val="18"/>
          <w:lang w:val="en-US"/>
        </w:rPr>
        <w:t xml:space="preserve">As at December 31,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has exchange bonds of Series BO-02, BO-03 and BO-04 with identification numbers 4B02-02-00073-А; 4B02-03-00073-А; 4B02-04-00073-А, admitted to trading on the Moscow Exchange, but unissued, </w:t>
      </w:r>
      <w:r w:rsidR="008B183C" w:rsidRPr="00BD295E">
        <w:rPr>
          <w:rFonts w:ascii="Arial" w:hAnsi="Arial" w:cs="Arial"/>
          <w:sz w:val="18"/>
          <w:szCs w:val="18"/>
          <w:lang w:val="en-US"/>
        </w:rPr>
        <w:t>of</w:t>
      </w:r>
      <w:r w:rsidRPr="00BD295E">
        <w:rPr>
          <w:rFonts w:ascii="Arial" w:hAnsi="Arial" w:cs="Arial"/>
          <w:sz w:val="18"/>
          <w:szCs w:val="18"/>
          <w:lang w:val="en-US"/>
        </w:rPr>
        <w:t xml:space="preserve"> June 7, 2013, for a total amount of RUB 16 billion (16 million bonds with a par value of RUB 1,000 each). </w:t>
      </w:r>
    </w:p>
    <w:p w14:paraId="6B861FA2" w14:textId="77777777" w:rsidR="00F3260C" w:rsidRPr="00BD295E" w:rsidRDefault="008A5057" w:rsidP="000F339F">
      <w:pPr>
        <w:spacing w:line="228" w:lineRule="auto"/>
        <w:jc w:val="both"/>
        <w:rPr>
          <w:rFonts w:ascii="Arial" w:hAnsi="Arial" w:cs="Arial"/>
          <w:sz w:val="18"/>
          <w:szCs w:val="18"/>
          <w:lang w:val="en-US"/>
        </w:rPr>
      </w:pPr>
      <w:r w:rsidRPr="00BD295E">
        <w:rPr>
          <w:rFonts w:ascii="Arial" w:hAnsi="Arial" w:cs="Arial"/>
          <w:sz w:val="18"/>
          <w:szCs w:val="18"/>
          <w:lang w:val="en-US"/>
        </w:rPr>
        <w:t xml:space="preserve">In order to improve the financial stability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on February 20, 2017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(Minutes No. 23,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27, 2017) approved the Program of Series 001P Exchange-Traded Bonds  – certificated interest-bearing non-convertible bearer bonds with mandatory centralized custody for a total nominal value of all issues of the exchange-traded bonds placed within the Program of Series 001P Exchange-Traded Bonds, of up to thirty-five billion Russian rubles (RUB 35,000,000,000), inclusive, with the maturity date falling not later than ten thousand nine hundred and twenty (10,920) days from the placement date of the exchange-traded bonds under the program of publicly offered exchange-traded bonds. The Moscow Exchange has decided to assign the following identification number to the Program of Exchange-Traded Bonds of </w:t>
      </w:r>
      <w:r w:rsidR="00EE5753" w:rsidRPr="00BD295E">
        <w:rPr>
          <w:rFonts w:ascii="Arial" w:hAnsi="Arial" w:cs="Arial"/>
          <w:sz w:val="18"/>
          <w:szCs w:val="18"/>
          <w:lang w:val="en-US"/>
        </w:rPr>
        <w:t>PJSC “Lenenergo”</w:t>
      </w:r>
      <w:r w:rsidRPr="00BD295E">
        <w:rPr>
          <w:rFonts w:ascii="Arial" w:hAnsi="Arial" w:cs="Arial"/>
          <w:sz w:val="18"/>
          <w:szCs w:val="18"/>
          <w:lang w:val="en-US"/>
        </w:rPr>
        <w:t>: 4-00073-A-001P-02E</w:t>
      </w:r>
    </w:p>
    <w:p w14:paraId="1378808B" w14:textId="77777777" w:rsidR="00F3260C" w:rsidRPr="00BD295E" w:rsidRDefault="00F3260C" w:rsidP="000F339F">
      <w:pPr>
        <w:spacing w:line="228" w:lineRule="auto"/>
        <w:rPr>
          <w:rFonts w:ascii="Arial" w:hAnsi="Arial" w:cs="Arial"/>
          <w:b/>
          <w:sz w:val="18"/>
          <w:szCs w:val="18"/>
          <w:lang w:val="en-US"/>
        </w:rPr>
      </w:pPr>
    </w:p>
    <w:p w14:paraId="10E7FD2F"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 xml:space="preserve">Event after the reporting date: </w:t>
      </w:r>
    </w:p>
    <w:p w14:paraId="2EE8BFC1" w14:textId="77777777" w:rsidR="00F3260C" w:rsidRPr="00BD295E" w:rsidRDefault="008A5057" w:rsidP="000F339F">
      <w:pPr>
        <w:spacing w:line="228" w:lineRule="auto"/>
        <w:rPr>
          <w:rFonts w:ascii="Arial" w:hAnsi="Arial" w:cs="Arial"/>
          <w:sz w:val="18"/>
          <w:szCs w:val="18"/>
          <w:lang w:val="en-US"/>
        </w:rPr>
      </w:pPr>
      <w:r w:rsidRPr="00BD295E">
        <w:rPr>
          <w:rFonts w:ascii="Arial" w:hAnsi="Arial" w:cs="Arial"/>
          <w:sz w:val="18"/>
          <w:szCs w:val="18"/>
          <w:lang w:val="en-US"/>
        </w:rPr>
        <w:t>The Series BO-05 exchange-traded bonds were not redeemed on the put date in January 2019, with the interest rate for the 8th coupon period set at 8.2% per annum.</w:t>
      </w:r>
    </w:p>
    <w:p w14:paraId="32111420" w14:textId="77777777" w:rsidR="00F3260C" w:rsidRPr="00BD295E" w:rsidRDefault="00F3260C" w:rsidP="000F339F">
      <w:pPr>
        <w:spacing w:line="228" w:lineRule="auto"/>
        <w:rPr>
          <w:rFonts w:ascii="Arial" w:hAnsi="Arial" w:cs="Arial"/>
          <w:sz w:val="18"/>
          <w:szCs w:val="18"/>
          <w:lang w:val="en-US"/>
        </w:rPr>
      </w:pPr>
    </w:p>
    <w:p w14:paraId="543DCE44" w14:textId="77777777" w:rsidR="00F3260C" w:rsidRPr="00BD295E" w:rsidRDefault="008A5057" w:rsidP="000F339F">
      <w:pPr>
        <w:pStyle w:val="af3"/>
        <w:spacing w:line="228" w:lineRule="auto"/>
        <w:ind w:left="0"/>
        <w:jc w:val="both"/>
        <w:rPr>
          <w:rFonts w:ascii="Arial" w:hAnsi="Arial" w:cs="Arial"/>
          <w:b/>
          <w:sz w:val="18"/>
          <w:szCs w:val="18"/>
          <w:lang w:val="en-US"/>
        </w:rPr>
      </w:pPr>
      <w:bookmarkStart w:id="462" w:name="_Toc478558854"/>
      <w:r w:rsidRPr="00BD295E">
        <w:rPr>
          <w:rFonts w:ascii="Arial" w:hAnsi="Arial" w:cs="Arial"/>
          <w:b/>
          <w:sz w:val="18"/>
          <w:szCs w:val="18"/>
          <w:lang w:val="en-US"/>
        </w:rPr>
        <w:t>Information disclosure and investor relations</w:t>
      </w:r>
      <w:bookmarkEnd w:id="462"/>
      <w:r w:rsidRPr="00BD295E">
        <w:rPr>
          <w:rFonts w:ascii="Arial" w:hAnsi="Arial" w:cs="Arial"/>
          <w:b/>
          <w:sz w:val="18"/>
          <w:szCs w:val="18"/>
          <w:lang w:val="en-US"/>
        </w:rPr>
        <w:t xml:space="preserve"> </w:t>
      </w:r>
    </w:p>
    <w:p w14:paraId="621EDAD9" w14:textId="77777777" w:rsidR="00F3260C" w:rsidRPr="00BD295E" w:rsidRDefault="00F3260C" w:rsidP="000F339F">
      <w:pPr>
        <w:pStyle w:val="af3"/>
        <w:spacing w:line="228" w:lineRule="auto"/>
        <w:ind w:left="0" w:firstLine="709"/>
        <w:jc w:val="both"/>
        <w:rPr>
          <w:rFonts w:ascii="Arial" w:hAnsi="Arial" w:cs="Arial"/>
          <w:b/>
          <w:sz w:val="18"/>
          <w:szCs w:val="18"/>
          <w:lang w:val="en-US"/>
        </w:rPr>
      </w:pPr>
    </w:p>
    <w:p w14:paraId="54BE8FFF" w14:textId="77777777" w:rsidR="00F3260C" w:rsidRPr="00BD295E" w:rsidRDefault="008A5057" w:rsidP="000F339F">
      <w:pPr>
        <w:spacing w:line="228" w:lineRule="auto"/>
        <w:jc w:val="both"/>
        <w:rPr>
          <w:rFonts w:ascii="Arial" w:hAnsi="Arial" w:cs="Arial"/>
          <w:sz w:val="18"/>
          <w:szCs w:val="18"/>
          <w:lang w:val="en-US"/>
        </w:rPr>
      </w:pPr>
      <w:r w:rsidRPr="00BD295E">
        <w:rPr>
          <w:rFonts w:ascii="Arial" w:hAnsi="Arial" w:cs="Arial"/>
          <w:sz w:val="18"/>
          <w:szCs w:val="18"/>
          <w:lang w:val="en-US"/>
        </w:rPr>
        <w:t xml:space="preserve">Effective engagement with shareholders and investors is a key priority for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DA70952" w14:textId="77777777" w:rsidR="00F3260C" w:rsidRPr="00BD295E" w:rsidRDefault="00EE5753" w:rsidP="000F339F">
      <w:pPr>
        <w:spacing w:line="228" w:lineRule="auto"/>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is committed building a regular and effective dialogue with the investor community to maximize the transparency of its operations while paying particular attention to communication with analysts and investors in both equity and debt markets. The Company is actively working with representatives of leading rating agencies and credit organizations as the use of market mechanisms to raise financial resources is a strategic objectives outlined in the financial policy of </w:t>
      </w:r>
      <w:r w:rsidRPr="00BD295E">
        <w:rPr>
          <w:rFonts w:ascii="Arial" w:hAnsi="Arial" w:cs="Arial"/>
          <w:sz w:val="18"/>
          <w:szCs w:val="18"/>
          <w:lang w:val="en-US"/>
        </w:rPr>
        <w:t>PJSC “Lenenergo”</w:t>
      </w:r>
      <w:r w:rsidR="008A5057" w:rsidRPr="00BD295E">
        <w:rPr>
          <w:rFonts w:ascii="Arial" w:hAnsi="Arial" w:cs="Arial"/>
          <w:sz w:val="18"/>
          <w:szCs w:val="18"/>
          <w:lang w:val="en-US"/>
        </w:rPr>
        <w:t xml:space="preserve">.  The Company attempts to promptly provide information requested by analysts, investors, and minority shareholders. The management of </w:t>
      </w:r>
      <w:r w:rsidRPr="00BD295E">
        <w:rPr>
          <w:rFonts w:ascii="Arial" w:hAnsi="Arial" w:cs="Arial"/>
          <w:sz w:val="18"/>
          <w:szCs w:val="18"/>
          <w:lang w:val="en-US"/>
        </w:rPr>
        <w:t>PJSC “Lenenergo”</w:t>
      </w:r>
      <w:r w:rsidR="008A5057" w:rsidRPr="00BD295E">
        <w:rPr>
          <w:rFonts w:ascii="Arial" w:hAnsi="Arial" w:cs="Arial"/>
          <w:sz w:val="18"/>
          <w:szCs w:val="18"/>
          <w:lang w:val="en-US"/>
        </w:rPr>
        <w:t xml:space="preserve"> is always open for one-to-one meetings, conference calls, and participation in investment conferences.</w:t>
      </w:r>
    </w:p>
    <w:p w14:paraId="7C1D66E7" w14:textId="77777777" w:rsidR="00F3260C" w:rsidRPr="00BD295E" w:rsidRDefault="00EE5753" w:rsidP="000F339F">
      <w:pPr>
        <w:spacing w:line="228" w:lineRule="auto"/>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pursues an active disclosure policy: apart from the mandatory disclosure under applicable laws, the Company regularly publishes additional materials containing essential information for shareholders and potential investors on its website. For example, the Company prepares quarterly IR-releases covering operating and financial performance (both under RAS and IFRS) for the reporting period. Annual and ad hoc presentations are prepared for investors with information on key highlights and long-term forecasts, including the necessary comments.</w:t>
      </w:r>
    </w:p>
    <w:p w14:paraId="0F019D23" w14:textId="77777777" w:rsidR="00FD1F0A" w:rsidRPr="00BD295E" w:rsidRDefault="008A5057" w:rsidP="000F339F">
      <w:pPr>
        <w:spacing w:line="228" w:lineRule="auto"/>
        <w:jc w:val="both"/>
        <w:rPr>
          <w:rFonts w:ascii="Arial" w:hAnsi="Arial" w:cs="Arial"/>
          <w:caps/>
          <w:sz w:val="18"/>
          <w:szCs w:val="18"/>
          <w:lang w:val="en-US"/>
        </w:rPr>
      </w:pPr>
      <w:r w:rsidRPr="00BD295E">
        <w:rPr>
          <w:rFonts w:ascii="Arial" w:hAnsi="Arial" w:cs="Arial"/>
          <w:sz w:val="18"/>
          <w:szCs w:val="18"/>
          <w:lang w:val="en-US"/>
        </w:rPr>
        <w:t xml:space="preserve">The Company’s efforts to maintain an open and transparent disclosure policy were highly appreciated by the professional community as annual reports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won the award for the Best Disclosure in an Annual Report by Companies with Capitalization up to RUB 10 Billion three times in a row (2011, 2012, 2013) at the annual contest of annual reports organized by the Moscow Exchange, while its annual report for 2016 won the award for the Best Annual Report of a Company with Capitalization of up to RUB 40 Billion.  </w:t>
      </w:r>
      <w:r w:rsidRPr="00BD295E">
        <w:rPr>
          <w:rFonts w:ascii="Arial" w:hAnsi="Arial" w:cs="Arial"/>
          <w:sz w:val="18"/>
          <w:szCs w:val="18"/>
          <w:lang w:val="en-US"/>
        </w:rPr>
        <w:br w:type="page"/>
      </w:r>
    </w:p>
    <w:p w14:paraId="4BF60CE0" w14:textId="77777777" w:rsidR="00FD1F0A" w:rsidRPr="00BD295E" w:rsidRDefault="008A5057" w:rsidP="00F7146A">
      <w:pPr>
        <w:keepNext/>
        <w:jc w:val="both"/>
        <w:outlineLvl w:val="1"/>
        <w:rPr>
          <w:rFonts w:ascii="Arial" w:hAnsi="Arial" w:cs="Arial"/>
          <w:b/>
          <w:sz w:val="18"/>
          <w:szCs w:val="18"/>
          <w:lang w:val="en-US"/>
        </w:rPr>
      </w:pPr>
      <w:bookmarkStart w:id="463" w:name="_Toc389489086"/>
      <w:bookmarkStart w:id="464" w:name="_Toc509493406"/>
      <w:bookmarkStart w:id="465" w:name="_Toc509497969"/>
      <w:bookmarkStart w:id="466" w:name="_Toc509581271"/>
      <w:bookmarkStart w:id="467" w:name="_Toc510452235"/>
      <w:bookmarkStart w:id="468" w:name="_Toc5027024"/>
      <w:bookmarkStart w:id="469" w:name="_Toc5105982"/>
      <w:bookmarkStart w:id="470" w:name="_Toc5203835"/>
      <w:bookmarkStart w:id="471" w:name="_Toc6230932"/>
      <w:bookmarkStart w:id="472" w:name="_Toc7172580"/>
      <w:bookmarkStart w:id="473" w:name="_Toc7172626"/>
      <w:bookmarkStart w:id="474" w:name="_Toc95855301"/>
      <w:bookmarkStart w:id="475" w:name="_Toc95935360"/>
      <w:r w:rsidRPr="00BD295E">
        <w:rPr>
          <w:rFonts w:ascii="Arial" w:hAnsi="Arial" w:cs="Arial"/>
          <w:b/>
          <w:sz w:val="18"/>
          <w:szCs w:val="18"/>
          <w:lang w:val="en-US"/>
        </w:rPr>
        <w:t>SECTION 5. SUSTAINABLE DEVELOPMENT</w:t>
      </w:r>
      <w:bookmarkEnd w:id="463"/>
      <w:bookmarkEnd w:id="464"/>
      <w:bookmarkEnd w:id="465"/>
      <w:bookmarkEnd w:id="466"/>
      <w:bookmarkEnd w:id="467"/>
      <w:bookmarkEnd w:id="468"/>
      <w:bookmarkEnd w:id="469"/>
      <w:bookmarkEnd w:id="470"/>
      <w:bookmarkEnd w:id="471"/>
      <w:bookmarkEnd w:id="472"/>
      <w:bookmarkEnd w:id="473"/>
      <w:bookmarkEnd w:id="474"/>
      <w:bookmarkEnd w:id="475"/>
      <w:r w:rsidRPr="00BD295E">
        <w:rPr>
          <w:rFonts w:ascii="Arial" w:hAnsi="Arial" w:cs="Arial"/>
          <w:b/>
          <w:sz w:val="18"/>
          <w:szCs w:val="18"/>
          <w:lang w:val="en-US"/>
        </w:rPr>
        <w:t xml:space="preserve"> </w:t>
      </w:r>
    </w:p>
    <w:p w14:paraId="3958B9F4" w14:textId="77777777" w:rsidR="00FD1F0A" w:rsidRPr="00BD295E" w:rsidRDefault="00FD1F0A" w:rsidP="00F7146A">
      <w:pPr>
        <w:rPr>
          <w:rFonts w:ascii="Arial" w:hAnsi="Arial" w:cs="Arial"/>
          <w:b/>
          <w:sz w:val="18"/>
          <w:szCs w:val="18"/>
          <w:lang w:val="en-US"/>
        </w:rPr>
      </w:pPr>
    </w:p>
    <w:p w14:paraId="1BE2918C" w14:textId="77777777" w:rsidR="00FD1F0A" w:rsidRPr="00BD295E" w:rsidRDefault="008A5057" w:rsidP="00F7146A">
      <w:pPr>
        <w:keepNext/>
        <w:numPr>
          <w:ilvl w:val="0"/>
          <w:numId w:val="11"/>
        </w:numPr>
        <w:ind w:left="0" w:firstLine="0"/>
        <w:jc w:val="both"/>
        <w:outlineLvl w:val="1"/>
        <w:rPr>
          <w:rFonts w:ascii="Arial" w:hAnsi="Arial" w:cs="Arial"/>
          <w:b/>
          <w:sz w:val="18"/>
          <w:szCs w:val="18"/>
          <w:lang w:val="en-US"/>
        </w:rPr>
      </w:pPr>
      <w:bookmarkStart w:id="476" w:name="_Toc509493407"/>
      <w:bookmarkStart w:id="477" w:name="_Toc509497970"/>
      <w:bookmarkStart w:id="478" w:name="_Toc509581272"/>
      <w:bookmarkStart w:id="479" w:name="_Toc510452236"/>
      <w:bookmarkStart w:id="480" w:name="_Toc5027025"/>
      <w:bookmarkStart w:id="481" w:name="_Toc5105983"/>
      <w:bookmarkStart w:id="482" w:name="_Toc5203836"/>
      <w:bookmarkStart w:id="483" w:name="_Toc6230933"/>
      <w:bookmarkStart w:id="484" w:name="_Toc7172581"/>
      <w:bookmarkStart w:id="485" w:name="_Toc7172627"/>
      <w:bookmarkStart w:id="486" w:name="_Toc95855302"/>
      <w:bookmarkStart w:id="487" w:name="_Toc95935361"/>
      <w:r w:rsidRPr="00BD295E">
        <w:rPr>
          <w:rFonts w:ascii="Arial" w:hAnsi="Arial" w:cs="Arial"/>
          <w:b/>
          <w:sz w:val="18"/>
          <w:szCs w:val="18"/>
          <w:lang w:val="en-US"/>
        </w:rPr>
        <w:t>Human Resources Management</w:t>
      </w:r>
      <w:bookmarkEnd w:id="476"/>
      <w:bookmarkEnd w:id="477"/>
      <w:bookmarkEnd w:id="478"/>
      <w:bookmarkEnd w:id="479"/>
      <w:bookmarkEnd w:id="480"/>
      <w:bookmarkEnd w:id="481"/>
      <w:bookmarkEnd w:id="482"/>
      <w:bookmarkEnd w:id="483"/>
      <w:bookmarkEnd w:id="484"/>
      <w:bookmarkEnd w:id="485"/>
      <w:bookmarkEnd w:id="486"/>
      <w:bookmarkEnd w:id="487"/>
    </w:p>
    <w:p w14:paraId="5DF65B69" w14:textId="77777777" w:rsidR="00ED79C9" w:rsidRPr="00BD295E" w:rsidRDefault="00ED79C9" w:rsidP="00F7146A">
      <w:pPr>
        <w:jc w:val="both"/>
        <w:rPr>
          <w:rFonts w:ascii="Arial" w:hAnsi="Arial" w:cs="Arial"/>
          <w:sz w:val="18"/>
          <w:szCs w:val="18"/>
          <w:lang w:val="en-US"/>
        </w:rPr>
      </w:pPr>
      <w:bookmarkStart w:id="488" w:name="_Toc389489088"/>
    </w:p>
    <w:p w14:paraId="4F1DA3C9" w14:textId="77777777" w:rsidR="00ED79C9" w:rsidRPr="00BD295E" w:rsidRDefault="008A5057" w:rsidP="00F7146A">
      <w:pPr>
        <w:rPr>
          <w:rFonts w:ascii="Arial" w:hAnsi="Arial" w:cs="Arial"/>
          <w:b/>
          <w:sz w:val="18"/>
          <w:szCs w:val="18"/>
          <w:lang w:val="en-US"/>
        </w:rPr>
      </w:pPr>
      <w:r w:rsidRPr="00BD295E">
        <w:rPr>
          <w:rFonts w:ascii="Arial" w:hAnsi="Arial" w:cs="Arial"/>
          <w:b/>
          <w:sz w:val="18"/>
          <w:szCs w:val="18"/>
          <w:lang w:val="en-US"/>
        </w:rPr>
        <w:t xml:space="preserve">Personnel and Social Policy of </w:t>
      </w:r>
      <w:r w:rsidR="00EE5753" w:rsidRPr="00BD295E">
        <w:rPr>
          <w:rFonts w:ascii="Arial" w:hAnsi="Arial" w:cs="Arial"/>
          <w:b/>
          <w:sz w:val="18"/>
          <w:szCs w:val="18"/>
          <w:lang w:val="en-US"/>
        </w:rPr>
        <w:t>PJSC “Lenenergo”</w:t>
      </w:r>
    </w:p>
    <w:p w14:paraId="3F212B4A" w14:textId="77777777" w:rsidR="00ED79C9" w:rsidRPr="00BD295E" w:rsidRDefault="008A5057" w:rsidP="00F7146A">
      <w:pPr>
        <w:contextualSpacing/>
        <w:jc w:val="both"/>
        <w:rPr>
          <w:rFonts w:ascii="Arial" w:hAnsi="Arial" w:cs="Arial"/>
          <w:sz w:val="18"/>
          <w:szCs w:val="18"/>
          <w:lang w:val="en-US"/>
        </w:rPr>
      </w:pPr>
      <w:r w:rsidRPr="00BD295E">
        <w:rPr>
          <w:rFonts w:ascii="Arial" w:hAnsi="Arial" w:cs="Arial"/>
          <w:sz w:val="18"/>
          <w:szCs w:val="18"/>
          <w:lang w:val="en-US"/>
        </w:rPr>
        <w:t xml:space="preserve">The key objectives of the Personnel and Social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which are designed to ensure the achievement of target benchmarks set out in the Strategy for the Development of the Electric Grid Sector, include: </w:t>
      </w:r>
    </w:p>
    <w:p w14:paraId="7686847B" w14:textId="77777777" w:rsidR="00ED79C9" w:rsidRPr="00BD295E" w:rsidRDefault="008A5057" w:rsidP="00F7146A">
      <w:pPr>
        <w:pStyle w:val="af3"/>
        <w:numPr>
          <w:ilvl w:val="0"/>
          <w:numId w:val="96"/>
        </w:numPr>
        <w:ind w:left="0" w:firstLine="0"/>
        <w:jc w:val="both"/>
        <w:rPr>
          <w:rFonts w:ascii="Arial" w:hAnsi="Arial" w:cs="Arial"/>
          <w:sz w:val="18"/>
          <w:szCs w:val="18"/>
          <w:lang w:val="en-US"/>
        </w:rPr>
      </w:pPr>
      <w:r w:rsidRPr="00BD295E">
        <w:rPr>
          <w:rFonts w:ascii="Arial" w:hAnsi="Arial" w:cs="Arial"/>
          <w:sz w:val="18"/>
          <w:szCs w:val="18"/>
          <w:lang w:val="en-US"/>
        </w:rPr>
        <w:t xml:space="preserve">Planning of personnel requirements – ensuring the availability of reliable information on day-to-day and forecast quantitative and qualitative demand for workforce necessary and sufficient to achieve the Company’s objectives; </w:t>
      </w:r>
    </w:p>
    <w:p w14:paraId="21955148" w14:textId="77777777" w:rsidR="00ED79C9" w:rsidRPr="00BD295E" w:rsidRDefault="008A5057" w:rsidP="00F7146A">
      <w:pPr>
        <w:pStyle w:val="af3"/>
        <w:numPr>
          <w:ilvl w:val="0"/>
          <w:numId w:val="96"/>
        </w:numPr>
        <w:ind w:left="0" w:firstLine="0"/>
        <w:jc w:val="both"/>
        <w:rPr>
          <w:rFonts w:ascii="Arial" w:hAnsi="Arial" w:cs="Arial"/>
          <w:sz w:val="18"/>
          <w:szCs w:val="18"/>
          <w:lang w:val="en-US"/>
        </w:rPr>
      </w:pPr>
      <w:r w:rsidRPr="00BD295E">
        <w:rPr>
          <w:rFonts w:ascii="Arial" w:hAnsi="Arial" w:cs="Arial"/>
          <w:sz w:val="18"/>
          <w:szCs w:val="18"/>
          <w:lang w:val="en-US"/>
        </w:rPr>
        <w:t xml:space="preserve">timely supply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with the necessary sufficiently qualified workforce;</w:t>
      </w:r>
    </w:p>
    <w:p w14:paraId="785BEE86" w14:textId="77777777" w:rsidR="00ED79C9" w:rsidRPr="00BD295E" w:rsidRDefault="008A5057" w:rsidP="00F7146A">
      <w:pPr>
        <w:pStyle w:val="af3"/>
        <w:numPr>
          <w:ilvl w:val="0"/>
          <w:numId w:val="96"/>
        </w:numPr>
        <w:ind w:left="0" w:firstLine="0"/>
        <w:jc w:val="both"/>
        <w:rPr>
          <w:rFonts w:ascii="Arial" w:hAnsi="Arial" w:cs="Arial"/>
          <w:sz w:val="18"/>
          <w:szCs w:val="18"/>
          <w:lang w:val="en-US"/>
        </w:rPr>
      </w:pPr>
      <w:r w:rsidRPr="00BD295E">
        <w:rPr>
          <w:rFonts w:ascii="Arial" w:hAnsi="Arial" w:cs="Arial"/>
          <w:sz w:val="18"/>
          <w:szCs w:val="18"/>
          <w:lang w:val="en-US"/>
        </w:rPr>
        <w:t>Ensuring employee performance and enhance labor productivity at the Company.</w:t>
      </w:r>
    </w:p>
    <w:p w14:paraId="79DA93CC" w14:textId="77777777" w:rsidR="00ED79C9" w:rsidRPr="00BD295E" w:rsidRDefault="008A5057" w:rsidP="00F7146A">
      <w:pPr>
        <w:contextualSpacing/>
        <w:jc w:val="both"/>
        <w:rPr>
          <w:rFonts w:ascii="Arial" w:hAnsi="Arial" w:cs="Arial"/>
          <w:sz w:val="18"/>
          <w:szCs w:val="18"/>
          <w:lang w:val="en-US"/>
        </w:rPr>
      </w:pPr>
      <w:r w:rsidRPr="00BD295E">
        <w:rPr>
          <w:rFonts w:ascii="Arial" w:hAnsi="Arial" w:cs="Arial"/>
          <w:sz w:val="18"/>
          <w:szCs w:val="18"/>
          <w:lang w:val="en-US"/>
        </w:rPr>
        <w:t>These key objectives of the Personnel and Social Policy are achieved by implementing a set of measures across various areas such as:</w:t>
      </w:r>
    </w:p>
    <w:p w14:paraId="5164E288" w14:textId="77777777" w:rsidR="00ED79C9" w:rsidRPr="00BD295E" w:rsidRDefault="008A5057" w:rsidP="00F7146A">
      <w:pPr>
        <w:pStyle w:val="af3"/>
        <w:numPr>
          <w:ilvl w:val="0"/>
          <w:numId w:val="97"/>
        </w:numPr>
        <w:ind w:left="0" w:firstLine="0"/>
        <w:jc w:val="both"/>
        <w:rPr>
          <w:rFonts w:ascii="Arial" w:hAnsi="Arial" w:cs="Arial"/>
          <w:sz w:val="18"/>
          <w:szCs w:val="18"/>
          <w:lang w:val="en-US"/>
        </w:rPr>
      </w:pPr>
      <w:r w:rsidRPr="00BD295E">
        <w:rPr>
          <w:rFonts w:ascii="Arial" w:hAnsi="Arial" w:cs="Arial"/>
          <w:sz w:val="18"/>
          <w:szCs w:val="18"/>
          <w:lang w:val="en-US"/>
        </w:rPr>
        <w:t xml:space="preserve">organizational design; </w:t>
      </w:r>
    </w:p>
    <w:p w14:paraId="26536B20" w14:textId="77777777" w:rsidR="00ED79C9" w:rsidRPr="00BD295E" w:rsidRDefault="008A5057" w:rsidP="00F7146A">
      <w:pPr>
        <w:pStyle w:val="af3"/>
        <w:numPr>
          <w:ilvl w:val="0"/>
          <w:numId w:val="97"/>
        </w:numPr>
        <w:ind w:left="0" w:firstLine="0"/>
        <w:jc w:val="both"/>
        <w:rPr>
          <w:rFonts w:ascii="Arial" w:hAnsi="Arial" w:cs="Arial"/>
          <w:sz w:val="18"/>
          <w:szCs w:val="18"/>
          <w:lang w:val="en-US"/>
        </w:rPr>
      </w:pPr>
      <w:r w:rsidRPr="00BD295E">
        <w:rPr>
          <w:rFonts w:ascii="Arial" w:hAnsi="Arial" w:cs="Arial"/>
          <w:sz w:val="18"/>
          <w:szCs w:val="18"/>
          <w:lang w:val="en-US"/>
        </w:rPr>
        <w:t xml:space="preserve">headcount management; </w:t>
      </w:r>
    </w:p>
    <w:p w14:paraId="69417DCB" w14:textId="77777777" w:rsidR="00ED79C9" w:rsidRPr="00BD295E" w:rsidRDefault="008A5057" w:rsidP="00F7146A">
      <w:pPr>
        <w:pStyle w:val="af3"/>
        <w:numPr>
          <w:ilvl w:val="0"/>
          <w:numId w:val="97"/>
        </w:numPr>
        <w:ind w:left="0" w:firstLine="0"/>
        <w:jc w:val="both"/>
        <w:rPr>
          <w:rFonts w:ascii="Arial" w:hAnsi="Arial" w:cs="Arial"/>
          <w:sz w:val="18"/>
          <w:szCs w:val="18"/>
          <w:lang w:val="en-US"/>
        </w:rPr>
      </w:pPr>
      <w:r w:rsidRPr="00BD295E">
        <w:rPr>
          <w:rFonts w:ascii="Arial" w:hAnsi="Arial" w:cs="Arial"/>
          <w:sz w:val="18"/>
          <w:szCs w:val="18"/>
          <w:lang w:val="en-US"/>
        </w:rPr>
        <w:t>staffing and personnel development;</w:t>
      </w:r>
    </w:p>
    <w:p w14:paraId="1083C66A" w14:textId="77777777" w:rsidR="00ED79C9" w:rsidRPr="00BD295E" w:rsidRDefault="008A5057" w:rsidP="00F7146A">
      <w:pPr>
        <w:pStyle w:val="af3"/>
        <w:numPr>
          <w:ilvl w:val="0"/>
          <w:numId w:val="97"/>
        </w:numPr>
        <w:ind w:left="0" w:firstLine="0"/>
        <w:jc w:val="both"/>
        <w:rPr>
          <w:rFonts w:ascii="Arial" w:hAnsi="Arial" w:cs="Arial"/>
          <w:sz w:val="18"/>
          <w:szCs w:val="18"/>
          <w:lang w:val="en-US"/>
        </w:rPr>
      </w:pPr>
      <w:r w:rsidRPr="00BD295E">
        <w:rPr>
          <w:rFonts w:ascii="Arial" w:hAnsi="Arial" w:cs="Arial"/>
          <w:sz w:val="18"/>
          <w:szCs w:val="18"/>
          <w:lang w:val="en-US"/>
        </w:rPr>
        <w:t>employee performance management (employee motivation);</w:t>
      </w:r>
    </w:p>
    <w:p w14:paraId="2A5F990A" w14:textId="77777777" w:rsidR="00ED79C9" w:rsidRPr="00BD295E" w:rsidRDefault="008A5057" w:rsidP="00F7146A">
      <w:pPr>
        <w:pStyle w:val="af3"/>
        <w:numPr>
          <w:ilvl w:val="0"/>
          <w:numId w:val="97"/>
        </w:numPr>
        <w:ind w:left="0" w:firstLine="0"/>
        <w:jc w:val="both"/>
        <w:rPr>
          <w:rFonts w:ascii="Arial" w:hAnsi="Arial" w:cs="Arial"/>
          <w:sz w:val="18"/>
          <w:szCs w:val="18"/>
          <w:lang w:val="en-US"/>
        </w:rPr>
      </w:pPr>
      <w:r w:rsidRPr="00BD295E">
        <w:rPr>
          <w:rFonts w:ascii="Arial" w:hAnsi="Arial" w:cs="Arial"/>
          <w:sz w:val="18"/>
          <w:szCs w:val="18"/>
          <w:lang w:val="en-US"/>
        </w:rPr>
        <w:t>social benefits and guarantees;</w:t>
      </w:r>
    </w:p>
    <w:p w14:paraId="307EE7E1" w14:textId="77777777" w:rsidR="00ED79C9" w:rsidRPr="00BD295E" w:rsidRDefault="008A5057" w:rsidP="00F7146A">
      <w:pPr>
        <w:pStyle w:val="af3"/>
        <w:numPr>
          <w:ilvl w:val="0"/>
          <w:numId w:val="97"/>
        </w:numPr>
        <w:ind w:left="0" w:firstLine="0"/>
        <w:jc w:val="both"/>
        <w:rPr>
          <w:rFonts w:ascii="Arial" w:hAnsi="Arial" w:cs="Arial"/>
          <w:sz w:val="18"/>
          <w:szCs w:val="18"/>
          <w:lang w:val="en-US"/>
        </w:rPr>
      </w:pPr>
      <w:r w:rsidRPr="00BD295E">
        <w:rPr>
          <w:rFonts w:ascii="Arial" w:hAnsi="Arial" w:cs="Arial"/>
          <w:sz w:val="18"/>
          <w:szCs w:val="18"/>
          <w:lang w:val="en-US"/>
        </w:rPr>
        <w:t>occupational safety and work culture.</w:t>
      </w:r>
    </w:p>
    <w:p w14:paraId="0F927503" w14:textId="77777777" w:rsidR="00ED79C9" w:rsidRPr="00BD295E" w:rsidRDefault="00ED79C9" w:rsidP="00F7146A">
      <w:pPr>
        <w:contextualSpacing/>
        <w:jc w:val="both"/>
        <w:rPr>
          <w:rFonts w:ascii="Arial" w:hAnsi="Arial" w:cs="Arial"/>
          <w:sz w:val="18"/>
          <w:szCs w:val="18"/>
          <w:lang w:val="en-US"/>
        </w:rPr>
      </w:pPr>
    </w:p>
    <w:p w14:paraId="009FB881" w14:textId="77777777" w:rsidR="00ED79C9" w:rsidRPr="00BD295E" w:rsidRDefault="008A5057" w:rsidP="00F7146A">
      <w:pPr>
        <w:contextualSpacing/>
        <w:jc w:val="both"/>
        <w:rPr>
          <w:rFonts w:ascii="Arial" w:hAnsi="Arial" w:cs="Arial"/>
          <w:b/>
          <w:sz w:val="18"/>
          <w:szCs w:val="18"/>
          <w:lang w:val="en-US"/>
        </w:rPr>
      </w:pPr>
      <w:r w:rsidRPr="00BD295E">
        <w:rPr>
          <w:rFonts w:ascii="Arial" w:hAnsi="Arial" w:cs="Arial"/>
          <w:b/>
          <w:sz w:val="18"/>
          <w:szCs w:val="18"/>
          <w:lang w:val="en-US"/>
        </w:rPr>
        <w:t>Headcount and personnel structure</w:t>
      </w:r>
    </w:p>
    <w:p w14:paraId="0A75DA20" w14:textId="77777777" w:rsidR="00ED79C9" w:rsidRPr="00BD295E" w:rsidRDefault="008A5057" w:rsidP="00F7146A">
      <w:pPr>
        <w:pStyle w:val="af3"/>
        <w:tabs>
          <w:tab w:val="left" w:pos="0"/>
        </w:tabs>
        <w:ind w:left="0"/>
        <w:jc w:val="both"/>
        <w:rPr>
          <w:rFonts w:ascii="Arial" w:eastAsia="Calibri" w:hAnsi="Arial" w:cs="Arial"/>
          <w:sz w:val="18"/>
          <w:szCs w:val="18"/>
          <w:lang w:val="en-US"/>
        </w:rPr>
      </w:pPr>
      <w:r w:rsidRPr="00BD295E">
        <w:rPr>
          <w:rFonts w:ascii="Arial" w:hAnsi="Arial" w:cs="Arial"/>
          <w:sz w:val="18"/>
          <w:szCs w:val="18"/>
          <w:lang w:val="en-US"/>
        </w:rPr>
        <w:t xml:space="preserve">The average headcount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2018 was 7,109 persons, up 2.3% year-on-year. The increase in the average headcount was driven by the hiring of new operating personnel for electric grid districts. </w:t>
      </w:r>
    </w:p>
    <w:p w14:paraId="663DA603" w14:textId="77777777" w:rsidR="00ED79C9" w:rsidRPr="00BD295E" w:rsidRDefault="00ED79C9" w:rsidP="00ED79C9">
      <w:pPr>
        <w:pStyle w:val="af3"/>
        <w:keepNext/>
        <w:tabs>
          <w:tab w:val="left" w:pos="0"/>
        </w:tabs>
        <w:ind w:left="0"/>
        <w:jc w:val="both"/>
        <w:rPr>
          <w:rFonts w:ascii="Arial" w:hAnsi="Arial" w:cs="Arial"/>
          <w:sz w:val="18"/>
          <w:szCs w:val="18"/>
          <w:lang w:val="en-US"/>
        </w:rPr>
      </w:pPr>
    </w:p>
    <w:p w14:paraId="6616A2C2" w14:textId="77777777" w:rsidR="00616C23" w:rsidRPr="00BD295E" w:rsidRDefault="008A5057" w:rsidP="00616C23">
      <w:pPr>
        <w:pStyle w:val="afff6"/>
        <w:contextualSpacing/>
        <w:jc w:val="center"/>
        <w:rPr>
          <w:rFonts w:ascii="Arial" w:hAnsi="Arial" w:cs="Arial"/>
          <w:sz w:val="18"/>
          <w:szCs w:val="18"/>
          <w:lang w:val="en-US"/>
        </w:rPr>
      </w:pPr>
      <w:r w:rsidRPr="00BD295E">
        <w:rPr>
          <w:rFonts w:ascii="Arial" w:hAnsi="Arial" w:cs="Arial"/>
          <w:sz w:val="18"/>
          <w:szCs w:val="18"/>
          <w:lang w:val="en-US"/>
        </w:rPr>
        <w:t xml:space="preserve">Average headcount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2016–2018, persons</w:t>
      </w:r>
    </w:p>
    <w:p w14:paraId="0D6ED096" w14:textId="4D64C2D0" w:rsidR="00ED79C9" w:rsidRPr="00BD295E" w:rsidRDefault="00997D07" w:rsidP="00ED79C9">
      <w:pPr>
        <w:pStyle w:val="af3"/>
        <w:keepNext/>
        <w:tabs>
          <w:tab w:val="left" w:pos="0"/>
        </w:tabs>
        <w:ind w:left="0"/>
        <w:jc w:val="both"/>
        <w:rPr>
          <w:rFonts w:ascii="Arial" w:hAnsi="Arial" w:cs="Arial"/>
          <w:sz w:val="18"/>
          <w:szCs w:val="18"/>
          <w:lang w:val="en-US"/>
        </w:rPr>
      </w:pPr>
      <w:r w:rsidRPr="00BD295E">
        <w:rPr>
          <w:rFonts w:ascii="Arial" w:hAnsi="Arial" w:cs="Arial"/>
          <w:sz w:val="18"/>
          <w:szCs w:val="18"/>
          <w:lang w:val="en-US" w:eastAsia="en-US"/>
        </w:rPr>
        <w:drawing>
          <wp:inline distT="0" distB="0" distL="0" distR="0" wp14:anchorId="4C752032" wp14:editId="70B4B478">
            <wp:extent cx="5943600" cy="2395855"/>
            <wp:effectExtent l="0" t="0" r="0" b="0"/>
            <wp:docPr id="94" name="Диаграмма 2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6F44B161" w14:textId="77777777" w:rsidR="00ED79C9" w:rsidRPr="00BD295E" w:rsidRDefault="00ED79C9" w:rsidP="00ED79C9">
      <w:pPr>
        <w:ind w:firstLine="709"/>
        <w:jc w:val="both"/>
        <w:rPr>
          <w:rFonts w:ascii="Arial" w:eastAsia="Calibri" w:hAnsi="Arial" w:cs="Arial"/>
          <w:sz w:val="18"/>
          <w:szCs w:val="18"/>
          <w:lang w:val="en-US"/>
        </w:rPr>
      </w:pPr>
    </w:p>
    <w:p w14:paraId="3955BA7E" w14:textId="77777777" w:rsidR="00616C23" w:rsidRPr="00BD295E" w:rsidRDefault="008A5057" w:rsidP="00616C23">
      <w:pPr>
        <w:pStyle w:val="afff6"/>
        <w:contextualSpacing/>
        <w:jc w:val="center"/>
        <w:rPr>
          <w:rFonts w:ascii="Arial" w:hAnsi="Arial" w:cs="Arial"/>
          <w:sz w:val="18"/>
          <w:szCs w:val="18"/>
          <w:lang w:val="en-US"/>
        </w:rPr>
      </w:pPr>
      <w:r w:rsidRPr="00BD295E">
        <w:rPr>
          <w:rFonts w:ascii="Arial" w:hAnsi="Arial" w:cs="Arial"/>
          <w:sz w:val="18"/>
          <w:szCs w:val="18"/>
          <w:lang w:val="en-US"/>
        </w:rPr>
        <w:t xml:space="preserve">Breakdown of average headcount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2018, %</w:t>
      </w:r>
    </w:p>
    <w:p w14:paraId="28E04F1D" w14:textId="7378B43C" w:rsidR="00ED79C9" w:rsidRPr="00BD295E" w:rsidRDefault="00997D07" w:rsidP="00ED79C9">
      <w:pPr>
        <w:pStyle w:val="af3"/>
        <w:keepNext/>
        <w:tabs>
          <w:tab w:val="left" w:pos="0"/>
        </w:tabs>
        <w:ind w:left="0"/>
        <w:jc w:val="both"/>
        <w:rPr>
          <w:rFonts w:ascii="Arial" w:hAnsi="Arial" w:cs="Arial"/>
          <w:sz w:val="18"/>
          <w:szCs w:val="18"/>
          <w:lang w:val="en-US"/>
        </w:rPr>
      </w:pPr>
      <w:bookmarkStart w:id="489" w:name="_Hlk95940227"/>
      <w:r w:rsidRPr="00BD295E">
        <w:rPr>
          <w:rFonts w:ascii="Arial" w:hAnsi="Arial" w:cs="Arial"/>
          <w:sz w:val="18"/>
          <w:szCs w:val="18"/>
          <w:lang w:val="en-US" w:eastAsia="en-US"/>
        </w:rPr>
        <w:drawing>
          <wp:inline distT="0" distB="0" distL="0" distR="0" wp14:anchorId="4460F90D" wp14:editId="5A2CF4B9">
            <wp:extent cx="5934075" cy="2338705"/>
            <wp:effectExtent l="0" t="0" r="0" b="0"/>
            <wp:docPr id="95" name="Диаграмма 534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bookmarkEnd w:id="489"/>
    </w:p>
    <w:p w14:paraId="41858193" w14:textId="77777777" w:rsidR="00ED79C9" w:rsidRPr="00BD295E" w:rsidRDefault="00ED79C9" w:rsidP="00ED79C9">
      <w:pPr>
        <w:pStyle w:val="af3"/>
        <w:tabs>
          <w:tab w:val="left" w:pos="0"/>
        </w:tabs>
        <w:ind w:left="0"/>
        <w:jc w:val="both"/>
        <w:rPr>
          <w:rFonts w:ascii="Arial" w:eastAsia="Calibri" w:hAnsi="Arial" w:cs="Arial"/>
          <w:sz w:val="18"/>
          <w:szCs w:val="18"/>
          <w:lang w:val="en-US"/>
        </w:rPr>
      </w:pPr>
    </w:p>
    <w:p w14:paraId="39C8B39A" w14:textId="77777777" w:rsidR="00ED79C9" w:rsidRPr="00BD295E" w:rsidRDefault="008A5057" w:rsidP="00F7146A">
      <w:pPr>
        <w:pStyle w:val="af3"/>
        <w:tabs>
          <w:tab w:val="left" w:pos="0"/>
        </w:tabs>
        <w:ind w:left="0"/>
        <w:jc w:val="both"/>
        <w:rPr>
          <w:rFonts w:ascii="Arial" w:eastAsia="Calibri" w:hAnsi="Arial" w:cs="Arial"/>
          <w:sz w:val="18"/>
          <w:szCs w:val="18"/>
          <w:lang w:val="en-US"/>
        </w:rPr>
      </w:pPr>
      <w:r w:rsidRPr="00BD295E">
        <w:rPr>
          <w:rFonts w:ascii="Arial" w:hAnsi="Arial" w:cs="Arial"/>
          <w:sz w:val="18"/>
          <w:szCs w:val="18"/>
          <w:lang w:val="en-US"/>
        </w:rPr>
        <w:t>The staffing level at Lenenergo PJSC has been growing steadily over the last three years reaching 97.4% in 2018 (+0.8 p.p. from 2016).</w:t>
      </w:r>
    </w:p>
    <w:p w14:paraId="639EF48F" w14:textId="77777777" w:rsidR="00ED79C9" w:rsidRPr="00BD295E" w:rsidRDefault="008A5057" w:rsidP="00F7146A">
      <w:pPr>
        <w:pStyle w:val="af3"/>
        <w:tabs>
          <w:tab w:val="left" w:pos="0"/>
        </w:tabs>
        <w:ind w:left="0"/>
        <w:jc w:val="both"/>
        <w:rPr>
          <w:rFonts w:ascii="Arial" w:eastAsia="Calibri" w:hAnsi="Arial" w:cs="Arial"/>
          <w:sz w:val="18"/>
          <w:szCs w:val="18"/>
          <w:lang w:val="en-US"/>
        </w:rPr>
      </w:pPr>
      <w:r w:rsidRPr="00BD295E">
        <w:rPr>
          <w:rFonts w:ascii="Arial" w:hAnsi="Arial" w:cs="Arial"/>
          <w:sz w:val="18"/>
          <w:szCs w:val="18"/>
          <w:lang w:val="en-US"/>
        </w:rPr>
        <w:t>The average age of the Company’s employees in 2018 remained flat year-on-year at 43 years, with the active personnel turnover in 2018 at 6.6%.</w:t>
      </w:r>
    </w:p>
    <w:p w14:paraId="6418F514" w14:textId="7955E18E" w:rsidR="00ED79C9" w:rsidRPr="00BD295E" w:rsidRDefault="008A5057" w:rsidP="00F7146A">
      <w:pPr>
        <w:pStyle w:val="af3"/>
        <w:tabs>
          <w:tab w:val="left" w:pos="0"/>
        </w:tabs>
        <w:ind w:left="0"/>
        <w:jc w:val="both"/>
        <w:rPr>
          <w:rFonts w:ascii="Arial" w:eastAsia="Calibri" w:hAnsi="Arial" w:cs="Arial"/>
          <w:sz w:val="18"/>
          <w:szCs w:val="18"/>
          <w:lang w:val="en-US"/>
        </w:rPr>
      </w:pPr>
      <w:r w:rsidRPr="00BD295E">
        <w:rPr>
          <w:rFonts w:ascii="Arial" w:hAnsi="Arial" w:cs="Arial"/>
          <w:sz w:val="18"/>
          <w:szCs w:val="18"/>
          <w:lang w:val="en-US"/>
        </w:rPr>
        <w:t>Over the past three years, there has been a decrease in the share of employees aged 50 to retirement age (–0.6 p.p.) and the share of working retirees (–1.4 p.p.) while the share of employees aged 25 to 50 grew (+2.4 p.p.).</w:t>
      </w:r>
    </w:p>
    <w:p w14:paraId="2C7EE605" w14:textId="77777777" w:rsidR="00ED79C9" w:rsidRPr="00BD295E" w:rsidRDefault="008A5057" w:rsidP="00F7146A">
      <w:pPr>
        <w:suppressAutoHyphens/>
        <w:jc w:val="both"/>
        <w:rPr>
          <w:rFonts w:ascii="Arial" w:hAnsi="Arial" w:cs="Arial"/>
          <w:sz w:val="18"/>
          <w:szCs w:val="18"/>
          <w:lang w:val="en-US"/>
        </w:rPr>
      </w:pPr>
      <w:r w:rsidRPr="00BD295E">
        <w:rPr>
          <w:rFonts w:ascii="Arial" w:hAnsi="Arial" w:cs="Arial"/>
          <w:sz w:val="18"/>
          <w:szCs w:val="18"/>
          <w:lang w:val="en-US"/>
        </w:rPr>
        <w:t xml:space="preserve">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demonstrate a fairly high level of qualification, with 85.5% of employees having a professional education degree. This indicator increased by 1.9 p.p. over the last three years.</w:t>
      </w:r>
    </w:p>
    <w:p w14:paraId="1B4B1AEC" w14:textId="77777777" w:rsidR="00ED79C9" w:rsidRPr="00BD295E" w:rsidRDefault="00ED79C9" w:rsidP="00F7146A">
      <w:pPr>
        <w:jc w:val="both"/>
        <w:rPr>
          <w:rFonts w:ascii="Arial" w:hAnsi="Arial" w:cs="Arial"/>
          <w:sz w:val="18"/>
          <w:szCs w:val="18"/>
          <w:lang w:val="en-US"/>
        </w:rPr>
      </w:pPr>
    </w:p>
    <w:p w14:paraId="2B547FB1" w14:textId="77777777" w:rsidR="00ED79C9" w:rsidRPr="00BD295E" w:rsidRDefault="008A5057" w:rsidP="00F7146A">
      <w:pPr>
        <w:jc w:val="both"/>
        <w:rPr>
          <w:rFonts w:ascii="Arial" w:hAnsi="Arial" w:cs="Arial"/>
          <w:b/>
          <w:snapToGrid w:val="0"/>
          <w:sz w:val="18"/>
          <w:szCs w:val="18"/>
          <w:lang w:val="en-US"/>
        </w:rPr>
      </w:pPr>
      <w:r w:rsidRPr="00BD295E">
        <w:rPr>
          <w:rFonts w:ascii="Arial" w:hAnsi="Arial" w:cs="Arial"/>
          <w:b/>
          <w:snapToGrid w:val="0"/>
          <w:sz w:val="18"/>
          <w:szCs w:val="18"/>
          <w:lang w:val="en-US"/>
        </w:rPr>
        <w:t>Employee training and development, talent pool</w:t>
      </w:r>
    </w:p>
    <w:p w14:paraId="63B3665E" w14:textId="77777777" w:rsidR="00ED79C9" w:rsidRPr="00BD295E" w:rsidRDefault="00ED79C9" w:rsidP="00F7146A">
      <w:pPr>
        <w:jc w:val="both"/>
        <w:rPr>
          <w:rFonts w:ascii="Arial" w:hAnsi="Arial" w:cs="Arial"/>
          <w:b/>
          <w:snapToGrid w:val="0"/>
          <w:sz w:val="18"/>
          <w:szCs w:val="18"/>
          <w:lang w:val="en-US"/>
        </w:rPr>
      </w:pPr>
    </w:p>
    <w:p w14:paraId="746AFF69" w14:textId="77777777" w:rsidR="00ED79C9" w:rsidRPr="00BD295E" w:rsidRDefault="008A5057" w:rsidP="00F7146A">
      <w:pPr>
        <w:jc w:val="both"/>
        <w:rPr>
          <w:rFonts w:ascii="Arial" w:hAnsi="Arial" w:cs="Arial"/>
          <w:b/>
          <w:snapToGrid w:val="0"/>
          <w:sz w:val="18"/>
          <w:szCs w:val="18"/>
          <w:lang w:val="en-US"/>
        </w:rPr>
      </w:pPr>
      <w:r w:rsidRPr="00BD295E">
        <w:rPr>
          <w:rFonts w:ascii="Arial" w:hAnsi="Arial" w:cs="Arial"/>
          <w:b/>
          <w:snapToGrid w:val="0"/>
          <w:sz w:val="18"/>
          <w:szCs w:val="18"/>
          <w:lang w:val="en-US"/>
        </w:rPr>
        <w:t>Adoption of professional standards at the Company</w:t>
      </w:r>
    </w:p>
    <w:p w14:paraId="47D54220" w14:textId="77777777" w:rsidR="00D66577" w:rsidRPr="00BD295E" w:rsidRDefault="008A5057" w:rsidP="00F7146A">
      <w:pPr>
        <w:pStyle w:val="af3"/>
        <w:ind w:left="0"/>
        <w:jc w:val="both"/>
        <w:rPr>
          <w:rFonts w:ascii="Arial" w:hAnsi="Arial" w:cs="Arial"/>
          <w:sz w:val="18"/>
          <w:szCs w:val="18"/>
          <w:lang w:val="en-US"/>
        </w:rPr>
      </w:pPr>
      <w:r w:rsidRPr="00BD295E">
        <w:rPr>
          <w:rFonts w:ascii="Arial" w:hAnsi="Arial" w:cs="Arial"/>
          <w:sz w:val="18"/>
          <w:szCs w:val="18"/>
          <w:lang w:val="en-US"/>
        </w:rPr>
        <w:t xml:space="preserve">The following measures to adopt professional standards were taken in line with Directive No. 588r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r w:rsidRPr="00BD295E">
        <w:rPr>
          <w:rFonts w:ascii="Arial" w:hAnsi="Arial" w:cs="Arial"/>
          <w:i/>
          <w:iCs/>
          <w:sz w:val="18"/>
          <w:szCs w:val="18"/>
          <w:lang w:val="en-US"/>
        </w:rPr>
        <w:t>On Introducing Professional Standards across Rosseti Group Companies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30, 2016 (as amended by Directive No. 295r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8, 2017):</w:t>
      </w:r>
    </w:p>
    <w:p w14:paraId="5B569D84" w14:textId="1172A0C7" w:rsidR="00D66577" w:rsidRPr="00BD295E" w:rsidRDefault="008A5057" w:rsidP="00F7146A">
      <w:pPr>
        <w:pStyle w:val="af3"/>
        <w:ind w:left="0"/>
        <w:jc w:val="both"/>
        <w:rPr>
          <w:rFonts w:ascii="Arial" w:hAnsi="Arial" w:cs="Arial"/>
          <w:sz w:val="18"/>
          <w:szCs w:val="18"/>
          <w:lang w:val="en-US"/>
        </w:rPr>
      </w:pPr>
      <w:r w:rsidRPr="00BD295E">
        <w:rPr>
          <w:rFonts w:ascii="Arial" w:hAnsi="Arial" w:cs="Arial"/>
          <w:sz w:val="18"/>
          <w:szCs w:val="18"/>
          <w:lang w:val="en-US"/>
        </w:rPr>
        <w:t xml:space="preserve">- organizational and administrative documents regulating the adoption of professional standards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were developed and </w:t>
      </w:r>
      <w:r w:rsidR="00BF7D8E" w:rsidRPr="00BD295E">
        <w:rPr>
          <w:rFonts w:ascii="Arial" w:hAnsi="Arial" w:cs="Arial"/>
          <w:sz w:val="18"/>
          <w:szCs w:val="18"/>
          <w:lang w:val="en-US"/>
        </w:rPr>
        <w:t>updated</w:t>
      </w:r>
      <w:r w:rsidRPr="00BD295E">
        <w:rPr>
          <w:rFonts w:ascii="Arial" w:hAnsi="Arial" w:cs="Arial"/>
          <w:sz w:val="18"/>
          <w:szCs w:val="18"/>
          <w:lang w:val="en-US"/>
        </w:rPr>
        <w:t xml:space="preserve">, and a schedule for adopting professional standards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approved;</w:t>
      </w:r>
    </w:p>
    <w:p w14:paraId="24E5AD44" w14:textId="77777777" w:rsidR="00D66577"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staffing schedule was analyzed to find professions and positions that must apply professional standards in line with national and local regulations, and relevant changes were made taking into account the recommendations of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1A34DB27" w14:textId="77777777" w:rsidR="00D66577" w:rsidRPr="00BD295E" w:rsidRDefault="008A5057" w:rsidP="00F7146A">
      <w:pPr>
        <w:pStyle w:val="af3"/>
        <w:ind w:left="0"/>
        <w:jc w:val="both"/>
        <w:rPr>
          <w:rFonts w:ascii="Arial" w:hAnsi="Arial" w:cs="Arial"/>
          <w:sz w:val="18"/>
          <w:szCs w:val="18"/>
          <w:lang w:val="en-US"/>
        </w:rPr>
      </w:pPr>
      <w:r w:rsidRPr="00BD295E">
        <w:rPr>
          <w:rFonts w:ascii="Arial" w:hAnsi="Arial" w:cs="Arial"/>
          <w:sz w:val="18"/>
          <w:szCs w:val="18"/>
          <w:lang w:val="en-US"/>
        </w:rPr>
        <w:t>- an expert review of training programs implemented at the corporate training facility was conducted to verify their compliance with professional standards;</w:t>
      </w:r>
    </w:p>
    <w:p w14:paraId="78C82BA6" w14:textId="77777777" w:rsidR="00D66577"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the corporate training facility updates existing and develops new training programs as required by professional standards;</w:t>
      </w:r>
    </w:p>
    <w:p w14:paraId="323F8042" w14:textId="77777777" w:rsidR="00D66577" w:rsidRPr="00BD295E" w:rsidRDefault="008A5057" w:rsidP="00F7146A">
      <w:pPr>
        <w:pStyle w:val="af3"/>
        <w:ind w:left="0"/>
        <w:jc w:val="both"/>
        <w:rPr>
          <w:rFonts w:ascii="Arial" w:hAnsi="Arial" w:cs="Arial"/>
          <w:sz w:val="18"/>
          <w:szCs w:val="18"/>
          <w:lang w:val="en-US"/>
        </w:rPr>
      </w:pPr>
      <w:r w:rsidRPr="00BD295E">
        <w:rPr>
          <w:rFonts w:ascii="Arial" w:hAnsi="Arial" w:cs="Arial"/>
          <w:sz w:val="18"/>
          <w:szCs w:val="18"/>
          <w:lang w:val="en-US"/>
        </w:rPr>
        <w:t>- the faculty of the corporate training center was evaluated;</w:t>
      </w:r>
    </w:p>
    <w:p w14:paraId="49282EAE" w14:textId="77777777" w:rsidR="00D66577" w:rsidRPr="00BD295E" w:rsidRDefault="008A5057" w:rsidP="00F7146A">
      <w:pPr>
        <w:pStyle w:val="af3"/>
        <w:ind w:left="0"/>
        <w:jc w:val="both"/>
        <w:rPr>
          <w:rFonts w:ascii="Arial" w:hAnsi="Arial" w:cs="Arial"/>
          <w:sz w:val="18"/>
          <w:szCs w:val="18"/>
          <w:lang w:val="en-US"/>
        </w:rPr>
      </w:pPr>
      <w:r w:rsidRPr="00BD295E">
        <w:rPr>
          <w:rFonts w:ascii="Arial" w:hAnsi="Arial" w:cs="Arial"/>
          <w:sz w:val="18"/>
          <w:szCs w:val="18"/>
          <w:lang w:val="en-US"/>
        </w:rPr>
        <w:t xml:space="preserve">- training was organized as part of a professional retraining program, </w:t>
      </w:r>
      <w:r w:rsidRPr="00BD295E">
        <w:rPr>
          <w:rFonts w:ascii="Arial" w:hAnsi="Arial" w:cs="Arial"/>
          <w:i/>
          <w:iCs/>
          <w:sz w:val="18"/>
          <w:szCs w:val="18"/>
          <w:lang w:val="en-US"/>
        </w:rPr>
        <w:t>Additional Professional Education Instructor</w:t>
      </w:r>
      <w:r w:rsidRPr="00BD295E">
        <w:rPr>
          <w:rFonts w:ascii="Arial" w:hAnsi="Arial" w:cs="Arial"/>
          <w:sz w:val="18"/>
          <w:szCs w:val="18"/>
          <w:lang w:val="en-US"/>
        </w:rPr>
        <w:t xml:space="preserve"> (288 hours) for five employees of the Training Facility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involved in the training programs;</w:t>
      </w:r>
    </w:p>
    <w:p w14:paraId="2593A6B9" w14:textId="77777777" w:rsidR="00D66577" w:rsidRPr="00BD295E" w:rsidRDefault="008A5057" w:rsidP="00F7146A">
      <w:pPr>
        <w:pStyle w:val="af3"/>
        <w:ind w:left="0"/>
        <w:jc w:val="both"/>
        <w:rPr>
          <w:rFonts w:ascii="Arial" w:hAnsi="Arial" w:cs="Arial"/>
          <w:sz w:val="18"/>
          <w:szCs w:val="18"/>
          <w:lang w:val="en-US"/>
        </w:rPr>
      </w:pPr>
      <w:r w:rsidRPr="00BD295E">
        <w:rPr>
          <w:rFonts w:ascii="Arial" w:hAnsi="Arial" w:cs="Arial"/>
          <w:sz w:val="18"/>
          <w:szCs w:val="18"/>
          <w:lang w:val="en-US"/>
        </w:rPr>
        <w:t>- the education level and on-site work experience were assessed for compliance with the qualification requirements for the position/profession in line with the professional standards taking into account the list of applicable professional standards for key operations in the electric grid industry (a total of 1,723 employees were assessed, 712 employees failed to comply), 470 employees were included in the training plan for 2019–2020 ensure their compliance with professional standards (training costs are planned to total RUB 3,366.98 thousand).</w:t>
      </w:r>
    </w:p>
    <w:p w14:paraId="2C6FD50F" w14:textId="77777777" w:rsidR="00ED79C9"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The work on adopting professional standards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ongoing.</w:t>
      </w:r>
    </w:p>
    <w:p w14:paraId="594D6FB9" w14:textId="77777777" w:rsidR="00ED79C9" w:rsidRPr="00BD295E" w:rsidRDefault="00ED79C9" w:rsidP="00F7146A">
      <w:pPr>
        <w:jc w:val="both"/>
        <w:rPr>
          <w:rFonts w:ascii="Arial" w:hAnsi="Arial" w:cs="Arial"/>
          <w:b/>
          <w:snapToGrid w:val="0"/>
          <w:sz w:val="18"/>
          <w:szCs w:val="18"/>
          <w:lang w:val="en-US"/>
        </w:rPr>
      </w:pPr>
    </w:p>
    <w:p w14:paraId="0AC3ECCB" w14:textId="77777777" w:rsidR="00ED79C9" w:rsidRPr="00BD295E" w:rsidRDefault="008A5057" w:rsidP="00F7146A">
      <w:pPr>
        <w:jc w:val="both"/>
        <w:rPr>
          <w:rFonts w:ascii="Arial" w:hAnsi="Arial" w:cs="Arial"/>
          <w:b/>
          <w:snapToGrid w:val="0"/>
          <w:sz w:val="18"/>
          <w:szCs w:val="18"/>
          <w:lang w:val="en-US"/>
        </w:rPr>
      </w:pPr>
      <w:r w:rsidRPr="00BD295E">
        <w:rPr>
          <w:rFonts w:ascii="Arial" w:hAnsi="Arial" w:cs="Arial"/>
          <w:b/>
          <w:snapToGrid w:val="0"/>
          <w:sz w:val="18"/>
          <w:szCs w:val="18"/>
          <w:lang w:val="en-US"/>
        </w:rPr>
        <w:t>Employee training</w:t>
      </w:r>
    </w:p>
    <w:p w14:paraId="195FE065" w14:textId="77777777" w:rsidR="00ED79C9"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Training is a priority areas of the Company’s HR policy regulated by the Personnel and Social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well as the Company’s Rules for Training the Company’s Employees and the requirements of the Rules for Personnel Management at Entities of the Electricity Industry of the Russian Federation.</w:t>
      </w:r>
    </w:p>
    <w:p w14:paraId="0E304275" w14:textId="77777777" w:rsidR="00ED79C9"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The share of employees who took part in on-the-job training programs was 75.9% of the average headcount (5,399 persons), down 8.7 p.p. (417 persons) year-on-year.</w:t>
      </w:r>
    </w:p>
    <w:p w14:paraId="6C724C15" w14:textId="77777777" w:rsidR="00ED79C9"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Operating personnel accounts for the bulk of the trained employees (91.5% or 4,940 persons). In 2018, this figure was 89.6%. The breakdown of employees trained by category (administrative and management personnel, operating personnel, and auxiliary personnel) is shown below</w:t>
      </w:r>
    </w:p>
    <w:p w14:paraId="77DDA9B4" w14:textId="77777777" w:rsidR="00ED79C9" w:rsidRPr="00BD295E" w:rsidRDefault="00ED79C9" w:rsidP="00F7146A">
      <w:pPr>
        <w:jc w:val="both"/>
        <w:rPr>
          <w:rFonts w:ascii="Arial" w:eastAsia="Calibri" w:hAnsi="Arial" w:cs="Arial"/>
          <w:sz w:val="18"/>
          <w:szCs w:val="18"/>
          <w:lang w:val="en-US"/>
        </w:rPr>
      </w:pPr>
    </w:p>
    <w:p w14:paraId="0DC443C6" w14:textId="77777777" w:rsidR="00616C23" w:rsidRPr="00BD295E" w:rsidRDefault="008A5057" w:rsidP="00F7146A">
      <w:pPr>
        <w:jc w:val="both"/>
        <w:rPr>
          <w:rFonts w:ascii="Arial" w:eastAsia="Calibri" w:hAnsi="Arial" w:cs="Arial"/>
          <w:b/>
          <w:sz w:val="18"/>
          <w:szCs w:val="18"/>
          <w:lang w:val="en-US"/>
        </w:rPr>
      </w:pPr>
      <w:r w:rsidRPr="00BD295E">
        <w:rPr>
          <w:rFonts w:ascii="Arial" w:hAnsi="Arial" w:cs="Arial"/>
          <w:b/>
          <w:sz w:val="18"/>
          <w:szCs w:val="18"/>
          <w:lang w:val="en-US"/>
        </w:rPr>
        <w:t>Breakdown of employees who underwent on-the-job training by category, %.</w:t>
      </w:r>
    </w:p>
    <w:p w14:paraId="3D68AD44" w14:textId="59659C0D" w:rsidR="00ED79C9" w:rsidRPr="00BD295E" w:rsidRDefault="00997D07" w:rsidP="00ED79C9">
      <w:pPr>
        <w:jc w:val="both"/>
        <w:rPr>
          <w:rFonts w:ascii="Arial" w:hAnsi="Arial" w:cs="Arial"/>
          <w:b/>
          <w:bCs/>
          <w:sz w:val="18"/>
          <w:szCs w:val="18"/>
          <w:lang w:val="en-US"/>
        </w:rPr>
      </w:pPr>
      <w:bookmarkStart w:id="490" w:name="_Hlk95940238"/>
      <w:r w:rsidRPr="00BD295E">
        <w:rPr>
          <w:rFonts w:ascii="Arial" w:hAnsi="Arial" w:cs="Arial"/>
          <w:sz w:val="18"/>
          <w:szCs w:val="18"/>
          <w:lang w:val="en-US" w:eastAsia="en-US"/>
        </w:rPr>
        <w:drawing>
          <wp:inline distT="0" distB="0" distL="0" distR="0" wp14:anchorId="573F4E39" wp14:editId="166F3389">
            <wp:extent cx="5962650" cy="2129155"/>
            <wp:effectExtent l="0" t="0" r="0" b="0"/>
            <wp:docPr id="96" name="Диаграмма 2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bookmarkEnd w:id="490"/>
    </w:p>
    <w:p w14:paraId="483C0C84" w14:textId="77777777" w:rsidR="00616C23" w:rsidRPr="00BD295E" w:rsidRDefault="00616C23" w:rsidP="00ED79C9">
      <w:pPr>
        <w:pStyle w:val="afffff3"/>
        <w:ind w:firstLine="709"/>
        <w:rPr>
          <w:rFonts w:ascii="Arial" w:eastAsia="Calibri" w:hAnsi="Arial" w:cs="Arial"/>
          <w:sz w:val="18"/>
          <w:szCs w:val="18"/>
          <w:lang w:val="en-US"/>
        </w:rPr>
      </w:pPr>
    </w:p>
    <w:p w14:paraId="42B91253" w14:textId="77777777" w:rsidR="00ED79C9" w:rsidRPr="00BD295E" w:rsidRDefault="008A5057" w:rsidP="00F7146A">
      <w:pPr>
        <w:pStyle w:val="afffff3"/>
        <w:ind w:firstLine="0"/>
        <w:rPr>
          <w:rFonts w:ascii="Arial" w:eastAsia="Calibri" w:hAnsi="Arial" w:cs="Arial"/>
          <w:sz w:val="18"/>
          <w:szCs w:val="18"/>
          <w:lang w:val="en-US"/>
        </w:rPr>
      </w:pPr>
      <w:r w:rsidRPr="00BD295E">
        <w:rPr>
          <w:rFonts w:ascii="Arial" w:hAnsi="Arial" w:cs="Arial"/>
          <w:sz w:val="18"/>
          <w:szCs w:val="18"/>
          <w:lang w:val="en-US"/>
        </w:rPr>
        <w:t xml:space="preserve">711 persons were trained and upskilled at the training facility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2018, which represents 13.2% of the total number of employees who underwent training, down 5.2 p.p. year-on-year (1,068 persons were trained at the training facility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2017 or 18.4% of the total number of employees who underwent training during the year). </w:t>
      </w:r>
    </w:p>
    <w:p w14:paraId="5100C2FB" w14:textId="77777777" w:rsidR="00ED79C9" w:rsidRPr="00BD295E" w:rsidRDefault="008A5057" w:rsidP="00F7146A">
      <w:pPr>
        <w:pStyle w:val="afffff3"/>
        <w:ind w:firstLine="0"/>
        <w:rPr>
          <w:rFonts w:ascii="Arial" w:eastAsia="Calibri" w:hAnsi="Arial" w:cs="Arial"/>
          <w:sz w:val="18"/>
          <w:szCs w:val="18"/>
          <w:lang w:val="en-US"/>
        </w:rPr>
      </w:pPr>
      <w:r w:rsidRPr="00BD295E">
        <w:rPr>
          <w:rFonts w:ascii="Arial" w:hAnsi="Arial" w:cs="Arial"/>
          <w:sz w:val="18"/>
          <w:szCs w:val="18"/>
          <w:lang w:val="en-US"/>
        </w:rPr>
        <w:t>Operating personnel accounts for the bulk of employees trained at the training facility (98.2% or 698 persons).</w:t>
      </w:r>
    </w:p>
    <w:p w14:paraId="2545064E" w14:textId="77777777" w:rsidR="00ED79C9"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The Company’s key partners in employee training include:</w:t>
      </w:r>
    </w:p>
    <w:p w14:paraId="640FA01F" w14:textId="77777777" w:rsidR="00ED79C9" w:rsidRPr="00BD295E" w:rsidRDefault="008A5057" w:rsidP="00F7146A">
      <w:pPr>
        <w:numPr>
          <w:ilvl w:val="0"/>
          <w:numId w:val="93"/>
        </w:numPr>
        <w:tabs>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higher education institutions:</w:t>
      </w:r>
    </w:p>
    <w:p w14:paraId="467EB188" w14:textId="77777777" w:rsidR="00ED79C9" w:rsidRPr="00BD295E" w:rsidRDefault="008A5057" w:rsidP="00F7146A">
      <w:pPr>
        <w:numPr>
          <w:ilvl w:val="0"/>
          <w:numId w:val="94"/>
        </w:numPr>
        <w:tabs>
          <w:tab w:val="left" w:pos="993"/>
        </w:tabs>
        <w:ind w:left="0" w:firstLine="0"/>
        <w:jc w:val="both"/>
        <w:rPr>
          <w:rFonts w:ascii="Arial" w:eastAsia="Calibri" w:hAnsi="Arial" w:cs="Arial"/>
          <w:sz w:val="18"/>
          <w:szCs w:val="18"/>
          <w:lang w:val="en-US"/>
        </w:rPr>
      </w:pPr>
      <w:r w:rsidRPr="00BD295E">
        <w:rPr>
          <w:rFonts w:ascii="Arial" w:hAnsi="Arial" w:cs="Arial"/>
          <w:sz w:val="18"/>
          <w:szCs w:val="18"/>
          <w:lang w:val="en-US"/>
        </w:rPr>
        <w:t>Saint Petersburg Mining University;</w:t>
      </w:r>
    </w:p>
    <w:p w14:paraId="056D9A4F" w14:textId="77777777" w:rsidR="00ED79C9" w:rsidRPr="00BD295E" w:rsidRDefault="008A5057" w:rsidP="00F7146A">
      <w:pPr>
        <w:numPr>
          <w:ilvl w:val="0"/>
          <w:numId w:val="94"/>
        </w:numPr>
        <w:tabs>
          <w:tab w:val="left" w:pos="993"/>
        </w:tabs>
        <w:ind w:left="0" w:firstLine="0"/>
        <w:jc w:val="both"/>
        <w:rPr>
          <w:rFonts w:ascii="Arial" w:eastAsia="Calibri" w:hAnsi="Arial" w:cs="Arial"/>
          <w:sz w:val="18"/>
          <w:szCs w:val="18"/>
          <w:lang w:val="en-US"/>
        </w:rPr>
      </w:pPr>
      <w:r w:rsidRPr="00BD295E">
        <w:rPr>
          <w:rFonts w:ascii="Arial" w:hAnsi="Arial" w:cs="Arial"/>
          <w:sz w:val="18"/>
          <w:szCs w:val="18"/>
          <w:lang w:val="en-US"/>
        </w:rPr>
        <w:t xml:space="preserve">Peter the Great Saint Petersburg Polytechnic University </w:t>
      </w:r>
    </w:p>
    <w:p w14:paraId="58C56B64" w14:textId="77777777" w:rsidR="00ED79C9" w:rsidRPr="00BD295E" w:rsidRDefault="008A5057" w:rsidP="00F7146A">
      <w:pPr>
        <w:numPr>
          <w:ilvl w:val="0"/>
          <w:numId w:val="94"/>
        </w:numPr>
        <w:tabs>
          <w:tab w:val="left" w:pos="993"/>
        </w:tabs>
        <w:ind w:left="0" w:firstLine="0"/>
        <w:jc w:val="both"/>
        <w:rPr>
          <w:rFonts w:ascii="Arial" w:eastAsia="Calibri" w:hAnsi="Arial" w:cs="Arial"/>
          <w:sz w:val="18"/>
          <w:szCs w:val="18"/>
          <w:lang w:val="en-US"/>
        </w:rPr>
      </w:pPr>
      <w:r w:rsidRPr="00BD295E">
        <w:rPr>
          <w:rFonts w:ascii="Arial" w:hAnsi="Arial" w:cs="Arial"/>
          <w:sz w:val="18"/>
          <w:szCs w:val="18"/>
          <w:lang w:val="en-US"/>
        </w:rPr>
        <w:t xml:space="preserve">Ivanovo Lenin State Power Engineering University </w:t>
      </w:r>
    </w:p>
    <w:p w14:paraId="28B5B8FE" w14:textId="77777777" w:rsidR="00ED79C9" w:rsidRPr="00BD295E" w:rsidRDefault="008A5057" w:rsidP="00F7146A">
      <w:pPr>
        <w:numPr>
          <w:ilvl w:val="0"/>
          <w:numId w:val="94"/>
        </w:numPr>
        <w:tabs>
          <w:tab w:val="left" w:pos="993"/>
        </w:tabs>
        <w:ind w:left="0" w:firstLine="0"/>
        <w:jc w:val="both"/>
        <w:rPr>
          <w:rFonts w:ascii="Arial" w:eastAsia="Calibri" w:hAnsi="Arial" w:cs="Arial"/>
          <w:sz w:val="18"/>
          <w:szCs w:val="18"/>
          <w:lang w:val="en-US"/>
        </w:rPr>
      </w:pPr>
      <w:r w:rsidRPr="00BD295E">
        <w:rPr>
          <w:rFonts w:ascii="Arial" w:hAnsi="Arial" w:cs="Arial"/>
          <w:sz w:val="18"/>
          <w:szCs w:val="18"/>
          <w:lang w:val="en-US"/>
        </w:rPr>
        <w:t xml:space="preserve">Platov South Russian State Polytechnic University </w:t>
      </w:r>
    </w:p>
    <w:p w14:paraId="5E869DB2" w14:textId="77777777" w:rsidR="00ED79C9" w:rsidRPr="00BD295E" w:rsidRDefault="008A5057" w:rsidP="00F7146A">
      <w:pPr>
        <w:numPr>
          <w:ilvl w:val="0"/>
          <w:numId w:val="94"/>
        </w:numPr>
        <w:tabs>
          <w:tab w:val="left" w:pos="993"/>
        </w:tabs>
        <w:ind w:left="0" w:firstLine="0"/>
        <w:jc w:val="both"/>
        <w:rPr>
          <w:rFonts w:ascii="Arial" w:eastAsia="Calibri" w:hAnsi="Arial" w:cs="Arial"/>
          <w:sz w:val="18"/>
          <w:szCs w:val="18"/>
          <w:lang w:val="en-US"/>
        </w:rPr>
      </w:pPr>
      <w:r w:rsidRPr="00BD295E">
        <w:rPr>
          <w:rFonts w:ascii="Arial" w:hAnsi="Arial" w:cs="Arial"/>
          <w:sz w:val="18"/>
          <w:szCs w:val="18"/>
          <w:lang w:val="en-US"/>
        </w:rPr>
        <w:t>National Research Tomsk Polytechnic University;</w:t>
      </w:r>
    </w:p>
    <w:p w14:paraId="6D5CA30F" w14:textId="77777777" w:rsidR="00ED79C9" w:rsidRPr="00BD295E" w:rsidRDefault="008A5057" w:rsidP="00F7146A">
      <w:pPr>
        <w:numPr>
          <w:ilvl w:val="0"/>
          <w:numId w:val="94"/>
        </w:numPr>
        <w:tabs>
          <w:tab w:val="left" w:pos="993"/>
        </w:tabs>
        <w:ind w:left="0" w:firstLine="0"/>
        <w:jc w:val="both"/>
        <w:rPr>
          <w:rFonts w:ascii="Arial" w:eastAsia="Calibri" w:hAnsi="Arial" w:cs="Arial"/>
          <w:sz w:val="18"/>
          <w:szCs w:val="18"/>
          <w:lang w:val="en-US"/>
        </w:rPr>
      </w:pPr>
      <w:r w:rsidRPr="00BD295E">
        <w:rPr>
          <w:rFonts w:ascii="Arial" w:hAnsi="Arial" w:cs="Arial"/>
          <w:sz w:val="18"/>
          <w:szCs w:val="18"/>
          <w:lang w:val="en-US"/>
        </w:rPr>
        <w:t>Vologda State University.</w:t>
      </w:r>
    </w:p>
    <w:p w14:paraId="15E857C9" w14:textId="77777777" w:rsidR="00ED79C9" w:rsidRPr="00BD295E" w:rsidRDefault="008A5057" w:rsidP="00F7146A">
      <w:pPr>
        <w:numPr>
          <w:ilvl w:val="0"/>
          <w:numId w:val="93"/>
        </w:numPr>
        <w:tabs>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 xml:space="preserve"> secondary education:</w:t>
      </w:r>
    </w:p>
    <w:p w14:paraId="0D7C6BB3"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University Polytechnic College of Peter the Great Saint Petersburg Polytechnic University;</w:t>
      </w:r>
    </w:p>
    <w:p w14:paraId="793C75E9"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Vsevolozhsk Agro-Industrial College;</w:t>
      </w:r>
    </w:p>
    <w:p w14:paraId="1F845B37"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Vyborg Polytechnic College Alexandrovsky;</w:t>
      </w:r>
    </w:p>
    <w:p w14:paraId="33AC124A"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Slantsy Industrial College;</w:t>
      </w:r>
    </w:p>
    <w:p w14:paraId="6B467B65"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Kingisepp College of Technology and Service;</w:t>
      </w:r>
    </w:p>
    <w:p w14:paraId="09F8BBB8"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Kirishi Polytechnic College;</w:t>
      </w:r>
    </w:p>
    <w:p w14:paraId="26463638"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Tikhvin Lebedev Industrial and Technological College;  </w:t>
      </w:r>
    </w:p>
    <w:p w14:paraId="6E9ADAE8"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Lodeynoye Polye Technical School of Industrial Technologies;</w:t>
      </w:r>
    </w:p>
    <w:p w14:paraId="45CCEAF2"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Volkhov Aluminum College;</w:t>
      </w:r>
    </w:p>
    <w:p w14:paraId="615E18B5"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Begunitsy Agrotechnological College;</w:t>
      </w:r>
    </w:p>
    <w:p w14:paraId="71E6CCF0"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Sosnovy Bor Polytechnic College;</w:t>
      </w:r>
    </w:p>
    <w:p w14:paraId="3E5116B0" w14:textId="77777777" w:rsidR="00ED79C9" w:rsidRPr="00BD295E" w:rsidRDefault="008A5057" w:rsidP="00F7146A">
      <w:pPr>
        <w:numPr>
          <w:ilvl w:val="0"/>
          <w:numId w:val="95"/>
        </w:numPr>
        <w:tabs>
          <w:tab w:val="left" w:pos="709"/>
          <w:tab w:val="left" w:pos="993"/>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Svetogorsk Polytechnic College.</w:t>
      </w:r>
    </w:p>
    <w:p w14:paraId="47E02F62" w14:textId="77777777" w:rsidR="00ED79C9" w:rsidRPr="00BD295E" w:rsidRDefault="008A5057" w:rsidP="00F7146A">
      <w:pPr>
        <w:tabs>
          <w:tab w:val="left" w:pos="993"/>
          <w:tab w:val="left" w:pos="1134"/>
        </w:tabs>
        <w:jc w:val="both"/>
        <w:textAlignment w:val="baseline"/>
        <w:rPr>
          <w:rFonts w:ascii="Arial" w:eastAsia="Calibri" w:hAnsi="Arial" w:cs="Arial"/>
          <w:sz w:val="18"/>
          <w:szCs w:val="18"/>
          <w:lang w:val="en-US"/>
        </w:rPr>
      </w:pPr>
      <w:r w:rsidRPr="00BD295E">
        <w:rPr>
          <w:rFonts w:ascii="Arial" w:hAnsi="Arial" w:cs="Arial"/>
          <w:sz w:val="18"/>
          <w:szCs w:val="18"/>
          <w:lang w:val="en-US"/>
        </w:rPr>
        <w:t xml:space="preserve">In addition,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coordinates interaction in employee training with Peter the Great Saint Petersburg Polytechnic University, which is a member of the educational consortium of the energy industry.</w:t>
      </w:r>
    </w:p>
    <w:p w14:paraId="7E86AD72" w14:textId="77777777" w:rsidR="00ED79C9" w:rsidRPr="00BD295E" w:rsidRDefault="008A5057" w:rsidP="00F7146A">
      <w:pPr>
        <w:tabs>
          <w:tab w:val="left" w:pos="1134"/>
        </w:tabs>
        <w:contextualSpacing/>
        <w:jc w:val="both"/>
        <w:rPr>
          <w:rFonts w:ascii="Arial" w:eastAsia="Calibri" w:hAnsi="Arial" w:cs="Arial"/>
          <w:kern w:val="28"/>
          <w:sz w:val="18"/>
          <w:szCs w:val="18"/>
          <w:lang w:val="en-US"/>
        </w:rPr>
      </w:pPr>
      <w:r w:rsidRPr="00BD295E">
        <w:rPr>
          <w:rFonts w:ascii="Arial" w:hAnsi="Arial" w:cs="Arial"/>
          <w:sz w:val="18"/>
          <w:szCs w:val="18"/>
          <w:lang w:val="en-US"/>
        </w:rPr>
        <w:t xml:space="preserve">Saint Petersburg Polytechnic University and the Mining University offer upskilling courses under programs aligned with the requirements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Maintenance and Repair of Cable Power Lines</w:t>
      </w:r>
      <w:r w:rsidRPr="00BD295E">
        <w:rPr>
          <w:rFonts w:ascii="Arial" w:hAnsi="Arial" w:cs="Arial"/>
          <w:sz w:val="18"/>
          <w:szCs w:val="18"/>
          <w:lang w:val="en-US"/>
        </w:rPr>
        <w:t xml:space="preserve">, and </w:t>
      </w:r>
      <w:r w:rsidRPr="00BD295E">
        <w:rPr>
          <w:rFonts w:ascii="Arial" w:hAnsi="Arial" w:cs="Arial"/>
          <w:i/>
          <w:iCs/>
          <w:sz w:val="18"/>
          <w:szCs w:val="18"/>
          <w:lang w:val="en-US"/>
        </w:rPr>
        <w:t>Advanced Digital and IT-Based Areas of Development in Electric Systems</w:t>
      </w:r>
      <w:r w:rsidRPr="00BD295E">
        <w:rPr>
          <w:rFonts w:ascii="Arial" w:hAnsi="Arial" w:cs="Arial"/>
          <w:sz w:val="18"/>
          <w:szCs w:val="18"/>
          <w:lang w:val="en-US"/>
        </w:rPr>
        <w:t>.</w:t>
      </w:r>
    </w:p>
    <w:p w14:paraId="0FB8EF5E" w14:textId="77777777" w:rsidR="006614B1" w:rsidRPr="00BD295E" w:rsidRDefault="006614B1" w:rsidP="00F7146A">
      <w:pPr>
        <w:tabs>
          <w:tab w:val="left" w:pos="1134"/>
        </w:tabs>
        <w:contextualSpacing/>
        <w:jc w:val="both"/>
        <w:rPr>
          <w:rFonts w:ascii="Arial" w:hAnsi="Arial" w:cs="Arial"/>
          <w:sz w:val="18"/>
          <w:szCs w:val="18"/>
          <w:lang w:val="en-US"/>
        </w:rPr>
      </w:pPr>
    </w:p>
    <w:p w14:paraId="44C3B3DA" w14:textId="77777777" w:rsidR="006614B1" w:rsidRPr="00BD295E" w:rsidRDefault="008A5057" w:rsidP="00F7146A">
      <w:pPr>
        <w:tabs>
          <w:tab w:val="left" w:pos="1134"/>
        </w:tabs>
        <w:contextualSpacing/>
        <w:jc w:val="both"/>
        <w:rPr>
          <w:rFonts w:ascii="Arial" w:eastAsia="Calibri" w:hAnsi="Arial" w:cs="Arial"/>
          <w:b/>
          <w:kern w:val="28"/>
          <w:sz w:val="18"/>
          <w:szCs w:val="18"/>
          <w:lang w:val="en-US"/>
        </w:rPr>
      </w:pPr>
      <w:r w:rsidRPr="00BD295E">
        <w:rPr>
          <w:rFonts w:ascii="Arial" w:hAnsi="Arial" w:cs="Arial"/>
          <w:b/>
          <w:sz w:val="18"/>
          <w:szCs w:val="18"/>
          <w:lang w:val="en-US"/>
        </w:rPr>
        <w:t>Share of employees who participated in on-the-job training initiatives and training costs per FTE in the reporting year.</w:t>
      </w:r>
    </w:p>
    <w:p w14:paraId="22D78FB5" w14:textId="71698F45" w:rsidR="00B20A51" w:rsidRPr="00BD295E" w:rsidRDefault="00997D07" w:rsidP="00ED79C9">
      <w:pPr>
        <w:widowControl w:val="0"/>
        <w:autoSpaceDE w:val="0"/>
        <w:autoSpaceDN w:val="0"/>
        <w:adjustRightInd w:val="0"/>
        <w:jc w:val="both"/>
        <w:rPr>
          <w:rFonts w:ascii="Arial" w:hAnsi="Arial" w:cs="Arial"/>
          <w:b/>
          <w:bCs/>
          <w:sz w:val="18"/>
          <w:szCs w:val="18"/>
          <w:lang w:val="en-US"/>
        </w:rPr>
      </w:pPr>
      <w:bookmarkStart w:id="491" w:name="_Hlk95940247"/>
      <w:r w:rsidRPr="00BD295E">
        <w:rPr>
          <w:rFonts w:ascii="Arial" w:hAnsi="Arial" w:cs="Arial"/>
          <w:sz w:val="18"/>
          <w:szCs w:val="18"/>
          <w:lang w:val="en-US" w:eastAsia="en-US"/>
        </w:rPr>
        <w:drawing>
          <wp:inline distT="0" distB="0" distL="0" distR="0" wp14:anchorId="32A8CD21" wp14:editId="7DEBE7CF">
            <wp:extent cx="6015355" cy="3757930"/>
            <wp:effectExtent l="0" t="0" r="4445" b="0"/>
            <wp:docPr id="97" name="Диаграмма 2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bookmarkEnd w:id="491"/>
    </w:p>
    <w:p w14:paraId="1FFCEC3F" w14:textId="77777777" w:rsidR="00ED79C9" w:rsidRPr="00BD295E" w:rsidRDefault="00ED79C9" w:rsidP="00ED79C9">
      <w:pPr>
        <w:widowControl w:val="0"/>
        <w:autoSpaceDE w:val="0"/>
        <w:autoSpaceDN w:val="0"/>
        <w:adjustRightInd w:val="0"/>
        <w:jc w:val="both"/>
        <w:rPr>
          <w:rFonts w:ascii="Arial" w:hAnsi="Arial" w:cs="Arial"/>
          <w:b/>
          <w:bCs/>
          <w:sz w:val="18"/>
          <w:szCs w:val="18"/>
          <w:lang w:val="en-US"/>
        </w:rPr>
      </w:pPr>
    </w:p>
    <w:p w14:paraId="2A431F72" w14:textId="77777777" w:rsidR="00ED79C9"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The high percentage employees trained at the Prigorodnye Power Grid branch are explained by the need to organize training for operating personnel under programs such as </w:t>
      </w:r>
      <w:r w:rsidRPr="00BD295E">
        <w:rPr>
          <w:rFonts w:ascii="Arial" w:hAnsi="Arial" w:cs="Arial"/>
          <w:i/>
          <w:iCs/>
          <w:sz w:val="18"/>
          <w:szCs w:val="18"/>
          <w:lang w:val="en-US"/>
        </w:rPr>
        <w:t>Safe Methods and Techniques for Working at Heights</w:t>
      </w:r>
      <w:r w:rsidRPr="00BD295E">
        <w:rPr>
          <w:rFonts w:ascii="Arial" w:hAnsi="Arial" w:cs="Arial"/>
          <w:sz w:val="18"/>
          <w:szCs w:val="18"/>
          <w:lang w:val="en-US"/>
        </w:rPr>
        <w:t xml:space="preserve">, </w:t>
      </w:r>
      <w:r w:rsidRPr="00BD295E">
        <w:rPr>
          <w:rFonts w:ascii="Arial" w:hAnsi="Arial" w:cs="Arial"/>
          <w:i/>
          <w:iCs/>
          <w:sz w:val="18"/>
          <w:szCs w:val="18"/>
          <w:lang w:val="en-US"/>
        </w:rPr>
        <w:t>Occupational Safety for Company Employees</w:t>
      </w:r>
      <w:r w:rsidRPr="00BD295E">
        <w:rPr>
          <w:rFonts w:ascii="Arial" w:hAnsi="Arial" w:cs="Arial"/>
          <w:sz w:val="18"/>
          <w:szCs w:val="18"/>
          <w:lang w:val="en-US"/>
        </w:rPr>
        <w:t xml:space="preserve">, and </w:t>
      </w:r>
      <w:r w:rsidRPr="00BD295E">
        <w:rPr>
          <w:rFonts w:ascii="Arial" w:hAnsi="Arial" w:cs="Arial"/>
          <w:i/>
          <w:iCs/>
          <w:sz w:val="18"/>
          <w:szCs w:val="18"/>
          <w:lang w:val="en-US"/>
        </w:rPr>
        <w:t>Minimum Fire Safety Requirements</w:t>
      </w:r>
      <w:r w:rsidRPr="00BD295E">
        <w:rPr>
          <w:rFonts w:ascii="Arial" w:hAnsi="Arial" w:cs="Arial"/>
          <w:sz w:val="18"/>
          <w:szCs w:val="18"/>
          <w:lang w:val="en-US"/>
        </w:rPr>
        <w:t>.</w:t>
      </w:r>
    </w:p>
    <w:p w14:paraId="6C1A2823" w14:textId="77777777" w:rsidR="00ED79C9"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In 2018, 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participated in the Open Corporate Championship of Professional Skills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r w:rsidRPr="00BD295E">
        <w:rPr>
          <w:rFonts w:ascii="Arial" w:hAnsi="Arial" w:cs="Arial"/>
          <w:i/>
          <w:iCs/>
          <w:sz w:val="18"/>
          <w:szCs w:val="18"/>
          <w:lang w:val="en-US"/>
        </w:rPr>
        <w:t>Young Professionals</w:t>
      </w:r>
      <w:r w:rsidRPr="00BD295E">
        <w:rPr>
          <w:rFonts w:ascii="Arial" w:hAnsi="Arial" w:cs="Arial"/>
          <w:sz w:val="18"/>
          <w:szCs w:val="18"/>
          <w:lang w:val="en-US"/>
        </w:rPr>
        <w:t xml:space="preserve"> based on the WorldSkills’ methodology (two persons per skill):</w:t>
      </w:r>
    </w:p>
    <w:p w14:paraId="4282AABF" w14:textId="77777777" w:rsidR="00ED79C9" w:rsidRPr="00BD295E" w:rsidRDefault="008A5057" w:rsidP="00F7146A">
      <w:pPr>
        <w:pStyle w:val="af3"/>
        <w:numPr>
          <w:ilvl w:val="0"/>
          <w:numId w:val="120"/>
        </w:numPr>
        <w:spacing w:line="276" w:lineRule="auto"/>
        <w:ind w:firstLine="0"/>
        <w:jc w:val="both"/>
        <w:rPr>
          <w:rFonts w:ascii="Arial" w:hAnsi="Arial" w:cs="Arial"/>
          <w:sz w:val="18"/>
          <w:szCs w:val="18"/>
          <w:lang w:val="en-US"/>
        </w:rPr>
      </w:pPr>
      <w:r w:rsidRPr="00BD295E">
        <w:rPr>
          <w:rFonts w:ascii="Arial" w:hAnsi="Arial" w:cs="Arial"/>
          <w:i/>
          <w:iCs/>
          <w:sz w:val="18"/>
          <w:szCs w:val="18"/>
          <w:lang w:val="en-US"/>
        </w:rPr>
        <w:t>Operation of Cable Power Lines</w:t>
      </w:r>
      <w:r w:rsidRPr="00BD295E">
        <w:rPr>
          <w:rFonts w:ascii="Arial" w:hAnsi="Arial" w:cs="Arial"/>
          <w:sz w:val="18"/>
          <w:szCs w:val="18"/>
          <w:lang w:val="en-US"/>
        </w:rPr>
        <w:t>;</w:t>
      </w:r>
    </w:p>
    <w:p w14:paraId="29DD27BF" w14:textId="77777777" w:rsidR="00ED79C9" w:rsidRPr="00BD295E" w:rsidRDefault="008A5057" w:rsidP="00F7146A">
      <w:pPr>
        <w:pStyle w:val="af3"/>
        <w:numPr>
          <w:ilvl w:val="0"/>
          <w:numId w:val="120"/>
        </w:numPr>
        <w:spacing w:line="276" w:lineRule="auto"/>
        <w:ind w:firstLine="0"/>
        <w:jc w:val="both"/>
        <w:rPr>
          <w:rFonts w:ascii="Arial" w:hAnsi="Arial" w:cs="Arial"/>
          <w:sz w:val="18"/>
          <w:szCs w:val="18"/>
          <w:lang w:val="en-US"/>
        </w:rPr>
      </w:pPr>
      <w:r w:rsidRPr="00BD295E">
        <w:rPr>
          <w:rFonts w:ascii="Arial" w:hAnsi="Arial" w:cs="Arial"/>
          <w:i/>
          <w:iCs/>
          <w:sz w:val="18"/>
          <w:szCs w:val="18"/>
          <w:lang w:val="en-US"/>
        </w:rPr>
        <w:t>Maintenance and Repair of Relay Protection and Automation Equipment</w:t>
      </w:r>
      <w:r w:rsidRPr="00BD295E">
        <w:rPr>
          <w:rFonts w:ascii="Arial" w:hAnsi="Arial" w:cs="Arial"/>
          <w:sz w:val="18"/>
          <w:szCs w:val="18"/>
          <w:lang w:val="en-US"/>
        </w:rPr>
        <w:t>;</w:t>
      </w:r>
    </w:p>
    <w:p w14:paraId="244A935E" w14:textId="77777777" w:rsidR="00ED79C9" w:rsidRPr="00BD295E" w:rsidRDefault="008A5057" w:rsidP="00F7146A">
      <w:pPr>
        <w:pStyle w:val="af3"/>
        <w:numPr>
          <w:ilvl w:val="0"/>
          <w:numId w:val="120"/>
        </w:numPr>
        <w:spacing w:line="276" w:lineRule="auto"/>
        <w:ind w:firstLine="0"/>
        <w:jc w:val="both"/>
        <w:rPr>
          <w:rFonts w:ascii="Arial" w:hAnsi="Arial" w:cs="Arial"/>
          <w:sz w:val="18"/>
          <w:szCs w:val="18"/>
          <w:lang w:val="en-US"/>
        </w:rPr>
      </w:pPr>
      <w:r w:rsidRPr="00BD295E">
        <w:rPr>
          <w:rFonts w:ascii="Arial" w:hAnsi="Arial" w:cs="Arial"/>
          <w:i/>
          <w:iCs/>
          <w:sz w:val="18"/>
          <w:szCs w:val="18"/>
          <w:lang w:val="en-US"/>
        </w:rPr>
        <w:t>Smart Electricity Metering System</w:t>
      </w:r>
      <w:r w:rsidRPr="00BD295E">
        <w:rPr>
          <w:rFonts w:ascii="Arial" w:hAnsi="Arial" w:cs="Arial"/>
          <w:sz w:val="18"/>
          <w:szCs w:val="18"/>
          <w:lang w:val="en-US"/>
        </w:rPr>
        <w:t>.</w:t>
      </w:r>
    </w:p>
    <w:p w14:paraId="5C0453D7" w14:textId="77777777" w:rsidR="00ED79C9"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Employees of Lenenergo won the first team prize during the qualifying round of the WorldSkills championship held in Vologda in August 2018, in the </w:t>
      </w:r>
      <w:r w:rsidRPr="00BD295E">
        <w:rPr>
          <w:rFonts w:ascii="Arial" w:hAnsi="Arial" w:cs="Arial"/>
          <w:i/>
          <w:iCs/>
          <w:sz w:val="18"/>
          <w:szCs w:val="18"/>
          <w:lang w:val="en-US"/>
        </w:rPr>
        <w:t>Smart Electricity Metering System</w:t>
      </w:r>
      <w:r w:rsidRPr="00BD295E">
        <w:rPr>
          <w:rFonts w:ascii="Arial" w:hAnsi="Arial" w:cs="Arial"/>
          <w:sz w:val="18"/>
          <w:szCs w:val="18"/>
          <w:lang w:val="en-US"/>
        </w:rPr>
        <w:t xml:space="preserve"> category, shared the first place in the </w:t>
      </w:r>
      <w:r w:rsidRPr="00BD295E">
        <w:rPr>
          <w:rFonts w:ascii="Arial" w:hAnsi="Arial" w:cs="Arial"/>
          <w:i/>
          <w:iCs/>
          <w:sz w:val="18"/>
          <w:szCs w:val="18"/>
          <w:lang w:val="en-US"/>
        </w:rPr>
        <w:t>Maintenance and Repair of Relay Protection and Automation Equipment</w:t>
      </w:r>
      <w:r w:rsidRPr="00BD295E">
        <w:rPr>
          <w:rFonts w:ascii="Arial" w:hAnsi="Arial" w:cs="Arial"/>
          <w:sz w:val="18"/>
          <w:szCs w:val="18"/>
          <w:lang w:val="en-US"/>
        </w:rPr>
        <w:t xml:space="preserve"> category, and won the third prize in the </w:t>
      </w:r>
      <w:r w:rsidRPr="00BD295E">
        <w:rPr>
          <w:rFonts w:ascii="Arial" w:hAnsi="Arial" w:cs="Arial"/>
          <w:i/>
          <w:iCs/>
          <w:sz w:val="18"/>
          <w:szCs w:val="18"/>
          <w:lang w:val="en-US"/>
        </w:rPr>
        <w:t>Operation of Cable Power Lines</w:t>
      </w:r>
      <w:r w:rsidRPr="00BD295E">
        <w:rPr>
          <w:rFonts w:ascii="Arial" w:hAnsi="Arial" w:cs="Arial"/>
          <w:sz w:val="18"/>
          <w:szCs w:val="18"/>
          <w:lang w:val="en-US"/>
        </w:rPr>
        <w:t xml:space="preserve"> category.</w:t>
      </w:r>
    </w:p>
    <w:p w14:paraId="2D113F04" w14:textId="77777777" w:rsidR="00ED79C9"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The winners of the qualifying round of Rosseti’s </w:t>
      </w:r>
      <w:r w:rsidRPr="00BD295E">
        <w:rPr>
          <w:rFonts w:ascii="Arial" w:hAnsi="Arial" w:cs="Arial"/>
          <w:i/>
          <w:iCs/>
          <w:sz w:val="18"/>
          <w:szCs w:val="18"/>
          <w:lang w:val="en-US"/>
        </w:rPr>
        <w:t>Young Professionals</w:t>
      </w:r>
      <w:r w:rsidRPr="00BD295E">
        <w:rPr>
          <w:rFonts w:ascii="Arial" w:hAnsi="Arial" w:cs="Arial"/>
          <w:sz w:val="18"/>
          <w:szCs w:val="18"/>
          <w:lang w:val="en-US"/>
        </w:rPr>
        <w:t xml:space="preserve"> Open Corporate Championship of Professional Skills based on WorldSkills’ methodology took part in the WorldSkills National Championship in Yekaterinburg.</w:t>
      </w:r>
    </w:p>
    <w:p w14:paraId="09AB431D" w14:textId="77777777" w:rsidR="00ED79C9" w:rsidRPr="00BD295E" w:rsidRDefault="00ED79C9" w:rsidP="00F7146A">
      <w:pPr>
        <w:jc w:val="both"/>
        <w:rPr>
          <w:rFonts w:ascii="Arial" w:eastAsia="Calibri" w:hAnsi="Arial" w:cs="Arial"/>
          <w:sz w:val="18"/>
          <w:szCs w:val="18"/>
          <w:lang w:val="en-US"/>
        </w:rPr>
      </w:pPr>
    </w:p>
    <w:p w14:paraId="0A3A6E07" w14:textId="77777777" w:rsidR="00ED79C9" w:rsidRPr="00BD295E" w:rsidRDefault="008A5057" w:rsidP="00F7146A">
      <w:pPr>
        <w:rPr>
          <w:rFonts w:ascii="Arial" w:eastAsia="Calibri" w:hAnsi="Arial" w:cs="Arial"/>
          <w:b/>
          <w:sz w:val="18"/>
          <w:szCs w:val="18"/>
          <w:lang w:val="en-US"/>
        </w:rPr>
      </w:pPr>
      <w:r w:rsidRPr="00BD295E">
        <w:rPr>
          <w:rFonts w:ascii="Arial" w:hAnsi="Arial" w:cs="Arial"/>
          <w:b/>
          <w:sz w:val="18"/>
          <w:szCs w:val="18"/>
          <w:lang w:val="en-US"/>
        </w:rPr>
        <w:t>Managing the Company’s talent pool</w:t>
      </w:r>
    </w:p>
    <w:p w14:paraId="7E9BC8BF"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Building and managing the talent pool is part of the career planning process and is a tool for early identifying the most talented and motivated employees, building their professional and leadership competencies, and assisting in their career growth at the Company. </w:t>
      </w:r>
    </w:p>
    <w:p w14:paraId="39714F28"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Three types of talent pools are built and developed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leadership, youth, and key executive talent pools. </w:t>
      </w:r>
    </w:p>
    <w:p w14:paraId="4AF69077"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In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conducted a comprehensive evaluation of candidates to the leadership talent pool and the key executive talent pool.</w:t>
      </w:r>
    </w:p>
    <w:p w14:paraId="70110463"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The evaluation included online tests of employees at their workplaces via an advanced psychodiagnostic facility. Each candidate was provided with an individual link to a virtual account with test assignments. The tests evaluated their self-control, intellectual capabilities, and competence level. </w:t>
      </w:r>
    </w:p>
    <w:p w14:paraId="57E23E07"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Based on the results of each stage, stop factors were identified with some participants rejected as a result, being not ready at the moment to cope with complex leadership challenges due to their personal characteristics or competence level. A total of 303 candidates took part in the evaluation. </w:t>
      </w:r>
    </w:p>
    <w:p w14:paraId="1D727A52" w14:textId="77777777" w:rsidR="00ED79C9"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As a result of the evaluation:</w:t>
      </w:r>
    </w:p>
    <w:p w14:paraId="4BCB6538" w14:textId="77777777" w:rsidR="00ED79C9" w:rsidRPr="00BD295E" w:rsidRDefault="008A5057" w:rsidP="00F7146A">
      <w:pPr>
        <w:pStyle w:val="af3"/>
        <w:numPr>
          <w:ilvl w:val="0"/>
          <w:numId w:val="112"/>
        </w:numPr>
        <w:ind w:left="0" w:firstLine="0"/>
        <w:jc w:val="both"/>
        <w:rPr>
          <w:rFonts w:ascii="Arial" w:eastAsia="Calibri" w:hAnsi="Arial" w:cs="Arial"/>
          <w:sz w:val="18"/>
          <w:szCs w:val="18"/>
          <w:lang w:val="en-US"/>
        </w:rPr>
      </w:pPr>
      <w:r w:rsidRPr="00BD295E">
        <w:rPr>
          <w:rFonts w:ascii="Arial" w:hAnsi="Arial" w:cs="Arial"/>
          <w:sz w:val="18"/>
          <w:szCs w:val="18"/>
          <w:lang w:val="en-US"/>
        </w:rPr>
        <w:t>94 persons were included in the leadership talent pool;</w:t>
      </w:r>
    </w:p>
    <w:p w14:paraId="54F6EF7B" w14:textId="77777777" w:rsidR="00ED79C9" w:rsidRPr="00BD295E" w:rsidRDefault="008A5057" w:rsidP="00F7146A">
      <w:pPr>
        <w:pStyle w:val="af3"/>
        <w:numPr>
          <w:ilvl w:val="0"/>
          <w:numId w:val="112"/>
        </w:numPr>
        <w:ind w:left="0" w:firstLine="0"/>
        <w:jc w:val="both"/>
        <w:rPr>
          <w:rFonts w:ascii="Arial" w:eastAsia="Calibri" w:hAnsi="Arial" w:cs="Arial"/>
          <w:sz w:val="18"/>
          <w:szCs w:val="18"/>
          <w:lang w:val="en-US"/>
        </w:rPr>
      </w:pPr>
      <w:r w:rsidRPr="00BD295E">
        <w:rPr>
          <w:rFonts w:ascii="Arial" w:hAnsi="Arial" w:cs="Arial"/>
          <w:sz w:val="18"/>
          <w:szCs w:val="18"/>
          <w:lang w:val="en-US"/>
        </w:rPr>
        <w:t xml:space="preserve">19 persons were included in the key executive talent pool. </w:t>
      </w:r>
    </w:p>
    <w:p w14:paraId="204E2F3B" w14:textId="77777777" w:rsidR="00ED79C9"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In 2018, 17 employees from the leadership talent pool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were appointed to higher positions (including 6 persons to target positions, and 11 persons to higher non-target positions). </w:t>
      </w:r>
    </w:p>
    <w:p w14:paraId="7276B356" w14:textId="77777777" w:rsidR="00ED79C9"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In order to develop leadership competencies, improve the personal effectiveness of talent pool members, and promote their professional growth, a talent pool development program was designed, slated to be completed in 2019).</w:t>
      </w:r>
    </w:p>
    <w:p w14:paraId="4ECAE054" w14:textId="77777777" w:rsidR="00ED79C9"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In 2018, the leadership talent pool included 113 of the Company’s best talents. As at the end of the reporting period, the leadership talent pool covered 25.3% of the Company’s requirement in leadership talents.</w:t>
      </w:r>
    </w:p>
    <w:p w14:paraId="580CDA8B" w14:textId="77777777" w:rsidR="006614B1" w:rsidRPr="00BD295E" w:rsidRDefault="006614B1" w:rsidP="00F7146A">
      <w:pPr>
        <w:jc w:val="both"/>
        <w:rPr>
          <w:rFonts w:ascii="Arial" w:eastAsia="Calibri" w:hAnsi="Arial" w:cs="Arial"/>
          <w:sz w:val="18"/>
          <w:szCs w:val="18"/>
          <w:lang w:val="en-US"/>
        </w:rPr>
      </w:pPr>
    </w:p>
    <w:p w14:paraId="0028F325"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b/>
          <w:sz w:val="18"/>
          <w:szCs w:val="18"/>
          <w:lang w:val="en-US"/>
        </w:rPr>
        <w:t xml:space="preserve">Youth talent pool of </w:t>
      </w:r>
      <w:r w:rsidR="00EE5753" w:rsidRPr="00BD295E">
        <w:rPr>
          <w:rFonts w:ascii="Arial" w:hAnsi="Arial" w:cs="Arial"/>
          <w:b/>
          <w:sz w:val="18"/>
          <w:szCs w:val="18"/>
          <w:lang w:val="en-US"/>
        </w:rPr>
        <w:t>PJSC “Lenenergo”</w:t>
      </w:r>
      <w:r w:rsidRPr="00BD295E">
        <w:rPr>
          <w:rFonts w:ascii="Arial" w:hAnsi="Arial" w:cs="Arial"/>
          <w:sz w:val="18"/>
          <w:szCs w:val="18"/>
          <w:lang w:val="en-US"/>
        </w:rPr>
        <w:t xml:space="preserve"> </w:t>
      </w:r>
    </w:p>
    <w:p w14:paraId="3E049474"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The youth talent pool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includes young professionals with a high potential to develop professional and leadership competencies. Priority is given to employees who actively participate in the social life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have achievements in efficiency improvements, inventions, and innovation.</w:t>
      </w:r>
    </w:p>
    <w:p w14:paraId="50C000F4"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All candidates (92 persons) to the youth talent pool have passed a two-tier selection procedure: </w:t>
      </w:r>
    </w:p>
    <w:p w14:paraId="70F17E8F"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computer testing (personal, motivational, and intellectual tests);</w:t>
      </w:r>
    </w:p>
    <w:p w14:paraId="7B911FB1"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 competency-based interviews (loyalty, responsibility, readiness to change, development focus, performance focus, teamwork, and leadership). </w:t>
      </w:r>
    </w:p>
    <w:p w14:paraId="0979D14D"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Based on the results of the evaluation, 44 young professionals, employees of branches and the executive arm of </w:t>
      </w:r>
      <w:r w:rsidR="00EE5753" w:rsidRPr="00BD295E">
        <w:rPr>
          <w:rFonts w:ascii="Arial" w:hAnsi="Arial" w:cs="Arial"/>
          <w:sz w:val="18"/>
          <w:szCs w:val="18"/>
          <w:lang w:val="en-US"/>
        </w:rPr>
        <w:t>PJSC “Lenenergo”</w:t>
      </w:r>
      <w:r w:rsidRPr="00BD295E">
        <w:rPr>
          <w:rFonts w:ascii="Arial" w:hAnsi="Arial" w:cs="Arial"/>
          <w:sz w:val="18"/>
          <w:szCs w:val="18"/>
          <w:lang w:val="en-US"/>
        </w:rPr>
        <w:t>, were included in the youth talent pool.</w:t>
      </w:r>
    </w:p>
    <w:p w14:paraId="215F1E2A"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During 2018, three persons from the youth talent pool were appointed to higher non-target positions, and two persons were appointed to higher target positions. </w:t>
      </w:r>
    </w:p>
    <w:p w14:paraId="5914E4A8"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Target positions were identified for each member of the talent pool, with coaches assigned from among the most competent 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whose principal task was to assist the talent pool members in building the competencies for their respective target positions. </w:t>
      </w:r>
    </w:p>
    <w:p w14:paraId="1194F21A"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The Company is currently implementing a youth talent pool development program designed based on identified competence targets. The program is designed for 7 to 8 months and involves both standard training formats (workshops, trainings) and advanced T&amp;D technologies (mobile training and a training bot).</w:t>
      </w:r>
    </w:p>
    <w:p w14:paraId="1A188698"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In addition, the youth talent pool is developed via projects; on completion of the training (May 2019), the young talents will present their completed projects at the final expert session. </w:t>
      </w:r>
    </w:p>
    <w:p w14:paraId="39F04312" w14:textId="095B5C53"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In </w:t>
      </w:r>
      <w:r w:rsidR="002C3947" w:rsidRPr="00BD295E">
        <w:rPr>
          <w:rFonts w:ascii="Arial" w:hAnsi="Arial" w:cs="Arial"/>
          <w:sz w:val="18"/>
          <w:szCs w:val="18"/>
          <w:lang w:val="en-US"/>
        </w:rPr>
        <w:t>2018, members</w:t>
      </w:r>
      <w:r w:rsidRPr="00BD295E">
        <w:rPr>
          <w:rFonts w:ascii="Arial" w:hAnsi="Arial" w:cs="Arial"/>
          <w:sz w:val="18"/>
          <w:szCs w:val="18"/>
          <w:lang w:val="en-US"/>
        </w:rPr>
        <w:t xml:space="preserve"> of the youth talent pool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took part in:</w:t>
      </w:r>
    </w:p>
    <w:p w14:paraId="5149D8D0" w14:textId="77777777" w:rsidR="00D66577" w:rsidRPr="00BD295E" w:rsidRDefault="008A5057" w:rsidP="00F7146A">
      <w:pPr>
        <w:pStyle w:val="af3"/>
        <w:numPr>
          <w:ilvl w:val="0"/>
          <w:numId w:val="111"/>
        </w:numPr>
        <w:ind w:left="0" w:firstLine="0"/>
        <w:jc w:val="both"/>
        <w:rPr>
          <w:rFonts w:ascii="Arial" w:hAnsi="Arial" w:cs="Arial"/>
          <w:sz w:val="18"/>
          <w:szCs w:val="18"/>
          <w:lang w:val="en-US"/>
        </w:rPr>
      </w:pPr>
      <w:r w:rsidRPr="00BD295E">
        <w:rPr>
          <w:rFonts w:ascii="Arial" w:hAnsi="Arial" w:cs="Arial"/>
          <w:sz w:val="18"/>
          <w:szCs w:val="18"/>
          <w:lang w:val="en-US"/>
        </w:rPr>
        <w:t xml:space="preserve">the International Youth Energy Forum of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190F8426" w14:textId="77777777" w:rsidR="00D66577" w:rsidRPr="00BD295E" w:rsidRDefault="008A5057" w:rsidP="00F7146A">
      <w:pPr>
        <w:pStyle w:val="af3"/>
        <w:numPr>
          <w:ilvl w:val="0"/>
          <w:numId w:val="111"/>
        </w:numPr>
        <w:ind w:left="0" w:firstLine="0"/>
        <w:jc w:val="both"/>
        <w:rPr>
          <w:rFonts w:ascii="Arial" w:hAnsi="Arial" w:cs="Arial"/>
          <w:sz w:val="18"/>
          <w:szCs w:val="18"/>
          <w:lang w:val="en-US"/>
        </w:rPr>
      </w:pPr>
      <w:r w:rsidRPr="00BD295E">
        <w:rPr>
          <w:rFonts w:ascii="Arial" w:hAnsi="Arial" w:cs="Arial"/>
          <w:sz w:val="18"/>
          <w:szCs w:val="18"/>
          <w:lang w:val="en-US"/>
        </w:rPr>
        <w:t xml:space="preserve">a project to develop the Forecast of Technological Development of the Russian Energy Sector in the Context of Global Trends. The project’s topic is </w:t>
      </w:r>
      <w:r w:rsidRPr="00BD295E">
        <w:rPr>
          <w:rFonts w:ascii="Arial" w:hAnsi="Arial" w:cs="Arial"/>
          <w:i/>
          <w:iCs/>
          <w:sz w:val="18"/>
          <w:szCs w:val="18"/>
          <w:lang w:val="en-US"/>
        </w:rPr>
        <w:t xml:space="preserve">Smart Electricity, Heat, and Gas Supply Systems, Integration of Various Types of Energy Resources and Distributed Energy </w:t>
      </w:r>
      <w:r w:rsidR="00DE61D5" w:rsidRPr="00BD295E">
        <w:rPr>
          <w:rFonts w:ascii="Arial" w:hAnsi="Arial" w:cs="Arial"/>
          <w:i/>
          <w:iCs/>
          <w:sz w:val="18"/>
          <w:szCs w:val="18"/>
          <w:lang w:val="en-US"/>
        </w:rPr>
        <w:t>Power generation facilities</w:t>
      </w:r>
      <w:r w:rsidRPr="00BD295E">
        <w:rPr>
          <w:rFonts w:ascii="Arial" w:hAnsi="Arial" w:cs="Arial"/>
          <w:sz w:val="18"/>
          <w:szCs w:val="18"/>
          <w:lang w:val="en-US"/>
        </w:rPr>
        <w:t>;</w:t>
      </w:r>
    </w:p>
    <w:p w14:paraId="034D5E74" w14:textId="77777777" w:rsidR="00D66577" w:rsidRPr="00BD295E" w:rsidRDefault="008A5057" w:rsidP="00F7146A">
      <w:pPr>
        <w:pStyle w:val="af3"/>
        <w:numPr>
          <w:ilvl w:val="0"/>
          <w:numId w:val="111"/>
        </w:numPr>
        <w:ind w:left="0" w:firstLine="0"/>
        <w:jc w:val="both"/>
        <w:rPr>
          <w:rFonts w:ascii="Arial" w:hAnsi="Arial" w:cs="Arial"/>
          <w:sz w:val="18"/>
          <w:szCs w:val="18"/>
          <w:lang w:val="en-US"/>
        </w:rPr>
      </w:pPr>
      <w:r w:rsidRPr="00BD295E">
        <w:rPr>
          <w:rFonts w:ascii="Arial" w:hAnsi="Arial" w:cs="Arial"/>
          <w:sz w:val="18"/>
          <w:szCs w:val="18"/>
          <w:lang w:val="en-US"/>
        </w:rPr>
        <w:t xml:space="preserve">in the Russian Energy Week International Forum in which the young talents of the Company presented their project, </w:t>
      </w:r>
      <w:r w:rsidRPr="00BD295E">
        <w:rPr>
          <w:rFonts w:ascii="Arial" w:hAnsi="Arial" w:cs="Arial"/>
          <w:i/>
          <w:iCs/>
          <w:sz w:val="18"/>
          <w:szCs w:val="18"/>
          <w:lang w:val="en-US"/>
        </w:rPr>
        <w:t>Breakthrough in Equipment Diagnostics Using DC Neural Networks</w:t>
      </w:r>
      <w:r w:rsidRPr="00BD295E">
        <w:rPr>
          <w:rFonts w:ascii="Arial" w:hAnsi="Arial" w:cs="Arial"/>
          <w:sz w:val="18"/>
          <w:szCs w:val="18"/>
          <w:lang w:val="en-US"/>
        </w:rPr>
        <w:t xml:space="preserve"> and won the second prize in the </w:t>
      </w:r>
      <w:r w:rsidRPr="00BD295E">
        <w:rPr>
          <w:rFonts w:ascii="Arial" w:hAnsi="Arial" w:cs="Arial"/>
          <w:i/>
          <w:iCs/>
          <w:sz w:val="18"/>
          <w:szCs w:val="18"/>
          <w:lang w:val="en-US"/>
        </w:rPr>
        <w:t>Technology Projects</w:t>
      </w:r>
      <w:r w:rsidRPr="00BD295E">
        <w:rPr>
          <w:rFonts w:ascii="Arial" w:hAnsi="Arial" w:cs="Arial"/>
          <w:sz w:val="18"/>
          <w:szCs w:val="18"/>
          <w:lang w:val="en-US"/>
        </w:rPr>
        <w:t xml:space="preserve"> category;</w:t>
      </w:r>
    </w:p>
    <w:p w14:paraId="4A2D47E8" w14:textId="77777777" w:rsidR="00D66577" w:rsidRPr="00BD295E" w:rsidRDefault="008A5057" w:rsidP="00F7146A">
      <w:pPr>
        <w:pStyle w:val="af3"/>
        <w:numPr>
          <w:ilvl w:val="0"/>
          <w:numId w:val="111"/>
        </w:numPr>
        <w:ind w:left="0" w:firstLine="0"/>
        <w:jc w:val="both"/>
        <w:rPr>
          <w:rFonts w:ascii="Arial" w:hAnsi="Arial" w:cs="Arial"/>
          <w:sz w:val="18"/>
          <w:szCs w:val="18"/>
          <w:lang w:val="en-US"/>
        </w:rPr>
      </w:pPr>
      <w:r w:rsidRPr="00BD295E">
        <w:rPr>
          <w:rFonts w:ascii="Arial" w:hAnsi="Arial" w:cs="Arial"/>
          <w:sz w:val="18"/>
          <w:szCs w:val="18"/>
          <w:lang w:val="en-US"/>
        </w:rPr>
        <w:t xml:space="preserve">the Forsage 2018 All-Russian Forum as part of the corporate team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p>
    <w:p w14:paraId="462C58DD" w14:textId="77777777" w:rsidR="00D66577" w:rsidRPr="00BD295E" w:rsidRDefault="008A5057" w:rsidP="00F7146A">
      <w:pPr>
        <w:pStyle w:val="af3"/>
        <w:numPr>
          <w:ilvl w:val="0"/>
          <w:numId w:val="111"/>
        </w:numPr>
        <w:ind w:left="0" w:firstLine="0"/>
        <w:jc w:val="both"/>
        <w:rPr>
          <w:rFonts w:ascii="Arial" w:hAnsi="Arial" w:cs="Arial"/>
          <w:sz w:val="18"/>
          <w:szCs w:val="18"/>
          <w:lang w:val="en-US"/>
        </w:rPr>
      </w:pPr>
      <w:r w:rsidRPr="00BD295E">
        <w:rPr>
          <w:rFonts w:ascii="Arial" w:hAnsi="Arial" w:cs="Arial"/>
          <w:sz w:val="18"/>
          <w:szCs w:val="18"/>
          <w:lang w:val="en-US"/>
        </w:rPr>
        <w:t>events for sharing experience in the implementation of youth policies in Japan.</w:t>
      </w:r>
    </w:p>
    <w:p w14:paraId="2E59EF00" w14:textId="77777777" w:rsidR="00D66577" w:rsidRPr="00BD295E" w:rsidRDefault="008A5057" w:rsidP="00F7146A">
      <w:pPr>
        <w:pStyle w:val="af3"/>
        <w:numPr>
          <w:ilvl w:val="0"/>
          <w:numId w:val="111"/>
        </w:numPr>
        <w:ind w:left="0" w:firstLine="0"/>
        <w:jc w:val="both"/>
        <w:rPr>
          <w:rFonts w:ascii="Arial" w:hAnsi="Arial" w:cs="Arial"/>
          <w:sz w:val="18"/>
          <w:szCs w:val="18"/>
          <w:lang w:val="en-US"/>
        </w:rPr>
      </w:pPr>
      <w:r w:rsidRPr="00BD295E">
        <w:rPr>
          <w:rFonts w:ascii="Arial" w:hAnsi="Arial" w:cs="Arial"/>
          <w:sz w:val="18"/>
          <w:szCs w:val="18"/>
          <w:lang w:val="en-US"/>
        </w:rPr>
        <w:t xml:space="preserve">the Working Youth Forum of Saint Petersburg. Competition for the best youth relations organization at Saint Petersburg companies in the </w:t>
      </w:r>
      <w:r w:rsidRPr="00BD295E">
        <w:rPr>
          <w:rFonts w:ascii="Arial" w:hAnsi="Arial" w:cs="Arial"/>
          <w:i/>
          <w:iCs/>
          <w:sz w:val="18"/>
          <w:szCs w:val="18"/>
          <w:lang w:val="en-US"/>
        </w:rPr>
        <w:t>Development of R&amp;D Potential of Working Youth</w:t>
      </w:r>
      <w:r w:rsidRPr="00BD295E">
        <w:rPr>
          <w:rFonts w:ascii="Arial" w:hAnsi="Arial" w:cs="Arial"/>
          <w:sz w:val="18"/>
          <w:szCs w:val="18"/>
          <w:lang w:val="en-US"/>
        </w:rPr>
        <w:t xml:space="preserve"> category, winning a 3rd Grade Diploma for operating the Youth Innovation Center; </w:t>
      </w:r>
    </w:p>
    <w:p w14:paraId="4B32AF3D" w14:textId="77777777" w:rsidR="00D66577" w:rsidRPr="00BD295E" w:rsidRDefault="008A5057" w:rsidP="00F7146A">
      <w:pPr>
        <w:pStyle w:val="af3"/>
        <w:numPr>
          <w:ilvl w:val="0"/>
          <w:numId w:val="111"/>
        </w:numPr>
        <w:ind w:left="0" w:firstLine="0"/>
        <w:jc w:val="both"/>
        <w:rPr>
          <w:rFonts w:ascii="Arial" w:hAnsi="Arial" w:cs="Arial"/>
          <w:sz w:val="18"/>
          <w:szCs w:val="18"/>
          <w:lang w:val="en-US"/>
        </w:rPr>
      </w:pPr>
      <w:r w:rsidRPr="00BD295E">
        <w:rPr>
          <w:rFonts w:ascii="Arial" w:hAnsi="Arial" w:cs="Arial"/>
          <w:sz w:val="18"/>
          <w:szCs w:val="18"/>
          <w:lang w:val="en-US"/>
        </w:rPr>
        <w:t xml:space="preserve">a meeting of the Youth Power Engineering Council of the Russian Ministry of Energy. </w:t>
      </w:r>
    </w:p>
    <w:p w14:paraId="727981A3"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 xml:space="preserve">As at the end of the reporting period, the Company’s youth talent pool counted 41 employees. </w:t>
      </w:r>
    </w:p>
    <w:p w14:paraId="3A6F392F" w14:textId="77777777" w:rsidR="00D66577" w:rsidRPr="00BD295E" w:rsidRDefault="008A5057" w:rsidP="00F7146A">
      <w:pPr>
        <w:jc w:val="both"/>
        <w:rPr>
          <w:rFonts w:ascii="Arial" w:eastAsia="Calibri" w:hAnsi="Arial" w:cs="Arial"/>
          <w:sz w:val="18"/>
          <w:szCs w:val="18"/>
          <w:lang w:val="en-US"/>
        </w:rPr>
      </w:pPr>
      <w:r w:rsidRPr="00BD295E">
        <w:rPr>
          <w:rFonts w:ascii="Arial" w:hAnsi="Arial" w:cs="Arial"/>
          <w:sz w:val="18"/>
          <w:szCs w:val="18"/>
          <w:lang w:val="en-US"/>
        </w:rPr>
        <w:t>Out of 210 appointments to leadership positions made in 2018 at the Company’s branches and executive arm, 131 positions (62.4%) were staffed by internal candidates, including 15 employees (7.1%) from the leadership and youth talent pools.</w:t>
      </w:r>
    </w:p>
    <w:p w14:paraId="57F19A5D" w14:textId="1A91B475" w:rsidR="00440FB3" w:rsidRPr="00BD295E" w:rsidRDefault="00440FB3">
      <w:pPr>
        <w:rPr>
          <w:rFonts w:ascii="Arial" w:eastAsia="Calibri" w:hAnsi="Arial" w:cs="Arial"/>
          <w:sz w:val="18"/>
          <w:szCs w:val="18"/>
          <w:lang w:val="en-US"/>
        </w:rPr>
      </w:pPr>
      <w:r w:rsidRPr="00BD295E">
        <w:rPr>
          <w:rFonts w:ascii="Arial" w:eastAsia="Calibri" w:hAnsi="Arial" w:cs="Arial"/>
          <w:sz w:val="18"/>
          <w:szCs w:val="18"/>
          <w:lang w:val="en-US"/>
        </w:rPr>
        <w:br w:type="page"/>
      </w:r>
    </w:p>
    <w:p w14:paraId="6ABBB6E7" w14:textId="77777777" w:rsidR="00ED79C9" w:rsidRPr="00BD295E" w:rsidRDefault="008A5057" w:rsidP="00F7146A">
      <w:pPr>
        <w:jc w:val="both"/>
        <w:rPr>
          <w:rFonts w:ascii="Arial" w:hAnsi="Arial" w:cs="Arial"/>
          <w:b/>
          <w:snapToGrid w:val="0"/>
          <w:sz w:val="18"/>
          <w:szCs w:val="18"/>
          <w:lang w:val="en-US"/>
        </w:rPr>
      </w:pPr>
      <w:r w:rsidRPr="00BD295E">
        <w:rPr>
          <w:rFonts w:ascii="Arial" w:hAnsi="Arial" w:cs="Arial"/>
          <w:b/>
          <w:snapToGrid w:val="0"/>
          <w:sz w:val="18"/>
          <w:szCs w:val="18"/>
          <w:lang w:val="en-US"/>
        </w:rPr>
        <w:t>The Youth Policy of the Company</w:t>
      </w:r>
    </w:p>
    <w:p w14:paraId="3E64A2F2" w14:textId="77777777" w:rsidR="00ED79C9" w:rsidRPr="00BD295E" w:rsidRDefault="00ED79C9" w:rsidP="00F7146A">
      <w:pPr>
        <w:jc w:val="both"/>
        <w:rPr>
          <w:rFonts w:ascii="Arial" w:hAnsi="Arial" w:cs="Arial"/>
          <w:b/>
          <w:snapToGrid w:val="0"/>
          <w:sz w:val="18"/>
          <w:szCs w:val="18"/>
          <w:lang w:val="en-US"/>
        </w:rPr>
      </w:pPr>
    </w:p>
    <w:p w14:paraId="35CBEE63" w14:textId="77777777" w:rsidR="00ED79C9" w:rsidRPr="00BD295E" w:rsidRDefault="008A5057" w:rsidP="00F7146A">
      <w:pPr>
        <w:jc w:val="both"/>
        <w:rPr>
          <w:rFonts w:ascii="Arial" w:hAnsi="Arial" w:cs="Arial"/>
          <w:b/>
          <w:snapToGrid w:val="0"/>
          <w:sz w:val="18"/>
          <w:szCs w:val="18"/>
          <w:lang w:val="en-US"/>
        </w:rPr>
      </w:pPr>
      <w:r w:rsidRPr="00BD295E">
        <w:rPr>
          <w:rFonts w:ascii="Arial" w:hAnsi="Arial" w:cs="Arial"/>
          <w:b/>
          <w:snapToGrid w:val="0"/>
          <w:sz w:val="18"/>
          <w:szCs w:val="18"/>
          <w:lang w:val="en-US"/>
        </w:rPr>
        <w:t>Working with school students</w:t>
      </w:r>
    </w:p>
    <w:p w14:paraId="6B8528F3" w14:textId="77777777" w:rsidR="00ED79C9" w:rsidRPr="00BD295E" w:rsidRDefault="008A5057" w:rsidP="00F7146A">
      <w:pPr>
        <w:numPr>
          <w:ilvl w:val="0"/>
          <w:numId w:val="116"/>
        </w:numPr>
        <w:tabs>
          <w:tab w:val="left" w:pos="0"/>
          <w:tab w:val="left" w:pos="1134"/>
        </w:tabs>
        <w:ind w:left="0" w:firstLine="0"/>
        <w:jc w:val="both"/>
        <w:textAlignment w:val="baseline"/>
        <w:rPr>
          <w:rFonts w:ascii="Arial" w:hAnsi="Arial" w:cs="Arial"/>
          <w:sz w:val="18"/>
          <w:szCs w:val="18"/>
          <w:shd w:val="clear" w:color="auto" w:fill="FFFFFF"/>
          <w:lang w:val="en-US"/>
        </w:rPr>
      </w:pPr>
      <w:r w:rsidRPr="00BD295E">
        <w:rPr>
          <w:rFonts w:ascii="Arial" w:hAnsi="Arial" w:cs="Arial"/>
          <w:sz w:val="18"/>
          <w:szCs w:val="18"/>
          <w:shd w:val="clear" w:color="auto" w:fill="FFFFFF"/>
          <w:lang w:val="en-US"/>
        </w:rPr>
        <w:t xml:space="preserve">As part of a comprehensive approach to supplying </w:t>
      </w:r>
      <w:r w:rsidR="00EE5753" w:rsidRPr="00BD295E">
        <w:rPr>
          <w:rFonts w:ascii="Arial" w:hAnsi="Arial" w:cs="Arial"/>
          <w:sz w:val="18"/>
          <w:szCs w:val="18"/>
          <w:shd w:val="clear" w:color="auto" w:fill="FFFFFF"/>
          <w:lang w:val="en-US"/>
        </w:rPr>
        <w:t>PJSC “Lenenergo”</w:t>
      </w:r>
      <w:r w:rsidRPr="00BD295E">
        <w:rPr>
          <w:rFonts w:ascii="Arial" w:hAnsi="Arial" w:cs="Arial"/>
          <w:sz w:val="18"/>
          <w:szCs w:val="18"/>
          <w:shd w:val="clear" w:color="auto" w:fill="FFFFFF"/>
          <w:lang w:val="en-US"/>
        </w:rPr>
        <w:t xml:space="preserve"> with qualified talents (</w:t>
      </w:r>
      <w:r w:rsidRPr="00BD295E">
        <w:rPr>
          <w:rFonts w:ascii="Arial" w:hAnsi="Arial" w:cs="Arial"/>
          <w:i/>
          <w:iCs/>
          <w:sz w:val="18"/>
          <w:szCs w:val="18"/>
          <w:shd w:val="clear" w:color="auto" w:fill="FFFFFF"/>
          <w:lang w:val="en-US"/>
        </w:rPr>
        <w:t>early career guidance for school students and further practice-oriented university training</w:t>
      </w:r>
      <w:r w:rsidRPr="00BD295E">
        <w:rPr>
          <w:rFonts w:ascii="Arial" w:hAnsi="Arial" w:cs="Arial"/>
          <w:sz w:val="18"/>
          <w:szCs w:val="18"/>
          <w:shd w:val="clear" w:color="auto" w:fill="FFFFFF"/>
          <w:lang w:val="en-US"/>
        </w:rPr>
        <w:t xml:space="preserve">), </w:t>
      </w:r>
      <w:r w:rsidR="00EE5753" w:rsidRPr="00BD295E">
        <w:rPr>
          <w:rFonts w:ascii="Arial" w:hAnsi="Arial" w:cs="Arial"/>
          <w:sz w:val="18"/>
          <w:szCs w:val="18"/>
          <w:shd w:val="clear" w:color="auto" w:fill="FFFFFF"/>
          <w:lang w:val="en-US"/>
        </w:rPr>
        <w:t>PJSC “Lenenergo”</w:t>
      </w:r>
      <w:r w:rsidRPr="00BD295E">
        <w:rPr>
          <w:rFonts w:ascii="Arial" w:hAnsi="Arial" w:cs="Arial"/>
          <w:sz w:val="18"/>
          <w:szCs w:val="18"/>
          <w:shd w:val="clear" w:color="auto" w:fill="FFFFFF"/>
          <w:lang w:val="en-US"/>
        </w:rPr>
        <w:t xml:space="preserve"> signed an agreement 18-9145 </w:t>
      </w:r>
      <w:r w:rsidR="008B183C" w:rsidRPr="00BD295E">
        <w:rPr>
          <w:rFonts w:ascii="Arial" w:hAnsi="Arial" w:cs="Arial"/>
          <w:sz w:val="18"/>
          <w:szCs w:val="18"/>
          <w:shd w:val="clear" w:color="auto" w:fill="FFFFFF"/>
          <w:lang w:val="en-US"/>
        </w:rPr>
        <w:t>of</w:t>
      </w:r>
      <w:r w:rsidRPr="00BD295E">
        <w:rPr>
          <w:rFonts w:ascii="Arial" w:hAnsi="Arial" w:cs="Arial"/>
          <w:sz w:val="18"/>
          <w:szCs w:val="18"/>
          <w:shd w:val="clear" w:color="auto" w:fill="FFFFFF"/>
          <w:lang w:val="en-US"/>
        </w:rPr>
        <w:t xml:space="preserve"> October 15, 2018 with the Natural Science Lyceum of Peter the Great Saint Petersburg Polytechnic University, which served as the legal basis for launching the Energy Class of </w:t>
      </w:r>
      <w:r w:rsidR="00EE5753" w:rsidRPr="00BD295E">
        <w:rPr>
          <w:rFonts w:ascii="Arial" w:hAnsi="Arial" w:cs="Arial"/>
          <w:sz w:val="18"/>
          <w:szCs w:val="18"/>
          <w:shd w:val="clear" w:color="auto" w:fill="FFFFFF"/>
          <w:lang w:val="en-US"/>
        </w:rPr>
        <w:t>PJSC “Lenenergo”</w:t>
      </w:r>
      <w:r w:rsidRPr="00BD295E">
        <w:rPr>
          <w:rFonts w:ascii="Arial" w:hAnsi="Arial" w:cs="Arial"/>
          <w:sz w:val="18"/>
          <w:szCs w:val="18"/>
          <w:shd w:val="clear" w:color="auto" w:fill="FFFFFF"/>
          <w:lang w:val="en-US"/>
        </w:rPr>
        <w:t>.</w:t>
      </w:r>
      <w:r w:rsidRPr="00BD295E">
        <w:rPr>
          <w:rFonts w:ascii="Arial" w:hAnsi="Arial" w:cs="Arial"/>
          <w:sz w:val="18"/>
          <w:szCs w:val="18"/>
          <w:lang w:val="en-US"/>
        </w:rPr>
        <w:t xml:space="preserve"> Twenty-two students of the Natural Science Lyceum took part in the initiative.</w:t>
      </w:r>
      <w:r w:rsidRPr="00BD295E">
        <w:rPr>
          <w:rFonts w:ascii="Arial" w:hAnsi="Arial" w:cs="Arial"/>
          <w:sz w:val="18"/>
          <w:szCs w:val="18"/>
          <w:shd w:val="clear" w:color="auto" w:fill="FFFFFF"/>
          <w:lang w:val="en-US"/>
        </w:rPr>
        <w:t xml:space="preserve"> </w:t>
      </w:r>
    </w:p>
    <w:p w14:paraId="6E80DC13" w14:textId="77777777" w:rsidR="00ED79C9" w:rsidRPr="00BD295E" w:rsidRDefault="008A5057" w:rsidP="00F7146A">
      <w:pPr>
        <w:numPr>
          <w:ilvl w:val="0"/>
          <w:numId w:val="116"/>
        </w:numPr>
        <w:tabs>
          <w:tab w:val="left" w:pos="0"/>
          <w:tab w:val="left" w:pos="1134"/>
        </w:tabs>
        <w:spacing w:after="120"/>
        <w:ind w:left="0" w:firstLine="0"/>
        <w:contextualSpacing/>
        <w:jc w:val="both"/>
        <w:rPr>
          <w:rFonts w:ascii="Arial" w:eastAsia="Calibri" w:hAnsi="Arial" w:cs="Arial"/>
          <w:kern w:val="28"/>
          <w:sz w:val="18"/>
          <w:szCs w:val="18"/>
          <w:lang w:val="en-US"/>
        </w:rPr>
      </w:pPr>
      <w:r w:rsidRPr="00BD295E">
        <w:rPr>
          <w:rFonts w:ascii="Arial" w:hAnsi="Arial" w:cs="Arial"/>
          <w:sz w:val="18"/>
          <w:szCs w:val="18"/>
          <w:lang w:val="en-US"/>
        </w:rPr>
        <w:t>In 2018, the All-Russian Olympiad of School Students was held at Saint Petersburg Polytechnic University, which involved 89 participants from among students of Grades 9 and 10 of Saint Petersburg and Leningrad Region schools.</w:t>
      </w:r>
    </w:p>
    <w:p w14:paraId="6087B106" w14:textId="77777777" w:rsidR="00ED79C9" w:rsidRPr="00BD295E" w:rsidRDefault="008A5057" w:rsidP="00F7146A">
      <w:pPr>
        <w:numPr>
          <w:ilvl w:val="0"/>
          <w:numId w:val="116"/>
        </w:numPr>
        <w:tabs>
          <w:tab w:val="left" w:pos="0"/>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Career guidance events were organized for school students in Saint Petersburg and the Leningrad Region:</w:t>
      </w:r>
    </w:p>
    <w:p w14:paraId="509F1137" w14:textId="77777777" w:rsidR="00ED79C9" w:rsidRPr="00BD295E" w:rsidRDefault="008A5057" w:rsidP="00F7146A">
      <w:pPr>
        <w:numPr>
          <w:ilvl w:val="0"/>
          <w:numId w:val="115"/>
        </w:numPr>
        <w:tabs>
          <w:tab w:val="left" w:pos="0"/>
          <w:tab w:val="left" w:pos="1134"/>
        </w:tabs>
        <w:ind w:left="0" w:firstLine="0"/>
        <w:contextualSpacing/>
        <w:jc w:val="both"/>
        <w:rPr>
          <w:rFonts w:ascii="Arial" w:eastAsia="Calibri" w:hAnsi="Arial" w:cs="Arial"/>
          <w:kern w:val="28"/>
          <w:sz w:val="18"/>
          <w:szCs w:val="18"/>
          <w:lang w:val="en-US"/>
        </w:rPr>
      </w:pPr>
      <w:r w:rsidRPr="00BD295E">
        <w:rPr>
          <w:rFonts w:ascii="Arial" w:hAnsi="Arial" w:cs="Arial"/>
          <w:sz w:val="18"/>
          <w:szCs w:val="18"/>
          <w:lang w:val="en-US"/>
        </w:rPr>
        <w:t xml:space="preserve">Awareness tours to the Company’s facilities (Grid Control Center of </w:t>
      </w:r>
      <w:r w:rsidR="00EE5753" w:rsidRPr="00BD295E">
        <w:rPr>
          <w:rFonts w:ascii="Arial" w:hAnsi="Arial" w:cs="Arial"/>
          <w:sz w:val="18"/>
          <w:szCs w:val="18"/>
          <w:lang w:val="en-US"/>
        </w:rPr>
        <w:t>PJSC “Lenenergo”</w:t>
      </w:r>
      <w:r w:rsidRPr="00BD295E">
        <w:rPr>
          <w:rFonts w:ascii="Arial" w:hAnsi="Arial" w:cs="Arial"/>
          <w:sz w:val="18"/>
          <w:szCs w:val="18"/>
          <w:lang w:val="en-US"/>
        </w:rPr>
        <w:t>, Cable Grid branch museum, Training Facility, etc.);</w:t>
      </w:r>
    </w:p>
    <w:p w14:paraId="01644340" w14:textId="77777777" w:rsidR="00ED79C9" w:rsidRPr="00BD295E" w:rsidRDefault="008A5057" w:rsidP="00F7146A">
      <w:pPr>
        <w:pStyle w:val="af3"/>
        <w:numPr>
          <w:ilvl w:val="0"/>
          <w:numId w:val="117"/>
        </w:numPr>
        <w:tabs>
          <w:tab w:val="left" w:pos="0"/>
          <w:tab w:val="left" w:pos="567"/>
          <w:tab w:val="left" w:pos="1134"/>
        </w:tabs>
        <w:ind w:left="0" w:firstLine="0"/>
        <w:jc w:val="both"/>
        <w:rPr>
          <w:rFonts w:ascii="Arial" w:eastAsia="Calibri" w:hAnsi="Arial" w:cs="Arial"/>
          <w:sz w:val="18"/>
          <w:szCs w:val="18"/>
          <w:lang w:val="en-US"/>
        </w:rPr>
      </w:pPr>
      <w:r w:rsidRPr="00BD295E">
        <w:rPr>
          <w:rFonts w:ascii="Arial" w:hAnsi="Arial" w:cs="Arial"/>
          <w:sz w:val="18"/>
          <w:szCs w:val="18"/>
          <w:lang w:val="en-US"/>
        </w:rPr>
        <w:t xml:space="preserve">Five young professionals took part in the Festival of Internships </w:t>
      </w:r>
      <w:r w:rsidRPr="00BD295E">
        <w:rPr>
          <w:rFonts w:ascii="Arial" w:hAnsi="Arial" w:cs="Arial"/>
          <w:i/>
          <w:iCs/>
          <w:sz w:val="18"/>
          <w:szCs w:val="18"/>
          <w:lang w:val="en-US"/>
        </w:rPr>
        <w:t>Ticket to the Future</w:t>
      </w:r>
      <w:r w:rsidRPr="00BD295E">
        <w:rPr>
          <w:rFonts w:ascii="Arial" w:hAnsi="Arial" w:cs="Arial"/>
          <w:sz w:val="18"/>
          <w:szCs w:val="18"/>
          <w:lang w:val="en-US"/>
        </w:rPr>
        <w:t xml:space="preserve"> (mini-lectures, case studies with school students). </w:t>
      </w:r>
    </w:p>
    <w:p w14:paraId="7E74A0AC" w14:textId="77777777" w:rsidR="00ED79C9" w:rsidRPr="00BD295E" w:rsidRDefault="00ED79C9" w:rsidP="00F7146A">
      <w:pPr>
        <w:tabs>
          <w:tab w:val="left" w:pos="993"/>
          <w:tab w:val="left" w:pos="1134"/>
        </w:tabs>
        <w:jc w:val="both"/>
        <w:textAlignment w:val="baseline"/>
        <w:rPr>
          <w:rFonts w:ascii="Arial" w:eastAsia="Calibri" w:hAnsi="Arial" w:cs="Arial"/>
          <w:sz w:val="18"/>
          <w:szCs w:val="18"/>
          <w:lang w:val="en-US"/>
        </w:rPr>
      </w:pPr>
    </w:p>
    <w:p w14:paraId="5B44F00D" w14:textId="77777777" w:rsidR="00ED79C9" w:rsidRPr="00BD295E" w:rsidRDefault="008A5057" w:rsidP="00F7146A">
      <w:pPr>
        <w:jc w:val="both"/>
        <w:rPr>
          <w:rFonts w:ascii="Arial" w:hAnsi="Arial" w:cs="Arial"/>
          <w:b/>
          <w:snapToGrid w:val="0"/>
          <w:sz w:val="18"/>
          <w:szCs w:val="18"/>
          <w:lang w:val="en-US"/>
        </w:rPr>
      </w:pPr>
      <w:r w:rsidRPr="00BD295E">
        <w:rPr>
          <w:rFonts w:ascii="Arial" w:hAnsi="Arial" w:cs="Arial"/>
          <w:b/>
          <w:snapToGrid w:val="0"/>
          <w:sz w:val="18"/>
          <w:szCs w:val="18"/>
          <w:lang w:val="en-US"/>
        </w:rPr>
        <w:t>Work with college and university students</w:t>
      </w:r>
    </w:p>
    <w:p w14:paraId="7EBA1AFB" w14:textId="77777777" w:rsidR="00D66577" w:rsidRPr="00BD295E" w:rsidRDefault="00D66577" w:rsidP="00F7146A">
      <w:pPr>
        <w:tabs>
          <w:tab w:val="left" w:pos="993"/>
          <w:tab w:val="left" w:pos="1134"/>
        </w:tabs>
        <w:jc w:val="both"/>
        <w:textAlignment w:val="baseline"/>
        <w:rPr>
          <w:rFonts w:ascii="Arial" w:eastAsia="Calibri" w:hAnsi="Arial" w:cs="Arial"/>
          <w:sz w:val="18"/>
          <w:szCs w:val="18"/>
          <w:lang w:val="en-US"/>
        </w:rPr>
      </w:pPr>
    </w:p>
    <w:p w14:paraId="44A9FD7A" w14:textId="77777777" w:rsidR="00D66577" w:rsidRPr="00BD295E" w:rsidRDefault="008A5057" w:rsidP="00F7146A">
      <w:pPr>
        <w:tabs>
          <w:tab w:val="left" w:pos="993"/>
        </w:tabs>
        <w:jc w:val="both"/>
        <w:rPr>
          <w:rFonts w:ascii="Arial" w:eastAsia="Calibri" w:hAnsi="Arial" w:cs="Arial"/>
          <w:sz w:val="18"/>
          <w:szCs w:val="18"/>
          <w:lang w:val="en-US"/>
        </w:rPr>
      </w:pPr>
      <w:r w:rsidRPr="00BD295E">
        <w:rPr>
          <w:rFonts w:ascii="Arial" w:hAnsi="Arial" w:cs="Arial"/>
          <w:sz w:val="18"/>
          <w:szCs w:val="18"/>
          <w:lang w:val="en-US"/>
        </w:rPr>
        <w:t>In order to help graduates adapt more quickly to their work and professional environment, our Training Facility has developed and approved a training course for undergraduate students of Saint Petersburg Polytechnic University majoring in Electricity and Electrical Engineering. During the hands-on training, students gain professional experience by studying production processes, learning equipment and process monitoring and control, etc. Students also gain experience in solving specific production task under the guidance of a professional coach based on individual assignments. Before the hands-on training, the Company engages shop-floor professionals to encourage students to learn, including when working on term projects on a real case study related to their future professional activities.</w:t>
      </w:r>
    </w:p>
    <w:p w14:paraId="486E198C" w14:textId="77777777" w:rsidR="00D66577" w:rsidRPr="00BD295E" w:rsidRDefault="008A5057" w:rsidP="00F7146A">
      <w:pPr>
        <w:tabs>
          <w:tab w:val="left" w:pos="993"/>
        </w:tabs>
        <w:jc w:val="both"/>
        <w:rPr>
          <w:rFonts w:ascii="Arial" w:eastAsia="Calibri" w:hAnsi="Arial" w:cs="Arial"/>
          <w:sz w:val="18"/>
          <w:szCs w:val="18"/>
          <w:lang w:val="en-US"/>
        </w:rPr>
      </w:pPr>
      <w:r w:rsidRPr="00BD295E">
        <w:rPr>
          <w:rFonts w:ascii="Arial" w:hAnsi="Arial" w:cs="Arial"/>
          <w:sz w:val="18"/>
          <w:szCs w:val="18"/>
          <w:lang w:val="en-US"/>
        </w:rPr>
        <w:t>As part of work made in 2018, the following activities were implemented:</w:t>
      </w:r>
    </w:p>
    <w:p w14:paraId="42D6DCBC" w14:textId="77777777" w:rsidR="00D66577" w:rsidRPr="00BD295E" w:rsidRDefault="008A5057" w:rsidP="00F7146A">
      <w:pPr>
        <w:pStyle w:val="af3"/>
        <w:tabs>
          <w:tab w:val="left" w:pos="993"/>
        </w:tabs>
        <w:ind w:left="0"/>
        <w:jc w:val="both"/>
        <w:rPr>
          <w:rFonts w:ascii="Arial" w:eastAsia="Calibri" w:hAnsi="Arial" w:cs="Arial"/>
          <w:sz w:val="18"/>
          <w:szCs w:val="18"/>
          <w:lang w:val="en-US"/>
        </w:rPr>
      </w:pPr>
      <w:r w:rsidRPr="00BD295E">
        <w:rPr>
          <w:rFonts w:ascii="Arial" w:hAnsi="Arial" w:cs="Arial"/>
          <w:sz w:val="18"/>
          <w:szCs w:val="18"/>
          <w:lang w:val="en-US"/>
        </w:rPr>
        <w:t>1. 19 fourth-year students successfully defended their bachelor’s degree projects and entered the master’s program. As of September 2018, 18 third-year students and 16 fourth-year students are undergoing dual training.</w:t>
      </w:r>
    </w:p>
    <w:p w14:paraId="47DF0013" w14:textId="77777777" w:rsidR="00D66577" w:rsidRPr="00BD295E" w:rsidRDefault="008A5057" w:rsidP="00F7146A">
      <w:pPr>
        <w:pStyle w:val="af3"/>
        <w:ind w:left="0"/>
        <w:jc w:val="both"/>
        <w:rPr>
          <w:rFonts w:ascii="Arial" w:eastAsia="Calibri" w:hAnsi="Arial" w:cs="Arial"/>
          <w:sz w:val="18"/>
          <w:szCs w:val="18"/>
          <w:lang w:val="en-US"/>
        </w:rPr>
      </w:pPr>
      <w:r w:rsidRPr="00BD295E">
        <w:rPr>
          <w:rFonts w:ascii="Arial" w:hAnsi="Arial" w:cs="Arial"/>
          <w:sz w:val="18"/>
          <w:szCs w:val="18"/>
          <w:lang w:val="en-US"/>
        </w:rPr>
        <w:t xml:space="preserve">2. 223 students underwent internships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45 graduates were employed by branches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5112A255" w14:textId="77777777" w:rsidR="00D66577" w:rsidRPr="00BD295E" w:rsidRDefault="008A5057" w:rsidP="00F7146A">
      <w:pPr>
        <w:pStyle w:val="af3"/>
        <w:ind w:left="0"/>
        <w:jc w:val="both"/>
        <w:rPr>
          <w:rFonts w:ascii="Arial" w:eastAsia="Calibri" w:hAnsi="Arial" w:cs="Arial"/>
          <w:sz w:val="18"/>
          <w:szCs w:val="18"/>
          <w:lang w:val="en-US"/>
        </w:rPr>
      </w:pPr>
      <w:r w:rsidRPr="00BD295E">
        <w:rPr>
          <w:rFonts w:ascii="Arial" w:hAnsi="Arial" w:cs="Arial"/>
          <w:sz w:val="18"/>
          <w:szCs w:val="18"/>
          <w:lang w:val="en-US"/>
        </w:rPr>
        <w:t>3. 158 students from partner universities/colleges took part in the activities of student teams.</w:t>
      </w:r>
    </w:p>
    <w:p w14:paraId="52EA7104" w14:textId="77777777" w:rsidR="00D66577" w:rsidRPr="00BD295E" w:rsidRDefault="008A5057" w:rsidP="00F7146A">
      <w:pPr>
        <w:tabs>
          <w:tab w:val="left" w:pos="1134"/>
        </w:tabs>
        <w:contextualSpacing/>
        <w:jc w:val="both"/>
        <w:rPr>
          <w:rFonts w:ascii="Arial" w:hAnsi="Arial" w:cs="Arial"/>
          <w:sz w:val="18"/>
          <w:szCs w:val="18"/>
          <w:lang w:val="en-US"/>
        </w:rPr>
      </w:pPr>
      <w:r w:rsidRPr="00BD295E">
        <w:rPr>
          <w:rFonts w:ascii="Arial" w:hAnsi="Arial" w:cs="Arial"/>
          <w:sz w:val="18"/>
          <w:szCs w:val="18"/>
          <w:lang w:val="en-US"/>
        </w:rPr>
        <w:t xml:space="preserve">Professional skills contests were held for student teams at the Company’s Training Facility. Forty students from partner universities took part in the contests. </w:t>
      </w:r>
    </w:p>
    <w:p w14:paraId="06FE9401" w14:textId="77777777" w:rsidR="00D66577" w:rsidRPr="00BD295E" w:rsidRDefault="008A5057" w:rsidP="00F7146A">
      <w:pPr>
        <w:pStyle w:val="af3"/>
        <w:ind w:left="0"/>
        <w:jc w:val="both"/>
        <w:rPr>
          <w:rFonts w:ascii="Arial" w:eastAsia="Calibri" w:hAnsi="Arial" w:cs="Arial"/>
          <w:sz w:val="18"/>
          <w:szCs w:val="18"/>
          <w:lang w:val="en-US"/>
        </w:rPr>
      </w:pPr>
      <w:r w:rsidRPr="00BD295E">
        <w:rPr>
          <w:rFonts w:ascii="Arial" w:hAnsi="Arial" w:cs="Arial"/>
          <w:sz w:val="18"/>
          <w:szCs w:val="18"/>
          <w:lang w:val="en-US"/>
        </w:rPr>
        <w:t xml:space="preserve">4. Under a target admission agreement with Saint Petersburg Mining University, three children of 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filled state-financed openings as part of quota admissions. As at the end of 2018, 10 children of the Company’s employees studied under the target admission program majoring in Electricity and Electrical Engineering.</w:t>
      </w:r>
    </w:p>
    <w:p w14:paraId="6F808CE7" w14:textId="77777777" w:rsidR="00D66577" w:rsidRPr="00BD295E" w:rsidRDefault="008A5057" w:rsidP="00F7146A">
      <w:pPr>
        <w:pStyle w:val="af3"/>
        <w:ind w:left="0"/>
        <w:jc w:val="both"/>
        <w:rPr>
          <w:rFonts w:ascii="Arial" w:eastAsia="Calibri" w:hAnsi="Arial" w:cs="Arial"/>
          <w:sz w:val="18"/>
          <w:szCs w:val="18"/>
          <w:lang w:val="en-US"/>
        </w:rPr>
      </w:pPr>
      <w:r w:rsidRPr="00BD295E">
        <w:rPr>
          <w:rFonts w:ascii="Arial" w:hAnsi="Arial" w:cs="Arial"/>
          <w:sz w:val="18"/>
          <w:szCs w:val="18"/>
          <w:lang w:val="en-US"/>
        </w:rPr>
        <w:t xml:space="preserve">5. In November, an Open Day was organized for students of partner universities at the most advanced substations of </w:t>
      </w:r>
      <w:r w:rsidR="00EE5753" w:rsidRPr="00BD295E">
        <w:rPr>
          <w:rFonts w:ascii="Arial" w:hAnsi="Arial" w:cs="Arial"/>
          <w:sz w:val="18"/>
          <w:szCs w:val="18"/>
          <w:lang w:val="en-US"/>
        </w:rPr>
        <w:t>PJSC “Lenenergo”</w:t>
      </w:r>
      <w:r w:rsidRPr="00BD295E">
        <w:rPr>
          <w:rFonts w:ascii="Arial" w:hAnsi="Arial" w:cs="Arial"/>
          <w:sz w:val="18"/>
          <w:szCs w:val="18"/>
          <w:lang w:val="en-US"/>
        </w:rPr>
        <w:t>: Nevskaya Guba Substation No. 76 and Krestovskaya Substation No. 357.</w:t>
      </w:r>
    </w:p>
    <w:p w14:paraId="31AA7002" w14:textId="77777777" w:rsidR="00ED79C9" w:rsidRPr="00BD295E" w:rsidRDefault="00ED79C9" w:rsidP="00F7146A">
      <w:pPr>
        <w:jc w:val="both"/>
        <w:rPr>
          <w:rFonts w:ascii="Arial" w:hAnsi="Arial" w:cs="Arial"/>
          <w:sz w:val="18"/>
          <w:szCs w:val="18"/>
          <w:lang w:val="en-US"/>
        </w:rPr>
      </w:pPr>
    </w:p>
    <w:p w14:paraId="7297BA64" w14:textId="77777777" w:rsidR="00D66577" w:rsidRPr="00BD295E" w:rsidRDefault="008A5057" w:rsidP="00F7146A">
      <w:pPr>
        <w:jc w:val="both"/>
        <w:rPr>
          <w:rFonts w:ascii="Arial" w:hAnsi="Arial" w:cs="Arial"/>
          <w:b/>
          <w:snapToGrid w:val="0"/>
          <w:sz w:val="18"/>
          <w:szCs w:val="18"/>
          <w:lang w:val="en-US"/>
        </w:rPr>
      </w:pPr>
      <w:r w:rsidRPr="00BD295E">
        <w:rPr>
          <w:rFonts w:ascii="Arial" w:hAnsi="Arial" w:cs="Arial"/>
          <w:b/>
          <w:snapToGrid w:val="0"/>
          <w:sz w:val="18"/>
          <w:szCs w:val="18"/>
          <w:lang w:val="en-US"/>
        </w:rPr>
        <w:t>Work with young professionals</w:t>
      </w:r>
    </w:p>
    <w:p w14:paraId="41D67AF9" w14:textId="77777777" w:rsidR="00D66577"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The following measures were taken to implement the Company’s youth policy:</w:t>
      </w:r>
    </w:p>
    <w:p w14:paraId="5C388AFB" w14:textId="2A8AC051" w:rsidR="00D66577" w:rsidRPr="00BD295E" w:rsidRDefault="008A5057" w:rsidP="00F7146A">
      <w:pPr>
        <w:pStyle w:val="af3"/>
        <w:numPr>
          <w:ilvl w:val="0"/>
          <w:numId w:val="119"/>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Young professionals of the Company took part in the qualification round for the International Youth Energy Forum of </w:t>
      </w:r>
      <w:r w:rsidR="00BF106F" w:rsidRPr="00BD295E">
        <w:rPr>
          <w:rFonts w:ascii="Arial" w:hAnsi="Arial" w:cs="Arial"/>
          <w:sz w:val="18"/>
          <w:szCs w:val="18"/>
          <w:lang w:val="en-US"/>
        </w:rPr>
        <w:t>PJSC “Rosseti”</w:t>
      </w:r>
      <w:r w:rsidR="00BD65EC" w:rsidRPr="00BD295E">
        <w:rPr>
          <w:rFonts w:ascii="Arial" w:hAnsi="Arial" w:cs="Arial"/>
          <w:sz w:val="18"/>
          <w:szCs w:val="18"/>
          <w:lang w:val="en-US"/>
        </w:rPr>
        <w:t>.</w:t>
      </w:r>
      <w:r w:rsidRPr="00BD295E">
        <w:rPr>
          <w:rFonts w:ascii="Arial" w:hAnsi="Arial" w:cs="Arial"/>
          <w:sz w:val="18"/>
          <w:szCs w:val="18"/>
          <w:lang w:val="en-US"/>
        </w:rPr>
        <w:t xml:space="preserve"> The winner took part in the forum as a member of the team of </w:t>
      </w:r>
      <w:r w:rsidR="00BF106F" w:rsidRPr="00BD295E">
        <w:rPr>
          <w:rFonts w:ascii="Arial" w:hAnsi="Arial" w:cs="Arial"/>
          <w:sz w:val="18"/>
          <w:szCs w:val="18"/>
          <w:lang w:val="en-US"/>
        </w:rPr>
        <w:t>PJSC “Rosseti”</w:t>
      </w:r>
      <w:r w:rsidRPr="00BD295E">
        <w:rPr>
          <w:rFonts w:ascii="Arial" w:hAnsi="Arial" w:cs="Arial"/>
          <w:sz w:val="18"/>
          <w:szCs w:val="18"/>
          <w:lang w:val="en-US"/>
        </w:rPr>
        <w:t>. The Company’s young talents also volunteered to help the forum’s participating teams.</w:t>
      </w:r>
    </w:p>
    <w:p w14:paraId="0038A7F0" w14:textId="77777777" w:rsidR="00D66577" w:rsidRPr="00BD295E" w:rsidRDefault="008A5057" w:rsidP="00F7146A">
      <w:pPr>
        <w:pStyle w:val="af3"/>
        <w:numPr>
          <w:ilvl w:val="0"/>
          <w:numId w:val="119"/>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A team of young specialists of the Company took part in a project to develop the Forecast of Technological Development of the Russian Energy Sector in the Context of Global Trends. The project’s topic is </w:t>
      </w:r>
      <w:r w:rsidRPr="00BD295E">
        <w:rPr>
          <w:rFonts w:ascii="Arial" w:hAnsi="Arial" w:cs="Arial"/>
          <w:i/>
          <w:iCs/>
          <w:sz w:val="18"/>
          <w:szCs w:val="18"/>
          <w:lang w:val="en-US"/>
        </w:rPr>
        <w:t xml:space="preserve">Smart Electricity, Heat, and Gas Supply Systems, Integration of Various Types of Energy Resources and Distributed Energy </w:t>
      </w:r>
      <w:r w:rsidR="00DE61D5" w:rsidRPr="00BD295E">
        <w:rPr>
          <w:rFonts w:ascii="Arial" w:hAnsi="Arial" w:cs="Arial"/>
          <w:i/>
          <w:iCs/>
          <w:sz w:val="18"/>
          <w:szCs w:val="18"/>
          <w:lang w:val="en-US"/>
        </w:rPr>
        <w:t>Power generation facilities</w:t>
      </w:r>
      <w:r w:rsidRPr="00BD295E">
        <w:rPr>
          <w:rFonts w:ascii="Arial" w:hAnsi="Arial" w:cs="Arial"/>
          <w:sz w:val="18"/>
          <w:szCs w:val="18"/>
          <w:lang w:val="en-US"/>
        </w:rPr>
        <w:t>;</w:t>
      </w:r>
    </w:p>
    <w:p w14:paraId="188F531E" w14:textId="77777777" w:rsidR="00D66577" w:rsidRPr="00BD295E" w:rsidRDefault="008A5057" w:rsidP="00F7146A">
      <w:pPr>
        <w:pStyle w:val="af3"/>
        <w:numPr>
          <w:ilvl w:val="0"/>
          <w:numId w:val="119"/>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As part of the Russian Energy Week International Forum, young talents of the Company presented their project, </w:t>
      </w:r>
      <w:r w:rsidRPr="00BD295E">
        <w:rPr>
          <w:rFonts w:ascii="Arial" w:hAnsi="Arial" w:cs="Arial"/>
          <w:i/>
          <w:iCs/>
          <w:sz w:val="18"/>
          <w:szCs w:val="18"/>
          <w:lang w:val="en-US"/>
        </w:rPr>
        <w:t>Breakthrough in Equipment Diagnostics Using DC Neural Networks</w:t>
      </w:r>
      <w:r w:rsidRPr="00BD295E">
        <w:rPr>
          <w:rFonts w:ascii="Arial" w:hAnsi="Arial" w:cs="Arial"/>
          <w:sz w:val="18"/>
          <w:szCs w:val="18"/>
          <w:lang w:val="en-US"/>
        </w:rPr>
        <w:t xml:space="preserve"> and won the second prize in the </w:t>
      </w:r>
      <w:r w:rsidRPr="00BD295E">
        <w:rPr>
          <w:rFonts w:ascii="Arial" w:hAnsi="Arial" w:cs="Arial"/>
          <w:i/>
          <w:iCs/>
          <w:sz w:val="18"/>
          <w:szCs w:val="18"/>
          <w:lang w:val="en-US"/>
        </w:rPr>
        <w:t>Technology Projects</w:t>
      </w:r>
      <w:r w:rsidRPr="00BD295E">
        <w:rPr>
          <w:rFonts w:ascii="Arial" w:hAnsi="Arial" w:cs="Arial"/>
          <w:sz w:val="18"/>
          <w:szCs w:val="18"/>
          <w:lang w:val="en-US"/>
        </w:rPr>
        <w:t xml:space="preserve"> category.</w:t>
      </w:r>
    </w:p>
    <w:p w14:paraId="4D7470D4" w14:textId="77777777" w:rsidR="00D66577" w:rsidRPr="00BD295E" w:rsidRDefault="008A5057" w:rsidP="00F7146A">
      <w:pPr>
        <w:pStyle w:val="af3"/>
        <w:numPr>
          <w:ilvl w:val="0"/>
          <w:numId w:val="118"/>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The 10th Lenenergo START conference of the Youth Innovation Center was held as part of the Russian International Energy Forum (RIEF). </w:t>
      </w:r>
    </w:p>
    <w:p w14:paraId="07194F70" w14:textId="77777777" w:rsidR="00D66577" w:rsidRPr="00BD295E" w:rsidRDefault="008A5057" w:rsidP="00F7146A">
      <w:pPr>
        <w:tabs>
          <w:tab w:val="left" w:pos="1134"/>
        </w:tabs>
        <w:jc w:val="both"/>
        <w:rPr>
          <w:rFonts w:ascii="Arial" w:hAnsi="Arial" w:cs="Arial"/>
          <w:sz w:val="18"/>
          <w:szCs w:val="18"/>
          <w:lang w:val="en-US"/>
        </w:rPr>
      </w:pPr>
      <w:r w:rsidRPr="00BD295E">
        <w:rPr>
          <w:rFonts w:ascii="Arial" w:hAnsi="Arial" w:cs="Arial"/>
          <w:sz w:val="18"/>
          <w:szCs w:val="18"/>
          <w:lang w:val="en-US"/>
        </w:rPr>
        <w:t>The conference was attended by young specialists of Lenenergo, students of leading specialized universities of Saint Petersburg, and employees of utilities companies.</w:t>
      </w:r>
    </w:p>
    <w:p w14:paraId="7109403F" w14:textId="77777777" w:rsidR="00D66577" w:rsidRPr="00BD295E" w:rsidRDefault="008A5057" w:rsidP="00F7146A">
      <w:pPr>
        <w:pStyle w:val="af3"/>
        <w:numPr>
          <w:ilvl w:val="0"/>
          <w:numId w:val="118"/>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Young specialists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took part in the School of Technology Leadership engineering and educational initiative.</w:t>
      </w:r>
    </w:p>
    <w:p w14:paraId="0AF29272" w14:textId="77777777" w:rsidR="00D66577" w:rsidRPr="00BD295E" w:rsidRDefault="008A5057" w:rsidP="00F7146A">
      <w:pPr>
        <w:pStyle w:val="af3"/>
        <w:numPr>
          <w:ilvl w:val="0"/>
          <w:numId w:val="118"/>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Young specialists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took part in the Forsage 2018 All-Russian Forum as part of the corporate team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p>
    <w:p w14:paraId="16E8E613" w14:textId="77777777" w:rsidR="00D66577" w:rsidRPr="00BD295E" w:rsidRDefault="008A5057" w:rsidP="00F7146A">
      <w:pPr>
        <w:pStyle w:val="af3"/>
        <w:numPr>
          <w:ilvl w:val="0"/>
          <w:numId w:val="118"/>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The 11th </w:t>
      </w:r>
      <w:r w:rsidRPr="00BD295E">
        <w:rPr>
          <w:rFonts w:ascii="Arial" w:hAnsi="Arial" w:cs="Arial"/>
          <w:i/>
          <w:iCs/>
          <w:sz w:val="18"/>
          <w:szCs w:val="18"/>
          <w:lang w:val="en-US"/>
        </w:rPr>
        <w:t>Innovative Technologies in the Electricity Industry</w:t>
      </w:r>
      <w:r w:rsidRPr="00BD295E">
        <w:rPr>
          <w:rFonts w:ascii="Arial" w:hAnsi="Arial" w:cs="Arial"/>
          <w:sz w:val="18"/>
          <w:szCs w:val="18"/>
          <w:lang w:val="en-US"/>
        </w:rPr>
        <w:t xml:space="preserve"> conference of the Youth Innovation Center was held. As part of the thematic week of the Energy and Engineering Support Committee of Saint Petersburg on the </w:t>
      </w:r>
      <w:r w:rsidRPr="00BD295E">
        <w:rPr>
          <w:rFonts w:ascii="Arial" w:hAnsi="Arial" w:cs="Arial"/>
          <w:i/>
          <w:iCs/>
          <w:sz w:val="18"/>
          <w:szCs w:val="18"/>
          <w:lang w:val="en-US"/>
        </w:rPr>
        <w:t>Strategy for the Development of the Power Engineering Sector of Saint Petersburg</w:t>
      </w:r>
      <w:r w:rsidRPr="00BD295E">
        <w:rPr>
          <w:rFonts w:ascii="Arial" w:hAnsi="Arial" w:cs="Arial"/>
          <w:sz w:val="18"/>
          <w:szCs w:val="18"/>
          <w:lang w:val="en-US"/>
        </w:rPr>
        <w:t xml:space="preserve">. </w:t>
      </w:r>
      <w:r w:rsidRPr="00BD295E">
        <w:rPr>
          <w:rFonts w:ascii="Arial" w:hAnsi="Arial" w:cs="Arial"/>
          <w:i/>
          <w:iCs/>
          <w:sz w:val="18"/>
          <w:szCs w:val="18"/>
          <w:lang w:val="en-US"/>
        </w:rPr>
        <w:t>Transformation.</w:t>
      </w:r>
      <w:r w:rsidRPr="00BD295E">
        <w:rPr>
          <w:rFonts w:ascii="Arial" w:hAnsi="Arial" w:cs="Arial"/>
          <w:sz w:val="18"/>
          <w:szCs w:val="18"/>
          <w:lang w:val="en-US"/>
        </w:rPr>
        <w:t xml:space="preserve"> </w:t>
      </w:r>
      <w:r w:rsidRPr="00BD295E">
        <w:rPr>
          <w:rFonts w:ascii="Arial" w:hAnsi="Arial" w:cs="Arial"/>
          <w:i/>
          <w:iCs/>
          <w:sz w:val="18"/>
          <w:szCs w:val="18"/>
          <w:lang w:val="en-US"/>
        </w:rPr>
        <w:t>Technologies.</w:t>
      </w:r>
      <w:r w:rsidRPr="00BD295E">
        <w:rPr>
          <w:rFonts w:ascii="Arial" w:hAnsi="Arial" w:cs="Arial"/>
          <w:sz w:val="18"/>
          <w:szCs w:val="18"/>
          <w:lang w:val="en-US"/>
        </w:rPr>
        <w:t xml:space="preserve">   </w:t>
      </w:r>
    </w:p>
    <w:p w14:paraId="7FCF2564" w14:textId="77777777" w:rsidR="00D66577" w:rsidRPr="00BD295E" w:rsidRDefault="008A5057" w:rsidP="00F7146A">
      <w:pPr>
        <w:pStyle w:val="af3"/>
        <w:tabs>
          <w:tab w:val="left" w:pos="1134"/>
        </w:tabs>
        <w:ind w:left="0"/>
        <w:jc w:val="both"/>
        <w:rPr>
          <w:rFonts w:ascii="Arial" w:hAnsi="Arial" w:cs="Arial"/>
          <w:sz w:val="18"/>
          <w:szCs w:val="18"/>
          <w:lang w:val="en-US"/>
        </w:rPr>
      </w:pPr>
      <w:r w:rsidRPr="00BD295E">
        <w:rPr>
          <w:rFonts w:ascii="Arial" w:hAnsi="Arial" w:cs="Arial"/>
          <w:sz w:val="18"/>
          <w:szCs w:val="18"/>
          <w:lang w:val="en-US"/>
        </w:rPr>
        <w:t xml:space="preserve">The target audience of the conference included specialists from the Company’s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manufacturers of electrical equipment and software, and undergraduate and graduate students.</w:t>
      </w:r>
    </w:p>
    <w:p w14:paraId="48DA59E6" w14:textId="77777777" w:rsidR="00D66577" w:rsidRPr="00BD295E" w:rsidRDefault="008A5057" w:rsidP="00F7146A">
      <w:pPr>
        <w:pStyle w:val="af3"/>
        <w:numPr>
          <w:ilvl w:val="0"/>
          <w:numId w:val="118"/>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Pursuant to Executive Order No. 236-rp of the Russian President, </w:t>
      </w:r>
      <w:r w:rsidRPr="00BD295E">
        <w:rPr>
          <w:rFonts w:ascii="Arial" w:hAnsi="Arial" w:cs="Arial"/>
          <w:i/>
          <w:iCs/>
          <w:sz w:val="18"/>
          <w:szCs w:val="18"/>
          <w:lang w:val="en-US"/>
        </w:rPr>
        <w:t>On the Year of Russia in Japan and the Year of Japan in Russia</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July 5, 2017, Exchange Events were held in Japan for young specialists of the parties in October. The Chief Specialist of the Technical Upgrading Service of the Production and Technical Department was selected to the delegation and took part in its activities.</w:t>
      </w:r>
    </w:p>
    <w:p w14:paraId="7BB7AE08" w14:textId="77777777" w:rsidR="00D66577" w:rsidRPr="00BD295E" w:rsidRDefault="008A5057" w:rsidP="00F7146A">
      <w:pPr>
        <w:pStyle w:val="af3"/>
        <w:numPr>
          <w:ilvl w:val="0"/>
          <w:numId w:val="118"/>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 xml:space="preserve">In November, young professionals of the Company took part in the Saint Petersburg Working Youth Forum. Competition for the best youth relations organization at Saint Petersburg companies in the </w:t>
      </w:r>
      <w:r w:rsidRPr="00BD295E">
        <w:rPr>
          <w:rFonts w:ascii="Arial" w:hAnsi="Arial" w:cs="Arial"/>
          <w:i/>
          <w:iCs/>
          <w:sz w:val="18"/>
          <w:szCs w:val="18"/>
          <w:lang w:val="en-US"/>
        </w:rPr>
        <w:t>Development of R&amp;D Potential of Working Youth</w:t>
      </w:r>
      <w:r w:rsidRPr="00BD295E">
        <w:rPr>
          <w:rFonts w:ascii="Arial" w:hAnsi="Arial" w:cs="Arial"/>
          <w:sz w:val="18"/>
          <w:szCs w:val="18"/>
          <w:lang w:val="en-US"/>
        </w:rPr>
        <w:t xml:space="preserve"> category, winning a 3rd Grade Diploma for operating the Youth Innovation Center; </w:t>
      </w:r>
    </w:p>
    <w:p w14:paraId="509C752C" w14:textId="77777777" w:rsidR="00D66577" w:rsidRPr="00BD295E" w:rsidRDefault="008A5057" w:rsidP="00F7146A">
      <w:pPr>
        <w:pStyle w:val="af3"/>
        <w:numPr>
          <w:ilvl w:val="0"/>
          <w:numId w:val="118"/>
        </w:numPr>
        <w:tabs>
          <w:tab w:val="left" w:pos="1134"/>
        </w:tabs>
        <w:ind w:left="0" w:firstLine="0"/>
        <w:jc w:val="both"/>
        <w:rPr>
          <w:rFonts w:ascii="Arial" w:hAnsi="Arial" w:cs="Arial"/>
          <w:sz w:val="18"/>
          <w:szCs w:val="18"/>
          <w:lang w:val="en-US"/>
        </w:rPr>
      </w:pPr>
      <w:r w:rsidRPr="00BD295E">
        <w:rPr>
          <w:rFonts w:ascii="Arial" w:hAnsi="Arial" w:cs="Arial"/>
          <w:sz w:val="18"/>
          <w:szCs w:val="18"/>
          <w:lang w:val="en-US"/>
        </w:rPr>
        <w:t>The Company’s young specialists regularly participate in events held by the Council of Working Youth of Saint Petersburg and the Youth Policy Committee of Saint Petersburg (forums, conferences, sports events, round tables, etc.).</w:t>
      </w:r>
    </w:p>
    <w:p w14:paraId="1D47F406" w14:textId="77777777" w:rsidR="00D66577" w:rsidRPr="00BD295E" w:rsidRDefault="00D66577" w:rsidP="00F7146A">
      <w:pPr>
        <w:jc w:val="both"/>
        <w:rPr>
          <w:rFonts w:ascii="Arial" w:hAnsi="Arial" w:cs="Arial"/>
          <w:sz w:val="18"/>
          <w:szCs w:val="18"/>
          <w:lang w:val="en-US"/>
        </w:rPr>
      </w:pPr>
    </w:p>
    <w:p w14:paraId="6C695841" w14:textId="77777777" w:rsidR="00D66577" w:rsidRPr="00BD295E" w:rsidRDefault="008A5057" w:rsidP="00F7146A">
      <w:pPr>
        <w:jc w:val="both"/>
        <w:rPr>
          <w:rFonts w:ascii="Arial" w:hAnsi="Arial" w:cs="Arial"/>
          <w:b/>
          <w:sz w:val="18"/>
          <w:szCs w:val="18"/>
          <w:lang w:val="en-US"/>
        </w:rPr>
      </w:pPr>
      <w:r w:rsidRPr="00BD295E">
        <w:rPr>
          <w:rFonts w:ascii="Arial" w:hAnsi="Arial" w:cs="Arial"/>
          <w:b/>
          <w:sz w:val="18"/>
          <w:szCs w:val="18"/>
          <w:lang w:val="en-US"/>
        </w:rPr>
        <w:t>Social responsibility</w:t>
      </w:r>
    </w:p>
    <w:p w14:paraId="206B99CB" w14:textId="77777777" w:rsidR="00D66577"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The Company is a responsible employer and pays particular attention to the social support for its employees, their family members, and non-working retirees. </w:t>
      </w:r>
    </w:p>
    <w:p w14:paraId="5AF7D50A" w14:textId="77777777" w:rsidR="00D66577" w:rsidRPr="00BD295E" w:rsidRDefault="008A5057" w:rsidP="00F7146A">
      <w:pPr>
        <w:jc w:val="both"/>
        <w:rPr>
          <w:rFonts w:ascii="Arial" w:hAnsi="Arial" w:cs="Arial"/>
          <w:sz w:val="18"/>
          <w:szCs w:val="18"/>
          <w:lang w:val="en-US"/>
        </w:rPr>
      </w:pPr>
      <w:r w:rsidRPr="00BD295E">
        <w:rPr>
          <w:rFonts w:ascii="Arial" w:hAnsi="Arial" w:cs="Arial"/>
          <w:sz w:val="18"/>
          <w:szCs w:val="18"/>
          <w:lang w:val="en-US"/>
        </w:rPr>
        <w:t xml:space="preserve">A key social policy priority for management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includes creating a beneficial environment to increase performance of employees, ensure their professional growth, and provide opportunities to earn decent pay.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8"/>
        <w:gridCol w:w="3060"/>
        <w:gridCol w:w="3057"/>
      </w:tblGrid>
      <w:tr w:rsidR="008A5057" w:rsidRPr="00BD295E" w14:paraId="60E4BBB9" w14:textId="77777777" w:rsidTr="0027083B">
        <w:tc>
          <w:tcPr>
            <w:tcW w:w="3306" w:type="dxa"/>
            <w:vAlign w:val="center"/>
          </w:tcPr>
          <w:p w14:paraId="70B4C7BB" w14:textId="77777777" w:rsidR="00D66577" w:rsidRPr="00BD295E" w:rsidRDefault="008A5057" w:rsidP="0027083B">
            <w:pPr>
              <w:jc w:val="both"/>
              <w:rPr>
                <w:rFonts w:ascii="Arial" w:hAnsi="Arial" w:cs="Arial"/>
                <w:b/>
                <w:sz w:val="18"/>
                <w:szCs w:val="18"/>
                <w:lang w:val="en-US"/>
              </w:rPr>
            </w:pPr>
            <w:r w:rsidRPr="00BD295E">
              <w:rPr>
                <w:rFonts w:ascii="Arial" w:hAnsi="Arial" w:cs="Arial"/>
                <w:b/>
                <w:sz w:val="18"/>
                <w:szCs w:val="18"/>
                <w:lang w:val="en-US"/>
              </w:rPr>
              <w:t>Goals of the social policy</w:t>
            </w:r>
          </w:p>
        </w:tc>
        <w:tc>
          <w:tcPr>
            <w:tcW w:w="3139" w:type="dxa"/>
            <w:vAlign w:val="center"/>
          </w:tcPr>
          <w:p w14:paraId="625F4EBD" w14:textId="77777777" w:rsidR="00D66577" w:rsidRPr="00BD295E" w:rsidRDefault="008A5057" w:rsidP="0027083B">
            <w:pPr>
              <w:ind w:hanging="45"/>
              <w:jc w:val="both"/>
              <w:rPr>
                <w:rFonts w:ascii="Arial" w:hAnsi="Arial" w:cs="Arial"/>
                <w:b/>
                <w:sz w:val="18"/>
                <w:szCs w:val="18"/>
                <w:lang w:val="en-US"/>
              </w:rPr>
            </w:pPr>
            <w:r w:rsidRPr="00BD295E">
              <w:rPr>
                <w:rFonts w:ascii="Arial" w:hAnsi="Arial" w:cs="Arial"/>
                <w:b/>
                <w:sz w:val="18"/>
                <w:szCs w:val="18"/>
                <w:lang w:val="en-US"/>
              </w:rPr>
              <w:t>Key principles and objectives of the social policy</w:t>
            </w:r>
          </w:p>
        </w:tc>
        <w:tc>
          <w:tcPr>
            <w:tcW w:w="3126" w:type="dxa"/>
            <w:vAlign w:val="center"/>
          </w:tcPr>
          <w:p w14:paraId="7D5C8199" w14:textId="77777777" w:rsidR="00D66577" w:rsidRPr="00BD295E" w:rsidRDefault="008A5057" w:rsidP="0027083B">
            <w:pPr>
              <w:jc w:val="both"/>
              <w:rPr>
                <w:rFonts w:ascii="Arial" w:hAnsi="Arial" w:cs="Arial"/>
                <w:b/>
                <w:sz w:val="18"/>
                <w:szCs w:val="18"/>
                <w:lang w:val="en-US"/>
              </w:rPr>
            </w:pPr>
            <w:r w:rsidRPr="00BD295E">
              <w:rPr>
                <w:rFonts w:ascii="Arial" w:hAnsi="Arial" w:cs="Arial"/>
                <w:b/>
                <w:sz w:val="18"/>
                <w:szCs w:val="18"/>
                <w:lang w:val="en-US"/>
              </w:rPr>
              <w:t>Focus areas of the social policy</w:t>
            </w:r>
          </w:p>
        </w:tc>
      </w:tr>
      <w:tr w:rsidR="008A5057" w:rsidRPr="00BD295E" w14:paraId="28AF5381" w14:textId="77777777" w:rsidTr="0027083B">
        <w:trPr>
          <w:trHeight w:val="441"/>
        </w:trPr>
        <w:tc>
          <w:tcPr>
            <w:tcW w:w="3306" w:type="dxa"/>
            <w:vAlign w:val="center"/>
          </w:tcPr>
          <w:p w14:paraId="42028CD6" w14:textId="77777777" w:rsidR="00D66577" w:rsidRPr="00BD295E" w:rsidRDefault="008A5057" w:rsidP="00CA2271">
            <w:pPr>
              <w:widowControl w:val="0"/>
              <w:numPr>
                <w:ilvl w:val="0"/>
                <w:numId w:val="35"/>
              </w:numPr>
              <w:shd w:val="clear" w:color="auto" w:fill="FFFFFF"/>
              <w:tabs>
                <w:tab w:val="left" w:pos="184"/>
                <w:tab w:val="left" w:pos="284"/>
                <w:tab w:val="left" w:pos="352"/>
              </w:tabs>
              <w:spacing w:after="120"/>
              <w:ind w:left="0" w:firstLine="0"/>
              <w:contextualSpacing/>
              <w:jc w:val="both"/>
              <w:rPr>
                <w:rFonts w:ascii="Arial" w:hAnsi="Arial" w:cs="Arial"/>
                <w:sz w:val="18"/>
                <w:szCs w:val="18"/>
                <w:lang w:val="en-US"/>
              </w:rPr>
            </w:pPr>
            <w:r w:rsidRPr="00BD295E">
              <w:rPr>
                <w:rFonts w:ascii="Arial" w:hAnsi="Arial" w:cs="Arial"/>
                <w:sz w:val="18"/>
                <w:szCs w:val="18"/>
                <w:lang w:val="en-US"/>
              </w:rPr>
              <w:t>social protection of employees</w:t>
            </w:r>
          </w:p>
        </w:tc>
        <w:tc>
          <w:tcPr>
            <w:tcW w:w="3139" w:type="dxa"/>
            <w:vAlign w:val="center"/>
          </w:tcPr>
          <w:p w14:paraId="76E1C568" w14:textId="77777777" w:rsidR="00D66577" w:rsidRPr="00BD295E" w:rsidRDefault="008A5057" w:rsidP="00CA2271">
            <w:pPr>
              <w:numPr>
                <w:ilvl w:val="0"/>
                <w:numId w:val="34"/>
              </w:numPr>
              <w:tabs>
                <w:tab w:val="left" w:pos="143"/>
                <w:tab w:val="left" w:pos="284"/>
                <w:tab w:val="left" w:pos="378"/>
              </w:tabs>
              <w:ind w:left="0" w:hanging="45"/>
              <w:jc w:val="both"/>
              <w:rPr>
                <w:rFonts w:ascii="Arial" w:hAnsi="Arial" w:cs="Arial"/>
                <w:sz w:val="18"/>
                <w:szCs w:val="18"/>
                <w:lang w:val="en-US"/>
              </w:rPr>
            </w:pPr>
            <w:r w:rsidRPr="00BD295E">
              <w:rPr>
                <w:rFonts w:ascii="Arial" w:hAnsi="Arial" w:cs="Arial"/>
                <w:sz w:val="18"/>
                <w:szCs w:val="18"/>
                <w:lang w:val="en-US"/>
              </w:rPr>
              <w:t xml:space="preserve">protecting employees via a system of benefits and guarantees provided by the government and by </w:t>
            </w:r>
            <w:r w:rsidR="00EE5753" w:rsidRPr="00BD295E">
              <w:rPr>
                <w:rFonts w:ascii="Arial" w:hAnsi="Arial" w:cs="Arial"/>
                <w:sz w:val="18"/>
                <w:szCs w:val="18"/>
                <w:lang w:val="en-US"/>
              </w:rPr>
              <w:t>PJSC “Lenenergo”</w:t>
            </w:r>
          </w:p>
        </w:tc>
        <w:tc>
          <w:tcPr>
            <w:tcW w:w="3126" w:type="dxa"/>
          </w:tcPr>
          <w:p w14:paraId="4E5F148D" w14:textId="77777777" w:rsidR="00D66577" w:rsidRPr="00BD295E" w:rsidRDefault="008A5057" w:rsidP="00CA2271">
            <w:pPr>
              <w:numPr>
                <w:ilvl w:val="0"/>
                <w:numId w:val="36"/>
              </w:numPr>
              <w:tabs>
                <w:tab w:val="left" w:pos="219"/>
              </w:tabs>
              <w:ind w:left="0" w:firstLine="0"/>
              <w:contextualSpacing/>
              <w:jc w:val="both"/>
              <w:rPr>
                <w:rFonts w:ascii="Arial" w:hAnsi="Arial" w:cs="Arial"/>
                <w:sz w:val="18"/>
                <w:szCs w:val="18"/>
                <w:lang w:val="en-US"/>
              </w:rPr>
            </w:pPr>
            <w:r w:rsidRPr="00BD295E">
              <w:rPr>
                <w:rFonts w:ascii="Arial" w:hAnsi="Arial" w:cs="Arial"/>
                <w:sz w:val="18"/>
                <w:szCs w:val="18"/>
                <w:lang w:val="en-US"/>
              </w:rPr>
              <w:t>providing social benefits and compensations</w:t>
            </w:r>
          </w:p>
          <w:p w14:paraId="30A4431C" w14:textId="77777777" w:rsidR="00D66577" w:rsidRPr="00BD295E" w:rsidRDefault="00D66577" w:rsidP="0027083B">
            <w:pPr>
              <w:tabs>
                <w:tab w:val="left" w:pos="219"/>
              </w:tabs>
              <w:jc w:val="both"/>
              <w:rPr>
                <w:rFonts w:ascii="Arial" w:hAnsi="Arial" w:cs="Arial"/>
                <w:sz w:val="18"/>
                <w:szCs w:val="18"/>
                <w:lang w:val="en-US"/>
              </w:rPr>
            </w:pPr>
          </w:p>
        </w:tc>
      </w:tr>
      <w:tr w:rsidR="008A5057" w:rsidRPr="00BD295E" w14:paraId="58CAB926" w14:textId="77777777" w:rsidTr="0027083B">
        <w:tc>
          <w:tcPr>
            <w:tcW w:w="3306" w:type="dxa"/>
            <w:vAlign w:val="center"/>
          </w:tcPr>
          <w:p w14:paraId="69233688" w14:textId="77777777" w:rsidR="00D66577" w:rsidRPr="00BD295E" w:rsidRDefault="008A5057" w:rsidP="00CA2271">
            <w:pPr>
              <w:widowControl w:val="0"/>
              <w:numPr>
                <w:ilvl w:val="0"/>
                <w:numId w:val="35"/>
              </w:numPr>
              <w:shd w:val="clear" w:color="auto" w:fill="FFFFFF"/>
              <w:tabs>
                <w:tab w:val="left" w:pos="184"/>
                <w:tab w:val="left" w:pos="284"/>
                <w:tab w:val="left" w:pos="352"/>
              </w:tabs>
              <w:spacing w:after="120"/>
              <w:ind w:left="0" w:firstLine="0"/>
              <w:contextualSpacing/>
              <w:jc w:val="both"/>
              <w:rPr>
                <w:rFonts w:ascii="Arial" w:hAnsi="Arial" w:cs="Arial"/>
                <w:sz w:val="18"/>
                <w:szCs w:val="18"/>
                <w:lang w:val="en-US"/>
              </w:rPr>
            </w:pPr>
            <w:r w:rsidRPr="00BD295E">
              <w:rPr>
                <w:rFonts w:ascii="Arial" w:hAnsi="Arial" w:cs="Arial"/>
                <w:sz w:val="18"/>
                <w:szCs w:val="18"/>
                <w:lang w:val="en-US"/>
              </w:rPr>
              <w:t>increasing operational performance</w:t>
            </w:r>
          </w:p>
        </w:tc>
        <w:tc>
          <w:tcPr>
            <w:tcW w:w="3139" w:type="dxa"/>
            <w:vAlign w:val="center"/>
          </w:tcPr>
          <w:p w14:paraId="06EFE1DE" w14:textId="77777777" w:rsidR="00D66577" w:rsidRPr="00BD295E" w:rsidRDefault="008A5057" w:rsidP="00CA2271">
            <w:pPr>
              <w:numPr>
                <w:ilvl w:val="0"/>
                <w:numId w:val="34"/>
              </w:numPr>
              <w:tabs>
                <w:tab w:val="left" w:pos="143"/>
                <w:tab w:val="left" w:pos="284"/>
                <w:tab w:val="left" w:pos="378"/>
              </w:tabs>
              <w:ind w:left="0" w:hanging="45"/>
              <w:contextualSpacing/>
              <w:jc w:val="both"/>
              <w:rPr>
                <w:rFonts w:ascii="Arial" w:hAnsi="Arial" w:cs="Arial"/>
                <w:sz w:val="18"/>
                <w:szCs w:val="18"/>
                <w:lang w:val="en-US"/>
              </w:rPr>
            </w:pPr>
            <w:r w:rsidRPr="00BD295E">
              <w:rPr>
                <w:rFonts w:ascii="Arial" w:hAnsi="Arial" w:cs="Arial"/>
                <w:sz w:val="18"/>
                <w:szCs w:val="18"/>
                <w:lang w:val="en-US"/>
              </w:rPr>
              <w:t>ensuring and maintaining social stability at the Company</w:t>
            </w:r>
          </w:p>
        </w:tc>
        <w:tc>
          <w:tcPr>
            <w:tcW w:w="3126" w:type="dxa"/>
          </w:tcPr>
          <w:p w14:paraId="3BB8A8B0" w14:textId="77777777" w:rsidR="00D66577" w:rsidRPr="00BD295E" w:rsidRDefault="008A5057" w:rsidP="00CA2271">
            <w:pPr>
              <w:numPr>
                <w:ilvl w:val="0"/>
                <w:numId w:val="36"/>
              </w:numPr>
              <w:tabs>
                <w:tab w:val="left" w:pos="219"/>
              </w:tabs>
              <w:ind w:left="0" w:firstLine="0"/>
              <w:contextualSpacing/>
              <w:jc w:val="both"/>
              <w:rPr>
                <w:rFonts w:ascii="Arial" w:hAnsi="Arial" w:cs="Arial"/>
                <w:sz w:val="18"/>
                <w:szCs w:val="18"/>
                <w:lang w:val="en-US"/>
              </w:rPr>
            </w:pPr>
            <w:r w:rsidRPr="00BD295E">
              <w:rPr>
                <w:rFonts w:ascii="Arial" w:hAnsi="Arial" w:cs="Arial"/>
                <w:sz w:val="18"/>
                <w:szCs w:val="18"/>
                <w:lang w:val="en-US"/>
              </w:rPr>
              <w:t>ensuring disease prevention and health care</w:t>
            </w:r>
          </w:p>
          <w:p w14:paraId="362C33C4" w14:textId="77777777" w:rsidR="00D66577" w:rsidRPr="00BD295E" w:rsidRDefault="00D66577" w:rsidP="0027083B">
            <w:pPr>
              <w:tabs>
                <w:tab w:val="left" w:pos="219"/>
              </w:tabs>
              <w:jc w:val="both"/>
              <w:rPr>
                <w:rFonts w:ascii="Arial" w:hAnsi="Arial" w:cs="Arial"/>
                <w:sz w:val="18"/>
                <w:szCs w:val="18"/>
                <w:lang w:val="en-US"/>
              </w:rPr>
            </w:pPr>
          </w:p>
        </w:tc>
      </w:tr>
      <w:tr w:rsidR="008A5057" w:rsidRPr="00BD295E" w14:paraId="321831B0" w14:textId="77777777" w:rsidTr="0027083B">
        <w:tc>
          <w:tcPr>
            <w:tcW w:w="3306" w:type="dxa"/>
            <w:vAlign w:val="center"/>
          </w:tcPr>
          <w:p w14:paraId="742DC390" w14:textId="77777777" w:rsidR="00D66577" w:rsidRPr="00BD295E" w:rsidRDefault="008A5057" w:rsidP="00CA2271">
            <w:pPr>
              <w:widowControl w:val="0"/>
              <w:numPr>
                <w:ilvl w:val="0"/>
                <w:numId w:val="35"/>
              </w:numPr>
              <w:shd w:val="clear" w:color="auto" w:fill="FFFFFF"/>
              <w:tabs>
                <w:tab w:val="left" w:pos="184"/>
                <w:tab w:val="left" w:pos="284"/>
                <w:tab w:val="left" w:pos="352"/>
              </w:tabs>
              <w:spacing w:after="120"/>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maintaining the competitive edge of </w:t>
            </w:r>
            <w:r w:rsidR="00EE5753" w:rsidRPr="00BD295E">
              <w:rPr>
                <w:rFonts w:ascii="Arial" w:hAnsi="Arial" w:cs="Arial"/>
                <w:sz w:val="18"/>
                <w:szCs w:val="18"/>
                <w:lang w:val="en-US"/>
              </w:rPr>
              <w:t>PJSC “Lenenergo”</w:t>
            </w:r>
          </w:p>
        </w:tc>
        <w:tc>
          <w:tcPr>
            <w:tcW w:w="3139" w:type="dxa"/>
            <w:vAlign w:val="center"/>
          </w:tcPr>
          <w:p w14:paraId="1AB46692" w14:textId="77777777" w:rsidR="00D66577" w:rsidRPr="00BD295E" w:rsidRDefault="008A5057" w:rsidP="00CA2271">
            <w:pPr>
              <w:numPr>
                <w:ilvl w:val="0"/>
                <w:numId w:val="34"/>
              </w:numPr>
              <w:tabs>
                <w:tab w:val="left" w:pos="143"/>
                <w:tab w:val="left" w:pos="284"/>
                <w:tab w:val="left" w:pos="378"/>
              </w:tabs>
              <w:ind w:left="0" w:hanging="45"/>
              <w:contextualSpacing/>
              <w:jc w:val="both"/>
              <w:rPr>
                <w:rFonts w:ascii="Arial" w:hAnsi="Arial" w:cs="Arial"/>
                <w:sz w:val="18"/>
                <w:szCs w:val="18"/>
                <w:lang w:val="en-US"/>
              </w:rPr>
            </w:pPr>
            <w:r w:rsidRPr="00BD295E">
              <w:rPr>
                <w:rFonts w:ascii="Arial" w:hAnsi="Arial" w:cs="Arial"/>
                <w:sz w:val="18"/>
                <w:szCs w:val="18"/>
                <w:lang w:val="en-US"/>
              </w:rPr>
              <w:t>creating effective and safe workplaces</w:t>
            </w:r>
          </w:p>
        </w:tc>
        <w:tc>
          <w:tcPr>
            <w:tcW w:w="3126" w:type="dxa"/>
          </w:tcPr>
          <w:p w14:paraId="15CFC13D" w14:textId="77777777" w:rsidR="00D66577" w:rsidRPr="00BD295E" w:rsidRDefault="008A5057" w:rsidP="00CA2271">
            <w:pPr>
              <w:numPr>
                <w:ilvl w:val="0"/>
                <w:numId w:val="36"/>
              </w:numPr>
              <w:tabs>
                <w:tab w:val="left" w:pos="219"/>
              </w:tabs>
              <w:ind w:left="0" w:firstLine="0"/>
              <w:contextualSpacing/>
              <w:jc w:val="both"/>
              <w:rPr>
                <w:rFonts w:ascii="Arial" w:hAnsi="Arial" w:cs="Arial"/>
                <w:sz w:val="18"/>
                <w:szCs w:val="18"/>
                <w:lang w:val="en-US"/>
              </w:rPr>
            </w:pPr>
            <w:r w:rsidRPr="00BD295E">
              <w:rPr>
                <w:rFonts w:ascii="Arial" w:hAnsi="Arial" w:cs="Arial"/>
                <w:sz w:val="18"/>
                <w:szCs w:val="18"/>
                <w:lang w:val="en-US"/>
              </w:rPr>
              <w:t>organizing recreational activities for employees and their family members</w:t>
            </w:r>
          </w:p>
          <w:p w14:paraId="5E34FE9A" w14:textId="77777777" w:rsidR="00D66577" w:rsidRPr="00BD295E" w:rsidRDefault="00D66577" w:rsidP="0027083B">
            <w:pPr>
              <w:tabs>
                <w:tab w:val="left" w:pos="219"/>
              </w:tabs>
              <w:jc w:val="both"/>
              <w:rPr>
                <w:rFonts w:ascii="Arial" w:hAnsi="Arial" w:cs="Arial"/>
                <w:sz w:val="18"/>
                <w:szCs w:val="18"/>
                <w:lang w:val="en-US"/>
              </w:rPr>
            </w:pPr>
          </w:p>
        </w:tc>
      </w:tr>
      <w:tr w:rsidR="008A5057" w:rsidRPr="00BD295E" w14:paraId="543A30C8" w14:textId="77777777" w:rsidTr="0027083B">
        <w:tc>
          <w:tcPr>
            <w:tcW w:w="3306" w:type="dxa"/>
            <w:vAlign w:val="center"/>
          </w:tcPr>
          <w:p w14:paraId="6536FB50" w14:textId="77777777" w:rsidR="00D66577" w:rsidRPr="00BD295E" w:rsidRDefault="008A5057" w:rsidP="00CA2271">
            <w:pPr>
              <w:widowControl w:val="0"/>
              <w:numPr>
                <w:ilvl w:val="0"/>
                <w:numId w:val="35"/>
              </w:numPr>
              <w:shd w:val="clear" w:color="auto" w:fill="FFFFFF"/>
              <w:tabs>
                <w:tab w:val="left" w:pos="184"/>
                <w:tab w:val="left" w:pos="284"/>
                <w:tab w:val="left" w:pos="352"/>
              </w:tabs>
              <w:spacing w:after="120"/>
              <w:ind w:left="0" w:firstLine="0"/>
              <w:contextualSpacing/>
              <w:jc w:val="both"/>
              <w:rPr>
                <w:rFonts w:ascii="Arial" w:hAnsi="Arial" w:cs="Arial"/>
                <w:sz w:val="18"/>
                <w:szCs w:val="18"/>
                <w:lang w:val="en-US"/>
              </w:rPr>
            </w:pPr>
            <w:r w:rsidRPr="00BD295E">
              <w:rPr>
                <w:rFonts w:ascii="Arial" w:hAnsi="Arial" w:cs="Arial"/>
                <w:sz w:val="18"/>
                <w:szCs w:val="18"/>
                <w:lang w:val="en-US"/>
              </w:rPr>
              <w:t>encouraging employees to achieve high performance and improve their financial position</w:t>
            </w:r>
          </w:p>
        </w:tc>
        <w:tc>
          <w:tcPr>
            <w:tcW w:w="3139" w:type="dxa"/>
            <w:vAlign w:val="center"/>
          </w:tcPr>
          <w:p w14:paraId="095405C1" w14:textId="77777777" w:rsidR="00D66577" w:rsidRPr="00BD295E" w:rsidRDefault="008A5057" w:rsidP="00CA2271">
            <w:pPr>
              <w:numPr>
                <w:ilvl w:val="0"/>
                <w:numId w:val="34"/>
              </w:numPr>
              <w:tabs>
                <w:tab w:val="left" w:pos="143"/>
                <w:tab w:val="left" w:pos="284"/>
                <w:tab w:val="left" w:pos="378"/>
              </w:tabs>
              <w:ind w:left="0" w:hanging="45"/>
              <w:contextualSpacing/>
              <w:jc w:val="both"/>
              <w:rPr>
                <w:rFonts w:ascii="Arial" w:hAnsi="Arial" w:cs="Arial"/>
                <w:sz w:val="18"/>
                <w:szCs w:val="18"/>
                <w:lang w:val="en-US"/>
              </w:rPr>
            </w:pPr>
            <w:r w:rsidRPr="00BD295E">
              <w:rPr>
                <w:rFonts w:ascii="Arial" w:hAnsi="Arial" w:cs="Arial"/>
                <w:sz w:val="18"/>
                <w:szCs w:val="18"/>
                <w:lang w:val="en-US"/>
              </w:rPr>
              <w:t>engaging and retaining qualified talents</w:t>
            </w:r>
          </w:p>
        </w:tc>
        <w:tc>
          <w:tcPr>
            <w:tcW w:w="3126" w:type="dxa"/>
          </w:tcPr>
          <w:p w14:paraId="776D80D8" w14:textId="77777777" w:rsidR="00D66577" w:rsidRPr="00BD295E" w:rsidRDefault="008A5057" w:rsidP="00CA2271">
            <w:pPr>
              <w:numPr>
                <w:ilvl w:val="0"/>
                <w:numId w:val="36"/>
              </w:numPr>
              <w:tabs>
                <w:tab w:val="left" w:pos="219"/>
              </w:tabs>
              <w:ind w:left="0" w:firstLine="0"/>
              <w:contextualSpacing/>
              <w:jc w:val="both"/>
              <w:rPr>
                <w:rFonts w:ascii="Arial" w:hAnsi="Arial" w:cs="Arial"/>
                <w:sz w:val="18"/>
                <w:szCs w:val="18"/>
                <w:lang w:val="en-US"/>
              </w:rPr>
            </w:pPr>
            <w:r w:rsidRPr="00BD295E">
              <w:rPr>
                <w:rFonts w:ascii="Arial" w:hAnsi="Arial" w:cs="Arial"/>
                <w:sz w:val="18"/>
                <w:szCs w:val="18"/>
                <w:lang w:val="en-US"/>
              </w:rPr>
              <w:t>holding large-scale cultural and sports events</w:t>
            </w:r>
          </w:p>
          <w:p w14:paraId="3EF4E677" w14:textId="77777777" w:rsidR="00D66577" w:rsidRPr="00BD295E" w:rsidRDefault="00D66577" w:rsidP="0027083B">
            <w:pPr>
              <w:tabs>
                <w:tab w:val="left" w:pos="219"/>
              </w:tabs>
              <w:jc w:val="both"/>
              <w:rPr>
                <w:rFonts w:ascii="Arial" w:hAnsi="Arial" w:cs="Arial"/>
                <w:sz w:val="18"/>
                <w:szCs w:val="18"/>
                <w:lang w:val="en-US"/>
              </w:rPr>
            </w:pPr>
          </w:p>
        </w:tc>
      </w:tr>
      <w:tr w:rsidR="008A5057" w:rsidRPr="00BD295E" w14:paraId="6EA86FE0" w14:textId="77777777" w:rsidTr="0027083B">
        <w:tc>
          <w:tcPr>
            <w:tcW w:w="3306" w:type="dxa"/>
            <w:vAlign w:val="center"/>
          </w:tcPr>
          <w:p w14:paraId="576E426B" w14:textId="77777777" w:rsidR="00D66577" w:rsidRPr="00BD295E" w:rsidRDefault="008A5057" w:rsidP="00CA2271">
            <w:pPr>
              <w:widowControl w:val="0"/>
              <w:numPr>
                <w:ilvl w:val="0"/>
                <w:numId w:val="35"/>
              </w:numPr>
              <w:shd w:val="clear" w:color="auto" w:fill="FFFFFF"/>
              <w:tabs>
                <w:tab w:val="left" w:pos="184"/>
                <w:tab w:val="left" w:pos="284"/>
                <w:tab w:val="left" w:pos="352"/>
              </w:tabs>
              <w:spacing w:after="120"/>
              <w:ind w:left="0" w:firstLine="0"/>
              <w:contextualSpacing/>
              <w:jc w:val="both"/>
              <w:rPr>
                <w:rFonts w:ascii="Arial" w:hAnsi="Arial" w:cs="Arial"/>
                <w:sz w:val="18"/>
                <w:szCs w:val="18"/>
                <w:lang w:val="en-US"/>
              </w:rPr>
            </w:pPr>
            <w:r w:rsidRPr="00BD295E">
              <w:rPr>
                <w:rFonts w:ascii="Arial" w:hAnsi="Arial" w:cs="Arial"/>
                <w:sz w:val="18"/>
                <w:szCs w:val="18"/>
                <w:lang w:val="en-US"/>
              </w:rPr>
              <w:t>building a beneficial social and psychological climate</w:t>
            </w:r>
          </w:p>
        </w:tc>
        <w:tc>
          <w:tcPr>
            <w:tcW w:w="3139" w:type="dxa"/>
            <w:vAlign w:val="center"/>
          </w:tcPr>
          <w:p w14:paraId="3BF6F3F0" w14:textId="77777777" w:rsidR="00D66577" w:rsidRPr="00BD295E" w:rsidRDefault="00D66577" w:rsidP="0027083B">
            <w:pPr>
              <w:tabs>
                <w:tab w:val="left" w:pos="143"/>
                <w:tab w:val="left" w:pos="284"/>
                <w:tab w:val="left" w:pos="378"/>
              </w:tabs>
              <w:ind w:hanging="45"/>
              <w:jc w:val="both"/>
              <w:rPr>
                <w:rFonts w:ascii="Arial" w:hAnsi="Arial" w:cs="Arial"/>
                <w:sz w:val="18"/>
                <w:szCs w:val="18"/>
                <w:lang w:val="en-US"/>
              </w:rPr>
            </w:pPr>
          </w:p>
        </w:tc>
        <w:tc>
          <w:tcPr>
            <w:tcW w:w="3126" w:type="dxa"/>
          </w:tcPr>
          <w:p w14:paraId="0BF91BB4" w14:textId="77777777" w:rsidR="00D66577" w:rsidRPr="00BD295E" w:rsidRDefault="008A5057" w:rsidP="00CA2271">
            <w:pPr>
              <w:numPr>
                <w:ilvl w:val="0"/>
                <w:numId w:val="36"/>
              </w:numPr>
              <w:tabs>
                <w:tab w:val="left" w:pos="219"/>
              </w:tabs>
              <w:ind w:left="0" w:firstLine="0"/>
              <w:contextualSpacing/>
              <w:jc w:val="both"/>
              <w:rPr>
                <w:rFonts w:ascii="Arial" w:hAnsi="Arial" w:cs="Arial"/>
                <w:sz w:val="18"/>
                <w:szCs w:val="18"/>
                <w:lang w:val="en-US"/>
              </w:rPr>
            </w:pPr>
            <w:r w:rsidRPr="00BD295E">
              <w:rPr>
                <w:rFonts w:ascii="Arial" w:hAnsi="Arial" w:cs="Arial"/>
                <w:sz w:val="18"/>
                <w:szCs w:val="18"/>
                <w:lang w:val="en-US"/>
              </w:rPr>
              <w:t>providing non-governmental pension benefits</w:t>
            </w:r>
          </w:p>
        </w:tc>
      </w:tr>
      <w:tr w:rsidR="008A5057" w:rsidRPr="00BD295E" w14:paraId="347DF9D5" w14:textId="77777777" w:rsidTr="0027083B">
        <w:tc>
          <w:tcPr>
            <w:tcW w:w="3306" w:type="dxa"/>
            <w:vAlign w:val="center"/>
          </w:tcPr>
          <w:p w14:paraId="4ED8DA03" w14:textId="77777777" w:rsidR="00D66577" w:rsidRPr="00BD295E" w:rsidRDefault="00D66577" w:rsidP="0027083B">
            <w:pPr>
              <w:widowControl w:val="0"/>
              <w:shd w:val="clear" w:color="auto" w:fill="FFFFFF"/>
              <w:spacing w:after="120"/>
              <w:contextualSpacing/>
              <w:jc w:val="both"/>
              <w:rPr>
                <w:rFonts w:ascii="Arial" w:hAnsi="Arial" w:cs="Arial"/>
                <w:sz w:val="18"/>
                <w:szCs w:val="18"/>
                <w:lang w:val="en-US"/>
              </w:rPr>
            </w:pPr>
          </w:p>
        </w:tc>
        <w:tc>
          <w:tcPr>
            <w:tcW w:w="3139" w:type="dxa"/>
            <w:vAlign w:val="center"/>
          </w:tcPr>
          <w:p w14:paraId="703085D2" w14:textId="77777777" w:rsidR="00D66577" w:rsidRPr="00BD295E" w:rsidRDefault="00D66577" w:rsidP="0027083B">
            <w:pPr>
              <w:tabs>
                <w:tab w:val="left" w:pos="143"/>
                <w:tab w:val="left" w:pos="284"/>
                <w:tab w:val="left" w:pos="378"/>
              </w:tabs>
              <w:ind w:hanging="45"/>
              <w:jc w:val="both"/>
              <w:rPr>
                <w:rFonts w:ascii="Arial" w:hAnsi="Arial" w:cs="Arial"/>
                <w:sz w:val="18"/>
                <w:szCs w:val="18"/>
                <w:lang w:val="en-US"/>
              </w:rPr>
            </w:pPr>
          </w:p>
        </w:tc>
        <w:tc>
          <w:tcPr>
            <w:tcW w:w="3126" w:type="dxa"/>
          </w:tcPr>
          <w:p w14:paraId="108AB63D" w14:textId="77777777" w:rsidR="00D66577" w:rsidRPr="00BD295E" w:rsidRDefault="008A5057" w:rsidP="00CA2271">
            <w:pPr>
              <w:numPr>
                <w:ilvl w:val="0"/>
                <w:numId w:val="36"/>
              </w:numPr>
              <w:tabs>
                <w:tab w:val="left" w:pos="219"/>
              </w:tabs>
              <w:ind w:left="0" w:firstLine="0"/>
              <w:contextualSpacing/>
              <w:jc w:val="both"/>
              <w:rPr>
                <w:rFonts w:ascii="Arial" w:hAnsi="Arial" w:cs="Arial"/>
                <w:sz w:val="18"/>
                <w:szCs w:val="18"/>
                <w:lang w:val="en-US"/>
              </w:rPr>
            </w:pPr>
            <w:r w:rsidRPr="00BD295E">
              <w:rPr>
                <w:rFonts w:ascii="Arial" w:hAnsi="Arial" w:cs="Arial"/>
                <w:sz w:val="18"/>
                <w:szCs w:val="18"/>
                <w:lang w:val="en-US"/>
              </w:rPr>
              <w:t>working with the youth and veterans</w:t>
            </w:r>
          </w:p>
        </w:tc>
      </w:tr>
      <w:tr w:rsidR="008A5057" w:rsidRPr="00BD295E" w14:paraId="6A0D8A6F" w14:textId="77777777" w:rsidTr="0027083B">
        <w:tc>
          <w:tcPr>
            <w:tcW w:w="3306" w:type="dxa"/>
            <w:vAlign w:val="center"/>
          </w:tcPr>
          <w:p w14:paraId="5FE638A5" w14:textId="77777777" w:rsidR="00D66577" w:rsidRPr="00BD295E" w:rsidRDefault="00D66577" w:rsidP="0027083B">
            <w:pPr>
              <w:widowControl w:val="0"/>
              <w:shd w:val="clear" w:color="auto" w:fill="FFFFFF"/>
              <w:spacing w:after="120"/>
              <w:contextualSpacing/>
              <w:jc w:val="both"/>
              <w:rPr>
                <w:rFonts w:ascii="Arial" w:hAnsi="Arial" w:cs="Arial"/>
                <w:sz w:val="18"/>
                <w:szCs w:val="18"/>
                <w:lang w:val="en-US"/>
              </w:rPr>
            </w:pPr>
          </w:p>
        </w:tc>
        <w:tc>
          <w:tcPr>
            <w:tcW w:w="3139" w:type="dxa"/>
            <w:vAlign w:val="center"/>
          </w:tcPr>
          <w:p w14:paraId="1E17EABC" w14:textId="77777777" w:rsidR="00D66577" w:rsidRPr="00BD295E" w:rsidRDefault="00D66577" w:rsidP="0027083B">
            <w:pPr>
              <w:tabs>
                <w:tab w:val="left" w:pos="143"/>
                <w:tab w:val="left" w:pos="284"/>
                <w:tab w:val="left" w:pos="378"/>
              </w:tabs>
              <w:ind w:hanging="45"/>
              <w:jc w:val="both"/>
              <w:rPr>
                <w:rFonts w:ascii="Arial" w:hAnsi="Arial" w:cs="Arial"/>
                <w:sz w:val="18"/>
                <w:szCs w:val="18"/>
                <w:lang w:val="en-US"/>
              </w:rPr>
            </w:pPr>
          </w:p>
        </w:tc>
        <w:tc>
          <w:tcPr>
            <w:tcW w:w="3126" w:type="dxa"/>
          </w:tcPr>
          <w:p w14:paraId="1694EB24" w14:textId="77777777" w:rsidR="00D66577" w:rsidRPr="00BD295E" w:rsidRDefault="008A5057" w:rsidP="00CA2271">
            <w:pPr>
              <w:numPr>
                <w:ilvl w:val="0"/>
                <w:numId w:val="36"/>
              </w:numPr>
              <w:tabs>
                <w:tab w:val="left" w:pos="219"/>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supporting non-working retirees with a long service record at </w:t>
            </w:r>
            <w:r w:rsidR="00EE5753" w:rsidRPr="00BD295E">
              <w:rPr>
                <w:rFonts w:ascii="Arial" w:hAnsi="Arial" w:cs="Arial"/>
                <w:sz w:val="18"/>
                <w:szCs w:val="18"/>
                <w:lang w:val="en-US"/>
              </w:rPr>
              <w:t>PJSC “Lenenergo”</w:t>
            </w:r>
          </w:p>
        </w:tc>
      </w:tr>
    </w:tbl>
    <w:p w14:paraId="2484B3AB" w14:textId="77777777" w:rsidR="00D66577" w:rsidRPr="00BD295E" w:rsidRDefault="008A5057" w:rsidP="00F7146A">
      <w:pPr>
        <w:spacing w:before="120" w:after="120"/>
        <w:jc w:val="both"/>
        <w:rPr>
          <w:rFonts w:ascii="Arial" w:hAnsi="Arial" w:cs="Arial"/>
          <w:b/>
          <w:sz w:val="18"/>
          <w:szCs w:val="18"/>
          <w:lang w:val="en-US"/>
        </w:rPr>
      </w:pPr>
      <w:r w:rsidRPr="00BD295E">
        <w:rPr>
          <w:rFonts w:ascii="Arial" w:hAnsi="Arial" w:cs="Arial"/>
          <w:sz w:val="18"/>
          <w:szCs w:val="18"/>
          <w:lang w:val="en-US"/>
        </w:rPr>
        <w:t xml:space="preserve">The social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based on the Collective Bargaining Agreement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effective until December 31, 2020, which is the result of joint efforts by the employer and its trade union to regulate their social and labor relations, and also establishes the rights and obligations of the parties.</w:t>
      </w:r>
    </w:p>
    <w:p w14:paraId="11ED7DD1" w14:textId="77777777" w:rsidR="00D66577" w:rsidRPr="00BD295E" w:rsidRDefault="008A5057" w:rsidP="00F7146A">
      <w:pPr>
        <w:spacing w:before="120" w:after="120"/>
        <w:jc w:val="both"/>
        <w:rPr>
          <w:rFonts w:ascii="Arial" w:hAnsi="Arial" w:cs="Arial"/>
          <w:b/>
          <w:sz w:val="18"/>
          <w:szCs w:val="18"/>
          <w:lang w:val="en-US"/>
        </w:rPr>
      </w:pPr>
      <w:r w:rsidRPr="00BD295E">
        <w:rPr>
          <w:rFonts w:ascii="Arial" w:hAnsi="Arial" w:cs="Arial"/>
          <w:b/>
          <w:sz w:val="18"/>
          <w:szCs w:val="18"/>
          <w:lang w:val="en-US"/>
        </w:rPr>
        <w:t>Focus areas the social policy and implementation tools</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1"/>
        <w:gridCol w:w="6265"/>
      </w:tblGrid>
      <w:tr w:rsidR="008A5057" w:rsidRPr="00BD295E" w14:paraId="04CDC7E4" w14:textId="77777777" w:rsidTr="0027083B">
        <w:tc>
          <w:tcPr>
            <w:tcW w:w="3341" w:type="dxa"/>
            <w:vAlign w:val="center"/>
          </w:tcPr>
          <w:p w14:paraId="5F007478" w14:textId="77777777" w:rsidR="00D66577" w:rsidRPr="00BD295E" w:rsidRDefault="008A5057" w:rsidP="0027083B">
            <w:pPr>
              <w:jc w:val="both"/>
              <w:rPr>
                <w:rFonts w:ascii="Arial" w:hAnsi="Arial" w:cs="Arial"/>
                <w:b/>
                <w:sz w:val="18"/>
                <w:szCs w:val="18"/>
                <w:lang w:val="en-US"/>
              </w:rPr>
            </w:pPr>
            <w:r w:rsidRPr="00BD295E">
              <w:rPr>
                <w:rFonts w:ascii="Arial" w:hAnsi="Arial" w:cs="Arial"/>
                <w:b/>
                <w:sz w:val="18"/>
                <w:szCs w:val="18"/>
                <w:lang w:val="en-US"/>
              </w:rPr>
              <w:t>Focus areas</w:t>
            </w:r>
          </w:p>
        </w:tc>
        <w:tc>
          <w:tcPr>
            <w:tcW w:w="6265" w:type="dxa"/>
            <w:vAlign w:val="center"/>
          </w:tcPr>
          <w:p w14:paraId="2F810C9E" w14:textId="77777777" w:rsidR="00D66577" w:rsidRPr="00BD295E" w:rsidRDefault="008A5057" w:rsidP="0027083B">
            <w:pPr>
              <w:jc w:val="both"/>
              <w:rPr>
                <w:rFonts w:ascii="Arial" w:hAnsi="Arial" w:cs="Arial"/>
                <w:b/>
                <w:sz w:val="18"/>
                <w:szCs w:val="18"/>
                <w:lang w:val="en-US"/>
              </w:rPr>
            </w:pPr>
            <w:r w:rsidRPr="00BD295E">
              <w:rPr>
                <w:rFonts w:ascii="Arial" w:hAnsi="Arial" w:cs="Arial"/>
                <w:b/>
                <w:sz w:val="18"/>
                <w:szCs w:val="18"/>
                <w:lang w:val="en-US"/>
              </w:rPr>
              <w:t>Tools</w:t>
            </w:r>
          </w:p>
        </w:tc>
      </w:tr>
      <w:tr w:rsidR="008A5057" w:rsidRPr="00BD295E" w14:paraId="2AB98780" w14:textId="77777777" w:rsidTr="0027083B">
        <w:tc>
          <w:tcPr>
            <w:tcW w:w="3341" w:type="dxa"/>
            <w:vAlign w:val="center"/>
          </w:tcPr>
          <w:p w14:paraId="657A3C09" w14:textId="77777777" w:rsidR="00D66577" w:rsidRPr="00BD295E" w:rsidRDefault="008A5057" w:rsidP="0027083B">
            <w:pPr>
              <w:jc w:val="both"/>
              <w:rPr>
                <w:rFonts w:ascii="Arial" w:eastAsia="Calibri" w:hAnsi="Arial" w:cs="Arial"/>
                <w:sz w:val="18"/>
                <w:szCs w:val="18"/>
                <w:lang w:val="en-US"/>
              </w:rPr>
            </w:pPr>
            <w:r w:rsidRPr="00BD295E">
              <w:rPr>
                <w:rFonts w:ascii="Arial" w:hAnsi="Arial" w:cs="Arial"/>
                <w:sz w:val="18"/>
                <w:szCs w:val="18"/>
                <w:lang w:val="en-US"/>
              </w:rPr>
              <w:t>Providing social benefits and compensations</w:t>
            </w:r>
          </w:p>
          <w:p w14:paraId="1D5E06AE" w14:textId="77777777" w:rsidR="00D66577" w:rsidRPr="00BD295E" w:rsidRDefault="00D66577" w:rsidP="0027083B">
            <w:pPr>
              <w:jc w:val="both"/>
              <w:rPr>
                <w:rFonts w:ascii="Arial" w:hAnsi="Arial" w:cs="Arial"/>
                <w:sz w:val="18"/>
                <w:szCs w:val="18"/>
                <w:lang w:val="en-US"/>
              </w:rPr>
            </w:pPr>
          </w:p>
        </w:tc>
        <w:tc>
          <w:tcPr>
            <w:tcW w:w="6265" w:type="dxa"/>
          </w:tcPr>
          <w:p w14:paraId="3B32F9C8" w14:textId="77777777" w:rsidR="00D66577" w:rsidRPr="00BD295E" w:rsidRDefault="008A5057" w:rsidP="0027083B">
            <w:pPr>
              <w:widowControl w:val="0"/>
              <w:shd w:val="clear" w:color="auto" w:fill="FFFFFF"/>
              <w:tabs>
                <w:tab w:val="left" w:pos="343"/>
              </w:tabs>
              <w:spacing w:after="120"/>
              <w:jc w:val="both"/>
              <w:rPr>
                <w:rFonts w:ascii="Arial" w:hAnsi="Arial" w:cs="Arial"/>
                <w:sz w:val="18"/>
                <w:szCs w:val="18"/>
                <w:lang w:val="en-US"/>
              </w:rPr>
            </w:pPr>
            <w:r w:rsidRPr="00BD295E">
              <w:rPr>
                <w:rFonts w:ascii="Arial" w:hAnsi="Arial" w:cs="Arial"/>
                <w:sz w:val="18"/>
                <w:szCs w:val="18"/>
                <w:lang w:val="en-US"/>
              </w:rPr>
              <w:t xml:space="preserve">The Collective Bargaining Agreement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provides for the following benefits and compensations for employees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DA54CD1"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granting and payment of additional leaves;</w:t>
            </w:r>
          </w:p>
          <w:p w14:paraId="3980BBA1"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additional payments and allowances for substandard working conditions;</w:t>
            </w:r>
          </w:p>
          <w:p w14:paraId="1AAAD0D4"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lump sum incentives for vacations;</w:t>
            </w:r>
          </w:p>
          <w:p w14:paraId="261A177B"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long-service bonus;</w:t>
            </w:r>
          </w:p>
          <w:p w14:paraId="52038194"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remuneration to employees who have received industry and departmental awards;</w:t>
            </w:r>
          </w:p>
          <w:p w14:paraId="6B8EF7EF"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payment of a lump sum childbirth allowance and a monthly allowance for child care up to the age of three;</w:t>
            </w:r>
          </w:p>
          <w:p w14:paraId="66CA7E9D"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payment of financial aid in case of marriage registration;</w:t>
            </w:r>
          </w:p>
          <w:p w14:paraId="0168315E"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reimbursement of expenses for children in pre-school child care centers to families with many children and families with a disabled child;</w:t>
            </w:r>
          </w:p>
          <w:p w14:paraId="153A9EF2"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incentives for employees on anniversary dates;</w:t>
            </w:r>
          </w:p>
          <w:p w14:paraId="04F05B72"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incentives for holidays (International Women’s Day (March 8); Energy Industry Worker Day);</w:t>
            </w:r>
          </w:p>
          <w:p w14:paraId="13F0E5DE" w14:textId="126D492B"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partial compensation of residential electricity bills to all </w:t>
            </w:r>
            <w:r w:rsidR="002C3947" w:rsidRPr="00BD295E">
              <w:rPr>
                <w:rFonts w:ascii="Arial" w:hAnsi="Arial" w:cs="Arial"/>
                <w:sz w:val="18"/>
                <w:szCs w:val="18"/>
                <w:lang w:val="en-US"/>
              </w:rPr>
              <w:t>employees, retirees</w:t>
            </w:r>
            <w:r w:rsidRPr="00BD295E">
              <w:rPr>
                <w:rFonts w:ascii="Arial" w:hAnsi="Arial" w:cs="Arial"/>
                <w:sz w:val="18"/>
                <w:szCs w:val="18"/>
                <w:lang w:val="en-US"/>
              </w:rPr>
              <w:t xml:space="preserve">, and disabled 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p>
          <w:p w14:paraId="1BAF2F62" w14:textId="77777777" w:rsidR="00D66577" w:rsidRPr="00BD295E" w:rsidRDefault="008A5057" w:rsidP="00CA2271">
            <w:pPr>
              <w:numPr>
                <w:ilvl w:val="0"/>
                <w:numId w:val="30"/>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other payments.</w:t>
            </w:r>
          </w:p>
        </w:tc>
      </w:tr>
      <w:tr w:rsidR="008A5057" w:rsidRPr="00BD295E" w14:paraId="3F3C50CE" w14:textId="77777777" w:rsidTr="0027083B">
        <w:tc>
          <w:tcPr>
            <w:tcW w:w="3341" w:type="dxa"/>
            <w:vAlign w:val="center"/>
          </w:tcPr>
          <w:p w14:paraId="2A9000DF" w14:textId="77777777" w:rsidR="00D66577" w:rsidRPr="00BD295E" w:rsidRDefault="008A5057" w:rsidP="0027083B">
            <w:pPr>
              <w:jc w:val="both"/>
              <w:rPr>
                <w:rFonts w:ascii="Arial" w:eastAsia="Calibri" w:hAnsi="Arial" w:cs="Arial"/>
                <w:sz w:val="18"/>
                <w:szCs w:val="18"/>
                <w:lang w:val="en-US"/>
              </w:rPr>
            </w:pPr>
            <w:r w:rsidRPr="00BD295E">
              <w:rPr>
                <w:rFonts w:ascii="Arial" w:hAnsi="Arial" w:cs="Arial"/>
                <w:sz w:val="18"/>
                <w:szCs w:val="18"/>
                <w:lang w:val="en-US"/>
              </w:rPr>
              <w:t>Disease prevention and health care</w:t>
            </w:r>
          </w:p>
          <w:p w14:paraId="717E3227" w14:textId="77777777" w:rsidR="00D66577" w:rsidRPr="00BD295E" w:rsidRDefault="00D66577" w:rsidP="0027083B">
            <w:pPr>
              <w:jc w:val="both"/>
              <w:rPr>
                <w:rFonts w:ascii="Arial" w:hAnsi="Arial" w:cs="Arial"/>
                <w:sz w:val="18"/>
                <w:szCs w:val="18"/>
                <w:lang w:val="en-US"/>
              </w:rPr>
            </w:pPr>
          </w:p>
        </w:tc>
        <w:tc>
          <w:tcPr>
            <w:tcW w:w="6265" w:type="dxa"/>
          </w:tcPr>
          <w:p w14:paraId="11570123" w14:textId="77777777" w:rsidR="00D66577" w:rsidRPr="00BD295E" w:rsidRDefault="008A5057" w:rsidP="0027083B">
            <w:pPr>
              <w:tabs>
                <w:tab w:val="left" w:pos="343"/>
              </w:tabs>
              <w:jc w:val="both"/>
              <w:rPr>
                <w:rFonts w:ascii="Arial" w:hAnsi="Arial" w:cs="Arial"/>
                <w:sz w:val="18"/>
                <w:szCs w:val="18"/>
                <w:lang w:val="en-US"/>
              </w:rPr>
            </w:pPr>
            <w:r w:rsidRPr="00BD295E">
              <w:rPr>
                <w:rFonts w:ascii="Arial" w:hAnsi="Arial" w:cs="Arial"/>
                <w:sz w:val="18"/>
                <w:szCs w:val="18"/>
                <w:lang w:val="en-US"/>
              </w:rPr>
              <w:t>In order to protect and improve the health of its employees, the Company implements the following measures:</w:t>
            </w:r>
          </w:p>
          <w:p w14:paraId="51D35A6E" w14:textId="77777777" w:rsidR="00D66577" w:rsidRPr="00BD295E" w:rsidRDefault="008A5057" w:rsidP="00CA2271">
            <w:pPr>
              <w:numPr>
                <w:ilvl w:val="0"/>
                <w:numId w:val="31"/>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voluntary medical insurance;</w:t>
            </w:r>
          </w:p>
          <w:p w14:paraId="34410913" w14:textId="77777777" w:rsidR="00D66577" w:rsidRPr="00BD295E" w:rsidRDefault="008A5057" w:rsidP="00CA2271">
            <w:pPr>
              <w:numPr>
                <w:ilvl w:val="0"/>
                <w:numId w:val="31"/>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accident and illness insurance;</w:t>
            </w:r>
          </w:p>
          <w:p w14:paraId="3E05F2F2" w14:textId="77777777" w:rsidR="00D66577" w:rsidRPr="00BD295E" w:rsidRDefault="008A5057" w:rsidP="00CA2271">
            <w:pPr>
              <w:numPr>
                <w:ilvl w:val="0"/>
                <w:numId w:val="31"/>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preliminary and periodic medical checkups;</w:t>
            </w:r>
          </w:p>
          <w:p w14:paraId="05460DFA" w14:textId="77777777" w:rsidR="00D66577" w:rsidRPr="00BD295E" w:rsidRDefault="008A5057" w:rsidP="00CA2271">
            <w:pPr>
              <w:numPr>
                <w:ilvl w:val="0"/>
                <w:numId w:val="31"/>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fluorographic examinations;</w:t>
            </w:r>
          </w:p>
          <w:p w14:paraId="6B92DE0C" w14:textId="77777777" w:rsidR="00D66577" w:rsidRPr="00BD295E" w:rsidRDefault="008A5057" w:rsidP="00CA2271">
            <w:pPr>
              <w:numPr>
                <w:ilvl w:val="0"/>
                <w:numId w:val="31"/>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vaccination against influenza;</w:t>
            </w:r>
          </w:p>
          <w:p w14:paraId="7C5D7555" w14:textId="77777777" w:rsidR="00D66577" w:rsidRPr="00BD295E" w:rsidRDefault="008A5057" w:rsidP="00CA2271">
            <w:pPr>
              <w:numPr>
                <w:ilvl w:val="0"/>
                <w:numId w:val="31"/>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vaccination against tick-borne encephalitis;</w:t>
            </w:r>
          </w:p>
          <w:p w14:paraId="286B2B33" w14:textId="77777777" w:rsidR="00D66577" w:rsidRPr="00BD295E" w:rsidRDefault="008A5057" w:rsidP="00CA2271">
            <w:pPr>
              <w:numPr>
                <w:ilvl w:val="0"/>
                <w:numId w:val="31"/>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special assessment of working conditions;</w:t>
            </w:r>
          </w:p>
          <w:p w14:paraId="32651DF8" w14:textId="77777777" w:rsidR="00D66577" w:rsidRPr="00BD295E" w:rsidRDefault="008A5057" w:rsidP="00CA2271">
            <w:pPr>
              <w:numPr>
                <w:ilvl w:val="0"/>
                <w:numId w:val="31"/>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providing special clothing and footwear and other personal protective equipment;</w:t>
            </w:r>
          </w:p>
          <w:p w14:paraId="6C3B6FC9" w14:textId="77777777" w:rsidR="00D66577" w:rsidRPr="00BD295E" w:rsidRDefault="008A5057" w:rsidP="00CA2271">
            <w:pPr>
              <w:numPr>
                <w:ilvl w:val="0"/>
                <w:numId w:val="31"/>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training employees in first aid in case of accidents at work.</w:t>
            </w:r>
          </w:p>
        </w:tc>
      </w:tr>
      <w:tr w:rsidR="008A5057" w:rsidRPr="00BD295E" w14:paraId="4C69D6DF" w14:textId="77777777" w:rsidTr="0027083B">
        <w:tc>
          <w:tcPr>
            <w:tcW w:w="3341" w:type="dxa"/>
            <w:vAlign w:val="center"/>
          </w:tcPr>
          <w:p w14:paraId="07F4C023" w14:textId="77777777" w:rsidR="00D66577"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Organization of recreational activities for employees and their family members</w:t>
            </w:r>
          </w:p>
          <w:p w14:paraId="537BB543" w14:textId="77777777" w:rsidR="00D66577" w:rsidRPr="00BD295E" w:rsidRDefault="00D66577" w:rsidP="0027083B">
            <w:pPr>
              <w:jc w:val="both"/>
              <w:rPr>
                <w:rFonts w:ascii="Arial" w:hAnsi="Arial" w:cs="Arial"/>
                <w:sz w:val="18"/>
                <w:szCs w:val="18"/>
                <w:lang w:val="en-US"/>
              </w:rPr>
            </w:pPr>
          </w:p>
        </w:tc>
        <w:tc>
          <w:tcPr>
            <w:tcW w:w="6265" w:type="dxa"/>
          </w:tcPr>
          <w:p w14:paraId="4BE5AE2B" w14:textId="77777777" w:rsidR="00D66577" w:rsidRPr="00BD295E" w:rsidRDefault="008A5057" w:rsidP="0027083B">
            <w:pPr>
              <w:widowControl w:val="0"/>
              <w:shd w:val="clear" w:color="auto" w:fill="FFFFFF"/>
              <w:tabs>
                <w:tab w:val="left" w:pos="343"/>
              </w:tabs>
              <w:spacing w:after="120"/>
              <w:jc w:val="both"/>
              <w:rPr>
                <w:rFonts w:ascii="Arial" w:hAnsi="Arial" w:cs="Arial"/>
                <w:sz w:val="18"/>
                <w:szCs w:val="18"/>
                <w:lang w:val="en-US"/>
              </w:rPr>
            </w:pPr>
            <w:r w:rsidRPr="00BD295E">
              <w:rPr>
                <w:rFonts w:ascii="Arial" w:hAnsi="Arial" w:cs="Arial"/>
                <w:sz w:val="18"/>
                <w:szCs w:val="18"/>
                <w:lang w:val="en-US"/>
              </w:rPr>
              <w:t xml:space="preserve">Employees in need of health resort treatment are provided with vacation packages for health resorts, partially or fully </w:t>
            </w:r>
            <w:r w:rsidR="00CF0D86" w:rsidRPr="00BD295E">
              <w:rPr>
                <w:rFonts w:ascii="Arial" w:hAnsi="Arial" w:cs="Arial"/>
                <w:sz w:val="18"/>
                <w:szCs w:val="18"/>
                <w:lang w:val="en-US"/>
              </w:rPr>
              <w:t>subsidized</w:t>
            </w:r>
            <w:r w:rsidRPr="00BD295E">
              <w:rPr>
                <w:rFonts w:ascii="Arial" w:hAnsi="Arial" w:cs="Arial"/>
                <w:sz w:val="18"/>
                <w:szCs w:val="18"/>
                <w:lang w:val="en-US"/>
              </w:rPr>
              <w:t xml:space="preserve"> by </w:t>
            </w:r>
            <w:r w:rsidR="00EE5753" w:rsidRPr="00BD295E">
              <w:rPr>
                <w:rFonts w:ascii="Arial" w:hAnsi="Arial" w:cs="Arial"/>
                <w:sz w:val="18"/>
                <w:szCs w:val="18"/>
                <w:lang w:val="en-US"/>
              </w:rPr>
              <w:t>PJSC “Lenenergo”</w:t>
            </w:r>
            <w:r w:rsidRPr="00BD295E">
              <w:rPr>
                <w:rFonts w:ascii="Arial" w:hAnsi="Arial" w:cs="Arial"/>
                <w:sz w:val="18"/>
                <w:szCs w:val="18"/>
                <w:lang w:val="en-US"/>
              </w:rPr>
              <w:t>. In 2018, health resort treatment was organized for 38 employees.</w:t>
            </w:r>
          </w:p>
          <w:p w14:paraId="455797DD" w14:textId="77777777" w:rsidR="00D66577" w:rsidRPr="00BD295E" w:rsidRDefault="008A5057" w:rsidP="0027083B">
            <w:pPr>
              <w:widowControl w:val="0"/>
              <w:shd w:val="clear" w:color="auto" w:fill="FFFFFF"/>
              <w:tabs>
                <w:tab w:val="left" w:pos="343"/>
              </w:tabs>
              <w:spacing w:after="120"/>
              <w:jc w:val="both"/>
              <w:rPr>
                <w:rFonts w:ascii="Arial" w:hAnsi="Arial" w:cs="Arial"/>
                <w:sz w:val="18"/>
                <w:szCs w:val="18"/>
                <w:lang w:val="en-US"/>
              </w:rPr>
            </w:pPr>
            <w:r w:rsidRPr="00BD295E">
              <w:rPr>
                <w:rFonts w:ascii="Arial" w:hAnsi="Arial" w:cs="Arial"/>
                <w:sz w:val="18"/>
                <w:szCs w:val="18"/>
                <w:lang w:val="en-US"/>
              </w:rPr>
              <w:t xml:space="preserve">Employees received partial compensation for the cost of vacations at children’s health camps. A total of 143 children went to Russian health camps in 2018. </w:t>
            </w:r>
          </w:p>
        </w:tc>
      </w:tr>
      <w:tr w:rsidR="008A5057" w:rsidRPr="00BD295E" w14:paraId="4F006D71" w14:textId="77777777" w:rsidTr="0027083B">
        <w:tc>
          <w:tcPr>
            <w:tcW w:w="3341" w:type="dxa"/>
            <w:vAlign w:val="center"/>
          </w:tcPr>
          <w:p w14:paraId="1364FDD5" w14:textId="77777777" w:rsidR="00D66577"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Non-governmental pension schemes</w:t>
            </w:r>
          </w:p>
          <w:p w14:paraId="246A9F89" w14:textId="77777777" w:rsidR="00D66577" w:rsidRPr="00BD295E" w:rsidRDefault="00D66577" w:rsidP="0027083B">
            <w:pPr>
              <w:jc w:val="both"/>
              <w:rPr>
                <w:rFonts w:ascii="Arial" w:hAnsi="Arial" w:cs="Arial"/>
                <w:sz w:val="18"/>
                <w:szCs w:val="18"/>
                <w:lang w:val="en-US"/>
              </w:rPr>
            </w:pPr>
          </w:p>
        </w:tc>
        <w:tc>
          <w:tcPr>
            <w:tcW w:w="6265" w:type="dxa"/>
          </w:tcPr>
          <w:p w14:paraId="2977055D" w14:textId="77777777" w:rsidR="00D66577" w:rsidRPr="00BD295E" w:rsidRDefault="008A5057" w:rsidP="0027083B">
            <w:pPr>
              <w:tabs>
                <w:tab w:val="left" w:pos="343"/>
              </w:tabs>
              <w:jc w:val="both"/>
              <w:rPr>
                <w:rFonts w:ascii="Arial" w:hAnsi="Arial" w:cs="Arial"/>
                <w:sz w:val="18"/>
                <w:szCs w:val="18"/>
                <w:lang w:val="en-US"/>
              </w:rPr>
            </w:pPr>
            <w:r w:rsidRPr="00BD295E">
              <w:rPr>
                <w:rFonts w:ascii="Arial" w:hAnsi="Arial" w:cs="Arial"/>
                <w:sz w:val="18"/>
                <w:szCs w:val="18"/>
                <w:lang w:val="en-US"/>
              </w:rPr>
              <w:t>Non-governmental pensions are provided to employees through the Non-State Pension Fund Otkritie.</w:t>
            </w:r>
          </w:p>
          <w:p w14:paraId="56159C46" w14:textId="77777777" w:rsidR="00D66577" w:rsidRPr="00BD295E" w:rsidRDefault="008A5057" w:rsidP="0027083B">
            <w:pPr>
              <w:widowControl w:val="0"/>
              <w:shd w:val="clear" w:color="auto" w:fill="FFFFFF"/>
              <w:tabs>
                <w:tab w:val="left" w:pos="343"/>
              </w:tabs>
              <w:spacing w:after="120"/>
              <w:contextualSpacing/>
              <w:jc w:val="both"/>
              <w:rPr>
                <w:rFonts w:ascii="Arial" w:hAnsi="Arial" w:cs="Arial"/>
                <w:sz w:val="18"/>
                <w:szCs w:val="18"/>
                <w:lang w:val="en-US"/>
              </w:rPr>
            </w:pPr>
            <w:r w:rsidRPr="00BD295E">
              <w:rPr>
                <w:rFonts w:ascii="Arial" w:hAnsi="Arial" w:cs="Arial"/>
                <w:sz w:val="18"/>
                <w:szCs w:val="18"/>
                <w:lang w:val="en-US"/>
              </w:rPr>
              <w:t>The following non-governmental pension programs were implemented in 2018:</w:t>
            </w:r>
          </w:p>
          <w:p w14:paraId="1618FAF4" w14:textId="77777777" w:rsidR="00D66577" w:rsidRPr="00BD295E" w:rsidRDefault="008A5057" w:rsidP="00CA2271">
            <w:pPr>
              <w:numPr>
                <w:ilvl w:val="0"/>
                <w:numId w:val="32"/>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the Supporting Program implemented as part of the Corporate Plan, under which the Company organizes non-governmental pensions for its retirees. </w:t>
            </w:r>
          </w:p>
          <w:p w14:paraId="57602E18" w14:textId="77777777" w:rsidR="00D66577" w:rsidRPr="00BD295E" w:rsidRDefault="008A5057" w:rsidP="00CA2271">
            <w:pPr>
              <w:numPr>
                <w:ilvl w:val="0"/>
                <w:numId w:val="32"/>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the Company and Employee Joint Pension Funding Program, implemented as part of the Parity Plan, under which the Company and the employee jointly participate in the funding of the employee's non-governmental pension on a parity basis. </w:t>
            </w:r>
          </w:p>
          <w:p w14:paraId="1FD52530" w14:textId="77777777" w:rsidR="00D66577" w:rsidRPr="00BD295E" w:rsidRDefault="008A5057" w:rsidP="00CA2271">
            <w:pPr>
              <w:numPr>
                <w:ilvl w:val="0"/>
                <w:numId w:val="32"/>
              </w:numPr>
              <w:tabs>
                <w:tab w:val="left" w:pos="343"/>
              </w:tabs>
              <w:ind w:left="0" w:firstLine="0"/>
              <w:contextualSpacing/>
              <w:jc w:val="both"/>
              <w:rPr>
                <w:rFonts w:ascii="Arial" w:hAnsi="Arial" w:cs="Arial"/>
                <w:sz w:val="18"/>
                <w:szCs w:val="18"/>
                <w:lang w:val="en-US"/>
              </w:rPr>
            </w:pPr>
            <w:r w:rsidRPr="00BD295E">
              <w:rPr>
                <w:rFonts w:ascii="Arial" w:hAnsi="Arial" w:cs="Arial"/>
                <w:sz w:val="18"/>
                <w:szCs w:val="18"/>
                <w:lang w:val="en-US"/>
              </w:rPr>
              <w:t xml:space="preserve">the “Co-financing” Program aimed at supporting pension savings within the framework of Federal Law No. 56-FZ </w:t>
            </w:r>
            <w:r w:rsidR="008B183C" w:rsidRPr="00BD295E">
              <w:rPr>
                <w:rFonts w:ascii="Arial" w:hAnsi="Arial" w:cs="Arial"/>
                <w:sz w:val="18"/>
                <w:szCs w:val="18"/>
                <w:lang w:val="en-US"/>
              </w:rPr>
              <w:t>of</w:t>
            </w:r>
            <w:r w:rsidRPr="00BD295E">
              <w:rPr>
                <w:rFonts w:ascii="Arial" w:hAnsi="Arial" w:cs="Arial"/>
                <w:sz w:val="18"/>
                <w:szCs w:val="18"/>
                <w:lang w:val="en-US"/>
              </w:rPr>
              <w:t xml:space="preserve"> April 30, 2008, </w:t>
            </w:r>
            <w:r w:rsidRPr="00BD295E">
              <w:rPr>
                <w:rFonts w:ascii="Arial" w:hAnsi="Arial" w:cs="Arial"/>
                <w:i/>
                <w:iCs/>
                <w:sz w:val="18"/>
                <w:szCs w:val="18"/>
                <w:lang w:val="en-US"/>
              </w:rPr>
              <w:t>On Additional Insurance Contributions to the Funded Part of the Employment Pension and State Support for Funding of Pension Savings</w:t>
            </w:r>
            <w:r w:rsidRPr="00BD295E">
              <w:rPr>
                <w:rFonts w:ascii="Arial" w:hAnsi="Arial" w:cs="Arial"/>
                <w:sz w:val="18"/>
                <w:szCs w:val="18"/>
                <w:lang w:val="en-US"/>
              </w:rPr>
              <w:t xml:space="preserve">. </w:t>
            </w:r>
          </w:p>
        </w:tc>
      </w:tr>
      <w:tr w:rsidR="008A5057" w:rsidRPr="00BD295E" w14:paraId="4718D9D1" w14:textId="77777777" w:rsidTr="0027083B">
        <w:tc>
          <w:tcPr>
            <w:tcW w:w="3341" w:type="dxa"/>
            <w:vAlign w:val="center"/>
          </w:tcPr>
          <w:p w14:paraId="5E735B12" w14:textId="77777777" w:rsidR="00D66577" w:rsidRPr="00BD295E" w:rsidRDefault="008A5057" w:rsidP="0027083B">
            <w:pPr>
              <w:jc w:val="both"/>
              <w:rPr>
                <w:rFonts w:ascii="Arial" w:eastAsia="Calibri" w:hAnsi="Arial" w:cs="Arial"/>
                <w:sz w:val="18"/>
                <w:szCs w:val="18"/>
                <w:lang w:val="en-US"/>
              </w:rPr>
            </w:pPr>
            <w:r w:rsidRPr="00BD295E">
              <w:rPr>
                <w:rFonts w:ascii="Arial" w:hAnsi="Arial" w:cs="Arial"/>
                <w:sz w:val="18"/>
                <w:szCs w:val="18"/>
                <w:lang w:val="en-US"/>
              </w:rPr>
              <w:t>Award policy</w:t>
            </w:r>
          </w:p>
        </w:tc>
        <w:tc>
          <w:tcPr>
            <w:tcW w:w="6265" w:type="dxa"/>
          </w:tcPr>
          <w:p w14:paraId="0A79A546" w14:textId="77777777" w:rsidR="00D66577" w:rsidRPr="00BD295E" w:rsidRDefault="008A5057" w:rsidP="0027083B">
            <w:pPr>
              <w:tabs>
                <w:tab w:val="left" w:pos="0"/>
              </w:tabs>
              <w:jc w:val="both"/>
              <w:rPr>
                <w:rFonts w:ascii="Arial" w:hAnsi="Arial" w:cs="Arial"/>
                <w:sz w:val="18"/>
                <w:szCs w:val="18"/>
                <w:lang w:val="en-US"/>
              </w:rPr>
            </w:pPr>
            <w:r w:rsidRPr="00BD295E">
              <w:rPr>
                <w:rFonts w:ascii="Arial" w:hAnsi="Arial" w:cs="Arial"/>
                <w:sz w:val="18"/>
                <w:szCs w:val="18"/>
                <w:lang w:val="en-US"/>
              </w:rPr>
              <w:t>In 2018, 870 employees of the Company received the following awards:</w:t>
            </w:r>
          </w:p>
          <w:p w14:paraId="77C618D6" w14:textId="77777777" w:rsidR="00D66577" w:rsidRPr="00BD295E" w:rsidRDefault="008A5057" w:rsidP="00CA2271">
            <w:pPr>
              <w:pStyle w:val="af3"/>
              <w:numPr>
                <w:ilvl w:val="0"/>
                <w:numId w:val="32"/>
              </w:numPr>
              <w:tabs>
                <w:tab w:val="left" w:pos="119"/>
              </w:tabs>
              <w:ind w:left="-80" w:firstLine="0"/>
              <w:jc w:val="both"/>
              <w:rPr>
                <w:rFonts w:ascii="Arial" w:hAnsi="Arial" w:cs="Arial"/>
                <w:sz w:val="18"/>
                <w:szCs w:val="18"/>
                <w:lang w:val="en-US"/>
              </w:rPr>
            </w:pPr>
            <w:r w:rsidRPr="00BD295E">
              <w:rPr>
                <w:rFonts w:ascii="Arial" w:hAnsi="Arial" w:cs="Arial"/>
                <w:sz w:val="18"/>
                <w:szCs w:val="18"/>
                <w:lang w:val="en-US"/>
              </w:rPr>
              <w:t>departmental awards of the Russian Ministry of Energy – 27 employees,</w:t>
            </w:r>
          </w:p>
          <w:p w14:paraId="05B3C29B" w14:textId="77777777" w:rsidR="00D66577" w:rsidRPr="00BD295E" w:rsidRDefault="008A5057" w:rsidP="00CA2271">
            <w:pPr>
              <w:pStyle w:val="af3"/>
              <w:numPr>
                <w:ilvl w:val="0"/>
                <w:numId w:val="32"/>
              </w:numPr>
              <w:tabs>
                <w:tab w:val="left" w:pos="0"/>
                <w:tab w:val="left" w:pos="119"/>
              </w:tabs>
              <w:ind w:left="-80" w:firstLine="0"/>
              <w:jc w:val="both"/>
              <w:rPr>
                <w:rFonts w:ascii="Arial" w:hAnsi="Arial" w:cs="Arial"/>
                <w:sz w:val="18"/>
                <w:szCs w:val="18"/>
                <w:lang w:val="en-US"/>
              </w:rPr>
            </w:pPr>
            <w:r w:rsidRPr="00BD295E">
              <w:rPr>
                <w:rFonts w:ascii="Arial" w:hAnsi="Arial" w:cs="Arial"/>
                <w:sz w:val="18"/>
                <w:szCs w:val="18"/>
                <w:lang w:val="en-US"/>
              </w:rPr>
              <w:t xml:space="preserve">industry awards of ORaEl – 29 employees, </w:t>
            </w:r>
          </w:p>
          <w:p w14:paraId="5C3D6755" w14:textId="77777777" w:rsidR="00D66577" w:rsidRPr="00BD295E" w:rsidRDefault="008A5057" w:rsidP="00CA2271">
            <w:pPr>
              <w:pStyle w:val="af3"/>
              <w:numPr>
                <w:ilvl w:val="0"/>
                <w:numId w:val="32"/>
              </w:numPr>
              <w:tabs>
                <w:tab w:val="left" w:pos="0"/>
                <w:tab w:val="left" w:pos="119"/>
              </w:tabs>
              <w:ind w:left="-80" w:firstLine="0"/>
              <w:jc w:val="both"/>
              <w:rPr>
                <w:rFonts w:ascii="Arial" w:hAnsi="Arial" w:cs="Arial"/>
                <w:sz w:val="18"/>
                <w:szCs w:val="18"/>
                <w:lang w:val="en-US"/>
              </w:rPr>
            </w:pPr>
            <w:r w:rsidRPr="00BD295E">
              <w:rPr>
                <w:rFonts w:ascii="Arial" w:hAnsi="Arial" w:cs="Arial"/>
                <w:sz w:val="18"/>
                <w:szCs w:val="18"/>
                <w:lang w:val="en-US"/>
              </w:rPr>
              <w:t xml:space="preserve">corporate awards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–- 91 employees; </w:t>
            </w:r>
          </w:p>
          <w:p w14:paraId="3AB21C78" w14:textId="77777777" w:rsidR="00D66577" w:rsidRPr="00BD295E" w:rsidRDefault="008A5057" w:rsidP="00CA2271">
            <w:pPr>
              <w:pStyle w:val="af3"/>
              <w:numPr>
                <w:ilvl w:val="0"/>
                <w:numId w:val="32"/>
              </w:numPr>
              <w:tabs>
                <w:tab w:val="left" w:pos="0"/>
                <w:tab w:val="left" w:pos="119"/>
              </w:tabs>
              <w:ind w:left="-80" w:firstLine="0"/>
              <w:jc w:val="both"/>
              <w:rPr>
                <w:rFonts w:ascii="Arial" w:hAnsi="Arial" w:cs="Arial"/>
                <w:sz w:val="18"/>
                <w:szCs w:val="18"/>
                <w:lang w:val="en-US"/>
              </w:rPr>
            </w:pPr>
            <w:r w:rsidRPr="00BD295E">
              <w:rPr>
                <w:rFonts w:ascii="Arial" w:hAnsi="Arial" w:cs="Arial"/>
                <w:sz w:val="18"/>
                <w:szCs w:val="18"/>
                <w:lang w:val="en-US"/>
              </w:rPr>
              <w:t xml:space="preserve">corporate awards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 686 employees;</w:t>
            </w:r>
          </w:p>
          <w:p w14:paraId="5DFAF358" w14:textId="77777777" w:rsidR="00D66577" w:rsidRPr="00BD295E" w:rsidRDefault="008A5057" w:rsidP="00CA2271">
            <w:pPr>
              <w:pStyle w:val="af3"/>
              <w:numPr>
                <w:ilvl w:val="0"/>
                <w:numId w:val="32"/>
              </w:numPr>
              <w:tabs>
                <w:tab w:val="left" w:pos="0"/>
                <w:tab w:val="left" w:pos="119"/>
              </w:tabs>
              <w:ind w:left="-80" w:firstLine="0"/>
              <w:jc w:val="both"/>
              <w:rPr>
                <w:rFonts w:ascii="Arial" w:hAnsi="Arial" w:cs="Arial"/>
                <w:sz w:val="18"/>
                <w:szCs w:val="18"/>
                <w:lang w:val="en-US"/>
              </w:rPr>
            </w:pPr>
            <w:r w:rsidRPr="00BD295E">
              <w:rPr>
                <w:rFonts w:ascii="Arial" w:hAnsi="Arial" w:cs="Arial"/>
                <w:sz w:val="18"/>
                <w:szCs w:val="18"/>
                <w:lang w:val="en-US"/>
              </w:rPr>
              <w:t>awards of the Energy and Engineering Support Committee of Saint Petersburg – 8 persons</w:t>
            </w:r>
          </w:p>
          <w:p w14:paraId="7F56694E" w14:textId="77777777" w:rsidR="00D66577" w:rsidRPr="00BD295E" w:rsidRDefault="008A5057" w:rsidP="00CA2271">
            <w:pPr>
              <w:pStyle w:val="af3"/>
              <w:numPr>
                <w:ilvl w:val="0"/>
                <w:numId w:val="32"/>
              </w:numPr>
              <w:tabs>
                <w:tab w:val="left" w:pos="0"/>
                <w:tab w:val="left" w:pos="119"/>
              </w:tabs>
              <w:ind w:left="-80" w:firstLine="0"/>
              <w:jc w:val="both"/>
              <w:rPr>
                <w:rFonts w:ascii="Arial" w:hAnsi="Arial" w:cs="Arial"/>
                <w:sz w:val="18"/>
                <w:szCs w:val="18"/>
                <w:lang w:val="en-US"/>
              </w:rPr>
            </w:pPr>
            <w:r w:rsidRPr="00BD295E">
              <w:rPr>
                <w:rFonts w:ascii="Arial" w:hAnsi="Arial" w:cs="Arial"/>
                <w:sz w:val="18"/>
                <w:szCs w:val="18"/>
                <w:lang w:val="en-US"/>
              </w:rPr>
              <w:t>awards of the Energy Committee of the Leningrad Region – 16 employees,</w:t>
            </w:r>
          </w:p>
          <w:p w14:paraId="3112DC95" w14:textId="77777777" w:rsidR="00D66577" w:rsidRPr="00BD295E" w:rsidRDefault="008A5057" w:rsidP="00CA2271">
            <w:pPr>
              <w:pStyle w:val="af3"/>
              <w:numPr>
                <w:ilvl w:val="0"/>
                <w:numId w:val="32"/>
              </w:numPr>
              <w:tabs>
                <w:tab w:val="left" w:pos="0"/>
                <w:tab w:val="left" w:pos="119"/>
              </w:tabs>
              <w:ind w:left="-80" w:firstLine="0"/>
              <w:jc w:val="both"/>
              <w:rPr>
                <w:rFonts w:ascii="Arial" w:hAnsi="Arial" w:cs="Arial"/>
                <w:sz w:val="18"/>
                <w:szCs w:val="18"/>
                <w:lang w:val="en-US"/>
              </w:rPr>
            </w:pPr>
            <w:r w:rsidRPr="00BD295E">
              <w:rPr>
                <w:rFonts w:ascii="Arial" w:hAnsi="Arial" w:cs="Arial"/>
                <w:sz w:val="18"/>
                <w:szCs w:val="18"/>
                <w:lang w:val="en-US"/>
              </w:rPr>
              <w:t>awards of the Governor of Saint Petersburg – 6 employees,</w:t>
            </w:r>
          </w:p>
          <w:p w14:paraId="3BA514B9" w14:textId="77777777" w:rsidR="00D66577" w:rsidRPr="00BD295E" w:rsidRDefault="008A5057" w:rsidP="0027083B">
            <w:pPr>
              <w:tabs>
                <w:tab w:val="left" w:pos="0"/>
              </w:tabs>
              <w:jc w:val="both"/>
              <w:rPr>
                <w:rFonts w:ascii="Arial" w:hAnsi="Arial" w:cs="Arial"/>
                <w:sz w:val="18"/>
                <w:szCs w:val="18"/>
                <w:lang w:val="en-US"/>
              </w:rPr>
            </w:pPr>
            <w:r w:rsidRPr="00BD295E">
              <w:rPr>
                <w:rFonts w:ascii="Arial" w:hAnsi="Arial" w:cs="Arial"/>
                <w:sz w:val="18"/>
                <w:szCs w:val="18"/>
                <w:lang w:val="en-US"/>
              </w:rPr>
              <w:t>awards of the Government of the Leningrad Region – 7 employees.</w:t>
            </w:r>
          </w:p>
        </w:tc>
      </w:tr>
      <w:tr w:rsidR="008A5057" w:rsidRPr="00BD295E" w14:paraId="1E18D5DD" w14:textId="77777777" w:rsidTr="0027083B">
        <w:tc>
          <w:tcPr>
            <w:tcW w:w="3341" w:type="dxa"/>
            <w:vAlign w:val="center"/>
          </w:tcPr>
          <w:p w14:paraId="1F691440" w14:textId="77777777" w:rsidR="00D66577" w:rsidRPr="00BD295E" w:rsidRDefault="008A5057" w:rsidP="0027083B">
            <w:pPr>
              <w:jc w:val="both"/>
              <w:rPr>
                <w:rFonts w:ascii="Arial" w:eastAsia="Calibri" w:hAnsi="Arial" w:cs="Arial"/>
                <w:sz w:val="18"/>
                <w:szCs w:val="18"/>
                <w:lang w:val="en-US"/>
              </w:rPr>
            </w:pPr>
            <w:r w:rsidRPr="00BD295E">
              <w:rPr>
                <w:rFonts w:ascii="Arial" w:hAnsi="Arial" w:cs="Arial"/>
                <w:sz w:val="18"/>
                <w:szCs w:val="18"/>
                <w:lang w:val="en-US"/>
              </w:rPr>
              <w:t>Work with young people and veterans</w:t>
            </w:r>
          </w:p>
          <w:p w14:paraId="1D3A8F41" w14:textId="77777777" w:rsidR="00D66577" w:rsidRPr="00BD295E" w:rsidRDefault="00D66577" w:rsidP="0027083B">
            <w:pPr>
              <w:jc w:val="both"/>
              <w:rPr>
                <w:rFonts w:ascii="Arial" w:hAnsi="Arial" w:cs="Arial"/>
                <w:sz w:val="18"/>
                <w:szCs w:val="18"/>
                <w:lang w:val="en-US"/>
              </w:rPr>
            </w:pPr>
          </w:p>
        </w:tc>
        <w:tc>
          <w:tcPr>
            <w:tcW w:w="6265" w:type="dxa"/>
          </w:tcPr>
          <w:p w14:paraId="6A966656" w14:textId="77777777" w:rsidR="00D66577" w:rsidRPr="00BD295E" w:rsidRDefault="008A5057" w:rsidP="0027083B">
            <w:pPr>
              <w:tabs>
                <w:tab w:val="left" w:pos="343"/>
              </w:tabs>
              <w:jc w:val="both"/>
              <w:rPr>
                <w:rFonts w:ascii="Arial" w:hAnsi="Arial" w:cs="Arial"/>
                <w:sz w:val="18"/>
                <w:szCs w:val="18"/>
                <w:lang w:val="en-US"/>
              </w:rPr>
            </w:pPr>
            <w:r w:rsidRPr="00BD295E">
              <w:rPr>
                <w:rFonts w:ascii="Arial" w:hAnsi="Arial" w:cs="Arial"/>
                <w:sz w:val="18"/>
                <w:szCs w:val="18"/>
                <w:lang w:val="en-US"/>
              </w:rPr>
              <w:t xml:space="preserve">Great Patriotic War veterans and home front workers who worked at the Company are annually invited to events dedicated to the Leningrad Siege Lifting Day, Victory Day, and the Day of Breaking the Energy Blockade. For each commemorative event, veterans of the Company receive greeting cards on behalf of the CEO. In order to commemorate historical events, relevant congratulatory posters are distributed across all branches of the Company and its executive arm. </w:t>
            </w:r>
          </w:p>
          <w:p w14:paraId="26E0D426" w14:textId="77777777" w:rsidR="00D66577" w:rsidRPr="00BD295E" w:rsidRDefault="008A5057" w:rsidP="0027083B">
            <w:pPr>
              <w:tabs>
                <w:tab w:val="left" w:pos="343"/>
              </w:tabs>
              <w:ind w:firstLine="61"/>
              <w:contextualSpacing/>
              <w:jc w:val="both"/>
              <w:rPr>
                <w:rFonts w:ascii="Arial" w:hAnsi="Arial" w:cs="Arial"/>
                <w:sz w:val="18"/>
                <w:szCs w:val="18"/>
                <w:lang w:val="en-US"/>
              </w:rPr>
            </w:pPr>
            <w:r w:rsidRPr="00BD295E">
              <w:rPr>
                <w:rFonts w:ascii="Arial" w:hAnsi="Arial" w:cs="Arial"/>
                <w:sz w:val="18"/>
                <w:szCs w:val="18"/>
                <w:lang w:val="en-US"/>
              </w:rPr>
              <w:t>In 2018, the following events were held involving retired veterans and the Council of Young Specialists of the Company:</w:t>
            </w:r>
          </w:p>
          <w:p w14:paraId="1A3786A8" w14:textId="77777777" w:rsidR="00D66577" w:rsidRPr="00BD295E" w:rsidRDefault="008A5057" w:rsidP="0027083B">
            <w:pPr>
              <w:tabs>
                <w:tab w:val="left" w:pos="343"/>
              </w:tabs>
              <w:ind w:firstLine="61"/>
              <w:contextualSpacing/>
              <w:jc w:val="both"/>
              <w:rPr>
                <w:rFonts w:ascii="Arial" w:hAnsi="Arial" w:cs="Arial"/>
                <w:sz w:val="18"/>
                <w:szCs w:val="18"/>
                <w:lang w:val="en-US"/>
              </w:rPr>
            </w:pPr>
            <w:r w:rsidRPr="00BD295E">
              <w:rPr>
                <w:rFonts w:ascii="Arial" w:hAnsi="Arial" w:cs="Arial"/>
                <w:sz w:val="18"/>
                <w:szCs w:val="18"/>
                <w:lang w:val="en-US"/>
              </w:rPr>
              <w:t xml:space="preserve">- In January, to commemorate the 74th anniversary of the lifting of the Siege of Leningrad, veteran power engineers and 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took part in the laying of wreaths and flowers at the Motherland memorial and the memorial plate commemorating power engineers who defended Leningrad during the Great Patriotic War at the Piskarevsky memorial cemetery. </w:t>
            </w:r>
          </w:p>
          <w:p w14:paraId="5F358E21" w14:textId="77777777" w:rsidR="00D66577" w:rsidRPr="00BD295E" w:rsidRDefault="008A5057" w:rsidP="0027083B">
            <w:pPr>
              <w:tabs>
                <w:tab w:val="left" w:pos="343"/>
              </w:tabs>
              <w:ind w:firstLine="61"/>
              <w:contextualSpacing/>
              <w:jc w:val="both"/>
              <w:rPr>
                <w:rFonts w:ascii="Arial" w:hAnsi="Arial" w:cs="Arial"/>
                <w:sz w:val="18"/>
                <w:szCs w:val="18"/>
                <w:lang w:val="en-US"/>
              </w:rPr>
            </w:pPr>
            <w:r w:rsidRPr="00BD295E">
              <w:rPr>
                <w:rFonts w:ascii="Arial" w:hAnsi="Arial" w:cs="Arial"/>
                <w:sz w:val="18"/>
                <w:szCs w:val="18"/>
                <w:lang w:val="en-US"/>
              </w:rPr>
              <w:t xml:space="preserve">A bus tour under the motto </w:t>
            </w:r>
            <w:r w:rsidRPr="00BD295E">
              <w:rPr>
                <w:rFonts w:ascii="Arial" w:hAnsi="Arial" w:cs="Arial"/>
                <w:i/>
                <w:iCs/>
                <w:sz w:val="18"/>
                <w:szCs w:val="18"/>
                <w:lang w:val="en-US"/>
              </w:rPr>
              <w:t>Nothing is Forgotten: Visiting the Monuments of the Siege of Leningrad</w:t>
            </w:r>
            <w:r w:rsidRPr="00BD295E">
              <w:rPr>
                <w:rFonts w:ascii="Arial" w:hAnsi="Arial" w:cs="Arial"/>
                <w:sz w:val="18"/>
                <w:szCs w:val="18"/>
                <w:lang w:val="en-US"/>
              </w:rPr>
              <w:t xml:space="preserve"> as well as a visit to the Musical Comedy Theater were organized for retired veterans.</w:t>
            </w:r>
          </w:p>
          <w:p w14:paraId="249A838C" w14:textId="77777777" w:rsidR="00D66577" w:rsidRPr="00BD295E" w:rsidRDefault="008A5057" w:rsidP="0027083B">
            <w:pPr>
              <w:tabs>
                <w:tab w:val="left" w:pos="343"/>
              </w:tabs>
              <w:ind w:firstLine="61"/>
              <w:contextualSpacing/>
              <w:jc w:val="both"/>
              <w:rPr>
                <w:rFonts w:ascii="Arial" w:hAnsi="Arial" w:cs="Arial"/>
                <w:sz w:val="18"/>
                <w:szCs w:val="18"/>
                <w:lang w:val="en-US"/>
              </w:rPr>
            </w:pPr>
            <w:r w:rsidRPr="00BD295E">
              <w:rPr>
                <w:rFonts w:ascii="Arial" w:hAnsi="Arial" w:cs="Arial"/>
                <w:sz w:val="18"/>
                <w:szCs w:val="18"/>
                <w:lang w:val="en-US"/>
              </w:rPr>
              <w:t xml:space="preserve">- In May, to commemorate the 73rd anniversary of the Victory in the Great Patriotic War, veteran power engineers took part in a flower laying ceremony at the Monument to the Heroic Defenders of Leningrad on Victory Square and visited the Russia – My History multimedia center. </w:t>
            </w:r>
          </w:p>
          <w:p w14:paraId="56B5597D" w14:textId="77777777" w:rsidR="00D66577" w:rsidRPr="00BD295E" w:rsidRDefault="008A5057" w:rsidP="0027083B">
            <w:pPr>
              <w:tabs>
                <w:tab w:val="left" w:pos="0"/>
              </w:tabs>
              <w:ind w:firstLine="61"/>
              <w:contextualSpacing/>
              <w:jc w:val="both"/>
              <w:rPr>
                <w:rFonts w:ascii="Arial" w:hAnsi="Arial" w:cs="Arial"/>
                <w:sz w:val="18"/>
                <w:szCs w:val="18"/>
                <w:lang w:val="en-US"/>
              </w:rPr>
            </w:pPr>
            <w:r w:rsidRPr="00BD295E">
              <w:rPr>
                <w:rFonts w:ascii="Arial" w:hAnsi="Arial" w:cs="Arial"/>
                <w:sz w:val="18"/>
                <w:szCs w:val="18"/>
                <w:lang w:val="en-US"/>
              </w:rPr>
              <w:t>- In September, to commemorate the 76th anniversary of the breaking of the energy blockade of Leningrad, retired veterans took part in laying flowers and wreaths at the Storks Memorial at the Nevsky Military Cemetery and visited the Breaking of the Siege of Leningrad Museum in Kirovsk.</w:t>
            </w:r>
          </w:p>
          <w:p w14:paraId="06370321" w14:textId="77777777" w:rsidR="00D66577" w:rsidRPr="00BD295E" w:rsidRDefault="008A5057" w:rsidP="0027083B">
            <w:pPr>
              <w:tabs>
                <w:tab w:val="left" w:pos="0"/>
              </w:tabs>
              <w:ind w:firstLine="61"/>
              <w:contextualSpacing/>
              <w:jc w:val="both"/>
              <w:rPr>
                <w:rFonts w:ascii="Arial" w:hAnsi="Arial" w:cs="Arial"/>
                <w:sz w:val="18"/>
                <w:szCs w:val="18"/>
                <w:lang w:val="en-US"/>
              </w:rPr>
            </w:pPr>
            <w:r w:rsidRPr="00BD295E">
              <w:rPr>
                <w:rFonts w:ascii="Arial" w:hAnsi="Arial" w:cs="Arial"/>
                <w:sz w:val="18"/>
                <w:szCs w:val="18"/>
                <w:lang w:val="en-US"/>
              </w:rPr>
              <w:t>The Company’s Council of Young Specialists successfully implemented the activity plan approved for 2018. In the reporting year, our young specialists took part in:</w:t>
            </w:r>
          </w:p>
          <w:p w14:paraId="077FBFFD" w14:textId="77777777" w:rsidR="00D66577" w:rsidRPr="00BD295E" w:rsidRDefault="008A5057" w:rsidP="00CA2271">
            <w:pPr>
              <w:pStyle w:val="af3"/>
              <w:numPr>
                <w:ilvl w:val="0"/>
                <w:numId w:val="32"/>
              </w:numPr>
              <w:tabs>
                <w:tab w:val="left" w:pos="0"/>
              </w:tabs>
              <w:ind w:left="0" w:firstLine="61"/>
              <w:jc w:val="both"/>
              <w:rPr>
                <w:rFonts w:ascii="Arial" w:hAnsi="Arial" w:cs="Arial"/>
                <w:sz w:val="18"/>
                <w:szCs w:val="18"/>
                <w:lang w:val="en-US"/>
              </w:rPr>
            </w:pPr>
            <w:r w:rsidRPr="00BD295E">
              <w:rPr>
                <w:rFonts w:ascii="Arial" w:hAnsi="Arial" w:cs="Arial"/>
                <w:sz w:val="18"/>
                <w:szCs w:val="18"/>
                <w:lang w:val="en-US"/>
              </w:rPr>
              <w:t xml:space="preserve">the International Youth Energy Forum of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4AF50CD3" w14:textId="77777777" w:rsidR="00D66577" w:rsidRPr="00BD295E" w:rsidRDefault="008A5057" w:rsidP="00CA2271">
            <w:pPr>
              <w:numPr>
                <w:ilvl w:val="0"/>
                <w:numId w:val="113"/>
              </w:numPr>
              <w:tabs>
                <w:tab w:val="left" w:pos="0"/>
              </w:tabs>
              <w:ind w:left="0" w:firstLine="61"/>
              <w:contextualSpacing/>
              <w:jc w:val="both"/>
              <w:rPr>
                <w:rFonts w:ascii="Arial" w:hAnsi="Arial" w:cs="Arial"/>
                <w:sz w:val="18"/>
                <w:szCs w:val="18"/>
                <w:lang w:val="en-US"/>
              </w:rPr>
            </w:pPr>
            <w:r w:rsidRPr="00BD295E">
              <w:rPr>
                <w:rFonts w:ascii="Arial" w:hAnsi="Arial" w:cs="Arial"/>
                <w:sz w:val="18"/>
                <w:szCs w:val="18"/>
                <w:lang w:val="en-US"/>
              </w:rPr>
              <w:t xml:space="preserve">a project to develop the Forecast of Technological Development of the Russian Energy Sector in the Context of Global Trends. The project focuses on </w:t>
            </w:r>
            <w:r w:rsidRPr="00BD295E">
              <w:rPr>
                <w:rFonts w:ascii="Arial" w:hAnsi="Arial" w:cs="Arial"/>
                <w:i/>
                <w:iCs/>
                <w:sz w:val="18"/>
                <w:szCs w:val="18"/>
                <w:lang w:val="en-US"/>
              </w:rPr>
              <w:t xml:space="preserve">Smart Electricity, Heat, and Gas Supply Systems, Integration of Various Types of Energy Resources and Distributed Energy </w:t>
            </w:r>
            <w:r w:rsidR="00DE61D5" w:rsidRPr="00BD295E">
              <w:rPr>
                <w:rFonts w:ascii="Arial" w:hAnsi="Arial" w:cs="Arial"/>
                <w:i/>
                <w:iCs/>
                <w:sz w:val="18"/>
                <w:szCs w:val="18"/>
                <w:lang w:val="en-US"/>
              </w:rPr>
              <w:t>Power generation facilities</w:t>
            </w:r>
            <w:r w:rsidRPr="00BD295E">
              <w:rPr>
                <w:rFonts w:ascii="Arial" w:hAnsi="Arial" w:cs="Arial"/>
                <w:sz w:val="18"/>
                <w:szCs w:val="18"/>
                <w:lang w:val="en-US"/>
              </w:rPr>
              <w:t>;</w:t>
            </w:r>
          </w:p>
          <w:p w14:paraId="35F9D22B" w14:textId="77777777" w:rsidR="00D66577" w:rsidRPr="00BD295E" w:rsidRDefault="008A5057" w:rsidP="00CA2271">
            <w:pPr>
              <w:numPr>
                <w:ilvl w:val="0"/>
                <w:numId w:val="113"/>
              </w:numPr>
              <w:tabs>
                <w:tab w:val="left" w:pos="0"/>
              </w:tabs>
              <w:ind w:left="0" w:firstLine="61"/>
              <w:contextualSpacing/>
              <w:jc w:val="both"/>
              <w:rPr>
                <w:rFonts w:ascii="Arial" w:hAnsi="Arial" w:cs="Arial"/>
                <w:sz w:val="18"/>
                <w:szCs w:val="18"/>
                <w:lang w:val="en-US"/>
              </w:rPr>
            </w:pPr>
            <w:r w:rsidRPr="00BD295E">
              <w:rPr>
                <w:rFonts w:ascii="Arial" w:hAnsi="Arial" w:cs="Arial"/>
                <w:sz w:val="18"/>
                <w:szCs w:val="18"/>
                <w:lang w:val="en-US"/>
              </w:rPr>
              <w:t xml:space="preserve">in the Russian Energy Week International Forum in which the young talents of the Company presented their project, </w:t>
            </w:r>
            <w:r w:rsidRPr="00BD295E">
              <w:rPr>
                <w:rFonts w:ascii="Arial" w:hAnsi="Arial" w:cs="Arial"/>
                <w:i/>
                <w:iCs/>
                <w:sz w:val="18"/>
                <w:szCs w:val="18"/>
                <w:lang w:val="en-US"/>
              </w:rPr>
              <w:t>Breakthrough in Equipment Diagnostics Using DC Neural Networks</w:t>
            </w:r>
            <w:r w:rsidRPr="00BD295E">
              <w:rPr>
                <w:rFonts w:ascii="Arial" w:hAnsi="Arial" w:cs="Arial"/>
                <w:sz w:val="18"/>
                <w:szCs w:val="18"/>
                <w:lang w:val="en-US"/>
              </w:rPr>
              <w:t xml:space="preserve"> and won the second prize in the </w:t>
            </w:r>
            <w:r w:rsidRPr="00BD295E">
              <w:rPr>
                <w:rFonts w:ascii="Arial" w:hAnsi="Arial" w:cs="Arial"/>
                <w:i/>
                <w:iCs/>
                <w:sz w:val="18"/>
                <w:szCs w:val="18"/>
                <w:lang w:val="en-US"/>
              </w:rPr>
              <w:t>Technology Projects</w:t>
            </w:r>
            <w:r w:rsidRPr="00BD295E">
              <w:rPr>
                <w:rFonts w:ascii="Arial" w:hAnsi="Arial" w:cs="Arial"/>
                <w:sz w:val="18"/>
                <w:szCs w:val="18"/>
                <w:lang w:val="en-US"/>
              </w:rPr>
              <w:t xml:space="preserve"> category;</w:t>
            </w:r>
          </w:p>
          <w:p w14:paraId="4C009B74" w14:textId="77777777" w:rsidR="00D66577" w:rsidRPr="00BD295E" w:rsidRDefault="008A5057" w:rsidP="00CA2271">
            <w:pPr>
              <w:numPr>
                <w:ilvl w:val="0"/>
                <w:numId w:val="113"/>
              </w:numPr>
              <w:tabs>
                <w:tab w:val="left" w:pos="0"/>
              </w:tabs>
              <w:ind w:left="0" w:firstLine="61"/>
              <w:contextualSpacing/>
              <w:jc w:val="both"/>
              <w:rPr>
                <w:rFonts w:ascii="Arial" w:hAnsi="Arial" w:cs="Arial"/>
                <w:sz w:val="18"/>
                <w:szCs w:val="18"/>
                <w:lang w:val="en-US"/>
              </w:rPr>
            </w:pPr>
            <w:r w:rsidRPr="00BD295E">
              <w:rPr>
                <w:rFonts w:ascii="Arial" w:hAnsi="Arial" w:cs="Arial"/>
                <w:sz w:val="18"/>
                <w:szCs w:val="18"/>
                <w:lang w:val="en-US"/>
              </w:rPr>
              <w:t xml:space="preserve">the 10th Lenenergo START conference of the Youth Innovation Center held as a part of the Russian International Energy Forum; </w:t>
            </w:r>
          </w:p>
          <w:p w14:paraId="4E589731" w14:textId="77777777" w:rsidR="00D66577" w:rsidRPr="00BD295E" w:rsidRDefault="008A5057" w:rsidP="00CA2271">
            <w:pPr>
              <w:numPr>
                <w:ilvl w:val="0"/>
                <w:numId w:val="113"/>
              </w:numPr>
              <w:tabs>
                <w:tab w:val="left" w:pos="0"/>
              </w:tabs>
              <w:ind w:left="0" w:firstLine="61"/>
              <w:contextualSpacing/>
              <w:jc w:val="both"/>
              <w:rPr>
                <w:rFonts w:ascii="Arial" w:hAnsi="Arial" w:cs="Arial"/>
                <w:sz w:val="18"/>
                <w:szCs w:val="18"/>
                <w:lang w:val="en-US"/>
              </w:rPr>
            </w:pPr>
            <w:r w:rsidRPr="00BD295E">
              <w:rPr>
                <w:rFonts w:ascii="Arial" w:hAnsi="Arial" w:cs="Arial"/>
                <w:sz w:val="18"/>
                <w:szCs w:val="18"/>
                <w:lang w:val="en-US"/>
              </w:rPr>
              <w:t xml:space="preserve">the Forsage 2018 All-Russian Forum as part of the corporate team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p>
          <w:p w14:paraId="37AD1BC7" w14:textId="77777777" w:rsidR="00D66577" w:rsidRPr="00BD295E" w:rsidRDefault="008A5057" w:rsidP="00CA2271">
            <w:pPr>
              <w:numPr>
                <w:ilvl w:val="0"/>
                <w:numId w:val="113"/>
              </w:numPr>
              <w:tabs>
                <w:tab w:val="left" w:pos="0"/>
              </w:tabs>
              <w:ind w:left="0" w:firstLine="61"/>
              <w:contextualSpacing/>
              <w:jc w:val="both"/>
              <w:rPr>
                <w:rFonts w:ascii="Arial" w:hAnsi="Arial" w:cs="Arial"/>
                <w:sz w:val="18"/>
                <w:szCs w:val="18"/>
                <w:lang w:val="en-US"/>
              </w:rPr>
            </w:pPr>
            <w:r w:rsidRPr="00BD295E">
              <w:rPr>
                <w:rFonts w:ascii="Arial" w:hAnsi="Arial" w:cs="Arial"/>
                <w:sz w:val="18"/>
                <w:szCs w:val="18"/>
                <w:lang w:val="en-US"/>
              </w:rPr>
              <w:t xml:space="preserve">The 11th </w:t>
            </w:r>
            <w:r w:rsidRPr="00BD295E">
              <w:rPr>
                <w:rFonts w:ascii="Arial" w:hAnsi="Arial" w:cs="Arial"/>
                <w:i/>
                <w:iCs/>
                <w:sz w:val="18"/>
                <w:szCs w:val="18"/>
                <w:lang w:val="en-US"/>
              </w:rPr>
              <w:t>Innovative Technologies in the Electricity Industry</w:t>
            </w:r>
            <w:r w:rsidRPr="00BD295E">
              <w:rPr>
                <w:rFonts w:ascii="Arial" w:hAnsi="Arial" w:cs="Arial"/>
                <w:sz w:val="18"/>
                <w:szCs w:val="18"/>
                <w:lang w:val="en-US"/>
              </w:rPr>
              <w:t xml:space="preserve"> conference of the Youth Innovation Center was held as part of the thematic week of the Energy and Engineering Support Committee of Saint Petersburg on the </w:t>
            </w:r>
            <w:r w:rsidRPr="00BD295E">
              <w:rPr>
                <w:rFonts w:ascii="Arial" w:hAnsi="Arial" w:cs="Arial"/>
                <w:i/>
                <w:iCs/>
                <w:sz w:val="18"/>
                <w:szCs w:val="18"/>
                <w:lang w:val="en-US"/>
              </w:rPr>
              <w:t>Strategy for the Development of the Power Engineering Sector of Saint Petersburg</w:t>
            </w:r>
            <w:r w:rsidRPr="00BD295E">
              <w:rPr>
                <w:rFonts w:ascii="Arial" w:hAnsi="Arial" w:cs="Arial"/>
                <w:sz w:val="18"/>
                <w:szCs w:val="18"/>
                <w:lang w:val="en-US"/>
              </w:rPr>
              <w:t xml:space="preserve">. </w:t>
            </w:r>
            <w:r w:rsidRPr="00BD295E">
              <w:rPr>
                <w:rFonts w:ascii="Arial" w:hAnsi="Arial" w:cs="Arial"/>
                <w:i/>
                <w:iCs/>
                <w:sz w:val="18"/>
                <w:szCs w:val="18"/>
                <w:lang w:val="en-US"/>
              </w:rPr>
              <w:t>Transformation.</w:t>
            </w:r>
            <w:r w:rsidRPr="00BD295E">
              <w:rPr>
                <w:rFonts w:ascii="Arial" w:hAnsi="Arial" w:cs="Arial"/>
                <w:sz w:val="18"/>
                <w:szCs w:val="18"/>
                <w:lang w:val="en-US"/>
              </w:rPr>
              <w:t xml:space="preserve"> </w:t>
            </w:r>
            <w:r w:rsidRPr="00BD295E">
              <w:rPr>
                <w:rFonts w:ascii="Arial" w:hAnsi="Arial" w:cs="Arial"/>
                <w:i/>
                <w:iCs/>
                <w:sz w:val="18"/>
                <w:szCs w:val="18"/>
                <w:lang w:val="en-US"/>
              </w:rPr>
              <w:t>Technologies.</w:t>
            </w:r>
            <w:r w:rsidRPr="00BD295E">
              <w:rPr>
                <w:rFonts w:ascii="Arial" w:hAnsi="Arial" w:cs="Arial"/>
                <w:sz w:val="18"/>
                <w:szCs w:val="18"/>
                <w:lang w:val="en-US"/>
              </w:rPr>
              <w:t xml:space="preserve">   </w:t>
            </w:r>
          </w:p>
          <w:p w14:paraId="070F6721" w14:textId="77777777" w:rsidR="00D66577" w:rsidRPr="00BD295E" w:rsidRDefault="008A5057" w:rsidP="00CA2271">
            <w:pPr>
              <w:numPr>
                <w:ilvl w:val="0"/>
                <w:numId w:val="113"/>
              </w:numPr>
              <w:tabs>
                <w:tab w:val="left" w:pos="0"/>
              </w:tabs>
              <w:ind w:left="0" w:firstLine="61"/>
              <w:contextualSpacing/>
              <w:jc w:val="both"/>
              <w:rPr>
                <w:rFonts w:ascii="Arial" w:hAnsi="Arial" w:cs="Arial"/>
                <w:sz w:val="18"/>
                <w:szCs w:val="18"/>
                <w:lang w:val="en-US"/>
              </w:rPr>
            </w:pPr>
            <w:r w:rsidRPr="00BD295E">
              <w:rPr>
                <w:rFonts w:ascii="Arial" w:hAnsi="Arial" w:cs="Arial"/>
                <w:sz w:val="18"/>
                <w:szCs w:val="18"/>
                <w:lang w:val="en-US"/>
              </w:rPr>
              <w:t>events for sharing experience in the implementation of youth policies in Japan.</w:t>
            </w:r>
          </w:p>
          <w:p w14:paraId="74F41B8D" w14:textId="77777777" w:rsidR="00D66577" w:rsidRPr="00BD295E" w:rsidRDefault="008A5057" w:rsidP="00CA2271">
            <w:pPr>
              <w:numPr>
                <w:ilvl w:val="0"/>
                <w:numId w:val="113"/>
              </w:numPr>
              <w:tabs>
                <w:tab w:val="left" w:pos="0"/>
              </w:tabs>
              <w:ind w:left="0" w:firstLine="61"/>
              <w:contextualSpacing/>
              <w:jc w:val="both"/>
              <w:rPr>
                <w:rFonts w:ascii="Arial" w:hAnsi="Arial" w:cs="Arial"/>
                <w:sz w:val="18"/>
                <w:szCs w:val="18"/>
                <w:lang w:val="en-US"/>
              </w:rPr>
            </w:pPr>
            <w:r w:rsidRPr="00BD295E">
              <w:rPr>
                <w:rFonts w:ascii="Arial" w:hAnsi="Arial" w:cs="Arial"/>
                <w:sz w:val="18"/>
                <w:szCs w:val="18"/>
                <w:lang w:val="en-US"/>
              </w:rPr>
              <w:t xml:space="preserve">the Working Youth Forum of Saint Petersburg. Competition for the best youth relations organization at Saint Petersburg companies in the </w:t>
            </w:r>
            <w:r w:rsidRPr="00BD295E">
              <w:rPr>
                <w:rFonts w:ascii="Arial" w:hAnsi="Arial" w:cs="Arial"/>
                <w:i/>
                <w:iCs/>
                <w:sz w:val="18"/>
                <w:szCs w:val="18"/>
                <w:lang w:val="en-US"/>
              </w:rPr>
              <w:t>Development of R&amp;D Potential of Working Youth</w:t>
            </w:r>
            <w:r w:rsidRPr="00BD295E">
              <w:rPr>
                <w:rFonts w:ascii="Arial" w:hAnsi="Arial" w:cs="Arial"/>
                <w:sz w:val="18"/>
                <w:szCs w:val="18"/>
                <w:lang w:val="en-US"/>
              </w:rPr>
              <w:t xml:space="preserve"> category, winning a 3rd Grade Diploma for operating the Youth Innovation Center; </w:t>
            </w:r>
          </w:p>
          <w:p w14:paraId="53D1E3C3" w14:textId="77777777" w:rsidR="00D66577" w:rsidRPr="00BD295E" w:rsidRDefault="008A5057" w:rsidP="00CA2271">
            <w:pPr>
              <w:numPr>
                <w:ilvl w:val="0"/>
                <w:numId w:val="113"/>
              </w:numPr>
              <w:tabs>
                <w:tab w:val="left" w:pos="0"/>
              </w:tabs>
              <w:ind w:left="0" w:firstLine="61"/>
              <w:contextualSpacing/>
              <w:jc w:val="both"/>
              <w:rPr>
                <w:rFonts w:ascii="Arial" w:hAnsi="Arial" w:cs="Arial"/>
                <w:sz w:val="18"/>
                <w:szCs w:val="18"/>
                <w:lang w:val="en-US"/>
              </w:rPr>
            </w:pPr>
            <w:r w:rsidRPr="00BD295E">
              <w:rPr>
                <w:rFonts w:ascii="Arial" w:hAnsi="Arial" w:cs="Arial"/>
                <w:sz w:val="18"/>
                <w:szCs w:val="18"/>
                <w:lang w:val="en-US"/>
              </w:rPr>
              <w:t xml:space="preserve">a meeting of the Youth Power Engineering Council of the Russian Ministry of Energy. It was proposed to include the </w:t>
            </w:r>
            <w:r w:rsidRPr="00BD295E">
              <w:rPr>
                <w:rFonts w:ascii="Arial" w:hAnsi="Arial" w:cs="Arial"/>
                <w:i/>
                <w:iCs/>
                <w:sz w:val="18"/>
                <w:szCs w:val="18"/>
                <w:lang w:val="en-US"/>
              </w:rPr>
              <w:t>Business Breakfast</w:t>
            </w:r>
            <w:r w:rsidRPr="00BD295E">
              <w:rPr>
                <w:rFonts w:ascii="Arial" w:hAnsi="Arial" w:cs="Arial"/>
                <w:sz w:val="18"/>
                <w:szCs w:val="18"/>
                <w:lang w:val="en-US"/>
              </w:rPr>
              <w:t xml:space="preserve"> Youth Innovation Conference in the work plan of the Council as part of the Russian International Energy Forum 2019, with the topic of </w:t>
            </w:r>
            <w:r w:rsidRPr="00BD295E">
              <w:rPr>
                <w:rFonts w:ascii="Arial" w:hAnsi="Arial" w:cs="Arial"/>
                <w:i/>
                <w:iCs/>
                <w:sz w:val="18"/>
                <w:szCs w:val="18"/>
                <w:lang w:val="en-US"/>
              </w:rPr>
              <w:t>Collaboration for Unlocking R&amp;D Potential: Industry vs Business vs Universities</w:t>
            </w:r>
            <w:r w:rsidRPr="00BD295E">
              <w:rPr>
                <w:rFonts w:ascii="Arial" w:hAnsi="Arial" w:cs="Arial"/>
                <w:sz w:val="18"/>
                <w:szCs w:val="18"/>
                <w:lang w:val="en-US"/>
              </w:rPr>
              <w:t>.</w:t>
            </w:r>
          </w:p>
          <w:p w14:paraId="361B8D47" w14:textId="77777777" w:rsidR="00D66577" w:rsidRPr="00BD295E" w:rsidRDefault="008A5057" w:rsidP="0027083B">
            <w:pPr>
              <w:tabs>
                <w:tab w:val="left" w:pos="0"/>
              </w:tabs>
              <w:ind w:firstLine="61"/>
              <w:contextualSpacing/>
              <w:jc w:val="both"/>
              <w:rPr>
                <w:rFonts w:ascii="Arial" w:hAnsi="Arial" w:cs="Arial"/>
                <w:sz w:val="18"/>
                <w:szCs w:val="18"/>
                <w:lang w:val="en-US"/>
              </w:rPr>
            </w:pPr>
            <w:r w:rsidRPr="00BD295E">
              <w:rPr>
                <w:rFonts w:ascii="Arial" w:hAnsi="Arial" w:cs="Arial"/>
                <w:sz w:val="18"/>
                <w:szCs w:val="18"/>
                <w:lang w:val="en-US"/>
              </w:rPr>
              <w:t>Young professionals are actively engaging in areas such as physical training and sports:</w:t>
            </w:r>
          </w:p>
          <w:p w14:paraId="5A07A3AD" w14:textId="77777777" w:rsidR="00D66577" w:rsidRPr="00BD295E" w:rsidRDefault="008A5057" w:rsidP="00CA2271">
            <w:pPr>
              <w:numPr>
                <w:ilvl w:val="0"/>
                <w:numId w:val="114"/>
              </w:numPr>
              <w:tabs>
                <w:tab w:val="clear" w:pos="720"/>
                <w:tab w:val="num" w:pos="61"/>
                <w:tab w:val="left" w:pos="343"/>
              </w:tabs>
              <w:ind w:left="61" w:firstLine="0"/>
              <w:contextualSpacing/>
              <w:jc w:val="both"/>
              <w:rPr>
                <w:rFonts w:ascii="Arial" w:hAnsi="Arial" w:cs="Arial"/>
                <w:sz w:val="18"/>
                <w:szCs w:val="18"/>
                <w:lang w:val="en-US"/>
              </w:rPr>
            </w:pPr>
            <w:r w:rsidRPr="00BD295E">
              <w:rPr>
                <w:rFonts w:ascii="Arial" w:hAnsi="Arial" w:cs="Arial"/>
                <w:sz w:val="18"/>
                <w:szCs w:val="18"/>
                <w:lang w:val="en-US"/>
              </w:rPr>
              <w:t xml:space="preserve">organized volleyball and soccer tournaments between the teams of branches, subsidiaries, and dependent companies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721EF73D" w14:textId="77777777" w:rsidR="00D66577" w:rsidRPr="00BD295E" w:rsidRDefault="008A5057" w:rsidP="00CA2271">
            <w:pPr>
              <w:numPr>
                <w:ilvl w:val="0"/>
                <w:numId w:val="114"/>
              </w:numPr>
              <w:tabs>
                <w:tab w:val="clear" w:pos="720"/>
                <w:tab w:val="num" w:pos="61"/>
                <w:tab w:val="left" w:pos="343"/>
              </w:tabs>
              <w:ind w:left="61" w:firstLine="0"/>
              <w:contextualSpacing/>
              <w:jc w:val="both"/>
              <w:rPr>
                <w:rFonts w:ascii="Arial" w:hAnsi="Arial" w:cs="Arial"/>
                <w:sz w:val="18"/>
                <w:szCs w:val="18"/>
                <w:lang w:val="en-US"/>
              </w:rPr>
            </w:pPr>
            <w:r w:rsidRPr="00BD295E">
              <w:rPr>
                <w:rFonts w:ascii="Arial" w:hAnsi="Arial" w:cs="Arial"/>
                <w:sz w:val="18"/>
                <w:szCs w:val="18"/>
                <w:lang w:val="en-US"/>
              </w:rPr>
              <w:t xml:space="preserve">young professionals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took part in corporate tournaments in skiing (10th place), volleyball (4th place), Rosseti Cup soccer tournament (8th place), table tennis (9th place), field-and-track athletics (7th place), and swimming (8th place);</w:t>
            </w:r>
          </w:p>
          <w:p w14:paraId="28FFE5BC" w14:textId="77777777" w:rsidR="00D66577" w:rsidRPr="00BD295E" w:rsidRDefault="008A5057" w:rsidP="00CA2271">
            <w:pPr>
              <w:numPr>
                <w:ilvl w:val="0"/>
                <w:numId w:val="114"/>
              </w:numPr>
              <w:tabs>
                <w:tab w:val="clear" w:pos="720"/>
                <w:tab w:val="num" w:pos="61"/>
                <w:tab w:val="left" w:pos="343"/>
              </w:tabs>
              <w:ind w:left="61" w:firstLine="0"/>
              <w:contextualSpacing/>
              <w:jc w:val="both"/>
              <w:rPr>
                <w:rFonts w:ascii="Arial" w:hAnsi="Arial" w:cs="Arial"/>
                <w:sz w:val="18"/>
                <w:szCs w:val="18"/>
                <w:lang w:val="en-US"/>
              </w:rPr>
            </w:pPr>
            <w:r w:rsidRPr="00BD295E">
              <w:rPr>
                <w:rFonts w:ascii="Arial" w:hAnsi="Arial" w:cs="Arial"/>
                <w:sz w:val="18"/>
                <w:szCs w:val="18"/>
                <w:lang w:val="en-US"/>
              </w:rPr>
              <w:t>young professionals took part in the Track of Victory Race;</w:t>
            </w:r>
          </w:p>
          <w:p w14:paraId="7C1D1976" w14:textId="77777777" w:rsidR="00D66577" w:rsidRPr="00BD295E" w:rsidRDefault="008A5057" w:rsidP="00CA2271">
            <w:pPr>
              <w:numPr>
                <w:ilvl w:val="0"/>
                <w:numId w:val="114"/>
              </w:numPr>
              <w:tabs>
                <w:tab w:val="clear" w:pos="720"/>
                <w:tab w:val="num" w:pos="61"/>
                <w:tab w:val="left" w:pos="343"/>
              </w:tabs>
              <w:ind w:left="61" w:firstLine="0"/>
              <w:contextualSpacing/>
              <w:jc w:val="both"/>
              <w:rPr>
                <w:rFonts w:ascii="Arial" w:hAnsi="Arial" w:cs="Arial"/>
                <w:sz w:val="18"/>
                <w:szCs w:val="18"/>
                <w:lang w:val="en-US"/>
              </w:rPr>
            </w:pPr>
            <w:r w:rsidRPr="00BD295E">
              <w:rPr>
                <w:rFonts w:ascii="Arial" w:hAnsi="Arial" w:cs="Arial"/>
                <w:sz w:val="18"/>
                <w:szCs w:val="18"/>
                <w:lang w:val="en-US"/>
              </w:rPr>
              <w:t xml:space="preserve">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took part in corporate sports games organized as part of the Saint Petersburg International Economic Forum (mini-football - 4th place, volleyball - 1st place, filed-and-track athletics, chess - 5th place, table tennis - 3rd place, badminton - 2nd place);</w:t>
            </w:r>
          </w:p>
          <w:p w14:paraId="0366BE9B" w14:textId="5C05FA5C" w:rsidR="00D66577" w:rsidRPr="00BD295E" w:rsidRDefault="008A5057" w:rsidP="00CA2271">
            <w:pPr>
              <w:numPr>
                <w:ilvl w:val="0"/>
                <w:numId w:val="114"/>
              </w:numPr>
              <w:tabs>
                <w:tab w:val="clear" w:pos="720"/>
                <w:tab w:val="num" w:pos="61"/>
                <w:tab w:val="left" w:pos="343"/>
              </w:tabs>
              <w:ind w:left="61" w:firstLine="0"/>
              <w:contextualSpacing/>
              <w:jc w:val="both"/>
              <w:rPr>
                <w:rFonts w:ascii="Arial" w:hAnsi="Arial" w:cs="Arial"/>
                <w:sz w:val="18"/>
                <w:szCs w:val="18"/>
                <w:lang w:val="en-US"/>
              </w:rPr>
            </w:pPr>
            <w:r w:rsidRPr="00BD295E">
              <w:rPr>
                <w:rFonts w:ascii="Arial" w:hAnsi="Arial" w:cs="Arial"/>
                <w:sz w:val="18"/>
                <w:szCs w:val="18"/>
                <w:lang w:val="en-US"/>
              </w:rPr>
              <w:t xml:space="preserve">Young specialists of the Company took part in the All-Russian </w:t>
            </w:r>
            <w:r w:rsidRPr="00BD295E">
              <w:rPr>
                <w:rFonts w:ascii="Arial" w:hAnsi="Arial" w:cs="Arial"/>
                <w:i/>
                <w:iCs/>
                <w:sz w:val="18"/>
                <w:szCs w:val="18"/>
                <w:lang w:val="en-US"/>
              </w:rPr>
              <w:t>Zabeg</w:t>
            </w:r>
            <w:r w:rsidR="00CF0D86" w:rsidRPr="00BD295E">
              <w:rPr>
                <w:rFonts w:ascii="Arial" w:hAnsi="Arial" w:cs="Arial"/>
                <w:i/>
                <w:iCs/>
                <w:sz w:val="18"/>
                <w:szCs w:val="18"/>
                <w:lang w:val="en-US"/>
              </w:rPr>
              <w:t xml:space="preserve"> </w:t>
            </w:r>
            <w:r w:rsidRPr="00BD295E">
              <w:rPr>
                <w:rFonts w:ascii="Arial" w:hAnsi="Arial" w:cs="Arial"/>
                <w:sz w:val="18"/>
                <w:szCs w:val="18"/>
                <w:lang w:val="en-US"/>
              </w:rPr>
              <w:t>half-</w:t>
            </w:r>
            <w:r w:rsidR="002C3947" w:rsidRPr="00BD295E">
              <w:rPr>
                <w:rFonts w:ascii="Arial" w:hAnsi="Arial" w:cs="Arial"/>
                <w:sz w:val="18"/>
                <w:szCs w:val="18"/>
                <w:lang w:val="en-US"/>
              </w:rPr>
              <w:t>marathon,</w:t>
            </w:r>
            <w:r w:rsidRPr="00BD295E">
              <w:rPr>
                <w:rFonts w:ascii="Arial" w:hAnsi="Arial" w:cs="Arial"/>
                <w:sz w:val="18"/>
                <w:szCs w:val="18"/>
                <w:lang w:val="en-US"/>
              </w:rPr>
              <w:t xml:space="preserve"> a sports festival of working youth (3rd place in the street-ball tournament), and the Race of Heroes compliant with the GTO standards;</w:t>
            </w:r>
          </w:p>
          <w:p w14:paraId="17AAE1CE" w14:textId="6015F1BC" w:rsidR="00D66577" w:rsidRPr="00BD295E" w:rsidRDefault="008A5057" w:rsidP="00CA2271">
            <w:pPr>
              <w:numPr>
                <w:ilvl w:val="0"/>
                <w:numId w:val="114"/>
              </w:numPr>
              <w:tabs>
                <w:tab w:val="clear" w:pos="720"/>
                <w:tab w:val="num" w:pos="61"/>
                <w:tab w:val="left" w:pos="343"/>
              </w:tabs>
              <w:ind w:left="61" w:firstLine="0"/>
              <w:contextualSpacing/>
              <w:jc w:val="both"/>
              <w:rPr>
                <w:rFonts w:ascii="Arial" w:hAnsi="Arial" w:cs="Arial"/>
                <w:sz w:val="18"/>
                <w:szCs w:val="18"/>
                <w:lang w:val="en-US"/>
              </w:rPr>
            </w:pPr>
            <w:r w:rsidRPr="00BD295E">
              <w:rPr>
                <w:rFonts w:ascii="Arial" w:hAnsi="Arial" w:cs="Arial"/>
                <w:sz w:val="18"/>
                <w:szCs w:val="18"/>
                <w:lang w:val="en-US"/>
              </w:rPr>
              <w:t xml:space="preserve">From September 15 to September 16, the annual </w:t>
            </w:r>
            <w:r w:rsidR="00BD295E" w:rsidRPr="00BD295E">
              <w:rPr>
                <w:rFonts w:ascii="Arial" w:hAnsi="Arial" w:cs="Arial"/>
                <w:sz w:val="18"/>
                <w:szCs w:val="18"/>
                <w:lang w:val="en-US"/>
              </w:rPr>
              <w:t>Sports Games</w:t>
            </w:r>
            <w:r w:rsidRPr="00BD295E">
              <w:rPr>
                <w:rFonts w:ascii="Arial" w:hAnsi="Arial" w:cs="Arial"/>
                <w:sz w:val="18"/>
                <w:szCs w:val="18"/>
                <w:lang w:val="en-US"/>
              </w:rPr>
              <w:t xml:space="preserve"> sports contest was held at </w:t>
            </w:r>
            <w:r w:rsidR="00EE5753" w:rsidRPr="00BD295E">
              <w:rPr>
                <w:rFonts w:ascii="Arial" w:hAnsi="Arial" w:cs="Arial"/>
                <w:sz w:val="18"/>
                <w:szCs w:val="18"/>
                <w:lang w:val="en-US"/>
              </w:rPr>
              <w:t>PJSC “Lenenergo”</w:t>
            </w:r>
            <w:r w:rsidRPr="00BD295E">
              <w:rPr>
                <w:rFonts w:ascii="Arial" w:hAnsi="Arial" w:cs="Arial"/>
                <w:sz w:val="18"/>
                <w:szCs w:val="18"/>
                <w:lang w:val="en-US"/>
              </w:rPr>
              <w:t>, involving more than 300 employees;</w:t>
            </w:r>
          </w:p>
          <w:p w14:paraId="11A556BC" w14:textId="77777777" w:rsidR="00D66577" w:rsidRPr="00BD295E" w:rsidRDefault="008A5057" w:rsidP="00CA2271">
            <w:pPr>
              <w:numPr>
                <w:ilvl w:val="0"/>
                <w:numId w:val="114"/>
              </w:numPr>
              <w:tabs>
                <w:tab w:val="clear" w:pos="720"/>
                <w:tab w:val="num" w:pos="61"/>
                <w:tab w:val="left" w:pos="343"/>
              </w:tabs>
              <w:ind w:left="61" w:firstLine="0"/>
              <w:contextualSpacing/>
              <w:jc w:val="both"/>
              <w:rPr>
                <w:rFonts w:ascii="Arial" w:hAnsi="Arial" w:cs="Arial"/>
                <w:sz w:val="18"/>
                <w:szCs w:val="18"/>
                <w:lang w:val="en-US"/>
              </w:rPr>
            </w:pPr>
            <w:r w:rsidRPr="00BD295E">
              <w:rPr>
                <w:rFonts w:ascii="Arial" w:hAnsi="Arial" w:cs="Arial"/>
                <w:sz w:val="18"/>
                <w:szCs w:val="18"/>
                <w:lang w:val="en-US"/>
              </w:rPr>
              <w:t xml:space="preserve">41 employees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took part in GTO physical training tests;</w:t>
            </w:r>
          </w:p>
          <w:p w14:paraId="0EFD14EF" w14:textId="77777777" w:rsidR="00D66577" w:rsidRPr="00BD295E" w:rsidRDefault="008A5057" w:rsidP="0027083B">
            <w:pPr>
              <w:tabs>
                <w:tab w:val="left" w:pos="343"/>
              </w:tabs>
              <w:jc w:val="both"/>
              <w:rPr>
                <w:rFonts w:ascii="Arial" w:hAnsi="Arial" w:cs="Arial"/>
                <w:b/>
                <w:sz w:val="18"/>
                <w:szCs w:val="18"/>
                <w:lang w:val="en-US"/>
              </w:rPr>
            </w:pPr>
            <w:r w:rsidRPr="00BD295E">
              <w:rPr>
                <w:rFonts w:ascii="Arial" w:hAnsi="Arial" w:cs="Arial"/>
                <w:sz w:val="18"/>
                <w:szCs w:val="18"/>
                <w:lang w:val="en-US"/>
              </w:rPr>
              <w:t>Functional multiathlon competitions were held  among young professionals of the Company.</w:t>
            </w:r>
          </w:p>
        </w:tc>
      </w:tr>
      <w:tr w:rsidR="008A5057" w:rsidRPr="00BD295E" w14:paraId="6B9C6C52" w14:textId="77777777" w:rsidTr="0027083B">
        <w:tc>
          <w:tcPr>
            <w:tcW w:w="3341" w:type="dxa"/>
            <w:vAlign w:val="center"/>
          </w:tcPr>
          <w:p w14:paraId="39D14C3D" w14:textId="77777777" w:rsidR="00D66577"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Support for non-working retirees with a long service record at </w:t>
            </w:r>
            <w:r w:rsidR="00EE5753" w:rsidRPr="00BD295E">
              <w:rPr>
                <w:rFonts w:ascii="Arial" w:hAnsi="Arial" w:cs="Arial"/>
                <w:sz w:val="18"/>
                <w:szCs w:val="18"/>
                <w:lang w:val="en-US"/>
              </w:rPr>
              <w:t>PJSC “Lenenergo”</w:t>
            </w:r>
          </w:p>
          <w:p w14:paraId="2D66888B" w14:textId="77777777" w:rsidR="00D66577" w:rsidRPr="00BD295E" w:rsidRDefault="00D66577" w:rsidP="0027083B">
            <w:pPr>
              <w:ind w:firstLine="567"/>
              <w:jc w:val="both"/>
              <w:rPr>
                <w:rFonts w:ascii="Arial" w:eastAsia="Calibri" w:hAnsi="Arial" w:cs="Arial"/>
                <w:sz w:val="18"/>
                <w:szCs w:val="18"/>
                <w:lang w:val="en-US"/>
              </w:rPr>
            </w:pPr>
          </w:p>
        </w:tc>
        <w:tc>
          <w:tcPr>
            <w:tcW w:w="6265" w:type="dxa"/>
          </w:tcPr>
          <w:p w14:paraId="519101CE" w14:textId="77777777" w:rsidR="00D66577" w:rsidRPr="00BD295E" w:rsidRDefault="008A5057" w:rsidP="0027083B">
            <w:pPr>
              <w:tabs>
                <w:tab w:val="left" w:pos="343"/>
              </w:tabs>
              <w:jc w:val="both"/>
              <w:rPr>
                <w:rFonts w:ascii="Arial" w:hAnsi="Arial" w:cs="Arial"/>
                <w:b/>
                <w:sz w:val="18"/>
                <w:szCs w:val="18"/>
                <w:lang w:val="en-US"/>
              </w:rPr>
            </w:pPr>
            <w:r w:rsidRPr="00BD295E">
              <w:rPr>
                <w:rFonts w:ascii="Arial" w:hAnsi="Arial" w:cs="Arial"/>
                <w:sz w:val="18"/>
                <w:szCs w:val="18"/>
                <w:lang w:val="en-US"/>
              </w:rPr>
              <w:t>The Company pays special attention to non-working retirees, retired veterans, Great Patriotic War veterans, and persons with special needs. Support measures include:</w:t>
            </w:r>
          </w:p>
          <w:p w14:paraId="42FF1659" w14:textId="77777777" w:rsidR="00D66577" w:rsidRPr="00BD295E" w:rsidRDefault="008A5057" w:rsidP="00CA2271">
            <w:pPr>
              <w:numPr>
                <w:ilvl w:val="0"/>
                <w:numId w:val="33"/>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non-governmental pension benefits</w:t>
            </w:r>
          </w:p>
          <w:p w14:paraId="4F093E5B" w14:textId="77777777" w:rsidR="00D66577" w:rsidRPr="00BD295E" w:rsidRDefault="008A5057" w:rsidP="00CA2271">
            <w:pPr>
              <w:numPr>
                <w:ilvl w:val="0"/>
                <w:numId w:val="33"/>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financial aid;</w:t>
            </w:r>
          </w:p>
          <w:p w14:paraId="30AA03B9" w14:textId="77777777" w:rsidR="00D66577" w:rsidRPr="00BD295E" w:rsidRDefault="008A5057" w:rsidP="00CA2271">
            <w:pPr>
              <w:numPr>
                <w:ilvl w:val="0"/>
                <w:numId w:val="33"/>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payments on anniversaries and holidays such the day of lifting the Siege of Leningrad for veterans of the Great Patriotic War, Victory Day, and Energy Industry Worker Day;</w:t>
            </w:r>
          </w:p>
          <w:p w14:paraId="055DA1CF" w14:textId="77777777" w:rsidR="00D66577" w:rsidRPr="00BD295E" w:rsidRDefault="008A5057" w:rsidP="00CA2271">
            <w:pPr>
              <w:numPr>
                <w:ilvl w:val="0"/>
                <w:numId w:val="33"/>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compensation of residential electricity bills;</w:t>
            </w:r>
          </w:p>
          <w:p w14:paraId="74152E41" w14:textId="77777777" w:rsidR="00D66577" w:rsidRPr="00BD295E" w:rsidRDefault="008A5057" w:rsidP="00CA2271">
            <w:pPr>
              <w:numPr>
                <w:ilvl w:val="0"/>
                <w:numId w:val="33"/>
              </w:numPr>
              <w:tabs>
                <w:tab w:val="left" w:pos="343"/>
              </w:tabs>
              <w:ind w:left="0" w:firstLine="0"/>
              <w:jc w:val="both"/>
              <w:rPr>
                <w:rFonts w:ascii="Arial" w:hAnsi="Arial" w:cs="Arial"/>
                <w:sz w:val="18"/>
                <w:szCs w:val="18"/>
                <w:lang w:val="en-US"/>
              </w:rPr>
            </w:pPr>
            <w:r w:rsidRPr="00BD295E">
              <w:rPr>
                <w:rFonts w:ascii="Arial" w:hAnsi="Arial" w:cs="Arial"/>
                <w:sz w:val="18"/>
                <w:szCs w:val="18"/>
                <w:lang w:val="en-US"/>
              </w:rPr>
              <w:t>financial aid for burial.</w:t>
            </w:r>
          </w:p>
        </w:tc>
      </w:tr>
    </w:tbl>
    <w:p w14:paraId="6AF4779A" w14:textId="77777777" w:rsidR="00D66577" w:rsidRPr="00BD295E" w:rsidRDefault="00D66577" w:rsidP="00D66577">
      <w:pPr>
        <w:pStyle w:val="afffff3"/>
        <w:rPr>
          <w:rFonts w:ascii="Arial" w:hAnsi="Arial" w:cs="Arial"/>
          <w:sz w:val="18"/>
          <w:szCs w:val="18"/>
          <w:lang w:val="en-US"/>
        </w:rPr>
      </w:pPr>
    </w:p>
    <w:p w14:paraId="3F9D4BDA" w14:textId="77777777" w:rsidR="00396BFE" w:rsidRPr="00BD295E" w:rsidRDefault="008A5057" w:rsidP="00F7146A">
      <w:pPr>
        <w:pStyle w:val="afffff3"/>
        <w:ind w:firstLine="0"/>
        <w:rPr>
          <w:rFonts w:ascii="Arial" w:hAnsi="Arial" w:cs="Arial"/>
          <w:b/>
          <w:sz w:val="18"/>
          <w:szCs w:val="18"/>
          <w:lang w:val="en-US"/>
        </w:rPr>
      </w:pPr>
      <w:r w:rsidRPr="00BD295E">
        <w:rPr>
          <w:rFonts w:ascii="Arial" w:hAnsi="Arial" w:cs="Arial"/>
          <w:b/>
          <w:sz w:val="18"/>
          <w:szCs w:val="18"/>
          <w:lang w:val="en-US"/>
        </w:rPr>
        <w:t>Charity</w:t>
      </w:r>
    </w:p>
    <w:p w14:paraId="1073BC3F" w14:textId="77777777" w:rsidR="00396BFE" w:rsidRPr="00BD295E" w:rsidRDefault="008A5057" w:rsidP="00F7146A">
      <w:pPr>
        <w:pStyle w:val="afffff3"/>
        <w:ind w:firstLine="0"/>
        <w:rPr>
          <w:rFonts w:ascii="Arial" w:hAnsi="Arial" w:cs="Arial"/>
          <w:sz w:val="18"/>
          <w:szCs w:val="18"/>
          <w:lang w:val="en-US"/>
        </w:rPr>
      </w:pPr>
      <w:r w:rsidRPr="00BD295E">
        <w:rPr>
          <w:rFonts w:ascii="Arial" w:hAnsi="Arial" w:cs="Arial"/>
          <w:sz w:val="18"/>
          <w:szCs w:val="18"/>
          <w:lang w:val="en-US"/>
        </w:rPr>
        <w:t xml:space="preserve">In 2017,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implemented a range of initiatives in Saint Petersburg and the Leningrad Region across the key areas of its charitable activities: </w:t>
      </w:r>
    </w:p>
    <w:p w14:paraId="43096C64" w14:textId="77777777" w:rsidR="00396BFE" w:rsidRPr="00BD295E" w:rsidRDefault="008A5057" w:rsidP="00F7146A">
      <w:pPr>
        <w:pStyle w:val="afffff3"/>
        <w:ind w:firstLine="0"/>
        <w:rPr>
          <w:rFonts w:ascii="Arial" w:hAnsi="Arial" w:cs="Arial"/>
          <w:sz w:val="18"/>
          <w:szCs w:val="18"/>
          <w:lang w:val="en-US"/>
        </w:rPr>
      </w:pPr>
      <w:r w:rsidRPr="00BD295E">
        <w:rPr>
          <w:rFonts w:ascii="Arial" w:hAnsi="Arial" w:cs="Arial"/>
          <w:sz w:val="18"/>
          <w:szCs w:val="18"/>
          <w:lang w:val="en-US"/>
        </w:rPr>
        <w:t xml:space="preserve">- assistance in education, science, culture, art, and awareness raising; </w:t>
      </w:r>
    </w:p>
    <w:p w14:paraId="5B90184F" w14:textId="77777777" w:rsidR="00396BFE" w:rsidRPr="00BD295E" w:rsidRDefault="008A5057" w:rsidP="00F7146A">
      <w:pPr>
        <w:pStyle w:val="afffff3"/>
        <w:ind w:firstLine="0"/>
        <w:rPr>
          <w:rFonts w:ascii="Arial" w:hAnsi="Arial" w:cs="Arial"/>
          <w:sz w:val="18"/>
          <w:szCs w:val="18"/>
          <w:lang w:val="en-US"/>
        </w:rPr>
      </w:pPr>
      <w:r w:rsidRPr="00BD295E">
        <w:rPr>
          <w:rFonts w:ascii="Arial" w:hAnsi="Arial" w:cs="Arial"/>
          <w:sz w:val="18"/>
          <w:szCs w:val="18"/>
          <w:lang w:val="en-US"/>
        </w:rPr>
        <w:t>- assistance in physical culture and mass sports;</w:t>
      </w:r>
    </w:p>
    <w:p w14:paraId="420182B0" w14:textId="77777777" w:rsidR="00396BFE" w:rsidRPr="00BD295E" w:rsidRDefault="008A5057" w:rsidP="00F7146A">
      <w:pPr>
        <w:pStyle w:val="afffff3"/>
        <w:ind w:firstLine="0"/>
        <w:rPr>
          <w:rFonts w:ascii="Arial" w:hAnsi="Arial" w:cs="Arial"/>
          <w:sz w:val="18"/>
          <w:szCs w:val="18"/>
          <w:lang w:val="en-US"/>
        </w:rPr>
      </w:pPr>
      <w:r w:rsidRPr="00BD295E">
        <w:rPr>
          <w:rFonts w:ascii="Arial" w:hAnsi="Arial" w:cs="Arial"/>
          <w:sz w:val="18"/>
          <w:szCs w:val="18"/>
          <w:lang w:val="en-US"/>
        </w:rPr>
        <w:t>- protection and proper maintenance of buildings, sites and territories of historical, religious, cultural, or environmental significance</w:t>
      </w:r>
    </w:p>
    <w:p w14:paraId="4EFF7AAB" w14:textId="77777777" w:rsidR="00DF2E5E" w:rsidRPr="00BD295E" w:rsidRDefault="008A5057" w:rsidP="00F7146A">
      <w:pPr>
        <w:pStyle w:val="afffff3"/>
        <w:ind w:firstLine="0"/>
        <w:rPr>
          <w:rFonts w:ascii="Arial" w:hAnsi="Arial" w:cs="Arial"/>
          <w:sz w:val="18"/>
          <w:szCs w:val="18"/>
          <w:lang w:val="en-US"/>
        </w:rPr>
      </w:pPr>
      <w:r w:rsidRPr="00BD295E">
        <w:rPr>
          <w:rFonts w:ascii="Arial" w:hAnsi="Arial" w:cs="Arial"/>
          <w:sz w:val="18"/>
          <w:szCs w:val="18"/>
          <w:lang w:val="en-US"/>
        </w:rPr>
        <w:t>- assistance in preventative care, treatment, rehabilitation, and healthcare, as well as in promoting the healthy lifestyles and improving the psychological well-being of people.</w:t>
      </w:r>
    </w:p>
    <w:p w14:paraId="3A11DF11" w14:textId="77777777" w:rsidR="00DF2E5E" w:rsidRPr="00BD295E" w:rsidRDefault="00DF2E5E" w:rsidP="00F7146A">
      <w:pPr>
        <w:pStyle w:val="afffff3"/>
        <w:ind w:firstLine="0"/>
        <w:rPr>
          <w:rFonts w:ascii="Arial" w:hAnsi="Arial" w:cs="Arial"/>
          <w:sz w:val="18"/>
          <w:szCs w:val="18"/>
          <w:lang w:val="en-US"/>
        </w:rPr>
      </w:pPr>
    </w:p>
    <w:p w14:paraId="5AA76D0F" w14:textId="77777777" w:rsidR="00554EE9" w:rsidRPr="00BD295E" w:rsidRDefault="008A5057" w:rsidP="00F7146A">
      <w:pPr>
        <w:pStyle w:val="afffff3"/>
        <w:ind w:firstLine="0"/>
        <w:rPr>
          <w:rFonts w:ascii="Arial" w:hAnsi="Arial" w:cs="Arial"/>
          <w:sz w:val="18"/>
          <w:szCs w:val="18"/>
          <w:lang w:val="en-US"/>
        </w:rPr>
      </w:pPr>
      <w:r w:rsidRPr="00BD295E">
        <w:rPr>
          <w:rFonts w:ascii="Arial" w:hAnsi="Arial" w:cs="Arial"/>
          <w:b/>
          <w:sz w:val="18"/>
          <w:szCs w:val="18"/>
          <w:lang w:val="en-US"/>
        </w:rPr>
        <w:t xml:space="preserve">Occupational health </w:t>
      </w:r>
    </w:p>
    <w:p w14:paraId="640FC924" w14:textId="77777777" w:rsidR="00DD1D87" w:rsidRPr="00BD295E" w:rsidRDefault="008A5057" w:rsidP="00F7146A">
      <w:pPr>
        <w:pStyle w:val="afffff3"/>
        <w:ind w:firstLine="0"/>
        <w:rPr>
          <w:rFonts w:ascii="Arial" w:hAnsi="Arial" w:cs="Arial"/>
          <w:sz w:val="18"/>
          <w:szCs w:val="18"/>
          <w:lang w:val="en-US"/>
        </w:rPr>
      </w:pPr>
      <w:r w:rsidRPr="00BD295E">
        <w:rPr>
          <w:rFonts w:ascii="Arial" w:hAnsi="Arial" w:cs="Arial"/>
          <w:sz w:val="18"/>
          <w:szCs w:val="18"/>
          <w:lang w:val="en-US"/>
        </w:rPr>
        <w:t xml:space="preserve">During 2018, the following organizational and administrative documents were issued in </w:t>
      </w:r>
      <w:r w:rsidR="00EE5753" w:rsidRPr="00BD295E">
        <w:rPr>
          <w:rFonts w:ascii="Arial" w:hAnsi="Arial" w:cs="Arial"/>
          <w:sz w:val="18"/>
          <w:szCs w:val="18"/>
          <w:lang w:val="en-US"/>
        </w:rPr>
        <w:t>PJSC “Lenenergo”</w:t>
      </w:r>
      <w:r w:rsidRPr="00BD295E">
        <w:rPr>
          <w:rFonts w:ascii="Arial" w:hAnsi="Arial" w:cs="Arial"/>
          <w:sz w:val="18"/>
          <w:szCs w:val="18"/>
          <w:lang w:val="en-US"/>
        </w:rPr>
        <w:t>, which served as a basis for organizing and conducting work on injury prevention, improvements to occupational safety at the Company and for determining the principal focus areas in injury prevention:</w:t>
      </w:r>
    </w:p>
    <w:p w14:paraId="4CA44B1C"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w:t>
      </w:r>
      <w:r w:rsidRPr="00BD295E">
        <w:rPr>
          <w:rFonts w:ascii="Arial" w:hAnsi="Arial" w:cs="Arial"/>
          <w:sz w:val="18"/>
          <w:szCs w:val="18"/>
          <w:lang w:val="en-US"/>
        </w:rPr>
        <w:tab/>
        <w:t xml:space="preserve">Directive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No. 10-R, </w:t>
      </w:r>
      <w:r w:rsidRPr="00BD295E">
        <w:rPr>
          <w:rFonts w:ascii="Arial" w:hAnsi="Arial" w:cs="Arial"/>
          <w:i/>
          <w:iCs/>
          <w:sz w:val="18"/>
          <w:szCs w:val="18"/>
          <w:lang w:val="en-US"/>
        </w:rPr>
        <w:t xml:space="preserve">On approval of the schedule for participation in the Occupational Safety Days at branches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in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12, 2018</w:t>
      </w:r>
    </w:p>
    <w:p w14:paraId="55E253A0"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w:t>
      </w:r>
      <w:r w:rsidRPr="00BD295E">
        <w:rPr>
          <w:rFonts w:ascii="Arial" w:hAnsi="Arial" w:cs="Arial"/>
          <w:sz w:val="18"/>
          <w:szCs w:val="18"/>
          <w:lang w:val="en-US"/>
        </w:rPr>
        <w:tab/>
        <w:t xml:space="preserve">Directive No. 16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approval of the schedule of participation in inspections of workplaces at branches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in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19, 2018</w:t>
      </w:r>
    </w:p>
    <w:p w14:paraId="66AF14E3"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w:t>
      </w:r>
      <w:r w:rsidRPr="00BD295E">
        <w:rPr>
          <w:rFonts w:ascii="Arial" w:hAnsi="Arial" w:cs="Arial"/>
          <w:sz w:val="18"/>
          <w:szCs w:val="18"/>
          <w:lang w:val="en-US"/>
        </w:rPr>
        <w:tab/>
        <w:t xml:space="preserve">Order No. 35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improving the efficiency, reliability and safety of operations at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in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25, 2018.</w:t>
      </w:r>
    </w:p>
    <w:p w14:paraId="65C13AA7"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4.</w:t>
      </w:r>
      <w:r w:rsidRPr="00BD295E">
        <w:rPr>
          <w:rFonts w:ascii="Arial" w:hAnsi="Arial" w:cs="Arial"/>
          <w:sz w:val="18"/>
          <w:szCs w:val="18"/>
          <w:lang w:val="en-US"/>
        </w:rPr>
        <w:tab/>
        <w:t xml:space="preserve">Directive No. 21-R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results of the occupational safety day at a branch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on January 17,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January 29, 2018.</w:t>
      </w:r>
    </w:p>
    <w:p w14:paraId="40F411FA"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5.</w:t>
      </w:r>
      <w:r w:rsidRPr="00BD295E">
        <w:rPr>
          <w:rFonts w:ascii="Arial" w:hAnsi="Arial" w:cs="Arial"/>
          <w:sz w:val="18"/>
          <w:szCs w:val="18"/>
          <w:lang w:val="en-US"/>
        </w:rPr>
        <w:tab/>
        <w:t xml:space="preserve">Directive No. 28-R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results of inspections at branches, subsidiaries, and dependent companies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by the Regional Technical Supervision Division of the North-West in 2017</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1, 2018.</w:t>
      </w:r>
    </w:p>
    <w:p w14:paraId="6E628094"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6.</w:t>
      </w:r>
      <w:r w:rsidRPr="00BD295E">
        <w:rPr>
          <w:rFonts w:ascii="Arial" w:hAnsi="Arial" w:cs="Arial"/>
          <w:sz w:val="18"/>
          <w:szCs w:val="18"/>
          <w:lang w:val="en-US"/>
        </w:rPr>
        <w:tab/>
        <w:t xml:space="preserve">Order No. 63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approval of the Program to Improve the Quality of Industrial Control at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13, 2018.</w:t>
      </w:r>
    </w:p>
    <w:p w14:paraId="53EBA906"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7.</w:t>
      </w:r>
      <w:r w:rsidRPr="00BD295E">
        <w:rPr>
          <w:rFonts w:ascii="Arial" w:hAnsi="Arial" w:cs="Arial"/>
          <w:sz w:val="18"/>
          <w:szCs w:val="18"/>
          <w:lang w:val="en-US"/>
        </w:rPr>
        <w:tab/>
        <w:t xml:space="preserve">Order No. 73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composition of permanent knowledge test commissions of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14, 2018.</w:t>
      </w:r>
    </w:p>
    <w:p w14:paraId="12C01D61"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8.</w:t>
      </w:r>
      <w:r w:rsidRPr="00BD295E">
        <w:rPr>
          <w:rFonts w:ascii="Arial" w:hAnsi="Arial" w:cs="Arial"/>
          <w:sz w:val="18"/>
          <w:szCs w:val="18"/>
          <w:lang w:val="en-US"/>
        </w:rPr>
        <w:tab/>
        <w:t xml:space="preserve">Order No. 83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approval of the Regulations for the Internal Technical Control System at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26, 2018.</w:t>
      </w:r>
    </w:p>
    <w:p w14:paraId="6F33CFAD"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9.</w:t>
      </w:r>
      <w:r w:rsidRPr="00BD295E">
        <w:rPr>
          <w:rFonts w:ascii="Arial" w:hAnsi="Arial" w:cs="Arial"/>
          <w:sz w:val="18"/>
          <w:szCs w:val="18"/>
          <w:lang w:val="en-US"/>
        </w:rPr>
        <w:tab/>
        <w:t xml:space="preserve">Directive No. 43-R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results of the occupational safety day at Saint Petersburg </w:t>
      </w:r>
      <w:r w:rsidR="004048C1" w:rsidRPr="00BD295E">
        <w:rPr>
          <w:rFonts w:ascii="Arial" w:hAnsi="Arial" w:cs="Arial"/>
          <w:i/>
          <w:iCs/>
          <w:sz w:val="18"/>
          <w:szCs w:val="18"/>
          <w:lang w:val="en-US"/>
        </w:rPr>
        <w:t>High Voltage Power Grid</w:t>
      </w:r>
      <w:r w:rsidRPr="00BD295E">
        <w:rPr>
          <w:rFonts w:ascii="Arial" w:hAnsi="Arial" w:cs="Arial"/>
          <w:i/>
          <w:iCs/>
          <w:sz w:val="18"/>
          <w:szCs w:val="18"/>
          <w:lang w:val="en-US"/>
        </w:rPr>
        <w:t xml:space="preserve">, a branch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on February 21,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March 7, 2018.</w:t>
      </w:r>
    </w:p>
    <w:p w14:paraId="31B31DF4"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10.</w:t>
      </w:r>
      <w:r w:rsidRPr="00BD295E">
        <w:rPr>
          <w:rFonts w:ascii="Arial" w:hAnsi="Arial" w:cs="Arial"/>
          <w:sz w:val="18"/>
          <w:szCs w:val="18"/>
          <w:lang w:val="en-US"/>
        </w:rPr>
        <w:tab/>
        <w:t xml:space="preserve">Order No. 99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On the video recording methodology and technical requirements for mobile video recording devices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March 16, 2018.</w:t>
      </w:r>
    </w:p>
    <w:p w14:paraId="3F90E817"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11.</w:t>
      </w:r>
      <w:r w:rsidRPr="00BD295E">
        <w:rPr>
          <w:rFonts w:ascii="Arial" w:hAnsi="Arial" w:cs="Arial"/>
          <w:sz w:val="18"/>
          <w:szCs w:val="18"/>
          <w:lang w:val="en-US"/>
        </w:rPr>
        <w:tab/>
        <w:t xml:space="preserve">Order No. 120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preparation and holding qualifying maintenance and repair skills competitions for operators of 35-110 kV power lines at the training facility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in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March 29, 2018.</w:t>
      </w:r>
    </w:p>
    <w:p w14:paraId="35249B04"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12.</w:t>
      </w:r>
      <w:r w:rsidRPr="00BD295E">
        <w:rPr>
          <w:rFonts w:ascii="Arial" w:hAnsi="Arial" w:cs="Arial"/>
          <w:sz w:val="18"/>
          <w:szCs w:val="18"/>
          <w:lang w:val="en-US"/>
        </w:rPr>
        <w:tab/>
        <w:t xml:space="preserve">Directive No. 56-R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organizing inspections as part of the internal technical control system at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6, 2018.</w:t>
      </w:r>
    </w:p>
    <w:p w14:paraId="585BA811"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13.</w:t>
      </w:r>
      <w:r w:rsidRPr="00BD295E">
        <w:rPr>
          <w:rFonts w:ascii="Arial" w:hAnsi="Arial" w:cs="Arial"/>
          <w:sz w:val="18"/>
          <w:szCs w:val="18"/>
          <w:lang w:val="en-US"/>
        </w:rPr>
        <w:tab/>
        <w:t xml:space="preserve">Order No. 140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On assignment of responsibilities for introductory briefing on occupational safety and water-based fire firefighting</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9, 2018.</w:t>
      </w:r>
    </w:p>
    <w:p w14:paraId="4F4B762E"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14.</w:t>
      </w:r>
      <w:r w:rsidRPr="00BD295E">
        <w:rPr>
          <w:rFonts w:ascii="Arial" w:hAnsi="Arial" w:cs="Arial"/>
          <w:sz w:val="18"/>
          <w:szCs w:val="18"/>
          <w:lang w:val="en-US"/>
        </w:rPr>
        <w:tab/>
        <w:t xml:space="preserve">Order No. 143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organization of road safety activities at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9, 2018.</w:t>
      </w:r>
    </w:p>
    <w:p w14:paraId="1D01B308"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15.</w:t>
      </w:r>
      <w:r w:rsidRPr="00BD295E">
        <w:rPr>
          <w:rFonts w:ascii="Arial" w:hAnsi="Arial" w:cs="Arial"/>
          <w:sz w:val="18"/>
          <w:szCs w:val="18"/>
          <w:lang w:val="en-US"/>
        </w:rPr>
        <w:tab/>
        <w:t xml:space="preserve">Order No. 149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On the results of the ongoing competition for the title of the Best Electric Grid District, Best Power Line Operation Service, Best Substation Operation Service</w:t>
      </w:r>
      <w:r w:rsidRPr="00BD295E">
        <w:rPr>
          <w:rFonts w:ascii="Arial" w:hAnsi="Arial" w:cs="Arial"/>
          <w:sz w:val="18"/>
          <w:szCs w:val="18"/>
          <w:lang w:val="en-US"/>
        </w:rPr>
        <w:t xml:space="preserve"> </w:t>
      </w:r>
      <w:r w:rsidRPr="00BD295E">
        <w:rPr>
          <w:rFonts w:ascii="Arial" w:hAnsi="Arial" w:cs="Arial"/>
          <w:i/>
          <w:iCs/>
          <w:sz w:val="18"/>
          <w:szCs w:val="18"/>
          <w:lang w:val="en-US"/>
        </w:rPr>
        <w:t>for 2017</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11, 2018.</w:t>
      </w:r>
    </w:p>
    <w:p w14:paraId="653DF818"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16.</w:t>
      </w:r>
      <w:r w:rsidRPr="00BD295E">
        <w:rPr>
          <w:rFonts w:ascii="Arial" w:hAnsi="Arial" w:cs="Arial"/>
          <w:sz w:val="18"/>
          <w:szCs w:val="18"/>
          <w:lang w:val="en-US"/>
        </w:rPr>
        <w:tab/>
        <w:t xml:space="preserve">Directive No. 59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results of workplace inspections at branches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in 2017</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13, 2018.</w:t>
      </w:r>
    </w:p>
    <w:p w14:paraId="1563A7C8"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17.</w:t>
      </w:r>
      <w:r w:rsidRPr="00BD295E">
        <w:rPr>
          <w:rFonts w:ascii="Arial" w:hAnsi="Arial" w:cs="Arial"/>
          <w:sz w:val="18"/>
          <w:szCs w:val="18"/>
          <w:lang w:val="en-US"/>
        </w:rPr>
        <w:tab/>
        <w:t xml:space="preserve">Order No. 156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improving the operation of 0.4-20 kV electric grids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17, 2018.</w:t>
      </w:r>
    </w:p>
    <w:p w14:paraId="2B286F30"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18.</w:t>
      </w:r>
      <w:r w:rsidRPr="00BD295E">
        <w:rPr>
          <w:rFonts w:ascii="Arial" w:hAnsi="Arial" w:cs="Arial"/>
          <w:sz w:val="18"/>
          <w:szCs w:val="18"/>
          <w:lang w:val="en-US"/>
        </w:rPr>
        <w:tab/>
        <w:t xml:space="preserve">Order No. 167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approving the Standard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Regulations on the Procedure for Organizing and Conducting Inspections of Permanent and Temporary Workplaces at Branches of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20, 2018 (version 2).</w:t>
      </w:r>
    </w:p>
    <w:p w14:paraId="493E3B82" w14:textId="7D0FC183"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19.</w:t>
      </w:r>
      <w:r w:rsidRPr="00BD295E">
        <w:rPr>
          <w:rFonts w:ascii="Arial" w:hAnsi="Arial" w:cs="Arial"/>
          <w:sz w:val="18"/>
          <w:szCs w:val="18"/>
          <w:lang w:val="en-US"/>
        </w:rPr>
        <w:tab/>
        <w:t xml:space="preserve">Order No. 176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approving the </w:t>
      </w:r>
      <w:r w:rsidR="00BF7D8E" w:rsidRPr="00BD295E">
        <w:rPr>
          <w:rFonts w:ascii="Arial" w:hAnsi="Arial" w:cs="Arial"/>
          <w:i/>
          <w:iCs/>
          <w:sz w:val="18"/>
          <w:szCs w:val="18"/>
          <w:lang w:val="en-US"/>
        </w:rPr>
        <w:t>updated</w:t>
      </w:r>
      <w:r w:rsidRPr="00BD295E">
        <w:rPr>
          <w:rFonts w:ascii="Arial" w:hAnsi="Arial" w:cs="Arial"/>
          <w:i/>
          <w:iCs/>
          <w:sz w:val="18"/>
          <w:szCs w:val="18"/>
          <w:lang w:val="en-US"/>
        </w:rPr>
        <w:t xml:space="preserve"> operational risk registers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with the assignment of risk owners and risk coordinators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20, 2018.</w:t>
      </w:r>
    </w:p>
    <w:p w14:paraId="737DD778"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20.</w:t>
      </w:r>
      <w:r w:rsidRPr="00BD295E">
        <w:rPr>
          <w:rFonts w:ascii="Arial" w:hAnsi="Arial" w:cs="Arial"/>
          <w:sz w:val="18"/>
          <w:szCs w:val="18"/>
          <w:lang w:val="en-US"/>
        </w:rPr>
        <w:tab/>
        <w:t xml:space="preserve">Order No. 193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approving the Regulations for the Organization of the Occupational Safety Room at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25, 2018.</w:t>
      </w:r>
    </w:p>
    <w:p w14:paraId="3DC0105A"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21.</w:t>
      </w:r>
      <w:r w:rsidRPr="00BD295E">
        <w:rPr>
          <w:rFonts w:ascii="Arial" w:hAnsi="Arial" w:cs="Arial"/>
          <w:sz w:val="18"/>
          <w:szCs w:val="18"/>
          <w:lang w:val="en-US"/>
        </w:rPr>
        <w:tab/>
        <w:t xml:space="preserve">Order No. 198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preparation for large-scale repairs at facilities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in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April 26, 2018.</w:t>
      </w:r>
    </w:p>
    <w:p w14:paraId="0C402CFB"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22.</w:t>
      </w:r>
      <w:r w:rsidRPr="00BD295E">
        <w:rPr>
          <w:rFonts w:ascii="Arial" w:hAnsi="Arial" w:cs="Arial"/>
          <w:sz w:val="18"/>
          <w:szCs w:val="18"/>
          <w:lang w:val="en-US"/>
        </w:rPr>
        <w:tab/>
        <w:t xml:space="preserve">Directive No. 75-R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On the procedure for recording and keeping the results of occupational safety knowledge tests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May 3, 2018.</w:t>
      </w:r>
    </w:p>
    <w:p w14:paraId="150A5C53"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23.</w:t>
      </w:r>
      <w:r w:rsidRPr="00BD295E">
        <w:rPr>
          <w:rFonts w:ascii="Arial" w:hAnsi="Arial" w:cs="Arial"/>
          <w:sz w:val="18"/>
          <w:szCs w:val="18"/>
          <w:lang w:val="en-US"/>
        </w:rPr>
        <w:tab/>
        <w:t xml:space="preserve">Order No. 221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putting into effect a standard list of documentation for the operational personnel of the Grid Control Center, Dispatching Units, Operational Dispatching Team, Shift Electrical Technicians of the Operational Field Team, and Shift Electrical Technicians of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May 15, 2018.</w:t>
      </w:r>
    </w:p>
    <w:p w14:paraId="49848609" w14:textId="1C5D6ACF"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24.</w:t>
      </w:r>
      <w:r w:rsidRPr="00BD295E">
        <w:rPr>
          <w:rFonts w:ascii="Arial" w:hAnsi="Arial" w:cs="Arial"/>
          <w:sz w:val="18"/>
          <w:szCs w:val="18"/>
          <w:lang w:val="en-US"/>
        </w:rPr>
        <w:tab/>
        <w:t xml:space="preserve">Order No. 239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results of analyzing the integrated management system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in 2017 (approval of the </w:t>
      </w:r>
      <w:r w:rsidR="00BF7D8E" w:rsidRPr="00BD295E">
        <w:rPr>
          <w:rFonts w:ascii="Arial" w:hAnsi="Arial" w:cs="Arial"/>
          <w:i/>
          <w:iCs/>
          <w:sz w:val="18"/>
          <w:szCs w:val="18"/>
          <w:lang w:val="en-US"/>
        </w:rPr>
        <w:t>updated</w:t>
      </w:r>
      <w:r w:rsidRPr="00BD295E">
        <w:rPr>
          <w:rFonts w:ascii="Arial" w:hAnsi="Arial" w:cs="Arial"/>
          <w:i/>
          <w:iCs/>
          <w:sz w:val="18"/>
          <w:szCs w:val="18"/>
          <w:lang w:val="en-US"/>
        </w:rPr>
        <w:t xml:space="preserve"> OHS policy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May 28, 2018.</w:t>
      </w:r>
    </w:p>
    <w:p w14:paraId="7C16F5B6"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25.</w:t>
      </w:r>
      <w:r w:rsidRPr="00BD295E">
        <w:rPr>
          <w:rFonts w:ascii="Arial" w:hAnsi="Arial" w:cs="Arial"/>
          <w:sz w:val="18"/>
          <w:szCs w:val="18"/>
          <w:lang w:val="en-US"/>
        </w:rPr>
        <w:tab/>
        <w:t xml:space="preserve">Directive No. 110-R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results of inspections at branches, subsidiaries, and dependent companies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by the Regional Technical Supervision Division of the North-West in Q1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8, 2018.</w:t>
      </w:r>
    </w:p>
    <w:p w14:paraId="17DD3D48"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26.</w:t>
      </w:r>
      <w:r w:rsidRPr="00BD295E">
        <w:rPr>
          <w:rFonts w:ascii="Arial" w:hAnsi="Arial" w:cs="Arial"/>
          <w:sz w:val="18"/>
          <w:szCs w:val="18"/>
          <w:lang w:val="en-US"/>
        </w:rPr>
        <w:tab/>
        <w:t xml:space="preserve">Directive No. 119-R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On conducting unscheduled knowledge tests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21, 2018.</w:t>
      </w:r>
    </w:p>
    <w:p w14:paraId="1D84B7DE"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27.</w:t>
      </w:r>
      <w:r w:rsidRPr="00BD295E">
        <w:rPr>
          <w:rFonts w:ascii="Arial" w:hAnsi="Arial" w:cs="Arial"/>
          <w:sz w:val="18"/>
          <w:szCs w:val="18"/>
          <w:lang w:val="en-US"/>
        </w:rPr>
        <w:tab/>
        <w:t xml:space="preserve">Order No. 261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On approving programs to reduce injury risks at electric grid facilities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9, 2018.</w:t>
      </w:r>
    </w:p>
    <w:p w14:paraId="078E88C8"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28.</w:t>
      </w:r>
      <w:r w:rsidRPr="00BD295E">
        <w:rPr>
          <w:rFonts w:ascii="Arial" w:hAnsi="Arial" w:cs="Arial"/>
          <w:sz w:val="18"/>
          <w:szCs w:val="18"/>
          <w:lang w:val="en-US"/>
        </w:rPr>
        <w:tab/>
        <w:t xml:space="preserve">Order No. 263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On implementing a pilot project for conducting automated pre-trip and pre-shift medical checkups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9, 2018.</w:t>
      </w:r>
    </w:p>
    <w:p w14:paraId="02221EED"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29.</w:t>
      </w:r>
      <w:r w:rsidRPr="00BD295E">
        <w:rPr>
          <w:rFonts w:ascii="Arial" w:hAnsi="Arial" w:cs="Arial"/>
          <w:sz w:val="18"/>
          <w:szCs w:val="18"/>
          <w:lang w:val="en-US"/>
        </w:rPr>
        <w:tab/>
        <w:t xml:space="preserve">Order No. 282 of </w:t>
      </w:r>
      <w:r w:rsidR="00EE5753" w:rsidRPr="00BD295E">
        <w:rPr>
          <w:rFonts w:ascii="Arial" w:hAnsi="Arial" w:cs="Arial"/>
          <w:sz w:val="18"/>
          <w:szCs w:val="18"/>
          <w:lang w:val="en-US"/>
        </w:rPr>
        <w:t>PJSC “Lenenergo”</w:t>
      </w:r>
      <w:r w:rsidRPr="00BD295E">
        <w:rPr>
          <w:rFonts w:ascii="Arial" w:hAnsi="Arial" w:cs="Arial"/>
          <w:sz w:val="18"/>
          <w:szCs w:val="18"/>
          <w:lang w:val="en-US"/>
        </w:rPr>
        <w:t>,</w:t>
      </w:r>
      <w:r w:rsidR="00CF0D86" w:rsidRPr="00BD295E">
        <w:rPr>
          <w:rFonts w:ascii="Arial" w:hAnsi="Arial" w:cs="Arial"/>
          <w:sz w:val="18"/>
          <w:szCs w:val="18"/>
          <w:lang w:val="en-US"/>
        </w:rPr>
        <w:t xml:space="preserve"> </w:t>
      </w:r>
      <w:r w:rsidRPr="00BD295E">
        <w:rPr>
          <w:rFonts w:ascii="Arial" w:hAnsi="Arial" w:cs="Arial"/>
          <w:i/>
          <w:iCs/>
          <w:sz w:val="18"/>
          <w:szCs w:val="18"/>
          <w:lang w:val="en-US"/>
        </w:rPr>
        <w:t xml:space="preserve">On organizing preparation of branches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for the heat deficit period of 2018–2019</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22, 2018.</w:t>
      </w:r>
    </w:p>
    <w:p w14:paraId="72091B66"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30.</w:t>
      </w:r>
      <w:r w:rsidRPr="00BD295E">
        <w:rPr>
          <w:rFonts w:ascii="Arial" w:hAnsi="Arial" w:cs="Arial"/>
          <w:sz w:val="18"/>
          <w:szCs w:val="18"/>
          <w:lang w:val="en-US"/>
        </w:rPr>
        <w:tab/>
        <w:t xml:space="preserve">Order No. 296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July 2, 2018, </w:t>
      </w:r>
      <w:r w:rsidRPr="00BD295E">
        <w:rPr>
          <w:rFonts w:ascii="Arial" w:hAnsi="Arial" w:cs="Arial"/>
          <w:i/>
          <w:iCs/>
          <w:sz w:val="18"/>
          <w:szCs w:val="18"/>
          <w:lang w:val="en-US"/>
        </w:rPr>
        <w:t>On approval of the Regulations for ext</w:t>
      </w:r>
      <w:r w:rsidR="00CF0D86" w:rsidRPr="00BD295E">
        <w:rPr>
          <w:rFonts w:ascii="Arial" w:hAnsi="Arial" w:cs="Arial"/>
          <w:i/>
          <w:iCs/>
          <w:sz w:val="18"/>
          <w:szCs w:val="18"/>
          <w:lang w:val="en-US"/>
        </w:rPr>
        <w:t>r</w:t>
      </w:r>
      <w:r w:rsidRPr="00BD295E">
        <w:rPr>
          <w:rFonts w:ascii="Arial" w:hAnsi="Arial" w:cs="Arial"/>
          <w:i/>
          <w:iCs/>
          <w:sz w:val="18"/>
          <w:szCs w:val="18"/>
          <w:lang w:val="en-US"/>
        </w:rPr>
        <w:t xml:space="preserve">a pay and benefits payable to employees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working in harmful and/or hazardous working conditions</w:t>
      </w:r>
    </w:p>
    <w:p w14:paraId="626D05D3"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31.</w:t>
      </w:r>
      <w:r w:rsidRPr="00BD295E">
        <w:rPr>
          <w:rFonts w:ascii="Arial" w:hAnsi="Arial" w:cs="Arial"/>
          <w:sz w:val="18"/>
          <w:szCs w:val="18"/>
          <w:lang w:val="en-US"/>
        </w:rPr>
        <w:tab/>
        <w:t xml:space="preserve">Order No. 338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approving the standard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Regulations for Conducting Occupational Safety Days at Branches of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July 26, 2018.</w:t>
      </w:r>
    </w:p>
    <w:p w14:paraId="0B856478"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32.</w:t>
      </w:r>
      <w:r w:rsidRPr="00BD295E">
        <w:rPr>
          <w:rFonts w:ascii="Arial" w:hAnsi="Arial" w:cs="Arial"/>
          <w:sz w:val="18"/>
          <w:szCs w:val="18"/>
          <w:lang w:val="en-US"/>
        </w:rPr>
        <w:tab/>
        <w:t xml:space="preserve">Order No. 339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amending Order No. 308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On the system of measures to prevent employee injuries, </w:t>
      </w:r>
      <w:r w:rsidR="008B183C" w:rsidRPr="00BD295E">
        <w:rPr>
          <w:rFonts w:ascii="Arial" w:hAnsi="Arial" w:cs="Arial"/>
          <w:i/>
          <w:iCs/>
          <w:sz w:val="18"/>
          <w:szCs w:val="18"/>
          <w:lang w:val="en-US"/>
        </w:rPr>
        <w:t>of</w:t>
      </w:r>
      <w:r w:rsidRPr="00BD295E">
        <w:rPr>
          <w:rFonts w:ascii="Arial" w:hAnsi="Arial" w:cs="Arial"/>
          <w:i/>
          <w:iCs/>
          <w:sz w:val="18"/>
          <w:szCs w:val="18"/>
          <w:lang w:val="en-US"/>
        </w:rPr>
        <w:t xml:space="preserve"> May 30, 2017</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July 26, 2018.</w:t>
      </w:r>
    </w:p>
    <w:p w14:paraId="176C09E4"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33.</w:t>
      </w:r>
      <w:r w:rsidRPr="00BD295E">
        <w:rPr>
          <w:rFonts w:ascii="Arial" w:hAnsi="Arial" w:cs="Arial"/>
          <w:sz w:val="18"/>
          <w:szCs w:val="18"/>
          <w:lang w:val="en-US"/>
        </w:rPr>
        <w:tab/>
        <w:t xml:space="preserve">Order No. 415 of </w:t>
      </w:r>
      <w:r w:rsidR="00EE5753" w:rsidRPr="00BD295E">
        <w:rPr>
          <w:rFonts w:ascii="Arial" w:hAnsi="Arial" w:cs="Arial"/>
          <w:sz w:val="18"/>
          <w:szCs w:val="18"/>
          <w:lang w:val="en-US"/>
        </w:rPr>
        <w:t>PJSC “Lenenergo”</w:t>
      </w:r>
      <w:r w:rsidRPr="00BD295E">
        <w:rPr>
          <w:rFonts w:ascii="Arial" w:hAnsi="Arial" w:cs="Arial"/>
          <w:sz w:val="18"/>
          <w:szCs w:val="18"/>
          <w:lang w:val="en-US"/>
        </w:rPr>
        <w:t>,</w:t>
      </w:r>
      <w:r w:rsidRPr="00BD295E">
        <w:rPr>
          <w:rFonts w:ascii="Arial" w:hAnsi="Arial" w:cs="Arial"/>
          <w:i/>
          <w:iCs/>
          <w:sz w:val="18"/>
          <w:szCs w:val="18"/>
          <w:lang w:val="en-US"/>
        </w:rPr>
        <w:t xml:space="preserve"> On putting into effect a standard list of documentation for the operational personnel of the Grid Control Center, Dispatching Units, Operational Dispatching Team, Shift Electrical Technicians of the Operational Field Team, and Shift Electrical Technicians of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12, 2018.</w:t>
      </w:r>
    </w:p>
    <w:p w14:paraId="26C42F72"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34.</w:t>
      </w:r>
      <w:r w:rsidRPr="00BD295E">
        <w:rPr>
          <w:rFonts w:ascii="Arial" w:hAnsi="Arial" w:cs="Arial"/>
          <w:sz w:val="18"/>
          <w:szCs w:val="18"/>
          <w:lang w:val="en-US"/>
        </w:rPr>
        <w:tab/>
        <w:t xml:space="preserve">Order No. 428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occupational safety documents of </w:t>
      </w:r>
      <w:r w:rsidR="00BF106F" w:rsidRPr="00BD295E">
        <w:rPr>
          <w:rFonts w:ascii="Arial" w:hAnsi="Arial" w:cs="Arial"/>
          <w:i/>
          <w:iCs/>
          <w:sz w:val="18"/>
          <w:szCs w:val="18"/>
          <w:lang w:val="en-US"/>
        </w:rPr>
        <w:t>PJSC “Rosseti”</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19, 2018.</w:t>
      </w:r>
    </w:p>
    <w:p w14:paraId="4F5CE40E"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35.</w:t>
      </w:r>
      <w:r w:rsidRPr="00BD295E">
        <w:rPr>
          <w:rFonts w:ascii="Arial" w:hAnsi="Arial" w:cs="Arial"/>
          <w:sz w:val="18"/>
          <w:szCs w:val="18"/>
          <w:lang w:val="en-US"/>
        </w:rPr>
        <w:tab/>
        <w:t xml:space="preserve">Directive No. 241-R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On enhancing efforts to reduce occupational injuries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27, 2018.</w:t>
      </w:r>
    </w:p>
    <w:p w14:paraId="39A5DD67"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36.</w:t>
      </w:r>
      <w:r w:rsidRPr="00BD295E">
        <w:rPr>
          <w:rFonts w:ascii="Arial" w:hAnsi="Arial" w:cs="Arial"/>
          <w:sz w:val="18"/>
          <w:szCs w:val="18"/>
          <w:lang w:val="en-US"/>
        </w:rPr>
        <w:tab/>
        <w:t xml:space="preserve">Directive No. 259-R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results of temporary workplace inspections at branches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for Q3 2018</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30, 2018.</w:t>
      </w:r>
    </w:p>
    <w:p w14:paraId="2B2B9CF9"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37.</w:t>
      </w:r>
      <w:r w:rsidRPr="00BD295E">
        <w:rPr>
          <w:rFonts w:ascii="Arial" w:hAnsi="Arial" w:cs="Arial"/>
          <w:sz w:val="18"/>
          <w:szCs w:val="18"/>
          <w:lang w:val="en-US"/>
        </w:rPr>
        <w:tab/>
        <w:t xml:space="preserve">Order No. 526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approving critical health and safety risks in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7, 2018.</w:t>
      </w:r>
    </w:p>
    <w:p w14:paraId="4331CD28"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38.</w:t>
      </w:r>
      <w:r w:rsidRPr="00BD295E">
        <w:rPr>
          <w:rFonts w:ascii="Arial" w:hAnsi="Arial" w:cs="Arial"/>
          <w:sz w:val="18"/>
          <w:szCs w:val="18"/>
          <w:lang w:val="en-US"/>
        </w:rPr>
        <w:tab/>
        <w:t xml:space="preserve">Order No. 562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the results of the investigation of an accident that occurred on August 30, 2018 at the executive arm of </w:t>
      </w:r>
      <w:r w:rsidR="00EE5753" w:rsidRPr="00BD295E">
        <w:rPr>
          <w:rFonts w:ascii="Arial" w:hAnsi="Arial" w:cs="Arial"/>
          <w:i/>
          <w:iCs/>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30, 2018.</w:t>
      </w:r>
    </w:p>
    <w:p w14:paraId="6898430F" w14:textId="77777777" w:rsidR="00DD1D87" w:rsidRPr="00BD295E" w:rsidRDefault="008A5057" w:rsidP="00F7146A">
      <w:pPr>
        <w:pStyle w:val="afffff3"/>
        <w:tabs>
          <w:tab w:val="clear" w:pos="1080"/>
          <w:tab w:val="clear" w:pos="1320"/>
          <w:tab w:val="left" w:pos="1134"/>
        </w:tabs>
        <w:ind w:firstLine="0"/>
        <w:rPr>
          <w:rFonts w:ascii="Arial" w:hAnsi="Arial" w:cs="Arial"/>
          <w:sz w:val="18"/>
          <w:szCs w:val="18"/>
          <w:lang w:val="en-US"/>
        </w:rPr>
      </w:pPr>
      <w:r w:rsidRPr="00BD295E">
        <w:rPr>
          <w:rFonts w:ascii="Arial" w:hAnsi="Arial" w:cs="Arial"/>
          <w:sz w:val="18"/>
          <w:szCs w:val="18"/>
          <w:lang w:val="en-US"/>
        </w:rPr>
        <w:t>39.</w:t>
      </w:r>
      <w:r w:rsidRPr="00BD295E">
        <w:rPr>
          <w:rFonts w:ascii="Arial" w:hAnsi="Arial" w:cs="Arial"/>
          <w:sz w:val="18"/>
          <w:szCs w:val="18"/>
          <w:lang w:val="en-US"/>
        </w:rPr>
        <w:tab/>
        <w:t xml:space="preserve">Directive No. 10-R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approving the schedule for participation in occupational safety days at branches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in 2019</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24, 2018</w:t>
      </w:r>
    </w:p>
    <w:p w14:paraId="345173E3" w14:textId="77777777" w:rsidR="00DD1D87" w:rsidRPr="00BD295E" w:rsidRDefault="00DD1D87" w:rsidP="00DD1D87">
      <w:pPr>
        <w:rPr>
          <w:rFonts w:ascii="Arial" w:hAnsi="Arial" w:cs="Arial"/>
          <w:sz w:val="18"/>
          <w:szCs w:val="18"/>
          <w:lang w:val="en-US"/>
        </w:rPr>
      </w:pPr>
    </w:p>
    <w:p w14:paraId="33D79259" w14:textId="77777777" w:rsidR="00DD1D87" w:rsidRPr="00BD295E" w:rsidRDefault="008A5057" w:rsidP="00DD1D87">
      <w:pPr>
        <w:pStyle w:val="afffff3"/>
        <w:ind w:firstLine="0"/>
        <w:jc w:val="center"/>
        <w:rPr>
          <w:rFonts w:ascii="Arial" w:hAnsi="Arial" w:cs="Arial"/>
          <w:b/>
          <w:sz w:val="18"/>
          <w:szCs w:val="18"/>
          <w:lang w:val="en-US"/>
        </w:rPr>
      </w:pPr>
      <w:r w:rsidRPr="00BD295E">
        <w:rPr>
          <w:rFonts w:ascii="Arial" w:hAnsi="Arial" w:cs="Arial"/>
          <w:b/>
          <w:sz w:val="18"/>
          <w:szCs w:val="18"/>
          <w:lang w:val="en-US"/>
        </w:rPr>
        <w:t>Total and fatal injuries in 2016–2018</w:t>
      </w:r>
    </w:p>
    <w:p w14:paraId="701633BA" w14:textId="77777777" w:rsidR="00DD1D87" w:rsidRPr="00BD295E" w:rsidRDefault="008A5057" w:rsidP="00DD1D87">
      <w:pPr>
        <w:pStyle w:val="afffff3"/>
        <w:ind w:firstLine="0"/>
        <w:jc w:val="center"/>
        <w:rPr>
          <w:rFonts w:ascii="Arial" w:hAnsi="Arial" w:cs="Arial"/>
          <w:b/>
          <w:sz w:val="18"/>
          <w:szCs w:val="18"/>
          <w:lang w:val="en-US"/>
        </w:rPr>
      </w:pPr>
      <w:r w:rsidRPr="00BD295E">
        <w:rPr>
          <w:rFonts w:ascii="Arial" w:hAnsi="Arial" w:cs="Arial"/>
          <w:b/>
          <w:sz w:val="18"/>
          <w:szCs w:val="18"/>
          <w:lang w:val="en-US"/>
        </w:rPr>
        <w:t>(numerator – number of cases, denominator – injured persons)</w:t>
      </w:r>
    </w:p>
    <w:tbl>
      <w:tblPr>
        <w:tblW w:w="98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9"/>
        <w:gridCol w:w="1253"/>
        <w:gridCol w:w="1254"/>
        <w:gridCol w:w="1254"/>
        <w:gridCol w:w="1253"/>
        <w:gridCol w:w="1254"/>
        <w:gridCol w:w="1254"/>
      </w:tblGrid>
      <w:tr w:rsidR="008A5057" w:rsidRPr="00BD295E" w14:paraId="583B6586" w14:textId="77777777" w:rsidTr="00E3510B">
        <w:trPr>
          <w:trHeight w:val="250"/>
        </w:trPr>
        <w:tc>
          <w:tcPr>
            <w:tcW w:w="2369" w:type="dxa"/>
            <w:vMerge w:val="restart"/>
            <w:shd w:val="clear" w:color="auto" w:fill="auto"/>
          </w:tcPr>
          <w:p w14:paraId="1ECB46C8"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Branch</w:t>
            </w:r>
          </w:p>
        </w:tc>
        <w:tc>
          <w:tcPr>
            <w:tcW w:w="2506" w:type="dxa"/>
            <w:gridSpan w:val="2"/>
            <w:shd w:val="clear" w:color="auto" w:fill="auto"/>
          </w:tcPr>
          <w:p w14:paraId="776722D2"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2016</w:t>
            </w:r>
          </w:p>
        </w:tc>
        <w:tc>
          <w:tcPr>
            <w:tcW w:w="2506" w:type="dxa"/>
            <w:gridSpan w:val="2"/>
            <w:shd w:val="clear" w:color="auto" w:fill="auto"/>
          </w:tcPr>
          <w:p w14:paraId="4AAFCD05"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2017</w:t>
            </w:r>
          </w:p>
        </w:tc>
        <w:tc>
          <w:tcPr>
            <w:tcW w:w="2507" w:type="dxa"/>
            <w:gridSpan w:val="2"/>
            <w:shd w:val="clear" w:color="auto" w:fill="auto"/>
          </w:tcPr>
          <w:p w14:paraId="55592709"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2018</w:t>
            </w:r>
          </w:p>
        </w:tc>
      </w:tr>
      <w:tr w:rsidR="008A5057" w:rsidRPr="00BD295E" w14:paraId="0A717206" w14:textId="77777777" w:rsidTr="00E3510B">
        <w:trPr>
          <w:trHeight w:val="147"/>
        </w:trPr>
        <w:tc>
          <w:tcPr>
            <w:tcW w:w="2369" w:type="dxa"/>
            <w:vMerge/>
            <w:shd w:val="clear" w:color="auto" w:fill="auto"/>
          </w:tcPr>
          <w:p w14:paraId="79B2BD0A" w14:textId="77777777" w:rsidR="00DD1D87" w:rsidRPr="00BD295E" w:rsidRDefault="00DD1D87" w:rsidP="00E3510B">
            <w:pPr>
              <w:pStyle w:val="afffff3"/>
              <w:ind w:firstLine="0"/>
              <w:jc w:val="center"/>
              <w:rPr>
                <w:rFonts w:ascii="Arial" w:hAnsi="Arial" w:cs="Arial"/>
                <w:sz w:val="18"/>
                <w:szCs w:val="18"/>
                <w:lang w:val="en-US"/>
              </w:rPr>
            </w:pPr>
          </w:p>
        </w:tc>
        <w:tc>
          <w:tcPr>
            <w:tcW w:w="1253" w:type="dxa"/>
            <w:shd w:val="clear" w:color="auto" w:fill="auto"/>
          </w:tcPr>
          <w:p w14:paraId="590B1008" w14:textId="77777777" w:rsidR="00DD1D87" w:rsidRPr="00BD295E" w:rsidRDefault="008A5057" w:rsidP="00E3510B">
            <w:pPr>
              <w:pStyle w:val="afffff3"/>
              <w:ind w:left="-57" w:right="-57" w:firstLine="0"/>
              <w:jc w:val="center"/>
              <w:rPr>
                <w:rFonts w:ascii="Arial" w:hAnsi="Arial" w:cs="Arial"/>
                <w:sz w:val="18"/>
                <w:szCs w:val="18"/>
                <w:lang w:val="en-US"/>
              </w:rPr>
            </w:pPr>
            <w:r w:rsidRPr="00BD295E">
              <w:rPr>
                <w:rFonts w:ascii="Arial" w:hAnsi="Arial" w:cs="Arial"/>
                <w:sz w:val="18"/>
                <w:szCs w:val="18"/>
                <w:lang w:val="en-US"/>
              </w:rPr>
              <w:t xml:space="preserve">General </w:t>
            </w:r>
          </w:p>
        </w:tc>
        <w:tc>
          <w:tcPr>
            <w:tcW w:w="1254" w:type="dxa"/>
            <w:shd w:val="clear" w:color="auto" w:fill="auto"/>
          </w:tcPr>
          <w:p w14:paraId="1872F639" w14:textId="77777777" w:rsidR="00DD1D87" w:rsidRPr="00BD295E" w:rsidRDefault="008A5057" w:rsidP="00E3510B">
            <w:pPr>
              <w:pStyle w:val="afffff3"/>
              <w:ind w:left="-57" w:right="-57" w:firstLine="0"/>
              <w:jc w:val="center"/>
              <w:rPr>
                <w:rFonts w:ascii="Arial" w:hAnsi="Arial" w:cs="Arial"/>
                <w:sz w:val="18"/>
                <w:szCs w:val="18"/>
                <w:lang w:val="en-US"/>
              </w:rPr>
            </w:pPr>
            <w:r w:rsidRPr="00BD295E">
              <w:rPr>
                <w:rFonts w:ascii="Arial" w:hAnsi="Arial" w:cs="Arial"/>
                <w:sz w:val="18"/>
                <w:szCs w:val="18"/>
                <w:lang w:val="en-US"/>
              </w:rPr>
              <w:t>Fatal</w:t>
            </w:r>
          </w:p>
        </w:tc>
        <w:tc>
          <w:tcPr>
            <w:tcW w:w="1254" w:type="dxa"/>
            <w:shd w:val="clear" w:color="auto" w:fill="auto"/>
          </w:tcPr>
          <w:p w14:paraId="0D5CB117" w14:textId="77777777" w:rsidR="00DD1D87" w:rsidRPr="00BD295E" w:rsidRDefault="008A5057" w:rsidP="00E3510B">
            <w:pPr>
              <w:pStyle w:val="afffff3"/>
              <w:ind w:left="-57" w:right="-57" w:firstLine="0"/>
              <w:jc w:val="center"/>
              <w:rPr>
                <w:rFonts w:ascii="Arial" w:hAnsi="Arial" w:cs="Arial"/>
                <w:sz w:val="18"/>
                <w:szCs w:val="18"/>
                <w:lang w:val="en-US"/>
              </w:rPr>
            </w:pPr>
            <w:r w:rsidRPr="00BD295E">
              <w:rPr>
                <w:rFonts w:ascii="Arial" w:hAnsi="Arial" w:cs="Arial"/>
                <w:sz w:val="18"/>
                <w:szCs w:val="18"/>
                <w:lang w:val="en-US"/>
              </w:rPr>
              <w:t xml:space="preserve">General </w:t>
            </w:r>
          </w:p>
        </w:tc>
        <w:tc>
          <w:tcPr>
            <w:tcW w:w="1253" w:type="dxa"/>
            <w:shd w:val="clear" w:color="auto" w:fill="auto"/>
          </w:tcPr>
          <w:p w14:paraId="380284AA" w14:textId="77777777" w:rsidR="00DD1D87" w:rsidRPr="00BD295E" w:rsidRDefault="008A5057" w:rsidP="00E3510B">
            <w:pPr>
              <w:pStyle w:val="afffff3"/>
              <w:ind w:left="-57" w:right="-57" w:firstLine="0"/>
              <w:jc w:val="center"/>
              <w:rPr>
                <w:rFonts w:ascii="Arial" w:hAnsi="Arial" w:cs="Arial"/>
                <w:sz w:val="18"/>
                <w:szCs w:val="18"/>
                <w:lang w:val="en-US"/>
              </w:rPr>
            </w:pPr>
            <w:r w:rsidRPr="00BD295E">
              <w:rPr>
                <w:rFonts w:ascii="Arial" w:hAnsi="Arial" w:cs="Arial"/>
                <w:sz w:val="18"/>
                <w:szCs w:val="18"/>
                <w:lang w:val="en-US"/>
              </w:rPr>
              <w:t>Fatal</w:t>
            </w:r>
          </w:p>
        </w:tc>
        <w:tc>
          <w:tcPr>
            <w:tcW w:w="1254" w:type="dxa"/>
            <w:shd w:val="clear" w:color="auto" w:fill="auto"/>
          </w:tcPr>
          <w:p w14:paraId="53A84845" w14:textId="77777777" w:rsidR="00DD1D87" w:rsidRPr="00BD295E" w:rsidRDefault="008A5057" w:rsidP="00E3510B">
            <w:pPr>
              <w:pStyle w:val="afffff3"/>
              <w:ind w:left="-57" w:right="-57" w:firstLine="0"/>
              <w:jc w:val="center"/>
              <w:rPr>
                <w:rFonts w:ascii="Arial" w:hAnsi="Arial" w:cs="Arial"/>
                <w:sz w:val="18"/>
                <w:szCs w:val="18"/>
                <w:lang w:val="en-US"/>
              </w:rPr>
            </w:pPr>
            <w:r w:rsidRPr="00BD295E">
              <w:rPr>
                <w:rFonts w:ascii="Arial" w:hAnsi="Arial" w:cs="Arial"/>
                <w:sz w:val="18"/>
                <w:szCs w:val="18"/>
                <w:lang w:val="en-US"/>
              </w:rPr>
              <w:t xml:space="preserve">General </w:t>
            </w:r>
          </w:p>
        </w:tc>
        <w:tc>
          <w:tcPr>
            <w:tcW w:w="1254" w:type="dxa"/>
            <w:shd w:val="clear" w:color="auto" w:fill="auto"/>
          </w:tcPr>
          <w:p w14:paraId="79E96916" w14:textId="77777777" w:rsidR="00DD1D87" w:rsidRPr="00BD295E" w:rsidRDefault="008A5057" w:rsidP="00E3510B">
            <w:pPr>
              <w:pStyle w:val="afffff3"/>
              <w:ind w:left="-57" w:right="-57" w:firstLine="0"/>
              <w:jc w:val="center"/>
              <w:rPr>
                <w:rFonts w:ascii="Arial" w:hAnsi="Arial" w:cs="Arial"/>
                <w:sz w:val="18"/>
                <w:szCs w:val="18"/>
                <w:lang w:val="en-US"/>
              </w:rPr>
            </w:pPr>
            <w:r w:rsidRPr="00BD295E">
              <w:rPr>
                <w:rFonts w:ascii="Arial" w:hAnsi="Arial" w:cs="Arial"/>
                <w:sz w:val="18"/>
                <w:szCs w:val="18"/>
                <w:lang w:val="en-US"/>
              </w:rPr>
              <w:t>Fatal</w:t>
            </w:r>
          </w:p>
        </w:tc>
      </w:tr>
      <w:tr w:rsidR="008A5057" w:rsidRPr="00BD295E" w14:paraId="480535DC" w14:textId="77777777" w:rsidTr="00E3510B">
        <w:trPr>
          <w:trHeight w:val="485"/>
        </w:trPr>
        <w:tc>
          <w:tcPr>
            <w:tcW w:w="2369" w:type="dxa"/>
            <w:shd w:val="clear" w:color="auto" w:fill="auto"/>
          </w:tcPr>
          <w:p w14:paraId="3D2FFB90" w14:textId="00E5A5E9" w:rsidR="00DD1D87" w:rsidRPr="00BD295E" w:rsidRDefault="008A5057" w:rsidP="00E30E5D">
            <w:pPr>
              <w:pStyle w:val="afffff3"/>
              <w:ind w:firstLine="0"/>
              <w:jc w:val="left"/>
              <w:rPr>
                <w:rFonts w:ascii="Arial" w:hAnsi="Arial" w:cs="Arial"/>
                <w:sz w:val="18"/>
                <w:szCs w:val="18"/>
                <w:lang w:val="en-US"/>
              </w:rPr>
            </w:pPr>
            <w:r w:rsidRPr="00BD295E">
              <w:rPr>
                <w:rFonts w:ascii="Arial" w:hAnsi="Arial" w:cs="Arial"/>
                <w:sz w:val="18"/>
                <w:szCs w:val="18"/>
                <w:lang w:val="en-US"/>
              </w:rPr>
              <w:t xml:space="preserve">Vyborgskiye </w:t>
            </w:r>
            <w:r w:rsidR="0033125D" w:rsidRPr="00BD295E">
              <w:rPr>
                <w:rFonts w:ascii="Arial" w:hAnsi="Arial" w:cs="Arial"/>
                <w:sz w:val="18"/>
                <w:szCs w:val="18"/>
                <w:lang w:val="en-US"/>
              </w:rPr>
              <w:t xml:space="preserve">Power </w:t>
            </w:r>
            <w:r w:rsidRPr="00BD295E">
              <w:rPr>
                <w:rFonts w:ascii="Arial" w:hAnsi="Arial" w:cs="Arial"/>
                <w:sz w:val="18"/>
                <w:szCs w:val="18"/>
                <w:lang w:val="en-US"/>
              </w:rPr>
              <w:t>Grid</w:t>
            </w:r>
          </w:p>
        </w:tc>
        <w:tc>
          <w:tcPr>
            <w:tcW w:w="1253" w:type="dxa"/>
            <w:shd w:val="clear" w:color="auto" w:fill="auto"/>
            <w:vAlign w:val="center"/>
          </w:tcPr>
          <w:p w14:paraId="74D2A3AB"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4" w:type="dxa"/>
            <w:shd w:val="clear" w:color="auto" w:fill="auto"/>
            <w:vAlign w:val="center"/>
          </w:tcPr>
          <w:p w14:paraId="4FDDC796"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4" w:type="dxa"/>
            <w:shd w:val="clear" w:color="auto" w:fill="auto"/>
            <w:vAlign w:val="center"/>
          </w:tcPr>
          <w:p w14:paraId="0A3EB810" w14:textId="77777777" w:rsidR="00DD1D87" w:rsidRPr="00BD295E" w:rsidRDefault="00DD1D87" w:rsidP="00E3510B">
            <w:pPr>
              <w:pStyle w:val="afffff3"/>
              <w:ind w:firstLine="0"/>
              <w:jc w:val="center"/>
              <w:rPr>
                <w:rFonts w:ascii="Arial" w:hAnsi="Arial" w:cs="Arial"/>
                <w:sz w:val="18"/>
                <w:szCs w:val="18"/>
                <w:lang w:val="en-US"/>
              </w:rPr>
            </w:pPr>
          </w:p>
        </w:tc>
        <w:tc>
          <w:tcPr>
            <w:tcW w:w="1253" w:type="dxa"/>
            <w:shd w:val="clear" w:color="auto" w:fill="auto"/>
            <w:vAlign w:val="center"/>
          </w:tcPr>
          <w:p w14:paraId="2327E6E0"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4CD0E788"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054F232D" w14:textId="77777777" w:rsidR="00DD1D87" w:rsidRPr="00BD295E" w:rsidRDefault="00DD1D87" w:rsidP="00E3510B">
            <w:pPr>
              <w:pStyle w:val="afffff3"/>
              <w:ind w:firstLine="0"/>
              <w:jc w:val="center"/>
              <w:rPr>
                <w:rFonts w:ascii="Arial" w:hAnsi="Arial" w:cs="Arial"/>
                <w:sz w:val="18"/>
                <w:szCs w:val="18"/>
                <w:lang w:val="en-US"/>
              </w:rPr>
            </w:pPr>
          </w:p>
        </w:tc>
      </w:tr>
      <w:tr w:rsidR="008A5057" w:rsidRPr="00BD295E" w14:paraId="613AA9F2" w14:textId="77777777" w:rsidTr="00E3510B">
        <w:trPr>
          <w:trHeight w:val="499"/>
        </w:trPr>
        <w:tc>
          <w:tcPr>
            <w:tcW w:w="2369" w:type="dxa"/>
            <w:shd w:val="clear" w:color="auto" w:fill="auto"/>
          </w:tcPr>
          <w:p w14:paraId="0AF021D3" w14:textId="42453BED" w:rsidR="00DD1D87" w:rsidRPr="00BD295E" w:rsidRDefault="008A5057" w:rsidP="00E30E5D">
            <w:pPr>
              <w:pStyle w:val="afffff3"/>
              <w:ind w:firstLine="0"/>
              <w:jc w:val="left"/>
              <w:rPr>
                <w:rFonts w:ascii="Arial" w:hAnsi="Arial" w:cs="Arial"/>
                <w:sz w:val="18"/>
                <w:szCs w:val="18"/>
                <w:lang w:val="en-US"/>
              </w:rPr>
            </w:pPr>
            <w:r w:rsidRPr="00BD295E">
              <w:rPr>
                <w:rFonts w:ascii="Arial" w:hAnsi="Arial" w:cs="Arial"/>
                <w:sz w:val="18"/>
                <w:szCs w:val="18"/>
                <w:lang w:val="en-US"/>
              </w:rPr>
              <w:t xml:space="preserve">Gatchinskiye </w:t>
            </w:r>
            <w:r w:rsidR="0033125D" w:rsidRPr="00BD295E">
              <w:rPr>
                <w:rFonts w:ascii="Arial" w:hAnsi="Arial" w:cs="Arial"/>
                <w:sz w:val="18"/>
                <w:szCs w:val="18"/>
                <w:lang w:val="en-US"/>
              </w:rPr>
              <w:t xml:space="preserve">Power </w:t>
            </w:r>
            <w:r w:rsidRPr="00BD295E">
              <w:rPr>
                <w:rFonts w:ascii="Arial" w:hAnsi="Arial" w:cs="Arial"/>
                <w:sz w:val="18"/>
                <w:szCs w:val="18"/>
                <w:lang w:val="en-US"/>
              </w:rPr>
              <w:t>Grid</w:t>
            </w:r>
          </w:p>
        </w:tc>
        <w:tc>
          <w:tcPr>
            <w:tcW w:w="1253" w:type="dxa"/>
            <w:shd w:val="clear" w:color="auto" w:fill="auto"/>
            <w:vAlign w:val="center"/>
          </w:tcPr>
          <w:p w14:paraId="394E5A85"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0DF36302"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4D29EA2A"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3" w:type="dxa"/>
            <w:shd w:val="clear" w:color="auto" w:fill="auto"/>
            <w:vAlign w:val="center"/>
          </w:tcPr>
          <w:p w14:paraId="5C092E10"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67390FB9"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131D2C56" w14:textId="77777777" w:rsidR="00DD1D87" w:rsidRPr="00BD295E" w:rsidRDefault="00DD1D87" w:rsidP="00E3510B">
            <w:pPr>
              <w:pStyle w:val="afffff3"/>
              <w:ind w:firstLine="0"/>
              <w:jc w:val="center"/>
              <w:rPr>
                <w:rFonts w:ascii="Arial" w:hAnsi="Arial" w:cs="Arial"/>
                <w:sz w:val="18"/>
                <w:szCs w:val="18"/>
                <w:lang w:val="en-US"/>
              </w:rPr>
            </w:pPr>
          </w:p>
        </w:tc>
      </w:tr>
      <w:tr w:rsidR="008A5057" w:rsidRPr="00BD295E" w14:paraId="4A229AF9" w14:textId="77777777" w:rsidTr="00E3510B">
        <w:trPr>
          <w:trHeight w:val="381"/>
        </w:trPr>
        <w:tc>
          <w:tcPr>
            <w:tcW w:w="2369" w:type="dxa"/>
            <w:shd w:val="clear" w:color="auto" w:fill="auto"/>
          </w:tcPr>
          <w:p w14:paraId="2296866D" w14:textId="3D433317" w:rsidR="00DD1D87" w:rsidRPr="00BD295E" w:rsidRDefault="008A5057" w:rsidP="00E3510B">
            <w:pPr>
              <w:pStyle w:val="afffff3"/>
              <w:ind w:firstLine="0"/>
              <w:jc w:val="left"/>
              <w:rPr>
                <w:rFonts w:ascii="Arial" w:hAnsi="Arial" w:cs="Arial"/>
                <w:sz w:val="18"/>
                <w:szCs w:val="18"/>
                <w:lang w:val="en-US"/>
              </w:rPr>
            </w:pPr>
            <w:r w:rsidRPr="00BD295E">
              <w:rPr>
                <w:rFonts w:ascii="Arial" w:hAnsi="Arial" w:cs="Arial"/>
                <w:sz w:val="18"/>
                <w:szCs w:val="18"/>
                <w:lang w:val="en-US"/>
              </w:rPr>
              <w:t xml:space="preserve">Cable </w:t>
            </w:r>
            <w:r w:rsidR="002B0157" w:rsidRPr="00BD295E">
              <w:rPr>
                <w:rFonts w:ascii="Arial" w:hAnsi="Arial" w:cs="Arial"/>
                <w:sz w:val="18"/>
                <w:szCs w:val="18"/>
                <w:lang w:val="en-US"/>
              </w:rPr>
              <w:t>Grid</w:t>
            </w:r>
          </w:p>
        </w:tc>
        <w:tc>
          <w:tcPr>
            <w:tcW w:w="1253" w:type="dxa"/>
            <w:shd w:val="clear" w:color="auto" w:fill="auto"/>
            <w:vAlign w:val="center"/>
          </w:tcPr>
          <w:p w14:paraId="03AFD174"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0B02F80E"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0BF2EB4F"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3" w:type="dxa"/>
            <w:shd w:val="clear" w:color="auto" w:fill="auto"/>
            <w:vAlign w:val="center"/>
          </w:tcPr>
          <w:p w14:paraId="0139EE59"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4" w:type="dxa"/>
            <w:shd w:val="clear" w:color="auto" w:fill="auto"/>
            <w:vAlign w:val="center"/>
          </w:tcPr>
          <w:p w14:paraId="26798C19"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200064AA" w14:textId="77777777" w:rsidR="00DD1D87" w:rsidRPr="00BD295E" w:rsidRDefault="00DD1D87" w:rsidP="00E3510B">
            <w:pPr>
              <w:pStyle w:val="afffff3"/>
              <w:ind w:firstLine="0"/>
              <w:jc w:val="center"/>
              <w:rPr>
                <w:rFonts w:ascii="Arial" w:hAnsi="Arial" w:cs="Arial"/>
                <w:sz w:val="18"/>
                <w:szCs w:val="18"/>
                <w:lang w:val="en-US"/>
              </w:rPr>
            </w:pPr>
          </w:p>
        </w:tc>
      </w:tr>
      <w:tr w:rsidR="008A5057" w:rsidRPr="00BD295E" w14:paraId="4FC0A2A3" w14:textId="77777777" w:rsidTr="00E3510B">
        <w:trPr>
          <w:trHeight w:val="499"/>
        </w:trPr>
        <w:tc>
          <w:tcPr>
            <w:tcW w:w="2369" w:type="dxa"/>
            <w:shd w:val="clear" w:color="auto" w:fill="auto"/>
          </w:tcPr>
          <w:p w14:paraId="2CA0100C" w14:textId="2ADFA1AA" w:rsidR="00DD1D87" w:rsidRPr="00BD295E" w:rsidRDefault="008A5057" w:rsidP="00E30E5D">
            <w:pPr>
              <w:pStyle w:val="afffff3"/>
              <w:ind w:firstLine="0"/>
              <w:jc w:val="left"/>
              <w:rPr>
                <w:rFonts w:ascii="Arial" w:hAnsi="Arial" w:cs="Arial"/>
                <w:sz w:val="18"/>
                <w:szCs w:val="18"/>
                <w:lang w:val="en-US"/>
              </w:rPr>
            </w:pPr>
            <w:r w:rsidRPr="00BD295E">
              <w:rPr>
                <w:rFonts w:ascii="Arial" w:hAnsi="Arial" w:cs="Arial"/>
                <w:sz w:val="18"/>
                <w:szCs w:val="18"/>
                <w:lang w:val="en-US"/>
              </w:rPr>
              <w:t xml:space="preserve">Kingiseppskiye </w:t>
            </w:r>
            <w:r w:rsidR="0033125D" w:rsidRPr="00BD295E">
              <w:rPr>
                <w:rFonts w:ascii="Arial" w:hAnsi="Arial" w:cs="Arial"/>
                <w:sz w:val="18"/>
                <w:szCs w:val="18"/>
                <w:lang w:val="en-US"/>
              </w:rPr>
              <w:t xml:space="preserve">Power </w:t>
            </w:r>
            <w:r w:rsidRPr="00BD295E">
              <w:rPr>
                <w:rFonts w:ascii="Arial" w:hAnsi="Arial" w:cs="Arial"/>
                <w:sz w:val="18"/>
                <w:szCs w:val="18"/>
                <w:lang w:val="en-US"/>
              </w:rPr>
              <w:t>Grid</w:t>
            </w:r>
          </w:p>
        </w:tc>
        <w:tc>
          <w:tcPr>
            <w:tcW w:w="1253" w:type="dxa"/>
            <w:shd w:val="clear" w:color="auto" w:fill="auto"/>
            <w:vAlign w:val="center"/>
          </w:tcPr>
          <w:p w14:paraId="13946664"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4" w:type="dxa"/>
            <w:shd w:val="clear" w:color="auto" w:fill="auto"/>
            <w:vAlign w:val="center"/>
          </w:tcPr>
          <w:p w14:paraId="3F28CF7D"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4" w:type="dxa"/>
            <w:shd w:val="clear" w:color="auto" w:fill="auto"/>
            <w:vAlign w:val="center"/>
          </w:tcPr>
          <w:p w14:paraId="1BACBAFD"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3" w:type="dxa"/>
            <w:shd w:val="clear" w:color="auto" w:fill="auto"/>
            <w:vAlign w:val="center"/>
          </w:tcPr>
          <w:p w14:paraId="4C8E47D0"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4" w:type="dxa"/>
            <w:shd w:val="clear" w:color="auto" w:fill="auto"/>
            <w:vAlign w:val="center"/>
          </w:tcPr>
          <w:p w14:paraId="0965D07B"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21FBB0F6" w14:textId="77777777" w:rsidR="00DD1D87" w:rsidRPr="00BD295E" w:rsidRDefault="00DD1D87" w:rsidP="00E3510B">
            <w:pPr>
              <w:pStyle w:val="afffff3"/>
              <w:ind w:firstLine="0"/>
              <w:jc w:val="center"/>
              <w:rPr>
                <w:rFonts w:ascii="Arial" w:hAnsi="Arial" w:cs="Arial"/>
                <w:sz w:val="18"/>
                <w:szCs w:val="18"/>
                <w:lang w:val="en-US"/>
              </w:rPr>
            </w:pPr>
          </w:p>
        </w:tc>
      </w:tr>
      <w:tr w:rsidR="008A5057" w:rsidRPr="00BD295E" w14:paraId="682B837E" w14:textId="77777777" w:rsidTr="00E3510B">
        <w:trPr>
          <w:trHeight w:val="499"/>
        </w:trPr>
        <w:tc>
          <w:tcPr>
            <w:tcW w:w="2369" w:type="dxa"/>
            <w:shd w:val="clear" w:color="auto" w:fill="auto"/>
          </w:tcPr>
          <w:p w14:paraId="2C2C15D1" w14:textId="2A345CEC" w:rsidR="00DD1D87" w:rsidRPr="00BD295E" w:rsidRDefault="008A5057" w:rsidP="00E30E5D">
            <w:pPr>
              <w:pStyle w:val="afffff3"/>
              <w:ind w:firstLine="0"/>
              <w:jc w:val="left"/>
              <w:rPr>
                <w:rFonts w:ascii="Arial" w:hAnsi="Arial" w:cs="Arial"/>
                <w:sz w:val="18"/>
                <w:szCs w:val="18"/>
                <w:lang w:val="en-US"/>
              </w:rPr>
            </w:pPr>
            <w:r w:rsidRPr="00BD295E">
              <w:rPr>
                <w:rFonts w:ascii="Arial" w:hAnsi="Arial" w:cs="Arial"/>
                <w:sz w:val="18"/>
                <w:szCs w:val="18"/>
                <w:lang w:val="en-US"/>
              </w:rPr>
              <w:t xml:space="preserve">Novoladozhskiye </w:t>
            </w:r>
            <w:r w:rsidR="0033125D" w:rsidRPr="00BD295E">
              <w:rPr>
                <w:rFonts w:ascii="Arial" w:hAnsi="Arial" w:cs="Arial"/>
                <w:sz w:val="18"/>
                <w:szCs w:val="18"/>
                <w:lang w:val="en-US"/>
              </w:rPr>
              <w:t xml:space="preserve">Power </w:t>
            </w:r>
            <w:r w:rsidRPr="00BD295E">
              <w:rPr>
                <w:rFonts w:ascii="Arial" w:hAnsi="Arial" w:cs="Arial"/>
                <w:sz w:val="18"/>
                <w:szCs w:val="18"/>
                <w:lang w:val="en-US"/>
              </w:rPr>
              <w:t>Grid</w:t>
            </w:r>
          </w:p>
        </w:tc>
        <w:tc>
          <w:tcPr>
            <w:tcW w:w="1253" w:type="dxa"/>
            <w:shd w:val="clear" w:color="auto" w:fill="auto"/>
            <w:vAlign w:val="center"/>
          </w:tcPr>
          <w:p w14:paraId="324DBB28"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6B11CB44"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24AFD276" w14:textId="77777777" w:rsidR="00DD1D87" w:rsidRPr="00BD295E" w:rsidRDefault="00DD1D87" w:rsidP="00E3510B">
            <w:pPr>
              <w:pStyle w:val="afffff3"/>
              <w:ind w:firstLine="0"/>
              <w:jc w:val="center"/>
              <w:rPr>
                <w:rFonts w:ascii="Arial" w:hAnsi="Arial" w:cs="Arial"/>
                <w:sz w:val="18"/>
                <w:szCs w:val="18"/>
                <w:lang w:val="en-US"/>
              </w:rPr>
            </w:pPr>
          </w:p>
        </w:tc>
        <w:tc>
          <w:tcPr>
            <w:tcW w:w="1253" w:type="dxa"/>
            <w:shd w:val="clear" w:color="auto" w:fill="auto"/>
            <w:vAlign w:val="center"/>
          </w:tcPr>
          <w:p w14:paraId="0829BBEF"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441B62BE"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69A7DF39" w14:textId="77777777" w:rsidR="00DD1D87" w:rsidRPr="00BD295E" w:rsidRDefault="00DD1D87" w:rsidP="00E3510B">
            <w:pPr>
              <w:pStyle w:val="afffff3"/>
              <w:ind w:firstLine="0"/>
              <w:jc w:val="center"/>
              <w:rPr>
                <w:rFonts w:ascii="Arial" w:hAnsi="Arial" w:cs="Arial"/>
                <w:sz w:val="18"/>
                <w:szCs w:val="18"/>
                <w:lang w:val="en-US"/>
              </w:rPr>
            </w:pPr>
          </w:p>
        </w:tc>
      </w:tr>
      <w:tr w:rsidR="008A5057" w:rsidRPr="00BD295E" w14:paraId="03BBD611" w14:textId="77777777" w:rsidTr="00E3510B">
        <w:trPr>
          <w:trHeight w:val="485"/>
        </w:trPr>
        <w:tc>
          <w:tcPr>
            <w:tcW w:w="2369" w:type="dxa"/>
            <w:shd w:val="clear" w:color="auto" w:fill="auto"/>
          </w:tcPr>
          <w:p w14:paraId="6860674A" w14:textId="1B151943" w:rsidR="00DD1D87" w:rsidRPr="00BD295E" w:rsidRDefault="008A5057" w:rsidP="00E30E5D">
            <w:pPr>
              <w:pStyle w:val="afffff3"/>
              <w:ind w:firstLine="0"/>
              <w:jc w:val="left"/>
              <w:rPr>
                <w:rFonts w:ascii="Arial" w:hAnsi="Arial" w:cs="Arial"/>
                <w:sz w:val="18"/>
                <w:szCs w:val="18"/>
                <w:lang w:val="en-US"/>
              </w:rPr>
            </w:pPr>
            <w:r w:rsidRPr="00BD295E">
              <w:rPr>
                <w:rFonts w:ascii="Arial" w:hAnsi="Arial" w:cs="Arial"/>
                <w:sz w:val="18"/>
                <w:szCs w:val="18"/>
                <w:lang w:val="en-US"/>
              </w:rPr>
              <w:t xml:space="preserve">Prigorodniye </w:t>
            </w:r>
            <w:r w:rsidR="0033125D" w:rsidRPr="00BD295E">
              <w:rPr>
                <w:rFonts w:ascii="Arial" w:hAnsi="Arial" w:cs="Arial"/>
                <w:sz w:val="18"/>
                <w:szCs w:val="18"/>
                <w:lang w:val="en-US"/>
              </w:rPr>
              <w:t xml:space="preserve">Power </w:t>
            </w:r>
            <w:r w:rsidRPr="00BD295E">
              <w:rPr>
                <w:rFonts w:ascii="Arial" w:hAnsi="Arial" w:cs="Arial"/>
                <w:sz w:val="18"/>
                <w:szCs w:val="18"/>
                <w:lang w:val="en-US"/>
              </w:rPr>
              <w:t>Grid</w:t>
            </w:r>
          </w:p>
        </w:tc>
        <w:tc>
          <w:tcPr>
            <w:tcW w:w="1253" w:type="dxa"/>
            <w:shd w:val="clear" w:color="auto" w:fill="auto"/>
            <w:vAlign w:val="center"/>
          </w:tcPr>
          <w:p w14:paraId="55677F03"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7E807CF7"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2246F8A2" w14:textId="77777777" w:rsidR="00DD1D87" w:rsidRPr="00BD295E" w:rsidRDefault="00DD1D87" w:rsidP="00E3510B">
            <w:pPr>
              <w:pStyle w:val="afffff3"/>
              <w:ind w:firstLine="0"/>
              <w:jc w:val="center"/>
              <w:rPr>
                <w:rFonts w:ascii="Arial" w:hAnsi="Arial" w:cs="Arial"/>
                <w:sz w:val="18"/>
                <w:szCs w:val="18"/>
                <w:lang w:val="en-US"/>
              </w:rPr>
            </w:pPr>
          </w:p>
        </w:tc>
        <w:tc>
          <w:tcPr>
            <w:tcW w:w="1253" w:type="dxa"/>
            <w:shd w:val="clear" w:color="auto" w:fill="auto"/>
            <w:vAlign w:val="center"/>
          </w:tcPr>
          <w:p w14:paraId="17BD1DB8"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4D29DE88"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5A4AD435" w14:textId="77777777" w:rsidR="00DD1D87" w:rsidRPr="00BD295E" w:rsidRDefault="00DD1D87" w:rsidP="00E3510B">
            <w:pPr>
              <w:pStyle w:val="afffff3"/>
              <w:ind w:firstLine="0"/>
              <w:jc w:val="center"/>
              <w:rPr>
                <w:rFonts w:ascii="Arial" w:hAnsi="Arial" w:cs="Arial"/>
                <w:sz w:val="18"/>
                <w:szCs w:val="18"/>
                <w:lang w:val="en-US"/>
              </w:rPr>
            </w:pPr>
          </w:p>
        </w:tc>
      </w:tr>
      <w:tr w:rsidR="008A5057" w:rsidRPr="00BD295E" w14:paraId="6315FE41" w14:textId="77777777" w:rsidTr="00E3510B">
        <w:trPr>
          <w:trHeight w:val="749"/>
        </w:trPr>
        <w:tc>
          <w:tcPr>
            <w:tcW w:w="2369" w:type="dxa"/>
            <w:shd w:val="clear" w:color="auto" w:fill="auto"/>
          </w:tcPr>
          <w:p w14:paraId="580FF15D" w14:textId="59F62725" w:rsidR="00DD1D87" w:rsidRPr="00BD295E" w:rsidRDefault="008A5057" w:rsidP="00E3510B">
            <w:pPr>
              <w:pStyle w:val="afffff3"/>
              <w:ind w:firstLine="0"/>
              <w:jc w:val="left"/>
              <w:rPr>
                <w:rFonts w:ascii="Arial" w:hAnsi="Arial" w:cs="Arial"/>
                <w:sz w:val="18"/>
                <w:szCs w:val="18"/>
                <w:lang w:val="en-US"/>
              </w:rPr>
            </w:pPr>
            <w:r w:rsidRPr="00BD295E">
              <w:rPr>
                <w:rFonts w:ascii="Arial" w:hAnsi="Arial" w:cs="Arial"/>
                <w:sz w:val="18"/>
                <w:szCs w:val="18"/>
                <w:lang w:val="en-US"/>
              </w:rPr>
              <w:t xml:space="preserve">Saint Petersburg </w:t>
            </w:r>
            <w:r w:rsidR="00E30E5D" w:rsidRPr="00BD295E">
              <w:rPr>
                <w:rFonts w:ascii="Arial" w:hAnsi="Arial" w:cs="Arial"/>
                <w:sz w:val="18"/>
                <w:szCs w:val="18"/>
                <w:lang w:val="en-US"/>
              </w:rPr>
              <w:t xml:space="preserve">High Voltage </w:t>
            </w:r>
            <w:r w:rsidR="0033125D" w:rsidRPr="00BD295E">
              <w:rPr>
                <w:rFonts w:ascii="Arial" w:hAnsi="Arial" w:cs="Arial"/>
                <w:sz w:val="18"/>
                <w:szCs w:val="18"/>
                <w:lang w:val="en-US"/>
              </w:rPr>
              <w:t xml:space="preserve">Power </w:t>
            </w:r>
            <w:r w:rsidR="004048C1" w:rsidRPr="00BD295E">
              <w:rPr>
                <w:rFonts w:ascii="Arial" w:hAnsi="Arial" w:cs="Arial"/>
                <w:sz w:val="18"/>
                <w:szCs w:val="18"/>
                <w:lang w:val="en-US"/>
              </w:rPr>
              <w:t>Grid</w:t>
            </w:r>
          </w:p>
          <w:p w14:paraId="76AB568C" w14:textId="77777777" w:rsidR="00DD1D87" w:rsidRPr="00BD295E" w:rsidRDefault="00DD1D87" w:rsidP="00E3510B">
            <w:pPr>
              <w:pStyle w:val="afffff3"/>
              <w:ind w:firstLine="0"/>
              <w:jc w:val="left"/>
              <w:rPr>
                <w:rFonts w:ascii="Arial" w:hAnsi="Arial" w:cs="Arial"/>
                <w:sz w:val="18"/>
                <w:szCs w:val="18"/>
                <w:lang w:val="en-US"/>
              </w:rPr>
            </w:pPr>
          </w:p>
        </w:tc>
        <w:tc>
          <w:tcPr>
            <w:tcW w:w="1253" w:type="dxa"/>
            <w:shd w:val="clear" w:color="auto" w:fill="auto"/>
            <w:vAlign w:val="center"/>
          </w:tcPr>
          <w:p w14:paraId="262429EE"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546946AF"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65C97C64" w14:textId="77777777" w:rsidR="00DD1D87" w:rsidRPr="00BD295E" w:rsidRDefault="00DD1D87" w:rsidP="00E3510B">
            <w:pPr>
              <w:pStyle w:val="afffff3"/>
              <w:ind w:firstLine="0"/>
              <w:jc w:val="center"/>
              <w:rPr>
                <w:rFonts w:ascii="Arial" w:hAnsi="Arial" w:cs="Arial"/>
                <w:sz w:val="18"/>
                <w:szCs w:val="18"/>
                <w:lang w:val="en-US"/>
              </w:rPr>
            </w:pPr>
          </w:p>
        </w:tc>
        <w:tc>
          <w:tcPr>
            <w:tcW w:w="1253" w:type="dxa"/>
            <w:shd w:val="clear" w:color="auto" w:fill="auto"/>
            <w:vAlign w:val="center"/>
          </w:tcPr>
          <w:p w14:paraId="7DB5F9D7"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493EB46D"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059C953D" w14:textId="77777777" w:rsidR="00DD1D87" w:rsidRPr="00BD295E" w:rsidRDefault="00DD1D87" w:rsidP="00E3510B">
            <w:pPr>
              <w:pStyle w:val="afffff3"/>
              <w:ind w:firstLine="0"/>
              <w:jc w:val="center"/>
              <w:rPr>
                <w:rFonts w:ascii="Arial" w:hAnsi="Arial" w:cs="Arial"/>
                <w:sz w:val="18"/>
                <w:szCs w:val="18"/>
                <w:lang w:val="en-US"/>
              </w:rPr>
            </w:pPr>
          </w:p>
        </w:tc>
      </w:tr>
      <w:tr w:rsidR="008A5057" w:rsidRPr="00BD295E" w14:paraId="0E670813" w14:textId="77777777" w:rsidTr="00E3510B">
        <w:trPr>
          <w:trHeight w:val="499"/>
        </w:trPr>
        <w:tc>
          <w:tcPr>
            <w:tcW w:w="2369" w:type="dxa"/>
            <w:shd w:val="clear" w:color="auto" w:fill="auto"/>
          </w:tcPr>
          <w:p w14:paraId="5DC7ED30" w14:textId="56C97C0C" w:rsidR="00DD1D87" w:rsidRPr="00BD295E" w:rsidRDefault="008A5057" w:rsidP="00E30E5D">
            <w:pPr>
              <w:pStyle w:val="afffff3"/>
              <w:ind w:firstLine="0"/>
              <w:jc w:val="left"/>
              <w:rPr>
                <w:rFonts w:ascii="Arial" w:hAnsi="Arial" w:cs="Arial"/>
                <w:sz w:val="18"/>
                <w:szCs w:val="18"/>
                <w:lang w:val="en-US"/>
              </w:rPr>
            </w:pPr>
            <w:r w:rsidRPr="00BD295E">
              <w:rPr>
                <w:rFonts w:ascii="Arial" w:hAnsi="Arial" w:cs="Arial"/>
                <w:sz w:val="18"/>
                <w:szCs w:val="18"/>
                <w:lang w:val="en-US"/>
              </w:rPr>
              <w:t xml:space="preserve">Tikhvinskiye </w:t>
            </w:r>
            <w:r w:rsidR="0033125D" w:rsidRPr="00BD295E">
              <w:rPr>
                <w:rFonts w:ascii="Arial" w:hAnsi="Arial" w:cs="Arial"/>
                <w:sz w:val="18"/>
                <w:szCs w:val="18"/>
                <w:lang w:val="en-US"/>
              </w:rPr>
              <w:t xml:space="preserve">Power </w:t>
            </w:r>
            <w:r w:rsidRPr="00BD295E">
              <w:rPr>
                <w:rFonts w:ascii="Arial" w:hAnsi="Arial" w:cs="Arial"/>
                <w:sz w:val="18"/>
                <w:szCs w:val="18"/>
                <w:lang w:val="en-US"/>
              </w:rPr>
              <w:t>Grid</w:t>
            </w:r>
          </w:p>
        </w:tc>
        <w:tc>
          <w:tcPr>
            <w:tcW w:w="1253" w:type="dxa"/>
            <w:shd w:val="clear" w:color="auto" w:fill="auto"/>
            <w:vAlign w:val="center"/>
          </w:tcPr>
          <w:p w14:paraId="59E321A7"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798EEDFD"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7B4CF972"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1/2</w:t>
            </w:r>
          </w:p>
        </w:tc>
        <w:tc>
          <w:tcPr>
            <w:tcW w:w="1253" w:type="dxa"/>
            <w:shd w:val="clear" w:color="auto" w:fill="auto"/>
            <w:vAlign w:val="center"/>
          </w:tcPr>
          <w:p w14:paraId="530A720A"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52C5CB90"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091F3CAA" w14:textId="77777777" w:rsidR="00DD1D87" w:rsidRPr="00BD295E" w:rsidRDefault="00DD1D87" w:rsidP="00E3510B">
            <w:pPr>
              <w:pStyle w:val="afffff3"/>
              <w:ind w:firstLine="0"/>
              <w:jc w:val="center"/>
              <w:rPr>
                <w:rFonts w:ascii="Arial" w:hAnsi="Arial" w:cs="Arial"/>
                <w:sz w:val="18"/>
                <w:szCs w:val="18"/>
                <w:lang w:val="en-US"/>
              </w:rPr>
            </w:pPr>
          </w:p>
        </w:tc>
      </w:tr>
      <w:tr w:rsidR="008A5057" w:rsidRPr="00BD295E" w14:paraId="20D0BF00" w14:textId="77777777" w:rsidTr="00E3510B">
        <w:trPr>
          <w:trHeight w:val="236"/>
        </w:trPr>
        <w:tc>
          <w:tcPr>
            <w:tcW w:w="2369" w:type="dxa"/>
            <w:shd w:val="clear" w:color="auto" w:fill="auto"/>
          </w:tcPr>
          <w:p w14:paraId="21AD6ADD" w14:textId="77777777" w:rsidR="00DD1D87" w:rsidRPr="00BD295E" w:rsidRDefault="008A5057" w:rsidP="00E3510B">
            <w:pPr>
              <w:pStyle w:val="afffff3"/>
              <w:ind w:firstLine="0"/>
              <w:jc w:val="left"/>
              <w:rPr>
                <w:rFonts w:ascii="Arial" w:hAnsi="Arial" w:cs="Arial"/>
                <w:sz w:val="18"/>
                <w:szCs w:val="18"/>
                <w:lang w:val="en-US"/>
              </w:rPr>
            </w:pPr>
            <w:r w:rsidRPr="00BD295E">
              <w:rPr>
                <w:rFonts w:ascii="Arial" w:hAnsi="Arial" w:cs="Arial"/>
                <w:sz w:val="18"/>
                <w:szCs w:val="18"/>
                <w:lang w:val="en-US"/>
              </w:rPr>
              <w:t>Executive arm</w:t>
            </w:r>
          </w:p>
        </w:tc>
        <w:tc>
          <w:tcPr>
            <w:tcW w:w="1253" w:type="dxa"/>
            <w:shd w:val="clear" w:color="auto" w:fill="auto"/>
            <w:vAlign w:val="center"/>
          </w:tcPr>
          <w:p w14:paraId="14E96F56"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4" w:type="dxa"/>
            <w:shd w:val="clear" w:color="auto" w:fill="auto"/>
            <w:vAlign w:val="center"/>
          </w:tcPr>
          <w:p w14:paraId="5A6101EB"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56937FBE" w14:textId="77777777" w:rsidR="00DD1D87" w:rsidRPr="00BD295E" w:rsidRDefault="00DD1D87" w:rsidP="00E3510B">
            <w:pPr>
              <w:pStyle w:val="afffff3"/>
              <w:ind w:firstLine="0"/>
              <w:jc w:val="center"/>
              <w:rPr>
                <w:rFonts w:ascii="Arial" w:hAnsi="Arial" w:cs="Arial"/>
                <w:sz w:val="18"/>
                <w:szCs w:val="18"/>
                <w:lang w:val="en-US"/>
              </w:rPr>
            </w:pPr>
          </w:p>
        </w:tc>
        <w:tc>
          <w:tcPr>
            <w:tcW w:w="1253" w:type="dxa"/>
            <w:shd w:val="clear" w:color="auto" w:fill="auto"/>
            <w:vAlign w:val="center"/>
          </w:tcPr>
          <w:p w14:paraId="73988106" w14:textId="77777777" w:rsidR="00DD1D87" w:rsidRPr="00BD295E" w:rsidRDefault="00DD1D87" w:rsidP="00E3510B">
            <w:pPr>
              <w:pStyle w:val="afffff3"/>
              <w:ind w:firstLine="0"/>
              <w:jc w:val="center"/>
              <w:rPr>
                <w:rFonts w:ascii="Arial" w:hAnsi="Arial" w:cs="Arial"/>
                <w:sz w:val="18"/>
                <w:szCs w:val="18"/>
                <w:lang w:val="en-US"/>
              </w:rPr>
            </w:pPr>
          </w:p>
        </w:tc>
        <w:tc>
          <w:tcPr>
            <w:tcW w:w="1254" w:type="dxa"/>
            <w:shd w:val="clear" w:color="auto" w:fill="auto"/>
            <w:vAlign w:val="center"/>
          </w:tcPr>
          <w:p w14:paraId="3C9ABDB0" w14:textId="77777777" w:rsidR="00DD1D87" w:rsidRPr="00BD295E" w:rsidRDefault="008A5057" w:rsidP="00E3510B">
            <w:pPr>
              <w:pStyle w:val="afffff3"/>
              <w:ind w:firstLine="0"/>
              <w:jc w:val="center"/>
              <w:rPr>
                <w:rFonts w:ascii="Arial" w:hAnsi="Arial" w:cs="Arial"/>
                <w:sz w:val="18"/>
                <w:szCs w:val="18"/>
                <w:lang w:val="en-US"/>
              </w:rPr>
            </w:pPr>
            <w:r w:rsidRPr="00BD295E">
              <w:rPr>
                <w:rFonts w:ascii="Arial" w:hAnsi="Arial" w:cs="Arial"/>
                <w:sz w:val="18"/>
                <w:szCs w:val="18"/>
                <w:lang w:val="en-US"/>
              </w:rPr>
              <w:t>1/1</w:t>
            </w:r>
          </w:p>
        </w:tc>
        <w:tc>
          <w:tcPr>
            <w:tcW w:w="1254" w:type="dxa"/>
            <w:shd w:val="clear" w:color="auto" w:fill="auto"/>
            <w:vAlign w:val="center"/>
          </w:tcPr>
          <w:p w14:paraId="176BE22E" w14:textId="77777777" w:rsidR="00DD1D87" w:rsidRPr="00BD295E" w:rsidRDefault="00DD1D87" w:rsidP="00E3510B">
            <w:pPr>
              <w:pStyle w:val="afffff3"/>
              <w:ind w:firstLine="0"/>
              <w:jc w:val="center"/>
              <w:rPr>
                <w:rFonts w:ascii="Arial" w:hAnsi="Arial" w:cs="Arial"/>
                <w:sz w:val="18"/>
                <w:szCs w:val="18"/>
                <w:lang w:val="en-US"/>
              </w:rPr>
            </w:pPr>
          </w:p>
        </w:tc>
      </w:tr>
      <w:tr w:rsidR="008A5057" w:rsidRPr="00BD295E" w14:paraId="6055A7AF" w14:textId="77777777" w:rsidTr="00E3510B">
        <w:trPr>
          <w:trHeight w:val="513"/>
        </w:trPr>
        <w:tc>
          <w:tcPr>
            <w:tcW w:w="2369" w:type="dxa"/>
            <w:shd w:val="clear" w:color="auto" w:fill="auto"/>
          </w:tcPr>
          <w:p w14:paraId="033C3700" w14:textId="77777777" w:rsidR="00DD1D87" w:rsidRPr="00BD295E" w:rsidRDefault="008A5057" w:rsidP="00E3510B">
            <w:pPr>
              <w:pStyle w:val="afffff3"/>
              <w:ind w:firstLine="0"/>
              <w:jc w:val="left"/>
              <w:rPr>
                <w:rFonts w:ascii="Arial" w:hAnsi="Arial" w:cs="Arial"/>
                <w:b/>
                <w:sz w:val="18"/>
                <w:szCs w:val="18"/>
                <w:lang w:val="en-US"/>
              </w:rPr>
            </w:pPr>
            <w:r w:rsidRPr="00BD295E">
              <w:rPr>
                <w:rFonts w:ascii="Arial" w:hAnsi="Arial" w:cs="Arial"/>
                <w:b/>
                <w:sz w:val="18"/>
                <w:szCs w:val="18"/>
                <w:lang w:val="en-US"/>
              </w:rPr>
              <w:t xml:space="preserve">TOTAL for </w:t>
            </w:r>
          </w:p>
          <w:p w14:paraId="38169FDE" w14:textId="77777777" w:rsidR="00DD1D87" w:rsidRPr="00BD295E" w:rsidRDefault="00EE5753" w:rsidP="00E3510B">
            <w:pPr>
              <w:pStyle w:val="afffff3"/>
              <w:ind w:firstLine="0"/>
              <w:jc w:val="left"/>
              <w:rPr>
                <w:rFonts w:ascii="Arial" w:hAnsi="Arial" w:cs="Arial"/>
                <w:b/>
                <w:sz w:val="18"/>
                <w:szCs w:val="18"/>
                <w:lang w:val="en-US"/>
              </w:rPr>
            </w:pPr>
            <w:r w:rsidRPr="00BD295E">
              <w:rPr>
                <w:rFonts w:ascii="Arial" w:hAnsi="Arial" w:cs="Arial"/>
                <w:b/>
                <w:sz w:val="18"/>
                <w:szCs w:val="18"/>
                <w:lang w:val="en-US"/>
              </w:rPr>
              <w:t>PJSC “Lenenergo”</w:t>
            </w:r>
          </w:p>
        </w:tc>
        <w:tc>
          <w:tcPr>
            <w:tcW w:w="1253" w:type="dxa"/>
            <w:shd w:val="clear" w:color="auto" w:fill="auto"/>
            <w:vAlign w:val="center"/>
          </w:tcPr>
          <w:p w14:paraId="56FFC936" w14:textId="77777777" w:rsidR="00DD1D87" w:rsidRPr="00BD295E" w:rsidRDefault="008A5057" w:rsidP="00E3510B">
            <w:pPr>
              <w:pStyle w:val="afffff3"/>
              <w:ind w:firstLine="0"/>
              <w:jc w:val="center"/>
              <w:rPr>
                <w:rFonts w:ascii="Arial" w:hAnsi="Arial" w:cs="Arial"/>
                <w:b/>
                <w:sz w:val="18"/>
                <w:szCs w:val="18"/>
                <w:lang w:val="en-US"/>
              </w:rPr>
            </w:pPr>
            <w:r w:rsidRPr="00BD295E">
              <w:rPr>
                <w:rFonts w:ascii="Arial" w:hAnsi="Arial" w:cs="Arial"/>
                <w:b/>
                <w:sz w:val="18"/>
                <w:szCs w:val="18"/>
                <w:lang w:val="en-US"/>
              </w:rPr>
              <w:t>3/3</w:t>
            </w:r>
          </w:p>
        </w:tc>
        <w:tc>
          <w:tcPr>
            <w:tcW w:w="1254" w:type="dxa"/>
            <w:shd w:val="clear" w:color="auto" w:fill="auto"/>
            <w:vAlign w:val="center"/>
          </w:tcPr>
          <w:p w14:paraId="2DD70AFD" w14:textId="77777777" w:rsidR="00DD1D87" w:rsidRPr="00BD295E" w:rsidRDefault="008A5057" w:rsidP="00E3510B">
            <w:pPr>
              <w:pStyle w:val="afffff3"/>
              <w:ind w:firstLine="0"/>
              <w:jc w:val="center"/>
              <w:rPr>
                <w:rFonts w:ascii="Arial" w:hAnsi="Arial" w:cs="Arial"/>
                <w:b/>
                <w:sz w:val="18"/>
                <w:szCs w:val="18"/>
                <w:lang w:val="en-US"/>
              </w:rPr>
            </w:pPr>
            <w:r w:rsidRPr="00BD295E">
              <w:rPr>
                <w:rFonts w:ascii="Arial" w:hAnsi="Arial" w:cs="Arial"/>
                <w:b/>
                <w:sz w:val="18"/>
                <w:szCs w:val="18"/>
                <w:lang w:val="en-US"/>
              </w:rPr>
              <w:t>2/2</w:t>
            </w:r>
          </w:p>
        </w:tc>
        <w:tc>
          <w:tcPr>
            <w:tcW w:w="1254" w:type="dxa"/>
            <w:shd w:val="clear" w:color="auto" w:fill="auto"/>
            <w:vAlign w:val="center"/>
          </w:tcPr>
          <w:p w14:paraId="2DCD54BE" w14:textId="77777777" w:rsidR="00DD1D87" w:rsidRPr="00BD295E" w:rsidRDefault="008A5057" w:rsidP="00E3510B">
            <w:pPr>
              <w:pStyle w:val="afffff3"/>
              <w:ind w:firstLine="0"/>
              <w:jc w:val="center"/>
              <w:rPr>
                <w:rFonts w:ascii="Arial" w:hAnsi="Arial" w:cs="Arial"/>
                <w:b/>
                <w:sz w:val="18"/>
                <w:szCs w:val="18"/>
                <w:lang w:val="en-US"/>
              </w:rPr>
            </w:pPr>
            <w:r w:rsidRPr="00BD295E">
              <w:rPr>
                <w:rFonts w:ascii="Arial" w:hAnsi="Arial" w:cs="Arial"/>
                <w:b/>
                <w:sz w:val="18"/>
                <w:szCs w:val="18"/>
                <w:lang w:val="en-US"/>
              </w:rPr>
              <w:t>4/5</w:t>
            </w:r>
          </w:p>
        </w:tc>
        <w:tc>
          <w:tcPr>
            <w:tcW w:w="1253" w:type="dxa"/>
            <w:shd w:val="clear" w:color="auto" w:fill="auto"/>
            <w:vAlign w:val="center"/>
          </w:tcPr>
          <w:p w14:paraId="3938C5C8" w14:textId="77777777" w:rsidR="00DD1D87" w:rsidRPr="00BD295E" w:rsidRDefault="008A5057" w:rsidP="00E3510B">
            <w:pPr>
              <w:pStyle w:val="afffff3"/>
              <w:ind w:firstLine="0"/>
              <w:jc w:val="center"/>
              <w:rPr>
                <w:rFonts w:ascii="Arial" w:hAnsi="Arial" w:cs="Arial"/>
                <w:b/>
                <w:sz w:val="18"/>
                <w:szCs w:val="18"/>
                <w:lang w:val="en-US"/>
              </w:rPr>
            </w:pPr>
            <w:r w:rsidRPr="00BD295E">
              <w:rPr>
                <w:rFonts w:ascii="Arial" w:hAnsi="Arial" w:cs="Arial"/>
                <w:b/>
                <w:sz w:val="18"/>
                <w:szCs w:val="18"/>
                <w:lang w:val="en-US"/>
              </w:rPr>
              <w:t>2/2</w:t>
            </w:r>
          </w:p>
        </w:tc>
        <w:tc>
          <w:tcPr>
            <w:tcW w:w="1254" w:type="dxa"/>
            <w:shd w:val="clear" w:color="auto" w:fill="auto"/>
            <w:vAlign w:val="center"/>
          </w:tcPr>
          <w:p w14:paraId="52084B71" w14:textId="77777777" w:rsidR="00DD1D87" w:rsidRPr="00BD295E" w:rsidRDefault="008A5057" w:rsidP="00E3510B">
            <w:pPr>
              <w:pStyle w:val="afffff3"/>
              <w:ind w:firstLine="0"/>
              <w:jc w:val="center"/>
              <w:rPr>
                <w:rFonts w:ascii="Arial" w:hAnsi="Arial" w:cs="Arial"/>
                <w:b/>
                <w:sz w:val="18"/>
                <w:szCs w:val="18"/>
                <w:lang w:val="en-US"/>
              </w:rPr>
            </w:pPr>
            <w:r w:rsidRPr="00BD295E">
              <w:rPr>
                <w:rFonts w:ascii="Arial" w:hAnsi="Arial" w:cs="Arial"/>
                <w:b/>
                <w:sz w:val="18"/>
                <w:szCs w:val="18"/>
                <w:lang w:val="en-US"/>
              </w:rPr>
              <w:t>1/1</w:t>
            </w:r>
          </w:p>
        </w:tc>
        <w:tc>
          <w:tcPr>
            <w:tcW w:w="1254" w:type="dxa"/>
            <w:shd w:val="clear" w:color="auto" w:fill="auto"/>
            <w:vAlign w:val="center"/>
          </w:tcPr>
          <w:p w14:paraId="23431A53" w14:textId="77777777" w:rsidR="00DD1D87" w:rsidRPr="00BD295E" w:rsidRDefault="00DD1D87" w:rsidP="00E3510B">
            <w:pPr>
              <w:pStyle w:val="afffff3"/>
              <w:ind w:firstLine="0"/>
              <w:jc w:val="center"/>
              <w:rPr>
                <w:rFonts w:ascii="Arial" w:hAnsi="Arial" w:cs="Arial"/>
                <w:b/>
                <w:sz w:val="18"/>
                <w:szCs w:val="18"/>
                <w:lang w:val="en-US"/>
              </w:rPr>
            </w:pPr>
          </w:p>
        </w:tc>
      </w:tr>
    </w:tbl>
    <w:p w14:paraId="510ED3FE" w14:textId="77777777" w:rsidR="00DD1D87" w:rsidRPr="00BD295E" w:rsidRDefault="00DD1D87" w:rsidP="00DD1D87">
      <w:pPr>
        <w:pStyle w:val="afffff3"/>
        <w:rPr>
          <w:rFonts w:ascii="Arial" w:hAnsi="Arial" w:cs="Arial"/>
          <w:sz w:val="18"/>
          <w:szCs w:val="18"/>
          <w:lang w:val="en-US"/>
        </w:rPr>
      </w:pPr>
    </w:p>
    <w:p w14:paraId="40E794EF" w14:textId="77777777" w:rsidR="00DD1D87" w:rsidRPr="00BD295E" w:rsidRDefault="008A5057" w:rsidP="00DD1D87">
      <w:pPr>
        <w:jc w:val="center"/>
        <w:rPr>
          <w:rFonts w:ascii="Arial" w:hAnsi="Arial" w:cs="Arial"/>
          <w:b/>
          <w:sz w:val="18"/>
          <w:szCs w:val="18"/>
          <w:lang w:val="en-US"/>
        </w:rPr>
      </w:pPr>
      <w:r w:rsidRPr="00BD295E">
        <w:rPr>
          <w:rFonts w:ascii="Arial" w:hAnsi="Arial" w:cs="Arial"/>
          <w:b/>
          <w:sz w:val="18"/>
          <w:szCs w:val="18"/>
          <w:lang w:val="en-US"/>
        </w:rPr>
        <w:t>Occupational safety costs in 2016–2018</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4"/>
        <w:gridCol w:w="2392"/>
        <w:gridCol w:w="2392"/>
        <w:gridCol w:w="2392"/>
      </w:tblGrid>
      <w:tr w:rsidR="008A5057" w:rsidRPr="00BD295E" w14:paraId="72B44759" w14:textId="77777777" w:rsidTr="00E3510B">
        <w:tc>
          <w:tcPr>
            <w:tcW w:w="2464" w:type="dxa"/>
            <w:shd w:val="clear" w:color="auto" w:fill="auto"/>
          </w:tcPr>
          <w:p w14:paraId="0F49709D" w14:textId="77777777" w:rsidR="00DD1D87" w:rsidRPr="00BD295E" w:rsidRDefault="00DD1D87" w:rsidP="00E3510B">
            <w:pPr>
              <w:jc w:val="center"/>
              <w:rPr>
                <w:rFonts w:ascii="Arial" w:hAnsi="Arial" w:cs="Arial"/>
                <w:sz w:val="18"/>
                <w:szCs w:val="18"/>
                <w:lang w:val="en-US"/>
              </w:rPr>
            </w:pPr>
          </w:p>
        </w:tc>
        <w:tc>
          <w:tcPr>
            <w:tcW w:w="2392" w:type="dxa"/>
            <w:shd w:val="clear" w:color="auto" w:fill="auto"/>
          </w:tcPr>
          <w:p w14:paraId="0F71FE12" w14:textId="77777777" w:rsidR="00DD1D87"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2016</w:t>
            </w:r>
          </w:p>
          <w:p w14:paraId="232CB382" w14:textId="77777777" w:rsidR="00DD1D87"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(RUB million)</w:t>
            </w:r>
          </w:p>
        </w:tc>
        <w:tc>
          <w:tcPr>
            <w:tcW w:w="2392" w:type="dxa"/>
            <w:shd w:val="clear" w:color="auto" w:fill="auto"/>
          </w:tcPr>
          <w:p w14:paraId="04EF5A32" w14:textId="77777777" w:rsidR="00DD1D87"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2017</w:t>
            </w:r>
          </w:p>
          <w:p w14:paraId="6D63ED14" w14:textId="77777777" w:rsidR="00DD1D87"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(RUB million)</w:t>
            </w:r>
          </w:p>
        </w:tc>
        <w:tc>
          <w:tcPr>
            <w:tcW w:w="2392" w:type="dxa"/>
            <w:shd w:val="clear" w:color="auto" w:fill="auto"/>
          </w:tcPr>
          <w:p w14:paraId="2D8B0BF5" w14:textId="77777777" w:rsidR="00DD1D87"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2018</w:t>
            </w:r>
          </w:p>
          <w:p w14:paraId="4A567ADD" w14:textId="77777777" w:rsidR="00DD1D87"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(RUB million)</w:t>
            </w:r>
          </w:p>
        </w:tc>
      </w:tr>
      <w:tr w:rsidR="008A5057" w:rsidRPr="00BD295E" w14:paraId="02F8B94C" w14:textId="77777777" w:rsidTr="00E3510B">
        <w:tc>
          <w:tcPr>
            <w:tcW w:w="2464" w:type="dxa"/>
            <w:shd w:val="clear" w:color="auto" w:fill="auto"/>
          </w:tcPr>
          <w:p w14:paraId="09222416" w14:textId="77777777" w:rsidR="00DD1D87" w:rsidRPr="00BD295E" w:rsidRDefault="00EE5753" w:rsidP="00E3510B">
            <w:pPr>
              <w:jc w:val="center"/>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w:t>
            </w:r>
          </w:p>
        </w:tc>
        <w:tc>
          <w:tcPr>
            <w:tcW w:w="2392" w:type="dxa"/>
            <w:shd w:val="clear" w:color="auto" w:fill="auto"/>
          </w:tcPr>
          <w:p w14:paraId="7DCF121E" w14:textId="77777777" w:rsidR="00DD1D87"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106.378</w:t>
            </w:r>
          </w:p>
        </w:tc>
        <w:tc>
          <w:tcPr>
            <w:tcW w:w="2392" w:type="dxa"/>
            <w:shd w:val="clear" w:color="auto" w:fill="auto"/>
          </w:tcPr>
          <w:p w14:paraId="0BF6F699" w14:textId="77777777" w:rsidR="00DD1D87"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122.897</w:t>
            </w:r>
          </w:p>
        </w:tc>
        <w:tc>
          <w:tcPr>
            <w:tcW w:w="2392" w:type="dxa"/>
            <w:shd w:val="clear" w:color="auto" w:fill="auto"/>
          </w:tcPr>
          <w:p w14:paraId="1C5EFC10" w14:textId="77777777" w:rsidR="00DD1D87"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158.564</w:t>
            </w:r>
          </w:p>
        </w:tc>
      </w:tr>
    </w:tbl>
    <w:p w14:paraId="1AE95707" w14:textId="77777777" w:rsidR="00DD1D87" w:rsidRPr="00BD295E" w:rsidRDefault="00DD1D87" w:rsidP="00DD1D87">
      <w:pPr>
        <w:jc w:val="center"/>
        <w:rPr>
          <w:rFonts w:ascii="Arial" w:hAnsi="Arial" w:cs="Arial"/>
          <w:sz w:val="18"/>
          <w:szCs w:val="18"/>
          <w:lang w:val="en-US"/>
        </w:rPr>
      </w:pPr>
    </w:p>
    <w:p w14:paraId="4AC00330" w14:textId="77AFC7C6" w:rsidR="00DD1D87" w:rsidRPr="00BD295E" w:rsidRDefault="008A5057" w:rsidP="00686753">
      <w:pPr>
        <w:keepNext/>
        <w:jc w:val="center"/>
        <w:rPr>
          <w:rFonts w:ascii="Arial" w:hAnsi="Arial" w:cs="Arial"/>
          <w:b/>
          <w:sz w:val="18"/>
          <w:szCs w:val="18"/>
          <w:lang w:val="en-US"/>
        </w:rPr>
      </w:pPr>
      <w:r w:rsidRPr="00BD295E">
        <w:rPr>
          <w:rFonts w:ascii="Arial" w:hAnsi="Arial" w:cs="Arial"/>
          <w:b/>
          <w:sz w:val="18"/>
          <w:szCs w:val="18"/>
          <w:lang w:val="en-US"/>
        </w:rPr>
        <w:t>Occupational safety costs by area</w:t>
      </w:r>
      <w:r w:rsidR="00686753" w:rsidRPr="00BD295E">
        <w:rPr>
          <w:rFonts w:ascii="Arial" w:hAnsi="Arial" w:cs="Arial"/>
          <w:b/>
          <w:sz w:val="18"/>
          <w:szCs w:val="18"/>
          <w:lang w:val="en-US"/>
        </w:rPr>
        <w:br/>
      </w:r>
      <w:r w:rsidRPr="00BD295E">
        <w:rPr>
          <w:rFonts w:ascii="Arial" w:hAnsi="Arial" w:cs="Arial"/>
          <w:b/>
          <w:sz w:val="18"/>
          <w:szCs w:val="18"/>
          <w:lang w:val="en-US"/>
        </w:rPr>
        <w:t>in 2018 (RUB million)</w:t>
      </w:r>
    </w:p>
    <w:p w14:paraId="43471DEE" w14:textId="0E0A9097" w:rsidR="00DD1D87" w:rsidRPr="00BD295E" w:rsidRDefault="00997D07" w:rsidP="00DD1D87">
      <w:pPr>
        <w:rPr>
          <w:rFonts w:ascii="Arial" w:hAnsi="Arial" w:cs="Arial"/>
          <w:sz w:val="18"/>
          <w:szCs w:val="18"/>
          <w:lang w:val="en-US"/>
        </w:rPr>
      </w:pPr>
      <w:bookmarkStart w:id="492" w:name="_Hlk95940266"/>
      <w:r w:rsidRPr="00BD295E">
        <w:rPr>
          <w:rFonts w:ascii="Arial" w:hAnsi="Arial" w:cs="Arial"/>
          <w:sz w:val="18"/>
          <w:szCs w:val="18"/>
          <w:lang w:val="en-US" w:eastAsia="en-US"/>
        </w:rPr>
        <w:drawing>
          <wp:inline distT="0" distB="0" distL="0" distR="0" wp14:anchorId="10D23E76" wp14:editId="5D37829A">
            <wp:extent cx="5600700" cy="3367405"/>
            <wp:effectExtent l="0" t="0" r="0" b="0"/>
            <wp:docPr id="98"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bookmarkEnd w:id="492"/>
    </w:p>
    <w:p w14:paraId="1A5416F8" w14:textId="77777777" w:rsidR="00DB2DAC" w:rsidRPr="00BD295E" w:rsidRDefault="00DB2DAC" w:rsidP="00DB2DAC">
      <w:pPr>
        <w:rPr>
          <w:rFonts w:ascii="Arial" w:hAnsi="Arial" w:cs="Arial"/>
          <w:sz w:val="18"/>
          <w:szCs w:val="18"/>
          <w:lang w:val="en-US"/>
        </w:rPr>
      </w:pPr>
    </w:p>
    <w:p w14:paraId="766FBF0C" w14:textId="77777777" w:rsidR="00E30E5D" w:rsidRPr="00BD295E" w:rsidRDefault="00E30E5D" w:rsidP="00DB2DAC">
      <w:pPr>
        <w:rPr>
          <w:rFonts w:ascii="Arial" w:hAnsi="Arial" w:cs="Arial"/>
          <w:sz w:val="18"/>
          <w:szCs w:val="18"/>
          <w:lang w:val="en-US"/>
        </w:rPr>
      </w:pPr>
    </w:p>
    <w:p w14:paraId="38012359" w14:textId="77777777" w:rsidR="00554EE9" w:rsidRPr="00BD295E" w:rsidRDefault="008A5057" w:rsidP="006614B1">
      <w:pPr>
        <w:keepNext/>
        <w:numPr>
          <w:ilvl w:val="0"/>
          <w:numId w:val="11"/>
        </w:numPr>
        <w:ind w:left="0" w:firstLine="357"/>
        <w:jc w:val="both"/>
        <w:outlineLvl w:val="1"/>
        <w:rPr>
          <w:rFonts w:ascii="Arial" w:hAnsi="Arial" w:cs="Arial"/>
          <w:b/>
          <w:sz w:val="18"/>
          <w:szCs w:val="18"/>
          <w:lang w:val="en-US"/>
        </w:rPr>
      </w:pPr>
      <w:bookmarkStart w:id="493" w:name="_Toc509493408"/>
      <w:bookmarkStart w:id="494" w:name="_Toc509497971"/>
      <w:bookmarkStart w:id="495" w:name="_Toc509581273"/>
      <w:bookmarkStart w:id="496" w:name="_Toc510452237"/>
      <w:bookmarkStart w:id="497" w:name="_Toc5027026"/>
      <w:bookmarkStart w:id="498" w:name="_Toc5105984"/>
      <w:bookmarkStart w:id="499" w:name="_Toc5203837"/>
      <w:bookmarkStart w:id="500" w:name="_Toc6230934"/>
      <w:bookmarkStart w:id="501" w:name="_Toc7172582"/>
      <w:bookmarkStart w:id="502" w:name="_Toc7172628"/>
      <w:bookmarkStart w:id="503" w:name="_Toc95855303"/>
      <w:bookmarkStart w:id="504" w:name="_Toc95935362"/>
      <w:bookmarkStart w:id="505" w:name="_Toc410809517"/>
      <w:r w:rsidRPr="00BD295E">
        <w:rPr>
          <w:rFonts w:ascii="Arial" w:hAnsi="Arial" w:cs="Arial"/>
          <w:b/>
          <w:sz w:val="18"/>
          <w:szCs w:val="18"/>
          <w:lang w:val="en-US"/>
        </w:rPr>
        <w:t>Environmental Policy</w:t>
      </w:r>
      <w:bookmarkEnd w:id="493"/>
      <w:bookmarkEnd w:id="494"/>
      <w:bookmarkEnd w:id="495"/>
      <w:bookmarkEnd w:id="496"/>
      <w:bookmarkEnd w:id="497"/>
      <w:bookmarkEnd w:id="498"/>
      <w:bookmarkEnd w:id="499"/>
      <w:bookmarkEnd w:id="500"/>
      <w:bookmarkEnd w:id="501"/>
      <w:bookmarkEnd w:id="502"/>
      <w:bookmarkEnd w:id="503"/>
      <w:bookmarkEnd w:id="504"/>
      <w:r w:rsidRPr="00BD295E">
        <w:rPr>
          <w:rFonts w:ascii="Arial" w:hAnsi="Arial" w:cs="Arial"/>
          <w:b/>
          <w:sz w:val="18"/>
          <w:szCs w:val="18"/>
          <w:lang w:val="en-US"/>
        </w:rPr>
        <w:t xml:space="preserve"> </w:t>
      </w:r>
    </w:p>
    <w:p w14:paraId="1EB5EE11" w14:textId="77777777" w:rsidR="00554EE9" w:rsidRPr="00BD295E" w:rsidRDefault="00554EE9" w:rsidP="00554EE9">
      <w:pPr>
        <w:ind w:firstLine="720"/>
        <w:rPr>
          <w:rFonts w:ascii="Arial" w:hAnsi="Arial" w:cs="Arial"/>
          <w:sz w:val="18"/>
          <w:szCs w:val="18"/>
          <w:lang w:val="en-US"/>
        </w:rPr>
      </w:pPr>
    </w:p>
    <w:p w14:paraId="447AC8C2" w14:textId="77777777" w:rsidR="00ED79C9" w:rsidRPr="00BD295E" w:rsidRDefault="008A5057" w:rsidP="002B0157">
      <w:pPr>
        <w:tabs>
          <w:tab w:val="left" w:pos="1080"/>
          <w:tab w:val="left" w:pos="1320"/>
        </w:tabs>
        <w:jc w:val="both"/>
        <w:rPr>
          <w:rFonts w:ascii="Arial" w:hAnsi="Arial" w:cs="Arial"/>
          <w:snapToGrid w:val="0"/>
          <w:sz w:val="18"/>
          <w:szCs w:val="18"/>
          <w:lang w:val="en-US"/>
        </w:rPr>
      </w:pPr>
      <w:bookmarkStart w:id="506" w:name="_Toc509493409"/>
      <w:bookmarkStart w:id="507" w:name="_Toc509497972"/>
      <w:r w:rsidRPr="00BD295E">
        <w:rPr>
          <w:rFonts w:ascii="Arial" w:hAnsi="Arial" w:cs="Arial"/>
          <w:snapToGrid w:val="0"/>
          <w:sz w:val="18"/>
          <w:szCs w:val="18"/>
          <w:lang w:val="en-US"/>
        </w:rPr>
        <w:t xml:space="preserve">The environmental policy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was put into effect by Order No. 319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June 9, 2017. </w:t>
      </w:r>
    </w:p>
    <w:p w14:paraId="3574985D" w14:textId="4EB2B9D0"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Environmental goals and objectives were developed and put into effect by Order No. 389 of the Company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September 13, 2010 and </w:t>
      </w:r>
      <w:r w:rsidR="00BF7D8E" w:rsidRPr="00BD295E">
        <w:rPr>
          <w:rFonts w:ascii="Arial" w:hAnsi="Arial" w:cs="Arial"/>
          <w:snapToGrid w:val="0"/>
          <w:sz w:val="18"/>
          <w:szCs w:val="18"/>
          <w:lang w:val="en-US"/>
        </w:rPr>
        <w:t>updated</w:t>
      </w:r>
      <w:r w:rsidRPr="00BD295E">
        <w:rPr>
          <w:rFonts w:ascii="Arial" w:hAnsi="Arial" w:cs="Arial"/>
          <w:snapToGrid w:val="0"/>
          <w:sz w:val="18"/>
          <w:szCs w:val="18"/>
          <w:lang w:val="en-US"/>
        </w:rPr>
        <w:t xml:space="preserve"> by Order No. 229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May 23, 2012.</w:t>
      </w:r>
    </w:p>
    <w:p w14:paraId="5505F21D"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397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August 16, 2016 outlines the strategic goals of the integrated management system (IMS), including environmental goals. </w:t>
      </w:r>
    </w:p>
    <w:p w14:paraId="60262391"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319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June 9, 2017 outlines the goals of the IMS for 2017, including environmental goals.</w:t>
      </w:r>
    </w:p>
    <w:p w14:paraId="322F5422"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Order No. 639 of Lenenergo PJSC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December 31, 2015 approves the register of material environmental aspects managed by the Company.</w:t>
      </w:r>
    </w:p>
    <w:p w14:paraId="5CBB69C0"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One of the priorities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includes the development and implementation of integrated management systems (“IMS”), including the adoption of ISO 14000 series (environmental management systems). The work on integrating an environmental management system (“EMS”) at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as part of the IMS deployment was launched in March 2010 (the Company’s order No. 108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March 18, 2010).</w:t>
      </w:r>
    </w:p>
    <w:p w14:paraId="1CD4DCF1"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The Company has received certificates of the Company’s IMS conformity to the requirements of the international standard as applied to electricity transmission and distribution, and grid connection of consumers valid to March 29, 2019.</w:t>
      </w:r>
    </w:p>
    <w:p w14:paraId="2D2CDC7F"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The following was achieved as a result of the EMS integration at the end of the reporting period at Lenenergo PJSC:</w:t>
      </w:r>
    </w:p>
    <w:p w14:paraId="2D13D0E6"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w:t>
      </w:r>
      <w:r w:rsidRPr="00BD295E">
        <w:rPr>
          <w:rFonts w:ascii="Arial" w:hAnsi="Arial" w:cs="Arial"/>
          <w:snapToGrid w:val="0"/>
          <w:sz w:val="18"/>
          <w:szCs w:val="18"/>
          <w:lang w:val="en-US"/>
        </w:rPr>
        <w:tab/>
        <w:t>Environmental protection measures have been developed and are being implemented;</w:t>
      </w:r>
    </w:p>
    <w:p w14:paraId="6C41DC72"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2.</w:t>
      </w:r>
      <w:r w:rsidRPr="00BD295E">
        <w:rPr>
          <w:rFonts w:ascii="Arial" w:hAnsi="Arial" w:cs="Arial"/>
          <w:snapToGrid w:val="0"/>
          <w:sz w:val="18"/>
          <w:szCs w:val="18"/>
          <w:lang w:val="en-US"/>
        </w:rPr>
        <w:tab/>
        <w:t xml:space="preserve">Employees responsible for compliance with environmental protection requirements at branches and units were appointed (the Company’s Order No. 19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January 22, 2015);</w:t>
      </w:r>
    </w:p>
    <w:p w14:paraId="35B2F9E6"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3.</w:t>
      </w:r>
      <w:r w:rsidRPr="00BD295E">
        <w:rPr>
          <w:rFonts w:ascii="Arial" w:hAnsi="Arial" w:cs="Arial"/>
          <w:snapToGrid w:val="0"/>
          <w:sz w:val="18"/>
          <w:szCs w:val="18"/>
          <w:lang w:val="en-US"/>
        </w:rPr>
        <w:tab/>
        <w:t>Managers and personnel have been trained on environmental safety and waste management;</w:t>
      </w:r>
    </w:p>
    <w:p w14:paraId="2E29C964"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4.</w:t>
      </w:r>
      <w:r w:rsidRPr="00BD295E">
        <w:rPr>
          <w:rFonts w:ascii="Arial" w:hAnsi="Arial" w:cs="Arial"/>
          <w:snapToGrid w:val="0"/>
          <w:sz w:val="18"/>
          <w:szCs w:val="18"/>
          <w:lang w:val="en-US"/>
        </w:rPr>
        <w:tab/>
        <w:t>Internal exchange of information on environmental protection was put in place;</w:t>
      </w:r>
    </w:p>
    <w:p w14:paraId="141FDD31"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5.</w:t>
      </w:r>
      <w:r w:rsidRPr="00BD295E">
        <w:rPr>
          <w:rFonts w:ascii="Arial" w:hAnsi="Arial" w:cs="Arial"/>
          <w:snapToGrid w:val="0"/>
          <w:sz w:val="18"/>
          <w:szCs w:val="18"/>
          <w:lang w:val="en-US"/>
        </w:rPr>
        <w:tab/>
        <w:t>The EMS document management procedures have been established and implemented as part of the IMS document management in accordance with STO 00.00.01-2017 Documented Information Management;</w:t>
      </w:r>
    </w:p>
    <w:p w14:paraId="25756ECE"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6.</w:t>
      </w:r>
      <w:r w:rsidRPr="00BD295E">
        <w:rPr>
          <w:rFonts w:ascii="Arial" w:hAnsi="Arial" w:cs="Arial"/>
          <w:snapToGrid w:val="0"/>
          <w:sz w:val="18"/>
          <w:szCs w:val="18"/>
          <w:lang w:val="en-US"/>
        </w:rPr>
        <w:tab/>
        <w:t>Procedures have been established to manage operations that relate to identified significant environmental aspects.</w:t>
      </w:r>
    </w:p>
    <w:p w14:paraId="25288BAF"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7.</w:t>
      </w:r>
      <w:r w:rsidRPr="00BD295E">
        <w:rPr>
          <w:rFonts w:ascii="Arial" w:hAnsi="Arial" w:cs="Arial"/>
          <w:snapToGrid w:val="0"/>
          <w:sz w:val="18"/>
          <w:szCs w:val="18"/>
          <w:lang w:val="en-US"/>
        </w:rPr>
        <w:tab/>
        <w:t>Procedures for identifying hazardous production facilities and potential abnormal situations, accidents, and emergencies have been implemented and maintained; measures are planned to prevent, localize, and handle such situations;</w:t>
      </w:r>
    </w:p>
    <w:p w14:paraId="1F8390EB"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8.</w:t>
      </w:r>
      <w:r w:rsidRPr="00BD295E">
        <w:rPr>
          <w:rFonts w:ascii="Arial" w:hAnsi="Arial" w:cs="Arial"/>
          <w:snapToGrid w:val="0"/>
          <w:sz w:val="18"/>
          <w:szCs w:val="18"/>
          <w:lang w:val="en-US"/>
        </w:rPr>
        <w:tab/>
        <w:t>The environmental aspects are assessed taking into account the identified risks and opportunities within the IMS integration, including environmental protection;</w:t>
      </w:r>
    </w:p>
    <w:p w14:paraId="155B40C5"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9.</w:t>
      </w:r>
      <w:r w:rsidRPr="00BD295E">
        <w:rPr>
          <w:rFonts w:ascii="Arial" w:hAnsi="Arial" w:cs="Arial"/>
          <w:snapToGrid w:val="0"/>
          <w:sz w:val="18"/>
          <w:szCs w:val="18"/>
          <w:lang w:val="en-US"/>
        </w:rPr>
        <w:tab/>
        <w:t>Environmental protection monitoring and measurements are carried out on a regular basis.</w:t>
      </w:r>
    </w:p>
    <w:p w14:paraId="68D07E49"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10.</w:t>
      </w:r>
      <w:r w:rsidRPr="00BD295E">
        <w:rPr>
          <w:rFonts w:ascii="Arial" w:hAnsi="Arial" w:cs="Arial"/>
          <w:snapToGrid w:val="0"/>
          <w:sz w:val="18"/>
          <w:szCs w:val="18"/>
          <w:lang w:val="en-US"/>
        </w:rPr>
        <w:tab/>
        <w:t xml:space="preserve">The executive arm assesses compliance by branches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with the requirements of environmental laws;</w:t>
      </w:r>
    </w:p>
    <w:p w14:paraId="2189A39E"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11.</w:t>
      </w:r>
      <w:r w:rsidRPr="00BD295E">
        <w:rPr>
          <w:rFonts w:ascii="Arial" w:hAnsi="Arial" w:cs="Arial"/>
          <w:snapToGrid w:val="0"/>
          <w:sz w:val="18"/>
          <w:szCs w:val="18"/>
          <w:lang w:val="en-US"/>
        </w:rPr>
        <w:tab/>
        <w:t xml:space="preserve">The results of monitoring and evaluation of compliance with the overall environmental performance are recorded. </w:t>
      </w:r>
    </w:p>
    <w:p w14:paraId="3856A9DC"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12.</w:t>
      </w:r>
      <w:r w:rsidRPr="00BD295E">
        <w:rPr>
          <w:rFonts w:ascii="Arial" w:hAnsi="Arial" w:cs="Arial"/>
          <w:snapToGrid w:val="0"/>
          <w:sz w:val="18"/>
          <w:szCs w:val="18"/>
          <w:lang w:val="en-US"/>
        </w:rPr>
        <w:tab/>
        <w:t xml:space="preserve">An analysis of the IMS operation in 2017 was carried out (Order No. 239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t>
      </w:r>
      <w:r w:rsidRPr="00BD295E">
        <w:rPr>
          <w:rFonts w:ascii="Arial" w:hAnsi="Arial" w:cs="Arial"/>
          <w:i/>
          <w:iCs/>
          <w:snapToGrid w:val="0"/>
          <w:sz w:val="18"/>
          <w:szCs w:val="18"/>
          <w:lang w:val="en-US"/>
        </w:rPr>
        <w:t>On the results of an analysis of the integrated management system in 2017</w:t>
      </w:r>
      <w:r w:rsidRPr="00BD295E">
        <w:rPr>
          <w:rFonts w:ascii="Arial" w:hAnsi="Arial" w:cs="Arial"/>
          <w:snapToGrid w:val="0"/>
          <w:sz w:val="18"/>
          <w:szCs w:val="18"/>
          <w:lang w:val="en-US"/>
        </w:rPr>
        <w:t xml:space="preserve">,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May 30, 2018.</w:t>
      </w:r>
    </w:p>
    <w:p w14:paraId="6FBF1F02"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13</w:t>
      </w:r>
      <w:r w:rsidRPr="00BD295E">
        <w:rPr>
          <w:rFonts w:ascii="Arial" w:hAnsi="Arial" w:cs="Arial"/>
          <w:snapToGrid w:val="0"/>
          <w:sz w:val="18"/>
          <w:szCs w:val="18"/>
          <w:lang w:val="en-US"/>
        </w:rPr>
        <w:tab/>
        <w:t xml:space="preserve">The IMS goals for 2018 are determined, including environmental goals, (Order No. 239 of Lenenergo PJSC,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May 30, 2018).</w:t>
      </w:r>
    </w:p>
    <w:p w14:paraId="12157183"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14.</w:t>
      </w:r>
      <w:r w:rsidRPr="00BD295E">
        <w:rPr>
          <w:rFonts w:ascii="Arial" w:hAnsi="Arial" w:cs="Arial"/>
          <w:snapToGrid w:val="0"/>
          <w:sz w:val="18"/>
          <w:szCs w:val="18"/>
          <w:lang w:val="en-US"/>
        </w:rPr>
        <w:tab/>
        <w:t xml:space="preserve">The Company’s Order No. 401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August 10, 2012 changed the structure of executive arms at grid branches: environmentalists were transferred to the staff of the branch’s production control and occupational health service.</w:t>
      </w:r>
    </w:p>
    <w:p w14:paraId="5BB063B6"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15.</w:t>
      </w:r>
      <w:r w:rsidRPr="00BD295E">
        <w:rPr>
          <w:rFonts w:ascii="Arial" w:hAnsi="Arial" w:cs="Arial"/>
          <w:snapToGrid w:val="0"/>
          <w:sz w:val="18"/>
          <w:szCs w:val="18"/>
          <w:lang w:val="en-US"/>
        </w:rPr>
        <w:tab/>
        <w:t>The following EMS documents and procedures have been developed, implemented and are in effect as at the end of the reporting period:</w:t>
      </w:r>
    </w:p>
    <w:p w14:paraId="18EE3501"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16.</w:t>
      </w:r>
      <w:r w:rsidRPr="00BD295E">
        <w:rPr>
          <w:rFonts w:ascii="Arial" w:hAnsi="Arial" w:cs="Arial"/>
          <w:snapToGrid w:val="0"/>
          <w:sz w:val="18"/>
          <w:szCs w:val="18"/>
          <w:lang w:val="en-US"/>
        </w:rPr>
        <w:tab/>
        <w:t xml:space="preserve">The Company’s Order No. 42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January 29, 2018 approved and put into effect: </w:t>
      </w:r>
    </w:p>
    <w:p w14:paraId="057432D2" w14:textId="3D6A48C6" w:rsidR="00ED79C9" w:rsidRPr="00BD295E" w:rsidRDefault="008A5057" w:rsidP="00E86ED4">
      <w:pPr>
        <w:pStyle w:val="af3"/>
        <w:numPr>
          <w:ilvl w:val="0"/>
          <w:numId w:val="172"/>
        </w:num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STO 00.00.01-2017 Documented information management (version 8);</w:t>
      </w:r>
    </w:p>
    <w:p w14:paraId="55CE5264" w14:textId="2C13A3F6" w:rsidR="00ED79C9" w:rsidRPr="00BD295E" w:rsidRDefault="008A5057" w:rsidP="00E86ED4">
      <w:pPr>
        <w:pStyle w:val="af3"/>
        <w:numPr>
          <w:ilvl w:val="0"/>
          <w:numId w:val="172"/>
        </w:num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STO 00.00.03-2017 Internal audits (version 7);</w:t>
      </w:r>
    </w:p>
    <w:p w14:paraId="673BB7B1" w14:textId="708FF39C" w:rsidR="00ED79C9" w:rsidRPr="00BD295E" w:rsidRDefault="008A5057" w:rsidP="00E86ED4">
      <w:pPr>
        <w:pStyle w:val="af3"/>
        <w:numPr>
          <w:ilvl w:val="0"/>
          <w:numId w:val="172"/>
        </w:num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STO 00.00.04-2017 Corrective and preventive actions (version 6);</w:t>
      </w:r>
    </w:p>
    <w:p w14:paraId="7902FAAE" w14:textId="2A91DF8F" w:rsidR="00ED79C9" w:rsidRPr="00BD295E" w:rsidRDefault="008A5057" w:rsidP="00E86ED4">
      <w:pPr>
        <w:pStyle w:val="af3"/>
        <w:numPr>
          <w:ilvl w:val="0"/>
          <w:numId w:val="172"/>
        </w:num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STO 00.00.06-2017 Analysis of IMS by senior management (version 7);</w:t>
      </w:r>
    </w:p>
    <w:p w14:paraId="0257EF4F" w14:textId="472C0837" w:rsidR="00ED79C9" w:rsidRPr="00BD295E" w:rsidRDefault="008A5057" w:rsidP="00E86ED4">
      <w:pPr>
        <w:pStyle w:val="af3"/>
        <w:numPr>
          <w:ilvl w:val="0"/>
          <w:numId w:val="172"/>
        </w:num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RSEM-2017 Guidelines on the environmental management system (version 5).</w:t>
      </w:r>
    </w:p>
    <w:p w14:paraId="02845430" w14:textId="77777777" w:rsidR="00ED79C9" w:rsidRPr="00BD295E" w:rsidRDefault="008A5057" w:rsidP="00E86ED4">
      <w:pPr>
        <w:pStyle w:val="af3"/>
        <w:numPr>
          <w:ilvl w:val="0"/>
          <w:numId w:val="172"/>
        </w:num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17.</w:t>
      </w:r>
      <w:r w:rsidRPr="00BD295E">
        <w:rPr>
          <w:rFonts w:ascii="Arial" w:hAnsi="Arial" w:cs="Arial"/>
          <w:snapToGrid w:val="0"/>
          <w:sz w:val="18"/>
          <w:szCs w:val="18"/>
          <w:lang w:val="en-US"/>
        </w:rPr>
        <w:tab/>
        <w:t xml:space="preserve">Order No. 639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December 31, 2015 approved and put into effect: </w:t>
      </w:r>
    </w:p>
    <w:p w14:paraId="299E688B" w14:textId="6A301AD2" w:rsidR="00ED79C9" w:rsidRPr="00BD295E" w:rsidRDefault="008A5057" w:rsidP="00E86ED4">
      <w:pPr>
        <w:pStyle w:val="af3"/>
        <w:numPr>
          <w:ilvl w:val="0"/>
          <w:numId w:val="172"/>
        </w:num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STO 08-2015 Identification and assessment of materiality of environmental aspects (version 3);</w:t>
      </w:r>
    </w:p>
    <w:p w14:paraId="3D1D6253" w14:textId="5B7930B7" w:rsidR="00ED79C9" w:rsidRPr="00BD295E" w:rsidRDefault="008A5057" w:rsidP="00E86ED4">
      <w:pPr>
        <w:pStyle w:val="af3"/>
        <w:numPr>
          <w:ilvl w:val="0"/>
          <w:numId w:val="172"/>
        </w:num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Register of environmental aspects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w:t>
      </w:r>
    </w:p>
    <w:p w14:paraId="2B51E771" w14:textId="77777777" w:rsidR="00ED79C9" w:rsidRPr="00BD295E" w:rsidRDefault="00ED79C9" w:rsidP="002B0157">
      <w:pPr>
        <w:tabs>
          <w:tab w:val="left" w:pos="1080"/>
          <w:tab w:val="left" w:pos="1320"/>
        </w:tabs>
        <w:jc w:val="both"/>
        <w:rPr>
          <w:rFonts w:ascii="Arial" w:hAnsi="Arial" w:cs="Arial"/>
          <w:snapToGrid w:val="0"/>
          <w:sz w:val="18"/>
          <w:szCs w:val="18"/>
          <w:lang w:val="en-US"/>
        </w:rPr>
      </w:pPr>
    </w:p>
    <w:p w14:paraId="00289300"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As part of the program of IMS internal audits approved by Order No. 731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December 18, 2017, seven EMS audits were conducted in 2018 to verify compliance with ISO 14001:2015 with regard to the following seven processes:</w:t>
      </w:r>
    </w:p>
    <w:p w14:paraId="2F9C1C46"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Code</w:t>
      </w:r>
      <w:r w:rsidRPr="00BD295E">
        <w:rPr>
          <w:rFonts w:ascii="Arial" w:hAnsi="Arial" w:cs="Arial"/>
          <w:snapToGrid w:val="0"/>
          <w:sz w:val="18"/>
          <w:szCs w:val="18"/>
          <w:lang w:val="en-US"/>
        </w:rPr>
        <w:tab/>
        <w:t xml:space="preserve">Internal audit target (process) </w:t>
      </w:r>
    </w:p>
    <w:p w14:paraId="12F588E5"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00 Process “Integrated Management System”</w:t>
      </w:r>
    </w:p>
    <w:p w14:paraId="7091646C"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01 Process “Human Resources Management”</w:t>
      </w:r>
    </w:p>
    <w:p w14:paraId="14C67C06"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02 Process “Grid Connection of Consumers”</w:t>
      </w:r>
    </w:p>
    <w:p w14:paraId="1D909E2A"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03 Process “Procurement Management”</w:t>
      </w:r>
    </w:p>
    <w:p w14:paraId="50107CA3" w14:textId="156B556D"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04</w:t>
      </w:r>
      <w:r w:rsidR="00686753" w:rsidRPr="00BD295E">
        <w:rPr>
          <w:rFonts w:ascii="Arial" w:hAnsi="Arial" w:cs="Arial"/>
          <w:snapToGrid w:val="0"/>
          <w:sz w:val="18"/>
          <w:szCs w:val="18"/>
          <w:lang w:val="en-US"/>
        </w:rPr>
        <w:t xml:space="preserve"> </w:t>
      </w:r>
      <w:r w:rsidRPr="00BD295E">
        <w:rPr>
          <w:rFonts w:ascii="Arial" w:hAnsi="Arial" w:cs="Arial"/>
          <w:snapToGrid w:val="0"/>
          <w:sz w:val="18"/>
          <w:szCs w:val="18"/>
          <w:lang w:val="en-US"/>
        </w:rPr>
        <w:t>Process “Sales of Electricity Distribution Services”</w:t>
      </w:r>
    </w:p>
    <w:p w14:paraId="238A48B7"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05 Process “Operation of Electric Grid Facilities”, including</w:t>
      </w:r>
    </w:p>
    <w:p w14:paraId="0B14639C"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05.01 Sub-process “Maintenance and Repair"</w:t>
      </w:r>
    </w:p>
    <w:p w14:paraId="283E03F5"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05.02 Subprocess “Operational and Process Control”</w:t>
      </w:r>
    </w:p>
    <w:p w14:paraId="6E2A8EE4"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05.03 Subprocess “Production Assets Management”</w:t>
      </w:r>
    </w:p>
    <w:p w14:paraId="71B8A634"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05.04 Subprocess “Metrological Support”</w:t>
      </w:r>
    </w:p>
    <w:p w14:paraId="53CD0FF3"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05.05 Subprocess “Innovative Development Management”, including R&amp;D</w:t>
      </w:r>
    </w:p>
    <w:p w14:paraId="7CE9CF3D"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05.06 Subprocess “Operational and Industrial Safety”</w:t>
      </w:r>
    </w:p>
    <w:p w14:paraId="30C061EE"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06 Process “Investments and Capital Construction”</w:t>
      </w:r>
    </w:p>
    <w:p w14:paraId="5F79AA38"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The internal audit cycle identified three discrepancies with the environment management system. Corrective actions were promptly taken on the identified discrepancies and respective evidence was provided. </w:t>
      </w:r>
    </w:p>
    <w:p w14:paraId="5984207A" w14:textId="77777777" w:rsidR="00ED79C9" w:rsidRPr="00BD295E" w:rsidRDefault="00ED79C9" w:rsidP="002B0157">
      <w:pPr>
        <w:tabs>
          <w:tab w:val="left" w:pos="1080"/>
          <w:tab w:val="left" w:pos="1320"/>
        </w:tabs>
        <w:jc w:val="both"/>
        <w:rPr>
          <w:rFonts w:ascii="Arial" w:hAnsi="Arial" w:cs="Arial"/>
          <w:snapToGrid w:val="0"/>
          <w:sz w:val="18"/>
          <w:szCs w:val="18"/>
          <w:lang w:val="en-US"/>
        </w:rPr>
      </w:pPr>
    </w:p>
    <w:p w14:paraId="3CDEC502" w14:textId="7777777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In 2018, no external environmental audit was conducted at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t>
      </w:r>
    </w:p>
    <w:p w14:paraId="4938ABA7" w14:textId="50426247" w:rsidR="00ED79C9" w:rsidRPr="00BD295E" w:rsidRDefault="008A5057" w:rsidP="002B0157">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 xml:space="preserve">In March 2018, under Contract No. 18-1741 with Russian Register - Baltic Inspection, LLC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February 22, 2018, an external audit of the environmental management system including an inspection audit of the integrated management system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was conducted by Russian Register - Baltic Inspection, LLC to check compliance with the requirements of ISO 9001:2015 (GOST R ISO 9001-2015), ISO 14001:2015 (GOST R ISO 14001-2007), and OHSAS 18001:2007 / GOST R 59934-2012 (GOST 12.0.230-2007) for a total of one million fifty-five thousand six hundred rubles (RUB 1,055,600),   VAT free. Simplified taxation mo</w:t>
      </w:r>
      <w:r w:rsidR="00396716" w:rsidRPr="00BD295E">
        <w:rPr>
          <w:rFonts w:ascii="Arial" w:hAnsi="Arial" w:cs="Arial"/>
          <w:snapToGrid w:val="0"/>
          <w:sz w:val="18"/>
          <w:szCs w:val="18"/>
          <w:lang w:val="en-US"/>
        </w:rPr>
        <w:t xml:space="preserve">de. </w:t>
      </w:r>
      <w:r w:rsidR="00BD295E" w:rsidRPr="00BD295E">
        <w:rPr>
          <w:rFonts w:ascii="Arial" w:hAnsi="Arial" w:cs="Arial"/>
          <w:snapToGrid w:val="0"/>
          <w:sz w:val="18"/>
          <w:szCs w:val="18"/>
          <w:lang w:val="en-US"/>
        </w:rPr>
        <w:t>Including EMS</w:t>
      </w:r>
      <w:r w:rsidR="00396716" w:rsidRPr="00BD295E">
        <w:rPr>
          <w:rFonts w:ascii="Arial" w:hAnsi="Arial" w:cs="Arial"/>
          <w:snapToGrid w:val="0"/>
          <w:sz w:val="18"/>
          <w:szCs w:val="18"/>
          <w:lang w:val="en-US"/>
        </w:rPr>
        <w:t xml:space="preserve"> audit for RUB</w:t>
      </w:r>
      <w:r w:rsidRPr="00BD295E">
        <w:rPr>
          <w:rFonts w:ascii="Arial" w:hAnsi="Arial" w:cs="Arial"/>
          <w:snapToGrid w:val="0"/>
          <w:sz w:val="18"/>
          <w:szCs w:val="18"/>
          <w:lang w:val="en-US"/>
        </w:rPr>
        <w:t xml:space="preserve"> 356,900.  One discrepancy was identified Order No. 215 of </w:t>
      </w:r>
      <w:r w:rsidR="00EE5753" w:rsidRPr="00BD295E">
        <w:rPr>
          <w:rFonts w:ascii="Arial" w:hAnsi="Arial" w:cs="Arial"/>
          <w:snapToGrid w:val="0"/>
          <w:sz w:val="18"/>
          <w:szCs w:val="18"/>
          <w:lang w:val="en-US"/>
        </w:rPr>
        <w:t>PJSC “Lenenergo”</w:t>
      </w:r>
      <w:r w:rsidRPr="00BD295E">
        <w:rPr>
          <w:rFonts w:ascii="Arial" w:hAnsi="Arial" w:cs="Arial"/>
          <w:snapToGrid w:val="0"/>
          <w:sz w:val="18"/>
          <w:szCs w:val="18"/>
          <w:lang w:val="en-US"/>
        </w:rPr>
        <w:t xml:space="preserve">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May 14., 2017 approved the preventive action plan to be implemented before May 31, 2018. The preventive actions were implemented within the established timelines. The environmental management system is certified to ISO 14001:2015, Certificate No. 16.0423.026 </w:t>
      </w:r>
      <w:r w:rsidR="008B183C" w:rsidRPr="00BD295E">
        <w:rPr>
          <w:rFonts w:ascii="Arial" w:hAnsi="Arial" w:cs="Arial"/>
          <w:snapToGrid w:val="0"/>
          <w:sz w:val="18"/>
          <w:szCs w:val="18"/>
          <w:lang w:val="en-US"/>
        </w:rPr>
        <w:t>of</w:t>
      </w:r>
      <w:r w:rsidRPr="00BD295E">
        <w:rPr>
          <w:rFonts w:ascii="Arial" w:hAnsi="Arial" w:cs="Arial"/>
          <w:snapToGrid w:val="0"/>
          <w:sz w:val="18"/>
          <w:szCs w:val="18"/>
          <w:lang w:val="en-US"/>
        </w:rPr>
        <w:t xml:space="preserve"> March 29, 2016, valid until March 29, 2019.</w:t>
      </w:r>
    </w:p>
    <w:p w14:paraId="1E1DFBEA" w14:textId="77777777" w:rsidR="00ED79C9" w:rsidRPr="00BD295E" w:rsidRDefault="00ED79C9" w:rsidP="00ED79C9">
      <w:pPr>
        <w:ind w:firstLine="709"/>
        <w:contextualSpacing/>
        <w:rPr>
          <w:rFonts w:ascii="Arial" w:hAnsi="Arial" w:cs="Arial"/>
          <w:sz w:val="18"/>
          <w:szCs w:val="18"/>
          <w:lang w:val="en-US"/>
        </w:rPr>
      </w:pPr>
    </w:p>
    <w:p w14:paraId="7F55F61A" w14:textId="77777777" w:rsidR="00ED79C9" w:rsidRPr="00BD295E" w:rsidRDefault="008A5057" w:rsidP="00ED79C9">
      <w:pPr>
        <w:pStyle w:val="32"/>
        <w:spacing w:line="240" w:lineRule="auto"/>
        <w:ind w:left="720" w:firstLine="0"/>
        <w:rPr>
          <w:rFonts w:ascii="Arial" w:hAnsi="Arial" w:cs="Arial"/>
          <w:b/>
          <w:color w:val="auto"/>
          <w:sz w:val="18"/>
          <w:szCs w:val="18"/>
          <w:lang w:val="en-US"/>
        </w:rPr>
      </w:pPr>
      <w:r w:rsidRPr="00BD295E">
        <w:rPr>
          <w:rFonts w:ascii="Arial" w:hAnsi="Arial" w:cs="Arial"/>
          <w:b/>
          <w:color w:val="auto"/>
          <w:sz w:val="18"/>
          <w:szCs w:val="18"/>
          <w:lang w:val="en-US"/>
        </w:rPr>
        <w:t>Environmental protection costs, RUB thousand</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5"/>
        <w:gridCol w:w="1745"/>
        <w:gridCol w:w="1843"/>
        <w:gridCol w:w="1701"/>
      </w:tblGrid>
      <w:tr w:rsidR="008A5057" w:rsidRPr="00BD295E" w14:paraId="424CE4CE" w14:textId="77777777" w:rsidTr="00ED79C9">
        <w:trPr>
          <w:trHeight w:val="300"/>
        </w:trPr>
        <w:tc>
          <w:tcPr>
            <w:tcW w:w="4175" w:type="dxa"/>
            <w:shd w:val="clear" w:color="auto" w:fill="auto"/>
            <w:vAlign w:val="center"/>
            <w:hideMark/>
          </w:tcPr>
          <w:p w14:paraId="1FCF4932" w14:textId="77777777" w:rsidR="00ED79C9" w:rsidRPr="00BD295E" w:rsidRDefault="008A5057" w:rsidP="00ED79C9">
            <w:pPr>
              <w:rPr>
                <w:rFonts w:ascii="Arial" w:hAnsi="Arial" w:cs="Arial"/>
                <w:b/>
                <w:sz w:val="18"/>
                <w:szCs w:val="18"/>
                <w:lang w:val="en-US"/>
              </w:rPr>
            </w:pPr>
            <w:r w:rsidRPr="00BD295E">
              <w:rPr>
                <w:rFonts w:ascii="Arial" w:hAnsi="Arial" w:cs="Arial"/>
                <w:b/>
                <w:sz w:val="18"/>
                <w:szCs w:val="18"/>
                <w:lang w:val="en-US"/>
              </w:rPr>
              <w:t>Costs</w:t>
            </w:r>
          </w:p>
        </w:tc>
        <w:tc>
          <w:tcPr>
            <w:tcW w:w="1745" w:type="dxa"/>
            <w:shd w:val="clear" w:color="auto" w:fill="auto"/>
            <w:hideMark/>
          </w:tcPr>
          <w:p w14:paraId="6E37BF7B"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2016</w:t>
            </w:r>
          </w:p>
        </w:tc>
        <w:tc>
          <w:tcPr>
            <w:tcW w:w="1843" w:type="dxa"/>
            <w:shd w:val="clear" w:color="auto" w:fill="auto"/>
            <w:hideMark/>
          </w:tcPr>
          <w:p w14:paraId="6BB9B3FD"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2017</w:t>
            </w:r>
          </w:p>
        </w:tc>
        <w:tc>
          <w:tcPr>
            <w:tcW w:w="1701" w:type="dxa"/>
            <w:shd w:val="clear" w:color="auto" w:fill="auto"/>
          </w:tcPr>
          <w:p w14:paraId="4E3AD6BD"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2018</w:t>
            </w:r>
          </w:p>
        </w:tc>
      </w:tr>
      <w:tr w:rsidR="008A5057" w:rsidRPr="00BD295E" w14:paraId="1F6B309E" w14:textId="77777777" w:rsidTr="00ED79C9">
        <w:trPr>
          <w:trHeight w:val="300"/>
        </w:trPr>
        <w:tc>
          <w:tcPr>
            <w:tcW w:w="4175" w:type="dxa"/>
            <w:shd w:val="clear" w:color="auto" w:fill="auto"/>
            <w:hideMark/>
          </w:tcPr>
          <w:p w14:paraId="1AF28C01"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for water protection and management</w:t>
            </w:r>
          </w:p>
        </w:tc>
        <w:tc>
          <w:tcPr>
            <w:tcW w:w="1745" w:type="dxa"/>
            <w:shd w:val="clear" w:color="auto" w:fill="auto"/>
            <w:vAlign w:val="center"/>
          </w:tcPr>
          <w:p w14:paraId="65F1BBAE" w14:textId="77777777" w:rsidR="00ED79C9" w:rsidRPr="00BD295E" w:rsidRDefault="008A5057" w:rsidP="00ED79C9">
            <w:pPr>
              <w:jc w:val="center"/>
              <w:rPr>
                <w:rFonts w:ascii="Arial" w:hAnsi="Arial" w:cs="Arial"/>
                <w:iCs/>
                <w:sz w:val="18"/>
                <w:szCs w:val="18"/>
                <w:lang w:val="en-US"/>
              </w:rPr>
            </w:pPr>
            <w:r w:rsidRPr="00BD295E">
              <w:rPr>
                <w:rFonts w:ascii="Arial" w:hAnsi="Arial" w:cs="Arial"/>
                <w:iCs/>
                <w:sz w:val="18"/>
                <w:szCs w:val="18"/>
                <w:lang w:val="en-US"/>
              </w:rPr>
              <w:t>6618</w:t>
            </w:r>
          </w:p>
        </w:tc>
        <w:tc>
          <w:tcPr>
            <w:tcW w:w="1843" w:type="dxa"/>
            <w:shd w:val="clear" w:color="auto" w:fill="auto"/>
            <w:vAlign w:val="center"/>
          </w:tcPr>
          <w:p w14:paraId="05BA00B2" w14:textId="77777777" w:rsidR="00ED79C9" w:rsidRPr="00BD295E" w:rsidRDefault="008A5057" w:rsidP="00ED79C9">
            <w:pPr>
              <w:jc w:val="center"/>
              <w:rPr>
                <w:rFonts w:ascii="Arial" w:hAnsi="Arial" w:cs="Arial"/>
                <w:iCs/>
                <w:sz w:val="18"/>
                <w:szCs w:val="18"/>
                <w:lang w:val="en-US"/>
              </w:rPr>
            </w:pPr>
            <w:r w:rsidRPr="00BD295E">
              <w:rPr>
                <w:rFonts w:ascii="Arial" w:hAnsi="Arial" w:cs="Arial"/>
                <w:iCs/>
                <w:sz w:val="18"/>
                <w:szCs w:val="18"/>
                <w:lang w:val="en-US"/>
              </w:rPr>
              <w:t>7190</w:t>
            </w:r>
          </w:p>
        </w:tc>
        <w:tc>
          <w:tcPr>
            <w:tcW w:w="1701" w:type="dxa"/>
            <w:shd w:val="clear" w:color="auto" w:fill="auto"/>
            <w:vAlign w:val="center"/>
          </w:tcPr>
          <w:p w14:paraId="4BB95127" w14:textId="77777777" w:rsidR="00ED79C9" w:rsidRPr="00BD295E" w:rsidRDefault="008A5057" w:rsidP="00ED79C9">
            <w:pPr>
              <w:jc w:val="center"/>
              <w:rPr>
                <w:rFonts w:ascii="Arial" w:hAnsi="Arial" w:cs="Arial"/>
                <w:iCs/>
                <w:sz w:val="18"/>
                <w:szCs w:val="18"/>
                <w:lang w:val="en-US"/>
              </w:rPr>
            </w:pPr>
            <w:r w:rsidRPr="00BD295E">
              <w:rPr>
                <w:rFonts w:ascii="Arial" w:hAnsi="Arial" w:cs="Arial"/>
                <w:iCs/>
                <w:sz w:val="18"/>
                <w:szCs w:val="18"/>
                <w:lang w:val="en-US"/>
              </w:rPr>
              <w:t>7495</w:t>
            </w:r>
          </w:p>
        </w:tc>
      </w:tr>
      <w:tr w:rsidR="008A5057" w:rsidRPr="00BD295E" w14:paraId="298B6CBE" w14:textId="77777777" w:rsidTr="00ED79C9">
        <w:trPr>
          <w:trHeight w:val="300"/>
        </w:trPr>
        <w:tc>
          <w:tcPr>
            <w:tcW w:w="4175" w:type="dxa"/>
            <w:shd w:val="clear" w:color="auto" w:fill="auto"/>
            <w:hideMark/>
          </w:tcPr>
          <w:p w14:paraId="6E34E301"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for air protection</w:t>
            </w:r>
          </w:p>
        </w:tc>
        <w:tc>
          <w:tcPr>
            <w:tcW w:w="1745" w:type="dxa"/>
            <w:shd w:val="clear" w:color="auto" w:fill="auto"/>
            <w:vAlign w:val="center"/>
          </w:tcPr>
          <w:p w14:paraId="7DF593BF"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2434</w:t>
            </w:r>
          </w:p>
        </w:tc>
        <w:tc>
          <w:tcPr>
            <w:tcW w:w="1843" w:type="dxa"/>
            <w:shd w:val="clear" w:color="auto" w:fill="auto"/>
            <w:vAlign w:val="center"/>
          </w:tcPr>
          <w:p w14:paraId="5132064A"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2847</w:t>
            </w:r>
          </w:p>
        </w:tc>
        <w:tc>
          <w:tcPr>
            <w:tcW w:w="1701" w:type="dxa"/>
            <w:shd w:val="clear" w:color="auto" w:fill="auto"/>
            <w:vAlign w:val="center"/>
          </w:tcPr>
          <w:p w14:paraId="07282120"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3512</w:t>
            </w:r>
          </w:p>
        </w:tc>
      </w:tr>
      <w:tr w:rsidR="008A5057" w:rsidRPr="00BD295E" w14:paraId="3C695D68" w14:textId="77777777" w:rsidTr="00ED79C9">
        <w:trPr>
          <w:trHeight w:val="300"/>
        </w:trPr>
        <w:tc>
          <w:tcPr>
            <w:tcW w:w="4175" w:type="dxa"/>
            <w:shd w:val="clear" w:color="auto" w:fill="auto"/>
            <w:hideMark/>
          </w:tcPr>
          <w:p w14:paraId="64D77DA1"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for environmental (land) protection against production and consumption waste</w:t>
            </w:r>
          </w:p>
        </w:tc>
        <w:tc>
          <w:tcPr>
            <w:tcW w:w="1745" w:type="dxa"/>
            <w:shd w:val="clear" w:color="auto" w:fill="auto"/>
            <w:vAlign w:val="center"/>
          </w:tcPr>
          <w:p w14:paraId="39FB63B4"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10231</w:t>
            </w:r>
          </w:p>
        </w:tc>
        <w:tc>
          <w:tcPr>
            <w:tcW w:w="1843" w:type="dxa"/>
            <w:shd w:val="clear" w:color="auto" w:fill="auto"/>
            <w:vAlign w:val="center"/>
          </w:tcPr>
          <w:p w14:paraId="7C2CBE8A"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11012</w:t>
            </w:r>
          </w:p>
        </w:tc>
        <w:tc>
          <w:tcPr>
            <w:tcW w:w="1701" w:type="dxa"/>
            <w:shd w:val="clear" w:color="auto" w:fill="auto"/>
            <w:vAlign w:val="center"/>
          </w:tcPr>
          <w:p w14:paraId="5B969F47"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11702</w:t>
            </w:r>
          </w:p>
        </w:tc>
      </w:tr>
      <w:tr w:rsidR="008A5057" w:rsidRPr="00BD295E" w14:paraId="3FC41F0E" w14:textId="77777777" w:rsidTr="00ED79C9">
        <w:trPr>
          <w:trHeight w:val="300"/>
        </w:trPr>
        <w:tc>
          <w:tcPr>
            <w:tcW w:w="4175" w:type="dxa"/>
            <w:shd w:val="clear" w:color="auto" w:fill="auto"/>
            <w:hideMark/>
          </w:tcPr>
          <w:p w14:paraId="313126DD"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land recultivation</w:t>
            </w:r>
          </w:p>
        </w:tc>
        <w:tc>
          <w:tcPr>
            <w:tcW w:w="1745" w:type="dxa"/>
            <w:shd w:val="clear" w:color="auto" w:fill="auto"/>
            <w:vAlign w:val="center"/>
          </w:tcPr>
          <w:p w14:paraId="45ACBC15" w14:textId="77777777" w:rsidR="00ED79C9" w:rsidRPr="00BD295E" w:rsidRDefault="00ED79C9" w:rsidP="00ED79C9">
            <w:pPr>
              <w:jc w:val="center"/>
              <w:rPr>
                <w:rFonts w:ascii="Arial" w:hAnsi="Arial" w:cs="Arial"/>
                <w:sz w:val="18"/>
                <w:szCs w:val="18"/>
                <w:lang w:val="en-US"/>
              </w:rPr>
            </w:pPr>
          </w:p>
        </w:tc>
        <w:tc>
          <w:tcPr>
            <w:tcW w:w="1843" w:type="dxa"/>
            <w:shd w:val="clear" w:color="auto" w:fill="auto"/>
            <w:vAlign w:val="center"/>
          </w:tcPr>
          <w:p w14:paraId="0EB85CA1" w14:textId="77777777" w:rsidR="00ED79C9" w:rsidRPr="00BD295E" w:rsidRDefault="00ED79C9" w:rsidP="00ED79C9">
            <w:pPr>
              <w:jc w:val="center"/>
              <w:rPr>
                <w:rFonts w:ascii="Arial" w:hAnsi="Arial" w:cs="Arial"/>
                <w:sz w:val="18"/>
                <w:szCs w:val="18"/>
                <w:lang w:val="en-US"/>
              </w:rPr>
            </w:pPr>
          </w:p>
        </w:tc>
        <w:tc>
          <w:tcPr>
            <w:tcW w:w="1701" w:type="dxa"/>
            <w:shd w:val="clear" w:color="auto" w:fill="auto"/>
            <w:vAlign w:val="center"/>
          </w:tcPr>
          <w:p w14:paraId="51C64EA6" w14:textId="77777777" w:rsidR="00ED79C9" w:rsidRPr="00BD295E" w:rsidRDefault="00ED79C9" w:rsidP="00ED79C9">
            <w:pPr>
              <w:jc w:val="center"/>
              <w:rPr>
                <w:rFonts w:ascii="Arial" w:hAnsi="Arial" w:cs="Arial"/>
                <w:sz w:val="18"/>
                <w:szCs w:val="18"/>
                <w:lang w:val="en-US"/>
              </w:rPr>
            </w:pPr>
          </w:p>
        </w:tc>
      </w:tr>
      <w:tr w:rsidR="008A5057" w:rsidRPr="00BD295E" w14:paraId="075E15A5" w14:textId="77777777" w:rsidTr="00ED79C9">
        <w:trPr>
          <w:trHeight w:val="300"/>
        </w:trPr>
        <w:tc>
          <w:tcPr>
            <w:tcW w:w="4175" w:type="dxa"/>
            <w:shd w:val="clear" w:color="auto" w:fill="auto"/>
          </w:tcPr>
          <w:p w14:paraId="61E83360" w14:textId="77777777" w:rsidR="00ED79C9" w:rsidRPr="00BD295E" w:rsidRDefault="008A5057" w:rsidP="00ED79C9">
            <w:pPr>
              <w:rPr>
                <w:rFonts w:ascii="Arial" w:hAnsi="Arial" w:cs="Arial"/>
                <w:b/>
                <w:sz w:val="18"/>
                <w:szCs w:val="18"/>
                <w:lang w:val="en-US"/>
              </w:rPr>
            </w:pPr>
            <w:r w:rsidRPr="00BD295E">
              <w:rPr>
                <w:rFonts w:ascii="Arial" w:hAnsi="Arial" w:cs="Arial"/>
                <w:b/>
                <w:sz w:val="18"/>
                <w:szCs w:val="18"/>
                <w:lang w:val="en-US"/>
              </w:rPr>
              <w:t>Total</w:t>
            </w:r>
          </w:p>
        </w:tc>
        <w:tc>
          <w:tcPr>
            <w:tcW w:w="1745" w:type="dxa"/>
            <w:shd w:val="clear" w:color="auto" w:fill="auto"/>
            <w:vAlign w:val="center"/>
          </w:tcPr>
          <w:p w14:paraId="2407DB2B" w14:textId="77777777" w:rsidR="00ED79C9" w:rsidRPr="00BD295E" w:rsidRDefault="008A5057" w:rsidP="00ED79C9">
            <w:pPr>
              <w:jc w:val="center"/>
              <w:rPr>
                <w:rFonts w:ascii="Arial" w:hAnsi="Arial" w:cs="Arial"/>
                <w:b/>
                <w:sz w:val="18"/>
                <w:szCs w:val="18"/>
                <w:lang w:val="en-US"/>
              </w:rPr>
            </w:pPr>
            <w:r w:rsidRPr="00BD295E">
              <w:rPr>
                <w:rFonts w:ascii="Arial" w:hAnsi="Arial" w:cs="Arial"/>
                <w:b/>
                <w:sz w:val="18"/>
                <w:szCs w:val="18"/>
                <w:lang w:val="en-US"/>
              </w:rPr>
              <w:t>19283</w:t>
            </w:r>
          </w:p>
        </w:tc>
        <w:tc>
          <w:tcPr>
            <w:tcW w:w="1843" w:type="dxa"/>
            <w:shd w:val="clear" w:color="auto" w:fill="auto"/>
            <w:vAlign w:val="center"/>
          </w:tcPr>
          <w:p w14:paraId="5C6FCCAC" w14:textId="77777777" w:rsidR="00ED79C9" w:rsidRPr="00BD295E" w:rsidRDefault="008A5057" w:rsidP="00ED79C9">
            <w:pPr>
              <w:jc w:val="center"/>
              <w:rPr>
                <w:rFonts w:ascii="Arial" w:hAnsi="Arial" w:cs="Arial"/>
                <w:b/>
                <w:sz w:val="18"/>
                <w:szCs w:val="18"/>
                <w:lang w:val="en-US"/>
              </w:rPr>
            </w:pPr>
            <w:r w:rsidRPr="00BD295E">
              <w:rPr>
                <w:rFonts w:ascii="Arial" w:hAnsi="Arial" w:cs="Arial"/>
                <w:b/>
                <w:sz w:val="18"/>
                <w:szCs w:val="18"/>
                <w:lang w:val="en-US"/>
              </w:rPr>
              <w:t>21049</w:t>
            </w:r>
          </w:p>
        </w:tc>
        <w:tc>
          <w:tcPr>
            <w:tcW w:w="1701" w:type="dxa"/>
            <w:shd w:val="clear" w:color="auto" w:fill="auto"/>
            <w:vAlign w:val="center"/>
          </w:tcPr>
          <w:p w14:paraId="480BCA56" w14:textId="77777777" w:rsidR="00ED79C9" w:rsidRPr="00BD295E" w:rsidRDefault="008A5057" w:rsidP="00ED79C9">
            <w:pPr>
              <w:jc w:val="center"/>
              <w:rPr>
                <w:rFonts w:ascii="Arial" w:hAnsi="Arial" w:cs="Arial"/>
                <w:b/>
                <w:sz w:val="18"/>
                <w:szCs w:val="18"/>
                <w:lang w:val="en-US"/>
              </w:rPr>
            </w:pPr>
            <w:r w:rsidRPr="00BD295E">
              <w:rPr>
                <w:rFonts w:ascii="Arial" w:hAnsi="Arial" w:cs="Arial"/>
                <w:b/>
                <w:sz w:val="18"/>
                <w:szCs w:val="18"/>
                <w:lang w:val="en-US"/>
              </w:rPr>
              <w:t>22709</w:t>
            </w:r>
          </w:p>
        </w:tc>
      </w:tr>
    </w:tbl>
    <w:p w14:paraId="3F710A99" w14:textId="77777777" w:rsidR="00ED79C9" w:rsidRPr="00BD295E" w:rsidRDefault="00ED79C9" w:rsidP="00ED79C9">
      <w:pPr>
        <w:pStyle w:val="32"/>
        <w:spacing w:line="240" w:lineRule="auto"/>
        <w:ind w:firstLine="0"/>
        <w:rPr>
          <w:rFonts w:ascii="Arial" w:hAnsi="Arial" w:cs="Arial"/>
          <w:color w:val="auto"/>
          <w:sz w:val="18"/>
          <w:szCs w:val="18"/>
          <w:lang w:val="en-US"/>
        </w:rPr>
      </w:pPr>
    </w:p>
    <w:p w14:paraId="6EB05723" w14:textId="77777777" w:rsidR="00ED79C9" w:rsidRPr="00BD295E" w:rsidRDefault="008A5057" w:rsidP="00ED79C9">
      <w:pPr>
        <w:pStyle w:val="32"/>
        <w:spacing w:line="240" w:lineRule="auto"/>
        <w:ind w:firstLine="0"/>
        <w:rPr>
          <w:rFonts w:ascii="Arial" w:hAnsi="Arial" w:cs="Arial"/>
          <w:color w:val="auto"/>
          <w:sz w:val="18"/>
          <w:szCs w:val="18"/>
          <w:lang w:val="en-US"/>
        </w:rPr>
      </w:pPr>
      <w:r w:rsidRPr="00BD295E">
        <w:rPr>
          <w:rFonts w:ascii="Arial" w:hAnsi="Arial" w:cs="Arial"/>
          <w:color w:val="auto"/>
          <w:sz w:val="18"/>
          <w:szCs w:val="18"/>
          <w:lang w:val="en-US"/>
        </w:rPr>
        <w:t>Bar chart “Spending on environmental protection by area in 2016-2018, RUB million”.</w:t>
      </w:r>
    </w:p>
    <w:p w14:paraId="7E0BC575" w14:textId="77777777" w:rsidR="00ED79C9" w:rsidRPr="00BD295E" w:rsidRDefault="00ED79C9" w:rsidP="00ED79C9">
      <w:pPr>
        <w:pStyle w:val="32"/>
        <w:spacing w:line="240" w:lineRule="auto"/>
        <w:ind w:firstLine="0"/>
        <w:rPr>
          <w:rFonts w:ascii="Arial" w:hAnsi="Arial" w:cs="Arial"/>
          <w:color w:val="auto"/>
          <w:sz w:val="18"/>
          <w:szCs w:val="18"/>
          <w:lang w:val="en-US"/>
        </w:rPr>
      </w:pPr>
    </w:p>
    <w:p w14:paraId="24A32180" w14:textId="41A56846" w:rsidR="00ED79C9" w:rsidRPr="00BD295E" w:rsidRDefault="00997D07" w:rsidP="00ED79C9">
      <w:pPr>
        <w:pStyle w:val="32"/>
        <w:spacing w:line="240" w:lineRule="auto"/>
        <w:ind w:firstLine="0"/>
        <w:rPr>
          <w:rFonts w:ascii="Arial" w:hAnsi="Arial" w:cs="Arial"/>
          <w:b/>
          <w:color w:val="auto"/>
          <w:sz w:val="18"/>
          <w:szCs w:val="18"/>
          <w:lang w:val="en-US"/>
        </w:rPr>
      </w:pPr>
      <w:bookmarkStart w:id="508" w:name="_Hlk95940278"/>
      <w:r w:rsidRPr="00BD295E">
        <w:rPr>
          <w:rFonts w:ascii="Arial" w:hAnsi="Arial" w:cs="Arial"/>
          <w:color w:val="auto"/>
          <w:sz w:val="18"/>
          <w:szCs w:val="18"/>
          <w:lang w:val="en-US" w:eastAsia="en-US"/>
        </w:rPr>
        <w:drawing>
          <wp:inline distT="0" distB="0" distL="0" distR="0" wp14:anchorId="6CB2F5AE" wp14:editId="6559FC83">
            <wp:extent cx="5248275" cy="4329430"/>
            <wp:effectExtent l="0" t="0" r="0" b="0"/>
            <wp:docPr id="99" name="Объект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bookmarkEnd w:id="508"/>
    </w:p>
    <w:p w14:paraId="6697ED0B" w14:textId="77777777" w:rsidR="00ED79C9" w:rsidRPr="00BD295E" w:rsidRDefault="00ED79C9" w:rsidP="00ED79C9">
      <w:pPr>
        <w:tabs>
          <w:tab w:val="left" w:pos="3600"/>
        </w:tabs>
        <w:rPr>
          <w:rFonts w:ascii="Arial" w:hAnsi="Arial" w:cs="Arial"/>
          <w:sz w:val="18"/>
          <w:szCs w:val="18"/>
          <w:lang w:val="en-US"/>
        </w:rPr>
      </w:pPr>
    </w:p>
    <w:p w14:paraId="6D6DB335" w14:textId="7D30C948" w:rsidR="00821948" w:rsidRPr="00BD295E" w:rsidRDefault="00997D07" w:rsidP="00ED79C9">
      <w:pPr>
        <w:pStyle w:val="32"/>
        <w:spacing w:line="240" w:lineRule="auto"/>
        <w:ind w:firstLine="0"/>
        <w:rPr>
          <w:rFonts w:ascii="Arial" w:hAnsi="Arial" w:cs="Arial"/>
          <w:b/>
          <w:color w:val="auto"/>
          <w:sz w:val="18"/>
          <w:szCs w:val="18"/>
          <w:lang w:val="en-US"/>
        </w:rPr>
      </w:pPr>
      <w:bookmarkStart w:id="509" w:name="_Hlk95940287"/>
      <w:r w:rsidRPr="00BD295E">
        <w:rPr>
          <w:rFonts w:ascii="Arial" w:hAnsi="Arial" w:cs="Arial"/>
          <w:color w:val="auto"/>
          <w:sz w:val="18"/>
          <w:szCs w:val="18"/>
          <w:lang w:val="en-US" w:eastAsia="en-US"/>
        </w:rPr>
        <w:drawing>
          <wp:inline distT="0" distB="0" distL="0" distR="0" wp14:anchorId="2887F29F" wp14:editId="28B2829F">
            <wp:extent cx="5864860" cy="3639820"/>
            <wp:effectExtent l="0" t="0" r="2540" b="0"/>
            <wp:docPr id="100"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bookmarkEnd w:id="509"/>
    </w:p>
    <w:p w14:paraId="53A6C731" w14:textId="77777777" w:rsidR="00821948" w:rsidRPr="00BD295E" w:rsidRDefault="00821948">
      <w:pPr>
        <w:rPr>
          <w:rFonts w:ascii="Arial" w:hAnsi="Arial" w:cs="Arial"/>
          <w:b/>
          <w:sz w:val="18"/>
          <w:szCs w:val="18"/>
          <w:lang w:val="en-US"/>
        </w:rPr>
      </w:pPr>
      <w:r w:rsidRPr="00BD295E">
        <w:rPr>
          <w:rFonts w:ascii="Arial" w:hAnsi="Arial" w:cs="Arial"/>
          <w:b/>
          <w:sz w:val="18"/>
          <w:szCs w:val="18"/>
          <w:lang w:val="en-US"/>
        </w:rPr>
        <w:br w:type="page"/>
      </w:r>
    </w:p>
    <w:p w14:paraId="5558C701" w14:textId="77777777" w:rsidR="00ED79C9" w:rsidRPr="00BD295E" w:rsidRDefault="008A5057" w:rsidP="00ED79C9">
      <w:pPr>
        <w:pStyle w:val="32"/>
        <w:spacing w:line="240" w:lineRule="auto"/>
        <w:ind w:firstLine="0"/>
        <w:jc w:val="center"/>
        <w:rPr>
          <w:rFonts w:ascii="Arial" w:hAnsi="Arial" w:cs="Arial"/>
          <w:color w:val="auto"/>
          <w:sz w:val="18"/>
          <w:szCs w:val="18"/>
          <w:lang w:val="en-US"/>
        </w:rPr>
      </w:pPr>
      <w:r w:rsidRPr="00BD295E">
        <w:rPr>
          <w:rFonts w:ascii="Arial" w:hAnsi="Arial" w:cs="Arial"/>
          <w:b/>
          <w:color w:val="auto"/>
          <w:sz w:val="18"/>
          <w:szCs w:val="18"/>
          <w:lang w:val="en-US"/>
        </w:rPr>
        <w:t>Implementation of environmental protection activities in 2018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2514"/>
        <w:gridCol w:w="3680"/>
      </w:tblGrid>
      <w:tr w:rsidR="008A5057" w:rsidRPr="00BD295E" w14:paraId="338EF757" w14:textId="77777777" w:rsidTr="00E3510B">
        <w:tc>
          <w:tcPr>
            <w:tcW w:w="3219" w:type="dxa"/>
            <w:shd w:val="clear" w:color="auto" w:fill="auto"/>
            <w:vAlign w:val="center"/>
          </w:tcPr>
          <w:p w14:paraId="49D7643A" w14:textId="77777777" w:rsidR="00ED79C9"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Activity</w:t>
            </w:r>
          </w:p>
        </w:tc>
        <w:tc>
          <w:tcPr>
            <w:tcW w:w="2583" w:type="dxa"/>
            <w:shd w:val="clear" w:color="auto" w:fill="auto"/>
            <w:vAlign w:val="center"/>
          </w:tcPr>
          <w:p w14:paraId="672CF05E" w14:textId="77777777" w:rsidR="00ED79C9"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Costs, RUB million</w:t>
            </w:r>
          </w:p>
        </w:tc>
        <w:tc>
          <w:tcPr>
            <w:tcW w:w="3769" w:type="dxa"/>
            <w:shd w:val="clear" w:color="auto" w:fill="auto"/>
          </w:tcPr>
          <w:p w14:paraId="420E242F" w14:textId="77777777" w:rsidR="00ED79C9"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Environmental effect, RUB million</w:t>
            </w:r>
          </w:p>
        </w:tc>
      </w:tr>
      <w:tr w:rsidR="008A5057" w:rsidRPr="00BD295E" w14:paraId="354200FD" w14:textId="77777777" w:rsidTr="00E3510B">
        <w:tc>
          <w:tcPr>
            <w:tcW w:w="3219" w:type="dxa"/>
            <w:shd w:val="clear" w:color="auto" w:fill="auto"/>
          </w:tcPr>
          <w:p w14:paraId="0EB39D66" w14:textId="77777777" w:rsidR="00ED79C9"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Drafting of environmental documentation</w:t>
            </w:r>
          </w:p>
        </w:tc>
        <w:tc>
          <w:tcPr>
            <w:tcW w:w="2583" w:type="dxa"/>
            <w:shd w:val="clear" w:color="auto" w:fill="auto"/>
          </w:tcPr>
          <w:p w14:paraId="1BAA0EE6" w14:textId="77777777" w:rsidR="00ED79C9"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5.29</w:t>
            </w:r>
          </w:p>
        </w:tc>
        <w:tc>
          <w:tcPr>
            <w:tcW w:w="3769" w:type="dxa"/>
            <w:shd w:val="clear" w:color="auto" w:fill="auto"/>
          </w:tcPr>
          <w:p w14:paraId="660A53E9" w14:textId="77777777" w:rsidR="00ED79C9" w:rsidRPr="00BD295E" w:rsidRDefault="008A5057" w:rsidP="00E3510B">
            <w:pPr>
              <w:jc w:val="center"/>
              <w:rPr>
                <w:rFonts w:ascii="Arial" w:hAnsi="Arial" w:cs="Arial"/>
                <w:sz w:val="18"/>
                <w:szCs w:val="18"/>
                <w:lang w:val="en-US"/>
              </w:rPr>
            </w:pPr>
            <w:r w:rsidRPr="00BD295E">
              <w:rPr>
                <w:rFonts w:ascii="Arial" w:hAnsi="Arial" w:cs="Arial"/>
                <w:iCs/>
                <w:sz w:val="18"/>
                <w:szCs w:val="18"/>
                <w:lang w:val="en-US"/>
              </w:rPr>
              <w:t>Mitigating the risk of penalties and 5x payments for adverse environmental impact</w:t>
            </w:r>
          </w:p>
        </w:tc>
      </w:tr>
      <w:tr w:rsidR="008A5057" w:rsidRPr="00BD295E" w14:paraId="5CB5E5D5" w14:textId="77777777" w:rsidTr="00E3510B">
        <w:tc>
          <w:tcPr>
            <w:tcW w:w="3219" w:type="dxa"/>
            <w:shd w:val="clear" w:color="auto" w:fill="auto"/>
          </w:tcPr>
          <w:p w14:paraId="402CC09A" w14:textId="77777777" w:rsidR="00ED79C9" w:rsidRPr="00BD295E" w:rsidRDefault="008A5057" w:rsidP="00E3510B">
            <w:pPr>
              <w:jc w:val="center"/>
              <w:rPr>
                <w:rFonts w:ascii="Arial" w:hAnsi="Arial" w:cs="Arial"/>
                <w:sz w:val="18"/>
                <w:szCs w:val="18"/>
                <w:lang w:val="en-US"/>
              </w:rPr>
            </w:pPr>
            <w:r w:rsidRPr="00BD295E">
              <w:rPr>
                <w:rFonts w:ascii="Arial" w:hAnsi="Arial" w:cs="Arial"/>
                <w:iCs/>
                <w:sz w:val="18"/>
                <w:szCs w:val="18"/>
                <w:lang w:val="en-US"/>
              </w:rPr>
              <w:t>Measurements and monitoring of maximum allowable emissions, noise, and water quality</w:t>
            </w:r>
          </w:p>
        </w:tc>
        <w:tc>
          <w:tcPr>
            <w:tcW w:w="2583" w:type="dxa"/>
            <w:shd w:val="clear" w:color="auto" w:fill="auto"/>
          </w:tcPr>
          <w:p w14:paraId="0FE5B3DB" w14:textId="77777777" w:rsidR="00ED79C9"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1.67</w:t>
            </w:r>
          </w:p>
        </w:tc>
        <w:tc>
          <w:tcPr>
            <w:tcW w:w="3769" w:type="dxa"/>
            <w:shd w:val="clear" w:color="auto" w:fill="auto"/>
          </w:tcPr>
          <w:p w14:paraId="7A319F36" w14:textId="77777777" w:rsidR="00ED79C9" w:rsidRPr="00BD295E" w:rsidRDefault="008A5057" w:rsidP="00E3510B">
            <w:pPr>
              <w:jc w:val="center"/>
              <w:rPr>
                <w:rFonts w:ascii="Arial" w:hAnsi="Arial" w:cs="Arial"/>
                <w:sz w:val="18"/>
                <w:szCs w:val="18"/>
                <w:lang w:val="en-US"/>
              </w:rPr>
            </w:pPr>
            <w:r w:rsidRPr="00BD295E">
              <w:rPr>
                <w:rFonts w:ascii="Arial" w:hAnsi="Arial" w:cs="Arial"/>
                <w:iCs/>
                <w:sz w:val="18"/>
                <w:szCs w:val="18"/>
                <w:lang w:val="en-US"/>
              </w:rPr>
              <w:t>Complying with environmental laws</w:t>
            </w:r>
          </w:p>
        </w:tc>
      </w:tr>
      <w:tr w:rsidR="008A5057" w:rsidRPr="00BD295E" w14:paraId="6B1FDB67" w14:textId="77777777" w:rsidTr="00E3510B">
        <w:tc>
          <w:tcPr>
            <w:tcW w:w="3219" w:type="dxa"/>
            <w:shd w:val="clear" w:color="auto" w:fill="auto"/>
          </w:tcPr>
          <w:p w14:paraId="493F091A" w14:textId="77777777" w:rsidR="00ED79C9" w:rsidRPr="00BD295E" w:rsidRDefault="008A5057" w:rsidP="00E3510B">
            <w:pPr>
              <w:pStyle w:val="32"/>
              <w:spacing w:line="240" w:lineRule="auto"/>
              <w:ind w:firstLine="0"/>
              <w:jc w:val="center"/>
              <w:rPr>
                <w:rFonts w:ascii="Arial" w:hAnsi="Arial" w:cs="Arial"/>
                <w:iCs/>
                <w:color w:val="auto"/>
                <w:sz w:val="18"/>
                <w:szCs w:val="18"/>
                <w:lang w:val="en-US"/>
              </w:rPr>
            </w:pPr>
            <w:r w:rsidRPr="00BD295E">
              <w:rPr>
                <w:rFonts w:ascii="Arial" w:hAnsi="Arial" w:cs="Arial"/>
                <w:iCs/>
                <w:color w:val="auto"/>
                <w:sz w:val="18"/>
                <w:szCs w:val="18"/>
                <w:lang w:val="en-US"/>
              </w:rPr>
              <w:t>Waste removal and disposal at licensed waste disposal sites</w:t>
            </w:r>
          </w:p>
          <w:p w14:paraId="124CF36E" w14:textId="77777777" w:rsidR="00ED79C9" w:rsidRPr="00BD295E" w:rsidRDefault="00ED79C9" w:rsidP="00E3510B">
            <w:pPr>
              <w:jc w:val="center"/>
              <w:rPr>
                <w:rFonts w:ascii="Arial" w:hAnsi="Arial" w:cs="Arial"/>
                <w:sz w:val="18"/>
                <w:szCs w:val="18"/>
                <w:lang w:val="en-US"/>
              </w:rPr>
            </w:pPr>
          </w:p>
        </w:tc>
        <w:tc>
          <w:tcPr>
            <w:tcW w:w="2583" w:type="dxa"/>
            <w:shd w:val="clear" w:color="auto" w:fill="auto"/>
          </w:tcPr>
          <w:p w14:paraId="2D23734B" w14:textId="77777777" w:rsidR="00ED79C9" w:rsidRPr="00BD295E" w:rsidRDefault="008A5057" w:rsidP="00E3510B">
            <w:pPr>
              <w:jc w:val="center"/>
              <w:rPr>
                <w:rFonts w:ascii="Arial" w:hAnsi="Arial" w:cs="Arial"/>
                <w:sz w:val="18"/>
                <w:szCs w:val="18"/>
                <w:lang w:val="en-US"/>
              </w:rPr>
            </w:pPr>
            <w:r w:rsidRPr="00BD295E">
              <w:rPr>
                <w:rFonts w:ascii="Arial" w:hAnsi="Arial" w:cs="Arial"/>
                <w:sz w:val="18"/>
                <w:szCs w:val="18"/>
                <w:lang w:val="en-US"/>
              </w:rPr>
              <w:t>8.7</w:t>
            </w:r>
          </w:p>
        </w:tc>
        <w:tc>
          <w:tcPr>
            <w:tcW w:w="3769" w:type="dxa"/>
            <w:shd w:val="clear" w:color="auto" w:fill="auto"/>
          </w:tcPr>
          <w:p w14:paraId="440ABDCB" w14:textId="77777777" w:rsidR="00ED79C9" w:rsidRPr="00BD295E" w:rsidRDefault="008A5057" w:rsidP="00E3510B">
            <w:pPr>
              <w:jc w:val="center"/>
              <w:rPr>
                <w:rFonts w:ascii="Arial" w:hAnsi="Arial" w:cs="Arial"/>
                <w:sz w:val="18"/>
                <w:szCs w:val="18"/>
                <w:lang w:val="en-US"/>
              </w:rPr>
            </w:pPr>
            <w:r w:rsidRPr="00BD295E">
              <w:rPr>
                <w:rFonts w:ascii="Arial" w:hAnsi="Arial" w:cs="Arial"/>
                <w:iCs/>
                <w:sz w:val="18"/>
                <w:szCs w:val="18"/>
                <w:lang w:val="en-US"/>
              </w:rPr>
              <w:t>Complying with waste management requirements Mitigating the risk of penalties</w:t>
            </w:r>
          </w:p>
        </w:tc>
      </w:tr>
    </w:tbl>
    <w:p w14:paraId="4030E346" w14:textId="77777777" w:rsidR="00ED79C9" w:rsidRPr="00BD295E" w:rsidRDefault="00ED79C9" w:rsidP="00ED79C9">
      <w:pPr>
        <w:rPr>
          <w:rFonts w:ascii="Arial" w:hAnsi="Arial" w:cs="Arial"/>
          <w:sz w:val="18"/>
          <w:szCs w:val="18"/>
          <w:lang w:val="en-US"/>
        </w:rPr>
      </w:pPr>
    </w:p>
    <w:p w14:paraId="2E8BBACA" w14:textId="77777777" w:rsidR="00ED79C9" w:rsidRPr="00BD295E" w:rsidRDefault="008A5057" w:rsidP="007B3E7C">
      <w:pPr>
        <w:pStyle w:val="af3"/>
        <w:contextualSpacing w:val="0"/>
        <w:rPr>
          <w:rFonts w:ascii="Arial" w:hAnsi="Arial" w:cs="Arial"/>
          <w:b/>
          <w:sz w:val="18"/>
          <w:szCs w:val="18"/>
          <w:lang w:val="en-US"/>
        </w:rPr>
      </w:pPr>
      <w:r w:rsidRPr="00BD295E">
        <w:rPr>
          <w:rFonts w:ascii="Arial" w:hAnsi="Arial" w:cs="Arial"/>
          <w:b/>
          <w:sz w:val="18"/>
          <w:szCs w:val="18"/>
          <w:lang w:val="en-US"/>
        </w:rPr>
        <w:t>Environmental performance</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1418"/>
        <w:gridCol w:w="1417"/>
        <w:gridCol w:w="1418"/>
      </w:tblGrid>
      <w:tr w:rsidR="008A5057" w:rsidRPr="00BD295E" w14:paraId="504EA335" w14:textId="77777777" w:rsidTr="00ED79C9">
        <w:trPr>
          <w:trHeight w:val="300"/>
        </w:trPr>
        <w:tc>
          <w:tcPr>
            <w:tcW w:w="5353" w:type="dxa"/>
            <w:shd w:val="clear" w:color="auto" w:fill="auto"/>
            <w:hideMark/>
          </w:tcPr>
          <w:p w14:paraId="4189A05D" w14:textId="77777777" w:rsidR="00ED79C9" w:rsidRPr="00BD295E" w:rsidRDefault="008A5057" w:rsidP="00ED79C9">
            <w:pPr>
              <w:rPr>
                <w:rFonts w:ascii="Arial" w:hAnsi="Arial" w:cs="Arial"/>
                <w:sz w:val="18"/>
                <w:szCs w:val="18"/>
                <w:lang w:val="en-US"/>
              </w:rPr>
            </w:pPr>
            <w:r w:rsidRPr="00BD295E">
              <w:rPr>
                <w:rFonts w:ascii="Arial" w:hAnsi="Arial" w:cs="Arial"/>
                <w:b/>
                <w:bCs/>
                <w:sz w:val="18"/>
                <w:szCs w:val="18"/>
                <w:lang w:val="en-US"/>
              </w:rPr>
              <w:t>Indicator</w:t>
            </w:r>
          </w:p>
        </w:tc>
        <w:tc>
          <w:tcPr>
            <w:tcW w:w="1418" w:type="dxa"/>
            <w:shd w:val="clear" w:color="auto" w:fill="auto"/>
            <w:hideMark/>
          </w:tcPr>
          <w:p w14:paraId="57D9E67A"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2016</w:t>
            </w:r>
          </w:p>
        </w:tc>
        <w:tc>
          <w:tcPr>
            <w:tcW w:w="1417" w:type="dxa"/>
            <w:shd w:val="clear" w:color="auto" w:fill="auto"/>
            <w:hideMark/>
          </w:tcPr>
          <w:p w14:paraId="5D6BB63A"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2017</w:t>
            </w:r>
          </w:p>
        </w:tc>
        <w:tc>
          <w:tcPr>
            <w:tcW w:w="1418" w:type="dxa"/>
            <w:shd w:val="clear" w:color="auto" w:fill="auto"/>
          </w:tcPr>
          <w:p w14:paraId="083ABC18"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2018</w:t>
            </w:r>
          </w:p>
        </w:tc>
      </w:tr>
      <w:tr w:rsidR="008A5057" w:rsidRPr="00BD295E" w14:paraId="76129BA6" w14:textId="77777777" w:rsidTr="00ED79C9">
        <w:trPr>
          <w:trHeight w:val="300"/>
        </w:trPr>
        <w:tc>
          <w:tcPr>
            <w:tcW w:w="5353" w:type="dxa"/>
            <w:shd w:val="clear" w:color="auto" w:fill="auto"/>
            <w:hideMark/>
          </w:tcPr>
          <w:p w14:paraId="73D814D2"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Gross air emissions, t</w:t>
            </w:r>
          </w:p>
          <w:p w14:paraId="43A3C40F"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Including:</w:t>
            </w:r>
          </w:p>
        </w:tc>
        <w:tc>
          <w:tcPr>
            <w:tcW w:w="1418" w:type="dxa"/>
            <w:shd w:val="clear" w:color="auto" w:fill="auto"/>
            <w:vAlign w:val="center"/>
          </w:tcPr>
          <w:p w14:paraId="7CA55261"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16.31</w:t>
            </w:r>
          </w:p>
        </w:tc>
        <w:tc>
          <w:tcPr>
            <w:tcW w:w="1417" w:type="dxa"/>
            <w:shd w:val="clear" w:color="auto" w:fill="auto"/>
            <w:vAlign w:val="center"/>
          </w:tcPr>
          <w:p w14:paraId="6D5658C2"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22.61</w:t>
            </w:r>
          </w:p>
        </w:tc>
        <w:tc>
          <w:tcPr>
            <w:tcW w:w="1418" w:type="dxa"/>
            <w:shd w:val="clear" w:color="auto" w:fill="auto"/>
            <w:vAlign w:val="center"/>
          </w:tcPr>
          <w:p w14:paraId="2497FEB1"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22.18</w:t>
            </w:r>
          </w:p>
        </w:tc>
      </w:tr>
      <w:tr w:rsidR="008A5057" w:rsidRPr="00BD295E" w14:paraId="193F1AE1" w14:textId="77777777" w:rsidTr="00ED79C9">
        <w:trPr>
          <w:trHeight w:val="300"/>
        </w:trPr>
        <w:tc>
          <w:tcPr>
            <w:tcW w:w="5353" w:type="dxa"/>
            <w:shd w:val="clear" w:color="auto" w:fill="auto"/>
            <w:hideMark/>
          </w:tcPr>
          <w:p w14:paraId="42EA16DB"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Hazardous substances captured and neutralized, t</w:t>
            </w:r>
          </w:p>
          <w:p w14:paraId="297BAA99"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Including:</w:t>
            </w:r>
          </w:p>
        </w:tc>
        <w:tc>
          <w:tcPr>
            <w:tcW w:w="1418" w:type="dxa"/>
            <w:shd w:val="clear" w:color="auto" w:fill="auto"/>
            <w:vAlign w:val="center"/>
          </w:tcPr>
          <w:p w14:paraId="084C7DA9" w14:textId="77777777" w:rsidR="00ED79C9" w:rsidRPr="00BD295E" w:rsidRDefault="00ED79C9" w:rsidP="00ED79C9">
            <w:pPr>
              <w:jc w:val="center"/>
              <w:rPr>
                <w:rFonts w:ascii="Arial" w:hAnsi="Arial" w:cs="Arial"/>
                <w:sz w:val="18"/>
                <w:szCs w:val="18"/>
                <w:lang w:val="en-US"/>
              </w:rPr>
            </w:pPr>
          </w:p>
        </w:tc>
        <w:tc>
          <w:tcPr>
            <w:tcW w:w="1417" w:type="dxa"/>
            <w:shd w:val="clear" w:color="auto" w:fill="auto"/>
            <w:vAlign w:val="center"/>
          </w:tcPr>
          <w:p w14:paraId="797D7A35" w14:textId="77777777" w:rsidR="00ED79C9" w:rsidRPr="00BD295E" w:rsidRDefault="00ED79C9" w:rsidP="00ED79C9">
            <w:pPr>
              <w:jc w:val="center"/>
              <w:rPr>
                <w:rFonts w:ascii="Arial" w:hAnsi="Arial" w:cs="Arial"/>
                <w:sz w:val="18"/>
                <w:szCs w:val="18"/>
                <w:lang w:val="en-US"/>
              </w:rPr>
            </w:pPr>
          </w:p>
        </w:tc>
        <w:tc>
          <w:tcPr>
            <w:tcW w:w="1418" w:type="dxa"/>
            <w:shd w:val="clear" w:color="auto" w:fill="auto"/>
            <w:vAlign w:val="center"/>
          </w:tcPr>
          <w:p w14:paraId="5DC63DD6" w14:textId="77777777" w:rsidR="00ED79C9" w:rsidRPr="00BD295E" w:rsidRDefault="00ED79C9" w:rsidP="00ED79C9">
            <w:pPr>
              <w:jc w:val="center"/>
              <w:rPr>
                <w:rFonts w:ascii="Arial" w:hAnsi="Arial" w:cs="Arial"/>
                <w:sz w:val="18"/>
                <w:szCs w:val="18"/>
                <w:lang w:val="en-US"/>
              </w:rPr>
            </w:pPr>
          </w:p>
        </w:tc>
      </w:tr>
      <w:tr w:rsidR="008A5057" w:rsidRPr="00BD295E" w14:paraId="23B36317" w14:textId="77777777" w:rsidTr="00ED79C9">
        <w:trPr>
          <w:trHeight w:val="300"/>
        </w:trPr>
        <w:tc>
          <w:tcPr>
            <w:tcW w:w="5353" w:type="dxa"/>
            <w:shd w:val="clear" w:color="auto" w:fill="auto"/>
            <w:hideMark/>
          </w:tcPr>
          <w:p w14:paraId="24F6DEF0" w14:textId="77777777" w:rsidR="00ED79C9" w:rsidRPr="00BD295E" w:rsidRDefault="008A5057" w:rsidP="00ED79C9">
            <w:pPr>
              <w:ind w:left="738"/>
              <w:rPr>
                <w:rFonts w:ascii="Arial" w:hAnsi="Arial" w:cs="Arial"/>
                <w:sz w:val="18"/>
                <w:szCs w:val="18"/>
                <w:lang w:val="en-US"/>
              </w:rPr>
            </w:pPr>
            <w:r w:rsidRPr="00BD295E">
              <w:rPr>
                <w:rFonts w:ascii="Arial" w:hAnsi="Arial" w:cs="Arial"/>
                <w:sz w:val="18"/>
                <w:szCs w:val="18"/>
                <w:lang w:val="en-US"/>
              </w:rPr>
              <w:t>Solid particl</w:t>
            </w:r>
            <w:r w:rsidR="00EC0D9D" w:rsidRPr="00BD295E">
              <w:rPr>
                <w:rFonts w:ascii="Arial" w:hAnsi="Arial" w:cs="Arial"/>
                <w:sz w:val="18"/>
                <w:szCs w:val="18"/>
                <w:lang w:val="en-US"/>
              </w:rPr>
              <w:t>e</w:t>
            </w:r>
            <w:r w:rsidRPr="00BD295E">
              <w:rPr>
                <w:rFonts w:ascii="Arial" w:hAnsi="Arial" w:cs="Arial"/>
                <w:sz w:val="18"/>
                <w:szCs w:val="18"/>
                <w:lang w:val="en-US"/>
              </w:rPr>
              <w:t>s, t</w:t>
            </w:r>
          </w:p>
        </w:tc>
        <w:tc>
          <w:tcPr>
            <w:tcW w:w="1418" w:type="dxa"/>
            <w:shd w:val="clear" w:color="auto" w:fill="auto"/>
            <w:vAlign w:val="center"/>
          </w:tcPr>
          <w:p w14:paraId="2DD375AE" w14:textId="77777777" w:rsidR="00ED79C9" w:rsidRPr="00BD295E" w:rsidRDefault="00ED79C9" w:rsidP="00ED79C9">
            <w:pPr>
              <w:jc w:val="center"/>
              <w:rPr>
                <w:rFonts w:ascii="Arial" w:hAnsi="Arial" w:cs="Arial"/>
                <w:sz w:val="18"/>
                <w:szCs w:val="18"/>
                <w:lang w:val="en-US"/>
              </w:rPr>
            </w:pPr>
          </w:p>
        </w:tc>
        <w:tc>
          <w:tcPr>
            <w:tcW w:w="1417" w:type="dxa"/>
            <w:shd w:val="clear" w:color="auto" w:fill="auto"/>
            <w:vAlign w:val="center"/>
          </w:tcPr>
          <w:p w14:paraId="24565B8B" w14:textId="77777777" w:rsidR="00ED79C9" w:rsidRPr="00BD295E" w:rsidRDefault="00ED79C9" w:rsidP="00ED79C9">
            <w:pPr>
              <w:jc w:val="center"/>
              <w:rPr>
                <w:rFonts w:ascii="Arial" w:hAnsi="Arial" w:cs="Arial"/>
                <w:sz w:val="18"/>
                <w:szCs w:val="18"/>
                <w:lang w:val="en-US"/>
              </w:rPr>
            </w:pPr>
          </w:p>
        </w:tc>
        <w:tc>
          <w:tcPr>
            <w:tcW w:w="1418" w:type="dxa"/>
            <w:shd w:val="clear" w:color="auto" w:fill="auto"/>
            <w:vAlign w:val="center"/>
          </w:tcPr>
          <w:p w14:paraId="2002BA57" w14:textId="77777777" w:rsidR="00ED79C9" w:rsidRPr="00BD295E" w:rsidRDefault="00ED79C9" w:rsidP="00ED79C9">
            <w:pPr>
              <w:jc w:val="center"/>
              <w:rPr>
                <w:rFonts w:ascii="Arial" w:hAnsi="Arial" w:cs="Arial"/>
                <w:sz w:val="18"/>
                <w:szCs w:val="18"/>
                <w:lang w:val="en-US"/>
              </w:rPr>
            </w:pPr>
          </w:p>
        </w:tc>
      </w:tr>
      <w:tr w:rsidR="008A5057" w:rsidRPr="00BD295E" w14:paraId="09243A8A" w14:textId="77777777" w:rsidTr="00ED79C9">
        <w:trPr>
          <w:trHeight w:val="330"/>
        </w:trPr>
        <w:tc>
          <w:tcPr>
            <w:tcW w:w="5353" w:type="dxa"/>
            <w:shd w:val="clear" w:color="auto" w:fill="auto"/>
            <w:hideMark/>
          </w:tcPr>
          <w:p w14:paraId="33ED27C6"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Water intake and disposal, m</w:t>
            </w:r>
            <w:r w:rsidRPr="00BD295E">
              <w:rPr>
                <w:rFonts w:ascii="Arial" w:hAnsi="Arial" w:cs="Arial"/>
                <w:sz w:val="18"/>
                <w:szCs w:val="18"/>
                <w:vertAlign w:val="superscript"/>
                <w:lang w:val="en-US"/>
              </w:rPr>
              <w:t>3</w:t>
            </w:r>
          </w:p>
          <w:p w14:paraId="2C1B962C"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Including:</w:t>
            </w:r>
          </w:p>
        </w:tc>
        <w:tc>
          <w:tcPr>
            <w:tcW w:w="1418" w:type="dxa"/>
            <w:shd w:val="clear" w:color="auto" w:fill="auto"/>
            <w:vAlign w:val="center"/>
          </w:tcPr>
          <w:p w14:paraId="395CD526"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62.5</w:t>
            </w:r>
          </w:p>
        </w:tc>
        <w:tc>
          <w:tcPr>
            <w:tcW w:w="1417" w:type="dxa"/>
            <w:shd w:val="clear" w:color="auto" w:fill="auto"/>
            <w:vAlign w:val="center"/>
          </w:tcPr>
          <w:p w14:paraId="3969F15D"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52</w:t>
            </w:r>
          </w:p>
        </w:tc>
        <w:tc>
          <w:tcPr>
            <w:tcW w:w="1418" w:type="dxa"/>
            <w:shd w:val="clear" w:color="auto" w:fill="auto"/>
            <w:vAlign w:val="center"/>
          </w:tcPr>
          <w:p w14:paraId="305D5F78"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56</w:t>
            </w:r>
          </w:p>
        </w:tc>
      </w:tr>
      <w:tr w:rsidR="008A5057" w:rsidRPr="00BD295E" w14:paraId="78031018" w14:textId="77777777" w:rsidTr="00ED79C9">
        <w:trPr>
          <w:trHeight w:val="330"/>
        </w:trPr>
        <w:tc>
          <w:tcPr>
            <w:tcW w:w="5353" w:type="dxa"/>
            <w:shd w:val="clear" w:color="auto" w:fill="auto"/>
            <w:hideMark/>
          </w:tcPr>
          <w:p w14:paraId="4DE67F99" w14:textId="77777777" w:rsidR="00ED79C9" w:rsidRPr="00BD295E" w:rsidRDefault="008A5057" w:rsidP="00ED79C9">
            <w:pPr>
              <w:ind w:left="738"/>
              <w:rPr>
                <w:rFonts w:ascii="Arial" w:hAnsi="Arial" w:cs="Arial"/>
                <w:b/>
                <w:sz w:val="18"/>
                <w:szCs w:val="18"/>
                <w:lang w:val="en-US"/>
              </w:rPr>
            </w:pPr>
            <w:r w:rsidRPr="00BD295E">
              <w:rPr>
                <w:rFonts w:ascii="Arial" w:hAnsi="Arial" w:cs="Arial"/>
                <w:sz w:val="18"/>
                <w:szCs w:val="18"/>
                <w:lang w:val="en-US"/>
              </w:rPr>
              <w:t>from surface sources, m</w:t>
            </w:r>
            <w:r w:rsidRPr="00BD295E">
              <w:rPr>
                <w:rFonts w:ascii="Arial" w:hAnsi="Arial" w:cs="Arial"/>
                <w:sz w:val="18"/>
                <w:szCs w:val="18"/>
                <w:vertAlign w:val="superscript"/>
                <w:lang w:val="en-US"/>
              </w:rPr>
              <w:t>3</w:t>
            </w:r>
          </w:p>
        </w:tc>
        <w:tc>
          <w:tcPr>
            <w:tcW w:w="1418" w:type="dxa"/>
            <w:shd w:val="clear" w:color="auto" w:fill="auto"/>
            <w:vAlign w:val="center"/>
          </w:tcPr>
          <w:p w14:paraId="1EB9E4A7" w14:textId="77777777" w:rsidR="00ED79C9" w:rsidRPr="00BD295E" w:rsidRDefault="00ED79C9" w:rsidP="00ED79C9">
            <w:pPr>
              <w:jc w:val="center"/>
              <w:rPr>
                <w:rFonts w:ascii="Arial" w:hAnsi="Arial" w:cs="Arial"/>
                <w:sz w:val="18"/>
                <w:szCs w:val="18"/>
                <w:lang w:val="en-US"/>
              </w:rPr>
            </w:pPr>
          </w:p>
        </w:tc>
        <w:tc>
          <w:tcPr>
            <w:tcW w:w="1417" w:type="dxa"/>
            <w:shd w:val="clear" w:color="auto" w:fill="auto"/>
            <w:vAlign w:val="center"/>
          </w:tcPr>
          <w:p w14:paraId="5C85ACDD" w14:textId="77777777" w:rsidR="00ED79C9" w:rsidRPr="00BD295E" w:rsidRDefault="00ED79C9" w:rsidP="00ED79C9">
            <w:pPr>
              <w:jc w:val="center"/>
              <w:rPr>
                <w:rFonts w:ascii="Arial" w:hAnsi="Arial" w:cs="Arial"/>
                <w:sz w:val="18"/>
                <w:szCs w:val="18"/>
                <w:lang w:val="en-US"/>
              </w:rPr>
            </w:pPr>
          </w:p>
        </w:tc>
        <w:tc>
          <w:tcPr>
            <w:tcW w:w="1418" w:type="dxa"/>
            <w:shd w:val="clear" w:color="auto" w:fill="auto"/>
            <w:vAlign w:val="center"/>
          </w:tcPr>
          <w:p w14:paraId="0F457E18" w14:textId="77777777" w:rsidR="00ED79C9" w:rsidRPr="00BD295E" w:rsidRDefault="00ED79C9" w:rsidP="00ED79C9">
            <w:pPr>
              <w:jc w:val="center"/>
              <w:rPr>
                <w:rFonts w:ascii="Arial" w:hAnsi="Arial" w:cs="Arial"/>
                <w:sz w:val="18"/>
                <w:szCs w:val="18"/>
                <w:lang w:val="en-US"/>
              </w:rPr>
            </w:pPr>
          </w:p>
        </w:tc>
      </w:tr>
      <w:tr w:rsidR="008A5057" w:rsidRPr="00BD295E" w14:paraId="64F5D451" w14:textId="77777777" w:rsidTr="00ED79C9">
        <w:trPr>
          <w:trHeight w:val="330"/>
        </w:trPr>
        <w:tc>
          <w:tcPr>
            <w:tcW w:w="5353" w:type="dxa"/>
            <w:shd w:val="clear" w:color="auto" w:fill="auto"/>
            <w:hideMark/>
          </w:tcPr>
          <w:p w14:paraId="288D5D75" w14:textId="77777777" w:rsidR="00ED79C9" w:rsidRPr="00BD295E" w:rsidRDefault="008A5057" w:rsidP="00ED79C9">
            <w:pPr>
              <w:ind w:left="738"/>
              <w:rPr>
                <w:rFonts w:ascii="Arial" w:hAnsi="Arial" w:cs="Arial"/>
                <w:sz w:val="18"/>
                <w:szCs w:val="18"/>
                <w:lang w:val="en-US"/>
              </w:rPr>
            </w:pPr>
            <w:r w:rsidRPr="00BD295E">
              <w:rPr>
                <w:rFonts w:ascii="Arial" w:hAnsi="Arial" w:cs="Arial"/>
                <w:sz w:val="18"/>
                <w:szCs w:val="18"/>
                <w:lang w:val="en-US"/>
              </w:rPr>
              <w:t>from underground sources, m</w:t>
            </w:r>
            <w:r w:rsidRPr="00BD295E">
              <w:rPr>
                <w:rFonts w:ascii="Arial" w:hAnsi="Arial" w:cs="Arial"/>
                <w:sz w:val="18"/>
                <w:szCs w:val="18"/>
                <w:vertAlign w:val="superscript"/>
                <w:lang w:val="en-US"/>
              </w:rPr>
              <w:t>3</w:t>
            </w:r>
          </w:p>
        </w:tc>
        <w:tc>
          <w:tcPr>
            <w:tcW w:w="1418" w:type="dxa"/>
            <w:shd w:val="clear" w:color="auto" w:fill="auto"/>
            <w:vAlign w:val="center"/>
          </w:tcPr>
          <w:p w14:paraId="52472B58" w14:textId="77777777" w:rsidR="00ED79C9" w:rsidRPr="00BD295E" w:rsidRDefault="00ED79C9" w:rsidP="00ED79C9">
            <w:pPr>
              <w:jc w:val="center"/>
              <w:rPr>
                <w:rFonts w:ascii="Arial" w:hAnsi="Arial" w:cs="Arial"/>
                <w:sz w:val="18"/>
                <w:szCs w:val="18"/>
                <w:lang w:val="en-US"/>
              </w:rPr>
            </w:pPr>
          </w:p>
        </w:tc>
        <w:tc>
          <w:tcPr>
            <w:tcW w:w="1417" w:type="dxa"/>
            <w:shd w:val="clear" w:color="auto" w:fill="auto"/>
            <w:vAlign w:val="center"/>
          </w:tcPr>
          <w:p w14:paraId="0F56A0A5" w14:textId="77777777" w:rsidR="00ED79C9" w:rsidRPr="00BD295E" w:rsidRDefault="00ED79C9" w:rsidP="00ED79C9">
            <w:pPr>
              <w:jc w:val="center"/>
              <w:rPr>
                <w:rFonts w:ascii="Arial" w:hAnsi="Arial" w:cs="Arial"/>
                <w:sz w:val="18"/>
                <w:szCs w:val="18"/>
                <w:lang w:val="en-US"/>
              </w:rPr>
            </w:pPr>
          </w:p>
        </w:tc>
        <w:tc>
          <w:tcPr>
            <w:tcW w:w="1418" w:type="dxa"/>
            <w:shd w:val="clear" w:color="auto" w:fill="auto"/>
            <w:vAlign w:val="center"/>
          </w:tcPr>
          <w:p w14:paraId="095D8CF9" w14:textId="77777777" w:rsidR="00ED79C9" w:rsidRPr="00BD295E" w:rsidRDefault="00ED79C9" w:rsidP="00ED79C9">
            <w:pPr>
              <w:jc w:val="center"/>
              <w:rPr>
                <w:rFonts w:ascii="Arial" w:hAnsi="Arial" w:cs="Arial"/>
                <w:sz w:val="18"/>
                <w:szCs w:val="18"/>
                <w:lang w:val="en-US"/>
              </w:rPr>
            </w:pPr>
          </w:p>
        </w:tc>
      </w:tr>
      <w:tr w:rsidR="008A5057" w:rsidRPr="00BD295E" w14:paraId="72F746C4" w14:textId="77777777" w:rsidTr="00ED79C9">
        <w:trPr>
          <w:trHeight w:val="330"/>
        </w:trPr>
        <w:tc>
          <w:tcPr>
            <w:tcW w:w="5353" w:type="dxa"/>
            <w:shd w:val="clear" w:color="auto" w:fill="auto"/>
            <w:hideMark/>
          </w:tcPr>
          <w:p w14:paraId="45DF198B" w14:textId="77777777" w:rsidR="00ED79C9" w:rsidRPr="00BD295E" w:rsidRDefault="008A5057" w:rsidP="00ED79C9">
            <w:pPr>
              <w:ind w:left="738"/>
              <w:rPr>
                <w:rFonts w:ascii="Arial" w:hAnsi="Arial" w:cs="Arial"/>
                <w:sz w:val="18"/>
                <w:szCs w:val="18"/>
                <w:lang w:val="en-US"/>
              </w:rPr>
            </w:pPr>
            <w:r w:rsidRPr="00BD295E">
              <w:rPr>
                <w:rFonts w:ascii="Arial" w:hAnsi="Arial" w:cs="Arial"/>
                <w:sz w:val="18"/>
                <w:szCs w:val="18"/>
                <w:lang w:val="en-US"/>
              </w:rPr>
              <w:t>from other sources, m</w:t>
            </w:r>
            <w:r w:rsidRPr="00BD295E">
              <w:rPr>
                <w:rFonts w:ascii="Arial" w:hAnsi="Arial" w:cs="Arial"/>
                <w:sz w:val="18"/>
                <w:szCs w:val="18"/>
                <w:vertAlign w:val="superscript"/>
                <w:lang w:val="en-US"/>
              </w:rPr>
              <w:t>3</w:t>
            </w:r>
          </w:p>
        </w:tc>
        <w:tc>
          <w:tcPr>
            <w:tcW w:w="1418" w:type="dxa"/>
            <w:shd w:val="clear" w:color="auto" w:fill="auto"/>
            <w:vAlign w:val="center"/>
          </w:tcPr>
          <w:p w14:paraId="1AE3B57A"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62.5</w:t>
            </w:r>
          </w:p>
        </w:tc>
        <w:tc>
          <w:tcPr>
            <w:tcW w:w="1417" w:type="dxa"/>
            <w:shd w:val="clear" w:color="auto" w:fill="auto"/>
            <w:vAlign w:val="center"/>
          </w:tcPr>
          <w:p w14:paraId="2CB5C3D7"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52</w:t>
            </w:r>
          </w:p>
        </w:tc>
        <w:tc>
          <w:tcPr>
            <w:tcW w:w="1418" w:type="dxa"/>
            <w:shd w:val="clear" w:color="auto" w:fill="auto"/>
            <w:vAlign w:val="center"/>
          </w:tcPr>
          <w:p w14:paraId="5426E3A0"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56</w:t>
            </w:r>
          </w:p>
        </w:tc>
      </w:tr>
    </w:tbl>
    <w:p w14:paraId="1362BEA6" w14:textId="77777777" w:rsidR="00ED79C9" w:rsidRPr="00BD295E" w:rsidRDefault="00ED79C9" w:rsidP="00ED79C9">
      <w:pPr>
        <w:rPr>
          <w:rFonts w:ascii="Arial" w:hAnsi="Arial" w:cs="Arial"/>
          <w:sz w:val="18"/>
          <w:szCs w:val="18"/>
          <w:lang w:val="en-US"/>
        </w:rPr>
      </w:pPr>
    </w:p>
    <w:p w14:paraId="4E389A14" w14:textId="77777777" w:rsidR="00ED79C9" w:rsidRPr="00BD295E" w:rsidRDefault="008A5057" w:rsidP="007B3E7C">
      <w:pPr>
        <w:pStyle w:val="af3"/>
        <w:ind w:left="786"/>
        <w:contextualSpacing w:val="0"/>
        <w:rPr>
          <w:rFonts w:ascii="Arial" w:hAnsi="Arial" w:cs="Arial"/>
          <w:sz w:val="18"/>
          <w:szCs w:val="18"/>
          <w:lang w:val="en-US"/>
        </w:rPr>
      </w:pPr>
      <w:r w:rsidRPr="00BD295E">
        <w:rPr>
          <w:rFonts w:ascii="Arial" w:hAnsi="Arial" w:cs="Arial"/>
          <w:sz w:val="18"/>
          <w:szCs w:val="18"/>
          <w:lang w:val="en-US"/>
        </w:rPr>
        <w:t>Dynamics of production waste generation, 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4"/>
        <w:gridCol w:w="1476"/>
        <w:gridCol w:w="1476"/>
        <w:gridCol w:w="1467"/>
        <w:gridCol w:w="1467"/>
        <w:gridCol w:w="1455"/>
      </w:tblGrid>
      <w:tr w:rsidR="008A5057" w:rsidRPr="00BD295E" w14:paraId="5AE90DDF" w14:textId="77777777" w:rsidTr="00E3510B">
        <w:tc>
          <w:tcPr>
            <w:tcW w:w="2068" w:type="dxa"/>
            <w:shd w:val="clear" w:color="auto" w:fill="auto"/>
          </w:tcPr>
          <w:p w14:paraId="6C7BDECF"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Waste hazard class</w:t>
            </w:r>
          </w:p>
        </w:tc>
        <w:tc>
          <w:tcPr>
            <w:tcW w:w="1503" w:type="dxa"/>
            <w:shd w:val="clear" w:color="auto" w:fill="auto"/>
          </w:tcPr>
          <w:p w14:paraId="671F9A77" w14:textId="77777777" w:rsidR="00ED79C9" w:rsidRPr="00BD295E" w:rsidRDefault="008A5057" w:rsidP="00ED79C9">
            <w:pPr>
              <w:rPr>
                <w:rFonts w:ascii="Arial" w:hAnsi="Arial" w:cs="Arial"/>
                <w:sz w:val="18"/>
                <w:szCs w:val="18"/>
                <w:lang w:val="en-US"/>
              </w:rPr>
            </w:pPr>
            <w:r w:rsidRPr="00BD295E">
              <w:rPr>
                <w:rFonts w:ascii="Arial" w:hAnsi="Arial" w:cs="Arial"/>
                <w:b/>
                <w:bCs/>
                <w:sz w:val="18"/>
                <w:szCs w:val="18"/>
                <w:lang w:val="en-US"/>
              </w:rPr>
              <w:t>2014</w:t>
            </w:r>
          </w:p>
        </w:tc>
        <w:tc>
          <w:tcPr>
            <w:tcW w:w="1503" w:type="dxa"/>
            <w:shd w:val="clear" w:color="auto" w:fill="auto"/>
          </w:tcPr>
          <w:p w14:paraId="4275BD64" w14:textId="77777777" w:rsidR="00ED79C9" w:rsidRPr="00BD295E" w:rsidRDefault="008A5057" w:rsidP="00ED79C9">
            <w:pPr>
              <w:rPr>
                <w:rFonts w:ascii="Arial" w:hAnsi="Arial" w:cs="Arial"/>
                <w:sz w:val="18"/>
                <w:szCs w:val="18"/>
                <w:lang w:val="en-US"/>
              </w:rPr>
            </w:pPr>
            <w:r w:rsidRPr="00BD295E">
              <w:rPr>
                <w:rFonts w:ascii="Arial" w:hAnsi="Arial" w:cs="Arial"/>
                <w:b/>
                <w:bCs/>
                <w:sz w:val="18"/>
                <w:szCs w:val="18"/>
                <w:lang w:val="en-US"/>
              </w:rPr>
              <w:t>2015</w:t>
            </w:r>
          </w:p>
        </w:tc>
        <w:tc>
          <w:tcPr>
            <w:tcW w:w="1503" w:type="dxa"/>
            <w:shd w:val="clear" w:color="auto" w:fill="auto"/>
          </w:tcPr>
          <w:p w14:paraId="39EF9054" w14:textId="77777777" w:rsidR="00ED79C9" w:rsidRPr="00BD295E" w:rsidRDefault="008A5057" w:rsidP="00ED79C9">
            <w:pPr>
              <w:rPr>
                <w:rFonts w:ascii="Arial" w:hAnsi="Arial" w:cs="Arial"/>
                <w:b/>
                <w:bCs/>
                <w:sz w:val="18"/>
                <w:szCs w:val="18"/>
                <w:lang w:val="en-US"/>
              </w:rPr>
            </w:pPr>
            <w:r w:rsidRPr="00BD295E">
              <w:rPr>
                <w:rFonts w:ascii="Arial" w:hAnsi="Arial" w:cs="Arial"/>
                <w:b/>
                <w:bCs/>
                <w:sz w:val="18"/>
                <w:szCs w:val="18"/>
                <w:lang w:val="en-US"/>
              </w:rPr>
              <w:t>2016</w:t>
            </w:r>
          </w:p>
        </w:tc>
        <w:tc>
          <w:tcPr>
            <w:tcW w:w="1503" w:type="dxa"/>
            <w:shd w:val="clear" w:color="auto" w:fill="auto"/>
          </w:tcPr>
          <w:p w14:paraId="3680A8AE" w14:textId="77777777" w:rsidR="00ED79C9" w:rsidRPr="00BD295E" w:rsidRDefault="008A5057" w:rsidP="00ED79C9">
            <w:pPr>
              <w:rPr>
                <w:rFonts w:ascii="Arial" w:hAnsi="Arial" w:cs="Arial"/>
                <w:b/>
                <w:bCs/>
                <w:sz w:val="18"/>
                <w:szCs w:val="18"/>
                <w:lang w:val="en-US"/>
              </w:rPr>
            </w:pPr>
            <w:r w:rsidRPr="00BD295E">
              <w:rPr>
                <w:rFonts w:ascii="Arial" w:hAnsi="Arial" w:cs="Arial"/>
                <w:b/>
                <w:bCs/>
                <w:sz w:val="18"/>
                <w:szCs w:val="18"/>
                <w:lang w:val="en-US"/>
              </w:rPr>
              <w:t>2017</w:t>
            </w:r>
          </w:p>
        </w:tc>
        <w:tc>
          <w:tcPr>
            <w:tcW w:w="1491" w:type="dxa"/>
            <w:shd w:val="clear" w:color="auto" w:fill="auto"/>
          </w:tcPr>
          <w:p w14:paraId="00D3DD9A" w14:textId="77777777" w:rsidR="00ED79C9" w:rsidRPr="00BD295E" w:rsidRDefault="008A5057" w:rsidP="00ED79C9">
            <w:pPr>
              <w:rPr>
                <w:rFonts w:ascii="Arial" w:hAnsi="Arial" w:cs="Arial"/>
                <w:b/>
                <w:bCs/>
                <w:sz w:val="18"/>
                <w:szCs w:val="18"/>
                <w:lang w:val="en-US"/>
              </w:rPr>
            </w:pPr>
            <w:r w:rsidRPr="00BD295E">
              <w:rPr>
                <w:rFonts w:ascii="Arial" w:hAnsi="Arial" w:cs="Arial"/>
                <w:b/>
                <w:bCs/>
                <w:sz w:val="18"/>
                <w:szCs w:val="18"/>
                <w:lang w:val="en-US"/>
              </w:rPr>
              <w:t>2018</w:t>
            </w:r>
          </w:p>
        </w:tc>
      </w:tr>
      <w:tr w:rsidR="008A5057" w:rsidRPr="00BD295E" w14:paraId="0D752FC5" w14:textId="77777777" w:rsidTr="00E3510B">
        <w:tc>
          <w:tcPr>
            <w:tcW w:w="2068" w:type="dxa"/>
            <w:shd w:val="clear" w:color="auto" w:fill="auto"/>
          </w:tcPr>
          <w:p w14:paraId="39C6154E"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Class 1</w:t>
            </w:r>
          </w:p>
        </w:tc>
        <w:tc>
          <w:tcPr>
            <w:tcW w:w="1503" w:type="dxa"/>
            <w:shd w:val="clear" w:color="auto" w:fill="auto"/>
          </w:tcPr>
          <w:p w14:paraId="7F2C28D9"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1.702</w:t>
            </w:r>
          </w:p>
        </w:tc>
        <w:tc>
          <w:tcPr>
            <w:tcW w:w="1503" w:type="dxa"/>
            <w:shd w:val="clear" w:color="auto" w:fill="auto"/>
          </w:tcPr>
          <w:p w14:paraId="5C281307"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1.558</w:t>
            </w:r>
          </w:p>
        </w:tc>
        <w:tc>
          <w:tcPr>
            <w:tcW w:w="1503" w:type="dxa"/>
            <w:shd w:val="clear" w:color="auto" w:fill="auto"/>
            <w:vAlign w:val="center"/>
          </w:tcPr>
          <w:p w14:paraId="086ED9AD" w14:textId="77777777" w:rsidR="00ED79C9" w:rsidRPr="00BD295E" w:rsidRDefault="008A5057" w:rsidP="00E3510B">
            <w:pPr>
              <w:pStyle w:val="afffff3"/>
              <w:ind w:firstLine="0"/>
              <w:rPr>
                <w:rFonts w:ascii="Arial" w:hAnsi="Arial" w:cs="Arial"/>
                <w:sz w:val="18"/>
                <w:szCs w:val="18"/>
                <w:lang w:val="en-US"/>
              </w:rPr>
            </w:pPr>
            <w:r w:rsidRPr="00BD295E">
              <w:rPr>
                <w:rFonts w:ascii="Arial" w:hAnsi="Arial" w:cs="Arial"/>
                <w:sz w:val="18"/>
                <w:szCs w:val="18"/>
                <w:lang w:val="en-US"/>
              </w:rPr>
              <w:t>1.8</w:t>
            </w:r>
          </w:p>
        </w:tc>
        <w:tc>
          <w:tcPr>
            <w:tcW w:w="1503" w:type="dxa"/>
            <w:shd w:val="clear" w:color="auto" w:fill="auto"/>
            <w:vAlign w:val="center"/>
          </w:tcPr>
          <w:p w14:paraId="1FA16511"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2.3</w:t>
            </w:r>
          </w:p>
        </w:tc>
        <w:tc>
          <w:tcPr>
            <w:tcW w:w="1491" w:type="dxa"/>
            <w:shd w:val="clear" w:color="auto" w:fill="auto"/>
            <w:vAlign w:val="center"/>
          </w:tcPr>
          <w:p w14:paraId="0DAEFEE4"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2.4</w:t>
            </w:r>
          </w:p>
        </w:tc>
      </w:tr>
      <w:tr w:rsidR="008A5057" w:rsidRPr="00BD295E" w14:paraId="1C1E930B" w14:textId="77777777" w:rsidTr="00E3510B">
        <w:tc>
          <w:tcPr>
            <w:tcW w:w="2068" w:type="dxa"/>
            <w:shd w:val="clear" w:color="auto" w:fill="auto"/>
          </w:tcPr>
          <w:p w14:paraId="63B66238"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Class 2</w:t>
            </w:r>
          </w:p>
        </w:tc>
        <w:tc>
          <w:tcPr>
            <w:tcW w:w="1503" w:type="dxa"/>
            <w:shd w:val="clear" w:color="auto" w:fill="auto"/>
          </w:tcPr>
          <w:p w14:paraId="66E2ED63"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19.885</w:t>
            </w:r>
          </w:p>
        </w:tc>
        <w:tc>
          <w:tcPr>
            <w:tcW w:w="1503" w:type="dxa"/>
            <w:shd w:val="clear" w:color="auto" w:fill="auto"/>
          </w:tcPr>
          <w:p w14:paraId="2AB9D026"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0.804</w:t>
            </w:r>
          </w:p>
        </w:tc>
        <w:tc>
          <w:tcPr>
            <w:tcW w:w="1503" w:type="dxa"/>
            <w:shd w:val="clear" w:color="auto" w:fill="auto"/>
            <w:vAlign w:val="center"/>
          </w:tcPr>
          <w:p w14:paraId="35730BD6" w14:textId="77777777" w:rsidR="00ED79C9" w:rsidRPr="00BD295E" w:rsidRDefault="008A5057" w:rsidP="00E3510B">
            <w:pPr>
              <w:pStyle w:val="afffff3"/>
              <w:ind w:firstLine="0"/>
              <w:rPr>
                <w:rFonts w:ascii="Arial" w:hAnsi="Arial" w:cs="Arial"/>
                <w:sz w:val="18"/>
                <w:szCs w:val="18"/>
                <w:lang w:val="en-US"/>
              </w:rPr>
            </w:pPr>
            <w:r w:rsidRPr="00BD295E">
              <w:rPr>
                <w:rFonts w:ascii="Arial" w:hAnsi="Arial" w:cs="Arial"/>
                <w:sz w:val="18"/>
                <w:szCs w:val="18"/>
                <w:lang w:val="en-US"/>
              </w:rPr>
              <w:t>14.2</w:t>
            </w:r>
          </w:p>
        </w:tc>
        <w:tc>
          <w:tcPr>
            <w:tcW w:w="1503" w:type="dxa"/>
            <w:shd w:val="clear" w:color="auto" w:fill="auto"/>
            <w:vAlign w:val="center"/>
          </w:tcPr>
          <w:p w14:paraId="1999D5E7"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0</w:t>
            </w:r>
          </w:p>
        </w:tc>
        <w:tc>
          <w:tcPr>
            <w:tcW w:w="1491" w:type="dxa"/>
            <w:shd w:val="clear" w:color="auto" w:fill="auto"/>
            <w:vAlign w:val="center"/>
          </w:tcPr>
          <w:p w14:paraId="3DAFCB7F"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2.0</w:t>
            </w:r>
          </w:p>
        </w:tc>
      </w:tr>
      <w:tr w:rsidR="008A5057" w:rsidRPr="00BD295E" w14:paraId="19BCE438" w14:textId="77777777" w:rsidTr="00E3510B">
        <w:tc>
          <w:tcPr>
            <w:tcW w:w="2068" w:type="dxa"/>
            <w:shd w:val="clear" w:color="auto" w:fill="auto"/>
          </w:tcPr>
          <w:p w14:paraId="5BFBC08C"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Class 3</w:t>
            </w:r>
          </w:p>
        </w:tc>
        <w:tc>
          <w:tcPr>
            <w:tcW w:w="1503" w:type="dxa"/>
            <w:shd w:val="clear" w:color="auto" w:fill="auto"/>
          </w:tcPr>
          <w:p w14:paraId="6416937F"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40.696</w:t>
            </w:r>
          </w:p>
        </w:tc>
        <w:tc>
          <w:tcPr>
            <w:tcW w:w="1503" w:type="dxa"/>
            <w:shd w:val="clear" w:color="auto" w:fill="auto"/>
          </w:tcPr>
          <w:p w14:paraId="51256AC5"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62.026</w:t>
            </w:r>
          </w:p>
        </w:tc>
        <w:tc>
          <w:tcPr>
            <w:tcW w:w="1503" w:type="dxa"/>
            <w:shd w:val="clear" w:color="auto" w:fill="auto"/>
            <w:vAlign w:val="center"/>
          </w:tcPr>
          <w:p w14:paraId="237DD62B" w14:textId="77777777" w:rsidR="00ED79C9" w:rsidRPr="00BD295E" w:rsidRDefault="008A5057" w:rsidP="00E3510B">
            <w:pPr>
              <w:pStyle w:val="afffff3"/>
              <w:ind w:firstLine="0"/>
              <w:rPr>
                <w:rFonts w:ascii="Arial" w:hAnsi="Arial" w:cs="Arial"/>
                <w:sz w:val="18"/>
                <w:szCs w:val="18"/>
                <w:lang w:val="en-US"/>
              </w:rPr>
            </w:pPr>
            <w:r w:rsidRPr="00BD295E">
              <w:rPr>
                <w:rFonts w:ascii="Arial" w:hAnsi="Arial" w:cs="Arial"/>
                <w:sz w:val="18"/>
                <w:szCs w:val="18"/>
                <w:lang w:val="en-US"/>
              </w:rPr>
              <w:t>32.0</w:t>
            </w:r>
          </w:p>
        </w:tc>
        <w:tc>
          <w:tcPr>
            <w:tcW w:w="1503" w:type="dxa"/>
            <w:shd w:val="clear" w:color="auto" w:fill="auto"/>
            <w:vAlign w:val="center"/>
          </w:tcPr>
          <w:p w14:paraId="2D8DF7DA"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43.7</w:t>
            </w:r>
          </w:p>
        </w:tc>
        <w:tc>
          <w:tcPr>
            <w:tcW w:w="1491" w:type="dxa"/>
            <w:shd w:val="clear" w:color="auto" w:fill="auto"/>
            <w:vAlign w:val="center"/>
          </w:tcPr>
          <w:p w14:paraId="3A6A43EE"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41.3</w:t>
            </w:r>
          </w:p>
        </w:tc>
      </w:tr>
      <w:tr w:rsidR="008A5057" w:rsidRPr="00BD295E" w14:paraId="1DE72F72" w14:textId="77777777" w:rsidTr="00E3510B">
        <w:tc>
          <w:tcPr>
            <w:tcW w:w="2068" w:type="dxa"/>
            <w:shd w:val="clear" w:color="auto" w:fill="auto"/>
          </w:tcPr>
          <w:p w14:paraId="7E8BFB40"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Class 4</w:t>
            </w:r>
          </w:p>
        </w:tc>
        <w:tc>
          <w:tcPr>
            <w:tcW w:w="1503" w:type="dxa"/>
            <w:shd w:val="clear" w:color="auto" w:fill="auto"/>
          </w:tcPr>
          <w:p w14:paraId="5B32CE52"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2274.1</w:t>
            </w:r>
          </w:p>
        </w:tc>
        <w:tc>
          <w:tcPr>
            <w:tcW w:w="1503" w:type="dxa"/>
            <w:shd w:val="clear" w:color="auto" w:fill="auto"/>
          </w:tcPr>
          <w:p w14:paraId="4721F43C"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1320.5</w:t>
            </w:r>
          </w:p>
        </w:tc>
        <w:tc>
          <w:tcPr>
            <w:tcW w:w="1503" w:type="dxa"/>
            <w:shd w:val="clear" w:color="auto" w:fill="auto"/>
            <w:vAlign w:val="center"/>
          </w:tcPr>
          <w:p w14:paraId="7CA37078" w14:textId="77777777" w:rsidR="00ED79C9" w:rsidRPr="00BD295E" w:rsidRDefault="008A5057" w:rsidP="00E3510B">
            <w:pPr>
              <w:pStyle w:val="afffff3"/>
              <w:ind w:firstLine="0"/>
              <w:rPr>
                <w:rFonts w:ascii="Arial" w:hAnsi="Arial" w:cs="Arial"/>
                <w:sz w:val="18"/>
                <w:szCs w:val="18"/>
                <w:lang w:val="en-US"/>
              </w:rPr>
            </w:pPr>
            <w:r w:rsidRPr="00BD295E">
              <w:rPr>
                <w:rFonts w:ascii="Arial" w:hAnsi="Arial" w:cs="Arial"/>
                <w:sz w:val="18"/>
                <w:szCs w:val="18"/>
                <w:lang w:val="en-US"/>
              </w:rPr>
              <w:t>1463.3</w:t>
            </w:r>
          </w:p>
        </w:tc>
        <w:tc>
          <w:tcPr>
            <w:tcW w:w="1503" w:type="dxa"/>
            <w:shd w:val="clear" w:color="auto" w:fill="auto"/>
            <w:vAlign w:val="center"/>
          </w:tcPr>
          <w:p w14:paraId="251EA129"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1257.4</w:t>
            </w:r>
          </w:p>
        </w:tc>
        <w:tc>
          <w:tcPr>
            <w:tcW w:w="1491" w:type="dxa"/>
            <w:shd w:val="clear" w:color="auto" w:fill="auto"/>
            <w:vAlign w:val="center"/>
          </w:tcPr>
          <w:p w14:paraId="23195539"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1729.0</w:t>
            </w:r>
          </w:p>
        </w:tc>
      </w:tr>
      <w:tr w:rsidR="008A5057" w:rsidRPr="00BD295E" w14:paraId="5F4ED193" w14:textId="77777777" w:rsidTr="00E3510B">
        <w:tc>
          <w:tcPr>
            <w:tcW w:w="2068" w:type="dxa"/>
            <w:shd w:val="clear" w:color="auto" w:fill="auto"/>
          </w:tcPr>
          <w:p w14:paraId="4913E3AF"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Class 5</w:t>
            </w:r>
          </w:p>
        </w:tc>
        <w:tc>
          <w:tcPr>
            <w:tcW w:w="1503" w:type="dxa"/>
            <w:shd w:val="clear" w:color="auto" w:fill="auto"/>
          </w:tcPr>
          <w:p w14:paraId="1B127E0D"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3939.4</w:t>
            </w:r>
          </w:p>
        </w:tc>
        <w:tc>
          <w:tcPr>
            <w:tcW w:w="1503" w:type="dxa"/>
            <w:shd w:val="clear" w:color="auto" w:fill="auto"/>
          </w:tcPr>
          <w:p w14:paraId="2F7A8B85"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1923.5</w:t>
            </w:r>
          </w:p>
        </w:tc>
        <w:tc>
          <w:tcPr>
            <w:tcW w:w="1503" w:type="dxa"/>
            <w:shd w:val="clear" w:color="auto" w:fill="auto"/>
            <w:vAlign w:val="center"/>
          </w:tcPr>
          <w:p w14:paraId="0B473C25" w14:textId="77777777" w:rsidR="00ED79C9" w:rsidRPr="00BD295E" w:rsidRDefault="008A5057" w:rsidP="00E3510B">
            <w:pPr>
              <w:pStyle w:val="afffff3"/>
              <w:ind w:firstLine="0"/>
              <w:rPr>
                <w:rFonts w:ascii="Arial" w:hAnsi="Arial" w:cs="Arial"/>
                <w:sz w:val="18"/>
                <w:szCs w:val="18"/>
                <w:lang w:val="en-US"/>
              </w:rPr>
            </w:pPr>
            <w:r w:rsidRPr="00BD295E">
              <w:rPr>
                <w:rFonts w:ascii="Arial" w:hAnsi="Arial" w:cs="Arial"/>
                <w:sz w:val="18"/>
                <w:szCs w:val="18"/>
                <w:lang w:val="en-US"/>
              </w:rPr>
              <w:t>1642.6</w:t>
            </w:r>
          </w:p>
        </w:tc>
        <w:tc>
          <w:tcPr>
            <w:tcW w:w="1503" w:type="dxa"/>
            <w:shd w:val="clear" w:color="auto" w:fill="auto"/>
            <w:vAlign w:val="center"/>
          </w:tcPr>
          <w:p w14:paraId="46DB0E37"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3162.3</w:t>
            </w:r>
          </w:p>
        </w:tc>
        <w:tc>
          <w:tcPr>
            <w:tcW w:w="1491" w:type="dxa"/>
            <w:shd w:val="clear" w:color="auto" w:fill="auto"/>
            <w:vAlign w:val="center"/>
          </w:tcPr>
          <w:p w14:paraId="5CBD255A" w14:textId="77777777" w:rsidR="00ED79C9" w:rsidRPr="00BD295E" w:rsidRDefault="008A5057" w:rsidP="00E3510B">
            <w:pPr>
              <w:tabs>
                <w:tab w:val="left" w:pos="1080"/>
                <w:tab w:val="left" w:pos="1320"/>
              </w:tabs>
              <w:jc w:val="both"/>
              <w:rPr>
                <w:rFonts w:ascii="Arial" w:hAnsi="Arial" w:cs="Arial"/>
                <w:snapToGrid w:val="0"/>
                <w:sz w:val="18"/>
                <w:szCs w:val="18"/>
                <w:lang w:val="en-US"/>
              </w:rPr>
            </w:pPr>
            <w:r w:rsidRPr="00BD295E">
              <w:rPr>
                <w:rFonts w:ascii="Arial" w:hAnsi="Arial" w:cs="Arial"/>
                <w:snapToGrid w:val="0"/>
                <w:sz w:val="18"/>
                <w:szCs w:val="18"/>
                <w:lang w:val="en-US"/>
              </w:rPr>
              <w:t>2288.6</w:t>
            </w:r>
          </w:p>
        </w:tc>
      </w:tr>
      <w:tr w:rsidR="008A5057" w:rsidRPr="00BD295E" w14:paraId="014F2DB7" w14:textId="77777777" w:rsidTr="00E3510B">
        <w:tc>
          <w:tcPr>
            <w:tcW w:w="2068" w:type="dxa"/>
            <w:shd w:val="clear" w:color="auto" w:fill="auto"/>
          </w:tcPr>
          <w:p w14:paraId="6DCAD31C" w14:textId="77777777" w:rsidR="00ED79C9" w:rsidRPr="00BD295E" w:rsidRDefault="008A5057" w:rsidP="00ED79C9">
            <w:pPr>
              <w:rPr>
                <w:rFonts w:ascii="Arial" w:hAnsi="Arial" w:cs="Arial"/>
                <w:b/>
                <w:sz w:val="18"/>
                <w:szCs w:val="18"/>
                <w:lang w:val="en-US"/>
              </w:rPr>
            </w:pPr>
            <w:r w:rsidRPr="00BD295E">
              <w:rPr>
                <w:rFonts w:ascii="Arial" w:hAnsi="Arial" w:cs="Arial"/>
                <w:b/>
                <w:sz w:val="18"/>
                <w:szCs w:val="18"/>
                <w:lang w:val="en-US"/>
              </w:rPr>
              <w:t>Total</w:t>
            </w:r>
          </w:p>
        </w:tc>
        <w:tc>
          <w:tcPr>
            <w:tcW w:w="1503" w:type="dxa"/>
            <w:shd w:val="clear" w:color="auto" w:fill="auto"/>
          </w:tcPr>
          <w:p w14:paraId="1911C9CB" w14:textId="77777777" w:rsidR="00ED79C9" w:rsidRPr="00BD295E" w:rsidRDefault="008A5057" w:rsidP="00ED79C9">
            <w:pPr>
              <w:rPr>
                <w:rFonts w:ascii="Arial" w:hAnsi="Arial" w:cs="Arial"/>
                <w:b/>
                <w:sz w:val="18"/>
                <w:szCs w:val="18"/>
                <w:lang w:val="en-US"/>
              </w:rPr>
            </w:pPr>
            <w:r w:rsidRPr="00BD295E">
              <w:rPr>
                <w:rFonts w:ascii="Arial" w:hAnsi="Arial" w:cs="Arial"/>
                <w:b/>
                <w:sz w:val="18"/>
                <w:szCs w:val="18"/>
                <w:lang w:val="en-US"/>
              </w:rPr>
              <w:t>6275.783</w:t>
            </w:r>
          </w:p>
        </w:tc>
        <w:tc>
          <w:tcPr>
            <w:tcW w:w="1503" w:type="dxa"/>
            <w:shd w:val="clear" w:color="auto" w:fill="auto"/>
          </w:tcPr>
          <w:p w14:paraId="5A772485" w14:textId="77777777" w:rsidR="00ED79C9" w:rsidRPr="00BD295E" w:rsidRDefault="008A5057" w:rsidP="00ED79C9">
            <w:pPr>
              <w:rPr>
                <w:rFonts w:ascii="Arial" w:hAnsi="Arial" w:cs="Arial"/>
                <w:b/>
                <w:sz w:val="18"/>
                <w:szCs w:val="18"/>
                <w:lang w:val="en-US"/>
              </w:rPr>
            </w:pPr>
            <w:r w:rsidRPr="00BD295E">
              <w:rPr>
                <w:rFonts w:ascii="Arial" w:hAnsi="Arial" w:cs="Arial"/>
                <w:b/>
                <w:sz w:val="18"/>
                <w:szCs w:val="18"/>
                <w:lang w:val="en-US"/>
              </w:rPr>
              <w:t>3308.388</w:t>
            </w:r>
          </w:p>
        </w:tc>
        <w:tc>
          <w:tcPr>
            <w:tcW w:w="1503" w:type="dxa"/>
            <w:shd w:val="clear" w:color="auto" w:fill="auto"/>
          </w:tcPr>
          <w:p w14:paraId="27C0EFDD" w14:textId="77777777" w:rsidR="00ED79C9" w:rsidRPr="00BD295E" w:rsidRDefault="008A5057" w:rsidP="00ED79C9">
            <w:pPr>
              <w:rPr>
                <w:rFonts w:ascii="Arial" w:hAnsi="Arial" w:cs="Arial"/>
                <w:b/>
                <w:sz w:val="18"/>
                <w:szCs w:val="18"/>
                <w:lang w:val="en-US"/>
              </w:rPr>
            </w:pPr>
            <w:r w:rsidRPr="00BD295E">
              <w:rPr>
                <w:rFonts w:ascii="Arial" w:hAnsi="Arial" w:cs="Arial"/>
                <w:b/>
                <w:sz w:val="18"/>
                <w:szCs w:val="18"/>
                <w:lang w:val="en-US"/>
              </w:rPr>
              <w:t>3153.9</w:t>
            </w:r>
          </w:p>
        </w:tc>
        <w:tc>
          <w:tcPr>
            <w:tcW w:w="1503" w:type="dxa"/>
            <w:shd w:val="clear" w:color="auto" w:fill="auto"/>
          </w:tcPr>
          <w:p w14:paraId="2FBEBA31" w14:textId="77777777" w:rsidR="00ED79C9" w:rsidRPr="00BD295E" w:rsidRDefault="008A5057" w:rsidP="00ED79C9">
            <w:pPr>
              <w:rPr>
                <w:rFonts w:ascii="Arial" w:hAnsi="Arial" w:cs="Arial"/>
                <w:b/>
                <w:sz w:val="18"/>
                <w:szCs w:val="18"/>
                <w:lang w:val="en-US"/>
              </w:rPr>
            </w:pPr>
            <w:r w:rsidRPr="00BD295E">
              <w:rPr>
                <w:rFonts w:ascii="Arial" w:hAnsi="Arial" w:cs="Arial"/>
                <w:b/>
                <w:sz w:val="18"/>
                <w:szCs w:val="18"/>
                <w:lang w:val="en-US"/>
              </w:rPr>
              <w:t>4465.7</w:t>
            </w:r>
          </w:p>
        </w:tc>
        <w:tc>
          <w:tcPr>
            <w:tcW w:w="1491" w:type="dxa"/>
            <w:shd w:val="clear" w:color="auto" w:fill="auto"/>
          </w:tcPr>
          <w:p w14:paraId="42F9B986" w14:textId="77777777" w:rsidR="00ED79C9" w:rsidRPr="00BD295E" w:rsidRDefault="008A5057" w:rsidP="00ED79C9">
            <w:pPr>
              <w:rPr>
                <w:rFonts w:ascii="Arial" w:hAnsi="Arial" w:cs="Arial"/>
                <w:b/>
                <w:sz w:val="18"/>
                <w:szCs w:val="18"/>
                <w:lang w:val="en-US"/>
              </w:rPr>
            </w:pPr>
            <w:r w:rsidRPr="00BD295E">
              <w:rPr>
                <w:rFonts w:ascii="Arial" w:hAnsi="Arial" w:cs="Arial"/>
                <w:b/>
                <w:sz w:val="18"/>
                <w:szCs w:val="18"/>
                <w:lang w:val="en-US"/>
              </w:rPr>
              <w:t>4063.3</w:t>
            </w:r>
          </w:p>
        </w:tc>
      </w:tr>
    </w:tbl>
    <w:p w14:paraId="55996566" w14:textId="77777777" w:rsidR="00ED79C9" w:rsidRPr="00BD295E" w:rsidRDefault="00ED79C9" w:rsidP="00ED79C9">
      <w:pPr>
        <w:rPr>
          <w:rFonts w:ascii="Arial" w:hAnsi="Arial" w:cs="Arial"/>
          <w:sz w:val="18"/>
          <w:szCs w:val="18"/>
          <w:lang w:val="en-US"/>
        </w:rPr>
      </w:pPr>
    </w:p>
    <w:p w14:paraId="78D3E26E" w14:textId="77777777" w:rsidR="00ED79C9" w:rsidRPr="00BD295E" w:rsidRDefault="008A5057" w:rsidP="00ED79C9">
      <w:pPr>
        <w:pStyle w:val="af3"/>
        <w:spacing w:before="240"/>
        <w:rPr>
          <w:rFonts w:ascii="Arial" w:hAnsi="Arial" w:cs="Arial"/>
          <w:sz w:val="18"/>
          <w:szCs w:val="18"/>
          <w:lang w:val="en-US"/>
        </w:rPr>
      </w:pPr>
      <w:r w:rsidRPr="00BD295E">
        <w:rPr>
          <w:rFonts w:ascii="Arial" w:hAnsi="Arial" w:cs="Arial"/>
          <w:sz w:val="18"/>
          <w:szCs w:val="18"/>
          <w:lang w:val="en-US"/>
        </w:rPr>
        <w:t>Share and total volume of recycled and reused water</w:t>
      </w:r>
    </w:p>
    <w:tbl>
      <w:tblPr>
        <w:tblW w:w="9606" w:type="dxa"/>
        <w:tblLook w:val="04A0" w:firstRow="1" w:lastRow="0" w:firstColumn="1" w:lastColumn="0" w:noHBand="0" w:noVBand="1"/>
      </w:tblPr>
      <w:tblGrid>
        <w:gridCol w:w="2320"/>
        <w:gridCol w:w="1474"/>
        <w:gridCol w:w="1559"/>
        <w:gridCol w:w="1276"/>
        <w:gridCol w:w="1559"/>
        <w:gridCol w:w="1418"/>
      </w:tblGrid>
      <w:tr w:rsidR="008A5057" w:rsidRPr="00BD295E" w14:paraId="0183372F" w14:textId="77777777" w:rsidTr="00ED79C9">
        <w:trPr>
          <w:trHeight w:val="300"/>
        </w:trPr>
        <w:tc>
          <w:tcPr>
            <w:tcW w:w="2320" w:type="dxa"/>
            <w:tcBorders>
              <w:top w:val="single" w:sz="8" w:space="0" w:color="auto"/>
              <w:left w:val="single" w:sz="8" w:space="0" w:color="auto"/>
              <w:bottom w:val="single" w:sz="8" w:space="0" w:color="auto"/>
              <w:right w:val="single" w:sz="8" w:space="0" w:color="auto"/>
            </w:tcBorders>
            <w:shd w:val="clear" w:color="auto" w:fill="auto"/>
            <w:hideMark/>
          </w:tcPr>
          <w:p w14:paraId="73A27C3C" w14:textId="77777777" w:rsidR="00ED79C9" w:rsidRPr="00BD295E" w:rsidRDefault="008A5057" w:rsidP="00ED79C9">
            <w:pPr>
              <w:rPr>
                <w:rFonts w:ascii="Arial" w:hAnsi="Arial" w:cs="Arial"/>
                <w:b/>
                <w:bCs/>
                <w:sz w:val="18"/>
                <w:szCs w:val="18"/>
                <w:lang w:val="en-US"/>
              </w:rPr>
            </w:pPr>
            <w:r w:rsidRPr="00BD295E">
              <w:rPr>
                <w:rFonts w:ascii="Arial" w:hAnsi="Arial" w:cs="Arial"/>
                <w:b/>
                <w:bCs/>
                <w:sz w:val="18"/>
                <w:szCs w:val="18"/>
                <w:lang w:val="en-US"/>
              </w:rPr>
              <w:t>Indicator</w:t>
            </w:r>
          </w:p>
        </w:tc>
        <w:tc>
          <w:tcPr>
            <w:tcW w:w="1474" w:type="dxa"/>
            <w:tcBorders>
              <w:top w:val="single" w:sz="8" w:space="0" w:color="auto"/>
              <w:left w:val="nil"/>
              <w:bottom w:val="single" w:sz="8" w:space="0" w:color="auto"/>
              <w:right w:val="single" w:sz="8" w:space="0" w:color="auto"/>
            </w:tcBorders>
            <w:shd w:val="clear" w:color="auto" w:fill="auto"/>
            <w:hideMark/>
          </w:tcPr>
          <w:p w14:paraId="3B8507C0" w14:textId="77777777" w:rsidR="00ED79C9" w:rsidRPr="00BD295E" w:rsidRDefault="008A5057" w:rsidP="00ED79C9">
            <w:pPr>
              <w:rPr>
                <w:rFonts w:ascii="Arial" w:hAnsi="Arial" w:cs="Arial"/>
                <w:sz w:val="18"/>
                <w:szCs w:val="18"/>
                <w:lang w:val="en-US"/>
              </w:rPr>
            </w:pPr>
            <w:r w:rsidRPr="00BD295E">
              <w:rPr>
                <w:rFonts w:ascii="Arial" w:hAnsi="Arial" w:cs="Arial"/>
                <w:b/>
                <w:bCs/>
                <w:sz w:val="18"/>
                <w:szCs w:val="18"/>
                <w:lang w:val="en-US"/>
              </w:rPr>
              <w:t>2014</w:t>
            </w:r>
          </w:p>
        </w:tc>
        <w:tc>
          <w:tcPr>
            <w:tcW w:w="1559" w:type="dxa"/>
            <w:tcBorders>
              <w:top w:val="single" w:sz="8" w:space="0" w:color="auto"/>
              <w:left w:val="nil"/>
              <w:bottom w:val="single" w:sz="8" w:space="0" w:color="auto"/>
              <w:right w:val="single" w:sz="8" w:space="0" w:color="auto"/>
            </w:tcBorders>
            <w:shd w:val="clear" w:color="auto" w:fill="auto"/>
            <w:hideMark/>
          </w:tcPr>
          <w:p w14:paraId="798737A0" w14:textId="77777777" w:rsidR="00ED79C9" w:rsidRPr="00BD295E" w:rsidRDefault="008A5057" w:rsidP="00ED79C9">
            <w:pPr>
              <w:rPr>
                <w:rFonts w:ascii="Arial" w:hAnsi="Arial" w:cs="Arial"/>
                <w:sz w:val="18"/>
                <w:szCs w:val="18"/>
                <w:lang w:val="en-US"/>
              </w:rPr>
            </w:pPr>
            <w:r w:rsidRPr="00BD295E">
              <w:rPr>
                <w:rFonts w:ascii="Arial" w:hAnsi="Arial" w:cs="Arial"/>
                <w:b/>
                <w:bCs/>
                <w:sz w:val="18"/>
                <w:szCs w:val="18"/>
                <w:lang w:val="en-US"/>
              </w:rPr>
              <w:t>2015</w:t>
            </w:r>
          </w:p>
        </w:tc>
        <w:tc>
          <w:tcPr>
            <w:tcW w:w="1276" w:type="dxa"/>
            <w:tcBorders>
              <w:top w:val="single" w:sz="8" w:space="0" w:color="auto"/>
              <w:left w:val="nil"/>
              <w:bottom w:val="single" w:sz="8" w:space="0" w:color="auto"/>
              <w:right w:val="single" w:sz="8" w:space="0" w:color="auto"/>
            </w:tcBorders>
            <w:shd w:val="clear" w:color="auto" w:fill="auto"/>
            <w:hideMark/>
          </w:tcPr>
          <w:p w14:paraId="536DDE06" w14:textId="77777777" w:rsidR="00ED79C9" w:rsidRPr="00BD295E" w:rsidRDefault="008A5057" w:rsidP="00ED79C9">
            <w:pPr>
              <w:rPr>
                <w:rFonts w:ascii="Arial" w:hAnsi="Arial" w:cs="Arial"/>
                <w:b/>
                <w:bCs/>
                <w:sz w:val="18"/>
                <w:szCs w:val="18"/>
                <w:lang w:val="en-US"/>
              </w:rPr>
            </w:pPr>
            <w:r w:rsidRPr="00BD295E">
              <w:rPr>
                <w:rFonts w:ascii="Arial" w:hAnsi="Arial" w:cs="Arial"/>
                <w:b/>
                <w:bCs/>
                <w:sz w:val="18"/>
                <w:szCs w:val="18"/>
                <w:lang w:val="en-US"/>
              </w:rPr>
              <w:t>2016</w:t>
            </w:r>
          </w:p>
        </w:tc>
        <w:tc>
          <w:tcPr>
            <w:tcW w:w="1559" w:type="dxa"/>
            <w:tcBorders>
              <w:top w:val="single" w:sz="8" w:space="0" w:color="auto"/>
              <w:left w:val="nil"/>
              <w:bottom w:val="single" w:sz="8" w:space="0" w:color="auto"/>
              <w:right w:val="single" w:sz="8" w:space="0" w:color="auto"/>
            </w:tcBorders>
            <w:shd w:val="clear" w:color="auto" w:fill="auto"/>
            <w:hideMark/>
          </w:tcPr>
          <w:p w14:paraId="38EB7169" w14:textId="77777777" w:rsidR="00ED79C9" w:rsidRPr="00BD295E" w:rsidRDefault="008A5057" w:rsidP="00ED79C9">
            <w:pPr>
              <w:rPr>
                <w:rFonts w:ascii="Arial" w:hAnsi="Arial" w:cs="Arial"/>
                <w:b/>
                <w:bCs/>
                <w:sz w:val="18"/>
                <w:szCs w:val="18"/>
                <w:lang w:val="en-US"/>
              </w:rPr>
            </w:pPr>
            <w:r w:rsidRPr="00BD295E">
              <w:rPr>
                <w:rFonts w:ascii="Arial" w:hAnsi="Arial" w:cs="Arial"/>
                <w:b/>
                <w:bCs/>
                <w:sz w:val="18"/>
                <w:szCs w:val="18"/>
                <w:lang w:val="en-US"/>
              </w:rPr>
              <w:t>2017</w:t>
            </w:r>
          </w:p>
        </w:tc>
        <w:tc>
          <w:tcPr>
            <w:tcW w:w="1418" w:type="dxa"/>
            <w:tcBorders>
              <w:top w:val="single" w:sz="8" w:space="0" w:color="auto"/>
              <w:left w:val="nil"/>
              <w:bottom w:val="single" w:sz="8" w:space="0" w:color="auto"/>
              <w:right w:val="single" w:sz="8" w:space="0" w:color="auto"/>
            </w:tcBorders>
            <w:shd w:val="clear" w:color="auto" w:fill="auto"/>
            <w:hideMark/>
          </w:tcPr>
          <w:p w14:paraId="3B6A8BD5" w14:textId="77777777" w:rsidR="00ED79C9" w:rsidRPr="00BD295E" w:rsidRDefault="008A5057" w:rsidP="00ED79C9">
            <w:pPr>
              <w:rPr>
                <w:rFonts w:ascii="Arial" w:hAnsi="Arial" w:cs="Arial"/>
                <w:b/>
                <w:bCs/>
                <w:sz w:val="18"/>
                <w:szCs w:val="18"/>
                <w:lang w:val="en-US"/>
              </w:rPr>
            </w:pPr>
            <w:r w:rsidRPr="00BD295E">
              <w:rPr>
                <w:rFonts w:ascii="Arial" w:hAnsi="Arial" w:cs="Arial"/>
                <w:b/>
                <w:bCs/>
                <w:sz w:val="18"/>
                <w:szCs w:val="18"/>
                <w:lang w:val="en-US"/>
              </w:rPr>
              <w:t>2018</w:t>
            </w:r>
          </w:p>
        </w:tc>
      </w:tr>
      <w:tr w:rsidR="008A5057" w:rsidRPr="00BD295E" w14:paraId="4631D09F" w14:textId="77777777" w:rsidTr="00ED79C9">
        <w:trPr>
          <w:trHeight w:val="615"/>
        </w:trPr>
        <w:tc>
          <w:tcPr>
            <w:tcW w:w="2320" w:type="dxa"/>
            <w:tcBorders>
              <w:top w:val="nil"/>
              <w:left w:val="single" w:sz="8" w:space="0" w:color="auto"/>
              <w:bottom w:val="single" w:sz="8" w:space="0" w:color="auto"/>
              <w:right w:val="single" w:sz="8" w:space="0" w:color="auto"/>
            </w:tcBorders>
            <w:shd w:val="clear" w:color="auto" w:fill="auto"/>
            <w:hideMark/>
          </w:tcPr>
          <w:p w14:paraId="21E8C085"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 xml:space="preserve">Total volume of recycled and reused water, </w:t>
            </w:r>
            <w:r w:rsidRPr="00BD295E">
              <w:rPr>
                <w:rFonts w:ascii="Arial" w:hAnsi="Arial" w:cs="Arial"/>
                <w:sz w:val="18"/>
                <w:szCs w:val="18"/>
                <w:vertAlign w:val="superscript"/>
                <w:lang w:val="en-US"/>
              </w:rPr>
              <w:t>m3</w:t>
            </w:r>
          </w:p>
        </w:tc>
        <w:tc>
          <w:tcPr>
            <w:tcW w:w="1474" w:type="dxa"/>
            <w:tcBorders>
              <w:top w:val="nil"/>
              <w:left w:val="nil"/>
              <w:bottom w:val="single" w:sz="8" w:space="0" w:color="auto"/>
              <w:right w:val="single" w:sz="8" w:space="0" w:color="auto"/>
            </w:tcBorders>
            <w:shd w:val="clear" w:color="auto" w:fill="auto"/>
            <w:vAlign w:val="center"/>
          </w:tcPr>
          <w:p w14:paraId="792E7BDD"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c>
          <w:tcPr>
            <w:tcW w:w="1559" w:type="dxa"/>
            <w:tcBorders>
              <w:top w:val="nil"/>
              <w:left w:val="nil"/>
              <w:bottom w:val="single" w:sz="8" w:space="0" w:color="auto"/>
              <w:right w:val="single" w:sz="8" w:space="0" w:color="auto"/>
            </w:tcBorders>
            <w:shd w:val="clear" w:color="auto" w:fill="auto"/>
            <w:vAlign w:val="center"/>
          </w:tcPr>
          <w:p w14:paraId="0752D8EB"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c>
          <w:tcPr>
            <w:tcW w:w="1276" w:type="dxa"/>
            <w:tcBorders>
              <w:top w:val="nil"/>
              <w:left w:val="nil"/>
              <w:bottom w:val="single" w:sz="8" w:space="0" w:color="auto"/>
              <w:right w:val="single" w:sz="8" w:space="0" w:color="auto"/>
            </w:tcBorders>
            <w:shd w:val="clear" w:color="auto" w:fill="auto"/>
            <w:vAlign w:val="center"/>
          </w:tcPr>
          <w:p w14:paraId="10586267"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c>
          <w:tcPr>
            <w:tcW w:w="1559" w:type="dxa"/>
            <w:tcBorders>
              <w:top w:val="nil"/>
              <w:left w:val="nil"/>
              <w:bottom w:val="single" w:sz="8" w:space="0" w:color="auto"/>
              <w:right w:val="single" w:sz="8" w:space="0" w:color="auto"/>
            </w:tcBorders>
            <w:shd w:val="clear" w:color="auto" w:fill="auto"/>
            <w:vAlign w:val="center"/>
          </w:tcPr>
          <w:p w14:paraId="29C3B148"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c>
          <w:tcPr>
            <w:tcW w:w="1418" w:type="dxa"/>
            <w:tcBorders>
              <w:top w:val="nil"/>
              <w:left w:val="nil"/>
              <w:bottom w:val="single" w:sz="8" w:space="0" w:color="auto"/>
              <w:right w:val="single" w:sz="8" w:space="0" w:color="auto"/>
            </w:tcBorders>
            <w:shd w:val="clear" w:color="auto" w:fill="auto"/>
            <w:vAlign w:val="center"/>
          </w:tcPr>
          <w:p w14:paraId="5374E2E8"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462A9BD4" w14:textId="77777777" w:rsidTr="00ED79C9">
        <w:trPr>
          <w:trHeight w:val="735"/>
        </w:trPr>
        <w:tc>
          <w:tcPr>
            <w:tcW w:w="2320" w:type="dxa"/>
            <w:tcBorders>
              <w:top w:val="nil"/>
              <w:left w:val="single" w:sz="8" w:space="0" w:color="auto"/>
              <w:bottom w:val="single" w:sz="8" w:space="0" w:color="auto"/>
              <w:right w:val="single" w:sz="8" w:space="0" w:color="auto"/>
            </w:tcBorders>
            <w:shd w:val="clear" w:color="auto" w:fill="auto"/>
            <w:hideMark/>
          </w:tcPr>
          <w:p w14:paraId="001D44A6" w14:textId="77777777" w:rsidR="00ED79C9" w:rsidRPr="00BD295E" w:rsidRDefault="008A5057" w:rsidP="00ED79C9">
            <w:pPr>
              <w:rPr>
                <w:rFonts w:ascii="Arial" w:hAnsi="Arial" w:cs="Arial"/>
                <w:sz w:val="18"/>
                <w:szCs w:val="18"/>
                <w:lang w:val="en-US"/>
              </w:rPr>
            </w:pPr>
            <w:r w:rsidRPr="00BD295E">
              <w:rPr>
                <w:rFonts w:ascii="Arial" w:hAnsi="Arial" w:cs="Arial"/>
                <w:sz w:val="18"/>
                <w:szCs w:val="18"/>
                <w:lang w:val="en-US"/>
              </w:rPr>
              <w:t>Share of recycled and reused water from total water withdrawal, %</w:t>
            </w:r>
          </w:p>
        </w:tc>
        <w:tc>
          <w:tcPr>
            <w:tcW w:w="1474" w:type="dxa"/>
            <w:tcBorders>
              <w:top w:val="nil"/>
              <w:left w:val="nil"/>
              <w:bottom w:val="single" w:sz="8" w:space="0" w:color="auto"/>
              <w:right w:val="single" w:sz="8" w:space="0" w:color="auto"/>
            </w:tcBorders>
            <w:shd w:val="clear" w:color="auto" w:fill="auto"/>
            <w:vAlign w:val="center"/>
          </w:tcPr>
          <w:p w14:paraId="7DDF4275"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c>
          <w:tcPr>
            <w:tcW w:w="1559" w:type="dxa"/>
            <w:tcBorders>
              <w:top w:val="nil"/>
              <w:left w:val="nil"/>
              <w:bottom w:val="single" w:sz="8" w:space="0" w:color="auto"/>
              <w:right w:val="single" w:sz="8" w:space="0" w:color="auto"/>
            </w:tcBorders>
            <w:shd w:val="clear" w:color="auto" w:fill="auto"/>
            <w:vAlign w:val="center"/>
          </w:tcPr>
          <w:p w14:paraId="79057E82"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c>
          <w:tcPr>
            <w:tcW w:w="1276" w:type="dxa"/>
            <w:tcBorders>
              <w:top w:val="nil"/>
              <w:left w:val="nil"/>
              <w:bottom w:val="single" w:sz="8" w:space="0" w:color="auto"/>
              <w:right w:val="single" w:sz="8" w:space="0" w:color="auto"/>
            </w:tcBorders>
            <w:shd w:val="clear" w:color="auto" w:fill="auto"/>
            <w:vAlign w:val="center"/>
          </w:tcPr>
          <w:p w14:paraId="62D34121"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c>
          <w:tcPr>
            <w:tcW w:w="1559" w:type="dxa"/>
            <w:tcBorders>
              <w:top w:val="nil"/>
              <w:left w:val="nil"/>
              <w:bottom w:val="single" w:sz="8" w:space="0" w:color="auto"/>
              <w:right w:val="single" w:sz="8" w:space="0" w:color="auto"/>
            </w:tcBorders>
            <w:shd w:val="clear" w:color="auto" w:fill="auto"/>
            <w:vAlign w:val="center"/>
          </w:tcPr>
          <w:p w14:paraId="5D766B39"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c>
          <w:tcPr>
            <w:tcW w:w="1418" w:type="dxa"/>
            <w:tcBorders>
              <w:top w:val="nil"/>
              <w:left w:val="nil"/>
              <w:bottom w:val="single" w:sz="8" w:space="0" w:color="auto"/>
              <w:right w:val="single" w:sz="8" w:space="0" w:color="auto"/>
            </w:tcBorders>
            <w:shd w:val="clear" w:color="auto" w:fill="auto"/>
            <w:vAlign w:val="center"/>
          </w:tcPr>
          <w:p w14:paraId="22FC5A8D"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w:t>
            </w:r>
          </w:p>
        </w:tc>
      </w:tr>
    </w:tbl>
    <w:p w14:paraId="6BA8EE3A" w14:textId="77777777" w:rsidR="00ED79C9" w:rsidRPr="00BD295E" w:rsidRDefault="00ED79C9" w:rsidP="00ED79C9">
      <w:pPr>
        <w:rPr>
          <w:rFonts w:ascii="Arial" w:hAnsi="Arial" w:cs="Arial"/>
          <w:sz w:val="18"/>
          <w:szCs w:val="18"/>
          <w:lang w:val="en-US"/>
        </w:rPr>
      </w:pPr>
    </w:p>
    <w:p w14:paraId="4AC81B95" w14:textId="77777777" w:rsidR="00554EE9" w:rsidRPr="00BD295E" w:rsidRDefault="008A5057" w:rsidP="00CA2271">
      <w:pPr>
        <w:pStyle w:val="af3"/>
        <w:keepNext/>
        <w:numPr>
          <w:ilvl w:val="1"/>
          <w:numId w:val="90"/>
        </w:numPr>
        <w:jc w:val="both"/>
        <w:outlineLvl w:val="1"/>
        <w:rPr>
          <w:rFonts w:ascii="Arial" w:hAnsi="Arial" w:cs="Arial"/>
          <w:b/>
          <w:sz w:val="18"/>
          <w:szCs w:val="18"/>
          <w:lang w:val="en-US"/>
        </w:rPr>
      </w:pPr>
      <w:r w:rsidRPr="00BD295E">
        <w:rPr>
          <w:rFonts w:ascii="Arial" w:hAnsi="Arial" w:cs="Arial"/>
          <w:b/>
          <w:sz w:val="18"/>
          <w:szCs w:val="18"/>
          <w:lang w:val="en-US"/>
        </w:rPr>
        <w:t xml:space="preserve"> </w:t>
      </w:r>
      <w:bookmarkStart w:id="510" w:name="_Toc506469852"/>
      <w:bookmarkStart w:id="511" w:name="_Toc509581274"/>
      <w:bookmarkStart w:id="512" w:name="_Toc510452238"/>
      <w:bookmarkStart w:id="513" w:name="_Toc5027027"/>
      <w:bookmarkStart w:id="514" w:name="_Toc5105985"/>
      <w:bookmarkStart w:id="515" w:name="_Toc5203838"/>
      <w:bookmarkStart w:id="516" w:name="_Toc6230935"/>
      <w:bookmarkStart w:id="517" w:name="_Toc7172583"/>
      <w:bookmarkStart w:id="518" w:name="_Toc7172629"/>
      <w:bookmarkStart w:id="519" w:name="_Toc95855304"/>
      <w:bookmarkStart w:id="520" w:name="_Toc95935363"/>
      <w:r w:rsidRPr="00BD295E">
        <w:rPr>
          <w:rFonts w:ascii="Arial" w:hAnsi="Arial" w:cs="Arial"/>
          <w:b/>
          <w:sz w:val="18"/>
          <w:szCs w:val="18"/>
          <w:lang w:val="en-US"/>
        </w:rPr>
        <w:t>Procurement</w:t>
      </w:r>
      <w:bookmarkEnd w:id="506"/>
      <w:bookmarkEnd w:id="507"/>
      <w:bookmarkEnd w:id="510"/>
      <w:bookmarkEnd w:id="511"/>
      <w:bookmarkEnd w:id="512"/>
      <w:bookmarkEnd w:id="513"/>
      <w:bookmarkEnd w:id="514"/>
      <w:bookmarkEnd w:id="515"/>
      <w:bookmarkEnd w:id="516"/>
      <w:bookmarkEnd w:id="517"/>
      <w:bookmarkEnd w:id="518"/>
      <w:bookmarkEnd w:id="519"/>
      <w:bookmarkEnd w:id="520"/>
    </w:p>
    <w:bookmarkEnd w:id="505"/>
    <w:p w14:paraId="79D70E59" w14:textId="77777777" w:rsidR="00ED79C9" w:rsidRPr="00BD295E" w:rsidRDefault="00ED79C9" w:rsidP="00ED79C9">
      <w:pPr>
        <w:spacing w:line="240" w:lineRule="atLeast"/>
        <w:ind w:firstLine="709"/>
        <w:jc w:val="both"/>
        <w:rPr>
          <w:rFonts w:ascii="Arial" w:hAnsi="Arial" w:cs="Arial"/>
          <w:sz w:val="18"/>
          <w:szCs w:val="18"/>
          <w:lang w:val="en-US"/>
        </w:rPr>
      </w:pPr>
    </w:p>
    <w:p w14:paraId="4A4E69C3" w14:textId="77777777" w:rsidR="00ED79C9" w:rsidRPr="00BD295E" w:rsidRDefault="008A5057" w:rsidP="002B0157">
      <w:pPr>
        <w:spacing w:line="240" w:lineRule="atLeast"/>
        <w:jc w:val="both"/>
        <w:rPr>
          <w:rFonts w:ascii="Arial" w:hAnsi="Arial" w:cs="Arial"/>
          <w:sz w:val="18"/>
          <w:szCs w:val="18"/>
          <w:lang w:val="en-US"/>
        </w:rPr>
      </w:pPr>
      <w:r w:rsidRPr="00BD295E">
        <w:rPr>
          <w:rFonts w:ascii="Arial" w:hAnsi="Arial" w:cs="Arial"/>
          <w:sz w:val="18"/>
          <w:szCs w:val="18"/>
          <w:lang w:val="en-US"/>
        </w:rPr>
        <w:t>The key areas of the Company’s procurement activities include ensuring procurement openness and transparency, improving the level of competition among procurement procedure participants, and maximizing the economic effect from procurement.</w:t>
      </w:r>
    </w:p>
    <w:p w14:paraId="3D3C3A60" w14:textId="77777777" w:rsidR="00ED79C9" w:rsidRPr="00BD295E" w:rsidRDefault="008A5057" w:rsidP="002B0157">
      <w:pPr>
        <w:jc w:val="both"/>
        <w:rPr>
          <w:rFonts w:ascii="Arial" w:hAnsi="Arial" w:cs="Arial"/>
          <w:sz w:val="18"/>
          <w:szCs w:val="18"/>
          <w:lang w:val="en-US"/>
        </w:rPr>
      </w:pPr>
      <w:r w:rsidRPr="00BD295E">
        <w:rPr>
          <w:rFonts w:ascii="Arial" w:hAnsi="Arial" w:cs="Arial"/>
          <w:sz w:val="18"/>
          <w:szCs w:val="18"/>
          <w:lang w:val="en-US"/>
        </w:rPr>
        <w:t>The Company has determined its key goals in raising the effectiveness of procurement:</w:t>
      </w:r>
    </w:p>
    <w:p w14:paraId="4A985B3A" w14:textId="77777777" w:rsidR="00ED79C9" w:rsidRPr="00BD295E" w:rsidRDefault="008A5057" w:rsidP="002B0157">
      <w:pPr>
        <w:numPr>
          <w:ilvl w:val="0"/>
          <w:numId w:val="122"/>
        </w:numPr>
        <w:tabs>
          <w:tab w:val="clear" w:pos="1260"/>
        </w:tabs>
        <w:ind w:left="0" w:firstLine="0"/>
        <w:jc w:val="both"/>
        <w:rPr>
          <w:rFonts w:ascii="Arial" w:hAnsi="Arial" w:cs="Arial"/>
          <w:sz w:val="18"/>
          <w:szCs w:val="18"/>
          <w:lang w:val="en-US"/>
        </w:rPr>
      </w:pPr>
      <w:r w:rsidRPr="00BD295E">
        <w:rPr>
          <w:rFonts w:ascii="Arial" w:hAnsi="Arial" w:cs="Arial"/>
          <w:sz w:val="18"/>
          <w:szCs w:val="18"/>
          <w:lang w:val="en-US"/>
        </w:rPr>
        <w:t>Providing the Company with quality equipment, machinery, materials, and services for adequate prices;</w:t>
      </w:r>
    </w:p>
    <w:p w14:paraId="51F09E8E" w14:textId="77777777" w:rsidR="00ED79C9" w:rsidRPr="00BD295E" w:rsidRDefault="008A5057" w:rsidP="002B0157">
      <w:pPr>
        <w:numPr>
          <w:ilvl w:val="0"/>
          <w:numId w:val="122"/>
        </w:numPr>
        <w:tabs>
          <w:tab w:val="clear" w:pos="1260"/>
        </w:tabs>
        <w:ind w:left="0" w:firstLine="0"/>
        <w:jc w:val="both"/>
        <w:rPr>
          <w:rFonts w:ascii="Arial" w:hAnsi="Arial" w:cs="Arial"/>
          <w:sz w:val="18"/>
          <w:szCs w:val="18"/>
          <w:lang w:val="en-US"/>
        </w:rPr>
      </w:pPr>
      <w:r w:rsidRPr="00BD295E">
        <w:rPr>
          <w:rFonts w:ascii="Arial" w:hAnsi="Arial" w:cs="Arial"/>
          <w:sz w:val="18"/>
          <w:szCs w:val="18"/>
          <w:lang w:val="en-US"/>
        </w:rPr>
        <w:t>Competitive procurement;</w:t>
      </w:r>
    </w:p>
    <w:p w14:paraId="16FF894D" w14:textId="77777777" w:rsidR="00ED79C9" w:rsidRPr="00BD295E" w:rsidRDefault="008A5057" w:rsidP="002B0157">
      <w:pPr>
        <w:numPr>
          <w:ilvl w:val="0"/>
          <w:numId w:val="122"/>
        </w:numPr>
        <w:tabs>
          <w:tab w:val="clear" w:pos="1260"/>
        </w:tabs>
        <w:ind w:left="0" w:firstLine="0"/>
        <w:jc w:val="both"/>
        <w:rPr>
          <w:rFonts w:ascii="Arial" w:hAnsi="Arial" w:cs="Arial"/>
          <w:sz w:val="18"/>
          <w:szCs w:val="18"/>
          <w:lang w:val="en-US"/>
        </w:rPr>
      </w:pPr>
      <w:r w:rsidRPr="00BD295E">
        <w:rPr>
          <w:rFonts w:ascii="Arial" w:hAnsi="Arial" w:cs="Arial"/>
          <w:sz w:val="18"/>
          <w:szCs w:val="18"/>
          <w:lang w:val="en-US"/>
        </w:rPr>
        <w:t>Robust organization of procurement procedures;</w:t>
      </w:r>
    </w:p>
    <w:p w14:paraId="64430F09" w14:textId="77777777" w:rsidR="00ED79C9" w:rsidRPr="00BD295E" w:rsidRDefault="008A5057" w:rsidP="002B0157">
      <w:pPr>
        <w:numPr>
          <w:ilvl w:val="0"/>
          <w:numId w:val="122"/>
        </w:numPr>
        <w:tabs>
          <w:tab w:val="clear" w:pos="1260"/>
        </w:tabs>
        <w:ind w:left="0" w:firstLine="0"/>
        <w:jc w:val="both"/>
        <w:rPr>
          <w:rFonts w:ascii="Arial" w:hAnsi="Arial" w:cs="Arial"/>
          <w:sz w:val="18"/>
          <w:szCs w:val="18"/>
          <w:lang w:val="en-US"/>
        </w:rPr>
      </w:pPr>
      <w:r w:rsidRPr="00BD295E">
        <w:rPr>
          <w:rFonts w:ascii="Arial" w:hAnsi="Arial" w:cs="Arial"/>
          <w:sz w:val="18"/>
          <w:szCs w:val="18"/>
          <w:lang w:val="en-US"/>
        </w:rPr>
        <w:t>High objectivity of procurement procedures;</w:t>
      </w:r>
    </w:p>
    <w:p w14:paraId="7BA4B1B8" w14:textId="77777777" w:rsidR="00ED79C9" w:rsidRPr="00BD295E" w:rsidRDefault="008A5057" w:rsidP="002B0157">
      <w:pPr>
        <w:numPr>
          <w:ilvl w:val="0"/>
          <w:numId w:val="122"/>
        </w:numPr>
        <w:tabs>
          <w:tab w:val="clear" w:pos="1260"/>
        </w:tabs>
        <w:ind w:left="0" w:firstLine="0"/>
        <w:jc w:val="both"/>
        <w:rPr>
          <w:rFonts w:ascii="Arial" w:hAnsi="Arial" w:cs="Arial"/>
          <w:sz w:val="18"/>
          <w:szCs w:val="18"/>
          <w:lang w:val="en-US"/>
        </w:rPr>
      </w:pPr>
      <w:r w:rsidRPr="00BD295E">
        <w:rPr>
          <w:rFonts w:ascii="Arial" w:hAnsi="Arial" w:cs="Arial"/>
          <w:sz w:val="18"/>
          <w:szCs w:val="18"/>
          <w:lang w:val="en-US"/>
        </w:rPr>
        <w:t>Achieving cost-effectiveness of procurement.</w:t>
      </w:r>
    </w:p>
    <w:p w14:paraId="7842DDCC" w14:textId="77777777" w:rsidR="00ED79C9" w:rsidRPr="00BD295E" w:rsidRDefault="00ED79C9" w:rsidP="002B0157">
      <w:pPr>
        <w:jc w:val="both"/>
        <w:rPr>
          <w:rFonts w:ascii="Arial" w:hAnsi="Arial" w:cs="Arial"/>
          <w:sz w:val="18"/>
          <w:szCs w:val="18"/>
          <w:lang w:val="en-US"/>
        </w:rPr>
      </w:pPr>
    </w:p>
    <w:p w14:paraId="3843C1FD" w14:textId="77777777" w:rsidR="00ED79C9" w:rsidRPr="00BD295E" w:rsidRDefault="008A5057" w:rsidP="002B0157">
      <w:pPr>
        <w:jc w:val="both"/>
        <w:rPr>
          <w:rFonts w:ascii="Arial" w:hAnsi="Arial" w:cs="Arial"/>
          <w:sz w:val="18"/>
          <w:szCs w:val="18"/>
          <w:lang w:val="en-US"/>
        </w:rPr>
      </w:pPr>
      <w:r w:rsidRPr="00BD295E">
        <w:rPr>
          <w:rFonts w:ascii="Arial" w:hAnsi="Arial" w:cs="Arial"/>
          <w:sz w:val="18"/>
          <w:szCs w:val="18"/>
          <w:lang w:val="en-US"/>
        </w:rPr>
        <w:t xml:space="preserve">In 2018, the Company’s procurement activities were regulated by the following documents: </w:t>
      </w:r>
    </w:p>
    <w:p w14:paraId="1A75C986"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Federal Law No. 223-FZ, </w:t>
      </w:r>
      <w:r w:rsidRPr="00BD295E">
        <w:rPr>
          <w:rFonts w:ascii="Arial" w:hAnsi="Arial" w:cs="Arial"/>
          <w:i/>
          <w:iCs/>
          <w:sz w:val="18"/>
          <w:szCs w:val="18"/>
          <w:lang w:val="en-US"/>
        </w:rPr>
        <w:t>On Purchases of Goods, Work, and Services by Certain Types of Legal Entities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July 18, 2011;</w:t>
      </w:r>
    </w:p>
    <w:p w14:paraId="33C0DF84"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Federal Law No. 135-FZ, </w:t>
      </w:r>
      <w:r w:rsidRPr="00BD295E">
        <w:rPr>
          <w:rFonts w:ascii="Arial" w:hAnsi="Arial" w:cs="Arial"/>
          <w:i/>
          <w:iCs/>
          <w:sz w:val="18"/>
          <w:szCs w:val="18"/>
          <w:lang w:val="en-US"/>
        </w:rPr>
        <w:t>On Competition Protection</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July 26, 2006;</w:t>
      </w:r>
    </w:p>
    <w:p w14:paraId="094B8986"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Federal Law No. 122-FZ, </w:t>
      </w:r>
      <w:r w:rsidRPr="00BD295E">
        <w:rPr>
          <w:rFonts w:ascii="Arial" w:hAnsi="Arial" w:cs="Arial"/>
          <w:i/>
          <w:iCs/>
          <w:sz w:val="18"/>
          <w:szCs w:val="18"/>
          <w:lang w:val="en-US"/>
        </w:rPr>
        <w:t>On Amendments to the Russian Code of Administrative Offences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May 5, 2014;</w:t>
      </w:r>
    </w:p>
    <w:p w14:paraId="31E7807E"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Government Resolution No. 591, </w:t>
      </w:r>
      <w:r w:rsidRPr="00BD295E">
        <w:rPr>
          <w:rFonts w:ascii="Arial" w:hAnsi="Arial" w:cs="Arial"/>
          <w:i/>
          <w:iCs/>
          <w:sz w:val="18"/>
          <w:szCs w:val="18"/>
          <w:lang w:val="en-US"/>
        </w:rPr>
        <w:t>On approval of rules for preparing and adopting acts of the Russian Government on determining a specific purchase, lists and (or) groups of goods, works, or services, information on which is not a state secret, but may not be published on official websites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14, 2012;</w:t>
      </w:r>
    </w:p>
    <w:p w14:paraId="19393F10"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Government Resolution No. 616, </w:t>
      </w:r>
      <w:r w:rsidRPr="00BD295E">
        <w:rPr>
          <w:rFonts w:ascii="Arial" w:hAnsi="Arial" w:cs="Arial"/>
          <w:i/>
          <w:iCs/>
          <w:sz w:val="18"/>
          <w:szCs w:val="18"/>
          <w:lang w:val="en-US"/>
        </w:rPr>
        <w:t>On Approval of the List of Goods, Works, and Services That Are Purchased in Electronic Form</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June 21, 2012;</w:t>
      </w:r>
    </w:p>
    <w:p w14:paraId="443501C2"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Government Resolution No. 908, </w:t>
      </w:r>
      <w:r w:rsidRPr="00BD295E">
        <w:rPr>
          <w:rFonts w:ascii="Arial" w:hAnsi="Arial" w:cs="Arial"/>
          <w:i/>
          <w:iCs/>
          <w:sz w:val="18"/>
          <w:szCs w:val="18"/>
          <w:lang w:val="en-US"/>
        </w:rPr>
        <w:t>On Approval of the Regulations for Publishing Information on Procurement on the Official Website</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10, 2012;</w:t>
      </w:r>
    </w:p>
    <w:p w14:paraId="40914B1D"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Government Resolution No. 932, </w:t>
      </w:r>
      <w:r w:rsidRPr="00BD295E">
        <w:rPr>
          <w:rFonts w:ascii="Arial" w:hAnsi="Arial" w:cs="Arial"/>
          <w:i/>
          <w:iCs/>
          <w:sz w:val="18"/>
          <w:szCs w:val="18"/>
          <w:lang w:val="en-US"/>
        </w:rPr>
        <w:t>On Approval of Rules for Preparing a Plan of Procurement of Goods (Works, Services) and Requirements for the Form of Such Plan</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17, 2012;</w:t>
      </w:r>
    </w:p>
    <w:p w14:paraId="20FB76FF"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Government Resolution No. 1211 </w:t>
      </w:r>
      <w:r w:rsidRPr="00BD295E">
        <w:rPr>
          <w:rFonts w:ascii="Arial" w:hAnsi="Arial" w:cs="Arial"/>
          <w:i/>
          <w:iCs/>
          <w:sz w:val="18"/>
          <w:szCs w:val="18"/>
          <w:lang w:val="en-US"/>
        </w:rPr>
        <w:t>On Keeping the Register of Unscrupulous Suppliers under the Federal Law On Purchases of Goods, Work, and Services by Certain Types of Legal Entities</w:t>
      </w:r>
      <w:bookmarkStart w:id="521" w:name="From"/>
      <w:bookmarkStart w:id="522" w:name="SignNumber"/>
      <w:bookmarkEnd w:id="521"/>
      <w:bookmarkEnd w:id="522"/>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November 22, 2012;</w:t>
      </w:r>
    </w:p>
    <w:p w14:paraId="6A10D7D8"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Government Resolution No. 1132, </w:t>
      </w:r>
      <w:r w:rsidRPr="00BD295E">
        <w:rPr>
          <w:rFonts w:ascii="Arial" w:hAnsi="Arial" w:cs="Arial"/>
          <w:i/>
          <w:iCs/>
          <w:sz w:val="18"/>
          <w:szCs w:val="18"/>
          <w:lang w:val="en-US"/>
        </w:rPr>
        <w:t>On the Procedure for Keeping the Register of Contracts Awarded by Customers after a Procurement Procedure</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31, 2014;</w:t>
      </w:r>
    </w:p>
    <w:p w14:paraId="2335770D"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Government Resolution No. 1352, </w:t>
      </w:r>
      <w:r w:rsidRPr="00BD295E">
        <w:rPr>
          <w:rFonts w:ascii="Arial" w:hAnsi="Arial" w:cs="Arial"/>
          <w:i/>
          <w:iCs/>
          <w:sz w:val="18"/>
          <w:szCs w:val="18"/>
          <w:lang w:val="en-US"/>
        </w:rPr>
        <w:t>On the Particularities of Small- and Medium-Sized Businesses’ Participation in the Purchases of Goods, Work, and Services by Specific Types of Legal Entities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11, 2014 (as amended on October 29, 2015);</w:t>
      </w:r>
    </w:p>
    <w:p w14:paraId="5524F1AF"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Government Resolution No. 1169 </w:t>
      </w:r>
      <w:r w:rsidRPr="00BD295E">
        <w:rPr>
          <w:rFonts w:ascii="Arial" w:hAnsi="Arial" w:cs="Arial"/>
          <w:i/>
          <w:iCs/>
          <w:sz w:val="18"/>
          <w:szCs w:val="18"/>
          <w:lang w:val="en-US"/>
        </w:rPr>
        <w:t>On the procedure for monitoring the compliance of plans for procurement of goods, works, and services, plans for procurement of innovative products, high-tech products, medicines, changes made to such plans, assessment of compliance of draft plans, and draft changes to be made to such plans with Russian laws, providing for participation of small- and medium-size businesses in procurement, and the procedure and terms for suspending the implementation of such plans as a result of such assessment and monitoring</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29, 2015;</w:t>
      </w:r>
    </w:p>
    <w:p w14:paraId="055896C0"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Russian Government Resolution No. 1442, </w:t>
      </w:r>
      <w:r w:rsidRPr="00BD295E">
        <w:rPr>
          <w:rFonts w:ascii="Arial" w:hAnsi="Arial" w:cs="Arial"/>
          <w:i/>
          <w:iCs/>
          <w:sz w:val="18"/>
          <w:szCs w:val="18"/>
          <w:lang w:val="en-US"/>
        </w:rPr>
        <w:t>On the Procurement of Innovative Products, High-Tech Products by Certain Types of Legal Entities and Amendments to Certain Acts of the Government of the Russian Federation</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25, 2015;</w:t>
      </w:r>
    </w:p>
    <w:p w14:paraId="329C04DD"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Russian Government Resolution No. 925, </w:t>
      </w:r>
      <w:r w:rsidRPr="00BD295E">
        <w:rPr>
          <w:rFonts w:ascii="Arial" w:hAnsi="Arial" w:cs="Arial"/>
          <w:i/>
          <w:iCs/>
          <w:sz w:val="18"/>
          <w:szCs w:val="18"/>
          <w:lang w:val="en-US"/>
        </w:rPr>
        <w:t>On the Priority of Goods of Russian Origin and Work and Services Performed by Russian Persons over Goods of Foreign Origin and Work and Services Performed by Foreign Persons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September 16, 2016;</w:t>
      </w:r>
    </w:p>
    <w:p w14:paraId="26736635"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Government Resolution No. 867-r, </w:t>
      </w:r>
      <w:r w:rsidRPr="00BD295E">
        <w:rPr>
          <w:rFonts w:ascii="Arial" w:hAnsi="Arial" w:cs="Arial"/>
          <w:i/>
          <w:iCs/>
          <w:sz w:val="18"/>
          <w:szCs w:val="18"/>
          <w:lang w:val="en-US"/>
        </w:rPr>
        <w:t>On the Approval of the Action Plan (Road Map) “Expanding Access of Small- and Medium-Sized Businesses to Purchases of Infrastructural Monopolies and Government-Linked Companies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May 29, 2013;</w:t>
      </w:r>
    </w:p>
    <w:p w14:paraId="3424C384"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the Uniform Procurement Standard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(Procurement Regulations) approved by the Board of Directors of the Company (Minutes No. 11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29, 2018);</w:t>
      </w:r>
    </w:p>
    <w:p w14:paraId="016D64A4" w14:textId="77777777" w:rsidR="00ED79C9" w:rsidRPr="00BD295E" w:rsidRDefault="008A5057" w:rsidP="002B0157">
      <w:pPr>
        <w:pStyle w:val="af3"/>
        <w:numPr>
          <w:ilvl w:val="0"/>
          <w:numId w:val="123"/>
        </w:numPr>
        <w:tabs>
          <w:tab w:val="clear" w:pos="126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Regulations on the Activities of the Central Procurement Body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approved by Order No. 82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17, 2017.  </w:t>
      </w:r>
    </w:p>
    <w:p w14:paraId="5CBA9835" w14:textId="77777777" w:rsidR="00ED79C9" w:rsidRPr="00BD295E" w:rsidRDefault="00ED79C9" w:rsidP="002B0157">
      <w:pPr>
        <w:spacing w:line="240" w:lineRule="atLeast"/>
        <w:jc w:val="both"/>
        <w:rPr>
          <w:rFonts w:ascii="Arial" w:hAnsi="Arial" w:cs="Arial"/>
          <w:sz w:val="18"/>
          <w:szCs w:val="18"/>
          <w:lang w:val="en-US"/>
        </w:rPr>
      </w:pPr>
    </w:p>
    <w:p w14:paraId="7D6DFEAB" w14:textId="77777777" w:rsidR="00ED79C9" w:rsidRPr="00BD295E" w:rsidRDefault="008A5057" w:rsidP="002B0157">
      <w:pPr>
        <w:spacing w:line="240" w:lineRule="atLeast"/>
        <w:jc w:val="both"/>
        <w:rPr>
          <w:rFonts w:ascii="Arial" w:hAnsi="Arial" w:cs="Arial"/>
          <w:sz w:val="18"/>
          <w:szCs w:val="18"/>
          <w:lang w:val="en-US"/>
        </w:rPr>
      </w:pPr>
      <w:r w:rsidRPr="00BD295E">
        <w:rPr>
          <w:rFonts w:ascii="Arial" w:hAnsi="Arial" w:cs="Arial"/>
          <w:sz w:val="18"/>
          <w:szCs w:val="18"/>
          <w:lang w:val="en-US"/>
        </w:rPr>
        <w:t>When carrying out procurement, open competitive methods are applied to select inventory contractors and suppliers, including:</w:t>
      </w:r>
    </w:p>
    <w:p w14:paraId="7FCFF47B" w14:textId="77777777" w:rsidR="00ED79C9" w:rsidRPr="00BD295E" w:rsidRDefault="008A5057" w:rsidP="002B0157">
      <w:pPr>
        <w:numPr>
          <w:ilvl w:val="0"/>
          <w:numId w:val="37"/>
        </w:numPr>
        <w:tabs>
          <w:tab w:val="clear" w:pos="1260"/>
        </w:tabs>
        <w:spacing w:line="240" w:lineRule="atLeast"/>
        <w:ind w:left="0" w:firstLine="0"/>
        <w:jc w:val="both"/>
        <w:rPr>
          <w:rFonts w:ascii="Arial" w:hAnsi="Arial" w:cs="Arial"/>
          <w:sz w:val="18"/>
          <w:szCs w:val="18"/>
          <w:lang w:val="en-US"/>
        </w:rPr>
      </w:pPr>
      <w:r w:rsidRPr="00BD295E">
        <w:rPr>
          <w:rFonts w:ascii="Arial" w:hAnsi="Arial" w:cs="Arial"/>
          <w:sz w:val="18"/>
          <w:szCs w:val="18"/>
          <w:lang w:val="en-US"/>
        </w:rPr>
        <w:t xml:space="preserve">bidding procedures, </w:t>
      </w:r>
    </w:p>
    <w:p w14:paraId="67E31761" w14:textId="77777777" w:rsidR="00ED79C9" w:rsidRPr="00BD295E" w:rsidRDefault="008A5057" w:rsidP="002B0157">
      <w:pPr>
        <w:numPr>
          <w:ilvl w:val="0"/>
          <w:numId w:val="37"/>
        </w:numPr>
        <w:tabs>
          <w:tab w:val="clear" w:pos="1260"/>
        </w:tabs>
        <w:spacing w:line="240" w:lineRule="atLeast"/>
        <w:ind w:left="0" w:firstLine="0"/>
        <w:jc w:val="both"/>
        <w:rPr>
          <w:rFonts w:ascii="Arial" w:hAnsi="Arial" w:cs="Arial"/>
          <w:sz w:val="18"/>
          <w:szCs w:val="18"/>
          <w:lang w:val="en-US"/>
        </w:rPr>
      </w:pPr>
      <w:r w:rsidRPr="00BD295E">
        <w:rPr>
          <w:rFonts w:ascii="Arial" w:hAnsi="Arial" w:cs="Arial"/>
          <w:sz w:val="18"/>
          <w:szCs w:val="18"/>
          <w:lang w:val="en-US"/>
        </w:rPr>
        <w:t>auctions,</w:t>
      </w:r>
    </w:p>
    <w:p w14:paraId="0E04D875" w14:textId="77777777" w:rsidR="00ED79C9" w:rsidRPr="00BD295E" w:rsidRDefault="008A5057" w:rsidP="002B0157">
      <w:pPr>
        <w:numPr>
          <w:ilvl w:val="0"/>
          <w:numId w:val="37"/>
        </w:numPr>
        <w:tabs>
          <w:tab w:val="clear" w:pos="1260"/>
        </w:tabs>
        <w:spacing w:line="240" w:lineRule="atLeast"/>
        <w:ind w:left="0" w:firstLine="0"/>
        <w:jc w:val="both"/>
        <w:rPr>
          <w:rFonts w:ascii="Arial" w:hAnsi="Arial" w:cs="Arial"/>
          <w:sz w:val="18"/>
          <w:szCs w:val="18"/>
          <w:lang w:val="en-US"/>
        </w:rPr>
      </w:pPr>
      <w:r w:rsidRPr="00BD295E">
        <w:rPr>
          <w:rFonts w:ascii="Arial" w:hAnsi="Arial" w:cs="Arial"/>
          <w:sz w:val="18"/>
          <w:szCs w:val="18"/>
          <w:lang w:val="en-US"/>
        </w:rPr>
        <w:t xml:space="preserve">requests for proposals, </w:t>
      </w:r>
    </w:p>
    <w:p w14:paraId="6AF0A96A" w14:textId="77777777" w:rsidR="00ED79C9" w:rsidRPr="00BD295E" w:rsidRDefault="008A5057" w:rsidP="002B0157">
      <w:pPr>
        <w:numPr>
          <w:ilvl w:val="0"/>
          <w:numId w:val="37"/>
        </w:numPr>
        <w:tabs>
          <w:tab w:val="clear" w:pos="1260"/>
        </w:tabs>
        <w:spacing w:line="240" w:lineRule="atLeast"/>
        <w:ind w:left="0" w:firstLine="0"/>
        <w:jc w:val="both"/>
        <w:rPr>
          <w:rFonts w:ascii="Arial" w:hAnsi="Arial" w:cs="Arial"/>
          <w:sz w:val="18"/>
          <w:szCs w:val="18"/>
          <w:lang w:val="en-US"/>
        </w:rPr>
      </w:pPr>
      <w:r w:rsidRPr="00BD295E">
        <w:rPr>
          <w:rFonts w:ascii="Arial" w:hAnsi="Arial" w:cs="Arial"/>
          <w:sz w:val="18"/>
          <w:szCs w:val="18"/>
          <w:lang w:val="en-US"/>
        </w:rPr>
        <w:t xml:space="preserve">requests for quotation. </w:t>
      </w:r>
    </w:p>
    <w:p w14:paraId="2DA02818" w14:textId="77777777" w:rsidR="00ED79C9" w:rsidRPr="00BD295E" w:rsidRDefault="00ED79C9" w:rsidP="002B0157">
      <w:pPr>
        <w:spacing w:line="240" w:lineRule="atLeast"/>
        <w:jc w:val="both"/>
        <w:rPr>
          <w:rFonts w:ascii="Arial" w:hAnsi="Arial" w:cs="Arial"/>
          <w:sz w:val="18"/>
          <w:szCs w:val="18"/>
          <w:lang w:val="en-US"/>
        </w:rPr>
      </w:pPr>
    </w:p>
    <w:p w14:paraId="742ED970" w14:textId="77777777" w:rsidR="00ED79C9" w:rsidRPr="00BD295E" w:rsidRDefault="008A5057" w:rsidP="002B0157">
      <w:pPr>
        <w:spacing w:line="240" w:lineRule="atLeast"/>
        <w:jc w:val="both"/>
        <w:rPr>
          <w:rFonts w:ascii="Arial" w:hAnsi="Arial" w:cs="Arial"/>
          <w:sz w:val="18"/>
          <w:szCs w:val="18"/>
          <w:lang w:val="en-US"/>
        </w:rPr>
      </w:pPr>
      <w:r w:rsidRPr="00BD295E">
        <w:rPr>
          <w:rFonts w:ascii="Arial" w:hAnsi="Arial" w:cs="Arial"/>
          <w:sz w:val="18"/>
          <w:szCs w:val="18"/>
          <w:lang w:val="en-US"/>
        </w:rPr>
        <w:t>Procurement from a single supplier (contractor) is applied:</w:t>
      </w:r>
    </w:p>
    <w:p w14:paraId="44588AC8" w14:textId="77777777" w:rsidR="00ED79C9" w:rsidRPr="00BD295E" w:rsidRDefault="008A5057" w:rsidP="002B0157">
      <w:pPr>
        <w:pStyle w:val="af3"/>
        <w:numPr>
          <w:ilvl w:val="0"/>
          <w:numId w:val="124"/>
        </w:numPr>
        <w:spacing w:line="240" w:lineRule="atLeast"/>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 when selecting contractors to address emergencies, provided that the amount of products to be purchased should not be more than sufficient to prevent an emergency or manage its consequences, </w:t>
      </w:r>
    </w:p>
    <w:p w14:paraId="13D1067B" w14:textId="77777777" w:rsidR="00ED79C9" w:rsidRPr="00BD295E" w:rsidRDefault="008A5057" w:rsidP="002B0157">
      <w:pPr>
        <w:pStyle w:val="af3"/>
        <w:numPr>
          <w:ilvl w:val="0"/>
          <w:numId w:val="124"/>
        </w:numPr>
        <w:spacing w:line="240" w:lineRule="atLeast"/>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in cases where there is a need for additional procurement not specified in the master contract, provided that the change of product supplier may lead to significant technical difficulties in operation and maintenance or such additional works (services) are inseparable from the master contract, </w:t>
      </w:r>
    </w:p>
    <w:p w14:paraId="54F25EC5" w14:textId="77777777" w:rsidR="00ED79C9" w:rsidRPr="00BD295E" w:rsidRDefault="008A5057" w:rsidP="002B0157">
      <w:pPr>
        <w:pStyle w:val="af3"/>
        <w:numPr>
          <w:ilvl w:val="0"/>
          <w:numId w:val="124"/>
        </w:numPr>
        <w:spacing w:line="240" w:lineRule="atLeast"/>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from organizations that have a monopoly in the market. </w:t>
      </w:r>
    </w:p>
    <w:p w14:paraId="712A8D58" w14:textId="77777777" w:rsidR="00ED79C9" w:rsidRPr="00BD295E" w:rsidRDefault="00ED79C9" w:rsidP="002B0157">
      <w:pPr>
        <w:pStyle w:val="Default"/>
        <w:jc w:val="both"/>
        <w:rPr>
          <w:rFonts w:ascii="Arial" w:hAnsi="Arial" w:cs="Arial"/>
          <w:color w:val="auto"/>
          <w:sz w:val="18"/>
          <w:szCs w:val="18"/>
          <w:lang w:val="en-US"/>
        </w:rPr>
      </w:pPr>
    </w:p>
    <w:p w14:paraId="087D6AC0" w14:textId="77777777" w:rsidR="00ED79C9" w:rsidRPr="00BD295E" w:rsidRDefault="008A5057" w:rsidP="002B0157">
      <w:pPr>
        <w:rPr>
          <w:rFonts w:ascii="Arial" w:hAnsi="Arial" w:cs="Arial"/>
          <w:b/>
          <w:sz w:val="18"/>
          <w:szCs w:val="18"/>
          <w:lang w:val="en-US"/>
        </w:rPr>
      </w:pPr>
      <w:r w:rsidRPr="00BD295E">
        <w:rPr>
          <w:rFonts w:ascii="Arial" w:hAnsi="Arial" w:cs="Arial"/>
          <w:b/>
          <w:sz w:val="18"/>
          <w:szCs w:val="18"/>
          <w:lang w:val="en-US"/>
        </w:rPr>
        <w:t>Performance under the procurement program in 2018</w:t>
      </w:r>
    </w:p>
    <w:p w14:paraId="4E74EBF1" w14:textId="77777777" w:rsidR="00ED79C9" w:rsidRPr="00BD295E" w:rsidRDefault="00ED79C9" w:rsidP="002B0157">
      <w:pPr>
        <w:tabs>
          <w:tab w:val="num" w:pos="-142"/>
          <w:tab w:val="left" w:pos="567"/>
        </w:tabs>
        <w:rPr>
          <w:rFonts w:ascii="Arial" w:hAnsi="Arial" w:cs="Arial"/>
          <w:sz w:val="18"/>
          <w:szCs w:val="18"/>
          <w:lang w:val="en-US"/>
        </w:rPr>
      </w:pPr>
    </w:p>
    <w:p w14:paraId="768C4C1F" w14:textId="77777777" w:rsidR="00ED79C9" w:rsidRPr="00BD295E" w:rsidRDefault="008A5057" w:rsidP="002B0157">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995 purchases for a total of RUB 32,818, including VAT, were made in the reporting period through a bidding procedure.</w:t>
      </w:r>
    </w:p>
    <w:p w14:paraId="7F513DB7" w14:textId="77777777" w:rsidR="00ED79C9" w:rsidRPr="00BD295E" w:rsidRDefault="00ED79C9" w:rsidP="002B0157">
      <w:pPr>
        <w:tabs>
          <w:tab w:val="num" w:pos="-142"/>
          <w:tab w:val="left" w:pos="567"/>
        </w:tabs>
        <w:spacing w:line="240" w:lineRule="atLeast"/>
        <w:jc w:val="both"/>
        <w:rPr>
          <w:rFonts w:ascii="Arial" w:hAnsi="Arial" w:cs="Arial"/>
          <w:sz w:val="18"/>
          <w:szCs w:val="18"/>
          <w:lang w:val="en-US"/>
        </w:rPr>
      </w:pPr>
    </w:p>
    <w:p w14:paraId="6AB98A71" w14:textId="77777777" w:rsidR="00ED79C9" w:rsidRPr="00BD295E" w:rsidRDefault="008A5057" w:rsidP="002B0157">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Including by procurement program sections:</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7"/>
        <w:gridCol w:w="1276"/>
        <w:gridCol w:w="1276"/>
        <w:gridCol w:w="1485"/>
        <w:gridCol w:w="1350"/>
      </w:tblGrid>
      <w:tr w:rsidR="008A5057" w:rsidRPr="00BD295E" w14:paraId="7B8A4B7E" w14:textId="77777777" w:rsidTr="00E3510B">
        <w:trPr>
          <w:trHeight w:val="263"/>
          <w:tblHeader/>
        </w:trPr>
        <w:tc>
          <w:tcPr>
            <w:tcW w:w="3827" w:type="dxa"/>
            <w:vMerge w:val="restart"/>
            <w:shd w:val="clear" w:color="auto" w:fill="BDD6EE"/>
            <w:vAlign w:val="center"/>
          </w:tcPr>
          <w:p w14:paraId="6B00FFB8"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Sections of the annual comprehensive procurement program (ACPP)</w:t>
            </w:r>
          </w:p>
        </w:tc>
        <w:tc>
          <w:tcPr>
            <w:tcW w:w="5387" w:type="dxa"/>
            <w:gridSpan w:val="4"/>
            <w:shd w:val="clear" w:color="auto" w:fill="BDD6EE"/>
            <w:vAlign w:val="center"/>
          </w:tcPr>
          <w:p w14:paraId="205F1A8D"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Procurements under ACPP</w:t>
            </w:r>
          </w:p>
        </w:tc>
      </w:tr>
      <w:tr w:rsidR="008A5057" w:rsidRPr="00BD295E" w14:paraId="1B4CB73C" w14:textId="77777777" w:rsidTr="00E3510B">
        <w:trPr>
          <w:trHeight w:val="280"/>
          <w:tblHeader/>
        </w:trPr>
        <w:tc>
          <w:tcPr>
            <w:tcW w:w="3827" w:type="dxa"/>
            <w:vMerge/>
            <w:shd w:val="clear" w:color="auto" w:fill="BDD6EE"/>
            <w:vAlign w:val="center"/>
          </w:tcPr>
          <w:p w14:paraId="037F0A6D" w14:textId="77777777" w:rsidR="00ED79C9" w:rsidRPr="00BD295E" w:rsidRDefault="00ED79C9" w:rsidP="00ED79C9">
            <w:pPr>
              <w:tabs>
                <w:tab w:val="num" w:pos="-142"/>
                <w:tab w:val="left" w:pos="567"/>
              </w:tabs>
              <w:spacing w:line="240" w:lineRule="atLeast"/>
              <w:ind w:firstLine="34"/>
              <w:jc w:val="center"/>
              <w:rPr>
                <w:rFonts w:ascii="Arial" w:hAnsi="Arial" w:cs="Arial"/>
                <w:b/>
                <w:sz w:val="18"/>
                <w:szCs w:val="18"/>
                <w:lang w:val="en-US"/>
              </w:rPr>
            </w:pPr>
          </w:p>
        </w:tc>
        <w:tc>
          <w:tcPr>
            <w:tcW w:w="2552" w:type="dxa"/>
            <w:gridSpan w:val="2"/>
            <w:shd w:val="clear" w:color="auto" w:fill="BDD6EE"/>
            <w:vAlign w:val="center"/>
          </w:tcPr>
          <w:p w14:paraId="3BBFAF92"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Number of purchases</w:t>
            </w:r>
          </w:p>
        </w:tc>
        <w:tc>
          <w:tcPr>
            <w:tcW w:w="2835" w:type="dxa"/>
            <w:gridSpan w:val="2"/>
            <w:shd w:val="clear" w:color="auto" w:fill="BDD6EE"/>
            <w:vAlign w:val="center"/>
          </w:tcPr>
          <w:p w14:paraId="43BF41D1"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Cost, RUB million, including VAT</w:t>
            </w:r>
          </w:p>
        </w:tc>
      </w:tr>
      <w:tr w:rsidR="008A5057" w:rsidRPr="00BD295E" w14:paraId="364E4ABF" w14:textId="77777777" w:rsidTr="00E3510B">
        <w:trPr>
          <w:trHeight w:val="260"/>
          <w:tblHeader/>
        </w:trPr>
        <w:tc>
          <w:tcPr>
            <w:tcW w:w="3827" w:type="dxa"/>
            <w:vMerge/>
            <w:shd w:val="clear" w:color="auto" w:fill="BDD6EE"/>
            <w:vAlign w:val="center"/>
          </w:tcPr>
          <w:p w14:paraId="691E3723" w14:textId="77777777" w:rsidR="00ED79C9" w:rsidRPr="00BD295E" w:rsidRDefault="00ED79C9" w:rsidP="00ED79C9">
            <w:pPr>
              <w:tabs>
                <w:tab w:val="num" w:pos="-142"/>
                <w:tab w:val="left" w:pos="567"/>
              </w:tabs>
              <w:spacing w:line="240" w:lineRule="atLeast"/>
              <w:ind w:firstLine="34"/>
              <w:jc w:val="center"/>
              <w:rPr>
                <w:rFonts w:ascii="Arial" w:hAnsi="Arial" w:cs="Arial"/>
                <w:b/>
                <w:sz w:val="18"/>
                <w:szCs w:val="18"/>
                <w:lang w:val="en-US"/>
              </w:rPr>
            </w:pPr>
          </w:p>
        </w:tc>
        <w:tc>
          <w:tcPr>
            <w:tcW w:w="1276" w:type="dxa"/>
            <w:shd w:val="clear" w:color="auto" w:fill="BDD6EE"/>
            <w:vAlign w:val="center"/>
          </w:tcPr>
          <w:p w14:paraId="47361859"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Plan*</w:t>
            </w:r>
          </w:p>
        </w:tc>
        <w:tc>
          <w:tcPr>
            <w:tcW w:w="1276" w:type="dxa"/>
            <w:shd w:val="clear" w:color="auto" w:fill="BDD6EE"/>
            <w:vAlign w:val="center"/>
          </w:tcPr>
          <w:p w14:paraId="0150F7FC"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Actual**</w:t>
            </w:r>
          </w:p>
        </w:tc>
        <w:tc>
          <w:tcPr>
            <w:tcW w:w="1485" w:type="dxa"/>
            <w:shd w:val="clear" w:color="auto" w:fill="BDD6EE"/>
            <w:vAlign w:val="center"/>
          </w:tcPr>
          <w:p w14:paraId="1A46365F"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Plan*</w:t>
            </w:r>
          </w:p>
        </w:tc>
        <w:tc>
          <w:tcPr>
            <w:tcW w:w="1350" w:type="dxa"/>
            <w:shd w:val="clear" w:color="auto" w:fill="BDD6EE"/>
            <w:vAlign w:val="center"/>
          </w:tcPr>
          <w:p w14:paraId="12A09A5B"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Actual**</w:t>
            </w:r>
          </w:p>
        </w:tc>
      </w:tr>
      <w:tr w:rsidR="008A5057" w:rsidRPr="00BD295E" w14:paraId="21C0C6E7" w14:textId="77777777" w:rsidTr="00ED79C9">
        <w:trPr>
          <w:trHeight w:val="532"/>
        </w:trPr>
        <w:tc>
          <w:tcPr>
            <w:tcW w:w="3827" w:type="dxa"/>
            <w:vAlign w:val="center"/>
          </w:tcPr>
          <w:p w14:paraId="74964DA0"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New builds and expansion of electric grid facilities</w:t>
            </w:r>
          </w:p>
        </w:tc>
        <w:tc>
          <w:tcPr>
            <w:tcW w:w="1276" w:type="dxa"/>
            <w:vAlign w:val="center"/>
          </w:tcPr>
          <w:p w14:paraId="452CD92D"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88</w:t>
            </w:r>
          </w:p>
        </w:tc>
        <w:tc>
          <w:tcPr>
            <w:tcW w:w="1276" w:type="dxa"/>
            <w:vAlign w:val="center"/>
          </w:tcPr>
          <w:p w14:paraId="64947C78"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89</w:t>
            </w:r>
          </w:p>
        </w:tc>
        <w:tc>
          <w:tcPr>
            <w:tcW w:w="1485" w:type="dxa"/>
            <w:vAlign w:val="center"/>
          </w:tcPr>
          <w:p w14:paraId="2F7801BA"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2,816</w:t>
            </w:r>
          </w:p>
        </w:tc>
        <w:tc>
          <w:tcPr>
            <w:tcW w:w="1350" w:type="dxa"/>
            <w:vAlign w:val="center"/>
          </w:tcPr>
          <w:p w14:paraId="29E71942"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2,733</w:t>
            </w:r>
          </w:p>
        </w:tc>
      </w:tr>
      <w:tr w:rsidR="008A5057" w:rsidRPr="00BD295E" w14:paraId="4A3BB681" w14:textId="77777777" w:rsidTr="00ED79C9">
        <w:trPr>
          <w:trHeight w:val="432"/>
        </w:trPr>
        <w:tc>
          <w:tcPr>
            <w:tcW w:w="3827" w:type="dxa"/>
          </w:tcPr>
          <w:p w14:paraId="7B9B6228"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Renovation and technical upgrading of electric grid facilities</w:t>
            </w:r>
          </w:p>
        </w:tc>
        <w:tc>
          <w:tcPr>
            <w:tcW w:w="1276" w:type="dxa"/>
            <w:vAlign w:val="center"/>
          </w:tcPr>
          <w:p w14:paraId="13119B5C"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606</w:t>
            </w:r>
          </w:p>
        </w:tc>
        <w:tc>
          <w:tcPr>
            <w:tcW w:w="1276" w:type="dxa"/>
            <w:vAlign w:val="center"/>
          </w:tcPr>
          <w:p w14:paraId="2581D198"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474</w:t>
            </w:r>
          </w:p>
        </w:tc>
        <w:tc>
          <w:tcPr>
            <w:tcW w:w="1485" w:type="dxa"/>
            <w:vAlign w:val="center"/>
          </w:tcPr>
          <w:p w14:paraId="00527E67"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16,189</w:t>
            </w:r>
          </w:p>
        </w:tc>
        <w:tc>
          <w:tcPr>
            <w:tcW w:w="1350" w:type="dxa"/>
            <w:vAlign w:val="center"/>
          </w:tcPr>
          <w:p w14:paraId="77C7E226"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13,643</w:t>
            </w:r>
          </w:p>
        </w:tc>
      </w:tr>
      <w:tr w:rsidR="008A5057" w:rsidRPr="00BD295E" w14:paraId="6D7CF68D" w14:textId="77777777" w:rsidTr="00ED79C9">
        <w:trPr>
          <w:trHeight w:val="471"/>
        </w:trPr>
        <w:tc>
          <w:tcPr>
            <w:tcW w:w="3827" w:type="dxa"/>
          </w:tcPr>
          <w:p w14:paraId="6FD54DE6"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Maintenance and repairs of electrical and other equipment</w:t>
            </w:r>
          </w:p>
        </w:tc>
        <w:tc>
          <w:tcPr>
            <w:tcW w:w="1276" w:type="dxa"/>
            <w:vAlign w:val="center"/>
          </w:tcPr>
          <w:p w14:paraId="651A64FE"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340</w:t>
            </w:r>
          </w:p>
        </w:tc>
        <w:tc>
          <w:tcPr>
            <w:tcW w:w="1276" w:type="dxa"/>
            <w:vAlign w:val="center"/>
          </w:tcPr>
          <w:p w14:paraId="40A1489A"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241</w:t>
            </w:r>
          </w:p>
        </w:tc>
        <w:tc>
          <w:tcPr>
            <w:tcW w:w="1485" w:type="dxa"/>
            <w:vAlign w:val="center"/>
          </w:tcPr>
          <w:p w14:paraId="066B1E1B"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2,779</w:t>
            </w:r>
          </w:p>
        </w:tc>
        <w:tc>
          <w:tcPr>
            <w:tcW w:w="1350" w:type="dxa"/>
            <w:vAlign w:val="center"/>
          </w:tcPr>
          <w:p w14:paraId="566EA356"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2,225</w:t>
            </w:r>
          </w:p>
        </w:tc>
      </w:tr>
      <w:tr w:rsidR="008A5057" w:rsidRPr="00BD295E" w14:paraId="55DADAF7" w14:textId="77777777" w:rsidTr="00ED79C9">
        <w:trPr>
          <w:trHeight w:val="495"/>
        </w:trPr>
        <w:tc>
          <w:tcPr>
            <w:tcW w:w="3827" w:type="dxa"/>
            <w:vAlign w:val="center"/>
          </w:tcPr>
          <w:p w14:paraId="6E0B7708"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IT procurement</w:t>
            </w:r>
          </w:p>
        </w:tc>
        <w:tc>
          <w:tcPr>
            <w:tcW w:w="1276" w:type="dxa"/>
            <w:vAlign w:val="center"/>
          </w:tcPr>
          <w:p w14:paraId="48E258D4"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49</w:t>
            </w:r>
          </w:p>
        </w:tc>
        <w:tc>
          <w:tcPr>
            <w:tcW w:w="1276" w:type="dxa"/>
            <w:vAlign w:val="center"/>
          </w:tcPr>
          <w:p w14:paraId="2E769EA6"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42</w:t>
            </w:r>
          </w:p>
        </w:tc>
        <w:tc>
          <w:tcPr>
            <w:tcW w:w="1485" w:type="dxa"/>
            <w:vAlign w:val="center"/>
          </w:tcPr>
          <w:p w14:paraId="17B113C9"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637</w:t>
            </w:r>
          </w:p>
        </w:tc>
        <w:tc>
          <w:tcPr>
            <w:tcW w:w="1350" w:type="dxa"/>
            <w:vAlign w:val="center"/>
          </w:tcPr>
          <w:p w14:paraId="7F50B273"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475</w:t>
            </w:r>
          </w:p>
        </w:tc>
      </w:tr>
      <w:tr w:rsidR="008A5057" w:rsidRPr="00BD295E" w14:paraId="3B8C170D" w14:textId="77777777" w:rsidTr="00ED79C9">
        <w:trPr>
          <w:trHeight w:val="545"/>
        </w:trPr>
        <w:tc>
          <w:tcPr>
            <w:tcW w:w="3827" w:type="dxa"/>
            <w:vAlign w:val="center"/>
          </w:tcPr>
          <w:p w14:paraId="480F12DE"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R&amp;D</w:t>
            </w:r>
          </w:p>
        </w:tc>
        <w:tc>
          <w:tcPr>
            <w:tcW w:w="1276" w:type="dxa"/>
            <w:vAlign w:val="center"/>
          </w:tcPr>
          <w:p w14:paraId="0553A006"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19</w:t>
            </w:r>
          </w:p>
        </w:tc>
        <w:tc>
          <w:tcPr>
            <w:tcW w:w="1276" w:type="dxa"/>
            <w:vAlign w:val="center"/>
          </w:tcPr>
          <w:p w14:paraId="742EC3B1"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17</w:t>
            </w:r>
          </w:p>
        </w:tc>
        <w:tc>
          <w:tcPr>
            <w:tcW w:w="1485" w:type="dxa"/>
            <w:vAlign w:val="center"/>
          </w:tcPr>
          <w:p w14:paraId="41166260"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428</w:t>
            </w:r>
          </w:p>
        </w:tc>
        <w:tc>
          <w:tcPr>
            <w:tcW w:w="1350" w:type="dxa"/>
            <w:vAlign w:val="center"/>
          </w:tcPr>
          <w:p w14:paraId="12C8C722"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389</w:t>
            </w:r>
          </w:p>
        </w:tc>
      </w:tr>
      <w:tr w:rsidR="008A5057" w:rsidRPr="00BD295E" w14:paraId="7AB62D4D" w14:textId="77777777" w:rsidTr="00ED79C9">
        <w:trPr>
          <w:trHeight w:val="553"/>
        </w:trPr>
        <w:tc>
          <w:tcPr>
            <w:tcW w:w="3827" w:type="dxa"/>
            <w:vAlign w:val="center"/>
          </w:tcPr>
          <w:p w14:paraId="085D344E"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Advisory services</w:t>
            </w:r>
          </w:p>
        </w:tc>
        <w:tc>
          <w:tcPr>
            <w:tcW w:w="1276" w:type="dxa"/>
            <w:vAlign w:val="center"/>
          </w:tcPr>
          <w:p w14:paraId="7AAC3AFF"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5</w:t>
            </w:r>
          </w:p>
        </w:tc>
        <w:tc>
          <w:tcPr>
            <w:tcW w:w="1276" w:type="dxa"/>
            <w:vAlign w:val="center"/>
          </w:tcPr>
          <w:p w14:paraId="3C603E5A"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4</w:t>
            </w:r>
          </w:p>
        </w:tc>
        <w:tc>
          <w:tcPr>
            <w:tcW w:w="1485" w:type="dxa"/>
            <w:vAlign w:val="center"/>
          </w:tcPr>
          <w:p w14:paraId="5344C3F5"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129</w:t>
            </w:r>
          </w:p>
        </w:tc>
        <w:tc>
          <w:tcPr>
            <w:tcW w:w="1350" w:type="dxa"/>
            <w:vAlign w:val="center"/>
          </w:tcPr>
          <w:p w14:paraId="101E6FDD"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84</w:t>
            </w:r>
          </w:p>
        </w:tc>
      </w:tr>
      <w:tr w:rsidR="008A5057" w:rsidRPr="00BD295E" w14:paraId="4E97548C" w14:textId="77777777" w:rsidTr="00ED79C9">
        <w:trPr>
          <w:trHeight w:val="575"/>
        </w:trPr>
        <w:tc>
          <w:tcPr>
            <w:tcW w:w="3827" w:type="dxa"/>
            <w:vAlign w:val="center"/>
          </w:tcPr>
          <w:p w14:paraId="39F4CFC5"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Other procurement</w:t>
            </w:r>
          </w:p>
        </w:tc>
        <w:tc>
          <w:tcPr>
            <w:tcW w:w="1276" w:type="dxa"/>
            <w:vAlign w:val="center"/>
          </w:tcPr>
          <w:p w14:paraId="7FD38883"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134</w:t>
            </w:r>
          </w:p>
        </w:tc>
        <w:tc>
          <w:tcPr>
            <w:tcW w:w="1276" w:type="dxa"/>
            <w:vAlign w:val="center"/>
          </w:tcPr>
          <w:p w14:paraId="71290285"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128</w:t>
            </w:r>
          </w:p>
        </w:tc>
        <w:tc>
          <w:tcPr>
            <w:tcW w:w="1485" w:type="dxa"/>
            <w:vAlign w:val="center"/>
          </w:tcPr>
          <w:p w14:paraId="4D52AF1D"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10,115</w:t>
            </w:r>
          </w:p>
        </w:tc>
        <w:tc>
          <w:tcPr>
            <w:tcW w:w="1350" w:type="dxa"/>
            <w:vAlign w:val="center"/>
          </w:tcPr>
          <w:p w14:paraId="7814BCAE"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13,270</w:t>
            </w:r>
          </w:p>
        </w:tc>
      </w:tr>
      <w:tr w:rsidR="008A5057" w:rsidRPr="00BD295E" w14:paraId="3A3F2904" w14:textId="77777777" w:rsidTr="00ED79C9">
        <w:trPr>
          <w:trHeight w:val="579"/>
        </w:trPr>
        <w:tc>
          <w:tcPr>
            <w:tcW w:w="3827" w:type="dxa"/>
            <w:vAlign w:val="center"/>
          </w:tcPr>
          <w:p w14:paraId="1E936A16" w14:textId="77777777" w:rsidR="00ED79C9" w:rsidRPr="00BD295E" w:rsidRDefault="008A5057" w:rsidP="00ED79C9">
            <w:pPr>
              <w:tabs>
                <w:tab w:val="num" w:pos="-142"/>
                <w:tab w:val="left" w:pos="567"/>
              </w:tabs>
              <w:spacing w:line="240" w:lineRule="atLeast"/>
              <w:rPr>
                <w:rFonts w:ascii="Arial" w:hAnsi="Arial" w:cs="Arial"/>
                <w:b/>
                <w:sz w:val="18"/>
                <w:szCs w:val="18"/>
                <w:lang w:val="en-US"/>
              </w:rPr>
            </w:pPr>
            <w:r w:rsidRPr="00BD295E">
              <w:rPr>
                <w:rFonts w:ascii="Arial" w:hAnsi="Arial" w:cs="Arial"/>
                <w:b/>
                <w:sz w:val="18"/>
                <w:szCs w:val="18"/>
                <w:lang w:val="en-US"/>
              </w:rPr>
              <w:t>TOTAL</w:t>
            </w:r>
          </w:p>
        </w:tc>
        <w:tc>
          <w:tcPr>
            <w:tcW w:w="1276" w:type="dxa"/>
            <w:vAlign w:val="center"/>
          </w:tcPr>
          <w:p w14:paraId="18597EB3"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1,241</w:t>
            </w:r>
          </w:p>
        </w:tc>
        <w:tc>
          <w:tcPr>
            <w:tcW w:w="1276" w:type="dxa"/>
            <w:vAlign w:val="center"/>
          </w:tcPr>
          <w:p w14:paraId="3C5E4F0D"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995</w:t>
            </w:r>
          </w:p>
        </w:tc>
        <w:tc>
          <w:tcPr>
            <w:tcW w:w="1485" w:type="dxa"/>
            <w:vAlign w:val="center"/>
          </w:tcPr>
          <w:p w14:paraId="090B7E24"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33,093</w:t>
            </w:r>
          </w:p>
        </w:tc>
        <w:tc>
          <w:tcPr>
            <w:tcW w:w="1350" w:type="dxa"/>
            <w:vAlign w:val="center"/>
          </w:tcPr>
          <w:p w14:paraId="18F2EB72"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32,818</w:t>
            </w:r>
          </w:p>
        </w:tc>
      </w:tr>
    </w:tbl>
    <w:p w14:paraId="24154590" w14:textId="77777777" w:rsidR="00ED79C9" w:rsidRPr="00BD295E" w:rsidRDefault="008A5057" w:rsidP="00ED79C9">
      <w:pPr>
        <w:tabs>
          <w:tab w:val="num" w:pos="-142"/>
          <w:tab w:val="left" w:pos="567"/>
        </w:tabs>
        <w:spacing w:line="240" w:lineRule="atLeast"/>
        <w:ind w:firstLine="709"/>
        <w:jc w:val="both"/>
        <w:rPr>
          <w:rFonts w:ascii="Arial" w:hAnsi="Arial" w:cs="Arial"/>
          <w:sz w:val="18"/>
          <w:szCs w:val="18"/>
          <w:lang w:val="en-US"/>
        </w:rPr>
      </w:pPr>
      <w:r w:rsidRPr="00BD295E">
        <w:rPr>
          <w:rFonts w:ascii="Arial" w:hAnsi="Arial" w:cs="Arial"/>
          <w:sz w:val="18"/>
          <w:szCs w:val="18"/>
          <w:lang w:val="en-US"/>
        </w:rPr>
        <w:t xml:space="preserve">* plan – procurements announced during the reporting period; </w:t>
      </w:r>
    </w:p>
    <w:p w14:paraId="5F1A673F" w14:textId="77777777" w:rsidR="00ED79C9" w:rsidRPr="00BD295E" w:rsidRDefault="008A5057" w:rsidP="002B0157">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 actual – procurements that took place with the contract awarded to the winner, taking into account the procurements of the previous year that were accounted for in 2018.</w:t>
      </w:r>
    </w:p>
    <w:p w14:paraId="12F7D619" w14:textId="77777777" w:rsidR="00ED79C9" w:rsidRPr="00BD295E" w:rsidRDefault="00ED79C9" w:rsidP="002B0157">
      <w:pPr>
        <w:tabs>
          <w:tab w:val="num" w:pos="-142"/>
          <w:tab w:val="left" w:pos="567"/>
        </w:tabs>
        <w:spacing w:line="240" w:lineRule="atLeast"/>
        <w:jc w:val="both"/>
        <w:rPr>
          <w:rFonts w:ascii="Arial" w:hAnsi="Arial" w:cs="Arial"/>
          <w:sz w:val="18"/>
          <w:szCs w:val="18"/>
          <w:lang w:val="en-US"/>
        </w:rPr>
      </w:pPr>
    </w:p>
    <w:p w14:paraId="48DD3A60" w14:textId="77777777" w:rsidR="00ED79C9" w:rsidRPr="00BD295E" w:rsidRDefault="008A5057" w:rsidP="002B0157">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Including by procurement method:</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88"/>
        <w:gridCol w:w="1357"/>
        <w:gridCol w:w="1418"/>
        <w:gridCol w:w="1417"/>
        <w:gridCol w:w="1276"/>
      </w:tblGrid>
      <w:tr w:rsidR="008A5057" w:rsidRPr="00BD295E" w14:paraId="7A58F0F4" w14:textId="77777777" w:rsidTr="00E3510B">
        <w:trPr>
          <w:trHeight w:val="263"/>
          <w:tblHeader/>
        </w:trPr>
        <w:tc>
          <w:tcPr>
            <w:tcW w:w="3888" w:type="dxa"/>
            <w:vMerge w:val="restart"/>
            <w:shd w:val="clear" w:color="auto" w:fill="BDD6EE"/>
            <w:vAlign w:val="center"/>
          </w:tcPr>
          <w:p w14:paraId="6A153EAD"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ACPP sections</w:t>
            </w:r>
          </w:p>
        </w:tc>
        <w:tc>
          <w:tcPr>
            <w:tcW w:w="5468" w:type="dxa"/>
            <w:gridSpan w:val="4"/>
            <w:shd w:val="clear" w:color="auto" w:fill="BDD6EE"/>
            <w:vAlign w:val="center"/>
          </w:tcPr>
          <w:p w14:paraId="4C126FD4"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Procurements under the procurement program</w:t>
            </w:r>
          </w:p>
        </w:tc>
      </w:tr>
      <w:tr w:rsidR="008A5057" w:rsidRPr="00BD295E" w14:paraId="0A239AD9" w14:textId="77777777" w:rsidTr="00E3510B">
        <w:trPr>
          <w:trHeight w:val="280"/>
          <w:tblHeader/>
        </w:trPr>
        <w:tc>
          <w:tcPr>
            <w:tcW w:w="3888" w:type="dxa"/>
            <w:vMerge/>
            <w:shd w:val="clear" w:color="auto" w:fill="BDD6EE"/>
            <w:vAlign w:val="center"/>
          </w:tcPr>
          <w:p w14:paraId="4120B1C8" w14:textId="77777777" w:rsidR="00ED79C9" w:rsidRPr="00BD295E" w:rsidRDefault="00ED79C9" w:rsidP="00ED79C9">
            <w:pPr>
              <w:tabs>
                <w:tab w:val="num" w:pos="-142"/>
                <w:tab w:val="left" w:pos="567"/>
              </w:tabs>
              <w:spacing w:line="240" w:lineRule="atLeast"/>
              <w:ind w:firstLine="34"/>
              <w:jc w:val="center"/>
              <w:rPr>
                <w:rFonts w:ascii="Arial" w:hAnsi="Arial" w:cs="Arial"/>
                <w:b/>
                <w:sz w:val="18"/>
                <w:szCs w:val="18"/>
                <w:lang w:val="en-US"/>
              </w:rPr>
            </w:pPr>
          </w:p>
        </w:tc>
        <w:tc>
          <w:tcPr>
            <w:tcW w:w="2775" w:type="dxa"/>
            <w:gridSpan w:val="2"/>
            <w:shd w:val="clear" w:color="auto" w:fill="BDD6EE"/>
            <w:vAlign w:val="center"/>
          </w:tcPr>
          <w:p w14:paraId="1E512A4A"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Number of purchases</w:t>
            </w:r>
          </w:p>
        </w:tc>
        <w:tc>
          <w:tcPr>
            <w:tcW w:w="2693" w:type="dxa"/>
            <w:gridSpan w:val="2"/>
            <w:shd w:val="clear" w:color="auto" w:fill="BDD6EE"/>
            <w:vAlign w:val="center"/>
          </w:tcPr>
          <w:p w14:paraId="2AD00A30"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Cost, RUB million, including VAT</w:t>
            </w:r>
          </w:p>
        </w:tc>
      </w:tr>
      <w:tr w:rsidR="008A5057" w:rsidRPr="00BD295E" w14:paraId="7A0AFE2E" w14:textId="77777777" w:rsidTr="00E3510B">
        <w:trPr>
          <w:trHeight w:val="260"/>
          <w:tblHeader/>
        </w:trPr>
        <w:tc>
          <w:tcPr>
            <w:tcW w:w="3888" w:type="dxa"/>
            <w:vMerge/>
            <w:shd w:val="clear" w:color="auto" w:fill="BDD6EE"/>
            <w:vAlign w:val="center"/>
          </w:tcPr>
          <w:p w14:paraId="12F82E48" w14:textId="77777777" w:rsidR="00ED79C9" w:rsidRPr="00BD295E" w:rsidRDefault="00ED79C9" w:rsidP="00ED79C9">
            <w:pPr>
              <w:tabs>
                <w:tab w:val="num" w:pos="-142"/>
                <w:tab w:val="left" w:pos="567"/>
              </w:tabs>
              <w:spacing w:line="240" w:lineRule="atLeast"/>
              <w:ind w:firstLine="34"/>
              <w:jc w:val="center"/>
              <w:rPr>
                <w:rFonts w:ascii="Arial" w:hAnsi="Arial" w:cs="Arial"/>
                <w:b/>
                <w:sz w:val="18"/>
                <w:szCs w:val="18"/>
                <w:lang w:val="en-US"/>
              </w:rPr>
            </w:pPr>
          </w:p>
        </w:tc>
        <w:tc>
          <w:tcPr>
            <w:tcW w:w="1357" w:type="dxa"/>
            <w:shd w:val="clear" w:color="auto" w:fill="BDD6EE"/>
            <w:vAlign w:val="center"/>
          </w:tcPr>
          <w:p w14:paraId="56144384"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Plan*</w:t>
            </w:r>
          </w:p>
        </w:tc>
        <w:tc>
          <w:tcPr>
            <w:tcW w:w="1418" w:type="dxa"/>
            <w:shd w:val="clear" w:color="auto" w:fill="BDD6EE"/>
            <w:vAlign w:val="center"/>
          </w:tcPr>
          <w:p w14:paraId="626F041B"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Actual**</w:t>
            </w:r>
          </w:p>
        </w:tc>
        <w:tc>
          <w:tcPr>
            <w:tcW w:w="1417" w:type="dxa"/>
            <w:shd w:val="clear" w:color="auto" w:fill="BDD6EE"/>
            <w:vAlign w:val="center"/>
          </w:tcPr>
          <w:p w14:paraId="57FD61E3"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Plan*</w:t>
            </w:r>
          </w:p>
        </w:tc>
        <w:tc>
          <w:tcPr>
            <w:tcW w:w="1276" w:type="dxa"/>
            <w:shd w:val="clear" w:color="auto" w:fill="BDD6EE"/>
            <w:vAlign w:val="center"/>
          </w:tcPr>
          <w:p w14:paraId="2EA138C1" w14:textId="77777777" w:rsidR="00ED79C9" w:rsidRPr="00BD295E" w:rsidRDefault="008A5057" w:rsidP="00ED79C9">
            <w:pPr>
              <w:tabs>
                <w:tab w:val="num" w:pos="-142"/>
                <w:tab w:val="left" w:pos="567"/>
              </w:tabs>
              <w:spacing w:line="240" w:lineRule="atLeast"/>
              <w:ind w:firstLine="34"/>
              <w:jc w:val="center"/>
              <w:rPr>
                <w:rFonts w:ascii="Arial" w:hAnsi="Arial" w:cs="Arial"/>
                <w:b/>
                <w:sz w:val="18"/>
                <w:szCs w:val="18"/>
                <w:lang w:val="en-US"/>
              </w:rPr>
            </w:pPr>
            <w:r w:rsidRPr="00BD295E">
              <w:rPr>
                <w:rFonts w:ascii="Arial" w:hAnsi="Arial" w:cs="Arial"/>
                <w:b/>
                <w:sz w:val="18"/>
                <w:szCs w:val="18"/>
                <w:lang w:val="en-US"/>
              </w:rPr>
              <w:t>Actual**</w:t>
            </w:r>
          </w:p>
        </w:tc>
      </w:tr>
      <w:tr w:rsidR="008A5057" w:rsidRPr="00BD295E" w14:paraId="51E6A252" w14:textId="77777777" w:rsidTr="00ED79C9">
        <w:trPr>
          <w:trHeight w:val="575"/>
        </w:trPr>
        <w:tc>
          <w:tcPr>
            <w:tcW w:w="3888" w:type="dxa"/>
            <w:vAlign w:val="center"/>
          </w:tcPr>
          <w:p w14:paraId="12C62226"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Public bidding procedure</w:t>
            </w:r>
          </w:p>
        </w:tc>
        <w:tc>
          <w:tcPr>
            <w:tcW w:w="1357" w:type="dxa"/>
            <w:vAlign w:val="center"/>
          </w:tcPr>
          <w:p w14:paraId="5618D3F6"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268</w:t>
            </w:r>
          </w:p>
        </w:tc>
        <w:tc>
          <w:tcPr>
            <w:tcW w:w="1418" w:type="dxa"/>
            <w:vAlign w:val="center"/>
          </w:tcPr>
          <w:p w14:paraId="11885B23"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200</w:t>
            </w:r>
          </w:p>
        </w:tc>
        <w:tc>
          <w:tcPr>
            <w:tcW w:w="1417" w:type="dxa"/>
            <w:vAlign w:val="center"/>
          </w:tcPr>
          <w:p w14:paraId="371D0E3B"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11,337</w:t>
            </w:r>
          </w:p>
        </w:tc>
        <w:tc>
          <w:tcPr>
            <w:tcW w:w="1276" w:type="dxa"/>
            <w:vAlign w:val="center"/>
          </w:tcPr>
          <w:p w14:paraId="70B7AFF8" w14:textId="77777777" w:rsidR="00ED79C9" w:rsidRPr="00BD295E" w:rsidRDefault="008A5057" w:rsidP="00ED79C9">
            <w:pPr>
              <w:ind w:firstLine="34"/>
              <w:jc w:val="center"/>
              <w:rPr>
                <w:rFonts w:ascii="Arial" w:hAnsi="Arial" w:cs="Arial"/>
                <w:sz w:val="18"/>
                <w:szCs w:val="18"/>
                <w:lang w:val="en-US"/>
              </w:rPr>
            </w:pPr>
            <w:r w:rsidRPr="00BD295E">
              <w:rPr>
                <w:rFonts w:ascii="Arial" w:hAnsi="Arial" w:cs="Arial"/>
                <w:sz w:val="18"/>
                <w:szCs w:val="18"/>
                <w:lang w:val="en-US"/>
              </w:rPr>
              <w:t>9,072</w:t>
            </w:r>
          </w:p>
        </w:tc>
      </w:tr>
      <w:tr w:rsidR="008A5057" w:rsidRPr="00BD295E" w14:paraId="40DD500B" w14:textId="77777777" w:rsidTr="00ED79C9">
        <w:trPr>
          <w:trHeight w:val="484"/>
        </w:trPr>
        <w:tc>
          <w:tcPr>
            <w:tcW w:w="3888" w:type="dxa"/>
            <w:vAlign w:val="center"/>
          </w:tcPr>
          <w:p w14:paraId="17EE0CEB"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Public request for proposals</w:t>
            </w:r>
          </w:p>
        </w:tc>
        <w:tc>
          <w:tcPr>
            <w:tcW w:w="1357" w:type="dxa"/>
            <w:vAlign w:val="center"/>
          </w:tcPr>
          <w:p w14:paraId="227240C8"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569</w:t>
            </w:r>
          </w:p>
        </w:tc>
        <w:tc>
          <w:tcPr>
            <w:tcW w:w="1418" w:type="dxa"/>
            <w:vAlign w:val="center"/>
          </w:tcPr>
          <w:p w14:paraId="142BEEFB"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438</w:t>
            </w:r>
          </w:p>
        </w:tc>
        <w:tc>
          <w:tcPr>
            <w:tcW w:w="1417" w:type="dxa"/>
            <w:vAlign w:val="center"/>
          </w:tcPr>
          <w:p w14:paraId="747BE11B"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8,569</w:t>
            </w:r>
          </w:p>
        </w:tc>
        <w:tc>
          <w:tcPr>
            <w:tcW w:w="1276" w:type="dxa"/>
            <w:vAlign w:val="center"/>
          </w:tcPr>
          <w:p w14:paraId="4F77C56A" w14:textId="77777777" w:rsidR="00ED79C9" w:rsidRPr="00BD295E" w:rsidRDefault="008A5057" w:rsidP="00ED79C9">
            <w:pPr>
              <w:ind w:firstLine="34"/>
              <w:jc w:val="center"/>
              <w:rPr>
                <w:rFonts w:ascii="Arial" w:hAnsi="Arial" w:cs="Arial"/>
                <w:sz w:val="18"/>
                <w:szCs w:val="18"/>
                <w:lang w:val="en-US"/>
              </w:rPr>
            </w:pPr>
            <w:r w:rsidRPr="00BD295E">
              <w:rPr>
                <w:rFonts w:ascii="Arial" w:hAnsi="Arial" w:cs="Arial"/>
                <w:sz w:val="18"/>
                <w:szCs w:val="18"/>
                <w:lang w:val="en-US"/>
              </w:rPr>
              <w:t>7,532</w:t>
            </w:r>
          </w:p>
        </w:tc>
      </w:tr>
      <w:tr w:rsidR="008A5057" w:rsidRPr="00BD295E" w14:paraId="3A6FEB80" w14:textId="77777777" w:rsidTr="00ED79C9">
        <w:trPr>
          <w:trHeight w:val="633"/>
        </w:trPr>
        <w:tc>
          <w:tcPr>
            <w:tcW w:w="3888" w:type="dxa"/>
            <w:vAlign w:val="center"/>
          </w:tcPr>
          <w:p w14:paraId="05549C5A"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Public request for quotation</w:t>
            </w:r>
          </w:p>
        </w:tc>
        <w:tc>
          <w:tcPr>
            <w:tcW w:w="1357" w:type="dxa"/>
            <w:vAlign w:val="center"/>
          </w:tcPr>
          <w:p w14:paraId="19FEE0D2"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79</w:t>
            </w:r>
          </w:p>
        </w:tc>
        <w:tc>
          <w:tcPr>
            <w:tcW w:w="1418" w:type="dxa"/>
            <w:vAlign w:val="center"/>
          </w:tcPr>
          <w:p w14:paraId="62038DA3"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54</w:t>
            </w:r>
          </w:p>
        </w:tc>
        <w:tc>
          <w:tcPr>
            <w:tcW w:w="1417" w:type="dxa"/>
            <w:vAlign w:val="center"/>
          </w:tcPr>
          <w:p w14:paraId="3D5D8CA4"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291</w:t>
            </w:r>
          </w:p>
        </w:tc>
        <w:tc>
          <w:tcPr>
            <w:tcW w:w="1276" w:type="dxa"/>
            <w:vAlign w:val="center"/>
          </w:tcPr>
          <w:p w14:paraId="48E95508" w14:textId="77777777" w:rsidR="00ED79C9" w:rsidRPr="00BD295E" w:rsidRDefault="008A5057" w:rsidP="00ED79C9">
            <w:pPr>
              <w:ind w:firstLine="34"/>
              <w:jc w:val="center"/>
              <w:rPr>
                <w:rFonts w:ascii="Arial" w:hAnsi="Arial" w:cs="Arial"/>
                <w:sz w:val="18"/>
                <w:szCs w:val="18"/>
                <w:lang w:val="en-US"/>
              </w:rPr>
            </w:pPr>
            <w:r w:rsidRPr="00BD295E">
              <w:rPr>
                <w:rFonts w:ascii="Arial" w:hAnsi="Arial" w:cs="Arial"/>
                <w:sz w:val="18"/>
                <w:szCs w:val="18"/>
                <w:lang w:val="en-US"/>
              </w:rPr>
              <w:t>234</w:t>
            </w:r>
          </w:p>
        </w:tc>
      </w:tr>
      <w:tr w:rsidR="008A5057" w:rsidRPr="00BD295E" w14:paraId="210AFB36" w14:textId="77777777" w:rsidTr="00ED79C9">
        <w:trPr>
          <w:trHeight w:val="557"/>
        </w:trPr>
        <w:tc>
          <w:tcPr>
            <w:tcW w:w="3888" w:type="dxa"/>
            <w:vAlign w:val="center"/>
          </w:tcPr>
          <w:p w14:paraId="72AA4DF0"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Public auction</w:t>
            </w:r>
          </w:p>
        </w:tc>
        <w:tc>
          <w:tcPr>
            <w:tcW w:w="1357" w:type="dxa"/>
            <w:vAlign w:val="center"/>
          </w:tcPr>
          <w:p w14:paraId="0A7CD21F"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7</w:t>
            </w:r>
          </w:p>
        </w:tc>
        <w:tc>
          <w:tcPr>
            <w:tcW w:w="1418" w:type="dxa"/>
            <w:vAlign w:val="center"/>
          </w:tcPr>
          <w:p w14:paraId="7195B252"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10</w:t>
            </w:r>
          </w:p>
        </w:tc>
        <w:tc>
          <w:tcPr>
            <w:tcW w:w="1417" w:type="dxa"/>
            <w:vAlign w:val="center"/>
          </w:tcPr>
          <w:p w14:paraId="16E6E36F"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9,085</w:t>
            </w:r>
          </w:p>
        </w:tc>
        <w:tc>
          <w:tcPr>
            <w:tcW w:w="1276" w:type="dxa"/>
            <w:vAlign w:val="center"/>
          </w:tcPr>
          <w:p w14:paraId="32AFE5AD" w14:textId="77777777" w:rsidR="00ED79C9" w:rsidRPr="00BD295E" w:rsidRDefault="008A5057" w:rsidP="00ED79C9">
            <w:pPr>
              <w:ind w:firstLine="34"/>
              <w:jc w:val="center"/>
              <w:rPr>
                <w:rFonts w:ascii="Arial" w:hAnsi="Arial" w:cs="Arial"/>
                <w:sz w:val="18"/>
                <w:szCs w:val="18"/>
                <w:lang w:val="en-US"/>
              </w:rPr>
            </w:pPr>
            <w:r w:rsidRPr="00BD295E">
              <w:rPr>
                <w:rFonts w:ascii="Arial" w:hAnsi="Arial" w:cs="Arial"/>
                <w:sz w:val="18"/>
                <w:szCs w:val="18"/>
                <w:lang w:val="en-US"/>
              </w:rPr>
              <w:t>12,400</w:t>
            </w:r>
          </w:p>
        </w:tc>
      </w:tr>
      <w:tr w:rsidR="008A5057" w:rsidRPr="00BD295E" w14:paraId="56637FB1" w14:textId="77777777" w:rsidTr="00ED79C9">
        <w:trPr>
          <w:trHeight w:val="415"/>
        </w:trPr>
        <w:tc>
          <w:tcPr>
            <w:tcW w:w="3888" w:type="dxa"/>
            <w:vAlign w:val="center"/>
          </w:tcPr>
          <w:p w14:paraId="3D540688"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 xml:space="preserve">Request for quotation/proposals for framework agreements signed on awarding public bidding procedures </w:t>
            </w:r>
          </w:p>
        </w:tc>
        <w:tc>
          <w:tcPr>
            <w:tcW w:w="1357" w:type="dxa"/>
            <w:vAlign w:val="center"/>
          </w:tcPr>
          <w:p w14:paraId="5B8B66EC"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239</w:t>
            </w:r>
          </w:p>
        </w:tc>
        <w:tc>
          <w:tcPr>
            <w:tcW w:w="1418" w:type="dxa"/>
            <w:vAlign w:val="center"/>
          </w:tcPr>
          <w:p w14:paraId="0DF84B92"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214</w:t>
            </w:r>
          </w:p>
        </w:tc>
        <w:tc>
          <w:tcPr>
            <w:tcW w:w="1417" w:type="dxa"/>
            <w:vAlign w:val="center"/>
          </w:tcPr>
          <w:p w14:paraId="0977DFBB"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3,416</w:t>
            </w:r>
          </w:p>
        </w:tc>
        <w:tc>
          <w:tcPr>
            <w:tcW w:w="1276" w:type="dxa"/>
            <w:vAlign w:val="center"/>
          </w:tcPr>
          <w:p w14:paraId="56CECB8B" w14:textId="77777777" w:rsidR="00ED79C9" w:rsidRPr="00BD295E" w:rsidRDefault="008A5057" w:rsidP="00ED79C9">
            <w:pPr>
              <w:ind w:firstLine="34"/>
              <w:jc w:val="center"/>
              <w:rPr>
                <w:rFonts w:ascii="Arial" w:hAnsi="Arial" w:cs="Arial"/>
                <w:sz w:val="18"/>
                <w:szCs w:val="18"/>
                <w:lang w:val="en-US"/>
              </w:rPr>
            </w:pPr>
            <w:r w:rsidRPr="00BD295E">
              <w:rPr>
                <w:rFonts w:ascii="Arial" w:hAnsi="Arial" w:cs="Arial"/>
                <w:sz w:val="18"/>
                <w:szCs w:val="18"/>
                <w:lang w:val="en-US"/>
              </w:rPr>
              <w:t>3,185</w:t>
            </w:r>
          </w:p>
        </w:tc>
      </w:tr>
      <w:tr w:rsidR="008A5057" w:rsidRPr="00BD295E" w14:paraId="04E886F4" w14:textId="77777777" w:rsidTr="00ED79C9">
        <w:trPr>
          <w:trHeight w:val="846"/>
        </w:trPr>
        <w:tc>
          <w:tcPr>
            <w:tcW w:w="3888" w:type="dxa"/>
            <w:vAlign w:val="center"/>
          </w:tcPr>
          <w:p w14:paraId="42268E3B" w14:textId="77777777" w:rsidR="00ED79C9" w:rsidRPr="00BD295E" w:rsidRDefault="008A5057" w:rsidP="00ED79C9">
            <w:pPr>
              <w:tabs>
                <w:tab w:val="num" w:pos="-142"/>
                <w:tab w:val="left" w:pos="567"/>
              </w:tabs>
              <w:spacing w:line="240" w:lineRule="atLeast"/>
              <w:rPr>
                <w:rFonts w:ascii="Arial" w:hAnsi="Arial" w:cs="Arial"/>
                <w:sz w:val="18"/>
                <w:szCs w:val="18"/>
                <w:lang w:val="en-US"/>
              </w:rPr>
            </w:pPr>
            <w:r w:rsidRPr="00BD295E">
              <w:rPr>
                <w:rFonts w:ascii="Arial" w:hAnsi="Arial" w:cs="Arial"/>
                <w:sz w:val="18"/>
                <w:szCs w:val="18"/>
                <w:lang w:val="en-US"/>
              </w:rPr>
              <w:t>Sole supplier (contractor)</w:t>
            </w:r>
          </w:p>
        </w:tc>
        <w:tc>
          <w:tcPr>
            <w:tcW w:w="1357" w:type="dxa"/>
            <w:vAlign w:val="center"/>
          </w:tcPr>
          <w:p w14:paraId="5C2B3A9C"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79</w:t>
            </w:r>
          </w:p>
        </w:tc>
        <w:tc>
          <w:tcPr>
            <w:tcW w:w="1418" w:type="dxa"/>
            <w:vAlign w:val="center"/>
          </w:tcPr>
          <w:p w14:paraId="01744FF6"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79</w:t>
            </w:r>
          </w:p>
        </w:tc>
        <w:tc>
          <w:tcPr>
            <w:tcW w:w="1417" w:type="dxa"/>
            <w:vAlign w:val="center"/>
          </w:tcPr>
          <w:p w14:paraId="662C4950" w14:textId="77777777" w:rsidR="00ED79C9" w:rsidRPr="00BD295E" w:rsidRDefault="008A5057" w:rsidP="00ED79C9">
            <w:pPr>
              <w:jc w:val="center"/>
              <w:rPr>
                <w:rFonts w:ascii="Arial" w:hAnsi="Arial" w:cs="Arial"/>
                <w:sz w:val="18"/>
                <w:szCs w:val="18"/>
                <w:lang w:val="en-US"/>
              </w:rPr>
            </w:pPr>
            <w:r w:rsidRPr="00BD295E">
              <w:rPr>
                <w:rFonts w:ascii="Arial" w:hAnsi="Arial" w:cs="Arial"/>
                <w:sz w:val="18"/>
                <w:szCs w:val="18"/>
                <w:lang w:val="en-US"/>
              </w:rPr>
              <w:t>396</w:t>
            </w:r>
          </w:p>
        </w:tc>
        <w:tc>
          <w:tcPr>
            <w:tcW w:w="1276" w:type="dxa"/>
            <w:vAlign w:val="center"/>
          </w:tcPr>
          <w:p w14:paraId="4C055DB3" w14:textId="77777777" w:rsidR="00ED79C9" w:rsidRPr="00BD295E" w:rsidRDefault="008A5057" w:rsidP="00ED79C9">
            <w:pPr>
              <w:ind w:firstLine="34"/>
              <w:jc w:val="center"/>
              <w:rPr>
                <w:rFonts w:ascii="Arial" w:hAnsi="Arial" w:cs="Arial"/>
                <w:sz w:val="18"/>
                <w:szCs w:val="18"/>
                <w:lang w:val="en-US"/>
              </w:rPr>
            </w:pPr>
            <w:r w:rsidRPr="00BD295E">
              <w:rPr>
                <w:rFonts w:ascii="Arial" w:hAnsi="Arial" w:cs="Arial"/>
                <w:sz w:val="18"/>
                <w:szCs w:val="18"/>
                <w:lang w:val="en-US"/>
              </w:rPr>
              <w:t>396</w:t>
            </w:r>
          </w:p>
        </w:tc>
      </w:tr>
      <w:tr w:rsidR="008A5057" w:rsidRPr="00BD295E" w14:paraId="491C0E24" w14:textId="77777777" w:rsidTr="00ED79C9">
        <w:tblPrEx>
          <w:tblLook w:val="04A0" w:firstRow="1" w:lastRow="0" w:firstColumn="1" w:lastColumn="0" w:noHBand="0" w:noVBand="1"/>
        </w:tblPrEx>
        <w:trPr>
          <w:trHeight w:val="504"/>
        </w:trPr>
        <w:tc>
          <w:tcPr>
            <w:tcW w:w="3888" w:type="dxa"/>
            <w:vAlign w:val="center"/>
          </w:tcPr>
          <w:p w14:paraId="678DF9D5" w14:textId="77777777" w:rsidR="00ED79C9" w:rsidRPr="00BD295E" w:rsidRDefault="008A5057" w:rsidP="00ED79C9">
            <w:pPr>
              <w:tabs>
                <w:tab w:val="num" w:pos="-142"/>
                <w:tab w:val="left" w:pos="567"/>
              </w:tabs>
              <w:spacing w:line="240" w:lineRule="atLeast"/>
              <w:jc w:val="both"/>
              <w:rPr>
                <w:rFonts w:ascii="Arial" w:hAnsi="Arial" w:cs="Arial"/>
                <w:b/>
                <w:sz w:val="18"/>
                <w:szCs w:val="18"/>
                <w:lang w:val="en-US"/>
              </w:rPr>
            </w:pPr>
            <w:r w:rsidRPr="00BD295E">
              <w:rPr>
                <w:rFonts w:ascii="Arial" w:hAnsi="Arial" w:cs="Arial"/>
                <w:b/>
                <w:sz w:val="18"/>
                <w:szCs w:val="18"/>
                <w:lang w:val="en-US"/>
              </w:rPr>
              <w:t>TOTAL</w:t>
            </w:r>
          </w:p>
        </w:tc>
        <w:tc>
          <w:tcPr>
            <w:tcW w:w="1357" w:type="dxa"/>
            <w:vAlign w:val="center"/>
          </w:tcPr>
          <w:p w14:paraId="4CB64D40"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1,241</w:t>
            </w:r>
          </w:p>
        </w:tc>
        <w:tc>
          <w:tcPr>
            <w:tcW w:w="1418" w:type="dxa"/>
            <w:vAlign w:val="center"/>
          </w:tcPr>
          <w:p w14:paraId="08BE672C"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995</w:t>
            </w:r>
          </w:p>
        </w:tc>
        <w:tc>
          <w:tcPr>
            <w:tcW w:w="1417" w:type="dxa"/>
            <w:vAlign w:val="center"/>
          </w:tcPr>
          <w:p w14:paraId="0B88AB13" w14:textId="77777777" w:rsidR="00ED79C9" w:rsidRPr="00BD295E" w:rsidRDefault="008A5057" w:rsidP="00ED79C9">
            <w:pPr>
              <w:jc w:val="center"/>
              <w:rPr>
                <w:rFonts w:ascii="Arial" w:hAnsi="Arial" w:cs="Arial"/>
                <w:b/>
                <w:bCs/>
                <w:sz w:val="18"/>
                <w:szCs w:val="18"/>
                <w:lang w:val="en-US"/>
              </w:rPr>
            </w:pPr>
            <w:r w:rsidRPr="00BD295E">
              <w:rPr>
                <w:rFonts w:ascii="Arial" w:hAnsi="Arial" w:cs="Arial"/>
                <w:b/>
                <w:bCs/>
                <w:sz w:val="18"/>
                <w:szCs w:val="18"/>
                <w:lang w:val="en-US"/>
              </w:rPr>
              <w:t>33,093</w:t>
            </w:r>
          </w:p>
        </w:tc>
        <w:tc>
          <w:tcPr>
            <w:tcW w:w="1276" w:type="dxa"/>
            <w:vAlign w:val="center"/>
          </w:tcPr>
          <w:p w14:paraId="1517B233" w14:textId="77777777" w:rsidR="00ED79C9" w:rsidRPr="00BD295E" w:rsidRDefault="008A5057" w:rsidP="00ED79C9">
            <w:pPr>
              <w:ind w:firstLine="34"/>
              <w:jc w:val="center"/>
              <w:rPr>
                <w:rFonts w:ascii="Arial" w:hAnsi="Arial" w:cs="Arial"/>
                <w:b/>
                <w:bCs/>
                <w:sz w:val="18"/>
                <w:szCs w:val="18"/>
                <w:lang w:val="en-US"/>
              </w:rPr>
            </w:pPr>
            <w:r w:rsidRPr="00BD295E">
              <w:rPr>
                <w:rFonts w:ascii="Arial" w:hAnsi="Arial" w:cs="Arial"/>
                <w:b/>
                <w:bCs/>
                <w:sz w:val="18"/>
                <w:szCs w:val="18"/>
                <w:lang w:val="en-US"/>
              </w:rPr>
              <w:t>32,818</w:t>
            </w:r>
          </w:p>
        </w:tc>
      </w:tr>
    </w:tbl>
    <w:p w14:paraId="54575D15" w14:textId="77777777" w:rsidR="00ED79C9" w:rsidRPr="00BD295E" w:rsidRDefault="008A5057" w:rsidP="002B0157">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 xml:space="preserve">* plan – procurements announced during the reporting period; </w:t>
      </w:r>
    </w:p>
    <w:p w14:paraId="369ADEF3" w14:textId="77777777" w:rsidR="00ED79C9" w:rsidRPr="00BD295E" w:rsidRDefault="008A5057" w:rsidP="002B0157">
      <w:pPr>
        <w:tabs>
          <w:tab w:val="num" w:pos="-142"/>
          <w:tab w:val="left" w:pos="567"/>
        </w:tabs>
        <w:spacing w:line="240" w:lineRule="atLeast"/>
        <w:jc w:val="both"/>
        <w:rPr>
          <w:rFonts w:ascii="Arial" w:hAnsi="Arial" w:cs="Arial"/>
          <w:sz w:val="18"/>
          <w:szCs w:val="18"/>
          <w:lang w:val="en-US"/>
        </w:rPr>
      </w:pPr>
      <w:r w:rsidRPr="00BD295E">
        <w:rPr>
          <w:rFonts w:ascii="Arial" w:hAnsi="Arial" w:cs="Arial"/>
          <w:sz w:val="18"/>
          <w:szCs w:val="18"/>
          <w:lang w:val="en-US"/>
        </w:rPr>
        <w:t>** actual – procurements that took place with the contract awarded to the winner, taking into account the carry-over procurements, the results of which were summarized in 2018.</w:t>
      </w:r>
    </w:p>
    <w:p w14:paraId="6E67CE77" w14:textId="77777777" w:rsidR="00ED79C9" w:rsidRPr="00BD295E" w:rsidRDefault="00ED79C9" w:rsidP="002B0157">
      <w:pPr>
        <w:pStyle w:val="Default"/>
        <w:jc w:val="both"/>
        <w:rPr>
          <w:rFonts w:ascii="Arial" w:hAnsi="Arial" w:cs="Arial"/>
          <w:color w:val="auto"/>
          <w:sz w:val="18"/>
          <w:szCs w:val="18"/>
          <w:lang w:val="en-US"/>
        </w:rPr>
      </w:pPr>
    </w:p>
    <w:p w14:paraId="1F68A24B" w14:textId="77777777" w:rsidR="00ED79C9" w:rsidRPr="00BD295E" w:rsidRDefault="008A5057" w:rsidP="002B0157">
      <w:pPr>
        <w:jc w:val="both"/>
        <w:rPr>
          <w:rFonts w:ascii="Arial" w:hAnsi="Arial" w:cs="Arial"/>
          <w:sz w:val="18"/>
          <w:szCs w:val="18"/>
          <w:lang w:val="en-US"/>
        </w:rPr>
      </w:pPr>
      <w:r w:rsidRPr="00BD295E">
        <w:rPr>
          <w:rFonts w:ascii="Arial" w:hAnsi="Arial" w:cs="Arial"/>
          <w:sz w:val="18"/>
          <w:szCs w:val="18"/>
          <w:lang w:val="en-US"/>
        </w:rPr>
        <w:t>The number of e-commerce procurements totaled 1,165 procurements for a total of RUB 36,081.09 million. (including VAT) (99.7% of the total number of procurements, 99.7% of the total amount of procurements in value terms (excluding purchases from a sole supplier).</w:t>
      </w:r>
    </w:p>
    <w:p w14:paraId="0C26E2DA" w14:textId="77777777" w:rsidR="00ED79C9" w:rsidRPr="00BD295E" w:rsidRDefault="00ED79C9" w:rsidP="002B0157">
      <w:pPr>
        <w:jc w:val="both"/>
        <w:rPr>
          <w:rFonts w:ascii="Arial" w:hAnsi="Arial" w:cs="Arial"/>
          <w:sz w:val="18"/>
          <w:szCs w:val="18"/>
          <w:lang w:val="en-US"/>
        </w:rPr>
      </w:pPr>
    </w:p>
    <w:p w14:paraId="4AD9833C" w14:textId="77777777" w:rsidR="00ED79C9" w:rsidRPr="00BD295E" w:rsidRDefault="008A5057" w:rsidP="002B0157">
      <w:pPr>
        <w:jc w:val="both"/>
        <w:rPr>
          <w:rFonts w:ascii="Arial" w:hAnsi="Arial" w:cs="Arial"/>
          <w:sz w:val="18"/>
          <w:szCs w:val="18"/>
          <w:lang w:val="en-US"/>
        </w:rPr>
      </w:pPr>
      <w:r w:rsidRPr="00BD295E">
        <w:rPr>
          <w:rFonts w:ascii="Arial" w:hAnsi="Arial" w:cs="Arial"/>
          <w:sz w:val="18"/>
          <w:szCs w:val="18"/>
          <w:lang w:val="en-US"/>
        </w:rPr>
        <w:t>The economic effect from procurement procedures held in 2018 totaled RUB 688.42 million (including VAT) or 2.1% of the planned announced amount of competitive procurements (excluding purchases from a sole supplier).</w:t>
      </w:r>
    </w:p>
    <w:p w14:paraId="158C7DED" w14:textId="77777777" w:rsidR="00ED79C9" w:rsidRPr="00BD295E" w:rsidRDefault="00ED79C9" w:rsidP="002B0157">
      <w:pPr>
        <w:jc w:val="both"/>
        <w:rPr>
          <w:rFonts w:ascii="Arial" w:hAnsi="Arial" w:cs="Arial"/>
          <w:sz w:val="18"/>
          <w:szCs w:val="18"/>
          <w:lang w:val="en-US"/>
        </w:rPr>
      </w:pPr>
    </w:p>
    <w:p w14:paraId="49C79A81" w14:textId="77777777" w:rsidR="00ED79C9" w:rsidRPr="00BD295E" w:rsidRDefault="008A5057" w:rsidP="002B0157">
      <w:pPr>
        <w:tabs>
          <w:tab w:val="num" w:pos="-142"/>
          <w:tab w:val="left" w:pos="567"/>
        </w:tabs>
        <w:spacing w:line="276" w:lineRule="auto"/>
        <w:jc w:val="both"/>
        <w:rPr>
          <w:rFonts w:ascii="Arial" w:hAnsi="Arial" w:cs="Arial"/>
          <w:sz w:val="18"/>
          <w:szCs w:val="18"/>
          <w:lang w:val="en-US"/>
        </w:rPr>
      </w:pPr>
      <w:r w:rsidRPr="00BD295E">
        <w:rPr>
          <w:rFonts w:ascii="Arial" w:hAnsi="Arial" w:cs="Arial"/>
          <w:sz w:val="18"/>
          <w:szCs w:val="18"/>
          <w:lang w:val="en-US"/>
        </w:rPr>
        <w:t>The share of public procurement procedures in in total procurement was 98.9 % in value terms.</w:t>
      </w:r>
    </w:p>
    <w:p w14:paraId="6D83A625" w14:textId="77777777" w:rsidR="00ED79C9" w:rsidRPr="00BD295E" w:rsidRDefault="008A5057" w:rsidP="002B0157">
      <w:pPr>
        <w:spacing w:line="276" w:lineRule="auto"/>
        <w:jc w:val="both"/>
        <w:rPr>
          <w:rFonts w:ascii="Arial" w:hAnsi="Arial" w:cs="Arial"/>
          <w:sz w:val="18"/>
          <w:szCs w:val="18"/>
          <w:lang w:val="en-US"/>
        </w:rPr>
      </w:pPr>
      <w:r w:rsidRPr="00BD295E">
        <w:rPr>
          <w:rFonts w:ascii="Arial" w:hAnsi="Arial" w:cs="Arial"/>
          <w:sz w:val="18"/>
          <w:szCs w:val="18"/>
          <w:lang w:val="en-US"/>
        </w:rPr>
        <w:t xml:space="preserve">The use of the latest online technologies ensures openness, visibility, and transparency of the Company’s procurement activities, as well as secure remote access to monitor the key phases of procurement procedures such as timely announcement of regulated procurement procedures, disclosure </w:t>
      </w:r>
      <w:r w:rsidR="00EC0D9D" w:rsidRPr="00BD295E">
        <w:rPr>
          <w:rFonts w:ascii="Arial" w:hAnsi="Arial" w:cs="Arial"/>
          <w:sz w:val="18"/>
          <w:szCs w:val="18"/>
          <w:lang w:val="en-US"/>
        </w:rPr>
        <w:t>o</w:t>
      </w:r>
      <w:r w:rsidRPr="00BD295E">
        <w:rPr>
          <w:rFonts w:ascii="Arial" w:hAnsi="Arial" w:cs="Arial"/>
          <w:sz w:val="18"/>
          <w:szCs w:val="18"/>
          <w:lang w:val="en-US"/>
        </w:rPr>
        <w:t xml:space="preserve">f complete (sufficient) information on procurement procedures, including notices, procurement documents, reports, etc., awarding timelines, selection of winners. </w:t>
      </w:r>
    </w:p>
    <w:p w14:paraId="6E89D60B" w14:textId="2AD85092" w:rsidR="00ED79C9" w:rsidRPr="00BD295E" w:rsidRDefault="008A5057" w:rsidP="002B0157">
      <w:pPr>
        <w:spacing w:line="276" w:lineRule="auto"/>
        <w:jc w:val="both"/>
        <w:rPr>
          <w:rFonts w:ascii="Arial" w:hAnsi="Arial" w:cs="Arial"/>
          <w:sz w:val="18"/>
          <w:szCs w:val="18"/>
          <w:lang w:val="en-US"/>
        </w:rPr>
      </w:pPr>
      <w:r w:rsidRPr="00BD295E">
        <w:rPr>
          <w:rFonts w:ascii="Arial" w:hAnsi="Arial" w:cs="Arial"/>
          <w:sz w:val="18"/>
          <w:szCs w:val="18"/>
          <w:lang w:val="en-US"/>
        </w:rPr>
        <w:t xml:space="preserve">As a full-fledged user of online marketplaces,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carried out 99.7% of its procurement procedures in 2018 in electronic form, namely using the functionality of </w:t>
      </w:r>
      <w:r w:rsidR="00EC0D9D" w:rsidRPr="00BD295E">
        <w:rPr>
          <w:rFonts w:ascii="Arial" w:hAnsi="Arial" w:cs="Arial"/>
          <w:sz w:val="18"/>
          <w:szCs w:val="18"/>
          <w:lang w:val="en-US"/>
        </w:rPr>
        <w:t>online</w:t>
      </w:r>
      <w:r w:rsidRPr="00BD295E">
        <w:rPr>
          <w:rFonts w:ascii="Arial" w:hAnsi="Arial" w:cs="Arial"/>
          <w:sz w:val="18"/>
          <w:szCs w:val="18"/>
          <w:lang w:val="en-US"/>
        </w:rPr>
        <w:t xml:space="preserve"> markeplaces at: </w:t>
      </w:r>
      <w:hyperlink r:id="rId141" w:history="1">
        <w:r w:rsidRPr="00BD295E">
          <w:rPr>
            <w:rFonts w:ascii="Arial" w:hAnsi="Arial" w:cs="Arial"/>
            <w:sz w:val="18"/>
            <w:szCs w:val="18"/>
            <w:lang w:val="en-US"/>
          </w:rPr>
          <w:t>www.etp.rosseti.ru</w:t>
        </w:r>
      </w:hyperlink>
      <w:r w:rsidR="00561403" w:rsidRPr="00BD295E">
        <w:rPr>
          <w:rFonts w:ascii="Arial" w:hAnsi="Arial" w:cs="Arial"/>
          <w:sz w:val="18"/>
          <w:szCs w:val="18"/>
          <w:lang w:val="en-US"/>
        </w:rPr>
        <w:t>, www.roseltorg.ru and</w:t>
      </w:r>
      <w:r w:rsidRPr="00BD295E">
        <w:rPr>
          <w:rFonts w:ascii="Arial" w:hAnsi="Arial" w:cs="Arial"/>
          <w:sz w:val="18"/>
          <w:szCs w:val="18"/>
          <w:lang w:val="en-US"/>
        </w:rPr>
        <w:t xml:space="preserve"> </w:t>
      </w:r>
      <w:hyperlink r:id="rId142" w:history="1">
        <w:r w:rsidRPr="00BD295E">
          <w:rPr>
            <w:rFonts w:ascii="Arial" w:hAnsi="Arial" w:cs="Arial"/>
            <w:sz w:val="18"/>
            <w:szCs w:val="18"/>
            <w:lang w:val="en-US"/>
          </w:rPr>
          <w:t>www.b2b-mrsk.ru</w:t>
        </w:r>
      </w:hyperlink>
      <w:r w:rsidRPr="00BD295E">
        <w:rPr>
          <w:rFonts w:ascii="Arial" w:hAnsi="Arial" w:cs="Arial"/>
          <w:sz w:val="18"/>
          <w:szCs w:val="18"/>
          <w:lang w:val="en-US"/>
        </w:rPr>
        <w:t xml:space="preserve">. </w:t>
      </w:r>
    </w:p>
    <w:p w14:paraId="38E566E6" w14:textId="77777777" w:rsidR="00ED79C9" w:rsidRPr="00BD295E" w:rsidRDefault="008A5057" w:rsidP="002B0157">
      <w:pPr>
        <w:spacing w:line="276" w:lineRule="auto"/>
        <w:jc w:val="both"/>
        <w:rPr>
          <w:rFonts w:ascii="Arial" w:hAnsi="Arial" w:cs="Arial"/>
          <w:sz w:val="18"/>
          <w:szCs w:val="18"/>
          <w:lang w:val="en-US"/>
        </w:rPr>
      </w:pPr>
      <w:r w:rsidRPr="00BD295E">
        <w:rPr>
          <w:rFonts w:ascii="Arial" w:hAnsi="Arial" w:cs="Arial"/>
          <w:sz w:val="18"/>
          <w:szCs w:val="18"/>
          <w:lang w:val="en-US"/>
        </w:rPr>
        <w:t xml:space="preserve">The effectiveness of competitive online procurement is corroborated by the sufficient market offering from a large number of active bidders participating in competitive bidding procedures held by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53A9459E" w14:textId="77777777" w:rsidR="00ED79C9" w:rsidRPr="00BD295E" w:rsidRDefault="008A5057" w:rsidP="002B0157">
      <w:pPr>
        <w:pStyle w:val="Default"/>
        <w:spacing w:line="276" w:lineRule="auto"/>
        <w:jc w:val="both"/>
        <w:rPr>
          <w:rFonts w:ascii="Arial" w:hAnsi="Arial" w:cs="Arial"/>
          <w:color w:val="auto"/>
          <w:sz w:val="18"/>
          <w:szCs w:val="18"/>
          <w:lang w:val="en-US"/>
        </w:rPr>
      </w:pPr>
      <w:r w:rsidRPr="00BD295E">
        <w:rPr>
          <w:rFonts w:ascii="Arial" w:hAnsi="Arial" w:cs="Arial"/>
          <w:color w:val="auto"/>
          <w:sz w:val="18"/>
          <w:szCs w:val="18"/>
          <w:lang w:val="en-US"/>
        </w:rPr>
        <w:t>The official unified procurement information website of the Russian Federation with the address set out in applicable Russian laws (</w:t>
      </w:r>
      <w:hyperlink r:id="rId143" w:history="1">
        <w:r w:rsidRPr="00BD295E">
          <w:rPr>
            <w:rFonts w:ascii="Arial" w:hAnsi="Arial" w:cs="Arial"/>
            <w:color w:val="auto"/>
            <w:sz w:val="18"/>
            <w:szCs w:val="18"/>
            <w:lang w:val="en-US"/>
          </w:rPr>
          <w:t>http://zakupki.gov.ru</w:t>
        </w:r>
      </w:hyperlink>
      <w:r w:rsidRPr="00BD295E">
        <w:rPr>
          <w:rFonts w:ascii="Arial" w:hAnsi="Arial" w:cs="Arial"/>
          <w:color w:val="auto"/>
          <w:sz w:val="18"/>
          <w:szCs w:val="18"/>
          <w:lang w:val="en-US"/>
        </w:rPr>
        <w:t xml:space="preserve">) is used by the Company as its key information source. It is a mandatory website for publishing information on planned and ongoing regulated procurement procedures, on the procedure for regulated procurement of goods, works, and services, which allows increasing the competition between participants of regulated procurement procedures to purchase best quality products on the best terms. </w:t>
      </w:r>
    </w:p>
    <w:p w14:paraId="1FE0A3DB" w14:textId="77777777" w:rsidR="00ED79C9" w:rsidRPr="00BD295E" w:rsidRDefault="00ED79C9" w:rsidP="002B0157">
      <w:pPr>
        <w:pStyle w:val="Default"/>
        <w:spacing w:line="276" w:lineRule="auto"/>
        <w:jc w:val="both"/>
        <w:rPr>
          <w:rFonts w:ascii="Arial" w:hAnsi="Arial" w:cs="Arial"/>
          <w:color w:val="auto"/>
          <w:sz w:val="18"/>
          <w:szCs w:val="18"/>
          <w:lang w:val="en-US"/>
        </w:rPr>
      </w:pPr>
    </w:p>
    <w:p w14:paraId="07FAB9CA" w14:textId="77777777" w:rsidR="00ED79C9" w:rsidRPr="00BD295E" w:rsidRDefault="00E30E5D" w:rsidP="002B0157">
      <w:pPr>
        <w:pStyle w:val="Default"/>
        <w:spacing w:line="276" w:lineRule="auto"/>
        <w:jc w:val="both"/>
        <w:rPr>
          <w:rFonts w:ascii="Arial" w:hAnsi="Arial" w:cs="Arial"/>
          <w:b/>
          <w:color w:val="auto"/>
          <w:sz w:val="18"/>
          <w:szCs w:val="18"/>
          <w:lang w:val="en-US"/>
        </w:rPr>
      </w:pPr>
      <w:r w:rsidRPr="00BD295E">
        <w:rPr>
          <w:rFonts w:ascii="Arial" w:hAnsi="Arial" w:cs="Arial"/>
          <w:b/>
          <w:color w:val="auto"/>
          <w:sz w:val="18"/>
          <w:szCs w:val="18"/>
          <w:lang w:val="en-US"/>
        </w:rPr>
        <w:t>Procurements</w:t>
      </w:r>
      <w:r w:rsidR="008A5057" w:rsidRPr="00BD295E">
        <w:rPr>
          <w:rFonts w:ascii="Arial" w:hAnsi="Arial" w:cs="Arial"/>
          <w:b/>
          <w:color w:val="auto"/>
          <w:sz w:val="18"/>
          <w:szCs w:val="18"/>
          <w:lang w:val="en-US"/>
        </w:rPr>
        <w:t xml:space="preserve"> from small- and medium-sized businesses.</w:t>
      </w:r>
    </w:p>
    <w:p w14:paraId="38B63AD2" w14:textId="77777777" w:rsidR="00ED79C9" w:rsidRPr="00BD295E" w:rsidRDefault="00ED79C9" w:rsidP="002B0157">
      <w:pPr>
        <w:pStyle w:val="Default"/>
        <w:spacing w:line="276" w:lineRule="auto"/>
        <w:jc w:val="both"/>
        <w:rPr>
          <w:rFonts w:ascii="Arial" w:hAnsi="Arial" w:cs="Arial"/>
          <w:color w:val="auto"/>
          <w:sz w:val="18"/>
          <w:szCs w:val="18"/>
          <w:lang w:val="en-US"/>
        </w:rPr>
      </w:pPr>
    </w:p>
    <w:p w14:paraId="41FB6C38" w14:textId="77777777" w:rsidR="00ED79C9" w:rsidRPr="00BD295E" w:rsidRDefault="008A5057" w:rsidP="002B0157">
      <w:pPr>
        <w:pStyle w:val="Default"/>
        <w:spacing w:line="276" w:lineRule="auto"/>
        <w:jc w:val="both"/>
        <w:rPr>
          <w:rFonts w:ascii="Arial" w:hAnsi="Arial" w:cs="Arial"/>
          <w:color w:val="auto"/>
          <w:sz w:val="18"/>
          <w:szCs w:val="18"/>
          <w:lang w:val="en-US"/>
        </w:rPr>
      </w:pPr>
      <w:r w:rsidRPr="00BD295E">
        <w:rPr>
          <w:rFonts w:ascii="Arial" w:hAnsi="Arial" w:cs="Arial"/>
          <w:color w:val="auto"/>
          <w:sz w:val="18"/>
          <w:szCs w:val="18"/>
          <w:lang w:val="en-US"/>
        </w:rPr>
        <w:t xml:space="preserve">As part of expanding access of small- and medium-sized businesses to the procurement procedures of </w:t>
      </w:r>
      <w:r w:rsidR="00EE5753" w:rsidRPr="00BD295E">
        <w:rPr>
          <w:rFonts w:ascii="Arial" w:hAnsi="Arial" w:cs="Arial"/>
          <w:color w:val="auto"/>
          <w:sz w:val="18"/>
          <w:szCs w:val="18"/>
          <w:lang w:val="en-US"/>
        </w:rPr>
        <w:t>PJSC “Lenenergo”</w:t>
      </w:r>
      <w:r w:rsidRPr="00BD295E">
        <w:rPr>
          <w:rFonts w:ascii="Arial" w:hAnsi="Arial" w:cs="Arial"/>
          <w:color w:val="auto"/>
          <w:sz w:val="18"/>
          <w:szCs w:val="18"/>
          <w:lang w:val="en-US"/>
        </w:rPr>
        <w:t xml:space="preserve">, the Company has developed a program of partnership between </w:t>
      </w:r>
      <w:r w:rsidR="00EE5753" w:rsidRPr="00BD295E">
        <w:rPr>
          <w:rFonts w:ascii="Arial" w:hAnsi="Arial" w:cs="Arial"/>
          <w:color w:val="auto"/>
          <w:sz w:val="18"/>
          <w:szCs w:val="18"/>
          <w:lang w:val="en-US"/>
        </w:rPr>
        <w:t>PJSC “Lenenergo”</w:t>
      </w:r>
      <w:r w:rsidRPr="00BD295E">
        <w:rPr>
          <w:rFonts w:ascii="Arial" w:hAnsi="Arial" w:cs="Arial"/>
          <w:color w:val="auto"/>
          <w:sz w:val="18"/>
          <w:szCs w:val="18"/>
          <w:lang w:val="en-US"/>
        </w:rPr>
        <w:t xml:space="preserve"> and small- and medium-sized businesses.</w:t>
      </w:r>
    </w:p>
    <w:p w14:paraId="657389B1" w14:textId="77777777" w:rsidR="00ED79C9" w:rsidRPr="00BD295E" w:rsidRDefault="008A5057" w:rsidP="002B0157">
      <w:pPr>
        <w:pStyle w:val="af9"/>
        <w:spacing w:line="276" w:lineRule="auto"/>
        <w:ind w:firstLine="0"/>
        <w:rPr>
          <w:rFonts w:ascii="Arial" w:hAnsi="Arial" w:cs="Arial"/>
          <w:sz w:val="18"/>
          <w:szCs w:val="18"/>
          <w:lang w:val="en-US"/>
        </w:rPr>
      </w:pPr>
      <w:r w:rsidRPr="00BD295E">
        <w:rPr>
          <w:rFonts w:ascii="Arial" w:hAnsi="Arial" w:cs="Arial"/>
          <w:sz w:val="18"/>
          <w:szCs w:val="18"/>
          <w:lang w:val="en-US"/>
        </w:rPr>
        <w:t xml:space="preserve">The Program of Partnership between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small- and medium-sized businesses provides for a range of measures aimed at building and supporting a community of reliable, qualified, and responsible suppliers (contractors) from among small- and medium-sized businesses. </w:t>
      </w:r>
    </w:p>
    <w:p w14:paraId="1C7633FA" w14:textId="77777777" w:rsidR="00ED79C9" w:rsidRPr="00BD295E" w:rsidRDefault="008A5057" w:rsidP="002B0157">
      <w:pPr>
        <w:spacing w:line="276" w:lineRule="auto"/>
        <w:jc w:val="both"/>
        <w:rPr>
          <w:rFonts w:ascii="Arial" w:hAnsi="Arial" w:cs="Arial"/>
          <w:sz w:val="18"/>
          <w:szCs w:val="18"/>
          <w:lang w:val="en-US"/>
        </w:rPr>
      </w:pPr>
      <w:r w:rsidRPr="00BD295E">
        <w:rPr>
          <w:rFonts w:ascii="Arial" w:hAnsi="Arial" w:cs="Arial"/>
          <w:sz w:val="18"/>
          <w:szCs w:val="18"/>
          <w:lang w:val="en-US"/>
        </w:rPr>
        <w:t xml:space="preserve">The purpose of the Program is to ensure the implementation of the government’s policy for the development of small- and medium-sized businesses through the Company’s procurements, which provides, </w:t>
      </w:r>
      <w:r w:rsidRPr="00BD295E">
        <w:rPr>
          <w:rFonts w:ascii="Arial" w:hAnsi="Arial" w:cs="Arial"/>
          <w:i/>
          <w:iCs/>
          <w:sz w:val="18"/>
          <w:szCs w:val="18"/>
          <w:lang w:val="en-US"/>
        </w:rPr>
        <w:t>inter alia</w:t>
      </w:r>
      <w:r w:rsidRPr="00BD295E">
        <w:rPr>
          <w:rFonts w:ascii="Arial" w:hAnsi="Arial" w:cs="Arial"/>
          <w:sz w:val="18"/>
          <w:szCs w:val="18"/>
          <w:lang w:val="en-US"/>
        </w:rPr>
        <w:t>, for:</w:t>
      </w:r>
    </w:p>
    <w:p w14:paraId="7DB4CE24" w14:textId="77777777" w:rsidR="00ED79C9" w:rsidRPr="00BD295E" w:rsidRDefault="008A5057" w:rsidP="002B0157">
      <w:pPr>
        <w:pStyle w:val="af3"/>
        <w:numPr>
          <w:ilvl w:val="0"/>
          <w:numId w:val="125"/>
        </w:numPr>
        <w:tabs>
          <w:tab w:val="left" w:pos="1276"/>
        </w:tabs>
        <w:spacing w:line="276" w:lineRule="auto"/>
        <w:ind w:left="0" w:firstLine="0"/>
        <w:jc w:val="both"/>
        <w:rPr>
          <w:rFonts w:ascii="Arial" w:hAnsi="Arial" w:cs="Arial"/>
          <w:sz w:val="18"/>
          <w:szCs w:val="18"/>
          <w:lang w:val="en-US"/>
        </w:rPr>
      </w:pPr>
      <w:r w:rsidRPr="00BD295E">
        <w:rPr>
          <w:rFonts w:ascii="Arial" w:hAnsi="Arial" w:cs="Arial"/>
          <w:sz w:val="18"/>
          <w:szCs w:val="18"/>
          <w:lang w:val="en-US"/>
        </w:rPr>
        <w:t>increasing the share of customer purchases from small- and medium-sized businesses in the total annual amount of the Company’s purchases;</w:t>
      </w:r>
    </w:p>
    <w:p w14:paraId="1C55307E" w14:textId="77777777" w:rsidR="00ED79C9" w:rsidRPr="00BD295E" w:rsidRDefault="008A5057" w:rsidP="002B0157">
      <w:pPr>
        <w:pStyle w:val="af3"/>
        <w:numPr>
          <w:ilvl w:val="0"/>
          <w:numId w:val="125"/>
        </w:numPr>
        <w:tabs>
          <w:tab w:val="left" w:pos="1276"/>
        </w:tabs>
        <w:spacing w:line="276" w:lineRule="auto"/>
        <w:ind w:left="0" w:firstLine="0"/>
        <w:jc w:val="both"/>
        <w:rPr>
          <w:rFonts w:ascii="Arial" w:hAnsi="Arial" w:cs="Arial"/>
          <w:sz w:val="18"/>
          <w:szCs w:val="18"/>
          <w:lang w:val="en-US"/>
        </w:rPr>
      </w:pPr>
      <w:r w:rsidRPr="00BD295E">
        <w:rPr>
          <w:rFonts w:ascii="Arial" w:hAnsi="Arial" w:cs="Arial"/>
          <w:sz w:val="18"/>
          <w:szCs w:val="18"/>
          <w:lang w:val="en-US"/>
        </w:rPr>
        <w:t>increasing the share of the Company’s direct purchases from small- and medium-sized businesses in the total amount of the Company’s purchases;</w:t>
      </w:r>
    </w:p>
    <w:p w14:paraId="0B321D88" w14:textId="77777777" w:rsidR="00ED79C9" w:rsidRPr="00BD295E" w:rsidRDefault="008A5057" w:rsidP="002B0157">
      <w:pPr>
        <w:pStyle w:val="af3"/>
        <w:numPr>
          <w:ilvl w:val="0"/>
          <w:numId w:val="125"/>
        </w:numPr>
        <w:tabs>
          <w:tab w:val="left" w:pos="1276"/>
        </w:tabs>
        <w:spacing w:line="276" w:lineRule="auto"/>
        <w:ind w:left="0" w:firstLine="0"/>
        <w:jc w:val="both"/>
        <w:rPr>
          <w:rFonts w:ascii="Arial" w:hAnsi="Arial" w:cs="Arial"/>
          <w:sz w:val="18"/>
          <w:szCs w:val="18"/>
          <w:lang w:val="en-US"/>
        </w:rPr>
      </w:pPr>
      <w:r w:rsidRPr="00BD295E">
        <w:rPr>
          <w:rFonts w:ascii="Arial" w:hAnsi="Arial" w:cs="Arial"/>
          <w:sz w:val="18"/>
          <w:szCs w:val="18"/>
          <w:lang w:val="en-US"/>
        </w:rPr>
        <w:t>increasing the share of purchases of innovative products and/or high-tech products, and R&amp;D solutions from small- and medium-sized businesses in the total annual amount of the Company’s purchases;</w:t>
      </w:r>
    </w:p>
    <w:p w14:paraId="1CA39006" w14:textId="77777777" w:rsidR="00ED79C9" w:rsidRPr="00BD295E" w:rsidRDefault="008A5057" w:rsidP="002B0157">
      <w:pPr>
        <w:pStyle w:val="af3"/>
        <w:numPr>
          <w:ilvl w:val="0"/>
          <w:numId w:val="125"/>
        </w:numPr>
        <w:tabs>
          <w:tab w:val="left" w:pos="1276"/>
        </w:tabs>
        <w:spacing w:line="276" w:lineRule="auto"/>
        <w:ind w:left="0" w:firstLine="0"/>
        <w:jc w:val="both"/>
        <w:rPr>
          <w:rFonts w:ascii="Arial" w:hAnsi="Arial" w:cs="Arial"/>
          <w:sz w:val="18"/>
          <w:szCs w:val="18"/>
          <w:lang w:val="en-US"/>
        </w:rPr>
      </w:pPr>
      <w:r w:rsidRPr="00BD295E">
        <w:rPr>
          <w:rFonts w:ascii="Arial" w:hAnsi="Arial" w:cs="Arial"/>
          <w:sz w:val="18"/>
          <w:szCs w:val="18"/>
          <w:lang w:val="en-US"/>
        </w:rPr>
        <w:t>building a system for transfer of new R&amp;D solutions of small- and medium-sized businesses, including those aimed at innovative development of the Company and integrated into the Company’s business development strategy.</w:t>
      </w:r>
    </w:p>
    <w:p w14:paraId="49D8F0B3" w14:textId="77777777" w:rsidR="00ED79C9" w:rsidRPr="00BD295E" w:rsidRDefault="008A5057" w:rsidP="002B0157">
      <w:pPr>
        <w:spacing w:line="276" w:lineRule="auto"/>
        <w:jc w:val="both"/>
        <w:rPr>
          <w:rFonts w:ascii="Arial" w:hAnsi="Arial" w:cs="Arial"/>
          <w:sz w:val="18"/>
          <w:szCs w:val="18"/>
          <w:lang w:val="en-US"/>
        </w:rPr>
      </w:pPr>
      <w:bookmarkStart w:id="523" w:name="_Ref369257197"/>
      <w:r w:rsidRPr="00BD295E">
        <w:rPr>
          <w:rFonts w:ascii="Arial" w:hAnsi="Arial" w:cs="Arial"/>
          <w:sz w:val="18"/>
          <w:szCs w:val="18"/>
          <w:lang w:val="en-US"/>
        </w:rPr>
        <w:t>Information about the Program is published by the Company on the Company’s website (</w:t>
      </w:r>
      <w:hyperlink r:id="rId144" w:history="1">
        <w:r w:rsidRPr="00BD295E">
          <w:rPr>
            <w:rFonts w:ascii="Arial" w:hAnsi="Arial" w:cs="Arial"/>
            <w:sz w:val="18"/>
            <w:szCs w:val="18"/>
            <w:lang w:val="en-US"/>
          </w:rPr>
          <w:t>www.lenenergo.ru</w:t>
        </w:r>
      </w:hyperlink>
      <w:r w:rsidRPr="00BD295E">
        <w:rPr>
          <w:rFonts w:ascii="Arial" w:hAnsi="Arial" w:cs="Arial"/>
          <w:sz w:val="18"/>
          <w:szCs w:val="18"/>
          <w:lang w:val="en-US"/>
        </w:rPr>
        <w:t>) in the Procurement section.</w:t>
      </w:r>
      <w:bookmarkEnd w:id="523"/>
    </w:p>
    <w:p w14:paraId="2296D78C"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 xml:space="preserve">Order No. 305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 xml:space="preserve">On Amendments to Order No. 34 of </w:t>
      </w:r>
      <w:r w:rsidR="00EE5753" w:rsidRPr="00BD295E">
        <w:rPr>
          <w:rFonts w:ascii="Arial" w:hAnsi="Arial" w:cs="Arial"/>
          <w:i/>
          <w:iCs/>
          <w:sz w:val="18"/>
          <w:szCs w:val="18"/>
          <w:lang w:val="en-US"/>
        </w:rPr>
        <w:t>PJSC “Lenenergo”</w:t>
      </w:r>
      <w:r w:rsidRPr="00BD295E">
        <w:rPr>
          <w:rFonts w:ascii="Arial" w:hAnsi="Arial" w:cs="Arial"/>
          <w:i/>
          <w:iCs/>
          <w:sz w:val="18"/>
          <w:szCs w:val="18"/>
          <w:lang w:val="en-US"/>
        </w:rPr>
        <w:t xml:space="preserve"> </w:t>
      </w:r>
      <w:r w:rsidR="008B183C" w:rsidRPr="00BD295E">
        <w:rPr>
          <w:rFonts w:ascii="Arial" w:hAnsi="Arial" w:cs="Arial"/>
          <w:i/>
          <w:iCs/>
          <w:sz w:val="18"/>
          <w:szCs w:val="18"/>
          <w:lang w:val="en-US"/>
        </w:rPr>
        <w:t>of</w:t>
      </w:r>
      <w:r w:rsidRPr="00BD295E">
        <w:rPr>
          <w:rFonts w:ascii="Arial" w:hAnsi="Arial" w:cs="Arial"/>
          <w:i/>
          <w:iCs/>
          <w:sz w:val="18"/>
          <w:szCs w:val="18"/>
          <w:lang w:val="en-US"/>
        </w:rPr>
        <w:t xml:space="preserve"> February 3, 2016</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July 4, 2018 approved the current composition of the Deliberative Body for Ensuring the Efficiency of Lenenergo’s Purchases, Including Purchases from Small- and Medium-Sized Businesses.</w:t>
      </w:r>
    </w:p>
    <w:p w14:paraId="0FD7EB81" w14:textId="77777777" w:rsidR="00ED79C9" w:rsidRPr="00BD295E" w:rsidRDefault="008A5057" w:rsidP="002B0157">
      <w:pPr>
        <w:spacing w:line="276" w:lineRule="auto"/>
        <w:jc w:val="both"/>
        <w:rPr>
          <w:rFonts w:ascii="Arial" w:hAnsi="Arial" w:cs="Arial"/>
          <w:sz w:val="18"/>
          <w:szCs w:val="18"/>
          <w:lang w:val="en-US"/>
        </w:rPr>
      </w:pPr>
      <w:r w:rsidRPr="00BD295E">
        <w:rPr>
          <w:rFonts w:ascii="Arial" w:hAnsi="Arial" w:cs="Arial"/>
          <w:sz w:val="18"/>
          <w:szCs w:val="18"/>
          <w:lang w:val="en-US"/>
        </w:rPr>
        <w:t>As a result of the meetings of the Deliberative Body, the following tasks were completed:</w:t>
      </w:r>
    </w:p>
    <w:p w14:paraId="69727EF0" w14:textId="77777777" w:rsidR="00ED79C9" w:rsidRPr="00BD295E" w:rsidRDefault="008A5057" w:rsidP="002B0157">
      <w:pPr>
        <w:pStyle w:val="af3"/>
        <w:numPr>
          <w:ilvl w:val="0"/>
          <w:numId w:val="125"/>
        </w:numPr>
        <w:tabs>
          <w:tab w:val="left" w:pos="1276"/>
        </w:tabs>
        <w:spacing w:line="276" w:lineRule="auto"/>
        <w:ind w:left="0" w:firstLine="0"/>
        <w:jc w:val="both"/>
        <w:rPr>
          <w:rFonts w:ascii="Arial" w:hAnsi="Arial" w:cs="Arial"/>
          <w:sz w:val="18"/>
          <w:szCs w:val="18"/>
          <w:lang w:val="en-US"/>
        </w:rPr>
      </w:pPr>
      <w:r w:rsidRPr="00BD295E">
        <w:rPr>
          <w:rFonts w:ascii="Arial" w:hAnsi="Arial" w:cs="Arial"/>
          <w:sz w:val="18"/>
          <w:szCs w:val="18"/>
          <w:lang w:val="en-US"/>
        </w:rPr>
        <w:t>amendments were made to provisions on obligations and liability of the parties (symmetrical requirements) in the standard forms of contracts with a value of up to RUB 1 million, including VAT;</w:t>
      </w:r>
    </w:p>
    <w:p w14:paraId="687CBD8A" w14:textId="4C4ACDE6" w:rsidR="00ED79C9" w:rsidRPr="00BD295E" w:rsidRDefault="008A5057" w:rsidP="002B0157">
      <w:pPr>
        <w:pStyle w:val="af3"/>
        <w:numPr>
          <w:ilvl w:val="0"/>
          <w:numId w:val="125"/>
        </w:numPr>
        <w:tabs>
          <w:tab w:val="left" w:pos="1276"/>
        </w:tabs>
        <w:spacing w:line="276" w:lineRule="auto"/>
        <w:ind w:left="0" w:firstLine="0"/>
        <w:jc w:val="both"/>
        <w:rPr>
          <w:rFonts w:ascii="Arial" w:hAnsi="Arial" w:cs="Arial"/>
          <w:sz w:val="18"/>
          <w:szCs w:val="18"/>
          <w:lang w:val="en-US"/>
        </w:rPr>
      </w:pPr>
      <w:r w:rsidRPr="00BD295E">
        <w:rPr>
          <w:rFonts w:ascii="Arial" w:hAnsi="Arial" w:cs="Arial"/>
          <w:sz w:val="18"/>
          <w:szCs w:val="18"/>
          <w:lang w:val="en-US"/>
        </w:rPr>
        <w:t>in case of procurement procedures with the init</w:t>
      </w:r>
      <w:r w:rsidR="00396716" w:rsidRPr="00BD295E">
        <w:rPr>
          <w:rFonts w:ascii="Arial" w:hAnsi="Arial" w:cs="Arial"/>
          <w:sz w:val="18"/>
          <w:szCs w:val="18"/>
          <w:lang w:val="en-US"/>
        </w:rPr>
        <w:t>ial (maximum) value of up to RUB</w:t>
      </w:r>
      <w:r w:rsidRPr="00BD295E">
        <w:rPr>
          <w:rFonts w:ascii="Arial" w:hAnsi="Arial" w:cs="Arial"/>
          <w:sz w:val="18"/>
          <w:szCs w:val="18"/>
          <w:lang w:val="en-US"/>
        </w:rPr>
        <w:t xml:space="preserve"> 5 million, no bid security is required;</w:t>
      </w:r>
    </w:p>
    <w:p w14:paraId="148036BF" w14:textId="77777777" w:rsidR="00ED79C9" w:rsidRPr="00BD295E" w:rsidRDefault="008A5057" w:rsidP="002B0157">
      <w:pPr>
        <w:pStyle w:val="af3"/>
        <w:numPr>
          <w:ilvl w:val="0"/>
          <w:numId w:val="125"/>
        </w:numPr>
        <w:tabs>
          <w:tab w:val="left" w:pos="1276"/>
        </w:tabs>
        <w:spacing w:line="276" w:lineRule="auto"/>
        <w:ind w:left="0" w:firstLine="0"/>
        <w:jc w:val="both"/>
        <w:rPr>
          <w:rFonts w:ascii="Arial" w:hAnsi="Arial" w:cs="Arial"/>
          <w:sz w:val="18"/>
          <w:szCs w:val="18"/>
          <w:lang w:val="en-US"/>
        </w:rPr>
      </w:pPr>
      <w:r w:rsidRPr="00BD295E">
        <w:rPr>
          <w:rFonts w:ascii="Arial" w:hAnsi="Arial" w:cs="Arial"/>
          <w:sz w:val="18"/>
          <w:szCs w:val="18"/>
          <w:lang w:val="en-US"/>
        </w:rPr>
        <w:t xml:space="preserve">procurement procedures for the supply of line accessories in line with the STO organizational standard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were completed;</w:t>
      </w:r>
    </w:p>
    <w:p w14:paraId="15C0E82C" w14:textId="77777777" w:rsidR="00ED79C9" w:rsidRPr="00BD295E" w:rsidRDefault="008A5057" w:rsidP="002B0157">
      <w:pPr>
        <w:pStyle w:val="af3"/>
        <w:numPr>
          <w:ilvl w:val="0"/>
          <w:numId w:val="125"/>
        </w:numPr>
        <w:tabs>
          <w:tab w:val="left" w:pos="1276"/>
        </w:tabs>
        <w:spacing w:line="276" w:lineRule="auto"/>
        <w:ind w:left="0" w:firstLine="0"/>
        <w:jc w:val="both"/>
        <w:rPr>
          <w:rFonts w:ascii="Arial" w:hAnsi="Arial" w:cs="Arial"/>
          <w:sz w:val="18"/>
          <w:szCs w:val="18"/>
          <w:lang w:val="en-US"/>
        </w:rPr>
      </w:pPr>
      <w:r w:rsidRPr="00BD295E">
        <w:rPr>
          <w:rFonts w:ascii="Arial" w:hAnsi="Arial" w:cs="Arial"/>
          <w:sz w:val="18"/>
          <w:szCs w:val="18"/>
          <w:lang w:val="en-US"/>
        </w:rPr>
        <w:t>the Company’s purchases were divided into two main types of procurement procedures: purchases of equipment and materials, and purchases of services;</w:t>
      </w:r>
    </w:p>
    <w:p w14:paraId="2497AEF6" w14:textId="77777777" w:rsidR="00ED79C9" w:rsidRPr="00BD295E" w:rsidRDefault="008A5057" w:rsidP="002B0157">
      <w:pPr>
        <w:pStyle w:val="af3"/>
        <w:numPr>
          <w:ilvl w:val="0"/>
          <w:numId w:val="125"/>
        </w:numPr>
        <w:tabs>
          <w:tab w:val="left" w:pos="1276"/>
        </w:tabs>
        <w:spacing w:line="276" w:lineRule="auto"/>
        <w:ind w:left="0" w:firstLine="0"/>
        <w:jc w:val="both"/>
        <w:rPr>
          <w:rFonts w:ascii="Arial" w:hAnsi="Arial" w:cs="Arial"/>
          <w:sz w:val="18"/>
          <w:szCs w:val="18"/>
          <w:lang w:val="en-US"/>
        </w:rPr>
      </w:pPr>
      <w:r w:rsidRPr="00BD295E">
        <w:rPr>
          <w:rFonts w:ascii="Arial" w:hAnsi="Arial" w:cs="Arial"/>
          <w:sz w:val="18"/>
          <w:szCs w:val="18"/>
          <w:lang w:val="en-US"/>
        </w:rPr>
        <w:t>In order to simplify the access of small- and medium-sized businesses to the Company’s procurement procedures, the list of documents required for participation in procurement was shortened.</w:t>
      </w:r>
    </w:p>
    <w:p w14:paraId="6A1FD813" w14:textId="77777777" w:rsidR="00ED79C9" w:rsidRPr="00BD295E" w:rsidRDefault="00ED79C9" w:rsidP="002B0157">
      <w:pPr>
        <w:ind w:right="-263"/>
        <w:jc w:val="both"/>
        <w:rPr>
          <w:rFonts w:ascii="Arial" w:hAnsi="Arial" w:cs="Arial"/>
          <w:sz w:val="18"/>
          <w:szCs w:val="18"/>
          <w:lang w:val="en-US"/>
        </w:rPr>
      </w:pPr>
    </w:p>
    <w:p w14:paraId="62B14065"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 xml:space="preserve">Procurement procedures won by small- and medium-sized businesses in 2018 resulted in the award of 709 contracts worth RUB 15,926 million (including VAT), including 582 contracts for RUB 8,912 million (including VAT) under procurement procedures held for small- and medium-sized businesses only, which represents 49% of the total value of contracts signed (net of contracts excluded from the calculations in line with the Government Resolution No. 1352, </w:t>
      </w:r>
      <w:r w:rsidRPr="00BD295E">
        <w:rPr>
          <w:rFonts w:ascii="Arial" w:hAnsi="Arial" w:cs="Arial"/>
          <w:i/>
          <w:iCs/>
          <w:sz w:val="18"/>
          <w:szCs w:val="18"/>
          <w:lang w:val="en-US"/>
        </w:rPr>
        <w:t>On the Particularities of Small- and Medium-Sized Businesses’ Participation in the Purchases of Goods, Work, and Services by Specific Types of Legal Entities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11, 2014 (as amended on October 29, 2015)) and meets the requirements of the Resolution. </w:t>
      </w:r>
    </w:p>
    <w:p w14:paraId="45004752"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 xml:space="preserve">A total of 846 procurement contracts worth RUB 17,412 million, including VAT (87% of the total value of purchases made) were awarded to small- and medium-sized businesses.  </w:t>
      </w:r>
    </w:p>
    <w:p w14:paraId="36BCEC75" w14:textId="77777777" w:rsidR="00ED79C9" w:rsidRPr="00BD295E" w:rsidRDefault="00ED79C9" w:rsidP="002B0157">
      <w:pPr>
        <w:ind w:right="-263"/>
        <w:jc w:val="both"/>
        <w:rPr>
          <w:rFonts w:ascii="Arial" w:hAnsi="Arial" w:cs="Arial"/>
          <w:sz w:val="18"/>
          <w:szCs w:val="18"/>
          <w:lang w:val="en-US"/>
        </w:rPr>
      </w:pPr>
    </w:p>
    <w:p w14:paraId="08C80BEA"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 xml:space="preserve">One of the scenario conditions set by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for minimizing the use of imported equipment and materials in design solutions and technical specifications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includes the maximum use of equipment, materials, technical devices, components, and software produced by domestic manufacturers.</w:t>
      </w:r>
    </w:p>
    <w:p w14:paraId="7D7DC774"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 xml:space="preserve">The activity plan prepared under Order No. 195, </w:t>
      </w:r>
      <w:r w:rsidRPr="00BD295E">
        <w:rPr>
          <w:rFonts w:ascii="Arial" w:hAnsi="Arial" w:cs="Arial"/>
          <w:i/>
          <w:iCs/>
          <w:sz w:val="18"/>
          <w:szCs w:val="18"/>
          <w:lang w:val="en-US"/>
        </w:rPr>
        <w:t xml:space="preserve">On Approval of the Import Substitution Plan at </w:t>
      </w:r>
      <w:r w:rsidR="00BF106F" w:rsidRPr="00BD295E">
        <w:rPr>
          <w:rFonts w:ascii="Arial" w:hAnsi="Arial" w:cs="Arial"/>
          <w:i/>
          <w:iCs/>
          <w:sz w:val="18"/>
          <w:szCs w:val="18"/>
          <w:lang w:val="en-US"/>
        </w:rPr>
        <w:t>PJSC “Rosseti”</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October 14, 2014, provides for the following activities:</w:t>
      </w:r>
    </w:p>
    <w:p w14:paraId="5D5996DD" w14:textId="77777777" w:rsidR="00ED79C9" w:rsidRPr="00BD295E" w:rsidRDefault="008A5057" w:rsidP="002B0157">
      <w:pPr>
        <w:pStyle w:val="af3"/>
        <w:numPr>
          <w:ilvl w:val="0"/>
          <w:numId w:val="121"/>
        </w:numPr>
        <w:spacing w:line="276" w:lineRule="auto"/>
        <w:ind w:left="0" w:firstLine="0"/>
        <w:contextualSpacing w:val="0"/>
        <w:jc w:val="both"/>
        <w:rPr>
          <w:rFonts w:ascii="Arial" w:hAnsi="Arial" w:cs="Arial"/>
          <w:sz w:val="18"/>
          <w:szCs w:val="18"/>
          <w:lang w:val="en-US"/>
        </w:rPr>
      </w:pPr>
      <w:r w:rsidRPr="00BD295E">
        <w:rPr>
          <w:rFonts w:ascii="Arial" w:hAnsi="Arial" w:cs="Arial"/>
          <w:sz w:val="18"/>
          <w:szCs w:val="18"/>
          <w:lang w:val="en-US"/>
        </w:rPr>
        <w:t>reducing dependence on imported equipment, technical devices, components, services (works), and software of foreign manufacturers;</w:t>
      </w:r>
    </w:p>
    <w:p w14:paraId="50FD8183" w14:textId="77777777" w:rsidR="00ED79C9" w:rsidRPr="00BD295E" w:rsidRDefault="008A5057" w:rsidP="002B0157">
      <w:pPr>
        <w:pStyle w:val="af3"/>
        <w:numPr>
          <w:ilvl w:val="0"/>
          <w:numId w:val="121"/>
        </w:numPr>
        <w:spacing w:line="276" w:lineRule="auto"/>
        <w:ind w:left="0" w:firstLine="0"/>
        <w:contextualSpacing w:val="0"/>
        <w:jc w:val="both"/>
        <w:rPr>
          <w:rFonts w:ascii="Arial" w:hAnsi="Arial" w:cs="Arial"/>
          <w:sz w:val="18"/>
          <w:szCs w:val="18"/>
          <w:lang w:val="en-US"/>
        </w:rPr>
      </w:pPr>
      <w:r w:rsidRPr="00BD295E">
        <w:rPr>
          <w:rFonts w:ascii="Arial" w:hAnsi="Arial" w:cs="Arial"/>
          <w:sz w:val="18"/>
          <w:szCs w:val="18"/>
          <w:lang w:val="en-US"/>
        </w:rPr>
        <w:t>minimizing the use of imported equipment and materials in design solutions when preparing technical specifications. The share of imported core electrical equipment in the total amount of purchased equipment was 14.43% at year-end 2018.</w:t>
      </w:r>
    </w:p>
    <w:p w14:paraId="285E67A4" w14:textId="77777777" w:rsidR="00ED79C9" w:rsidRPr="00BD295E" w:rsidRDefault="00ED79C9" w:rsidP="002B0157">
      <w:pPr>
        <w:spacing w:line="276" w:lineRule="auto"/>
        <w:jc w:val="both"/>
        <w:rPr>
          <w:rFonts w:ascii="Arial" w:hAnsi="Arial" w:cs="Arial"/>
          <w:sz w:val="18"/>
          <w:szCs w:val="18"/>
          <w:lang w:val="en-US"/>
        </w:rPr>
      </w:pPr>
    </w:p>
    <w:p w14:paraId="48BACB61"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 xml:space="preserve">In order to introduce and promote new technologies and solutions in the Company’s operations, the Company has prepared the Innovative Development Program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the medium-term period of five years with due consideration of the priorities of the state R&amp;D and innovation policy, which provides for a range of measures aimed at developing and introducing new world-level technologies, innovative products and services. </w:t>
      </w:r>
    </w:p>
    <w:p w14:paraId="4119290C"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20 purchases of innovative products were made in 2018 for a total of RUB 1,588 million, including VAT.</w:t>
      </w:r>
    </w:p>
    <w:p w14:paraId="7D487EE8" w14:textId="77777777" w:rsidR="00ED79C9" w:rsidRPr="00BD295E" w:rsidRDefault="00ED79C9" w:rsidP="002B0157">
      <w:pPr>
        <w:ind w:right="-263"/>
        <w:jc w:val="both"/>
        <w:rPr>
          <w:rFonts w:ascii="Arial" w:hAnsi="Arial" w:cs="Arial"/>
          <w:sz w:val="18"/>
          <w:szCs w:val="18"/>
          <w:lang w:val="en-US"/>
        </w:rPr>
      </w:pPr>
    </w:p>
    <w:p w14:paraId="61398A68"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The Company has determined its key goals in raising the effectiveness of procurement:</w:t>
      </w:r>
    </w:p>
    <w:p w14:paraId="777FA8FF" w14:textId="77777777" w:rsidR="00ED79C9" w:rsidRPr="00BD295E" w:rsidRDefault="008A5057" w:rsidP="002B0157">
      <w:pPr>
        <w:pStyle w:val="af3"/>
        <w:numPr>
          <w:ilvl w:val="0"/>
          <w:numId w:val="121"/>
        </w:numPr>
        <w:spacing w:line="276" w:lineRule="auto"/>
        <w:ind w:left="0" w:firstLine="0"/>
        <w:contextualSpacing w:val="0"/>
        <w:jc w:val="both"/>
        <w:rPr>
          <w:rFonts w:ascii="Arial" w:hAnsi="Arial" w:cs="Arial"/>
          <w:sz w:val="18"/>
          <w:szCs w:val="18"/>
          <w:lang w:val="en-US"/>
        </w:rPr>
      </w:pPr>
      <w:r w:rsidRPr="00BD295E">
        <w:rPr>
          <w:rFonts w:ascii="Arial" w:hAnsi="Arial" w:cs="Arial"/>
          <w:sz w:val="18"/>
          <w:szCs w:val="18"/>
          <w:lang w:val="en-US"/>
        </w:rPr>
        <w:t>equality, fairness, and no discrimination or unreasonable restrictions on competition with respect to procurement participants;</w:t>
      </w:r>
    </w:p>
    <w:p w14:paraId="77832A15" w14:textId="77777777" w:rsidR="00ED79C9" w:rsidRPr="00BD295E" w:rsidRDefault="008A5057" w:rsidP="002B0157">
      <w:pPr>
        <w:pStyle w:val="af3"/>
        <w:numPr>
          <w:ilvl w:val="0"/>
          <w:numId w:val="121"/>
        </w:numPr>
        <w:spacing w:line="276" w:lineRule="auto"/>
        <w:ind w:left="0" w:firstLine="0"/>
        <w:contextualSpacing w:val="0"/>
        <w:jc w:val="both"/>
        <w:rPr>
          <w:rFonts w:ascii="Arial" w:hAnsi="Arial" w:cs="Arial"/>
          <w:sz w:val="18"/>
          <w:szCs w:val="18"/>
          <w:lang w:val="en-US"/>
        </w:rPr>
      </w:pPr>
      <w:r w:rsidRPr="00BD295E">
        <w:rPr>
          <w:rFonts w:ascii="Arial" w:hAnsi="Arial" w:cs="Arial"/>
          <w:sz w:val="18"/>
          <w:szCs w:val="18"/>
          <w:lang w:val="en-US"/>
        </w:rPr>
        <w:t>competitive selection of suppliers and contractors wherever possible and reasonable, and, to the extent possible, collective decision-making in situations where competitive selection is impracticable;</w:t>
      </w:r>
    </w:p>
    <w:p w14:paraId="7DF253BF" w14:textId="77777777" w:rsidR="00ED79C9" w:rsidRPr="00BD295E" w:rsidRDefault="008A5057" w:rsidP="002B0157">
      <w:pPr>
        <w:pStyle w:val="af3"/>
        <w:numPr>
          <w:ilvl w:val="0"/>
          <w:numId w:val="121"/>
        </w:numPr>
        <w:spacing w:line="276" w:lineRule="auto"/>
        <w:ind w:left="0" w:firstLine="0"/>
        <w:contextualSpacing w:val="0"/>
        <w:jc w:val="both"/>
        <w:rPr>
          <w:rFonts w:ascii="Arial" w:hAnsi="Arial" w:cs="Arial"/>
          <w:sz w:val="18"/>
          <w:szCs w:val="18"/>
          <w:lang w:val="en-US"/>
        </w:rPr>
      </w:pPr>
      <w:r w:rsidRPr="00BD295E">
        <w:rPr>
          <w:rFonts w:ascii="Arial" w:hAnsi="Arial" w:cs="Arial"/>
          <w:sz w:val="18"/>
          <w:szCs w:val="18"/>
          <w:lang w:val="en-US"/>
        </w:rPr>
        <w:t>use of advanced information technologies, electronic document management and procurement automation solutions, including the functionality of online marketplaces;</w:t>
      </w:r>
    </w:p>
    <w:p w14:paraId="5483CAC9" w14:textId="77777777" w:rsidR="00ED79C9" w:rsidRPr="00BD295E" w:rsidRDefault="008A5057" w:rsidP="002B0157">
      <w:pPr>
        <w:pStyle w:val="af3"/>
        <w:numPr>
          <w:ilvl w:val="0"/>
          <w:numId w:val="121"/>
        </w:numPr>
        <w:spacing w:line="276" w:lineRule="auto"/>
        <w:ind w:left="0" w:firstLine="0"/>
        <w:contextualSpacing w:val="0"/>
        <w:jc w:val="both"/>
        <w:rPr>
          <w:rFonts w:ascii="Arial" w:hAnsi="Arial" w:cs="Arial"/>
          <w:sz w:val="18"/>
          <w:szCs w:val="18"/>
          <w:lang w:val="en-US"/>
        </w:rPr>
      </w:pPr>
      <w:r w:rsidRPr="00BD295E">
        <w:rPr>
          <w:rFonts w:ascii="Arial" w:hAnsi="Arial" w:cs="Arial"/>
          <w:sz w:val="18"/>
          <w:szCs w:val="18"/>
          <w:lang w:val="en-US"/>
        </w:rPr>
        <w:t>supply of the Company with quality equipment, machinery, materials, and at the best value for money ratio;</w:t>
      </w:r>
    </w:p>
    <w:p w14:paraId="5F07595C" w14:textId="77777777" w:rsidR="00ED79C9" w:rsidRPr="00BD295E" w:rsidRDefault="008A5057" w:rsidP="002B0157">
      <w:pPr>
        <w:pStyle w:val="af3"/>
        <w:numPr>
          <w:ilvl w:val="0"/>
          <w:numId w:val="121"/>
        </w:numPr>
        <w:spacing w:line="276" w:lineRule="auto"/>
        <w:ind w:left="0" w:firstLine="0"/>
        <w:contextualSpacing w:val="0"/>
        <w:jc w:val="both"/>
        <w:rPr>
          <w:rFonts w:ascii="Arial" w:hAnsi="Arial" w:cs="Arial"/>
          <w:sz w:val="18"/>
          <w:szCs w:val="18"/>
          <w:lang w:val="en-US"/>
        </w:rPr>
      </w:pPr>
      <w:r w:rsidRPr="00BD295E">
        <w:rPr>
          <w:rFonts w:ascii="Arial" w:hAnsi="Arial" w:cs="Arial"/>
          <w:sz w:val="18"/>
          <w:szCs w:val="18"/>
          <w:lang w:val="en-US"/>
        </w:rPr>
        <w:t>professionalism and competence of the Company’s employees in preparing and making procurement decisions.</w:t>
      </w:r>
    </w:p>
    <w:p w14:paraId="37FBFE2E" w14:textId="77777777" w:rsidR="00DF2E5E" w:rsidRPr="00BD295E" w:rsidRDefault="00DF2E5E" w:rsidP="002B0157">
      <w:pPr>
        <w:pStyle w:val="af3"/>
        <w:spacing w:line="276" w:lineRule="auto"/>
        <w:ind w:left="0"/>
        <w:contextualSpacing w:val="0"/>
        <w:jc w:val="both"/>
        <w:rPr>
          <w:rFonts w:ascii="Arial" w:hAnsi="Arial" w:cs="Arial"/>
          <w:sz w:val="18"/>
          <w:szCs w:val="18"/>
          <w:lang w:val="en-US"/>
        </w:rPr>
      </w:pPr>
    </w:p>
    <w:p w14:paraId="595309CB" w14:textId="77777777" w:rsidR="0049415C" w:rsidRPr="00BD295E" w:rsidRDefault="008A5057" w:rsidP="002B0157">
      <w:pPr>
        <w:pStyle w:val="af3"/>
        <w:keepNext/>
        <w:numPr>
          <w:ilvl w:val="1"/>
          <w:numId w:val="90"/>
        </w:numPr>
        <w:ind w:left="0" w:firstLine="0"/>
        <w:jc w:val="both"/>
        <w:outlineLvl w:val="1"/>
        <w:rPr>
          <w:rFonts w:ascii="Arial" w:hAnsi="Arial" w:cs="Arial"/>
          <w:b/>
          <w:sz w:val="18"/>
          <w:szCs w:val="18"/>
          <w:lang w:val="en-US"/>
        </w:rPr>
      </w:pPr>
      <w:bookmarkStart w:id="524" w:name="_Toc509581275"/>
      <w:bookmarkStart w:id="525" w:name="_Toc510452239"/>
      <w:bookmarkStart w:id="526" w:name="_Toc5027028"/>
      <w:bookmarkStart w:id="527" w:name="_Toc5105986"/>
      <w:bookmarkStart w:id="528" w:name="_Toc5203839"/>
      <w:bookmarkStart w:id="529" w:name="_Toc6230936"/>
      <w:bookmarkStart w:id="530" w:name="_Toc7172584"/>
      <w:bookmarkStart w:id="531" w:name="_Toc7172630"/>
      <w:bookmarkStart w:id="532" w:name="_Toc95855305"/>
      <w:bookmarkStart w:id="533" w:name="_Toc95935364"/>
      <w:bookmarkStart w:id="534" w:name="_Toc509493410"/>
      <w:bookmarkStart w:id="535" w:name="_Toc509497973"/>
      <w:r w:rsidRPr="00BD295E">
        <w:rPr>
          <w:rFonts w:ascii="Arial" w:hAnsi="Arial" w:cs="Arial"/>
          <w:b/>
          <w:sz w:val="18"/>
          <w:szCs w:val="18"/>
          <w:lang w:val="en-US"/>
        </w:rPr>
        <w:t>Management systems</w:t>
      </w:r>
      <w:bookmarkEnd w:id="524"/>
      <w:bookmarkEnd w:id="525"/>
      <w:bookmarkEnd w:id="526"/>
      <w:bookmarkEnd w:id="527"/>
      <w:bookmarkEnd w:id="528"/>
      <w:bookmarkEnd w:id="529"/>
      <w:bookmarkEnd w:id="530"/>
      <w:bookmarkEnd w:id="531"/>
      <w:bookmarkEnd w:id="532"/>
      <w:bookmarkEnd w:id="533"/>
      <w:r w:rsidRPr="00BD295E">
        <w:rPr>
          <w:rFonts w:ascii="Arial" w:hAnsi="Arial" w:cs="Arial"/>
          <w:b/>
          <w:sz w:val="18"/>
          <w:szCs w:val="18"/>
          <w:lang w:val="en-US"/>
        </w:rPr>
        <w:t xml:space="preserve"> </w:t>
      </w:r>
      <w:bookmarkEnd w:id="534"/>
      <w:bookmarkEnd w:id="535"/>
    </w:p>
    <w:p w14:paraId="61AB9DD7" w14:textId="77777777" w:rsidR="0049415C" w:rsidRPr="00BD295E" w:rsidRDefault="0049415C" w:rsidP="002B0157">
      <w:pPr>
        <w:tabs>
          <w:tab w:val="left" w:pos="1560"/>
        </w:tabs>
        <w:contextualSpacing/>
        <w:jc w:val="both"/>
        <w:rPr>
          <w:rFonts w:ascii="Arial" w:eastAsia="Calibri" w:hAnsi="Arial" w:cs="Arial"/>
          <w:sz w:val="18"/>
          <w:szCs w:val="18"/>
          <w:lang w:val="en-US" w:eastAsia="en-US"/>
        </w:rPr>
      </w:pPr>
    </w:p>
    <w:p w14:paraId="0FD32CEE" w14:textId="77777777" w:rsidR="00ED79C9" w:rsidRPr="00BD295E" w:rsidRDefault="008A5057" w:rsidP="002B0157">
      <w:pPr>
        <w:ind w:right="-263"/>
        <w:jc w:val="both"/>
        <w:rPr>
          <w:rFonts w:ascii="Arial" w:hAnsi="Arial" w:cs="Arial"/>
          <w:sz w:val="18"/>
          <w:szCs w:val="18"/>
          <w:lang w:val="en-US"/>
        </w:rPr>
      </w:pPr>
      <w:bookmarkStart w:id="536" w:name="_Toc510452240"/>
      <w:r w:rsidRPr="00BD295E">
        <w:rPr>
          <w:rFonts w:ascii="Arial" w:hAnsi="Arial" w:cs="Arial"/>
          <w:sz w:val="18"/>
          <w:szCs w:val="18"/>
          <w:lang w:val="en-US"/>
        </w:rPr>
        <w:t xml:space="preserve">The Quality Management System is implemented and operates at the Company as a part of the integrated management system. Resolutions on implementing the Quality Management System, Environmental Management System, and Occupational Safety and Health Management System were adopted by the Company’s Board of Directors in 2008 (Minutes No. 17 </w:t>
      </w:r>
      <w:r w:rsidR="008B183C" w:rsidRPr="00BD295E">
        <w:rPr>
          <w:rFonts w:ascii="Arial" w:hAnsi="Arial" w:cs="Arial"/>
          <w:sz w:val="18"/>
          <w:szCs w:val="18"/>
          <w:lang w:val="en-US"/>
        </w:rPr>
        <w:t>of</w:t>
      </w:r>
      <w:r w:rsidRPr="00BD295E">
        <w:rPr>
          <w:rFonts w:ascii="Arial" w:hAnsi="Arial" w:cs="Arial"/>
          <w:sz w:val="18"/>
          <w:szCs w:val="18"/>
          <w:lang w:val="en-US"/>
        </w:rPr>
        <w:t xml:space="preserve"> February 6, 2008 and No. 20 </w:t>
      </w:r>
      <w:r w:rsidR="008B183C" w:rsidRPr="00BD295E">
        <w:rPr>
          <w:rFonts w:ascii="Arial" w:hAnsi="Arial" w:cs="Arial"/>
          <w:sz w:val="18"/>
          <w:szCs w:val="18"/>
          <w:lang w:val="en-US"/>
        </w:rPr>
        <w:t>of</w:t>
      </w:r>
      <w:r w:rsidRPr="00BD295E">
        <w:rPr>
          <w:rFonts w:ascii="Arial" w:hAnsi="Arial" w:cs="Arial"/>
          <w:sz w:val="18"/>
          <w:szCs w:val="18"/>
          <w:lang w:val="en-US"/>
        </w:rPr>
        <w:t xml:space="preserve"> March 12, 2008).</w:t>
      </w:r>
    </w:p>
    <w:p w14:paraId="336F688C"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 xml:space="preserve">To decrease costs it was decided to introduce these systems in their integrated form as the Integrated Management System (“IMS”) (Order No. 299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Pr="00BD295E">
        <w:rPr>
          <w:rFonts w:ascii="Arial" w:hAnsi="Arial" w:cs="Arial"/>
          <w:i/>
          <w:iCs/>
          <w:sz w:val="18"/>
          <w:szCs w:val="18"/>
          <w:lang w:val="en-US"/>
        </w:rPr>
        <w:t>On Adoption of the Integrated Management System</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August 21, 2008).</w:t>
      </w:r>
    </w:p>
    <w:p w14:paraId="540AA4A4" w14:textId="77777777" w:rsidR="00ED79C9" w:rsidRPr="00BD295E" w:rsidRDefault="008A5057" w:rsidP="002B0157">
      <w:pPr>
        <w:ind w:right="-263"/>
        <w:jc w:val="both"/>
        <w:rPr>
          <w:rFonts w:ascii="Arial" w:hAnsi="Arial" w:cs="Arial"/>
          <w:sz w:val="18"/>
          <w:szCs w:val="18"/>
          <w:lang w:val="en-US"/>
        </w:rPr>
      </w:pPr>
      <w:r w:rsidRPr="00BD295E">
        <w:rPr>
          <w:rFonts w:ascii="Arial" w:hAnsi="Arial" w:cs="Arial"/>
          <w:sz w:val="18"/>
          <w:szCs w:val="18"/>
          <w:lang w:val="en-US"/>
        </w:rPr>
        <w:t>IMS is an integral part of the Company’s overall management system, aimed at ensuring the high quality of services in line with the requirements of regulatory documents, customer needs and expectations, in the best interests of all stakeholders, including employees, shareholders, investors, and partners of the Company.</w:t>
      </w:r>
    </w:p>
    <w:p w14:paraId="375B02FE" w14:textId="77777777" w:rsidR="00ED79C9" w:rsidRPr="00BD295E" w:rsidRDefault="00ED79C9" w:rsidP="002B0157">
      <w:pPr>
        <w:tabs>
          <w:tab w:val="left" w:pos="1560"/>
        </w:tabs>
        <w:contextualSpacing/>
        <w:jc w:val="both"/>
        <w:rPr>
          <w:rFonts w:ascii="Arial" w:eastAsia="Calibri" w:hAnsi="Arial" w:cs="Arial"/>
          <w:sz w:val="18"/>
          <w:szCs w:val="18"/>
          <w:lang w:val="en-US" w:eastAsia="en-US"/>
        </w:rPr>
      </w:pPr>
    </w:p>
    <w:p w14:paraId="398E94D4" w14:textId="77777777" w:rsidR="00ED79C9" w:rsidRPr="00BD295E" w:rsidRDefault="008A5057" w:rsidP="002B0157">
      <w:pPr>
        <w:pStyle w:val="af3"/>
        <w:ind w:left="0"/>
        <w:jc w:val="both"/>
        <w:rPr>
          <w:rFonts w:ascii="Arial" w:hAnsi="Arial" w:cs="Arial"/>
          <w:sz w:val="18"/>
          <w:szCs w:val="18"/>
          <w:lang w:val="en-US"/>
        </w:rPr>
      </w:pPr>
      <w:r w:rsidRPr="00BD295E">
        <w:rPr>
          <w:rFonts w:ascii="Arial" w:hAnsi="Arial" w:cs="Arial"/>
          <w:sz w:val="18"/>
          <w:szCs w:val="18"/>
          <w:lang w:val="en-US"/>
        </w:rPr>
        <w:t>The following management systems are implemented and operate in the Company as part of the IMS:</w:t>
      </w:r>
    </w:p>
    <w:p w14:paraId="2DF05897" w14:textId="77777777" w:rsidR="00ED79C9" w:rsidRPr="00BD295E" w:rsidRDefault="008A5057" w:rsidP="002B0157">
      <w:pPr>
        <w:pStyle w:val="af3"/>
        <w:ind w:left="0"/>
        <w:jc w:val="both"/>
        <w:rPr>
          <w:rFonts w:ascii="Arial" w:hAnsi="Arial" w:cs="Arial"/>
          <w:sz w:val="18"/>
          <w:szCs w:val="18"/>
          <w:lang w:val="en-US"/>
        </w:rPr>
      </w:pPr>
      <w:r w:rsidRPr="00BD295E">
        <w:rPr>
          <w:rFonts w:ascii="Arial" w:hAnsi="Arial" w:cs="Arial"/>
          <w:sz w:val="18"/>
          <w:szCs w:val="18"/>
          <w:lang w:val="en-US"/>
        </w:rPr>
        <w:t>1.       Quality Management System (QMS)</w:t>
      </w:r>
    </w:p>
    <w:p w14:paraId="78836EF2" w14:textId="77777777" w:rsidR="00ED79C9" w:rsidRPr="00BD295E" w:rsidRDefault="008A5057" w:rsidP="002B0157">
      <w:pPr>
        <w:pStyle w:val="af3"/>
        <w:ind w:left="0"/>
        <w:jc w:val="both"/>
        <w:rPr>
          <w:rFonts w:ascii="Arial" w:hAnsi="Arial" w:cs="Arial"/>
          <w:sz w:val="18"/>
          <w:szCs w:val="18"/>
          <w:lang w:val="en-US"/>
        </w:rPr>
      </w:pPr>
      <w:r w:rsidRPr="00BD295E">
        <w:rPr>
          <w:rFonts w:ascii="Arial" w:hAnsi="Arial" w:cs="Arial"/>
          <w:sz w:val="18"/>
          <w:szCs w:val="18"/>
          <w:lang w:val="en-US"/>
        </w:rPr>
        <w:t>QMS is an integral part of the Company’s overall management system, aimed at ensuring the high quality of services in line with the requirements of regulatory documents, customer needs and expectations, in the best interests of all stakeholders, including employees, shareholders, investors, and partners of the Company.</w:t>
      </w:r>
    </w:p>
    <w:p w14:paraId="65442ECD" w14:textId="77777777" w:rsidR="00ED79C9" w:rsidRPr="00BD295E" w:rsidRDefault="008A5057" w:rsidP="002B0157">
      <w:pPr>
        <w:pStyle w:val="af3"/>
        <w:ind w:left="0"/>
        <w:jc w:val="both"/>
        <w:rPr>
          <w:rFonts w:ascii="Arial" w:hAnsi="Arial" w:cs="Arial"/>
          <w:sz w:val="18"/>
          <w:szCs w:val="18"/>
          <w:lang w:val="en-US"/>
        </w:rPr>
      </w:pPr>
      <w:r w:rsidRPr="00BD295E">
        <w:rPr>
          <w:rFonts w:ascii="Arial" w:hAnsi="Arial" w:cs="Arial"/>
          <w:sz w:val="18"/>
          <w:szCs w:val="18"/>
          <w:lang w:val="en-US"/>
        </w:rPr>
        <w:t>2.       Environmental Management System (EMS)</w:t>
      </w:r>
    </w:p>
    <w:p w14:paraId="03C4561A" w14:textId="77777777" w:rsidR="00ED79C9" w:rsidRPr="00BD295E" w:rsidRDefault="008A5057" w:rsidP="002B0157">
      <w:pPr>
        <w:pStyle w:val="af3"/>
        <w:ind w:left="0"/>
        <w:jc w:val="both"/>
        <w:rPr>
          <w:rFonts w:ascii="Arial" w:hAnsi="Arial" w:cs="Arial"/>
          <w:sz w:val="18"/>
          <w:szCs w:val="18"/>
          <w:lang w:val="en-US"/>
        </w:rPr>
      </w:pPr>
      <w:r w:rsidRPr="00BD295E">
        <w:rPr>
          <w:rFonts w:ascii="Arial" w:hAnsi="Arial" w:cs="Arial"/>
          <w:sz w:val="18"/>
          <w:szCs w:val="18"/>
          <w:lang w:val="en-US"/>
        </w:rPr>
        <w:t>EMS is a part of the Company’s overall management system, which covers the organizational structure, activity planning, distribution of responsibilities, hands-on work, as well as procedures, processes, and resources to develop, implement, evaluate the performance, and improve the environmental policy, goals, and objectives.</w:t>
      </w:r>
    </w:p>
    <w:p w14:paraId="1E27DEF1" w14:textId="77777777" w:rsidR="00ED79C9" w:rsidRPr="00BD295E" w:rsidRDefault="008A5057" w:rsidP="002B0157">
      <w:pPr>
        <w:pStyle w:val="af3"/>
        <w:ind w:left="0"/>
        <w:jc w:val="both"/>
        <w:rPr>
          <w:rFonts w:ascii="Arial" w:hAnsi="Arial" w:cs="Arial"/>
          <w:sz w:val="18"/>
          <w:szCs w:val="18"/>
          <w:lang w:val="en-US"/>
        </w:rPr>
      </w:pPr>
      <w:r w:rsidRPr="00BD295E">
        <w:rPr>
          <w:rFonts w:ascii="Arial" w:hAnsi="Arial" w:cs="Arial"/>
          <w:sz w:val="18"/>
          <w:szCs w:val="18"/>
          <w:lang w:val="en-US"/>
        </w:rPr>
        <w:t>3.        Occupational Health and Safety Management System (OHSMS)</w:t>
      </w:r>
    </w:p>
    <w:p w14:paraId="7AA07F91" w14:textId="77777777" w:rsidR="00ED79C9" w:rsidRPr="00BD295E" w:rsidRDefault="008A5057" w:rsidP="002B0157">
      <w:pPr>
        <w:pStyle w:val="af3"/>
        <w:ind w:left="0"/>
        <w:jc w:val="both"/>
        <w:rPr>
          <w:rFonts w:ascii="Arial" w:hAnsi="Arial" w:cs="Arial"/>
          <w:sz w:val="18"/>
          <w:szCs w:val="18"/>
          <w:lang w:val="en-US"/>
        </w:rPr>
      </w:pPr>
      <w:r w:rsidRPr="00BD295E">
        <w:rPr>
          <w:rFonts w:ascii="Arial" w:hAnsi="Arial" w:cs="Arial"/>
          <w:sz w:val="18"/>
          <w:szCs w:val="18"/>
          <w:lang w:val="en-US"/>
        </w:rPr>
        <w:t xml:space="preserve">OHSMS is a part of the Company’s overall management system, which manages risks and improves performance </w:t>
      </w:r>
      <w:r w:rsidR="00EC0D9D" w:rsidRPr="00BD295E">
        <w:rPr>
          <w:rFonts w:ascii="Arial" w:hAnsi="Arial" w:cs="Arial"/>
          <w:sz w:val="18"/>
          <w:szCs w:val="18"/>
          <w:lang w:val="en-US"/>
        </w:rPr>
        <w:t>in occupational</w:t>
      </w:r>
      <w:r w:rsidRPr="00BD295E">
        <w:rPr>
          <w:rFonts w:ascii="Arial" w:hAnsi="Arial" w:cs="Arial"/>
          <w:sz w:val="18"/>
          <w:szCs w:val="18"/>
          <w:lang w:val="en-US"/>
        </w:rPr>
        <w:t xml:space="preserve"> health and safety.</w:t>
      </w:r>
    </w:p>
    <w:p w14:paraId="7A4ACA78" w14:textId="77777777" w:rsidR="00ED79C9" w:rsidRPr="00BD295E" w:rsidRDefault="008A5057" w:rsidP="002B0157">
      <w:pPr>
        <w:pStyle w:val="af3"/>
        <w:ind w:left="0"/>
        <w:jc w:val="both"/>
        <w:rPr>
          <w:rFonts w:ascii="Arial" w:hAnsi="Arial" w:cs="Arial"/>
          <w:sz w:val="18"/>
          <w:szCs w:val="18"/>
          <w:lang w:val="en-US"/>
        </w:rPr>
      </w:pPr>
      <w:r w:rsidRPr="00BD295E">
        <w:rPr>
          <w:rFonts w:ascii="Arial" w:hAnsi="Arial" w:cs="Arial"/>
          <w:sz w:val="18"/>
          <w:szCs w:val="18"/>
          <w:lang w:val="en-US"/>
        </w:rPr>
        <w:t xml:space="preserve">The Company’s management systems comply with ISO 9001:2015 (GOST R ISO 9001-2015), ISO 14001:2015 (GOST R ISO 14001-2007) and OHSAS 18001:2007/ GOST R 59934-2012 (GOST 12.0.230-2007) (Table 20). </w:t>
      </w:r>
    </w:p>
    <w:p w14:paraId="224653E8" w14:textId="77777777" w:rsidR="00ED79C9" w:rsidRPr="00BD295E" w:rsidRDefault="00ED79C9" w:rsidP="00ED79C9">
      <w:pPr>
        <w:tabs>
          <w:tab w:val="left" w:pos="1560"/>
        </w:tabs>
        <w:ind w:firstLine="709"/>
        <w:contextualSpacing/>
        <w:jc w:val="both"/>
        <w:rPr>
          <w:rFonts w:ascii="Arial" w:eastAsia="Calibri" w:hAnsi="Arial" w:cs="Arial"/>
          <w:sz w:val="18"/>
          <w:szCs w:val="18"/>
          <w:lang w:val="en-US" w:eastAsia="en-US"/>
        </w:rPr>
      </w:pPr>
    </w:p>
    <w:p w14:paraId="7F0DBDEC" w14:textId="77777777" w:rsidR="00ED79C9" w:rsidRPr="00BD295E" w:rsidRDefault="008A5057" w:rsidP="00ED79C9">
      <w:pPr>
        <w:pStyle w:val="af3"/>
        <w:ind w:left="851" w:firstLine="425"/>
        <w:jc w:val="both"/>
        <w:rPr>
          <w:rFonts w:ascii="Arial" w:hAnsi="Arial" w:cs="Arial"/>
          <w:b/>
          <w:bCs/>
          <w:sz w:val="18"/>
          <w:szCs w:val="18"/>
          <w:lang w:val="en-US"/>
        </w:rPr>
      </w:pPr>
      <w:r w:rsidRPr="00BD295E">
        <w:rPr>
          <w:rFonts w:ascii="Arial" w:hAnsi="Arial" w:cs="Arial"/>
          <w:b/>
          <w:bCs/>
          <w:sz w:val="18"/>
          <w:szCs w:val="18"/>
          <w:lang w:val="en-US"/>
        </w:rPr>
        <w:t>Certificates</w:t>
      </w:r>
    </w:p>
    <w:p w14:paraId="4D3C1459" w14:textId="77777777" w:rsidR="00ED79C9" w:rsidRPr="00BD295E" w:rsidRDefault="008A5057" w:rsidP="00ED79C9">
      <w:pPr>
        <w:pStyle w:val="af3"/>
        <w:ind w:left="851" w:firstLine="425"/>
        <w:jc w:val="right"/>
        <w:rPr>
          <w:rFonts w:ascii="Arial" w:hAnsi="Arial" w:cs="Arial"/>
          <w:sz w:val="18"/>
          <w:szCs w:val="18"/>
          <w:lang w:val="en-US"/>
        </w:rPr>
      </w:pPr>
      <w:r w:rsidRPr="00BD295E">
        <w:rPr>
          <w:rFonts w:ascii="Arial" w:hAnsi="Arial" w:cs="Arial"/>
          <w:sz w:val="18"/>
          <w:szCs w:val="18"/>
          <w:lang w:val="en-US"/>
        </w:rPr>
        <w:t>Table 20</w:t>
      </w:r>
    </w:p>
    <w:tbl>
      <w:tblPr>
        <w:tblW w:w="9909" w:type="dxa"/>
        <w:tblInd w:w="-318" w:type="dxa"/>
        <w:tblCellMar>
          <w:left w:w="0" w:type="dxa"/>
          <w:right w:w="0" w:type="dxa"/>
        </w:tblCellMar>
        <w:tblLook w:val="04A0" w:firstRow="1" w:lastRow="0" w:firstColumn="1" w:lastColumn="0" w:noHBand="0" w:noVBand="1"/>
      </w:tblPr>
      <w:tblGrid>
        <w:gridCol w:w="858"/>
        <w:gridCol w:w="2142"/>
        <w:gridCol w:w="1537"/>
        <w:gridCol w:w="1701"/>
        <w:gridCol w:w="1883"/>
        <w:gridCol w:w="1788"/>
      </w:tblGrid>
      <w:tr w:rsidR="008A5057" w:rsidRPr="00BD295E" w14:paraId="46E9182F" w14:textId="77777777" w:rsidTr="00ED79C9">
        <w:tc>
          <w:tcPr>
            <w:tcW w:w="85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4E57FDD" w14:textId="77777777" w:rsidR="00ED79C9" w:rsidRPr="00BD295E" w:rsidRDefault="008A5057" w:rsidP="00ED79C9">
            <w:pPr>
              <w:pStyle w:val="af3"/>
              <w:spacing w:line="252" w:lineRule="auto"/>
              <w:ind w:left="0"/>
              <w:jc w:val="center"/>
              <w:rPr>
                <w:rFonts w:ascii="Arial" w:hAnsi="Arial" w:cs="Arial"/>
                <w:sz w:val="18"/>
                <w:szCs w:val="18"/>
                <w:lang w:val="en-US"/>
              </w:rPr>
            </w:pPr>
            <w:r w:rsidRPr="00BD295E">
              <w:rPr>
                <w:rFonts w:ascii="Arial" w:hAnsi="Arial" w:cs="Arial"/>
                <w:b/>
                <w:bCs/>
                <w:sz w:val="18"/>
                <w:szCs w:val="18"/>
                <w:lang w:val="en-US"/>
              </w:rPr>
              <w:t>No.</w:t>
            </w:r>
          </w:p>
        </w:tc>
        <w:tc>
          <w:tcPr>
            <w:tcW w:w="2142"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366F97B" w14:textId="77777777" w:rsidR="00ED79C9" w:rsidRPr="00BD295E" w:rsidRDefault="00EE5753" w:rsidP="00ED79C9">
            <w:pPr>
              <w:pStyle w:val="af3"/>
              <w:spacing w:line="252" w:lineRule="auto"/>
              <w:ind w:left="0"/>
              <w:jc w:val="center"/>
              <w:rPr>
                <w:rFonts w:ascii="Arial" w:hAnsi="Arial" w:cs="Arial"/>
                <w:sz w:val="18"/>
                <w:szCs w:val="18"/>
                <w:lang w:val="en-US"/>
              </w:rPr>
            </w:pPr>
            <w:r w:rsidRPr="00BD295E">
              <w:rPr>
                <w:rFonts w:ascii="Arial" w:hAnsi="Arial" w:cs="Arial"/>
                <w:b/>
                <w:bCs/>
                <w:sz w:val="18"/>
                <w:szCs w:val="18"/>
                <w:lang w:val="en-US"/>
              </w:rPr>
              <w:t>PJSC “Lenenergo”</w:t>
            </w:r>
          </w:p>
        </w:tc>
        <w:tc>
          <w:tcPr>
            <w:tcW w:w="512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07DC65D" w14:textId="77777777" w:rsidR="00ED79C9" w:rsidRPr="00BD295E" w:rsidRDefault="008A5057" w:rsidP="00ED79C9">
            <w:pPr>
              <w:pStyle w:val="af3"/>
              <w:spacing w:line="252" w:lineRule="auto"/>
              <w:ind w:left="0"/>
              <w:jc w:val="center"/>
              <w:rPr>
                <w:rFonts w:ascii="Arial" w:hAnsi="Arial" w:cs="Arial"/>
                <w:sz w:val="18"/>
                <w:szCs w:val="18"/>
                <w:lang w:val="en-US"/>
              </w:rPr>
            </w:pPr>
            <w:r w:rsidRPr="00BD295E">
              <w:rPr>
                <w:rFonts w:ascii="Arial" w:hAnsi="Arial" w:cs="Arial"/>
                <w:b/>
                <w:bCs/>
                <w:sz w:val="18"/>
                <w:szCs w:val="18"/>
                <w:lang w:val="en-US"/>
              </w:rPr>
              <w:t>Management systems / certificate validity</w:t>
            </w:r>
          </w:p>
        </w:tc>
        <w:tc>
          <w:tcPr>
            <w:tcW w:w="1788" w:type="dxa"/>
            <w:vMerge w:val="restart"/>
            <w:tcBorders>
              <w:top w:val="single" w:sz="8" w:space="0" w:color="auto"/>
              <w:left w:val="nil"/>
              <w:right w:val="single" w:sz="8" w:space="0" w:color="auto"/>
            </w:tcBorders>
            <w:tcMar>
              <w:top w:w="0" w:type="dxa"/>
              <w:left w:w="108" w:type="dxa"/>
              <w:bottom w:w="0" w:type="dxa"/>
              <w:right w:w="108" w:type="dxa"/>
            </w:tcMar>
            <w:vAlign w:val="center"/>
            <w:hideMark/>
          </w:tcPr>
          <w:p w14:paraId="542FC017" w14:textId="77777777" w:rsidR="00ED79C9" w:rsidRPr="00BD295E" w:rsidRDefault="008A5057" w:rsidP="00ED79C9">
            <w:pPr>
              <w:pStyle w:val="af3"/>
              <w:spacing w:line="252" w:lineRule="auto"/>
              <w:ind w:left="0"/>
              <w:jc w:val="center"/>
              <w:rPr>
                <w:rFonts w:ascii="Arial" w:hAnsi="Arial" w:cs="Arial"/>
                <w:sz w:val="18"/>
                <w:szCs w:val="18"/>
                <w:lang w:val="en-US"/>
              </w:rPr>
            </w:pPr>
            <w:r w:rsidRPr="00BD295E">
              <w:rPr>
                <w:rFonts w:ascii="Arial" w:hAnsi="Arial" w:cs="Arial"/>
                <w:b/>
                <w:bCs/>
                <w:sz w:val="18"/>
                <w:szCs w:val="18"/>
                <w:lang w:val="en-US"/>
              </w:rPr>
              <w:t>Certification authority</w:t>
            </w:r>
          </w:p>
        </w:tc>
      </w:tr>
      <w:tr w:rsidR="008A5057" w:rsidRPr="00BD295E" w14:paraId="213E8693" w14:textId="77777777" w:rsidTr="00ED79C9">
        <w:tc>
          <w:tcPr>
            <w:tcW w:w="0" w:type="auto"/>
            <w:vMerge/>
            <w:tcBorders>
              <w:top w:val="single" w:sz="8" w:space="0" w:color="auto"/>
              <w:left w:val="single" w:sz="8" w:space="0" w:color="auto"/>
              <w:bottom w:val="single" w:sz="8" w:space="0" w:color="auto"/>
              <w:right w:val="single" w:sz="8" w:space="0" w:color="auto"/>
            </w:tcBorders>
            <w:vAlign w:val="center"/>
            <w:hideMark/>
          </w:tcPr>
          <w:p w14:paraId="77519724" w14:textId="77777777" w:rsidR="00ED79C9" w:rsidRPr="00BD295E" w:rsidRDefault="00ED79C9" w:rsidP="00ED79C9">
            <w:pPr>
              <w:rPr>
                <w:rFonts w:ascii="Arial" w:hAnsi="Arial" w:cs="Arial"/>
                <w:sz w:val="18"/>
                <w:szCs w:val="18"/>
                <w:lang w:val="en-US" w:eastAsia="en-US"/>
              </w:rPr>
            </w:pPr>
          </w:p>
        </w:tc>
        <w:tc>
          <w:tcPr>
            <w:tcW w:w="0" w:type="auto"/>
            <w:vMerge/>
            <w:tcBorders>
              <w:top w:val="single" w:sz="8" w:space="0" w:color="auto"/>
              <w:left w:val="nil"/>
              <w:bottom w:val="single" w:sz="8" w:space="0" w:color="auto"/>
              <w:right w:val="single" w:sz="8" w:space="0" w:color="auto"/>
            </w:tcBorders>
            <w:vAlign w:val="center"/>
            <w:hideMark/>
          </w:tcPr>
          <w:p w14:paraId="102038A4" w14:textId="77777777" w:rsidR="00ED79C9" w:rsidRPr="00BD295E" w:rsidRDefault="00ED79C9" w:rsidP="00ED79C9">
            <w:pPr>
              <w:rPr>
                <w:rFonts w:ascii="Arial" w:hAnsi="Arial" w:cs="Arial"/>
                <w:sz w:val="18"/>
                <w:szCs w:val="18"/>
                <w:lang w:val="en-US" w:eastAsia="en-US"/>
              </w:rPr>
            </w:pPr>
          </w:p>
        </w:tc>
        <w:tc>
          <w:tcPr>
            <w:tcW w:w="1537" w:type="dxa"/>
            <w:tcBorders>
              <w:top w:val="nil"/>
              <w:left w:val="nil"/>
              <w:bottom w:val="single" w:sz="8" w:space="0" w:color="auto"/>
              <w:right w:val="single" w:sz="8" w:space="0" w:color="auto"/>
            </w:tcBorders>
            <w:tcMar>
              <w:top w:w="0" w:type="dxa"/>
              <w:left w:w="108" w:type="dxa"/>
              <w:bottom w:w="0" w:type="dxa"/>
              <w:right w:w="108" w:type="dxa"/>
            </w:tcMar>
            <w:hideMark/>
          </w:tcPr>
          <w:p w14:paraId="3F29A918" w14:textId="77777777" w:rsidR="00ED79C9" w:rsidRPr="00BD295E" w:rsidRDefault="008A5057" w:rsidP="00ED79C9">
            <w:pPr>
              <w:pStyle w:val="af3"/>
              <w:spacing w:line="252" w:lineRule="auto"/>
              <w:ind w:left="0"/>
              <w:jc w:val="center"/>
              <w:rPr>
                <w:rFonts w:ascii="Arial" w:hAnsi="Arial" w:cs="Arial"/>
                <w:sz w:val="18"/>
                <w:szCs w:val="18"/>
                <w:lang w:val="en-US"/>
              </w:rPr>
            </w:pPr>
            <w:r w:rsidRPr="00BD295E">
              <w:rPr>
                <w:rFonts w:ascii="Arial" w:hAnsi="Arial" w:cs="Arial"/>
                <w:sz w:val="18"/>
                <w:szCs w:val="18"/>
                <w:lang w:val="en-US"/>
              </w:rPr>
              <w:t>ISO 9001</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3C48DC6E" w14:textId="77777777" w:rsidR="00ED79C9" w:rsidRPr="00BD295E" w:rsidRDefault="008A5057" w:rsidP="00ED79C9">
            <w:pPr>
              <w:pStyle w:val="af3"/>
              <w:spacing w:line="252" w:lineRule="auto"/>
              <w:ind w:left="0"/>
              <w:jc w:val="center"/>
              <w:rPr>
                <w:rFonts w:ascii="Arial" w:hAnsi="Arial" w:cs="Arial"/>
                <w:sz w:val="18"/>
                <w:szCs w:val="18"/>
                <w:lang w:val="en-US"/>
              </w:rPr>
            </w:pPr>
            <w:r w:rsidRPr="00BD295E">
              <w:rPr>
                <w:rFonts w:ascii="Arial" w:hAnsi="Arial" w:cs="Arial"/>
                <w:sz w:val="18"/>
                <w:szCs w:val="18"/>
                <w:lang w:val="en-US"/>
              </w:rPr>
              <w:t>ISO 14001</w:t>
            </w:r>
          </w:p>
        </w:tc>
        <w:tc>
          <w:tcPr>
            <w:tcW w:w="1883" w:type="dxa"/>
            <w:tcBorders>
              <w:top w:val="nil"/>
              <w:left w:val="nil"/>
              <w:bottom w:val="single" w:sz="8" w:space="0" w:color="auto"/>
              <w:right w:val="single" w:sz="8" w:space="0" w:color="auto"/>
            </w:tcBorders>
            <w:tcMar>
              <w:top w:w="0" w:type="dxa"/>
              <w:left w:w="108" w:type="dxa"/>
              <w:bottom w:w="0" w:type="dxa"/>
              <w:right w:w="108" w:type="dxa"/>
            </w:tcMar>
            <w:hideMark/>
          </w:tcPr>
          <w:p w14:paraId="523D3237" w14:textId="77777777" w:rsidR="00ED79C9" w:rsidRPr="00BD295E" w:rsidRDefault="008A5057" w:rsidP="00ED79C9">
            <w:pPr>
              <w:pStyle w:val="af3"/>
              <w:spacing w:line="252" w:lineRule="auto"/>
              <w:ind w:left="0"/>
              <w:jc w:val="center"/>
              <w:rPr>
                <w:rFonts w:ascii="Arial" w:hAnsi="Arial" w:cs="Arial"/>
                <w:sz w:val="18"/>
                <w:szCs w:val="18"/>
                <w:lang w:val="en-US"/>
              </w:rPr>
            </w:pPr>
            <w:r w:rsidRPr="00BD295E">
              <w:rPr>
                <w:rFonts w:ascii="Arial" w:hAnsi="Arial" w:cs="Arial"/>
                <w:sz w:val="18"/>
                <w:szCs w:val="18"/>
                <w:lang w:val="en-US"/>
              </w:rPr>
              <w:t>OHSAS 18001</w:t>
            </w:r>
          </w:p>
        </w:tc>
        <w:tc>
          <w:tcPr>
            <w:tcW w:w="1788" w:type="dxa"/>
            <w:vMerge/>
            <w:tcBorders>
              <w:left w:val="nil"/>
              <w:bottom w:val="single" w:sz="8" w:space="0" w:color="auto"/>
              <w:right w:val="single" w:sz="8" w:space="0" w:color="auto"/>
            </w:tcBorders>
            <w:tcMar>
              <w:top w:w="0" w:type="dxa"/>
              <w:left w:w="108" w:type="dxa"/>
              <w:bottom w:w="0" w:type="dxa"/>
              <w:right w:w="108" w:type="dxa"/>
            </w:tcMar>
          </w:tcPr>
          <w:p w14:paraId="10BC420C" w14:textId="77777777" w:rsidR="00ED79C9" w:rsidRPr="00BD295E" w:rsidRDefault="00ED79C9" w:rsidP="00ED79C9">
            <w:pPr>
              <w:pStyle w:val="af3"/>
              <w:spacing w:line="252" w:lineRule="auto"/>
              <w:ind w:left="0"/>
              <w:jc w:val="both"/>
              <w:rPr>
                <w:rFonts w:ascii="Arial" w:hAnsi="Arial" w:cs="Arial"/>
                <w:sz w:val="18"/>
                <w:szCs w:val="18"/>
                <w:lang w:val="en-US" w:eastAsia="en-US"/>
              </w:rPr>
            </w:pPr>
          </w:p>
        </w:tc>
      </w:tr>
      <w:tr w:rsidR="008A5057" w:rsidRPr="00BD295E" w14:paraId="483FB60A" w14:textId="77777777" w:rsidTr="00ED79C9">
        <w:tc>
          <w:tcPr>
            <w:tcW w:w="8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BD826D" w14:textId="77777777" w:rsidR="00ED79C9" w:rsidRPr="00BD295E" w:rsidRDefault="008A5057" w:rsidP="00ED79C9">
            <w:pPr>
              <w:pStyle w:val="af3"/>
              <w:spacing w:line="252" w:lineRule="auto"/>
              <w:ind w:left="502" w:hanging="360"/>
              <w:jc w:val="both"/>
              <w:rPr>
                <w:rFonts w:ascii="Arial" w:hAnsi="Arial" w:cs="Arial"/>
                <w:sz w:val="18"/>
                <w:szCs w:val="18"/>
                <w:lang w:val="en-US"/>
              </w:rPr>
            </w:pPr>
            <w:r w:rsidRPr="00BD295E">
              <w:rPr>
                <w:rFonts w:ascii="Arial" w:hAnsi="Arial" w:cs="Arial"/>
                <w:sz w:val="18"/>
                <w:szCs w:val="18"/>
                <w:lang w:val="en-US"/>
              </w:rPr>
              <w:t>1.     </w:t>
            </w:r>
          </w:p>
        </w:tc>
        <w:tc>
          <w:tcPr>
            <w:tcW w:w="2142" w:type="dxa"/>
            <w:tcBorders>
              <w:top w:val="nil"/>
              <w:left w:val="nil"/>
              <w:bottom w:val="single" w:sz="8" w:space="0" w:color="auto"/>
              <w:right w:val="single" w:sz="8" w:space="0" w:color="auto"/>
            </w:tcBorders>
            <w:tcMar>
              <w:top w:w="0" w:type="dxa"/>
              <w:left w:w="108" w:type="dxa"/>
              <w:bottom w:w="0" w:type="dxa"/>
              <w:right w:w="108" w:type="dxa"/>
            </w:tcMar>
            <w:hideMark/>
          </w:tcPr>
          <w:p w14:paraId="5F41854F" w14:textId="77777777" w:rsidR="00ED79C9" w:rsidRPr="00BD295E" w:rsidRDefault="00EE5753" w:rsidP="00ED79C9">
            <w:pPr>
              <w:pStyle w:val="af3"/>
              <w:spacing w:line="252" w:lineRule="auto"/>
              <w:ind w:left="0"/>
              <w:jc w:val="both"/>
              <w:rPr>
                <w:rFonts w:ascii="Arial" w:hAnsi="Arial" w:cs="Arial"/>
                <w:sz w:val="18"/>
                <w:szCs w:val="18"/>
                <w:lang w:val="en-US"/>
              </w:rPr>
            </w:pPr>
            <w:r w:rsidRPr="00BD295E">
              <w:rPr>
                <w:rFonts w:ascii="Arial" w:hAnsi="Arial" w:cs="Arial"/>
                <w:b/>
                <w:bCs/>
                <w:sz w:val="18"/>
                <w:szCs w:val="18"/>
                <w:lang w:val="en-US"/>
              </w:rPr>
              <w:t>PJSC “Lenenergo”</w:t>
            </w:r>
          </w:p>
        </w:tc>
        <w:tc>
          <w:tcPr>
            <w:tcW w:w="1537" w:type="dxa"/>
            <w:tcBorders>
              <w:top w:val="nil"/>
              <w:left w:val="nil"/>
              <w:bottom w:val="single" w:sz="8" w:space="0" w:color="auto"/>
              <w:right w:val="single" w:sz="8" w:space="0" w:color="auto"/>
            </w:tcBorders>
            <w:tcMar>
              <w:top w:w="0" w:type="dxa"/>
              <w:left w:w="108" w:type="dxa"/>
              <w:bottom w:w="0" w:type="dxa"/>
              <w:right w:w="108" w:type="dxa"/>
            </w:tcMar>
          </w:tcPr>
          <w:p w14:paraId="6FA40F53" w14:textId="77777777" w:rsidR="00ED79C9" w:rsidRPr="00BD295E" w:rsidRDefault="008A5057" w:rsidP="00ED79C9">
            <w:pPr>
              <w:pStyle w:val="af3"/>
              <w:spacing w:line="252" w:lineRule="auto"/>
              <w:ind w:left="0"/>
              <w:jc w:val="center"/>
              <w:rPr>
                <w:rFonts w:ascii="Arial" w:hAnsi="Arial" w:cs="Arial"/>
                <w:sz w:val="18"/>
                <w:szCs w:val="18"/>
                <w:lang w:val="en-US"/>
              </w:rPr>
            </w:pPr>
            <w:r w:rsidRPr="00BD295E">
              <w:rPr>
                <w:rFonts w:ascii="Arial" w:hAnsi="Arial" w:cs="Arial"/>
                <w:sz w:val="18"/>
                <w:szCs w:val="18"/>
                <w:lang w:val="en-US"/>
              </w:rPr>
              <w:t xml:space="preserve">No. 16.0421.026 </w:t>
            </w:r>
            <w:r w:rsidR="008B183C" w:rsidRPr="00BD295E">
              <w:rPr>
                <w:rFonts w:ascii="Arial" w:hAnsi="Arial" w:cs="Arial"/>
                <w:sz w:val="18"/>
                <w:szCs w:val="18"/>
                <w:lang w:val="en-US"/>
              </w:rPr>
              <w:t>of</w:t>
            </w:r>
            <w:r w:rsidRPr="00BD295E">
              <w:rPr>
                <w:rFonts w:ascii="Arial" w:hAnsi="Arial" w:cs="Arial"/>
                <w:sz w:val="18"/>
                <w:szCs w:val="18"/>
                <w:lang w:val="en-US"/>
              </w:rPr>
              <w:t xml:space="preserve"> March 29, 2016 (to March 29, 2019)</w:t>
            </w:r>
          </w:p>
        </w:tc>
        <w:tc>
          <w:tcPr>
            <w:tcW w:w="1701" w:type="dxa"/>
            <w:tcBorders>
              <w:top w:val="nil"/>
              <w:left w:val="nil"/>
              <w:bottom w:val="single" w:sz="8" w:space="0" w:color="auto"/>
              <w:right w:val="single" w:sz="8" w:space="0" w:color="auto"/>
            </w:tcBorders>
            <w:tcMar>
              <w:top w:w="0" w:type="dxa"/>
              <w:left w:w="108" w:type="dxa"/>
              <w:bottom w:w="0" w:type="dxa"/>
              <w:right w:w="108" w:type="dxa"/>
            </w:tcMar>
          </w:tcPr>
          <w:p w14:paraId="03ECC503" w14:textId="77777777" w:rsidR="00ED79C9" w:rsidRPr="00BD295E" w:rsidRDefault="008A5057" w:rsidP="00ED79C9">
            <w:pPr>
              <w:pStyle w:val="af3"/>
              <w:spacing w:line="252" w:lineRule="auto"/>
              <w:ind w:left="0"/>
              <w:jc w:val="center"/>
              <w:rPr>
                <w:rFonts w:ascii="Arial" w:hAnsi="Arial" w:cs="Arial"/>
                <w:sz w:val="18"/>
                <w:szCs w:val="18"/>
                <w:lang w:val="en-US"/>
              </w:rPr>
            </w:pPr>
            <w:r w:rsidRPr="00BD295E">
              <w:rPr>
                <w:rFonts w:ascii="Arial" w:hAnsi="Arial" w:cs="Arial"/>
                <w:sz w:val="18"/>
                <w:szCs w:val="18"/>
                <w:lang w:val="en-US"/>
              </w:rPr>
              <w:t xml:space="preserve">No. 16.0423.026 </w:t>
            </w:r>
            <w:r w:rsidR="008B183C" w:rsidRPr="00BD295E">
              <w:rPr>
                <w:rFonts w:ascii="Arial" w:hAnsi="Arial" w:cs="Arial"/>
                <w:sz w:val="18"/>
                <w:szCs w:val="18"/>
                <w:lang w:val="en-US"/>
              </w:rPr>
              <w:t>of</w:t>
            </w:r>
            <w:r w:rsidRPr="00BD295E">
              <w:rPr>
                <w:rFonts w:ascii="Arial" w:hAnsi="Arial" w:cs="Arial"/>
                <w:sz w:val="18"/>
                <w:szCs w:val="18"/>
                <w:lang w:val="en-US"/>
              </w:rPr>
              <w:t xml:space="preserve"> March 29, 2016 (to March 29, 2019)</w:t>
            </w:r>
          </w:p>
        </w:tc>
        <w:tc>
          <w:tcPr>
            <w:tcW w:w="1883" w:type="dxa"/>
            <w:tcBorders>
              <w:top w:val="nil"/>
              <w:left w:val="nil"/>
              <w:bottom w:val="single" w:sz="8" w:space="0" w:color="auto"/>
              <w:right w:val="single" w:sz="8" w:space="0" w:color="auto"/>
            </w:tcBorders>
            <w:tcMar>
              <w:top w:w="0" w:type="dxa"/>
              <w:left w:w="108" w:type="dxa"/>
              <w:bottom w:w="0" w:type="dxa"/>
              <w:right w:w="108" w:type="dxa"/>
            </w:tcMar>
          </w:tcPr>
          <w:p w14:paraId="2D4EC042" w14:textId="77777777" w:rsidR="00ED79C9" w:rsidRPr="00BD295E" w:rsidRDefault="008A5057" w:rsidP="00ED79C9">
            <w:pPr>
              <w:pStyle w:val="af3"/>
              <w:spacing w:line="252" w:lineRule="auto"/>
              <w:ind w:left="0"/>
              <w:jc w:val="center"/>
              <w:rPr>
                <w:rFonts w:ascii="Arial" w:hAnsi="Arial" w:cs="Arial"/>
                <w:sz w:val="18"/>
                <w:szCs w:val="18"/>
                <w:lang w:val="en-US"/>
              </w:rPr>
            </w:pPr>
            <w:r w:rsidRPr="00BD295E">
              <w:rPr>
                <w:rFonts w:ascii="Arial" w:hAnsi="Arial" w:cs="Arial"/>
                <w:sz w:val="18"/>
                <w:szCs w:val="18"/>
                <w:lang w:val="en-US"/>
              </w:rPr>
              <w:t xml:space="preserve">No. 16.0419.026 </w:t>
            </w:r>
            <w:r w:rsidR="008B183C" w:rsidRPr="00BD295E">
              <w:rPr>
                <w:rFonts w:ascii="Arial" w:hAnsi="Arial" w:cs="Arial"/>
                <w:sz w:val="18"/>
                <w:szCs w:val="18"/>
                <w:lang w:val="en-US"/>
              </w:rPr>
              <w:t>of</w:t>
            </w:r>
            <w:r w:rsidRPr="00BD295E">
              <w:rPr>
                <w:rFonts w:ascii="Arial" w:hAnsi="Arial" w:cs="Arial"/>
                <w:sz w:val="18"/>
                <w:szCs w:val="18"/>
                <w:lang w:val="en-US"/>
              </w:rPr>
              <w:t xml:space="preserve"> March 29, 2016 (to March 29, 2019)</w:t>
            </w:r>
          </w:p>
        </w:tc>
        <w:tc>
          <w:tcPr>
            <w:tcW w:w="1788" w:type="dxa"/>
            <w:tcBorders>
              <w:top w:val="nil"/>
              <w:left w:val="nil"/>
              <w:bottom w:val="single" w:sz="8" w:space="0" w:color="auto"/>
              <w:right w:val="single" w:sz="8" w:space="0" w:color="auto"/>
            </w:tcBorders>
            <w:tcMar>
              <w:top w:w="0" w:type="dxa"/>
              <w:left w:w="108" w:type="dxa"/>
              <w:bottom w:w="0" w:type="dxa"/>
              <w:right w:w="108" w:type="dxa"/>
            </w:tcMar>
          </w:tcPr>
          <w:p w14:paraId="41327859" w14:textId="77777777" w:rsidR="00ED79C9" w:rsidRPr="00BD295E" w:rsidRDefault="008A5057" w:rsidP="00ED79C9">
            <w:pPr>
              <w:pStyle w:val="af3"/>
              <w:spacing w:line="252" w:lineRule="auto"/>
              <w:ind w:left="0"/>
              <w:jc w:val="both"/>
              <w:rPr>
                <w:rFonts w:ascii="Arial" w:hAnsi="Arial" w:cs="Arial"/>
                <w:sz w:val="18"/>
                <w:szCs w:val="18"/>
                <w:lang w:val="en-US"/>
              </w:rPr>
            </w:pPr>
            <w:r w:rsidRPr="00BD295E">
              <w:rPr>
                <w:rFonts w:ascii="Arial" w:hAnsi="Arial" w:cs="Arial"/>
                <w:sz w:val="18"/>
                <w:szCs w:val="18"/>
                <w:lang w:val="en-US"/>
              </w:rPr>
              <w:t>Russian Register – Baltic Inspection, LLC</w:t>
            </w:r>
          </w:p>
        </w:tc>
      </w:tr>
      <w:tr w:rsidR="008A5057" w:rsidRPr="00BD295E" w14:paraId="41EFC62B" w14:textId="77777777" w:rsidTr="00ED79C9">
        <w:tc>
          <w:tcPr>
            <w:tcW w:w="9909" w:type="dxa"/>
            <w:gridSpan w:val="6"/>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3770F4" w14:textId="77777777" w:rsidR="00ED79C9" w:rsidRPr="00BD295E" w:rsidRDefault="008A5057" w:rsidP="00C052AA">
            <w:pPr>
              <w:spacing w:line="228" w:lineRule="auto"/>
              <w:jc w:val="both"/>
              <w:rPr>
                <w:rFonts w:ascii="Arial" w:hAnsi="Arial" w:cs="Arial"/>
                <w:i/>
                <w:iCs/>
                <w:sz w:val="18"/>
                <w:szCs w:val="18"/>
                <w:lang w:val="en-US"/>
              </w:rPr>
            </w:pPr>
            <w:r w:rsidRPr="00BD295E">
              <w:rPr>
                <w:rFonts w:ascii="Arial" w:hAnsi="Arial" w:cs="Arial"/>
                <w:i/>
                <w:iCs/>
                <w:sz w:val="18"/>
                <w:szCs w:val="18"/>
                <w:lang w:val="en-US"/>
              </w:rPr>
              <w:t>Note:</w:t>
            </w:r>
          </w:p>
          <w:p w14:paraId="1CF519E2" w14:textId="77777777" w:rsidR="00ED79C9" w:rsidRPr="00BD295E" w:rsidRDefault="00EE5753" w:rsidP="00C052AA">
            <w:pPr>
              <w:spacing w:line="228" w:lineRule="auto"/>
              <w:jc w:val="both"/>
              <w:rPr>
                <w:rFonts w:ascii="Arial" w:eastAsia="Calibri" w:hAnsi="Arial" w:cs="Arial"/>
                <w:i/>
                <w:iCs/>
                <w:sz w:val="18"/>
                <w:szCs w:val="18"/>
                <w:lang w:val="en-US"/>
              </w:rPr>
            </w:pPr>
            <w:r w:rsidRPr="00BD295E">
              <w:rPr>
                <w:rFonts w:ascii="Arial" w:hAnsi="Arial" w:cs="Arial"/>
                <w:i/>
                <w:iCs/>
                <w:sz w:val="18"/>
                <w:szCs w:val="18"/>
                <w:lang w:val="en-US"/>
              </w:rPr>
              <w:t>PJSC “Lenenergo”</w:t>
            </w:r>
            <w:r w:rsidR="008A5057" w:rsidRPr="00BD295E">
              <w:rPr>
                <w:rFonts w:ascii="Arial" w:hAnsi="Arial" w:cs="Arial"/>
                <w:i/>
                <w:iCs/>
                <w:sz w:val="18"/>
                <w:szCs w:val="18"/>
                <w:lang w:val="en-US"/>
              </w:rPr>
              <w:t>, including all branches</w:t>
            </w:r>
          </w:p>
          <w:p w14:paraId="01EEB365" w14:textId="77777777" w:rsidR="00ED79C9" w:rsidRPr="00BD295E" w:rsidRDefault="008A5057" w:rsidP="00C052AA">
            <w:pPr>
              <w:spacing w:line="228" w:lineRule="auto"/>
              <w:ind w:firstLine="34"/>
              <w:jc w:val="both"/>
              <w:rPr>
                <w:rFonts w:ascii="Arial" w:hAnsi="Arial" w:cs="Arial"/>
                <w:i/>
                <w:iCs/>
                <w:sz w:val="18"/>
                <w:szCs w:val="18"/>
                <w:lang w:val="en-US"/>
              </w:rPr>
            </w:pPr>
            <w:r w:rsidRPr="00BD295E">
              <w:rPr>
                <w:rFonts w:ascii="Arial" w:hAnsi="Arial" w:cs="Arial"/>
                <w:i/>
                <w:iCs/>
                <w:sz w:val="18"/>
                <w:szCs w:val="18"/>
                <w:lang w:val="en-US"/>
              </w:rPr>
              <w:t xml:space="preserve">ISO 9001 Q= </w:t>
            </w:r>
            <w:r w:rsidR="00EC0D9D" w:rsidRPr="00BD295E">
              <w:rPr>
                <w:rFonts w:ascii="Arial" w:hAnsi="Arial" w:cs="Arial"/>
                <w:i/>
                <w:iCs/>
                <w:sz w:val="18"/>
                <w:szCs w:val="18"/>
                <w:lang w:val="en-US"/>
              </w:rPr>
              <w:t>quality</w:t>
            </w:r>
            <w:r w:rsidRPr="00BD295E">
              <w:rPr>
                <w:rFonts w:ascii="Arial" w:hAnsi="Arial" w:cs="Arial"/>
                <w:i/>
                <w:iCs/>
                <w:sz w:val="18"/>
                <w:szCs w:val="18"/>
                <w:lang w:val="en-US"/>
              </w:rPr>
              <w:t xml:space="preserve"> management system</w:t>
            </w:r>
          </w:p>
          <w:p w14:paraId="3D64D753" w14:textId="77777777" w:rsidR="00ED79C9" w:rsidRPr="00BD295E" w:rsidRDefault="008A5057" w:rsidP="00C052AA">
            <w:pPr>
              <w:spacing w:line="228" w:lineRule="auto"/>
              <w:jc w:val="both"/>
              <w:rPr>
                <w:rFonts w:ascii="Arial" w:hAnsi="Arial" w:cs="Arial"/>
                <w:i/>
                <w:iCs/>
                <w:sz w:val="18"/>
                <w:szCs w:val="18"/>
                <w:lang w:val="en-US"/>
              </w:rPr>
            </w:pPr>
            <w:r w:rsidRPr="00BD295E">
              <w:rPr>
                <w:rFonts w:ascii="Arial" w:hAnsi="Arial" w:cs="Arial"/>
                <w:i/>
                <w:iCs/>
                <w:sz w:val="18"/>
                <w:szCs w:val="18"/>
                <w:lang w:val="en-US"/>
              </w:rPr>
              <w:t xml:space="preserve">ISO 14011 Environmental management systems </w:t>
            </w:r>
          </w:p>
          <w:p w14:paraId="60A55662" w14:textId="77777777" w:rsidR="00ED79C9" w:rsidRPr="00BD295E" w:rsidRDefault="008A5057" w:rsidP="00C052AA">
            <w:pPr>
              <w:tabs>
                <w:tab w:val="left" w:pos="1560"/>
              </w:tabs>
              <w:spacing w:line="228" w:lineRule="auto"/>
              <w:contextualSpacing/>
              <w:jc w:val="both"/>
              <w:rPr>
                <w:rFonts w:ascii="Arial" w:hAnsi="Arial" w:cs="Arial"/>
                <w:sz w:val="18"/>
                <w:szCs w:val="18"/>
                <w:lang w:val="en-US"/>
              </w:rPr>
            </w:pPr>
            <w:r w:rsidRPr="00BD295E">
              <w:rPr>
                <w:rFonts w:ascii="Arial" w:hAnsi="Arial" w:cs="Arial"/>
                <w:i/>
                <w:iCs/>
                <w:sz w:val="18"/>
                <w:szCs w:val="18"/>
                <w:lang w:val="en-US"/>
              </w:rPr>
              <w:t>OHSAS 18001 - occupational health and safety management system.</w:t>
            </w:r>
          </w:p>
        </w:tc>
      </w:tr>
    </w:tbl>
    <w:p w14:paraId="26922DEC" w14:textId="77777777" w:rsidR="00ED79C9" w:rsidRPr="00BD295E" w:rsidRDefault="008A5057" w:rsidP="00C052AA">
      <w:pPr>
        <w:spacing w:line="228" w:lineRule="auto"/>
        <w:ind w:right="-263"/>
        <w:jc w:val="both"/>
        <w:rPr>
          <w:rFonts w:ascii="Arial" w:hAnsi="Arial" w:cs="Arial"/>
          <w:sz w:val="18"/>
          <w:szCs w:val="18"/>
          <w:lang w:val="en-US"/>
        </w:rPr>
      </w:pPr>
      <w:r w:rsidRPr="00BD295E">
        <w:rPr>
          <w:rFonts w:ascii="Arial" w:hAnsi="Arial" w:cs="Arial"/>
          <w:sz w:val="18"/>
          <w:szCs w:val="18"/>
          <w:lang w:val="en-US"/>
        </w:rPr>
        <w:t xml:space="preserve">In March 2018, an inspection audit of the integrated management system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was conducted by Russian Register - Baltic Inspection, LLC to check compliance with the requirements of ISO 9001:2015 (GOST R ISO 9001-2015), ISO 14001:2015 (GOST R ISO 14001-2007), and OHSAS 18001:2007 / GOST R 59934-2012 (GOST 12.0.230-2007), </w:t>
      </w:r>
    </w:p>
    <w:p w14:paraId="50F88974" w14:textId="77777777" w:rsidR="00ED79C9" w:rsidRPr="00BD295E" w:rsidRDefault="00ED79C9" w:rsidP="00C052AA">
      <w:pPr>
        <w:tabs>
          <w:tab w:val="left" w:pos="1560"/>
        </w:tabs>
        <w:spacing w:line="228" w:lineRule="auto"/>
        <w:contextualSpacing/>
        <w:jc w:val="both"/>
        <w:rPr>
          <w:rFonts w:ascii="Arial" w:eastAsia="Calibri" w:hAnsi="Arial" w:cs="Arial"/>
          <w:sz w:val="18"/>
          <w:szCs w:val="18"/>
          <w:lang w:val="en-US" w:eastAsia="en-US"/>
        </w:rPr>
      </w:pPr>
    </w:p>
    <w:p w14:paraId="69BE155C" w14:textId="77777777" w:rsidR="00ED79C9" w:rsidRPr="00BD295E" w:rsidRDefault="008A5057" w:rsidP="00C052AA">
      <w:pPr>
        <w:tabs>
          <w:tab w:val="left" w:pos="1560"/>
        </w:tabs>
        <w:spacing w:line="228" w:lineRule="auto"/>
        <w:contextualSpacing/>
        <w:jc w:val="both"/>
        <w:rPr>
          <w:rFonts w:ascii="Arial" w:eastAsia="Calibri" w:hAnsi="Arial" w:cs="Arial"/>
          <w:sz w:val="18"/>
          <w:szCs w:val="18"/>
          <w:lang w:val="en-US"/>
        </w:rPr>
      </w:pPr>
      <w:r w:rsidRPr="00BD295E">
        <w:rPr>
          <w:rFonts w:ascii="Arial" w:hAnsi="Arial" w:cs="Arial"/>
          <w:sz w:val="18"/>
          <w:szCs w:val="18"/>
          <w:lang w:val="en-US"/>
        </w:rPr>
        <w:t>The key targets of the IMS include:</w:t>
      </w:r>
    </w:p>
    <w:p w14:paraId="3C464BAE" w14:textId="77777777" w:rsidR="00ED79C9" w:rsidRPr="00BD295E" w:rsidRDefault="008A5057" w:rsidP="00C052AA">
      <w:pPr>
        <w:numPr>
          <w:ilvl w:val="0"/>
          <w:numId w:val="51"/>
        </w:numPr>
        <w:tabs>
          <w:tab w:val="left" w:pos="142"/>
          <w:tab w:val="left" w:pos="426"/>
        </w:tabs>
        <w:spacing w:line="228" w:lineRule="auto"/>
        <w:ind w:left="0" w:firstLine="0"/>
        <w:contextualSpacing/>
        <w:jc w:val="both"/>
        <w:rPr>
          <w:rFonts w:ascii="Arial" w:hAnsi="Arial" w:cs="Arial"/>
          <w:sz w:val="18"/>
          <w:szCs w:val="18"/>
          <w:lang w:val="en-US"/>
        </w:rPr>
      </w:pPr>
      <w:r w:rsidRPr="00BD295E">
        <w:rPr>
          <w:rFonts w:ascii="Arial" w:hAnsi="Arial" w:cs="Arial"/>
          <w:sz w:val="18"/>
          <w:szCs w:val="18"/>
          <w:lang w:val="en-US"/>
        </w:rPr>
        <w:t>raising the reliability and quality of electricity supply to a level that meets consumer demand;</w:t>
      </w:r>
    </w:p>
    <w:p w14:paraId="6FD22335" w14:textId="77777777" w:rsidR="00ED79C9" w:rsidRPr="00BD295E" w:rsidRDefault="008A5057" w:rsidP="00C052AA">
      <w:pPr>
        <w:numPr>
          <w:ilvl w:val="0"/>
          <w:numId w:val="51"/>
        </w:numPr>
        <w:tabs>
          <w:tab w:val="left" w:pos="142"/>
          <w:tab w:val="left" w:pos="426"/>
        </w:tabs>
        <w:spacing w:line="228" w:lineRule="auto"/>
        <w:ind w:left="0" w:firstLine="0"/>
        <w:contextualSpacing/>
        <w:jc w:val="both"/>
        <w:rPr>
          <w:rFonts w:ascii="Arial" w:hAnsi="Arial" w:cs="Arial"/>
          <w:sz w:val="18"/>
          <w:szCs w:val="18"/>
          <w:lang w:val="en-US"/>
        </w:rPr>
      </w:pPr>
      <w:r w:rsidRPr="00BD295E">
        <w:rPr>
          <w:rFonts w:ascii="Arial" w:hAnsi="Arial" w:cs="Arial"/>
          <w:sz w:val="18"/>
          <w:szCs w:val="18"/>
          <w:lang w:val="en-US"/>
        </w:rPr>
        <w:t>increasing the safety of electricity supply, ensuring occupational safety and health at workplace, including reducing the total number of accidents while complying with legal requirements for occupational safety and environmental protection;</w:t>
      </w:r>
    </w:p>
    <w:p w14:paraId="6B9D8FA7" w14:textId="77777777" w:rsidR="00ED79C9" w:rsidRPr="00BD295E" w:rsidRDefault="008A5057" w:rsidP="00C052AA">
      <w:pPr>
        <w:numPr>
          <w:ilvl w:val="0"/>
          <w:numId w:val="51"/>
        </w:numPr>
        <w:tabs>
          <w:tab w:val="left" w:pos="142"/>
          <w:tab w:val="left" w:pos="426"/>
          <w:tab w:val="left" w:pos="1134"/>
        </w:tabs>
        <w:spacing w:line="228" w:lineRule="auto"/>
        <w:ind w:left="0" w:firstLine="0"/>
        <w:contextualSpacing/>
        <w:jc w:val="both"/>
        <w:rPr>
          <w:rFonts w:ascii="Arial" w:hAnsi="Arial" w:cs="Arial"/>
          <w:sz w:val="18"/>
          <w:szCs w:val="18"/>
          <w:lang w:val="en-US"/>
        </w:rPr>
      </w:pPr>
      <w:r w:rsidRPr="00BD295E">
        <w:rPr>
          <w:rFonts w:ascii="Arial" w:hAnsi="Arial" w:cs="Arial"/>
          <w:sz w:val="18"/>
          <w:szCs w:val="18"/>
          <w:lang w:val="en-US"/>
        </w:rPr>
        <w:t>ensuring environmental safety.</w:t>
      </w:r>
    </w:p>
    <w:p w14:paraId="169CECFC" w14:textId="77777777" w:rsidR="00ED79C9" w:rsidRPr="00BD295E" w:rsidRDefault="008A5057" w:rsidP="00C052AA">
      <w:pPr>
        <w:tabs>
          <w:tab w:val="left" w:pos="142"/>
          <w:tab w:val="left" w:pos="426"/>
        </w:tabs>
        <w:spacing w:line="228" w:lineRule="auto"/>
        <w:contextualSpacing/>
        <w:jc w:val="both"/>
        <w:rPr>
          <w:rFonts w:ascii="Arial" w:eastAsia="Calibri" w:hAnsi="Arial" w:cs="Arial"/>
          <w:sz w:val="18"/>
          <w:szCs w:val="18"/>
          <w:lang w:val="en-US"/>
        </w:rPr>
      </w:pPr>
      <w:r w:rsidRPr="00BD295E">
        <w:rPr>
          <w:rFonts w:ascii="Arial" w:hAnsi="Arial" w:cs="Arial"/>
          <w:sz w:val="18"/>
          <w:szCs w:val="18"/>
          <w:lang w:val="en-US"/>
        </w:rPr>
        <w:t>The key stakeholders of the IMS, including the QMS, include:</w:t>
      </w:r>
    </w:p>
    <w:p w14:paraId="1D3C4801" w14:textId="77777777" w:rsidR="00ED79C9" w:rsidRPr="00BD295E" w:rsidRDefault="008A5057" w:rsidP="00C052AA">
      <w:pPr>
        <w:pStyle w:val="af3"/>
        <w:numPr>
          <w:ilvl w:val="0"/>
          <w:numId w:val="52"/>
        </w:numPr>
        <w:tabs>
          <w:tab w:val="left" w:pos="142"/>
          <w:tab w:val="left" w:pos="426"/>
          <w:tab w:val="left" w:pos="1134"/>
        </w:tabs>
        <w:spacing w:line="228" w:lineRule="auto"/>
        <w:ind w:left="0" w:firstLine="0"/>
        <w:jc w:val="both"/>
        <w:rPr>
          <w:rFonts w:ascii="Arial" w:hAnsi="Arial" w:cs="Arial"/>
          <w:sz w:val="18"/>
          <w:szCs w:val="18"/>
          <w:lang w:val="en-US"/>
        </w:rPr>
      </w:pPr>
      <w:r w:rsidRPr="00BD295E">
        <w:rPr>
          <w:rFonts w:ascii="Arial" w:hAnsi="Arial" w:cs="Arial"/>
          <w:sz w:val="18"/>
          <w:szCs w:val="18"/>
          <w:lang w:val="en-US"/>
        </w:rPr>
        <w:t>the Company’s Board of Directors;</w:t>
      </w:r>
    </w:p>
    <w:p w14:paraId="2CA31AA4" w14:textId="77777777" w:rsidR="00ED79C9" w:rsidRPr="00BD295E" w:rsidRDefault="008A5057" w:rsidP="00C052AA">
      <w:pPr>
        <w:pStyle w:val="af3"/>
        <w:numPr>
          <w:ilvl w:val="0"/>
          <w:numId w:val="52"/>
        </w:numPr>
        <w:tabs>
          <w:tab w:val="left" w:pos="142"/>
          <w:tab w:val="left" w:pos="426"/>
          <w:tab w:val="left" w:pos="1134"/>
        </w:tabs>
        <w:spacing w:line="228" w:lineRule="auto"/>
        <w:ind w:left="0" w:firstLine="0"/>
        <w:jc w:val="both"/>
        <w:rPr>
          <w:rFonts w:ascii="Arial" w:hAnsi="Arial" w:cs="Arial"/>
          <w:sz w:val="18"/>
          <w:szCs w:val="18"/>
          <w:lang w:val="en-US"/>
        </w:rPr>
      </w:pPr>
      <w:r w:rsidRPr="00BD295E">
        <w:rPr>
          <w:rFonts w:ascii="Arial" w:hAnsi="Arial" w:cs="Arial"/>
          <w:sz w:val="18"/>
          <w:szCs w:val="18"/>
          <w:lang w:val="en-US"/>
        </w:rPr>
        <w:t>executive bodies of the Company – the CEO and Management Board;</w:t>
      </w:r>
    </w:p>
    <w:p w14:paraId="0841DBF9" w14:textId="77777777" w:rsidR="00ED79C9" w:rsidRPr="00BD295E" w:rsidRDefault="008A5057" w:rsidP="00C052AA">
      <w:pPr>
        <w:pStyle w:val="af3"/>
        <w:numPr>
          <w:ilvl w:val="0"/>
          <w:numId w:val="52"/>
        </w:numPr>
        <w:tabs>
          <w:tab w:val="left" w:pos="142"/>
          <w:tab w:val="left" w:pos="426"/>
          <w:tab w:val="left" w:pos="1134"/>
        </w:tabs>
        <w:spacing w:line="228" w:lineRule="auto"/>
        <w:ind w:left="0" w:firstLine="0"/>
        <w:jc w:val="both"/>
        <w:rPr>
          <w:rFonts w:ascii="Arial" w:hAnsi="Arial" w:cs="Arial"/>
          <w:sz w:val="18"/>
          <w:szCs w:val="18"/>
          <w:lang w:val="en-US"/>
        </w:rPr>
      </w:pPr>
      <w:r w:rsidRPr="00BD295E">
        <w:rPr>
          <w:rFonts w:ascii="Arial" w:hAnsi="Arial" w:cs="Arial"/>
          <w:sz w:val="18"/>
          <w:szCs w:val="18"/>
          <w:lang w:val="en-US"/>
        </w:rPr>
        <w:t xml:space="preserve">the integrated management system officer (IMSO) –-First Deputy CEO – Chief Engineer (Order No. 239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May 30, 2018);</w:t>
      </w:r>
    </w:p>
    <w:p w14:paraId="61A0A37D" w14:textId="77777777" w:rsidR="00ED79C9" w:rsidRPr="00BD295E" w:rsidRDefault="008A5057" w:rsidP="00C052AA">
      <w:pPr>
        <w:pStyle w:val="af3"/>
        <w:numPr>
          <w:ilvl w:val="0"/>
          <w:numId w:val="52"/>
        </w:numPr>
        <w:tabs>
          <w:tab w:val="left" w:pos="142"/>
          <w:tab w:val="left" w:pos="426"/>
          <w:tab w:val="left" w:pos="1134"/>
        </w:tabs>
        <w:spacing w:line="228" w:lineRule="auto"/>
        <w:ind w:left="0" w:firstLine="0"/>
        <w:jc w:val="both"/>
        <w:rPr>
          <w:rFonts w:ascii="Arial" w:hAnsi="Arial" w:cs="Arial"/>
          <w:sz w:val="18"/>
          <w:szCs w:val="18"/>
          <w:lang w:val="en-US"/>
        </w:rPr>
      </w:pPr>
      <w:r w:rsidRPr="00BD295E">
        <w:rPr>
          <w:rFonts w:ascii="Arial" w:hAnsi="Arial" w:cs="Arial"/>
          <w:sz w:val="18"/>
          <w:szCs w:val="18"/>
          <w:lang w:val="en-US"/>
        </w:rPr>
        <w:t>the Quality Management Service responsible for operating the IMS;</w:t>
      </w:r>
    </w:p>
    <w:p w14:paraId="6AACEFEA" w14:textId="77777777" w:rsidR="00ED79C9" w:rsidRPr="00BD295E" w:rsidRDefault="008A5057" w:rsidP="00C052AA">
      <w:pPr>
        <w:pStyle w:val="af3"/>
        <w:numPr>
          <w:ilvl w:val="0"/>
          <w:numId w:val="52"/>
        </w:numPr>
        <w:tabs>
          <w:tab w:val="left" w:pos="142"/>
          <w:tab w:val="left" w:pos="426"/>
          <w:tab w:val="left" w:pos="1134"/>
        </w:tabs>
        <w:spacing w:line="228" w:lineRule="auto"/>
        <w:ind w:left="0" w:firstLine="0"/>
        <w:jc w:val="both"/>
        <w:rPr>
          <w:rFonts w:ascii="Arial" w:hAnsi="Arial" w:cs="Arial"/>
          <w:sz w:val="18"/>
          <w:szCs w:val="18"/>
          <w:lang w:val="en-US"/>
        </w:rPr>
      </w:pPr>
      <w:r w:rsidRPr="00BD295E">
        <w:rPr>
          <w:rFonts w:ascii="Arial" w:hAnsi="Arial" w:cs="Arial"/>
          <w:sz w:val="18"/>
          <w:szCs w:val="18"/>
          <w:lang w:val="en-US"/>
        </w:rPr>
        <w:t>other structural units of the Company covered by IMS.</w:t>
      </w:r>
    </w:p>
    <w:p w14:paraId="077CC75E" w14:textId="77777777" w:rsidR="00ED79C9" w:rsidRPr="00BD295E" w:rsidRDefault="00ED79C9" w:rsidP="00C052AA">
      <w:pPr>
        <w:pStyle w:val="3a"/>
        <w:spacing w:before="0" w:line="228" w:lineRule="auto"/>
        <w:ind w:firstLine="0"/>
        <w:rPr>
          <w:rFonts w:ascii="Arial" w:hAnsi="Arial" w:cs="Arial"/>
          <w:color w:val="auto"/>
          <w:sz w:val="18"/>
          <w:szCs w:val="18"/>
          <w:lang w:val="en-US"/>
        </w:rPr>
      </w:pPr>
    </w:p>
    <w:p w14:paraId="58F90F14" w14:textId="77777777" w:rsidR="00ED79C9" w:rsidRPr="00BD295E" w:rsidRDefault="008A5057" w:rsidP="00C052AA">
      <w:pPr>
        <w:pStyle w:val="3a"/>
        <w:spacing w:before="0" w:line="228" w:lineRule="auto"/>
        <w:ind w:firstLine="0"/>
        <w:rPr>
          <w:rFonts w:ascii="Arial" w:hAnsi="Arial" w:cs="Arial"/>
          <w:color w:val="auto"/>
          <w:sz w:val="18"/>
          <w:szCs w:val="18"/>
          <w:lang w:val="en-US"/>
        </w:rPr>
      </w:pPr>
      <w:r w:rsidRPr="00BD295E">
        <w:rPr>
          <w:rFonts w:ascii="Arial" w:hAnsi="Arial" w:cs="Arial"/>
          <w:color w:val="auto"/>
          <w:sz w:val="18"/>
          <w:szCs w:val="18"/>
          <w:lang w:val="en-US"/>
        </w:rPr>
        <w:t>Key results of adopting the management systems include:</w:t>
      </w:r>
    </w:p>
    <w:p w14:paraId="65C4595D" w14:textId="77777777" w:rsidR="00ED79C9" w:rsidRPr="00BD295E" w:rsidRDefault="008A5057" w:rsidP="00C052AA">
      <w:pPr>
        <w:spacing w:line="228" w:lineRule="auto"/>
        <w:jc w:val="both"/>
        <w:rPr>
          <w:rFonts w:ascii="Arial" w:hAnsi="Arial" w:cs="Arial"/>
          <w:sz w:val="18"/>
          <w:szCs w:val="18"/>
          <w:lang w:val="en-US"/>
        </w:rPr>
      </w:pPr>
      <w:r w:rsidRPr="00BD295E">
        <w:rPr>
          <w:rFonts w:ascii="Arial" w:hAnsi="Arial" w:cs="Arial"/>
          <w:sz w:val="18"/>
          <w:szCs w:val="18"/>
          <w:lang w:val="en-US"/>
        </w:rPr>
        <w:t>(a) Improved reliability and quality of electricity supply;</w:t>
      </w:r>
    </w:p>
    <w:p w14:paraId="38A54297" w14:textId="77777777" w:rsidR="00ED79C9" w:rsidRPr="00BD295E" w:rsidRDefault="008A5057" w:rsidP="00C052AA">
      <w:pPr>
        <w:spacing w:line="228" w:lineRule="auto"/>
        <w:jc w:val="both"/>
        <w:rPr>
          <w:rFonts w:ascii="Arial" w:hAnsi="Arial" w:cs="Arial"/>
          <w:i/>
          <w:iCs/>
          <w:sz w:val="18"/>
          <w:szCs w:val="18"/>
          <w:lang w:val="en-US"/>
        </w:rPr>
      </w:pPr>
      <w:r w:rsidRPr="00BD295E">
        <w:rPr>
          <w:rFonts w:ascii="Arial" w:hAnsi="Arial" w:cs="Arial"/>
          <w:i/>
          <w:iCs/>
          <w:sz w:val="18"/>
          <w:szCs w:val="18"/>
          <w:lang w:val="en-US"/>
        </w:rPr>
        <w:t>For more details, see the Operations section on page ___</w:t>
      </w:r>
    </w:p>
    <w:p w14:paraId="36F873B9" w14:textId="77777777" w:rsidR="00ED79C9" w:rsidRPr="00BD295E" w:rsidRDefault="008A5057" w:rsidP="00C052AA">
      <w:pPr>
        <w:spacing w:line="228" w:lineRule="auto"/>
        <w:jc w:val="both"/>
        <w:rPr>
          <w:rFonts w:ascii="Arial" w:hAnsi="Arial" w:cs="Arial"/>
          <w:sz w:val="18"/>
          <w:szCs w:val="18"/>
          <w:lang w:val="en-US"/>
        </w:rPr>
      </w:pPr>
      <w:r w:rsidRPr="00BD295E">
        <w:rPr>
          <w:rFonts w:ascii="Arial" w:hAnsi="Arial" w:cs="Arial"/>
          <w:sz w:val="18"/>
          <w:szCs w:val="18"/>
          <w:lang w:val="en-US"/>
        </w:rPr>
        <w:t>b) Increased safety of electricity supply;</w:t>
      </w:r>
    </w:p>
    <w:p w14:paraId="747C4404" w14:textId="77777777" w:rsidR="00ED79C9" w:rsidRPr="00BD295E" w:rsidRDefault="008A5057" w:rsidP="00C052AA">
      <w:pPr>
        <w:spacing w:line="228" w:lineRule="auto"/>
        <w:jc w:val="both"/>
        <w:rPr>
          <w:rFonts w:ascii="Arial" w:hAnsi="Arial" w:cs="Arial"/>
          <w:i/>
          <w:iCs/>
          <w:sz w:val="18"/>
          <w:szCs w:val="18"/>
          <w:lang w:val="en-US"/>
        </w:rPr>
      </w:pPr>
      <w:r w:rsidRPr="00BD295E">
        <w:rPr>
          <w:rFonts w:ascii="Arial" w:hAnsi="Arial" w:cs="Arial"/>
          <w:i/>
          <w:iCs/>
          <w:sz w:val="18"/>
          <w:szCs w:val="18"/>
          <w:lang w:val="en-US"/>
        </w:rPr>
        <w:t>See the Operations section on page ___</w:t>
      </w:r>
    </w:p>
    <w:p w14:paraId="5E4A360D" w14:textId="77777777" w:rsidR="00ED79C9" w:rsidRPr="00BD295E" w:rsidRDefault="008A5057" w:rsidP="00C052AA">
      <w:pPr>
        <w:spacing w:line="228" w:lineRule="auto"/>
        <w:jc w:val="both"/>
        <w:rPr>
          <w:rFonts w:ascii="Arial" w:hAnsi="Arial" w:cs="Arial"/>
          <w:sz w:val="18"/>
          <w:szCs w:val="18"/>
          <w:lang w:val="en-US"/>
        </w:rPr>
      </w:pPr>
      <w:r w:rsidRPr="00BD295E">
        <w:rPr>
          <w:rFonts w:ascii="Arial" w:hAnsi="Arial" w:cs="Arial"/>
          <w:sz w:val="18"/>
          <w:szCs w:val="18"/>
          <w:lang w:val="en-US"/>
        </w:rPr>
        <w:t>c) Ensuring occupational health and safety in operations, including reduced overall number of accidents while complying with the requirements of laws on occupational health and safety;</w:t>
      </w:r>
    </w:p>
    <w:p w14:paraId="60088070" w14:textId="77777777" w:rsidR="00ED79C9" w:rsidRPr="00BD295E" w:rsidRDefault="008A5057" w:rsidP="00C052AA">
      <w:pPr>
        <w:spacing w:line="228" w:lineRule="auto"/>
        <w:jc w:val="both"/>
        <w:rPr>
          <w:rFonts w:ascii="Arial" w:hAnsi="Arial" w:cs="Arial"/>
          <w:i/>
          <w:iCs/>
          <w:sz w:val="18"/>
          <w:szCs w:val="18"/>
          <w:lang w:val="en-US"/>
        </w:rPr>
      </w:pPr>
      <w:r w:rsidRPr="00BD295E">
        <w:rPr>
          <w:rFonts w:ascii="Arial" w:hAnsi="Arial" w:cs="Arial"/>
          <w:i/>
          <w:iCs/>
          <w:sz w:val="18"/>
          <w:szCs w:val="18"/>
          <w:lang w:val="en-US"/>
        </w:rPr>
        <w:t>For more details, see the Occupational Health and Environmental Protection section on page ____</w:t>
      </w:r>
    </w:p>
    <w:p w14:paraId="41344239" w14:textId="77777777" w:rsidR="00ED79C9" w:rsidRPr="00BD295E" w:rsidRDefault="008A5057" w:rsidP="00C052AA">
      <w:pPr>
        <w:spacing w:line="228" w:lineRule="auto"/>
        <w:jc w:val="both"/>
        <w:rPr>
          <w:rFonts w:ascii="Arial" w:hAnsi="Arial" w:cs="Arial"/>
          <w:sz w:val="18"/>
          <w:szCs w:val="18"/>
          <w:lang w:val="en-US"/>
        </w:rPr>
      </w:pPr>
      <w:r w:rsidRPr="00BD295E">
        <w:rPr>
          <w:rFonts w:ascii="Arial" w:hAnsi="Arial" w:cs="Arial"/>
          <w:sz w:val="18"/>
          <w:szCs w:val="18"/>
          <w:lang w:val="en-US"/>
        </w:rPr>
        <w:t>d) improved energy efficiency;</w:t>
      </w:r>
    </w:p>
    <w:p w14:paraId="0CDD5003" w14:textId="77777777" w:rsidR="00ED79C9" w:rsidRPr="00BD295E" w:rsidRDefault="008A5057" w:rsidP="00C052AA">
      <w:pPr>
        <w:spacing w:line="228" w:lineRule="auto"/>
        <w:jc w:val="both"/>
        <w:rPr>
          <w:rFonts w:ascii="Arial" w:hAnsi="Arial" w:cs="Arial"/>
          <w:i/>
          <w:iCs/>
          <w:sz w:val="18"/>
          <w:szCs w:val="18"/>
          <w:lang w:val="en-US"/>
        </w:rPr>
      </w:pPr>
      <w:r w:rsidRPr="00BD295E">
        <w:rPr>
          <w:rFonts w:ascii="Arial" w:hAnsi="Arial" w:cs="Arial"/>
          <w:i/>
          <w:iCs/>
          <w:sz w:val="18"/>
          <w:szCs w:val="18"/>
          <w:lang w:val="en-US"/>
        </w:rPr>
        <w:t>For more details, see the Innovative Development and Innovations in Energy Saving and Energy Efficiency on page ____</w:t>
      </w:r>
    </w:p>
    <w:p w14:paraId="21534B9F" w14:textId="77777777" w:rsidR="00ED79C9" w:rsidRPr="00BD295E" w:rsidRDefault="008A5057" w:rsidP="00C052AA">
      <w:pPr>
        <w:spacing w:line="228" w:lineRule="auto"/>
        <w:jc w:val="both"/>
        <w:rPr>
          <w:rFonts w:ascii="Arial" w:hAnsi="Arial" w:cs="Arial"/>
          <w:sz w:val="18"/>
          <w:szCs w:val="18"/>
          <w:lang w:val="en-US"/>
        </w:rPr>
      </w:pPr>
      <w:r w:rsidRPr="00BD295E">
        <w:rPr>
          <w:rFonts w:ascii="Arial" w:hAnsi="Arial" w:cs="Arial"/>
          <w:sz w:val="18"/>
          <w:szCs w:val="18"/>
          <w:lang w:val="en-US"/>
        </w:rPr>
        <w:t>e) ensuring environmental safety.</w:t>
      </w:r>
    </w:p>
    <w:p w14:paraId="1388E603" w14:textId="77777777" w:rsidR="00ED79C9" w:rsidRPr="00BD295E" w:rsidRDefault="008A5057" w:rsidP="00C052AA">
      <w:pPr>
        <w:spacing w:line="228" w:lineRule="auto"/>
        <w:jc w:val="both"/>
        <w:rPr>
          <w:rFonts w:ascii="Arial" w:hAnsi="Arial" w:cs="Arial"/>
          <w:i/>
          <w:iCs/>
          <w:sz w:val="18"/>
          <w:szCs w:val="18"/>
          <w:lang w:val="en-US"/>
        </w:rPr>
      </w:pPr>
      <w:r w:rsidRPr="00BD295E">
        <w:rPr>
          <w:rFonts w:ascii="Arial" w:hAnsi="Arial" w:cs="Arial"/>
          <w:i/>
          <w:iCs/>
          <w:sz w:val="18"/>
          <w:szCs w:val="18"/>
          <w:lang w:val="en-US"/>
        </w:rPr>
        <w:t>For more details, see the Occupational Health and Environmental Protection section on page ____</w:t>
      </w:r>
    </w:p>
    <w:p w14:paraId="05ECAD00" w14:textId="77777777" w:rsidR="00ED79C9" w:rsidRPr="00BD295E" w:rsidRDefault="008A5057" w:rsidP="00C052AA">
      <w:pPr>
        <w:spacing w:line="228" w:lineRule="auto"/>
        <w:jc w:val="both"/>
        <w:rPr>
          <w:rFonts w:ascii="Arial" w:hAnsi="Arial" w:cs="Arial"/>
          <w:sz w:val="18"/>
          <w:szCs w:val="18"/>
          <w:lang w:val="en-US"/>
        </w:rPr>
      </w:pPr>
      <w:r w:rsidRPr="00BD295E">
        <w:rPr>
          <w:rFonts w:ascii="Arial" w:hAnsi="Arial" w:cs="Arial"/>
          <w:sz w:val="18"/>
          <w:szCs w:val="18"/>
          <w:lang w:val="en-US"/>
        </w:rPr>
        <w:t>f) improved quality of grid connection services</w:t>
      </w:r>
    </w:p>
    <w:p w14:paraId="63B59D68" w14:textId="77777777" w:rsidR="00ED79C9" w:rsidRPr="00BD295E" w:rsidRDefault="008A5057" w:rsidP="00C052AA">
      <w:pPr>
        <w:spacing w:line="228" w:lineRule="auto"/>
        <w:jc w:val="both"/>
        <w:rPr>
          <w:rFonts w:ascii="Arial" w:hAnsi="Arial" w:cs="Arial"/>
          <w:i/>
          <w:iCs/>
          <w:sz w:val="18"/>
          <w:szCs w:val="18"/>
          <w:lang w:val="en-US"/>
        </w:rPr>
      </w:pPr>
      <w:r w:rsidRPr="00BD295E">
        <w:rPr>
          <w:rFonts w:ascii="Arial" w:hAnsi="Arial" w:cs="Arial"/>
          <w:i/>
          <w:iCs/>
          <w:sz w:val="18"/>
          <w:szCs w:val="18"/>
          <w:lang w:val="en-US"/>
        </w:rPr>
        <w:t>For more details, see the Grid Connection section on page ____</w:t>
      </w:r>
    </w:p>
    <w:p w14:paraId="496498C4" w14:textId="77777777" w:rsidR="00ED79C9" w:rsidRPr="00BD295E" w:rsidRDefault="00ED79C9" w:rsidP="00C052AA">
      <w:pPr>
        <w:pStyle w:val="af3"/>
        <w:spacing w:line="228" w:lineRule="auto"/>
        <w:ind w:left="0"/>
        <w:jc w:val="both"/>
        <w:rPr>
          <w:rFonts w:ascii="Arial" w:hAnsi="Arial" w:cs="Arial"/>
          <w:sz w:val="18"/>
          <w:szCs w:val="18"/>
          <w:lang w:val="en-US"/>
        </w:rPr>
      </w:pPr>
    </w:p>
    <w:p w14:paraId="334565F4" w14:textId="77777777" w:rsidR="00ED79C9" w:rsidRPr="00BD295E" w:rsidRDefault="008A5057" w:rsidP="00C052AA">
      <w:pPr>
        <w:pStyle w:val="af3"/>
        <w:spacing w:line="228" w:lineRule="auto"/>
        <w:ind w:left="0"/>
        <w:jc w:val="both"/>
        <w:rPr>
          <w:rFonts w:ascii="Arial" w:hAnsi="Arial" w:cs="Arial"/>
          <w:sz w:val="18"/>
          <w:szCs w:val="18"/>
          <w:lang w:val="en-US"/>
        </w:rPr>
      </w:pPr>
      <w:r w:rsidRPr="00BD295E">
        <w:rPr>
          <w:rFonts w:ascii="Arial" w:hAnsi="Arial" w:cs="Arial"/>
          <w:sz w:val="18"/>
          <w:szCs w:val="18"/>
          <w:lang w:val="en-US"/>
        </w:rPr>
        <w:t>In general, the operation of management systems showed positive results in the reporting year.</w:t>
      </w:r>
    </w:p>
    <w:p w14:paraId="086517D0" w14:textId="77777777" w:rsidR="00ED79C9" w:rsidRPr="00BD295E" w:rsidRDefault="00ED79C9" w:rsidP="00C052AA">
      <w:pPr>
        <w:spacing w:line="228" w:lineRule="auto"/>
        <w:rPr>
          <w:rFonts w:ascii="Arial" w:hAnsi="Arial" w:cs="Arial"/>
          <w:sz w:val="18"/>
          <w:szCs w:val="18"/>
          <w:lang w:val="en-US"/>
        </w:rPr>
      </w:pPr>
    </w:p>
    <w:p w14:paraId="294F35B2" w14:textId="77777777" w:rsidR="00554EE9" w:rsidRPr="00BD295E" w:rsidRDefault="008A5057" w:rsidP="00C052AA">
      <w:pPr>
        <w:pStyle w:val="af3"/>
        <w:keepNext/>
        <w:numPr>
          <w:ilvl w:val="1"/>
          <w:numId w:val="90"/>
        </w:numPr>
        <w:spacing w:line="228" w:lineRule="auto"/>
        <w:ind w:left="0" w:firstLine="0"/>
        <w:jc w:val="both"/>
        <w:outlineLvl w:val="1"/>
        <w:rPr>
          <w:rFonts w:ascii="Arial" w:hAnsi="Arial" w:cs="Arial"/>
          <w:b/>
          <w:sz w:val="18"/>
          <w:szCs w:val="18"/>
          <w:lang w:val="en-US"/>
        </w:rPr>
      </w:pPr>
      <w:bookmarkStart w:id="537" w:name="_Toc5027029"/>
      <w:bookmarkStart w:id="538" w:name="_Toc5105987"/>
      <w:bookmarkStart w:id="539" w:name="_Toc5203840"/>
      <w:bookmarkStart w:id="540" w:name="_Toc6230937"/>
      <w:bookmarkStart w:id="541" w:name="_Toc7172585"/>
      <w:bookmarkStart w:id="542" w:name="_Toc7172631"/>
      <w:bookmarkStart w:id="543" w:name="_Toc95855306"/>
      <w:bookmarkStart w:id="544" w:name="_Toc95935365"/>
      <w:r w:rsidRPr="00BD295E">
        <w:rPr>
          <w:rFonts w:ascii="Arial" w:hAnsi="Arial" w:cs="Arial"/>
          <w:b/>
          <w:sz w:val="18"/>
          <w:szCs w:val="18"/>
          <w:lang w:val="en-US"/>
        </w:rPr>
        <w:t>Public relations</w:t>
      </w:r>
      <w:bookmarkEnd w:id="536"/>
      <w:bookmarkEnd w:id="537"/>
      <w:bookmarkEnd w:id="538"/>
      <w:bookmarkEnd w:id="539"/>
      <w:bookmarkEnd w:id="540"/>
      <w:bookmarkEnd w:id="541"/>
      <w:bookmarkEnd w:id="542"/>
      <w:bookmarkEnd w:id="543"/>
      <w:bookmarkEnd w:id="544"/>
    </w:p>
    <w:p w14:paraId="5ECBAACE" w14:textId="77777777" w:rsidR="003C3773" w:rsidRPr="00BD295E" w:rsidRDefault="003C3773" w:rsidP="00C052AA">
      <w:pPr>
        <w:spacing w:line="228" w:lineRule="auto"/>
        <w:jc w:val="both"/>
        <w:rPr>
          <w:rFonts w:ascii="Arial" w:hAnsi="Arial" w:cs="Arial"/>
          <w:sz w:val="18"/>
          <w:szCs w:val="18"/>
          <w:lang w:val="en-US"/>
        </w:rPr>
      </w:pPr>
    </w:p>
    <w:p w14:paraId="46648311" w14:textId="77777777" w:rsidR="00ED79C9" w:rsidRPr="00BD295E" w:rsidRDefault="008A5057" w:rsidP="00C052AA">
      <w:pPr>
        <w:tabs>
          <w:tab w:val="left" w:pos="1560"/>
        </w:tabs>
        <w:spacing w:line="228" w:lineRule="auto"/>
        <w:contextualSpacing/>
        <w:jc w:val="both"/>
        <w:rPr>
          <w:rFonts w:ascii="Arial" w:eastAsia="Calibri" w:hAnsi="Arial" w:cs="Arial"/>
          <w:sz w:val="18"/>
          <w:szCs w:val="18"/>
          <w:lang w:val="en-US"/>
        </w:rPr>
      </w:pPr>
      <w:r w:rsidRPr="00BD295E">
        <w:rPr>
          <w:rFonts w:ascii="Arial" w:hAnsi="Arial" w:cs="Arial"/>
          <w:sz w:val="18"/>
          <w:szCs w:val="18"/>
          <w:lang w:val="en-US"/>
        </w:rPr>
        <w:t xml:space="preserve">As part of the Uniform Communications Policy of Rosseti Group,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maintains and updates information in the Company’s official accounts in popular social media. Special attention is paid to awareness raising and verification of accuracy of information distributed in social media during the work on addressing electricity supply disruptions caused by adverse weather conditions. Regular business contacts have been established and maintained with the press centers of public authorities of Saint Petersburg and the Leningrad Region, with information support provided for working meetings between the Company’s management and heads of Russian regions within the Company’s scope of responsibility. Mass media cover our key events and programs: in 2018 the Company’s participation in the All-Russian drills of power engineers in Daghestan, ensuring reliable electricity supply to infrastructure facilities during the FIFA World Cup, commissioning of new equipment at the Krasny Treugolnik substation, upgrade of the Customer Online Account, launch of the first automated electric grid district in the Leningrad Region, and other projects were widely covered. </w:t>
      </w:r>
    </w:p>
    <w:p w14:paraId="1905020A" w14:textId="77777777" w:rsidR="00ED79C9" w:rsidRPr="00BD295E" w:rsidRDefault="008A5057" w:rsidP="00C052AA">
      <w:pPr>
        <w:tabs>
          <w:tab w:val="left" w:pos="1560"/>
        </w:tabs>
        <w:spacing w:line="228" w:lineRule="auto"/>
        <w:contextualSpacing/>
        <w:jc w:val="both"/>
        <w:rPr>
          <w:rFonts w:ascii="Arial" w:eastAsia="Calibri" w:hAnsi="Arial" w:cs="Arial"/>
          <w:sz w:val="18"/>
          <w:szCs w:val="18"/>
          <w:lang w:val="en-US"/>
        </w:rPr>
      </w:pPr>
      <w:r w:rsidRPr="00BD295E">
        <w:rPr>
          <w:rFonts w:ascii="Arial" w:hAnsi="Arial" w:cs="Arial"/>
          <w:sz w:val="18"/>
          <w:szCs w:val="18"/>
          <w:lang w:val="en-US"/>
        </w:rPr>
        <w:t xml:space="preserve">The PR Department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issues the </w:t>
      </w:r>
      <w:r w:rsidRPr="00BD295E">
        <w:rPr>
          <w:rFonts w:ascii="Arial" w:hAnsi="Arial" w:cs="Arial"/>
          <w:i/>
          <w:iCs/>
          <w:sz w:val="18"/>
          <w:szCs w:val="18"/>
          <w:lang w:val="en-US"/>
        </w:rPr>
        <w:t>Energetik Peterburga</w:t>
      </w:r>
      <w:r w:rsidRPr="00BD295E">
        <w:rPr>
          <w:rFonts w:ascii="Arial" w:hAnsi="Arial" w:cs="Arial"/>
          <w:sz w:val="18"/>
          <w:szCs w:val="18"/>
          <w:lang w:val="en-US"/>
        </w:rPr>
        <w:t xml:space="preserve"> corporate newspaper on a monthly basis. This is an important communications tool that creates a single information space both within the Company, which has an extensive network of branches, and in the external media environment. </w:t>
      </w:r>
    </w:p>
    <w:p w14:paraId="702BEB75" w14:textId="77777777" w:rsidR="00ED79C9" w:rsidRPr="00BD295E" w:rsidRDefault="00ED79C9" w:rsidP="00C052AA">
      <w:pPr>
        <w:tabs>
          <w:tab w:val="left" w:pos="1560"/>
        </w:tabs>
        <w:spacing w:line="228" w:lineRule="auto"/>
        <w:contextualSpacing/>
        <w:jc w:val="both"/>
        <w:rPr>
          <w:rFonts w:ascii="Arial" w:eastAsia="Calibri" w:hAnsi="Arial" w:cs="Arial"/>
          <w:sz w:val="18"/>
          <w:szCs w:val="18"/>
          <w:lang w:val="en-US" w:eastAsia="en-US"/>
        </w:rPr>
      </w:pPr>
    </w:p>
    <w:p w14:paraId="5FF4DFB0" w14:textId="77777777" w:rsidR="00ED79C9" w:rsidRPr="00BD295E" w:rsidRDefault="008A5057" w:rsidP="00C052AA">
      <w:pPr>
        <w:tabs>
          <w:tab w:val="left" w:pos="1560"/>
        </w:tabs>
        <w:spacing w:line="228" w:lineRule="auto"/>
        <w:contextualSpacing/>
        <w:jc w:val="both"/>
        <w:rPr>
          <w:rFonts w:ascii="Arial" w:eastAsia="Calibri" w:hAnsi="Arial" w:cs="Arial"/>
          <w:b/>
          <w:sz w:val="18"/>
          <w:szCs w:val="18"/>
          <w:lang w:val="en-US"/>
        </w:rPr>
      </w:pPr>
      <w:r w:rsidRPr="00BD295E">
        <w:rPr>
          <w:rFonts w:ascii="Arial" w:hAnsi="Arial" w:cs="Arial"/>
          <w:b/>
          <w:sz w:val="18"/>
          <w:szCs w:val="18"/>
          <w:lang w:val="en-US"/>
        </w:rPr>
        <w:t>Awareness raising</w:t>
      </w:r>
    </w:p>
    <w:p w14:paraId="50364A43" w14:textId="77777777" w:rsidR="00ED79C9" w:rsidRPr="00BD295E" w:rsidRDefault="00EE5753" w:rsidP="00C052AA">
      <w:pPr>
        <w:tabs>
          <w:tab w:val="left" w:pos="1560"/>
        </w:tabs>
        <w:spacing w:line="228" w:lineRule="auto"/>
        <w:contextualSpacing/>
        <w:jc w:val="both"/>
        <w:rPr>
          <w:rFonts w:ascii="Arial" w:eastAsia="Calibri"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continued its work </w:t>
      </w:r>
      <w:r w:rsidR="00EC0D9D" w:rsidRPr="00BD295E">
        <w:rPr>
          <w:rFonts w:ascii="Arial" w:hAnsi="Arial" w:cs="Arial"/>
          <w:sz w:val="18"/>
          <w:szCs w:val="18"/>
          <w:lang w:val="en-US"/>
        </w:rPr>
        <w:t>under</w:t>
      </w:r>
      <w:r w:rsidR="008A5057" w:rsidRPr="00BD295E">
        <w:rPr>
          <w:rFonts w:ascii="Arial" w:hAnsi="Arial" w:cs="Arial"/>
          <w:sz w:val="18"/>
          <w:szCs w:val="18"/>
          <w:lang w:val="en-US"/>
        </w:rPr>
        <w:t xml:space="preserve"> a comprehensive electrical safety program aimed at preventing injuries at the Company’s electric grid facilities, which has been implemented since 2011. 320 open lessons attended by more than 7,000 children and teenagers were held across schools and children’s camps in Saint Petersburg and the Leningrad Region. During the lessons, children were informed about the safety rules that need to be followed when standing near energy facilities and were told about the need for careful handling of electricity, including household appliances.</w:t>
      </w:r>
      <w:r w:rsidR="008A5057" w:rsidRPr="00BD295E">
        <w:rPr>
          <w:rFonts w:ascii="Arial" w:hAnsi="Arial" w:cs="Arial"/>
          <w:i/>
          <w:iCs/>
          <w:sz w:val="18"/>
          <w:szCs w:val="18"/>
          <w:lang w:val="en-US"/>
        </w:rPr>
        <w:t xml:space="preserve"> </w:t>
      </w:r>
      <w:r w:rsidR="008A5057" w:rsidRPr="00BD295E">
        <w:rPr>
          <w:rFonts w:ascii="Arial" w:hAnsi="Arial" w:cs="Arial"/>
          <w:sz w:val="18"/>
          <w:szCs w:val="18"/>
          <w:lang w:val="en-US"/>
        </w:rPr>
        <w:t>76 tours of Lenenergo’s substations and the training facility were conducted for high school students.</w:t>
      </w:r>
    </w:p>
    <w:p w14:paraId="4DCBD8B0" w14:textId="77777777" w:rsidR="00ED79C9" w:rsidRPr="00BD295E" w:rsidRDefault="008A5057" w:rsidP="00C052AA">
      <w:pPr>
        <w:tabs>
          <w:tab w:val="left" w:pos="1560"/>
        </w:tabs>
        <w:spacing w:line="228" w:lineRule="auto"/>
        <w:contextualSpacing/>
        <w:jc w:val="both"/>
        <w:rPr>
          <w:rFonts w:ascii="Arial" w:eastAsia="Calibri" w:hAnsi="Arial" w:cs="Arial"/>
          <w:sz w:val="18"/>
          <w:szCs w:val="18"/>
          <w:lang w:val="en-US"/>
        </w:rPr>
      </w:pPr>
      <w:r w:rsidRPr="00BD295E">
        <w:rPr>
          <w:rFonts w:ascii="Arial" w:hAnsi="Arial" w:cs="Arial"/>
          <w:sz w:val="18"/>
          <w:szCs w:val="18"/>
          <w:lang w:val="en-US"/>
        </w:rPr>
        <w:t>The Company sent polygraphic materials, cartoons, and audio clips to educational institutions in order to increase their knowledge of electrical safety. A total of 10,150 posters on electrical safety, 5,317 reflectors, and 21,936 souvenirs (coloring books, notebooks, flyers, bookmarks, and toys) were distributed to children. New materials were also added to the Safe Electricity website at www.portal-lenenergo.ru, in the themed sections where a lot of useful information can be found on electrical safety, including about energy saving, as well as visual aids, scenarios, videos</w:t>
      </w:r>
      <w:r w:rsidR="00EC0D9D" w:rsidRPr="00BD295E">
        <w:rPr>
          <w:rFonts w:ascii="Arial" w:hAnsi="Arial" w:cs="Arial"/>
          <w:sz w:val="18"/>
          <w:szCs w:val="18"/>
          <w:lang w:val="en-US"/>
        </w:rPr>
        <w:t>,</w:t>
      </w:r>
      <w:r w:rsidRPr="00BD295E">
        <w:rPr>
          <w:rFonts w:ascii="Arial" w:hAnsi="Arial" w:cs="Arial"/>
          <w:sz w:val="18"/>
          <w:szCs w:val="18"/>
          <w:lang w:val="en-US"/>
        </w:rPr>
        <w:t xml:space="preserve"> and photos.</w:t>
      </w:r>
    </w:p>
    <w:bookmarkEnd w:id="488"/>
    <w:p w14:paraId="2044A471" w14:textId="77777777" w:rsidR="00FD1F0A" w:rsidRPr="00BD295E" w:rsidRDefault="008A5057" w:rsidP="00D3281C">
      <w:pPr>
        <w:rPr>
          <w:rFonts w:ascii="Arial" w:hAnsi="Arial" w:cs="Arial"/>
          <w:sz w:val="18"/>
          <w:szCs w:val="18"/>
          <w:lang w:val="en-US"/>
        </w:rPr>
      </w:pPr>
      <w:r w:rsidRPr="00BD295E">
        <w:rPr>
          <w:rFonts w:ascii="Arial" w:hAnsi="Arial" w:cs="Arial"/>
          <w:sz w:val="18"/>
          <w:szCs w:val="18"/>
          <w:lang w:val="en-US"/>
        </w:rPr>
        <w:br w:type="page"/>
      </w:r>
    </w:p>
    <w:p w14:paraId="3C876C95" w14:textId="3C6D9D0A"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GLOSSARY</w:t>
      </w:r>
    </w:p>
    <w:tbl>
      <w:tblPr>
        <w:tblW w:w="100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6"/>
        <w:gridCol w:w="7002"/>
      </w:tblGrid>
      <w:tr w:rsidR="008A5057" w:rsidRPr="00BD295E" w14:paraId="34AA28E4" w14:textId="77777777" w:rsidTr="00D13EB6">
        <w:trPr>
          <w:trHeight w:val="28"/>
          <w:jc w:val="center"/>
        </w:trPr>
        <w:tc>
          <w:tcPr>
            <w:tcW w:w="3036" w:type="dxa"/>
            <w:shd w:val="clear" w:color="auto" w:fill="auto"/>
            <w:vAlign w:val="center"/>
          </w:tcPr>
          <w:p w14:paraId="325D6865"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AISEBM </w:t>
            </w:r>
          </w:p>
        </w:tc>
        <w:tc>
          <w:tcPr>
            <w:tcW w:w="7002" w:type="dxa"/>
            <w:shd w:val="clear" w:color="auto" w:fill="auto"/>
            <w:vAlign w:val="bottom"/>
          </w:tcPr>
          <w:p w14:paraId="447AC37B"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Automated information system of electricity billing metering;</w:t>
            </w:r>
          </w:p>
        </w:tc>
      </w:tr>
      <w:tr w:rsidR="008A5057" w:rsidRPr="00BD295E" w14:paraId="25D5B2B7" w14:textId="77777777" w:rsidTr="00D13EB6">
        <w:trPr>
          <w:trHeight w:val="20"/>
          <w:jc w:val="center"/>
        </w:trPr>
        <w:tc>
          <w:tcPr>
            <w:tcW w:w="3036" w:type="dxa"/>
            <w:shd w:val="clear" w:color="auto" w:fill="auto"/>
            <w:vAlign w:val="center"/>
          </w:tcPr>
          <w:p w14:paraId="7EEF792F"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ADS </w:t>
            </w:r>
          </w:p>
        </w:tc>
        <w:tc>
          <w:tcPr>
            <w:tcW w:w="7002" w:type="dxa"/>
            <w:shd w:val="clear" w:color="auto" w:fill="auto"/>
            <w:vAlign w:val="bottom"/>
          </w:tcPr>
          <w:p w14:paraId="4408EF6B"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Automated dispatching system;</w:t>
            </w:r>
          </w:p>
        </w:tc>
      </w:tr>
      <w:tr w:rsidR="008A5057" w:rsidRPr="00BD295E" w14:paraId="5265700B" w14:textId="77777777" w:rsidTr="00D13EB6">
        <w:trPr>
          <w:trHeight w:val="20"/>
          <w:jc w:val="center"/>
        </w:trPr>
        <w:tc>
          <w:tcPr>
            <w:tcW w:w="3036" w:type="dxa"/>
            <w:shd w:val="clear" w:color="auto" w:fill="auto"/>
            <w:vAlign w:val="center"/>
          </w:tcPr>
          <w:p w14:paraId="1235DDF7"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APCS </w:t>
            </w:r>
          </w:p>
        </w:tc>
        <w:tc>
          <w:tcPr>
            <w:tcW w:w="7002" w:type="dxa"/>
            <w:shd w:val="clear" w:color="auto" w:fill="auto"/>
            <w:vAlign w:val="bottom"/>
          </w:tcPr>
          <w:p w14:paraId="37910B26"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Automated process control system;</w:t>
            </w:r>
          </w:p>
        </w:tc>
      </w:tr>
      <w:tr w:rsidR="008A5057" w:rsidRPr="00BD295E" w14:paraId="35A5A0D7" w14:textId="77777777" w:rsidTr="00D13EB6">
        <w:trPr>
          <w:trHeight w:val="20"/>
          <w:jc w:val="center"/>
        </w:trPr>
        <w:tc>
          <w:tcPr>
            <w:tcW w:w="3036" w:type="dxa"/>
            <w:shd w:val="clear" w:color="auto" w:fill="auto"/>
            <w:vAlign w:val="center"/>
          </w:tcPr>
          <w:p w14:paraId="18883B87"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AESCS </w:t>
            </w:r>
          </w:p>
        </w:tc>
        <w:tc>
          <w:tcPr>
            <w:tcW w:w="7002" w:type="dxa"/>
            <w:shd w:val="clear" w:color="auto" w:fill="auto"/>
            <w:vAlign w:val="bottom"/>
          </w:tcPr>
          <w:p w14:paraId="3D60623D"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Automated electricity supply control system;</w:t>
            </w:r>
          </w:p>
        </w:tc>
      </w:tr>
      <w:tr w:rsidR="008A5057" w:rsidRPr="00BD295E" w14:paraId="0E562B88" w14:textId="77777777" w:rsidTr="00D13EB6">
        <w:trPr>
          <w:trHeight w:val="20"/>
          <w:jc w:val="center"/>
        </w:trPr>
        <w:tc>
          <w:tcPr>
            <w:tcW w:w="3036" w:type="dxa"/>
            <w:shd w:val="clear" w:color="auto" w:fill="auto"/>
            <w:vAlign w:val="center"/>
          </w:tcPr>
          <w:p w14:paraId="2E183A6A"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UPTS </w:t>
            </w:r>
          </w:p>
        </w:tc>
        <w:tc>
          <w:tcPr>
            <w:tcW w:w="7002" w:type="dxa"/>
            <w:shd w:val="clear" w:color="auto" w:fill="auto"/>
            <w:vAlign w:val="bottom"/>
          </w:tcPr>
          <w:p w14:paraId="7285B3F8"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Unit-type package transformer substation;</w:t>
            </w:r>
          </w:p>
        </w:tc>
      </w:tr>
      <w:tr w:rsidR="008A5057" w:rsidRPr="00BD295E" w14:paraId="049C4642" w14:textId="77777777" w:rsidTr="00D13EB6">
        <w:trPr>
          <w:trHeight w:val="20"/>
          <w:jc w:val="center"/>
        </w:trPr>
        <w:tc>
          <w:tcPr>
            <w:tcW w:w="3036" w:type="dxa"/>
            <w:shd w:val="clear" w:color="auto" w:fill="auto"/>
            <w:vAlign w:val="center"/>
          </w:tcPr>
          <w:p w14:paraId="1AD0AC64"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OL </w:t>
            </w:r>
          </w:p>
        </w:tc>
        <w:tc>
          <w:tcPr>
            <w:tcW w:w="7002" w:type="dxa"/>
            <w:shd w:val="clear" w:color="auto" w:fill="auto"/>
            <w:vAlign w:val="bottom"/>
          </w:tcPr>
          <w:p w14:paraId="527243B5"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Overhead line</w:t>
            </w:r>
          </w:p>
        </w:tc>
      </w:tr>
      <w:tr w:rsidR="008A5057" w:rsidRPr="00BD295E" w14:paraId="525652A9" w14:textId="77777777" w:rsidTr="00D13EB6">
        <w:trPr>
          <w:trHeight w:val="20"/>
          <w:jc w:val="center"/>
        </w:trPr>
        <w:tc>
          <w:tcPr>
            <w:tcW w:w="3036" w:type="dxa"/>
            <w:shd w:val="clear" w:color="auto" w:fill="auto"/>
            <w:vAlign w:val="center"/>
          </w:tcPr>
          <w:p w14:paraId="7A3FFABC"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UES </w:t>
            </w:r>
          </w:p>
        </w:tc>
        <w:tc>
          <w:tcPr>
            <w:tcW w:w="7002" w:type="dxa"/>
            <w:shd w:val="clear" w:color="auto" w:fill="auto"/>
            <w:vAlign w:val="bottom"/>
          </w:tcPr>
          <w:p w14:paraId="0382F74F"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Unified Energy System</w:t>
            </w:r>
          </w:p>
        </w:tc>
      </w:tr>
      <w:tr w:rsidR="008A5057" w:rsidRPr="00BD295E" w14:paraId="49A721FA" w14:textId="77777777" w:rsidTr="00D13EB6">
        <w:trPr>
          <w:trHeight w:val="20"/>
          <w:jc w:val="center"/>
        </w:trPr>
        <w:tc>
          <w:tcPr>
            <w:tcW w:w="3036" w:type="dxa"/>
            <w:shd w:val="clear" w:color="auto" w:fill="auto"/>
            <w:vAlign w:val="center"/>
          </w:tcPr>
          <w:p w14:paraId="54AE09BD" w14:textId="77777777" w:rsidR="00EC4BC4" w:rsidRPr="00BD295E" w:rsidRDefault="0098003E"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ITPS</w:t>
            </w:r>
          </w:p>
        </w:tc>
        <w:tc>
          <w:tcPr>
            <w:tcW w:w="7002" w:type="dxa"/>
            <w:shd w:val="clear" w:color="auto" w:fill="auto"/>
            <w:vAlign w:val="bottom"/>
          </w:tcPr>
          <w:p w14:paraId="33B88A87" w14:textId="77777777" w:rsidR="00EC4BC4" w:rsidRPr="00BD295E" w:rsidRDefault="0098003E" w:rsidP="00EC4BC4">
            <w:pPr>
              <w:spacing w:after="160" w:line="259" w:lineRule="auto"/>
              <w:rPr>
                <w:rFonts w:ascii="Arial" w:hAnsi="Arial" w:cs="Arial"/>
                <w:sz w:val="18"/>
                <w:szCs w:val="18"/>
                <w:lang w:val="en-US"/>
              </w:rPr>
            </w:pPr>
            <w:r w:rsidRPr="00BD295E">
              <w:rPr>
                <w:rFonts w:ascii="Arial" w:hAnsi="Arial" w:cs="Arial"/>
                <w:sz w:val="18"/>
                <w:szCs w:val="18"/>
                <w:lang w:val="en-US"/>
              </w:rPr>
              <w:t>Indoor transformer substation</w:t>
            </w:r>
            <w:r w:rsidR="008A5057" w:rsidRPr="00BD295E">
              <w:rPr>
                <w:rFonts w:ascii="Arial" w:hAnsi="Arial" w:cs="Arial"/>
                <w:sz w:val="18"/>
                <w:szCs w:val="18"/>
                <w:lang w:val="en-US"/>
              </w:rPr>
              <w:t xml:space="preserve"> </w:t>
            </w:r>
          </w:p>
        </w:tc>
      </w:tr>
      <w:tr w:rsidR="008A5057" w:rsidRPr="00BD295E" w14:paraId="256C7572" w14:textId="77777777" w:rsidTr="00D13EB6">
        <w:trPr>
          <w:trHeight w:val="20"/>
          <w:jc w:val="center"/>
        </w:trPr>
        <w:tc>
          <w:tcPr>
            <w:tcW w:w="3036" w:type="dxa"/>
            <w:shd w:val="clear" w:color="auto" w:fill="auto"/>
            <w:vAlign w:val="center"/>
          </w:tcPr>
          <w:p w14:paraId="2BCF51DB"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CL </w:t>
            </w:r>
          </w:p>
        </w:tc>
        <w:tc>
          <w:tcPr>
            <w:tcW w:w="7002" w:type="dxa"/>
            <w:shd w:val="clear" w:color="auto" w:fill="auto"/>
            <w:vAlign w:val="bottom"/>
          </w:tcPr>
          <w:p w14:paraId="4B8416D3"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Cable line</w:t>
            </w:r>
          </w:p>
        </w:tc>
      </w:tr>
      <w:tr w:rsidR="008A5057" w:rsidRPr="00BD295E" w14:paraId="318B9939" w14:textId="77777777" w:rsidTr="00D13EB6">
        <w:trPr>
          <w:trHeight w:val="20"/>
          <w:jc w:val="center"/>
        </w:trPr>
        <w:tc>
          <w:tcPr>
            <w:tcW w:w="3036" w:type="dxa"/>
            <w:shd w:val="clear" w:color="auto" w:fill="auto"/>
            <w:vAlign w:val="center"/>
          </w:tcPr>
          <w:p w14:paraId="4CE25341" w14:textId="77777777" w:rsidR="00EC4BC4" w:rsidRPr="00BD295E" w:rsidRDefault="0098003E"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FAS</w:t>
            </w:r>
          </w:p>
        </w:tc>
        <w:tc>
          <w:tcPr>
            <w:tcW w:w="7002" w:type="dxa"/>
            <w:shd w:val="clear" w:color="auto" w:fill="auto"/>
            <w:vAlign w:val="bottom"/>
          </w:tcPr>
          <w:p w14:paraId="21A0D156" w14:textId="77777777" w:rsidR="00EC4BC4" w:rsidRPr="00BD295E" w:rsidRDefault="0098003E" w:rsidP="00EC4BC4">
            <w:pPr>
              <w:spacing w:after="160" w:line="259" w:lineRule="auto"/>
              <w:rPr>
                <w:rFonts w:ascii="Arial" w:hAnsi="Arial" w:cs="Arial"/>
                <w:sz w:val="18"/>
                <w:szCs w:val="18"/>
                <w:lang w:val="en-US"/>
              </w:rPr>
            </w:pPr>
            <w:r w:rsidRPr="00BD295E">
              <w:rPr>
                <w:rFonts w:ascii="Arial" w:hAnsi="Arial" w:cs="Arial"/>
                <w:sz w:val="18"/>
                <w:szCs w:val="18"/>
                <w:lang w:val="en-US"/>
              </w:rPr>
              <w:t>Factory-assembled switchgear</w:t>
            </w:r>
          </w:p>
        </w:tc>
      </w:tr>
      <w:tr w:rsidR="008A5057" w:rsidRPr="00BD295E" w14:paraId="30047864" w14:textId="77777777" w:rsidTr="00D13EB6">
        <w:trPr>
          <w:trHeight w:val="20"/>
          <w:jc w:val="center"/>
        </w:trPr>
        <w:tc>
          <w:tcPr>
            <w:tcW w:w="3036" w:type="dxa"/>
            <w:shd w:val="clear" w:color="auto" w:fill="auto"/>
            <w:vAlign w:val="center"/>
          </w:tcPr>
          <w:p w14:paraId="5381F666" w14:textId="77777777" w:rsidR="00EC4BC4" w:rsidRPr="00BD295E" w:rsidRDefault="0098003E"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SF6 FAS</w:t>
            </w:r>
          </w:p>
        </w:tc>
        <w:tc>
          <w:tcPr>
            <w:tcW w:w="7002" w:type="dxa"/>
            <w:shd w:val="clear" w:color="auto" w:fill="auto"/>
            <w:vAlign w:val="bottom"/>
          </w:tcPr>
          <w:p w14:paraId="3BD686F7"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w:t>
            </w:r>
            <w:r w:rsidR="0098003E" w:rsidRPr="00BD295E">
              <w:rPr>
                <w:rFonts w:ascii="Arial" w:hAnsi="Arial" w:cs="Arial"/>
                <w:sz w:val="18"/>
                <w:szCs w:val="18"/>
                <w:lang w:val="en-US"/>
              </w:rPr>
              <w:t>SF6-insulated factory-assembled switchgear</w:t>
            </w:r>
          </w:p>
        </w:tc>
      </w:tr>
      <w:tr w:rsidR="008A5057" w:rsidRPr="00BD295E" w14:paraId="6853D18B" w14:textId="77777777" w:rsidTr="00D13EB6">
        <w:trPr>
          <w:trHeight w:val="20"/>
          <w:jc w:val="center"/>
        </w:trPr>
        <w:tc>
          <w:tcPr>
            <w:tcW w:w="3036" w:type="dxa"/>
            <w:shd w:val="clear" w:color="auto" w:fill="auto"/>
            <w:vAlign w:val="center"/>
          </w:tcPr>
          <w:p w14:paraId="368B52D2" w14:textId="77777777" w:rsidR="00EC4BC4" w:rsidRPr="00BD295E" w:rsidRDefault="0098003E"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CD</w:t>
            </w:r>
          </w:p>
        </w:tc>
        <w:tc>
          <w:tcPr>
            <w:tcW w:w="7002" w:type="dxa"/>
            <w:shd w:val="clear" w:color="auto" w:fill="auto"/>
            <w:vAlign w:val="bottom"/>
          </w:tcPr>
          <w:p w14:paraId="19F50880" w14:textId="77777777" w:rsidR="00EC4BC4" w:rsidRPr="00BD295E" w:rsidRDefault="0098003E" w:rsidP="00EC4BC4">
            <w:pPr>
              <w:spacing w:after="160" w:line="259" w:lineRule="auto"/>
              <w:rPr>
                <w:rFonts w:ascii="Arial" w:hAnsi="Arial" w:cs="Arial"/>
                <w:sz w:val="18"/>
                <w:szCs w:val="18"/>
                <w:lang w:val="en-US"/>
              </w:rPr>
            </w:pPr>
            <w:r w:rsidRPr="00BD295E">
              <w:rPr>
                <w:rFonts w:ascii="Arial" w:hAnsi="Arial" w:cs="Arial"/>
                <w:sz w:val="18"/>
                <w:szCs w:val="18"/>
                <w:lang w:val="en-US"/>
              </w:rPr>
              <w:t>Compensating devices</w:t>
            </w:r>
          </w:p>
        </w:tc>
      </w:tr>
      <w:tr w:rsidR="008A5057" w:rsidRPr="00BD295E" w14:paraId="53C5221D" w14:textId="77777777" w:rsidTr="00D13EB6">
        <w:trPr>
          <w:trHeight w:val="20"/>
          <w:jc w:val="center"/>
        </w:trPr>
        <w:tc>
          <w:tcPr>
            <w:tcW w:w="3036" w:type="dxa"/>
            <w:shd w:val="clear" w:color="auto" w:fill="auto"/>
            <w:vAlign w:val="center"/>
          </w:tcPr>
          <w:p w14:paraId="729AA06D" w14:textId="77777777" w:rsidR="00EC4BC4" w:rsidRPr="00BD295E" w:rsidRDefault="0098003E"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PL</w:t>
            </w:r>
          </w:p>
        </w:tc>
        <w:tc>
          <w:tcPr>
            <w:tcW w:w="7002" w:type="dxa"/>
            <w:shd w:val="clear" w:color="auto" w:fill="auto"/>
            <w:vAlign w:val="bottom"/>
          </w:tcPr>
          <w:p w14:paraId="31097B1F" w14:textId="77777777" w:rsidR="00EC4BC4" w:rsidRPr="00BD295E" w:rsidRDefault="0098003E" w:rsidP="00EC4BC4">
            <w:pPr>
              <w:spacing w:after="160" w:line="259" w:lineRule="auto"/>
              <w:rPr>
                <w:rFonts w:ascii="Arial" w:hAnsi="Arial" w:cs="Arial"/>
                <w:sz w:val="18"/>
                <w:szCs w:val="18"/>
                <w:lang w:val="en-US"/>
              </w:rPr>
            </w:pPr>
            <w:r w:rsidRPr="00BD295E">
              <w:rPr>
                <w:rFonts w:ascii="Arial" w:hAnsi="Arial" w:cs="Arial"/>
                <w:sz w:val="18"/>
                <w:szCs w:val="18"/>
                <w:lang w:val="en-US"/>
              </w:rPr>
              <w:t>Power line</w:t>
            </w:r>
            <w:r w:rsidR="008A5057" w:rsidRPr="00BD295E">
              <w:rPr>
                <w:rFonts w:ascii="Arial" w:hAnsi="Arial" w:cs="Arial"/>
                <w:sz w:val="18"/>
                <w:szCs w:val="18"/>
                <w:lang w:val="en-US"/>
              </w:rPr>
              <w:t xml:space="preserve"> </w:t>
            </w:r>
          </w:p>
        </w:tc>
      </w:tr>
      <w:tr w:rsidR="008A5057" w:rsidRPr="00BD295E" w14:paraId="2CC751AB" w14:textId="77777777" w:rsidTr="00D13EB6">
        <w:trPr>
          <w:trHeight w:val="20"/>
          <w:jc w:val="center"/>
        </w:trPr>
        <w:tc>
          <w:tcPr>
            <w:tcW w:w="3036" w:type="dxa"/>
            <w:shd w:val="clear" w:color="auto" w:fill="auto"/>
            <w:vAlign w:val="center"/>
          </w:tcPr>
          <w:p w14:paraId="4CBA81CF"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R&amp;D </w:t>
            </w:r>
          </w:p>
        </w:tc>
        <w:tc>
          <w:tcPr>
            <w:tcW w:w="7002" w:type="dxa"/>
            <w:shd w:val="clear" w:color="auto" w:fill="auto"/>
            <w:vAlign w:val="bottom"/>
          </w:tcPr>
          <w:p w14:paraId="2A12C2C9"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 Research and development</w:t>
            </w:r>
          </w:p>
        </w:tc>
      </w:tr>
      <w:tr w:rsidR="008A5057" w:rsidRPr="00BD295E" w14:paraId="4E139039" w14:textId="77777777" w:rsidTr="00D13EB6">
        <w:trPr>
          <w:trHeight w:val="20"/>
          <w:jc w:val="center"/>
        </w:trPr>
        <w:tc>
          <w:tcPr>
            <w:tcW w:w="3036" w:type="dxa"/>
            <w:shd w:val="clear" w:color="auto" w:fill="auto"/>
            <w:vAlign w:val="center"/>
          </w:tcPr>
          <w:p w14:paraId="7594CCE2"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TS</w:t>
            </w:r>
          </w:p>
        </w:tc>
        <w:tc>
          <w:tcPr>
            <w:tcW w:w="7002" w:type="dxa"/>
            <w:shd w:val="clear" w:color="auto" w:fill="auto"/>
            <w:vAlign w:val="bottom"/>
          </w:tcPr>
          <w:p w14:paraId="6884EA0B"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Technical standards</w:t>
            </w:r>
            <w:r w:rsidR="008A5057" w:rsidRPr="00BD295E">
              <w:rPr>
                <w:rFonts w:ascii="Arial" w:hAnsi="Arial" w:cs="Arial"/>
                <w:sz w:val="18"/>
                <w:szCs w:val="18"/>
                <w:lang w:val="en-US"/>
              </w:rPr>
              <w:t xml:space="preserve"> </w:t>
            </w:r>
          </w:p>
        </w:tc>
      </w:tr>
      <w:tr w:rsidR="008A5057" w:rsidRPr="00BD295E" w14:paraId="1E9C1BB7" w14:textId="77777777" w:rsidTr="00D13EB6">
        <w:trPr>
          <w:trHeight w:val="20"/>
          <w:jc w:val="center"/>
        </w:trPr>
        <w:tc>
          <w:tcPr>
            <w:tcW w:w="3036" w:type="dxa"/>
            <w:shd w:val="clear" w:color="auto" w:fill="auto"/>
            <w:vAlign w:val="center"/>
          </w:tcPr>
          <w:p w14:paraId="5F90A795"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STC</w:t>
            </w:r>
          </w:p>
        </w:tc>
        <w:tc>
          <w:tcPr>
            <w:tcW w:w="7002" w:type="dxa"/>
            <w:shd w:val="clear" w:color="auto" w:fill="auto"/>
            <w:vAlign w:val="bottom"/>
          </w:tcPr>
          <w:p w14:paraId="4B79E6E7"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Scientific and Technical Council</w:t>
            </w:r>
            <w:r w:rsidR="008A5057" w:rsidRPr="00BD295E">
              <w:rPr>
                <w:rFonts w:ascii="Arial" w:hAnsi="Arial" w:cs="Arial"/>
                <w:sz w:val="18"/>
                <w:szCs w:val="18"/>
                <w:lang w:val="en-US"/>
              </w:rPr>
              <w:t xml:space="preserve"> </w:t>
            </w:r>
          </w:p>
        </w:tc>
      </w:tr>
      <w:tr w:rsidR="008A5057" w:rsidRPr="00BD295E" w14:paraId="70F6B3CC" w14:textId="77777777" w:rsidTr="00D13EB6">
        <w:trPr>
          <w:trHeight w:val="20"/>
          <w:jc w:val="center"/>
        </w:trPr>
        <w:tc>
          <w:tcPr>
            <w:tcW w:w="3036" w:type="dxa"/>
            <w:shd w:val="clear" w:color="auto" w:fill="auto"/>
            <w:vAlign w:val="center"/>
          </w:tcPr>
          <w:p w14:paraId="65DFEF41"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SW</w:t>
            </w:r>
          </w:p>
        </w:tc>
        <w:tc>
          <w:tcPr>
            <w:tcW w:w="7002" w:type="dxa"/>
            <w:shd w:val="clear" w:color="auto" w:fill="auto"/>
            <w:vAlign w:val="bottom"/>
          </w:tcPr>
          <w:p w14:paraId="5AEA7E28"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Software</w:t>
            </w:r>
            <w:r w:rsidR="008A5057" w:rsidRPr="00BD295E">
              <w:rPr>
                <w:rFonts w:ascii="Arial" w:hAnsi="Arial" w:cs="Arial"/>
                <w:sz w:val="18"/>
                <w:szCs w:val="18"/>
                <w:lang w:val="en-US"/>
              </w:rPr>
              <w:t xml:space="preserve"> </w:t>
            </w:r>
          </w:p>
        </w:tc>
      </w:tr>
      <w:tr w:rsidR="008A5057" w:rsidRPr="00BD295E" w14:paraId="62472572" w14:textId="77777777" w:rsidTr="00D13EB6">
        <w:trPr>
          <w:trHeight w:val="20"/>
          <w:jc w:val="center"/>
        </w:trPr>
        <w:tc>
          <w:tcPr>
            <w:tcW w:w="3036" w:type="dxa"/>
            <w:shd w:val="clear" w:color="auto" w:fill="auto"/>
            <w:vAlign w:val="center"/>
          </w:tcPr>
          <w:p w14:paraId="435C8F32"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SS </w:t>
            </w:r>
          </w:p>
        </w:tc>
        <w:tc>
          <w:tcPr>
            <w:tcW w:w="7002" w:type="dxa"/>
            <w:shd w:val="clear" w:color="auto" w:fill="auto"/>
            <w:vAlign w:val="bottom"/>
          </w:tcPr>
          <w:p w14:paraId="50EE5531"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Substation</w:t>
            </w:r>
          </w:p>
        </w:tc>
      </w:tr>
      <w:tr w:rsidR="008A5057" w:rsidRPr="00BD295E" w14:paraId="111F5BB3" w14:textId="77777777" w:rsidTr="00D13EB6">
        <w:trPr>
          <w:trHeight w:val="20"/>
          <w:jc w:val="center"/>
        </w:trPr>
        <w:tc>
          <w:tcPr>
            <w:tcW w:w="3036" w:type="dxa"/>
            <w:shd w:val="clear" w:color="auto" w:fill="auto"/>
            <w:vAlign w:val="center"/>
          </w:tcPr>
          <w:p w14:paraId="5E746ECA"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RIEF</w:t>
            </w:r>
          </w:p>
        </w:tc>
        <w:tc>
          <w:tcPr>
            <w:tcW w:w="7002" w:type="dxa"/>
            <w:shd w:val="clear" w:color="auto" w:fill="auto"/>
            <w:vAlign w:val="bottom"/>
          </w:tcPr>
          <w:p w14:paraId="33CB1632"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bCs/>
                <w:sz w:val="18"/>
                <w:szCs w:val="18"/>
                <w:lang w:val="en-US"/>
              </w:rPr>
              <w:t>Rules for Installing Electric Facilities</w:t>
            </w:r>
            <w:r w:rsidR="008A5057" w:rsidRPr="00BD295E">
              <w:rPr>
                <w:rFonts w:ascii="Arial" w:hAnsi="Arial" w:cs="Arial"/>
                <w:sz w:val="18"/>
                <w:szCs w:val="18"/>
                <w:lang w:val="en-US"/>
              </w:rPr>
              <w:t xml:space="preserve"> </w:t>
            </w:r>
          </w:p>
        </w:tc>
      </w:tr>
      <w:tr w:rsidR="008A5057" w:rsidRPr="00BD295E" w14:paraId="1075811C" w14:textId="77777777" w:rsidTr="00D13EB6">
        <w:trPr>
          <w:trHeight w:val="20"/>
          <w:jc w:val="center"/>
        </w:trPr>
        <w:tc>
          <w:tcPr>
            <w:tcW w:w="3036" w:type="dxa"/>
            <w:shd w:val="clear" w:color="auto" w:fill="auto"/>
            <w:vAlign w:val="center"/>
          </w:tcPr>
          <w:p w14:paraId="7B0DAC34"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RPA</w:t>
            </w:r>
          </w:p>
        </w:tc>
        <w:tc>
          <w:tcPr>
            <w:tcW w:w="7002" w:type="dxa"/>
            <w:shd w:val="clear" w:color="auto" w:fill="auto"/>
            <w:vAlign w:val="bottom"/>
          </w:tcPr>
          <w:p w14:paraId="56944059"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bCs/>
                <w:sz w:val="18"/>
                <w:szCs w:val="18"/>
                <w:lang w:val="en-US"/>
              </w:rPr>
              <w:t>Relay protection and automation</w:t>
            </w:r>
            <w:r w:rsidR="008A5057" w:rsidRPr="00BD295E">
              <w:rPr>
                <w:rFonts w:ascii="Arial" w:hAnsi="Arial" w:cs="Arial"/>
                <w:sz w:val="18"/>
                <w:szCs w:val="18"/>
                <w:lang w:val="en-US"/>
              </w:rPr>
              <w:t xml:space="preserve"> </w:t>
            </w:r>
          </w:p>
        </w:tc>
      </w:tr>
      <w:tr w:rsidR="008A5057" w:rsidRPr="00BD295E" w14:paraId="55BD9A49" w14:textId="77777777" w:rsidTr="00D13EB6">
        <w:trPr>
          <w:trHeight w:val="20"/>
          <w:jc w:val="center"/>
        </w:trPr>
        <w:tc>
          <w:tcPr>
            <w:tcW w:w="3036" w:type="dxa"/>
            <w:shd w:val="clear" w:color="auto" w:fill="auto"/>
            <w:vAlign w:val="center"/>
          </w:tcPr>
          <w:p w14:paraId="06E6BC6F"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SG</w:t>
            </w:r>
          </w:p>
        </w:tc>
        <w:tc>
          <w:tcPr>
            <w:tcW w:w="7002" w:type="dxa"/>
            <w:shd w:val="clear" w:color="auto" w:fill="auto"/>
            <w:vAlign w:val="bottom"/>
          </w:tcPr>
          <w:p w14:paraId="5CD796B6"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Switchgear</w:t>
            </w:r>
          </w:p>
        </w:tc>
      </w:tr>
      <w:tr w:rsidR="008A5057" w:rsidRPr="00BD295E" w14:paraId="319C5F73" w14:textId="77777777" w:rsidTr="00D13EB6">
        <w:trPr>
          <w:trHeight w:val="20"/>
          <w:jc w:val="center"/>
        </w:trPr>
        <w:tc>
          <w:tcPr>
            <w:tcW w:w="3036" w:type="dxa"/>
            <w:shd w:val="clear" w:color="auto" w:fill="auto"/>
            <w:vAlign w:val="center"/>
          </w:tcPr>
          <w:p w14:paraId="65D4B803"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DPCS</w:t>
            </w:r>
          </w:p>
        </w:tc>
        <w:tc>
          <w:tcPr>
            <w:tcW w:w="7002" w:type="dxa"/>
            <w:shd w:val="clear" w:color="auto" w:fill="auto"/>
            <w:vAlign w:val="bottom"/>
          </w:tcPr>
          <w:p w14:paraId="2CA42E99"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Dispatch and process control system</w:t>
            </w:r>
          </w:p>
        </w:tc>
      </w:tr>
      <w:tr w:rsidR="008A5057" w:rsidRPr="00BD295E" w14:paraId="58FEBD9A" w14:textId="77777777" w:rsidTr="00D13EB6">
        <w:trPr>
          <w:trHeight w:val="20"/>
          <w:jc w:val="center"/>
        </w:trPr>
        <w:tc>
          <w:tcPr>
            <w:tcW w:w="3036" w:type="dxa"/>
            <w:shd w:val="clear" w:color="auto" w:fill="auto"/>
            <w:vAlign w:val="center"/>
          </w:tcPr>
          <w:p w14:paraId="57069DA3"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SO UES </w:t>
            </w:r>
          </w:p>
        </w:tc>
        <w:tc>
          <w:tcPr>
            <w:tcW w:w="7002" w:type="dxa"/>
            <w:shd w:val="clear" w:color="auto" w:fill="auto"/>
            <w:vAlign w:val="bottom"/>
          </w:tcPr>
          <w:p w14:paraId="33DA4E68"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System Operator of the Unified Energy System</w:t>
            </w:r>
          </w:p>
        </w:tc>
      </w:tr>
      <w:tr w:rsidR="008A5057" w:rsidRPr="00BD295E" w14:paraId="12B2CA03" w14:textId="77777777" w:rsidTr="00D13EB6">
        <w:trPr>
          <w:trHeight w:val="20"/>
          <w:jc w:val="center"/>
        </w:trPr>
        <w:tc>
          <w:tcPr>
            <w:tcW w:w="3036" w:type="dxa"/>
            <w:shd w:val="clear" w:color="auto" w:fill="auto"/>
            <w:vAlign w:val="center"/>
          </w:tcPr>
          <w:p w14:paraId="3FBCA446"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TS </w:t>
            </w:r>
          </w:p>
        </w:tc>
        <w:tc>
          <w:tcPr>
            <w:tcW w:w="7002" w:type="dxa"/>
            <w:shd w:val="clear" w:color="auto" w:fill="auto"/>
            <w:vAlign w:val="bottom"/>
          </w:tcPr>
          <w:p w14:paraId="42F6D76A"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Transformer substation</w:t>
            </w:r>
          </w:p>
        </w:tc>
      </w:tr>
      <w:tr w:rsidR="008A5057" w:rsidRPr="00BD295E" w14:paraId="4B343452" w14:textId="77777777" w:rsidTr="00D13EB6">
        <w:trPr>
          <w:trHeight w:val="20"/>
          <w:jc w:val="center"/>
        </w:trPr>
        <w:tc>
          <w:tcPr>
            <w:tcW w:w="3036" w:type="dxa"/>
            <w:shd w:val="clear" w:color="auto" w:fill="auto"/>
            <w:vAlign w:val="center"/>
          </w:tcPr>
          <w:p w14:paraId="6FFC9A05" w14:textId="77777777" w:rsidR="00EC4BC4" w:rsidRPr="00BD295E" w:rsidRDefault="008A5057"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 xml:space="preserve">TGO </w:t>
            </w:r>
          </w:p>
        </w:tc>
        <w:tc>
          <w:tcPr>
            <w:tcW w:w="7002" w:type="dxa"/>
            <w:shd w:val="clear" w:color="auto" w:fill="auto"/>
            <w:vAlign w:val="bottom"/>
          </w:tcPr>
          <w:p w14:paraId="48ADB637" w14:textId="77777777" w:rsidR="00EC4BC4"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Territorial grid organization</w:t>
            </w:r>
          </w:p>
        </w:tc>
      </w:tr>
      <w:tr w:rsidR="008A5057" w:rsidRPr="00BD295E" w14:paraId="0A5E14A6" w14:textId="77777777" w:rsidTr="00D13EB6">
        <w:trPr>
          <w:trHeight w:val="20"/>
          <w:jc w:val="center"/>
        </w:trPr>
        <w:tc>
          <w:tcPr>
            <w:tcW w:w="3036" w:type="dxa"/>
            <w:shd w:val="clear" w:color="auto" w:fill="auto"/>
            <w:vAlign w:val="center"/>
          </w:tcPr>
          <w:p w14:paraId="2CC80D8D"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RPA STD</w:t>
            </w:r>
          </w:p>
        </w:tc>
        <w:tc>
          <w:tcPr>
            <w:tcW w:w="7002" w:type="dxa"/>
            <w:shd w:val="clear" w:color="auto" w:fill="auto"/>
            <w:vAlign w:val="bottom"/>
          </w:tcPr>
          <w:p w14:paraId="11BC92F2"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Relay protection and automation signal transmission device</w:t>
            </w:r>
            <w:r w:rsidR="008A5057" w:rsidRPr="00BD295E">
              <w:rPr>
                <w:rFonts w:ascii="Arial" w:hAnsi="Arial" w:cs="Arial"/>
                <w:sz w:val="18"/>
                <w:szCs w:val="18"/>
                <w:lang w:val="en-US"/>
              </w:rPr>
              <w:t xml:space="preserve"> </w:t>
            </w:r>
          </w:p>
        </w:tc>
      </w:tr>
      <w:tr w:rsidR="008A5057" w:rsidRPr="00BD295E" w14:paraId="2021E6AB" w14:textId="77777777" w:rsidTr="00D13EB6">
        <w:trPr>
          <w:trHeight w:val="20"/>
          <w:jc w:val="center"/>
        </w:trPr>
        <w:tc>
          <w:tcPr>
            <w:tcW w:w="3036" w:type="dxa"/>
            <w:shd w:val="clear" w:color="auto" w:fill="auto"/>
            <w:vAlign w:val="center"/>
          </w:tcPr>
          <w:p w14:paraId="564AE9C3"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FCD</w:t>
            </w:r>
          </w:p>
        </w:tc>
        <w:tc>
          <w:tcPr>
            <w:tcW w:w="7002" w:type="dxa"/>
            <w:shd w:val="clear" w:color="auto" w:fill="auto"/>
            <w:vAlign w:val="bottom"/>
          </w:tcPr>
          <w:p w14:paraId="12F6C64B"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Facility communications device</w:t>
            </w:r>
          </w:p>
        </w:tc>
      </w:tr>
      <w:tr w:rsidR="008A5057" w:rsidRPr="00BD295E" w14:paraId="08EB52B6" w14:textId="77777777" w:rsidTr="00D13EB6">
        <w:trPr>
          <w:trHeight w:val="20"/>
          <w:jc w:val="center"/>
        </w:trPr>
        <w:tc>
          <w:tcPr>
            <w:tcW w:w="3036" w:type="dxa"/>
            <w:shd w:val="clear" w:color="auto" w:fill="auto"/>
            <w:vAlign w:val="center"/>
          </w:tcPr>
          <w:p w14:paraId="4F9AE32B"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FM</w:t>
            </w:r>
          </w:p>
        </w:tc>
        <w:tc>
          <w:tcPr>
            <w:tcW w:w="7002" w:type="dxa"/>
            <w:shd w:val="clear" w:color="auto" w:fill="auto"/>
            <w:vAlign w:val="bottom"/>
          </w:tcPr>
          <w:p w14:paraId="0409D98B"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Functional module</w:t>
            </w:r>
          </w:p>
        </w:tc>
      </w:tr>
      <w:tr w:rsidR="008A5057" w:rsidRPr="00BD295E" w14:paraId="6CCCA8AF" w14:textId="77777777" w:rsidTr="00D13EB6">
        <w:trPr>
          <w:trHeight w:val="20"/>
          <w:jc w:val="center"/>
        </w:trPr>
        <w:tc>
          <w:tcPr>
            <w:tcW w:w="3036" w:type="dxa"/>
            <w:shd w:val="clear" w:color="auto" w:fill="auto"/>
            <w:vAlign w:val="center"/>
          </w:tcPr>
          <w:p w14:paraId="46D0BFD9"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CPU</w:t>
            </w:r>
          </w:p>
        </w:tc>
        <w:tc>
          <w:tcPr>
            <w:tcW w:w="7002" w:type="dxa"/>
            <w:shd w:val="clear" w:color="auto" w:fill="auto"/>
            <w:vAlign w:val="bottom"/>
          </w:tcPr>
          <w:p w14:paraId="515CB65B"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Central processing unit</w:t>
            </w:r>
            <w:r w:rsidR="008A5057" w:rsidRPr="00BD295E">
              <w:rPr>
                <w:rFonts w:ascii="Arial" w:hAnsi="Arial" w:cs="Arial"/>
                <w:sz w:val="18"/>
                <w:szCs w:val="18"/>
                <w:lang w:val="en-US"/>
              </w:rPr>
              <w:t xml:space="preserve"> </w:t>
            </w:r>
          </w:p>
        </w:tc>
      </w:tr>
      <w:tr w:rsidR="008A5057" w:rsidRPr="00BD295E" w14:paraId="21A15726" w14:textId="77777777" w:rsidTr="00D13EB6">
        <w:trPr>
          <w:trHeight w:val="20"/>
          <w:jc w:val="center"/>
        </w:trPr>
        <w:tc>
          <w:tcPr>
            <w:tcW w:w="3036" w:type="dxa"/>
            <w:shd w:val="clear" w:color="auto" w:fill="auto"/>
            <w:vAlign w:val="center"/>
          </w:tcPr>
          <w:p w14:paraId="0270236F" w14:textId="77777777" w:rsidR="00EC4BC4"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EDIS</w:t>
            </w:r>
          </w:p>
        </w:tc>
        <w:tc>
          <w:tcPr>
            <w:tcW w:w="7002" w:type="dxa"/>
            <w:shd w:val="clear" w:color="auto" w:fill="auto"/>
            <w:vAlign w:val="bottom"/>
          </w:tcPr>
          <w:p w14:paraId="230C157E" w14:textId="77777777" w:rsidR="00EC4BC4" w:rsidRPr="00BD295E" w:rsidRDefault="0095178A" w:rsidP="00EC4BC4">
            <w:pPr>
              <w:spacing w:after="160" w:line="259" w:lineRule="auto"/>
              <w:rPr>
                <w:rFonts w:ascii="Arial" w:hAnsi="Arial" w:cs="Arial"/>
                <w:sz w:val="18"/>
                <w:szCs w:val="18"/>
                <w:lang w:val="en-US"/>
              </w:rPr>
            </w:pPr>
            <w:r w:rsidRPr="00BD295E">
              <w:rPr>
                <w:rFonts w:ascii="Arial" w:hAnsi="Arial" w:cs="Arial"/>
                <w:bCs/>
                <w:sz w:val="18"/>
                <w:szCs w:val="18"/>
                <w:lang w:val="en-US"/>
              </w:rPr>
              <w:t xml:space="preserve">Expert </w:t>
            </w:r>
            <w:r w:rsidR="00EC0D9D" w:rsidRPr="00BD295E">
              <w:rPr>
                <w:rFonts w:ascii="Arial" w:hAnsi="Arial" w:cs="Arial"/>
                <w:bCs/>
                <w:sz w:val="18"/>
                <w:szCs w:val="18"/>
                <w:lang w:val="en-US"/>
              </w:rPr>
              <w:t>diagnostics</w:t>
            </w:r>
            <w:r w:rsidRPr="00BD295E">
              <w:rPr>
                <w:rFonts w:ascii="Arial" w:hAnsi="Arial" w:cs="Arial"/>
                <w:bCs/>
                <w:sz w:val="18"/>
                <w:szCs w:val="18"/>
                <w:lang w:val="en-US"/>
              </w:rPr>
              <w:t xml:space="preserve"> and information system</w:t>
            </w:r>
            <w:r w:rsidR="008A5057" w:rsidRPr="00BD295E">
              <w:rPr>
                <w:rFonts w:ascii="Arial" w:hAnsi="Arial" w:cs="Arial"/>
                <w:sz w:val="18"/>
                <w:szCs w:val="18"/>
                <w:lang w:val="en-US"/>
              </w:rPr>
              <w:t xml:space="preserve"> </w:t>
            </w:r>
          </w:p>
        </w:tc>
      </w:tr>
      <w:tr w:rsidR="008A5057" w:rsidRPr="00BD295E" w14:paraId="0DC3D04D" w14:textId="77777777" w:rsidTr="00D13EB6">
        <w:trPr>
          <w:trHeight w:val="20"/>
          <w:jc w:val="center"/>
        </w:trPr>
        <w:tc>
          <w:tcPr>
            <w:tcW w:w="3036" w:type="dxa"/>
            <w:shd w:val="clear" w:color="auto" w:fill="auto"/>
          </w:tcPr>
          <w:p w14:paraId="45990527" w14:textId="77777777" w:rsidR="00D13EB6" w:rsidRPr="00BD295E" w:rsidRDefault="008A5057" w:rsidP="00EC4BC4">
            <w:pPr>
              <w:spacing w:after="160" w:line="259" w:lineRule="auto"/>
              <w:rPr>
                <w:rFonts w:ascii="Arial" w:hAnsi="Arial" w:cs="Arial"/>
                <w:bCs/>
                <w:sz w:val="18"/>
                <w:szCs w:val="18"/>
                <w:lang w:val="en-US"/>
              </w:rPr>
            </w:pPr>
            <w:r w:rsidRPr="00BD295E">
              <w:rPr>
                <w:rFonts w:ascii="Arial" w:hAnsi="Arial" w:cs="Arial"/>
                <w:sz w:val="18"/>
                <w:szCs w:val="18"/>
                <w:lang w:val="en-US"/>
              </w:rPr>
              <w:t>ASV</w:t>
            </w:r>
          </w:p>
        </w:tc>
        <w:tc>
          <w:tcPr>
            <w:tcW w:w="7002" w:type="dxa"/>
            <w:shd w:val="clear" w:color="auto" w:fill="auto"/>
          </w:tcPr>
          <w:p w14:paraId="1A67736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State Corporation </w:t>
            </w:r>
            <w:r w:rsidRPr="00BD295E">
              <w:rPr>
                <w:rFonts w:ascii="Arial" w:hAnsi="Arial" w:cs="Arial"/>
                <w:i/>
                <w:iCs/>
                <w:sz w:val="18"/>
                <w:szCs w:val="18"/>
                <w:lang w:val="en-US"/>
              </w:rPr>
              <w:t>Deposit Insurance Agency</w:t>
            </w:r>
          </w:p>
        </w:tc>
      </w:tr>
      <w:tr w:rsidR="008A5057" w:rsidRPr="00BD295E" w14:paraId="031D1495" w14:textId="77777777" w:rsidTr="00D13EB6">
        <w:trPr>
          <w:trHeight w:val="20"/>
          <w:jc w:val="center"/>
        </w:trPr>
        <w:tc>
          <w:tcPr>
            <w:tcW w:w="3036" w:type="dxa"/>
            <w:shd w:val="clear" w:color="auto" w:fill="auto"/>
          </w:tcPr>
          <w:p w14:paraId="2C1ADA30" w14:textId="77777777" w:rsidR="00D13EB6" w:rsidRPr="00BD295E" w:rsidRDefault="0095178A" w:rsidP="00EC4BC4">
            <w:pPr>
              <w:spacing w:after="160" w:line="259" w:lineRule="auto"/>
              <w:rPr>
                <w:rFonts w:ascii="Arial" w:hAnsi="Arial" w:cs="Arial"/>
                <w:bCs/>
                <w:sz w:val="18"/>
                <w:szCs w:val="18"/>
                <w:lang w:val="en-US"/>
              </w:rPr>
            </w:pPr>
            <w:r w:rsidRPr="00BD295E">
              <w:rPr>
                <w:rFonts w:ascii="Arial" w:hAnsi="Arial" w:cs="Arial"/>
                <w:bCs/>
                <w:sz w:val="18"/>
                <w:szCs w:val="18"/>
                <w:lang w:val="en-US"/>
              </w:rPr>
              <w:t>TSA</w:t>
            </w:r>
          </w:p>
        </w:tc>
        <w:tc>
          <w:tcPr>
            <w:tcW w:w="7002" w:type="dxa"/>
            <w:shd w:val="clear" w:color="auto" w:fill="auto"/>
          </w:tcPr>
          <w:p w14:paraId="1D313077" w14:textId="77777777" w:rsidR="00D13EB6"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Trading System Administrator of Wholesale Electricity Market</w:t>
            </w:r>
          </w:p>
        </w:tc>
      </w:tr>
      <w:tr w:rsidR="008A5057" w:rsidRPr="00BD295E" w14:paraId="4C1F2191" w14:textId="77777777" w:rsidTr="00D13EB6">
        <w:trPr>
          <w:trHeight w:val="20"/>
          <w:jc w:val="center"/>
        </w:trPr>
        <w:tc>
          <w:tcPr>
            <w:tcW w:w="3036" w:type="dxa"/>
            <w:shd w:val="clear" w:color="auto" w:fill="auto"/>
          </w:tcPr>
          <w:p w14:paraId="0DAB5952"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Gross domestic product (GDP)</w:t>
            </w:r>
          </w:p>
        </w:tc>
        <w:tc>
          <w:tcPr>
            <w:tcW w:w="7002" w:type="dxa"/>
            <w:shd w:val="clear" w:color="auto" w:fill="auto"/>
          </w:tcPr>
          <w:p w14:paraId="018E5352"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An aggregate indicator of a country’s economic performance. It is the sum of added value of economic activities at the production stage in basic prices and net taxes on products, and at the use stage, the value of goods and services intended for final consumption, accumulation, and exports. GDP is calculated in the current basic and market prices as well as in constant prices</w:t>
            </w:r>
          </w:p>
        </w:tc>
      </w:tr>
      <w:tr w:rsidR="008A5057" w:rsidRPr="00BD295E" w14:paraId="462695D7" w14:textId="77777777" w:rsidTr="00D13EB6">
        <w:trPr>
          <w:trHeight w:val="20"/>
          <w:jc w:val="center"/>
        </w:trPr>
        <w:tc>
          <w:tcPr>
            <w:tcW w:w="3036" w:type="dxa"/>
            <w:shd w:val="clear" w:color="auto" w:fill="auto"/>
          </w:tcPr>
          <w:p w14:paraId="61579B0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Gross regional product (GRP)</w:t>
            </w:r>
          </w:p>
        </w:tc>
        <w:tc>
          <w:tcPr>
            <w:tcW w:w="7002" w:type="dxa"/>
            <w:shd w:val="clear" w:color="auto" w:fill="auto"/>
          </w:tcPr>
          <w:p w14:paraId="78E361A9"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A basic indicator of socio-economic development of constituent entities of the Russian Federation, which describe their performance in producing goods and services for a certain period. GRP is the sum of gross added value (GVA) produced by all residents of the regional economy plus the value of net taxes on products</w:t>
            </w:r>
          </w:p>
        </w:tc>
      </w:tr>
      <w:tr w:rsidR="008A5057" w:rsidRPr="00BD295E" w14:paraId="0524EEAD" w14:textId="77777777" w:rsidTr="00D13EB6">
        <w:trPr>
          <w:jc w:val="center"/>
        </w:trPr>
        <w:tc>
          <w:tcPr>
            <w:tcW w:w="3036" w:type="dxa"/>
            <w:shd w:val="clear" w:color="auto" w:fill="auto"/>
          </w:tcPr>
          <w:p w14:paraId="514F464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Foreign trade turnover</w:t>
            </w:r>
          </w:p>
        </w:tc>
        <w:tc>
          <w:tcPr>
            <w:tcW w:w="7002" w:type="dxa"/>
            <w:shd w:val="clear" w:color="auto" w:fill="auto"/>
          </w:tcPr>
          <w:p w14:paraId="6947DE3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The sum of exports and exports</w:t>
            </w:r>
          </w:p>
        </w:tc>
      </w:tr>
      <w:tr w:rsidR="008A5057" w:rsidRPr="00BD295E" w14:paraId="56A344FB" w14:textId="77777777" w:rsidTr="00D13EB6">
        <w:trPr>
          <w:jc w:val="center"/>
        </w:trPr>
        <w:tc>
          <w:tcPr>
            <w:tcW w:w="3036" w:type="dxa"/>
            <w:shd w:val="clear" w:color="auto" w:fill="auto"/>
          </w:tcPr>
          <w:p w14:paraId="74E51EA3" w14:textId="77777777" w:rsidR="00D13EB6"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ACPP</w:t>
            </w:r>
          </w:p>
        </w:tc>
        <w:tc>
          <w:tcPr>
            <w:tcW w:w="7002" w:type="dxa"/>
            <w:shd w:val="clear" w:color="auto" w:fill="auto"/>
          </w:tcPr>
          <w:p w14:paraId="14D55179" w14:textId="77777777" w:rsidR="00D13EB6"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Annual comprehensive procurement program</w:t>
            </w:r>
          </w:p>
        </w:tc>
      </w:tr>
      <w:tr w:rsidR="008A5057" w:rsidRPr="00BD295E" w14:paraId="78E3E6A9" w14:textId="77777777" w:rsidTr="00D13EB6">
        <w:trPr>
          <w:jc w:val="center"/>
        </w:trPr>
        <w:tc>
          <w:tcPr>
            <w:tcW w:w="3036" w:type="dxa"/>
            <w:shd w:val="clear" w:color="auto" w:fill="auto"/>
          </w:tcPr>
          <w:p w14:paraId="509A2999" w14:textId="77777777" w:rsidR="00D13EB6"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SDCs</w:t>
            </w:r>
          </w:p>
        </w:tc>
        <w:tc>
          <w:tcPr>
            <w:tcW w:w="7002" w:type="dxa"/>
            <w:shd w:val="clear" w:color="auto" w:fill="auto"/>
          </w:tcPr>
          <w:p w14:paraId="453AB94F" w14:textId="77777777" w:rsidR="00D13EB6" w:rsidRPr="00BD295E" w:rsidRDefault="006515AB" w:rsidP="00EC4BC4">
            <w:pPr>
              <w:spacing w:after="160" w:line="259" w:lineRule="auto"/>
              <w:rPr>
                <w:rFonts w:ascii="Arial" w:hAnsi="Arial" w:cs="Arial"/>
                <w:sz w:val="18"/>
                <w:szCs w:val="18"/>
                <w:lang w:val="en-US"/>
              </w:rPr>
            </w:pPr>
            <w:r w:rsidRPr="00BD295E">
              <w:rPr>
                <w:rFonts w:ascii="Arial" w:hAnsi="Arial" w:cs="Arial"/>
                <w:sz w:val="18"/>
                <w:szCs w:val="18"/>
                <w:lang w:val="en-US"/>
              </w:rPr>
              <w:t>Subsidiaries and affiliates</w:t>
            </w:r>
          </w:p>
        </w:tc>
      </w:tr>
      <w:tr w:rsidR="008A5057" w:rsidRPr="00BD295E" w14:paraId="182E1A36" w14:textId="77777777" w:rsidTr="00D13EB6">
        <w:trPr>
          <w:jc w:val="center"/>
        </w:trPr>
        <w:tc>
          <w:tcPr>
            <w:tcW w:w="3036" w:type="dxa"/>
            <w:shd w:val="clear" w:color="auto" w:fill="auto"/>
          </w:tcPr>
          <w:p w14:paraId="5A14CED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Cash income</w:t>
            </w:r>
          </w:p>
        </w:tc>
        <w:tc>
          <w:tcPr>
            <w:tcW w:w="7002" w:type="dxa"/>
            <w:shd w:val="clear" w:color="auto" w:fill="auto"/>
          </w:tcPr>
          <w:p w14:paraId="6B50DCA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Salaries of employees, income of entrepreneurs, pensions, allowances, scholarships, and other social payments, proceeds from property such as interest on deposits, securities, dividends, and other income.</w:t>
            </w:r>
          </w:p>
        </w:tc>
      </w:tr>
      <w:tr w:rsidR="008A5057" w:rsidRPr="00BD295E" w14:paraId="1A1EAC69" w14:textId="77777777" w:rsidTr="00D13EB6">
        <w:trPr>
          <w:jc w:val="center"/>
        </w:trPr>
        <w:tc>
          <w:tcPr>
            <w:tcW w:w="3036" w:type="dxa"/>
            <w:shd w:val="clear" w:color="auto" w:fill="auto"/>
          </w:tcPr>
          <w:p w14:paraId="3BB042C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Real cash income</w:t>
            </w:r>
          </w:p>
        </w:tc>
        <w:tc>
          <w:tcPr>
            <w:tcW w:w="7002" w:type="dxa"/>
            <w:shd w:val="clear" w:color="auto" w:fill="auto"/>
          </w:tcPr>
          <w:p w14:paraId="73FF098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Nominal cash income adjusted for the consumer price index</w:t>
            </w:r>
          </w:p>
        </w:tc>
      </w:tr>
      <w:tr w:rsidR="008A5057" w:rsidRPr="00BD295E" w14:paraId="17546B02" w14:textId="77777777" w:rsidTr="00D13EB6">
        <w:trPr>
          <w:jc w:val="center"/>
        </w:trPr>
        <w:tc>
          <w:tcPr>
            <w:tcW w:w="3036" w:type="dxa"/>
            <w:shd w:val="clear" w:color="auto" w:fill="auto"/>
          </w:tcPr>
          <w:p w14:paraId="25C8FC8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Per capita cash income</w:t>
            </w:r>
          </w:p>
        </w:tc>
        <w:tc>
          <w:tcPr>
            <w:tcW w:w="7002" w:type="dxa"/>
            <w:shd w:val="clear" w:color="auto" w:fill="auto"/>
          </w:tcPr>
          <w:p w14:paraId="2A8DA735"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Calculated by dividing the total cash income by the number of permanent residents</w:t>
            </w:r>
          </w:p>
        </w:tc>
      </w:tr>
      <w:tr w:rsidR="008A5057" w:rsidRPr="00BD295E" w14:paraId="54BFEC0F" w14:textId="77777777" w:rsidTr="00D13EB6">
        <w:trPr>
          <w:jc w:val="center"/>
        </w:trPr>
        <w:tc>
          <w:tcPr>
            <w:tcW w:w="3036" w:type="dxa"/>
            <w:shd w:val="clear" w:color="auto" w:fill="auto"/>
          </w:tcPr>
          <w:p w14:paraId="1C99DB89"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DP</w:t>
            </w:r>
          </w:p>
        </w:tc>
        <w:tc>
          <w:tcPr>
            <w:tcW w:w="7002" w:type="dxa"/>
            <w:shd w:val="clear" w:color="auto" w:fill="auto"/>
          </w:tcPr>
          <w:p w14:paraId="5587C5E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Dispatching point</w:t>
            </w:r>
          </w:p>
        </w:tc>
      </w:tr>
      <w:tr w:rsidR="008A5057" w:rsidRPr="00BD295E" w14:paraId="657EF9BA" w14:textId="77777777" w:rsidTr="00D13EB6">
        <w:trPr>
          <w:jc w:val="center"/>
        </w:trPr>
        <w:tc>
          <w:tcPr>
            <w:tcW w:w="3036" w:type="dxa"/>
            <w:shd w:val="clear" w:color="auto" w:fill="auto"/>
          </w:tcPr>
          <w:p w14:paraId="61CFDDA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CF</w:t>
            </w:r>
          </w:p>
        </w:tc>
        <w:tc>
          <w:tcPr>
            <w:tcW w:w="7002" w:type="dxa"/>
            <w:shd w:val="clear" w:color="auto" w:fill="auto"/>
          </w:tcPr>
          <w:p w14:paraId="7E783B11"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Cash flow</w:t>
            </w:r>
          </w:p>
        </w:tc>
      </w:tr>
      <w:tr w:rsidR="008A5057" w:rsidRPr="00BD295E" w14:paraId="68B671EC" w14:textId="77777777" w:rsidTr="00D13EB6">
        <w:trPr>
          <w:jc w:val="center"/>
        </w:trPr>
        <w:tc>
          <w:tcPr>
            <w:tcW w:w="3036" w:type="dxa"/>
            <w:shd w:val="clear" w:color="auto" w:fill="auto"/>
          </w:tcPr>
          <w:p w14:paraId="533F4CD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EU</w:t>
            </w:r>
          </w:p>
        </w:tc>
        <w:tc>
          <w:tcPr>
            <w:tcW w:w="7002" w:type="dxa"/>
            <w:shd w:val="clear" w:color="auto" w:fill="auto"/>
          </w:tcPr>
          <w:p w14:paraId="3E734F4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European Union</w:t>
            </w:r>
          </w:p>
        </w:tc>
      </w:tr>
      <w:tr w:rsidR="008A5057" w:rsidRPr="00BD295E" w14:paraId="5B7B243A" w14:textId="77777777" w:rsidTr="00D13EB6">
        <w:trPr>
          <w:jc w:val="center"/>
        </w:trPr>
        <w:tc>
          <w:tcPr>
            <w:tcW w:w="3036" w:type="dxa"/>
            <w:shd w:val="clear" w:color="auto" w:fill="auto"/>
          </w:tcPr>
          <w:p w14:paraId="3A3D5DF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UES</w:t>
            </w:r>
          </w:p>
        </w:tc>
        <w:tc>
          <w:tcPr>
            <w:tcW w:w="7002" w:type="dxa"/>
            <w:shd w:val="clear" w:color="auto" w:fill="auto"/>
          </w:tcPr>
          <w:p w14:paraId="5F4B013B"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The Unified Energy System</w:t>
            </w:r>
          </w:p>
        </w:tc>
      </w:tr>
      <w:tr w:rsidR="008A5057" w:rsidRPr="00BD295E" w14:paraId="14C4FE61" w14:textId="77777777" w:rsidTr="00D13EB6">
        <w:trPr>
          <w:jc w:val="center"/>
        </w:trPr>
        <w:tc>
          <w:tcPr>
            <w:tcW w:w="3036" w:type="dxa"/>
            <w:shd w:val="clear" w:color="auto" w:fill="auto"/>
          </w:tcPr>
          <w:p w14:paraId="1E299F3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Imports</w:t>
            </w:r>
          </w:p>
        </w:tc>
        <w:tc>
          <w:tcPr>
            <w:tcW w:w="7002" w:type="dxa"/>
            <w:shd w:val="clear" w:color="auto" w:fill="auto"/>
          </w:tcPr>
          <w:p w14:paraId="3DCDA1C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Import of goods to the Russian Federation without an obligation to take them back. Imports includes goods imported for consumption in the national economy and goods imported under the re-import regime. Re-import goods are goods previously exported from the Russian Federation, and then imported into the Russian Federation without paying customs duties and taxes and without applying economic prohibitions and restrictions to the goods</w:t>
            </w:r>
          </w:p>
        </w:tc>
      </w:tr>
      <w:tr w:rsidR="008A5057" w:rsidRPr="00BD295E" w14:paraId="278E3A57" w14:textId="77777777" w:rsidTr="00D13EB6">
        <w:trPr>
          <w:jc w:val="center"/>
        </w:trPr>
        <w:tc>
          <w:tcPr>
            <w:tcW w:w="3036" w:type="dxa"/>
            <w:shd w:val="clear" w:color="auto" w:fill="auto"/>
          </w:tcPr>
          <w:p w14:paraId="645F9EF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INN</w:t>
            </w:r>
          </w:p>
        </w:tc>
        <w:tc>
          <w:tcPr>
            <w:tcW w:w="7002" w:type="dxa"/>
            <w:shd w:val="clear" w:color="auto" w:fill="auto"/>
          </w:tcPr>
          <w:p w14:paraId="4362276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Taxpayer identification number</w:t>
            </w:r>
          </w:p>
        </w:tc>
      </w:tr>
      <w:tr w:rsidR="008A5057" w:rsidRPr="00BD295E" w14:paraId="5BC0E426" w14:textId="77777777" w:rsidTr="00D13EB6">
        <w:trPr>
          <w:jc w:val="center"/>
        </w:trPr>
        <w:tc>
          <w:tcPr>
            <w:tcW w:w="3036" w:type="dxa"/>
            <w:shd w:val="clear" w:color="auto" w:fill="auto"/>
          </w:tcPr>
          <w:p w14:paraId="1660DD9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Consumer price index (CPI)</w:t>
            </w:r>
          </w:p>
        </w:tc>
        <w:tc>
          <w:tcPr>
            <w:tcW w:w="7002" w:type="dxa"/>
            <w:shd w:val="clear" w:color="auto" w:fill="auto"/>
          </w:tcPr>
          <w:p w14:paraId="1D22D137"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The indicator that describes the change over time in the overall level of prices and tariffs for goods and services purchased by the population for non-productive consumption. It measures the ratio of the current value of a fixed set of goods and services to its value in the previous period.</w:t>
            </w:r>
          </w:p>
        </w:tc>
      </w:tr>
      <w:tr w:rsidR="008A5057" w:rsidRPr="00BD295E" w14:paraId="1FD3CB4C" w14:textId="77777777" w:rsidTr="00D13EB6">
        <w:trPr>
          <w:jc w:val="center"/>
        </w:trPr>
        <w:tc>
          <w:tcPr>
            <w:tcW w:w="3036" w:type="dxa"/>
            <w:shd w:val="clear" w:color="auto" w:fill="auto"/>
          </w:tcPr>
          <w:p w14:paraId="11FD765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Industrial production index</w:t>
            </w:r>
          </w:p>
        </w:tc>
        <w:tc>
          <w:tcPr>
            <w:tcW w:w="7002" w:type="dxa"/>
            <w:shd w:val="clear" w:color="auto" w:fill="auto"/>
          </w:tcPr>
          <w:p w14:paraId="43B2076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A relative indicator that reflects the change in the scale of production in the periods under comparison. There are an individual industrial production index and a composite industrial production index. Individual indices reflect the change in the output of one product and are calculated as a ratio of the amounts of this product in physical terms in the periods under comparison. The composite industrial production index reflects the aggregate changes in the production of all types of products. The index reflects the change in the value created by industrial production as a result of changes in the physical amount of products only. To calculate the composite industrial production index, individual indices for specific types of industrial products are aggregated stage-by-stage into indices for economic activity types and for industrial production as a whole</w:t>
            </w:r>
          </w:p>
        </w:tc>
      </w:tr>
      <w:tr w:rsidR="008A5057" w:rsidRPr="00BD295E" w14:paraId="2F59DD69" w14:textId="77777777" w:rsidTr="00D13EB6">
        <w:trPr>
          <w:jc w:val="center"/>
        </w:trPr>
        <w:tc>
          <w:tcPr>
            <w:tcW w:w="3036" w:type="dxa"/>
            <w:shd w:val="clear" w:color="auto" w:fill="auto"/>
          </w:tcPr>
          <w:p w14:paraId="1B2AEF43"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Industrial goods producer price indices</w:t>
            </w:r>
          </w:p>
        </w:tc>
        <w:tc>
          <w:tcPr>
            <w:tcW w:w="7002" w:type="dxa"/>
            <w:shd w:val="clear" w:color="auto" w:fill="auto"/>
          </w:tcPr>
          <w:p w14:paraId="5929B03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Industrial goods producer price indices are calculated based on registered prices for representative goods at basic (anchor) enterprises. It takes into account the actual selling prices of manufacturers for the current period (without indirect commodity taxes such as VAT, excises, etc.) for goods intended for sale in the domestic market</w:t>
            </w:r>
          </w:p>
        </w:tc>
      </w:tr>
      <w:tr w:rsidR="008A5057" w:rsidRPr="00BD295E" w14:paraId="18681FF0" w14:textId="77777777" w:rsidTr="00D13EB6">
        <w:trPr>
          <w:jc w:val="center"/>
        </w:trPr>
        <w:tc>
          <w:tcPr>
            <w:tcW w:w="3036" w:type="dxa"/>
            <w:shd w:val="clear" w:color="auto" w:fill="auto"/>
          </w:tcPr>
          <w:p w14:paraId="258FDE29"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Foreign investments</w:t>
            </w:r>
          </w:p>
        </w:tc>
        <w:tc>
          <w:tcPr>
            <w:tcW w:w="7002" w:type="dxa"/>
            <w:shd w:val="clear" w:color="auto" w:fill="auto"/>
          </w:tcPr>
          <w:p w14:paraId="1B4A9CA5"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Investments of capital by foreign investors and by foreign branches of legal entities registered by Russian companies abroad in business and other entities in Russia to generate income. Investments are divided into direct, portfolio, and others. </w:t>
            </w:r>
          </w:p>
        </w:tc>
      </w:tr>
      <w:tr w:rsidR="008A5057" w:rsidRPr="00BD295E" w14:paraId="3A319455" w14:textId="77777777" w:rsidTr="00D13EB6">
        <w:trPr>
          <w:jc w:val="center"/>
        </w:trPr>
        <w:tc>
          <w:tcPr>
            <w:tcW w:w="3036" w:type="dxa"/>
            <w:shd w:val="clear" w:color="auto" w:fill="auto"/>
          </w:tcPr>
          <w:p w14:paraId="6D9E044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Inflation</w:t>
            </w:r>
          </w:p>
        </w:tc>
        <w:tc>
          <w:tcPr>
            <w:tcW w:w="7002" w:type="dxa"/>
            <w:shd w:val="clear" w:color="auto" w:fill="auto"/>
          </w:tcPr>
          <w:p w14:paraId="62177D5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A process characterized by an increase in the overall price level in an economy or, equivalently, a decrease in the purchasing power of money</w:t>
            </w:r>
          </w:p>
        </w:tc>
      </w:tr>
      <w:tr w:rsidR="008A5057" w:rsidRPr="00BD295E" w14:paraId="6F48C121" w14:textId="77777777" w:rsidTr="00D13EB6">
        <w:trPr>
          <w:jc w:val="center"/>
        </w:trPr>
        <w:tc>
          <w:tcPr>
            <w:tcW w:w="3036" w:type="dxa"/>
            <w:shd w:val="clear" w:color="auto" w:fill="auto"/>
          </w:tcPr>
          <w:p w14:paraId="1B144D29"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CL</w:t>
            </w:r>
          </w:p>
        </w:tc>
        <w:tc>
          <w:tcPr>
            <w:tcW w:w="7002" w:type="dxa"/>
            <w:shd w:val="clear" w:color="auto" w:fill="auto"/>
          </w:tcPr>
          <w:p w14:paraId="74E0CDEC"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Cable line</w:t>
            </w:r>
          </w:p>
        </w:tc>
      </w:tr>
      <w:tr w:rsidR="008A5057" w:rsidRPr="00BD295E" w14:paraId="1298A328" w14:textId="77777777" w:rsidTr="00D13EB6">
        <w:trPr>
          <w:jc w:val="center"/>
        </w:trPr>
        <w:tc>
          <w:tcPr>
            <w:tcW w:w="3036" w:type="dxa"/>
            <w:shd w:val="clear" w:color="auto" w:fill="auto"/>
          </w:tcPr>
          <w:p w14:paraId="55260C7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FAS</w:t>
            </w:r>
          </w:p>
        </w:tc>
        <w:tc>
          <w:tcPr>
            <w:tcW w:w="7002" w:type="dxa"/>
            <w:shd w:val="clear" w:color="auto" w:fill="auto"/>
          </w:tcPr>
          <w:p w14:paraId="2FBA213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Factory-assembled switchgear</w:t>
            </w:r>
          </w:p>
        </w:tc>
      </w:tr>
      <w:tr w:rsidR="008A5057" w:rsidRPr="00BD295E" w14:paraId="414D701B" w14:textId="77777777" w:rsidTr="00D13EB6">
        <w:trPr>
          <w:jc w:val="center"/>
        </w:trPr>
        <w:tc>
          <w:tcPr>
            <w:tcW w:w="3036" w:type="dxa"/>
            <w:shd w:val="clear" w:color="auto" w:fill="auto"/>
          </w:tcPr>
          <w:p w14:paraId="04B7F227"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SF6 FAS</w:t>
            </w:r>
          </w:p>
        </w:tc>
        <w:tc>
          <w:tcPr>
            <w:tcW w:w="7002" w:type="dxa"/>
            <w:shd w:val="clear" w:color="auto" w:fill="auto"/>
          </w:tcPr>
          <w:p w14:paraId="1FD1739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SF6-insulated factory-assembled switchgear</w:t>
            </w:r>
          </w:p>
        </w:tc>
      </w:tr>
      <w:tr w:rsidR="008A5057" w:rsidRPr="00BD295E" w14:paraId="2CD40672" w14:textId="77777777" w:rsidTr="00D13EB6">
        <w:trPr>
          <w:jc w:val="center"/>
        </w:trPr>
        <w:tc>
          <w:tcPr>
            <w:tcW w:w="3036" w:type="dxa"/>
            <w:shd w:val="clear" w:color="auto" w:fill="auto"/>
          </w:tcPr>
          <w:p w14:paraId="52D29160"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FMTS</w:t>
            </w:r>
          </w:p>
        </w:tc>
        <w:tc>
          <w:tcPr>
            <w:tcW w:w="7002" w:type="dxa"/>
            <w:shd w:val="clear" w:color="auto" w:fill="auto"/>
          </w:tcPr>
          <w:p w14:paraId="731FFA5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Factory-assembled modular transformer substation</w:t>
            </w:r>
          </w:p>
        </w:tc>
      </w:tr>
      <w:tr w:rsidR="008A5057" w:rsidRPr="00BD295E" w14:paraId="6E458204" w14:textId="77777777" w:rsidTr="00D13EB6">
        <w:trPr>
          <w:jc w:val="center"/>
        </w:trPr>
        <w:tc>
          <w:tcPr>
            <w:tcW w:w="3036" w:type="dxa"/>
            <w:shd w:val="clear" w:color="auto" w:fill="auto"/>
          </w:tcPr>
          <w:p w14:paraId="5D07FC4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CPMC of Saint Petersburg</w:t>
            </w:r>
          </w:p>
        </w:tc>
        <w:tc>
          <w:tcPr>
            <w:tcW w:w="7002" w:type="dxa"/>
            <w:shd w:val="clear" w:color="auto" w:fill="auto"/>
          </w:tcPr>
          <w:p w14:paraId="16665131"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City Property Management Committee of Saint Petersburg</w:t>
            </w:r>
          </w:p>
        </w:tc>
      </w:tr>
      <w:tr w:rsidR="008A5057" w:rsidRPr="00BD295E" w14:paraId="66C5C76B" w14:textId="77777777" w:rsidTr="00D13EB6">
        <w:trPr>
          <w:jc w:val="center"/>
        </w:trPr>
        <w:tc>
          <w:tcPr>
            <w:tcW w:w="3036" w:type="dxa"/>
            <w:shd w:val="clear" w:color="auto" w:fill="auto"/>
          </w:tcPr>
          <w:p w14:paraId="7B99BCA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Asset liquidity</w:t>
            </w:r>
          </w:p>
        </w:tc>
        <w:tc>
          <w:tcPr>
            <w:tcW w:w="7002" w:type="dxa"/>
            <w:shd w:val="clear" w:color="auto" w:fill="auto"/>
          </w:tcPr>
          <w:p w14:paraId="53E72D6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The ability of an asset to be converted into cash during the production process; the degree of liquidity is determined by the duration of the turnover period during which the transformation can be achieved</w:t>
            </w:r>
          </w:p>
        </w:tc>
      </w:tr>
      <w:tr w:rsidR="008A5057" w:rsidRPr="00BD295E" w14:paraId="770E5B75" w14:textId="77777777" w:rsidTr="00D13EB6">
        <w:trPr>
          <w:jc w:val="center"/>
        </w:trPr>
        <w:tc>
          <w:tcPr>
            <w:tcW w:w="3036" w:type="dxa"/>
            <w:shd w:val="clear" w:color="auto" w:fill="auto"/>
          </w:tcPr>
          <w:p w14:paraId="4C804F81"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Enterprise liquidity</w:t>
            </w:r>
          </w:p>
        </w:tc>
        <w:tc>
          <w:tcPr>
            <w:tcW w:w="7002" w:type="dxa"/>
            <w:shd w:val="clear" w:color="auto" w:fill="auto"/>
          </w:tcPr>
          <w:p w14:paraId="7176D67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This indicator reflects the ability of an enterprise to monetize its assets (property) quickly and with minimum financial losses</w:t>
            </w:r>
          </w:p>
        </w:tc>
      </w:tr>
      <w:tr w:rsidR="008A5057" w:rsidRPr="00BD295E" w14:paraId="2576AD40" w14:textId="77777777" w:rsidTr="00D13EB6">
        <w:trPr>
          <w:jc w:val="center"/>
        </w:trPr>
        <w:tc>
          <w:tcPr>
            <w:tcW w:w="3036" w:type="dxa"/>
            <w:shd w:val="clear" w:color="auto" w:fill="auto"/>
          </w:tcPr>
          <w:p w14:paraId="7CD79B99"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Accounting liquidity </w:t>
            </w:r>
          </w:p>
        </w:tc>
        <w:tc>
          <w:tcPr>
            <w:tcW w:w="7002" w:type="dxa"/>
            <w:shd w:val="clear" w:color="auto" w:fill="auto"/>
          </w:tcPr>
          <w:p w14:paraId="767945C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Accounting liquidity measures the extent to which liabilities of an enterprise are covered by its assets, which can be monetized within a period equal to the liabilities’ maturity period.</w:t>
            </w:r>
          </w:p>
        </w:tc>
      </w:tr>
      <w:tr w:rsidR="008A5057" w:rsidRPr="00BD295E" w14:paraId="035B7C2C" w14:textId="77777777" w:rsidTr="00D13EB6">
        <w:trPr>
          <w:jc w:val="center"/>
        </w:trPr>
        <w:tc>
          <w:tcPr>
            <w:tcW w:w="3036" w:type="dxa"/>
            <w:shd w:val="clear" w:color="auto" w:fill="auto"/>
          </w:tcPr>
          <w:p w14:paraId="54E12E8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TPPC of the Leningrad Region</w:t>
            </w:r>
          </w:p>
        </w:tc>
        <w:tc>
          <w:tcPr>
            <w:tcW w:w="7002" w:type="dxa"/>
            <w:shd w:val="clear" w:color="auto" w:fill="auto"/>
          </w:tcPr>
          <w:p w14:paraId="5DC2559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The Tariffs and Pricing Policy Committee of the Leningrad Region</w:t>
            </w:r>
          </w:p>
        </w:tc>
      </w:tr>
      <w:tr w:rsidR="008A5057" w:rsidRPr="00BD295E" w14:paraId="03F842BB" w14:textId="77777777" w:rsidTr="00D13EB6">
        <w:trPr>
          <w:jc w:val="center"/>
        </w:trPr>
        <w:tc>
          <w:tcPr>
            <w:tcW w:w="3036" w:type="dxa"/>
            <w:shd w:val="clear" w:color="auto" w:fill="auto"/>
          </w:tcPr>
          <w:p w14:paraId="67B75B6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PL  </w:t>
            </w:r>
          </w:p>
        </w:tc>
        <w:tc>
          <w:tcPr>
            <w:tcW w:w="7002" w:type="dxa"/>
            <w:shd w:val="clear" w:color="auto" w:fill="auto"/>
          </w:tcPr>
          <w:p w14:paraId="003B74B0"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Power line</w:t>
            </w:r>
          </w:p>
        </w:tc>
      </w:tr>
      <w:tr w:rsidR="008A5057" w:rsidRPr="00BD295E" w14:paraId="6DD9CC83" w14:textId="77777777" w:rsidTr="00D13EB6">
        <w:trPr>
          <w:jc w:val="center"/>
        </w:trPr>
        <w:tc>
          <w:tcPr>
            <w:tcW w:w="3036" w:type="dxa"/>
            <w:shd w:val="clear" w:color="auto" w:fill="auto"/>
          </w:tcPr>
          <w:p w14:paraId="6624BBA7"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IMF</w:t>
            </w:r>
          </w:p>
        </w:tc>
        <w:tc>
          <w:tcPr>
            <w:tcW w:w="7002" w:type="dxa"/>
            <w:shd w:val="clear" w:color="auto" w:fill="auto"/>
          </w:tcPr>
          <w:p w14:paraId="2A3FD4F7"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International Monetary Fund</w:t>
            </w:r>
          </w:p>
        </w:tc>
      </w:tr>
      <w:tr w:rsidR="008A5057" w:rsidRPr="00BD295E" w14:paraId="583D8A58" w14:textId="77777777" w:rsidTr="00D13EB6">
        <w:trPr>
          <w:jc w:val="center"/>
        </w:trPr>
        <w:tc>
          <w:tcPr>
            <w:tcW w:w="3036" w:type="dxa"/>
            <w:shd w:val="clear" w:color="auto" w:fill="auto"/>
          </w:tcPr>
          <w:p w14:paraId="5787B40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IDIFTS</w:t>
            </w:r>
          </w:p>
        </w:tc>
        <w:tc>
          <w:tcPr>
            <w:tcW w:w="7002" w:type="dxa"/>
            <w:shd w:val="clear" w:color="auto" w:fill="auto"/>
          </w:tcPr>
          <w:p w14:paraId="0C13374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Interdistrict Inspectorate of the Federal Tax Service</w:t>
            </w:r>
          </w:p>
        </w:tc>
      </w:tr>
      <w:tr w:rsidR="008A5057" w:rsidRPr="00BD295E" w14:paraId="63149B78" w14:textId="77777777" w:rsidTr="00D13EB6">
        <w:trPr>
          <w:jc w:val="center"/>
        </w:trPr>
        <w:tc>
          <w:tcPr>
            <w:tcW w:w="3036" w:type="dxa"/>
            <w:shd w:val="clear" w:color="auto" w:fill="auto"/>
          </w:tcPr>
          <w:p w14:paraId="4BF1381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IFRS</w:t>
            </w:r>
          </w:p>
        </w:tc>
        <w:tc>
          <w:tcPr>
            <w:tcW w:w="7002" w:type="dxa"/>
            <w:shd w:val="clear" w:color="auto" w:fill="auto"/>
          </w:tcPr>
          <w:p w14:paraId="0001E0A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International Financial Reporting Standards</w:t>
            </w:r>
          </w:p>
        </w:tc>
      </w:tr>
      <w:tr w:rsidR="008A5057" w:rsidRPr="00BD295E" w14:paraId="01162C60" w14:textId="77777777" w:rsidTr="00D13EB6">
        <w:trPr>
          <w:jc w:val="center"/>
        </w:trPr>
        <w:tc>
          <w:tcPr>
            <w:tcW w:w="3036" w:type="dxa"/>
            <w:shd w:val="clear" w:color="auto" w:fill="auto"/>
          </w:tcPr>
          <w:p w14:paraId="289D2FE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Russian MF</w:t>
            </w:r>
          </w:p>
        </w:tc>
        <w:tc>
          <w:tcPr>
            <w:tcW w:w="7002" w:type="dxa"/>
            <w:shd w:val="clear" w:color="auto" w:fill="auto"/>
          </w:tcPr>
          <w:p w14:paraId="31436212"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Ministry of Finance of the Russian Federation</w:t>
            </w:r>
          </w:p>
        </w:tc>
      </w:tr>
      <w:tr w:rsidR="008A5057" w:rsidRPr="00BD295E" w14:paraId="5F63DF2E" w14:textId="77777777" w:rsidTr="00D13EB6">
        <w:trPr>
          <w:jc w:val="center"/>
        </w:trPr>
        <w:tc>
          <w:tcPr>
            <w:tcW w:w="3036" w:type="dxa"/>
            <w:shd w:val="clear" w:color="auto" w:fill="auto"/>
          </w:tcPr>
          <w:p w14:paraId="4AB11E90"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R&amp;D</w:t>
            </w:r>
          </w:p>
        </w:tc>
        <w:tc>
          <w:tcPr>
            <w:tcW w:w="7002" w:type="dxa"/>
            <w:shd w:val="clear" w:color="auto" w:fill="auto"/>
          </w:tcPr>
          <w:p w14:paraId="07EE634B"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Research and development</w:t>
            </w:r>
          </w:p>
        </w:tc>
      </w:tr>
      <w:tr w:rsidR="008A5057" w:rsidRPr="00BD295E" w14:paraId="71A89318" w14:textId="77777777" w:rsidTr="00D13EB6">
        <w:trPr>
          <w:jc w:val="center"/>
        </w:trPr>
        <w:tc>
          <w:tcPr>
            <w:tcW w:w="3036" w:type="dxa"/>
            <w:shd w:val="clear" w:color="auto" w:fill="auto"/>
          </w:tcPr>
          <w:p w14:paraId="1575C4A0"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VAT</w:t>
            </w:r>
          </w:p>
        </w:tc>
        <w:tc>
          <w:tcPr>
            <w:tcW w:w="7002" w:type="dxa"/>
            <w:shd w:val="clear" w:color="auto" w:fill="auto"/>
          </w:tcPr>
          <w:p w14:paraId="6204EA97"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Value added tax</w:t>
            </w:r>
          </w:p>
        </w:tc>
      </w:tr>
      <w:tr w:rsidR="008A5057" w:rsidRPr="00BD295E" w14:paraId="28BD47A7" w14:textId="77777777" w:rsidTr="00D13EB6">
        <w:trPr>
          <w:jc w:val="center"/>
        </w:trPr>
        <w:tc>
          <w:tcPr>
            <w:tcW w:w="3036" w:type="dxa"/>
            <w:shd w:val="clear" w:color="auto" w:fill="auto"/>
          </w:tcPr>
          <w:p w14:paraId="6B2003A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Russian Tax Code</w:t>
            </w:r>
          </w:p>
        </w:tc>
        <w:tc>
          <w:tcPr>
            <w:tcW w:w="7002" w:type="dxa"/>
            <w:shd w:val="clear" w:color="auto" w:fill="auto"/>
          </w:tcPr>
          <w:p w14:paraId="46398C0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The Tax Code of the Russian Federation</w:t>
            </w:r>
          </w:p>
        </w:tc>
      </w:tr>
      <w:tr w:rsidR="008A5057" w:rsidRPr="00BD295E" w14:paraId="163B6B63" w14:textId="77777777" w:rsidTr="00D13EB6">
        <w:trPr>
          <w:jc w:val="center"/>
        </w:trPr>
        <w:tc>
          <w:tcPr>
            <w:tcW w:w="3036" w:type="dxa"/>
            <w:shd w:val="clear" w:color="auto" w:fill="auto"/>
          </w:tcPr>
          <w:p w14:paraId="00728F1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ITA</w:t>
            </w:r>
          </w:p>
        </w:tc>
        <w:tc>
          <w:tcPr>
            <w:tcW w:w="7002" w:type="dxa"/>
            <w:shd w:val="clear" w:color="auto" w:fill="auto"/>
          </w:tcPr>
          <w:p w14:paraId="45E8FCE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Intangible assets</w:t>
            </w:r>
          </w:p>
        </w:tc>
      </w:tr>
      <w:tr w:rsidR="008A5057" w:rsidRPr="00BD295E" w14:paraId="4A847016" w14:textId="77777777" w:rsidTr="00D13EB6">
        <w:trPr>
          <w:jc w:val="center"/>
        </w:trPr>
        <w:tc>
          <w:tcPr>
            <w:tcW w:w="3036" w:type="dxa"/>
            <w:shd w:val="clear" w:color="auto" w:fill="auto"/>
          </w:tcPr>
          <w:p w14:paraId="009373C2"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STC</w:t>
            </w:r>
          </w:p>
        </w:tc>
        <w:tc>
          <w:tcPr>
            <w:tcW w:w="7002" w:type="dxa"/>
            <w:shd w:val="clear" w:color="auto" w:fill="auto"/>
          </w:tcPr>
          <w:p w14:paraId="33CC9532"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Scientific and Technical Council</w:t>
            </w:r>
          </w:p>
        </w:tc>
      </w:tr>
      <w:tr w:rsidR="008A5057" w:rsidRPr="00BD295E" w14:paraId="27E006A5" w14:textId="77777777" w:rsidTr="00D13EB6">
        <w:trPr>
          <w:jc w:val="center"/>
        </w:trPr>
        <w:tc>
          <w:tcPr>
            <w:tcW w:w="3036" w:type="dxa"/>
            <w:shd w:val="clear" w:color="auto" w:fill="auto"/>
          </w:tcPr>
          <w:p w14:paraId="55CCE7E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CCU</w:t>
            </w:r>
          </w:p>
        </w:tc>
        <w:tc>
          <w:tcPr>
            <w:tcW w:w="7002" w:type="dxa"/>
            <w:shd w:val="clear" w:color="auto" w:fill="auto"/>
          </w:tcPr>
          <w:p w14:paraId="30EA4EDB"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Capital Construction Unit (or another unit)</w:t>
            </w:r>
          </w:p>
        </w:tc>
      </w:tr>
      <w:tr w:rsidR="008A5057" w:rsidRPr="00BD295E" w14:paraId="7494E0C8" w14:textId="77777777" w:rsidTr="00D13EB6">
        <w:trPr>
          <w:jc w:val="center"/>
        </w:trPr>
        <w:tc>
          <w:tcPr>
            <w:tcW w:w="3036" w:type="dxa"/>
            <w:shd w:val="clear" w:color="auto" w:fill="auto"/>
          </w:tcPr>
          <w:p w14:paraId="586BAEAC"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FA</w:t>
            </w:r>
          </w:p>
        </w:tc>
        <w:tc>
          <w:tcPr>
            <w:tcW w:w="7002" w:type="dxa"/>
            <w:shd w:val="clear" w:color="auto" w:fill="auto"/>
          </w:tcPr>
          <w:p w14:paraId="3618E84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Fixed Assets</w:t>
            </w:r>
          </w:p>
        </w:tc>
      </w:tr>
      <w:tr w:rsidR="008A5057" w:rsidRPr="00BD295E" w14:paraId="3B8375E4" w14:textId="77777777" w:rsidTr="00D13EB6">
        <w:trPr>
          <w:jc w:val="center"/>
        </w:trPr>
        <w:tc>
          <w:tcPr>
            <w:tcW w:w="3036" w:type="dxa"/>
            <w:shd w:val="clear" w:color="auto" w:fill="auto"/>
          </w:tcPr>
          <w:p w14:paraId="0E8060C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OFZ</w:t>
            </w:r>
          </w:p>
        </w:tc>
        <w:tc>
          <w:tcPr>
            <w:tcW w:w="7002" w:type="dxa"/>
            <w:shd w:val="clear" w:color="auto" w:fill="auto"/>
          </w:tcPr>
          <w:p w14:paraId="6E0E73F5"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Federal bonds of the Russian Federation</w:t>
            </w:r>
          </w:p>
        </w:tc>
      </w:tr>
      <w:tr w:rsidR="008A5057" w:rsidRPr="00BD295E" w14:paraId="4DF05421" w14:textId="77777777" w:rsidTr="00D13EB6">
        <w:trPr>
          <w:jc w:val="center"/>
        </w:trPr>
        <w:tc>
          <w:tcPr>
            <w:tcW w:w="3036" w:type="dxa"/>
            <w:shd w:val="clear" w:color="auto" w:fill="auto"/>
          </w:tcPr>
          <w:p w14:paraId="3D4E774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Company</w:t>
            </w:r>
          </w:p>
        </w:tc>
        <w:tc>
          <w:tcPr>
            <w:tcW w:w="7002" w:type="dxa"/>
            <w:shd w:val="clear" w:color="auto" w:fill="auto"/>
          </w:tcPr>
          <w:p w14:paraId="0642DBA1" w14:textId="77777777" w:rsidR="00D13EB6" w:rsidRPr="00BD295E" w:rsidRDefault="000D659F" w:rsidP="00EC4BC4">
            <w:pPr>
              <w:spacing w:after="160" w:line="259" w:lineRule="auto"/>
              <w:rPr>
                <w:rFonts w:ascii="Arial" w:hAnsi="Arial" w:cs="Arial"/>
                <w:sz w:val="18"/>
                <w:szCs w:val="18"/>
                <w:lang w:val="en-US"/>
              </w:rPr>
            </w:pPr>
            <w:r w:rsidRPr="00BD295E">
              <w:rPr>
                <w:rFonts w:ascii="Arial" w:hAnsi="Arial" w:cs="Arial"/>
                <w:sz w:val="18"/>
                <w:szCs w:val="18"/>
                <w:lang w:val="en-US"/>
              </w:rPr>
              <w:t>OJSC “Lenenergo”</w:t>
            </w:r>
          </w:p>
        </w:tc>
      </w:tr>
      <w:tr w:rsidR="008A5057" w:rsidRPr="00BD295E" w14:paraId="41BF1A47" w14:textId="77777777" w:rsidTr="00D13EB6">
        <w:trPr>
          <w:jc w:val="center"/>
        </w:trPr>
        <w:tc>
          <w:tcPr>
            <w:tcW w:w="3036" w:type="dxa"/>
            <w:shd w:val="clear" w:color="auto" w:fill="auto"/>
          </w:tcPr>
          <w:p w14:paraId="17D84903"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OIMS</w:t>
            </w:r>
          </w:p>
        </w:tc>
        <w:tc>
          <w:tcPr>
            <w:tcW w:w="7002" w:type="dxa"/>
            <w:shd w:val="clear" w:color="auto" w:fill="auto"/>
          </w:tcPr>
          <w:p w14:paraId="5F75B57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Operational information management system</w:t>
            </w:r>
          </w:p>
        </w:tc>
      </w:tr>
      <w:tr w:rsidR="008A5057" w:rsidRPr="00BD295E" w14:paraId="24FBC3C9" w14:textId="77777777" w:rsidTr="00D13EB6">
        <w:trPr>
          <w:jc w:val="center"/>
        </w:trPr>
        <w:tc>
          <w:tcPr>
            <w:tcW w:w="3036" w:type="dxa"/>
            <w:shd w:val="clear" w:color="auto" w:fill="auto"/>
          </w:tcPr>
          <w:p w14:paraId="5B5FE84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PO</w:t>
            </w:r>
          </w:p>
        </w:tc>
        <w:tc>
          <w:tcPr>
            <w:tcW w:w="7002" w:type="dxa"/>
            <w:shd w:val="clear" w:color="auto" w:fill="auto"/>
          </w:tcPr>
          <w:p w14:paraId="095F3833"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Pilot operation</w:t>
            </w:r>
          </w:p>
        </w:tc>
      </w:tr>
      <w:tr w:rsidR="008A5057" w:rsidRPr="00BD295E" w14:paraId="341E2927" w14:textId="77777777" w:rsidTr="00D13EB6">
        <w:trPr>
          <w:jc w:val="center"/>
        </w:trPr>
        <w:tc>
          <w:tcPr>
            <w:tcW w:w="3036" w:type="dxa"/>
            <w:shd w:val="clear" w:color="auto" w:fill="auto"/>
          </w:tcPr>
          <w:p w14:paraId="6992C5E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Population size estimate</w:t>
            </w:r>
          </w:p>
        </w:tc>
        <w:tc>
          <w:tcPr>
            <w:tcW w:w="7002" w:type="dxa"/>
            <w:shd w:val="clear" w:color="auto" w:fill="auto"/>
          </w:tcPr>
          <w:p w14:paraId="3EBEADCB"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Determining the number of residents of a region or part thereof without carrying out a special census</w:t>
            </w:r>
          </w:p>
        </w:tc>
      </w:tr>
      <w:tr w:rsidR="008A5057" w:rsidRPr="00BD295E" w14:paraId="7153311E" w14:textId="77777777" w:rsidTr="00D13EB6">
        <w:trPr>
          <w:jc w:val="center"/>
        </w:trPr>
        <w:tc>
          <w:tcPr>
            <w:tcW w:w="3036" w:type="dxa"/>
            <w:shd w:val="clear" w:color="auto" w:fill="auto"/>
          </w:tcPr>
          <w:p w14:paraId="041D7FEF" w14:textId="77777777" w:rsidR="00D13EB6"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AR</w:t>
            </w:r>
          </w:p>
        </w:tc>
        <w:tc>
          <w:tcPr>
            <w:tcW w:w="7002" w:type="dxa"/>
            <w:shd w:val="clear" w:color="auto" w:fill="auto"/>
          </w:tcPr>
          <w:p w14:paraId="7AC1A13A" w14:textId="77777777" w:rsidR="00D13EB6" w:rsidRPr="00BD295E" w:rsidRDefault="0095178A" w:rsidP="00EC4BC4">
            <w:pPr>
              <w:spacing w:after="160" w:line="259" w:lineRule="auto"/>
              <w:rPr>
                <w:rFonts w:ascii="Arial" w:hAnsi="Arial" w:cs="Arial"/>
                <w:sz w:val="18"/>
                <w:szCs w:val="18"/>
                <w:lang w:val="en-US"/>
              </w:rPr>
            </w:pPr>
            <w:r w:rsidRPr="00BD295E">
              <w:rPr>
                <w:rFonts w:ascii="Arial" w:hAnsi="Arial" w:cs="Arial"/>
                <w:sz w:val="18"/>
                <w:szCs w:val="18"/>
                <w:lang w:val="en-US"/>
              </w:rPr>
              <w:t>Accounting regulations</w:t>
            </w:r>
          </w:p>
        </w:tc>
      </w:tr>
      <w:tr w:rsidR="008A5057" w:rsidRPr="00BD295E" w14:paraId="6043046F" w14:textId="77777777" w:rsidTr="00D13EB6">
        <w:trPr>
          <w:jc w:val="center"/>
        </w:trPr>
        <w:tc>
          <w:tcPr>
            <w:tcW w:w="3036" w:type="dxa"/>
            <w:shd w:val="clear" w:color="auto" w:fill="auto"/>
          </w:tcPr>
          <w:p w14:paraId="1F90404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LCSS </w:t>
            </w:r>
          </w:p>
        </w:tc>
        <w:tc>
          <w:tcPr>
            <w:tcW w:w="7002" w:type="dxa"/>
            <w:shd w:val="clear" w:color="auto" w:fill="auto"/>
          </w:tcPr>
          <w:p w14:paraId="7BFE279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Load-center substation</w:t>
            </w:r>
          </w:p>
        </w:tc>
      </w:tr>
      <w:tr w:rsidR="008A5057" w:rsidRPr="00BD295E" w14:paraId="39050D3A" w14:textId="77777777" w:rsidTr="00D13EB6">
        <w:trPr>
          <w:jc w:val="center"/>
        </w:trPr>
        <w:tc>
          <w:tcPr>
            <w:tcW w:w="3036" w:type="dxa"/>
            <w:shd w:val="clear" w:color="auto" w:fill="auto"/>
          </w:tcPr>
          <w:p w14:paraId="060DF1F7"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Petrostat</w:t>
            </w:r>
          </w:p>
        </w:tc>
        <w:tc>
          <w:tcPr>
            <w:tcW w:w="7002" w:type="dxa"/>
            <w:shd w:val="clear" w:color="auto" w:fill="auto"/>
          </w:tcPr>
          <w:p w14:paraId="600849D3"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A territorial body of the Federal State Statistics Service in Saint Petersburg and the Leningrad Region</w:t>
            </w:r>
          </w:p>
        </w:tc>
      </w:tr>
      <w:tr w:rsidR="008A5057" w:rsidRPr="00BD295E" w14:paraId="64C469A4" w14:textId="77777777" w:rsidTr="00D13EB6">
        <w:trPr>
          <w:jc w:val="center"/>
        </w:trPr>
        <w:tc>
          <w:tcPr>
            <w:tcW w:w="3036" w:type="dxa"/>
            <w:shd w:val="clear" w:color="auto" w:fill="auto"/>
          </w:tcPr>
          <w:p w14:paraId="11D9414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Enterprise solvency</w:t>
            </w:r>
          </w:p>
        </w:tc>
        <w:tc>
          <w:tcPr>
            <w:tcW w:w="7002" w:type="dxa"/>
            <w:shd w:val="clear" w:color="auto" w:fill="auto"/>
          </w:tcPr>
          <w:p w14:paraId="56AA77D7"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Ability of an enterprise to meet its financial obligations arising from commercial, credit, and other similar transactions</w:t>
            </w:r>
          </w:p>
        </w:tc>
      </w:tr>
      <w:tr w:rsidR="008A5057" w:rsidRPr="00BD295E" w14:paraId="5CC1C9FC" w14:textId="77777777" w:rsidTr="00D13EB6">
        <w:trPr>
          <w:jc w:val="center"/>
        </w:trPr>
        <w:tc>
          <w:tcPr>
            <w:tcW w:w="3036" w:type="dxa"/>
            <w:shd w:val="clear" w:color="auto" w:fill="auto"/>
          </w:tcPr>
          <w:p w14:paraId="5E15A00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SS</w:t>
            </w:r>
          </w:p>
        </w:tc>
        <w:tc>
          <w:tcPr>
            <w:tcW w:w="7002" w:type="dxa"/>
            <w:shd w:val="clear" w:color="auto" w:fill="auto"/>
          </w:tcPr>
          <w:p w14:paraId="7EAA0D01"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Substation</w:t>
            </w:r>
          </w:p>
        </w:tc>
      </w:tr>
      <w:tr w:rsidR="008A5057" w:rsidRPr="00BD295E" w14:paraId="658F10ED" w14:textId="77777777" w:rsidTr="00D13EB6">
        <w:trPr>
          <w:jc w:val="center"/>
        </w:trPr>
        <w:tc>
          <w:tcPr>
            <w:tcW w:w="3036" w:type="dxa"/>
            <w:shd w:val="clear" w:color="auto" w:fill="auto"/>
          </w:tcPr>
          <w:p w14:paraId="116EB4AC"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CMP</w:t>
            </w:r>
          </w:p>
        </w:tc>
        <w:tc>
          <w:tcPr>
            <w:tcW w:w="7002" w:type="dxa"/>
            <w:shd w:val="clear" w:color="auto" w:fill="auto"/>
          </w:tcPr>
          <w:p w14:paraId="5F15E21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Cost management program</w:t>
            </w:r>
          </w:p>
        </w:tc>
      </w:tr>
      <w:tr w:rsidR="008A5057" w:rsidRPr="00BD295E" w14:paraId="43CAC3D4" w14:textId="77777777" w:rsidTr="00D13EB6">
        <w:trPr>
          <w:jc w:val="center"/>
        </w:trPr>
        <w:tc>
          <w:tcPr>
            <w:tcW w:w="3036" w:type="dxa"/>
            <w:shd w:val="clear" w:color="auto" w:fill="auto"/>
          </w:tcPr>
          <w:p w14:paraId="3C893102"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DS</w:t>
            </w:r>
          </w:p>
        </w:tc>
        <w:tc>
          <w:tcPr>
            <w:tcW w:w="7002" w:type="dxa"/>
            <w:shd w:val="clear" w:color="auto" w:fill="auto"/>
          </w:tcPr>
          <w:p w14:paraId="7629FC8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Distribution station</w:t>
            </w:r>
          </w:p>
        </w:tc>
      </w:tr>
      <w:tr w:rsidR="008A5057" w:rsidRPr="00BD295E" w14:paraId="44254723" w14:textId="77777777" w:rsidTr="00D13EB6">
        <w:trPr>
          <w:jc w:val="center"/>
        </w:trPr>
        <w:tc>
          <w:tcPr>
            <w:tcW w:w="3036" w:type="dxa"/>
            <w:shd w:val="clear" w:color="auto" w:fill="auto"/>
          </w:tcPr>
          <w:p w14:paraId="54C779C0"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RAS</w:t>
            </w:r>
          </w:p>
        </w:tc>
        <w:tc>
          <w:tcPr>
            <w:tcW w:w="7002" w:type="dxa"/>
            <w:shd w:val="clear" w:color="auto" w:fill="auto"/>
          </w:tcPr>
          <w:p w14:paraId="03969D82"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Russian Accounting Standards</w:t>
            </w:r>
          </w:p>
        </w:tc>
      </w:tr>
      <w:tr w:rsidR="008A5057" w:rsidRPr="00BD295E" w14:paraId="3F307BE3" w14:textId="77777777" w:rsidTr="00D13EB6">
        <w:trPr>
          <w:jc w:val="center"/>
        </w:trPr>
        <w:tc>
          <w:tcPr>
            <w:tcW w:w="3036" w:type="dxa"/>
            <w:shd w:val="clear" w:color="auto" w:fill="auto"/>
          </w:tcPr>
          <w:p w14:paraId="6526EB6B"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DGC</w:t>
            </w:r>
          </w:p>
        </w:tc>
        <w:tc>
          <w:tcPr>
            <w:tcW w:w="7002" w:type="dxa"/>
            <w:shd w:val="clear" w:color="auto" w:fill="auto"/>
          </w:tcPr>
          <w:p w14:paraId="212262A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Distribution grid company</w:t>
            </w:r>
          </w:p>
        </w:tc>
      </w:tr>
      <w:tr w:rsidR="008A5057" w:rsidRPr="00BD295E" w14:paraId="7BEE58A3" w14:textId="77777777" w:rsidTr="00D13EB6">
        <w:trPr>
          <w:jc w:val="center"/>
        </w:trPr>
        <w:tc>
          <w:tcPr>
            <w:tcW w:w="3036" w:type="dxa"/>
            <w:shd w:val="clear" w:color="auto" w:fill="auto"/>
          </w:tcPr>
          <w:p w14:paraId="420D82A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DTS</w:t>
            </w:r>
          </w:p>
        </w:tc>
        <w:tc>
          <w:tcPr>
            <w:tcW w:w="7002" w:type="dxa"/>
            <w:shd w:val="clear" w:color="auto" w:fill="auto"/>
          </w:tcPr>
          <w:p w14:paraId="1B5A8D60"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Distribution transformer substation</w:t>
            </w:r>
          </w:p>
        </w:tc>
      </w:tr>
      <w:tr w:rsidR="008A5057" w:rsidRPr="00BD295E" w14:paraId="27FDB13F" w14:textId="77777777" w:rsidTr="00D13EB6">
        <w:trPr>
          <w:jc w:val="center"/>
        </w:trPr>
        <w:tc>
          <w:tcPr>
            <w:tcW w:w="3036" w:type="dxa"/>
            <w:shd w:val="clear" w:color="auto" w:fill="auto"/>
          </w:tcPr>
          <w:p w14:paraId="01CB715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SG</w:t>
            </w:r>
          </w:p>
        </w:tc>
        <w:tc>
          <w:tcPr>
            <w:tcW w:w="7002" w:type="dxa"/>
            <w:shd w:val="clear" w:color="auto" w:fill="auto"/>
          </w:tcPr>
          <w:p w14:paraId="74C79721"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Switchgear</w:t>
            </w:r>
          </w:p>
        </w:tc>
      </w:tr>
      <w:tr w:rsidR="008A5057" w:rsidRPr="00BD295E" w14:paraId="305A1040" w14:textId="77777777" w:rsidTr="00D13EB6">
        <w:trPr>
          <w:jc w:val="center"/>
        </w:trPr>
        <w:tc>
          <w:tcPr>
            <w:tcW w:w="3036" w:type="dxa"/>
            <w:shd w:val="clear" w:color="auto" w:fill="auto"/>
          </w:tcPr>
          <w:p w14:paraId="4A8589C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Net financial result of organizations (profit less losses)</w:t>
            </w:r>
          </w:p>
        </w:tc>
        <w:tc>
          <w:tcPr>
            <w:tcW w:w="7002" w:type="dxa"/>
            <w:shd w:val="clear" w:color="auto" w:fill="auto"/>
          </w:tcPr>
          <w:p w14:paraId="0003E44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The ultimate financial result calculated based on accounting records of all business operations of organizations. It is the sum of profit (loss) from sale of products (works, services), fixed assets, other property of organizations, and income from non-commercial transactions decreased by the sum of expenses incurred for such transactions. The data on the net financial result is published for a range of large and medium-sized organizations, in actual prices, with the structure and methodology applicable in respective years, in line with the accounting data</w:t>
            </w:r>
          </w:p>
        </w:tc>
      </w:tr>
      <w:tr w:rsidR="008A5057" w:rsidRPr="00BD295E" w14:paraId="38A7BFBE" w14:textId="77777777" w:rsidTr="00D13EB6">
        <w:trPr>
          <w:jc w:val="center"/>
        </w:trPr>
        <w:tc>
          <w:tcPr>
            <w:tcW w:w="3036" w:type="dxa"/>
            <w:shd w:val="clear" w:color="auto" w:fill="auto"/>
          </w:tcPr>
          <w:p w14:paraId="0A2E3C8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NWFD</w:t>
            </w:r>
          </w:p>
        </w:tc>
        <w:tc>
          <w:tcPr>
            <w:tcW w:w="7002" w:type="dxa"/>
            <w:shd w:val="clear" w:color="auto" w:fill="auto"/>
          </w:tcPr>
          <w:p w14:paraId="2AD496B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Northwestern Federal District</w:t>
            </w:r>
          </w:p>
        </w:tc>
      </w:tr>
      <w:tr w:rsidR="008A5057" w:rsidRPr="00BD295E" w14:paraId="5D28F1A6" w14:textId="77777777" w:rsidTr="00D13EB6">
        <w:trPr>
          <w:jc w:val="center"/>
        </w:trPr>
        <w:tc>
          <w:tcPr>
            <w:tcW w:w="3036" w:type="dxa"/>
            <w:shd w:val="clear" w:color="auto" w:fill="auto"/>
          </w:tcPr>
          <w:p w14:paraId="1673AD83"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SO UES</w:t>
            </w:r>
          </w:p>
        </w:tc>
        <w:tc>
          <w:tcPr>
            <w:tcW w:w="7002" w:type="dxa"/>
            <w:shd w:val="clear" w:color="auto" w:fill="auto"/>
          </w:tcPr>
          <w:p w14:paraId="6ED42F5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System Operator of the Unified Energy System </w:t>
            </w:r>
          </w:p>
        </w:tc>
      </w:tr>
      <w:tr w:rsidR="008A5057" w:rsidRPr="00BD295E" w14:paraId="3BAB78BE" w14:textId="77777777" w:rsidTr="00D13EB6">
        <w:trPr>
          <w:jc w:val="center"/>
        </w:trPr>
        <w:tc>
          <w:tcPr>
            <w:tcW w:w="3036" w:type="dxa"/>
            <w:shd w:val="clear" w:color="auto" w:fill="auto"/>
          </w:tcPr>
          <w:p w14:paraId="06CB4D71"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DCCS</w:t>
            </w:r>
          </w:p>
        </w:tc>
        <w:tc>
          <w:tcPr>
            <w:tcW w:w="7002" w:type="dxa"/>
            <w:shd w:val="clear" w:color="auto" w:fill="auto"/>
          </w:tcPr>
          <w:p w14:paraId="40669D40"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Direct Control Current System</w:t>
            </w:r>
          </w:p>
        </w:tc>
      </w:tr>
      <w:tr w:rsidR="008A5057" w:rsidRPr="00BD295E" w14:paraId="717FF266" w14:textId="77777777" w:rsidTr="00D13EB6">
        <w:trPr>
          <w:jc w:val="center"/>
        </w:trPr>
        <w:tc>
          <w:tcPr>
            <w:tcW w:w="3036" w:type="dxa"/>
            <w:shd w:val="clear" w:color="auto" w:fill="auto"/>
          </w:tcPr>
          <w:p w14:paraId="3C43D85B"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BAMS</w:t>
            </w:r>
          </w:p>
        </w:tc>
        <w:tc>
          <w:tcPr>
            <w:tcW w:w="7002" w:type="dxa"/>
            <w:shd w:val="clear" w:color="auto" w:fill="auto"/>
          </w:tcPr>
          <w:p w14:paraId="11CFF1E7"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Business assets management system</w:t>
            </w:r>
          </w:p>
        </w:tc>
      </w:tr>
      <w:tr w:rsidR="008A5057" w:rsidRPr="00BD295E" w14:paraId="6D450194" w14:textId="77777777" w:rsidTr="00D13EB6">
        <w:trPr>
          <w:jc w:val="center"/>
        </w:trPr>
        <w:tc>
          <w:tcPr>
            <w:tcW w:w="3036" w:type="dxa"/>
            <w:shd w:val="clear" w:color="auto" w:fill="auto"/>
          </w:tcPr>
          <w:p w14:paraId="548317D5"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TGO (in energy)</w:t>
            </w:r>
          </w:p>
        </w:tc>
        <w:tc>
          <w:tcPr>
            <w:tcW w:w="7002" w:type="dxa"/>
            <w:shd w:val="clear" w:color="auto" w:fill="auto"/>
          </w:tcPr>
          <w:p w14:paraId="44362C0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Territorial grid organization (a term from Federal Law No. 35-FZ, </w:t>
            </w:r>
            <w:r w:rsidRPr="00BD295E">
              <w:rPr>
                <w:rFonts w:ascii="Arial" w:hAnsi="Arial" w:cs="Arial"/>
                <w:i/>
                <w:iCs/>
                <w:sz w:val="18"/>
                <w:szCs w:val="18"/>
                <w:lang w:val="en-US"/>
              </w:rPr>
              <w:t>On the Electric Power Industry</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March 26, 2003)</w:t>
            </w:r>
          </w:p>
        </w:tc>
      </w:tr>
      <w:tr w:rsidR="008A5057" w:rsidRPr="00BD295E" w14:paraId="11C2F097" w14:textId="77777777" w:rsidTr="00D13EB6">
        <w:trPr>
          <w:jc w:val="center"/>
        </w:trPr>
        <w:tc>
          <w:tcPr>
            <w:tcW w:w="3036" w:type="dxa"/>
            <w:shd w:val="clear" w:color="auto" w:fill="auto"/>
          </w:tcPr>
          <w:p w14:paraId="0B5A8B92"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GC</w:t>
            </w:r>
          </w:p>
        </w:tc>
        <w:tc>
          <w:tcPr>
            <w:tcW w:w="7002" w:type="dxa"/>
            <w:shd w:val="clear" w:color="auto" w:fill="auto"/>
          </w:tcPr>
          <w:p w14:paraId="2BA91CC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Grid connection</w:t>
            </w:r>
          </w:p>
        </w:tc>
      </w:tr>
      <w:tr w:rsidR="008A5057" w:rsidRPr="00BD295E" w14:paraId="149FAB39" w14:textId="77777777" w:rsidTr="00D13EB6">
        <w:trPr>
          <w:jc w:val="center"/>
        </w:trPr>
        <w:tc>
          <w:tcPr>
            <w:tcW w:w="3036" w:type="dxa"/>
            <w:shd w:val="clear" w:color="auto" w:fill="auto"/>
          </w:tcPr>
          <w:p w14:paraId="7E949DF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RPSTD </w:t>
            </w:r>
          </w:p>
        </w:tc>
        <w:tc>
          <w:tcPr>
            <w:tcW w:w="7002" w:type="dxa"/>
            <w:shd w:val="clear" w:color="auto" w:fill="auto"/>
          </w:tcPr>
          <w:p w14:paraId="267C9653"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Relay protection signal transmission device</w:t>
            </w:r>
          </w:p>
        </w:tc>
      </w:tr>
      <w:tr w:rsidR="008A5057" w:rsidRPr="00BD295E" w14:paraId="5D6C45B3" w14:textId="77777777" w:rsidTr="00D13EB6">
        <w:trPr>
          <w:jc w:val="center"/>
        </w:trPr>
        <w:tc>
          <w:tcPr>
            <w:tcW w:w="3036" w:type="dxa"/>
            <w:shd w:val="clear" w:color="auto" w:fill="auto"/>
          </w:tcPr>
          <w:p w14:paraId="4C785E9B"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Service</w:t>
            </w:r>
          </w:p>
        </w:tc>
        <w:tc>
          <w:tcPr>
            <w:tcW w:w="7002" w:type="dxa"/>
            <w:shd w:val="clear" w:color="auto" w:fill="auto"/>
          </w:tcPr>
          <w:p w14:paraId="40D2434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Useful result of an activity that satisfies certain needs, but not embodied in a tangible (material) form. The key types of international services include: transport services, hospitality services, postal and communications services, vehicle repair, equipment installation services, and other types of services not included in the above list</w:t>
            </w:r>
          </w:p>
        </w:tc>
      </w:tr>
      <w:tr w:rsidR="008A5057" w:rsidRPr="00BD295E" w14:paraId="31C1B4BD" w14:textId="77777777" w:rsidTr="00D13EB6">
        <w:trPr>
          <w:jc w:val="center"/>
        </w:trPr>
        <w:tc>
          <w:tcPr>
            <w:tcW w:w="3036" w:type="dxa"/>
            <w:shd w:val="clear" w:color="auto" w:fill="auto"/>
          </w:tcPr>
          <w:p w14:paraId="1DBAB960"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FAS</w:t>
            </w:r>
          </w:p>
        </w:tc>
        <w:tc>
          <w:tcPr>
            <w:tcW w:w="7002" w:type="dxa"/>
            <w:shd w:val="clear" w:color="auto" w:fill="auto"/>
          </w:tcPr>
          <w:p w14:paraId="1F664715"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Federal Antimonopoly Service (FAS of Russia) </w:t>
            </w:r>
          </w:p>
        </w:tc>
      </w:tr>
      <w:tr w:rsidR="008A5057" w:rsidRPr="00BD295E" w14:paraId="79991537" w14:textId="77777777" w:rsidTr="00D13EB6">
        <w:trPr>
          <w:jc w:val="center"/>
        </w:trPr>
        <w:tc>
          <w:tcPr>
            <w:tcW w:w="3036" w:type="dxa"/>
            <w:shd w:val="clear" w:color="auto" w:fill="auto"/>
          </w:tcPr>
          <w:p w14:paraId="6F3F94C4"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FZ</w:t>
            </w:r>
          </w:p>
        </w:tc>
        <w:tc>
          <w:tcPr>
            <w:tcW w:w="7002" w:type="dxa"/>
            <w:shd w:val="clear" w:color="auto" w:fill="auto"/>
          </w:tcPr>
          <w:p w14:paraId="753B28CC"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Federal Law</w:t>
            </w:r>
          </w:p>
        </w:tc>
      </w:tr>
      <w:tr w:rsidR="008A5057" w:rsidRPr="00BD295E" w14:paraId="50AD3B23" w14:textId="77777777" w:rsidTr="00D13EB6">
        <w:trPr>
          <w:jc w:val="center"/>
        </w:trPr>
        <w:tc>
          <w:tcPr>
            <w:tcW w:w="3036" w:type="dxa"/>
            <w:shd w:val="clear" w:color="auto" w:fill="auto"/>
          </w:tcPr>
          <w:p w14:paraId="00CFC99C"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FGC</w:t>
            </w:r>
          </w:p>
        </w:tc>
        <w:tc>
          <w:tcPr>
            <w:tcW w:w="7002" w:type="dxa"/>
            <w:shd w:val="clear" w:color="auto" w:fill="auto"/>
          </w:tcPr>
          <w:p w14:paraId="3E760511" w14:textId="77777777" w:rsidR="00D13EB6" w:rsidRPr="00BD295E" w:rsidRDefault="0047267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“FGC UES”, PJSC </w:t>
            </w:r>
          </w:p>
        </w:tc>
      </w:tr>
      <w:tr w:rsidR="008A5057" w:rsidRPr="00BD295E" w14:paraId="6250F31A" w14:textId="77777777" w:rsidTr="00D13EB6">
        <w:trPr>
          <w:jc w:val="center"/>
        </w:trPr>
        <w:tc>
          <w:tcPr>
            <w:tcW w:w="3036" w:type="dxa"/>
            <w:shd w:val="clear" w:color="auto" w:fill="auto"/>
          </w:tcPr>
          <w:p w14:paraId="20C28A7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FTS</w:t>
            </w:r>
          </w:p>
        </w:tc>
        <w:tc>
          <w:tcPr>
            <w:tcW w:w="7002" w:type="dxa"/>
            <w:shd w:val="clear" w:color="auto" w:fill="auto"/>
          </w:tcPr>
          <w:p w14:paraId="62473F3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Federal Tariff Service of the Russian Federation</w:t>
            </w:r>
          </w:p>
        </w:tc>
      </w:tr>
      <w:tr w:rsidR="008A5057" w:rsidRPr="00BD295E" w14:paraId="4517ECD1" w14:textId="77777777" w:rsidTr="00D13EB6">
        <w:trPr>
          <w:jc w:val="center"/>
        </w:trPr>
        <w:tc>
          <w:tcPr>
            <w:tcW w:w="3036" w:type="dxa"/>
            <w:shd w:val="clear" w:color="auto" w:fill="auto"/>
          </w:tcPr>
          <w:p w14:paraId="568B094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Financial analysis</w:t>
            </w:r>
          </w:p>
        </w:tc>
        <w:tc>
          <w:tcPr>
            <w:tcW w:w="7002" w:type="dxa"/>
            <w:shd w:val="clear" w:color="auto" w:fill="auto"/>
          </w:tcPr>
          <w:p w14:paraId="2EEFEB05"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 xml:space="preserve">A set of analytical procedures at the enterprise level, based, as a rule, on publicly available financial information and designed to assess the economic potential of an enterprise and its development outlooks </w:t>
            </w:r>
          </w:p>
        </w:tc>
      </w:tr>
      <w:tr w:rsidR="008A5057" w:rsidRPr="00BD295E" w14:paraId="3346D6D8" w14:textId="77777777" w:rsidTr="00D13EB6">
        <w:trPr>
          <w:jc w:val="center"/>
        </w:trPr>
        <w:tc>
          <w:tcPr>
            <w:tcW w:w="3036" w:type="dxa"/>
            <w:shd w:val="clear" w:color="auto" w:fill="auto"/>
          </w:tcPr>
          <w:p w14:paraId="41E4EB23"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FFMS</w:t>
            </w:r>
          </w:p>
        </w:tc>
        <w:tc>
          <w:tcPr>
            <w:tcW w:w="7002" w:type="dxa"/>
            <w:shd w:val="clear" w:color="auto" w:fill="auto"/>
          </w:tcPr>
          <w:p w14:paraId="061D760F"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Federal Financial Markets Service</w:t>
            </w:r>
          </w:p>
        </w:tc>
      </w:tr>
      <w:tr w:rsidR="008A5057" w:rsidRPr="00BD295E" w14:paraId="7DAC383F" w14:textId="77777777" w:rsidTr="00D13EB6">
        <w:trPr>
          <w:jc w:val="center"/>
        </w:trPr>
        <w:tc>
          <w:tcPr>
            <w:tcW w:w="3036" w:type="dxa"/>
            <w:shd w:val="clear" w:color="auto" w:fill="auto"/>
          </w:tcPr>
          <w:p w14:paraId="3FACFB8E"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CBR</w:t>
            </w:r>
          </w:p>
        </w:tc>
        <w:tc>
          <w:tcPr>
            <w:tcW w:w="7002" w:type="dxa"/>
            <w:shd w:val="clear" w:color="auto" w:fill="auto"/>
          </w:tcPr>
          <w:p w14:paraId="6A3B3D51"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Central Bank of Russia</w:t>
            </w:r>
          </w:p>
        </w:tc>
      </w:tr>
      <w:tr w:rsidR="008A5057" w:rsidRPr="00BD295E" w14:paraId="1A0C0B56" w14:textId="77777777" w:rsidTr="00D13EB6">
        <w:trPr>
          <w:jc w:val="center"/>
        </w:trPr>
        <w:tc>
          <w:tcPr>
            <w:tcW w:w="3036" w:type="dxa"/>
            <w:shd w:val="clear" w:color="auto" w:fill="auto"/>
          </w:tcPr>
          <w:p w14:paraId="52F6B156"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FRC</w:t>
            </w:r>
          </w:p>
        </w:tc>
        <w:tc>
          <w:tcPr>
            <w:tcW w:w="7002" w:type="dxa"/>
            <w:shd w:val="clear" w:color="auto" w:fill="auto"/>
          </w:tcPr>
          <w:p w14:paraId="5CFE122C"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Financial responsibility center</w:t>
            </w:r>
          </w:p>
        </w:tc>
      </w:tr>
      <w:tr w:rsidR="008A5057" w:rsidRPr="00BD295E" w14:paraId="52C3D8B1" w14:textId="77777777" w:rsidTr="00D13EB6">
        <w:trPr>
          <w:jc w:val="center"/>
        </w:trPr>
        <w:tc>
          <w:tcPr>
            <w:tcW w:w="3036" w:type="dxa"/>
            <w:shd w:val="clear" w:color="auto" w:fill="auto"/>
          </w:tcPr>
          <w:p w14:paraId="5B1BA48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Exports</w:t>
            </w:r>
          </w:p>
        </w:tc>
        <w:tc>
          <w:tcPr>
            <w:tcW w:w="7002" w:type="dxa"/>
            <w:shd w:val="clear" w:color="auto" w:fill="auto"/>
          </w:tcPr>
          <w:p w14:paraId="4E84ABE9"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Export of goods from the customs territory of a state to another country without an obligation to re-import such goods. Exports include domestically produced goods, as well as re-exports of goods. Domestically produced goods also include goods produced in a foreign country, but imported into the first country and processed to a substantial extent, changing the basic qualitative or technical parameters of such goods. Re-exported goods include goods imported into a country and then exported abroad without processing.</w:t>
            </w:r>
          </w:p>
        </w:tc>
      </w:tr>
      <w:tr w:rsidR="008A5057" w:rsidRPr="00BD295E" w14:paraId="72006FD2" w14:textId="77777777" w:rsidTr="00D13EB6">
        <w:trPr>
          <w:jc w:val="center"/>
        </w:trPr>
        <w:tc>
          <w:tcPr>
            <w:tcW w:w="3036" w:type="dxa"/>
            <w:shd w:val="clear" w:color="auto" w:fill="auto"/>
          </w:tcPr>
          <w:p w14:paraId="3E5CF058"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EBITDA</w:t>
            </w:r>
          </w:p>
        </w:tc>
        <w:tc>
          <w:tcPr>
            <w:tcW w:w="7002" w:type="dxa"/>
            <w:shd w:val="clear" w:color="auto" w:fill="auto"/>
          </w:tcPr>
          <w:p w14:paraId="0E7D24FB" w14:textId="77777777" w:rsidR="00D13EB6" w:rsidRPr="00BD295E" w:rsidRDefault="00785EA2" w:rsidP="00EC4BC4">
            <w:pPr>
              <w:spacing w:after="160" w:line="259" w:lineRule="auto"/>
              <w:rPr>
                <w:rFonts w:ascii="Arial" w:hAnsi="Arial" w:cs="Arial"/>
                <w:sz w:val="18"/>
                <w:szCs w:val="18"/>
                <w:lang w:val="en-US"/>
              </w:rPr>
            </w:pPr>
            <w:r w:rsidRPr="00BD295E">
              <w:rPr>
                <w:rFonts w:ascii="Arial" w:hAnsi="Arial" w:cs="Arial"/>
                <w:sz w:val="18"/>
                <w:szCs w:val="18"/>
                <w:lang w:val="en-US"/>
              </w:rPr>
              <w:t>Ea</w:t>
            </w:r>
            <w:r w:rsidR="008A5057" w:rsidRPr="00BD295E">
              <w:rPr>
                <w:rFonts w:ascii="Arial" w:hAnsi="Arial" w:cs="Arial"/>
                <w:sz w:val="18"/>
                <w:szCs w:val="18"/>
                <w:lang w:val="en-US"/>
              </w:rPr>
              <w:t>rnings  before  Interest, Taxes, Depreciation and Amortization</w:t>
            </w:r>
          </w:p>
        </w:tc>
      </w:tr>
      <w:tr w:rsidR="008A5057" w:rsidRPr="00BD295E" w14:paraId="2D8BC8FC" w14:textId="77777777" w:rsidTr="00D13EB6">
        <w:trPr>
          <w:jc w:val="center"/>
        </w:trPr>
        <w:tc>
          <w:tcPr>
            <w:tcW w:w="3036" w:type="dxa"/>
            <w:shd w:val="clear" w:color="auto" w:fill="auto"/>
          </w:tcPr>
          <w:p w14:paraId="15CEC5CD"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ROE</w:t>
            </w:r>
          </w:p>
        </w:tc>
        <w:tc>
          <w:tcPr>
            <w:tcW w:w="7002" w:type="dxa"/>
            <w:shd w:val="clear" w:color="auto" w:fill="auto"/>
          </w:tcPr>
          <w:p w14:paraId="3886FC5A" w14:textId="77777777" w:rsidR="00D13EB6" w:rsidRPr="00BD295E" w:rsidRDefault="008A5057" w:rsidP="00EC4BC4">
            <w:pPr>
              <w:spacing w:after="160" w:line="259" w:lineRule="auto"/>
              <w:rPr>
                <w:rFonts w:ascii="Arial" w:hAnsi="Arial" w:cs="Arial"/>
                <w:sz w:val="18"/>
                <w:szCs w:val="18"/>
                <w:lang w:val="en-US"/>
              </w:rPr>
            </w:pPr>
            <w:r w:rsidRPr="00BD295E">
              <w:rPr>
                <w:rFonts w:ascii="Arial" w:hAnsi="Arial" w:cs="Arial"/>
                <w:sz w:val="18"/>
                <w:szCs w:val="18"/>
                <w:lang w:val="en-US"/>
              </w:rPr>
              <w:t>Return on equity</w:t>
            </w:r>
            <w:r w:rsidR="00785EA2" w:rsidRPr="00BD295E">
              <w:rPr>
                <w:rFonts w:ascii="Arial" w:hAnsi="Arial" w:cs="Arial"/>
                <w:sz w:val="18"/>
                <w:szCs w:val="18"/>
                <w:lang w:val="en-US"/>
              </w:rPr>
              <w:t xml:space="preserve"> </w:t>
            </w:r>
          </w:p>
        </w:tc>
      </w:tr>
    </w:tbl>
    <w:p w14:paraId="2C5482BA" w14:textId="28CC1B58" w:rsidR="00EC4BC4" w:rsidRPr="00BD295E" w:rsidRDefault="008A5057">
      <w:pPr>
        <w:spacing w:after="160" w:line="259" w:lineRule="auto"/>
        <w:rPr>
          <w:rFonts w:ascii="Arial" w:hAnsi="Arial" w:cs="Arial"/>
          <w:sz w:val="18"/>
          <w:szCs w:val="18"/>
          <w:lang w:val="en-US"/>
        </w:rPr>
      </w:pPr>
      <w:r w:rsidRPr="00BD295E">
        <w:rPr>
          <w:rFonts w:ascii="Arial" w:hAnsi="Arial" w:cs="Arial"/>
          <w:sz w:val="18"/>
          <w:szCs w:val="18"/>
          <w:lang w:val="en-US"/>
        </w:rPr>
        <w:br w:type="page"/>
      </w:r>
    </w:p>
    <w:p w14:paraId="4127DB22" w14:textId="77777777" w:rsidR="00997858" w:rsidRPr="00BD295E" w:rsidRDefault="008A5057" w:rsidP="00997858">
      <w:pPr>
        <w:keepNext/>
        <w:ind w:firstLine="118"/>
        <w:jc w:val="both"/>
        <w:outlineLvl w:val="1"/>
        <w:rPr>
          <w:rFonts w:ascii="Arial" w:hAnsi="Arial" w:cs="Arial"/>
          <w:b/>
          <w:sz w:val="18"/>
          <w:szCs w:val="18"/>
          <w:lang w:val="en-US"/>
        </w:rPr>
      </w:pPr>
      <w:bookmarkStart w:id="545" w:name="_Toc5105988"/>
      <w:bookmarkStart w:id="546" w:name="_Toc5203841"/>
      <w:bookmarkStart w:id="547" w:name="_Toc6230938"/>
      <w:bookmarkStart w:id="548" w:name="_Toc95855307"/>
      <w:bookmarkStart w:id="549" w:name="_Toc95935366"/>
      <w:bookmarkStart w:id="550" w:name="_Toc473921990"/>
      <w:r w:rsidRPr="00BD295E">
        <w:rPr>
          <w:rFonts w:ascii="Arial" w:hAnsi="Arial" w:cs="Arial"/>
          <w:b/>
          <w:sz w:val="18"/>
          <w:szCs w:val="18"/>
          <w:lang w:val="en-US"/>
        </w:rPr>
        <w:t>SECTION 6. APPENDICES</w:t>
      </w:r>
      <w:bookmarkEnd w:id="545"/>
      <w:bookmarkEnd w:id="546"/>
      <w:bookmarkEnd w:id="547"/>
      <w:bookmarkEnd w:id="548"/>
      <w:bookmarkEnd w:id="549"/>
    </w:p>
    <w:p w14:paraId="310E7EB8" w14:textId="77777777" w:rsidR="00E30E5D" w:rsidRPr="00BD295E" w:rsidRDefault="00E30E5D" w:rsidP="00997858">
      <w:pPr>
        <w:keepNext/>
        <w:ind w:firstLine="118"/>
        <w:jc w:val="both"/>
        <w:outlineLvl w:val="1"/>
        <w:rPr>
          <w:rFonts w:ascii="Arial" w:hAnsi="Arial" w:cs="Arial"/>
          <w:b/>
          <w:sz w:val="18"/>
          <w:szCs w:val="18"/>
          <w:lang w:val="en-US"/>
        </w:rPr>
      </w:pPr>
    </w:p>
    <w:p w14:paraId="14202ABE" w14:textId="77777777" w:rsidR="00B20A51" w:rsidRPr="00BD295E" w:rsidRDefault="008A5057" w:rsidP="00E30E5D">
      <w:pPr>
        <w:pStyle w:val="27"/>
        <w:rPr>
          <w:rFonts w:ascii="Arial" w:eastAsia="Times New Roman" w:hAnsi="Arial" w:cs="Arial"/>
          <w:bCs w:val="0"/>
          <w:noProof w:val="0"/>
          <w:sz w:val="18"/>
          <w:szCs w:val="18"/>
          <w:lang w:val="en-US"/>
        </w:rPr>
      </w:pPr>
      <w:r w:rsidRPr="00BD295E">
        <w:rPr>
          <w:rFonts w:ascii="Arial" w:hAnsi="Arial" w:cs="Arial"/>
          <w:noProof w:val="0"/>
          <w:sz w:val="18"/>
          <w:szCs w:val="18"/>
          <w:lang w:val="en-US"/>
        </w:rPr>
        <w:fldChar w:fldCharType="begin"/>
      </w:r>
      <w:r w:rsidR="00230DB3" w:rsidRPr="00BD295E">
        <w:rPr>
          <w:rFonts w:ascii="Arial" w:hAnsi="Arial" w:cs="Arial"/>
          <w:noProof w:val="0"/>
          <w:sz w:val="18"/>
          <w:szCs w:val="18"/>
          <w:lang w:val="en-US"/>
        </w:rPr>
        <w:instrText xml:space="preserve"> TOC \o "1-3" \h \z \u </w:instrText>
      </w:r>
      <w:r w:rsidRPr="00BD295E">
        <w:rPr>
          <w:rFonts w:ascii="Arial" w:hAnsi="Arial" w:cs="Arial"/>
          <w:noProof w:val="0"/>
          <w:sz w:val="18"/>
          <w:szCs w:val="18"/>
          <w:lang w:val="en-US"/>
        </w:rPr>
        <w:fldChar w:fldCharType="separate"/>
      </w:r>
    </w:p>
    <w:p w14:paraId="311482F5" w14:textId="241BDE12" w:rsidR="00B20A51" w:rsidRPr="00BD295E" w:rsidRDefault="002C3947">
      <w:pPr>
        <w:pStyle w:val="27"/>
        <w:rPr>
          <w:rFonts w:ascii="Arial" w:eastAsia="Times New Roman" w:hAnsi="Arial" w:cs="Arial"/>
          <w:bCs w:val="0"/>
          <w:noProof w:val="0"/>
          <w:sz w:val="18"/>
          <w:szCs w:val="18"/>
          <w:lang w:val="en-US"/>
        </w:rPr>
      </w:pPr>
      <w:hyperlink w:anchor="_Toc95935366" w:history="1">
        <w:r w:rsidR="00B20A51" w:rsidRPr="00BD295E">
          <w:rPr>
            <w:rStyle w:val="af0"/>
            <w:rFonts w:ascii="Arial" w:hAnsi="Arial" w:cs="Arial"/>
            <w:noProof w:val="0"/>
            <w:color w:val="auto"/>
            <w:sz w:val="18"/>
            <w:szCs w:val="18"/>
            <w:lang w:val="en-US"/>
          </w:rPr>
          <w:t>SECTION 6. APPENDICES</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_Toc95935366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191</w:t>
        </w:r>
        <w:r w:rsidR="00B20A51" w:rsidRPr="00BD295E">
          <w:rPr>
            <w:rFonts w:ascii="Arial" w:hAnsi="Arial" w:cs="Arial"/>
            <w:noProof w:val="0"/>
            <w:webHidden/>
            <w:sz w:val="18"/>
            <w:szCs w:val="18"/>
            <w:lang w:val="en-US"/>
          </w:rPr>
          <w:fldChar w:fldCharType="end"/>
        </w:r>
      </w:hyperlink>
    </w:p>
    <w:p w14:paraId="7AF0B2DD" w14:textId="487C7C85" w:rsidR="00B20A51" w:rsidRPr="00BD295E" w:rsidRDefault="002C3947">
      <w:pPr>
        <w:pStyle w:val="27"/>
        <w:rPr>
          <w:rFonts w:ascii="Arial" w:eastAsia="Times New Roman" w:hAnsi="Arial" w:cs="Arial"/>
          <w:bCs w:val="0"/>
          <w:noProof w:val="0"/>
          <w:sz w:val="18"/>
          <w:szCs w:val="18"/>
          <w:lang w:val="en-US"/>
        </w:rPr>
      </w:pPr>
      <w:hyperlink w:anchor="_Toc95935367" w:history="1">
        <w:r w:rsidR="00B20A51" w:rsidRPr="00BD295E">
          <w:rPr>
            <w:rStyle w:val="af0"/>
            <w:rFonts w:ascii="Arial" w:hAnsi="Arial" w:cs="Arial"/>
            <w:noProof w:val="0"/>
            <w:color w:val="auto"/>
            <w:sz w:val="18"/>
            <w:szCs w:val="18"/>
            <w:lang w:val="en-US"/>
          </w:rPr>
          <w:t>6.1.</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About the Company</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_Toc95935367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192</w:t>
        </w:r>
        <w:r w:rsidR="00B20A51" w:rsidRPr="00BD295E">
          <w:rPr>
            <w:rFonts w:ascii="Arial" w:hAnsi="Arial" w:cs="Arial"/>
            <w:noProof w:val="0"/>
            <w:webHidden/>
            <w:sz w:val="18"/>
            <w:szCs w:val="18"/>
            <w:lang w:val="en-US"/>
          </w:rPr>
          <w:fldChar w:fldCharType="end"/>
        </w:r>
      </w:hyperlink>
    </w:p>
    <w:p w14:paraId="7F0ABB85" w14:textId="29FD484F" w:rsidR="00B20A51" w:rsidRPr="00BD295E" w:rsidRDefault="002C3947">
      <w:pPr>
        <w:pStyle w:val="27"/>
        <w:rPr>
          <w:rFonts w:ascii="Arial" w:eastAsia="Times New Roman" w:hAnsi="Arial" w:cs="Arial"/>
          <w:bCs w:val="0"/>
          <w:noProof w:val="0"/>
          <w:sz w:val="18"/>
          <w:szCs w:val="18"/>
          <w:lang w:val="en-US"/>
        </w:rPr>
      </w:pPr>
      <w:hyperlink w:anchor="_Toc95935368" w:history="1">
        <w:r w:rsidR="00B20A51" w:rsidRPr="00BD295E">
          <w:rPr>
            <w:rStyle w:val="af0"/>
            <w:rFonts w:ascii="Arial" w:hAnsi="Arial" w:cs="Arial"/>
            <w:noProof w:val="0"/>
            <w:color w:val="auto"/>
            <w:sz w:val="18"/>
            <w:szCs w:val="18"/>
            <w:lang w:val="en-US"/>
          </w:rPr>
          <w:t>6.2.</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Key Principles of the Accounting Policy</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_Toc95935368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193</w:t>
        </w:r>
        <w:r w:rsidR="00B20A51" w:rsidRPr="00BD295E">
          <w:rPr>
            <w:rFonts w:ascii="Arial" w:hAnsi="Arial" w:cs="Arial"/>
            <w:noProof w:val="0"/>
            <w:webHidden/>
            <w:sz w:val="18"/>
            <w:szCs w:val="18"/>
            <w:lang w:val="en-US"/>
          </w:rPr>
          <w:fldChar w:fldCharType="end"/>
        </w:r>
      </w:hyperlink>
    </w:p>
    <w:p w14:paraId="59C8EB9B" w14:textId="461A7309" w:rsidR="00B20A51" w:rsidRPr="00BD295E" w:rsidRDefault="002C3947">
      <w:pPr>
        <w:pStyle w:val="27"/>
        <w:rPr>
          <w:rFonts w:ascii="Arial" w:eastAsia="Times New Roman" w:hAnsi="Arial" w:cs="Arial"/>
          <w:bCs w:val="0"/>
          <w:noProof w:val="0"/>
          <w:sz w:val="18"/>
          <w:szCs w:val="18"/>
          <w:lang w:val="en-US"/>
        </w:rPr>
      </w:pPr>
      <w:hyperlink w:anchor="_Toc95935369" w:history="1">
        <w:r w:rsidR="00B20A51" w:rsidRPr="00BD295E">
          <w:rPr>
            <w:rStyle w:val="af0"/>
            <w:rFonts w:ascii="Arial" w:hAnsi="Arial" w:cs="Arial"/>
            <w:noProof w:val="0"/>
            <w:color w:val="auto"/>
            <w:sz w:val="18"/>
            <w:szCs w:val="18"/>
            <w:lang w:val="en-US"/>
          </w:rPr>
          <w:t>6.3.</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Report on Compliance with the Principles and Guidelines of the Corporate Governance Code in 2018.</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_Toc95935369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198</w:t>
        </w:r>
        <w:r w:rsidR="00B20A51" w:rsidRPr="00BD295E">
          <w:rPr>
            <w:rFonts w:ascii="Arial" w:hAnsi="Arial" w:cs="Arial"/>
            <w:noProof w:val="0"/>
            <w:webHidden/>
            <w:sz w:val="18"/>
            <w:szCs w:val="18"/>
            <w:lang w:val="en-US"/>
          </w:rPr>
          <w:fldChar w:fldCharType="end"/>
        </w:r>
      </w:hyperlink>
    </w:p>
    <w:p w14:paraId="0C0370C1" w14:textId="6A8AC96D" w:rsidR="00B20A51" w:rsidRPr="00BD295E" w:rsidRDefault="002C3947">
      <w:pPr>
        <w:pStyle w:val="27"/>
        <w:rPr>
          <w:rFonts w:ascii="Arial" w:eastAsia="Times New Roman" w:hAnsi="Arial" w:cs="Arial"/>
          <w:bCs w:val="0"/>
          <w:noProof w:val="0"/>
          <w:sz w:val="18"/>
          <w:szCs w:val="18"/>
          <w:lang w:val="en-US"/>
        </w:rPr>
      </w:pPr>
      <w:hyperlink w:anchor="_Toc95935370" w:history="1">
        <w:r w:rsidR="00B20A51" w:rsidRPr="00BD295E">
          <w:rPr>
            <w:rStyle w:val="af0"/>
            <w:rFonts w:ascii="Arial" w:hAnsi="Arial" w:cs="Arial"/>
            <w:noProof w:val="0"/>
            <w:color w:val="auto"/>
            <w:sz w:val="18"/>
            <w:szCs w:val="18"/>
            <w:lang w:val="en-US"/>
          </w:rPr>
          <w:t>6.4.</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 xml:space="preserve">Report on Interested-Party Transactions Made by </w:t>
        </w:r>
        <w:r w:rsidR="00EE5753" w:rsidRPr="00BD295E">
          <w:rPr>
            <w:rStyle w:val="af0"/>
            <w:rFonts w:ascii="Arial" w:hAnsi="Arial" w:cs="Arial"/>
            <w:noProof w:val="0"/>
            <w:color w:val="auto"/>
            <w:sz w:val="18"/>
            <w:szCs w:val="18"/>
            <w:lang w:val="en-US"/>
          </w:rPr>
          <w:t>PJSC “Lenenergo”</w:t>
        </w:r>
        <w:r w:rsidR="00B20A51" w:rsidRPr="00BD295E">
          <w:rPr>
            <w:rStyle w:val="af0"/>
            <w:rFonts w:ascii="Arial" w:hAnsi="Arial" w:cs="Arial"/>
            <w:noProof w:val="0"/>
            <w:color w:val="auto"/>
            <w:sz w:val="18"/>
            <w:szCs w:val="18"/>
            <w:lang w:val="en-US"/>
          </w:rPr>
          <w:t xml:space="preserve"> in 2018</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_Toc95935370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229</w:t>
        </w:r>
        <w:r w:rsidR="00B20A51" w:rsidRPr="00BD295E">
          <w:rPr>
            <w:rFonts w:ascii="Arial" w:hAnsi="Arial" w:cs="Arial"/>
            <w:noProof w:val="0"/>
            <w:webHidden/>
            <w:sz w:val="18"/>
            <w:szCs w:val="18"/>
            <w:lang w:val="en-US"/>
          </w:rPr>
          <w:fldChar w:fldCharType="end"/>
        </w:r>
      </w:hyperlink>
    </w:p>
    <w:p w14:paraId="7B094E9D" w14:textId="61F6D15A" w:rsidR="00B20A51" w:rsidRPr="00BD295E" w:rsidRDefault="002C3947">
      <w:pPr>
        <w:pStyle w:val="27"/>
        <w:rPr>
          <w:rFonts w:ascii="Arial" w:eastAsia="Times New Roman" w:hAnsi="Arial" w:cs="Arial"/>
          <w:bCs w:val="0"/>
          <w:noProof w:val="0"/>
          <w:sz w:val="18"/>
          <w:szCs w:val="18"/>
          <w:lang w:val="en-US"/>
        </w:rPr>
      </w:pPr>
      <w:hyperlink w:anchor="_Toc95935371" w:history="1">
        <w:r w:rsidR="00B20A51" w:rsidRPr="00BD295E">
          <w:rPr>
            <w:rStyle w:val="af0"/>
            <w:rFonts w:ascii="Arial" w:hAnsi="Arial" w:cs="Arial"/>
            <w:noProof w:val="0"/>
            <w:color w:val="auto"/>
            <w:sz w:val="18"/>
            <w:szCs w:val="18"/>
            <w:lang w:val="en-US"/>
          </w:rPr>
          <w:t>6.5.</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Information on approved tariffs for electricity distribution for 2018–2019.</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_Toc95935371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232</w:t>
        </w:r>
        <w:r w:rsidR="00B20A51" w:rsidRPr="00BD295E">
          <w:rPr>
            <w:rFonts w:ascii="Arial" w:hAnsi="Arial" w:cs="Arial"/>
            <w:noProof w:val="0"/>
            <w:webHidden/>
            <w:sz w:val="18"/>
            <w:szCs w:val="18"/>
            <w:lang w:val="en-US"/>
          </w:rPr>
          <w:fldChar w:fldCharType="end"/>
        </w:r>
      </w:hyperlink>
    </w:p>
    <w:p w14:paraId="2F19C736" w14:textId="7208C859" w:rsidR="00B20A51" w:rsidRPr="00BD295E" w:rsidRDefault="002C3947">
      <w:pPr>
        <w:pStyle w:val="27"/>
        <w:rPr>
          <w:rFonts w:ascii="Arial" w:eastAsia="Times New Roman" w:hAnsi="Arial" w:cs="Arial"/>
          <w:bCs w:val="0"/>
          <w:noProof w:val="0"/>
          <w:sz w:val="18"/>
          <w:szCs w:val="18"/>
          <w:lang w:val="en-US"/>
        </w:rPr>
      </w:pPr>
      <w:hyperlink w:anchor="_Toc95935372" w:history="1">
        <w:r w:rsidR="00B20A51" w:rsidRPr="00BD295E">
          <w:rPr>
            <w:rStyle w:val="af0"/>
            <w:rFonts w:ascii="Arial" w:hAnsi="Arial" w:cs="Arial"/>
            <w:noProof w:val="0"/>
            <w:color w:val="auto"/>
            <w:sz w:val="18"/>
            <w:szCs w:val="18"/>
            <w:lang w:val="en-US"/>
          </w:rPr>
          <w:t>6.6.</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Information on approved tariffs for grid connection for 2018–2019.</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_Toc95935372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240</w:t>
        </w:r>
        <w:r w:rsidR="00B20A51" w:rsidRPr="00BD295E">
          <w:rPr>
            <w:rFonts w:ascii="Arial" w:hAnsi="Arial" w:cs="Arial"/>
            <w:noProof w:val="0"/>
            <w:webHidden/>
            <w:sz w:val="18"/>
            <w:szCs w:val="18"/>
            <w:lang w:val="en-US"/>
          </w:rPr>
          <w:fldChar w:fldCharType="end"/>
        </w:r>
      </w:hyperlink>
    </w:p>
    <w:p w14:paraId="0AFC24EF" w14:textId="1737B436" w:rsidR="00B20A51" w:rsidRPr="00BD295E" w:rsidRDefault="002C3947">
      <w:pPr>
        <w:pStyle w:val="27"/>
        <w:rPr>
          <w:rFonts w:ascii="Arial" w:eastAsia="Times New Roman" w:hAnsi="Arial" w:cs="Arial"/>
          <w:bCs w:val="0"/>
          <w:noProof w:val="0"/>
          <w:sz w:val="18"/>
          <w:szCs w:val="18"/>
          <w:lang w:val="en-US"/>
        </w:rPr>
      </w:pPr>
      <w:hyperlink w:anchor="_Toc95935373" w:history="1">
        <w:r w:rsidR="00B20A51" w:rsidRPr="00BD295E">
          <w:rPr>
            <w:rStyle w:val="af0"/>
            <w:rFonts w:ascii="Arial" w:hAnsi="Arial" w:cs="Arial"/>
            <w:noProof w:val="0"/>
            <w:color w:val="auto"/>
            <w:sz w:val="18"/>
            <w:szCs w:val="18"/>
            <w:lang w:val="en-US"/>
          </w:rPr>
          <w:t>6.7.</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Information on the structure of assets and its changes in 2018</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_Toc95935373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265</w:t>
        </w:r>
        <w:r w:rsidR="00B20A51" w:rsidRPr="00BD295E">
          <w:rPr>
            <w:rFonts w:ascii="Arial" w:hAnsi="Arial" w:cs="Arial"/>
            <w:noProof w:val="0"/>
            <w:webHidden/>
            <w:sz w:val="18"/>
            <w:szCs w:val="18"/>
            <w:lang w:val="en-US"/>
          </w:rPr>
          <w:fldChar w:fldCharType="end"/>
        </w:r>
      </w:hyperlink>
    </w:p>
    <w:p w14:paraId="06218ECA" w14:textId="306E85BA" w:rsidR="00B20A51" w:rsidRPr="00BD295E" w:rsidRDefault="002C3947">
      <w:pPr>
        <w:pStyle w:val="27"/>
        <w:rPr>
          <w:rFonts w:ascii="Arial" w:eastAsia="Times New Roman" w:hAnsi="Arial" w:cs="Arial"/>
          <w:bCs w:val="0"/>
          <w:noProof w:val="0"/>
          <w:sz w:val="18"/>
          <w:szCs w:val="18"/>
          <w:lang w:val="en-US"/>
        </w:rPr>
      </w:pPr>
      <w:hyperlink w:anchor="_Toc95935374" w:history="1">
        <w:r w:rsidR="00B20A51" w:rsidRPr="00BD295E">
          <w:rPr>
            <w:rStyle w:val="af0"/>
            <w:rFonts w:ascii="Arial" w:hAnsi="Arial" w:cs="Arial"/>
            <w:noProof w:val="0"/>
            <w:color w:val="auto"/>
            <w:sz w:val="18"/>
            <w:szCs w:val="18"/>
            <w:lang w:val="en-US"/>
          </w:rPr>
          <w:t>6.8.</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Changes in the breakdown of capital investments in 2016–2018;</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_Toc95935374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268</w:t>
        </w:r>
        <w:r w:rsidR="00B20A51" w:rsidRPr="00BD295E">
          <w:rPr>
            <w:rFonts w:ascii="Arial" w:hAnsi="Arial" w:cs="Arial"/>
            <w:noProof w:val="0"/>
            <w:webHidden/>
            <w:sz w:val="18"/>
            <w:szCs w:val="18"/>
            <w:lang w:val="en-US"/>
          </w:rPr>
          <w:fldChar w:fldCharType="end"/>
        </w:r>
      </w:hyperlink>
    </w:p>
    <w:p w14:paraId="506F8411" w14:textId="5A7B3C2D" w:rsidR="00B20A51" w:rsidRPr="00BD295E" w:rsidRDefault="002C3947">
      <w:pPr>
        <w:pStyle w:val="27"/>
        <w:rPr>
          <w:rFonts w:ascii="Arial" w:eastAsia="Times New Roman" w:hAnsi="Arial" w:cs="Arial"/>
          <w:bCs w:val="0"/>
          <w:noProof w:val="0"/>
          <w:sz w:val="18"/>
          <w:szCs w:val="18"/>
          <w:lang w:val="en-US"/>
        </w:rPr>
      </w:pPr>
      <w:hyperlink w:anchor="_Toc95935375" w:history="1">
        <w:r w:rsidR="00B20A51" w:rsidRPr="00BD295E">
          <w:rPr>
            <w:rStyle w:val="af0"/>
            <w:rFonts w:ascii="Arial" w:hAnsi="Arial" w:cs="Arial"/>
            <w:noProof w:val="0"/>
            <w:color w:val="auto"/>
            <w:sz w:val="18"/>
            <w:szCs w:val="18"/>
            <w:lang w:val="en-US"/>
          </w:rPr>
          <w:t>6.9.</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Organizational structure of the Company</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_Toc95935375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270</w:t>
        </w:r>
        <w:r w:rsidR="00B20A51" w:rsidRPr="00BD295E">
          <w:rPr>
            <w:rFonts w:ascii="Arial" w:hAnsi="Arial" w:cs="Arial"/>
            <w:noProof w:val="0"/>
            <w:webHidden/>
            <w:sz w:val="18"/>
            <w:szCs w:val="18"/>
            <w:lang w:val="en-US"/>
          </w:rPr>
          <w:fldChar w:fldCharType="end"/>
        </w:r>
      </w:hyperlink>
    </w:p>
    <w:p w14:paraId="612A7237" w14:textId="22DC021B" w:rsidR="00B20A51" w:rsidRPr="00BD295E" w:rsidRDefault="002C3947">
      <w:pPr>
        <w:pStyle w:val="27"/>
        <w:rPr>
          <w:rFonts w:ascii="Arial" w:eastAsia="Times New Roman" w:hAnsi="Arial" w:cs="Arial"/>
          <w:bCs w:val="0"/>
          <w:noProof w:val="0"/>
          <w:sz w:val="18"/>
          <w:szCs w:val="18"/>
          <w:lang w:val="en-US"/>
        </w:rPr>
      </w:pPr>
      <w:hyperlink w:anchor="_Toc95935376" w:history="1">
        <w:r w:rsidR="00B20A51" w:rsidRPr="00BD295E">
          <w:rPr>
            <w:rStyle w:val="af0"/>
            <w:rFonts w:ascii="Arial" w:hAnsi="Arial" w:cs="Arial"/>
            <w:noProof w:val="0"/>
            <w:color w:val="auto"/>
            <w:sz w:val="18"/>
            <w:szCs w:val="18"/>
            <w:lang w:val="en-US"/>
          </w:rPr>
          <w:t>6.10.</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Customer service centers in Saint Petersburg and the Leningrad Region;</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_Toc95935376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273</w:t>
        </w:r>
        <w:r w:rsidR="00B20A51" w:rsidRPr="00BD295E">
          <w:rPr>
            <w:rFonts w:ascii="Arial" w:hAnsi="Arial" w:cs="Arial"/>
            <w:noProof w:val="0"/>
            <w:webHidden/>
            <w:sz w:val="18"/>
            <w:szCs w:val="18"/>
            <w:lang w:val="en-US"/>
          </w:rPr>
          <w:fldChar w:fldCharType="end"/>
        </w:r>
      </w:hyperlink>
    </w:p>
    <w:p w14:paraId="346C935B" w14:textId="376E0F4E" w:rsidR="00B20A51" w:rsidRPr="00BD295E" w:rsidRDefault="002C3947">
      <w:pPr>
        <w:pStyle w:val="27"/>
        <w:rPr>
          <w:rFonts w:ascii="Arial" w:eastAsia="Times New Roman" w:hAnsi="Arial" w:cs="Arial"/>
          <w:bCs w:val="0"/>
          <w:noProof w:val="0"/>
          <w:sz w:val="18"/>
          <w:szCs w:val="18"/>
          <w:lang w:val="en-US"/>
        </w:rPr>
      </w:pPr>
      <w:hyperlink w:anchor="_Toc95935377" w:history="1">
        <w:r w:rsidR="00B20A51" w:rsidRPr="00BD295E">
          <w:rPr>
            <w:rStyle w:val="af0"/>
            <w:rFonts w:ascii="Arial" w:hAnsi="Arial" w:cs="Arial"/>
            <w:noProof w:val="0"/>
            <w:color w:val="auto"/>
            <w:sz w:val="18"/>
            <w:szCs w:val="18"/>
            <w:lang w:val="en-US"/>
          </w:rPr>
          <w:t>6.11.</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 xml:space="preserve">Functions of participants of the internal control system of </w:t>
        </w:r>
        <w:r w:rsidR="00EE5753" w:rsidRPr="00BD295E">
          <w:rPr>
            <w:rStyle w:val="af0"/>
            <w:rFonts w:ascii="Arial" w:hAnsi="Arial" w:cs="Arial"/>
            <w:noProof w:val="0"/>
            <w:color w:val="auto"/>
            <w:sz w:val="18"/>
            <w:szCs w:val="18"/>
            <w:lang w:val="en-US"/>
          </w:rPr>
          <w:t>PJSC “Lenenergo”</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_Toc95935377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273</w:t>
        </w:r>
        <w:r w:rsidR="00B20A51" w:rsidRPr="00BD295E">
          <w:rPr>
            <w:rFonts w:ascii="Arial" w:hAnsi="Arial" w:cs="Arial"/>
            <w:noProof w:val="0"/>
            <w:webHidden/>
            <w:sz w:val="18"/>
            <w:szCs w:val="18"/>
            <w:lang w:val="en-US"/>
          </w:rPr>
          <w:fldChar w:fldCharType="end"/>
        </w:r>
      </w:hyperlink>
    </w:p>
    <w:p w14:paraId="445DC8B3" w14:textId="0BBA9E45" w:rsidR="00B20A51" w:rsidRPr="00BD295E" w:rsidRDefault="002C3947">
      <w:pPr>
        <w:pStyle w:val="27"/>
        <w:rPr>
          <w:rFonts w:ascii="Arial" w:eastAsia="Times New Roman" w:hAnsi="Arial" w:cs="Arial"/>
          <w:bCs w:val="0"/>
          <w:noProof w:val="0"/>
          <w:sz w:val="18"/>
          <w:szCs w:val="18"/>
          <w:lang w:val="en-US"/>
        </w:rPr>
      </w:pPr>
      <w:hyperlink w:anchor="_Toc95935378" w:history="1">
        <w:r w:rsidR="00B20A51" w:rsidRPr="00BD295E">
          <w:rPr>
            <w:rStyle w:val="af0"/>
            <w:rFonts w:ascii="Arial" w:hAnsi="Arial" w:cs="Arial"/>
            <w:noProof w:val="0"/>
            <w:color w:val="auto"/>
            <w:sz w:val="18"/>
            <w:szCs w:val="18"/>
            <w:lang w:val="en-US"/>
          </w:rPr>
          <w:t>6.12.</w:t>
        </w:r>
        <w:r w:rsidR="00B20A51" w:rsidRPr="00BD295E">
          <w:rPr>
            <w:rFonts w:ascii="Arial" w:eastAsia="Times New Roman" w:hAnsi="Arial" w:cs="Arial"/>
            <w:bCs w:val="0"/>
            <w:noProof w:val="0"/>
            <w:sz w:val="18"/>
            <w:szCs w:val="18"/>
            <w:lang w:val="en-US"/>
          </w:rPr>
          <w:tab/>
        </w:r>
        <w:r w:rsidR="00B20A51" w:rsidRPr="00BD295E">
          <w:rPr>
            <w:rStyle w:val="af0"/>
            <w:rFonts w:ascii="Arial" w:hAnsi="Arial" w:cs="Arial"/>
            <w:noProof w:val="0"/>
            <w:color w:val="auto"/>
            <w:sz w:val="18"/>
            <w:szCs w:val="18"/>
            <w:lang w:val="en-US"/>
          </w:rPr>
          <w:t xml:space="preserve">RAS financial statements of </w:t>
        </w:r>
        <w:r w:rsidR="00EE5753" w:rsidRPr="00BD295E">
          <w:rPr>
            <w:rStyle w:val="af0"/>
            <w:rFonts w:ascii="Arial" w:hAnsi="Arial" w:cs="Arial"/>
            <w:noProof w:val="0"/>
            <w:color w:val="auto"/>
            <w:sz w:val="18"/>
            <w:szCs w:val="18"/>
            <w:lang w:val="en-US"/>
          </w:rPr>
          <w:t>PJSC “Lenenergo”</w:t>
        </w:r>
        <w:r w:rsidR="00B20A51" w:rsidRPr="00BD295E">
          <w:rPr>
            <w:rFonts w:ascii="Arial" w:hAnsi="Arial" w:cs="Arial"/>
            <w:noProof w:val="0"/>
            <w:webHidden/>
            <w:sz w:val="18"/>
            <w:szCs w:val="18"/>
            <w:lang w:val="en-US"/>
          </w:rPr>
          <w:tab/>
        </w:r>
        <w:r w:rsidR="00B20A51" w:rsidRPr="00BD295E">
          <w:rPr>
            <w:rFonts w:ascii="Arial" w:hAnsi="Arial" w:cs="Arial"/>
            <w:noProof w:val="0"/>
            <w:webHidden/>
            <w:sz w:val="18"/>
            <w:szCs w:val="18"/>
            <w:lang w:val="en-US"/>
          </w:rPr>
          <w:fldChar w:fldCharType="begin"/>
        </w:r>
        <w:r w:rsidR="00B20A51" w:rsidRPr="00BD295E">
          <w:rPr>
            <w:rFonts w:ascii="Arial" w:hAnsi="Arial" w:cs="Arial"/>
            <w:noProof w:val="0"/>
            <w:webHidden/>
            <w:sz w:val="18"/>
            <w:szCs w:val="18"/>
            <w:lang w:val="en-US"/>
          </w:rPr>
          <w:instrText xml:space="preserve"> PAGEREF _Toc95935378 \h </w:instrText>
        </w:r>
        <w:r w:rsidR="00B20A51" w:rsidRPr="00BD295E">
          <w:rPr>
            <w:rFonts w:ascii="Arial" w:hAnsi="Arial" w:cs="Arial"/>
            <w:noProof w:val="0"/>
            <w:webHidden/>
            <w:sz w:val="18"/>
            <w:szCs w:val="18"/>
            <w:lang w:val="en-US"/>
          </w:rPr>
        </w:r>
        <w:r w:rsidR="00B20A51" w:rsidRPr="00BD295E">
          <w:rPr>
            <w:rFonts w:ascii="Arial" w:hAnsi="Arial" w:cs="Arial"/>
            <w:noProof w:val="0"/>
            <w:webHidden/>
            <w:sz w:val="18"/>
            <w:szCs w:val="18"/>
            <w:lang w:val="en-US"/>
          </w:rPr>
          <w:fldChar w:fldCharType="separate"/>
        </w:r>
        <w:r w:rsidR="00686753" w:rsidRPr="00BD295E">
          <w:rPr>
            <w:rFonts w:ascii="Arial" w:hAnsi="Arial" w:cs="Arial"/>
            <w:noProof w:val="0"/>
            <w:webHidden/>
            <w:sz w:val="18"/>
            <w:szCs w:val="18"/>
            <w:lang w:val="en-US"/>
          </w:rPr>
          <w:t>276</w:t>
        </w:r>
        <w:r w:rsidR="00B20A51" w:rsidRPr="00BD295E">
          <w:rPr>
            <w:rFonts w:ascii="Arial" w:hAnsi="Arial" w:cs="Arial"/>
            <w:noProof w:val="0"/>
            <w:webHidden/>
            <w:sz w:val="18"/>
            <w:szCs w:val="18"/>
            <w:lang w:val="en-US"/>
          </w:rPr>
          <w:fldChar w:fldCharType="end"/>
        </w:r>
      </w:hyperlink>
    </w:p>
    <w:p w14:paraId="5CE94F2C" w14:textId="77777777" w:rsidR="00230DB3" w:rsidRPr="00BD295E" w:rsidRDefault="008A5057" w:rsidP="00230DB3">
      <w:pPr>
        <w:rPr>
          <w:rFonts w:ascii="Arial" w:hAnsi="Arial" w:cs="Arial"/>
          <w:bCs/>
          <w:sz w:val="18"/>
          <w:szCs w:val="18"/>
          <w:lang w:val="en-US"/>
        </w:rPr>
      </w:pPr>
      <w:r w:rsidRPr="00BD295E">
        <w:rPr>
          <w:rFonts w:ascii="Arial" w:hAnsi="Arial" w:cs="Arial"/>
          <w:bCs/>
          <w:sz w:val="18"/>
          <w:szCs w:val="18"/>
          <w:lang w:val="en-US"/>
        </w:rPr>
        <w:fldChar w:fldCharType="end"/>
      </w:r>
    </w:p>
    <w:p w14:paraId="7D8F2425" w14:textId="77777777" w:rsidR="00230DB3" w:rsidRPr="00BD295E" w:rsidRDefault="008A5057">
      <w:pPr>
        <w:spacing w:after="160" w:line="259" w:lineRule="auto"/>
        <w:rPr>
          <w:rFonts w:ascii="Arial" w:hAnsi="Arial" w:cs="Arial"/>
          <w:sz w:val="18"/>
          <w:szCs w:val="18"/>
          <w:lang w:val="en-US"/>
        </w:rPr>
      </w:pPr>
      <w:r w:rsidRPr="00BD295E">
        <w:rPr>
          <w:rFonts w:ascii="Arial" w:hAnsi="Arial" w:cs="Arial"/>
          <w:sz w:val="18"/>
          <w:szCs w:val="18"/>
          <w:lang w:val="en-US"/>
        </w:rPr>
        <w:br w:type="page"/>
      </w:r>
    </w:p>
    <w:p w14:paraId="776AA57C" w14:textId="77777777" w:rsidR="004D2697" w:rsidRPr="00BD295E" w:rsidRDefault="008A5057" w:rsidP="0033027C">
      <w:pPr>
        <w:pStyle w:val="2"/>
        <w:numPr>
          <w:ilvl w:val="1"/>
          <w:numId w:val="17"/>
        </w:numPr>
        <w:rPr>
          <w:rFonts w:ascii="Arial" w:hAnsi="Arial" w:cs="Arial"/>
          <w:sz w:val="18"/>
          <w:szCs w:val="18"/>
          <w:lang w:val="en-US"/>
        </w:rPr>
      </w:pPr>
      <w:bookmarkStart w:id="551" w:name="_Toc509493645"/>
      <w:bookmarkStart w:id="552" w:name="_Toc509581213"/>
      <w:bookmarkStart w:id="553" w:name="_Toc509934185"/>
      <w:bookmarkStart w:id="554" w:name="_Toc510452178"/>
      <w:bookmarkStart w:id="555" w:name="_Toc510453044"/>
      <w:bookmarkStart w:id="556" w:name="_Toc510624077"/>
      <w:bookmarkStart w:id="557" w:name="_Toc511055125"/>
      <w:bookmarkStart w:id="558" w:name="_Toc511747481"/>
      <w:bookmarkStart w:id="559" w:name="_Toc5101336"/>
      <w:bookmarkStart w:id="560" w:name="_Toc5101715"/>
      <w:bookmarkStart w:id="561" w:name="_Toc5874610"/>
      <w:bookmarkStart w:id="562" w:name="_Toc95855308"/>
      <w:bookmarkStart w:id="563" w:name="_Toc95935367"/>
      <w:r w:rsidRPr="00BD295E">
        <w:rPr>
          <w:rFonts w:ascii="Arial" w:hAnsi="Arial" w:cs="Arial"/>
          <w:sz w:val="18"/>
          <w:szCs w:val="18"/>
          <w:lang w:val="en-US"/>
        </w:rPr>
        <w:t>About the Company</w:t>
      </w:r>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p>
    <w:p w14:paraId="515B849A" w14:textId="77777777" w:rsidR="004D2697" w:rsidRPr="00BD295E" w:rsidRDefault="004D2697" w:rsidP="004D2697">
      <w:pPr>
        <w:spacing w:after="160" w:line="259" w:lineRule="auto"/>
        <w:rPr>
          <w:rFonts w:ascii="Arial" w:hAnsi="Arial" w:cs="Arial"/>
          <w:sz w:val="18"/>
          <w:szCs w:val="18"/>
          <w:lang w:val="en-US"/>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5812"/>
      </w:tblGrid>
      <w:tr w:rsidR="008A5057" w:rsidRPr="00BD295E" w14:paraId="3A506048" w14:textId="77777777" w:rsidTr="00EC3869">
        <w:tc>
          <w:tcPr>
            <w:tcW w:w="3085" w:type="dxa"/>
          </w:tcPr>
          <w:p w14:paraId="3EFAD9D8" w14:textId="77777777" w:rsidR="004D2697" w:rsidRPr="00BD295E" w:rsidRDefault="008A5057" w:rsidP="00CA2271">
            <w:pPr>
              <w:numPr>
                <w:ilvl w:val="0"/>
                <w:numId w:val="63"/>
              </w:numPr>
              <w:spacing w:after="160" w:line="259" w:lineRule="auto"/>
              <w:ind w:left="0" w:firstLine="0"/>
              <w:rPr>
                <w:rFonts w:ascii="Arial" w:hAnsi="Arial" w:cs="Arial"/>
                <w:sz w:val="18"/>
                <w:szCs w:val="18"/>
                <w:lang w:val="en-US"/>
              </w:rPr>
            </w:pPr>
            <w:r w:rsidRPr="00BD295E">
              <w:rPr>
                <w:rFonts w:ascii="Arial" w:hAnsi="Arial" w:cs="Arial"/>
                <w:sz w:val="18"/>
                <w:szCs w:val="18"/>
                <w:lang w:val="en-US"/>
              </w:rPr>
              <w:t>Full name</w:t>
            </w:r>
          </w:p>
        </w:tc>
        <w:tc>
          <w:tcPr>
            <w:tcW w:w="5812" w:type="dxa"/>
          </w:tcPr>
          <w:p w14:paraId="3883FB67" w14:textId="77777777" w:rsidR="004D2697" w:rsidRPr="00BD295E" w:rsidRDefault="008B183C" w:rsidP="004D2697">
            <w:pPr>
              <w:spacing w:after="160" w:line="259" w:lineRule="auto"/>
              <w:rPr>
                <w:rFonts w:ascii="Arial" w:hAnsi="Arial" w:cs="Arial"/>
                <w:sz w:val="18"/>
                <w:szCs w:val="18"/>
                <w:lang w:val="en-US"/>
              </w:rPr>
            </w:pPr>
            <w:r w:rsidRPr="00BD295E">
              <w:rPr>
                <w:rFonts w:ascii="Arial" w:hAnsi="Arial" w:cs="Arial"/>
                <w:sz w:val="18"/>
                <w:szCs w:val="18"/>
                <w:lang w:val="en-US"/>
              </w:rPr>
              <w:t>Public Joint-Stock Company “Lenenergo”</w:t>
            </w:r>
            <w:r w:rsidR="008A5057" w:rsidRPr="00BD295E">
              <w:rPr>
                <w:rFonts w:ascii="Arial" w:hAnsi="Arial" w:cs="Arial"/>
                <w:sz w:val="18"/>
                <w:szCs w:val="18"/>
                <w:lang w:val="en-US"/>
              </w:rPr>
              <w:t xml:space="preserve"> </w:t>
            </w:r>
          </w:p>
        </w:tc>
      </w:tr>
      <w:tr w:rsidR="008A5057" w:rsidRPr="00BD295E" w14:paraId="6EB4E400" w14:textId="77777777" w:rsidTr="00EC3869">
        <w:tc>
          <w:tcPr>
            <w:tcW w:w="3085" w:type="dxa"/>
          </w:tcPr>
          <w:p w14:paraId="388A7709"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Short name</w:t>
            </w:r>
          </w:p>
        </w:tc>
        <w:tc>
          <w:tcPr>
            <w:tcW w:w="5812" w:type="dxa"/>
          </w:tcPr>
          <w:p w14:paraId="330555AF" w14:textId="77777777" w:rsidR="004D2697" w:rsidRPr="00BD295E" w:rsidRDefault="00EE5753" w:rsidP="004D2697">
            <w:pPr>
              <w:spacing w:after="160" w:line="259" w:lineRule="auto"/>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w:t>
            </w:r>
          </w:p>
        </w:tc>
      </w:tr>
      <w:tr w:rsidR="008A5057" w:rsidRPr="00BD295E" w14:paraId="77C11522" w14:textId="77777777" w:rsidTr="00EC3869">
        <w:tc>
          <w:tcPr>
            <w:tcW w:w="3085" w:type="dxa"/>
          </w:tcPr>
          <w:p w14:paraId="2C9BD481"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Location</w:t>
            </w:r>
          </w:p>
        </w:tc>
        <w:tc>
          <w:tcPr>
            <w:tcW w:w="5812" w:type="dxa"/>
          </w:tcPr>
          <w:p w14:paraId="7134201E"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1, Ploshchad Konstitutsii, Saint Petersburg, 196247</w:t>
            </w:r>
          </w:p>
        </w:tc>
      </w:tr>
      <w:tr w:rsidR="008A5057" w:rsidRPr="00BD295E" w14:paraId="0D972FCC" w14:textId="77777777" w:rsidTr="00EC3869">
        <w:tc>
          <w:tcPr>
            <w:tcW w:w="3085" w:type="dxa"/>
          </w:tcPr>
          <w:p w14:paraId="4554AB78"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INN/KPP</w:t>
            </w:r>
          </w:p>
        </w:tc>
        <w:tc>
          <w:tcPr>
            <w:tcW w:w="5812" w:type="dxa"/>
          </w:tcPr>
          <w:p w14:paraId="5C42E6A5"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7803002209 / 781001001</w:t>
            </w:r>
          </w:p>
        </w:tc>
      </w:tr>
      <w:tr w:rsidR="008A5057" w:rsidRPr="00BD295E" w14:paraId="4D1BBA6C" w14:textId="77777777" w:rsidTr="00EC3869">
        <w:tc>
          <w:tcPr>
            <w:tcW w:w="3085" w:type="dxa"/>
          </w:tcPr>
          <w:p w14:paraId="7C114F24"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OGRN</w:t>
            </w:r>
          </w:p>
        </w:tc>
        <w:tc>
          <w:tcPr>
            <w:tcW w:w="5812" w:type="dxa"/>
          </w:tcPr>
          <w:p w14:paraId="3F161476"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1027809170300</w:t>
            </w:r>
          </w:p>
        </w:tc>
      </w:tr>
      <w:tr w:rsidR="008A5057" w:rsidRPr="00BD295E" w14:paraId="101EF03D" w14:textId="77777777" w:rsidTr="00EC3869">
        <w:tc>
          <w:tcPr>
            <w:tcW w:w="3085" w:type="dxa"/>
          </w:tcPr>
          <w:p w14:paraId="3BCBACFB"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Bank details</w:t>
            </w:r>
          </w:p>
        </w:tc>
        <w:tc>
          <w:tcPr>
            <w:tcW w:w="5812" w:type="dxa"/>
          </w:tcPr>
          <w:p w14:paraId="0FB7FAAB"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a/c 40702810855000164957, correspondent a/c 30101810500000000653</w:t>
            </w:r>
          </w:p>
          <w:p w14:paraId="201831AA"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NORTHWEST BANK OF SBERBANK, PJSC</w:t>
            </w:r>
          </w:p>
          <w:p w14:paraId="5B35FB6E"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Saint Petersburg</w:t>
            </w:r>
          </w:p>
          <w:p w14:paraId="40FB9F66"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BIC 044030653</w:t>
            </w:r>
          </w:p>
        </w:tc>
      </w:tr>
      <w:tr w:rsidR="008A5057" w:rsidRPr="00BD295E" w14:paraId="4944DD0E" w14:textId="77777777" w:rsidTr="00EC3869">
        <w:tc>
          <w:tcPr>
            <w:tcW w:w="3085" w:type="dxa"/>
          </w:tcPr>
          <w:p w14:paraId="0DF30205"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E-mail</w:t>
            </w:r>
          </w:p>
        </w:tc>
        <w:tc>
          <w:tcPr>
            <w:tcW w:w="5812" w:type="dxa"/>
          </w:tcPr>
          <w:p w14:paraId="3EA13396"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office@lenenergo.ru</w:t>
            </w:r>
          </w:p>
        </w:tc>
      </w:tr>
      <w:tr w:rsidR="008A5057" w:rsidRPr="00BD295E" w14:paraId="1ECA20ED" w14:textId="77777777" w:rsidTr="00EC3869">
        <w:tc>
          <w:tcPr>
            <w:tcW w:w="3085" w:type="dxa"/>
          </w:tcPr>
          <w:p w14:paraId="71E13A93"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Web-site:</w:t>
            </w:r>
          </w:p>
        </w:tc>
        <w:tc>
          <w:tcPr>
            <w:tcW w:w="5812" w:type="dxa"/>
          </w:tcPr>
          <w:p w14:paraId="68910718"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www.lenenergo.ru</w:t>
            </w:r>
          </w:p>
        </w:tc>
      </w:tr>
      <w:tr w:rsidR="008A5057" w:rsidRPr="00BD295E" w14:paraId="222DEF9D" w14:textId="77777777" w:rsidTr="00EC3869">
        <w:tc>
          <w:tcPr>
            <w:tcW w:w="3085" w:type="dxa"/>
          </w:tcPr>
          <w:p w14:paraId="4B5DEB94"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CEO</w:t>
            </w:r>
          </w:p>
        </w:tc>
        <w:tc>
          <w:tcPr>
            <w:tcW w:w="5812" w:type="dxa"/>
          </w:tcPr>
          <w:p w14:paraId="6D23718B"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Andrey Ryumin</w:t>
            </w:r>
          </w:p>
          <w:p w14:paraId="03C7C71A"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Reception tel. (812) 331-87-95; fax (812) 331-87-96</w:t>
            </w:r>
          </w:p>
        </w:tc>
      </w:tr>
      <w:tr w:rsidR="008A5057" w:rsidRPr="00BD295E" w14:paraId="1C0293EF" w14:textId="77777777" w:rsidTr="00EC3869">
        <w:tc>
          <w:tcPr>
            <w:tcW w:w="3085" w:type="dxa"/>
          </w:tcPr>
          <w:p w14:paraId="574E123B"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 xml:space="preserve">Chief </w:t>
            </w:r>
            <w:r w:rsidR="00EC0D9D" w:rsidRPr="00BD295E">
              <w:rPr>
                <w:rFonts w:ascii="Arial" w:hAnsi="Arial" w:cs="Arial"/>
                <w:sz w:val="18"/>
                <w:szCs w:val="18"/>
                <w:lang w:val="en-US"/>
              </w:rPr>
              <w:t>Accountant</w:t>
            </w:r>
          </w:p>
        </w:tc>
        <w:tc>
          <w:tcPr>
            <w:tcW w:w="5812" w:type="dxa"/>
          </w:tcPr>
          <w:p w14:paraId="691E441D"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Galina Kuznetsova</w:t>
            </w:r>
          </w:p>
          <w:p w14:paraId="4927EED7"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Tel. (812) 331-87-78; fax (812) 331-87-67</w:t>
            </w:r>
          </w:p>
        </w:tc>
      </w:tr>
      <w:tr w:rsidR="008A5057" w:rsidRPr="00BD295E" w14:paraId="3FEF5913" w14:textId="77777777" w:rsidTr="00EC3869">
        <w:tc>
          <w:tcPr>
            <w:tcW w:w="3085" w:type="dxa"/>
          </w:tcPr>
          <w:p w14:paraId="29F20BE5"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Corporate Secretary of the Company</w:t>
            </w:r>
          </w:p>
        </w:tc>
        <w:tc>
          <w:tcPr>
            <w:tcW w:w="5812" w:type="dxa"/>
          </w:tcPr>
          <w:p w14:paraId="45BF2263"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 xml:space="preserve">Ilya Sobolev </w:t>
            </w:r>
          </w:p>
          <w:p w14:paraId="509713C5"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Telephone/ fax (812) 494-33-84</w:t>
            </w:r>
          </w:p>
          <w:p w14:paraId="4EDE444F" w14:textId="77777777" w:rsidR="004D2697" w:rsidRPr="00BD295E" w:rsidRDefault="008A5057" w:rsidP="00D3281C">
            <w:pPr>
              <w:spacing w:after="160" w:line="259" w:lineRule="auto"/>
              <w:rPr>
                <w:rFonts w:ascii="Arial" w:hAnsi="Arial" w:cs="Arial"/>
                <w:sz w:val="18"/>
                <w:szCs w:val="18"/>
                <w:lang w:val="en-US"/>
              </w:rPr>
            </w:pPr>
            <w:r w:rsidRPr="00BD295E">
              <w:rPr>
                <w:rFonts w:ascii="Arial" w:hAnsi="Arial" w:cs="Arial"/>
                <w:sz w:val="18"/>
                <w:szCs w:val="18"/>
                <w:lang w:val="en-US"/>
              </w:rPr>
              <w:t>E-mail: Sobolev.IA@nwenergo.com</w:t>
            </w:r>
          </w:p>
        </w:tc>
      </w:tr>
      <w:tr w:rsidR="008A5057" w:rsidRPr="00BD295E" w14:paraId="745831E7" w14:textId="77777777" w:rsidTr="00EC3869">
        <w:tc>
          <w:tcPr>
            <w:tcW w:w="3085" w:type="dxa"/>
          </w:tcPr>
          <w:p w14:paraId="5C390797"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Shareholder and Investor Relations</w:t>
            </w:r>
          </w:p>
        </w:tc>
        <w:tc>
          <w:tcPr>
            <w:tcW w:w="5812" w:type="dxa"/>
          </w:tcPr>
          <w:p w14:paraId="12E515F5"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Tel. (812) 494-39-06; fax (812) 494-37-34</w:t>
            </w:r>
          </w:p>
          <w:p w14:paraId="79881345"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E-mail: ir@lenenergo.ru</w:t>
            </w:r>
          </w:p>
        </w:tc>
      </w:tr>
      <w:tr w:rsidR="008A5057" w:rsidRPr="00BD295E" w14:paraId="0D999028" w14:textId="77777777" w:rsidTr="00EC3869">
        <w:tc>
          <w:tcPr>
            <w:tcW w:w="3085" w:type="dxa"/>
          </w:tcPr>
          <w:p w14:paraId="767F6439"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Head of the Press Centre</w:t>
            </w:r>
          </w:p>
        </w:tc>
        <w:tc>
          <w:tcPr>
            <w:tcW w:w="5812" w:type="dxa"/>
          </w:tcPr>
          <w:p w14:paraId="1034E1E9"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 xml:space="preserve">Yulia Zarubina </w:t>
            </w:r>
          </w:p>
          <w:p w14:paraId="57CB5D38"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Tel. (812) 494-39-12; fax (812) 494-35-45</w:t>
            </w:r>
          </w:p>
          <w:p w14:paraId="2FC40250"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E-mail: ir@lenenergo.ru</w:t>
            </w:r>
          </w:p>
        </w:tc>
      </w:tr>
      <w:tr w:rsidR="008A5057" w:rsidRPr="00BD295E" w14:paraId="0AF421CD" w14:textId="77777777" w:rsidTr="00EC3869">
        <w:tc>
          <w:tcPr>
            <w:tcW w:w="3085" w:type="dxa"/>
          </w:tcPr>
          <w:p w14:paraId="573C00E2"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Head of Bidding Procedures Unit</w:t>
            </w:r>
          </w:p>
        </w:tc>
        <w:tc>
          <w:tcPr>
            <w:tcW w:w="5812" w:type="dxa"/>
          </w:tcPr>
          <w:p w14:paraId="33FABA57" w14:textId="7035F79A"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 xml:space="preserve">Nikolay </w:t>
            </w:r>
            <w:r w:rsidR="00101043" w:rsidRPr="00BD295E">
              <w:rPr>
                <w:rFonts w:ascii="Arial" w:hAnsi="Arial" w:cs="Arial"/>
                <w:sz w:val="18"/>
                <w:szCs w:val="18"/>
                <w:lang w:val="en-US"/>
              </w:rPr>
              <w:t>Parfenov</w:t>
            </w:r>
          </w:p>
          <w:p w14:paraId="34CB6616"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 xml:space="preserve">Tel. (812) 494 32 93; fax (812) 595-33-48 </w:t>
            </w:r>
          </w:p>
          <w:p w14:paraId="7A182298"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E-mail: Parfenov.NN@nwenergo.com</w:t>
            </w:r>
          </w:p>
        </w:tc>
      </w:tr>
      <w:tr w:rsidR="008A5057" w:rsidRPr="00BD295E" w14:paraId="738FD3B8" w14:textId="77777777" w:rsidTr="00EC3869">
        <w:tc>
          <w:tcPr>
            <w:tcW w:w="3085" w:type="dxa"/>
          </w:tcPr>
          <w:p w14:paraId="52C15D42"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Hot line</w:t>
            </w:r>
          </w:p>
        </w:tc>
        <w:tc>
          <w:tcPr>
            <w:tcW w:w="5812" w:type="dxa"/>
          </w:tcPr>
          <w:p w14:paraId="5F23981F"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Tel. (812) 595-86-62; fax (812) 494-31-71</w:t>
            </w:r>
          </w:p>
        </w:tc>
      </w:tr>
    </w:tbl>
    <w:p w14:paraId="6FBA40B6" w14:textId="77777777" w:rsidR="004D2697" w:rsidRPr="00BD295E" w:rsidRDefault="004D2697" w:rsidP="004D2697">
      <w:pPr>
        <w:spacing w:after="160" w:line="259" w:lineRule="auto"/>
        <w:rPr>
          <w:rFonts w:ascii="Arial" w:hAnsi="Arial" w:cs="Arial"/>
          <w:sz w:val="18"/>
          <w:szCs w:val="18"/>
          <w:lang w:val="en-US"/>
        </w:rPr>
      </w:pPr>
    </w:p>
    <w:p w14:paraId="57518485" w14:textId="77777777" w:rsidR="004D2697" w:rsidRPr="00BD295E" w:rsidRDefault="008A5057" w:rsidP="004D2697">
      <w:pPr>
        <w:spacing w:after="160" w:line="259" w:lineRule="auto"/>
        <w:rPr>
          <w:rFonts w:ascii="Arial" w:hAnsi="Arial" w:cs="Arial"/>
          <w:b/>
          <w:sz w:val="18"/>
          <w:szCs w:val="18"/>
          <w:lang w:val="en-US"/>
        </w:rPr>
      </w:pPr>
      <w:r w:rsidRPr="00BD295E">
        <w:rPr>
          <w:rFonts w:ascii="Arial" w:hAnsi="Arial" w:cs="Arial"/>
          <w:b/>
          <w:sz w:val="18"/>
          <w:szCs w:val="18"/>
          <w:lang w:val="en-US"/>
        </w:rPr>
        <w:t>General information on the Company’s registrar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5812"/>
      </w:tblGrid>
      <w:tr w:rsidR="008A5057" w:rsidRPr="00BD295E" w14:paraId="6869D060" w14:textId="77777777" w:rsidTr="00EC3869">
        <w:tc>
          <w:tcPr>
            <w:tcW w:w="3085" w:type="dxa"/>
          </w:tcPr>
          <w:p w14:paraId="6D55CCA3"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Full name</w:t>
            </w:r>
          </w:p>
        </w:tc>
        <w:tc>
          <w:tcPr>
            <w:tcW w:w="5812" w:type="dxa"/>
          </w:tcPr>
          <w:p w14:paraId="0F987FC1" w14:textId="3CBB9AA4" w:rsidR="004D2697" w:rsidRPr="00BD295E" w:rsidRDefault="00E1500B" w:rsidP="00E1500B">
            <w:pPr>
              <w:spacing w:after="160" w:line="259" w:lineRule="auto"/>
              <w:rPr>
                <w:rFonts w:ascii="Arial" w:hAnsi="Arial" w:cs="Arial"/>
                <w:sz w:val="18"/>
                <w:szCs w:val="18"/>
                <w:lang w:val="en-US"/>
              </w:rPr>
            </w:pPr>
            <w:r w:rsidRPr="00BD295E">
              <w:rPr>
                <w:rFonts w:ascii="Arial" w:hAnsi="Arial" w:cs="Arial"/>
                <w:sz w:val="18"/>
                <w:szCs w:val="18"/>
                <w:lang w:val="en-US"/>
              </w:rPr>
              <w:t>Joint Stock Company “</w:t>
            </w:r>
            <w:r w:rsidR="008A5057" w:rsidRPr="00BD295E">
              <w:rPr>
                <w:rFonts w:ascii="Arial" w:hAnsi="Arial" w:cs="Arial"/>
                <w:sz w:val="18"/>
                <w:szCs w:val="18"/>
                <w:lang w:val="en-US"/>
              </w:rPr>
              <w:t>Indepen</w:t>
            </w:r>
            <w:r w:rsidRPr="00BD295E">
              <w:rPr>
                <w:rFonts w:ascii="Arial" w:hAnsi="Arial" w:cs="Arial"/>
                <w:sz w:val="18"/>
                <w:szCs w:val="18"/>
                <w:lang w:val="en-US"/>
              </w:rPr>
              <w:t>dent Registrar Company R.O.S.T.”</w:t>
            </w:r>
            <w:r w:rsidR="008A5057" w:rsidRPr="00BD295E">
              <w:rPr>
                <w:rFonts w:ascii="Arial" w:hAnsi="Arial" w:cs="Arial"/>
                <w:sz w:val="18"/>
                <w:szCs w:val="18"/>
                <w:lang w:val="en-US"/>
              </w:rPr>
              <w:t xml:space="preserve"> </w:t>
            </w:r>
          </w:p>
        </w:tc>
      </w:tr>
      <w:tr w:rsidR="008A5057" w:rsidRPr="00BD295E" w14:paraId="5592A5DB" w14:textId="77777777" w:rsidTr="00EC3869">
        <w:tc>
          <w:tcPr>
            <w:tcW w:w="3085" w:type="dxa"/>
          </w:tcPr>
          <w:p w14:paraId="3E6BD4BB"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Short name</w:t>
            </w:r>
          </w:p>
        </w:tc>
        <w:tc>
          <w:tcPr>
            <w:tcW w:w="5812" w:type="dxa"/>
          </w:tcPr>
          <w:p w14:paraId="49CCEC50" w14:textId="6A471D96" w:rsidR="004D2697" w:rsidRPr="00BD295E" w:rsidRDefault="00E934DF" w:rsidP="00E934DF">
            <w:pPr>
              <w:spacing w:after="160" w:line="259" w:lineRule="auto"/>
              <w:rPr>
                <w:rFonts w:ascii="Arial" w:hAnsi="Arial" w:cs="Arial"/>
                <w:sz w:val="18"/>
                <w:szCs w:val="18"/>
                <w:lang w:val="en-US"/>
              </w:rPr>
            </w:pPr>
            <w:r w:rsidRPr="00BD295E">
              <w:rPr>
                <w:rFonts w:ascii="Arial" w:hAnsi="Arial" w:cs="Arial"/>
                <w:sz w:val="18"/>
                <w:szCs w:val="18"/>
                <w:lang w:val="en-US"/>
              </w:rPr>
              <w:t>JSC “IRC</w:t>
            </w:r>
            <w:r w:rsidR="008A5057" w:rsidRPr="00BD295E">
              <w:rPr>
                <w:rFonts w:ascii="Arial" w:hAnsi="Arial" w:cs="Arial"/>
                <w:sz w:val="18"/>
                <w:szCs w:val="18"/>
                <w:lang w:val="en-US"/>
              </w:rPr>
              <w:t xml:space="preserve"> – R.O.S.T.</w:t>
            </w:r>
            <w:r w:rsidRPr="00BD295E">
              <w:rPr>
                <w:rFonts w:ascii="Arial" w:hAnsi="Arial" w:cs="Arial"/>
                <w:sz w:val="18"/>
                <w:szCs w:val="18"/>
                <w:lang w:val="en-US"/>
              </w:rPr>
              <w:t>”</w:t>
            </w:r>
          </w:p>
        </w:tc>
      </w:tr>
      <w:tr w:rsidR="008A5057" w:rsidRPr="00BD295E" w14:paraId="2F9ED590" w14:textId="77777777" w:rsidTr="00EC3869">
        <w:tc>
          <w:tcPr>
            <w:tcW w:w="3085" w:type="dxa"/>
          </w:tcPr>
          <w:p w14:paraId="75F1B8DE"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Registration date</w:t>
            </w:r>
          </w:p>
        </w:tc>
        <w:tc>
          <w:tcPr>
            <w:tcW w:w="5812" w:type="dxa"/>
          </w:tcPr>
          <w:p w14:paraId="554E1595"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November 22, 1993, Moscow Registration Chamber, Registration No. 447.993</w:t>
            </w:r>
          </w:p>
        </w:tc>
      </w:tr>
      <w:tr w:rsidR="008A5057" w:rsidRPr="00BD295E" w14:paraId="2E9C985D" w14:textId="77777777" w:rsidTr="00EC3869">
        <w:tc>
          <w:tcPr>
            <w:tcW w:w="3085" w:type="dxa"/>
          </w:tcPr>
          <w:p w14:paraId="7B73C662"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License No.</w:t>
            </w:r>
          </w:p>
        </w:tc>
        <w:tc>
          <w:tcPr>
            <w:tcW w:w="5812" w:type="dxa"/>
          </w:tcPr>
          <w:p w14:paraId="238E8BF9"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Licen</w:t>
            </w:r>
            <w:r w:rsidR="00EC0D9D" w:rsidRPr="00BD295E">
              <w:rPr>
                <w:rFonts w:ascii="Arial" w:hAnsi="Arial" w:cs="Arial"/>
                <w:sz w:val="18"/>
                <w:szCs w:val="18"/>
                <w:lang w:val="en-US"/>
              </w:rPr>
              <w:t>s</w:t>
            </w:r>
            <w:r w:rsidRPr="00BD295E">
              <w:rPr>
                <w:rFonts w:ascii="Arial" w:hAnsi="Arial" w:cs="Arial"/>
                <w:sz w:val="18"/>
                <w:szCs w:val="18"/>
                <w:lang w:val="en-US"/>
              </w:rPr>
              <w:t xml:space="preserve">e No. 10-000-1-00264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3, 2002, issued by the Federal Securities Markets Commission of the Russian Federation.</w:t>
            </w:r>
          </w:p>
        </w:tc>
      </w:tr>
      <w:tr w:rsidR="008A5057" w:rsidRPr="00BD295E" w14:paraId="4BD9F85A" w14:textId="77777777" w:rsidTr="00EC3869">
        <w:tc>
          <w:tcPr>
            <w:tcW w:w="3085" w:type="dxa"/>
          </w:tcPr>
          <w:p w14:paraId="488DF782"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Location:</w:t>
            </w:r>
          </w:p>
        </w:tc>
        <w:tc>
          <w:tcPr>
            <w:tcW w:w="5812" w:type="dxa"/>
          </w:tcPr>
          <w:p w14:paraId="095D1A42"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107996, Moscow</w:t>
            </w:r>
            <w:r w:rsidR="00EC0D9D" w:rsidRPr="00BD295E">
              <w:rPr>
                <w:rFonts w:ascii="Arial" w:hAnsi="Arial" w:cs="Arial"/>
                <w:sz w:val="18"/>
                <w:szCs w:val="18"/>
                <w:lang w:val="en-US"/>
              </w:rPr>
              <w:t xml:space="preserve">, </w:t>
            </w:r>
            <w:r w:rsidRPr="00BD295E">
              <w:rPr>
                <w:rFonts w:ascii="Arial" w:hAnsi="Arial" w:cs="Arial"/>
                <w:sz w:val="18"/>
                <w:szCs w:val="18"/>
                <w:lang w:val="en-US"/>
              </w:rPr>
              <w:t xml:space="preserve">Stromynka, 18, </w:t>
            </w:r>
            <w:r w:rsidR="00EC0D9D" w:rsidRPr="00BD295E">
              <w:rPr>
                <w:rFonts w:ascii="Arial" w:hAnsi="Arial" w:cs="Arial"/>
                <w:sz w:val="18"/>
                <w:szCs w:val="18"/>
                <w:lang w:val="en-US"/>
              </w:rPr>
              <w:t>bldg</w:t>
            </w:r>
            <w:r w:rsidRPr="00BD295E">
              <w:rPr>
                <w:rFonts w:ascii="Arial" w:hAnsi="Arial" w:cs="Arial"/>
                <w:sz w:val="18"/>
                <w:szCs w:val="18"/>
                <w:lang w:val="en-US"/>
              </w:rPr>
              <w:t>13</w:t>
            </w:r>
          </w:p>
          <w:p w14:paraId="53C51C42" w14:textId="77777777" w:rsidR="004D2697" w:rsidRPr="00BD295E" w:rsidRDefault="008A5057" w:rsidP="00D3281C">
            <w:pPr>
              <w:spacing w:after="160" w:line="259" w:lineRule="auto"/>
              <w:rPr>
                <w:rFonts w:ascii="Arial" w:hAnsi="Arial" w:cs="Arial"/>
                <w:sz w:val="18"/>
                <w:szCs w:val="18"/>
                <w:lang w:val="en-US"/>
              </w:rPr>
            </w:pPr>
            <w:r w:rsidRPr="00BD295E">
              <w:rPr>
                <w:rFonts w:ascii="Arial" w:hAnsi="Arial" w:cs="Arial"/>
                <w:sz w:val="18"/>
                <w:szCs w:val="18"/>
                <w:lang w:val="en-US"/>
              </w:rPr>
              <w:t>194044, Saint Petersburg, Belovodsky</w:t>
            </w:r>
            <w:r w:rsidR="00EC0D9D" w:rsidRPr="00BD295E">
              <w:rPr>
                <w:rFonts w:ascii="Arial" w:hAnsi="Arial" w:cs="Arial"/>
                <w:sz w:val="18"/>
                <w:szCs w:val="18"/>
                <w:lang w:val="en-US"/>
              </w:rPr>
              <w:t xml:space="preserve"> </w:t>
            </w:r>
            <w:r w:rsidRPr="00BD295E">
              <w:rPr>
                <w:rFonts w:ascii="Arial" w:hAnsi="Arial" w:cs="Arial"/>
                <w:sz w:val="18"/>
                <w:szCs w:val="18"/>
                <w:lang w:val="en-US"/>
              </w:rPr>
              <w:t>6</w:t>
            </w:r>
          </w:p>
        </w:tc>
      </w:tr>
      <w:tr w:rsidR="008A5057" w:rsidRPr="00BD295E" w14:paraId="7AD27EE9" w14:textId="77777777" w:rsidTr="00EC3869">
        <w:tc>
          <w:tcPr>
            <w:tcW w:w="3085" w:type="dxa"/>
          </w:tcPr>
          <w:p w14:paraId="04196F83"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Contacts</w:t>
            </w:r>
          </w:p>
        </w:tc>
        <w:tc>
          <w:tcPr>
            <w:tcW w:w="5812" w:type="dxa"/>
          </w:tcPr>
          <w:p w14:paraId="5ED7ADC2"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Tel./fax: +7 (812) 401-63-13;</w:t>
            </w:r>
          </w:p>
          <w:p w14:paraId="1331DC06"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e-mail: rrost-spb@rrost.ru</w:t>
            </w:r>
          </w:p>
        </w:tc>
      </w:tr>
    </w:tbl>
    <w:p w14:paraId="785B9B57"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Before December 14, 2010, the shareholders' register was kept by CMD, OJSC (</w:t>
      </w:r>
      <w:hyperlink r:id="rId145" w:history="1">
        <w:r w:rsidRPr="00BD295E">
          <w:rPr>
            <w:rStyle w:val="af0"/>
            <w:rFonts w:ascii="Arial" w:hAnsi="Arial" w:cs="Arial"/>
            <w:color w:val="auto"/>
            <w:sz w:val="18"/>
            <w:szCs w:val="18"/>
            <w:lang w:val="en-US"/>
          </w:rPr>
          <w:t>www.mcd.ru</w:t>
        </w:r>
      </w:hyperlink>
      <w:r w:rsidRPr="00BD295E">
        <w:rPr>
          <w:rFonts w:ascii="Arial" w:hAnsi="Arial" w:cs="Arial"/>
          <w:sz w:val="18"/>
          <w:szCs w:val="18"/>
          <w:lang w:val="en-US"/>
        </w:rPr>
        <w:t>).</w:t>
      </w:r>
    </w:p>
    <w:p w14:paraId="6D634B9E" w14:textId="77777777" w:rsidR="004D2697" w:rsidRPr="00BD295E" w:rsidRDefault="004D2697" w:rsidP="004D2697">
      <w:pPr>
        <w:spacing w:after="160" w:line="259" w:lineRule="auto"/>
        <w:rPr>
          <w:rFonts w:ascii="Arial" w:hAnsi="Arial" w:cs="Arial"/>
          <w:sz w:val="18"/>
          <w:szCs w:val="18"/>
          <w:lang w:val="en-US"/>
        </w:rPr>
      </w:pPr>
    </w:p>
    <w:p w14:paraId="1558E5B6" w14:textId="77777777" w:rsidR="004D2697" w:rsidRPr="00BD295E" w:rsidRDefault="008A5057" w:rsidP="004D2697">
      <w:pPr>
        <w:spacing w:after="160" w:line="259" w:lineRule="auto"/>
        <w:rPr>
          <w:rFonts w:ascii="Arial" w:hAnsi="Arial" w:cs="Arial"/>
          <w:b/>
          <w:bCs/>
          <w:sz w:val="18"/>
          <w:szCs w:val="18"/>
          <w:lang w:val="en-US"/>
        </w:rPr>
      </w:pPr>
      <w:r w:rsidRPr="00BD295E">
        <w:rPr>
          <w:rFonts w:ascii="Arial" w:hAnsi="Arial" w:cs="Arial"/>
          <w:b/>
          <w:bCs/>
          <w:sz w:val="18"/>
          <w:szCs w:val="18"/>
          <w:lang w:val="en-US"/>
        </w:rPr>
        <w:t>General information on the Company’s auditor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5812"/>
      </w:tblGrid>
      <w:tr w:rsidR="008A5057" w:rsidRPr="00BD295E" w14:paraId="3389C1D8" w14:textId="77777777" w:rsidTr="00EC3869">
        <w:tc>
          <w:tcPr>
            <w:tcW w:w="3085" w:type="dxa"/>
          </w:tcPr>
          <w:p w14:paraId="0E712D98"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Full name of the official auditor</w:t>
            </w:r>
          </w:p>
        </w:tc>
        <w:tc>
          <w:tcPr>
            <w:tcW w:w="5812" w:type="dxa"/>
          </w:tcPr>
          <w:p w14:paraId="26EED5B8"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Ernst &amp; Young, Limited Liability Company</w:t>
            </w:r>
          </w:p>
        </w:tc>
      </w:tr>
      <w:tr w:rsidR="008A5057" w:rsidRPr="00BD295E" w14:paraId="32B277FB" w14:textId="77777777" w:rsidTr="00EC3869">
        <w:tc>
          <w:tcPr>
            <w:tcW w:w="3085" w:type="dxa"/>
          </w:tcPr>
          <w:p w14:paraId="46DE58AE"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Short name of the official auditor</w:t>
            </w:r>
          </w:p>
        </w:tc>
        <w:tc>
          <w:tcPr>
            <w:tcW w:w="5812" w:type="dxa"/>
          </w:tcPr>
          <w:p w14:paraId="5AFCE38D"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Ernst &amp; Young, LLC</w:t>
            </w:r>
          </w:p>
        </w:tc>
      </w:tr>
      <w:tr w:rsidR="008A5057" w:rsidRPr="00BD295E" w14:paraId="0482B5EF" w14:textId="77777777" w:rsidTr="00EC3869">
        <w:tc>
          <w:tcPr>
            <w:tcW w:w="3085" w:type="dxa"/>
          </w:tcPr>
          <w:p w14:paraId="03B1B746"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Registered address</w:t>
            </w:r>
          </w:p>
        </w:tc>
        <w:tc>
          <w:tcPr>
            <w:tcW w:w="5812" w:type="dxa"/>
          </w:tcPr>
          <w:p w14:paraId="53D098CC" w14:textId="77777777" w:rsidR="004D2697" w:rsidRPr="00BD295E" w:rsidRDefault="00EC0D9D" w:rsidP="004D2697">
            <w:pPr>
              <w:spacing w:after="160" w:line="259" w:lineRule="auto"/>
              <w:rPr>
                <w:rFonts w:ascii="Arial" w:hAnsi="Arial" w:cs="Arial"/>
                <w:sz w:val="18"/>
                <w:szCs w:val="18"/>
                <w:lang w:val="en-US"/>
              </w:rPr>
            </w:pPr>
            <w:r w:rsidRPr="00BD295E">
              <w:rPr>
                <w:rFonts w:ascii="Arial" w:hAnsi="Arial" w:cs="Arial"/>
                <w:sz w:val="18"/>
                <w:szCs w:val="18"/>
                <w:lang w:val="en-US"/>
              </w:rPr>
              <w:t>115035, Moscow,</w:t>
            </w:r>
            <w:r w:rsidR="008A5057" w:rsidRPr="00BD295E">
              <w:rPr>
                <w:rFonts w:ascii="Arial" w:hAnsi="Arial" w:cs="Arial"/>
                <w:sz w:val="18"/>
                <w:szCs w:val="18"/>
                <w:lang w:val="en-US"/>
              </w:rPr>
              <w:t xml:space="preserve"> Sadovnicheskaya </w:t>
            </w:r>
            <w:r w:rsidRPr="00BD295E">
              <w:rPr>
                <w:rFonts w:ascii="Arial" w:hAnsi="Arial" w:cs="Arial"/>
                <w:sz w:val="18"/>
                <w:szCs w:val="18"/>
                <w:lang w:val="en-US"/>
              </w:rPr>
              <w:t>N</w:t>
            </w:r>
            <w:r w:rsidR="008A5057" w:rsidRPr="00BD295E">
              <w:rPr>
                <w:rFonts w:ascii="Arial" w:hAnsi="Arial" w:cs="Arial"/>
                <w:sz w:val="18"/>
                <w:szCs w:val="18"/>
                <w:lang w:val="en-US"/>
              </w:rPr>
              <w:t xml:space="preserve">aberezhnaya, </w:t>
            </w:r>
            <w:r w:rsidRPr="00BD295E">
              <w:rPr>
                <w:rFonts w:ascii="Arial" w:hAnsi="Arial" w:cs="Arial"/>
                <w:sz w:val="18"/>
                <w:szCs w:val="18"/>
                <w:lang w:val="en-US"/>
              </w:rPr>
              <w:t>77 bldg. 1</w:t>
            </w:r>
          </w:p>
        </w:tc>
      </w:tr>
      <w:tr w:rsidR="008A5057" w:rsidRPr="00BD295E" w14:paraId="19A47803" w14:textId="77777777" w:rsidTr="00EC3869">
        <w:tc>
          <w:tcPr>
            <w:tcW w:w="3085" w:type="dxa"/>
          </w:tcPr>
          <w:p w14:paraId="258A53EA"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Actual address</w:t>
            </w:r>
          </w:p>
        </w:tc>
        <w:tc>
          <w:tcPr>
            <w:tcW w:w="5812" w:type="dxa"/>
          </w:tcPr>
          <w:p w14:paraId="46C1F36D" w14:textId="77777777" w:rsidR="004D2697" w:rsidRPr="00BD295E" w:rsidRDefault="00EC0D9D" w:rsidP="004D2697">
            <w:pPr>
              <w:spacing w:after="160" w:line="259" w:lineRule="auto"/>
              <w:rPr>
                <w:rFonts w:ascii="Arial" w:hAnsi="Arial" w:cs="Arial"/>
                <w:sz w:val="18"/>
                <w:szCs w:val="18"/>
                <w:lang w:val="en-US"/>
              </w:rPr>
            </w:pPr>
            <w:r w:rsidRPr="00BD295E">
              <w:rPr>
                <w:rFonts w:ascii="Arial" w:hAnsi="Arial" w:cs="Arial"/>
                <w:sz w:val="18"/>
                <w:szCs w:val="18"/>
                <w:lang w:val="en-US"/>
              </w:rPr>
              <w:t>115035, Moscow, Sadovnicheskaya Naberezhnaya, 77 bldg. 1</w:t>
            </w:r>
          </w:p>
        </w:tc>
      </w:tr>
      <w:tr w:rsidR="008A5057" w:rsidRPr="00BD295E" w14:paraId="767DA00B" w14:textId="77777777" w:rsidTr="00EC3869">
        <w:tc>
          <w:tcPr>
            <w:tcW w:w="3085" w:type="dxa"/>
          </w:tcPr>
          <w:p w14:paraId="559CD5A4"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Telephone/fax:</w:t>
            </w:r>
          </w:p>
        </w:tc>
        <w:tc>
          <w:tcPr>
            <w:tcW w:w="5812" w:type="dxa"/>
          </w:tcPr>
          <w:p w14:paraId="7CBCEA83"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+7 495 755 97 00</w:t>
            </w:r>
          </w:p>
        </w:tc>
      </w:tr>
      <w:tr w:rsidR="008A5057" w:rsidRPr="00BD295E" w14:paraId="1C4AA631" w14:textId="77777777" w:rsidTr="00EC3869">
        <w:tc>
          <w:tcPr>
            <w:tcW w:w="3085" w:type="dxa"/>
          </w:tcPr>
          <w:p w14:paraId="4C71BAF5"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Web address</w:t>
            </w:r>
          </w:p>
        </w:tc>
        <w:tc>
          <w:tcPr>
            <w:tcW w:w="5812" w:type="dxa"/>
          </w:tcPr>
          <w:p w14:paraId="421E37AC"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http://www.ey.com/</w:t>
            </w:r>
          </w:p>
        </w:tc>
      </w:tr>
      <w:tr w:rsidR="008A5057" w:rsidRPr="00BD295E" w14:paraId="749D89C5" w14:textId="77777777" w:rsidTr="00EC3869">
        <w:tc>
          <w:tcPr>
            <w:tcW w:w="3085" w:type="dxa"/>
          </w:tcPr>
          <w:p w14:paraId="76D65E12"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Included in the Unified State Register of Legal Entities</w:t>
            </w:r>
          </w:p>
        </w:tc>
        <w:tc>
          <w:tcPr>
            <w:tcW w:w="5812" w:type="dxa"/>
          </w:tcPr>
          <w:p w14:paraId="18E3C231"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OGRN 1027739707203</w:t>
            </w:r>
          </w:p>
        </w:tc>
      </w:tr>
      <w:tr w:rsidR="008A5057" w:rsidRPr="00BD295E" w14:paraId="20CDD9E5" w14:textId="77777777" w:rsidTr="00EC3869">
        <w:tc>
          <w:tcPr>
            <w:tcW w:w="3085" w:type="dxa"/>
          </w:tcPr>
          <w:p w14:paraId="5ABB3EB4"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E-mail</w:t>
            </w:r>
          </w:p>
        </w:tc>
        <w:tc>
          <w:tcPr>
            <w:tcW w:w="5812" w:type="dxa"/>
          </w:tcPr>
          <w:p w14:paraId="5C616E35" w14:textId="77777777" w:rsidR="004D2697" w:rsidRPr="00BD295E" w:rsidRDefault="008A5057" w:rsidP="004D2697">
            <w:pPr>
              <w:spacing w:after="160" w:line="259" w:lineRule="auto"/>
              <w:rPr>
                <w:rFonts w:ascii="Arial" w:hAnsi="Arial" w:cs="Arial"/>
                <w:sz w:val="18"/>
                <w:szCs w:val="18"/>
                <w:lang w:val="en-US"/>
              </w:rPr>
            </w:pPr>
            <w:r w:rsidRPr="00BD295E">
              <w:rPr>
                <w:rFonts w:ascii="Arial" w:hAnsi="Arial" w:cs="Arial"/>
                <w:sz w:val="18"/>
                <w:szCs w:val="18"/>
                <w:lang w:val="en-US"/>
              </w:rPr>
              <w:t>moscow@ru.ey.com</w:t>
            </w:r>
          </w:p>
        </w:tc>
      </w:tr>
    </w:tbl>
    <w:p w14:paraId="142CFC96" w14:textId="77777777" w:rsidR="004D2697" w:rsidRPr="00BD295E" w:rsidRDefault="004D2697" w:rsidP="000C50BD">
      <w:pPr>
        <w:spacing w:after="160" w:line="259" w:lineRule="auto"/>
        <w:rPr>
          <w:rFonts w:ascii="Arial" w:hAnsi="Arial" w:cs="Arial"/>
          <w:sz w:val="18"/>
          <w:szCs w:val="18"/>
          <w:lang w:val="en-US"/>
        </w:rPr>
      </w:pPr>
    </w:p>
    <w:p w14:paraId="1CE2CA88" w14:textId="77777777" w:rsidR="004D2697" w:rsidRPr="00BD295E" w:rsidRDefault="008A5057" w:rsidP="0033027C">
      <w:pPr>
        <w:pStyle w:val="2"/>
        <w:numPr>
          <w:ilvl w:val="1"/>
          <w:numId w:val="17"/>
        </w:numPr>
        <w:rPr>
          <w:rFonts w:ascii="Arial" w:hAnsi="Arial" w:cs="Arial"/>
          <w:sz w:val="18"/>
          <w:szCs w:val="18"/>
          <w:lang w:val="en-US"/>
        </w:rPr>
      </w:pPr>
      <w:bookmarkStart w:id="564" w:name="_Toc473921991"/>
      <w:bookmarkStart w:id="565" w:name="_Toc509493646"/>
      <w:bookmarkStart w:id="566" w:name="_Toc509581214"/>
      <w:bookmarkStart w:id="567" w:name="_Toc509934186"/>
      <w:bookmarkStart w:id="568" w:name="_Toc510452179"/>
      <w:bookmarkStart w:id="569" w:name="_Toc510453045"/>
      <w:bookmarkStart w:id="570" w:name="_Toc510624078"/>
      <w:bookmarkStart w:id="571" w:name="_Toc511055126"/>
      <w:bookmarkStart w:id="572" w:name="_Toc511747482"/>
      <w:bookmarkStart w:id="573" w:name="_Toc5101337"/>
      <w:bookmarkStart w:id="574" w:name="_Toc5101716"/>
      <w:bookmarkStart w:id="575" w:name="_Toc5874611"/>
      <w:bookmarkStart w:id="576" w:name="_Toc95855309"/>
      <w:bookmarkStart w:id="577" w:name="_Toc95935368"/>
      <w:r w:rsidRPr="00BD295E">
        <w:rPr>
          <w:rFonts w:ascii="Arial" w:hAnsi="Arial" w:cs="Arial"/>
          <w:sz w:val="18"/>
          <w:szCs w:val="18"/>
          <w:lang w:val="en-US"/>
        </w:rPr>
        <w:t>Key Principles of the Accounting Policy</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14:paraId="4380742F" w14:textId="77777777" w:rsidR="00394FF1" w:rsidRPr="00BD295E" w:rsidRDefault="008A5057" w:rsidP="00D030A5">
      <w:pPr>
        <w:spacing w:after="160" w:line="259" w:lineRule="auto"/>
        <w:jc w:val="both"/>
        <w:rPr>
          <w:rFonts w:ascii="Arial" w:hAnsi="Arial" w:cs="Arial"/>
          <w:b/>
          <w:sz w:val="18"/>
          <w:szCs w:val="18"/>
          <w:lang w:val="en-US"/>
        </w:rPr>
      </w:pPr>
      <w:r w:rsidRPr="00BD295E">
        <w:rPr>
          <w:rFonts w:ascii="Arial" w:hAnsi="Arial" w:cs="Arial"/>
          <w:b/>
          <w:sz w:val="18"/>
          <w:szCs w:val="18"/>
          <w:lang w:val="en-US"/>
        </w:rPr>
        <w:t>General Provisions.</w:t>
      </w:r>
    </w:p>
    <w:p w14:paraId="31F6126E" w14:textId="77777777" w:rsidR="00394FF1" w:rsidRPr="00BD295E" w:rsidRDefault="008A5057" w:rsidP="00D030A5">
      <w:pPr>
        <w:spacing w:after="160" w:line="259" w:lineRule="auto"/>
        <w:jc w:val="both"/>
        <w:rPr>
          <w:rFonts w:ascii="Arial" w:hAnsi="Arial" w:cs="Arial"/>
          <w:iCs/>
          <w:sz w:val="18"/>
          <w:szCs w:val="18"/>
          <w:lang w:val="en-US"/>
        </w:rPr>
      </w:pPr>
      <w:r w:rsidRPr="00BD295E">
        <w:rPr>
          <w:rFonts w:ascii="Arial" w:hAnsi="Arial" w:cs="Arial"/>
          <w:sz w:val="18"/>
          <w:szCs w:val="18"/>
          <w:lang w:val="en-US"/>
        </w:rPr>
        <w:t xml:space="preserve">The Accounting Policy has been developed based on the </w:t>
      </w:r>
      <w:r w:rsidRPr="00BD295E">
        <w:rPr>
          <w:rFonts w:ascii="Arial" w:hAnsi="Arial" w:cs="Arial"/>
          <w:i/>
          <w:iCs/>
          <w:sz w:val="18"/>
          <w:szCs w:val="18"/>
          <w:lang w:val="en-US"/>
        </w:rPr>
        <w:t>Uniform Corporate Accounting Standards under the Russian Accounting Standards (RAS)</w:t>
      </w:r>
      <w:r w:rsidRPr="00BD295E">
        <w:rPr>
          <w:rFonts w:ascii="Arial" w:hAnsi="Arial" w:cs="Arial"/>
          <w:sz w:val="18"/>
          <w:szCs w:val="18"/>
          <w:lang w:val="en-US"/>
        </w:rPr>
        <w:t xml:space="preserve"> (hereinafter the “UCAS”) in accordance with the requirements of the accounting and reporting laws of the Russian Federation.</w:t>
      </w:r>
    </w:p>
    <w:p w14:paraId="482DDA41"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The accounting policy as a combination of accounting principles, organizational rules, and technologies aims to provide the fullest, most objective, reliable, and up-to-date financial and management information in the accounting statements and reports with due consideration of the organizational and industry-specific profile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21AD6B7" w14:textId="77777777" w:rsidR="00394FF1" w:rsidRPr="00BD295E" w:rsidRDefault="008A5057" w:rsidP="00D030A5">
      <w:pPr>
        <w:spacing w:after="160" w:line="259" w:lineRule="auto"/>
        <w:jc w:val="both"/>
        <w:rPr>
          <w:rFonts w:ascii="Arial" w:hAnsi="Arial" w:cs="Arial"/>
          <w:iCs/>
          <w:sz w:val="18"/>
          <w:szCs w:val="18"/>
          <w:lang w:val="en-US"/>
        </w:rPr>
      </w:pPr>
      <w:r w:rsidRPr="00BD295E">
        <w:rPr>
          <w:rFonts w:ascii="Arial" w:hAnsi="Arial" w:cs="Arial"/>
          <w:iCs/>
          <w:sz w:val="18"/>
          <w:szCs w:val="18"/>
          <w:lang w:val="en-US"/>
        </w:rPr>
        <w:t xml:space="preserve">Financial and tax accounting methods are consistently applied by </w:t>
      </w:r>
      <w:r w:rsidR="00EE5753" w:rsidRPr="00BD295E">
        <w:rPr>
          <w:rFonts w:ascii="Arial" w:hAnsi="Arial" w:cs="Arial"/>
          <w:iCs/>
          <w:sz w:val="18"/>
          <w:szCs w:val="18"/>
          <w:lang w:val="en-US"/>
        </w:rPr>
        <w:t>PJSC “Lenenergo”</w:t>
      </w:r>
      <w:r w:rsidRPr="00BD295E">
        <w:rPr>
          <w:rFonts w:ascii="Arial" w:hAnsi="Arial" w:cs="Arial"/>
          <w:iCs/>
          <w:sz w:val="18"/>
          <w:szCs w:val="18"/>
          <w:lang w:val="en-US"/>
        </w:rPr>
        <w:t xml:space="preserve"> from January 1, 2014 (approved by Order No. 836 of </w:t>
      </w:r>
      <w:r w:rsidR="00EE5753" w:rsidRPr="00BD295E">
        <w:rPr>
          <w:rFonts w:ascii="Arial" w:hAnsi="Arial" w:cs="Arial"/>
          <w:iCs/>
          <w:sz w:val="18"/>
          <w:szCs w:val="18"/>
          <w:lang w:val="en-US"/>
        </w:rPr>
        <w:t>PJSC “Lenenergo”</w:t>
      </w:r>
      <w:r w:rsidRPr="00BD295E">
        <w:rPr>
          <w:rFonts w:ascii="Arial" w:hAnsi="Arial" w:cs="Arial"/>
          <w:iCs/>
          <w:sz w:val="18"/>
          <w:szCs w:val="18"/>
          <w:lang w:val="en-US"/>
        </w:rPr>
        <w:t xml:space="preserve">, </w:t>
      </w:r>
      <w:r w:rsidRPr="00BD295E">
        <w:rPr>
          <w:rFonts w:ascii="Arial" w:hAnsi="Arial" w:cs="Arial"/>
          <w:i/>
          <w:iCs/>
          <w:sz w:val="18"/>
          <w:szCs w:val="18"/>
          <w:lang w:val="en-US"/>
        </w:rPr>
        <w:t>On Approval of the Accounting Policy</w:t>
      </w:r>
      <w:r w:rsidRPr="00BD295E">
        <w:rPr>
          <w:rFonts w:ascii="Arial" w:hAnsi="Arial" w:cs="Arial"/>
          <w:iCs/>
          <w:sz w:val="18"/>
          <w:szCs w:val="18"/>
          <w:lang w:val="en-US"/>
        </w:rPr>
        <w:t xml:space="preserve">, </w:t>
      </w:r>
      <w:r w:rsidR="008B183C" w:rsidRPr="00BD295E">
        <w:rPr>
          <w:rFonts w:ascii="Arial" w:hAnsi="Arial" w:cs="Arial"/>
          <w:iCs/>
          <w:sz w:val="18"/>
          <w:szCs w:val="18"/>
          <w:lang w:val="en-US"/>
        </w:rPr>
        <w:t>of</w:t>
      </w:r>
      <w:r w:rsidRPr="00BD295E">
        <w:rPr>
          <w:rFonts w:ascii="Arial" w:hAnsi="Arial" w:cs="Arial"/>
          <w:iCs/>
          <w:sz w:val="18"/>
          <w:szCs w:val="18"/>
          <w:lang w:val="en-US"/>
        </w:rPr>
        <w:t xml:space="preserve"> December 31, 2013), with all new elements and aspects included in the Accounting Policy when making amendments to the existing version. When preparing such amendments to the Accounting Policy, all changes have been consistently applied from January 1, 2018.</w:t>
      </w:r>
    </w:p>
    <w:p w14:paraId="7AAC01EB" w14:textId="77777777" w:rsidR="00394FF1" w:rsidRPr="00BD295E" w:rsidRDefault="008A5057" w:rsidP="00D030A5">
      <w:pPr>
        <w:pStyle w:val="af7"/>
        <w:rPr>
          <w:rFonts w:ascii="Arial" w:hAnsi="Arial" w:cs="Arial"/>
          <w:sz w:val="18"/>
          <w:szCs w:val="18"/>
          <w:lang w:val="en-US"/>
        </w:rPr>
      </w:pPr>
      <w:r w:rsidRPr="00BD295E">
        <w:rPr>
          <w:rFonts w:ascii="Arial" w:hAnsi="Arial" w:cs="Arial"/>
          <w:sz w:val="18"/>
          <w:szCs w:val="18"/>
          <w:lang w:val="en-US"/>
        </w:rPr>
        <w:t>The accounting principles are based on Russian laws and/or accounting regulations. If the regulatory legal acts do not establish any accounting methods for a specific matter, an appropriate method was developed based on the applicable accounting regulations and International Financial Reporting Standards.</w:t>
      </w:r>
    </w:p>
    <w:p w14:paraId="33D2939A" w14:textId="06BF0AB7" w:rsidR="00394FF1" w:rsidRPr="00BD295E" w:rsidRDefault="008A5057" w:rsidP="00D030A5">
      <w:pPr>
        <w:spacing w:after="160" w:line="259" w:lineRule="auto"/>
        <w:jc w:val="both"/>
        <w:rPr>
          <w:rFonts w:ascii="Arial" w:hAnsi="Arial" w:cs="Arial"/>
          <w:iCs/>
          <w:sz w:val="18"/>
          <w:szCs w:val="18"/>
          <w:lang w:val="en-US"/>
        </w:rPr>
      </w:pPr>
      <w:r w:rsidRPr="00BD295E">
        <w:rPr>
          <w:rFonts w:ascii="Arial" w:hAnsi="Arial" w:cs="Arial"/>
          <w:iCs/>
          <w:sz w:val="18"/>
          <w:szCs w:val="18"/>
          <w:lang w:val="en-US"/>
        </w:rPr>
        <w:t xml:space="preserve">Accounting records are kept at the Company in line with Federal Law No. 402-FZ, </w:t>
      </w:r>
      <w:r w:rsidRPr="00BD295E">
        <w:rPr>
          <w:rFonts w:ascii="Arial" w:hAnsi="Arial" w:cs="Arial"/>
          <w:i/>
          <w:iCs/>
          <w:sz w:val="18"/>
          <w:szCs w:val="18"/>
          <w:lang w:val="en-US"/>
        </w:rPr>
        <w:t>On Accounting</w:t>
      </w:r>
      <w:r w:rsidRPr="00BD295E">
        <w:rPr>
          <w:rFonts w:ascii="Arial" w:hAnsi="Arial" w:cs="Arial"/>
          <w:iCs/>
          <w:sz w:val="18"/>
          <w:szCs w:val="18"/>
          <w:lang w:val="en-US"/>
        </w:rPr>
        <w:t xml:space="preserve">, </w:t>
      </w:r>
      <w:r w:rsidR="008B183C" w:rsidRPr="00BD295E">
        <w:rPr>
          <w:rFonts w:ascii="Arial" w:hAnsi="Arial" w:cs="Arial"/>
          <w:iCs/>
          <w:sz w:val="18"/>
          <w:szCs w:val="18"/>
          <w:lang w:val="en-US"/>
        </w:rPr>
        <w:t>of</w:t>
      </w:r>
      <w:r w:rsidRPr="00BD295E">
        <w:rPr>
          <w:rFonts w:ascii="Arial" w:hAnsi="Arial" w:cs="Arial"/>
          <w:iCs/>
          <w:sz w:val="18"/>
          <w:szCs w:val="18"/>
          <w:lang w:val="en-US"/>
        </w:rPr>
        <w:t xml:space="preserve"> 6 December 2011, and the Regulations for Accounting and Reporting in the Russian Federation, approved by Order No. 34n of the Russian Ministry of Finance, </w:t>
      </w:r>
      <w:r w:rsidR="008B183C" w:rsidRPr="00BD295E">
        <w:rPr>
          <w:rFonts w:ascii="Arial" w:hAnsi="Arial" w:cs="Arial"/>
          <w:iCs/>
          <w:sz w:val="18"/>
          <w:szCs w:val="18"/>
          <w:lang w:val="en-US"/>
        </w:rPr>
        <w:t>of</w:t>
      </w:r>
      <w:r w:rsidRPr="00BD295E">
        <w:rPr>
          <w:rFonts w:ascii="Arial" w:hAnsi="Arial" w:cs="Arial"/>
          <w:iCs/>
          <w:sz w:val="18"/>
          <w:szCs w:val="18"/>
          <w:lang w:val="en-US"/>
        </w:rPr>
        <w:t xml:space="preserve"> July 29, 1998 (as amended), as well as the applicable Accounting Regulations. The accounting (financial) statements of the Company for 2018 were prepared in accordance with the above Law and Regulations, the Accounting Policy of the Company approved by Order No. 836 of December 31, 2013 with amendments and additions made by Orders No. 132 of March 27, 2015, No. 183 of April 24, 2015, No. 310 of July 8, 2015, No. 626 of December 31, 2015, No. 144 of March 31, 2016, No. 303 of June 30, 2016, No. 653 of December 9, 2016, No. 699 of December 28, 2016, No. 746 of December 31, 2016, No. 500 of September 25, 2017, No. 692 of December 8, 2017, and No. 53 of February 6, 2018 based on </w:t>
      </w:r>
      <w:r w:rsidR="00BF7D8E" w:rsidRPr="00BD295E">
        <w:rPr>
          <w:rFonts w:ascii="Arial" w:hAnsi="Arial" w:cs="Arial"/>
          <w:iCs/>
          <w:sz w:val="18"/>
          <w:szCs w:val="18"/>
          <w:lang w:val="en-US"/>
        </w:rPr>
        <w:t>consolidated</w:t>
      </w:r>
      <w:r w:rsidRPr="00BD295E">
        <w:rPr>
          <w:rFonts w:ascii="Arial" w:hAnsi="Arial" w:cs="Arial"/>
          <w:iCs/>
          <w:sz w:val="18"/>
          <w:szCs w:val="18"/>
          <w:lang w:val="en-US"/>
        </w:rPr>
        <w:t xml:space="preserve"> data of the balance sheets of the Company’s Branches.</w:t>
      </w:r>
    </w:p>
    <w:p w14:paraId="30753EE8" w14:textId="3B3DF47A" w:rsidR="00394FF1" w:rsidRPr="00BD295E" w:rsidRDefault="008A5057" w:rsidP="00D030A5">
      <w:pPr>
        <w:spacing w:after="160" w:line="259" w:lineRule="auto"/>
        <w:jc w:val="both"/>
        <w:rPr>
          <w:rFonts w:ascii="Arial" w:hAnsi="Arial" w:cs="Arial"/>
          <w:iCs/>
          <w:sz w:val="18"/>
          <w:szCs w:val="18"/>
          <w:lang w:val="en-US"/>
        </w:rPr>
      </w:pPr>
      <w:r w:rsidRPr="00BD295E">
        <w:rPr>
          <w:rFonts w:ascii="Arial" w:hAnsi="Arial" w:cs="Arial"/>
          <w:iCs/>
          <w:sz w:val="18"/>
          <w:szCs w:val="18"/>
          <w:lang w:val="en-US"/>
        </w:rPr>
        <w:t xml:space="preserve">The accounting (financial) statements of the Company were prepared based on form templates recommended for use by Order No. 66n of the Russian Ministry of Finance </w:t>
      </w:r>
      <w:r w:rsidR="008B183C" w:rsidRPr="00BD295E">
        <w:rPr>
          <w:rFonts w:ascii="Arial" w:hAnsi="Arial" w:cs="Arial"/>
          <w:iCs/>
          <w:sz w:val="18"/>
          <w:szCs w:val="18"/>
          <w:lang w:val="en-US"/>
        </w:rPr>
        <w:t>of</w:t>
      </w:r>
      <w:r w:rsidRPr="00BD295E">
        <w:rPr>
          <w:rFonts w:ascii="Arial" w:hAnsi="Arial" w:cs="Arial"/>
          <w:iCs/>
          <w:sz w:val="18"/>
          <w:szCs w:val="18"/>
          <w:lang w:val="en-US"/>
        </w:rPr>
        <w:t xml:space="preserve"> July 2, 2010 (as restated on April 6, 2015), </w:t>
      </w:r>
      <w:r w:rsidRPr="00BD295E">
        <w:rPr>
          <w:rFonts w:ascii="Arial" w:hAnsi="Arial" w:cs="Arial"/>
          <w:i/>
          <w:iCs/>
          <w:sz w:val="18"/>
          <w:szCs w:val="18"/>
          <w:lang w:val="en-US"/>
        </w:rPr>
        <w:t>On forms of accounting statements of organizations</w:t>
      </w:r>
      <w:r w:rsidRPr="00BD295E">
        <w:rPr>
          <w:rFonts w:ascii="Arial" w:hAnsi="Arial" w:cs="Arial"/>
          <w:iCs/>
          <w:sz w:val="18"/>
          <w:szCs w:val="18"/>
          <w:lang w:val="en-US"/>
        </w:rPr>
        <w:t xml:space="preserve">, and guidelines of </w:t>
      </w:r>
      <w:r w:rsidR="00BF106F" w:rsidRPr="00BD295E">
        <w:rPr>
          <w:rFonts w:ascii="Arial" w:hAnsi="Arial" w:cs="Arial"/>
          <w:iCs/>
          <w:sz w:val="18"/>
          <w:szCs w:val="18"/>
          <w:lang w:val="en-US"/>
        </w:rPr>
        <w:t>PJSC “Rosseti”</w:t>
      </w:r>
      <w:r w:rsidRPr="00BD295E">
        <w:rPr>
          <w:rFonts w:ascii="Arial" w:hAnsi="Arial" w:cs="Arial"/>
          <w:iCs/>
          <w:sz w:val="18"/>
          <w:szCs w:val="18"/>
          <w:lang w:val="en-US"/>
        </w:rPr>
        <w:t xml:space="preserve"> on RAS </w:t>
      </w:r>
      <w:r w:rsidR="00BF7D8E" w:rsidRPr="00BD295E">
        <w:rPr>
          <w:rFonts w:ascii="Arial" w:hAnsi="Arial" w:cs="Arial"/>
          <w:iCs/>
          <w:sz w:val="18"/>
          <w:szCs w:val="18"/>
          <w:lang w:val="en-US"/>
        </w:rPr>
        <w:t>consolidated</w:t>
      </w:r>
      <w:r w:rsidRPr="00BD295E">
        <w:rPr>
          <w:rFonts w:ascii="Arial" w:hAnsi="Arial" w:cs="Arial"/>
          <w:iCs/>
          <w:sz w:val="18"/>
          <w:szCs w:val="18"/>
          <w:lang w:val="en-US"/>
        </w:rPr>
        <w:t xml:space="preserve"> financial statements.</w:t>
      </w:r>
    </w:p>
    <w:p w14:paraId="1CFB1A75" w14:textId="77777777" w:rsidR="00394FF1" w:rsidRPr="00BD295E" w:rsidRDefault="008A5057" w:rsidP="00D030A5">
      <w:pPr>
        <w:pStyle w:val="af7"/>
        <w:rPr>
          <w:rFonts w:ascii="Arial" w:hAnsi="Arial" w:cs="Arial"/>
          <w:sz w:val="18"/>
          <w:szCs w:val="18"/>
          <w:lang w:val="en-US"/>
        </w:rPr>
      </w:pPr>
      <w:r w:rsidRPr="00BD295E">
        <w:rPr>
          <w:rFonts w:ascii="Arial" w:hAnsi="Arial" w:cs="Arial"/>
          <w:sz w:val="18"/>
          <w:szCs w:val="18"/>
          <w:lang w:val="en-US"/>
        </w:rPr>
        <w:t xml:space="preserve">The Company independently develops a Chart of Accounts containing a full list of synthetic and analytical accounts (including sub-accounts) required for accounting and ensuring the preparation of accounting, statistical, and management reports (Appendix to the Accounting Policy). </w:t>
      </w:r>
    </w:p>
    <w:p w14:paraId="6832BB9D" w14:textId="77777777" w:rsidR="00394FF1" w:rsidRPr="00BD295E" w:rsidRDefault="008A5057" w:rsidP="00D030A5">
      <w:pPr>
        <w:pStyle w:val="af7"/>
        <w:rPr>
          <w:rFonts w:ascii="Arial" w:hAnsi="Arial" w:cs="Arial"/>
          <w:sz w:val="18"/>
          <w:szCs w:val="18"/>
          <w:lang w:val="en-US"/>
        </w:rPr>
      </w:pPr>
      <w:r w:rsidRPr="00BD295E">
        <w:rPr>
          <w:rFonts w:ascii="Arial" w:hAnsi="Arial" w:cs="Arial"/>
          <w:sz w:val="18"/>
          <w:szCs w:val="18"/>
          <w:lang w:val="en-US"/>
        </w:rPr>
        <w:t xml:space="preserve">The Chart of Accounts allows implementing a certain method for registering and grouping data on accounting events to generate the required reporting forms (financial, statistical, and tax) and is intended to unify accounting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t>
      </w:r>
    </w:p>
    <w:p w14:paraId="7D547051" w14:textId="77777777" w:rsidR="00394FF1" w:rsidRPr="00BD295E" w:rsidRDefault="008A5057" w:rsidP="00D030A5">
      <w:pPr>
        <w:pStyle w:val="af7"/>
        <w:rPr>
          <w:rFonts w:ascii="Arial" w:hAnsi="Arial" w:cs="Arial"/>
          <w:sz w:val="18"/>
          <w:szCs w:val="18"/>
          <w:lang w:val="en-US"/>
        </w:rPr>
      </w:pPr>
      <w:r w:rsidRPr="00BD295E">
        <w:rPr>
          <w:rFonts w:ascii="Arial" w:hAnsi="Arial" w:cs="Arial"/>
          <w:sz w:val="18"/>
          <w:szCs w:val="18"/>
          <w:lang w:val="en-US"/>
        </w:rPr>
        <w:t>In the course of this work, accounting departments of the Company also use analytical attributes (system-wide directories and classifiers) developed with due consideration of the applicable production control requirements.</w:t>
      </w:r>
    </w:p>
    <w:p w14:paraId="2B65BE0D" w14:textId="77777777" w:rsidR="00394FF1" w:rsidRPr="00BD295E" w:rsidRDefault="008A5057" w:rsidP="00D030A5">
      <w:pPr>
        <w:spacing w:after="160" w:line="259" w:lineRule="auto"/>
        <w:jc w:val="both"/>
        <w:rPr>
          <w:rFonts w:ascii="Arial" w:hAnsi="Arial" w:cs="Arial"/>
          <w:iCs/>
          <w:sz w:val="18"/>
          <w:szCs w:val="18"/>
          <w:lang w:val="en-US"/>
        </w:rPr>
      </w:pPr>
      <w:r w:rsidRPr="00BD295E">
        <w:rPr>
          <w:rFonts w:ascii="Arial" w:hAnsi="Arial" w:cs="Arial"/>
          <w:iCs/>
          <w:sz w:val="18"/>
          <w:szCs w:val="18"/>
          <w:lang w:val="en-US"/>
        </w:rPr>
        <w:t xml:space="preserve">Subsidiaries of </w:t>
      </w:r>
      <w:r w:rsidR="00EE5753" w:rsidRPr="00BD295E">
        <w:rPr>
          <w:rFonts w:ascii="Arial" w:hAnsi="Arial" w:cs="Arial"/>
          <w:iCs/>
          <w:sz w:val="18"/>
          <w:szCs w:val="18"/>
          <w:lang w:val="en-US"/>
        </w:rPr>
        <w:t>PJSC “Lenenergo”</w:t>
      </w:r>
      <w:r w:rsidRPr="00BD295E">
        <w:rPr>
          <w:rFonts w:ascii="Arial" w:hAnsi="Arial" w:cs="Arial"/>
          <w:iCs/>
          <w:sz w:val="18"/>
          <w:szCs w:val="18"/>
          <w:lang w:val="en-US"/>
        </w:rPr>
        <w:t xml:space="preserve"> prepare interim financial statements in compliance with the accounting policy, are responsible for accounting for property allocated to them, and are guided by the key provisions of the accounting policy of </w:t>
      </w:r>
      <w:r w:rsidR="00EE5753" w:rsidRPr="00BD295E">
        <w:rPr>
          <w:rFonts w:ascii="Arial" w:hAnsi="Arial" w:cs="Arial"/>
          <w:iCs/>
          <w:sz w:val="18"/>
          <w:szCs w:val="18"/>
          <w:lang w:val="en-US"/>
        </w:rPr>
        <w:t>PJSC “Lenenergo”</w:t>
      </w:r>
      <w:r w:rsidRPr="00BD295E">
        <w:rPr>
          <w:rFonts w:ascii="Arial" w:hAnsi="Arial" w:cs="Arial"/>
          <w:iCs/>
          <w:sz w:val="18"/>
          <w:szCs w:val="18"/>
          <w:lang w:val="en-US"/>
        </w:rPr>
        <w:t>.</w:t>
      </w:r>
    </w:p>
    <w:p w14:paraId="7938BE7A" w14:textId="77777777" w:rsidR="00394FF1" w:rsidRPr="00BD295E" w:rsidRDefault="008A5057" w:rsidP="00D030A5">
      <w:pPr>
        <w:spacing w:after="160" w:line="259" w:lineRule="auto"/>
        <w:jc w:val="both"/>
        <w:rPr>
          <w:rFonts w:ascii="Arial" w:hAnsi="Arial" w:cs="Arial"/>
          <w:b/>
          <w:sz w:val="18"/>
          <w:szCs w:val="18"/>
          <w:lang w:val="en-US"/>
        </w:rPr>
      </w:pPr>
      <w:r w:rsidRPr="00BD295E">
        <w:rPr>
          <w:rFonts w:ascii="Arial" w:hAnsi="Arial" w:cs="Arial"/>
          <w:b/>
          <w:sz w:val="18"/>
          <w:szCs w:val="18"/>
          <w:lang w:val="en-US"/>
        </w:rPr>
        <w:t>Organizational aspects of the accounting policy.</w:t>
      </w:r>
    </w:p>
    <w:p w14:paraId="10F052A6"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As at December 31, 2018,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includes the Executive Arm and nine branches. The branches were set up to align the organization with the existence of standalone production, commercial, and business processes. </w:t>
      </w:r>
    </w:p>
    <w:p w14:paraId="6E9F5563"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Heads of branches are appointed by the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act under powers of attorney issued by the CEO. </w:t>
      </w:r>
    </w:p>
    <w:p w14:paraId="719BA1CF"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The CEO, Deputy CEOs and Directors of the Company’s branches are responsible for organizing the accounting process and submitting reliable accounting statements of the Company, as well as for ensuring legal compliance of business operations, and mandatory audits.</w:t>
      </w:r>
    </w:p>
    <w:p w14:paraId="7A9B834C"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The Chief Accountant – Head of the Financial and Tax Accounting and Reporting Department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responsible for drafting the accounting policy, keeping financial and tax accounts, timely submission of complete and reliable accounting and tax reports, as well as for reporting under the International Financial Reporting Standards (IFRS). </w:t>
      </w:r>
    </w:p>
    <w:p w14:paraId="3B08F99D"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The Chief Accountant reports to the CEO.</w:t>
      </w:r>
    </w:p>
    <w:p w14:paraId="625CD160" w14:textId="77777777" w:rsidR="00394FF1" w:rsidRPr="00BD295E" w:rsidRDefault="008A5057" w:rsidP="00D030A5">
      <w:pPr>
        <w:spacing w:after="160" w:line="259" w:lineRule="auto"/>
        <w:jc w:val="both"/>
        <w:rPr>
          <w:rFonts w:ascii="Arial" w:hAnsi="Arial" w:cs="Arial"/>
          <w:b/>
          <w:sz w:val="18"/>
          <w:szCs w:val="18"/>
          <w:lang w:val="en-US"/>
        </w:rPr>
      </w:pPr>
      <w:r w:rsidRPr="00BD295E">
        <w:rPr>
          <w:rFonts w:ascii="Arial" w:hAnsi="Arial" w:cs="Arial"/>
          <w:b/>
          <w:sz w:val="18"/>
          <w:szCs w:val="18"/>
          <w:lang w:val="en-US"/>
        </w:rPr>
        <w:t>Organization of accounting.</w:t>
      </w:r>
    </w:p>
    <w:p w14:paraId="1DD94BCF" w14:textId="77777777" w:rsidR="00394FF1" w:rsidRPr="00BD295E" w:rsidRDefault="008A5057" w:rsidP="00D030A5">
      <w:pPr>
        <w:pStyle w:val="af7"/>
        <w:tabs>
          <w:tab w:val="left" w:pos="709"/>
        </w:tabs>
        <w:rPr>
          <w:rFonts w:ascii="Arial" w:hAnsi="Arial" w:cs="Arial"/>
          <w:sz w:val="18"/>
          <w:szCs w:val="18"/>
          <w:lang w:val="en-US"/>
        </w:rPr>
      </w:pPr>
      <w:r w:rsidRPr="00BD295E">
        <w:rPr>
          <w:rFonts w:ascii="Arial" w:hAnsi="Arial" w:cs="Arial"/>
          <w:sz w:val="18"/>
          <w:szCs w:val="18"/>
          <w:lang w:val="en-US"/>
        </w:rPr>
        <w:t>The Financial and Tax Accounting and Reporting Department of the Executive Arm directly reports to the Chief Accountant, while Financial and Tax Accounting and Reporting units of branches also report to the Chief Accountant (dotted line reporting with regard to day-to-day operations and methodology).</w:t>
      </w:r>
    </w:p>
    <w:p w14:paraId="343E084F" w14:textId="77777777" w:rsidR="00394FF1" w:rsidRPr="00BD295E" w:rsidRDefault="008A5057" w:rsidP="00D030A5">
      <w:pPr>
        <w:pStyle w:val="af7"/>
        <w:tabs>
          <w:tab w:val="left" w:pos="709"/>
        </w:tabs>
        <w:rPr>
          <w:rFonts w:ascii="Arial" w:hAnsi="Arial" w:cs="Arial"/>
          <w:sz w:val="18"/>
          <w:szCs w:val="18"/>
          <w:lang w:val="en-US"/>
        </w:rPr>
      </w:pPr>
      <w:r w:rsidRPr="00BD295E">
        <w:rPr>
          <w:rFonts w:ascii="Arial" w:hAnsi="Arial" w:cs="Arial"/>
          <w:sz w:val="18"/>
          <w:szCs w:val="18"/>
          <w:lang w:val="en-US"/>
        </w:rPr>
        <w:t xml:space="preserve">The Financial and Tax Accounting and Reporting units of the Company’s subsidiaries led by chief accountants as well as the Financial and Tax Accounting Department of the Executive Arm make up the Accounting Service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which is mainly tasked with keeping financial and tax accounts and drafting accounting and tax reports. </w:t>
      </w:r>
    </w:p>
    <w:p w14:paraId="4AD19CCF"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The composition and subordination, division of powers and responsibilities, structure and distribution of accounting functions (including their centralization) as well as the drafting of a list of accounting items within the Accounting Service of the Company are subject to direct approval of the Company’s Chief Accountant depending on the production functions of branches and business processes occurring within them.</w:t>
      </w:r>
    </w:p>
    <w:p w14:paraId="6679906E"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The requirements of the Chief Accountant regarding documentation of business transactions and submittal of the necessary documents and information to the accounting services are binding on all employees of the Executive Arm and branches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60A6C6FE"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Accounting according to IFRS standards and international reporting are the responsibility of the IFRS Reporting Department of the Executive Arm, which is a part of the Financial and Tax Accounting and Reporting Department. </w:t>
      </w:r>
    </w:p>
    <w:p w14:paraId="792CE1DA"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Payroll accounting is the responsibility of the Payroll Unit of the Executive Arm, which is a part of the Financial and Tax Accounting and Reporting Department. </w:t>
      </w:r>
    </w:p>
    <w:p w14:paraId="49E15165"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Monitoring of tax payments, preparation of the tax base and tax returns, consolidation of tax accounting registers (forms) are the responsibility of the Tax Accounting and Reporting Unit of the Executive Arm. </w:t>
      </w:r>
    </w:p>
    <w:p w14:paraId="63FC6A6D" w14:textId="77777777" w:rsidR="00394FF1" w:rsidRPr="00BD295E" w:rsidRDefault="00EE5753"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assesses and pays taxes in a centralized way in line with the Russian laws on taxes and charges, laws of constituent entities of the Russian Federation on taxes and charges, regulatory legal acts of local governments on taxes and charges, using accounting software applied by </w:t>
      </w:r>
      <w:r w:rsidRPr="00BD295E">
        <w:rPr>
          <w:rFonts w:ascii="Arial" w:hAnsi="Arial" w:cs="Arial"/>
          <w:sz w:val="18"/>
          <w:szCs w:val="18"/>
          <w:lang w:val="en-US"/>
        </w:rPr>
        <w:t>PJSC “Lenenergo”</w:t>
      </w:r>
      <w:r w:rsidR="008A5057" w:rsidRPr="00BD295E">
        <w:rPr>
          <w:rFonts w:ascii="Arial" w:hAnsi="Arial" w:cs="Arial"/>
          <w:sz w:val="18"/>
          <w:szCs w:val="18"/>
          <w:lang w:val="en-US"/>
        </w:rPr>
        <w:t>.</w:t>
      </w:r>
    </w:p>
    <w:p w14:paraId="658BD686"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Accounting is performed:</w:t>
      </w:r>
    </w:p>
    <w:p w14:paraId="40B1C758" w14:textId="77777777" w:rsidR="00394FF1" w:rsidRPr="00BD295E" w:rsidRDefault="008A5057" w:rsidP="00D030A5">
      <w:pPr>
        <w:pStyle w:val="af3"/>
        <w:numPr>
          <w:ilvl w:val="0"/>
          <w:numId w:val="98"/>
        </w:numPr>
        <w:ind w:left="0"/>
        <w:jc w:val="both"/>
        <w:rPr>
          <w:rFonts w:ascii="Arial" w:hAnsi="Arial" w:cs="Arial"/>
          <w:sz w:val="18"/>
          <w:szCs w:val="18"/>
          <w:lang w:val="en-US"/>
        </w:rPr>
      </w:pPr>
      <w:r w:rsidRPr="00BD295E">
        <w:rPr>
          <w:rFonts w:ascii="Arial" w:hAnsi="Arial" w:cs="Arial"/>
          <w:sz w:val="18"/>
          <w:szCs w:val="18"/>
          <w:lang w:val="en-US"/>
        </w:rPr>
        <w:t>in rubles and kopecks using total uninterrupted documentation of all business transactions,</w:t>
      </w:r>
    </w:p>
    <w:p w14:paraId="7F394DB0" w14:textId="77777777" w:rsidR="00394FF1" w:rsidRPr="00BD295E" w:rsidRDefault="008A5057" w:rsidP="00D030A5">
      <w:pPr>
        <w:pStyle w:val="af3"/>
        <w:numPr>
          <w:ilvl w:val="0"/>
          <w:numId w:val="98"/>
        </w:numPr>
        <w:ind w:left="0"/>
        <w:jc w:val="both"/>
        <w:rPr>
          <w:rFonts w:ascii="Arial" w:hAnsi="Arial" w:cs="Arial"/>
          <w:sz w:val="18"/>
          <w:szCs w:val="18"/>
          <w:lang w:val="en-US"/>
        </w:rPr>
      </w:pPr>
      <w:r w:rsidRPr="00BD295E">
        <w:rPr>
          <w:rFonts w:ascii="Arial" w:hAnsi="Arial" w:cs="Arial"/>
          <w:sz w:val="18"/>
          <w:szCs w:val="18"/>
          <w:lang w:val="en-US"/>
        </w:rPr>
        <w:t xml:space="preserve">double-entry bookkeeping on interconnected accounts, aligned with the Chart of Financial and Business Accounts. </w:t>
      </w:r>
    </w:p>
    <w:p w14:paraId="54664728" w14:textId="77777777" w:rsidR="00394FF1" w:rsidRPr="00BD295E" w:rsidRDefault="00EE5753" w:rsidP="00D030A5">
      <w:pPr>
        <w:pStyle w:val="af7"/>
        <w:spacing w:before="120"/>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keeps its accounting records using automated forms via 1C applications  </w:t>
      </w:r>
    </w:p>
    <w:p w14:paraId="72C4AADC" w14:textId="77777777" w:rsidR="00394FF1" w:rsidRPr="00BD295E" w:rsidRDefault="008A5057" w:rsidP="00D030A5">
      <w:pPr>
        <w:spacing w:after="160" w:line="259" w:lineRule="auto"/>
        <w:jc w:val="both"/>
        <w:rPr>
          <w:rFonts w:ascii="Arial" w:hAnsi="Arial" w:cs="Arial"/>
          <w:b/>
          <w:sz w:val="18"/>
          <w:szCs w:val="18"/>
          <w:lang w:val="en-US"/>
        </w:rPr>
      </w:pPr>
      <w:r w:rsidRPr="00BD295E">
        <w:rPr>
          <w:rFonts w:ascii="Arial" w:hAnsi="Arial" w:cs="Arial"/>
          <w:b/>
          <w:sz w:val="18"/>
          <w:szCs w:val="18"/>
          <w:lang w:val="en-US"/>
        </w:rPr>
        <w:t>Technical aspects of the accounting policy.</w:t>
      </w:r>
    </w:p>
    <w:p w14:paraId="7DDBB83F"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Accounting entries are made based on primary documents that record all business operations that may affect the financial state of the organization regardless of the degree of probability and materiality of their impact. Transactions that are not subject to accounting (including facts of business activities) are not recognized in accounting records.</w:t>
      </w:r>
    </w:p>
    <w:p w14:paraId="713852AD"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Documents used for recognizing business transactions with cash (in bank accounts, under contracts that change financial obligations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are signed by the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the Chief Accountant (for compliance of the business transaction with accounting requirements), or by other authorized persons. </w:t>
      </w:r>
    </w:p>
    <w:p w14:paraId="18C8B88D" w14:textId="77777777" w:rsidR="00394FF1" w:rsidRPr="00BD295E" w:rsidRDefault="008A5057" w:rsidP="00D030A5">
      <w:pPr>
        <w:pStyle w:val="af9"/>
        <w:rPr>
          <w:rFonts w:ascii="Arial" w:hAnsi="Arial" w:cs="Arial"/>
          <w:sz w:val="18"/>
          <w:szCs w:val="18"/>
          <w:lang w:val="en-US"/>
        </w:rPr>
      </w:pPr>
      <w:r w:rsidRPr="00BD295E">
        <w:rPr>
          <w:rFonts w:ascii="Arial" w:hAnsi="Arial" w:cs="Arial"/>
          <w:sz w:val="18"/>
          <w:szCs w:val="18"/>
          <w:lang w:val="en-US"/>
        </w:rPr>
        <w:t xml:space="preserve">The right to sign primary accounting documents is assigned by an order applicable throughout </w:t>
      </w:r>
      <w:r w:rsidR="00EE5753" w:rsidRPr="00BD295E">
        <w:rPr>
          <w:rFonts w:ascii="Arial" w:hAnsi="Arial" w:cs="Arial"/>
          <w:sz w:val="18"/>
          <w:szCs w:val="18"/>
          <w:lang w:val="en-US"/>
        </w:rPr>
        <w:t>PJSC “Lenenergo”</w:t>
      </w:r>
      <w:r w:rsidRPr="00BD295E">
        <w:rPr>
          <w:rFonts w:ascii="Arial" w:hAnsi="Arial" w:cs="Arial"/>
          <w:sz w:val="18"/>
          <w:szCs w:val="18"/>
          <w:lang w:val="en-US"/>
        </w:rPr>
        <w:t>. In addition, heads of services (heads of divisions, departments, etc.) have the right to sign documents according to their official and functional responsibilities or under a power of attorney issued by the Company’s CEO.</w:t>
      </w:r>
    </w:p>
    <w:p w14:paraId="675CBCE1"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In order to ensure confidentiality, the procedure for using the electronic digital signature is approved by separate administrative documents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depending on the use purpose.</w:t>
      </w:r>
    </w:p>
    <w:p w14:paraId="6BC704C3"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When using electronic document management tools within the Company, making a copy of the relevant primary accounting document in hard copy is mandatory if an accounting entry is made based on such document. </w:t>
      </w:r>
    </w:p>
    <w:p w14:paraId="4D0EA4CD"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To recognize financial and business transactions, as well as for tax accounting purposes and for the purposes of Accounting Regulations 18/02, for which no standard primary accounting forms exist,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develops forms of tax registers and documents based on the Accounting Regulations, applicable accounting guidelines and instructions, and existing forms of primary accounting documents, taking into account the needs of the energy system and industry specifics as adopted and reflected in the Accounting Policy.</w:t>
      </w:r>
    </w:p>
    <w:p w14:paraId="45D51EF8"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Primary documents used by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recognizing standard business transactions of the Company are developed with due consideration of its operational profile and applicable accounting methods and are approved as a standalone Appendix to the Accounting Policy Regulations.</w:t>
      </w:r>
    </w:p>
    <w:p w14:paraId="1C11E969"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Primary accounting documents are accepted in any form, but if there are no similar documents among approved forms of primary documents, they must contain the following mandatory details:</w:t>
      </w:r>
    </w:p>
    <w:p w14:paraId="76342866" w14:textId="77777777" w:rsidR="00394FF1" w:rsidRPr="00BD295E" w:rsidRDefault="008A5057" w:rsidP="00D030A5">
      <w:pPr>
        <w:numPr>
          <w:ilvl w:val="0"/>
          <w:numId w:val="65"/>
        </w:numPr>
        <w:spacing w:line="259" w:lineRule="auto"/>
        <w:ind w:left="0" w:hanging="357"/>
        <w:jc w:val="both"/>
        <w:rPr>
          <w:rFonts w:ascii="Arial" w:hAnsi="Arial" w:cs="Arial"/>
          <w:i/>
          <w:sz w:val="18"/>
          <w:szCs w:val="18"/>
          <w:lang w:val="en-US"/>
        </w:rPr>
      </w:pPr>
      <w:r w:rsidRPr="00BD295E">
        <w:rPr>
          <w:rFonts w:ascii="Arial" w:hAnsi="Arial" w:cs="Arial"/>
          <w:sz w:val="18"/>
          <w:szCs w:val="18"/>
          <w:lang w:val="en-US"/>
        </w:rPr>
        <w:t>document title;</w:t>
      </w:r>
    </w:p>
    <w:p w14:paraId="49FEC74B" w14:textId="77777777" w:rsidR="00394FF1" w:rsidRPr="00BD295E" w:rsidRDefault="008A5057" w:rsidP="00D030A5">
      <w:pPr>
        <w:numPr>
          <w:ilvl w:val="0"/>
          <w:numId w:val="65"/>
        </w:numPr>
        <w:spacing w:line="259" w:lineRule="auto"/>
        <w:ind w:left="0" w:hanging="357"/>
        <w:jc w:val="both"/>
        <w:rPr>
          <w:rFonts w:ascii="Arial" w:hAnsi="Arial" w:cs="Arial"/>
          <w:i/>
          <w:sz w:val="18"/>
          <w:szCs w:val="18"/>
          <w:lang w:val="en-US"/>
        </w:rPr>
      </w:pPr>
      <w:r w:rsidRPr="00BD295E">
        <w:rPr>
          <w:rFonts w:ascii="Arial" w:hAnsi="Arial" w:cs="Arial"/>
          <w:sz w:val="18"/>
          <w:szCs w:val="18"/>
          <w:lang w:val="en-US"/>
        </w:rPr>
        <w:t>document date;</w:t>
      </w:r>
    </w:p>
    <w:p w14:paraId="4E305400" w14:textId="77777777" w:rsidR="00394FF1" w:rsidRPr="00BD295E" w:rsidRDefault="008A5057" w:rsidP="00D030A5">
      <w:pPr>
        <w:numPr>
          <w:ilvl w:val="0"/>
          <w:numId w:val="65"/>
        </w:numPr>
        <w:spacing w:line="259" w:lineRule="auto"/>
        <w:ind w:left="0" w:hanging="357"/>
        <w:jc w:val="both"/>
        <w:rPr>
          <w:rFonts w:ascii="Arial" w:hAnsi="Arial" w:cs="Arial"/>
          <w:i/>
          <w:sz w:val="18"/>
          <w:szCs w:val="18"/>
          <w:lang w:val="en-US"/>
        </w:rPr>
      </w:pPr>
      <w:r w:rsidRPr="00BD295E">
        <w:rPr>
          <w:rFonts w:ascii="Arial" w:hAnsi="Arial" w:cs="Arial"/>
          <w:sz w:val="18"/>
          <w:szCs w:val="18"/>
          <w:lang w:val="en-US"/>
        </w:rPr>
        <w:t>the name of the branch (organization) on behalf of which the document has been drawn up;</w:t>
      </w:r>
    </w:p>
    <w:p w14:paraId="2F134FFB" w14:textId="77777777" w:rsidR="00394FF1" w:rsidRPr="00BD295E" w:rsidRDefault="008A5057" w:rsidP="00D030A5">
      <w:pPr>
        <w:numPr>
          <w:ilvl w:val="0"/>
          <w:numId w:val="65"/>
        </w:numPr>
        <w:spacing w:line="259" w:lineRule="auto"/>
        <w:ind w:left="0" w:hanging="357"/>
        <w:jc w:val="both"/>
        <w:rPr>
          <w:rFonts w:ascii="Arial" w:hAnsi="Arial" w:cs="Arial"/>
          <w:i/>
          <w:sz w:val="18"/>
          <w:szCs w:val="18"/>
          <w:lang w:val="en-US"/>
        </w:rPr>
      </w:pPr>
      <w:r w:rsidRPr="00BD295E">
        <w:rPr>
          <w:rFonts w:ascii="Arial" w:hAnsi="Arial" w:cs="Arial"/>
          <w:sz w:val="18"/>
          <w:szCs w:val="18"/>
          <w:lang w:val="en-US"/>
        </w:rPr>
        <w:t>the description of the relevant accounting event;</w:t>
      </w:r>
    </w:p>
    <w:p w14:paraId="12F00AB5" w14:textId="77777777" w:rsidR="00394FF1" w:rsidRPr="00BD295E" w:rsidRDefault="008A5057" w:rsidP="00D030A5">
      <w:pPr>
        <w:numPr>
          <w:ilvl w:val="0"/>
          <w:numId w:val="65"/>
        </w:numPr>
        <w:spacing w:line="259" w:lineRule="auto"/>
        <w:ind w:left="0" w:hanging="357"/>
        <w:jc w:val="both"/>
        <w:rPr>
          <w:rFonts w:ascii="Arial" w:hAnsi="Arial" w:cs="Arial"/>
          <w:i/>
          <w:sz w:val="18"/>
          <w:szCs w:val="18"/>
          <w:lang w:val="en-US"/>
        </w:rPr>
      </w:pPr>
      <w:r w:rsidRPr="00BD295E">
        <w:rPr>
          <w:rFonts w:ascii="Arial" w:hAnsi="Arial" w:cs="Arial"/>
          <w:sz w:val="18"/>
          <w:szCs w:val="18"/>
          <w:lang w:val="en-US"/>
        </w:rPr>
        <w:t>the value in kind and/or in cash of the accounting event, specifying the units of measurement;</w:t>
      </w:r>
    </w:p>
    <w:p w14:paraId="1DD76FEA" w14:textId="77777777" w:rsidR="00394FF1" w:rsidRPr="00BD295E" w:rsidRDefault="008A5057" w:rsidP="00D030A5">
      <w:pPr>
        <w:numPr>
          <w:ilvl w:val="0"/>
          <w:numId w:val="65"/>
        </w:numPr>
        <w:spacing w:line="259" w:lineRule="auto"/>
        <w:ind w:left="0" w:hanging="357"/>
        <w:jc w:val="both"/>
        <w:rPr>
          <w:rFonts w:ascii="Arial" w:hAnsi="Arial" w:cs="Arial"/>
          <w:i/>
          <w:sz w:val="18"/>
          <w:szCs w:val="18"/>
          <w:lang w:val="en-US"/>
        </w:rPr>
      </w:pPr>
      <w:r w:rsidRPr="00BD295E">
        <w:rPr>
          <w:rFonts w:ascii="Arial" w:hAnsi="Arial" w:cs="Arial"/>
          <w:sz w:val="18"/>
          <w:szCs w:val="18"/>
          <w:lang w:val="en-US"/>
        </w:rPr>
        <w:t>the positions of persons who made the transaction or operation and are responsible for its correct execution or the position of a person responsible for correctness recognition of an occurred event;</w:t>
      </w:r>
    </w:p>
    <w:p w14:paraId="6CED1349" w14:textId="77777777" w:rsidR="00394FF1" w:rsidRPr="00BD295E" w:rsidRDefault="008A5057" w:rsidP="00D030A5">
      <w:pPr>
        <w:numPr>
          <w:ilvl w:val="0"/>
          <w:numId w:val="65"/>
        </w:numPr>
        <w:spacing w:after="160" w:line="259" w:lineRule="auto"/>
        <w:ind w:left="0"/>
        <w:jc w:val="both"/>
        <w:rPr>
          <w:rFonts w:ascii="Arial" w:hAnsi="Arial" w:cs="Arial"/>
          <w:i/>
          <w:sz w:val="18"/>
          <w:szCs w:val="18"/>
          <w:lang w:val="en-US"/>
        </w:rPr>
      </w:pPr>
      <w:r w:rsidRPr="00BD295E">
        <w:rPr>
          <w:rFonts w:ascii="Arial" w:hAnsi="Arial" w:cs="Arial"/>
          <w:sz w:val="18"/>
          <w:szCs w:val="18"/>
          <w:lang w:val="en-US"/>
        </w:rPr>
        <w:t>personal signatures and full names of the above persons as required for their identification.</w:t>
      </w:r>
    </w:p>
    <w:p w14:paraId="5E09C8F6"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As the Company uses an automated accounting system, primary accounting documents and other applicable periodic reporting forms can be kept in soft copy, and can be printed out at request of audit and tax authorities.</w:t>
      </w:r>
    </w:p>
    <w:p w14:paraId="386F5F82"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The flow of primary documents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(generation or receipt from other entities, companies, and organizations, the document flow between subsidiaries, acceptance for accounting, processing, writing-off, or archiving) is regulated by the Document Management Schedule, which is a standalone Appendix to the Accounting Policy Regulation. </w:t>
      </w:r>
    </w:p>
    <w:p w14:paraId="23AFC569"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Copies of documents confirming expenditures of financial resources and serving as the basis for settlements with various organizations with respect to obligations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(including its branches) are submitted to the Treasury of the Executive Arm with a completed Payment Order form with an “accepted for accounting” stamp and signed by the responsible employee of the accounting service that is responsible for recognizing the relevant expenditure item. </w:t>
      </w:r>
    </w:p>
    <w:p w14:paraId="2935160D"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Copies of contracts, original acts and invoices with respect to obligations are submitted to the accounting service that is authorized to recognize the relevant expenditure item.</w:t>
      </w:r>
    </w:p>
    <w:p w14:paraId="749BC072"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The Company keeps primary accounting documents, accounting registers, and accounting reports during the periods specified in the internal organizational and administrative documents, but at least for five years.</w:t>
      </w:r>
    </w:p>
    <w:p w14:paraId="1632B972"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The originals of primary accounting documents on business transactions generated at branches are accepted for accounting and kept at places where they were generated. </w:t>
      </w:r>
    </w:p>
    <w:p w14:paraId="330110C6" w14:textId="77777777" w:rsidR="00394FF1" w:rsidRPr="00BD295E" w:rsidRDefault="008A5057" w:rsidP="00D030A5">
      <w:pPr>
        <w:spacing w:after="160" w:line="259" w:lineRule="auto"/>
        <w:jc w:val="both"/>
        <w:rPr>
          <w:rFonts w:ascii="Arial" w:hAnsi="Arial" w:cs="Arial"/>
          <w:sz w:val="18"/>
          <w:szCs w:val="18"/>
          <w:lang w:val="en-US"/>
        </w:rPr>
      </w:pPr>
      <w:r w:rsidRPr="00BD295E">
        <w:rPr>
          <w:rFonts w:ascii="Arial" w:hAnsi="Arial" w:cs="Arial"/>
          <w:sz w:val="18"/>
          <w:szCs w:val="18"/>
          <w:lang w:val="en-US"/>
        </w:rPr>
        <w:t>Documents that no longer need to be kept are destroyed against a report to be signed authorized officers.</w:t>
      </w:r>
    </w:p>
    <w:p w14:paraId="4AED44E9" w14:textId="77777777" w:rsidR="00394FF1" w:rsidRPr="00BD295E" w:rsidRDefault="008A5057" w:rsidP="00D030A5">
      <w:pPr>
        <w:spacing w:after="160" w:line="259" w:lineRule="auto"/>
        <w:jc w:val="both"/>
        <w:rPr>
          <w:rFonts w:ascii="Arial" w:hAnsi="Arial" w:cs="Arial"/>
          <w:b/>
          <w:sz w:val="18"/>
          <w:szCs w:val="18"/>
          <w:lang w:val="en-US"/>
        </w:rPr>
      </w:pPr>
      <w:r w:rsidRPr="00BD295E">
        <w:rPr>
          <w:rFonts w:ascii="Arial" w:hAnsi="Arial" w:cs="Arial"/>
          <w:b/>
          <w:sz w:val="18"/>
          <w:szCs w:val="18"/>
          <w:lang w:val="en-US"/>
        </w:rPr>
        <w:t>Reporting procedure and timelines</w:t>
      </w:r>
    </w:p>
    <w:p w14:paraId="0B797557" w14:textId="77777777" w:rsidR="00394FF1" w:rsidRPr="00BD295E" w:rsidRDefault="008A5057" w:rsidP="00D030A5">
      <w:pPr>
        <w:pStyle w:val="af7"/>
        <w:rPr>
          <w:rFonts w:ascii="Arial" w:hAnsi="Arial" w:cs="Arial"/>
          <w:i/>
          <w:sz w:val="18"/>
          <w:szCs w:val="18"/>
          <w:lang w:val="en-US"/>
        </w:rPr>
      </w:pPr>
      <w:r w:rsidRPr="00BD295E">
        <w:rPr>
          <w:rFonts w:ascii="Arial" w:hAnsi="Arial" w:cs="Arial"/>
          <w:sz w:val="18"/>
          <w:szCs w:val="18"/>
          <w:lang w:val="en-US"/>
        </w:rPr>
        <w:t xml:space="preserve">The Company prepares quarterly and annual financial statements on an accrual basis from the beginning of the reporting year using the forms and procedure set out in the with the Regulations for the Procedure for Statement Preparation in Accordance with Russian Accounting Standards of </w:t>
      </w:r>
      <w:r w:rsidR="00BF106F" w:rsidRPr="00BD295E">
        <w:rPr>
          <w:rFonts w:ascii="Arial" w:hAnsi="Arial" w:cs="Arial"/>
          <w:sz w:val="18"/>
          <w:szCs w:val="18"/>
          <w:lang w:val="en-US"/>
        </w:rPr>
        <w:t>PJSC “Rosseti”</w:t>
      </w:r>
      <w:r w:rsidRPr="00BD295E">
        <w:rPr>
          <w:rFonts w:ascii="Arial" w:hAnsi="Arial" w:cs="Arial"/>
          <w:sz w:val="18"/>
          <w:szCs w:val="18"/>
          <w:lang w:val="en-US"/>
        </w:rPr>
        <w:t>.</w:t>
      </w:r>
    </w:p>
    <w:p w14:paraId="4D974426" w14:textId="77777777" w:rsidR="00394FF1" w:rsidRPr="00BD295E" w:rsidRDefault="008A5057" w:rsidP="00D030A5">
      <w:pPr>
        <w:pStyle w:val="af7"/>
        <w:rPr>
          <w:rFonts w:ascii="Arial" w:hAnsi="Arial" w:cs="Arial"/>
          <w:i/>
          <w:sz w:val="18"/>
          <w:szCs w:val="18"/>
          <w:lang w:val="en-US"/>
        </w:rPr>
      </w:pPr>
      <w:r w:rsidRPr="00BD295E">
        <w:rPr>
          <w:rFonts w:ascii="Arial" w:hAnsi="Arial" w:cs="Arial"/>
          <w:sz w:val="18"/>
          <w:szCs w:val="18"/>
          <w:lang w:val="en-US"/>
        </w:rPr>
        <w:t>Quarterly financial statements are interim financial statements.</w:t>
      </w:r>
    </w:p>
    <w:p w14:paraId="3F1E52D3" w14:textId="77777777" w:rsidR="00394FF1" w:rsidRPr="00BD295E" w:rsidRDefault="008A5057" w:rsidP="00D030A5">
      <w:pPr>
        <w:pStyle w:val="af7"/>
        <w:rPr>
          <w:rFonts w:ascii="Arial" w:hAnsi="Arial" w:cs="Arial"/>
          <w:i/>
          <w:sz w:val="18"/>
          <w:szCs w:val="18"/>
          <w:lang w:val="en-US"/>
        </w:rPr>
      </w:pPr>
      <w:r w:rsidRPr="00BD295E">
        <w:rPr>
          <w:rFonts w:ascii="Arial" w:hAnsi="Arial" w:cs="Arial"/>
          <w:sz w:val="18"/>
          <w:szCs w:val="18"/>
          <w:lang w:val="en-US"/>
        </w:rPr>
        <w:t>Financial statements are presented in full thousands of rubles without decimal points.</w:t>
      </w:r>
    </w:p>
    <w:p w14:paraId="095C4D82" w14:textId="77777777" w:rsidR="00394FF1" w:rsidRPr="00BD295E" w:rsidRDefault="008A5057" w:rsidP="00394FF1">
      <w:pPr>
        <w:jc w:val="both"/>
        <w:rPr>
          <w:rFonts w:ascii="Arial" w:hAnsi="Arial" w:cs="Arial"/>
          <w:sz w:val="18"/>
          <w:szCs w:val="18"/>
          <w:lang w:val="en-US"/>
        </w:rPr>
      </w:pPr>
      <w:r w:rsidRPr="00BD295E">
        <w:rPr>
          <w:rFonts w:ascii="Arial" w:hAnsi="Arial" w:cs="Arial"/>
          <w:sz w:val="18"/>
          <w:szCs w:val="18"/>
          <w:lang w:val="en-US"/>
        </w:rPr>
        <w:t>The Company’s interim RAS financial statements include the following forms:</w:t>
      </w:r>
    </w:p>
    <w:p w14:paraId="35163A6F" w14:textId="77777777" w:rsidR="00394FF1" w:rsidRPr="00BD295E" w:rsidRDefault="008A5057" w:rsidP="00FA6082">
      <w:pPr>
        <w:pStyle w:val="af3"/>
        <w:numPr>
          <w:ilvl w:val="0"/>
          <w:numId w:val="156"/>
        </w:numPr>
        <w:spacing w:after="120"/>
        <w:jc w:val="both"/>
        <w:rPr>
          <w:rFonts w:ascii="Arial" w:hAnsi="Arial" w:cs="Arial"/>
          <w:sz w:val="18"/>
          <w:szCs w:val="18"/>
          <w:lang w:val="en-US"/>
        </w:rPr>
      </w:pPr>
      <w:r w:rsidRPr="00BD295E">
        <w:rPr>
          <w:rFonts w:ascii="Arial" w:hAnsi="Arial" w:cs="Arial"/>
          <w:sz w:val="18"/>
          <w:szCs w:val="18"/>
          <w:lang w:val="en-US"/>
        </w:rPr>
        <w:t>Balance sheet</w:t>
      </w:r>
    </w:p>
    <w:p w14:paraId="30CC95BB" w14:textId="77777777" w:rsidR="00394FF1" w:rsidRPr="00BD295E" w:rsidRDefault="008A5057" w:rsidP="00FA6082">
      <w:pPr>
        <w:pStyle w:val="af3"/>
        <w:numPr>
          <w:ilvl w:val="0"/>
          <w:numId w:val="156"/>
        </w:numPr>
        <w:spacing w:after="120"/>
        <w:jc w:val="both"/>
        <w:rPr>
          <w:rFonts w:ascii="Arial" w:hAnsi="Arial" w:cs="Arial"/>
          <w:sz w:val="18"/>
          <w:szCs w:val="18"/>
          <w:lang w:val="en-US"/>
        </w:rPr>
      </w:pPr>
      <w:r w:rsidRPr="00BD295E">
        <w:rPr>
          <w:rFonts w:ascii="Arial" w:hAnsi="Arial" w:cs="Arial"/>
          <w:sz w:val="18"/>
          <w:szCs w:val="18"/>
          <w:lang w:val="en-US"/>
        </w:rPr>
        <w:t>Statement of Financial Results</w:t>
      </w:r>
    </w:p>
    <w:p w14:paraId="339905DE" w14:textId="77777777" w:rsidR="00394FF1" w:rsidRPr="00BD295E" w:rsidRDefault="008A5057" w:rsidP="00FA6082">
      <w:pPr>
        <w:pStyle w:val="af3"/>
        <w:numPr>
          <w:ilvl w:val="0"/>
          <w:numId w:val="156"/>
        </w:numPr>
        <w:spacing w:after="120"/>
        <w:jc w:val="both"/>
        <w:rPr>
          <w:rFonts w:ascii="Arial" w:hAnsi="Arial" w:cs="Arial"/>
          <w:sz w:val="18"/>
          <w:szCs w:val="18"/>
          <w:lang w:val="en-US"/>
        </w:rPr>
      </w:pPr>
      <w:r w:rsidRPr="00BD295E">
        <w:rPr>
          <w:rFonts w:ascii="Arial" w:hAnsi="Arial" w:cs="Arial"/>
          <w:sz w:val="18"/>
          <w:szCs w:val="18"/>
          <w:lang w:val="en-US"/>
        </w:rPr>
        <w:t>Estimate of the Company’s net assets</w:t>
      </w:r>
    </w:p>
    <w:p w14:paraId="1082F4D0" w14:textId="77777777" w:rsidR="00394FF1" w:rsidRPr="00BD295E" w:rsidRDefault="008A5057" w:rsidP="00FA6082">
      <w:pPr>
        <w:pStyle w:val="af3"/>
        <w:numPr>
          <w:ilvl w:val="0"/>
          <w:numId w:val="156"/>
        </w:numPr>
        <w:spacing w:after="120"/>
        <w:jc w:val="both"/>
        <w:rPr>
          <w:rFonts w:ascii="Arial" w:hAnsi="Arial" w:cs="Arial"/>
          <w:sz w:val="18"/>
          <w:szCs w:val="18"/>
          <w:lang w:val="en-US"/>
        </w:rPr>
      </w:pPr>
      <w:r w:rsidRPr="00BD295E">
        <w:rPr>
          <w:rFonts w:ascii="Arial" w:hAnsi="Arial" w:cs="Arial"/>
          <w:sz w:val="18"/>
          <w:szCs w:val="18"/>
          <w:lang w:val="en-US"/>
        </w:rPr>
        <w:t xml:space="preserve">Other forms specified in the Regulations for the Procedure for Statement Preparation in Accordance with Russian Accounting Standards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w:t>
      </w:r>
    </w:p>
    <w:p w14:paraId="0AF676E7" w14:textId="77777777" w:rsidR="00394FF1" w:rsidRPr="00BD295E" w:rsidRDefault="008A5057" w:rsidP="00394FF1">
      <w:pPr>
        <w:jc w:val="both"/>
        <w:rPr>
          <w:rFonts w:ascii="Arial" w:hAnsi="Arial" w:cs="Arial"/>
          <w:sz w:val="18"/>
          <w:szCs w:val="18"/>
          <w:lang w:val="en-US"/>
        </w:rPr>
      </w:pPr>
      <w:r w:rsidRPr="00BD295E">
        <w:rPr>
          <w:rFonts w:ascii="Arial" w:hAnsi="Arial" w:cs="Arial"/>
          <w:sz w:val="18"/>
          <w:szCs w:val="18"/>
          <w:lang w:val="en-US"/>
        </w:rPr>
        <w:t xml:space="preserve">The Company’s annual financial statements include: </w:t>
      </w:r>
    </w:p>
    <w:p w14:paraId="2C3C3D42" w14:textId="77777777" w:rsidR="00394FF1" w:rsidRPr="00BD295E" w:rsidRDefault="008A5057" w:rsidP="00FA6082">
      <w:pPr>
        <w:pStyle w:val="af3"/>
        <w:numPr>
          <w:ilvl w:val="0"/>
          <w:numId w:val="155"/>
        </w:numPr>
        <w:spacing w:after="120"/>
        <w:jc w:val="both"/>
        <w:rPr>
          <w:rFonts w:ascii="Arial" w:hAnsi="Arial" w:cs="Arial"/>
          <w:sz w:val="18"/>
          <w:szCs w:val="18"/>
          <w:lang w:val="en-US"/>
        </w:rPr>
      </w:pPr>
      <w:r w:rsidRPr="00BD295E">
        <w:rPr>
          <w:rFonts w:ascii="Arial" w:hAnsi="Arial" w:cs="Arial"/>
          <w:sz w:val="18"/>
          <w:szCs w:val="18"/>
          <w:lang w:val="en-US"/>
        </w:rPr>
        <w:t>Balance sheet</w:t>
      </w:r>
    </w:p>
    <w:p w14:paraId="1E06CF71" w14:textId="77777777" w:rsidR="00394FF1" w:rsidRPr="00BD295E" w:rsidRDefault="008A5057" w:rsidP="00FA6082">
      <w:pPr>
        <w:pStyle w:val="af3"/>
        <w:numPr>
          <w:ilvl w:val="0"/>
          <w:numId w:val="155"/>
        </w:numPr>
        <w:spacing w:after="120"/>
        <w:jc w:val="both"/>
        <w:rPr>
          <w:rFonts w:ascii="Arial" w:hAnsi="Arial" w:cs="Arial"/>
          <w:sz w:val="18"/>
          <w:szCs w:val="18"/>
          <w:lang w:val="en-US"/>
        </w:rPr>
      </w:pPr>
      <w:r w:rsidRPr="00BD295E">
        <w:rPr>
          <w:rFonts w:ascii="Arial" w:hAnsi="Arial" w:cs="Arial"/>
          <w:sz w:val="18"/>
          <w:szCs w:val="18"/>
          <w:lang w:val="en-US"/>
        </w:rPr>
        <w:t>Statement of Financial Results</w:t>
      </w:r>
    </w:p>
    <w:p w14:paraId="0650D9F3" w14:textId="77777777" w:rsidR="00394FF1" w:rsidRPr="00BD295E" w:rsidRDefault="008A5057" w:rsidP="00FA6082">
      <w:pPr>
        <w:pStyle w:val="af3"/>
        <w:numPr>
          <w:ilvl w:val="0"/>
          <w:numId w:val="155"/>
        </w:numPr>
        <w:spacing w:after="120"/>
        <w:jc w:val="both"/>
        <w:rPr>
          <w:rFonts w:ascii="Arial" w:hAnsi="Arial" w:cs="Arial"/>
          <w:sz w:val="18"/>
          <w:szCs w:val="18"/>
          <w:lang w:val="en-US"/>
        </w:rPr>
      </w:pPr>
      <w:r w:rsidRPr="00BD295E">
        <w:rPr>
          <w:rFonts w:ascii="Arial" w:hAnsi="Arial" w:cs="Arial"/>
          <w:sz w:val="18"/>
          <w:szCs w:val="18"/>
          <w:lang w:val="en-US"/>
        </w:rPr>
        <w:t>Statement of Changes in Equity</w:t>
      </w:r>
    </w:p>
    <w:p w14:paraId="66C60615" w14:textId="77777777" w:rsidR="00394FF1" w:rsidRPr="00BD295E" w:rsidRDefault="008A5057" w:rsidP="00FA6082">
      <w:pPr>
        <w:pStyle w:val="af3"/>
        <w:numPr>
          <w:ilvl w:val="0"/>
          <w:numId w:val="155"/>
        </w:numPr>
        <w:spacing w:after="120"/>
        <w:jc w:val="both"/>
        <w:rPr>
          <w:rFonts w:ascii="Arial" w:hAnsi="Arial" w:cs="Arial"/>
          <w:sz w:val="18"/>
          <w:szCs w:val="18"/>
          <w:lang w:val="en-US"/>
        </w:rPr>
      </w:pPr>
      <w:r w:rsidRPr="00BD295E">
        <w:rPr>
          <w:rFonts w:ascii="Arial" w:hAnsi="Arial" w:cs="Arial"/>
          <w:sz w:val="18"/>
          <w:szCs w:val="18"/>
          <w:lang w:val="en-US"/>
        </w:rPr>
        <w:t>Statement of Cash Flows</w:t>
      </w:r>
    </w:p>
    <w:p w14:paraId="55E4466B" w14:textId="77777777" w:rsidR="00394FF1" w:rsidRPr="00BD295E" w:rsidRDefault="008A5057" w:rsidP="00FA6082">
      <w:pPr>
        <w:pStyle w:val="af3"/>
        <w:numPr>
          <w:ilvl w:val="0"/>
          <w:numId w:val="155"/>
        </w:numPr>
        <w:spacing w:after="120"/>
        <w:jc w:val="both"/>
        <w:rPr>
          <w:rFonts w:ascii="Arial" w:hAnsi="Arial" w:cs="Arial"/>
          <w:sz w:val="18"/>
          <w:szCs w:val="18"/>
          <w:lang w:val="en-US"/>
        </w:rPr>
      </w:pPr>
      <w:r w:rsidRPr="00BD295E">
        <w:rPr>
          <w:rFonts w:ascii="Arial" w:hAnsi="Arial" w:cs="Arial"/>
          <w:sz w:val="18"/>
          <w:szCs w:val="18"/>
          <w:lang w:val="en-US"/>
        </w:rPr>
        <w:t>Explanatory notes</w:t>
      </w:r>
    </w:p>
    <w:p w14:paraId="316E5B34" w14:textId="77777777" w:rsidR="00394FF1" w:rsidRPr="00BD295E" w:rsidRDefault="008A5057" w:rsidP="00FA6082">
      <w:pPr>
        <w:pStyle w:val="af3"/>
        <w:numPr>
          <w:ilvl w:val="0"/>
          <w:numId w:val="155"/>
        </w:numPr>
        <w:spacing w:after="120"/>
        <w:jc w:val="both"/>
        <w:rPr>
          <w:rFonts w:ascii="Arial" w:hAnsi="Arial" w:cs="Arial"/>
          <w:sz w:val="18"/>
          <w:szCs w:val="18"/>
          <w:lang w:val="en-US"/>
        </w:rPr>
      </w:pPr>
      <w:r w:rsidRPr="00BD295E">
        <w:rPr>
          <w:rFonts w:ascii="Arial" w:hAnsi="Arial" w:cs="Arial"/>
          <w:sz w:val="18"/>
          <w:szCs w:val="18"/>
          <w:lang w:val="en-US"/>
        </w:rPr>
        <w:t xml:space="preserve">Auditor’s report </w:t>
      </w:r>
    </w:p>
    <w:p w14:paraId="71AD95AE"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Financial statements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are prepared by the accounting service of the Executive Office based on summarized information on the accounting items of the Company as a business entity:</w:t>
      </w:r>
    </w:p>
    <w:p w14:paraId="2B543277" w14:textId="77777777" w:rsidR="00394FF1" w:rsidRPr="00BD295E" w:rsidRDefault="008A5057" w:rsidP="00CA2271">
      <w:pPr>
        <w:pStyle w:val="af3"/>
        <w:numPr>
          <w:ilvl w:val="0"/>
          <w:numId w:val="99"/>
        </w:numPr>
        <w:spacing w:line="259" w:lineRule="auto"/>
        <w:jc w:val="both"/>
        <w:rPr>
          <w:rFonts w:ascii="Arial" w:hAnsi="Arial" w:cs="Arial"/>
          <w:sz w:val="18"/>
          <w:szCs w:val="18"/>
          <w:lang w:val="en-US"/>
        </w:rPr>
      </w:pPr>
      <w:r w:rsidRPr="00BD295E">
        <w:rPr>
          <w:rFonts w:ascii="Arial" w:hAnsi="Arial" w:cs="Arial"/>
          <w:sz w:val="18"/>
          <w:szCs w:val="18"/>
          <w:lang w:val="en-US"/>
        </w:rPr>
        <w:t>accounting events;</w:t>
      </w:r>
    </w:p>
    <w:p w14:paraId="5820DB9E" w14:textId="77777777" w:rsidR="00394FF1" w:rsidRPr="00BD295E" w:rsidRDefault="008A5057" w:rsidP="00CA2271">
      <w:pPr>
        <w:pStyle w:val="af3"/>
        <w:numPr>
          <w:ilvl w:val="0"/>
          <w:numId w:val="99"/>
        </w:numPr>
        <w:spacing w:line="259" w:lineRule="auto"/>
        <w:jc w:val="both"/>
        <w:rPr>
          <w:rFonts w:ascii="Arial" w:hAnsi="Arial" w:cs="Arial"/>
          <w:sz w:val="18"/>
          <w:szCs w:val="18"/>
          <w:lang w:val="en-US"/>
        </w:rPr>
      </w:pPr>
      <w:r w:rsidRPr="00BD295E">
        <w:rPr>
          <w:rFonts w:ascii="Arial" w:hAnsi="Arial" w:cs="Arial"/>
          <w:sz w:val="18"/>
          <w:szCs w:val="18"/>
          <w:lang w:val="en-US"/>
        </w:rPr>
        <w:t>assets;</w:t>
      </w:r>
    </w:p>
    <w:p w14:paraId="7F9614CF" w14:textId="77777777" w:rsidR="00394FF1" w:rsidRPr="00BD295E" w:rsidRDefault="008A5057" w:rsidP="00CA2271">
      <w:pPr>
        <w:pStyle w:val="af3"/>
        <w:numPr>
          <w:ilvl w:val="0"/>
          <w:numId w:val="99"/>
        </w:numPr>
        <w:spacing w:line="259" w:lineRule="auto"/>
        <w:jc w:val="both"/>
        <w:rPr>
          <w:rFonts w:ascii="Arial" w:hAnsi="Arial" w:cs="Arial"/>
          <w:sz w:val="18"/>
          <w:szCs w:val="18"/>
          <w:lang w:val="en-US"/>
        </w:rPr>
      </w:pPr>
      <w:r w:rsidRPr="00BD295E">
        <w:rPr>
          <w:rFonts w:ascii="Arial" w:hAnsi="Arial" w:cs="Arial"/>
          <w:sz w:val="18"/>
          <w:szCs w:val="18"/>
          <w:lang w:val="en-US"/>
        </w:rPr>
        <w:t>liabilities;</w:t>
      </w:r>
    </w:p>
    <w:p w14:paraId="3BA9564A" w14:textId="77777777" w:rsidR="00394FF1" w:rsidRPr="00BD295E" w:rsidRDefault="008A5057" w:rsidP="00CA2271">
      <w:pPr>
        <w:pStyle w:val="af3"/>
        <w:numPr>
          <w:ilvl w:val="0"/>
          <w:numId w:val="99"/>
        </w:numPr>
        <w:spacing w:line="259" w:lineRule="auto"/>
        <w:jc w:val="both"/>
        <w:rPr>
          <w:rFonts w:ascii="Arial" w:hAnsi="Arial" w:cs="Arial"/>
          <w:sz w:val="18"/>
          <w:szCs w:val="18"/>
          <w:lang w:val="en-US"/>
        </w:rPr>
      </w:pPr>
      <w:r w:rsidRPr="00BD295E">
        <w:rPr>
          <w:rFonts w:ascii="Arial" w:hAnsi="Arial" w:cs="Arial"/>
          <w:sz w:val="18"/>
          <w:szCs w:val="18"/>
          <w:lang w:val="en-US"/>
        </w:rPr>
        <w:t>sources of financing;</w:t>
      </w:r>
    </w:p>
    <w:p w14:paraId="6A602FEB" w14:textId="77777777" w:rsidR="00394FF1" w:rsidRPr="00BD295E" w:rsidRDefault="008A5057" w:rsidP="00CA2271">
      <w:pPr>
        <w:pStyle w:val="af3"/>
        <w:numPr>
          <w:ilvl w:val="0"/>
          <w:numId w:val="99"/>
        </w:numPr>
        <w:spacing w:line="259" w:lineRule="auto"/>
        <w:jc w:val="both"/>
        <w:rPr>
          <w:rFonts w:ascii="Arial" w:hAnsi="Arial" w:cs="Arial"/>
          <w:sz w:val="18"/>
          <w:szCs w:val="18"/>
          <w:lang w:val="en-US"/>
        </w:rPr>
      </w:pPr>
      <w:r w:rsidRPr="00BD295E">
        <w:rPr>
          <w:rFonts w:ascii="Arial" w:hAnsi="Arial" w:cs="Arial"/>
          <w:sz w:val="18"/>
          <w:szCs w:val="18"/>
          <w:lang w:val="en-US"/>
        </w:rPr>
        <w:t>income;</w:t>
      </w:r>
    </w:p>
    <w:p w14:paraId="071B3ED0" w14:textId="77777777" w:rsidR="00394FF1" w:rsidRPr="00BD295E" w:rsidRDefault="008A5057" w:rsidP="00CA2271">
      <w:pPr>
        <w:pStyle w:val="af3"/>
        <w:numPr>
          <w:ilvl w:val="0"/>
          <w:numId w:val="99"/>
        </w:numPr>
        <w:spacing w:line="259" w:lineRule="auto"/>
        <w:jc w:val="both"/>
        <w:rPr>
          <w:rFonts w:ascii="Arial" w:hAnsi="Arial" w:cs="Arial"/>
          <w:sz w:val="18"/>
          <w:szCs w:val="18"/>
          <w:lang w:val="en-US"/>
        </w:rPr>
      </w:pPr>
      <w:r w:rsidRPr="00BD295E">
        <w:rPr>
          <w:rFonts w:ascii="Arial" w:hAnsi="Arial" w:cs="Arial"/>
          <w:sz w:val="18"/>
          <w:szCs w:val="18"/>
          <w:lang w:val="en-US"/>
        </w:rPr>
        <w:t>expenses;</w:t>
      </w:r>
    </w:p>
    <w:p w14:paraId="3B456F61" w14:textId="77777777" w:rsidR="00394FF1" w:rsidRPr="00BD295E" w:rsidRDefault="008A5057" w:rsidP="00CA2271">
      <w:pPr>
        <w:pStyle w:val="af3"/>
        <w:numPr>
          <w:ilvl w:val="0"/>
          <w:numId w:val="99"/>
        </w:numPr>
        <w:spacing w:after="160" w:line="259" w:lineRule="auto"/>
        <w:jc w:val="both"/>
        <w:rPr>
          <w:rFonts w:ascii="Arial" w:hAnsi="Arial" w:cs="Arial"/>
          <w:i/>
          <w:sz w:val="18"/>
          <w:szCs w:val="18"/>
          <w:lang w:val="en-US"/>
        </w:rPr>
      </w:pPr>
      <w:r w:rsidRPr="00BD295E">
        <w:rPr>
          <w:rFonts w:ascii="Arial" w:hAnsi="Arial" w:cs="Arial"/>
          <w:sz w:val="18"/>
          <w:szCs w:val="18"/>
          <w:lang w:val="en-US"/>
        </w:rPr>
        <w:t>other items, where required by federal standards.</w:t>
      </w:r>
    </w:p>
    <w:p w14:paraId="71CEB074"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Tax reports with respect to taxes and charges paid in a centralized manner are prepared by the Tax Accounting and Reporting Unit of the Executive Arm based on data provided by the financial and tax accounting and reporting departments of branches, and other services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215458A4"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Financial and tax accounting for accounting items is performed in rubles and kopecks. </w:t>
      </w:r>
    </w:p>
    <w:p w14:paraId="3BD940DA"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Property (materials, fixed assets, etc.) are transferred from one subsidiary to another as instructed by management as assets redistributed by a single legal entity to the appropriate accounts for intra-corporate settlements based on the Chart of Accounts.</w:t>
      </w:r>
    </w:p>
    <w:p w14:paraId="1899CAA8"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Accounting items are disclosed (recognized as a separate item) only if its value is material.</w:t>
      </w:r>
    </w:p>
    <w:p w14:paraId="5F00523E"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An item is considered material if its non-disclosure may affect the economic decisions of stakeholders made based on the reported information. </w:t>
      </w:r>
    </w:p>
    <w:p w14:paraId="2A5FEBBE" w14:textId="77777777" w:rsidR="00394FF1" w:rsidRPr="00BD295E" w:rsidRDefault="00EE5753" w:rsidP="00394FF1">
      <w:pPr>
        <w:pStyle w:val="af9"/>
        <w:tabs>
          <w:tab w:val="left" w:pos="709"/>
        </w:tabs>
        <w:rPr>
          <w:rFonts w:ascii="Arial" w:hAnsi="Arial" w:cs="Arial"/>
          <w:i/>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submits its annual financial statements to addresses and within timelines set out in applicable laws and publishes its annual financial statements not later than June 1 of the year following the reporting year.</w:t>
      </w:r>
    </w:p>
    <w:p w14:paraId="3CE39BFC" w14:textId="77777777" w:rsidR="00394FF1" w:rsidRPr="00BD295E" w:rsidRDefault="008B183C" w:rsidP="00394FF1">
      <w:pPr>
        <w:spacing w:after="160" w:line="259" w:lineRule="auto"/>
        <w:jc w:val="both"/>
        <w:rPr>
          <w:rFonts w:ascii="Arial" w:hAnsi="Arial" w:cs="Arial"/>
          <w:b/>
          <w:sz w:val="18"/>
          <w:szCs w:val="18"/>
          <w:lang w:val="en-US"/>
        </w:rPr>
      </w:pPr>
      <w:r w:rsidRPr="00BD295E">
        <w:rPr>
          <w:rFonts w:ascii="Arial" w:hAnsi="Arial" w:cs="Arial"/>
          <w:b/>
          <w:sz w:val="18"/>
          <w:szCs w:val="18"/>
          <w:lang w:val="en-US"/>
        </w:rPr>
        <w:t xml:space="preserve">Taking stock of </w:t>
      </w:r>
      <w:r w:rsidR="008A5057" w:rsidRPr="00BD295E">
        <w:rPr>
          <w:rFonts w:ascii="Arial" w:hAnsi="Arial" w:cs="Arial"/>
          <w:b/>
          <w:sz w:val="18"/>
          <w:szCs w:val="18"/>
          <w:lang w:val="en-US"/>
        </w:rPr>
        <w:t>assets and liabilities.</w:t>
      </w:r>
    </w:p>
    <w:p w14:paraId="02E3E2B9"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The stock of assets and liabilities for financial and tax accounting purposes is </w:t>
      </w:r>
      <w:r w:rsidR="008B183C" w:rsidRPr="00BD295E">
        <w:rPr>
          <w:rFonts w:ascii="Arial" w:hAnsi="Arial" w:cs="Arial"/>
          <w:sz w:val="18"/>
          <w:szCs w:val="18"/>
          <w:lang w:val="en-US"/>
        </w:rPr>
        <w:t xml:space="preserve">taken </w:t>
      </w:r>
      <w:r w:rsidRPr="00BD295E">
        <w:rPr>
          <w:rFonts w:ascii="Arial" w:hAnsi="Arial" w:cs="Arial"/>
          <w:sz w:val="18"/>
          <w:szCs w:val="18"/>
          <w:lang w:val="en-US"/>
        </w:rPr>
        <w:t xml:space="preserve">in line with the Guidelines for Stocktaking of Assets and Liabilities approved by Order No. 49 of the Russian Ministry of Finance </w:t>
      </w:r>
      <w:r w:rsidR="008B183C" w:rsidRPr="00BD295E">
        <w:rPr>
          <w:rFonts w:ascii="Arial" w:hAnsi="Arial" w:cs="Arial"/>
          <w:sz w:val="18"/>
          <w:szCs w:val="18"/>
          <w:lang w:val="en-US"/>
        </w:rPr>
        <w:t>of</w:t>
      </w:r>
      <w:r w:rsidRPr="00BD295E">
        <w:rPr>
          <w:rFonts w:ascii="Arial" w:hAnsi="Arial" w:cs="Arial"/>
          <w:sz w:val="18"/>
          <w:szCs w:val="18"/>
          <w:lang w:val="en-US"/>
        </w:rPr>
        <w:t xml:space="preserve"> June 13, 1995, and other organizational and administrative documents of the Company.</w:t>
      </w:r>
    </w:p>
    <w:p w14:paraId="7B7D9451"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The stocktaking procedure is mandatory:</w:t>
      </w:r>
    </w:p>
    <w:p w14:paraId="1BAFE1B7"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sz w:val="18"/>
          <w:szCs w:val="18"/>
          <w:lang w:val="en-US"/>
        </w:rPr>
        <w:t>prior to the preparation of annual financial statements (except for assets stocktaking of which was performed not earlier than November 1 of the reporting year);</w:t>
      </w:r>
    </w:p>
    <w:p w14:paraId="4572DE74"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sz w:val="18"/>
          <w:szCs w:val="18"/>
          <w:lang w:val="en-US"/>
        </w:rPr>
        <w:t>fixed assets and intangible assets – once a year as at November 1,</w:t>
      </w:r>
    </w:p>
    <w:p w14:paraId="62CCF216"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sz w:val="18"/>
          <w:szCs w:val="18"/>
          <w:lang w:val="en-US"/>
        </w:rPr>
        <w:t>inventories – once a year as at November 1,</w:t>
      </w:r>
    </w:p>
    <w:p w14:paraId="6B70300C"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iCs/>
          <w:sz w:val="18"/>
          <w:szCs w:val="18"/>
          <w:lang w:val="en-US"/>
        </w:rPr>
        <w:t>assets and liabilities recognized in off-balance-sheet accounts – once a year as at November 01,</w:t>
      </w:r>
    </w:p>
    <w:p w14:paraId="49F03871"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sz w:val="18"/>
          <w:szCs w:val="18"/>
          <w:lang w:val="en-US"/>
        </w:rPr>
        <w:t>financial liabilities - once a year as at January 1,</w:t>
      </w:r>
    </w:p>
    <w:p w14:paraId="1FB21919"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sz w:val="18"/>
          <w:szCs w:val="18"/>
          <w:lang w:val="en-US"/>
        </w:rPr>
        <w:t>cash on hand - monthly as at the last business day of the month,</w:t>
      </w:r>
    </w:p>
    <w:p w14:paraId="0E79A9F4"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sz w:val="18"/>
          <w:szCs w:val="18"/>
          <w:lang w:val="en-US"/>
        </w:rPr>
        <w:t>when transferring property for lease, redemption, or sale;</w:t>
      </w:r>
    </w:p>
    <w:p w14:paraId="6C79AF42"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sz w:val="18"/>
          <w:szCs w:val="18"/>
          <w:lang w:val="en-US"/>
        </w:rPr>
        <w:t>when the accountable persons are changed;</w:t>
      </w:r>
    </w:p>
    <w:p w14:paraId="13456AF8"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sz w:val="18"/>
          <w:szCs w:val="18"/>
          <w:lang w:val="en-US"/>
        </w:rPr>
        <w:t>when theft, abuse, or damage to property are identified;</w:t>
      </w:r>
    </w:p>
    <w:p w14:paraId="69256676" w14:textId="77777777" w:rsidR="00394FF1" w:rsidRPr="00BD295E" w:rsidRDefault="008A5057" w:rsidP="00CA2271">
      <w:pPr>
        <w:numPr>
          <w:ilvl w:val="0"/>
          <w:numId w:val="64"/>
        </w:numPr>
        <w:spacing w:line="259" w:lineRule="auto"/>
        <w:ind w:left="714" w:hanging="357"/>
        <w:jc w:val="both"/>
        <w:rPr>
          <w:rFonts w:ascii="Arial" w:hAnsi="Arial" w:cs="Arial"/>
          <w:sz w:val="18"/>
          <w:szCs w:val="18"/>
          <w:lang w:val="en-US"/>
        </w:rPr>
      </w:pPr>
      <w:r w:rsidRPr="00BD295E">
        <w:rPr>
          <w:rFonts w:ascii="Arial" w:hAnsi="Arial" w:cs="Arial"/>
          <w:sz w:val="18"/>
          <w:szCs w:val="18"/>
          <w:lang w:val="en-US"/>
        </w:rPr>
        <w:t>in the event of a natural disaster, fire, or other emergency caused by extreme conditions;</w:t>
      </w:r>
    </w:p>
    <w:p w14:paraId="5AD8A9D0" w14:textId="77777777" w:rsidR="00394FF1" w:rsidRPr="00BD295E" w:rsidRDefault="008A5057" w:rsidP="00CA2271">
      <w:pPr>
        <w:numPr>
          <w:ilvl w:val="0"/>
          <w:numId w:val="64"/>
        </w:numPr>
        <w:spacing w:after="160" w:line="259" w:lineRule="auto"/>
        <w:jc w:val="both"/>
        <w:rPr>
          <w:rFonts w:ascii="Arial" w:hAnsi="Arial" w:cs="Arial"/>
          <w:sz w:val="18"/>
          <w:szCs w:val="18"/>
          <w:lang w:val="en-US"/>
        </w:rPr>
      </w:pPr>
      <w:r w:rsidRPr="00BD295E">
        <w:rPr>
          <w:rFonts w:ascii="Arial" w:hAnsi="Arial" w:cs="Arial"/>
          <w:sz w:val="18"/>
          <w:szCs w:val="18"/>
          <w:lang w:val="en-US"/>
        </w:rPr>
        <w:t>in other cases provided for in Russian laws.</w:t>
      </w:r>
    </w:p>
    <w:p w14:paraId="44F76E73"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Alongside with stocktaking required for accounting purposes,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carries out stocktaking to confirm operational accounting data and for other management purposes of the Company.</w:t>
      </w:r>
    </w:p>
    <w:p w14:paraId="6354FC1B"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The stocktaking schedule is approved by the CEO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or by heads of its subsidiaries authorized by the CEO to do so for their respective subsidiaries.</w:t>
      </w:r>
    </w:p>
    <w:p w14:paraId="4E5878D7"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 xml:space="preserve">Stocktaking commissions are created to carry out stocktaking, with their members appointed by heads of branches and, if necessary, by the CEO Director of </w:t>
      </w:r>
      <w:r w:rsidR="00EE5753" w:rsidRPr="00BD295E">
        <w:rPr>
          <w:rFonts w:ascii="Arial" w:hAnsi="Arial" w:cs="Arial"/>
          <w:sz w:val="18"/>
          <w:szCs w:val="18"/>
          <w:lang w:val="en-US"/>
        </w:rPr>
        <w:t>PJSC “Lenenergo”</w:t>
      </w:r>
      <w:r w:rsidRPr="00BD295E">
        <w:rPr>
          <w:rFonts w:ascii="Arial" w:hAnsi="Arial" w:cs="Arial"/>
          <w:sz w:val="18"/>
          <w:szCs w:val="18"/>
          <w:lang w:val="en-US"/>
        </w:rPr>
        <w:t>. Working stocktaking commissions are set up to conduct stocktaking simultaneously if the scope of work is too large.</w:t>
      </w:r>
    </w:p>
    <w:p w14:paraId="3320B290"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Stocktaking list forms as per the relevant stocktaking order are used to record the results of stocktaking.</w:t>
      </w:r>
    </w:p>
    <w:p w14:paraId="086F0BB8" w14:textId="77777777" w:rsidR="00394FF1" w:rsidRPr="00BD295E" w:rsidRDefault="008A5057" w:rsidP="00394FF1">
      <w:pPr>
        <w:spacing w:after="160" w:line="259" w:lineRule="auto"/>
        <w:jc w:val="both"/>
        <w:rPr>
          <w:rFonts w:ascii="Arial" w:hAnsi="Arial" w:cs="Arial"/>
          <w:sz w:val="18"/>
          <w:szCs w:val="18"/>
          <w:lang w:val="en-US"/>
        </w:rPr>
      </w:pPr>
      <w:r w:rsidRPr="00BD295E">
        <w:rPr>
          <w:rFonts w:ascii="Arial" w:hAnsi="Arial" w:cs="Arial"/>
          <w:sz w:val="18"/>
          <w:szCs w:val="18"/>
          <w:lang w:val="en-US"/>
        </w:rPr>
        <w:t>The discrepancies identified by stocktaking between the existing assets and the accounting data are to be recognized in the financial accounts in the reporting period to which the date as at which the results of stocktaking were registered refers, as follows:</w:t>
      </w:r>
    </w:p>
    <w:p w14:paraId="2721374F" w14:textId="77777777" w:rsidR="00394FF1" w:rsidRPr="00BD295E" w:rsidRDefault="008A5057" w:rsidP="00CA2271">
      <w:pPr>
        <w:numPr>
          <w:ilvl w:val="0"/>
          <w:numId w:val="64"/>
        </w:numPr>
        <w:tabs>
          <w:tab w:val="clear" w:pos="720"/>
          <w:tab w:val="num" w:pos="567"/>
        </w:tabs>
        <w:spacing w:line="259" w:lineRule="auto"/>
        <w:ind w:left="714" w:hanging="357"/>
        <w:jc w:val="both"/>
        <w:rPr>
          <w:rFonts w:ascii="Arial" w:hAnsi="Arial" w:cs="Arial"/>
          <w:sz w:val="18"/>
          <w:szCs w:val="18"/>
          <w:lang w:val="en-US"/>
        </w:rPr>
      </w:pPr>
      <w:r w:rsidRPr="00BD295E">
        <w:rPr>
          <w:rFonts w:ascii="Arial" w:hAnsi="Arial" w:cs="Arial"/>
          <w:sz w:val="18"/>
          <w:szCs w:val="18"/>
          <w:lang w:val="en-US"/>
        </w:rPr>
        <w:t xml:space="preserve">the surplus of such property is recognized as received at its market value as at the date of stocktaking, with the respective amount recognized in Account 91 </w:t>
      </w:r>
      <w:r w:rsidRPr="00BD295E">
        <w:rPr>
          <w:rFonts w:ascii="Arial" w:hAnsi="Arial" w:cs="Arial"/>
          <w:i/>
          <w:iCs/>
          <w:sz w:val="18"/>
          <w:szCs w:val="18"/>
          <w:lang w:val="en-US"/>
        </w:rPr>
        <w:t>Other Income and Expenses</w:t>
      </w:r>
      <w:r w:rsidRPr="00BD295E">
        <w:rPr>
          <w:rFonts w:ascii="Arial" w:hAnsi="Arial" w:cs="Arial"/>
          <w:sz w:val="18"/>
          <w:szCs w:val="18"/>
          <w:lang w:val="en-US"/>
        </w:rPr>
        <w:t>;</w:t>
      </w:r>
    </w:p>
    <w:p w14:paraId="4053A4A5" w14:textId="77777777" w:rsidR="00394FF1" w:rsidRPr="00BD295E" w:rsidRDefault="008A5057" w:rsidP="00CA2271">
      <w:pPr>
        <w:numPr>
          <w:ilvl w:val="0"/>
          <w:numId w:val="64"/>
        </w:numPr>
        <w:tabs>
          <w:tab w:val="clear" w:pos="720"/>
          <w:tab w:val="num" w:pos="567"/>
        </w:tabs>
        <w:spacing w:line="259" w:lineRule="auto"/>
        <w:ind w:left="714" w:hanging="357"/>
        <w:jc w:val="both"/>
        <w:rPr>
          <w:rFonts w:ascii="Arial" w:hAnsi="Arial" w:cs="Arial"/>
          <w:sz w:val="18"/>
          <w:szCs w:val="18"/>
          <w:lang w:val="en-US"/>
        </w:rPr>
      </w:pPr>
      <w:r w:rsidRPr="00BD295E">
        <w:rPr>
          <w:rFonts w:ascii="Arial" w:hAnsi="Arial" w:cs="Arial"/>
          <w:sz w:val="18"/>
          <w:szCs w:val="18"/>
          <w:lang w:val="en-US"/>
        </w:rPr>
        <w:t xml:space="preserve">shortages and spoilage of property within the natural loss rates are recognized as production or operation costs and those that exceed natural loss rates are charged to the liable persons. If the liable persons are not established or the court has refused to charge them, losses from shortage or spoilage of property are written off to Account 91 </w:t>
      </w:r>
      <w:r w:rsidRPr="00BD295E">
        <w:rPr>
          <w:rFonts w:ascii="Arial" w:hAnsi="Arial" w:cs="Arial"/>
          <w:i/>
          <w:iCs/>
          <w:sz w:val="18"/>
          <w:szCs w:val="18"/>
          <w:lang w:val="en-US"/>
        </w:rPr>
        <w:t>Other Income and Expenses</w:t>
      </w:r>
      <w:r w:rsidRPr="00BD295E">
        <w:rPr>
          <w:rFonts w:ascii="Arial" w:hAnsi="Arial" w:cs="Arial"/>
          <w:sz w:val="18"/>
          <w:szCs w:val="18"/>
          <w:lang w:val="en-US"/>
        </w:rPr>
        <w:t>.</w:t>
      </w:r>
    </w:p>
    <w:p w14:paraId="63E02AB3" w14:textId="77777777" w:rsidR="00394FF1" w:rsidRPr="00BD295E" w:rsidRDefault="00394FF1" w:rsidP="00394FF1">
      <w:pPr>
        <w:rPr>
          <w:rFonts w:ascii="Arial" w:hAnsi="Arial" w:cs="Arial"/>
          <w:sz w:val="18"/>
          <w:szCs w:val="18"/>
          <w:lang w:val="en-US"/>
        </w:rPr>
      </w:pPr>
    </w:p>
    <w:p w14:paraId="29D31049" w14:textId="77777777" w:rsidR="00EC3869" w:rsidRPr="00BD295E" w:rsidRDefault="008A5057" w:rsidP="004D2697">
      <w:pPr>
        <w:spacing w:after="160" w:line="259" w:lineRule="auto"/>
        <w:rPr>
          <w:rFonts w:ascii="Arial" w:hAnsi="Arial" w:cs="Arial"/>
          <w:sz w:val="18"/>
          <w:szCs w:val="18"/>
          <w:lang w:val="en-US"/>
        </w:rPr>
        <w:sectPr w:rsidR="00EC3869" w:rsidRPr="00BD295E" w:rsidSect="004A41EF">
          <w:pgSz w:w="11906" w:h="16838"/>
          <w:pgMar w:top="1134" w:right="850" w:bottom="993" w:left="1701" w:header="708" w:footer="708" w:gutter="0"/>
          <w:cols w:space="708"/>
          <w:docGrid w:linePitch="360"/>
        </w:sectPr>
      </w:pPr>
      <w:r w:rsidRPr="00BD295E">
        <w:rPr>
          <w:rFonts w:ascii="Arial" w:hAnsi="Arial" w:cs="Arial"/>
          <w:sz w:val="18"/>
          <w:szCs w:val="18"/>
          <w:lang w:val="en-US"/>
        </w:rPr>
        <w:br w:type="page"/>
      </w:r>
      <w:bookmarkStart w:id="578" w:name="_Toc473921994"/>
    </w:p>
    <w:p w14:paraId="212492A5" w14:textId="77777777" w:rsidR="00C77CA6" w:rsidRPr="00BD295E" w:rsidRDefault="008A5057" w:rsidP="00C77CA6">
      <w:pPr>
        <w:pStyle w:val="2"/>
        <w:numPr>
          <w:ilvl w:val="1"/>
          <w:numId w:val="17"/>
        </w:numPr>
        <w:rPr>
          <w:rFonts w:ascii="Arial" w:hAnsi="Arial" w:cs="Arial"/>
          <w:sz w:val="18"/>
          <w:szCs w:val="18"/>
          <w:lang w:val="en-US"/>
        </w:rPr>
      </w:pPr>
      <w:bookmarkStart w:id="579" w:name="_Toc509493647"/>
      <w:bookmarkStart w:id="580" w:name="_Toc509581215"/>
      <w:bookmarkStart w:id="581" w:name="_Toc509934187"/>
      <w:bookmarkStart w:id="582" w:name="_Toc510452180"/>
      <w:bookmarkStart w:id="583" w:name="_Toc510452244"/>
      <w:bookmarkStart w:id="584" w:name="_Toc510453046"/>
      <w:bookmarkStart w:id="585" w:name="_Toc510624079"/>
      <w:bookmarkStart w:id="586" w:name="_Toc511055127"/>
      <w:bookmarkStart w:id="587" w:name="_Toc511747483"/>
      <w:bookmarkStart w:id="588" w:name="_Toc5874612"/>
      <w:bookmarkStart w:id="589" w:name="_Toc95855310"/>
      <w:bookmarkStart w:id="590" w:name="_Toc95935369"/>
      <w:bookmarkStart w:id="591" w:name="_Toc473921995"/>
      <w:bookmarkStart w:id="592" w:name="_Toc509493648"/>
      <w:bookmarkStart w:id="593" w:name="_Toc509581216"/>
      <w:bookmarkStart w:id="594" w:name="_Toc509934188"/>
      <w:bookmarkStart w:id="595" w:name="_Toc510452181"/>
      <w:bookmarkStart w:id="596" w:name="_Toc510453047"/>
      <w:bookmarkStart w:id="597" w:name="_Toc510624080"/>
      <w:bookmarkStart w:id="598" w:name="_Toc511055128"/>
      <w:bookmarkStart w:id="599" w:name="_Toc511747484"/>
      <w:bookmarkStart w:id="600" w:name="_Toc5101338"/>
      <w:bookmarkStart w:id="601" w:name="_Toc5101717"/>
      <w:bookmarkEnd w:id="578"/>
      <w:bookmarkEnd w:id="579"/>
      <w:r w:rsidRPr="00BD295E">
        <w:rPr>
          <w:rFonts w:ascii="Arial" w:hAnsi="Arial" w:cs="Arial"/>
          <w:sz w:val="18"/>
          <w:szCs w:val="18"/>
          <w:lang w:val="en-US"/>
        </w:rPr>
        <w:t>Report on Compliance with the Principles and Guidelines of the Corporate Governance Code in 2018</w:t>
      </w:r>
      <w:bookmarkEnd w:id="580"/>
      <w:bookmarkEnd w:id="581"/>
      <w:bookmarkEnd w:id="582"/>
      <w:bookmarkEnd w:id="583"/>
      <w:bookmarkEnd w:id="584"/>
      <w:bookmarkEnd w:id="585"/>
      <w:bookmarkEnd w:id="586"/>
      <w:bookmarkEnd w:id="587"/>
      <w:r w:rsidRPr="00BD295E">
        <w:rPr>
          <w:rFonts w:ascii="Arial" w:hAnsi="Arial" w:cs="Arial"/>
          <w:sz w:val="18"/>
          <w:szCs w:val="18"/>
          <w:lang w:val="en-US"/>
        </w:rPr>
        <w:t>.</w:t>
      </w:r>
      <w:bookmarkEnd w:id="588"/>
      <w:bookmarkEnd w:id="589"/>
      <w:bookmarkEnd w:id="590"/>
    </w:p>
    <w:p w14:paraId="131A7A6B" w14:textId="77777777" w:rsidR="00C77CA6" w:rsidRPr="00BD295E" w:rsidRDefault="00C77CA6" w:rsidP="00C77CA6">
      <w:pPr>
        <w:jc w:val="both"/>
        <w:rPr>
          <w:rFonts w:ascii="Arial" w:hAnsi="Arial" w:cs="Arial"/>
          <w:sz w:val="18"/>
          <w:szCs w:val="18"/>
          <w:u w:val="single"/>
          <w:lang w:val="en-US"/>
        </w:rPr>
      </w:pPr>
    </w:p>
    <w:p w14:paraId="79D7105E" w14:textId="77777777" w:rsidR="00C77CA6" w:rsidRPr="00BD295E" w:rsidRDefault="008A5057" w:rsidP="00C77CA6">
      <w:pPr>
        <w:jc w:val="center"/>
        <w:rPr>
          <w:rFonts w:ascii="Arial" w:hAnsi="Arial" w:cs="Arial"/>
          <w:b/>
          <w:sz w:val="18"/>
          <w:szCs w:val="18"/>
          <w:lang w:val="en-US"/>
        </w:rPr>
      </w:pPr>
      <w:r w:rsidRPr="00BD295E">
        <w:rPr>
          <w:rFonts w:ascii="Arial" w:hAnsi="Arial" w:cs="Arial"/>
          <w:b/>
          <w:sz w:val="18"/>
          <w:szCs w:val="18"/>
          <w:lang w:val="en-US"/>
        </w:rPr>
        <w:t>REPORT</w:t>
      </w:r>
    </w:p>
    <w:p w14:paraId="4A9BDA83" w14:textId="77777777" w:rsidR="00C77CA6" w:rsidRPr="00BD295E" w:rsidRDefault="008A5057" w:rsidP="00C77CA6">
      <w:pPr>
        <w:jc w:val="center"/>
        <w:rPr>
          <w:rFonts w:ascii="Arial" w:hAnsi="Arial" w:cs="Arial"/>
          <w:b/>
          <w:sz w:val="18"/>
          <w:szCs w:val="18"/>
          <w:lang w:val="en-US"/>
        </w:rPr>
      </w:pPr>
      <w:r w:rsidRPr="00BD295E">
        <w:rPr>
          <w:rFonts w:ascii="Arial" w:hAnsi="Arial" w:cs="Arial"/>
          <w:b/>
          <w:sz w:val="18"/>
          <w:szCs w:val="18"/>
          <w:lang w:val="en-US"/>
        </w:rPr>
        <w:t>on Compliance with the Principles and Guidelines of the Corporate Governance Code</w:t>
      </w:r>
    </w:p>
    <w:p w14:paraId="581AB0E0" w14:textId="77777777" w:rsidR="00C77CA6" w:rsidRPr="00BD295E" w:rsidRDefault="00C77CA6" w:rsidP="00C77CA6">
      <w:pPr>
        <w:jc w:val="both"/>
        <w:rPr>
          <w:rFonts w:ascii="Arial" w:hAnsi="Arial" w:cs="Arial"/>
          <w:sz w:val="18"/>
          <w:szCs w:val="18"/>
          <w:lang w:val="en-US"/>
        </w:rPr>
      </w:pPr>
    </w:p>
    <w:p w14:paraId="130060B0" w14:textId="77777777" w:rsidR="00C77CA6" w:rsidRPr="00BD295E" w:rsidRDefault="008A5057" w:rsidP="00C77CA6">
      <w:pPr>
        <w:ind w:firstLine="709"/>
        <w:jc w:val="both"/>
        <w:rPr>
          <w:rFonts w:ascii="Arial" w:hAnsi="Arial" w:cs="Arial"/>
          <w:sz w:val="18"/>
          <w:szCs w:val="18"/>
          <w:lang w:val="en-US"/>
        </w:rPr>
      </w:pPr>
      <w:r w:rsidRPr="00BD295E">
        <w:rPr>
          <w:rFonts w:ascii="Arial" w:hAnsi="Arial" w:cs="Arial"/>
          <w:sz w:val="18"/>
          <w:szCs w:val="18"/>
          <w:lang w:val="en-US"/>
        </w:rPr>
        <w:t xml:space="preserve">This Report on compliance with the principles and guidelines of the Corporate Governance Code was reviewed by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at its meeting of ____ 2019 (Minutes No. __ </w:t>
      </w:r>
      <w:r w:rsidR="008B183C" w:rsidRPr="00BD295E">
        <w:rPr>
          <w:rFonts w:ascii="Arial" w:hAnsi="Arial" w:cs="Arial"/>
          <w:sz w:val="18"/>
          <w:szCs w:val="18"/>
          <w:lang w:val="en-US"/>
        </w:rPr>
        <w:t>of</w:t>
      </w:r>
      <w:r w:rsidRPr="00BD295E">
        <w:rPr>
          <w:rFonts w:ascii="Arial" w:hAnsi="Arial" w:cs="Arial"/>
          <w:sz w:val="18"/>
          <w:szCs w:val="18"/>
          <w:lang w:val="en-US"/>
        </w:rPr>
        <w:t xml:space="preserve"> ___ 2019).</w:t>
      </w:r>
    </w:p>
    <w:p w14:paraId="1089F537" w14:textId="77777777" w:rsidR="00C77CA6" w:rsidRPr="00BD295E" w:rsidRDefault="008A5057" w:rsidP="00C77CA6">
      <w:pPr>
        <w:ind w:firstLine="709"/>
        <w:jc w:val="both"/>
        <w:rPr>
          <w:rFonts w:ascii="Arial" w:hAnsi="Arial" w:cs="Arial"/>
          <w:sz w:val="18"/>
          <w:szCs w:val="18"/>
          <w:lang w:val="en-US"/>
        </w:rPr>
      </w:pPr>
      <w:r w:rsidRPr="00BD295E">
        <w:rPr>
          <w:rFonts w:ascii="Arial" w:hAnsi="Arial" w:cs="Arial"/>
          <w:sz w:val="18"/>
          <w:szCs w:val="18"/>
          <w:lang w:val="en-US"/>
        </w:rPr>
        <w:t xml:space="preserve">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confirms that the data in this report provide a full and fair view of the Company’s compliance with the principles and guidelines of the Corporate Governance Code in 2018.</w:t>
      </w:r>
    </w:p>
    <w:p w14:paraId="1790F814" w14:textId="77777777" w:rsidR="00C77CA6" w:rsidRPr="00BD295E" w:rsidRDefault="008A5057" w:rsidP="00C77CA6">
      <w:pPr>
        <w:ind w:firstLine="709"/>
        <w:jc w:val="both"/>
        <w:rPr>
          <w:rFonts w:ascii="Arial" w:hAnsi="Arial" w:cs="Arial"/>
          <w:sz w:val="18"/>
          <w:szCs w:val="18"/>
          <w:lang w:val="en-US"/>
        </w:rPr>
      </w:pPr>
      <w:r w:rsidRPr="00BD295E">
        <w:rPr>
          <w:rFonts w:ascii="Arial" w:hAnsi="Arial" w:cs="Arial"/>
          <w:sz w:val="18"/>
          <w:szCs w:val="18"/>
          <w:lang w:val="en-US"/>
        </w:rPr>
        <w:t xml:space="preserve">For an overview of key aspects of the corporate governance model and practices at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as well as an overview of the methodology used by the company to assess compliance with the corporate governance principles outlined in the </w:t>
      </w:r>
      <w:hyperlink r:id="rId146" w:history="1"/>
      <w:r w:rsidRPr="00BD295E">
        <w:rPr>
          <w:rFonts w:ascii="Arial" w:hAnsi="Arial" w:cs="Arial"/>
          <w:sz w:val="18"/>
          <w:szCs w:val="18"/>
          <w:lang w:val="en-US"/>
        </w:rPr>
        <w:t xml:space="preserve"> Corporate Governance Code, see the Corporate Governance section of the Company’s Annual Report.</w:t>
      </w:r>
    </w:p>
    <w:p w14:paraId="2F89DA7A" w14:textId="77777777" w:rsidR="00C77CA6" w:rsidRPr="00BD295E" w:rsidRDefault="00C77CA6" w:rsidP="00C77CA6">
      <w:pPr>
        <w:ind w:firstLine="709"/>
        <w:jc w:val="both"/>
        <w:rPr>
          <w:rFonts w:ascii="Arial" w:hAnsi="Arial" w:cs="Arial"/>
          <w:sz w:val="18"/>
          <w:szCs w:val="18"/>
          <w:lang w:val="en-US"/>
        </w:rPr>
      </w:pPr>
    </w:p>
    <w:tbl>
      <w:tblPr>
        <w:tblW w:w="15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4252"/>
        <w:gridCol w:w="3686"/>
        <w:gridCol w:w="1984"/>
        <w:gridCol w:w="4188"/>
      </w:tblGrid>
      <w:tr w:rsidR="008A5057" w:rsidRPr="00BD295E" w14:paraId="78BDD53C" w14:textId="77777777" w:rsidTr="005C4056">
        <w:tc>
          <w:tcPr>
            <w:tcW w:w="959" w:type="dxa"/>
          </w:tcPr>
          <w:p w14:paraId="568F5189" w14:textId="77777777" w:rsidR="00C77CA6" w:rsidRPr="00BD295E" w:rsidRDefault="008A5057" w:rsidP="0027083B">
            <w:pPr>
              <w:jc w:val="both"/>
              <w:rPr>
                <w:rFonts w:ascii="Arial" w:hAnsi="Arial" w:cs="Arial"/>
                <w:b/>
                <w:sz w:val="18"/>
                <w:szCs w:val="18"/>
                <w:lang w:val="en-US"/>
              </w:rPr>
            </w:pPr>
            <w:r w:rsidRPr="00BD295E">
              <w:rPr>
                <w:rFonts w:ascii="Arial" w:hAnsi="Arial" w:cs="Arial"/>
                <w:b/>
                <w:sz w:val="18"/>
                <w:szCs w:val="18"/>
                <w:lang w:val="en-US"/>
              </w:rPr>
              <w:t>No.</w:t>
            </w:r>
          </w:p>
        </w:tc>
        <w:tc>
          <w:tcPr>
            <w:tcW w:w="4252" w:type="dxa"/>
          </w:tcPr>
          <w:p w14:paraId="5337DF18" w14:textId="77777777" w:rsidR="00C77CA6" w:rsidRPr="00BD295E" w:rsidRDefault="008A5057" w:rsidP="0027083B">
            <w:pPr>
              <w:jc w:val="both"/>
              <w:rPr>
                <w:rFonts w:ascii="Arial" w:hAnsi="Arial" w:cs="Arial"/>
                <w:b/>
                <w:sz w:val="18"/>
                <w:szCs w:val="18"/>
                <w:lang w:val="en-US"/>
              </w:rPr>
            </w:pPr>
            <w:r w:rsidRPr="00BD295E">
              <w:rPr>
                <w:rFonts w:ascii="Arial" w:hAnsi="Arial" w:cs="Arial"/>
                <w:b/>
                <w:sz w:val="18"/>
                <w:szCs w:val="18"/>
                <w:lang w:val="en-US"/>
              </w:rPr>
              <w:t>Corporate governance principle</w:t>
            </w:r>
          </w:p>
        </w:tc>
        <w:tc>
          <w:tcPr>
            <w:tcW w:w="3686" w:type="dxa"/>
          </w:tcPr>
          <w:p w14:paraId="21766BE5" w14:textId="77777777" w:rsidR="00C77CA6" w:rsidRPr="00BD295E" w:rsidRDefault="008A5057" w:rsidP="0027083B">
            <w:pPr>
              <w:jc w:val="both"/>
              <w:rPr>
                <w:rFonts w:ascii="Arial" w:hAnsi="Arial" w:cs="Arial"/>
                <w:b/>
                <w:sz w:val="18"/>
                <w:szCs w:val="18"/>
                <w:lang w:val="en-US"/>
              </w:rPr>
            </w:pPr>
            <w:r w:rsidRPr="00BD295E">
              <w:rPr>
                <w:rFonts w:ascii="Arial" w:hAnsi="Arial" w:cs="Arial"/>
                <w:b/>
                <w:sz w:val="18"/>
                <w:szCs w:val="18"/>
                <w:lang w:val="en-US"/>
              </w:rPr>
              <w:t>Compliance assessment criteria</w:t>
            </w:r>
          </w:p>
        </w:tc>
        <w:tc>
          <w:tcPr>
            <w:tcW w:w="1984" w:type="dxa"/>
          </w:tcPr>
          <w:p w14:paraId="5715F14E" w14:textId="77777777" w:rsidR="00C77CA6" w:rsidRPr="00BD295E" w:rsidRDefault="008A5057" w:rsidP="0027083B">
            <w:pPr>
              <w:jc w:val="both"/>
              <w:rPr>
                <w:rFonts w:ascii="Arial" w:hAnsi="Arial" w:cs="Arial"/>
                <w:b/>
                <w:sz w:val="18"/>
                <w:szCs w:val="18"/>
                <w:lang w:val="en-US"/>
              </w:rPr>
            </w:pPr>
            <w:r w:rsidRPr="00BD295E">
              <w:rPr>
                <w:rFonts w:ascii="Arial" w:hAnsi="Arial" w:cs="Arial"/>
                <w:b/>
                <w:sz w:val="18"/>
                <w:szCs w:val="18"/>
                <w:lang w:val="en-US"/>
              </w:rPr>
              <w:t>Compliance level</w:t>
            </w:r>
          </w:p>
        </w:tc>
        <w:tc>
          <w:tcPr>
            <w:tcW w:w="4188" w:type="dxa"/>
          </w:tcPr>
          <w:p w14:paraId="7FD71141" w14:textId="77777777" w:rsidR="00C77CA6" w:rsidRPr="00BD295E" w:rsidRDefault="008A5057" w:rsidP="0027083B">
            <w:pPr>
              <w:jc w:val="both"/>
              <w:rPr>
                <w:rFonts w:ascii="Arial" w:hAnsi="Arial" w:cs="Arial"/>
                <w:b/>
                <w:sz w:val="18"/>
                <w:szCs w:val="18"/>
                <w:lang w:val="en-US"/>
              </w:rPr>
            </w:pPr>
            <w:r w:rsidRPr="00BD295E">
              <w:rPr>
                <w:rFonts w:ascii="Arial" w:hAnsi="Arial" w:cs="Arial"/>
                <w:b/>
                <w:sz w:val="18"/>
                <w:szCs w:val="18"/>
                <w:lang w:val="en-US"/>
              </w:rPr>
              <w:t>Explanation of non-compliance</w:t>
            </w:r>
          </w:p>
        </w:tc>
      </w:tr>
      <w:tr w:rsidR="008A5057" w:rsidRPr="00BD295E" w14:paraId="741B8A26" w14:textId="77777777" w:rsidTr="005C4056">
        <w:tc>
          <w:tcPr>
            <w:tcW w:w="959" w:type="dxa"/>
          </w:tcPr>
          <w:p w14:paraId="25AA4AE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1.1</w:t>
            </w:r>
          </w:p>
        </w:tc>
        <w:tc>
          <w:tcPr>
            <w:tcW w:w="14110" w:type="dxa"/>
            <w:gridSpan w:val="4"/>
          </w:tcPr>
          <w:p w14:paraId="1108F76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shall ensure fair and equitable treatment of all shareholders in exercising their corporate governance right.</w:t>
            </w:r>
          </w:p>
          <w:p w14:paraId="2008290D" w14:textId="77777777" w:rsidR="00C77CA6" w:rsidRPr="00BD295E" w:rsidRDefault="00C77CA6" w:rsidP="0027083B">
            <w:pPr>
              <w:jc w:val="both"/>
              <w:rPr>
                <w:rFonts w:ascii="Arial" w:hAnsi="Arial" w:cs="Arial"/>
                <w:sz w:val="18"/>
                <w:szCs w:val="18"/>
                <w:lang w:val="en-US"/>
              </w:rPr>
            </w:pPr>
          </w:p>
        </w:tc>
      </w:tr>
      <w:tr w:rsidR="008A5057" w:rsidRPr="00BD295E" w14:paraId="1DF98E11" w14:textId="77777777" w:rsidTr="005C4056">
        <w:trPr>
          <w:trHeight w:val="1502"/>
        </w:trPr>
        <w:tc>
          <w:tcPr>
            <w:tcW w:w="959" w:type="dxa"/>
            <w:vMerge w:val="restart"/>
          </w:tcPr>
          <w:p w14:paraId="5F8FB70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1.1.1</w:t>
            </w:r>
          </w:p>
        </w:tc>
        <w:tc>
          <w:tcPr>
            <w:tcW w:w="4252" w:type="dxa"/>
            <w:vMerge w:val="restart"/>
          </w:tcPr>
          <w:p w14:paraId="276CB47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provides the best possible conditions for shareholders to participate in General Meetings, make informed decisions on agenda items of the General Meeting, coordinate their actions, and express their opinion on agenda items.</w:t>
            </w:r>
          </w:p>
        </w:tc>
        <w:tc>
          <w:tcPr>
            <w:tcW w:w="3686" w:type="dxa"/>
          </w:tcPr>
          <w:p w14:paraId="105368C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policy approved by the General Meeting of Shareholder and governing the procedures of the General Meeting is publicly available.</w:t>
            </w:r>
          </w:p>
        </w:tc>
        <w:tc>
          <w:tcPr>
            <w:tcW w:w="1984" w:type="dxa"/>
            <w:vMerge w:val="restart"/>
          </w:tcPr>
          <w:p w14:paraId="6AE6B12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2F279E88" w14:textId="77777777" w:rsidR="00C77CA6" w:rsidRPr="00BD295E" w:rsidRDefault="00C77CA6" w:rsidP="0027083B">
            <w:pPr>
              <w:jc w:val="both"/>
              <w:rPr>
                <w:rFonts w:ascii="Arial" w:hAnsi="Arial" w:cs="Arial"/>
                <w:sz w:val="18"/>
                <w:szCs w:val="18"/>
                <w:lang w:val="en-US"/>
              </w:rPr>
            </w:pPr>
          </w:p>
        </w:tc>
      </w:tr>
      <w:tr w:rsidR="008A5057" w:rsidRPr="00BD295E" w14:paraId="00B92869" w14:textId="77777777" w:rsidTr="005C4056">
        <w:trPr>
          <w:trHeight w:val="2241"/>
        </w:trPr>
        <w:tc>
          <w:tcPr>
            <w:tcW w:w="959" w:type="dxa"/>
            <w:vMerge/>
          </w:tcPr>
          <w:p w14:paraId="09CBE0AB" w14:textId="77777777" w:rsidR="00C77CA6" w:rsidRPr="00BD295E" w:rsidRDefault="00C77CA6" w:rsidP="0027083B">
            <w:pPr>
              <w:jc w:val="both"/>
              <w:rPr>
                <w:rFonts w:ascii="Arial" w:hAnsi="Arial" w:cs="Arial"/>
                <w:sz w:val="18"/>
                <w:szCs w:val="18"/>
                <w:lang w:val="en-US"/>
              </w:rPr>
            </w:pPr>
          </w:p>
        </w:tc>
        <w:tc>
          <w:tcPr>
            <w:tcW w:w="4252" w:type="dxa"/>
            <w:vMerge/>
          </w:tcPr>
          <w:p w14:paraId="6D76C654" w14:textId="77777777" w:rsidR="00C77CA6" w:rsidRPr="00BD295E" w:rsidRDefault="00C77CA6" w:rsidP="0027083B">
            <w:pPr>
              <w:jc w:val="both"/>
              <w:rPr>
                <w:rFonts w:ascii="Arial" w:hAnsi="Arial" w:cs="Arial"/>
                <w:sz w:val="18"/>
                <w:szCs w:val="18"/>
                <w:lang w:val="en-US"/>
              </w:rPr>
            </w:pPr>
          </w:p>
        </w:tc>
        <w:tc>
          <w:tcPr>
            <w:tcW w:w="3686" w:type="dxa"/>
          </w:tcPr>
          <w:p w14:paraId="00A365E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Easy to use communication channels, such as a hotline, e-mail, and a web forum, are readily accessible to the company’s shareholders to voice their opinion and raise questions with regard to the agenda in preparation for a General Meeting. The company used these feedback channels to prepare for each General Meeting held in the reporting period.</w:t>
            </w:r>
          </w:p>
          <w:p w14:paraId="1789EDAC" w14:textId="77777777" w:rsidR="00C77CA6" w:rsidRPr="00BD295E" w:rsidRDefault="00C77CA6" w:rsidP="0027083B">
            <w:pPr>
              <w:jc w:val="both"/>
              <w:rPr>
                <w:rFonts w:ascii="Arial" w:hAnsi="Arial" w:cs="Arial"/>
                <w:sz w:val="18"/>
                <w:szCs w:val="18"/>
                <w:lang w:val="en-US"/>
              </w:rPr>
            </w:pPr>
          </w:p>
        </w:tc>
        <w:tc>
          <w:tcPr>
            <w:tcW w:w="1984" w:type="dxa"/>
            <w:vMerge/>
          </w:tcPr>
          <w:p w14:paraId="216F9849" w14:textId="77777777" w:rsidR="00C77CA6" w:rsidRPr="00BD295E" w:rsidRDefault="00C77CA6" w:rsidP="0027083B">
            <w:pPr>
              <w:jc w:val="both"/>
              <w:rPr>
                <w:rFonts w:ascii="Arial" w:hAnsi="Arial" w:cs="Arial"/>
                <w:sz w:val="18"/>
                <w:szCs w:val="18"/>
                <w:lang w:val="en-US"/>
              </w:rPr>
            </w:pPr>
          </w:p>
        </w:tc>
        <w:tc>
          <w:tcPr>
            <w:tcW w:w="4188" w:type="dxa"/>
            <w:vMerge/>
          </w:tcPr>
          <w:p w14:paraId="5131DB5C" w14:textId="77777777" w:rsidR="00C77CA6" w:rsidRPr="00BD295E" w:rsidRDefault="00C77CA6" w:rsidP="0027083B">
            <w:pPr>
              <w:jc w:val="both"/>
              <w:rPr>
                <w:rFonts w:ascii="Arial" w:hAnsi="Arial" w:cs="Arial"/>
                <w:sz w:val="18"/>
                <w:szCs w:val="18"/>
                <w:lang w:val="en-US"/>
              </w:rPr>
            </w:pPr>
          </w:p>
        </w:tc>
      </w:tr>
      <w:tr w:rsidR="008A5057" w:rsidRPr="00BD295E" w14:paraId="32B9D1AD" w14:textId="77777777" w:rsidTr="005C4056">
        <w:trPr>
          <w:trHeight w:val="1157"/>
        </w:trPr>
        <w:tc>
          <w:tcPr>
            <w:tcW w:w="959" w:type="dxa"/>
            <w:vMerge w:val="restart"/>
          </w:tcPr>
          <w:p w14:paraId="5A5006F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1.1.2</w:t>
            </w:r>
          </w:p>
        </w:tc>
        <w:tc>
          <w:tcPr>
            <w:tcW w:w="4252" w:type="dxa"/>
            <w:vMerge w:val="restart"/>
          </w:tcPr>
          <w:p w14:paraId="4B28A5E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procedure for giving notice of, and providing relevant materials for, the General Meeting enables shareholders to properly prepare for attending such General Meeting.</w:t>
            </w:r>
          </w:p>
        </w:tc>
        <w:tc>
          <w:tcPr>
            <w:tcW w:w="3686" w:type="dxa"/>
          </w:tcPr>
          <w:p w14:paraId="717232C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1. The notice on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is posted (published) on a website not later than 30 days prior to the date of the General Meeting.</w:t>
            </w:r>
          </w:p>
          <w:p w14:paraId="45124F7C" w14:textId="77777777" w:rsidR="00C77CA6" w:rsidRPr="00BD295E" w:rsidRDefault="00C77CA6" w:rsidP="0027083B">
            <w:pPr>
              <w:jc w:val="both"/>
              <w:rPr>
                <w:rFonts w:ascii="Arial" w:hAnsi="Arial" w:cs="Arial"/>
                <w:sz w:val="18"/>
                <w:szCs w:val="18"/>
                <w:lang w:val="en-US"/>
              </w:rPr>
            </w:pPr>
          </w:p>
        </w:tc>
        <w:tc>
          <w:tcPr>
            <w:tcW w:w="1984" w:type="dxa"/>
            <w:vMerge w:val="restart"/>
          </w:tcPr>
          <w:p w14:paraId="6A80309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52D439CA" w14:textId="77777777" w:rsidR="00C77CA6" w:rsidRPr="00BD295E" w:rsidRDefault="00C77CA6" w:rsidP="0027083B">
            <w:pPr>
              <w:jc w:val="both"/>
              <w:rPr>
                <w:rFonts w:ascii="Arial" w:hAnsi="Arial" w:cs="Arial"/>
                <w:sz w:val="18"/>
                <w:szCs w:val="18"/>
                <w:lang w:val="en-US"/>
              </w:rPr>
            </w:pPr>
          </w:p>
        </w:tc>
      </w:tr>
      <w:tr w:rsidR="008A5057" w:rsidRPr="00BD295E" w14:paraId="211735B3" w14:textId="77777777" w:rsidTr="005C4056">
        <w:trPr>
          <w:trHeight w:val="1027"/>
        </w:trPr>
        <w:tc>
          <w:tcPr>
            <w:tcW w:w="959" w:type="dxa"/>
            <w:vMerge/>
          </w:tcPr>
          <w:p w14:paraId="1DADA4C7" w14:textId="77777777" w:rsidR="00C77CA6" w:rsidRPr="00BD295E" w:rsidRDefault="00C77CA6" w:rsidP="0027083B">
            <w:pPr>
              <w:jc w:val="both"/>
              <w:rPr>
                <w:rFonts w:ascii="Arial" w:hAnsi="Arial" w:cs="Arial"/>
                <w:sz w:val="18"/>
                <w:szCs w:val="18"/>
                <w:lang w:val="en-US"/>
              </w:rPr>
            </w:pPr>
          </w:p>
        </w:tc>
        <w:tc>
          <w:tcPr>
            <w:tcW w:w="4252" w:type="dxa"/>
            <w:vMerge/>
          </w:tcPr>
          <w:p w14:paraId="29973259" w14:textId="77777777" w:rsidR="00C77CA6" w:rsidRPr="00BD295E" w:rsidRDefault="00C77CA6" w:rsidP="0027083B">
            <w:pPr>
              <w:jc w:val="both"/>
              <w:rPr>
                <w:rFonts w:ascii="Arial" w:hAnsi="Arial" w:cs="Arial"/>
                <w:sz w:val="18"/>
                <w:szCs w:val="18"/>
                <w:lang w:val="en-US"/>
              </w:rPr>
            </w:pPr>
          </w:p>
        </w:tc>
        <w:tc>
          <w:tcPr>
            <w:tcW w:w="3686" w:type="dxa"/>
          </w:tcPr>
          <w:p w14:paraId="287341D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notice specifies the venue of the General Meeting and the documents to be produced to gain admission to the venue.</w:t>
            </w:r>
          </w:p>
          <w:p w14:paraId="68B0E5AF" w14:textId="77777777" w:rsidR="00C77CA6" w:rsidRPr="00BD295E" w:rsidRDefault="00C77CA6" w:rsidP="0027083B">
            <w:pPr>
              <w:jc w:val="both"/>
              <w:rPr>
                <w:rFonts w:ascii="Arial" w:hAnsi="Arial" w:cs="Arial"/>
                <w:sz w:val="18"/>
                <w:szCs w:val="18"/>
                <w:lang w:val="en-US"/>
              </w:rPr>
            </w:pPr>
          </w:p>
        </w:tc>
        <w:tc>
          <w:tcPr>
            <w:tcW w:w="1984" w:type="dxa"/>
            <w:vMerge/>
          </w:tcPr>
          <w:p w14:paraId="656866F4" w14:textId="77777777" w:rsidR="00C77CA6" w:rsidRPr="00BD295E" w:rsidRDefault="00C77CA6" w:rsidP="0027083B">
            <w:pPr>
              <w:jc w:val="both"/>
              <w:rPr>
                <w:rFonts w:ascii="Arial" w:hAnsi="Arial" w:cs="Arial"/>
                <w:sz w:val="18"/>
                <w:szCs w:val="18"/>
                <w:lang w:val="en-US"/>
              </w:rPr>
            </w:pPr>
          </w:p>
        </w:tc>
        <w:tc>
          <w:tcPr>
            <w:tcW w:w="4188" w:type="dxa"/>
            <w:vMerge/>
          </w:tcPr>
          <w:p w14:paraId="71428C8F" w14:textId="77777777" w:rsidR="00C77CA6" w:rsidRPr="00BD295E" w:rsidRDefault="00C77CA6" w:rsidP="0027083B">
            <w:pPr>
              <w:jc w:val="both"/>
              <w:rPr>
                <w:rFonts w:ascii="Arial" w:hAnsi="Arial" w:cs="Arial"/>
                <w:sz w:val="18"/>
                <w:szCs w:val="18"/>
                <w:lang w:val="en-US"/>
              </w:rPr>
            </w:pPr>
          </w:p>
        </w:tc>
      </w:tr>
      <w:tr w:rsidR="008A5057" w:rsidRPr="00BD295E" w14:paraId="6F42FDDE" w14:textId="77777777" w:rsidTr="005C4056">
        <w:trPr>
          <w:trHeight w:val="1156"/>
        </w:trPr>
        <w:tc>
          <w:tcPr>
            <w:tcW w:w="959" w:type="dxa"/>
            <w:vMerge/>
          </w:tcPr>
          <w:p w14:paraId="1273CF4C" w14:textId="77777777" w:rsidR="00C77CA6" w:rsidRPr="00BD295E" w:rsidRDefault="00C77CA6" w:rsidP="0027083B">
            <w:pPr>
              <w:jc w:val="both"/>
              <w:rPr>
                <w:rFonts w:ascii="Arial" w:hAnsi="Arial" w:cs="Arial"/>
                <w:sz w:val="18"/>
                <w:szCs w:val="18"/>
                <w:lang w:val="en-US"/>
              </w:rPr>
            </w:pPr>
          </w:p>
        </w:tc>
        <w:tc>
          <w:tcPr>
            <w:tcW w:w="4252" w:type="dxa"/>
            <w:vMerge/>
          </w:tcPr>
          <w:p w14:paraId="7FE46415" w14:textId="77777777" w:rsidR="00C77CA6" w:rsidRPr="00BD295E" w:rsidRDefault="00C77CA6" w:rsidP="0027083B">
            <w:pPr>
              <w:jc w:val="both"/>
              <w:rPr>
                <w:rFonts w:ascii="Arial" w:hAnsi="Arial" w:cs="Arial"/>
                <w:sz w:val="18"/>
                <w:szCs w:val="18"/>
                <w:lang w:val="en-US"/>
              </w:rPr>
            </w:pPr>
          </w:p>
        </w:tc>
        <w:tc>
          <w:tcPr>
            <w:tcW w:w="3686" w:type="dxa"/>
          </w:tcPr>
          <w:p w14:paraId="77E072C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Shareholders were informed of who proposed the agenda items and nominated the candidates to the Company’s Board of Directors and Internal Inspecting Commission.</w:t>
            </w:r>
          </w:p>
          <w:p w14:paraId="78A07E47" w14:textId="77777777" w:rsidR="00C77CA6" w:rsidRPr="00BD295E" w:rsidRDefault="00C77CA6" w:rsidP="0027083B">
            <w:pPr>
              <w:jc w:val="both"/>
              <w:rPr>
                <w:rFonts w:ascii="Arial" w:hAnsi="Arial" w:cs="Arial"/>
                <w:sz w:val="18"/>
                <w:szCs w:val="18"/>
                <w:lang w:val="en-US"/>
              </w:rPr>
            </w:pPr>
          </w:p>
        </w:tc>
        <w:tc>
          <w:tcPr>
            <w:tcW w:w="1984" w:type="dxa"/>
            <w:vMerge/>
          </w:tcPr>
          <w:p w14:paraId="40197456" w14:textId="77777777" w:rsidR="00C77CA6" w:rsidRPr="00BD295E" w:rsidRDefault="00C77CA6" w:rsidP="0027083B">
            <w:pPr>
              <w:jc w:val="both"/>
              <w:rPr>
                <w:rFonts w:ascii="Arial" w:hAnsi="Arial" w:cs="Arial"/>
                <w:sz w:val="18"/>
                <w:szCs w:val="18"/>
                <w:lang w:val="en-US"/>
              </w:rPr>
            </w:pPr>
          </w:p>
        </w:tc>
        <w:tc>
          <w:tcPr>
            <w:tcW w:w="4188" w:type="dxa"/>
            <w:vMerge/>
          </w:tcPr>
          <w:p w14:paraId="2B90DB8A" w14:textId="77777777" w:rsidR="00C77CA6" w:rsidRPr="00BD295E" w:rsidRDefault="00C77CA6" w:rsidP="0027083B">
            <w:pPr>
              <w:jc w:val="both"/>
              <w:rPr>
                <w:rFonts w:ascii="Arial" w:hAnsi="Arial" w:cs="Arial"/>
                <w:sz w:val="18"/>
                <w:szCs w:val="18"/>
                <w:lang w:val="en-US"/>
              </w:rPr>
            </w:pPr>
          </w:p>
        </w:tc>
      </w:tr>
      <w:tr w:rsidR="008A5057" w:rsidRPr="00BD295E" w14:paraId="4F73B448" w14:textId="77777777" w:rsidTr="005C4056">
        <w:trPr>
          <w:trHeight w:val="1561"/>
        </w:trPr>
        <w:tc>
          <w:tcPr>
            <w:tcW w:w="959" w:type="dxa"/>
            <w:vMerge w:val="restart"/>
          </w:tcPr>
          <w:p w14:paraId="78122B7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1.1.3</w:t>
            </w:r>
          </w:p>
        </w:tc>
        <w:tc>
          <w:tcPr>
            <w:tcW w:w="4252" w:type="dxa"/>
            <w:vMerge w:val="restart"/>
          </w:tcPr>
          <w:p w14:paraId="6C19DA1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When preparing for, and participating in, a General Meeting, shareholders had unrestricted and timely access to any relevant information and were able put questions to the company’s executive bodies and directors and to communicate with one another.</w:t>
            </w:r>
          </w:p>
        </w:tc>
        <w:tc>
          <w:tcPr>
            <w:tcW w:w="3686" w:type="dxa"/>
          </w:tcPr>
          <w:p w14:paraId="36D0227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During the reporting period shareholders had the opportunity to put questions to the Company’s executive bodies and directors both before and during the Annual General Meeting.</w:t>
            </w:r>
          </w:p>
        </w:tc>
        <w:tc>
          <w:tcPr>
            <w:tcW w:w="1984" w:type="dxa"/>
            <w:vMerge w:val="restart"/>
          </w:tcPr>
          <w:p w14:paraId="69C7B43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2D5921D5" w14:textId="77777777" w:rsidR="00C77CA6" w:rsidRPr="00BD295E" w:rsidRDefault="00C77CA6" w:rsidP="0027083B">
            <w:pPr>
              <w:jc w:val="both"/>
              <w:rPr>
                <w:rFonts w:ascii="Arial" w:hAnsi="Arial" w:cs="Arial"/>
                <w:sz w:val="18"/>
                <w:szCs w:val="18"/>
                <w:lang w:val="en-US"/>
              </w:rPr>
            </w:pPr>
          </w:p>
        </w:tc>
      </w:tr>
      <w:tr w:rsidR="008A5057" w:rsidRPr="00BD295E" w14:paraId="15F2E2FD" w14:textId="77777777" w:rsidTr="005C4056">
        <w:trPr>
          <w:trHeight w:val="1561"/>
        </w:trPr>
        <w:tc>
          <w:tcPr>
            <w:tcW w:w="959" w:type="dxa"/>
            <w:vMerge/>
          </w:tcPr>
          <w:p w14:paraId="24D80812" w14:textId="77777777" w:rsidR="00C77CA6" w:rsidRPr="00BD295E" w:rsidRDefault="00C77CA6" w:rsidP="0027083B">
            <w:pPr>
              <w:jc w:val="both"/>
              <w:rPr>
                <w:rFonts w:ascii="Arial" w:hAnsi="Arial" w:cs="Arial"/>
                <w:sz w:val="18"/>
                <w:szCs w:val="18"/>
                <w:lang w:val="en-US"/>
              </w:rPr>
            </w:pPr>
          </w:p>
        </w:tc>
        <w:tc>
          <w:tcPr>
            <w:tcW w:w="4252" w:type="dxa"/>
            <w:vMerge/>
          </w:tcPr>
          <w:p w14:paraId="0EBA732F" w14:textId="77777777" w:rsidR="00C77CA6" w:rsidRPr="00BD295E" w:rsidRDefault="00C77CA6" w:rsidP="0027083B">
            <w:pPr>
              <w:jc w:val="both"/>
              <w:rPr>
                <w:rFonts w:ascii="Arial" w:hAnsi="Arial" w:cs="Arial"/>
                <w:sz w:val="18"/>
                <w:szCs w:val="18"/>
                <w:lang w:val="en-US"/>
              </w:rPr>
            </w:pPr>
          </w:p>
        </w:tc>
        <w:tc>
          <w:tcPr>
            <w:tcW w:w="3686" w:type="dxa"/>
          </w:tcPr>
          <w:p w14:paraId="21E180F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2. The Board of Directors’ opinion (including any dissenting opinions recorded in the minutes) on each of the agenda items of General-Meetings held during the reporting period were added to the materials for the </w:t>
            </w:r>
            <w:r w:rsidR="0053339C" w:rsidRPr="00BD295E">
              <w:rPr>
                <w:rFonts w:ascii="Arial" w:hAnsi="Arial" w:cs="Arial"/>
                <w:sz w:val="18"/>
                <w:szCs w:val="18"/>
                <w:lang w:val="en-US"/>
              </w:rPr>
              <w:t>General Meeting</w:t>
            </w:r>
            <w:r w:rsidRPr="00BD295E">
              <w:rPr>
                <w:rFonts w:ascii="Arial" w:hAnsi="Arial" w:cs="Arial"/>
                <w:sz w:val="18"/>
                <w:szCs w:val="18"/>
                <w:lang w:val="en-US"/>
              </w:rPr>
              <w:t>.</w:t>
            </w:r>
          </w:p>
        </w:tc>
        <w:tc>
          <w:tcPr>
            <w:tcW w:w="1984" w:type="dxa"/>
            <w:vMerge/>
          </w:tcPr>
          <w:p w14:paraId="631DEBC8" w14:textId="77777777" w:rsidR="00C77CA6" w:rsidRPr="00BD295E" w:rsidRDefault="00C77CA6" w:rsidP="0027083B">
            <w:pPr>
              <w:jc w:val="both"/>
              <w:rPr>
                <w:rFonts w:ascii="Arial" w:hAnsi="Arial" w:cs="Arial"/>
                <w:sz w:val="18"/>
                <w:szCs w:val="18"/>
                <w:lang w:val="en-US"/>
              </w:rPr>
            </w:pPr>
          </w:p>
        </w:tc>
        <w:tc>
          <w:tcPr>
            <w:tcW w:w="4188" w:type="dxa"/>
            <w:vMerge/>
          </w:tcPr>
          <w:p w14:paraId="0DEB4641" w14:textId="77777777" w:rsidR="00C77CA6" w:rsidRPr="00BD295E" w:rsidRDefault="00C77CA6" w:rsidP="0027083B">
            <w:pPr>
              <w:jc w:val="both"/>
              <w:rPr>
                <w:rFonts w:ascii="Arial" w:hAnsi="Arial" w:cs="Arial"/>
                <w:sz w:val="18"/>
                <w:szCs w:val="18"/>
                <w:lang w:val="en-US"/>
              </w:rPr>
            </w:pPr>
          </w:p>
        </w:tc>
      </w:tr>
      <w:tr w:rsidR="008A5057" w:rsidRPr="00BD295E" w14:paraId="1363B34C" w14:textId="77777777" w:rsidTr="005C4056">
        <w:trPr>
          <w:trHeight w:val="1561"/>
        </w:trPr>
        <w:tc>
          <w:tcPr>
            <w:tcW w:w="959" w:type="dxa"/>
            <w:vMerge/>
          </w:tcPr>
          <w:p w14:paraId="21FAC04E" w14:textId="77777777" w:rsidR="00C77CA6" w:rsidRPr="00BD295E" w:rsidRDefault="00C77CA6" w:rsidP="0027083B">
            <w:pPr>
              <w:jc w:val="both"/>
              <w:rPr>
                <w:rFonts w:ascii="Arial" w:hAnsi="Arial" w:cs="Arial"/>
                <w:sz w:val="18"/>
                <w:szCs w:val="18"/>
                <w:lang w:val="en-US"/>
              </w:rPr>
            </w:pPr>
          </w:p>
        </w:tc>
        <w:tc>
          <w:tcPr>
            <w:tcW w:w="4252" w:type="dxa"/>
            <w:vMerge/>
          </w:tcPr>
          <w:p w14:paraId="2BB03340" w14:textId="77777777" w:rsidR="00C77CA6" w:rsidRPr="00BD295E" w:rsidRDefault="00C77CA6" w:rsidP="0027083B">
            <w:pPr>
              <w:jc w:val="both"/>
              <w:rPr>
                <w:rFonts w:ascii="Arial" w:hAnsi="Arial" w:cs="Arial"/>
                <w:sz w:val="18"/>
                <w:szCs w:val="18"/>
                <w:lang w:val="en-US"/>
              </w:rPr>
            </w:pPr>
          </w:p>
        </w:tc>
        <w:tc>
          <w:tcPr>
            <w:tcW w:w="3686" w:type="dxa"/>
          </w:tcPr>
          <w:p w14:paraId="21AAD99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The lists of persons entitled to participate in each General Meeting held during the reporting period were made available by the company to the-shareholders eligible to review such lists as soon as the company received such lists</w:t>
            </w:r>
          </w:p>
          <w:p w14:paraId="326A70AA" w14:textId="77777777" w:rsidR="00C77CA6" w:rsidRPr="00BD295E" w:rsidRDefault="00C77CA6" w:rsidP="0027083B">
            <w:pPr>
              <w:jc w:val="both"/>
              <w:rPr>
                <w:rFonts w:ascii="Arial" w:hAnsi="Arial" w:cs="Arial"/>
                <w:sz w:val="18"/>
                <w:szCs w:val="18"/>
                <w:lang w:val="en-US"/>
              </w:rPr>
            </w:pPr>
          </w:p>
        </w:tc>
        <w:tc>
          <w:tcPr>
            <w:tcW w:w="1984" w:type="dxa"/>
            <w:vMerge/>
          </w:tcPr>
          <w:p w14:paraId="3870F86F" w14:textId="77777777" w:rsidR="00C77CA6" w:rsidRPr="00BD295E" w:rsidRDefault="00C77CA6" w:rsidP="0027083B">
            <w:pPr>
              <w:jc w:val="both"/>
              <w:rPr>
                <w:rFonts w:ascii="Arial" w:hAnsi="Arial" w:cs="Arial"/>
                <w:sz w:val="18"/>
                <w:szCs w:val="18"/>
                <w:lang w:val="en-US"/>
              </w:rPr>
            </w:pPr>
          </w:p>
        </w:tc>
        <w:tc>
          <w:tcPr>
            <w:tcW w:w="4188" w:type="dxa"/>
            <w:vMerge/>
          </w:tcPr>
          <w:p w14:paraId="60F78986" w14:textId="77777777" w:rsidR="00C77CA6" w:rsidRPr="00BD295E" w:rsidRDefault="00C77CA6" w:rsidP="0027083B">
            <w:pPr>
              <w:jc w:val="both"/>
              <w:rPr>
                <w:rFonts w:ascii="Arial" w:hAnsi="Arial" w:cs="Arial"/>
                <w:sz w:val="18"/>
                <w:szCs w:val="18"/>
                <w:lang w:val="en-US"/>
              </w:rPr>
            </w:pPr>
          </w:p>
        </w:tc>
      </w:tr>
      <w:tr w:rsidR="008A5057" w:rsidRPr="00BD295E" w14:paraId="67DF002D" w14:textId="77777777" w:rsidTr="005C4056">
        <w:trPr>
          <w:trHeight w:val="1528"/>
        </w:trPr>
        <w:tc>
          <w:tcPr>
            <w:tcW w:w="959" w:type="dxa"/>
            <w:vMerge w:val="restart"/>
          </w:tcPr>
          <w:p w14:paraId="72E2276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1.1.4</w:t>
            </w:r>
          </w:p>
        </w:tc>
        <w:tc>
          <w:tcPr>
            <w:tcW w:w="4252" w:type="dxa"/>
            <w:vMerge w:val="restart"/>
          </w:tcPr>
          <w:p w14:paraId="690D73A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There were no unjustified difficulties preventing shareholders from exercising their rights to convene a General Meeting, nominate candidates to the company’s governance bodies, and propose items for the agenda of the General Meeting.</w:t>
            </w:r>
          </w:p>
        </w:tc>
        <w:tc>
          <w:tcPr>
            <w:tcW w:w="3686" w:type="dxa"/>
          </w:tcPr>
          <w:p w14:paraId="4419B4B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shareholders had the opportunity to propose items for the agenda of the Annual General Meeting during at least 60 days on expiry of the respective calendar year.</w:t>
            </w:r>
          </w:p>
        </w:tc>
        <w:tc>
          <w:tcPr>
            <w:tcW w:w="1984" w:type="dxa"/>
            <w:vMerge w:val="restart"/>
          </w:tcPr>
          <w:p w14:paraId="29379AE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553EDE32" w14:textId="77777777" w:rsidR="00C77CA6" w:rsidRPr="00BD295E" w:rsidRDefault="00C77CA6" w:rsidP="0027083B">
            <w:pPr>
              <w:jc w:val="both"/>
              <w:rPr>
                <w:rFonts w:ascii="Arial" w:hAnsi="Arial" w:cs="Arial"/>
                <w:sz w:val="18"/>
                <w:szCs w:val="18"/>
                <w:lang w:val="en-US"/>
              </w:rPr>
            </w:pPr>
          </w:p>
        </w:tc>
      </w:tr>
      <w:tr w:rsidR="008A5057" w:rsidRPr="00BD295E" w14:paraId="672597FE" w14:textId="77777777" w:rsidTr="005C4056">
        <w:trPr>
          <w:trHeight w:val="1527"/>
        </w:trPr>
        <w:tc>
          <w:tcPr>
            <w:tcW w:w="959" w:type="dxa"/>
            <w:vMerge/>
          </w:tcPr>
          <w:p w14:paraId="71169A48" w14:textId="77777777" w:rsidR="00C77CA6" w:rsidRPr="00BD295E" w:rsidRDefault="00C77CA6" w:rsidP="0027083B">
            <w:pPr>
              <w:jc w:val="both"/>
              <w:rPr>
                <w:rFonts w:ascii="Arial" w:hAnsi="Arial" w:cs="Arial"/>
                <w:sz w:val="18"/>
                <w:szCs w:val="18"/>
                <w:lang w:val="en-US"/>
              </w:rPr>
            </w:pPr>
          </w:p>
        </w:tc>
        <w:tc>
          <w:tcPr>
            <w:tcW w:w="4252" w:type="dxa"/>
            <w:vMerge/>
          </w:tcPr>
          <w:p w14:paraId="0B29B77E" w14:textId="77777777" w:rsidR="00C77CA6" w:rsidRPr="00BD295E" w:rsidRDefault="00C77CA6" w:rsidP="0027083B">
            <w:pPr>
              <w:jc w:val="both"/>
              <w:rPr>
                <w:rFonts w:ascii="Arial" w:hAnsi="Arial" w:cs="Arial"/>
                <w:sz w:val="18"/>
                <w:szCs w:val="18"/>
                <w:lang w:val="en-US"/>
              </w:rPr>
            </w:pPr>
          </w:p>
        </w:tc>
        <w:tc>
          <w:tcPr>
            <w:tcW w:w="3686" w:type="dxa"/>
          </w:tcPr>
          <w:p w14:paraId="5A710FA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In the reporting period, the Company did not reject any item proposed for the agenda or candidates nominated to the governance bodies of the Company despite misprints or other minor flaws in shareholders’ proposals.</w:t>
            </w:r>
          </w:p>
          <w:p w14:paraId="3E7239F5" w14:textId="77777777" w:rsidR="00C77CA6" w:rsidRPr="00BD295E" w:rsidRDefault="00C77CA6" w:rsidP="0027083B">
            <w:pPr>
              <w:jc w:val="both"/>
              <w:rPr>
                <w:rFonts w:ascii="Arial" w:hAnsi="Arial" w:cs="Arial"/>
                <w:sz w:val="18"/>
                <w:szCs w:val="18"/>
                <w:lang w:val="en-US"/>
              </w:rPr>
            </w:pPr>
          </w:p>
        </w:tc>
        <w:tc>
          <w:tcPr>
            <w:tcW w:w="1984" w:type="dxa"/>
            <w:vMerge/>
          </w:tcPr>
          <w:p w14:paraId="3F264000" w14:textId="77777777" w:rsidR="00C77CA6" w:rsidRPr="00BD295E" w:rsidRDefault="00C77CA6" w:rsidP="0027083B">
            <w:pPr>
              <w:jc w:val="both"/>
              <w:rPr>
                <w:rFonts w:ascii="Arial" w:hAnsi="Arial" w:cs="Arial"/>
                <w:sz w:val="18"/>
                <w:szCs w:val="18"/>
                <w:lang w:val="en-US"/>
              </w:rPr>
            </w:pPr>
          </w:p>
        </w:tc>
        <w:tc>
          <w:tcPr>
            <w:tcW w:w="4188" w:type="dxa"/>
            <w:vMerge/>
          </w:tcPr>
          <w:p w14:paraId="39720B3B" w14:textId="77777777" w:rsidR="00C77CA6" w:rsidRPr="00BD295E" w:rsidRDefault="00C77CA6" w:rsidP="0027083B">
            <w:pPr>
              <w:jc w:val="both"/>
              <w:rPr>
                <w:rFonts w:ascii="Arial" w:hAnsi="Arial" w:cs="Arial"/>
                <w:sz w:val="18"/>
                <w:szCs w:val="18"/>
                <w:lang w:val="en-US"/>
              </w:rPr>
            </w:pPr>
          </w:p>
        </w:tc>
      </w:tr>
      <w:tr w:rsidR="008A5057" w:rsidRPr="00BD295E" w14:paraId="4A966223" w14:textId="77777777" w:rsidTr="005C4056">
        <w:tc>
          <w:tcPr>
            <w:tcW w:w="959" w:type="dxa"/>
          </w:tcPr>
          <w:p w14:paraId="2844E90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1.1.5</w:t>
            </w:r>
          </w:p>
        </w:tc>
        <w:tc>
          <w:tcPr>
            <w:tcW w:w="4252" w:type="dxa"/>
          </w:tcPr>
          <w:p w14:paraId="76AB9D4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Each and every shareholder was able to exercise their voting right without hindrance, in the simplest and most convenient way.</w:t>
            </w:r>
          </w:p>
        </w:tc>
        <w:tc>
          <w:tcPr>
            <w:tcW w:w="3686" w:type="dxa"/>
          </w:tcPr>
          <w:p w14:paraId="30BCDB4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1. The company’s internal document (corporate policy) </w:t>
            </w:r>
            <w:r w:rsidR="00EC0D9D" w:rsidRPr="00BD295E">
              <w:rPr>
                <w:rFonts w:ascii="Arial" w:hAnsi="Arial" w:cs="Arial"/>
                <w:sz w:val="18"/>
                <w:szCs w:val="18"/>
                <w:lang w:val="en-US"/>
              </w:rPr>
              <w:t>authorizes</w:t>
            </w:r>
            <w:r w:rsidRPr="00BD295E">
              <w:rPr>
                <w:rFonts w:ascii="Arial" w:hAnsi="Arial" w:cs="Arial"/>
                <w:sz w:val="18"/>
                <w:szCs w:val="18"/>
                <w:lang w:val="en-US"/>
              </w:rPr>
              <w:t xml:space="preserve"> every participant in the General Meeting to request a copy of their completed voting ballot certified by the Counting Commission before the end of the meeting.</w:t>
            </w:r>
          </w:p>
          <w:p w14:paraId="5834CE4A" w14:textId="77777777" w:rsidR="00C77CA6" w:rsidRPr="00BD295E" w:rsidRDefault="00C77CA6" w:rsidP="0027083B">
            <w:pPr>
              <w:jc w:val="both"/>
              <w:rPr>
                <w:rFonts w:ascii="Arial" w:hAnsi="Arial" w:cs="Arial"/>
                <w:sz w:val="18"/>
                <w:szCs w:val="18"/>
                <w:lang w:val="en-US"/>
              </w:rPr>
            </w:pPr>
          </w:p>
        </w:tc>
        <w:tc>
          <w:tcPr>
            <w:tcW w:w="1984" w:type="dxa"/>
          </w:tcPr>
          <w:p w14:paraId="7CDAE01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73D4ED09" w14:textId="77777777" w:rsidR="00C77CA6" w:rsidRPr="00BD295E" w:rsidRDefault="00C77CA6" w:rsidP="0027083B">
            <w:pPr>
              <w:jc w:val="both"/>
              <w:rPr>
                <w:rFonts w:ascii="Arial" w:hAnsi="Arial" w:cs="Arial"/>
                <w:sz w:val="18"/>
                <w:szCs w:val="18"/>
                <w:lang w:val="en-US"/>
              </w:rPr>
            </w:pPr>
          </w:p>
        </w:tc>
      </w:tr>
      <w:tr w:rsidR="008A5057" w:rsidRPr="00BD295E" w14:paraId="0F23E70B" w14:textId="77777777" w:rsidTr="005C4056">
        <w:trPr>
          <w:trHeight w:val="1767"/>
        </w:trPr>
        <w:tc>
          <w:tcPr>
            <w:tcW w:w="959" w:type="dxa"/>
            <w:vMerge w:val="restart"/>
          </w:tcPr>
          <w:p w14:paraId="063FB9E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1.1.6</w:t>
            </w:r>
          </w:p>
        </w:tc>
        <w:tc>
          <w:tcPr>
            <w:tcW w:w="4252" w:type="dxa"/>
            <w:vMerge w:val="restart"/>
          </w:tcPr>
          <w:p w14:paraId="55CB769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procedure set by the company for holding General Meetings set provides equal opportunities for all persons attending the meeting to voice their opinions and ask questions.</w:t>
            </w:r>
          </w:p>
        </w:tc>
        <w:tc>
          <w:tcPr>
            <w:tcW w:w="3686" w:type="dxa"/>
          </w:tcPr>
          <w:p w14:paraId="79911DA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During General Meetings of Shareholders held in the reporting period in the form of a meeting (joint presence of shareholders), sufficient time was allocated for reports on, and discussion of, the agenda items.</w:t>
            </w:r>
          </w:p>
        </w:tc>
        <w:tc>
          <w:tcPr>
            <w:tcW w:w="1984" w:type="dxa"/>
            <w:vMerge w:val="restart"/>
          </w:tcPr>
          <w:p w14:paraId="4F2B5C3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4D7EA8F0" w14:textId="77777777" w:rsidR="00C77CA6" w:rsidRPr="00BD295E" w:rsidRDefault="00C77CA6" w:rsidP="0027083B">
            <w:pPr>
              <w:jc w:val="both"/>
              <w:rPr>
                <w:rFonts w:ascii="Arial" w:hAnsi="Arial" w:cs="Arial"/>
                <w:sz w:val="18"/>
                <w:szCs w:val="18"/>
                <w:lang w:val="en-US"/>
              </w:rPr>
            </w:pPr>
          </w:p>
        </w:tc>
      </w:tr>
      <w:tr w:rsidR="008A5057" w:rsidRPr="00BD295E" w14:paraId="3496D1FF" w14:textId="77777777" w:rsidTr="005C4056">
        <w:trPr>
          <w:trHeight w:val="1765"/>
        </w:trPr>
        <w:tc>
          <w:tcPr>
            <w:tcW w:w="959" w:type="dxa"/>
            <w:vMerge/>
          </w:tcPr>
          <w:p w14:paraId="6F633B07" w14:textId="77777777" w:rsidR="00C77CA6" w:rsidRPr="00BD295E" w:rsidRDefault="00C77CA6" w:rsidP="0027083B">
            <w:pPr>
              <w:jc w:val="both"/>
              <w:rPr>
                <w:rFonts w:ascii="Arial" w:hAnsi="Arial" w:cs="Arial"/>
                <w:sz w:val="18"/>
                <w:szCs w:val="18"/>
                <w:lang w:val="en-US"/>
              </w:rPr>
            </w:pPr>
          </w:p>
        </w:tc>
        <w:tc>
          <w:tcPr>
            <w:tcW w:w="4252" w:type="dxa"/>
            <w:vMerge/>
          </w:tcPr>
          <w:p w14:paraId="4CDC77EC" w14:textId="77777777" w:rsidR="00C77CA6" w:rsidRPr="00BD295E" w:rsidRDefault="00C77CA6" w:rsidP="0027083B">
            <w:pPr>
              <w:jc w:val="both"/>
              <w:rPr>
                <w:rFonts w:ascii="Arial" w:hAnsi="Arial" w:cs="Arial"/>
                <w:sz w:val="18"/>
                <w:szCs w:val="18"/>
                <w:lang w:val="en-US"/>
              </w:rPr>
            </w:pPr>
          </w:p>
        </w:tc>
        <w:tc>
          <w:tcPr>
            <w:tcW w:w="3686" w:type="dxa"/>
          </w:tcPr>
          <w:p w14:paraId="40F186A8" w14:textId="77777777" w:rsidR="00C77CA6" w:rsidRPr="00BD295E" w:rsidRDefault="008A5057" w:rsidP="00D030A5">
            <w:pPr>
              <w:jc w:val="both"/>
              <w:rPr>
                <w:rFonts w:ascii="Arial" w:hAnsi="Arial" w:cs="Arial"/>
                <w:sz w:val="18"/>
                <w:szCs w:val="18"/>
                <w:lang w:val="en-US"/>
              </w:rPr>
            </w:pPr>
            <w:r w:rsidRPr="00BD295E">
              <w:rPr>
                <w:rFonts w:ascii="Arial" w:hAnsi="Arial" w:cs="Arial"/>
                <w:sz w:val="18"/>
                <w:szCs w:val="18"/>
                <w:lang w:val="en-US"/>
              </w:rPr>
              <w:t>2. Nominees to the Company’s governance and control bodies were available to answer questions of shareholders at the meeting at which their nominations were put to vote.</w:t>
            </w:r>
          </w:p>
        </w:tc>
        <w:tc>
          <w:tcPr>
            <w:tcW w:w="1984" w:type="dxa"/>
            <w:vMerge/>
          </w:tcPr>
          <w:p w14:paraId="0CC7A06B" w14:textId="77777777" w:rsidR="00C77CA6" w:rsidRPr="00BD295E" w:rsidRDefault="00C77CA6" w:rsidP="0027083B">
            <w:pPr>
              <w:jc w:val="both"/>
              <w:rPr>
                <w:rFonts w:ascii="Arial" w:hAnsi="Arial" w:cs="Arial"/>
                <w:sz w:val="18"/>
                <w:szCs w:val="18"/>
                <w:lang w:val="en-US"/>
              </w:rPr>
            </w:pPr>
          </w:p>
        </w:tc>
        <w:tc>
          <w:tcPr>
            <w:tcW w:w="4188" w:type="dxa"/>
          </w:tcPr>
          <w:p w14:paraId="6161E3F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037446D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the reporting year, nominees to the Company’s governance and control bodies were available to answer questions of shareholders at the meeting at which their nominations were put to vote.</w:t>
            </w:r>
          </w:p>
          <w:p w14:paraId="1ECD749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Internal documents of the Company do not provide for mandatory participation by all candidates to governance and control bodies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in shareholder meetings. Applicable Russian laws do not impose an obligation on relevant candidates to personally participate in the </w:t>
            </w:r>
            <w:r w:rsidR="0053339C" w:rsidRPr="00BD295E">
              <w:rPr>
                <w:rFonts w:ascii="Arial" w:hAnsi="Arial" w:cs="Arial"/>
                <w:sz w:val="18"/>
                <w:szCs w:val="18"/>
                <w:lang w:val="en-US"/>
              </w:rPr>
              <w:t>General Meeting</w:t>
            </w:r>
            <w:r w:rsidRPr="00BD295E">
              <w:rPr>
                <w:rFonts w:ascii="Arial" w:hAnsi="Arial" w:cs="Arial"/>
                <w:sz w:val="18"/>
                <w:szCs w:val="18"/>
                <w:lang w:val="en-US"/>
              </w:rPr>
              <w:t>, either.</w:t>
            </w:r>
          </w:p>
          <w:p w14:paraId="4AFF060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At the same time, in line with the Regulations on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ensures that during the preparations for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in the form of joint presence invitations are sent to members of the Company’s executive bodies, members of, and candidates to, the Board of Directors, members of, and candidates to, the </w:t>
            </w:r>
            <w:r w:rsidR="00293DDA" w:rsidRPr="00BD295E">
              <w:rPr>
                <w:rFonts w:ascii="Arial" w:hAnsi="Arial" w:cs="Arial"/>
                <w:sz w:val="18"/>
                <w:szCs w:val="18"/>
                <w:lang w:val="en-US"/>
              </w:rPr>
              <w:t>Internal Audit Commission</w:t>
            </w:r>
            <w:r w:rsidRPr="00BD295E">
              <w:rPr>
                <w:rFonts w:ascii="Arial" w:hAnsi="Arial" w:cs="Arial"/>
                <w:sz w:val="18"/>
                <w:szCs w:val="18"/>
                <w:lang w:val="en-US"/>
              </w:rPr>
              <w:t xml:space="preserve"> of the Company, and the Company’s Auditor to attend the </w:t>
            </w:r>
            <w:r w:rsidR="0053339C" w:rsidRPr="00BD295E">
              <w:rPr>
                <w:rFonts w:ascii="Arial" w:hAnsi="Arial" w:cs="Arial"/>
                <w:sz w:val="18"/>
                <w:szCs w:val="18"/>
                <w:lang w:val="en-US"/>
              </w:rPr>
              <w:t>General Meeting</w:t>
            </w:r>
            <w:r w:rsidRPr="00BD295E">
              <w:rPr>
                <w:rFonts w:ascii="Arial" w:hAnsi="Arial" w:cs="Arial"/>
                <w:sz w:val="18"/>
                <w:szCs w:val="18"/>
                <w:lang w:val="en-US"/>
              </w:rPr>
              <w:t>.</w:t>
            </w:r>
          </w:p>
        </w:tc>
      </w:tr>
      <w:tr w:rsidR="008A5057" w:rsidRPr="00BD295E" w14:paraId="1CCFF52F" w14:textId="77777777" w:rsidTr="005C4056">
        <w:trPr>
          <w:trHeight w:val="1124"/>
        </w:trPr>
        <w:tc>
          <w:tcPr>
            <w:tcW w:w="959" w:type="dxa"/>
            <w:vMerge/>
          </w:tcPr>
          <w:p w14:paraId="1902F7DC" w14:textId="77777777" w:rsidR="00C77CA6" w:rsidRPr="00BD295E" w:rsidRDefault="00C77CA6" w:rsidP="0027083B">
            <w:pPr>
              <w:jc w:val="both"/>
              <w:rPr>
                <w:rFonts w:ascii="Arial" w:hAnsi="Arial" w:cs="Arial"/>
                <w:sz w:val="18"/>
                <w:szCs w:val="18"/>
                <w:lang w:val="en-US"/>
              </w:rPr>
            </w:pPr>
          </w:p>
        </w:tc>
        <w:tc>
          <w:tcPr>
            <w:tcW w:w="4252" w:type="dxa"/>
            <w:vMerge/>
          </w:tcPr>
          <w:p w14:paraId="21EB6CB2" w14:textId="77777777" w:rsidR="00C77CA6" w:rsidRPr="00BD295E" w:rsidRDefault="00C77CA6" w:rsidP="0027083B">
            <w:pPr>
              <w:jc w:val="both"/>
              <w:rPr>
                <w:rFonts w:ascii="Arial" w:hAnsi="Arial" w:cs="Arial"/>
                <w:sz w:val="18"/>
                <w:szCs w:val="18"/>
                <w:lang w:val="en-US"/>
              </w:rPr>
            </w:pPr>
          </w:p>
        </w:tc>
        <w:tc>
          <w:tcPr>
            <w:tcW w:w="3686" w:type="dxa"/>
          </w:tcPr>
          <w:p w14:paraId="5FB59DD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When passing resolutions on the preparation and holding of General Meetings of Shareholders, the Board of Directors considered the use of telecommunication means for remote access of shareholders to General Meetings in the reporting period.</w:t>
            </w:r>
          </w:p>
        </w:tc>
        <w:tc>
          <w:tcPr>
            <w:tcW w:w="1984" w:type="dxa"/>
            <w:vMerge/>
          </w:tcPr>
          <w:p w14:paraId="5575FFC6" w14:textId="77777777" w:rsidR="00C77CA6" w:rsidRPr="00BD295E" w:rsidRDefault="00C77CA6" w:rsidP="0027083B">
            <w:pPr>
              <w:jc w:val="both"/>
              <w:rPr>
                <w:rFonts w:ascii="Arial" w:hAnsi="Arial" w:cs="Arial"/>
                <w:sz w:val="18"/>
                <w:szCs w:val="18"/>
                <w:lang w:val="en-US"/>
              </w:rPr>
            </w:pPr>
          </w:p>
        </w:tc>
        <w:tc>
          <w:tcPr>
            <w:tcW w:w="4188" w:type="dxa"/>
          </w:tcPr>
          <w:p w14:paraId="2AE23CA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3:</w:t>
            </w:r>
          </w:p>
          <w:p w14:paraId="443C9CF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When passing resolutions on the preparation and holding of General Meetings of Shareholders, the Board of Directors did not consider the use of telecommunication means for remote access of shareholders to General Meetings in the reporting period.</w:t>
            </w:r>
          </w:p>
          <w:p w14:paraId="645E9D9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However, this opportunity will be provided to the Company’s shareholders starting from 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for 2018.</w:t>
            </w:r>
          </w:p>
        </w:tc>
      </w:tr>
      <w:tr w:rsidR="008A5057" w:rsidRPr="00BD295E" w14:paraId="4BCF310F" w14:textId="77777777" w:rsidTr="005C4056">
        <w:tc>
          <w:tcPr>
            <w:tcW w:w="959" w:type="dxa"/>
          </w:tcPr>
          <w:p w14:paraId="70FDCB5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1.2</w:t>
            </w:r>
          </w:p>
        </w:tc>
        <w:tc>
          <w:tcPr>
            <w:tcW w:w="14110" w:type="dxa"/>
            <w:gridSpan w:val="4"/>
          </w:tcPr>
          <w:p w14:paraId="536DA19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Shareholders are given equal and fair opportunities to share profits of the company as dividends.</w:t>
            </w:r>
          </w:p>
          <w:p w14:paraId="2FDCFC7E" w14:textId="77777777" w:rsidR="00C77CA6" w:rsidRPr="00BD295E" w:rsidRDefault="00C77CA6" w:rsidP="0027083B">
            <w:pPr>
              <w:jc w:val="both"/>
              <w:rPr>
                <w:rFonts w:ascii="Arial" w:hAnsi="Arial" w:cs="Arial"/>
                <w:sz w:val="18"/>
                <w:szCs w:val="18"/>
                <w:lang w:val="en-US"/>
              </w:rPr>
            </w:pPr>
          </w:p>
        </w:tc>
      </w:tr>
      <w:tr w:rsidR="008A5057" w:rsidRPr="00BD295E" w14:paraId="3B1C2E6E" w14:textId="77777777" w:rsidTr="005C4056">
        <w:trPr>
          <w:trHeight w:val="681"/>
        </w:trPr>
        <w:tc>
          <w:tcPr>
            <w:tcW w:w="959" w:type="dxa"/>
            <w:vMerge w:val="restart"/>
          </w:tcPr>
          <w:p w14:paraId="6699EAA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1.2.1</w:t>
            </w:r>
          </w:p>
        </w:tc>
        <w:tc>
          <w:tcPr>
            <w:tcW w:w="4252" w:type="dxa"/>
            <w:vMerge w:val="restart"/>
          </w:tcPr>
          <w:p w14:paraId="39CB2F0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designed and put in place a transparent and clear mechanism to determine the dividend amount and payout procedure.</w:t>
            </w:r>
          </w:p>
          <w:p w14:paraId="42D8FCA2" w14:textId="77777777" w:rsidR="00C77CA6" w:rsidRPr="00BD295E" w:rsidRDefault="00C77CA6" w:rsidP="0027083B">
            <w:pPr>
              <w:jc w:val="both"/>
              <w:rPr>
                <w:rFonts w:ascii="Arial" w:hAnsi="Arial" w:cs="Arial"/>
                <w:sz w:val="18"/>
                <w:szCs w:val="18"/>
                <w:lang w:val="en-US"/>
              </w:rPr>
            </w:pPr>
          </w:p>
        </w:tc>
        <w:tc>
          <w:tcPr>
            <w:tcW w:w="3686" w:type="dxa"/>
          </w:tcPr>
          <w:p w14:paraId="1960B6C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drafted and disclosed a dividend policy approved by the Board of Directors.</w:t>
            </w:r>
          </w:p>
        </w:tc>
        <w:tc>
          <w:tcPr>
            <w:tcW w:w="1984" w:type="dxa"/>
            <w:vMerge w:val="restart"/>
          </w:tcPr>
          <w:p w14:paraId="2E51E28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166BA817" w14:textId="77777777" w:rsidR="00C77CA6" w:rsidRPr="00BD295E" w:rsidRDefault="00C77CA6" w:rsidP="0027083B">
            <w:pPr>
              <w:jc w:val="both"/>
              <w:rPr>
                <w:rFonts w:ascii="Arial" w:hAnsi="Arial" w:cs="Arial"/>
                <w:sz w:val="18"/>
                <w:szCs w:val="18"/>
                <w:lang w:val="en-US"/>
              </w:rPr>
            </w:pPr>
          </w:p>
        </w:tc>
      </w:tr>
      <w:tr w:rsidR="008A5057" w:rsidRPr="00BD295E" w14:paraId="0DC60E41" w14:textId="77777777" w:rsidTr="005C4056">
        <w:trPr>
          <w:trHeight w:val="1120"/>
        </w:trPr>
        <w:tc>
          <w:tcPr>
            <w:tcW w:w="959" w:type="dxa"/>
            <w:vMerge/>
          </w:tcPr>
          <w:p w14:paraId="432E1504" w14:textId="77777777" w:rsidR="00C77CA6" w:rsidRPr="00BD295E" w:rsidRDefault="00C77CA6" w:rsidP="0027083B">
            <w:pPr>
              <w:jc w:val="both"/>
              <w:rPr>
                <w:rFonts w:ascii="Arial" w:hAnsi="Arial" w:cs="Arial"/>
                <w:sz w:val="18"/>
                <w:szCs w:val="18"/>
                <w:lang w:val="en-US"/>
              </w:rPr>
            </w:pPr>
          </w:p>
        </w:tc>
        <w:tc>
          <w:tcPr>
            <w:tcW w:w="4252" w:type="dxa"/>
            <w:vMerge/>
          </w:tcPr>
          <w:p w14:paraId="59E9193C" w14:textId="77777777" w:rsidR="00C77CA6" w:rsidRPr="00BD295E" w:rsidRDefault="00C77CA6" w:rsidP="0027083B">
            <w:pPr>
              <w:jc w:val="both"/>
              <w:rPr>
                <w:rFonts w:ascii="Arial" w:hAnsi="Arial" w:cs="Arial"/>
                <w:sz w:val="18"/>
                <w:szCs w:val="18"/>
                <w:lang w:val="en-US"/>
              </w:rPr>
            </w:pPr>
          </w:p>
        </w:tc>
        <w:tc>
          <w:tcPr>
            <w:tcW w:w="3686" w:type="dxa"/>
          </w:tcPr>
          <w:p w14:paraId="5E7A0A62" w14:textId="5F7F185A"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2. If the company’s dividend policy uses the company’s financial statements to determine the amount of dividends, the relevant provisions of the dividend policy take into account the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indicators of the financial statements.</w:t>
            </w:r>
          </w:p>
        </w:tc>
        <w:tc>
          <w:tcPr>
            <w:tcW w:w="1984" w:type="dxa"/>
            <w:vMerge/>
          </w:tcPr>
          <w:p w14:paraId="0AED278C" w14:textId="77777777" w:rsidR="00C77CA6" w:rsidRPr="00BD295E" w:rsidRDefault="00C77CA6" w:rsidP="0027083B">
            <w:pPr>
              <w:jc w:val="both"/>
              <w:rPr>
                <w:rFonts w:ascii="Arial" w:hAnsi="Arial" w:cs="Arial"/>
                <w:sz w:val="18"/>
                <w:szCs w:val="18"/>
                <w:lang w:val="en-US"/>
              </w:rPr>
            </w:pPr>
          </w:p>
        </w:tc>
        <w:tc>
          <w:tcPr>
            <w:tcW w:w="4188" w:type="dxa"/>
          </w:tcPr>
          <w:p w14:paraId="4712E67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3B1F9348" w14:textId="16683361"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The provisions of the dividend policy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approved by its Board of Directors do not take into account the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items of financial statements to determine the amount of dividends.</w:t>
            </w:r>
          </w:p>
          <w:p w14:paraId="4562124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The amount of dividends is determined taking into account the requirements of Order No. 1094-r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May 29, 2017.</w:t>
            </w:r>
          </w:p>
          <w:p w14:paraId="5E637DC3" w14:textId="1551884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In accordance with the procedure for calculating dividends for the reporting year, the amount of dividends to be paid cannot be lower than the greater of the two values (DIV1 and DIV2) calculated relative to net profit under the RAS accounting (financial) statements (DIV1) and under the </w:t>
            </w:r>
            <w:r w:rsidR="00BF7D8E" w:rsidRPr="00BD295E">
              <w:rPr>
                <w:rFonts w:ascii="Arial" w:hAnsi="Arial" w:cs="Arial"/>
                <w:sz w:val="18"/>
                <w:szCs w:val="18"/>
                <w:lang w:val="en-US"/>
              </w:rPr>
              <w:t>consolidated</w:t>
            </w:r>
            <w:r w:rsidRPr="00BD295E">
              <w:rPr>
                <w:rFonts w:ascii="Arial" w:hAnsi="Arial" w:cs="Arial"/>
                <w:sz w:val="18"/>
                <w:szCs w:val="18"/>
                <w:lang w:val="en-US"/>
              </w:rPr>
              <w:t xml:space="preserve"> IFRS financial statements (DIV2), subject to the appropriate net profit adjustments provided for in Directive No. 1094-r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May 29, 2017.</w:t>
            </w:r>
          </w:p>
          <w:p w14:paraId="29DC917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The amount of dividends for 2017 as approved by 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in 2018 is calculated based on net profit under RAS accounting (financial) statements as this amount was the greater of the two.</w:t>
            </w:r>
          </w:p>
        </w:tc>
      </w:tr>
      <w:tr w:rsidR="008A5057" w:rsidRPr="00BD295E" w14:paraId="01AAC247" w14:textId="77777777" w:rsidTr="005C4056">
        <w:tc>
          <w:tcPr>
            <w:tcW w:w="959" w:type="dxa"/>
          </w:tcPr>
          <w:p w14:paraId="021D7CA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1.2.2</w:t>
            </w:r>
          </w:p>
        </w:tc>
        <w:tc>
          <w:tcPr>
            <w:tcW w:w="4252" w:type="dxa"/>
          </w:tcPr>
          <w:p w14:paraId="4044C10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pay dividends if its decision to pay dividends, while formally not violating legal restrictions, is economically unviable and may lead to false perception of the Company’s operations.</w:t>
            </w:r>
          </w:p>
        </w:tc>
        <w:tc>
          <w:tcPr>
            <w:tcW w:w="3686" w:type="dxa"/>
          </w:tcPr>
          <w:p w14:paraId="28AD1A2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dividend policy contains clear indications of financial/economic circumstances under which the company should not pay out dividends.</w:t>
            </w:r>
          </w:p>
          <w:p w14:paraId="13D061DF" w14:textId="77777777" w:rsidR="00C77CA6" w:rsidRPr="00BD295E" w:rsidRDefault="00C77CA6" w:rsidP="0027083B">
            <w:pPr>
              <w:jc w:val="both"/>
              <w:rPr>
                <w:rFonts w:ascii="Arial" w:hAnsi="Arial" w:cs="Arial"/>
                <w:sz w:val="18"/>
                <w:szCs w:val="18"/>
                <w:lang w:val="en-US"/>
              </w:rPr>
            </w:pPr>
          </w:p>
        </w:tc>
        <w:tc>
          <w:tcPr>
            <w:tcW w:w="1984" w:type="dxa"/>
          </w:tcPr>
          <w:p w14:paraId="3C47617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197391BD" w14:textId="77777777" w:rsidR="00C77CA6" w:rsidRPr="00BD295E" w:rsidRDefault="00C77CA6" w:rsidP="0027083B">
            <w:pPr>
              <w:jc w:val="both"/>
              <w:rPr>
                <w:rFonts w:ascii="Arial" w:hAnsi="Arial" w:cs="Arial"/>
                <w:sz w:val="18"/>
                <w:szCs w:val="18"/>
                <w:lang w:val="en-US"/>
              </w:rPr>
            </w:pPr>
          </w:p>
        </w:tc>
      </w:tr>
      <w:tr w:rsidR="008A5057" w:rsidRPr="00BD295E" w14:paraId="11A584E1" w14:textId="77777777" w:rsidTr="005C4056">
        <w:tc>
          <w:tcPr>
            <w:tcW w:w="959" w:type="dxa"/>
          </w:tcPr>
          <w:p w14:paraId="0EEBBD4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1.2.3</w:t>
            </w:r>
          </w:p>
        </w:tc>
        <w:tc>
          <w:tcPr>
            <w:tcW w:w="4252" w:type="dxa"/>
          </w:tcPr>
          <w:p w14:paraId="04C8984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allow for dividend rights of its existing shareholders to be impaired.</w:t>
            </w:r>
          </w:p>
          <w:p w14:paraId="1E86733F" w14:textId="77777777" w:rsidR="00C77CA6" w:rsidRPr="00BD295E" w:rsidRDefault="00C77CA6" w:rsidP="0027083B">
            <w:pPr>
              <w:jc w:val="both"/>
              <w:rPr>
                <w:rFonts w:ascii="Arial" w:hAnsi="Arial" w:cs="Arial"/>
                <w:sz w:val="18"/>
                <w:szCs w:val="18"/>
                <w:lang w:val="en-US"/>
              </w:rPr>
            </w:pPr>
          </w:p>
        </w:tc>
        <w:tc>
          <w:tcPr>
            <w:tcW w:w="3686" w:type="dxa"/>
          </w:tcPr>
          <w:p w14:paraId="27000C1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company did not undertake any actions that would lead to the impairment of the dividend rights of its existing shareholders.</w:t>
            </w:r>
          </w:p>
          <w:p w14:paraId="47DD47F1" w14:textId="77777777" w:rsidR="00C77CA6" w:rsidRPr="00BD295E" w:rsidRDefault="00C77CA6" w:rsidP="0027083B">
            <w:pPr>
              <w:jc w:val="both"/>
              <w:rPr>
                <w:rFonts w:ascii="Arial" w:hAnsi="Arial" w:cs="Arial"/>
                <w:sz w:val="18"/>
                <w:szCs w:val="18"/>
                <w:lang w:val="en-US"/>
              </w:rPr>
            </w:pPr>
          </w:p>
        </w:tc>
        <w:tc>
          <w:tcPr>
            <w:tcW w:w="1984" w:type="dxa"/>
          </w:tcPr>
          <w:p w14:paraId="0F1DC41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03F96508" w14:textId="77777777" w:rsidR="00C77CA6" w:rsidRPr="00BD295E" w:rsidRDefault="00C77CA6" w:rsidP="0027083B">
            <w:pPr>
              <w:jc w:val="both"/>
              <w:rPr>
                <w:rFonts w:ascii="Arial" w:hAnsi="Arial" w:cs="Arial"/>
                <w:sz w:val="18"/>
                <w:szCs w:val="18"/>
                <w:lang w:val="en-US"/>
              </w:rPr>
            </w:pPr>
          </w:p>
        </w:tc>
      </w:tr>
      <w:tr w:rsidR="008A5057" w:rsidRPr="00BD295E" w14:paraId="618205F8" w14:textId="77777777" w:rsidTr="005C4056">
        <w:tc>
          <w:tcPr>
            <w:tcW w:w="959" w:type="dxa"/>
          </w:tcPr>
          <w:p w14:paraId="15E75C3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1.2.4</w:t>
            </w:r>
          </w:p>
        </w:tc>
        <w:tc>
          <w:tcPr>
            <w:tcW w:w="4252" w:type="dxa"/>
          </w:tcPr>
          <w:p w14:paraId="67C997D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makes every effort to prevent its shareholders from using other means to profit (gain) from the company other than dividends and liquidation value.</w:t>
            </w:r>
          </w:p>
        </w:tc>
        <w:tc>
          <w:tcPr>
            <w:tcW w:w="3686" w:type="dxa"/>
          </w:tcPr>
          <w:p w14:paraId="3BD25E6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To prevent shareholders from using other means to profit (gain) from the company other than dividends and liquidation value, the company’s internal documents provide for controls to timely identify and approve transactions with dependent companies (associates) of the company’s substantial shareholders (persons entitled to use votes attached to voting shares) where the law does not formally recognize such transactions as interested-party transactions.</w:t>
            </w:r>
          </w:p>
          <w:p w14:paraId="107D8791" w14:textId="77777777" w:rsidR="00C77CA6" w:rsidRPr="00BD295E" w:rsidRDefault="00C77CA6" w:rsidP="0027083B">
            <w:pPr>
              <w:jc w:val="both"/>
              <w:rPr>
                <w:rFonts w:ascii="Arial" w:hAnsi="Arial" w:cs="Arial"/>
                <w:sz w:val="18"/>
                <w:szCs w:val="18"/>
                <w:lang w:val="en-US"/>
              </w:rPr>
            </w:pPr>
          </w:p>
        </w:tc>
        <w:tc>
          <w:tcPr>
            <w:tcW w:w="1984" w:type="dxa"/>
          </w:tcPr>
          <w:p w14:paraId="3AC684D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6CE30AA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w:t>
            </w:r>
          </w:p>
          <w:p w14:paraId="5D1CFE7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comply with the recommendation of the Corporate Governance Code on preventing persons who control the Company from obtaining profit (gain) at the expense of the Company by means other than dividends and liquidation value.</w:t>
            </w:r>
          </w:p>
          <w:p w14:paraId="3C59F11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At the same time, the Company’s internal documents provide for mandatory notification of the Board of Directors by a member of the Board of Directors if there is a conflict of interest or an interest. In addition, the Company’s internal documents contain a recommendation for members of the Board of Directors to abstain from voting on matters that involve a conflict of interest.</w:t>
            </w:r>
          </w:p>
        </w:tc>
      </w:tr>
      <w:tr w:rsidR="008A5057" w:rsidRPr="00BD295E" w14:paraId="02495DFB" w14:textId="77777777" w:rsidTr="005C4056">
        <w:tc>
          <w:tcPr>
            <w:tcW w:w="959" w:type="dxa"/>
          </w:tcPr>
          <w:p w14:paraId="542BF16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w:t>
            </w:r>
            <w:r w:rsidR="00D0333D" w:rsidRPr="00BD295E">
              <w:rPr>
                <w:rFonts w:ascii="Arial" w:hAnsi="Arial" w:cs="Arial"/>
                <w:sz w:val="18"/>
                <w:szCs w:val="18"/>
                <w:lang w:val="en-US"/>
              </w:rPr>
              <w:t>.</w:t>
            </w:r>
            <w:r w:rsidRPr="00BD295E">
              <w:rPr>
                <w:rFonts w:ascii="Arial" w:hAnsi="Arial" w:cs="Arial"/>
                <w:sz w:val="18"/>
                <w:szCs w:val="18"/>
                <w:lang w:val="en-US"/>
              </w:rPr>
              <w:t>3</w:t>
            </w:r>
          </w:p>
        </w:tc>
        <w:tc>
          <w:tcPr>
            <w:tcW w:w="14110" w:type="dxa"/>
            <w:gridSpan w:val="4"/>
          </w:tcPr>
          <w:p w14:paraId="34D8F55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corporate governance system and practice ensure an equal playground for all shareholders owning shares of the same class (type), including minority and non-resident shareholders, as well as their equal treatment by the company.</w:t>
            </w:r>
          </w:p>
        </w:tc>
      </w:tr>
      <w:tr w:rsidR="008A5057" w:rsidRPr="00BD295E" w14:paraId="7079ECD6" w14:textId="77777777" w:rsidTr="005C4056">
        <w:tc>
          <w:tcPr>
            <w:tcW w:w="959" w:type="dxa"/>
          </w:tcPr>
          <w:p w14:paraId="53A7295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1.3.1</w:t>
            </w:r>
          </w:p>
        </w:tc>
        <w:tc>
          <w:tcPr>
            <w:tcW w:w="4252" w:type="dxa"/>
          </w:tcPr>
          <w:p w14:paraId="4EE8FF0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created conditions for fair treatment of each shareholder by the company’s governing and control bodies, including conditions that rule out abuse by major shareholders against minority shareholders.</w:t>
            </w:r>
          </w:p>
          <w:p w14:paraId="5B8D01B7" w14:textId="77777777" w:rsidR="00C77CA6" w:rsidRPr="00BD295E" w:rsidRDefault="00C77CA6" w:rsidP="0027083B">
            <w:pPr>
              <w:jc w:val="both"/>
              <w:rPr>
                <w:rFonts w:ascii="Arial" w:hAnsi="Arial" w:cs="Arial"/>
                <w:sz w:val="18"/>
                <w:szCs w:val="18"/>
                <w:lang w:val="en-US"/>
              </w:rPr>
            </w:pPr>
          </w:p>
        </w:tc>
        <w:tc>
          <w:tcPr>
            <w:tcW w:w="3686" w:type="dxa"/>
          </w:tcPr>
          <w:p w14:paraId="4B87B69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During the reporting period, procedures for management of potential conflicts of interest among substantial shareholders proved efficient, while the board of directors paid due attention to conflicts, if any, between shareholders.</w:t>
            </w:r>
          </w:p>
          <w:p w14:paraId="3074113A" w14:textId="77777777" w:rsidR="00C77CA6" w:rsidRPr="00BD295E" w:rsidRDefault="00C77CA6" w:rsidP="0027083B">
            <w:pPr>
              <w:jc w:val="both"/>
              <w:rPr>
                <w:rFonts w:ascii="Arial" w:hAnsi="Arial" w:cs="Arial"/>
                <w:sz w:val="18"/>
                <w:szCs w:val="18"/>
                <w:lang w:val="en-US"/>
              </w:rPr>
            </w:pPr>
          </w:p>
        </w:tc>
        <w:tc>
          <w:tcPr>
            <w:tcW w:w="1984" w:type="dxa"/>
          </w:tcPr>
          <w:p w14:paraId="6FC5A02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0B9E005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w:t>
            </w:r>
          </w:p>
          <w:p w14:paraId="477ED88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not approved an internal document governing the procedures for managing potential conflicts of interest with major shareholders. Nevertheless, the Company has an informal practice of resolving conflicts of interest through the Corporate Secretary’s office, involving the Board of Directors, where necessary.</w:t>
            </w:r>
          </w:p>
          <w:p w14:paraId="68466AB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The key goal and objective of the Board of Directors under the internal documents of the Company consist in ensuring the exercise and protection of rights and legitimate interests of the Company’s shareholders, as well as assisting in resolving corporate conflicts. </w:t>
            </w:r>
          </w:p>
        </w:tc>
      </w:tr>
      <w:tr w:rsidR="008A5057" w:rsidRPr="00BD295E" w14:paraId="3EAF41FE" w14:textId="77777777" w:rsidTr="005C4056">
        <w:tc>
          <w:tcPr>
            <w:tcW w:w="959" w:type="dxa"/>
          </w:tcPr>
          <w:p w14:paraId="107FCA9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1.3.2</w:t>
            </w:r>
          </w:p>
        </w:tc>
        <w:tc>
          <w:tcPr>
            <w:tcW w:w="4252" w:type="dxa"/>
          </w:tcPr>
          <w:p w14:paraId="118B348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Сompany does not take any actions that lead or may lead to artificial redistribution of corporate control.</w:t>
            </w:r>
          </w:p>
        </w:tc>
        <w:tc>
          <w:tcPr>
            <w:tcW w:w="3686" w:type="dxa"/>
          </w:tcPr>
          <w:p w14:paraId="246C0C8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No quasi-treasury shares were issued or used to vote in the reporting period.</w:t>
            </w:r>
          </w:p>
        </w:tc>
        <w:tc>
          <w:tcPr>
            <w:tcW w:w="1984" w:type="dxa"/>
          </w:tcPr>
          <w:p w14:paraId="602A0BF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481A9412" w14:textId="77777777" w:rsidR="00C77CA6" w:rsidRPr="00BD295E" w:rsidRDefault="00C77CA6" w:rsidP="0027083B">
            <w:pPr>
              <w:jc w:val="both"/>
              <w:rPr>
                <w:rFonts w:ascii="Arial" w:hAnsi="Arial" w:cs="Arial"/>
                <w:sz w:val="18"/>
                <w:szCs w:val="18"/>
                <w:lang w:val="en-US"/>
              </w:rPr>
            </w:pPr>
          </w:p>
        </w:tc>
      </w:tr>
      <w:tr w:rsidR="008A5057" w:rsidRPr="00BD295E" w14:paraId="591C6E90" w14:textId="77777777" w:rsidTr="005C4056">
        <w:tc>
          <w:tcPr>
            <w:tcW w:w="959" w:type="dxa"/>
          </w:tcPr>
          <w:p w14:paraId="648383B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w:t>
            </w:r>
            <w:r w:rsidR="00D0333D" w:rsidRPr="00BD295E">
              <w:rPr>
                <w:rFonts w:ascii="Arial" w:hAnsi="Arial" w:cs="Arial"/>
                <w:sz w:val="18"/>
                <w:szCs w:val="18"/>
                <w:lang w:val="en-US"/>
              </w:rPr>
              <w:t>.</w:t>
            </w:r>
            <w:r w:rsidRPr="00BD295E">
              <w:rPr>
                <w:rFonts w:ascii="Arial" w:hAnsi="Arial" w:cs="Arial"/>
                <w:sz w:val="18"/>
                <w:szCs w:val="18"/>
                <w:lang w:val="en-US"/>
              </w:rPr>
              <w:t>4</w:t>
            </w:r>
          </w:p>
        </w:tc>
        <w:tc>
          <w:tcPr>
            <w:tcW w:w="14110" w:type="dxa"/>
            <w:gridSpan w:val="4"/>
          </w:tcPr>
          <w:p w14:paraId="2461DB0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Shareholders are provided with reliable and effective means of recording their rights to shares and are able to freely dispose of their shares without any hindrance.</w:t>
            </w:r>
          </w:p>
        </w:tc>
      </w:tr>
      <w:tr w:rsidR="008A5057" w:rsidRPr="00BD295E" w14:paraId="25EC9472" w14:textId="77777777" w:rsidTr="005C4056">
        <w:tc>
          <w:tcPr>
            <w:tcW w:w="959" w:type="dxa"/>
          </w:tcPr>
          <w:p w14:paraId="32CA6E0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w:t>
            </w:r>
            <w:r w:rsidR="00D0333D" w:rsidRPr="00BD295E">
              <w:rPr>
                <w:rFonts w:ascii="Arial" w:hAnsi="Arial" w:cs="Arial"/>
                <w:sz w:val="18"/>
                <w:szCs w:val="18"/>
                <w:lang w:val="en-US"/>
              </w:rPr>
              <w:t>.</w:t>
            </w:r>
            <w:r w:rsidRPr="00BD295E">
              <w:rPr>
                <w:rFonts w:ascii="Arial" w:hAnsi="Arial" w:cs="Arial"/>
                <w:sz w:val="18"/>
                <w:szCs w:val="18"/>
                <w:lang w:val="en-US"/>
              </w:rPr>
              <w:t>4</w:t>
            </w:r>
          </w:p>
        </w:tc>
        <w:tc>
          <w:tcPr>
            <w:tcW w:w="4252" w:type="dxa"/>
          </w:tcPr>
          <w:p w14:paraId="1AEC6CC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Shareholders are provided with reliable and effective means of recording their rights to shares and are able to freely dispose of their shares without any hindrance.</w:t>
            </w:r>
          </w:p>
          <w:p w14:paraId="7B15940F" w14:textId="77777777" w:rsidR="00C77CA6" w:rsidRPr="00BD295E" w:rsidRDefault="00C77CA6" w:rsidP="0027083B">
            <w:pPr>
              <w:jc w:val="both"/>
              <w:rPr>
                <w:rFonts w:ascii="Arial" w:hAnsi="Arial" w:cs="Arial"/>
                <w:sz w:val="18"/>
                <w:szCs w:val="18"/>
                <w:lang w:val="en-US"/>
              </w:rPr>
            </w:pPr>
          </w:p>
        </w:tc>
        <w:tc>
          <w:tcPr>
            <w:tcW w:w="3686" w:type="dxa"/>
          </w:tcPr>
          <w:p w14:paraId="05DE032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registrar maintains the share register in an efficient and reliable way that meets the needs of the company and its shareholders.</w:t>
            </w:r>
          </w:p>
        </w:tc>
        <w:tc>
          <w:tcPr>
            <w:tcW w:w="1984" w:type="dxa"/>
          </w:tcPr>
          <w:p w14:paraId="312AD03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5283D0C2" w14:textId="77777777" w:rsidR="00C77CA6" w:rsidRPr="00BD295E" w:rsidRDefault="00C77CA6" w:rsidP="0027083B">
            <w:pPr>
              <w:jc w:val="both"/>
              <w:rPr>
                <w:rFonts w:ascii="Arial" w:hAnsi="Arial" w:cs="Arial"/>
                <w:sz w:val="18"/>
                <w:szCs w:val="18"/>
                <w:lang w:val="en-US"/>
              </w:rPr>
            </w:pPr>
          </w:p>
        </w:tc>
      </w:tr>
      <w:tr w:rsidR="008A5057" w:rsidRPr="00BD295E" w14:paraId="3DAAD27A" w14:textId="77777777" w:rsidTr="005C4056">
        <w:tc>
          <w:tcPr>
            <w:tcW w:w="959" w:type="dxa"/>
          </w:tcPr>
          <w:p w14:paraId="0007977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w:t>
            </w:r>
            <w:r w:rsidR="00D0333D" w:rsidRPr="00BD295E">
              <w:rPr>
                <w:rFonts w:ascii="Arial" w:hAnsi="Arial" w:cs="Arial"/>
                <w:sz w:val="18"/>
                <w:szCs w:val="18"/>
                <w:lang w:val="en-US"/>
              </w:rPr>
              <w:t>.</w:t>
            </w:r>
            <w:r w:rsidRPr="00BD295E">
              <w:rPr>
                <w:rFonts w:ascii="Arial" w:hAnsi="Arial" w:cs="Arial"/>
                <w:sz w:val="18"/>
                <w:szCs w:val="18"/>
                <w:lang w:val="en-US"/>
              </w:rPr>
              <w:t>1</w:t>
            </w:r>
          </w:p>
        </w:tc>
        <w:tc>
          <w:tcPr>
            <w:tcW w:w="14110" w:type="dxa"/>
            <w:gridSpan w:val="4"/>
          </w:tcPr>
          <w:p w14:paraId="3E4A264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provides strategic management of the company, determines key principles of, and approaches to, setting up a corporate risk management and internal control framework, monitors performance by the company’s executive bodies, and performs other key functions.</w:t>
            </w:r>
          </w:p>
        </w:tc>
      </w:tr>
      <w:tr w:rsidR="008A5057" w:rsidRPr="00BD295E" w14:paraId="2245763A" w14:textId="77777777" w:rsidTr="005C4056">
        <w:trPr>
          <w:trHeight w:val="407"/>
        </w:trPr>
        <w:tc>
          <w:tcPr>
            <w:tcW w:w="959" w:type="dxa"/>
            <w:vMerge w:val="restart"/>
          </w:tcPr>
          <w:p w14:paraId="5D59564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2.1.1</w:t>
            </w:r>
          </w:p>
        </w:tc>
        <w:tc>
          <w:tcPr>
            <w:tcW w:w="4252" w:type="dxa"/>
            <w:vMerge w:val="restart"/>
          </w:tcPr>
          <w:p w14:paraId="474FD85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is responsible for appointing and dismissing executive bodies, including for improper performance of their duties. The Board of Directors also ensures that the company’s executive bodies act in accordance with the company’s approved development strategy and core business lines.</w:t>
            </w:r>
          </w:p>
          <w:p w14:paraId="5D2AF5FD" w14:textId="77777777" w:rsidR="00C77CA6" w:rsidRPr="00BD295E" w:rsidRDefault="00C77CA6" w:rsidP="0027083B">
            <w:pPr>
              <w:jc w:val="both"/>
              <w:rPr>
                <w:rFonts w:ascii="Arial" w:hAnsi="Arial" w:cs="Arial"/>
                <w:sz w:val="18"/>
                <w:szCs w:val="18"/>
                <w:lang w:val="en-US"/>
              </w:rPr>
            </w:pPr>
          </w:p>
        </w:tc>
        <w:tc>
          <w:tcPr>
            <w:tcW w:w="3686" w:type="dxa"/>
          </w:tcPr>
          <w:p w14:paraId="542BE53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 of Directors has the authority outlined in the Articles of Association to appoint and remove members of executive bodies and to set out-the terms and conditions of their contracts.</w:t>
            </w:r>
          </w:p>
          <w:p w14:paraId="3304736D" w14:textId="77777777" w:rsidR="00C77CA6" w:rsidRPr="00BD295E" w:rsidRDefault="00C77CA6" w:rsidP="0027083B">
            <w:pPr>
              <w:jc w:val="both"/>
              <w:rPr>
                <w:rFonts w:ascii="Arial" w:hAnsi="Arial" w:cs="Arial"/>
                <w:sz w:val="18"/>
                <w:szCs w:val="18"/>
                <w:lang w:val="en-US"/>
              </w:rPr>
            </w:pPr>
          </w:p>
        </w:tc>
        <w:tc>
          <w:tcPr>
            <w:tcW w:w="1984" w:type="dxa"/>
            <w:vMerge w:val="restart"/>
          </w:tcPr>
          <w:p w14:paraId="4CCCE24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6B11BB25" w14:textId="77777777" w:rsidR="00C77CA6" w:rsidRPr="00BD295E" w:rsidRDefault="00C77CA6" w:rsidP="0027083B">
            <w:pPr>
              <w:jc w:val="both"/>
              <w:rPr>
                <w:rFonts w:ascii="Arial" w:hAnsi="Arial" w:cs="Arial"/>
                <w:sz w:val="18"/>
                <w:szCs w:val="18"/>
                <w:lang w:val="en-US"/>
              </w:rPr>
            </w:pPr>
          </w:p>
        </w:tc>
      </w:tr>
      <w:tr w:rsidR="008A5057" w:rsidRPr="00BD295E" w14:paraId="650C0F31" w14:textId="77777777" w:rsidTr="005C4056">
        <w:trPr>
          <w:trHeight w:val="557"/>
        </w:trPr>
        <w:tc>
          <w:tcPr>
            <w:tcW w:w="959" w:type="dxa"/>
            <w:vMerge/>
          </w:tcPr>
          <w:p w14:paraId="5DD5453E" w14:textId="77777777" w:rsidR="00C77CA6" w:rsidRPr="00BD295E" w:rsidRDefault="00C77CA6" w:rsidP="0027083B">
            <w:pPr>
              <w:jc w:val="both"/>
              <w:rPr>
                <w:rFonts w:ascii="Arial" w:hAnsi="Arial" w:cs="Arial"/>
                <w:sz w:val="18"/>
                <w:szCs w:val="18"/>
                <w:lang w:val="en-US"/>
              </w:rPr>
            </w:pPr>
          </w:p>
        </w:tc>
        <w:tc>
          <w:tcPr>
            <w:tcW w:w="4252" w:type="dxa"/>
            <w:vMerge/>
          </w:tcPr>
          <w:p w14:paraId="59CE41E0" w14:textId="77777777" w:rsidR="00C77CA6" w:rsidRPr="00BD295E" w:rsidRDefault="00C77CA6" w:rsidP="0027083B">
            <w:pPr>
              <w:jc w:val="both"/>
              <w:rPr>
                <w:rFonts w:ascii="Arial" w:hAnsi="Arial" w:cs="Arial"/>
                <w:sz w:val="18"/>
                <w:szCs w:val="18"/>
                <w:lang w:val="en-US"/>
              </w:rPr>
            </w:pPr>
          </w:p>
        </w:tc>
        <w:tc>
          <w:tcPr>
            <w:tcW w:w="3686" w:type="dxa"/>
          </w:tcPr>
          <w:p w14:paraId="58C20CD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Board of Directors reviewed the report(s) by the sole executive body or members of the collective executive body on the implementation of the company’s strategy.</w:t>
            </w:r>
          </w:p>
          <w:p w14:paraId="27742FA3" w14:textId="77777777" w:rsidR="00C77CA6" w:rsidRPr="00BD295E" w:rsidRDefault="00C77CA6" w:rsidP="0027083B">
            <w:pPr>
              <w:jc w:val="both"/>
              <w:rPr>
                <w:rFonts w:ascii="Arial" w:hAnsi="Arial" w:cs="Arial"/>
                <w:sz w:val="18"/>
                <w:szCs w:val="18"/>
                <w:lang w:val="en-US"/>
              </w:rPr>
            </w:pPr>
          </w:p>
        </w:tc>
        <w:tc>
          <w:tcPr>
            <w:tcW w:w="1984" w:type="dxa"/>
            <w:vMerge/>
          </w:tcPr>
          <w:p w14:paraId="2F544048" w14:textId="77777777" w:rsidR="00C77CA6" w:rsidRPr="00BD295E" w:rsidRDefault="00C77CA6" w:rsidP="0027083B">
            <w:pPr>
              <w:jc w:val="both"/>
              <w:rPr>
                <w:rFonts w:ascii="Arial" w:hAnsi="Arial" w:cs="Arial"/>
                <w:sz w:val="18"/>
                <w:szCs w:val="18"/>
                <w:lang w:val="en-US"/>
              </w:rPr>
            </w:pPr>
          </w:p>
        </w:tc>
        <w:tc>
          <w:tcPr>
            <w:tcW w:w="4188" w:type="dxa"/>
          </w:tcPr>
          <w:p w14:paraId="4E32C93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0D5F4D7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the reporting year, the Board of Directors did not separately review the report(s) of the sole executive body and members of the collective executive body on the implementation of the Company's strategy due to the absence of an approved strategy of the Company.</w:t>
            </w:r>
          </w:p>
          <w:p w14:paraId="1C2C282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Until the strategy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approved, the Company is guided by the Strategy for Development of the Electric Grid Sector of the Russian Federation approved by Order No. 511-r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April 3, 2013.</w:t>
            </w:r>
          </w:p>
        </w:tc>
      </w:tr>
      <w:tr w:rsidR="008A5057" w:rsidRPr="00BD295E" w14:paraId="37DA7660" w14:textId="77777777" w:rsidTr="005C4056">
        <w:tc>
          <w:tcPr>
            <w:tcW w:w="959" w:type="dxa"/>
          </w:tcPr>
          <w:p w14:paraId="1AAFB42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2.1.2</w:t>
            </w:r>
          </w:p>
        </w:tc>
        <w:tc>
          <w:tcPr>
            <w:tcW w:w="4252" w:type="dxa"/>
          </w:tcPr>
          <w:p w14:paraId="619EFE7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sets key long-term targets for the company, assesses and approves its key performance indicators and key business goals, as well as the strategy and business plans for the company’s core business lines.</w:t>
            </w:r>
          </w:p>
          <w:p w14:paraId="2B958502" w14:textId="77777777" w:rsidR="00C77CA6" w:rsidRPr="00BD295E" w:rsidRDefault="00C77CA6" w:rsidP="0027083B">
            <w:pPr>
              <w:jc w:val="both"/>
              <w:rPr>
                <w:rFonts w:ascii="Arial" w:hAnsi="Arial" w:cs="Arial"/>
                <w:sz w:val="18"/>
                <w:szCs w:val="18"/>
                <w:lang w:val="en-US"/>
              </w:rPr>
            </w:pPr>
          </w:p>
        </w:tc>
        <w:tc>
          <w:tcPr>
            <w:tcW w:w="3686" w:type="dxa"/>
          </w:tcPr>
          <w:p w14:paraId="221C6CC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At its meetings in the reporting period, the Board of Directors reviewed strategy implementation and updates, approval of the company’s financial and business plan (budget), and criteria and performance (including interim) of the company’s strategy and business plans.</w:t>
            </w:r>
          </w:p>
          <w:p w14:paraId="3785D9F9" w14:textId="77777777" w:rsidR="00C77CA6" w:rsidRPr="00BD295E" w:rsidRDefault="00C77CA6" w:rsidP="0027083B">
            <w:pPr>
              <w:jc w:val="both"/>
              <w:rPr>
                <w:rFonts w:ascii="Arial" w:hAnsi="Arial" w:cs="Arial"/>
                <w:sz w:val="18"/>
                <w:szCs w:val="18"/>
                <w:lang w:val="en-US"/>
              </w:rPr>
            </w:pPr>
          </w:p>
        </w:tc>
        <w:tc>
          <w:tcPr>
            <w:tcW w:w="1984" w:type="dxa"/>
          </w:tcPr>
          <w:p w14:paraId="2507EA7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3BBABC3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w:t>
            </w:r>
          </w:p>
          <w:p w14:paraId="05D41DF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2018, the Board of Directors reviewed matters related to the approval of the Company’s financial and business plan (budget), and criteria and performance indicators (including intermediate indicators) of the Company’s business plan.</w:t>
            </w:r>
          </w:p>
          <w:p w14:paraId="358D7FB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At the same time, the Board of Directors did not separately consider any matters related to the implementation and updating of the strategy or the review of the criteria and indicators (including intermediate indicators) for the Company’s strategy.</w:t>
            </w:r>
          </w:p>
          <w:p w14:paraId="10696F2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Until the strategy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is approved, the Company is guided by the Strategy for Development of the Electric Grid Sector of the Russian Federation approved by Order No. 511-r of the Russian Government </w:t>
            </w:r>
            <w:r w:rsidR="008B183C" w:rsidRPr="00BD295E">
              <w:rPr>
                <w:rFonts w:ascii="Arial" w:hAnsi="Arial" w:cs="Arial"/>
                <w:sz w:val="18"/>
                <w:szCs w:val="18"/>
                <w:lang w:val="en-US"/>
              </w:rPr>
              <w:t>of</w:t>
            </w:r>
            <w:r w:rsidRPr="00BD295E">
              <w:rPr>
                <w:rFonts w:ascii="Arial" w:hAnsi="Arial" w:cs="Arial"/>
                <w:sz w:val="18"/>
                <w:szCs w:val="18"/>
                <w:lang w:val="en-US"/>
              </w:rPr>
              <w:t xml:space="preserve"> April 3, 2013.</w:t>
            </w:r>
          </w:p>
        </w:tc>
      </w:tr>
      <w:tr w:rsidR="008A5057" w:rsidRPr="00BD295E" w14:paraId="6967088E" w14:textId="77777777" w:rsidTr="005C4056">
        <w:trPr>
          <w:trHeight w:val="914"/>
        </w:trPr>
        <w:tc>
          <w:tcPr>
            <w:tcW w:w="959" w:type="dxa"/>
            <w:vMerge w:val="restart"/>
          </w:tcPr>
          <w:p w14:paraId="52FC0BB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2.1.3</w:t>
            </w:r>
          </w:p>
        </w:tc>
        <w:tc>
          <w:tcPr>
            <w:tcW w:w="4252" w:type="dxa"/>
            <w:vMerge w:val="restart"/>
          </w:tcPr>
          <w:p w14:paraId="2A5ACA0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determines the company’s principles and approaches to risk management and internal controls.</w:t>
            </w:r>
          </w:p>
          <w:p w14:paraId="7804E76C" w14:textId="77777777" w:rsidR="00C77CA6" w:rsidRPr="00BD295E" w:rsidRDefault="00C77CA6" w:rsidP="0027083B">
            <w:pPr>
              <w:jc w:val="both"/>
              <w:rPr>
                <w:rFonts w:ascii="Arial" w:hAnsi="Arial" w:cs="Arial"/>
                <w:sz w:val="18"/>
                <w:szCs w:val="18"/>
                <w:lang w:val="en-US"/>
              </w:rPr>
            </w:pPr>
          </w:p>
        </w:tc>
        <w:tc>
          <w:tcPr>
            <w:tcW w:w="3686" w:type="dxa"/>
          </w:tcPr>
          <w:p w14:paraId="6F2F109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 of Directors determined the company’s principles and approaches to risk management and internal controls.</w:t>
            </w:r>
          </w:p>
          <w:p w14:paraId="7B9D7D4C" w14:textId="77777777" w:rsidR="00C77CA6" w:rsidRPr="00BD295E" w:rsidRDefault="00C77CA6" w:rsidP="0027083B">
            <w:pPr>
              <w:jc w:val="both"/>
              <w:rPr>
                <w:rFonts w:ascii="Arial" w:hAnsi="Arial" w:cs="Arial"/>
                <w:sz w:val="18"/>
                <w:szCs w:val="18"/>
                <w:lang w:val="en-US"/>
              </w:rPr>
            </w:pPr>
          </w:p>
        </w:tc>
        <w:tc>
          <w:tcPr>
            <w:tcW w:w="1984" w:type="dxa"/>
            <w:vMerge w:val="restart"/>
          </w:tcPr>
          <w:p w14:paraId="63DCCF3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2906152C" w14:textId="77777777" w:rsidR="00C77CA6" w:rsidRPr="00BD295E" w:rsidRDefault="00C77CA6" w:rsidP="0027083B">
            <w:pPr>
              <w:jc w:val="both"/>
              <w:rPr>
                <w:rFonts w:ascii="Arial" w:hAnsi="Arial" w:cs="Arial"/>
                <w:sz w:val="18"/>
                <w:szCs w:val="18"/>
                <w:lang w:val="en-US"/>
              </w:rPr>
            </w:pPr>
          </w:p>
        </w:tc>
      </w:tr>
      <w:tr w:rsidR="008A5057" w:rsidRPr="00BD295E" w14:paraId="43B379B1" w14:textId="77777777" w:rsidTr="005C4056">
        <w:trPr>
          <w:trHeight w:val="914"/>
        </w:trPr>
        <w:tc>
          <w:tcPr>
            <w:tcW w:w="959" w:type="dxa"/>
            <w:vMerge/>
          </w:tcPr>
          <w:p w14:paraId="30C02C0B" w14:textId="77777777" w:rsidR="00C77CA6" w:rsidRPr="00BD295E" w:rsidRDefault="00C77CA6" w:rsidP="0027083B">
            <w:pPr>
              <w:jc w:val="both"/>
              <w:rPr>
                <w:rFonts w:ascii="Arial" w:hAnsi="Arial" w:cs="Arial"/>
                <w:sz w:val="18"/>
                <w:szCs w:val="18"/>
                <w:lang w:val="en-US"/>
              </w:rPr>
            </w:pPr>
          </w:p>
        </w:tc>
        <w:tc>
          <w:tcPr>
            <w:tcW w:w="4252" w:type="dxa"/>
            <w:vMerge/>
          </w:tcPr>
          <w:p w14:paraId="57667085" w14:textId="77777777" w:rsidR="00C77CA6" w:rsidRPr="00BD295E" w:rsidRDefault="00C77CA6" w:rsidP="0027083B">
            <w:pPr>
              <w:jc w:val="both"/>
              <w:rPr>
                <w:rFonts w:ascii="Arial" w:hAnsi="Arial" w:cs="Arial"/>
                <w:sz w:val="18"/>
                <w:szCs w:val="18"/>
                <w:lang w:val="en-US"/>
              </w:rPr>
            </w:pPr>
          </w:p>
        </w:tc>
        <w:tc>
          <w:tcPr>
            <w:tcW w:w="3686" w:type="dxa"/>
          </w:tcPr>
          <w:p w14:paraId="0FF785F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Board of Directors assessed the company’s risk management and internal controls in the reporting period.</w:t>
            </w:r>
          </w:p>
        </w:tc>
        <w:tc>
          <w:tcPr>
            <w:tcW w:w="1984" w:type="dxa"/>
            <w:vMerge/>
          </w:tcPr>
          <w:p w14:paraId="25DA5069" w14:textId="77777777" w:rsidR="00C77CA6" w:rsidRPr="00BD295E" w:rsidRDefault="00C77CA6" w:rsidP="0027083B">
            <w:pPr>
              <w:jc w:val="both"/>
              <w:rPr>
                <w:rFonts w:ascii="Arial" w:hAnsi="Arial" w:cs="Arial"/>
                <w:sz w:val="18"/>
                <w:szCs w:val="18"/>
                <w:lang w:val="en-US"/>
              </w:rPr>
            </w:pPr>
          </w:p>
        </w:tc>
        <w:tc>
          <w:tcPr>
            <w:tcW w:w="4188" w:type="dxa"/>
            <w:vMerge/>
          </w:tcPr>
          <w:p w14:paraId="434B882A" w14:textId="77777777" w:rsidR="00C77CA6" w:rsidRPr="00BD295E" w:rsidRDefault="00C77CA6" w:rsidP="0027083B">
            <w:pPr>
              <w:jc w:val="both"/>
              <w:rPr>
                <w:rFonts w:ascii="Arial" w:hAnsi="Arial" w:cs="Arial"/>
                <w:sz w:val="18"/>
                <w:szCs w:val="18"/>
                <w:lang w:val="en-US"/>
              </w:rPr>
            </w:pPr>
          </w:p>
        </w:tc>
      </w:tr>
      <w:tr w:rsidR="008A5057" w:rsidRPr="00BD295E" w14:paraId="6CDC643E" w14:textId="77777777" w:rsidTr="005C4056">
        <w:trPr>
          <w:trHeight w:val="1328"/>
        </w:trPr>
        <w:tc>
          <w:tcPr>
            <w:tcW w:w="959" w:type="dxa"/>
            <w:vMerge w:val="restart"/>
          </w:tcPr>
          <w:p w14:paraId="57504B4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2.1.4</w:t>
            </w:r>
          </w:p>
        </w:tc>
        <w:tc>
          <w:tcPr>
            <w:tcW w:w="4252" w:type="dxa"/>
            <w:vMerge w:val="restart"/>
          </w:tcPr>
          <w:p w14:paraId="3E63A8D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determines the company’s policy on remuneration and/or reimbursement of expenses (compensations) to members of the Board of Directors, executive bodies, and other key executives of the company.</w:t>
            </w:r>
          </w:p>
          <w:p w14:paraId="10506093" w14:textId="77777777" w:rsidR="00C77CA6" w:rsidRPr="00BD295E" w:rsidRDefault="00C77CA6" w:rsidP="0027083B">
            <w:pPr>
              <w:jc w:val="both"/>
              <w:rPr>
                <w:rFonts w:ascii="Arial" w:hAnsi="Arial" w:cs="Arial"/>
                <w:sz w:val="18"/>
                <w:szCs w:val="18"/>
                <w:lang w:val="en-US"/>
              </w:rPr>
            </w:pPr>
          </w:p>
        </w:tc>
        <w:tc>
          <w:tcPr>
            <w:tcW w:w="3686" w:type="dxa"/>
          </w:tcPr>
          <w:p w14:paraId="7695AA8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developed and put in place a remuneration and reimbursement (compensation) policy (policies) approved by the Board of Directors, for its directors, members of executive bodies, and other key executives.</w:t>
            </w:r>
          </w:p>
        </w:tc>
        <w:tc>
          <w:tcPr>
            <w:tcW w:w="1984" w:type="dxa"/>
            <w:vMerge w:val="restart"/>
          </w:tcPr>
          <w:p w14:paraId="66BC406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5EFEB7C2" w14:textId="77777777" w:rsidR="00C77CA6" w:rsidRPr="00BD295E" w:rsidRDefault="00C77CA6" w:rsidP="0027083B">
            <w:pPr>
              <w:jc w:val="both"/>
              <w:rPr>
                <w:rFonts w:ascii="Arial" w:hAnsi="Arial" w:cs="Arial"/>
                <w:sz w:val="18"/>
                <w:szCs w:val="18"/>
                <w:lang w:val="en-US"/>
              </w:rPr>
            </w:pPr>
          </w:p>
        </w:tc>
      </w:tr>
      <w:tr w:rsidR="008A5057" w:rsidRPr="00BD295E" w14:paraId="6AAE0031" w14:textId="77777777" w:rsidTr="005C4056">
        <w:trPr>
          <w:trHeight w:val="1010"/>
        </w:trPr>
        <w:tc>
          <w:tcPr>
            <w:tcW w:w="959" w:type="dxa"/>
            <w:vMerge/>
          </w:tcPr>
          <w:p w14:paraId="5DFE8566" w14:textId="77777777" w:rsidR="00C77CA6" w:rsidRPr="00BD295E" w:rsidRDefault="00C77CA6" w:rsidP="0027083B">
            <w:pPr>
              <w:jc w:val="both"/>
              <w:rPr>
                <w:rFonts w:ascii="Arial" w:hAnsi="Arial" w:cs="Arial"/>
                <w:sz w:val="18"/>
                <w:szCs w:val="18"/>
                <w:lang w:val="en-US"/>
              </w:rPr>
            </w:pPr>
          </w:p>
        </w:tc>
        <w:tc>
          <w:tcPr>
            <w:tcW w:w="4252" w:type="dxa"/>
            <w:vMerge/>
          </w:tcPr>
          <w:p w14:paraId="08508308" w14:textId="77777777" w:rsidR="00C77CA6" w:rsidRPr="00BD295E" w:rsidRDefault="00C77CA6" w:rsidP="0027083B">
            <w:pPr>
              <w:jc w:val="both"/>
              <w:rPr>
                <w:rFonts w:ascii="Arial" w:hAnsi="Arial" w:cs="Arial"/>
                <w:sz w:val="18"/>
                <w:szCs w:val="18"/>
                <w:lang w:val="en-US"/>
              </w:rPr>
            </w:pPr>
          </w:p>
        </w:tc>
        <w:tc>
          <w:tcPr>
            <w:tcW w:w="3686" w:type="dxa"/>
          </w:tcPr>
          <w:p w14:paraId="13BF8FB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At its meetings during the reporting period, the Board of Directors discussed matters related to such policy (policies).</w:t>
            </w:r>
          </w:p>
        </w:tc>
        <w:tc>
          <w:tcPr>
            <w:tcW w:w="1984" w:type="dxa"/>
            <w:vMerge/>
          </w:tcPr>
          <w:p w14:paraId="36FA2A97" w14:textId="77777777" w:rsidR="00C77CA6" w:rsidRPr="00BD295E" w:rsidRDefault="00C77CA6" w:rsidP="0027083B">
            <w:pPr>
              <w:jc w:val="both"/>
              <w:rPr>
                <w:rFonts w:ascii="Arial" w:hAnsi="Arial" w:cs="Arial"/>
                <w:sz w:val="18"/>
                <w:szCs w:val="18"/>
                <w:lang w:val="en-US"/>
              </w:rPr>
            </w:pPr>
          </w:p>
        </w:tc>
        <w:tc>
          <w:tcPr>
            <w:tcW w:w="4188" w:type="dxa"/>
            <w:vMerge/>
          </w:tcPr>
          <w:p w14:paraId="3640B008" w14:textId="77777777" w:rsidR="00C77CA6" w:rsidRPr="00BD295E" w:rsidRDefault="00C77CA6" w:rsidP="0027083B">
            <w:pPr>
              <w:jc w:val="both"/>
              <w:rPr>
                <w:rFonts w:ascii="Arial" w:hAnsi="Arial" w:cs="Arial"/>
                <w:sz w:val="18"/>
                <w:szCs w:val="18"/>
                <w:lang w:val="en-US"/>
              </w:rPr>
            </w:pPr>
          </w:p>
        </w:tc>
      </w:tr>
      <w:tr w:rsidR="008A5057" w:rsidRPr="00BD295E" w14:paraId="7717E3CE" w14:textId="77777777" w:rsidTr="005C4056">
        <w:trPr>
          <w:trHeight w:val="1021"/>
        </w:trPr>
        <w:tc>
          <w:tcPr>
            <w:tcW w:w="959" w:type="dxa"/>
            <w:vMerge w:val="restart"/>
          </w:tcPr>
          <w:p w14:paraId="304A371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2.1.5</w:t>
            </w:r>
          </w:p>
        </w:tc>
        <w:tc>
          <w:tcPr>
            <w:tcW w:w="4252" w:type="dxa"/>
            <w:vMerge w:val="restart"/>
          </w:tcPr>
          <w:p w14:paraId="2A3108D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plays a key role in preventing, identifying, and resolving internal conflicts between the company’s bodies, shareholders, and employees.</w:t>
            </w:r>
          </w:p>
          <w:p w14:paraId="362BCCA9" w14:textId="77777777" w:rsidR="00C77CA6" w:rsidRPr="00BD295E" w:rsidRDefault="00C77CA6" w:rsidP="0027083B">
            <w:pPr>
              <w:jc w:val="both"/>
              <w:rPr>
                <w:rFonts w:ascii="Arial" w:hAnsi="Arial" w:cs="Arial"/>
                <w:sz w:val="18"/>
                <w:szCs w:val="18"/>
                <w:lang w:val="en-US"/>
              </w:rPr>
            </w:pPr>
          </w:p>
        </w:tc>
        <w:tc>
          <w:tcPr>
            <w:tcW w:w="3686" w:type="dxa"/>
          </w:tcPr>
          <w:p w14:paraId="4957329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 of Directors plays a key role in preventing, identifying, and resolving internal conflicts.</w:t>
            </w:r>
          </w:p>
        </w:tc>
        <w:tc>
          <w:tcPr>
            <w:tcW w:w="1984" w:type="dxa"/>
            <w:vMerge w:val="restart"/>
          </w:tcPr>
          <w:p w14:paraId="313D3B8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p w14:paraId="15216E02" w14:textId="77777777" w:rsidR="00C77CA6" w:rsidRPr="00BD295E" w:rsidRDefault="00C77CA6" w:rsidP="0027083B">
            <w:pPr>
              <w:jc w:val="both"/>
              <w:rPr>
                <w:rFonts w:ascii="Arial" w:hAnsi="Arial" w:cs="Arial"/>
                <w:sz w:val="18"/>
                <w:szCs w:val="18"/>
                <w:lang w:val="en-US"/>
              </w:rPr>
            </w:pPr>
          </w:p>
          <w:p w14:paraId="3E85EC89" w14:textId="77777777" w:rsidR="00C77CA6" w:rsidRPr="00BD295E" w:rsidRDefault="00C77CA6" w:rsidP="0027083B">
            <w:pPr>
              <w:jc w:val="both"/>
              <w:rPr>
                <w:rFonts w:ascii="Arial" w:hAnsi="Arial" w:cs="Arial"/>
                <w:sz w:val="18"/>
                <w:szCs w:val="18"/>
                <w:lang w:val="en-US"/>
              </w:rPr>
            </w:pPr>
          </w:p>
        </w:tc>
        <w:tc>
          <w:tcPr>
            <w:tcW w:w="4188" w:type="dxa"/>
          </w:tcPr>
          <w:p w14:paraId="32D02B3F" w14:textId="77777777" w:rsidR="00C77CA6" w:rsidRPr="00BD295E" w:rsidRDefault="00C77CA6" w:rsidP="0027083B">
            <w:pPr>
              <w:jc w:val="both"/>
              <w:rPr>
                <w:rFonts w:ascii="Arial" w:hAnsi="Arial" w:cs="Arial"/>
                <w:sz w:val="18"/>
                <w:szCs w:val="18"/>
                <w:lang w:val="en-US"/>
              </w:rPr>
            </w:pPr>
          </w:p>
        </w:tc>
      </w:tr>
      <w:tr w:rsidR="008A5057" w:rsidRPr="00BD295E" w14:paraId="4C2F4620" w14:textId="77777777" w:rsidTr="005C4056">
        <w:trPr>
          <w:trHeight w:val="557"/>
        </w:trPr>
        <w:tc>
          <w:tcPr>
            <w:tcW w:w="959" w:type="dxa"/>
            <w:vMerge/>
          </w:tcPr>
          <w:p w14:paraId="6A8B4075" w14:textId="77777777" w:rsidR="00C77CA6" w:rsidRPr="00BD295E" w:rsidRDefault="00C77CA6" w:rsidP="0027083B">
            <w:pPr>
              <w:jc w:val="both"/>
              <w:rPr>
                <w:rFonts w:ascii="Arial" w:hAnsi="Arial" w:cs="Arial"/>
                <w:sz w:val="18"/>
                <w:szCs w:val="18"/>
                <w:lang w:val="en-US"/>
              </w:rPr>
            </w:pPr>
          </w:p>
        </w:tc>
        <w:tc>
          <w:tcPr>
            <w:tcW w:w="4252" w:type="dxa"/>
            <w:vMerge/>
          </w:tcPr>
          <w:p w14:paraId="7B34B49F" w14:textId="77777777" w:rsidR="00C77CA6" w:rsidRPr="00BD295E" w:rsidRDefault="00C77CA6" w:rsidP="0027083B">
            <w:pPr>
              <w:jc w:val="both"/>
              <w:rPr>
                <w:rFonts w:ascii="Arial" w:hAnsi="Arial" w:cs="Arial"/>
                <w:sz w:val="18"/>
                <w:szCs w:val="18"/>
                <w:lang w:val="en-US"/>
              </w:rPr>
            </w:pPr>
          </w:p>
        </w:tc>
        <w:tc>
          <w:tcPr>
            <w:tcW w:w="3686" w:type="dxa"/>
          </w:tcPr>
          <w:p w14:paraId="30023C1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 has set up mechanisms to identify transactions leading to a conflict of interest and to resolve such conflicts.</w:t>
            </w:r>
          </w:p>
          <w:p w14:paraId="60C7E970" w14:textId="77777777" w:rsidR="00C77CA6" w:rsidRPr="00BD295E" w:rsidRDefault="00C77CA6" w:rsidP="0027083B">
            <w:pPr>
              <w:jc w:val="both"/>
              <w:rPr>
                <w:rFonts w:ascii="Arial" w:hAnsi="Arial" w:cs="Arial"/>
                <w:sz w:val="18"/>
                <w:szCs w:val="18"/>
                <w:lang w:val="en-US"/>
              </w:rPr>
            </w:pPr>
          </w:p>
        </w:tc>
        <w:tc>
          <w:tcPr>
            <w:tcW w:w="1984" w:type="dxa"/>
            <w:vMerge/>
          </w:tcPr>
          <w:p w14:paraId="70535888" w14:textId="77777777" w:rsidR="00C77CA6" w:rsidRPr="00BD295E" w:rsidRDefault="00C77CA6" w:rsidP="0027083B">
            <w:pPr>
              <w:jc w:val="both"/>
              <w:rPr>
                <w:rFonts w:ascii="Arial" w:hAnsi="Arial" w:cs="Arial"/>
                <w:sz w:val="18"/>
                <w:szCs w:val="18"/>
                <w:lang w:val="en-US"/>
              </w:rPr>
            </w:pPr>
          </w:p>
        </w:tc>
        <w:tc>
          <w:tcPr>
            <w:tcW w:w="4188" w:type="dxa"/>
          </w:tcPr>
          <w:p w14:paraId="48785A5C" w14:textId="77777777" w:rsidR="00C77CA6" w:rsidRPr="00BD295E" w:rsidRDefault="00C77CA6" w:rsidP="0027083B">
            <w:pPr>
              <w:jc w:val="both"/>
              <w:rPr>
                <w:rFonts w:ascii="Arial" w:hAnsi="Arial" w:cs="Arial"/>
                <w:sz w:val="18"/>
                <w:szCs w:val="18"/>
                <w:lang w:val="en-US"/>
              </w:rPr>
            </w:pPr>
          </w:p>
        </w:tc>
      </w:tr>
      <w:tr w:rsidR="008A5057" w:rsidRPr="00BD295E" w14:paraId="767BE4C3" w14:textId="77777777" w:rsidTr="005C4056">
        <w:trPr>
          <w:trHeight w:val="714"/>
        </w:trPr>
        <w:tc>
          <w:tcPr>
            <w:tcW w:w="959" w:type="dxa"/>
            <w:vMerge w:val="restart"/>
          </w:tcPr>
          <w:p w14:paraId="4CA2172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2.1.6</w:t>
            </w:r>
          </w:p>
        </w:tc>
        <w:tc>
          <w:tcPr>
            <w:tcW w:w="4252" w:type="dxa"/>
            <w:vMerge w:val="restart"/>
          </w:tcPr>
          <w:p w14:paraId="015E679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plays a key role in ensuring the company’s transparency, timely and full disclosure of information by the company, and unhindered access by shareholders to the company’s documents.</w:t>
            </w:r>
          </w:p>
        </w:tc>
        <w:tc>
          <w:tcPr>
            <w:tcW w:w="3686" w:type="dxa"/>
          </w:tcPr>
          <w:p w14:paraId="1DB7F4F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 of Directors has approved the company’s regulations on the information policy.</w:t>
            </w:r>
          </w:p>
          <w:p w14:paraId="353CEEDD" w14:textId="77777777" w:rsidR="00C77CA6" w:rsidRPr="00BD295E" w:rsidRDefault="00C77CA6" w:rsidP="0027083B">
            <w:pPr>
              <w:jc w:val="both"/>
              <w:rPr>
                <w:rFonts w:ascii="Arial" w:hAnsi="Arial" w:cs="Arial"/>
                <w:sz w:val="18"/>
                <w:szCs w:val="18"/>
                <w:lang w:val="en-US"/>
              </w:rPr>
            </w:pPr>
          </w:p>
        </w:tc>
        <w:tc>
          <w:tcPr>
            <w:tcW w:w="1984" w:type="dxa"/>
            <w:vMerge w:val="restart"/>
          </w:tcPr>
          <w:p w14:paraId="7DA4586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24E168BD" w14:textId="77777777" w:rsidR="00C77CA6" w:rsidRPr="00BD295E" w:rsidRDefault="00C77CA6" w:rsidP="0027083B">
            <w:pPr>
              <w:jc w:val="both"/>
              <w:rPr>
                <w:rFonts w:ascii="Arial" w:hAnsi="Arial" w:cs="Arial"/>
                <w:sz w:val="18"/>
                <w:szCs w:val="18"/>
                <w:lang w:val="en-US"/>
              </w:rPr>
            </w:pPr>
          </w:p>
        </w:tc>
      </w:tr>
      <w:tr w:rsidR="008A5057" w:rsidRPr="00BD295E" w14:paraId="7FB2E20D" w14:textId="77777777" w:rsidTr="005C4056">
        <w:trPr>
          <w:trHeight w:val="713"/>
        </w:trPr>
        <w:tc>
          <w:tcPr>
            <w:tcW w:w="959" w:type="dxa"/>
            <w:vMerge/>
          </w:tcPr>
          <w:p w14:paraId="0A03FF55" w14:textId="77777777" w:rsidR="00C77CA6" w:rsidRPr="00BD295E" w:rsidRDefault="00C77CA6" w:rsidP="0027083B">
            <w:pPr>
              <w:jc w:val="both"/>
              <w:rPr>
                <w:rFonts w:ascii="Arial" w:hAnsi="Arial" w:cs="Arial"/>
                <w:sz w:val="18"/>
                <w:szCs w:val="18"/>
                <w:lang w:val="en-US"/>
              </w:rPr>
            </w:pPr>
          </w:p>
        </w:tc>
        <w:tc>
          <w:tcPr>
            <w:tcW w:w="4252" w:type="dxa"/>
            <w:vMerge/>
          </w:tcPr>
          <w:p w14:paraId="56672855" w14:textId="77777777" w:rsidR="00C77CA6" w:rsidRPr="00BD295E" w:rsidRDefault="00C77CA6" w:rsidP="0027083B">
            <w:pPr>
              <w:jc w:val="both"/>
              <w:rPr>
                <w:rFonts w:ascii="Arial" w:hAnsi="Arial" w:cs="Arial"/>
                <w:sz w:val="18"/>
                <w:szCs w:val="18"/>
                <w:lang w:val="en-US"/>
              </w:rPr>
            </w:pPr>
          </w:p>
        </w:tc>
        <w:tc>
          <w:tcPr>
            <w:tcW w:w="3686" w:type="dxa"/>
          </w:tcPr>
          <w:p w14:paraId="4E83378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 has identified persons responsible for implementing the information policy.</w:t>
            </w:r>
          </w:p>
          <w:p w14:paraId="1AF5BFB6" w14:textId="77777777" w:rsidR="00C77CA6" w:rsidRPr="00BD295E" w:rsidRDefault="00C77CA6" w:rsidP="0027083B">
            <w:pPr>
              <w:jc w:val="both"/>
              <w:rPr>
                <w:rFonts w:ascii="Arial" w:hAnsi="Arial" w:cs="Arial"/>
                <w:sz w:val="18"/>
                <w:szCs w:val="18"/>
                <w:lang w:val="en-US"/>
              </w:rPr>
            </w:pPr>
          </w:p>
        </w:tc>
        <w:tc>
          <w:tcPr>
            <w:tcW w:w="1984" w:type="dxa"/>
            <w:vMerge/>
          </w:tcPr>
          <w:p w14:paraId="60C86D27" w14:textId="77777777" w:rsidR="00C77CA6" w:rsidRPr="00BD295E" w:rsidRDefault="00C77CA6" w:rsidP="0027083B">
            <w:pPr>
              <w:jc w:val="both"/>
              <w:rPr>
                <w:rFonts w:ascii="Arial" w:hAnsi="Arial" w:cs="Arial"/>
                <w:sz w:val="18"/>
                <w:szCs w:val="18"/>
                <w:lang w:val="en-US"/>
              </w:rPr>
            </w:pPr>
          </w:p>
        </w:tc>
        <w:tc>
          <w:tcPr>
            <w:tcW w:w="4188" w:type="dxa"/>
            <w:vMerge/>
          </w:tcPr>
          <w:p w14:paraId="04104850" w14:textId="77777777" w:rsidR="00C77CA6" w:rsidRPr="00BD295E" w:rsidRDefault="00C77CA6" w:rsidP="0027083B">
            <w:pPr>
              <w:jc w:val="both"/>
              <w:rPr>
                <w:rFonts w:ascii="Arial" w:hAnsi="Arial" w:cs="Arial"/>
                <w:sz w:val="18"/>
                <w:szCs w:val="18"/>
                <w:lang w:val="en-US"/>
              </w:rPr>
            </w:pPr>
          </w:p>
        </w:tc>
      </w:tr>
      <w:tr w:rsidR="008A5057" w:rsidRPr="00BD295E" w14:paraId="0D099D80" w14:textId="77777777" w:rsidTr="005C4056">
        <w:tc>
          <w:tcPr>
            <w:tcW w:w="959" w:type="dxa"/>
          </w:tcPr>
          <w:p w14:paraId="0C97076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2.1.7</w:t>
            </w:r>
          </w:p>
        </w:tc>
        <w:tc>
          <w:tcPr>
            <w:tcW w:w="4252" w:type="dxa"/>
          </w:tcPr>
          <w:p w14:paraId="1902FB6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controls the company’s corporate governance practices and plays a key role in material corporate events of the company.</w:t>
            </w:r>
          </w:p>
        </w:tc>
        <w:tc>
          <w:tcPr>
            <w:tcW w:w="3686" w:type="dxa"/>
          </w:tcPr>
          <w:p w14:paraId="2273EFE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Board of Directors reviewed the company’s corporate governance practices.</w:t>
            </w:r>
          </w:p>
          <w:p w14:paraId="54C7DF1D" w14:textId="77777777" w:rsidR="00C77CA6" w:rsidRPr="00BD295E" w:rsidRDefault="00C77CA6" w:rsidP="0027083B">
            <w:pPr>
              <w:jc w:val="both"/>
              <w:rPr>
                <w:rFonts w:ascii="Arial" w:hAnsi="Arial" w:cs="Arial"/>
                <w:sz w:val="18"/>
                <w:szCs w:val="18"/>
                <w:lang w:val="en-US"/>
              </w:rPr>
            </w:pPr>
          </w:p>
        </w:tc>
        <w:tc>
          <w:tcPr>
            <w:tcW w:w="1984" w:type="dxa"/>
          </w:tcPr>
          <w:p w14:paraId="12C7461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01D878B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w:t>
            </w:r>
          </w:p>
          <w:p w14:paraId="689B92D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did not separately review the Company’s corporate governance practices in the reporting year.</w:t>
            </w:r>
          </w:p>
          <w:p w14:paraId="335E23B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2018, corporate governance practices were reviewed by the Company's shareholders and the Board of Directors as part of the Company’s annual report for 2017 and the Corporate Secretary’s report for 2017.</w:t>
            </w:r>
          </w:p>
          <w:p w14:paraId="3D8C345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Also, in 2018, the Company’s internal auditor evaluated the effectiveness of the Company’s corporate governance in 2017, including the evaluation of the performance of the Board of Directors and Committees. The results of the evaluation and an activity plan to improve corporate governance were reviewed by the Board of Directors on August 1, 2018 (Minutes No. 3 </w:t>
            </w:r>
            <w:r w:rsidR="008B183C" w:rsidRPr="00BD295E">
              <w:rPr>
                <w:rFonts w:ascii="Arial" w:hAnsi="Arial" w:cs="Arial"/>
                <w:sz w:val="18"/>
                <w:szCs w:val="18"/>
                <w:lang w:val="en-US"/>
              </w:rPr>
              <w:t>of</w:t>
            </w:r>
            <w:r w:rsidRPr="00BD295E">
              <w:rPr>
                <w:rFonts w:ascii="Arial" w:hAnsi="Arial" w:cs="Arial"/>
                <w:sz w:val="18"/>
                <w:szCs w:val="18"/>
                <w:lang w:val="en-US"/>
              </w:rPr>
              <w:t xml:space="preserve"> August 6, 2018). </w:t>
            </w:r>
          </w:p>
          <w:p w14:paraId="46C19F50" w14:textId="77777777" w:rsidR="00C77CA6" w:rsidRPr="00BD295E" w:rsidRDefault="00C77CA6" w:rsidP="0027083B">
            <w:pPr>
              <w:jc w:val="both"/>
              <w:rPr>
                <w:rFonts w:ascii="Arial" w:hAnsi="Arial" w:cs="Arial"/>
                <w:sz w:val="18"/>
                <w:szCs w:val="18"/>
                <w:lang w:val="en-US"/>
              </w:rPr>
            </w:pPr>
          </w:p>
        </w:tc>
      </w:tr>
      <w:tr w:rsidR="008A5057" w:rsidRPr="00BD295E" w14:paraId="389F4700" w14:textId="77777777" w:rsidTr="005C4056">
        <w:tc>
          <w:tcPr>
            <w:tcW w:w="959" w:type="dxa"/>
          </w:tcPr>
          <w:p w14:paraId="44EBFE6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2.2</w:t>
            </w:r>
          </w:p>
        </w:tc>
        <w:tc>
          <w:tcPr>
            <w:tcW w:w="14110" w:type="dxa"/>
            <w:gridSpan w:val="4"/>
          </w:tcPr>
          <w:p w14:paraId="2C8AC90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is accountable to the company’s shareholders.</w:t>
            </w:r>
          </w:p>
          <w:p w14:paraId="634DBED8" w14:textId="77777777" w:rsidR="00C77CA6" w:rsidRPr="00BD295E" w:rsidRDefault="00C77CA6" w:rsidP="0027083B">
            <w:pPr>
              <w:jc w:val="both"/>
              <w:rPr>
                <w:rFonts w:ascii="Arial" w:hAnsi="Arial" w:cs="Arial"/>
                <w:sz w:val="18"/>
                <w:szCs w:val="18"/>
                <w:lang w:val="en-US"/>
              </w:rPr>
            </w:pPr>
          </w:p>
        </w:tc>
      </w:tr>
      <w:tr w:rsidR="008A5057" w:rsidRPr="00BD295E" w14:paraId="74D5060A" w14:textId="77777777" w:rsidTr="005C4056">
        <w:trPr>
          <w:trHeight w:val="1221"/>
        </w:trPr>
        <w:tc>
          <w:tcPr>
            <w:tcW w:w="959" w:type="dxa"/>
            <w:vMerge w:val="restart"/>
          </w:tcPr>
          <w:p w14:paraId="51739F5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2.2.1</w:t>
            </w:r>
          </w:p>
        </w:tc>
        <w:tc>
          <w:tcPr>
            <w:tcW w:w="4252" w:type="dxa"/>
            <w:vMerge w:val="restart"/>
          </w:tcPr>
          <w:p w14:paraId="5BB5C73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Performance of the Board of Directors is disclosed and made available to shareholders.</w:t>
            </w:r>
          </w:p>
          <w:p w14:paraId="67A882A9" w14:textId="77777777" w:rsidR="00C77CA6" w:rsidRPr="00BD295E" w:rsidRDefault="00C77CA6" w:rsidP="0027083B">
            <w:pPr>
              <w:jc w:val="both"/>
              <w:rPr>
                <w:rFonts w:ascii="Arial" w:hAnsi="Arial" w:cs="Arial"/>
                <w:sz w:val="18"/>
                <w:szCs w:val="18"/>
                <w:lang w:val="en-US"/>
              </w:rPr>
            </w:pPr>
          </w:p>
        </w:tc>
        <w:tc>
          <w:tcPr>
            <w:tcW w:w="3686" w:type="dxa"/>
          </w:tcPr>
          <w:p w14:paraId="46A98CF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annual report for the reporting period includes information on individual attendance at meetings of the Board of Directors and its Committees.</w:t>
            </w:r>
          </w:p>
        </w:tc>
        <w:tc>
          <w:tcPr>
            <w:tcW w:w="1984" w:type="dxa"/>
            <w:vMerge w:val="restart"/>
          </w:tcPr>
          <w:p w14:paraId="7192F94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2E725FE1" w14:textId="77777777" w:rsidR="00C77CA6" w:rsidRPr="00BD295E" w:rsidRDefault="00C77CA6" w:rsidP="0027083B">
            <w:pPr>
              <w:jc w:val="both"/>
              <w:rPr>
                <w:rFonts w:ascii="Arial" w:hAnsi="Arial" w:cs="Arial"/>
                <w:sz w:val="18"/>
                <w:szCs w:val="18"/>
                <w:lang w:val="en-US"/>
              </w:rPr>
            </w:pPr>
          </w:p>
        </w:tc>
      </w:tr>
      <w:tr w:rsidR="008A5057" w:rsidRPr="00BD295E" w14:paraId="3B2CC83A" w14:textId="77777777" w:rsidTr="005C4056">
        <w:trPr>
          <w:trHeight w:val="995"/>
        </w:trPr>
        <w:tc>
          <w:tcPr>
            <w:tcW w:w="959" w:type="dxa"/>
            <w:vMerge/>
          </w:tcPr>
          <w:p w14:paraId="2B559C87" w14:textId="77777777" w:rsidR="00C77CA6" w:rsidRPr="00BD295E" w:rsidRDefault="00C77CA6" w:rsidP="0027083B">
            <w:pPr>
              <w:jc w:val="both"/>
              <w:rPr>
                <w:rFonts w:ascii="Arial" w:hAnsi="Arial" w:cs="Arial"/>
                <w:sz w:val="18"/>
                <w:szCs w:val="18"/>
                <w:lang w:val="en-US"/>
              </w:rPr>
            </w:pPr>
          </w:p>
        </w:tc>
        <w:tc>
          <w:tcPr>
            <w:tcW w:w="4252" w:type="dxa"/>
            <w:vMerge/>
          </w:tcPr>
          <w:p w14:paraId="0E62BA4B" w14:textId="77777777" w:rsidR="00C77CA6" w:rsidRPr="00BD295E" w:rsidRDefault="00C77CA6" w:rsidP="0027083B">
            <w:pPr>
              <w:jc w:val="both"/>
              <w:rPr>
                <w:rFonts w:ascii="Arial" w:hAnsi="Arial" w:cs="Arial"/>
                <w:sz w:val="18"/>
                <w:szCs w:val="18"/>
                <w:lang w:val="en-US"/>
              </w:rPr>
            </w:pPr>
          </w:p>
        </w:tc>
        <w:tc>
          <w:tcPr>
            <w:tcW w:w="3686" w:type="dxa"/>
          </w:tcPr>
          <w:p w14:paraId="7C917B2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annual report discloses key performance assessment results of the Board of Directors in the reporting period.</w:t>
            </w:r>
          </w:p>
          <w:p w14:paraId="742E71F0" w14:textId="77777777" w:rsidR="00C77CA6" w:rsidRPr="00BD295E" w:rsidRDefault="00C77CA6" w:rsidP="0027083B">
            <w:pPr>
              <w:jc w:val="both"/>
              <w:rPr>
                <w:rFonts w:ascii="Arial" w:hAnsi="Arial" w:cs="Arial"/>
                <w:sz w:val="18"/>
                <w:szCs w:val="18"/>
                <w:lang w:val="en-US"/>
              </w:rPr>
            </w:pPr>
          </w:p>
        </w:tc>
        <w:tc>
          <w:tcPr>
            <w:tcW w:w="1984" w:type="dxa"/>
            <w:vMerge/>
          </w:tcPr>
          <w:p w14:paraId="34D5FE3F" w14:textId="77777777" w:rsidR="00C77CA6" w:rsidRPr="00BD295E" w:rsidRDefault="00C77CA6" w:rsidP="0027083B">
            <w:pPr>
              <w:jc w:val="both"/>
              <w:rPr>
                <w:rFonts w:ascii="Arial" w:hAnsi="Arial" w:cs="Arial"/>
                <w:sz w:val="18"/>
                <w:szCs w:val="18"/>
                <w:lang w:val="en-US"/>
              </w:rPr>
            </w:pPr>
          </w:p>
        </w:tc>
        <w:tc>
          <w:tcPr>
            <w:tcW w:w="4188" w:type="dxa"/>
            <w:vMerge/>
          </w:tcPr>
          <w:p w14:paraId="10878CAF" w14:textId="77777777" w:rsidR="00C77CA6" w:rsidRPr="00BD295E" w:rsidRDefault="00C77CA6" w:rsidP="0027083B">
            <w:pPr>
              <w:jc w:val="both"/>
              <w:rPr>
                <w:rFonts w:ascii="Arial" w:hAnsi="Arial" w:cs="Arial"/>
                <w:sz w:val="18"/>
                <w:szCs w:val="18"/>
                <w:lang w:val="en-US"/>
              </w:rPr>
            </w:pPr>
          </w:p>
        </w:tc>
      </w:tr>
      <w:tr w:rsidR="008A5057" w:rsidRPr="00BD295E" w14:paraId="687B4051" w14:textId="77777777" w:rsidTr="005C4056">
        <w:tc>
          <w:tcPr>
            <w:tcW w:w="959" w:type="dxa"/>
          </w:tcPr>
          <w:p w14:paraId="400A2AD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2.2.2</w:t>
            </w:r>
          </w:p>
        </w:tc>
        <w:tc>
          <w:tcPr>
            <w:tcW w:w="4252" w:type="dxa"/>
          </w:tcPr>
          <w:p w14:paraId="6119744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Chairman of the Board of Directors is available to communicate with the company’s shareholders.</w:t>
            </w:r>
          </w:p>
          <w:p w14:paraId="288EDEA0" w14:textId="77777777" w:rsidR="00C77CA6" w:rsidRPr="00BD295E" w:rsidRDefault="00C77CA6" w:rsidP="0027083B">
            <w:pPr>
              <w:jc w:val="both"/>
              <w:rPr>
                <w:rFonts w:ascii="Arial" w:hAnsi="Arial" w:cs="Arial"/>
                <w:sz w:val="18"/>
                <w:szCs w:val="18"/>
                <w:lang w:val="en-US"/>
              </w:rPr>
            </w:pPr>
          </w:p>
        </w:tc>
        <w:tc>
          <w:tcPr>
            <w:tcW w:w="3686" w:type="dxa"/>
          </w:tcPr>
          <w:p w14:paraId="0BFF6C4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in place a transparent procedure enabling shareholders to forward questions and express their position on such questions to the Chairman of the Board of Directors.</w:t>
            </w:r>
          </w:p>
        </w:tc>
        <w:tc>
          <w:tcPr>
            <w:tcW w:w="1984" w:type="dxa"/>
          </w:tcPr>
          <w:p w14:paraId="60E8C21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5C69F8D1" w14:textId="77777777" w:rsidR="00C77CA6" w:rsidRPr="00BD295E" w:rsidRDefault="00C77CA6" w:rsidP="0027083B">
            <w:pPr>
              <w:jc w:val="both"/>
              <w:rPr>
                <w:rFonts w:ascii="Arial" w:hAnsi="Arial" w:cs="Arial"/>
                <w:sz w:val="18"/>
                <w:szCs w:val="18"/>
                <w:lang w:val="en-US"/>
              </w:rPr>
            </w:pPr>
          </w:p>
        </w:tc>
      </w:tr>
      <w:tr w:rsidR="008A5057" w:rsidRPr="00BD295E" w14:paraId="0ED3CAE5" w14:textId="77777777" w:rsidTr="005C4056">
        <w:tc>
          <w:tcPr>
            <w:tcW w:w="959" w:type="dxa"/>
          </w:tcPr>
          <w:p w14:paraId="5B5F4DD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2.3</w:t>
            </w:r>
          </w:p>
        </w:tc>
        <w:tc>
          <w:tcPr>
            <w:tcW w:w="14110" w:type="dxa"/>
            <w:gridSpan w:val="4"/>
          </w:tcPr>
          <w:p w14:paraId="72396EC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manages the company in an effective and professional manner and is capable of making fair and independent judgements and adopting resolutions in the best interests of the company and its shareholders.</w:t>
            </w:r>
          </w:p>
          <w:p w14:paraId="205C451A" w14:textId="77777777" w:rsidR="00C77CA6" w:rsidRPr="00BD295E" w:rsidRDefault="00C77CA6" w:rsidP="0027083B">
            <w:pPr>
              <w:jc w:val="both"/>
              <w:rPr>
                <w:rFonts w:ascii="Arial" w:hAnsi="Arial" w:cs="Arial"/>
                <w:sz w:val="18"/>
                <w:szCs w:val="18"/>
                <w:lang w:val="en-US"/>
              </w:rPr>
            </w:pPr>
          </w:p>
        </w:tc>
      </w:tr>
      <w:tr w:rsidR="008A5057" w:rsidRPr="00BD295E" w14:paraId="7F5F7E1D" w14:textId="77777777" w:rsidTr="005C4056">
        <w:trPr>
          <w:trHeight w:val="1266"/>
        </w:trPr>
        <w:tc>
          <w:tcPr>
            <w:tcW w:w="959" w:type="dxa"/>
            <w:vMerge w:val="restart"/>
          </w:tcPr>
          <w:p w14:paraId="6E1B5B8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2.3.1</w:t>
            </w:r>
          </w:p>
        </w:tc>
        <w:tc>
          <w:tcPr>
            <w:tcW w:w="4252" w:type="dxa"/>
            <w:vMerge w:val="restart"/>
          </w:tcPr>
          <w:p w14:paraId="2A92331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Only persons of impeccable business and personal reputation who have knowledge, expertise, and experience required to make decisions within the authority of the Board of Directors and essential to perform its functions in an efficient way are elected to the Board of Directors.</w:t>
            </w:r>
          </w:p>
          <w:p w14:paraId="45BDC680" w14:textId="77777777" w:rsidR="00C77CA6" w:rsidRPr="00BD295E" w:rsidRDefault="00C77CA6" w:rsidP="0027083B">
            <w:pPr>
              <w:jc w:val="both"/>
              <w:rPr>
                <w:rFonts w:ascii="Arial" w:hAnsi="Arial" w:cs="Arial"/>
                <w:sz w:val="18"/>
                <w:szCs w:val="18"/>
                <w:lang w:val="en-US"/>
              </w:rPr>
            </w:pPr>
          </w:p>
        </w:tc>
        <w:tc>
          <w:tcPr>
            <w:tcW w:w="3686" w:type="dxa"/>
          </w:tcPr>
          <w:p w14:paraId="1C75069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1. The company’s procedure for assessing the Board of Directors’ performance includes, </w:t>
            </w:r>
            <w:r w:rsidRPr="00BD295E">
              <w:rPr>
                <w:rFonts w:ascii="Arial" w:hAnsi="Arial" w:cs="Arial"/>
                <w:i/>
                <w:iCs/>
                <w:sz w:val="18"/>
                <w:szCs w:val="18"/>
                <w:lang w:val="en-US"/>
              </w:rPr>
              <w:t>inter alia</w:t>
            </w:r>
            <w:r w:rsidRPr="00BD295E">
              <w:rPr>
                <w:rFonts w:ascii="Arial" w:hAnsi="Arial" w:cs="Arial"/>
                <w:sz w:val="18"/>
                <w:szCs w:val="18"/>
                <w:lang w:val="en-US"/>
              </w:rPr>
              <w:t>, assessment of professional qualifications of directors.</w:t>
            </w:r>
          </w:p>
          <w:p w14:paraId="508AFD37" w14:textId="77777777" w:rsidR="00C77CA6" w:rsidRPr="00BD295E" w:rsidRDefault="00C77CA6" w:rsidP="0027083B">
            <w:pPr>
              <w:jc w:val="both"/>
              <w:rPr>
                <w:rFonts w:ascii="Arial" w:hAnsi="Arial" w:cs="Arial"/>
                <w:sz w:val="18"/>
                <w:szCs w:val="18"/>
                <w:lang w:val="en-US"/>
              </w:rPr>
            </w:pPr>
          </w:p>
        </w:tc>
        <w:tc>
          <w:tcPr>
            <w:tcW w:w="1984" w:type="dxa"/>
            <w:vMerge w:val="restart"/>
          </w:tcPr>
          <w:p w14:paraId="7F20F47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2E4EFF4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27A4FBE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The Company does not have a formal procedure for evaluating the professional qualifications of members of the Board of Directors; however, the Nomination and Remuneration Committee reviewed the results of the preliminary evaluation of candidates included in the list of candidates to the Company’s Board of Directors at the Annual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held in 2018 (Minutes No. 80 of May 15, 2018).</w:t>
            </w:r>
          </w:p>
        </w:tc>
      </w:tr>
      <w:tr w:rsidR="008A5057" w:rsidRPr="00BD295E" w14:paraId="0C4EC1AA" w14:textId="77777777" w:rsidTr="005C4056">
        <w:trPr>
          <w:trHeight w:val="558"/>
        </w:trPr>
        <w:tc>
          <w:tcPr>
            <w:tcW w:w="959" w:type="dxa"/>
            <w:vMerge/>
          </w:tcPr>
          <w:p w14:paraId="0D761227" w14:textId="77777777" w:rsidR="00C77CA6" w:rsidRPr="00BD295E" w:rsidRDefault="00C77CA6" w:rsidP="0027083B">
            <w:pPr>
              <w:jc w:val="both"/>
              <w:rPr>
                <w:rFonts w:ascii="Arial" w:hAnsi="Arial" w:cs="Arial"/>
                <w:sz w:val="18"/>
                <w:szCs w:val="18"/>
                <w:lang w:val="en-US"/>
              </w:rPr>
            </w:pPr>
          </w:p>
        </w:tc>
        <w:tc>
          <w:tcPr>
            <w:tcW w:w="4252" w:type="dxa"/>
            <w:vMerge/>
          </w:tcPr>
          <w:p w14:paraId="05A32023" w14:textId="77777777" w:rsidR="00C77CA6" w:rsidRPr="00BD295E" w:rsidRDefault="00C77CA6" w:rsidP="0027083B">
            <w:pPr>
              <w:jc w:val="both"/>
              <w:rPr>
                <w:rFonts w:ascii="Arial" w:hAnsi="Arial" w:cs="Arial"/>
                <w:sz w:val="18"/>
                <w:szCs w:val="18"/>
                <w:lang w:val="en-US"/>
              </w:rPr>
            </w:pPr>
          </w:p>
        </w:tc>
        <w:tc>
          <w:tcPr>
            <w:tcW w:w="3686" w:type="dxa"/>
          </w:tcPr>
          <w:p w14:paraId="5E149A8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In the reporting period, the Board of Directors (or its Nomination Committee) assessed the candidates to the Board of Directors for their experience, knowledge, business reputation, absence of conflict of interests, etc.</w:t>
            </w:r>
          </w:p>
          <w:p w14:paraId="5778451E" w14:textId="77777777" w:rsidR="00C77CA6" w:rsidRPr="00BD295E" w:rsidRDefault="00C77CA6" w:rsidP="0027083B">
            <w:pPr>
              <w:jc w:val="both"/>
              <w:rPr>
                <w:rFonts w:ascii="Arial" w:hAnsi="Arial" w:cs="Arial"/>
                <w:sz w:val="18"/>
                <w:szCs w:val="18"/>
                <w:lang w:val="en-US"/>
              </w:rPr>
            </w:pPr>
          </w:p>
        </w:tc>
        <w:tc>
          <w:tcPr>
            <w:tcW w:w="1984" w:type="dxa"/>
            <w:vMerge/>
          </w:tcPr>
          <w:p w14:paraId="3C006C36" w14:textId="77777777" w:rsidR="00C77CA6" w:rsidRPr="00BD295E" w:rsidRDefault="00C77CA6" w:rsidP="0027083B">
            <w:pPr>
              <w:jc w:val="both"/>
              <w:rPr>
                <w:rFonts w:ascii="Arial" w:hAnsi="Arial" w:cs="Arial"/>
                <w:sz w:val="18"/>
                <w:szCs w:val="18"/>
                <w:lang w:val="en-US"/>
              </w:rPr>
            </w:pPr>
          </w:p>
        </w:tc>
        <w:tc>
          <w:tcPr>
            <w:tcW w:w="4188" w:type="dxa"/>
          </w:tcPr>
          <w:p w14:paraId="77442510" w14:textId="77777777" w:rsidR="00C77CA6" w:rsidRPr="00BD295E" w:rsidRDefault="00C77CA6" w:rsidP="0027083B">
            <w:pPr>
              <w:jc w:val="both"/>
              <w:rPr>
                <w:rFonts w:ascii="Arial" w:hAnsi="Arial" w:cs="Arial"/>
                <w:sz w:val="18"/>
                <w:szCs w:val="18"/>
                <w:lang w:val="en-US"/>
              </w:rPr>
            </w:pPr>
          </w:p>
        </w:tc>
      </w:tr>
      <w:tr w:rsidR="008A5057" w:rsidRPr="00BD295E" w14:paraId="6AC3BAC6" w14:textId="77777777" w:rsidTr="005C4056">
        <w:tc>
          <w:tcPr>
            <w:tcW w:w="959" w:type="dxa"/>
          </w:tcPr>
          <w:p w14:paraId="44684B2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2.3.2</w:t>
            </w:r>
          </w:p>
        </w:tc>
        <w:tc>
          <w:tcPr>
            <w:tcW w:w="4252" w:type="dxa"/>
          </w:tcPr>
          <w:p w14:paraId="70172FE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Members of the Company’s Board of Directors are elected via a transparent procedure that enables shareholders to obtain information on candidates sufficient to judge on their personal and professional qualities.</w:t>
            </w:r>
          </w:p>
          <w:p w14:paraId="449618AC" w14:textId="77777777" w:rsidR="00C77CA6" w:rsidRPr="00BD295E" w:rsidRDefault="00C77CA6" w:rsidP="0027083B">
            <w:pPr>
              <w:jc w:val="both"/>
              <w:rPr>
                <w:rFonts w:ascii="Arial" w:hAnsi="Arial" w:cs="Arial"/>
                <w:sz w:val="18"/>
                <w:szCs w:val="18"/>
                <w:lang w:val="en-US"/>
              </w:rPr>
            </w:pPr>
          </w:p>
        </w:tc>
        <w:tc>
          <w:tcPr>
            <w:tcW w:w="3686" w:type="dxa"/>
          </w:tcPr>
          <w:p w14:paraId="4D3D514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1. In all cases when the agenda of a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held during the reporting period included elections to the Board of Directors, the company provided the shareholders with biographical details of all candidates to the Board of Directors, the results of their assessment conducted by the Board of Directors (or its Nomination Committee), as well as information on the candidate’s compliance with the independence criteria in accordance with Recommendations </w:t>
            </w:r>
            <w:hyperlink r:id="rId147" w:history="1">
              <w:r w:rsidRPr="00BD295E">
                <w:rPr>
                  <w:rFonts w:ascii="Arial" w:hAnsi="Arial" w:cs="Arial"/>
                  <w:sz w:val="18"/>
                  <w:szCs w:val="18"/>
                  <w:lang w:val="en-US"/>
                </w:rPr>
                <w:t>102</w:t>
              </w:r>
            </w:hyperlink>
            <w:r w:rsidRPr="00BD295E">
              <w:rPr>
                <w:rFonts w:ascii="Arial" w:hAnsi="Arial" w:cs="Arial"/>
                <w:sz w:val="18"/>
                <w:szCs w:val="18"/>
                <w:lang w:val="en-US"/>
              </w:rPr>
              <w:t>–</w:t>
            </w:r>
            <w:hyperlink r:id="rId148" w:history="1">
              <w:r w:rsidRPr="00BD295E">
                <w:rPr>
                  <w:rFonts w:ascii="Arial" w:hAnsi="Arial" w:cs="Arial"/>
                  <w:sz w:val="18"/>
                  <w:szCs w:val="18"/>
                  <w:lang w:val="en-US"/>
                </w:rPr>
                <w:t>107</w:t>
              </w:r>
            </w:hyperlink>
            <w:r w:rsidRPr="00BD295E">
              <w:rPr>
                <w:rFonts w:ascii="Arial" w:hAnsi="Arial" w:cs="Arial"/>
                <w:sz w:val="18"/>
                <w:szCs w:val="18"/>
                <w:lang w:val="en-US"/>
              </w:rPr>
              <w:t xml:space="preserve"> of the Code, as well as a written consent of candidates to be elected to the Board of Directors</w:t>
            </w:r>
          </w:p>
          <w:p w14:paraId="446405FB" w14:textId="77777777" w:rsidR="00C77CA6" w:rsidRPr="00BD295E" w:rsidRDefault="00C77CA6" w:rsidP="0027083B">
            <w:pPr>
              <w:jc w:val="both"/>
              <w:rPr>
                <w:rFonts w:ascii="Arial" w:hAnsi="Arial" w:cs="Arial"/>
                <w:sz w:val="18"/>
                <w:szCs w:val="18"/>
                <w:lang w:val="en-US"/>
              </w:rPr>
            </w:pPr>
          </w:p>
        </w:tc>
        <w:tc>
          <w:tcPr>
            <w:tcW w:w="1984" w:type="dxa"/>
          </w:tcPr>
          <w:p w14:paraId="4C464B5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3FC45A29" w14:textId="77777777" w:rsidR="00C77CA6" w:rsidRPr="00BD295E" w:rsidRDefault="00C77CA6" w:rsidP="0027083B">
            <w:pPr>
              <w:jc w:val="both"/>
              <w:rPr>
                <w:rFonts w:ascii="Arial" w:hAnsi="Arial" w:cs="Arial"/>
                <w:sz w:val="18"/>
                <w:szCs w:val="18"/>
                <w:lang w:val="en-US"/>
              </w:rPr>
            </w:pPr>
          </w:p>
        </w:tc>
      </w:tr>
      <w:tr w:rsidR="008A5057" w:rsidRPr="00BD295E" w14:paraId="6F44B37D" w14:textId="77777777" w:rsidTr="005C4056">
        <w:tc>
          <w:tcPr>
            <w:tcW w:w="959" w:type="dxa"/>
          </w:tcPr>
          <w:p w14:paraId="71E11CA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2.3.3</w:t>
            </w:r>
          </w:p>
        </w:tc>
        <w:tc>
          <w:tcPr>
            <w:tcW w:w="4252" w:type="dxa"/>
          </w:tcPr>
          <w:p w14:paraId="641489D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has a balanced membership, including in terms of directors’ qualifications, experience, expertise, and business skills, and enjoys its shareholders’ trust.</w:t>
            </w:r>
          </w:p>
          <w:p w14:paraId="02F88A86" w14:textId="77777777" w:rsidR="00C77CA6" w:rsidRPr="00BD295E" w:rsidRDefault="00C77CA6" w:rsidP="0027083B">
            <w:pPr>
              <w:jc w:val="both"/>
              <w:rPr>
                <w:rFonts w:ascii="Arial" w:hAnsi="Arial" w:cs="Arial"/>
                <w:sz w:val="18"/>
                <w:szCs w:val="18"/>
                <w:lang w:val="en-US"/>
              </w:rPr>
            </w:pPr>
          </w:p>
        </w:tc>
        <w:tc>
          <w:tcPr>
            <w:tcW w:w="3686" w:type="dxa"/>
          </w:tcPr>
          <w:p w14:paraId="13E6D78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As part of assessment of the Board of Directors’ performance run during the reporting period, the Board of Directors reviewed its requirements to professional qualifications, experience, and business skills.</w:t>
            </w:r>
          </w:p>
          <w:p w14:paraId="19E61269" w14:textId="77777777" w:rsidR="00C77CA6" w:rsidRPr="00BD295E" w:rsidRDefault="00C77CA6" w:rsidP="0027083B">
            <w:pPr>
              <w:jc w:val="both"/>
              <w:rPr>
                <w:rFonts w:ascii="Arial" w:hAnsi="Arial" w:cs="Arial"/>
                <w:sz w:val="18"/>
                <w:szCs w:val="18"/>
                <w:lang w:val="en-US"/>
              </w:rPr>
            </w:pPr>
          </w:p>
        </w:tc>
        <w:tc>
          <w:tcPr>
            <w:tcW w:w="1984" w:type="dxa"/>
          </w:tcPr>
          <w:p w14:paraId="2A5D068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4DCF843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w:t>
            </w:r>
          </w:p>
          <w:p w14:paraId="2D0F12E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During the reporting period, the Company did not evaluate the </w:t>
            </w:r>
            <w:r w:rsidR="00EC0D9D" w:rsidRPr="00BD295E">
              <w:rPr>
                <w:rFonts w:ascii="Arial" w:hAnsi="Arial" w:cs="Arial"/>
                <w:sz w:val="18"/>
                <w:szCs w:val="18"/>
                <w:lang w:val="en-US"/>
              </w:rPr>
              <w:t>performance of</w:t>
            </w:r>
            <w:r w:rsidRPr="00BD295E">
              <w:rPr>
                <w:rFonts w:ascii="Arial" w:hAnsi="Arial" w:cs="Arial"/>
                <w:sz w:val="18"/>
                <w:szCs w:val="18"/>
                <w:lang w:val="en-US"/>
              </w:rPr>
              <w:t xml:space="preserve"> the Board of Directors, including any analysis of the Company’s requirements for professional qualifications, experience, and business skills.</w:t>
            </w:r>
          </w:p>
          <w:p w14:paraId="3655369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In addition, the report on performance of the Board of Directors, including information on the key competencies of its members, meetings held, matters reviewed, and assignments issued, is included in the Company’s annual report approved by the Annual </w:t>
            </w:r>
            <w:r w:rsidR="0053339C" w:rsidRPr="00BD295E">
              <w:rPr>
                <w:rFonts w:ascii="Arial" w:hAnsi="Arial" w:cs="Arial"/>
                <w:sz w:val="18"/>
                <w:szCs w:val="18"/>
                <w:lang w:val="en-US"/>
              </w:rPr>
              <w:t>General Meeting</w:t>
            </w:r>
            <w:r w:rsidRPr="00BD295E">
              <w:rPr>
                <w:rFonts w:ascii="Arial" w:hAnsi="Arial" w:cs="Arial"/>
                <w:sz w:val="18"/>
                <w:szCs w:val="18"/>
                <w:lang w:val="en-US"/>
              </w:rPr>
              <w:t>.</w:t>
            </w:r>
          </w:p>
          <w:p w14:paraId="7E1BC5F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In 2018, the Company's internal auditor also evaluated the effectiveness of the Company’s corporate governance for 2017, including a performance evaluation of the Board of Directors. The results of the evaluation and an activity plan to improve corporate governance were reviewed by the Board of Directors on August 1, 2018 (Minutes No. 3 </w:t>
            </w:r>
            <w:r w:rsidR="008B183C" w:rsidRPr="00BD295E">
              <w:rPr>
                <w:rFonts w:ascii="Arial" w:hAnsi="Arial" w:cs="Arial"/>
                <w:sz w:val="18"/>
                <w:szCs w:val="18"/>
                <w:lang w:val="en-US"/>
              </w:rPr>
              <w:t>of</w:t>
            </w:r>
            <w:r w:rsidRPr="00BD295E">
              <w:rPr>
                <w:rFonts w:ascii="Arial" w:hAnsi="Arial" w:cs="Arial"/>
                <w:sz w:val="18"/>
                <w:szCs w:val="18"/>
                <w:lang w:val="en-US"/>
              </w:rPr>
              <w:t xml:space="preserve"> August 6, 2018). </w:t>
            </w:r>
          </w:p>
          <w:p w14:paraId="0A86C51E" w14:textId="77777777" w:rsidR="00C77CA6" w:rsidRPr="00BD295E" w:rsidRDefault="00C77CA6" w:rsidP="0027083B">
            <w:pPr>
              <w:jc w:val="both"/>
              <w:rPr>
                <w:rFonts w:ascii="Arial" w:hAnsi="Arial" w:cs="Arial"/>
                <w:sz w:val="18"/>
                <w:szCs w:val="18"/>
                <w:lang w:val="en-US"/>
              </w:rPr>
            </w:pPr>
          </w:p>
        </w:tc>
      </w:tr>
      <w:tr w:rsidR="008A5057" w:rsidRPr="00BD295E" w14:paraId="5BB071EA" w14:textId="77777777" w:rsidTr="005C4056">
        <w:tc>
          <w:tcPr>
            <w:tcW w:w="959" w:type="dxa"/>
          </w:tcPr>
          <w:p w14:paraId="39A6A6F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2.3.4</w:t>
            </w:r>
          </w:p>
        </w:tc>
        <w:tc>
          <w:tcPr>
            <w:tcW w:w="4252" w:type="dxa"/>
          </w:tcPr>
          <w:p w14:paraId="4960229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a sufficient number of directors to organize the Board of Directors’ activities in the most effective way, including ability to set up Committees of the Board of Directors and enable the company’s substantial minority shareholders to elect a nominee to the Board of Directors for whom they vote.</w:t>
            </w:r>
          </w:p>
          <w:p w14:paraId="081B613C" w14:textId="77777777" w:rsidR="00C77CA6" w:rsidRPr="00BD295E" w:rsidRDefault="00C77CA6" w:rsidP="0027083B">
            <w:pPr>
              <w:jc w:val="both"/>
              <w:rPr>
                <w:rFonts w:ascii="Arial" w:hAnsi="Arial" w:cs="Arial"/>
                <w:sz w:val="18"/>
                <w:szCs w:val="18"/>
                <w:lang w:val="en-US"/>
              </w:rPr>
            </w:pPr>
          </w:p>
        </w:tc>
        <w:tc>
          <w:tcPr>
            <w:tcW w:w="3686" w:type="dxa"/>
          </w:tcPr>
          <w:p w14:paraId="1D6DE9A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As part of assessment of the Board of Directors’ performance run in the reporting period, the Board of Directors reviewed whether the number of directors met the company’s needs and shareholders’ interests.</w:t>
            </w:r>
          </w:p>
          <w:p w14:paraId="1CA88D1F" w14:textId="77777777" w:rsidR="00C77CA6" w:rsidRPr="00BD295E" w:rsidRDefault="00C77CA6" w:rsidP="0027083B">
            <w:pPr>
              <w:jc w:val="both"/>
              <w:rPr>
                <w:rFonts w:ascii="Arial" w:hAnsi="Arial" w:cs="Arial"/>
                <w:sz w:val="18"/>
                <w:szCs w:val="18"/>
                <w:lang w:val="en-US"/>
              </w:rPr>
            </w:pPr>
          </w:p>
        </w:tc>
        <w:tc>
          <w:tcPr>
            <w:tcW w:w="1984" w:type="dxa"/>
          </w:tcPr>
          <w:p w14:paraId="093AAA9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None</w:t>
            </w:r>
          </w:p>
        </w:tc>
        <w:tc>
          <w:tcPr>
            <w:tcW w:w="4188" w:type="dxa"/>
          </w:tcPr>
          <w:p w14:paraId="2AB0266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comply with the principle:</w:t>
            </w:r>
          </w:p>
          <w:p w14:paraId="42BDD6F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did not evaluate the performance of the Board of Directors in the reporting period.</w:t>
            </w:r>
          </w:p>
          <w:p w14:paraId="07ECBF9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Also, in 2018, the Company’s internal auditor evaluated the effectiveness of the Company’s corporate governance for 2017, including an evaluation of the performance of the Board of Directors and Committees. The results of the evaluation and an activity plan to improve corporate governance were reviewed by the Board of Directors on August 1, 2018 (Minutes No. 3 </w:t>
            </w:r>
            <w:r w:rsidR="008B183C" w:rsidRPr="00BD295E">
              <w:rPr>
                <w:rFonts w:ascii="Arial" w:hAnsi="Arial" w:cs="Arial"/>
                <w:sz w:val="18"/>
                <w:szCs w:val="18"/>
                <w:lang w:val="en-US"/>
              </w:rPr>
              <w:t>of</w:t>
            </w:r>
            <w:r w:rsidRPr="00BD295E">
              <w:rPr>
                <w:rFonts w:ascii="Arial" w:hAnsi="Arial" w:cs="Arial"/>
                <w:sz w:val="18"/>
                <w:szCs w:val="18"/>
                <w:lang w:val="en-US"/>
              </w:rPr>
              <w:t xml:space="preserve"> August 6, 2018). </w:t>
            </w:r>
          </w:p>
          <w:p w14:paraId="207FA382" w14:textId="77777777" w:rsidR="00C77CA6" w:rsidRPr="00BD295E" w:rsidRDefault="00C77CA6" w:rsidP="0027083B">
            <w:pPr>
              <w:jc w:val="both"/>
              <w:rPr>
                <w:rFonts w:ascii="Arial" w:hAnsi="Arial" w:cs="Arial"/>
                <w:sz w:val="18"/>
                <w:szCs w:val="18"/>
                <w:lang w:val="en-US"/>
              </w:rPr>
            </w:pPr>
          </w:p>
        </w:tc>
      </w:tr>
      <w:tr w:rsidR="008A5057" w:rsidRPr="00BD295E" w14:paraId="1D2BE3CD" w14:textId="77777777" w:rsidTr="005C4056">
        <w:tc>
          <w:tcPr>
            <w:tcW w:w="959" w:type="dxa"/>
          </w:tcPr>
          <w:p w14:paraId="1B0F06F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2.4</w:t>
            </w:r>
          </w:p>
        </w:tc>
        <w:tc>
          <w:tcPr>
            <w:tcW w:w="14110" w:type="dxa"/>
            <w:gridSpan w:val="4"/>
          </w:tcPr>
          <w:p w14:paraId="2A8BB76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includes a sufficient number of independent directors.</w:t>
            </w:r>
          </w:p>
          <w:p w14:paraId="4D06E92B" w14:textId="77777777" w:rsidR="00C77CA6" w:rsidRPr="00BD295E" w:rsidRDefault="00C77CA6" w:rsidP="0027083B">
            <w:pPr>
              <w:jc w:val="both"/>
              <w:rPr>
                <w:rFonts w:ascii="Arial" w:hAnsi="Arial" w:cs="Arial"/>
                <w:sz w:val="18"/>
                <w:szCs w:val="18"/>
                <w:lang w:val="en-US"/>
              </w:rPr>
            </w:pPr>
          </w:p>
        </w:tc>
      </w:tr>
      <w:tr w:rsidR="008A5057" w:rsidRPr="00BD295E" w14:paraId="2742DAE1" w14:textId="77777777" w:rsidTr="005C4056">
        <w:tc>
          <w:tcPr>
            <w:tcW w:w="959" w:type="dxa"/>
          </w:tcPr>
          <w:p w14:paraId="37CEE66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2.4.1</w:t>
            </w:r>
          </w:p>
        </w:tc>
        <w:tc>
          <w:tcPr>
            <w:tcW w:w="4252" w:type="dxa"/>
          </w:tcPr>
          <w:p w14:paraId="1769900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An independent director is a person who is sufficiently professional, experienced, and independent to develop their own position, and capable of making unbiased judgements in good faith, free of influence by the company’s executive bodies, individual groups of shareholders or other stakeholders. It should be noted that a candidate (elected director) who is related to the company, its substantial shareholder, substantial counterparty, or competitor of the company, or is related to the government, may not be reviewed as independent under normal circumstances.</w:t>
            </w:r>
          </w:p>
          <w:p w14:paraId="47C62BA3" w14:textId="77777777" w:rsidR="00C77CA6" w:rsidRPr="00BD295E" w:rsidRDefault="00C77CA6" w:rsidP="0027083B">
            <w:pPr>
              <w:jc w:val="both"/>
              <w:rPr>
                <w:rFonts w:ascii="Arial" w:hAnsi="Arial" w:cs="Arial"/>
                <w:sz w:val="18"/>
                <w:szCs w:val="18"/>
                <w:lang w:val="en-US"/>
              </w:rPr>
            </w:pPr>
          </w:p>
        </w:tc>
        <w:tc>
          <w:tcPr>
            <w:tcW w:w="3686" w:type="dxa"/>
          </w:tcPr>
          <w:p w14:paraId="1884EBA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1. During the reporting period, all independent members of the Board of Directors met all independence criteria specified in recommendations </w:t>
            </w:r>
            <w:hyperlink r:id="rId149" w:history="1">
              <w:r w:rsidRPr="00BD295E">
                <w:rPr>
                  <w:rFonts w:ascii="Arial" w:hAnsi="Arial" w:cs="Arial"/>
                  <w:sz w:val="18"/>
                  <w:szCs w:val="18"/>
                  <w:lang w:val="en-US"/>
                </w:rPr>
                <w:t>102</w:t>
              </w:r>
            </w:hyperlink>
            <w:r w:rsidRPr="00BD295E">
              <w:rPr>
                <w:rFonts w:ascii="Arial" w:hAnsi="Arial" w:cs="Arial"/>
                <w:sz w:val="18"/>
                <w:szCs w:val="18"/>
                <w:lang w:val="en-US"/>
              </w:rPr>
              <w:t>–</w:t>
            </w:r>
            <w:hyperlink r:id="rId150" w:history="1">
              <w:r w:rsidRPr="00BD295E">
                <w:rPr>
                  <w:rFonts w:ascii="Arial" w:hAnsi="Arial" w:cs="Arial"/>
                  <w:sz w:val="18"/>
                  <w:szCs w:val="18"/>
                  <w:lang w:val="en-US"/>
                </w:rPr>
                <w:t>107</w:t>
              </w:r>
            </w:hyperlink>
            <w:r w:rsidRPr="00BD295E">
              <w:rPr>
                <w:rFonts w:ascii="Arial" w:hAnsi="Arial" w:cs="Arial"/>
                <w:sz w:val="18"/>
                <w:szCs w:val="18"/>
                <w:lang w:val="en-US"/>
              </w:rPr>
              <w:t xml:space="preserve"> of the Code, or were recognized as independent by resolution of the Board of Directors.</w:t>
            </w:r>
          </w:p>
          <w:p w14:paraId="3E520F0F" w14:textId="77777777" w:rsidR="00C77CA6" w:rsidRPr="00BD295E" w:rsidRDefault="00C77CA6" w:rsidP="0027083B">
            <w:pPr>
              <w:jc w:val="both"/>
              <w:rPr>
                <w:rFonts w:ascii="Arial" w:hAnsi="Arial" w:cs="Arial"/>
                <w:sz w:val="18"/>
                <w:szCs w:val="18"/>
                <w:lang w:val="en-US"/>
              </w:rPr>
            </w:pPr>
          </w:p>
        </w:tc>
        <w:tc>
          <w:tcPr>
            <w:tcW w:w="1984" w:type="dxa"/>
          </w:tcPr>
          <w:p w14:paraId="6D1889A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61662914" w14:textId="77777777" w:rsidR="00C77CA6" w:rsidRPr="00BD295E" w:rsidRDefault="00C77CA6" w:rsidP="0027083B">
            <w:pPr>
              <w:jc w:val="both"/>
              <w:rPr>
                <w:rFonts w:ascii="Arial" w:hAnsi="Arial" w:cs="Arial"/>
                <w:sz w:val="18"/>
                <w:szCs w:val="18"/>
                <w:lang w:val="en-US"/>
              </w:rPr>
            </w:pPr>
          </w:p>
        </w:tc>
      </w:tr>
      <w:tr w:rsidR="008A5057" w:rsidRPr="00BD295E" w14:paraId="5726CDC5" w14:textId="77777777" w:rsidTr="005C4056">
        <w:trPr>
          <w:trHeight w:val="974"/>
        </w:trPr>
        <w:tc>
          <w:tcPr>
            <w:tcW w:w="959" w:type="dxa"/>
            <w:vMerge w:val="restart"/>
          </w:tcPr>
          <w:p w14:paraId="4AD3B1D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2.4.2</w:t>
            </w:r>
          </w:p>
        </w:tc>
        <w:tc>
          <w:tcPr>
            <w:tcW w:w="4252" w:type="dxa"/>
            <w:vMerge w:val="restart"/>
          </w:tcPr>
          <w:p w14:paraId="3659951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assesses compliance of candidates to the Board of Directors and reviews compliance of independent directors with independence criteria on a regular basis. In making this assessment, content should take precedence over form.</w:t>
            </w:r>
          </w:p>
          <w:p w14:paraId="25B957FE" w14:textId="77777777" w:rsidR="00C77CA6" w:rsidRPr="00BD295E" w:rsidRDefault="00C77CA6" w:rsidP="0027083B">
            <w:pPr>
              <w:jc w:val="both"/>
              <w:rPr>
                <w:rFonts w:ascii="Arial" w:hAnsi="Arial" w:cs="Arial"/>
                <w:sz w:val="18"/>
                <w:szCs w:val="18"/>
                <w:lang w:val="en-US"/>
              </w:rPr>
            </w:pPr>
          </w:p>
        </w:tc>
        <w:tc>
          <w:tcPr>
            <w:tcW w:w="3686" w:type="dxa"/>
          </w:tcPr>
          <w:p w14:paraId="52716D6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Board of Directors (or its Nomination Committee) made a judgement on independence of each candidate to the Board of Directors and provided its opinion to shareholders.</w:t>
            </w:r>
          </w:p>
          <w:p w14:paraId="64802412" w14:textId="77777777" w:rsidR="00C77CA6" w:rsidRPr="00BD295E" w:rsidRDefault="00C77CA6" w:rsidP="0027083B">
            <w:pPr>
              <w:jc w:val="both"/>
              <w:rPr>
                <w:rFonts w:ascii="Arial" w:hAnsi="Arial" w:cs="Arial"/>
                <w:sz w:val="18"/>
                <w:szCs w:val="18"/>
                <w:lang w:val="en-US"/>
              </w:rPr>
            </w:pPr>
          </w:p>
        </w:tc>
        <w:tc>
          <w:tcPr>
            <w:tcW w:w="1984" w:type="dxa"/>
            <w:vMerge w:val="restart"/>
          </w:tcPr>
          <w:p w14:paraId="22F4C43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23177D18" w14:textId="77777777" w:rsidR="00C77CA6" w:rsidRPr="00BD295E" w:rsidRDefault="00C77CA6" w:rsidP="0027083B">
            <w:pPr>
              <w:jc w:val="both"/>
              <w:rPr>
                <w:rFonts w:ascii="Arial" w:hAnsi="Arial" w:cs="Arial"/>
                <w:sz w:val="18"/>
                <w:szCs w:val="18"/>
                <w:lang w:val="en-US"/>
              </w:rPr>
            </w:pPr>
          </w:p>
        </w:tc>
      </w:tr>
      <w:tr w:rsidR="008A5057" w:rsidRPr="00BD295E" w14:paraId="4F638CCA" w14:textId="77777777" w:rsidTr="005C4056">
        <w:trPr>
          <w:trHeight w:val="1765"/>
        </w:trPr>
        <w:tc>
          <w:tcPr>
            <w:tcW w:w="959" w:type="dxa"/>
            <w:vMerge/>
          </w:tcPr>
          <w:p w14:paraId="06B0E66C" w14:textId="77777777" w:rsidR="00C77CA6" w:rsidRPr="00BD295E" w:rsidRDefault="00C77CA6" w:rsidP="0027083B">
            <w:pPr>
              <w:jc w:val="both"/>
              <w:rPr>
                <w:rFonts w:ascii="Arial" w:hAnsi="Arial" w:cs="Arial"/>
                <w:sz w:val="18"/>
                <w:szCs w:val="18"/>
                <w:lang w:val="en-US"/>
              </w:rPr>
            </w:pPr>
          </w:p>
        </w:tc>
        <w:tc>
          <w:tcPr>
            <w:tcW w:w="4252" w:type="dxa"/>
            <w:vMerge/>
          </w:tcPr>
          <w:p w14:paraId="4B846745" w14:textId="77777777" w:rsidR="00C77CA6" w:rsidRPr="00BD295E" w:rsidRDefault="00C77CA6" w:rsidP="0027083B">
            <w:pPr>
              <w:jc w:val="both"/>
              <w:rPr>
                <w:rFonts w:ascii="Arial" w:hAnsi="Arial" w:cs="Arial"/>
                <w:sz w:val="18"/>
                <w:szCs w:val="18"/>
                <w:lang w:val="en-US"/>
              </w:rPr>
            </w:pPr>
          </w:p>
        </w:tc>
        <w:tc>
          <w:tcPr>
            <w:tcW w:w="3686" w:type="dxa"/>
          </w:tcPr>
          <w:p w14:paraId="317A981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During the reporting period, the Board of Directors (or the nomination committee of the Board of Directors) reviewed, at least once, the independence of the current members of the Board of Directors listed by the company in its annual report as independent directors.</w:t>
            </w:r>
          </w:p>
        </w:tc>
        <w:tc>
          <w:tcPr>
            <w:tcW w:w="1984" w:type="dxa"/>
            <w:vMerge/>
          </w:tcPr>
          <w:p w14:paraId="47294B8C" w14:textId="77777777" w:rsidR="00C77CA6" w:rsidRPr="00BD295E" w:rsidRDefault="00C77CA6" w:rsidP="0027083B">
            <w:pPr>
              <w:jc w:val="both"/>
              <w:rPr>
                <w:rFonts w:ascii="Arial" w:hAnsi="Arial" w:cs="Arial"/>
                <w:sz w:val="18"/>
                <w:szCs w:val="18"/>
                <w:lang w:val="en-US"/>
              </w:rPr>
            </w:pPr>
          </w:p>
        </w:tc>
        <w:tc>
          <w:tcPr>
            <w:tcW w:w="4188" w:type="dxa"/>
          </w:tcPr>
          <w:p w14:paraId="1644259C" w14:textId="77777777" w:rsidR="00C77CA6" w:rsidRPr="00BD295E" w:rsidRDefault="00C77CA6" w:rsidP="0027083B">
            <w:pPr>
              <w:jc w:val="both"/>
              <w:rPr>
                <w:rFonts w:ascii="Arial" w:hAnsi="Arial" w:cs="Arial"/>
                <w:sz w:val="18"/>
                <w:szCs w:val="18"/>
                <w:lang w:val="en-US"/>
              </w:rPr>
            </w:pPr>
          </w:p>
        </w:tc>
      </w:tr>
      <w:tr w:rsidR="008A5057" w:rsidRPr="00BD295E" w14:paraId="12B62393" w14:textId="77777777" w:rsidTr="005C4056">
        <w:trPr>
          <w:trHeight w:val="548"/>
        </w:trPr>
        <w:tc>
          <w:tcPr>
            <w:tcW w:w="959" w:type="dxa"/>
            <w:vMerge/>
          </w:tcPr>
          <w:p w14:paraId="391D0749" w14:textId="77777777" w:rsidR="00C77CA6" w:rsidRPr="00BD295E" w:rsidRDefault="00C77CA6" w:rsidP="0027083B">
            <w:pPr>
              <w:jc w:val="both"/>
              <w:rPr>
                <w:rFonts w:ascii="Arial" w:hAnsi="Arial" w:cs="Arial"/>
                <w:sz w:val="18"/>
                <w:szCs w:val="18"/>
                <w:lang w:val="en-US"/>
              </w:rPr>
            </w:pPr>
          </w:p>
        </w:tc>
        <w:tc>
          <w:tcPr>
            <w:tcW w:w="4252" w:type="dxa"/>
            <w:vMerge/>
          </w:tcPr>
          <w:p w14:paraId="29AD568F" w14:textId="77777777" w:rsidR="00C77CA6" w:rsidRPr="00BD295E" w:rsidRDefault="00C77CA6" w:rsidP="0027083B">
            <w:pPr>
              <w:jc w:val="both"/>
              <w:rPr>
                <w:rFonts w:ascii="Arial" w:hAnsi="Arial" w:cs="Arial"/>
                <w:sz w:val="18"/>
                <w:szCs w:val="18"/>
                <w:lang w:val="en-US"/>
              </w:rPr>
            </w:pPr>
          </w:p>
        </w:tc>
        <w:tc>
          <w:tcPr>
            <w:tcW w:w="3686" w:type="dxa"/>
          </w:tcPr>
          <w:p w14:paraId="79DE7A0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The company has in place procedures to determine what a member of the Board of Directors should do if he or she ceases to be independent, including an obligation to timely inform thereof the Board of Directors.</w:t>
            </w:r>
          </w:p>
          <w:p w14:paraId="66FC1C5B" w14:textId="77777777" w:rsidR="00C77CA6" w:rsidRPr="00BD295E" w:rsidRDefault="00C77CA6" w:rsidP="0027083B">
            <w:pPr>
              <w:jc w:val="both"/>
              <w:rPr>
                <w:rFonts w:ascii="Arial" w:hAnsi="Arial" w:cs="Arial"/>
                <w:sz w:val="18"/>
                <w:szCs w:val="18"/>
                <w:lang w:val="en-US"/>
              </w:rPr>
            </w:pPr>
          </w:p>
        </w:tc>
        <w:tc>
          <w:tcPr>
            <w:tcW w:w="1984" w:type="dxa"/>
            <w:vMerge/>
          </w:tcPr>
          <w:p w14:paraId="70D8C9B7" w14:textId="77777777" w:rsidR="00C77CA6" w:rsidRPr="00BD295E" w:rsidRDefault="00C77CA6" w:rsidP="0027083B">
            <w:pPr>
              <w:jc w:val="both"/>
              <w:rPr>
                <w:rFonts w:ascii="Arial" w:hAnsi="Arial" w:cs="Arial"/>
                <w:sz w:val="18"/>
                <w:szCs w:val="18"/>
                <w:lang w:val="en-US"/>
              </w:rPr>
            </w:pPr>
          </w:p>
        </w:tc>
        <w:tc>
          <w:tcPr>
            <w:tcW w:w="4188" w:type="dxa"/>
          </w:tcPr>
          <w:p w14:paraId="47BF5895" w14:textId="77777777" w:rsidR="00C77CA6" w:rsidRPr="00BD295E" w:rsidRDefault="00C77CA6" w:rsidP="0027083B">
            <w:pPr>
              <w:jc w:val="both"/>
              <w:rPr>
                <w:rFonts w:ascii="Arial" w:hAnsi="Arial" w:cs="Arial"/>
                <w:sz w:val="18"/>
                <w:szCs w:val="18"/>
                <w:lang w:val="en-US"/>
              </w:rPr>
            </w:pPr>
          </w:p>
        </w:tc>
      </w:tr>
      <w:tr w:rsidR="008A5057" w:rsidRPr="00BD295E" w14:paraId="1A2CF870" w14:textId="77777777" w:rsidTr="005C4056">
        <w:tc>
          <w:tcPr>
            <w:tcW w:w="959" w:type="dxa"/>
          </w:tcPr>
          <w:p w14:paraId="707F70E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2.4.3</w:t>
            </w:r>
          </w:p>
        </w:tc>
        <w:tc>
          <w:tcPr>
            <w:tcW w:w="4252" w:type="dxa"/>
          </w:tcPr>
          <w:p w14:paraId="641B381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Independent directors make up at least one third of elected directors.</w:t>
            </w:r>
          </w:p>
          <w:p w14:paraId="0343B309" w14:textId="77777777" w:rsidR="00C77CA6" w:rsidRPr="00BD295E" w:rsidRDefault="00C77CA6" w:rsidP="0027083B">
            <w:pPr>
              <w:jc w:val="both"/>
              <w:rPr>
                <w:rFonts w:ascii="Arial" w:hAnsi="Arial" w:cs="Arial"/>
                <w:sz w:val="18"/>
                <w:szCs w:val="18"/>
                <w:lang w:val="en-US"/>
              </w:rPr>
            </w:pPr>
          </w:p>
        </w:tc>
        <w:tc>
          <w:tcPr>
            <w:tcW w:w="3686" w:type="dxa"/>
          </w:tcPr>
          <w:p w14:paraId="57380A3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Independent directors make up at least one third of directors.</w:t>
            </w:r>
          </w:p>
          <w:p w14:paraId="1BED487D" w14:textId="77777777" w:rsidR="00C77CA6" w:rsidRPr="00BD295E" w:rsidRDefault="00C77CA6" w:rsidP="0027083B">
            <w:pPr>
              <w:jc w:val="both"/>
              <w:rPr>
                <w:rFonts w:ascii="Arial" w:hAnsi="Arial" w:cs="Arial"/>
                <w:sz w:val="18"/>
                <w:szCs w:val="18"/>
                <w:lang w:val="en-US"/>
              </w:rPr>
            </w:pPr>
          </w:p>
          <w:p w14:paraId="79029FB9" w14:textId="77777777" w:rsidR="00C77CA6" w:rsidRPr="00BD295E" w:rsidRDefault="00C77CA6" w:rsidP="0027083B">
            <w:pPr>
              <w:jc w:val="both"/>
              <w:rPr>
                <w:rFonts w:ascii="Arial" w:hAnsi="Arial" w:cs="Arial"/>
                <w:sz w:val="18"/>
                <w:szCs w:val="18"/>
                <w:lang w:val="en-US"/>
              </w:rPr>
            </w:pPr>
          </w:p>
        </w:tc>
        <w:tc>
          <w:tcPr>
            <w:tcW w:w="1984" w:type="dxa"/>
          </w:tcPr>
          <w:p w14:paraId="74B684E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None</w:t>
            </w:r>
          </w:p>
        </w:tc>
        <w:tc>
          <w:tcPr>
            <w:tcW w:w="4188" w:type="dxa"/>
          </w:tcPr>
          <w:p w14:paraId="19146B3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comply with the principle:</w:t>
            </w:r>
          </w:p>
          <w:p w14:paraId="3F617E0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2018, one member of the Board of Directors met the independence criteria recommended by the Corporate Governance Code (see item 2.4.1 of this Report), which is less than one third of the Company’s Board of Directors.</w:t>
            </w:r>
          </w:p>
        </w:tc>
      </w:tr>
      <w:tr w:rsidR="008A5057" w:rsidRPr="00BD295E" w14:paraId="0670A816" w14:textId="77777777" w:rsidTr="005C4056">
        <w:tc>
          <w:tcPr>
            <w:tcW w:w="959" w:type="dxa"/>
          </w:tcPr>
          <w:p w14:paraId="4A439A0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2.4.4</w:t>
            </w:r>
          </w:p>
        </w:tc>
        <w:tc>
          <w:tcPr>
            <w:tcW w:w="4252" w:type="dxa"/>
          </w:tcPr>
          <w:p w14:paraId="1E7816D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Independent directors play a key role in preventing internal conflicts in the company and in ensuring that the company performs material corporate actions.</w:t>
            </w:r>
          </w:p>
          <w:p w14:paraId="00112754" w14:textId="77777777" w:rsidR="00C77CA6" w:rsidRPr="00BD295E" w:rsidRDefault="00C77CA6" w:rsidP="0027083B">
            <w:pPr>
              <w:jc w:val="both"/>
              <w:rPr>
                <w:rFonts w:ascii="Arial" w:hAnsi="Arial" w:cs="Arial"/>
                <w:sz w:val="18"/>
                <w:szCs w:val="18"/>
                <w:lang w:val="en-US"/>
              </w:rPr>
            </w:pPr>
          </w:p>
        </w:tc>
        <w:tc>
          <w:tcPr>
            <w:tcW w:w="3686" w:type="dxa"/>
          </w:tcPr>
          <w:p w14:paraId="2D1E603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Independent directors (with no conflicts of interest) run a preliminary assessment of material corporate actions implying a potential conflict of interest and submit the results to the Board of Directors.</w:t>
            </w:r>
          </w:p>
          <w:p w14:paraId="015EC9C6" w14:textId="77777777" w:rsidR="00C77CA6" w:rsidRPr="00BD295E" w:rsidRDefault="00C77CA6" w:rsidP="0027083B">
            <w:pPr>
              <w:jc w:val="both"/>
              <w:rPr>
                <w:rFonts w:ascii="Arial" w:hAnsi="Arial" w:cs="Arial"/>
                <w:sz w:val="18"/>
                <w:szCs w:val="18"/>
                <w:lang w:val="en-US"/>
              </w:rPr>
            </w:pPr>
          </w:p>
        </w:tc>
        <w:tc>
          <w:tcPr>
            <w:tcW w:w="1984" w:type="dxa"/>
          </w:tcPr>
          <w:p w14:paraId="2C6F683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None</w:t>
            </w:r>
          </w:p>
        </w:tc>
        <w:tc>
          <w:tcPr>
            <w:tcW w:w="4188" w:type="dxa"/>
          </w:tcPr>
          <w:p w14:paraId="48FE54D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comply with the principle:</w:t>
            </w:r>
          </w:p>
          <w:p w14:paraId="600A4E7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In 2018, there was one member of the Board of Directors who met the independence criteria as recommended by the Corporate Governance Code (see item 2.4.1 of this Report), and this member did not assess any material corporate actions related to a possible conflict of interest, as the Company’s internal documents do not provide for such obligation for independent directors of the Company. </w:t>
            </w:r>
          </w:p>
        </w:tc>
      </w:tr>
      <w:tr w:rsidR="008A5057" w:rsidRPr="00BD295E" w14:paraId="152FA779" w14:textId="77777777" w:rsidTr="005C4056">
        <w:tc>
          <w:tcPr>
            <w:tcW w:w="959" w:type="dxa"/>
          </w:tcPr>
          <w:p w14:paraId="2AED15B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w:t>
            </w:r>
            <w:r w:rsidR="00D0333D" w:rsidRPr="00BD295E">
              <w:rPr>
                <w:rFonts w:ascii="Arial" w:hAnsi="Arial" w:cs="Arial"/>
                <w:sz w:val="18"/>
                <w:szCs w:val="18"/>
                <w:lang w:val="en-US"/>
              </w:rPr>
              <w:t>.</w:t>
            </w:r>
            <w:r w:rsidRPr="00BD295E">
              <w:rPr>
                <w:rFonts w:ascii="Arial" w:hAnsi="Arial" w:cs="Arial"/>
                <w:sz w:val="18"/>
                <w:szCs w:val="18"/>
                <w:lang w:val="en-US"/>
              </w:rPr>
              <w:t>5</w:t>
            </w:r>
          </w:p>
        </w:tc>
        <w:tc>
          <w:tcPr>
            <w:tcW w:w="14110" w:type="dxa"/>
            <w:gridSpan w:val="4"/>
          </w:tcPr>
          <w:p w14:paraId="64667FB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Chairman of the Board of Directors ensures that the Board of Directors discharges its duties in the most effective way.</w:t>
            </w:r>
          </w:p>
          <w:p w14:paraId="4B3D9951" w14:textId="77777777" w:rsidR="00C77CA6" w:rsidRPr="00BD295E" w:rsidRDefault="00C77CA6" w:rsidP="0027083B">
            <w:pPr>
              <w:jc w:val="both"/>
              <w:rPr>
                <w:rFonts w:ascii="Arial" w:hAnsi="Arial" w:cs="Arial"/>
                <w:sz w:val="18"/>
                <w:szCs w:val="18"/>
                <w:lang w:val="en-US"/>
              </w:rPr>
            </w:pPr>
          </w:p>
        </w:tc>
      </w:tr>
      <w:tr w:rsidR="008A5057" w:rsidRPr="00BD295E" w14:paraId="517E6D53" w14:textId="77777777" w:rsidTr="005C4056">
        <w:trPr>
          <w:trHeight w:val="416"/>
        </w:trPr>
        <w:tc>
          <w:tcPr>
            <w:tcW w:w="959" w:type="dxa"/>
            <w:vMerge w:val="restart"/>
          </w:tcPr>
          <w:p w14:paraId="603887C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2.5.1</w:t>
            </w:r>
          </w:p>
        </w:tc>
        <w:tc>
          <w:tcPr>
            <w:tcW w:w="4252" w:type="dxa"/>
            <w:vMerge w:val="restart"/>
          </w:tcPr>
          <w:p w14:paraId="73BDA75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is chaired by an independent director, or a senior independent director supervising the activities of other independent directors and interacting with the chairman of the board of directors is chosen from among the elected independent directors.</w:t>
            </w:r>
          </w:p>
          <w:p w14:paraId="4DC8E050" w14:textId="77777777" w:rsidR="00C77CA6" w:rsidRPr="00BD295E" w:rsidRDefault="00C77CA6" w:rsidP="0027083B">
            <w:pPr>
              <w:jc w:val="both"/>
              <w:rPr>
                <w:rFonts w:ascii="Arial" w:hAnsi="Arial" w:cs="Arial"/>
                <w:sz w:val="18"/>
                <w:szCs w:val="18"/>
                <w:lang w:val="en-US"/>
              </w:rPr>
            </w:pPr>
          </w:p>
        </w:tc>
        <w:tc>
          <w:tcPr>
            <w:tcW w:w="3686" w:type="dxa"/>
          </w:tcPr>
          <w:p w14:paraId="2E5229B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 of Directors is chaired by an independent director, or a senior independent director is appointed from among the independent directors.</w:t>
            </w:r>
          </w:p>
          <w:p w14:paraId="2117245A" w14:textId="77777777" w:rsidR="00C77CA6" w:rsidRPr="00BD295E" w:rsidRDefault="00C77CA6" w:rsidP="0027083B">
            <w:pPr>
              <w:jc w:val="both"/>
              <w:rPr>
                <w:rFonts w:ascii="Arial" w:hAnsi="Arial" w:cs="Arial"/>
                <w:sz w:val="18"/>
                <w:szCs w:val="18"/>
                <w:lang w:val="en-US"/>
              </w:rPr>
            </w:pPr>
          </w:p>
        </w:tc>
        <w:tc>
          <w:tcPr>
            <w:tcW w:w="1984" w:type="dxa"/>
            <w:vMerge w:val="restart"/>
          </w:tcPr>
          <w:p w14:paraId="0FDA667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489AA26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comply with the principle of paragraph 1:</w:t>
            </w:r>
          </w:p>
          <w:p w14:paraId="6F56015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2018, one member of the Board of Directors met the independence criteria recommended by the Corporate Governance Code (see item 2.4.1 of this Report), and he was not elected Chairman of the Company’s Board of Directors.</w:t>
            </w:r>
          </w:p>
        </w:tc>
      </w:tr>
      <w:tr w:rsidR="008A5057" w:rsidRPr="00BD295E" w14:paraId="1DB0B632" w14:textId="77777777" w:rsidTr="005C4056">
        <w:trPr>
          <w:trHeight w:val="1427"/>
        </w:trPr>
        <w:tc>
          <w:tcPr>
            <w:tcW w:w="959" w:type="dxa"/>
            <w:vMerge/>
          </w:tcPr>
          <w:p w14:paraId="7A34F9C4" w14:textId="77777777" w:rsidR="00C77CA6" w:rsidRPr="00BD295E" w:rsidRDefault="00C77CA6" w:rsidP="0027083B">
            <w:pPr>
              <w:jc w:val="both"/>
              <w:rPr>
                <w:rFonts w:ascii="Arial" w:hAnsi="Arial" w:cs="Arial"/>
                <w:sz w:val="18"/>
                <w:szCs w:val="18"/>
                <w:lang w:val="en-US"/>
              </w:rPr>
            </w:pPr>
          </w:p>
        </w:tc>
        <w:tc>
          <w:tcPr>
            <w:tcW w:w="4252" w:type="dxa"/>
            <w:vMerge/>
          </w:tcPr>
          <w:p w14:paraId="5D5ED4A1" w14:textId="77777777" w:rsidR="00C77CA6" w:rsidRPr="00BD295E" w:rsidRDefault="00C77CA6" w:rsidP="0027083B">
            <w:pPr>
              <w:jc w:val="both"/>
              <w:rPr>
                <w:rFonts w:ascii="Arial" w:hAnsi="Arial" w:cs="Arial"/>
                <w:sz w:val="18"/>
                <w:szCs w:val="18"/>
                <w:lang w:val="en-US"/>
              </w:rPr>
            </w:pPr>
          </w:p>
        </w:tc>
        <w:tc>
          <w:tcPr>
            <w:tcW w:w="3686" w:type="dxa"/>
          </w:tcPr>
          <w:p w14:paraId="1A100B3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role, rights, and duties of the Chairman of the Board of Directors (and, if applicable, of the senior independent director) are duly set out in the company’s internal documents.</w:t>
            </w:r>
          </w:p>
        </w:tc>
        <w:tc>
          <w:tcPr>
            <w:tcW w:w="1984" w:type="dxa"/>
            <w:vMerge/>
          </w:tcPr>
          <w:p w14:paraId="748B17F1" w14:textId="77777777" w:rsidR="00C77CA6" w:rsidRPr="00BD295E" w:rsidRDefault="00C77CA6" w:rsidP="0027083B">
            <w:pPr>
              <w:jc w:val="both"/>
              <w:rPr>
                <w:rFonts w:ascii="Arial" w:hAnsi="Arial" w:cs="Arial"/>
                <w:sz w:val="18"/>
                <w:szCs w:val="18"/>
                <w:lang w:val="en-US"/>
              </w:rPr>
            </w:pPr>
          </w:p>
        </w:tc>
        <w:tc>
          <w:tcPr>
            <w:tcW w:w="4188" w:type="dxa"/>
          </w:tcPr>
          <w:p w14:paraId="17226606" w14:textId="77777777" w:rsidR="00C77CA6" w:rsidRPr="00BD295E" w:rsidRDefault="00C77CA6" w:rsidP="0027083B">
            <w:pPr>
              <w:jc w:val="both"/>
              <w:rPr>
                <w:rFonts w:ascii="Arial" w:hAnsi="Arial" w:cs="Arial"/>
                <w:sz w:val="18"/>
                <w:szCs w:val="18"/>
                <w:lang w:val="en-US"/>
              </w:rPr>
            </w:pPr>
          </w:p>
        </w:tc>
      </w:tr>
      <w:tr w:rsidR="008A5057" w:rsidRPr="00BD295E" w14:paraId="6E7153CD" w14:textId="77777777" w:rsidTr="005C4056">
        <w:tc>
          <w:tcPr>
            <w:tcW w:w="959" w:type="dxa"/>
          </w:tcPr>
          <w:p w14:paraId="1F4A509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2.5.2</w:t>
            </w:r>
          </w:p>
        </w:tc>
        <w:tc>
          <w:tcPr>
            <w:tcW w:w="4252" w:type="dxa"/>
          </w:tcPr>
          <w:p w14:paraId="0103769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chairman of the Board of Directors maintains a constructive environment at meetings, enables free discussion of agenda items, and supervises the execution of resolutions passed by the Board of Directors.</w:t>
            </w:r>
          </w:p>
          <w:p w14:paraId="7CE88937" w14:textId="77777777" w:rsidR="00C77CA6" w:rsidRPr="00BD295E" w:rsidRDefault="00C77CA6" w:rsidP="0027083B">
            <w:pPr>
              <w:jc w:val="both"/>
              <w:rPr>
                <w:rFonts w:ascii="Arial" w:hAnsi="Arial" w:cs="Arial"/>
                <w:sz w:val="18"/>
                <w:szCs w:val="18"/>
                <w:lang w:val="en-US"/>
              </w:rPr>
            </w:pPr>
          </w:p>
        </w:tc>
        <w:tc>
          <w:tcPr>
            <w:tcW w:w="3686" w:type="dxa"/>
          </w:tcPr>
          <w:p w14:paraId="7FE4FC7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performance of the Chairman of the Board of Directors was evaluated as part of the Board of Directors’ performance evaluation procedure in the reporting period.</w:t>
            </w:r>
          </w:p>
          <w:p w14:paraId="0EB54B01" w14:textId="77777777" w:rsidR="00C77CA6" w:rsidRPr="00BD295E" w:rsidRDefault="00C77CA6" w:rsidP="0027083B">
            <w:pPr>
              <w:jc w:val="both"/>
              <w:rPr>
                <w:rFonts w:ascii="Arial" w:hAnsi="Arial" w:cs="Arial"/>
                <w:sz w:val="18"/>
                <w:szCs w:val="18"/>
                <w:lang w:val="en-US"/>
              </w:rPr>
            </w:pPr>
          </w:p>
        </w:tc>
        <w:tc>
          <w:tcPr>
            <w:tcW w:w="1984" w:type="dxa"/>
          </w:tcPr>
          <w:p w14:paraId="5C0B11A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None</w:t>
            </w:r>
          </w:p>
        </w:tc>
        <w:tc>
          <w:tcPr>
            <w:tcW w:w="4188" w:type="dxa"/>
          </w:tcPr>
          <w:p w14:paraId="2FB0CE3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comply with the principle:</w:t>
            </w:r>
          </w:p>
          <w:p w14:paraId="2CE3132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Given that the performance of the Board of Directors was not evaluated during the reporting period, the performance of the Chairman of the Board of Directors was not evaluated, either).</w:t>
            </w:r>
          </w:p>
          <w:p w14:paraId="1E639C5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constantly strives to improve its corporate governance practices and, as a result, to implement the principles and recommendations of the Corporate Governance Code to the fullest extent possible.</w:t>
            </w:r>
          </w:p>
        </w:tc>
      </w:tr>
      <w:tr w:rsidR="008A5057" w:rsidRPr="00BD295E" w14:paraId="166F2482" w14:textId="77777777" w:rsidTr="005C4056">
        <w:tc>
          <w:tcPr>
            <w:tcW w:w="959" w:type="dxa"/>
          </w:tcPr>
          <w:p w14:paraId="0CA8C10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2.5.3</w:t>
            </w:r>
          </w:p>
        </w:tc>
        <w:tc>
          <w:tcPr>
            <w:tcW w:w="4252" w:type="dxa"/>
          </w:tcPr>
          <w:p w14:paraId="4102169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Chairman of the Board of Directors takes the necessary steps to provide members of the Board of Directors with information necessary to make decisions on agenda items in a timely manner.</w:t>
            </w:r>
          </w:p>
          <w:p w14:paraId="0828772B" w14:textId="77777777" w:rsidR="00C77CA6" w:rsidRPr="00BD295E" w:rsidRDefault="00C77CA6" w:rsidP="0027083B">
            <w:pPr>
              <w:jc w:val="both"/>
              <w:rPr>
                <w:rFonts w:ascii="Arial" w:hAnsi="Arial" w:cs="Arial"/>
                <w:sz w:val="18"/>
                <w:szCs w:val="18"/>
                <w:lang w:val="en-US"/>
              </w:rPr>
            </w:pPr>
          </w:p>
        </w:tc>
        <w:tc>
          <w:tcPr>
            <w:tcW w:w="3686" w:type="dxa"/>
          </w:tcPr>
          <w:p w14:paraId="137072D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internal documents set out the duty of the Chairman of the Board of Directors to take all steps necessary for the timely provision of materials for the agenda of the Board’s meeting to directors.</w:t>
            </w:r>
          </w:p>
          <w:p w14:paraId="5BF2106C" w14:textId="77777777" w:rsidR="00C77CA6" w:rsidRPr="00BD295E" w:rsidRDefault="00C77CA6" w:rsidP="0027083B">
            <w:pPr>
              <w:jc w:val="both"/>
              <w:rPr>
                <w:rFonts w:ascii="Arial" w:hAnsi="Arial" w:cs="Arial"/>
                <w:sz w:val="18"/>
                <w:szCs w:val="18"/>
                <w:lang w:val="en-US"/>
              </w:rPr>
            </w:pPr>
          </w:p>
        </w:tc>
        <w:tc>
          <w:tcPr>
            <w:tcW w:w="1984" w:type="dxa"/>
          </w:tcPr>
          <w:p w14:paraId="706CDE2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1B93F6C8" w14:textId="77777777" w:rsidR="00C77CA6" w:rsidRPr="00BD295E" w:rsidRDefault="00C77CA6" w:rsidP="0027083B">
            <w:pPr>
              <w:jc w:val="both"/>
              <w:rPr>
                <w:rFonts w:ascii="Arial" w:hAnsi="Arial" w:cs="Arial"/>
                <w:sz w:val="18"/>
                <w:szCs w:val="18"/>
                <w:lang w:val="en-US"/>
              </w:rPr>
            </w:pPr>
          </w:p>
        </w:tc>
      </w:tr>
      <w:tr w:rsidR="008A5057" w:rsidRPr="00BD295E" w14:paraId="40776458" w14:textId="77777777" w:rsidTr="005C4056">
        <w:tc>
          <w:tcPr>
            <w:tcW w:w="959" w:type="dxa"/>
          </w:tcPr>
          <w:p w14:paraId="40D85E8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2.6</w:t>
            </w:r>
          </w:p>
        </w:tc>
        <w:tc>
          <w:tcPr>
            <w:tcW w:w="14110" w:type="dxa"/>
            <w:gridSpan w:val="4"/>
          </w:tcPr>
          <w:p w14:paraId="47AE351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Directors act reasonably and in good faith in the best interests of the company and its shareholders, on a fully informed basis and with due care and diligence.</w:t>
            </w:r>
          </w:p>
          <w:p w14:paraId="013745A4" w14:textId="77777777" w:rsidR="00C77CA6" w:rsidRPr="00BD295E" w:rsidRDefault="00C77CA6" w:rsidP="0027083B">
            <w:pPr>
              <w:jc w:val="both"/>
              <w:rPr>
                <w:rFonts w:ascii="Arial" w:hAnsi="Arial" w:cs="Arial"/>
                <w:sz w:val="18"/>
                <w:szCs w:val="18"/>
                <w:lang w:val="en-US"/>
              </w:rPr>
            </w:pPr>
          </w:p>
        </w:tc>
      </w:tr>
      <w:tr w:rsidR="008A5057" w:rsidRPr="00BD295E" w14:paraId="180F7CC8" w14:textId="77777777" w:rsidTr="005C4056">
        <w:trPr>
          <w:trHeight w:val="1495"/>
        </w:trPr>
        <w:tc>
          <w:tcPr>
            <w:tcW w:w="959" w:type="dxa"/>
            <w:vMerge w:val="restart"/>
          </w:tcPr>
          <w:p w14:paraId="3F514D8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2.6.1</w:t>
            </w:r>
          </w:p>
        </w:tc>
        <w:tc>
          <w:tcPr>
            <w:tcW w:w="4252" w:type="dxa"/>
            <w:vMerge w:val="restart"/>
          </w:tcPr>
          <w:p w14:paraId="2D18E76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Directors pass resolutions on a fully informed basis, with no conflict of interest, subject to equal treatment of the company’s shareholders, and assuming normal business risks.</w:t>
            </w:r>
          </w:p>
          <w:p w14:paraId="2F721157" w14:textId="77777777" w:rsidR="00C77CA6" w:rsidRPr="00BD295E" w:rsidRDefault="00C77CA6" w:rsidP="0027083B">
            <w:pPr>
              <w:jc w:val="both"/>
              <w:rPr>
                <w:rFonts w:ascii="Arial" w:hAnsi="Arial" w:cs="Arial"/>
                <w:sz w:val="18"/>
                <w:szCs w:val="18"/>
                <w:lang w:val="en-US"/>
              </w:rPr>
            </w:pPr>
          </w:p>
        </w:tc>
        <w:tc>
          <w:tcPr>
            <w:tcW w:w="3686" w:type="dxa"/>
          </w:tcPr>
          <w:p w14:paraId="461015E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internal documents provide that a director should notify the Board of Directors of any existing conflict of interest with regard to any agenda item of the meeting of the Board of Directors or its Committee, prior to discussion of the relevant agenda item.</w:t>
            </w:r>
          </w:p>
        </w:tc>
        <w:tc>
          <w:tcPr>
            <w:tcW w:w="1984" w:type="dxa"/>
            <w:vMerge w:val="restart"/>
          </w:tcPr>
          <w:p w14:paraId="72258DA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25B7D267" w14:textId="77777777" w:rsidR="00C77CA6" w:rsidRPr="00BD295E" w:rsidRDefault="00C77CA6" w:rsidP="0027083B">
            <w:pPr>
              <w:jc w:val="both"/>
              <w:rPr>
                <w:rFonts w:ascii="Arial" w:hAnsi="Arial" w:cs="Arial"/>
                <w:sz w:val="18"/>
                <w:szCs w:val="18"/>
                <w:lang w:val="en-US"/>
              </w:rPr>
            </w:pPr>
          </w:p>
        </w:tc>
      </w:tr>
      <w:tr w:rsidR="008A5057" w:rsidRPr="00BD295E" w14:paraId="5E4FBAA1" w14:textId="77777777" w:rsidTr="005C4056">
        <w:trPr>
          <w:trHeight w:val="557"/>
        </w:trPr>
        <w:tc>
          <w:tcPr>
            <w:tcW w:w="959" w:type="dxa"/>
            <w:vMerge/>
          </w:tcPr>
          <w:p w14:paraId="2532C373" w14:textId="77777777" w:rsidR="00C77CA6" w:rsidRPr="00BD295E" w:rsidRDefault="00C77CA6" w:rsidP="0027083B">
            <w:pPr>
              <w:jc w:val="both"/>
              <w:rPr>
                <w:rFonts w:ascii="Arial" w:hAnsi="Arial" w:cs="Arial"/>
                <w:sz w:val="18"/>
                <w:szCs w:val="18"/>
                <w:lang w:val="en-US"/>
              </w:rPr>
            </w:pPr>
          </w:p>
        </w:tc>
        <w:tc>
          <w:tcPr>
            <w:tcW w:w="4252" w:type="dxa"/>
            <w:vMerge/>
          </w:tcPr>
          <w:p w14:paraId="2780CE7F" w14:textId="77777777" w:rsidR="00C77CA6" w:rsidRPr="00BD295E" w:rsidRDefault="00C77CA6" w:rsidP="0027083B">
            <w:pPr>
              <w:jc w:val="both"/>
              <w:rPr>
                <w:rFonts w:ascii="Arial" w:hAnsi="Arial" w:cs="Arial"/>
                <w:sz w:val="18"/>
                <w:szCs w:val="18"/>
                <w:lang w:val="en-US"/>
              </w:rPr>
            </w:pPr>
          </w:p>
        </w:tc>
        <w:tc>
          <w:tcPr>
            <w:tcW w:w="3686" w:type="dxa"/>
          </w:tcPr>
          <w:p w14:paraId="137EAF1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company’s internal documents provide that a director should abstain from voting on any item in connection with which they have a conflict of interest.</w:t>
            </w:r>
          </w:p>
        </w:tc>
        <w:tc>
          <w:tcPr>
            <w:tcW w:w="1984" w:type="dxa"/>
            <w:vMerge/>
          </w:tcPr>
          <w:p w14:paraId="7E0EB2E1" w14:textId="77777777" w:rsidR="00C77CA6" w:rsidRPr="00BD295E" w:rsidRDefault="00C77CA6" w:rsidP="0027083B">
            <w:pPr>
              <w:jc w:val="both"/>
              <w:rPr>
                <w:rFonts w:ascii="Arial" w:hAnsi="Arial" w:cs="Arial"/>
                <w:sz w:val="18"/>
                <w:szCs w:val="18"/>
                <w:lang w:val="en-US"/>
              </w:rPr>
            </w:pPr>
          </w:p>
        </w:tc>
        <w:tc>
          <w:tcPr>
            <w:tcW w:w="4188" w:type="dxa"/>
          </w:tcPr>
          <w:p w14:paraId="14F1592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09F6DB8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internal documents provide that a member of the Company’s Board of Directors should abstain from voting on any item in connection with which they have a conflict of interest. In addition, the internal documents of the Company provide for the obligation of a member of the Board of Directors to put the interests of the Company above his or her own interests in any case, as well as to notify the Board of Directors of the existence of an interest.</w:t>
            </w:r>
          </w:p>
        </w:tc>
      </w:tr>
      <w:tr w:rsidR="008A5057" w:rsidRPr="00BD295E" w14:paraId="573BF5F2" w14:textId="77777777" w:rsidTr="005C4056">
        <w:trPr>
          <w:trHeight w:val="1494"/>
        </w:trPr>
        <w:tc>
          <w:tcPr>
            <w:tcW w:w="959" w:type="dxa"/>
            <w:vMerge/>
          </w:tcPr>
          <w:p w14:paraId="33B7995E" w14:textId="77777777" w:rsidR="00C77CA6" w:rsidRPr="00BD295E" w:rsidRDefault="00C77CA6" w:rsidP="0027083B">
            <w:pPr>
              <w:jc w:val="both"/>
              <w:rPr>
                <w:rFonts w:ascii="Arial" w:hAnsi="Arial" w:cs="Arial"/>
                <w:sz w:val="18"/>
                <w:szCs w:val="18"/>
                <w:lang w:val="en-US"/>
              </w:rPr>
            </w:pPr>
          </w:p>
        </w:tc>
        <w:tc>
          <w:tcPr>
            <w:tcW w:w="4252" w:type="dxa"/>
            <w:vMerge/>
          </w:tcPr>
          <w:p w14:paraId="25836DB0" w14:textId="77777777" w:rsidR="00C77CA6" w:rsidRPr="00BD295E" w:rsidRDefault="00C77CA6" w:rsidP="0027083B">
            <w:pPr>
              <w:jc w:val="both"/>
              <w:rPr>
                <w:rFonts w:ascii="Arial" w:hAnsi="Arial" w:cs="Arial"/>
                <w:sz w:val="18"/>
                <w:szCs w:val="18"/>
                <w:lang w:val="en-US"/>
              </w:rPr>
            </w:pPr>
          </w:p>
        </w:tc>
        <w:tc>
          <w:tcPr>
            <w:tcW w:w="3686" w:type="dxa"/>
          </w:tcPr>
          <w:p w14:paraId="3E13B7C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The company has in place a procedure enabling the Board of Directors to get professional advice on matters within its remit at the expense of the company.</w:t>
            </w:r>
          </w:p>
        </w:tc>
        <w:tc>
          <w:tcPr>
            <w:tcW w:w="1984" w:type="dxa"/>
            <w:vMerge/>
          </w:tcPr>
          <w:p w14:paraId="157F1C86" w14:textId="77777777" w:rsidR="00C77CA6" w:rsidRPr="00BD295E" w:rsidRDefault="00C77CA6" w:rsidP="0027083B">
            <w:pPr>
              <w:jc w:val="both"/>
              <w:rPr>
                <w:rFonts w:ascii="Arial" w:hAnsi="Arial" w:cs="Arial"/>
                <w:sz w:val="18"/>
                <w:szCs w:val="18"/>
                <w:lang w:val="en-US"/>
              </w:rPr>
            </w:pPr>
          </w:p>
        </w:tc>
        <w:tc>
          <w:tcPr>
            <w:tcW w:w="4188" w:type="dxa"/>
          </w:tcPr>
          <w:p w14:paraId="48760D7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3:</w:t>
            </w:r>
          </w:p>
          <w:p w14:paraId="73F0087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in place a procedure enabling the Board of Directors to get professional advice on matters within its remit at the expense of the company.</w:t>
            </w:r>
          </w:p>
          <w:p w14:paraId="5A82975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According to the existing practice at the Company, its directors receive all necessary professional advice through the Committees of the Board of Directors, as well as using instructions of the Board of Directors to this end.</w:t>
            </w:r>
          </w:p>
          <w:p w14:paraId="5EF424F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Over a long period of time, this practice has proven to be effective.</w:t>
            </w:r>
          </w:p>
        </w:tc>
      </w:tr>
      <w:tr w:rsidR="008A5057" w:rsidRPr="00BD295E" w14:paraId="2861983E" w14:textId="77777777" w:rsidTr="005C4056">
        <w:tc>
          <w:tcPr>
            <w:tcW w:w="959" w:type="dxa"/>
          </w:tcPr>
          <w:p w14:paraId="32571E4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2.6.2</w:t>
            </w:r>
          </w:p>
        </w:tc>
        <w:tc>
          <w:tcPr>
            <w:tcW w:w="4252" w:type="dxa"/>
          </w:tcPr>
          <w:p w14:paraId="5332648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rights and duties of directors are clearly stated and incorporated in the company’s internal documents.</w:t>
            </w:r>
          </w:p>
        </w:tc>
        <w:tc>
          <w:tcPr>
            <w:tcW w:w="3686" w:type="dxa"/>
          </w:tcPr>
          <w:p w14:paraId="4F48B41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adopted and published an internal document that clearly outlines the rights and duties of directors.</w:t>
            </w:r>
          </w:p>
        </w:tc>
        <w:tc>
          <w:tcPr>
            <w:tcW w:w="1984" w:type="dxa"/>
          </w:tcPr>
          <w:p w14:paraId="3330BC2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6FAF050C" w14:textId="77777777" w:rsidR="00C77CA6" w:rsidRPr="00BD295E" w:rsidRDefault="00C77CA6" w:rsidP="0027083B">
            <w:pPr>
              <w:jc w:val="both"/>
              <w:rPr>
                <w:rFonts w:ascii="Arial" w:hAnsi="Arial" w:cs="Arial"/>
                <w:sz w:val="18"/>
                <w:szCs w:val="18"/>
                <w:lang w:val="en-US"/>
              </w:rPr>
            </w:pPr>
          </w:p>
        </w:tc>
      </w:tr>
      <w:tr w:rsidR="008A5057" w:rsidRPr="00BD295E" w14:paraId="221C1A13" w14:textId="77777777" w:rsidTr="005C4056">
        <w:trPr>
          <w:trHeight w:val="549"/>
        </w:trPr>
        <w:tc>
          <w:tcPr>
            <w:tcW w:w="959" w:type="dxa"/>
            <w:vMerge w:val="restart"/>
          </w:tcPr>
          <w:p w14:paraId="431A582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2.6.3</w:t>
            </w:r>
          </w:p>
        </w:tc>
        <w:tc>
          <w:tcPr>
            <w:tcW w:w="4252" w:type="dxa"/>
            <w:vMerge w:val="restart"/>
          </w:tcPr>
          <w:p w14:paraId="64B534B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Directors have sufficient time to perform their duties.</w:t>
            </w:r>
          </w:p>
          <w:p w14:paraId="16B39105" w14:textId="77777777" w:rsidR="00C77CA6" w:rsidRPr="00BD295E" w:rsidRDefault="00C77CA6" w:rsidP="0027083B">
            <w:pPr>
              <w:jc w:val="both"/>
              <w:rPr>
                <w:rFonts w:ascii="Arial" w:hAnsi="Arial" w:cs="Arial"/>
                <w:sz w:val="18"/>
                <w:szCs w:val="18"/>
                <w:lang w:val="en-US"/>
              </w:rPr>
            </w:pPr>
          </w:p>
        </w:tc>
        <w:tc>
          <w:tcPr>
            <w:tcW w:w="3686" w:type="dxa"/>
          </w:tcPr>
          <w:p w14:paraId="01CF261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Individual attendance at Board and Committee meetings, as well as time devoted to preparation for attending meetings, was recorded as part of the procedure for assessing the Board of Directors’ performance in the reporting period.</w:t>
            </w:r>
          </w:p>
          <w:p w14:paraId="02F404F7" w14:textId="77777777" w:rsidR="00C77CA6" w:rsidRPr="00BD295E" w:rsidRDefault="00C77CA6" w:rsidP="0027083B">
            <w:pPr>
              <w:jc w:val="both"/>
              <w:rPr>
                <w:rFonts w:ascii="Arial" w:hAnsi="Arial" w:cs="Arial"/>
                <w:sz w:val="18"/>
                <w:szCs w:val="18"/>
                <w:lang w:val="en-US"/>
              </w:rPr>
            </w:pPr>
          </w:p>
        </w:tc>
        <w:tc>
          <w:tcPr>
            <w:tcW w:w="1984" w:type="dxa"/>
            <w:vMerge w:val="restart"/>
          </w:tcPr>
          <w:p w14:paraId="666F205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5038ABA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291EEAA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In the reporting period, the Company did not evaluate the performance of the Board of Directors, but the report on the performance of the Board of Directors, including information on individual attendance at Board and Committee meetings, is consistently included in the Company’s annual report approved by the Annual </w:t>
            </w:r>
            <w:r w:rsidR="0053339C" w:rsidRPr="00BD295E">
              <w:rPr>
                <w:rFonts w:ascii="Arial" w:hAnsi="Arial" w:cs="Arial"/>
                <w:sz w:val="18"/>
                <w:szCs w:val="18"/>
                <w:lang w:val="en-US"/>
              </w:rPr>
              <w:t>General Meeting</w:t>
            </w:r>
            <w:r w:rsidRPr="00BD295E">
              <w:rPr>
                <w:rFonts w:ascii="Arial" w:hAnsi="Arial" w:cs="Arial"/>
                <w:sz w:val="18"/>
                <w:szCs w:val="18"/>
                <w:lang w:val="en-US"/>
              </w:rPr>
              <w:t>.</w:t>
            </w:r>
          </w:p>
        </w:tc>
      </w:tr>
      <w:tr w:rsidR="008A5057" w:rsidRPr="00BD295E" w14:paraId="13228CBB" w14:textId="77777777" w:rsidTr="005C4056">
        <w:trPr>
          <w:trHeight w:val="1834"/>
        </w:trPr>
        <w:tc>
          <w:tcPr>
            <w:tcW w:w="959" w:type="dxa"/>
            <w:vMerge/>
          </w:tcPr>
          <w:p w14:paraId="2B2120D9" w14:textId="77777777" w:rsidR="00C77CA6" w:rsidRPr="00BD295E" w:rsidRDefault="00C77CA6" w:rsidP="0027083B">
            <w:pPr>
              <w:jc w:val="both"/>
              <w:rPr>
                <w:rFonts w:ascii="Arial" w:hAnsi="Arial" w:cs="Arial"/>
                <w:sz w:val="18"/>
                <w:szCs w:val="18"/>
                <w:lang w:val="en-US"/>
              </w:rPr>
            </w:pPr>
          </w:p>
        </w:tc>
        <w:tc>
          <w:tcPr>
            <w:tcW w:w="4252" w:type="dxa"/>
            <w:vMerge/>
          </w:tcPr>
          <w:p w14:paraId="30F5E56C" w14:textId="77777777" w:rsidR="00C77CA6" w:rsidRPr="00BD295E" w:rsidRDefault="00C77CA6" w:rsidP="0027083B">
            <w:pPr>
              <w:jc w:val="both"/>
              <w:rPr>
                <w:rFonts w:ascii="Arial" w:hAnsi="Arial" w:cs="Arial"/>
                <w:sz w:val="18"/>
                <w:szCs w:val="18"/>
                <w:lang w:val="en-US"/>
              </w:rPr>
            </w:pPr>
          </w:p>
        </w:tc>
        <w:tc>
          <w:tcPr>
            <w:tcW w:w="3686" w:type="dxa"/>
          </w:tcPr>
          <w:p w14:paraId="646F29B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Under the company’s internal documents, directors notify the Board of Directors of their intentions to be elected to governance bodies of other entities (apart from the entities controlled by, or affiliated to, the company), and of their election to such bodies.</w:t>
            </w:r>
          </w:p>
          <w:p w14:paraId="17A118C5" w14:textId="77777777" w:rsidR="00C77CA6" w:rsidRPr="00BD295E" w:rsidRDefault="00C77CA6" w:rsidP="0027083B">
            <w:pPr>
              <w:jc w:val="both"/>
              <w:rPr>
                <w:rFonts w:ascii="Arial" w:hAnsi="Arial" w:cs="Arial"/>
                <w:sz w:val="18"/>
                <w:szCs w:val="18"/>
                <w:lang w:val="en-US"/>
              </w:rPr>
            </w:pPr>
          </w:p>
        </w:tc>
        <w:tc>
          <w:tcPr>
            <w:tcW w:w="1984" w:type="dxa"/>
            <w:vMerge/>
          </w:tcPr>
          <w:p w14:paraId="1A4000A1" w14:textId="77777777" w:rsidR="00C77CA6" w:rsidRPr="00BD295E" w:rsidRDefault="00C77CA6" w:rsidP="0027083B">
            <w:pPr>
              <w:jc w:val="both"/>
              <w:rPr>
                <w:rFonts w:ascii="Arial" w:hAnsi="Arial" w:cs="Arial"/>
                <w:sz w:val="18"/>
                <w:szCs w:val="18"/>
                <w:lang w:val="en-US"/>
              </w:rPr>
            </w:pPr>
          </w:p>
        </w:tc>
        <w:tc>
          <w:tcPr>
            <w:tcW w:w="4188" w:type="dxa"/>
          </w:tcPr>
          <w:p w14:paraId="2464E9C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4E68F6C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internal documents do not provide for an obligation of members of the Board of Directors to notify the Board of Directors of their intention to become members of governing bodies of other organizations. Nevertheless, the internal documents of the Company provide for an obligation of each member of the Board of Directors to notify the Company of such appointments.</w:t>
            </w:r>
          </w:p>
          <w:p w14:paraId="2BCFB2F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According to the Company’s practice, members of the Board of Directors are to notify the Board of Directors at their own discretion of their intention to become members of governance bodies of other organizations.</w:t>
            </w:r>
          </w:p>
          <w:p w14:paraId="5A12826E" w14:textId="77777777" w:rsidR="00C77CA6" w:rsidRPr="00BD295E" w:rsidRDefault="00C77CA6" w:rsidP="0027083B">
            <w:pPr>
              <w:jc w:val="both"/>
              <w:rPr>
                <w:rFonts w:ascii="Arial" w:hAnsi="Arial" w:cs="Arial"/>
                <w:sz w:val="18"/>
                <w:szCs w:val="18"/>
                <w:lang w:val="en-US"/>
              </w:rPr>
            </w:pPr>
          </w:p>
        </w:tc>
      </w:tr>
      <w:tr w:rsidR="008A5057" w:rsidRPr="00BD295E" w14:paraId="7F048D09" w14:textId="77777777" w:rsidTr="005C4056">
        <w:trPr>
          <w:trHeight w:val="832"/>
        </w:trPr>
        <w:tc>
          <w:tcPr>
            <w:tcW w:w="959" w:type="dxa"/>
            <w:vMerge w:val="restart"/>
          </w:tcPr>
          <w:p w14:paraId="2F7DA27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2.6.4</w:t>
            </w:r>
          </w:p>
        </w:tc>
        <w:tc>
          <w:tcPr>
            <w:tcW w:w="4252" w:type="dxa"/>
            <w:vMerge w:val="restart"/>
          </w:tcPr>
          <w:p w14:paraId="01CDD85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All directors have equal access to the company’s documents and information. Newly elected directors are furnished with sufficient information about the company and performance of the Board of Directors as soon as possible.</w:t>
            </w:r>
          </w:p>
          <w:p w14:paraId="50F05A4A" w14:textId="77777777" w:rsidR="00C77CA6" w:rsidRPr="00BD295E" w:rsidRDefault="00C77CA6" w:rsidP="0027083B">
            <w:pPr>
              <w:jc w:val="both"/>
              <w:rPr>
                <w:rFonts w:ascii="Arial" w:hAnsi="Arial" w:cs="Arial"/>
                <w:sz w:val="18"/>
                <w:szCs w:val="18"/>
                <w:lang w:val="en-US"/>
              </w:rPr>
            </w:pPr>
          </w:p>
        </w:tc>
        <w:tc>
          <w:tcPr>
            <w:tcW w:w="3686" w:type="dxa"/>
          </w:tcPr>
          <w:p w14:paraId="2FC4B1F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Under the company’s internal documents, directors are entitled to access documents and make requests on the company and its controlled entities, while executive bodies of the company should furnish all relevant information and documents.</w:t>
            </w:r>
          </w:p>
          <w:p w14:paraId="27EB01A1" w14:textId="77777777" w:rsidR="00C77CA6" w:rsidRPr="00BD295E" w:rsidRDefault="00C77CA6" w:rsidP="0027083B">
            <w:pPr>
              <w:jc w:val="both"/>
              <w:rPr>
                <w:rFonts w:ascii="Arial" w:hAnsi="Arial" w:cs="Arial"/>
                <w:sz w:val="18"/>
                <w:szCs w:val="18"/>
                <w:lang w:val="en-US"/>
              </w:rPr>
            </w:pPr>
          </w:p>
        </w:tc>
        <w:tc>
          <w:tcPr>
            <w:tcW w:w="1984" w:type="dxa"/>
            <w:vMerge w:val="restart"/>
          </w:tcPr>
          <w:p w14:paraId="7DAA553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0A9486D0" w14:textId="77777777" w:rsidR="00C77CA6" w:rsidRPr="00BD295E" w:rsidRDefault="00C77CA6" w:rsidP="0027083B">
            <w:pPr>
              <w:jc w:val="both"/>
              <w:rPr>
                <w:rFonts w:ascii="Arial" w:hAnsi="Arial" w:cs="Arial"/>
                <w:sz w:val="18"/>
                <w:szCs w:val="18"/>
                <w:lang w:val="en-US"/>
              </w:rPr>
            </w:pPr>
          </w:p>
        </w:tc>
      </w:tr>
      <w:tr w:rsidR="008A5057" w:rsidRPr="00BD295E" w14:paraId="55D2D28B" w14:textId="77777777" w:rsidTr="005C4056">
        <w:trPr>
          <w:trHeight w:val="1266"/>
        </w:trPr>
        <w:tc>
          <w:tcPr>
            <w:tcW w:w="959" w:type="dxa"/>
            <w:vMerge/>
          </w:tcPr>
          <w:p w14:paraId="6CA38A4D" w14:textId="77777777" w:rsidR="00C77CA6" w:rsidRPr="00BD295E" w:rsidRDefault="00C77CA6" w:rsidP="0027083B">
            <w:pPr>
              <w:jc w:val="both"/>
              <w:rPr>
                <w:rFonts w:ascii="Arial" w:hAnsi="Arial" w:cs="Arial"/>
                <w:sz w:val="18"/>
                <w:szCs w:val="18"/>
                <w:lang w:val="en-US"/>
              </w:rPr>
            </w:pPr>
          </w:p>
        </w:tc>
        <w:tc>
          <w:tcPr>
            <w:tcW w:w="4252" w:type="dxa"/>
            <w:vMerge/>
          </w:tcPr>
          <w:p w14:paraId="58FDABE0" w14:textId="77777777" w:rsidR="00C77CA6" w:rsidRPr="00BD295E" w:rsidRDefault="00C77CA6" w:rsidP="0027083B">
            <w:pPr>
              <w:jc w:val="both"/>
              <w:rPr>
                <w:rFonts w:ascii="Arial" w:hAnsi="Arial" w:cs="Arial"/>
                <w:sz w:val="18"/>
                <w:szCs w:val="18"/>
                <w:lang w:val="en-US"/>
              </w:rPr>
            </w:pPr>
          </w:p>
        </w:tc>
        <w:tc>
          <w:tcPr>
            <w:tcW w:w="3686" w:type="dxa"/>
          </w:tcPr>
          <w:p w14:paraId="16B78C9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 has in place a formalized induction program for newly elected directors.</w:t>
            </w:r>
          </w:p>
        </w:tc>
        <w:tc>
          <w:tcPr>
            <w:tcW w:w="1984" w:type="dxa"/>
            <w:vMerge/>
          </w:tcPr>
          <w:p w14:paraId="1A9A2D84" w14:textId="77777777" w:rsidR="00C77CA6" w:rsidRPr="00BD295E" w:rsidRDefault="00C77CA6" w:rsidP="0027083B">
            <w:pPr>
              <w:jc w:val="both"/>
              <w:rPr>
                <w:rFonts w:ascii="Arial" w:hAnsi="Arial" w:cs="Arial"/>
                <w:sz w:val="18"/>
                <w:szCs w:val="18"/>
                <w:lang w:val="en-US"/>
              </w:rPr>
            </w:pPr>
          </w:p>
        </w:tc>
        <w:tc>
          <w:tcPr>
            <w:tcW w:w="4188" w:type="dxa"/>
          </w:tcPr>
          <w:p w14:paraId="27D0E98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149CED2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no formalized induction program for newly elected directors.</w:t>
            </w:r>
          </w:p>
          <w:p w14:paraId="6343326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The need to adopt an induction program for newly elected members of the Board of Directors is one of the innovations introduced by the Corporate Governance Code. </w:t>
            </w:r>
          </w:p>
          <w:p w14:paraId="23F1AAE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constantly strives to improve its corporate governance practices and, as a result, to implement the principles and recommendations of the Corporate Governance Code to the fullest extent possible.</w:t>
            </w:r>
          </w:p>
          <w:p w14:paraId="09373C9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plans to take this recommendation of the Corporate Governance Code into account when preparing and approving the restated version of Lenenergo’s internal documents.</w:t>
            </w:r>
          </w:p>
          <w:p w14:paraId="271B1A75" w14:textId="77777777" w:rsidR="00C77CA6" w:rsidRPr="00BD295E" w:rsidRDefault="00C77CA6" w:rsidP="0027083B">
            <w:pPr>
              <w:jc w:val="both"/>
              <w:rPr>
                <w:rFonts w:ascii="Arial" w:hAnsi="Arial" w:cs="Arial"/>
                <w:sz w:val="18"/>
                <w:szCs w:val="18"/>
                <w:lang w:val="en-US"/>
              </w:rPr>
            </w:pPr>
          </w:p>
        </w:tc>
      </w:tr>
      <w:tr w:rsidR="008A5057" w:rsidRPr="00BD295E" w14:paraId="5CCEE1AF" w14:textId="77777777" w:rsidTr="005C4056">
        <w:tc>
          <w:tcPr>
            <w:tcW w:w="959" w:type="dxa"/>
          </w:tcPr>
          <w:p w14:paraId="13E408B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w:t>
            </w:r>
            <w:r w:rsidR="00D0333D" w:rsidRPr="00BD295E">
              <w:rPr>
                <w:rFonts w:ascii="Arial" w:hAnsi="Arial" w:cs="Arial"/>
                <w:sz w:val="18"/>
                <w:szCs w:val="18"/>
                <w:lang w:val="en-US"/>
              </w:rPr>
              <w:t>.</w:t>
            </w:r>
            <w:r w:rsidRPr="00BD295E">
              <w:rPr>
                <w:rFonts w:ascii="Arial" w:hAnsi="Arial" w:cs="Arial"/>
                <w:sz w:val="18"/>
                <w:szCs w:val="18"/>
                <w:lang w:val="en-US"/>
              </w:rPr>
              <w:t>7</w:t>
            </w:r>
          </w:p>
        </w:tc>
        <w:tc>
          <w:tcPr>
            <w:tcW w:w="14110" w:type="dxa"/>
            <w:gridSpan w:val="4"/>
          </w:tcPr>
          <w:p w14:paraId="2E30509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Meetings of the Board of Directors, preparation for such meetings, and participation of directors ensure robust performance of the Board of Directors.</w:t>
            </w:r>
          </w:p>
          <w:p w14:paraId="0E909C75" w14:textId="77777777" w:rsidR="00C77CA6" w:rsidRPr="00BD295E" w:rsidRDefault="00C77CA6" w:rsidP="0027083B">
            <w:pPr>
              <w:jc w:val="both"/>
              <w:rPr>
                <w:rFonts w:ascii="Arial" w:hAnsi="Arial" w:cs="Arial"/>
                <w:sz w:val="18"/>
                <w:szCs w:val="18"/>
                <w:lang w:val="en-US"/>
              </w:rPr>
            </w:pPr>
          </w:p>
        </w:tc>
      </w:tr>
      <w:tr w:rsidR="008A5057" w:rsidRPr="00BD295E" w14:paraId="4351C345" w14:textId="77777777" w:rsidTr="005C4056">
        <w:tc>
          <w:tcPr>
            <w:tcW w:w="959" w:type="dxa"/>
          </w:tcPr>
          <w:p w14:paraId="07B4E4B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2.7.1</w:t>
            </w:r>
          </w:p>
        </w:tc>
        <w:tc>
          <w:tcPr>
            <w:tcW w:w="4252" w:type="dxa"/>
          </w:tcPr>
          <w:p w14:paraId="41B7412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Meetings of the Board of Directors are held as needed, taking into account the scale of operations and goals of the company at a particular time.</w:t>
            </w:r>
          </w:p>
          <w:p w14:paraId="2E4A8A79" w14:textId="77777777" w:rsidR="00C77CA6" w:rsidRPr="00BD295E" w:rsidRDefault="00C77CA6" w:rsidP="0027083B">
            <w:pPr>
              <w:jc w:val="both"/>
              <w:rPr>
                <w:rFonts w:ascii="Arial" w:hAnsi="Arial" w:cs="Arial"/>
                <w:sz w:val="18"/>
                <w:szCs w:val="18"/>
                <w:lang w:val="en-US"/>
              </w:rPr>
            </w:pPr>
          </w:p>
          <w:p w14:paraId="7CAF049E" w14:textId="77777777" w:rsidR="00C77CA6" w:rsidRPr="00BD295E" w:rsidRDefault="00C77CA6" w:rsidP="0027083B">
            <w:pPr>
              <w:jc w:val="both"/>
              <w:rPr>
                <w:rFonts w:ascii="Arial" w:hAnsi="Arial" w:cs="Arial"/>
                <w:sz w:val="18"/>
                <w:szCs w:val="18"/>
                <w:lang w:val="en-US"/>
              </w:rPr>
            </w:pPr>
          </w:p>
          <w:p w14:paraId="6151183C" w14:textId="77777777" w:rsidR="00C77CA6" w:rsidRPr="00BD295E" w:rsidRDefault="00C77CA6" w:rsidP="0027083B">
            <w:pPr>
              <w:jc w:val="both"/>
              <w:rPr>
                <w:rFonts w:ascii="Arial" w:hAnsi="Arial" w:cs="Arial"/>
                <w:sz w:val="18"/>
                <w:szCs w:val="18"/>
                <w:lang w:val="en-US"/>
              </w:rPr>
            </w:pPr>
          </w:p>
          <w:p w14:paraId="7F1B92EE" w14:textId="77777777" w:rsidR="00C77CA6" w:rsidRPr="00BD295E" w:rsidRDefault="00C77CA6" w:rsidP="0027083B">
            <w:pPr>
              <w:jc w:val="both"/>
              <w:rPr>
                <w:rFonts w:ascii="Arial" w:hAnsi="Arial" w:cs="Arial"/>
                <w:sz w:val="18"/>
                <w:szCs w:val="18"/>
                <w:lang w:val="en-US"/>
              </w:rPr>
            </w:pPr>
          </w:p>
        </w:tc>
        <w:tc>
          <w:tcPr>
            <w:tcW w:w="3686" w:type="dxa"/>
          </w:tcPr>
          <w:p w14:paraId="5FE0AC3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 of Directors held at least six meetings in the reporting year.</w:t>
            </w:r>
          </w:p>
          <w:p w14:paraId="493ADE31" w14:textId="77777777" w:rsidR="00C77CA6" w:rsidRPr="00BD295E" w:rsidRDefault="00C77CA6" w:rsidP="0027083B">
            <w:pPr>
              <w:jc w:val="both"/>
              <w:rPr>
                <w:rFonts w:ascii="Arial" w:hAnsi="Arial" w:cs="Arial"/>
                <w:sz w:val="18"/>
                <w:szCs w:val="18"/>
                <w:lang w:val="en-US"/>
              </w:rPr>
            </w:pPr>
          </w:p>
        </w:tc>
        <w:tc>
          <w:tcPr>
            <w:tcW w:w="1984" w:type="dxa"/>
          </w:tcPr>
          <w:p w14:paraId="726AEA7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0AB0FFCB" w14:textId="77777777" w:rsidR="00C77CA6" w:rsidRPr="00BD295E" w:rsidRDefault="00C77CA6" w:rsidP="0027083B">
            <w:pPr>
              <w:jc w:val="both"/>
              <w:rPr>
                <w:rFonts w:ascii="Arial" w:hAnsi="Arial" w:cs="Arial"/>
                <w:sz w:val="18"/>
                <w:szCs w:val="18"/>
                <w:lang w:val="en-US"/>
              </w:rPr>
            </w:pPr>
          </w:p>
        </w:tc>
      </w:tr>
      <w:tr w:rsidR="008A5057" w:rsidRPr="00BD295E" w14:paraId="0587E3A6" w14:textId="77777777" w:rsidTr="005C4056">
        <w:tc>
          <w:tcPr>
            <w:tcW w:w="959" w:type="dxa"/>
          </w:tcPr>
          <w:p w14:paraId="32BD149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2.7.2</w:t>
            </w:r>
          </w:p>
        </w:tc>
        <w:tc>
          <w:tcPr>
            <w:tcW w:w="4252" w:type="dxa"/>
          </w:tcPr>
          <w:p w14:paraId="1ACAEB1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Internal regulations of the company formalize a procedure for the preparation and holding of the Board meetings, enabling members of the Board of Directors to properly prepare for such meetings.</w:t>
            </w:r>
          </w:p>
          <w:p w14:paraId="75A9F18D" w14:textId="77777777" w:rsidR="00C77CA6" w:rsidRPr="00BD295E" w:rsidRDefault="00C77CA6" w:rsidP="0027083B">
            <w:pPr>
              <w:jc w:val="both"/>
              <w:rPr>
                <w:rFonts w:ascii="Arial" w:hAnsi="Arial" w:cs="Arial"/>
                <w:sz w:val="18"/>
                <w:szCs w:val="18"/>
                <w:lang w:val="en-US"/>
              </w:rPr>
            </w:pPr>
          </w:p>
        </w:tc>
        <w:tc>
          <w:tcPr>
            <w:tcW w:w="3686" w:type="dxa"/>
          </w:tcPr>
          <w:p w14:paraId="13A4956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in place an approved internal document that describes the procedure for arranging and holding meetings of the Board of Directors and sets out, in particular, that the notice of the meeting is to be given, as a rule, at least five days prior to such meeting.</w:t>
            </w:r>
          </w:p>
          <w:p w14:paraId="2C04488A" w14:textId="77777777" w:rsidR="00C77CA6" w:rsidRPr="00BD295E" w:rsidRDefault="00C77CA6" w:rsidP="0027083B">
            <w:pPr>
              <w:jc w:val="both"/>
              <w:rPr>
                <w:rFonts w:ascii="Arial" w:hAnsi="Arial" w:cs="Arial"/>
                <w:sz w:val="18"/>
                <w:szCs w:val="18"/>
                <w:lang w:val="en-US"/>
              </w:rPr>
            </w:pPr>
          </w:p>
        </w:tc>
        <w:tc>
          <w:tcPr>
            <w:tcW w:w="1984" w:type="dxa"/>
          </w:tcPr>
          <w:p w14:paraId="3B5FB1D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613691E5" w14:textId="77777777" w:rsidR="00C77CA6" w:rsidRPr="00BD295E" w:rsidRDefault="00C77CA6" w:rsidP="0027083B">
            <w:pPr>
              <w:jc w:val="both"/>
              <w:rPr>
                <w:rFonts w:ascii="Arial" w:hAnsi="Arial" w:cs="Arial"/>
                <w:sz w:val="18"/>
                <w:szCs w:val="18"/>
                <w:lang w:val="en-US"/>
              </w:rPr>
            </w:pPr>
          </w:p>
        </w:tc>
      </w:tr>
      <w:tr w:rsidR="008A5057" w:rsidRPr="00BD295E" w14:paraId="38657584" w14:textId="77777777" w:rsidTr="005C4056">
        <w:tc>
          <w:tcPr>
            <w:tcW w:w="959" w:type="dxa"/>
          </w:tcPr>
          <w:p w14:paraId="4935088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2.7.3</w:t>
            </w:r>
          </w:p>
        </w:tc>
        <w:tc>
          <w:tcPr>
            <w:tcW w:w="4252" w:type="dxa"/>
          </w:tcPr>
          <w:p w14:paraId="1295303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format of the meeting of the Board of Directors is determined taking into account the importance of the agenda items. The most important matters are dealt with at meetings of the Board of Directors held in person.</w:t>
            </w:r>
          </w:p>
          <w:p w14:paraId="00674330" w14:textId="77777777" w:rsidR="00C77CA6" w:rsidRPr="00BD295E" w:rsidRDefault="00C77CA6" w:rsidP="0027083B">
            <w:pPr>
              <w:jc w:val="both"/>
              <w:rPr>
                <w:rFonts w:ascii="Arial" w:hAnsi="Arial" w:cs="Arial"/>
                <w:sz w:val="18"/>
                <w:szCs w:val="18"/>
                <w:lang w:val="en-US"/>
              </w:rPr>
            </w:pPr>
          </w:p>
        </w:tc>
        <w:tc>
          <w:tcPr>
            <w:tcW w:w="3686" w:type="dxa"/>
          </w:tcPr>
          <w:p w14:paraId="14894B6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Articles of Association or another internal document provide for the most important matters (as per the list set out in Recommendation </w:t>
            </w:r>
            <w:hyperlink r:id="rId151" w:history="1">
              <w:r w:rsidRPr="00BD295E">
                <w:rPr>
                  <w:rFonts w:ascii="Arial" w:hAnsi="Arial" w:cs="Arial"/>
                  <w:sz w:val="18"/>
                  <w:szCs w:val="18"/>
                  <w:lang w:val="en-US"/>
                </w:rPr>
                <w:t>168</w:t>
              </w:r>
            </w:hyperlink>
            <w:r w:rsidRPr="00BD295E">
              <w:rPr>
                <w:rFonts w:ascii="Arial" w:hAnsi="Arial" w:cs="Arial"/>
                <w:sz w:val="18"/>
                <w:szCs w:val="18"/>
                <w:lang w:val="en-US"/>
              </w:rPr>
              <w:t xml:space="preserve"> of the Code) to be reviewed at in-person meetings of the Board of Directors.</w:t>
            </w:r>
          </w:p>
        </w:tc>
        <w:tc>
          <w:tcPr>
            <w:tcW w:w="1984" w:type="dxa"/>
          </w:tcPr>
          <w:p w14:paraId="721F56E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3756075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w:t>
            </w:r>
          </w:p>
          <w:p w14:paraId="7A64406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Under the Company’s internal documents, the Chairman of the Board of Directors determines the format of meetings of the Board of Directors taking into account the importance of the agenda items and Recommendation 168 of the Corporate Governance Code.</w:t>
            </w:r>
          </w:p>
          <w:p w14:paraId="7308EC7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accordance with the established practice, the Company strives to ensure that materials on the agendas of the Board of Directors’ absentee meetings contain all the necessary information, and to implement a transparent and effective system of interaction between members of the Board of Directors that will allow them to make balanced decisions.</w:t>
            </w:r>
          </w:p>
        </w:tc>
      </w:tr>
      <w:tr w:rsidR="008A5057" w:rsidRPr="00BD295E" w14:paraId="0F69C10F" w14:textId="77777777" w:rsidTr="005C4056">
        <w:tc>
          <w:tcPr>
            <w:tcW w:w="959" w:type="dxa"/>
          </w:tcPr>
          <w:p w14:paraId="275A176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2.7.4</w:t>
            </w:r>
          </w:p>
        </w:tc>
        <w:tc>
          <w:tcPr>
            <w:tcW w:w="4252" w:type="dxa"/>
          </w:tcPr>
          <w:p w14:paraId="4640AB1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Resolutions on most important matters relating to the company’s operations are passed at a meeting of the Board of Directors by a qualified majority or by a majority of all elected directors.</w:t>
            </w:r>
          </w:p>
          <w:p w14:paraId="39EFDDE1" w14:textId="77777777" w:rsidR="00C77CA6" w:rsidRPr="00BD295E" w:rsidRDefault="00C77CA6" w:rsidP="0027083B">
            <w:pPr>
              <w:jc w:val="both"/>
              <w:rPr>
                <w:rFonts w:ascii="Arial" w:hAnsi="Arial" w:cs="Arial"/>
                <w:sz w:val="18"/>
                <w:szCs w:val="18"/>
                <w:lang w:val="en-US"/>
              </w:rPr>
            </w:pPr>
          </w:p>
        </w:tc>
        <w:tc>
          <w:tcPr>
            <w:tcW w:w="3686" w:type="dxa"/>
          </w:tcPr>
          <w:p w14:paraId="421FE2B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1. The company’s Articles of Association provide for resolutions on the most important matters set out in Recommendation </w:t>
            </w:r>
            <w:hyperlink r:id="rId152" w:history="1">
              <w:r w:rsidRPr="00BD295E">
                <w:rPr>
                  <w:rFonts w:ascii="Arial" w:hAnsi="Arial" w:cs="Arial"/>
                  <w:sz w:val="18"/>
                  <w:szCs w:val="18"/>
                  <w:lang w:val="en-US"/>
                </w:rPr>
                <w:t>170</w:t>
              </w:r>
            </w:hyperlink>
            <w:r w:rsidRPr="00BD295E">
              <w:rPr>
                <w:rFonts w:ascii="Arial" w:hAnsi="Arial" w:cs="Arial"/>
                <w:sz w:val="18"/>
                <w:szCs w:val="18"/>
                <w:lang w:val="en-US"/>
              </w:rPr>
              <w:t xml:space="preserve"> of the Code to be passed at a meeting of the Board of Directors by a qualified majority of at least three quarters or by a majority of all elected directors.</w:t>
            </w:r>
          </w:p>
        </w:tc>
        <w:tc>
          <w:tcPr>
            <w:tcW w:w="1984" w:type="dxa"/>
          </w:tcPr>
          <w:p w14:paraId="5C4A835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None</w:t>
            </w:r>
          </w:p>
        </w:tc>
        <w:tc>
          <w:tcPr>
            <w:tcW w:w="4188" w:type="dxa"/>
          </w:tcPr>
          <w:p w14:paraId="319D852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comply with the principle:</w:t>
            </w:r>
          </w:p>
          <w:p w14:paraId="030A469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Articles of Association provided for the following:</w:t>
            </w:r>
          </w:p>
          <w:p w14:paraId="3C4300B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1) Resolutions of the Board of Directors shall be adopted by a majority vote of Members of the Board of Directors attending the meeting, except for cases provided for in the Federal Law </w:t>
            </w:r>
            <w:r w:rsidRPr="00BD295E">
              <w:rPr>
                <w:rFonts w:ascii="Arial" w:hAnsi="Arial" w:cs="Arial"/>
                <w:i/>
                <w:iCs/>
                <w:sz w:val="18"/>
                <w:szCs w:val="18"/>
                <w:lang w:val="en-US"/>
              </w:rPr>
              <w:t>On Joint Stock Companies</w:t>
            </w:r>
            <w:r w:rsidRPr="00BD295E">
              <w:rPr>
                <w:rFonts w:ascii="Arial" w:hAnsi="Arial" w:cs="Arial"/>
                <w:sz w:val="18"/>
                <w:szCs w:val="18"/>
                <w:lang w:val="en-US"/>
              </w:rPr>
              <w:t xml:space="preserve"> and these Articles of Association;</w:t>
            </w:r>
          </w:p>
          <w:p w14:paraId="71807CD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Resolutions of the Board of Directors shall be adopted by a three-quarter majority vote of Members of the Board of Directors on the following matters:</w:t>
            </w:r>
          </w:p>
          <w:p w14:paraId="6941888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Suspending the powers of the managing company (manager) and appointing an acting CEO of the Company;</w:t>
            </w:r>
          </w:p>
          <w:p w14:paraId="121FE08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Convening an Extraordinary General Meeting in cases provided for in the Articles of Association;</w:t>
            </w:r>
          </w:p>
          <w:p w14:paraId="6BF5CFC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Resolutions of the Board of Directors shall be adopted by a two-third majority vote of Members of the Board of Directors on the following matters:</w:t>
            </w:r>
          </w:p>
          <w:p w14:paraId="503096E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participation of the Company in other organizations, changes in the interest stake (number of shares, amount of units/stakes), encumbrance on shares (interest stakes), and termination of the Company’s participation in other organizations;</w:t>
            </w:r>
          </w:p>
          <w:p w14:paraId="7319E9C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Determining the Company’s credit policy with regard to the issuance of loans by the Company, entering into credit and loan agreements, issuing sureties, accepting obligations under promissory notes and negotiable bills of exchange, pledging property, and deciding on the Company’s entering into such transactions in cases where the Company’s credit policy does not provide for a relevant decision-making procedure, as well as adopting resolutions on bringing the Company’s debt position in accordance with the limits set out in the Company’s credit policy in line with the procedure outlined in the Company’s credit policy;</w:t>
            </w:r>
          </w:p>
          <w:p w14:paraId="4429F9D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Approving the procedure for the Company’s engagements with business entities in which the Company holds shares or units;</w:t>
            </w:r>
          </w:p>
          <w:p w14:paraId="19628DD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 Determining the position of the Company (the Company’s representatives) on agenda items of General Meetings of Shareholders (Members)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 xml:space="preserve"> and meetings of the boards of directors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w:t>
            </w:r>
          </w:p>
          <w:p w14:paraId="74E837A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Preliminary approval of resolutions on the Company’s entering into material transactions.</w:t>
            </w:r>
          </w:p>
          <w:p w14:paraId="0BAD38D4" w14:textId="77777777" w:rsidR="00C77CA6" w:rsidRPr="00BD295E" w:rsidRDefault="00C77CA6" w:rsidP="0027083B">
            <w:pPr>
              <w:jc w:val="both"/>
              <w:rPr>
                <w:rFonts w:ascii="Arial" w:hAnsi="Arial" w:cs="Arial"/>
                <w:sz w:val="18"/>
                <w:szCs w:val="18"/>
                <w:lang w:val="en-US"/>
              </w:rPr>
            </w:pPr>
          </w:p>
        </w:tc>
      </w:tr>
      <w:tr w:rsidR="008A5057" w:rsidRPr="00BD295E" w14:paraId="11ECE98E" w14:textId="77777777" w:rsidTr="005C4056">
        <w:tc>
          <w:tcPr>
            <w:tcW w:w="959" w:type="dxa"/>
          </w:tcPr>
          <w:p w14:paraId="67201E1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2.8</w:t>
            </w:r>
          </w:p>
        </w:tc>
        <w:tc>
          <w:tcPr>
            <w:tcW w:w="14110" w:type="dxa"/>
            <w:gridSpan w:val="4"/>
          </w:tcPr>
          <w:p w14:paraId="562F105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sets up Committees for preliminary review of the most important matters related to the company’s business.</w:t>
            </w:r>
          </w:p>
          <w:p w14:paraId="6692344A" w14:textId="77777777" w:rsidR="00C77CA6" w:rsidRPr="00BD295E" w:rsidRDefault="00C77CA6" w:rsidP="0027083B">
            <w:pPr>
              <w:jc w:val="both"/>
              <w:rPr>
                <w:rFonts w:ascii="Arial" w:hAnsi="Arial" w:cs="Arial"/>
                <w:sz w:val="18"/>
                <w:szCs w:val="18"/>
                <w:lang w:val="en-US"/>
              </w:rPr>
            </w:pPr>
          </w:p>
        </w:tc>
      </w:tr>
      <w:tr w:rsidR="008A5057" w:rsidRPr="00BD295E" w14:paraId="7FD9A133" w14:textId="77777777" w:rsidTr="005C4056">
        <w:trPr>
          <w:trHeight w:val="1072"/>
        </w:trPr>
        <w:tc>
          <w:tcPr>
            <w:tcW w:w="959" w:type="dxa"/>
            <w:vMerge w:val="restart"/>
          </w:tcPr>
          <w:p w14:paraId="48C8AAE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2.8.1</w:t>
            </w:r>
          </w:p>
        </w:tc>
        <w:tc>
          <w:tcPr>
            <w:tcW w:w="4252" w:type="dxa"/>
            <w:vMerge w:val="restart"/>
          </w:tcPr>
          <w:p w14:paraId="555224B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An Audit Committee comprised of independent directors is set up to pr</w:t>
            </w:r>
            <w:r w:rsidR="00480F9B" w:rsidRPr="00BD295E">
              <w:rPr>
                <w:rFonts w:ascii="Arial" w:hAnsi="Arial" w:cs="Arial"/>
                <w:sz w:val="18"/>
                <w:szCs w:val="18"/>
                <w:lang w:val="en-US"/>
              </w:rPr>
              <w:t>eliminarily r</w:t>
            </w:r>
            <w:r w:rsidRPr="00BD295E">
              <w:rPr>
                <w:rFonts w:ascii="Arial" w:hAnsi="Arial" w:cs="Arial"/>
                <w:sz w:val="18"/>
                <w:szCs w:val="18"/>
                <w:lang w:val="en-US"/>
              </w:rPr>
              <w:t>eview matters related to oversight of the company’s financial and business operations.</w:t>
            </w:r>
          </w:p>
          <w:p w14:paraId="4B580395" w14:textId="77777777" w:rsidR="00C77CA6" w:rsidRPr="00BD295E" w:rsidRDefault="00C77CA6" w:rsidP="0027083B">
            <w:pPr>
              <w:jc w:val="both"/>
              <w:rPr>
                <w:rFonts w:ascii="Arial" w:hAnsi="Arial" w:cs="Arial"/>
                <w:sz w:val="18"/>
                <w:szCs w:val="18"/>
                <w:lang w:val="en-US"/>
              </w:rPr>
            </w:pPr>
          </w:p>
        </w:tc>
        <w:tc>
          <w:tcPr>
            <w:tcW w:w="3686" w:type="dxa"/>
          </w:tcPr>
          <w:p w14:paraId="0A8E495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 of Directors set up an Audit Committee comprised solely of independent directors.</w:t>
            </w:r>
          </w:p>
          <w:p w14:paraId="0F9F6845" w14:textId="77777777" w:rsidR="00C77CA6" w:rsidRPr="00BD295E" w:rsidRDefault="00C77CA6" w:rsidP="0027083B">
            <w:pPr>
              <w:jc w:val="both"/>
              <w:rPr>
                <w:rFonts w:ascii="Arial" w:hAnsi="Arial" w:cs="Arial"/>
                <w:sz w:val="18"/>
                <w:szCs w:val="18"/>
                <w:lang w:val="en-US"/>
              </w:rPr>
            </w:pPr>
          </w:p>
        </w:tc>
        <w:tc>
          <w:tcPr>
            <w:tcW w:w="1984" w:type="dxa"/>
            <w:vMerge w:val="restart"/>
          </w:tcPr>
          <w:p w14:paraId="716FC94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6888803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57AB30B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has set up the Audit Committee, but there is only one independent director on the Committee, because there is only one independent director on the Company’s Board of Directors.</w:t>
            </w:r>
          </w:p>
          <w:p w14:paraId="5D78D6E9" w14:textId="77777777" w:rsidR="00C77CA6" w:rsidRPr="00BD295E" w:rsidRDefault="00C77CA6" w:rsidP="0027083B">
            <w:pPr>
              <w:jc w:val="both"/>
              <w:rPr>
                <w:rFonts w:ascii="Arial" w:hAnsi="Arial" w:cs="Arial"/>
                <w:sz w:val="18"/>
                <w:szCs w:val="18"/>
                <w:lang w:val="en-US"/>
              </w:rPr>
            </w:pPr>
          </w:p>
        </w:tc>
      </w:tr>
      <w:tr w:rsidR="008A5057" w:rsidRPr="00BD295E" w14:paraId="4727180D" w14:textId="77777777" w:rsidTr="005C4056">
        <w:trPr>
          <w:trHeight w:val="1070"/>
        </w:trPr>
        <w:tc>
          <w:tcPr>
            <w:tcW w:w="959" w:type="dxa"/>
            <w:vMerge/>
          </w:tcPr>
          <w:p w14:paraId="5B0A2BB2" w14:textId="77777777" w:rsidR="00C77CA6" w:rsidRPr="00BD295E" w:rsidRDefault="00C77CA6" w:rsidP="0027083B">
            <w:pPr>
              <w:jc w:val="both"/>
              <w:rPr>
                <w:rFonts w:ascii="Arial" w:hAnsi="Arial" w:cs="Arial"/>
                <w:sz w:val="18"/>
                <w:szCs w:val="18"/>
                <w:lang w:val="en-US"/>
              </w:rPr>
            </w:pPr>
          </w:p>
        </w:tc>
        <w:tc>
          <w:tcPr>
            <w:tcW w:w="4252" w:type="dxa"/>
            <w:vMerge/>
          </w:tcPr>
          <w:p w14:paraId="303B2368" w14:textId="77777777" w:rsidR="00C77CA6" w:rsidRPr="00BD295E" w:rsidRDefault="00C77CA6" w:rsidP="0027083B">
            <w:pPr>
              <w:jc w:val="both"/>
              <w:rPr>
                <w:rFonts w:ascii="Arial" w:hAnsi="Arial" w:cs="Arial"/>
                <w:sz w:val="18"/>
                <w:szCs w:val="18"/>
                <w:lang w:val="en-US"/>
              </w:rPr>
            </w:pPr>
          </w:p>
        </w:tc>
        <w:tc>
          <w:tcPr>
            <w:tcW w:w="3686" w:type="dxa"/>
          </w:tcPr>
          <w:p w14:paraId="67CA1B2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2. The company’s internal documents set out the tasks of the Audit Committee, including those listed in Recommendation </w:t>
            </w:r>
            <w:hyperlink r:id="rId153" w:history="1">
              <w:r w:rsidRPr="00BD295E">
                <w:rPr>
                  <w:rFonts w:ascii="Arial" w:hAnsi="Arial" w:cs="Arial"/>
                  <w:sz w:val="18"/>
                  <w:szCs w:val="18"/>
                  <w:lang w:val="en-US"/>
                </w:rPr>
                <w:t>172</w:t>
              </w:r>
            </w:hyperlink>
            <w:r w:rsidRPr="00BD295E">
              <w:rPr>
                <w:rFonts w:ascii="Arial" w:hAnsi="Arial" w:cs="Arial"/>
                <w:sz w:val="18"/>
                <w:szCs w:val="18"/>
                <w:lang w:val="en-US"/>
              </w:rPr>
              <w:t xml:space="preserve"> of the Code.</w:t>
            </w:r>
          </w:p>
          <w:p w14:paraId="4F80A738" w14:textId="77777777" w:rsidR="00C77CA6" w:rsidRPr="00BD295E" w:rsidRDefault="00C77CA6" w:rsidP="0027083B">
            <w:pPr>
              <w:jc w:val="both"/>
              <w:rPr>
                <w:rFonts w:ascii="Arial" w:hAnsi="Arial" w:cs="Arial"/>
                <w:sz w:val="18"/>
                <w:szCs w:val="18"/>
                <w:lang w:val="en-US"/>
              </w:rPr>
            </w:pPr>
          </w:p>
        </w:tc>
        <w:tc>
          <w:tcPr>
            <w:tcW w:w="1984" w:type="dxa"/>
            <w:vMerge/>
          </w:tcPr>
          <w:p w14:paraId="159BF972" w14:textId="77777777" w:rsidR="00C77CA6" w:rsidRPr="00BD295E" w:rsidRDefault="00C77CA6" w:rsidP="0027083B">
            <w:pPr>
              <w:jc w:val="both"/>
              <w:rPr>
                <w:rFonts w:ascii="Arial" w:hAnsi="Arial" w:cs="Arial"/>
                <w:sz w:val="18"/>
                <w:szCs w:val="18"/>
                <w:lang w:val="en-US"/>
              </w:rPr>
            </w:pPr>
          </w:p>
        </w:tc>
        <w:tc>
          <w:tcPr>
            <w:tcW w:w="4188" w:type="dxa"/>
          </w:tcPr>
          <w:p w14:paraId="1BBD45AF" w14:textId="77777777" w:rsidR="00C77CA6" w:rsidRPr="00BD295E" w:rsidRDefault="00C77CA6" w:rsidP="0027083B">
            <w:pPr>
              <w:jc w:val="both"/>
              <w:rPr>
                <w:rFonts w:ascii="Arial" w:hAnsi="Arial" w:cs="Arial"/>
                <w:sz w:val="18"/>
                <w:szCs w:val="18"/>
                <w:lang w:val="en-US"/>
              </w:rPr>
            </w:pPr>
          </w:p>
        </w:tc>
      </w:tr>
      <w:tr w:rsidR="008A5057" w:rsidRPr="00BD295E" w14:paraId="7AEDDD1C" w14:textId="77777777" w:rsidTr="005C4056">
        <w:trPr>
          <w:trHeight w:val="265"/>
        </w:trPr>
        <w:tc>
          <w:tcPr>
            <w:tcW w:w="959" w:type="dxa"/>
            <w:vMerge/>
          </w:tcPr>
          <w:p w14:paraId="41D27D85" w14:textId="77777777" w:rsidR="00C77CA6" w:rsidRPr="00BD295E" w:rsidRDefault="00C77CA6" w:rsidP="0027083B">
            <w:pPr>
              <w:jc w:val="both"/>
              <w:rPr>
                <w:rFonts w:ascii="Arial" w:hAnsi="Arial" w:cs="Arial"/>
                <w:sz w:val="18"/>
                <w:szCs w:val="18"/>
                <w:lang w:val="en-US"/>
              </w:rPr>
            </w:pPr>
          </w:p>
        </w:tc>
        <w:tc>
          <w:tcPr>
            <w:tcW w:w="4252" w:type="dxa"/>
            <w:vMerge/>
          </w:tcPr>
          <w:p w14:paraId="43262624" w14:textId="77777777" w:rsidR="00C77CA6" w:rsidRPr="00BD295E" w:rsidRDefault="00C77CA6" w:rsidP="0027083B">
            <w:pPr>
              <w:jc w:val="both"/>
              <w:rPr>
                <w:rFonts w:ascii="Arial" w:hAnsi="Arial" w:cs="Arial"/>
                <w:sz w:val="18"/>
                <w:szCs w:val="18"/>
                <w:lang w:val="en-US"/>
              </w:rPr>
            </w:pPr>
          </w:p>
        </w:tc>
        <w:tc>
          <w:tcPr>
            <w:tcW w:w="3686" w:type="dxa"/>
          </w:tcPr>
          <w:p w14:paraId="2992103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At least one member of the Audit Committee being an independent director has experience and knowledge of preparing, analyzing, assessing, and auditing accounting (financial) statements.</w:t>
            </w:r>
          </w:p>
        </w:tc>
        <w:tc>
          <w:tcPr>
            <w:tcW w:w="1984" w:type="dxa"/>
            <w:vMerge/>
          </w:tcPr>
          <w:p w14:paraId="6384DF5A" w14:textId="77777777" w:rsidR="00C77CA6" w:rsidRPr="00BD295E" w:rsidRDefault="00C77CA6" w:rsidP="0027083B">
            <w:pPr>
              <w:jc w:val="both"/>
              <w:rPr>
                <w:rFonts w:ascii="Arial" w:hAnsi="Arial" w:cs="Arial"/>
                <w:sz w:val="18"/>
                <w:szCs w:val="18"/>
                <w:lang w:val="en-US"/>
              </w:rPr>
            </w:pPr>
          </w:p>
        </w:tc>
        <w:tc>
          <w:tcPr>
            <w:tcW w:w="4188" w:type="dxa"/>
          </w:tcPr>
          <w:p w14:paraId="7B796392" w14:textId="77777777" w:rsidR="00C77CA6" w:rsidRPr="00BD295E" w:rsidRDefault="00C77CA6" w:rsidP="0027083B">
            <w:pPr>
              <w:jc w:val="both"/>
              <w:rPr>
                <w:rFonts w:ascii="Arial" w:hAnsi="Arial" w:cs="Arial"/>
                <w:sz w:val="18"/>
                <w:szCs w:val="18"/>
                <w:lang w:val="en-US"/>
              </w:rPr>
            </w:pPr>
          </w:p>
        </w:tc>
      </w:tr>
      <w:tr w:rsidR="008A5057" w:rsidRPr="00BD295E" w14:paraId="5391BB0A" w14:textId="77777777" w:rsidTr="005C4056">
        <w:trPr>
          <w:trHeight w:val="793"/>
        </w:trPr>
        <w:tc>
          <w:tcPr>
            <w:tcW w:w="959" w:type="dxa"/>
            <w:vMerge/>
          </w:tcPr>
          <w:p w14:paraId="12486BCB" w14:textId="77777777" w:rsidR="00C77CA6" w:rsidRPr="00BD295E" w:rsidRDefault="00C77CA6" w:rsidP="0027083B">
            <w:pPr>
              <w:jc w:val="both"/>
              <w:rPr>
                <w:rFonts w:ascii="Arial" w:hAnsi="Arial" w:cs="Arial"/>
                <w:sz w:val="18"/>
                <w:szCs w:val="18"/>
                <w:lang w:val="en-US"/>
              </w:rPr>
            </w:pPr>
          </w:p>
        </w:tc>
        <w:tc>
          <w:tcPr>
            <w:tcW w:w="4252" w:type="dxa"/>
            <w:vMerge/>
          </w:tcPr>
          <w:p w14:paraId="7F5BFE85" w14:textId="77777777" w:rsidR="00C77CA6" w:rsidRPr="00BD295E" w:rsidRDefault="00C77CA6" w:rsidP="0027083B">
            <w:pPr>
              <w:jc w:val="both"/>
              <w:rPr>
                <w:rFonts w:ascii="Arial" w:hAnsi="Arial" w:cs="Arial"/>
                <w:sz w:val="18"/>
                <w:szCs w:val="18"/>
                <w:lang w:val="en-US"/>
              </w:rPr>
            </w:pPr>
          </w:p>
        </w:tc>
        <w:tc>
          <w:tcPr>
            <w:tcW w:w="3686" w:type="dxa"/>
          </w:tcPr>
          <w:p w14:paraId="074021DE" w14:textId="77777777" w:rsidR="00C77CA6" w:rsidRPr="00BD295E" w:rsidRDefault="00C77CA6" w:rsidP="0027083B">
            <w:pPr>
              <w:jc w:val="both"/>
              <w:rPr>
                <w:rFonts w:ascii="Arial" w:hAnsi="Arial" w:cs="Arial"/>
                <w:sz w:val="18"/>
                <w:szCs w:val="18"/>
                <w:lang w:val="en-US"/>
              </w:rPr>
            </w:pPr>
          </w:p>
          <w:p w14:paraId="425FE45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 In the reporting period, the Audit Committee met at least once a quarter.</w:t>
            </w:r>
          </w:p>
          <w:p w14:paraId="73C7BB43" w14:textId="77777777" w:rsidR="00C77CA6" w:rsidRPr="00BD295E" w:rsidRDefault="00C77CA6" w:rsidP="0027083B">
            <w:pPr>
              <w:jc w:val="both"/>
              <w:rPr>
                <w:rFonts w:ascii="Arial" w:hAnsi="Arial" w:cs="Arial"/>
                <w:sz w:val="18"/>
                <w:szCs w:val="18"/>
                <w:lang w:val="en-US"/>
              </w:rPr>
            </w:pPr>
          </w:p>
        </w:tc>
        <w:tc>
          <w:tcPr>
            <w:tcW w:w="1984" w:type="dxa"/>
            <w:vMerge/>
          </w:tcPr>
          <w:p w14:paraId="5067FB7D" w14:textId="77777777" w:rsidR="00C77CA6" w:rsidRPr="00BD295E" w:rsidRDefault="00C77CA6" w:rsidP="0027083B">
            <w:pPr>
              <w:jc w:val="both"/>
              <w:rPr>
                <w:rFonts w:ascii="Arial" w:hAnsi="Arial" w:cs="Arial"/>
                <w:sz w:val="18"/>
                <w:szCs w:val="18"/>
                <w:lang w:val="en-US"/>
              </w:rPr>
            </w:pPr>
          </w:p>
        </w:tc>
        <w:tc>
          <w:tcPr>
            <w:tcW w:w="4188" w:type="dxa"/>
          </w:tcPr>
          <w:p w14:paraId="4027D7E1" w14:textId="77777777" w:rsidR="00C77CA6" w:rsidRPr="00BD295E" w:rsidRDefault="00C77CA6" w:rsidP="0027083B">
            <w:pPr>
              <w:jc w:val="both"/>
              <w:rPr>
                <w:rFonts w:ascii="Arial" w:hAnsi="Arial" w:cs="Arial"/>
                <w:sz w:val="18"/>
                <w:szCs w:val="18"/>
                <w:lang w:val="en-US"/>
              </w:rPr>
            </w:pPr>
          </w:p>
        </w:tc>
      </w:tr>
      <w:tr w:rsidR="008A5057" w:rsidRPr="00BD295E" w14:paraId="3BC9A9BA" w14:textId="77777777" w:rsidTr="005C4056">
        <w:trPr>
          <w:trHeight w:val="1086"/>
        </w:trPr>
        <w:tc>
          <w:tcPr>
            <w:tcW w:w="959" w:type="dxa"/>
            <w:vMerge w:val="restart"/>
          </w:tcPr>
          <w:p w14:paraId="18C1427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2.8.2</w:t>
            </w:r>
          </w:p>
        </w:tc>
        <w:tc>
          <w:tcPr>
            <w:tcW w:w="4252" w:type="dxa"/>
            <w:vMerge w:val="restart"/>
          </w:tcPr>
          <w:p w14:paraId="492025F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To p</w:t>
            </w:r>
            <w:r w:rsidR="00480F9B" w:rsidRPr="00BD295E">
              <w:rPr>
                <w:rFonts w:ascii="Arial" w:hAnsi="Arial" w:cs="Arial"/>
                <w:sz w:val="18"/>
                <w:szCs w:val="18"/>
                <w:lang w:val="en-US"/>
              </w:rPr>
              <w:t xml:space="preserve">reliminarily </w:t>
            </w:r>
            <w:r w:rsidRPr="00BD295E">
              <w:rPr>
                <w:rFonts w:ascii="Arial" w:hAnsi="Arial" w:cs="Arial"/>
                <w:sz w:val="18"/>
                <w:szCs w:val="18"/>
                <w:lang w:val="en-US"/>
              </w:rPr>
              <w:t>review matters related to adopting an effective and transparent remuneration scheme, a Remuneration Committee has been set up, comprised of independent directors and headed by an independent director who is not the Chairman of the Board of Directors.</w:t>
            </w:r>
          </w:p>
          <w:p w14:paraId="715DB19F" w14:textId="77777777" w:rsidR="00C77CA6" w:rsidRPr="00BD295E" w:rsidRDefault="00C77CA6" w:rsidP="0027083B">
            <w:pPr>
              <w:jc w:val="both"/>
              <w:rPr>
                <w:rFonts w:ascii="Arial" w:hAnsi="Arial" w:cs="Arial"/>
                <w:sz w:val="18"/>
                <w:szCs w:val="18"/>
                <w:lang w:val="en-US"/>
              </w:rPr>
            </w:pPr>
          </w:p>
        </w:tc>
        <w:tc>
          <w:tcPr>
            <w:tcW w:w="3686" w:type="dxa"/>
          </w:tcPr>
          <w:p w14:paraId="32741DB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 of Directors has set up the Remuneration Committee comprised solely of independent directors.</w:t>
            </w:r>
          </w:p>
          <w:p w14:paraId="2BA5DAF7" w14:textId="77777777" w:rsidR="00C77CA6" w:rsidRPr="00BD295E" w:rsidRDefault="00C77CA6" w:rsidP="0027083B">
            <w:pPr>
              <w:jc w:val="both"/>
              <w:rPr>
                <w:rFonts w:ascii="Arial" w:hAnsi="Arial" w:cs="Arial"/>
                <w:sz w:val="18"/>
                <w:szCs w:val="18"/>
                <w:lang w:val="en-US"/>
              </w:rPr>
            </w:pPr>
          </w:p>
        </w:tc>
        <w:tc>
          <w:tcPr>
            <w:tcW w:w="1984" w:type="dxa"/>
            <w:vMerge w:val="restart"/>
          </w:tcPr>
          <w:p w14:paraId="14CE008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3DF65FB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2FC26C7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has set up the Nomination and Remuneration Committee, but there are no independent directors on the Nomination and Remuneration Committee.</w:t>
            </w:r>
          </w:p>
          <w:p w14:paraId="50C8A0B2" w14:textId="77777777" w:rsidR="00C77CA6" w:rsidRPr="00BD295E" w:rsidRDefault="00C77CA6" w:rsidP="0027083B">
            <w:pPr>
              <w:jc w:val="both"/>
              <w:rPr>
                <w:rFonts w:ascii="Arial" w:hAnsi="Arial" w:cs="Arial"/>
                <w:sz w:val="18"/>
                <w:szCs w:val="18"/>
                <w:lang w:val="en-US"/>
              </w:rPr>
            </w:pPr>
          </w:p>
        </w:tc>
      </w:tr>
      <w:tr w:rsidR="008A5057" w:rsidRPr="00BD295E" w14:paraId="4C6DC43A" w14:textId="77777777" w:rsidTr="005C4056">
        <w:trPr>
          <w:trHeight w:val="1085"/>
        </w:trPr>
        <w:tc>
          <w:tcPr>
            <w:tcW w:w="959" w:type="dxa"/>
            <w:vMerge/>
          </w:tcPr>
          <w:p w14:paraId="42810EF9" w14:textId="77777777" w:rsidR="00C77CA6" w:rsidRPr="00BD295E" w:rsidRDefault="00C77CA6" w:rsidP="0027083B">
            <w:pPr>
              <w:jc w:val="both"/>
              <w:rPr>
                <w:rFonts w:ascii="Arial" w:hAnsi="Arial" w:cs="Arial"/>
                <w:sz w:val="18"/>
                <w:szCs w:val="18"/>
                <w:lang w:val="en-US"/>
              </w:rPr>
            </w:pPr>
          </w:p>
        </w:tc>
        <w:tc>
          <w:tcPr>
            <w:tcW w:w="4252" w:type="dxa"/>
            <w:vMerge/>
          </w:tcPr>
          <w:p w14:paraId="6C284E75" w14:textId="77777777" w:rsidR="00C77CA6" w:rsidRPr="00BD295E" w:rsidRDefault="00C77CA6" w:rsidP="0027083B">
            <w:pPr>
              <w:jc w:val="both"/>
              <w:rPr>
                <w:rFonts w:ascii="Arial" w:hAnsi="Arial" w:cs="Arial"/>
                <w:sz w:val="18"/>
                <w:szCs w:val="18"/>
                <w:lang w:val="en-US"/>
              </w:rPr>
            </w:pPr>
          </w:p>
        </w:tc>
        <w:tc>
          <w:tcPr>
            <w:tcW w:w="3686" w:type="dxa"/>
          </w:tcPr>
          <w:p w14:paraId="6156BCD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Remuneration Committee is headed by an independent director who is not the Chairman of the Board of Directors.</w:t>
            </w:r>
          </w:p>
        </w:tc>
        <w:tc>
          <w:tcPr>
            <w:tcW w:w="1984" w:type="dxa"/>
            <w:vMerge/>
          </w:tcPr>
          <w:p w14:paraId="579751F4" w14:textId="77777777" w:rsidR="00C77CA6" w:rsidRPr="00BD295E" w:rsidRDefault="00C77CA6" w:rsidP="0027083B">
            <w:pPr>
              <w:jc w:val="both"/>
              <w:rPr>
                <w:rFonts w:ascii="Arial" w:hAnsi="Arial" w:cs="Arial"/>
                <w:sz w:val="18"/>
                <w:szCs w:val="18"/>
                <w:lang w:val="en-US"/>
              </w:rPr>
            </w:pPr>
          </w:p>
        </w:tc>
        <w:tc>
          <w:tcPr>
            <w:tcW w:w="4188" w:type="dxa"/>
          </w:tcPr>
          <w:p w14:paraId="632FF34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4194CB6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There are no independent directors on the Nomination and Remuneration Committee.</w:t>
            </w:r>
          </w:p>
          <w:p w14:paraId="044B00E3" w14:textId="77777777" w:rsidR="00C77CA6" w:rsidRPr="00BD295E" w:rsidRDefault="00C77CA6" w:rsidP="0027083B">
            <w:pPr>
              <w:jc w:val="both"/>
              <w:rPr>
                <w:rFonts w:ascii="Arial" w:hAnsi="Arial" w:cs="Arial"/>
                <w:sz w:val="18"/>
                <w:szCs w:val="18"/>
                <w:lang w:val="en-US"/>
              </w:rPr>
            </w:pPr>
          </w:p>
        </w:tc>
      </w:tr>
      <w:tr w:rsidR="008A5057" w:rsidRPr="00BD295E" w14:paraId="22442A4F" w14:textId="77777777" w:rsidTr="005C4056">
        <w:trPr>
          <w:trHeight w:val="1085"/>
        </w:trPr>
        <w:tc>
          <w:tcPr>
            <w:tcW w:w="959" w:type="dxa"/>
            <w:vMerge/>
          </w:tcPr>
          <w:p w14:paraId="2A0DD504" w14:textId="77777777" w:rsidR="00C77CA6" w:rsidRPr="00BD295E" w:rsidRDefault="00C77CA6" w:rsidP="0027083B">
            <w:pPr>
              <w:jc w:val="both"/>
              <w:rPr>
                <w:rFonts w:ascii="Arial" w:hAnsi="Arial" w:cs="Arial"/>
                <w:sz w:val="18"/>
                <w:szCs w:val="18"/>
                <w:lang w:val="en-US"/>
              </w:rPr>
            </w:pPr>
          </w:p>
        </w:tc>
        <w:tc>
          <w:tcPr>
            <w:tcW w:w="4252" w:type="dxa"/>
            <w:vMerge/>
          </w:tcPr>
          <w:p w14:paraId="6FB1BC2A" w14:textId="77777777" w:rsidR="00C77CA6" w:rsidRPr="00BD295E" w:rsidRDefault="00C77CA6" w:rsidP="0027083B">
            <w:pPr>
              <w:jc w:val="both"/>
              <w:rPr>
                <w:rFonts w:ascii="Arial" w:hAnsi="Arial" w:cs="Arial"/>
                <w:sz w:val="18"/>
                <w:szCs w:val="18"/>
                <w:lang w:val="en-US"/>
              </w:rPr>
            </w:pPr>
          </w:p>
        </w:tc>
        <w:tc>
          <w:tcPr>
            <w:tcW w:w="3686" w:type="dxa"/>
          </w:tcPr>
          <w:p w14:paraId="108C7C9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3. The company’s internal documents set out the tasks of the Remuneration Committee, including those listed in Recommendation </w:t>
            </w:r>
            <w:hyperlink r:id="rId154" w:history="1">
              <w:r w:rsidRPr="00BD295E">
                <w:rPr>
                  <w:rFonts w:ascii="Arial" w:hAnsi="Arial" w:cs="Arial"/>
                  <w:sz w:val="18"/>
                  <w:szCs w:val="18"/>
                  <w:lang w:val="en-US"/>
                </w:rPr>
                <w:t>180</w:t>
              </w:r>
            </w:hyperlink>
            <w:r w:rsidRPr="00BD295E">
              <w:rPr>
                <w:rFonts w:ascii="Arial" w:hAnsi="Arial" w:cs="Arial"/>
                <w:sz w:val="18"/>
                <w:szCs w:val="18"/>
                <w:lang w:val="en-US"/>
              </w:rPr>
              <w:t xml:space="preserve"> of the Code.</w:t>
            </w:r>
          </w:p>
          <w:p w14:paraId="789369F7" w14:textId="77777777" w:rsidR="00C77CA6" w:rsidRPr="00BD295E" w:rsidRDefault="00C77CA6" w:rsidP="0027083B">
            <w:pPr>
              <w:jc w:val="both"/>
              <w:rPr>
                <w:rFonts w:ascii="Arial" w:hAnsi="Arial" w:cs="Arial"/>
                <w:sz w:val="18"/>
                <w:szCs w:val="18"/>
                <w:lang w:val="en-US"/>
              </w:rPr>
            </w:pPr>
          </w:p>
        </w:tc>
        <w:tc>
          <w:tcPr>
            <w:tcW w:w="1984" w:type="dxa"/>
            <w:vMerge/>
          </w:tcPr>
          <w:p w14:paraId="4A5517C6" w14:textId="77777777" w:rsidR="00C77CA6" w:rsidRPr="00BD295E" w:rsidRDefault="00C77CA6" w:rsidP="0027083B">
            <w:pPr>
              <w:jc w:val="both"/>
              <w:rPr>
                <w:rFonts w:ascii="Arial" w:hAnsi="Arial" w:cs="Arial"/>
                <w:sz w:val="18"/>
                <w:szCs w:val="18"/>
                <w:lang w:val="en-US"/>
              </w:rPr>
            </w:pPr>
          </w:p>
        </w:tc>
        <w:tc>
          <w:tcPr>
            <w:tcW w:w="4188" w:type="dxa"/>
          </w:tcPr>
          <w:p w14:paraId="3D7DE843" w14:textId="77777777" w:rsidR="00C77CA6" w:rsidRPr="00BD295E" w:rsidRDefault="00C77CA6" w:rsidP="0027083B">
            <w:pPr>
              <w:jc w:val="both"/>
              <w:rPr>
                <w:rFonts w:ascii="Arial" w:hAnsi="Arial" w:cs="Arial"/>
                <w:sz w:val="18"/>
                <w:szCs w:val="18"/>
                <w:lang w:val="en-US"/>
              </w:rPr>
            </w:pPr>
          </w:p>
        </w:tc>
      </w:tr>
      <w:tr w:rsidR="008A5057" w:rsidRPr="00BD295E" w14:paraId="581BCC71" w14:textId="77777777" w:rsidTr="005C4056">
        <w:trPr>
          <w:trHeight w:val="841"/>
        </w:trPr>
        <w:tc>
          <w:tcPr>
            <w:tcW w:w="959" w:type="dxa"/>
            <w:vMerge w:val="restart"/>
          </w:tcPr>
          <w:p w14:paraId="2C17D59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2.8.3</w:t>
            </w:r>
          </w:p>
        </w:tc>
        <w:tc>
          <w:tcPr>
            <w:tcW w:w="4252" w:type="dxa"/>
            <w:vMerge w:val="restart"/>
          </w:tcPr>
          <w:p w14:paraId="296ADBB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To </w:t>
            </w:r>
            <w:r w:rsidR="00480F9B" w:rsidRPr="00BD295E">
              <w:rPr>
                <w:rFonts w:ascii="Arial" w:hAnsi="Arial" w:cs="Arial"/>
                <w:sz w:val="18"/>
                <w:szCs w:val="18"/>
                <w:lang w:val="en-US"/>
              </w:rPr>
              <w:t xml:space="preserve">preliminarily </w:t>
            </w:r>
            <w:r w:rsidRPr="00BD295E">
              <w:rPr>
                <w:rFonts w:ascii="Arial" w:hAnsi="Arial" w:cs="Arial"/>
                <w:sz w:val="18"/>
                <w:szCs w:val="18"/>
                <w:lang w:val="en-US"/>
              </w:rPr>
              <w:t>review matters related to talent management (succession planning), professional composition, and performance of the Board of Directors, a Nomination (Appointments, or HR) Committee is set up, predominantly comprised of independent directors.</w:t>
            </w:r>
          </w:p>
          <w:p w14:paraId="037C336F" w14:textId="77777777" w:rsidR="00C77CA6" w:rsidRPr="00BD295E" w:rsidRDefault="00C77CA6" w:rsidP="0027083B">
            <w:pPr>
              <w:jc w:val="both"/>
              <w:rPr>
                <w:rFonts w:ascii="Arial" w:hAnsi="Arial" w:cs="Arial"/>
                <w:sz w:val="18"/>
                <w:szCs w:val="18"/>
                <w:lang w:val="en-US"/>
              </w:rPr>
            </w:pPr>
          </w:p>
        </w:tc>
        <w:tc>
          <w:tcPr>
            <w:tcW w:w="3686" w:type="dxa"/>
          </w:tcPr>
          <w:p w14:paraId="4ECDDA0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1. The Board of Directors has set up a Nomination Committee (or its tasks listed in Recommendation </w:t>
            </w:r>
            <w:hyperlink r:id="rId155" w:history="1">
              <w:r w:rsidRPr="00BD295E">
                <w:rPr>
                  <w:rFonts w:ascii="Arial" w:hAnsi="Arial" w:cs="Arial"/>
                  <w:sz w:val="18"/>
                  <w:szCs w:val="18"/>
                  <w:lang w:val="en-US"/>
                </w:rPr>
                <w:t>186</w:t>
              </w:r>
            </w:hyperlink>
            <w:r w:rsidRPr="00BD295E">
              <w:rPr>
                <w:rFonts w:ascii="Arial" w:hAnsi="Arial" w:cs="Arial"/>
                <w:sz w:val="18"/>
                <w:szCs w:val="18"/>
                <w:lang w:val="en-US"/>
              </w:rPr>
              <w:t xml:space="preserve"> of the Code are fulfilled by another Committee </w:t>
            </w:r>
            <w:hyperlink r:id="rId156" w:history="1">
              <w:r w:rsidRPr="00BD295E">
                <w:rPr>
                  <w:rFonts w:ascii="Arial" w:hAnsi="Arial" w:cs="Arial"/>
                  <w:sz w:val="18"/>
                  <w:szCs w:val="18"/>
                  <w:lang w:val="en-US"/>
                </w:rPr>
                <w:t>&lt;4&gt;</w:t>
              </w:r>
            </w:hyperlink>
            <w:r w:rsidRPr="00BD295E">
              <w:rPr>
                <w:rFonts w:ascii="Arial" w:hAnsi="Arial" w:cs="Arial"/>
                <w:sz w:val="18"/>
                <w:szCs w:val="18"/>
                <w:lang w:val="en-US"/>
              </w:rPr>
              <w:t>), predominantly comprised of independent directors.</w:t>
            </w:r>
          </w:p>
          <w:p w14:paraId="4A321AEE" w14:textId="77777777" w:rsidR="00C77CA6" w:rsidRPr="00BD295E" w:rsidRDefault="00C77CA6" w:rsidP="0027083B">
            <w:pPr>
              <w:jc w:val="both"/>
              <w:rPr>
                <w:rFonts w:ascii="Arial" w:hAnsi="Arial" w:cs="Arial"/>
                <w:sz w:val="18"/>
                <w:szCs w:val="18"/>
                <w:lang w:val="en-US"/>
              </w:rPr>
            </w:pPr>
          </w:p>
        </w:tc>
        <w:tc>
          <w:tcPr>
            <w:tcW w:w="1984" w:type="dxa"/>
            <w:vMerge w:val="restart"/>
          </w:tcPr>
          <w:p w14:paraId="7F3FF4D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None</w:t>
            </w:r>
          </w:p>
        </w:tc>
        <w:tc>
          <w:tcPr>
            <w:tcW w:w="4188" w:type="dxa"/>
          </w:tcPr>
          <w:p w14:paraId="53A21C1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0D1CEC7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has no Nomination Committee.</w:t>
            </w:r>
          </w:p>
          <w:p w14:paraId="29A91F20" w14:textId="77777777" w:rsidR="00C77CA6" w:rsidRPr="00BD295E" w:rsidRDefault="00C77CA6" w:rsidP="0027083B">
            <w:pPr>
              <w:jc w:val="both"/>
              <w:rPr>
                <w:rFonts w:ascii="Arial" w:hAnsi="Arial" w:cs="Arial"/>
                <w:sz w:val="18"/>
                <w:szCs w:val="18"/>
                <w:lang w:val="en-US"/>
              </w:rPr>
            </w:pPr>
          </w:p>
        </w:tc>
      </w:tr>
      <w:tr w:rsidR="008A5057" w:rsidRPr="00BD295E" w14:paraId="50629059" w14:textId="77777777" w:rsidTr="005C4056">
        <w:trPr>
          <w:trHeight w:val="1124"/>
        </w:trPr>
        <w:tc>
          <w:tcPr>
            <w:tcW w:w="959" w:type="dxa"/>
            <w:vMerge/>
          </w:tcPr>
          <w:p w14:paraId="3D7EDF45" w14:textId="77777777" w:rsidR="00C77CA6" w:rsidRPr="00BD295E" w:rsidRDefault="00C77CA6" w:rsidP="0027083B">
            <w:pPr>
              <w:jc w:val="both"/>
              <w:rPr>
                <w:rFonts w:ascii="Arial" w:hAnsi="Arial" w:cs="Arial"/>
                <w:sz w:val="18"/>
                <w:szCs w:val="18"/>
                <w:lang w:val="en-US"/>
              </w:rPr>
            </w:pPr>
          </w:p>
        </w:tc>
        <w:tc>
          <w:tcPr>
            <w:tcW w:w="4252" w:type="dxa"/>
            <w:vMerge/>
          </w:tcPr>
          <w:p w14:paraId="47483A33" w14:textId="77777777" w:rsidR="00C77CA6" w:rsidRPr="00BD295E" w:rsidRDefault="00C77CA6" w:rsidP="0027083B">
            <w:pPr>
              <w:jc w:val="both"/>
              <w:rPr>
                <w:rFonts w:ascii="Arial" w:hAnsi="Arial" w:cs="Arial"/>
                <w:sz w:val="18"/>
                <w:szCs w:val="18"/>
                <w:lang w:val="en-US"/>
              </w:rPr>
            </w:pPr>
          </w:p>
        </w:tc>
        <w:tc>
          <w:tcPr>
            <w:tcW w:w="3686" w:type="dxa"/>
          </w:tcPr>
          <w:p w14:paraId="38ED921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2. The company’s internal documents set out the tasks of the Nomination Committee (or a relevant Committee with combined functions), including those listed in Recommendation </w:t>
            </w:r>
            <w:hyperlink r:id="rId157" w:history="1">
              <w:r w:rsidRPr="00BD295E">
                <w:rPr>
                  <w:rFonts w:ascii="Arial" w:hAnsi="Arial" w:cs="Arial"/>
                  <w:sz w:val="18"/>
                  <w:szCs w:val="18"/>
                  <w:lang w:val="en-US"/>
                </w:rPr>
                <w:t>186</w:t>
              </w:r>
            </w:hyperlink>
            <w:r w:rsidRPr="00BD295E">
              <w:rPr>
                <w:rFonts w:ascii="Arial" w:hAnsi="Arial" w:cs="Arial"/>
                <w:sz w:val="18"/>
                <w:szCs w:val="18"/>
                <w:lang w:val="en-US"/>
              </w:rPr>
              <w:t xml:space="preserve"> of the Code.</w:t>
            </w:r>
          </w:p>
        </w:tc>
        <w:tc>
          <w:tcPr>
            <w:tcW w:w="1984" w:type="dxa"/>
            <w:vMerge/>
          </w:tcPr>
          <w:p w14:paraId="0D0A54D9" w14:textId="77777777" w:rsidR="00C77CA6" w:rsidRPr="00BD295E" w:rsidRDefault="00C77CA6" w:rsidP="0027083B">
            <w:pPr>
              <w:jc w:val="both"/>
              <w:rPr>
                <w:rFonts w:ascii="Arial" w:hAnsi="Arial" w:cs="Arial"/>
                <w:sz w:val="18"/>
                <w:szCs w:val="18"/>
                <w:lang w:val="en-US"/>
              </w:rPr>
            </w:pPr>
          </w:p>
        </w:tc>
        <w:tc>
          <w:tcPr>
            <w:tcW w:w="4188" w:type="dxa"/>
          </w:tcPr>
          <w:p w14:paraId="6065D02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3CEFB21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has no Nomination Committee.</w:t>
            </w:r>
          </w:p>
          <w:p w14:paraId="529056E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constantly strives to improve its corporate governance practices and, as a result, to implement the principles and recommendations of the Corporate Governance Code to the fullest extent possible.</w:t>
            </w:r>
          </w:p>
          <w:p w14:paraId="0663A6E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The Company plans to take this recommendation of the Corporate Governance Code into account when preparing and approving restated internal documents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3805C4FB" w14:textId="77777777" w:rsidR="00C77CA6" w:rsidRPr="00BD295E" w:rsidRDefault="00C77CA6" w:rsidP="0027083B">
            <w:pPr>
              <w:jc w:val="both"/>
              <w:rPr>
                <w:rFonts w:ascii="Arial" w:hAnsi="Arial" w:cs="Arial"/>
                <w:sz w:val="18"/>
                <w:szCs w:val="18"/>
                <w:lang w:val="en-US"/>
              </w:rPr>
            </w:pPr>
          </w:p>
        </w:tc>
      </w:tr>
      <w:tr w:rsidR="008A5057" w:rsidRPr="00BD295E" w14:paraId="1AAA200A" w14:textId="77777777" w:rsidTr="005C4056">
        <w:tc>
          <w:tcPr>
            <w:tcW w:w="959" w:type="dxa"/>
          </w:tcPr>
          <w:p w14:paraId="704884E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2.8.4</w:t>
            </w:r>
          </w:p>
        </w:tc>
        <w:tc>
          <w:tcPr>
            <w:tcW w:w="4252" w:type="dxa"/>
          </w:tcPr>
          <w:p w14:paraId="291F018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Taking into account the company’s scope of business and level of risks, the company’s Board of Directors has made sure that the composition of its Committees is in line with company’s business goals. Additional committees have been set up or have not been not deemed necessary (Strategy Committee, Corporate Governance Committee, Ethics Committee, Risk Management Committee, Budget Committee, Health, Safety, and Environment Committee, etc.).</w:t>
            </w:r>
          </w:p>
          <w:p w14:paraId="2589BA9C" w14:textId="77777777" w:rsidR="00C77CA6" w:rsidRPr="00BD295E" w:rsidRDefault="00C77CA6" w:rsidP="0027083B">
            <w:pPr>
              <w:jc w:val="both"/>
              <w:rPr>
                <w:rFonts w:ascii="Arial" w:hAnsi="Arial" w:cs="Arial"/>
                <w:sz w:val="18"/>
                <w:szCs w:val="18"/>
                <w:lang w:val="en-US"/>
              </w:rPr>
            </w:pPr>
          </w:p>
        </w:tc>
        <w:tc>
          <w:tcPr>
            <w:tcW w:w="3686" w:type="dxa"/>
          </w:tcPr>
          <w:p w14:paraId="2FC8B91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Board of Directors reviewed whether the composition of its Committees was aligned with the Board’s tasks and the company’s business goals. Additional committees were either set up or not deemed necessary.</w:t>
            </w:r>
          </w:p>
          <w:p w14:paraId="427210C2" w14:textId="77777777" w:rsidR="00C77CA6" w:rsidRPr="00BD295E" w:rsidRDefault="00C77CA6" w:rsidP="0027083B">
            <w:pPr>
              <w:jc w:val="both"/>
              <w:rPr>
                <w:rFonts w:ascii="Arial" w:hAnsi="Arial" w:cs="Arial"/>
                <w:sz w:val="18"/>
                <w:szCs w:val="18"/>
                <w:lang w:val="en-US"/>
              </w:rPr>
            </w:pPr>
          </w:p>
        </w:tc>
        <w:tc>
          <w:tcPr>
            <w:tcW w:w="1984" w:type="dxa"/>
          </w:tcPr>
          <w:p w14:paraId="2CF9B50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02A36DA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w:t>
            </w:r>
          </w:p>
          <w:p w14:paraId="52B2161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In the reporting year, the Company’s Board of Directors did not review the alignment of the composition of its Committees with the objectives of the Board of Directors and the goals of the Company’ however, reports on the work of the Committees of the Board of Directors, including information on the composition of Committees, its alignment with the objectives of the Company, and meetings held are traditionally included in the Annual Report of the Company, which is subject to approval by the Board of Directors, and the Annual </w:t>
            </w:r>
            <w:r w:rsidR="0053339C" w:rsidRPr="00BD295E">
              <w:rPr>
                <w:rFonts w:ascii="Arial" w:hAnsi="Arial" w:cs="Arial"/>
                <w:sz w:val="18"/>
                <w:szCs w:val="18"/>
                <w:lang w:val="en-US"/>
              </w:rPr>
              <w:t>General Meeting</w:t>
            </w:r>
            <w:r w:rsidRPr="00BD295E">
              <w:rPr>
                <w:rFonts w:ascii="Arial" w:hAnsi="Arial" w:cs="Arial"/>
                <w:sz w:val="18"/>
                <w:szCs w:val="18"/>
                <w:lang w:val="en-US"/>
              </w:rPr>
              <w:t>.</w:t>
            </w:r>
          </w:p>
          <w:p w14:paraId="1505CD85" w14:textId="77777777" w:rsidR="00C77CA6" w:rsidRPr="00BD295E" w:rsidRDefault="00C77CA6" w:rsidP="0027083B">
            <w:pPr>
              <w:jc w:val="both"/>
              <w:rPr>
                <w:rFonts w:ascii="Arial" w:hAnsi="Arial" w:cs="Arial"/>
                <w:sz w:val="18"/>
                <w:szCs w:val="18"/>
                <w:lang w:val="en-US"/>
              </w:rPr>
            </w:pPr>
          </w:p>
        </w:tc>
      </w:tr>
      <w:tr w:rsidR="008A5057" w:rsidRPr="00BD295E" w14:paraId="04D75E73" w14:textId="77777777" w:rsidTr="005C4056">
        <w:trPr>
          <w:trHeight w:val="735"/>
        </w:trPr>
        <w:tc>
          <w:tcPr>
            <w:tcW w:w="959" w:type="dxa"/>
            <w:vMerge w:val="restart"/>
          </w:tcPr>
          <w:p w14:paraId="0B9BE65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2.8.5</w:t>
            </w:r>
          </w:p>
        </w:tc>
        <w:tc>
          <w:tcPr>
            <w:tcW w:w="4252" w:type="dxa"/>
            <w:vMerge w:val="restart"/>
          </w:tcPr>
          <w:p w14:paraId="76E1699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Committees should be composed so as to enable comprehensive discussions of matters being</w:t>
            </w:r>
            <w:r w:rsidR="00480F9B" w:rsidRPr="00BD295E">
              <w:rPr>
                <w:rFonts w:ascii="Arial" w:hAnsi="Arial" w:cs="Arial"/>
                <w:sz w:val="18"/>
                <w:szCs w:val="18"/>
                <w:lang w:val="en-US"/>
              </w:rPr>
              <w:t xml:space="preserve"> preliminarily</w:t>
            </w:r>
            <w:r w:rsidRPr="00BD295E">
              <w:rPr>
                <w:rFonts w:ascii="Arial" w:hAnsi="Arial" w:cs="Arial"/>
                <w:sz w:val="18"/>
                <w:szCs w:val="18"/>
                <w:lang w:val="en-US"/>
              </w:rPr>
              <w:t xml:space="preserve"> reviewed, taking into account all opinions.</w:t>
            </w:r>
          </w:p>
          <w:p w14:paraId="409D47C2" w14:textId="77777777" w:rsidR="00C77CA6" w:rsidRPr="00BD295E" w:rsidRDefault="00C77CA6" w:rsidP="0027083B">
            <w:pPr>
              <w:jc w:val="both"/>
              <w:rPr>
                <w:rFonts w:ascii="Arial" w:hAnsi="Arial" w:cs="Arial"/>
                <w:sz w:val="18"/>
                <w:szCs w:val="18"/>
                <w:lang w:val="en-US"/>
              </w:rPr>
            </w:pPr>
          </w:p>
        </w:tc>
        <w:tc>
          <w:tcPr>
            <w:tcW w:w="3686" w:type="dxa"/>
          </w:tcPr>
          <w:p w14:paraId="6CD6BF6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Board’s Committees are headed by independent directors.</w:t>
            </w:r>
          </w:p>
          <w:p w14:paraId="0579E222" w14:textId="77777777" w:rsidR="00C77CA6" w:rsidRPr="00BD295E" w:rsidRDefault="00C77CA6" w:rsidP="0027083B">
            <w:pPr>
              <w:jc w:val="both"/>
              <w:rPr>
                <w:rFonts w:ascii="Arial" w:hAnsi="Arial" w:cs="Arial"/>
                <w:sz w:val="18"/>
                <w:szCs w:val="18"/>
                <w:lang w:val="en-US"/>
              </w:rPr>
            </w:pPr>
          </w:p>
        </w:tc>
        <w:tc>
          <w:tcPr>
            <w:tcW w:w="1984" w:type="dxa"/>
            <w:vMerge w:val="restart"/>
          </w:tcPr>
          <w:p w14:paraId="2FE4F4D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7D90ADD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32693E7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Some Committees of the Company’s Board of Directors have independent directors (see item 2.4.1. of this Report); however, they were not elected Chairmen of these Committees.</w:t>
            </w:r>
          </w:p>
          <w:p w14:paraId="0A8E015F" w14:textId="77777777" w:rsidR="00C77CA6" w:rsidRPr="00BD295E" w:rsidRDefault="00C77CA6" w:rsidP="0027083B">
            <w:pPr>
              <w:jc w:val="both"/>
              <w:rPr>
                <w:rFonts w:ascii="Arial" w:hAnsi="Arial" w:cs="Arial"/>
                <w:sz w:val="18"/>
                <w:szCs w:val="18"/>
                <w:lang w:val="en-US"/>
              </w:rPr>
            </w:pPr>
          </w:p>
        </w:tc>
      </w:tr>
      <w:tr w:rsidR="008A5057" w:rsidRPr="00BD295E" w14:paraId="051FF466" w14:textId="77777777" w:rsidTr="005C4056">
        <w:trPr>
          <w:trHeight w:val="841"/>
        </w:trPr>
        <w:tc>
          <w:tcPr>
            <w:tcW w:w="959" w:type="dxa"/>
            <w:vMerge/>
          </w:tcPr>
          <w:p w14:paraId="554F1973" w14:textId="77777777" w:rsidR="00C77CA6" w:rsidRPr="00BD295E" w:rsidRDefault="00C77CA6" w:rsidP="0027083B">
            <w:pPr>
              <w:jc w:val="both"/>
              <w:rPr>
                <w:rFonts w:ascii="Arial" w:hAnsi="Arial" w:cs="Arial"/>
                <w:sz w:val="18"/>
                <w:szCs w:val="18"/>
                <w:lang w:val="en-US"/>
              </w:rPr>
            </w:pPr>
          </w:p>
        </w:tc>
        <w:tc>
          <w:tcPr>
            <w:tcW w:w="4252" w:type="dxa"/>
            <w:vMerge/>
          </w:tcPr>
          <w:p w14:paraId="5690290B" w14:textId="77777777" w:rsidR="00C77CA6" w:rsidRPr="00BD295E" w:rsidRDefault="00C77CA6" w:rsidP="0027083B">
            <w:pPr>
              <w:jc w:val="both"/>
              <w:rPr>
                <w:rFonts w:ascii="Arial" w:hAnsi="Arial" w:cs="Arial"/>
                <w:sz w:val="18"/>
                <w:szCs w:val="18"/>
                <w:lang w:val="en-US"/>
              </w:rPr>
            </w:pPr>
          </w:p>
        </w:tc>
        <w:tc>
          <w:tcPr>
            <w:tcW w:w="3686" w:type="dxa"/>
          </w:tcPr>
          <w:p w14:paraId="738363C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company’s internal documents (policies) include provisions stipulating that persons who are not members of the Audit Committee, the Nomination Committee, and the Remuneration Committee may attend Committee meetings only by invitation of the Chairman of the respective Committee.</w:t>
            </w:r>
          </w:p>
          <w:p w14:paraId="1297F93A" w14:textId="77777777" w:rsidR="00C77CA6" w:rsidRPr="00BD295E" w:rsidRDefault="00C77CA6" w:rsidP="0027083B">
            <w:pPr>
              <w:jc w:val="both"/>
              <w:rPr>
                <w:rFonts w:ascii="Arial" w:hAnsi="Arial" w:cs="Arial"/>
                <w:sz w:val="18"/>
                <w:szCs w:val="18"/>
                <w:lang w:val="en-US"/>
              </w:rPr>
            </w:pPr>
          </w:p>
        </w:tc>
        <w:tc>
          <w:tcPr>
            <w:tcW w:w="1984" w:type="dxa"/>
            <w:vMerge/>
          </w:tcPr>
          <w:p w14:paraId="6B40EC6D" w14:textId="77777777" w:rsidR="00C77CA6" w:rsidRPr="00BD295E" w:rsidRDefault="00C77CA6" w:rsidP="0027083B">
            <w:pPr>
              <w:jc w:val="both"/>
              <w:rPr>
                <w:rFonts w:ascii="Arial" w:hAnsi="Arial" w:cs="Arial"/>
                <w:sz w:val="18"/>
                <w:szCs w:val="18"/>
                <w:lang w:val="en-US"/>
              </w:rPr>
            </w:pPr>
          </w:p>
        </w:tc>
        <w:tc>
          <w:tcPr>
            <w:tcW w:w="4188" w:type="dxa"/>
          </w:tcPr>
          <w:p w14:paraId="34BB00F1" w14:textId="77777777" w:rsidR="00C77CA6" w:rsidRPr="00BD295E" w:rsidRDefault="00C77CA6" w:rsidP="0027083B">
            <w:pPr>
              <w:jc w:val="both"/>
              <w:rPr>
                <w:rFonts w:ascii="Arial" w:hAnsi="Arial" w:cs="Arial"/>
                <w:sz w:val="18"/>
                <w:szCs w:val="18"/>
                <w:lang w:val="en-US"/>
              </w:rPr>
            </w:pPr>
          </w:p>
        </w:tc>
      </w:tr>
      <w:tr w:rsidR="008A5057" w:rsidRPr="00BD295E" w14:paraId="726E229A" w14:textId="77777777" w:rsidTr="005C4056">
        <w:tc>
          <w:tcPr>
            <w:tcW w:w="959" w:type="dxa"/>
          </w:tcPr>
          <w:p w14:paraId="35EF8E2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2.8.6</w:t>
            </w:r>
          </w:p>
        </w:tc>
        <w:tc>
          <w:tcPr>
            <w:tcW w:w="4252" w:type="dxa"/>
          </w:tcPr>
          <w:p w14:paraId="422E12C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Committee Chairmen inform the Board of Directors and its Chairman on the performance of their respective Committees on a regular basis.</w:t>
            </w:r>
          </w:p>
          <w:p w14:paraId="7C92A870" w14:textId="77777777" w:rsidR="00C77CA6" w:rsidRPr="00BD295E" w:rsidRDefault="00C77CA6" w:rsidP="0027083B">
            <w:pPr>
              <w:jc w:val="both"/>
              <w:rPr>
                <w:rFonts w:ascii="Arial" w:hAnsi="Arial" w:cs="Arial"/>
                <w:sz w:val="18"/>
                <w:szCs w:val="18"/>
                <w:lang w:val="en-US"/>
              </w:rPr>
            </w:pPr>
          </w:p>
        </w:tc>
        <w:tc>
          <w:tcPr>
            <w:tcW w:w="3686" w:type="dxa"/>
          </w:tcPr>
          <w:p w14:paraId="2154DC9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Committee Chairmen informed the Board of Directors on the performance of their respective Committees on a regular basis.</w:t>
            </w:r>
          </w:p>
          <w:p w14:paraId="4F9EF866" w14:textId="77777777" w:rsidR="00C77CA6" w:rsidRPr="00BD295E" w:rsidRDefault="00C77CA6" w:rsidP="0027083B">
            <w:pPr>
              <w:jc w:val="both"/>
              <w:rPr>
                <w:rFonts w:ascii="Arial" w:hAnsi="Arial" w:cs="Arial"/>
                <w:sz w:val="18"/>
                <w:szCs w:val="18"/>
                <w:lang w:val="en-US"/>
              </w:rPr>
            </w:pPr>
          </w:p>
        </w:tc>
        <w:tc>
          <w:tcPr>
            <w:tcW w:w="1984" w:type="dxa"/>
          </w:tcPr>
          <w:p w14:paraId="20AC4AB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0CBAB994" w14:textId="77777777" w:rsidR="00C77CA6" w:rsidRPr="00BD295E" w:rsidRDefault="00C77CA6" w:rsidP="0027083B">
            <w:pPr>
              <w:jc w:val="both"/>
              <w:rPr>
                <w:rFonts w:ascii="Arial" w:hAnsi="Arial" w:cs="Arial"/>
                <w:sz w:val="18"/>
                <w:szCs w:val="18"/>
                <w:lang w:val="en-US"/>
              </w:rPr>
            </w:pPr>
          </w:p>
        </w:tc>
      </w:tr>
      <w:tr w:rsidR="008A5057" w:rsidRPr="00BD295E" w14:paraId="41D8A317" w14:textId="77777777" w:rsidTr="005C4056">
        <w:tc>
          <w:tcPr>
            <w:tcW w:w="959" w:type="dxa"/>
          </w:tcPr>
          <w:p w14:paraId="063264D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w:t>
            </w:r>
            <w:r w:rsidR="00D0333D" w:rsidRPr="00BD295E">
              <w:rPr>
                <w:rFonts w:ascii="Arial" w:hAnsi="Arial" w:cs="Arial"/>
                <w:sz w:val="18"/>
                <w:szCs w:val="18"/>
                <w:lang w:val="en-US"/>
              </w:rPr>
              <w:t>.</w:t>
            </w:r>
            <w:r w:rsidRPr="00BD295E">
              <w:rPr>
                <w:rFonts w:ascii="Arial" w:hAnsi="Arial" w:cs="Arial"/>
                <w:sz w:val="18"/>
                <w:szCs w:val="18"/>
                <w:lang w:val="en-US"/>
              </w:rPr>
              <w:t>9</w:t>
            </w:r>
          </w:p>
        </w:tc>
        <w:tc>
          <w:tcPr>
            <w:tcW w:w="14110" w:type="dxa"/>
            <w:gridSpan w:val="4"/>
          </w:tcPr>
          <w:p w14:paraId="5654099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ensures performance assessment of the Board of Directors, its Committees, and directors.</w:t>
            </w:r>
          </w:p>
          <w:p w14:paraId="7100AC23" w14:textId="77777777" w:rsidR="00C77CA6" w:rsidRPr="00BD295E" w:rsidRDefault="00C77CA6" w:rsidP="0027083B">
            <w:pPr>
              <w:jc w:val="both"/>
              <w:rPr>
                <w:rFonts w:ascii="Arial" w:hAnsi="Arial" w:cs="Arial"/>
                <w:sz w:val="18"/>
                <w:szCs w:val="18"/>
                <w:lang w:val="en-US"/>
              </w:rPr>
            </w:pPr>
          </w:p>
        </w:tc>
      </w:tr>
      <w:tr w:rsidR="008A5057" w:rsidRPr="00BD295E" w14:paraId="64F02886" w14:textId="77777777" w:rsidTr="005C4056">
        <w:trPr>
          <w:trHeight w:val="561"/>
        </w:trPr>
        <w:tc>
          <w:tcPr>
            <w:tcW w:w="959" w:type="dxa"/>
            <w:vMerge w:val="restart"/>
          </w:tcPr>
          <w:p w14:paraId="2EF5843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2.9.1</w:t>
            </w:r>
          </w:p>
        </w:tc>
        <w:tc>
          <w:tcPr>
            <w:tcW w:w="4252" w:type="dxa"/>
            <w:vMerge w:val="restart"/>
          </w:tcPr>
          <w:p w14:paraId="1BDF250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performance assessment aims to assess the effectiveness of the Board of Directors, its Committees and directors and compliance of their activities with the Company’s development requirements, as well as to facilitate the activities of the Board of Directors and identify areas for improvement.</w:t>
            </w:r>
          </w:p>
          <w:p w14:paraId="5A9C439A" w14:textId="77777777" w:rsidR="00C77CA6" w:rsidRPr="00BD295E" w:rsidRDefault="00C77CA6" w:rsidP="0027083B">
            <w:pPr>
              <w:jc w:val="both"/>
              <w:rPr>
                <w:rFonts w:ascii="Arial" w:hAnsi="Arial" w:cs="Arial"/>
                <w:sz w:val="18"/>
                <w:szCs w:val="18"/>
                <w:lang w:val="en-US"/>
              </w:rPr>
            </w:pPr>
          </w:p>
        </w:tc>
        <w:tc>
          <w:tcPr>
            <w:tcW w:w="3686" w:type="dxa"/>
          </w:tcPr>
          <w:p w14:paraId="37DA3E6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Self-assessment or external assessment of the Board of Directors’ performance carried out in the reporting period included performance assessment of Committees, individual directors, and the Board of Directors in general.</w:t>
            </w:r>
          </w:p>
          <w:p w14:paraId="4A994FAF" w14:textId="77777777" w:rsidR="00C77CA6" w:rsidRPr="00BD295E" w:rsidRDefault="00C77CA6" w:rsidP="0027083B">
            <w:pPr>
              <w:jc w:val="both"/>
              <w:rPr>
                <w:rFonts w:ascii="Arial" w:hAnsi="Arial" w:cs="Arial"/>
                <w:sz w:val="18"/>
                <w:szCs w:val="18"/>
                <w:lang w:val="en-US"/>
              </w:rPr>
            </w:pPr>
          </w:p>
        </w:tc>
        <w:tc>
          <w:tcPr>
            <w:tcW w:w="1984" w:type="dxa"/>
            <w:vMerge w:val="restart"/>
          </w:tcPr>
          <w:p w14:paraId="7692CAF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7881FA4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2D6BD38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2018, the Company did not conduct any self-evaluation or external evaluation of the Board of Directors, which would include a performance evaluation of Board Committees, individual members of the Board of Directors, and the Board of Directors as a whole.</w:t>
            </w:r>
          </w:p>
          <w:p w14:paraId="1C9DE7F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However, in 2018, the Company’s internal auditor conducted a performance evaluation of the Company’s corporate governance for 2017, which included an evaluation of the Board of Directors and its Committees. The results of the evaluation and an activity plan to improve corporate governance were reviewed by the Board of Directors on August 1, 2018 (Minutes No. 3 </w:t>
            </w:r>
            <w:r w:rsidR="008B183C" w:rsidRPr="00BD295E">
              <w:rPr>
                <w:rFonts w:ascii="Arial" w:hAnsi="Arial" w:cs="Arial"/>
                <w:sz w:val="18"/>
                <w:szCs w:val="18"/>
                <w:lang w:val="en-US"/>
              </w:rPr>
              <w:t>of</w:t>
            </w:r>
            <w:r w:rsidRPr="00BD295E">
              <w:rPr>
                <w:rFonts w:ascii="Arial" w:hAnsi="Arial" w:cs="Arial"/>
                <w:sz w:val="18"/>
                <w:szCs w:val="18"/>
                <w:lang w:val="en-US"/>
              </w:rPr>
              <w:t xml:space="preserve"> August 6, 2018). </w:t>
            </w:r>
          </w:p>
          <w:p w14:paraId="70D98C81" w14:textId="77777777" w:rsidR="00C77CA6" w:rsidRPr="00BD295E" w:rsidRDefault="00C77CA6" w:rsidP="0027083B">
            <w:pPr>
              <w:jc w:val="both"/>
              <w:rPr>
                <w:rFonts w:ascii="Arial" w:hAnsi="Arial" w:cs="Arial"/>
                <w:sz w:val="18"/>
                <w:szCs w:val="18"/>
                <w:lang w:val="en-US"/>
              </w:rPr>
            </w:pPr>
          </w:p>
        </w:tc>
      </w:tr>
      <w:tr w:rsidR="008A5057" w:rsidRPr="00BD295E" w14:paraId="69CB89C7" w14:textId="77777777" w:rsidTr="005C4056">
        <w:trPr>
          <w:trHeight w:val="1427"/>
        </w:trPr>
        <w:tc>
          <w:tcPr>
            <w:tcW w:w="959" w:type="dxa"/>
            <w:vMerge/>
          </w:tcPr>
          <w:p w14:paraId="6C4F79AA" w14:textId="77777777" w:rsidR="00C77CA6" w:rsidRPr="00BD295E" w:rsidRDefault="00C77CA6" w:rsidP="0027083B">
            <w:pPr>
              <w:jc w:val="both"/>
              <w:rPr>
                <w:rFonts w:ascii="Arial" w:hAnsi="Arial" w:cs="Arial"/>
                <w:sz w:val="18"/>
                <w:szCs w:val="18"/>
                <w:lang w:val="en-US"/>
              </w:rPr>
            </w:pPr>
          </w:p>
        </w:tc>
        <w:tc>
          <w:tcPr>
            <w:tcW w:w="4252" w:type="dxa"/>
            <w:vMerge/>
          </w:tcPr>
          <w:p w14:paraId="3FFB588F" w14:textId="77777777" w:rsidR="00C77CA6" w:rsidRPr="00BD295E" w:rsidRDefault="00C77CA6" w:rsidP="0027083B">
            <w:pPr>
              <w:jc w:val="both"/>
              <w:rPr>
                <w:rFonts w:ascii="Arial" w:hAnsi="Arial" w:cs="Arial"/>
                <w:sz w:val="18"/>
                <w:szCs w:val="18"/>
                <w:lang w:val="en-US"/>
              </w:rPr>
            </w:pPr>
          </w:p>
        </w:tc>
        <w:tc>
          <w:tcPr>
            <w:tcW w:w="3686" w:type="dxa"/>
          </w:tcPr>
          <w:p w14:paraId="28812BB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Results of self-assessment or external assessment of the Board of Directors’ performance carried out in the reporting period were reviewed at an in-person meeting of the board of directors.</w:t>
            </w:r>
          </w:p>
          <w:p w14:paraId="7E769CB6" w14:textId="77777777" w:rsidR="00C77CA6" w:rsidRPr="00BD295E" w:rsidRDefault="00C77CA6" w:rsidP="0027083B">
            <w:pPr>
              <w:jc w:val="both"/>
              <w:rPr>
                <w:rFonts w:ascii="Arial" w:hAnsi="Arial" w:cs="Arial"/>
                <w:sz w:val="18"/>
                <w:szCs w:val="18"/>
                <w:lang w:val="en-US"/>
              </w:rPr>
            </w:pPr>
          </w:p>
        </w:tc>
        <w:tc>
          <w:tcPr>
            <w:tcW w:w="1984" w:type="dxa"/>
            <w:vMerge/>
          </w:tcPr>
          <w:p w14:paraId="2766E9C8" w14:textId="77777777" w:rsidR="00C77CA6" w:rsidRPr="00BD295E" w:rsidRDefault="00C77CA6" w:rsidP="0027083B">
            <w:pPr>
              <w:jc w:val="both"/>
              <w:rPr>
                <w:rFonts w:ascii="Arial" w:hAnsi="Arial" w:cs="Arial"/>
                <w:sz w:val="18"/>
                <w:szCs w:val="18"/>
                <w:lang w:val="en-US"/>
              </w:rPr>
            </w:pPr>
          </w:p>
        </w:tc>
        <w:tc>
          <w:tcPr>
            <w:tcW w:w="4188" w:type="dxa"/>
          </w:tcPr>
          <w:p w14:paraId="3223544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1065119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 2018, the Company’s Board of Directors did not review the results of any self-evaluation or external evaluation of the Board of Directors for reasons detailed in item 2.9.1 of this Report.</w:t>
            </w:r>
          </w:p>
          <w:p w14:paraId="1060B9FB" w14:textId="77777777" w:rsidR="00C77CA6" w:rsidRPr="00BD295E" w:rsidRDefault="00C77CA6" w:rsidP="0027083B">
            <w:pPr>
              <w:jc w:val="both"/>
              <w:rPr>
                <w:rFonts w:ascii="Arial" w:hAnsi="Arial" w:cs="Arial"/>
                <w:sz w:val="18"/>
                <w:szCs w:val="18"/>
                <w:lang w:val="en-US"/>
              </w:rPr>
            </w:pPr>
          </w:p>
        </w:tc>
      </w:tr>
      <w:tr w:rsidR="008A5057" w:rsidRPr="00BD295E" w14:paraId="76A31161" w14:textId="77777777" w:rsidTr="005C4056">
        <w:tc>
          <w:tcPr>
            <w:tcW w:w="959" w:type="dxa"/>
          </w:tcPr>
          <w:p w14:paraId="40718EF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2.9.2</w:t>
            </w:r>
          </w:p>
        </w:tc>
        <w:tc>
          <w:tcPr>
            <w:tcW w:w="4252" w:type="dxa"/>
          </w:tcPr>
          <w:p w14:paraId="5F86038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Performance of the board of directors, its committees, and members is assessed regularly at least once a year. An external advisor is engaged at least once in three years to conduct an independent assessment of the board of directors’ performance.</w:t>
            </w:r>
          </w:p>
          <w:p w14:paraId="33431B0E" w14:textId="77777777" w:rsidR="00C77CA6" w:rsidRPr="00BD295E" w:rsidRDefault="00C77CA6" w:rsidP="0027083B">
            <w:pPr>
              <w:jc w:val="both"/>
              <w:rPr>
                <w:rFonts w:ascii="Arial" w:hAnsi="Arial" w:cs="Arial"/>
                <w:sz w:val="18"/>
                <w:szCs w:val="18"/>
                <w:lang w:val="en-US"/>
              </w:rPr>
            </w:pPr>
          </w:p>
        </w:tc>
        <w:tc>
          <w:tcPr>
            <w:tcW w:w="3686" w:type="dxa"/>
          </w:tcPr>
          <w:p w14:paraId="3071B1F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engaged an external advisor to conduct an independent assessment of the board of directors’ performance at least once over the last three reporting periods.</w:t>
            </w:r>
          </w:p>
          <w:p w14:paraId="14C52E52" w14:textId="77777777" w:rsidR="00C77CA6" w:rsidRPr="00BD295E" w:rsidRDefault="00C77CA6" w:rsidP="0027083B">
            <w:pPr>
              <w:jc w:val="both"/>
              <w:rPr>
                <w:rFonts w:ascii="Arial" w:hAnsi="Arial" w:cs="Arial"/>
                <w:sz w:val="18"/>
                <w:szCs w:val="18"/>
                <w:lang w:val="en-US"/>
              </w:rPr>
            </w:pPr>
          </w:p>
        </w:tc>
        <w:tc>
          <w:tcPr>
            <w:tcW w:w="1984" w:type="dxa"/>
          </w:tcPr>
          <w:p w14:paraId="6B8EAE3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None</w:t>
            </w:r>
          </w:p>
        </w:tc>
        <w:tc>
          <w:tcPr>
            <w:tcW w:w="4188" w:type="dxa"/>
          </w:tcPr>
          <w:p w14:paraId="5BBF720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5A86CAA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Within the last three reporting periods, the Company has not engaged an external organization (adviser) to carry out an independent assessment of the Board of Directors’ performance.</w:t>
            </w:r>
          </w:p>
          <w:p w14:paraId="0019BE38" w14:textId="77777777" w:rsidR="00C77CA6" w:rsidRPr="00BD295E" w:rsidRDefault="00C77CA6" w:rsidP="0027083B">
            <w:pPr>
              <w:jc w:val="both"/>
              <w:rPr>
                <w:rFonts w:ascii="Arial" w:hAnsi="Arial" w:cs="Arial"/>
                <w:sz w:val="18"/>
                <w:szCs w:val="18"/>
                <w:lang w:val="en-US"/>
              </w:rPr>
            </w:pPr>
          </w:p>
        </w:tc>
      </w:tr>
      <w:tr w:rsidR="008A5057" w:rsidRPr="00BD295E" w14:paraId="660F99C5" w14:textId="77777777" w:rsidTr="005C4056">
        <w:tc>
          <w:tcPr>
            <w:tcW w:w="959" w:type="dxa"/>
          </w:tcPr>
          <w:p w14:paraId="68DEA86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w:t>
            </w:r>
            <w:r w:rsidR="00D0333D" w:rsidRPr="00BD295E">
              <w:rPr>
                <w:rFonts w:ascii="Arial" w:hAnsi="Arial" w:cs="Arial"/>
                <w:sz w:val="18"/>
                <w:szCs w:val="18"/>
                <w:lang w:val="en-US"/>
              </w:rPr>
              <w:t>.</w:t>
            </w:r>
            <w:r w:rsidRPr="00BD295E">
              <w:rPr>
                <w:rFonts w:ascii="Arial" w:hAnsi="Arial" w:cs="Arial"/>
                <w:sz w:val="18"/>
                <w:szCs w:val="18"/>
                <w:lang w:val="en-US"/>
              </w:rPr>
              <w:t>1</w:t>
            </w:r>
          </w:p>
        </w:tc>
        <w:tc>
          <w:tcPr>
            <w:tcW w:w="14110" w:type="dxa"/>
            <w:gridSpan w:val="4"/>
          </w:tcPr>
          <w:p w14:paraId="40F064B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corporate secretary ensures efficient ongoing interaction with shareholders, coordinates the company’s efforts to protect shareholder rights and interests, and supports efficient performance of the board of directors.</w:t>
            </w:r>
          </w:p>
          <w:p w14:paraId="6153C73F" w14:textId="77777777" w:rsidR="00C77CA6" w:rsidRPr="00BD295E" w:rsidRDefault="00C77CA6" w:rsidP="0027083B">
            <w:pPr>
              <w:jc w:val="both"/>
              <w:rPr>
                <w:rFonts w:ascii="Arial" w:hAnsi="Arial" w:cs="Arial"/>
                <w:sz w:val="18"/>
                <w:szCs w:val="18"/>
                <w:lang w:val="en-US"/>
              </w:rPr>
            </w:pPr>
          </w:p>
        </w:tc>
      </w:tr>
      <w:tr w:rsidR="008A5057" w:rsidRPr="00BD295E" w14:paraId="43D59A64" w14:textId="77777777" w:rsidTr="005C4056">
        <w:trPr>
          <w:trHeight w:val="951"/>
        </w:trPr>
        <w:tc>
          <w:tcPr>
            <w:tcW w:w="959" w:type="dxa"/>
            <w:vMerge w:val="restart"/>
          </w:tcPr>
          <w:p w14:paraId="7F8B0B4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3.1.1</w:t>
            </w:r>
          </w:p>
        </w:tc>
        <w:tc>
          <w:tcPr>
            <w:tcW w:w="4252" w:type="dxa"/>
            <w:vMerge w:val="restart"/>
          </w:tcPr>
          <w:p w14:paraId="143BC40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corporate secretary has the expertise, experience and qualifications sufficient to perform his/her duties, as well as an impeccable reputation and the trust of shareholders.</w:t>
            </w:r>
          </w:p>
          <w:p w14:paraId="53DB6342" w14:textId="77777777" w:rsidR="00C77CA6" w:rsidRPr="00BD295E" w:rsidRDefault="00C77CA6" w:rsidP="0027083B">
            <w:pPr>
              <w:jc w:val="both"/>
              <w:rPr>
                <w:rFonts w:ascii="Arial" w:hAnsi="Arial" w:cs="Arial"/>
                <w:sz w:val="18"/>
                <w:szCs w:val="18"/>
                <w:lang w:val="en-US"/>
              </w:rPr>
            </w:pPr>
          </w:p>
        </w:tc>
        <w:tc>
          <w:tcPr>
            <w:tcW w:w="3686" w:type="dxa"/>
          </w:tcPr>
          <w:p w14:paraId="227BAF5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adopted and published an internal document – Regulations for the Corporate Secretary.</w:t>
            </w:r>
          </w:p>
          <w:p w14:paraId="7E02B109" w14:textId="77777777" w:rsidR="00C77CA6" w:rsidRPr="00BD295E" w:rsidRDefault="00C77CA6" w:rsidP="0027083B">
            <w:pPr>
              <w:jc w:val="both"/>
              <w:rPr>
                <w:rFonts w:ascii="Arial" w:hAnsi="Arial" w:cs="Arial"/>
                <w:sz w:val="18"/>
                <w:szCs w:val="18"/>
                <w:lang w:val="en-US"/>
              </w:rPr>
            </w:pPr>
          </w:p>
        </w:tc>
        <w:tc>
          <w:tcPr>
            <w:tcW w:w="1984" w:type="dxa"/>
            <w:vMerge w:val="restart"/>
          </w:tcPr>
          <w:p w14:paraId="484E9FF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0B5B2CE2" w14:textId="77777777" w:rsidR="00C77CA6" w:rsidRPr="00BD295E" w:rsidRDefault="00C77CA6" w:rsidP="0027083B">
            <w:pPr>
              <w:jc w:val="both"/>
              <w:rPr>
                <w:rFonts w:ascii="Arial" w:hAnsi="Arial" w:cs="Arial"/>
                <w:sz w:val="18"/>
                <w:szCs w:val="18"/>
                <w:lang w:val="en-US"/>
              </w:rPr>
            </w:pPr>
          </w:p>
        </w:tc>
      </w:tr>
      <w:tr w:rsidR="008A5057" w:rsidRPr="00BD295E" w14:paraId="75EA4899" w14:textId="77777777" w:rsidTr="005C4056">
        <w:trPr>
          <w:trHeight w:val="1221"/>
        </w:trPr>
        <w:tc>
          <w:tcPr>
            <w:tcW w:w="959" w:type="dxa"/>
            <w:vMerge/>
          </w:tcPr>
          <w:p w14:paraId="7490C252" w14:textId="77777777" w:rsidR="00C77CA6" w:rsidRPr="00BD295E" w:rsidRDefault="00C77CA6" w:rsidP="0027083B">
            <w:pPr>
              <w:jc w:val="both"/>
              <w:rPr>
                <w:rFonts w:ascii="Arial" w:hAnsi="Arial" w:cs="Arial"/>
                <w:sz w:val="18"/>
                <w:szCs w:val="18"/>
                <w:lang w:val="en-US"/>
              </w:rPr>
            </w:pPr>
          </w:p>
        </w:tc>
        <w:tc>
          <w:tcPr>
            <w:tcW w:w="4252" w:type="dxa"/>
            <w:vMerge/>
          </w:tcPr>
          <w:p w14:paraId="707BB561" w14:textId="77777777" w:rsidR="00C77CA6" w:rsidRPr="00BD295E" w:rsidRDefault="00C77CA6" w:rsidP="0027083B">
            <w:pPr>
              <w:jc w:val="both"/>
              <w:rPr>
                <w:rFonts w:ascii="Arial" w:hAnsi="Arial" w:cs="Arial"/>
                <w:sz w:val="18"/>
                <w:szCs w:val="18"/>
                <w:lang w:val="en-US"/>
              </w:rPr>
            </w:pPr>
          </w:p>
        </w:tc>
        <w:tc>
          <w:tcPr>
            <w:tcW w:w="3686" w:type="dxa"/>
          </w:tcPr>
          <w:p w14:paraId="54EA322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biographical data of the corporate secretary is published on the corporate website and in the company’s annual report with the same level of detail as for members of the board of directors and the company’s executives.</w:t>
            </w:r>
          </w:p>
          <w:p w14:paraId="37934CB3" w14:textId="77777777" w:rsidR="00C77CA6" w:rsidRPr="00BD295E" w:rsidRDefault="00C77CA6" w:rsidP="0027083B">
            <w:pPr>
              <w:jc w:val="both"/>
              <w:rPr>
                <w:rFonts w:ascii="Arial" w:hAnsi="Arial" w:cs="Arial"/>
                <w:sz w:val="18"/>
                <w:szCs w:val="18"/>
                <w:lang w:val="en-US"/>
              </w:rPr>
            </w:pPr>
          </w:p>
        </w:tc>
        <w:tc>
          <w:tcPr>
            <w:tcW w:w="1984" w:type="dxa"/>
            <w:vMerge/>
          </w:tcPr>
          <w:p w14:paraId="28F247E5" w14:textId="77777777" w:rsidR="00C77CA6" w:rsidRPr="00BD295E" w:rsidRDefault="00C77CA6" w:rsidP="0027083B">
            <w:pPr>
              <w:jc w:val="both"/>
              <w:rPr>
                <w:rFonts w:ascii="Arial" w:hAnsi="Arial" w:cs="Arial"/>
                <w:sz w:val="18"/>
                <w:szCs w:val="18"/>
                <w:lang w:val="en-US"/>
              </w:rPr>
            </w:pPr>
          </w:p>
        </w:tc>
        <w:tc>
          <w:tcPr>
            <w:tcW w:w="4188" w:type="dxa"/>
            <w:vMerge/>
          </w:tcPr>
          <w:p w14:paraId="71BCE000" w14:textId="77777777" w:rsidR="00C77CA6" w:rsidRPr="00BD295E" w:rsidRDefault="00C77CA6" w:rsidP="0027083B">
            <w:pPr>
              <w:jc w:val="both"/>
              <w:rPr>
                <w:rFonts w:ascii="Arial" w:hAnsi="Arial" w:cs="Arial"/>
                <w:sz w:val="18"/>
                <w:szCs w:val="18"/>
                <w:lang w:val="en-US"/>
              </w:rPr>
            </w:pPr>
          </w:p>
        </w:tc>
      </w:tr>
      <w:tr w:rsidR="008A5057" w:rsidRPr="00BD295E" w14:paraId="292B974E" w14:textId="77777777" w:rsidTr="005C4056">
        <w:tc>
          <w:tcPr>
            <w:tcW w:w="959" w:type="dxa"/>
          </w:tcPr>
          <w:p w14:paraId="37F0054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3.1.2</w:t>
            </w:r>
          </w:p>
        </w:tc>
        <w:tc>
          <w:tcPr>
            <w:tcW w:w="4252" w:type="dxa"/>
          </w:tcPr>
          <w:p w14:paraId="0E082E3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corporate secretary should be sufficiently independent of the company’s executive bodies and be vested with powers and resources required to perform his/her tasks.</w:t>
            </w:r>
          </w:p>
          <w:p w14:paraId="6AE1EC9D" w14:textId="77777777" w:rsidR="00C77CA6" w:rsidRPr="00BD295E" w:rsidRDefault="00C77CA6" w:rsidP="0027083B">
            <w:pPr>
              <w:jc w:val="both"/>
              <w:rPr>
                <w:rFonts w:ascii="Arial" w:hAnsi="Arial" w:cs="Arial"/>
                <w:sz w:val="18"/>
                <w:szCs w:val="18"/>
                <w:lang w:val="en-US"/>
              </w:rPr>
            </w:pPr>
          </w:p>
          <w:p w14:paraId="783F2DCE" w14:textId="77777777" w:rsidR="00C77CA6" w:rsidRPr="00BD295E" w:rsidRDefault="00C77CA6" w:rsidP="0027083B">
            <w:pPr>
              <w:jc w:val="both"/>
              <w:rPr>
                <w:rFonts w:ascii="Arial" w:hAnsi="Arial" w:cs="Arial"/>
                <w:sz w:val="18"/>
                <w:szCs w:val="18"/>
                <w:lang w:val="en-US"/>
              </w:rPr>
            </w:pPr>
          </w:p>
          <w:p w14:paraId="2ACD31E5" w14:textId="77777777" w:rsidR="00C77CA6" w:rsidRPr="00BD295E" w:rsidRDefault="00C77CA6" w:rsidP="0027083B">
            <w:pPr>
              <w:jc w:val="both"/>
              <w:rPr>
                <w:rFonts w:ascii="Arial" w:hAnsi="Arial" w:cs="Arial"/>
                <w:sz w:val="18"/>
                <w:szCs w:val="18"/>
                <w:lang w:val="en-US"/>
              </w:rPr>
            </w:pPr>
          </w:p>
        </w:tc>
        <w:tc>
          <w:tcPr>
            <w:tcW w:w="3686" w:type="dxa"/>
          </w:tcPr>
          <w:p w14:paraId="1CFFF3F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Board of Directors approves the appointment, dismissal, and additional remuneration of the corporate secretary.</w:t>
            </w:r>
          </w:p>
          <w:p w14:paraId="223FE390" w14:textId="77777777" w:rsidR="00C77CA6" w:rsidRPr="00BD295E" w:rsidRDefault="00C77CA6" w:rsidP="0027083B">
            <w:pPr>
              <w:jc w:val="both"/>
              <w:rPr>
                <w:rFonts w:ascii="Arial" w:hAnsi="Arial" w:cs="Arial"/>
                <w:sz w:val="18"/>
                <w:szCs w:val="18"/>
                <w:lang w:val="en-US"/>
              </w:rPr>
            </w:pPr>
          </w:p>
        </w:tc>
        <w:tc>
          <w:tcPr>
            <w:tcW w:w="1984" w:type="dxa"/>
          </w:tcPr>
          <w:p w14:paraId="0809DD1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7D7268CE" w14:textId="77777777" w:rsidR="00C77CA6" w:rsidRPr="00BD295E" w:rsidRDefault="00C77CA6" w:rsidP="0027083B">
            <w:pPr>
              <w:jc w:val="both"/>
              <w:rPr>
                <w:rFonts w:ascii="Arial" w:hAnsi="Arial" w:cs="Arial"/>
                <w:sz w:val="18"/>
                <w:szCs w:val="18"/>
                <w:lang w:val="en-US"/>
              </w:rPr>
            </w:pPr>
          </w:p>
        </w:tc>
      </w:tr>
      <w:tr w:rsidR="008A5057" w:rsidRPr="00BD295E" w14:paraId="1D71EE1C" w14:textId="77777777" w:rsidTr="005C4056">
        <w:tc>
          <w:tcPr>
            <w:tcW w:w="959" w:type="dxa"/>
          </w:tcPr>
          <w:p w14:paraId="0858578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w:t>
            </w:r>
            <w:r w:rsidR="00D0333D" w:rsidRPr="00BD295E">
              <w:rPr>
                <w:rFonts w:ascii="Arial" w:hAnsi="Arial" w:cs="Arial"/>
                <w:sz w:val="18"/>
                <w:szCs w:val="18"/>
                <w:lang w:val="en-US"/>
              </w:rPr>
              <w:t>.</w:t>
            </w:r>
            <w:r w:rsidRPr="00BD295E">
              <w:rPr>
                <w:rFonts w:ascii="Arial" w:hAnsi="Arial" w:cs="Arial"/>
                <w:sz w:val="18"/>
                <w:szCs w:val="18"/>
                <w:lang w:val="en-US"/>
              </w:rPr>
              <w:t>1</w:t>
            </w:r>
          </w:p>
        </w:tc>
        <w:tc>
          <w:tcPr>
            <w:tcW w:w="14110" w:type="dxa"/>
            <w:gridSpan w:val="4"/>
          </w:tcPr>
          <w:p w14:paraId="4023188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Remuneration payable by the company is sufficient to attract, motivate, and retain people with competencies and qualifications required by the company. Remuneration payable to directors, executive bodies and other key executives of the company is in compliance with the approved remuneration policy of the company.</w:t>
            </w:r>
          </w:p>
        </w:tc>
      </w:tr>
      <w:tr w:rsidR="008A5057" w:rsidRPr="00BD295E" w14:paraId="7EC6151F" w14:textId="77777777" w:rsidTr="005C4056">
        <w:tc>
          <w:tcPr>
            <w:tcW w:w="959" w:type="dxa"/>
          </w:tcPr>
          <w:p w14:paraId="36C8589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4.1.1</w:t>
            </w:r>
          </w:p>
        </w:tc>
        <w:tc>
          <w:tcPr>
            <w:tcW w:w="4252" w:type="dxa"/>
          </w:tcPr>
          <w:p w14:paraId="3EFAE64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amount of remuneration paid by the company to directors, executive bodies, and other key executives creates sufficient incentives for them to work efficiently, while enabling the company to engage and retain competent and qualified specialists. In doing so, the company avoids granting any remuneration that is higher than necessary, as well as any unjustifiably large gap between the remuneration of the above persons and the company’s employees.</w:t>
            </w:r>
          </w:p>
        </w:tc>
        <w:tc>
          <w:tcPr>
            <w:tcW w:w="3686" w:type="dxa"/>
          </w:tcPr>
          <w:p w14:paraId="3A611AB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in place an internal document (internal documents) – the policy (policies) on remuneration of members of the board of directors, executive bodies, and other key executives, which clearly defines the approaches to remuneration of the above persons.</w:t>
            </w:r>
          </w:p>
          <w:p w14:paraId="3A49DD88" w14:textId="77777777" w:rsidR="00C77CA6" w:rsidRPr="00BD295E" w:rsidRDefault="00C77CA6" w:rsidP="0027083B">
            <w:pPr>
              <w:jc w:val="both"/>
              <w:rPr>
                <w:rFonts w:ascii="Arial" w:hAnsi="Arial" w:cs="Arial"/>
                <w:sz w:val="18"/>
                <w:szCs w:val="18"/>
                <w:lang w:val="en-US"/>
              </w:rPr>
            </w:pPr>
          </w:p>
        </w:tc>
        <w:tc>
          <w:tcPr>
            <w:tcW w:w="1984" w:type="dxa"/>
          </w:tcPr>
          <w:p w14:paraId="3EC46D1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1099FE86" w14:textId="77777777" w:rsidR="00C77CA6" w:rsidRPr="00BD295E" w:rsidRDefault="00C77CA6" w:rsidP="0027083B">
            <w:pPr>
              <w:jc w:val="both"/>
              <w:rPr>
                <w:rFonts w:ascii="Arial" w:hAnsi="Arial" w:cs="Arial"/>
                <w:sz w:val="18"/>
                <w:szCs w:val="18"/>
                <w:lang w:val="en-US"/>
              </w:rPr>
            </w:pPr>
          </w:p>
        </w:tc>
      </w:tr>
      <w:tr w:rsidR="008A5057" w:rsidRPr="00BD295E" w14:paraId="6A8955AB" w14:textId="77777777" w:rsidTr="005C4056">
        <w:tc>
          <w:tcPr>
            <w:tcW w:w="959" w:type="dxa"/>
          </w:tcPr>
          <w:p w14:paraId="10253A2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4.1.2</w:t>
            </w:r>
          </w:p>
        </w:tc>
        <w:tc>
          <w:tcPr>
            <w:tcW w:w="4252" w:type="dxa"/>
          </w:tcPr>
          <w:p w14:paraId="7F35AA2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remuneration policy is designed by the Remuneration Committee and approved by the board of directors. The board of directors, assisted by the Remuneration Committee, ensures control over the introduction and implementation of the company’s remuneration policy, revising and amending it as required.</w:t>
            </w:r>
          </w:p>
          <w:p w14:paraId="48CEC51C" w14:textId="77777777" w:rsidR="00C77CA6" w:rsidRPr="00BD295E" w:rsidRDefault="00C77CA6" w:rsidP="0027083B">
            <w:pPr>
              <w:jc w:val="both"/>
              <w:rPr>
                <w:rFonts w:ascii="Arial" w:hAnsi="Arial" w:cs="Arial"/>
                <w:sz w:val="18"/>
                <w:szCs w:val="18"/>
                <w:lang w:val="en-US"/>
              </w:rPr>
            </w:pPr>
          </w:p>
        </w:tc>
        <w:tc>
          <w:tcPr>
            <w:tcW w:w="3686" w:type="dxa"/>
          </w:tcPr>
          <w:p w14:paraId="3F6C9CB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During the reporting period, the Remuneration Committee reviewed the remuneration policy (policies) and its (their) implementation practices to provide relevant recommendations to the board of directors as required.</w:t>
            </w:r>
          </w:p>
          <w:p w14:paraId="44C4CE47" w14:textId="77777777" w:rsidR="00C77CA6" w:rsidRPr="00BD295E" w:rsidRDefault="00C77CA6" w:rsidP="0027083B">
            <w:pPr>
              <w:jc w:val="both"/>
              <w:rPr>
                <w:rFonts w:ascii="Arial" w:hAnsi="Arial" w:cs="Arial"/>
                <w:sz w:val="18"/>
                <w:szCs w:val="18"/>
                <w:lang w:val="en-US"/>
              </w:rPr>
            </w:pPr>
          </w:p>
        </w:tc>
        <w:tc>
          <w:tcPr>
            <w:tcW w:w="1984" w:type="dxa"/>
          </w:tcPr>
          <w:p w14:paraId="4D2A63A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6E3E63D8" w14:textId="77777777" w:rsidR="00C77CA6" w:rsidRPr="00BD295E" w:rsidRDefault="00C77CA6" w:rsidP="0027083B">
            <w:pPr>
              <w:jc w:val="both"/>
              <w:rPr>
                <w:rFonts w:ascii="Arial" w:hAnsi="Arial" w:cs="Arial"/>
                <w:sz w:val="18"/>
                <w:szCs w:val="18"/>
                <w:lang w:val="en-US"/>
              </w:rPr>
            </w:pPr>
          </w:p>
        </w:tc>
      </w:tr>
      <w:tr w:rsidR="008A5057" w:rsidRPr="00BD295E" w14:paraId="55B908AB" w14:textId="77777777" w:rsidTr="005C4056">
        <w:tc>
          <w:tcPr>
            <w:tcW w:w="959" w:type="dxa"/>
          </w:tcPr>
          <w:p w14:paraId="31A8793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4.1.3</w:t>
            </w:r>
          </w:p>
        </w:tc>
        <w:tc>
          <w:tcPr>
            <w:tcW w:w="4252" w:type="dxa"/>
          </w:tcPr>
          <w:p w14:paraId="273FACC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remuneration policy includes transparent mechanisms for determining the amount of remuneration due to directors, executive bodies and other key executives of the company, and regulates all types of expenses, benefits and privileges provided to such persons.</w:t>
            </w:r>
          </w:p>
          <w:p w14:paraId="50D4B1D9" w14:textId="77777777" w:rsidR="00C77CA6" w:rsidRPr="00BD295E" w:rsidRDefault="00C77CA6" w:rsidP="0027083B">
            <w:pPr>
              <w:jc w:val="both"/>
              <w:rPr>
                <w:rFonts w:ascii="Arial" w:hAnsi="Arial" w:cs="Arial"/>
                <w:sz w:val="18"/>
                <w:szCs w:val="18"/>
                <w:lang w:val="en-US"/>
              </w:rPr>
            </w:pPr>
          </w:p>
        </w:tc>
        <w:tc>
          <w:tcPr>
            <w:tcW w:w="3686" w:type="dxa"/>
          </w:tcPr>
          <w:p w14:paraId="0AB7C45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remuneration policy (policies) includes (include) transparent mechanisms for determining the amount of remuneration due to directors, executive bodies, and other key executives of the company, and regulates (regulate) all types of expenses, benefits and privileges provided to such persons.</w:t>
            </w:r>
          </w:p>
        </w:tc>
        <w:tc>
          <w:tcPr>
            <w:tcW w:w="1984" w:type="dxa"/>
          </w:tcPr>
          <w:p w14:paraId="46F36C9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039A68F4" w14:textId="77777777" w:rsidR="00C77CA6" w:rsidRPr="00BD295E" w:rsidRDefault="00C77CA6" w:rsidP="0027083B">
            <w:pPr>
              <w:jc w:val="both"/>
              <w:rPr>
                <w:rFonts w:ascii="Arial" w:hAnsi="Arial" w:cs="Arial"/>
                <w:sz w:val="18"/>
                <w:szCs w:val="18"/>
                <w:lang w:val="en-US"/>
              </w:rPr>
            </w:pPr>
          </w:p>
        </w:tc>
      </w:tr>
      <w:tr w:rsidR="008A5057" w:rsidRPr="00BD295E" w14:paraId="5D0A5B7A" w14:textId="77777777" w:rsidTr="005C4056">
        <w:tc>
          <w:tcPr>
            <w:tcW w:w="959" w:type="dxa"/>
          </w:tcPr>
          <w:p w14:paraId="368E728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4.1.4</w:t>
            </w:r>
          </w:p>
        </w:tc>
        <w:tc>
          <w:tcPr>
            <w:tcW w:w="4252" w:type="dxa"/>
          </w:tcPr>
          <w:p w14:paraId="11CC2F7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defines a policy on reimbursement (compensation) of expenses detailing a list of reimbursable expenses and specifying service levels that directors, executive bodies and other key executives of the company may claim. Such policy may be an integral part of the company’s remuneration policy.</w:t>
            </w:r>
          </w:p>
        </w:tc>
        <w:tc>
          <w:tcPr>
            <w:tcW w:w="3686" w:type="dxa"/>
          </w:tcPr>
          <w:p w14:paraId="61457ED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remuneration policy (policies) defines (define) the rules for reimbursement of expenses incurred by directors, executive bodies, and other key executives of the company.</w:t>
            </w:r>
          </w:p>
          <w:p w14:paraId="42209237" w14:textId="77777777" w:rsidR="00C77CA6" w:rsidRPr="00BD295E" w:rsidRDefault="00C77CA6" w:rsidP="0027083B">
            <w:pPr>
              <w:jc w:val="both"/>
              <w:rPr>
                <w:rFonts w:ascii="Arial" w:hAnsi="Arial" w:cs="Arial"/>
                <w:sz w:val="18"/>
                <w:szCs w:val="18"/>
                <w:lang w:val="en-US"/>
              </w:rPr>
            </w:pPr>
          </w:p>
        </w:tc>
        <w:tc>
          <w:tcPr>
            <w:tcW w:w="1984" w:type="dxa"/>
          </w:tcPr>
          <w:p w14:paraId="76962F1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7A991011" w14:textId="77777777" w:rsidR="00C77CA6" w:rsidRPr="00BD295E" w:rsidRDefault="00C77CA6" w:rsidP="0027083B">
            <w:pPr>
              <w:jc w:val="both"/>
              <w:rPr>
                <w:rFonts w:ascii="Arial" w:hAnsi="Arial" w:cs="Arial"/>
                <w:sz w:val="18"/>
                <w:szCs w:val="18"/>
                <w:lang w:val="en-US"/>
              </w:rPr>
            </w:pPr>
          </w:p>
        </w:tc>
      </w:tr>
      <w:tr w:rsidR="008A5057" w:rsidRPr="00BD295E" w14:paraId="495CB868" w14:textId="77777777" w:rsidTr="005C4056">
        <w:tc>
          <w:tcPr>
            <w:tcW w:w="959" w:type="dxa"/>
          </w:tcPr>
          <w:p w14:paraId="7164488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4.2</w:t>
            </w:r>
          </w:p>
        </w:tc>
        <w:tc>
          <w:tcPr>
            <w:tcW w:w="14110" w:type="dxa"/>
            <w:gridSpan w:val="4"/>
          </w:tcPr>
          <w:p w14:paraId="2F3F9B3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remuneration system for directors ensures alignment of financial interests of directors with long-term financial interests of the shareholders.</w:t>
            </w:r>
          </w:p>
          <w:p w14:paraId="3632791A" w14:textId="77777777" w:rsidR="00C77CA6" w:rsidRPr="00BD295E" w:rsidRDefault="00C77CA6" w:rsidP="0027083B">
            <w:pPr>
              <w:jc w:val="both"/>
              <w:rPr>
                <w:rFonts w:ascii="Arial" w:hAnsi="Arial" w:cs="Arial"/>
                <w:sz w:val="18"/>
                <w:szCs w:val="18"/>
                <w:lang w:val="en-US"/>
              </w:rPr>
            </w:pPr>
          </w:p>
        </w:tc>
      </w:tr>
      <w:tr w:rsidR="008A5057" w:rsidRPr="00BD295E" w14:paraId="1B8DF102" w14:textId="77777777" w:rsidTr="005C4056">
        <w:tc>
          <w:tcPr>
            <w:tcW w:w="959" w:type="dxa"/>
          </w:tcPr>
          <w:p w14:paraId="051B3F1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4.2.1</w:t>
            </w:r>
          </w:p>
        </w:tc>
        <w:tc>
          <w:tcPr>
            <w:tcW w:w="4252" w:type="dxa"/>
          </w:tcPr>
          <w:p w14:paraId="014FBF2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pays fixed annual remuneration to its directors. The Company does not pay remuneration for attendance of individual meetings of the Board or Committees of the Board of Directors.</w:t>
            </w:r>
          </w:p>
          <w:p w14:paraId="6B66042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apply any form of short-term motivation or additional financial incentive for its directors.</w:t>
            </w:r>
          </w:p>
          <w:p w14:paraId="43BB2297" w14:textId="77777777" w:rsidR="00C77CA6" w:rsidRPr="00BD295E" w:rsidRDefault="00C77CA6" w:rsidP="0027083B">
            <w:pPr>
              <w:jc w:val="both"/>
              <w:rPr>
                <w:rFonts w:ascii="Arial" w:hAnsi="Arial" w:cs="Arial"/>
                <w:sz w:val="18"/>
                <w:szCs w:val="18"/>
                <w:lang w:val="en-US"/>
              </w:rPr>
            </w:pPr>
          </w:p>
          <w:p w14:paraId="7D2AE3FA" w14:textId="77777777" w:rsidR="00C77CA6" w:rsidRPr="00BD295E" w:rsidRDefault="00C77CA6" w:rsidP="0027083B">
            <w:pPr>
              <w:jc w:val="both"/>
              <w:rPr>
                <w:rFonts w:ascii="Arial" w:hAnsi="Arial" w:cs="Arial"/>
                <w:sz w:val="18"/>
                <w:szCs w:val="18"/>
                <w:lang w:val="en-US"/>
              </w:rPr>
            </w:pPr>
          </w:p>
        </w:tc>
        <w:tc>
          <w:tcPr>
            <w:tcW w:w="3686" w:type="dxa"/>
          </w:tcPr>
          <w:p w14:paraId="7178E7F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Fixed annual remuneration was the only form of monetary remuneration payable to directors for their service on the board of directors during the reporting period.</w:t>
            </w:r>
          </w:p>
          <w:p w14:paraId="4667587A" w14:textId="77777777" w:rsidR="00C77CA6" w:rsidRPr="00BD295E" w:rsidRDefault="00C77CA6" w:rsidP="0027083B">
            <w:pPr>
              <w:jc w:val="both"/>
              <w:rPr>
                <w:rFonts w:ascii="Arial" w:hAnsi="Arial" w:cs="Arial"/>
                <w:sz w:val="18"/>
                <w:szCs w:val="18"/>
                <w:lang w:val="en-US"/>
              </w:rPr>
            </w:pPr>
          </w:p>
        </w:tc>
        <w:tc>
          <w:tcPr>
            <w:tcW w:w="1984" w:type="dxa"/>
          </w:tcPr>
          <w:p w14:paraId="05BA1C4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4FDAE4F2" w14:textId="77777777" w:rsidR="00C77CA6" w:rsidRPr="00BD295E" w:rsidRDefault="00C77CA6" w:rsidP="0027083B">
            <w:pPr>
              <w:jc w:val="both"/>
              <w:rPr>
                <w:rFonts w:ascii="Arial" w:hAnsi="Arial" w:cs="Arial"/>
                <w:sz w:val="18"/>
                <w:szCs w:val="18"/>
                <w:lang w:val="en-US"/>
              </w:rPr>
            </w:pPr>
          </w:p>
        </w:tc>
      </w:tr>
      <w:tr w:rsidR="008A5057" w:rsidRPr="00BD295E" w14:paraId="010EFD08" w14:textId="77777777" w:rsidTr="005C4056">
        <w:tc>
          <w:tcPr>
            <w:tcW w:w="959" w:type="dxa"/>
          </w:tcPr>
          <w:p w14:paraId="2F638C1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4.2.2</w:t>
            </w:r>
          </w:p>
        </w:tc>
        <w:tc>
          <w:tcPr>
            <w:tcW w:w="4252" w:type="dxa"/>
          </w:tcPr>
          <w:p w14:paraId="1901B78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Long-term ownership of the company’s shares helps align the financial interests of directors with long-term interests of shareholders to the utmost. At the same time, the company does not link the right to dispose of shares to performance targets, and directors do not participate in stock option plans.</w:t>
            </w:r>
          </w:p>
          <w:p w14:paraId="71E99A57" w14:textId="77777777" w:rsidR="00C77CA6" w:rsidRPr="00BD295E" w:rsidRDefault="00C77CA6" w:rsidP="0027083B">
            <w:pPr>
              <w:jc w:val="both"/>
              <w:rPr>
                <w:rFonts w:ascii="Arial" w:hAnsi="Arial" w:cs="Arial"/>
                <w:sz w:val="18"/>
                <w:szCs w:val="18"/>
                <w:lang w:val="en-US"/>
              </w:rPr>
            </w:pPr>
          </w:p>
        </w:tc>
        <w:tc>
          <w:tcPr>
            <w:tcW w:w="3686" w:type="dxa"/>
          </w:tcPr>
          <w:p w14:paraId="29D2EA9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If the company’s internal document(s) – the remuneration policy (policies) provides for the granting of company shares to members of the board of directors, clear rules for share ownership by board members are to be defined and disclosed, aimed at stimulating long-term ownership of such shares.</w:t>
            </w:r>
          </w:p>
          <w:p w14:paraId="1B7DE3B2" w14:textId="77777777" w:rsidR="00C77CA6" w:rsidRPr="00BD295E" w:rsidRDefault="00C77CA6" w:rsidP="0027083B">
            <w:pPr>
              <w:jc w:val="both"/>
              <w:rPr>
                <w:rFonts w:ascii="Arial" w:hAnsi="Arial" w:cs="Arial"/>
                <w:sz w:val="18"/>
                <w:szCs w:val="18"/>
                <w:lang w:val="en-US"/>
              </w:rPr>
            </w:pPr>
          </w:p>
        </w:tc>
        <w:tc>
          <w:tcPr>
            <w:tcW w:w="1984" w:type="dxa"/>
          </w:tcPr>
          <w:p w14:paraId="4794D26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335939E6" w14:textId="77777777" w:rsidR="00C77CA6" w:rsidRPr="00BD295E" w:rsidRDefault="00C77CA6" w:rsidP="0027083B">
            <w:pPr>
              <w:jc w:val="both"/>
              <w:rPr>
                <w:rFonts w:ascii="Arial" w:hAnsi="Arial" w:cs="Arial"/>
                <w:sz w:val="18"/>
                <w:szCs w:val="18"/>
                <w:lang w:val="en-US"/>
              </w:rPr>
            </w:pPr>
          </w:p>
        </w:tc>
      </w:tr>
      <w:tr w:rsidR="008A5057" w:rsidRPr="00BD295E" w14:paraId="306490CD" w14:textId="77777777" w:rsidTr="005C4056">
        <w:tc>
          <w:tcPr>
            <w:tcW w:w="959" w:type="dxa"/>
          </w:tcPr>
          <w:p w14:paraId="370DD28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4.2.3</w:t>
            </w:r>
          </w:p>
        </w:tc>
        <w:tc>
          <w:tcPr>
            <w:tcW w:w="4252" w:type="dxa"/>
          </w:tcPr>
          <w:p w14:paraId="28526ED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provide for any extra payments or compensations in the event of early termination of directors’ tenure, resulting from the change of control or any other reasons whatsoever.</w:t>
            </w:r>
          </w:p>
          <w:p w14:paraId="7D7325B0" w14:textId="77777777" w:rsidR="00C77CA6" w:rsidRPr="00BD295E" w:rsidRDefault="00C77CA6" w:rsidP="0027083B">
            <w:pPr>
              <w:jc w:val="both"/>
              <w:rPr>
                <w:rFonts w:ascii="Arial" w:hAnsi="Arial" w:cs="Arial"/>
                <w:sz w:val="18"/>
                <w:szCs w:val="18"/>
                <w:lang w:val="en-US"/>
              </w:rPr>
            </w:pPr>
          </w:p>
        </w:tc>
        <w:tc>
          <w:tcPr>
            <w:tcW w:w="3686" w:type="dxa"/>
          </w:tcPr>
          <w:p w14:paraId="4579CD3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does not provide for any extra payments or compensations in the event of early termination of directors’ tenure, resulting from the change of control or any other reasons whatsoever.</w:t>
            </w:r>
          </w:p>
        </w:tc>
        <w:tc>
          <w:tcPr>
            <w:tcW w:w="1984" w:type="dxa"/>
          </w:tcPr>
          <w:p w14:paraId="6CC3AA8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2972B3B3" w14:textId="77777777" w:rsidR="00C77CA6" w:rsidRPr="00BD295E" w:rsidRDefault="00C77CA6" w:rsidP="0027083B">
            <w:pPr>
              <w:jc w:val="both"/>
              <w:rPr>
                <w:rFonts w:ascii="Arial" w:hAnsi="Arial" w:cs="Arial"/>
                <w:sz w:val="18"/>
                <w:szCs w:val="18"/>
                <w:lang w:val="en-US"/>
              </w:rPr>
            </w:pPr>
          </w:p>
        </w:tc>
      </w:tr>
      <w:tr w:rsidR="008A5057" w:rsidRPr="00BD295E" w14:paraId="1521900B" w14:textId="77777777" w:rsidTr="005C4056">
        <w:tc>
          <w:tcPr>
            <w:tcW w:w="959" w:type="dxa"/>
          </w:tcPr>
          <w:p w14:paraId="1D13D9D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w:t>
            </w:r>
            <w:r w:rsidR="00D0333D" w:rsidRPr="00BD295E">
              <w:rPr>
                <w:rFonts w:ascii="Arial" w:hAnsi="Arial" w:cs="Arial"/>
                <w:sz w:val="18"/>
                <w:szCs w:val="18"/>
                <w:lang w:val="en-US"/>
              </w:rPr>
              <w:t>.</w:t>
            </w:r>
            <w:r w:rsidRPr="00BD295E">
              <w:rPr>
                <w:rFonts w:ascii="Arial" w:hAnsi="Arial" w:cs="Arial"/>
                <w:sz w:val="18"/>
                <w:szCs w:val="18"/>
                <w:lang w:val="en-US"/>
              </w:rPr>
              <w:t>3</w:t>
            </w:r>
          </w:p>
        </w:tc>
        <w:tc>
          <w:tcPr>
            <w:tcW w:w="14110" w:type="dxa"/>
            <w:gridSpan w:val="4"/>
          </w:tcPr>
          <w:p w14:paraId="1D99175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considers its performance and the personal contribution of each executive to the achievement of such performance when determining the amount of a fee payable to members of the executive bodies and other key executives of the company.</w:t>
            </w:r>
          </w:p>
        </w:tc>
      </w:tr>
      <w:tr w:rsidR="008A5057" w:rsidRPr="00BD295E" w14:paraId="209E1405" w14:textId="77777777" w:rsidTr="005C4056">
        <w:trPr>
          <w:trHeight w:val="2037"/>
        </w:trPr>
        <w:tc>
          <w:tcPr>
            <w:tcW w:w="959" w:type="dxa"/>
            <w:vMerge w:val="restart"/>
          </w:tcPr>
          <w:p w14:paraId="439FC04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4.3.1</w:t>
            </w:r>
          </w:p>
        </w:tc>
        <w:tc>
          <w:tcPr>
            <w:tcW w:w="4252" w:type="dxa"/>
            <w:vMerge w:val="restart"/>
          </w:tcPr>
          <w:p w14:paraId="629F315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Remuneration due to members of executive bodies and other key executives of the company is determined in a manner providing for reasonable and justified ratio of the fixed and variable parts of remuneration, depending on the company’s results and the employee’s personal contribution.</w:t>
            </w:r>
          </w:p>
          <w:p w14:paraId="1033B0A4" w14:textId="77777777" w:rsidR="00C77CA6" w:rsidRPr="00BD295E" w:rsidRDefault="00C77CA6" w:rsidP="0027083B">
            <w:pPr>
              <w:jc w:val="both"/>
              <w:rPr>
                <w:rFonts w:ascii="Arial" w:hAnsi="Arial" w:cs="Arial"/>
                <w:sz w:val="18"/>
                <w:szCs w:val="18"/>
                <w:lang w:val="en-US"/>
              </w:rPr>
            </w:pPr>
          </w:p>
        </w:tc>
        <w:tc>
          <w:tcPr>
            <w:tcW w:w="3686" w:type="dxa"/>
          </w:tcPr>
          <w:p w14:paraId="2A0C509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annual performance results approved by the board of directors were used to determine the amount of the variable part of remuneration due to members of executive bodies and other key executives of the company.</w:t>
            </w:r>
          </w:p>
        </w:tc>
        <w:tc>
          <w:tcPr>
            <w:tcW w:w="1984" w:type="dxa"/>
            <w:vMerge w:val="restart"/>
          </w:tcPr>
          <w:p w14:paraId="357D19A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1B4E2996" w14:textId="77777777" w:rsidR="00C77CA6" w:rsidRPr="00BD295E" w:rsidRDefault="00C77CA6" w:rsidP="0027083B">
            <w:pPr>
              <w:jc w:val="both"/>
              <w:rPr>
                <w:rFonts w:ascii="Arial" w:hAnsi="Arial" w:cs="Arial"/>
                <w:sz w:val="18"/>
                <w:szCs w:val="18"/>
                <w:lang w:val="en-US"/>
              </w:rPr>
            </w:pPr>
          </w:p>
        </w:tc>
      </w:tr>
      <w:tr w:rsidR="008A5057" w:rsidRPr="00BD295E" w14:paraId="03F334D5" w14:textId="77777777" w:rsidTr="005C4056">
        <w:trPr>
          <w:trHeight w:val="2037"/>
        </w:trPr>
        <w:tc>
          <w:tcPr>
            <w:tcW w:w="959" w:type="dxa"/>
            <w:vMerge/>
          </w:tcPr>
          <w:p w14:paraId="6B72C3F4" w14:textId="77777777" w:rsidR="00C77CA6" w:rsidRPr="00BD295E" w:rsidRDefault="00C77CA6" w:rsidP="0027083B">
            <w:pPr>
              <w:jc w:val="both"/>
              <w:rPr>
                <w:rFonts w:ascii="Arial" w:hAnsi="Arial" w:cs="Arial"/>
                <w:sz w:val="18"/>
                <w:szCs w:val="18"/>
                <w:lang w:val="en-US"/>
              </w:rPr>
            </w:pPr>
          </w:p>
        </w:tc>
        <w:tc>
          <w:tcPr>
            <w:tcW w:w="4252" w:type="dxa"/>
            <w:vMerge/>
          </w:tcPr>
          <w:p w14:paraId="2CD45410" w14:textId="77777777" w:rsidR="00C77CA6" w:rsidRPr="00BD295E" w:rsidRDefault="00C77CA6" w:rsidP="0027083B">
            <w:pPr>
              <w:jc w:val="both"/>
              <w:rPr>
                <w:rFonts w:ascii="Arial" w:hAnsi="Arial" w:cs="Arial"/>
                <w:sz w:val="18"/>
                <w:szCs w:val="18"/>
                <w:lang w:val="en-US"/>
              </w:rPr>
            </w:pPr>
          </w:p>
        </w:tc>
        <w:tc>
          <w:tcPr>
            <w:tcW w:w="3686" w:type="dxa"/>
          </w:tcPr>
          <w:p w14:paraId="68A9BD5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During the latest assessment of the system of remuneration of members of executive bodies and other key executives of the company, the board of directors (Remuneration Committee) made sure that the company applies an efficient ratio of the fixed and variable parts of remuneration.</w:t>
            </w:r>
          </w:p>
        </w:tc>
        <w:tc>
          <w:tcPr>
            <w:tcW w:w="1984" w:type="dxa"/>
            <w:vMerge/>
          </w:tcPr>
          <w:p w14:paraId="52D23A34" w14:textId="77777777" w:rsidR="00C77CA6" w:rsidRPr="00BD295E" w:rsidRDefault="00C77CA6" w:rsidP="0027083B">
            <w:pPr>
              <w:jc w:val="both"/>
              <w:rPr>
                <w:rFonts w:ascii="Arial" w:hAnsi="Arial" w:cs="Arial"/>
                <w:sz w:val="18"/>
                <w:szCs w:val="18"/>
                <w:lang w:val="en-US"/>
              </w:rPr>
            </w:pPr>
          </w:p>
        </w:tc>
        <w:tc>
          <w:tcPr>
            <w:tcW w:w="4188" w:type="dxa"/>
          </w:tcPr>
          <w:p w14:paraId="660FB72D" w14:textId="77777777" w:rsidR="00C77CA6" w:rsidRPr="00BD295E" w:rsidRDefault="00C77CA6" w:rsidP="0027083B">
            <w:pPr>
              <w:jc w:val="both"/>
              <w:rPr>
                <w:rFonts w:ascii="Arial" w:hAnsi="Arial" w:cs="Arial"/>
                <w:sz w:val="18"/>
                <w:szCs w:val="18"/>
                <w:lang w:val="en-US"/>
              </w:rPr>
            </w:pPr>
          </w:p>
        </w:tc>
      </w:tr>
      <w:tr w:rsidR="008A5057" w:rsidRPr="00BD295E" w14:paraId="3AC4D493" w14:textId="77777777" w:rsidTr="005C4056">
        <w:trPr>
          <w:trHeight w:val="1266"/>
        </w:trPr>
        <w:tc>
          <w:tcPr>
            <w:tcW w:w="959" w:type="dxa"/>
            <w:vMerge/>
          </w:tcPr>
          <w:p w14:paraId="243E900B" w14:textId="77777777" w:rsidR="00C77CA6" w:rsidRPr="00BD295E" w:rsidRDefault="00C77CA6" w:rsidP="0027083B">
            <w:pPr>
              <w:jc w:val="both"/>
              <w:rPr>
                <w:rFonts w:ascii="Arial" w:hAnsi="Arial" w:cs="Arial"/>
                <w:sz w:val="18"/>
                <w:szCs w:val="18"/>
                <w:lang w:val="en-US"/>
              </w:rPr>
            </w:pPr>
          </w:p>
        </w:tc>
        <w:tc>
          <w:tcPr>
            <w:tcW w:w="4252" w:type="dxa"/>
            <w:vMerge/>
          </w:tcPr>
          <w:p w14:paraId="0F28C679" w14:textId="77777777" w:rsidR="00C77CA6" w:rsidRPr="00BD295E" w:rsidRDefault="00C77CA6" w:rsidP="0027083B">
            <w:pPr>
              <w:jc w:val="both"/>
              <w:rPr>
                <w:rFonts w:ascii="Arial" w:hAnsi="Arial" w:cs="Arial"/>
                <w:sz w:val="18"/>
                <w:szCs w:val="18"/>
                <w:lang w:val="en-US"/>
              </w:rPr>
            </w:pPr>
          </w:p>
        </w:tc>
        <w:tc>
          <w:tcPr>
            <w:tcW w:w="3686" w:type="dxa"/>
          </w:tcPr>
          <w:p w14:paraId="2A52C69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The company has in place a procedure that guarantees return to the company of bonus payments illegally received by members of executive bodies and other key executives of the company.</w:t>
            </w:r>
          </w:p>
          <w:p w14:paraId="44990590" w14:textId="77777777" w:rsidR="00C77CA6" w:rsidRPr="00BD295E" w:rsidRDefault="00C77CA6" w:rsidP="0027083B">
            <w:pPr>
              <w:jc w:val="both"/>
              <w:rPr>
                <w:rFonts w:ascii="Arial" w:hAnsi="Arial" w:cs="Arial"/>
                <w:sz w:val="18"/>
                <w:szCs w:val="18"/>
                <w:lang w:val="en-US"/>
              </w:rPr>
            </w:pPr>
          </w:p>
        </w:tc>
        <w:tc>
          <w:tcPr>
            <w:tcW w:w="1984" w:type="dxa"/>
            <w:vMerge/>
          </w:tcPr>
          <w:p w14:paraId="3D77516F" w14:textId="77777777" w:rsidR="00C77CA6" w:rsidRPr="00BD295E" w:rsidRDefault="00C77CA6" w:rsidP="0027083B">
            <w:pPr>
              <w:jc w:val="both"/>
              <w:rPr>
                <w:rFonts w:ascii="Arial" w:hAnsi="Arial" w:cs="Arial"/>
                <w:sz w:val="18"/>
                <w:szCs w:val="18"/>
                <w:lang w:val="en-US"/>
              </w:rPr>
            </w:pPr>
          </w:p>
        </w:tc>
        <w:tc>
          <w:tcPr>
            <w:tcW w:w="4188" w:type="dxa"/>
          </w:tcPr>
          <w:p w14:paraId="257BED4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3:</w:t>
            </w:r>
          </w:p>
          <w:p w14:paraId="1E4ADAD2" w14:textId="77777777" w:rsidR="00C77CA6" w:rsidRPr="00BD295E" w:rsidRDefault="00EE5753" w:rsidP="0027083B">
            <w:pPr>
              <w:jc w:val="both"/>
              <w:rPr>
                <w:rFonts w:ascii="Arial" w:hAnsi="Arial" w:cs="Arial"/>
                <w:sz w:val="18"/>
                <w:szCs w:val="18"/>
                <w:lang w:val="en-US"/>
              </w:rPr>
            </w:pPr>
            <w:r w:rsidRPr="00BD295E">
              <w:rPr>
                <w:rFonts w:ascii="Arial" w:hAnsi="Arial" w:cs="Arial"/>
                <w:sz w:val="18"/>
                <w:szCs w:val="18"/>
                <w:lang w:val="en-US"/>
              </w:rPr>
              <w:t>PJSC “Lenenergo”</w:t>
            </w:r>
            <w:r w:rsidR="008A5057" w:rsidRPr="00BD295E">
              <w:rPr>
                <w:rFonts w:ascii="Arial" w:hAnsi="Arial" w:cs="Arial"/>
                <w:sz w:val="18"/>
                <w:szCs w:val="18"/>
                <w:lang w:val="en-US"/>
              </w:rPr>
              <w:t xml:space="preserve"> has no procedure that guarantees return to the Company of bonus payments illegally received by members of executive bodies and other key executives of the Company.</w:t>
            </w:r>
          </w:p>
          <w:p w14:paraId="38B960D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current practice of the Company assumes that if cases of unlawful receipt of bonuses or other payments are identified, the Company initiates the recovery of funds through court proceedings.</w:t>
            </w:r>
          </w:p>
        </w:tc>
      </w:tr>
      <w:tr w:rsidR="008A5057" w:rsidRPr="00BD295E" w14:paraId="0D270F1B" w14:textId="77777777" w:rsidTr="005C4056">
        <w:trPr>
          <w:trHeight w:val="1804"/>
        </w:trPr>
        <w:tc>
          <w:tcPr>
            <w:tcW w:w="959" w:type="dxa"/>
            <w:vMerge w:val="restart"/>
          </w:tcPr>
          <w:p w14:paraId="2C1BD54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4.3.2</w:t>
            </w:r>
          </w:p>
        </w:tc>
        <w:tc>
          <w:tcPr>
            <w:tcW w:w="4252" w:type="dxa"/>
            <w:vMerge w:val="restart"/>
          </w:tcPr>
          <w:p w14:paraId="42D208B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in place a long-term incentive program for members of executive bodies and other key executives of the company with the use of the company’s shares (options and other derivative instruments where the company’s shares are the underlying asset).</w:t>
            </w:r>
          </w:p>
          <w:p w14:paraId="0EA635D8" w14:textId="77777777" w:rsidR="00C77CA6" w:rsidRPr="00BD295E" w:rsidRDefault="00C77CA6" w:rsidP="0027083B">
            <w:pPr>
              <w:jc w:val="both"/>
              <w:rPr>
                <w:rFonts w:ascii="Arial" w:hAnsi="Arial" w:cs="Arial"/>
                <w:sz w:val="18"/>
                <w:szCs w:val="18"/>
                <w:lang w:val="en-US"/>
              </w:rPr>
            </w:pPr>
          </w:p>
        </w:tc>
        <w:tc>
          <w:tcPr>
            <w:tcW w:w="3686" w:type="dxa"/>
          </w:tcPr>
          <w:p w14:paraId="196C6AA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in place a long-term incentive program for members of executive bodies and other key executives of the company with the use of company shares (financial instruments based on company shares).</w:t>
            </w:r>
          </w:p>
        </w:tc>
        <w:tc>
          <w:tcPr>
            <w:tcW w:w="1984" w:type="dxa"/>
            <w:vMerge w:val="restart"/>
          </w:tcPr>
          <w:p w14:paraId="6F4336B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None</w:t>
            </w:r>
          </w:p>
        </w:tc>
        <w:tc>
          <w:tcPr>
            <w:tcW w:w="4188" w:type="dxa"/>
            <w:vMerge w:val="restart"/>
          </w:tcPr>
          <w:p w14:paraId="00970C5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comply with the principle of paragraphs 1 and 2:</w:t>
            </w:r>
          </w:p>
          <w:p w14:paraId="3DC0EA7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in place a long-term incentive program for members of executive bodies and other key executives of the Company with the use of Company shares due to the lack of a common position of the Company’s shareholders on this matter.</w:t>
            </w:r>
          </w:p>
          <w:p w14:paraId="2CF01CB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constantly strives to improve its corporate governance practices and, as a result, to implement the principles and recommendations of the Corporate Governance Code to the fullest extent possible. However, this issue can only be resolved with the consent of the Company’s key shareholders.</w:t>
            </w:r>
          </w:p>
          <w:p w14:paraId="128B82D6" w14:textId="77777777" w:rsidR="00C77CA6" w:rsidRPr="00BD295E" w:rsidRDefault="00C77CA6" w:rsidP="0027083B">
            <w:pPr>
              <w:jc w:val="both"/>
              <w:rPr>
                <w:rFonts w:ascii="Arial" w:hAnsi="Arial" w:cs="Arial"/>
                <w:sz w:val="18"/>
                <w:szCs w:val="18"/>
                <w:lang w:val="en-US"/>
              </w:rPr>
            </w:pPr>
          </w:p>
        </w:tc>
      </w:tr>
      <w:tr w:rsidR="008A5057" w:rsidRPr="00BD295E" w14:paraId="49469575" w14:textId="77777777" w:rsidTr="005C4056">
        <w:trPr>
          <w:trHeight w:val="2341"/>
        </w:trPr>
        <w:tc>
          <w:tcPr>
            <w:tcW w:w="959" w:type="dxa"/>
            <w:vMerge/>
          </w:tcPr>
          <w:p w14:paraId="2E7B3D9A" w14:textId="77777777" w:rsidR="00C77CA6" w:rsidRPr="00BD295E" w:rsidRDefault="00C77CA6" w:rsidP="0027083B">
            <w:pPr>
              <w:jc w:val="both"/>
              <w:rPr>
                <w:rFonts w:ascii="Arial" w:hAnsi="Arial" w:cs="Arial"/>
                <w:sz w:val="18"/>
                <w:szCs w:val="18"/>
                <w:lang w:val="en-US"/>
              </w:rPr>
            </w:pPr>
          </w:p>
        </w:tc>
        <w:tc>
          <w:tcPr>
            <w:tcW w:w="4252" w:type="dxa"/>
            <w:vMerge/>
          </w:tcPr>
          <w:p w14:paraId="48F6F8AA" w14:textId="77777777" w:rsidR="00C77CA6" w:rsidRPr="00BD295E" w:rsidRDefault="00C77CA6" w:rsidP="0027083B">
            <w:pPr>
              <w:jc w:val="both"/>
              <w:rPr>
                <w:rFonts w:ascii="Arial" w:hAnsi="Arial" w:cs="Arial"/>
                <w:sz w:val="18"/>
                <w:szCs w:val="18"/>
                <w:lang w:val="en-US"/>
              </w:rPr>
            </w:pPr>
          </w:p>
        </w:tc>
        <w:tc>
          <w:tcPr>
            <w:tcW w:w="3686" w:type="dxa"/>
          </w:tcPr>
          <w:p w14:paraId="45AE62A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long-term incentive program for members of executive bodies and other key executives of the company implies that the right to dispose of shares and other financial instruments used in this program takes effect at least three years after such shares or other financial instruments are granted. The right to dispose of such shares or other financial instruments is linked to the company’s performance targets.</w:t>
            </w:r>
          </w:p>
        </w:tc>
        <w:tc>
          <w:tcPr>
            <w:tcW w:w="1984" w:type="dxa"/>
            <w:vMerge/>
          </w:tcPr>
          <w:p w14:paraId="4E0C8DA5" w14:textId="77777777" w:rsidR="00C77CA6" w:rsidRPr="00BD295E" w:rsidRDefault="00C77CA6" w:rsidP="0027083B">
            <w:pPr>
              <w:jc w:val="both"/>
              <w:rPr>
                <w:rFonts w:ascii="Arial" w:hAnsi="Arial" w:cs="Arial"/>
                <w:sz w:val="18"/>
                <w:szCs w:val="18"/>
                <w:lang w:val="en-US"/>
              </w:rPr>
            </w:pPr>
          </w:p>
        </w:tc>
        <w:tc>
          <w:tcPr>
            <w:tcW w:w="4188" w:type="dxa"/>
            <w:vMerge/>
          </w:tcPr>
          <w:p w14:paraId="52A2C403" w14:textId="77777777" w:rsidR="00C77CA6" w:rsidRPr="00BD295E" w:rsidRDefault="00C77CA6" w:rsidP="0027083B">
            <w:pPr>
              <w:jc w:val="both"/>
              <w:rPr>
                <w:rFonts w:ascii="Arial" w:hAnsi="Arial" w:cs="Arial"/>
                <w:sz w:val="18"/>
                <w:szCs w:val="18"/>
                <w:lang w:val="en-US"/>
              </w:rPr>
            </w:pPr>
          </w:p>
        </w:tc>
      </w:tr>
      <w:tr w:rsidR="008A5057" w:rsidRPr="00BD295E" w14:paraId="38569EDC" w14:textId="77777777" w:rsidTr="005C4056">
        <w:tc>
          <w:tcPr>
            <w:tcW w:w="959" w:type="dxa"/>
          </w:tcPr>
          <w:p w14:paraId="33E098B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4.3.3</w:t>
            </w:r>
          </w:p>
        </w:tc>
        <w:tc>
          <w:tcPr>
            <w:tcW w:w="4252" w:type="dxa"/>
          </w:tcPr>
          <w:p w14:paraId="4A4ED3C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compensation (golden parachute) payable by the company in case of early termination of powers of members of executive bodies or key executives at the company’s initiative, provided that there have been no actions in bad faith on their part, does not exceed the double amount of the fixed part of their annual remuneration.</w:t>
            </w:r>
          </w:p>
          <w:p w14:paraId="4D1F87CE" w14:textId="77777777" w:rsidR="00C77CA6" w:rsidRPr="00BD295E" w:rsidRDefault="00C77CA6" w:rsidP="0027083B">
            <w:pPr>
              <w:jc w:val="both"/>
              <w:rPr>
                <w:rFonts w:ascii="Arial" w:hAnsi="Arial" w:cs="Arial"/>
                <w:sz w:val="18"/>
                <w:szCs w:val="18"/>
                <w:lang w:val="en-US"/>
              </w:rPr>
            </w:pPr>
          </w:p>
        </w:tc>
        <w:tc>
          <w:tcPr>
            <w:tcW w:w="3686" w:type="dxa"/>
          </w:tcPr>
          <w:p w14:paraId="4DA9D61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compensation (golden parachute) payable by the Company in case of early termination of powers of members of executive bodies or key executives at the Company’s initiative, provided that there were no actions in bad faith on their part, did not exceed the double amount of the fixed part of their annual remuneration.</w:t>
            </w:r>
          </w:p>
        </w:tc>
        <w:tc>
          <w:tcPr>
            <w:tcW w:w="1984" w:type="dxa"/>
          </w:tcPr>
          <w:p w14:paraId="0787B5B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7C52A9CE" w14:textId="77777777" w:rsidR="00C77CA6" w:rsidRPr="00BD295E" w:rsidRDefault="00C77CA6" w:rsidP="0027083B">
            <w:pPr>
              <w:jc w:val="both"/>
              <w:rPr>
                <w:rFonts w:ascii="Arial" w:hAnsi="Arial" w:cs="Arial"/>
                <w:sz w:val="18"/>
                <w:szCs w:val="18"/>
                <w:lang w:val="en-US"/>
              </w:rPr>
            </w:pPr>
          </w:p>
          <w:p w14:paraId="0A4947DD" w14:textId="77777777" w:rsidR="00C77CA6" w:rsidRPr="00BD295E" w:rsidRDefault="00C77CA6" w:rsidP="0027083B">
            <w:pPr>
              <w:jc w:val="both"/>
              <w:rPr>
                <w:rFonts w:ascii="Arial" w:hAnsi="Arial" w:cs="Arial"/>
                <w:sz w:val="18"/>
                <w:szCs w:val="18"/>
                <w:lang w:val="en-US"/>
              </w:rPr>
            </w:pPr>
          </w:p>
        </w:tc>
      </w:tr>
      <w:tr w:rsidR="008A5057" w:rsidRPr="00BD295E" w14:paraId="73972D19" w14:textId="77777777" w:rsidTr="005C4056">
        <w:tc>
          <w:tcPr>
            <w:tcW w:w="959" w:type="dxa"/>
          </w:tcPr>
          <w:p w14:paraId="6E1932E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5</w:t>
            </w:r>
            <w:r w:rsidR="00D0333D" w:rsidRPr="00BD295E">
              <w:rPr>
                <w:rFonts w:ascii="Arial" w:hAnsi="Arial" w:cs="Arial"/>
                <w:sz w:val="18"/>
                <w:szCs w:val="18"/>
                <w:lang w:val="en-US"/>
              </w:rPr>
              <w:t>.</w:t>
            </w:r>
            <w:r w:rsidRPr="00BD295E">
              <w:rPr>
                <w:rFonts w:ascii="Arial" w:hAnsi="Arial" w:cs="Arial"/>
                <w:sz w:val="18"/>
                <w:szCs w:val="18"/>
                <w:lang w:val="en-US"/>
              </w:rPr>
              <w:t>1</w:t>
            </w:r>
          </w:p>
        </w:tc>
        <w:tc>
          <w:tcPr>
            <w:tcW w:w="14110" w:type="dxa"/>
            <w:gridSpan w:val="4"/>
          </w:tcPr>
          <w:p w14:paraId="57C22DE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in place effective risk management and internal controls providing reasonable assurance in the achievement of the company’s goals.</w:t>
            </w:r>
          </w:p>
          <w:p w14:paraId="4F686929" w14:textId="77777777" w:rsidR="00C77CA6" w:rsidRPr="00BD295E" w:rsidRDefault="00C77CA6" w:rsidP="0027083B">
            <w:pPr>
              <w:jc w:val="both"/>
              <w:rPr>
                <w:rFonts w:ascii="Arial" w:hAnsi="Arial" w:cs="Arial"/>
                <w:sz w:val="18"/>
                <w:szCs w:val="18"/>
                <w:lang w:val="en-US"/>
              </w:rPr>
            </w:pPr>
          </w:p>
        </w:tc>
      </w:tr>
      <w:tr w:rsidR="008A5057" w:rsidRPr="00BD295E" w14:paraId="370BD28B" w14:textId="77777777" w:rsidTr="005C4056">
        <w:tc>
          <w:tcPr>
            <w:tcW w:w="959" w:type="dxa"/>
          </w:tcPr>
          <w:p w14:paraId="09AA04C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5.1.1</w:t>
            </w:r>
          </w:p>
        </w:tc>
        <w:tc>
          <w:tcPr>
            <w:tcW w:w="4252" w:type="dxa"/>
          </w:tcPr>
          <w:p w14:paraId="5A871BE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board of directors determined the principles of and approaches to organizing risk management and internal controls at the company.</w:t>
            </w:r>
          </w:p>
          <w:p w14:paraId="0C45D77E" w14:textId="77777777" w:rsidR="00C77CA6" w:rsidRPr="00BD295E" w:rsidRDefault="00C77CA6" w:rsidP="0027083B">
            <w:pPr>
              <w:jc w:val="both"/>
              <w:rPr>
                <w:rFonts w:ascii="Arial" w:hAnsi="Arial" w:cs="Arial"/>
                <w:sz w:val="18"/>
                <w:szCs w:val="18"/>
                <w:lang w:val="en-US"/>
              </w:rPr>
            </w:pPr>
          </w:p>
        </w:tc>
        <w:tc>
          <w:tcPr>
            <w:tcW w:w="3686" w:type="dxa"/>
          </w:tcPr>
          <w:p w14:paraId="6E68B23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Functions of various governing bodies and business units of the company in risk management and internal controls are clearly defined in the company’s internal documents / relevant policy approved by the board of directors.</w:t>
            </w:r>
          </w:p>
          <w:p w14:paraId="4189158F" w14:textId="77777777" w:rsidR="00C77CA6" w:rsidRPr="00BD295E" w:rsidRDefault="00C77CA6" w:rsidP="0027083B">
            <w:pPr>
              <w:jc w:val="both"/>
              <w:rPr>
                <w:rFonts w:ascii="Arial" w:hAnsi="Arial" w:cs="Arial"/>
                <w:sz w:val="18"/>
                <w:szCs w:val="18"/>
                <w:lang w:val="en-US"/>
              </w:rPr>
            </w:pPr>
          </w:p>
        </w:tc>
        <w:tc>
          <w:tcPr>
            <w:tcW w:w="1984" w:type="dxa"/>
          </w:tcPr>
          <w:p w14:paraId="430CF04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626AD21F" w14:textId="77777777" w:rsidR="00C77CA6" w:rsidRPr="00BD295E" w:rsidRDefault="00C77CA6" w:rsidP="0027083B">
            <w:pPr>
              <w:jc w:val="both"/>
              <w:rPr>
                <w:rFonts w:ascii="Arial" w:hAnsi="Arial" w:cs="Arial"/>
                <w:sz w:val="18"/>
                <w:szCs w:val="18"/>
                <w:lang w:val="en-US"/>
              </w:rPr>
            </w:pPr>
          </w:p>
        </w:tc>
      </w:tr>
      <w:tr w:rsidR="008A5057" w:rsidRPr="00BD295E" w14:paraId="0BE5484E" w14:textId="77777777" w:rsidTr="005C4056">
        <w:tc>
          <w:tcPr>
            <w:tcW w:w="959" w:type="dxa"/>
          </w:tcPr>
          <w:p w14:paraId="5B98EBD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5.1.2</w:t>
            </w:r>
          </w:p>
        </w:tc>
        <w:tc>
          <w:tcPr>
            <w:tcW w:w="4252" w:type="dxa"/>
          </w:tcPr>
          <w:p w14:paraId="149BC28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executive bodies ensure establishment and continuous operation of effective risk management and internal controls at the company.</w:t>
            </w:r>
          </w:p>
          <w:p w14:paraId="3681F2A8" w14:textId="77777777" w:rsidR="00C77CA6" w:rsidRPr="00BD295E" w:rsidRDefault="00C77CA6" w:rsidP="0027083B">
            <w:pPr>
              <w:jc w:val="both"/>
              <w:rPr>
                <w:rFonts w:ascii="Arial" w:hAnsi="Arial" w:cs="Arial"/>
                <w:sz w:val="18"/>
                <w:szCs w:val="18"/>
                <w:lang w:val="en-US"/>
              </w:rPr>
            </w:pPr>
          </w:p>
        </w:tc>
        <w:tc>
          <w:tcPr>
            <w:tcW w:w="3686" w:type="dxa"/>
          </w:tcPr>
          <w:p w14:paraId="3246F36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executive bodies ensured the distribution of functions and powers related to risk management and internal controls between the heads (managers) of business units and departments accountable to them.</w:t>
            </w:r>
          </w:p>
          <w:p w14:paraId="66F52849" w14:textId="77777777" w:rsidR="00C77CA6" w:rsidRPr="00BD295E" w:rsidRDefault="00C77CA6" w:rsidP="0027083B">
            <w:pPr>
              <w:jc w:val="both"/>
              <w:rPr>
                <w:rFonts w:ascii="Arial" w:hAnsi="Arial" w:cs="Arial"/>
                <w:sz w:val="18"/>
                <w:szCs w:val="18"/>
                <w:lang w:val="en-US"/>
              </w:rPr>
            </w:pPr>
          </w:p>
        </w:tc>
        <w:tc>
          <w:tcPr>
            <w:tcW w:w="1984" w:type="dxa"/>
          </w:tcPr>
          <w:p w14:paraId="66175F3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29ADCEDA" w14:textId="77777777" w:rsidR="00C77CA6" w:rsidRPr="00BD295E" w:rsidRDefault="00C77CA6" w:rsidP="0027083B">
            <w:pPr>
              <w:jc w:val="both"/>
              <w:rPr>
                <w:rFonts w:ascii="Arial" w:hAnsi="Arial" w:cs="Arial"/>
                <w:sz w:val="18"/>
                <w:szCs w:val="18"/>
                <w:lang w:val="en-US"/>
              </w:rPr>
            </w:pPr>
          </w:p>
        </w:tc>
      </w:tr>
      <w:tr w:rsidR="008A5057" w:rsidRPr="00BD295E" w14:paraId="26373885" w14:textId="77777777" w:rsidTr="005C4056">
        <w:trPr>
          <w:trHeight w:val="739"/>
        </w:trPr>
        <w:tc>
          <w:tcPr>
            <w:tcW w:w="959" w:type="dxa"/>
            <w:vMerge w:val="restart"/>
          </w:tcPr>
          <w:p w14:paraId="76139A4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5.1.3</w:t>
            </w:r>
          </w:p>
        </w:tc>
        <w:tc>
          <w:tcPr>
            <w:tcW w:w="4252" w:type="dxa"/>
            <w:vMerge w:val="restart"/>
          </w:tcPr>
          <w:p w14:paraId="6912434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risk management and internal controls ensure an objective, fair and clear view of the current state and future prospects of the company, the integrity and transparency of the company’s reporting, as well as reasonable and acceptable risk exposure.</w:t>
            </w:r>
          </w:p>
        </w:tc>
        <w:tc>
          <w:tcPr>
            <w:tcW w:w="3686" w:type="dxa"/>
          </w:tcPr>
          <w:p w14:paraId="7CABB82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in place an approved anti-corruption policy.</w:t>
            </w:r>
          </w:p>
          <w:p w14:paraId="62C4CDAA" w14:textId="77777777" w:rsidR="00C77CA6" w:rsidRPr="00BD295E" w:rsidRDefault="00C77CA6" w:rsidP="0027083B">
            <w:pPr>
              <w:jc w:val="both"/>
              <w:rPr>
                <w:rFonts w:ascii="Arial" w:hAnsi="Arial" w:cs="Arial"/>
                <w:sz w:val="18"/>
                <w:szCs w:val="18"/>
                <w:lang w:val="en-US"/>
              </w:rPr>
            </w:pPr>
          </w:p>
        </w:tc>
        <w:tc>
          <w:tcPr>
            <w:tcW w:w="1984" w:type="dxa"/>
            <w:vMerge w:val="restart"/>
          </w:tcPr>
          <w:p w14:paraId="3312EBC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77EBA574" w14:textId="77777777" w:rsidR="00C77CA6" w:rsidRPr="00BD295E" w:rsidRDefault="00C77CA6" w:rsidP="0027083B">
            <w:pPr>
              <w:jc w:val="both"/>
              <w:rPr>
                <w:rFonts w:ascii="Arial" w:hAnsi="Arial" w:cs="Arial"/>
                <w:sz w:val="18"/>
                <w:szCs w:val="18"/>
                <w:lang w:val="en-US"/>
              </w:rPr>
            </w:pPr>
          </w:p>
        </w:tc>
      </w:tr>
      <w:tr w:rsidR="008A5057" w:rsidRPr="00BD295E" w14:paraId="32E7ED17" w14:textId="77777777" w:rsidTr="005C4056">
        <w:trPr>
          <w:trHeight w:val="557"/>
        </w:trPr>
        <w:tc>
          <w:tcPr>
            <w:tcW w:w="959" w:type="dxa"/>
            <w:vMerge/>
          </w:tcPr>
          <w:p w14:paraId="2F801704" w14:textId="77777777" w:rsidR="00C77CA6" w:rsidRPr="00BD295E" w:rsidRDefault="00C77CA6" w:rsidP="0027083B">
            <w:pPr>
              <w:jc w:val="both"/>
              <w:rPr>
                <w:rFonts w:ascii="Arial" w:hAnsi="Arial" w:cs="Arial"/>
                <w:sz w:val="18"/>
                <w:szCs w:val="18"/>
                <w:lang w:val="en-US"/>
              </w:rPr>
            </w:pPr>
          </w:p>
        </w:tc>
        <w:tc>
          <w:tcPr>
            <w:tcW w:w="4252" w:type="dxa"/>
            <w:vMerge/>
          </w:tcPr>
          <w:p w14:paraId="5FFFBFFB" w14:textId="77777777" w:rsidR="00C77CA6" w:rsidRPr="00BD295E" w:rsidRDefault="00C77CA6" w:rsidP="0027083B">
            <w:pPr>
              <w:jc w:val="both"/>
              <w:rPr>
                <w:rFonts w:ascii="Arial" w:hAnsi="Arial" w:cs="Arial"/>
                <w:sz w:val="18"/>
                <w:szCs w:val="18"/>
                <w:lang w:val="en-US"/>
              </w:rPr>
            </w:pPr>
          </w:p>
        </w:tc>
        <w:tc>
          <w:tcPr>
            <w:tcW w:w="3686" w:type="dxa"/>
          </w:tcPr>
          <w:p w14:paraId="7174DD9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 established an accessible method of notifying the board of directors or the board’s Audit Committee of breaches or any violations of the law, the company’s internal procedures and code of ethics.</w:t>
            </w:r>
          </w:p>
          <w:p w14:paraId="2B66E3A5" w14:textId="77777777" w:rsidR="00C77CA6" w:rsidRPr="00BD295E" w:rsidRDefault="00C77CA6" w:rsidP="0027083B">
            <w:pPr>
              <w:jc w:val="both"/>
              <w:rPr>
                <w:rFonts w:ascii="Arial" w:hAnsi="Arial" w:cs="Arial"/>
                <w:sz w:val="18"/>
                <w:szCs w:val="18"/>
                <w:lang w:val="en-US"/>
              </w:rPr>
            </w:pPr>
          </w:p>
        </w:tc>
        <w:tc>
          <w:tcPr>
            <w:tcW w:w="1984" w:type="dxa"/>
            <w:vMerge/>
          </w:tcPr>
          <w:p w14:paraId="2538047D" w14:textId="77777777" w:rsidR="00C77CA6" w:rsidRPr="00BD295E" w:rsidRDefault="00C77CA6" w:rsidP="0027083B">
            <w:pPr>
              <w:jc w:val="both"/>
              <w:rPr>
                <w:rFonts w:ascii="Arial" w:hAnsi="Arial" w:cs="Arial"/>
                <w:sz w:val="18"/>
                <w:szCs w:val="18"/>
                <w:lang w:val="en-US"/>
              </w:rPr>
            </w:pPr>
          </w:p>
        </w:tc>
        <w:tc>
          <w:tcPr>
            <w:tcW w:w="4188" w:type="dxa"/>
            <w:vMerge/>
          </w:tcPr>
          <w:p w14:paraId="7110F730" w14:textId="77777777" w:rsidR="00C77CA6" w:rsidRPr="00BD295E" w:rsidRDefault="00C77CA6" w:rsidP="0027083B">
            <w:pPr>
              <w:jc w:val="both"/>
              <w:rPr>
                <w:rFonts w:ascii="Arial" w:hAnsi="Arial" w:cs="Arial"/>
                <w:sz w:val="18"/>
                <w:szCs w:val="18"/>
                <w:lang w:val="en-US"/>
              </w:rPr>
            </w:pPr>
          </w:p>
        </w:tc>
      </w:tr>
      <w:tr w:rsidR="008A5057" w:rsidRPr="00BD295E" w14:paraId="0E18712B" w14:textId="77777777" w:rsidTr="005C4056">
        <w:tc>
          <w:tcPr>
            <w:tcW w:w="959" w:type="dxa"/>
          </w:tcPr>
          <w:p w14:paraId="067F608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5.1.4</w:t>
            </w:r>
          </w:p>
        </w:tc>
        <w:tc>
          <w:tcPr>
            <w:tcW w:w="4252" w:type="dxa"/>
          </w:tcPr>
          <w:p w14:paraId="5FA7C8D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board of directors takes necessary measures to make sure that the company’s risk management and internal controls are consistent with the principles of, and approaches to, its set-up determined by the board of directors, and that the system is functioning efficiently.</w:t>
            </w:r>
          </w:p>
          <w:p w14:paraId="42D145E9" w14:textId="77777777" w:rsidR="00C77CA6" w:rsidRPr="00BD295E" w:rsidRDefault="00C77CA6" w:rsidP="0027083B">
            <w:pPr>
              <w:jc w:val="both"/>
              <w:rPr>
                <w:rFonts w:ascii="Arial" w:hAnsi="Arial" w:cs="Arial"/>
                <w:sz w:val="18"/>
                <w:szCs w:val="18"/>
                <w:lang w:val="en-US"/>
              </w:rPr>
            </w:pPr>
          </w:p>
        </w:tc>
        <w:tc>
          <w:tcPr>
            <w:tcW w:w="3686" w:type="dxa"/>
          </w:tcPr>
          <w:p w14:paraId="7173D90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board of directors or the board’s Audit Committee assessed the performance of the company’s risk management and internal controls. Key results of this assessment are included in the company’s annual report.</w:t>
            </w:r>
          </w:p>
          <w:p w14:paraId="0458E1A5" w14:textId="77777777" w:rsidR="00C77CA6" w:rsidRPr="00BD295E" w:rsidRDefault="00C77CA6" w:rsidP="0027083B">
            <w:pPr>
              <w:jc w:val="both"/>
              <w:rPr>
                <w:rFonts w:ascii="Arial" w:hAnsi="Arial" w:cs="Arial"/>
                <w:sz w:val="18"/>
                <w:szCs w:val="18"/>
                <w:lang w:val="en-US"/>
              </w:rPr>
            </w:pPr>
          </w:p>
        </w:tc>
        <w:tc>
          <w:tcPr>
            <w:tcW w:w="1984" w:type="dxa"/>
          </w:tcPr>
          <w:p w14:paraId="60D5282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6C72E06C" w14:textId="77777777" w:rsidR="00C77CA6" w:rsidRPr="00BD295E" w:rsidRDefault="00C77CA6" w:rsidP="0027083B">
            <w:pPr>
              <w:jc w:val="both"/>
              <w:rPr>
                <w:rFonts w:ascii="Arial" w:hAnsi="Arial" w:cs="Arial"/>
                <w:sz w:val="18"/>
                <w:szCs w:val="18"/>
                <w:lang w:val="en-US"/>
              </w:rPr>
            </w:pPr>
          </w:p>
        </w:tc>
      </w:tr>
      <w:tr w:rsidR="008A5057" w:rsidRPr="00BD295E" w14:paraId="378FE844" w14:textId="77777777" w:rsidTr="005C4056">
        <w:tc>
          <w:tcPr>
            <w:tcW w:w="959" w:type="dxa"/>
          </w:tcPr>
          <w:p w14:paraId="5ABA41A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5.2</w:t>
            </w:r>
          </w:p>
        </w:tc>
        <w:tc>
          <w:tcPr>
            <w:tcW w:w="14110" w:type="dxa"/>
            <w:gridSpan w:val="4"/>
          </w:tcPr>
          <w:p w14:paraId="36769FD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performs internal audit for regular independent assessment of the reliability and performance of risk management and internal controls and the corporate governance practice.</w:t>
            </w:r>
          </w:p>
          <w:p w14:paraId="7FDF60C2" w14:textId="77777777" w:rsidR="00C77CA6" w:rsidRPr="00BD295E" w:rsidRDefault="00C77CA6" w:rsidP="0027083B">
            <w:pPr>
              <w:jc w:val="both"/>
              <w:rPr>
                <w:rFonts w:ascii="Arial" w:hAnsi="Arial" w:cs="Arial"/>
                <w:sz w:val="18"/>
                <w:szCs w:val="18"/>
                <w:lang w:val="en-US"/>
              </w:rPr>
            </w:pPr>
          </w:p>
        </w:tc>
      </w:tr>
      <w:tr w:rsidR="008A5057" w:rsidRPr="00BD295E" w14:paraId="0A626E09" w14:textId="77777777" w:rsidTr="005C4056">
        <w:tc>
          <w:tcPr>
            <w:tcW w:w="959" w:type="dxa"/>
          </w:tcPr>
          <w:p w14:paraId="26CE40D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5.2.1</w:t>
            </w:r>
          </w:p>
        </w:tc>
        <w:tc>
          <w:tcPr>
            <w:tcW w:w="4252" w:type="dxa"/>
          </w:tcPr>
          <w:p w14:paraId="519B0EB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set up a separate business unit or engaged an independent external organization to carry out internal audits. The functional and administrative reporting lines of the internal audit function are separated from each other. Functionally, the internal audit unit reports to the board of directors.</w:t>
            </w:r>
          </w:p>
        </w:tc>
        <w:tc>
          <w:tcPr>
            <w:tcW w:w="3686" w:type="dxa"/>
          </w:tcPr>
          <w:p w14:paraId="448F5CD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To perform internal audits, the company set up a separate business unit – internal audit division, functionally reporting to the board of directors or to the Audit Committee or engaged an independent external organization with the same line of reporting.</w:t>
            </w:r>
          </w:p>
          <w:p w14:paraId="4AE88076" w14:textId="77777777" w:rsidR="00C77CA6" w:rsidRPr="00BD295E" w:rsidRDefault="00C77CA6" w:rsidP="0027083B">
            <w:pPr>
              <w:jc w:val="both"/>
              <w:rPr>
                <w:rFonts w:ascii="Arial" w:hAnsi="Arial" w:cs="Arial"/>
                <w:sz w:val="18"/>
                <w:szCs w:val="18"/>
                <w:lang w:val="en-US"/>
              </w:rPr>
            </w:pPr>
          </w:p>
          <w:p w14:paraId="54951418" w14:textId="77777777" w:rsidR="00C77CA6" w:rsidRPr="00BD295E" w:rsidRDefault="00C77CA6" w:rsidP="0027083B">
            <w:pPr>
              <w:jc w:val="both"/>
              <w:rPr>
                <w:rFonts w:ascii="Arial" w:hAnsi="Arial" w:cs="Arial"/>
                <w:sz w:val="18"/>
                <w:szCs w:val="18"/>
                <w:lang w:val="en-US"/>
              </w:rPr>
            </w:pPr>
          </w:p>
        </w:tc>
        <w:tc>
          <w:tcPr>
            <w:tcW w:w="1984" w:type="dxa"/>
          </w:tcPr>
          <w:p w14:paraId="7630C5C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481FE35E" w14:textId="77777777" w:rsidR="00C77CA6" w:rsidRPr="00BD295E" w:rsidRDefault="00C77CA6" w:rsidP="0027083B">
            <w:pPr>
              <w:jc w:val="both"/>
              <w:rPr>
                <w:rFonts w:ascii="Arial" w:hAnsi="Arial" w:cs="Arial"/>
                <w:sz w:val="18"/>
                <w:szCs w:val="18"/>
                <w:lang w:val="en-US"/>
              </w:rPr>
            </w:pPr>
          </w:p>
        </w:tc>
      </w:tr>
      <w:tr w:rsidR="008A5057" w:rsidRPr="00BD295E" w14:paraId="284AA584" w14:textId="77777777" w:rsidTr="005C4056">
        <w:trPr>
          <w:trHeight w:val="1021"/>
        </w:trPr>
        <w:tc>
          <w:tcPr>
            <w:tcW w:w="959" w:type="dxa"/>
            <w:vMerge w:val="restart"/>
          </w:tcPr>
          <w:p w14:paraId="7D23FD6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5.2.2</w:t>
            </w:r>
          </w:p>
        </w:tc>
        <w:tc>
          <w:tcPr>
            <w:tcW w:w="4252" w:type="dxa"/>
            <w:vMerge w:val="restart"/>
          </w:tcPr>
          <w:p w14:paraId="68BE143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internal audit division assesses the performance of the internal controls, risk management, and corporate governance. The Company applies generally accepted standards of internal audit.</w:t>
            </w:r>
          </w:p>
          <w:p w14:paraId="5F1B59AD" w14:textId="77777777" w:rsidR="00C77CA6" w:rsidRPr="00BD295E" w:rsidRDefault="00C77CA6" w:rsidP="0027083B">
            <w:pPr>
              <w:jc w:val="both"/>
              <w:rPr>
                <w:rFonts w:ascii="Arial" w:hAnsi="Arial" w:cs="Arial"/>
                <w:sz w:val="18"/>
                <w:szCs w:val="18"/>
                <w:lang w:val="en-US"/>
              </w:rPr>
            </w:pPr>
          </w:p>
        </w:tc>
        <w:tc>
          <w:tcPr>
            <w:tcW w:w="3686" w:type="dxa"/>
          </w:tcPr>
          <w:p w14:paraId="374C22C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performance of the internal controls and risk management was assessed as part of the internal audit procedure.</w:t>
            </w:r>
          </w:p>
          <w:p w14:paraId="7EE01452" w14:textId="77777777" w:rsidR="00C77CA6" w:rsidRPr="00BD295E" w:rsidRDefault="00C77CA6" w:rsidP="0027083B">
            <w:pPr>
              <w:jc w:val="both"/>
              <w:rPr>
                <w:rFonts w:ascii="Arial" w:hAnsi="Arial" w:cs="Arial"/>
                <w:sz w:val="18"/>
                <w:szCs w:val="18"/>
                <w:lang w:val="en-US"/>
              </w:rPr>
            </w:pPr>
          </w:p>
        </w:tc>
        <w:tc>
          <w:tcPr>
            <w:tcW w:w="1984" w:type="dxa"/>
            <w:vMerge w:val="restart"/>
          </w:tcPr>
          <w:p w14:paraId="757885A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2BAD094D" w14:textId="77777777" w:rsidR="00C77CA6" w:rsidRPr="00BD295E" w:rsidRDefault="00C77CA6" w:rsidP="0027083B">
            <w:pPr>
              <w:jc w:val="both"/>
              <w:rPr>
                <w:rFonts w:ascii="Arial" w:hAnsi="Arial" w:cs="Arial"/>
                <w:sz w:val="18"/>
                <w:szCs w:val="18"/>
                <w:lang w:val="en-US"/>
              </w:rPr>
            </w:pPr>
          </w:p>
        </w:tc>
      </w:tr>
      <w:tr w:rsidR="008A5057" w:rsidRPr="00BD295E" w14:paraId="037C3D99" w14:textId="77777777" w:rsidTr="005C4056">
        <w:trPr>
          <w:trHeight w:val="772"/>
        </w:trPr>
        <w:tc>
          <w:tcPr>
            <w:tcW w:w="959" w:type="dxa"/>
            <w:vMerge/>
          </w:tcPr>
          <w:p w14:paraId="52BC8AED" w14:textId="77777777" w:rsidR="00C77CA6" w:rsidRPr="00BD295E" w:rsidRDefault="00C77CA6" w:rsidP="0027083B">
            <w:pPr>
              <w:jc w:val="both"/>
              <w:rPr>
                <w:rFonts w:ascii="Arial" w:hAnsi="Arial" w:cs="Arial"/>
                <w:sz w:val="18"/>
                <w:szCs w:val="18"/>
                <w:lang w:val="en-US"/>
              </w:rPr>
            </w:pPr>
          </w:p>
        </w:tc>
        <w:tc>
          <w:tcPr>
            <w:tcW w:w="4252" w:type="dxa"/>
            <w:vMerge/>
          </w:tcPr>
          <w:p w14:paraId="262A7500" w14:textId="77777777" w:rsidR="00C77CA6" w:rsidRPr="00BD295E" w:rsidRDefault="00C77CA6" w:rsidP="0027083B">
            <w:pPr>
              <w:jc w:val="both"/>
              <w:rPr>
                <w:rFonts w:ascii="Arial" w:hAnsi="Arial" w:cs="Arial"/>
                <w:sz w:val="18"/>
                <w:szCs w:val="18"/>
                <w:lang w:val="en-US"/>
              </w:rPr>
            </w:pPr>
          </w:p>
        </w:tc>
        <w:tc>
          <w:tcPr>
            <w:tcW w:w="3686" w:type="dxa"/>
          </w:tcPr>
          <w:p w14:paraId="45D73EB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 applies generally accepted approaches to internal audit and risk management.</w:t>
            </w:r>
          </w:p>
          <w:p w14:paraId="6D8ECC46" w14:textId="77777777" w:rsidR="00C77CA6" w:rsidRPr="00BD295E" w:rsidRDefault="00C77CA6" w:rsidP="0027083B">
            <w:pPr>
              <w:jc w:val="both"/>
              <w:rPr>
                <w:rFonts w:ascii="Arial" w:hAnsi="Arial" w:cs="Arial"/>
                <w:sz w:val="18"/>
                <w:szCs w:val="18"/>
                <w:lang w:val="en-US"/>
              </w:rPr>
            </w:pPr>
          </w:p>
        </w:tc>
        <w:tc>
          <w:tcPr>
            <w:tcW w:w="1984" w:type="dxa"/>
            <w:vMerge/>
          </w:tcPr>
          <w:p w14:paraId="1A3F7DB0" w14:textId="77777777" w:rsidR="00C77CA6" w:rsidRPr="00BD295E" w:rsidRDefault="00C77CA6" w:rsidP="0027083B">
            <w:pPr>
              <w:jc w:val="both"/>
              <w:rPr>
                <w:rFonts w:ascii="Arial" w:hAnsi="Arial" w:cs="Arial"/>
                <w:sz w:val="18"/>
                <w:szCs w:val="18"/>
                <w:lang w:val="en-US"/>
              </w:rPr>
            </w:pPr>
          </w:p>
        </w:tc>
        <w:tc>
          <w:tcPr>
            <w:tcW w:w="4188" w:type="dxa"/>
            <w:vMerge/>
          </w:tcPr>
          <w:p w14:paraId="10C57DEA" w14:textId="77777777" w:rsidR="00C77CA6" w:rsidRPr="00BD295E" w:rsidRDefault="00C77CA6" w:rsidP="0027083B">
            <w:pPr>
              <w:jc w:val="both"/>
              <w:rPr>
                <w:rFonts w:ascii="Arial" w:hAnsi="Arial" w:cs="Arial"/>
                <w:sz w:val="18"/>
                <w:szCs w:val="18"/>
                <w:lang w:val="en-US"/>
              </w:rPr>
            </w:pPr>
          </w:p>
        </w:tc>
      </w:tr>
      <w:tr w:rsidR="008A5057" w:rsidRPr="00BD295E" w14:paraId="0D973545" w14:textId="77777777" w:rsidTr="005C4056">
        <w:tc>
          <w:tcPr>
            <w:tcW w:w="959" w:type="dxa"/>
          </w:tcPr>
          <w:p w14:paraId="5053C3E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w:t>
            </w:r>
            <w:r w:rsidR="00D0333D" w:rsidRPr="00BD295E">
              <w:rPr>
                <w:rFonts w:ascii="Arial" w:hAnsi="Arial" w:cs="Arial"/>
                <w:sz w:val="18"/>
                <w:szCs w:val="18"/>
                <w:lang w:val="en-US"/>
              </w:rPr>
              <w:t>.</w:t>
            </w:r>
            <w:r w:rsidRPr="00BD295E">
              <w:rPr>
                <w:rFonts w:ascii="Arial" w:hAnsi="Arial" w:cs="Arial"/>
                <w:sz w:val="18"/>
                <w:szCs w:val="18"/>
                <w:lang w:val="en-US"/>
              </w:rPr>
              <w:t>1</w:t>
            </w:r>
          </w:p>
        </w:tc>
        <w:tc>
          <w:tcPr>
            <w:tcW w:w="14110" w:type="dxa"/>
            <w:gridSpan w:val="4"/>
          </w:tcPr>
          <w:p w14:paraId="388FBDB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and its operations are transparent for its shareholders, investors, and other stakeholders.</w:t>
            </w:r>
          </w:p>
          <w:p w14:paraId="7D6E5A9D" w14:textId="77777777" w:rsidR="00C77CA6" w:rsidRPr="00BD295E" w:rsidRDefault="00C77CA6" w:rsidP="0027083B">
            <w:pPr>
              <w:jc w:val="both"/>
              <w:rPr>
                <w:rFonts w:ascii="Arial" w:hAnsi="Arial" w:cs="Arial"/>
                <w:sz w:val="18"/>
                <w:szCs w:val="18"/>
                <w:lang w:val="en-US"/>
              </w:rPr>
            </w:pPr>
          </w:p>
        </w:tc>
      </w:tr>
      <w:tr w:rsidR="008A5057" w:rsidRPr="00BD295E" w14:paraId="7DEF2890" w14:textId="77777777" w:rsidTr="005C4056">
        <w:trPr>
          <w:trHeight w:val="1121"/>
        </w:trPr>
        <w:tc>
          <w:tcPr>
            <w:tcW w:w="959" w:type="dxa"/>
            <w:vMerge w:val="restart"/>
          </w:tcPr>
          <w:p w14:paraId="7CE351D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6.1.1</w:t>
            </w:r>
          </w:p>
        </w:tc>
        <w:tc>
          <w:tcPr>
            <w:tcW w:w="4252" w:type="dxa"/>
            <w:vMerge w:val="restart"/>
          </w:tcPr>
          <w:p w14:paraId="37C75A4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developed and implemented an information policy ensuring efficient exchange of information by the company, its shareholders, investors, and other stakeholders.</w:t>
            </w:r>
          </w:p>
          <w:p w14:paraId="75E03AF9" w14:textId="77777777" w:rsidR="00C77CA6" w:rsidRPr="00BD295E" w:rsidRDefault="00C77CA6" w:rsidP="0027083B">
            <w:pPr>
              <w:jc w:val="both"/>
              <w:rPr>
                <w:rFonts w:ascii="Arial" w:hAnsi="Arial" w:cs="Arial"/>
                <w:sz w:val="18"/>
                <w:szCs w:val="18"/>
                <w:lang w:val="en-US"/>
              </w:rPr>
            </w:pPr>
          </w:p>
        </w:tc>
        <w:tc>
          <w:tcPr>
            <w:tcW w:w="3686" w:type="dxa"/>
          </w:tcPr>
          <w:p w14:paraId="36435E1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board of directors approved an information policy developed in accordance with the Code’s recommendations.</w:t>
            </w:r>
          </w:p>
          <w:p w14:paraId="517D671B" w14:textId="77777777" w:rsidR="00C77CA6" w:rsidRPr="00BD295E" w:rsidRDefault="00C77CA6" w:rsidP="0027083B">
            <w:pPr>
              <w:jc w:val="both"/>
              <w:rPr>
                <w:rFonts w:ascii="Arial" w:hAnsi="Arial" w:cs="Arial"/>
                <w:sz w:val="18"/>
                <w:szCs w:val="18"/>
                <w:lang w:val="en-US"/>
              </w:rPr>
            </w:pPr>
          </w:p>
        </w:tc>
        <w:tc>
          <w:tcPr>
            <w:tcW w:w="1984" w:type="dxa"/>
            <w:vMerge w:val="restart"/>
          </w:tcPr>
          <w:p w14:paraId="52E94CF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5B3AE850" w14:textId="77777777" w:rsidR="00C77CA6" w:rsidRPr="00BD295E" w:rsidRDefault="00C77CA6" w:rsidP="0027083B">
            <w:pPr>
              <w:jc w:val="both"/>
              <w:rPr>
                <w:rFonts w:ascii="Arial" w:hAnsi="Arial" w:cs="Arial"/>
                <w:sz w:val="18"/>
                <w:szCs w:val="18"/>
                <w:lang w:val="en-US"/>
              </w:rPr>
            </w:pPr>
          </w:p>
        </w:tc>
      </w:tr>
      <w:tr w:rsidR="008A5057" w:rsidRPr="00BD295E" w14:paraId="06E36558" w14:textId="77777777" w:rsidTr="005C4056">
        <w:trPr>
          <w:trHeight w:val="1120"/>
        </w:trPr>
        <w:tc>
          <w:tcPr>
            <w:tcW w:w="959" w:type="dxa"/>
            <w:vMerge/>
          </w:tcPr>
          <w:p w14:paraId="5AF424E8" w14:textId="77777777" w:rsidR="00C77CA6" w:rsidRPr="00BD295E" w:rsidRDefault="00C77CA6" w:rsidP="0027083B">
            <w:pPr>
              <w:jc w:val="both"/>
              <w:rPr>
                <w:rFonts w:ascii="Arial" w:hAnsi="Arial" w:cs="Arial"/>
                <w:sz w:val="18"/>
                <w:szCs w:val="18"/>
                <w:lang w:val="en-US"/>
              </w:rPr>
            </w:pPr>
          </w:p>
        </w:tc>
        <w:tc>
          <w:tcPr>
            <w:tcW w:w="4252" w:type="dxa"/>
            <w:vMerge/>
          </w:tcPr>
          <w:p w14:paraId="6338B737" w14:textId="77777777" w:rsidR="00C77CA6" w:rsidRPr="00BD295E" w:rsidRDefault="00C77CA6" w:rsidP="0027083B">
            <w:pPr>
              <w:jc w:val="both"/>
              <w:rPr>
                <w:rFonts w:ascii="Arial" w:hAnsi="Arial" w:cs="Arial"/>
                <w:sz w:val="18"/>
                <w:szCs w:val="18"/>
                <w:lang w:val="en-US"/>
              </w:rPr>
            </w:pPr>
          </w:p>
        </w:tc>
        <w:tc>
          <w:tcPr>
            <w:tcW w:w="3686" w:type="dxa"/>
          </w:tcPr>
          <w:p w14:paraId="11D9982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board of directors (or one of its committees) reviewed the matters related to the company’s compliance with its information policy at least once in the reporting period.</w:t>
            </w:r>
          </w:p>
          <w:p w14:paraId="63AE6AC7" w14:textId="77777777" w:rsidR="00C77CA6" w:rsidRPr="00BD295E" w:rsidRDefault="00C77CA6" w:rsidP="0027083B">
            <w:pPr>
              <w:jc w:val="both"/>
              <w:rPr>
                <w:rFonts w:ascii="Arial" w:hAnsi="Arial" w:cs="Arial"/>
                <w:sz w:val="18"/>
                <w:szCs w:val="18"/>
                <w:lang w:val="en-US"/>
              </w:rPr>
            </w:pPr>
          </w:p>
        </w:tc>
        <w:tc>
          <w:tcPr>
            <w:tcW w:w="1984" w:type="dxa"/>
            <w:vMerge/>
          </w:tcPr>
          <w:p w14:paraId="35433BFF" w14:textId="77777777" w:rsidR="00C77CA6" w:rsidRPr="00BD295E" w:rsidRDefault="00C77CA6" w:rsidP="0027083B">
            <w:pPr>
              <w:jc w:val="both"/>
              <w:rPr>
                <w:rFonts w:ascii="Arial" w:hAnsi="Arial" w:cs="Arial"/>
                <w:sz w:val="18"/>
                <w:szCs w:val="18"/>
                <w:lang w:val="en-US"/>
              </w:rPr>
            </w:pPr>
          </w:p>
        </w:tc>
        <w:tc>
          <w:tcPr>
            <w:tcW w:w="4188" w:type="dxa"/>
            <w:vMerge/>
          </w:tcPr>
          <w:p w14:paraId="6F616818" w14:textId="77777777" w:rsidR="00C77CA6" w:rsidRPr="00BD295E" w:rsidRDefault="00C77CA6" w:rsidP="0027083B">
            <w:pPr>
              <w:jc w:val="both"/>
              <w:rPr>
                <w:rFonts w:ascii="Arial" w:hAnsi="Arial" w:cs="Arial"/>
                <w:sz w:val="18"/>
                <w:szCs w:val="18"/>
                <w:lang w:val="en-US"/>
              </w:rPr>
            </w:pPr>
          </w:p>
        </w:tc>
      </w:tr>
      <w:tr w:rsidR="008A5057" w:rsidRPr="00BD295E" w14:paraId="1D070023" w14:textId="77777777" w:rsidTr="005C4056">
        <w:trPr>
          <w:trHeight w:val="1561"/>
        </w:trPr>
        <w:tc>
          <w:tcPr>
            <w:tcW w:w="959" w:type="dxa"/>
            <w:vMerge w:val="restart"/>
          </w:tcPr>
          <w:p w14:paraId="5CB3A7E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6.1.2</w:t>
            </w:r>
          </w:p>
        </w:tc>
        <w:tc>
          <w:tcPr>
            <w:tcW w:w="4252" w:type="dxa"/>
            <w:vMerge w:val="restart"/>
          </w:tcPr>
          <w:p w14:paraId="733E097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discloses information on its corporate governance and practice, including detailed information on compliance with the principles and recommendations of the Code.</w:t>
            </w:r>
          </w:p>
          <w:p w14:paraId="2DFDCFF5" w14:textId="77777777" w:rsidR="00C77CA6" w:rsidRPr="00BD295E" w:rsidRDefault="00C77CA6" w:rsidP="0027083B">
            <w:pPr>
              <w:jc w:val="both"/>
              <w:rPr>
                <w:rFonts w:ascii="Arial" w:hAnsi="Arial" w:cs="Arial"/>
                <w:sz w:val="18"/>
                <w:szCs w:val="18"/>
                <w:lang w:val="en-US"/>
              </w:rPr>
            </w:pPr>
          </w:p>
        </w:tc>
        <w:tc>
          <w:tcPr>
            <w:tcW w:w="3686" w:type="dxa"/>
          </w:tcPr>
          <w:p w14:paraId="7D1FA69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discloses information on its corporate governance and general principles of corporate governance, including disclosure on its website.</w:t>
            </w:r>
          </w:p>
          <w:p w14:paraId="4247F994" w14:textId="77777777" w:rsidR="00C77CA6" w:rsidRPr="00BD295E" w:rsidRDefault="00C77CA6" w:rsidP="0027083B">
            <w:pPr>
              <w:jc w:val="both"/>
              <w:rPr>
                <w:rFonts w:ascii="Arial" w:hAnsi="Arial" w:cs="Arial"/>
                <w:sz w:val="18"/>
                <w:szCs w:val="18"/>
                <w:lang w:val="en-US"/>
              </w:rPr>
            </w:pPr>
          </w:p>
        </w:tc>
        <w:tc>
          <w:tcPr>
            <w:tcW w:w="1984" w:type="dxa"/>
            <w:vMerge w:val="restart"/>
          </w:tcPr>
          <w:p w14:paraId="5E3E781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1D929FBE" w14:textId="77777777" w:rsidR="00C77CA6" w:rsidRPr="00BD295E" w:rsidRDefault="00C77CA6" w:rsidP="0027083B">
            <w:pPr>
              <w:jc w:val="both"/>
              <w:rPr>
                <w:rFonts w:ascii="Arial" w:hAnsi="Arial" w:cs="Arial"/>
                <w:sz w:val="18"/>
                <w:szCs w:val="18"/>
                <w:lang w:val="en-US"/>
              </w:rPr>
            </w:pPr>
          </w:p>
        </w:tc>
      </w:tr>
      <w:tr w:rsidR="008A5057" w:rsidRPr="00BD295E" w14:paraId="370247D6" w14:textId="77777777" w:rsidTr="005C4056">
        <w:trPr>
          <w:trHeight w:val="1561"/>
        </w:trPr>
        <w:tc>
          <w:tcPr>
            <w:tcW w:w="959" w:type="dxa"/>
            <w:vMerge/>
          </w:tcPr>
          <w:p w14:paraId="309CF676" w14:textId="77777777" w:rsidR="00C77CA6" w:rsidRPr="00BD295E" w:rsidRDefault="00C77CA6" w:rsidP="0027083B">
            <w:pPr>
              <w:jc w:val="both"/>
              <w:rPr>
                <w:rFonts w:ascii="Arial" w:hAnsi="Arial" w:cs="Arial"/>
                <w:sz w:val="18"/>
                <w:szCs w:val="18"/>
                <w:lang w:val="en-US"/>
              </w:rPr>
            </w:pPr>
          </w:p>
        </w:tc>
        <w:tc>
          <w:tcPr>
            <w:tcW w:w="4252" w:type="dxa"/>
            <w:vMerge/>
          </w:tcPr>
          <w:p w14:paraId="10A7EC1B" w14:textId="77777777" w:rsidR="00C77CA6" w:rsidRPr="00BD295E" w:rsidRDefault="00C77CA6" w:rsidP="0027083B">
            <w:pPr>
              <w:jc w:val="both"/>
              <w:rPr>
                <w:rFonts w:ascii="Arial" w:hAnsi="Arial" w:cs="Arial"/>
                <w:sz w:val="18"/>
                <w:szCs w:val="18"/>
                <w:lang w:val="en-US"/>
              </w:rPr>
            </w:pPr>
          </w:p>
        </w:tc>
        <w:tc>
          <w:tcPr>
            <w:tcW w:w="3686" w:type="dxa"/>
          </w:tcPr>
          <w:p w14:paraId="1519761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2. The company discloses information on the membership of its executive bodies and board of directors, independence of the directors and their membership in the board of directors’ Committees (as defined by the Code </w:t>
            </w:r>
            <w:hyperlink r:id="rId158" w:history="1"/>
            <w:r w:rsidRPr="00BD295E">
              <w:rPr>
                <w:rFonts w:ascii="Arial" w:hAnsi="Arial" w:cs="Arial"/>
                <w:sz w:val="18"/>
                <w:szCs w:val="18"/>
                <w:lang w:val="en-US"/>
              </w:rPr>
              <w:t>).</w:t>
            </w:r>
          </w:p>
          <w:p w14:paraId="0CD51A1E" w14:textId="77777777" w:rsidR="00C77CA6" w:rsidRPr="00BD295E" w:rsidRDefault="00C77CA6" w:rsidP="0027083B">
            <w:pPr>
              <w:jc w:val="both"/>
              <w:rPr>
                <w:rFonts w:ascii="Arial" w:hAnsi="Arial" w:cs="Arial"/>
                <w:sz w:val="18"/>
                <w:szCs w:val="18"/>
                <w:lang w:val="en-US"/>
              </w:rPr>
            </w:pPr>
          </w:p>
        </w:tc>
        <w:tc>
          <w:tcPr>
            <w:tcW w:w="1984" w:type="dxa"/>
            <w:vMerge/>
          </w:tcPr>
          <w:p w14:paraId="6657B3BC" w14:textId="77777777" w:rsidR="00C77CA6" w:rsidRPr="00BD295E" w:rsidRDefault="00C77CA6" w:rsidP="0027083B">
            <w:pPr>
              <w:jc w:val="both"/>
              <w:rPr>
                <w:rFonts w:ascii="Arial" w:hAnsi="Arial" w:cs="Arial"/>
                <w:sz w:val="18"/>
                <w:szCs w:val="18"/>
                <w:lang w:val="en-US"/>
              </w:rPr>
            </w:pPr>
          </w:p>
        </w:tc>
        <w:tc>
          <w:tcPr>
            <w:tcW w:w="4188" w:type="dxa"/>
          </w:tcPr>
          <w:p w14:paraId="4D970E09" w14:textId="77777777" w:rsidR="00C77CA6" w:rsidRPr="00BD295E" w:rsidRDefault="00C77CA6" w:rsidP="0027083B">
            <w:pPr>
              <w:jc w:val="both"/>
              <w:rPr>
                <w:rFonts w:ascii="Arial" w:hAnsi="Arial" w:cs="Arial"/>
                <w:sz w:val="18"/>
                <w:szCs w:val="18"/>
                <w:lang w:val="en-US"/>
              </w:rPr>
            </w:pPr>
          </w:p>
        </w:tc>
      </w:tr>
      <w:tr w:rsidR="008A5057" w:rsidRPr="00BD295E" w14:paraId="2B5ED3C9" w14:textId="77777777" w:rsidTr="005C4056">
        <w:trPr>
          <w:trHeight w:val="1561"/>
        </w:trPr>
        <w:tc>
          <w:tcPr>
            <w:tcW w:w="959" w:type="dxa"/>
            <w:vMerge/>
          </w:tcPr>
          <w:p w14:paraId="6D8AAB0A" w14:textId="77777777" w:rsidR="00C77CA6" w:rsidRPr="00BD295E" w:rsidRDefault="00C77CA6" w:rsidP="0027083B">
            <w:pPr>
              <w:jc w:val="both"/>
              <w:rPr>
                <w:rFonts w:ascii="Arial" w:hAnsi="Arial" w:cs="Arial"/>
                <w:sz w:val="18"/>
                <w:szCs w:val="18"/>
                <w:lang w:val="en-US"/>
              </w:rPr>
            </w:pPr>
          </w:p>
        </w:tc>
        <w:tc>
          <w:tcPr>
            <w:tcW w:w="4252" w:type="dxa"/>
            <w:vMerge/>
          </w:tcPr>
          <w:p w14:paraId="7BD097B7" w14:textId="77777777" w:rsidR="00C77CA6" w:rsidRPr="00BD295E" w:rsidRDefault="00C77CA6" w:rsidP="0027083B">
            <w:pPr>
              <w:jc w:val="both"/>
              <w:rPr>
                <w:rFonts w:ascii="Arial" w:hAnsi="Arial" w:cs="Arial"/>
                <w:sz w:val="18"/>
                <w:szCs w:val="18"/>
                <w:lang w:val="en-US"/>
              </w:rPr>
            </w:pPr>
          </w:p>
        </w:tc>
        <w:tc>
          <w:tcPr>
            <w:tcW w:w="3686" w:type="dxa"/>
          </w:tcPr>
          <w:p w14:paraId="0C5935B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If the company has a controlling person, the company publishes a memorandum of the controlling person setting out this person’s plans for the company’s corporate governance.</w:t>
            </w:r>
          </w:p>
          <w:p w14:paraId="556DF55C" w14:textId="77777777" w:rsidR="00C77CA6" w:rsidRPr="00BD295E" w:rsidRDefault="00C77CA6" w:rsidP="0027083B">
            <w:pPr>
              <w:jc w:val="both"/>
              <w:rPr>
                <w:rFonts w:ascii="Arial" w:hAnsi="Arial" w:cs="Arial"/>
                <w:sz w:val="18"/>
                <w:szCs w:val="18"/>
                <w:lang w:val="en-US"/>
              </w:rPr>
            </w:pPr>
          </w:p>
          <w:p w14:paraId="766AA262" w14:textId="77777777" w:rsidR="00C77CA6" w:rsidRPr="00BD295E" w:rsidRDefault="00C77CA6" w:rsidP="0027083B">
            <w:pPr>
              <w:jc w:val="both"/>
              <w:rPr>
                <w:rFonts w:ascii="Arial" w:hAnsi="Arial" w:cs="Arial"/>
                <w:sz w:val="18"/>
                <w:szCs w:val="18"/>
                <w:lang w:val="en-US"/>
              </w:rPr>
            </w:pPr>
          </w:p>
        </w:tc>
        <w:tc>
          <w:tcPr>
            <w:tcW w:w="1984" w:type="dxa"/>
            <w:vMerge/>
          </w:tcPr>
          <w:p w14:paraId="73E4933E" w14:textId="77777777" w:rsidR="00C77CA6" w:rsidRPr="00BD295E" w:rsidRDefault="00C77CA6" w:rsidP="0027083B">
            <w:pPr>
              <w:jc w:val="both"/>
              <w:rPr>
                <w:rFonts w:ascii="Arial" w:hAnsi="Arial" w:cs="Arial"/>
                <w:sz w:val="18"/>
                <w:szCs w:val="18"/>
                <w:lang w:val="en-US"/>
              </w:rPr>
            </w:pPr>
          </w:p>
        </w:tc>
        <w:tc>
          <w:tcPr>
            <w:tcW w:w="4188" w:type="dxa"/>
          </w:tcPr>
          <w:p w14:paraId="22F1A54A" w14:textId="77777777" w:rsidR="00C77CA6" w:rsidRPr="00BD295E" w:rsidRDefault="00C77CA6" w:rsidP="0027083B">
            <w:pPr>
              <w:jc w:val="both"/>
              <w:rPr>
                <w:rFonts w:ascii="Arial" w:hAnsi="Arial" w:cs="Arial"/>
                <w:sz w:val="18"/>
                <w:szCs w:val="18"/>
                <w:lang w:val="en-US"/>
              </w:rPr>
            </w:pPr>
          </w:p>
        </w:tc>
      </w:tr>
      <w:tr w:rsidR="008A5057" w:rsidRPr="00BD295E" w14:paraId="50626AF8" w14:textId="77777777" w:rsidTr="005C4056">
        <w:tc>
          <w:tcPr>
            <w:tcW w:w="959" w:type="dxa"/>
          </w:tcPr>
          <w:p w14:paraId="6FEF9FE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w:t>
            </w:r>
            <w:r w:rsidR="00D0333D" w:rsidRPr="00BD295E">
              <w:rPr>
                <w:rFonts w:ascii="Arial" w:hAnsi="Arial" w:cs="Arial"/>
                <w:sz w:val="18"/>
                <w:szCs w:val="18"/>
                <w:lang w:val="en-US"/>
              </w:rPr>
              <w:t>.</w:t>
            </w:r>
            <w:r w:rsidRPr="00BD295E">
              <w:rPr>
                <w:rFonts w:ascii="Arial" w:hAnsi="Arial" w:cs="Arial"/>
                <w:sz w:val="18"/>
                <w:szCs w:val="18"/>
                <w:lang w:val="en-US"/>
              </w:rPr>
              <w:t>2</w:t>
            </w:r>
          </w:p>
        </w:tc>
        <w:tc>
          <w:tcPr>
            <w:tcW w:w="14110" w:type="dxa"/>
            <w:gridSpan w:val="4"/>
          </w:tcPr>
          <w:p w14:paraId="56D76C77" w14:textId="1D61A61A"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The company makes timely disclosures of complete, </w:t>
            </w:r>
            <w:r w:rsidR="00BF7D8E" w:rsidRPr="00BD295E">
              <w:rPr>
                <w:rFonts w:ascii="Arial" w:hAnsi="Arial" w:cs="Arial"/>
                <w:sz w:val="18"/>
                <w:szCs w:val="18"/>
                <w:lang w:val="en-US"/>
              </w:rPr>
              <w:t>updated</w:t>
            </w:r>
            <w:r w:rsidRPr="00BD295E">
              <w:rPr>
                <w:rFonts w:ascii="Arial" w:hAnsi="Arial" w:cs="Arial"/>
                <w:sz w:val="18"/>
                <w:szCs w:val="18"/>
                <w:lang w:val="en-US"/>
              </w:rPr>
              <w:t xml:space="preserve"> and reliable information to allow shareholders and investors to make informed decisions.</w:t>
            </w:r>
          </w:p>
          <w:p w14:paraId="2168E693" w14:textId="77777777" w:rsidR="00C77CA6" w:rsidRPr="00BD295E" w:rsidRDefault="00C77CA6" w:rsidP="0027083B">
            <w:pPr>
              <w:jc w:val="both"/>
              <w:rPr>
                <w:rFonts w:ascii="Arial" w:hAnsi="Arial" w:cs="Arial"/>
                <w:sz w:val="18"/>
                <w:szCs w:val="18"/>
                <w:lang w:val="en-US"/>
              </w:rPr>
            </w:pPr>
          </w:p>
        </w:tc>
      </w:tr>
      <w:tr w:rsidR="008A5057" w:rsidRPr="00BD295E" w14:paraId="28D9EEE0" w14:textId="77777777" w:rsidTr="005C4056">
        <w:trPr>
          <w:trHeight w:val="1904"/>
        </w:trPr>
        <w:tc>
          <w:tcPr>
            <w:tcW w:w="959" w:type="dxa"/>
            <w:vMerge w:val="restart"/>
          </w:tcPr>
          <w:p w14:paraId="6AAE969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6.2.1</w:t>
            </w:r>
          </w:p>
        </w:tc>
        <w:tc>
          <w:tcPr>
            <w:tcW w:w="4252" w:type="dxa"/>
            <w:vMerge w:val="restart"/>
          </w:tcPr>
          <w:p w14:paraId="46D316C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discloses information based on the principles of regularity, consistency and promptness, as well as availability, reliability, completeness and comparability of disclosed data.</w:t>
            </w:r>
          </w:p>
          <w:p w14:paraId="2B1DFC41" w14:textId="77777777" w:rsidR="00C77CA6" w:rsidRPr="00BD295E" w:rsidRDefault="00C77CA6" w:rsidP="0027083B">
            <w:pPr>
              <w:jc w:val="both"/>
              <w:rPr>
                <w:rFonts w:ascii="Arial" w:hAnsi="Arial" w:cs="Arial"/>
                <w:sz w:val="18"/>
                <w:szCs w:val="18"/>
                <w:lang w:val="en-US"/>
              </w:rPr>
            </w:pPr>
          </w:p>
        </w:tc>
        <w:tc>
          <w:tcPr>
            <w:tcW w:w="3686" w:type="dxa"/>
          </w:tcPr>
          <w:p w14:paraId="38631E4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information policy sets out approaches to, and criteria for, identifying information that can have a material impact on the company’s evaluation and the price of its securities, as well as procedures ensuring timely disclosure of such information.</w:t>
            </w:r>
          </w:p>
        </w:tc>
        <w:tc>
          <w:tcPr>
            <w:tcW w:w="1984" w:type="dxa"/>
            <w:vMerge w:val="restart"/>
          </w:tcPr>
          <w:p w14:paraId="4D8D93B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4B697C7F" w14:textId="77777777" w:rsidR="00C77CA6" w:rsidRPr="00BD295E" w:rsidRDefault="00C77CA6" w:rsidP="0027083B">
            <w:pPr>
              <w:jc w:val="both"/>
              <w:rPr>
                <w:rFonts w:ascii="Arial" w:hAnsi="Arial" w:cs="Arial"/>
                <w:sz w:val="18"/>
                <w:szCs w:val="18"/>
                <w:lang w:val="en-US"/>
              </w:rPr>
            </w:pPr>
          </w:p>
        </w:tc>
      </w:tr>
      <w:tr w:rsidR="008A5057" w:rsidRPr="00BD295E" w14:paraId="5A516783" w14:textId="77777777" w:rsidTr="005C4056">
        <w:trPr>
          <w:trHeight w:val="1709"/>
        </w:trPr>
        <w:tc>
          <w:tcPr>
            <w:tcW w:w="959" w:type="dxa"/>
            <w:vMerge/>
          </w:tcPr>
          <w:p w14:paraId="4BADDFF1" w14:textId="77777777" w:rsidR="00C77CA6" w:rsidRPr="00BD295E" w:rsidRDefault="00C77CA6" w:rsidP="0027083B">
            <w:pPr>
              <w:jc w:val="both"/>
              <w:rPr>
                <w:rFonts w:ascii="Arial" w:hAnsi="Arial" w:cs="Arial"/>
                <w:sz w:val="18"/>
                <w:szCs w:val="18"/>
                <w:lang w:val="en-US"/>
              </w:rPr>
            </w:pPr>
          </w:p>
        </w:tc>
        <w:tc>
          <w:tcPr>
            <w:tcW w:w="4252" w:type="dxa"/>
            <w:vMerge/>
          </w:tcPr>
          <w:p w14:paraId="6874EED9" w14:textId="77777777" w:rsidR="00C77CA6" w:rsidRPr="00BD295E" w:rsidRDefault="00C77CA6" w:rsidP="0027083B">
            <w:pPr>
              <w:jc w:val="both"/>
              <w:rPr>
                <w:rFonts w:ascii="Arial" w:hAnsi="Arial" w:cs="Arial"/>
                <w:sz w:val="18"/>
                <w:szCs w:val="18"/>
                <w:lang w:val="en-US"/>
              </w:rPr>
            </w:pPr>
          </w:p>
        </w:tc>
        <w:tc>
          <w:tcPr>
            <w:tcW w:w="3686" w:type="dxa"/>
          </w:tcPr>
          <w:p w14:paraId="68FBF3E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If the company’s securities are traded on foreign organized markets, the company ensured concerted and equivalent disclosure of material information in the Russian Federation and in such markets during the reporting year.</w:t>
            </w:r>
          </w:p>
        </w:tc>
        <w:tc>
          <w:tcPr>
            <w:tcW w:w="1984" w:type="dxa"/>
            <w:vMerge/>
          </w:tcPr>
          <w:p w14:paraId="24C9463B" w14:textId="77777777" w:rsidR="00C77CA6" w:rsidRPr="00BD295E" w:rsidRDefault="00C77CA6" w:rsidP="0027083B">
            <w:pPr>
              <w:jc w:val="both"/>
              <w:rPr>
                <w:rFonts w:ascii="Arial" w:hAnsi="Arial" w:cs="Arial"/>
                <w:sz w:val="18"/>
                <w:szCs w:val="18"/>
                <w:lang w:val="en-US"/>
              </w:rPr>
            </w:pPr>
          </w:p>
        </w:tc>
        <w:tc>
          <w:tcPr>
            <w:tcW w:w="4188" w:type="dxa"/>
          </w:tcPr>
          <w:p w14:paraId="58980053" w14:textId="77777777" w:rsidR="00C77CA6" w:rsidRPr="00BD295E" w:rsidRDefault="00C77CA6" w:rsidP="0027083B">
            <w:pPr>
              <w:jc w:val="both"/>
              <w:rPr>
                <w:rFonts w:ascii="Arial" w:hAnsi="Arial" w:cs="Arial"/>
                <w:sz w:val="18"/>
                <w:szCs w:val="18"/>
                <w:lang w:val="en-US"/>
              </w:rPr>
            </w:pPr>
          </w:p>
        </w:tc>
      </w:tr>
      <w:tr w:rsidR="008A5057" w:rsidRPr="00BD295E" w14:paraId="5413AF1C" w14:textId="77777777" w:rsidTr="005C4056">
        <w:trPr>
          <w:trHeight w:val="1705"/>
        </w:trPr>
        <w:tc>
          <w:tcPr>
            <w:tcW w:w="959" w:type="dxa"/>
            <w:vMerge/>
          </w:tcPr>
          <w:p w14:paraId="7FFCF3FD" w14:textId="77777777" w:rsidR="00C77CA6" w:rsidRPr="00BD295E" w:rsidRDefault="00C77CA6" w:rsidP="0027083B">
            <w:pPr>
              <w:jc w:val="both"/>
              <w:rPr>
                <w:rFonts w:ascii="Arial" w:hAnsi="Arial" w:cs="Arial"/>
                <w:sz w:val="18"/>
                <w:szCs w:val="18"/>
                <w:lang w:val="en-US"/>
              </w:rPr>
            </w:pPr>
          </w:p>
        </w:tc>
        <w:tc>
          <w:tcPr>
            <w:tcW w:w="4252" w:type="dxa"/>
            <w:vMerge/>
          </w:tcPr>
          <w:p w14:paraId="2629243A" w14:textId="77777777" w:rsidR="00C77CA6" w:rsidRPr="00BD295E" w:rsidRDefault="00C77CA6" w:rsidP="0027083B">
            <w:pPr>
              <w:jc w:val="both"/>
              <w:rPr>
                <w:rFonts w:ascii="Arial" w:hAnsi="Arial" w:cs="Arial"/>
                <w:sz w:val="18"/>
                <w:szCs w:val="18"/>
                <w:lang w:val="en-US"/>
              </w:rPr>
            </w:pPr>
          </w:p>
        </w:tc>
        <w:tc>
          <w:tcPr>
            <w:tcW w:w="3686" w:type="dxa"/>
          </w:tcPr>
          <w:p w14:paraId="135F8D8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If foreign shareholders hold a material portion of company shares, the relevant information was disclosed both in the Russian language and in one of the most widely used foreign languages in the reporting period.</w:t>
            </w:r>
          </w:p>
        </w:tc>
        <w:tc>
          <w:tcPr>
            <w:tcW w:w="1984" w:type="dxa"/>
            <w:vMerge/>
          </w:tcPr>
          <w:p w14:paraId="53C54052" w14:textId="77777777" w:rsidR="00C77CA6" w:rsidRPr="00BD295E" w:rsidRDefault="00C77CA6" w:rsidP="0027083B">
            <w:pPr>
              <w:jc w:val="both"/>
              <w:rPr>
                <w:rFonts w:ascii="Arial" w:hAnsi="Arial" w:cs="Arial"/>
                <w:sz w:val="18"/>
                <w:szCs w:val="18"/>
                <w:lang w:val="en-US"/>
              </w:rPr>
            </w:pPr>
          </w:p>
        </w:tc>
        <w:tc>
          <w:tcPr>
            <w:tcW w:w="4188" w:type="dxa"/>
          </w:tcPr>
          <w:p w14:paraId="5141602E" w14:textId="77777777" w:rsidR="00C77CA6" w:rsidRPr="00BD295E" w:rsidRDefault="00C77CA6" w:rsidP="0027083B">
            <w:pPr>
              <w:jc w:val="both"/>
              <w:rPr>
                <w:rFonts w:ascii="Arial" w:hAnsi="Arial" w:cs="Arial"/>
                <w:sz w:val="18"/>
                <w:szCs w:val="18"/>
                <w:lang w:val="en-US"/>
              </w:rPr>
            </w:pPr>
          </w:p>
        </w:tc>
      </w:tr>
      <w:tr w:rsidR="008A5057" w:rsidRPr="00BD295E" w14:paraId="165FD46C" w14:textId="77777777" w:rsidTr="005C4056">
        <w:trPr>
          <w:trHeight w:val="1735"/>
        </w:trPr>
        <w:tc>
          <w:tcPr>
            <w:tcW w:w="959" w:type="dxa"/>
            <w:vMerge w:val="restart"/>
          </w:tcPr>
          <w:p w14:paraId="12319C5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6.2.2</w:t>
            </w:r>
          </w:p>
        </w:tc>
        <w:tc>
          <w:tcPr>
            <w:tcW w:w="4252" w:type="dxa"/>
            <w:vMerge w:val="restart"/>
          </w:tcPr>
          <w:p w14:paraId="14468C6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avoids a formalistic approach to information disclosure and discloses material information on its operations, even if disclosure of such information is not required by law.</w:t>
            </w:r>
          </w:p>
          <w:p w14:paraId="7185B92A" w14:textId="77777777" w:rsidR="00C77CA6" w:rsidRPr="00BD295E" w:rsidRDefault="00C77CA6" w:rsidP="0027083B">
            <w:pPr>
              <w:jc w:val="both"/>
              <w:rPr>
                <w:rFonts w:ascii="Arial" w:hAnsi="Arial" w:cs="Arial"/>
                <w:sz w:val="18"/>
                <w:szCs w:val="18"/>
                <w:lang w:val="en-US"/>
              </w:rPr>
            </w:pPr>
          </w:p>
        </w:tc>
        <w:tc>
          <w:tcPr>
            <w:tcW w:w="3686" w:type="dxa"/>
          </w:tcPr>
          <w:p w14:paraId="321D675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company disclosed FY and 6M financial statements prepared under the IFRS. The company’s annual report for the reporting period included annual financial statements prepared under the IFRS, along with the auditor’s report.</w:t>
            </w:r>
          </w:p>
          <w:p w14:paraId="2D130BDD" w14:textId="77777777" w:rsidR="00C77CA6" w:rsidRPr="00BD295E" w:rsidRDefault="00C77CA6" w:rsidP="0027083B">
            <w:pPr>
              <w:jc w:val="both"/>
              <w:rPr>
                <w:rFonts w:ascii="Arial" w:hAnsi="Arial" w:cs="Arial"/>
                <w:sz w:val="18"/>
                <w:szCs w:val="18"/>
                <w:lang w:val="en-US"/>
              </w:rPr>
            </w:pPr>
          </w:p>
        </w:tc>
        <w:tc>
          <w:tcPr>
            <w:tcW w:w="1984" w:type="dxa"/>
            <w:vMerge w:val="restart"/>
          </w:tcPr>
          <w:p w14:paraId="4EBAF62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7581F9FA" w14:textId="77777777" w:rsidR="00C77CA6" w:rsidRPr="00BD295E" w:rsidRDefault="00C77CA6" w:rsidP="0027083B">
            <w:pPr>
              <w:jc w:val="both"/>
              <w:rPr>
                <w:rFonts w:ascii="Arial" w:hAnsi="Arial" w:cs="Arial"/>
                <w:sz w:val="18"/>
                <w:szCs w:val="18"/>
                <w:lang w:val="en-US"/>
              </w:rPr>
            </w:pPr>
          </w:p>
        </w:tc>
      </w:tr>
      <w:tr w:rsidR="008A5057" w:rsidRPr="00BD295E" w14:paraId="50291FA4" w14:textId="77777777" w:rsidTr="005C4056">
        <w:trPr>
          <w:trHeight w:val="1467"/>
        </w:trPr>
        <w:tc>
          <w:tcPr>
            <w:tcW w:w="959" w:type="dxa"/>
            <w:vMerge/>
          </w:tcPr>
          <w:p w14:paraId="7564FC96" w14:textId="77777777" w:rsidR="00C77CA6" w:rsidRPr="00BD295E" w:rsidRDefault="00C77CA6" w:rsidP="0027083B">
            <w:pPr>
              <w:jc w:val="both"/>
              <w:rPr>
                <w:rFonts w:ascii="Arial" w:hAnsi="Arial" w:cs="Arial"/>
                <w:sz w:val="18"/>
                <w:szCs w:val="18"/>
                <w:lang w:val="en-US"/>
              </w:rPr>
            </w:pPr>
          </w:p>
        </w:tc>
        <w:tc>
          <w:tcPr>
            <w:tcW w:w="4252" w:type="dxa"/>
            <w:vMerge/>
          </w:tcPr>
          <w:p w14:paraId="3E3B0007" w14:textId="77777777" w:rsidR="00C77CA6" w:rsidRPr="00BD295E" w:rsidRDefault="00C77CA6" w:rsidP="0027083B">
            <w:pPr>
              <w:jc w:val="both"/>
              <w:rPr>
                <w:rFonts w:ascii="Arial" w:hAnsi="Arial" w:cs="Arial"/>
                <w:sz w:val="18"/>
                <w:szCs w:val="18"/>
                <w:lang w:val="en-US"/>
              </w:rPr>
            </w:pPr>
          </w:p>
        </w:tc>
        <w:tc>
          <w:tcPr>
            <w:tcW w:w="3686" w:type="dxa"/>
          </w:tcPr>
          <w:p w14:paraId="787CD7F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2. The Company discloses complete information on its capital structure, as stated in Recommendation </w:t>
            </w:r>
            <w:hyperlink r:id="rId159" w:history="1">
              <w:r w:rsidRPr="00BD295E">
                <w:rPr>
                  <w:rFonts w:ascii="Arial" w:hAnsi="Arial" w:cs="Arial"/>
                  <w:sz w:val="18"/>
                  <w:szCs w:val="18"/>
                  <w:lang w:val="en-US"/>
                </w:rPr>
                <w:t>290</w:t>
              </w:r>
            </w:hyperlink>
            <w:r w:rsidRPr="00BD295E">
              <w:rPr>
                <w:rFonts w:ascii="Arial" w:hAnsi="Arial" w:cs="Arial"/>
                <w:sz w:val="18"/>
                <w:szCs w:val="18"/>
                <w:lang w:val="en-US"/>
              </w:rPr>
              <w:t xml:space="preserve"> of the Code, in its annual report, and on the corporate website.</w:t>
            </w:r>
          </w:p>
          <w:p w14:paraId="6877281A" w14:textId="77777777" w:rsidR="00C77CA6" w:rsidRPr="00BD295E" w:rsidRDefault="00C77CA6" w:rsidP="0027083B">
            <w:pPr>
              <w:jc w:val="both"/>
              <w:rPr>
                <w:rFonts w:ascii="Arial" w:hAnsi="Arial" w:cs="Arial"/>
                <w:sz w:val="18"/>
                <w:szCs w:val="18"/>
                <w:lang w:val="en-US"/>
              </w:rPr>
            </w:pPr>
          </w:p>
        </w:tc>
        <w:tc>
          <w:tcPr>
            <w:tcW w:w="1984" w:type="dxa"/>
            <w:vMerge/>
          </w:tcPr>
          <w:p w14:paraId="3E4A5EF6" w14:textId="77777777" w:rsidR="00C77CA6" w:rsidRPr="00BD295E" w:rsidRDefault="00C77CA6" w:rsidP="0027083B">
            <w:pPr>
              <w:jc w:val="both"/>
              <w:rPr>
                <w:rFonts w:ascii="Arial" w:hAnsi="Arial" w:cs="Arial"/>
                <w:sz w:val="18"/>
                <w:szCs w:val="18"/>
                <w:lang w:val="en-US"/>
              </w:rPr>
            </w:pPr>
          </w:p>
        </w:tc>
        <w:tc>
          <w:tcPr>
            <w:tcW w:w="4188" w:type="dxa"/>
            <w:vMerge/>
          </w:tcPr>
          <w:p w14:paraId="4629E453" w14:textId="77777777" w:rsidR="00C77CA6" w:rsidRPr="00BD295E" w:rsidRDefault="00C77CA6" w:rsidP="0027083B">
            <w:pPr>
              <w:jc w:val="both"/>
              <w:rPr>
                <w:rFonts w:ascii="Arial" w:hAnsi="Arial" w:cs="Arial"/>
                <w:sz w:val="18"/>
                <w:szCs w:val="18"/>
                <w:lang w:val="en-US"/>
              </w:rPr>
            </w:pPr>
          </w:p>
        </w:tc>
      </w:tr>
      <w:tr w:rsidR="008A5057" w:rsidRPr="00BD295E" w14:paraId="610CAFA8" w14:textId="77777777" w:rsidTr="005C4056">
        <w:trPr>
          <w:trHeight w:val="1021"/>
        </w:trPr>
        <w:tc>
          <w:tcPr>
            <w:tcW w:w="959" w:type="dxa"/>
            <w:vMerge w:val="restart"/>
          </w:tcPr>
          <w:p w14:paraId="54AFA81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6.2.3</w:t>
            </w:r>
          </w:p>
        </w:tc>
        <w:tc>
          <w:tcPr>
            <w:tcW w:w="4252" w:type="dxa"/>
            <w:vMerge w:val="restart"/>
          </w:tcPr>
          <w:p w14:paraId="71D0B8E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annual report, as one of the most important tools of its information exchange with shareholders and other stakeholders, contains information enabling assessment of the company’s annual performance results.</w:t>
            </w:r>
          </w:p>
          <w:p w14:paraId="6F522605" w14:textId="77777777" w:rsidR="00C77CA6" w:rsidRPr="00BD295E" w:rsidRDefault="00C77CA6" w:rsidP="0027083B">
            <w:pPr>
              <w:jc w:val="both"/>
              <w:rPr>
                <w:rFonts w:ascii="Arial" w:hAnsi="Arial" w:cs="Arial"/>
                <w:sz w:val="18"/>
                <w:szCs w:val="18"/>
                <w:lang w:val="en-US"/>
              </w:rPr>
            </w:pPr>
          </w:p>
        </w:tc>
        <w:tc>
          <w:tcPr>
            <w:tcW w:w="3686" w:type="dxa"/>
          </w:tcPr>
          <w:p w14:paraId="3D897F5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annual report contains information on the key aspects of its operational and financial performance.</w:t>
            </w:r>
          </w:p>
          <w:p w14:paraId="5EE6C0E9" w14:textId="77777777" w:rsidR="00C77CA6" w:rsidRPr="00BD295E" w:rsidRDefault="00C77CA6" w:rsidP="0027083B">
            <w:pPr>
              <w:jc w:val="both"/>
              <w:rPr>
                <w:rFonts w:ascii="Arial" w:hAnsi="Arial" w:cs="Arial"/>
                <w:sz w:val="18"/>
                <w:szCs w:val="18"/>
                <w:lang w:val="en-US"/>
              </w:rPr>
            </w:pPr>
          </w:p>
        </w:tc>
        <w:tc>
          <w:tcPr>
            <w:tcW w:w="1984" w:type="dxa"/>
            <w:vMerge w:val="restart"/>
          </w:tcPr>
          <w:p w14:paraId="55838D1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32C8EBD9" w14:textId="77777777" w:rsidR="00C77CA6" w:rsidRPr="00BD295E" w:rsidRDefault="00C77CA6" w:rsidP="0027083B">
            <w:pPr>
              <w:jc w:val="both"/>
              <w:rPr>
                <w:rFonts w:ascii="Arial" w:hAnsi="Arial" w:cs="Arial"/>
                <w:sz w:val="18"/>
                <w:szCs w:val="18"/>
                <w:lang w:val="en-US"/>
              </w:rPr>
            </w:pPr>
          </w:p>
        </w:tc>
      </w:tr>
      <w:tr w:rsidR="008A5057" w:rsidRPr="00BD295E" w14:paraId="30075167" w14:textId="77777777" w:rsidTr="005C4056">
        <w:trPr>
          <w:trHeight w:val="1020"/>
        </w:trPr>
        <w:tc>
          <w:tcPr>
            <w:tcW w:w="959" w:type="dxa"/>
            <w:vMerge/>
          </w:tcPr>
          <w:p w14:paraId="3EBBB957" w14:textId="77777777" w:rsidR="00C77CA6" w:rsidRPr="00BD295E" w:rsidRDefault="00C77CA6" w:rsidP="0027083B">
            <w:pPr>
              <w:jc w:val="both"/>
              <w:rPr>
                <w:rFonts w:ascii="Arial" w:hAnsi="Arial" w:cs="Arial"/>
                <w:sz w:val="18"/>
                <w:szCs w:val="18"/>
                <w:lang w:val="en-US"/>
              </w:rPr>
            </w:pPr>
          </w:p>
        </w:tc>
        <w:tc>
          <w:tcPr>
            <w:tcW w:w="4252" w:type="dxa"/>
            <w:vMerge/>
          </w:tcPr>
          <w:p w14:paraId="42C21B5E" w14:textId="77777777" w:rsidR="00C77CA6" w:rsidRPr="00BD295E" w:rsidRDefault="00C77CA6" w:rsidP="0027083B">
            <w:pPr>
              <w:jc w:val="both"/>
              <w:rPr>
                <w:rFonts w:ascii="Arial" w:hAnsi="Arial" w:cs="Arial"/>
                <w:sz w:val="18"/>
                <w:szCs w:val="18"/>
                <w:lang w:val="en-US"/>
              </w:rPr>
            </w:pPr>
          </w:p>
        </w:tc>
        <w:tc>
          <w:tcPr>
            <w:tcW w:w="3686" w:type="dxa"/>
          </w:tcPr>
          <w:p w14:paraId="2BA0BA0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company’s annual report contains information on the environmental and social aspects of the company’s operations.</w:t>
            </w:r>
          </w:p>
          <w:p w14:paraId="500E0A1E" w14:textId="77777777" w:rsidR="00C77CA6" w:rsidRPr="00BD295E" w:rsidRDefault="00C77CA6" w:rsidP="0027083B">
            <w:pPr>
              <w:jc w:val="both"/>
              <w:rPr>
                <w:rFonts w:ascii="Arial" w:hAnsi="Arial" w:cs="Arial"/>
                <w:sz w:val="18"/>
                <w:szCs w:val="18"/>
                <w:lang w:val="en-US"/>
              </w:rPr>
            </w:pPr>
          </w:p>
          <w:p w14:paraId="45A6FDBC" w14:textId="77777777" w:rsidR="00C77CA6" w:rsidRPr="00BD295E" w:rsidRDefault="00C77CA6" w:rsidP="0027083B">
            <w:pPr>
              <w:jc w:val="both"/>
              <w:rPr>
                <w:rFonts w:ascii="Arial" w:hAnsi="Arial" w:cs="Arial"/>
                <w:sz w:val="18"/>
                <w:szCs w:val="18"/>
                <w:lang w:val="en-US"/>
              </w:rPr>
            </w:pPr>
          </w:p>
        </w:tc>
        <w:tc>
          <w:tcPr>
            <w:tcW w:w="1984" w:type="dxa"/>
            <w:vMerge/>
          </w:tcPr>
          <w:p w14:paraId="3260F129" w14:textId="77777777" w:rsidR="00C77CA6" w:rsidRPr="00BD295E" w:rsidRDefault="00C77CA6" w:rsidP="0027083B">
            <w:pPr>
              <w:jc w:val="both"/>
              <w:rPr>
                <w:rFonts w:ascii="Arial" w:hAnsi="Arial" w:cs="Arial"/>
                <w:sz w:val="18"/>
                <w:szCs w:val="18"/>
                <w:lang w:val="en-US"/>
              </w:rPr>
            </w:pPr>
          </w:p>
        </w:tc>
        <w:tc>
          <w:tcPr>
            <w:tcW w:w="4188" w:type="dxa"/>
            <w:vMerge/>
          </w:tcPr>
          <w:p w14:paraId="4C107FE5" w14:textId="77777777" w:rsidR="00C77CA6" w:rsidRPr="00BD295E" w:rsidRDefault="00C77CA6" w:rsidP="0027083B">
            <w:pPr>
              <w:jc w:val="both"/>
              <w:rPr>
                <w:rFonts w:ascii="Arial" w:hAnsi="Arial" w:cs="Arial"/>
                <w:sz w:val="18"/>
                <w:szCs w:val="18"/>
                <w:lang w:val="en-US"/>
              </w:rPr>
            </w:pPr>
          </w:p>
        </w:tc>
      </w:tr>
      <w:tr w:rsidR="008A5057" w:rsidRPr="00BD295E" w14:paraId="75F616D5" w14:textId="77777777" w:rsidTr="005C4056">
        <w:tc>
          <w:tcPr>
            <w:tcW w:w="959" w:type="dxa"/>
          </w:tcPr>
          <w:p w14:paraId="23CAB4C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w:t>
            </w:r>
            <w:r w:rsidR="00D0333D" w:rsidRPr="00BD295E">
              <w:rPr>
                <w:rFonts w:ascii="Arial" w:hAnsi="Arial" w:cs="Arial"/>
                <w:sz w:val="18"/>
                <w:szCs w:val="18"/>
                <w:lang w:val="en-US"/>
              </w:rPr>
              <w:t>.</w:t>
            </w:r>
            <w:r w:rsidRPr="00BD295E">
              <w:rPr>
                <w:rFonts w:ascii="Arial" w:hAnsi="Arial" w:cs="Arial"/>
                <w:sz w:val="18"/>
                <w:szCs w:val="18"/>
                <w:lang w:val="en-US"/>
              </w:rPr>
              <w:t>3</w:t>
            </w:r>
          </w:p>
        </w:tc>
        <w:tc>
          <w:tcPr>
            <w:tcW w:w="14110" w:type="dxa"/>
            <w:gridSpan w:val="4"/>
          </w:tcPr>
          <w:p w14:paraId="3285563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provides information and documents requested by its shareholders in accordance with principles of fairness and ease of access</w:t>
            </w:r>
          </w:p>
          <w:p w14:paraId="404A1AE2" w14:textId="77777777" w:rsidR="00C77CA6" w:rsidRPr="00BD295E" w:rsidRDefault="00C77CA6" w:rsidP="0027083B">
            <w:pPr>
              <w:jc w:val="both"/>
              <w:rPr>
                <w:rFonts w:ascii="Arial" w:hAnsi="Arial" w:cs="Arial"/>
                <w:sz w:val="18"/>
                <w:szCs w:val="18"/>
                <w:lang w:val="en-US"/>
              </w:rPr>
            </w:pPr>
          </w:p>
        </w:tc>
      </w:tr>
      <w:tr w:rsidR="008A5057" w:rsidRPr="00BD295E" w14:paraId="5C0F95BA" w14:textId="77777777" w:rsidTr="005C4056">
        <w:tc>
          <w:tcPr>
            <w:tcW w:w="959" w:type="dxa"/>
          </w:tcPr>
          <w:p w14:paraId="7CD6D53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6.3.1</w:t>
            </w:r>
          </w:p>
        </w:tc>
        <w:tc>
          <w:tcPr>
            <w:tcW w:w="4252" w:type="dxa"/>
          </w:tcPr>
          <w:p w14:paraId="58BDEE0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provides information and documents requested by its shareholders in accordance with principles of fairness and ease of access</w:t>
            </w:r>
          </w:p>
          <w:p w14:paraId="0962518D" w14:textId="77777777" w:rsidR="00C77CA6" w:rsidRPr="00BD295E" w:rsidRDefault="00C77CA6" w:rsidP="0027083B">
            <w:pPr>
              <w:jc w:val="both"/>
              <w:rPr>
                <w:rFonts w:ascii="Arial" w:hAnsi="Arial" w:cs="Arial"/>
                <w:sz w:val="18"/>
                <w:szCs w:val="18"/>
                <w:lang w:val="en-US"/>
              </w:rPr>
            </w:pPr>
          </w:p>
        </w:tc>
        <w:tc>
          <w:tcPr>
            <w:tcW w:w="3686" w:type="dxa"/>
          </w:tcPr>
          <w:p w14:paraId="1BDF461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information policy establishes the procedure for providing shareholders with easy access to information, including information on legal entities controlled by the company, as requested by shareholders.</w:t>
            </w:r>
          </w:p>
          <w:p w14:paraId="5F91DA11" w14:textId="77777777" w:rsidR="00C77CA6" w:rsidRPr="00BD295E" w:rsidRDefault="00C77CA6" w:rsidP="0027083B">
            <w:pPr>
              <w:jc w:val="both"/>
              <w:rPr>
                <w:rFonts w:ascii="Arial" w:hAnsi="Arial" w:cs="Arial"/>
                <w:sz w:val="18"/>
                <w:szCs w:val="18"/>
                <w:lang w:val="en-US"/>
              </w:rPr>
            </w:pPr>
          </w:p>
          <w:p w14:paraId="7967B0F6" w14:textId="77777777" w:rsidR="00C77CA6" w:rsidRPr="00BD295E" w:rsidRDefault="00C77CA6" w:rsidP="0027083B">
            <w:pPr>
              <w:jc w:val="both"/>
              <w:rPr>
                <w:rFonts w:ascii="Arial" w:hAnsi="Arial" w:cs="Arial"/>
                <w:sz w:val="18"/>
                <w:szCs w:val="18"/>
                <w:lang w:val="en-US"/>
              </w:rPr>
            </w:pPr>
          </w:p>
        </w:tc>
        <w:tc>
          <w:tcPr>
            <w:tcW w:w="1984" w:type="dxa"/>
          </w:tcPr>
          <w:p w14:paraId="19FCD81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13F999AF" w14:textId="77777777" w:rsidR="00C77CA6" w:rsidRPr="00BD295E" w:rsidRDefault="00C77CA6" w:rsidP="0027083B">
            <w:pPr>
              <w:jc w:val="both"/>
              <w:rPr>
                <w:rFonts w:ascii="Arial" w:hAnsi="Arial" w:cs="Arial"/>
                <w:sz w:val="18"/>
                <w:szCs w:val="18"/>
                <w:lang w:val="en-US"/>
              </w:rPr>
            </w:pPr>
          </w:p>
          <w:p w14:paraId="69898711" w14:textId="77777777" w:rsidR="00C77CA6" w:rsidRPr="00BD295E" w:rsidRDefault="00C77CA6" w:rsidP="0027083B">
            <w:pPr>
              <w:jc w:val="both"/>
              <w:rPr>
                <w:rFonts w:ascii="Arial" w:hAnsi="Arial" w:cs="Arial"/>
                <w:sz w:val="18"/>
                <w:szCs w:val="18"/>
                <w:lang w:val="en-US"/>
              </w:rPr>
            </w:pPr>
          </w:p>
        </w:tc>
      </w:tr>
      <w:tr w:rsidR="008A5057" w:rsidRPr="00BD295E" w14:paraId="03AE4B77" w14:textId="77777777" w:rsidTr="005C4056">
        <w:trPr>
          <w:trHeight w:val="1266"/>
        </w:trPr>
        <w:tc>
          <w:tcPr>
            <w:tcW w:w="959" w:type="dxa"/>
            <w:vMerge w:val="restart"/>
          </w:tcPr>
          <w:p w14:paraId="5CEFF8C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6.3.2</w:t>
            </w:r>
          </w:p>
        </w:tc>
        <w:tc>
          <w:tcPr>
            <w:tcW w:w="4252" w:type="dxa"/>
            <w:vMerge w:val="restart"/>
          </w:tcPr>
          <w:p w14:paraId="7D26EB7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When providing information to shareholders, the company ensures reasonable balance between the interests of particular shareholders and its own interests consisting in preserving the confidentiality of important commercial information which may materially affect its competitive edge.</w:t>
            </w:r>
          </w:p>
          <w:p w14:paraId="59231408" w14:textId="77777777" w:rsidR="00C77CA6" w:rsidRPr="00BD295E" w:rsidRDefault="00C77CA6" w:rsidP="0027083B">
            <w:pPr>
              <w:jc w:val="both"/>
              <w:rPr>
                <w:rFonts w:ascii="Arial" w:hAnsi="Arial" w:cs="Arial"/>
                <w:sz w:val="18"/>
                <w:szCs w:val="18"/>
                <w:lang w:val="en-US"/>
              </w:rPr>
            </w:pPr>
          </w:p>
        </w:tc>
        <w:tc>
          <w:tcPr>
            <w:tcW w:w="3686" w:type="dxa"/>
          </w:tcPr>
          <w:p w14:paraId="31C469E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company did not refuse any shareholder requests for information, or such refusals were justified.</w:t>
            </w:r>
          </w:p>
        </w:tc>
        <w:tc>
          <w:tcPr>
            <w:tcW w:w="1984" w:type="dxa"/>
            <w:vMerge w:val="restart"/>
          </w:tcPr>
          <w:p w14:paraId="5720559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vMerge w:val="restart"/>
          </w:tcPr>
          <w:p w14:paraId="0E80F11B" w14:textId="77777777" w:rsidR="00C77CA6" w:rsidRPr="00BD295E" w:rsidRDefault="00C77CA6" w:rsidP="0027083B">
            <w:pPr>
              <w:jc w:val="both"/>
              <w:rPr>
                <w:rFonts w:ascii="Arial" w:hAnsi="Arial" w:cs="Arial"/>
                <w:sz w:val="18"/>
                <w:szCs w:val="18"/>
                <w:lang w:val="en-US"/>
              </w:rPr>
            </w:pPr>
          </w:p>
        </w:tc>
      </w:tr>
      <w:tr w:rsidR="008A5057" w:rsidRPr="00BD295E" w14:paraId="2D4F0220" w14:textId="77777777" w:rsidTr="005C4056">
        <w:trPr>
          <w:trHeight w:val="1527"/>
        </w:trPr>
        <w:tc>
          <w:tcPr>
            <w:tcW w:w="959" w:type="dxa"/>
            <w:vMerge/>
          </w:tcPr>
          <w:p w14:paraId="5091BF9D" w14:textId="77777777" w:rsidR="00C77CA6" w:rsidRPr="00BD295E" w:rsidRDefault="00C77CA6" w:rsidP="0027083B">
            <w:pPr>
              <w:jc w:val="both"/>
              <w:rPr>
                <w:rFonts w:ascii="Arial" w:hAnsi="Arial" w:cs="Arial"/>
                <w:sz w:val="18"/>
                <w:szCs w:val="18"/>
                <w:lang w:val="en-US"/>
              </w:rPr>
            </w:pPr>
          </w:p>
        </w:tc>
        <w:tc>
          <w:tcPr>
            <w:tcW w:w="4252" w:type="dxa"/>
            <w:vMerge/>
          </w:tcPr>
          <w:p w14:paraId="0270CA66" w14:textId="77777777" w:rsidR="00C77CA6" w:rsidRPr="00BD295E" w:rsidRDefault="00C77CA6" w:rsidP="0027083B">
            <w:pPr>
              <w:jc w:val="both"/>
              <w:rPr>
                <w:rFonts w:ascii="Arial" w:hAnsi="Arial" w:cs="Arial"/>
                <w:sz w:val="18"/>
                <w:szCs w:val="18"/>
                <w:lang w:val="en-US"/>
              </w:rPr>
            </w:pPr>
          </w:p>
        </w:tc>
        <w:tc>
          <w:tcPr>
            <w:tcW w:w="3686" w:type="dxa"/>
          </w:tcPr>
          <w:p w14:paraId="3C114EC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In cases defined by the information policy, shareholders are warned of the confidential nature of the information and undertake to maintain its confidentiality.</w:t>
            </w:r>
          </w:p>
        </w:tc>
        <w:tc>
          <w:tcPr>
            <w:tcW w:w="1984" w:type="dxa"/>
            <w:vMerge/>
          </w:tcPr>
          <w:p w14:paraId="7F08B43C" w14:textId="77777777" w:rsidR="00C77CA6" w:rsidRPr="00BD295E" w:rsidRDefault="00C77CA6" w:rsidP="0027083B">
            <w:pPr>
              <w:jc w:val="both"/>
              <w:rPr>
                <w:rFonts w:ascii="Arial" w:hAnsi="Arial" w:cs="Arial"/>
                <w:sz w:val="18"/>
                <w:szCs w:val="18"/>
                <w:lang w:val="en-US"/>
              </w:rPr>
            </w:pPr>
          </w:p>
        </w:tc>
        <w:tc>
          <w:tcPr>
            <w:tcW w:w="4188" w:type="dxa"/>
            <w:vMerge/>
          </w:tcPr>
          <w:p w14:paraId="0BF7679F" w14:textId="77777777" w:rsidR="00C77CA6" w:rsidRPr="00BD295E" w:rsidRDefault="00C77CA6" w:rsidP="0027083B">
            <w:pPr>
              <w:jc w:val="both"/>
              <w:rPr>
                <w:rFonts w:ascii="Arial" w:hAnsi="Arial" w:cs="Arial"/>
                <w:sz w:val="18"/>
                <w:szCs w:val="18"/>
                <w:lang w:val="en-US"/>
              </w:rPr>
            </w:pPr>
          </w:p>
        </w:tc>
      </w:tr>
      <w:tr w:rsidR="008A5057" w:rsidRPr="00BD295E" w14:paraId="7C90F7B9" w14:textId="77777777" w:rsidTr="005C4056">
        <w:tc>
          <w:tcPr>
            <w:tcW w:w="959" w:type="dxa"/>
          </w:tcPr>
          <w:p w14:paraId="4B11446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7</w:t>
            </w:r>
            <w:r w:rsidR="00D0333D" w:rsidRPr="00BD295E">
              <w:rPr>
                <w:rFonts w:ascii="Arial" w:hAnsi="Arial" w:cs="Arial"/>
                <w:sz w:val="18"/>
                <w:szCs w:val="18"/>
                <w:lang w:val="en-US"/>
              </w:rPr>
              <w:t>.</w:t>
            </w:r>
            <w:r w:rsidRPr="00BD295E">
              <w:rPr>
                <w:rFonts w:ascii="Arial" w:hAnsi="Arial" w:cs="Arial"/>
                <w:sz w:val="18"/>
                <w:szCs w:val="18"/>
                <w:lang w:val="en-US"/>
              </w:rPr>
              <w:t>1</w:t>
            </w:r>
          </w:p>
        </w:tc>
        <w:tc>
          <w:tcPr>
            <w:tcW w:w="14110" w:type="dxa"/>
            <w:gridSpan w:val="4"/>
          </w:tcPr>
          <w:p w14:paraId="707A789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Actions that materially affect or may affect the company’s share capital structure and its financial position and accordingly the position of its shareholders (“material corporate actions”) are taken on fair terms ensuring that the rights and interests of the shareholders and other stakeholders are observed.</w:t>
            </w:r>
          </w:p>
          <w:p w14:paraId="257109C8" w14:textId="77777777" w:rsidR="00C77CA6" w:rsidRPr="00BD295E" w:rsidRDefault="00C77CA6" w:rsidP="0027083B">
            <w:pPr>
              <w:jc w:val="both"/>
              <w:rPr>
                <w:rFonts w:ascii="Arial" w:hAnsi="Arial" w:cs="Arial"/>
                <w:sz w:val="18"/>
                <w:szCs w:val="18"/>
                <w:lang w:val="en-US"/>
              </w:rPr>
            </w:pPr>
          </w:p>
        </w:tc>
      </w:tr>
      <w:tr w:rsidR="008A5057" w:rsidRPr="00BD295E" w14:paraId="47DFEE2F" w14:textId="77777777" w:rsidTr="005C4056">
        <w:trPr>
          <w:trHeight w:val="983"/>
        </w:trPr>
        <w:tc>
          <w:tcPr>
            <w:tcW w:w="959" w:type="dxa"/>
            <w:vMerge w:val="restart"/>
          </w:tcPr>
          <w:p w14:paraId="607C6BA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7.1.1</w:t>
            </w:r>
          </w:p>
        </w:tc>
        <w:tc>
          <w:tcPr>
            <w:tcW w:w="4252" w:type="dxa"/>
            <w:vMerge w:val="restart"/>
          </w:tcPr>
          <w:p w14:paraId="203A611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Material corporate actions include reorganization of the company, acquisition of 30% or more of the company’s voting shares (takeover), execution by the company of major transactions, increase or decrease of the company’s authorized capital, listing or de-listing of the company’s shares, as well as other actions which may lead to material changes in the rights of shareholders or violation of their interests. The company’s Articles of Association provide for a list (criteria) of transactions or other actions classified as material corporate actions within the authority of the company’s board of directors.</w:t>
            </w:r>
          </w:p>
          <w:p w14:paraId="7AABD2D9" w14:textId="77777777" w:rsidR="00C77CA6" w:rsidRPr="00BD295E" w:rsidRDefault="00C77CA6" w:rsidP="0027083B">
            <w:pPr>
              <w:jc w:val="both"/>
              <w:rPr>
                <w:rFonts w:ascii="Arial" w:hAnsi="Arial" w:cs="Arial"/>
                <w:sz w:val="18"/>
                <w:szCs w:val="18"/>
                <w:lang w:val="en-US"/>
              </w:rPr>
            </w:pPr>
          </w:p>
        </w:tc>
        <w:tc>
          <w:tcPr>
            <w:tcW w:w="3686" w:type="dxa"/>
          </w:tcPr>
          <w:p w14:paraId="2CC4B5B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Articles of Association include a list of transactions or other actions deemed to be material corporate actions, and their identification criteria. Resolutions on material corporate actions are referred to the jurisdiction of the board of directors. When execution of such corporate actions is expressly referred by law to the jurisdiction of the general meeting of shareholders, the board of directors presents relevant recommendations to shareholders.</w:t>
            </w:r>
          </w:p>
          <w:p w14:paraId="117BC9BB" w14:textId="77777777" w:rsidR="00C77CA6" w:rsidRPr="00BD295E" w:rsidRDefault="00C77CA6" w:rsidP="0027083B">
            <w:pPr>
              <w:jc w:val="both"/>
              <w:rPr>
                <w:rFonts w:ascii="Arial" w:hAnsi="Arial" w:cs="Arial"/>
                <w:sz w:val="18"/>
                <w:szCs w:val="18"/>
                <w:lang w:val="en-US"/>
              </w:rPr>
            </w:pPr>
          </w:p>
        </w:tc>
        <w:tc>
          <w:tcPr>
            <w:tcW w:w="1984" w:type="dxa"/>
            <w:vMerge w:val="restart"/>
          </w:tcPr>
          <w:p w14:paraId="54F6D0C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1BB3D42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5CDDE98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Articles of Association do not include a list of transactions or other actions deemed to be material corporate actions, or their identification criteria.</w:t>
            </w:r>
          </w:p>
          <w:p w14:paraId="4854BD5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Corporate Governance Code classifies the following issues as material corporate actions: increases in the share capital, takeover, listing and delisting of securities, reorganization, material transactions.</w:t>
            </w:r>
          </w:p>
          <w:p w14:paraId="75F01ED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According to Article 10 of the Articles of Association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the following material corporate actions under the Corporate Governance Code fall within the competence of the Company’s </w:t>
            </w:r>
            <w:r w:rsidR="0053339C" w:rsidRPr="00BD295E">
              <w:rPr>
                <w:rFonts w:ascii="Arial" w:hAnsi="Arial" w:cs="Arial"/>
                <w:sz w:val="18"/>
                <w:szCs w:val="18"/>
                <w:lang w:val="en-US"/>
              </w:rPr>
              <w:t>General Meeting</w:t>
            </w:r>
            <w:r w:rsidRPr="00BD295E">
              <w:rPr>
                <w:rFonts w:ascii="Arial" w:hAnsi="Arial" w:cs="Arial"/>
                <w:sz w:val="18"/>
                <w:szCs w:val="18"/>
                <w:lang w:val="en-US"/>
              </w:rPr>
              <w:t>:</w:t>
            </w:r>
          </w:p>
          <w:p w14:paraId="17DB604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Reorganization of the Company;</w:t>
            </w:r>
          </w:p>
          <w:p w14:paraId="5609D66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 increase or decrease </w:t>
            </w:r>
            <w:r w:rsidR="00042C54" w:rsidRPr="00BD295E">
              <w:rPr>
                <w:rFonts w:ascii="Arial" w:hAnsi="Arial" w:cs="Arial"/>
                <w:sz w:val="18"/>
                <w:szCs w:val="18"/>
                <w:lang w:val="en-US"/>
              </w:rPr>
              <w:t>in</w:t>
            </w:r>
            <w:r w:rsidRPr="00BD295E">
              <w:rPr>
                <w:rFonts w:ascii="Arial" w:hAnsi="Arial" w:cs="Arial"/>
                <w:sz w:val="18"/>
                <w:szCs w:val="18"/>
                <w:lang w:val="en-US"/>
              </w:rPr>
              <w:t xml:space="preserve"> the Company;</w:t>
            </w:r>
          </w:p>
          <w:p w14:paraId="5273910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 adoption of resolutions on approval of major transactions in cases provided for in Article 79 of the Federal Law </w:t>
            </w:r>
            <w:r w:rsidRPr="00BD295E">
              <w:rPr>
                <w:rFonts w:ascii="Arial" w:hAnsi="Arial" w:cs="Arial"/>
                <w:i/>
                <w:iCs/>
                <w:sz w:val="18"/>
                <w:szCs w:val="18"/>
                <w:lang w:val="en-US"/>
              </w:rPr>
              <w:t>On Joint-Stock Companies</w:t>
            </w:r>
            <w:r w:rsidRPr="00BD295E">
              <w:rPr>
                <w:rFonts w:ascii="Arial" w:hAnsi="Arial" w:cs="Arial"/>
                <w:sz w:val="18"/>
                <w:szCs w:val="18"/>
                <w:lang w:val="en-US"/>
              </w:rPr>
              <w:t>;</w:t>
            </w:r>
          </w:p>
          <w:p w14:paraId="369072D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 adoption of resolutions on approval of transactions in cases provided for in Article 83 of the Federal Law </w:t>
            </w:r>
            <w:r w:rsidRPr="00BD295E">
              <w:rPr>
                <w:rFonts w:ascii="Arial" w:hAnsi="Arial" w:cs="Arial"/>
                <w:i/>
                <w:iCs/>
                <w:sz w:val="18"/>
                <w:szCs w:val="18"/>
                <w:lang w:val="en-US"/>
              </w:rPr>
              <w:t>On Joint-Stock Companies</w:t>
            </w:r>
            <w:r w:rsidRPr="00BD295E">
              <w:rPr>
                <w:rFonts w:ascii="Arial" w:hAnsi="Arial" w:cs="Arial"/>
                <w:sz w:val="18"/>
                <w:szCs w:val="18"/>
                <w:lang w:val="en-US"/>
              </w:rPr>
              <w:t>;</w:t>
            </w:r>
          </w:p>
          <w:p w14:paraId="5E91A69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Adopting resolutions on submitting an application to delist the Company’s shares and/or its issue-grade securities convertible into shares;</w:t>
            </w:r>
          </w:p>
          <w:p w14:paraId="14B214C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According to Article 15 of the Articles of Association of </w:t>
            </w:r>
            <w:r w:rsidR="00EE5753" w:rsidRPr="00BD295E">
              <w:rPr>
                <w:rFonts w:ascii="Arial" w:hAnsi="Arial" w:cs="Arial"/>
                <w:sz w:val="18"/>
                <w:szCs w:val="18"/>
                <w:lang w:val="en-US"/>
              </w:rPr>
              <w:t>PJSC “Lenenergo”</w:t>
            </w:r>
            <w:r w:rsidRPr="00BD295E">
              <w:rPr>
                <w:rFonts w:ascii="Arial" w:hAnsi="Arial" w:cs="Arial"/>
                <w:sz w:val="18"/>
                <w:szCs w:val="18"/>
                <w:lang w:val="en-US"/>
              </w:rPr>
              <w:t>, the following material corporate actions under the Corporate Governance Code fall within the competence of the Company’s Board of Directors:</w:t>
            </w:r>
          </w:p>
          <w:p w14:paraId="0ED3E92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 acquisition of shares, bonds, and other securities offered by the Company in cases provided for in the Federal Law </w:t>
            </w:r>
            <w:r w:rsidRPr="00BD295E">
              <w:rPr>
                <w:rFonts w:ascii="Arial" w:hAnsi="Arial" w:cs="Arial"/>
                <w:i/>
                <w:iCs/>
                <w:sz w:val="18"/>
                <w:szCs w:val="18"/>
                <w:lang w:val="en-US"/>
              </w:rPr>
              <w:t>On Joint-Stock Companies</w:t>
            </w:r>
            <w:r w:rsidRPr="00BD295E">
              <w:rPr>
                <w:rFonts w:ascii="Arial" w:hAnsi="Arial" w:cs="Arial"/>
                <w:sz w:val="18"/>
                <w:szCs w:val="18"/>
                <w:lang w:val="en-US"/>
              </w:rPr>
              <w:t>;</w:t>
            </w:r>
          </w:p>
          <w:p w14:paraId="72A4C60C"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 approval of major transactions in cases provided for in Chapter X of the Federal Law </w:t>
            </w:r>
            <w:r w:rsidRPr="00BD295E">
              <w:rPr>
                <w:rFonts w:ascii="Arial" w:hAnsi="Arial" w:cs="Arial"/>
                <w:i/>
                <w:iCs/>
                <w:sz w:val="18"/>
                <w:szCs w:val="18"/>
                <w:lang w:val="en-US"/>
              </w:rPr>
              <w:t>On Joint-Stock Companies</w:t>
            </w:r>
            <w:r w:rsidRPr="00BD295E">
              <w:rPr>
                <w:rFonts w:ascii="Arial" w:hAnsi="Arial" w:cs="Arial"/>
                <w:sz w:val="18"/>
                <w:szCs w:val="18"/>
                <w:lang w:val="en-US"/>
              </w:rPr>
              <w:t>;</w:t>
            </w:r>
          </w:p>
          <w:p w14:paraId="364EB9B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 approval of transactions in cases provided for in Chapter XI of the Federal Law </w:t>
            </w:r>
            <w:r w:rsidRPr="00BD295E">
              <w:rPr>
                <w:rFonts w:ascii="Arial" w:hAnsi="Arial" w:cs="Arial"/>
                <w:i/>
                <w:iCs/>
                <w:sz w:val="18"/>
                <w:szCs w:val="18"/>
                <w:lang w:val="en-US"/>
              </w:rPr>
              <w:t>On Joint-Stock Companies</w:t>
            </w:r>
            <w:r w:rsidRPr="00BD295E">
              <w:rPr>
                <w:rFonts w:ascii="Arial" w:hAnsi="Arial" w:cs="Arial"/>
                <w:sz w:val="18"/>
                <w:szCs w:val="18"/>
                <w:lang w:val="en-US"/>
              </w:rPr>
              <w:t>;</w:t>
            </w:r>
          </w:p>
          <w:p w14:paraId="0538596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Filing for the listing of the Company’s shares and/or issue-grade securities convertible in the Company’s shares.</w:t>
            </w:r>
          </w:p>
          <w:p w14:paraId="5DCACB23" w14:textId="77777777" w:rsidR="00C77CA6" w:rsidRPr="00BD295E" w:rsidRDefault="00C77CA6" w:rsidP="0027083B">
            <w:pPr>
              <w:jc w:val="both"/>
              <w:rPr>
                <w:rFonts w:ascii="Arial" w:hAnsi="Arial" w:cs="Arial"/>
                <w:sz w:val="18"/>
                <w:szCs w:val="18"/>
                <w:lang w:val="en-US"/>
              </w:rPr>
            </w:pPr>
          </w:p>
        </w:tc>
      </w:tr>
      <w:tr w:rsidR="008A5057" w:rsidRPr="00BD295E" w14:paraId="5906EA99" w14:textId="77777777" w:rsidTr="005C4056">
        <w:trPr>
          <w:trHeight w:val="1833"/>
        </w:trPr>
        <w:tc>
          <w:tcPr>
            <w:tcW w:w="959" w:type="dxa"/>
            <w:vMerge/>
          </w:tcPr>
          <w:p w14:paraId="74C14D33" w14:textId="77777777" w:rsidR="00C77CA6" w:rsidRPr="00BD295E" w:rsidRDefault="00C77CA6" w:rsidP="0027083B">
            <w:pPr>
              <w:jc w:val="both"/>
              <w:rPr>
                <w:rFonts w:ascii="Arial" w:hAnsi="Arial" w:cs="Arial"/>
                <w:sz w:val="18"/>
                <w:szCs w:val="18"/>
                <w:lang w:val="en-US"/>
              </w:rPr>
            </w:pPr>
          </w:p>
        </w:tc>
        <w:tc>
          <w:tcPr>
            <w:tcW w:w="4252" w:type="dxa"/>
            <w:vMerge/>
          </w:tcPr>
          <w:p w14:paraId="36BB8C59" w14:textId="77777777" w:rsidR="00C77CA6" w:rsidRPr="00BD295E" w:rsidRDefault="00C77CA6" w:rsidP="0027083B">
            <w:pPr>
              <w:jc w:val="both"/>
              <w:rPr>
                <w:rFonts w:ascii="Arial" w:hAnsi="Arial" w:cs="Arial"/>
                <w:sz w:val="18"/>
                <w:szCs w:val="18"/>
                <w:lang w:val="en-US"/>
              </w:rPr>
            </w:pPr>
          </w:p>
        </w:tc>
        <w:tc>
          <w:tcPr>
            <w:tcW w:w="3686" w:type="dxa"/>
          </w:tcPr>
          <w:p w14:paraId="5403FEA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Company’s Articles of Association lists at least the following as material corporate actions: reorganization of the Company, acquisition of 30 or more percent of the Company’s voting shares (takeover), entry into material transactions by the Company, increase or decrease in the Company’s authorized capital, listing and delisting of the Company’s shares.</w:t>
            </w:r>
          </w:p>
          <w:p w14:paraId="384E5CF0" w14:textId="77777777" w:rsidR="00C77CA6" w:rsidRPr="00BD295E" w:rsidRDefault="00C77CA6" w:rsidP="0027083B">
            <w:pPr>
              <w:jc w:val="both"/>
              <w:rPr>
                <w:rFonts w:ascii="Arial" w:hAnsi="Arial" w:cs="Arial"/>
                <w:sz w:val="18"/>
                <w:szCs w:val="18"/>
                <w:lang w:val="en-US"/>
              </w:rPr>
            </w:pPr>
          </w:p>
        </w:tc>
        <w:tc>
          <w:tcPr>
            <w:tcW w:w="1984" w:type="dxa"/>
            <w:vMerge/>
          </w:tcPr>
          <w:p w14:paraId="3150231A" w14:textId="77777777" w:rsidR="00C77CA6" w:rsidRPr="00BD295E" w:rsidRDefault="00C77CA6" w:rsidP="0027083B">
            <w:pPr>
              <w:jc w:val="both"/>
              <w:rPr>
                <w:rFonts w:ascii="Arial" w:hAnsi="Arial" w:cs="Arial"/>
                <w:sz w:val="18"/>
                <w:szCs w:val="18"/>
                <w:lang w:val="en-US"/>
              </w:rPr>
            </w:pPr>
          </w:p>
        </w:tc>
        <w:tc>
          <w:tcPr>
            <w:tcW w:w="4188" w:type="dxa"/>
          </w:tcPr>
          <w:p w14:paraId="6A5F73F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2:</w:t>
            </w:r>
          </w:p>
          <w:p w14:paraId="6AF08433"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Articles of Association do not include a list of transactions or other actions deemed to be material corporate actions, or their identification criteria.</w:t>
            </w:r>
          </w:p>
          <w:p w14:paraId="280C7E95"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However, the Company’s Articles of Association clearly differentiate between the powers of the </w:t>
            </w:r>
            <w:r w:rsidR="0053339C" w:rsidRPr="00BD295E">
              <w:rPr>
                <w:rFonts w:ascii="Arial" w:hAnsi="Arial" w:cs="Arial"/>
                <w:sz w:val="18"/>
                <w:szCs w:val="18"/>
                <w:lang w:val="en-US"/>
              </w:rPr>
              <w:t>General Meeting</w:t>
            </w:r>
            <w:r w:rsidRPr="00BD295E">
              <w:rPr>
                <w:rFonts w:ascii="Arial" w:hAnsi="Arial" w:cs="Arial"/>
                <w:sz w:val="18"/>
                <w:szCs w:val="18"/>
                <w:lang w:val="en-US"/>
              </w:rPr>
              <w:t xml:space="preserve"> and the Board of Directors of the Company with regard to matters that, according to the recommendations of the Corporate Governance Code, can be reviewed as material corporate actions (Articles 10 and 15 of the Articles of Association of </w:t>
            </w:r>
            <w:r w:rsidR="00EE5753" w:rsidRPr="00BD295E">
              <w:rPr>
                <w:rFonts w:ascii="Arial" w:hAnsi="Arial" w:cs="Arial"/>
                <w:sz w:val="18"/>
                <w:szCs w:val="18"/>
                <w:lang w:val="en-US"/>
              </w:rPr>
              <w:t>PJSC “Lenenergo”</w:t>
            </w:r>
            <w:r w:rsidRPr="00BD295E">
              <w:rPr>
                <w:rFonts w:ascii="Arial" w:hAnsi="Arial" w:cs="Arial"/>
                <w:sz w:val="18"/>
                <w:szCs w:val="18"/>
                <w:lang w:val="en-US"/>
              </w:rPr>
              <w:t>).</w:t>
            </w:r>
          </w:p>
          <w:p w14:paraId="0260DCE5" w14:textId="77777777" w:rsidR="00C77CA6" w:rsidRPr="00BD295E" w:rsidRDefault="00C77CA6" w:rsidP="0027083B">
            <w:pPr>
              <w:jc w:val="both"/>
              <w:rPr>
                <w:rFonts w:ascii="Arial" w:hAnsi="Arial" w:cs="Arial"/>
                <w:sz w:val="18"/>
                <w:szCs w:val="18"/>
                <w:lang w:val="en-US"/>
              </w:rPr>
            </w:pPr>
          </w:p>
        </w:tc>
      </w:tr>
      <w:tr w:rsidR="008A5057" w:rsidRPr="00BD295E" w14:paraId="34AE6955" w14:textId="77777777" w:rsidTr="005C4056">
        <w:tc>
          <w:tcPr>
            <w:tcW w:w="959" w:type="dxa"/>
          </w:tcPr>
          <w:p w14:paraId="7962CC4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7.1.2</w:t>
            </w:r>
          </w:p>
        </w:tc>
        <w:tc>
          <w:tcPr>
            <w:tcW w:w="4252" w:type="dxa"/>
          </w:tcPr>
          <w:p w14:paraId="5E4357F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board of directors plays a key role in passing resolutions or making recommendations on material corporate actions, relying on the opinions of the company’s independent directors.</w:t>
            </w:r>
          </w:p>
          <w:p w14:paraId="58939EE3" w14:textId="77777777" w:rsidR="00C77CA6" w:rsidRPr="00BD295E" w:rsidRDefault="00C77CA6" w:rsidP="0027083B">
            <w:pPr>
              <w:jc w:val="both"/>
              <w:rPr>
                <w:rFonts w:ascii="Arial" w:hAnsi="Arial" w:cs="Arial"/>
                <w:sz w:val="18"/>
                <w:szCs w:val="18"/>
                <w:lang w:val="en-US"/>
              </w:rPr>
            </w:pPr>
          </w:p>
        </w:tc>
        <w:tc>
          <w:tcPr>
            <w:tcW w:w="3686" w:type="dxa"/>
          </w:tcPr>
          <w:p w14:paraId="32434EB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 has in place a procedure enabling independent directors to express their opinions on material corporate actions prior to their approval.</w:t>
            </w:r>
          </w:p>
          <w:p w14:paraId="5B2FC408" w14:textId="77777777" w:rsidR="00C77CA6" w:rsidRPr="00BD295E" w:rsidRDefault="00C77CA6" w:rsidP="0027083B">
            <w:pPr>
              <w:jc w:val="both"/>
              <w:rPr>
                <w:rFonts w:ascii="Arial" w:hAnsi="Arial" w:cs="Arial"/>
                <w:sz w:val="18"/>
                <w:szCs w:val="18"/>
                <w:lang w:val="en-US"/>
              </w:rPr>
            </w:pPr>
          </w:p>
        </w:tc>
        <w:tc>
          <w:tcPr>
            <w:tcW w:w="1984" w:type="dxa"/>
          </w:tcPr>
          <w:p w14:paraId="528042E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None</w:t>
            </w:r>
          </w:p>
        </w:tc>
        <w:tc>
          <w:tcPr>
            <w:tcW w:w="4188" w:type="dxa"/>
          </w:tcPr>
          <w:p w14:paraId="1D940D4F"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does not comply with the principle:</w:t>
            </w:r>
          </w:p>
          <w:p w14:paraId="53CF64A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has no procedure enabling independent directors to express their opinions on material corporate actions prior to their approval.</w:t>
            </w:r>
          </w:p>
          <w:p w14:paraId="5655CD36" w14:textId="77777777" w:rsidR="00C77CA6" w:rsidRPr="00BD295E" w:rsidRDefault="00C77CA6" w:rsidP="0027083B">
            <w:pPr>
              <w:jc w:val="both"/>
              <w:rPr>
                <w:rFonts w:ascii="Arial" w:hAnsi="Arial" w:cs="Arial"/>
                <w:sz w:val="18"/>
                <w:szCs w:val="18"/>
                <w:lang w:val="en-US"/>
              </w:rPr>
            </w:pPr>
          </w:p>
        </w:tc>
      </w:tr>
      <w:tr w:rsidR="008A5057" w:rsidRPr="00BD295E" w14:paraId="22B45469" w14:textId="77777777" w:rsidTr="005C4056">
        <w:trPr>
          <w:trHeight w:val="1528"/>
        </w:trPr>
        <w:tc>
          <w:tcPr>
            <w:tcW w:w="959" w:type="dxa"/>
            <w:vMerge w:val="restart"/>
          </w:tcPr>
          <w:p w14:paraId="220BBE1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7.1.3</w:t>
            </w:r>
          </w:p>
        </w:tc>
        <w:tc>
          <w:tcPr>
            <w:tcW w:w="4252" w:type="dxa"/>
            <w:vMerge w:val="restart"/>
          </w:tcPr>
          <w:p w14:paraId="37894F61"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For material corporate actions that would affect rights or legitimate interests of shareholders, equal terms and conditions are guaranteed to all shareholders; if the statutory procedure designed to protect shareholders’ rights proves insufficient, additional measures are taken to protect their rights and legitimate interests. In doing so, the company is guided by the corporate governance principles set out in the </w:t>
            </w:r>
            <w:hyperlink r:id="rId160" w:history="1">
              <w:r w:rsidRPr="00BD295E">
                <w:rPr>
                  <w:rFonts w:ascii="Arial" w:hAnsi="Arial" w:cs="Arial"/>
                  <w:sz w:val="18"/>
                  <w:szCs w:val="18"/>
                  <w:lang w:val="en-US"/>
                </w:rPr>
                <w:t>Code</w:t>
              </w:r>
            </w:hyperlink>
            <w:r w:rsidRPr="00BD295E">
              <w:rPr>
                <w:rFonts w:ascii="Arial" w:hAnsi="Arial" w:cs="Arial"/>
                <w:sz w:val="18"/>
                <w:szCs w:val="18"/>
                <w:lang w:val="en-US"/>
              </w:rPr>
              <w:t>, as well as by formal statutory requirements.</w:t>
            </w:r>
          </w:p>
          <w:p w14:paraId="29B704D8" w14:textId="77777777" w:rsidR="00C77CA6" w:rsidRPr="00BD295E" w:rsidRDefault="00C77CA6" w:rsidP="0027083B">
            <w:pPr>
              <w:jc w:val="both"/>
              <w:rPr>
                <w:rFonts w:ascii="Arial" w:hAnsi="Arial" w:cs="Arial"/>
                <w:sz w:val="18"/>
                <w:szCs w:val="18"/>
                <w:lang w:val="en-US"/>
              </w:rPr>
            </w:pPr>
          </w:p>
        </w:tc>
        <w:tc>
          <w:tcPr>
            <w:tcW w:w="3686" w:type="dxa"/>
          </w:tcPr>
          <w:p w14:paraId="6D41ACA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Due to the profile of the company’s operations the company’s Articles of Association contain less stringent criteria for material corporate actions than required by law.</w:t>
            </w:r>
          </w:p>
          <w:p w14:paraId="0B8A83BA" w14:textId="77777777" w:rsidR="00C77CA6" w:rsidRPr="00BD295E" w:rsidRDefault="00C77CA6" w:rsidP="0027083B">
            <w:pPr>
              <w:jc w:val="both"/>
              <w:rPr>
                <w:rFonts w:ascii="Arial" w:hAnsi="Arial" w:cs="Arial"/>
                <w:sz w:val="18"/>
                <w:szCs w:val="18"/>
                <w:lang w:val="en-US"/>
              </w:rPr>
            </w:pPr>
          </w:p>
        </w:tc>
        <w:tc>
          <w:tcPr>
            <w:tcW w:w="1984" w:type="dxa"/>
            <w:vMerge w:val="restart"/>
          </w:tcPr>
          <w:p w14:paraId="5BEC3B6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10B0C208"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681062E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Articles of Association do not include a list of transactions or other actions deemed to be material corporate actions, or their identification criteria.</w:t>
            </w:r>
          </w:p>
          <w:p w14:paraId="57B01CE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At the same time, Article 15.1.35 of the Articles of Association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outlines the right of the Board of Directors to pre-approve decisions on the Company’s transactions with non-current assets worth more than ten (10) percent of the book value of non-current assets recognized in the Company’s financial statements as at the last reporting date.</w:t>
            </w:r>
          </w:p>
          <w:p w14:paraId="1A50A41B" w14:textId="77777777" w:rsidR="00C77CA6" w:rsidRPr="00BD295E" w:rsidRDefault="00C77CA6" w:rsidP="0027083B">
            <w:pPr>
              <w:jc w:val="both"/>
              <w:rPr>
                <w:rFonts w:ascii="Arial" w:hAnsi="Arial" w:cs="Arial"/>
                <w:sz w:val="18"/>
                <w:szCs w:val="18"/>
                <w:lang w:val="en-US"/>
              </w:rPr>
            </w:pPr>
          </w:p>
        </w:tc>
      </w:tr>
      <w:tr w:rsidR="008A5057" w:rsidRPr="00BD295E" w14:paraId="13D9AB3E" w14:textId="77777777" w:rsidTr="005C4056">
        <w:trPr>
          <w:trHeight w:val="1125"/>
        </w:trPr>
        <w:tc>
          <w:tcPr>
            <w:tcW w:w="959" w:type="dxa"/>
            <w:vMerge/>
          </w:tcPr>
          <w:p w14:paraId="7B170740" w14:textId="77777777" w:rsidR="00C77CA6" w:rsidRPr="00BD295E" w:rsidRDefault="00C77CA6" w:rsidP="0027083B">
            <w:pPr>
              <w:jc w:val="both"/>
              <w:rPr>
                <w:rFonts w:ascii="Arial" w:hAnsi="Arial" w:cs="Arial"/>
                <w:sz w:val="18"/>
                <w:szCs w:val="18"/>
                <w:lang w:val="en-US"/>
              </w:rPr>
            </w:pPr>
          </w:p>
        </w:tc>
        <w:tc>
          <w:tcPr>
            <w:tcW w:w="4252" w:type="dxa"/>
            <w:vMerge/>
          </w:tcPr>
          <w:p w14:paraId="3D7E0A8D" w14:textId="77777777" w:rsidR="00C77CA6" w:rsidRPr="00BD295E" w:rsidRDefault="00C77CA6" w:rsidP="0027083B">
            <w:pPr>
              <w:jc w:val="both"/>
              <w:rPr>
                <w:rFonts w:ascii="Arial" w:hAnsi="Arial" w:cs="Arial"/>
                <w:sz w:val="18"/>
                <w:szCs w:val="18"/>
                <w:lang w:val="en-US"/>
              </w:rPr>
            </w:pPr>
          </w:p>
        </w:tc>
        <w:tc>
          <w:tcPr>
            <w:tcW w:w="3686" w:type="dxa"/>
          </w:tcPr>
          <w:p w14:paraId="2767971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All material corporate actions in the reporting period were duly approved before they were taken.</w:t>
            </w:r>
          </w:p>
          <w:p w14:paraId="4C1B4AD4" w14:textId="77777777" w:rsidR="00C77CA6" w:rsidRPr="00BD295E" w:rsidRDefault="00C77CA6" w:rsidP="0027083B">
            <w:pPr>
              <w:jc w:val="both"/>
              <w:rPr>
                <w:rFonts w:ascii="Arial" w:hAnsi="Arial" w:cs="Arial"/>
                <w:sz w:val="18"/>
                <w:szCs w:val="18"/>
                <w:lang w:val="en-US"/>
              </w:rPr>
            </w:pPr>
          </w:p>
        </w:tc>
        <w:tc>
          <w:tcPr>
            <w:tcW w:w="1984" w:type="dxa"/>
            <w:vMerge/>
          </w:tcPr>
          <w:p w14:paraId="4E12972F" w14:textId="77777777" w:rsidR="00C77CA6" w:rsidRPr="00BD295E" w:rsidRDefault="00C77CA6" w:rsidP="0027083B">
            <w:pPr>
              <w:jc w:val="both"/>
              <w:rPr>
                <w:rFonts w:ascii="Arial" w:hAnsi="Arial" w:cs="Arial"/>
                <w:sz w:val="18"/>
                <w:szCs w:val="18"/>
                <w:lang w:val="en-US"/>
              </w:rPr>
            </w:pPr>
          </w:p>
        </w:tc>
        <w:tc>
          <w:tcPr>
            <w:tcW w:w="4188" w:type="dxa"/>
          </w:tcPr>
          <w:p w14:paraId="3A3EBCB1" w14:textId="77777777" w:rsidR="00C77CA6" w:rsidRPr="00BD295E" w:rsidRDefault="00C77CA6" w:rsidP="0027083B">
            <w:pPr>
              <w:jc w:val="both"/>
              <w:rPr>
                <w:rFonts w:ascii="Arial" w:hAnsi="Arial" w:cs="Arial"/>
                <w:sz w:val="18"/>
                <w:szCs w:val="18"/>
                <w:lang w:val="en-US"/>
              </w:rPr>
            </w:pPr>
          </w:p>
        </w:tc>
      </w:tr>
      <w:tr w:rsidR="008A5057" w:rsidRPr="00BD295E" w14:paraId="3201F5DF" w14:textId="77777777" w:rsidTr="005C4056">
        <w:tc>
          <w:tcPr>
            <w:tcW w:w="959" w:type="dxa"/>
          </w:tcPr>
          <w:p w14:paraId="208B344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7</w:t>
            </w:r>
            <w:r w:rsidR="00D0333D" w:rsidRPr="00BD295E">
              <w:rPr>
                <w:rFonts w:ascii="Arial" w:hAnsi="Arial" w:cs="Arial"/>
                <w:sz w:val="18"/>
                <w:szCs w:val="18"/>
                <w:lang w:val="en-US"/>
              </w:rPr>
              <w:t>.</w:t>
            </w:r>
            <w:r w:rsidRPr="00BD295E">
              <w:rPr>
                <w:rFonts w:ascii="Arial" w:hAnsi="Arial" w:cs="Arial"/>
                <w:sz w:val="18"/>
                <w:szCs w:val="18"/>
                <w:lang w:val="en-US"/>
              </w:rPr>
              <w:t>2</w:t>
            </w:r>
          </w:p>
        </w:tc>
        <w:tc>
          <w:tcPr>
            <w:tcW w:w="14110" w:type="dxa"/>
            <w:gridSpan w:val="4"/>
          </w:tcPr>
          <w:p w14:paraId="1762527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performs material corporate actions in such a way as to ensure that shareholders timely receive complete information about such actions, allowing them to influence such actions and guaranteeing adequate protection of their rights when performing such actions.</w:t>
            </w:r>
          </w:p>
        </w:tc>
      </w:tr>
      <w:tr w:rsidR="008A5057" w:rsidRPr="00BD295E" w14:paraId="3A4BC566" w14:textId="77777777" w:rsidTr="005C4056">
        <w:tc>
          <w:tcPr>
            <w:tcW w:w="959" w:type="dxa"/>
          </w:tcPr>
          <w:p w14:paraId="10423BA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7.2.1</w:t>
            </w:r>
          </w:p>
        </w:tc>
        <w:tc>
          <w:tcPr>
            <w:tcW w:w="4252" w:type="dxa"/>
          </w:tcPr>
          <w:p w14:paraId="57F79F74"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Information about material corporate actions is disclosed with explanations of the grounds, circumstances and consequences.</w:t>
            </w:r>
          </w:p>
          <w:p w14:paraId="51AD15E8" w14:textId="77777777" w:rsidR="00C77CA6" w:rsidRPr="00BD295E" w:rsidRDefault="00C77CA6" w:rsidP="0027083B">
            <w:pPr>
              <w:jc w:val="both"/>
              <w:rPr>
                <w:rFonts w:ascii="Arial" w:hAnsi="Arial" w:cs="Arial"/>
                <w:sz w:val="18"/>
                <w:szCs w:val="18"/>
                <w:lang w:val="en-US"/>
              </w:rPr>
            </w:pPr>
          </w:p>
        </w:tc>
        <w:tc>
          <w:tcPr>
            <w:tcW w:w="3686" w:type="dxa"/>
          </w:tcPr>
          <w:p w14:paraId="782E4D4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In the reporting period, the company disclosed information about its material corporate actions in due time and in detail, including the grounds for, and timelines of, such actions.</w:t>
            </w:r>
          </w:p>
        </w:tc>
        <w:tc>
          <w:tcPr>
            <w:tcW w:w="1984" w:type="dxa"/>
          </w:tcPr>
          <w:p w14:paraId="2357A17E"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Full</w:t>
            </w:r>
          </w:p>
        </w:tc>
        <w:tc>
          <w:tcPr>
            <w:tcW w:w="4188" w:type="dxa"/>
          </w:tcPr>
          <w:p w14:paraId="73DB2C9F" w14:textId="77777777" w:rsidR="00C77CA6" w:rsidRPr="00BD295E" w:rsidRDefault="00C77CA6" w:rsidP="0027083B">
            <w:pPr>
              <w:jc w:val="both"/>
              <w:rPr>
                <w:rFonts w:ascii="Arial" w:hAnsi="Arial" w:cs="Arial"/>
                <w:sz w:val="18"/>
                <w:szCs w:val="18"/>
                <w:lang w:val="en-US"/>
              </w:rPr>
            </w:pPr>
          </w:p>
        </w:tc>
      </w:tr>
      <w:tr w:rsidR="008A5057" w:rsidRPr="00BD295E" w14:paraId="783A9F4D" w14:textId="77777777" w:rsidTr="005C4056">
        <w:trPr>
          <w:trHeight w:val="558"/>
        </w:trPr>
        <w:tc>
          <w:tcPr>
            <w:tcW w:w="959" w:type="dxa"/>
            <w:vMerge w:val="restart"/>
          </w:tcPr>
          <w:p w14:paraId="07E0BAC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7.2.2</w:t>
            </w:r>
          </w:p>
        </w:tc>
        <w:tc>
          <w:tcPr>
            <w:tcW w:w="4252" w:type="dxa"/>
            <w:vMerge w:val="restart"/>
          </w:tcPr>
          <w:p w14:paraId="536A9DF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Rules and procedures related to material corporate actions taken by the company are set out in the company’s internal documents.</w:t>
            </w:r>
          </w:p>
          <w:p w14:paraId="3C3AEA9E" w14:textId="77777777" w:rsidR="00C77CA6" w:rsidRPr="00BD295E" w:rsidRDefault="00C77CA6" w:rsidP="0027083B">
            <w:pPr>
              <w:jc w:val="both"/>
              <w:rPr>
                <w:rFonts w:ascii="Arial" w:hAnsi="Arial" w:cs="Arial"/>
                <w:sz w:val="18"/>
                <w:szCs w:val="18"/>
                <w:lang w:val="en-US"/>
              </w:rPr>
            </w:pPr>
          </w:p>
        </w:tc>
        <w:tc>
          <w:tcPr>
            <w:tcW w:w="3686" w:type="dxa"/>
          </w:tcPr>
          <w:p w14:paraId="3B4779BA"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1. The company’s internal documents set out a procedure for engaging an independent appraiser to estimate the value of assets either disposed of or acquired in a major transaction or an interested-party transaction.</w:t>
            </w:r>
          </w:p>
          <w:p w14:paraId="4015B59A" w14:textId="77777777" w:rsidR="00C77CA6" w:rsidRPr="00BD295E" w:rsidRDefault="00C77CA6" w:rsidP="0027083B">
            <w:pPr>
              <w:jc w:val="both"/>
              <w:rPr>
                <w:rFonts w:ascii="Arial" w:hAnsi="Arial" w:cs="Arial"/>
                <w:sz w:val="18"/>
                <w:szCs w:val="18"/>
                <w:lang w:val="en-US"/>
              </w:rPr>
            </w:pPr>
          </w:p>
        </w:tc>
        <w:tc>
          <w:tcPr>
            <w:tcW w:w="1984" w:type="dxa"/>
            <w:vMerge w:val="restart"/>
          </w:tcPr>
          <w:p w14:paraId="1BE4B767"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Partial</w:t>
            </w:r>
          </w:p>
        </w:tc>
        <w:tc>
          <w:tcPr>
            <w:tcW w:w="4188" w:type="dxa"/>
          </w:tcPr>
          <w:p w14:paraId="305CB7D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1:</w:t>
            </w:r>
          </w:p>
          <w:p w14:paraId="7004BF1D"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Applicable Russian laws and the Company’s internal documents set out a mandatory procedure for engaging an independent appraiser to estimate the value of assets either disposed of or acquired in a major transaction or an interested-party transaction.</w:t>
            </w:r>
          </w:p>
          <w:p w14:paraId="0124B4D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 xml:space="preserve">An appraiser is engaged in line with the requirements of the Federal Law </w:t>
            </w:r>
            <w:r w:rsidRPr="00BD295E">
              <w:rPr>
                <w:rFonts w:ascii="Arial" w:hAnsi="Arial" w:cs="Arial"/>
                <w:i/>
                <w:iCs/>
                <w:sz w:val="18"/>
                <w:szCs w:val="18"/>
                <w:lang w:val="en-US"/>
              </w:rPr>
              <w:t xml:space="preserve">On Joint-Stock Companies </w:t>
            </w:r>
            <w:r w:rsidRPr="00BD295E">
              <w:rPr>
                <w:rFonts w:ascii="Arial" w:hAnsi="Arial" w:cs="Arial"/>
                <w:sz w:val="18"/>
                <w:szCs w:val="18"/>
                <w:lang w:val="en-US"/>
              </w:rPr>
              <w:t xml:space="preserve">and the Uniform Procurement Standard of </w:t>
            </w:r>
            <w:r w:rsidR="00BF106F" w:rsidRPr="00BD295E">
              <w:rPr>
                <w:rFonts w:ascii="Arial" w:hAnsi="Arial" w:cs="Arial"/>
                <w:sz w:val="18"/>
                <w:szCs w:val="18"/>
                <w:lang w:val="en-US"/>
              </w:rPr>
              <w:t>PJSC “Rosseti”</w:t>
            </w:r>
            <w:r w:rsidRPr="00BD295E">
              <w:rPr>
                <w:rFonts w:ascii="Arial" w:hAnsi="Arial" w:cs="Arial"/>
                <w:sz w:val="18"/>
                <w:szCs w:val="18"/>
                <w:lang w:val="en-US"/>
              </w:rPr>
              <w:t xml:space="preserve"> (Procurement Regulations) governing the Company’s purchases.</w:t>
            </w:r>
          </w:p>
        </w:tc>
      </w:tr>
      <w:tr w:rsidR="008A5057" w:rsidRPr="00BD295E" w14:paraId="6CE3612A" w14:textId="77777777" w:rsidTr="005C4056">
        <w:trPr>
          <w:trHeight w:val="1266"/>
        </w:trPr>
        <w:tc>
          <w:tcPr>
            <w:tcW w:w="959" w:type="dxa"/>
            <w:vMerge/>
          </w:tcPr>
          <w:p w14:paraId="7BFE4F32" w14:textId="77777777" w:rsidR="00C77CA6" w:rsidRPr="00BD295E" w:rsidRDefault="00C77CA6" w:rsidP="0027083B">
            <w:pPr>
              <w:jc w:val="both"/>
              <w:rPr>
                <w:rFonts w:ascii="Arial" w:hAnsi="Arial" w:cs="Arial"/>
                <w:sz w:val="18"/>
                <w:szCs w:val="18"/>
                <w:lang w:val="en-US"/>
              </w:rPr>
            </w:pPr>
          </w:p>
        </w:tc>
        <w:tc>
          <w:tcPr>
            <w:tcW w:w="4252" w:type="dxa"/>
            <w:vMerge/>
          </w:tcPr>
          <w:p w14:paraId="66313111" w14:textId="77777777" w:rsidR="00C77CA6" w:rsidRPr="00BD295E" w:rsidRDefault="00C77CA6" w:rsidP="0027083B">
            <w:pPr>
              <w:jc w:val="both"/>
              <w:rPr>
                <w:rFonts w:ascii="Arial" w:hAnsi="Arial" w:cs="Arial"/>
                <w:sz w:val="18"/>
                <w:szCs w:val="18"/>
                <w:lang w:val="en-US"/>
              </w:rPr>
            </w:pPr>
          </w:p>
        </w:tc>
        <w:tc>
          <w:tcPr>
            <w:tcW w:w="3686" w:type="dxa"/>
          </w:tcPr>
          <w:p w14:paraId="0834356B"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2. The company’s internal documents set out a procedure for engaging an independent appraiser to estimate the value of shares acquired and bought back by the company.</w:t>
            </w:r>
          </w:p>
        </w:tc>
        <w:tc>
          <w:tcPr>
            <w:tcW w:w="1984" w:type="dxa"/>
            <w:vMerge/>
          </w:tcPr>
          <w:p w14:paraId="55F1EDFC" w14:textId="77777777" w:rsidR="00C77CA6" w:rsidRPr="00BD295E" w:rsidRDefault="00C77CA6" w:rsidP="0027083B">
            <w:pPr>
              <w:jc w:val="both"/>
              <w:rPr>
                <w:rFonts w:ascii="Arial" w:hAnsi="Arial" w:cs="Arial"/>
                <w:sz w:val="18"/>
                <w:szCs w:val="18"/>
                <w:lang w:val="en-US"/>
              </w:rPr>
            </w:pPr>
          </w:p>
        </w:tc>
        <w:tc>
          <w:tcPr>
            <w:tcW w:w="4188" w:type="dxa"/>
          </w:tcPr>
          <w:p w14:paraId="3D43CB84" w14:textId="77777777" w:rsidR="00C77CA6" w:rsidRPr="00BD295E" w:rsidRDefault="00C77CA6" w:rsidP="0027083B">
            <w:pPr>
              <w:jc w:val="both"/>
              <w:rPr>
                <w:rFonts w:ascii="Arial" w:hAnsi="Arial" w:cs="Arial"/>
                <w:sz w:val="18"/>
                <w:szCs w:val="18"/>
                <w:lang w:val="en-US"/>
              </w:rPr>
            </w:pPr>
          </w:p>
        </w:tc>
      </w:tr>
      <w:tr w:rsidR="008A5057" w:rsidRPr="00BD295E" w14:paraId="4F29A368" w14:textId="77777777" w:rsidTr="005C4056">
        <w:trPr>
          <w:trHeight w:val="1561"/>
        </w:trPr>
        <w:tc>
          <w:tcPr>
            <w:tcW w:w="959" w:type="dxa"/>
            <w:vMerge/>
          </w:tcPr>
          <w:p w14:paraId="6A137CC5" w14:textId="77777777" w:rsidR="00C77CA6" w:rsidRPr="00BD295E" w:rsidRDefault="00C77CA6" w:rsidP="0027083B">
            <w:pPr>
              <w:jc w:val="both"/>
              <w:rPr>
                <w:rFonts w:ascii="Arial" w:hAnsi="Arial" w:cs="Arial"/>
                <w:sz w:val="18"/>
                <w:szCs w:val="18"/>
                <w:lang w:val="en-US"/>
              </w:rPr>
            </w:pPr>
          </w:p>
        </w:tc>
        <w:tc>
          <w:tcPr>
            <w:tcW w:w="4252" w:type="dxa"/>
            <w:vMerge/>
          </w:tcPr>
          <w:p w14:paraId="08A67CCB" w14:textId="77777777" w:rsidR="00C77CA6" w:rsidRPr="00BD295E" w:rsidRDefault="00C77CA6" w:rsidP="0027083B">
            <w:pPr>
              <w:jc w:val="both"/>
              <w:rPr>
                <w:rFonts w:ascii="Arial" w:hAnsi="Arial" w:cs="Arial"/>
                <w:sz w:val="18"/>
                <w:szCs w:val="18"/>
                <w:lang w:val="en-US"/>
              </w:rPr>
            </w:pPr>
          </w:p>
        </w:tc>
        <w:tc>
          <w:tcPr>
            <w:tcW w:w="3686" w:type="dxa"/>
          </w:tcPr>
          <w:p w14:paraId="760E287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3. The company’s internal documents provide for an expanded list of grounds on which members of the company’s Board of Directors as well as other persons as per applicable laws are deemed to be interested parties to the company’s transactions.</w:t>
            </w:r>
          </w:p>
          <w:p w14:paraId="1832A02B" w14:textId="77777777" w:rsidR="00C77CA6" w:rsidRPr="00BD295E" w:rsidRDefault="00C77CA6" w:rsidP="0027083B">
            <w:pPr>
              <w:jc w:val="both"/>
              <w:rPr>
                <w:rFonts w:ascii="Arial" w:hAnsi="Arial" w:cs="Arial"/>
                <w:sz w:val="18"/>
                <w:szCs w:val="18"/>
                <w:lang w:val="en-US"/>
              </w:rPr>
            </w:pPr>
          </w:p>
        </w:tc>
        <w:tc>
          <w:tcPr>
            <w:tcW w:w="1984" w:type="dxa"/>
            <w:vMerge/>
          </w:tcPr>
          <w:p w14:paraId="693743BF" w14:textId="77777777" w:rsidR="00C77CA6" w:rsidRPr="00BD295E" w:rsidRDefault="00C77CA6" w:rsidP="0027083B">
            <w:pPr>
              <w:jc w:val="both"/>
              <w:rPr>
                <w:rFonts w:ascii="Arial" w:hAnsi="Arial" w:cs="Arial"/>
                <w:sz w:val="18"/>
                <w:szCs w:val="18"/>
                <w:lang w:val="en-US"/>
              </w:rPr>
            </w:pPr>
          </w:p>
        </w:tc>
        <w:tc>
          <w:tcPr>
            <w:tcW w:w="4188" w:type="dxa"/>
          </w:tcPr>
          <w:p w14:paraId="082EE416"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 partially complies with the principle of paragraph 3:</w:t>
            </w:r>
          </w:p>
          <w:p w14:paraId="09F0D079"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The Company’s internal documents do not provide for an expanded list of grounds on which members of the Company’s Board of Directors as well as other persons as per applicable Russian laws are deemed to be interested parties to the Company’s transactions in order to determine the actual interests of the respective parties.</w:t>
            </w:r>
          </w:p>
          <w:p w14:paraId="767A7970"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When approving material transactions, the Board of Directors shall be guided by the requirements of the Federal Law "On JSCs" and the Company Charter as regards the list of grounds on which members of the Board of Directors and other persons stipulated by law are recognized as interested parties. Members of the Board of Directors shall independently determine whether they have an interest in the transaction. The internal documents of the Company recommend that members of the Board of Directors abstain from voting on approval of such transactions.</w:t>
            </w:r>
          </w:p>
          <w:p w14:paraId="5391A277" w14:textId="77777777" w:rsidR="005C4056" w:rsidRPr="00BD295E" w:rsidRDefault="005C4056" w:rsidP="0027083B">
            <w:pPr>
              <w:jc w:val="both"/>
              <w:rPr>
                <w:rFonts w:ascii="Arial" w:hAnsi="Arial" w:cs="Arial"/>
                <w:sz w:val="18"/>
                <w:szCs w:val="18"/>
                <w:lang w:val="en-US"/>
              </w:rPr>
            </w:pPr>
          </w:p>
          <w:p w14:paraId="151294E9" w14:textId="77777777" w:rsidR="005C4056" w:rsidRPr="00BD295E" w:rsidRDefault="005C4056" w:rsidP="0027083B">
            <w:pPr>
              <w:jc w:val="both"/>
              <w:rPr>
                <w:rFonts w:ascii="Arial" w:hAnsi="Arial" w:cs="Arial"/>
                <w:sz w:val="18"/>
                <w:szCs w:val="18"/>
                <w:lang w:val="en-US"/>
              </w:rPr>
            </w:pPr>
          </w:p>
          <w:p w14:paraId="04E774C8" w14:textId="77777777" w:rsidR="005C4056" w:rsidRPr="00BD295E" w:rsidRDefault="005C4056" w:rsidP="0027083B">
            <w:pPr>
              <w:jc w:val="both"/>
              <w:rPr>
                <w:rFonts w:ascii="Arial" w:hAnsi="Arial" w:cs="Arial"/>
                <w:sz w:val="18"/>
                <w:szCs w:val="18"/>
                <w:lang w:val="en-US"/>
              </w:rPr>
            </w:pPr>
          </w:p>
          <w:p w14:paraId="3E77D0BB" w14:textId="77777777" w:rsidR="005C4056" w:rsidRPr="00BD295E" w:rsidRDefault="005C4056" w:rsidP="0027083B">
            <w:pPr>
              <w:jc w:val="both"/>
              <w:rPr>
                <w:rFonts w:ascii="Arial" w:hAnsi="Arial" w:cs="Arial"/>
                <w:sz w:val="18"/>
                <w:szCs w:val="18"/>
                <w:lang w:val="en-US"/>
              </w:rPr>
            </w:pPr>
          </w:p>
          <w:p w14:paraId="158F78FE" w14:textId="77777777" w:rsidR="005C4056" w:rsidRPr="00BD295E" w:rsidRDefault="005C4056" w:rsidP="0027083B">
            <w:pPr>
              <w:jc w:val="both"/>
              <w:rPr>
                <w:rFonts w:ascii="Arial" w:hAnsi="Arial" w:cs="Arial"/>
                <w:sz w:val="18"/>
                <w:szCs w:val="18"/>
                <w:lang w:val="en-US"/>
              </w:rPr>
            </w:pPr>
          </w:p>
          <w:p w14:paraId="3C2160B2" w14:textId="77777777" w:rsidR="00C77CA6" w:rsidRPr="00BD295E" w:rsidRDefault="008A5057" w:rsidP="0027083B">
            <w:pPr>
              <w:jc w:val="both"/>
              <w:rPr>
                <w:rFonts w:ascii="Arial" w:hAnsi="Arial" w:cs="Arial"/>
                <w:sz w:val="18"/>
                <w:szCs w:val="18"/>
                <w:lang w:val="en-US"/>
              </w:rPr>
            </w:pPr>
            <w:r w:rsidRPr="00BD295E">
              <w:rPr>
                <w:rFonts w:ascii="Arial" w:hAnsi="Arial" w:cs="Arial"/>
                <w:sz w:val="18"/>
                <w:szCs w:val="18"/>
                <w:lang w:val="en-US"/>
              </w:rPr>
              <w:t>At the same time, the Company constantly strives to improve its corporate governance practices and, as a result, to implement the principles and recommendations of the Corporate Governance Code to the fullest extent possible.</w:t>
            </w:r>
          </w:p>
          <w:p w14:paraId="67875DE2" w14:textId="77777777" w:rsidR="00C77CA6" w:rsidRPr="00BD295E" w:rsidRDefault="00C77CA6" w:rsidP="0027083B">
            <w:pPr>
              <w:jc w:val="both"/>
              <w:rPr>
                <w:rFonts w:ascii="Arial" w:hAnsi="Arial" w:cs="Arial"/>
                <w:sz w:val="18"/>
                <w:szCs w:val="18"/>
                <w:lang w:val="en-US"/>
              </w:rPr>
            </w:pPr>
          </w:p>
        </w:tc>
      </w:tr>
    </w:tbl>
    <w:p w14:paraId="0B6EB3BC" w14:textId="77777777" w:rsidR="00C77CA6" w:rsidRPr="00BD295E" w:rsidRDefault="00C77CA6" w:rsidP="00C77CA6">
      <w:pPr>
        <w:rPr>
          <w:rFonts w:ascii="Arial" w:hAnsi="Arial" w:cs="Arial"/>
          <w:sz w:val="18"/>
          <w:szCs w:val="18"/>
          <w:lang w:val="en-US"/>
        </w:rPr>
      </w:pPr>
    </w:p>
    <w:p w14:paraId="30F1FCCE" w14:textId="77777777" w:rsidR="00940B48" w:rsidRPr="00BD295E" w:rsidRDefault="00940B48" w:rsidP="00940B48">
      <w:pPr>
        <w:spacing w:after="200" w:line="276" w:lineRule="auto"/>
        <w:rPr>
          <w:rFonts w:ascii="Arial" w:hAnsi="Arial" w:cs="Arial"/>
          <w:sz w:val="18"/>
          <w:szCs w:val="18"/>
          <w:lang w:val="en-US"/>
        </w:rPr>
      </w:pPr>
    </w:p>
    <w:p w14:paraId="4E7C2594" w14:textId="77777777" w:rsidR="00940B48" w:rsidRPr="00BD295E" w:rsidRDefault="00940B48" w:rsidP="00940B48">
      <w:pPr>
        <w:spacing w:after="200" w:line="276" w:lineRule="auto"/>
        <w:rPr>
          <w:rFonts w:ascii="Arial" w:hAnsi="Arial" w:cs="Arial"/>
          <w:sz w:val="18"/>
          <w:szCs w:val="18"/>
          <w:lang w:val="en-US"/>
        </w:rPr>
      </w:pPr>
    </w:p>
    <w:p w14:paraId="0BBA8831" w14:textId="77777777" w:rsidR="00940B48" w:rsidRPr="00BD295E" w:rsidRDefault="00940B48" w:rsidP="00940B48">
      <w:pPr>
        <w:spacing w:after="200" w:line="276" w:lineRule="auto"/>
        <w:rPr>
          <w:rFonts w:ascii="Arial" w:hAnsi="Arial" w:cs="Arial"/>
          <w:sz w:val="18"/>
          <w:szCs w:val="18"/>
          <w:lang w:val="en-US"/>
        </w:rPr>
      </w:pPr>
    </w:p>
    <w:p w14:paraId="0E078916" w14:textId="77777777" w:rsidR="005C4056" w:rsidRPr="00BD295E" w:rsidRDefault="008A5057" w:rsidP="00D0333D">
      <w:pPr>
        <w:tabs>
          <w:tab w:val="left" w:pos="6804"/>
        </w:tabs>
        <w:spacing w:after="200" w:line="276" w:lineRule="auto"/>
        <w:rPr>
          <w:rFonts w:ascii="Arial" w:hAnsi="Arial" w:cs="Arial"/>
          <w:sz w:val="18"/>
          <w:szCs w:val="18"/>
          <w:lang w:val="en-US"/>
        </w:rPr>
      </w:pPr>
      <w:r w:rsidRPr="00BD295E">
        <w:rPr>
          <w:rFonts w:ascii="Arial" w:hAnsi="Arial" w:cs="Arial"/>
          <w:sz w:val="18"/>
          <w:szCs w:val="18"/>
          <w:lang w:val="en-US"/>
        </w:rPr>
        <w:t xml:space="preserve">CEO of </w:t>
      </w:r>
      <w:r w:rsidR="00EE5753" w:rsidRPr="00BD295E">
        <w:rPr>
          <w:rFonts w:ascii="Arial" w:hAnsi="Arial" w:cs="Arial"/>
          <w:sz w:val="18"/>
          <w:szCs w:val="18"/>
          <w:lang w:val="en-US"/>
        </w:rPr>
        <w:t>PJSC “Lenenergo”</w:t>
      </w:r>
      <w:r w:rsidR="00D0333D" w:rsidRPr="00BD295E">
        <w:rPr>
          <w:rFonts w:ascii="Arial" w:hAnsi="Arial" w:cs="Arial"/>
          <w:sz w:val="18"/>
          <w:szCs w:val="18"/>
          <w:lang w:val="en-US"/>
        </w:rPr>
        <w:t xml:space="preserve"> </w:t>
      </w:r>
      <w:r w:rsidR="00D0333D" w:rsidRPr="00BD295E">
        <w:rPr>
          <w:rFonts w:ascii="Arial" w:hAnsi="Arial" w:cs="Arial"/>
          <w:sz w:val="18"/>
          <w:szCs w:val="18"/>
          <w:lang w:val="en-US"/>
        </w:rPr>
        <w:tab/>
      </w:r>
      <w:r w:rsidRPr="00BD295E">
        <w:rPr>
          <w:rFonts w:ascii="Arial" w:hAnsi="Arial" w:cs="Arial"/>
          <w:sz w:val="18"/>
          <w:szCs w:val="18"/>
          <w:lang w:val="en-US"/>
        </w:rPr>
        <w:t>A.V. Ryumin</w:t>
      </w:r>
    </w:p>
    <w:p w14:paraId="18CCD8CE" w14:textId="763A8868" w:rsidR="00DF2E5E" w:rsidRPr="00BD295E" w:rsidRDefault="008A5057" w:rsidP="00D0333D">
      <w:pPr>
        <w:spacing w:after="160" w:line="259" w:lineRule="auto"/>
        <w:jc w:val="center"/>
        <w:rPr>
          <w:rFonts w:ascii="Arial" w:hAnsi="Arial" w:cs="Arial"/>
          <w:sz w:val="18"/>
          <w:szCs w:val="18"/>
          <w:lang w:val="en-US"/>
        </w:rPr>
      </w:pPr>
      <w:r w:rsidRPr="00BD295E">
        <w:rPr>
          <w:rFonts w:ascii="Arial" w:hAnsi="Arial" w:cs="Arial"/>
          <w:sz w:val="18"/>
          <w:szCs w:val="18"/>
          <w:lang w:val="en-US"/>
        </w:rPr>
        <w:br w:type="page"/>
      </w:r>
      <w:bookmarkStart w:id="602" w:name="_Toc473921996"/>
      <w:bookmarkEnd w:id="591"/>
      <w:bookmarkEnd w:id="592"/>
      <w:bookmarkEnd w:id="593"/>
      <w:bookmarkEnd w:id="594"/>
      <w:bookmarkEnd w:id="595"/>
      <w:bookmarkEnd w:id="596"/>
      <w:bookmarkEnd w:id="597"/>
      <w:bookmarkEnd w:id="598"/>
      <w:bookmarkEnd w:id="599"/>
      <w:bookmarkEnd w:id="600"/>
      <w:bookmarkEnd w:id="601"/>
    </w:p>
    <w:p w14:paraId="164EC7DA" w14:textId="6488C0C4" w:rsidR="001571A8" w:rsidRPr="00BD295E" w:rsidRDefault="001571A8" w:rsidP="001571A8">
      <w:pPr>
        <w:rPr>
          <w:rFonts w:ascii="Arial" w:hAnsi="Arial" w:cs="Arial"/>
          <w:sz w:val="18"/>
          <w:szCs w:val="18"/>
          <w:lang w:val="en-US"/>
        </w:rPr>
      </w:pPr>
      <w:bookmarkStart w:id="603" w:name="_Toc5874613"/>
      <w:bookmarkStart w:id="604" w:name="_Toc95855311"/>
      <w:bookmarkStart w:id="605" w:name="_Toc95935370"/>
      <w:r w:rsidRPr="00BD295E">
        <w:rPr>
          <w:rFonts w:ascii="Arial" w:hAnsi="Arial" w:cs="Arial"/>
          <w:sz w:val="18"/>
          <w:szCs w:val="18"/>
          <w:lang w:val="en-US"/>
        </w:rPr>
        <w:t>6.4. Report on Interested-Party Transactions Made by PJSC “Lenenergo” in 2018</w:t>
      </w:r>
      <w:bookmarkEnd w:id="603"/>
      <w:bookmarkEnd w:id="604"/>
      <w:bookmarkEnd w:id="605"/>
      <w:r w:rsidRPr="00BD295E">
        <w:rPr>
          <w:rFonts w:ascii="Arial" w:hAnsi="Arial" w:cs="Arial"/>
          <w:sz w:val="18"/>
          <w:szCs w:val="18"/>
          <w:lang w:val="en-US"/>
        </w:rPr>
        <w:t xml:space="preserve">. </w:t>
      </w:r>
    </w:p>
    <w:p w14:paraId="3E900687" w14:textId="77F1E799" w:rsidR="001571A8" w:rsidRPr="00BD295E" w:rsidRDefault="001571A8" w:rsidP="001571A8">
      <w:pPr>
        <w:jc w:val="center"/>
        <w:rPr>
          <w:rFonts w:ascii="Arial" w:hAnsi="Arial" w:cs="Arial"/>
          <w:sz w:val="18"/>
          <w:szCs w:val="18"/>
          <w:lang w:val="en-US"/>
        </w:rPr>
      </w:pPr>
      <w:r w:rsidRPr="00BD295E">
        <w:rPr>
          <w:rFonts w:ascii="Arial" w:hAnsi="Arial" w:cs="Arial"/>
          <w:sz w:val="18"/>
          <w:szCs w:val="18"/>
          <w:lang w:val="en-US"/>
        </w:rPr>
        <w:t>Information on interested-party transactions for less than 2% of the book value of assets of PJSC “Lenenergo”.</w:t>
      </w:r>
    </w:p>
    <w:tbl>
      <w:tblPr>
        <w:tblpPr w:leftFromText="180" w:rightFromText="180" w:vertAnchor="page" w:horzAnchor="margin" w:tblpY="232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430"/>
        <w:gridCol w:w="2373"/>
        <w:gridCol w:w="2510"/>
        <w:gridCol w:w="5725"/>
        <w:gridCol w:w="1890"/>
      </w:tblGrid>
      <w:tr w:rsidR="00D0333D" w:rsidRPr="00BD295E" w14:paraId="15B9F9A5" w14:textId="77777777" w:rsidTr="00BF328B">
        <w:trPr>
          <w:trHeight w:val="856"/>
          <w:tblHeader/>
        </w:trPr>
        <w:tc>
          <w:tcPr>
            <w:tcW w:w="217" w:type="pct"/>
            <w:shd w:val="clear" w:color="auto" w:fill="auto"/>
            <w:vAlign w:val="center"/>
          </w:tcPr>
          <w:p w14:paraId="05A61EFF" w14:textId="77777777" w:rsidR="00D0333D" w:rsidRPr="00BD295E" w:rsidRDefault="00D0333D" w:rsidP="00BF328B">
            <w:pPr>
              <w:jc w:val="center"/>
              <w:rPr>
                <w:rFonts w:ascii="Arial" w:hAnsi="Arial" w:cs="Arial"/>
                <w:b/>
                <w:sz w:val="18"/>
                <w:szCs w:val="18"/>
                <w:lang w:val="en-US"/>
              </w:rPr>
            </w:pPr>
            <w:r w:rsidRPr="00BD295E">
              <w:rPr>
                <w:rFonts w:ascii="Arial" w:hAnsi="Arial" w:cs="Arial"/>
                <w:b/>
                <w:sz w:val="18"/>
                <w:szCs w:val="18"/>
                <w:lang w:val="en-US"/>
              </w:rPr>
              <w:t>No.</w:t>
            </w:r>
          </w:p>
          <w:p w14:paraId="50FFCD0A" w14:textId="77777777" w:rsidR="00D0333D" w:rsidRPr="00BD295E" w:rsidRDefault="00D0333D" w:rsidP="00BF328B">
            <w:pPr>
              <w:jc w:val="center"/>
              <w:rPr>
                <w:rFonts w:ascii="Arial" w:hAnsi="Arial" w:cs="Arial"/>
                <w:b/>
                <w:sz w:val="18"/>
                <w:szCs w:val="18"/>
                <w:lang w:val="en-US"/>
              </w:rPr>
            </w:pPr>
          </w:p>
        </w:tc>
        <w:tc>
          <w:tcPr>
            <w:tcW w:w="491" w:type="pct"/>
            <w:shd w:val="clear" w:color="auto" w:fill="auto"/>
            <w:vAlign w:val="center"/>
          </w:tcPr>
          <w:p w14:paraId="0069DF83" w14:textId="77777777" w:rsidR="00D0333D" w:rsidRPr="00BD295E" w:rsidRDefault="00D0333D" w:rsidP="00BF328B">
            <w:pPr>
              <w:jc w:val="center"/>
              <w:rPr>
                <w:rFonts w:ascii="Arial" w:hAnsi="Arial" w:cs="Arial"/>
                <w:b/>
                <w:sz w:val="18"/>
                <w:szCs w:val="18"/>
                <w:lang w:val="en-US"/>
              </w:rPr>
            </w:pPr>
            <w:r w:rsidRPr="00BD295E">
              <w:rPr>
                <w:rFonts w:ascii="Arial" w:hAnsi="Arial" w:cs="Arial"/>
                <w:b/>
                <w:sz w:val="18"/>
                <w:szCs w:val="18"/>
                <w:lang w:val="en-US"/>
              </w:rPr>
              <w:t>Transaction date</w:t>
            </w:r>
          </w:p>
        </w:tc>
        <w:tc>
          <w:tcPr>
            <w:tcW w:w="815" w:type="pct"/>
            <w:shd w:val="clear" w:color="auto" w:fill="auto"/>
            <w:vAlign w:val="center"/>
          </w:tcPr>
          <w:p w14:paraId="78B0671F" w14:textId="77777777" w:rsidR="00D0333D" w:rsidRPr="00BD295E" w:rsidRDefault="00D0333D" w:rsidP="00BF328B">
            <w:pPr>
              <w:jc w:val="center"/>
              <w:rPr>
                <w:rFonts w:ascii="Arial" w:hAnsi="Arial" w:cs="Arial"/>
                <w:b/>
                <w:sz w:val="18"/>
                <w:szCs w:val="18"/>
                <w:lang w:val="en-US"/>
              </w:rPr>
            </w:pPr>
            <w:r w:rsidRPr="00BD295E">
              <w:rPr>
                <w:rFonts w:ascii="Arial" w:hAnsi="Arial" w:cs="Arial"/>
                <w:b/>
                <w:sz w:val="18"/>
                <w:szCs w:val="18"/>
                <w:lang w:val="en-US"/>
              </w:rPr>
              <w:t>Date of approval (consent to perform the transaction)</w:t>
            </w:r>
          </w:p>
        </w:tc>
        <w:tc>
          <w:tcPr>
            <w:tcW w:w="862" w:type="pct"/>
            <w:shd w:val="clear" w:color="auto" w:fill="auto"/>
            <w:vAlign w:val="center"/>
          </w:tcPr>
          <w:p w14:paraId="22711BDB" w14:textId="77777777" w:rsidR="00D0333D" w:rsidRPr="00BD295E" w:rsidRDefault="00D0333D" w:rsidP="00BF328B">
            <w:pPr>
              <w:jc w:val="center"/>
              <w:rPr>
                <w:rFonts w:ascii="Arial" w:hAnsi="Arial" w:cs="Arial"/>
                <w:b/>
                <w:sz w:val="18"/>
                <w:szCs w:val="18"/>
                <w:lang w:val="en-US"/>
              </w:rPr>
            </w:pPr>
            <w:r w:rsidRPr="00BD295E">
              <w:rPr>
                <w:rFonts w:ascii="Arial" w:hAnsi="Arial" w:cs="Arial"/>
                <w:b/>
                <w:sz w:val="18"/>
                <w:szCs w:val="18"/>
                <w:lang w:val="en-US"/>
              </w:rPr>
              <w:t>The Company’s body that made the decision to approve the transaction</w:t>
            </w:r>
          </w:p>
        </w:tc>
        <w:tc>
          <w:tcPr>
            <w:tcW w:w="1966" w:type="pct"/>
            <w:shd w:val="clear" w:color="auto" w:fill="auto"/>
            <w:vAlign w:val="center"/>
          </w:tcPr>
          <w:p w14:paraId="684671B4" w14:textId="77777777" w:rsidR="00D0333D" w:rsidRPr="00BD295E" w:rsidRDefault="00D0333D" w:rsidP="00BF328B">
            <w:pPr>
              <w:jc w:val="center"/>
              <w:rPr>
                <w:rFonts w:ascii="Arial" w:hAnsi="Arial" w:cs="Arial"/>
                <w:b/>
                <w:sz w:val="18"/>
                <w:szCs w:val="18"/>
                <w:lang w:val="en-US"/>
              </w:rPr>
            </w:pPr>
            <w:r w:rsidRPr="00BD295E">
              <w:rPr>
                <w:rFonts w:ascii="Arial" w:hAnsi="Arial" w:cs="Arial"/>
                <w:b/>
                <w:sz w:val="18"/>
                <w:szCs w:val="18"/>
                <w:lang w:val="en-US"/>
              </w:rPr>
              <w:t>Subject matter of the transaction and its material terms</w:t>
            </w:r>
          </w:p>
        </w:tc>
        <w:tc>
          <w:tcPr>
            <w:tcW w:w="649" w:type="pct"/>
            <w:shd w:val="clear" w:color="auto" w:fill="auto"/>
            <w:vAlign w:val="center"/>
          </w:tcPr>
          <w:p w14:paraId="7184FBBA" w14:textId="77777777" w:rsidR="00D0333D" w:rsidRPr="00BD295E" w:rsidRDefault="00D0333D" w:rsidP="00BF328B">
            <w:pPr>
              <w:jc w:val="center"/>
              <w:rPr>
                <w:rFonts w:ascii="Arial" w:hAnsi="Arial" w:cs="Arial"/>
                <w:b/>
                <w:sz w:val="18"/>
                <w:szCs w:val="18"/>
                <w:lang w:val="en-US"/>
              </w:rPr>
            </w:pPr>
            <w:r w:rsidRPr="00BD295E">
              <w:rPr>
                <w:rFonts w:ascii="Arial" w:hAnsi="Arial" w:cs="Arial"/>
                <w:b/>
                <w:sz w:val="18"/>
                <w:szCs w:val="18"/>
                <w:lang w:val="en-US"/>
              </w:rPr>
              <w:t>Information on the person (persons) interested in the transaction and the reasons for their interest</w:t>
            </w:r>
          </w:p>
        </w:tc>
      </w:tr>
      <w:tr w:rsidR="00D0333D" w:rsidRPr="00BD295E" w14:paraId="70CF8B18" w14:textId="77777777" w:rsidTr="00BF328B">
        <w:trPr>
          <w:trHeight w:val="5109"/>
        </w:trPr>
        <w:tc>
          <w:tcPr>
            <w:tcW w:w="217" w:type="pct"/>
            <w:shd w:val="clear" w:color="auto" w:fill="auto"/>
            <w:vAlign w:val="center"/>
          </w:tcPr>
          <w:p w14:paraId="1AAAF826" w14:textId="77777777" w:rsidR="00D0333D" w:rsidRPr="00BD295E" w:rsidRDefault="00D0333D" w:rsidP="00BF328B">
            <w:pPr>
              <w:rPr>
                <w:rFonts w:ascii="Arial" w:hAnsi="Arial" w:cs="Arial"/>
                <w:sz w:val="18"/>
                <w:szCs w:val="18"/>
                <w:lang w:val="en-US"/>
              </w:rPr>
            </w:pPr>
            <w:r w:rsidRPr="00BD295E">
              <w:rPr>
                <w:rFonts w:ascii="Arial" w:hAnsi="Arial" w:cs="Arial"/>
                <w:sz w:val="18"/>
                <w:szCs w:val="18"/>
                <w:lang w:val="en-US"/>
              </w:rPr>
              <w:t>1</w:t>
            </w:r>
          </w:p>
        </w:tc>
        <w:tc>
          <w:tcPr>
            <w:tcW w:w="491" w:type="pct"/>
            <w:shd w:val="clear" w:color="auto" w:fill="auto"/>
            <w:vAlign w:val="center"/>
          </w:tcPr>
          <w:p w14:paraId="2BFE8F0A" w14:textId="77777777" w:rsidR="00D0333D" w:rsidRPr="00BD295E" w:rsidRDefault="00D0333D" w:rsidP="00BF328B">
            <w:pPr>
              <w:jc w:val="both"/>
              <w:rPr>
                <w:rFonts w:ascii="Arial" w:hAnsi="Arial" w:cs="Arial"/>
                <w:sz w:val="18"/>
                <w:szCs w:val="18"/>
                <w:lang w:val="en-US"/>
              </w:rPr>
            </w:pPr>
            <w:r w:rsidRPr="00BD295E">
              <w:rPr>
                <w:rFonts w:ascii="Arial" w:hAnsi="Arial" w:cs="Arial"/>
                <w:sz w:val="18"/>
                <w:szCs w:val="18"/>
                <w:lang w:val="en-US"/>
              </w:rPr>
              <w:t>September 3, 2018</w:t>
            </w:r>
          </w:p>
        </w:tc>
        <w:tc>
          <w:tcPr>
            <w:tcW w:w="1677" w:type="pct"/>
            <w:gridSpan w:val="2"/>
            <w:shd w:val="clear" w:color="auto" w:fill="auto"/>
          </w:tcPr>
          <w:p w14:paraId="5FC2462D" w14:textId="77777777" w:rsidR="00D0333D" w:rsidRPr="00BD295E" w:rsidRDefault="00D0333D" w:rsidP="00BF328B">
            <w:pPr>
              <w:ind w:firstLine="316"/>
              <w:jc w:val="both"/>
              <w:rPr>
                <w:rFonts w:ascii="Arial" w:hAnsi="Arial" w:cs="Arial"/>
                <w:sz w:val="18"/>
                <w:szCs w:val="18"/>
                <w:lang w:val="en-US"/>
              </w:rPr>
            </w:pPr>
            <w:r w:rsidRPr="00BD295E">
              <w:rPr>
                <w:rFonts w:ascii="Arial" w:hAnsi="Arial" w:cs="Arial"/>
                <w:sz w:val="18"/>
                <w:szCs w:val="18"/>
                <w:lang w:val="en-US"/>
              </w:rPr>
              <w:t xml:space="preserve">On June 20, 2018, a notice on an interested party transaction was sent to persons provided for in Article 81.1 of Federal Law No. 208-FZ, </w:t>
            </w:r>
            <w:r w:rsidRPr="00BD295E">
              <w:rPr>
                <w:rFonts w:ascii="Arial" w:hAnsi="Arial" w:cs="Arial"/>
                <w:i/>
                <w:iCs/>
                <w:sz w:val="18"/>
                <w:szCs w:val="18"/>
                <w:lang w:val="en-US"/>
              </w:rPr>
              <w:t>On Joint Stock Companies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26, 1995, which was not later than fifteen days prior to the date of the transaction. </w:t>
            </w:r>
          </w:p>
          <w:p w14:paraId="3B0B1A7E" w14:textId="77777777" w:rsidR="00D0333D" w:rsidRPr="00BD295E" w:rsidRDefault="00D0333D" w:rsidP="00BF328B">
            <w:pPr>
              <w:jc w:val="both"/>
              <w:rPr>
                <w:rFonts w:ascii="Arial" w:hAnsi="Arial" w:cs="Arial"/>
                <w:sz w:val="18"/>
                <w:szCs w:val="18"/>
                <w:lang w:val="en-US"/>
              </w:rPr>
            </w:pPr>
            <w:r w:rsidRPr="00BD295E">
              <w:rPr>
                <w:rFonts w:ascii="Arial" w:hAnsi="Arial" w:cs="Arial"/>
                <w:sz w:val="18"/>
                <w:szCs w:val="18"/>
                <w:lang w:val="en-US"/>
              </w:rPr>
              <w:t xml:space="preserve">          No requests to hold a meeting of the Board of Directors of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to decide on giving a consent to the interested party transaction were received from persons provided for in Article 81.1 of Federal Law No. 208-FZ, </w:t>
            </w:r>
            <w:r w:rsidRPr="00BD295E">
              <w:rPr>
                <w:rFonts w:ascii="Arial" w:hAnsi="Arial" w:cs="Arial"/>
                <w:i/>
                <w:iCs/>
                <w:sz w:val="18"/>
                <w:szCs w:val="18"/>
                <w:lang w:val="en-US"/>
              </w:rPr>
              <w:t>On Joint Stock Companies</w:t>
            </w:r>
            <w:r w:rsidRPr="00BD295E">
              <w:rPr>
                <w:rFonts w:ascii="Arial" w:hAnsi="Arial" w:cs="Arial"/>
                <w:sz w:val="18"/>
                <w:szCs w:val="18"/>
                <w:lang w:val="en-US"/>
              </w:rPr>
              <w:t xml:space="preserve">,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26, 1995.</w:t>
            </w:r>
          </w:p>
          <w:p w14:paraId="34042E10" w14:textId="77777777" w:rsidR="00D0333D" w:rsidRPr="00BD295E" w:rsidRDefault="00D0333D" w:rsidP="00BF328B">
            <w:pPr>
              <w:rPr>
                <w:rFonts w:ascii="Arial" w:hAnsi="Arial" w:cs="Arial"/>
                <w:sz w:val="18"/>
                <w:szCs w:val="18"/>
                <w:lang w:val="en-US"/>
              </w:rPr>
            </w:pPr>
          </w:p>
        </w:tc>
        <w:tc>
          <w:tcPr>
            <w:tcW w:w="1966" w:type="pct"/>
            <w:shd w:val="clear" w:color="auto" w:fill="auto"/>
          </w:tcPr>
          <w:p w14:paraId="1F67F0EF" w14:textId="77777777" w:rsidR="00D0333D" w:rsidRPr="00BD295E" w:rsidRDefault="00D0333D" w:rsidP="00BF328B">
            <w:pPr>
              <w:tabs>
                <w:tab w:val="left" w:pos="307"/>
              </w:tabs>
              <w:jc w:val="both"/>
              <w:rPr>
                <w:rFonts w:ascii="Arial" w:hAnsi="Arial" w:cs="Arial"/>
                <w:sz w:val="18"/>
                <w:szCs w:val="18"/>
                <w:lang w:val="en-US"/>
              </w:rPr>
            </w:pPr>
            <w:r w:rsidRPr="00BD295E">
              <w:rPr>
                <w:rFonts w:ascii="Arial" w:hAnsi="Arial" w:cs="Arial"/>
                <w:sz w:val="18"/>
                <w:szCs w:val="18"/>
                <w:lang w:val="en-US"/>
              </w:rPr>
              <w:t>Parties:</w:t>
            </w:r>
          </w:p>
          <w:p w14:paraId="7192C17C" w14:textId="77777777" w:rsidR="00D0333D" w:rsidRPr="00BD295E" w:rsidRDefault="00D0333D" w:rsidP="00BF328B">
            <w:pPr>
              <w:tabs>
                <w:tab w:val="left" w:pos="284"/>
              </w:tabs>
              <w:jc w:val="both"/>
              <w:rPr>
                <w:rFonts w:ascii="Arial" w:hAnsi="Arial" w:cs="Arial"/>
                <w:sz w:val="18"/>
                <w:szCs w:val="18"/>
                <w:lang w:val="en-US"/>
              </w:rPr>
            </w:pPr>
            <w:r w:rsidRPr="00BD295E">
              <w:rPr>
                <w:rFonts w:ascii="Arial" w:hAnsi="Arial" w:cs="Arial"/>
                <w:sz w:val="18"/>
                <w:szCs w:val="18"/>
                <w:lang w:val="en-US"/>
              </w:rPr>
              <w:t>1.</w:t>
            </w:r>
            <w:r w:rsidRPr="00BD295E">
              <w:rPr>
                <w:rFonts w:ascii="Arial" w:hAnsi="Arial" w:cs="Arial"/>
                <w:sz w:val="18"/>
                <w:szCs w:val="18"/>
                <w:lang w:val="en-US"/>
              </w:rPr>
              <w:tab/>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(Customer)</w:t>
            </w:r>
          </w:p>
          <w:p w14:paraId="2615A8E3" w14:textId="77777777" w:rsidR="00D0333D" w:rsidRPr="00BD295E" w:rsidRDefault="00D0333D" w:rsidP="00BF328B">
            <w:pPr>
              <w:tabs>
                <w:tab w:val="left" w:pos="284"/>
              </w:tabs>
              <w:jc w:val="both"/>
              <w:rPr>
                <w:rFonts w:ascii="Arial" w:hAnsi="Arial" w:cs="Arial"/>
                <w:sz w:val="18"/>
                <w:szCs w:val="18"/>
                <w:lang w:val="en-US"/>
              </w:rPr>
            </w:pPr>
            <w:r w:rsidRPr="00BD295E">
              <w:rPr>
                <w:rFonts w:ascii="Arial" w:hAnsi="Arial" w:cs="Arial"/>
                <w:sz w:val="18"/>
                <w:szCs w:val="18"/>
                <w:lang w:val="en-US"/>
              </w:rPr>
              <w:t>2.</w:t>
            </w:r>
            <w:r w:rsidRPr="00BD295E">
              <w:rPr>
                <w:rFonts w:ascii="Arial" w:hAnsi="Arial" w:cs="Arial"/>
                <w:sz w:val="18"/>
                <w:szCs w:val="18"/>
                <w:lang w:val="en-US"/>
              </w:rPr>
              <w:tab/>
              <w:t>Management of Fiber-Optic Communication Lines on Overhead Power Lines of Interregional Distribution Grid Companies, JSC (Contractor)</w:t>
            </w:r>
          </w:p>
          <w:p w14:paraId="27FCC33D" w14:textId="77777777" w:rsidR="00D0333D" w:rsidRPr="00BD295E" w:rsidRDefault="00D0333D" w:rsidP="00BF328B">
            <w:pPr>
              <w:jc w:val="both"/>
              <w:rPr>
                <w:rFonts w:ascii="Arial" w:hAnsi="Arial" w:cs="Arial"/>
                <w:sz w:val="18"/>
                <w:szCs w:val="18"/>
                <w:lang w:val="en-US"/>
              </w:rPr>
            </w:pPr>
            <w:r w:rsidRPr="00BD295E">
              <w:rPr>
                <w:rFonts w:ascii="Arial" w:hAnsi="Arial" w:cs="Arial"/>
                <w:sz w:val="18"/>
                <w:szCs w:val="18"/>
                <w:lang w:val="en-US"/>
              </w:rPr>
              <w:t>Subject matter:</w:t>
            </w:r>
          </w:p>
          <w:p w14:paraId="26DACC89"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1.</w:t>
            </w:r>
            <w:r w:rsidRPr="00BD295E">
              <w:rPr>
                <w:rFonts w:ascii="Arial" w:hAnsi="Arial" w:cs="Arial"/>
                <w:sz w:val="18"/>
                <w:szCs w:val="18"/>
                <w:lang w:val="en-US"/>
              </w:rPr>
              <w:tab/>
              <w:t>The Contractor agrees, on the terms and conditions of the contract, to supply and perform work as part of installing 10 kV billing meters at the responsibility boundary, including organization of remote data collection, and the Agreement to supply equipment and materials listed in the Specification for Equipment and Materials, and the Customer agrees to accept the supplied equipment and materials and to pay for them the price provided for in the Agreement.</w:t>
            </w:r>
          </w:p>
          <w:p w14:paraId="32E56149"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2.</w:t>
            </w:r>
            <w:r w:rsidRPr="00BD295E">
              <w:rPr>
                <w:rFonts w:ascii="Arial" w:hAnsi="Arial" w:cs="Arial"/>
                <w:sz w:val="18"/>
                <w:szCs w:val="18"/>
                <w:lang w:val="en-US"/>
              </w:rPr>
              <w:tab/>
              <w:t>Addresses for the delivery of equipment and materials under the Agreement:</w:t>
            </w:r>
          </w:p>
          <w:p w14:paraId="24D20C3B"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 xml:space="preserve">- Gatchinskiye Power Grid, a branch of </w:t>
            </w:r>
            <w:r w:rsidR="00EE5753" w:rsidRPr="00BD295E">
              <w:rPr>
                <w:rFonts w:ascii="Arial" w:hAnsi="Arial" w:cs="Arial"/>
                <w:sz w:val="18"/>
                <w:szCs w:val="18"/>
                <w:lang w:val="en-US"/>
              </w:rPr>
              <w:t>PJSC “Lenenergo”</w:t>
            </w:r>
            <w:r w:rsidRPr="00BD295E">
              <w:rPr>
                <w:rFonts w:ascii="Arial" w:hAnsi="Arial" w:cs="Arial"/>
                <w:sz w:val="18"/>
                <w:szCs w:val="18"/>
                <w:lang w:val="en-US"/>
              </w:rPr>
              <w:t>, Tikhvin, Prigorodny, Lenenergo, 1;</w:t>
            </w:r>
          </w:p>
          <w:p w14:paraId="292BFDB0"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 xml:space="preserve">- Novoladozhskiye Power Grid, a branch of </w:t>
            </w:r>
            <w:r w:rsidR="00EE5753" w:rsidRPr="00BD295E">
              <w:rPr>
                <w:rFonts w:ascii="Arial" w:hAnsi="Arial" w:cs="Arial"/>
                <w:sz w:val="18"/>
                <w:szCs w:val="18"/>
                <w:lang w:val="en-US"/>
              </w:rPr>
              <w:t>PJSC “Lenenergo”</w:t>
            </w:r>
            <w:r w:rsidRPr="00BD295E">
              <w:rPr>
                <w:rFonts w:ascii="Arial" w:hAnsi="Arial" w:cs="Arial"/>
                <w:sz w:val="18"/>
                <w:szCs w:val="18"/>
                <w:lang w:val="en-US"/>
              </w:rPr>
              <w:t>, Novaya Ladoga, Sadovaya, 25;</w:t>
            </w:r>
          </w:p>
          <w:p w14:paraId="17B02301"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 xml:space="preserve">- Tikhvinskiye Power Grid, a branch of </w:t>
            </w:r>
            <w:r w:rsidR="00EE5753" w:rsidRPr="00BD295E">
              <w:rPr>
                <w:rFonts w:ascii="Arial" w:hAnsi="Arial" w:cs="Arial"/>
                <w:sz w:val="18"/>
                <w:szCs w:val="18"/>
                <w:lang w:val="en-US"/>
              </w:rPr>
              <w:t>PJSC “Lenenergo”</w:t>
            </w:r>
            <w:r w:rsidRPr="00BD295E">
              <w:rPr>
                <w:rFonts w:ascii="Arial" w:hAnsi="Arial" w:cs="Arial"/>
                <w:sz w:val="18"/>
                <w:szCs w:val="18"/>
                <w:lang w:val="en-US"/>
              </w:rPr>
              <w:t>, Tikhvin, Ulitov Ruchey, 1</w:t>
            </w:r>
          </w:p>
          <w:p w14:paraId="5B3B9D93"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 xml:space="preserve">- Prigorodniye Power Grid, a branch of </w:t>
            </w:r>
            <w:r w:rsidR="00EE5753" w:rsidRPr="00BD295E">
              <w:rPr>
                <w:rFonts w:ascii="Arial" w:hAnsi="Arial" w:cs="Arial"/>
                <w:sz w:val="18"/>
                <w:szCs w:val="18"/>
                <w:lang w:val="en-US"/>
              </w:rPr>
              <w:t>PJSC “Lenenergo”</w:t>
            </w:r>
            <w:r w:rsidRPr="00BD295E">
              <w:rPr>
                <w:rFonts w:ascii="Arial" w:hAnsi="Arial" w:cs="Arial"/>
                <w:sz w:val="18"/>
                <w:szCs w:val="18"/>
                <w:lang w:val="en-US"/>
              </w:rPr>
              <w:t>, Pushkin, Setevaya, 22;</w:t>
            </w:r>
          </w:p>
          <w:p w14:paraId="191903CB"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w:t>
            </w:r>
            <w:r w:rsidRPr="00BD295E">
              <w:rPr>
                <w:rFonts w:ascii="Arial" w:hAnsi="Arial" w:cs="Arial"/>
                <w:sz w:val="18"/>
                <w:szCs w:val="18"/>
                <w:lang w:val="en-US"/>
              </w:rPr>
              <w:tab/>
              <w:t xml:space="preserve">Kingiseppskiye Power Grid, a branch of </w:t>
            </w:r>
            <w:r w:rsidR="00EE5753" w:rsidRPr="00BD295E">
              <w:rPr>
                <w:rFonts w:ascii="Arial" w:hAnsi="Arial" w:cs="Arial"/>
                <w:sz w:val="18"/>
                <w:szCs w:val="18"/>
                <w:lang w:val="en-US"/>
              </w:rPr>
              <w:t>PJSC “Lenenergo”</w:t>
            </w:r>
            <w:r w:rsidRPr="00BD295E">
              <w:rPr>
                <w:rFonts w:ascii="Arial" w:hAnsi="Arial" w:cs="Arial"/>
                <w:sz w:val="18"/>
                <w:szCs w:val="18"/>
                <w:lang w:val="en-US"/>
              </w:rPr>
              <w:t>, Kingisepp, K. Marksa, 64;</w:t>
            </w:r>
          </w:p>
          <w:p w14:paraId="6FB35218"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w:t>
            </w:r>
            <w:r w:rsidRPr="00BD295E">
              <w:rPr>
                <w:rFonts w:ascii="Arial" w:hAnsi="Arial" w:cs="Arial"/>
                <w:sz w:val="18"/>
                <w:szCs w:val="18"/>
                <w:lang w:val="en-US"/>
              </w:rPr>
              <w:tab/>
              <w:t xml:space="preserve">Vyborgskiye Power Grid, a branch of </w:t>
            </w:r>
            <w:r w:rsidR="00EE5753" w:rsidRPr="00BD295E">
              <w:rPr>
                <w:rFonts w:ascii="Arial" w:hAnsi="Arial" w:cs="Arial"/>
                <w:sz w:val="18"/>
                <w:szCs w:val="18"/>
                <w:lang w:val="en-US"/>
              </w:rPr>
              <w:t>PJSC “Lenenergo”</w:t>
            </w:r>
            <w:r w:rsidRPr="00BD295E">
              <w:rPr>
                <w:rFonts w:ascii="Arial" w:hAnsi="Arial" w:cs="Arial"/>
                <w:sz w:val="18"/>
                <w:szCs w:val="18"/>
                <w:lang w:val="en-US"/>
              </w:rPr>
              <w:t>, Goncharovskoye Rural Community, village of Perovo, Zavodskaya, 1.</w:t>
            </w:r>
          </w:p>
          <w:p w14:paraId="4D614A45"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3.</w:t>
            </w:r>
            <w:r w:rsidRPr="00BD295E">
              <w:rPr>
                <w:rFonts w:ascii="Arial" w:hAnsi="Arial" w:cs="Arial"/>
                <w:sz w:val="18"/>
                <w:szCs w:val="18"/>
                <w:lang w:val="en-US"/>
              </w:rPr>
              <w:tab/>
              <w:t>Timelines for delivery of equipment and materials under the Agreement: to be delivered in line with the timetable.</w:t>
            </w:r>
          </w:p>
          <w:p w14:paraId="286B141B" w14:textId="77777777" w:rsidR="00D0333D" w:rsidRPr="00BD295E" w:rsidRDefault="00D0333D" w:rsidP="00BF328B">
            <w:pPr>
              <w:tabs>
                <w:tab w:val="left" w:pos="348"/>
              </w:tabs>
              <w:jc w:val="both"/>
              <w:rPr>
                <w:rFonts w:ascii="Arial" w:hAnsi="Arial" w:cs="Arial"/>
                <w:sz w:val="18"/>
                <w:szCs w:val="18"/>
                <w:lang w:val="en-US"/>
              </w:rPr>
            </w:pPr>
            <w:r w:rsidRPr="00BD295E">
              <w:rPr>
                <w:rFonts w:ascii="Arial" w:hAnsi="Arial" w:cs="Arial"/>
                <w:sz w:val="18"/>
                <w:szCs w:val="18"/>
                <w:lang w:val="en-US"/>
              </w:rPr>
              <w:t>4.</w:t>
            </w:r>
            <w:r w:rsidRPr="00BD295E">
              <w:rPr>
                <w:rFonts w:ascii="Arial" w:hAnsi="Arial" w:cs="Arial"/>
                <w:sz w:val="18"/>
                <w:szCs w:val="18"/>
                <w:lang w:val="en-US"/>
              </w:rPr>
              <w:tab/>
              <w:t>Cost of equipment and materials under the Agreement is sixteen million four hundred ninety-eight thousand two hundred fifty rubles 92 kopecks (RUB 16,498,250.92), including VAT of two million five hundred sixteen thousand six hundred eighty-two rubles 34 kopecks (RUB 2,516,682.34).</w:t>
            </w:r>
          </w:p>
          <w:p w14:paraId="2EEF1DE3" w14:textId="77777777" w:rsidR="00D0333D" w:rsidRPr="00BD295E" w:rsidRDefault="00D0333D" w:rsidP="00BF328B">
            <w:pPr>
              <w:jc w:val="both"/>
              <w:rPr>
                <w:rFonts w:ascii="Arial" w:hAnsi="Arial" w:cs="Arial"/>
                <w:sz w:val="18"/>
                <w:szCs w:val="18"/>
                <w:lang w:val="en-US"/>
              </w:rPr>
            </w:pPr>
            <w:r w:rsidRPr="00BD295E">
              <w:rPr>
                <w:rFonts w:ascii="Arial" w:hAnsi="Arial" w:cs="Arial"/>
                <w:sz w:val="18"/>
                <w:szCs w:val="18"/>
                <w:lang w:val="en-US"/>
              </w:rPr>
              <w:t>Price:</w:t>
            </w:r>
          </w:p>
          <w:p w14:paraId="265A4B48" w14:textId="77777777" w:rsidR="00D0333D" w:rsidRPr="00BD295E" w:rsidRDefault="00D0333D" w:rsidP="00BF328B">
            <w:pPr>
              <w:jc w:val="both"/>
              <w:rPr>
                <w:rFonts w:ascii="Arial" w:hAnsi="Arial" w:cs="Arial"/>
                <w:sz w:val="18"/>
                <w:szCs w:val="18"/>
                <w:lang w:val="en-US"/>
              </w:rPr>
            </w:pPr>
            <w:r w:rsidRPr="00BD295E">
              <w:rPr>
                <w:rFonts w:ascii="Arial" w:hAnsi="Arial" w:cs="Arial"/>
                <w:sz w:val="18"/>
                <w:szCs w:val="18"/>
                <w:lang w:val="en-US"/>
              </w:rPr>
              <w:t>Subject to the Agreement, the maximum price of the services under the Contract during the Contract’s term is two hundred seventy-seven million eight hundred thirty-eight thousand nine hundred twenty-nine rubles 60 kopecks (RUB 277,838,929.60), including all taxes and charges payable under Russian laws.</w:t>
            </w:r>
          </w:p>
          <w:p w14:paraId="7106DD5F" w14:textId="77777777" w:rsidR="00D0333D" w:rsidRPr="00BD295E" w:rsidRDefault="00D0333D" w:rsidP="00BF328B">
            <w:pPr>
              <w:jc w:val="both"/>
              <w:rPr>
                <w:rFonts w:ascii="Arial" w:hAnsi="Arial" w:cs="Arial"/>
                <w:sz w:val="18"/>
                <w:szCs w:val="18"/>
                <w:lang w:val="en-US"/>
              </w:rPr>
            </w:pPr>
            <w:r w:rsidRPr="00BD295E">
              <w:rPr>
                <w:rFonts w:ascii="Arial" w:hAnsi="Arial" w:cs="Arial"/>
                <w:sz w:val="18"/>
                <w:szCs w:val="18"/>
                <w:lang w:val="en-US"/>
              </w:rPr>
              <w:t>Other material terms and conditions:</w:t>
            </w:r>
          </w:p>
          <w:p w14:paraId="2F678C02" w14:textId="77777777" w:rsidR="00D0333D" w:rsidRPr="00BD295E" w:rsidRDefault="00D0333D" w:rsidP="00BF328B">
            <w:pPr>
              <w:jc w:val="both"/>
              <w:rPr>
                <w:rFonts w:ascii="Arial" w:hAnsi="Arial" w:cs="Arial"/>
                <w:sz w:val="18"/>
                <w:szCs w:val="18"/>
                <w:lang w:val="en-US"/>
              </w:rPr>
            </w:pPr>
            <w:r w:rsidRPr="00BD295E">
              <w:rPr>
                <w:rFonts w:ascii="Arial" w:hAnsi="Arial" w:cs="Arial"/>
                <w:sz w:val="18"/>
                <w:szCs w:val="18"/>
                <w:lang w:val="en-US"/>
              </w:rPr>
              <w:t>The Agreement becomes effective on the date of its signing and remains in effect until the Parties meet their obligations under the Agreement in full.</w:t>
            </w:r>
          </w:p>
        </w:tc>
        <w:tc>
          <w:tcPr>
            <w:tcW w:w="649" w:type="pct"/>
            <w:shd w:val="clear" w:color="auto" w:fill="auto"/>
          </w:tcPr>
          <w:p w14:paraId="3273045D" w14:textId="77777777" w:rsidR="00D0333D" w:rsidRPr="00BD295E" w:rsidRDefault="00BF106F" w:rsidP="00BF328B">
            <w:pPr>
              <w:jc w:val="both"/>
              <w:rPr>
                <w:rFonts w:ascii="Arial" w:hAnsi="Arial" w:cs="Arial"/>
                <w:sz w:val="18"/>
                <w:szCs w:val="18"/>
                <w:lang w:val="en-US"/>
              </w:rPr>
            </w:pPr>
            <w:r w:rsidRPr="00BD295E">
              <w:rPr>
                <w:rFonts w:ascii="Arial" w:hAnsi="Arial" w:cs="Arial"/>
                <w:sz w:val="18"/>
                <w:szCs w:val="18"/>
                <w:lang w:val="en-US"/>
              </w:rPr>
              <w:t>PJSC “Rosseti”</w:t>
            </w:r>
            <w:r w:rsidR="00D0333D" w:rsidRPr="00BD295E">
              <w:rPr>
                <w:rFonts w:ascii="Arial" w:hAnsi="Arial" w:cs="Arial"/>
                <w:sz w:val="18"/>
                <w:szCs w:val="18"/>
                <w:lang w:val="en-US"/>
              </w:rPr>
              <w:t xml:space="preserve"> (Controlling Person)</w:t>
            </w:r>
          </w:p>
          <w:p w14:paraId="017B433F" w14:textId="77777777" w:rsidR="00D0333D" w:rsidRPr="00BD295E" w:rsidRDefault="00D0333D" w:rsidP="00BF328B">
            <w:pPr>
              <w:jc w:val="both"/>
              <w:rPr>
                <w:rFonts w:ascii="Arial" w:hAnsi="Arial" w:cs="Arial"/>
                <w:sz w:val="18"/>
                <w:szCs w:val="18"/>
                <w:lang w:val="en-US"/>
              </w:rPr>
            </w:pPr>
          </w:p>
        </w:tc>
      </w:tr>
    </w:tbl>
    <w:p w14:paraId="6518154C" w14:textId="77777777" w:rsidR="00D0333D" w:rsidRPr="00BD295E" w:rsidRDefault="00D0333D" w:rsidP="00DF2E5E">
      <w:pPr>
        <w:ind w:firstLine="578"/>
        <w:jc w:val="center"/>
        <w:rPr>
          <w:rFonts w:ascii="Arial" w:hAnsi="Arial" w:cs="Arial"/>
          <w:sz w:val="18"/>
          <w:szCs w:val="18"/>
          <w:lang w:val="en-US"/>
        </w:rPr>
      </w:pPr>
    </w:p>
    <w:p w14:paraId="67F5FA78" w14:textId="77777777" w:rsidR="00DF2E5E" w:rsidRPr="00BD295E" w:rsidRDefault="00DF2E5E" w:rsidP="00DF2E5E">
      <w:pPr>
        <w:spacing w:after="120"/>
        <w:ind w:firstLine="576"/>
        <w:jc w:val="both"/>
        <w:rPr>
          <w:rFonts w:ascii="Arial" w:hAnsi="Arial" w:cs="Arial"/>
          <w:sz w:val="18"/>
          <w:szCs w:val="18"/>
          <w:lang w:val="en-US"/>
        </w:rPr>
      </w:pPr>
    </w:p>
    <w:p w14:paraId="6296C314" w14:textId="77777777" w:rsidR="00DF2E5E" w:rsidRPr="00BD295E" w:rsidRDefault="008A5057" w:rsidP="00DF2E5E">
      <w:pPr>
        <w:spacing w:after="120"/>
        <w:ind w:firstLine="576"/>
        <w:jc w:val="both"/>
        <w:rPr>
          <w:rFonts w:ascii="Arial" w:hAnsi="Arial" w:cs="Arial"/>
          <w:sz w:val="18"/>
          <w:szCs w:val="18"/>
          <w:lang w:val="en-US"/>
        </w:rPr>
      </w:pPr>
      <w:r w:rsidRPr="00BD295E">
        <w:rPr>
          <w:rFonts w:ascii="Arial" w:hAnsi="Arial" w:cs="Arial"/>
          <w:sz w:val="18"/>
          <w:szCs w:val="18"/>
          <w:lang w:val="en-US"/>
        </w:rPr>
        <w:t>There were no interested-party transactions worth 2% or more of the book value of the Company’s assets in 2018.</w:t>
      </w:r>
    </w:p>
    <w:p w14:paraId="4CC6CF46" w14:textId="77777777" w:rsidR="00940B48" w:rsidRPr="00BD295E" w:rsidRDefault="00940B48" w:rsidP="00DF2E5E">
      <w:pPr>
        <w:spacing w:after="120"/>
        <w:ind w:firstLine="576"/>
        <w:jc w:val="both"/>
        <w:rPr>
          <w:rFonts w:ascii="Arial" w:hAnsi="Arial" w:cs="Arial"/>
          <w:sz w:val="18"/>
          <w:szCs w:val="18"/>
          <w:lang w:val="en-US"/>
        </w:rPr>
      </w:pPr>
    </w:p>
    <w:p w14:paraId="020A97AF" w14:textId="77777777" w:rsidR="00940B48" w:rsidRPr="00BD295E" w:rsidRDefault="00940B48" w:rsidP="00DF2E5E">
      <w:pPr>
        <w:spacing w:after="120"/>
        <w:ind w:firstLine="576"/>
        <w:jc w:val="both"/>
        <w:rPr>
          <w:rFonts w:ascii="Arial" w:hAnsi="Arial" w:cs="Arial"/>
          <w:sz w:val="18"/>
          <w:szCs w:val="18"/>
          <w:lang w:val="en-US"/>
        </w:rPr>
      </w:pPr>
    </w:p>
    <w:p w14:paraId="6B69D396" w14:textId="77777777" w:rsidR="005C4056" w:rsidRPr="00BD295E" w:rsidRDefault="008A5057" w:rsidP="00D0333D">
      <w:pPr>
        <w:tabs>
          <w:tab w:val="left" w:pos="8364"/>
        </w:tabs>
        <w:spacing w:after="200" w:line="276" w:lineRule="auto"/>
        <w:rPr>
          <w:rFonts w:ascii="Arial" w:hAnsi="Arial" w:cs="Arial"/>
          <w:sz w:val="18"/>
          <w:szCs w:val="18"/>
          <w:lang w:val="en-US"/>
        </w:rPr>
      </w:pPr>
      <w:r w:rsidRPr="00BD295E">
        <w:rPr>
          <w:rFonts w:ascii="Arial" w:hAnsi="Arial" w:cs="Arial"/>
          <w:sz w:val="18"/>
          <w:szCs w:val="18"/>
          <w:lang w:val="en-US"/>
        </w:rPr>
        <w:t xml:space="preserve">CEO of </w:t>
      </w:r>
      <w:r w:rsidR="00EE5753" w:rsidRPr="00BD295E">
        <w:rPr>
          <w:rFonts w:ascii="Arial" w:hAnsi="Arial" w:cs="Arial"/>
          <w:sz w:val="18"/>
          <w:szCs w:val="18"/>
          <w:lang w:val="en-US"/>
        </w:rPr>
        <w:t>PJSC “Lenenergo”</w:t>
      </w:r>
      <w:r w:rsidR="00D0333D" w:rsidRPr="00BD295E">
        <w:rPr>
          <w:rFonts w:ascii="Arial" w:hAnsi="Arial" w:cs="Arial"/>
          <w:sz w:val="18"/>
          <w:szCs w:val="18"/>
          <w:lang w:val="en-US"/>
        </w:rPr>
        <w:tab/>
      </w:r>
      <w:r w:rsidRPr="00BD295E">
        <w:rPr>
          <w:rFonts w:ascii="Arial" w:hAnsi="Arial" w:cs="Arial"/>
          <w:sz w:val="18"/>
          <w:szCs w:val="18"/>
          <w:lang w:val="en-US"/>
        </w:rPr>
        <w:t>A.V. Ryumin</w:t>
      </w:r>
    </w:p>
    <w:p w14:paraId="55E7187B" w14:textId="77777777" w:rsidR="00940B48" w:rsidRPr="00BD295E" w:rsidRDefault="00940B48">
      <w:pPr>
        <w:spacing w:after="160" w:line="259" w:lineRule="auto"/>
        <w:rPr>
          <w:rFonts w:ascii="Arial" w:hAnsi="Arial" w:cs="Arial"/>
          <w:sz w:val="18"/>
          <w:szCs w:val="18"/>
          <w:lang w:val="en-US"/>
        </w:rPr>
      </w:pPr>
    </w:p>
    <w:p w14:paraId="1DA30253" w14:textId="77777777" w:rsidR="008E2021" w:rsidRPr="00BD295E" w:rsidRDefault="008E2021" w:rsidP="0062782B">
      <w:pPr>
        <w:spacing w:after="200" w:line="276" w:lineRule="auto"/>
        <w:contextualSpacing/>
        <w:rPr>
          <w:rFonts w:ascii="Arial" w:hAnsi="Arial" w:cs="Arial"/>
          <w:sz w:val="18"/>
          <w:szCs w:val="18"/>
          <w:lang w:val="en-US"/>
        </w:rPr>
        <w:sectPr w:rsidR="008E2021" w:rsidRPr="00BD295E" w:rsidSect="00D0333D">
          <w:footerReference w:type="default" r:id="rId161"/>
          <w:pgSz w:w="16838" w:h="11906" w:orient="landscape"/>
          <w:pgMar w:top="1701" w:right="1134" w:bottom="567" w:left="1134" w:header="708" w:footer="708" w:gutter="0"/>
          <w:cols w:space="708"/>
          <w:docGrid w:linePitch="360"/>
        </w:sectPr>
      </w:pPr>
    </w:p>
    <w:p w14:paraId="119CE340" w14:textId="39BF19DC" w:rsidR="004D2697" w:rsidRPr="00BD295E" w:rsidRDefault="008A5057" w:rsidP="006901B8">
      <w:pPr>
        <w:pStyle w:val="2"/>
        <w:numPr>
          <w:ilvl w:val="1"/>
          <w:numId w:val="146"/>
        </w:numPr>
        <w:rPr>
          <w:rFonts w:ascii="Arial" w:hAnsi="Arial" w:cs="Arial"/>
          <w:sz w:val="18"/>
          <w:szCs w:val="18"/>
          <w:lang w:val="en-US"/>
        </w:rPr>
      </w:pPr>
      <w:bookmarkStart w:id="606" w:name="_Toc509493666"/>
      <w:bookmarkStart w:id="607" w:name="_Toc509581234"/>
      <w:bookmarkStart w:id="608" w:name="_Toc509934206"/>
      <w:bookmarkStart w:id="609" w:name="_Toc510452199"/>
      <w:bookmarkStart w:id="610" w:name="_Toc510453065"/>
      <w:bookmarkStart w:id="611" w:name="_Toc510624081"/>
      <w:bookmarkStart w:id="612" w:name="_Toc511055129"/>
      <w:bookmarkStart w:id="613" w:name="_Toc511747485"/>
      <w:bookmarkStart w:id="614" w:name="_Toc5101339"/>
      <w:bookmarkStart w:id="615" w:name="_Toc5101718"/>
      <w:bookmarkStart w:id="616" w:name="_Toc5874614"/>
      <w:bookmarkStart w:id="617" w:name="_Toc95855312"/>
      <w:bookmarkStart w:id="618" w:name="_Toc95935371"/>
      <w:r w:rsidRPr="00BD295E">
        <w:rPr>
          <w:rFonts w:ascii="Arial" w:hAnsi="Arial" w:cs="Arial"/>
          <w:sz w:val="18"/>
          <w:szCs w:val="18"/>
          <w:lang w:val="en-US"/>
        </w:rPr>
        <w:t>Information on approved tariffs for electricity distribution for 2018–2019.</w:t>
      </w:r>
      <w:bookmarkEnd w:id="602"/>
      <w:bookmarkEnd w:id="606"/>
      <w:bookmarkEnd w:id="607"/>
      <w:bookmarkEnd w:id="608"/>
      <w:bookmarkEnd w:id="609"/>
      <w:bookmarkEnd w:id="610"/>
      <w:bookmarkEnd w:id="611"/>
      <w:bookmarkEnd w:id="612"/>
      <w:bookmarkEnd w:id="613"/>
      <w:bookmarkEnd w:id="614"/>
      <w:bookmarkEnd w:id="615"/>
      <w:bookmarkEnd w:id="616"/>
      <w:bookmarkEnd w:id="617"/>
      <w:bookmarkEnd w:id="618"/>
    </w:p>
    <w:p w14:paraId="4AC6D176" w14:textId="77777777" w:rsidR="00B97058" w:rsidRPr="00BD295E" w:rsidRDefault="00B97058" w:rsidP="005C1246">
      <w:pPr>
        <w:rPr>
          <w:rFonts w:ascii="Arial" w:hAnsi="Arial" w:cs="Arial"/>
          <w:b/>
          <w:sz w:val="18"/>
          <w:szCs w:val="18"/>
          <w:lang w:val="en-US"/>
        </w:rPr>
      </w:pPr>
    </w:p>
    <w:p w14:paraId="485E7315" w14:textId="77777777" w:rsidR="00B97058" w:rsidRPr="00BD295E" w:rsidRDefault="008A5057" w:rsidP="00B97058">
      <w:pPr>
        <w:rPr>
          <w:rFonts w:ascii="Arial" w:hAnsi="Arial" w:cs="Arial"/>
          <w:b/>
          <w:sz w:val="18"/>
          <w:szCs w:val="18"/>
          <w:lang w:val="en-US"/>
        </w:rPr>
      </w:pPr>
      <w:r w:rsidRPr="00BD295E">
        <w:rPr>
          <w:rFonts w:ascii="Arial" w:hAnsi="Arial" w:cs="Arial"/>
          <w:b/>
          <w:sz w:val="18"/>
          <w:szCs w:val="18"/>
          <w:lang w:val="en-US"/>
        </w:rPr>
        <w:t>Approved tariffs for electricity distribution for 2018</w:t>
      </w:r>
    </w:p>
    <w:p w14:paraId="6A71D6F3" w14:textId="77777777" w:rsidR="00B97058" w:rsidRPr="00BD295E" w:rsidRDefault="00B97058" w:rsidP="005C1246">
      <w:pPr>
        <w:rPr>
          <w:rFonts w:ascii="Arial" w:hAnsi="Arial" w:cs="Arial"/>
          <w:b/>
          <w:sz w:val="18"/>
          <w:szCs w:val="18"/>
          <w:lang w:val="en-US"/>
        </w:rPr>
      </w:pPr>
    </w:p>
    <w:p w14:paraId="2C501ED1" w14:textId="77777777" w:rsidR="00B97058" w:rsidRPr="00BD295E" w:rsidRDefault="008A5057" w:rsidP="00B97058">
      <w:pPr>
        <w:rPr>
          <w:rFonts w:ascii="Arial" w:hAnsi="Arial" w:cs="Arial"/>
          <w:b/>
          <w:sz w:val="18"/>
          <w:szCs w:val="18"/>
          <w:lang w:val="en-US"/>
        </w:rPr>
      </w:pPr>
      <w:r w:rsidRPr="00BD295E">
        <w:rPr>
          <w:rFonts w:ascii="Arial" w:hAnsi="Arial" w:cs="Arial"/>
          <w:b/>
          <w:sz w:val="18"/>
          <w:szCs w:val="18"/>
          <w:lang w:val="en-US"/>
        </w:rPr>
        <w:t xml:space="preserve">for Saint Petersburg: </w:t>
      </w:r>
    </w:p>
    <w:p w14:paraId="18BAF90B" w14:textId="77777777" w:rsidR="00B97058" w:rsidRPr="00BD295E" w:rsidRDefault="008A5057" w:rsidP="00CA2271">
      <w:pPr>
        <w:pStyle w:val="af3"/>
        <w:numPr>
          <w:ilvl w:val="0"/>
          <w:numId w:val="100"/>
        </w:numPr>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two-rate and one-rate </w:t>
      </w:r>
      <w:r w:rsidR="005D0F7E" w:rsidRPr="00BD295E">
        <w:rPr>
          <w:rFonts w:ascii="Arial" w:hAnsi="Arial" w:cs="Arial"/>
          <w:sz w:val="18"/>
          <w:szCs w:val="18"/>
          <w:lang w:val="en-US"/>
        </w:rPr>
        <w:t xml:space="preserve">pool </w:t>
      </w:r>
      <w:r w:rsidRPr="00BD295E">
        <w:rPr>
          <w:rFonts w:ascii="Arial" w:hAnsi="Arial" w:cs="Arial"/>
          <w:sz w:val="18"/>
          <w:szCs w:val="18"/>
          <w:lang w:val="en-US"/>
        </w:rPr>
        <w:t xml:space="preserve">tariffs with differentiation by voltage levels and with separate tariffs for households. Order No. 276-r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w:t>
      </w:r>
    </w:p>
    <w:p w14:paraId="57F0C88D"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From January 1, 2018 to June 30, 2018</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4111"/>
        <w:gridCol w:w="1606"/>
        <w:gridCol w:w="1606"/>
        <w:gridCol w:w="1607"/>
      </w:tblGrid>
      <w:tr w:rsidR="008A5057" w:rsidRPr="00BD295E" w14:paraId="54121768" w14:textId="77777777" w:rsidTr="00B97058">
        <w:trPr>
          <w:trHeight w:val="1550"/>
        </w:trPr>
        <w:tc>
          <w:tcPr>
            <w:tcW w:w="724" w:type="dxa"/>
            <w:shd w:val="clear" w:color="000000" w:fill="FFFFFF"/>
            <w:vAlign w:val="center"/>
            <w:hideMark/>
          </w:tcPr>
          <w:p w14:paraId="4B4AB3D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No.</w:t>
            </w:r>
          </w:p>
          <w:p w14:paraId="0BE25185"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vAlign w:val="center"/>
            <w:hideMark/>
          </w:tcPr>
          <w:p w14:paraId="045E0BF3"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Consumer group</w:t>
            </w:r>
          </w:p>
        </w:tc>
        <w:tc>
          <w:tcPr>
            <w:tcW w:w="1606" w:type="dxa"/>
            <w:shd w:val="clear" w:color="000000" w:fill="FFFFFF"/>
            <w:vAlign w:val="center"/>
            <w:hideMark/>
          </w:tcPr>
          <w:p w14:paraId="26FD1856"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 grid maintenance (RUB/MW per month)</w:t>
            </w:r>
          </w:p>
        </w:tc>
        <w:tc>
          <w:tcPr>
            <w:tcW w:w="1606" w:type="dxa"/>
            <w:shd w:val="clear" w:color="000000" w:fill="FFFFFF"/>
            <w:vAlign w:val="center"/>
          </w:tcPr>
          <w:p w14:paraId="569B516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electricity network losses (RUB/MWh)</w:t>
            </w:r>
          </w:p>
        </w:tc>
        <w:tc>
          <w:tcPr>
            <w:tcW w:w="1607" w:type="dxa"/>
            <w:shd w:val="clear" w:color="000000" w:fill="FFFFFF"/>
            <w:vAlign w:val="center"/>
            <w:hideMark/>
          </w:tcPr>
          <w:p w14:paraId="1F8F35DD"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One-rate tariff (RUB/MWh)</w:t>
            </w:r>
          </w:p>
        </w:tc>
      </w:tr>
      <w:tr w:rsidR="008A5057" w:rsidRPr="00BD295E" w14:paraId="032AE541" w14:textId="77777777" w:rsidTr="00B97058">
        <w:trPr>
          <w:trHeight w:val="139"/>
        </w:trPr>
        <w:tc>
          <w:tcPr>
            <w:tcW w:w="724" w:type="dxa"/>
            <w:shd w:val="clear" w:color="000000" w:fill="FFFFFF"/>
            <w:noWrap/>
            <w:hideMark/>
          </w:tcPr>
          <w:p w14:paraId="5518CC7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1.</w:t>
            </w:r>
          </w:p>
        </w:tc>
        <w:tc>
          <w:tcPr>
            <w:tcW w:w="4111" w:type="dxa"/>
            <w:shd w:val="clear" w:color="000000" w:fill="FFFFFF"/>
            <w:noWrap/>
            <w:hideMark/>
          </w:tcPr>
          <w:p w14:paraId="3369E434"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Other</w:t>
            </w:r>
          </w:p>
        </w:tc>
        <w:tc>
          <w:tcPr>
            <w:tcW w:w="1606" w:type="dxa"/>
            <w:shd w:val="clear" w:color="000000" w:fill="FFFFFF"/>
            <w:noWrap/>
            <w:vAlign w:val="bottom"/>
            <w:hideMark/>
          </w:tcPr>
          <w:p w14:paraId="00645DFC" w14:textId="77777777" w:rsidR="00B97058" w:rsidRPr="00BD295E" w:rsidRDefault="00B97058" w:rsidP="00B97058">
            <w:pPr>
              <w:jc w:val="center"/>
              <w:rPr>
                <w:rFonts w:ascii="Arial" w:hAnsi="Arial" w:cs="Arial"/>
                <w:bCs/>
                <w:sz w:val="18"/>
                <w:szCs w:val="18"/>
                <w:lang w:val="en-US"/>
              </w:rPr>
            </w:pPr>
          </w:p>
        </w:tc>
        <w:tc>
          <w:tcPr>
            <w:tcW w:w="1606" w:type="dxa"/>
            <w:shd w:val="clear" w:color="000000" w:fill="FFFFFF"/>
            <w:vAlign w:val="bottom"/>
          </w:tcPr>
          <w:p w14:paraId="25763DC7" w14:textId="77777777" w:rsidR="00B97058" w:rsidRPr="00BD295E" w:rsidRDefault="00B97058" w:rsidP="00B97058">
            <w:pPr>
              <w:jc w:val="center"/>
              <w:rPr>
                <w:rFonts w:ascii="Arial" w:hAnsi="Arial" w:cs="Arial"/>
                <w:bCs/>
                <w:sz w:val="18"/>
                <w:szCs w:val="18"/>
                <w:lang w:val="en-US"/>
              </w:rPr>
            </w:pPr>
          </w:p>
        </w:tc>
        <w:tc>
          <w:tcPr>
            <w:tcW w:w="1607" w:type="dxa"/>
            <w:shd w:val="clear" w:color="000000" w:fill="FFFFFF"/>
            <w:vAlign w:val="bottom"/>
          </w:tcPr>
          <w:p w14:paraId="442CBBBC" w14:textId="77777777" w:rsidR="00B97058" w:rsidRPr="00BD295E" w:rsidRDefault="00B97058" w:rsidP="00B97058">
            <w:pPr>
              <w:jc w:val="center"/>
              <w:rPr>
                <w:rFonts w:ascii="Arial" w:hAnsi="Arial" w:cs="Arial"/>
                <w:bCs/>
                <w:sz w:val="18"/>
                <w:szCs w:val="18"/>
                <w:lang w:val="en-US"/>
              </w:rPr>
            </w:pPr>
          </w:p>
        </w:tc>
      </w:tr>
      <w:tr w:rsidR="008A5057" w:rsidRPr="00BD295E" w14:paraId="28B5762C" w14:textId="77777777" w:rsidTr="00B97058">
        <w:trPr>
          <w:trHeight w:val="258"/>
        </w:trPr>
        <w:tc>
          <w:tcPr>
            <w:tcW w:w="724" w:type="dxa"/>
            <w:shd w:val="clear" w:color="000000" w:fill="FFFFFF"/>
            <w:noWrap/>
          </w:tcPr>
          <w:p w14:paraId="1FA9ACCE"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noWrap/>
            <w:hideMark/>
          </w:tcPr>
          <w:p w14:paraId="4B572B89"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HV</w:t>
            </w:r>
          </w:p>
        </w:tc>
        <w:tc>
          <w:tcPr>
            <w:tcW w:w="1606" w:type="dxa"/>
            <w:shd w:val="clear" w:color="auto" w:fill="auto"/>
            <w:vAlign w:val="center"/>
          </w:tcPr>
          <w:p w14:paraId="6A2E094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682,675.35</w:t>
            </w:r>
          </w:p>
        </w:tc>
        <w:tc>
          <w:tcPr>
            <w:tcW w:w="1606" w:type="dxa"/>
            <w:shd w:val="clear" w:color="auto" w:fill="auto"/>
            <w:vAlign w:val="center"/>
          </w:tcPr>
          <w:p w14:paraId="0327A35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52.99</w:t>
            </w:r>
          </w:p>
        </w:tc>
        <w:tc>
          <w:tcPr>
            <w:tcW w:w="1607" w:type="dxa"/>
            <w:shd w:val="clear" w:color="auto" w:fill="auto"/>
            <w:vAlign w:val="center"/>
          </w:tcPr>
          <w:p w14:paraId="22B22EA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1,205.53</w:t>
            </w:r>
          </w:p>
        </w:tc>
      </w:tr>
      <w:tr w:rsidR="008A5057" w:rsidRPr="00BD295E" w14:paraId="20E02446" w14:textId="77777777" w:rsidTr="00B97058">
        <w:trPr>
          <w:trHeight w:val="120"/>
        </w:trPr>
        <w:tc>
          <w:tcPr>
            <w:tcW w:w="724" w:type="dxa"/>
            <w:shd w:val="clear" w:color="000000" w:fill="FFFFFF"/>
            <w:noWrap/>
            <w:hideMark/>
          </w:tcPr>
          <w:p w14:paraId="54833FDD"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4A35DEDF"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MV-1</w:t>
            </w:r>
          </w:p>
        </w:tc>
        <w:tc>
          <w:tcPr>
            <w:tcW w:w="1606" w:type="dxa"/>
            <w:shd w:val="clear" w:color="auto" w:fill="auto"/>
            <w:vAlign w:val="center"/>
          </w:tcPr>
          <w:p w14:paraId="0FB3E5D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1,110,539.73</w:t>
            </w:r>
          </w:p>
        </w:tc>
        <w:tc>
          <w:tcPr>
            <w:tcW w:w="1606" w:type="dxa"/>
            <w:shd w:val="clear" w:color="auto" w:fill="auto"/>
            <w:vAlign w:val="center"/>
          </w:tcPr>
          <w:p w14:paraId="0384E78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110.06</w:t>
            </w:r>
          </w:p>
        </w:tc>
        <w:tc>
          <w:tcPr>
            <w:tcW w:w="1607" w:type="dxa"/>
            <w:shd w:val="clear" w:color="auto" w:fill="auto"/>
            <w:vAlign w:val="center"/>
          </w:tcPr>
          <w:p w14:paraId="1CB32D5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2,317.68</w:t>
            </w:r>
          </w:p>
        </w:tc>
      </w:tr>
      <w:tr w:rsidR="008A5057" w:rsidRPr="00BD295E" w14:paraId="0EC0ED46" w14:textId="77777777" w:rsidTr="00B97058">
        <w:trPr>
          <w:trHeight w:val="166"/>
        </w:trPr>
        <w:tc>
          <w:tcPr>
            <w:tcW w:w="724" w:type="dxa"/>
            <w:shd w:val="clear" w:color="000000" w:fill="FFFFFF"/>
            <w:noWrap/>
            <w:hideMark/>
          </w:tcPr>
          <w:p w14:paraId="51DC62F3"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0ECCF619"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MV-2</w:t>
            </w:r>
          </w:p>
        </w:tc>
        <w:tc>
          <w:tcPr>
            <w:tcW w:w="1606" w:type="dxa"/>
            <w:shd w:val="clear" w:color="auto" w:fill="auto"/>
            <w:vAlign w:val="center"/>
          </w:tcPr>
          <w:p w14:paraId="6809CD2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1,254,885.69</w:t>
            </w:r>
          </w:p>
        </w:tc>
        <w:tc>
          <w:tcPr>
            <w:tcW w:w="1606" w:type="dxa"/>
            <w:shd w:val="clear" w:color="auto" w:fill="auto"/>
            <w:vAlign w:val="center"/>
          </w:tcPr>
          <w:p w14:paraId="5B11757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268.81</w:t>
            </w:r>
          </w:p>
        </w:tc>
        <w:tc>
          <w:tcPr>
            <w:tcW w:w="1607" w:type="dxa"/>
            <w:shd w:val="clear" w:color="auto" w:fill="auto"/>
            <w:vAlign w:val="center"/>
          </w:tcPr>
          <w:p w14:paraId="47D3431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3,139.72</w:t>
            </w:r>
          </w:p>
        </w:tc>
      </w:tr>
      <w:tr w:rsidR="008A5057" w:rsidRPr="00BD295E" w14:paraId="398300FA" w14:textId="77777777" w:rsidTr="00B97058">
        <w:trPr>
          <w:trHeight w:val="183"/>
        </w:trPr>
        <w:tc>
          <w:tcPr>
            <w:tcW w:w="724" w:type="dxa"/>
            <w:shd w:val="clear" w:color="000000" w:fill="FFFFFF"/>
            <w:noWrap/>
            <w:hideMark/>
          </w:tcPr>
          <w:p w14:paraId="1A5B40D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39D34A9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LV</w:t>
            </w:r>
          </w:p>
        </w:tc>
        <w:tc>
          <w:tcPr>
            <w:tcW w:w="1606" w:type="dxa"/>
            <w:shd w:val="clear" w:color="auto" w:fill="auto"/>
            <w:vAlign w:val="center"/>
          </w:tcPr>
          <w:p w14:paraId="79E1CF4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1,093,460.09</w:t>
            </w:r>
          </w:p>
        </w:tc>
        <w:tc>
          <w:tcPr>
            <w:tcW w:w="1606" w:type="dxa"/>
            <w:shd w:val="clear" w:color="auto" w:fill="auto"/>
            <w:vAlign w:val="center"/>
          </w:tcPr>
          <w:p w14:paraId="66D9049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524.41</w:t>
            </w:r>
          </w:p>
        </w:tc>
        <w:tc>
          <w:tcPr>
            <w:tcW w:w="1607" w:type="dxa"/>
            <w:shd w:val="clear" w:color="auto" w:fill="auto"/>
            <w:vAlign w:val="center"/>
          </w:tcPr>
          <w:p w14:paraId="2E92318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3,433.08</w:t>
            </w:r>
          </w:p>
        </w:tc>
      </w:tr>
      <w:tr w:rsidR="008A5057" w:rsidRPr="00BD295E" w14:paraId="1A30376B" w14:textId="77777777" w:rsidTr="00B97058">
        <w:trPr>
          <w:trHeight w:val="414"/>
        </w:trPr>
        <w:tc>
          <w:tcPr>
            <w:tcW w:w="724" w:type="dxa"/>
            <w:shd w:val="clear" w:color="000000" w:fill="FFFFFF"/>
            <w:noWrap/>
            <w:hideMark/>
          </w:tcPr>
          <w:p w14:paraId="71C9571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2. </w:t>
            </w:r>
          </w:p>
        </w:tc>
        <w:tc>
          <w:tcPr>
            <w:tcW w:w="4111" w:type="dxa"/>
            <w:shd w:val="clear" w:color="000000" w:fill="FFFFFF"/>
            <w:noWrap/>
            <w:hideMark/>
          </w:tcPr>
          <w:p w14:paraId="541F69F2"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Households and equivalent consumers</w:t>
            </w:r>
          </w:p>
        </w:tc>
        <w:tc>
          <w:tcPr>
            <w:tcW w:w="1606" w:type="dxa"/>
            <w:shd w:val="clear" w:color="000000" w:fill="FFFFFF"/>
            <w:noWrap/>
            <w:vAlign w:val="bottom"/>
          </w:tcPr>
          <w:p w14:paraId="54303929" w14:textId="77777777" w:rsidR="00B97058" w:rsidRPr="00BD295E" w:rsidRDefault="00B97058" w:rsidP="00B97058">
            <w:pPr>
              <w:rPr>
                <w:rFonts w:ascii="Arial" w:hAnsi="Arial" w:cs="Arial"/>
                <w:sz w:val="18"/>
                <w:szCs w:val="18"/>
                <w:lang w:val="en-US"/>
              </w:rPr>
            </w:pPr>
          </w:p>
        </w:tc>
        <w:tc>
          <w:tcPr>
            <w:tcW w:w="1606" w:type="dxa"/>
            <w:shd w:val="clear" w:color="000000" w:fill="FFFFFF"/>
            <w:noWrap/>
            <w:vAlign w:val="bottom"/>
          </w:tcPr>
          <w:p w14:paraId="590DC856" w14:textId="77777777" w:rsidR="00B97058" w:rsidRPr="00BD295E" w:rsidRDefault="00B97058" w:rsidP="00B97058">
            <w:pPr>
              <w:rPr>
                <w:rFonts w:ascii="Arial" w:hAnsi="Arial" w:cs="Arial"/>
                <w:sz w:val="18"/>
                <w:szCs w:val="18"/>
                <w:lang w:val="en-US"/>
              </w:rPr>
            </w:pPr>
          </w:p>
        </w:tc>
        <w:tc>
          <w:tcPr>
            <w:tcW w:w="1607" w:type="dxa"/>
            <w:shd w:val="clear" w:color="000000" w:fill="FFFFFF"/>
            <w:noWrap/>
            <w:vAlign w:val="bottom"/>
          </w:tcPr>
          <w:p w14:paraId="00CB8169" w14:textId="77777777" w:rsidR="00B97058" w:rsidRPr="00BD295E" w:rsidRDefault="00B97058" w:rsidP="00B97058">
            <w:pPr>
              <w:rPr>
                <w:rFonts w:ascii="Arial" w:hAnsi="Arial" w:cs="Arial"/>
                <w:sz w:val="18"/>
                <w:szCs w:val="18"/>
                <w:lang w:val="en-US"/>
              </w:rPr>
            </w:pPr>
          </w:p>
        </w:tc>
      </w:tr>
      <w:tr w:rsidR="008A5057" w:rsidRPr="00BD295E" w14:paraId="2341431A" w14:textId="77777777" w:rsidTr="00B97058">
        <w:trPr>
          <w:trHeight w:val="336"/>
        </w:trPr>
        <w:tc>
          <w:tcPr>
            <w:tcW w:w="724" w:type="dxa"/>
            <w:shd w:val="clear" w:color="000000" w:fill="FFFFFF"/>
            <w:noWrap/>
            <w:hideMark/>
          </w:tcPr>
          <w:p w14:paraId="46CAC609"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2.1. </w:t>
            </w:r>
          </w:p>
        </w:tc>
        <w:tc>
          <w:tcPr>
            <w:tcW w:w="4111" w:type="dxa"/>
            <w:shd w:val="clear" w:color="000000" w:fill="FFFFFF"/>
            <w:hideMark/>
          </w:tcPr>
          <w:p w14:paraId="6C1C1528"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Households, except as specified in items 1.2 and 1.3</w:t>
            </w:r>
          </w:p>
        </w:tc>
        <w:tc>
          <w:tcPr>
            <w:tcW w:w="1606" w:type="dxa"/>
            <w:shd w:val="clear" w:color="000000" w:fill="FFFFFF"/>
            <w:noWrap/>
            <w:vAlign w:val="bottom"/>
          </w:tcPr>
          <w:p w14:paraId="0C648570" w14:textId="77777777" w:rsidR="00B97058" w:rsidRPr="00BD295E" w:rsidRDefault="00B97058" w:rsidP="00B97058">
            <w:pPr>
              <w:rPr>
                <w:rFonts w:ascii="Arial" w:hAnsi="Arial" w:cs="Arial"/>
                <w:sz w:val="18"/>
                <w:szCs w:val="18"/>
                <w:lang w:val="en-US"/>
              </w:rPr>
            </w:pPr>
          </w:p>
        </w:tc>
        <w:tc>
          <w:tcPr>
            <w:tcW w:w="1606" w:type="dxa"/>
            <w:shd w:val="clear" w:color="000000" w:fill="FFFFFF"/>
            <w:noWrap/>
            <w:vAlign w:val="bottom"/>
          </w:tcPr>
          <w:p w14:paraId="075FCE5E" w14:textId="77777777" w:rsidR="00B97058" w:rsidRPr="00BD295E" w:rsidRDefault="00B97058" w:rsidP="00B97058">
            <w:pPr>
              <w:rPr>
                <w:rFonts w:ascii="Arial" w:hAnsi="Arial" w:cs="Arial"/>
                <w:sz w:val="18"/>
                <w:szCs w:val="18"/>
                <w:lang w:val="en-US"/>
              </w:rPr>
            </w:pPr>
          </w:p>
        </w:tc>
        <w:tc>
          <w:tcPr>
            <w:tcW w:w="1607" w:type="dxa"/>
            <w:shd w:val="clear" w:color="auto" w:fill="auto"/>
            <w:vAlign w:val="center"/>
          </w:tcPr>
          <w:p w14:paraId="017C93D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1,850</w:t>
            </w:r>
          </w:p>
        </w:tc>
      </w:tr>
      <w:tr w:rsidR="008A5057" w:rsidRPr="00BD295E" w14:paraId="181C86CD" w14:textId="77777777" w:rsidTr="00B97058">
        <w:trPr>
          <w:trHeight w:val="1122"/>
        </w:trPr>
        <w:tc>
          <w:tcPr>
            <w:tcW w:w="724" w:type="dxa"/>
            <w:shd w:val="clear" w:color="000000" w:fill="FFFFFF"/>
            <w:noWrap/>
            <w:hideMark/>
          </w:tcPr>
          <w:p w14:paraId="19B810AB"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2.2.</w:t>
            </w:r>
          </w:p>
        </w:tc>
        <w:tc>
          <w:tcPr>
            <w:tcW w:w="4111" w:type="dxa"/>
            <w:shd w:val="clear" w:color="000000" w:fill="FFFFFF"/>
            <w:hideMark/>
          </w:tcPr>
          <w:p w14:paraId="4564356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xml:space="preserve">Population living in urban settlements in houses duly equipped with stationary electric stoves and/or electric heaters </w:t>
            </w:r>
          </w:p>
        </w:tc>
        <w:tc>
          <w:tcPr>
            <w:tcW w:w="1606" w:type="dxa"/>
            <w:shd w:val="clear" w:color="000000" w:fill="FFFFFF"/>
            <w:noWrap/>
            <w:vAlign w:val="bottom"/>
            <w:hideMark/>
          </w:tcPr>
          <w:p w14:paraId="3061278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1A36B200"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3F576DC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950</w:t>
            </w:r>
          </w:p>
        </w:tc>
      </w:tr>
      <w:tr w:rsidR="008A5057" w:rsidRPr="00BD295E" w14:paraId="344CBFA7" w14:textId="77777777" w:rsidTr="00B97058">
        <w:trPr>
          <w:trHeight w:val="393"/>
        </w:trPr>
        <w:tc>
          <w:tcPr>
            <w:tcW w:w="724" w:type="dxa"/>
            <w:shd w:val="clear" w:color="000000" w:fill="FFFFFF"/>
            <w:noWrap/>
            <w:hideMark/>
          </w:tcPr>
          <w:p w14:paraId="196C2FD5"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2.3.</w:t>
            </w:r>
          </w:p>
        </w:tc>
        <w:tc>
          <w:tcPr>
            <w:tcW w:w="4111" w:type="dxa"/>
            <w:shd w:val="clear" w:color="000000" w:fill="FFFFFF"/>
            <w:hideMark/>
          </w:tcPr>
          <w:p w14:paraId="6673AB2F"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Population living in rural areas</w:t>
            </w:r>
          </w:p>
        </w:tc>
        <w:tc>
          <w:tcPr>
            <w:tcW w:w="1606" w:type="dxa"/>
            <w:shd w:val="clear" w:color="000000" w:fill="FFFFFF"/>
            <w:noWrap/>
            <w:vAlign w:val="bottom"/>
            <w:hideMark/>
          </w:tcPr>
          <w:p w14:paraId="7E7B1BBD"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53E4108E"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6F5BEAD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517D5355" w14:textId="77777777" w:rsidTr="00B97058">
        <w:trPr>
          <w:trHeight w:val="599"/>
        </w:trPr>
        <w:tc>
          <w:tcPr>
            <w:tcW w:w="724" w:type="dxa"/>
            <w:shd w:val="clear" w:color="000000" w:fill="FFFFFF"/>
            <w:noWrap/>
            <w:hideMark/>
          </w:tcPr>
          <w:p w14:paraId="7F612E39"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w:t>
            </w:r>
          </w:p>
        </w:tc>
        <w:tc>
          <w:tcPr>
            <w:tcW w:w="4111" w:type="dxa"/>
            <w:shd w:val="clear" w:color="000000" w:fill="FFFFFF"/>
            <w:hideMark/>
          </w:tcPr>
          <w:p w14:paraId="4E3748A0"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Consumers equivalent to households, excluding those specified in item 71(1) of the Pricing Basics:</w:t>
            </w:r>
          </w:p>
        </w:tc>
        <w:tc>
          <w:tcPr>
            <w:tcW w:w="1606" w:type="dxa"/>
            <w:shd w:val="clear" w:color="000000" w:fill="FFFFFF"/>
            <w:noWrap/>
            <w:vAlign w:val="bottom"/>
            <w:hideMark/>
          </w:tcPr>
          <w:p w14:paraId="39EA0F2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6353E34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443A0D2" w14:textId="77777777" w:rsidR="00B97058" w:rsidRPr="00BD295E" w:rsidRDefault="00B97058" w:rsidP="00B97058">
            <w:pPr>
              <w:jc w:val="center"/>
              <w:rPr>
                <w:rFonts w:ascii="Arial" w:hAnsi="Arial" w:cs="Arial"/>
                <w:sz w:val="18"/>
                <w:szCs w:val="18"/>
                <w:lang w:val="en-US"/>
              </w:rPr>
            </w:pPr>
          </w:p>
        </w:tc>
      </w:tr>
      <w:tr w:rsidR="008A5057" w:rsidRPr="00BD295E" w14:paraId="0AA27DFD" w14:textId="77777777" w:rsidTr="00B97058">
        <w:trPr>
          <w:trHeight w:val="1659"/>
        </w:trPr>
        <w:tc>
          <w:tcPr>
            <w:tcW w:w="724" w:type="dxa"/>
            <w:shd w:val="clear" w:color="000000" w:fill="FFFFFF"/>
            <w:noWrap/>
            <w:hideMark/>
          </w:tcPr>
          <w:p w14:paraId="4FF2C2D0"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2.4.1.</w:t>
            </w:r>
          </w:p>
        </w:tc>
        <w:tc>
          <w:tcPr>
            <w:tcW w:w="4111" w:type="dxa"/>
            <w:shd w:val="clear" w:color="000000" w:fill="FFFFFF"/>
            <w:hideMark/>
          </w:tcPr>
          <w:p w14:paraId="2F2884B9"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Gardening, vegetable gardening or dacha non-profit associations of individuals – non-profit organizations established by individuals on a voluntary basis to assist its members in addressing common social and economic tasks related to gardening, vegetable gardening, and dacha farming</w:t>
            </w:r>
          </w:p>
        </w:tc>
        <w:tc>
          <w:tcPr>
            <w:tcW w:w="1606" w:type="dxa"/>
            <w:shd w:val="clear" w:color="000000" w:fill="FFFFFF"/>
            <w:noWrap/>
            <w:vAlign w:val="bottom"/>
            <w:hideMark/>
          </w:tcPr>
          <w:p w14:paraId="40787AE8"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690FFDF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58F6F03"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1,670</w:t>
            </w:r>
          </w:p>
        </w:tc>
      </w:tr>
      <w:tr w:rsidR="008A5057" w:rsidRPr="00BD295E" w14:paraId="4A940085" w14:textId="77777777" w:rsidTr="00B97058">
        <w:trPr>
          <w:trHeight w:val="1358"/>
        </w:trPr>
        <w:tc>
          <w:tcPr>
            <w:tcW w:w="724" w:type="dxa"/>
            <w:shd w:val="clear" w:color="000000" w:fill="FFFFFF"/>
            <w:noWrap/>
            <w:hideMark/>
          </w:tcPr>
          <w:p w14:paraId="16C819B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2.4.2.</w:t>
            </w:r>
          </w:p>
        </w:tc>
        <w:tc>
          <w:tcPr>
            <w:tcW w:w="4111" w:type="dxa"/>
            <w:shd w:val="clear" w:color="000000" w:fill="FFFFFF"/>
            <w:hideMark/>
          </w:tcPr>
          <w:p w14:paraId="158F7446"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Legal entities acquiring electricity (capacity) for consumption by persons serving a sentence of imprisonment in their living quarters, provided that separate electricity metering is available for such living quarters</w:t>
            </w:r>
          </w:p>
        </w:tc>
        <w:tc>
          <w:tcPr>
            <w:tcW w:w="1606" w:type="dxa"/>
            <w:shd w:val="clear" w:color="000000" w:fill="FFFFFF"/>
            <w:noWrap/>
            <w:vAlign w:val="bottom"/>
            <w:hideMark/>
          </w:tcPr>
          <w:p w14:paraId="3B6C5F6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479487D9"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82C67B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2,000</w:t>
            </w:r>
          </w:p>
        </w:tc>
      </w:tr>
      <w:tr w:rsidR="008A5057" w:rsidRPr="00BD295E" w14:paraId="1C995C84" w14:textId="77777777" w:rsidTr="00B97058">
        <w:trPr>
          <w:trHeight w:val="510"/>
        </w:trPr>
        <w:tc>
          <w:tcPr>
            <w:tcW w:w="724" w:type="dxa"/>
            <w:shd w:val="clear" w:color="000000" w:fill="FFFFFF"/>
            <w:noWrap/>
            <w:hideMark/>
          </w:tcPr>
          <w:p w14:paraId="2AE4BFC4"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2.4.3.</w:t>
            </w:r>
          </w:p>
        </w:tc>
        <w:tc>
          <w:tcPr>
            <w:tcW w:w="4111" w:type="dxa"/>
            <w:shd w:val="clear" w:color="000000" w:fill="FFFFFF"/>
            <w:hideMark/>
          </w:tcPr>
          <w:p w14:paraId="249D86B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Religious organizations financed by the congregation</w:t>
            </w:r>
          </w:p>
        </w:tc>
        <w:tc>
          <w:tcPr>
            <w:tcW w:w="1606" w:type="dxa"/>
            <w:shd w:val="clear" w:color="000000" w:fill="FFFFFF"/>
            <w:noWrap/>
            <w:vAlign w:val="bottom"/>
            <w:hideMark/>
          </w:tcPr>
          <w:p w14:paraId="4A44E88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50994DAC"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445960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1,860</w:t>
            </w:r>
          </w:p>
        </w:tc>
      </w:tr>
      <w:tr w:rsidR="008A5057" w:rsidRPr="00BD295E" w14:paraId="5BC4A599" w14:textId="77777777" w:rsidTr="00B97058">
        <w:trPr>
          <w:trHeight w:val="2820"/>
        </w:trPr>
        <w:tc>
          <w:tcPr>
            <w:tcW w:w="724" w:type="dxa"/>
            <w:shd w:val="clear" w:color="000000" w:fill="FFFFFF"/>
            <w:noWrap/>
            <w:hideMark/>
          </w:tcPr>
          <w:p w14:paraId="427F02D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2.4.4.</w:t>
            </w:r>
          </w:p>
        </w:tc>
        <w:tc>
          <w:tcPr>
            <w:tcW w:w="4111" w:type="dxa"/>
            <w:shd w:val="clear" w:color="000000" w:fill="FFFFFF"/>
            <w:hideMark/>
          </w:tcPr>
          <w:p w14:paraId="1D9D494D"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Associations of individuals purchasing electricity (capacity) for use in their own outbuildings (cellars, barns); non-profit associations of individuals (garage construction cooperatives, garage cooperatives), and individuals owning standalone garages who purchase electricity (capacity) for consumption for residential needs and not used for commercial activities.</w:t>
            </w:r>
          </w:p>
        </w:tc>
        <w:tc>
          <w:tcPr>
            <w:tcW w:w="1606" w:type="dxa"/>
            <w:shd w:val="clear" w:color="000000" w:fill="FFFFFF"/>
            <w:noWrap/>
            <w:vAlign w:val="bottom"/>
            <w:hideMark/>
          </w:tcPr>
          <w:p w14:paraId="3611DC3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663A5AF6"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67C06A8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1,830</w:t>
            </w:r>
          </w:p>
        </w:tc>
      </w:tr>
    </w:tbl>
    <w:p w14:paraId="2211BA85" w14:textId="77777777" w:rsidR="00B97058" w:rsidRPr="00BD295E" w:rsidRDefault="00B97058" w:rsidP="00B97058">
      <w:pPr>
        <w:rPr>
          <w:rFonts w:ascii="Arial" w:hAnsi="Arial" w:cs="Arial"/>
          <w:sz w:val="18"/>
          <w:szCs w:val="18"/>
          <w:lang w:val="en-US"/>
        </w:rPr>
      </w:pPr>
    </w:p>
    <w:p w14:paraId="1D2D554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From July 1, 2018 to December 31, 2018</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4111"/>
        <w:gridCol w:w="1606"/>
        <w:gridCol w:w="1606"/>
        <w:gridCol w:w="1607"/>
      </w:tblGrid>
      <w:tr w:rsidR="008A5057" w:rsidRPr="00BD295E" w14:paraId="2A8002B0" w14:textId="77777777" w:rsidTr="00B97058">
        <w:trPr>
          <w:trHeight w:val="1550"/>
        </w:trPr>
        <w:tc>
          <w:tcPr>
            <w:tcW w:w="724" w:type="dxa"/>
            <w:shd w:val="clear" w:color="000000" w:fill="FFFFFF"/>
            <w:vAlign w:val="center"/>
            <w:hideMark/>
          </w:tcPr>
          <w:p w14:paraId="6F2DAA9B"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No.</w:t>
            </w:r>
          </w:p>
          <w:p w14:paraId="45F6FB63"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vAlign w:val="center"/>
            <w:hideMark/>
          </w:tcPr>
          <w:p w14:paraId="2F16E134"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Consumer group</w:t>
            </w:r>
          </w:p>
        </w:tc>
        <w:tc>
          <w:tcPr>
            <w:tcW w:w="1606" w:type="dxa"/>
            <w:shd w:val="clear" w:color="000000" w:fill="FFFFFF"/>
            <w:vAlign w:val="center"/>
            <w:hideMark/>
          </w:tcPr>
          <w:p w14:paraId="1BCA525F"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 grid maintenance (RUB/MW per month)</w:t>
            </w:r>
          </w:p>
        </w:tc>
        <w:tc>
          <w:tcPr>
            <w:tcW w:w="1606" w:type="dxa"/>
            <w:shd w:val="clear" w:color="000000" w:fill="FFFFFF"/>
            <w:vAlign w:val="center"/>
          </w:tcPr>
          <w:p w14:paraId="3BC6CF1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electricity network losses (RUB/MWh)</w:t>
            </w:r>
          </w:p>
        </w:tc>
        <w:tc>
          <w:tcPr>
            <w:tcW w:w="1607" w:type="dxa"/>
            <w:shd w:val="clear" w:color="000000" w:fill="FFFFFF"/>
            <w:vAlign w:val="center"/>
            <w:hideMark/>
          </w:tcPr>
          <w:p w14:paraId="55048C1C"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One-rate tariff (RUB/MWh)</w:t>
            </w:r>
          </w:p>
        </w:tc>
      </w:tr>
      <w:tr w:rsidR="008A5057" w:rsidRPr="00BD295E" w14:paraId="553D5786" w14:textId="77777777" w:rsidTr="00B97058">
        <w:trPr>
          <w:trHeight w:val="139"/>
        </w:trPr>
        <w:tc>
          <w:tcPr>
            <w:tcW w:w="724" w:type="dxa"/>
            <w:shd w:val="clear" w:color="000000" w:fill="FFFFFF"/>
            <w:noWrap/>
            <w:hideMark/>
          </w:tcPr>
          <w:p w14:paraId="0BF3DEB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1.</w:t>
            </w:r>
          </w:p>
        </w:tc>
        <w:tc>
          <w:tcPr>
            <w:tcW w:w="4111" w:type="dxa"/>
            <w:shd w:val="clear" w:color="000000" w:fill="FFFFFF"/>
            <w:noWrap/>
            <w:hideMark/>
          </w:tcPr>
          <w:p w14:paraId="25B42F4F"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Other</w:t>
            </w:r>
          </w:p>
        </w:tc>
        <w:tc>
          <w:tcPr>
            <w:tcW w:w="1606" w:type="dxa"/>
            <w:shd w:val="clear" w:color="000000" w:fill="FFFFFF"/>
            <w:noWrap/>
            <w:vAlign w:val="bottom"/>
            <w:hideMark/>
          </w:tcPr>
          <w:p w14:paraId="0C87A3D9" w14:textId="77777777" w:rsidR="00B97058" w:rsidRPr="00BD295E" w:rsidRDefault="00B97058" w:rsidP="00B97058">
            <w:pPr>
              <w:jc w:val="center"/>
              <w:rPr>
                <w:rFonts w:ascii="Arial" w:hAnsi="Arial" w:cs="Arial"/>
                <w:bCs/>
                <w:sz w:val="18"/>
                <w:szCs w:val="18"/>
                <w:lang w:val="en-US"/>
              </w:rPr>
            </w:pPr>
          </w:p>
        </w:tc>
        <w:tc>
          <w:tcPr>
            <w:tcW w:w="1606" w:type="dxa"/>
            <w:shd w:val="clear" w:color="000000" w:fill="FFFFFF"/>
            <w:vAlign w:val="bottom"/>
          </w:tcPr>
          <w:p w14:paraId="4AA56D82" w14:textId="77777777" w:rsidR="00B97058" w:rsidRPr="00BD295E" w:rsidRDefault="00B97058" w:rsidP="00B97058">
            <w:pPr>
              <w:jc w:val="center"/>
              <w:rPr>
                <w:rFonts w:ascii="Arial" w:hAnsi="Arial" w:cs="Arial"/>
                <w:bCs/>
                <w:sz w:val="18"/>
                <w:szCs w:val="18"/>
                <w:lang w:val="en-US"/>
              </w:rPr>
            </w:pPr>
          </w:p>
        </w:tc>
        <w:tc>
          <w:tcPr>
            <w:tcW w:w="1607" w:type="dxa"/>
            <w:shd w:val="clear" w:color="000000" w:fill="FFFFFF"/>
            <w:vAlign w:val="bottom"/>
          </w:tcPr>
          <w:p w14:paraId="4766FE7A" w14:textId="77777777" w:rsidR="00B97058" w:rsidRPr="00BD295E" w:rsidRDefault="00B97058" w:rsidP="00B97058">
            <w:pPr>
              <w:jc w:val="center"/>
              <w:rPr>
                <w:rFonts w:ascii="Arial" w:hAnsi="Arial" w:cs="Arial"/>
                <w:bCs/>
                <w:sz w:val="18"/>
                <w:szCs w:val="18"/>
                <w:lang w:val="en-US"/>
              </w:rPr>
            </w:pPr>
          </w:p>
        </w:tc>
      </w:tr>
      <w:tr w:rsidR="008A5057" w:rsidRPr="00BD295E" w14:paraId="4D4EB5BE" w14:textId="77777777" w:rsidTr="00B97058">
        <w:trPr>
          <w:trHeight w:val="258"/>
        </w:trPr>
        <w:tc>
          <w:tcPr>
            <w:tcW w:w="724" w:type="dxa"/>
            <w:shd w:val="clear" w:color="000000" w:fill="FFFFFF"/>
            <w:noWrap/>
          </w:tcPr>
          <w:p w14:paraId="2D539B47"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noWrap/>
            <w:hideMark/>
          </w:tcPr>
          <w:p w14:paraId="7B78C656"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HV</w:t>
            </w:r>
          </w:p>
        </w:tc>
        <w:tc>
          <w:tcPr>
            <w:tcW w:w="1606" w:type="dxa"/>
            <w:shd w:val="clear" w:color="auto" w:fill="auto"/>
            <w:vAlign w:val="center"/>
          </w:tcPr>
          <w:p w14:paraId="635DBF63"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789,883.89</w:t>
            </w:r>
          </w:p>
        </w:tc>
        <w:tc>
          <w:tcPr>
            <w:tcW w:w="1606" w:type="dxa"/>
            <w:shd w:val="clear" w:color="auto" w:fill="auto"/>
            <w:vAlign w:val="center"/>
          </w:tcPr>
          <w:p w14:paraId="1E84136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59.72</w:t>
            </w:r>
          </w:p>
        </w:tc>
        <w:tc>
          <w:tcPr>
            <w:tcW w:w="1607" w:type="dxa"/>
            <w:shd w:val="clear" w:color="auto" w:fill="auto"/>
            <w:vAlign w:val="center"/>
          </w:tcPr>
          <w:p w14:paraId="4BE9397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1,277.86</w:t>
            </w:r>
          </w:p>
        </w:tc>
      </w:tr>
      <w:tr w:rsidR="008A5057" w:rsidRPr="00BD295E" w14:paraId="2A0D4A04" w14:textId="77777777" w:rsidTr="00B97058">
        <w:trPr>
          <w:trHeight w:val="120"/>
        </w:trPr>
        <w:tc>
          <w:tcPr>
            <w:tcW w:w="724" w:type="dxa"/>
            <w:shd w:val="clear" w:color="000000" w:fill="FFFFFF"/>
            <w:noWrap/>
            <w:hideMark/>
          </w:tcPr>
          <w:p w14:paraId="5F9F0B3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737F45D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MV-1</w:t>
            </w:r>
          </w:p>
        </w:tc>
        <w:tc>
          <w:tcPr>
            <w:tcW w:w="1606" w:type="dxa"/>
            <w:shd w:val="clear" w:color="auto" w:fill="auto"/>
            <w:vAlign w:val="center"/>
          </w:tcPr>
          <w:p w14:paraId="74A6BCF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1,255,569.59</w:t>
            </w:r>
          </w:p>
        </w:tc>
        <w:tc>
          <w:tcPr>
            <w:tcW w:w="1606" w:type="dxa"/>
            <w:shd w:val="clear" w:color="auto" w:fill="auto"/>
            <w:vAlign w:val="center"/>
          </w:tcPr>
          <w:p w14:paraId="3BAC3FC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125.73</w:t>
            </w:r>
          </w:p>
        </w:tc>
        <w:tc>
          <w:tcPr>
            <w:tcW w:w="1607" w:type="dxa"/>
            <w:shd w:val="clear" w:color="auto" w:fill="auto"/>
            <w:vAlign w:val="center"/>
          </w:tcPr>
          <w:p w14:paraId="5A16718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2,456.74</w:t>
            </w:r>
          </w:p>
        </w:tc>
      </w:tr>
      <w:tr w:rsidR="008A5057" w:rsidRPr="00BD295E" w14:paraId="3EE5E437" w14:textId="77777777" w:rsidTr="00B97058">
        <w:trPr>
          <w:trHeight w:val="166"/>
        </w:trPr>
        <w:tc>
          <w:tcPr>
            <w:tcW w:w="724" w:type="dxa"/>
            <w:shd w:val="clear" w:color="000000" w:fill="FFFFFF"/>
            <w:noWrap/>
            <w:hideMark/>
          </w:tcPr>
          <w:p w14:paraId="5ADD415C"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7521525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MV-2</w:t>
            </w:r>
          </w:p>
        </w:tc>
        <w:tc>
          <w:tcPr>
            <w:tcW w:w="1606" w:type="dxa"/>
            <w:shd w:val="clear" w:color="auto" w:fill="auto"/>
            <w:vAlign w:val="center"/>
          </w:tcPr>
          <w:p w14:paraId="1A5FDCD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1,342,633.46</w:t>
            </w:r>
          </w:p>
        </w:tc>
        <w:tc>
          <w:tcPr>
            <w:tcW w:w="1606" w:type="dxa"/>
            <w:shd w:val="clear" w:color="auto" w:fill="auto"/>
            <w:vAlign w:val="center"/>
          </w:tcPr>
          <w:p w14:paraId="6AA8283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302.91</w:t>
            </w:r>
          </w:p>
        </w:tc>
        <w:tc>
          <w:tcPr>
            <w:tcW w:w="1607" w:type="dxa"/>
            <w:shd w:val="clear" w:color="auto" w:fill="auto"/>
            <w:vAlign w:val="center"/>
          </w:tcPr>
          <w:p w14:paraId="501B35A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3,328.11</w:t>
            </w:r>
          </w:p>
        </w:tc>
      </w:tr>
      <w:tr w:rsidR="008A5057" w:rsidRPr="00BD295E" w14:paraId="03C1EF99" w14:textId="77777777" w:rsidTr="00B97058">
        <w:trPr>
          <w:trHeight w:val="183"/>
        </w:trPr>
        <w:tc>
          <w:tcPr>
            <w:tcW w:w="724" w:type="dxa"/>
            <w:shd w:val="clear" w:color="000000" w:fill="FFFFFF"/>
            <w:noWrap/>
            <w:hideMark/>
          </w:tcPr>
          <w:p w14:paraId="1470F3B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4C417B62"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LV</w:t>
            </w:r>
          </w:p>
        </w:tc>
        <w:tc>
          <w:tcPr>
            <w:tcW w:w="1606" w:type="dxa"/>
            <w:shd w:val="clear" w:color="auto" w:fill="auto"/>
            <w:vAlign w:val="center"/>
          </w:tcPr>
          <w:p w14:paraId="07272D4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1,207,613.10</w:t>
            </w:r>
          </w:p>
        </w:tc>
        <w:tc>
          <w:tcPr>
            <w:tcW w:w="1606" w:type="dxa"/>
            <w:shd w:val="clear" w:color="auto" w:fill="auto"/>
            <w:vAlign w:val="center"/>
          </w:tcPr>
          <w:p w14:paraId="0500CBF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591.11</w:t>
            </w:r>
          </w:p>
        </w:tc>
        <w:tc>
          <w:tcPr>
            <w:tcW w:w="1607" w:type="dxa"/>
            <w:shd w:val="clear" w:color="auto" w:fill="auto"/>
            <w:vAlign w:val="center"/>
          </w:tcPr>
          <w:p w14:paraId="0A9EA8E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3,639.06</w:t>
            </w:r>
          </w:p>
        </w:tc>
      </w:tr>
      <w:tr w:rsidR="008A5057" w:rsidRPr="00BD295E" w14:paraId="0177D8E4" w14:textId="77777777" w:rsidTr="00B97058">
        <w:trPr>
          <w:trHeight w:val="414"/>
        </w:trPr>
        <w:tc>
          <w:tcPr>
            <w:tcW w:w="724" w:type="dxa"/>
            <w:shd w:val="clear" w:color="000000" w:fill="FFFFFF"/>
            <w:noWrap/>
            <w:hideMark/>
          </w:tcPr>
          <w:p w14:paraId="42117FF9"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2. </w:t>
            </w:r>
          </w:p>
        </w:tc>
        <w:tc>
          <w:tcPr>
            <w:tcW w:w="4111" w:type="dxa"/>
            <w:shd w:val="clear" w:color="000000" w:fill="FFFFFF"/>
            <w:noWrap/>
            <w:hideMark/>
          </w:tcPr>
          <w:p w14:paraId="3467408F"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Households and equivalent consumers</w:t>
            </w:r>
          </w:p>
        </w:tc>
        <w:tc>
          <w:tcPr>
            <w:tcW w:w="1606" w:type="dxa"/>
            <w:shd w:val="clear" w:color="000000" w:fill="FFFFFF"/>
            <w:noWrap/>
            <w:vAlign w:val="bottom"/>
          </w:tcPr>
          <w:p w14:paraId="78248443" w14:textId="77777777" w:rsidR="00B97058" w:rsidRPr="00BD295E" w:rsidRDefault="00B97058" w:rsidP="00B97058">
            <w:pPr>
              <w:rPr>
                <w:rFonts w:ascii="Arial" w:hAnsi="Arial" w:cs="Arial"/>
                <w:sz w:val="18"/>
                <w:szCs w:val="18"/>
                <w:lang w:val="en-US"/>
              </w:rPr>
            </w:pPr>
          </w:p>
        </w:tc>
        <w:tc>
          <w:tcPr>
            <w:tcW w:w="1606" w:type="dxa"/>
            <w:shd w:val="clear" w:color="000000" w:fill="FFFFFF"/>
            <w:noWrap/>
            <w:vAlign w:val="bottom"/>
          </w:tcPr>
          <w:p w14:paraId="2BF30822" w14:textId="77777777" w:rsidR="00B97058" w:rsidRPr="00BD295E" w:rsidRDefault="00B97058" w:rsidP="00B97058">
            <w:pPr>
              <w:rPr>
                <w:rFonts w:ascii="Arial" w:hAnsi="Arial" w:cs="Arial"/>
                <w:sz w:val="18"/>
                <w:szCs w:val="18"/>
                <w:lang w:val="en-US"/>
              </w:rPr>
            </w:pPr>
          </w:p>
        </w:tc>
        <w:tc>
          <w:tcPr>
            <w:tcW w:w="1607" w:type="dxa"/>
            <w:shd w:val="clear" w:color="000000" w:fill="FFFFFF"/>
            <w:noWrap/>
            <w:vAlign w:val="bottom"/>
          </w:tcPr>
          <w:p w14:paraId="258BDBB1" w14:textId="77777777" w:rsidR="00B97058" w:rsidRPr="00BD295E" w:rsidRDefault="00B97058" w:rsidP="00B97058">
            <w:pPr>
              <w:rPr>
                <w:rFonts w:ascii="Arial" w:hAnsi="Arial" w:cs="Arial"/>
                <w:sz w:val="18"/>
                <w:szCs w:val="18"/>
                <w:lang w:val="en-US"/>
              </w:rPr>
            </w:pPr>
          </w:p>
        </w:tc>
      </w:tr>
      <w:tr w:rsidR="008A5057" w:rsidRPr="00BD295E" w14:paraId="615FF41D" w14:textId="77777777" w:rsidTr="00B97058">
        <w:trPr>
          <w:trHeight w:val="336"/>
        </w:trPr>
        <w:tc>
          <w:tcPr>
            <w:tcW w:w="724" w:type="dxa"/>
            <w:shd w:val="clear" w:color="000000" w:fill="FFFFFF"/>
            <w:noWrap/>
            <w:hideMark/>
          </w:tcPr>
          <w:p w14:paraId="6DC8502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2.1. </w:t>
            </w:r>
          </w:p>
        </w:tc>
        <w:tc>
          <w:tcPr>
            <w:tcW w:w="4111" w:type="dxa"/>
            <w:shd w:val="clear" w:color="000000" w:fill="FFFFFF"/>
            <w:hideMark/>
          </w:tcPr>
          <w:p w14:paraId="38B80A9D"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Households, except as specified in items 1.2 and 1.3</w:t>
            </w:r>
          </w:p>
        </w:tc>
        <w:tc>
          <w:tcPr>
            <w:tcW w:w="1606" w:type="dxa"/>
            <w:shd w:val="clear" w:color="000000" w:fill="FFFFFF"/>
            <w:noWrap/>
            <w:vAlign w:val="bottom"/>
          </w:tcPr>
          <w:p w14:paraId="077C06A0" w14:textId="77777777" w:rsidR="00B97058" w:rsidRPr="00BD295E" w:rsidRDefault="00B97058" w:rsidP="00B97058">
            <w:pPr>
              <w:rPr>
                <w:rFonts w:ascii="Arial" w:hAnsi="Arial" w:cs="Arial"/>
                <w:sz w:val="18"/>
                <w:szCs w:val="18"/>
                <w:lang w:val="en-US"/>
              </w:rPr>
            </w:pPr>
          </w:p>
        </w:tc>
        <w:tc>
          <w:tcPr>
            <w:tcW w:w="1606" w:type="dxa"/>
            <w:shd w:val="clear" w:color="000000" w:fill="FFFFFF"/>
            <w:noWrap/>
            <w:vAlign w:val="bottom"/>
          </w:tcPr>
          <w:p w14:paraId="3C16D695" w14:textId="77777777" w:rsidR="00B97058" w:rsidRPr="00BD295E" w:rsidRDefault="00B97058" w:rsidP="00B97058">
            <w:pPr>
              <w:rPr>
                <w:rFonts w:ascii="Arial" w:hAnsi="Arial" w:cs="Arial"/>
                <w:sz w:val="18"/>
                <w:szCs w:val="18"/>
                <w:lang w:val="en-US"/>
              </w:rPr>
            </w:pPr>
          </w:p>
        </w:tc>
        <w:tc>
          <w:tcPr>
            <w:tcW w:w="1607" w:type="dxa"/>
            <w:shd w:val="clear" w:color="auto" w:fill="auto"/>
            <w:vAlign w:val="center"/>
          </w:tcPr>
          <w:p w14:paraId="5332DD4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2,010</w:t>
            </w:r>
          </w:p>
        </w:tc>
      </w:tr>
      <w:tr w:rsidR="008A5057" w:rsidRPr="00BD295E" w14:paraId="1FEEABD3" w14:textId="77777777" w:rsidTr="00B97058">
        <w:trPr>
          <w:trHeight w:val="1122"/>
        </w:trPr>
        <w:tc>
          <w:tcPr>
            <w:tcW w:w="724" w:type="dxa"/>
            <w:shd w:val="clear" w:color="000000" w:fill="FFFFFF"/>
            <w:noWrap/>
            <w:hideMark/>
          </w:tcPr>
          <w:p w14:paraId="3924D806"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2.2.</w:t>
            </w:r>
          </w:p>
        </w:tc>
        <w:tc>
          <w:tcPr>
            <w:tcW w:w="4111" w:type="dxa"/>
            <w:shd w:val="clear" w:color="000000" w:fill="FFFFFF"/>
            <w:hideMark/>
          </w:tcPr>
          <w:p w14:paraId="55802FB3"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xml:space="preserve">Population living in urban settlements in houses duly equipped with stationary electric stoves and/or electric heaters </w:t>
            </w:r>
          </w:p>
        </w:tc>
        <w:tc>
          <w:tcPr>
            <w:tcW w:w="1606" w:type="dxa"/>
            <w:shd w:val="clear" w:color="000000" w:fill="FFFFFF"/>
            <w:noWrap/>
            <w:vAlign w:val="bottom"/>
            <w:hideMark/>
          </w:tcPr>
          <w:p w14:paraId="31B2D7D8"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350F4FF0"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77A753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1,060</w:t>
            </w:r>
          </w:p>
        </w:tc>
      </w:tr>
      <w:tr w:rsidR="008A5057" w:rsidRPr="00BD295E" w14:paraId="6861D618" w14:textId="77777777" w:rsidTr="00B97058">
        <w:trPr>
          <w:trHeight w:val="393"/>
        </w:trPr>
        <w:tc>
          <w:tcPr>
            <w:tcW w:w="724" w:type="dxa"/>
            <w:shd w:val="clear" w:color="000000" w:fill="FFFFFF"/>
            <w:noWrap/>
            <w:hideMark/>
          </w:tcPr>
          <w:p w14:paraId="22427B05"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2.3.</w:t>
            </w:r>
          </w:p>
        </w:tc>
        <w:tc>
          <w:tcPr>
            <w:tcW w:w="4111" w:type="dxa"/>
            <w:shd w:val="clear" w:color="000000" w:fill="FFFFFF"/>
            <w:hideMark/>
          </w:tcPr>
          <w:p w14:paraId="6B763F96"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Population living in rural areas</w:t>
            </w:r>
          </w:p>
        </w:tc>
        <w:tc>
          <w:tcPr>
            <w:tcW w:w="1606" w:type="dxa"/>
            <w:shd w:val="clear" w:color="000000" w:fill="FFFFFF"/>
            <w:noWrap/>
            <w:vAlign w:val="bottom"/>
            <w:hideMark/>
          </w:tcPr>
          <w:p w14:paraId="3272565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6767941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0BA8DE3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03F663CD" w14:textId="77777777" w:rsidTr="00B97058">
        <w:trPr>
          <w:trHeight w:val="599"/>
        </w:trPr>
        <w:tc>
          <w:tcPr>
            <w:tcW w:w="724" w:type="dxa"/>
            <w:shd w:val="clear" w:color="000000" w:fill="FFFFFF"/>
            <w:noWrap/>
            <w:hideMark/>
          </w:tcPr>
          <w:p w14:paraId="0C5F4910"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w:t>
            </w:r>
          </w:p>
        </w:tc>
        <w:tc>
          <w:tcPr>
            <w:tcW w:w="4111" w:type="dxa"/>
            <w:shd w:val="clear" w:color="000000" w:fill="FFFFFF"/>
            <w:hideMark/>
          </w:tcPr>
          <w:p w14:paraId="3E82A55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Consumers equivalent to households, excluding those specified in item 71(1) of the Pricing Basics:</w:t>
            </w:r>
          </w:p>
        </w:tc>
        <w:tc>
          <w:tcPr>
            <w:tcW w:w="1606" w:type="dxa"/>
            <w:shd w:val="clear" w:color="000000" w:fill="FFFFFF"/>
            <w:noWrap/>
            <w:vAlign w:val="bottom"/>
            <w:hideMark/>
          </w:tcPr>
          <w:p w14:paraId="350D8266"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625058B2"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3F67961B" w14:textId="77777777" w:rsidR="00B97058" w:rsidRPr="00BD295E" w:rsidRDefault="00B97058" w:rsidP="00B97058">
            <w:pPr>
              <w:jc w:val="center"/>
              <w:rPr>
                <w:rFonts w:ascii="Arial" w:hAnsi="Arial" w:cs="Arial"/>
                <w:sz w:val="18"/>
                <w:szCs w:val="18"/>
                <w:lang w:val="en-US"/>
              </w:rPr>
            </w:pPr>
          </w:p>
        </w:tc>
      </w:tr>
      <w:tr w:rsidR="008A5057" w:rsidRPr="00BD295E" w14:paraId="434123C4" w14:textId="77777777" w:rsidTr="00B97058">
        <w:trPr>
          <w:trHeight w:val="1659"/>
        </w:trPr>
        <w:tc>
          <w:tcPr>
            <w:tcW w:w="724" w:type="dxa"/>
            <w:shd w:val="clear" w:color="000000" w:fill="FFFFFF"/>
            <w:noWrap/>
            <w:hideMark/>
          </w:tcPr>
          <w:p w14:paraId="1E5F68B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2.4.1.</w:t>
            </w:r>
          </w:p>
        </w:tc>
        <w:tc>
          <w:tcPr>
            <w:tcW w:w="4111" w:type="dxa"/>
            <w:shd w:val="clear" w:color="000000" w:fill="FFFFFF"/>
            <w:hideMark/>
          </w:tcPr>
          <w:p w14:paraId="4D412BFE"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Gardening, vegetable gardening or dacha non-profit associations of individuals – non-profit organizations established by individuals on a voluntary basis to assist its members in addressing common social and economic tasks related to gardening, vegetable gardening, and dacha farming</w:t>
            </w:r>
          </w:p>
        </w:tc>
        <w:tc>
          <w:tcPr>
            <w:tcW w:w="1606" w:type="dxa"/>
            <w:shd w:val="clear" w:color="000000" w:fill="FFFFFF"/>
            <w:noWrap/>
            <w:vAlign w:val="bottom"/>
            <w:hideMark/>
          </w:tcPr>
          <w:p w14:paraId="58417E3F"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639521F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6B44A37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1,810</w:t>
            </w:r>
          </w:p>
        </w:tc>
      </w:tr>
      <w:tr w:rsidR="008A5057" w:rsidRPr="00BD295E" w14:paraId="576DF1CF" w14:textId="77777777" w:rsidTr="00B97058">
        <w:trPr>
          <w:trHeight w:val="1358"/>
        </w:trPr>
        <w:tc>
          <w:tcPr>
            <w:tcW w:w="724" w:type="dxa"/>
            <w:shd w:val="clear" w:color="000000" w:fill="FFFFFF"/>
            <w:noWrap/>
            <w:hideMark/>
          </w:tcPr>
          <w:p w14:paraId="3505EDF2"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2.4.2.</w:t>
            </w:r>
          </w:p>
        </w:tc>
        <w:tc>
          <w:tcPr>
            <w:tcW w:w="4111" w:type="dxa"/>
            <w:shd w:val="clear" w:color="000000" w:fill="FFFFFF"/>
            <w:hideMark/>
          </w:tcPr>
          <w:p w14:paraId="3F862B4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Legal entities acquiring electricity (capacity) for consumption by persons serving a sentence of imprisonment in their living quarters, provided that separate electricity metering is available for such living quarters</w:t>
            </w:r>
          </w:p>
        </w:tc>
        <w:tc>
          <w:tcPr>
            <w:tcW w:w="1606" w:type="dxa"/>
            <w:shd w:val="clear" w:color="000000" w:fill="FFFFFF"/>
            <w:noWrap/>
            <w:vAlign w:val="bottom"/>
            <w:hideMark/>
          </w:tcPr>
          <w:p w14:paraId="19378F93"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038BBE2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30A265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2,140</w:t>
            </w:r>
          </w:p>
        </w:tc>
      </w:tr>
      <w:tr w:rsidR="008A5057" w:rsidRPr="00BD295E" w14:paraId="5C90C121" w14:textId="77777777" w:rsidTr="00B97058">
        <w:trPr>
          <w:trHeight w:val="510"/>
        </w:trPr>
        <w:tc>
          <w:tcPr>
            <w:tcW w:w="724" w:type="dxa"/>
            <w:shd w:val="clear" w:color="000000" w:fill="FFFFFF"/>
            <w:noWrap/>
            <w:hideMark/>
          </w:tcPr>
          <w:p w14:paraId="2FE264FF"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2.4.3.</w:t>
            </w:r>
          </w:p>
        </w:tc>
        <w:tc>
          <w:tcPr>
            <w:tcW w:w="4111" w:type="dxa"/>
            <w:shd w:val="clear" w:color="000000" w:fill="FFFFFF"/>
            <w:hideMark/>
          </w:tcPr>
          <w:p w14:paraId="1B49597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Religious organizations financed by the congregation</w:t>
            </w:r>
          </w:p>
        </w:tc>
        <w:tc>
          <w:tcPr>
            <w:tcW w:w="1606" w:type="dxa"/>
            <w:shd w:val="clear" w:color="000000" w:fill="FFFFFF"/>
            <w:noWrap/>
            <w:vAlign w:val="bottom"/>
            <w:hideMark/>
          </w:tcPr>
          <w:p w14:paraId="67F9E100"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7839B4B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58D7742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2,020</w:t>
            </w:r>
          </w:p>
        </w:tc>
      </w:tr>
      <w:tr w:rsidR="008A5057" w:rsidRPr="00BD295E" w14:paraId="0F28D300" w14:textId="77777777" w:rsidTr="00B97058">
        <w:trPr>
          <w:trHeight w:val="2820"/>
        </w:trPr>
        <w:tc>
          <w:tcPr>
            <w:tcW w:w="724" w:type="dxa"/>
            <w:shd w:val="clear" w:color="000000" w:fill="FFFFFF"/>
            <w:noWrap/>
            <w:hideMark/>
          </w:tcPr>
          <w:p w14:paraId="384E0693"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2.4.4.</w:t>
            </w:r>
          </w:p>
        </w:tc>
        <w:tc>
          <w:tcPr>
            <w:tcW w:w="4111" w:type="dxa"/>
            <w:shd w:val="clear" w:color="000000" w:fill="FFFFFF"/>
            <w:hideMark/>
          </w:tcPr>
          <w:p w14:paraId="245F0B59"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Associations of individuals purchasing electricity (capacity) for use in their own outbuildings (cellars, barns); non-profit associations of individuals (garage construction cooperatives, garage cooperatives), and individuals owning standalone garages who purchase electricity (capacity) for consumption for residential needs and not used for commercial activities.</w:t>
            </w:r>
          </w:p>
        </w:tc>
        <w:tc>
          <w:tcPr>
            <w:tcW w:w="1606" w:type="dxa"/>
            <w:shd w:val="clear" w:color="000000" w:fill="FFFFFF"/>
            <w:noWrap/>
            <w:vAlign w:val="bottom"/>
            <w:hideMark/>
          </w:tcPr>
          <w:p w14:paraId="6D4315E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41ACC83D"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1C8AAD5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2,000</w:t>
            </w:r>
          </w:p>
        </w:tc>
      </w:tr>
    </w:tbl>
    <w:p w14:paraId="2C336C29" w14:textId="77777777" w:rsidR="00B97058" w:rsidRPr="00BD295E" w:rsidRDefault="00B97058" w:rsidP="00B97058">
      <w:pPr>
        <w:rPr>
          <w:rFonts w:ascii="Arial" w:hAnsi="Arial" w:cs="Arial"/>
          <w:sz w:val="18"/>
          <w:szCs w:val="18"/>
          <w:lang w:val="en-US"/>
        </w:rPr>
      </w:pPr>
    </w:p>
    <w:p w14:paraId="4BC92D79" w14:textId="77777777" w:rsidR="00B97058" w:rsidRPr="00BD295E" w:rsidRDefault="008A5057" w:rsidP="00CA2271">
      <w:pPr>
        <w:pStyle w:val="af3"/>
        <w:numPr>
          <w:ilvl w:val="0"/>
          <w:numId w:val="100"/>
        </w:numPr>
        <w:tabs>
          <w:tab w:val="left" w:pos="709"/>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Individual two-rate tariffs used for settlements between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allied grid organizations (for electricity distribution services provided via their grids) without differentiation by voltage level. Order No. 276-r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w:t>
      </w:r>
    </w:p>
    <w:p w14:paraId="7FE246DB" w14:textId="77777777" w:rsidR="00B97058" w:rsidRPr="00BD295E" w:rsidRDefault="00B97058" w:rsidP="00B97058">
      <w:pPr>
        <w:pStyle w:val="af3"/>
        <w:tabs>
          <w:tab w:val="left" w:pos="709"/>
        </w:tabs>
        <w:ind w:left="0"/>
        <w:jc w:val="both"/>
        <w:rPr>
          <w:rFonts w:ascii="Arial" w:hAnsi="Arial" w:cs="Arial"/>
          <w:sz w:val="18"/>
          <w:szCs w:val="18"/>
          <w:lang w:val="en-US"/>
        </w:rPr>
      </w:pPr>
    </w:p>
    <w:p w14:paraId="26C53FD6" w14:textId="77777777" w:rsidR="00B97058" w:rsidRPr="00BD295E" w:rsidRDefault="008A5057" w:rsidP="00CA2271">
      <w:pPr>
        <w:pStyle w:val="af3"/>
        <w:numPr>
          <w:ilvl w:val="0"/>
          <w:numId w:val="100"/>
        </w:numPr>
        <w:ind w:left="0" w:firstLine="0"/>
        <w:contextualSpacing w:val="0"/>
        <w:jc w:val="both"/>
        <w:rPr>
          <w:rFonts w:ascii="Arial" w:eastAsia="Calibri" w:hAnsi="Arial" w:cs="Arial"/>
          <w:sz w:val="18"/>
          <w:szCs w:val="18"/>
          <w:lang w:val="en-US"/>
        </w:rPr>
      </w:pPr>
      <w:r w:rsidRPr="00BD295E">
        <w:rPr>
          <w:rFonts w:ascii="Arial" w:hAnsi="Arial" w:cs="Arial"/>
          <w:sz w:val="18"/>
          <w:szCs w:val="18"/>
          <w:lang w:val="en-US"/>
        </w:rPr>
        <w:t>KirovTEK, CJSC, an individual two-rate</w:t>
      </w:r>
      <w:r w:rsidR="005D0F7E" w:rsidRPr="00BD295E">
        <w:rPr>
          <w:rFonts w:ascii="Arial" w:hAnsi="Arial" w:cs="Arial"/>
          <w:sz w:val="18"/>
          <w:szCs w:val="18"/>
          <w:lang w:val="en-US"/>
        </w:rPr>
        <w:t xml:space="preserve"> pool</w:t>
      </w:r>
      <w:r w:rsidRPr="00BD295E">
        <w:rPr>
          <w:rFonts w:ascii="Arial" w:hAnsi="Arial" w:cs="Arial"/>
          <w:sz w:val="18"/>
          <w:szCs w:val="18"/>
          <w:lang w:val="en-US"/>
        </w:rPr>
        <w:t xml:space="preserve"> tariff (pays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electricity distribution services). Order No. 276-r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w:t>
      </w:r>
    </w:p>
    <w:p w14:paraId="782ECD61" w14:textId="0391CD3D" w:rsidR="00040677" w:rsidRPr="00BD295E" w:rsidRDefault="00040677">
      <w:pPr>
        <w:rPr>
          <w:rFonts w:ascii="Arial" w:eastAsia="Calibri" w:hAnsi="Arial" w:cs="Arial"/>
          <w:sz w:val="18"/>
          <w:szCs w:val="18"/>
          <w:lang w:val="en-US" w:eastAsia="en-US"/>
        </w:rPr>
      </w:pPr>
      <w:r w:rsidRPr="00BD295E">
        <w:rPr>
          <w:rFonts w:ascii="Arial" w:eastAsia="Calibri" w:hAnsi="Arial" w:cs="Arial"/>
          <w:sz w:val="18"/>
          <w:szCs w:val="18"/>
          <w:lang w:val="en-US" w:eastAsia="en-US"/>
        </w:rPr>
        <w:br w:type="page"/>
      </w:r>
    </w:p>
    <w:p w14:paraId="3689FDDF" w14:textId="77777777" w:rsidR="00B97058" w:rsidRPr="00BD295E" w:rsidRDefault="008A5057" w:rsidP="00B97058">
      <w:pPr>
        <w:pStyle w:val="af3"/>
        <w:ind w:left="0"/>
        <w:jc w:val="both"/>
        <w:rPr>
          <w:rFonts w:ascii="Arial" w:eastAsia="Calibri" w:hAnsi="Arial" w:cs="Arial"/>
          <w:sz w:val="18"/>
          <w:szCs w:val="18"/>
          <w:lang w:val="en-US"/>
        </w:rPr>
      </w:pPr>
      <w:r w:rsidRPr="00BD295E">
        <w:rPr>
          <w:rFonts w:ascii="Arial" w:hAnsi="Arial" w:cs="Arial"/>
          <w:sz w:val="18"/>
          <w:szCs w:val="18"/>
          <w:lang w:val="en-US"/>
        </w:rPr>
        <w:t>From January 1, 2018 to June 30, 2018</w:t>
      </w:r>
    </w:p>
    <w:tbl>
      <w:tblPr>
        <w:tblW w:w="51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477"/>
        <w:gridCol w:w="2284"/>
        <w:gridCol w:w="2273"/>
        <w:gridCol w:w="2274"/>
      </w:tblGrid>
      <w:tr w:rsidR="008A5057" w:rsidRPr="00BD295E" w14:paraId="5B9CF110" w14:textId="77777777" w:rsidTr="00B97058">
        <w:trPr>
          <w:trHeight w:val="986"/>
        </w:trPr>
        <w:tc>
          <w:tcPr>
            <w:tcW w:w="2580" w:type="dxa"/>
            <w:vAlign w:val="center"/>
          </w:tcPr>
          <w:p w14:paraId="66DD22C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Allied grid company</w:t>
            </w:r>
          </w:p>
        </w:tc>
        <w:tc>
          <w:tcPr>
            <w:tcW w:w="2362" w:type="dxa"/>
            <w:vAlign w:val="center"/>
          </w:tcPr>
          <w:p w14:paraId="4C8B690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electric grid maintenance (RUB/MW per month)</w:t>
            </w:r>
          </w:p>
        </w:tc>
        <w:tc>
          <w:tcPr>
            <w:tcW w:w="2362" w:type="dxa"/>
            <w:vAlign w:val="center"/>
          </w:tcPr>
          <w:p w14:paraId="1B48473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paying for network expenses (losses), RUB/MWh</w:t>
            </w:r>
          </w:p>
        </w:tc>
        <w:tc>
          <w:tcPr>
            <w:tcW w:w="2363" w:type="dxa"/>
            <w:vAlign w:val="center"/>
          </w:tcPr>
          <w:p w14:paraId="3EE112D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One-rate tariff, RUB/MWh</w:t>
            </w:r>
          </w:p>
        </w:tc>
      </w:tr>
      <w:tr w:rsidR="008A5057" w:rsidRPr="00BD295E" w14:paraId="6622F1D5" w14:textId="77777777" w:rsidTr="00B97058">
        <w:trPr>
          <w:trHeight w:val="23"/>
        </w:trPr>
        <w:tc>
          <w:tcPr>
            <w:tcW w:w="2580" w:type="dxa"/>
          </w:tcPr>
          <w:p w14:paraId="2ED8D1AC" w14:textId="77777777" w:rsidR="00B97058" w:rsidRPr="00BD295E" w:rsidRDefault="008A5057" w:rsidP="00B97058">
            <w:pPr>
              <w:keepNext/>
              <w:keepLines/>
              <w:widowControl w:val="0"/>
              <w:autoSpaceDE w:val="0"/>
              <w:autoSpaceDN w:val="0"/>
              <w:adjustRightInd w:val="0"/>
              <w:rPr>
                <w:rFonts w:ascii="Arial" w:hAnsi="Arial" w:cs="Arial"/>
                <w:sz w:val="18"/>
                <w:szCs w:val="18"/>
                <w:lang w:val="en-US"/>
              </w:rPr>
            </w:pPr>
            <w:r w:rsidRPr="00BD295E">
              <w:rPr>
                <w:rFonts w:ascii="Arial" w:hAnsi="Arial" w:cs="Arial"/>
                <w:sz w:val="18"/>
                <w:szCs w:val="18"/>
                <w:lang w:val="en-US"/>
              </w:rPr>
              <w:t>KirovTEK, CJSC</w:t>
            </w:r>
          </w:p>
        </w:tc>
        <w:tc>
          <w:tcPr>
            <w:tcW w:w="2362" w:type="dxa"/>
          </w:tcPr>
          <w:p w14:paraId="4EF08BAD"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794,205.73</w:t>
            </w:r>
          </w:p>
        </w:tc>
        <w:tc>
          <w:tcPr>
            <w:tcW w:w="2362" w:type="dxa"/>
          </w:tcPr>
          <w:p w14:paraId="7D2B3DAA"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218.48</w:t>
            </w:r>
          </w:p>
        </w:tc>
        <w:tc>
          <w:tcPr>
            <w:tcW w:w="2363" w:type="dxa"/>
          </w:tcPr>
          <w:p w14:paraId="7EE9B072"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2,413.54</w:t>
            </w:r>
          </w:p>
        </w:tc>
      </w:tr>
    </w:tbl>
    <w:p w14:paraId="65A47249" w14:textId="77777777" w:rsidR="00B97058" w:rsidRPr="00BD295E" w:rsidRDefault="00B97058" w:rsidP="00B97058">
      <w:pPr>
        <w:keepNext/>
        <w:keepLines/>
        <w:rPr>
          <w:rFonts w:ascii="Arial" w:hAnsi="Arial" w:cs="Arial"/>
          <w:sz w:val="18"/>
          <w:szCs w:val="18"/>
          <w:lang w:val="en-US"/>
        </w:rPr>
      </w:pPr>
    </w:p>
    <w:p w14:paraId="70C148A9" w14:textId="77777777" w:rsidR="00B97058" w:rsidRPr="00BD295E" w:rsidRDefault="008A5057" w:rsidP="00B97058">
      <w:pPr>
        <w:keepNext/>
        <w:keepLines/>
        <w:rPr>
          <w:rFonts w:ascii="Arial" w:hAnsi="Arial" w:cs="Arial"/>
          <w:sz w:val="18"/>
          <w:szCs w:val="18"/>
          <w:lang w:val="en-US"/>
        </w:rPr>
      </w:pPr>
      <w:r w:rsidRPr="00BD295E">
        <w:rPr>
          <w:rFonts w:ascii="Arial" w:hAnsi="Arial" w:cs="Arial"/>
          <w:sz w:val="18"/>
          <w:szCs w:val="18"/>
          <w:lang w:val="en-US"/>
        </w:rPr>
        <w:t>From July 1, 2018 to December 31, 2018</w:t>
      </w:r>
    </w:p>
    <w:tbl>
      <w:tblPr>
        <w:tblW w:w="51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476"/>
        <w:gridCol w:w="2285"/>
        <w:gridCol w:w="2273"/>
        <w:gridCol w:w="2274"/>
      </w:tblGrid>
      <w:tr w:rsidR="008A5057" w:rsidRPr="00BD295E" w14:paraId="3CC2221A" w14:textId="77777777" w:rsidTr="00B97058">
        <w:trPr>
          <w:trHeight w:val="986"/>
        </w:trPr>
        <w:tc>
          <w:tcPr>
            <w:tcW w:w="2580" w:type="dxa"/>
            <w:vAlign w:val="center"/>
          </w:tcPr>
          <w:p w14:paraId="420D7C0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Allied grid company</w:t>
            </w:r>
          </w:p>
        </w:tc>
        <w:tc>
          <w:tcPr>
            <w:tcW w:w="2362" w:type="dxa"/>
            <w:vAlign w:val="center"/>
          </w:tcPr>
          <w:p w14:paraId="1A5CAD8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electric grid maintenance (RUB/MW per month)</w:t>
            </w:r>
          </w:p>
        </w:tc>
        <w:tc>
          <w:tcPr>
            <w:tcW w:w="2362" w:type="dxa"/>
            <w:vAlign w:val="center"/>
          </w:tcPr>
          <w:p w14:paraId="707AE83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paying for network expenses (losses), RUB/MWh</w:t>
            </w:r>
          </w:p>
        </w:tc>
        <w:tc>
          <w:tcPr>
            <w:tcW w:w="2363" w:type="dxa"/>
            <w:vAlign w:val="center"/>
          </w:tcPr>
          <w:p w14:paraId="362B78B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One-rate tariff, RUB/MWh</w:t>
            </w:r>
          </w:p>
        </w:tc>
      </w:tr>
      <w:tr w:rsidR="008A5057" w:rsidRPr="00BD295E" w14:paraId="2999E3D5" w14:textId="77777777" w:rsidTr="00B97058">
        <w:trPr>
          <w:trHeight w:val="23"/>
        </w:trPr>
        <w:tc>
          <w:tcPr>
            <w:tcW w:w="2580" w:type="dxa"/>
          </w:tcPr>
          <w:p w14:paraId="7EA30653" w14:textId="77777777" w:rsidR="00B97058" w:rsidRPr="00BD295E" w:rsidRDefault="008A5057" w:rsidP="00B97058">
            <w:pPr>
              <w:keepNext/>
              <w:keepLines/>
              <w:widowControl w:val="0"/>
              <w:autoSpaceDE w:val="0"/>
              <w:autoSpaceDN w:val="0"/>
              <w:adjustRightInd w:val="0"/>
              <w:rPr>
                <w:rFonts w:ascii="Arial" w:hAnsi="Arial" w:cs="Arial"/>
                <w:sz w:val="18"/>
                <w:szCs w:val="18"/>
                <w:lang w:val="en-US"/>
              </w:rPr>
            </w:pPr>
            <w:r w:rsidRPr="00BD295E">
              <w:rPr>
                <w:rFonts w:ascii="Arial" w:hAnsi="Arial" w:cs="Arial"/>
                <w:sz w:val="18"/>
                <w:szCs w:val="18"/>
                <w:lang w:val="en-US"/>
              </w:rPr>
              <w:t>KirovTEK, CJSC</w:t>
            </w:r>
          </w:p>
        </w:tc>
        <w:tc>
          <w:tcPr>
            <w:tcW w:w="2362" w:type="dxa"/>
          </w:tcPr>
          <w:p w14:paraId="4F3697E9"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1,242,726.79</w:t>
            </w:r>
          </w:p>
        </w:tc>
        <w:tc>
          <w:tcPr>
            <w:tcW w:w="2362" w:type="dxa"/>
          </w:tcPr>
          <w:p w14:paraId="7C6EA5ED"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228.42</w:t>
            </w:r>
          </w:p>
        </w:tc>
        <w:tc>
          <w:tcPr>
            <w:tcW w:w="2363" w:type="dxa"/>
          </w:tcPr>
          <w:p w14:paraId="3BE05E99"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3,688.47</w:t>
            </w:r>
          </w:p>
        </w:tc>
      </w:tr>
    </w:tbl>
    <w:p w14:paraId="0FC62A77" w14:textId="77777777" w:rsidR="00B97058" w:rsidRPr="00BD295E" w:rsidRDefault="00B97058" w:rsidP="00B97058">
      <w:pPr>
        <w:pStyle w:val="af3"/>
        <w:ind w:left="0"/>
        <w:jc w:val="both"/>
        <w:rPr>
          <w:rFonts w:ascii="Arial" w:eastAsia="Calibri" w:hAnsi="Arial" w:cs="Arial"/>
          <w:sz w:val="18"/>
          <w:szCs w:val="18"/>
          <w:lang w:val="en-US" w:eastAsia="en-US"/>
        </w:rPr>
      </w:pPr>
    </w:p>
    <w:p w14:paraId="4057C0AB" w14:textId="77777777" w:rsidR="005D0F7E" w:rsidRPr="00BD295E" w:rsidRDefault="008A5057" w:rsidP="00B97058">
      <w:pPr>
        <w:pStyle w:val="af3"/>
        <w:tabs>
          <w:tab w:val="left" w:pos="709"/>
        </w:tabs>
        <w:ind w:left="0"/>
        <w:jc w:val="both"/>
        <w:rPr>
          <w:rFonts w:ascii="Arial" w:hAnsi="Arial" w:cs="Arial"/>
          <w:sz w:val="18"/>
          <w:szCs w:val="18"/>
          <w:lang w:val="en-US"/>
        </w:rPr>
      </w:pPr>
      <w:r w:rsidRPr="00BD295E">
        <w:rPr>
          <w:rFonts w:ascii="Arial" w:hAnsi="Arial" w:cs="Arial"/>
          <w:sz w:val="18"/>
          <w:szCs w:val="18"/>
          <w:lang w:val="en-US"/>
        </w:rPr>
        <w:t>d. Sea Port of Saint Petersburg, JSC, an individual two-rate</w:t>
      </w:r>
      <w:r w:rsidR="005D0F7E" w:rsidRPr="00BD295E">
        <w:rPr>
          <w:rFonts w:ascii="Arial" w:hAnsi="Arial" w:cs="Arial"/>
          <w:sz w:val="18"/>
          <w:szCs w:val="18"/>
          <w:lang w:val="en-US"/>
        </w:rPr>
        <w:t xml:space="preserve"> pool</w:t>
      </w:r>
      <w:r w:rsidRPr="00BD295E">
        <w:rPr>
          <w:rFonts w:ascii="Arial" w:hAnsi="Arial" w:cs="Arial"/>
          <w:sz w:val="18"/>
          <w:szCs w:val="18"/>
          <w:lang w:val="en-US"/>
        </w:rPr>
        <w:t xml:space="preserve"> tariff (pays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electricity distribution services).</w:t>
      </w:r>
    </w:p>
    <w:p w14:paraId="018724C2" w14:textId="77777777" w:rsidR="00B97058" w:rsidRPr="00BD295E" w:rsidRDefault="008A5057" w:rsidP="00B97058">
      <w:pPr>
        <w:pStyle w:val="af3"/>
        <w:tabs>
          <w:tab w:val="left" w:pos="709"/>
        </w:tabs>
        <w:ind w:left="0"/>
        <w:jc w:val="both"/>
        <w:rPr>
          <w:rFonts w:ascii="Arial" w:hAnsi="Arial" w:cs="Arial"/>
          <w:sz w:val="18"/>
          <w:szCs w:val="18"/>
          <w:lang w:val="en-US"/>
        </w:rPr>
      </w:pPr>
      <w:r w:rsidRPr="00BD295E">
        <w:rPr>
          <w:rFonts w:ascii="Arial" w:hAnsi="Arial" w:cs="Arial"/>
          <w:sz w:val="18"/>
          <w:szCs w:val="18"/>
          <w:lang w:val="en-US"/>
        </w:rPr>
        <w:t xml:space="preserve">Order No. 276-r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w:t>
      </w:r>
    </w:p>
    <w:p w14:paraId="3899E8A4" w14:textId="77777777" w:rsidR="00B97058" w:rsidRPr="00BD295E" w:rsidRDefault="00B97058" w:rsidP="00B97058">
      <w:pPr>
        <w:rPr>
          <w:rFonts w:ascii="Arial" w:hAnsi="Arial" w:cs="Arial"/>
          <w:sz w:val="18"/>
          <w:szCs w:val="18"/>
          <w:lang w:val="en-US"/>
        </w:rPr>
      </w:pPr>
    </w:p>
    <w:p w14:paraId="037E9DF8"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From January 1, 2018 to June 30, 2018</w:t>
      </w:r>
    </w:p>
    <w:tbl>
      <w:tblPr>
        <w:tblW w:w="51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480"/>
        <w:gridCol w:w="2283"/>
        <w:gridCol w:w="2272"/>
        <w:gridCol w:w="2273"/>
      </w:tblGrid>
      <w:tr w:rsidR="008A5057" w:rsidRPr="00BD295E" w14:paraId="11B766CF" w14:textId="77777777" w:rsidTr="00B97058">
        <w:trPr>
          <w:trHeight w:val="986"/>
        </w:trPr>
        <w:tc>
          <w:tcPr>
            <w:tcW w:w="2580" w:type="dxa"/>
            <w:vAlign w:val="center"/>
          </w:tcPr>
          <w:p w14:paraId="2B7EEF7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Allied grid company</w:t>
            </w:r>
          </w:p>
        </w:tc>
        <w:tc>
          <w:tcPr>
            <w:tcW w:w="2362" w:type="dxa"/>
            <w:vAlign w:val="center"/>
          </w:tcPr>
          <w:p w14:paraId="3FB6515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electric grid maintenance (RUB/MW per month)</w:t>
            </w:r>
          </w:p>
        </w:tc>
        <w:tc>
          <w:tcPr>
            <w:tcW w:w="2362" w:type="dxa"/>
            <w:vAlign w:val="center"/>
          </w:tcPr>
          <w:p w14:paraId="505A987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paying for network expenses (losses), RUB/MWh</w:t>
            </w:r>
          </w:p>
        </w:tc>
        <w:tc>
          <w:tcPr>
            <w:tcW w:w="2363" w:type="dxa"/>
            <w:vAlign w:val="center"/>
          </w:tcPr>
          <w:p w14:paraId="3E99149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One-rate tariff, RUB/MWh</w:t>
            </w:r>
          </w:p>
        </w:tc>
      </w:tr>
      <w:tr w:rsidR="008A5057" w:rsidRPr="00BD295E" w14:paraId="46EDA68A" w14:textId="77777777" w:rsidTr="00B97058">
        <w:trPr>
          <w:trHeight w:val="23"/>
        </w:trPr>
        <w:tc>
          <w:tcPr>
            <w:tcW w:w="2580" w:type="dxa"/>
          </w:tcPr>
          <w:p w14:paraId="43EFBC09" w14:textId="77777777" w:rsidR="00B97058" w:rsidRPr="00BD295E" w:rsidRDefault="008A5057" w:rsidP="00B97058">
            <w:pPr>
              <w:keepNext/>
              <w:keepLines/>
              <w:widowControl w:val="0"/>
              <w:autoSpaceDE w:val="0"/>
              <w:autoSpaceDN w:val="0"/>
              <w:adjustRightInd w:val="0"/>
              <w:rPr>
                <w:rFonts w:ascii="Arial" w:hAnsi="Arial" w:cs="Arial"/>
                <w:sz w:val="18"/>
                <w:szCs w:val="18"/>
                <w:lang w:val="en-US"/>
              </w:rPr>
            </w:pPr>
            <w:r w:rsidRPr="00BD295E">
              <w:rPr>
                <w:rFonts w:ascii="Arial" w:hAnsi="Arial" w:cs="Arial"/>
                <w:sz w:val="18"/>
                <w:szCs w:val="18"/>
                <w:lang w:val="en-US"/>
              </w:rPr>
              <w:t>Sea Port of Saint Petersburg, JSC</w:t>
            </w:r>
          </w:p>
        </w:tc>
        <w:tc>
          <w:tcPr>
            <w:tcW w:w="2362" w:type="dxa"/>
          </w:tcPr>
          <w:p w14:paraId="5F0D7EE2"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175,609.45</w:t>
            </w:r>
          </w:p>
        </w:tc>
        <w:tc>
          <w:tcPr>
            <w:tcW w:w="2362" w:type="dxa"/>
          </w:tcPr>
          <w:p w14:paraId="23C9873C"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77.09</w:t>
            </w:r>
          </w:p>
        </w:tc>
        <w:tc>
          <w:tcPr>
            <w:tcW w:w="2363" w:type="dxa"/>
          </w:tcPr>
          <w:p w14:paraId="0555C831"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597.42</w:t>
            </w:r>
          </w:p>
        </w:tc>
      </w:tr>
    </w:tbl>
    <w:p w14:paraId="261AD274" w14:textId="77777777" w:rsidR="00B97058" w:rsidRPr="00BD295E" w:rsidRDefault="00B97058" w:rsidP="00B97058">
      <w:pPr>
        <w:keepNext/>
        <w:keepLines/>
        <w:rPr>
          <w:rFonts w:ascii="Arial" w:hAnsi="Arial" w:cs="Arial"/>
          <w:sz w:val="18"/>
          <w:szCs w:val="18"/>
          <w:lang w:val="en-US"/>
        </w:rPr>
      </w:pPr>
    </w:p>
    <w:p w14:paraId="6E086934" w14:textId="77777777" w:rsidR="00B97058" w:rsidRPr="00BD295E" w:rsidRDefault="008A5057" w:rsidP="00B97058">
      <w:pPr>
        <w:keepNext/>
        <w:keepLines/>
        <w:rPr>
          <w:rFonts w:ascii="Arial" w:hAnsi="Arial" w:cs="Arial"/>
          <w:sz w:val="18"/>
          <w:szCs w:val="18"/>
          <w:lang w:val="en-US"/>
        </w:rPr>
      </w:pPr>
      <w:r w:rsidRPr="00BD295E">
        <w:rPr>
          <w:rFonts w:ascii="Arial" w:hAnsi="Arial" w:cs="Arial"/>
          <w:sz w:val="18"/>
          <w:szCs w:val="18"/>
          <w:lang w:val="en-US"/>
        </w:rPr>
        <w:t>From July 1, 2018 to December 31, 2018</w:t>
      </w:r>
    </w:p>
    <w:tbl>
      <w:tblPr>
        <w:tblW w:w="51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480"/>
        <w:gridCol w:w="2283"/>
        <w:gridCol w:w="2272"/>
        <w:gridCol w:w="2273"/>
      </w:tblGrid>
      <w:tr w:rsidR="008A5057" w:rsidRPr="00BD295E" w14:paraId="36785673" w14:textId="77777777" w:rsidTr="00B97058">
        <w:trPr>
          <w:trHeight w:val="986"/>
        </w:trPr>
        <w:tc>
          <w:tcPr>
            <w:tcW w:w="2580" w:type="dxa"/>
            <w:vAlign w:val="center"/>
          </w:tcPr>
          <w:p w14:paraId="53B8F18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Allied grid company</w:t>
            </w:r>
          </w:p>
        </w:tc>
        <w:tc>
          <w:tcPr>
            <w:tcW w:w="2362" w:type="dxa"/>
            <w:vAlign w:val="center"/>
          </w:tcPr>
          <w:p w14:paraId="7916381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electric grid maintenance (RUB/MW per month)</w:t>
            </w:r>
          </w:p>
        </w:tc>
        <w:tc>
          <w:tcPr>
            <w:tcW w:w="2362" w:type="dxa"/>
            <w:vAlign w:val="center"/>
          </w:tcPr>
          <w:p w14:paraId="6472636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paying for network expenses (losses), RUB/MWh</w:t>
            </w:r>
          </w:p>
        </w:tc>
        <w:tc>
          <w:tcPr>
            <w:tcW w:w="2363" w:type="dxa"/>
            <w:vAlign w:val="center"/>
          </w:tcPr>
          <w:p w14:paraId="135B73DB"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One-rate tariff, RUB/MWh</w:t>
            </w:r>
          </w:p>
        </w:tc>
      </w:tr>
      <w:tr w:rsidR="008A5057" w:rsidRPr="00BD295E" w14:paraId="69354954" w14:textId="77777777" w:rsidTr="00B97058">
        <w:trPr>
          <w:trHeight w:val="23"/>
        </w:trPr>
        <w:tc>
          <w:tcPr>
            <w:tcW w:w="2580" w:type="dxa"/>
          </w:tcPr>
          <w:p w14:paraId="419954F7" w14:textId="77777777" w:rsidR="00B97058" w:rsidRPr="00BD295E" w:rsidRDefault="008A5057" w:rsidP="00B97058">
            <w:pPr>
              <w:keepNext/>
              <w:keepLines/>
              <w:widowControl w:val="0"/>
              <w:autoSpaceDE w:val="0"/>
              <w:autoSpaceDN w:val="0"/>
              <w:adjustRightInd w:val="0"/>
              <w:rPr>
                <w:rFonts w:ascii="Arial" w:hAnsi="Arial" w:cs="Arial"/>
                <w:sz w:val="18"/>
                <w:szCs w:val="18"/>
                <w:lang w:val="en-US"/>
              </w:rPr>
            </w:pPr>
            <w:r w:rsidRPr="00BD295E">
              <w:rPr>
                <w:rFonts w:ascii="Arial" w:hAnsi="Arial" w:cs="Arial"/>
                <w:sz w:val="18"/>
                <w:szCs w:val="18"/>
                <w:lang w:val="en-US"/>
              </w:rPr>
              <w:t>Sea Port of Saint Petersburg, JSC</w:t>
            </w:r>
          </w:p>
        </w:tc>
        <w:tc>
          <w:tcPr>
            <w:tcW w:w="2362" w:type="dxa"/>
          </w:tcPr>
          <w:p w14:paraId="325D63BE"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384,726.73</w:t>
            </w:r>
          </w:p>
        </w:tc>
        <w:tc>
          <w:tcPr>
            <w:tcW w:w="2362" w:type="dxa"/>
          </w:tcPr>
          <w:p w14:paraId="43C84BF6"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77.09</w:t>
            </w:r>
          </w:p>
        </w:tc>
        <w:tc>
          <w:tcPr>
            <w:tcW w:w="2363" w:type="dxa"/>
          </w:tcPr>
          <w:p w14:paraId="7616F155"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1,283.10</w:t>
            </w:r>
          </w:p>
        </w:tc>
      </w:tr>
    </w:tbl>
    <w:p w14:paraId="3C4B1AAB" w14:textId="028E17D4" w:rsidR="007635DF" w:rsidRPr="00BD295E" w:rsidRDefault="007635DF" w:rsidP="00B97058">
      <w:pPr>
        <w:jc w:val="both"/>
        <w:rPr>
          <w:rFonts w:ascii="Arial" w:hAnsi="Arial" w:cs="Arial"/>
          <w:sz w:val="18"/>
          <w:szCs w:val="18"/>
          <w:lang w:val="en-US"/>
        </w:rPr>
      </w:pPr>
    </w:p>
    <w:p w14:paraId="2034CB07" w14:textId="77777777" w:rsidR="007635DF" w:rsidRPr="00BD295E" w:rsidRDefault="007635DF">
      <w:pPr>
        <w:rPr>
          <w:rFonts w:ascii="Arial" w:hAnsi="Arial" w:cs="Arial"/>
          <w:sz w:val="18"/>
          <w:szCs w:val="18"/>
          <w:lang w:val="en-US"/>
        </w:rPr>
      </w:pPr>
      <w:r w:rsidRPr="00BD295E">
        <w:rPr>
          <w:rFonts w:ascii="Arial" w:hAnsi="Arial" w:cs="Arial"/>
          <w:sz w:val="18"/>
          <w:szCs w:val="18"/>
          <w:lang w:val="en-US"/>
        </w:rPr>
        <w:br w:type="page"/>
      </w:r>
    </w:p>
    <w:p w14:paraId="284AF554" w14:textId="77777777" w:rsidR="00B97058" w:rsidRPr="00BD295E" w:rsidRDefault="008A5057" w:rsidP="00B97058">
      <w:pPr>
        <w:rPr>
          <w:rFonts w:ascii="Arial" w:hAnsi="Arial" w:cs="Arial"/>
          <w:b/>
          <w:sz w:val="18"/>
          <w:szCs w:val="18"/>
          <w:lang w:val="en-US"/>
        </w:rPr>
      </w:pPr>
      <w:r w:rsidRPr="00BD295E">
        <w:rPr>
          <w:rFonts w:ascii="Arial" w:hAnsi="Arial" w:cs="Arial"/>
          <w:b/>
          <w:sz w:val="18"/>
          <w:szCs w:val="18"/>
          <w:lang w:val="en-US"/>
        </w:rPr>
        <w:t xml:space="preserve">for the Leningrad Region: </w:t>
      </w:r>
    </w:p>
    <w:p w14:paraId="5EB25DDF" w14:textId="77777777" w:rsidR="00D0333D" w:rsidRPr="00BD295E" w:rsidRDefault="008A5057" w:rsidP="00CA2271">
      <w:pPr>
        <w:pStyle w:val="af3"/>
        <w:numPr>
          <w:ilvl w:val="0"/>
          <w:numId w:val="101"/>
        </w:numPr>
        <w:tabs>
          <w:tab w:val="left" w:pos="709"/>
        </w:tabs>
        <w:ind w:left="0" w:firstLine="0"/>
        <w:contextualSpacing w:val="0"/>
        <w:jc w:val="both"/>
        <w:rPr>
          <w:rFonts w:ascii="Arial" w:eastAsia="Calibri" w:hAnsi="Arial" w:cs="Arial"/>
          <w:sz w:val="18"/>
          <w:szCs w:val="18"/>
          <w:lang w:val="en-US"/>
        </w:rPr>
      </w:pPr>
      <w:r w:rsidRPr="00BD295E">
        <w:rPr>
          <w:rFonts w:ascii="Arial" w:hAnsi="Arial" w:cs="Arial"/>
          <w:sz w:val="18"/>
          <w:szCs w:val="18"/>
          <w:lang w:val="en-US"/>
        </w:rPr>
        <w:t xml:space="preserve">two-rate </w:t>
      </w:r>
      <w:r w:rsidR="005D0F7E" w:rsidRPr="00BD295E">
        <w:rPr>
          <w:rFonts w:ascii="Arial" w:hAnsi="Arial" w:cs="Arial"/>
          <w:sz w:val="18"/>
          <w:szCs w:val="18"/>
          <w:lang w:val="en-US"/>
        </w:rPr>
        <w:t xml:space="preserve">pool </w:t>
      </w:r>
      <w:r w:rsidRPr="00BD295E">
        <w:rPr>
          <w:rFonts w:ascii="Arial" w:hAnsi="Arial" w:cs="Arial"/>
          <w:sz w:val="18"/>
          <w:szCs w:val="18"/>
          <w:lang w:val="en-US"/>
        </w:rPr>
        <w:t>tariffs with differentiation by voltage level and separate tariffs for households</w:t>
      </w:r>
    </w:p>
    <w:p w14:paraId="7BC8235A" w14:textId="77777777" w:rsidR="00B97058" w:rsidRPr="00BD295E" w:rsidRDefault="008A5057" w:rsidP="00D0333D">
      <w:pPr>
        <w:pStyle w:val="af3"/>
        <w:tabs>
          <w:tab w:val="left" w:pos="709"/>
        </w:tabs>
        <w:ind w:left="0"/>
        <w:contextualSpacing w:val="0"/>
        <w:jc w:val="both"/>
        <w:rPr>
          <w:rFonts w:ascii="Arial" w:eastAsia="Calibri" w:hAnsi="Arial" w:cs="Arial"/>
          <w:sz w:val="18"/>
          <w:szCs w:val="18"/>
          <w:lang w:val="en-US"/>
        </w:rPr>
      </w:pPr>
      <w:r w:rsidRPr="00BD295E">
        <w:rPr>
          <w:rFonts w:ascii="Arial" w:hAnsi="Arial" w:cs="Arial"/>
          <w:sz w:val="18"/>
          <w:szCs w:val="18"/>
          <w:lang w:val="en-US"/>
        </w:rPr>
        <w:t xml:space="preserve">Order No. 659-p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w:t>
      </w:r>
    </w:p>
    <w:p w14:paraId="480130C0" w14:textId="77777777" w:rsidR="00B97058" w:rsidRPr="00BD295E" w:rsidRDefault="008A5057" w:rsidP="00B97058">
      <w:pPr>
        <w:tabs>
          <w:tab w:val="left" w:pos="709"/>
        </w:tabs>
        <w:jc w:val="both"/>
        <w:rPr>
          <w:rFonts w:ascii="Arial" w:hAnsi="Arial" w:cs="Arial"/>
          <w:sz w:val="18"/>
          <w:szCs w:val="18"/>
          <w:lang w:val="en-US"/>
        </w:rPr>
      </w:pPr>
      <w:r w:rsidRPr="00BD295E">
        <w:rPr>
          <w:rFonts w:ascii="Arial" w:hAnsi="Arial" w:cs="Arial"/>
          <w:sz w:val="18"/>
          <w:szCs w:val="18"/>
          <w:lang w:val="en-US"/>
        </w:rPr>
        <w:t>From January 1, 2018 to June 30, 2018</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4111"/>
        <w:gridCol w:w="1606"/>
        <w:gridCol w:w="1606"/>
        <w:gridCol w:w="1607"/>
      </w:tblGrid>
      <w:tr w:rsidR="008A5057" w:rsidRPr="00BD295E" w14:paraId="148FCAA9" w14:textId="77777777" w:rsidTr="00B97058">
        <w:trPr>
          <w:trHeight w:val="1550"/>
        </w:trPr>
        <w:tc>
          <w:tcPr>
            <w:tcW w:w="724" w:type="dxa"/>
            <w:shd w:val="clear" w:color="000000" w:fill="FFFFFF"/>
            <w:vAlign w:val="center"/>
            <w:hideMark/>
          </w:tcPr>
          <w:p w14:paraId="70B815BB"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No.</w:t>
            </w:r>
          </w:p>
          <w:p w14:paraId="61269AEC"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vAlign w:val="center"/>
            <w:hideMark/>
          </w:tcPr>
          <w:p w14:paraId="2112307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Consumer group</w:t>
            </w:r>
          </w:p>
        </w:tc>
        <w:tc>
          <w:tcPr>
            <w:tcW w:w="1606" w:type="dxa"/>
            <w:shd w:val="clear" w:color="000000" w:fill="FFFFFF"/>
            <w:vAlign w:val="center"/>
            <w:hideMark/>
          </w:tcPr>
          <w:p w14:paraId="51DA322D"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 grid maintenance (RUB/MW per month)</w:t>
            </w:r>
          </w:p>
        </w:tc>
        <w:tc>
          <w:tcPr>
            <w:tcW w:w="1606" w:type="dxa"/>
            <w:shd w:val="clear" w:color="000000" w:fill="FFFFFF"/>
            <w:vAlign w:val="center"/>
          </w:tcPr>
          <w:p w14:paraId="3AC3C63C"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electricity network losses (RUB/MWh)</w:t>
            </w:r>
          </w:p>
        </w:tc>
        <w:tc>
          <w:tcPr>
            <w:tcW w:w="1607" w:type="dxa"/>
            <w:shd w:val="clear" w:color="000000" w:fill="FFFFFF"/>
            <w:vAlign w:val="center"/>
            <w:hideMark/>
          </w:tcPr>
          <w:p w14:paraId="0398B62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One-rate tariff (RUB/MWh)</w:t>
            </w:r>
          </w:p>
        </w:tc>
      </w:tr>
      <w:tr w:rsidR="008A5057" w:rsidRPr="00BD295E" w14:paraId="08952DE7" w14:textId="77777777" w:rsidTr="00B97058">
        <w:trPr>
          <w:trHeight w:val="139"/>
        </w:trPr>
        <w:tc>
          <w:tcPr>
            <w:tcW w:w="724" w:type="dxa"/>
            <w:shd w:val="clear" w:color="000000" w:fill="FFFFFF"/>
            <w:noWrap/>
            <w:hideMark/>
          </w:tcPr>
          <w:p w14:paraId="6B5E717C"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1.</w:t>
            </w:r>
          </w:p>
        </w:tc>
        <w:tc>
          <w:tcPr>
            <w:tcW w:w="4111" w:type="dxa"/>
            <w:shd w:val="clear" w:color="000000" w:fill="FFFFFF"/>
            <w:noWrap/>
            <w:hideMark/>
          </w:tcPr>
          <w:p w14:paraId="213495D0"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Other</w:t>
            </w:r>
          </w:p>
        </w:tc>
        <w:tc>
          <w:tcPr>
            <w:tcW w:w="1606" w:type="dxa"/>
            <w:shd w:val="clear" w:color="000000" w:fill="FFFFFF"/>
            <w:noWrap/>
            <w:vAlign w:val="bottom"/>
            <w:hideMark/>
          </w:tcPr>
          <w:p w14:paraId="79641876" w14:textId="77777777" w:rsidR="00B97058" w:rsidRPr="00BD295E" w:rsidRDefault="00B97058" w:rsidP="00B97058">
            <w:pPr>
              <w:jc w:val="center"/>
              <w:rPr>
                <w:rFonts w:ascii="Arial" w:hAnsi="Arial" w:cs="Arial"/>
                <w:bCs/>
                <w:sz w:val="18"/>
                <w:szCs w:val="18"/>
                <w:lang w:val="en-US"/>
              </w:rPr>
            </w:pPr>
          </w:p>
        </w:tc>
        <w:tc>
          <w:tcPr>
            <w:tcW w:w="1606" w:type="dxa"/>
            <w:shd w:val="clear" w:color="000000" w:fill="FFFFFF"/>
            <w:vAlign w:val="bottom"/>
          </w:tcPr>
          <w:p w14:paraId="100B6726" w14:textId="77777777" w:rsidR="00B97058" w:rsidRPr="00BD295E" w:rsidRDefault="00B97058" w:rsidP="00B97058">
            <w:pPr>
              <w:jc w:val="center"/>
              <w:rPr>
                <w:rFonts w:ascii="Arial" w:hAnsi="Arial" w:cs="Arial"/>
                <w:bCs/>
                <w:sz w:val="18"/>
                <w:szCs w:val="18"/>
                <w:lang w:val="en-US"/>
              </w:rPr>
            </w:pPr>
          </w:p>
        </w:tc>
        <w:tc>
          <w:tcPr>
            <w:tcW w:w="1607" w:type="dxa"/>
            <w:shd w:val="clear" w:color="000000" w:fill="FFFFFF"/>
            <w:vAlign w:val="bottom"/>
          </w:tcPr>
          <w:p w14:paraId="2080CF15" w14:textId="77777777" w:rsidR="00B97058" w:rsidRPr="00BD295E" w:rsidRDefault="00B97058" w:rsidP="00B97058">
            <w:pPr>
              <w:jc w:val="center"/>
              <w:rPr>
                <w:rFonts w:ascii="Arial" w:hAnsi="Arial" w:cs="Arial"/>
                <w:bCs/>
                <w:sz w:val="18"/>
                <w:szCs w:val="18"/>
                <w:lang w:val="en-US"/>
              </w:rPr>
            </w:pPr>
          </w:p>
        </w:tc>
      </w:tr>
      <w:tr w:rsidR="008A5057" w:rsidRPr="00BD295E" w14:paraId="2E1324D2" w14:textId="77777777" w:rsidTr="00B97058">
        <w:trPr>
          <w:trHeight w:val="283"/>
        </w:trPr>
        <w:tc>
          <w:tcPr>
            <w:tcW w:w="724" w:type="dxa"/>
            <w:shd w:val="clear" w:color="000000" w:fill="FFFFFF"/>
            <w:noWrap/>
          </w:tcPr>
          <w:p w14:paraId="5E0E9F27"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noWrap/>
            <w:hideMark/>
          </w:tcPr>
          <w:p w14:paraId="71FC89C2"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HV</w:t>
            </w:r>
          </w:p>
        </w:tc>
        <w:tc>
          <w:tcPr>
            <w:tcW w:w="1606" w:type="dxa"/>
            <w:shd w:val="clear" w:color="auto" w:fill="auto"/>
            <w:vAlign w:val="center"/>
          </w:tcPr>
          <w:p w14:paraId="003DDB9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1,352,493.49</w:t>
            </w:r>
          </w:p>
        </w:tc>
        <w:tc>
          <w:tcPr>
            <w:tcW w:w="1606" w:type="dxa"/>
            <w:shd w:val="clear" w:color="auto" w:fill="auto"/>
            <w:vAlign w:val="center"/>
          </w:tcPr>
          <w:p w14:paraId="601D793B"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53.11</w:t>
            </w:r>
          </w:p>
        </w:tc>
        <w:tc>
          <w:tcPr>
            <w:tcW w:w="1607" w:type="dxa"/>
            <w:shd w:val="clear" w:color="auto" w:fill="auto"/>
            <w:vAlign w:val="center"/>
          </w:tcPr>
          <w:p w14:paraId="65C0BCA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1,654.38</w:t>
            </w:r>
          </w:p>
        </w:tc>
      </w:tr>
      <w:tr w:rsidR="008A5057" w:rsidRPr="00BD295E" w14:paraId="79EC80CF" w14:textId="77777777" w:rsidTr="00B97058">
        <w:trPr>
          <w:trHeight w:val="120"/>
        </w:trPr>
        <w:tc>
          <w:tcPr>
            <w:tcW w:w="724" w:type="dxa"/>
            <w:shd w:val="clear" w:color="000000" w:fill="FFFFFF"/>
            <w:noWrap/>
            <w:hideMark/>
          </w:tcPr>
          <w:p w14:paraId="2F785C50"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377A429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MV-1</w:t>
            </w:r>
          </w:p>
        </w:tc>
        <w:tc>
          <w:tcPr>
            <w:tcW w:w="1606" w:type="dxa"/>
            <w:shd w:val="clear" w:color="auto" w:fill="auto"/>
            <w:vAlign w:val="center"/>
          </w:tcPr>
          <w:p w14:paraId="6859EA1B"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1,346,323.01</w:t>
            </w:r>
          </w:p>
        </w:tc>
        <w:tc>
          <w:tcPr>
            <w:tcW w:w="1606" w:type="dxa"/>
            <w:shd w:val="clear" w:color="auto" w:fill="auto"/>
            <w:vAlign w:val="center"/>
          </w:tcPr>
          <w:p w14:paraId="5C76F7A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148.83</w:t>
            </w:r>
          </w:p>
        </w:tc>
        <w:tc>
          <w:tcPr>
            <w:tcW w:w="1607" w:type="dxa"/>
            <w:shd w:val="clear" w:color="auto" w:fill="auto"/>
            <w:vAlign w:val="center"/>
          </w:tcPr>
          <w:p w14:paraId="5B08C14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2,304.37</w:t>
            </w:r>
          </w:p>
        </w:tc>
      </w:tr>
      <w:tr w:rsidR="008A5057" w:rsidRPr="00BD295E" w14:paraId="5DFB9491" w14:textId="77777777" w:rsidTr="00B97058">
        <w:trPr>
          <w:trHeight w:val="166"/>
        </w:trPr>
        <w:tc>
          <w:tcPr>
            <w:tcW w:w="724" w:type="dxa"/>
            <w:shd w:val="clear" w:color="000000" w:fill="FFFFFF"/>
            <w:noWrap/>
            <w:hideMark/>
          </w:tcPr>
          <w:p w14:paraId="01167D3D"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56CF4056"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MV-2</w:t>
            </w:r>
          </w:p>
        </w:tc>
        <w:tc>
          <w:tcPr>
            <w:tcW w:w="1606" w:type="dxa"/>
            <w:shd w:val="clear" w:color="auto" w:fill="auto"/>
            <w:vAlign w:val="center"/>
          </w:tcPr>
          <w:p w14:paraId="67E3FF6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1,147,962.63</w:t>
            </w:r>
          </w:p>
        </w:tc>
        <w:tc>
          <w:tcPr>
            <w:tcW w:w="1606" w:type="dxa"/>
            <w:shd w:val="clear" w:color="auto" w:fill="auto"/>
            <w:vAlign w:val="center"/>
          </w:tcPr>
          <w:p w14:paraId="30CA07C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270.46</w:t>
            </w:r>
          </w:p>
        </w:tc>
        <w:tc>
          <w:tcPr>
            <w:tcW w:w="1607" w:type="dxa"/>
            <w:shd w:val="clear" w:color="auto" w:fill="auto"/>
            <w:vAlign w:val="center"/>
          </w:tcPr>
          <w:p w14:paraId="5198622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2,275.05</w:t>
            </w:r>
          </w:p>
        </w:tc>
      </w:tr>
      <w:tr w:rsidR="008A5057" w:rsidRPr="00BD295E" w14:paraId="0A7F79BD" w14:textId="77777777" w:rsidTr="00B97058">
        <w:trPr>
          <w:trHeight w:val="183"/>
        </w:trPr>
        <w:tc>
          <w:tcPr>
            <w:tcW w:w="724" w:type="dxa"/>
            <w:shd w:val="clear" w:color="000000" w:fill="FFFFFF"/>
            <w:noWrap/>
            <w:hideMark/>
          </w:tcPr>
          <w:p w14:paraId="177F634F"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0D117F0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LV</w:t>
            </w:r>
          </w:p>
        </w:tc>
        <w:tc>
          <w:tcPr>
            <w:tcW w:w="1606" w:type="dxa"/>
            <w:shd w:val="clear" w:color="auto" w:fill="auto"/>
            <w:vAlign w:val="center"/>
          </w:tcPr>
          <w:p w14:paraId="734210C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1,335,294.04</w:t>
            </w:r>
          </w:p>
        </w:tc>
        <w:tc>
          <w:tcPr>
            <w:tcW w:w="1606" w:type="dxa"/>
            <w:shd w:val="clear" w:color="auto" w:fill="auto"/>
            <w:vAlign w:val="center"/>
          </w:tcPr>
          <w:p w14:paraId="488A336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835.02</w:t>
            </w:r>
          </w:p>
        </w:tc>
        <w:tc>
          <w:tcPr>
            <w:tcW w:w="1607" w:type="dxa"/>
            <w:shd w:val="clear" w:color="auto" w:fill="auto"/>
            <w:vAlign w:val="center"/>
          </w:tcPr>
          <w:p w14:paraId="78E1D39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4,322.43</w:t>
            </w:r>
          </w:p>
        </w:tc>
      </w:tr>
      <w:tr w:rsidR="008A5057" w:rsidRPr="00BD295E" w14:paraId="54226DED" w14:textId="77777777" w:rsidTr="00B97058">
        <w:trPr>
          <w:trHeight w:val="414"/>
        </w:trPr>
        <w:tc>
          <w:tcPr>
            <w:tcW w:w="724" w:type="dxa"/>
            <w:shd w:val="clear" w:color="000000" w:fill="FFFFFF"/>
            <w:noWrap/>
            <w:hideMark/>
          </w:tcPr>
          <w:p w14:paraId="576E038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2. </w:t>
            </w:r>
          </w:p>
        </w:tc>
        <w:tc>
          <w:tcPr>
            <w:tcW w:w="4111" w:type="dxa"/>
            <w:shd w:val="clear" w:color="000000" w:fill="FFFFFF"/>
            <w:noWrap/>
            <w:hideMark/>
          </w:tcPr>
          <w:p w14:paraId="328A30E7"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Households and equivalent consumers</w:t>
            </w:r>
          </w:p>
        </w:tc>
        <w:tc>
          <w:tcPr>
            <w:tcW w:w="1606" w:type="dxa"/>
            <w:shd w:val="clear" w:color="000000" w:fill="FFFFFF"/>
            <w:noWrap/>
            <w:vAlign w:val="bottom"/>
            <w:hideMark/>
          </w:tcPr>
          <w:p w14:paraId="7A82E61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0AC291FF"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000000" w:fill="FFFFFF"/>
            <w:noWrap/>
            <w:vAlign w:val="bottom"/>
          </w:tcPr>
          <w:p w14:paraId="6567A499" w14:textId="77777777" w:rsidR="00B97058" w:rsidRPr="00BD295E" w:rsidRDefault="00B97058" w:rsidP="00B97058">
            <w:pPr>
              <w:rPr>
                <w:rFonts w:ascii="Arial" w:hAnsi="Arial" w:cs="Arial"/>
                <w:sz w:val="18"/>
                <w:szCs w:val="18"/>
                <w:lang w:val="en-US"/>
              </w:rPr>
            </w:pPr>
          </w:p>
        </w:tc>
      </w:tr>
      <w:tr w:rsidR="008A5057" w:rsidRPr="00BD295E" w14:paraId="0BE065B5" w14:textId="77777777" w:rsidTr="00B97058">
        <w:trPr>
          <w:trHeight w:val="336"/>
        </w:trPr>
        <w:tc>
          <w:tcPr>
            <w:tcW w:w="724" w:type="dxa"/>
            <w:shd w:val="clear" w:color="000000" w:fill="FFFFFF"/>
            <w:noWrap/>
            <w:hideMark/>
          </w:tcPr>
          <w:p w14:paraId="47E00FF6"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2.1. </w:t>
            </w:r>
          </w:p>
        </w:tc>
        <w:tc>
          <w:tcPr>
            <w:tcW w:w="4111" w:type="dxa"/>
            <w:shd w:val="clear" w:color="000000" w:fill="FFFFFF"/>
            <w:hideMark/>
          </w:tcPr>
          <w:p w14:paraId="79D13BA9"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Households, except as specified in items 1.2 and 1.3</w:t>
            </w:r>
          </w:p>
        </w:tc>
        <w:tc>
          <w:tcPr>
            <w:tcW w:w="1606" w:type="dxa"/>
            <w:shd w:val="clear" w:color="000000" w:fill="FFFFFF"/>
            <w:noWrap/>
            <w:vAlign w:val="center"/>
            <w:hideMark/>
          </w:tcPr>
          <w:p w14:paraId="6AEAC6C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4BD9321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666355D3"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1,751.62</w:t>
            </w:r>
          </w:p>
        </w:tc>
      </w:tr>
      <w:tr w:rsidR="008A5057" w:rsidRPr="00BD295E" w14:paraId="621E7EBA" w14:textId="77777777" w:rsidTr="00B97058">
        <w:trPr>
          <w:trHeight w:val="1122"/>
        </w:trPr>
        <w:tc>
          <w:tcPr>
            <w:tcW w:w="724" w:type="dxa"/>
            <w:shd w:val="clear" w:color="000000" w:fill="FFFFFF"/>
            <w:noWrap/>
            <w:hideMark/>
          </w:tcPr>
          <w:p w14:paraId="3AAA935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2.2.</w:t>
            </w:r>
          </w:p>
        </w:tc>
        <w:tc>
          <w:tcPr>
            <w:tcW w:w="4111" w:type="dxa"/>
            <w:shd w:val="clear" w:color="000000" w:fill="FFFFFF"/>
            <w:hideMark/>
          </w:tcPr>
          <w:p w14:paraId="3CE442F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xml:space="preserve">Population living in urban settlements in houses duly equipped with stationary electric stoves and/or electric heaters </w:t>
            </w:r>
          </w:p>
        </w:tc>
        <w:tc>
          <w:tcPr>
            <w:tcW w:w="1606" w:type="dxa"/>
            <w:shd w:val="clear" w:color="000000" w:fill="FFFFFF"/>
            <w:noWrap/>
            <w:vAlign w:val="center"/>
            <w:hideMark/>
          </w:tcPr>
          <w:p w14:paraId="1BEA7C1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0DA831B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0887F06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892.01</w:t>
            </w:r>
          </w:p>
        </w:tc>
      </w:tr>
      <w:tr w:rsidR="008A5057" w:rsidRPr="00BD295E" w14:paraId="33874AF8" w14:textId="77777777" w:rsidTr="00B97058">
        <w:trPr>
          <w:trHeight w:val="393"/>
        </w:trPr>
        <w:tc>
          <w:tcPr>
            <w:tcW w:w="724" w:type="dxa"/>
            <w:shd w:val="clear" w:color="000000" w:fill="FFFFFF"/>
            <w:noWrap/>
            <w:hideMark/>
          </w:tcPr>
          <w:p w14:paraId="46F08135"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2.3.</w:t>
            </w:r>
          </w:p>
        </w:tc>
        <w:tc>
          <w:tcPr>
            <w:tcW w:w="4111" w:type="dxa"/>
            <w:shd w:val="clear" w:color="000000" w:fill="FFFFFF"/>
            <w:hideMark/>
          </w:tcPr>
          <w:p w14:paraId="1399ADB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Population living in rural areas</w:t>
            </w:r>
          </w:p>
        </w:tc>
        <w:tc>
          <w:tcPr>
            <w:tcW w:w="1606" w:type="dxa"/>
            <w:shd w:val="clear" w:color="000000" w:fill="FFFFFF"/>
            <w:noWrap/>
            <w:vAlign w:val="center"/>
            <w:hideMark/>
          </w:tcPr>
          <w:p w14:paraId="09AA08B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5B1C458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66A3C34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869.36</w:t>
            </w:r>
          </w:p>
        </w:tc>
      </w:tr>
      <w:tr w:rsidR="008A5057" w:rsidRPr="00BD295E" w14:paraId="21C98209" w14:textId="77777777" w:rsidTr="00B97058">
        <w:trPr>
          <w:trHeight w:val="599"/>
        </w:trPr>
        <w:tc>
          <w:tcPr>
            <w:tcW w:w="724" w:type="dxa"/>
            <w:shd w:val="clear" w:color="000000" w:fill="FFFFFF"/>
            <w:noWrap/>
            <w:hideMark/>
          </w:tcPr>
          <w:p w14:paraId="6853CD34"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w:t>
            </w:r>
          </w:p>
        </w:tc>
        <w:tc>
          <w:tcPr>
            <w:tcW w:w="4111" w:type="dxa"/>
            <w:shd w:val="clear" w:color="000000" w:fill="FFFFFF"/>
            <w:hideMark/>
          </w:tcPr>
          <w:p w14:paraId="71F43E2C"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Consumers equivalent to households, excluding those specified in item 71(1) of the Pricing Basics:</w:t>
            </w:r>
          </w:p>
        </w:tc>
        <w:tc>
          <w:tcPr>
            <w:tcW w:w="1606" w:type="dxa"/>
            <w:shd w:val="clear" w:color="000000" w:fill="FFFFFF"/>
            <w:noWrap/>
            <w:vAlign w:val="center"/>
            <w:hideMark/>
          </w:tcPr>
          <w:p w14:paraId="4202089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63110E6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0636FEC" w14:textId="77777777" w:rsidR="00B97058" w:rsidRPr="00BD295E" w:rsidRDefault="00B97058" w:rsidP="00B97058">
            <w:pPr>
              <w:jc w:val="center"/>
              <w:rPr>
                <w:rFonts w:ascii="Arial" w:hAnsi="Arial" w:cs="Arial"/>
                <w:sz w:val="18"/>
                <w:szCs w:val="18"/>
                <w:lang w:val="en-US"/>
              </w:rPr>
            </w:pPr>
          </w:p>
        </w:tc>
      </w:tr>
      <w:tr w:rsidR="008A5057" w:rsidRPr="00BD295E" w14:paraId="0C3A6EFF" w14:textId="77777777" w:rsidTr="00B97058">
        <w:trPr>
          <w:trHeight w:val="1659"/>
        </w:trPr>
        <w:tc>
          <w:tcPr>
            <w:tcW w:w="724" w:type="dxa"/>
            <w:shd w:val="clear" w:color="000000" w:fill="FFFFFF"/>
            <w:noWrap/>
            <w:hideMark/>
          </w:tcPr>
          <w:p w14:paraId="4A8E49D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2.4.1.</w:t>
            </w:r>
          </w:p>
        </w:tc>
        <w:tc>
          <w:tcPr>
            <w:tcW w:w="4111" w:type="dxa"/>
            <w:shd w:val="clear" w:color="000000" w:fill="FFFFFF"/>
            <w:hideMark/>
          </w:tcPr>
          <w:p w14:paraId="4FB2B9C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Gardening, vegetable gardening or dacha non-profit associations of individuals – non-profit organizations established by individuals on a voluntary basis to assist its members in addressing common social and economic tasks related to gardening, vegetable gardening, and dacha farming</w:t>
            </w:r>
          </w:p>
        </w:tc>
        <w:tc>
          <w:tcPr>
            <w:tcW w:w="1606" w:type="dxa"/>
            <w:shd w:val="clear" w:color="000000" w:fill="FFFFFF"/>
            <w:noWrap/>
            <w:vAlign w:val="center"/>
            <w:hideMark/>
          </w:tcPr>
          <w:p w14:paraId="168D115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3CDFADA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6C1567C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1,581.39</w:t>
            </w:r>
          </w:p>
        </w:tc>
      </w:tr>
      <w:tr w:rsidR="008A5057" w:rsidRPr="00BD295E" w14:paraId="638FD2F2" w14:textId="77777777" w:rsidTr="00B97058">
        <w:trPr>
          <w:trHeight w:val="1358"/>
        </w:trPr>
        <w:tc>
          <w:tcPr>
            <w:tcW w:w="724" w:type="dxa"/>
            <w:shd w:val="clear" w:color="000000" w:fill="FFFFFF"/>
            <w:noWrap/>
            <w:hideMark/>
          </w:tcPr>
          <w:p w14:paraId="38C0E74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2.4.2.</w:t>
            </w:r>
          </w:p>
        </w:tc>
        <w:tc>
          <w:tcPr>
            <w:tcW w:w="4111" w:type="dxa"/>
            <w:shd w:val="clear" w:color="000000" w:fill="FFFFFF"/>
            <w:hideMark/>
          </w:tcPr>
          <w:p w14:paraId="5B767DC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Legal entities acquiring electricity (capacity) for consumption by persons serving a sentence of imprisonment in their living quarters, provided that separate electricity metering is available for such living quarters</w:t>
            </w:r>
          </w:p>
        </w:tc>
        <w:tc>
          <w:tcPr>
            <w:tcW w:w="1606" w:type="dxa"/>
            <w:shd w:val="clear" w:color="000000" w:fill="FFFFFF"/>
            <w:noWrap/>
            <w:vAlign w:val="center"/>
            <w:hideMark/>
          </w:tcPr>
          <w:p w14:paraId="6BC4A22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718D57A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5667B4C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1,707.76</w:t>
            </w:r>
          </w:p>
        </w:tc>
      </w:tr>
      <w:tr w:rsidR="008A5057" w:rsidRPr="00BD295E" w14:paraId="2653AD07" w14:textId="77777777" w:rsidTr="00B97058">
        <w:trPr>
          <w:trHeight w:val="510"/>
        </w:trPr>
        <w:tc>
          <w:tcPr>
            <w:tcW w:w="724" w:type="dxa"/>
            <w:shd w:val="clear" w:color="000000" w:fill="FFFFFF"/>
            <w:noWrap/>
            <w:hideMark/>
          </w:tcPr>
          <w:p w14:paraId="1F9C69C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2.4.3.</w:t>
            </w:r>
          </w:p>
        </w:tc>
        <w:tc>
          <w:tcPr>
            <w:tcW w:w="4111" w:type="dxa"/>
            <w:shd w:val="clear" w:color="000000" w:fill="FFFFFF"/>
            <w:hideMark/>
          </w:tcPr>
          <w:p w14:paraId="4E92C54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Religious organizations financed by the congregation</w:t>
            </w:r>
          </w:p>
        </w:tc>
        <w:tc>
          <w:tcPr>
            <w:tcW w:w="1606" w:type="dxa"/>
            <w:shd w:val="clear" w:color="000000" w:fill="FFFFFF"/>
            <w:noWrap/>
            <w:vAlign w:val="center"/>
            <w:hideMark/>
          </w:tcPr>
          <w:p w14:paraId="6FA7AB7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0E697FD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005A614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1,648.15</w:t>
            </w:r>
          </w:p>
        </w:tc>
      </w:tr>
      <w:tr w:rsidR="008A5057" w:rsidRPr="00BD295E" w14:paraId="6DD5069F" w14:textId="77777777" w:rsidTr="00B97058">
        <w:trPr>
          <w:trHeight w:val="2820"/>
        </w:trPr>
        <w:tc>
          <w:tcPr>
            <w:tcW w:w="724" w:type="dxa"/>
            <w:shd w:val="clear" w:color="000000" w:fill="FFFFFF"/>
            <w:noWrap/>
            <w:hideMark/>
          </w:tcPr>
          <w:p w14:paraId="7321A82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2.4.4.</w:t>
            </w:r>
          </w:p>
        </w:tc>
        <w:tc>
          <w:tcPr>
            <w:tcW w:w="4111" w:type="dxa"/>
            <w:shd w:val="clear" w:color="000000" w:fill="FFFFFF"/>
            <w:hideMark/>
          </w:tcPr>
          <w:p w14:paraId="6D3CDAC0"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Associations of individuals purchasing electricity (capacity) for use in their own outbuildings (cellars, barns); non-profit associations of individuals (garage construction cooperatives, garage cooperatives), and individuals owning standalone garages who purchase electricity (capacity) for consumption for residential needs and not used for commercial activities.</w:t>
            </w:r>
          </w:p>
        </w:tc>
        <w:tc>
          <w:tcPr>
            <w:tcW w:w="1606" w:type="dxa"/>
            <w:shd w:val="clear" w:color="000000" w:fill="FFFFFF"/>
            <w:noWrap/>
            <w:vAlign w:val="center"/>
            <w:hideMark/>
          </w:tcPr>
          <w:p w14:paraId="52A0D7E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7F86D4B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729C361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1,720.36</w:t>
            </w:r>
          </w:p>
        </w:tc>
      </w:tr>
    </w:tbl>
    <w:p w14:paraId="206BE6FE" w14:textId="77777777" w:rsidR="00B97058" w:rsidRPr="00BD295E" w:rsidRDefault="00B97058" w:rsidP="00B97058">
      <w:pPr>
        <w:keepNext/>
        <w:keepLines/>
        <w:rPr>
          <w:rFonts w:ascii="Arial" w:hAnsi="Arial" w:cs="Arial"/>
          <w:sz w:val="18"/>
          <w:szCs w:val="18"/>
          <w:lang w:val="en-US"/>
        </w:rPr>
      </w:pPr>
    </w:p>
    <w:p w14:paraId="66896108" w14:textId="77777777" w:rsidR="00B97058" w:rsidRPr="00BD295E" w:rsidRDefault="008A5057" w:rsidP="00B97058">
      <w:pPr>
        <w:keepNext/>
        <w:keepLines/>
        <w:rPr>
          <w:rFonts w:ascii="Arial" w:hAnsi="Arial" w:cs="Arial"/>
          <w:sz w:val="18"/>
          <w:szCs w:val="18"/>
          <w:lang w:val="en-US"/>
        </w:rPr>
      </w:pPr>
      <w:r w:rsidRPr="00BD295E">
        <w:rPr>
          <w:rFonts w:ascii="Arial" w:hAnsi="Arial" w:cs="Arial"/>
          <w:sz w:val="18"/>
          <w:szCs w:val="18"/>
          <w:lang w:val="en-US"/>
        </w:rPr>
        <w:t>From July 1, 2018 to December 31, 2018</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4111"/>
        <w:gridCol w:w="1606"/>
        <w:gridCol w:w="1606"/>
        <w:gridCol w:w="1607"/>
      </w:tblGrid>
      <w:tr w:rsidR="008A5057" w:rsidRPr="00BD295E" w14:paraId="13F1AE37" w14:textId="77777777" w:rsidTr="00B97058">
        <w:trPr>
          <w:trHeight w:val="1550"/>
        </w:trPr>
        <w:tc>
          <w:tcPr>
            <w:tcW w:w="724" w:type="dxa"/>
            <w:shd w:val="clear" w:color="000000" w:fill="FFFFFF"/>
            <w:vAlign w:val="center"/>
            <w:hideMark/>
          </w:tcPr>
          <w:p w14:paraId="3F5C6A0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No.</w:t>
            </w:r>
          </w:p>
          <w:p w14:paraId="575CDE51"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vAlign w:val="center"/>
            <w:hideMark/>
          </w:tcPr>
          <w:p w14:paraId="20C9BDB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Consumer group</w:t>
            </w:r>
          </w:p>
        </w:tc>
        <w:tc>
          <w:tcPr>
            <w:tcW w:w="1606" w:type="dxa"/>
            <w:shd w:val="clear" w:color="000000" w:fill="FFFFFF"/>
            <w:vAlign w:val="center"/>
            <w:hideMark/>
          </w:tcPr>
          <w:p w14:paraId="767FEBB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 grid maintenance (RUB/MW per month)</w:t>
            </w:r>
          </w:p>
        </w:tc>
        <w:tc>
          <w:tcPr>
            <w:tcW w:w="1606" w:type="dxa"/>
            <w:shd w:val="clear" w:color="000000" w:fill="FFFFFF"/>
            <w:vAlign w:val="center"/>
          </w:tcPr>
          <w:p w14:paraId="2482F4AC"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electricity network losses (RUB/MWh)</w:t>
            </w:r>
          </w:p>
        </w:tc>
        <w:tc>
          <w:tcPr>
            <w:tcW w:w="1607" w:type="dxa"/>
            <w:shd w:val="clear" w:color="000000" w:fill="FFFFFF"/>
            <w:vAlign w:val="center"/>
            <w:hideMark/>
          </w:tcPr>
          <w:p w14:paraId="4EF123A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One-rate tariff (RUB/MWh)</w:t>
            </w:r>
          </w:p>
        </w:tc>
      </w:tr>
      <w:tr w:rsidR="008A5057" w:rsidRPr="00BD295E" w14:paraId="53E44CA2" w14:textId="77777777" w:rsidTr="00B97058">
        <w:trPr>
          <w:trHeight w:val="139"/>
        </w:trPr>
        <w:tc>
          <w:tcPr>
            <w:tcW w:w="724" w:type="dxa"/>
            <w:shd w:val="clear" w:color="000000" w:fill="FFFFFF"/>
            <w:noWrap/>
            <w:hideMark/>
          </w:tcPr>
          <w:p w14:paraId="39B520B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1.</w:t>
            </w:r>
          </w:p>
        </w:tc>
        <w:tc>
          <w:tcPr>
            <w:tcW w:w="4111" w:type="dxa"/>
            <w:shd w:val="clear" w:color="000000" w:fill="FFFFFF"/>
            <w:noWrap/>
            <w:hideMark/>
          </w:tcPr>
          <w:p w14:paraId="74B4D0D0"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Other</w:t>
            </w:r>
          </w:p>
        </w:tc>
        <w:tc>
          <w:tcPr>
            <w:tcW w:w="1606" w:type="dxa"/>
            <w:shd w:val="clear" w:color="000000" w:fill="FFFFFF"/>
            <w:noWrap/>
            <w:vAlign w:val="bottom"/>
            <w:hideMark/>
          </w:tcPr>
          <w:p w14:paraId="57BBAE94" w14:textId="77777777" w:rsidR="00B97058" w:rsidRPr="00BD295E" w:rsidRDefault="00B97058" w:rsidP="00B97058">
            <w:pPr>
              <w:jc w:val="center"/>
              <w:rPr>
                <w:rFonts w:ascii="Arial" w:hAnsi="Arial" w:cs="Arial"/>
                <w:bCs/>
                <w:sz w:val="18"/>
                <w:szCs w:val="18"/>
                <w:lang w:val="en-US"/>
              </w:rPr>
            </w:pPr>
          </w:p>
        </w:tc>
        <w:tc>
          <w:tcPr>
            <w:tcW w:w="1606" w:type="dxa"/>
            <w:shd w:val="clear" w:color="000000" w:fill="FFFFFF"/>
            <w:vAlign w:val="bottom"/>
          </w:tcPr>
          <w:p w14:paraId="562536B6" w14:textId="77777777" w:rsidR="00B97058" w:rsidRPr="00BD295E" w:rsidRDefault="00B97058" w:rsidP="00B97058">
            <w:pPr>
              <w:jc w:val="center"/>
              <w:rPr>
                <w:rFonts w:ascii="Arial" w:hAnsi="Arial" w:cs="Arial"/>
                <w:bCs/>
                <w:sz w:val="18"/>
                <w:szCs w:val="18"/>
                <w:lang w:val="en-US"/>
              </w:rPr>
            </w:pPr>
          </w:p>
        </w:tc>
        <w:tc>
          <w:tcPr>
            <w:tcW w:w="1607" w:type="dxa"/>
            <w:shd w:val="clear" w:color="000000" w:fill="FFFFFF"/>
            <w:vAlign w:val="bottom"/>
          </w:tcPr>
          <w:p w14:paraId="6CB0C0E0" w14:textId="77777777" w:rsidR="00B97058" w:rsidRPr="00BD295E" w:rsidRDefault="00B97058" w:rsidP="00B97058">
            <w:pPr>
              <w:jc w:val="center"/>
              <w:rPr>
                <w:rFonts w:ascii="Arial" w:hAnsi="Arial" w:cs="Arial"/>
                <w:bCs/>
                <w:sz w:val="18"/>
                <w:szCs w:val="18"/>
                <w:lang w:val="en-US"/>
              </w:rPr>
            </w:pPr>
          </w:p>
        </w:tc>
      </w:tr>
      <w:tr w:rsidR="008A5057" w:rsidRPr="00BD295E" w14:paraId="3E57F869" w14:textId="77777777" w:rsidTr="00B97058">
        <w:trPr>
          <w:trHeight w:val="283"/>
        </w:trPr>
        <w:tc>
          <w:tcPr>
            <w:tcW w:w="724" w:type="dxa"/>
            <w:shd w:val="clear" w:color="000000" w:fill="FFFFFF"/>
            <w:noWrap/>
          </w:tcPr>
          <w:p w14:paraId="785CB50B"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noWrap/>
            <w:hideMark/>
          </w:tcPr>
          <w:p w14:paraId="179A712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HV</w:t>
            </w:r>
          </w:p>
        </w:tc>
        <w:tc>
          <w:tcPr>
            <w:tcW w:w="1606" w:type="dxa"/>
            <w:shd w:val="clear" w:color="auto" w:fill="auto"/>
            <w:vAlign w:val="center"/>
          </w:tcPr>
          <w:p w14:paraId="1AF4300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1,611,173.45</w:t>
            </w:r>
          </w:p>
        </w:tc>
        <w:tc>
          <w:tcPr>
            <w:tcW w:w="1606" w:type="dxa"/>
            <w:shd w:val="clear" w:color="auto" w:fill="auto"/>
            <w:vAlign w:val="center"/>
          </w:tcPr>
          <w:p w14:paraId="24E23E6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xml:space="preserve">55.77 </w:t>
            </w:r>
          </w:p>
        </w:tc>
        <w:tc>
          <w:tcPr>
            <w:tcW w:w="1607" w:type="dxa"/>
            <w:shd w:val="clear" w:color="auto" w:fill="auto"/>
            <w:vAlign w:val="center"/>
          </w:tcPr>
          <w:p w14:paraId="167FC29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1,829.41</w:t>
            </w:r>
          </w:p>
        </w:tc>
      </w:tr>
      <w:tr w:rsidR="008A5057" w:rsidRPr="00BD295E" w14:paraId="33E24593" w14:textId="77777777" w:rsidTr="00B97058">
        <w:trPr>
          <w:trHeight w:val="120"/>
        </w:trPr>
        <w:tc>
          <w:tcPr>
            <w:tcW w:w="724" w:type="dxa"/>
            <w:shd w:val="clear" w:color="000000" w:fill="FFFFFF"/>
            <w:noWrap/>
            <w:hideMark/>
          </w:tcPr>
          <w:p w14:paraId="4FE1B5C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210760C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MV-1</w:t>
            </w:r>
          </w:p>
        </w:tc>
        <w:tc>
          <w:tcPr>
            <w:tcW w:w="1606" w:type="dxa"/>
            <w:shd w:val="clear" w:color="auto" w:fill="auto"/>
            <w:vAlign w:val="center"/>
          </w:tcPr>
          <w:p w14:paraId="3318385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1,636,536.34</w:t>
            </w:r>
          </w:p>
        </w:tc>
        <w:tc>
          <w:tcPr>
            <w:tcW w:w="1606" w:type="dxa"/>
            <w:shd w:val="clear" w:color="auto" w:fill="auto"/>
            <w:vAlign w:val="center"/>
          </w:tcPr>
          <w:p w14:paraId="4337169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156.27</w:t>
            </w:r>
          </w:p>
        </w:tc>
        <w:tc>
          <w:tcPr>
            <w:tcW w:w="1607" w:type="dxa"/>
            <w:shd w:val="clear" w:color="auto" w:fill="auto"/>
            <w:vAlign w:val="center"/>
          </w:tcPr>
          <w:p w14:paraId="336B3BC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2,556.24</w:t>
            </w:r>
          </w:p>
        </w:tc>
      </w:tr>
      <w:tr w:rsidR="008A5057" w:rsidRPr="00BD295E" w14:paraId="4B63B582" w14:textId="77777777" w:rsidTr="00B97058">
        <w:trPr>
          <w:trHeight w:val="166"/>
        </w:trPr>
        <w:tc>
          <w:tcPr>
            <w:tcW w:w="724" w:type="dxa"/>
            <w:shd w:val="clear" w:color="000000" w:fill="FFFFFF"/>
            <w:noWrap/>
            <w:hideMark/>
          </w:tcPr>
          <w:p w14:paraId="0A93D5EC"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6482771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MV-2</w:t>
            </w:r>
          </w:p>
        </w:tc>
        <w:tc>
          <w:tcPr>
            <w:tcW w:w="1606" w:type="dxa"/>
            <w:shd w:val="clear" w:color="auto" w:fill="auto"/>
            <w:vAlign w:val="center"/>
          </w:tcPr>
          <w:p w14:paraId="7C1F2AE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1,377,241.33</w:t>
            </w:r>
          </w:p>
        </w:tc>
        <w:tc>
          <w:tcPr>
            <w:tcW w:w="1606" w:type="dxa"/>
            <w:shd w:val="clear" w:color="auto" w:fill="auto"/>
            <w:vAlign w:val="center"/>
          </w:tcPr>
          <w:p w14:paraId="52BCFA2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283.98</w:t>
            </w:r>
          </w:p>
        </w:tc>
        <w:tc>
          <w:tcPr>
            <w:tcW w:w="1607" w:type="dxa"/>
            <w:shd w:val="clear" w:color="auto" w:fill="auto"/>
            <w:vAlign w:val="center"/>
          </w:tcPr>
          <w:p w14:paraId="36D603F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2,616.31</w:t>
            </w:r>
          </w:p>
        </w:tc>
      </w:tr>
      <w:tr w:rsidR="008A5057" w:rsidRPr="00BD295E" w14:paraId="5CC6583B" w14:textId="77777777" w:rsidTr="00B97058">
        <w:trPr>
          <w:trHeight w:val="183"/>
        </w:trPr>
        <w:tc>
          <w:tcPr>
            <w:tcW w:w="724" w:type="dxa"/>
            <w:shd w:val="clear" w:color="000000" w:fill="FFFFFF"/>
            <w:noWrap/>
            <w:hideMark/>
          </w:tcPr>
          <w:p w14:paraId="4B3729B2"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1E4779F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LV</w:t>
            </w:r>
          </w:p>
        </w:tc>
        <w:tc>
          <w:tcPr>
            <w:tcW w:w="1606" w:type="dxa"/>
            <w:shd w:val="clear" w:color="auto" w:fill="auto"/>
            <w:vAlign w:val="center"/>
          </w:tcPr>
          <w:p w14:paraId="371ECC93"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1,639,174.69</w:t>
            </w:r>
          </w:p>
        </w:tc>
        <w:tc>
          <w:tcPr>
            <w:tcW w:w="1606" w:type="dxa"/>
            <w:shd w:val="clear" w:color="auto" w:fill="auto"/>
            <w:vAlign w:val="center"/>
          </w:tcPr>
          <w:p w14:paraId="339B070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876.77</w:t>
            </w:r>
          </w:p>
        </w:tc>
        <w:tc>
          <w:tcPr>
            <w:tcW w:w="1607" w:type="dxa"/>
            <w:shd w:val="clear" w:color="auto" w:fill="auto"/>
            <w:vAlign w:val="center"/>
          </w:tcPr>
          <w:p w14:paraId="5D6A944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4,745.08</w:t>
            </w:r>
          </w:p>
        </w:tc>
      </w:tr>
      <w:tr w:rsidR="008A5057" w:rsidRPr="00BD295E" w14:paraId="2C47EFEF" w14:textId="77777777" w:rsidTr="00B97058">
        <w:trPr>
          <w:trHeight w:val="414"/>
        </w:trPr>
        <w:tc>
          <w:tcPr>
            <w:tcW w:w="724" w:type="dxa"/>
            <w:shd w:val="clear" w:color="000000" w:fill="FFFFFF"/>
            <w:noWrap/>
            <w:hideMark/>
          </w:tcPr>
          <w:p w14:paraId="4033A860"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2. </w:t>
            </w:r>
          </w:p>
        </w:tc>
        <w:tc>
          <w:tcPr>
            <w:tcW w:w="4111" w:type="dxa"/>
            <w:shd w:val="clear" w:color="000000" w:fill="FFFFFF"/>
            <w:noWrap/>
            <w:hideMark/>
          </w:tcPr>
          <w:p w14:paraId="18CF35A8"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Households and equivalent consumers</w:t>
            </w:r>
          </w:p>
        </w:tc>
        <w:tc>
          <w:tcPr>
            <w:tcW w:w="1606" w:type="dxa"/>
            <w:shd w:val="clear" w:color="000000" w:fill="FFFFFF"/>
            <w:noWrap/>
            <w:vAlign w:val="bottom"/>
            <w:hideMark/>
          </w:tcPr>
          <w:p w14:paraId="604A2C2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188C7789"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000000" w:fill="FFFFFF"/>
            <w:noWrap/>
            <w:vAlign w:val="bottom"/>
          </w:tcPr>
          <w:p w14:paraId="5FD2926B" w14:textId="77777777" w:rsidR="00B97058" w:rsidRPr="00BD295E" w:rsidRDefault="00B97058" w:rsidP="00B97058">
            <w:pPr>
              <w:rPr>
                <w:rFonts w:ascii="Arial" w:hAnsi="Arial" w:cs="Arial"/>
                <w:sz w:val="18"/>
                <w:szCs w:val="18"/>
                <w:lang w:val="en-US"/>
              </w:rPr>
            </w:pPr>
          </w:p>
        </w:tc>
      </w:tr>
      <w:tr w:rsidR="008A5057" w:rsidRPr="00BD295E" w14:paraId="1E374CAA" w14:textId="77777777" w:rsidTr="00B97058">
        <w:trPr>
          <w:trHeight w:val="336"/>
        </w:trPr>
        <w:tc>
          <w:tcPr>
            <w:tcW w:w="724" w:type="dxa"/>
            <w:shd w:val="clear" w:color="000000" w:fill="FFFFFF"/>
            <w:noWrap/>
            <w:hideMark/>
          </w:tcPr>
          <w:p w14:paraId="5ECC6E3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2.1. </w:t>
            </w:r>
          </w:p>
        </w:tc>
        <w:tc>
          <w:tcPr>
            <w:tcW w:w="4111" w:type="dxa"/>
            <w:shd w:val="clear" w:color="000000" w:fill="FFFFFF"/>
            <w:hideMark/>
          </w:tcPr>
          <w:p w14:paraId="63AD8F12"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Households, except as specified in items 1.2 and 1.3</w:t>
            </w:r>
          </w:p>
        </w:tc>
        <w:tc>
          <w:tcPr>
            <w:tcW w:w="1606" w:type="dxa"/>
            <w:shd w:val="clear" w:color="000000" w:fill="FFFFFF"/>
            <w:noWrap/>
            <w:vAlign w:val="center"/>
            <w:hideMark/>
          </w:tcPr>
          <w:p w14:paraId="145683E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560DF62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70A8FE7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1,821.99</w:t>
            </w:r>
          </w:p>
        </w:tc>
      </w:tr>
      <w:tr w:rsidR="008A5057" w:rsidRPr="00BD295E" w14:paraId="7A6B0B8F" w14:textId="77777777" w:rsidTr="00B97058">
        <w:trPr>
          <w:trHeight w:val="1122"/>
        </w:trPr>
        <w:tc>
          <w:tcPr>
            <w:tcW w:w="724" w:type="dxa"/>
            <w:shd w:val="clear" w:color="000000" w:fill="FFFFFF"/>
            <w:noWrap/>
            <w:hideMark/>
          </w:tcPr>
          <w:p w14:paraId="4A84CE0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2.2.</w:t>
            </w:r>
          </w:p>
        </w:tc>
        <w:tc>
          <w:tcPr>
            <w:tcW w:w="4111" w:type="dxa"/>
            <w:shd w:val="clear" w:color="000000" w:fill="FFFFFF"/>
            <w:hideMark/>
          </w:tcPr>
          <w:p w14:paraId="63E0CC3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xml:space="preserve">Population living in urban settlements in houses duly equipped with stationary electric stoves and/or electric heaters </w:t>
            </w:r>
          </w:p>
        </w:tc>
        <w:tc>
          <w:tcPr>
            <w:tcW w:w="1606" w:type="dxa"/>
            <w:shd w:val="clear" w:color="000000" w:fill="FFFFFF"/>
            <w:noWrap/>
            <w:vAlign w:val="center"/>
            <w:hideMark/>
          </w:tcPr>
          <w:p w14:paraId="420651F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078416C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7169944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906.51</w:t>
            </w:r>
          </w:p>
        </w:tc>
      </w:tr>
      <w:tr w:rsidR="008A5057" w:rsidRPr="00BD295E" w14:paraId="67241F9B" w14:textId="77777777" w:rsidTr="00B97058">
        <w:trPr>
          <w:trHeight w:val="393"/>
        </w:trPr>
        <w:tc>
          <w:tcPr>
            <w:tcW w:w="724" w:type="dxa"/>
            <w:shd w:val="clear" w:color="000000" w:fill="FFFFFF"/>
            <w:noWrap/>
            <w:hideMark/>
          </w:tcPr>
          <w:p w14:paraId="77A77923"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2.3.</w:t>
            </w:r>
          </w:p>
        </w:tc>
        <w:tc>
          <w:tcPr>
            <w:tcW w:w="4111" w:type="dxa"/>
            <w:shd w:val="clear" w:color="000000" w:fill="FFFFFF"/>
            <w:hideMark/>
          </w:tcPr>
          <w:p w14:paraId="6EDF2E38"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Population living in rural areas</w:t>
            </w:r>
          </w:p>
        </w:tc>
        <w:tc>
          <w:tcPr>
            <w:tcW w:w="1606" w:type="dxa"/>
            <w:shd w:val="clear" w:color="000000" w:fill="FFFFFF"/>
            <w:noWrap/>
            <w:vAlign w:val="center"/>
            <w:hideMark/>
          </w:tcPr>
          <w:p w14:paraId="02FD19F3"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42D93FA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36B518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882.39</w:t>
            </w:r>
          </w:p>
        </w:tc>
      </w:tr>
      <w:tr w:rsidR="008A5057" w:rsidRPr="00BD295E" w14:paraId="3E74FCEE" w14:textId="77777777" w:rsidTr="00B97058">
        <w:trPr>
          <w:trHeight w:val="599"/>
        </w:trPr>
        <w:tc>
          <w:tcPr>
            <w:tcW w:w="724" w:type="dxa"/>
            <w:shd w:val="clear" w:color="000000" w:fill="FFFFFF"/>
            <w:noWrap/>
            <w:hideMark/>
          </w:tcPr>
          <w:p w14:paraId="6FDD5C8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w:t>
            </w:r>
          </w:p>
        </w:tc>
        <w:tc>
          <w:tcPr>
            <w:tcW w:w="4111" w:type="dxa"/>
            <w:shd w:val="clear" w:color="000000" w:fill="FFFFFF"/>
            <w:hideMark/>
          </w:tcPr>
          <w:p w14:paraId="1A34152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Consumers equivalent to households, excluding those specified in item 71(1) of the Pricing Basics:</w:t>
            </w:r>
          </w:p>
        </w:tc>
        <w:tc>
          <w:tcPr>
            <w:tcW w:w="1606" w:type="dxa"/>
            <w:shd w:val="clear" w:color="000000" w:fill="FFFFFF"/>
            <w:noWrap/>
            <w:vAlign w:val="center"/>
            <w:hideMark/>
          </w:tcPr>
          <w:p w14:paraId="5B1CCFF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7B63EDA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43A22512" w14:textId="77777777" w:rsidR="00B97058" w:rsidRPr="00BD295E" w:rsidRDefault="00B97058" w:rsidP="00B97058">
            <w:pPr>
              <w:jc w:val="center"/>
              <w:rPr>
                <w:rFonts w:ascii="Arial" w:hAnsi="Arial" w:cs="Arial"/>
                <w:sz w:val="18"/>
                <w:szCs w:val="18"/>
                <w:lang w:val="en-US"/>
              </w:rPr>
            </w:pPr>
          </w:p>
        </w:tc>
      </w:tr>
      <w:tr w:rsidR="008A5057" w:rsidRPr="00BD295E" w14:paraId="600715CA" w14:textId="77777777" w:rsidTr="00B97058">
        <w:trPr>
          <w:trHeight w:val="1659"/>
        </w:trPr>
        <w:tc>
          <w:tcPr>
            <w:tcW w:w="724" w:type="dxa"/>
            <w:shd w:val="clear" w:color="000000" w:fill="FFFFFF"/>
            <w:noWrap/>
            <w:hideMark/>
          </w:tcPr>
          <w:p w14:paraId="291804B0"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2.4.1.</w:t>
            </w:r>
          </w:p>
        </w:tc>
        <w:tc>
          <w:tcPr>
            <w:tcW w:w="4111" w:type="dxa"/>
            <w:shd w:val="clear" w:color="000000" w:fill="FFFFFF"/>
            <w:hideMark/>
          </w:tcPr>
          <w:p w14:paraId="19789FB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Gardening, vegetable gardening or dacha non-profit associations of individuals – non-profit organizations established by individuals on a voluntary basis to assist its members in addressing common social and economic tasks related to gardening, vegetable gardening, and dacha farming</w:t>
            </w:r>
          </w:p>
        </w:tc>
        <w:tc>
          <w:tcPr>
            <w:tcW w:w="1606" w:type="dxa"/>
            <w:shd w:val="clear" w:color="000000" w:fill="FFFFFF"/>
            <w:noWrap/>
            <w:vAlign w:val="center"/>
            <w:hideMark/>
          </w:tcPr>
          <w:p w14:paraId="4393154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7CA425A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4046325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1,640.70</w:t>
            </w:r>
          </w:p>
        </w:tc>
      </w:tr>
      <w:tr w:rsidR="008A5057" w:rsidRPr="00BD295E" w14:paraId="0189194F" w14:textId="77777777" w:rsidTr="00B97058">
        <w:trPr>
          <w:trHeight w:val="1358"/>
        </w:trPr>
        <w:tc>
          <w:tcPr>
            <w:tcW w:w="724" w:type="dxa"/>
            <w:shd w:val="clear" w:color="000000" w:fill="FFFFFF"/>
            <w:noWrap/>
            <w:hideMark/>
          </w:tcPr>
          <w:p w14:paraId="0ADBD7D4"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2.4.2.</w:t>
            </w:r>
          </w:p>
        </w:tc>
        <w:tc>
          <w:tcPr>
            <w:tcW w:w="4111" w:type="dxa"/>
            <w:shd w:val="clear" w:color="000000" w:fill="FFFFFF"/>
            <w:hideMark/>
          </w:tcPr>
          <w:p w14:paraId="2EF393A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Legal entities acquiring electricity (capacity) for consumption by persons serving a sentence of imprisonment in their living quarters, provided that separate electricity metering is available for such living quarters</w:t>
            </w:r>
          </w:p>
        </w:tc>
        <w:tc>
          <w:tcPr>
            <w:tcW w:w="1606" w:type="dxa"/>
            <w:shd w:val="clear" w:color="000000" w:fill="FFFFFF"/>
            <w:noWrap/>
            <w:vAlign w:val="center"/>
            <w:hideMark/>
          </w:tcPr>
          <w:p w14:paraId="5173DA3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6486349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0B9C2D7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1,775.29</w:t>
            </w:r>
          </w:p>
        </w:tc>
      </w:tr>
      <w:tr w:rsidR="008A5057" w:rsidRPr="00BD295E" w14:paraId="0423A3BA" w14:textId="77777777" w:rsidTr="00B97058">
        <w:trPr>
          <w:trHeight w:val="510"/>
        </w:trPr>
        <w:tc>
          <w:tcPr>
            <w:tcW w:w="724" w:type="dxa"/>
            <w:shd w:val="clear" w:color="000000" w:fill="FFFFFF"/>
            <w:noWrap/>
            <w:hideMark/>
          </w:tcPr>
          <w:p w14:paraId="039C8E7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2.4.3.</w:t>
            </w:r>
          </w:p>
        </w:tc>
        <w:tc>
          <w:tcPr>
            <w:tcW w:w="4111" w:type="dxa"/>
            <w:shd w:val="clear" w:color="000000" w:fill="FFFFFF"/>
            <w:hideMark/>
          </w:tcPr>
          <w:p w14:paraId="28124FDD"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Religious organizations financed by the congregation</w:t>
            </w:r>
          </w:p>
        </w:tc>
        <w:tc>
          <w:tcPr>
            <w:tcW w:w="1606" w:type="dxa"/>
            <w:shd w:val="clear" w:color="000000" w:fill="FFFFFF"/>
            <w:noWrap/>
            <w:vAlign w:val="center"/>
            <w:hideMark/>
          </w:tcPr>
          <w:p w14:paraId="618E8E1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34EDB06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1D954FD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1,711.80</w:t>
            </w:r>
          </w:p>
        </w:tc>
      </w:tr>
      <w:tr w:rsidR="008A5057" w:rsidRPr="00BD295E" w14:paraId="48478FAC" w14:textId="77777777" w:rsidTr="00B97058">
        <w:trPr>
          <w:trHeight w:val="2820"/>
        </w:trPr>
        <w:tc>
          <w:tcPr>
            <w:tcW w:w="724" w:type="dxa"/>
            <w:shd w:val="clear" w:color="000000" w:fill="FFFFFF"/>
            <w:noWrap/>
            <w:hideMark/>
          </w:tcPr>
          <w:p w14:paraId="664CBCC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2.4.4.</w:t>
            </w:r>
          </w:p>
        </w:tc>
        <w:tc>
          <w:tcPr>
            <w:tcW w:w="4111" w:type="dxa"/>
            <w:shd w:val="clear" w:color="000000" w:fill="FFFFFF"/>
            <w:hideMark/>
          </w:tcPr>
          <w:p w14:paraId="28F336EC"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Associations of individuals purchasing electricity (capacity) for use in their own outbuildings (cellars, barns); non-profit associations of individuals (garage construction cooperatives, garage cooperatives), and individuals owning standalone garages who purchase electricity (capacity) for consumption for residential needs and not used for commercial activities.</w:t>
            </w:r>
          </w:p>
        </w:tc>
        <w:tc>
          <w:tcPr>
            <w:tcW w:w="1606" w:type="dxa"/>
            <w:shd w:val="clear" w:color="000000" w:fill="FFFFFF"/>
            <w:noWrap/>
            <w:vAlign w:val="center"/>
            <w:hideMark/>
          </w:tcPr>
          <w:p w14:paraId="158ED5A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23A719F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5C9B2E2E" w14:textId="77777777" w:rsidR="00B97058" w:rsidRPr="00BD295E" w:rsidRDefault="008A5057" w:rsidP="00FA6082">
            <w:pPr>
              <w:pStyle w:val="af3"/>
              <w:numPr>
                <w:ilvl w:val="0"/>
                <w:numId w:val="161"/>
              </w:numPr>
              <w:jc w:val="center"/>
              <w:rPr>
                <w:rFonts w:ascii="Arial" w:hAnsi="Arial" w:cs="Arial"/>
                <w:sz w:val="18"/>
                <w:szCs w:val="18"/>
                <w:lang w:val="en-US"/>
              </w:rPr>
            </w:pPr>
            <w:r w:rsidRPr="00BD295E">
              <w:rPr>
                <w:rFonts w:ascii="Arial" w:hAnsi="Arial" w:cs="Arial"/>
                <w:sz w:val="18"/>
                <w:szCs w:val="18"/>
                <w:lang w:val="en-US"/>
              </w:rPr>
              <w:t>788.70</w:t>
            </w:r>
          </w:p>
        </w:tc>
      </w:tr>
    </w:tbl>
    <w:p w14:paraId="7C5FA813" w14:textId="77777777" w:rsidR="00B97058" w:rsidRPr="00BD295E" w:rsidRDefault="008A5057" w:rsidP="00CA2271">
      <w:pPr>
        <w:pStyle w:val="af3"/>
        <w:numPr>
          <w:ilvl w:val="0"/>
          <w:numId w:val="101"/>
        </w:numPr>
        <w:ind w:hanging="720"/>
        <w:jc w:val="both"/>
        <w:rPr>
          <w:rFonts w:ascii="Arial" w:hAnsi="Arial" w:cs="Arial"/>
          <w:sz w:val="18"/>
          <w:szCs w:val="18"/>
          <w:lang w:val="en-US"/>
        </w:rPr>
      </w:pPr>
      <w:r w:rsidRPr="00BD295E">
        <w:rPr>
          <w:rFonts w:ascii="Arial" w:hAnsi="Arial" w:cs="Arial"/>
          <w:sz w:val="18"/>
          <w:szCs w:val="18"/>
          <w:lang w:val="en-US"/>
        </w:rPr>
        <w:t xml:space="preserve">Individual two-rate tariffs used for settlements between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allied grid organizations (for electricity distribution services provided via their grids) without differentiation by voltage level. Order No. 659-p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2017</w:t>
      </w:r>
    </w:p>
    <w:p w14:paraId="7CBFE4FF" w14:textId="77777777" w:rsidR="00B97058" w:rsidRPr="00BD295E" w:rsidRDefault="00B97058" w:rsidP="005C1246">
      <w:pPr>
        <w:jc w:val="both"/>
        <w:rPr>
          <w:rFonts w:ascii="Arial" w:hAnsi="Arial" w:cs="Arial"/>
          <w:b/>
          <w:sz w:val="18"/>
          <w:szCs w:val="18"/>
          <w:lang w:val="en-US"/>
        </w:rPr>
      </w:pPr>
    </w:p>
    <w:p w14:paraId="68C113D4" w14:textId="77777777" w:rsidR="00B97058" w:rsidRPr="00BD295E" w:rsidRDefault="00B97058" w:rsidP="005C1246">
      <w:pPr>
        <w:jc w:val="both"/>
        <w:rPr>
          <w:rFonts w:ascii="Arial" w:hAnsi="Arial" w:cs="Arial"/>
          <w:b/>
          <w:sz w:val="18"/>
          <w:szCs w:val="18"/>
          <w:lang w:val="en-US"/>
        </w:rPr>
      </w:pPr>
    </w:p>
    <w:p w14:paraId="52229C55" w14:textId="77777777" w:rsidR="00B97058" w:rsidRPr="00BD295E" w:rsidRDefault="008A5057" w:rsidP="005C1246">
      <w:pPr>
        <w:jc w:val="both"/>
        <w:rPr>
          <w:rFonts w:ascii="Arial" w:hAnsi="Arial" w:cs="Arial"/>
          <w:b/>
          <w:sz w:val="18"/>
          <w:szCs w:val="18"/>
          <w:lang w:val="en-US"/>
        </w:rPr>
      </w:pPr>
      <w:r w:rsidRPr="00BD295E">
        <w:rPr>
          <w:rFonts w:ascii="Arial" w:hAnsi="Arial" w:cs="Arial"/>
          <w:b/>
          <w:sz w:val="18"/>
          <w:szCs w:val="18"/>
          <w:lang w:val="en-US"/>
        </w:rPr>
        <w:t>Approved tariffs for electricity distribution for 2019</w:t>
      </w:r>
    </w:p>
    <w:p w14:paraId="14D44D70" w14:textId="77777777" w:rsidR="00B97058" w:rsidRPr="00BD295E" w:rsidRDefault="00B97058" w:rsidP="005C1246">
      <w:pPr>
        <w:jc w:val="both"/>
        <w:rPr>
          <w:rFonts w:ascii="Arial" w:hAnsi="Arial" w:cs="Arial"/>
          <w:b/>
          <w:sz w:val="18"/>
          <w:szCs w:val="18"/>
          <w:lang w:val="en-US"/>
        </w:rPr>
      </w:pPr>
    </w:p>
    <w:p w14:paraId="2FAB6C06" w14:textId="77777777" w:rsidR="00B97058" w:rsidRPr="00BD295E" w:rsidRDefault="008A5057" w:rsidP="005C1246">
      <w:pPr>
        <w:jc w:val="both"/>
        <w:rPr>
          <w:rFonts w:ascii="Arial" w:hAnsi="Arial" w:cs="Arial"/>
          <w:b/>
          <w:sz w:val="18"/>
          <w:szCs w:val="18"/>
          <w:lang w:val="en-US"/>
        </w:rPr>
      </w:pPr>
      <w:r w:rsidRPr="00BD295E">
        <w:rPr>
          <w:rFonts w:ascii="Arial" w:hAnsi="Arial" w:cs="Arial"/>
          <w:b/>
          <w:sz w:val="18"/>
          <w:szCs w:val="18"/>
          <w:lang w:val="en-US"/>
        </w:rPr>
        <w:t xml:space="preserve">Saint Petersburg: </w:t>
      </w:r>
    </w:p>
    <w:p w14:paraId="5E5BEDB5" w14:textId="77777777" w:rsidR="00B97058" w:rsidRPr="00BD295E" w:rsidRDefault="008A5057" w:rsidP="00FA6082">
      <w:pPr>
        <w:pStyle w:val="af3"/>
        <w:numPr>
          <w:ilvl w:val="0"/>
          <w:numId w:val="160"/>
        </w:numPr>
        <w:ind w:hanging="720"/>
        <w:contextualSpacing w:val="0"/>
        <w:jc w:val="both"/>
        <w:rPr>
          <w:rFonts w:ascii="Arial" w:hAnsi="Arial" w:cs="Arial"/>
          <w:sz w:val="18"/>
          <w:szCs w:val="18"/>
          <w:lang w:val="en-US"/>
        </w:rPr>
      </w:pPr>
      <w:r w:rsidRPr="00BD295E">
        <w:rPr>
          <w:rFonts w:ascii="Arial" w:hAnsi="Arial" w:cs="Arial"/>
          <w:sz w:val="18"/>
          <w:szCs w:val="18"/>
          <w:lang w:val="en-US"/>
        </w:rPr>
        <w:t>two-rate and single-rate</w:t>
      </w:r>
      <w:r w:rsidR="005D0F7E" w:rsidRPr="00BD295E">
        <w:rPr>
          <w:rFonts w:ascii="Arial" w:hAnsi="Arial" w:cs="Arial"/>
          <w:sz w:val="18"/>
          <w:szCs w:val="18"/>
          <w:lang w:val="en-US"/>
        </w:rPr>
        <w:t xml:space="preserve"> pool</w:t>
      </w:r>
      <w:r w:rsidRPr="00BD295E">
        <w:rPr>
          <w:rFonts w:ascii="Arial" w:hAnsi="Arial" w:cs="Arial"/>
          <w:sz w:val="18"/>
          <w:szCs w:val="18"/>
          <w:lang w:val="en-US"/>
        </w:rPr>
        <w:t xml:space="preserve"> tariffs with differentiation by voltage levels and with separate tariffs for households. Directive No. 276-r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2018</w:t>
      </w:r>
    </w:p>
    <w:p w14:paraId="07BB163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from January 1, 2019 to June 30, 2019</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4111"/>
        <w:gridCol w:w="1606"/>
        <w:gridCol w:w="1606"/>
        <w:gridCol w:w="1607"/>
      </w:tblGrid>
      <w:tr w:rsidR="008A5057" w:rsidRPr="00BD295E" w14:paraId="6DF6082E" w14:textId="77777777" w:rsidTr="00B97058">
        <w:trPr>
          <w:trHeight w:val="1550"/>
        </w:trPr>
        <w:tc>
          <w:tcPr>
            <w:tcW w:w="724" w:type="dxa"/>
            <w:shd w:val="clear" w:color="000000" w:fill="FFFFFF"/>
            <w:vAlign w:val="center"/>
            <w:hideMark/>
          </w:tcPr>
          <w:p w14:paraId="2F4F1CAF"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No.</w:t>
            </w:r>
          </w:p>
          <w:p w14:paraId="090C38F9"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vAlign w:val="center"/>
            <w:hideMark/>
          </w:tcPr>
          <w:p w14:paraId="34F2624D"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Consumer group</w:t>
            </w:r>
          </w:p>
        </w:tc>
        <w:tc>
          <w:tcPr>
            <w:tcW w:w="1606" w:type="dxa"/>
            <w:shd w:val="clear" w:color="000000" w:fill="FFFFFF"/>
            <w:vAlign w:val="center"/>
            <w:hideMark/>
          </w:tcPr>
          <w:p w14:paraId="51B2068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 grid maintenance (RUB/MW per month)</w:t>
            </w:r>
          </w:p>
        </w:tc>
        <w:tc>
          <w:tcPr>
            <w:tcW w:w="1606" w:type="dxa"/>
            <w:shd w:val="clear" w:color="000000" w:fill="FFFFFF"/>
            <w:vAlign w:val="center"/>
          </w:tcPr>
          <w:p w14:paraId="35B0573C"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electricity network losses (RUB/MWh)</w:t>
            </w:r>
          </w:p>
        </w:tc>
        <w:tc>
          <w:tcPr>
            <w:tcW w:w="1607" w:type="dxa"/>
            <w:shd w:val="clear" w:color="000000" w:fill="FFFFFF"/>
            <w:vAlign w:val="center"/>
            <w:hideMark/>
          </w:tcPr>
          <w:p w14:paraId="490F608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One-rate tariff (RUB/MWh)</w:t>
            </w:r>
          </w:p>
        </w:tc>
      </w:tr>
      <w:tr w:rsidR="008A5057" w:rsidRPr="00BD295E" w14:paraId="1AE441C2" w14:textId="77777777" w:rsidTr="00B97058">
        <w:trPr>
          <w:trHeight w:val="139"/>
        </w:trPr>
        <w:tc>
          <w:tcPr>
            <w:tcW w:w="724" w:type="dxa"/>
            <w:shd w:val="clear" w:color="000000" w:fill="FFFFFF"/>
            <w:noWrap/>
            <w:hideMark/>
          </w:tcPr>
          <w:p w14:paraId="12A4CC5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1.</w:t>
            </w:r>
          </w:p>
        </w:tc>
        <w:tc>
          <w:tcPr>
            <w:tcW w:w="4111" w:type="dxa"/>
            <w:shd w:val="clear" w:color="000000" w:fill="FFFFFF"/>
            <w:noWrap/>
            <w:hideMark/>
          </w:tcPr>
          <w:p w14:paraId="573EFFCA"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Other</w:t>
            </w:r>
          </w:p>
        </w:tc>
        <w:tc>
          <w:tcPr>
            <w:tcW w:w="1606" w:type="dxa"/>
            <w:shd w:val="clear" w:color="000000" w:fill="FFFFFF"/>
            <w:noWrap/>
            <w:vAlign w:val="bottom"/>
            <w:hideMark/>
          </w:tcPr>
          <w:p w14:paraId="26E7C359" w14:textId="77777777" w:rsidR="00B97058" w:rsidRPr="00BD295E" w:rsidRDefault="00B97058" w:rsidP="00B97058">
            <w:pPr>
              <w:jc w:val="center"/>
              <w:rPr>
                <w:rFonts w:ascii="Arial" w:hAnsi="Arial" w:cs="Arial"/>
                <w:bCs/>
                <w:sz w:val="18"/>
                <w:szCs w:val="18"/>
                <w:lang w:val="en-US"/>
              </w:rPr>
            </w:pPr>
          </w:p>
        </w:tc>
        <w:tc>
          <w:tcPr>
            <w:tcW w:w="1606" w:type="dxa"/>
            <w:shd w:val="clear" w:color="000000" w:fill="FFFFFF"/>
            <w:vAlign w:val="bottom"/>
          </w:tcPr>
          <w:p w14:paraId="243DF471" w14:textId="77777777" w:rsidR="00B97058" w:rsidRPr="00BD295E" w:rsidRDefault="00B97058" w:rsidP="00B97058">
            <w:pPr>
              <w:jc w:val="center"/>
              <w:rPr>
                <w:rFonts w:ascii="Arial" w:hAnsi="Arial" w:cs="Arial"/>
                <w:bCs/>
                <w:sz w:val="18"/>
                <w:szCs w:val="18"/>
                <w:lang w:val="en-US"/>
              </w:rPr>
            </w:pPr>
          </w:p>
        </w:tc>
        <w:tc>
          <w:tcPr>
            <w:tcW w:w="1607" w:type="dxa"/>
            <w:shd w:val="clear" w:color="000000" w:fill="FFFFFF"/>
            <w:vAlign w:val="bottom"/>
          </w:tcPr>
          <w:p w14:paraId="77D754FC" w14:textId="77777777" w:rsidR="00B97058" w:rsidRPr="00BD295E" w:rsidRDefault="00B97058" w:rsidP="00B97058">
            <w:pPr>
              <w:jc w:val="center"/>
              <w:rPr>
                <w:rFonts w:ascii="Arial" w:hAnsi="Arial" w:cs="Arial"/>
                <w:bCs/>
                <w:sz w:val="18"/>
                <w:szCs w:val="18"/>
                <w:lang w:val="en-US"/>
              </w:rPr>
            </w:pPr>
          </w:p>
        </w:tc>
      </w:tr>
      <w:tr w:rsidR="008A5057" w:rsidRPr="00BD295E" w14:paraId="5F14408B" w14:textId="77777777" w:rsidTr="00B97058">
        <w:trPr>
          <w:trHeight w:val="258"/>
        </w:trPr>
        <w:tc>
          <w:tcPr>
            <w:tcW w:w="724" w:type="dxa"/>
            <w:shd w:val="clear" w:color="000000" w:fill="FFFFFF"/>
            <w:noWrap/>
          </w:tcPr>
          <w:p w14:paraId="41BB6CD8"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noWrap/>
            <w:hideMark/>
          </w:tcPr>
          <w:p w14:paraId="4E4B6B3E"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HV</w:t>
            </w:r>
          </w:p>
        </w:tc>
        <w:tc>
          <w:tcPr>
            <w:tcW w:w="1606" w:type="dxa"/>
            <w:shd w:val="clear" w:color="auto" w:fill="auto"/>
          </w:tcPr>
          <w:p w14:paraId="3E5DFC0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789,883.89</w:t>
            </w:r>
          </w:p>
        </w:tc>
        <w:tc>
          <w:tcPr>
            <w:tcW w:w="1606" w:type="dxa"/>
            <w:shd w:val="clear" w:color="auto" w:fill="auto"/>
          </w:tcPr>
          <w:p w14:paraId="369A252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59.72</w:t>
            </w:r>
          </w:p>
        </w:tc>
        <w:tc>
          <w:tcPr>
            <w:tcW w:w="1607" w:type="dxa"/>
            <w:shd w:val="clear" w:color="auto" w:fill="auto"/>
          </w:tcPr>
          <w:p w14:paraId="528F509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1,277.86</w:t>
            </w:r>
          </w:p>
        </w:tc>
      </w:tr>
      <w:tr w:rsidR="008A5057" w:rsidRPr="00BD295E" w14:paraId="199FEA80" w14:textId="77777777" w:rsidTr="00B97058">
        <w:trPr>
          <w:trHeight w:val="120"/>
        </w:trPr>
        <w:tc>
          <w:tcPr>
            <w:tcW w:w="724" w:type="dxa"/>
            <w:shd w:val="clear" w:color="000000" w:fill="FFFFFF"/>
            <w:noWrap/>
            <w:hideMark/>
          </w:tcPr>
          <w:p w14:paraId="26FD067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53EDC14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MV-1</w:t>
            </w:r>
          </w:p>
        </w:tc>
        <w:tc>
          <w:tcPr>
            <w:tcW w:w="1606" w:type="dxa"/>
            <w:shd w:val="clear" w:color="auto" w:fill="auto"/>
          </w:tcPr>
          <w:p w14:paraId="631C5D3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1,255,569.59</w:t>
            </w:r>
          </w:p>
        </w:tc>
        <w:tc>
          <w:tcPr>
            <w:tcW w:w="1606" w:type="dxa"/>
            <w:shd w:val="clear" w:color="auto" w:fill="auto"/>
          </w:tcPr>
          <w:p w14:paraId="522FF49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125.73</w:t>
            </w:r>
          </w:p>
        </w:tc>
        <w:tc>
          <w:tcPr>
            <w:tcW w:w="1607" w:type="dxa"/>
            <w:shd w:val="clear" w:color="auto" w:fill="auto"/>
          </w:tcPr>
          <w:p w14:paraId="14C661B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2,456.74</w:t>
            </w:r>
          </w:p>
        </w:tc>
      </w:tr>
      <w:tr w:rsidR="008A5057" w:rsidRPr="00BD295E" w14:paraId="519779D5" w14:textId="77777777" w:rsidTr="00B97058">
        <w:trPr>
          <w:trHeight w:val="166"/>
        </w:trPr>
        <w:tc>
          <w:tcPr>
            <w:tcW w:w="724" w:type="dxa"/>
            <w:shd w:val="clear" w:color="000000" w:fill="FFFFFF"/>
            <w:noWrap/>
            <w:hideMark/>
          </w:tcPr>
          <w:p w14:paraId="26F3E062"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74F3C5B2"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MV-2</w:t>
            </w:r>
          </w:p>
        </w:tc>
        <w:tc>
          <w:tcPr>
            <w:tcW w:w="1606" w:type="dxa"/>
            <w:shd w:val="clear" w:color="auto" w:fill="auto"/>
          </w:tcPr>
          <w:p w14:paraId="46F4436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1,342,633.46</w:t>
            </w:r>
          </w:p>
        </w:tc>
        <w:tc>
          <w:tcPr>
            <w:tcW w:w="1606" w:type="dxa"/>
            <w:shd w:val="clear" w:color="auto" w:fill="auto"/>
          </w:tcPr>
          <w:p w14:paraId="23CAF5D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302.91</w:t>
            </w:r>
          </w:p>
        </w:tc>
        <w:tc>
          <w:tcPr>
            <w:tcW w:w="1607" w:type="dxa"/>
            <w:shd w:val="clear" w:color="auto" w:fill="auto"/>
          </w:tcPr>
          <w:p w14:paraId="3C4581F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3,328.11</w:t>
            </w:r>
          </w:p>
        </w:tc>
      </w:tr>
      <w:tr w:rsidR="008A5057" w:rsidRPr="00BD295E" w14:paraId="4B0F3AEC" w14:textId="77777777" w:rsidTr="00B97058">
        <w:trPr>
          <w:trHeight w:val="183"/>
        </w:trPr>
        <w:tc>
          <w:tcPr>
            <w:tcW w:w="724" w:type="dxa"/>
            <w:shd w:val="clear" w:color="000000" w:fill="FFFFFF"/>
            <w:noWrap/>
            <w:hideMark/>
          </w:tcPr>
          <w:p w14:paraId="3B29B473"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49FC71F9"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LV</w:t>
            </w:r>
          </w:p>
        </w:tc>
        <w:tc>
          <w:tcPr>
            <w:tcW w:w="1606" w:type="dxa"/>
            <w:shd w:val="clear" w:color="auto" w:fill="auto"/>
          </w:tcPr>
          <w:p w14:paraId="74AD414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1,207,613.10</w:t>
            </w:r>
          </w:p>
        </w:tc>
        <w:tc>
          <w:tcPr>
            <w:tcW w:w="1606" w:type="dxa"/>
            <w:shd w:val="clear" w:color="auto" w:fill="auto"/>
          </w:tcPr>
          <w:p w14:paraId="35AD7F1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591.11</w:t>
            </w:r>
          </w:p>
        </w:tc>
        <w:tc>
          <w:tcPr>
            <w:tcW w:w="1607" w:type="dxa"/>
            <w:shd w:val="clear" w:color="auto" w:fill="auto"/>
          </w:tcPr>
          <w:p w14:paraId="5BF1171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3,639.06</w:t>
            </w:r>
          </w:p>
        </w:tc>
      </w:tr>
      <w:tr w:rsidR="008A5057" w:rsidRPr="00BD295E" w14:paraId="310C5D04" w14:textId="77777777" w:rsidTr="00B97058">
        <w:trPr>
          <w:trHeight w:val="414"/>
        </w:trPr>
        <w:tc>
          <w:tcPr>
            <w:tcW w:w="724" w:type="dxa"/>
            <w:shd w:val="clear" w:color="000000" w:fill="FFFFFF"/>
            <w:noWrap/>
            <w:hideMark/>
          </w:tcPr>
          <w:p w14:paraId="225455B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2. </w:t>
            </w:r>
          </w:p>
        </w:tc>
        <w:tc>
          <w:tcPr>
            <w:tcW w:w="4111" w:type="dxa"/>
            <w:shd w:val="clear" w:color="000000" w:fill="FFFFFF"/>
            <w:noWrap/>
            <w:hideMark/>
          </w:tcPr>
          <w:p w14:paraId="18690920"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Households and equivalent consumers</w:t>
            </w:r>
          </w:p>
        </w:tc>
        <w:tc>
          <w:tcPr>
            <w:tcW w:w="1606" w:type="dxa"/>
            <w:shd w:val="clear" w:color="000000" w:fill="FFFFFF"/>
            <w:noWrap/>
            <w:vAlign w:val="bottom"/>
          </w:tcPr>
          <w:p w14:paraId="108FDA95" w14:textId="77777777" w:rsidR="00B97058" w:rsidRPr="00BD295E" w:rsidRDefault="00B97058" w:rsidP="00B97058">
            <w:pPr>
              <w:rPr>
                <w:rFonts w:ascii="Arial" w:hAnsi="Arial" w:cs="Arial"/>
                <w:sz w:val="18"/>
                <w:szCs w:val="18"/>
                <w:lang w:val="en-US"/>
              </w:rPr>
            </w:pPr>
          </w:p>
        </w:tc>
        <w:tc>
          <w:tcPr>
            <w:tcW w:w="1606" w:type="dxa"/>
            <w:shd w:val="clear" w:color="000000" w:fill="FFFFFF"/>
            <w:noWrap/>
            <w:vAlign w:val="bottom"/>
          </w:tcPr>
          <w:p w14:paraId="79C14451" w14:textId="77777777" w:rsidR="00B97058" w:rsidRPr="00BD295E" w:rsidRDefault="00B97058" w:rsidP="00B97058">
            <w:pPr>
              <w:rPr>
                <w:rFonts w:ascii="Arial" w:hAnsi="Arial" w:cs="Arial"/>
                <w:sz w:val="18"/>
                <w:szCs w:val="18"/>
                <w:lang w:val="en-US"/>
              </w:rPr>
            </w:pPr>
          </w:p>
        </w:tc>
        <w:tc>
          <w:tcPr>
            <w:tcW w:w="1607" w:type="dxa"/>
            <w:shd w:val="clear" w:color="000000" w:fill="FFFFFF"/>
            <w:noWrap/>
            <w:vAlign w:val="bottom"/>
          </w:tcPr>
          <w:p w14:paraId="0666CE7E" w14:textId="77777777" w:rsidR="00B97058" w:rsidRPr="00BD295E" w:rsidRDefault="00B97058" w:rsidP="00B97058">
            <w:pPr>
              <w:rPr>
                <w:rFonts w:ascii="Arial" w:hAnsi="Arial" w:cs="Arial"/>
                <w:sz w:val="18"/>
                <w:szCs w:val="18"/>
                <w:lang w:val="en-US"/>
              </w:rPr>
            </w:pPr>
          </w:p>
        </w:tc>
      </w:tr>
      <w:tr w:rsidR="008A5057" w:rsidRPr="00BD295E" w14:paraId="489697CD" w14:textId="77777777" w:rsidTr="00B97058">
        <w:trPr>
          <w:trHeight w:val="336"/>
        </w:trPr>
        <w:tc>
          <w:tcPr>
            <w:tcW w:w="724" w:type="dxa"/>
            <w:shd w:val="clear" w:color="000000" w:fill="FFFFFF"/>
            <w:noWrap/>
            <w:hideMark/>
          </w:tcPr>
          <w:p w14:paraId="4259207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2.1. </w:t>
            </w:r>
          </w:p>
        </w:tc>
        <w:tc>
          <w:tcPr>
            <w:tcW w:w="4111" w:type="dxa"/>
            <w:shd w:val="clear" w:color="000000" w:fill="FFFFFF"/>
            <w:hideMark/>
          </w:tcPr>
          <w:p w14:paraId="70406AE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Households, except as specified in items 1.2 and 1.3</w:t>
            </w:r>
          </w:p>
        </w:tc>
        <w:tc>
          <w:tcPr>
            <w:tcW w:w="1606" w:type="dxa"/>
            <w:shd w:val="clear" w:color="000000" w:fill="FFFFFF"/>
            <w:noWrap/>
            <w:vAlign w:val="bottom"/>
          </w:tcPr>
          <w:p w14:paraId="7251CD52" w14:textId="77777777" w:rsidR="00B97058" w:rsidRPr="00BD295E" w:rsidRDefault="00B97058" w:rsidP="00B97058">
            <w:pPr>
              <w:rPr>
                <w:rFonts w:ascii="Arial" w:hAnsi="Arial" w:cs="Arial"/>
                <w:sz w:val="18"/>
                <w:szCs w:val="18"/>
                <w:lang w:val="en-US"/>
              </w:rPr>
            </w:pPr>
          </w:p>
        </w:tc>
        <w:tc>
          <w:tcPr>
            <w:tcW w:w="1606" w:type="dxa"/>
            <w:shd w:val="clear" w:color="000000" w:fill="FFFFFF"/>
            <w:noWrap/>
            <w:vAlign w:val="bottom"/>
          </w:tcPr>
          <w:p w14:paraId="473EC5FD" w14:textId="77777777" w:rsidR="00B97058" w:rsidRPr="00BD295E" w:rsidRDefault="00B97058" w:rsidP="00B97058">
            <w:pPr>
              <w:rPr>
                <w:rFonts w:ascii="Arial" w:hAnsi="Arial" w:cs="Arial"/>
                <w:sz w:val="18"/>
                <w:szCs w:val="18"/>
                <w:lang w:val="en-US"/>
              </w:rPr>
            </w:pPr>
          </w:p>
        </w:tc>
        <w:tc>
          <w:tcPr>
            <w:tcW w:w="1607" w:type="dxa"/>
            <w:shd w:val="clear" w:color="auto" w:fill="auto"/>
            <w:vAlign w:val="center"/>
          </w:tcPr>
          <w:p w14:paraId="4E3E56D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2,010</w:t>
            </w:r>
          </w:p>
        </w:tc>
      </w:tr>
      <w:tr w:rsidR="008A5057" w:rsidRPr="00BD295E" w14:paraId="56EB4B00" w14:textId="77777777" w:rsidTr="00B97058">
        <w:trPr>
          <w:trHeight w:val="1122"/>
        </w:trPr>
        <w:tc>
          <w:tcPr>
            <w:tcW w:w="724" w:type="dxa"/>
            <w:shd w:val="clear" w:color="000000" w:fill="FFFFFF"/>
            <w:noWrap/>
            <w:hideMark/>
          </w:tcPr>
          <w:p w14:paraId="544A6C90"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2.2.</w:t>
            </w:r>
          </w:p>
        </w:tc>
        <w:tc>
          <w:tcPr>
            <w:tcW w:w="4111" w:type="dxa"/>
            <w:shd w:val="clear" w:color="000000" w:fill="FFFFFF"/>
            <w:hideMark/>
          </w:tcPr>
          <w:p w14:paraId="4633A90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xml:space="preserve">Population living in urban settlements in houses duly equipped with stationary electric stoves and/or electric heaters </w:t>
            </w:r>
          </w:p>
        </w:tc>
        <w:tc>
          <w:tcPr>
            <w:tcW w:w="1606" w:type="dxa"/>
            <w:shd w:val="clear" w:color="000000" w:fill="FFFFFF"/>
            <w:noWrap/>
            <w:vAlign w:val="bottom"/>
            <w:hideMark/>
          </w:tcPr>
          <w:p w14:paraId="46E84DC8"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58FCBC22"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72CA535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1,068</w:t>
            </w:r>
          </w:p>
        </w:tc>
      </w:tr>
      <w:tr w:rsidR="008A5057" w:rsidRPr="00BD295E" w14:paraId="4E7CE2BD" w14:textId="77777777" w:rsidTr="00B97058">
        <w:trPr>
          <w:trHeight w:val="393"/>
        </w:trPr>
        <w:tc>
          <w:tcPr>
            <w:tcW w:w="724" w:type="dxa"/>
            <w:shd w:val="clear" w:color="000000" w:fill="FFFFFF"/>
            <w:noWrap/>
            <w:hideMark/>
          </w:tcPr>
          <w:p w14:paraId="1BA93384"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2.3.</w:t>
            </w:r>
          </w:p>
        </w:tc>
        <w:tc>
          <w:tcPr>
            <w:tcW w:w="4111" w:type="dxa"/>
            <w:shd w:val="clear" w:color="000000" w:fill="FFFFFF"/>
            <w:hideMark/>
          </w:tcPr>
          <w:p w14:paraId="452A13BD"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Population living in rural areas</w:t>
            </w:r>
          </w:p>
        </w:tc>
        <w:tc>
          <w:tcPr>
            <w:tcW w:w="1606" w:type="dxa"/>
            <w:shd w:val="clear" w:color="000000" w:fill="FFFFFF"/>
            <w:noWrap/>
            <w:vAlign w:val="bottom"/>
            <w:hideMark/>
          </w:tcPr>
          <w:p w14:paraId="7A4409C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1F3737FD"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46B969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0DD20460" w14:textId="77777777" w:rsidTr="00B97058">
        <w:trPr>
          <w:trHeight w:val="599"/>
        </w:trPr>
        <w:tc>
          <w:tcPr>
            <w:tcW w:w="724" w:type="dxa"/>
            <w:shd w:val="clear" w:color="000000" w:fill="FFFFFF"/>
            <w:noWrap/>
            <w:hideMark/>
          </w:tcPr>
          <w:p w14:paraId="28135C3B"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w:t>
            </w:r>
          </w:p>
        </w:tc>
        <w:tc>
          <w:tcPr>
            <w:tcW w:w="4111" w:type="dxa"/>
            <w:shd w:val="clear" w:color="000000" w:fill="FFFFFF"/>
            <w:hideMark/>
          </w:tcPr>
          <w:p w14:paraId="09C608AC"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Consumers equivalent to households, excluding those specified in item 71(1) of the Pricing Basics:</w:t>
            </w:r>
          </w:p>
        </w:tc>
        <w:tc>
          <w:tcPr>
            <w:tcW w:w="1606" w:type="dxa"/>
            <w:shd w:val="clear" w:color="000000" w:fill="FFFFFF"/>
            <w:noWrap/>
            <w:vAlign w:val="bottom"/>
            <w:hideMark/>
          </w:tcPr>
          <w:p w14:paraId="0D475BA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059476E8"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BA25635" w14:textId="77777777" w:rsidR="00B97058" w:rsidRPr="00BD295E" w:rsidRDefault="00B97058" w:rsidP="00B97058">
            <w:pPr>
              <w:jc w:val="center"/>
              <w:rPr>
                <w:rFonts w:ascii="Arial" w:hAnsi="Arial" w:cs="Arial"/>
                <w:sz w:val="18"/>
                <w:szCs w:val="18"/>
                <w:lang w:val="en-US"/>
              </w:rPr>
            </w:pPr>
          </w:p>
        </w:tc>
      </w:tr>
      <w:tr w:rsidR="008A5057" w:rsidRPr="00BD295E" w14:paraId="3C162D53" w14:textId="77777777" w:rsidTr="00B97058">
        <w:trPr>
          <w:trHeight w:val="1659"/>
        </w:trPr>
        <w:tc>
          <w:tcPr>
            <w:tcW w:w="724" w:type="dxa"/>
            <w:shd w:val="clear" w:color="000000" w:fill="FFFFFF"/>
            <w:noWrap/>
            <w:hideMark/>
          </w:tcPr>
          <w:p w14:paraId="4CFE978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2.4.1.</w:t>
            </w:r>
          </w:p>
        </w:tc>
        <w:tc>
          <w:tcPr>
            <w:tcW w:w="4111" w:type="dxa"/>
            <w:shd w:val="clear" w:color="000000" w:fill="FFFFFF"/>
            <w:hideMark/>
          </w:tcPr>
          <w:p w14:paraId="5E08599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Gardening, vegetable gardening or dacha non-profit associations of individuals – non-profit organizations established by individuals on a voluntary basis to assist its members in addressing common social and economic tasks related to gardening, vegetable gardening, and dacha farming</w:t>
            </w:r>
          </w:p>
        </w:tc>
        <w:tc>
          <w:tcPr>
            <w:tcW w:w="1606" w:type="dxa"/>
            <w:shd w:val="clear" w:color="000000" w:fill="FFFFFF"/>
            <w:noWrap/>
            <w:vAlign w:val="bottom"/>
            <w:hideMark/>
          </w:tcPr>
          <w:p w14:paraId="01626C4C"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37E1630C"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5CA1891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1,821</w:t>
            </w:r>
          </w:p>
        </w:tc>
      </w:tr>
      <w:tr w:rsidR="008A5057" w:rsidRPr="00BD295E" w14:paraId="12329FD5" w14:textId="77777777" w:rsidTr="00B97058">
        <w:trPr>
          <w:trHeight w:val="1358"/>
        </w:trPr>
        <w:tc>
          <w:tcPr>
            <w:tcW w:w="724" w:type="dxa"/>
            <w:shd w:val="clear" w:color="000000" w:fill="FFFFFF"/>
            <w:noWrap/>
            <w:hideMark/>
          </w:tcPr>
          <w:p w14:paraId="39D5926F"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2.4.2.</w:t>
            </w:r>
          </w:p>
        </w:tc>
        <w:tc>
          <w:tcPr>
            <w:tcW w:w="4111" w:type="dxa"/>
            <w:shd w:val="clear" w:color="000000" w:fill="FFFFFF"/>
            <w:hideMark/>
          </w:tcPr>
          <w:p w14:paraId="515F788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Legal entities acquiring electricity (capacity) for consumption by persons serving a sentence of imprisonment in their living quarters, provided that separate electricity metering is available for such living quarters</w:t>
            </w:r>
          </w:p>
        </w:tc>
        <w:tc>
          <w:tcPr>
            <w:tcW w:w="1606" w:type="dxa"/>
            <w:shd w:val="clear" w:color="000000" w:fill="FFFFFF"/>
            <w:noWrap/>
            <w:vAlign w:val="bottom"/>
            <w:hideMark/>
          </w:tcPr>
          <w:p w14:paraId="569FA27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45289DC0"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4238A58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2,147</w:t>
            </w:r>
          </w:p>
        </w:tc>
      </w:tr>
      <w:tr w:rsidR="008A5057" w:rsidRPr="00BD295E" w14:paraId="399CC8D1" w14:textId="77777777" w:rsidTr="00B97058">
        <w:trPr>
          <w:trHeight w:val="510"/>
        </w:trPr>
        <w:tc>
          <w:tcPr>
            <w:tcW w:w="724" w:type="dxa"/>
            <w:shd w:val="clear" w:color="000000" w:fill="FFFFFF"/>
            <w:noWrap/>
            <w:hideMark/>
          </w:tcPr>
          <w:p w14:paraId="3B2A70E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2.4.3.</w:t>
            </w:r>
          </w:p>
        </w:tc>
        <w:tc>
          <w:tcPr>
            <w:tcW w:w="4111" w:type="dxa"/>
            <w:shd w:val="clear" w:color="000000" w:fill="FFFFFF"/>
            <w:hideMark/>
          </w:tcPr>
          <w:p w14:paraId="663AA63C"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Religious organizations financed by the congregation</w:t>
            </w:r>
          </w:p>
        </w:tc>
        <w:tc>
          <w:tcPr>
            <w:tcW w:w="1606" w:type="dxa"/>
            <w:shd w:val="clear" w:color="000000" w:fill="FFFFFF"/>
            <w:noWrap/>
            <w:vAlign w:val="bottom"/>
            <w:hideMark/>
          </w:tcPr>
          <w:p w14:paraId="730834D8"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1CE035A3"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607668BB"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2,023</w:t>
            </w:r>
          </w:p>
        </w:tc>
      </w:tr>
      <w:tr w:rsidR="008A5057" w:rsidRPr="00BD295E" w14:paraId="0D0D4EB3" w14:textId="77777777" w:rsidTr="00B97058">
        <w:trPr>
          <w:trHeight w:val="2820"/>
        </w:trPr>
        <w:tc>
          <w:tcPr>
            <w:tcW w:w="724" w:type="dxa"/>
            <w:shd w:val="clear" w:color="000000" w:fill="FFFFFF"/>
            <w:noWrap/>
            <w:hideMark/>
          </w:tcPr>
          <w:p w14:paraId="4ED0CF9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2.4.4.</w:t>
            </w:r>
          </w:p>
        </w:tc>
        <w:tc>
          <w:tcPr>
            <w:tcW w:w="4111" w:type="dxa"/>
            <w:shd w:val="clear" w:color="000000" w:fill="FFFFFF"/>
            <w:hideMark/>
          </w:tcPr>
          <w:p w14:paraId="3BB7DF1E"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Associations of individuals purchasing electricity (capacity) for use in their own outbuildings (cellars, barns); non-profit associations of individuals (garage construction cooperatives, garage cooperatives), and individuals owning standalone garages who purchase electricity (capacity) for consumption for residential needs and not used for commercial activities.</w:t>
            </w:r>
          </w:p>
        </w:tc>
        <w:tc>
          <w:tcPr>
            <w:tcW w:w="1606" w:type="dxa"/>
            <w:shd w:val="clear" w:color="000000" w:fill="FFFFFF"/>
            <w:noWrap/>
            <w:vAlign w:val="bottom"/>
            <w:hideMark/>
          </w:tcPr>
          <w:p w14:paraId="17F75BE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078CF31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4555F10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2,007</w:t>
            </w:r>
          </w:p>
        </w:tc>
      </w:tr>
    </w:tbl>
    <w:p w14:paraId="2C4BCB96" w14:textId="77777777" w:rsidR="007635DF" w:rsidRPr="00BD295E" w:rsidRDefault="007635DF" w:rsidP="00B97058">
      <w:pPr>
        <w:rPr>
          <w:rFonts w:ascii="Arial" w:hAnsi="Arial" w:cs="Arial"/>
          <w:sz w:val="18"/>
          <w:szCs w:val="18"/>
          <w:lang w:val="en-US"/>
        </w:rPr>
      </w:pPr>
    </w:p>
    <w:p w14:paraId="65F97EDC" w14:textId="77777777" w:rsidR="007635DF" w:rsidRPr="00BD295E" w:rsidRDefault="007635DF">
      <w:pPr>
        <w:rPr>
          <w:rFonts w:ascii="Arial" w:hAnsi="Arial" w:cs="Arial"/>
          <w:sz w:val="18"/>
          <w:szCs w:val="18"/>
          <w:lang w:val="en-US"/>
        </w:rPr>
      </w:pPr>
      <w:r w:rsidRPr="00BD295E">
        <w:rPr>
          <w:rFonts w:ascii="Arial" w:hAnsi="Arial" w:cs="Arial"/>
          <w:sz w:val="18"/>
          <w:szCs w:val="18"/>
          <w:lang w:val="en-US"/>
        </w:rPr>
        <w:br w:type="page"/>
      </w:r>
    </w:p>
    <w:p w14:paraId="5290EDBC" w14:textId="72CE0DEF"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from July 1, 2019 to December 31, 2019</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4111"/>
        <w:gridCol w:w="1606"/>
        <w:gridCol w:w="1606"/>
        <w:gridCol w:w="1607"/>
      </w:tblGrid>
      <w:tr w:rsidR="008A5057" w:rsidRPr="00BD295E" w14:paraId="2D736F4E" w14:textId="77777777" w:rsidTr="00B97058">
        <w:trPr>
          <w:trHeight w:val="1550"/>
        </w:trPr>
        <w:tc>
          <w:tcPr>
            <w:tcW w:w="724" w:type="dxa"/>
            <w:shd w:val="clear" w:color="000000" w:fill="FFFFFF"/>
            <w:vAlign w:val="center"/>
            <w:hideMark/>
          </w:tcPr>
          <w:p w14:paraId="1CFD34CB"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No.</w:t>
            </w:r>
          </w:p>
          <w:p w14:paraId="38DF0E03"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vAlign w:val="center"/>
            <w:hideMark/>
          </w:tcPr>
          <w:p w14:paraId="602960C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Consumer group</w:t>
            </w:r>
          </w:p>
        </w:tc>
        <w:tc>
          <w:tcPr>
            <w:tcW w:w="1606" w:type="dxa"/>
            <w:shd w:val="clear" w:color="000000" w:fill="FFFFFF"/>
            <w:vAlign w:val="center"/>
            <w:hideMark/>
          </w:tcPr>
          <w:p w14:paraId="2E71B9E2"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 grid maintenance (RUB/MW per month)</w:t>
            </w:r>
          </w:p>
        </w:tc>
        <w:tc>
          <w:tcPr>
            <w:tcW w:w="1606" w:type="dxa"/>
            <w:shd w:val="clear" w:color="000000" w:fill="FFFFFF"/>
            <w:vAlign w:val="center"/>
          </w:tcPr>
          <w:p w14:paraId="5BF4F0E9"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electricity network losses (RUB/MWh)</w:t>
            </w:r>
          </w:p>
        </w:tc>
        <w:tc>
          <w:tcPr>
            <w:tcW w:w="1607" w:type="dxa"/>
            <w:shd w:val="clear" w:color="000000" w:fill="FFFFFF"/>
            <w:vAlign w:val="center"/>
            <w:hideMark/>
          </w:tcPr>
          <w:p w14:paraId="5ECB045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One-rate tariff (RUB/MWh)</w:t>
            </w:r>
          </w:p>
        </w:tc>
      </w:tr>
      <w:tr w:rsidR="008A5057" w:rsidRPr="00BD295E" w14:paraId="0503B348" w14:textId="77777777" w:rsidTr="00B97058">
        <w:trPr>
          <w:trHeight w:val="139"/>
        </w:trPr>
        <w:tc>
          <w:tcPr>
            <w:tcW w:w="724" w:type="dxa"/>
            <w:shd w:val="clear" w:color="000000" w:fill="FFFFFF"/>
            <w:noWrap/>
            <w:hideMark/>
          </w:tcPr>
          <w:p w14:paraId="4081BF0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1.</w:t>
            </w:r>
          </w:p>
        </w:tc>
        <w:tc>
          <w:tcPr>
            <w:tcW w:w="4111" w:type="dxa"/>
            <w:shd w:val="clear" w:color="000000" w:fill="FFFFFF"/>
            <w:noWrap/>
            <w:hideMark/>
          </w:tcPr>
          <w:p w14:paraId="4C8B4D02"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Other</w:t>
            </w:r>
          </w:p>
        </w:tc>
        <w:tc>
          <w:tcPr>
            <w:tcW w:w="1606" w:type="dxa"/>
            <w:shd w:val="clear" w:color="000000" w:fill="FFFFFF"/>
            <w:noWrap/>
            <w:vAlign w:val="bottom"/>
            <w:hideMark/>
          </w:tcPr>
          <w:p w14:paraId="17162629" w14:textId="77777777" w:rsidR="00B97058" w:rsidRPr="00BD295E" w:rsidRDefault="00B97058" w:rsidP="00B97058">
            <w:pPr>
              <w:jc w:val="center"/>
              <w:rPr>
                <w:rFonts w:ascii="Arial" w:hAnsi="Arial" w:cs="Arial"/>
                <w:bCs/>
                <w:sz w:val="18"/>
                <w:szCs w:val="18"/>
                <w:lang w:val="en-US"/>
              </w:rPr>
            </w:pPr>
          </w:p>
        </w:tc>
        <w:tc>
          <w:tcPr>
            <w:tcW w:w="1606" w:type="dxa"/>
            <w:shd w:val="clear" w:color="000000" w:fill="FFFFFF"/>
            <w:vAlign w:val="bottom"/>
          </w:tcPr>
          <w:p w14:paraId="47C2C3F7" w14:textId="77777777" w:rsidR="00B97058" w:rsidRPr="00BD295E" w:rsidRDefault="00B97058" w:rsidP="00B97058">
            <w:pPr>
              <w:jc w:val="center"/>
              <w:rPr>
                <w:rFonts w:ascii="Arial" w:hAnsi="Arial" w:cs="Arial"/>
                <w:bCs/>
                <w:sz w:val="18"/>
                <w:szCs w:val="18"/>
                <w:lang w:val="en-US"/>
              </w:rPr>
            </w:pPr>
          </w:p>
        </w:tc>
        <w:tc>
          <w:tcPr>
            <w:tcW w:w="1607" w:type="dxa"/>
            <w:shd w:val="clear" w:color="000000" w:fill="FFFFFF"/>
            <w:vAlign w:val="bottom"/>
          </w:tcPr>
          <w:p w14:paraId="15E4C91A" w14:textId="77777777" w:rsidR="00B97058" w:rsidRPr="00BD295E" w:rsidRDefault="00B97058" w:rsidP="00B97058">
            <w:pPr>
              <w:jc w:val="center"/>
              <w:rPr>
                <w:rFonts w:ascii="Arial" w:hAnsi="Arial" w:cs="Arial"/>
                <w:bCs/>
                <w:sz w:val="18"/>
                <w:szCs w:val="18"/>
                <w:lang w:val="en-US"/>
              </w:rPr>
            </w:pPr>
          </w:p>
        </w:tc>
      </w:tr>
      <w:tr w:rsidR="008A5057" w:rsidRPr="00BD295E" w14:paraId="41CBC0B8" w14:textId="77777777" w:rsidTr="00B97058">
        <w:trPr>
          <w:trHeight w:val="258"/>
        </w:trPr>
        <w:tc>
          <w:tcPr>
            <w:tcW w:w="724" w:type="dxa"/>
            <w:shd w:val="clear" w:color="000000" w:fill="FFFFFF"/>
            <w:noWrap/>
          </w:tcPr>
          <w:p w14:paraId="7A01738C"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noWrap/>
            <w:hideMark/>
          </w:tcPr>
          <w:p w14:paraId="24BAAA03"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HV</w:t>
            </w:r>
          </w:p>
        </w:tc>
        <w:tc>
          <w:tcPr>
            <w:tcW w:w="1606" w:type="dxa"/>
            <w:shd w:val="clear" w:color="auto" w:fill="auto"/>
            <w:vAlign w:val="center"/>
          </w:tcPr>
          <w:p w14:paraId="2818FB2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899,539.16</w:t>
            </w:r>
          </w:p>
        </w:tc>
        <w:tc>
          <w:tcPr>
            <w:tcW w:w="1606" w:type="dxa"/>
            <w:shd w:val="clear" w:color="auto" w:fill="auto"/>
            <w:vAlign w:val="center"/>
          </w:tcPr>
          <w:p w14:paraId="6167B44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65.49</w:t>
            </w:r>
          </w:p>
        </w:tc>
        <w:tc>
          <w:tcPr>
            <w:tcW w:w="1607" w:type="dxa"/>
            <w:shd w:val="clear" w:color="auto" w:fill="auto"/>
            <w:vAlign w:val="center"/>
          </w:tcPr>
          <w:p w14:paraId="627BC89B"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1,427.86</w:t>
            </w:r>
          </w:p>
        </w:tc>
      </w:tr>
      <w:tr w:rsidR="008A5057" w:rsidRPr="00BD295E" w14:paraId="7D471160" w14:textId="77777777" w:rsidTr="00B97058">
        <w:trPr>
          <w:trHeight w:val="120"/>
        </w:trPr>
        <w:tc>
          <w:tcPr>
            <w:tcW w:w="724" w:type="dxa"/>
            <w:shd w:val="clear" w:color="000000" w:fill="FFFFFF"/>
            <w:noWrap/>
            <w:hideMark/>
          </w:tcPr>
          <w:p w14:paraId="40AD279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4DD4900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MV-1</w:t>
            </w:r>
          </w:p>
        </w:tc>
        <w:tc>
          <w:tcPr>
            <w:tcW w:w="1606" w:type="dxa"/>
            <w:shd w:val="clear" w:color="auto" w:fill="auto"/>
            <w:vAlign w:val="center"/>
          </w:tcPr>
          <w:p w14:paraId="6EA6B4B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1,429,873.47</w:t>
            </w:r>
          </w:p>
        </w:tc>
        <w:tc>
          <w:tcPr>
            <w:tcW w:w="1606" w:type="dxa"/>
            <w:shd w:val="clear" w:color="auto" w:fill="auto"/>
            <w:vAlign w:val="center"/>
          </w:tcPr>
          <w:p w14:paraId="0C6F853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137.96</w:t>
            </w:r>
          </w:p>
        </w:tc>
        <w:tc>
          <w:tcPr>
            <w:tcW w:w="1607" w:type="dxa"/>
            <w:shd w:val="clear" w:color="auto" w:fill="auto"/>
            <w:vAlign w:val="center"/>
          </w:tcPr>
          <w:p w14:paraId="2D56FD7B"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2,683.08</w:t>
            </w:r>
          </w:p>
        </w:tc>
      </w:tr>
      <w:tr w:rsidR="008A5057" w:rsidRPr="00BD295E" w14:paraId="077F7350" w14:textId="77777777" w:rsidTr="00B97058">
        <w:trPr>
          <w:trHeight w:val="166"/>
        </w:trPr>
        <w:tc>
          <w:tcPr>
            <w:tcW w:w="724" w:type="dxa"/>
            <w:shd w:val="clear" w:color="000000" w:fill="FFFFFF"/>
            <w:noWrap/>
            <w:hideMark/>
          </w:tcPr>
          <w:p w14:paraId="2A728AD5"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0744EA12"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MV-2</w:t>
            </w:r>
          </w:p>
        </w:tc>
        <w:tc>
          <w:tcPr>
            <w:tcW w:w="1606" w:type="dxa"/>
            <w:shd w:val="clear" w:color="auto" w:fill="auto"/>
            <w:vAlign w:val="center"/>
          </w:tcPr>
          <w:p w14:paraId="79D45C1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1,529,023.94</w:t>
            </w:r>
          </w:p>
        </w:tc>
        <w:tc>
          <w:tcPr>
            <w:tcW w:w="1606" w:type="dxa"/>
            <w:shd w:val="clear" w:color="auto" w:fill="auto"/>
            <w:vAlign w:val="center"/>
          </w:tcPr>
          <w:p w14:paraId="62DE27B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330.56</w:t>
            </w:r>
          </w:p>
        </w:tc>
        <w:tc>
          <w:tcPr>
            <w:tcW w:w="1607" w:type="dxa"/>
            <w:shd w:val="clear" w:color="auto" w:fill="auto"/>
            <w:vAlign w:val="center"/>
          </w:tcPr>
          <w:p w14:paraId="7FA5677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3,571.40</w:t>
            </w:r>
          </w:p>
        </w:tc>
      </w:tr>
      <w:tr w:rsidR="008A5057" w:rsidRPr="00BD295E" w14:paraId="3E1BB1C6" w14:textId="77777777" w:rsidTr="00B97058">
        <w:trPr>
          <w:trHeight w:val="183"/>
        </w:trPr>
        <w:tc>
          <w:tcPr>
            <w:tcW w:w="724" w:type="dxa"/>
            <w:shd w:val="clear" w:color="000000" w:fill="FFFFFF"/>
            <w:noWrap/>
            <w:hideMark/>
          </w:tcPr>
          <w:p w14:paraId="3F777C56"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65E9B28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LV</w:t>
            </w:r>
          </w:p>
        </w:tc>
        <w:tc>
          <w:tcPr>
            <w:tcW w:w="1606" w:type="dxa"/>
            <w:shd w:val="clear" w:color="auto" w:fill="auto"/>
            <w:vAlign w:val="center"/>
          </w:tcPr>
          <w:p w14:paraId="5172C33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1,375,259.44</w:t>
            </w:r>
          </w:p>
        </w:tc>
        <w:tc>
          <w:tcPr>
            <w:tcW w:w="1606" w:type="dxa"/>
            <w:shd w:val="clear" w:color="auto" w:fill="auto"/>
            <w:vAlign w:val="center"/>
          </w:tcPr>
          <w:p w14:paraId="3AB86E4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642.38</w:t>
            </w:r>
          </w:p>
        </w:tc>
        <w:tc>
          <w:tcPr>
            <w:tcW w:w="1607" w:type="dxa"/>
            <w:shd w:val="clear" w:color="auto" w:fill="auto"/>
            <w:vAlign w:val="center"/>
          </w:tcPr>
          <w:p w14:paraId="506B43F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3,764.60</w:t>
            </w:r>
          </w:p>
        </w:tc>
      </w:tr>
      <w:tr w:rsidR="008A5057" w:rsidRPr="00BD295E" w14:paraId="637E181A" w14:textId="77777777" w:rsidTr="00B97058">
        <w:trPr>
          <w:trHeight w:val="414"/>
        </w:trPr>
        <w:tc>
          <w:tcPr>
            <w:tcW w:w="724" w:type="dxa"/>
            <w:shd w:val="clear" w:color="000000" w:fill="FFFFFF"/>
            <w:noWrap/>
            <w:hideMark/>
          </w:tcPr>
          <w:p w14:paraId="477FDE9B"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2. </w:t>
            </w:r>
          </w:p>
        </w:tc>
        <w:tc>
          <w:tcPr>
            <w:tcW w:w="4111" w:type="dxa"/>
            <w:shd w:val="clear" w:color="000000" w:fill="FFFFFF"/>
            <w:noWrap/>
            <w:hideMark/>
          </w:tcPr>
          <w:p w14:paraId="0F8BCCCF"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Households and equivalent consumers</w:t>
            </w:r>
          </w:p>
        </w:tc>
        <w:tc>
          <w:tcPr>
            <w:tcW w:w="1606" w:type="dxa"/>
            <w:shd w:val="clear" w:color="000000" w:fill="FFFFFF"/>
            <w:noWrap/>
            <w:vAlign w:val="center"/>
          </w:tcPr>
          <w:p w14:paraId="013CD547" w14:textId="77777777" w:rsidR="00B97058" w:rsidRPr="00BD295E" w:rsidRDefault="00B97058" w:rsidP="00B97058">
            <w:pPr>
              <w:jc w:val="center"/>
              <w:rPr>
                <w:rFonts w:ascii="Arial" w:hAnsi="Arial" w:cs="Arial"/>
                <w:sz w:val="18"/>
                <w:szCs w:val="18"/>
                <w:lang w:val="en-US"/>
              </w:rPr>
            </w:pPr>
          </w:p>
        </w:tc>
        <w:tc>
          <w:tcPr>
            <w:tcW w:w="1606" w:type="dxa"/>
            <w:shd w:val="clear" w:color="000000" w:fill="FFFFFF"/>
            <w:noWrap/>
            <w:vAlign w:val="center"/>
          </w:tcPr>
          <w:p w14:paraId="15CEC17D" w14:textId="77777777" w:rsidR="00B97058" w:rsidRPr="00BD295E" w:rsidRDefault="00B97058" w:rsidP="00B97058">
            <w:pPr>
              <w:jc w:val="center"/>
              <w:rPr>
                <w:rFonts w:ascii="Arial" w:hAnsi="Arial" w:cs="Arial"/>
                <w:sz w:val="18"/>
                <w:szCs w:val="18"/>
                <w:lang w:val="en-US"/>
              </w:rPr>
            </w:pPr>
          </w:p>
        </w:tc>
        <w:tc>
          <w:tcPr>
            <w:tcW w:w="1607" w:type="dxa"/>
            <w:shd w:val="clear" w:color="000000" w:fill="FFFFFF"/>
            <w:noWrap/>
            <w:vAlign w:val="center"/>
          </w:tcPr>
          <w:p w14:paraId="37E190D5" w14:textId="77777777" w:rsidR="00B97058" w:rsidRPr="00BD295E" w:rsidRDefault="00B97058" w:rsidP="00B97058">
            <w:pPr>
              <w:jc w:val="center"/>
              <w:rPr>
                <w:rFonts w:ascii="Arial" w:hAnsi="Arial" w:cs="Arial"/>
                <w:sz w:val="18"/>
                <w:szCs w:val="18"/>
                <w:lang w:val="en-US"/>
              </w:rPr>
            </w:pPr>
          </w:p>
        </w:tc>
      </w:tr>
      <w:tr w:rsidR="008A5057" w:rsidRPr="00BD295E" w14:paraId="5C30AF69" w14:textId="77777777" w:rsidTr="00B97058">
        <w:trPr>
          <w:trHeight w:val="336"/>
        </w:trPr>
        <w:tc>
          <w:tcPr>
            <w:tcW w:w="724" w:type="dxa"/>
            <w:shd w:val="clear" w:color="000000" w:fill="FFFFFF"/>
            <w:noWrap/>
            <w:hideMark/>
          </w:tcPr>
          <w:p w14:paraId="776F81FF"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2.1. </w:t>
            </w:r>
          </w:p>
        </w:tc>
        <w:tc>
          <w:tcPr>
            <w:tcW w:w="4111" w:type="dxa"/>
            <w:shd w:val="clear" w:color="000000" w:fill="FFFFFF"/>
            <w:hideMark/>
          </w:tcPr>
          <w:p w14:paraId="0BDB0AB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Households, except as specified in items 1.2 and 1.3</w:t>
            </w:r>
          </w:p>
        </w:tc>
        <w:tc>
          <w:tcPr>
            <w:tcW w:w="1606" w:type="dxa"/>
            <w:shd w:val="clear" w:color="000000" w:fill="FFFFFF"/>
            <w:noWrap/>
            <w:vAlign w:val="center"/>
          </w:tcPr>
          <w:p w14:paraId="6D3640A1" w14:textId="77777777" w:rsidR="00B97058" w:rsidRPr="00BD295E" w:rsidRDefault="00B97058" w:rsidP="00B97058">
            <w:pPr>
              <w:jc w:val="center"/>
              <w:rPr>
                <w:rFonts w:ascii="Arial" w:hAnsi="Arial" w:cs="Arial"/>
                <w:sz w:val="18"/>
                <w:szCs w:val="18"/>
                <w:lang w:val="en-US"/>
              </w:rPr>
            </w:pPr>
          </w:p>
        </w:tc>
        <w:tc>
          <w:tcPr>
            <w:tcW w:w="1606" w:type="dxa"/>
            <w:shd w:val="clear" w:color="000000" w:fill="FFFFFF"/>
            <w:noWrap/>
            <w:vAlign w:val="center"/>
          </w:tcPr>
          <w:p w14:paraId="555A44E4" w14:textId="77777777" w:rsidR="00B97058" w:rsidRPr="00BD295E" w:rsidRDefault="00B97058" w:rsidP="00B97058">
            <w:pPr>
              <w:jc w:val="center"/>
              <w:rPr>
                <w:rFonts w:ascii="Arial" w:hAnsi="Arial" w:cs="Arial"/>
                <w:sz w:val="18"/>
                <w:szCs w:val="18"/>
                <w:lang w:val="en-US"/>
              </w:rPr>
            </w:pPr>
          </w:p>
        </w:tc>
        <w:tc>
          <w:tcPr>
            <w:tcW w:w="1607" w:type="dxa"/>
            <w:shd w:val="clear" w:color="auto" w:fill="auto"/>
            <w:vAlign w:val="center"/>
          </w:tcPr>
          <w:p w14:paraId="0311C7F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1,986</w:t>
            </w:r>
          </w:p>
        </w:tc>
      </w:tr>
      <w:tr w:rsidR="008A5057" w:rsidRPr="00BD295E" w14:paraId="0E413688" w14:textId="77777777" w:rsidTr="00B97058">
        <w:trPr>
          <w:trHeight w:val="1122"/>
        </w:trPr>
        <w:tc>
          <w:tcPr>
            <w:tcW w:w="724" w:type="dxa"/>
            <w:shd w:val="clear" w:color="000000" w:fill="FFFFFF"/>
            <w:noWrap/>
            <w:hideMark/>
          </w:tcPr>
          <w:p w14:paraId="52C62BD5"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2.2.</w:t>
            </w:r>
          </w:p>
        </w:tc>
        <w:tc>
          <w:tcPr>
            <w:tcW w:w="4111" w:type="dxa"/>
            <w:shd w:val="clear" w:color="000000" w:fill="FFFFFF"/>
            <w:hideMark/>
          </w:tcPr>
          <w:p w14:paraId="178C6F4F"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xml:space="preserve">Population living in urban settlements in houses duly equipped with stationary electric stoves and/or electric heaters </w:t>
            </w:r>
          </w:p>
        </w:tc>
        <w:tc>
          <w:tcPr>
            <w:tcW w:w="1606" w:type="dxa"/>
            <w:shd w:val="clear" w:color="000000" w:fill="FFFFFF"/>
            <w:noWrap/>
            <w:vAlign w:val="center"/>
            <w:hideMark/>
          </w:tcPr>
          <w:p w14:paraId="0196F6E1" w14:textId="77777777" w:rsidR="00B97058" w:rsidRPr="00BD295E" w:rsidRDefault="00B97058" w:rsidP="00B97058">
            <w:pPr>
              <w:jc w:val="center"/>
              <w:rPr>
                <w:rFonts w:ascii="Arial" w:hAnsi="Arial" w:cs="Arial"/>
                <w:sz w:val="18"/>
                <w:szCs w:val="18"/>
                <w:lang w:val="en-US"/>
              </w:rPr>
            </w:pPr>
          </w:p>
        </w:tc>
        <w:tc>
          <w:tcPr>
            <w:tcW w:w="1606" w:type="dxa"/>
            <w:shd w:val="clear" w:color="000000" w:fill="FFFFFF"/>
            <w:noWrap/>
            <w:vAlign w:val="center"/>
            <w:hideMark/>
          </w:tcPr>
          <w:p w14:paraId="1789CCAA" w14:textId="77777777" w:rsidR="00B97058" w:rsidRPr="00BD295E" w:rsidRDefault="00B97058" w:rsidP="00B97058">
            <w:pPr>
              <w:jc w:val="center"/>
              <w:rPr>
                <w:rFonts w:ascii="Arial" w:hAnsi="Arial" w:cs="Arial"/>
                <w:sz w:val="18"/>
                <w:szCs w:val="18"/>
                <w:lang w:val="en-US"/>
              </w:rPr>
            </w:pPr>
          </w:p>
        </w:tc>
        <w:tc>
          <w:tcPr>
            <w:tcW w:w="1607" w:type="dxa"/>
            <w:shd w:val="clear" w:color="auto" w:fill="auto"/>
            <w:vAlign w:val="center"/>
          </w:tcPr>
          <w:p w14:paraId="1C7D4EB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1,015</w:t>
            </w:r>
          </w:p>
        </w:tc>
      </w:tr>
      <w:tr w:rsidR="008A5057" w:rsidRPr="00BD295E" w14:paraId="109F2B07" w14:textId="77777777" w:rsidTr="00B97058">
        <w:trPr>
          <w:trHeight w:val="393"/>
        </w:trPr>
        <w:tc>
          <w:tcPr>
            <w:tcW w:w="724" w:type="dxa"/>
            <w:shd w:val="clear" w:color="000000" w:fill="FFFFFF"/>
            <w:noWrap/>
            <w:hideMark/>
          </w:tcPr>
          <w:p w14:paraId="76D5C726"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2.3.</w:t>
            </w:r>
          </w:p>
        </w:tc>
        <w:tc>
          <w:tcPr>
            <w:tcW w:w="4111" w:type="dxa"/>
            <w:shd w:val="clear" w:color="000000" w:fill="FFFFFF"/>
            <w:hideMark/>
          </w:tcPr>
          <w:p w14:paraId="0245E6C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Population living in rural areas</w:t>
            </w:r>
          </w:p>
        </w:tc>
        <w:tc>
          <w:tcPr>
            <w:tcW w:w="1606" w:type="dxa"/>
            <w:shd w:val="clear" w:color="000000" w:fill="FFFFFF"/>
            <w:noWrap/>
            <w:vAlign w:val="center"/>
            <w:hideMark/>
          </w:tcPr>
          <w:p w14:paraId="4EB3BDDB" w14:textId="77777777" w:rsidR="00B97058" w:rsidRPr="00BD295E" w:rsidRDefault="00B97058" w:rsidP="00B97058">
            <w:pPr>
              <w:jc w:val="center"/>
              <w:rPr>
                <w:rFonts w:ascii="Arial" w:hAnsi="Arial" w:cs="Arial"/>
                <w:sz w:val="18"/>
                <w:szCs w:val="18"/>
                <w:lang w:val="en-US"/>
              </w:rPr>
            </w:pPr>
          </w:p>
        </w:tc>
        <w:tc>
          <w:tcPr>
            <w:tcW w:w="1606" w:type="dxa"/>
            <w:shd w:val="clear" w:color="000000" w:fill="FFFFFF"/>
            <w:noWrap/>
            <w:vAlign w:val="center"/>
            <w:hideMark/>
          </w:tcPr>
          <w:p w14:paraId="608758AB" w14:textId="77777777" w:rsidR="00B97058" w:rsidRPr="00BD295E" w:rsidRDefault="00B97058" w:rsidP="00B97058">
            <w:pPr>
              <w:jc w:val="center"/>
              <w:rPr>
                <w:rFonts w:ascii="Arial" w:hAnsi="Arial" w:cs="Arial"/>
                <w:sz w:val="18"/>
                <w:szCs w:val="18"/>
                <w:lang w:val="en-US"/>
              </w:rPr>
            </w:pPr>
          </w:p>
        </w:tc>
        <w:tc>
          <w:tcPr>
            <w:tcW w:w="1607" w:type="dxa"/>
            <w:shd w:val="clear" w:color="auto" w:fill="auto"/>
            <w:vAlign w:val="center"/>
          </w:tcPr>
          <w:p w14:paraId="43618E5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w:t>
            </w:r>
          </w:p>
        </w:tc>
      </w:tr>
      <w:tr w:rsidR="008A5057" w:rsidRPr="00BD295E" w14:paraId="7451524F" w14:textId="77777777" w:rsidTr="00B97058">
        <w:trPr>
          <w:trHeight w:val="599"/>
        </w:trPr>
        <w:tc>
          <w:tcPr>
            <w:tcW w:w="724" w:type="dxa"/>
            <w:shd w:val="clear" w:color="000000" w:fill="FFFFFF"/>
            <w:noWrap/>
            <w:hideMark/>
          </w:tcPr>
          <w:p w14:paraId="45426995"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w:t>
            </w:r>
          </w:p>
        </w:tc>
        <w:tc>
          <w:tcPr>
            <w:tcW w:w="4111" w:type="dxa"/>
            <w:shd w:val="clear" w:color="000000" w:fill="FFFFFF"/>
            <w:hideMark/>
          </w:tcPr>
          <w:p w14:paraId="1FD9624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Consumers equivalent to households, excluding those specified in item 71(1) of the Pricing Basics:</w:t>
            </w:r>
          </w:p>
        </w:tc>
        <w:tc>
          <w:tcPr>
            <w:tcW w:w="1606" w:type="dxa"/>
            <w:shd w:val="clear" w:color="000000" w:fill="FFFFFF"/>
            <w:noWrap/>
            <w:vAlign w:val="center"/>
            <w:hideMark/>
          </w:tcPr>
          <w:p w14:paraId="719B2B61" w14:textId="77777777" w:rsidR="00B97058" w:rsidRPr="00BD295E" w:rsidRDefault="00B97058" w:rsidP="00B97058">
            <w:pPr>
              <w:jc w:val="center"/>
              <w:rPr>
                <w:rFonts w:ascii="Arial" w:hAnsi="Arial" w:cs="Arial"/>
                <w:sz w:val="18"/>
                <w:szCs w:val="18"/>
                <w:lang w:val="en-US"/>
              </w:rPr>
            </w:pPr>
          </w:p>
        </w:tc>
        <w:tc>
          <w:tcPr>
            <w:tcW w:w="1606" w:type="dxa"/>
            <w:shd w:val="clear" w:color="000000" w:fill="FFFFFF"/>
            <w:noWrap/>
            <w:vAlign w:val="center"/>
            <w:hideMark/>
          </w:tcPr>
          <w:p w14:paraId="68DC2B49" w14:textId="77777777" w:rsidR="00B97058" w:rsidRPr="00BD295E" w:rsidRDefault="00B97058" w:rsidP="00B97058">
            <w:pPr>
              <w:jc w:val="center"/>
              <w:rPr>
                <w:rFonts w:ascii="Arial" w:hAnsi="Arial" w:cs="Arial"/>
                <w:sz w:val="18"/>
                <w:szCs w:val="18"/>
                <w:lang w:val="en-US"/>
              </w:rPr>
            </w:pPr>
          </w:p>
        </w:tc>
        <w:tc>
          <w:tcPr>
            <w:tcW w:w="1607" w:type="dxa"/>
            <w:shd w:val="clear" w:color="auto" w:fill="auto"/>
            <w:vAlign w:val="center"/>
          </w:tcPr>
          <w:p w14:paraId="617583E2" w14:textId="77777777" w:rsidR="00B97058" w:rsidRPr="00BD295E" w:rsidRDefault="00B97058" w:rsidP="00B97058">
            <w:pPr>
              <w:jc w:val="center"/>
              <w:rPr>
                <w:rFonts w:ascii="Arial" w:hAnsi="Arial" w:cs="Arial"/>
                <w:sz w:val="18"/>
                <w:szCs w:val="18"/>
                <w:lang w:val="en-US"/>
              </w:rPr>
            </w:pPr>
          </w:p>
        </w:tc>
      </w:tr>
      <w:tr w:rsidR="008A5057" w:rsidRPr="00BD295E" w14:paraId="53AF7C4D" w14:textId="77777777" w:rsidTr="00B97058">
        <w:trPr>
          <w:trHeight w:val="1659"/>
        </w:trPr>
        <w:tc>
          <w:tcPr>
            <w:tcW w:w="724" w:type="dxa"/>
            <w:shd w:val="clear" w:color="000000" w:fill="FFFFFF"/>
            <w:noWrap/>
            <w:hideMark/>
          </w:tcPr>
          <w:p w14:paraId="6ECF9F6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2.4.1.</w:t>
            </w:r>
          </w:p>
        </w:tc>
        <w:tc>
          <w:tcPr>
            <w:tcW w:w="4111" w:type="dxa"/>
            <w:shd w:val="clear" w:color="000000" w:fill="FFFFFF"/>
            <w:hideMark/>
          </w:tcPr>
          <w:p w14:paraId="2E23124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Gardening, vegetable gardening or dacha non-profit associations of individuals – non-profit organizations established by individuals on a voluntary basis to assist its members in addressing common social and economic tasks related to gardening, vegetable gardening, and dacha farming</w:t>
            </w:r>
          </w:p>
        </w:tc>
        <w:tc>
          <w:tcPr>
            <w:tcW w:w="1606" w:type="dxa"/>
            <w:shd w:val="clear" w:color="000000" w:fill="FFFFFF"/>
            <w:noWrap/>
            <w:vAlign w:val="center"/>
            <w:hideMark/>
          </w:tcPr>
          <w:p w14:paraId="12800761" w14:textId="77777777" w:rsidR="00B97058" w:rsidRPr="00BD295E" w:rsidRDefault="00B97058" w:rsidP="00B97058">
            <w:pPr>
              <w:jc w:val="center"/>
              <w:rPr>
                <w:rFonts w:ascii="Arial" w:hAnsi="Arial" w:cs="Arial"/>
                <w:sz w:val="18"/>
                <w:szCs w:val="18"/>
                <w:lang w:val="en-US"/>
              </w:rPr>
            </w:pPr>
          </w:p>
        </w:tc>
        <w:tc>
          <w:tcPr>
            <w:tcW w:w="1606" w:type="dxa"/>
            <w:shd w:val="clear" w:color="000000" w:fill="FFFFFF"/>
            <w:noWrap/>
            <w:vAlign w:val="center"/>
            <w:hideMark/>
          </w:tcPr>
          <w:p w14:paraId="54A7DDD1" w14:textId="77777777" w:rsidR="00B97058" w:rsidRPr="00BD295E" w:rsidRDefault="00B97058" w:rsidP="00B97058">
            <w:pPr>
              <w:jc w:val="center"/>
              <w:rPr>
                <w:rFonts w:ascii="Arial" w:hAnsi="Arial" w:cs="Arial"/>
                <w:sz w:val="18"/>
                <w:szCs w:val="18"/>
                <w:lang w:val="en-US"/>
              </w:rPr>
            </w:pPr>
          </w:p>
        </w:tc>
        <w:tc>
          <w:tcPr>
            <w:tcW w:w="1607" w:type="dxa"/>
            <w:shd w:val="clear" w:color="auto" w:fill="auto"/>
            <w:vAlign w:val="center"/>
          </w:tcPr>
          <w:p w14:paraId="46F5830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1,824</w:t>
            </w:r>
          </w:p>
        </w:tc>
      </w:tr>
      <w:tr w:rsidR="008A5057" w:rsidRPr="00BD295E" w14:paraId="66BD94DF" w14:textId="77777777" w:rsidTr="00B97058">
        <w:trPr>
          <w:trHeight w:val="1358"/>
        </w:trPr>
        <w:tc>
          <w:tcPr>
            <w:tcW w:w="724" w:type="dxa"/>
            <w:shd w:val="clear" w:color="000000" w:fill="FFFFFF"/>
            <w:noWrap/>
            <w:hideMark/>
          </w:tcPr>
          <w:p w14:paraId="0E4085F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2.4.2.</w:t>
            </w:r>
          </w:p>
        </w:tc>
        <w:tc>
          <w:tcPr>
            <w:tcW w:w="4111" w:type="dxa"/>
            <w:shd w:val="clear" w:color="000000" w:fill="FFFFFF"/>
            <w:hideMark/>
          </w:tcPr>
          <w:p w14:paraId="5C6129F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Legal entities acquiring electricity (capacity) for consumption by persons serving a sentence of imprisonment in their living quarters, provided that separate electricity metering is available for such living quarters</w:t>
            </w:r>
          </w:p>
        </w:tc>
        <w:tc>
          <w:tcPr>
            <w:tcW w:w="1606" w:type="dxa"/>
            <w:shd w:val="clear" w:color="000000" w:fill="FFFFFF"/>
            <w:noWrap/>
            <w:vAlign w:val="center"/>
            <w:hideMark/>
          </w:tcPr>
          <w:p w14:paraId="169356D3" w14:textId="77777777" w:rsidR="00B97058" w:rsidRPr="00BD295E" w:rsidRDefault="00B97058" w:rsidP="00B97058">
            <w:pPr>
              <w:jc w:val="center"/>
              <w:rPr>
                <w:rFonts w:ascii="Arial" w:hAnsi="Arial" w:cs="Arial"/>
                <w:sz w:val="18"/>
                <w:szCs w:val="18"/>
                <w:lang w:val="en-US"/>
              </w:rPr>
            </w:pPr>
          </w:p>
        </w:tc>
        <w:tc>
          <w:tcPr>
            <w:tcW w:w="1606" w:type="dxa"/>
            <w:shd w:val="clear" w:color="000000" w:fill="FFFFFF"/>
            <w:noWrap/>
            <w:vAlign w:val="center"/>
            <w:hideMark/>
          </w:tcPr>
          <w:p w14:paraId="2D76A6AF" w14:textId="77777777" w:rsidR="00B97058" w:rsidRPr="00BD295E" w:rsidRDefault="00B97058" w:rsidP="00B97058">
            <w:pPr>
              <w:jc w:val="center"/>
              <w:rPr>
                <w:rFonts w:ascii="Arial" w:hAnsi="Arial" w:cs="Arial"/>
                <w:sz w:val="18"/>
                <w:szCs w:val="18"/>
                <w:lang w:val="en-US"/>
              </w:rPr>
            </w:pPr>
          </w:p>
        </w:tc>
        <w:tc>
          <w:tcPr>
            <w:tcW w:w="1607" w:type="dxa"/>
            <w:shd w:val="clear" w:color="auto" w:fill="auto"/>
            <w:vAlign w:val="center"/>
          </w:tcPr>
          <w:p w14:paraId="3BE54CB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2,096</w:t>
            </w:r>
          </w:p>
        </w:tc>
      </w:tr>
      <w:tr w:rsidR="008A5057" w:rsidRPr="00BD295E" w14:paraId="4EF03211" w14:textId="77777777" w:rsidTr="00B97058">
        <w:trPr>
          <w:trHeight w:val="510"/>
        </w:trPr>
        <w:tc>
          <w:tcPr>
            <w:tcW w:w="724" w:type="dxa"/>
            <w:shd w:val="clear" w:color="000000" w:fill="FFFFFF"/>
            <w:noWrap/>
            <w:hideMark/>
          </w:tcPr>
          <w:p w14:paraId="1205214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2.4.3.</w:t>
            </w:r>
          </w:p>
        </w:tc>
        <w:tc>
          <w:tcPr>
            <w:tcW w:w="4111" w:type="dxa"/>
            <w:shd w:val="clear" w:color="000000" w:fill="FFFFFF"/>
            <w:hideMark/>
          </w:tcPr>
          <w:p w14:paraId="69DA7AB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Religious organizations financed by the congregation</w:t>
            </w:r>
          </w:p>
        </w:tc>
        <w:tc>
          <w:tcPr>
            <w:tcW w:w="1606" w:type="dxa"/>
            <w:shd w:val="clear" w:color="000000" w:fill="FFFFFF"/>
            <w:noWrap/>
            <w:vAlign w:val="center"/>
            <w:hideMark/>
          </w:tcPr>
          <w:p w14:paraId="7DA24A64" w14:textId="77777777" w:rsidR="00B97058" w:rsidRPr="00BD295E" w:rsidRDefault="00B97058" w:rsidP="00B97058">
            <w:pPr>
              <w:jc w:val="center"/>
              <w:rPr>
                <w:rFonts w:ascii="Arial" w:hAnsi="Arial" w:cs="Arial"/>
                <w:sz w:val="18"/>
                <w:szCs w:val="18"/>
                <w:lang w:val="en-US"/>
              </w:rPr>
            </w:pPr>
          </w:p>
        </w:tc>
        <w:tc>
          <w:tcPr>
            <w:tcW w:w="1606" w:type="dxa"/>
            <w:shd w:val="clear" w:color="000000" w:fill="FFFFFF"/>
            <w:noWrap/>
            <w:vAlign w:val="center"/>
            <w:hideMark/>
          </w:tcPr>
          <w:p w14:paraId="560CD9F5" w14:textId="77777777" w:rsidR="00B97058" w:rsidRPr="00BD295E" w:rsidRDefault="00B97058" w:rsidP="00B97058">
            <w:pPr>
              <w:jc w:val="center"/>
              <w:rPr>
                <w:rFonts w:ascii="Arial" w:hAnsi="Arial" w:cs="Arial"/>
                <w:sz w:val="18"/>
                <w:szCs w:val="18"/>
                <w:lang w:val="en-US"/>
              </w:rPr>
            </w:pPr>
          </w:p>
        </w:tc>
        <w:tc>
          <w:tcPr>
            <w:tcW w:w="1607" w:type="dxa"/>
            <w:shd w:val="clear" w:color="auto" w:fill="auto"/>
            <w:vAlign w:val="center"/>
          </w:tcPr>
          <w:p w14:paraId="4612811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2,006</w:t>
            </w:r>
          </w:p>
        </w:tc>
      </w:tr>
      <w:tr w:rsidR="008A5057" w:rsidRPr="00BD295E" w14:paraId="052A1023" w14:textId="77777777" w:rsidTr="00B97058">
        <w:trPr>
          <w:trHeight w:val="2820"/>
        </w:trPr>
        <w:tc>
          <w:tcPr>
            <w:tcW w:w="724" w:type="dxa"/>
            <w:shd w:val="clear" w:color="000000" w:fill="FFFFFF"/>
            <w:noWrap/>
            <w:hideMark/>
          </w:tcPr>
          <w:p w14:paraId="6FBD8BAB"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2.4.4.</w:t>
            </w:r>
          </w:p>
        </w:tc>
        <w:tc>
          <w:tcPr>
            <w:tcW w:w="4111" w:type="dxa"/>
            <w:shd w:val="clear" w:color="000000" w:fill="FFFFFF"/>
            <w:hideMark/>
          </w:tcPr>
          <w:p w14:paraId="55A402A0"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Associations of individuals purchasing electricity (capacity) for use in their own outbuildings (cellars, barns); non-profit associations of individuals (garage construction cooperatives, garage cooperatives), and individuals owning standalone garages who purchase electricity (capacity) for consumption for residential needs and not used for commercial activities.</w:t>
            </w:r>
          </w:p>
        </w:tc>
        <w:tc>
          <w:tcPr>
            <w:tcW w:w="1606" w:type="dxa"/>
            <w:shd w:val="clear" w:color="000000" w:fill="FFFFFF"/>
            <w:noWrap/>
            <w:vAlign w:val="center"/>
            <w:hideMark/>
          </w:tcPr>
          <w:p w14:paraId="1005965C" w14:textId="77777777" w:rsidR="00B97058" w:rsidRPr="00BD295E" w:rsidRDefault="00B97058" w:rsidP="00B97058">
            <w:pPr>
              <w:jc w:val="center"/>
              <w:rPr>
                <w:rFonts w:ascii="Arial" w:hAnsi="Arial" w:cs="Arial"/>
                <w:sz w:val="18"/>
                <w:szCs w:val="18"/>
                <w:lang w:val="en-US"/>
              </w:rPr>
            </w:pPr>
          </w:p>
        </w:tc>
        <w:tc>
          <w:tcPr>
            <w:tcW w:w="1606" w:type="dxa"/>
            <w:shd w:val="clear" w:color="000000" w:fill="FFFFFF"/>
            <w:noWrap/>
            <w:vAlign w:val="center"/>
            <w:hideMark/>
          </w:tcPr>
          <w:p w14:paraId="4165FFEB" w14:textId="77777777" w:rsidR="00B97058" w:rsidRPr="00BD295E" w:rsidRDefault="00B97058" w:rsidP="00B97058">
            <w:pPr>
              <w:jc w:val="center"/>
              <w:rPr>
                <w:rFonts w:ascii="Arial" w:hAnsi="Arial" w:cs="Arial"/>
                <w:sz w:val="18"/>
                <w:szCs w:val="18"/>
                <w:lang w:val="en-US"/>
              </w:rPr>
            </w:pPr>
          </w:p>
        </w:tc>
        <w:tc>
          <w:tcPr>
            <w:tcW w:w="1607" w:type="dxa"/>
            <w:shd w:val="clear" w:color="auto" w:fill="auto"/>
            <w:vAlign w:val="center"/>
          </w:tcPr>
          <w:p w14:paraId="0117B29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1,982</w:t>
            </w:r>
          </w:p>
        </w:tc>
      </w:tr>
    </w:tbl>
    <w:p w14:paraId="39B9CFAE" w14:textId="77777777" w:rsidR="00B97058" w:rsidRPr="00BD295E" w:rsidRDefault="008A5057" w:rsidP="00FA6082">
      <w:pPr>
        <w:pStyle w:val="af3"/>
        <w:numPr>
          <w:ilvl w:val="0"/>
          <w:numId w:val="160"/>
        </w:numPr>
        <w:tabs>
          <w:tab w:val="left" w:pos="709"/>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Individual two-rate tariffs used for settlements between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allied grid organizations (for electricity distribution services provided via their grids) without differentiation by voltage level. Directive No. 298-r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2018</w:t>
      </w:r>
    </w:p>
    <w:p w14:paraId="286117B1" w14:textId="77777777" w:rsidR="00B97058" w:rsidRPr="00BD295E" w:rsidRDefault="00B97058" w:rsidP="00B97058">
      <w:pPr>
        <w:pStyle w:val="af3"/>
        <w:tabs>
          <w:tab w:val="left" w:pos="709"/>
        </w:tabs>
        <w:ind w:left="0"/>
        <w:jc w:val="both"/>
        <w:rPr>
          <w:rFonts w:ascii="Arial" w:hAnsi="Arial" w:cs="Arial"/>
          <w:sz w:val="18"/>
          <w:szCs w:val="18"/>
          <w:lang w:val="en-US"/>
        </w:rPr>
      </w:pPr>
    </w:p>
    <w:p w14:paraId="2FD6B4D9" w14:textId="77777777" w:rsidR="00B97058" w:rsidRPr="00BD295E" w:rsidRDefault="008A5057" w:rsidP="00FA6082">
      <w:pPr>
        <w:pStyle w:val="af3"/>
        <w:numPr>
          <w:ilvl w:val="0"/>
          <w:numId w:val="160"/>
        </w:numPr>
        <w:ind w:left="0" w:firstLine="0"/>
        <w:contextualSpacing w:val="0"/>
        <w:jc w:val="both"/>
        <w:rPr>
          <w:rFonts w:ascii="Arial" w:eastAsia="Calibri" w:hAnsi="Arial" w:cs="Arial"/>
          <w:sz w:val="18"/>
          <w:szCs w:val="18"/>
          <w:lang w:val="en-US"/>
        </w:rPr>
      </w:pPr>
      <w:r w:rsidRPr="00BD295E">
        <w:rPr>
          <w:rFonts w:ascii="Arial" w:hAnsi="Arial" w:cs="Arial"/>
          <w:sz w:val="18"/>
          <w:szCs w:val="18"/>
          <w:lang w:val="en-US"/>
        </w:rPr>
        <w:t>KirovTEK, CJSC, an individual two-rate</w:t>
      </w:r>
      <w:r w:rsidR="005D0F7E" w:rsidRPr="00BD295E">
        <w:rPr>
          <w:rFonts w:ascii="Arial" w:hAnsi="Arial" w:cs="Arial"/>
          <w:sz w:val="18"/>
          <w:szCs w:val="18"/>
          <w:lang w:val="en-US"/>
        </w:rPr>
        <w:t xml:space="preserve"> pool</w:t>
      </w:r>
      <w:r w:rsidRPr="00BD295E">
        <w:rPr>
          <w:rFonts w:ascii="Arial" w:hAnsi="Arial" w:cs="Arial"/>
          <w:sz w:val="18"/>
          <w:szCs w:val="18"/>
          <w:lang w:val="en-US"/>
        </w:rPr>
        <w:t xml:space="preserve"> tariff (pays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for electricity distribution services). Order No. 276-r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27, 2018</w:t>
      </w:r>
    </w:p>
    <w:p w14:paraId="5AE4B09D" w14:textId="7EFBA9C3" w:rsidR="00D52DED" w:rsidRPr="00BD295E" w:rsidRDefault="00D52DED">
      <w:pPr>
        <w:rPr>
          <w:rFonts w:ascii="Arial" w:eastAsia="Calibri" w:hAnsi="Arial" w:cs="Arial"/>
          <w:sz w:val="18"/>
          <w:szCs w:val="18"/>
          <w:lang w:val="en-US" w:eastAsia="en-US"/>
        </w:rPr>
      </w:pPr>
      <w:r w:rsidRPr="00BD295E">
        <w:rPr>
          <w:rFonts w:ascii="Arial" w:eastAsia="Calibri" w:hAnsi="Arial" w:cs="Arial"/>
          <w:sz w:val="18"/>
          <w:szCs w:val="18"/>
          <w:lang w:val="en-US" w:eastAsia="en-US"/>
        </w:rPr>
        <w:br w:type="page"/>
      </w:r>
    </w:p>
    <w:p w14:paraId="12585154" w14:textId="77777777" w:rsidR="00B97058" w:rsidRPr="00BD295E" w:rsidRDefault="008A5057" w:rsidP="00B97058">
      <w:pPr>
        <w:pStyle w:val="af3"/>
        <w:ind w:left="0"/>
        <w:jc w:val="both"/>
        <w:rPr>
          <w:rFonts w:ascii="Arial" w:eastAsia="Calibri" w:hAnsi="Arial" w:cs="Arial"/>
          <w:sz w:val="18"/>
          <w:szCs w:val="18"/>
          <w:lang w:val="en-US"/>
        </w:rPr>
      </w:pPr>
      <w:r w:rsidRPr="00BD295E">
        <w:rPr>
          <w:rFonts w:ascii="Arial" w:hAnsi="Arial" w:cs="Arial"/>
          <w:sz w:val="18"/>
          <w:szCs w:val="18"/>
          <w:lang w:val="en-US"/>
        </w:rPr>
        <w:t>from January 1, 2019 to June 30, 2019</w:t>
      </w:r>
    </w:p>
    <w:tbl>
      <w:tblPr>
        <w:tblW w:w="51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476"/>
        <w:gridCol w:w="2285"/>
        <w:gridCol w:w="2273"/>
        <w:gridCol w:w="2274"/>
      </w:tblGrid>
      <w:tr w:rsidR="008A5057" w:rsidRPr="00BD295E" w14:paraId="3F28E5E5" w14:textId="77777777" w:rsidTr="00B97058">
        <w:trPr>
          <w:trHeight w:val="986"/>
        </w:trPr>
        <w:tc>
          <w:tcPr>
            <w:tcW w:w="2580" w:type="dxa"/>
            <w:vAlign w:val="center"/>
          </w:tcPr>
          <w:p w14:paraId="6134B24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Allied grid company</w:t>
            </w:r>
          </w:p>
        </w:tc>
        <w:tc>
          <w:tcPr>
            <w:tcW w:w="2362" w:type="dxa"/>
            <w:vAlign w:val="center"/>
          </w:tcPr>
          <w:p w14:paraId="3DA7E81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electric grid maintenance (RUB/MW per month)</w:t>
            </w:r>
          </w:p>
        </w:tc>
        <w:tc>
          <w:tcPr>
            <w:tcW w:w="2362" w:type="dxa"/>
            <w:vAlign w:val="center"/>
          </w:tcPr>
          <w:p w14:paraId="6D7FB13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paying for network expenses (losses), RUB/MWh</w:t>
            </w:r>
          </w:p>
        </w:tc>
        <w:tc>
          <w:tcPr>
            <w:tcW w:w="2363" w:type="dxa"/>
            <w:vAlign w:val="center"/>
          </w:tcPr>
          <w:p w14:paraId="56BD81C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One-rate tariff, RUB/MWh</w:t>
            </w:r>
          </w:p>
        </w:tc>
      </w:tr>
      <w:tr w:rsidR="008A5057" w:rsidRPr="00BD295E" w14:paraId="103B6FA8" w14:textId="77777777" w:rsidTr="00B97058">
        <w:trPr>
          <w:trHeight w:val="23"/>
        </w:trPr>
        <w:tc>
          <w:tcPr>
            <w:tcW w:w="2580" w:type="dxa"/>
          </w:tcPr>
          <w:p w14:paraId="1F084EEC" w14:textId="77777777" w:rsidR="00B97058" w:rsidRPr="00BD295E" w:rsidRDefault="008A5057" w:rsidP="00B97058">
            <w:pPr>
              <w:keepNext/>
              <w:keepLines/>
              <w:widowControl w:val="0"/>
              <w:autoSpaceDE w:val="0"/>
              <w:autoSpaceDN w:val="0"/>
              <w:adjustRightInd w:val="0"/>
              <w:rPr>
                <w:rFonts w:ascii="Arial" w:hAnsi="Arial" w:cs="Arial"/>
                <w:sz w:val="18"/>
                <w:szCs w:val="18"/>
                <w:lang w:val="en-US"/>
              </w:rPr>
            </w:pPr>
            <w:r w:rsidRPr="00BD295E">
              <w:rPr>
                <w:rFonts w:ascii="Arial" w:hAnsi="Arial" w:cs="Arial"/>
                <w:sz w:val="18"/>
                <w:szCs w:val="18"/>
                <w:lang w:val="en-US"/>
              </w:rPr>
              <w:t>KirovTEK, CJSC</w:t>
            </w:r>
          </w:p>
        </w:tc>
        <w:tc>
          <w:tcPr>
            <w:tcW w:w="2362" w:type="dxa"/>
          </w:tcPr>
          <w:p w14:paraId="1CC86736"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1,242,726.79</w:t>
            </w:r>
          </w:p>
        </w:tc>
        <w:tc>
          <w:tcPr>
            <w:tcW w:w="2362" w:type="dxa"/>
          </w:tcPr>
          <w:p w14:paraId="4F2C544A"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228.42</w:t>
            </w:r>
          </w:p>
        </w:tc>
        <w:tc>
          <w:tcPr>
            <w:tcW w:w="2363" w:type="dxa"/>
          </w:tcPr>
          <w:p w14:paraId="72AA7445"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3,372.80</w:t>
            </w:r>
          </w:p>
        </w:tc>
      </w:tr>
    </w:tbl>
    <w:p w14:paraId="53374BC8" w14:textId="77777777" w:rsidR="00B97058" w:rsidRPr="00BD295E" w:rsidRDefault="00B97058" w:rsidP="00B97058">
      <w:pPr>
        <w:keepNext/>
        <w:keepLines/>
        <w:rPr>
          <w:rFonts w:ascii="Arial" w:hAnsi="Arial" w:cs="Arial"/>
          <w:sz w:val="18"/>
          <w:szCs w:val="18"/>
          <w:lang w:val="en-US"/>
        </w:rPr>
      </w:pPr>
    </w:p>
    <w:p w14:paraId="0B632A00" w14:textId="77777777" w:rsidR="00B97058" w:rsidRPr="00BD295E" w:rsidRDefault="008A5057" w:rsidP="00B97058">
      <w:pPr>
        <w:keepNext/>
        <w:keepLines/>
        <w:rPr>
          <w:rFonts w:ascii="Arial" w:hAnsi="Arial" w:cs="Arial"/>
          <w:sz w:val="18"/>
          <w:szCs w:val="18"/>
          <w:lang w:val="en-US"/>
        </w:rPr>
      </w:pPr>
      <w:r w:rsidRPr="00BD295E">
        <w:rPr>
          <w:rFonts w:ascii="Arial" w:hAnsi="Arial" w:cs="Arial"/>
          <w:sz w:val="18"/>
          <w:szCs w:val="18"/>
          <w:lang w:val="en-US"/>
        </w:rPr>
        <w:t>from July 1, 2019 to December 31, 2019</w:t>
      </w:r>
    </w:p>
    <w:tbl>
      <w:tblPr>
        <w:tblW w:w="51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476"/>
        <w:gridCol w:w="2285"/>
        <w:gridCol w:w="2273"/>
        <w:gridCol w:w="2274"/>
      </w:tblGrid>
      <w:tr w:rsidR="008A5057" w:rsidRPr="00BD295E" w14:paraId="46DDE1FC" w14:textId="77777777" w:rsidTr="00B97058">
        <w:trPr>
          <w:trHeight w:val="986"/>
        </w:trPr>
        <w:tc>
          <w:tcPr>
            <w:tcW w:w="2580" w:type="dxa"/>
            <w:vAlign w:val="center"/>
          </w:tcPr>
          <w:p w14:paraId="764EFC8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Allied grid company</w:t>
            </w:r>
          </w:p>
        </w:tc>
        <w:tc>
          <w:tcPr>
            <w:tcW w:w="2362" w:type="dxa"/>
            <w:vAlign w:val="center"/>
          </w:tcPr>
          <w:p w14:paraId="4F3A4ED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electric grid maintenance (RUB/MW per month)</w:t>
            </w:r>
          </w:p>
        </w:tc>
        <w:tc>
          <w:tcPr>
            <w:tcW w:w="2362" w:type="dxa"/>
            <w:vAlign w:val="center"/>
          </w:tcPr>
          <w:p w14:paraId="0AEF3D6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Rate for paying for network expenses (losses), RUB/MWh</w:t>
            </w:r>
          </w:p>
        </w:tc>
        <w:tc>
          <w:tcPr>
            <w:tcW w:w="2363" w:type="dxa"/>
            <w:vAlign w:val="center"/>
          </w:tcPr>
          <w:p w14:paraId="1712CA0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One-rate tariff, RUB/MWh</w:t>
            </w:r>
          </w:p>
        </w:tc>
      </w:tr>
      <w:tr w:rsidR="008A5057" w:rsidRPr="00BD295E" w14:paraId="50DFB5EF" w14:textId="77777777" w:rsidTr="00B97058">
        <w:trPr>
          <w:trHeight w:val="23"/>
        </w:trPr>
        <w:tc>
          <w:tcPr>
            <w:tcW w:w="2580" w:type="dxa"/>
          </w:tcPr>
          <w:p w14:paraId="49336028" w14:textId="77777777" w:rsidR="00B97058" w:rsidRPr="00BD295E" w:rsidRDefault="008A5057" w:rsidP="00B97058">
            <w:pPr>
              <w:keepNext/>
              <w:keepLines/>
              <w:widowControl w:val="0"/>
              <w:autoSpaceDE w:val="0"/>
              <w:autoSpaceDN w:val="0"/>
              <w:adjustRightInd w:val="0"/>
              <w:rPr>
                <w:rFonts w:ascii="Arial" w:hAnsi="Arial" w:cs="Arial"/>
                <w:sz w:val="18"/>
                <w:szCs w:val="18"/>
                <w:lang w:val="en-US"/>
              </w:rPr>
            </w:pPr>
            <w:r w:rsidRPr="00BD295E">
              <w:rPr>
                <w:rFonts w:ascii="Arial" w:hAnsi="Arial" w:cs="Arial"/>
                <w:sz w:val="18"/>
                <w:szCs w:val="18"/>
                <w:lang w:val="en-US"/>
              </w:rPr>
              <w:t>KirovTEK, CJSC</w:t>
            </w:r>
          </w:p>
        </w:tc>
        <w:tc>
          <w:tcPr>
            <w:tcW w:w="2362" w:type="dxa"/>
          </w:tcPr>
          <w:p w14:paraId="52FCAFAE"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1,380,285.34</w:t>
            </w:r>
          </w:p>
        </w:tc>
        <w:tc>
          <w:tcPr>
            <w:tcW w:w="2362" w:type="dxa"/>
          </w:tcPr>
          <w:p w14:paraId="42EC752F"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285.20</w:t>
            </w:r>
          </w:p>
        </w:tc>
        <w:tc>
          <w:tcPr>
            <w:tcW w:w="2363" w:type="dxa"/>
          </w:tcPr>
          <w:p w14:paraId="04587727" w14:textId="77777777" w:rsidR="00B97058" w:rsidRPr="00BD295E" w:rsidRDefault="008A5057" w:rsidP="00B97058">
            <w:pPr>
              <w:pStyle w:val="ConsPlusNormal"/>
              <w:jc w:val="center"/>
              <w:rPr>
                <w:rFonts w:ascii="Arial" w:hAnsi="Arial" w:cs="Arial"/>
                <w:sz w:val="18"/>
                <w:szCs w:val="18"/>
                <w:lang w:val="en-US"/>
              </w:rPr>
            </w:pPr>
            <w:r w:rsidRPr="00BD295E">
              <w:rPr>
                <w:rFonts w:ascii="Arial" w:hAnsi="Arial" w:cs="Arial"/>
                <w:sz w:val="18"/>
                <w:szCs w:val="18"/>
                <w:lang w:val="en-US"/>
              </w:rPr>
              <w:t>3,848.63</w:t>
            </w:r>
          </w:p>
        </w:tc>
      </w:tr>
    </w:tbl>
    <w:p w14:paraId="31537674" w14:textId="77777777" w:rsidR="00B97058" w:rsidRPr="00BD295E" w:rsidRDefault="00B97058" w:rsidP="00B97058">
      <w:pPr>
        <w:rPr>
          <w:rFonts w:ascii="Arial" w:hAnsi="Arial" w:cs="Arial"/>
          <w:sz w:val="18"/>
          <w:szCs w:val="18"/>
          <w:lang w:val="en-US"/>
        </w:rPr>
      </w:pPr>
    </w:p>
    <w:p w14:paraId="69F417CE" w14:textId="77777777" w:rsidR="00B97058" w:rsidRPr="00BD295E" w:rsidRDefault="008A5057" w:rsidP="00B97058">
      <w:pPr>
        <w:rPr>
          <w:rFonts w:ascii="Arial" w:hAnsi="Arial" w:cs="Arial"/>
          <w:b/>
          <w:sz w:val="18"/>
          <w:szCs w:val="18"/>
          <w:lang w:val="en-US"/>
        </w:rPr>
      </w:pPr>
      <w:r w:rsidRPr="00BD295E">
        <w:rPr>
          <w:rFonts w:ascii="Arial" w:hAnsi="Arial" w:cs="Arial"/>
          <w:b/>
          <w:sz w:val="18"/>
          <w:szCs w:val="18"/>
          <w:lang w:val="en-US"/>
        </w:rPr>
        <w:t xml:space="preserve">Leningrad Region: </w:t>
      </w:r>
    </w:p>
    <w:p w14:paraId="5442279B" w14:textId="77777777" w:rsidR="005D0F7E" w:rsidRPr="00BD295E" w:rsidRDefault="008A5057" w:rsidP="00CA2271">
      <w:pPr>
        <w:pStyle w:val="af3"/>
        <w:numPr>
          <w:ilvl w:val="0"/>
          <w:numId w:val="139"/>
        </w:numPr>
        <w:ind w:left="0" w:firstLine="0"/>
        <w:contextualSpacing w:val="0"/>
        <w:jc w:val="both"/>
        <w:rPr>
          <w:rFonts w:ascii="Arial" w:eastAsia="Calibri" w:hAnsi="Arial" w:cs="Arial"/>
          <w:sz w:val="18"/>
          <w:szCs w:val="18"/>
          <w:lang w:val="en-US"/>
        </w:rPr>
      </w:pPr>
      <w:r w:rsidRPr="00BD295E">
        <w:rPr>
          <w:rFonts w:ascii="Arial" w:hAnsi="Arial" w:cs="Arial"/>
          <w:sz w:val="18"/>
          <w:szCs w:val="18"/>
          <w:lang w:val="en-US"/>
        </w:rPr>
        <w:t>two-rate</w:t>
      </w:r>
      <w:r w:rsidR="000A385C" w:rsidRPr="00BD295E">
        <w:rPr>
          <w:rFonts w:ascii="Arial" w:hAnsi="Arial" w:cs="Arial"/>
          <w:sz w:val="18"/>
          <w:szCs w:val="18"/>
          <w:lang w:val="en-US"/>
        </w:rPr>
        <w:t xml:space="preserve"> pool</w:t>
      </w:r>
      <w:r w:rsidRPr="00BD295E">
        <w:rPr>
          <w:rFonts w:ascii="Arial" w:hAnsi="Arial" w:cs="Arial"/>
          <w:sz w:val="18"/>
          <w:szCs w:val="18"/>
          <w:lang w:val="en-US"/>
        </w:rPr>
        <w:t xml:space="preserve"> tariffs with differentiation by voltage level and separate tariffs for households</w:t>
      </w:r>
    </w:p>
    <w:p w14:paraId="08F6431F" w14:textId="77777777" w:rsidR="00B97058" w:rsidRPr="00BD295E" w:rsidRDefault="008A5057" w:rsidP="005D0F7E">
      <w:pPr>
        <w:pStyle w:val="af3"/>
        <w:ind w:left="0"/>
        <w:contextualSpacing w:val="0"/>
        <w:jc w:val="both"/>
        <w:rPr>
          <w:rFonts w:ascii="Arial" w:eastAsia="Calibri" w:hAnsi="Arial" w:cs="Arial"/>
          <w:sz w:val="18"/>
          <w:szCs w:val="18"/>
          <w:lang w:val="en-US"/>
        </w:rPr>
      </w:pPr>
      <w:r w:rsidRPr="00BD295E">
        <w:rPr>
          <w:rFonts w:ascii="Arial" w:hAnsi="Arial" w:cs="Arial"/>
          <w:sz w:val="18"/>
          <w:szCs w:val="18"/>
          <w:lang w:val="en-US"/>
        </w:rPr>
        <w:t xml:space="preserve">Order No. 727-p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29, 2018</w:t>
      </w:r>
    </w:p>
    <w:p w14:paraId="6A79BF9F" w14:textId="77777777" w:rsidR="00B97058" w:rsidRPr="00BD295E" w:rsidRDefault="005D0F7E" w:rsidP="00B97058">
      <w:pPr>
        <w:tabs>
          <w:tab w:val="left" w:pos="709"/>
        </w:tabs>
        <w:jc w:val="both"/>
        <w:rPr>
          <w:rFonts w:ascii="Arial" w:hAnsi="Arial" w:cs="Arial"/>
          <w:sz w:val="18"/>
          <w:szCs w:val="18"/>
          <w:lang w:val="en-US"/>
        </w:rPr>
      </w:pPr>
      <w:r w:rsidRPr="00BD295E">
        <w:rPr>
          <w:rFonts w:ascii="Arial" w:hAnsi="Arial" w:cs="Arial"/>
          <w:sz w:val="18"/>
          <w:szCs w:val="18"/>
          <w:lang w:val="en-US"/>
        </w:rPr>
        <w:t>F</w:t>
      </w:r>
      <w:r w:rsidR="008A5057" w:rsidRPr="00BD295E">
        <w:rPr>
          <w:rFonts w:ascii="Arial" w:hAnsi="Arial" w:cs="Arial"/>
          <w:sz w:val="18"/>
          <w:szCs w:val="18"/>
          <w:lang w:val="en-US"/>
        </w:rPr>
        <w:t>rom January 1, 2019 to June 30, 2019</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4111"/>
        <w:gridCol w:w="1606"/>
        <w:gridCol w:w="1606"/>
        <w:gridCol w:w="1607"/>
      </w:tblGrid>
      <w:tr w:rsidR="008A5057" w:rsidRPr="00BD295E" w14:paraId="5DE8887F" w14:textId="77777777" w:rsidTr="00B97058">
        <w:trPr>
          <w:trHeight w:val="1550"/>
        </w:trPr>
        <w:tc>
          <w:tcPr>
            <w:tcW w:w="724" w:type="dxa"/>
            <w:shd w:val="clear" w:color="000000" w:fill="FFFFFF"/>
            <w:vAlign w:val="center"/>
            <w:hideMark/>
          </w:tcPr>
          <w:p w14:paraId="5BB91BE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No.</w:t>
            </w:r>
          </w:p>
          <w:p w14:paraId="6770C216"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vAlign w:val="center"/>
            <w:hideMark/>
          </w:tcPr>
          <w:p w14:paraId="6BD2BD4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Consumer group</w:t>
            </w:r>
          </w:p>
        </w:tc>
        <w:tc>
          <w:tcPr>
            <w:tcW w:w="1606" w:type="dxa"/>
            <w:shd w:val="clear" w:color="000000" w:fill="FFFFFF"/>
            <w:vAlign w:val="center"/>
            <w:hideMark/>
          </w:tcPr>
          <w:p w14:paraId="0EB42D3B"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 grid maintenance (RUB/MW per month)</w:t>
            </w:r>
          </w:p>
        </w:tc>
        <w:tc>
          <w:tcPr>
            <w:tcW w:w="1606" w:type="dxa"/>
            <w:shd w:val="clear" w:color="000000" w:fill="FFFFFF"/>
            <w:vAlign w:val="center"/>
          </w:tcPr>
          <w:p w14:paraId="3137DB3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electricity network losses (RUB/MWh)</w:t>
            </w:r>
          </w:p>
        </w:tc>
        <w:tc>
          <w:tcPr>
            <w:tcW w:w="1607" w:type="dxa"/>
            <w:shd w:val="clear" w:color="000000" w:fill="FFFFFF"/>
            <w:vAlign w:val="center"/>
            <w:hideMark/>
          </w:tcPr>
          <w:p w14:paraId="46E1C25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One-rate tariff (RUB/MWh)</w:t>
            </w:r>
          </w:p>
        </w:tc>
      </w:tr>
      <w:tr w:rsidR="008A5057" w:rsidRPr="00BD295E" w14:paraId="73669169" w14:textId="77777777" w:rsidTr="00B97058">
        <w:trPr>
          <w:trHeight w:val="139"/>
        </w:trPr>
        <w:tc>
          <w:tcPr>
            <w:tcW w:w="724" w:type="dxa"/>
            <w:shd w:val="clear" w:color="000000" w:fill="FFFFFF"/>
            <w:noWrap/>
            <w:hideMark/>
          </w:tcPr>
          <w:p w14:paraId="3CC95FA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1.</w:t>
            </w:r>
          </w:p>
        </w:tc>
        <w:tc>
          <w:tcPr>
            <w:tcW w:w="4111" w:type="dxa"/>
            <w:shd w:val="clear" w:color="000000" w:fill="FFFFFF"/>
            <w:noWrap/>
            <w:hideMark/>
          </w:tcPr>
          <w:p w14:paraId="1466881F"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Other</w:t>
            </w:r>
          </w:p>
        </w:tc>
        <w:tc>
          <w:tcPr>
            <w:tcW w:w="1606" w:type="dxa"/>
            <w:shd w:val="clear" w:color="000000" w:fill="FFFFFF"/>
            <w:noWrap/>
            <w:vAlign w:val="bottom"/>
            <w:hideMark/>
          </w:tcPr>
          <w:p w14:paraId="3C80BE91" w14:textId="77777777" w:rsidR="00B97058" w:rsidRPr="00BD295E" w:rsidRDefault="00B97058" w:rsidP="00B97058">
            <w:pPr>
              <w:jc w:val="center"/>
              <w:rPr>
                <w:rFonts w:ascii="Arial" w:hAnsi="Arial" w:cs="Arial"/>
                <w:bCs/>
                <w:sz w:val="18"/>
                <w:szCs w:val="18"/>
                <w:lang w:val="en-US"/>
              </w:rPr>
            </w:pPr>
          </w:p>
        </w:tc>
        <w:tc>
          <w:tcPr>
            <w:tcW w:w="1606" w:type="dxa"/>
            <w:shd w:val="clear" w:color="000000" w:fill="FFFFFF"/>
            <w:vAlign w:val="bottom"/>
          </w:tcPr>
          <w:p w14:paraId="321B8815" w14:textId="77777777" w:rsidR="00B97058" w:rsidRPr="00BD295E" w:rsidRDefault="00B97058" w:rsidP="00B97058">
            <w:pPr>
              <w:jc w:val="center"/>
              <w:rPr>
                <w:rFonts w:ascii="Arial" w:hAnsi="Arial" w:cs="Arial"/>
                <w:bCs/>
                <w:sz w:val="18"/>
                <w:szCs w:val="18"/>
                <w:lang w:val="en-US"/>
              </w:rPr>
            </w:pPr>
          </w:p>
        </w:tc>
        <w:tc>
          <w:tcPr>
            <w:tcW w:w="1607" w:type="dxa"/>
            <w:shd w:val="clear" w:color="000000" w:fill="FFFFFF"/>
            <w:vAlign w:val="bottom"/>
          </w:tcPr>
          <w:p w14:paraId="65406B70" w14:textId="77777777" w:rsidR="00B97058" w:rsidRPr="00BD295E" w:rsidRDefault="00B97058" w:rsidP="00B97058">
            <w:pPr>
              <w:jc w:val="center"/>
              <w:rPr>
                <w:rFonts w:ascii="Arial" w:hAnsi="Arial" w:cs="Arial"/>
                <w:bCs/>
                <w:sz w:val="18"/>
                <w:szCs w:val="18"/>
                <w:lang w:val="en-US"/>
              </w:rPr>
            </w:pPr>
          </w:p>
        </w:tc>
      </w:tr>
      <w:tr w:rsidR="008A5057" w:rsidRPr="00BD295E" w14:paraId="13AA0DC9" w14:textId="77777777" w:rsidTr="00B97058">
        <w:trPr>
          <w:trHeight w:val="283"/>
        </w:trPr>
        <w:tc>
          <w:tcPr>
            <w:tcW w:w="724" w:type="dxa"/>
            <w:shd w:val="clear" w:color="000000" w:fill="FFFFFF"/>
            <w:noWrap/>
          </w:tcPr>
          <w:p w14:paraId="40E54E4C"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noWrap/>
            <w:hideMark/>
          </w:tcPr>
          <w:p w14:paraId="37F99BD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HV</w:t>
            </w:r>
          </w:p>
        </w:tc>
        <w:tc>
          <w:tcPr>
            <w:tcW w:w="1606" w:type="dxa"/>
            <w:shd w:val="clear" w:color="auto" w:fill="auto"/>
            <w:vAlign w:val="center"/>
          </w:tcPr>
          <w:p w14:paraId="7DDC65F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1,611,173.45</w:t>
            </w:r>
          </w:p>
        </w:tc>
        <w:tc>
          <w:tcPr>
            <w:tcW w:w="1606" w:type="dxa"/>
            <w:shd w:val="clear" w:color="auto" w:fill="auto"/>
            <w:vAlign w:val="center"/>
          </w:tcPr>
          <w:p w14:paraId="0B408CE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55.77</w:t>
            </w:r>
          </w:p>
        </w:tc>
        <w:tc>
          <w:tcPr>
            <w:tcW w:w="1607" w:type="dxa"/>
            <w:shd w:val="clear" w:color="auto" w:fill="auto"/>
            <w:vAlign w:val="center"/>
          </w:tcPr>
          <w:p w14:paraId="466B0BA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1,829.40</w:t>
            </w:r>
          </w:p>
        </w:tc>
      </w:tr>
      <w:tr w:rsidR="008A5057" w:rsidRPr="00BD295E" w14:paraId="7263EBC2" w14:textId="77777777" w:rsidTr="00B97058">
        <w:trPr>
          <w:trHeight w:val="120"/>
        </w:trPr>
        <w:tc>
          <w:tcPr>
            <w:tcW w:w="724" w:type="dxa"/>
            <w:shd w:val="clear" w:color="000000" w:fill="FFFFFF"/>
            <w:noWrap/>
            <w:hideMark/>
          </w:tcPr>
          <w:p w14:paraId="7DDF99E1"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061F3FF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MV-1</w:t>
            </w:r>
          </w:p>
        </w:tc>
        <w:tc>
          <w:tcPr>
            <w:tcW w:w="1606" w:type="dxa"/>
            <w:shd w:val="clear" w:color="auto" w:fill="auto"/>
            <w:vAlign w:val="center"/>
          </w:tcPr>
          <w:p w14:paraId="77E641B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1,636,536.34</w:t>
            </w:r>
          </w:p>
        </w:tc>
        <w:tc>
          <w:tcPr>
            <w:tcW w:w="1606" w:type="dxa"/>
            <w:shd w:val="clear" w:color="auto" w:fill="auto"/>
            <w:vAlign w:val="center"/>
          </w:tcPr>
          <w:p w14:paraId="577513C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156.27</w:t>
            </w:r>
          </w:p>
        </w:tc>
        <w:tc>
          <w:tcPr>
            <w:tcW w:w="1607" w:type="dxa"/>
            <w:shd w:val="clear" w:color="auto" w:fill="auto"/>
            <w:vAlign w:val="center"/>
          </w:tcPr>
          <w:p w14:paraId="4183A52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2,556.24</w:t>
            </w:r>
          </w:p>
        </w:tc>
      </w:tr>
      <w:tr w:rsidR="008A5057" w:rsidRPr="00BD295E" w14:paraId="75AB90FD" w14:textId="77777777" w:rsidTr="00B97058">
        <w:trPr>
          <w:trHeight w:val="166"/>
        </w:trPr>
        <w:tc>
          <w:tcPr>
            <w:tcW w:w="724" w:type="dxa"/>
            <w:shd w:val="clear" w:color="000000" w:fill="FFFFFF"/>
            <w:noWrap/>
            <w:hideMark/>
          </w:tcPr>
          <w:p w14:paraId="7E5877D2"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22F9A75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MV-2</w:t>
            </w:r>
          </w:p>
        </w:tc>
        <w:tc>
          <w:tcPr>
            <w:tcW w:w="1606" w:type="dxa"/>
            <w:shd w:val="clear" w:color="auto" w:fill="auto"/>
            <w:vAlign w:val="center"/>
          </w:tcPr>
          <w:p w14:paraId="5E960F7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1,377,241.33</w:t>
            </w:r>
          </w:p>
        </w:tc>
        <w:tc>
          <w:tcPr>
            <w:tcW w:w="1606" w:type="dxa"/>
            <w:shd w:val="clear" w:color="auto" w:fill="auto"/>
            <w:vAlign w:val="center"/>
          </w:tcPr>
          <w:p w14:paraId="3DDC5E63"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283.98</w:t>
            </w:r>
          </w:p>
        </w:tc>
        <w:tc>
          <w:tcPr>
            <w:tcW w:w="1607" w:type="dxa"/>
            <w:shd w:val="clear" w:color="auto" w:fill="auto"/>
            <w:vAlign w:val="center"/>
          </w:tcPr>
          <w:p w14:paraId="4A1DD61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2,616.31</w:t>
            </w:r>
          </w:p>
        </w:tc>
      </w:tr>
      <w:tr w:rsidR="008A5057" w:rsidRPr="00BD295E" w14:paraId="3B3CD45E" w14:textId="77777777" w:rsidTr="00B97058">
        <w:trPr>
          <w:trHeight w:val="183"/>
        </w:trPr>
        <w:tc>
          <w:tcPr>
            <w:tcW w:w="724" w:type="dxa"/>
            <w:shd w:val="clear" w:color="000000" w:fill="FFFFFF"/>
            <w:noWrap/>
            <w:hideMark/>
          </w:tcPr>
          <w:p w14:paraId="51E6292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05C69983"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LV</w:t>
            </w:r>
          </w:p>
        </w:tc>
        <w:tc>
          <w:tcPr>
            <w:tcW w:w="1606" w:type="dxa"/>
            <w:shd w:val="clear" w:color="auto" w:fill="auto"/>
            <w:vAlign w:val="center"/>
          </w:tcPr>
          <w:p w14:paraId="2EFBFB3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1,639,174.69</w:t>
            </w:r>
          </w:p>
        </w:tc>
        <w:tc>
          <w:tcPr>
            <w:tcW w:w="1606" w:type="dxa"/>
            <w:shd w:val="clear" w:color="auto" w:fill="auto"/>
            <w:vAlign w:val="center"/>
          </w:tcPr>
          <w:p w14:paraId="13E1A23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876.77</w:t>
            </w:r>
          </w:p>
        </w:tc>
        <w:tc>
          <w:tcPr>
            <w:tcW w:w="1607" w:type="dxa"/>
            <w:shd w:val="clear" w:color="auto" w:fill="auto"/>
            <w:vAlign w:val="center"/>
          </w:tcPr>
          <w:p w14:paraId="52199A2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4,745.08</w:t>
            </w:r>
          </w:p>
        </w:tc>
      </w:tr>
      <w:tr w:rsidR="008A5057" w:rsidRPr="00BD295E" w14:paraId="2A329FD9" w14:textId="77777777" w:rsidTr="00B97058">
        <w:trPr>
          <w:trHeight w:val="414"/>
        </w:trPr>
        <w:tc>
          <w:tcPr>
            <w:tcW w:w="724" w:type="dxa"/>
            <w:shd w:val="clear" w:color="000000" w:fill="FFFFFF"/>
            <w:noWrap/>
            <w:hideMark/>
          </w:tcPr>
          <w:p w14:paraId="27ABE514"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2. </w:t>
            </w:r>
          </w:p>
        </w:tc>
        <w:tc>
          <w:tcPr>
            <w:tcW w:w="4111" w:type="dxa"/>
            <w:shd w:val="clear" w:color="000000" w:fill="FFFFFF"/>
            <w:noWrap/>
            <w:hideMark/>
          </w:tcPr>
          <w:p w14:paraId="087FFC52"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Households and equivalent consumers</w:t>
            </w:r>
          </w:p>
        </w:tc>
        <w:tc>
          <w:tcPr>
            <w:tcW w:w="1606" w:type="dxa"/>
            <w:shd w:val="clear" w:color="000000" w:fill="FFFFFF"/>
            <w:noWrap/>
            <w:vAlign w:val="bottom"/>
            <w:hideMark/>
          </w:tcPr>
          <w:p w14:paraId="30FF974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585B4F3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000000" w:fill="FFFFFF"/>
            <w:noWrap/>
            <w:vAlign w:val="bottom"/>
          </w:tcPr>
          <w:p w14:paraId="41F9E0D2" w14:textId="77777777" w:rsidR="00B97058" w:rsidRPr="00BD295E" w:rsidRDefault="00B97058" w:rsidP="00B97058">
            <w:pPr>
              <w:jc w:val="center"/>
              <w:rPr>
                <w:rFonts w:ascii="Arial" w:hAnsi="Arial" w:cs="Arial"/>
                <w:sz w:val="18"/>
                <w:szCs w:val="18"/>
                <w:lang w:val="en-US"/>
              </w:rPr>
            </w:pPr>
          </w:p>
        </w:tc>
      </w:tr>
      <w:tr w:rsidR="008A5057" w:rsidRPr="00BD295E" w14:paraId="062B67FD" w14:textId="77777777" w:rsidTr="00B97058">
        <w:trPr>
          <w:trHeight w:val="336"/>
        </w:trPr>
        <w:tc>
          <w:tcPr>
            <w:tcW w:w="724" w:type="dxa"/>
            <w:shd w:val="clear" w:color="000000" w:fill="FFFFFF"/>
            <w:noWrap/>
            <w:hideMark/>
          </w:tcPr>
          <w:p w14:paraId="732B0D36"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2.1. </w:t>
            </w:r>
          </w:p>
        </w:tc>
        <w:tc>
          <w:tcPr>
            <w:tcW w:w="4111" w:type="dxa"/>
            <w:shd w:val="clear" w:color="000000" w:fill="FFFFFF"/>
            <w:hideMark/>
          </w:tcPr>
          <w:p w14:paraId="55A6D876"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Households, except as specified in items 1.2 and 1.3</w:t>
            </w:r>
          </w:p>
        </w:tc>
        <w:tc>
          <w:tcPr>
            <w:tcW w:w="1606" w:type="dxa"/>
            <w:shd w:val="clear" w:color="000000" w:fill="FFFFFF"/>
            <w:noWrap/>
            <w:vAlign w:val="center"/>
            <w:hideMark/>
          </w:tcPr>
          <w:p w14:paraId="7CCB0CD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14B89C7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0957BE4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1,822</w:t>
            </w:r>
          </w:p>
        </w:tc>
      </w:tr>
      <w:tr w:rsidR="008A5057" w:rsidRPr="00BD295E" w14:paraId="33478A13" w14:textId="77777777" w:rsidTr="00B97058">
        <w:trPr>
          <w:trHeight w:val="1122"/>
        </w:trPr>
        <w:tc>
          <w:tcPr>
            <w:tcW w:w="724" w:type="dxa"/>
            <w:shd w:val="clear" w:color="000000" w:fill="FFFFFF"/>
            <w:noWrap/>
            <w:hideMark/>
          </w:tcPr>
          <w:p w14:paraId="4A40FF3F"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2.2.</w:t>
            </w:r>
          </w:p>
        </w:tc>
        <w:tc>
          <w:tcPr>
            <w:tcW w:w="4111" w:type="dxa"/>
            <w:shd w:val="clear" w:color="000000" w:fill="FFFFFF"/>
            <w:hideMark/>
          </w:tcPr>
          <w:p w14:paraId="3A8CDF6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xml:space="preserve">Population living in urban settlements in houses duly equipped with stationary electric stoves and/or electric heaters </w:t>
            </w:r>
          </w:p>
        </w:tc>
        <w:tc>
          <w:tcPr>
            <w:tcW w:w="1606" w:type="dxa"/>
            <w:shd w:val="clear" w:color="000000" w:fill="FFFFFF"/>
            <w:noWrap/>
            <w:vAlign w:val="center"/>
            <w:hideMark/>
          </w:tcPr>
          <w:p w14:paraId="4963C2F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133A84C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4705598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907</w:t>
            </w:r>
          </w:p>
        </w:tc>
      </w:tr>
      <w:tr w:rsidR="008A5057" w:rsidRPr="00BD295E" w14:paraId="0338F1F5" w14:textId="77777777" w:rsidTr="00B97058">
        <w:trPr>
          <w:trHeight w:val="393"/>
        </w:trPr>
        <w:tc>
          <w:tcPr>
            <w:tcW w:w="724" w:type="dxa"/>
            <w:shd w:val="clear" w:color="000000" w:fill="FFFFFF"/>
            <w:noWrap/>
            <w:hideMark/>
          </w:tcPr>
          <w:p w14:paraId="5A88B712"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2.3.</w:t>
            </w:r>
          </w:p>
        </w:tc>
        <w:tc>
          <w:tcPr>
            <w:tcW w:w="4111" w:type="dxa"/>
            <w:shd w:val="clear" w:color="000000" w:fill="FFFFFF"/>
            <w:hideMark/>
          </w:tcPr>
          <w:p w14:paraId="49E401E8"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Population living in rural areas</w:t>
            </w:r>
          </w:p>
        </w:tc>
        <w:tc>
          <w:tcPr>
            <w:tcW w:w="1606" w:type="dxa"/>
            <w:shd w:val="clear" w:color="000000" w:fill="FFFFFF"/>
            <w:noWrap/>
            <w:vAlign w:val="center"/>
            <w:hideMark/>
          </w:tcPr>
          <w:p w14:paraId="4B2A0F5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279BC30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1D9549B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882</w:t>
            </w:r>
          </w:p>
        </w:tc>
      </w:tr>
      <w:tr w:rsidR="008A5057" w:rsidRPr="00BD295E" w14:paraId="1DA3316D" w14:textId="77777777" w:rsidTr="00B97058">
        <w:trPr>
          <w:trHeight w:val="599"/>
        </w:trPr>
        <w:tc>
          <w:tcPr>
            <w:tcW w:w="724" w:type="dxa"/>
            <w:shd w:val="clear" w:color="000000" w:fill="FFFFFF"/>
            <w:noWrap/>
            <w:hideMark/>
          </w:tcPr>
          <w:p w14:paraId="3AA6F1A3"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w:t>
            </w:r>
          </w:p>
        </w:tc>
        <w:tc>
          <w:tcPr>
            <w:tcW w:w="4111" w:type="dxa"/>
            <w:shd w:val="clear" w:color="000000" w:fill="FFFFFF"/>
            <w:hideMark/>
          </w:tcPr>
          <w:p w14:paraId="3190C572"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Consumers equivalent to households, excluding those specified in item 71(1) of the Pricing Basics:</w:t>
            </w:r>
          </w:p>
        </w:tc>
        <w:tc>
          <w:tcPr>
            <w:tcW w:w="1606" w:type="dxa"/>
            <w:shd w:val="clear" w:color="000000" w:fill="FFFFFF"/>
            <w:noWrap/>
            <w:vAlign w:val="center"/>
            <w:hideMark/>
          </w:tcPr>
          <w:p w14:paraId="19F37EFB"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2D5B317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1E8634C5" w14:textId="77777777" w:rsidR="00B97058" w:rsidRPr="00BD295E" w:rsidRDefault="00B97058" w:rsidP="00B97058">
            <w:pPr>
              <w:jc w:val="center"/>
              <w:rPr>
                <w:rFonts w:ascii="Arial" w:hAnsi="Arial" w:cs="Arial"/>
                <w:sz w:val="18"/>
                <w:szCs w:val="18"/>
                <w:lang w:val="en-US"/>
              </w:rPr>
            </w:pPr>
          </w:p>
        </w:tc>
      </w:tr>
      <w:tr w:rsidR="008A5057" w:rsidRPr="00BD295E" w14:paraId="391CF855" w14:textId="77777777" w:rsidTr="00B97058">
        <w:trPr>
          <w:trHeight w:val="1659"/>
        </w:trPr>
        <w:tc>
          <w:tcPr>
            <w:tcW w:w="724" w:type="dxa"/>
            <w:shd w:val="clear" w:color="000000" w:fill="FFFFFF"/>
            <w:noWrap/>
            <w:hideMark/>
          </w:tcPr>
          <w:p w14:paraId="18ABDD7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2.4.1.</w:t>
            </w:r>
          </w:p>
        </w:tc>
        <w:tc>
          <w:tcPr>
            <w:tcW w:w="4111" w:type="dxa"/>
            <w:shd w:val="clear" w:color="000000" w:fill="FFFFFF"/>
            <w:hideMark/>
          </w:tcPr>
          <w:p w14:paraId="145CFBC6"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Gardening, vegetable gardening or dacha non-profit associations of individuals – non-profit organizations established by individuals on a voluntary basis to assist its members in addressing common social and economic tasks related to gardening, vegetable gardening, and dacha farming</w:t>
            </w:r>
          </w:p>
        </w:tc>
        <w:tc>
          <w:tcPr>
            <w:tcW w:w="1606" w:type="dxa"/>
            <w:shd w:val="clear" w:color="000000" w:fill="FFFFFF"/>
            <w:noWrap/>
            <w:vAlign w:val="center"/>
            <w:hideMark/>
          </w:tcPr>
          <w:p w14:paraId="4E339BF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2CF3460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0BD302B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1,641</w:t>
            </w:r>
          </w:p>
        </w:tc>
      </w:tr>
      <w:tr w:rsidR="008A5057" w:rsidRPr="00BD295E" w14:paraId="6C2AA7CD" w14:textId="77777777" w:rsidTr="00B97058">
        <w:trPr>
          <w:trHeight w:val="1358"/>
        </w:trPr>
        <w:tc>
          <w:tcPr>
            <w:tcW w:w="724" w:type="dxa"/>
            <w:shd w:val="clear" w:color="000000" w:fill="FFFFFF"/>
            <w:noWrap/>
            <w:hideMark/>
          </w:tcPr>
          <w:p w14:paraId="276FAF65"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2.4.2.</w:t>
            </w:r>
          </w:p>
        </w:tc>
        <w:tc>
          <w:tcPr>
            <w:tcW w:w="4111" w:type="dxa"/>
            <w:shd w:val="clear" w:color="000000" w:fill="FFFFFF"/>
            <w:hideMark/>
          </w:tcPr>
          <w:p w14:paraId="02A8795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Legal entities acquiring electricity (capacity) for consumption by persons serving a sentence of imprisonment in their living quarters, provided that separate electricity metering is available for such living quarters</w:t>
            </w:r>
          </w:p>
        </w:tc>
        <w:tc>
          <w:tcPr>
            <w:tcW w:w="1606" w:type="dxa"/>
            <w:shd w:val="clear" w:color="000000" w:fill="FFFFFF"/>
            <w:noWrap/>
            <w:vAlign w:val="center"/>
            <w:hideMark/>
          </w:tcPr>
          <w:p w14:paraId="14444C5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1B32370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7075A43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1,775</w:t>
            </w:r>
          </w:p>
        </w:tc>
      </w:tr>
      <w:tr w:rsidR="008A5057" w:rsidRPr="00BD295E" w14:paraId="092BE829" w14:textId="77777777" w:rsidTr="00B97058">
        <w:trPr>
          <w:trHeight w:val="510"/>
        </w:trPr>
        <w:tc>
          <w:tcPr>
            <w:tcW w:w="724" w:type="dxa"/>
            <w:shd w:val="clear" w:color="000000" w:fill="FFFFFF"/>
            <w:noWrap/>
            <w:hideMark/>
          </w:tcPr>
          <w:p w14:paraId="3B745630"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2.4.3.</w:t>
            </w:r>
          </w:p>
        </w:tc>
        <w:tc>
          <w:tcPr>
            <w:tcW w:w="4111" w:type="dxa"/>
            <w:shd w:val="clear" w:color="000000" w:fill="FFFFFF"/>
            <w:hideMark/>
          </w:tcPr>
          <w:p w14:paraId="791B4CDF"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Religious organizations financed by the congregation</w:t>
            </w:r>
          </w:p>
        </w:tc>
        <w:tc>
          <w:tcPr>
            <w:tcW w:w="1606" w:type="dxa"/>
            <w:shd w:val="clear" w:color="000000" w:fill="FFFFFF"/>
            <w:noWrap/>
            <w:vAlign w:val="center"/>
            <w:hideMark/>
          </w:tcPr>
          <w:p w14:paraId="2760F44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4D875B8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5CCEEB7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1,712</w:t>
            </w:r>
          </w:p>
        </w:tc>
      </w:tr>
      <w:tr w:rsidR="008A5057" w:rsidRPr="00BD295E" w14:paraId="2E77F3F1" w14:textId="77777777" w:rsidTr="00B97058">
        <w:trPr>
          <w:trHeight w:val="2820"/>
        </w:trPr>
        <w:tc>
          <w:tcPr>
            <w:tcW w:w="724" w:type="dxa"/>
            <w:shd w:val="clear" w:color="000000" w:fill="FFFFFF"/>
            <w:noWrap/>
            <w:hideMark/>
          </w:tcPr>
          <w:p w14:paraId="74761BA6"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2.4.4.</w:t>
            </w:r>
          </w:p>
        </w:tc>
        <w:tc>
          <w:tcPr>
            <w:tcW w:w="4111" w:type="dxa"/>
            <w:shd w:val="clear" w:color="000000" w:fill="FFFFFF"/>
            <w:hideMark/>
          </w:tcPr>
          <w:p w14:paraId="720F9654"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Associations of individuals purchasing electricity (capacity) for use in their own outbuildings (cellars, barns); non-profit associations of individuals (garage construction cooperatives, garage cooperatives), and individuals owning standalone garages who purchase electricity (capacity) for consumption for residential needs and not used for commercial activities.</w:t>
            </w:r>
          </w:p>
        </w:tc>
        <w:tc>
          <w:tcPr>
            <w:tcW w:w="1606" w:type="dxa"/>
            <w:shd w:val="clear" w:color="000000" w:fill="FFFFFF"/>
            <w:noWrap/>
            <w:vAlign w:val="center"/>
            <w:hideMark/>
          </w:tcPr>
          <w:p w14:paraId="5B070B6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384E38A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2BDF3EC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1,789</w:t>
            </w:r>
          </w:p>
        </w:tc>
      </w:tr>
    </w:tbl>
    <w:p w14:paraId="4AD63F5D" w14:textId="77777777" w:rsidR="00B97058" w:rsidRPr="00BD295E" w:rsidRDefault="00B97058" w:rsidP="00B97058">
      <w:pPr>
        <w:keepNext/>
        <w:keepLines/>
        <w:rPr>
          <w:rFonts w:ascii="Arial" w:hAnsi="Arial" w:cs="Arial"/>
          <w:sz w:val="18"/>
          <w:szCs w:val="18"/>
          <w:lang w:val="en-US"/>
        </w:rPr>
      </w:pPr>
    </w:p>
    <w:p w14:paraId="1849B252" w14:textId="77777777" w:rsidR="00B97058" w:rsidRPr="00BD295E" w:rsidRDefault="008A5057" w:rsidP="00B97058">
      <w:pPr>
        <w:keepNext/>
        <w:keepLines/>
        <w:rPr>
          <w:rFonts w:ascii="Arial" w:hAnsi="Arial" w:cs="Arial"/>
          <w:sz w:val="18"/>
          <w:szCs w:val="18"/>
          <w:lang w:val="en-US"/>
        </w:rPr>
      </w:pPr>
      <w:r w:rsidRPr="00BD295E">
        <w:rPr>
          <w:rFonts w:ascii="Arial" w:hAnsi="Arial" w:cs="Arial"/>
          <w:sz w:val="18"/>
          <w:szCs w:val="18"/>
          <w:lang w:val="en-US"/>
        </w:rPr>
        <w:t>from July 1, 2019 to December 31, 2019</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4111"/>
        <w:gridCol w:w="1606"/>
        <w:gridCol w:w="1606"/>
        <w:gridCol w:w="1607"/>
      </w:tblGrid>
      <w:tr w:rsidR="008A5057" w:rsidRPr="00BD295E" w14:paraId="4CEDCC6D" w14:textId="77777777" w:rsidTr="00B97058">
        <w:trPr>
          <w:trHeight w:val="1550"/>
        </w:trPr>
        <w:tc>
          <w:tcPr>
            <w:tcW w:w="724" w:type="dxa"/>
            <w:shd w:val="clear" w:color="000000" w:fill="FFFFFF"/>
            <w:vAlign w:val="center"/>
            <w:hideMark/>
          </w:tcPr>
          <w:p w14:paraId="5E4ABDF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No.</w:t>
            </w:r>
          </w:p>
          <w:p w14:paraId="7466A630"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vAlign w:val="center"/>
            <w:hideMark/>
          </w:tcPr>
          <w:p w14:paraId="21026A23"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Consumer group</w:t>
            </w:r>
          </w:p>
        </w:tc>
        <w:tc>
          <w:tcPr>
            <w:tcW w:w="1606" w:type="dxa"/>
            <w:shd w:val="clear" w:color="000000" w:fill="FFFFFF"/>
            <w:vAlign w:val="center"/>
            <w:hideMark/>
          </w:tcPr>
          <w:p w14:paraId="74AE8D5D"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 grid maintenance (RUB/MW per month)</w:t>
            </w:r>
          </w:p>
        </w:tc>
        <w:tc>
          <w:tcPr>
            <w:tcW w:w="1606" w:type="dxa"/>
            <w:shd w:val="clear" w:color="000000" w:fill="FFFFFF"/>
            <w:vAlign w:val="center"/>
          </w:tcPr>
          <w:p w14:paraId="67722204"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Rate for electricity network losses (RUB/MWh)</w:t>
            </w:r>
          </w:p>
        </w:tc>
        <w:tc>
          <w:tcPr>
            <w:tcW w:w="1607" w:type="dxa"/>
            <w:shd w:val="clear" w:color="000000" w:fill="FFFFFF"/>
            <w:vAlign w:val="center"/>
            <w:hideMark/>
          </w:tcPr>
          <w:p w14:paraId="208FEFC3"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One-rate tariff (RUB/MWh)</w:t>
            </w:r>
          </w:p>
        </w:tc>
      </w:tr>
      <w:tr w:rsidR="008A5057" w:rsidRPr="00BD295E" w14:paraId="5D074C13" w14:textId="77777777" w:rsidTr="00B97058">
        <w:trPr>
          <w:trHeight w:val="139"/>
        </w:trPr>
        <w:tc>
          <w:tcPr>
            <w:tcW w:w="724" w:type="dxa"/>
            <w:shd w:val="clear" w:color="000000" w:fill="FFFFFF"/>
            <w:noWrap/>
            <w:hideMark/>
          </w:tcPr>
          <w:p w14:paraId="59C86177"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1.</w:t>
            </w:r>
          </w:p>
        </w:tc>
        <w:tc>
          <w:tcPr>
            <w:tcW w:w="4111" w:type="dxa"/>
            <w:shd w:val="clear" w:color="000000" w:fill="FFFFFF"/>
            <w:noWrap/>
            <w:hideMark/>
          </w:tcPr>
          <w:p w14:paraId="774FF356"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Other</w:t>
            </w:r>
          </w:p>
        </w:tc>
        <w:tc>
          <w:tcPr>
            <w:tcW w:w="1606" w:type="dxa"/>
            <w:shd w:val="clear" w:color="000000" w:fill="FFFFFF"/>
            <w:noWrap/>
            <w:vAlign w:val="bottom"/>
            <w:hideMark/>
          </w:tcPr>
          <w:p w14:paraId="513713AA" w14:textId="77777777" w:rsidR="00B97058" w:rsidRPr="00BD295E" w:rsidRDefault="00B97058" w:rsidP="00B97058">
            <w:pPr>
              <w:jc w:val="center"/>
              <w:rPr>
                <w:rFonts w:ascii="Arial" w:hAnsi="Arial" w:cs="Arial"/>
                <w:bCs/>
                <w:sz w:val="18"/>
                <w:szCs w:val="18"/>
                <w:lang w:val="en-US"/>
              </w:rPr>
            </w:pPr>
          </w:p>
        </w:tc>
        <w:tc>
          <w:tcPr>
            <w:tcW w:w="1606" w:type="dxa"/>
            <w:shd w:val="clear" w:color="000000" w:fill="FFFFFF"/>
            <w:vAlign w:val="bottom"/>
          </w:tcPr>
          <w:p w14:paraId="48FA507A" w14:textId="77777777" w:rsidR="00B97058" w:rsidRPr="00BD295E" w:rsidRDefault="00B97058" w:rsidP="00B97058">
            <w:pPr>
              <w:jc w:val="center"/>
              <w:rPr>
                <w:rFonts w:ascii="Arial" w:hAnsi="Arial" w:cs="Arial"/>
                <w:bCs/>
                <w:sz w:val="18"/>
                <w:szCs w:val="18"/>
                <w:lang w:val="en-US"/>
              </w:rPr>
            </w:pPr>
          </w:p>
        </w:tc>
        <w:tc>
          <w:tcPr>
            <w:tcW w:w="1607" w:type="dxa"/>
            <w:shd w:val="clear" w:color="000000" w:fill="FFFFFF"/>
            <w:vAlign w:val="bottom"/>
          </w:tcPr>
          <w:p w14:paraId="45EE2B7E" w14:textId="77777777" w:rsidR="00B97058" w:rsidRPr="00BD295E" w:rsidRDefault="00B97058" w:rsidP="00B97058">
            <w:pPr>
              <w:jc w:val="center"/>
              <w:rPr>
                <w:rFonts w:ascii="Arial" w:hAnsi="Arial" w:cs="Arial"/>
                <w:bCs/>
                <w:sz w:val="18"/>
                <w:szCs w:val="18"/>
                <w:lang w:val="en-US"/>
              </w:rPr>
            </w:pPr>
          </w:p>
        </w:tc>
      </w:tr>
      <w:tr w:rsidR="008A5057" w:rsidRPr="00BD295E" w14:paraId="2853E38F" w14:textId="77777777" w:rsidTr="00B97058">
        <w:trPr>
          <w:trHeight w:val="283"/>
        </w:trPr>
        <w:tc>
          <w:tcPr>
            <w:tcW w:w="724" w:type="dxa"/>
            <w:shd w:val="clear" w:color="000000" w:fill="FFFFFF"/>
            <w:noWrap/>
          </w:tcPr>
          <w:p w14:paraId="7BFE63CB" w14:textId="77777777" w:rsidR="00B97058" w:rsidRPr="00BD295E" w:rsidRDefault="00B97058" w:rsidP="00B97058">
            <w:pPr>
              <w:jc w:val="center"/>
              <w:rPr>
                <w:rFonts w:ascii="Arial" w:hAnsi="Arial" w:cs="Arial"/>
                <w:bCs/>
                <w:sz w:val="18"/>
                <w:szCs w:val="18"/>
                <w:lang w:val="en-US"/>
              </w:rPr>
            </w:pPr>
          </w:p>
        </w:tc>
        <w:tc>
          <w:tcPr>
            <w:tcW w:w="4111" w:type="dxa"/>
            <w:shd w:val="clear" w:color="000000" w:fill="FFFFFF"/>
            <w:noWrap/>
            <w:hideMark/>
          </w:tcPr>
          <w:p w14:paraId="69475C5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HV</w:t>
            </w:r>
          </w:p>
        </w:tc>
        <w:tc>
          <w:tcPr>
            <w:tcW w:w="1606" w:type="dxa"/>
            <w:shd w:val="clear" w:color="auto" w:fill="auto"/>
          </w:tcPr>
          <w:p w14:paraId="71AEE16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1,611,173.45</w:t>
            </w:r>
          </w:p>
        </w:tc>
        <w:tc>
          <w:tcPr>
            <w:tcW w:w="1606" w:type="dxa"/>
            <w:shd w:val="clear" w:color="auto" w:fill="auto"/>
          </w:tcPr>
          <w:p w14:paraId="5D0A1E2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59.62</w:t>
            </w:r>
          </w:p>
        </w:tc>
        <w:tc>
          <w:tcPr>
            <w:tcW w:w="1607" w:type="dxa"/>
            <w:shd w:val="clear" w:color="auto" w:fill="auto"/>
          </w:tcPr>
          <w:p w14:paraId="6833DA8B"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1,929.17</w:t>
            </w:r>
          </w:p>
        </w:tc>
      </w:tr>
      <w:tr w:rsidR="008A5057" w:rsidRPr="00BD295E" w14:paraId="059BFE75" w14:textId="77777777" w:rsidTr="00B97058">
        <w:trPr>
          <w:trHeight w:val="120"/>
        </w:trPr>
        <w:tc>
          <w:tcPr>
            <w:tcW w:w="724" w:type="dxa"/>
            <w:shd w:val="clear" w:color="000000" w:fill="FFFFFF"/>
            <w:noWrap/>
            <w:hideMark/>
          </w:tcPr>
          <w:p w14:paraId="354DAF5B"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004CF7B3"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MV-1</w:t>
            </w:r>
          </w:p>
        </w:tc>
        <w:tc>
          <w:tcPr>
            <w:tcW w:w="1606" w:type="dxa"/>
            <w:shd w:val="clear" w:color="auto" w:fill="auto"/>
          </w:tcPr>
          <w:p w14:paraId="23C7460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1,701,048.12</w:t>
            </w:r>
          </w:p>
        </w:tc>
        <w:tc>
          <w:tcPr>
            <w:tcW w:w="1606" w:type="dxa"/>
            <w:shd w:val="clear" w:color="auto" w:fill="auto"/>
          </w:tcPr>
          <w:p w14:paraId="2ED53BC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167.05</w:t>
            </w:r>
          </w:p>
        </w:tc>
        <w:tc>
          <w:tcPr>
            <w:tcW w:w="1607" w:type="dxa"/>
            <w:shd w:val="clear" w:color="auto" w:fill="auto"/>
          </w:tcPr>
          <w:p w14:paraId="456317F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3,067.49</w:t>
            </w:r>
          </w:p>
        </w:tc>
      </w:tr>
      <w:tr w:rsidR="008A5057" w:rsidRPr="00BD295E" w14:paraId="52DE866C" w14:textId="77777777" w:rsidTr="00B97058">
        <w:trPr>
          <w:trHeight w:val="166"/>
        </w:trPr>
        <w:tc>
          <w:tcPr>
            <w:tcW w:w="724" w:type="dxa"/>
            <w:shd w:val="clear" w:color="000000" w:fill="FFFFFF"/>
            <w:noWrap/>
            <w:hideMark/>
          </w:tcPr>
          <w:p w14:paraId="4C7D9529"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08D02AC0"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MV-2</w:t>
            </w:r>
          </w:p>
        </w:tc>
        <w:tc>
          <w:tcPr>
            <w:tcW w:w="1606" w:type="dxa"/>
            <w:shd w:val="clear" w:color="auto" w:fill="auto"/>
          </w:tcPr>
          <w:p w14:paraId="3504CDF5"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1,599,695.76</w:t>
            </w:r>
          </w:p>
        </w:tc>
        <w:tc>
          <w:tcPr>
            <w:tcW w:w="1606" w:type="dxa"/>
            <w:shd w:val="clear" w:color="auto" w:fill="auto"/>
          </w:tcPr>
          <w:p w14:paraId="145E116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303.57</w:t>
            </w:r>
          </w:p>
        </w:tc>
        <w:tc>
          <w:tcPr>
            <w:tcW w:w="1607" w:type="dxa"/>
            <w:shd w:val="clear" w:color="auto" w:fill="auto"/>
          </w:tcPr>
          <w:p w14:paraId="77CEC813"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3,183.38</w:t>
            </w:r>
          </w:p>
        </w:tc>
      </w:tr>
      <w:tr w:rsidR="008A5057" w:rsidRPr="00BD295E" w14:paraId="570864A9" w14:textId="77777777" w:rsidTr="00B97058">
        <w:trPr>
          <w:trHeight w:val="183"/>
        </w:trPr>
        <w:tc>
          <w:tcPr>
            <w:tcW w:w="724" w:type="dxa"/>
            <w:shd w:val="clear" w:color="000000" w:fill="FFFFFF"/>
            <w:noWrap/>
            <w:hideMark/>
          </w:tcPr>
          <w:p w14:paraId="3DD7D173"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 </w:t>
            </w:r>
          </w:p>
        </w:tc>
        <w:tc>
          <w:tcPr>
            <w:tcW w:w="4111" w:type="dxa"/>
            <w:shd w:val="clear" w:color="000000" w:fill="FFFFFF"/>
            <w:noWrap/>
            <w:hideMark/>
          </w:tcPr>
          <w:p w14:paraId="1B8AF80E"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LV</w:t>
            </w:r>
          </w:p>
        </w:tc>
        <w:tc>
          <w:tcPr>
            <w:tcW w:w="1606" w:type="dxa"/>
            <w:shd w:val="clear" w:color="auto" w:fill="auto"/>
          </w:tcPr>
          <w:p w14:paraId="3D5AEB4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1,862,826.10</w:t>
            </w:r>
          </w:p>
        </w:tc>
        <w:tc>
          <w:tcPr>
            <w:tcW w:w="1606" w:type="dxa"/>
            <w:shd w:val="clear" w:color="auto" w:fill="auto"/>
          </w:tcPr>
          <w:p w14:paraId="6401EE5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938.14</w:t>
            </w:r>
          </w:p>
        </w:tc>
        <w:tc>
          <w:tcPr>
            <w:tcW w:w="1607" w:type="dxa"/>
            <w:shd w:val="clear" w:color="auto" w:fill="auto"/>
          </w:tcPr>
          <w:p w14:paraId="39218C19"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5,399.56</w:t>
            </w:r>
          </w:p>
        </w:tc>
      </w:tr>
      <w:tr w:rsidR="008A5057" w:rsidRPr="00BD295E" w14:paraId="04AB51C7" w14:textId="77777777" w:rsidTr="00B97058">
        <w:trPr>
          <w:trHeight w:val="414"/>
        </w:trPr>
        <w:tc>
          <w:tcPr>
            <w:tcW w:w="724" w:type="dxa"/>
            <w:shd w:val="clear" w:color="000000" w:fill="FFFFFF"/>
            <w:noWrap/>
            <w:hideMark/>
          </w:tcPr>
          <w:p w14:paraId="780A8F7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2. </w:t>
            </w:r>
          </w:p>
        </w:tc>
        <w:tc>
          <w:tcPr>
            <w:tcW w:w="4111" w:type="dxa"/>
            <w:shd w:val="clear" w:color="000000" w:fill="FFFFFF"/>
            <w:noWrap/>
            <w:hideMark/>
          </w:tcPr>
          <w:p w14:paraId="482ED3E6" w14:textId="77777777" w:rsidR="00B97058" w:rsidRPr="00BD295E" w:rsidRDefault="008A5057" w:rsidP="00B97058">
            <w:pPr>
              <w:rPr>
                <w:rFonts w:ascii="Arial" w:hAnsi="Arial" w:cs="Arial"/>
                <w:bCs/>
                <w:sz w:val="18"/>
                <w:szCs w:val="18"/>
                <w:lang w:val="en-US"/>
              </w:rPr>
            </w:pPr>
            <w:r w:rsidRPr="00BD295E">
              <w:rPr>
                <w:rFonts w:ascii="Arial" w:hAnsi="Arial" w:cs="Arial"/>
                <w:bCs/>
                <w:sz w:val="18"/>
                <w:szCs w:val="18"/>
                <w:lang w:val="en-US"/>
              </w:rPr>
              <w:t>Households and equivalent consumers</w:t>
            </w:r>
          </w:p>
        </w:tc>
        <w:tc>
          <w:tcPr>
            <w:tcW w:w="1606" w:type="dxa"/>
            <w:shd w:val="clear" w:color="000000" w:fill="FFFFFF"/>
            <w:noWrap/>
            <w:vAlign w:val="bottom"/>
            <w:hideMark/>
          </w:tcPr>
          <w:p w14:paraId="4783E83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bottom"/>
            <w:hideMark/>
          </w:tcPr>
          <w:p w14:paraId="2A70284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000000" w:fill="FFFFFF"/>
            <w:noWrap/>
            <w:vAlign w:val="bottom"/>
          </w:tcPr>
          <w:p w14:paraId="2BC6CCCB" w14:textId="77777777" w:rsidR="00B97058" w:rsidRPr="00BD295E" w:rsidRDefault="00B97058" w:rsidP="00B97058">
            <w:pPr>
              <w:jc w:val="center"/>
              <w:rPr>
                <w:rFonts w:ascii="Arial" w:hAnsi="Arial" w:cs="Arial"/>
                <w:sz w:val="18"/>
                <w:szCs w:val="18"/>
                <w:lang w:val="en-US"/>
              </w:rPr>
            </w:pPr>
          </w:p>
        </w:tc>
      </w:tr>
      <w:tr w:rsidR="008A5057" w:rsidRPr="00BD295E" w14:paraId="28AD0F61" w14:textId="77777777" w:rsidTr="00B97058">
        <w:trPr>
          <w:trHeight w:val="336"/>
        </w:trPr>
        <w:tc>
          <w:tcPr>
            <w:tcW w:w="724" w:type="dxa"/>
            <w:shd w:val="clear" w:color="000000" w:fill="FFFFFF"/>
            <w:noWrap/>
            <w:hideMark/>
          </w:tcPr>
          <w:p w14:paraId="3B6D0474"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2.1. </w:t>
            </w:r>
          </w:p>
        </w:tc>
        <w:tc>
          <w:tcPr>
            <w:tcW w:w="4111" w:type="dxa"/>
            <w:shd w:val="clear" w:color="000000" w:fill="FFFFFF"/>
            <w:hideMark/>
          </w:tcPr>
          <w:p w14:paraId="6050A2B7"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Households, except as specified in items 1.2 and 1.3</w:t>
            </w:r>
          </w:p>
        </w:tc>
        <w:tc>
          <w:tcPr>
            <w:tcW w:w="1606" w:type="dxa"/>
            <w:shd w:val="clear" w:color="000000" w:fill="FFFFFF"/>
            <w:noWrap/>
            <w:vAlign w:val="center"/>
            <w:hideMark/>
          </w:tcPr>
          <w:p w14:paraId="107F38C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7BB0D14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495A4F9D"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1,840</w:t>
            </w:r>
          </w:p>
        </w:tc>
      </w:tr>
      <w:tr w:rsidR="008A5057" w:rsidRPr="00BD295E" w14:paraId="3F65CFB9" w14:textId="77777777" w:rsidTr="00B97058">
        <w:trPr>
          <w:trHeight w:val="1122"/>
        </w:trPr>
        <w:tc>
          <w:tcPr>
            <w:tcW w:w="724" w:type="dxa"/>
            <w:shd w:val="clear" w:color="000000" w:fill="FFFFFF"/>
            <w:noWrap/>
            <w:hideMark/>
          </w:tcPr>
          <w:p w14:paraId="1233D1CF"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2.2.</w:t>
            </w:r>
          </w:p>
        </w:tc>
        <w:tc>
          <w:tcPr>
            <w:tcW w:w="4111" w:type="dxa"/>
            <w:shd w:val="clear" w:color="000000" w:fill="FFFFFF"/>
            <w:hideMark/>
          </w:tcPr>
          <w:p w14:paraId="6904B64F"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 xml:space="preserve">Population living in urban settlements in houses duly equipped with stationary electric stoves and/or electric heaters </w:t>
            </w:r>
          </w:p>
        </w:tc>
        <w:tc>
          <w:tcPr>
            <w:tcW w:w="1606" w:type="dxa"/>
            <w:shd w:val="clear" w:color="000000" w:fill="FFFFFF"/>
            <w:noWrap/>
            <w:vAlign w:val="center"/>
            <w:hideMark/>
          </w:tcPr>
          <w:p w14:paraId="74D2D2C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56EE2E6F"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0A782D1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956</w:t>
            </w:r>
          </w:p>
        </w:tc>
      </w:tr>
      <w:tr w:rsidR="008A5057" w:rsidRPr="00BD295E" w14:paraId="2C1D5215" w14:textId="77777777" w:rsidTr="00B97058">
        <w:trPr>
          <w:trHeight w:val="393"/>
        </w:trPr>
        <w:tc>
          <w:tcPr>
            <w:tcW w:w="724" w:type="dxa"/>
            <w:shd w:val="clear" w:color="000000" w:fill="FFFFFF"/>
            <w:noWrap/>
            <w:hideMark/>
          </w:tcPr>
          <w:p w14:paraId="3FDED149"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2.3.</w:t>
            </w:r>
          </w:p>
        </w:tc>
        <w:tc>
          <w:tcPr>
            <w:tcW w:w="4111" w:type="dxa"/>
            <w:shd w:val="clear" w:color="000000" w:fill="FFFFFF"/>
            <w:hideMark/>
          </w:tcPr>
          <w:p w14:paraId="620FB8A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Population living in rural areas</w:t>
            </w:r>
          </w:p>
        </w:tc>
        <w:tc>
          <w:tcPr>
            <w:tcW w:w="1606" w:type="dxa"/>
            <w:shd w:val="clear" w:color="000000" w:fill="FFFFFF"/>
            <w:noWrap/>
            <w:vAlign w:val="center"/>
            <w:hideMark/>
          </w:tcPr>
          <w:p w14:paraId="102AF3E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5ADB7840"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30A103D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899</w:t>
            </w:r>
          </w:p>
        </w:tc>
      </w:tr>
      <w:tr w:rsidR="008A5057" w:rsidRPr="00BD295E" w14:paraId="43C35D15" w14:textId="77777777" w:rsidTr="00B97058">
        <w:trPr>
          <w:trHeight w:val="599"/>
        </w:trPr>
        <w:tc>
          <w:tcPr>
            <w:tcW w:w="724" w:type="dxa"/>
            <w:shd w:val="clear" w:color="000000" w:fill="FFFFFF"/>
            <w:noWrap/>
            <w:hideMark/>
          </w:tcPr>
          <w:p w14:paraId="7BE2B695"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w:t>
            </w:r>
          </w:p>
        </w:tc>
        <w:tc>
          <w:tcPr>
            <w:tcW w:w="4111" w:type="dxa"/>
            <w:shd w:val="clear" w:color="000000" w:fill="FFFFFF"/>
            <w:hideMark/>
          </w:tcPr>
          <w:p w14:paraId="438372DB"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Consumers equivalent to households, excluding those specified in item 71(1) of the Pricing Basics:</w:t>
            </w:r>
          </w:p>
        </w:tc>
        <w:tc>
          <w:tcPr>
            <w:tcW w:w="1606" w:type="dxa"/>
            <w:shd w:val="clear" w:color="000000" w:fill="FFFFFF"/>
            <w:noWrap/>
            <w:vAlign w:val="center"/>
            <w:hideMark/>
          </w:tcPr>
          <w:p w14:paraId="24DA17C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5DCFB79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04C2E477" w14:textId="77777777" w:rsidR="00B97058" w:rsidRPr="00BD295E" w:rsidRDefault="00B97058" w:rsidP="00B97058">
            <w:pPr>
              <w:jc w:val="center"/>
              <w:rPr>
                <w:rFonts w:ascii="Arial" w:hAnsi="Arial" w:cs="Arial"/>
                <w:sz w:val="18"/>
                <w:szCs w:val="18"/>
                <w:lang w:val="en-US"/>
              </w:rPr>
            </w:pPr>
          </w:p>
        </w:tc>
      </w:tr>
      <w:tr w:rsidR="008A5057" w:rsidRPr="00BD295E" w14:paraId="52AAE6B1" w14:textId="77777777" w:rsidTr="00B97058">
        <w:trPr>
          <w:trHeight w:val="1659"/>
        </w:trPr>
        <w:tc>
          <w:tcPr>
            <w:tcW w:w="724" w:type="dxa"/>
            <w:shd w:val="clear" w:color="000000" w:fill="FFFFFF"/>
            <w:noWrap/>
            <w:hideMark/>
          </w:tcPr>
          <w:p w14:paraId="38D6BCC8"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2.4.1.</w:t>
            </w:r>
          </w:p>
        </w:tc>
        <w:tc>
          <w:tcPr>
            <w:tcW w:w="4111" w:type="dxa"/>
            <w:shd w:val="clear" w:color="000000" w:fill="FFFFFF"/>
            <w:hideMark/>
          </w:tcPr>
          <w:p w14:paraId="21150971"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Gardening, vegetable gardening or dacha non-profit associations of individuals – non-profit organizations established by individuals on a voluntary basis to assist its members in addressing common social and economic tasks related to gardening, vegetable gardening, and dacha farming</w:t>
            </w:r>
          </w:p>
        </w:tc>
        <w:tc>
          <w:tcPr>
            <w:tcW w:w="1606" w:type="dxa"/>
            <w:shd w:val="clear" w:color="000000" w:fill="FFFFFF"/>
            <w:noWrap/>
            <w:vAlign w:val="center"/>
            <w:hideMark/>
          </w:tcPr>
          <w:p w14:paraId="3F180426"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17640651"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7353031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1,661</w:t>
            </w:r>
          </w:p>
        </w:tc>
      </w:tr>
      <w:tr w:rsidR="008A5057" w:rsidRPr="00BD295E" w14:paraId="03DD32E6" w14:textId="77777777" w:rsidTr="00B97058">
        <w:trPr>
          <w:trHeight w:val="1358"/>
        </w:trPr>
        <w:tc>
          <w:tcPr>
            <w:tcW w:w="724" w:type="dxa"/>
            <w:shd w:val="clear" w:color="000000" w:fill="FFFFFF"/>
            <w:noWrap/>
            <w:hideMark/>
          </w:tcPr>
          <w:p w14:paraId="01610406"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2.4.2.</w:t>
            </w:r>
          </w:p>
        </w:tc>
        <w:tc>
          <w:tcPr>
            <w:tcW w:w="4111" w:type="dxa"/>
            <w:shd w:val="clear" w:color="000000" w:fill="FFFFFF"/>
            <w:hideMark/>
          </w:tcPr>
          <w:p w14:paraId="01E406FE"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Legal entities acquiring electricity (capacity) for consumption by persons serving a sentence of imprisonment in their living quarters, provided that separate electricity metering is available for such living quarters</w:t>
            </w:r>
          </w:p>
        </w:tc>
        <w:tc>
          <w:tcPr>
            <w:tcW w:w="1606" w:type="dxa"/>
            <w:shd w:val="clear" w:color="000000" w:fill="FFFFFF"/>
            <w:noWrap/>
            <w:vAlign w:val="center"/>
            <w:hideMark/>
          </w:tcPr>
          <w:p w14:paraId="23ECE33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51D58902"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07F602FC"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1,773</w:t>
            </w:r>
          </w:p>
        </w:tc>
      </w:tr>
      <w:tr w:rsidR="008A5057" w:rsidRPr="00BD295E" w14:paraId="096675B2" w14:textId="77777777" w:rsidTr="00B97058">
        <w:trPr>
          <w:trHeight w:val="510"/>
        </w:trPr>
        <w:tc>
          <w:tcPr>
            <w:tcW w:w="724" w:type="dxa"/>
            <w:shd w:val="clear" w:color="000000" w:fill="FFFFFF"/>
            <w:noWrap/>
            <w:hideMark/>
          </w:tcPr>
          <w:p w14:paraId="57F6619E"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2.4.3.</w:t>
            </w:r>
          </w:p>
        </w:tc>
        <w:tc>
          <w:tcPr>
            <w:tcW w:w="4111" w:type="dxa"/>
            <w:shd w:val="clear" w:color="000000" w:fill="FFFFFF"/>
            <w:hideMark/>
          </w:tcPr>
          <w:p w14:paraId="220BCFDA"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Religious organizations financed by the congregation</w:t>
            </w:r>
          </w:p>
        </w:tc>
        <w:tc>
          <w:tcPr>
            <w:tcW w:w="1606" w:type="dxa"/>
            <w:shd w:val="clear" w:color="000000" w:fill="FFFFFF"/>
            <w:noWrap/>
            <w:vAlign w:val="center"/>
            <w:hideMark/>
          </w:tcPr>
          <w:p w14:paraId="3A31B5CA"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2017C6D3"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4B334838"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1,670</w:t>
            </w:r>
          </w:p>
        </w:tc>
      </w:tr>
      <w:tr w:rsidR="008A5057" w:rsidRPr="00BD295E" w14:paraId="5A0B92CF" w14:textId="77777777" w:rsidTr="00B97058">
        <w:trPr>
          <w:trHeight w:val="2820"/>
        </w:trPr>
        <w:tc>
          <w:tcPr>
            <w:tcW w:w="724" w:type="dxa"/>
            <w:shd w:val="clear" w:color="000000" w:fill="FFFFFF"/>
            <w:noWrap/>
            <w:hideMark/>
          </w:tcPr>
          <w:p w14:paraId="3ABDEFFA" w14:textId="77777777" w:rsidR="00B97058" w:rsidRPr="00BD295E" w:rsidRDefault="008A5057" w:rsidP="00B97058">
            <w:pPr>
              <w:jc w:val="center"/>
              <w:rPr>
                <w:rFonts w:ascii="Arial" w:hAnsi="Arial" w:cs="Arial"/>
                <w:bCs/>
                <w:sz w:val="18"/>
                <w:szCs w:val="18"/>
                <w:lang w:val="en-US"/>
              </w:rPr>
            </w:pPr>
            <w:r w:rsidRPr="00BD295E">
              <w:rPr>
                <w:rFonts w:ascii="Arial" w:hAnsi="Arial" w:cs="Arial"/>
                <w:bCs/>
                <w:sz w:val="18"/>
                <w:szCs w:val="18"/>
                <w:lang w:val="en-US"/>
              </w:rPr>
              <w:t>2.4.4.</w:t>
            </w:r>
          </w:p>
        </w:tc>
        <w:tc>
          <w:tcPr>
            <w:tcW w:w="4111" w:type="dxa"/>
            <w:shd w:val="clear" w:color="000000" w:fill="FFFFFF"/>
            <w:hideMark/>
          </w:tcPr>
          <w:p w14:paraId="23AC1A25" w14:textId="77777777" w:rsidR="00B97058" w:rsidRPr="00BD295E" w:rsidRDefault="008A5057" w:rsidP="00B97058">
            <w:pPr>
              <w:rPr>
                <w:rFonts w:ascii="Arial" w:hAnsi="Arial" w:cs="Arial"/>
                <w:sz w:val="18"/>
                <w:szCs w:val="18"/>
                <w:lang w:val="en-US"/>
              </w:rPr>
            </w:pPr>
            <w:r w:rsidRPr="00BD295E">
              <w:rPr>
                <w:rFonts w:ascii="Arial" w:hAnsi="Arial" w:cs="Arial"/>
                <w:sz w:val="18"/>
                <w:szCs w:val="18"/>
                <w:lang w:val="en-US"/>
              </w:rPr>
              <w:t>Associations of individuals purchasing electricity (capacity) for use in their own outbuildings (cellars, barns); non-profit associations of individuals (garage construction cooperatives, garage cooperatives), and individuals owning standalone garages who purchase electricity (capacity) for consumption for residential needs and not used for commercial activities.</w:t>
            </w:r>
          </w:p>
        </w:tc>
        <w:tc>
          <w:tcPr>
            <w:tcW w:w="1606" w:type="dxa"/>
            <w:shd w:val="clear" w:color="000000" w:fill="FFFFFF"/>
            <w:noWrap/>
            <w:vAlign w:val="center"/>
            <w:hideMark/>
          </w:tcPr>
          <w:p w14:paraId="1C73CC7E"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6" w:type="dxa"/>
            <w:shd w:val="clear" w:color="000000" w:fill="FFFFFF"/>
            <w:noWrap/>
            <w:vAlign w:val="center"/>
            <w:hideMark/>
          </w:tcPr>
          <w:p w14:paraId="2178C974"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 </w:t>
            </w:r>
          </w:p>
        </w:tc>
        <w:tc>
          <w:tcPr>
            <w:tcW w:w="1607" w:type="dxa"/>
            <w:shd w:val="clear" w:color="auto" w:fill="auto"/>
            <w:vAlign w:val="center"/>
          </w:tcPr>
          <w:p w14:paraId="31D52C27" w14:textId="77777777" w:rsidR="00B97058" w:rsidRPr="00BD295E" w:rsidRDefault="008A5057" w:rsidP="00B97058">
            <w:pPr>
              <w:jc w:val="center"/>
              <w:rPr>
                <w:rFonts w:ascii="Arial" w:hAnsi="Arial" w:cs="Arial"/>
                <w:sz w:val="18"/>
                <w:szCs w:val="18"/>
                <w:lang w:val="en-US"/>
              </w:rPr>
            </w:pPr>
            <w:r w:rsidRPr="00BD295E">
              <w:rPr>
                <w:rFonts w:ascii="Arial" w:hAnsi="Arial" w:cs="Arial"/>
                <w:sz w:val="18"/>
                <w:szCs w:val="18"/>
                <w:lang w:val="en-US"/>
              </w:rPr>
              <w:t>1,758</w:t>
            </w:r>
          </w:p>
        </w:tc>
      </w:tr>
    </w:tbl>
    <w:p w14:paraId="090BE359" w14:textId="77777777" w:rsidR="00B97058" w:rsidRPr="00BD295E" w:rsidRDefault="008A5057" w:rsidP="00CA2271">
      <w:pPr>
        <w:pStyle w:val="af3"/>
        <w:numPr>
          <w:ilvl w:val="0"/>
          <w:numId w:val="139"/>
        </w:numPr>
        <w:tabs>
          <w:tab w:val="left" w:pos="0"/>
        </w:tabs>
        <w:ind w:left="0" w:firstLine="0"/>
        <w:contextualSpacing w:val="0"/>
        <w:jc w:val="both"/>
        <w:rPr>
          <w:rFonts w:ascii="Arial" w:hAnsi="Arial" w:cs="Arial"/>
          <w:sz w:val="18"/>
          <w:szCs w:val="18"/>
          <w:lang w:val="en-US"/>
        </w:rPr>
      </w:pPr>
      <w:r w:rsidRPr="00BD295E">
        <w:rPr>
          <w:rFonts w:ascii="Arial" w:hAnsi="Arial" w:cs="Arial"/>
          <w:sz w:val="18"/>
          <w:szCs w:val="18"/>
          <w:lang w:val="en-US"/>
        </w:rPr>
        <w:t xml:space="preserve">Individual two-rate tariffs used for settlements between </w:t>
      </w:r>
      <w:r w:rsidR="00EE5753" w:rsidRPr="00BD295E">
        <w:rPr>
          <w:rFonts w:ascii="Arial" w:hAnsi="Arial" w:cs="Arial"/>
          <w:sz w:val="18"/>
          <w:szCs w:val="18"/>
          <w:lang w:val="en-US"/>
        </w:rPr>
        <w:t>PJSC “Lenenergo”</w:t>
      </w:r>
      <w:r w:rsidRPr="00BD295E">
        <w:rPr>
          <w:rFonts w:ascii="Arial" w:hAnsi="Arial" w:cs="Arial"/>
          <w:sz w:val="18"/>
          <w:szCs w:val="18"/>
          <w:lang w:val="en-US"/>
        </w:rPr>
        <w:t xml:space="preserve"> and allied grid organizations (for electricity distribution services provided via their grids) without differentiation by voltage level. Order No. 727-p </w:t>
      </w:r>
      <w:r w:rsidR="008B183C" w:rsidRPr="00BD295E">
        <w:rPr>
          <w:rFonts w:ascii="Arial" w:hAnsi="Arial" w:cs="Arial"/>
          <w:sz w:val="18"/>
          <w:szCs w:val="18"/>
          <w:lang w:val="en-US"/>
        </w:rPr>
        <w:t>of</w:t>
      </w:r>
      <w:r w:rsidRPr="00BD295E">
        <w:rPr>
          <w:rFonts w:ascii="Arial" w:hAnsi="Arial" w:cs="Arial"/>
          <w:sz w:val="18"/>
          <w:szCs w:val="18"/>
          <w:lang w:val="en-US"/>
        </w:rPr>
        <w:t xml:space="preserve"> December 29, 2018</w:t>
      </w:r>
    </w:p>
    <w:p w14:paraId="281D8023" w14:textId="77777777" w:rsidR="004D2697" w:rsidRPr="00BD295E" w:rsidRDefault="004D2697" w:rsidP="004D2697">
      <w:pPr>
        <w:spacing w:after="160" w:line="259" w:lineRule="auto"/>
        <w:rPr>
          <w:rFonts w:ascii="Arial" w:hAnsi="Arial" w:cs="Arial"/>
          <w:i/>
          <w:sz w:val="18"/>
          <w:szCs w:val="18"/>
          <w:lang w:val="en-US"/>
        </w:rPr>
      </w:pPr>
    </w:p>
    <w:p w14:paraId="0EC9780A" w14:textId="77777777" w:rsidR="004D2697" w:rsidRPr="00BD295E" w:rsidRDefault="008A5057" w:rsidP="0033027C">
      <w:pPr>
        <w:pStyle w:val="2"/>
        <w:numPr>
          <w:ilvl w:val="1"/>
          <w:numId w:val="17"/>
        </w:numPr>
        <w:rPr>
          <w:rFonts w:ascii="Arial" w:hAnsi="Arial" w:cs="Arial"/>
          <w:sz w:val="18"/>
          <w:szCs w:val="18"/>
          <w:lang w:val="en-US"/>
        </w:rPr>
      </w:pPr>
      <w:bookmarkStart w:id="619" w:name="_Toc473921997"/>
      <w:bookmarkStart w:id="620" w:name="_Toc509493667"/>
      <w:bookmarkStart w:id="621" w:name="_Toc509581235"/>
      <w:bookmarkStart w:id="622" w:name="_Toc509934207"/>
      <w:bookmarkStart w:id="623" w:name="_Toc510452200"/>
      <w:bookmarkStart w:id="624" w:name="_Toc510453066"/>
      <w:bookmarkStart w:id="625" w:name="_Toc510624082"/>
      <w:bookmarkStart w:id="626" w:name="_Toc511055130"/>
      <w:bookmarkStart w:id="627" w:name="_Toc511747486"/>
      <w:bookmarkStart w:id="628" w:name="_Toc5101340"/>
      <w:bookmarkStart w:id="629" w:name="_Toc5101719"/>
      <w:bookmarkStart w:id="630" w:name="_Toc5874615"/>
      <w:bookmarkStart w:id="631" w:name="_Toc95855313"/>
      <w:bookmarkStart w:id="632" w:name="_Toc95935372"/>
      <w:r w:rsidRPr="00BD295E">
        <w:rPr>
          <w:rFonts w:ascii="Arial" w:hAnsi="Arial" w:cs="Arial"/>
          <w:sz w:val="18"/>
          <w:szCs w:val="18"/>
          <w:lang w:val="en-US"/>
        </w:rPr>
        <w:t>Information on approved tariffs for grid connection for 2018–2019.</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p>
    <w:p w14:paraId="620EC962" w14:textId="77777777" w:rsidR="005C1246" w:rsidRPr="00BD295E" w:rsidRDefault="008A5057" w:rsidP="005C1246">
      <w:pPr>
        <w:tabs>
          <w:tab w:val="left" w:pos="709"/>
          <w:tab w:val="left" w:pos="851"/>
        </w:tabs>
        <w:spacing w:before="240"/>
        <w:jc w:val="both"/>
        <w:rPr>
          <w:rFonts w:ascii="Arial" w:hAnsi="Arial" w:cs="Arial"/>
          <w:b/>
          <w:sz w:val="18"/>
          <w:szCs w:val="18"/>
          <w:lang w:val="en-US"/>
        </w:rPr>
      </w:pPr>
      <w:r w:rsidRPr="00BD295E">
        <w:rPr>
          <w:rFonts w:ascii="Arial" w:hAnsi="Arial" w:cs="Arial"/>
          <w:b/>
          <w:sz w:val="18"/>
          <w:szCs w:val="18"/>
          <w:lang w:val="en-US"/>
        </w:rPr>
        <w:t>Approved payment rates for grid connection for 2018</w:t>
      </w:r>
    </w:p>
    <w:p w14:paraId="6C50A5D1" w14:textId="77777777" w:rsidR="005C1246" w:rsidRPr="00BD295E" w:rsidRDefault="008A5057" w:rsidP="005C1246">
      <w:pPr>
        <w:tabs>
          <w:tab w:val="left" w:pos="709"/>
          <w:tab w:val="left" w:pos="851"/>
        </w:tabs>
        <w:spacing w:before="240"/>
        <w:jc w:val="both"/>
        <w:rPr>
          <w:rFonts w:ascii="Arial" w:hAnsi="Arial" w:cs="Arial"/>
          <w:b/>
          <w:sz w:val="18"/>
          <w:szCs w:val="18"/>
          <w:lang w:val="en-US"/>
        </w:rPr>
      </w:pPr>
      <w:r w:rsidRPr="00BD295E">
        <w:rPr>
          <w:rFonts w:ascii="Arial" w:hAnsi="Arial" w:cs="Arial"/>
          <w:b/>
          <w:sz w:val="18"/>
          <w:szCs w:val="18"/>
          <w:lang w:val="en-US"/>
        </w:rPr>
        <w:t>Saint Petersburg</w:t>
      </w:r>
    </w:p>
    <w:tbl>
      <w:tblPr>
        <w:tblW w:w="9513" w:type="dxa"/>
        <w:tblInd w:w="93" w:type="dxa"/>
        <w:tblLayout w:type="fixed"/>
        <w:tblLook w:val="04A0" w:firstRow="1" w:lastRow="0" w:firstColumn="1" w:lastColumn="0" w:noHBand="0" w:noVBand="1"/>
      </w:tblPr>
      <w:tblGrid>
        <w:gridCol w:w="5118"/>
        <w:gridCol w:w="1701"/>
        <w:gridCol w:w="978"/>
        <w:gridCol w:w="15"/>
        <w:gridCol w:w="1701"/>
      </w:tblGrid>
      <w:tr w:rsidR="008A5057" w:rsidRPr="00BD295E" w14:paraId="069E3EBC" w14:textId="77777777" w:rsidTr="00D648DD">
        <w:trPr>
          <w:trHeight w:val="552"/>
        </w:trPr>
        <w:tc>
          <w:tcPr>
            <w:tcW w:w="68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CF62E5F"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Connection category</w:t>
            </w:r>
          </w:p>
        </w:tc>
        <w:tc>
          <w:tcPr>
            <w:tcW w:w="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5DDEA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UOM</w:t>
            </w:r>
          </w:p>
        </w:tc>
        <w:tc>
          <w:tcPr>
            <w:tcW w:w="171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32CAE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Fee rate</w:t>
            </w:r>
          </w:p>
        </w:tc>
      </w:tr>
      <w:tr w:rsidR="008A5057" w:rsidRPr="00BD295E" w14:paraId="47B74854"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FD964B8"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Capacity range, kW</w:t>
            </w:r>
          </w:p>
        </w:tc>
        <w:tc>
          <w:tcPr>
            <w:tcW w:w="1701" w:type="dxa"/>
            <w:tcBorders>
              <w:top w:val="nil"/>
              <w:left w:val="nil"/>
              <w:bottom w:val="single" w:sz="4" w:space="0" w:color="auto"/>
              <w:right w:val="single" w:sz="4" w:space="0" w:color="auto"/>
            </w:tcBorders>
            <w:shd w:val="clear" w:color="auto" w:fill="auto"/>
            <w:vAlign w:val="center"/>
            <w:hideMark/>
          </w:tcPr>
          <w:p w14:paraId="51F9F06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Voltage level at the connection point, kV</w:t>
            </w:r>
          </w:p>
        </w:tc>
        <w:tc>
          <w:tcPr>
            <w:tcW w:w="97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C88D8DD" w14:textId="77777777" w:rsidR="005C1246" w:rsidRPr="00BD295E" w:rsidRDefault="005C1246" w:rsidP="00D648DD">
            <w:pPr>
              <w:rPr>
                <w:rFonts w:ascii="Arial" w:hAnsi="Arial" w:cs="Arial"/>
                <w:sz w:val="18"/>
                <w:szCs w:val="18"/>
                <w:lang w:val="en-US"/>
              </w:rPr>
            </w:pPr>
          </w:p>
        </w:tc>
        <w:tc>
          <w:tcPr>
            <w:tcW w:w="1716"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F485A1" w14:textId="77777777" w:rsidR="005C1246" w:rsidRPr="00BD295E" w:rsidRDefault="005C1246" w:rsidP="00D648DD">
            <w:pPr>
              <w:rPr>
                <w:rFonts w:ascii="Arial" w:hAnsi="Arial" w:cs="Arial"/>
                <w:sz w:val="18"/>
                <w:szCs w:val="18"/>
                <w:lang w:val="en-US"/>
              </w:rPr>
            </w:pPr>
          </w:p>
        </w:tc>
      </w:tr>
      <w:tr w:rsidR="008A5057" w:rsidRPr="00BD295E" w14:paraId="147BED9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D5EAC5C"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1</w:t>
            </w:r>
          </w:p>
        </w:tc>
        <w:tc>
          <w:tcPr>
            <w:tcW w:w="1701" w:type="dxa"/>
            <w:tcBorders>
              <w:top w:val="nil"/>
              <w:left w:val="nil"/>
              <w:bottom w:val="single" w:sz="4" w:space="0" w:color="auto"/>
              <w:right w:val="single" w:sz="4" w:space="0" w:color="auto"/>
            </w:tcBorders>
            <w:shd w:val="clear" w:color="auto" w:fill="auto"/>
            <w:vAlign w:val="center"/>
            <w:hideMark/>
          </w:tcPr>
          <w:p w14:paraId="14072A34"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2</w:t>
            </w:r>
          </w:p>
        </w:tc>
        <w:tc>
          <w:tcPr>
            <w:tcW w:w="978" w:type="dxa"/>
            <w:tcBorders>
              <w:top w:val="nil"/>
              <w:left w:val="nil"/>
              <w:bottom w:val="single" w:sz="4" w:space="0" w:color="auto"/>
              <w:right w:val="single" w:sz="4" w:space="0" w:color="auto"/>
            </w:tcBorders>
            <w:shd w:val="clear" w:color="auto" w:fill="auto"/>
            <w:vAlign w:val="center"/>
            <w:hideMark/>
          </w:tcPr>
          <w:p w14:paraId="71EACC21"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3</w:t>
            </w:r>
          </w:p>
        </w:tc>
        <w:tc>
          <w:tcPr>
            <w:tcW w:w="1716" w:type="dxa"/>
            <w:gridSpan w:val="2"/>
            <w:tcBorders>
              <w:top w:val="nil"/>
              <w:left w:val="nil"/>
              <w:bottom w:val="single" w:sz="4" w:space="0" w:color="auto"/>
              <w:right w:val="single" w:sz="4" w:space="0" w:color="auto"/>
            </w:tcBorders>
            <w:shd w:val="clear" w:color="auto" w:fill="auto"/>
            <w:vAlign w:val="center"/>
            <w:hideMark/>
          </w:tcPr>
          <w:p w14:paraId="57A5F384"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4</w:t>
            </w:r>
          </w:p>
        </w:tc>
      </w:tr>
      <w:tr w:rsidR="008A5057" w:rsidRPr="00BD295E" w14:paraId="1E0BAC44" w14:textId="77777777" w:rsidTr="00D648DD">
        <w:trPr>
          <w:trHeight w:val="288"/>
        </w:trPr>
        <w:tc>
          <w:tcPr>
            <w:tcW w:w="951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1567D23" w14:textId="77777777" w:rsidR="005C1246" w:rsidRPr="00BD295E" w:rsidRDefault="008A5057" w:rsidP="00D648DD">
            <w:pPr>
              <w:rPr>
                <w:rFonts w:ascii="Arial" w:hAnsi="Arial" w:cs="Arial"/>
                <w:b/>
                <w:bCs/>
                <w:sz w:val="18"/>
                <w:szCs w:val="18"/>
                <w:lang w:val="en-US"/>
              </w:rPr>
            </w:pPr>
            <w:r w:rsidRPr="00BD295E">
              <w:rPr>
                <w:rFonts w:ascii="Arial" w:hAnsi="Arial" w:cs="Arial"/>
                <w:b/>
                <w:bCs/>
                <w:sz w:val="18"/>
                <w:szCs w:val="18"/>
                <w:lang w:val="en-US"/>
              </w:rPr>
              <w:t>Connection fee rates per unit of maximum capacity</w:t>
            </w:r>
          </w:p>
        </w:tc>
      </w:tr>
      <w:tr w:rsidR="008A5057" w:rsidRPr="00BD295E" w14:paraId="77FCFD81" w14:textId="77777777" w:rsidTr="00D648DD">
        <w:trPr>
          <w:trHeight w:val="1656"/>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0DC6C9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Rate per unit of maximum capacity for activities provided in item 16 (except sub-item “b”) of the Guidelines for Grid Connection in Urban Areas</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33FC0E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78" w:type="dxa"/>
            <w:tcBorders>
              <w:top w:val="nil"/>
              <w:left w:val="nil"/>
              <w:bottom w:val="single" w:sz="4" w:space="0" w:color="auto"/>
              <w:right w:val="single" w:sz="4" w:space="0" w:color="auto"/>
            </w:tcBorders>
            <w:shd w:val="clear" w:color="auto" w:fill="auto"/>
            <w:noWrap/>
            <w:vAlign w:val="center"/>
            <w:hideMark/>
          </w:tcPr>
          <w:p w14:paraId="1FD8B0D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57050E2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797</w:t>
            </w:r>
          </w:p>
        </w:tc>
      </w:tr>
      <w:tr w:rsidR="008A5057" w:rsidRPr="00BD295E" w14:paraId="75DAF1CB"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F962A0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ED86660"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4EDC646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780513F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381</w:t>
            </w:r>
          </w:p>
        </w:tc>
      </w:tr>
      <w:tr w:rsidR="008A5057" w:rsidRPr="00BD295E" w14:paraId="7E8F612E"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B7AF2A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6BBDEE3"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0628BC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6F99E91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416</w:t>
            </w:r>
          </w:p>
        </w:tc>
      </w:tr>
      <w:tr w:rsidR="008A5057" w:rsidRPr="00BD295E" w14:paraId="59E5CDAF"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D901579" w14:textId="77777777" w:rsidR="005C1246" w:rsidRPr="00BD295E" w:rsidRDefault="008A5057" w:rsidP="00D648DD">
            <w:pPr>
              <w:rPr>
                <w:rFonts w:ascii="Arial" w:hAnsi="Arial" w:cs="Arial"/>
                <w:b/>
                <w:bCs/>
                <w:sz w:val="18"/>
                <w:szCs w:val="18"/>
                <w:lang w:val="en-US"/>
              </w:rPr>
            </w:pPr>
            <w:r w:rsidRPr="00BD295E">
              <w:rPr>
                <w:rFonts w:ascii="Arial" w:hAnsi="Arial" w:cs="Arial"/>
                <w:b/>
                <w:bCs/>
                <w:sz w:val="18"/>
                <w:szCs w:val="18"/>
                <w:lang w:val="en-US"/>
              </w:rPr>
              <w:t>Rate per unit of maximum capacity for “last mile” activities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B94B53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2F925A0"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7B251D66"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r>
      <w:tr w:rsidR="008A5057" w:rsidRPr="00BD295E" w14:paraId="554AB16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010A7AF" w14:textId="77777777" w:rsidR="005C1246" w:rsidRPr="00BD295E" w:rsidRDefault="008A5057" w:rsidP="00D648DD">
            <w:pPr>
              <w:ind w:firstLineChars="100" w:firstLine="180"/>
              <w:rPr>
                <w:rFonts w:ascii="Arial" w:hAnsi="Arial" w:cs="Arial"/>
                <w:sz w:val="18"/>
                <w:szCs w:val="18"/>
                <w:lang w:val="en-US"/>
              </w:rPr>
            </w:pPr>
            <w:r w:rsidRPr="00BD295E">
              <w:rPr>
                <w:rFonts w:ascii="Arial" w:hAnsi="Arial" w:cs="Arial"/>
                <w:sz w:val="18"/>
                <w:szCs w:val="18"/>
                <w:lang w:val="en-US"/>
              </w:rPr>
              <w:t>С2 Construction of 10(6) kV overhead lines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9FDE11A"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BB19E4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0812D38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r>
      <w:tr w:rsidR="008A5057" w:rsidRPr="00BD295E" w14:paraId="533E318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D8556F9"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F666705"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468B1F7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6243847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r>
      <w:tr w:rsidR="008A5057" w:rsidRPr="00BD295E" w14:paraId="38C7F9D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3FE255E"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7EC3229"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B4D0C6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35E1F6D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107</w:t>
            </w:r>
          </w:p>
        </w:tc>
      </w:tr>
      <w:tr w:rsidR="008A5057" w:rsidRPr="00BD295E" w14:paraId="39F7B4C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AC77AA0"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1B832B5"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27DF07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047FE81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r>
      <w:tr w:rsidR="008A5057" w:rsidRPr="00BD295E" w14:paraId="4A248FB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EDF7B94" w14:textId="77777777" w:rsidR="005C1246" w:rsidRPr="00BD295E" w:rsidRDefault="008A5057" w:rsidP="00D648DD">
            <w:pPr>
              <w:ind w:firstLineChars="100" w:firstLine="180"/>
              <w:rPr>
                <w:rFonts w:ascii="Arial" w:hAnsi="Arial" w:cs="Arial"/>
                <w:sz w:val="18"/>
                <w:szCs w:val="18"/>
                <w:lang w:val="en-US"/>
              </w:rPr>
            </w:pPr>
            <w:r w:rsidRPr="00BD295E">
              <w:rPr>
                <w:rFonts w:ascii="Arial" w:hAnsi="Arial" w:cs="Arial"/>
                <w:sz w:val="18"/>
                <w:szCs w:val="18"/>
                <w:lang w:val="en-US"/>
              </w:rPr>
              <w:t>С3 Construction of 10(6) kV cable lines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E94C093"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BAC78C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22A25F0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7BDDB6B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7AB640E"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52A6CD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479E426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1D66628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2E24DA8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3B7921B"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46CC09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4B25563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726880D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3,584</w:t>
            </w:r>
          </w:p>
        </w:tc>
      </w:tr>
      <w:tr w:rsidR="008A5057" w:rsidRPr="00BD295E" w14:paraId="7793D2C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6DF6B7E"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542B9870"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2783EE7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0B5FDC5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5,658</w:t>
            </w:r>
          </w:p>
        </w:tc>
      </w:tr>
      <w:tr w:rsidR="008A5057" w:rsidRPr="00BD295E" w14:paraId="1DD97B5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D0A4E2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С3 Construction of 0.4 kV cable lines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F65D03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4FF1ACE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05836C2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76BC6E3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B5CE07E"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51D043B"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538500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0C64166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552AECD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5DD3D66"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38950FE"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45F4D91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5D38553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6,156</w:t>
            </w:r>
          </w:p>
        </w:tc>
      </w:tr>
      <w:tr w:rsidR="008A5057" w:rsidRPr="00BD295E" w14:paraId="7246755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ACD9CBF"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D0329A5"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2D618C4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124EC0C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6,946</w:t>
            </w:r>
          </w:p>
        </w:tc>
      </w:tr>
      <w:tr w:rsidR="008A5057" w:rsidRPr="00BD295E" w14:paraId="4D817E2D"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410B61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Rates per unit of maximum capacity for construction of transformer substations (TSS)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0276E32"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63BB511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242228B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462945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BD261EE"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5103E2A4"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D1A9F1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21563CA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3,708</w:t>
            </w:r>
          </w:p>
        </w:tc>
      </w:tr>
      <w:tr w:rsidR="008A5057" w:rsidRPr="00BD295E" w14:paraId="6CC0C1E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4E178C3"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8E2C2A7"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E527D7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1DA5628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4,484</w:t>
            </w:r>
          </w:p>
        </w:tc>
      </w:tr>
      <w:tr w:rsidR="008A5057" w:rsidRPr="00BD295E" w14:paraId="04847B5E" w14:textId="77777777" w:rsidTr="00D648DD">
        <w:trPr>
          <w:trHeight w:val="1656"/>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9DADED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Rate per unit of maximum capacity for activities provided in item 16 (except sub-item “b”) of the Guidelines for Grid Connection in Urban Areas</w:t>
            </w:r>
          </w:p>
        </w:tc>
        <w:tc>
          <w:tcPr>
            <w:tcW w:w="1701" w:type="dxa"/>
            <w:vMerge w:val="restart"/>
            <w:tcBorders>
              <w:top w:val="nil"/>
              <w:left w:val="single" w:sz="4" w:space="0" w:color="auto"/>
              <w:bottom w:val="nil"/>
              <w:right w:val="single" w:sz="4" w:space="0" w:color="auto"/>
            </w:tcBorders>
            <w:shd w:val="clear" w:color="auto" w:fill="auto"/>
            <w:vAlign w:val="center"/>
            <w:hideMark/>
          </w:tcPr>
          <w:p w14:paraId="1CA3623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78" w:type="dxa"/>
            <w:tcBorders>
              <w:top w:val="nil"/>
              <w:left w:val="nil"/>
              <w:bottom w:val="single" w:sz="4" w:space="0" w:color="auto"/>
              <w:right w:val="single" w:sz="4" w:space="0" w:color="auto"/>
            </w:tcBorders>
            <w:shd w:val="clear" w:color="auto" w:fill="auto"/>
            <w:noWrap/>
            <w:vAlign w:val="center"/>
            <w:hideMark/>
          </w:tcPr>
          <w:p w14:paraId="42FC248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5E1270F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797</w:t>
            </w:r>
          </w:p>
        </w:tc>
      </w:tr>
      <w:tr w:rsidR="008A5057" w:rsidRPr="00BD295E" w14:paraId="7634BAE7"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97D6B2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nil"/>
              <w:left w:val="single" w:sz="4" w:space="0" w:color="auto"/>
              <w:bottom w:val="nil"/>
              <w:right w:val="single" w:sz="4" w:space="0" w:color="auto"/>
            </w:tcBorders>
            <w:shd w:val="clear" w:color="auto" w:fill="auto"/>
            <w:vAlign w:val="center"/>
            <w:hideMark/>
          </w:tcPr>
          <w:p w14:paraId="0B83FB14"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6143EE2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0615323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381</w:t>
            </w:r>
          </w:p>
        </w:tc>
      </w:tr>
      <w:tr w:rsidR="008A5057" w:rsidRPr="00BD295E" w14:paraId="46EE15A2"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FF315F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top w:val="nil"/>
              <w:left w:val="single" w:sz="4" w:space="0" w:color="auto"/>
              <w:bottom w:val="nil"/>
              <w:right w:val="single" w:sz="4" w:space="0" w:color="auto"/>
            </w:tcBorders>
            <w:shd w:val="clear" w:color="auto" w:fill="auto"/>
            <w:vAlign w:val="center"/>
            <w:hideMark/>
          </w:tcPr>
          <w:p w14:paraId="0B9EB439"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62749C1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2E95E13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416</w:t>
            </w:r>
          </w:p>
        </w:tc>
      </w:tr>
      <w:tr w:rsidR="008A5057" w:rsidRPr="00BD295E" w14:paraId="4A18457D"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6C0BE1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Rate per unit of maximum capacity for “last mile” activities</w:t>
            </w:r>
          </w:p>
        </w:tc>
        <w:tc>
          <w:tcPr>
            <w:tcW w:w="1701" w:type="dxa"/>
            <w:vMerge/>
            <w:tcBorders>
              <w:top w:val="nil"/>
              <w:left w:val="single" w:sz="4" w:space="0" w:color="auto"/>
              <w:bottom w:val="nil"/>
              <w:right w:val="single" w:sz="4" w:space="0" w:color="auto"/>
            </w:tcBorders>
            <w:shd w:val="clear" w:color="auto" w:fill="auto"/>
            <w:vAlign w:val="center"/>
            <w:hideMark/>
          </w:tcPr>
          <w:p w14:paraId="1B497B2F"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6D07731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51D7425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2462A95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02EB65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Construction of 10(6) kV overhead lines</w:t>
            </w:r>
          </w:p>
        </w:tc>
        <w:tc>
          <w:tcPr>
            <w:tcW w:w="1701" w:type="dxa"/>
            <w:vMerge/>
            <w:tcBorders>
              <w:top w:val="nil"/>
              <w:left w:val="single" w:sz="4" w:space="0" w:color="auto"/>
              <w:bottom w:val="nil"/>
              <w:right w:val="single" w:sz="4" w:space="0" w:color="auto"/>
            </w:tcBorders>
            <w:shd w:val="clear" w:color="auto" w:fill="auto"/>
            <w:vAlign w:val="center"/>
            <w:hideMark/>
          </w:tcPr>
          <w:p w14:paraId="3B16BB1E"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215439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34CFD67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0A0E8F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807EF02"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nil"/>
              <w:right w:val="single" w:sz="4" w:space="0" w:color="auto"/>
            </w:tcBorders>
            <w:shd w:val="clear" w:color="auto" w:fill="auto"/>
            <w:vAlign w:val="center"/>
            <w:hideMark/>
          </w:tcPr>
          <w:p w14:paraId="63690F9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0881B6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1090087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5DFEF6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8150BC4"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nil"/>
              <w:right w:val="single" w:sz="4" w:space="0" w:color="auto"/>
            </w:tcBorders>
            <w:shd w:val="clear" w:color="auto" w:fill="auto"/>
            <w:vAlign w:val="center"/>
            <w:hideMark/>
          </w:tcPr>
          <w:p w14:paraId="1A712A1C"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0269333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18DD891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107</w:t>
            </w:r>
          </w:p>
        </w:tc>
      </w:tr>
      <w:tr w:rsidR="008A5057" w:rsidRPr="00BD295E" w14:paraId="031CF47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AEF0811"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nil"/>
              <w:right w:val="single" w:sz="4" w:space="0" w:color="auto"/>
            </w:tcBorders>
            <w:shd w:val="clear" w:color="auto" w:fill="auto"/>
            <w:vAlign w:val="center"/>
            <w:hideMark/>
          </w:tcPr>
          <w:p w14:paraId="3F157E5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369CCDB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388C8D7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425E4BC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8DB3CF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Construction of 10(6) kV cable lines</w:t>
            </w:r>
          </w:p>
        </w:tc>
        <w:tc>
          <w:tcPr>
            <w:tcW w:w="1701" w:type="dxa"/>
            <w:vMerge/>
            <w:tcBorders>
              <w:top w:val="nil"/>
              <w:left w:val="single" w:sz="4" w:space="0" w:color="auto"/>
              <w:bottom w:val="nil"/>
              <w:right w:val="single" w:sz="4" w:space="0" w:color="auto"/>
            </w:tcBorders>
            <w:shd w:val="clear" w:color="auto" w:fill="auto"/>
            <w:vAlign w:val="center"/>
            <w:hideMark/>
          </w:tcPr>
          <w:p w14:paraId="5DBEB15D"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7A7214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61B39B6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65C895F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68E37C9"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nil"/>
              <w:right w:val="single" w:sz="4" w:space="0" w:color="auto"/>
            </w:tcBorders>
            <w:shd w:val="clear" w:color="auto" w:fill="auto"/>
            <w:vAlign w:val="center"/>
            <w:hideMark/>
          </w:tcPr>
          <w:p w14:paraId="08FEE4BA"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35996AB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599FE2B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66526E9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B2CF8C5"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nil"/>
              <w:right w:val="single" w:sz="4" w:space="0" w:color="auto"/>
            </w:tcBorders>
            <w:shd w:val="clear" w:color="auto" w:fill="auto"/>
            <w:vAlign w:val="center"/>
            <w:hideMark/>
          </w:tcPr>
          <w:p w14:paraId="67507C93"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5C7F98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33BC9FF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3,584</w:t>
            </w:r>
          </w:p>
        </w:tc>
      </w:tr>
      <w:tr w:rsidR="008A5057" w:rsidRPr="00BD295E" w14:paraId="78978CE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36AAF12"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nil"/>
              <w:right w:val="single" w:sz="4" w:space="0" w:color="auto"/>
            </w:tcBorders>
            <w:shd w:val="clear" w:color="auto" w:fill="auto"/>
            <w:vAlign w:val="center"/>
            <w:hideMark/>
          </w:tcPr>
          <w:p w14:paraId="2ECAE8D5"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3952FC0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3F9CACA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6,326</w:t>
            </w:r>
          </w:p>
        </w:tc>
      </w:tr>
      <w:tr w:rsidR="008A5057" w:rsidRPr="00BD295E" w14:paraId="2120EB8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9047F4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С3 Construction of 0.4 kV cable lines</w:t>
            </w:r>
          </w:p>
        </w:tc>
        <w:tc>
          <w:tcPr>
            <w:tcW w:w="1701" w:type="dxa"/>
            <w:vMerge/>
            <w:tcBorders>
              <w:top w:val="nil"/>
              <w:left w:val="single" w:sz="4" w:space="0" w:color="auto"/>
              <w:bottom w:val="nil"/>
              <w:right w:val="single" w:sz="4" w:space="0" w:color="auto"/>
            </w:tcBorders>
            <w:shd w:val="clear" w:color="auto" w:fill="auto"/>
            <w:vAlign w:val="center"/>
            <w:hideMark/>
          </w:tcPr>
          <w:p w14:paraId="6C92F9FD"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D8D582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127B596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BDA9C4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6F97018"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nil"/>
              <w:right w:val="single" w:sz="4" w:space="0" w:color="auto"/>
            </w:tcBorders>
            <w:shd w:val="clear" w:color="auto" w:fill="auto"/>
            <w:vAlign w:val="center"/>
            <w:hideMark/>
          </w:tcPr>
          <w:p w14:paraId="2A4E0377"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0DE7AF4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0C3C998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4C75A24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CA8EC4F"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nil"/>
              <w:right w:val="single" w:sz="4" w:space="0" w:color="auto"/>
            </w:tcBorders>
            <w:shd w:val="clear" w:color="auto" w:fill="auto"/>
            <w:vAlign w:val="center"/>
            <w:hideMark/>
          </w:tcPr>
          <w:p w14:paraId="577E813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2B30181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tcPr>
          <w:p w14:paraId="6F19D10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5643376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7DEA334"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nil"/>
              <w:right w:val="single" w:sz="4" w:space="0" w:color="auto"/>
            </w:tcBorders>
            <w:shd w:val="clear" w:color="auto" w:fill="auto"/>
            <w:vAlign w:val="center"/>
            <w:hideMark/>
          </w:tcPr>
          <w:p w14:paraId="1327EAF1"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D6CEC5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tcPr>
          <w:p w14:paraId="56B4198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64755FE1"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BB1B74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Rates per unit of maximum capacity for construction of transformer substations (TSS)</w:t>
            </w:r>
          </w:p>
        </w:tc>
        <w:tc>
          <w:tcPr>
            <w:tcW w:w="1701" w:type="dxa"/>
            <w:vMerge/>
            <w:tcBorders>
              <w:top w:val="nil"/>
              <w:left w:val="single" w:sz="4" w:space="0" w:color="auto"/>
              <w:bottom w:val="nil"/>
              <w:right w:val="single" w:sz="4" w:space="0" w:color="auto"/>
            </w:tcBorders>
            <w:shd w:val="clear" w:color="auto" w:fill="auto"/>
            <w:vAlign w:val="center"/>
            <w:hideMark/>
          </w:tcPr>
          <w:p w14:paraId="1BD0C323"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32DACCF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0EF4E80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248893A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5EC1BB3"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nil"/>
              <w:right w:val="single" w:sz="4" w:space="0" w:color="auto"/>
            </w:tcBorders>
            <w:shd w:val="clear" w:color="auto" w:fill="auto"/>
            <w:vAlign w:val="center"/>
            <w:hideMark/>
          </w:tcPr>
          <w:p w14:paraId="4DEF5727"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1EF44B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032B05C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F73934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6956602"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nil"/>
              <w:right w:val="single" w:sz="4" w:space="0" w:color="auto"/>
            </w:tcBorders>
            <w:shd w:val="clear" w:color="auto" w:fill="auto"/>
            <w:vAlign w:val="center"/>
            <w:hideMark/>
          </w:tcPr>
          <w:p w14:paraId="4C771A44"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0377DB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3BDFB01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79AA5F14" w14:textId="77777777" w:rsidTr="00D648DD">
        <w:trPr>
          <w:trHeight w:val="288"/>
        </w:trPr>
        <w:tc>
          <w:tcPr>
            <w:tcW w:w="951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FE5458F" w14:textId="77777777" w:rsidR="005C1246" w:rsidRPr="00BD295E" w:rsidRDefault="008A5057" w:rsidP="00D648DD">
            <w:pPr>
              <w:rPr>
                <w:rFonts w:ascii="Arial" w:hAnsi="Arial" w:cs="Arial"/>
                <w:b/>
                <w:bCs/>
                <w:sz w:val="18"/>
                <w:szCs w:val="18"/>
                <w:lang w:val="en-US"/>
              </w:rPr>
            </w:pPr>
            <w:r w:rsidRPr="00BD295E">
              <w:rPr>
                <w:rFonts w:ascii="Arial" w:hAnsi="Arial" w:cs="Arial"/>
                <w:b/>
                <w:bCs/>
                <w:sz w:val="18"/>
                <w:szCs w:val="18"/>
                <w:lang w:val="en-US"/>
              </w:rPr>
              <w:t>Standardized tariff rates for grid connection*</w:t>
            </w:r>
          </w:p>
        </w:tc>
      </w:tr>
      <w:tr w:rsidR="008A5057" w:rsidRPr="00BD295E" w14:paraId="04BCD44E" w14:textId="77777777" w:rsidTr="00D648DD">
        <w:trPr>
          <w:trHeight w:val="193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E843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Standardized tariff rate to cover expenses for grid connection of electricity receiving appliances of electricity consumers, electric grid facilities owned by grid companies or other entities, for activities referred to in item 16 (excluding sub-item “b”) of the Guidelines</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FF22470"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14:paraId="076CD85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5B3908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39,420</w:t>
            </w:r>
          </w:p>
        </w:tc>
      </w:tr>
      <w:tr w:rsidR="008A5057" w:rsidRPr="00BD295E" w14:paraId="24B7A2D9"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B29639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DDF6F7A"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FC4754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0ED5375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23,370</w:t>
            </w:r>
          </w:p>
        </w:tc>
      </w:tr>
      <w:tr w:rsidR="008A5057" w:rsidRPr="00BD295E" w14:paraId="10D4CA9E"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3EF2DC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’s compliance with technical specifications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9BD22E8"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7F10DC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25AA498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16,050</w:t>
            </w:r>
          </w:p>
        </w:tc>
      </w:tr>
      <w:tr w:rsidR="008A5057" w:rsidRPr="00BD295E" w14:paraId="00784FBB"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E6DD6C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overhead lines per 1 km of the line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6D67AA5"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D2BF5A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2A7C5FE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6EA670D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297637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2 3 х 120+1х70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4D0B93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65E02D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0F9F55A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642,039</w:t>
            </w:r>
          </w:p>
        </w:tc>
      </w:tr>
      <w:tr w:rsidR="008A5057" w:rsidRPr="00BD295E" w14:paraId="60111C0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243BB4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2 3 х 95+1 х 95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B745E3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A506D5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3A801E2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783,476</w:t>
            </w:r>
          </w:p>
        </w:tc>
      </w:tr>
      <w:tr w:rsidR="008A5057" w:rsidRPr="00BD295E" w14:paraId="7F889CB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B6C0C7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2 3 х 120+1х95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B25CF65"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492441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7A49E2A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869,009</w:t>
            </w:r>
          </w:p>
        </w:tc>
      </w:tr>
      <w:tr w:rsidR="008A5057" w:rsidRPr="00BD295E" w14:paraId="434D4810"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6F040E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cable lines per 1 km of the line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9F637C8"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nil"/>
              <w:right w:val="single" w:sz="4" w:space="0" w:color="auto"/>
            </w:tcBorders>
            <w:shd w:val="clear" w:color="auto" w:fill="auto"/>
            <w:vAlign w:val="center"/>
            <w:hideMark/>
          </w:tcPr>
          <w:p w14:paraId="35C6BC0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242890F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61E4D6B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6D277D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APvBbShp 4Х120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34C2768"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909261"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44C65A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4,562,079</w:t>
            </w:r>
          </w:p>
        </w:tc>
      </w:tr>
      <w:tr w:rsidR="008A5057" w:rsidRPr="00BD295E" w14:paraId="12479FE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30F026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1DBF8EC" w14:textId="77777777" w:rsidR="005C1246" w:rsidRPr="00BD295E" w:rsidRDefault="005C1246" w:rsidP="00D648DD">
            <w:pPr>
              <w:rPr>
                <w:rFonts w:ascii="Arial" w:hAnsi="Arial" w:cs="Arial"/>
                <w:sz w:val="18"/>
                <w:szCs w:val="18"/>
                <w:lang w:val="en-US"/>
              </w:rPr>
            </w:pPr>
          </w:p>
        </w:tc>
        <w:tc>
          <w:tcPr>
            <w:tcW w:w="99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EE91E7F"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043C0C9" w14:textId="77777777" w:rsidR="005C1246" w:rsidRPr="00BD295E" w:rsidRDefault="005C1246" w:rsidP="00D648DD">
            <w:pPr>
              <w:rPr>
                <w:rFonts w:ascii="Arial" w:hAnsi="Arial" w:cs="Arial"/>
                <w:sz w:val="18"/>
                <w:szCs w:val="18"/>
                <w:lang w:val="en-US"/>
              </w:rPr>
            </w:pPr>
          </w:p>
        </w:tc>
      </w:tr>
      <w:tr w:rsidR="008A5057" w:rsidRPr="00BD295E" w14:paraId="4A06A0D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0CE6CA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APvBbShp 4Х120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A2B6004"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D0F6461"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28A986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6,386,908</w:t>
            </w:r>
          </w:p>
        </w:tc>
      </w:tr>
      <w:tr w:rsidR="008A5057" w:rsidRPr="00BD295E" w14:paraId="7FFD186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B54E25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27D2BEF"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70B2600"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1BD8DFE" w14:textId="77777777" w:rsidR="005C1246" w:rsidRPr="00BD295E" w:rsidRDefault="005C1246" w:rsidP="00D648DD">
            <w:pPr>
              <w:rPr>
                <w:rFonts w:ascii="Arial" w:hAnsi="Arial" w:cs="Arial"/>
                <w:sz w:val="18"/>
                <w:szCs w:val="18"/>
                <w:lang w:val="en-US"/>
              </w:rPr>
            </w:pPr>
          </w:p>
        </w:tc>
      </w:tr>
      <w:tr w:rsidR="008A5057" w:rsidRPr="00BD295E" w14:paraId="0D61B37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B9DD3B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APvBbShp 4Х150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0CF615A"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ED6A60C"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BACC07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4,701,707</w:t>
            </w:r>
          </w:p>
        </w:tc>
      </w:tr>
      <w:tr w:rsidR="008A5057" w:rsidRPr="00BD295E" w14:paraId="473E3A6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82D875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5AEACB1"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923B4E1"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9DEE685" w14:textId="77777777" w:rsidR="005C1246" w:rsidRPr="00BD295E" w:rsidRDefault="005C1246" w:rsidP="00D648DD">
            <w:pPr>
              <w:rPr>
                <w:rFonts w:ascii="Arial" w:hAnsi="Arial" w:cs="Arial"/>
                <w:sz w:val="18"/>
                <w:szCs w:val="18"/>
                <w:lang w:val="en-US"/>
              </w:rPr>
            </w:pPr>
          </w:p>
        </w:tc>
      </w:tr>
      <w:tr w:rsidR="008A5057" w:rsidRPr="00BD295E" w14:paraId="2CC0246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9547E0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APvBbShp 4Х150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974AEBB"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C603F5C"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36B76F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6,582,388</w:t>
            </w:r>
          </w:p>
        </w:tc>
      </w:tr>
      <w:tr w:rsidR="008A5057" w:rsidRPr="00BD295E" w14:paraId="4EB2553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2410CC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494498B"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77D6411E"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18D2431" w14:textId="77777777" w:rsidR="005C1246" w:rsidRPr="00BD295E" w:rsidRDefault="005C1246" w:rsidP="00D648DD">
            <w:pPr>
              <w:rPr>
                <w:rFonts w:ascii="Arial" w:hAnsi="Arial" w:cs="Arial"/>
                <w:sz w:val="18"/>
                <w:szCs w:val="18"/>
                <w:lang w:val="en-US"/>
              </w:rPr>
            </w:pPr>
          </w:p>
        </w:tc>
      </w:tr>
      <w:tr w:rsidR="008A5057" w:rsidRPr="00BD295E" w14:paraId="76BCF19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2A7C5B6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APvBbShp 4Х185</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7FCC37C4"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58844BD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665F729D" w14:textId="193CFDE3"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5,274</w:t>
            </w:r>
            <w:r w:rsidR="00C72D34" w:rsidRPr="00BD295E">
              <w:rPr>
                <w:rFonts w:ascii="Arial" w:hAnsi="Arial" w:cs="Arial"/>
                <w:sz w:val="18"/>
                <w:szCs w:val="18"/>
                <w:lang w:val="en-US"/>
              </w:rPr>
              <w:t>,</w:t>
            </w:r>
            <w:r w:rsidRPr="00BD295E">
              <w:rPr>
                <w:rFonts w:ascii="Arial" w:hAnsi="Arial" w:cs="Arial"/>
                <w:sz w:val="18"/>
                <w:szCs w:val="18"/>
                <w:lang w:val="en-US"/>
              </w:rPr>
              <w:t>754</w:t>
            </w:r>
          </w:p>
        </w:tc>
      </w:tr>
      <w:tr w:rsidR="008A5057" w:rsidRPr="00BD295E" w14:paraId="6D31B53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498DE22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632B104B"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061D0AAE" w14:textId="77777777" w:rsidR="005C1246" w:rsidRPr="00BD295E" w:rsidRDefault="005C1246" w:rsidP="00D648DD">
            <w:pPr>
              <w:jc w:val="cente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232F6B3C" w14:textId="77777777" w:rsidR="005C1246" w:rsidRPr="00BD295E" w:rsidRDefault="005C1246" w:rsidP="00D648DD">
            <w:pPr>
              <w:jc w:val="right"/>
              <w:rPr>
                <w:rFonts w:ascii="Arial" w:hAnsi="Arial" w:cs="Arial"/>
                <w:sz w:val="18"/>
                <w:szCs w:val="18"/>
                <w:lang w:val="en-US"/>
              </w:rPr>
            </w:pPr>
          </w:p>
        </w:tc>
      </w:tr>
      <w:tr w:rsidR="008A5057" w:rsidRPr="00BD295E" w14:paraId="200116E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2701BF5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APvBbShp 4Х185</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09166E03"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3C8710C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249C6CA7" w14:textId="1E4761C0"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7,384</w:t>
            </w:r>
            <w:r w:rsidR="00C72D34" w:rsidRPr="00BD295E">
              <w:rPr>
                <w:rFonts w:ascii="Arial" w:hAnsi="Arial" w:cs="Arial"/>
                <w:sz w:val="18"/>
                <w:szCs w:val="18"/>
                <w:lang w:val="en-US"/>
              </w:rPr>
              <w:t>,</w:t>
            </w:r>
            <w:r w:rsidRPr="00BD295E">
              <w:rPr>
                <w:rFonts w:ascii="Arial" w:hAnsi="Arial" w:cs="Arial"/>
                <w:sz w:val="18"/>
                <w:szCs w:val="18"/>
                <w:lang w:val="en-US"/>
              </w:rPr>
              <w:t>656</w:t>
            </w:r>
          </w:p>
        </w:tc>
      </w:tr>
      <w:tr w:rsidR="008A5057" w:rsidRPr="00BD295E" w14:paraId="7BB9375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64D7E29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491CE325"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7442DAEE" w14:textId="77777777" w:rsidR="005C1246" w:rsidRPr="00BD295E" w:rsidRDefault="005C1246" w:rsidP="00D648DD">
            <w:pPr>
              <w:jc w:val="cente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43D5CA28" w14:textId="77777777" w:rsidR="005C1246" w:rsidRPr="00BD295E" w:rsidRDefault="005C1246" w:rsidP="00D648DD">
            <w:pPr>
              <w:jc w:val="right"/>
              <w:rPr>
                <w:rFonts w:ascii="Arial" w:hAnsi="Arial" w:cs="Arial"/>
                <w:sz w:val="18"/>
                <w:szCs w:val="18"/>
                <w:lang w:val="en-US"/>
              </w:rPr>
            </w:pPr>
          </w:p>
        </w:tc>
      </w:tr>
      <w:tr w:rsidR="008A5057" w:rsidRPr="00BD295E" w14:paraId="70E4EF1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B8E255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APvBbShp 4Х240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73BF8FC"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2CBCF1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FD45C47" w14:textId="0ABBF229"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5,327</w:t>
            </w:r>
            <w:r w:rsidR="00C72D34" w:rsidRPr="00BD295E">
              <w:rPr>
                <w:rFonts w:ascii="Arial" w:hAnsi="Arial" w:cs="Arial"/>
                <w:sz w:val="18"/>
                <w:szCs w:val="18"/>
                <w:lang w:val="en-US"/>
              </w:rPr>
              <w:t>,</w:t>
            </w:r>
            <w:r w:rsidRPr="00BD295E">
              <w:rPr>
                <w:rFonts w:ascii="Arial" w:hAnsi="Arial" w:cs="Arial"/>
                <w:sz w:val="18"/>
                <w:szCs w:val="18"/>
                <w:lang w:val="en-US"/>
              </w:rPr>
              <w:t>502</w:t>
            </w:r>
          </w:p>
        </w:tc>
      </w:tr>
      <w:tr w:rsidR="008A5057" w:rsidRPr="00BD295E" w14:paraId="099B32D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9B5AB1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9714188"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8EBF6BE"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F65A5EC" w14:textId="77777777" w:rsidR="005C1246" w:rsidRPr="00BD295E" w:rsidRDefault="005C1246" w:rsidP="00D648DD">
            <w:pPr>
              <w:rPr>
                <w:rFonts w:ascii="Arial" w:hAnsi="Arial" w:cs="Arial"/>
                <w:sz w:val="18"/>
                <w:szCs w:val="18"/>
                <w:lang w:val="en-US"/>
              </w:rPr>
            </w:pPr>
          </w:p>
        </w:tc>
      </w:tr>
      <w:tr w:rsidR="008A5057" w:rsidRPr="00BD295E" w14:paraId="5970474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1FA2F5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APvBbShp 4Х240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5F79A51"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6E7CA40"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546D544" w14:textId="29DA6413"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7,458</w:t>
            </w:r>
            <w:r w:rsidR="00C72D34" w:rsidRPr="00BD295E">
              <w:rPr>
                <w:rFonts w:ascii="Arial" w:hAnsi="Arial" w:cs="Arial"/>
                <w:sz w:val="18"/>
                <w:szCs w:val="18"/>
                <w:lang w:val="en-US"/>
              </w:rPr>
              <w:t>,</w:t>
            </w:r>
            <w:r w:rsidRPr="00BD295E">
              <w:rPr>
                <w:rFonts w:ascii="Arial" w:hAnsi="Arial" w:cs="Arial"/>
                <w:sz w:val="18"/>
                <w:szCs w:val="18"/>
                <w:lang w:val="en-US"/>
              </w:rPr>
              <w:t>502</w:t>
            </w:r>
          </w:p>
        </w:tc>
      </w:tr>
      <w:tr w:rsidR="008A5057" w:rsidRPr="00BD295E" w14:paraId="3B8D19F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36B43C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51368EF"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4AD4B2D"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729D996" w14:textId="77777777" w:rsidR="005C1246" w:rsidRPr="00BD295E" w:rsidRDefault="005C1246" w:rsidP="00D648DD">
            <w:pPr>
              <w:rPr>
                <w:rFonts w:ascii="Arial" w:hAnsi="Arial" w:cs="Arial"/>
                <w:sz w:val="18"/>
                <w:szCs w:val="18"/>
                <w:lang w:val="en-US"/>
              </w:rPr>
            </w:pPr>
          </w:p>
        </w:tc>
      </w:tr>
      <w:tr w:rsidR="008A5057" w:rsidRPr="00BD295E" w14:paraId="5C481F4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F2A2E1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ASB2l 4Х120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035F608"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12C38B2"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887C974" w14:textId="71563B9C"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3,932</w:t>
            </w:r>
            <w:r w:rsidR="00C72D34" w:rsidRPr="00BD295E">
              <w:rPr>
                <w:rFonts w:ascii="Arial" w:hAnsi="Arial" w:cs="Arial"/>
                <w:sz w:val="18"/>
                <w:szCs w:val="18"/>
                <w:lang w:val="en-US"/>
              </w:rPr>
              <w:t>,</w:t>
            </w:r>
            <w:r w:rsidRPr="00BD295E">
              <w:rPr>
                <w:rFonts w:ascii="Arial" w:hAnsi="Arial" w:cs="Arial"/>
                <w:sz w:val="18"/>
                <w:szCs w:val="18"/>
                <w:lang w:val="en-US"/>
              </w:rPr>
              <w:t>826</w:t>
            </w:r>
          </w:p>
        </w:tc>
      </w:tr>
      <w:tr w:rsidR="008A5057" w:rsidRPr="00BD295E" w14:paraId="7DD0D57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5E4290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D07BE27"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D169D43"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79BC492" w14:textId="77777777" w:rsidR="005C1246" w:rsidRPr="00BD295E" w:rsidRDefault="005C1246" w:rsidP="00D648DD">
            <w:pPr>
              <w:rPr>
                <w:rFonts w:ascii="Arial" w:hAnsi="Arial" w:cs="Arial"/>
                <w:sz w:val="18"/>
                <w:szCs w:val="18"/>
                <w:lang w:val="en-US"/>
              </w:rPr>
            </w:pPr>
          </w:p>
        </w:tc>
      </w:tr>
      <w:tr w:rsidR="008A5057" w:rsidRPr="00BD295E" w14:paraId="690BCDF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F9A8B4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ASB2l 4Х120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6DCFFAC"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7495921"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3ED1356" w14:textId="15DFC87C"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5,505</w:t>
            </w:r>
            <w:r w:rsidR="00C72D34" w:rsidRPr="00BD295E">
              <w:rPr>
                <w:rFonts w:ascii="Arial" w:hAnsi="Arial" w:cs="Arial"/>
                <w:sz w:val="18"/>
                <w:szCs w:val="18"/>
                <w:lang w:val="en-US"/>
              </w:rPr>
              <w:t>,</w:t>
            </w:r>
            <w:r w:rsidRPr="00BD295E">
              <w:rPr>
                <w:rFonts w:ascii="Arial" w:hAnsi="Arial" w:cs="Arial"/>
                <w:sz w:val="18"/>
                <w:szCs w:val="18"/>
                <w:lang w:val="en-US"/>
              </w:rPr>
              <w:t>955</w:t>
            </w:r>
          </w:p>
        </w:tc>
      </w:tr>
      <w:tr w:rsidR="008A5057" w:rsidRPr="00BD295E" w14:paraId="29760FE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4E9632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88DDAFD"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516CD23"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6C89E85" w14:textId="77777777" w:rsidR="005C1246" w:rsidRPr="00BD295E" w:rsidRDefault="005C1246" w:rsidP="00D648DD">
            <w:pPr>
              <w:rPr>
                <w:rFonts w:ascii="Arial" w:hAnsi="Arial" w:cs="Arial"/>
                <w:sz w:val="18"/>
                <w:szCs w:val="18"/>
                <w:lang w:val="en-US"/>
              </w:rPr>
            </w:pPr>
          </w:p>
        </w:tc>
      </w:tr>
      <w:tr w:rsidR="008A5057" w:rsidRPr="00BD295E" w14:paraId="4F7879D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14C3A7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46B3674"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014D07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98E3448" w14:textId="0004DDF2"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3,932</w:t>
            </w:r>
            <w:r w:rsidR="00C72D34" w:rsidRPr="00BD295E">
              <w:rPr>
                <w:rFonts w:ascii="Arial" w:hAnsi="Arial" w:cs="Arial"/>
                <w:sz w:val="18"/>
                <w:szCs w:val="18"/>
                <w:lang w:val="en-US"/>
              </w:rPr>
              <w:t>,</w:t>
            </w:r>
            <w:r w:rsidRPr="00BD295E">
              <w:rPr>
                <w:rFonts w:ascii="Arial" w:hAnsi="Arial" w:cs="Arial"/>
                <w:sz w:val="18"/>
                <w:szCs w:val="18"/>
                <w:lang w:val="en-US"/>
              </w:rPr>
              <w:t>901</w:t>
            </w:r>
          </w:p>
        </w:tc>
      </w:tr>
      <w:tr w:rsidR="008A5057" w:rsidRPr="00BD295E" w14:paraId="2EA3BAC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BE6CBC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02369C1"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99CE542"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313EE25" w14:textId="77777777" w:rsidR="005C1246" w:rsidRPr="00BD295E" w:rsidRDefault="005C1246" w:rsidP="00D648DD">
            <w:pPr>
              <w:rPr>
                <w:rFonts w:ascii="Arial" w:hAnsi="Arial" w:cs="Arial"/>
                <w:sz w:val="18"/>
                <w:szCs w:val="18"/>
                <w:lang w:val="en-US"/>
              </w:rPr>
            </w:pPr>
          </w:p>
        </w:tc>
      </w:tr>
      <w:tr w:rsidR="008A5057" w:rsidRPr="00BD295E" w14:paraId="6A30776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A40A2F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CB872DB"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B1B444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0182AD7" w14:textId="6813DEDE"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5,506</w:t>
            </w:r>
            <w:r w:rsidR="00C72D34" w:rsidRPr="00BD295E">
              <w:rPr>
                <w:rFonts w:ascii="Arial" w:hAnsi="Arial" w:cs="Arial"/>
                <w:sz w:val="18"/>
                <w:szCs w:val="18"/>
                <w:lang w:val="en-US"/>
              </w:rPr>
              <w:t>,</w:t>
            </w:r>
            <w:r w:rsidRPr="00BD295E">
              <w:rPr>
                <w:rFonts w:ascii="Arial" w:hAnsi="Arial" w:cs="Arial"/>
                <w:sz w:val="18"/>
                <w:szCs w:val="18"/>
                <w:lang w:val="en-US"/>
              </w:rPr>
              <w:t>064</w:t>
            </w:r>
          </w:p>
        </w:tc>
      </w:tr>
      <w:tr w:rsidR="008A5057" w:rsidRPr="00BD295E" w14:paraId="6F2FE2A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060DF6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F67C629"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B2A1F3C"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9FD22E1" w14:textId="77777777" w:rsidR="005C1246" w:rsidRPr="00BD295E" w:rsidRDefault="005C1246" w:rsidP="00D648DD">
            <w:pPr>
              <w:rPr>
                <w:rFonts w:ascii="Arial" w:hAnsi="Arial" w:cs="Arial"/>
                <w:sz w:val="18"/>
                <w:szCs w:val="18"/>
                <w:lang w:val="en-US"/>
              </w:rPr>
            </w:pPr>
          </w:p>
        </w:tc>
      </w:tr>
      <w:tr w:rsidR="008A5057" w:rsidRPr="00BD295E" w14:paraId="0C14F35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B174DD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4Х185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8118F29"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4AE0D3C"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43E7B8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3,932,976</w:t>
            </w:r>
          </w:p>
        </w:tc>
      </w:tr>
      <w:tr w:rsidR="008A5057" w:rsidRPr="00BD295E" w14:paraId="7F46EC9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AC8CEB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4AE0D9B"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44CBAB7"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EA3DC4A" w14:textId="77777777" w:rsidR="005C1246" w:rsidRPr="00BD295E" w:rsidRDefault="005C1246" w:rsidP="00D648DD">
            <w:pPr>
              <w:rPr>
                <w:rFonts w:ascii="Arial" w:hAnsi="Arial" w:cs="Arial"/>
                <w:sz w:val="18"/>
                <w:szCs w:val="18"/>
                <w:lang w:val="en-US"/>
              </w:rPr>
            </w:pPr>
          </w:p>
        </w:tc>
      </w:tr>
      <w:tr w:rsidR="008A5057" w:rsidRPr="00BD295E" w14:paraId="361430D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EEFDB7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4Х185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2C32019"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2B33DF2"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15C1EB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5,506,174</w:t>
            </w:r>
          </w:p>
        </w:tc>
      </w:tr>
      <w:tr w:rsidR="008A5057" w:rsidRPr="00BD295E" w14:paraId="3B3134E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FA2CCC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3979163"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8B176A7"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5B21CFE4" w14:textId="77777777" w:rsidR="005C1246" w:rsidRPr="00BD295E" w:rsidRDefault="005C1246" w:rsidP="00D648DD">
            <w:pPr>
              <w:rPr>
                <w:rFonts w:ascii="Arial" w:hAnsi="Arial" w:cs="Arial"/>
                <w:sz w:val="18"/>
                <w:szCs w:val="18"/>
                <w:lang w:val="en-US"/>
              </w:rPr>
            </w:pPr>
          </w:p>
        </w:tc>
      </w:tr>
      <w:tr w:rsidR="008A5057" w:rsidRPr="00BD295E" w14:paraId="194066C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9C7119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4Х240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4FA332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D8A5270"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E896DA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5,192,322</w:t>
            </w:r>
          </w:p>
        </w:tc>
      </w:tr>
      <w:tr w:rsidR="008A5057" w:rsidRPr="00BD295E" w14:paraId="7BC693B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6B3A23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4638547"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8FCD873"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57087D95" w14:textId="77777777" w:rsidR="005C1246" w:rsidRPr="00BD295E" w:rsidRDefault="005C1246" w:rsidP="00D648DD">
            <w:pPr>
              <w:rPr>
                <w:rFonts w:ascii="Arial" w:hAnsi="Arial" w:cs="Arial"/>
                <w:sz w:val="18"/>
                <w:szCs w:val="18"/>
                <w:lang w:val="en-US"/>
              </w:rPr>
            </w:pPr>
          </w:p>
        </w:tc>
      </w:tr>
      <w:tr w:rsidR="008A5057" w:rsidRPr="00BD295E" w14:paraId="39C2EBD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C1EDF5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4Х240</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76A645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hideMark/>
          </w:tcPr>
          <w:p w14:paraId="67995598"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hideMark/>
          </w:tcPr>
          <w:p w14:paraId="0075943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7,269,246</w:t>
            </w:r>
          </w:p>
        </w:tc>
      </w:tr>
      <w:tr w:rsidR="008A5057" w:rsidRPr="00BD295E" w14:paraId="08FD801E" w14:textId="77777777" w:rsidTr="00D648DD">
        <w:trPr>
          <w:trHeight w:val="25"/>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DD73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955A6E"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hideMark/>
          </w:tcPr>
          <w:p w14:paraId="3EBAE974" w14:textId="77777777" w:rsidR="005C1246" w:rsidRPr="00BD295E" w:rsidRDefault="005C1246" w:rsidP="00D648DD">
            <w:pP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hideMark/>
          </w:tcPr>
          <w:p w14:paraId="239AE986" w14:textId="77777777" w:rsidR="005C1246" w:rsidRPr="00BD295E" w:rsidRDefault="005C1246" w:rsidP="00D648DD">
            <w:pPr>
              <w:rPr>
                <w:rFonts w:ascii="Arial" w:hAnsi="Arial" w:cs="Arial"/>
                <w:sz w:val="18"/>
                <w:szCs w:val="18"/>
                <w:lang w:val="en-US"/>
              </w:rPr>
            </w:pPr>
          </w:p>
        </w:tc>
      </w:tr>
      <w:tr w:rsidR="008A5057" w:rsidRPr="00BD295E" w14:paraId="348B6989" w14:textId="77777777" w:rsidTr="00D648DD">
        <w:trPr>
          <w:trHeight w:val="13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028A87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transformer substations (TS), excluding distribution transformer substations (DTSS) with voltage up to 35 kV</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32D46F9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gridSpan w:val="2"/>
            <w:tcBorders>
              <w:top w:val="single" w:sz="4" w:space="0" w:color="auto"/>
              <w:left w:val="nil"/>
              <w:bottom w:val="single" w:sz="4" w:space="0" w:color="auto"/>
              <w:right w:val="single" w:sz="4" w:space="0" w:color="auto"/>
            </w:tcBorders>
            <w:shd w:val="clear" w:color="auto" w:fill="auto"/>
            <w:vAlign w:val="center"/>
          </w:tcPr>
          <w:p w14:paraId="1ACAE0A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741A6B1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16E4D3B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35C834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1Х63,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F266608"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F25362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19BF3C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14,272</w:t>
            </w:r>
          </w:p>
        </w:tc>
      </w:tr>
      <w:tr w:rsidR="008A5057" w:rsidRPr="00BD295E" w14:paraId="6D3A4A1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39A0D6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80236E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8007AF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579D05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11,302</w:t>
            </w:r>
          </w:p>
        </w:tc>
      </w:tr>
      <w:tr w:rsidR="008A5057" w:rsidRPr="00BD295E" w14:paraId="2B1B537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038F57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1Х160,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42E07E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4F15CB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A7EBCB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7,468</w:t>
            </w:r>
          </w:p>
        </w:tc>
      </w:tr>
      <w:tr w:rsidR="008A5057" w:rsidRPr="00BD295E" w14:paraId="23F367B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25E980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1Х250,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1FC536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817D1F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4DD96E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5,186</w:t>
            </w:r>
          </w:p>
        </w:tc>
      </w:tr>
      <w:tr w:rsidR="008A5057" w:rsidRPr="00BD295E" w14:paraId="0533764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BDF007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1Х400,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520DFE5"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93A1CC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56F985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3,671</w:t>
            </w:r>
          </w:p>
        </w:tc>
      </w:tr>
      <w:tr w:rsidR="008A5057" w:rsidRPr="00BD295E" w14:paraId="3BD50FC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24E531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1Х630,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1D79C5C"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79655E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D6B638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2,974</w:t>
            </w:r>
          </w:p>
        </w:tc>
      </w:tr>
      <w:tr w:rsidR="008A5057" w:rsidRPr="00BD295E" w14:paraId="40AD790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7CA01F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1Х1000,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BB9D93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3CFCCB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5ED038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2,365</w:t>
            </w:r>
          </w:p>
        </w:tc>
      </w:tr>
      <w:tr w:rsidR="008A5057" w:rsidRPr="00BD295E" w14:paraId="6AF4BEF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A0A099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2PTS 2Х63</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E1DE6B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C2857D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2BF964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10,624</w:t>
            </w:r>
          </w:p>
        </w:tc>
      </w:tr>
      <w:tr w:rsidR="008A5057" w:rsidRPr="00BD295E" w14:paraId="61802FC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A4DF04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2PTS 2Х100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B07ADA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09CF18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FEA7B1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8,133</w:t>
            </w:r>
          </w:p>
        </w:tc>
      </w:tr>
      <w:tr w:rsidR="008A5057" w:rsidRPr="00BD295E" w14:paraId="73B4872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DB53DF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2Х160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D16ABFA"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9D09D1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32669C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5,451</w:t>
            </w:r>
          </w:p>
        </w:tc>
      </w:tr>
      <w:tr w:rsidR="008A5057" w:rsidRPr="00BD295E" w14:paraId="4CF92CF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FB2B6A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2Х250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616AF7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F57218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CAD3C8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3,861</w:t>
            </w:r>
          </w:p>
        </w:tc>
      </w:tr>
      <w:tr w:rsidR="008A5057" w:rsidRPr="00BD295E" w14:paraId="54A046F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E3ED2A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2Х400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B25139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86E1C9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34AB8C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2,693</w:t>
            </w:r>
          </w:p>
        </w:tc>
      </w:tr>
      <w:tr w:rsidR="008A5057" w:rsidRPr="00BD295E" w14:paraId="19C5C53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3CE8DC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2Х630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621D94B"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B99EF7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B8433D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2,178</w:t>
            </w:r>
          </w:p>
        </w:tc>
      </w:tr>
      <w:tr w:rsidR="008A5057" w:rsidRPr="00BD295E" w14:paraId="6D6E697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32C214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2Х1000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F06820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7B643F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6595DC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3,791</w:t>
            </w:r>
          </w:p>
        </w:tc>
      </w:tr>
      <w:tr w:rsidR="008A5057" w:rsidRPr="00BD295E" w14:paraId="1A6D2FD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FD1B8F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BB21D45"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B19C0B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6035F5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41,463</w:t>
            </w:r>
          </w:p>
        </w:tc>
      </w:tr>
      <w:tr w:rsidR="008A5057" w:rsidRPr="00BD295E" w14:paraId="1429DD9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9D0735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1X160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CE69C1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5FEE80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F1783D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26,638</w:t>
            </w:r>
          </w:p>
        </w:tc>
      </w:tr>
      <w:tr w:rsidR="008A5057" w:rsidRPr="00BD295E" w14:paraId="374CD06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527E2A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62FA60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D00D6D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44006A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17,980</w:t>
            </w:r>
          </w:p>
        </w:tc>
      </w:tr>
      <w:tr w:rsidR="008A5057" w:rsidRPr="00BD295E" w14:paraId="31953D3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8E4943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1X400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41667FC"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A9FE0E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283B3C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25,362</w:t>
            </w:r>
          </w:p>
        </w:tc>
      </w:tr>
      <w:tr w:rsidR="008A5057" w:rsidRPr="00BD295E" w14:paraId="12E2703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55AA2A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1X630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11FA110"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572B0F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BFBB88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16,669</w:t>
            </w:r>
          </w:p>
        </w:tc>
      </w:tr>
      <w:tr w:rsidR="008A5057" w:rsidRPr="00BD295E" w14:paraId="4A5055E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3F742F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FD11A4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3E91A9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0AEBB3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10,714</w:t>
            </w:r>
          </w:p>
        </w:tc>
      </w:tr>
      <w:tr w:rsidR="008A5057" w:rsidRPr="00BD295E" w14:paraId="619A5E5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6FCC94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AC3655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5148B2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02C613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9,810</w:t>
            </w:r>
          </w:p>
        </w:tc>
      </w:tr>
      <w:tr w:rsidR="008A5057" w:rsidRPr="00BD295E" w14:paraId="72FDF2E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A21DD8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1X1600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03CB7E0"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466BD7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47EE40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3,708</w:t>
            </w:r>
          </w:p>
        </w:tc>
      </w:tr>
      <w:tr w:rsidR="008A5057" w:rsidRPr="00BD295E" w14:paraId="1D54808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35D2B8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85C24DF"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1FF73C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008669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30,918</w:t>
            </w:r>
          </w:p>
        </w:tc>
      </w:tr>
      <w:tr w:rsidR="008A5057" w:rsidRPr="00BD295E" w14:paraId="5355034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DD3AB6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2X160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C64ACD9"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D47CD6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6A0010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19,885</w:t>
            </w:r>
          </w:p>
        </w:tc>
      </w:tr>
      <w:tr w:rsidR="008A5057" w:rsidRPr="00BD295E" w14:paraId="3606760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F6B6D1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74420C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BAB73F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B8C077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13,443</w:t>
            </w:r>
          </w:p>
        </w:tc>
      </w:tr>
      <w:tr w:rsidR="008A5057" w:rsidRPr="00BD295E" w14:paraId="65F23C6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0EBE88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2X400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5445D08"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AB1DB8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43F281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12,185</w:t>
            </w:r>
          </w:p>
        </w:tc>
      </w:tr>
      <w:tr w:rsidR="008A5057" w:rsidRPr="00BD295E" w14:paraId="25B3AA2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904BFF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2X630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644700B"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A8B3A9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A54E3C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8,002</w:t>
            </w:r>
          </w:p>
        </w:tc>
      </w:tr>
      <w:tr w:rsidR="008A5057" w:rsidRPr="00BD295E" w14:paraId="7B90404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893780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C717B6A"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898728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B6EFA9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6,052</w:t>
            </w:r>
          </w:p>
        </w:tc>
      </w:tr>
      <w:tr w:rsidR="008A5057" w:rsidRPr="00BD295E" w14:paraId="1AF24B5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7FDEFC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3E584C9"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723C96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2F2E2C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6,141</w:t>
            </w:r>
          </w:p>
        </w:tc>
      </w:tr>
      <w:tr w:rsidR="008A5057" w:rsidRPr="00BD295E" w14:paraId="6003FED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C408BF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2X1600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34744C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0262DE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3BCE0A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4,484</w:t>
            </w:r>
          </w:p>
        </w:tc>
      </w:tr>
      <w:tr w:rsidR="008A5057" w:rsidRPr="00BD295E" w14:paraId="54B9FBB7" w14:textId="77777777" w:rsidTr="00D648DD">
        <w:trPr>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453C46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С6 Standardized tariff rate to cover expenses for the construction of distribution transformer substations (DTS), with voltage up to 35 kV</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CA2CF3A"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CF4D12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1709241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0DB41E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DFA7D4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2x1000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DA44EC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36E0CA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FE8CBB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21,502</w:t>
            </w:r>
          </w:p>
        </w:tc>
      </w:tr>
      <w:tr w:rsidR="008A5057" w:rsidRPr="00BD295E" w14:paraId="5F899AF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67C3DB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2x1250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7598169"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FC6610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8841E4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18,273</w:t>
            </w:r>
          </w:p>
        </w:tc>
      </w:tr>
      <w:tr w:rsidR="008A5057" w:rsidRPr="00BD295E" w14:paraId="6E07024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D0B29D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4x1000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051A9DF"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7EEBEC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D18DDE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10,854</w:t>
            </w:r>
          </w:p>
        </w:tc>
      </w:tr>
      <w:tr w:rsidR="008A5057" w:rsidRPr="00BD295E" w14:paraId="52C116D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DEF195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4x1250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8ACC7D8"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77B991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BADB9E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9,216</w:t>
            </w:r>
          </w:p>
        </w:tc>
      </w:tr>
      <w:tr w:rsidR="008A5057" w:rsidRPr="00BD295E" w14:paraId="0954138F" w14:textId="77777777" w:rsidTr="00D648DD">
        <w:trPr>
          <w:trHeight w:val="193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5831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Standardized tariff rate to cover expenses for grid connection of power receiving appliances of electricity consumers, electric grid facilities owned by grid companies or other entities, for activities referred to in item 16 (excluding sub-item “b”) of the Guidelines</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D27BB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14:paraId="53E1196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D999E1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39,420</w:t>
            </w:r>
          </w:p>
        </w:tc>
      </w:tr>
      <w:tr w:rsidR="008A5057" w:rsidRPr="00BD295E" w14:paraId="28C9DB38"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97F180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BC8F45F"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753ACD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301B77A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23,370</w:t>
            </w:r>
          </w:p>
        </w:tc>
      </w:tr>
      <w:tr w:rsidR="008A5057" w:rsidRPr="00BD295E" w14:paraId="1A4AA6A2"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2EBCAD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’s compliance with technical specifications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AD239C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DFE872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68943F3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16,050</w:t>
            </w:r>
          </w:p>
        </w:tc>
      </w:tr>
      <w:tr w:rsidR="008A5057" w:rsidRPr="00BD295E" w14:paraId="50BCA9E3"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CE7536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overhead power lines per 1 km of the line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177FD0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nil"/>
              <w:right w:val="single" w:sz="4" w:space="0" w:color="auto"/>
            </w:tcBorders>
            <w:shd w:val="clear" w:color="auto" w:fill="auto"/>
            <w:vAlign w:val="center"/>
            <w:hideMark/>
          </w:tcPr>
          <w:p w14:paraId="433392A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2C8DA34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75F325F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0CE48E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3 1х35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4D06F4F"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nil"/>
              <w:right w:val="single" w:sz="4" w:space="0" w:color="auto"/>
            </w:tcBorders>
            <w:shd w:val="clear" w:color="auto" w:fill="auto"/>
            <w:vAlign w:val="center"/>
            <w:hideMark/>
          </w:tcPr>
          <w:p w14:paraId="3B4B00F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4771DB3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1,196,306</w:t>
            </w:r>
          </w:p>
        </w:tc>
      </w:tr>
      <w:tr w:rsidR="008A5057" w:rsidRPr="00BD295E" w14:paraId="4AB8767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C03766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3 1х50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BE21DF6"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nil"/>
              <w:right w:val="single" w:sz="4" w:space="0" w:color="auto"/>
            </w:tcBorders>
            <w:shd w:val="clear" w:color="auto" w:fill="auto"/>
            <w:vAlign w:val="center"/>
            <w:hideMark/>
          </w:tcPr>
          <w:p w14:paraId="2CA470B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3B83CF6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1,216,507</w:t>
            </w:r>
          </w:p>
        </w:tc>
      </w:tr>
      <w:tr w:rsidR="008A5057" w:rsidRPr="00BD295E" w14:paraId="7581567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1A66B9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3 1х70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87AFD1E"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nil"/>
              <w:right w:val="single" w:sz="4" w:space="0" w:color="auto"/>
            </w:tcBorders>
            <w:shd w:val="clear" w:color="auto" w:fill="auto"/>
            <w:vAlign w:val="center"/>
            <w:hideMark/>
          </w:tcPr>
          <w:p w14:paraId="714D194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35CF872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1,265,279</w:t>
            </w:r>
          </w:p>
        </w:tc>
      </w:tr>
      <w:tr w:rsidR="008A5057" w:rsidRPr="00BD295E" w14:paraId="50AAB2B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DDEBE8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3 1х95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5408DAC"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nil"/>
              <w:right w:val="single" w:sz="4" w:space="0" w:color="auto"/>
            </w:tcBorders>
            <w:shd w:val="clear" w:color="auto" w:fill="auto"/>
            <w:vAlign w:val="center"/>
            <w:hideMark/>
          </w:tcPr>
          <w:p w14:paraId="7887DBB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0F0512B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1,326,229</w:t>
            </w:r>
          </w:p>
        </w:tc>
      </w:tr>
      <w:tr w:rsidR="008A5057" w:rsidRPr="00BD295E" w14:paraId="1067C19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F96187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3 1х120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C34E00C"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nil"/>
              <w:right w:val="single" w:sz="4" w:space="0" w:color="auto"/>
            </w:tcBorders>
            <w:shd w:val="clear" w:color="auto" w:fill="auto"/>
            <w:vAlign w:val="center"/>
            <w:hideMark/>
          </w:tcPr>
          <w:p w14:paraId="1384184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4DA3650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1,374,707</w:t>
            </w:r>
          </w:p>
        </w:tc>
      </w:tr>
      <w:tr w:rsidR="008A5057" w:rsidRPr="00BD295E" w14:paraId="1FF0370F"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779B37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cable lines per 1 km of the line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2E6A344"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nil"/>
              <w:right w:val="single" w:sz="4" w:space="0" w:color="auto"/>
            </w:tcBorders>
            <w:shd w:val="clear" w:color="auto" w:fill="auto"/>
            <w:vAlign w:val="center"/>
            <w:hideMark/>
          </w:tcPr>
          <w:p w14:paraId="351222A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13C8F87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11EF267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D7D07C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0A02228"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4B093C"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BAE1F2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2,376,383</w:t>
            </w:r>
          </w:p>
        </w:tc>
      </w:tr>
      <w:tr w:rsidR="008A5057" w:rsidRPr="00BD295E" w14:paraId="4488C96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EA4702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56EC9AE" w14:textId="77777777" w:rsidR="005C1246" w:rsidRPr="00BD295E" w:rsidRDefault="005C1246" w:rsidP="00D648DD">
            <w:pPr>
              <w:rPr>
                <w:rFonts w:ascii="Arial" w:hAnsi="Arial" w:cs="Arial"/>
                <w:sz w:val="18"/>
                <w:szCs w:val="18"/>
                <w:lang w:val="en-US"/>
              </w:rPr>
            </w:pPr>
          </w:p>
        </w:tc>
        <w:tc>
          <w:tcPr>
            <w:tcW w:w="99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3BDF52"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1F30EB9" w14:textId="77777777" w:rsidR="005C1246" w:rsidRPr="00BD295E" w:rsidRDefault="005C1246" w:rsidP="00D648DD">
            <w:pPr>
              <w:rPr>
                <w:rFonts w:ascii="Arial" w:hAnsi="Arial" w:cs="Arial"/>
                <w:sz w:val="18"/>
                <w:szCs w:val="18"/>
                <w:lang w:val="en-US"/>
              </w:rPr>
            </w:pPr>
          </w:p>
        </w:tc>
      </w:tr>
      <w:tr w:rsidR="008A5057" w:rsidRPr="00BD295E" w14:paraId="4ABE2CB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EA3CB2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CB5D40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695406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6D594E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4,292,700</w:t>
            </w:r>
          </w:p>
        </w:tc>
      </w:tr>
      <w:tr w:rsidR="008A5057" w:rsidRPr="00BD295E" w14:paraId="4AED376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CC58D2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1C48E2C"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C8EFDA2"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4A50CEB" w14:textId="77777777" w:rsidR="005C1246" w:rsidRPr="00BD295E" w:rsidRDefault="005C1246" w:rsidP="00D648DD">
            <w:pPr>
              <w:rPr>
                <w:rFonts w:ascii="Arial" w:hAnsi="Arial" w:cs="Arial"/>
                <w:sz w:val="18"/>
                <w:szCs w:val="18"/>
                <w:lang w:val="en-US"/>
              </w:rPr>
            </w:pPr>
          </w:p>
        </w:tc>
      </w:tr>
      <w:tr w:rsidR="008A5057" w:rsidRPr="00BD295E" w14:paraId="7942112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9739F2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3х120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3AD2CC7"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59B9C12"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DBF26D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2,905,166</w:t>
            </w:r>
          </w:p>
        </w:tc>
      </w:tr>
      <w:tr w:rsidR="008A5057" w:rsidRPr="00BD295E" w14:paraId="68514F8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699A39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F26CE1E"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EBE607E"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8888489" w14:textId="77777777" w:rsidR="005C1246" w:rsidRPr="00BD295E" w:rsidRDefault="005C1246" w:rsidP="00D648DD">
            <w:pPr>
              <w:rPr>
                <w:rFonts w:ascii="Arial" w:hAnsi="Arial" w:cs="Arial"/>
                <w:sz w:val="18"/>
                <w:szCs w:val="18"/>
                <w:lang w:val="en-US"/>
              </w:rPr>
            </w:pPr>
          </w:p>
        </w:tc>
      </w:tr>
      <w:tr w:rsidR="008A5057" w:rsidRPr="00BD295E" w14:paraId="0F339B0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2653DD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3х120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1016F37"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F14673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CC8D22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5,268,788</w:t>
            </w:r>
          </w:p>
        </w:tc>
      </w:tr>
      <w:tr w:rsidR="008A5057" w:rsidRPr="00BD295E" w14:paraId="4BA3525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9CE57F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C11A06F"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B4485E9"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ED20F57" w14:textId="77777777" w:rsidR="005C1246" w:rsidRPr="00BD295E" w:rsidRDefault="005C1246" w:rsidP="00D648DD">
            <w:pPr>
              <w:rPr>
                <w:rFonts w:ascii="Arial" w:hAnsi="Arial" w:cs="Arial"/>
                <w:sz w:val="18"/>
                <w:szCs w:val="18"/>
                <w:lang w:val="en-US"/>
              </w:rPr>
            </w:pPr>
          </w:p>
        </w:tc>
      </w:tr>
      <w:tr w:rsidR="008A5057" w:rsidRPr="00BD295E" w14:paraId="7C9254B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39A0C3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7D2D665"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E77C0A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3277A7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3,362,332</w:t>
            </w:r>
          </w:p>
        </w:tc>
      </w:tr>
      <w:tr w:rsidR="008A5057" w:rsidRPr="00BD295E" w14:paraId="59F076B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4C7D0E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0A54C23"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7066B2FA"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EED1FFA" w14:textId="77777777" w:rsidR="005C1246" w:rsidRPr="00BD295E" w:rsidRDefault="005C1246" w:rsidP="00D648DD">
            <w:pPr>
              <w:rPr>
                <w:rFonts w:ascii="Arial" w:hAnsi="Arial" w:cs="Arial"/>
                <w:sz w:val="18"/>
                <w:szCs w:val="18"/>
                <w:lang w:val="en-US"/>
              </w:rPr>
            </w:pPr>
          </w:p>
        </w:tc>
      </w:tr>
      <w:tr w:rsidR="008A5057" w:rsidRPr="00BD295E" w14:paraId="57784C7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907FDF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2A797C5"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27637B6"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C43FE1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5,688,854</w:t>
            </w:r>
          </w:p>
        </w:tc>
      </w:tr>
      <w:tr w:rsidR="008A5057" w:rsidRPr="00BD295E" w14:paraId="4E15961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D1A586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6BE6C31"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249688B"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53C870C" w14:textId="77777777" w:rsidR="005C1246" w:rsidRPr="00BD295E" w:rsidRDefault="005C1246" w:rsidP="00D648DD">
            <w:pPr>
              <w:rPr>
                <w:rFonts w:ascii="Arial" w:hAnsi="Arial" w:cs="Arial"/>
                <w:sz w:val="18"/>
                <w:szCs w:val="18"/>
                <w:lang w:val="en-US"/>
              </w:rPr>
            </w:pPr>
          </w:p>
        </w:tc>
      </w:tr>
      <w:tr w:rsidR="008A5057" w:rsidRPr="00BD295E" w14:paraId="18A798D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D2B320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3Х185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D2A987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6292033"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2C4F2E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3,465,987</w:t>
            </w:r>
          </w:p>
        </w:tc>
      </w:tr>
      <w:tr w:rsidR="008A5057" w:rsidRPr="00BD295E" w14:paraId="2D9205D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09EE21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A548DD6"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8D1F96C"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A5A844A" w14:textId="77777777" w:rsidR="005C1246" w:rsidRPr="00BD295E" w:rsidRDefault="005C1246" w:rsidP="00D648DD">
            <w:pPr>
              <w:rPr>
                <w:rFonts w:ascii="Arial" w:hAnsi="Arial" w:cs="Arial"/>
                <w:sz w:val="18"/>
                <w:szCs w:val="18"/>
                <w:lang w:val="en-US"/>
              </w:rPr>
            </w:pPr>
          </w:p>
        </w:tc>
      </w:tr>
      <w:tr w:rsidR="008A5057" w:rsidRPr="00BD295E" w14:paraId="20B7D4A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55F6E5B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3Х185</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7BD78ACC"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16F4B4D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44CA51F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6,371768</w:t>
            </w:r>
          </w:p>
        </w:tc>
      </w:tr>
      <w:tr w:rsidR="008A5057" w:rsidRPr="00BD295E" w14:paraId="3B3EE2B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4766465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39A63800"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38BF2627" w14:textId="77777777" w:rsidR="005C1246" w:rsidRPr="00BD295E" w:rsidRDefault="005C1246" w:rsidP="00D648DD">
            <w:pPr>
              <w:jc w:val="cente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18276AF4" w14:textId="77777777" w:rsidR="005C1246" w:rsidRPr="00BD295E" w:rsidRDefault="005C1246" w:rsidP="00D648DD">
            <w:pPr>
              <w:jc w:val="right"/>
              <w:rPr>
                <w:rFonts w:ascii="Arial" w:hAnsi="Arial" w:cs="Arial"/>
                <w:sz w:val="18"/>
                <w:szCs w:val="18"/>
                <w:lang w:val="en-US"/>
              </w:rPr>
            </w:pPr>
          </w:p>
        </w:tc>
      </w:tr>
      <w:tr w:rsidR="008A5057" w:rsidRPr="00BD295E" w14:paraId="0D39A6E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68D4D2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3Х240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5D642AA"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7C837B8"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70E5E0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3,783,095</w:t>
            </w:r>
          </w:p>
        </w:tc>
      </w:tr>
      <w:tr w:rsidR="008A5057" w:rsidRPr="00BD295E" w14:paraId="0B38CE2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7C5CC6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A3E8FDC"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D21D70B"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6439F08" w14:textId="77777777" w:rsidR="005C1246" w:rsidRPr="00BD295E" w:rsidRDefault="005C1246" w:rsidP="00D648DD">
            <w:pPr>
              <w:rPr>
                <w:rFonts w:ascii="Arial" w:hAnsi="Arial" w:cs="Arial"/>
                <w:sz w:val="18"/>
                <w:szCs w:val="18"/>
                <w:lang w:val="en-US"/>
              </w:rPr>
            </w:pPr>
          </w:p>
        </w:tc>
      </w:tr>
      <w:tr w:rsidR="008A5057" w:rsidRPr="00BD295E" w14:paraId="3BF30FC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D4A46C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3Х240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589FD22"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9C0EE12"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97A17E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7,383,727</w:t>
            </w:r>
          </w:p>
        </w:tc>
      </w:tr>
      <w:tr w:rsidR="008A5057" w:rsidRPr="00BD295E" w14:paraId="7D9AE9E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6B1BEA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BEBF9B1"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6D6B9DE"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6A546D3" w14:textId="77777777" w:rsidR="005C1246" w:rsidRPr="00BD295E" w:rsidRDefault="005C1246" w:rsidP="00D648DD">
            <w:pPr>
              <w:rPr>
                <w:rFonts w:ascii="Arial" w:hAnsi="Arial" w:cs="Arial"/>
                <w:sz w:val="18"/>
                <w:szCs w:val="18"/>
                <w:lang w:val="en-US"/>
              </w:rPr>
            </w:pPr>
          </w:p>
        </w:tc>
      </w:tr>
      <w:tr w:rsidR="008A5057" w:rsidRPr="00BD295E" w14:paraId="110BE55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B0D7B7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3(1х120/50)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F4792C7"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7D69563"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E2DE08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2,905,146</w:t>
            </w:r>
          </w:p>
        </w:tc>
      </w:tr>
      <w:tr w:rsidR="008A5057" w:rsidRPr="00BD295E" w14:paraId="61FF6CC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06A71A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E970A34"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636F545D"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1046E12" w14:textId="77777777" w:rsidR="005C1246" w:rsidRPr="00BD295E" w:rsidRDefault="005C1246" w:rsidP="00D648DD">
            <w:pPr>
              <w:rPr>
                <w:rFonts w:ascii="Arial" w:hAnsi="Arial" w:cs="Arial"/>
                <w:sz w:val="18"/>
                <w:szCs w:val="18"/>
                <w:lang w:val="en-US"/>
              </w:rPr>
            </w:pPr>
          </w:p>
        </w:tc>
      </w:tr>
      <w:tr w:rsidR="008A5057" w:rsidRPr="00BD295E" w14:paraId="06899FC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EFDBA2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3(1х120/50)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6DB6787"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A1F551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F107C9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5,708,555</w:t>
            </w:r>
          </w:p>
        </w:tc>
      </w:tr>
      <w:tr w:rsidR="008A5057" w:rsidRPr="00BD295E" w14:paraId="3E05B5D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8C2673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4FF4483"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FF415A7"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1EF8D1E" w14:textId="77777777" w:rsidR="005C1246" w:rsidRPr="00BD295E" w:rsidRDefault="005C1246" w:rsidP="00D648DD">
            <w:pPr>
              <w:rPr>
                <w:rFonts w:ascii="Arial" w:hAnsi="Arial" w:cs="Arial"/>
                <w:sz w:val="18"/>
                <w:szCs w:val="18"/>
                <w:lang w:val="en-US"/>
              </w:rPr>
            </w:pPr>
          </w:p>
        </w:tc>
      </w:tr>
      <w:tr w:rsidR="008A5057" w:rsidRPr="00BD295E" w14:paraId="29D10FC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C1E52F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3(1х70/50)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262E292"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69ABE1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97BB4B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2,455,512</w:t>
            </w:r>
          </w:p>
        </w:tc>
      </w:tr>
      <w:tr w:rsidR="008A5057" w:rsidRPr="00BD295E" w14:paraId="5337BA3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456EE5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602E137"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786D1BF"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A297343" w14:textId="77777777" w:rsidR="005C1246" w:rsidRPr="00BD295E" w:rsidRDefault="005C1246" w:rsidP="00D648DD">
            <w:pPr>
              <w:rPr>
                <w:rFonts w:ascii="Arial" w:hAnsi="Arial" w:cs="Arial"/>
                <w:sz w:val="18"/>
                <w:szCs w:val="18"/>
                <w:lang w:val="en-US"/>
              </w:rPr>
            </w:pPr>
          </w:p>
        </w:tc>
      </w:tr>
      <w:tr w:rsidR="008A5057" w:rsidRPr="00BD295E" w14:paraId="292C9EA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BF09B6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3(1х70/50)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8860E03"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9D47C41"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7AFAA7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4,438,766</w:t>
            </w:r>
          </w:p>
        </w:tc>
      </w:tr>
      <w:tr w:rsidR="008A5057" w:rsidRPr="00BD295E" w14:paraId="1DAACD1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FCF68A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2EF7FED"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790B8115"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964089A" w14:textId="77777777" w:rsidR="005C1246" w:rsidRPr="00BD295E" w:rsidRDefault="005C1246" w:rsidP="00D648DD">
            <w:pPr>
              <w:rPr>
                <w:rFonts w:ascii="Arial" w:hAnsi="Arial" w:cs="Arial"/>
                <w:sz w:val="18"/>
                <w:szCs w:val="18"/>
                <w:lang w:val="en-US"/>
              </w:rPr>
            </w:pPr>
          </w:p>
        </w:tc>
      </w:tr>
      <w:tr w:rsidR="008A5057" w:rsidRPr="00BD295E" w14:paraId="52CB2AF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C8AE0B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3(1х120/70)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6DAD160"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39F1902"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98F1FF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2,905,146</w:t>
            </w:r>
          </w:p>
        </w:tc>
      </w:tr>
      <w:tr w:rsidR="008A5057" w:rsidRPr="00BD295E" w14:paraId="0BB6709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73B26F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35262D1"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AA5AF49"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14268AD" w14:textId="77777777" w:rsidR="005C1246" w:rsidRPr="00BD295E" w:rsidRDefault="005C1246" w:rsidP="00D648DD">
            <w:pPr>
              <w:rPr>
                <w:rFonts w:ascii="Arial" w:hAnsi="Arial" w:cs="Arial"/>
                <w:sz w:val="18"/>
                <w:szCs w:val="18"/>
                <w:lang w:val="en-US"/>
              </w:rPr>
            </w:pPr>
          </w:p>
        </w:tc>
      </w:tr>
      <w:tr w:rsidR="008A5057" w:rsidRPr="00BD295E" w14:paraId="2F78A77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1093B9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3(1х120/70)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A403D05"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D71939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93849E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5,708,555</w:t>
            </w:r>
          </w:p>
        </w:tc>
      </w:tr>
      <w:tr w:rsidR="008A5057" w:rsidRPr="00BD295E" w14:paraId="38E2C97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2BC898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5F57E20"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5F4694B"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C7829A7" w14:textId="77777777" w:rsidR="005C1246" w:rsidRPr="00BD295E" w:rsidRDefault="005C1246" w:rsidP="00D648DD">
            <w:pPr>
              <w:rPr>
                <w:rFonts w:ascii="Arial" w:hAnsi="Arial" w:cs="Arial"/>
                <w:sz w:val="18"/>
                <w:szCs w:val="18"/>
                <w:lang w:val="en-US"/>
              </w:rPr>
            </w:pPr>
          </w:p>
        </w:tc>
      </w:tr>
      <w:tr w:rsidR="008A5057" w:rsidRPr="00BD295E" w14:paraId="2A6CF42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F58370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3(1х150/50)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6448627"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DDB420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F81322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3,322,462</w:t>
            </w:r>
          </w:p>
        </w:tc>
      </w:tr>
      <w:tr w:rsidR="008A5057" w:rsidRPr="00BD295E" w14:paraId="5A117A5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0E05A8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9FDFABC"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F88C448"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CDECAA9" w14:textId="77777777" w:rsidR="005C1246" w:rsidRPr="00BD295E" w:rsidRDefault="005C1246" w:rsidP="00D648DD">
            <w:pPr>
              <w:rPr>
                <w:rFonts w:ascii="Arial" w:hAnsi="Arial" w:cs="Arial"/>
                <w:sz w:val="18"/>
                <w:szCs w:val="18"/>
                <w:lang w:val="en-US"/>
              </w:rPr>
            </w:pPr>
          </w:p>
        </w:tc>
      </w:tr>
      <w:tr w:rsidR="008A5057" w:rsidRPr="00BD295E" w14:paraId="30AF887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B8EC68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3(1х150/50)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F63E77D"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6B47F5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5866A7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6,544,395</w:t>
            </w:r>
          </w:p>
        </w:tc>
      </w:tr>
      <w:tr w:rsidR="008A5057" w:rsidRPr="00BD295E" w14:paraId="459657A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911FA6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1C0AA86"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775A8D60"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7EE8CA4" w14:textId="77777777" w:rsidR="005C1246" w:rsidRPr="00BD295E" w:rsidRDefault="005C1246" w:rsidP="00D648DD">
            <w:pPr>
              <w:rPr>
                <w:rFonts w:ascii="Arial" w:hAnsi="Arial" w:cs="Arial"/>
                <w:sz w:val="18"/>
                <w:szCs w:val="18"/>
                <w:lang w:val="en-US"/>
              </w:rPr>
            </w:pPr>
          </w:p>
        </w:tc>
      </w:tr>
      <w:tr w:rsidR="008A5057" w:rsidRPr="00BD295E" w14:paraId="7508294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3AD86F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3(1х185/50)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31FC81D"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54CC938"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DD0242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3,568,318</w:t>
            </w:r>
          </w:p>
        </w:tc>
      </w:tr>
      <w:tr w:rsidR="008A5057" w:rsidRPr="00BD295E" w14:paraId="3EEE17D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524C10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E0E8FA5"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FA9A62E"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A58E24A" w14:textId="77777777" w:rsidR="005C1246" w:rsidRPr="00BD295E" w:rsidRDefault="005C1246" w:rsidP="00D648DD">
            <w:pPr>
              <w:rPr>
                <w:rFonts w:ascii="Arial" w:hAnsi="Arial" w:cs="Arial"/>
                <w:sz w:val="18"/>
                <w:szCs w:val="18"/>
                <w:lang w:val="en-US"/>
              </w:rPr>
            </w:pPr>
          </w:p>
        </w:tc>
      </w:tr>
      <w:tr w:rsidR="008A5057" w:rsidRPr="00BD295E" w14:paraId="3D86098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F15366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3(1х185/50)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BD4AFBB"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966A07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12758C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7,034,899</w:t>
            </w:r>
          </w:p>
        </w:tc>
      </w:tr>
      <w:tr w:rsidR="008A5057" w:rsidRPr="00BD295E" w14:paraId="4C317CE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A27AF0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F732BA3"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05DE29C"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CCB3EB4" w14:textId="77777777" w:rsidR="005C1246" w:rsidRPr="00BD295E" w:rsidRDefault="005C1246" w:rsidP="00D648DD">
            <w:pPr>
              <w:rPr>
                <w:rFonts w:ascii="Arial" w:hAnsi="Arial" w:cs="Arial"/>
                <w:sz w:val="18"/>
                <w:szCs w:val="18"/>
                <w:lang w:val="en-US"/>
              </w:rPr>
            </w:pPr>
          </w:p>
        </w:tc>
      </w:tr>
      <w:tr w:rsidR="008A5057" w:rsidRPr="00BD295E" w14:paraId="6A72237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19140A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C68EF06"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0A69C2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2C1A8B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3,783,095</w:t>
            </w:r>
          </w:p>
        </w:tc>
      </w:tr>
      <w:tr w:rsidR="008A5057" w:rsidRPr="00BD295E" w14:paraId="23F1307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7C73B7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13FFBCB"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EAB9F38"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59080694" w14:textId="77777777" w:rsidR="005C1246" w:rsidRPr="00BD295E" w:rsidRDefault="005C1246" w:rsidP="00D648DD">
            <w:pPr>
              <w:rPr>
                <w:rFonts w:ascii="Arial" w:hAnsi="Arial" w:cs="Arial"/>
                <w:sz w:val="18"/>
                <w:szCs w:val="18"/>
                <w:lang w:val="en-US"/>
              </w:rPr>
            </w:pPr>
          </w:p>
        </w:tc>
      </w:tr>
      <w:tr w:rsidR="008A5057" w:rsidRPr="00BD295E" w14:paraId="0DD540D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6DBF5E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F75881D"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AF3C1A4"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45862D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7,383,727</w:t>
            </w:r>
          </w:p>
        </w:tc>
      </w:tr>
      <w:tr w:rsidR="008A5057" w:rsidRPr="00BD295E" w14:paraId="1BBA2B4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924D39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4D71CA2"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6B722A39"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5CAAF77" w14:textId="77777777" w:rsidR="005C1246" w:rsidRPr="00BD295E" w:rsidRDefault="005C1246" w:rsidP="00D648DD">
            <w:pPr>
              <w:rPr>
                <w:rFonts w:ascii="Arial" w:hAnsi="Arial" w:cs="Arial"/>
                <w:sz w:val="18"/>
                <w:szCs w:val="18"/>
                <w:lang w:val="en-US"/>
              </w:rPr>
            </w:pPr>
          </w:p>
        </w:tc>
      </w:tr>
      <w:tr w:rsidR="008A5057" w:rsidRPr="00BD295E" w14:paraId="521CE41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01BA58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FA9F83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6A55850"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039BD3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3,783,095</w:t>
            </w:r>
          </w:p>
        </w:tc>
      </w:tr>
      <w:tr w:rsidR="008A5057" w:rsidRPr="00BD295E" w14:paraId="1475C85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967ED0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2FDCE42"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DDE9F35"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08E76F1" w14:textId="77777777" w:rsidR="005C1246" w:rsidRPr="00BD295E" w:rsidRDefault="005C1246" w:rsidP="00D648DD">
            <w:pPr>
              <w:rPr>
                <w:rFonts w:ascii="Arial" w:hAnsi="Arial" w:cs="Arial"/>
                <w:sz w:val="18"/>
                <w:szCs w:val="18"/>
                <w:lang w:val="en-US"/>
              </w:rPr>
            </w:pPr>
          </w:p>
        </w:tc>
      </w:tr>
      <w:tr w:rsidR="008A5057" w:rsidRPr="00BD295E" w14:paraId="0F9E78D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594058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AA3F36B"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EBE0346"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A905F2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7,464,453</w:t>
            </w:r>
          </w:p>
        </w:tc>
      </w:tr>
      <w:tr w:rsidR="008A5057" w:rsidRPr="00BD295E" w14:paraId="24FF3DC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D8F842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5CD01FE"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74D2277D"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D41EBC8" w14:textId="77777777" w:rsidR="005C1246" w:rsidRPr="00BD295E" w:rsidRDefault="005C1246" w:rsidP="00D648DD">
            <w:pPr>
              <w:rPr>
                <w:rFonts w:ascii="Arial" w:hAnsi="Arial" w:cs="Arial"/>
                <w:sz w:val="18"/>
                <w:szCs w:val="18"/>
                <w:lang w:val="en-US"/>
              </w:rPr>
            </w:pPr>
          </w:p>
        </w:tc>
      </w:tr>
      <w:tr w:rsidR="008A5057" w:rsidRPr="00BD295E" w14:paraId="3911522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EF2119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3(1х300/70)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79A02A8"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A64CC6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802A8C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4,038,585</w:t>
            </w:r>
          </w:p>
        </w:tc>
      </w:tr>
      <w:tr w:rsidR="008A5057" w:rsidRPr="00BD295E" w14:paraId="59A6D6E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888772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6510C95"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7E5C870B"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EB5A5CF" w14:textId="77777777" w:rsidR="005C1246" w:rsidRPr="00BD295E" w:rsidRDefault="005C1246" w:rsidP="00D648DD">
            <w:pPr>
              <w:rPr>
                <w:rFonts w:ascii="Arial" w:hAnsi="Arial" w:cs="Arial"/>
                <w:sz w:val="18"/>
                <w:szCs w:val="18"/>
                <w:lang w:val="en-US"/>
              </w:rPr>
            </w:pPr>
          </w:p>
        </w:tc>
      </w:tr>
      <w:tr w:rsidR="008A5057" w:rsidRPr="00BD295E" w14:paraId="41673B6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090556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3(1х300/70)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C2954AA"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8A1EE8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74872C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7,976,641</w:t>
            </w:r>
          </w:p>
        </w:tc>
      </w:tr>
      <w:tr w:rsidR="008A5057" w:rsidRPr="00BD295E" w14:paraId="0210869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05F418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161A0B9"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95FBA64"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587E585B" w14:textId="77777777" w:rsidR="005C1246" w:rsidRPr="00BD295E" w:rsidRDefault="005C1246" w:rsidP="00D648DD">
            <w:pPr>
              <w:rPr>
                <w:rFonts w:ascii="Arial" w:hAnsi="Arial" w:cs="Arial"/>
                <w:sz w:val="18"/>
                <w:szCs w:val="18"/>
                <w:lang w:val="en-US"/>
              </w:rPr>
            </w:pPr>
          </w:p>
        </w:tc>
      </w:tr>
      <w:tr w:rsidR="008A5057" w:rsidRPr="00BD295E" w14:paraId="337EA02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F07CEB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3(1х400/70)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991C1A8"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7BF3AF2"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E454BE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4,687,688</w:t>
            </w:r>
          </w:p>
        </w:tc>
      </w:tr>
      <w:tr w:rsidR="008A5057" w:rsidRPr="00BD295E" w14:paraId="4920BC2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BD30F4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AFEBE9D"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69E34501"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EDB2B80" w14:textId="77777777" w:rsidR="005C1246" w:rsidRPr="00BD295E" w:rsidRDefault="005C1246" w:rsidP="00D648DD">
            <w:pPr>
              <w:rPr>
                <w:rFonts w:ascii="Arial" w:hAnsi="Arial" w:cs="Arial"/>
                <w:sz w:val="18"/>
                <w:szCs w:val="18"/>
                <w:lang w:val="en-US"/>
              </w:rPr>
            </w:pPr>
          </w:p>
        </w:tc>
      </w:tr>
      <w:tr w:rsidR="008A5057" w:rsidRPr="00BD295E" w14:paraId="7EA96C8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7DFA25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3(1х400/70)</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96328CA"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hideMark/>
          </w:tcPr>
          <w:p w14:paraId="5C2090A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hideMark/>
          </w:tcPr>
          <w:p w14:paraId="685ACE4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9,274,846</w:t>
            </w:r>
          </w:p>
        </w:tc>
      </w:tr>
      <w:tr w:rsidR="008A5057" w:rsidRPr="00BD295E" w14:paraId="7B967A6D" w14:textId="77777777" w:rsidTr="00D648DD">
        <w:trPr>
          <w:trHeight w:val="288"/>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5BAA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C7893E"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hideMark/>
          </w:tcPr>
          <w:p w14:paraId="23E8D5CF" w14:textId="77777777" w:rsidR="005C1246" w:rsidRPr="00BD295E" w:rsidRDefault="005C1246" w:rsidP="00D648DD">
            <w:pP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hideMark/>
          </w:tcPr>
          <w:p w14:paraId="365F2836" w14:textId="77777777" w:rsidR="005C1246" w:rsidRPr="00BD295E" w:rsidRDefault="005C1246" w:rsidP="00D648DD">
            <w:pPr>
              <w:rPr>
                <w:rFonts w:ascii="Arial" w:hAnsi="Arial" w:cs="Arial"/>
                <w:sz w:val="18"/>
                <w:szCs w:val="18"/>
                <w:lang w:val="en-US"/>
              </w:rPr>
            </w:pPr>
          </w:p>
        </w:tc>
      </w:tr>
      <w:tr w:rsidR="008A5057" w:rsidRPr="00BD295E" w14:paraId="3BE5C80D" w14:textId="77777777" w:rsidTr="00D648DD">
        <w:trPr>
          <w:trHeight w:val="1380"/>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E3AD7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transformer substations (TS), excluding distribution transformer substations (DTS) with voltage up to 35 kV</w:t>
            </w:r>
          </w:p>
        </w:tc>
        <w:tc>
          <w:tcPr>
            <w:tcW w:w="170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783AB63"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14:paraId="1152F56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69CE40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2F3F2D0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93861D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1Х63,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30DEA5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7E2F94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981AFB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14,272</w:t>
            </w:r>
          </w:p>
        </w:tc>
      </w:tr>
      <w:tr w:rsidR="008A5057" w:rsidRPr="00BD295E" w14:paraId="30114C6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5AEC00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C08C02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6BF7CB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B1F6FC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11,302</w:t>
            </w:r>
          </w:p>
        </w:tc>
      </w:tr>
      <w:tr w:rsidR="008A5057" w:rsidRPr="00BD295E" w14:paraId="1E12569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2AD4DD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1Х160,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D90B21B"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30DB70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034A10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7,468</w:t>
            </w:r>
          </w:p>
        </w:tc>
      </w:tr>
      <w:tr w:rsidR="008A5057" w:rsidRPr="00BD295E" w14:paraId="47AE1D9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08FEE6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1Х250,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CB9338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7FA29D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32403A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5,186</w:t>
            </w:r>
          </w:p>
        </w:tc>
      </w:tr>
      <w:tr w:rsidR="008A5057" w:rsidRPr="00BD295E" w14:paraId="5F0933E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DB26C4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1Х400,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0F160CC"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71B4D2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D6B78E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3,671</w:t>
            </w:r>
          </w:p>
        </w:tc>
      </w:tr>
      <w:tr w:rsidR="008A5057" w:rsidRPr="00BD295E" w14:paraId="5F5E9E0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F19929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1Х630,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3198AF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5F5E78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5C0C55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2,974</w:t>
            </w:r>
          </w:p>
        </w:tc>
      </w:tr>
      <w:tr w:rsidR="008A5057" w:rsidRPr="00BD295E" w14:paraId="72803C0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BE03D3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1Х1000,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499514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8D0ED8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2347BD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2,365</w:t>
            </w:r>
          </w:p>
        </w:tc>
      </w:tr>
      <w:tr w:rsidR="008A5057" w:rsidRPr="00BD295E" w14:paraId="716B049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C8CA11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2PTS 2Х63</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A0D4F50"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BA8AD5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10ED76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10,624</w:t>
            </w:r>
          </w:p>
        </w:tc>
      </w:tr>
      <w:tr w:rsidR="008A5057" w:rsidRPr="00BD295E" w14:paraId="22C72A5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19C74E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2PTS 2Х100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A3D2CD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7EEF28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4DBE40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8,133</w:t>
            </w:r>
          </w:p>
        </w:tc>
      </w:tr>
      <w:tr w:rsidR="008A5057" w:rsidRPr="00BD295E" w14:paraId="3DFD278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DB14BD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2Х160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5B73BF7"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18449C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B0FF37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5,451</w:t>
            </w:r>
          </w:p>
        </w:tc>
      </w:tr>
      <w:tr w:rsidR="008A5057" w:rsidRPr="00BD295E" w14:paraId="15483CC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3E33E6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2Х250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FDE3B7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B9BADE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E6B4BD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3,861</w:t>
            </w:r>
          </w:p>
        </w:tc>
      </w:tr>
      <w:tr w:rsidR="008A5057" w:rsidRPr="00BD295E" w14:paraId="6FC25AE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F4FC24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2Х400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1DD1BE7"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A8414E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823C82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2,693</w:t>
            </w:r>
          </w:p>
        </w:tc>
      </w:tr>
      <w:tr w:rsidR="008A5057" w:rsidRPr="00BD295E" w14:paraId="292843E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E264ED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2Х630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EABA948"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A8A0FD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D8D84B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2,178</w:t>
            </w:r>
          </w:p>
        </w:tc>
      </w:tr>
      <w:tr w:rsidR="008A5057" w:rsidRPr="00BD295E" w14:paraId="0B48738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8C0F6D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2Х1000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DC96ED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3AF044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C44ED1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3,791</w:t>
            </w:r>
          </w:p>
        </w:tc>
      </w:tr>
      <w:tr w:rsidR="008A5057" w:rsidRPr="00BD295E" w14:paraId="77FA476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584082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538EC3F"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3CC1C4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866B9F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41,463</w:t>
            </w:r>
          </w:p>
        </w:tc>
      </w:tr>
      <w:tr w:rsidR="008A5057" w:rsidRPr="00BD295E" w14:paraId="4862AA8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792E7A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1X160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9CCECD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5A60C4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E30FCE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26,638</w:t>
            </w:r>
          </w:p>
        </w:tc>
      </w:tr>
      <w:tr w:rsidR="008A5057" w:rsidRPr="00BD295E" w14:paraId="13E3A20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C34752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380166A"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3E8BCE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2A3759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17,980</w:t>
            </w:r>
          </w:p>
        </w:tc>
      </w:tr>
      <w:tr w:rsidR="008A5057" w:rsidRPr="00BD295E" w14:paraId="131DE52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ECC0E3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1X400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54ADAE8"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3BCB83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9F4103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25,362</w:t>
            </w:r>
          </w:p>
        </w:tc>
      </w:tr>
      <w:tr w:rsidR="008A5057" w:rsidRPr="00BD295E" w14:paraId="514B034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CED736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1X630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C70BC30"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BF056D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E3FD13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16,669</w:t>
            </w:r>
          </w:p>
        </w:tc>
      </w:tr>
      <w:tr w:rsidR="008A5057" w:rsidRPr="00BD295E" w14:paraId="7FB831B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5C986C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F44147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1D1544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69BBD4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10,714</w:t>
            </w:r>
          </w:p>
        </w:tc>
      </w:tr>
      <w:tr w:rsidR="008A5057" w:rsidRPr="00BD295E" w14:paraId="79B7A40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8572D4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3714F9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D0645C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4B0479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9,810</w:t>
            </w:r>
          </w:p>
        </w:tc>
      </w:tr>
      <w:tr w:rsidR="008A5057" w:rsidRPr="00BD295E" w14:paraId="4669A53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51C8C8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1X1600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347740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73BF73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2886A7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3,708</w:t>
            </w:r>
          </w:p>
        </w:tc>
      </w:tr>
      <w:tr w:rsidR="008A5057" w:rsidRPr="00BD295E" w14:paraId="08B3C1C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DF3C8C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C699789"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9E7538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A7C96D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30,918</w:t>
            </w:r>
          </w:p>
        </w:tc>
      </w:tr>
      <w:tr w:rsidR="008A5057" w:rsidRPr="00BD295E" w14:paraId="7FFA909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31D929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2X160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08D4D2C"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7D6725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8EC656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19,885</w:t>
            </w:r>
          </w:p>
        </w:tc>
      </w:tr>
      <w:tr w:rsidR="008A5057" w:rsidRPr="00BD295E" w14:paraId="401D9A0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A8A7DF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E108ADC"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BABF0F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E48F64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13,443</w:t>
            </w:r>
          </w:p>
        </w:tc>
      </w:tr>
      <w:tr w:rsidR="008A5057" w:rsidRPr="00BD295E" w14:paraId="72805B3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AAABEE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2X400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36AA53F"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D5228F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3FB809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12,185</w:t>
            </w:r>
          </w:p>
        </w:tc>
      </w:tr>
      <w:tr w:rsidR="008A5057" w:rsidRPr="00BD295E" w14:paraId="62673B4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139638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2X630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1AC957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4EE415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34D2A9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8,002</w:t>
            </w:r>
          </w:p>
        </w:tc>
      </w:tr>
      <w:tr w:rsidR="008A5057" w:rsidRPr="00BD295E" w14:paraId="2F17025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D5A89A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560C57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C83ECE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C2413C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6,052</w:t>
            </w:r>
          </w:p>
        </w:tc>
      </w:tr>
      <w:tr w:rsidR="008A5057" w:rsidRPr="00BD295E" w14:paraId="0597343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0C2CAE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BEE07C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5AE638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E2CBE8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6,141</w:t>
            </w:r>
          </w:p>
        </w:tc>
      </w:tr>
      <w:tr w:rsidR="008A5057" w:rsidRPr="00BD295E" w14:paraId="60A431E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4BBDC2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2X1600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5F9B5C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7BEBB6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B2835C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4,484</w:t>
            </w:r>
          </w:p>
        </w:tc>
      </w:tr>
      <w:tr w:rsidR="008A5057" w:rsidRPr="00BD295E" w14:paraId="25136199" w14:textId="77777777" w:rsidTr="00D648DD">
        <w:trPr>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61BCC4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С6 Standardized tariff rate to cover expenses for the construction of distribution transformer substations (DTS), with voltage up to 35 kV</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3798E3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951076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2495E23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22D4D35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393DE5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2x1000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AC6369B"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129A15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5204A7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21,502</w:t>
            </w:r>
          </w:p>
        </w:tc>
      </w:tr>
      <w:tr w:rsidR="008A5057" w:rsidRPr="00BD295E" w14:paraId="0C6ABB9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9BCF8A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2x1250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19C6AD9"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8BBDF8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A7BDA1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18,273</w:t>
            </w:r>
          </w:p>
        </w:tc>
      </w:tr>
      <w:tr w:rsidR="008A5057" w:rsidRPr="00BD295E" w14:paraId="27C38DA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5AA4BE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4x1000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12F509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F3358A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FDC76B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10,854</w:t>
            </w:r>
          </w:p>
        </w:tc>
      </w:tr>
      <w:tr w:rsidR="008A5057" w:rsidRPr="00BD295E" w14:paraId="1F16033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41EB9A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4x1250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9C42D87"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6137E4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4E0CC9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9,216</w:t>
            </w:r>
          </w:p>
        </w:tc>
      </w:tr>
      <w:tr w:rsidR="008A5057" w:rsidRPr="00BD295E" w14:paraId="2069A052" w14:textId="77777777" w:rsidTr="00D648DD">
        <w:trPr>
          <w:trHeight w:val="288"/>
        </w:trPr>
        <w:tc>
          <w:tcPr>
            <w:tcW w:w="5118" w:type="dxa"/>
            <w:tcBorders>
              <w:top w:val="nil"/>
              <w:left w:val="nil"/>
              <w:bottom w:val="nil"/>
              <w:right w:val="nil"/>
            </w:tcBorders>
            <w:shd w:val="clear" w:color="auto" w:fill="auto"/>
            <w:noWrap/>
            <w:vAlign w:val="bottom"/>
            <w:hideMark/>
          </w:tcPr>
          <w:p w14:paraId="2A854113" w14:textId="77777777" w:rsidR="005C1246" w:rsidRPr="00BD295E" w:rsidRDefault="005C1246" w:rsidP="00D648DD">
            <w:pPr>
              <w:rPr>
                <w:rFonts w:ascii="Arial" w:hAnsi="Arial" w:cs="Arial"/>
                <w:sz w:val="18"/>
                <w:szCs w:val="18"/>
                <w:lang w:val="en-US"/>
              </w:rPr>
            </w:pPr>
          </w:p>
        </w:tc>
        <w:tc>
          <w:tcPr>
            <w:tcW w:w="1701" w:type="dxa"/>
            <w:tcBorders>
              <w:top w:val="nil"/>
              <w:left w:val="nil"/>
              <w:bottom w:val="nil"/>
              <w:right w:val="nil"/>
            </w:tcBorders>
            <w:shd w:val="clear" w:color="auto" w:fill="auto"/>
            <w:noWrap/>
            <w:vAlign w:val="bottom"/>
            <w:hideMark/>
          </w:tcPr>
          <w:p w14:paraId="551E3A50"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nil"/>
              <w:right w:val="nil"/>
            </w:tcBorders>
            <w:shd w:val="clear" w:color="auto" w:fill="auto"/>
            <w:noWrap/>
            <w:vAlign w:val="bottom"/>
            <w:hideMark/>
          </w:tcPr>
          <w:p w14:paraId="03AFE2B0" w14:textId="77777777" w:rsidR="005C1246" w:rsidRPr="00BD295E" w:rsidRDefault="005C1246" w:rsidP="00D648DD">
            <w:pPr>
              <w:rPr>
                <w:rFonts w:ascii="Arial" w:hAnsi="Arial" w:cs="Arial"/>
                <w:sz w:val="18"/>
                <w:szCs w:val="18"/>
                <w:lang w:val="en-US"/>
              </w:rPr>
            </w:pPr>
          </w:p>
        </w:tc>
        <w:tc>
          <w:tcPr>
            <w:tcW w:w="1701" w:type="dxa"/>
            <w:tcBorders>
              <w:top w:val="nil"/>
              <w:left w:val="nil"/>
              <w:bottom w:val="nil"/>
              <w:right w:val="nil"/>
            </w:tcBorders>
            <w:shd w:val="clear" w:color="auto" w:fill="auto"/>
            <w:noWrap/>
            <w:vAlign w:val="bottom"/>
            <w:hideMark/>
          </w:tcPr>
          <w:p w14:paraId="0D982254" w14:textId="77777777" w:rsidR="005C1246" w:rsidRPr="00BD295E" w:rsidRDefault="005C1246" w:rsidP="00D648DD">
            <w:pPr>
              <w:rPr>
                <w:rFonts w:ascii="Arial" w:hAnsi="Arial" w:cs="Arial"/>
                <w:sz w:val="18"/>
                <w:szCs w:val="18"/>
                <w:lang w:val="en-US"/>
              </w:rPr>
            </w:pPr>
          </w:p>
        </w:tc>
      </w:tr>
      <w:tr w:rsidR="008A5057" w:rsidRPr="00BD295E" w14:paraId="7BE090A8" w14:textId="77777777" w:rsidTr="00D648DD">
        <w:trPr>
          <w:trHeight w:val="768"/>
        </w:trPr>
        <w:tc>
          <w:tcPr>
            <w:tcW w:w="9513" w:type="dxa"/>
            <w:gridSpan w:val="5"/>
            <w:tcBorders>
              <w:top w:val="nil"/>
              <w:left w:val="nil"/>
              <w:bottom w:val="nil"/>
              <w:right w:val="nil"/>
            </w:tcBorders>
            <w:shd w:val="clear" w:color="auto" w:fill="auto"/>
            <w:hideMark/>
          </w:tcPr>
          <w:p w14:paraId="0F383F4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Standardized tariff rates are approved for connection of 150+ kW</w:t>
            </w:r>
            <w:r w:rsidR="00EC0D9D" w:rsidRPr="00BD295E">
              <w:rPr>
                <w:rFonts w:ascii="Arial" w:hAnsi="Arial" w:cs="Arial"/>
                <w:sz w:val="18"/>
                <w:szCs w:val="18"/>
                <w:lang w:val="en-US"/>
              </w:rPr>
              <w:t xml:space="preserve"> </w:t>
            </w:r>
            <w:r w:rsidRPr="00BD295E">
              <w:rPr>
                <w:rFonts w:ascii="Arial" w:hAnsi="Arial" w:cs="Arial"/>
                <w:sz w:val="18"/>
                <w:szCs w:val="18"/>
                <w:lang w:val="en-US"/>
              </w:rPr>
              <w:t>power receiving appliances</w:t>
            </w:r>
          </w:p>
        </w:tc>
      </w:tr>
    </w:tbl>
    <w:p w14:paraId="711A859F" w14:textId="77777777" w:rsidR="005C1246" w:rsidRPr="00BD295E" w:rsidRDefault="005C1246" w:rsidP="005C1246">
      <w:pPr>
        <w:rPr>
          <w:rFonts w:ascii="Arial" w:hAnsi="Arial" w:cs="Arial"/>
          <w:b/>
          <w:sz w:val="18"/>
          <w:szCs w:val="18"/>
          <w:lang w:val="en-US"/>
        </w:rPr>
      </w:pPr>
    </w:p>
    <w:p w14:paraId="21852A10" w14:textId="77777777" w:rsidR="005C1246" w:rsidRPr="00BD295E" w:rsidRDefault="008A5057" w:rsidP="005C1246">
      <w:pPr>
        <w:tabs>
          <w:tab w:val="left" w:pos="2667"/>
        </w:tabs>
        <w:rPr>
          <w:rFonts w:ascii="Arial" w:hAnsi="Arial" w:cs="Arial"/>
          <w:b/>
          <w:sz w:val="18"/>
          <w:szCs w:val="18"/>
          <w:lang w:val="en-US"/>
        </w:rPr>
      </w:pPr>
      <w:r w:rsidRPr="00BD295E">
        <w:rPr>
          <w:rFonts w:ascii="Arial" w:hAnsi="Arial" w:cs="Arial"/>
          <w:b/>
          <w:sz w:val="18"/>
          <w:szCs w:val="18"/>
          <w:lang w:val="en-US"/>
        </w:rPr>
        <w:t>Leningrad Region</w:t>
      </w:r>
      <w:r w:rsidRPr="00BD295E">
        <w:rPr>
          <w:rFonts w:ascii="Arial" w:hAnsi="Arial" w:cs="Arial"/>
          <w:b/>
          <w:sz w:val="18"/>
          <w:szCs w:val="18"/>
          <w:lang w:val="en-US"/>
        </w:rPr>
        <w:tab/>
      </w:r>
    </w:p>
    <w:tbl>
      <w:tblPr>
        <w:tblW w:w="11214" w:type="dxa"/>
        <w:tblInd w:w="93" w:type="dxa"/>
        <w:tblLayout w:type="fixed"/>
        <w:tblLook w:val="04A0" w:firstRow="1" w:lastRow="0" w:firstColumn="1" w:lastColumn="0" w:noHBand="0" w:noVBand="1"/>
      </w:tblPr>
      <w:tblGrid>
        <w:gridCol w:w="5118"/>
        <w:gridCol w:w="1701"/>
        <w:gridCol w:w="993"/>
        <w:gridCol w:w="1701"/>
        <w:gridCol w:w="1701"/>
      </w:tblGrid>
      <w:tr w:rsidR="008A5057" w:rsidRPr="00BD295E" w14:paraId="25A8EE3F" w14:textId="77777777" w:rsidTr="00D648DD">
        <w:trPr>
          <w:gridAfter w:val="1"/>
          <w:wAfter w:w="1701" w:type="dxa"/>
          <w:trHeight w:val="165"/>
        </w:trPr>
        <w:tc>
          <w:tcPr>
            <w:tcW w:w="951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CAB60B0"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Standardized tariff rates for grid connection*</w:t>
            </w:r>
          </w:p>
        </w:tc>
      </w:tr>
      <w:tr w:rsidR="008A5057" w:rsidRPr="00BD295E" w14:paraId="26031D98" w14:textId="77777777" w:rsidTr="00D648DD">
        <w:trPr>
          <w:gridAfter w:val="1"/>
          <w:wAfter w:w="1701" w:type="dxa"/>
          <w:trHeight w:val="120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CC8A41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 Standardized tariff rate to cover expenses for organizational activities under item 16 (excluding sub-item “b”) of the Guidelines </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84C62A6"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single" w:sz="4" w:space="0" w:color="auto"/>
              <w:left w:val="nil"/>
              <w:bottom w:val="single" w:sz="4" w:space="0" w:color="auto"/>
              <w:right w:val="single" w:sz="4" w:space="0" w:color="auto"/>
            </w:tcBorders>
            <w:shd w:val="clear" w:color="auto" w:fill="auto"/>
            <w:vAlign w:val="center"/>
          </w:tcPr>
          <w:p w14:paraId="45712EA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tcPr>
          <w:p w14:paraId="2218A1C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31,139</w:t>
            </w:r>
          </w:p>
        </w:tc>
      </w:tr>
      <w:tr w:rsidR="008A5057" w:rsidRPr="00BD295E" w14:paraId="6A15C1E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09322F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7B03F6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0F7D5A0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56F402A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13,205</w:t>
            </w:r>
          </w:p>
        </w:tc>
      </w:tr>
      <w:tr w:rsidR="008A5057" w:rsidRPr="00BD295E" w14:paraId="1946E4D7" w14:textId="77777777" w:rsidTr="00D648DD">
        <w:trPr>
          <w:gridAfter w:val="1"/>
          <w:wAfter w:w="1701" w:type="dxa"/>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FBC14C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76050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43AC15F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3BD2991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17,937</w:t>
            </w:r>
          </w:p>
        </w:tc>
      </w:tr>
      <w:tr w:rsidR="008A5057" w:rsidRPr="00BD295E" w14:paraId="4EE3EB67" w14:textId="77777777" w:rsidTr="00D648DD">
        <w:trPr>
          <w:gridAfter w:val="1"/>
          <w:wAfter w:w="1701" w:type="dxa"/>
          <w:trHeight w:val="663"/>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5C06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single-circuit overhead lines</w:t>
            </w:r>
          </w:p>
        </w:tc>
        <w:tc>
          <w:tcPr>
            <w:tcW w:w="1701" w:type="dxa"/>
            <w:vMerge w:val="restart"/>
            <w:tcBorders>
              <w:top w:val="single" w:sz="4" w:space="0" w:color="auto"/>
              <w:left w:val="single" w:sz="4" w:space="0" w:color="auto"/>
              <w:bottom w:val="nil"/>
              <w:right w:val="single" w:sz="4" w:space="0" w:color="auto"/>
            </w:tcBorders>
            <w:shd w:val="clear" w:color="auto" w:fill="auto"/>
            <w:vAlign w:val="center"/>
            <w:hideMark/>
          </w:tcPr>
          <w:p w14:paraId="70732760"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single" w:sz="4" w:space="0" w:color="auto"/>
              <w:left w:val="nil"/>
              <w:bottom w:val="single" w:sz="4" w:space="0" w:color="auto"/>
              <w:right w:val="single" w:sz="4" w:space="0" w:color="auto"/>
            </w:tcBorders>
            <w:shd w:val="clear" w:color="auto" w:fill="auto"/>
          </w:tcPr>
          <w:p w14:paraId="0CBA86AA" w14:textId="77777777" w:rsidR="005C1246" w:rsidRPr="00BD295E" w:rsidRDefault="005C1246" w:rsidP="00D648DD">
            <w:pPr>
              <w:jc w:val="cente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tcPr>
          <w:p w14:paraId="6ACCD3BD" w14:textId="77777777" w:rsidR="005C1246" w:rsidRPr="00BD295E" w:rsidRDefault="005C1246" w:rsidP="00D648DD">
            <w:pPr>
              <w:jc w:val="center"/>
              <w:rPr>
                <w:rFonts w:ascii="Arial" w:hAnsi="Arial" w:cs="Arial"/>
                <w:sz w:val="18"/>
                <w:szCs w:val="18"/>
                <w:lang w:val="en-US"/>
              </w:rPr>
            </w:pPr>
          </w:p>
        </w:tc>
      </w:tr>
      <w:tr w:rsidR="008A5057" w:rsidRPr="00BD295E" w14:paraId="3B47D066" w14:textId="77777777" w:rsidTr="00D648DD">
        <w:trPr>
          <w:gridAfter w:val="1"/>
          <w:wAfter w:w="1701" w:type="dxa"/>
          <w:trHeight w:val="498"/>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8CA9E1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bottom w:val="nil"/>
              <w:right w:val="single" w:sz="4" w:space="0" w:color="auto"/>
            </w:tcBorders>
            <w:shd w:val="clear" w:color="auto" w:fill="auto"/>
            <w:vAlign w:val="center"/>
          </w:tcPr>
          <w:p w14:paraId="301ECF3D" w14:textId="77777777" w:rsidR="005C1246" w:rsidRPr="00BD295E" w:rsidRDefault="005C1246" w:rsidP="00D648DD">
            <w:pPr>
              <w:jc w:val="cente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901219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2B71795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1,885,149</w:t>
            </w:r>
          </w:p>
        </w:tc>
      </w:tr>
      <w:tr w:rsidR="008A5057" w:rsidRPr="00BD295E" w14:paraId="2E8B0C3F" w14:textId="77777777" w:rsidTr="00D648DD">
        <w:trPr>
          <w:gridAfter w:val="1"/>
          <w:wAfter w:w="1701" w:type="dxa"/>
          <w:trHeight w:val="49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2A6D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5F9701AF"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F287B4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F0E316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1,982,054</w:t>
            </w:r>
          </w:p>
        </w:tc>
      </w:tr>
      <w:tr w:rsidR="008A5057" w:rsidRPr="00BD295E" w14:paraId="35D30DF4" w14:textId="77777777" w:rsidTr="00D648DD">
        <w:trPr>
          <w:gridAfter w:val="1"/>
          <w:wAfter w:w="1701" w:type="dxa"/>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761AB1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double-circuit overhead lines</w:t>
            </w:r>
          </w:p>
        </w:tc>
        <w:tc>
          <w:tcPr>
            <w:tcW w:w="1701" w:type="dxa"/>
            <w:vMerge/>
            <w:tcBorders>
              <w:left w:val="single" w:sz="4" w:space="0" w:color="auto"/>
              <w:right w:val="single" w:sz="4" w:space="0" w:color="auto"/>
            </w:tcBorders>
            <w:shd w:val="clear" w:color="auto" w:fill="auto"/>
            <w:vAlign w:val="center"/>
          </w:tcPr>
          <w:p w14:paraId="68ECB7B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5C51C49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47EEF8F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115BEAF7" w14:textId="77777777" w:rsidTr="00D648DD">
        <w:trPr>
          <w:gridAfter w:val="1"/>
          <w:wAfter w:w="1701" w:type="dxa"/>
          <w:trHeight w:val="49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CCB0FC5"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1528F95F"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5FF36E4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18DA7F8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2,047,859</w:t>
            </w:r>
          </w:p>
        </w:tc>
      </w:tr>
      <w:tr w:rsidR="008A5057" w:rsidRPr="00BD295E" w14:paraId="342F0B5E" w14:textId="77777777" w:rsidTr="00D648DD">
        <w:trPr>
          <w:gridAfter w:val="1"/>
          <w:wAfter w:w="1701" w:type="dxa"/>
          <w:trHeight w:val="49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E51B5B0"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FB3DE0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6258A7A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7E23884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2,352,512</w:t>
            </w:r>
          </w:p>
        </w:tc>
      </w:tr>
      <w:tr w:rsidR="008A5057" w:rsidRPr="00BD295E" w14:paraId="4A14E042" w14:textId="77777777" w:rsidTr="00D648DD">
        <w:trPr>
          <w:gridAfter w:val="1"/>
          <w:wAfter w:w="1701" w:type="dxa"/>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BD3E26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single-circuit cable lines</w:t>
            </w:r>
          </w:p>
        </w:tc>
        <w:tc>
          <w:tcPr>
            <w:tcW w:w="1701" w:type="dxa"/>
            <w:vMerge/>
            <w:tcBorders>
              <w:left w:val="single" w:sz="4" w:space="0" w:color="auto"/>
              <w:right w:val="single" w:sz="4" w:space="0" w:color="auto"/>
            </w:tcBorders>
            <w:shd w:val="clear" w:color="auto" w:fill="auto"/>
            <w:vAlign w:val="center"/>
          </w:tcPr>
          <w:p w14:paraId="5AA1474F"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78397CE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5078EC7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19E10E6B" w14:textId="77777777" w:rsidTr="00D648DD">
        <w:trPr>
          <w:gridAfter w:val="1"/>
          <w:wAfter w:w="1701" w:type="dxa"/>
          <w:trHeight w:val="49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DEC18F3"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0585D502"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7A49601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6BF7BB8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3,417,003</w:t>
            </w:r>
          </w:p>
        </w:tc>
      </w:tr>
      <w:tr w:rsidR="008A5057" w:rsidRPr="00BD295E" w14:paraId="5E102B19" w14:textId="77777777" w:rsidTr="00D648DD">
        <w:trPr>
          <w:gridAfter w:val="1"/>
          <w:wAfter w:w="1701" w:type="dxa"/>
          <w:trHeight w:val="49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9F2EE85"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27B5416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6F99F0A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7FB1AB9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3,536,123</w:t>
            </w:r>
          </w:p>
        </w:tc>
      </w:tr>
      <w:tr w:rsidR="008A5057" w:rsidRPr="00BD295E" w14:paraId="659C0C41" w14:textId="77777777" w:rsidTr="00D648DD">
        <w:trPr>
          <w:gridAfter w:val="1"/>
          <w:wAfter w:w="1701" w:type="dxa"/>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D52524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double-circuit cable lines</w:t>
            </w:r>
          </w:p>
        </w:tc>
        <w:tc>
          <w:tcPr>
            <w:tcW w:w="1701" w:type="dxa"/>
            <w:vMerge/>
            <w:tcBorders>
              <w:left w:val="single" w:sz="4" w:space="0" w:color="auto"/>
              <w:right w:val="single" w:sz="4" w:space="0" w:color="auto"/>
            </w:tcBorders>
            <w:shd w:val="clear" w:color="auto" w:fill="auto"/>
            <w:vAlign w:val="center"/>
          </w:tcPr>
          <w:p w14:paraId="4A2BFCE2"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14914AB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24EAFA9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52D4EA41" w14:textId="77777777" w:rsidTr="00D648DD">
        <w:trPr>
          <w:gridAfter w:val="1"/>
          <w:wAfter w:w="1701" w:type="dxa"/>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E8F098F"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406E74A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687E5CB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52B708A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6,131,635</w:t>
            </w:r>
          </w:p>
        </w:tc>
      </w:tr>
      <w:tr w:rsidR="008A5057" w:rsidRPr="00BD295E" w14:paraId="7DBCB48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D2BA0C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1DC47C2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15DB363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15BC8EB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6,177,944</w:t>
            </w:r>
          </w:p>
        </w:tc>
      </w:tr>
      <w:tr w:rsidR="008A5057" w:rsidRPr="00BD295E" w14:paraId="7CA568E7" w14:textId="77777777" w:rsidTr="00D648DD">
        <w:trPr>
          <w:gridAfter w:val="1"/>
          <w:wAfter w:w="1701" w:type="dxa"/>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B67D23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С3 Standardized tariff rate to cover expenses for the construction of cable lines using horizontal directional drilling (piercing) </w:t>
            </w:r>
          </w:p>
        </w:tc>
        <w:tc>
          <w:tcPr>
            <w:tcW w:w="1701" w:type="dxa"/>
            <w:vMerge/>
            <w:tcBorders>
              <w:left w:val="single" w:sz="4" w:space="0" w:color="auto"/>
              <w:right w:val="single" w:sz="4" w:space="0" w:color="auto"/>
            </w:tcBorders>
            <w:shd w:val="clear" w:color="auto" w:fill="auto"/>
            <w:vAlign w:val="center"/>
          </w:tcPr>
          <w:p w14:paraId="68F8D3B5"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2CDEC26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78D41E9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DF2A04A" w14:textId="77777777" w:rsidTr="00D648DD">
        <w:trPr>
          <w:gridAfter w:val="1"/>
          <w:wAfter w:w="1701" w:type="dxa"/>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0B66A04"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210DFE4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30E1007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42DC068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16,510,028</w:t>
            </w:r>
          </w:p>
        </w:tc>
      </w:tr>
      <w:tr w:rsidR="008A5057" w:rsidRPr="00BD295E" w14:paraId="117D751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FFC026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1F5539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6B94420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31B540A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18,358,396</w:t>
            </w:r>
          </w:p>
        </w:tc>
      </w:tr>
      <w:tr w:rsidR="008A5057" w:rsidRPr="00BD295E" w14:paraId="37658B6C" w14:textId="77777777" w:rsidTr="00D648DD">
        <w:trPr>
          <w:gridAfter w:val="1"/>
          <w:wAfter w:w="1701" w:type="dxa"/>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50114C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С4 Standardized tariff rate to cover expenses for the construction of 10 MVA distribution points</w:t>
            </w:r>
          </w:p>
        </w:tc>
        <w:tc>
          <w:tcPr>
            <w:tcW w:w="1701" w:type="dxa"/>
            <w:vMerge/>
            <w:tcBorders>
              <w:left w:val="single" w:sz="4" w:space="0" w:color="auto"/>
              <w:right w:val="single" w:sz="4" w:space="0" w:color="auto"/>
            </w:tcBorders>
            <w:shd w:val="clear" w:color="auto" w:fill="auto"/>
            <w:vAlign w:val="center"/>
          </w:tcPr>
          <w:p w14:paraId="6587A71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20229E3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6B1C4A9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2FC316B8" w14:textId="77777777" w:rsidTr="00D648DD">
        <w:trPr>
          <w:gridAfter w:val="1"/>
          <w:wAfter w:w="1701" w:type="dxa"/>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DA273B1"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6C3D35C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0343E88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hideMark/>
          </w:tcPr>
          <w:p w14:paraId="5F3C84E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14,020,519</w:t>
            </w:r>
          </w:p>
        </w:tc>
      </w:tr>
      <w:tr w:rsidR="008A5057" w:rsidRPr="00BD295E" w14:paraId="0DC4D32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A4B4CE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5D36096"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792D4CA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hideMark/>
          </w:tcPr>
          <w:p w14:paraId="59E3A88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14,020,519</w:t>
            </w:r>
          </w:p>
        </w:tc>
      </w:tr>
      <w:tr w:rsidR="008A5057" w:rsidRPr="00BD295E" w14:paraId="18987E4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2E55B0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pole-mounted transformer substations</w:t>
            </w:r>
          </w:p>
        </w:tc>
        <w:tc>
          <w:tcPr>
            <w:tcW w:w="1701" w:type="dxa"/>
            <w:vMerge/>
            <w:tcBorders>
              <w:left w:val="single" w:sz="4" w:space="0" w:color="auto"/>
              <w:right w:val="single" w:sz="4" w:space="0" w:color="auto"/>
            </w:tcBorders>
            <w:shd w:val="clear" w:color="auto" w:fill="auto"/>
            <w:vAlign w:val="center"/>
          </w:tcPr>
          <w:p w14:paraId="43E20FE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289147E"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FE3FE1C" w14:textId="77777777" w:rsidR="005C1246" w:rsidRPr="00BD295E" w:rsidRDefault="005C1246" w:rsidP="00D648DD">
            <w:pPr>
              <w:jc w:val="right"/>
              <w:rPr>
                <w:rFonts w:ascii="Arial" w:hAnsi="Arial" w:cs="Arial"/>
                <w:sz w:val="18"/>
                <w:szCs w:val="18"/>
                <w:lang w:val="en-US"/>
              </w:rPr>
            </w:pPr>
          </w:p>
        </w:tc>
      </w:tr>
      <w:tr w:rsidR="008A5057" w:rsidRPr="00BD295E" w14:paraId="30FD1A1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D31E27B"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6DCA5D5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76C294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B784BB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7EA16E9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8DF0586"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1EE3DAB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64A943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1624035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56F4A187"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21C30A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package transformer substations</w:t>
            </w:r>
          </w:p>
        </w:tc>
        <w:tc>
          <w:tcPr>
            <w:tcW w:w="1701" w:type="dxa"/>
            <w:vMerge/>
            <w:tcBorders>
              <w:left w:val="single" w:sz="4" w:space="0" w:color="auto"/>
              <w:right w:val="single" w:sz="4" w:space="0" w:color="auto"/>
            </w:tcBorders>
            <w:shd w:val="clear" w:color="auto" w:fill="auto"/>
            <w:vAlign w:val="center"/>
          </w:tcPr>
          <w:p w14:paraId="5E827CE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EFECA1D"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1F9CA1B7" w14:textId="77777777" w:rsidR="005C1246" w:rsidRPr="00BD295E" w:rsidRDefault="005C1246" w:rsidP="00D648DD">
            <w:pPr>
              <w:jc w:val="right"/>
              <w:rPr>
                <w:rFonts w:ascii="Arial" w:hAnsi="Arial" w:cs="Arial"/>
                <w:sz w:val="18"/>
                <w:szCs w:val="18"/>
                <w:lang w:val="en-US"/>
              </w:rPr>
            </w:pPr>
          </w:p>
        </w:tc>
      </w:tr>
      <w:tr w:rsidR="008A5057" w:rsidRPr="00BD295E" w14:paraId="286B996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1E58CCA"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E56E59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6B1D0C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2EA26E3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7D8ADF4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2E93207"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bottom w:val="single" w:sz="4" w:space="0" w:color="auto"/>
              <w:right w:val="single" w:sz="4" w:space="0" w:color="auto"/>
            </w:tcBorders>
            <w:shd w:val="clear" w:color="auto" w:fill="auto"/>
            <w:vAlign w:val="center"/>
          </w:tcPr>
          <w:p w14:paraId="07310B1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F823A7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4209659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3F6C2CA1" w14:textId="77777777" w:rsidTr="00D648DD">
        <w:trPr>
          <w:gridAfter w:val="1"/>
          <w:wAfter w:w="1701" w:type="dxa"/>
          <w:trHeight w:val="438"/>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3A4213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unit-type package transformer substations (UPTS)</w:t>
            </w:r>
          </w:p>
        </w:tc>
        <w:tc>
          <w:tcPr>
            <w:tcW w:w="1701" w:type="dxa"/>
            <w:vMerge/>
            <w:tcBorders>
              <w:top w:val="single" w:sz="4" w:space="0" w:color="auto"/>
              <w:left w:val="single" w:sz="4" w:space="0" w:color="auto"/>
              <w:bottom w:val="nil"/>
              <w:right w:val="single" w:sz="4" w:space="0" w:color="auto"/>
            </w:tcBorders>
            <w:shd w:val="clear" w:color="auto" w:fill="auto"/>
            <w:vAlign w:val="center"/>
          </w:tcPr>
          <w:p w14:paraId="5A9C5D4E"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BB456FF"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107A506D" w14:textId="77777777" w:rsidR="005C1246" w:rsidRPr="00BD295E" w:rsidRDefault="005C1246" w:rsidP="00D648DD">
            <w:pPr>
              <w:jc w:val="right"/>
              <w:rPr>
                <w:rFonts w:ascii="Arial" w:hAnsi="Arial" w:cs="Arial"/>
                <w:sz w:val="18"/>
                <w:szCs w:val="18"/>
                <w:lang w:val="en-US"/>
              </w:rPr>
            </w:pPr>
          </w:p>
        </w:tc>
      </w:tr>
      <w:tr w:rsidR="008A5057" w:rsidRPr="00BD295E" w14:paraId="25083620" w14:textId="77777777" w:rsidTr="00D648DD">
        <w:trPr>
          <w:gridAfter w:val="1"/>
          <w:wAfter w:w="1701" w:type="dxa"/>
          <w:trHeight w:val="701"/>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3F8FDD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bottom w:val="nil"/>
              <w:right w:val="single" w:sz="4" w:space="0" w:color="auto"/>
            </w:tcBorders>
            <w:shd w:val="clear" w:color="auto" w:fill="auto"/>
            <w:vAlign w:val="center"/>
          </w:tcPr>
          <w:p w14:paraId="722E3941"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25755E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1B86FF9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2EE91E1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7111D2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6991FF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B6D022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4FF96D7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4ACA8A10"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034F4A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2PTS substations</w:t>
            </w:r>
          </w:p>
        </w:tc>
        <w:tc>
          <w:tcPr>
            <w:tcW w:w="1701" w:type="dxa"/>
            <w:vMerge/>
            <w:tcBorders>
              <w:left w:val="single" w:sz="4" w:space="0" w:color="auto"/>
              <w:right w:val="single" w:sz="4" w:space="0" w:color="auto"/>
            </w:tcBorders>
            <w:shd w:val="clear" w:color="auto" w:fill="auto"/>
            <w:vAlign w:val="center"/>
          </w:tcPr>
          <w:p w14:paraId="4A99CA3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8F04268"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043044C2" w14:textId="77777777" w:rsidR="005C1246" w:rsidRPr="00BD295E" w:rsidRDefault="005C1246" w:rsidP="00D648DD">
            <w:pPr>
              <w:jc w:val="right"/>
              <w:rPr>
                <w:rFonts w:ascii="Arial" w:hAnsi="Arial" w:cs="Arial"/>
                <w:sz w:val="18"/>
                <w:szCs w:val="18"/>
                <w:lang w:val="en-US"/>
              </w:rPr>
            </w:pPr>
          </w:p>
        </w:tc>
      </w:tr>
      <w:tr w:rsidR="008A5057" w:rsidRPr="00BD295E" w14:paraId="72183CC7"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71F5B82"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69065FF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49B98F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047EB3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7C71AC3B"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6E0924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1058B4E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620556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11797B0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2BF53F6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FE95AD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2UPTS substations</w:t>
            </w:r>
          </w:p>
        </w:tc>
        <w:tc>
          <w:tcPr>
            <w:tcW w:w="1701" w:type="dxa"/>
            <w:vMerge/>
            <w:tcBorders>
              <w:left w:val="single" w:sz="4" w:space="0" w:color="auto"/>
              <w:right w:val="single" w:sz="4" w:space="0" w:color="auto"/>
            </w:tcBorders>
            <w:shd w:val="clear" w:color="auto" w:fill="auto"/>
            <w:vAlign w:val="center"/>
          </w:tcPr>
          <w:p w14:paraId="264E598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6CE243B"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4D50B324" w14:textId="77777777" w:rsidR="005C1246" w:rsidRPr="00BD295E" w:rsidRDefault="005C1246" w:rsidP="00D648DD">
            <w:pPr>
              <w:jc w:val="right"/>
              <w:rPr>
                <w:rFonts w:ascii="Arial" w:hAnsi="Arial" w:cs="Arial"/>
                <w:sz w:val="18"/>
                <w:szCs w:val="18"/>
                <w:lang w:val="en-US"/>
              </w:rPr>
            </w:pPr>
          </w:p>
        </w:tc>
      </w:tr>
      <w:tr w:rsidR="008A5057" w:rsidRPr="00BD295E" w14:paraId="214C5A7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A8E054B"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356DF4E6"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658EFB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2CF07F3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79CF238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9381F2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bottom w:val="single" w:sz="4" w:space="0" w:color="auto"/>
              <w:right w:val="single" w:sz="4" w:space="0" w:color="auto"/>
            </w:tcBorders>
            <w:shd w:val="clear" w:color="auto" w:fill="auto"/>
            <w:vAlign w:val="center"/>
          </w:tcPr>
          <w:p w14:paraId="4910591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337729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135035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2B94DBA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A93185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 Standardized tariff rate to cover the costs of organizational activities under item 16 (excluding sub-item “b”) of the Guidelines </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18186AF0" w14:textId="77777777" w:rsidR="005C1246" w:rsidRPr="00BD295E" w:rsidRDefault="005C1246" w:rsidP="00D648DD">
            <w:pPr>
              <w:jc w:val="center"/>
              <w:rPr>
                <w:rFonts w:ascii="Arial" w:hAnsi="Arial" w:cs="Arial"/>
                <w:sz w:val="18"/>
                <w:szCs w:val="18"/>
                <w:lang w:val="en-US"/>
              </w:rPr>
            </w:pPr>
          </w:p>
          <w:p w14:paraId="7BCB43A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p w14:paraId="3FEFBFBA" w14:textId="77777777" w:rsidR="005C1246" w:rsidRPr="00BD295E" w:rsidRDefault="005C1246" w:rsidP="00D648DD">
            <w:pPr>
              <w:jc w:val="cente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B9B1CD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tcPr>
          <w:p w14:paraId="38AEF90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31,139</w:t>
            </w:r>
          </w:p>
        </w:tc>
      </w:tr>
      <w:tr w:rsidR="008A5057" w:rsidRPr="00BD295E" w14:paraId="534BF68F"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8BBB2D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single" w:sz="4" w:space="0" w:color="auto"/>
              <w:left w:val="single" w:sz="4" w:space="0" w:color="auto"/>
              <w:right w:val="single" w:sz="4" w:space="0" w:color="auto"/>
            </w:tcBorders>
            <w:shd w:val="clear" w:color="auto" w:fill="auto"/>
            <w:vAlign w:val="center"/>
          </w:tcPr>
          <w:p w14:paraId="23C9CBA3"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F95EFA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tcPr>
          <w:p w14:paraId="06179F6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13,205</w:t>
            </w:r>
          </w:p>
        </w:tc>
      </w:tr>
      <w:tr w:rsidR="008A5057" w:rsidRPr="00BD295E" w14:paraId="06CE068D"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43E9D4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top w:val="single" w:sz="4" w:space="0" w:color="auto"/>
              <w:left w:val="single" w:sz="4" w:space="0" w:color="auto"/>
              <w:right w:val="single" w:sz="4" w:space="0" w:color="auto"/>
            </w:tcBorders>
            <w:shd w:val="clear" w:color="auto" w:fill="auto"/>
            <w:vAlign w:val="center"/>
          </w:tcPr>
          <w:p w14:paraId="112356CD"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3C5B2F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tcPr>
          <w:p w14:paraId="226E916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17,937</w:t>
            </w:r>
          </w:p>
        </w:tc>
      </w:tr>
      <w:tr w:rsidR="008A5057" w:rsidRPr="00BD295E" w14:paraId="0C722A31"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8DDFDA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single-circuit overhead lines</w:t>
            </w:r>
          </w:p>
        </w:tc>
        <w:tc>
          <w:tcPr>
            <w:tcW w:w="1701" w:type="dxa"/>
            <w:vMerge/>
            <w:tcBorders>
              <w:top w:val="single" w:sz="4" w:space="0" w:color="auto"/>
              <w:left w:val="single" w:sz="4" w:space="0" w:color="auto"/>
              <w:right w:val="single" w:sz="4" w:space="0" w:color="auto"/>
            </w:tcBorders>
            <w:shd w:val="clear" w:color="auto" w:fill="auto"/>
            <w:vAlign w:val="center"/>
          </w:tcPr>
          <w:p w14:paraId="6759C75D"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A421BB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552F238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58F0AD22"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2C945D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4E89DB44"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9ADB17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377D31E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1,351,890</w:t>
            </w:r>
          </w:p>
        </w:tc>
      </w:tr>
      <w:tr w:rsidR="008A5057" w:rsidRPr="00BD295E" w14:paraId="18982548"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42EC400"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3121F4E4"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EBC8DD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229A681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1,568,844</w:t>
            </w:r>
          </w:p>
        </w:tc>
      </w:tr>
      <w:tr w:rsidR="008A5057" w:rsidRPr="00BD295E" w14:paraId="380AF5F7"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FDAF65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double-circuit overhead lines</w:t>
            </w:r>
          </w:p>
        </w:tc>
        <w:tc>
          <w:tcPr>
            <w:tcW w:w="1701" w:type="dxa"/>
            <w:vMerge/>
            <w:tcBorders>
              <w:top w:val="single" w:sz="4" w:space="0" w:color="auto"/>
              <w:left w:val="single" w:sz="4" w:space="0" w:color="auto"/>
              <w:right w:val="single" w:sz="4" w:space="0" w:color="auto"/>
            </w:tcBorders>
            <w:shd w:val="clear" w:color="auto" w:fill="auto"/>
            <w:vAlign w:val="center"/>
          </w:tcPr>
          <w:p w14:paraId="2E29A134"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E1A1ED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1B1CB9A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739A4EE4"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78AC45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419B45FA"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CD851C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11C5FD7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2,207,595</w:t>
            </w:r>
          </w:p>
        </w:tc>
      </w:tr>
      <w:tr w:rsidR="008A5057" w:rsidRPr="00BD295E" w14:paraId="352FC216"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1D180A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D418260"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533727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11BA5A8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2,207,595</w:t>
            </w:r>
          </w:p>
        </w:tc>
      </w:tr>
      <w:tr w:rsidR="008A5057" w:rsidRPr="00BD295E" w14:paraId="26B0523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435A60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single-circuit cable lines</w:t>
            </w:r>
          </w:p>
        </w:tc>
        <w:tc>
          <w:tcPr>
            <w:tcW w:w="1701" w:type="dxa"/>
            <w:vMerge/>
            <w:tcBorders>
              <w:top w:val="single" w:sz="4" w:space="0" w:color="auto"/>
              <w:left w:val="single" w:sz="4" w:space="0" w:color="auto"/>
              <w:right w:val="single" w:sz="4" w:space="0" w:color="auto"/>
            </w:tcBorders>
            <w:shd w:val="clear" w:color="auto" w:fill="auto"/>
            <w:vAlign w:val="center"/>
          </w:tcPr>
          <w:p w14:paraId="19301552"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4AEA10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1A64C39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5E5E2323"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54F0A6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45000DE"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C3E158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14CB829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3,453,434</w:t>
            </w:r>
          </w:p>
        </w:tc>
      </w:tr>
      <w:tr w:rsidR="008A5057" w:rsidRPr="00BD295E" w14:paraId="6A9831E3"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C76E3B5"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80A8978"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7489DF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27E07FE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3,666,822</w:t>
            </w:r>
          </w:p>
        </w:tc>
      </w:tr>
      <w:tr w:rsidR="008A5057" w:rsidRPr="00BD295E" w14:paraId="1D7AACD5"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BBEB14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double-circuit cable lines</w:t>
            </w:r>
          </w:p>
        </w:tc>
        <w:tc>
          <w:tcPr>
            <w:tcW w:w="1701" w:type="dxa"/>
            <w:vMerge/>
            <w:tcBorders>
              <w:top w:val="single" w:sz="4" w:space="0" w:color="auto"/>
              <w:left w:val="single" w:sz="4" w:space="0" w:color="auto"/>
              <w:right w:val="single" w:sz="4" w:space="0" w:color="auto"/>
            </w:tcBorders>
            <w:shd w:val="clear" w:color="auto" w:fill="auto"/>
            <w:vAlign w:val="center"/>
          </w:tcPr>
          <w:p w14:paraId="0DA496AA"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E34BA8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47E4541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0640F75"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6451CE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2471B1BE"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8BC7CD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320F4F5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5,174,998</w:t>
            </w:r>
          </w:p>
        </w:tc>
      </w:tr>
      <w:tr w:rsidR="008A5057" w:rsidRPr="00BD295E" w14:paraId="1CA60A73"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9B1B43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615BDBCD"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C0C334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1B18ACB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4,236,655</w:t>
            </w:r>
          </w:p>
        </w:tc>
      </w:tr>
      <w:tr w:rsidR="008A5057" w:rsidRPr="00BD295E" w14:paraId="3BEE7641"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8EB92D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С3 Standardized tariff rate to cover expenses for the construction of cable lines using horizontal directional drilling </w:t>
            </w:r>
          </w:p>
        </w:tc>
        <w:tc>
          <w:tcPr>
            <w:tcW w:w="1701" w:type="dxa"/>
            <w:vMerge/>
            <w:tcBorders>
              <w:top w:val="single" w:sz="4" w:space="0" w:color="auto"/>
              <w:left w:val="single" w:sz="4" w:space="0" w:color="auto"/>
              <w:right w:val="single" w:sz="4" w:space="0" w:color="auto"/>
            </w:tcBorders>
            <w:shd w:val="clear" w:color="auto" w:fill="auto"/>
            <w:vAlign w:val="center"/>
          </w:tcPr>
          <w:p w14:paraId="706C9991"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14C459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36176E4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621FF95"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63B7AF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72EA6B3D"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62104D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5BC455F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16,510,028</w:t>
            </w:r>
          </w:p>
        </w:tc>
      </w:tr>
      <w:tr w:rsidR="008A5057" w:rsidRPr="00BD295E" w14:paraId="167D69CE"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156A25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639F9C34"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D386F9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791E325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18,358,396</w:t>
            </w:r>
          </w:p>
        </w:tc>
      </w:tr>
      <w:tr w:rsidR="008A5057" w:rsidRPr="00BD295E" w14:paraId="35A02B3F"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450BA9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С4 Standardized tariff rate to cover expenses for the construction of 10 MVA distribution points</w:t>
            </w:r>
          </w:p>
        </w:tc>
        <w:tc>
          <w:tcPr>
            <w:tcW w:w="1701" w:type="dxa"/>
            <w:vMerge/>
            <w:tcBorders>
              <w:top w:val="single" w:sz="4" w:space="0" w:color="auto"/>
              <w:left w:val="single" w:sz="4" w:space="0" w:color="auto"/>
              <w:right w:val="single" w:sz="4" w:space="0" w:color="auto"/>
            </w:tcBorders>
            <w:shd w:val="clear" w:color="auto" w:fill="auto"/>
            <w:vAlign w:val="center"/>
          </w:tcPr>
          <w:p w14:paraId="0813C40C"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954BDD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4305191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6C967BA7"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CA7E9F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30C6F5DB"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BD29F9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single" w:sz="4" w:space="0" w:color="auto"/>
              <w:left w:val="nil"/>
              <w:bottom w:val="single" w:sz="4" w:space="0" w:color="auto"/>
              <w:right w:val="single" w:sz="4" w:space="0" w:color="auto"/>
            </w:tcBorders>
            <w:shd w:val="clear" w:color="auto" w:fill="auto"/>
            <w:vAlign w:val="center"/>
          </w:tcPr>
          <w:p w14:paraId="3A410CD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4E3F9A20"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412B6E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3D003BF3"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D08A64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single" w:sz="4" w:space="0" w:color="auto"/>
              <w:left w:val="nil"/>
              <w:bottom w:val="single" w:sz="4" w:space="0" w:color="auto"/>
              <w:right w:val="single" w:sz="4" w:space="0" w:color="auto"/>
            </w:tcBorders>
            <w:shd w:val="clear" w:color="auto" w:fill="auto"/>
            <w:vAlign w:val="center"/>
          </w:tcPr>
          <w:p w14:paraId="5FE0CDA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4749F05"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908988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pole-mounted transformer substations</w:t>
            </w:r>
          </w:p>
        </w:tc>
        <w:tc>
          <w:tcPr>
            <w:tcW w:w="1701" w:type="dxa"/>
            <w:vMerge/>
            <w:tcBorders>
              <w:top w:val="single" w:sz="4" w:space="0" w:color="auto"/>
              <w:left w:val="single" w:sz="4" w:space="0" w:color="auto"/>
              <w:right w:val="single" w:sz="4" w:space="0" w:color="auto"/>
            </w:tcBorders>
            <w:shd w:val="clear" w:color="auto" w:fill="auto"/>
            <w:vAlign w:val="center"/>
          </w:tcPr>
          <w:p w14:paraId="59CFC017"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2091EC8"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02EE8BC4" w14:textId="77777777" w:rsidR="005C1246" w:rsidRPr="00BD295E" w:rsidRDefault="005C1246" w:rsidP="00D648DD">
            <w:pPr>
              <w:jc w:val="right"/>
              <w:rPr>
                <w:rFonts w:ascii="Arial" w:hAnsi="Arial" w:cs="Arial"/>
                <w:sz w:val="18"/>
                <w:szCs w:val="18"/>
                <w:lang w:val="en-US"/>
              </w:rPr>
            </w:pPr>
          </w:p>
        </w:tc>
      </w:tr>
      <w:tr w:rsidR="008A5057" w:rsidRPr="00BD295E" w14:paraId="66254EAF"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9053AD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38B01C08"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730406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7122FBD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6,844</w:t>
            </w:r>
          </w:p>
        </w:tc>
      </w:tr>
      <w:tr w:rsidR="008A5057" w:rsidRPr="00BD295E" w14:paraId="47C7839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0488417"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39002B24"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683D42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1A6FA2D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6,844</w:t>
            </w:r>
          </w:p>
        </w:tc>
      </w:tr>
      <w:tr w:rsidR="008A5057" w:rsidRPr="00BD295E" w14:paraId="1EC716AF"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C106ED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package transformer substations</w:t>
            </w:r>
          </w:p>
        </w:tc>
        <w:tc>
          <w:tcPr>
            <w:tcW w:w="1701" w:type="dxa"/>
            <w:vMerge/>
            <w:tcBorders>
              <w:top w:val="single" w:sz="4" w:space="0" w:color="auto"/>
              <w:left w:val="single" w:sz="4" w:space="0" w:color="auto"/>
              <w:right w:val="single" w:sz="4" w:space="0" w:color="auto"/>
            </w:tcBorders>
            <w:shd w:val="clear" w:color="auto" w:fill="auto"/>
            <w:vAlign w:val="center"/>
          </w:tcPr>
          <w:p w14:paraId="2D78AA96"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93501BB"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5190101D" w14:textId="77777777" w:rsidR="005C1246" w:rsidRPr="00BD295E" w:rsidRDefault="005C1246" w:rsidP="00D648DD">
            <w:pPr>
              <w:jc w:val="right"/>
              <w:rPr>
                <w:rFonts w:ascii="Arial" w:hAnsi="Arial" w:cs="Arial"/>
                <w:sz w:val="18"/>
                <w:szCs w:val="18"/>
                <w:lang w:val="en-US"/>
              </w:rPr>
            </w:pPr>
          </w:p>
        </w:tc>
      </w:tr>
      <w:tr w:rsidR="008A5057" w:rsidRPr="00BD295E" w14:paraId="22D87B87"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6BDEB80"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4F00629E"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CD42E6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5305DC1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5,341</w:t>
            </w:r>
          </w:p>
        </w:tc>
      </w:tr>
      <w:tr w:rsidR="008A5057" w:rsidRPr="00BD295E" w14:paraId="6BDF9CF3"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607AD7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4F970D71"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0EB860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1680F26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5,341</w:t>
            </w:r>
          </w:p>
        </w:tc>
      </w:tr>
      <w:tr w:rsidR="008A5057" w:rsidRPr="00BD295E" w14:paraId="1764E48D"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C95001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unit-type package transformer substations (UPTS)</w:t>
            </w:r>
          </w:p>
        </w:tc>
        <w:tc>
          <w:tcPr>
            <w:tcW w:w="1701" w:type="dxa"/>
            <w:vMerge/>
            <w:tcBorders>
              <w:top w:val="single" w:sz="4" w:space="0" w:color="auto"/>
              <w:left w:val="single" w:sz="4" w:space="0" w:color="auto"/>
              <w:right w:val="single" w:sz="4" w:space="0" w:color="auto"/>
            </w:tcBorders>
            <w:shd w:val="clear" w:color="auto" w:fill="auto"/>
            <w:vAlign w:val="center"/>
          </w:tcPr>
          <w:p w14:paraId="7B30C505"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9035538"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2FE8F752" w14:textId="77777777" w:rsidR="005C1246" w:rsidRPr="00BD295E" w:rsidRDefault="005C1246" w:rsidP="00D648DD">
            <w:pPr>
              <w:jc w:val="right"/>
              <w:rPr>
                <w:rFonts w:ascii="Arial" w:hAnsi="Arial" w:cs="Arial"/>
                <w:sz w:val="18"/>
                <w:szCs w:val="18"/>
                <w:lang w:val="en-US"/>
              </w:rPr>
            </w:pPr>
          </w:p>
        </w:tc>
      </w:tr>
      <w:tr w:rsidR="008A5057" w:rsidRPr="00BD295E" w14:paraId="233BD18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4A0ADF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733DE3A5"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8531CC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17834D5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8,968</w:t>
            </w:r>
          </w:p>
        </w:tc>
      </w:tr>
      <w:tr w:rsidR="008A5057" w:rsidRPr="00BD295E" w14:paraId="0EDAA584"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8E24C10"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2C8CCCBE"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097611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3A73FDC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8,968</w:t>
            </w:r>
          </w:p>
        </w:tc>
      </w:tr>
      <w:tr w:rsidR="008A5057" w:rsidRPr="00BD295E" w14:paraId="60177885"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50C689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2PTS substations</w:t>
            </w:r>
          </w:p>
        </w:tc>
        <w:tc>
          <w:tcPr>
            <w:tcW w:w="1701" w:type="dxa"/>
            <w:vMerge/>
            <w:tcBorders>
              <w:top w:val="single" w:sz="4" w:space="0" w:color="auto"/>
              <w:left w:val="single" w:sz="4" w:space="0" w:color="auto"/>
              <w:right w:val="single" w:sz="4" w:space="0" w:color="auto"/>
            </w:tcBorders>
            <w:shd w:val="clear" w:color="auto" w:fill="auto"/>
            <w:vAlign w:val="center"/>
          </w:tcPr>
          <w:p w14:paraId="7815F03A"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CADCCE4"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329A2F5B" w14:textId="77777777" w:rsidR="005C1246" w:rsidRPr="00BD295E" w:rsidRDefault="005C1246" w:rsidP="00D648DD">
            <w:pPr>
              <w:jc w:val="right"/>
              <w:rPr>
                <w:rFonts w:ascii="Arial" w:hAnsi="Arial" w:cs="Arial"/>
                <w:sz w:val="18"/>
                <w:szCs w:val="18"/>
                <w:lang w:val="en-US"/>
              </w:rPr>
            </w:pPr>
          </w:p>
        </w:tc>
      </w:tr>
      <w:tr w:rsidR="008A5057" w:rsidRPr="00BD295E" w14:paraId="06D1F405"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F77649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225A4893"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C9EFBE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7A32B83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3,749</w:t>
            </w:r>
          </w:p>
        </w:tc>
      </w:tr>
      <w:tr w:rsidR="008A5057" w:rsidRPr="00BD295E" w14:paraId="0990AC8D"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F8B15C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5CFEC81"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4B0EFF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32F2040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3,749</w:t>
            </w:r>
          </w:p>
        </w:tc>
      </w:tr>
      <w:tr w:rsidR="008A5057" w:rsidRPr="00BD295E" w14:paraId="292A42CA"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E385F5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2UPTS substations</w:t>
            </w:r>
          </w:p>
        </w:tc>
        <w:tc>
          <w:tcPr>
            <w:tcW w:w="1701" w:type="dxa"/>
            <w:vMerge/>
            <w:tcBorders>
              <w:top w:val="single" w:sz="4" w:space="0" w:color="auto"/>
              <w:left w:val="single" w:sz="4" w:space="0" w:color="auto"/>
              <w:right w:val="single" w:sz="4" w:space="0" w:color="auto"/>
            </w:tcBorders>
            <w:shd w:val="clear" w:color="auto" w:fill="auto"/>
            <w:vAlign w:val="center"/>
          </w:tcPr>
          <w:p w14:paraId="23AD3B7C"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7CFB919"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06FCBEA4" w14:textId="77777777" w:rsidR="005C1246" w:rsidRPr="00BD295E" w:rsidRDefault="005C1246" w:rsidP="00D648DD">
            <w:pPr>
              <w:jc w:val="right"/>
              <w:rPr>
                <w:rFonts w:ascii="Arial" w:hAnsi="Arial" w:cs="Arial"/>
                <w:sz w:val="18"/>
                <w:szCs w:val="18"/>
                <w:lang w:val="en-US"/>
              </w:rPr>
            </w:pPr>
          </w:p>
        </w:tc>
      </w:tr>
      <w:tr w:rsidR="008A5057" w:rsidRPr="00BD295E" w14:paraId="38E5C4C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551157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B1B7D9"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6E6C11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2D8A979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6,638</w:t>
            </w:r>
          </w:p>
        </w:tc>
      </w:tr>
      <w:tr w:rsidR="008A5057" w:rsidRPr="00BD295E" w14:paraId="2DF68DD0"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1BB197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1CC4716"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4D00FE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6CFFD76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6,638</w:t>
            </w:r>
          </w:p>
        </w:tc>
      </w:tr>
      <w:tr w:rsidR="008A5057" w:rsidRPr="00BD295E" w14:paraId="52240B7C" w14:textId="77777777" w:rsidTr="00D648DD">
        <w:trPr>
          <w:gridAfter w:val="1"/>
          <w:wAfter w:w="1701" w:type="dxa"/>
          <w:trHeight w:val="552"/>
        </w:trPr>
        <w:tc>
          <w:tcPr>
            <w:tcW w:w="9513" w:type="dxa"/>
            <w:gridSpan w:val="4"/>
            <w:tcBorders>
              <w:top w:val="nil"/>
              <w:left w:val="single" w:sz="4" w:space="0" w:color="auto"/>
              <w:bottom w:val="single" w:sz="4" w:space="0" w:color="auto"/>
              <w:right w:val="single" w:sz="4" w:space="0" w:color="auto"/>
            </w:tcBorders>
            <w:shd w:val="clear" w:color="auto" w:fill="auto"/>
            <w:vAlign w:val="center"/>
          </w:tcPr>
          <w:p w14:paraId="66AB3BDA"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Connection fee rates per unit of maximum capacity</w:t>
            </w:r>
          </w:p>
        </w:tc>
      </w:tr>
      <w:tr w:rsidR="008A5057" w:rsidRPr="00BD295E" w14:paraId="7C042AEC"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BD9867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Rate per unit of maximum capacity for activities provided in item 16 (except sub-item “b”) of the Guidelines for Grid Connection in Urban Areas</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730844B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single" w:sz="4" w:space="0" w:color="auto"/>
              <w:left w:val="nil"/>
              <w:bottom w:val="single" w:sz="4" w:space="0" w:color="auto"/>
              <w:right w:val="single" w:sz="4" w:space="0" w:color="auto"/>
            </w:tcBorders>
            <w:shd w:val="clear" w:color="auto" w:fill="auto"/>
            <w:vAlign w:val="center"/>
          </w:tcPr>
          <w:p w14:paraId="1F41173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1F257B9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642</w:t>
            </w:r>
          </w:p>
        </w:tc>
      </w:tr>
      <w:tr w:rsidR="008A5057" w:rsidRPr="00BD295E" w14:paraId="6E8D908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6EF875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left w:val="single" w:sz="4" w:space="0" w:color="auto"/>
              <w:right w:val="single" w:sz="4" w:space="0" w:color="auto"/>
            </w:tcBorders>
            <w:shd w:val="clear" w:color="auto" w:fill="auto"/>
            <w:vAlign w:val="center"/>
          </w:tcPr>
          <w:p w14:paraId="6E28B65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AE8840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51E82D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272</w:t>
            </w:r>
          </w:p>
        </w:tc>
      </w:tr>
      <w:tr w:rsidR="008A5057" w:rsidRPr="00BD295E" w14:paraId="7B9AA73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7EF380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left w:val="single" w:sz="4" w:space="0" w:color="auto"/>
              <w:bottom w:val="single" w:sz="4" w:space="0" w:color="auto"/>
              <w:right w:val="single" w:sz="4" w:space="0" w:color="auto"/>
            </w:tcBorders>
            <w:shd w:val="clear" w:color="auto" w:fill="auto"/>
            <w:vAlign w:val="center"/>
          </w:tcPr>
          <w:p w14:paraId="3F45576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2371C1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773D094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370</w:t>
            </w:r>
          </w:p>
        </w:tc>
      </w:tr>
      <w:tr w:rsidR="008A5057" w:rsidRPr="00BD295E" w14:paraId="0853B84D" w14:textId="77777777" w:rsidTr="00D648DD">
        <w:trPr>
          <w:gridAfter w:val="1"/>
          <w:wAfter w:w="1701" w:type="dxa"/>
          <w:trHeight w:val="552"/>
        </w:trPr>
        <w:tc>
          <w:tcPr>
            <w:tcW w:w="9513" w:type="dxa"/>
            <w:gridSpan w:val="4"/>
            <w:tcBorders>
              <w:top w:val="nil"/>
              <w:left w:val="single" w:sz="4" w:space="0" w:color="auto"/>
              <w:bottom w:val="single" w:sz="4" w:space="0" w:color="auto"/>
              <w:right w:val="single" w:sz="4" w:space="0" w:color="auto"/>
            </w:tcBorders>
            <w:shd w:val="clear" w:color="auto" w:fill="auto"/>
            <w:vAlign w:val="center"/>
          </w:tcPr>
          <w:p w14:paraId="770EA819"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Rate per unit of maximum capacity for “last mile” activities</w:t>
            </w:r>
          </w:p>
        </w:tc>
      </w:tr>
      <w:tr w:rsidR="008A5057" w:rsidRPr="00BD295E" w14:paraId="0C9FA1A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ED2272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Construction of 10(6) kV overhead lines, including:</w:t>
            </w:r>
          </w:p>
        </w:tc>
        <w:tc>
          <w:tcPr>
            <w:tcW w:w="1701" w:type="dxa"/>
            <w:vMerge w:val="restart"/>
            <w:tcBorders>
              <w:left w:val="single" w:sz="4" w:space="0" w:color="auto"/>
              <w:right w:val="single" w:sz="4" w:space="0" w:color="auto"/>
            </w:tcBorders>
            <w:shd w:val="clear" w:color="auto" w:fill="auto"/>
            <w:vAlign w:val="center"/>
          </w:tcPr>
          <w:p w14:paraId="2F340FE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nil"/>
              <w:left w:val="nil"/>
              <w:bottom w:val="single" w:sz="4" w:space="0" w:color="auto"/>
              <w:right w:val="single" w:sz="4" w:space="0" w:color="auto"/>
            </w:tcBorders>
            <w:shd w:val="clear" w:color="auto" w:fill="auto"/>
            <w:vAlign w:val="center"/>
          </w:tcPr>
          <w:p w14:paraId="7B53E95C"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5D2C6EB3" w14:textId="77777777" w:rsidR="005C1246" w:rsidRPr="00BD295E" w:rsidRDefault="005C1246" w:rsidP="00D648DD">
            <w:pPr>
              <w:jc w:val="right"/>
              <w:rPr>
                <w:rFonts w:ascii="Arial" w:hAnsi="Arial" w:cs="Arial"/>
                <w:sz w:val="18"/>
                <w:szCs w:val="18"/>
                <w:lang w:val="en-US"/>
              </w:rPr>
            </w:pPr>
          </w:p>
        </w:tc>
      </w:tr>
      <w:tr w:rsidR="008A5057" w:rsidRPr="00BD295E" w14:paraId="5340960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309F26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single-circuit overhead lines</w:t>
            </w:r>
          </w:p>
        </w:tc>
        <w:tc>
          <w:tcPr>
            <w:tcW w:w="1701" w:type="dxa"/>
            <w:vMerge/>
            <w:tcBorders>
              <w:left w:val="single" w:sz="4" w:space="0" w:color="auto"/>
              <w:right w:val="single" w:sz="4" w:space="0" w:color="auto"/>
            </w:tcBorders>
            <w:shd w:val="clear" w:color="auto" w:fill="auto"/>
            <w:vAlign w:val="center"/>
          </w:tcPr>
          <w:p w14:paraId="0FA4B4E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CBDD6B1"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59E22209" w14:textId="77777777" w:rsidR="005C1246" w:rsidRPr="00BD295E" w:rsidRDefault="005C1246" w:rsidP="00D648DD">
            <w:pPr>
              <w:jc w:val="right"/>
              <w:rPr>
                <w:rFonts w:ascii="Arial" w:hAnsi="Arial" w:cs="Arial"/>
                <w:sz w:val="18"/>
                <w:szCs w:val="18"/>
                <w:lang w:val="en-US"/>
              </w:rPr>
            </w:pPr>
          </w:p>
        </w:tc>
      </w:tr>
      <w:tr w:rsidR="008A5057" w:rsidRPr="00BD295E" w14:paraId="045321AB"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FC84D7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72503CD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B3B254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7711E38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8,908</w:t>
            </w:r>
          </w:p>
        </w:tc>
      </w:tr>
      <w:tr w:rsidR="008A5057" w:rsidRPr="00BD295E" w14:paraId="55E38DF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43F4C68"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0B62D68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9CBA02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43CACB3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8,908</w:t>
            </w:r>
          </w:p>
        </w:tc>
      </w:tr>
      <w:tr w:rsidR="008A5057" w:rsidRPr="00BD295E" w14:paraId="7B21CCC2"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5C94BE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double-circuit overhead lines</w:t>
            </w:r>
          </w:p>
        </w:tc>
        <w:tc>
          <w:tcPr>
            <w:tcW w:w="1701" w:type="dxa"/>
            <w:vMerge/>
            <w:tcBorders>
              <w:left w:val="single" w:sz="4" w:space="0" w:color="auto"/>
              <w:right w:val="single" w:sz="4" w:space="0" w:color="auto"/>
            </w:tcBorders>
            <w:shd w:val="clear" w:color="auto" w:fill="auto"/>
            <w:vAlign w:val="center"/>
          </w:tcPr>
          <w:p w14:paraId="66712E8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F132D44"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DBC47F8" w14:textId="77777777" w:rsidR="005C1246" w:rsidRPr="00BD295E" w:rsidRDefault="005C1246" w:rsidP="00D648DD">
            <w:pPr>
              <w:jc w:val="right"/>
              <w:rPr>
                <w:rFonts w:ascii="Arial" w:hAnsi="Arial" w:cs="Arial"/>
                <w:sz w:val="18"/>
                <w:szCs w:val="18"/>
                <w:lang w:val="en-US"/>
              </w:rPr>
            </w:pPr>
          </w:p>
        </w:tc>
      </w:tr>
      <w:tr w:rsidR="008A5057" w:rsidRPr="00BD295E" w14:paraId="54C8C82E"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AB91C3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0A7D7AC7"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ADBC84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2C9E6D0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10,670</w:t>
            </w:r>
          </w:p>
        </w:tc>
      </w:tr>
      <w:tr w:rsidR="008A5057" w:rsidRPr="00BD295E" w14:paraId="5361D8A2"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5B4807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8B19425"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F8D48B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6A2CCA8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10,670</w:t>
            </w:r>
          </w:p>
        </w:tc>
      </w:tr>
      <w:tr w:rsidR="008A5057" w:rsidRPr="00BD295E" w14:paraId="310C6BB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BC09EE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Construction of 10(6) kV cable lines, including:</w:t>
            </w:r>
          </w:p>
        </w:tc>
        <w:tc>
          <w:tcPr>
            <w:tcW w:w="1701" w:type="dxa"/>
            <w:vMerge/>
            <w:tcBorders>
              <w:left w:val="single" w:sz="4" w:space="0" w:color="auto"/>
              <w:right w:val="single" w:sz="4" w:space="0" w:color="auto"/>
            </w:tcBorders>
            <w:shd w:val="clear" w:color="auto" w:fill="auto"/>
            <w:vAlign w:val="center"/>
          </w:tcPr>
          <w:p w14:paraId="579D253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2AA71D9"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1FDE5FC2" w14:textId="77777777" w:rsidR="005C1246" w:rsidRPr="00BD295E" w:rsidRDefault="005C1246" w:rsidP="00D648DD">
            <w:pPr>
              <w:jc w:val="right"/>
              <w:rPr>
                <w:rFonts w:ascii="Arial" w:hAnsi="Arial" w:cs="Arial"/>
                <w:sz w:val="18"/>
                <w:szCs w:val="18"/>
                <w:lang w:val="en-US"/>
              </w:rPr>
            </w:pPr>
          </w:p>
        </w:tc>
      </w:tr>
      <w:tr w:rsidR="008A5057" w:rsidRPr="00BD295E" w14:paraId="0E7FF390"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48D4E4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cable lines (one cable per trench)</w:t>
            </w:r>
          </w:p>
        </w:tc>
        <w:tc>
          <w:tcPr>
            <w:tcW w:w="1701" w:type="dxa"/>
            <w:vMerge/>
            <w:tcBorders>
              <w:left w:val="single" w:sz="4" w:space="0" w:color="auto"/>
              <w:right w:val="single" w:sz="4" w:space="0" w:color="auto"/>
            </w:tcBorders>
            <w:shd w:val="clear" w:color="auto" w:fill="auto"/>
            <w:vAlign w:val="center"/>
          </w:tcPr>
          <w:p w14:paraId="7C01E5B7"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FD6A672"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18BC651E" w14:textId="77777777" w:rsidR="005C1246" w:rsidRPr="00BD295E" w:rsidRDefault="005C1246" w:rsidP="00D648DD">
            <w:pPr>
              <w:jc w:val="right"/>
              <w:rPr>
                <w:rFonts w:ascii="Arial" w:hAnsi="Arial" w:cs="Arial"/>
                <w:sz w:val="18"/>
                <w:szCs w:val="18"/>
                <w:lang w:val="en-US"/>
              </w:rPr>
            </w:pPr>
          </w:p>
        </w:tc>
      </w:tr>
      <w:tr w:rsidR="008A5057" w:rsidRPr="00BD295E" w14:paraId="364468A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DAF8F9C"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33254BA2"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8D3584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1EEE47C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10,578</w:t>
            </w:r>
          </w:p>
        </w:tc>
      </w:tr>
      <w:tr w:rsidR="008A5057" w:rsidRPr="00BD295E" w14:paraId="683EC68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9705DF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6D25BA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F13A82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2025E13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10,309</w:t>
            </w:r>
          </w:p>
        </w:tc>
      </w:tr>
      <w:tr w:rsidR="008A5057" w:rsidRPr="00BD295E" w14:paraId="184753A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B536CC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cable lines (two cables per trench)</w:t>
            </w:r>
          </w:p>
        </w:tc>
        <w:tc>
          <w:tcPr>
            <w:tcW w:w="1701" w:type="dxa"/>
            <w:vMerge/>
            <w:tcBorders>
              <w:left w:val="single" w:sz="4" w:space="0" w:color="auto"/>
              <w:right w:val="single" w:sz="4" w:space="0" w:color="auto"/>
            </w:tcBorders>
            <w:shd w:val="clear" w:color="auto" w:fill="auto"/>
            <w:vAlign w:val="center"/>
          </w:tcPr>
          <w:p w14:paraId="5A80130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E6721D3"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55898886" w14:textId="77777777" w:rsidR="005C1246" w:rsidRPr="00BD295E" w:rsidRDefault="005C1246" w:rsidP="00D648DD">
            <w:pPr>
              <w:jc w:val="right"/>
              <w:rPr>
                <w:rFonts w:ascii="Arial" w:hAnsi="Arial" w:cs="Arial"/>
                <w:sz w:val="18"/>
                <w:szCs w:val="18"/>
                <w:lang w:val="en-US"/>
              </w:rPr>
            </w:pPr>
          </w:p>
        </w:tc>
      </w:tr>
      <w:tr w:rsidR="008A5057" w:rsidRPr="00BD295E" w14:paraId="0F28CBB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361C2E8"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87EF47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974EC7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5A17C4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11,298</w:t>
            </w:r>
          </w:p>
        </w:tc>
      </w:tr>
      <w:tr w:rsidR="008A5057" w:rsidRPr="00BD295E" w14:paraId="295ED02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B1B055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46A9A63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55B49C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4A29318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11,366</w:t>
            </w:r>
          </w:p>
        </w:tc>
      </w:tr>
      <w:tr w:rsidR="008A5057" w:rsidRPr="00BD295E" w14:paraId="5B0B25B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564518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C4 Construction of distribution points</w:t>
            </w:r>
          </w:p>
        </w:tc>
        <w:tc>
          <w:tcPr>
            <w:tcW w:w="1701" w:type="dxa"/>
            <w:vMerge/>
            <w:tcBorders>
              <w:left w:val="single" w:sz="4" w:space="0" w:color="auto"/>
              <w:right w:val="single" w:sz="4" w:space="0" w:color="auto"/>
            </w:tcBorders>
            <w:shd w:val="clear" w:color="auto" w:fill="auto"/>
            <w:vAlign w:val="center"/>
          </w:tcPr>
          <w:p w14:paraId="64981DA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AB579D0"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5F0EEF9C" w14:textId="77777777" w:rsidR="005C1246" w:rsidRPr="00BD295E" w:rsidRDefault="005C1246" w:rsidP="00D648DD">
            <w:pPr>
              <w:jc w:val="right"/>
              <w:rPr>
                <w:rFonts w:ascii="Arial" w:hAnsi="Arial" w:cs="Arial"/>
                <w:sz w:val="18"/>
                <w:szCs w:val="18"/>
                <w:lang w:val="en-US"/>
              </w:rPr>
            </w:pPr>
          </w:p>
        </w:tc>
      </w:tr>
      <w:tr w:rsidR="008A5057" w:rsidRPr="00BD295E" w14:paraId="0F94161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5B2A27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41107A6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03508A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tcPr>
          <w:p w14:paraId="7D99C7D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1,134</w:t>
            </w:r>
          </w:p>
        </w:tc>
      </w:tr>
      <w:tr w:rsidR="008A5057" w:rsidRPr="00BD295E" w14:paraId="593152EB"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F1F3C01"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2C4DC43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E6C266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tcPr>
          <w:p w14:paraId="560A036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1,134</w:t>
            </w:r>
          </w:p>
        </w:tc>
      </w:tr>
      <w:tr w:rsidR="008A5057" w:rsidRPr="00BD295E" w14:paraId="0A8404C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446ECA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Construction of transformer substations with voltage up to 35kV, including</w:t>
            </w:r>
          </w:p>
        </w:tc>
        <w:tc>
          <w:tcPr>
            <w:tcW w:w="1701" w:type="dxa"/>
            <w:vMerge/>
            <w:tcBorders>
              <w:left w:val="single" w:sz="4" w:space="0" w:color="auto"/>
              <w:right w:val="single" w:sz="4" w:space="0" w:color="auto"/>
            </w:tcBorders>
            <w:shd w:val="clear" w:color="auto" w:fill="auto"/>
            <w:vAlign w:val="center"/>
          </w:tcPr>
          <w:p w14:paraId="3FF23A2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AADE8CC"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0CC8B2E7" w14:textId="77777777" w:rsidR="005C1246" w:rsidRPr="00BD295E" w:rsidRDefault="005C1246" w:rsidP="00D648DD">
            <w:pPr>
              <w:jc w:val="right"/>
              <w:rPr>
                <w:rFonts w:ascii="Arial" w:hAnsi="Arial" w:cs="Arial"/>
                <w:sz w:val="18"/>
                <w:szCs w:val="18"/>
                <w:lang w:val="en-US"/>
              </w:rPr>
            </w:pPr>
          </w:p>
        </w:tc>
      </w:tr>
      <w:tr w:rsidR="008A5057" w:rsidRPr="00BD295E" w14:paraId="63BE88D0"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5B7733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pole-mounted transformer substations</w:t>
            </w:r>
          </w:p>
        </w:tc>
        <w:tc>
          <w:tcPr>
            <w:tcW w:w="1701" w:type="dxa"/>
            <w:vMerge/>
            <w:tcBorders>
              <w:left w:val="single" w:sz="4" w:space="0" w:color="auto"/>
              <w:right w:val="single" w:sz="4" w:space="0" w:color="auto"/>
            </w:tcBorders>
            <w:shd w:val="clear" w:color="auto" w:fill="auto"/>
            <w:vAlign w:val="center"/>
          </w:tcPr>
          <w:p w14:paraId="69CB348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3AA35EB"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23E35848" w14:textId="77777777" w:rsidR="005C1246" w:rsidRPr="00BD295E" w:rsidRDefault="005C1246" w:rsidP="00D648DD">
            <w:pPr>
              <w:jc w:val="right"/>
              <w:rPr>
                <w:rFonts w:ascii="Arial" w:hAnsi="Arial" w:cs="Arial"/>
                <w:sz w:val="18"/>
                <w:szCs w:val="18"/>
                <w:lang w:val="en-US"/>
              </w:rPr>
            </w:pPr>
          </w:p>
        </w:tc>
      </w:tr>
      <w:tr w:rsidR="008A5057" w:rsidRPr="00BD295E" w14:paraId="0F70BC1C" w14:textId="77777777" w:rsidTr="00D648DD">
        <w:trPr>
          <w:gridAfter w:val="1"/>
          <w:wAfter w:w="1701" w:type="dxa"/>
          <w:trHeight w:val="494"/>
        </w:trPr>
        <w:tc>
          <w:tcPr>
            <w:tcW w:w="5118" w:type="dxa"/>
            <w:tcBorders>
              <w:top w:val="nil"/>
              <w:left w:val="single" w:sz="4" w:space="0" w:color="auto"/>
              <w:bottom w:val="single" w:sz="4" w:space="0" w:color="auto"/>
              <w:right w:val="single" w:sz="4" w:space="0" w:color="auto"/>
            </w:tcBorders>
            <w:shd w:val="clear" w:color="auto" w:fill="auto"/>
            <w:vAlign w:val="center"/>
          </w:tcPr>
          <w:p w14:paraId="1F93786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val="restart"/>
            <w:tcBorders>
              <w:left w:val="single" w:sz="4" w:space="0" w:color="auto"/>
              <w:bottom w:val="nil"/>
              <w:right w:val="single" w:sz="4" w:space="0" w:color="auto"/>
            </w:tcBorders>
            <w:shd w:val="clear" w:color="auto" w:fill="auto"/>
            <w:vAlign w:val="center"/>
          </w:tcPr>
          <w:p w14:paraId="777F6713"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nil"/>
              <w:left w:val="nil"/>
              <w:bottom w:val="single" w:sz="4" w:space="0" w:color="auto"/>
              <w:right w:val="single" w:sz="4" w:space="0" w:color="auto"/>
            </w:tcBorders>
            <w:shd w:val="clear" w:color="auto" w:fill="auto"/>
            <w:vAlign w:val="center"/>
          </w:tcPr>
          <w:p w14:paraId="6DA24BA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063DE46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F9FFEA7" w14:textId="77777777" w:rsidTr="00D648DD">
        <w:trPr>
          <w:gridAfter w:val="1"/>
          <w:wAfter w:w="1701" w:type="dxa"/>
          <w:trHeight w:val="543"/>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2ED2C7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bottom w:val="nil"/>
              <w:right w:val="single" w:sz="4" w:space="0" w:color="auto"/>
            </w:tcBorders>
            <w:shd w:val="clear" w:color="auto" w:fill="auto"/>
            <w:vAlign w:val="center"/>
          </w:tcPr>
          <w:p w14:paraId="0FD027E7" w14:textId="77777777" w:rsidR="005C1246" w:rsidRPr="00BD295E" w:rsidRDefault="005C1246" w:rsidP="00D648DD">
            <w:pPr>
              <w:jc w:val="cente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F978BD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33DC25B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6DDB2EE"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7F91B5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PTS substations</w:t>
            </w:r>
          </w:p>
        </w:tc>
        <w:tc>
          <w:tcPr>
            <w:tcW w:w="1701" w:type="dxa"/>
            <w:vMerge/>
            <w:tcBorders>
              <w:left w:val="single" w:sz="4" w:space="0" w:color="auto"/>
              <w:right w:val="single" w:sz="4" w:space="0" w:color="auto"/>
            </w:tcBorders>
            <w:shd w:val="clear" w:color="auto" w:fill="auto"/>
            <w:vAlign w:val="center"/>
          </w:tcPr>
          <w:p w14:paraId="0A9ACE2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FE4213C"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1DDBDDEE" w14:textId="77777777" w:rsidR="005C1246" w:rsidRPr="00BD295E" w:rsidRDefault="005C1246" w:rsidP="00D648DD">
            <w:pPr>
              <w:jc w:val="right"/>
              <w:rPr>
                <w:rFonts w:ascii="Arial" w:hAnsi="Arial" w:cs="Arial"/>
                <w:sz w:val="18"/>
                <w:szCs w:val="18"/>
                <w:lang w:val="en-US"/>
              </w:rPr>
            </w:pPr>
          </w:p>
        </w:tc>
      </w:tr>
      <w:tr w:rsidR="008A5057" w:rsidRPr="00BD295E" w14:paraId="7631923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226022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172DFDD2"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5A6F1EB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73FAC3A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622DF2F0"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6C36E8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274C29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045A94A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22062E6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48B8D52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7CDC7C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UPTS substations</w:t>
            </w:r>
          </w:p>
        </w:tc>
        <w:tc>
          <w:tcPr>
            <w:tcW w:w="1701" w:type="dxa"/>
            <w:vMerge/>
            <w:tcBorders>
              <w:left w:val="single" w:sz="4" w:space="0" w:color="auto"/>
              <w:right w:val="single" w:sz="4" w:space="0" w:color="auto"/>
            </w:tcBorders>
            <w:shd w:val="clear" w:color="auto" w:fill="auto"/>
            <w:vAlign w:val="center"/>
          </w:tcPr>
          <w:p w14:paraId="4C75773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16BE1C8"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2C19D35" w14:textId="77777777" w:rsidR="005C1246" w:rsidRPr="00BD295E" w:rsidRDefault="005C1246" w:rsidP="00D648DD">
            <w:pPr>
              <w:jc w:val="right"/>
              <w:rPr>
                <w:rFonts w:ascii="Arial" w:hAnsi="Arial" w:cs="Arial"/>
                <w:sz w:val="18"/>
                <w:szCs w:val="18"/>
                <w:lang w:val="en-US"/>
              </w:rPr>
            </w:pPr>
          </w:p>
        </w:tc>
      </w:tr>
      <w:tr w:rsidR="008A5057" w:rsidRPr="00BD295E" w14:paraId="106801C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5D5AC9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214A963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457082F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085DC55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299B67E7"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11A10F5"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00947A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5F0F3B9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666E1EA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263827D5"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9EDE45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2PTS substations</w:t>
            </w:r>
          </w:p>
        </w:tc>
        <w:tc>
          <w:tcPr>
            <w:tcW w:w="1701" w:type="dxa"/>
            <w:vMerge/>
            <w:tcBorders>
              <w:left w:val="single" w:sz="4" w:space="0" w:color="auto"/>
              <w:right w:val="single" w:sz="4" w:space="0" w:color="auto"/>
            </w:tcBorders>
            <w:shd w:val="clear" w:color="auto" w:fill="auto"/>
            <w:vAlign w:val="center"/>
          </w:tcPr>
          <w:p w14:paraId="465D5B6F"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68980E7"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422CDA5" w14:textId="77777777" w:rsidR="005C1246" w:rsidRPr="00BD295E" w:rsidRDefault="005C1246" w:rsidP="00D648DD">
            <w:pPr>
              <w:jc w:val="right"/>
              <w:rPr>
                <w:rFonts w:ascii="Arial" w:hAnsi="Arial" w:cs="Arial"/>
                <w:sz w:val="18"/>
                <w:szCs w:val="18"/>
                <w:lang w:val="en-US"/>
              </w:rPr>
            </w:pPr>
          </w:p>
        </w:tc>
      </w:tr>
      <w:tr w:rsidR="008A5057" w:rsidRPr="00BD295E" w14:paraId="78C70362"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35CD7A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2BC9907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6EB6D4B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770AEA2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DD80BA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5D9BF9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0D98AB0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34E4E4F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4C31640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00C8EF6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4440A1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2UPTS substations</w:t>
            </w:r>
          </w:p>
        </w:tc>
        <w:tc>
          <w:tcPr>
            <w:tcW w:w="1701" w:type="dxa"/>
            <w:vMerge/>
            <w:tcBorders>
              <w:left w:val="single" w:sz="4" w:space="0" w:color="auto"/>
              <w:right w:val="single" w:sz="4" w:space="0" w:color="auto"/>
            </w:tcBorders>
            <w:shd w:val="clear" w:color="auto" w:fill="auto"/>
            <w:vAlign w:val="center"/>
          </w:tcPr>
          <w:p w14:paraId="4143067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35AF5D7"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13961C50" w14:textId="77777777" w:rsidR="005C1246" w:rsidRPr="00BD295E" w:rsidRDefault="005C1246" w:rsidP="00D648DD">
            <w:pPr>
              <w:jc w:val="right"/>
              <w:rPr>
                <w:rFonts w:ascii="Arial" w:hAnsi="Arial" w:cs="Arial"/>
                <w:sz w:val="18"/>
                <w:szCs w:val="18"/>
                <w:lang w:val="en-US"/>
              </w:rPr>
            </w:pPr>
          </w:p>
        </w:tc>
      </w:tr>
      <w:tr w:rsidR="008A5057" w:rsidRPr="00BD295E" w14:paraId="35D09E75"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795CB37"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08A1D3A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434258D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6357AE8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6336B43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F5BC7AC"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bottom w:val="single" w:sz="4" w:space="0" w:color="auto"/>
              <w:right w:val="single" w:sz="4" w:space="0" w:color="auto"/>
            </w:tcBorders>
            <w:shd w:val="clear" w:color="auto" w:fill="auto"/>
            <w:vAlign w:val="center"/>
          </w:tcPr>
          <w:p w14:paraId="1F07CACF"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08FC18F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4A56137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308E5773" w14:textId="77777777" w:rsidTr="00D648DD">
        <w:trPr>
          <w:gridAfter w:val="1"/>
          <w:wAfter w:w="1701" w:type="dxa"/>
          <w:trHeight w:val="552"/>
        </w:trPr>
        <w:tc>
          <w:tcPr>
            <w:tcW w:w="9513" w:type="dxa"/>
            <w:gridSpan w:val="4"/>
            <w:tcBorders>
              <w:top w:val="nil"/>
              <w:left w:val="single" w:sz="4" w:space="0" w:color="auto"/>
              <w:bottom w:val="single" w:sz="4" w:space="0" w:color="auto"/>
              <w:right w:val="single" w:sz="4" w:space="0" w:color="auto"/>
            </w:tcBorders>
            <w:shd w:val="clear" w:color="auto" w:fill="auto"/>
            <w:vAlign w:val="center"/>
          </w:tcPr>
          <w:p w14:paraId="44ACB451"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Connection fee rates per unit of maximum capacity</w:t>
            </w:r>
          </w:p>
        </w:tc>
      </w:tr>
      <w:tr w:rsidR="008A5057" w:rsidRPr="00BD295E" w14:paraId="347DB437"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FBDB05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Rate per unit of maximum capacity for activities provided in item 16 (except sub-item “b”) of the Guidelines for Grid Connection in Urban Areas</w:t>
            </w:r>
          </w:p>
        </w:tc>
        <w:tc>
          <w:tcPr>
            <w:tcW w:w="1701" w:type="dxa"/>
            <w:vMerge w:val="restart"/>
            <w:tcBorders>
              <w:left w:val="single" w:sz="4" w:space="0" w:color="auto"/>
              <w:right w:val="single" w:sz="4" w:space="0" w:color="auto"/>
            </w:tcBorders>
            <w:shd w:val="clear" w:color="auto" w:fill="auto"/>
            <w:vAlign w:val="center"/>
          </w:tcPr>
          <w:p w14:paraId="0B21EF9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tcBorders>
              <w:top w:val="nil"/>
              <w:left w:val="nil"/>
              <w:bottom w:val="single" w:sz="4" w:space="0" w:color="auto"/>
              <w:right w:val="single" w:sz="4" w:space="0" w:color="auto"/>
            </w:tcBorders>
            <w:shd w:val="clear" w:color="auto" w:fill="auto"/>
            <w:vAlign w:val="center"/>
          </w:tcPr>
          <w:p w14:paraId="2FF1375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3E5DDE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642</w:t>
            </w:r>
          </w:p>
        </w:tc>
      </w:tr>
      <w:tr w:rsidR="008A5057" w:rsidRPr="00BD295E" w14:paraId="3A762FE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57773A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left w:val="single" w:sz="4" w:space="0" w:color="auto"/>
              <w:right w:val="single" w:sz="4" w:space="0" w:color="auto"/>
            </w:tcBorders>
            <w:shd w:val="clear" w:color="auto" w:fill="auto"/>
            <w:vAlign w:val="center"/>
          </w:tcPr>
          <w:p w14:paraId="629CA70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EC1B8A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8D6909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272</w:t>
            </w:r>
          </w:p>
        </w:tc>
      </w:tr>
      <w:tr w:rsidR="008A5057" w:rsidRPr="00BD295E" w14:paraId="07EA6A6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319519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left w:val="single" w:sz="4" w:space="0" w:color="auto"/>
              <w:bottom w:val="single" w:sz="4" w:space="0" w:color="auto"/>
              <w:right w:val="single" w:sz="4" w:space="0" w:color="auto"/>
            </w:tcBorders>
            <w:shd w:val="clear" w:color="auto" w:fill="auto"/>
            <w:vAlign w:val="center"/>
          </w:tcPr>
          <w:p w14:paraId="5D5CEEE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146830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191CFB8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370</w:t>
            </w:r>
          </w:p>
        </w:tc>
      </w:tr>
      <w:tr w:rsidR="008A5057" w:rsidRPr="00BD295E" w14:paraId="79E04F1E" w14:textId="77777777" w:rsidTr="00D648DD">
        <w:trPr>
          <w:gridAfter w:val="1"/>
          <w:wAfter w:w="1701" w:type="dxa"/>
          <w:trHeight w:val="552"/>
        </w:trPr>
        <w:tc>
          <w:tcPr>
            <w:tcW w:w="9513" w:type="dxa"/>
            <w:gridSpan w:val="4"/>
            <w:tcBorders>
              <w:top w:val="nil"/>
              <w:left w:val="single" w:sz="4" w:space="0" w:color="auto"/>
              <w:bottom w:val="single" w:sz="4" w:space="0" w:color="auto"/>
              <w:right w:val="single" w:sz="4" w:space="0" w:color="auto"/>
            </w:tcBorders>
            <w:shd w:val="clear" w:color="auto" w:fill="auto"/>
            <w:vAlign w:val="center"/>
          </w:tcPr>
          <w:p w14:paraId="4700844D"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Rate per unit of maximum capacity for “last mile” activities</w:t>
            </w:r>
          </w:p>
        </w:tc>
      </w:tr>
      <w:tr w:rsidR="008A5057" w:rsidRPr="00BD295E" w14:paraId="2A2C4FD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D48273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Construction of 10(6) kV overhead lines, including:</w:t>
            </w:r>
          </w:p>
        </w:tc>
        <w:tc>
          <w:tcPr>
            <w:tcW w:w="1701" w:type="dxa"/>
            <w:vMerge w:val="restart"/>
            <w:tcBorders>
              <w:left w:val="single" w:sz="4" w:space="0" w:color="auto"/>
              <w:right w:val="single" w:sz="4" w:space="0" w:color="auto"/>
            </w:tcBorders>
            <w:shd w:val="clear" w:color="auto" w:fill="auto"/>
            <w:vAlign w:val="center"/>
          </w:tcPr>
          <w:p w14:paraId="44161405"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tcBorders>
              <w:top w:val="nil"/>
              <w:left w:val="nil"/>
              <w:bottom w:val="single" w:sz="4" w:space="0" w:color="auto"/>
              <w:right w:val="single" w:sz="4" w:space="0" w:color="auto"/>
            </w:tcBorders>
            <w:shd w:val="clear" w:color="auto" w:fill="auto"/>
            <w:vAlign w:val="center"/>
          </w:tcPr>
          <w:p w14:paraId="1E0ADAE3"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217BEC7E" w14:textId="77777777" w:rsidR="005C1246" w:rsidRPr="00BD295E" w:rsidRDefault="005C1246" w:rsidP="00D648DD">
            <w:pPr>
              <w:jc w:val="right"/>
              <w:rPr>
                <w:rFonts w:ascii="Arial" w:hAnsi="Arial" w:cs="Arial"/>
                <w:sz w:val="18"/>
                <w:szCs w:val="18"/>
                <w:lang w:val="en-US"/>
              </w:rPr>
            </w:pPr>
          </w:p>
        </w:tc>
      </w:tr>
      <w:tr w:rsidR="008A5057" w:rsidRPr="00BD295E" w14:paraId="0FAF0240"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0FF386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single-circuit overhead lines</w:t>
            </w:r>
          </w:p>
        </w:tc>
        <w:tc>
          <w:tcPr>
            <w:tcW w:w="1701" w:type="dxa"/>
            <w:vMerge/>
            <w:tcBorders>
              <w:left w:val="single" w:sz="4" w:space="0" w:color="auto"/>
              <w:right w:val="single" w:sz="4" w:space="0" w:color="auto"/>
            </w:tcBorders>
            <w:shd w:val="clear" w:color="auto" w:fill="auto"/>
            <w:vAlign w:val="center"/>
          </w:tcPr>
          <w:p w14:paraId="5A22BC33"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19ADE01"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2D437367" w14:textId="77777777" w:rsidR="005C1246" w:rsidRPr="00BD295E" w:rsidRDefault="005C1246" w:rsidP="00D648DD">
            <w:pPr>
              <w:jc w:val="right"/>
              <w:rPr>
                <w:rFonts w:ascii="Arial" w:hAnsi="Arial" w:cs="Arial"/>
                <w:sz w:val="18"/>
                <w:szCs w:val="18"/>
                <w:lang w:val="en-US"/>
              </w:rPr>
            </w:pPr>
          </w:p>
        </w:tc>
      </w:tr>
      <w:tr w:rsidR="008A5057" w:rsidRPr="00BD295E" w14:paraId="20D588C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7F60955"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44D0ED4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E2C052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19CE77C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8,832</w:t>
            </w:r>
          </w:p>
        </w:tc>
      </w:tr>
      <w:tr w:rsidR="008A5057" w:rsidRPr="00BD295E" w14:paraId="0550DC47"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AEDD7D8"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517E5C3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7A4DFF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0B3181E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8,177</w:t>
            </w:r>
          </w:p>
        </w:tc>
      </w:tr>
      <w:tr w:rsidR="008A5057" w:rsidRPr="00BD295E" w14:paraId="1F6DA30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A1F381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double-circuit overhead lines</w:t>
            </w:r>
          </w:p>
        </w:tc>
        <w:tc>
          <w:tcPr>
            <w:tcW w:w="1701" w:type="dxa"/>
            <w:vMerge/>
            <w:tcBorders>
              <w:left w:val="single" w:sz="4" w:space="0" w:color="auto"/>
              <w:right w:val="single" w:sz="4" w:space="0" w:color="auto"/>
            </w:tcBorders>
            <w:shd w:val="clear" w:color="auto" w:fill="auto"/>
            <w:vAlign w:val="center"/>
          </w:tcPr>
          <w:p w14:paraId="6AB8330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789AD57"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7CBC5BD" w14:textId="77777777" w:rsidR="005C1246" w:rsidRPr="00BD295E" w:rsidRDefault="005C1246" w:rsidP="00D648DD">
            <w:pPr>
              <w:jc w:val="right"/>
              <w:rPr>
                <w:rFonts w:ascii="Arial" w:hAnsi="Arial" w:cs="Arial"/>
                <w:sz w:val="18"/>
                <w:szCs w:val="18"/>
                <w:lang w:val="en-US"/>
              </w:rPr>
            </w:pPr>
          </w:p>
        </w:tc>
      </w:tr>
      <w:tr w:rsidR="008A5057" w:rsidRPr="00BD295E" w14:paraId="051C228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C14F6D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bottom w:val="single" w:sz="4" w:space="0" w:color="auto"/>
              <w:right w:val="single" w:sz="4" w:space="0" w:color="auto"/>
            </w:tcBorders>
            <w:shd w:val="clear" w:color="auto" w:fill="auto"/>
            <w:vAlign w:val="center"/>
          </w:tcPr>
          <w:p w14:paraId="5B4DD2F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3A3578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C618AF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10,581</w:t>
            </w:r>
          </w:p>
        </w:tc>
      </w:tr>
      <w:tr w:rsidR="008A5057" w:rsidRPr="00BD295E" w14:paraId="61B8C92B"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365933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0ACDC70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tcBorders>
              <w:top w:val="single" w:sz="4" w:space="0" w:color="auto"/>
              <w:left w:val="nil"/>
              <w:bottom w:val="single" w:sz="4" w:space="0" w:color="auto"/>
              <w:right w:val="single" w:sz="4" w:space="0" w:color="auto"/>
            </w:tcBorders>
            <w:shd w:val="clear" w:color="auto" w:fill="auto"/>
            <w:vAlign w:val="center"/>
          </w:tcPr>
          <w:p w14:paraId="135A134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01A2E85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10,581</w:t>
            </w:r>
          </w:p>
        </w:tc>
      </w:tr>
      <w:tr w:rsidR="008A5057" w:rsidRPr="00BD295E" w14:paraId="57BDBA5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90A55D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Construction of 10(6) kV cable lines, including:</w:t>
            </w:r>
          </w:p>
        </w:tc>
        <w:tc>
          <w:tcPr>
            <w:tcW w:w="1701" w:type="dxa"/>
            <w:vMerge/>
            <w:tcBorders>
              <w:left w:val="single" w:sz="4" w:space="0" w:color="auto"/>
              <w:right w:val="single" w:sz="4" w:space="0" w:color="auto"/>
            </w:tcBorders>
            <w:shd w:val="clear" w:color="auto" w:fill="auto"/>
            <w:vAlign w:val="center"/>
          </w:tcPr>
          <w:p w14:paraId="6C8C92B0"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7E46BDC"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410AD5ED" w14:textId="77777777" w:rsidR="005C1246" w:rsidRPr="00BD295E" w:rsidRDefault="005C1246" w:rsidP="00D648DD">
            <w:pPr>
              <w:jc w:val="right"/>
              <w:rPr>
                <w:rFonts w:ascii="Arial" w:hAnsi="Arial" w:cs="Arial"/>
                <w:sz w:val="18"/>
                <w:szCs w:val="18"/>
                <w:lang w:val="en-US"/>
              </w:rPr>
            </w:pPr>
          </w:p>
        </w:tc>
      </w:tr>
      <w:tr w:rsidR="008A5057" w:rsidRPr="00BD295E" w14:paraId="670007E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4A376C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cable lines (one cable per trench)</w:t>
            </w:r>
          </w:p>
        </w:tc>
        <w:tc>
          <w:tcPr>
            <w:tcW w:w="1701" w:type="dxa"/>
            <w:vMerge/>
            <w:tcBorders>
              <w:left w:val="single" w:sz="4" w:space="0" w:color="auto"/>
              <w:right w:val="single" w:sz="4" w:space="0" w:color="auto"/>
            </w:tcBorders>
            <w:shd w:val="clear" w:color="auto" w:fill="auto"/>
            <w:vAlign w:val="center"/>
          </w:tcPr>
          <w:p w14:paraId="2E0F6BFB"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0AE59EC"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5BBC6F20" w14:textId="77777777" w:rsidR="005C1246" w:rsidRPr="00BD295E" w:rsidRDefault="005C1246" w:rsidP="00D648DD">
            <w:pPr>
              <w:jc w:val="right"/>
              <w:rPr>
                <w:rFonts w:ascii="Arial" w:hAnsi="Arial" w:cs="Arial"/>
                <w:sz w:val="18"/>
                <w:szCs w:val="18"/>
                <w:lang w:val="en-US"/>
              </w:rPr>
            </w:pPr>
          </w:p>
        </w:tc>
      </w:tr>
      <w:tr w:rsidR="008A5057" w:rsidRPr="00BD295E" w14:paraId="0CF835E7"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73BE44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1FB0B2C9"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8C797B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7C1356D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10,200</w:t>
            </w:r>
          </w:p>
        </w:tc>
      </w:tr>
      <w:tr w:rsidR="008A5057" w:rsidRPr="00BD295E" w14:paraId="3775A7C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9389BB0"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BB96E53"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3CA599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54DCD8C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10,465</w:t>
            </w:r>
          </w:p>
        </w:tc>
      </w:tr>
      <w:tr w:rsidR="008A5057" w:rsidRPr="00BD295E" w14:paraId="524C931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7B27AC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cable lines (two cables per trench)</w:t>
            </w:r>
          </w:p>
        </w:tc>
        <w:tc>
          <w:tcPr>
            <w:tcW w:w="1701" w:type="dxa"/>
            <w:vMerge/>
            <w:tcBorders>
              <w:left w:val="single" w:sz="4" w:space="0" w:color="auto"/>
              <w:right w:val="single" w:sz="4" w:space="0" w:color="auto"/>
            </w:tcBorders>
            <w:shd w:val="clear" w:color="auto" w:fill="auto"/>
            <w:vAlign w:val="center"/>
          </w:tcPr>
          <w:p w14:paraId="551DC777"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279F486"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4BA69FC8" w14:textId="77777777" w:rsidR="005C1246" w:rsidRPr="00BD295E" w:rsidRDefault="005C1246" w:rsidP="00D648DD">
            <w:pPr>
              <w:jc w:val="right"/>
              <w:rPr>
                <w:rFonts w:ascii="Arial" w:hAnsi="Arial" w:cs="Arial"/>
                <w:sz w:val="18"/>
                <w:szCs w:val="18"/>
                <w:lang w:val="en-US"/>
              </w:rPr>
            </w:pPr>
          </w:p>
        </w:tc>
      </w:tr>
      <w:tr w:rsidR="008A5057" w:rsidRPr="00BD295E" w14:paraId="1A95429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EB3FEF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3A487417"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89A589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2445889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12,339</w:t>
            </w:r>
          </w:p>
        </w:tc>
      </w:tr>
      <w:tr w:rsidR="008A5057" w:rsidRPr="00BD295E" w14:paraId="75F3E89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B27CCB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0E50448"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CE237C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2D822C8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12,655</w:t>
            </w:r>
          </w:p>
        </w:tc>
      </w:tr>
      <w:tr w:rsidR="008A5057" w:rsidRPr="00BD295E" w14:paraId="24BB4E1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92F2B7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C4 Construction of distribution points</w:t>
            </w:r>
          </w:p>
        </w:tc>
        <w:tc>
          <w:tcPr>
            <w:tcW w:w="1701" w:type="dxa"/>
            <w:vMerge/>
            <w:tcBorders>
              <w:left w:val="single" w:sz="4" w:space="0" w:color="auto"/>
              <w:right w:val="single" w:sz="4" w:space="0" w:color="auto"/>
            </w:tcBorders>
            <w:shd w:val="clear" w:color="auto" w:fill="auto"/>
            <w:vAlign w:val="center"/>
          </w:tcPr>
          <w:p w14:paraId="11A2839E"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29FF7A7"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DEC7E6F" w14:textId="77777777" w:rsidR="005C1246" w:rsidRPr="00BD295E" w:rsidRDefault="005C1246" w:rsidP="00D648DD">
            <w:pPr>
              <w:jc w:val="right"/>
              <w:rPr>
                <w:rFonts w:ascii="Arial" w:hAnsi="Arial" w:cs="Arial"/>
                <w:sz w:val="18"/>
                <w:szCs w:val="18"/>
                <w:lang w:val="en-US"/>
              </w:rPr>
            </w:pPr>
          </w:p>
        </w:tc>
      </w:tr>
      <w:tr w:rsidR="008A5057" w:rsidRPr="00BD295E" w14:paraId="0AA04AC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0AF228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19CC0636"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316FA7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tcPr>
          <w:p w14:paraId="63929D1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CCB2CFE"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2607CB8"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0A9D77F0"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60EE48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tcPr>
          <w:p w14:paraId="14625E5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2B20387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989D4E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Construction of transformer substations with voltage up to 35kV, including</w:t>
            </w:r>
          </w:p>
        </w:tc>
        <w:tc>
          <w:tcPr>
            <w:tcW w:w="1701" w:type="dxa"/>
            <w:vMerge/>
            <w:tcBorders>
              <w:left w:val="single" w:sz="4" w:space="0" w:color="auto"/>
              <w:right w:val="single" w:sz="4" w:space="0" w:color="auto"/>
            </w:tcBorders>
            <w:shd w:val="clear" w:color="auto" w:fill="auto"/>
            <w:vAlign w:val="center"/>
          </w:tcPr>
          <w:p w14:paraId="77B895F3"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F5D7FCA"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40FC539B" w14:textId="77777777" w:rsidR="005C1246" w:rsidRPr="00BD295E" w:rsidRDefault="005C1246" w:rsidP="00D648DD">
            <w:pPr>
              <w:jc w:val="right"/>
              <w:rPr>
                <w:rFonts w:ascii="Arial" w:hAnsi="Arial" w:cs="Arial"/>
                <w:sz w:val="18"/>
                <w:szCs w:val="18"/>
                <w:lang w:val="en-US"/>
              </w:rPr>
            </w:pPr>
          </w:p>
        </w:tc>
      </w:tr>
      <w:tr w:rsidR="008A5057" w:rsidRPr="00BD295E" w14:paraId="211536A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E22772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pole-mounted transformer substations</w:t>
            </w:r>
          </w:p>
        </w:tc>
        <w:tc>
          <w:tcPr>
            <w:tcW w:w="1701" w:type="dxa"/>
            <w:vMerge/>
            <w:tcBorders>
              <w:left w:val="single" w:sz="4" w:space="0" w:color="auto"/>
              <w:right w:val="single" w:sz="4" w:space="0" w:color="auto"/>
            </w:tcBorders>
            <w:shd w:val="clear" w:color="auto" w:fill="auto"/>
            <w:vAlign w:val="center"/>
          </w:tcPr>
          <w:p w14:paraId="5B4127A5"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D9ACC0A"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692996F" w14:textId="77777777" w:rsidR="005C1246" w:rsidRPr="00BD295E" w:rsidRDefault="005C1246" w:rsidP="00D648DD">
            <w:pPr>
              <w:jc w:val="right"/>
              <w:rPr>
                <w:rFonts w:ascii="Arial" w:hAnsi="Arial" w:cs="Arial"/>
                <w:sz w:val="18"/>
                <w:szCs w:val="18"/>
                <w:lang w:val="en-US"/>
              </w:rPr>
            </w:pPr>
          </w:p>
        </w:tc>
      </w:tr>
      <w:tr w:rsidR="008A5057" w:rsidRPr="00BD295E" w14:paraId="32BE5E2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5DD894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EE7DA2E"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FAA06C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8D3DC7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6,844</w:t>
            </w:r>
          </w:p>
        </w:tc>
      </w:tr>
      <w:tr w:rsidR="008A5057" w:rsidRPr="00BD295E" w14:paraId="7D324D0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C30027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8DAB34B"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91D22F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DD2DB4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6,844</w:t>
            </w:r>
          </w:p>
        </w:tc>
      </w:tr>
      <w:tr w:rsidR="008A5057" w:rsidRPr="00BD295E" w14:paraId="58E3A76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DC25F3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TPS substations</w:t>
            </w:r>
          </w:p>
        </w:tc>
        <w:tc>
          <w:tcPr>
            <w:tcW w:w="1701" w:type="dxa"/>
            <w:vMerge/>
            <w:tcBorders>
              <w:left w:val="single" w:sz="4" w:space="0" w:color="auto"/>
              <w:right w:val="single" w:sz="4" w:space="0" w:color="auto"/>
            </w:tcBorders>
            <w:shd w:val="clear" w:color="auto" w:fill="auto"/>
            <w:vAlign w:val="center"/>
          </w:tcPr>
          <w:p w14:paraId="74CB67B7"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A56D429"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0160C53" w14:textId="77777777" w:rsidR="005C1246" w:rsidRPr="00BD295E" w:rsidRDefault="005C1246" w:rsidP="00D648DD">
            <w:pPr>
              <w:jc w:val="right"/>
              <w:rPr>
                <w:rFonts w:ascii="Arial" w:hAnsi="Arial" w:cs="Arial"/>
                <w:sz w:val="18"/>
                <w:szCs w:val="18"/>
                <w:lang w:val="en-US"/>
              </w:rPr>
            </w:pPr>
          </w:p>
        </w:tc>
      </w:tr>
      <w:tr w:rsidR="008A5057" w:rsidRPr="00BD295E" w14:paraId="063E206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09A707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2FDA433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6351DD6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6A8011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5,341</w:t>
            </w:r>
          </w:p>
        </w:tc>
      </w:tr>
      <w:tr w:rsidR="008A5057" w:rsidRPr="00BD295E" w14:paraId="7232152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86CE0F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240002C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2F77875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178F5EB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5,341</w:t>
            </w:r>
          </w:p>
        </w:tc>
      </w:tr>
      <w:tr w:rsidR="008A5057" w:rsidRPr="00BD295E" w14:paraId="01AC995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661941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UPTS substations</w:t>
            </w:r>
          </w:p>
        </w:tc>
        <w:tc>
          <w:tcPr>
            <w:tcW w:w="1701" w:type="dxa"/>
            <w:vMerge/>
            <w:tcBorders>
              <w:left w:val="single" w:sz="4" w:space="0" w:color="auto"/>
              <w:right w:val="single" w:sz="4" w:space="0" w:color="auto"/>
            </w:tcBorders>
            <w:shd w:val="clear" w:color="auto" w:fill="auto"/>
            <w:vAlign w:val="center"/>
          </w:tcPr>
          <w:p w14:paraId="687B0EF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3FB21E7"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4508FE1" w14:textId="77777777" w:rsidR="005C1246" w:rsidRPr="00BD295E" w:rsidRDefault="005C1246" w:rsidP="00D648DD">
            <w:pPr>
              <w:jc w:val="right"/>
              <w:rPr>
                <w:rFonts w:ascii="Arial" w:hAnsi="Arial" w:cs="Arial"/>
                <w:sz w:val="18"/>
                <w:szCs w:val="18"/>
                <w:lang w:val="en-US"/>
              </w:rPr>
            </w:pPr>
          </w:p>
        </w:tc>
      </w:tr>
      <w:tr w:rsidR="008A5057" w:rsidRPr="00BD295E" w14:paraId="611EC39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5832F9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24C67CC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6DAE51A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37F990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8,968</w:t>
            </w:r>
          </w:p>
        </w:tc>
      </w:tr>
      <w:tr w:rsidR="008A5057" w:rsidRPr="00BD295E" w14:paraId="7726826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443339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511F856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414E380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70C9574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8,968</w:t>
            </w:r>
          </w:p>
        </w:tc>
      </w:tr>
      <w:tr w:rsidR="008A5057" w:rsidRPr="00BD295E" w14:paraId="63C9EA85"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B6699F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2PTS substations</w:t>
            </w:r>
          </w:p>
        </w:tc>
        <w:tc>
          <w:tcPr>
            <w:tcW w:w="1701" w:type="dxa"/>
            <w:vMerge/>
            <w:tcBorders>
              <w:left w:val="single" w:sz="4" w:space="0" w:color="auto"/>
              <w:right w:val="single" w:sz="4" w:space="0" w:color="auto"/>
            </w:tcBorders>
            <w:shd w:val="clear" w:color="auto" w:fill="auto"/>
            <w:vAlign w:val="center"/>
          </w:tcPr>
          <w:p w14:paraId="4A2E6BA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1E3EED4"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504E3812" w14:textId="77777777" w:rsidR="005C1246" w:rsidRPr="00BD295E" w:rsidRDefault="005C1246" w:rsidP="00D648DD">
            <w:pPr>
              <w:jc w:val="right"/>
              <w:rPr>
                <w:rFonts w:ascii="Arial" w:hAnsi="Arial" w:cs="Arial"/>
                <w:sz w:val="18"/>
                <w:szCs w:val="18"/>
                <w:lang w:val="en-US"/>
              </w:rPr>
            </w:pPr>
          </w:p>
        </w:tc>
      </w:tr>
      <w:tr w:rsidR="008A5057" w:rsidRPr="00BD295E" w14:paraId="0EAB0D2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436E44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8E1651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59EF2A1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472FC52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3,749</w:t>
            </w:r>
          </w:p>
        </w:tc>
      </w:tr>
      <w:tr w:rsidR="008A5057" w:rsidRPr="00BD295E" w14:paraId="6D448C1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323B26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1B7F3C0F"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7B2FD8D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759EEF0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3,749</w:t>
            </w:r>
          </w:p>
        </w:tc>
      </w:tr>
      <w:tr w:rsidR="008A5057" w:rsidRPr="00BD295E" w14:paraId="07A942B5"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9C0847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2UPTS substations</w:t>
            </w:r>
          </w:p>
        </w:tc>
        <w:tc>
          <w:tcPr>
            <w:tcW w:w="1701" w:type="dxa"/>
            <w:vMerge/>
            <w:tcBorders>
              <w:left w:val="single" w:sz="4" w:space="0" w:color="auto"/>
              <w:bottom w:val="single" w:sz="4" w:space="0" w:color="auto"/>
              <w:right w:val="single" w:sz="4" w:space="0" w:color="auto"/>
            </w:tcBorders>
            <w:shd w:val="clear" w:color="auto" w:fill="auto"/>
            <w:vAlign w:val="center"/>
          </w:tcPr>
          <w:p w14:paraId="69A67EC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35B79E1"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575F8CCC" w14:textId="77777777" w:rsidR="005C1246" w:rsidRPr="00BD295E" w:rsidRDefault="005C1246" w:rsidP="00D648DD">
            <w:pPr>
              <w:jc w:val="right"/>
              <w:rPr>
                <w:rFonts w:ascii="Arial" w:hAnsi="Arial" w:cs="Arial"/>
                <w:sz w:val="18"/>
                <w:szCs w:val="18"/>
                <w:lang w:val="en-US"/>
              </w:rPr>
            </w:pPr>
          </w:p>
        </w:tc>
      </w:tr>
      <w:tr w:rsidR="008A5057" w:rsidRPr="00BD295E" w14:paraId="141DB986" w14:textId="77777777" w:rsidTr="00D648DD">
        <w:trPr>
          <w:gridAfter w:val="1"/>
          <w:wAfter w:w="1701" w:type="dxa"/>
          <w:trHeight w:val="588"/>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370D00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E87D53"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tcPr>
          <w:p w14:paraId="071C8D2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6D5FED4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6,638</w:t>
            </w:r>
          </w:p>
        </w:tc>
      </w:tr>
      <w:tr w:rsidR="008A5057" w:rsidRPr="00BD295E" w14:paraId="659B2013"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362F42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63DC8BA"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tcPr>
          <w:p w14:paraId="5B4A366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4915D50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6,638</w:t>
            </w:r>
          </w:p>
        </w:tc>
      </w:tr>
      <w:tr w:rsidR="008A5057" w:rsidRPr="00BD295E" w14:paraId="544202D7" w14:textId="77777777" w:rsidTr="00D648DD">
        <w:trPr>
          <w:trHeight w:val="660"/>
        </w:trPr>
        <w:tc>
          <w:tcPr>
            <w:tcW w:w="9513" w:type="dxa"/>
            <w:gridSpan w:val="4"/>
            <w:tcBorders>
              <w:top w:val="nil"/>
              <w:left w:val="nil"/>
              <w:bottom w:val="nil"/>
              <w:right w:val="nil"/>
            </w:tcBorders>
            <w:shd w:val="clear" w:color="auto" w:fill="auto"/>
            <w:hideMark/>
          </w:tcPr>
          <w:p w14:paraId="0B2A5644" w14:textId="77777777" w:rsidR="005C1246" w:rsidRPr="00BD295E" w:rsidRDefault="005C1246" w:rsidP="00D648DD">
            <w:pPr>
              <w:rPr>
                <w:rFonts w:ascii="Arial" w:hAnsi="Arial" w:cs="Arial"/>
                <w:sz w:val="18"/>
                <w:szCs w:val="18"/>
                <w:lang w:val="en-US"/>
              </w:rPr>
            </w:pPr>
          </w:p>
          <w:p w14:paraId="723C2E9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Standardized tariff rates are approved for connection of 150+ kW</w:t>
            </w:r>
            <w:r w:rsidR="00EC0D9D" w:rsidRPr="00BD295E">
              <w:rPr>
                <w:rFonts w:ascii="Arial" w:hAnsi="Arial" w:cs="Arial"/>
                <w:sz w:val="18"/>
                <w:szCs w:val="18"/>
                <w:lang w:val="en-US"/>
              </w:rPr>
              <w:t xml:space="preserve"> </w:t>
            </w:r>
            <w:r w:rsidRPr="00BD295E">
              <w:rPr>
                <w:rFonts w:ascii="Arial" w:hAnsi="Arial" w:cs="Arial"/>
                <w:sz w:val="18"/>
                <w:szCs w:val="18"/>
                <w:lang w:val="en-US"/>
              </w:rPr>
              <w:t>power receiving appliances</w:t>
            </w:r>
          </w:p>
        </w:tc>
        <w:tc>
          <w:tcPr>
            <w:tcW w:w="1701" w:type="dxa"/>
            <w:shd w:val="clear" w:color="auto" w:fill="auto"/>
            <w:vAlign w:val="center"/>
          </w:tcPr>
          <w:p w14:paraId="09D53AEB" w14:textId="77777777" w:rsidR="005C1246" w:rsidRPr="00BD295E" w:rsidRDefault="005C1246" w:rsidP="00D648DD">
            <w:pPr>
              <w:rPr>
                <w:rFonts w:ascii="Arial" w:hAnsi="Arial" w:cs="Arial"/>
                <w:sz w:val="18"/>
                <w:szCs w:val="18"/>
                <w:lang w:val="en-US"/>
              </w:rPr>
            </w:pPr>
          </w:p>
        </w:tc>
      </w:tr>
    </w:tbl>
    <w:p w14:paraId="0373D829" w14:textId="71A158F7" w:rsidR="00A51EAA" w:rsidRPr="00BD295E" w:rsidRDefault="00A51EAA" w:rsidP="005C1246">
      <w:pPr>
        <w:tabs>
          <w:tab w:val="left" w:pos="709"/>
          <w:tab w:val="left" w:pos="851"/>
        </w:tabs>
        <w:spacing w:before="240"/>
        <w:jc w:val="both"/>
        <w:rPr>
          <w:rFonts w:ascii="Arial" w:hAnsi="Arial" w:cs="Arial"/>
          <w:b/>
          <w:sz w:val="18"/>
          <w:szCs w:val="18"/>
          <w:lang w:val="en-US"/>
        </w:rPr>
      </w:pPr>
    </w:p>
    <w:p w14:paraId="55DEF6FD" w14:textId="77777777" w:rsidR="00A51EAA" w:rsidRPr="00BD295E" w:rsidRDefault="00A51EAA">
      <w:pPr>
        <w:rPr>
          <w:rFonts w:ascii="Arial" w:hAnsi="Arial" w:cs="Arial"/>
          <w:b/>
          <w:sz w:val="18"/>
          <w:szCs w:val="18"/>
          <w:lang w:val="en-US"/>
        </w:rPr>
      </w:pPr>
      <w:r w:rsidRPr="00BD295E">
        <w:rPr>
          <w:rFonts w:ascii="Arial" w:hAnsi="Arial" w:cs="Arial"/>
          <w:b/>
          <w:sz w:val="18"/>
          <w:szCs w:val="18"/>
          <w:lang w:val="en-US"/>
        </w:rPr>
        <w:br w:type="page"/>
      </w:r>
    </w:p>
    <w:p w14:paraId="23B4C410" w14:textId="77777777" w:rsidR="005C1246" w:rsidRPr="00BD295E" w:rsidRDefault="008A5057" w:rsidP="005C1246">
      <w:pPr>
        <w:tabs>
          <w:tab w:val="left" w:pos="709"/>
          <w:tab w:val="left" w:pos="851"/>
        </w:tabs>
        <w:spacing w:before="240"/>
        <w:jc w:val="both"/>
        <w:rPr>
          <w:rFonts w:ascii="Arial" w:hAnsi="Arial" w:cs="Arial"/>
          <w:b/>
          <w:sz w:val="18"/>
          <w:szCs w:val="18"/>
          <w:lang w:val="en-US"/>
        </w:rPr>
      </w:pPr>
      <w:r w:rsidRPr="00BD295E">
        <w:rPr>
          <w:rFonts w:ascii="Arial" w:hAnsi="Arial" w:cs="Arial"/>
          <w:b/>
          <w:sz w:val="18"/>
          <w:szCs w:val="18"/>
          <w:lang w:val="en-US"/>
        </w:rPr>
        <w:t>Approved payment rates for grid connection for 2019</w:t>
      </w:r>
    </w:p>
    <w:p w14:paraId="68D25860" w14:textId="77777777" w:rsidR="005C1246" w:rsidRPr="00BD295E" w:rsidRDefault="008A5057" w:rsidP="005C1246">
      <w:pPr>
        <w:tabs>
          <w:tab w:val="left" w:pos="709"/>
          <w:tab w:val="left" w:pos="851"/>
        </w:tabs>
        <w:spacing w:before="240"/>
        <w:jc w:val="both"/>
        <w:rPr>
          <w:rFonts w:ascii="Arial" w:hAnsi="Arial" w:cs="Arial"/>
          <w:b/>
          <w:sz w:val="18"/>
          <w:szCs w:val="18"/>
          <w:lang w:val="en-US"/>
        </w:rPr>
      </w:pPr>
      <w:r w:rsidRPr="00BD295E">
        <w:rPr>
          <w:rFonts w:ascii="Arial" w:hAnsi="Arial" w:cs="Arial"/>
          <w:b/>
          <w:sz w:val="18"/>
          <w:szCs w:val="18"/>
          <w:lang w:val="en-US"/>
        </w:rPr>
        <w:t>Saint Petersburg</w:t>
      </w:r>
    </w:p>
    <w:tbl>
      <w:tblPr>
        <w:tblW w:w="9513" w:type="dxa"/>
        <w:tblInd w:w="93" w:type="dxa"/>
        <w:tblLayout w:type="fixed"/>
        <w:tblLook w:val="04A0" w:firstRow="1" w:lastRow="0" w:firstColumn="1" w:lastColumn="0" w:noHBand="0" w:noVBand="1"/>
      </w:tblPr>
      <w:tblGrid>
        <w:gridCol w:w="5118"/>
        <w:gridCol w:w="1701"/>
        <w:gridCol w:w="978"/>
        <w:gridCol w:w="15"/>
        <w:gridCol w:w="1701"/>
      </w:tblGrid>
      <w:tr w:rsidR="008A5057" w:rsidRPr="00BD295E" w14:paraId="645AB0B9" w14:textId="77777777" w:rsidTr="00D648DD">
        <w:trPr>
          <w:trHeight w:val="552"/>
        </w:trPr>
        <w:tc>
          <w:tcPr>
            <w:tcW w:w="681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954E6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Connection category</w:t>
            </w:r>
          </w:p>
        </w:tc>
        <w:tc>
          <w:tcPr>
            <w:tcW w:w="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EE15C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UOM</w:t>
            </w:r>
          </w:p>
        </w:tc>
        <w:tc>
          <w:tcPr>
            <w:tcW w:w="171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C6EC0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Fee rate</w:t>
            </w:r>
          </w:p>
        </w:tc>
      </w:tr>
      <w:tr w:rsidR="008A5057" w:rsidRPr="00BD295E" w14:paraId="3972382C"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63A88A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Capacity range, kW</w:t>
            </w:r>
          </w:p>
        </w:tc>
        <w:tc>
          <w:tcPr>
            <w:tcW w:w="1701" w:type="dxa"/>
            <w:tcBorders>
              <w:top w:val="nil"/>
              <w:left w:val="nil"/>
              <w:bottom w:val="single" w:sz="4" w:space="0" w:color="auto"/>
              <w:right w:val="single" w:sz="4" w:space="0" w:color="auto"/>
            </w:tcBorders>
            <w:shd w:val="clear" w:color="auto" w:fill="auto"/>
            <w:vAlign w:val="center"/>
            <w:hideMark/>
          </w:tcPr>
          <w:p w14:paraId="0E99CB56"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Voltage level at the connection point, kV</w:t>
            </w:r>
          </w:p>
        </w:tc>
        <w:tc>
          <w:tcPr>
            <w:tcW w:w="97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D1A5319" w14:textId="77777777" w:rsidR="005C1246" w:rsidRPr="00BD295E" w:rsidRDefault="005C1246" w:rsidP="00D648DD">
            <w:pPr>
              <w:rPr>
                <w:rFonts w:ascii="Arial" w:hAnsi="Arial" w:cs="Arial"/>
                <w:sz w:val="18"/>
                <w:szCs w:val="18"/>
                <w:lang w:val="en-US"/>
              </w:rPr>
            </w:pPr>
          </w:p>
        </w:tc>
        <w:tc>
          <w:tcPr>
            <w:tcW w:w="1716"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F2AA0B" w14:textId="77777777" w:rsidR="005C1246" w:rsidRPr="00BD295E" w:rsidRDefault="005C1246" w:rsidP="00D648DD">
            <w:pPr>
              <w:rPr>
                <w:rFonts w:ascii="Arial" w:hAnsi="Arial" w:cs="Arial"/>
                <w:sz w:val="18"/>
                <w:szCs w:val="18"/>
                <w:lang w:val="en-US"/>
              </w:rPr>
            </w:pPr>
          </w:p>
        </w:tc>
      </w:tr>
      <w:tr w:rsidR="008A5057" w:rsidRPr="00BD295E" w14:paraId="0E68593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DE1B118"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1</w:t>
            </w:r>
          </w:p>
        </w:tc>
        <w:tc>
          <w:tcPr>
            <w:tcW w:w="1701" w:type="dxa"/>
            <w:tcBorders>
              <w:top w:val="nil"/>
              <w:left w:val="nil"/>
              <w:bottom w:val="single" w:sz="4" w:space="0" w:color="auto"/>
              <w:right w:val="single" w:sz="4" w:space="0" w:color="auto"/>
            </w:tcBorders>
            <w:shd w:val="clear" w:color="auto" w:fill="auto"/>
            <w:vAlign w:val="center"/>
            <w:hideMark/>
          </w:tcPr>
          <w:p w14:paraId="0653E001"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2</w:t>
            </w:r>
          </w:p>
        </w:tc>
        <w:tc>
          <w:tcPr>
            <w:tcW w:w="978" w:type="dxa"/>
            <w:tcBorders>
              <w:top w:val="nil"/>
              <w:left w:val="nil"/>
              <w:bottom w:val="single" w:sz="4" w:space="0" w:color="auto"/>
              <w:right w:val="single" w:sz="4" w:space="0" w:color="auto"/>
            </w:tcBorders>
            <w:shd w:val="clear" w:color="auto" w:fill="auto"/>
            <w:vAlign w:val="center"/>
            <w:hideMark/>
          </w:tcPr>
          <w:p w14:paraId="5AC54A9F"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3</w:t>
            </w:r>
          </w:p>
        </w:tc>
        <w:tc>
          <w:tcPr>
            <w:tcW w:w="1716" w:type="dxa"/>
            <w:gridSpan w:val="2"/>
            <w:tcBorders>
              <w:top w:val="nil"/>
              <w:left w:val="nil"/>
              <w:bottom w:val="single" w:sz="4" w:space="0" w:color="auto"/>
              <w:right w:val="single" w:sz="4" w:space="0" w:color="auto"/>
            </w:tcBorders>
            <w:shd w:val="clear" w:color="auto" w:fill="auto"/>
            <w:vAlign w:val="center"/>
            <w:hideMark/>
          </w:tcPr>
          <w:p w14:paraId="5DCCA1CF"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4</w:t>
            </w:r>
          </w:p>
        </w:tc>
      </w:tr>
      <w:tr w:rsidR="008A5057" w:rsidRPr="00BD295E" w14:paraId="30BA7AE2" w14:textId="77777777" w:rsidTr="00D648DD">
        <w:trPr>
          <w:trHeight w:val="288"/>
        </w:trPr>
        <w:tc>
          <w:tcPr>
            <w:tcW w:w="951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4328238" w14:textId="77777777" w:rsidR="005C1246" w:rsidRPr="00BD295E" w:rsidRDefault="008A5057" w:rsidP="00D648DD">
            <w:pPr>
              <w:rPr>
                <w:rFonts w:ascii="Arial" w:hAnsi="Arial" w:cs="Arial"/>
                <w:b/>
                <w:bCs/>
                <w:sz w:val="18"/>
                <w:szCs w:val="18"/>
                <w:lang w:val="en-US"/>
              </w:rPr>
            </w:pPr>
            <w:r w:rsidRPr="00BD295E">
              <w:rPr>
                <w:rFonts w:ascii="Arial" w:hAnsi="Arial" w:cs="Arial"/>
                <w:b/>
                <w:bCs/>
                <w:sz w:val="18"/>
                <w:szCs w:val="18"/>
                <w:lang w:val="en-US"/>
              </w:rPr>
              <w:t>Connection fee rates per unit of maximum capacity</w:t>
            </w:r>
          </w:p>
        </w:tc>
      </w:tr>
      <w:tr w:rsidR="008A5057" w:rsidRPr="00BD295E" w14:paraId="25D98F0A" w14:textId="77777777" w:rsidTr="00D648DD">
        <w:trPr>
          <w:trHeight w:val="1656"/>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D08F01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Rate per unit of maximum capacity for activities provided in item 16 (except sub-item “b”) of the Guidelines for Grid Connection in Urban Areas</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AEF80D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78" w:type="dxa"/>
            <w:tcBorders>
              <w:top w:val="nil"/>
              <w:left w:val="nil"/>
              <w:bottom w:val="single" w:sz="4" w:space="0" w:color="auto"/>
              <w:right w:val="single" w:sz="4" w:space="0" w:color="auto"/>
            </w:tcBorders>
            <w:shd w:val="clear" w:color="auto" w:fill="auto"/>
            <w:noWrap/>
            <w:vAlign w:val="center"/>
            <w:hideMark/>
          </w:tcPr>
          <w:p w14:paraId="312E93E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62EC7F3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715</w:t>
            </w:r>
          </w:p>
        </w:tc>
      </w:tr>
      <w:tr w:rsidR="008A5057" w:rsidRPr="00BD295E" w14:paraId="1C636443"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6514A9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7A7B2DD"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785959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7AC96CE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449</w:t>
            </w:r>
          </w:p>
        </w:tc>
      </w:tr>
      <w:tr w:rsidR="008A5057" w:rsidRPr="00BD295E" w14:paraId="4AF63A9C"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C0A148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9C1CBF2"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3AB9BB0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024923F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266</w:t>
            </w:r>
          </w:p>
        </w:tc>
      </w:tr>
      <w:tr w:rsidR="008A5057" w:rsidRPr="00BD295E" w14:paraId="52C50F17"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3335820" w14:textId="77777777" w:rsidR="005C1246" w:rsidRPr="00BD295E" w:rsidRDefault="008A5057" w:rsidP="00D648DD">
            <w:pPr>
              <w:rPr>
                <w:rFonts w:ascii="Arial" w:hAnsi="Arial" w:cs="Arial"/>
                <w:b/>
                <w:bCs/>
                <w:sz w:val="18"/>
                <w:szCs w:val="18"/>
                <w:lang w:val="en-US"/>
              </w:rPr>
            </w:pPr>
            <w:r w:rsidRPr="00BD295E">
              <w:rPr>
                <w:rFonts w:ascii="Arial" w:hAnsi="Arial" w:cs="Arial"/>
                <w:b/>
                <w:bCs/>
                <w:sz w:val="18"/>
                <w:szCs w:val="18"/>
                <w:lang w:val="en-US"/>
              </w:rPr>
              <w:t>Rate per unit of maximum capacity for “last mile” activities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3C8B23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0569EC15"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4B929E05"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r>
      <w:tr w:rsidR="008A5057" w:rsidRPr="00BD295E" w14:paraId="463C442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CE0C70F" w14:textId="77777777" w:rsidR="005C1246" w:rsidRPr="00BD295E" w:rsidRDefault="008A5057" w:rsidP="00D648DD">
            <w:pPr>
              <w:ind w:firstLineChars="100" w:firstLine="180"/>
              <w:rPr>
                <w:rFonts w:ascii="Arial" w:hAnsi="Arial" w:cs="Arial"/>
                <w:sz w:val="18"/>
                <w:szCs w:val="18"/>
                <w:lang w:val="en-US"/>
              </w:rPr>
            </w:pPr>
            <w:r w:rsidRPr="00BD295E">
              <w:rPr>
                <w:rFonts w:ascii="Arial" w:hAnsi="Arial" w:cs="Arial"/>
                <w:sz w:val="18"/>
                <w:szCs w:val="18"/>
                <w:lang w:val="en-US"/>
              </w:rPr>
              <w:t>С2 Construction of 10(6) kV overhead lines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6418543"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AA203B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5475CCB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r>
      <w:tr w:rsidR="008A5057" w:rsidRPr="00BD295E" w14:paraId="083DEAE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10F6FAD"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83BFBB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0347A5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084633C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r>
      <w:tr w:rsidR="008A5057" w:rsidRPr="00BD295E" w14:paraId="0E8F3CD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A6A93C9"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5B4725D"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26944CA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224D67A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254</w:t>
            </w:r>
          </w:p>
        </w:tc>
      </w:tr>
      <w:tr w:rsidR="008A5057" w:rsidRPr="00BD295E" w14:paraId="198F260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81E4B57"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D3D21C6"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D45624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09D7095F"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х</w:t>
            </w:r>
          </w:p>
        </w:tc>
      </w:tr>
      <w:tr w:rsidR="008A5057" w:rsidRPr="00BD295E" w14:paraId="62EB89F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3B1B973" w14:textId="77777777" w:rsidR="005C1246" w:rsidRPr="00BD295E" w:rsidRDefault="008A5057" w:rsidP="00D648DD">
            <w:pPr>
              <w:ind w:firstLineChars="100" w:firstLine="180"/>
              <w:rPr>
                <w:rFonts w:ascii="Arial" w:hAnsi="Arial" w:cs="Arial"/>
                <w:sz w:val="18"/>
                <w:szCs w:val="18"/>
                <w:lang w:val="en-US"/>
              </w:rPr>
            </w:pPr>
            <w:r w:rsidRPr="00BD295E">
              <w:rPr>
                <w:rFonts w:ascii="Arial" w:hAnsi="Arial" w:cs="Arial"/>
                <w:sz w:val="18"/>
                <w:szCs w:val="18"/>
                <w:lang w:val="en-US"/>
              </w:rPr>
              <w:t>С3 Construction of 10(6) kV cable lines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4243662"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2C4743F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45081A7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7A7FC98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117A611"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34A808B"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C3207F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0668B8A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59CF18E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3646152"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CF64FB3"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605C2F6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4B92CCF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3,595</w:t>
            </w:r>
          </w:p>
        </w:tc>
      </w:tr>
      <w:tr w:rsidR="008A5057" w:rsidRPr="00BD295E" w14:paraId="0B7E635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8FBD7BE"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0909532"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5B8A50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47A1211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5,540</w:t>
            </w:r>
          </w:p>
        </w:tc>
      </w:tr>
      <w:tr w:rsidR="008A5057" w:rsidRPr="00BD295E" w14:paraId="44659B5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AB4E19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С3 Construction of 0.4 kV cable lines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583FE693"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267D8B7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395D1E7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4EA4178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904F442"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E1B3C6E"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5EA012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4D3A3F8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4B60B3C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8267434"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644952E"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01BD89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5750A1E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6,288</w:t>
            </w:r>
          </w:p>
        </w:tc>
      </w:tr>
      <w:tr w:rsidR="008A5057" w:rsidRPr="00BD295E" w14:paraId="1D04352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7DC9E7F"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5B94E7F"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105283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6DE59EA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7,199</w:t>
            </w:r>
          </w:p>
        </w:tc>
      </w:tr>
      <w:tr w:rsidR="008A5057" w:rsidRPr="00BD295E" w14:paraId="366BC84D"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576D8F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Rates per unit of maximum capacity for construction of transformer substations (TSS)</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B6ECC2D"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649BE6F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4BF94F8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35E97F5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FF013E7"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8386E45"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47EB0F6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1FB9CC9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3,882</w:t>
            </w:r>
          </w:p>
        </w:tc>
      </w:tr>
      <w:tr w:rsidR="008A5057" w:rsidRPr="00BD295E" w14:paraId="5C01DC9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9C7DE76"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3AE403D"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2EE3492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607AA46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4,695</w:t>
            </w:r>
          </w:p>
        </w:tc>
      </w:tr>
      <w:tr w:rsidR="008A5057" w:rsidRPr="00BD295E" w14:paraId="02D8C8E6" w14:textId="77777777" w:rsidTr="00D648DD">
        <w:trPr>
          <w:trHeight w:val="1656"/>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E781FD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Rate per unit of maximum capacity for activities provided in item 16 (except sub-item “b”) of the Guidelines for Grid Connection in Urban Areas</w:t>
            </w:r>
          </w:p>
        </w:tc>
        <w:tc>
          <w:tcPr>
            <w:tcW w:w="1701" w:type="dxa"/>
            <w:vMerge w:val="restart"/>
            <w:tcBorders>
              <w:top w:val="nil"/>
              <w:left w:val="single" w:sz="4" w:space="0" w:color="auto"/>
              <w:bottom w:val="nil"/>
              <w:right w:val="single" w:sz="4" w:space="0" w:color="auto"/>
            </w:tcBorders>
            <w:shd w:val="clear" w:color="auto" w:fill="auto"/>
            <w:vAlign w:val="center"/>
            <w:hideMark/>
          </w:tcPr>
          <w:p w14:paraId="716946A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78" w:type="dxa"/>
            <w:tcBorders>
              <w:top w:val="nil"/>
              <w:left w:val="nil"/>
              <w:bottom w:val="single" w:sz="4" w:space="0" w:color="auto"/>
              <w:right w:val="single" w:sz="4" w:space="0" w:color="auto"/>
            </w:tcBorders>
            <w:shd w:val="clear" w:color="auto" w:fill="auto"/>
            <w:noWrap/>
            <w:vAlign w:val="center"/>
            <w:hideMark/>
          </w:tcPr>
          <w:p w14:paraId="6EC94C1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3B77ED5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715</w:t>
            </w:r>
          </w:p>
        </w:tc>
      </w:tr>
      <w:tr w:rsidR="008A5057" w:rsidRPr="00BD295E" w14:paraId="0CBD6F4C"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19FCC1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nil"/>
              <w:left w:val="single" w:sz="4" w:space="0" w:color="auto"/>
              <w:bottom w:val="nil"/>
              <w:right w:val="single" w:sz="4" w:space="0" w:color="auto"/>
            </w:tcBorders>
            <w:shd w:val="clear" w:color="auto" w:fill="auto"/>
            <w:vAlign w:val="center"/>
            <w:hideMark/>
          </w:tcPr>
          <w:p w14:paraId="7A64579B"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681C55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6B7BF04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449</w:t>
            </w:r>
          </w:p>
        </w:tc>
      </w:tr>
      <w:tr w:rsidR="008A5057" w:rsidRPr="00BD295E" w14:paraId="54DC1131"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A635D3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top w:val="nil"/>
              <w:left w:val="single" w:sz="4" w:space="0" w:color="auto"/>
              <w:bottom w:val="nil"/>
              <w:right w:val="single" w:sz="4" w:space="0" w:color="auto"/>
            </w:tcBorders>
            <w:shd w:val="clear" w:color="auto" w:fill="auto"/>
            <w:vAlign w:val="center"/>
            <w:hideMark/>
          </w:tcPr>
          <w:p w14:paraId="30FB35E9"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304FF0F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05DB9B2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266</w:t>
            </w:r>
          </w:p>
        </w:tc>
      </w:tr>
      <w:tr w:rsidR="008A5057" w:rsidRPr="00BD295E" w14:paraId="456ACFA6"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98C5F7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Rate per unit of maximum capacity for “last mile” activities</w:t>
            </w:r>
          </w:p>
        </w:tc>
        <w:tc>
          <w:tcPr>
            <w:tcW w:w="1701" w:type="dxa"/>
            <w:vMerge/>
            <w:tcBorders>
              <w:top w:val="nil"/>
              <w:left w:val="single" w:sz="4" w:space="0" w:color="auto"/>
              <w:bottom w:val="nil"/>
              <w:right w:val="single" w:sz="4" w:space="0" w:color="auto"/>
            </w:tcBorders>
            <w:shd w:val="clear" w:color="auto" w:fill="auto"/>
            <w:vAlign w:val="center"/>
            <w:hideMark/>
          </w:tcPr>
          <w:p w14:paraId="393729D4"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44C7C7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554EA70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1A57B3F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DACE2C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Construction of 10(6) kV overhead lines</w:t>
            </w:r>
          </w:p>
        </w:tc>
        <w:tc>
          <w:tcPr>
            <w:tcW w:w="1701" w:type="dxa"/>
            <w:vMerge/>
            <w:tcBorders>
              <w:top w:val="nil"/>
              <w:left w:val="single" w:sz="4" w:space="0" w:color="auto"/>
              <w:bottom w:val="nil"/>
              <w:right w:val="single" w:sz="4" w:space="0" w:color="auto"/>
            </w:tcBorders>
            <w:shd w:val="clear" w:color="auto" w:fill="auto"/>
            <w:vAlign w:val="center"/>
            <w:hideMark/>
          </w:tcPr>
          <w:p w14:paraId="5C85C7F5"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1354FB0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3E2E895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1D3C9DF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1A09B2C"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nil"/>
              <w:right w:val="single" w:sz="4" w:space="0" w:color="auto"/>
            </w:tcBorders>
            <w:shd w:val="clear" w:color="auto" w:fill="auto"/>
            <w:vAlign w:val="center"/>
            <w:hideMark/>
          </w:tcPr>
          <w:p w14:paraId="796DAB8A"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F5AD50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5AAC40B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349EE5C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98466D1"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nil"/>
              <w:right w:val="single" w:sz="4" w:space="0" w:color="auto"/>
            </w:tcBorders>
            <w:shd w:val="clear" w:color="auto" w:fill="auto"/>
            <w:vAlign w:val="center"/>
            <w:hideMark/>
          </w:tcPr>
          <w:p w14:paraId="27693D37"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0B5E1FE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34FBA2B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254</w:t>
            </w:r>
          </w:p>
        </w:tc>
      </w:tr>
      <w:tr w:rsidR="008A5057" w:rsidRPr="00BD295E" w14:paraId="31CAC36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EE106B0"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nil"/>
              <w:right w:val="single" w:sz="4" w:space="0" w:color="auto"/>
            </w:tcBorders>
            <w:shd w:val="clear" w:color="auto" w:fill="auto"/>
            <w:vAlign w:val="center"/>
            <w:hideMark/>
          </w:tcPr>
          <w:p w14:paraId="29CA652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497737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513678F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566185A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AB6A73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Construction of 10(6) kV cable lines</w:t>
            </w:r>
          </w:p>
        </w:tc>
        <w:tc>
          <w:tcPr>
            <w:tcW w:w="1701" w:type="dxa"/>
            <w:vMerge/>
            <w:tcBorders>
              <w:top w:val="nil"/>
              <w:left w:val="single" w:sz="4" w:space="0" w:color="auto"/>
              <w:bottom w:val="nil"/>
              <w:right w:val="single" w:sz="4" w:space="0" w:color="auto"/>
            </w:tcBorders>
            <w:shd w:val="clear" w:color="auto" w:fill="auto"/>
            <w:vAlign w:val="center"/>
            <w:hideMark/>
          </w:tcPr>
          <w:p w14:paraId="5C3B0682"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5F75954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3CEC756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4FF424E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6513434"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nil"/>
              <w:right w:val="single" w:sz="4" w:space="0" w:color="auto"/>
            </w:tcBorders>
            <w:shd w:val="clear" w:color="auto" w:fill="auto"/>
            <w:vAlign w:val="center"/>
            <w:hideMark/>
          </w:tcPr>
          <w:p w14:paraId="244C953F"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29064A2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7157CA2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4E7A37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4384B77"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nil"/>
              <w:right w:val="single" w:sz="4" w:space="0" w:color="auto"/>
            </w:tcBorders>
            <w:shd w:val="clear" w:color="auto" w:fill="auto"/>
            <w:vAlign w:val="center"/>
            <w:hideMark/>
          </w:tcPr>
          <w:p w14:paraId="5EB4121C"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3D279C0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3398B86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3,595</w:t>
            </w:r>
          </w:p>
        </w:tc>
      </w:tr>
      <w:tr w:rsidR="008A5057" w:rsidRPr="00BD295E" w14:paraId="06E0728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57791E1"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nil"/>
              <w:right w:val="single" w:sz="4" w:space="0" w:color="auto"/>
            </w:tcBorders>
            <w:shd w:val="clear" w:color="auto" w:fill="auto"/>
            <w:vAlign w:val="center"/>
            <w:hideMark/>
          </w:tcPr>
          <w:p w14:paraId="172449AB"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662AF24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189E2AE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5,540</w:t>
            </w:r>
          </w:p>
        </w:tc>
      </w:tr>
      <w:tr w:rsidR="008A5057" w:rsidRPr="00BD295E" w14:paraId="3058AD8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B95742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С3 Construction of 0.4 kV cable lines</w:t>
            </w:r>
          </w:p>
        </w:tc>
        <w:tc>
          <w:tcPr>
            <w:tcW w:w="1701" w:type="dxa"/>
            <w:vMerge/>
            <w:tcBorders>
              <w:top w:val="nil"/>
              <w:left w:val="single" w:sz="4" w:space="0" w:color="auto"/>
              <w:bottom w:val="nil"/>
              <w:right w:val="single" w:sz="4" w:space="0" w:color="auto"/>
            </w:tcBorders>
            <w:shd w:val="clear" w:color="auto" w:fill="auto"/>
            <w:vAlign w:val="center"/>
            <w:hideMark/>
          </w:tcPr>
          <w:p w14:paraId="5F95422C"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C187BB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524EB3E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7F7EDC3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5055973"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up to 150 kW, inclusive</w:t>
            </w:r>
          </w:p>
        </w:tc>
        <w:tc>
          <w:tcPr>
            <w:tcW w:w="1701" w:type="dxa"/>
            <w:vMerge/>
            <w:tcBorders>
              <w:top w:val="nil"/>
              <w:left w:val="single" w:sz="4" w:space="0" w:color="auto"/>
              <w:bottom w:val="nil"/>
              <w:right w:val="single" w:sz="4" w:space="0" w:color="auto"/>
            </w:tcBorders>
            <w:shd w:val="clear" w:color="auto" w:fill="auto"/>
            <w:vAlign w:val="center"/>
            <w:hideMark/>
          </w:tcPr>
          <w:p w14:paraId="494568F8"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06D8C3E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hideMark/>
          </w:tcPr>
          <w:p w14:paraId="44E0CF5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32E6B28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0D36993"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nil"/>
              <w:right w:val="single" w:sz="4" w:space="0" w:color="auto"/>
            </w:tcBorders>
            <w:shd w:val="clear" w:color="auto" w:fill="auto"/>
            <w:vAlign w:val="center"/>
            <w:hideMark/>
          </w:tcPr>
          <w:p w14:paraId="0985F16A"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28B2E2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tcPr>
          <w:p w14:paraId="60763BF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1ABB89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75B589B"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nil"/>
              <w:right w:val="single" w:sz="4" w:space="0" w:color="auto"/>
            </w:tcBorders>
            <w:shd w:val="clear" w:color="auto" w:fill="auto"/>
            <w:vAlign w:val="center"/>
            <w:hideMark/>
          </w:tcPr>
          <w:p w14:paraId="6663064D"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7FF5A98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16" w:type="dxa"/>
            <w:gridSpan w:val="2"/>
            <w:tcBorders>
              <w:top w:val="nil"/>
              <w:left w:val="nil"/>
              <w:bottom w:val="single" w:sz="4" w:space="0" w:color="auto"/>
              <w:right w:val="single" w:sz="4" w:space="0" w:color="auto"/>
            </w:tcBorders>
            <w:shd w:val="clear" w:color="auto" w:fill="auto"/>
            <w:vAlign w:val="center"/>
          </w:tcPr>
          <w:p w14:paraId="0E76E13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5254B36E"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3D5C4D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Rates per unit of maximum capacity for construction of transformer substations (TSS)</w:t>
            </w:r>
          </w:p>
        </w:tc>
        <w:tc>
          <w:tcPr>
            <w:tcW w:w="1701" w:type="dxa"/>
            <w:vMerge/>
            <w:tcBorders>
              <w:top w:val="nil"/>
              <w:left w:val="single" w:sz="4" w:space="0" w:color="auto"/>
              <w:bottom w:val="nil"/>
              <w:right w:val="single" w:sz="4" w:space="0" w:color="auto"/>
            </w:tcBorders>
            <w:shd w:val="clear" w:color="auto" w:fill="auto"/>
            <w:vAlign w:val="center"/>
            <w:hideMark/>
          </w:tcPr>
          <w:p w14:paraId="2AEC2360"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4015F31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251C863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33F53D0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674748E"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above 150 kW and less than 670 kW</w:t>
            </w:r>
          </w:p>
        </w:tc>
        <w:tc>
          <w:tcPr>
            <w:tcW w:w="1701" w:type="dxa"/>
            <w:vMerge/>
            <w:tcBorders>
              <w:top w:val="nil"/>
              <w:left w:val="single" w:sz="4" w:space="0" w:color="auto"/>
              <w:bottom w:val="nil"/>
              <w:right w:val="single" w:sz="4" w:space="0" w:color="auto"/>
            </w:tcBorders>
            <w:shd w:val="clear" w:color="auto" w:fill="auto"/>
            <w:vAlign w:val="center"/>
            <w:hideMark/>
          </w:tcPr>
          <w:p w14:paraId="0CA82D27"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2AD8E22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5D6983E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5EC48F7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2334421" w14:textId="77777777" w:rsidR="005C1246" w:rsidRPr="00BD295E" w:rsidRDefault="008A5057" w:rsidP="00D648DD">
            <w:pPr>
              <w:ind w:firstLineChars="300" w:firstLine="540"/>
              <w:rPr>
                <w:rFonts w:ascii="Arial" w:hAnsi="Arial" w:cs="Arial"/>
                <w:sz w:val="18"/>
                <w:szCs w:val="18"/>
                <w:lang w:val="en-US"/>
              </w:rPr>
            </w:pPr>
            <w:r w:rsidRPr="00BD295E">
              <w:rPr>
                <w:rFonts w:ascii="Arial" w:hAnsi="Arial" w:cs="Arial"/>
                <w:sz w:val="18"/>
                <w:szCs w:val="18"/>
                <w:lang w:val="en-US"/>
              </w:rPr>
              <w:t>at least 670 kW</w:t>
            </w:r>
          </w:p>
        </w:tc>
        <w:tc>
          <w:tcPr>
            <w:tcW w:w="1701" w:type="dxa"/>
            <w:vMerge/>
            <w:tcBorders>
              <w:top w:val="nil"/>
              <w:left w:val="single" w:sz="4" w:space="0" w:color="auto"/>
              <w:bottom w:val="nil"/>
              <w:right w:val="single" w:sz="4" w:space="0" w:color="auto"/>
            </w:tcBorders>
            <w:shd w:val="clear" w:color="auto" w:fill="auto"/>
            <w:vAlign w:val="center"/>
            <w:hideMark/>
          </w:tcPr>
          <w:p w14:paraId="63C9993A" w14:textId="77777777" w:rsidR="005C1246" w:rsidRPr="00BD295E" w:rsidRDefault="005C1246" w:rsidP="00D648DD">
            <w:pPr>
              <w:rPr>
                <w:rFonts w:ascii="Arial" w:hAnsi="Arial" w:cs="Arial"/>
                <w:sz w:val="18"/>
                <w:szCs w:val="18"/>
                <w:lang w:val="en-US"/>
              </w:rPr>
            </w:pPr>
          </w:p>
        </w:tc>
        <w:tc>
          <w:tcPr>
            <w:tcW w:w="978" w:type="dxa"/>
            <w:tcBorders>
              <w:top w:val="nil"/>
              <w:left w:val="nil"/>
              <w:bottom w:val="single" w:sz="4" w:space="0" w:color="auto"/>
              <w:right w:val="single" w:sz="4" w:space="0" w:color="auto"/>
            </w:tcBorders>
            <w:shd w:val="clear" w:color="auto" w:fill="auto"/>
            <w:noWrap/>
            <w:vAlign w:val="center"/>
            <w:hideMark/>
          </w:tcPr>
          <w:p w14:paraId="48082DD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16" w:type="dxa"/>
            <w:gridSpan w:val="2"/>
            <w:tcBorders>
              <w:top w:val="nil"/>
              <w:left w:val="nil"/>
              <w:bottom w:val="single" w:sz="4" w:space="0" w:color="auto"/>
              <w:right w:val="single" w:sz="4" w:space="0" w:color="auto"/>
            </w:tcBorders>
            <w:shd w:val="clear" w:color="auto" w:fill="auto"/>
            <w:vAlign w:val="center"/>
            <w:hideMark/>
          </w:tcPr>
          <w:p w14:paraId="7CD3A74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4E4C756C" w14:textId="77777777" w:rsidTr="00D648DD">
        <w:trPr>
          <w:trHeight w:val="288"/>
        </w:trPr>
        <w:tc>
          <w:tcPr>
            <w:tcW w:w="951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5C128F1" w14:textId="77777777" w:rsidR="005C1246" w:rsidRPr="00BD295E" w:rsidRDefault="008A5057" w:rsidP="00D648DD">
            <w:pPr>
              <w:rPr>
                <w:rFonts w:ascii="Arial" w:hAnsi="Arial" w:cs="Arial"/>
                <w:b/>
                <w:bCs/>
                <w:sz w:val="18"/>
                <w:szCs w:val="18"/>
                <w:lang w:val="en-US"/>
              </w:rPr>
            </w:pPr>
            <w:r w:rsidRPr="00BD295E">
              <w:rPr>
                <w:rFonts w:ascii="Arial" w:hAnsi="Arial" w:cs="Arial"/>
                <w:b/>
                <w:bCs/>
                <w:sz w:val="18"/>
                <w:szCs w:val="18"/>
                <w:lang w:val="en-US"/>
              </w:rPr>
              <w:t>Standardized tariff rates for grid connection*</w:t>
            </w:r>
          </w:p>
        </w:tc>
      </w:tr>
      <w:tr w:rsidR="008A5057" w:rsidRPr="00BD295E" w14:paraId="649571E5" w14:textId="77777777" w:rsidTr="00D648DD">
        <w:trPr>
          <w:trHeight w:val="193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1A23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Standardized tariff rate to cover expenses for grid connection of power receiving appliances of electricity consumers, electric grid facilities owned by grid companies or other entities, for activities referred to in item 16 (excluding sub-item “b”) of the Guidelines</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EF862E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14:paraId="19F82D9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0F9A75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41,011</w:t>
            </w:r>
          </w:p>
        </w:tc>
      </w:tr>
      <w:tr w:rsidR="008A5057" w:rsidRPr="00BD295E" w14:paraId="53B6F957"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43F4E5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BADF60B"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BC4B69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449CF02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24,525</w:t>
            </w:r>
          </w:p>
        </w:tc>
      </w:tr>
      <w:tr w:rsidR="008A5057" w:rsidRPr="00BD295E" w14:paraId="5F41FC24"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D88564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’s compliance with technical specifications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26282D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842298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1D40EFF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16,486</w:t>
            </w:r>
          </w:p>
        </w:tc>
      </w:tr>
      <w:tr w:rsidR="008A5057" w:rsidRPr="00BD295E" w14:paraId="1CD4899C"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172DA2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overhead lines per 1 km of the line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E26F0CB"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6F0563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6D276ED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068CB95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0AFF0D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2 3 х 120+1х70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8B6AF9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37BCF2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2FC7296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672,215</w:t>
            </w:r>
          </w:p>
        </w:tc>
      </w:tr>
      <w:tr w:rsidR="008A5057" w:rsidRPr="00BD295E" w14:paraId="775C5275"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FAE7B9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cable lines per 1 km of the line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3C94DC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nil"/>
              <w:right w:val="single" w:sz="4" w:space="0" w:color="auto"/>
            </w:tcBorders>
            <w:shd w:val="clear" w:color="auto" w:fill="auto"/>
            <w:vAlign w:val="center"/>
            <w:hideMark/>
          </w:tcPr>
          <w:p w14:paraId="1CB92B3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06BC0D7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78CC858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BD44B5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APvBbShp 4Х120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A5C082E"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B27494"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42EF72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4,776,497</w:t>
            </w:r>
          </w:p>
        </w:tc>
      </w:tr>
      <w:tr w:rsidR="008A5057" w:rsidRPr="00BD295E" w14:paraId="69F21E7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92AAD1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53FDFC4" w14:textId="77777777" w:rsidR="005C1246" w:rsidRPr="00BD295E" w:rsidRDefault="005C1246" w:rsidP="00D648DD">
            <w:pPr>
              <w:rPr>
                <w:rFonts w:ascii="Arial" w:hAnsi="Arial" w:cs="Arial"/>
                <w:sz w:val="18"/>
                <w:szCs w:val="18"/>
                <w:lang w:val="en-US"/>
              </w:rPr>
            </w:pPr>
          </w:p>
        </w:tc>
        <w:tc>
          <w:tcPr>
            <w:tcW w:w="99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783ED1"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60E9EE2" w14:textId="77777777" w:rsidR="005C1246" w:rsidRPr="00BD295E" w:rsidRDefault="005C1246" w:rsidP="00D648DD">
            <w:pPr>
              <w:rPr>
                <w:rFonts w:ascii="Arial" w:hAnsi="Arial" w:cs="Arial"/>
                <w:sz w:val="18"/>
                <w:szCs w:val="18"/>
                <w:lang w:val="en-US"/>
              </w:rPr>
            </w:pPr>
          </w:p>
        </w:tc>
      </w:tr>
      <w:tr w:rsidR="008A5057" w:rsidRPr="00BD295E" w14:paraId="46187D7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887975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APvBbShp 4Х120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4C4E155"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0054AB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6109B0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6,687,093</w:t>
            </w:r>
          </w:p>
        </w:tc>
      </w:tr>
      <w:tr w:rsidR="008A5057" w:rsidRPr="00BD295E" w14:paraId="43DCC4B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49205D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0F7BBA3"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AE63994"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D3BA2AF" w14:textId="77777777" w:rsidR="005C1246" w:rsidRPr="00BD295E" w:rsidRDefault="005C1246" w:rsidP="00D648DD">
            <w:pPr>
              <w:rPr>
                <w:rFonts w:ascii="Arial" w:hAnsi="Arial" w:cs="Arial"/>
                <w:sz w:val="18"/>
                <w:szCs w:val="18"/>
                <w:lang w:val="en-US"/>
              </w:rPr>
            </w:pPr>
          </w:p>
        </w:tc>
      </w:tr>
      <w:tr w:rsidR="008A5057" w:rsidRPr="00BD295E" w14:paraId="2661ADF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773F36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APvBbShp 4Х150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64D9C79"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A789091"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2E4EF6E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4,922,687</w:t>
            </w:r>
          </w:p>
        </w:tc>
      </w:tr>
      <w:tr w:rsidR="008A5057" w:rsidRPr="00BD295E" w14:paraId="7EA27EF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C5AC3B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11393DC"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71C17DE"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BCC7B49" w14:textId="77777777" w:rsidR="005C1246" w:rsidRPr="00BD295E" w:rsidRDefault="005C1246" w:rsidP="00D648DD">
            <w:pPr>
              <w:rPr>
                <w:rFonts w:ascii="Arial" w:hAnsi="Arial" w:cs="Arial"/>
                <w:sz w:val="18"/>
                <w:szCs w:val="18"/>
                <w:lang w:val="en-US"/>
              </w:rPr>
            </w:pPr>
          </w:p>
        </w:tc>
      </w:tr>
      <w:tr w:rsidR="008A5057" w:rsidRPr="00BD295E" w14:paraId="7CAFC95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AEE266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APvBbShp 4Х150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D43C7FB"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C5BD97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AB2E96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6,891,760</w:t>
            </w:r>
          </w:p>
        </w:tc>
      </w:tr>
      <w:tr w:rsidR="008A5057" w:rsidRPr="00BD295E" w14:paraId="5F1418E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ECCC52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0B5722C"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BE9AA39"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E3414EF" w14:textId="77777777" w:rsidR="005C1246" w:rsidRPr="00BD295E" w:rsidRDefault="005C1246" w:rsidP="00D648DD">
            <w:pPr>
              <w:rPr>
                <w:rFonts w:ascii="Arial" w:hAnsi="Arial" w:cs="Arial"/>
                <w:sz w:val="18"/>
                <w:szCs w:val="18"/>
                <w:lang w:val="en-US"/>
              </w:rPr>
            </w:pPr>
          </w:p>
        </w:tc>
      </w:tr>
      <w:tr w:rsidR="008A5057" w:rsidRPr="00BD295E" w14:paraId="6F8CFEF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210CF89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APvBbShp 4Х185</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09A89C8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248AD12C"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7C8759C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5,522,667</w:t>
            </w:r>
          </w:p>
        </w:tc>
      </w:tr>
      <w:tr w:rsidR="008A5057" w:rsidRPr="00BD295E" w14:paraId="0D34981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0F1F10F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35D9D015"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00108A01" w14:textId="77777777" w:rsidR="005C1246" w:rsidRPr="00BD295E" w:rsidRDefault="005C1246" w:rsidP="00D648DD">
            <w:pPr>
              <w:jc w:val="cente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158AE9B6" w14:textId="77777777" w:rsidR="005C1246" w:rsidRPr="00BD295E" w:rsidRDefault="005C1246" w:rsidP="00D648DD">
            <w:pPr>
              <w:jc w:val="right"/>
              <w:rPr>
                <w:rFonts w:ascii="Arial" w:hAnsi="Arial" w:cs="Arial"/>
                <w:sz w:val="18"/>
                <w:szCs w:val="18"/>
                <w:lang w:val="en-US"/>
              </w:rPr>
            </w:pPr>
          </w:p>
        </w:tc>
      </w:tr>
      <w:tr w:rsidR="008A5057" w:rsidRPr="00BD295E" w14:paraId="6089636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35BAF7C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APvBbShp 4Х185</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60C12E29"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6E14B57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2B8320A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7,731,735</w:t>
            </w:r>
          </w:p>
        </w:tc>
      </w:tr>
      <w:tr w:rsidR="008A5057" w:rsidRPr="00BD295E" w14:paraId="2E05C60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11B6C54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2BBBE9E0"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6307F41D" w14:textId="77777777" w:rsidR="005C1246" w:rsidRPr="00BD295E" w:rsidRDefault="005C1246" w:rsidP="00D648DD">
            <w:pPr>
              <w:jc w:val="cente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432CF026" w14:textId="77777777" w:rsidR="005C1246" w:rsidRPr="00BD295E" w:rsidRDefault="005C1246" w:rsidP="00D648DD">
            <w:pPr>
              <w:jc w:val="right"/>
              <w:rPr>
                <w:rFonts w:ascii="Arial" w:hAnsi="Arial" w:cs="Arial"/>
                <w:sz w:val="18"/>
                <w:szCs w:val="18"/>
                <w:lang w:val="en-US"/>
              </w:rPr>
            </w:pPr>
          </w:p>
        </w:tc>
      </w:tr>
      <w:tr w:rsidR="008A5057" w:rsidRPr="00BD295E" w14:paraId="6D242CC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E8C08A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APvBbShp 4Х240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D34313A"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6515A01"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9F6D3B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5,577,895</w:t>
            </w:r>
          </w:p>
        </w:tc>
      </w:tr>
      <w:tr w:rsidR="008A5057" w:rsidRPr="00BD295E" w14:paraId="53F4345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FD5C0D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6536140"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7C6C518"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F83F254" w14:textId="77777777" w:rsidR="005C1246" w:rsidRPr="00BD295E" w:rsidRDefault="005C1246" w:rsidP="00D648DD">
            <w:pPr>
              <w:rPr>
                <w:rFonts w:ascii="Arial" w:hAnsi="Arial" w:cs="Arial"/>
                <w:sz w:val="18"/>
                <w:szCs w:val="18"/>
                <w:lang w:val="en-US"/>
              </w:rPr>
            </w:pPr>
          </w:p>
        </w:tc>
      </w:tr>
      <w:tr w:rsidR="008A5057" w:rsidRPr="00BD295E" w14:paraId="2B44CD8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A89C84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APvBbShp 4Х240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2D5F6C1"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5684094"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B8227F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7,809,052</w:t>
            </w:r>
          </w:p>
        </w:tc>
      </w:tr>
      <w:tr w:rsidR="008A5057" w:rsidRPr="00BD295E" w14:paraId="490C353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98EA6B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09E840F"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C3D1B87"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F55C8FB" w14:textId="77777777" w:rsidR="005C1246" w:rsidRPr="00BD295E" w:rsidRDefault="005C1246" w:rsidP="00D648DD">
            <w:pPr>
              <w:rPr>
                <w:rFonts w:ascii="Arial" w:hAnsi="Arial" w:cs="Arial"/>
                <w:sz w:val="18"/>
                <w:szCs w:val="18"/>
                <w:lang w:val="en-US"/>
              </w:rPr>
            </w:pPr>
          </w:p>
        </w:tc>
      </w:tr>
      <w:tr w:rsidR="008A5057" w:rsidRPr="00BD295E" w14:paraId="19DC1D0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7461D4A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APvBbShp 4Х240</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6827A617"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541BACC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44C021C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17,621,616</w:t>
            </w:r>
          </w:p>
        </w:tc>
      </w:tr>
      <w:tr w:rsidR="008A5057" w:rsidRPr="00BD295E" w14:paraId="16F8C67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2C5200D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(1 HDD CL, 2 pipes)</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60F7F307"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23333E18" w14:textId="77777777" w:rsidR="005C1246" w:rsidRPr="00BD295E" w:rsidRDefault="005C1246" w:rsidP="00D648DD">
            <w:pP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7FE1DD6E" w14:textId="77777777" w:rsidR="005C1246" w:rsidRPr="00BD295E" w:rsidRDefault="005C1246" w:rsidP="00D648DD">
            <w:pPr>
              <w:rPr>
                <w:rFonts w:ascii="Arial" w:hAnsi="Arial" w:cs="Arial"/>
                <w:sz w:val="18"/>
                <w:szCs w:val="18"/>
                <w:lang w:val="en-US"/>
              </w:rPr>
            </w:pPr>
          </w:p>
        </w:tc>
      </w:tr>
      <w:tr w:rsidR="008A5057" w:rsidRPr="00BD295E" w14:paraId="4DCBC64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0E18BB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ASB2l 4Х120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7BA64FE"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4C138D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3AF794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4,117,669</w:t>
            </w:r>
          </w:p>
        </w:tc>
      </w:tr>
      <w:tr w:rsidR="008A5057" w:rsidRPr="00BD295E" w14:paraId="1D2BF02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D832BF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C3ACB8B"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69F7668"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E8E1E44" w14:textId="77777777" w:rsidR="005C1246" w:rsidRPr="00BD295E" w:rsidRDefault="005C1246" w:rsidP="00D648DD">
            <w:pPr>
              <w:rPr>
                <w:rFonts w:ascii="Arial" w:hAnsi="Arial" w:cs="Arial"/>
                <w:sz w:val="18"/>
                <w:szCs w:val="18"/>
                <w:lang w:val="en-US"/>
              </w:rPr>
            </w:pPr>
          </w:p>
        </w:tc>
      </w:tr>
      <w:tr w:rsidR="008A5057" w:rsidRPr="00BD295E" w14:paraId="032A6B4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9A976D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ASB2l 4Х120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53FF78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7208F54C"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CB7685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5,764,735</w:t>
            </w:r>
          </w:p>
        </w:tc>
      </w:tr>
      <w:tr w:rsidR="008A5057" w:rsidRPr="00BD295E" w14:paraId="43C1AA1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D6374C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B8440FA"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BBD8E43"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2077935" w14:textId="77777777" w:rsidR="005C1246" w:rsidRPr="00BD295E" w:rsidRDefault="005C1246" w:rsidP="00D648DD">
            <w:pPr>
              <w:rPr>
                <w:rFonts w:ascii="Arial" w:hAnsi="Arial" w:cs="Arial"/>
                <w:sz w:val="18"/>
                <w:szCs w:val="18"/>
                <w:lang w:val="en-US"/>
              </w:rPr>
            </w:pPr>
          </w:p>
        </w:tc>
      </w:tr>
      <w:tr w:rsidR="008A5057" w:rsidRPr="00BD295E" w14:paraId="51F1FE9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7A6106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8D07BDD"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12CA088"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81753A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4,117,747</w:t>
            </w:r>
          </w:p>
        </w:tc>
      </w:tr>
      <w:tr w:rsidR="008A5057" w:rsidRPr="00BD295E" w14:paraId="0CC951C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BC1ED6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9BC9759"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3072DDE"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5774CC7" w14:textId="77777777" w:rsidR="005C1246" w:rsidRPr="00BD295E" w:rsidRDefault="005C1246" w:rsidP="00D648DD">
            <w:pPr>
              <w:rPr>
                <w:rFonts w:ascii="Arial" w:hAnsi="Arial" w:cs="Arial"/>
                <w:sz w:val="18"/>
                <w:szCs w:val="18"/>
                <w:lang w:val="en-US"/>
              </w:rPr>
            </w:pPr>
          </w:p>
        </w:tc>
      </w:tr>
      <w:tr w:rsidR="008A5057" w:rsidRPr="00BD295E" w14:paraId="1C32B1B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253F85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A6B1DC4"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A619AD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D7E954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5,764,849</w:t>
            </w:r>
          </w:p>
        </w:tc>
      </w:tr>
      <w:tr w:rsidR="008A5057" w:rsidRPr="00BD295E" w14:paraId="0E53166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FD7C3C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37E28B1"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9EBFD1F"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D5A5A9C" w14:textId="77777777" w:rsidR="005C1246" w:rsidRPr="00BD295E" w:rsidRDefault="005C1246" w:rsidP="00D648DD">
            <w:pPr>
              <w:rPr>
                <w:rFonts w:ascii="Arial" w:hAnsi="Arial" w:cs="Arial"/>
                <w:sz w:val="18"/>
                <w:szCs w:val="18"/>
                <w:lang w:val="en-US"/>
              </w:rPr>
            </w:pPr>
          </w:p>
        </w:tc>
      </w:tr>
      <w:tr w:rsidR="008A5057" w:rsidRPr="00BD295E" w14:paraId="2E68E5B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48F071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4Х185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E10EF5B"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ABB274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8DF025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4,117,826</w:t>
            </w:r>
          </w:p>
        </w:tc>
      </w:tr>
      <w:tr w:rsidR="008A5057" w:rsidRPr="00BD295E" w14:paraId="66C598F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941AD3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79E197A"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7442DA5"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D97E1FE" w14:textId="77777777" w:rsidR="005C1246" w:rsidRPr="00BD295E" w:rsidRDefault="005C1246" w:rsidP="00D648DD">
            <w:pPr>
              <w:rPr>
                <w:rFonts w:ascii="Arial" w:hAnsi="Arial" w:cs="Arial"/>
                <w:sz w:val="18"/>
                <w:szCs w:val="18"/>
                <w:lang w:val="en-US"/>
              </w:rPr>
            </w:pPr>
          </w:p>
        </w:tc>
      </w:tr>
      <w:tr w:rsidR="008A5057" w:rsidRPr="00BD295E" w14:paraId="284791B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5898DA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4Х185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90BFE4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C27F0D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34F67A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5,764,964</w:t>
            </w:r>
          </w:p>
        </w:tc>
      </w:tr>
      <w:tr w:rsidR="008A5057" w:rsidRPr="00BD295E" w14:paraId="35712C7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CACCCA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C32FF19"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7B714E46"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4D4DEB9" w14:textId="77777777" w:rsidR="005C1246" w:rsidRPr="00BD295E" w:rsidRDefault="005C1246" w:rsidP="00D648DD">
            <w:pPr>
              <w:rPr>
                <w:rFonts w:ascii="Arial" w:hAnsi="Arial" w:cs="Arial"/>
                <w:sz w:val="18"/>
                <w:szCs w:val="18"/>
                <w:lang w:val="en-US"/>
              </w:rPr>
            </w:pPr>
          </w:p>
        </w:tc>
      </w:tr>
      <w:tr w:rsidR="008A5057" w:rsidRPr="00BD295E" w14:paraId="4C1EACD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1C368C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4Х240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096B5AA"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0C416C5"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DAA5F8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5,436,361</w:t>
            </w:r>
          </w:p>
        </w:tc>
      </w:tr>
      <w:tr w:rsidR="008A5057" w:rsidRPr="00BD295E" w14:paraId="7AA7ABB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FD9407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C8B144F"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E96F6EF"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08C1FAA" w14:textId="77777777" w:rsidR="005C1246" w:rsidRPr="00BD295E" w:rsidRDefault="005C1246" w:rsidP="00D648DD">
            <w:pPr>
              <w:rPr>
                <w:rFonts w:ascii="Arial" w:hAnsi="Arial" w:cs="Arial"/>
                <w:sz w:val="18"/>
                <w:szCs w:val="18"/>
                <w:lang w:val="en-US"/>
              </w:rPr>
            </w:pPr>
          </w:p>
        </w:tc>
      </w:tr>
      <w:tr w:rsidR="008A5057" w:rsidRPr="00BD295E" w14:paraId="72BE704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D73D8C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4Х240</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050652C"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hideMark/>
          </w:tcPr>
          <w:p w14:paraId="17460DC5"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hideMark/>
          </w:tcPr>
          <w:p w14:paraId="758B0EA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7,610,901</w:t>
            </w:r>
          </w:p>
        </w:tc>
      </w:tr>
      <w:tr w:rsidR="008A5057" w:rsidRPr="00BD295E" w14:paraId="3B07A687" w14:textId="77777777" w:rsidTr="00D648DD">
        <w:trPr>
          <w:trHeight w:val="25"/>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5B8B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DED3B59"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hideMark/>
          </w:tcPr>
          <w:p w14:paraId="310A9582" w14:textId="77777777" w:rsidR="005C1246" w:rsidRPr="00BD295E" w:rsidRDefault="005C1246" w:rsidP="00D648DD">
            <w:pP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hideMark/>
          </w:tcPr>
          <w:p w14:paraId="7E165D56" w14:textId="77777777" w:rsidR="005C1246" w:rsidRPr="00BD295E" w:rsidRDefault="005C1246" w:rsidP="00D648DD">
            <w:pPr>
              <w:rPr>
                <w:rFonts w:ascii="Arial" w:hAnsi="Arial" w:cs="Arial"/>
                <w:sz w:val="18"/>
                <w:szCs w:val="18"/>
                <w:lang w:val="en-US"/>
              </w:rPr>
            </w:pPr>
          </w:p>
        </w:tc>
      </w:tr>
      <w:tr w:rsidR="008A5057" w:rsidRPr="00BD295E" w14:paraId="7607ACEF" w14:textId="77777777" w:rsidTr="00D648DD">
        <w:trPr>
          <w:trHeight w:val="13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F8C4D4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transformer substations (TS), excluding distribution transformer substations (DTSS) with voltage up to 35 kV</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347E6F05"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gridSpan w:val="2"/>
            <w:tcBorders>
              <w:top w:val="single" w:sz="4" w:space="0" w:color="auto"/>
              <w:left w:val="nil"/>
              <w:bottom w:val="single" w:sz="4" w:space="0" w:color="auto"/>
              <w:right w:val="single" w:sz="4" w:space="0" w:color="auto"/>
            </w:tcBorders>
            <w:shd w:val="clear" w:color="auto" w:fill="auto"/>
            <w:vAlign w:val="center"/>
          </w:tcPr>
          <w:p w14:paraId="7175E9C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53977F9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2AE9648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F82332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1Х63,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0F223FB"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45B3DD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B5FF28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14943</w:t>
            </w:r>
          </w:p>
        </w:tc>
      </w:tr>
      <w:tr w:rsidR="008A5057" w:rsidRPr="00BD295E" w14:paraId="6F8A54A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6C1EC8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89ACE7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5EF1DD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157C76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11,833</w:t>
            </w:r>
          </w:p>
        </w:tc>
      </w:tr>
      <w:tr w:rsidR="008A5057" w:rsidRPr="00BD295E" w14:paraId="77DE764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8DF2D8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1Х160,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4E2E61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FA0F95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D8A25F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7,819</w:t>
            </w:r>
          </w:p>
        </w:tc>
      </w:tr>
      <w:tr w:rsidR="008A5057" w:rsidRPr="00BD295E" w14:paraId="5816B37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C6B5E1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1Х250,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E04DD3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BA83AF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FE9D17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5,430</w:t>
            </w:r>
          </w:p>
        </w:tc>
      </w:tr>
      <w:tr w:rsidR="008A5057" w:rsidRPr="00BD295E" w14:paraId="645813B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9F02DF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1Х400,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E1FD34B"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5F99C3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3EADE2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3,844</w:t>
            </w:r>
          </w:p>
        </w:tc>
      </w:tr>
      <w:tr w:rsidR="008A5057" w:rsidRPr="00BD295E" w14:paraId="3334C3D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1F9461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1Х630,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303E9A7"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827961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1B4E15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3,114</w:t>
            </w:r>
          </w:p>
        </w:tc>
      </w:tr>
      <w:tr w:rsidR="008A5057" w:rsidRPr="00BD295E" w14:paraId="0F4FC9F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A4A83D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1Х1000,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7AFF24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3EE18E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03D6B7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2,476</w:t>
            </w:r>
          </w:p>
        </w:tc>
      </w:tr>
      <w:tr w:rsidR="008A5057" w:rsidRPr="00BD295E" w14:paraId="3B9135D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3048CA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2PTS 2Х63</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094E72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B742F5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347FBB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11,123</w:t>
            </w:r>
          </w:p>
        </w:tc>
      </w:tr>
      <w:tr w:rsidR="008A5057" w:rsidRPr="00BD295E" w14:paraId="3232349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CCA303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2PTS 2Х100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3A8D560"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F0E6F1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7C9579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8,515</w:t>
            </w:r>
          </w:p>
        </w:tc>
      </w:tr>
      <w:tr w:rsidR="008A5057" w:rsidRPr="00BD295E" w14:paraId="1338705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B176A0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2Х160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C4C6A95"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AA1CB9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C0D3F0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5,707</w:t>
            </w:r>
          </w:p>
        </w:tc>
      </w:tr>
      <w:tr w:rsidR="008A5057" w:rsidRPr="00BD295E" w14:paraId="6AC6292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739E62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2Х250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33E9938"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388BE5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FFB67B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4,042</w:t>
            </w:r>
          </w:p>
        </w:tc>
      </w:tr>
      <w:tr w:rsidR="008A5057" w:rsidRPr="00BD295E" w14:paraId="2BFF73D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F26739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2Х400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12D7CB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917356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A697D7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2,820</w:t>
            </w:r>
          </w:p>
        </w:tc>
      </w:tr>
      <w:tr w:rsidR="008A5057" w:rsidRPr="00BD295E" w14:paraId="5137166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20C7DC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2Х630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442711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3F88C5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12CDD6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2,280</w:t>
            </w:r>
          </w:p>
        </w:tc>
      </w:tr>
      <w:tr w:rsidR="008A5057" w:rsidRPr="00BD295E" w14:paraId="2BCADB2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9645B8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2Х1000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A17C3D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CC04C9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8464B7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3,969</w:t>
            </w:r>
          </w:p>
        </w:tc>
      </w:tr>
      <w:tr w:rsidR="008A5057" w:rsidRPr="00BD295E" w14:paraId="64417FA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045E10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3D6811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722338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61EBCE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43,412</w:t>
            </w:r>
          </w:p>
        </w:tc>
      </w:tr>
      <w:tr w:rsidR="008A5057" w:rsidRPr="00BD295E" w14:paraId="36C115A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FCAD0B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1X160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2B57B9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752D61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FEB73A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27,890</w:t>
            </w:r>
          </w:p>
        </w:tc>
      </w:tr>
      <w:tr w:rsidR="008A5057" w:rsidRPr="00BD295E" w14:paraId="26EB885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86879D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B17F717"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16F051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B235E7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18,825</w:t>
            </w:r>
          </w:p>
        </w:tc>
      </w:tr>
      <w:tr w:rsidR="008A5057" w:rsidRPr="00BD295E" w14:paraId="6159CE7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4DA69A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1X400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A1391F8"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BD3A55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17A068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26,554</w:t>
            </w:r>
          </w:p>
        </w:tc>
      </w:tr>
      <w:tr w:rsidR="008A5057" w:rsidRPr="00BD295E" w14:paraId="41EC9EC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D52D8D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1X630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E55849F"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1CDC3C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DDC27B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17,452</w:t>
            </w:r>
          </w:p>
        </w:tc>
      </w:tr>
      <w:tr w:rsidR="008A5057" w:rsidRPr="00BD295E" w14:paraId="0AADBA2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D94F9F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74623E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8DBAD4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E93799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11,218</w:t>
            </w:r>
          </w:p>
        </w:tc>
      </w:tr>
      <w:tr w:rsidR="008A5057" w:rsidRPr="00BD295E" w14:paraId="2FA4660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5CA570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E78CB7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B22184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60A2E7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10,271</w:t>
            </w:r>
          </w:p>
        </w:tc>
      </w:tr>
      <w:tr w:rsidR="008A5057" w:rsidRPr="00BD295E" w14:paraId="042E192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0EA6D6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1X1600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C752E30"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679D2B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A96545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3,882</w:t>
            </w:r>
          </w:p>
        </w:tc>
      </w:tr>
      <w:tr w:rsidR="008A5057" w:rsidRPr="00BD295E" w14:paraId="0856545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787793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342AFA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058ECE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E867C2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32,371</w:t>
            </w:r>
          </w:p>
        </w:tc>
      </w:tr>
      <w:tr w:rsidR="008A5057" w:rsidRPr="00BD295E" w14:paraId="0B9372B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2ED610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2X160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7B0D6F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634624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2AB2AB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20,820</w:t>
            </w:r>
          </w:p>
        </w:tc>
      </w:tr>
      <w:tr w:rsidR="008A5057" w:rsidRPr="00BD295E" w14:paraId="4B5DE44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2A3EEE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611F940"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A93EF7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85621D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14,075</w:t>
            </w:r>
          </w:p>
        </w:tc>
      </w:tr>
      <w:tr w:rsidR="008A5057" w:rsidRPr="00BD295E" w14:paraId="3D3D758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C0ADB6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2X400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78F9199"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9D1879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64C03D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12,758</w:t>
            </w:r>
          </w:p>
        </w:tc>
      </w:tr>
      <w:tr w:rsidR="008A5057" w:rsidRPr="00BD295E" w14:paraId="67CDBAB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9D37F8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2X630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1CF7D89"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00FCC6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921913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8,378</w:t>
            </w:r>
          </w:p>
        </w:tc>
      </w:tr>
      <w:tr w:rsidR="008A5057" w:rsidRPr="00BD295E" w14:paraId="1E3A265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A81958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851ACEA"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0635D2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EFA952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6,336</w:t>
            </w:r>
          </w:p>
        </w:tc>
      </w:tr>
      <w:tr w:rsidR="008A5057" w:rsidRPr="00BD295E" w14:paraId="596E712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7DE5BA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8700E4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DDFD0F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E608F8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6,430</w:t>
            </w:r>
          </w:p>
        </w:tc>
      </w:tr>
      <w:tr w:rsidR="008A5057" w:rsidRPr="00BD295E" w14:paraId="50040CC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CF6BF0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2X1600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10C3B2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D47051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89B11B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4,695</w:t>
            </w:r>
          </w:p>
        </w:tc>
      </w:tr>
      <w:tr w:rsidR="008A5057" w:rsidRPr="00BD295E" w14:paraId="5F11304F" w14:textId="77777777" w:rsidTr="00D648DD">
        <w:trPr>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66AD99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С6 Standardized tariff rate to cover expenses for the construction of distribution transformer substations (DTSS), with voltage up to 35 kV</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C2AC257"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F6E2B7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2086665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25FC7A0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177279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2x1000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33653A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633DCF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EB0215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22,513</w:t>
            </w:r>
          </w:p>
        </w:tc>
      </w:tr>
      <w:tr w:rsidR="008A5057" w:rsidRPr="00BD295E" w14:paraId="42BE3CB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1E2FDF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2x1250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C35E43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A81ED8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5810C3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19,132</w:t>
            </w:r>
          </w:p>
        </w:tc>
      </w:tr>
      <w:tr w:rsidR="008A5057" w:rsidRPr="00BD295E" w14:paraId="31DD4E3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72D500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4x1000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063811F"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45D49A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9E002E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11,364</w:t>
            </w:r>
          </w:p>
        </w:tc>
      </w:tr>
      <w:tr w:rsidR="008A5057" w:rsidRPr="00BD295E" w14:paraId="5AF4967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20D463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4x1250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24C0127"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8D5061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F5780C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9,649</w:t>
            </w:r>
          </w:p>
        </w:tc>
      </w:tr>
      <w:tr w:rsidR="008A5057" w:rsidRPr="00BD295E" w14:paraId="3B912764" w14:textId="77777777" w:rsidTr="00D648DD">
        <w:trPr>
          <w:trHeight w:val="193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CCEA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Standardized tariff rate to cover expenses for grid connection of electricity receiving appliances of electricity consumers, electric grid facilities owned by grid companies or other entities, for activities referred to in item 16 (excluding sub-item “b”) of the Guidelines</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D1002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14:paraId="7C000BE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8D62D3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41,011</w:t>
            </w:r>
          </w:p>
        </w:tc>
      </w:tr>
      <w:tr w:rsidR="008A5057" w:rsidRPr="00BD295E" w14:paraId="2B1F7F1C"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AA0F8B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C71CEE9"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51B78F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19FD728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24,525</w:t>
            </w:r>
          </w:p>
        </w:tc>
      </w:tr>
      <w:tr w:rsidR="008A5057" w:rsidRPr="00BD295E" w14:paraId="63812D19" w14:textId="77777777" w:rsidTr="00D648DD">
        <w:trPr>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25C156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’s compliance with technical specifications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1AD43F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F16369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123A595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16,486</w:t>
            </w:r>
          </w:p>
        </w:tc>
      </w:tr>
      <w:tr w:rsidR="008A5057" w:rsidRPr="00BD295E" w14:paraId="4ADEB620"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DAC0C8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overhead power lines per 1 km of the line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C692E7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nil"/>
              <w:right w:val="single" w:sz="4" w:space="0" w:color="auto"/>
            </w:tcBorders>
            <w:shd w:val="clear" w:color="auto" w:fill="auto"/>
            <w:vAlign w:val="center"/>
            <w:hideMark/>
          </w:tcPr>
          <w:p w14:paraId="6A29926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57E36D2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34CC8EC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CFDBE5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SSIW 3 1х35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D7D06B3"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nil"/>
              <w:right w:val="single" w:sz="4" w:space="0" w:color="auto"/>
            </w:tcBorders>
            <w:shd w:val="clear" w:color="auto" w:fill="auto"/>
            <w:vAlign w:val="center"/>
            <w:hideMark/>
          </w:tcPr>
          <w:p w14:paraId="1076BFB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36A6B72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1,252,532</w:t>
            </w:r>
          </w:p>
        </w:tc>
      </w:tr>
      <w:tr w:rsidR="008A5057" w:rsidRPr="00BD295E" w14:paraId="3A101D74" w14:textId="77777777" w:rsidTr="00D648DD">
        <w:trPr>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68D888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cable lines per 1 km of the line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EBBC45E"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nil"/>
              <w:right w:val="single" w:sz="4" w:space="0" w:color="auto"/>
            </w:tcBorders>
            <w:shd w:val="clear" w:color="auto" w:fill="auto"/>
            <w:vAlign w:val="center"/>
            <w:hideMark/>
          </w:tcPr>
          <w:p w14:paraId="2469006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6B41100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1357086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746C76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15B9EB8"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E4C174"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CDE32F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2,488,073</w:t>
            </w:r>
          </w:p>
        </w:tc>
      </w:tr>
      <w:tr w:rsidR="008A5057" w:rsidRPr="00BD295E" w14:paraId="150660B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CEB196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239B1FF" w14:textId="77777777" w:rsidR="005C1246" w:rsidRPr="00BD295E" w:rsidRDefault="005C1246" w:rsidP="00D648DD">
            <w:pPr>
              <w:rPr>
                <w:rFonts w:ascii="Arial" w:hAnsi="Arial" w:cs="Arial"/>
                <w:sz w:val="18"/>
                <w:szCs w:val="18"/>
                <w:lang w:val="en-US"/>
              </w:rPr>
            </w:pPr>
          </w:p>
        </w:tc>
        <w:tc>
          <w:tcPr>
            <w:tcW w:w="993"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6E64F7"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8245610" w14:textId="77777777" w:rsidR="005C1246" w:rsidRPr="00BD295E" w:rsidRDefault="005C1246" w:rsidP="00D648DD">
            <w:pPr>
              <w:rPr>
                <w:rFonts w:ascii="Arial" w:hAnsi="Arial" w:cs="Arial"/>
                <w:sz w:val="18"/>
                <w:szCs w:val="18"/>
                <w:lang w:val="en-US"/>
              </w:rPr>
            </w:pPr>
          </w:p>
        </w:tc>
      </w:tr>
      <w:tr w:rsidR="008A5057" w:rsidRPr="00BD295E" w14:paraId="3CF60AB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0B9B34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F1ED633"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D0C3998"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90A589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4,494,457</w:t>
            </w:r>
          </w:p>
        </w:tc>
      </w:tr>
      <w:tr w:rsidR="008A5057" w:rsidRPr="00BD295E" w14:paraId="065104D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60641E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91C48C9"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D21347D"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DE787CA" w14:textId="77777777" w:rsidR="005C1246" w:rsidRPr="00BD295E" w:rsidRDefault="005C1246" w:rsidP="00D648DD">
            <w:pPr>
              <w:rPr>
                <w:rFonts w:ascii="Arial" w:hAnsi="Arial" w:cs="Arial"/>
                <w:sz w:val="18"/>
                <w:szCs w:val="18"/>
                <w:lang w:val="en-US"/>
              </w:rPr>
            </w:pPr>
          </w:p>
        </w:tc>
      </w:tr>
      <w:tr w:rsidR="008A5057" w:rsidRPr="00BD295E" w14:paraId="3A78513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D333EE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3х120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201612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9FA41A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0B6A8D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3,041,709</w:t>
            </w:r>
          </w:p>
        </w:tc>
      </w:tr>
      <w:tr w:rsidR="008A5057" w:rsidRPr="00BD295E" w14:paraId="7CE292F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4D18B2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5D3D930"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B4002F9"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1BEB997" w14:textId="77777777" w:rsidR="005C1246" w:rsidRPr="00BD295E" w:rsidRDefault="005C1246" w:rsidP="00D648DD">
            <w:pPr>
              <w:rPr>
                <w:rFonts w:ascii="Arial" w:hAnsi="Arial" w:cs="Arial"/>
                <w:sz w:val="18"/>
                <w:szCs w:val="18"/>
                <w:lang w:val="en-US"/>
              </w:rPr>
            </w:pPr>
          </w:p>
        </w:tc>
      </w:tr>
      <w:tr w:rsidR="008A5057" w:rsidRPr="00BD295E" w14:paraId="43898BD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B2E22D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3х120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3FC7D95"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86A9C4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CFA909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5,516,421</w:t>
            </w:r>
          </w:p>
        </w:tc>
      </w:tr>
      <w:tr w:rsidR="008A5057" w:rsidRPr="00BD295E" w14:paraId="449E0D4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EC62CD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3B3125D"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67D466F4"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5A7E916E" w14:textId="77777777" w:rsidR="005C1246" w:rsidRPr="00BD295E" w:rsidRDefault="005C1246" w:rsidP="00D648DD">
            <w:pPr>
              <w:rPr>
                <w:rFonts w:ascii="Arial" w:hAnsi="Arial" w:cs="Arial"/>
                <w:sz w:val="18"/>
                <w:szCs w:val="18"/>
                <w:lang w:val="en-US"/>
              </w:rPr>
            </w:pPr>
          </w:p>
        </w:tc>
      </w:tr>
      <w:tr w:rsidR="008A5057" w:rsidRPr="00BD295E" w14:paraId="683C199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E70B20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46B0186"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8264E11"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08DBA9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3,520,362</w:t>
            </w:r>
          </w:p>
        </w:tc>
      </w:tr>
      <w:tr w:rsidR="008A5057" w:rsidRPr="00BD295E" w14:paraId="6DF761B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4AE441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C7713D4"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F406DF4"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75C6FD7C" w14:textId="77777777" w:rsidR="005C1246" w:rsidRPr="00BD295E" w:rsidRDefault="005C1246" w:rsidP="00D648DD">
            <w:pPr>
              <w:rPr>
                <w:rFonts w:ascii="Arial" w:hAnsi="Arial" w:cs="Arial"/>
                <w:sz w:val="18"/>
                <w:szCs w:val="18"/>
                <w:lang w:val="en-US"/>
              </w:rPr>
            </w:pPr>
          </w:p>
        </w:tc>
      </w:tr>
      <w:tr w:rsidR="008A5057" w:rsidRPr="00BD295E" w14:paraId="4C0F41D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66C005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8561499"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961093F"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AACA3A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5,956,230</w:t>
            </w:r>
          </w:p>
        </w:tc>
      </w:tr>
      <w:tr w:rsidR="008A5057" w:rsidRPr="00BD295E" w14:paraId="24CDC1A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05DBED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76EB02C"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C6943B4"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D572FB3" w14:textId="77777777" w:rsidR="005C1246" w:rsidRPr="00BD295E" w:rsidRDefault="005C1246" w:rsidP="00D648DD">
            <w:pPr>
              <w:rPr>
                <w:rFonts w:ascii="Arial" w:hAnsi="Arial" w:cs="Arial"/>
                <w:sz w:val="18"/>
                <w:szCs w:val="18"/>
                <w:lang w:val="en-US"/>
              </w:rPr>
            </w:pPr>
          </w:p>
        </w:tc>
      </w:tr>
      <w:tr w:rsidR="008A5057" w:rsidRPr="00BD295E" w14:paraId="1937E34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48B763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3Х185</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543058D"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738EFC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E5475C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3,628,888</w:t>
            </w:r>
          </w:p>
        </w:tc>
      </w:tr>
      <w:tr w:rsidR="008A5057" w:rsidRPr="00BD295E" w14:paraId="0CC70F0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01728A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37EA2C5"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C374A31"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025FF7C" w14:textId="77777777" w:rsidR="005C1246" w:rsidRPr="00BD295E" w:rsidRDefault="005C1246" w:rsidP="00D648DD">
            <w:pPr>
              <w:rPr>
                <w:rFonts w:ascii="Arial" w:hAnsi="Arial" w:cs="Arial"/>
                <w:sz w:val="18"/>
                <w:szCs w:val="18"/>
                <w:lang w:val="en-US"/>
              </w:rPr>
            </w:pPr>
          </w:p>
        </w:tc>
      </w:tr>
      <w:tr w:rsidR="008A5057" w:rsidRPr="00BD295E" w14:paraId="6EE649B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4B98C80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3Х185</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3F3F7742"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00CF0555"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210C460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6,671,241</w:t>
            </w:r>
          </w:p>
        </w:tc>
      </w:tr>
      <w:tr w:rsidR="008A5057" w:rsidRPr="00BD295E" w14:paraId="60D63EE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13A6BD0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7EAF4335"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24B23DE5" w14:textId="77777777" w:rsidR="005C1246" w:rsidRPr="00BD295E" w:rsidRDefault="005C1246" w:rsidP="00D648DD">
            <w:pPr>
              <w:jc w:val="cente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64FD348F" w14:textId="77777777" w:rsidR="005C1246" w:rsidRPr="00BD295E" w:rsidRDefault="005C1246" w:rsidP="00D648DD">
            <w:pPr>
              <w:jc w:val="right"/>
              <w:rPr>
                <w:rFonts w:ascii="Arial" w:hAnsi="Arial" w:cs="Arial"/>
                <w:sz w:val="18"/>
                <w:szCs w:val="18"/>
                <w:lang w:val="en-US"/>
              </w:rPr>
            </w:pPr>
          </w:p>
        </w:tc>
      </w:tr>
      <w:tr w:rsidR="008A5057" w:rsidRPr="00BD295E" w14:paraId="76F65C0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637B51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3Х240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22A8A97"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513CA40"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342DBC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3,960,900</w:t>
            </w:r>
          </w:p>
        </w:tc>
      </w:tr>
      <w:tr w:rsidR="008A5057" w:rsidRPr="00BD295E" w14:paraId="5082B79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435403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9EEAAA5"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4155C27"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27D0056" w14:textId="77777777" w:rsidR="005C1246" w:rsidRPr="00BD295E" w:rsidRDefault="005C1246" w:rsidP="00D648DD">
            <w:pPr>
              <w:rPr>
                <w:rFonts w:ascii="Arial" w:hAnsi="Arial" w:cs="Arial"/>
                <w:sz w:val="18"/>
                <w:szCs w:val="18"/>
                <w:lang w:val="en-US"/>
              </w:rPr>
            </w:pPr>
          </w:p>
        </w:tc>
      </w:tr>
      <w:tr w:rsidR="008A5057" w:rsidRPr="00BD295E" w14:paraId="1D5D596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1CAC9B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ASB2l 3Х240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BAA5159"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FFF7635"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666B5E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7,730,762</w:t>
            </w:r>
          </w:p>
        </w:tc>
      </w:tr>
      <w:tr w:rsidR="008A5057" w:rsidRPr="00BD295E" w14:paraId="265DEBD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13C83C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997AF86"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B357FCC"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E747FF7" w14:textId="77777777" w:rsidR="005C1246" w:rsidRPr="00BD295E" w:rsidRDefault="005C1246" w:rsidP="00D648DD">
            <w:pPr>
              <w:rPr>
                <w:rFonts w:ascii="Arial" w:hAnsi="Arial" w:cs="Arial"/>
                <w:sz w:val="18"/>
                <w:szCs w:val="18"/>
                <w:lang w:val="en-US"/>
              </w:rPr>
            </w:pPr>
          </w:p>
        </w:tc>
      </w:tr>
      <w:tr w:rsidR="008A5057" w:rsidRPr="00BD295E" w14:paraId="09634F1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7C2C768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3(1х70/50)</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50CC35CB"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45388649"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24847AA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2,570,921</w:t>
            </w:r>
          </w:p>
        </w:tc>
      </w:tr>
      <w:tr w:rsidR="008A5057" w:rsidRPr="00BD295E" w14:paraId="1DE28DC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41DDCBB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74DD2BAE"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63E1AA3F" w14:textId="77777777" w:rsidR="005C1246" w:rsidRPr="00BD295E" w:rsidRDefault="005C1246" w:rsidP="00D648DD">
            <w:pP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634D0C6D" w14:textId="77777777" w:rsidR="005C1246" w:rsidRPr="00BD295E" w:rsidRDefault="005C1246" w:rsidP="00D648DD">
            <w:pPr>
              <w:rPr>
                <w:rFonts w:ascii="Arial" w:hAnsi="Arial" w:cs="Arial"/>
                <w:sz w:val="18"/>
                <w:szCs w:val="18"/>
                <w:lang w:val="en-US"/>
              </w:rPr>
            </w:pPr>
          </w:p>
        </w:tc>
      </w:tr>
      <w:tr w:rsidR="008A5057" w:rsidRPr="00BD295E" w14:paraId="60FF65F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1765355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3(1х70/50)</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20BC8A6D"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7C172B12"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1FDC499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4,647,388</w:t>
            </w:r>
          </w:p>
        </w:tc>
      </w:tr>
      <w:tr w:rsidR="008A5057" w:rsidRPr="00BD295E" w14:paraId="536E18C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40F6AAB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51FFF1FD"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62F36A00" w14:textId="77777777" w:rsidR="005C1246" w:rsidRPr="00BD295E" w:rsidRDefault="005C1246" w:rsidP="00D648DD">
            <w:pP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2F365BD7" w14:textId="77777777" w:rsidR="005C1246" w:rsidRPr="00BD295E" w:rsidRDefault="005C1246" w:rsidP="00D648DD">
            <w:pPr>
              <w:rPr>
                <w:rFonts w:ascii="Arial" w:hAnsi="Arial" w:cs="Arial"/>
                <w:sz w:val="18"/>
                <w:szCs w:val="18"/>
                <w:lang w:val="en-US"/>
              </w:rPr>
            </w:pPr>
          </w:p>
        </w:tc>
      </w:tr>
      <w:tr w:rsidR="008A5057" w:rsidRPr="00BD295E" w14:paraId="7D73BE9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1B963A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3(1х120/50)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031FECE"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908CA3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142DF0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3,041,688</w:t>
            </w:r>
          </w:p>
        </w:tc>
      </w:tr>
      <w:tr w:rsidR="008A5057" w:rsidRPr="00BD295E" w14:paraId="123B8F0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C643E3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CB4CABC"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ED24B97"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4AAA9A9" w14:textId="77777777" w:rsidR="005C1246" w:rsidRPr="00BD295E" w:rsidRDefault="005C1246" w:rsidP="00D648DD">
            <w:pPr>
              <w:rPr>
                <w:rFonts w:ascii="Arial" w:hAnsi="Arial" w:cs="Arial"/>
                <w:sz w:val="18"/>
                <w:szCs w:val="18"/>
                <w:lang w:val="en-US"/>
              </w:rPr>
            </w:pPr>
          </w:p>
        </w:tc>
      </w:tr>
      <w:tr w:rsidR="008A5057" w:rsidRPr="00BD295E" w14:paraId="7581299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1EA3F0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3(1х120/50)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280E0A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5387E0F"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6348A8D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5,976,857</w:t>
            </w:r>
          </w:p>
        </w:tc>
      </w:tr>
      <w:tr w:rsidR="008A5057" w:rsidRPr="00BD295E" w14:paraId="79C0507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724C97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951A4C8"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C2B82AB"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C40B72F" w14:textId="77777777" w:rsidR="005C1246" w:rsidRPr="00BD295E" w:rsidRDefault="005C1246" w:rsidP="00D648DD">
            <w:pPr>
              <w:rPr>
                <w:rFonts w:ascii="Arial" w:hAnsi="Arial" w:cs="Arial"/>
                <w:sz w:val="18"/>
                <w:szCs w:val="18"/>
                <w:lang w:val="en-US"/>
              </w:rPr>
            </w:pPr>
          </w:p>
        </w:tc>
      </w:tr>
      <w:tr w:rsidR="008A5057" w:rsidRPr="00BD295E" w14:paraId="33A6C1E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1DC405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3(1х120/70)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99C681F"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0536166"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9CC74B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3,041,688</w:t>
            </w:r>
          </w:p>
        </w:tc>
      </w:tr>
      <w:tr w:rsidR="008A5057" w:rsidRPr="00BD295E" w14:paraId="1534208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F69E64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CB41B71"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648D9C3C"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27AF9000" w14:textId="77777777" w:rsidR="005C1246" w:rsidRPr="00BD295E" w:rsidRDefault="005C1246" w:rsidP="00D648DD">
            <w:pPr>
              <w:rPr>
                <w:rFonts w:ascii="Arial" w:hAnsi="Arial" w:cs="Arial"/>
                <w:sz w:val="18"/>
                <w:szCs w:val="18"/>
                <w:lang w:val="en-US"/>
              </w:rPr>
            </w:pPr>
          </w:p>
        </w:tc>
      </w:tr>
      <w:tr w:rsidR="008A5057" w:rsidRPr="00BD295E" w14:paraId="42FA2CB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BD17ED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3(1х120/70)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EFAD73D"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78202BA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537A67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5,976,857</w:t>
            </w:r>
          </w:p>
        </w:tc>
      </w:tr>
      <w:tr w:rsidR="008A5057" w:rsidRPr="00BD295E" w14:paraId="66EEAF2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2929AF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D4F9C79"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2327DEA"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6153713" w14:textId="77777777" w:rsidR="005C1246" w:rsidRPr="00BD295E" w:rsidRDefault="005C1246" w:rsidP="00D648DD">
            <w:pPr>
              <w:rPr>
                <w:rFonts w:ascii="Arial" w:hAnsi="Arial" w:cs="Arial"/>
                <w:sz w:val="18"/>
                <w:szCs w:val="18"/>
                <w:lang w:val="en-US"/>
              </w:rPr>
            </w:pPr>
          </w:p>
        </w:tc>
      </w:tr>
      <w:tr w:rsidR="008A5057" w:rsidRPr="00BD295E" w14:paraId="24A54D2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DC2C13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3(1х150/50)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37C18F9"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AD7042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5C794D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3,478,618</w:t>
            </w:r>
          </w:p>
        </w:tc>
      </w:tr>
      <w:tr w:rsidR="008A5057" w:rsidRPr="00BD295E" w14:paraId="7559ECC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48CA2B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24BE588"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4B16726"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4CF075A" w14:textId="77777777" w:rsidR="005C1246" w:rsidRPr="00BD295E" w:rsidRDefault="005C1246" w:rsidP="00D648DD">
            <w:pPr>
              <w:rPr>
                <w:rFonts w:ascii="Arial" w:hAnsi="Arial" w:cs="Arial"/>
                <w:sz w:val="18"/>
                <w:szCs w:val="18"/>
                <w:lang w:val="en-US"/>
              </w:rPr>
            </w:pPr>
          </w:p>
        </w:tc>
      </w:tr>
      <w:tr w:rsidR="008A5057" w:rsidRPr="00BD295E" w14:paraId="033B90C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5DD430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3(1х150/50)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461D20A"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7C3A9B2"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851BFE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6,851,982</w:t>
            </w:r>
          </w:p>
        </w:tc>
      </w:tr>
      <w:tr w:rsidR="008A5057" w:rsidRPr="00BD295E" w14:paraId="5E74FA6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F2EF5C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798471C"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7ECF043"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37CA142E" w14:textId="77777777" w:rsidR="005C1246" w:rsidRPr="00BD295E" w:rsidRDefault="005C1246" w:rsidP="00D648DD">
            <w:pPr>
              <w:rPr>
                <w:rFonts w:ascii="Arial" w:hAnsi="Arial" w:cs="Arial"/>
                <w:sz w:val="18"/>
                <w:szCs w:val="18"/>
                <w:lang w:val="en-US"/>
              </w:rPr>
            </w:pPr>
          </w:p>
        </w:tc>
      </w:tr>
      <w:tr w:rsidR="008A5057" w:rsidRPr="00BD295E" w14:paraId="72DA60B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8B65AF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3(1х185/50)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6CD9080"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72D4A40"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F866B9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3,736,029</w:t>
            </w:r>
          </w:p>
        </w:tc>
      </w:tr>
      <w:tr w:rsidR="008A5057" w:rsidRPr="00BD295E" w14:paraId="49E8480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EBE072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B26455B"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63F7F23"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CFD3BB4" w14:textId="77777777" w:rsidR="005C1246" w:rsidRPr="00BD295E" w:rsidRDefault="005C1246" w:rsidP="00D648DD">
            <w:pPr>
              <w:rPr>
                <w:rFonts w:ascii="Arial" w:hAnsi="Arial" w:cs="Arial"/>
                <w:sz w:val="18"/>
                <w:szCs w:val="18"/>
                <w:lang w:val="en-US"/>
              </w:rPr>
            </w:pPr>
          </w:p>
        </w:tc>
      </w:tr>
      <w:tr w:rsidR="008A5057" w:rsidRPr="00BD295E" w14:paraId="7C6D8D3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F1EF92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3(1х185/50)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248F5C8"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409BE85"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4DEA50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7,365,539</w:t>
            </w:r>
          </w:p>
        </w:tc>
      </w:tr>
      <w:tr w:rsidR="008A5057" w:rsidRPr="00BD295E" w14:paraId="045D956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1CEDC4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7E68310"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713ED7C6"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2E8B467" w14:textId="77777777" w:rsidR="005C1246" w:rsidRPr="00BD295E" w:rsidRDefault="005C1246" w:rsidP="00D648DD">
            <w:pPr>
              <w:rPr>
                <w:rFonts w:ascii="Arial" w:hAnsi="Arial" w:cs="Arial"/>
                <w:sz w:val="18"/>
                <w:szCs w:val="18"/>
                <w:lang w:val="en-US"/>
              </w:rPr>
            </w:pPr>
          </w:p>
        </w:tc>
      </w:tr>
      <w:tr w:rsidR="008A5057" w:rsidRPr="00BD295E" w14:paraId="492C769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53A77C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F11C676"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7F78D68"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1EF8C86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3,960,900</w:t>
            </w:r>
          </w:p>
        </w:tc>
      </w:tr>
      <w:tr w:rsidR="008A5057" w:rsidRPr="00BD295E" w14:paraId="6415F14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9CEB65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A3694AE"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AF2A5F6"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9D5A48A" w14:textId="77777777" w:rsidR="005C1246" w:rsidRPr="00BD295E" w:rsidRDefault="005C1246" w:rsidP="00D648DD">
            <w:pPr>
              <w:rPr>
                <w:rFonts w:ascii="Arial" w:hAnsi="Arial" w:cs="Arial"/>
                <w:sz w:val="18"/>
                <w:szCs w:val="18"/>
                <w:lang w:val="en-US"/>
              </w:rPr>
            </w:pPr>
          </w:p>
        </w:tc>
      </w:tr>
      <w:tr w:rsidR="008A5057" w:rsidRPr="00BD295E" w14:paraId="4AF17DA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8D57AD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0D692B2"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72C6BBE2"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D22CBC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7,730,762</w:t>
            </w:r>
          </w:p>
        </w:tc>
      </w:tr>
      <w:tr w:rsidR="008A5057" w:rsidRPr="00BD295E" w14:paraId="7755B4A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D6EEF2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3DA53F6"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9D3CA33"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0D00EB76" w14:textId="77777777" w:rsidR="005C1246" w:rsidRPr="00BD295E" w:rsidRDefault="005C1246" w:rsidP="00D648DD">
            <w:pPr>
              <w:rPr>
                <w:rFonts w:ascii="Arial" w:hAnsi="Arial" w:cs="Arial"/>
                <w:sz w:val="18"/>
                <w:szCs w:val="18"/>
                <w:lang w:val="en-US"/>
              </w:rPr>
            </w:pPr>
          </w:p>
        </w:tc>
      </w:tr>
      <w:tr w:rsidR="008A5057" w:rsidRPr="00BD295E" w14:paraId="4B56B89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E01548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4136B86"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7810AFE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3339CC1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3960,900</w:t>
            </w:r>
          </w:p>
        </w:tc>
      </w:tr>
      <w:tr w:rsidR="008A5057" w:rsidRPr="00BD295E" w14:paraId="6973869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8F346F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7F6B66C"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EC0F94B"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6C288497" w14:textId="77777777" w:rsidR="005C1246" w:rsidRPr="00BD295E" w:rsidRDefault="005C1246" w:rsidP="00D648DD">
            <w:pPr>
              <w:rPr>
                <w:rFonts w:ascii="Arial" w:hAnsi="Arial" w:cs="Arial"/>
                <w:sz w:val="18"/>
                <w:szCs w:val="18"/>
                <w:lang w:val="en-US"/>
              </w:rPr>
            </w:pPr>
          </w:p>
        </w:tc>
      </w:tr>
      <w:tr w:rsidR="008A5057" w:rsidRPr="00BD295E" w14:paraId="762F35A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FFF6B3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4C1937E"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144398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51604B2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7,815,282</w:t>
            </w:r>
          </w:p>
        </w:tc>
      </w:tr>
      <w:tr w:rsidR="008A5057" w:rsidRPr="00BD295E" w14:paraId="4E1089E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C2B6EB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9432AEF"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0D30577"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5A857CC5" w14:textId="77777777" w:rsidR="005C1246" w:rsidRPr="00BD295E" w:rsidRDefault="005C1246" w:rsidP="00D648DD">
            <w:pPr>
              <w:rPr>
                <w:rFonts w:ascii="Arial" w:hAnsi="Arial" w:cs="Arial"/>
                <w:sz w:val="18"/>
                <w:szCs w:val="18"/>
                <w:lang w:val="en-US"/>
              </w:rPr>
            </w:pPr>
          </w:p>
        </w:tc>
      </w:tr>
      <w:tr w:rsidR="008A5057" w:rsidRPr="00BD295E" w14:paraId="34B4233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6B8731D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3(1х240/70)</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3C8F0308"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55741728"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61A93DC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23,393,429</w:t>
            </w:r>
          </w:p>
        </w:tc>
      </w:tr>
      <w:tr w:rsidR="008A5057" w:rsidRPr="00BD295E" w14:paraId="55FBFBE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7DB7844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(1 HDD CL, 2 pipes)</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045A00A5"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tcPr>
          <w:p w14:paraId="0BD768A0" w14:textId="77777777" w:rsidR="005C1246" w:rsidRPr="00BD295E" w:rsidRDefault="005C1246" w:rsidP="00D648DD">
            <w:pPr>
              <w:jc w:val="cente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61D57BD1" w14:textId="77777777" w:rsidR="005C1246" w:rsidRPr="00BD295E" w:rsidRDefault="005C1246" w:rsidP="00D648DD">
            <w:pPr>
              <w:jc w:val="right"/>
              <w:rPr>
                <w:rFonts w:ascii="Arial" w:hAnsi="Arial" w:cs="Arial"/>
                <w:sz w:val="18"/>
                <w:szCs w:val="18"/>
                <w:lang w:val="en-US"/>
              </w:rPr>
            </w:pPr>
          </w:p>
        </w:tc>
      </w:tr>
      <w:tr w:rsidR="008A5057" w:rsidRPr="00BD295E" w14:paraId="61F4F12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3EFAE9B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3(1х240/70)</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3AE4D870"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tcPr>
          <w:p w14:paraId="78501B0C"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tcPr>
          <w:p w14:paraId="342A9DD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34,298,878</w:t>
            </w:r>
          </w:p>
        </w:tc>
      </w:tr>
      <w:tr w:rsidR="008A5057" w:rsidRPr="00BD295E" w14:paraId="290BC09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tcPr>
          <w:p w14:paraId="0CD5498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(2 HDD CL, 4 pipes)</w:t>
            </w:r>
          </w:p>
        </w:tc>
        <w:tc>
          <w:tcPr>
            <w:tcW w:w="1701" w:type="dxa"/>
            <w:vMerge/>
            <w:tcBorders>
              <w:top w:val="nil"/>
              <w:left w:val="single" w:sz="4" w:space="0" w:color="auto"/>
              <w:bottom w:val="single" w:sz="4" w:space="0" w:color="000000"/>
              <w:right w:val="single" w:sz="4" w:space="0" w:color="auto"/>
            </w:tcBorders>
            <w:shd w:val="clear" w:color="auto" w:fill="auto"/>
            <w:vAlign w:val="center"/>
          </w:tcPr>
          <w:p w14:paraId="6D729562"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tcPr>
          <w:p w14:paraId="5FD9CC88" w14:textId="77777777" w:rsidR="005C1246" w:rsidRPr="00BD295E" w:rsidRDefault="005C1246" w:rsidP="00D648DD">
            <w:pPr>
              <w:jc w:val="cente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tcPr>
          <w:p w14:paraId="41886808" w14:textId="77777777" w:rsidR="005C1246" w:rsidRPr="00BD295E" w:rsidRDefault="005C1246" w:rsidP="00D648DD">
            <w:pPr>
              <w:jc w:val="right"/>
              <w:rPr>
                <w:rFonts w:ascii="Arial" w:hAnsi="Arial" w:cs="Arial"/>
                <w:sz w:val="18"/>
                <w:szCs w:val="18"/>
                <w:lang w:val="en-US"/>
              </w:rPr>
            </w:pPr>
          </w:p>
        </w:tc>
      </w:tr>
      <w:tr w:rsidR="008A5057" w:rsidRPr="00BD295E" w14:paraId="12E9E000"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2E837D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3(1х300/70)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1B35540"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7DA54C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DF3895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4,228,398</w:t>
            </w:r>
          </w:p>
        </w:tc>
      </w:tr>
      <w:tr w:rsidR="008A5057" w:rsidRPr="00BD295E" w14:paraId="16E8134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143155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596DDC2"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7C640EE"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BB5C234" w14:textId="77777777" w:rsidR="005C1246" w:rsidRPr="00BD295E" w:rsidRDefault="005C1246" w:rsidP="00D648DD">
            <w:pPr>
              <w:rPr>
                <w:rFonts w:ascii="Arial" w:hAnsi="Arial" w:cs="Arial"/>
                <w:sz w:val="18"/>
                <w:szCs w:val="18"/>
                <w:lang w:val="en-US"/>
              </w:rPr>
            </w:pPr>
          </w:p>
        </w:tc>
      </w:tr>
      <w:tr w:rsidR="008A5057" w:rsidRPr="00BD295E" w14:paraId="21CDBF7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037F16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3(1х300/70)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D34736D"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03CFE3B"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7EF1EAE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8,351,543</w:t>
            </w:r>
          </w:p>
        </w:tc>
      </w:tr>
      <w:tr w:rsidR="008A5057" w:rsidRPr="00BD295E" w14:paraId="1BFC0BF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D3620F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09AEE61"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62B7F2DA"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45EC7973" w14:textId="77777777" w:rsidR="005C1246" w:rsidRPr="00BD295E" w:rsidRDefault="005C1246" w:rsidP="00D648DD">
            <w:pPr>
              <w:rPr>
                <w:rFonts w:ascii="Arial" w:hAnsi="Arial" w:cs="Arial"/>
                <w:sz w:val="18"/>
                <w:szCs w:val="18"/>
                <w:lang w:val="en-US"/>
              </w:rPr>
            </w:pPr>
          </w:p>
        </w:tc>
      </w:tr>
      <w:tr w:rsidR="008A5057" w:rsidRPr="00BD295E" w14:paraId="4A12859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F63DEB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3(1х400/70)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564FAF6"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DFC8456"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4B6DB05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4,908,009</w:t>
            </w:r>
          </w:p>
        </w:tc>
      </w:tr>
      <w:tr w:rsidR="008A5057" w:rsidRPr="00BD295E" w14:paraId="1683E1C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39BF47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 (one cable per trench)</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0FDF6FB" w14:textId="77777777" w:rsidR="005C1246" w:rsidRPr="00BD295E" w:rsidRDefault="005C1246" w:rsidP="00D648DD">
            <w:pPr>
              <w:rPr>
                <w:rFonts w:ascii="Arial" w:hAnsi="Arial" w:cs="Arial"/>
                <w:sz w:val="18"/>
                <w:szCs w:val="18"/>
                <w:lang w:val="en-US"/>
              </w:rPr>
            </w:pPr>
          </w:p>
        </w:tc>
        <w:tc>
          <w:tcPr>
            <w:tcW w:w="9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39F8EA27" w14:textId="77777777" w:rsidR="005C1246" w:rsidRPr="00BD295E" w:rsidRDefault="005C1246" w:rsidP="00D648DD">
            <w:pPr>
              <w:rPr>
                <w:rFonts w:ascii="Arial" w:hAnsi="Arial" w:cs="Arial"/>
                <w:sz w:val="18"/>
                <w:szCs w:val="18"/>
                <w:lang w:val="en-US"/>
              </w:rPr>
            </w:pP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D3BB462" w14:textId="77777777" w:rsidR="005C1246" w:rsidRPr="00BD295E" w:rsidRDefault="005C1246" w:rsidP="00D648DD">
            <w:pPr>
              <w:rPr>
                <w:rFonts w:ascii="Arial" w:hAnsi="Arial" w:cs="Arial"/>
                <w:sz w:val="18"/>
                <w:szCs w:val="18"/>
                <w:lang w:val="en-US"/>
              </w:rPr>
            </w:pPr>
          </w:p>
        </w:tc>
      </w:tr>
      <w:tr w:rsidR="008A5057" w:rsidRPr="00BD295E" w14:paraId="0D5AFD3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C786DE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APvPu2g 3(1х400/70)</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14:paraId="131CE0A8" w14:textId="77777777" w:rsidR="005C1246" w:rsidRPr="00BD295E" w:rsidRDefault="005C1246" w:rsidP="00D648DD">
            <w:pPr>
              <w:rPr>
                <w:rFonts w:ascii="Arial" w:hAnsi="Arial" w:cs="Arial"/>
                <w:sz w:val="18"/>
                <w:szCs w:val="18"/>
                <w:lang w:val="en-US"/>
              </w:rPr>
            </w:pPr>
          </w:p>
        </w:tc>
        <w:tc>
          <w:tcPr>
            <w:tcW w:w="993" w:type="dxa"/>
            <w:gridSpan w:val="2"/>
            <w:vMerge w:val="restart"/>
            <w:tcBorders>
              <w:top w:val="nil"/>
              <w:left w:val="single" w:sz="4" w:space="0" w:color="auto"/>
              <w:right w:val="single" w:sz="4" w:space="0" w:color="auto"/>
            </w:tcBorders>
            <w:shd w:val="clear" w:color="auto" w:fill="auto"/>
            <w:vAlign w:val="center"/>
            <w:hideMark/>
          </w:tcPr>
          <w:p w14:paraId="55E3472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RUB/km</w:t>
            </w:r>
          </w:p>
        </w:tc>
        <w:tc>
          <w:tcPr>
            <w:tcW w:w="1701" w:type="dxa"/>
            <w:vMerge w:val="restart"/>
            <w:tcBorders>
              <w:top w:val="nil"/>
              <w:left w:val="single" w:sz="4" w:space="0" w:color="auto"/>
              <w:right w:val="single" w:sz="4" w:space="0" w:color="auto"/>
            </w:tcBorders>
            <w:shd w:val="clear" w:color="auto" w:fill="auto"/>
            <w:vAlign w:val="center"/>
            <w:hideMark/>
          </w:tcPr>
          <w:p w14:paraId="0B2E616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9,710,764</w:t>
            </w:r>
          </w:p>
        </w:tc>
      </w:tr>
      <w:tr w:rsidR="008A5057" w:rsidRPr="00BD295E" w14:paraId="31F29419" w14:textId="77777777" w:rsidTr="00D648DD">
        <w:trPr>
          <w:trHeight w:val="288"/>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0F02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(two cables per trench)</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CFB26AB" w14:textId="77777777" w:rsidR="005C1246" w:rsidRPr="00BD295E" w:rsidRDefault="005C1246" w:rsidP="00D648DD">
            <w:pPr>
              <w:rPr>
                <w:rFonts w:ascii="Arial" w:hAnsi="Arial" w:cs="Arial"/>
                <w:sz w:val="18"/>
                <w:szCs w:val="18"/>
                <w:lang w:val="en-US"/>
              </w:rPr>
            </w:pPr>
          </w:p>
        </w:tc>
        <w:tc>
          <w:tcPr>
            <w:tcW w:w="993" w:type="dxa"/>
            <w:gridSpan w:val="2"/>
            <w:vMerge/>
            <w:tcBorders>
              <w:left w:val="single" w:sz="4" w:space="0" w:color="auto"/>
              <w:bottom w:val="single" w:sz="4" w:space="0" w:color="auto"/>
              <w:right w:val="single" w:sz="4" w:space="0" w:color="auto"/>
            </w:tcBorders>
            <w:shd w:val="clear" w:color="auto" w:fill="auto"/>
            <w:vAlign w:val="center"/>
            <w:hideMark/>
          </w:tcPr>
          <w:p w14:paraId="4A076807" w14:textId="77777777" w:rsidR="005C1246" w:rsidRPr="00BD295E" w:rsidRDefault="005C1246" w:rsidP="00D648DD">
            <w:pPr>
              <w:rPr>
                <w:rFonts w:ascii="Arial" w:hAnsi="Arial" w:cs="Arial"/>
                <w:sz w:val="18"/>
                <w:szCs w:val="18"/>
                <w:lang w:val="en-US"/>
              </w:rPr>
            </w:pPr>
          </w:p>
        </w:tc>
        <w:tc>
          <w:tcPr>
            <w:tcW w:w="1701" w:type="dxa"/>
            <w:vMerge/>
            <w:tcBorders>
              <w:left w:val="single" w:sz="4" w:space="0" w:color="auto"/>
              <w:bottom w:val="single" w:sz="4" w:space="0" w:color="auto"/>
              <w:right w:val="single" w:sz="4" w:space="0" w:color="auto"/>
            </w:tcBorders>
            <w:shd w:val="clear" w:color="auto" w:fill="auto"/>
            <w:vAlign w:val="center"/>
            <w:hideMark/>
          </w:tcPr>
          <w:p w14:paraId="192EC2C4" w14:textId="77777777" w:rsidR="005C1246" w:rsidRPr="00BD295E" w:rsidRDefault="005C1246" w:rsidP="00D648DD">
            <w:pPr>
              <w:rPr>
                <w:rFonts w:ascii="Arial" w:hAnsi="Arial" w:cs="Arial"/>
                <w:sz w:val="18"/>
                <w:szCs w:val="18"/>
                <w:lang w:val="en-US"/>
              </w:rPr>
            </w:pPr>
          </w:p>
        </w:tc>
      </w:tr>
      <w:tr w:rsidR="008A5057" w:rsidRPr="00BD295E" w14:paraId="0607D9D5" w14:textId="77777777" w:rsidTr="00D648DD">
        <w:trPr>
          <w:trHeight w:val="1380"/>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8541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transformer substations (TS), excluding distribution transformer substations (DTS) with voltage up to 35 kV</w:t>
            </w:r>
          </w:p>
        </w:tc>
        <w:tc>
          <w:tcPr>
            <w:tcW w:w="170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02E6AAB" w14:textId="77777777" w:rsidR="005C1246" w:rsidRPr="00BD295E" w:rsidRDefault="005C1246" w:rsidP="00D648DD">
            <w:pPr>
              <w:rPr>
                <w:rFonts w:ascii="Arial" w:hAnsi="Arial" w:cs="Arial"/>
                <w:sz w:val="18"/>
                <w:szCs w:val="18"/>
                <w:lang w:val="en-US"/>
              </w:rPr>
            </w:pPr>
          </w:p>
        </w:tc>
        <w:tc>
          <w:tcPr>
            <w:tcW w:w="993" w:type="dxa"/>
            <w:gridSpan w:val="2"/>
            <w:tcBorders>
              <w:top w:val="single" w:sz="4" w:space="0" w:color="auto"/>
              <w:left w:val="nil"/>
              <w:bottom w:val="single" w:sz="4" w:space="0" w:color="auto"/>
              <w:right w:val="single" w:sz="4" w:space="0" w:color="auto"/>
            </w:tcBorders>
            <w:shd w:val="clear" w:color="auto" w:fill="auto"/>
            <w:vAlign w:val="center"/>
            <w:hideMark/>
          </w:tcPr>
          <w:p w14:paraId="2FBEEF1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AE6744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1519FDB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63C748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1Х63,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84F491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4B2EBE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F11489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14,272</w:t>
            </w:r>
          </w:p>
        </w:tc>
      </w:tr>
      <w:tr w:rsidR="008A5057" w:rsidRPr="00BD295E" w14:paraId="7DDFCBCF"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126B51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4FEE164"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1199A9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E4C3D7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11,302</w:t>
            </w:r>
          </w:p>
        </w:tc>
      </w:tr>
      <w:tr w:rsidR="008A5057" w:rsidRPr="00BD295E" w14:paraId="784FB485"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D9AB78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1Х160,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37F0B6A"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BE5876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F8910A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7,468</w:t>
            </w:r>
          </w:p>
        </w:tc>
      </w:tr>
      <w:tr w:rsidR="008A5057" w:rsidRPr="00BD295E" w14:paraId="67FBF70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4CD4FD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1Х250,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37C0EB7"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94D841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DD1E2F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5,186</w:t>
            </w:r>
          </w:p>
        </w:tc>
      </w:tr>
      <w:tr w:rsidR="008A5057" w:rsidRPr="00BD295E" w14:paraId="67D97F8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840288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1Х400,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05F6EE0"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82D6B2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1759B7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3,671</w:t>
            </w:r>
          </w:p>
        </w:tc>
      </w:tr>
      <w:tr w:rsidR="008A5057" w:rsidRPr="00BD295E" w14:paraId="304DF6B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DFDC4A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1Х630,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B6DB1A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A461B7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E990B2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2,974</w:t>
            </w:r>
          </w:p>
        </w:tc>
      </w:tr>
      <w:tr w:rsidR="008A5057" w:rsidRPr="00BD295E" w14:paraId="78215AE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9FDB32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PTS 1Х1000, terminal type</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4CDAFC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1DC9D3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788047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2,365</w:t>
            </w:r>
          </w:p>
        </w:tc>
      </w:tr>
      <w:tr w:rsidR="008A5057" w:rsidRPr="00BD295E" w14:paraId="23A5654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2A9E0F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2PTS 2Х63</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A27ECF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8B9E6D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EDA9C2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10,624</w:t>
            </w:r>
          </w:p>
        </w:tc>
      </w:tr>
      <w:tr w:rsidR="008A5057" w:rsidRPr="00BD295E" w14:paraId="2498CEC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B2B17D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2PTS 2Х100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F3EF5D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D6A055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75A772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8,133</w:t>
            </w:r>
          </w:p>
        </w:tc>
      </w:tr>
      <w:tr w:rsidR="008A5057" w:rsidRPr="00BD295E" w14:paraId="0D57794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541A56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2Х160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274071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841A61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98CE5C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5,451</w:t>
            </w:r>
          </w:p>
        </w:tc>
      </w:tr>
      <w:tr w:rsidR="008A5057" w:rsidRPr="00BD295E" w14:paraId="30BA4359"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FD37F6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2Х250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FCBE65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C4F7EF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0C7169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3,861</w:t>
            </w:r>
          </w:p>
        </w:tc>
      </w:tr>
      <w:tr w:rsidR="008A5057" w:rsidRPr="00BD295E" w14:paraId="3778BE4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4B6726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2Х400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650387B"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E9396C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F0C572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2,693</w:t>
            </w:r>
          </w:p>
        </w:tc>
      </w:tr>
      <w:tr w:rsidR="008A5057" w:rsidRPr="00BD295E" w14:paraId="059FF96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E2953D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2Х630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282E82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30FFF3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7BF014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2,178</w:t>
            </w:r>
          </w:p>
        </w:tc>
      </w:tr>
      <w:tr w:rsidR="008A5057" w:rsidRPr="00BD295E" w14:paraId="4F3173F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52F8F4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2PTS 2Х1000 </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C986CBC"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E904F4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13D13E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3,791</w:t>
            </w:r>
          </w:p>
        </w:tc>
      </w:tr>
      <w:tr w:rsidR="008A5057" w:rsidRPr="00BD295E" w14:paraId="2FD0CBDE"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73A85B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B27FBF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7FB228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8696EE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41,463</w:t>
            </w:r>
          </w:p>
        </w:tc>
      </w:tr>
      <w:tr w:rsidR="008A5057" w:rsidRPr="00BD295E" w14:paraId="31C995D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829DAB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1X160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8B87AD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84E6F2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40A7F7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26,638</w:t>
            </w:r>
          </w:p>
        </w:tc>
      </w:tr>
      <w:tr w:rsidR="008A5057" w:rsidRPr="00BD295E" w14:paraId="44909233"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D86DC4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9BD9B4F"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9FC07C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4C3549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17,980</w:t>
            </w:r>
          </w:p>
        </w:tc>
      </w:tr>
      <w:tr w:rsidR="008A5057" w:rsidRPr="00BD295E" w14:paraId="0D7D510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9457F9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1X400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7A3CFEF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10D9F8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2AE8DA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25,362</w:t>
            </w:r>
          </w:p>
        </w:tc>
      </w:tr>
      <w:tr w:rsidR="008A5057" w:rsidRPr="00BD295E" w14:paraId="2143B408"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B9A621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1X630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CB10EE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F96716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4988D44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16,669</w:t>
            </w:r>
          </w:p>
        </w:tc>
      </w:tr>
      <w:tr w:rsidR="008A5057" w:rsidRPr="00BD295E" w14:paraId="2EF9C8B6"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D5E586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771EB1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1854A76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2A5D57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10,714</w:t>
            </w:r>
          </w:p>
        </w:tc>
      </w:tr>
      <w:tr w:rsidR="008A5057" w:rsidRPr="00BD295E" w14:paraId="1521216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F95A93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B8A5FB3"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6864E5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97914D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9,810</w:t>
            </w:r>
          </w:p>
        </w:tc>
      </w:tr>
      <w:tr w:rsidR="008A5057" w:rsidRPr="00BD295E" w14:paraId="04CFE89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30BF13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1X1600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C32BC8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1775B2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AF219A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3,708</w:t>
            </w:r>
          </w:p>
        </w:tc>
      </w:tr>
      <w:tr w:rsidR="008A5057" w:rsidRPr="00BD295E" w14:paraId="1D74A1D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71A2A5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01D81F42"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B33E8E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717B2CD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30,918</w:t>
            </w:r>
          </w:p>
        </w:tc>
      </w:tr>
      <w:tr w:rsidR="008A5057" w:rsidRPr="00BD295E" w14:paraId="13AF56BB"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E720F6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2X160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8C48DED"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7856B7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47911D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19,885</w:t>
            </w:r>
          </w:p>
        </w:tc>
      </w:tr>
      <w:tr w:rsidR="008A5057" w:rsidRPr="00BD295E" w14:paraId="49F5D7B1"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89EF8A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5B7269F"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E515B7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022E6C1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13,443</w:t>
            </w:r>
          </w:p>
        </w:tc>
      </w:tr>
      <w:tr w:rsidR="008A5057" w:rsidRPr="00BD295E" w14:paraId="5C49A72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7608E9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2X400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4E4C5B2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6250D41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1E5145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12,185</w:t>
            </w:r>
          </w:p>
        </w:tc>
      </w:tr>
      <w:tr w:rsidR="008A5057" w:rsidRPr="00BD295E" w14:paraId="5896C1B7"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09EEF7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2X630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3C568A9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F0EB5B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525D190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8,002</w:t>
            </w:r>
          </w:p>
        </w:tc>
      </w:tr>
      <w:tr w:rsidR="008A5057" w:rsidRPr="00BD295E" w14:paraId="5CCB7414"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A9279F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05D2B67"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2156FD3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213DD97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6,052</w:t>
            </w:r>
          </w:p>
        </w:tc>
      </w:tr>
      <w:tr w:rsidR="008A5057" w:rsidRPr="00BD295E" w14:paraId="33E2BB4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4310DA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68E609E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5C169FE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B0181F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6,141</w:t>
            </w:r>
          </w:p>
        </w:tc>
      </w:tr>
      <w:tr w:rsidR="008A5057" w:rsidRPr="00BD295E" w14:paraId="7C7A77EC"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C37DD5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UPTS 2X1600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6329205"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7D188DA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1FE1BB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4,484</w:t>
            </w:r>
          </w:p>
        </w:tc>
      </w:tr>
      <w:tr w:rsidR="008A5057" w:rsidRPr="00BD295E" w14:paraId="47C7B759" w14:textId="77777777" w:rsidTr="00D648DD">
        <w:trPr>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157924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С6 Standardized tariff rate to cover expenses for the construction of distribution transformer substations (DTSS), with voltage up to 35 kV</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7932C86"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41FC0C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5133B58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11F3032D"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3D1B56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2x1000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2F2A56F1"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0656197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301ADF3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21,502</w:t>
            </w:r>
          </w:p>
        </w:tc>
      </w:tr>
      <w:tr w:rsidR="008A5057" w:rsidRPr="00BD295E" w14:paraId="51A5764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32CD8AE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2x1250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25754B5"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B59567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6D57856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18,273</w:t>
            </w:r>
          </w:p>
        </w:tc>
      </w:tr>
      <w:tr w:rsidR="008A5057" w:rsidRPr="00BD295E" w14:paraId="72B3A062"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3B7E5C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4x1000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50F7B90C"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4A82D77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8904BA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10,854</w:t>
            </w:r>
          </w:p>
        </w:tc>
      </w:tr>
      <w:tr w:rsidR="008A5057" w:rsidRPr="00BD295E" w14:paraId="68A029BA" w14:textId="77777777" w:rsidTr="00D648DD">
        <w:trPr>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01CB17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UPDTS 4x1250</w:t>
            </w:r>
          </w:p>
        </w:tc>
        <w:tc>
          <w:tcPr>
            <w:tcW w:w="1701" w:type="dxa"/>
            <w:vMerge/>
            <w:tcBorders>
              <w:top w:val="nil"/>
              <w:left w:val="single" w:sz="4" w:space="0" w:color="auto"/>
              <w:bottom w:val="single" w:sz="4" w:space="0" w:color="000000"/>
              <w:right w:val="single" w:sz="4" w:space="0" w:color="auto"/>
            </w:tcBorders>
            <w:shd w:val="clear" w:color="auto" w:fill="auto"/>
            <w:vAlign w:val="center"/>
            <w:hideMark/>
          </w:tcPr>
          <w:p w14:paraId="17D0B80A"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single" w:sz="4" w:space="0" w:color="auto"/>
              <w:right w:val="single" w:sz="4" w:space="0" w:color="auto"/>
            </w:tcBorders>
            <w:shd w:val="clear" w:color="auto" w:fill="auto"/>
            <w:vAlign w:val="center"/>
            <w:hideMark/>
          </w:tcPr>
          <w:p w14:paraId="3D3105B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hideMark/>
          </w:tcPr>
          <w:p w14:paraId="1CB50C2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9,216</w:t>
            </w:r>
          </w:p>
        </w:tc>
      </w:tr>
      <w:tr w:rsidR="008A5057" w:rsidRPr="00BD295E" w14:paraId="6EFB183D" w14:textId="77777777" w:rsidTr="00D648DD">
        <w:trPr>
          <w:trHeight w:val="288"/>
        </w:trPr>
        <w:tc>
          <w:tcPr>
            <w:tcW w:w="5118" w:type="dxa"/>
            <w:tcBorders>
              <w:top w:val="nil"/>
              <w:left w:val="nil"/>
              <w:bottom w:val="nil"/>
              <w:right w:val="nil"/>
            </w:tcBorders>
            <w:shd w:val="clear" w:color="auto" w:fill="auto"/>
            <w:noWrap/>
            <w:vAlign w:val="bottom"/>
            <w:hideMark/>
          </w:tcPr>
          <w:p w14:paraId="636DC48C" w14:textId="77777777" w:rsidR="005C1246" w:rsidRPr="00BD295E" w:rsidRDefault="005C1246" w:rsidP="00D648DD">
            <w:pPr>
              <w:rPr>
                <w:rFonts w:ascii="Arial" w:hAnsi="Arial" w:cs="Arial"/>
                <w:sz w:val="18"/>
                <w:szCs w:val="18"/>
                <w:lang w:val="en-US"/>
              </w:rPr>
            </w:pPr>
          </w:p>
        </w:tc>
        <w:tc>
          <w:tcPr>
            <w:tcW w:w="1701" w:type="dxa"/>
            <w:tcBorders>
              <w:top w:val="nil"/>
              <w:left w:val="nil"/>
              <w:bottom w:val="nil"/>
              <w:right w:val="nil"/>
            </w:tcBorders>
            <w:shd w:val="clear" w:color="auto" w:fill="auto"/>
            <w:noWrap/>
            <w:vAlign w:val="bottom"/>
            <w:hideMark/>
          </w:tcPr>
          <w:p w14:paraId="051A11FE" w14:textId="77777777" w:rsidR="005C1246" w:rsidRPr="00BD295E" w:rsidRDefault="005C1246" w:rsidP="00D648DD">
            <w:pPr>
              <w:rPr>
                <w:rFonts w:ascii="Arial" w:hAnsi="Arial" w:cs="Arial"/>
                <w:sz w:val="18"/>
                <w:szCs w:val="18"/>
                <w:lang w:val="en-US"/>
              </w:rPr>
            </w:pPr>
          </w:p>
        </w:tc>
        <w:tc>
          <w:tcPr>
            <w:tcW w:w="993" w:type="dxa"/>
            <w:gridSpan w:val="2"/>
            <w:tcBorders>
              <w:top w:val="nil"/>
              <w:left w:val="nil"/>
              <w:bottom w:val="nil"/>
              <w:right w:val="nil"/>
            </w:tcBorders>
            <w:shd w:val="clear" w:color="auto" w:fill="auto"/>
            <w:noWrap/>
            <w:vAlign w:val="bottom"/>
            <w:hideMark/>
          </w:tcPr>
          <w:p w14:paraId="5430FCA9" w14:textId="77777777" w:rsidR="005C1246" w:rsidRPr="00BD295E" w:rsidRDefault="005C1246" w:rsidP="00D648DD">
            <w:pPr>
              <w:rPr>
                <w:rFonts w:ascii="Arial" w:hAnsi="Arial" w:cs="Arial"/>
                <w:sz w:val="18"/>
                <w:szCs w:val="18"/>
                <w:lang w:val="en-US"/>
              </w:rPr>
            </w:pPr>
          </w:p>
        </w:tc>
        <w:tc>
          <w:tcPr>
            <w:tcW w:w="1701" w:type="dxa"/>
            <w:tcBorders>
              <w:top w:val="nil"/>
              <w:left w:val="nil"/>
              <w:bottom w:val="nil"/>
              <w:right w:val="nil"/>
            </w:tcBorders>
            <w:shd w:val="clear" w:color="auto" w:fill="auto"/>
            <w:noWrap/>
            <w:vAlign w:val="bottom"/>
            <w:hideMark/>
          </w:tcPr>
          <w:p w14:paraId="7659D2DB" w14:textId="77777777" w:rsidR="005C1246" w:rsidRPr="00BD295E" w:rsidRDefault="005C1246" w:rsidP="00D648DD">
            <w:pPr>
              <w:rPr>
                <w:rFonts w:ascii="Arial" w:hAnsi="Arial" w:cs="Arial"/>
                <w:sz w:val="18"/>
                <w:szCs w:val="18"/>
                <w:lang w:val="en-US"/>
              </w:rPr>
            </w:pPr>
          </w:p>
        </w:tc>
      </w:tr>
      <w:tr w:rsidR="008A5057" w:rsidRPr="00BD295E" w14:paraId="230BDF32" w14:textId="77777777" w:rsidTr="00D648DD">
        <w:trPr>
          <w:trHeight w:val="768"/>
        </w:trPr>
        <w:tc>
          <w:tcPr>
            <w:tcW w:w="9513" w:type="dxa"/>
            <w:gridSpan w:val="5"/>
            <w:tcBorders>
              <w:top w:val="nil"/>
              <w:left w:val="nil"/>
              <w:bottom w:val="nil"/>
              <w:right w:val="nil"/>
            </w:tcBorders>
            <w:shd w:val="clear" w:color="auto" w:fill="auto"/>
            <w:hideMark/>
          </w:tcPr>
          <w:p w14:paraId="31DDBF9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Standardized tariff rates are approved for connection of 150+ kW</w:t>
            </w:r>
            <w:r w:rsidR="00EC0D9D" w:rsidRPr="00BD295E">
              <w:rPr>
                <w:rFonts w:ascii="Arial" w:hAnsi="Arial" w:cs="Arial"/>
                <w:sz w:val="18"/>
                <w:szCs w:val="18"/>
                <w:lang w:val="en-US"/>
              </w:rPr>
              <w:t xml:space="preserve"> </w:t>
            </w:r>
            <w:r w:rsidRPr="00BD295E">
              <w:rPr>
                <w:rFonts w:ascii="Arial" w:hAnsi="Arial" w:cs="Arial"/>
                <w:sz w:val="18"/>
                <w:szCs w:val="18"/>
                <w:lang w:val="en-US"/>
              </w:rPr>
              <w:t>power receiving appliances</w:t>
            </w:r>
          </w:p>
        </w:tc>
      </w:tr>
    </w:tbl>
    <w:p w14:paraId="197E44C1" w14:textId="77777777" w:rsidR="005C1246" w:rsidRPr="00BD295E" w:rsidRDefault="005C1246" w:rsidP="005C1246">
      <w:pPr>
        <w:rPr>
          <w:rFonts w:ascii="Arial" w:hAnsi="Arial" w:cs="Arial"/>
          <w:b/>
          <w:sz w:val="18"/>
          <w:szCs w:val="18"/>
          <w:lang w:val="en-US"/>
        </w:rPr>
      </w:pPr>
    </w:p>
    <w:p w14:paraId="1C204D73" w14:textId="77777777" w:rsidR="005C1246" w:rsidRPr="00BD295E" w:rsidRDefault="008A5057" w:rsidP="005C1246">
      <w:pPr>
        <w:tabs>
          <w:tab w:val="left" w:pos="2667"/>
        </w:tabs>
        <w:rPr>
          <w:rFonts w:ascii="Arial" w:hAnsi="Arial" w:cs="Arial"/>
          <w:b/>
          <w:sz w:val="18"/>
          <w:szCs w:val="18"/>
          <w:lang w:val="en-US"/>
        </w:rPr>
      </w:pPr>
      <w:r w:rsidRPr="00BD295E">
        <w:rPr>
          <w:rFonts w:ascii="Arial" w:hAnsi="Arial" w:cs="Arial"/>
          <w:b/>
          <w:sz w:val="18"/>
          <w:szCs w:val="18"/>
          <w:lang w:val="en-US"/>
        </w:rPr>
        <w:t>Leningrad Region</w:t>
      </w:r>
    </w:p>
    <w:tbl>
      <w:tblPr>
        <w:tblW w:w="11214" w:type="dxa"/>
        <w:tblInd w:w="93" w:type="dxa"/>
        <w:tblLayout w:type="fixed"/>
        <w:tblLook w:val="04A0" w:firstRow="1" w:lastRow="0" w:firstColumn="1" w:lastColumn="0" w:noHBand="0" w:noVBand="1"/>
      </w:tblPr>
      <w:tblGrid>
        <w:gridCol w:w="5118"/>
        <w:gridCol w:w="1701"/>
        <w:gridCol w:w="993"/>
        <w:gridCol w:w="1701"/>
        <w:gridCol w:w="1701"/>
      </w:tblGrid>
      <w:tr w:rsidR="008A5057" w:rsidRPr="00BD295E" w14:paraId="4707BE66" w14:textId="77777777" w:rsidTr="00D648DD">
        <w:trPr>
          <w:gridAfter w:val="1"/>
          <w:wAfter w:w="1701" w:type="dxa"/>
          <w:trHeight w:val="165"/>
        </w:trPr>
        <w:tc>
          <w:tcPr>
            <w:tcW w:w="951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E47E422"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Standardized tariff rates for grid connection*</w:t>
            </w:r>
          </w:p>
        </w:tc>
      </w:tr>
      <w:tr w:rsidR="008A5057" w:rsidRPr="00BD295E" w14:paraId="11DD3E1A" w14:textId="77777777" w:rsidTr="00D648DD">
        <w:trPr>
          <w:gridAfter w:val="1"/>
          <w:wAfter w:w="1701" w:type="dxa"/>
          <w:trHeight w:val="120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F2024E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 Standardized tariff rate to cover the costs of organizational activities under item 16 (excluding sub-item “b”) of the Guidelines </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3551B7"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single" w:sz="4" w:space="0" w:color="auto"/>
              <w:left w:val="nil"/>
              <w:bottom w:val="single" w:sz="4" w:space="0" w:color="auto"/>
              <w:right w:val="single" w:sz="4" w:space="0" w:color="auto"/>
            </w:tcBorders>
            <w:shd w:val="clear" w:color="auto" w:fill="auto"/>
            <w:vAlign w:val="center"/>
          </w:tcPr>
          <w:p w14:paraId="1B8CCD7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tcPr>
          <w:p w14:paraId="03B3555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31,139</w:t>
            </w:r>
          </w:p>
        </w:tc>
      </w:tr>
      <w:tr w:rsidR="008A5057" w:rsidRPr="00BD295E" w14:paraId="272FEF4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6FA422F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DE4E6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1973664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7B27212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13,205</w:t>
            </w:r>
          </w:p>
        </w:tc>
      </w:tr>
      <w:tr w:rsidR="008A5057" w:rsidRPr="00BD295E" w14:paraId="4BBF9DF4" w14:textId="77777777" w:rsidTr="00D648DD">
        <w:trPr>
          <w:gridAfter w:val="1"/>
          <w:wAfter w:w="1701" w:type="dxa"/>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4FC028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2F93582"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2D866E8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nil"/>
              <w:left w:val="nil"/>
              <w:bottom w:val="single" w:sz="4" w:space="0" w:color="auto"/>
              <w:right w:val="single" w:sz="4" w:space="0" w:color="auto"/>
            </w:tcBorders>
            <w:shd w:val="clear" w:color="auto" w:fill="auto"/>
            <w:vAlign w:val="center"/>
            <w:hideMark/>
          </w:tcPr>
          <w:p w14:paraId="194A202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17,937</w:t>
            </w:r>
          </w:p>
        </w:tc>
      </w:tr>
      <w:tr w:rsidR="008A5057" w:rsidRPr="00BD295E" w14:paraId="621750AD" w14:textId="77777777" w:rsidTr="00D648DD">
        <w:trPr>
          <w:gridAfter w:val="1"/>
          <w:wAfter w:w="1701" w:type="dxa"/>
          <w:trHeight w:val="663"/>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B7F2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single-circuit overhead lines</w:t>
            </w:r>
          </w:p>
        </w:tc>
        <w:tc>
          <w:tcPr>
            <w:tcW w:w="1701" w:type="dxa"/>
            <w:vMerge w:val="restart"/>
            <w:tcBorders>
              <w:top w:val="single" w:sz="4" w:space="0" w:color="auto"/>
              <w:left w:val="single" w:sz="4" w:space="0" w:color="auto"/>
              <w:bottom w:val="nil"/>
              <w:right w:val="single" w:sz="4" w:space="0" w:color="auto"/>
            </w:tcBorders>
            <w:shd w:val="clear" w:color="auto" w:fill="auto"/>
            <w:vAlign w:val="center"/>
            <w:hideMark/>
          </w:tcPr>
          <w:p w14:paraId="66EA732E"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single" w:sz="4" w:space="0" w:color="auto"/>
              <w:left w:val="nil"/>
              <w:bottom w:val="single" w:sz="4" w:space="0" w:color="auto"/>
              <w:right w:val="single" w:sz="4" w:space="0" w:color="auto"/>
            </w:tcBorders>
            <w:shd w:val="clear" w:color="auto" w:fill="auto"/>
          </w:tcPr>
          <w:p w14:paraId="4B518E64" w14:textId="77777777" w:rsidR="005C1246" w:rsidRPr="00BD295E" w:rsidRDefault="005C1246" w:rsidP="00D648DD">
            <w:pPr>
              <w:jc w:val="cente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tcPr>
          <w:p w14:paraId="12D074A3" w14:textId="77777777" w:rsidR="005C1246" w:rsidRPr="00BD295E" w:rsidRDefault="005C1246" w:rsidP="00D648DD">
            <w:pPr>
              <w:jc w:val="center"/>
              <w:rPr>
                <w:rFonts w:ascii="Arial" w:hAnsi="Arial" w:cs="Arial"/>
                <w:sz w:val="18"/>
                <w:szCs w:val="18"/>
                <w:lang w:val="en-US"/>
              </w:rPr>
            </w:pPr>
          </w:p>
        </w:tc>
      </w:tr>
      <w:tr w:rsidR="008A5057" w:rsidRPr="00BD295E" w14:paraId="249059E7" w14:textId="77777777" w:rsidTr="00D648DD">
        <w:trPr>
          <w:gridAfter w:val="1"/>
          <w:wAfter w:w="1701" w:type="dxa"/>
          <w:trHeight w:val="498"/>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37EF748"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bottom w:val="nil"/>
              <w:right w:val="single" w:sz="4" w:space="0" w:color="auto"/>
            </w:tcBorders>
            <w:shd w:val="clear" w:color="auto" w:fill="auto"/>
            <w:vAlign w:val="center"/>
          </w:tcPr>
          <w:p w14:paraId="28E1575B" w14:textId="77777777" w:rsidR="005C1246" w:rsidRPr="00BD295E" w:rsidRDefault="005C1246" w:rsidP="00D648DD">
            <w:pPr>
              <w:jc w:val="cente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7E0FB7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3D1D353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1,885,149</w:t>
            </w:r>
          </w:p>
        </w:tc>
      </w:tr>
      <w:tr w:rsidR="008A5057" w:rsidRPr="00BD295E" w14:paraId="7E921B6A" w14:textId="77777777" w:rsidTr="00D648DD">
        <w:trPr>
          <w:gridAfter w:val="1"/>
          <w:wAfter w:w="1701" w:type="dxa"/>
          <w:trHeight w:val="49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5A63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2F5782A0"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B3AEF6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EFEC32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1,982,054</w:t>
            </w:r>
          </w:p>
        </w:tc>
      </w:tr>
      <w:tr w:rsidR="008A5057" w:rsidRPr="00BD295E" w14:paraId="289BF30B" w14:textId="77777777" w:rsidTr="00D648DD">
        <w:trPr>
          <w:gridAfter w:val="1"/>
          <w:wAfter w:w="1701" w:type="dxa"/>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632A6B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double-circuit overhead lines</w:t>
            </w:r>
          </w:p>
        </w:tc>
        <w:tc>
          <w:tcPr>
            <w:tcW w:w="1701" w:type="dxa"/>
            <w:vMerge/>
            <w:tcBorders>
              <w:left w:val="single" w:sz="4" w:space="0" w:color="auto"/>
              <w:right w:val="single" w:sz="4" w:space="0" w:color="auto"/>
            </w:tcBorders>
            <w:shd w:val="clear" w:color="auto" w:fill="auto"/>
            <w:vAlign w:val="center"/>
          </w:tcPr>
          <w:p w14:paraId="2031D7C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3330A4D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6C30D65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6BF138F4" w14:textId="77777777" w:rsidTr="00D648DD">
        <w:trPr>
          <w:gridAfter w:val="1"/>
          <w:wAfter w:w="1701" w:type="dxa"/>
          <w:trHeight w:val="49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1C7B741"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65CDEC5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27EF9FA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2ECC3A9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2,047,859</w:t>
            </w:r>
          </w:p>
        </w:tc>
      </w:tr>
      <w:tr w:rsidR="008A5057" w:rsidRPr="00BD295E" w14:paraId="770417E7" w14:textId="77777777" w:rsidTr="00D648DD">
        <w:trPr>
          <w:gridAfter w:val="1"/>
          <w:wAfter w:w="1701" w:type="dxa"/>
          <w:trHeight w:val="49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2022D105"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2B96157"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4CD82D1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1C47513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2,352,512</w:t>
            </w:r>
          </w:p>
        </w:tc>
      </w:tr>
      <w:tr w:rsidR="008A5057" w:rsidRPr="00BD295E" w14:paraId="5399E6DB" w14:textId="77777777" w:rsidTr="00D648DD">
        <w:trPr>
          <w:gridAfter w:val="1"/>
          <w:wAfter w:w="1701" w:type="dxa"/>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7315E01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single-circuit cable lines</w:t>
            </w:r>
          </w:p>
        </w:tc>
        <w:tc>
          <w:tcPr>
            <w:tcW w:w="1701" w:type="dxa"/>
            <w:vMerge/>
            <w:tcBorders>
              <w:left w:val="single" w:sz="4" w:space="0" w:color="auto"/>
              <w:right w:val="single" w:sz="4" w:space="0" w:color="auto"/>
            </w:tcBorders>
            <w:shd w:val="clear" w:color="auto" w:fill="auto"/>
            <w:vAlign w:val="center"/>
          </w:tcPr>
          <w:p w14:paraId="2942D73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0446C1A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2980F73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79002CD1" w14:textId="77777777" w:rsidTr="00D648DD">
        <w:trPr>
          <w:gridAfter w:val="1"/>
          <w:wAfter w:w="1701" w:type="dxa"/>
          <w:trHeight w:val="49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23A3786"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1E70F2F6"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6E2594B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32C6358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3,417,003</w:t>
            </w:r>
          </w:p>
        </w:tc>
      </w:tr>
      <w:tr w:rsidR="008A5057" w:rsidRPr="00BD295E" w14:paraId="6F0AD6E8" w14:textId="77777777" w:rsidTr="00D648DD">
        <w:trPr>
          <w:gridAfter w:val="1"/>
          <w:wAfter w:w="1701" w:type="dxa"/>
          <w:trHeight w:val="49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6C457A6"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0563296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483789A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15A827C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3,536,123</w:t>
            </w:r>
          </w:p>
        </w:tc>
      </w:tr>
      <w:tr w:rsidR="008A5057" w:rsidRPr="00BD295E" w14:paraId="25979EF7" w14:textId="77777777" w:rsidTr="00D648DD">
        <w:trPr>
          <w:gridAfter w:val="1"/>
          <w:wAfter w:w="1701" w:type="dxa"/>
          <w:trHeight w:val="82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DE3656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double-circuit cable lines</w:t>
            </w:r>
          </w:p>
        </w:tc>
        <w:tc>
          <w:tcPr>
            <w:tcW w:w="1701" w:type="dxa"/>
            <w:vMerge/>
            <w:tcBorders>
              <w:left w:val="single" w:sz="4" w:space="0" w:color="auto"/>
              <w:right w:val="single" w:sz="4" w:space="0" w:color="auto"/>
            </w:tcBorders>
            <w:shd w:val="clear" w:color="auto" w:fill="auto"/>
            <w:vAlign w:val="center"/>
          </w:tcPr>
          <w:p w14:paraId="67B652F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5899EE8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2460833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5F3DA88F" w14:textId="77777777" w:rsidTr="00D648DD">
        <w:trPr>
          <w:gridAfter w:val="1"/>
          <w:wAfter w:w="1701" w:type="dxa"/>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4BA4179"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386E8D55"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0430CF9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5F97D7C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6,131,635</w:t>
            </w:r>
          </w:p>
        </w:tc>
      </w:tr>
      <w:tr w:rsidR="008A5057" w:rsidRPr="00BD295E" w14:paraId="7FEBA5B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B7869C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357F3D2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6D5ADC8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51CB50E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6,177,944</w:t>
            </w:r>
          </w:p>
        </w:tc>
      </w:tr>
      <w:tr w:rsidR="008A5057" w:rsidRPr="00BD295E" w14:paraId="705846A9" w14:textId="77777777" w:rsidTr="00D648DD">
        <w:trPr>
          <w:gridAfter w:val="1"/>
          <w:wAfter w:w="1701" w:type="dxa"/>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E41BB6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С3 Standardized tariff rate to cover expenses for the construction of cable lines using horizontal directional drilling (HDD) </w:t>
            </w:r>
          </w:p>
        </w:tc>
        <w:tc>
          <w:tcPr>
            <w:tcW w:w="1701" w:type="dxa"/>
            <w:vMerge/>
            <w:tcBorders>
              <w:left w:val="single" w:sz="4" w:space="0" w:color="auto"/>
              <w:right w:val="single" w:sz="4" w:space="0" w:color="auto"/>
            </w:tcBorders>
            <w:shd w:val="clear" w:color="auto" w:fill="auto"/>
            <w:vAlign w:val="center"/>
          </w:tcPr>
          <w:p w14:paraId="0ABFD29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7BFF833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145A897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68A6405D" w14:textId="77777777" w:rsidTr="00D648DD">
        <w:trPr>
          <w:gridAfter w:val="1"/>
          <w:wAfter w:w="1701" w:type="dxa"/>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059BB696"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41B84F4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56C5B51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79C07DC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16,510,028</w:t>
            </w:r>
          </w:p>
        </w:tc>
      </w:tr>
      <w:tr w:rsidR="008A5057" w:rsidRPr="00BD295E" w14:paraId="643B4A7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D002067"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18E7E97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13F4FA4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hideMark/>
          </w:tcPr>
          <w:p w14:paraId="3831A95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18,358,396</w:t>
            </w:r>
          </w:p>
        </w:tc>
      </w:tr>
      <w:tr w:rsidR="008A5057" w:rsidRPr="00BD295E" w14:paraId="23BCD854" w14:textId="77777777" w:rsidTr="00D648DD">
        <w:trPr>
          <w:gridAfter w:val="1"/>
          <w:wAfter w:w="1701" w:type="dxa"/>
          <w:trHeight w:val="1104"/>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51A5D1B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С4 Standardized tariff rate to cover expenses for the construction of 10 MVA distribution points</w:t>
            </w:r>
          </w:p>
        </w:tc>
        <w:tc>
          <w:tcPr>
            <w:tcW w:w="1701" w:type="dxa"/>
            <w:vMerge/>
            <w:tcBorders>
              <w:left w:val="single" w:sz="4" w:space="0" w:color="auto"/>
              <w:right w:val="single" w:sz="4" w:space="0" w:color="auto"/>
            </w:tcBorders>
            <w:shd w:val="clear" w:color="auto" w:fill="auto"/>
            <w:vAlign w:val="center"/>
          </w:tcPr>
          <w:p w14:paraId="616A27D3"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4086B02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nil"/>
              <w:left w:val="nil"/>
              <w:bottom w:val="single" w:sz="4" w:space="0" w:color="auto"/>
              <w:right w:val="single" w:sz="4" w:space="0" w:color="auto"/>
            </w:tcBorders>
            <w:shd w:val="clear" w:color="auto" w:fill="auto"/>
            <w:vAlign w:val="center"/>
            <w:hideMark/>
          </w:tcPr>
          <w:p w14:paraId="0A20B49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r>
      <w:tr w:rsidR="008A5057" w:rsidRPr="00BD295E" w14:paraId="2BC8A0BF" w14:textId="77777777" w:rsidTr="00D648DD">
        <w:trPr>
          <w:gridAfter w:val="1"/>
          <w:wAfter w:w="1701" w:type="dxa"/>
          <w:trHeight w:val="288"/>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1EC3CF55"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8F5A7E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633803D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hideMark/>
          </w:tcPr>
          <w:p w14:paraId="76F839A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14,020,519</w:t>
            </w:r>
          </w:p>
        </w:tc>
      </w:tr>
      <w:tr w:rsidR="008A5057" w:rsidRPr="00BD295E" w14:paraId="46C4C190"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hideMark/>
          </w:tcPr>
          <w:p w14:paraId="4ACB9A9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FF5D56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hideMark/>
          </w:tcPr>
          <w:p w14:paraId="15091F7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hideMark/>
          </w:tcPr>
          <w:p w14:paraId="1A082D7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14,020,519</w:t>
            </w:r>
          </w:p>
        </w:tc>
      </w:tr>
      <w:tr w:rsidR="008A5057" w:rsidRPr="00BD295E" w14:paraId="0209B6B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54285E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pole-mounted transformer substations</w:t>
            </w:r>
          </w:p>
        </w:tc>
        <w:tc>
          <w:tcPr>
            <w:tcW w:w="1701" w:type="dxa"/>
            <w:vMerge/>
            <w:tcBorders>
              <w:left w:val="single" w:sz="4" w:space="0" w:color="auto"/>
              <w:right w:val="single" w:sz="4" w:space="0" w:color="auto"/>
            </w:tcBorders>
            <w:shd w:val="clear" w:color="auto" w:fill="auto"/>
            <w:vAlign w:val="center"/>
          </w:tcPr>
          <w:p w14:paraId="6417F1E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5A7A527"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0B777D2C" w14:textId="77777777" w:rsidR="005C1246" w:rsidRPr="00BD295E" w:rsidRDefault="005C1246" w:rsidP="00D648DD">
            <w:pPr>
              <w:jc w:val="right"/>
              <w:rPr>
                <w:rFonts w:ascii="Arial" w:hAnsi="Arial" w:cs="Arial"/>
                <w:sz w:val="18"/>
                <w:szCs w:val="18"/>
                <w:lang w:val="en-US"/>
              </w:rPr>
            </w:pPr>
          </w:p>
        </w:tc>
      </w:tr>
      <w:tr w:rsidR="008A5057" w:rsidRPr="00BD295E" w14:paraId="398261B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9B320A9"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77F8C43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D8D6EF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5E7D27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7FDFDEF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9ECA48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6713F43"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194D43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659E2AE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04DBDF4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A7992C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package transformer substations</w:t>
            </w:r>
          </w:p>
        </w:tc>
        <w:tc>
          <w:tcPr>
            <w:tcW w:w="1701" w:type="dxa"/>
            <w:vMerge/>
            <w:tcBorders>
              <w:left w:val="single" w:sz="4" w:space="0" w:color="auto"/>
              <w:right w:val="single" w:sz="4" w:space="0" w:color="auto"/>
            </w:tcBorders>
            <w:shd w:val="clear" w:color="auto" w:fill="auto"/>
            <w:vAlign w:val="center"/>
          </w:tcPr>
          <w:p w14:paraId="3500CF9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B295C0D"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7CBD4A64" w14:textId="77777777" w:rsidR="005C1246" w:rsidRPr="00BD295E" w:rsidRDefault="005C1246" w:rsidP="00D648DD">
            <w:pPr>
              <w:jc w:val="right"/>
              <w:rPr>
                <w:rFonts w:ascii="Arial" w:hAnsi="Arial" w:cs="Arial"/>
                <w:sz w:val="18"/>
                <w:szCs w:val="18"/>
                <w:lang w:val="en-US"/>
              </w:rPr>
            </w:pPr>
          </w:p>
        </w:tc>
      </w:tr>
      <w:tr w:rsidR="008A5057" w:rsidRPr="00BD295E" w14:paraId="7AD6C5A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21197DD"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77FBB06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DAC602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28F284A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30D8AEC7"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C69046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bottom w:val="single" w:sz="4" w:space="0" w:color="auto"/>
              <w:right w:val="single" w:sz="4" w:space="0" w:color="auto"/>
            </w:tcBorders>
            <w:shd w:val="clear" w:color="auto" w:fill="auto"/>
            <w:vAlign w:val="center"/>
          </w:tcPr>
          <w:p w14:paraId="03DB1647"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6F2450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174E45C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435AC2A0" w14:textId="77777777" w:rsidTr="00D648DD">
        <w:trPr>
          <w:gridAfter w:val="1"/>
          <w:wAfter w:w="1701" w:type="dxa"/>
          <w:trHeight w:val="438"/>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3B5D1F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unit-type package transformer substations (UPTS)</w:t>
            </w:r>
          </w:p>
        </w:tc>
        <w:tc>
          <w:tcPr>
            <w:tcW w:w="1701" w:type="dxa"/>
            <w:vMerge/>
            <w:tcBorders>
              <w:top w:val="single" w:sz="4" w:space="0" w:color="auto"/>
              <w:left w:val="single" w:sz="4" w:space="0" w:color="auto"/>
              <w:bottom w:val="nil"/>
              <w:right w:val="single" w:sz="4" w:space="0" w:color="auto"/>
            </w:tcBorders>
            <w:shd w:val="clear" w:color="auto" w:fill="auto"/>
            <w:vAlign w:val="center"/>
          </w:tcPr>
          <w:p w14:paraId="71441FF5"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D8ADB2F"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33078A8B" w14:textId="77777777" w:rsidR="005C1246" w:rsidRPr="00BD295E" w:rsidRDefault="005C1246" w:rsidP="00D648DD">
            <w:pPr>
              <w:jc w:val="right"/>
              <w:rPr>
                <w:rFonts w:ascii="Arial" w:hAnsi="Arial" w:cs="Arial"/>
                <w:sz w:val="18"/>
                <w:szCs w:val="18"/>
                <w:lang w:val="en-US"/>
              </w:rPr>
            </w:pPr>
          </w:p>
        </w:tc>
      </w:tr>
      <w:tr w:rsidR="008A5057" w:rsidRPr="00BD295E" w14:paraId="18C828BF" w14:textId="77777777" w:rsidTr="00D648DD">
        <w:trPr>
          <w:gridAfter w:val="1"/>
          <w:wAfter w:w="1701" w:type="dxa"/>
          <w:trHeight w:val="701"/>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BE93C96"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bottom w:val="nil"/>
              <w:right w:val="single" w:sz="4" w:space="0" w:color="auto"/>
            </w:tcBorders>
            <w:shd w:val="clear" w:color="auto" w:fill="auto"/>
            <w:vAlign w:val="center"/>
          </w:tcPr>
          <w:p w14:paraId="0DC5EC69"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D0B282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30110A6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57FFBFF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1CFE461"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2F79318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76E158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53BF3A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6DBBAD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97510B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2PTS substations</w:t>
            </w:r>
          </w:p>
        </w:tc>
        <w:tc>
          <w:tcPr>
            <w:tcW w:w="1701" w:type="dxa"/>
            <w:vMerge/>
            <w:tcBorders>
              <w:left w:val="single" w:sz="4" w:space="0" w:color="auto"/>
              <w:right w:val="single" w:sz="4" w:space="0" w:color="auto"/>
            </w:tcBorders>
            <w:shd w:val="clear" w:color="auto" w:fill="auto"/>
            <w:vAlign w:val="center"/>
          </w:tcPr>
          <w:p w14:paraId="6B0F4B7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4CE1DC5"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258E1D0" w14:textId="77777777" w:rsidR="005C1246" w:rsidRPr="00BD295E" w:rsidRDefault="005C1246" w:rsidP="00D648DD">
            <w:pPr>
              <w:jc w:val="right"/>
              <w:rPr>
                <w:rFonts w:ascii="Arial" w:hAnsi="Arial" w:cs="Arial"/>
                <w:sz w:val="18"/>
                <w:szCs w:val="18"/>
                <w:lang w:val="en-US"/>
              </w:rPr>
            </w:pPr>
          </w:p>
        </w:tc>
      </w:tr>
      <w:tr w:rsidR="008A5057" w:rsidRPr="00BD295E" w14:paraId="223C2CD0"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69B6828"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12F773C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A21DB2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FE07D8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5B7A185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98FE4B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2045AFA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C6F45B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43D19CD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297058D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6051C6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2UPTS substations</w:t>
            </w:r>
          </w:p>
        </w:tc>
        <w:tc>
          <w:tcPr>
            <w:tcW w:w="1701" w:type="dxa"/>
            <w:vMerge/>
            <w:tcBorders>
              <w:left w:val="single" w:sz="4" w:space="0" w:color="auto"/>
              <w:right w:val="single" w:sz="4" w:space="0" w:color="auto"/>
            </w:tcBorders>
            <w:shd w:val="clear" w:color="auto" w:fill="auto"/>
            <w:vAlign w:val="center"/>
          </w:tcPr>
          <w:p w14:paraId="3D1F378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1A1A149"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0B561A8" w14:textId="77777777" w:rsidR="005C1246" w:rsidRPr="00BD295E" w:rsidRDefault="005C1246" w:rsidP="00D648DD">
            <w:pPr>
              <w:jc w:val="right"/>
              <w:rPr>
                <w:rFonts w:ascii="Arial" w:hAnsi="Arial" w:cs="Arial"/>
                <w:sz w:val="18"/>
                <w:szCs w:val="18"/>
                <w:lang w:val="en-US"/>
              </w:rPr>
            </w:pPr>
          </w:p>
        </w:tc>
      </w:tr>
      <w:tr w:rsidR="008A5057" w:rsidRPr="00BD295E" w14:paraId="1C8DBC42"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60D6F79" w14:textId="77777777" w:rsidR="005C1246" w:rsidRPr="00BD295E" w:rsidRDefault="008A5057" w:rsidP="00D648DD">
            <w:pPr>
              <w:ind w:firstLineChars="200" w:firstLine="360"/>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C7A4B5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AA97FB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396001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01AD282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47C0446"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bottom w:val="single" w:sz="4" w:space="0" w:color="auto"/>
              <w:right w:val="single" w:sz="4" w:space="0" w:color="auto"/>
            </w:tcBorders>
            <w:shd w:val="clear" w:color="auto" w:fill="auto"/>
            <w:vAlign w:val="center"/>
          </w:tcPr>
          <w:p w14:paraId="24BCB22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60BF30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437885A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63CD5035"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AEAF02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 Standardized tariff rate to cover the costs of organizational activities under item 16 (excluding sub-item “b”) of the Guidelines </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520C1602" w14:textId="77777777" w:rsidR="005C1246" w:rsidRPr="00BD295E" w:rsidRDefault="005C1246" w:rsidP="00D648DD">
            <w:pPr>
              <w:jc w:val="center"/>
              <w:rPr>
                <w:rFonts w:ascii="Arial" w:hAnsi="Arial" w:cs="Arial"/>
                <w:sz w:val="18"/>
                <w:szCs w:val="18"/>
                <w:lang w:val="en-US"/>
              </w:rPr>
            </w:pPr>
          </w:p>
          <w:p w14:paraId="34B535A6"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p w14:paraId="26D802DD" w14:textId="77777777" w:rsidR="005C1246" w:rsidRPr="00BD295E" w:rsidRDefault="005C1246" w:rsidP="00D648DD">
            <w:pPr>
              <w:jc w:val="cente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7F29EC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tcPr>
          <w:p w14:paraId="41C2A8A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31,139</w:t>
            </w:r>
          </w:p>
        </w:tc>
      </w:tr>
      <w:tr w:rsidR="008A5057" w:rsidRPr="00BD295E" w14:paraId="300463F2"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68AE1E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top w:val="single" w:sz="4" w:space="0" w:color="auto"/>
              <w:left w:val="single" w:sz="4" w:space="0" w:color="auto"/>
              <w:right w:val="single" w:sz="4" w:space="0" w:color="auto"/>
            </w:tcBorders>
            <w:shd w:val="clear" w:color="auto" w:fill="auto"/>
            <w:vAlign w:val="center"/>
          </w:tcPr>
          <w:p w14:paraId="29098DA0"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E8AEEC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tcPr>
          <w:p w14:paraId="62F6C58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13,205</w:t>
            </w:r>
          </w:p>
        </w:tc>
      </w:tr>
      <w:tr w:rsidR="008A5057" w:rsidRPr="00BD295E" w14:paraId="7D91818F"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37B129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top w:val="single" w:sz="4" w:space="0" w:color="auto"/>
              <w:left w:val="single" w:sz="4" w:space="0" w:color="auto"/>
              <w:right w:val="single" w:sz="4" w:space="0" w:color="auto"/>
            </w:tcBorders>
            <w:shd w:val="clear" w:color="auto" w:fill="auto"/>
            <w:vAlign w:val="center"/>
          </w:tcPr>
          <w:p w14:paraId="1384A58A"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2CF569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 per connection</w:t>
            </w:r>
          </w:p>
        </w:tc>
        <w:tc>
          <w:tcPr>
            <w:tcW w:w="1701" w:type="dxa"/>
            <w:tcBorders>
              <w:top w:val="single" w:sz="4" w:space="0" w:color="auto"/>
              <w:left w:val="nil"/>
              <w:bottom w:val="single" w:sz="4" w:space="0" w:color="auto"/>
              <w:right w:val="single" w:sz="4" w:space="0" w:color="auto"/>
            </w:tcBorders>
            <w:shd w:val="clear" w:color="auto" w:fill="auto"/>
            <w:vAlign w:val="center"/>
          </w:tcPr>
          <w:p w14:paraId="4739557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17,937</w:t>
            </w:r>
          </w:p>
        </w:tc>
      </w:tr>
      <w:tr w:rsidR="008A5057" w:rsidRPr="00BD295E" w14:paraId="46FB3554"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224536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single-circuit overhead lines</w:t>
            </w:r>
          </w:p>
        </w:tc>
        <w:tc>
          <w:tcPr>
            <w:tcW w:w="1701" w:type="dxa"/>
            <w:vMerge/>
            <w:tcBorders>
              <w:top w:val="single" w:sz="4" w:space="0" w:color="auto"/>
              <w:left w:val="single" w:sz="4" w:space="0" w:color="auto"/>
              <w:right w:val="single" w:sz="4" w:space="0" w:color="auto"/>
            </w:tcBorders>
            <w:shd w:val="clear" w:color="auto" w:fill="auto"/>
            <w:vAlign w:val="center"/>
          </w:tcPr>
          <w:p w14:paraId="56A01AB0"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72CB95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69CF0B8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E34D0AF"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E39C330"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7901E2F3"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86C6E4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52D05AB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1,351,890</w:t>
            </w:r>
          </w:p>
        </w:tc>
      </w:tr>
      <w:tr w:rsidR="008A5057" w:rsidRPr="00BD295E" w14:paraId="392DCF6A"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B3697D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286D3F19"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21A69F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4A5EFD7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1,568,844</w:t>
            </w:r>
          </w:p>
        </w:tc>
      </w:tr>
      <w:tr w:rsidR="008A5057" w:rsidRPr="00BD295E" w14:paraId="088A5481"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D7AED8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Standardized tariff rate to cover expenses for the construction of double-circuit overhead lines</w:t>
            </w:r>
          </w:p>
        </w:tc>
        <w:tc>
          <w:tcPr>
            <w:tcW w:w="1701" w:type="dxa"/>
            <w:vMerge/>
            <w:tcBorders>
              <w:top w:val="single" w:sz="4" w:space="0" w:color="auto"/>
              <w:left w:val="single" w:sz="4" w:space="0" w:color="auto"/>
              <w:right w:val="single" w:sz="4" w:space="0" w:color="auto"/>
            </w:tcBorders>
            <w:shd w:val="clear" w:color="auto" w:fill="auto"/>
            <w:vAlign w:val="center"/>
          </w:tcPr>
          <w:p w14:paraId="5FF7FE1B"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7DC416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67C4EB7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2139DFBA"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DD8A0A5"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3A97B43B"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8EA108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7689D83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2,207,595</w:t>
            </w:r>
          </w:p>
        </w:tc>
      </w:tr>
      <w:tr w:rsidR="008A5057" w:rsidRPr="00BD295E" w14:paraId="1F1AA6BC"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4489958"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302F9658"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CA76B7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2DD352C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2,207,595</w:t>
            </w:r>
          </w:p>
        </w:tc>
      </w:tr>
      <w:tr w:rsidR="008A5057" w:rsidRPr="00BD295E" w14:paraId="6FF1DD73"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C7B2DF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single-circuit cable lines</w:t>
            </w:r>
          </w:p>
        </w:tc>
        <w:tc>
          <w:tcPr>
            <w:tcW w:w="1701" w:type="dxa"/>
            <w:vMerge/>
            <w:tcBorders>
              <w:top w:val="single" w:sz="4" w:space="0" w:color="auto"/>
              <w:left w:val="single" w:sz="4" w:space="0" w:color="auto"/>
              <w:right w:val="single" w:sz="4" w:space="0" w:color="auto"/>
            </w:tcBorders>
            <w:shd w:val="clear" w:color="auto" w:fill="auto"/>
            <w:vAlign w:val="center"/>
          </w:tcPr>
          <w:p w14:paraId="7CA07636"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2E3E90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6C6EC11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5794A2B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CC9862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4A2D60DC"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9E9C31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27ED59A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3,453,434</w:t>
            </w:r>
          </w:p>
        </w:tc>
      </w:tr>
      <w:tr w:rsidR="008A5057" w:rsidRPr="00BD295E" w14:paraId="3C28CC6C"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C336B3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BA63A22"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3111A1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1221F7B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3,666,822</w:t>
            </w:r>
          </w:p>
        </w:tc>
      </w:tr>
      <w:tr w:rsidR="008A5057" w:rsidRPr="00BD295E" w14:paraId="3A01E1F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43713C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Standardized tariff rate to cover expenses for the construction of double-circuit cable lines</w:t>
            </w:r>
          </w:p>
        </w:tc>
        <w:tc>
          <w:tcPr>
            <w:tcW w:w="1701" w:type="dxa"/>
            <w:vMerge/>
            <w:tcBorders>
              <w:top w:val="single" w:sz="4" w:space="0" w:color="auto"/>
              <w:left w:val="single" w:sz="4" w:space="0" w:color="auto"/>
              <w:right w:val="single" w:sz="4" w:space="0" w:color="auto"/>
            </w:tcBorders>
            <w:shd w:val="clear" w:color="auto" w:fill="auto"/>
            <w:vAlign w:val="center"/>
          </w:tcPr>
          <w:p w14:paraId="4FFE1973"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223230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79046E2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D5708EB"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546DC3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3A7AB36C"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0420BE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50CE81D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5,174,998</w:t>
            </w:r>
          </w:p>
        </w:tc>
      </w:tr>
      <w:tr w:rsidR="008A5057" w:rsidRPr="00BD295E" w14:paraId="3B638845"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EFDD89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B6BF68B"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7DE27D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00AB017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4,236,655</w:t>
            </w:r>
          </w:p>
        </w:tc>
      </w:tr>
      <w:tr w:rsidR="008A5057" w:rsidRPr="00BD295E" w14:paraId="0853DA07"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46FA3B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С3 Standardized tariff rate to cover expenses for the construction of cable lines using horizontal directional drilling </w:t>
            </w:r>
          </w:p>
        </w:tc>
        <w:tc>
          <w:tcPr>
            <w:tcW w:w="1701" w:type="dxa"/>
            <w:vMerge/>
            <w:tcBorders>
              <w:top w:val="single" w:sz="4" w:space="0" w:color="auto"/>
              <w:left w:val="single" w:sz="4" w:space="0" w:color="auto"/>
              <w:right w:val="single" w:sz="4" w:space="0" w:color="auto"/>
            </w:tcBorders>
            <w:shd w:val="clear" w:color="auto" w:fill="auto"/>
            <w:vAlign w:val="center"/>
          </w:tcPr>
          <w:p w14:paraId="79E7C6CA"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BC23F9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760DBE8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41EC354D"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3DFF80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123A7125"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7135B0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6C98EDE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16,510,028</w:t>
            </w:r>
          </w:p>
        </w:tc>
      </w:tr>
      <w:tr w:rsidR="008A5057" w:rsidRPr="00BD295E" w14:paraId="1C723686"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DC5983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406DA6F6"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9AB068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4127519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18,358,396</w:t>
            </w:r>
          </w:p>
        </w:tc>
      </w:tr>
      <w:tr w:rsidR="008A5057" w:rsidRPr="00BD295E" w14:paraId="0A2D1E5F"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4A2614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С4 Standardized tariff rate to cover expenses for the construction of 10 MVA distribution points</w:t>
            </w:r>
          </w:p>
        </w:tc>
        <w:tc>
          <w:tcPr>
            <w:tcW w:w="1701" w:type="dxa"/>
            <w:vMerge/>
            <w:tcBorders>
              <w:top w:val="single" w:sz="4" w:space="0" w:color="auto"/>
              <w:left w:val="single" w:sz="4" w:space="0" w:color="auto"/>
              <w:right w:val="single" w:sz="4" w:space="0" w:color="auto"/>
            </w:tcBorders>
            <w:shd w:val="clear" w:color="auto" w:fill="auto"/>
            <w:vAlign w:val="center"/>
          </w:tcPr>
          <w:p w14:paraId="447B069C"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EB9676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х</w:t>
            </w:r>
          </w:p>
        </w:tc>
        <w:tc>
          <w:tcPr>
            <w:tcW w:w="1701" w:type="dxa"/>
            <w:tcBorders>
              <w:top w:val="single" w:sz="4" w:space="0" w:color="auto"/>
              <w:left w:val="nil"/>
              <w:bottom w:val="single" w:sz="4" w:space="0" w:color="auto"/>
              <w:right w:val="single" w:sz="4" w:space="0" w:color="auto"/>
            </w:tcBorders>
            <w:shd w:val="clear" w:color="auto" w:fill="auto"/>
            <w:vAlign w:val="center"/>
          </w:tcPr>
          <w:p w14:paraId="69C01D3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0CFB0B4F"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FF2EB1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2532B81D"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5CDFEB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single" w:sz="4" w:space="0" w:color="auto"/>
              <w:left w:val="nil"/>
              <w:bottom w:val="single" w:sz="4" w:space="0" w:color="auto"/>
              <w:right w:val="single" w:sz="4" w:space="0" w:color="auto"/>
            </w:tcBorders>
            <w:shd w:val="clear" w:color="auto" w:fill="auto"/>
            <w:vAlign w:val="center"/>
          </w:tcPr>
          <w:p w14:paraId="6AB06AB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5B7D475A"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5ED8FD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5B42982"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BA94A7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single" w:sz="4" w:space="0" w:color="auto"/>
              <w:left w:val="nil"/>
              <w:bottom w:val="single" w:sz="4" w:space="0" w:color="auto"/>
              <w:right w:val="single" w:sz="4" w:space="0" w:color="auto"/>
            </w:tcBorders>
            <w:shd w:val="clear" w:color="auto" w:fill="auto"/>
            <w:vAlign w:val="center"/>
          </w:tcPr>
          <w:p w14:paraId="289AF38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6652CAC1"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027223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pole-mounted transformer substations</w:t>
            </w:r>
          </w:p>
        </w:tc>
        <w:tc>
          <w:tcPr>
            <w:tcW w:w="1701" w:type="dxa"/>
            <w:vMerge/>
            <w:tcBorders>
              <w:top w:val="single" w:sz="4" w:space="0" w:color="auto"/>
              <w:left w:val="single" w:sz="4" w:space="0" w:color="auto"/>
              <w:right w:val="single" w:sz="4" w:space="0" w:color="auto"/>
            </w:tcBorders>
            <w:shd w:val="clear" w:color="auto" w:fill="auto"/>
            <w:vAlign w:val="center"/>
          </w:tcPr>
          <w:p w14:paraId="28583547"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B00BF88"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46C09CF9" w14:textId="77777777" w:rsidR="005C1246" w:rsidRPr="00BD295E" w:rsidRDefault="005C1246" w:rsidP="00D648DD">
            <w:pPr>
              <w:jc w:val="right"/>
              <w:rPr>
                <w:rFonts w:ascii="Arial" w:hAnsi="Arial" w:cs="Arial"/>
                <w:sz w:val="18"/>
                <w:szCs w:val="18"/>
                <w:lang w:val="en-US"/>
              </w:rPr>
            </w:pPr>
          </w:p>
        </w:tc>
      </w:tr>
      <w:tr w:rsidR="008A5057" w:rsidRPr="00BD295E" w14:paraId="538FE9C5"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139473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D6D3762"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1F28BD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10EC47E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6,844</w:t>
            </w:r>
          </w:p>
        </w:tc>
      </w:tr>
      <w:tr w:rsidR="008A5057" w:rsidRPr="00BD295E" w14:paraId="7246A8EE"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3081DE1"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796F2F7B"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97D6D5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1BD916A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6,844</w:t>
            </w:r>
          </w:p>
        </w:tc>
      </w:tr>
      <w:tr w:rsidR="008A5057" w:rsidRPr="00BD295E" w14:paraId="40709D32"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BCBAF5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package transformer substations</w:t>
            </w:r>
          </w:p>
        </w:tc>
        <w:tc>
          <w:tcPr>
            <w:tcW w:w="1701" w:type="dxa"/>
            <w:vMerge/>
            <w:tcBorders>
              <w:top w:val="single" w:sz="4" w:space="0" w:color="auto"/>
              <w:left w:val="single" w:sz="4" w:space="0" w:color="auto"/>
              <w:right w:val="single" w:sz="4" w:space="0" w:color="auto"/>
            </w:tcBorders>
            <w:shd w:val="clear" w:color="auto" w:fill="auto"/>
            <w:vAlign w:val="center"/>
          </w:tcPr>
          <w:p w14:paraId="70137B31"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66A0308"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1C032A0B" w14:textId="77777777" w:rsidR="005C1246" w:rsidRPr="00BD295E" w:rsidRDefault="005C1246" w:rsidP="00D648DD">
            <w:pPr>
              <w:jc w:val="right"/>
              <w:rPr>
                <w:rFonts w:ascii="Arial" w:hAnsi="Arial" w:cs="Arial"/>
                <w:sz w:val="18"/>
                <w:szCs w:val="18"/>
                <w:lang w:val="en-US"/>
              </w:rPr>
            </w:pPr>
          </w:p>
        </w:tc>
      </w:tr>
      <w:tr w:rsidR="008A5057" w:rsidRPr="00BD295E" w14:paraId="1E36C2E0"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B4B5FA8"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5A1775D"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E6D01A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26E444F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5,341</w:t>
            </w:r>
          </w:p>
        </w:tc>
      </w:tr>
      <w:tr w:rsidR="008A5057" w:rsidRPr="00BD295E" w14:paraId="02DBE99C"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5DECA9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3F0FCE90"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C7448D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741C75B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5,341</w:t>
            </w:r>
          </w:p>
        </w:tc>
      </w:tr>
      <w:tr w:rsidR="008A5057" w:rsidRPr="00BD295E" w14:paraId="5A4E5831"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99DC52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unit-type package transformer substations (UPTS)</w:t>
            </w:r>
          </w:p>
        </w:tc>
        <w:tc>
          <w:tcPr>
            <w:tcW w:w="1701" w:type="dxa"/>
            <w:vMerge/>
            <w:tcBorders>
              <w:top w:val="single" w:sz="4" w:space="0" w:color="auto"/>
              <w:left w:val="single" w:sz="4" w:space="0" w:color="auto"/>
              <w:right w:val="single" w:sz="4" w:space="0" w:color="auto"/>
            </w:tcBorders>
            <w:shd w:val="clear" w:color="auto" w:fill="auto"/>
            <w:vAlign w:val="center"/>
          </w:tcPr>
          <w:p w14:paraId="44A0A3C9"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1B83F38"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745E2214" w14:textId="77777777" w:rsidR="005C1246" w:rsidRPr="00BD295E" w:rsidRDefault="005C1246" w:rsidP="00D648DD">
            <w:pPr>
              <w:jc w:val="right"/>
              <w:rPr>
                <w:rFonts w:ascii="Arial" w:hAnsi="Arial" w:cs="Arial"/>
                <w:sz w:val="18"/>
                <w:szCs w:val="18"/>
                <w:lang w:val="en-US"/>
              </w:rPr>
            </w:pPr>
          </w:p>
        </w:tc>
      </w:tr>
      <w:tr w:rsidR="008A5057" w:rsidRPr="00BD295E" w14:paraId="07A0266E"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A9A449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B471BB1"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1FE3B4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2134F4C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8,968</w:t>
            </w:r>
          </w:p>
        </w:tc>
      </w:tr>
      <w:tr w:rsidR="008A5057" w:rsidRPr="00BD295E" w14:paraId="5A4194FA"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5EF0827"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5E1890DD"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F7A602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44C87BC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8,968</w:t>
            </w:r>
          </w:p>
        </w:tc>
      </w:tr>
      <w:tr w:rsidR="008A5057" w:rsidRPr="00BD295E" w14:paraId="52480F41"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0FD153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2PTS substations</w:t>
            </w:r>
          </w:p>
        </w:tc>
        <w:tc>
          <w:tcPr>
            <w:tcW w:w="1701" w:type="dxa"/>
            <w:vMerge/>
            <w:tcBorders>
              <w:top w:val="single" w:sz="4" w:space="0" w:color="auto"/>
              <w:left w:val="single" w:sz="4" w:space="0" w:color="auto"/>
              <w:right w:val="single" w:sz="4" w:space="0" w:color="auto"/>
            </w:tcBorders>
            <w:shd w:val="clear" w:color="auto" w:fill="auto"/>
            <w:vAlign w:val="center"/>
          </w:tcPr>
          <w:p w14:paraId="2822882A"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FCE6FCD"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3DA3DC52" w14:textId="77777777" w:rsidR="005C1246" w:rsidRPr="00BD295E" w:rsidRDefault="005C1246" w:rsidP="00D648DD">
            <w:pPr>
              <w:jc w:val="right"/>
              <w:rPr>
                <w:rFonts w:ascii="Arial" w:hAnsi="Arial" w:cs="Arial"/>
                <w:sz w:val="18"/>
                <w:szCs w:val="18"/>
                <w:lang w:val="en-US"/>
              </w:rPr>
            </w:pPr>
          </w:p>
        </w:tc>
      </w:tr>
      <w:tr w:rsidR="008A5057" w:rsidRPr="00BD295E" w14:paraId="0BFB5A87"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17E05C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4AB19DD5"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B00C0B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06EEA34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3,749</w:t>
            </w:r>
          </w:p>
        </w:tc>
      </w:tr>
      <w:tr w:rsidR="008A5057" w:rsidRPr="00BD295E" w14:paraId="1DA489A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4CC9E3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right w:val="single" w:sz="4" w:space="0" w:color="auto"/>
            </w:tcBorders>
            <w:shd w:val="clear" w:color="auto" w:fill="auto"/>
            <w:vAlign w:val="center"/>
          </w:tcPr>
          <w:p w14:paraId="78DDC3FF"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EB4F3B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2EF5901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3,749</w:t>
            </w:r>
          </w:p>
        </w:tc>
      </w:tr>
      <w:tr w:rsidR="008A5057" w:rsidRPr="00BD295E" w14:paraId="12C0AE1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C41D5A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Standardized tariff rate to cover expenses for the construction of 2UPTS substations</w:t>
            </w:r>
          </w:p>
        </w:tc>
        <w:tc>
          <w:tcPr>
            <w:tcW w:w="1701" w:type="dxa"/>
            <w:vMerge/>
            <w:tcBorders>
              <w:top w:val="single" w:sz="4" w:space="0" w:color="auto"/>
              <w:left w:val="single" w:sz="4" w:space="0" w:color="auto"/>
              <w:right w:val="single" w:sz="4" w:space="0" w:color="auto"/>
            </w:tcBorders>
            <w:shd w:val="clear" w:color="auto" w:fill="auto"/>
            <w:vAlign w:val="center"/>
          </w:tcPr>
          <w:p w14:paraId="14AF8ABF"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D6A71A4" w14:textId="77777777" w:rsidR="005C1246" w:rsidRPr="00BD295E" w:rsidRDefault="005C1246" w:rsidP="00D648DD">
            <w:pPr>
              <w:rPr>
                <w:rFonts w:ascii="Arial" w:hAnsi="Arial" w:cs="Arial"/>
                <w:sz w:val="18"/>
                <w:szCs w:val="18"/>
                <w:lang w:val="en-US"/>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67967984" w14:textId="77777777" w:rsidR="005C1246" w:rsidRPr="00BD295E" w:rsidRDefault="005C1246" w:rsidP="00D648DD">
            <w:pPr>
              <w:jc w:val="right"/>
              <w:rPr>
                <w:rFonts w:ascii="Arial" w:hAnsi="Arial" w:cs="Arial"/>
                <w:sz w:val="18"/>
                <w:szCs w:val="18"/>
                <w:lang w:val="en-US"/>
              </w:rPr>
            </w:pPr>
          </w:p>
        </w:tc>
      </w:tr>
      <w:tr w:rsidR="008A5057" w:rsidRPr="00BD295E" w14:paraId="2599EAFE"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4E3B33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5E7542"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8C5349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4080BB3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6,638</w:t>
            </w:r>
          </w:p>
        </w:tc>
      </w:tr>
      <w:tr w:rsidR="008A5057" w:rsidRPr="00BD295E" w14:paraId="32797BD3"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CD8E1D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5D17ED"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96BAD9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12F09464"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6,638</w:t>
            </w:r>
          </w:p>
        </w:tc>
      </w:tr>
      <w:tr w:rsidR="008A5057" w:rsidRPr="00BD295E" w14:paraId="25CFD1EB" w14:textId="77777777" w:rsidTr="00D648DD">
        <w:trPr>
          <w:gridAfter w:val="1"/>
          <w:wAfter w:w="1701" w:type="dxa"/>
          <w:trHeight w:val="552"/>
        </w:trPr>
        <w:tc>
          <w:tcPr>
            <w:tcW w:w="9513" w:type="dxa"/>
            <w:gridSpan w:val="4"/>
            <w:tcBorders>
              <w:top w:val="nil"/>
              <w:left w:val="single" w:sz="4" w:space="0" w:color="auto"/>
              <w:bottom w:val="single" w:sz="4" w:space="0" w:color="auto"/>
              <w:right w:val="single" w:sz="4" w:space="0" w:color="auto"/>
            </w:tcBorders>
            <w:shd w:val="clear" w:color="auto" w:fill="auto"/>
            <w:vAlign w:val="center"/>
          </w:tcPr>
          <w:p w14:paraId="799009AB"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Connection fee rates per unit of maximum capacity</w:t>
            </w:r>
          </w:p>
        </w:tc>
      </w:tr>
      <w:tr w:rsidR="008A5057" w:rsidRPr="00BD295E" w14:paraId="3D308614"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0B4F45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Rate per unit of maximum capacity for activities provided in item 16 (except sub-item “b”) of the Guidelines for Grid Connection in Urban Areas</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290DC05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single" w:sz="4" w:space="0" w:color="auto"/>
              <w:left w:val="nil"/>
              <w:bottom w:val="single" w:sz="4" w:space="0" w:color="auto"/>
              <w:right w:val="single" w:sz="4" w:space="0" w:color="auto"/>
            </w:tcBorders>
            <w:shd w:val="clear" w:color="auto" w:fill="auto"/>
            <w:vAlign w:val="center"/>
          </w:tcPr>
          <w:p w14:paraId="0F9969B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0B7907E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642</w:t>
            </w:r>
          </w:p>
        </w:tc>
      </w:tr>
      <w:tr w:rsidR="008A5057" w:rsidRPr="00BD295E" w14:paraId="0AEB164B"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994755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left w:val="single" w:sz="4" w:space="0" w:color="auto"/>
              <w:right w:val="single" w:sz="4" w:space="0" w:color="auto"/>
            </w:tcBorders>
            <w:shd w:val="clear" w:color="auto" w:fill="auto"/>
            <w:vAlign w:val="center"/>
          </w:tcPr>
          <w:p w14:paraId="1F66A722"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02687F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213BB71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272</w:t>
            </w:r>
          </w:p>
        </w:tc>
      </w:tr>
      <w:tr w:rsidR="008A5057" w:rsidRPr="00BD295E" w14:paraId="7EC9082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7C2EC2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left w:val="single" w:sz="4" w:space="0" w:color="auto"/>
              <w:bottom w:val="single" w:sz="4" w:space="0" w:color="auto"/>
              <w:right w:val="single" w:sz="4" w:space="0" w:color="auto"/>
            </w:tcBorders>
            <w:shd w:val="clear" w:color="auto" w:fill="auto"/>
            <w:vAlign w:val="center"/>
          </w:tcPr>
          <w:p w14:paraId="0BEB454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BCD80D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75D4C65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370</w:t>
            </w:r>
          </w:p>
        </w:tc>
      </w:tr>
      <w:tr w:rsidR="008A5057" w:rsidRPr="00BD295E" w14:paraId="59310301" w14:textId="77777777" w:rsidTr="00D648DD">
        <w:trPr>
          <w:gridAfter w:val="1"/>
          <w:wAfter w:w="1701" w:type="dxa"/>
          <w:trHeight w:val="552"/>
        </w:trPr>
        <w:tc>
          <w:tcPr>
            <w:tcW w:w="9513" w:type="dxa"/>
            <w:gridSpan w:val="4"/>
            <w:tcBorders>
              <w:top w:val="nil"/>
              <w:left w:val="single" w:sz="4" w:space="0" w:color="auto"/>
              <w:bottom w:val="single" w:sz="4" w:space="0" w:color="auto"/>
              <w:right w:val="single" w:sz="4" w:space="0" w:color="auto"/>
            </w:tcBorders>
            <w:shd w:val="clear" w:color="auto" w:fill="auto"/>
            <w:vAlign w:val="center"/>
          </w:tcPr>
          <w:p w14:paraId="014BEF89"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Rate per unit of maximum capacity for “last mile” activities</w:t>
            </w:r>
          </w:p>
        </w:tc>
      </w:tr>
      <w:tr w:rsidR="008A5057" w:rsidRPr="00BD295E" w14:paraId="30BF246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84D2BF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Construction of 10(6) kV overhead lines, including:</w:t>
            </w:r>
          </w:p>
        </w:tc>
        <w:tc>
          <w:tcPr>
            <w:tcW w:w="1701" w:type="dxa"/>
            <w:vMerge w:val="restart"/>
            <w:tcBorders>
              <w:left w:val="single" w:sz="4" w:space="0" w:color="auto"/>
              <w:right w:val="single" w:sz="4" w:space="0" w:color="auto"/>
            </w:tcBorders>
            <w:shd w:val="clear" w:color="auto" w:fill="auto"/>
            <w:vAlign w:val="center"/>
          </w:tcPr>
          <w:p w14:paraId="539C3F34"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nil"/>
              <w:left w:val="nil"/>
              <w:bottom w:val="single" w:sz="4" w:space="0" w:color="auto"/>
              <w:right w:val="single" w:sz="4" w:space="0" w:color="auto"/>
            </w:tcBorders>
            <w:shd w:val="clear" w:color="auto" w:fill="auto"/>
            <w:vAlign w:val="center"/>
          </w:tcPr>
          <w:p w14:paraId="2C3188A1"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0353610F" w14:textId="77777777" w:rsidR="005C1246" w:rsidRPr="00BD295E" w:rsidRDefault="005C1246" w:rsidP="00D648DD">
            <w:pPr>
              <w:jc w:val="right"/>
              <w:rPr>
                <w:rFonts w:ascii="Arial" w:hAnsi="Arial" w:cs="Arial"/>
                <w:sz w:val="18"/>
                <w:szCs w:val="18"/>
                <w:lang w:val="en-US"/>
              </w:rPr>
            </w:pPr>
          </w:p>
        </w:tc>
      </w:tr>
      <w:tr w:rsidR="008A5057" w:rsidRPr="00BD295E" w14:paraId="0CA34E1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FE3BCB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single-circuit overhead lines</w:t>
            </w:r>
          </w:p>
        </w:tc>
        <w:tc>
          <w:tcPr>
            <w:tcW w:w="1701" w:type="dxa"/>
            <w:vMerge/>
            <w:tcBorders>
              <w:left w:val="single" w:sz="4" w:space="0" w:color="auto"/>
              <w:right w:val="single" w:sz="4" w:space="0" w:color="auto"/>
            </w:tcBorders>
            <w:shd w:val="clear" w:color="auto" w:fill="auto"/>
            <w:vAlign w:val="center"/>
          </w:tcPr>
          <w:p w14:paraId="4ECA8AC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B3B8C4D"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468237CB" w14:textId="77777777" w:rsidR="005C1246" w:rsidRPr="00BD295E" w:rsidRDefault="005C1246" w:rsidP="00D648DD">
            <w:pPr>
              <w:jc w:val="right"/>
              <w:rPr>
                <w:rFonts w:ascii="Arial" w:hAnsi="Arial" w:cs="Arial"/>
                <w:sz w:val="18"/>
                <w:szCs w:val="18"/>
                <w:lang w:val="en-US"/>
              </w:rPr>
            </w:pPr>
          </w:p>
        </w:tc>
      </w:tr>
      <w:tr w:rsidR="008A5057" w:rsidRPr="00BD295E" w14:paraId="46113CCB"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FF6F4E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701D74F7"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51D131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772B18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8,908</w:t>
            </w:r>
          </w:p>
        </w:tc>
      </w:tr>
      <w:tr w:rsidR="008A5057" w:rsidRPr="00BD295E" w14:paraId="6B362C8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E560CC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635817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DB3A0A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5F26B68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8,908</w:t>
            </w:r>
          </w:p>
        </w:tc>
      </w:tr>
      <w:tr w:rsidR="008A5057" w:rsidRPr="00BD295E" w14:paraId="00333CB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857AAD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double-circuit overhead lines</w:t>
            </w:r>
          </w:p>
        </w:tc>
        <w:tc>
          <w:tcPr>
            <w:tcW w:w="1701" w:type="dxa"/>
            <w:vMerge/>
            <w:tcBorders>
              <w:left w:val="single" w:sz="4" w:space="0" w:color="auto"/>
              <w:right w:val="single" w:sz="4" w:space="0" w:color="auto"/>
            </w:tcBorders>
            <w:shd w:val="clear" w:color="auto" w:fill="auto"/>
            <w:vAlign w:val="center"/>
          </w:tcPr>
          <w:p w14:paraId="7642962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3876D5F"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2D7BC4A2" w14:textId="77777777" w:rsidR="005C1246" w:rsidRPr="00BD295E" w:rsidRDefault="005C1246" w:rsidP="00D648DD">
            <w:pPr>
              <w:jc w:val="right"/>
              <w:rPr>
                <w:rFonts w:ascii="Arial" w:hAnsi="Arial" w:cs="Arial"/>
                <w:sz w:val="18"/>
                <w:szCs w:val="18"/>
                <w:lang w:val="en-US"/>
              </w:rPr>
            </w:pPr>
          </w:p>
        </w:tc>
      </w:tr>
      <w:tr w:rsidR="008A5057" w:rsidRPr="00BD295E" w14:paraId="755D21E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8AD055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30B35BD6"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BD6F88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10A5B4B"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10,670</w:t>
            </w:r>
          </w:p>
        </w:tc>
      </w:tr>
      <w:tr w:rsidR="008A5057" w:rsidRPr="00BD295E" w14:paraId="15C41CC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0E9F2E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A18886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A365E6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2D0F7E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10,670</w:t>
            </w:r>
          </w:p>
        </w:tc>
      </w:tr>
      <w:tr w:rsidR="008A5057" w:rsidRPr="00BD295E" w14:paraId="55B97F5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F901A4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Construction of 10(6) kV cable lines, including:</w:t>
            </w:r>
          </w:p>
        </w:tc>
        <w:tc>
          <w:tcPr>
            <w:tcW w:w="1701" w:type="dxa"/>
            <w:vMerge/>
            <w:tcBorders>
              <w:left w:val="single" w:sz="4" w:space="0" w:color="auto"/>
              <w:right w:val="single" w:sz="4" w:space="0" w:color="auto"/>
            </w:tcBorders>
            <w:shd w:val="clear" w:color="auto" w:fill="auto"/>
            <w:vAlign w:val="center"/>
          </w:tcPr>
          <w:p w14:paraId="764C69B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C8132A0"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3802288" w14:textId="77777777" w:rsidR="005C1246" w:rsidRPr="00BD295E" w:rsidRDefault="005C1246" w:rsidP="00D648DD">
            <w:pPr>
              <w:jc w:val="right"/>
              <w:rPr>
                <w:rFonts w:ascii="Arial" w:hAnsi="Arial" w:cs="Arial"/>
                <w:sz w:val="18"/>
                <w:szCs w:val="18"/>
                <w:lang w:val="en-US"/>
              </w:rPr>
            </w:pPr>
          </w:p>
        </w:tc>
      </w:tr>
      <w:tr w:rsidR="008A5057" w:rsidRPr="00BD295E" w14:paraId="5EF313A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858095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cable lines (one cable per trench)</w:t>
            </w:r>
          </w:p>
        </w:tc>
        <w:tc>
          <w:tcPr>
            <w:tcW w:w="1701" w:type="dxa"/>
            <w:vMerge/>
            <w:tcBorders>
              <w:left w:val="single" w:sz="4" w:space="0" w:color="auto"/>
              <w:right w:val="single" w:sz="4" w:space="0" w:color="auto"/>
            </w:tcBorders>
            <w:shd w:val="clear" w:color="auto" w:fill="auto"/>
            <w:vAlign w:val="center"/>
          </w:tcPr>
          <w:p w14:paraId="746A7643"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347E2A0"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7CDD862" w14:textId="77777777" w:rsidR="005C1246" w:rsidRPr="00BD295E" w:rsidRDefault="005C1246" w:rsidP="00D648DD">
            <w:pPr>
              <w:jc w:val="right"/>
              <w:rPr>
                <w:rFonts w:ascii="Arial" w:hAnsi="Arial" w:cs="Arial"/>
                <w:sz w:val="18"/>
                <w:szCs w:val="18"/>
                <w:lang w:val="en-US"/>
              </w:rPr>
            </w:pPr>
          </w:p>
        </w:tc>
      </w:tr>
      <w:tr w:rsidR="008A5057" w:rsidRPr="00BD295E" w14:paraId="1E42C8E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E459E4C"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3FD69F07"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79FAC1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399619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10,578</w:t>
            </w:r>
          </w:p>
        </w:tc>
      </w:tr>
      <w:tr w:rsidR="008A5057" w:rsidRPr="00BD295E" w14:paraId="53F519F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32161D1"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32B24EF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D8D255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2ADF4F6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10,309</w:t>
            </w:r>
          </w:p>
        </w:tc>
      </w:tr>
      <w:tr w:rsidR="008A5057" w:rsidRPr="00BD295E" w14:paraId="4C1EF66B"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CF2483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cable lines (two cables per trench)</w:t>
            </w:r>
          </w:p>
        </w:tc>
        <w:tc>
          <w:tcPr>
            <w:tcW w:w="1701" w:type="dxa"/>
            <w:vMerge/>
            <w:tcBorders>
              <w:left w:val="single" w:sz="4" w:space="0" w:color="auto"/>
              <w:right w:val="single" w:sz="4" w:space="0" w:color="auto"/>
            </w:tcBorders>
            <w:shd w:val="clear" w:color="auto" w:fill="auto"/>
            <w:vAlign w:val="center"/>
          </w:tcPr>
          <w:p w14:paraId="75C928E3"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132949C"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4C7C0029" w14:textId="77777777" w:rsidR="005C1246" w:rsidRPr="00BD295E" w:rsidRDefault="005C1246" w:rsidP="00D648DD">
            <w:pPr>
              <w:jc w:val="right"/>
              <w:rPr>
                <w:rFonts w:ascii="Arial" w:hAnsi="Arial" w:cs="Arial"/>
                <w:sz w:val="18"/>
                <w:szCs w:val="18"/>
                <w:lang w:val="en-US"/>
              </w:rPr>
            </w:pPr>
          </w:p>
        </w:tc>
      </w:tr>
      <w:tr w:rsidR="008A5057" w:rsidRPr="00BD295E" w14:paraId="1490D67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AE0325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65F7709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0A84EC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3E2883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11,298</w:t>
            </w:r>
          </w:p>
        </w:tc>
      </w:tr>
      <w:tr w:rsidR="008A5057" w:rsidRPr="00BD295E" w14:paraId="2582A24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37F5777"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174B1C5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78BF51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0F46ADB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11,366</w:t>
            </w:r>
          </w:p>
        </w:tc>
      </w:tr>
      <w:tr w:rsidR="008A5057" w:rsidRPr="00BD295E" w14:paraId="7BC9F91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F97D64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C4 Construction of distribution points</w:t>
            </w:r>
          </w:p>
        </w:tc>
        <w:tc>
          <w:tcPr>
            <w:tcW w:w="1701" w:type="dxa"/>
            <w:vMerge/>
            <w:tcBorders>
              <w:left w:val="single" w:sz="4" w:space="0" w:color="auto"/>
              <w:right w:val="single" w:sz="4" w:space="0" w:color="auto"/>
            </w:tcBorders>
            <w:shd w:val="clear" w:color="auto" w:fill="auto"/>
            <w:vAlign w:val="center"/>
          </w:tcPr>
          <w:p w14:paraId="1F0552B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A4405C9"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0E9EC3CB" w14:textId="77777777" w:rsidR="005C1246" w:rsidRPr="00BD295E" w:rsidRDefault="005C1246" w:rsidP="00D648DD">
            <w:pPr>
              <w:jc w:val="right"/>
              <w:rPr>
                <w:rFonts w:ascii="Arial" w:hAnsi="Arial" w:cs="Arial"/>
                <w:sz w:val="18"/>
                <w:szCs w:val="18"/>
                <w:lang w:val="en-US"/>
              </w:rPr>
            </w:pPr>
          </w:p>
        </w:tc>
      </w:tr>
      <w:tr w:rsidR="008A5057" w:rsidRPr="00BD295E" w14:paraId="5B12B23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E64F578"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229AC7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3CA7A6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tcPr>
          <w:p w14:paraId="29C73A4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1,134</w:t>
            </w:r>
          </w:p>
        </w:tc>
      </w:tr>
      <w:tr w:rsidR="008A5057" w:rsidRPr="00BD295E" w14:paraId="76356D3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74BE9A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3650A22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E69D2B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tcPr>
          <w:p w14:paraId="4CC6805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1,134</w:t>
            </w:r>
          </w:p>
        </w:tc>
      </w:tr>
      <w:tr w:rsidR="008A5057" w:rsidRPr="00BD295E" w14:paraId="65E158DE"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AAC470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Construction of transformer substations with voltage up to 35kV, including</w:t>
            </w:r>
          </w:p>
        </w:tc>
        <w:tc>
          <w:tcPr>
            <w:tcW w:w="1701" w:type="dxa"/>
            <w:vMerge/>
            <w:tcBorders>
              <w:left w:val="single" w:sz="4" w:space="0" w:color="auto"/>
              <w:right w:val="single" w:sz="4" w:space="0" w:color="auto"/>
            </w:tcBorders>
            <w:shd w:val="clear" w:color="auto" w:fill="auto"/>
            <w:vAlign w:val="center"/>
          </w:tcPr>
          <w:p w14:paraId="3E2E96A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C56C29D"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4774C61E" w14:textId="77777777" w:rsidR="005C1246" w:rsidRPr="00BD295E" w:rsidRDefault="005C1246" w:rsidP="00D648DD">
            <w:pPr>
              <w:jc w:val="right"/>
              <w:rPr>
                <w:rFonts w:ascii="Arial" w:hAnsi="Arial" w:cs="Arial"/>
                <w:sz w:val="18"/>
                <w:szCs w:val="18"/>
                <w:lang w:val="en-US"/>
              </w:rPr>
            </w:pPr>
          </w:p>
        </w:tc>
      </w:tr>
      <w:tr w:rsidR="008A5057" w:rsidRPr="00BD295E" w14:paraId="20FE7D57"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11B330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pole-mounted transformer substations</w:t>
            </w:r>
          </w:p>
        </w:tc>
        <w:tc>
          <w:tcPr>
            <w:tcW w:w="1701" w:type="dxa"/>
            <w:vMerge/>
            <w:tcBorders>
              <w:left w:val="single" w:sz="4" w:space="0" w:color="auto"/>
              <w:right w:val="single" w:sz="4" w:space="0" w:color="auto"/>
            </w:tcBorders>
            <w:shd w:val="clear" w:color="auto" w:fill="auto"/>
            <w:vAlign w:val="center"/>
          </w:tcPr>
          <w:p w14:paraId="5B81B9CF"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AC2165D"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22E0B14C" w14:textId="77777777" w:rsidR="005C1246" w:rsidRPr="00BD295E" w:rsidRDefault="005C1246" w:rsidP="00D648DD">
            <w:pPr>
              <w:jc w:val="right"/>
              <w:rPr>
                <w:rFonts w:ascii="Arial" w:hAnsi="Arial" w:cs="Arial"/>
                <w:sz w:val="18"/>
                <w:szCs w:val="18"/>
                <w:lang w:val="en-US"/>
              </w:rPr>
            </w:pPr>
          </w:p>
        </w:tc>
      </w:tr>
      <w:tr w:rsidR="008A5057" w:rsidRPr="00BD295E" w14:paraId="25F0D8D8" w14:textId="77777777" w:rsidTr="00D648DD">
        <w:trPr>
          <w:gridAfter w:val="1"/>
          <w:wAfter w:w="1701" w:type="dxa"/>
          <w:trHeight w:val="494"/>
        </w:trPr>
        <w:tc>
          <w:tcPr>
            <w:tcW w:w="5118" w:type="dxa"/>
            <w:tcBorders>
              <w:top w:val="nil"/>
              <w:left w:val="single" w:sz="4" w:space="0" w:color="auto"/>
              <w:bottom w:val="single" w:sz="4" w:space="0" w:color="auto"/>
              <w:right w:val="single" w:sz="4" w:space="0" w:color="auto"/>
            </w:tcBorders>
            <w:shd w:val="clear" w:color="auto" w:fill="auto"/>
            <w:vAlign w:val="center"/>
          </w:tcPr>
          <w:p w14:paraId="5E1B261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val="restart"/>
            <w:tcBorders>
              <w:left w:val="single" w:sz="4" w:space="0" w:color="auto"/>
              <w:bottom w:val="nil"/>
              <w:right w:val="single" w:sz="4" w:space="0" w:color="auto"/>
            </w:tcBorders>
            <w:shd w:val="clear" w:color="auto" w:fill="auto"/>
            <w:vAlign w:val="center"/>
          </w:tcPr>
          <w:p w14:paraId="5290C54D"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MV2</w:t>
            </w:r>
          </w:p>
        </w:tc>
        <w:tc>
          <w:tcPr>
            <w:tcW w:w="993" w:type="dxa"/>
            <w:tcBorders>
              <w:top w:val="nil"/>
              <w:left w:val="nil"/>
              <w:bottom w:val="single" w:sz="4" w:space="0" w:color="auto"/>
              <w:right w:val="single" w:sz="4" w:space="0" w:color="auto"/>
            </w:tcBorders>
            <w:shd w:val="clear" w:color="auto" w:fill="auto"/>
            <w:vAlign w:val="center"/>
          </w:tcPr>
          <w:p w14:paraId="16EDF45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41C4620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FA364EF" w14:textId="77777777" w:rsidTr="00D648DD">
        <w:trPr>
          <w:gridAfter w:val="1"/>
          <w:wAfter w:w="1701" w:type="dxa"/>
          <w:trHeight w:val="543"/>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3BBA27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bottom w:val="nil"/>
              <w:right w:val="single" w:sz="4" w:space="0" w:color="auto"/>
            </w:tcBorders>
            <w:shd w:val="clear" w:color="auto" w:fill="auto"/>
            <w:vAlign w:val="center"/>
          </w:tcPr>
          <w:p w14:paraId="7053D04B" w14:textId="77777777" w:rsidR="005C1246" w:rsidRPr="00BD295E" w:rsidRDefault="005C1246" w:rsidP="00D648DD">
            <w:pPr>
              <w:jc w:val="cente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A6AC82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4D8C6FA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0D408F4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A63D87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TPS substations</w:t>
            </w:r>
          </w:p>
        </w:tc>
        <w:tc>
          <w:tcPr>
            <w:tcW w:w="1701" w:type="dxa"/>
            <w:vMerge/>
            <w:tcBorders>
              <w:left w:val="single" w:sz="4" w:space="0" w:color="auto"/>
              <w:right w:val="single" w:sz="4" w:space="0" w:color="auto"/>
            </w:tcBorders>
            <w:shd w:val="clear" w:color="auto" w:fill="auto"/>
            <w:vAlign w:val="center"/>
          </w:tcPr>
          <w:p w14:paraId="43739363"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3EA0E1D"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052C3D83" w14:textId="77777777" w:rsidR="005C1246" w:rsidRPr="00BD295E" w:rsidRDefault="005C1246" w:rsidP="00D648DD">
            <w:pPr>
              <w:jc w:val="right"/>
              <w:rPr>
                <w:rFonts w:ascii="Arial" w:hAnsi="Arial" w:cs="Arial"/>
                <w:sz w:val="18"/>
                <w:szCs w:val="18"/>
                <w:lang w:val="en-US"/>
              </w:rPr>
            </w:pPr>
          </w:p>
        </w:tc>
      </w:tr>
      <w:tr w:rsidR="008A5057" w:rsidRPr="00BD295E" w14:paraId="0CCB0F7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0C6461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17C3813"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2580089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BD59BE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4C61FD5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51C14B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01530F24"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6A78921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2E88AD0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1556332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63FF33A"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UPTS substations</w:t>
            </w:r>
          </w:p>
        </w:tc>
        <w:tc>
          <w:tcPr>
            <w:tcW w:w="1701" w:type="dxa"/>
            <w:vMerge/>
            <w:tcBorders>
              <w:left w:val="single" w:sz="4" w:space="0" w:color="auto"/>
              <w:right w:val="single" w:sz="4" w:space="0" w:color="auto"/>
            </w:tcBorders>
            <w:shd w:val="clear" w:color="auto" w:fill="auto"/>
            <w:vAlign w:val="center"/>
          </w:tcPr>
          <w:p w14:paraId="3E62DA0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1521B59"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75F00E01" w14:textId="77777777" w:rsidR="005C1246" w:rsidRPr="00BD295E" w:rsidRDefault="005C1246" w:rsidP="00D648DD">
            <w:pPr>
              <w:jc w:val="right"/>
              <w:rPr>
                <w:rFonts w:ascii="Arial" w:hAnsi="Arial" w:cs="Arial"/>
                <w:sz w:val="18"/>
                <w:szCs w:val="18"/>
                <w:lang w:val="en-US"/>
              </w:rPr>
            </w:pPr>
          </w:p>
        </w:tc>
      </w:tr>
      <w:tr w:rsidR="008A5057" w:rsidRPr="00BD295E" w14:paraId="52894C45"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6F428B8"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7FCAE95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2667A2C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70DC67D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531105A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83FDBE3"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44E39817"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6A4E714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E5DE46D"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04BE3AE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F13ED7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2PTS substations</w:t>
            </w:r>
          </w:p>
        </w:tc>
        <w:tc>
          <w:tcPr>
            <w:tcW w:w="1701" w:type="dxa"/>
            <w:vMerge/>
            <w:tcBorders>
              <w:left w:val="single" w:sz="4" w:space="0" w:color="auto"/>
              <w:right w:val="single" w:sz="4" w:space="0" w:color="auto"/>
            </w:tcBorders>
            <w:shd w:val="clear" w:color="auto" w:fill="auto"/>
            <w:vAlign w:val="center"/>
          </w:tcPr>
          <w:p w14:paraId="4A8A588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87332DF"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6736A35" w14:textId="77777777" w:rsidR="005C1246" w:rsidRPr="00BD295E" w:rsidRDefault="005C1246" w:rsidP="00D648DD">
            <w:pPr>
              <w:jc w:val="right"/>
              <w:rPr>
                <w:rFonts w:ascii="Arial" w:hAnsi="Arial" w:cs="Arial"/>
                <w:sz w:val="18"/>
                <w:szCs w:val="18"/>
                <w:lang w:val="en-US"/>
              </w:rPr>
            </w:pPr>
          </w:p>
        </w:tc>
      </w:tr>
      <w:tr w:rsidR="008A5057" w:rsidRPr="00BD295E" w14:paraId="476571F5"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0E5E2D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E3B494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23775BC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50978A0"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2A61353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9D1AA0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1B75C410"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0FEF5FA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6D3521D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403A669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E424FD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2UPTS substations</w:t>
            </w:r>
          </w:p>
        </w:tc>
        <w:tc>
          <w:tcPr>
            <w:tcW w:w="1701" w:type="dxa"/>
            <w:vMerge/>
            <w:tcBorders>
              <w:left w:val="single" w:sz="4" w:space="0" w:color="auto"/>
              <w:right w:val="single" w:sz="4" w:space="0" w:color="auto"/>
            </w:tcBorders>
            <w:shd w:val="clear" w:color="auto" w:fill="auto"/>
            <w:vAlign w:val="center"/>
          </w:tcPr>
          <w:p w14:paraId="00FF0B43"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35FB685"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19E9FA77" w14:textId="77777777" w:rsidR="005C1246" w:rsidRPr="00BD295E" w:rsidRDefault="005C1246" w:rsidP="00D648DD">
            <w:pPr>
              <w:jc w:val="right"/>
              <w:rPr>
                <w:rFonts w:ascii="Arial" w:hAnsi="Arial" w:cs="Arial"/>
                <w:sz w:val="18"/>
                <w:szCs w:val="18"/>
                <w:lang w:val="en-US"/>
              </w:rPr>
            </w:pPr>
          </w:p>
        </w:tc>
      </w:tr>
      <w:tr w:rsidR="008A5057" w:rsidRPr="00BD295E" w14:paraId="418868D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B7FAED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0C642A9B"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79C3395F"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17CF32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40D51BD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92B0C39"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bottom w:val="single" w:sz="4" w:space="0" w:color="auto"/>
              <w:right w:val="single" w:sz="4" w:space="0" w:color="auto"/>
            </w:tcBorders>
            <w:shd w:val="clear" w:color="auto" w:fill="auto"/>
            <w:vAlign w:val="center"/>
          </w:tcPr>
          <w:p w14:paraId="7380B3CE"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2B7EE28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DC4C56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30349885" w14:textId="77777777" w:rsidTr="00D648DD">
        <w:trPr>
          <w:gridAfter w:val="1"/>
          <w:wAfter w:w="1701" w:type="dxa"/>
          <w:trHeight w:val="552"/>
        </w:trPr>
        <w:tc>
          <w:tcPr>
            <w:tcW w:w="9513" w:type="dxa"/>
            <w:gridSpan w:val="4"/>
            <w:tcBorders>
              <w:top w:val="nil"/>
              <w:left w:val="single" w:sz="4" w:space="0" w:color="auto"/>
              <w:bottom w:val="single" w:sz="4" w:space="0" w:color="auto"/>
              <w:right w:val="single" w:sz="4" w:space="0" w:color="auto"/>
            </w:tcBorders>
            <w:shd w:val="clear" w:color="auto" w:fill="auto"/>
            <w:vAlign w:val="center"/>
          </w:tcPr>
          <w:p w14:paraId="4A9AD044"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Connection fee rates per unit of maximum capacity</w:t>
            </w:r>
          </w:p>
        </w:tc>
      </w:tr>
      <w:tr w:rsidR="008A5057" w:rsidRPr="00BD295E" w14:paraId="2ECAE12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CCBFBA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С1 Rate per unit of maximum capacity for activities provided in item 16 (except sub-item “b”) of the Guidelines for Grid Connection in Urban Areas</w:t>
            </w:r>
          </w:p>
        </w:tc>
        <w:tc>
          <w:tcPr>
            <w:tcW w:w="1701" w:type="dxa"/>
            <w:vMerge w:val="restart"/>
            <w:tcBorders>
              <w:left w:val="single" w:sz="4" w:space="0" w:color="auto"/>
              <w:right w:val="single" w:sz="4" w:space="0" w:color="auto"/>
            </w:tcBorders>
            <w:shd w:val="clear" w:color="auto" w:fill="auto"/>
            <w:vAlign w:val="center"/>
          </w:tcPr>
          <w:p w14:paraId="688257F6"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tcBorders>
              <w:top w:val="nil"/>
              <w:left w:val="nil"/>
              <w:bottom w:val="single" w:sz="4" w:space="0" w:color="auto"/>
              <w:right w:val="single" w:sz="4" w:space="0" w:color="auto"/>
            </w:tcBorders>
            <w:shd w:val="clear" w:color="auto" w:fill="auto"/>
            <w:vAlign w:val="center"/>
          </w:tcPr>
          <w:p w14:paraId="6B7562F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11636FF6"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642</w:t>
            </w:r>
          </w:p>
        </w:tc>
      </w:tr>
      <w:tr w:rsidR="008A5057" w:rsidRPr="00BD295E" w14:paraId="34F21B5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82C2BC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С1,1 Preparation and issuance of technical specifications to the </w:t>
            </w:r>
            <w:r w:rsidR="000D659F" w:rsidRPr="00BD295E">
              <w:rPr>
                <w:rFonts w:ascii="Arial" w:hAnsi="Arial" w:cs="Arial"/>
                <w:sz w:val="18"/>
                <w:szCs w:val="18"/>
                <w:lang w:val="en-US"/>
              </w:rPr>
              <w:t>Customer</w:t>
            </w:r>
            <w:r w:rsidRPr="00BD295E">
              <w:rPr>
                <w:rFonts w:ascii="Arial" w:hAnsi="Arial" w:cs="Arial"/>
                <w:sz w:val="18"/>
                <w:szCs w:val="18"/>
                <w:lang w:val="en-US"/>
              </w:rPr>
              <w:t xml:space="preserve"> by the grid organization </w:t>
            </w:r>
          </w:p>
        </w:tc>
        <w:tc>
          <w:tcPr>
            <w:tcW w:w="1701" w:type="dxa"/>
            <w:vMerge/>
            <w:tcBorders>
              <w:left w:val="single" w:sz="4" w:space="0" w:color="auto"/>
              <w:right w:val="single" w:sz="4" w:space="0" w:color="auto"/>
            </w:tcBorders>
            <w:shd w:val="clear" w:color="auto" w:fill="auto"/>
            <w:vAlign w:val="center"/>
          </w:tcPr>
          <w:p w14:paraId="1199056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3671278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2E05F0C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272</w:t>
            </w:r>
          </w:p>
        </w:tc>
      </w:tr>
      <w:tr w:rsidR="008A5057" w:rsidRPr="00BD295E" w14:paraId="5128425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70FC2C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xml:space="preserve">С1,2 Verification by the grid </w:t>
            </w:r>
            <w:r w:rsidR="00EC0D9D" w:rsidRPr="00BD295E">
              <w:rPr>
                <w:rFonts w:ascii="Arial" w:hAnsi="Arial" w:cs="Arial"/>
                <w:sz w:val="18"/>
                <w:szCs w:val="18"/>
                <w:lang w:val="en-US"/>
              </w:rPr>
              <w:t>organization</w:t>
            </w:r>
            <w:r w:rsidRPr="00BD295E">
              <w:rPr>
                <w:rFonts w:ascii="Arial" w:hAnsi="Arial" w:cs="Arial"/>
                <w:sz w:val="18"/>
                <w:szCs w:val="18"/>
                <w:lang w:val="en-US"/>
              </w:rPr>
              <w:t xml:space="preserve"> of the </w:t>
            </w:r>
            <w:r w:rsidR="000D659F" w:rsidRPr="00BD295E">
              <w:rPr>
                <w:rFonts w:ascii="Arial" w:hAnsi="Arial" w:cs="Arial"/>
                <w:sz w:val="18"/>
                <w:szCs w:val="18"/>
                <w:lang w:val="en-US"/>
              </w:rPr>
              <w:t>customer</w:t>
            </w:r>
            <w:r w:rsidRPr="00BD295E">
              <w:rPr>
                <w:rFonts w:ascii="Arial" w:hAnsi="Arial" w:cs="Arial"/>
                <w:sz w:val="18"/>
                <w:szCs w:val="18"/>
                <w:lang w:val="en-US"/>
              </w:rPr>
              <w:t>’s compliance with technical specifications according to Section IX of the Grid Connection Rules</w:t>
            </w:r>
          </w:p>
        </w:tc>
        <w:tc>
          <w:tcPr>
            <w:tcW w:w="1701" w:type="dxa"/>
            <w:vMerge/>
            <w:tcBorders>
              <w:left w:val="single" w:sz="4" w:space="0" w:color="auto"/>
              <w:bottom w:val="single" w:sz="4" w:space="0" w:color="auto"/>
              <w:right w:val="single" w:sz="4" w:space="0" w:color="auto"/>
            </w:tcBorders>
            <w:shd w:val="clear" w:color="auto" w:fill="auto"/>
            <w:vAlign w:val="center"/>
          </w:tcPr>
          <w:p w14:paraId="42B034E5"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CE9FE8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7D71408"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370</w:t>
            </w:r>
          </w:p>
        </w:tc>
      </w:tr>
      <w:tr w:rsidR="008A5057" w:rsidRPr="00BD295E" w14:paraId="16CA8AD6" w14:textId="77777777" w:rsidTr="00D648DD">
        <w:trPr>
          <w:gridAfter w:val="1"/>
          <w:wAfter w:w="1701" w:type="dxa"/>
          <w:trHeight w:val="552"/>
        </w:trPr>
        <w:tc>
          <w:tcPr>
            <w:tcW w:w="9513" w:type="dxa"/>
            <w:gridSpan w:val="4"/>
            <w:tcBorders>
              <w:top w:val="nil"/>
              <w:left w:val="single" w:sz="4" w:space="0" w:color="auto"/>
              <w:bottom w:val="single" w:sz="4" w:space="0" w:color="auto"/>
              <w:right w:val="single" w:sz="4" w:space="0" w:color="auto"/>
            </w:tcBorders>
            <w:shd w:val="clear" w:color="auto" w:fill="auto"/>
            <w:vAlign w:val="center"/>
          </w:tcPr>
          <w:p w14:paraId="108699E4" w14:textId="77777777" w:rsidR="005C1246" w:rsidRPr="00BD295E" w:rsidRDefault="008A5057" w:rsidP="00D648DD">
            <w:pPr>
              <w:rPr>
                <w:rFonts w:ascii="Arial" w:hAnsi="Arial" w:cs="Arial"/>
                <w:sz w:val="18"/>
                <w:szCs w:val="18"/>
                <w:lang w:val="en-US"/>
              </w:rPr>
            </w:pPr>
            <w:r w:rsidRPr="00BD295E">
              <w:rPr>
                <w:rFonts w:ascii="Arial" w:hAnsi="Arial" w:cs="Arial"/>
                <w:b/>
                <w:bCs/>
                <w:sz w:val="18"/>
                <w:szCs w:val="18"/>
                <w:lang w:val="en-US"/>
              </w:rPr>
              <w:t>Rate per unit of maximum capacity for “last mile” activities</w:t>
            </w:r>
          </w:p>
        </w:tc>
      </w:tr>
      <w:tr w:rsidR="008A5057" w:rsidRPr="00BD295E" w14:paraId="0C2E823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33CE06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С2 Construction of 10(6) kV overhead lines, including:</w:t>
            </w:r>
          </w:p>
        </w:tc>
        <w:tc>
          <w:tcPr>
            <w:tcW w:w="1701" w:type="dxa"/>
            <w:vMerge w:val="restart"/>
            <w:tcBorders>
              <w:left w:val="single" w:sz="4" w:space="0" w:color="auto"/>
              <w:right w:val="single" w:sz="4" w:space="0" w:color="auto"/>
            </w:tcBorders>
            <w:shd w:val="clear" w:color="auto" w:fill="auto"/>
            <w:vAlign w:val="center"/>
          </w:tcPr>
          <w:p w14:paraId="01798CC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tcBorders>
              <w:top w:val="nil"/>
              <w:left w:val="nil"/>
              <w:bottom w:val="single" w:sz="4" w:space="0" w:color="auto"/>
              <w:right w:val="single" w:sz="4" w:space="0" w:color="auto"/>
            </w:tcBorders>
            <w:shd w:val="clear" w:color="auto" w:fill="auto"/>
            <w:vAlign w:val="center"/>
          </w:tcPr>
          <w:p w14:paraId="2F1ACBDE"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20BDD1D" w14:textId="77777777" w:rsidR="005C1246" w:rsidRPr="00BD295E" w:rsidRDefault="005C1246" w:rsidP="00D648DD">
            <w:pPr>
              <w:jc w:val="right"/>
              <w:rPr>
                <w:rFonts w:ascii="Arial" w:hAnsi="Arial" w:cs="Arial"/>
                <w:sz w:val="18"/>
                <w:szCs w:val="18"/>
                <w:lang w:val="en-US"/>
              </w:rPr>
            </w:pPr>
          </w:p>
        </w:tc>
      </w:tr>
      <w:tr w:rsidR="008A5057" w:rsidRPr="00BD295E" w14:paraId="083535A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F46E7B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single-circuit overhead lines</w:t>
            </w:r>
          </w:p>
        </w:tc>
        <w:tc>
          <w:tcPr>
            <w:tcW w:w="1701" w:type="dxa"/>
            <w:vMerge/>
            <w:tcBorders>
              <w:left w:val="single" w:sz="4" w:space="0" w:color="auto"/>
              <w:right w:val="single" w:sz="4" w:space="0" w:color="auto"/>
            </w:tcBorders>
            <w:shd w:val="clear" w:color="auto" w:fill="auto"/>
            <w:vAlign w:val="center"/>
          </w:tcPr>
          <w:p w14:paraId="0E34243F"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15F4F25"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406BF224" w14:textId="77777777" w:rsidR="005C1246" w:rsidRPr="00BD295E" w:rsidRDefault="005C1246" w:rsidP="00D648DD">
            <w:pPr>
              <w:jc w:val="right"/>
              <w:rPr>
                <w:rFonts w:ascii="Arial" w:hAnsi="Arial" w:cs="Arial"/>
                <w:sz w:val="18"/>
                <w:szCs w:val="18"/>
                <w:lang w:val="en-US"/>
              </w:rPr>
            </w:pPr>
          </w:p>
        </w:tc>
      </w:tr>
      <w:tr w:rsidR="008A5057" w:rsidRPr="00BD295E" w14:paraId="0562901E"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C584685"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61964A02"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DA22BE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17C374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8,832</w:t>
            </w:r>
          </w:p>
        </w:tc>
      </w:tr>
      <w:tr w:rsidR="008A5057" w:rsidRPr="00BD295E" w14:paraId="6F4C33BE"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13F8E2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E3CBA3D"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AC1BB1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6532F775"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8,177</w:t>
            </w:r>
          </w:p>
        </w:tc>
      </w:tr>
      <w:tr w:rsidR="008A5057" w:rsidRPr="00BD295E" w14:paraId="28EC34B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96A03F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double-circuit overhead lines</w:t>
            </w:r>
          </w:p>
        </w:tc>
        <w:tc>
          <w:tcPr>
            <w:tcW w:w="1701" w:type="dxa"/>
            <w:vMerge/>
            <w:tcBorders>
              <w:left w:val="single" w:sz="4" w:space="0" w:color="auto"/>
              <w:right w:val="single" w:sz="4" w:space="0" w:color="auto"/>
            </w:tcBorders>
            <w:shd w:val="clear" w:color="auto" w:fill="auto"/>
            <w:vAlign w:val="center"/>
          </w:tcPr>
          <w:p w14:paraId="53273C5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3431AD2"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068A0C3" w14:textId="77777777" w:rsidR="005C1246" w:rsidRPr="00BD295E" w:rsidRDefault="005C1246" w:rsidP="00D648DD">
            <w:pPr>
              <w:jc w:val="right"/>
              <w:rPr>
                <w:rFonts w:ascii="Arial" w:hAnsi="Arial" w:cs="Arial"/>
                <w:sz w:val="18"/>
                <w:szCs w:val="18"/>
                <w:lang w:val="en-US"/>
              </w:rPr>
            </w:pPr>
          </w:p>
        </w:tc>
      </w:tr>
      <w:tr w:rsidR="008A5057" w:rsidRPr="00BD295E" w14:paraId="784BB6B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8AEAB65"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bottom w:val="single" w:sz="4" w:space="0" w:color="auto"/>
              <w:right w:val="single" w:sz="4" w:space="0" w:color="auto"/>
            </w:tcBorders>
            <w:shd w:val="clear" w:color="auto" w:fill="auto"/>
            <w:vAlign w:val="center"/>
          </w:tcPr>
          <w:p w14:paraId="2FF1F88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0D89E7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414467B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10,581</w:t>
            </w:r>
          </w:p>
        </w:tc>
      </w:tr>
      <w:tr w:rsidR="008A5057" w:rsidRPr="00BD295E" w14:paraId="0CBEC797"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BAD5F27"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val="restart"/>
            <w:tcBorders>
              <w:top w:val="single" w:sz="4" w:space="0" w:color="auto"/>
              <w:left w:val="single" w:sz="4" w:space="0" w:color="auto"/>
              <w:right w:val="single" w:sz="4" w:space="0" w:color="auto"/>
            </w:tcBorders>
            <w:shd w:val="clear" w:color="auto" w:fill="auto"/>
            <w:vAlign w:val="center"/>
          </w:tcPr>
          <w:p w14:paraId="1528188A" w14:textId="77777777" w:rsidR="005C1246" w:rsidRPr="00BD295E" w:rsidRDefault="008A5057" w:rsidP="00D648DD">
            <w:pPr>
              <w:jc w:val="center"/>
              <w:rPr>
                <w:rFonts w:ascii="Arial" w:hAnsi="Arial" w:cs="Arial"/>
                <w:sz w:val="18"/>
                <w:szCs w:val="18"/>
                <w:lang w:val="en-US"/>
              </w:rPr>
            </w:pPr>
            <w:r w:rsidRPr="00BD295E">
              <w:rPr>
                <w:rFonts w:ascii="Arial" w:hAnsi="Arial" w:cs="Arial"/>
                <w:sz w:val="18"/>
                <w:szCs w:val="18"/>
                <w:lang w:val="en-US"/>
              </w:rPr>
              <w:t>LV</w:t>
            </w:r>
          </w:p>
        </w:tc>
        <w:tc>
          <w:tcPr>
            <w:tcW w:w="993" w:type="dxa"/>
            <w:tcBorders>
              <w:top w:val="single" w:sz="4" w:space="0" w:color="auto"/>
              <w:left w:val="nil"/>
              <w:bottom w:val="single" w:sz="4" w:space="0" w:color="auto"/>
              <w:right w:val="single" w:sz="4" w:space="0" w:color="auto"/>
            </w:tcBorders>
            <w:shd w:val="clear" w:color="auto" w:fill="auto"/>
            <w:vAlign w:val="center"/>
          </w:tcPr>
          <w:p w14:paraId="3E42108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single" w:sz="4" w:space="0" w:color="auto"/>
              <w:left w:val="nil"/>
              <w:bottom w:val="single" w:sz="4" w:space="0" w:color="auto"/>
              <w:right w:val="single" w:sz="4" w:space="0" w:color="auto"/>
            </w:tcBorders>
            <w:shd w:val="clear" w:color="auto" w:fill="auto"/>
            <w:vAlign w:val="center"/>
          </w:tcPr>
          <w:p w14:paraId="078176FF"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10,581</w:t>
            </w:r>
          </w:p>
        </w:tc>
      </w:tr>
      <w:tr w:rsidR="008A5057" w:rsidRPr="00BD295E" w14:paraId="2ADAAF82"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DFBB31E"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С3 Construction of 10(6) kV cable lines, including:</w:t>
            </w:r>
          </w:p>
        </w:tc>
        <w:tc>
          <w:tcPr>
            <w:tcW w:w="1701" w:type="dxa"/>
            <w:vMerge/>
            <w:tcBorders>
              <w:left w:val="single" w:sz="4" w:space="0" w:color="auto"/>
              <w:right w:val="single" w:sz="4" w:space="0" w:color="auto"/>
            </w:tcBorders>
            <w:shd w:val="clear" w:color="auto" w:fill="auto"/>
            <w:vAlign w:val="center"/>
          </w:tcPr>
          <w:p w14:paraId="0C132F6A"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70E9ABF"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65375CA" w14:textId="77777777" w:rsidR="005C1246" w:rsidRPr="00BD295E" w:rsidRDefault="005C1246" w:rsidP="00D648DD">
            <w:pPr>
              <w:jc w:val="right"/>
              <w:rPr>
                <w:rFonts w:ascii="Arial" w:hAnsi="Arial" w:cs="Arial"/>
                <w:sz w:val="18"/>
                <w:szCs w:val="18"/>
                <w:lang w:val="en-US"/>
              </w:rPr>
            </w:pPr>
          </w:p>
        </w:tc>
      </w:tr>
      <w:tr w:rsidR="008A5057" w:rsidRPr="00BD295E" w14:paraId="28A776B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28BE20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cable lines (one cable per trench)</w:t>
            </w:r>
          </w:p>
        </w:tc>
        <w:tc>
          <w:tcPr>
            <w:tcW w:w="1701" w:type="dxa"/>
            <w:vMerge/>
            <w:tcBorders>
              <w:left w:val="single" w:sz="4" w:space="0" w:color="auto"/>
              <w:right w:val="single" w:sz="4" w:space="0" w:color="auto"/>
            </w:tcBorders>
            <w:shd w:val="clear" w:color="auto" w:fill="auto"/>
            <w:vAlign w:val="center"/>
          </w:tcPr>
          <w:p w14:paraId="6B69D052"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569CE14"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5713AB82" w14:textId="77777777" w:rsidR="005C1246" w:rsidRPr="00BD295E" w:rsidRDefault="005C1246" w:rsidP="00D648DD">
            <w:pPr>
              <w:jc w:val="right"/>
              <w:rPr>
                <w:rFonts w:ascii="Arial" w:hAnsi="Arial" w:cs="Arial"/>
                <w:sz w:val="18"/>
                <w:szCs w:val="18"/>
                <w:lang w:val="en-US"/>
              </w:rPr>
            </w:pPr>
          </w:p>
        </w:tc>
      </w:tr>
      <w:tr w:rsidR="008A5057" w:rsidRPr="00BD295E" w14:paraId="14280A7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B811D5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634EB565"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D91BF0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B5A597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10,200</w:t>
            </w:r>
          </w:p>
        </w:tc>
      </w:tr>
      <w:tr w:rsidR="008A5057" w:rsidRPr="00BD295E" w14:paraId="699B340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F26734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122961B"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6E5860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2E540D9E"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10,465</w:t>
            </w:r>
          </w:p>
        </w:tc>
      </w:tr>
      <w:tr w:rsidR="008A5057" w:rsidRPr="00BD295E" w14:paraId="360F180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0227AAE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cable lines (two cables per trench)</w:t>
            </w:r>
          </w:p>
        </w:tc>
        <w:tc>
          <w:tcPr>
            <w:tcW w:w="1701" w:type="dxa"/>
            <w:vMerge/>
            <w:tcBorders>
              <w:left w:val="single" w:sz="4" w:space="0" w:color="auto"/>
              <w:right w:val="single" w:sz="4" w:space="0" w:color="auto"/>
            </w:tcBorders>
            <w:shd w:val="clear" w:color="auto" w:fill="auto"/>
            <w:vAlign w:val="center"/>
          </w:tcPr>
          <w:p w14:paraId="46D49997"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651513BE"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74A3415A" w14:textId="77777777" w:rsidR="005C1246" w:rsidRPr="00BD295E" w:rsidRDefault="005C1246" w:rsidP="00D648DD">
            <w:pPr>
              <w:jc w:val="right"/>
              <w:rPr>
                <w:rFonts w:ascii="Arial" w:hAnsi="Arial" w:cs="Arial"/>
                <w:sz w:val="18"/>
                <w:szCs w:val="18"/>
                <w:lang w:val="en-US"/>
              </w:rPr>
            </w:pPr>
          </w:p>
        </w:tc>
      </w:tr>
      <w:tr w:rsidR="008A5057" w:rsidRPr="00BD295E" w14:paraId="5884B0A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C19819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798E18EE"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B5F6BF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76BD557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12,339</w:t>
            </w:r>
          </w:p>
        </w:tc>
      </w:tr>
      <w:tr w:rsidR="008A5057" w:rsidRPr="00BD295E" w14:paraId="17B3A05D"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57A3C1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6D60A32F"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F613816"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RUB/km</w:t>
            </w:r>
          </w:p>
        </w:tc>
        <w:tc>
          <w:tcPr>
            <w:tcW w:w="1701" w:type="dxa"/>
            <w:tcBorders>
              <w:top w:val="nil"/>
              <w:left w:val="nil"/>
              <w:bottom w:val="single" w:sz="4" w:space="0" w:color="auto"/>
              <w:right w:val="single" w:sz="4" w:space="0" w:color="auto"/>
            </w:tcBorders>
            <w:shd w:val="clear" w:color="auto" w:fill="auto"/>
            <w:vAlign w:val="center"/>
          </w:tcPr>
          <w:p w14:paraId="3FB1812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12,655</w:t>
            </w:r>
          </w:p>
        </w:tc>
      </w:tr>
      <w:tr w:rsidR="008A5057" w:rsidRPr="00BD295E" w14:paraId="5D9F7FD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11BCD4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C4 Construction of distribution points</w:t>
            </w:r>
          </w:p>
        </w:tc>
        <w:tc>
          <w:tcPr>
            <w:tcW w:w="1701" w:type="dxa"/>
            <w:vMerge/>
            <w:tcBorders>
              <w:left w:val="single" w:sz="4" w:space="0" w:color="auto"/>
              <w:right w:val="single" w:sz="4" w:space="0" w:color="auto"/>
            </w:tcBorders>
            <w:shd w:val="clear" w:color="auto" w:fill="auto"/>
            <w:vAlign w:val="center"/>
          </w:tcPr>
          <w:p w14:paraId="029FE1B0"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AA1C0D4"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A6F5F15" w14:textId="77777777" w:rsidR="005C1246" w:rsidRPr="00BD295E" w:rsidRDefault="005C1246" w:rsidP="00D648DD">
            <w:pPr>
              <w:jc w:val="right"/>
              <w:rPr>
                <w:rFonts w:ascii="Arial" w:hAnsi="Arial" w:cs="Arial"/>
                <w:sz w:val="18"/>
                <w:szCs w:val="18"/>
                <w:lang w:val="en-US"/>
              </w:rPr>
            </w:pPr>
          </w:p>
        </w:tc>
      </w:tr>
      <w:tr w:rsidR="008A5057" w:rsidRPr="00BD295E" w14:paraId="6D6CB85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AF86BCB"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374C1AEC"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DB190D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tcPr>
          <w:p w14:paraId="200EA8C1"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0404751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EEA008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2244517"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47B66C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RUB/unit</w:t>
            </w:r>
          </w:p>
        </w:tc>
        <w:tc>
          <w:tcPr>
            <w:tcW w:w="1701" w:type="dxa"/>
            <w:tcBorders>
              <w:top w:val="nil"/>
              <w:left w:val="nil"/>
              <w:bottom w:val="single" w:sz="4" w:space="0" w:color="auto"/>
              <w:right w:val="single" w:sz="4" w:space="0" w:color="auto"/>
            </w:tcBorders>
            <w:shd w:val="clear" w:color="auto" w:fill="auto"/>
            <w:vAlign w:val="center"/>
          </w:tcPr>
          <w:p w14:paraId="3D23085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х</w:t>
            </w:r>
          </w:p>
        </w:tc>
      </w:tr>
      <w:tr w:rsidR="008A5057" w:rsidRPr="00BD295E" w14:paraId="6022B9B9"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A0C814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С5 Construction of transformer substations with voltage up to 35kV, including</w:t>
            </w:r>
          </w:p>
        </w:tc>
        <w:tc>
          <w:tcPr>
            <w:tcW w:w="1701" w:type="dxa"/>
            <w:vMerge/>
            <w:tcBorders>
              <w:left w:val="single" w:sz="4" w:space="0" w:color="auto"/>
              <w:right w:val="single" w:sz="4" w:space="0" w:color="auto"/>
            </w:tcBorders>
            <w:shd w:val="clear" w:color="auto" w:fill="auto"/>
            <w:vAlign w:val="center"/>
          </w:tcPr>
          <w:p w14:paraId="0CC8EBD9"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130C8FE5"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63F8F02C" w14:textId="77777777" w:rsidR="005C1246" w:rsidRPr="00BD295E" w:rsidRDefault="005C1246" w:rsidP="00D648DD">
            <w:pPr>
              <w:jc w:val="right"/>
              <w:rPr>
                <w:rFonts w:ascii="Arial" w:hAnsi="Arial" w:cs="Arial"/>
                <w:sz w:val="18"/>
                <w:szCs w:val="18"/>
                <w:lang w:val="en-US"/>
              </w:rPr>
            </w:pPr>
          </w:p>
        </w:tc>
      </w:tr>
      <w:tr w:rsidR="008A5057" w:rsidRPr="00BD295E" w14:paraId="141A1881"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F3BE41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pole-mounted transformer substations</w:t>
            </w:r>
          </w:p>
        </w:tc>
        <w:tc>
          <w:tcPr>
            <w:tcW w:w="1701" w:type="dxa"/>
            <w:vMerge/>
            <w:tcBorders>
              <w:left w:val="single" w:sz="4" w:space="0" w:color="auto"/>
              <w:right w:val="single" w:sz="4" w:space="0" w:color="auto"/>
            </w:tcBorders>
            <w:shd w:val="clear" w:color="auto" w:fill="auto"/>
            <w:vAlign w:val="center"/>
          </w:tcPr>
          <w:p w14:paraId="27A955AA"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26482D68"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A02AFAB" w14:textId="77777777" w:rsidR="005C1246" w:rsidRPr="00BD295E" w:rsidRDefault="005C1246" w:rsidP="00D648DD">
            <w:pPr>
              <w:jc w:val="right"/>
              <w:rPr>
                <w:rFonts w:ascii="Arial" w:hAnsi="Arial" w:cs="Arial"/>
                <w:sz w:val="18"/>
                <w:szCs w:val="18"/>
                <w:lang w:val="en-US"/>
              </w:rPr>
            </w:pPr>
          </w:p>
        </w:tc>
      </w:tr>
      <w:tr w:rsidR="008A5057" w:rsidRPr="00BD295E" w14:paraId="6DB6DC5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82AB71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29C00B30"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4779EBA1"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2B516C5C"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6,844</w:t>
            </w:r>
          </w:p>
        </w:tc>
      </w:tr>
      <w:tr w:rsidR="008A5057" w:rsidRPr="00BD295E" w14:paraId="79DFF8E2"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B2FC40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12812DD2" w14:textId="77777777" w:rsidR="005C1246" w:rsidRPr="00BD295E" w:rsidRDefault="005C1246" w:rsidP="00D648DD">
            <w:pPr>
              <w:jc w:val="cente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0C797E0"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041A23E7"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6,844</w:t>
            </w:r>
          </w:p>
        </w:tc>
      </w:tr>
      <w:tr w:rsidR="008A5057" w:rsidRPr="00BD295E" w14:paraId="5C3F1975"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05BE2A2"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TPS substations</w:t>
            </w:r>
          </w:p>
        </w:tc>
        <w:tc>
          <w:tcPr>
            <w:tcW w:w="1701" w:type="dxa"/>
            <w:vMerge/>
            <w:tcBorders>
              <w:left w:val="single" w:sz="4" w:space="0" w:color="auto"/>
              <w:right w:val="single" w:sz="4" w:space="0" w:color="auto"/>
            </w:tcBorders>
            <w:shd w:val="clear" w:color="auto" w:fill="auto"/>
            <w:vAlign w:val="center"/>
          </w:tcPr>
          <w:p w14:paraId="0012241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52FE5107"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017763DF" w14:textId="77777777" w:rsidR="005C1246" w:rsidRPr="00BD295E" w:rsidRDefault="005C1246" w:rsidP="00D648DD">
            <w:pPr>
              <w:jc w:val="right"/>
              <w:rPr>
                <w:rFonts w:ascii="Arial" w:hAnsi="Arial" w:cs="Arial"/>
                <w:sz w:val="18"/>
                <w:szCs w:val="18"/>
                <w:lang w:val="en-US"/>
              </w:rPr>
            </w:pPr>
          </w:p>
        </w:tc>
      </w:tr>
      <w:tr w:rsidR="008A5057" w:rsidRPr="00BD295E" w14:paraId="538ED8AF"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7BC0873A"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2410ACB1"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2EBDB614"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EFEE47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5,341</w:t>
            </w:r>
          </w:p>
        </w:tc>
      </w:tr>
      <w:tr w:rsidR="008A5057" w:rsidRPr="00BD295E" w14:paraId="295CF32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2A1B814D"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7C3C24A3"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2A566DDD"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50C1797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5,341</w:t>
            </w:r>
          </w:p>
        </w:tc>
      </w:tr>
      <w:tr w:rsidR="008A5057" w:rsidRPr="00BD295E" w14:paraId="4CA703B6"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6DE9698C"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UPTS substations</w:t>
            </w:r>
          </w:p>
        </w:tc>
        <w:tc>
          <w:tcPr>
            <w:tcW w:w="1701" w:type="dxa"/>
            <w:vMerge/>
            <w:tcBorders>
              <w:left w:val="single" w:sz="4" w:space="0" w:color="auto"/>
              <w:right w:val="single" w:sz="4" w:space="0" w:color="auto"/>
            </w:tcBorders>
            <w:shd w:val="clear" w:color="auto" w:fill="auto"/>
            <w:vAlign w:val="center"/>
          </w:tcPr>
          <w:p w14:paraId="2E831127"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7535D138"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2CA83932" w14:textId="77777777" w:rsidR="005C1246" w:rsidRPr="00BD295E" w:rsidRDefault="005C1246" w:rsidP="00D648DD">
            <w:pPr>
              <w:jc w:val="right"/>
              <w:rPr>
                <w:rFonts w:ascii="Arial" w:hAnsi="Arial" w:cs="Arial"/>
                <w:sz w:val="18"/>
                <w:szCs w:val="18"/>
                <w:lang w:val="en-US"/>
              </w:rPr>
            </w:pPr>
          </w:p>
        </w:tc>
      </w:tr>
      <w:tr w:rsidR="008A5057" w:rsidRPr="00BD295E" w14:paraId="07B5528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E464112"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283B353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02756B7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6DA901C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8,968</w:t>
            </w:r>
          </w:p>
        </w:tc>
      </w:tr>
      <w:tr w:rsidR="008A5057" w:rsidRPr="00BD295E" w14:paraId="4ABBAB23"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522C2145"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02052332"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1A23E17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6D8CB9A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8,968</w:t>
            </w:r>
          </w:p>
        </w:tc>
      </w:tr>
      <w:tr w:rsidR="008A5057" w:rsidRPr="00BD295E" w14:paraId="56712264"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1CA14BA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2PTS substations</w:t>
            </w:r>
          </w:p>
        </w:tc>
        <w:tc>
          <w:tcPr>
            <w:tcW w:w="1701" w:type="dxa"/>
            <w:vMerge/>
            <w:tcBorders>
              <w:left w:val="single" w:sz="4" w:space="0" w:color="auto"/>
              <w:right w:val="single" w:sz="4" w:space="0" w:color="auto"/>
            </w:tcBorders>
            <w:shd w:val="clear" w:color="auto" w:fill="auto"/>
            <w:vAlign w:val="center"/>
          </w:tcPr>
          <w:p w14:paraId="72DF7198"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115DC11"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3EA837CA" w14:textId="77777777" w:rsidR="005C1246" w:rsidRPr="00BD295E" w:rsidRDefault="005C1246" w:rsidP="00D648DD">
            <w:pPr>
              <w:jc w:val="right"/>
              <w:rPr>
                <w:rFonts w:ascii="Arial" w:hAnsi="Arial" w:cs="Arial"/>
                <w:sz w:val="18"/>
                <w:szCs w:val="18"/>
                <w:lang w:val="en-US"/>
              </w:rPr>
            </w:pPr>
          </w:p>
        </w:tc>
      </w:tr>
      <w:tr w:rsidR="008A5057" w:rsidRPr="00BD295E" w14:paraId="08BC4C1C"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4D412BBF"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left w:val="single" w:sz="4" w:space="0" w:color="auto"/>
              <w:right w:val="single" w:sz="4" w:space="0" w:color="auto"/>
            </w:tcBorders>
            <w:shd w:val="clear" w:color="auto" w:fill="auto"/>
            <w:vAlign w:val="center"/>
          </w:tcPr>
          <w:p w14:paraId="58381AEC"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7B6DB615"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3AEF487A"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3,749</w:t>
            </w:r>
          </w:p>
        </w:tc>
      </w:tr>
      <w:tr w:rsidR="008A5057" w:rsidRPr="00BD295E" w14:paraId="6563849A"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AC09534"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left w:val="single" w:sz="4" w:space="0" w:color="auto"/>
              <w:right w:val="single" w:sz="4" w:space="0" w:color="auto"/>
            </w:tcBorders>
            <w:shd w:val="clear" w:color="auto" w:fill="auto"/>
            <w:vAlign w:val="center"/>
          </w:tcPr>
          <w:p w14:paraId="0928CD3A"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tcPr>
          <w:p w14:paraId="7D55DBAB"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nil"/>
              <w:left w:val="nil"/>
              <w:bottom w:val="single" w:sz="4" w:space="0" w:color="auto"/>
              <w:right w:val="single" w:sz="4" w:space="0" w:color="auto"/>
            </w:tcBorders>
            <w:shd w:val="clear" w:color="auto" w:fill="auto"/>
            <w:vAlign w:val="center"/>
          </w:tcPr>
          <w:p w14:paraId="61D938C3"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3,749</w:t>
            </w:r>
          </w:p>
        </w:tc>
      </w:tr>
      <w:tr w:rsidR="008A5057" w:rsidRPr="00BD295E" w14:paraId="4737EDB8" w14:textId="77777777" w:rsidTr="00D648DD">
        <w:trPr>
          <w:gridAfter w:val="1"/>
          <w:wAfter w:w="1701" w:type="dxa"/>
          <w:trHeight w:val="552"/>
        </w:trPr>
        <w:tc>
          <w:tcPr>
            <w:tcW w:w="5118" w:type="dxa"/>
            <w:tcBorders>
              <w:top w:val="nil"/>
              <w:left w:val="single" w:sz="4" w:space="0" w:color="auto"/>
              <w:bottom w:val="single" w:sz="4" w:space="0" w:color="auto"/>
              <w:right w:val="single" w:sz="4" w:space="0" w:color="auto"/>
            </w:tcBorders>
            <w:shd w:val="clear" w:color="auto" w:fill="auto"/>
            <w:vAlign w:val="center"/>
          </w:tcPr>
          <w:p w14:paraId="35E2FA23"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construction of 2UPTS substations</w:t>
            </w:r>
          </w:p>
        </w:tc>
        <w:tc>
          <w:tcPr>
            <w:tcW w:w="1701" w:type="dxa"/>
            <w:vMerge/>
            <w:tcBorders>
              <w:left w:val="single" w:sz="4" w:space="0" w:color="auto"/>
              <w:bottom w:val="single" w:sz="4" w:space="0" w:color="auto"/>
              <w:right w:val="single" w:sz="4" w:space="0" w:color="auto"/>
            </w:tcBorders>
            <w:shd w:val="clear" w:color="auto" w:fill="auto"/>
            <w:vAlign w:val="center"/>
          </w:tcPr>
          <w:p w14:paraId="5FA2E3A9" w14:textId="77777777" w:rsidR="005C1246" w:rsidRPr="00BD295E" w:rsidRDefault="005C1246" w:rsidP="00D648DD">
            <w:pPr>
              <w:rPr>
                <w:rFonts w:ascii="Arial" w:hAnsi="Arial" w:cs="Arial"/>
                <w:sz w:val="18"/>
                <w:szCs w:val="18"/>
                <w:lang w:val="en-US"/>
              </w:rPr>
            </w:pPr>
          </w:p>
        </w:tc>
        <w:tc>
          <w:tcPr>
            <w:tcW w:w="993" w:type="dxa"/>
            <w:tcBorders>
              <w:top w:val="nil"/>
              <w:left w:val="nil"/>
              <w:bottom w:val="single" w:sz="4" w:space="0" w:color="auto"/>
              <w:right w:val="single" w:sz="4" w:space="0" w:color="auto"/>
            </w:tcBorders>
            <w:shd w:val="clear" w:color="auto" w:fill="auto"/>
            <w:vAlign w:val="center"/>
          </w:tcPr>
          <w:p w14:paraId="0704A729" w14:textId="77777777" w:rsidR="005C1246" w:rsidRPr="00BD295E" w:rsidRDefault="005C1246" w:rsidP="00D648DD">
            <w:pPr>
              <w:rPr>
                <w:rFonts w:ascii="Arial" w:hAnsi="Arial" w:cs="Arial"/>
                <w:sz w:val="18"/>
                <w:szCs w:val="18"/>
                <w:lang w:val="en-US"/>
              </w:rPr>
            </w:pPr>
          </w:p>
        </w:tc>
        <w:tc>
          <w:tcPr>
            <w:tcW w:w="1701" w:type="dxa"/>
            <w:tcBorders>
              <w:top w:val="nil"/>
              <w:left w:val="nil"/>
              <w:bottom w:val="single" w:sz="4" w:space="0" w:color="auto"/>
              <w:right w:val="single" w:sz="4" w:space="0" w:color="auto"/>
            </w:tcBorders>
            <w:shd w:val="clear" w:color="auto" w:fill="auto"/>
            <w:vAlign w:val="center"/>
          </w:tcPr>
          <w:p w14:paraId="588D7E6D" w14:textId="77777777" w:rsidR="005C1246" w:rsidRPr="00BD295E" w:rsidRDefault="005C1246" w:rsidP="00D648DD">
            <w:pPr>
              <w:jc w:val="right"/>
              <w:rPr>
                <w:rFonts w:ascii="Arial" w:hAnsi="Arial" w:cs="Arial"/>
                <w:sz w:val="18"/>
                <w:szCs w:val="18"/>
                <w:lang w:val="en-US"/>
              </w:rPr>
            </w:pPr>
          </w:p>
        </w:tc>
      </w:tr>
      <w:tr w:rsidR="008A5057" w:rsidRPr="00BD295E" w14:paraId="05638DD6" w14:textId="77777777" w:rsidTr="00D648DD">
        <w:trPr>
          <w:gridAfter w:val="1"/>
          <w:wAfter w:w="1701" w:type="dxa"/>
          <w:trHeight w:val="588"/>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7A788AE"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of urban settlements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335714"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tcPr>
          <w:p w14:paraId="29A041E8"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040D1822"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6,638</w:t>
            </w:r>
          </w:p>
        </w:tc>
      </w:tr>
      <w:tr w:rsidR="008A5057" w:rsidRPr="00BD295E" w14:paraId="55DBC939" w14:textId="77777777" w:rsidTr="00D648DD">
        <w:trPr>
          <w:gridAfter w:val="1"/>
          <w:wAfter w:w="1701" w:type="dxa"/>
          <w:trHeight w:val="552"/>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744EC6C" w14:textId="77777777" w:rsidR="005C1246" w:rsidRPr="00BD295E" w:rsidRDefault="008A5057" w:rsidP="00D648DD">
            <w:pPr>
              <w:ind w:firstLineChars="200" w:firstLine="360"/>
              <w:jc w:val="center"/>
              <w:rPr>
                <w:rFonts w:ascii="Arial" w:hAnsi="Arial" w:cs="Arial"/>
                <w:sz w:val="18"/>
                <w:szCs w:val="18"/>
                <w:lang w:val="en-US"/>
              </w:rPr>
            </w:pPr>
            <w:r w:rsidRPr="00BD295E">
              <w:rPr>
                <w:rFonts w:ascii="Arial" w:hAnsi="Arial" w:cs="Arial"/>
                <w:sz w:val="18"/>
                <w:szCs w:val="18"/>
                <w:lang w:val="en-US"/>
              </w:rPr>
              <w:t>territories not related to urban settlements</w:t>
            </w: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2ECABC" w14:textId="77777777" w:rsidR="005C1246" w:rsidRPr="00BD295E" w:rsidRDefault="005C1246" w:rsidP="00D648DD">
            <w:pPr>
              <w:rPr>
                <w:rFonts w:ascii="Arial" w:hAnsi="Arial" w:cs="Arial"/>
                <w:sz w:val="18"/>
                <w:szCs w:val="18"/>
                <w:lang w:val="en-US"/>
              </w:rPr>
            </w:pPr>
          </w:p>
        </w:tc>
        <w:tc>
          <w:tcPr>
            <w:tcW w:w="993" w:type="dxa"/>
            <w:tcBorders>
              <w:top w:val="single" w:sz="4" w:space="0" w:color="auto"/>
              <w:left w:val="nil"/>
              <w:bottom w:val="single" w:sz="4" w:space="0" w:color="auto"/>
              <w:right w:val="single" w:sz="4" w:space="0" w:color="auto"/>
            </w:tcBorders>
            <w:shd w:val="clear" w:color="auto" w:fill="auto"/>
          </w:tcPr>
          <w:p w14:paraId="402441D9"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RUB/kW</w:t>
            </w:r>
          </w:p>
        </w:tc>
        <w:tc>
          <w:tcPr>
            <w:tcW w:w="1701" w:type="dxa"/>
            <w:tcBorders>
              <w:top w:val="single" w:sz="4" w:space="0" w:color="auto"/>
              <w:left w:val="nil"/>
              <w:bottom w:val="single" w:sz="4" w:space="0" w:color="auto"/>
              <w:right w:val="single" w:sz="4" w:space="0" w:color="auto"/>
            </w:tcBorders>
            <w:shd w:val="clear" w:color="auto" w:fill="auto"/>
            <w:vAlign w:val="center"/>
          </w:tcPr>
          <w:p w14:paraId="49FEFA79" w14:textId="77777777" w:rsidR="005C1246" w:rsidRPr="00BD295E" w:rsidRDefault="008A5057" w:rsidP="00D648DD">
            <w:pPr>
              <w:jc w:val="right"/>
              <w:rPr>
                <w:rFonts w:ascii="Arial" w:hAnsi="Arial" w:cs="Arial"/>
                <w:sz w:val="18"/>
                <w:szCs w:val="18"/>
                <w:lang w:val="en-US"/>
              </w:rPr>
            </w:pPr>
            <w:r w:rsidRPr="00BD295E">
              <w:rPr>
                <w:rFonts w:ascii="Arial" w:hAnsi="Arial" w:cs="Arial"/>
                <w:sz w:val="18"/>
                <w:szCs w:val="18"/>
                <w:lang w:val="en-US"/>
              </w:rPr>
              <w:t>6,638</w:t>
            </w:r>
          </w:p>
        </w:tc>
      </w:tr>
      <w:tr w:rsidR="008A5057" w:rsidRPr="00BD295E" w14:paraId="53C114BC" w14:textId="77777777" w:rsidTr="00D648DD">
        <w:trPr>
          <w:trHeight w:val="660"/>
        </w:trPr>
        <w:tc>
          <w:tcPr>
            <w:tcW w:w="9513" w:type="dxa"/>
            <w:gridSpan w:val="4"/>
            <w:tcBorders>
              <w:top w:val="nil"/>
              <w:left w:val="nil"/>
              <w:bottom w:val="nil"/>
              <w:right w:val="nil"/>
            </w:tcBorders>
            <w:shd w:val="clear" w:color="auto" w:fill="auto"/>
            <w:hideMark/>
          </w:tcPr>
          <w:p w14:paraId="6BC384AB" w14:textId="77777777" w:rsidR="005C1246" w:rsidRPr="00BD295E" w:rsidRDefault="005C1246" w:rsidP="00D648DD">
            <w:pPr>
              <w:rPr>
                <w:rFonts w:ascii="Arial" w:hAnsi="Arial" w:cs="Arial"/>
                <w:sz w:val="18"/>
                <w:szCs w:val="18"/>
                <w:lang w:val="en-US"/>
              </w:rPr>
            </w:pPr>
          </w:p>
          <w:p w14:paraId="46C582B7" w14:textId="77777777" w:rsidR="005C1246" w:rsidRPr="00BD295E" w:rsidRDefault="008A5057" w:rsidP="00D648DD">
            <w:pPr>
              <w:rPr>
                <w:rFonts w:ascii="Arial" w:hAnsi="Arial" w:cs="Arial"/>
                <w:sz w:val="18"/>
                <w:szCs w:val="18"/>
                <w:lang w:val="en-US"/>
              </w:rPr>
            </w:pPr>
            <w:r w:rsidRPr="00BD295E">
              <w:rPr>
                <w:rFonts w:ascii="Arial" w:hAnsi="Arial" w:cs="Arial"/>
                <w:sz w:val="18"/>
                <w:szCs w:val="18"/>
                <w:lang w:val="en-US"/>
              </w:rPr>
              <w:t>* Standardized tariff rates are approved for connection of 150+ kW</w:t>
            </w:r>
            <w:r w:rsidR="00EC0D9D" w:rsidRPr="00BD295E">
              <w:rPr>
                <w:rFonts w:ascii="Arial" w:hAnsi="Arial" w:cs="Arial"/>
                <w:sz w:val="18"/>
                <w:szCs w:val="18"/>
                <w:lang w:val="en-US"/>
              </w:rPr>
              <w:t xml:space="preserve"> </w:t>
            </w:r>
            <w:r w:rsidRPr="00BD295E">
              <w:rPr>
                <w:rFonts w:ascii="Arial" w:hAnsi="Arial" w:cs="Arial"/>
                <w:sz w:val="18"/>
                <w:szCs w:val="18"/>
                <w:lang w:val="en-US"/>
              </w:rPr>
              <w:t>power receiving appliances</w:t>
            </w:r>
          </w:p>
        </w:tc>
        <w:tc>
          <w:tcPr>
            <w:tcW w:w="1701" w:type="dxa"/>
            <w:shd w:val="clear" w:color="auto" w:fill="auto"/>
            <w:vAlign w:val="center"/>
          </w:tcPr>
          <w:p w14:paraId="22348438" w14:textId="77777777" w:rsidR="005C1246" w:rsidRPr="00BD295E" w:rsidRDefault="005C1246" w:rsidP="00D648DD">
            <w:pPr>
              <w:rPr>
                <w:rFonts w:ascii="Arial" w:hAnsi="Arial" w:cs="Arial"/>
                <w:sz w:val="18"/>
                <w:szCs w:val="18"/>
                <w:lang w:val="en-US"/>
              </w:rPr>
            </w:pPr>
          </w:p>
        </w:tc>
      </w:tr>
    </w:tbl>
    <w:p w14:paraId="31455993" w14:textId="77777777" w:rsidR="005C1246" w:rsidRPr="00BD295E" w:rsidRDefault="005C1246" w:rsidP="005C1246">
      <w:pPr>
        <w:rPr>
          <w:rFonts w:ascii="Arial" w:hAnsi="Arial" w:cs="Arial"/>
          <w:b/>
          <w:sz w:val="18"/>
          <w:szCs w:val="18"/>
          <w:lang w:val="en-US"/>
        </w:rPr>
      </w:pPr>
    </w:p>
    <w:p w14:paraId="4C8A17BF" w14:textId="77777777" w:rsidR="005C1246" w:rsidRPr="00BD295E" w:rsidRDefault="005C1246" w:rsidP="00123D4C">
      <w:pPr>
        <w:rPr>
          <w:rFonts w:ascii="Arial" w:hAnsi="Arial" w:cs="Arial"/>
          <w:b/>
          <w:sz w:val="18"/>
          <w:szCs w:val="18"/>
          <w:lang w:val="en-US"/>
        </w:rPr>
      </w:pPr>
    </w:p>
    <w:p w14:paraId="68BDCED4" w14:textId="32222A02" w:rsidR="004D2697" w:rsidRPr="00BD295E" w:rsidRDefault="008A5057" w:rsidP="003C23D5">
      <w:pPr>
        <w:pStyle w:val="2"/>
        <w:numPr>
          <w:ilvl w:val="1"/>
          <w:numId w:val="53"/>
        </w:numPr>
        <w:rPr>
          <w:rFonts w:ascii="Arial" w:hAnsi="Arial" w:cs="Arial"/>
          <w:sz w:val="18"/>
          <w:szCs w:val="18"/>
          <w:lang w:val="en-US"/>
        </w:rPr>
      </w:pPr>
      <w:bookmarkStart w:id="633" w:name="_Toc479781929"/>
      <w:bookmarkStart w:id="634" w:name="_Toc473921998"/>
      <w:bookmarkStart w:id="635" w:name="_Toc509493668"/>
      <w:bookmarkStart w:id="636" w:name="_Toc509581236"/>
      <w:bookmarkStart w:id="637" w:name="_Toc509934208"/>
      <w:bookmarkStart w:id="638" w:name="_Toc510452201"/>
      <w:bookmarkStart w:id="639" w:name="_Toc510453067"/>
      <w:bookmarkStart w:id="640" w:name="_Toc510624083"/>
      <w:bookmarkStart w:id="641" w:name="_Toc511055131"/>
      <w:bookmarkStart w:id="642" w:name="_Toc511747487"/>
      <w:bookmarkStart w:id="643" w:name="_Toc5101341"/>
      <w:bookmarkStart w:id="644" w:name="_Toc5101720"/>
      <w:bookmarkStart w:id="645" w:name="_Toc5874616"/>
      <w:bookmarkStart w:id="646" w:name="_Toc95855314"/>
      <w:bookmarkStart w:id="647" w:name="_Toc95935373"/>
      <w:r w:rsidRPr="00BD295E">
        <w:rPr>
          <w:rFonts w:ascii="Arial" w:hAnsi="Arial" w:cs="Arial"/>
          <w:sz w:val="18"/>
          <w:szCs w:val="18"/>
          <w:lang w:val="en-US"/>
        </w:rPr>
        <w:t>Information on the structure of assets and its changes in 2018</w:t>
      </w:r>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p>
    <w:p w14:paraId="54B4900D" w14:textId="77777777" w:rsidR="004D2697" w:rsidRPr="00BD295E" w:rsidRDefault="004D2697" w:rsidP="004D2697">
      <w:pPr>
        <w:spacing w:after="160" w:line="259" w:lineRule="auto"/>
        <w:rPr>
          <w:rFonts w:ascii="Arial" w:hAnsi="Arial" w:cs="Arial"/>
          <w:sz w:val="18"/>
          <w:szCs w:val="18"/>
          <w:lang w:val="en-US"/>
        </w:rPr>
      </w:pPr>
      <w:bookmarkStart w:id="648" w:name="_Toc473921999"/>
    </w:p>
    <w:tbl>
      <w:tblPr>
        <w:tblW w:w="10095" w:type="dxa"/>
        <w:tblInd w:w="-1026" w:type="dxa"/>
        <w:tblLayout w:type="fixed"/>
        <w:tblLook w:val="04A0" w:firstRow="1" w:lastRow="0" w:firstColumn="1" w:lastColumn="0" w:noHBand="0" w:noVBand="1"/>
      </w:tblPr>
      <w:tblGrid>
        <w:gridCol w:w="749"/>
        <w:gridCol w:w="1786"/>
        <w:gridCol w:w="1326"/>
        <w:gridCol w:w="1271"/>
        <w:gridCol w:w="1134"/>
        <w:gridCol w:w="1134"/>
        <w:gridCol w:w="1369"/>
        <w:gridCol w:w="1326"/>
      </w:tblGrid>
      <w:tr w:rsidR="008A5057" w:rsidRPr="00BD295E" w14:paraId="5291CDD8" w14:textId="77777777" w:rsidTr="00801007">
        <w:trPr>
          <w:trHeight w:val="20"/>
        </w:trPr>
        <w:tc>
          <w:tcPr>
            <w:tcW w:w="7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07384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No.</w:t>
            </w:r>
          </w:p>
          <w:p w14:paraId="66072222" w14:textId="77777777" w:rsidR="00162DD0" w:rsidRPr="00BD295E" w:rsidRDefault="00162DD0" w:rsidP="00162DD0">
            <w:pPr>
              <w:spacing w:after="160" w:line="259" w:lineRule="auto"/>
              <w:rPr>
                <w:rFonts w:ascii="Arial" w:hAnsi="Arial" w:cs="Arial"/>
                <w:b/>
                <w:bCs/>
                <w:sz w:val="18"/>
                <w:szCs w:val="18"/>
                <w:lang w:val="en-US"/>
              </w:rPr>
            </w:pPr>
          </w:p>
          <w:p w14:paraId="3AB5557B"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 </w:t>
            </w:r>
          </w:p>
        </w:tc>
        <w:tc>
          <w:tcPr>
            <w:tcW w:w="17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D356F"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Name</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14:paraId="7F17D6C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Physical parameters:</w:t>
            </w:r>
          </w:p>
          <w:p w14:paraId="5097D9B3"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for overhead lines and cable grids – circuit length (km);</w:t>
            </w:r>
          </w:p>
          <w:p w14:paraId="6C878B74"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for substations, other assets – count</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DE2C5"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 xml:space="preserve">Book (residual) value as at January 1, 2018 </w:t>
            </w:r>
          </w:p>
          <w:p w14:paraId="74F15C55"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(RUB thousand)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00EA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Acquired from January 1, 2018 to December 31, 2018</w:t>
            </w:r>
          </w:p>
          <w:p w14:paraId="67EE2A1A"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(RUB thousand)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20BB3"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 xml:space="preserve">Disposed from January 1, 2018 to December 31, 2018 </w:t>
            </w:r>
          </w:p>
          <w:p w14:paraId="3317AD37"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(RUB thousand)</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CF2FE"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Depreciation and amortization accrued from January 1, 2018 to December 31, 2018</w:t>
            </w:r>
          </w:p>
          <w:p w14:paraId="3EE2D636"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 xml:space="preserve"> (RUB thousand)</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0AA97"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Book (residual) value as at December 1, 2018</w:t>
            </w:r>
          </w:p>
          <w:p w14:paraId="0EDD1596"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(RUB thousand)</w:t>
            </w:r>
          </w:p>
        </w:tc>
      </w:tr>
      <w:tr w:rsidR="008A5057" w:rsidRPr="00BD295E" w14:paraId="5246F8EA" w14:textId="77777777" w:rsidTr="00801007">
        <w:trPr>
          <w:trHeight w:val="20"/>
        </w:trPr>
        <w:tc>
          <w:tcPr>
            <w:tcW w:w="7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2B3B5"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I</w:t>
            </w:r>
          </w:p>
        </w:tc>
        <w:tc>
          <w:tcPr>
            <w:tcW w:w="1786" w:type="dxa"/>
            <w:tcBorders>
              <w:top w:val="single" w:sz="4" w:space="0" w:color="auto"/>
              <w:left w:val="nil"/>
              <w:bottom w:val="single" w:sz="4" w:space="0" w:color="auto"/>
              <w:right w:val="single" w:sz="4" w:space="0" w:color="auto"/>
            </w:tcBorders>
            <w:shd w:val="clear" w:color="auto" w:fill="auto"/>
            <w:vAlign w:val="center"/>
            <w:hideMark/>
          </w:tcPr>
          <w:p w14:paraId="1D04F13C"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II</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14:paraId="61A75367"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III</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6B3770A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IV</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8E8C500"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V</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4DA7C3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VI</w:t>
            </w:r>
          </w:p>
        </w:tc>
        <w:tc>
          <w:tcPr>
            <w:tcW w:w="1369" w:type="dxa"/>
            <w:tcBorders>
              <w:top w:val="single" w:sz="4" w:space="0" w:color="auto"/>
              <w:left w:val="nil"/>
              <w:bottom w:val="single" w:sz="4" w:space="0" w:color="auto"/>
              <w:right w:val="single" w:sz="4" w:space="0" w:color="auto"/>
            </w:tcBorders>
            <w:shd w:val="clear" w:color="auto" w:fill="auto"/>
            <w:vAlign w:val="center"/>
            <w:hideMark/>
          </w:tcPr>
          <w:p w14:paraId="6CDC6DC5"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VII</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14:paraId="5F6C215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VIII</w:t>
            </w:r>
          </w:p>
        </w:tc>
      </w:tr>
      <w:tr w:rsidR="008A5057" w:rsidRPr="00BD295E" w14:paraId="001FD116"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07C816B5"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w:t>
            </w:r>
          </w:p>
        </w:tc>
        <w:tc>
          <w:tcPr>
            <w:tcW w:w="1786" w:type="dxa"/>
            <w:tcBorders>
              <w:top w:val="nil"/>
              <w:left w:val="nil"/>
              <w:bottom w:val="single" w:sz="4" w:space="0" w:color="auto"/>
              <w:right w:val="single" w:sz="4" w:space="0" w:color="auto"/>
            </w:tcBorders>
            <w:shd w:val="clear" w:color="auto" w:fill="auto"/>
            <w:vAlign w:val="center"/>
            <w:hideMark/>
          </w:tcPr>
          <w:p w14:paraId="221BCE3C"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Assets classified as electric grid facilities, including</w:t>
            </w:r>
          </w:p>
        </w:tc>
        <w:tc>
          <w:tcPr>
            <w:tcW w:w="1326" w:type="dxa"/>
            <w:tcBorders>
              <w:top w:val="nil"/>
              <w:left w:val="nil"/>
              <w:bottom w:val="single" w:sz="4" w:space="0" w:color="auto"/>
              <w:right w:val="single" w:sz="4" w:space="0" w:color="auto"/>
            </w:tcBorders>
            <w:shd w:val="clear" w:color="auto" w:fill="auto"/>
            <w:vAlign w:val="center"/>
          </w:tcPr>
          <w:p w14:paraId="1FC39B48" w14:textId="77777777" w:rsidR="00162DD0" w:rsidRPr="00BD295E" w:rsidRDefault="00162DD0" w:rsidP="00162DD0">
            <w:pPr>
              <w:spacing w:after="160" w:line="259" w:lineRule="auto"/>
              <w:rPr>
                <w:rFonts w:ascii="Arial" w:hAnsi="Arial" w:cs="Arial"/>
                <w:b/>
                <w:bCs/>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2E28D793" w14:textId="77777777" w:rsidR="00162DD0" w:rsidRPr="00BD295E" w:rsidRDefault="008A5057" w:rsidP="00162DD0">
            <w:pPr>
              <w:rPr>
                <w:rFonts w:ascii="Arial" w:hAnsi="Arial" w:cs="Arial"/>
                <w:b/>
                <w:sz w:val="18"/>
                <w:szCs w:val="18"/>
                <w:lang w:val="en-US"/>
              </w:rPr>
            </w:pPr>
            <w:r w:rsidRPr="00BD295E">
              <w:rPr>
                <w:rFonts w:ascii="Arial" w:hAnsi="Arial" w:cs="Arial"/>
                <w:b/>
                <w:sz w:val="18"/>
                <w:szCs w:val="18"/>
                <w:lang w:val="en-US"/>
              </w:rPr>
              <w:t>141,067,148</w:t>
            </w:r>
          </w:p>
        </w:tc>
        <w:tc>
          <w:tcPr>
            <w:tcW w:w="1134" w:type="dxa"/>
            <w:tcBorders>
              <w:top w:val="nil"/>
              <w:left w:val="nil"/>
              <w:bottom w:val="single" w:sz="4" w:space="0" w:color="auto"/>
              <w:right w:val="single" w:sz="4" w:space="0" w:color="auto"/>
            </w:tcBorders>
            <w:shd w:val="clear" w:color="auto" w:fill="auto"/>
            <w:vAlign w:val="center"/>
          </w:tcPr>
          <w:p w14:paraId="6FE2E1A4"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22,473,329</w:t>
            </w:r>
          </w:p>
        </w:tc>
        <w:tc>
          <w:tcPr>
            <w:tcW w:w="1134" w:type="dxa"/>
            <w:tcBorders>
              <w:top w:val="nil"/>
              <w:left w:val="nil"/>
              <w:bottom w:val="single" w:sz="4" w:space="0" w:color="auto"/>
              <w:right w:val="single" w:sz="4" w:space="0" w:color="auto"/>
            </w:tcBorders>
            <w:shd w:val="clear" w:color="auto" w:fill="auto"/>
            <w:vAlign w:val="center"/>
          </w:tcPr>
          <w:p w14:paraId="6DF7361A"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48,424</w:t>
            </w:r>
          </w:p>
        </w:tc>
        <w:tc>
          <w:tcPr>
            <w:tcW w:w="1369" w:type="dxa"/>
            <w:tcBorders>
              <w:top w:val="nil"/>
              <w:left w:val="nil"/>
              <w:bottom w:val="single" w:sz="4" w:space="0" w:color="auto"/>
              <w:right w:val="single" w:sz="4" w:space="0" w:color="auto"/>
            </w:tcBorders>
            <w:shd w:val="clear" w:color="auto" w:fill="auto"/>
            <w:vAlign w:val="center"/>
          </w:tcPr>
          <w:p w14:paraId="3FE38872"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11,596,371</w:t>
            </w:r>
          </w:p>
        </w:tc>
        <w:tc>
          <w:tcPr>
            <w:tcW w:w="1326" w:type="dxa"/>
            <w:tcBorders>
              <w:top w:val="nil"/>
              <w:left w:val="nil"/>
              <w:bottom w:val="single" w:sz="4" w:space="0" w:color="auto"/>
              <w:right w:val="single" w:sz="4" w:space="0" w:color="auto"/>
            </w:tcBorders>
            <w:shd w:val="clear" w:color="auto" w:fill="auto"/>
            <w:vAlign w:val="center"/>
          </w:tcPr>
          <w:p w14:paraId="16F640C7"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151,895,682</w:t>
            </w:r>
          </w:p>
        </w:tc>
      </w:tr>
      <w:tr w:rsidR="008A5057" w:rsidRPr="00BD295E" w14:paraId="60B58576"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5FA4F4B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w:t>
            </w:r>
          </w:p>
        </w:tc>
        <w:tc>
          <w:tcPr>
            <w:tcW w:w="1786" w:type="dxa"/>
            <w:tcBorders>
              <w:top w:val="nil"/>
              <w:left w:val="nil"/>
              <w:bottom w:val="single" w:sz="4" w:space="0" w:color="auto"/>
              <w:right w:val="single" w:sz="4" w:space="0" w:color="auto"/>
            </w:tcBorders>
            <w:shd w:val="clear" w:color="auto" w:fill="auto"/>
            <w:vAlign w:val="center"/>
            <w:hideMark/>
          </w:tcPr>
          <w:p w14:paraId="564CBB0A"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220+ kV OL</w:t>
            </w:r>
          </w:p>
        </w:tc>
        <w:tc>
          <w:tcPr>
            <w:tcW w:w="1326" w:type="dxa"/>
            <w:tcBorders>
              <w:top w:val="nil"/>
              <w:left w:val="nil"/>
              <w:bottom w:val="single" w:sz="4" w:space="0" w:color="auto"/>
              <w:right w:val="single" w:sz="4" w:space="0" w:color="auto"/>
            </w:tcBorders>
            <w:shd w:val="clear" w:color="auto" w:fill="auto"/>
            <w:vAlign w:val="center"/>
          </w:tcPr>
          <w:p w14:paraId="58B05D73"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00FDF76C" w14:textId="77777777" w:rsidR="00162DD0" w:rsidRPr="00BD295E" w:rsidRDefault="00162DD0" w:rsidP="00162DD0">
            <w:pPr>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2A099A44"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4D6FE6BD"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58F3C34D"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1A985304"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5635E6F3"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2ECDE4DF"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1.2.</w:t>
            </w:r>
          </w:p>
        </w:tc>
        <w:tc>
          <w:tcPr>
            <w:tcW w:w="1786" w:type="dxa"/>
            <w:tcBorders>
              <w:top w:val="nil"/>
              <w:left w:val="nil"/>
              <w:bottom w:val="single" w:sz="4" w:space="0" w:color="auto"/>
              <w:right w:val="single" w:sz="4" w:space="0" w:color="auto"/>
            </w:tcBorders>
            <w:shd w:val="clear" w:color="auto" w:fill="auto"/>
            <w:vAlign w:val="center"/>
            <w:hideMark/>
          </w:tcPr>
          <w:p w14:paraId="2BD2132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110 kV OL</w:t>
            </w:r>
          </w:p>
        </w:tc>
        <w:tc>
          <w:tcPr>
            <w:tcW w:w="1326" w:type="dxa"/>
            <w:tcBorders>
              <w:top w:val="nil"/>
              <w:left w:val="nil"/>
              <w:bottom w:val="single" w:sz="4" w:space="0" w:color="auto"/>
              <w:right w:val="single" w:sz="4" w:space="0" w:color="auto"/>
            </w:tcBorders>
            <w:shd w:val="clear" w:color="auto" w:fill="auto"/>
            <w:vAlign w:val="center"/>
          </w:tcPr>
          <w:p w14:paraId="3535BEB2"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7,296.39</w:t>
            </w:r>
          </w:p>
        </w:tc>
        <w:tc>
          <w:tcPr>
            <w:tcW w:w="1271" w:type="dxa"/>
            <w:tcBorders>
              <w:top w:val="nil"/>
              <w:left w:val="nil"/>
              <w:bottom w:val="single" w:sz="4" w:space="0" w:color="auto"/>
              <w:right w:val="single" w:sz="4" w:space="0" w:color="auto"/>
            </w:tcBorders>
            <w:shd w:val="clear" w:color="auto" w:fill="auto"/>
          </w:tcPr>
          <w:p w14:paraId="69E19258"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7,068,350</w:t>
            </w:r>
          </w:p>
        </w:tc>
        <w:tc>
          <w:tcPr>
            <w:tcW w:w="1134" w:type="dxa"/>
            <w:tcBorders>
              <w:top w:val="nil"/>
              <w:left w:val="nil"/>
              <w:bottom w:val="single" w:sz="4" w:space="0" w:color="auto"/>
              <w:right w:val="single" w:sz="4" w:space="0" w:color="auto"/>
            </w:tcBorders>
            <w:shd w:val="clear" w:color="auto" w:fill="auto"/>
            <w:vAlign w:val="center"/>
          </w:tcPr>
          <w:p w14:paraId="0DB8387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488,787</w:t>
            </w:r>
          </w:p>
        </w:tc>
        <w:tc>
          <w:tcPr>
            <w:tcW w:w="1134" w:type="dxa"/>
            <w:tcBorders>
              <w:top w:val="nil"/>
              <w:left w:val="nil"/>
              <w:bottom w:val="single" w:sz="4" w:space="0" w:color="auto"/>
              <w:right w:val="single" w:sz="4" w:space="0" w:color="auto"/>
            </w:tcBorders>
            <w:shd w:val="clear" w:color="auto" w:fill="auto"/>
            <w:vAlign w:val="center"/>
          </w:tcPr>
          <w:p w14:paraId="6F5A5EA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10,150</w:t>
            </w:r>
          </w:p>
        </w:tc>
        <w:tc>
          <w:tcPr>
            <w:tcW w:w="1369" w:type="dxa"/>
            <w:tcBorders>
              <w:top w:val="nil"/>
              <w:left w:val="nil"/>
              <w:bottom w:val="single" w:sz="4" w:space="0" w:color="auto"/>
              <w:right w:val="single" w:sz="4" w:space="0" w:color="auto"/>
            </w:tcBorders>
            <w:shd w:val="clear" w:color="auto" w:fill="auto"/>
            <w:vAlign w:val="center"/>
          </w:tcPr>
          <w:p w14:paraId="78ED31EF"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990,624</w:t>
            </w:r>
          </w:p>
        </w:tc>
        <w:tc>
          <w:tcPr>
            <w:tcW w:w="1326" w:type="dxa"/>
            <w:tcBorders>
              <w:top w:val="nil"/>
              <w:left w:val="nil"/>
              <w:bottom w:val="single" w:sz="4" w:space="0" w:color="auto"/>
              <w:right w:val="single" w:sz="4" w:space="0" w:color="auto"/>
            </w:tcBorders>
            <w:shd w:val="clear" w:color="auto" w:fill="auto"/>
            <w:vAlign w:val="center"/>
          </w:tcPr>
          <w:p w14:paraId="3EA189F2"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6,556,363</w:t>
            </w:r>
          </w:p>
        </w:tc>
      </w:tr>
      <w:tr w:rsidR="008A5057" w:rsidRPr="00BD295E" w14:paraId="63916FE4"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6CE9D08A"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1.3.</w:t>
            </w:r>
          </w:p>
        </w:tc>
        <w:tc>
          <w:tcPr>
            <w:tcW w:w="1786" w:type="dxa"/>
            <w:tcBorders>
              <w:top w:val="nil"/>
              <w:left w:val="nil"/>
              <w:bottom w:val="single" w:sz="4" w:space="0" w:color="auto"/>
              <w:right w:val="single" w:sz="4" w:space="0" w:color="auto"/>
            </w:tcBorders>
            <w:shd w:val="clear" w:color="auto" w:fill="auto"/>
            <w:vAlign w:val="center"/>
            <w:hideMark/>
          </w:tcPr>
          <w:p w14:paraId="60F23D4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35 kV OL</w:t>
            </w:r>
          </w:p>
        </w:tc>
        <w:tc>
          <w:tcPr>
            <w:tcW w:w="1326" w:type="dxa"/>
            <w:tcBorders>
              <w:top w:val="nil"/>
              <w:left w:val="nil"/>
              <w:bottom w:val="single" w:sz="4" w:space="0" w:color="auto"/>
              <w:right w:val="single" w:sz="4" w:space="0" w:color="auto"/>
            </w:tcBorders>
            <w:shd w:val="clear" w:color="auto" w:fill="auto"/>
            <w:vAlign w:val="center"/>
          </w:tcPr>
          <w:p w14:paraId="4825FCC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3,719.657</w:t>
            </w:r>
          </w:p>
        </w:tc>
        <w:tc>
          <w:tcPr>
            <w:tcW w:w="1271" w:type="dxa"/>
            <w:tcBorders>
              <w:top w:val="nil"/>
              <w:left w:val="nil"/>
              <w:bottom w:val="single" w:sz="4" w:space="0" w:color="auto"/>
              <w:right w:val="single" w:sz="4" w:space="0" w:color="auto"/>
            </w:tcBorders>
            <w:shd w:val="clear" w:color="auto" w:fill="auto"/>
          </w:tcPr>
          <w:p w14:paraId="746011CC"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6,064,170</w:t>
            </w:r>
          </w:p>
        </w:tc>
        <w:tc>
          <w:tcPr>
            <w:tcW w:w="1134" w:type="dxa"/>
            <w:tcBorders>
              <w:top w:val="nil"/>
              <w:left w:val="nil"/>
              <w:bottom w:val="single" w:sz="4" w:space="0" w:color="auto"/>
              <w:right w:val="single" w:sz="4" w:space="0" w:color="auto"/>
            </w:tcBorders>
            <w:shd w:val="clear" w:color="auto" w:fill="auto"/>
            <w:vAlign w:val="center"/>
          </w:tcPr>
          <w:p w14:paraId="2497AA5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1,123991</w:t>
            </w:r>
          </w:p>
        </w:tc>
        <w:tc>
          <w:tcPr>
            <w:tcW w:w="1134" w:type="dxa"/>
            <w:tcBorders>
              <w:top w:val="nil"/>
              <w:left w:val="nil"/>
              <w:bottom w:val="single" w:sz="4" w:space="0" w:color="auto"/>
              <w:right w:val="single" w:sz="4" w:space="0" w:color="auto"/>
            </w:tcBorders>
            <w:shd w:val="clear" w:color="auto" w:fill="auto"/>
            <w:vAlign w:val="center"/>
          </w:tcPr>
          <w:p w14:paraId="696E560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5,133</w:t>
            </w:r>
          </w:p>
        </w:tc>
        <w:tc>
          <w:tcPr>
            <w:tcW w:w="1369" w:type="dxa"/>
            <w:tcBorders>
              <w:top w:val="nil"/>
              <w:left w:val="nil"/>
              <w:bottom w:val="single" w:sz="4" w:space="0" w:color="auto"/>
              <w:right w:val="single" w:sz="4" w:space="0" w:color="auto"/>
            </w:tcBorders>
            <w:shd w:val="clear" w:color="auto" w:fill="auto"/>
            <w:vAlign w:val="center"/>
          </w:tcPr>
          <w:p w14:paraId="48E6E12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1,109,498</w:t>
            </w:r>
          </w:p>
        </w:tc>
        <w:tc>
          <w:tcPr>
            <w:tcW w:w="1326" w:type="dxa"/>
            <w:tcBorders>
              <w:top w:val="nil"/>
              <w:left w:val="nil"/>
              <w:bottom w:val="single" w:sz="4" w:space="0" w:color="auto"/>
              <w:right w:val="single" w:sz="4" w:space="0" w:color="auto"/>
            </w:tcBorders>
            <w:shd w:val="clear" w:color="auto" w:fill="auto"/>
            <w:vAlign w:val="center"/>
          </w:tcPr>
          <w:p w14:paraId="5C59294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6 0730530</w:t>
            </w:r>
          </w:p>
        </w:tc>
      </w:tr>
      <w:tr w:rsidR="008A5057" w:rsidRPr="00BD295E" w14:paraId="321CEDCC"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5D7E7BA2"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1.4.</w:t>
            </w:r>
          </w:p>
        </w:tc>
        <w:tc>
          <w:tcPr>
            <w:tcW w:w="1786" w:type="dxa"/>
            <w:tcBorders>
              <w:top w:val="nil"/>
              <w:left w:val="nil"/>
              <w:bottom w:val="single" w:sz="4" w:space="0" w:color="auto"/>
              <w:right w:val="single" w:sz="4" w:space="0" w:color="auto"/>
            </w:tcBorders>
            <w:shd w:val="clear" w:color="auto" w:fill="auto"/>
            <w:vAlign w:val="center"/>
            <w:hideMark/>
          </w:tcPr>
          <w:p w14:paraId="5859CEB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 kV OL</w:t>
            </w:r>
          </w:p>
        </w:tc>
        <w:tc>
          <w:tcPr>
            <w:tcW w:w="1326" w:type="dxa"/>
            <w:tcBorders>
              <w:top w:val="nil"/>
              <w:left w:val="nil"/>
              <w:bottom w:val="single" w:sz="4" w:space="0" w:color="auto"/>
              <w:right w:val="single" w:sz="4" w:space="0" w:color="auto"/>
            </w:tcBorders>
            <w:shd w:val="clear" w:color="auto" w:fill="auto"/>
            <w:vAlign w:val="center"/>
          </w:tcPr>
          <w:p w14:paraId="085C2CA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34,198.58</w:t>
            </w:r>
          </w:p>
        </w:tc>
        <w:tc>
          <w:tcPr>
            <w:tcW w:w="1271" w:type="dxa"/>
            <w:tcBorders>
              <w:top w:val="nil"/>
              <w:left w:val="nil"/>
              <w:bottom w:val="single" w:sz="4" w:space="0" w:color="auto"/>
              <w:right w:val="single" w:sz="4" w:space="0" w:color="auto"/>
            </w:tcBorders>
            <w:shd w:val="clear" w:color="auto" w:fill="auto"/>
          </w:tcPr>
          <w:p w14:paraId="5329EB44"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5,242,237</w:t>
            </w:r>
          </w:p>
        </w:tc>
        <w:tc>
          <w:tcPr>
            <w:tcW w:w="1134" w:type="dxa"/>
            <w:tcBorders>
              <w:top w:val="nil"/>
              <w:left w:val="nil"/>
              <w:bottom w:val="single" w:sz="4" w:space="0" w:color="auto"/>
              <w:right w:val="single" w:sz="4" w:space="0" w:color="auto"/>
            </w:tcBorders>
            <w:shd w:val="clear" w:color="auto" w:fill="auto"/>
            <w:vAlign w:val="center"/>
          </w:tcPr>
          <w:p w14:paraId="0A337F6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1,105,010</w:t>
            </w:r>
          </w:p>
        </w:tc>
        <w:tc>
          <w:tcPr>
            <w:tcW w:w="1134" w:type="dxa"/>
            <w:tcBorders>
              <w:top w:val="nil"/>
              <w:left w:val="nil"/>
              <w:bottom w:val="single" w:sz="4" w:space="0" w:color="auto"/>
              <w:right w:val="single" w:sz="4" w:space="0" w:color="auto"/>
            </w:tcBorders>
            <w:shd w:val="clear" w:color="auto" w:fill="auto"/>
            <w:vAlign w:val="center"/>
          </w:tcPr>
          <w:p w14:paraId="74AC256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1,377</w:t>
            </w:r>
          </w:p>
        </w:tc>
        <w:tc>
          <w:tcPr>
            <w:tcW w:w="1369" w:type="dxa"/>
            <w:tcBorders>
              <w:top w:val="nil"/>
              <w:left w:val="nil"/>
              <w:bottom w:val="single" w:sz="4" w:space="0" w:color="auto"/>
              <w:right w:val="single" w:sz="4" w:space="0" w:color="auto"/>
            </w:tcBorders>
            <w:shd w:val="clear" w:color="auto" w:fill="auto"/>
            <w:vAlign w:val="center"/>
          </w:tcPr>
          <w:p w14:paraId="0B23D21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921,489</w:t>
            </w:r>
          </w:p>
        </w:tc>
        <w:tc>
          <w:tcPr>
            <w:tcW w:w="1326" w:type="dxa"/>
            <w:tcBorders>
              <w:top w:val="nil"/>
              <w:left w:val="nil"/>
              <w:bottom w:val="single" w:sz="4" w:space="0" w:color="auto"/>
              <w:right w:val="single" w:sz="4" w:space="0" w:color="auto"/>
            </w:tcBorders>
            <w:shd w:val="clear" w:color="auto" w:fill="auto"/>
            <w:vAlign w:val="center"/>
          </w:tcPr>
          <w:p w14:paraId="783F5E9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5,424,381</w:t>
            </w:r>
          </w:p>
        </w:tc>
      </w:tr>
      <w:tr w:rsidR="008A5057" w:rsidRPr="00BD295E" w14:paraId="1F8BA3B2"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1ADB794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1.5.</w:t>
            </w:r>
          </w:p>
        </w:tc>
        <w:tc>
          <w:tcPr>
            <w:tcW w:w="1786" w:type="dxa"/>
            <w:tcBorders>
              <w:top w:val="nil"/>
              <w:left w:val="nil"/>
              <w:bottom w:val="single" w:sz="4" w:space="0" w:color="auto"/>
              <w:right w:val="single" w:sz="4" w:space="0" w:color="auto"/>
            </w:tcBorders>
            <w:shd w:val="clear" w:color="auto" w:fill="auto"/>
            <w:vAlign w:val="center"/>
            <w:hideMark/>
          </w:tcPr>
          <w:p w14:paraId="70C7C41F"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220+ kV SS</w:t>
            </w:r>
          </w:p>
        </w:tc>
        <w:tc>
          <w:tcPr>
            <w:tcW w:w="1326" w:type="dxa"/>
            <w:tcBorders>
              <w:top w:val="nil"/>
              <w:left w:val="nil"/>
              <w:bottom w:val="single" w:sz="4" w:space="0" w:color="auto"/>
              <w:right w:val="single" w:sz="4" w:space="0" w:color="auto"/>
            </w:tcBorders>
            <w:shd w:val="clear" w:color="auto" w:fill="auto"/>
            <w:vAlign w:val="center"/>
          </w:tcPr>
          <w:p w14:paraId="3ABBCFB9"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tcPr>
          <w:p w14:paraId="521CCCCA" w14:textId="77777777" w:rsidR="00162DD0" w:rsidRPr="00BD295E" w:rsidRDefault="00162DD0" w:rsidP="00162DD0">
            <w:pPr>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35E94065"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50582274"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602EAC15"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798C89B3"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3FD0E639"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4B13AD5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1.6.</w:t>
            </w:r>
          </w:p>
        </w:tc>
        <w:tc>
          <w:tcPr>
            <w:tcW w:w="1786" w:type="dxa"/>
            <w:tcBorders>
              <w:top w:val="nil"/>
              <w:left w:val="nil"/>
              <w:bottom w:val="single" w:sz="4" w:space="0" w:color="auto"/>
              <w:right w:val="single" w:sz="4" w:space="0" w:color="auto"/>
            </w:tcBorders>
            <w:shd w:val="clear" w:color="auto" w:fill="auto"/>
            <w:vAlign w:val="center"/>
            <w:hideMark/>
          </w:tcPr>
          <w:p w14:paraId="4CECEB7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110 kV SS</w:t>
            </w:r>
          </w:p>
        </w:tc>
        <w:tc>
          <w:tcPr>
            <w:tcW w:w="1326" w:type="dxa"/>
            <w:tcBorders>
              <w:top w:val="nil"/>
              <w:left w:val="nil"/>
              <w:bottom w:val="single" w:sz="4" w:space="0" w:color="auto"/>
              <w:right w:val="single" w:sz="4" w:space="0" w:color="auto"/>
            </w:tcBorders>
            <w:shd w:val="clear" w:color="auto" w:fill="auto"/>
            <w:vAlign w:val="center"/>
          </w:tcPr>
          <w:p w14:paraId="38123BC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219</w:t>
            </w:r>
          </w:p>
        </w:tc>
        <w:tc>
          <w:tcPr>
            <w:tcW w:w="1271" w:type="dxa"/>
            <w:tcBorders>
              <w:top w:val="nil"/>
              <w:left w:val="nil"/>
              <w:bottom w:val="single" w:sz="4" w:space="0" w:color="auto"/>
              <w:right w:val="single" w:sz="4" w:space="0" w:color="auto"/>
            </w:tcBorders>
            <w:shd w:val="clear" w:color="auto" w:fill="auto"/>
          </w:tcPr>
          <w:p w14:paraId="2E8C0B53"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14,928,503</w:t>
            </w:r>
          </w:p>
        </w:tc>
        <w:tc>
          <w:tcPr>
            <w:tcW w:w="1134" w:type="dxa"/>
            <w:tcBorders>
              <w:top w:val="nil"/>
              <w:left w:val="nil"/>
              <w:bottom w:val="single" w:sz="4" w:space="0" w:color="auto"/>
              <w:right w:val="single" w:sz="4" w:space="0" w:color="auto"/>
            </w:tcBorders>
            <w:shd w:val="clear" w:color="auto" w:fill="auto"/>
            <w:vAlign w:val="center"/>
          </w:tcPr>
          <w:p w14:paraId="4D9B3450"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1,496,666</w:t>
            </w:r>
          </w:p>
        </w:tc>
        <w:tc>
          <w:tcPr>
            <w:tcW w:w="1134" w:type="dxa"/>
            <w:tcBorders>
              <w:top w:val="nil"/>
              <w:left w:val="nil"/>
              <w:bottom w:val="single" w:sz="4" w:space="0" w:color="auto"/>
              <w:right w:val="single" w:sz="4" w:space="0" w:color="auto"/>
            </w:tcBorders>
            <w:shd w:val="clear" w:color="auto" w:fill="auto"/>
            <w:vAlign w:val="center"/>
          </w:tcPr>
          <w:p w14:paraId="5632ADA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12,885</w:t>
            </w:r>
          </w:p>
        </w:tc>
        <w:tc>
          <w:tcPr>
            <w:tcW w:w="1369" w:type="dxa"/>
            <w:tcBorders>
              <w:top w:val="nil"/>
              <w:left w:val="nil"/>
              <w:bottom w:val="single" w:sz="4" w:space="0" w:color="auto"/>
              <w:right w:val="single" w:sz="4" w:space="0" w:color="auto"/>
            </w:tcBorders>
            <w:shd w:val="clear" w:color="auto" w:fill="auto"/>
            <w:vAlign w:val="center"/>
          </w:tcPr>
          <w:p w14:paraId="713C387A"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1,801,909</w:t>
            </w:r>
          </w:p>
        </w:tc>
        <w:tc>
          <w:tcPr>
            <w:tcW w:w="1326" w:type="dxa"/>
            <w:tcBorders>
              <w:top w:val="nil"/>
              <w:left w:val="nil"/>
              <w:bottom w:val="single" w:sz="4" w:space="0" w:color="auto"/>
              <w:right w:val="single" w:sz="4" w:space="0" w:color="auto"/>
            </w:tcBorders>
            <w:shd w:val="clear" w:color="auto" w:fill="auto"/>
            <w:vAlign w:val="center"/>
          </w:tcPr>
          <w:p w14:paraId="2E4FA09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14,610,375</w:t>
            </w:r>
          </w:p>
        </w:tc>
      </w:tr>
      <w:tr w:rsidR="008A5057" w:rsidRPr="00BD295E" w14:paraId="316EACCE"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4C1CEDFA"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1.7.</w:t>
            </w:r>
          </w:p>
        </w:tc>
        <w:tc>
          <w:tcPr>
            <w:tcW w:w="1786" w:type="dxa"/>
            <w:tcBorders>
              <w:top w:val="nil"/>
              <w:left w:val="nil"/>
              <w:bottom w:val="single" w:sz="4" w:space="0" w:color="auto"/>
              <w:right w:val="single" w:sz="4" w:space="0" w:color="auto"/>
            </w:tcBorders>
            <w:shd w:val="clear" w:color="auto" w:fill="auto"/>
            <w:vAlign w:val="center"/>
            <w:hideMark/>
          </w:tcPr>
          <w:p w14:paraId="0CE25E6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35 kV SS</w:t>
            </w:r>
          </w:p>
        </w:tc>
        <w:tc>
          <w:tcPr>
            <w:tcW w:w="1326" w:type="dxa"/>
            <w:tcBorders>
              <w:top w:val="nil"/>
              <w:left w:val="nil"/>
              <w:bottom w:val="single" w:sz="4" w:space="0" w:color="auto"/>
              <w:right w:val="single" w:sz="4" w:space="0" w:color="auto"/>
            </w:tcBorders>
            <w:shd w:val="clear" w:color="auto" w:fill="auto"/>
            <w:vAlign w:val="center"/>
          </w:tcPr>
          <w:p w14:paraId="634D1D7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177</w:t>
            </w:r>
          </w:p>
        </w:tc>
        <w:tc>
          <w:tcPr>
            <w:tcW w:w="1271" w:type="dxa"/>
            <w:tcBorders>
              <w:top w:val="nil"/>
              <w:left w:val="nil"/>
              <w:bottom w:val="single" w:sz="4" w:space="0" w:color="auto"/>
              <w:right w:val="single" w:sz="4" w:space="0" w:color="auto"/>
            </w:tcBorders>
            <w:shd w:val="clear" w:color="auto" w:fill="auto"/>
          </w:tcPr>
          <w:p w14:paraId="20703BF8"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30,131,359</w:t>
            </w:r>
          </w:p>
        </w:tc>
        <w:tc>
          <w:tcPr>
            <w:tcW w:w="1134" w:type="dxa"/>
            <w:tcBorders>
              <w:top w:val="nil"/>
              <w:left w:val="nil"/>
              <w:bottom w:val="single" w:sz="4" w:space="0" w:color="auto"/>
              <w:right w:val="single" w:sz="4" w:space="0" w:color="auto"/>
            </w:tcBorders>
            <w:shd w:val="clear" w:color="auto" w:fill="auto"/>
            <w:vAlign w:val="center"/>
          </w:tcPr>
          <w:p w14:paraId="0CB9557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6,428,263</w:t>
            </w:r>
          </w:p>
        </w:tc>
        <w:tc>
          <w:tcPr>
            <w:tcW w:w="1134" w:type="dxa"/>
            <w:tcBorders>
              <w:top w:val="nil"/>
              <w:left w:val="nil"/>
              <w:bottom w:val="single" w:sz="4" w:space="0" w:color="auto"/>
              <w:right w:val="single" w:sz="4" w:space="0" w:color="auto"/>
            </w:tcBorders>
            <w:shd w:val="clear" w:color="auto" w:fill="auto"/>
            <w:vAlign w:val="center"/>
          </w:tcPr>
          <w:p w14:paraId="3D115F52"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8,844</w:t>
            </w:r>
          </w:p>
        </w:tc>
        <w:tc>
          <w:tcPr>
            <w:tcW w:w="1369" w:type="dxa"/>
            <w:tcBorders>
              <w:top w:val="nil"/>
              <w:left w:val="nil"/>
              <w:bottom w:val="single" w:sz="4" w:space="0" w:color="auto"/>
              <w:right w:val="single" w:sz="4" w:space="0" w:color="auto"/>
            </w:tcBorders>
            <w:shd w:val="clear" w:color="auto" w:fill="auto"/>
            <w:vAlign w:val="center"/>
          </w:tcPr>
          <w:p w14:paraId="5E82AE7E"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2,155,240</w:t>
            </w:r>
          </w:p>
        </w:tc>
        <w:tc>
          <w:tcPr>
            <w:tcW w:w="1326" w:type="dxa"/>
            <w:tcBorders>
              <w:top w:val="nil"/>
              <w:left w:val="nil"/>
              <w:bottom w:val="single" w:sz="4" w:space="0" w:color="auto"/>
              <w:right w:val="single" w:sz="4" w:space="0" w:color="auto"/>
            </w:tcBorders>
            <w:shd w:val="clear" w:color="auto" w:fill="auto"/>
            <w:vAlign w:val="center"/>
          </w:tcPr>
          <w:p w14:paraId="566D129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34,395,538</w:t>
            </w:r>
          </w:p>
        </w:tc>
      </w:tr>
      <w:tr w:rsidR="008A5057" w:rsidRPr="00BD295E" w14:paraId="492365EF"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7DE82A0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18</w:t>
            </w:r>
          </w:p>
        </w:tc>
        <w:tc>
          <w:tcPr>
            <w:tcW w:w="1786" w:type="dxa"/>
            <w:tcBorders>
              <w:top w:val="nil"/>
              <w:left w:val="nil"/>
              <w:bottom w:val="single" w:sz="4" w:space="0" w:color="auto"/>
              <w:right w:val="single" w:sz="4" w:space="0" w:color="auto"/>
            </w:tcBorders>
            <w:shd w:val="clear" w:color="auto" w:fill="auto"/>
            <w:vAlign w:val="center"/>
            <w:hideMark/>
          </w:tcPr>
          <w:p w14:paraId="4EA174E2"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 kV SS</w:t>
            </w:r>
          </w:p>
        </w:tc>
        <w:tc>
          <w:tcPr>
            <w:tcW w:w="1326" w:type="dxa"/>
            <w:tcBorders>
              <w:top w:val="nil"/>
              <w:left w:val="nil"/>
              <w:bottom w:val="single" w:sz="4" w:space="0" w:color="auto"/>
              <w:right w:val="single" w:sz="4" w:space="0" w:color="auto"/>
            </w:tcBorders>
            <w:shd w:val="clear" w:color="auto" w:fill="auto"/>
            <w:vAlign w:val="center"/>
          </w:tcPr>
          <w:p w14:paraId="230DE53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19,440</w:t>
            </w:r>
          </w:p>
        </w:tc>
        <w:tc>
          <w:tcPr>
            <w:tcW w:w="1271" w:type="dxa"/>
            <w:tcBorders>
              <w:top w:val="nil"/>
              <w:left w:val="nil"/>
              <w:bottom w:val="single" w:sz="4" w:space="0" w:color="auto"/>
              <w:right w:val="single" w:sz="4" w:space="0" w:color="auto"/>
            </w:tcBorders>
            <w:shd w:val="clear" w:color="auto" w:fill="auto"/>
          </w:tcPr>
          <w:p w14:paraId="671FEE2F"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671,419</w:t>
            </w:r>
          </w:p>
        </w:tc>
        <w:tc>
          <w:tcPr>
            <w:tcW w:w="1134" w:type="dxa"/>
            <w:tcBorders>
              <w:top w:val="nil"/>
              <w:left w:val="nil"/>
              <w:bottom w:val="single" w:sz="4" w:space="0" w:color="auto"/>
              <w:right w:val="single" w:sz="4" w:space="0" w:color="auto"/>
            </w:tcBorders>
            <w:shd w:val="clear" w:color="auto" w:fill="auto"/>
            <w:vAlign w:val="center"/>
          </w:tcPr>
          <w:p w14:paraId="4F01748A"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442,346</w:t>
            </w:r>
          </w:p>
        </w:tc>
        <w:tc>
          <w:tcPr>
            <w:tcW w:w="1134" w:type="dxa"/>
            <w:tcBorders>
              <w:top w:val="nil"/>
              <w:left w:val="nil"/>
              <w:bottom w:val="single" w:sz="4" w:space="0" w:color="auto"/>
              <w:right w:val="single" w:sz="4" w:space="0" w:color="auto"/>
            </w:tcBorders>
            <w:shd w:val="clear" w:color="auto" w:fill="auto"/>
            <w:vAlign w:val="center"/>
          </w:tcPr>
          <w:p w14:paraId="05E0A87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156</w:t>
            </w:r>
          </w:p>
        </w:tc>
        <w:tc>
          <w:tcPr>
            <w:tcW w:w="1369" w:type="dxa"/>
            <w:tcBorders>
              <w:top w:val="nil"/>
              <w:left w:val="nil"/>
              <w:bottom w:val="single" w:sz="4" w:space="0" w:color="auto"/>
              <w:right w:val="single" w:sz="4" w:space="0" w:color="auto"/>
            </w:tcBorders>
            <w:shd w:val="clear" w:color="auto" w:fill="auto"/>
            <w:vAlign w:val="center"/>
          </w:tcPr>
          <w:p w14:paraId="16AB273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106,926</w:t>
            </w:r>
          </w:p>
        </w:tc>
        <w:tc>
          <w:tcPr>
            <w:tcW w:w="1326" w:type="dxa"/>
            <w:tcBorders>
              <w:top w:val="nil"/>
              <w:left w:val="nil"/>
              <w:bottom w:val="single" w:sz="4" w:space="0" w:color="auto"/>
              <w:right w:val="single" w:sz="4" w:space="0" w:color="auto"/>
            </w:tcBorders>
            <w:shd w:val="clear" w:color="auto" w:fill="auto"/>
            <w:vAlign w:val="center"/>
          </w:tcPr>
          <w:p w14:paraId="3F0BF78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1,006,683</w:t>
            </w:r>
          </w:p>
        </w:tc>
      </w:tr>
      <w:tr w:rsidR="008A5057" w:rsidRPr="00BD295E" w14:paraId="4A8A0CB0"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6E0A59A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19</w:t>
            </w:r>
          </w:p>
        </w:tc>
        <w:tc>
          <w:tcPr>
            <w:tcW w:w="1786" w:type="dxa"/>
            <w:tcBorders>
              <w:top w:val="nil"/>
              <w:left w:val="nil"/>
              <w:bottom w:val="single" w:sz="4" w:space="0" w:color="auto"/>
              <w:right w:val="single" w:sz="4" w:space="0" w:color="auto"/>
            </w:tcBorders>
            <w:shd w:val="clear" w:color="auto" w:fill="auto"/>
            <w:vAlign w:val="center"/>
            <w:hideMark/>
          </w:tcPr>
          <w:p w14:paraId="1E1DBDE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Cable grids (all voltage classes)</w:t>
            </w:r>
          </w:p>
        </w:tc>
        <w:tc>
          <w:tcPr>
            <w:tcW w:w="1326" w:type="dxa"/>
            <w:tcBorders>
              <w:top w:val="nil"/>
              <w:left w:val="nil"/>
              <w:bottom w:val="single" w:sz="4" w:space="0" w:color="auto"/>
              <w:right w:val="single" w:sz="4" w:space="0" w:color="auto"/>
            </w:tcBorders>
            <w:shd w:val="clear" w:color="auto" w:fill="auto"/>
            <w:vAlign w:val="center"/>
          </w:tcPr>
          <w:p w14:paraId="760BDC60"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23,830.9271</w:t>
            </w:r>
          </w:p>
        </w:tc>
        <w:tc>
          <w:tcPr>
            <w:tcW w:w="1271" w:type="dxa"/>
            <w:tcBorders>
              <w:top w:val="nil"/>
              <w:left w:val="nil"/>
              <w:bottom w:val="single" w:sz="4" w:space="0" w:color="auto"/>
              <w:right w:val="single" w:sz="4" w:space="0" w:color="auto"/>
            </w:tcBorders>
            <w:shd w:val="clear" w:color="auto" w:fill="auto"/>
          </w:tcPr>
          <w:p w14:paraId="40124051"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60,938,072</w:t>
            </w:r>
          </w:p>
        </w:tc>
        <w:tc>
          <w:tcPr>
            <w:tcW w:w="1134" w:type="dxa"/>
            <w:tcBorders>
              <w:top w:val="nil"/>
              <w:left w:val="nil"/>
              <w:bottom w:val="single" w:sz="4" w:space="0" w:color="auto"/>
              <w:right w:val="single" w:sz="4" w:space="0" w:color="auto"/>
            </w:tcBorders>
            <w:shd w:val="clear" w:color="auto" w:fill="auto"/>
            <w:vAlign w:val="center"/>
          </w:tcPr>
          <w:p w14:paraId="173A3D9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7,235,604</w:t>
            </w:r>
          </w:p>
        </w:tc>
        <w:tc>
          <w:tcPr>
            <w:tcW w:w="1134" w:type="dxa"/>
            <w:tcBorders>
              <w:top w:val="nil"/>
              <w:left w:val="nil"/>
              <w:bottom w:val="single" w:sz="4" w:space="0" w:color="auto"/>
              <w:right w:val="single" w:sz="4" w:space="0" w:color="auto"/>
            </w:tcBorders>
            <w:shd w:val="clear" w:color="auto" w:fill="auto"/>
            <w:vAlign w:val="center"/>
          </w:tcPr>
          <w:p w14:paraId="3058AAD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225</w:t>
            </w:r>
          </w:p>
        </w:tc>
        <w:tc>
          <w:tcPr>
            <w:tcW w:w="1369" w:type="dxa"/>
            <w:tcBorders>
              <w:top w:val="nil"/>
              <w:left w:val="nil"/>
              <w:bottom w:val="single" w:sz="4" w:space="0" w:color="auto"/>
              <w:right w:val="single" w:sz="4" w:space="0" w:color="auto"/>
            </w:tcBorders>
            <w:shd w:val="clear" w:color="auto" w:fill="auto"/>
            <w:vAlign w:val="center"/>
          </w:tcPr>
          <w:p w14:paraId="549F82D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2,537,945</w:t>
            </w:r>
          </w:p>
        </w:tc>
        <w:tc>
          <w:tcPr>
            <w:tcW w:w="1326" w:type="dxa"/>
            <w:tcBorders>
              <w:top w:val="nil"/>
              <w:left w:val="nil"/>
              <w:bottom w:val="single" w:sz="4" w:space="0" w:color="auto"/>
              <w:right w:val="single" w:sz="4" w:space="0" w:color="auto"/>
            </w:tcBorders>
            <w:shd w:val="clear" w:color="auto" w:fill="auto"/>
            <w:vAlign w:val="center"/>
          </w:tcPr>
          <w:p w14:paraId="066ACEBE"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65,635,506</w:t>
            </w:r>
          </w:p>
        </w:tc>
      </w:tr>
      <w:tr w:rsidR="008A5057" w:rsidRPr="00BD295E" w14:paraId="13E30534"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2D15A89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110</w:t>
            </w:r>
          </w:p>
        </w:tc>
        <w:tc>
          <w:tcPr>
            <w:tcW w:w="1786" w:type="dxa"/>
            <w:tcBorders>
              <w:top w:val="nil"/>
              <w:left w:val="nil"/>
              <w:bottom w:val="single" w:sz="4" w:space="0" w:color="auto"/>
              <w:right w:val="single" w:sz="4" w:space="0" w:color="auto"/>
            </w:tcBorders>
            <w:shd w:val="clear" w:color="auto" w:fill="auto"/>
            <w:vAlign w:val="center"/>
            <w:hideMark/>
          </w:tcPr>
          <w:p w14:paraId="32F1448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Other assets to support electric grids</w:t>
            </w:r>
          </w:p>
        </w:tc>
        <w:tc>
          <w:tcPr>
            <w:tcW w:w="1326" w:type="dxa"/>
            <w:tcBorders>
              <w:top w:val="nil"/>
              <w:left w:val="nil"/>
              <w:bottom w:val="single" w:sz="4" w:space="0" w:color="auto"/>
              <w:right w:val="single" w:sz="4" w:space="0" w:color="auto"/>
            </w:tcBorders>
            <w:shd w:val="clear" w:color="auto" w:fill="auto"/>
            <w:vAlign w:val="center"/>
          </w:tcPr>
          <w:p w14:paraId="6CDDE3AD"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tcPr>
          <w:p w14:paraId="17744362" w14:textId="77777777" w:rsidR="00162DD0" w:rsidRPr="00BD295E" w:rsidRDefault="008A5057" w:rsidP="00162DD0">
            <w:pPr>
              <w:rPr>
                <w:rFonts w:ascii="Arial" w:hAnsi="Arial" w:cs="Arial"/>
                <w:sz w:val="18"/>
                <w:szCs w:val="18"/>
                <w:lang w:val="en-US"/>
              </w:rPr>
            </w:pPr>
            <w:r w:rsidRPr="00BD295E">
              <w:rPr>
                <w:rFonts w:ascii="Arial" w:hAnsi="Arial" w:cs="Arial"/>
                <w:sz w:val="18"/>
                <w:szCs w:val="18"/>
                <w:lang w:val="en-US"/>
              </w:rPr>
              <w:t>16,023,039</w:t>
            </w:r>
          </w:p>
        </w:tc>
        <w:tc>
          <w:tcPr>
            <w:tcW w:w="1134" w:type="dxa"/>
            <w:tcBorders>
              <w:top w:val="nil"/>
              <w:left w:val="nil"/>
              <w:bottom w:val="single" w:sz="4" w:space="0" w:color="auto"/>
              <w:right w:val="single" w:sz="4" w:space="0" w:color="auto"/>
            </w:tcBorders>
            <w:shd w:val="clear" w:color="auto" w:fill="auto"/>
            <w:vAlign w:val="center"/>
          </w:tcPr>
          <w:p w14:paraId="6249D0DB"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4,152,662</w:t>
            </w:r>
          </w:p>
        </w:tc>
        <w:tc>
          <w:tcPr>
            <w:tcW w:w="1134" w:type="dxa"/>
            <w:tcBorders>
              <w:top w:val="nil"/>
              <w:left w:val="nil"/>
              <w:bottom w:val="single" w:sz="4" w:space="0" w:color="auto"/>
              <w:right w:val="single" w:sz="4" w:space="0" w:color="auto"/>
            </w:tcBorders>
            <w:shd w:val="clear" w:color="auto" w:fill="auto"/>
            <w:vAlign w:val="center"/>
          </w:tcPr>
          <w:p w14:paraId="44DE3B9F"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9,654</w:t>
            </w:r>
          </w:p>
        </w:tc>
        <w:tc>
          <w:tcPr>
            <w:tcW w:w="1369" w:type="dxa"/>
            <w:tcBorders>
              <w:top w:val="nil"/>
              <w:left w:val="nil"/>
              <w:bottom w:val="single" w:sz="4" w:space="0" w:color="auto"/>
              <w:right w:val="single" w:sz="4" w:space="0" w:color="auto"/>
            </w:tcBorders>
            <w:shd w:val="clear" w:color="auto" w:fill="auto"/>
            <w:vAlign w:val="center"/>
          </w:tcPr>
          <w:p w14:paraId="1CA2295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1,972,740</w:t>
            </w:r>
          </w:p>
        </w:tc>
        <w:tc>
          <w:tcPr>
            <w:tcW w:w="1326" w:type="dxa"/>
            <w:tcBorders>
              <w:top w:val="nil"/>
              <w:left w:val="nil"/>
              <w:bottom w:val="single" w:sz="4" w:space="0" w:color="auto"/>
              <w:right w:val="single" w:sz="4" w:space="0" w:color="auto"/>
            </w:tcBorders>
            <w:shd w:val="clear" w:color="auto" w:fill="auto"/>
            <w:vAlign w:val="center"/>
          </w:tcPr>
          <w:p w14:paraId="1418BBA2"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18,193,307</w:t>
            </w:r>
          </w:p>
        </w:tc>
      </w:tr>
      <w:tr w:rsidR="008A5057" w:rsidRPr="00BD295E" w14:paraId="7A13A3B0"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074B5D15"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2.</w:t>
            </w:r>
          </w:p>
        </w:tc>
        <w:tc>
          <w:tcPr>
            <w:tcW w:w="1786" w:type="dxa"/>
            <w:tcBorders>
              <w:top w:val="nil"/>
              <w:left w:val="nil"/>
              <w:bottom w:val="single" w:sz="4" w:space="0" w:color="auto"/>
              <w:right w:val="single" w:sz="4" w:space="0" w:color="auto"/>
            </w:tcBorders>
            <w:shd w:val="clear" w:color="auto" w:fill="auto"/>
            <w:vAlign w:val="center"/>
            <w:hideMark/>
          </w:tcPr>
          <w:p w14:paraId="713EA327"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Non-core Assets included in the Non-Core Asset Register</w:t>
            </w:r>
          </w:p>
        </w:tc>
        <w:tc>
          <w:tcPr>
            <w:tcW w:w="1326" w:type="dxa"/>
            <w:tcBorders>
              <w:top w:val="nil"/>
              <w:left w:val="nil"/>
              <w:bottom w:val="single" w:sz="4" w:space="0" w:color="auto"/>
              <w:right w:val="single" w:sz="4" w:space="0" w:color="auto"/>
            </w:tcBorders>
            <w:shd w:val="clear" w:color="auto" w:fill="auto"/>
            <w:vAlign w:val="center"/>
          </w:tcPr>
          <w:p w14:paraId="0B05F5AC"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4</w:t>
            </w:r>
          </w:p>
        </w:tc>
        <w:tc>
          <w:tcPr>
            <w:tcW w:w="1271" w:type="dxa"/>
            <w:tcBorders>
              <w:top w:val="nil"/>
              <w:left w:val="nil"/>
              <w:bottom w:val="single" w:sz="4" w:space="0" w:color="auto"/>
              <w:right w:val="single" w:sz="4" w:space="0" w:color="auto"/>
            </w:tcBorders>
            <w:shd w:val="clear" w:color="auto" w:fill="auto"/>
          </w:tcPr>
          <w:p w14:paraId="7EAE8D8A" w14:textId="77777777" w:rsidR="00162DD0" w:rsidRPr="00BD295E" w:rsidRDefault="008A5057" w:rsidP="00162DD0">
            <w:pPr>
              <w:rPr>
                <w:rFonts w:ascii="Arial" w:hAnsi="Arial" w:cs="Arial"/>
                <w:b/>
                <w:sz w:val="18"/>
                <w:szCs w:val="18"/>
                <w:lang w:val="en-US"/>
              </w:rPr>
            </w:pPr>
            <w:r w:rsidRPr="00BD295E">
              <w:rPr>
                <w:rFonts w:ascii="Arial" w:hAnsi="Arial" w:cs="Arial"/>
                <w:b/>
                <w:sz w:val="18"/>
                <w:szCs w:val="18"/>
                <w:lang w:val="en-US"/>
              </w:rPr>
              <w:t>144</w:t>
            </w:r>
          </w:p>
        </w:tc>
        <w:tc>
          <w:tcPr>
            <w:tcW w:w="1134" w:type="dxa"/>
            <w:tcBorders>
              <w:top w:val="nil"/>
              <w:left w:val="nil"/>
              <w:bottom w:val="single" w:sz="4" w:space="0" w:color="auto"/>
              <w:right w:val="single" w:sz="4" w:space="0" w:color="auto"/>
            </w:tcBorders>
            <w:shd w:val="clear" w:color="auto" w:fill="auto"/>
            <w:vAlign w:val="center"/>
          </w:tcPr>
          <w:p w14:paraId="0978E0F8"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7D5B4B0E"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369" w:type="dxa"/>
            <w:tcBorders>
              <w:top w:val="nil"/>
              <w:left w:val="nil"/>
              <w:bottom w:val="single" w:sz="4" w:space="0" w:color="auto"/>
              <w:right w:val="single" w:sz="4" w:space="0" w:color="auto"/>
            </w:tcBorders>
            <w:shd w:val="clear" w:color="auto" w:fill="auto"/>
            <w:vAlign w:val="center"/>
          </w:tcPr>
          <w:p w14:paraId="325B446F"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725D22F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144</w:t>
            </w:r>
          </w:p>
        </w:tc>
      </w:tr>
      <w:tr w:rsidR="008A5057" w:rsidRPr="00BD295E" w14:paraId="4F469B64"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5E7B933E"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3.</w:t>
            </w:r>
          </w:p>
        </w:tc>
        <w:tc>
          <w:tcPr>
            <w:tcW w:w="1786" w:type="dxa"/>
            <w:tcBorders>
              <w:top w:val="nil"/>
              <w:left w:val="nil"/>
              <w:bottom w:val="single" w:sz="4" w:space="0" w:color="auto"/>
              <w:right w:val="single" w:sz="4" w:space="0" w:color="auto"/>
            </w:tcBorders>
            <w:shd w:val="clear" w:color="auto" w:fill="auto"/>
            <w:vAlign w:val="center"/>
            <w:hideMark/>
          </w:tcPr>
          <w:p w14:paraId="45CC988D"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Other assets (item 3 = item 4 – item 2 – item 1), including:</w:t>
            </w:r>
          </w:p>
        </w:tc>
        <w:tc>
          <w:tcPr>
            <w:tcW w:w="1326" w:type="dxa"/>
            <w:tcBorders>
              <w:top w:val="nil"/>
              <w:left w:val="nil"/>
              <w:bottom w:val="single" w:sz="4" w:space="0" w:color="auto"/>
              <w:right w:val="single" w:sz="4" w:space="0" w:color="auto"/>
            </w:tcBorders>
            <w:shd w:val="clear" w:color="auto" w:fill="auto"/>
            <w:vAlign w:val="center"/>
          </w:tcPr>
          <w:p w14:paraId="550529B2"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tcPr>
          <w:p w14:paraId="421D6EA6" w14:textId="77777777" w:rsidR="00162DD0" w:rsidRPr="00BD295E" w:rsidRDefault="008A5057" w:rsidP="00162DD0">
            <w:pPr>
              <w:rPr>
                <w:rFonts w:ascii="Arial" w:hAnsi="Arial" w:cs="Arial"/>
                <w:b/>
                <w:sz w:val="18"/>
                <w:szCs w:val="18"/>
                <w:lang w:val="en-US"/>
              </w:rPr>
            </w:pPr>
            <w:r w:rsidRPr="00BD295E">
              <w:rPr>
                <w:rFonts w:ascii="Arial" w:hAnsi="Arial" w:cs="Arial"/>
                <w:b/>
                <w:sz w:val="18"/>
                <w:szCs w:val="18"/>
                <w:lang w:val="en-US"/>
              </w:rPr>
              <w:t>3,333,632</w:t>
            </w:r>
          </w:p>
        </w:tc>
        <w:tc>
          <w:tcPr>
            <w:tcW w:w="1134" w:type="dxa"/>
            <w:tcBorders>
              <w:top w:val="nil"/>
              <w:left w:val="nil"/>
              <w:bottom w:val="single" w:sz="4" w:space="0" w:color="auto"/>
              <w:right w:val="single" w:sz="4" w:space="0" w:color="auto"/>
            </w:tcBorders>
            <w:shd w:val="clear" w:color="auto" w:fill="auto"/>
            <w:vAlign w:val="center"/>
          </w:tcPr>
          <w:p w14:paraId="7E2AC01A"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1,045,362</w:t>
            </w:r>
          </w:p>
        </w:tc>
        <w:tc>
          <w:tcPr>
            <w:tcW w:w="1134" w:type="dxa"/>
            <w:tcBorders>
              <w:top w:val="nil"/>
              <w:left w:val="nil"/>
              <w:bottom w:val="single" w:sz="4" w:space="0" w:color="auto"/>
              <w:right w:val="single" w:sz="4" w:space="0" w:color="auto"/>
            </w:tcBorders>
            <w:shd w:val="clear" w:color="auto" w:fill="auto"/>
            <w:vAlign w:val="center"/>
          </w:tcPr>
          <w:p w14:paraId="4918919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95</w:t>
            </w:r>
          </w:p>
        </w:tc>
        <w:tc>
          <w:tcPr>
            <w:tcW w:w="1369" w:type="dxa"/>
            <w:tcBorders>
              <w:top w:val="nil"/>
              <w:left w:val="nil"/>
              <w:bottom w:val="single" w:sz="4" w:space="0" w:color="auto"/>
              <w:right w:val="single" w:sz="4" w:space="0" w:color="auto"/>
            </w:tcBorders>
            <w:shd w:val="clear" w:color="auto" w:fill="auto"/>
            <w:vAlign w:val="center"/>
          </w:tcPr>
          <w:p w14:paraId="4E9545B6"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143,121</w:t>
            </w:r>
          </w:p>
        </w:tc>
        <w:tc>
          <w:tcPr>
            <w:tcW w:w="1326" w:type="dxa"/>
            <w:tcBorders>
              <w:top w:val="nil"/>
              <w:left w:val="nil"/>
              <w:bottom w:val="single" w:sz="4" w:space="0" w:color="auto"/>
              <w:right w:val="single" w:sz="4" w:space="0" w:color="auto"/>
            </w:tcBorders>
            <w:shd w:val="clear" w:color="auto" w:fill="auto"/>
            <w:vAlign w:val="center"/>
          </w:tcPr>
          <w:p w14:paraId="4FA02F62"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4,235,778</w:t>
            </w:r>
          </w:p>
        </w:tc>
      </w:tr>
      <w:tr w:rsidR="008A5057" w:rsidRPr="00BD295E" w14:paraId="1111A133"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62C42E8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3.1.</w:t>
            </w:r>
          </w:p>
        </w:tc>
        <w:tc>
          <w:tcPr>
            <w:tcW w:w="1786" w:type="dxa"/>
            <w:tcBorders>
              <w:top w:val="nil"/>
              <w:left w:val="nil"/>
              <w:bottom w:val="single" w:sz="4" w:space="0" w:color="auto"/>
              <w:right w:val="single" w:sz="4" w:space="0" w:color="auto"/>
            </w:tcBorders>
            <w:shd w:val="clear" w:color="auto" w:fill="auto"/>
            <w:vAlign w:val="center"/>
            <w:hideMark/>
          </w:tcPr>
          <w:p w14:paraId="1B3A042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Owned land plots</w:t>
            </w:r>
          </w:p>
        </w:tc>
        <w:tc>
          <w:tcPr>
            <w:tcW w:w="1326" w:type="dxa"/>
            <w:tcBorders>
              <w:top w:val="nil"/>
              <w:left w:val="nil"/>
              <w:bottom w:val="single" w:sz="4" w:space="0" w:color="auto"/>
              <w:right w:val="single" w:sz="4" w:space="0" w:color="auto"/>
            </w:tcBorders>
            <w:shd w:val="clear" w:color="auto" w:fill="auto"/>
            <w:vAlign w:val="center"/>
          </w:tcPr>
          <w:p w14:paraId="1BBD2EF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64</w:t>
            </w:r>
          </w:p>
        </w:tc>
        <w:tc>
          <w:tcPr>
            <w:tcW w:w="1271" w:type="dxa"/>
            <w:tcBorders>
              <w:top w:val="nil"/>
              <w:left w:val="nil"/>
              <w:bottom w:val="single" w:sz="4" w:space="0" w:color="auto"/>
              <w:right w:val="single" w:sz="4" w:space="0" w:color="auto"/>
            </w:tcBorders>
            <w:shd w:val="clear" w:color="auto" w:fill="auto"/>
            <w:vAlign w:val="center"/>
          </w:tcPr>
          <w:p w14:paraId="43BFB6C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118,594</w:t>
            </w:r>
          </w:p>
        </w:tc>
        <w:tc>
          <w:tcPr>
            <w:tcW w:w="1134" w:type="dxa"/>
            <w:tcBorders>
              <w:top w:val="nil"/>
              <w:left w:val="nil"/>
              <w:bottom w:val="single" w:sz="4" w:space="0" w:color="auto"/>
              <w:right w:val="single" w:sz="4" w:space="0" w:color="auto"/>
            </w:tcBorders>
            <w:shd w:val="clear" w:color="auto" w:fill="auto"/>
            <w:vAlign w:val="center"/>
          </w:tcPr>
          <w:p w14:paraId="2CD41CEE"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800</w:t>
            </w:r>
          </w:p>
        </w:tc>
        <w:tc>
          <w:tcPr>
            <w:tcW w:w="1134" w:type="dxa"/>
            <w:tcBorders>
              <w:top w:val="nil"/>
              <w:left w:val="nil"/>
              <w:bottom w:val="single" w:sz="4" w:space="0" w:color="auto"/>
              <w:right w:val="single" w:sz="4" w:space="0" w:color="auto"/>
            </w:tcBorders>
            <w:shd w:val="clear" w:color="auto" w:fill="auto"/>
            <w:vAlign w:val="center"/>
          </w:tcPr>
          <w:p w14:paraId="60669D1E" w14:textId="77777777" w:rsidR="00162DD0" w:rsidRPr="00BD295E" w:rsidRDefault="00162DD0" w:rsidP="00162DD0">
            <w:pPr>
              <w:spacing w:after="160" w:line="259" w:lineRule="auto"/>
              <w:rPr>
                <w:rFonts w:ascii="Arial" w:hAnsi="Arial" w:cs="Arial"/>
                <w:b/>
                <w:bCs/>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5BA66CC0" w14:textId="77777777" w:rsidR="00162DD0" w:rsidRPr="00BD295E" w:rsidRDefault="00162DD0" w:rsidP="00162DD0">
            <w:pPr>
              <w:spacing w:after="160" w:line="259" w:lineRule="auto"/>
              <w:rPr>
                <w:rFonts w:ascii="Arial" w:hAnsi="Arial" w:cs="Arial"/>
                <w:b/>
                <w:bCs/>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1AA6EE53"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119,394</w:t>
            </w:r>
          </w:p>
        </w:tc>
      </w:tr>
      <w:tr w:rsidR="008A5057" w:rsidRPr="00BD295E" w14:paraId="349AD412"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6C61DA1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4.</w:t>
            </w:r>
          </w:p>
        </w:tc>
        <w:tc>
          <w:tcPr>
            <w:tcW w:w="1786" w:type="dxa"/>
            <w:tcBorders>
              <w:top w:val="nil"/>
              <w:left w:val="nil"/>
              <w:bottom w:val="single" w:sz="4" w:space="0" w:color="auto"/>
              <w:right w:val="single" w:sz="4" w:space="0" w:color="auto"/>
            </w:tcBorders>
            <w:shd w:val="clear" w:color="auto" w:fill="auto"/>
            <w:vAlign w:val="center"/>
            <w:hideMark/>
          </w:tcPr>
          <w:p w14:paraId="00F8D03F"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Fixed Assets (balance sheet line)</w:t>
            </w:r>
          </w:p>
        </w:tc>
        <w:tc>
          <w:tcPr>
            <w:tcW w:w="1326" w:type="dxa"/>
            <w:tcBorders>
              <w:top w:val="nil"/>
              <w:left w:val="nil"/>
              <w:bottom w:val="single" w:sz="4" w:space="0" w:color="auto"/>
              <w:right w:val="single" w:sz="4" w:space="0" w:color="auto"/>
            </w:tcBorders>
            <w:shd w:val="clear" w:color="auto" w:fill="auto"/>
            <w:vAlign w:val="center"/>
          </w:tcPr>
          <w:p w14:paraId="6459A85F" w14:textId="77777777" w:rsidR="00162DD0" w:rsidRPr="00BD295E" w:rsidRDefault="00162DD0" w:rsidP="00162DD0">
            <w:pPr>
              <w:spacing w:after="160" w:line="259" w:lineRule="auto"/>
              <w:rPr>
                <w:rFonts w:ascii="Arial" w:hAnsi="Arial" w:cs="Arial"/>
                <w:b/>
                <w:bCs/>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5E9D3A26"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144,400,924</w:t>
            </w:r>
          </w:p>
        </w:tc>
        <w:tc>
          <w:tcPr>
            <w:tcW w:w="1134" w:type="dxa"/>
            <w:tcBorders>
              <w:top w:val="nil"/>
              <w:left w:val="nil"/>
              <w:bottom w:val="single" w:sz="4" w:space="0" w:color="auto"/>
              <w:right w:val="single" w:sz="4" w:space="0" w:color="auto"/>
            </w:tcBorders>
            <w:shd w:val="clear" w:color="auto" w:fill="auto"/>
            <w:vAlign w:val="center"/>
          </w:tcPr>
          <w:p w14:paraId="50CCAFDA"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23,518,691</w:t>
            </w:r>
          </w:p>
        </w:tc>
        <w:tc>
          <w:tcPr>
            <w:tcW w:w="1134" w:type="dxa"/>
            <w:tcBorders>
              <w:top w:val="nil"/>
              <w:left w:val="nil"/>
              <w:bottom w:val="single" w:sz="4" w:space="0" w:color="auto"/>
              <w:right w:val="single" w:sz="4" w:space="0" w:color="auto"/>
            </w:tcBorders>
            <w:shd w:val="clear" w:color="auto" w:fill="auto"/>
            <w:vAlign w:val="center"/>
          </w:tcPr>
          <w:p w14:paraId="57831530"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48,519</w:t>
            </w:r>
          </w:p>
        </w:tc>
        <w:tc>
          <w:tcPr>
            <w:tcW w:w="1369" w:type="dxa"/>
            <w:tcBorders>
              <w:top w:val="nil"/>
              <w:left w:val="nil"/>
              <w:bottom w:val="single" w:sz="4" w:space="0" w:color="auto"/>
              <w:right w:val="single" w:sz="4" w:space="0" w:color="auto"/>
            </w:tcBorders>
            <w:shd w:val="clear" w:color="auto" w:fill="auto"/>
            <w:vAlign w:val="center"/>
          </w:tcPr>
          <w:p w14:paraId="5AD0A7DB"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11,739,492</w:t>
            </w:r>
          </w:p>
        </w:tc>
        <w:tc>
          <w:tcPr>
            <w:tcW w:w="1326" w:type="dxa"/>
            <w:tcBorders>
              <w:top w:val="nil"/>
              <w:left w:val="nil"/>
              <w:bottom w:val="single" w:sz="4" w:space="0" w:color="auto"/>
              <w:right w:val="single" w:sz="4" w:space="0" w:color="auto"/>
            </w:tcBorders>
            <w:shd w:val="clear" w:color="auto" w:fill="auto"/>
            <w:vAlign w:val="center"/>
          </w:tcPr>
          <w:p w14:paraId="11C4591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156,131,604</w:t>
            </w:r>
          </w:p>
        </w:tc>
      </w:tr>
      <w:tr w:rsidR="008A5057" w:rsidRPr="00BD295E" w14:paraId="3DF8F0C4" w14:textId="77777777" w:rsidTr="00801007">
        <w:trPr>
          <w:trHeight w:val="20"/>
        </w:trPr>
        <w:tc>
          <w:tcPr>
            <w:tcW w:w="7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69506"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5.</w:t>
            </w:r>
          </w:p>
        </w:tc>
        <w:tc>
          <w:tcPr>
            <w:tcW w:w="17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FE2E5"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Leased Assets classified as electric grid facilities, including:</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14:paraId="1EC02B42"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D48421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35,947,715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81B5DC4"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3,230,617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E90F00"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2,600,173</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3F17B4C"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no depreciation and amortization for fixed assets recognized in the off-balance-sheet account</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14:paraId="3213D5AC"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36,578,159</w:t>
            </w:r>
          </w:p>
        </w:tc>
      </w:tr>
      <w:tr w:rsidR="008A5057" w:rsidRPr="00BD295E" w14:paraId="5C8EBD49" w14:textId="77777777" w:rsidTr="00801007">
        <w:trPr>
          <w:trHeight w:val="20"/>
        </w:trPr>
        <w:tc>
          <w:tcPr>
            <w:tcW w:w="7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95B6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5.1.</w:t>
            </w:r>
          </w:p>
        </w:tc>
        <w:tc>
          <w:tcPr>
            <w:tcW w:w="1786" w:type="dxa"/>
            <w:tcBorders>
              <w:top w:val="single" w:sz="4" w:space="0" w:color="auto"/>
              <w:left w:val="nil"/>
              <w:bottom w:val="single" w:sz="4" w:space="0" w:color="auto"/>
              <w:right w:val="single" w:sz="4" w:space="0" w:color="auto"/>
            </w:tcBorders>
            <w:shd w:val="clear" w:color="auto" w:fill="auto"/>
            <w:vAlign w:val="center"/>
            <w:hideMark/>
          </w:tcPr>
          <w:p w14:paraId="3D74743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220+ kV OL</w:t>
            </w:r>
          </w:p>
        </w:tc>
        <w:tc>
          <w:tcPr>
            <w:tcW w:w="1326" w:type="dxa"/>
            <w:tcBorders>
              <w:top w:val="single" w:sz="4" w:space="0" w:color="auto"/>
              <w:left w:val="nil"/>
              <w:bottom w:val="single" w:sz="4" w:space="0" w:color="auto"/>
              <w:right w:val="single" w:sz="4" w:space="0" w:color="auto"/>
            </w:tcBorders>
            <w:shd w:val="clear" w:color="auto" w:fill="auto"/>
            <w:vAlign w:val="center"/>
          </w:tcPr>
          <w:p w14:paraId="379ADD69"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single" w:sz="4" w:space="0" w:color="auto"/>
              <w:left w:val="nil"/>
              <w:bottom w:val="single" w:sz="4" w:space="0" w:color="auto"/>
              <w:right w:val="single" w:sz="4" w:space="0" w:color="auto"/>
            </w:tcBorders>
            <w:shd w:val="clear" w:color="auto" w:fill="auto"/>
            <w:vAlign w:val="center"/>
          </w:tcPr>
          <w:p w14:paraId="4B2CDBE9"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12FD6086"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1D6CB738"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single" w:sz="4" w:space="0" w:color="auto"/>
              <w:left w:val="nil"/>
              <w:bottom w:val="single" w:sz="4" w:space="0" w:color="auto"/>
              <w:right w:val="single" w:sz="4" w:space="0" w:color="auto"/>
            </w:tcBorders>
            <w:shd w:val="clear" w:color="auto" w:fill="auto"/>
            <w:vAlign w:val="center"/>
          </w:tcPr>
          <w:p w14:paraId="6EBD9E35"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single" w:sz="4" w:space="0" w:color="auto"/>
              <w:left w:val="nil"/>
              <w:bottom w:val="single" w:sz="4" w:space="0" w:color="auto"/>
              <w:right w:val="single" w:sz="4" w:space="0" w:color="auto"/>
            </w:tcBorders>
            <w:shd w:val="clear" w:color="auto" w:fill="auto"/>
            <w:vAlign w:val="center"/>
          </w:tcPr>
          <w:p w14:paraId="7B6B404D"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7774F172"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6B00885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5.2.</w:t>
            </w:r>
          </w:p>
        </w:tc>
        <w:tc>
          <w:tcPr>
            <w:tcW w:w="1786" w:type="dxa"/>
            <w:tcBorders>
              <w:top w:val="nil"/>
              <w:left w:val="nil"/>
              <w:bottom w:val="single" w:sz="4" w:space="0" w:color="auto"/>
              <w:right w:val="single" w:sz="4" w:space="0" w:color="auto"/>
            </w:tcBorders>
            <w:shd w:val="clear" w:color="auto" w:fill="auto"/>
            <w:vAlign w:val="center"/>
            <w:hideMark/>
          </w:tcPr>
          <w:p w14:paraId="0E7B3DE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110 kV OL</w:t>
            </w:r>
          </w:p>
        </w:tc>
        <w:tc>
          <w:tcPr>
            <w:tcW w:w="1326" w:type="dxa"/>
            <w:tcBorders>
              <w:top w:val="nil"/>
              <w:left w:val="nil"/>
              <w:bottom w:val="single" w:sz="4" w:space="0" w:color="auto"/>
              <w:right w:val="single" w:sz="4" w:space="0" w:color="auto"/>
            </w:tcBorders>
            <w:shd w:val="clear" w:color="auto" w:fill="auto"/>
            <w:vAlign w:val="center"/>
          </w:tcPr>
          <w:p w14:paraId="2901DDA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16</w:t>
            </w:r>
          </w:p>
        </w:tc>
        <w:tc>
          <w:tcPr>
            <w:tcW w:w="1271" w:type="dxa"/>
            <w:tcBorders>
              <w:top w:val="nil"/>
              <w:left w:val="nil"/>
              <w:bottom w:val="single" w:sz="4" w:space="0" w:color="auto"/>
              <w:right w:val="single" w:sz="4" w:space="0" w:color="auto"/>
            </w:tcBorders>
            <w:shd w:val="clear" w:color="auto" w:fill="auto"/>
            <w:vAlign w:val="center"/>
          </w:tcPr>
          <w:p w14:paraId="47A0D4EA"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0014E3E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1,971,233</w:t>
            </w:r>
          </w:p>
        </w:tc>
        <w:tc>
          <w:tcPr>
            <w:tcW w:w="1134" w:type="dxa"/>
            <w:tcBorders>
              <w:top w:val="nil"/>
              <w:left w:val="nil"/>
              <w:bottom w:val="single" w:sz="4" w:space="0" w:color="auto"/>
              <w:right w:val="single" w:sz="4" w:space="0" w:color="auto"/>
            </w:tcBorders>
            <w:shd w:val="clear" w:color="auto" w:fill="auto"/>
            <w:vAlign w:val="center"/>
          </w:tcPr>
          <w:p w14:paraId="3C781F6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69" w:type="dxa"/>
            <w:tcBorders>
              <w:top w:val="nil"/>
              <w:left w:val="nil"/>
              <w:bottom w:val="single" w:sz="4" w:space="0" w:color="auto"/>
              <w:right w:val="single" w:sz="4" w:space="0" w:color="auto"/>
            </w:tcBorders>
            <w:shd w:val="clear" w:color="auto" w:fill="auto"/>
            <w:vAlign w:val="center"/>
          </w:tcPr>
          <w:p w14:paraId="6758E63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5884BDDF"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1,971,233</w:t>
            </w:r>
          </w:p>
        </w:tc>
      </w:tr>
      <w:tr w:rsidR="008A5057" w:rsidRPr="00BD295E" w14:paraId="52EA02AD"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5C5F8FA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53</w:t>
            </w:r>
          </w:p>
        </w:tc>
        <w:tc>
          <w:tcPr>
            <w:tcW w:w="1786" w:type="dxa"/>
            <w:tcBorders>
              <w:top w:val="nil"/>
              <w:left w:val="nil"/>
              <w:bottom w:val="single" w:sz="4" w:space="0" w:color="auto"/>
              <w:right w:val="single" w:sz="4" w:space="0" w:color="auto"/>
            </w:tcBorders>
            <w:shd w:val="clear" w:color="auto" w:fill="auto"/>
            <w:vAlign w:val="center"/>
            <w:hideMark/>
          </w:tcPr>
          <w:p w14:paraId="591719F0"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35 kV OL</w:t>
            </w:r>
          </w:p>
        </w:tc>
        <w:tc>
          <w:tcPr>
            <w:tcW w:w="1326" w:type="dxa"/>
            <w:tcBorders>
              <w:top w:val="nil"/>
              <w:left w:val="nil"/>
              <w:bottom w:val="single" w:sz="4" w:space="0" w:color="auto"/>
              <w:right w:val="single" w:sz="4" w:space="0" w:color="auto"/>
            </w:tcBorders>
            <w:shd w:val="clear" w:color="auto" w:fill="auto"/>
            <w:vAlign w:val="center"/>
          </w:tcPr>
          <w:p w14:paraId="664AFA5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w:t>
            </w:r>
          </w:p>
        </w:tc>
        <w:tc>
          <w:tcPr>
            <w:tcW w:w="1271" w:type="dxa"/>
            <w:tcBorders>
              <w:top w:val="nil"/>
              <w:left w:val="nil"/>
              <w:bottom w:val="single" w:sz="4" w:space="0" w:color="auto"/>
              <w:right w:val="single" w:sz="4" w:space="0" w:color="auto"/>
            </w:tcBorders>
            <w:shd w:val="clear" w:color="auto" w:fill="auto"/>
            <w:vAlign w:val="center"/>
          </w:tcPr>
          <w:p w14:paraId="6572692A"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71396BB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1,418</w:t>
            </w:r>
          </w:p>
        </w:tc>
        <w:tc>
          <w:tcPr>
            <w:tcW w:w="1134" w:type="dxa"/>
            <w:tcBorders>
              <w:top w:val="nil"/>
              <w:left w:val="nil"/>
              <w:bottom w:val="single" w:sz="4" w:space="0" w:color="auto"/>
              <w:right w:val="single" w:sz="4" w:space="0" w:color="auto"/>
            </w:tcBorders>
            <w:shd w:val="clear" w:color="auto" w:fill="auto"/>
            <w:vAlign w:val="center"/>
          </w:tcPr>
          <w:p w14:paraId="42E718B0"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69" w:type="dxa"/>
            <w:tcBorders>
              <w:top w:val="nil"/>
              <w:left w:val="nil"/>
              <w:bottom w:val="single" w:sz="4" w:space="0" w:color="auto"/>
              <w:right w:val="single" w:sz="4" w:space="0" w:color="auto"/>
            </w:tcBorders>
            <w:shd w:val="clear" w:color="auto" w:fill="auto"/>
            <w:vAlign w:val="center"/>
          </w:tcPr>
          <w:p w14:paraId="36AAE87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55A5C100"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1,418</w:t>
            </w:r>
          </w:p>
        </w:tc>
      </w:tr>
      <w:tr w:rsidR="008A5057" w:rsidRPr="00BD295E" w14:paraId="3EB83105"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7675935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54</w:t>
            </w:r>
          </w:p>
        </w:tc>
        <w:tc>
          <w:tcPr>
            <w:tcW w:w="1786" w:type="dxa"/>
            <w:tcBorders>
              <w:top w:val="nil"/>
              <w:left w:val="nil"/>
              <w:bottom w:val="single" w:sz="4" w:space="0" w:color="auto"/>
              <w:right w:val="single" w:sz="4" w:space="0" w:color="auto"/>
            </w:tcBorders>
            <w:shd w:val="clear" w:color="auto" w:fill="auto"/>
            <w:vAlign w:val="center"/>
            <w:hideMark/>
          </w:tcPr>
          <w:p w14:paraId="17A2716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 kV OL</w:t>
            </w:r>
          </w:p>
        </w:tc>
        <w:tc>
          <w:tcPr>
            <w:tcW w:w="1326" w:type="dxa"/>
            <w:tcBorders>
              <w:top w:val="nil"/>
              <w:left w:val="nil"/>
              <w:bottom w:val="single" w:sz="4" w:space="0" w:color="auto"/>
              <w:right w:val="single" w:sz="4" w:space="0" w:color="auto"/>
            </w:tcBorders>
            <w:shd w:val="clear" w:color="auto" w:fill="auto"/>
            <w:vAlign w:val="center"/>
          </w:tcPr>
          <w:p w14:paraId="4DE585E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1,498</w:t>
            </w:r>
          </w:p>
        </w:tc>
        <w:tc>
          <w:tcPr>
            <w:tcW w:w="1271" w:type="dxa"/>
            <w:tcBorders>
              <w:top w:val="nil"/>
              <w:left w:val="nil"/>
              <w:bottom w:val="single" w:sz="4" w:space="0" w:color="auto"/>
              <w:right w:val="single" w:sz="4" w:space="0" w:color="auto"/>
            </w:tcBorders>
            <w:shd w:val="clear" w:color="auto" w:fill="auto"/>
            <w:vAlign w:val="center"/>
          </w:tcPr>
          <w:p w14:paraId="794F216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1,127,213</w:t>
            </w:r>
          </w:p>
        </w:tc>
        <w:tc>
          <w:tcPr>
            <w:tcW w:w="1134" w:type="dxa"/>
            <w:tcBorders>
              <w:top w:val="nil"/>
              <w:left w:val="nil"/>
              <w:bottom w:val="single" w:sz="4" w:space="0" w:color="auto"/>
              <w:right w:val="single" w:sz="4" w:space="0" w:color="auto"/>
            </w:tcBorders>
            <w:shd w:val="clear" w:color="auto" w:fill="auto"/>
            <w:vAlign w:val="center"/>
          </w:tcPr>
          <w:p w14:paraId="6BC1132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 xml:space="preserve">0 </w:t>
            </w:r>
          </w:p>
        </w:tc>
        <w:tc>
          <w:tcPr>
            <w:tcW w:w="1134" w:type="dxa"/>
            <w:tcBorders>
              <w:top w:val="nil"/>
              <w:left w:val="nil"/>
              <w:bottom w:val="single" w:sz="4" w:space="0" w:color="auto"/>
              <w:right w:val="single" w:sz="4" w:space="0" w:color="auto"/>
            </w:tcBorders>
            <w:shd w:val="clear" w:color="auto" w:fill="auto"/>
            <w:vAlign w:val="center"/>
          </w:tcPr>
          <w:p w14:paraId="6908BBE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758,113</w:t>
            </w:r>
          </w:p>
        </w:tc>
        <w:tc>
          <w:tcPr>
            <w:tcW w:w="1369" w:type="dxa"/>
            <w:tcBorders>
              <w:top w:val="nil"/>
              <w:left w:val="nil"/>
              <w:bottom w:val="single" w:sz="4" w:space="0" w:color="auto"/>
              <w:right w:val="single" w:sz="4" w:space="0" w:color="auto"/>
            </w:tcBorders>
            <w:shd w:val="clear" w:color="auto" w:fill="auto"/>
            <w:vAlign w:val="center"/>
          </w:tcPr>
          <w:p w14:paraId="0F1E373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1538CA5E"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369,100</w:t>
            </w:r>
          </w:p>
        </w:tc>
      </w:tr>
      <w:tr w:rsidR="008A5057" w:rsidRPr="00BD295E" w14:paraId="75A42407"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3B3D617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55</w:t>
            </w:r>
          </w:p>
        </w:tc>
        <w:tc>
          <w:tcPr>
            <w:tcW w:w="1786" w:type="dxa"/>
            <w:tcBorders>
              <w:top w:val="nil"/>
              <w:left w:val="nil"/>
              <w:bottom w:val="single" w:sz="4" w:space="0" w:color="auto"/>
              <w:right w:val="single" w:sz="4" w:space="0" w:color="auto"/>
            </w:tcBorders>
            <w:shd w:val="clear" w:color="auto" w:fill="auto"/>
            <w:vAlign w:val="center"/>
            <w:hideMark/>
          </w:tcPr>
          <w:p w14:paraId="3CD1B5A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220+ kV SS</w:t>
            </w:r>
          </w:p>
        </w:tc>
        <w:tc>
          <w:tcPr>
            <w:tcW w:w="1326" w:type="dxa"/>
            <w:tcBorders>
              <w:top w:val="nil"/>
              <w:left w:val="nil"/>
              <w:bottom w:val="single" w:sz="4" w:space="0" w:color="auto"/>
              <w:right w:val="single" w:sz="4" w:space="0" w:color="auto"/>
            </w:tcBorders>
            <w:shd w:val="clear" w:color="auto" w:fill="auto"/>
            <w:vAlign w:val="center"/>
          </w:tcPr>
          <w:p w14:paraId="5431A453"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0F79DEE5"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5168A965"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373755FE"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60EAC3FE"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296DD57F"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5ECC4553"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350717E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5.6.</w:t>
            </w:r>
          </w:p>
        </w:tc>
        <w:tc>
          <w:tcPr>
            <w:tcW w:w="1786" w:type="dxa"/>
            <w:tcBorders>
              <w:top w:val="nil"/>
              <w:left w:val="nil"/>
              <w:bottom w:val="single" w:sz="4" w:space="0" w:color="auto"/>
              <w:right w:val="single" w:sz="4" w:space="0" w:color="auto"/>
            </w:tcBorders>
            <w:shd w:val="clear" w:color="auto" w:fill="auto"/>
            <w:vAlign w:val="center"/>
            <w:hideMark/>
          </w:tcPr>
          <w:p w14:paraId="6C2CE06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110 kV SS</w:t>
            </w:r>
          </w:p>
        </w:tc>
        <w:tc>
          <w:tcPr>
            <w:tcW w:w="1326" w:type="dxa"/>
            <w:tcBorders>
              <w:top w:val="nil"/>
              <w:left w:val="nil"/>
              <w:bottom w:val="single" w:sz="4" w:space="0" w:color="auto"/>
              <w:right w:val="single" w:sz="4" w:space="0" w:color="auto"/>
            </w:tcBorders>
            <w:shd w:val="clear" w:color="auto" w:fill="auto"/>
            <w:vAlign w:val="center"/>
          </w:tcPr>
          <w:p w14:paraId="10A9569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14</w:t>
            </w:r>
          </w:p>
        </w:tc>
        <w:tc>
          <w:tcPr>
            <w:tcW w:w="1271" w:type="dxa"/>
            <w:tcBorders>
              <w:top w:val="nil"/>
              <w:left w:val="nil"/>
              <w:bottom w:val="single" w:sz="4" w:space="0" w:color="auto"/>
              <w:right w:val="single" w:sz="4" w:space="0" w:color="auto"/>
            </w:tcBorders>
            <w:shd w:val="clear" w:color="auto" w:fill="auto"/>
            <w:vAlign w:val="center"/>
          </w:tcPr>
          <w:p w14:paraId="4B6C894B"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1,814,439</w:t>
            </w:r>
          </w:p>
        </w:tc>
        <w:tc>
          <w:tcPr>
            <w:tcW w:w="1134" w:type="dxa"/>
            <w:tcBorders>
              <w:top w:val="nil"/>
              <w:left w:val="nil"/>
              <w:bottom w:val="single" w:sz="4" w:space="0" w:color="auto"/>
              <w:right w:val="single" w:sz="4" w:space="0" w:color="auto"/>
            </w:tcBorders>
            <w:shd w:val="clear" w:color="auto" w:fill="auto"/>
            <w:vAlign w:val="center"/>
          </w:tcPr>
          <w:p w14:paraId="1DDBEE4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1,199,237</w:t>
            </w:r>
          </w:p>
        </w:tc>
        <w:tc>
          <w:tcPr>
            <w:tcW w:w="1134" w:type="dxa"/>
            <w:tcBorders>
              <w:top w:val="nil"/>
              <w:left w:val="nil"/>
              <w:bottom w:val="single" w:sz="4" w:space="0" w:color="auto"/>
              <w:right w:val="single" w:sz="4" w:space="0" w:color="auto"/>
            </w:tcBorders>
            <w:shd w:val="clear" w:color="auto" w:fill="auto"/>
            <w:vAlign w:val="center"/>
          </w:tcPr>
          <w:p w14:paraId="19518A3E"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69" w:type="dxa"/>
            <w:tcBorders>
              <w:top w:val="nil"/>
              <w:left w:val="nil"/>
              <w:bottom w:val="single" w:sz="4" w:space="0" w:color="auto"/>
              <w:right w:val="single" w:sz="4" w:space="0" w:color="auto"/>
            </w:tcBorders>
            <w:shd w:val="clear" w:color="auto" w:fill="auto"/>
            <w:vAlign w:val="center"/>
          </w:tcPr>
          <w:p w14:paraId="68311B9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3EFBD94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3,013,676</w:t>
            </w:r>
          </w:p>
        </w:tc>
      </w:tr>
      <w:tr w:rsidR="008A5057" w:rsidRPr="00BD295E" w14:paraId="49EB0FE8"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5D8C5FA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5.7.</w:t>
            </w:r>
          </w:p>
        </w:tc>
        <w:tc>
          <w:tcPr>
            <w:tcW w:w="1786" w:type="dxa"/>
            <w:tcBorders>
              <w:top w:val="nil"/>
              <w:left w:val="nil"/>
              <w:bottom w:val="single" w:sz="4" w:space="0" w:color="auto"/>
              <w:right w:val="single" w:sz="4" w:space="0" w:color="auto"/>
            </w:tcBorders>
            <w:shd w:val="clear" w:color="auto" w:fill="auto"/>
            <w:vAlign w:val="center"/>
            <w:hideMark/>
          </w:tcPr>
          <w:p w14:paraId="6D3DCBE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35 kV SS</w:t>
            </w:r>
          </w:p>
        </w:tc>
        <w:tc>
          <w:tcPr>
            <w:tcW w:w="1326" w:type="dxa"/>
            <w:tcBorders>
              <w:top w:val="nil"/>
              <w:left w:val="nil"/>
              <w:bottom w:val="single" w:sz="4" w:space="0" w:color="auto"/>
              <w:right w:val="single" w:sz="4" w:space="0" w:color="auto"/>
            </w:tcBorders>
            <w:shd w:val="clear" w:color="auto" w:fill="auto"/>
            <w:vAlign w:val="center"/>
          </w:tcPr>
          <w:p w14:paraId="76C5298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w:t>
            </w:r>
          </w:p>
        </w:tc>
        <w:tc>
          <w:tcPr>
            <w:tcW w:w="1271" w:type="dxa"/>
            <w:tcBorders>
              <w:top w:val="nil"/>
              <w:left w:val="nil"/>
              <w:bottom w:val="single" w:sz="4" w:space="0" w:color="auto"/>
              <w:right w:val="single" w:sz="4" w:space="0" w:color="auto"/>
            </w:tcBorders>
            <w:shd w:val="clear" w:color="auto" w:fill="auto"/>
            <w:vAlign w:val="center"/>
          </w:tcPr>
          <w:p w14:paraId="04D6DF3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1,760,326</w:t>
            </w:r>
          </w:p>
        </w:tc>
        <w:tc>
          <w:tcPr>
            <w:tcW w:w="1134" w:type="dxa"/>
            <w:tcBorders>
              <w:top w:val="nil"/>
              <w:left w:val="nil"/>
              <w:bottom w:val="single" w:sz="4" w:space="0" w:color="auto"/>
              <w:right w:val="single" w:sz="4" w:space="0" w:color="auto"/>
            </w:tcBorders>
            <w:shd w:val="clear" w:color="auto" w:fill="auto"/>
            <w:vAlign w:val="center"/>
          </w:tcPr>
          <w:p w14:paraId="423DD2E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58D0381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238,809</w:t>
            </w:r>
          </w:p>
        </w:tc>
        <w:tc>
          <w:tcPr>
            <w:tcW w:w="1369" w:type="dxa"/>
            <w:tcBorders>
              <w:top w:val="nil"/>
              <w:left w:val="nil"/>
              <w:bottom w:val="single" w:sz="4" w:space="0" w:color="auto"/>
              <w:right w:val="single" w:sz="4" w:space="0" w:color="auto"/>
            </w:tcBorders>
            <w:shd w:val="clear" w:color="auto" w:fill="auto"/>
            <w:vAlign w:val="center"/>
          </w:tcPr>
          <w:p w14:paraId="47058EB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3B410F0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1,521,517</w:t>
            </w:r>
          </w:p>
        </w:tc>
      </w:tr>
      <w:tr w:rsidR="008A5057" w:rsidRPr="00BD295E" w14:paraId="43204985"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59CE1B3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5.8.</w:t>
            </w:r>
          </w:p>
        </w:tc>
        <w:tc>
          <w:tcPr>
            <w:tcW w:w="1786" w:type="dxa"/>
            <w:tcBorders>
              <w:top w:val="nil"/>
              <w:left w:val="nil"/>
              <w:bottom w:val="single" w:sz="4" w:space="0" w:color="auto"/>
              <w:right w:val="single" w:sz="4" w:space="0" w:color="auto"/>
            </w:tcBorders>
            <w:shd w:val="clear" w:color="auto" w:fill="auto"/>
            <w:vAlign w:val="center"/>
            <w:hideMark/>
          </w:tcPr>
          <w:p w14:paraId="52F7B27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 kV SS</w:t>
            </w:r>
          </w:p>
        </w:tc>
        <w:tc>
          <w:tcPr>
            <w:tcW w:w="1326" w:type="dxa"/>
            <w:tcBorders>
              <w:top w:val="nil"/>
              <w:left w:val="nil"/>
              <w:bottom w:val="single" w:sz="4" w:space="0" w:color="auto"/>
              <w:right w:val="single" w:sz="4" w:space="0" w:color="auto"/>
            </w:tcBorders>
            <w:shd w:val="clear" w:color="auto" w:fill="auto"/>
            <w:vAlign w:val="center"/>
          </w:tcPr>
          <w:p w14:paraId="0386B87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1,179</w:t>
            </w:r>
          </w:p>
        </w:tc>
        <w:tc>
          <w:tcPr>
            <w:tcW w:w="1271" w:type="dxa"/>
            <w:tcBorders>
              <w:top w:val="nil"/>
              <w:left w:val="nil"/>
              <w:bottom w:val="single" w:sz="4" w:space="0" w:color="auto"/>
              <w:right w:val="single" w:sz="4" w:space="0" w:color="auto"/>
            </w:tcBorders>
            <w:shd w:val="clear" w:color="auto" w:fill="auto"/>
            <w:vAlign w:val="center"/>
          </w:tcPr>
          <w:p w14:paraId="625F149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10,534,608</w:t>
            </w:r>
          </w:p>
        </w:tc>
        <w:tc>
          <w:tcPr>
            <w:tcW w:w="1134" w:type="dxa"/>
            <w:tcBorders>
              <w:top w:val="nil"/>
              <w:left w:val="nil"/>
              <w:bottom w:val="single" w:sz="4" w:space="0" w:color="auto"/>
              <w:right w:val="single" w:sz="4" w:space="0" w:color="auto"/>
            </w:tcBorders>
            <w:shd w:val="clear" w:color="auto" w:fill="auto"/>
            <w:vAlign w:val="center"/>
          </w:tcPr>
          <w:p w14:paraId="74A554D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05B3DB1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998,689</w:t>
            </w:r>
          </w:p>
        </w:tc>
        <w:tc>
          <w:tcPr>
            <w:tcW w:w="1369" w:type="dxa"/>
            <w:tcBorders>
              <w:top w:val="nil"/>
              <w:left w:val="nil"/>
              <w:bottom w:val="single" w:sz="4" w:space="0" w:color="auto"/>
              <w:right w:val="single" w:sz="4" w:space="0" w:color="auto"/>
            </w:tcBorders>
            <w:shd w:val="clear" w:color="auto" w:fill="auto"/>
            <w:vAlign w:val="center"/>
          </w:tcPr>
          <w:p w14:paraId="5FE8393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6AE73670"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9,535,919</w:t>
            </w:r>
          </w:p>
        </w:tc>
      </w:tr>
      <w:tr w:rsidR="008A5057" w:rsidRPr="00BD295E" w14:paraId="7B10D0E0"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48B13D4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5.9.</w:t>
            </w:r>
          </w:p>
        </w:tc>
        <w:tc>
          <w:tcPr>
            <w:tcW w:w="1786" w:type="dxa"/>
            <w:tcBorders>
              <w:top w:val="nil"/>
              <w:left w:val="nil"/>
              <w:bottom w:val="single" w:sz="4" w:space="0" w:color="auto"/>
              <w:right w:val="single" w:sz="4" w:space="0" w:color="auto"/>
            </w:tcBorders>
            <w:shd w:val="clear" w:color="auto" w:fill="auto"/>
            <w:vAlign w:val="center"/>
            <w:hideMark/>
          </w:tcPr>
          <w:p w14:paraId="5288649F"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Cable grids (all voltage classes)</w:t>
            </w:r>
          </w:p>
        </w:tc>
        <w:tc>
          <w:tcPr>
            <w:tcW w:w="1326" w:type="dxa"/>
            <w:tcBorders>
              <w:top w:val="nil"/>
              <w:left w:val="nil"/>
              <w:bottom w:val="single" w:sz="4" w:space="0" w:color="auto"/>
              <w:right w:val="single" w:sz="4" w:space="0" w:color="auto"/>
            </w:tcBorders>
            <w:shd w:val="clear" w:color="auto" w:fill="auto"/>
            <w:vAlign w:val="center"/>
          </w:tcPr>
          <w:p w14:paraId="5588F87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3,333.04</w:t>
            </w:r>
          </w:p>
        </w:tc>
        <w:tc>
          <w:tcPr>
            <w:tcW w:w="1271" w:type="dxa"/>
            <w:tcBorders>
              <w:top w:val="nil"/>
              <w:left w:val="nil"/>
              <w:bottom w:val="single" w:sz="4" w:space="0" w:color="auto"/>
              <w:right w:val="single" w:sz="4" w:space="0" w:color="auto"/>
            </w:tcBorders>
            <w:shd w:val="clear" w:color="auto" w:fill="auto"/>
            <w:vAlign w:val="center"/>
          </w:tcPr>
          <w:p w14:paraId="02B0926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18,304,160</w:t>
            </w:r>
          </w:p>
        </w:tc>
        <w:tc>
          <w:tcPr>
            <w:tcW w:w="1134" w:type="dxa"/>
            <w:tcBorders>
              <w:top w:val="nil"/>
              <w:left w:val="nil"/>
              <w:bottom w:val="single" w:sz="4" w:space="0" w:color="auto"/>
              <w:right w:val="single" w:sz="4" w:space="0" w:color="auto"/>
            </w:tcBorders>
            <w:shd w:val="clear" w:color="auto" w:fill="auto"/>
            <w:vAlign w:val="center"/>
          </w:tcPr>
          <w:p w14:paraId="4AED0A20"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58,729</w:t>
            </w:r>
          </w:p>
        </w:tc>
        <w:tc>
          <w:tcPr>
            <w:tcW w:w="1134" w:type="dxa"/>
            <w:tcBorders>
              <w:top w:val="nil"/>
              <w:left w:val="nil"/>
              <w:bottom w:val="single" w:sz="4" w:space="0" w:color="auto"/>
              <w:right w:val="single" w:sz="4" w:space="0" w:color="auto"/>
            </w:tcBorders>
            <w:shd w:val="clear" w:color="auto" w:fill="auto"/>
            <w:vAlign w:val="center"/>
          </w:tcPr>
          <w:p w14:paraId="02AA5AE0"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604,562</w:t>
            </w:r>
          </w:p>
        </w:tc>
        <w:tc>
          <w:tcPr>
            <w:tcW w:w="1369" w:type="dxa"/>
            <w:tcBorders>
              <w:top w:val="nil"/>
              <w:left w:val="nil"/>
              <w:bottom w:val="single" w:sz="4" w:space="0" w:color="auto"/>
              <w:right w:val="single" w:sz="4" w:space="0" w:color="auto"/>
            </w:tcBorders>
            <w:shd w:val="clear" w:color="auto" w:fill="auto"/>
            <w:vAlign w:val="center"/>
          </w:tcPr>
          <w:p w14:paraId="5C6D076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5DC21E4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17,758,327</w:t>
            </w:r>
          </w:p>
        </w:tc>
      </w:tr>
      <w:tr w:rsidR="008A5057" w:rsidRPr="00BD295E" w14:paraId="4D8FB7ED"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4F2A12F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5.10.</w:t>
            </w:r>
          </w:p>
        </w:tc>
        <w:tc>
          <w:tcPr>
            <w:tcW w:w="1786" w:type="dxa"/>
            <w:tcBorders>
              <w:top w:val="nil"/>
              <w:left w:val="nil"/>
              <w:bottom w:val="single" w:sz="4" w:space="0" w:color="auto"/>
              <w:right w:val="single" w:sz="4" w:space="0" w:color="auto"/>
            </w:tcBorders>
            <w:shd w:val="clear" w:color="auto" w:fill="auto"/>
            <w:vAlign w:val="center"/>
            <w:hideMark/>
          </w:tcPr>
          <w:p w14:paraId="1C2675A9"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Other leased Assets to support electric grids</w:t>
            </w:r>
          </w:p>
        </w:tc>
        <w:tc>
          <w:tcPr>
            <w:tcW w:w="1326" w:type="dxa"/>
            <w:tcBorders>
              <w:top w:val="nil"/>
              <w:left w:val="nil"/>
              <w:bottom w:val="single" w:sz="4" w:space="0" w:color="auto"/>
              <w:right w:val="single" w:sz="4" w:space="0" w:color="auto"/>
            </w:tcBorders>
            <w:shd w:val="clear" w:color="auto" w:fill="auto"/>
            <w:vAlign w:val="center"/>
          </w:tcPr>
          <w:p w14:paraId="0A7C8567"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66166BF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2,406,969</w:t>
            </w:r>
          </w:p>
        </w:tc>
        <w:tc>
          <w:tcPr>
            <w:tcW w:w="1134" w:type="dxa"/>
            <w:tcBorders>
              <w:top w:val="nil"/>
              <w:left w:val="nil"/>
              <w:bottom w:val="single" w:sz="4" w:space="0" w:color="auto"/>
              <w:right w:val="single" w:sz="4" w:space="0" w:color="auto"/>
            </w:tcBorders>
            <w:shd w:val="clear" w:color="auto" w:fill="auto"/>
            <w:vAlign w:val="center"/>
          </w:tcPr>
          <w:p w14:paraId="0538379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58B8C44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69" w:type="dxa"/>
            <w:tcBorders>
              <w:top w:val="nil"/>
              <w:left w:val="nil"/>
              <w:bottom w:val="single" w:sz="4" w:space="0" w:color="auto"/>
              <w:right w:val="single" w:sz="4" w:space="0" w:color="auto"/>
            </w:tcBorders>
            <w:shd w:val="clear" w:color="auto" w:fill="auto"/>
            <w:vAlign w:val="center"/>
          </w:tcPr>
          <w:p w14:paraId="434E319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29D0E28B"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2,406,969</w:t>
            </w:r>
          </w:p>
        </w:tc>
      </w:tr>
      <w:tr w:rsidR="008A5057" w:rsidRPr="00BD295E" w14:paraId="35F478CE"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1D8FD93D"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6.</w:t>
            </w:r>
          </w:p>
        </w:tc>
        <w:tc>
          <w:tcPr>
            <w:tcW w:w="1786" w:type="dxa"/>
            <w:tcBorders>
              <w:top w:val="nil"/>
              <w:left w:val="nil"/>
              <w:bottom w:val="single" w:sz="4" w:space="0" w:color="auto"/>
              <w:right w:val="single" w:sz="4" w:space="0" w:color="auto"/>
            </w:tcBorders>
            <w:shd w:val="clear" w:color="auto" w:fill="auto"/>
            <w:vAlign w:val="center"/>
            <w:hideMark/>
          </w:tcPr>
          <w:p w14:paraId="328DC058"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Other leased Assets, including:</w:t>
            </w:r>
          </w:p>
        </w:tc>
        <w:tc>
          <w:tcPr>
            <w:tcW w:w="1326" w:type="dxa"/>
            <w:tcBorders>
              <w:top w:val="nil"/>
              <w:left w:val="nil"/>
              <w:bottom w:val="single" w:sz="4" w:space="0" w:color="auto"/>
              <w:right w:val="single" w:sz="4" w:space="0" w:color="auto"/>
            </w:tcBorders>
            <w:shd w:val="clear" w:color="auto" w:fill="auto"/>
            <w:vAlign w:val="center"/>
          </w:tcPr>
          <w:p w14:paraId="0318B8E1" w14:textId="77777777" w:rsidR="00162DD0" w:rsidRPr="00BD295E" w:rsidRDefault="00162DD0" w:rsidP="00162DD0">
            <w:pPr>
              <w:spacing w:after="160" w:line="259" w:lineRule="auto"/>
              <w:rPr>
                <w:rFonts w:ascii="Arial" w:hAnsi="Arial" w:cs="Arial"/>
                <w:b/>
                <w:bCs/>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6679391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1,028,682</w:t>
            </w:r>
          </w:p>
        </w:tc>
        <w:tc>
          <w:tcPr>
            <w:tcW w:w="1134" w:type="dxa"/>
            <w:tcBorders>
              <w:top w:val="nil"/>
              <w:left w:val="nil"/>
              <w:bottom w:val="single" w:sz="4" w:space="0" w:color="auto"/>
              <w:right w:val="single" w:sz="4" w:space="0" w:color="auto"/>
            </w:tcBorders>
            <w:shd w:val="clear" w:color="auto" w:fill="auto"/>
            <w:vAlign w:val="center"/>
          </w:tcPr>
          <w:p w14:paraId="5390581D" w14:textId="77777777" w:rsidR="00162DD0" w:rsidRPr="00BD295E" w:rsidRDefault="00162DD0" w:rsidP="00162DD0">
            <w:pPr>
              <w:spacing w:after="160" w:line="259" w:lineRule="auto"/>
              <w:rPr>
                <w:rFonts w:ascii="Arial" w:hAnsi="Arial" w:cs="Arial"/>
                <w:b/>
                <w:bCs/>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63912DD2"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330,081</w:t>
            </w:r>
          </w:p>
        </w:tc>
        <w:tc>
          <w:tcPr>
            <w:tcW w:w="1369" w:type="dxa"/>
            <w:tcBorders>
              <w:top w:val="nil"/>
              <w:left w:val="nil"/>
              <w:bottom w:val="single" w:sz="4" w:space="0" w:color="auto"/>
              <w:right w:val="single" w:sz="4" w:space="0" w:color="auto"/>
            </w:tcBorders>
            <w:shd w:val="clear" w:color="auto" w:fill="auto"/>
            <w:vAlign w:val="center"/>
          </w:tcPr>
          <w:p w14:paraId="5397B09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no depreciation and amortization for fixed assets recognized  in the off-balance-sheet account</w:t>
            </w:r>
          </w:p>
        </w:tc>
        <w:tc>
          <w:tcPr>
            <w:tcW w:w="1326" w:type="dxa"/>
            <w:tcBorders>
              <w:top w:val="nil"/>
              <w:left w:val="nil"/>
              <w:bottom w:val="single" w:sz="4" w:space="0" w:color="auto"/>
              <w:right w:val="single" w:sz="4" w:space="0" w:color="auto"/>
            </w:tcBorders>
            <w:shd w:val="clear" w:color="auto" w:fill="auto"/>
            <w:vAlign w:val="center"/>
          </w:tcPr>
          <w:p w14:paraId="7D5EB937"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698,601</w:t>
            </w:r>
          </w:p>
        </w:tc>
      </w:tr>
      <w:tr w:rsidR="008A5057" w:rsidRPr="00BD295E" w14:paraId="206BBC93"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7ECB3A3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61</w:t>
            </w:r>
          </w:p>
        </w:tc>
        <w:tc>
          <w:tcPr>
            <w:tcW w:w="1786" w:type="dxa"/>
            <w:tcBorders>
              <w:top w:val="nil"/>
              <w:left w:val="nil"/>
              <w:bottom w:val="single" w:sz="4" w:space="0" w:color="auto"/>
              <w:right w:val="single" w:sz="4" w:space="0" w:color="auto"/>
            </w:tcBorders>
            <w:shd w:val="clear" w:color="auto" w:fill="auto"/>
            <w:vAlign w:val="center"/>
            <w:hideMark/>
          </w:tcPr>
          <w:p w14:paraId="5584755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Land plots</w:t>
            </w:r>
          </w:p>
        </w:tc>
        <w:tc>
          <w:tcPr>
            <w:tcW w:w="1326" w:type="dxa"/>
            <w:tcBorders>
              <w:top w:val="nil"/>
              <w:left w:val="nil"/>
              <w:bottom w:val="single" w:sz="4" w:space="0" w:color="auto"/>
              <w:right w:val="single" w:sz="4" w:space="0" w:color="auto"/>
            </w:tcBorders>
            <w:shd w:val="clear" w:color="auto" w:fill="auto"/>
            <w:vAlign w:val="center"/>
          </w:tcPr>
          <w:p w14:paraId="559586A8"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 xml:space="preserve">18, 038 including: 4,751 (under spatial facilities), 13,467 (under linear </w:t>
            </w:r>
            <w:r w:rsidR="00EC0D9D" w:rsidRPr="00BD295E">
              <w:rPr>
                <w:rFonts w:ascii="Arial" w:hAnsi="Arial" w:cs="Arial"/>
                <w:b/>
                <w:bCs/>
                <w:sz w:val="18"/>
                <w:szCs w:val="18"/>
                <w:lang w:val="en-US"/>
              </w:rPr>
              <w:t>facilities</w:t>
            </w:r>
            <w:r w:rsidRPr="00BD295E">
              <w:rPr>
                <w:rFonts w:ascii="Arial" w:hAnsi="Arial" w:cs="Arial"/>
                <w:b/>
                <w:bCs/>
                <w:sz w:val="18"/>
                <w:szCs w:val="18"/>
                <w:lang w:val="en-US"/>
              </w:rPr>
              <w:t>)</w:t>
            </w:r>
          </w:p>
        </w:tc>
        <w:tc>
          <w:tcPr>
            <w:tcW w:w="1271" w:type="dxa"/>
            <w:tcBorders>
              <w:top w:val="nil"/>
              <w:left w:val="nil"/>
              <w:bottom w:val="single" w:sz="4" w:space="0" w:color="auto"/>
              <w:right w:val="single" w:sz="4" w:space="0" w:color="auto"/>
            </w:tcBorders>
            <w:shd w:val="clear" w:color="auto" w:fill="auto"/>
            <w:vAlign w:val="center"/>
          </w:tcPr>
          <w:p w14:paraId="645BB9E3"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29,835</w:t>
            </w:r>
          </w:p>
        </w:tc>
        <w:tc>
          <w:tcPr>
            <w:tcW w:w="1134" w:type="dxa"/>
            <w:tcBorders>
              <w:top w:val="nil"/>
              <w:left w:val="nil"/>
              <w:bottom w:val="single" w:sz="4" w:space="0" w:color="auto"/>
              <w:right w:val="single" w:sz="4" w:space="0" w:color="auto"/>
            </w:tcBorders>
            <w:shd w:val="clear" w:color="auto" w:fill="auto"/>
            <w:vAlign w:val="center"/>
          </w:tcPr>
          <w:p w14:paraId="2DF7380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29,195</w:t>
            </w:r>
          </w:p>
        </w:tc>
        <w:tc>
          <w:tcPr>
            <w:tcW w:w="1134" w:type="dxa"/>
            <w:tcBorders>
              <w:top w:val="nil"/>
              <w:left w:val="nil"/>
              <w:bottom w:val="single" w:sz="4" w:space="0" w:color="auto"/>
              <w:right w:val="single" w:sz="4" w:space="0" w:color="auto"/>
            </w:tcBorders>
            <w:shd w:val="clear" w:color="auto" w:fill="auto"/>
            <w:vAlign w:val="center"/>
          </w:tcPr>
          <w:p w14:paraId="002CE9A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4,029</w:t>
            </w:r>
          </w:p>
        </w:tc>
        <w:tc>
          <w:tcPr>
            <w:tcW w:w="1369" w:type="dxa"/>
            <w:tcBorders>
              <w:top w:val="nil"/>
              <w:left w:val="nil"/>
              <w:bottom w:val="single" w:sz="4" w:space="0" w:color="auto"/>
              <w:right w:val="single" w:sz="4" w:space="0" w:color="auto"/>
            </w:tcBorders>
            <w:shd w:val="clear" w:color="auto" w:fill="auto"/>
            <w:vAlign w:val="center"/>
          </w:tcPr>
          <w:p w14:paraId="560BF98A"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24710F7C"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55,001</w:t>
            </w:r>
          </w:p>
        </w:tc>
      </w:tr>
      <w:tr w:rsidR="008A5057" w:rsidRPr="00BD295E" w14:paraId="679E0DA6"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602E138A"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7.</w:t>
            </w:r>
          </w:p>
        </w:tc>
        <w:tc>
          <w:tcPr>
            <w:tcW w:w="1786" w:type="dxa"/>
            <w:tcBorders>
              <w:top w:val="nil"/>
              <w:left w:val="nil"/>
              <w:bottom w:val="single" w:sz="4" w:space="0" w:color="auto"/>
              <w:right w:val="single" w:sz="4" w:space="0" w:color="auto"/>
            </w:tcBorders>
            <w:shd w:val="clear" w:color="auto" w:fill="auto"/>
            <w:vAlign w:val="center"/>
            <w:hideMark/>
          </w:tcPr>
          <w:p w14:paraId="62B0818D"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Assets used under hire purchase agreements and classified as electric grid facilities, including:</w:t>
            </w:r>
          </w:p>
        </w:tc>
        <w:tc>
          <w:tcPr>
            <w:tcW w:w="1326" w:type="dxa"/>
            <w:tcBorders>
              <w:top w:val="nil"/>
              <w:left w:val="nil"/>
              <w:bottom w:val="single" w:sz="4" w:space="0" w:color="auto"/>
              <w:right w:val="single" w:sz="4" w:space="0" w:color="auto"/>
            </w:tcBorders>
            <w:shd w:val="clear" w:color="auto" w:fill="auto"/>
            <w:vAlign w:val="center"/>
          </w:tcPr>
          <w:p w14:paraId="2866F80F"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11471844"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6F7AA0BF"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4E75BA7E"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369" w:type="dxa"/>
            <w:tcBorders>
              <w:top w:val="nil"/>
              <w:left w:val="nil"/>
              <w:bottom w:val="single" w:sz="4" w:space="0" w:color="auto"/>
              <w:right w:val="single" w:sz="4" w:space="0" w:color="auto"/>
            </w:tcBorders>
            <w:shd w:val="clear" w:color="auto" w:fill="auto"/>
            <w:vAlign w:val="center"/>
          </w:tcPr>
          <w:p w14:paraId="15805E66"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78B234BC"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r>
      <w:tr w:rsidR="008A5057" w:rsidRPr="00BD295E" w14:paraId="7B54EEE8"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357E952A"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71</w:t>
            </w:r>
          </w:p>
        </w:tc>
        <w:tc>
          <w:tcPr>
            <w:tcW w:w="1786" w:type="dxa"/>
            <w:tcBorders>
              <w:top w:val="nil"/>
              <w:left w:val="nil"/>
              <w:bottom w:val="single" w:sz="4" w:space="0" w:color="auto"/>
              <w:right w:val="single" w:sz="4" w:space="0" w:color="auto"/>
            </w:tcBorders>
            <w:shd w:val="clear" w:color="auto" w:fill="auto"/>
            <w:vAlign w:val="center"/>
            <w:hideMark/>
          </w:tcPr>
          <w:p w14:paraId="542D296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220+ kV overhead lines</w:t>
            </w:r>
          </w:p>
        </w:tc>
        <w:tc>
          <w:tcPr>
            <w:tcW w:w="1326" w:type="dxa"/>
            <w:tcBorders>
              <w:top w:val="nil"/>
              <w:left w:val="nil"/>
              <w:bottom w:val="single" w:sz="4" w:space="0" w:color="auto"/>
              <w:right w:val="single" w:sz="4" w:space="0" w:color="auto"/>
            </w:tcBorders>
            <w:shd w:val="clear" w:color="auto" w:fill="auto"/>
            <w:vAlign w:val="center"/>
          </w:tcPr>
          <w:p w14:paraId="639A1049"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286F9F61"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5D42246D"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4D7C61C8"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37C01CFC"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6024B587"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7A897A8D"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045E259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72</w:t>
            </w:r>
          </w:p>
        </w:tc>
        <w:tc>
          <w:tcPr>
            <w:tcW w:w="1786" w:type="dxa"/>
            <w:tcBorders>
              <w:top w:val="nil"/>
              <w:left w:val="nil"/>
              <w:bottom w:val="single" w:sz="4" w:space="0" w:color="auto"/>
              <w:right w:val="single" w:sz="4" w:space="0" w:color="auto"/>
            </w:tcBorders>
            <w:shd w:val="clear" w:color="auto" w:fill="auto"/>
            <w:vAlign w:val="center"/>
            <w:hideMark/>
          </w:tcPr>
          <w:p w14:paraId="2AD47CCD"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110 kV OL</w:t>
            </w:r>
          </w:p>
        </w:tc>
        <w:tc>
          <w:tcPr>
            <w:tcW w:w="1326" w:type="dxa"/>
            <w:tcBorders>
              <w:top w:val="nil"/>
              <w:left w:val="nil"/>
              <w:bottom w:val="single" w:sz="4" w:space="0" w:color="auto"/>
              <w:right w:val="single" w:sz="4" w:space="0" w:color="auto"/>
            </w:tcBorders>
            <w:shd w:val="clear" w:color="auto" w:fill="auto"/>
            <w:vAlign w:val="center"/>
          </w:tcPr>
          <w:p w14:paraId="34C49CBD"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75BDD772"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0EFF39FC"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70603EE7"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375A1343"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15A1C82F"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00360F63"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072F7E5E"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73</w:t>
            </w:r>
          </w:p>
        </w:tc>
        <w:tc>
          <w:tcPr>
            <w:tcW w:w="1786" w:type="dxa"/>
            <w:tcBorders>
              <w:top w:val="nil"/>
              <w:left w:val="nil"/>
              <w:bottom w:val="single" w:sz="4" w:space="0" w:color="auto"/>
              <w:right w:val="single" w:sz="4" w:space="0" w:color="auto"/>
            </w:tcBorders>
            <w:shd w:val="clear" w:color="auto" w:fill="auto"/>
            <w:vAlign w:val="center"/>
            <w:hideMark/>
          </w:tcPr>
          <w:p w14:paraId="440F9B77"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35 kV OL</w:t>
            </w:r>
          </w:p>
        </w:tc>
        <w:tc>
          <w:tcPr>
            <w:tcW w:w="1326" w:type="dxa"/>
            <w:tcBorders>
              <w:top w:val="nil"/>
              <w:left w:val="nil"/>
              <w:bottom w:val="single" w:sz="4" w:space="0" w:color="auto"/>
              <w:right w:val="single" w:sz="4" w:space="0" w:color="auto"/>
            </w:tcBorders>
            <w:shd w:val="clear" w:color="auto" w:fill="auto"/>
            <w:vAlign w:val="center"/>
          </w:tcPr>
          <w:p w14:paraId="25CBEA5E"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1AEACC3A"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3CA989C3"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4F16DCA0"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3B1AB759"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0AF8A747"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47F10750"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34F8EC1B"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74</w:t>
            </w:r>
          </w:p>
        </w:tc>
        <w:tc>
          <w:tcPr>
            <w:tcW w:w="1786" w:type="dxa"/>
            <w:tcBorders>
              <w:top w:val="nil"/>
              <w:left w:val="nil"/>
              <w:bottom w:val="single" w:sz="4" w:space="0" w:color="auto"/>
              <w:right w:val="single" w:sz="4" w:space="0" w:color="auto"/>
            </w:tcBorders>
            <w:shd w:val="clear" w:color="auto" w:fill="auto"/>
            <w:vAlign w:val="center"/>
            <w:hideMark/>
          </w:tcPr>
          <w:p w14:paraId="4C86A8EB"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 kV OL</w:t>
            </w:r>
          </w:p>
        </w:tc>
        <w:tc>
          <w:tcPr>
            <w:tcW w:w="1326" w:type="dxa"/>
            <w:tcBorders>
              <w:top w:val="nil"/>
              <w:left w:val="nil"/>
              <w:bottom w:val="single" w:sz="4" w:space="0" w:color="auto"/>
              <w:right w:val="single" w:sz="4" w:space="0" w:color="auto"/>
            </w:tcBorders>
            <w:shd w:val="clear" w:color="auto" w:fill="auto"/>
            <w:vAlign w:val="center"/>
          </w:tcPr>
          <w:p w14:paraId="650B10D1"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74910CC5"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7BA3E284"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5935D305"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00ED4468"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2965F83D"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27C97901"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04B2748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75</w:t>
            </w:r>
          </w:p>
        </w:tc>
        <w:tc>
          <w:tcPr>
            <w:tcW w:w="1786" w:type="dxa"/>
            <w:tcBorders>
              <w:top w:val="nil"/>
              <w:left w:val="nil"/>
              <w:bottom w:val="single" w:sz="4" w:space="0" w:color="auto"/>
              <w:right w:val="single" w:sz="4" w:space="0" w:color="auto"/>
            </w:tcBorders>
            <w:shd w:val="clear" w:color="auto" w:fill="auto"/>
            <w:vAlign w:val="center"/>
            <w:hideMark/>
          </w:tcPr>
          <w:p w14:paraId="4D2CFC6A"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220+ kV SS</w:t>
            </w:r>
          </w:p>
        </w:tc>
        <w:tc>
          <w:tcPr>
            <w:tcW w:w="1326" w:type="dxa"/>
            <w:tcBorders>
              <w:top w:val="nil"/>
              <w:left w:val="nil"/>
              <w:bottom w:val="single" w:sz="4" w:space="0" w:color="auto"/>
              <w:right w:val="single" w:sz="4" w:space="0" w:color="auto"/>
            </w:tcBorders>
            <w:shd w:val="clear" w:color="auto" w:fill="auto"/>
            <w:vAlign w:val="center"/>
          </w:tcPr>
          <w:p w14:paraId="51DC5023"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0BFB428F"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41351462"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2C5BC26D"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573EACBC"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1A7579AC"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388F5ACE"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7733D3B5"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76</w:t>
            </w:r>
          </w:p>
        </w:tc>
        <w:tc>
          <w:tcPr>
            <w:tcW w:w="1786" w:type="dxa"/>
            <w:tcBorders>
              <w:top w:val="nil"/>
              <w:left w:val="nil"/>
              <w:bottom w:val="single" w:sz="4" w:space="0" w:color="auto"/>
              <w:right w:val="single" w:sz="4" w:space="0" w:color="auto"/>
            </w:tcBorders>
            <w:shd w:val="clear" w:color="auto" w:fill="auto"/>
            <w:vAlign w:val="center"/>
            <w:hideMark/>
          </w:tcPr>
          <w:p w14:paraId="1A4DB760"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110 kV SS</w:t>
            </w:r>
          </w:p>
        </w:tc>
        <w:tc>
          <w:tcPr>
            <w:tcW w:w="1326" w:type="dxa"/>
            <w:tcBorders>
              <w:top w:val="nil"/>
              <w:left w:val="nil"/>
              <w:bottom w:val="single" w:sz="4" w:space="0" w:color="auto"/>
              <w:right w:val="single" w:sz="4" w:space="0" w:color="auto"/>
            </w:tcBorders>
            <w:shd w:val="clear" w:color="auto" w:fill="auto"/>
            <w:vAlign w:val="center"/>
          </w:tcPr>
          <w:p w14:paraId="328091A7"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09607ADA"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5555C619"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569DA32B"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78898CA6"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4FE5A8F3"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5DBBECDC" w14:textId="77777777" w:rsidTr="00801007">
        <w:trPr>
          <w:trHeight w:val="20"/>
        </w:trPr>
        <w:tc>
          <w:tcPr>
            <w:tcW w:w="7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B533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78</w:t>
            </w:r>
          </w:p>
        </w:tc>
        <w:tc>
          <w:tcPr>
            <w:tcW w:w="17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488FF"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35 kV SS</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14:paraId="0F989002"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AD94962"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CE11855"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26F45BA"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1D2CA0A"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14:paraId="5E9D9076"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2A8C4CB9" w14:textId="77777777" w:rsidTr="00801007">
        <w:trPr>
          <w:trHeight w:val="20"/>
        </w:trPr>
        <w:tc>
          <w:tcPr>
            <w:tcW w:w="7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AA6A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79</w:t>
            </w:r>
          </w:p>
        </w:tc>
        <w:tc>
          <w:tcPr>
            <w:tcW w:w="1786" w:type="dxa"/>
            <w:tcBorders>
              <w:top w:val="single" w:sz="4" w:space="0" w:color="auto"/>
              <w:left w:val="nil"/>
              <w:bottom w:val="single" w:sz="4" w:space="0" w:color="auto"/>
              <w:right w:val="single" w:sz="4" w:space="0" w:color="auto"/>
            </w:tcBorders>
            <w:shd w:val="clear" w:color="auto" w:fill="auto"/>
            <w:vAlign w:val="center"/>
            <w:hideMark/>
          </w:tcPr>
          <w:p w14:paraId="35579894"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10– kV SS</w:t>
            </w:r>
          </w:p>
        </w:tc>
        <w:tc>
          <w:tcPr>
            <w:tcW w:w="1326" w:type="dxa"/>
            <w:tcBorders>
              <w:top w:val="single" w:sz="4" w:space="0" w:color="auto"/>
              <w:left w:val="nil"/>
              <w:bottom w:val="single" w:sz="4" w:space="0" w:color="auto"/>
              <w:right w:val="single" w:sz="4" w:space="0" w:color="auto"/>
            </w:tcBorders>
            <w:shd w:val="clear" w:color="auto" w:fill="auto"/>
            <w:vAlign w:val="center"/>
          </w:tcPr>
          <w:p w14:paraId="7C8525AD"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single" w:sz="4" w:space="0" w:color="auto"/>
              <w:left w:val="nil"/>
              <w:bottom w:val="single" w:sz="4" w:space="0" w:color="auto"/>
              <w:right w:val="single" w:sz="4" w:space="0" w:color="auto"/>
            </w:tcBorders>
            <w:shd w:val="clear" w:color="auto" w:fill="auto"/>
            <w:vAlign w:val="center"/>
          </w:tcPr>
          <w:p w14:paraId="1B035BBB"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AE2CE67"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1A152B79"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single" w:sz="4" w:space="0" w:color="auto"/>
              <w:left w:val="nil"/>
              <w:bottom w:val="single" w:sz="4" w:space="0" w:color="auto"/>
              <w:right w:val="single" w:sz="4" w:space="0" w:color="auto"/>
            </w:tcBorders>
            <w:shd w:val="clear" w:color="auto" w:fill="auto"/>
            <w:vAlign w:val="center"/>
          </w:tcPr>
          <w:p w14:paraId="393183B8"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single" w:sz="4" w:space="0" w:color="auto"/>
              <w:left w:val="nil"/>
              <w:bottom w:val="single" w:sz="4" w:space="0" w:color="auto"/>
              <w:right w:val="single" w:sz="4" w:space="0" w:color="auto"/>
            </w:tcBorders>
            <w:shd w:val="clear" w:color="auto" w:fill="auto"/>
            <w:vAlign w:val="center"/>
          </w:tcPr>
          <w:p w14:paraId="3B96FD9D"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07C180DD"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63682321"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710</w:t>
            </w:r>
          </w:p>
        </w:tc>
        <w:tc>
          <w:tcPr>
            <w:tcW w:w="1786" w:type="dxa"/>
            <w:tcBorders>
              <w:top w:val="nil"/>
              <w:left w:val="nil"/>
              <w:bottom w:val="single" w:sz="4" w:space="0" w:color="auto"/>
              <w:right w:val="single" w:sz="4" w:space="0" w:color="auto"/>
            </w:tcBorders>
            <w:shd w:val="clear" w:color="auto" w:fill="auto"/>
            <w:vAlign w:val="center"/>
            <w:hideMark/>
          </w:tcPr>
          <w:p w14:paraId="2D18A598"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Cable grids (all voltage classes)</w:t>
            </w:r>
          </w:p>
        </w:tc>
        <w:tc>
          <w:tcPr>
            <w:tcW w:w="1326" w:type="dxa"/>
            <w:tcBorders>
              <w:top w:val="nil"/>
              <w:left w:val="nil"/>
              <w:bottom w:val="single" w:sz="4" w:space="0" w:color="auto"/>
              <w:right w:val="single" w:sz="4" w:space="0" w:color="auto"/>
            </w:tcBorders>
            <w:shd w:val="clear" w:color="auto" w:fill="auto"/>
            <w:vAlign w:val="center"/>
          </w:tcPr>
          <w:p w14:paraId="259594AF"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7675B697"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1CEAC7D4" w14:textId="77777777" w:rsidR="00162DD0" w:rsidRPr="00BD295E" w:rsidRDefault="00162DD0" w:rsidP="00162DD0">
            <w:pPr>
              <w:spacing w:after="160" w:line="259" w:lineRule="auto"/>
              <w:rPr>
                <w:rFonts w:ascii="Arial" w:hAnsi="Arial" w:cs="Arial"/>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7600C4FD" w14:textId="77777777" w:rsidR="00162DD0" w:rsidRPr="00BD295E" w:rsidRDefault="00162DD0" w:rsidP="00162DD0">
            <w:pPr>
              <w:spacing w:after="160" w:line="259" w:lineRule="auto"/>
              <w:rPr>
                <w:rFonts w:ascii="Arial" w:hAnsi="Arial" w:cs="Arial"/>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169207DD" w14:textId="77777777" w:rsidR="00162DD0" w:rsidRPr="00BD295E" w:rsidRDefault="00162DD0" w:rsidP="00162DD0">
            <w:pPr>
              <w:spacing w:after="160" w:line="259" w:lineRule="auto"/>
              <w:rPr>
                <w:rFonts w:ascii="Arial" w:hAnsi="Arial" w:cs="Arial"/>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7B4456C3" w14:textId="77777777" w:rsidR="00162DD0" w:rsidRPr="00BD295E" w:rsidRDefault="00162DD0" w:rsidP="00162DD0">
            <w:pPr>
              <w:spacing w:after="160" w:line="259" w:lineRule="auto"/>
              <w:rPr>
                <w:rFonts w:ascii="Arial" w:hAnsi="Arial" w:cs="Arial"/>
                <w:sz w:val="18"/>
                <w:szCs w:val="18"/>
                <w:lang w:val="en-US"/>
              </w:rPr>
            </w:pPr>
          </w:p>
        </w:tc>
      </w:tr>
      <w:tr w:rsidR="008A5057" w:rsidRPr="00BD295E" w14:paraId="15BD3EB5"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257941E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8.</w:t>
            </w:r>
          </w:p>
        </w:tc>
        <w:tc>
          <w:tcPr>
            <w:tcW w:w="1786" w:type="dxa"/>
            <w:tcBorders>
              <w:top w:val="nil"/>
              <w:left w:val="nil"/>
              <w:bottom w:val="single" w:sz="4" w:space="0" w:color="auto"/>
              <w:right w:val="single" w:sz="4" w:space="0" w:color="auto"/>
            </w:tcBorders>
            <w:shd w:val="clear" w:color="auto" w:fill="auto"/>
            <w:vAlign w:val="center"/>
            <w:hideMark/>
          </w:tcPr>
          <w:p w14:paraId="37E112EE"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Other Assets used under lease agreements and designed to support electric grids</w:t>
            </w:r>
          </w:p>
        </w:tc>
        <w:tc>
          <w:tcPr>
            <w:tcW w:w="1326" w:type="dxa"/>
            <w:tcBorders>
              <w:top w:val="nil"/>
              <w:left w:val="nil"/>
              <w:bottom w:val="single" w:sz="4" w:space="0" w:color="auto"/>
              <w:right w:val="single" w:sz="4" w:space="0" w:color="auto"/>
            </w:tcBorders>
            <w:shd w:val="clear" w:color="auto" w:fill="auto"/>
            <w:vAlign w:val="center"/>
          </w:tcPr>
          <w:p w14:paraId="50A00528" w14:textId="77777777" w:rsidR="00162DD0" w:rsidRPr="00BD295E" w:rsidRDefault="00162DD0" w:rsidP="00162DD0">
            <w:pPr>
              <w:spacing w:after="160" w:line="259" w:lineRule="auto"/>
              <w:rPr>
                <w:rFonts w:ascii="Arial" w:hAnsi="Arial" w:cs="Arial"/>
                <w:b/>
                <w:bCs/>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25F2C16D"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6CF329AB"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4792725E"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369" w:type="dxa"/>
            <w:tcBorders>
              <w:top w:val="nil"/>
              <w:left w:val="nil"/>
              <w:bottom w:val="single" w:sz="4" w:space="0" w:color="auto"/>
              <w:right w:val="single" w:sz="4" w:space="0" w:color="auto"/>
            </w:tcBorders>
            <w:shd w:val="clear" w:color="auto" w:fill="auto"/>
            <w:vAlign w:val="center"/>
          </w:tcPr>
          <w:p w14:paraId="583A53B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50A99B72"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r>
      <w:tr w:rsidR="008A5057" w:rsidRPr="00BD295E" w14:paraId="5543ECD7"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181B5483"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9.</w:t>
            </w:r>
          </w:p>
        </w:tc>
        <w:tc>
          <w:tcPr>
            <w:tcW w:w="1786" w:type="dxa"/>
            <w:tcBorders>
              <w:top w:val="nil"/>
              <w:left w:val="nil"/>
              <w:bottom w:val="single" w:sz="4" w:space="0" w:color="auto"/>
              <w:right w:val="single" w:sz="4" w:space="0" w:color="auto"/>
            </w:tcBorders>
            <w:shd w:val="clear" w:color="auto" w:fill="auto"/>
            <w:vAlign w:val="center"/>
            <w:hideMark/>
          </w:tcPr>
          <w:p w14:paraId="6B85E640"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Other Assets used under hire purchase agreements</w:t>
            </w:r>
          </w:p>
        </w:tc>
        <w:tc>
          <w:tcPr>
            <w:tcW w:w="1326" w:type="dxa"/>
            <w:tcBorders>
              <w:top w:val="nil"/>
              <w:left w:val="nil"/>
              <w:bottom w:val="single" w:sz="4" w:space="0" w:color="auto"/>
              <w:right w:val="single" w:sz="4" w:space="0" w:color="auto"/>
            </w:tcBorders>
            <w:shd w:val="clear" w:color="auto" w:fill="auto"/>
            <w:vAlign w:val="center"/>
          </w:tcPr>
          <w:p w14:paraId="0ADF1C17" w14:textId="77777777" w:rsidR="00162DD0" w:rsidRPr="00BD295E" w:rsidRDefault="00162DD0" w:rsidP="00162DD0">
            <w:pPr>
              <w:spacing w:after="160" w:line="259" w:lineRule="auto"/>
              <w:rPr>
                <w:rFonts w:ascii="Arial" w:hAnsi="Arial" w:cs="Arial"/>
                <w:b/>
                <w:bCs/>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2C45552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7ADFA45B"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134" w:type="dxa"/>
            <w:tcBorders>
              <w:top w:val="nil"/>
              <w:left w:val="nil"/>
              <w:bottom w:val="single" w:sz="4" w:space="0" w:color="auto"/>
              <w:right w:val="single" w:sz="4" w:space="0" w:color="auto"/>
            </w:tcBorders>
            <w:shd w:val="clear" w:color="auto" w:fill="auto"/>
            <w:vAlign w:val="center"/>
          </w:tcPr>
          <w:p w14:paraId="70B1414C"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369" w:type="dxa"/>
            <w:tcBorders>
              <w:top w:val="nil"/>
              <w:left w:val="nil"/>
              <w:bottom w:val="single" w:sz="4" w:space="0" w:color="auto"/>
              <w:right w:val="single" w:sz="4" w:space="0" w:color="auto"/>
            </w:tcBorders>
            <w:shd w:val="clear" w:color="auto" w:fill="auto"/>
            <w:vAlign w:val="center"/>
          </w:tcPr>
          <w:p w14:paraId="5B2305C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c>
          <w:tcPr>
            <w:tcW w:w="1326" w:type="dxa"/>
            <w:tcBorders>
              <w:top w:val="nil"/>
              <w:left w:val="nil"/>
              <w:bottom w:val="single" w:sz="4" w:space="0" w:color="auto"/>
              <w:right w:val="single" w:sz="4" w:space="0" w:color="auto"/>
            </w:tcBorders>
            <w:shd w:val="clear" w:color="auto" w:fill="auto"/>
            <w:vAlign w:val="center"/>
          </w:tcPr>
          <w:p w14:paraId="69A0B4C6"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0</w:t>
            </w:r>
          </w:p>
        </w:tc>
      </w:tr>
      <w:tr w:rsidR="008A5057" w:rsidRPr="00BD295E" w14:paraId="1D7F315D"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hideMark/>
          </w:tcPr>
          <w:p w14:paraId="29E1D6F0"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10.</w:t>
            </w:r>
          </w:p>
        </w:tc>
        <w:tc>
          <w:tcPr>
            <w:tcW w:w="1786" w:type="dxa"/>
            <w:tcBorders>
              <w:top w:val="nil"/>
              <w:left w:val="nil"/>
              <w:bottom w:val="single" w:sz="4" w:space="0" w:color="auto"/>
              <w:right w:val="single" w:sz="4" w:space="0" w:color="auto"/>
            </w:tcBorders>
            <w:shd w:val="clear" w:color="auto" w:fill="auto"/>
            <w:vAlign w:val="center"/>
            <w:hideMark/>
          </w:tcPr>
          <w:p w14:paraId="57FF7F1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Total leased assets, including under hire purchase agreements</w:t>
            </w:r>
            <w:r w:rsidRPr="00BD295E">
              <w:rPr>
                <w:rFonts w:ascii="Arial" w:hAnsi="Arial" w:cs="Arial"/>
                <w:b/>
                <w:bCs/>
                <w:sz w:val="18"/>
                <w:szCs w:val="18"/>
                <w:lang w:val="en-US"/>
              </w:rPr>
              <w:br/>
              <w:t>(item 10= item 5 + item 6 + item 7 + item 8 + item 9)</w:t>
            </w:r>
          </w:p>
        </w:tc>
        <w:tc>
          <w:tcPr>
            <w:tcW w:w="1326" w:type="dxa"/>
            <w:tcBorders>
              <w:top w:val="nil"/>
              <w:left w:val="nil"/>
              <w:bottom w:val="single" w:sz="4" w:space="0" w:color="auto"/>
              <w:right w:val="single" w:sz="4" w:space="0" w:color="auto"/>
            </w:tcBorders>
            <w:shd w:val="clear" w:color="auto" w:fill="auto"/>
            <w:vAlign w:val="center"/>
          </w:tcPr>
          <w:p w14:paraId="7FBA8CC2"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32B6E9A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36,976,397</w:t>
            </w:r>
          </w:p>
        </w:tc>
        <w:tc>
          <w:tcPr>
            <w:tcW w:w="1134" w:type="dxa"/>
            <w:tcBorders>
              <w:top w:val="nil"/>
              <w:left w:val="nil"/>
              <w:bottom w:val="single" w:sz="4" w:space="0" w:color="auto"/>
              <w:right w:val="single" w:sz="4" w:space="0" w:color="auto"/>
            </w:tcBorders>
            <w:shd w:val="clear" w:color="auto" w:fill="auto"/>
            <w:vAlign w:val="center"/>
          </w:tcPr>
          <w:p w14:paraId="2E2EC38D"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3,230,617</w:t>
            </w:r>
          </w:p>
        </w:tc>
        <w:tc>
          <w:tcPr>
            <w:tcW w:w="1134" w:type="dxa"/>
            <w:tcBorders>
              <w:top w:val="nil"/>
              <w:left w:val="nil"/>
              <w:bottom w:val="single" w:sz="4" w:space="0" w:color="auto"/>
              <w:right w:val="single" w:sz="4" w:space="0" w:color="auto"/>
            </w:tcBorders>
            <w:shd w:val="clear" w:color="auto" w:fill="auto"/>
            <w:vAlign w:val="center"/>
          </w:tcPr>
          <w:p w14:paraId="5310B2D1"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2,930,254</w:t>
            </w:r>
          </w:p>
        </w:tc>
        <w:tc>
          <w:tcPr>
            <w:tcW w:w="1369" w:type="dxa"/>
            <w:tcBorders>
              <w:top w:val="nil"/>
              <w:left w:val="nil"/>
              <w:bottom w:val="single" w:sz="4" w:space="0" w:color="auto"/>
              <w:right w:val="single" w:sz="4" w:space="0" w:color="auto"/>
            </w:tcBorders>
            <w:shd w:val="clear" w:color="auto" w:fill="auto"/>
            <w:vAlign w:val="center"/>
          </w:tcPr>
          <w:p w14:paraId="42A8D76A"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no depreciation and amortization for fixed assets recognized  in the off-balance-sheet account</w:t>
            </w:r>
          </w:p>
        </w:tc>
        <w:tc>
          <w:tcPr>
            <w:tcW w:w="1326" w:type="dxa"/>
            <w:tcBorders>
              <w:top w:val="nil"/>
              <w:left w:val="nil"/>
              <w:bottom w:val="single" w:sz="4" w:space="0" w:color="auto"/>
              <w:right w:val="single" w:sz="4" w:space="0" w:color="auto"/>
            </w:tcBorders>
            <w:shd w:val="clear" w:color="auto" w:fill="auto"/>
            <w:vAlign w:val="center"/>
          </w:tcPr>
          <w:p w14:paraId="625CCF07"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37,276,760</w:t>
            </w:r>
          </w:p>
        </w:tc>
      </w:tr>
      <w:tr w:rsidR="008A5057" w:rsidRPr="00BD295E" w14:paraId="51B581A8" w14:textId="77777777" w:rsidTr="00801007">
        <w:trPr>
          <w:trHeight w:val="20"/>
        </w:trPr>
        <w:tc>
          <w:tcPr>
            <w:tcW w:w="749" w:type="dxa"/>
            <w:tcBorders>
              <w:top w:val="nil"/>
              <w:left w:val="single" w:sz="4" w:space="0" w:color="auto"/>
              <w:bottom w:val="nil"/>
              <w:right w:val="single" w:sz="4" w:space="0" w:color="auto"/>
            </w:tcBorders>
            <w:shd w:val="clear" w:color="auto" w:fill="auto"/>
            <w:vAlign w:val="center"/>
            <w:hideMark/>
          </w:tcPr>
          <w:p w14:paraId="33956CE4"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11.</w:t>
            </w:r>
          </w:p>
        </w:tc>
        <w:tc>
          <w:tcPr>
            <w:tcW w:w="1786" w:type="dxa"/>
            <w:tcBorders>
              <w:top w:val="nil"/>
              <w:left w:val="nil"/>
              <w:bottom w:val="nil"/>
              <w:right w:val="single" w:sz="4" w:space="0" w:color="auto"/>
            </w:tcBorders>
            <w:shd w:val="clear" w:color="auto" w:fill="auto"/>
            <w:vAlign w:val="center"/>
            <w:hideMark/>
          </w:tcPr>
          <w:p w14:paraId="067F31D6"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TOTAL (item 11 = item 4 + item 10)</w:t>
            </w:r>
          </w:p>
        </w:tc>
        <w:tc>
          <w:tcPr>
            <w:tcW w:w="1326" w:type="dxa"/>
            <w:tcBorders>
              <w:top w:val="nil"/>
              <w:left w:val="nil"/>
              <w:bottom w:val="nil"/>
              <w:right w:val="single" w:sz="4" w:space="0" w:color="auto"/>
            </w:tcBorders>
            <w:shd w:val="clear" w:color="auto" w:fill="auto"/>
            <w:vAlign w:val="center"/>
            <w:hideMark/>
          </w:tcPr>
          <w:p w14:paraId="58A78B66" w14:textId="77777777" w:rsidR="00162DD0" w:rsidRPr="00BD295E" w:rsidRDefault="008A5057" w:rsidP="00162DD0">
            <w:pPr>
              <w:spacing w:after="160" w:line="259" w:lineRule="auto"/>
              <w:rPr>
                <w:rFonts w:ascii="Arial" w:hAnsi="Arial" w:cs="Arial"/>
                <w:sz w:val="18"/>
                <w:szCs w:val="18"/>
                <w:lang w:val="en-US"/>
              </w:rPr>
            </w:pPr>
            <w:r w:rsidRPr="00BD295E">
              <w:rPr>
                <w:rFonts w:ascii="Arial" w:hAnsi="Arial" w:cs="Arial"/>
                <w:sz w:val="18"/>
                <w:szCs w:val="18"/>
                <w:lang w:val="en-US"/>
              </w:rPr>
              <w:t> </w:t>
            </w:r>
          </w:p>
        </w:tc>
        <w:tc>
          <w:tcPr>
            <w:tcW w:w="1271" w:type="dxa"/>
            <w:tcBorders>
              <w:top w:val="nil"/>
              <w:left w:val="nil"/>
              <w:bottom w:val="nil"/>
              <w:right w:val="single" w:sz="4" w:space="0" w:color="auto"/>
            </w:tcBorders>
            <w:shd w:val="clear" w:color="auto" w:fill="auto"/>
            <w:vAlign w:val="center"/>
          </w:tcPr>
          <w:p w14:paraId="2E9BABC9"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181,377,321</w:t>
            </w:r>
          </w:p>
        </w:tc>
        <w:tc>
          <w:tcPr>
            <w:tcW w:w="1134" w:type="dxa"/>
            <w:tcBorders>
              <w:top w:val="nil"/>
              <w:left w:val="nil"/>
              <w:bottom w:val="nil"/>
              <w:right w:val="single" w:sz="4" w:space="0" w:color="auto"/>
            </w:tcBorders>
            <w:shd w:val="clear" w:color="auto" w:fill="auto"/>
            <w:vAlign w:val="center"/>
          </w:tcPr>
          <w:p w14:paraId="251A0ECB"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26,749,308</w:t>
            </w:r>
          </w:p>
        </w:tc>
        <w:tc>
          <w:tcPr>
            <w:tcW w:w="1134" w:type="dxa"/>
            <w:tcBorders>
              <w:top w:val="nil"/>
              <w:left w:val="nil"/>
              <w:bottom w:val="nil"/>
              <w:right w:val="single" w:sz="4" w:space="0" w:color="auto"/>
            </w:tcBorders>
            <w:shd w:val="clear" w:color="auto" w:fill="auto"/>
            <w:vAlign w:val="center"/>
          </w:tcPr>
          <w:p w14:paraId="73B6543D"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2,978,773</w:t>
            </w:r>
          </w:p>
        </w:tc>
        <w:tc>
          <w:tcPr>
            <w:tcW w:w="1369" w:type="dxa"/>
            <w:tcBorders>
              <w:top w:val="nil"/>
              <w:left w:val="nil"/>
              <w:bottom w:val="nil"/>
              <w:right w:val="single" w:sz="4" w:space="0" w:color="auto"/>
            </w:tcBorders>
            <w:shd w:val="clear" w:color="auto" w:fill="auto"/>
            <w:vAlign w:val="center"/>
          </w:tcPr>
          <w:p w14:paraId="34CAA7D7"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11,739,492</w:t>
            </w:r>
          </w:p>
        </w:tc>
        <w:tc>
          <w:tcPr>
            <w:tcW w:w="1326" w:type="dxa"/>
            <w:tcBorders>
              <w:top w:val="nil"/>
              <w:left w:val="nil"/>
              <w:bottom w:val="nil"/>
              <w:right w:val="single" w:sz="4" w:space="0" w:color="auto"/>
            </w:tcBorders>
            <w:shd w:val="clear" w:color="auto" w:fill="auto"/>
            <w:vAlign w:val="center"/>
          </w:tcPr>
          <w:p w14:paraId="5D95AA5C" w14:textId="77777777" w:rsidR="00162DD0" w:rsidRPr="00BD295E" w:rsidRDefault="008A5057" w:rsidP="00162DD0">
            <w:pPr>
              <w:spacing w:after="160" w:line="259" w:lineRule="auto"/>
              <w:rPr>
                <w:rFonts w:ascii="Arial" w:hAnsi="Arial" w:cs="Arial"/>
                <w:b/>
                <w:bCs/>
                <w:sz w:val="18"/>
                <w:szCs w:val="18"/>
                <w:lang w:val="en-US"/>
              </w:rPr>
            </w:pPr>
            <w:r w:rsidRPr="00BD295E">
              <w:rPr>
                <w:rFonts w:ascii="Arial" w:hAnsi="Arial" w:cs="Arial"/>
                <w:b/>
                <w:bCs/>
                <w:sz w:val="18"/>
                <w:szCs w:val="18"/>
                <w:lang w:val="en-US"/>
              </w:rPr>
              <w:t>193,408,364</w:t>
            </w:r>
          </w:p>
        </w:tc>
      </w:tr>
      <w:tr w:rsidR="008A5057" w:rsidRPr="00BD295E" w14:paraId="15594693" w14:textId="77777777" w:rsidTr="00801007">
        <w:trPr>
          <w:trHeight w:val="20"/>
        </w:trPr>
        <w:tc>
          <w:tcPr>
            <w:tcW w:w="749" w:type="dxa"/>
            <w:tcBorders>
              <w:top w:val="nil"/>
              <w:left w:val="single" w:sz="4" w:space="0" w:color="auto"/>
              <w:bottom w:val="single" w:sz="4" w:space="0" w:color="auto"/>
              <w:right w:val="single" w:sz="4" w:space="0" w:color="auto"/>
            </w:tcBorders>
            <w:shd w:val="clear" w:color="auto" w:fill="auto"/>
            <w:vAlign w:val="center"/>
          </w:tcPr>
          <w:p w14:paraId="3B3BFBFF" w14:textId="77777777" w:rsidR="00162DD0" w:rsidRPr="00BD295E" w:rsidRDefault="00162DD0" w:rsidP="00162DD0">
            <w:pPr>
              <w:spacing w:after="160" w:line="259" w:lineRule="auto"/>
              <w:rPr>
                <w:rFonts w:ascii="Arial" w:hAnsi="Arial" w:cs="Arial"/>
                <w:b/>
                <w:bCs/>
                <w:sz w:val="18"/>
                <w:szCs w:val="18"/>
                <w:lang w:val="en-US"/>
              </w:rPr>
            </w:pPr>
          </w:p>
        </w:tc>
        <w:tc>
          <w:tcPr>
            <w:tcW w:w="1786" w:type="dxa"/>
            <w:tcBorders>
              <w:top w:val="nil"/>
              <w:left w:val="nil"/>
              <w:bottom w:val="single" w:sz="4" w:space="0" w:color="auto"/>
              <w:right w:val="single" w:sz="4" w:space="0" w:color="auto"/>
            </w:tcBorders>
            <w:shd w:val="clear" w:color="auto" w:fill="auto"/>
            <w:vAlign w:val="center"/>
          </w:tcPr>
          <w:p w14:paraId="073F4A0B" w14:textId="77777777" w:rsidR="00162DD0" w:rsidRPr="00BD295E" w:rsidRDefault="00162DD0" w:rsidP="00162DD0">
            <w:pPr>
              <w:spacing w:after="160" w:line="259" w:lineRule="auto"/>
              <w:rPr>
                <w:rFonts w:ascii="Arial" w:hAnsi="Arial" w:cs="Arial"/>
                <w:b/>
                <w:bCs/>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22084AC2" w14:textId="77777777" w:rsidR="00162DD0" w:rsidRPr="00BD295E" w:rsidRDefault="00162DD0" w:rsidP="00162DD0">
            <w:pPr>
              <w:spacing w:after="160" w:line="259" w:lineRule="auto"/>
              <w:rPr>
                <w:rFonts w:ascii="Arial" w:hAnsi="Arial" w:cs="Arial"/>
                <w:sz w:val="18"/>
                <w:szCs w:val="18"/>
                <w:lang w:val="en-US"/>
              </w:rPr>
            </w:pPr>
          </w:p>
        </w:tc>
        <w:tc>
          <w:tcPr>
            <w:tcW w:w="1271" w:type="dxa"/>
            <w:tcBorders>
              <w:top w:val="nil"/>
              <w:left w:val="nil"/>
              <w:bottom w:val="single" w:sz="4" w:space="0" w:color="auto"/>
              <w:right w:val="single" w:sz="4" w:space="0" w:color="auto"/>
            </w:tcBorders>
            <w:shd w:val="clear" w:color="auto" w:fill="auto"/>
            <w:vAlign w:val="center"/>
          </w:tcPr>
          <w:p w14:paraId="3328C83F" w14:textId="77777777" w:rsidR="00162DD0" w:rsidRPr="00BD295E" w:rsidRDefault="00162DD0" w:rsidP="00162DD0">
            <w:pPr>
              <w:spacing w:after="160" w:line="259" w:lineRule="auto"/>
              <w:rPr>
                <w:rFonts w:ascii="Arial" w:hAnsi="Arial" w:cs="Arial"/>
                <w:b/>
                <w:bCs/>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3E96F593" w14:textId="77777777" w:rsidR="00162DD0" w:rsidRPr="00BD295E" w:rsidRDefault="00162DD0" w:rsidP="00162DD0">
            <w:pPr>
              <w:spacing w:after="160" w:line="259" w:lineRule="auto"/>
              <w:rPr>
                <w:rFonts w:ascii="Arial" w:hAnsi="Arial" w:cs="Arial"/>
                <w:b/>
                <w:bCs/>
                <w:sz w:val="18"/>
                <w:szCs w:val="18"/>
                <w:lang w:val="en-US"/>
              </w:rPr>
            </w:pPr>
          </w:p>
        </w:tc>
        <w:tc>
          <w:tcPr>
            <w:tcW w:w="1134" w:type="dxa"/>
            <w:tcBorders>
              <w:top w:val="nil"/>
              <w:left w:val="nil"/>
              <w:bottom w:val="single" w:sz="4" w:space="0" w:color="auto"/>
              <w:right w:val="single" w:sz="4" w:space="0" w:color="auto"/>
            </w:tcBorders>
            <w:shd w:val="clear" w:color="auto" w:fill="auto"/>
            <w:vAlign w:val="center"/>
          </w:tcPr>
          <w:p w14:paraId="4057D654" w14:textId="77777777" w:rsidR="00162DD0" w:rsidRPr="00BD295E" w:rsidRDefault="00162DD0" w:rsidP="00162DD0">
            <w:pPr>
              <w:spacing w:after="160" w:line="259" w:lineRule="auto"/>
              <w:rPr>
                <w:rFonts w:ascii="Arial" w:hAnsi="Arial" w:cs="Arial"/>
                <w:b/>
                <w:bCs/>
                <w:sz w:val="18"/>
                <w:szCs w:val="18"/>
                <w:lang w:val="en-US"/>
              </w:rPr>
            </w:pPr>
          </w:p>
        </w:tc>
        <w:tc>
          <w:tcPr>
            <w:tcW w:w="1369" w:type="dxa"/>
            <w:tcBorders>
              <w:top w:val="nil"/>
              <w:left w:val="nil"/>
              <w:bottom w:val="single" w:sz="4" w:space="0" w:color="auto"/>
              <w:right w:val="single" w:sz="4" w:space="0" w:color="auto"/>
            </w:tcBorders>
            <w:shd w:val="clear" w:color="auto" w:fill="auto"/>
            <w:vAlign w:val="center"/>
          </w:tcPr>
          <w:p w14:paraId="04C62AC3" w14:textId="77777777" w:rsidR="00162DD0" w:rsidRPr="00BD295E" w:rsidRDefault="00162DD0" w:rsidP="00162DD0">
            <w:pPr>
              <w:spacing w:after="160" w:line="259" w:lineRule="auto"/>
              <w:rPr>
                <w:rFonts w:ascii="Arial" w:hAnsi="Arial" w:cs="Arial"/>
                <w:b/>
                <w:bCs/>
                <w:sz w:val="18"/>
                <w:szCs w:val="18"/>
                <w:lang w:val="en-US"/>
              </w:rPr>
            </w:pPr>
          </w:p>
        </w:tc>
        <w:tc>
          <w:tcPr>
            <w:tcW w:w="1326" w:type="dxa"/>
            <w:tcBorders>
              <w:top w:val="nil"/>
              <w:left w:val="nil"/>
              <w:bottom w:val="single" w:sz="4" w:space="0" w:color="auto"/>
              <w:right w:val="single" w:sz="4" w:space="0" w:color="auto"/>
            </w:tcBorders>
            <w:shd w:val="clear" w:color="auto" w:fill="auto"/>
            <w:vAlign w:val="center"/>
          </w:tcPr>
          <w:p w14:paraId="416330F0" w14:textId="77777777" w:rsidR="00162DD0" w:rsidRPr="00BD295E" w:rsidRDefault="00162DD0" w:rsidP="00162DD0">
            <w:pPr>
              <w:spacing w:after="160" w:line="259" w:lineRule="auto"/>
              <w:rPr>
                <w:rFonts w:ascii="Arial" w:hAnsi="Arial" w:cs="Arial"/>
                <w:b/>
                <w:bCs/>
                <w:sz w:val="18"/>
                <w:szCs w:val="18"/>
                <w:lang w:val="en-US"/>
              </w:rPr>
            </w:pPr>
          </w:p>
        </w:tc>
      </w:tr>
    </w:tbl>
    <w:p w14:paraId="1CF531A6" w14:textId="77777777" w:rsidR="00162DD0" w:rsidRPr="00BD295E" w:rsidRDefault="00162DD0" w:rsidP="004D2697">
      <w:pPr>
        <w:spacing w:after="160" w:line="259" w:lineRule="auto"/>
        <w:rPr>
          <w:rFonts w:ascii="Arial" w:hAnsi="Arial" w:cs="Arial"/>
          <w:sz w:val="18"/>
          <w:szCs w:val="18"/>
          <w:lang w:val="en-US"/>
        </w:rPr>
      </w:pPr>
    </w:p>
    <w:bookmarkEnd w:id="648"/>
    <w:p w14:paraId="057E6248" w14:textId="77777777" w:rsidR="009E6685" w:rsidRPr="00BD295E" w:rsidRDefault="009E6685" w:rsidP="00162DD0">
      <w:pPr>
        <w:spacing w:after="160" w:line="259" w:lineRule="auto"/>
        <w:rPr>
          <w:rFonts w:ascii="Arial" w:hAnsi="Arial" w:cs="Arial"/>
          <w:b/>
          <w:sz w:val="18"/>
          <w:szCs w:val="18"/>
          <w:lang w:val="en-US"/>
        </w:rPr>
      </w:pPr>
    </w:p>
    <w:p w14:paraId="5C8D27BD" w14:textId="3BDB6B56" w:rsidR="004D2697" w:rsidRPr="00BD295E" w:rsidRDefault="008A5057" w:rsidP="00801007">
      <w:pPr>
        <w:pStyle w:val="2"/>
        <w:numPr>
          <w:ilvl w:val="1"/>
          <w:numId w:val="53"/>
        </w:numPr>
        <w:rPr>
          <w:rFonts w:ascii="Arial" w:hAnsi="Arial" w:cs="Arial"/>
          <w:sz w:val="18"/>
          <w:szCs w:val="18"/>
          <w:lang w:val="en-US"/>
        </w:rPr>
      </w:pPr>
      <w:bookmarkStart w:id="649" w:name="_Toc5101342"/>
      <w:bookmarkStart w:id="650" w:name="_Toc5101721"/>
      <w:bookmarkStart w:id="651" w:name="_Toc5874617"/>
      <w:bookmarkStart w:id="652" w:name="_Toc95855315"/>
      <w:bookmarkStart w:id="653" w:name="_Toc95935374"/>
      <w:r w:rsidRPr="00BD295E">
        <w:rPr>
          <w:rFonts w:ascii="Arial" w:hAnsi="Arial" w:cs="Arial"/>
          <w:sz w:val="18"/>
          <w:szCs w:val="18"/>
          <w:lang w:val="en-US"/>
        </w:rPr>
        <w:t>Changes in the breakdown of capital investments in 2016–2018;</w:t>
      </w:r>
      <w:bookmarkEnd w:id="649"/>
      <w:bookmarkEnd w:id="650"/>
      <w:bookmarkEnd w:id="651"/>
      <w:bookmarkEnd w:id="652"/>
      <w:bookmarkEnd w:id="653"/>
    </w:p>
    <w:tbl>
      <w:tblPr>
        <w:tblW w:w="10005" w:type="dxa"/>
        <w:tblInd w:w="-885" w:type="dxa"/>
        <w:tblLayout w:type="fixed"/>
        <w:tblLook w:val="04A0" w:firstRow="1" w:lastRow="0" w:firstColumn="1" w:lastColumn="0" w:noHBand="0" w:noVBand="1"/>
      </w:tblPr>
      <w:tblGrid>
        <w:gridCol w:w="4840"/>
        <w:gridCol w:w="1071"/>
        <w:gridCol w:w="1071"/>
        <w:gridCol w:w="1057"/>
        <w:gridCol w:w="907"/>
        <w:gridCol w:w="1059"/>
      </w:tblGrid>
      <w:tr w:rsidR="008A5057" w:rsidRPr="00BD295E" w14:paraId="2953FEDE" w14:textId="77777777" w:rsidTr="009E6685">
        <w:trPr>
          <w:trHeight w:val="20"/>
        </w:trPr>
        <w:tc>
          <w:tcPr>
            <w:tcW w:w="48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A77B8" w14:textId="77777777" w:rsidR="009E6685" w:rsidRPr="00BD295E" w:rsidRDefault="00EE5753">
            <w:pPr>
              <w:rPr>
                <w:rFonts w:ascii="Arial" w:hAnsi="Arial" w:cs="Arial"/>
                <w:b/>
                <w:bCs/>
                <w:sz w:val="18"/>
                <w:szCs w:val="18"/>
                <w:lang w:val="en-US"/>
              </w:rPr>
            </w:pPr>
            <w:r w:rsidRPr="00BD295E">
              <w:rPr>
                <w:rFonts w:ascii="Arial" w:hAnsi="Arial" w:cs="Arial"/>
                <w:b/>
                <w:bCs/>
                <w:sz w:val="18"/>
                <w:szCs w:val="18"/>
                <w:lang w:val="en-US"/>
              </w:rPr>
              <w:t>PJSC “Lenenergo”</w:t>
            </w:r>
          </w:p>
        </w:tc>
        <w:tc>
          <w:tcPr>
            <w:tcW w:w="1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FA391"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2016</w:t>
            </w:r>
          </w:p>
        </w:tc>
        <w:tc>
          <w:tcPr>
            <w:tcW w:w="10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29D5C"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2017</w:t>
            </w:r>
          </w:p>
        </w:tc>
        <w:tc>
          <w:tcPr>
            <w:tcW w:w="302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A5BA849"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2018</w:t>
            </w:r>
          </w:p>
        </w:tc>
      </w:tr>
      <w:tr w:rsidR="008A5057" w:rsidRPr="00BD295E" w14:paraId="2B2ECF6F" w14:textId="77777777" w:rsidTr="009E6685">
        <w:trPr>
          <w:trHeight w:val="20"/>
        </w:trPr>
        <w:tc>
          <w:tcPr>
            <w:tcW w:w="484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665585A" w14:textId="77777777" w:rsidR="009E6685" w:rsidRPr="00BD295E" w:rsidRDefault="009E6685">
            <w:pPr>
              <w:rPr>
                <w:rFonts w:ascii="Arial" w:hAnsi="Arial" w:cs="Arial"/>
                <w:b/>
                <w:bCs/>
                <w:sz w:val="18"/>
                <w:szCs w:val="18"/>
                <w:lang w:val="en-US"/>
              </w:rPr>
            </w:pPr>
          </w:p>
        </w:tc>
        <w:tc>
          <w:tcPr>
            <w:tcW w:w="107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8FB3608" w14:textId="77777777" w:rsidR="009E6685" w:rsidRPr="00BD295E" w:rsidRDefault="009E6685">
            <w:pPr>
              <w:rPr>
                <w:rFonts w:ascii="Arial" w:hAnsi="Arial" w:cs="Arial"/>
                <w:b/>
                <w:bCs/>
                <w:sz w:val="18"/>
                <w:szCs w:val="18"/>
                <w:lang w:val="en-US"/>
              </w:rPr>
            </w:pPr>
          </w:p>
        </w:tc>
        <w:tc>
          <w:tcPr>
            <w:tcW w:w="107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54B9BB" w14:textId="77777777" w:rsidR="009E6685" w:rsidRPr="00BD295E" w:rsidRDefault="009E6685">
            <w:pPr>
              <w:rPr>
                <w:rFonts w:ascii="Arial" w:hAnsi="Arial" w:cs="Arial"/>
                <w:b/>
                <w:bCs/>
                <w:sz w:val="18"/>
                <w:szCs w:val="18"/>
                <w:lang w:val="en-US"/>
              </w:rPr>
            </w:pPr>
          </w:p>
        </w:tc>
        <w:tc>
          <w:tcPr>
            <w:tcW w:w="1057" w:type="dxa"/>
            <w:tcBorders>
              <w:top w:val="nil"/>
              <w:left w:val="nil"/>
              <w:bottom w:val="single" w:sz="4" w:space="0" w:color="auto"/>
              <w:right w:val="single" w:sz="4" w:space="0" w:color="auto"/>
            </w:tcBorders>
            <w:shd w:val="clear" w:color="auto" w:fill="auto"/>
            <w:vAlign w:val="center"/>
            <w:hideMark/>
          </w:tcPr>
          <w:p w14:paraId="15661932"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Plan</w:t>
            </w:r>
          </w:p>
        </w:tc>
        <w:tc>
          <w:tcPr>
            <w:tcW w:w="907" w:type="dxa"/>
            <w:tcBorders>
              <w:top w:val="nil"/>
              <w:left w:val="nil"/>
              <w:bottom w:val="single" w:sz="4" w:space="0" w:color="auto"/>
              <w:right w:val="single" w:sz="4" w:space="0" w:color="auto"/>
            </w:tcBorders>
            <w:shd w:val="clear" w:color="auto" w:fill="auto"/>
            <w:vAlign w:val="center"/>
            <w:hideMark/>
          </w:tcPr>
          <w:p w14:paraId="08E159FA"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Actual</w:t>
            </w:r>
          </w:p>
        </w:tc>
        <w:tc>
          <w:tcPr>
            <w:tcW w:w="1059" w:type="dxa"/>
            <w:tcBorders>
              <w:top w:val="nil"/>
              <w:left w:val="nil"/>
              <w:bottom w:val="single" w:sz="4" w:space="0" w:color="auto"/>
              <w:right w:val="single" w:sz="4" w:space="0" w:color="auto"/>
            </w:tcBorders>
            <w:shd w:val="clear" w:color="auto" w:fill="auto"/>
            <w:vAlign w:val="center"/>
            <w:hideMark/>
          </w:tcPr>
          <w:p w14:paraId="484571E2"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 completed</w:t>
            </w:r>
          </w:p>
        </w:tc>
      </w:tr>
      <w:tr w:rsidR="008A5057" w:rsidRPr="00BD295E" w14:paraId="719F50DF"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3DD8911E"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Investment target area – total:</w:t>
            </w:r>
          </w:p>
        </w:tc>
        <w:tc>
          <w:tcPr>
            <w:tcW w:w="1071" w:type="dxa"/>
            <w:tcBorders>
              <w:top w:val="nil"/>
              <w:left w:val="nil"/>
              <w:bottom w:val="single" w:sz="4" w:space="0" w:color="auto"/>
              <w:right w:val="single" w:sz="4" w:space="0" w:color="auto"/>
            </w:tcBorders>
            <w:shd w:val="clear" w:color="auto" w:fill="auto"/>
            <w:noWrap/>
            <w:vAlign w:val="center"/>
            <w:hideMark/>
          </w:tcPr>
          <w:p w14:paraId="384403CA"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22,210</w:t>
            </w:r>
          </w:p>
        </w:tc>
        <w:tc>
          <w:tcPr>
            <w:tcW w:w="1071" w:type="dxa"/>
            <w:tcBorders>
              <w:top w:val="nil"/>
              <w:left w:val="nil"/>
              <w:bottom w:val="single" w:sz="4" w:space="0" w:color="auto"/>
              <w:right w:val="single" w:sz="4" w:space="0" w:color="auto"/>
            </w:tcBorders>
            <w:shd w:val="clear" w:color="auto" w:fill="auto"/>
            <w:noWrap/>
            <w:vAlign w:val="center"/>
            <w:hideMark/>
          </w:tcPr>
          <w:p w14:paraId="245238B2"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28,203</w:t>
            </w:r>
          </w:p>
        </w:tc>
        <w:tc>
          <w:tcPr>
            <w:tcW w:w="1057" w:type="dxa"/>
            <w:tcBorders>
              <w:top w:val="nil"/>
              <w:left w:val="nil"/>
              <w:bottom w:val="single" w:sz="4" w:space="0" w:color="auto"/>
              <w:right w:val="single" w:sz="4" w:space="0" w:color="auto"/>
            </w:tcBorders>
            <w:shd w:val="clear" w:color="auto" w:fill="auto"/>
            <w:noWrap/>
            <w:vAlign w:val="center"/>
            <w:hideMark/>
          </w:tcPr>
          <w:p w14:paraId="0155D61E"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20,664</w:t>
            </w:r>
          </w:p>
        </w:tc>
        <w:tc>
          <w:tcPr>
            <w:tcW w:w="907" w:type="dxa"/>
            <w:tcBorders>
              <w:top w:val="nil"/>
              <w:left w:val="nil"/>
              <w:bottom w:val="single" w:sz="4" w:space="0" w:color="auto"/>
              <w:right w:val="single" w:sz="4" w:space="0" w:color="auto"/>
            </w:tcBorders>
            <w:shd w:val="clear" w:color="auto" w:fill="auto"/>
            <w:noWrap/>
            <w:vAlign w:val="center"/>
            <w:hideMark/>
          </w:tcPr>
          <w:p w14:paraId="5503DB05"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20,722</w:t>
            </w:r>
          </w:p>
        </w:tc>
        <w:tc>
          <w:tcPr>
            <w:tcW w:w="1059" w:type="dxa"/>
            <w:tcBorders>
              <w:top w:val="nil"/>
              <w:left w:val="nil"/>
              <w:bottom w:val="single" w:sz="4" w:space="0" w:color="auto"/>
              <w:right w:val="single" w:sz="4" w:space="0" w:color="auto"/>
            </w:tcBorders>
            <w:shd w:val="clear" w:color="auto" w:fill="auto"/>
            <w:noWrap/>
            <w:vAlign w:val="center"/>
            <w:hideMark/>
          </w:tcPr>
          <w:p w14:paraId="0FF62969"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100%</w:t>
            </w:r>
          </w:p>
        </w:tc>
      </w:tr>
      <w:tr w:rsidR="008A5057" w:rsidRPr="00BD295E" w14:paraId="748F694A"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07EE6FE7"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Electric grid facilities, including:</w:t>
            </w:r>
          </w:p>
        </w:tc>
        <w:tc>
          <w:tcPr>
            <w:tcW w:w="1071" w:type="dxa"/>
            <w:tcBorders>
              <w:top w:val="nil"/>
              <w:left w:val="nil"/>
              <w:bottom w:val="single" w:sz="4" w:space="0" w:color="auto"/>
              <w:right w:val="single" w:sz="4" w:space="0" w:color="auto"/>
            </w:tcBorders>
            <w:shd w:val="clear" w:color="auto" w:fill="auto"/>
            <w:noWrap/>
            <w:vAlign w:val="center"/>
            <w:hideMark/>
          </w:tcPr>
          <w:p w14:paraId="6147B22E"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19,598</w:t>
            </w:r>
          </w:p>
        </w:tc>
        <w:tc>
          <w:tcPr>
            <w:tcW w:w="1071" w:type="dxa"/>
            <w:tcBorders>
              <w:top w:val="nil"/>
              <w:left w:val="nil"/>
              <w:bottom w:val="single" w:sz="4" w:space="0" w:color="auto"/>
              <w:right w:val="single" w:sz="4" w:space="0" w:color="auto"/>
            </w:tcBorders>
            <w:shd w:val="clear" w:color="auto" w:fill="auto"/>
            <w:noWrap/>
            <w:vAlign w:val="center"/>
            <w:hideMark/>
          </w:tcPr>
          <w:p w14:paraId="168B7092"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25,228</w:t>
            </w:r>
          </w:p>
        </w:tc>
        <w:tc>
          <w:tcPr>
            <w:tcW w:w="1057" w:type="dxa"/>
            <w:tcBorders>
              <w:top w:val="nil"/>
              <w:left w:val="nil"/>
              <w:bottom w:val="single" w:sz="4" w:space="0" w:color="auto"/>
              <w:right w:val="single" w:sz="4" w:space="0" w:color="auto"/>
            </w:tcBorders>
            <w:shd w:val="clear" w:color="auto" w:fill="auto"/>
            <w:noWrap/>
            <w:vAlign w:val="center"/>
            <w:hideMark/>
          </w:tcPr>
          <w:p w14:paraId="7E6A4D0E"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17,741</w:t>
            </w:r>
          </w:p>
        </w:tc>
        <w:tc>
          <w:tcPr>
            <w:tcW w:w="907" w:type="dxa"/>
            <w:tcBorders>
              <w:top w:val="nil"/>
              <w:left w:val="nil"/>
              <w:bottom w:val="single" w:sz="4" w:space="0" w:color="auto"/>
              <w:right w:val="single" w:sz="4" w:space="0" w:color="auto"/>
            </w:tcBorders>
            <w:shd w:val="clear" w:color="auto" w:fill="auto"/>
            <w:noWrap/>
            <w:vAlign w:val="center"/>
            <w:hideMark/>
          </w:tcPr>
          <w:p w14:paraId="4F1AFEE2"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18,474</w:t>
            </w:r>
          </w:p>
        </w:tc>
        <w:tc>
          <w:tcPr>
            <w:tcW w:w="1059" w:type="dxa"/>
            <w:tcBorders>
              <w:top w:val="nil"/>
              <w:left w:val="nil"/>
              <w:bottom w:val="single" w:sz="4" w:space="0" w:color="auto"/>
              <w:right w:val="single" w:sz="4" w:space="0" w:color="auto"/>
            </w:tcBorders>
            <w:shd w:val="clear" w:color="auto" w:fill="auto"/>
            <w:noWrap/>
            <w:vAlign w:val="center"/>
            <w:hideMark/>
          </w:tcPr>
          <w:p w14:paraId="59B0F40C"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104%</w:t>
            </w:r>
          </w:p>
        </w:tc>
      </w:tr>
      <w:tr w:rsidR="008A5057" w:rsidRPr="00BD295E" w14:paraId="4B2D0079"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3CC74288" w14:textId="77777777" w:rsidR="009E6685" w:rsidRPr="00BD295E" w:rsidRDefault="00F37063">
            <w:pPr>
              <w:rPr>
                <w:rFonts w:ascii="Arial" w:hAnsi="Arial" w:cs="Arial"/>
                <w:b/>
                <w:bCs/>
                <w:sz w:val="18"/>
                <w:szCs w:val="18"/>
                <w:lang w:val="en-US"/>
              </w:rPr>
            </w:pPr>
            <w:r w:rsidRPr="00BD295E">
              <w:rPr>
                <w:rFonts w:ascii="Arial" w:hAnsi="Arial" w:cs="Arial"/>
                <w:b/>
                <w:bCs/>
                <w:sz w:val="18"/>
                <w:szCs w:val="18"/>
                <w:lang w:val="en-US"/>
              </w:rPr>
              <w:t>Retrofitting and renovation</w:t>
            </w:r>
            <w:r w:rsidR="008A5057" w:rsidRPr="00BD295E">
              <w:rPr>
                <w:rFonts w:ascii="Arial" w:hAnsi="Arial" w:cs="Arial"/>
                <w:b/>
                <w:bCs/>
                <w:sz w:val="18"/>
                <w:szCs w:val="18"/>
                <w:lang w:val="en-US"/>
              </w:rPr>
              <w:t>, including</w:t>
            </w:r>
          </w:p>
        </w:tc>
        <w:tc>
          <w:tcPr>
            <w:tcW w:w="1071" w:type="dxa"/>
            <w:tcBorders>
              <w:top w:val="nil"/>
              <w:left w:val="nil"/>
              <w:bottom w:val="single" w:sz="4" w:space="0" w:color="auto"/>
              <w:right w:val="single" w:sz="4" w:space="0" w:color="auto"/>
            </w:tcBorders>
            <w:shd w:val="clear" w:color="auto" w:fill="auto"/>
            <w:noWrap/>
            <w:vAlign w:val="center"/>
            <w:hideMark/>
          </w:tcPr>
          <w:p w14:paraId="43501E9E"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4,016</w:t>
            </w:r>
          </w:p>
        </w:tc>
        <w:tc>
          <w:tcPr>
            <w:tcW w:w="1071" w:type="dxa"/>
            <w:tcBorders>
              <w:top w:val="nil"/>
              <w:left w:val="nil"/>
              <w:bottom w:val="single" w:sz="4" w:space="0" w:color="auto"/>
              <w:right w:val="single" w:sz="4" w:space="0" w:color="auto"/>
            </w:tcBorders>
            <w:shd w:val="clear" w:color="auto" w:fill="auto"/>
            <w:noWrap/>
            <w:vAlign w:val="center"/>
            <w:hideMark/>
          </w:tcPr>
          <w:p w14:paraId="73B36A9D"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4,485</w:t>
            </w:r>
          </w:p>
        </w:tc>
        <w:tc>
          <w:tcPr>
            <w:tcW w:w="1057" w:type="dxa"/>
            <w:tcBorders>
              <w:top w:val="nil"/>
              <w:left w:val="nil"/>
              <w:bottom w:val="single" w:sz="4" w:space="0" w:color="auto"/>
              <w:right w:val="single" w:sz="4" w:space="0" w:color="auto"/>
            </w:tcBorders>
            <w:shd w:val="clear" w:color="auto" w:fill="auto"/>
            <w:noWrap/>
            <w:vAlign w:val="center"/>
            <w:hideMark/>
          </w:tcPr>
          <w:p w14:paraId="450DF35C"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5,630</w:t>
            </w:r>
          </w:p>
        </w:tc>
        <w:tc>
          <w:tcPr>
            <w:tcW w:w="907" w:type="dxa"/>
            <w:tcBorders>
              <w:top w:val="nil"/>
              <w:left w:val="nil"/>
              <w:bottom w:val="single" w:sz="4" w:space="0" w:color="auto"/>
              <w:right w:val="single" w:sz="4" w:space="0" w:color="auto"/>
            </w:tcBorders>
            <w:shd w:val="clear" w:color="auto" w:fill="auto"/>
            <w:noWrap/>
            <w:vAlign w:val="center"/>
            <w:hideMark/>
          </w:tcPr>
          <w:p w14:paraId="433DE0AC"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4,573</w:t>
            </w:r>
          </w:p>
        </w:tc>
        <w:tc>
          <w:tcPr>
            <w:tcW w:w="1059" w:type="dxa"/>
            <w:tcBorders>
              <w:top w:val="nil"/>
              <w:left w:val="nil"/>
              <w:bottom w:val="single" w:sz="4" w:space="0" w:color="auto"/>
              <w:right w:val="single" w:sz="4" w:space="0" w:color="auto"/>
            </w:tcBorders>
            <w:shd w:val="clear" w:color="auto" w:fill="auto"/>
            <w:noWrap/>
            <w:vAlign w:val="center"/>
            <w:hideMark/>
          </w:tcPr>
          <w:p w14:paraId="37E0EE91"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81%</w:t>
            </w:r>
          </w:p>
        </w:tc>
      </w:tr>
      <w:tr w:rsidR="008A5057" w:rsidRPr="00BD295E" w14:paraId="06AC428B"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8780CF5"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overhead lines, including</w:t>
            </w:r>
          </w:p>
        </w:tc>
        <w:tc>
          <w:tcPr>
            <w:tcW w:w="1071" w:type="dxa"/>
            <w:tcBorders>
              <w:top w:val="nil"/>
              <w:left w:val="nil"/>
              <w:bottom w:val="single" w:sz="4" w:space="0" w:color="auto"/>
              <w:right w:val="single" w:sz="4" w:space="0" w:color="auto"/>
            </w:tcBorders>
            <w:shd w:val="clear" w:color="auto" w:fill="auto"/>
            <w:noWrap/>
            <w:vAlign w:val="center"/>
            <w:hideMark/>
          </w:tcPr>
          <w:p w14:paraId="5095D52A"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467</w:t>
            </w:r>
          </w:p>
        </w:tc>
        <w:tc>
          <w:tcPr>
            <w:tcW w:w="1071" w:type="dxa"/>
            <w:tcBorders>
              <w:top w:val="nil"/>
              <w:left w:val="nil"/>
              <w:bottom w:val="single" w:sz="4" w:space="0" w:color="auto"/>
              <w:right w:val="single" w:sz="4" w:space="0" w:color="auto"/>
            </w:tcBorders>
            <w:shd w:val="clear" w:color="auto" w:fill="auto"/>
            <w:noWrap/>
            <w:vAlign w:val="center"/>
            <w:hideMark/>
          </w:tcPr>
          <w:p w14:paraId="1F1F9503"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339</w:t>
            </w:r>
          </w:p>
        </w:tc>
        <w:tc>
          <w:tcPr>
            <w:tcW w:w="1057" w:type="dxa"/>
            <w:tcBorders>
              <w:top w:val="nil"/>
              <w:left w:val="nil"/>
              <w:bottom w:val="single" w:sz="4" w:space="0" w:color="auto"/>
              <w:right w:val="single" w:sz="4" w:space="0" w:color="auto"/>
            </w:tcBorders>
            <w:shd w:val="clear" w:color="auto" w:fill="auto"/>
            <w:noWrap/>
            <w:vAlign w:val="center"/>
            <w:hideMark/>
          </w:tcPr>
          <w:p w14:paraId="19A44505"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1,386</w:t>
            </w:r>
          </w:p>
        </w:tc>
        <w:tc>
          <w:tcPr>
            <w:tcW w:w="907" w:type="dxa"/>
            <w:tcBorders>
              <w:top w:val="nil"/>
              <w:left w:val="nil"/>
              <w:bottom w:val="single" w:sz="4" w:space="0" w:color="auto"/>
              <w:right w:val="single" w:sz="4" w:space="0" w:color="auto"/>
            </w:tcBorders>
            <w:shd w:val="clear" w:color="auto" w:fill="auto"/>
            <w:noWrap/>
            <w:vAlign w:val="center"/>
            <w:hideMark/>
          </w:tcPr>
          <w:p w14:paraId="4DF89BBF"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928</w:t>
            </w:r>
          </w:p>
        </w:tc>
        <w:tc>
          <w:tcPr>
            <w:tcW w:w="1059" w:type="dxa"/>
            <w:tcBorders>
              <w:top w:val="nil"/>
              <w:left w:val="nil"/>
              <w:bottom w:val="single" w:sz="4" w:space="0" w:color="auto"/>
              <w:right w:val="single" w:sz="4" w:space="0" w:color="auto"/>
            </w:tcBorders>
            <w:shd w:val="clear" w:color="auto" w:fill="auto"/>
            <w:noWrap/>
            <w:vAlign w:val="center"/>
            <w:hideMark/>
          </w:tcPr>
          <w:p w14:paraId="557BBA70"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67%</w:t>
            </w:r>
          </w:p>
        </w:tc>
      </w:tr>
      <w:tr w:rsidR="008A5057" w:rsidRPr="00BD295E" w14:paraId="4139761A"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9817889"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110–220 kV OL (HV)</w:t>
            </w:r>
          </w:p>
        </w:tc>
        <w:tc>
          <w:tcPr>
            <w:tcW w:w="1071" w:type="dxa"/>
            <w:tcBorders>
              <w:top w:val="nil"/>
              <w:left w:val="nil"/>
              <w:bottom w:val="single" w:sz="4" w:space="0" w:color="auto"/>
              <w:right w:val="single" w:sz="4" w:space="0" w:color="auto"/>
            </w:tcBorders>
            <w:shd w:val="clear" w:color="auto" w:fill="auto"/>
            <w:noWrap/>
            <w:vAlign w:val="center"/>
            <w:hideMark/>
          </w:tcPr>
          <w:p w14:paraId="16F9CF6D"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190</w:t>
            </w:r>
          </w:p>
        </w:tc>
        <w:tc>
          <w:tcPr>
            <w:tcW w:w="1071" w:type="dxa"/>
            <w:tcBorders>
              <w:top w:val="nil"/>
              <w:left w:val="nil"/>
              <w:bottom w:val="single" w:sz="4" w:space="0" w:color="auto"/>
              <w:right w:val="single" w:sz="4" w:space="0" w:color="auto"/>
            </w:tcBorders>
            <w:shd w:val="clear" w:color="auto" w:fill="auto"/>
            <w:noWrap/>
            <w:vAlign w:val="center"/>
            <w:hideMark/>
          </w:tcPr>
          <w:p w14:paraId="08975028"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92</w:t>
            </w:r>
          </w:p>
        </w:tc>
        <w:tc>
          <w:tcPr>
            <w:tcW w:w="1057" w:type="dxa"/>
            <w:tcBorders>
              <w:top w:val="nil"/>
              <w:left w:val="nil"/>
              <w:bottom w:val="single" w:sz="4" w:space="0" w:color="auto"/>
              <w:right w:val="single" w:sz="4" w:space="0" w:color="auto"/>
            </w:tcBorders>
            <w:shd w:val="clear" w:color="auto" w:fill="auto"/>
            <w:noWrap/>
            <w:vAlign w:val="center"/>
            <w:hideMark/>
          </w:tcPr>
          <w:p w14:paraId="2FEAD3EB"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848</w:t>
            </w:r>
          </w:p>
        </w:tc>
        <w:tc>
          <w:tcPr>
            <w:tcW w:w="907" w:type="dxa"/>
            <w:tcBorders>
              <w:top w:val="nil"/>
              <w:left w:val="nil"/>
              <w:bottom w:val="single" w:sz="4" w:space="0" w:color="auto"/>
              <w:right w:val="single" w:sz="4" w:space="0" w:color="auto"/>
            </w:tcBorders>
            <w:shd w:val="clear" w:color="auto" w:fill="auto"/>
            <w:noWrap/>
            <w:vAlign w:val="center"/>
            <w:hideMark/>
          </w:tcPr>
          <w:p w14:paraId="5ED0997D"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472</w:t>
            </w:r>
          </w:p>
        </w:tc>
        <w:tc>
          <w:tcPr>
            <w:tcW w:w="1059" w:type="dxa"/>
            <w:tcBorders>
              <w:top w:val="nil"/>
              <w:left w:val="nil"/>
              <w:bottom w:val="single" w:sz="4" w:space="0" w:color="auto"/>
              <w:right w:val="single" w:sz="4" w:space="0" w:color="auto"/>
            </w:tcBorders>
            <w:shd w:val="clear" w:color="auto" w:fill="auto"/>
            <w:noWrap/>
            <w:vAlign w:val="center"/>
            <w:hideMark/>
          </w:tcPr>
          <w:p w14:paraId="039D3651"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56%</w:t>
            </w:r>
          </w:p>
        </w:tc>
      </w:tr>
      <w:tr w:rsidR="008A5057" w:rsidRPr="00BD295E" w14:paraId="1234DC21"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54749185"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35 kV OL (MV1)</w:t>
            </w:r>
          </w:p>
        </w:tc>
        <w:tc>
          <w:tcPr>
            <w:tcW w:w="1071" w:type="dxa"/>
            <w:tcBorders>
              <w:top w:val="nil"/>
              <w:left w:val="nil"/>
              <w:bottom w:val="single" w:sz="4" w:space="0" w:color="auto"/>
              <w:right w:val="single" w:sz="4" w:space="0" w:color="auto"/>
            </w:tcBorders>
            <w:shd w:val="clear" w:color="auto" w:fill="auto"/>
            <w:noWrap/>
            <w:vAlign w:val="center"/>
            <w:hideMark/>
          </w:tcPr>
          <w:p w14:paraId="16FF7F80"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0</w:t>
            </w:r>
          </w:p>
        </w:tc>
        <w:tc>
          <w:tcPr>
            <w:tcW w:w="1071" w:type="dxa"/>
            <w:tcBorders>
              <w:top w:val="nil"/>
              <w:left w:val="nil"/>
              <w:bottom w:val="single" w:sz="4" w:space="0" w:color="auto"/>
              <w:right w:val="single" w:sz="4" w:space="0" w:color="auto"/>
            </w:tcBorders>
            <w:shd w:val="clear" w:color="auto" w:fill="auto"/>
            <w:noWrap/>
            <w:vAlign w:val="center"/>
            <w:hideMark/>
          </w:tcPr>
          <w:p w14:paraId="62CAFF5B"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7</w:t>
            </w:r>
          </w:p>
        </w:tc>
        <w:tc>
          <w:tcPr>
            <w:tcW w:w="1057" w:type="dxa"/>
            <w:tcBorders>
              <w:top w:val="nil"/>
              <w:left w:val="nil"/>
              <w:bottom w:val="single" w:sz="4" w:space="0" w:color="auto"/>
              <w:right w:val="single" w:sz="4" w:space="0" w:color="auto"/>
            </w:tcBorders>
            <w:shd w:val="clear" w:color="auto" w:fill="auto"/>
            <w:noWrap/>
            <w:vAlign w:val="center"/>
            <w:hideMark/>
          </w:tcPr>
          <w:p w14:paraId="20B32632"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12</w:t>
            </w:r>
          </w:p>
        </w:tc>
        <w:tc>
          <w:tcPr>
            <w:tcW w:w="907" w:type="dxa"/>
            <w:tcBorders>
              <w:top w:val="nil"/>
              <w:left w:val="nil"/>
              <w:bottom w:val="single" w:sz="4" w:space="0" w:color="auto"/>
              <w:right w:val="single" w:sz="4" w:space="0" w:color="auto"/>
            </w:tcBorders>
            <w:shd w:val="clear" w:color="auto" w:fill="auto"/>
            <w:noWrap/>
            <w:vAlign w:val="center"/>
            <w:hideMark/>
          </w:tcPr>
          <w:p w14:paraId="13CD015E"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12</w:t>
            </w:r>
          </w:p>
        </w:tc>
        <w:tc>
          <w:tcPr>
            <w:tcW w:w="1059" w:type="dxa"/>
            <w:tcBorders>
              <w:top w:val="nil"/>
              <w:left w:val="nil"/>
              <w:bottom w:val="single" w:sz="4" w:space="0" w:color="auto"/>
              <w:right w:val="single" w:sz="4" w:space="0" w:color="auto"/>
            </w:tcBorders>
            <w:shd w:val="clear" w:color="auto" w:fill="auto"/>
            <w:noWrap/>
            <w:vAlign w:val="center"/>
            <w:hideMark/>
          </w:tcPr>
          <w:p w14:paraId="3ABA2547"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102%</w:t>
            </w:r>
          </w:p>
        </w:tc>
      </w:tr>
      <w:tr w:rsidR="008A5057" w:rsidRPr="00BD295E" w14:paraId="04CBE6B1"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0ED8E78"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1–20 kV OL (MV2)</w:t>
            </w:r>
          </w:p>
        </w:tc>
        <w:tc>
          <w:tcPr>
            <w:tcW w:w="1071" w:type="dxa"/>
            <w:tcBorders>
              <w:top w:val="nil"/>
              <w:left w:val="nil"/>
              <w:bottom w:val="single" w:sz="4" w:space="0" w:color="auto"/>
              <w:right w:val="single" w:sz="4" w:space="0" w:color="auto"/>
            </w:tcBorders>
            <w:shd w:val="clear" w:color="auto" w:fill="auto"/>
            <w:noWrap/>
            <w:vAlign w:val="center"/>
            <w:hideMark/>
          </w:tcPr>
          <w:p w14:paraId="047F5914"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242</w:t>
            </w:r>
          </w:p>
        </w:tc>
        <w:tc>
          <w:tcPr>
            <w:tcW w:w="1071" w:type="dxa"/>
            <w:tcBorders>
              <w:top w:val="nil"/>
              <w:left w:val="nil"/>
              <w:bottom w:val="single" w:sz="4" w:space="0" w:color="auto"/>
              <w:right w:val="single" w:sz="4" w:space="0" w:color="auto"/>
            </w:tcBorders>
            <w:shd w:val="clear" w:color="auto" w:fill="auto"/>
            <w:noWrap/>
            <w:vAlign w:val="center"/>
            <w:hideMark/>
          </w:tcPr>
          <w:p w14:paraId="248912AF"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201</w:t>
            </w:r>
          </w:p>
        </w:tc>
        <w:tc>
          <w:tcPr>
            <w:tcW w:w="1057" w:type="dxa"/>
            <w:tcBorders>
              <w:top w:val="nil"/>
              <w:left w:val="nil"/>
              <w:bottom w:val="single" w:sz="4" w:space="0" w:color="auto"/>
              <w:right w:val="single" w:sz="4" w:space="0" w:color="auto"/>
            </w:tcBorders>
            <w:shd w:val="clear" w:color="auto" w:fill="auto"/>
            <w:noWrap/>
            <w:vAlign w:val="center"/>
            <w:hideMark/>
          </w:tcPr>
          <w:p w14:paraId="399E82D0"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342</w:t>
            </w:r>
          </w:p>
        </w:tc>
        <w:tc>
          <w:tcPr>
            <w:tcW w:w="907" w:type="dxa"/>
            <w:tcBorders>
              <w:top w:val="nil"/>
              <w:left w:val="nil"/>
              <w:bottom w:val="single" w:sz="4" w:space="0" w:color="auto"/>
              <w:right w:val="single" w:sz="4" w:space="0" w:color="auto"/>
            </w:tcBorders>
            <w:shd w:val="clear" w:color="auto" w:fill="auto"/>
            <w:noWrap/>
            <w:vAlign w:val="center"/>
            <w:hideMark/>
          </w:tcPr>
          <w:p w14:paraId="110D4B18"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276</w:t>
            </w:r>
          </w:p>
        </w:tc>
        <w:tc>
          <w:tcPr>
            <w:tcW w:w="1059" w:type="dxa"/>
            <w:tcBorders>
              <w:top w:val="nil"/>
              <w:left w:val="nil"/>
              <w:bottom w:val="single" w:sz="4" w:space="0" w:color="auto"/>
              <w:right w:val="single" w:sz="4" w:space="0" w:color="auto"/>
            </w:tcBorders>
            <w:shd w:val="clear" w:color="auto" w:fill="auto"/>
            <w:noWrap/>
            <w:vAlign w:val="center"/>
            <w:hideMark/>
          </w:tcPr>
          <w:p w14:paraId="46068FEA"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81%</w:t>
            </w:r>
          </w:p>
        </w:tc>
      </w:tr>
      <w:tr w:rsidR="008A5057" w:rsidRPr="00BD295E" w14:paraId="6ED90C21"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D5DD03F"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0.4 kV OL (LV)</w:t>
            </w:r>
          </w:p>
        </w:tc>
        <w:tc>
          <w:tcPr>
            <w:tcW w:w="1071" w:type="dxa"/>
            <w:tcBorders>
              <w:top w:val="nil"/>
              <w:left w:val="nil"/>
              <w:bottom w:val="single" w:sz="4" w:space="0" w:color="auto"/>
              <w:right w:val="single" w:sz="4" w:space="0" w:color="auto"/>
            </w:tcBorders>
            <w:shd w:val="clear" w:color="auto" w:fill="auto"/>
            <w:noWrap/>
            <w:vAlign w:val="center"/>
            <w:hideMark/>
          </w:tcPr>
          <w:p w14:paraId="330AC05A"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35</w:t>
            </w:r>
          </w:p>
        </w:tc>
        <w:tc>
          <w:tcPr>
            <w:tcW w:w="1071" w:type="dxa"/>
            <w:tcBorders>
              <w:top w:val="nil"/>
              <w:left w:val="nil"/>
              <w:bottom w:val="single" w:sz="4" w:space="0" w:color="auto"/>
              <w:right w:val="single" w:sz="4" w:space="0" w:color="auto"/>
            </w:tcBorders>
            <w:shd w:val="clear" w:color="auto" w:fill="auto"/>
            <w:noWrap/>
            <w:vAlign w:val="center"/>
            <w:hideMark/>
          </w:tcPr>
          <w:p w14:paraId="3E8210C4"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39</w:t>
            </w:r>
          </w:p>
        </w:tc>
        <w:tc>
          <w:tcPr>
            <w:tcW w:w="1057" w:type="dxa"/>
            <w:tcBorders>
              <w:top w:val="nil"/>
              <w:left w:val="nil"/>
              <w:bottom w:val="single" w:sz="4" w:space="0" w:color="auto"/>
              <w:right w:val="single" w:sz="4" w:space="0" w:color="auto"/>
            </w:tcBorders>
            <w:shd w:val="clear" w:color="auto" w:fill="auto"/>
            <w:noWrap/>
            <w:vAlign w:val="center"/>
            <w:hideMark/>
          </w:tcPr>
          <w:p w14:paraId="1ECA0167"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185</w:t>
            </w:r>
          </w:p>
        </w:tc>
        <w:tc>
          <w:tcPr>
            <w:tcW w:w="907" w:type="dxa"/>
            <w:tcBorders>
              <w:top w:val="nil"/>
              <w:left w:val="nil"/>
              <w:bottom w:val="single" w:sz="4" w:space="0" w:color="auto"/>
              <w:right w:val="single" w:sz="4" w:space="0" w:color="auto"/>
            </w:tcBorders>
            <w:shd w:val="clear" w:color="auto" w:fill="auto"/>
            <w:noWrap/>
            <w:vAlign w:val="center"/>
            <w:hideMark/>
          </w:tcPr>
          <w:p w14:paraId="46A489DC"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169</w:t>
            </w:r>
          </w:p>
        </w:tc>
        <w:tc>
          <w:tcPr>
            <w:tcW w:w="1059" w:type="dxa"/>
            <w:tcBorders>
              <w:top w:val="nil"/>
              <w:left w:val="nil"/>
              <w:bottom w:val="single" w:sz="4" w:space="0" w:color="auto"/>
              <w:right w:val="single" w:sz="4" w:space="0" w:color="auto"/>
            </w:tcBorders>
            <w:shd w:val="clear" w:color="auto" w:fill="auto"/>
            <w:noWrap/>
            <w:vAlign w:val="center"/>
            <w:hideMark/>
          </w:tcPr>
          <w:p w14:paraId="314994AA"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91%</w:t>
            </w:r>
          </w:p>
        </w:tc>
      </w:tr>
      <w:tr w:rsidR="008A5057" w:rsidRPr="00BD295E" w14:paraId="298F3DA1"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7B34E0B"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cable lines, including</w:t>
            </w:r>
          </w:p>
        </w:tc>
        <w:tc>
          <w:tcPr>
            <w:tcW w:w="1071" w:type="dxa"/>
            <w:tcBorders>
              <w:top w:val="nil"/>
              <w:left w:val="nil"/>
              <w:bottom w:val="single" w:sz="4" w:space="0" w:color="auto"/>
              <w:right w:val="single" w:sz="4" w:space="0" w:color="auto"/>
            </w:tcBorders>
            <w:shd w:val="clear" w:color="auto" w:fill="auto"/>
            <w:noWrap/>
            <w:vAlign w:val="center"/>
            <w:hideMark/>
          </w:tcPr>
          <w:p w14:paraId="54C5BFCE"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255</w:t>
            </w:r>
          </w:p>
        </w:tc>
        <w:tc>
          <w:tcPr>
            <w:tcW w:w="1071" w:type="dxa"/>
            <w:tcBorders>
              <w:top w:val="nil"/>
              <w:left w:val="nil"/>
              <w:bottom w:val="single" w:sz="4" w:space="0" w:color="auto"/>
              <w:right w:val="single" w:sz="4" w:space="0" w:color="auto"/>
            </w:tcBorders>
            <w:shd w:val="clear" w:color="auto" w:fill="auto"/>
            <w:noWrap/>
            <w:vAlign w:val="center"/>
            <w:hideMark/>
          </w:tcPr>
          <w:p w14:paraId="415C2A70"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264</w:t>
            </w:r>
          </w:p>
        </w:tc>
        <w:tc>
          <w:tcPr>
            <w:tcW w:w="1057" w:type="dxa"/>
            <w:tcBorders>
              <w:top w:val="nil"/>
              <w:left w:val="nil"/>
              <w:bottom w:val="single" w:sz="4" w:space="0" w:color="auto"/>
              <w:right w:val="single" w:sz="4" w:space="0" w:color="auto"/>
            </w:tcBorders>
            <w:shd w:val="clear" w:color="auto" w:fill="auto"/>
            <w:noWrap/>
            <w:vAlign w:val="center"/>
            <w:hideMark/>
          </w:tcPr>
          <w:p w14:paraId="07D4D40C"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592</w:t>
            </w:r>
          </w:p>
        </w:tc>
        <w:tc>
          <w:tcPr>
            <w:tcW w:w="907" w:type="dxa"/>
            <w:tcBorders>
              <w:top w:val="nil"/>
              <w:left w:val="nil"/>
              <w:bottom w:val="single" w:sz="4" w:space="0" w:color="auto"/>
              <w:right w:val="single" w:sz="4" w:space="0" w:color="auto"/>
            </w:tcBorders>
            <w:shd w:val="clear" w:color="auto" w:fill="auto"/>
            <w:noWrap/>
            <w:vAlign w:val="center"/>
            <w:hideMark/>
          </w:tcPr>
          <w:p w14:paraId="0AD77D2C"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539</w:t>
            </w:r>
          </w:p>
        </w:tc>
        <w:tc>
          <w:tcPr>
            <w:tcW w:w="1059" w:type="dxa"/>
            <w:tcBorders>
              <w:top w:val="nil"/>
              <w:left w:val="nil"/>
              <w:bottom w:val="single" w:sz="4" w:space="0" w:color="auto"/>
              <w:right w:val="single" w:sz="4" w:space="0" w:color="auto"/>
            </w:tcBorders>
            <w:shd w:val="clear" w:color="auto" w:fill="auto"/>
            <w:noWrap/>
            <w:vAlign w:val="center"/>
            <w:hideMark/>
          </w:tcPr>
          <w:p w14:paraId="07E9A5EE"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91%</w:t>
            </w:r>
          </w:p>
        </w:tc>
      </w:tr>
      <w:tr w:rsidR="008A5057" w:rsidRPr="00BD295E" w14:paraId="12B73061"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773C1CBB"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110 kV CL (HV)</w:t>
            </w:r>
          </w:p>
        </w:tc>
        <w:tc>
          <w:tcPr>
            <w:tcW w:w="1071" w:type="dxa"/>
            <w:tcBorders>
              <w:top w:val="nil"/>
              <w:left w:val="nil"/>
              <w:bottom w:val="single" w:sz="4" w:space="0" w:color="auto"/>
              <w:right w:val="single" w:sz="4" w:space="0" w:color="auto"/>
            </w:tcBorders>
            <w:shd w:val="clear" w:color="auto" w:fill="auto"/>
            <w:noWrap/>
            <w:vAlign w:val="center"/>
            <w:hideMark/>
          </w:tcPr>
          <w:p w14:paraId="58272A91"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7</w:t>
            </w:r>
          </w:p>
        </w:tc>
        <w:tc>
          <w:tcPr>
            <w:tcW w:w="1071" w:type="dxa"/>
            <w:tcBorders>
              <w:top w:val="nil"/>
              <w:left w:val="nil"/>
              <w:bottom w:val="single" w:sz="4" w:space="0" w:color="auto"/>
              <w:right w:val="single" w:sz="4" w:space="0" w:color="auto"/>
            </w:tcBorders>
            <w:shd w:val="clear" w:color="auto" w:fill="auto"/>
            <w:noWrap/>
            <w:vAlign w:val="center"/>
            <w:hideMark/>
          </w:tcPr>
          <w:p w14:paraId="7198E799"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14</w:t>
            </w:r>
          </w:p>
        </w:tc>
        <w:tc>
          <w:tcPr>
            <w:tcW w:w="1057" w:type="dxa"/>
            <w:tcBorders>
              <w:top w:val="nil"/>
              <w:left w:val="nil"/>
              <w:bottom w:val="single" w:sz="4" w:space="0" w:color="auto"/>
              <w:right w:val="single" w:sz="4" w:space="0" w:color="auto"/>
            </w:tcBorders>
            <w:shd w:val="clear" w:color="auto" w:fill="auto"/>
            <w:noWrap/>
            <w:vAlign w:val="center"/>
            <w:hideMark/>
          </w:tcPr>
          <w:p w14:paraId="11F9BA24"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26</w:t>
            </w:r>
          </w:p>
        </w:tc>
        <w:tc>
          <w:tcPr>
            <w:tcW w:w="907" w:type="dxa"/>
            <w:tcBorders>
              <w:top w:val="nil"/>
              <w:left w:val="nil"/>
              <w:bottom w:val="single" w:sz="4" w:space="0" w:color="auto"/>
              <w:right w:val="single" w:sz="4" w:space="0" w:color="auto"/>
            </w:tcBorders>
            <w:shd w:val="clear" w:color="auto" w:fill="auto"/>
            <w:noWrap/>
            <w:vAlign w:val="center"/>
            <w:hideMark/>
          </w:tcPr>
          <w:p w14:paraId="3466BDBD"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24</w:t>
            </w:r>
          </w:p>
        </w:tc>
        <w:tc>
          <w:tcPr>
            <w:tcW w:w="1059" w:type="dxa"/>
            <w:tcBorders>
              <w:top w:val="nil"/>
              <w:left w:val="nil"/>
              <w:bottom w:val="single" w:sz="4" w:space="0" w:color="auto"/>
              <w:right w:val="single" w:sz="4" w:space="0" w:color="auto"/>
            </w:tcBorders>
            <w:shd w:val="clear" w:color="auto" w:fill="auto"/>
            <w:noWrap/>
            <w:vAlign w:val="center"/>
            <w:hideMark/>
          </w:tcPr>
          <w:p w14:paraId="6489BA26"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93%</w:t>
            </w:r>
          </w:p>
        </w:tc>
      </w:tr>
      <w:tr w:rsidR="008A5057" w:rsidRPr="00BD295E" w14:paraId="71EA65B7"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8C7B449"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20–35 kV CL (MV1)</w:t>
            </w:r>
          </w:p>
        </w:tc>
        <w:tc>
          <w:tcPr>
            <w:tcW w:w="1071" w:type="dxa"/>
            <w:tcBorders>
              <w:top w:val="nil"/>
              <w:left w:val="nil"/>
              <w:bottom w:val="single" w:sz="4" w:space="0" w:color="auto"/>
              <w:right w:val="single" w:sz="4" w:space="0" w:color="auto"/>
            </w:tcBorders>
            <w:shd w:val="clear" w:color="auto" w:fill="auto"/>
            <w:noWrap/>
            <w:vAlign w:val="center"/>
            <w:hideMark/>
          </w:tcPr>
          <w:p w14:paraId="405C0D17"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25</w:t>
            </w:r>
          </w:p>
        </w:tc>
        <w:tc>
          <w:tcPr>
            <w:tcW w:w="1071" w:type="dxa"/>
            <w:tcBorders>
              <w:top w:val="nil"/>
              <w:left w:val="nil"/>
              <w:bottom w:val="single" w:sz="4" w:space="0" w:color="auto"/>
              <w:right w:val="single" w:sz="4" w:space="0" w:color="auto"/>
            </w:tcBorders>
            <w:shd w:val="clear" w:color="auto" w:fill="auto"/>
            <w:noWrap/>
            <w:vAlign w:val="center"/>
            <w:hideMark/>
          </w:tcPr>
          <w:p w14:paraId="266F0A84"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29</w:t>
            </w:r>
          </w:p>
        </w:tc>
        <w:tc>
          <w:tcPr>
            <w:tcW w:w="1057" w:type="dxa"/>
            <w:tcBorders>
              <w:top w:val="nil"/>
              <w:left w:val="nil"/>
              <w:bottom w:val="single" w:sz="4" w:space="0" w:color="auto"/>
              <w:right w:val="single" w:sz="4" w:space="0" w:color="auto"/>
            </w:tcBorders>
            <w:shd w:val="clear" w:color="auto" w:fill="auto"/>
            <w:noWrap/>
            <w:vAlign w:val="center"/>
            <w:hideMark/>
          </w:tcPr>
          <w:p w14:paraId="0CF337A8"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16</w:t>
            </w:r>
          </w:p>
        </w:tc>
        <w:tc>
          <w:tcPr>
            <w:tcW w:w="907" w:type="dxa"/>
            <w:tcBorders>
              <w:top w:val="nil"/>
              <w:left w:val="nil"/>
              <w:bottom w:val="single" w:sz="4" w:space="0" w:color="auto"/>
              <w:right w:val="single" w:sz="4" w:space="0" w:color="auto"/>
            </w:tcBorders>
            <w:shd w:val="clear" w:color="auto" w:fill="auto"/>
            <w:noWrap/>
            <w:vAlign w:val="center"/>
            <w:hideMark/>
          </w:tcPr>
          <w:p w14:paraId="69AAE95E"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w:t>
            </w:r>
          </w:p>
        </w:tc>
        <w:tc>
          <w:tcPr>
            <w:tcW w:w="1059" w:type="dxa"/>
            <w:tcBorders>
              <w:top w:val="nil"/>
              <w:left w:val="nil"/>
              <w:bottom w:val="single" w:sz="4" w:space="0" w:color="auto"/>
              <w:right w:val="single" w:sz="4" w:space="0" w:color="auto"/>
            </w:tcBorders>
            <w:shd w:val="clear" w:color="auto" w:fill="auto"/>
            <w:noWrap/>
            <w:vAlign w:val="center"/>
            <w:hideMark/>
          </w:tcPr>
          <w:p w14:paraId="5CC7A3F9"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3%</w:t>
            </w:r>
          </w:p>
        </w:tc>
      </w:tr>
      <w:tr w:rsidR="008A5057" w:rsidRPr="00BD295E" w14:paraId="6D33BA02"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484D0AA7"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3–10 kV CL (MV2)</w:t>
            </w:r>
          </w:p>
        </w:tc>
        <w:tc>
          <w:tcPr>
            <w:tcW w:w="1071" w:type="dxa"/>
            <w:tcBorders>
              <w:top w:val="nil"/>
              <w:left w:val="nil"/>
              <w:bottom w:val="single" w:sz="4" w:space="0" w:color="auto"/>
              <w:right w:val="single" w:sz="4" w:space="0" w:color="auto"/>
            </w:tcBorders>
            <w:shd w:val="clear" w:color="auto" w:fill="auto"/>
            <w:noWrap/>
            <w:vAlign w:val="center"/>
            <w:hideMark/>
          </w:tcPr>
          <w:p w14:paraId="4E9E752B"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218</w:t>
            </w:r>
          </w:p>
        </w:tc>
        <w:tc>
          <w:tcPr>
            <w:tcW w:w="1071" w:type="dxa"/>
            <w:tcBorders>
              <w:top w:val="nil"/>
              <w:left w:val="nil"/>
              <w:bottom w:val="single" w:sz="4" w:space="0" w:color="auto"/>
              <w:right w:val="single" w:sz="4" w:space="0" w:color="auto"/>
            </w:tcBorders>
            <w:shd w:val="clear" w:color="auto" w:fill="auto"/>
            <w:noWrap/>
            <w:vAlign w:val="center"/>
            <w:hideMark/>
          </w:tcPr>
          <w:p w14:paraId="3001DDEB"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200</w:t>
            </w:r>
          </w:p>
        </w:tc>
        <w:tc>
          <w:tcPr>
            <w:tcW w:w="1057" w:type="dxa"/>
            <w:tcBorders>
              <w:top w:val="nil"/>
              <w:left w:val="nil"/>
              <w:bottom w:val="single" w:sz="4" w:space="0" w:color="auto"/>
              <w:right w:val="single" w:sz="4" w:space="0" w:color="auto"/>
            </w:tcBorders>
            <w:shd w:val="clear" w:color="auto" w:fill="auto"/>
            <w:noWrap/>
            <w:vAlign w:val="center"/>
            <w:hideMark/>
          </w:tcPr>
          <w:p w14:paraId="52AB5E68"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496</w:t>
            </w:r>
          </w:p>
        </w:tc>
        <w:tc>
          <w:tcPr>
            <w:tcW w:w="907" w:type="dxa"/>
            <w:tcBorders>
              <w:top w:val="nil"/>
              <w:left w:val="nil"/>
              <w:bottom w:val="single" w:sz="4" w:space="0" w:color="auto"/>
              <w:right w:val="single" w:sz="4" w:space="0" w:color="auto"/>
            </w:tcBorders>
            <w:shd w:val="clear" w:color="auto" w:fill="auto"/>
            <w:noWrap/>
            <w:vAlign w:val="center"/>
            <w:hideMark/>
          </w:tcPr>
          <w:p w14:paraId="1351940D"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472</w:t>
            </w:r>
          </w:p>
        </w:tc>
        <w:tc>
          <w:tcPr>
            <w:tcW w:w="1059" w:type="dxa"/>
            <w:tcBorders>
              <w:top w:val="nil"/>
              <w:left w:val="nil"/>
              <w:bottom w:val="single" w:sz="4" w:space="0" w:color="auto"/>
              <w:right w:val="single" w:sz="4" w:space="0" w:color="auto"/>
            </w:tcBorders>
            <w:shd w:val="clear" w:color="auto" w:fill="auto"/>
            <w:noWrap/>
            <w:vAlign w:val="center"/>
            <w:hideMark/>
          </w:tcPr>
          <w:p w14:paraId="3BA96926"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95%</w:t>
            </w:r>
          </w:p>
        </w:tc>
      </w:tr>
      <w:tr w:rsidR="008A5057" w:rsidRPr="00BD295E" w14:paraId="77DF1F9A"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7473CB72"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up to 1 kV CL (LV)</w:t>
            </w:r>
          </w:p>
        </w:tc>
        <w:tc>
          <w:tcPr>
            <w:tcW w:w="1071" w:type="dxa"/>
            <w:tcBorders>
              <w:top w:val="nil"/>
              <w:left w:val="nil"/>
              <w:bottom w:val="single" w:sz="4" w:space="0" w:color="auto"/>
              <w:right w:val="single" w:sz="4" w:space="0" w:color="auto"/>
            </w:tcBorders>
            <w:shd w:val="clear" w:color="auto" w:fill="auto"/>
            <w:noWrap/>
            <w:vAlign w:val="center"/>
            <w:hideMark/>
          </w:tcPr>
          <w:p w14:paraId="1950C3D6"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5</w:t>
            </w:r>
          </w:p>
        </w:tc>
        <w:tc>
          <w:tcPr>
            <w:tcW w:w="1071" w:type="dxa"/>
            <w:tcBorders>
              <w:top w:val="nil"/>
              <w:left w:val="nil"/>
              <w:bottom w:val="single" w:sz="4" w:space="0" w:color="auto"/>
              <w:right w:val="single" w:sz="4" w:space="0" w:color="auto"/>
            </w:tcBorders>
            <w:shd w:val="clear" w:color="auto" w:fill="auto"/>
            <w:noWrap/>
            <w:vAlign w:val="center"/>
            <w:hideMark/>
          </w:tcPr>
          <w:p w14:paraId="4A75A01D"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21</w:t>
            </w:r>
          </w:p>
        </w:tc>
        <w:tc>
          <w:tcPr>
            <w:tcW w:w="1057" w:type="dxa"/>
            <w:tcBorders>
              <w:top w:val="nil"/>
              <w:left w:val="nil"/>
              <w:bottom w:val="single" w:sz="4" w:space="0" w:color="auto"/>
              <w:right w:val="single" w:sz="4" w:space="0" w:color="auto"/>
            </w:tcBorders>
            <w:shd w:val="clear" w:color="auto" w:fill="auto"/>
            <w:noWrap/>
            <w:vAlign w:val="center"/>
            <w:hideMark/>
          </w:tcPr>
          <w:p w14:paraId="1D8C5B4B"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54</w:t>
            </w:r>
          </w:p>
        </w:tc>
        <w:tc>
          <w:tcPr>
            <w:tcW w:w="907" w:type="dxa"/>
            <w:tcBorders>
              <w:top w:val="nil"/>
              <w:left w:val="nil"/>
              <w:bottom w:val="single" w:sz="4" w:space="0" w:color="auto"/>
              <w:right w:val="single" w:sz="4" w:space="0" w:color="auto"/>
            </w:tcBorders>
            <w:shd w:val="clear" w:color="auto" w:fill="auto"/>
            <w:noWrap/>
            <w:vAlign w:val="center"/>
            <w:hideMark/>
          </w:tcPr>
          <w:p w14:paraId="2C970F29"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42</w:t>
            </w:r>
          </w:p>
        </w:tc>
        <w:tc>
          <w:tcPr>
            <w:tcW w:w="1059" w:type="dxa"/>
            <w:tcBorders>
              <w:top w:val="nil"/>
              <w:left w:val="nil"/>
              <w:bottom w:val="single" w:sz="4" w:space="0" w:color="auto"/>
              <w:right w:val="single" w:sz="4" w:space="0" w:color="auto"/>
            </w:tcBorders>
            <w:shd w:val="clear" w:color="auto" w:fill="auto"/>
            <w:noWrap/>
            <w:vAlign w:val="center"/>
            <w:hideMark/>
          </w:tcPr>
          <w:p w14:paraId="3A2D533D"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78%</w:t>
            </w:r>
          </w:p>
        </w:tc>
      </w:tr>
      <w:tr w:rsidR="008A5057" w:rsidRPr="00BD295E" w14:paraId="000D19C2"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45CC4BFC"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Substations, including</w:t>
            </w:r>
          </w:p>
        </w:tc>
        <w:tc>
          <w:tcPr>
            <w:tcW w:w="1071" w:type="dxa"/>
            <w:tcBorders>
              <w:top w:val="nil"/>
              <w:left w:val="nil"/>
              <w:bottom w:val="single" w:sz="4" w:space="0" w:color="auto"/>
              <w:right w:val="single" w:sz="4" w:space="0" w:color="auto"/>
            </w:tcBorders>
            <w:shd w:val="clear" w:color="auto" w:fill="auto"/>
            <w:noWrap/>
            <w:vAlign w:val="center"/>
            <w:hideMark/>
          </w:tcPr>
          <w:p w14:paraId="498BD1E5"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2,902</w:t>
            </w:r>
          </w:p>
        </w:tc>
        <w:tc>
          <w:tcPr>
            <w:tcW w:w="1071" w:type="dxa"/>
            <w:tcBorders>
              <w:top w:val="nil"/>
              <w:left w:val="nil"/>
              <w:bottom w:val="single" w:sz="4" w:space="0" w:color="auto"/>
              <w:right w:val="single" w:sz="4" w:space="0" w:color="auto"/>
            </w:tcBorders>
            <w:shd w:val="clear" w:color="auto" w:fill="auto"/>
            <w:noWrap/>
            <w:vAlign w:val="center"/>
            <w:hideMark/>
          </w:tcPr>
          <w:p w14:paraId="140025BF"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3,141</w:t>
            </w:r>
          </w:p>
        </w:tc>
        <w:tc>
          <w:tcPr>
            <w:tcW w:w="1057" w:type="dxa"/>
            <w:tcBorders>
              <w:top w:val="nil"/>
              <w:left w:val="nil"/>
              <w:bottom w:val="single" w:sz="4" w:space="0" w:color="auto"/>
              <w:right w:val="single" w:sz="4" w:space="0" w:color="auto"/>
            </w:tcBorders>
            <w:shd w:val="clear" w:color="auto" w:fill="auto"/>
            <w:noWrap/>
            <w:vAlign w:val="center"/>
            <w:hideMark/>
          </w:tcPr>
          <w:p w14:paraId="64B4C4E9"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3,171</w:t>
            </w:r>
          </w:p>
        </w:tc>
        <w:tc>
          <w:tcPr>
            <w:tcW w:w="907" w:type="dxa"/>
            <w:tcBorders>
              <w:top w:val="nil"/>
              <w:left w:val="nil"/>
              <w:bottom w:val="single" w:sz="4" w:space="0" w:color="auto"/>
              <w:right w:val="single" w:sz="4" w:space="0" w:color="auto"/>
            </w:tcBorders>
            <w:shd w:val="clear" w:color="auto" w:fill="auto"/>
            <w:noWrap/>
            <w:vAlign w:val="center"/>
            <w:hideMark/>
          </w:tcPr>
          <w:p w14:paraId="05F30526"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2,425</w:t>
            </w:r>
          </w:p>
        </w:tc>
        <w:tc>
          <w:tcPr>
            <w:tcW w:w="1059" w:type="dxa"/>
            <w:tcBorders>
              <w:top w:val="nil"/>
              <w:left w:val="nil"/>
              <w:bottom w:val="single" w:sz="4" w:space="0" w:color="auto"/>
              <w:right w:val="single" w:sz="4" w:space="0" w:color="auto"/>
            </w:tcBorders>
            <w:shd w:val="clear" w:color="auto" w:fill="auto"/>
            <w:noWrap/>
            <w:vAlign w:val="center"/>
            <w:hideMark/>
          </w:tcPr>
          <w:p w14:paraId="571948DD"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76%</w:t>
            </w:r>
          </w:p>
        </w:tc>
      </w:tr>
      <w:tr w:rsidR="008A5057" w:rsidRPr="00BD295E" w14:paraId="64B5D206"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1A1E84B"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Incoming voltage level HV</w:t>
            </w:r>
          </w:p>
        </w:tc>
        <w:tc>
          <w:tcPr>
            <w:tcW w:w="1071" w:type="dxa"/>
            <w:tcBorders>
              <w:top w:val="nil"/>
              <w:left w:val="nil"/>
              <w:bottom w:val="single" w:sz="4" w:space="0" w:color="auto"/>
              <w:right w:val="single" w:sz="4" w:space="0" w:color="auto"/>
            </w:tcBorders>
            <w:shd w:val="clear" w:color="auto" w:fill="auto"/>
            <w:noWrap/>
            <w:vAlign w:val="center"/>
            <w:hideMark/>
          </w:tcPr>
          <w:p w14:paraId="0B593D4C"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2,455</w:t>
            </w:r>
          </w:p>
        </w:tc>
        <w:tc>
          <w:tcPr>
            <w:tcW w:w="1071" w:type="dxa"/>
            <w:tcBorders>
              <w:top w:val="nil"/>
              <w:left w:val="nil"/>
              <w:bottom w:val="single" w:sz="4" w:space="0" w:color="auto"/>
              <w:right w:val="single" w:sz="4" w:space="0" w:color="auto"/>
            </w:tcBorders>
            <w:shd w:val="clear" w:color="auto" w:fill="auto"/>
            <w:noWrap/>
            <w:vAlign w:val="center"/>
            <w:hideMark/>
          </w:tcPr>
          <w:p w14:paraId="799148A4"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1,831</w:t>
            </w:r>
          </w:p>
        </w:tc>
        <w:tc>
          <w:tcPr>
            <w:tcW w:w="1057" w:type="dxa"/>
            <w:tcBorders>
              <w:top w:val="nil"/>
              <w:left w:val="nil"/>
              <w:bottom w:val="single" w:sz="4" w:space="0" w:color="auto"/>
              <w:right w:val="single" w:sz="4" w:space="0" w:color="auto"/>
            </w:tcBorders>
            <w:shd w:val="clear" w:color="auto" w:fill="auto"/>
            <w:noWrap/>
            <w:vAlign w:val="center"/>
            <w:hideMark/>
          </w:tcPr>
          <w:p w14:paraId="559CC6E3"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1,735</w:t>
            </w:r>
          </w:p>
        </w:tc>
        <w:tc>
          <w:tcPr>
            <w:tcW w:w="907" w:type="dxa"/>
            <w:tcBorders>
              <w:top w:val="nil"/>
              <w:left w:val="nil"/>
              <w:bottom w:val="single" w:sz="4" w:space="0" w:color="auto"/>
              <w:right w:val="single" w:sz="4" w:space="0" w:color="auto"/>
            </w:tcBorders>
            <w:shd w:val="clear" w:color="auto" w:fill="auto"/>
            <w:noWrap/>
            <w:vAlign w:val="center"/>
            <w:hideMark/>
          </w:tcPr>
          <w:p w14:paraId="7A86DE49"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1,479</w:t>
            </w:r>
          </w:p>
        </w:tc>
        <w:tc>
          <w:tcPr>
            <w:tcW w:w="1059" w:type="dxa"/>
            <w:tcBorders>
              <w:top w:val="nil"/>
              <w:left w:val="nil"/>
              <w:bottom w:val="single" w:sz="4" w:space="0" w:color="auto"/>
              <w:right w:val="single" w:sz="4" w:space="0" w:color="auto"/>
            </w:tcBorders>
            <w:shd w:val="clear" w:color="auto" w:fill="auto"/>
            <w:noWrap/>
            <w:vAlign w:val="center"/>
            <w:hideMark/>
          </w:tcPr>
          <w:p w14:paraId="230A7EF9"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85%</w:t>
            </w:r>
          </w:p>
        </w:tc>
      </w:tr>
      <w:tr w:rsidR="008A5057" w:rsidRPr="00BD295E" w14:paraId="1F4772B5"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2E471988"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Incoming voltage level MV1</w:t>
            </w:r>
          </w:p>
        </w:tc>
        <w:tc>
          <w:tcPr>
            <w:tcW w:w="1071" w:type="dxa"/>
            <w:tcBorders>
              <w:top w:val="nil"/>
              <w:left w:val="nil"/>
              <w:bottom w:val="single" w:sz="4" w:space="0" w:color="auto"/>
              <w:right w:val="single" w:sz="4" w:space="0" w:color="auto"/>
            </w:tcBorders>
            <w:shd w:val="clear" w:color="auto" w:fill="auto"/>
            <w:noWrap/>
            <w:vAlign w:val="center"/>
            <w:hideMark/>
          </w:tcPr>
          <w:p w14:paraId="78AB38B7"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301</w:t>
            </w:r>
          </w:p>
        </w:tc>
        <w:tc>
          <w:tcPr>
            <w:tcW w:w="1071" w:type="dxa"/>
            <w:tcBorders>
              <w:top w:val="nil"/>
              <w:left w:val="nil"/>
              <w:bottom w:val="single" w:sz="4" w:space="0" w:color="auto"/>
              <w:right w:val="single" w:sz="4" w:space="0" w:color="auto"/>
            </w:tcBorders>
            <w:shd w:val="clear" w:color="auto" w:fill="auto"/>
            <w:noWrap/>
            <w:vAlign w:val="center"/>
            <w:hideMark/>
          </w:tcPr>
          <w:p w14:paraId="5BABBB2A"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782</w:t>
            </w:r>
          </w:p>
        </w:tc>
        <w:tc>
          <w:tcPr>
            <w:tcW w:w="1057" w:type="dxa"/>
            <w:tcBorders>
              <w:top w:val="nil"/>
              <w:left w:val="nil"/>
              <w:bottom w:val="single" w:sz="4" w:space="0" w:color="auto"/>
              <w:right w:val="single" w:sz="4" w:space="0" w:color="auto"/>
            </w:tcBorders>
            <w:shd w:val="clear" w:color="auto" w:fill="auto"/>
            <w:noWrap/>
            <w:vAlign w:val="center"/>
            <w:hideMark/>
          </w:tcPr>
          <w:p w14:paraId="66382FAB"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797</w:t>
            </w:r>
          </w:p>
        </w:tc>
        <w:tc>
          <w:tcPr>
            <w:tcW w:w="907" w:type="dxa"/>
            <w:tcBorders>
              <w:top w:val="nil"/>
              <w:left w:val="nil"/>
              <w:bottom w:val="single" w:sz="4" w:space="0" w:color="auto"/>
              <w:right w:val="single" w:sz="4" w:space="0" w:color="auto"/>
            </w:tcBorders>
            <w:shd w:val="clear" w:color="auto" w:fill="auto"/>
            <w:noWrap/>
            <w:vAlign w:val="center"/>
            <w:hideMark/>
          </w:tcPr>
          <w:p w14:paraId="1489A52A"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467</w:t>
            </w:r>
          </w:p>
        </w:tc>
        <w:tc>
          <w:tcPr>
            <w:tcW w:w="1059" w:type="dxa"/>
            <w:tcBorders>
              <w:top w:val="nil"/>
              <w:left w:val="nil"/>
              <w:bottom w:val="single" w:sz="4" w:space="0" w:color="auto"/>
              <w:right w:val="single" w:sz="4" w:space="0" w:color="auto"/>
            </w:tcBorders>
            <w:shd w:val="clear" w:color="auto" w:fill="auto"/>
            <w:noWrap/>
            <w:vAlign w:val="center"/>
            <w:hideMark/>
          </w:tcPr>
          <w:p w14:paraId="7F920143"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59%</w:t>
            </w:r>
          </w:p>
        </w:tc>
      </w:tr>
      <w:tr w:rsidR="008A5057" w:rsidRPr="00BD295E" w14:paraId="2FD1AEA6"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3085DE7"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Incoming voltage level MV2</w:t>
            </w:r>
          </w:p>
        </w:tc>
        <w:tc>
          <w:tcPr>
            <w:tcW w:w="1071" w:type="dxa"/>
            <w:tcBorders>
              <w:top w:val="nil"/>
              <w:left w:val="nil"/>
              <w:bottom w:val="single" w:sz="4" w:space="0" w:color="auto"/>
              <w:right w:val="single" w:sz="4" w:space="0" w:color="auto"/>
            </w:tcBorders>
            <w:shd w:val="clear" w:color="auto" w:fill="auto"/>
            <w:noWrap/>
            <w:vAlign w:val="center"/>
            <w:hideMark/>
          </w:tcPr>
          <w:p w14:paraId="430719B8"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146</w:t>
            </w:r>
          </w:p>
        </w:tc>
        <w:tc>
          <w:tcPr>
            <w:tcW w:w="1071" w:type="dxa"/>
            <w:tcBorders>
              <w:top w:val="nil"/>
              <w:left w:val="nil"/>
              <w:bottom w:val="single" w:sz="4" w:space="0" w:color="auto"/>
              <w:right w:val="single" w:sz="4" w:space="0" w:color="auto"/>
            </w:tcBorders>
            <w:shd w:val="clear" w:color="auto" w:fill="auto"/>
            <w:noWrap/>
            <w:vAlign w:val="center"/>
            <w:hideMark/>
          </w:tcPr>
          <w:p w14:paraId="02728788"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527</w:t>
            </w:r>
          </w:p>
        </w:tc>
        <w:tc>
          <w:tcPr>
            <w:tcW w:w="1057" w:type="dxa"/>
            <w:tcBorders>
              <w:top w:val="nil"/>
              <w:left w:val="nil"/>
              <w:bottom w:val="single" w:sz="4" w:space="0" w:color="auto"/>
              <w:right w:val="single" w:sz="4" w:space="0" w:color="auto"/>
            </w:tcBorders>
            <w:shd w:val="clear" w:color="auto" w:fill="auto"/>
            <w:noWrap/>
            <w:vAlign w:val="center"/>
            <w:hideMark/>
          </w:tcPr>
          <w:p w14:paraId="7EC61E28"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639</w:t>
            </w:r>
          </w:p>
        </w:tc>
        <w:tc>
          <w:tcPr>
            <w:tcW w:w="907" w:type="dxa"/>
            <w:tcBorders>
              <w:top w:val="nil"/>
              <w:left w:val="nil"/>
              <w:bottom w:val="single" w:sz="4" w:space="0" w:color="auto"/>
              <w:right w:val="single" w:sz="4" w:space="0" w:color="auto"/>
            </w:tcBorders>
            <w:shd w:val="clear" w:color="auto" w:fill="auto"/>
            <w:noWrap/>
            <w:vAlign w:val="center"/>
            <w:hideMark/>
          </w:tcPr>
          <w:p w14:paraId="117FD5C1"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479</w:t>
            </w:r>
          </w:p>
        </w:tc>
        <w:tc>
          <w:tcPr>
            <w:tcW w:w="1059" w:type="dxa"/>
            <w:tcBorders>
              <w:top w:val="nil"/>
              <w:left w:val="nil"/>
              <w:bottom w:val="single" w:sz="4" w:space="0" w:color="auto"/>
              <w:right w:val="single" w:sz="4" w:space="0" w:color="auto"/>
            </w:tcBorders>
            <w:shd w:val="clear" w:color="auto" w:fill="auto"/>
            <w:noWrap/>
            <w:vAlign w:val="center"/>
            <w:hideMark/>
          </w:tcPr>
          <w:p w14:paraId="703802D6"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75%</w:t>
            </w:r>
          </w:p>
        </w:tc>
      </w:tr>
      <w:tr w:rsidR="008A5057" w:rsidRPr="00BD295E" w14:paraId="1A247954"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A25E728"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Other electric grid facilities (automation, communications)</w:t>
            </w:r>
          </w:p>
        </w:tc>
        <w:tc>
          <w:tcPr>
            <w:tcW w:w="1071" w:type="dxa"/>
            <w:tcBorders>
              <w:top w:val="nil"/>
              <w:left w:val="nil"/>
              <w:bottom w:val="single" w:sz="4" w:space="0" w:color="auto"/>
              <w:right w:val="single" w:sz="4" w:space="0" w:color="auto"/>
            </w:tcBorders>
            <w:shd w:val="clear" w:color="auto" w:fill="auto"/>
            <w:noWrap/>
            <w:vAlign w:val="center"/>
            <w:hideMark/>
          </w:tcPr>
          <w:p w14:paraId="3B219CA2"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392</w:t>
            </w:r>
          </w:p>
        </w:tc>
        <w:tc>
          <w:tcPr>
            <w:tcW w:w="1071" w:type="dxa"/>
            <w:tcBorders>
              <w:top w:val="nil"/>
              <w:left w:val="nil"/>
              <w:bottom w:val="single" w:sz="4" w:space="0" w:color="auto"/>
              <w:right w:val="single" w:sz="4" w:space="0" w:color="auto"/>
            </w:tcBorders>
            <w:shd w:val="clear" w:color="auto" w:fill="auto"/>
            <w:noWrap/>
            <w:vAlign w:val="center"/>
            <w:hideMark/>
          </w:tcPr>
          <w:p w14:paraId="1382C80C"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741</w:t>
            </w:r>
          </w:p>
        </w:tc>
        <w:tc>
          <w:tcPr>
            <w:tcW w:w="1057" w:type="dxa"/>
            <w:tcBorders>
              <w:top w:val="nil"/>
              <w:left w:val="nil"/>
              <w:bottom w:val="single" w:sz="4" w:space="0" w:color="auto"/>
              <w:right w:val="single" w:sz="4" w:space="0" w:color="auto"/>
            </w:tcBorders>
            <w:shd w:val="clear" w:color="auto" w:fill="auto"/>
            <w:noWrap/>
            <w:vAlign w:val="center"/>
            <w:hideMark/>
          </w:tcPr>
          <w:p w14:paraId="1B413BFE"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482</w:t>
            </w:r>
          </w:p>
        </w:tc>
        <w:tc>
          <w:tcPr>
            <w:tcW w:w="907" w:type="dxa"/>
            <w:tcBorders>
              <w:top w:val="nil"/>
              <w:left w:val="nil"/>
              <w:bottom w:val="single" w:sz="4" w:space="0" w:color="auto"/>
              <w:right w:val="single" w:sz="4" w:space="0" w:color="auto"/>
            </w:tcBorders>
            <w:shd w:val="clear" w:color="auto" w:fill="auto"/>
            <w:noWrap/>
            <w:vAlign w:val="center"/>
            <w:hideMark/>
          </w:tcPr>
          <w:p w14:paraId="30A74BA0"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681</w:t>
            </w:r>
          </w:p>
        </w:tc>
        <w:tc>
          <w:tcPr>
            <w:tcW w:w="1059" w:type="dxa"/>
            <w:tcBorders>
              <w:top w:val="nil"/>
              <w:left w:val="nil"/>
              <w:bottom w:val="single" w:sz="4" w:space="0" w:color="auto"/>
              <w:right w:val="single" w:sz="4" w:space="0" w:color="auto"/>
            </w:tcBorders>
            <w:shd w:val="clear" w:color="auto" w:fill="auto"/>
            <w:noWrap/>
            <w:vAlign w:val="center"/>
            <w:hideMark/>
          </w:tcPr>
          <w:p w14:paraId="1D0D167D"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141%</w:t>
            </w:r>
          </w:p>
        </w:tc>
      </w:tr>
      <w:tr w:rsidR="008A5057" w:rsidRPr="00BD295E" w14:paraId="3BC9EAAB"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044F3CAC"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New builds and expansion of existing facilities, including:</w:t>
            </w:r>
          </w:p>
        </w:tc>
        <w:tc>
          <w:tcPr>
            <w:tcW w:w="1071" w:type="dxa"/>
            <w:tcBorders>
              <w:top w:val="nil"/>
              <w:left w:val="nil"/>
              <w:bottom w:val="single" w:sz="4" w:space="0" w:color="auto"/>
              <w:right w:val="single" w:sz="4" w:space="0" w:color="auto"/>
            </w:tcBorders>
            <w:shd w:val="clear" w:color="auto" w:fill="auto"/>
            <w:noWrap/>
            <w:vAlign w:val="center"/>
            <w:hideMark/>
          </w:tcPr>
          <w:p w14:paraId="6ED74BF4"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15,582</w:t>
            </w:r>
          </w:p>
        </w:tc>
        <w:tc>
          <w:tcPr>
            <w:tcW w:w="1071" w:type="dxa"/>
            <w:tcBorders>
              <w:top w:val="nil"/>
              <w:left w:val="nil"/>
              <w:bottom w:val="single" w:sz="4" w:space="0" w:color="auto"/>
              <w:right w:val="single" w:sz="4" w:space="0" w:color="auto"/>
            </w:tcBorders>
            <w:shd w:val="clear" w:color="auto" w:fill="auto"/>
            <w:noWrap/>
            <w:vAlign w:val="center"/>
            <w:hideMark/>
          </w:tcPr>
          <w:p w14:paraId="5489B5B1"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20,743</w:t>
            </w:r>
          </w:p>
        </w:tc>
        <w:tc>
          <w:tcPr>
            <w:tcW w:w="1057" w:type="dxa"/>
            <w:tcBorders>
              <w:top w:val="nil"/>
              <w:left w:val="nil"/>
              <w:bottom w:val="single" w:sz="4" w:space="0" w:color="auto"/>
              <w:right w:val="single" w:sz="4" w:space="0" w:color="auto"/>
            </w:tcBorders>
            <w:shd w:val="clear" w:color="auto" w:fill="auto"/>
            <w:noWrap/>
            <w:vAlign w:val="center"/>
            <w:hideMark/>
          </w:tcPr>
          <w:p w14:paraId="420C306D"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12,111</w:t>
            </w:r>
          </w:p>
        </w:tc>
        <w:tc>
          <w:tcPr>
            <w:tcW w:w="907" w:type="dxa"/>
            <w:tcBorders>
              <w:top w:val="nil"/>
              <w:left w:val="nil"/>
              <w:bottom w:val="single" w:sz="4" w:space="0" w:color="auto"/>
              <w:right w:val="single" w:sz="4" w:space="0" w:color="auto"/>
            </w:tcBorders>
            <w:shd w:val="clear" w:color="auto" w:fill="auto"/>
            <w:noWrap/>
            <w:vAlign w:val="center"/>
            <w:hideMark/>
          </w:tcPr>
          <w:p w14:paraId="68AA995E"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13,901</w:t>
            </w:r>
          </w:p>
        </w:tc>
        <w:tc>
          <w:tcPr>
            <w:tcW w:w="1059" w:type="dxa"/>
            <w:tcBorders>
              <w:top w:val="nil"/>
              <w:left w:val="nil"/>
              <w:bottom w:val="single" w:sz="4" w:space="0" w:color="auto"/>
              <w:right w:val="single" w:sz="4" w:space="0" w:color="auto"/>
            </w:tcBorders>
            <w:shd w:val="clear" w:color="auto" w:fill="auto"/>
            <w:noWrap/>
            <w:vAlign w:val="center"/>
            <w:hideMark/>
          </w:tcPr>
          <w:p w14:paraId="73CA87D5"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115%</w:t>
            </w:r>
          </w:p>
        </w:tc>
      </w:tr>
      <w:tr w:rsidR="008A5057" w:rsidRPr="00BD295E" w14:paraId="1D5CFC02"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4C3C785D"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overhead lines, including</w:t>
            </w:r>
          </w:p>
        </w:tc>
        <w:tc>
          <w:tcPr>
            <w:tcW w:w="1071" w:type="dxa"/>
            <w:tcBorders>
              <w:top w:val="nil"/>
              <w:left w:val="nil"/>
              <w:bottom w:val="single" w:sz="4" w:space="0" w:color="auto"/>
              <w:right w:val="single" w:sz="4" w:space="0" w:color="auto"/>
            </w:tcBorders>
            <w:shd w:val="clear" w:color="auto" w:fill="auto"/>
            <w:noWrap/>
            <w:vAlign w:val="center"/>
            <w:hideMark/>
          </w:tcPr>
          <w:p w14:paraId="46E2643F"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5,960</w:t>
            </w:r>
          </w:p>
        </w:tc>
        <w:tc>
          <w:tcPr>
            <w:tcW w:w="1071" w:type="dxa"/>
            <w:tcBorders>
              <w:top w:val="nil"/>
              <w:left w:val="nil"/>
              <w:bottom w:val="single" w:sz="4" w:space="0" w:color="auto"/>
              <w:right w:val="single" w:sz="4" w:space="0" w:color="auto"/>
            </w:tcBorders>
            <w:shd w:val="clear" w:color="auto" w:fill="auto"/>
            <w:noWrap/>
            <w:vAlign w:val="center"/>
            <w:hideMark/>
          </w:tcPr>
          <w:p w14:paraId="762CA444"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5,371</w:t>
            </w:r>
          </w:p>
        </w:tc>
        <w:tc>
          <w:tcPr>
            <w:tcW w:w="1057" w:type="dxa"/>
            <w:tcBorders>
              <w:top w:val="nil"/>
              <w:left w:val="nil"/>
              <w:bottom w:val="single" w:sz="4" w:space="0" w:color="auto"/>
              <w:right w:val="single" w:sz="4" w:space="0" w:color="auto"/>
            </w:tcBorders>
            <w:shd w:val="clear" w:color="auto" w:fill="auto"/>
            <w:noWrap/>
            <w:vAlign w:val="center"/>
            <w:hideMark/>
          </w:tcPr>
          <w:p w14:paraId="29A6CDAC"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1,925</w:t>
            </w:r>
          </w:p>
        </w:tc>
        <w:tc>
          <w:tcPr>
            <w:tcW w:w="907" w:type="dxa"/>
            <w:tcBorders>
              <w:top w:val="nil"/>
              <w:left w:val="nil"/>
              <w:bottom w:val="single" w:sz="4" w:space="0" w:color="auto"/>
              <w:right w:val="single" w:sz="4" w:space="0" w:color="auto"/>
            </w:tcBorders>
            <w:shd w:val="clear" w:color="auto" w:fill="auto"/>
            <w:noWrap/>
            <w:vAlign w:val="center"/>
            <w:hideMark/>
          </w:tcPr>
          <w:p w14:paraId="7F2D1AD2"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1,970</w:t>
            </w:r>
          </w:p>
        </w:tc>
        <w:tc>
          <w:tcPr>
            <w:tcW w:w="1059" w:type="dxa"/>
            <w:tcBorders>
              <w:top w:val="nil"/>
              <w:left w:val="nil"/>
              <w:bottom w:val="single" w:sz="4" w:space="0" w:color="auto"/>
              <w:right w:val="single" w:sz="4" w:space="0" w:color="auto"/>
            </w:tcBorders>
            <w:shd w:val="clear" w:color="auto" w:fill="auto"/>
            <w:noWrap/>
            <w:vAlign w:val="center"/>
            <w:hideMark/>
          </w:tcPr>
          <w:p w14:paraId="006AD43E"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102%</w:t>
            </w:r>
          </w:p>
        </w:tc>
      </w:tr>
      <w:tr w:rsidR="008A5057" w:rsidRPr="00BD295E" w14:paraId="6A98FBC2"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33C9606"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110–220 kV OL (HV)</w:t>
            </w:r>
          </w:p>
        </w:tc>
        <w:tc>
          <w:tcPr>
            <w:tcW w:w="1071" w:type="dxa"/>
            <w:tcBorders>
              <w:top w:val="nil"/>
              <w:left w:val="nil"/>
              <w:bottom w:val="single" w:sz="4" w:space="0" w:color="auto"/>
              <w:right w:val="single" w:sz="4" w:space="0" w:color="auto"/>
            </w:tcBorders>
            <w:shd w:val="clear" w:color="auto" w:fill="auto"/>
            <w:noWrap/>
            <w:vAlign w:val="center"/>
            <w:hideMark/>
          </w:tcPr>
          <w:p w14:paraId="16541320"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94</w:t>
            </w:r>
          </w:p>
        </w:tc>
        <w:tc>
          <w:tcPr>
            <w:tcW w:w="1071" w:type="dxa"/>
            <w:tcBorders>
              <w:top w:val="nil"/>
              <w:left w:val="nil"/>
              <w:bottom w:val="single" w:sz="4" w:space="0" w:color="auto"/>
              <w:right w:val="single" w:sz="4" w:space="0" w:color="auto"/>
            </w:tcBorders>
            <w:shd w:val="clear" w:color="auto" w:fill="auto"/>
            <w:noWrap/>
            <w:vAlign w:val="center"/>
            <w:hideMark/>
          </w:tcPr>
          <w:p w14:paraId="326E7187"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314</w:t>
            </w:r>
          </w:p>
        </w:tc>
        <w:tc>
          <w:tcPr>
            <w:tcW w:w="1057" w:type="dxa"/>
            <w:tcBorders>
              <w:top w:val="nil"/>
              <w:left w:val="nil"/>
              <w:bottom w:val="single" w:sz="4" w:space="0" w:color="auto"/>
              <w:right w:val="single" w:sz="4" w:space="0" w:color="auto"/>
            </w:tcBorders>
            <w:shd w:val="clear" w:color="auto" w:fill="auto"/>
            <w:noWrap/>
            <w:vAlign w:val="center"/>
            <w:hideMark/>
          </w:tcPr>
          <w:p w14:paraId="52062165"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196</w:t>
            </w:r>
          </w:p>
        </w:tc>
        <w:tc>
          <w:tcPr>
            <w:tcW w:w="907" w:type="dxa"/>
            <w:tcBorders>
              <w:top w:val="nil"/>
              <w:left w:val="nil"/>
              <w:bottom w:val="single" w:sz="4" w:space="0" w:color="auto"/>
              <w:right w:val="single" w:sz="4" w:space="0" w:color="auto"/>
            </w:tcBorders>
            <w:shd w:val="clear" w:color="auto" w:fill="auto"/>
            <w:noWrap/>
            <w:vAlign w:val="center"/>
            <w:hideMark/>
          </w:tcPr>
          <w:p w14:paraId="503BFD9D"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145</w:t>
            </w:r>
          </w:p>
        </w:tc>
        <w:tc>
          <w:tcPr>
            <w:tcW w:w="1059" w:type="dxa"/>
            <w:tcBorders>
              <w:top w:val="nil"/>
              <w:left w:val="nil"/>
              <w:bottom w:val="single" w:sz="4" w:space="0" w:color="auto"/>
              <w:right w:val="single" w:sz="4" w:space="0" w:color="auto"/>
            </w:tcBorders>
            <w:shd w:val="clear" w:color="auto" w:fill="auto"/>
            <w:noWrap/>
            <w:vAlign w:val="center"/>
            <w:hideMark/>
          </w:tcPr>
          <w:p w14:paraId="287D50FE"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74%</w:t>
            </w:r>
          </w:p>
        </w:tc>
      </w:tr>
      <w:tr w:rsidR="008A5057" w:rsidRPr="00BD295E" w14:paraId="7484812A"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09FF395E"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35 kV OL (MV1)</w:t>
            </w:r>
          </w:p>
        </w:tc>
        <w:tc>
          <w:tcPr>
            <w:tcW w:w="1071" w:type="dxa"/>
            <w:tcBorders>
              <w:top w:val="nil"/>
              <w:left w:val="nil"/>
              <w:bottom w:val="single" w:sz="4" w:space="0" w:color="auto"/>
              <w:right w:val="single" w:sz="4" w:space="0" w:color="auto"/>
            </w:tcBorders>
            <w:shd w:val="clear" w:color="auto" w:fill="auto"/>
            <w:noWrap/>
            <w:vAlign w:val="center"/>
            <w:hideMark/>
          </w:tcPr>
          <w:p w14:paraId="1F48703E"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1071" w:type="dxa"/>
            <w:tcBorders>
              <w:top w:val="nil"/>
              <w:left w:val="nil"/>
              <w:bottom w:val="single" w:sz="4" w:space="0" w:color="auto"/>
              <w:right w:val="single" w:sz="4" w:space="0" w:color="auto"/>
            </w:tcBorders>
            <w:shd w:val="clear" w:color="auto" w:fill="auto"/>
            <w:noWrap/>
            <w:vAlign w:val="center"/>
            <w:hideMark/>
          </w:tcPr>
          <w:p w14:paraId="3906AAA1"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1057" w:type="dxa"/>
            <w:tcBorders>
              <w:top w:val="nil"/>
              <w:left w:val="nil"/>
              <w:bottom w:val="single" w:sz="4" w:space="0" w:color="auto"/>
              <w:right w:val="single" w:sz="4" w:space="0" w:color="auto"/>
            </w:tcBorders>
            <w:shd w:val="clear" w:color="auto" w:fill="auto"/>
            <w:noWrap/>
            <w:vAlign w:val="center"/>
            <w:hideMark/>
          </w:tcPr>
          <w:p w14:paraId="4FCCAD7E"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907" w:type="dxa"/>
            <w:tcBorders>
              <w:top w:val="nil"/>
              <w:left w:val="nil"/>
              <w:bottom w:val="single" w:sz="4" w:space="0" w:color="auto"/>
              <w:right w:val="single" w:sz="4" w:space="0" w:color="auto"/>
            </w:tcBorders>
            <w:shd w:val="clear" w:color="auto" w:fill="auto"/>
            <w:noWrap/>
            <w:vAlign w:val="center"/>
            <w:hideMark/>
          </w:tcPr>
          <w:p w14:paraId="7A288DCA"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1059" w:type="dxa"/>
            <w:tcBorders>
              <w:top w:val="nil"/>
              <w:left w:val="nil"/>
              <w:bottom w:val="single" w:sz="4" w:space="0" w:color="auto"/>
              <w:right w:val="single" w:sz="4" w:space="0" w:color="auto"/>
            </w:tcBorders>
            <w:shd w:val="clear" w:color="auto" w:fill="auto"/>
            <w:noWrap/>
            <w:vAlign w:val="center"/>
            <w:hideMark/>
          </w:tcPr>
          <w:p w14:paraId="00D4887B"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r>
      <w:tr w:rsidR="008A5057" w:rsidRPr="00BD295E" w14:paraId="531D6634"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A5C2817"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1–20 kV OL (MV2)</w:t>
            </w:r>
          </w:p>
        </w:tc>
        <w:tc>
          <w:tcPr>
            <w:tcW w:w="1071" w:type="dxa"/>
            <w:tcBorders>
              <w:top w:val="nil"/>
              <w:left w:val="nil"/>
              <w:bottom w:val="single" w:sz="4" w:space="0" w:color="auto"/>
              <w:right w:val="single" w:sz="4" w:space="0" w:color="auto"/>
            </w:tcBorders>
            <w:shd w:val="clear" w:color="auto" w:fill="auto"/>
            <w:noWrap/>
            <w:vAlign w:val="center"/>
            <w:hideMark/>
          </w:tcPr>
          <w:p w14:paraId="5C7AB4B9"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1071" w:type="dxa"/>
            <w:tcBorders>
              <w:top w:val="nil"/>
              <w:left w:val="nil"/>
              <w:bottom w:val="single" w:sz="4" w:space="0" w:color="auto"/>
              <w:right w:val="single" w:sz="4" w:space="0" w:color="auto"/>
            </w:tcBorders>
            <w:shd w:val="clear" w:color="auto" w:fill="auto"/>
            <w:noWrap/>
            <w:vAlign w:val="center"/>
            <w:hideMark/>
          </w:tcPr>
          <w:p w14:paraId="6A740A27"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1057" w:type="dxa"/>
            <w:tcBorders>
              <w:top w:val="nil"/>
              <w:left w:val="nil"/>
              <w:bottom w:val="single" w:sz="4" w:space="0" w:color="auto"/>
              <w:right w:val="single" w:sz="4" w:space="0" w:color="auto"/>
            </w:tcBorders>
            <w:shd w:val="clear" w:color="auto" w:fill="auto"/>
            <w:noWrap/>
            <w:vAlign w:val="center"/>
            <w:hideMark/>
          </w:tcPr>
          <w:p w14:paraId="00B6580F"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254</w:t>
            </w:r>
          </w:p>
        </w:tc>
        <w:tc>
          <w:tcPr>
            <w:tcW w:w="907" w:type="dxa"/>
            <w:tcBorders>
              <w:top w:val="nil"/>
              <w:left w:val="nil"/>
              <w:bottom w:val="single" w:sz="4" w:space="0" w:color="auto"/>
              <w:right w:val="single" w:sz="4" w:space="0" w:color="auto"/>
            </w:tcBorders>
            <w:shd w:val="clear" w:color="auto" w:fill="auto"/>
            <w:noWrap/>
            <w:vAlign w:val="center"/>
            <w:hideMark/>
          </w:tcPr>
          <w:p w14:paraId="6E5CDB6A"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403</w:t>
            </w:r>
          </w:p>
        </w:tc>
        <w:tc>
          <w:tcPr>
            <w:tcW w:w="1059" w:type="dxa"/>
            <w:tcBorders>
              <w:top w:val="nil"/>
              <w:left w:val="nil"/>
              <w:bottom w:val="single" w:sz="4" w:space="0" w:color="auto"/>
              <w:right w:val="single" w:sz="4" w:space="0" w:color="auto"/>
            </w:tcBorders>
            <w:shd w:val="clear" w:color="auto" w:fill="auto"/>
            <w:noWrap/>
            <w:vAlign w:val="center"/>
            <w:hideMark/>
          </w:tcPr>
          <w:p w14:paraId="7B5A528A"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159%</w:t>
            </w:r>
          </w:p>
        </w:tc>
      </w:tr>
      <w:tr w:rsidR="008A5057" w:rsidRPr="00BD295E" w14:paraId="3E335785"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29E6AC4A"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0.4 kV CL (LV)</w:t>
            </w:r>
          </w:p>
        </w:tc>
        <w:tc>
          <w:tcPr>
            <w:tcW w:w="1071" w:type="dxa"/>
            <w:tcBorders>
              <w:top w:val="nil"/>
              <w:left w:val="nil"/>
              <w:bottom w:val="single" w:sz="4" w:space="0" w:color="auto"/>
              <w:right w:val="single" w:sz="4" w:space="0" w:color="auto"/>
            </w:tcBorders>
            <w:shd w:val="clear" w:color="auto" w:fill="auto"/>
            <w:noWrap/>
            <w:vAlign w:val="center"/>
            <w:hideMark/>
          </w:tcPr>
          <w:p w14:paraId="116C4CBB"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5,866</w:t>
            </w:r>
          </w:p>
        </w:tc>
        <w:tc>
          <w:tcPr>
            <w:tcW w:w="1071" w:type="dxa"/>
            <w:tcBorders>
              <w:top w:val="nil"/>
              <w:left w:val="nil"/>
              <w:bottom w:val="single" w:sz="4" w:space="0" w:color="auto"/>
              <w:right w:val="single" w:sz="4" w:space="0" w:color="auto"/>
            </w:tcBorders>
            <w:shd w:val="clear" w:color="auto" w:fill="auto"/>
            <w:noWrap/>
            <w:vAlign w:val="center"/>
            <w:hideMark/>
          </w:tcPr>
          <w:p w14:paraId="02C85E1B"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5,057</w:t>
            </w:r>
          </w:p>
        </w:tc>
        <w:tc>
          <w:tcPr>
            <w:tcW w:w="1057" w:type="dxa"/>
            <w:tcBorders>
              <w:top w:val="nil"/>
              <w:left w:val="nil"/>
              <w:bottom w:val="single" w:sz="4" w:space="0" w:color="auto"/>
              <w:right w:val="single" w:sz="4" w:space="0" w:color="auto"/>
            </w:tcBorders>
            <w:shd w:val="clear" w:color="auto" w:fill="auto"/>
            <w:noWrap/>
            <w:vAlign w:val="center"/>
            <w:hideMark/>
          </w:tcPr>
          <w:p w14:paraId="5BCEDFD0"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1,475</w:t>
            </w:r>
          </w:p>
        </w:tc>
        <w:tc>
          <w:tcPr>
            <w:tcW w:w="907" w:type="dxa"/>
            <w:tcBorders>
              <w:top w:val="nil"/>
              <w:left w:val="nil"/>
              <w:bottom w:val="single" w:sz="4" w:space="0" w:color="auto"/>
              <w:right w:val="single" w:sz="4" w:space="0" w:color="auto"/>
            </w:tcBorders>
            <w:shd w:val="clear" w:color="auto" w:fill="auto"/>
            <w:noWrap/>
            <w:vAlign w:val="center"/>
            <w:hideMark/>
          </w:tcPr>
          <w:p w14:paraId="2A6D1CA3"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1,422</w:t>
            </w:r>
          </w:p>
        </w:tc>
        <w:tc>
          <w:tcPr>
            <w:tcW w:w="1059" w:type="dxa"/>
            <w:tcBorders>
              <w:top w:val="nil"/>
              <w:left w:val="nil"/>
              <w:bottom w:val="single" w:sz="4" w:space="0" w:color="auto"/>
              <w:right w:val="single" w:sz="4" w:space="0" w:color="auto"/>
            </w:tcBorders>
            <w:shd w:val="clear" w:color="auto" w:fill="auto"/>
            <w:noWrap/>
            <w:vAlign w:val="center"/>
            <w:hideMark/>
          </w:tcPr>
          <w:p w14:paraId="36F05D2D"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96%</w:t>
            </w:r>
          </w:p>
        </w:tc>
      </w:tr>
      <w:tr w:rsidR="008A5057" w:rsidRPr="00BD295E" w14:paraId="4790E348"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52B170CB"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cable lines, including</w:t>
            </w:r>
          </w:p>
        </w:tc>
        <w:tc>
          <w:tcPr>
            <w:tcW w:w="1071" w:type="dxa"/>
            <w:tcBorders>
              <w:top w:val="nil"/>
              <w:left w:val="nil"/>
              <w:bottom w:val="single" w:sz="4" w:space="0" w:color="auto"/>
              <w:right w:val="single" w:sz="4" w:space="0" w:color="auto"/>
            </w:tcBorders>
            <w:shd w:val="clear" w:color="auto" w:fill="auto"/>
            <w:noWrap/>
            <w:vAlign w:val="center"/>
            <w:hideMark/>
          </w:tcPr>
          <w:p w14:paraId="7C40EFAA"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8,712</w:t>
            </w:r>
          </w:p>
        </w:tc>
        <w:tc>
          <w:tcPr>
            <w:tcW w:w="1071" w:type="dxa"/>
            <w:tcBorders>
              <w:top w:val="nil"/>
              <w:left w:val="nil"/>
              <w:bottom w:val="single" w:sz="4" w:space="0" w:color="auto"/>
              <w:right w:val="single" w:sz="4" w:space="0" w:color="auto"/>
            </w:tcBorders>
            <w:shd w:val="clear" w:color="auto" w:fill="auto"/>
            <w:noWrap/>
            <w:vAlign w:val="center"/>
            <w:hideMark/>
          </w:tcPr>
          <w:p w14:paraId="62373761"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11,989</w:t>
            </w:r>
          </w:p>
        </w:tc>
        <w:tc>
          <w:tcPr>
            <w:tcW w:w="1057" w:type="dxa"/>
            <w:tcBorders>
              <w:top w:val="nil"/>
              <w:left w:val="nil"/>
              <w:bottom w:val="single" w:sz="4" w:space="0" w:color="auto"/>
              <w:right w:val="single" w:sz="4" w:space="0" w:color="auto"/>
            </w:tcBorders>
            <w:shd w:val="clear" w:color="auto" w:fill="auto"/>
            <w:noWrap/>
            <w:vAlign w:val="center"/>
            <w:hideMark/>
          </w:tcPr>
          <w:p w14:paraId="7B54705B"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1,802</w:t>
            </w:r>
          </w:p>
        </w:tc>
        <w:tc>
          <w:tcPr>
            <w:tcW w:w="907" w:type="dxa"/>
            <w:tcBorders>
              <w:top w:val="nil"/>
              <w:left w:val="nil"/>
              <w:bottom w:val="single" w:sz="4" w:space="0" w:color="auto"/>
              <w:right w:val="single" w:sz="4" w:space="0" w:color="auto"/>
            </w:tcBorders>
            <w:shd w:val="clear" w:color="auto" w:fill="auto"/>
            <w:noWrap/>
            <w:vAlign w:val="center"/>
            <w:hideMark/>
          </w:tcPr>
          <w:p w14:paraId="71675761"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2,617</w:t>
            </w:r>
          </w:p>
        </w:tc>
        <w:tc>
          <w:tcPr>
            <w:tcW w:w="1059" w:type="dxa"/>
            <w:tcBorders>
              <w:top w:val="nil"/>
              <w:left w:val="nil"/>
              <w:bottom w:val="single" w:sz="4" w:space="0" w:color="auto"/>
              <w:right w:val="single" w:sz="4" w:space="0" w:color="auto"/>
            </w:tcBorders>
            <w:shd w:val="clear" w:color="auto" w:fill="auto"/>
            <w:noWrap/>
            <w:vAlign w:val="center"/>
            <w:hideMark/>
          </w:tcPr>
          <w:p w14:paraId="24901C0D"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145%</w:t>
            </w:r>
          </w:p>
        </w:tc>
      </w:tr>
      <w:tr w:rsidR="008A5057" w:rsidRPr="00BD295E" w14:paraId="766B94F2"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C6C22B7"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110 kV CL (HV)</w:t>
            </w:r>
          </w:p>
        </w:tc>
        <w:tc>
          <w:tcPr>
            <w:tcW w:w="1071" w:type="dxa"/>
            <w:tcBorders>
              <w:top w:val="nil"/>
              <w:left w:val="nil"/>
              <w:bottom w:val="single" w:sz="4" w:space="0" w:color="auto"/>
              <w:right w:val="single" w:sz="4" w:space="0" w:color="auto"/>
            </w:tcBorders>
            <w:shd w:val="clear" w:color="auto" w:fill="auto"/>
            <w:noWrap/>
            <w:vAlign w:val="center"/>
            <w:hideMark/>
          </w:tcPr>
          <w:p w14:paraId="7B7C8CFC"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987</w:t>
            </w:r>
          </w:p>
        </w:tc>
        <w:tc>
          <w:tcPr>
            <w:tcW w:w="1071" w:type="dxa"/>
            <w:tcBorders>
              <w:top w:val="nil"/>
              <w:left w:val="nil"/>
              <w:bottom w:val="single" w:sz="4" w:space="0" w:color="auto"/>
              <w:right w:val="single" w:sz="4" w:space="0" w:color="auto"/>
            </w:tcBorders>
            <w:shd w:val="clear" w:color="auto" w:fill="auto"/>
            <w:noWrap/>
            <w:vAlign w:val="center"/>
            <w:hideMark/>
          </w:tcPr>
          <w:p w14:paraId="74399CD3"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779</w:t>
            </w:r>
          </w:p>
        </w:tc>
        <w:tc>
          <w:tcPr>
            <w:tcW w:w="1057" w:type="dxa"/>
            <w:tcBorders>
              <w:top w:val="nil"/>
              <w:left w:val="nil"/>
              <w:bottom w:val="single" w:sz="4" w:space="0" w:color="auto"/>
              <w:right w:val="single" w:sz="4" w:space="0" w:color="auto"/>
            </w:tcBorders>
            <w:shd w:val="clear" w:color="auto" w:fill="auto"/>
            <w:noWrap/>
            <w:vAlign w:val="center"/>
            <w:hideMark/>
          </w:tcPr>
          <w:p w14:paraId="61423F77"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278</w:t>
            </w:r>
          </w:p>
        </w:tc>
        <w:tc>
          <w:tcPr>
            <w:tcW w:w="907" w:type="dxa"/>
            <w:tcBorders>
              <w:top w:val="nil"/>
              <w:left w:val="nil"/>
              <w:bottom w:val="single" w:sz="4" w:space="0" w:color="auto"/>
              <w:right w:val="single" w:sz="4" w:space="0" w:color="auto"/>
            </w:tcBorders>
            <w:shd w:val="clear" w:color="auto" w:fill="auto"/>
            <w:noWrap/>
            <w:vAlign w:val="center"/>
            <w:hideMark/>
          </w:tcPr>
          <w:p w14:paraId="458998F6"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214</w:t>
            </w:r>
          </w:p>
        </w:tc>
        <w:tc>
          <w:tcPr>
            <w:tcW w:w="1059" w:type="dxa"/>
            <w:tcBorders>
              <w:top w:val="nil"/>
              <w:left w:val="nil"/>
              <w:bottom w:val="single" w:sz="4" w:space="0" w:color="auto"/>
              <w:right w:val="single" w:sz="4" w:space="0" w:color="auto"/>
            </w:tcBorders>
            <w:shd w:val="clear" w:color="auto" w:fill="auto"/>
            <w:noWrap/>
            <w:vAlign w:val="center"/>
            <w:hideMark/>
          </w:tcPr>
          <w:p w14:paraId="4ABE0250"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77%</w:t>
            </w:r>
          </w:p>
        </w:tc>
      </w:tr>
      <w:tr w:rsidR="008A5057" w:rsidRPr="00BD295E" w14:paraId="0A48D335"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83DF89C"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20–35 kV CL (MV1)</w:t>
            </w:r>
          </w:p>
        </w:tc>
        <w:tc>
          <w:tcPr>
            <w:tcW w:w="1071" w:type="dxa"/>
            <w:tcBorders>
              <w:top w:val="nil"/>
              <w:left w:val="nil"/>
              <w:bottom w:val="single" w:sz="4" w:space="0" w:color="auto"/>
              <w:right w:val="single" w:sz="4" w:space="0" w:color="auto"/>
            </w:tcBorders>
            <w:shd w:val="clear" w:color="auto" w:fill="auto"/>
            <w:noWrap/>
            <w:vAlign w:val="center"/>
            <w:hideMark/>
          </w:tcPr>
          <w:p w14:paraId="1C773358"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1071" w:type="dxa"/>
            <w:tcBorders>
              <w:top w:val="nil"/>
              <w:left w:val="nil"/>
              <w:bottom w:val="single" w:sz="4" w:space="0" w:color="auto"/>
              <w:right w:val="single" w:sz="4" w:space="0" w:color="auto"/>
            </w:tcBorders>
            <w:shd w:val="clear" w:color="auto" w:fill="auto"/>
            <w:noWrap/>
            <w:vAlign w:val="center"/>
            <w:hideMark/>
          </w:tcPr>
          <w:p w14:paraId="23F97310"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1057" w:type="dxa"/>
            <w:tcBorders>
              <w:top w:val="nil"/>
              <w:left w:val="nil"/>
              <w:bottom w:val="single" w:sz="4" w:space="0" w:color="auto"/>
              <w:right w:val="single" w:sz="4" w:space="0" w:color="auto"/>
            </w:tcBorders>
            <w:shd w:val="clear" w:color="auto" w:fill="auto"/>
            <w:noWrap/>
            <w:vAlign w:val="center"/>
            <w:hideMark/>
          </w:tcPr>
          <w:p w14:paraId="33BFFA37"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w:t>
            </w:r>
          </w:p>
        </w:tc>
        <w:tc>
          <w:tcPr>
            <w:tcW w:w="907" w:type="dxa"/>
            <w:tcBorders>
              <w:top w:val="nil"/>
              <w:left w:val="nil"/>
              <w:bottom w:val="single" w:sz="4" w:space="0" w:color="auto"/>
              <w:right w:val="single" w:sz="4" w:space="0" w:color="auto"/>
            </w:tcBorders>
            <w:shd w:val="clear" w:color="auto" w:fill="auto"/>
            <w:noWrap/>
            <w:vAlign w:val="center"/>
            <w:hideMark/>
          </w:tcPr>
          <w:p w14:paraId="66EEDBCE"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w:t>
            </w:r>
          </w:p>
        </w:tc>
        <w:tc>
          <w:tcPr>
            <w:tcW w:w="1059" w:type="dxa"/>
            <w:tcBorders>
              <w:top w:val="nil"/>
              <w:left w:val="nil"/>
              <w:bottom w:val="single" w:sz="4" w:space="0" w:color="auto"/>
              <w:right w:val="single" w:sz="4" w:space="0" w:color="auto"/>
            </w:tcBorders>
            <w:shd w:val="clear" w:color="auto" w:fill="auto"/>
            <w:noWrap/>
            <w:vAlign w:val="center"/>
            <w:hideMark/>
          </w:tcPr>
          <w:p w14:paraId="74736724"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107%</w:t>
            </w:r>
          </w:p>
        </w:tc>
      </w:tr>
      <w:tr w:rsidR="008A5057" w:rsidRPr="00BD295E" w14:paraId="3BBC539F"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26DB46F0"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3–10 kV CL (MV2)</w:t>
            </w:r>
          </w:p>
        </w:tc>
        <w:tc>
          <w:tcPr>
            <w:tcW w:w="1071" w:type="dxa"/>
            <w:tcBorders>
              <w:top w:val="nil"/>
              <w:left w:val="nil"/>
              <w:bottom w:val="single" w:sz="4" w:space="0" w:color="auto"/>
              <w:right w:val="single" w:sz="4" w:space="0" w:color="auto"/>
            </w:tcBorders>
            <w:shd w:val="clear" w:color="auto" w:fill="auto"/>
            <w:noWrap/>
            <w:vAlign w:val="center"/>
            <w:hideMark/>
          </w:tcPr>
          <w:p w14:paraId="453D1EE2"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7,724</w:t>
            </w:r>
          </w:p>
        </w:tc>
        <w:tc>
          <w:tcPr>
            <w:tcW w:w="1071" w:type="dxa"/>
            <w:tcBorders>
              <w:top w:val="nil"/>
              <w:left w:val="nil"/>
              <w:bottom w:val="single" w:sz="4" w:space="0" w:color="auto"/>
              <w:right w:val="single" w:sz="4" w:space="0" w:color="auto"/>
            </w:tcBorders>
            <w:shd w:val="clear" w:color="auto" w:fill="auto"/>
            <w:noWrap/>
            <w:vAlign w:val="center"/>
            <w:hideMark/>
          </w:tcPr>
          <w:p w14:paraId="54D698B2"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11,211</w:t>
            </w:r>
          </w:p>
        </w:tc>
        <w:tc>
          <w:tcPr>
            <w:tcW w:w="1057" w:type="dxa"/>
            <w:tcBorders>
              <w:top w:val="nil"/>
              <w:left w:val="nil"/>
              <w:bottom w:val="single" w:sz="4" w:space="0" w:color="auto"/>
              <w:right w:val="single" w:sz="4" w:space="0" w:color="auto"/>
            </w:tcBorders>
            <w:shd w:val="clear" w:color="auto" w:fill="auto"/>
            <w:noWrap/>
            <w:vAlign w:val="center"/>
            <w:hideMark/>
          </w:tcPr>
          <w:p w14:paraId="47ACC146"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1,389</w:t>
            </w:r>
          </w:p>
        </w:tc>
        <w:tc>
          <w:tcPr>
            <w:tcW w:w="907" w:type="dxa"/>
            <w:tcBorders>
              <w:top w:val="nil"/>
              <w:left w:val="nil"/>
              <w:bottom w:val="single" w:sz="4" w:space="0" w:color="auto"/>
              <w:right w:val="single" w:sz="4" w:space="0" w:color="auto"/>
            </w:tcBorders>
            <w:shd w:val="clear" w:color="auto" w:fill="auto"/>
            <w:noWrap/>
            <w:vAlign w:val="center"/>
            <w:hideMark/>
          </w:tcPr>
          <w:p w14:paraId="497F87C0"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2,032</w:t>
            </w:r>
          </w:p>
        </w:tc>
        <w:tc>
          <w:tcPr>
            <w:tcW w:w="1059" w:type="dxa"/>
            <w:tcBorders>
              <w:top w:val="nil"/>
              <w:left w:val="nil"/>
              <w:bottom w:val="single" w:sz="4" w:space="0" w:color="auto"/>
              <w:right w:val="single" w:sz="4" w:space="0" w:color="auto"/>
            </w:tcBorders>
            <w:shd w:val="clear" w:color="auto" w:fill="auto"/>
            <w:noWrap/>
            <w:vAlign w:val="center"/>
            <w:hideMark/>
          </w:tcPr>
          <w:p w14:paraId="3C87AB1D"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146%</w:t>
            </w:r>
          </w:p>
        </w:tc>
      </w:tr>
      <w:tr w:rsidR="008A5057" w:rsidRPr="00BD295E" w14:paraId="3955BDFA"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42E0DDAB"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up to 1 kV CL (LV)</w:t>
            </w:r>
          </w:p>
        </w:tc>
        <w:tc>
          <w:tcPr>
            <w:tcW w:w="1071" w:type="dxa"/>
            <w:tcBorders>
              <w:top w:val="nil"/>
              <w:left w:val="nil"/>
              <w:bottom w:val="single" w:sz="4" w:space="0" w:color="auto"/>
              <w:right w:val="single" w:sz="4" w:space="0" w:color="auto"/>
            </w:tcBorders>
            <w:shd w:val="clear" w:color="auto" w:fill="auto"/>
            <w:noWrap/>
            <w:vAlign w:val="center"/>
            <w:hideMark/>
          </w:tcPr>
          <w:p w14:paraId="47A4B9F8"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1071" w:type="dxa"/>
            <w:tcBorders>
              <w:top w:val="nil"/>
              <w:left w:val="nil"/>
              <w:bottom w:val="single" w:sz="4" w:space="0" w:color="auto"/>
              <w:right w:val="single" w:sz="4" w:space="0" w:color="auto"/>
            </w:tcBorders>
            <w:shd w:val="clear" w:color="auto" w:fill="auto"/>
            <w:noWrap/>
            <w:vAlign w:val="center"/>
            <w:hideMark/>
          </w:tcPr>
          <w:p w14:paraId="157F3890"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 xml:space="preserve">              -     </w:t>
            </w:r>
          </w:p>
        </w:tc>
        <w:tc>
          <w:tcPr>
            <w:tcW w:w="1057" w:type="dxa"/>
            <w:tcBorders>
              <w:top w:val="nil"/>
              <w:left w:val="nil"/>
              <w:bottom w:val="single" w:sz="4" w:space="0" w:color="auto"/>
              <w:right w:val="single" w:sz="4" w:space="0" w:color="auto"/>
            </w:tcBorders>
            <w:shd w:val="clear" w:color="auto" w:fill="auto"/>
            <w:noWrap/>
            <w:vAlign w:val="center"/>
            <w:hideMark/>
          </w:tcPr>
          <w:p w14:paraId="4CA99B24"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133</w:t>
            </w:r>
          </w:p>
        </w:tc>
        <w:tc>
          <w:tcPr>
            <w:tcW w:w="907" w:type="dxa"/>
            <w:tcBorders>
              <w:top w:val="nil"/>
              <w:left w:val="nil"/>
              <w:bottom w:val="single" w:sz="4" w:space="0" w:color="auto"/>
              <w:right w:val="single" w:sz="4" w:space="0" w:color="auto"/>
            </w:tcBorders>
            <w:shd w:val="clear" w:color="auto" w:fill="auto"/>
            <w:noWrap/>
            <w:vAlign w:val="center"/>
            <w:hideMark/>
          </w:tcPr>
          <w:p w14:paraId="21B1A213"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371</w:t>
            </w:r>
          </w:p>
        </w:tc>
        <w:tc>
          <w:tcPr>
            <w:tcW w:w="1059" w:type="dxa"/>
            <w:tcBorders>
              <w:top w:val="nil"/>
              <w:left w:val="nil"/>
              <w:bottom w:val="single" w:sz="4" w:space="0" w:color="auto"/>
              <w:right w:val="single" w:sz="4" w:space="0" w:color="auto"/>
            </w:tcBorders>
            <w:shd w:val="clear" w:color="auto" w:fill="auto"/>
            <w:noWrap/>
            <w:vAlign w:val="center"/>
            <w:hideMark/>
          </w:tcPr>
          <w:p w14:paraId="36A37F41"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278%</w:t>
            </w:r>
          </w:p>
        </w:tc>
      </w:tr>
      <w:tr w:rsidR="008A5057" w:rsidRPr="00BD295E" w14:paraId="1863044F"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2965DFBC"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Substations, including</w:t>
            </w:r>
          </w:p>
        </w:tc>
        <w:tc>
          <w:tcPr>
            <w:tcW w:w="1071" w:type="dxa"/>
            <w:tcBorders>
              <w:top w:val="nil"/>
              <w:left w:val="nil"/>
              <w:bottom w:val="single" w:sz="4" w:space="0" w:color="auto"/>
              <w:right w:val="single" w:sz="4" w:space="0" w:color="auto"/>
            </w:tcBorders>
            <w:shd w:val="clear" w:color="auto" w:fill="auto"/>
            <w:noWrap/>
            <w:vAlign w:val="center"/>
            <w:hideMark/>
          </w:tcPr>
          <w:p w14:paraId="444506D0"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911</w:t>
            </w:r>
          </w:p>
        </w:tc>
        <w:tc>
          <w:tcPr>
            <w:tcW w:w="1071" w:type="dxa"/>
            <w:tcBorders>
              <w:top w:val="nil"/>
              <w:left w:val="nil"/>
              <w:bottom w:val="single" w:sz="4" w:space="0" w:color="auto"/>
              <w:right w:val="single" w:sz="4" w:space="0" w:color="auto"/>
            </w:tcBorders>
            <w:shd w:val="clear" w:color="auto" w:fill="auto"/>
            <w:noWrap/>
            <w:vAlign w:val="center"/>
            <w:hideMark/>
          </w:tcPr>
          <w:p w14:paraId="27233966"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3,383</w:t>
            </w:r>
          </w:p>
        </w:tc>
        <w:tc>
          <w:tcPr>
            <w:tcW w:w="1057" w:type="dxa"/>
            <w:tcBorders>
              <w:top w:val="nil"/>
              <w:left w:val="nil"/>
              <w:bottom w:val="single" w:sz="4" w:space="0" w:color="auto"/>
              <w:right w:val="single" w:sz="4" w:space="0" w:color="auto"/>
            </w:tcBorders>
            <w:shd w:val="clear" w:color="auto" w:fill="auto"/>
            <w:noWrap/>
            <w:vAlign w:val="center"/>
            <w:hideMark/>
          </w:tcPr>
          <w:p w14:paraId="0D5DBDBF"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7,944</w:t>
            </w:r>
          </w:p>
        </w:tc>
        <w:tc>
          <w:tcPr>
            <w:tcW w:w="907" w:type="dxa"/>
            <w:tcBorders>
              <w:top w:val="nil"/>
              <w:left w:val="nil"/>
              <w:bottom w:val="single" w:sz="4" w:space="0" w:color="auto"/>
              <w:right w:val="single" w:sz="4" w:space="0" w:color="auto"/>
            </w:tcBorders>
            <w:shd w:val="clear" w:color="auto" w:fill="auto"/>
            <w:noWrap/>
            <w:vAlign w:val="center"/>
            <w:hideMark/>
          </w:tcPr>
          <w:p w14:paraId="60450AFF"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8,966</w:t>
            </w:r>
          </w:p>
        </w:tc>
        <w:tc>
          <w:tcPr>
            <w:tcW w:w="1059" w:type="dxa"/>
            <w:tcBorders>
              <w:top w:val="nil"/>
              <w:left w:val="nil"/>
              <w:bottom w:val="single" w:sz="4" w:space="0" w:color="auto"/>
              <w:right w:val="single" w:sz="4" w:space="0" w:color="auto"/>
            </w:tcBorders>
            <w:shd w:val="clear" w:color="auto" w:fill="auto"/>
            <w:noWrap/>
            <w:vAlign w:val="center"/>
            <w:hideMark/>
          </w:tcPr>
          <w:p w14:paraId="53C3C4D5"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113%</w:t>
            </w:r>
          </w:p>
        </w:tc>
      </w:tr>
      <w:tr w:rsidR="008A5057" w:rsidRPr="00BD295E" w14:paraId="5E06DF9E"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29A917E1"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Incoming voltage level HV</w:t>
            </w:r>
          </w:p>
        </w:tc>
        <w:tc>
          <w:tcPr>
            <w:tcW w:w="1071" w:type="dxa"/>
            <w:tcBorders>
              <w:top w:val="nil"/>
              <w:left w:val="nil"/>
              <w:bottom w:val="single" w:sz="4" w:space="0" w:color="auto"/>
              <w:right w:val="single" w:sz="4" w:space="0" w:color="auto"/>
            </w:tcBorders>
            <w:shd w:val="clear" w:color="auto" w:fill="auto"/>
            <w:noWrap/>
            <w:vAlign w:val="center"/>
            <w:hideMark/>
          </w:tcPr>
          <w:p w14:paraId="5705C9A9"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796</w:t>
            </w:r>
          </w:p>
        </w:tc>
        <w:tc>
          <w:tcPr>
            <w:tcW w:w="1071" w:type="dxa"/>
            <w:tcBorders>
              <w:top w:val="nil"/>
              <w:left w:val="nil"/>
              <w:bottom w:val="single" w:sz="4" w:space="0" w:color="auto"/>
              <w:right w:val="single" w:sz="4" w:space="0" w:color="auto"/>
            </w:tcBorders>
            <w:shd w:val="clear" w:color="auto" w:fill="auto"/>
            <w:noWrap/>
            <w:vAlign w:val="center"/>
            <w:hideMark/>
          </w:tcPr>
          <w:p w14:paraId="141637B5"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3,328</w:t>
            </w:r>
          </w:p>
        </w:tc>
        <w:tc>
          <w:tcPr>
            <w:tcW w:w="1057" w:type="dxa"/>
            <w:tcBorders>
              <w:top w:val="nil"/>
              <w:left w:val="nil"/>
              <w:bottom w:val="single" w:sz="4" w:space="0" w:color="auto"/>
              <w:right w:val="single" w:sz="4" w:space="0" w:color="auto"/>
            </w:tcBorders>
            <w:shd w:val="clear" w:color="auto" w:fill="auto"/>
            <w:noWrap/>
            <w:vAlign w:val="center"/>
            <w:hideMark/>
          </w:tcPr>
          <w:p w14:paraId="3363D007"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5,988</w:t>
            </w:r>
          </w:p>
        </w:tc>
        <w:tc>
          <w:tcPr>
            <w:tcW w:w="907" w:type="dxa"/>
            <w:tcBorders>
              <w:top w:val="nil"/>
              <w:left w:val="nil"/>
              <w:bottom w:val="single" w:sz="4" w:space="0" w:color="auto"/>
              <w:right w:val="single" w:sz="4" w:space="0" w:color="auto"/>
            </w:tcBorders>
            <w:shd w:val="clear" w:color="auto" w:fill="auto"/>
            <w:noWrap/>
            <w:vAlign w:val="center"/>
            <w:hideMark/>
          </w:tcPr>
          <w:p w14:paraId="17307C01"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3,848</w:t>
            </w:r>
          </w:p>
        </w:tc>
        <w:tc>
          <w:tcPr>
            <w:tcW w:w="1059" w:type="dxa"/>
            <w:tcBorders>
              <w:top w:val="nil"/>
              <w:left w:val="nil"/>
              <w:bottom w:val="single" w:sz="4" w:space="0" w:color="auto"/>
              <w:right w:val="single" w:sz="4" w:space="0" w:color="auto"/>
            </w:tcBorders>
            <w:shd w:val="clear" w:color="auto" w:fill="auto"/>
            <w:noWrap/>
            <w:vAlign w:val="center"/>
            <w:hideMark/>
          </w:tcPr>
          <w:p w14:paraId="3A11F593"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64%</w:t>
            </w:r>
          </w:p>
        </w:tc>
      </w:tr>
      <w:tr w:rsidR="008A5057" w:rsidRPr="00BD295E" w14:paraId="7A301A0D"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48BD9AB9"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Incoming voltage level MV1</w:t>
            </w:r>
          </w:p>
        </w:tc>
        <w:tc>
          <w:tcPr>
            <w:tcW w:w="1071" w:type="dxa"/>
            <w:tcBorders>
              <w:top w:val="nil"/>
              <w:left w:val="nil"/>
              <w:bottom w:val="single" w:sz="4" w:space="0" w:color="auto"/>
              <w:right w:val="single" w:sz="4" w:space="0" w:color="auto"/>
            </w:tcBorders>
            <w:shd w:val="clear" w:color="auto" w:fill="auto"/>
            <w:noWrap/>
            <w:vAlign w:val="center"/>
            <w:hideMark/>
          </w:tcPr>
          <w:p w14:paraId="2CE57B62"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6</w:t>
            </w:r>
          </w:p>
        </w:tc>
        <w:tc>
          <w:tcPr>
            <w:tcW w:w="1071" w:type="dxa"/>
            <w:tcBorders>
              <w:top w:val="nil"/>
              <w:left w:val="nil"/>
              <w:bottom w:val="single" w:sz="4" w:space="0" w:color="auto"/>
              <w:right w:val="single" w:sz="4" w:space="0" w:color="auto"/>
            </w:tcBorders>
            <w:shd w:val="clear" w:color="auto" w:fill="auto"/>
            <w:noWrap/>
            <w:vAlign w:val="center"/>
            <w:hideMark/>
          </w:tcPr>
          <w:p w14:paraId="7ABB1FB6"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25</w:t>
            </w:r>
          </w:p>
        </w:tc>
        <w:tc>
          <w:tcPr>
            <w:tcW w:w="1057" w:type="dxa"/>
            <w:tcBorders>
              <w:top w:val="nil"/>
              <w:left w:val="nil"/>
              <w:bottom w:val="single" w:sz="4" w:space="0" w:color="auto"/>
              <w:right w:val="single" w:sz="4" w:space="0" w:color="auto"/>
            </w:tcBorders>
            <w:shd w:val="clear" w:color="auto" w:fill="auto"/>
            <w:noWrap/>
            <w:vAlign w:val="center"/>
            <w:hideMark/>
          </w:tcPr>
          <w:p w14:paraId="77BC8366"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37</w:t>
            </w:r>
          </w:p>
        </w:tc>
        <w:tc>
          <w:tcPr>
            <w:tcW w:w="907" w:type="dxa"/>
            <w:tcBorders>
              <w:top w:val="nil"/>
              <w:left w:val="nil"/>
              <w:bottom w:val="single" w:sz="4" w:space="0" w:color="auto"/>
              <w:right w:val="single" w:sz="4" w:space="0" w:color="auto"/>
            </w:tcBorders>
            <w:shd w:val="clear" w:color="auto" w:fill="auto"/>
            <w:noWrap/>
            <w:vAlign w:val="center"/>
            <w:hideMark/>
          </w:tcPr>
          <w:p w14:paraId="1609CAAE"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15</w:t>
            </w:r>
          </w:p>
        </w:tc>
        <w:tc>
          <w:tcPr>
            <w:tcW w:w="1059" w:type="dxa"/>
            <w:tcBorders>
              <w:top w:val="nil"/>
              <w:left w:val="nil"/>
              <w:bottom w:val="single" w:sz="4" w:space="0" w:color="auto"/>
              <w:right w:val="single" w:sz="4" w:space="0" w:color="auto"/>
            </w:tcBorders>
            <w:shd w:val="clear" w:color="auto" w:fill="auto"/>
            <w:noWrap/>
            <w:vAlign w:val="center"/>
            <w:hideMark/>
          </w:tcPr>
          <w:p w14:paraId="10B13AF9"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41%</w:t>
            </w:r>
          </w:p>
        </w:tc>
      </w:tr>
      <w:tr w:rsidR="008A5057" w:rsidRPr="00BD295E" w14:paraId="5DEB24C3"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22645C63" w14:textId="77777777" w:rsidR="009E6685" w:rsidRPr="00BD295E" w:rsidRDefault="008A5057">
            <w:pPr>
              <w:rPr>
                <w:rFonts w:ascii="Arial" w:hAnsi="Arial" w:cs="Arial"/>
                <w:sz w:val="18"/>
                <w:szCs w:val="18"/>
                <w:lang w:val="en-US"/>
              </w:rPr>
            </w:pPr>
            <w:r w:rsidRPr="00BD295E">
              <w:rPr>
                <w:rFonts w:ascii="Arial" w:hAnsi="Arial" w:cs="Arial"/>
                <w:sz w:val="18"/>
                <w:szCs w:val="18"/>
                <w:lang w:val="en-US"/>
              </w:rPr>
              <w:t>Incoming voltage level MV2</w:t>
            </w:r>
          </w:p>
        </w:tc>
        <w:tc>
          <w:tcPr>
            <w:tcW w:w="1071" w:type="dxa"/>
            <w:tcBorders>
              <w:top w:val="nil"/>
              <w:left w:val="nil"/>
              <w:bottom w:val="single" w:sz="4" w:space="0" w:color="auto"/>
              <w:right w:val="single" w:sz="4" w:space="0" w:color="auto"/>
            </w:tcBorders>
            <w:shd w:val="clear" w:color="auto" w:fill="auto"/>
            <w:noWrap/>
            <w:vAlign w:val="center"/>
            <w:hideMark/>
          </w:tcPr>
          <w:p w14:paraId="7F38F896"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109</w:t>
            </w:r>
          </w:p>
        </w:tc>
        <w:tc>
          <w:tcPr>
            <w:tcW w:w="1071" w:type="dxa"/>
            <w:tcBorders>
              <w:top w:val="nil"/>
              <w:left w:val="nil"/>
              <w:bottom w:val="single" w:sz="4" w:space="0" w:color="auto"/>
              <w:right w:val="single" w:sz="4" w:space="0" w:color="auto"/>
            </w:tcBorders>
            <w:shd w:val="clear" w:color="auto" w:fill="auto"/>
            <w:noWrap/>
            <w:vAlign w:val="center"/>
            <w:hideMark/>
          </w:tcPr>
          <w:p w14:paraId="47A57C4A"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30</w:t>
            </w:r>
          </w:p>
        </w:tc>
        <w:tc>
          <w:tcPr>
            <w:tcW w:w="1057" w:type="dxa"/>
            <w:tcBorders>
              <w:top w:val="nil"/>
              <w:left w:val="nil"/>
              <w:bottom w:val="single" w:sz="4" w:space="0" w:color="auto"/>
              <w:right w:val="single" w:sz="4" w:space="0" w:color="auto"/>
            </w:tcBorders>
            <w:shd w:val="clear" w:color="auto" w:fill="auto"/>
            <w:noWrap/>
            <w:vAlign w:val="center"/>
            <w:hideMark/>
          </w:tcPr>
          <w:p w14:paraId="329E0F01"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1,919</w:t>
            </w:r>
          </w:p>
        </w:tc>
        <w:tc>
          <w:tcPr>
            <w:tcW w:w="907" w:type="dxa"/>
            <w:tcBorders>
              <w:top w:val="nil"/>
              <w:left w:val="nil"/>
              <w:bottom w:val="single" w:sz="4" w:space="0" w:color="auto"/>
              <w:right w:val="single" w:sz="4" w:space="0" w:color="auto"/>
            </w:tcBorders>
            <w:shd w:val="clear" w:color="auto" w:fill="auto"/>
            <w:noWrap/>
            <w:vAlign w:val="center"/>
            <w:hideMark/>
          </w:tcPr>
          <w:p w14:paraId="74B27752" w14:textId="77777777" w:rsidR="009E6685" w:rsidRPr="00BD295E" w:rsidRDefault="008A5057">
            <w:pPr>
              <w:jc w:val="right"/>
              <w:rPr>
                <w:rFonts w:ascii="Arial" w:hAnsi="Arial" w:cs="Arial"/>
                <w:sz w:val="18"/>
                <w:szCs w:val="18"/>
                <w:lang w:val="en-US"/>
              </w:rPr>
            </w:pPr>
            <w:r w:rsidRPr="00BD295E">
              <w:rPr>
                <w:rFonts w:ascii="Arial" w:hAnsi="Arial" w:cs="Arial"/>
                <w:sz w:val="18"/>
                <w:szCs w:val="18"/>
                <w:lang w:val="en-US"/>
              </w:rPr>
              <w:t>5,103</w:t>
            </w:r>
          </w:p>
        </w:tc>
        <w:tc>
          <w:tcPr>
            <w:tcW w:w="1059" w:type="dxa"/>
            <w:tcBorders>
              <w:top w:val="nil"/>
              <w:left w:val="nil"/>
              <w:bottom w:val="single" w:sz="4" w:space="0" w:color="auto"/>
              <w:right w:val="single" w:sz="4" w:space="0" w:color="auto"/>
            </w:tcBorders>
            <w:shd w:val="clear" w:color="auto" w:fill="auto"/>
            <w:noWrap/>
            <w:vAlign w:val="center"/>
            <w:hideMark/>
          </w:tcPr>
          <w:p w14:paraId="7D987C72" w14:textId="77777777" w:rsidR="009E6685" w:rsidRPr="00BD295E" w:rsidRDefault="008A5057">
            <w:pPr>
              <w:jc w:val="center"/>
              <w:rPr>
                <w:rFonts w:ascii="Arial" w:hAnsi="Arial" w:cs="Arial"/>
                <w:sz w:val="18"/>
                <w:szCs w:val="18"/>
                <w:lang w:val="en-US"/>
              </w:rPr>
            </w:pPr>
            <w:r w:rsidRPr="00BD295E">
              <w:rPr>
                <w:rFonts w:ascii="Arial" w:hAnsi="Arial" w:cs="Arial"/>
                <w:sz w:val="18"/>
                <w:szCs w:val="18"/>
                <w:lang w:val="en-US"/>
              </w:rPr>
              <w:t>266%</w:t>
            </w:r>
          </w:p>
        </w:tc>
      </w:tr>
      <w:tr w:rsidR="008A5057" w:rsidRPr="00BD295E" w14:paraId="77D38A62"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20EE36B7"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Other electric grid facilities (automation, communications)</w:t>
            </w:r>
          </w:p>
        </w:tc>
        <w:tc>
          <w:tcPr>
            <w:tcW w:w="1071" w:type="dxa"/>
            <w:tcBorders>
              <w:top w:val="nil"/>
              <w:left w:val="nil"/>
              <w:bottom w:val="single" w:sz="4" w:space="0" w:color="auto"/>
              <w:right w:val="single" w:sz="4" w:space="0" w:color="auto"/>
            </w:tcBorders>
            <w:shd w:val="clear" w:color="auto" w:fill="auto"/>
            <w:noWrap/>
            <w:vAlign w:val="center"/>
            <w:hideMark/>
          </w:tcPr>
          <w:p w14:paraId="6DB5D734"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1071" w:type="dxa"/>
            <w:tcBorders>
              <w:top w:val="nil"/>
              <w:left w:val="nil"/>
              <w:bottom w:val="single" w:sz="4" w:space="0" w:color="auto"/>
              <w:right w:val="single" w:sz="4" w:space="0" w:color="auto"/>
            </w:tcBorders>
            <w:shd w:val="clear" w:color="auto" w:fill="auto"/>
            <w:noWrap/>
            <w:vAlign w:val="center"/>
            <w:hideMark/>
          </w:tcPr>
          <w:p w14:paraId="740DE617"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1057" w:type="dxa"/>
            <w:tcBorders>
              <w:top w:val="nil"/>
              <w:left w:val="nil"/>
              <w:bottom w:val="single" w:sz="4" w:space="0" w:color="auto"/>
              <w:right w:val="single" w:sz="4" w:space="0" w:color="auto"/>
            </w:tcBorders>
            <w:shd w:val="clear" w:color="auto" w:fill="auto"/>
            <w:noWrap/>
            <w:vAlign w:val="center"/>
            <w:hideMark/>
          </w:tcPr>
          <w:p w14:paraId="5440F877"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440</w:t>
            </w:r>
          </w:p>
        </w:tc>
        <w:tc>
          <w:tcPr>
            <w:tcW w:w="907" w:type="dxa"/>
            <w:tcBorders>
              <w:top w:val="nil"/>
              <w:left w:val="nil"/>
              <w:bottom w:val="single" w:sz="4" w:space="0" w:color="auto"/>
              <w:right w:val="single" w:sz="4" w:space="0" w:color="auto"/>
            </w:tcBorders>
            <w:shd w:val="clear" w:color="auto" w:fill="auto"/>
            <w:noWrap/>
            <w:vAlign w:val="center"/>
            <w:hideMark/>
          </w:tcPr>
          <w:p w14:paraId="5B88CDA9"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346</w:t>
            </w:r>
          </w:p>
        </w:tc>
        <w:tc>
          <w:tcPr>
            <w:tcW w:w="1059" w:type="dxa"/>
            <w:tcBorders>
              <w:top w:val="nil"/>
              <w:left w:val="nil"/>
              <w:bottom w:val="single" w:sz="4" w:space="0" w:color="auto"/>
              <w:right w:val="single" w:sz="4" w:space="0" w:color="auto"/>
            </w:tcBorders>
            <w:shd w:val="clear" w:color="auto" w:fill="auto"/>
            <w:noWrap/>
            <w:vAlign w:val="center"/>
            <w:hideMark/>
          </w:tcPr>
          <w:p w14:paraId="2A46C3D5"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79%</w:t>
            </w:r>
          </w:p>
        </w:tc>
      </w:tr>
      <w:tr w:rsidR="008A5057" w:rsidRPr="00BD295E" w14:paraId="46EE824D"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0970C0CC"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Electricity metering and monitoring facilities</w:t>
            </w:r>
          </w:p>
        </w:tc>
        <w:tc>
          <w:tcPr>
            <w:tcW w:w="1071" w:type="dxa"/>
            <w:tcBorders>
              <w:top w:val="nil"/>
              <w:left w:val="nil"/>
              <w:bottom w:val="single" w:sz="4" w:space="0" w:color="auto"/>
              <w:right w:val="single" w:sz="4" w:space="0" w:color="auto"/>
            </w:tcBorders>
            <w:shd w:val="clear" w:color="auto" w:fill="auto"/>
            <w:noWrap/>
            <w:vAlign w:val="center"/>
            <w:hideMark/>
          </w:tcPr>
          <w:p w14:paraId="45A11ADD"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98</w:t>
            </w:r>
          </w:p>
        </w:tc>
        <w:tc>
          <w:tcPr>
            <w:tcW w:w="1071" w:type="dxa"/>
            <w:tcBorders>
              <w:top w:val="nil"/>
              <w:left w:val="nil"/>
              <w:bottom w:val="single" w:sz="4" w:space="0" w:color="auto"/>
              <w:right w:val="single" w:sz="4" w:space="0" w:color="auto"/>
            </w:tcBorders>
            <w:shd w:val="clear" w:color="auto" w:fill="auto"/>
            <w:noWrap/>
            <w:vAlign w:val="center"/>
            <w:hideMark/>
          </w:tcPr>
          <w:p w14:paraId="5090786F"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213</w:t>
            </w:r>
          </w:p>
        </w:tc>
        <w:tc>
          <w:tcPr>
            <w:tcW w:w="1057" w:type="dxa"/>
            <w:tcBorders>
              <w:top w:val="nil"/>
              <w:left w:val="nil"/>
              <w:bottom w:val="single" w:sz="4" w:space="0" w:color="auto"/>
              <w:right w:val="single" w:sz="4" w:space="0" w:color="auto"/>
            </w:tcBorders>
            <w:shd w:val="clear" w:color="auto" w:fill="auto"/>
            <w:noWrap/>
            <w:vAlign w:val="center"/>
            <w:hideMark/>
          </w:tcPr>
          <w:p w14:paraId="51692698"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402</w:t>
            </w:r>
          </w:p>
        </w:tc>
        <w:tc>
          <w:tcPr>
            <w:tcW w:w="907" w:type="dxa"/>
            <w:tcBorders>
              <w:top w:val="nil"/>
              <w:left w:val="nil"/>
              <w:bottom w:val="single" w:sz="4" w:space="0" w:color="auto"/>
              <w:right w:val="single" w:sz="4" w:space="0" w:color="auto"/>
            </w:tcBorders>
            <w:shd w:val="clear" w:color="auto" w:fill="auto"/>
            <w:noWrap/>
            <w:vAlign w:val="center"/>
            <w:hideMark/>
          </w:tcPr>
          <w:p w14:paraId="49FA811D"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316</w:t>
            </w:r>
          </w:p>
        </w:tc>
        <w:tc>
          <w:tcPr>
            <w:tcW w:w="1059" w:type="dxa"/>
            <w:tcBorders>
              <w:top w:val="nil"/>
              <w:left w:val="nil"/>
              <w:bottom w:val="single" w:sz="4" w:space="0" w:color="auto"/>
              <w:right w:val="single" w:sz="4" w:space="0" w:color="auto"/>
            </w:tcBorders>
            <w:shd w:val="clear" w:color="auto" w:fill="auto"/>
            <w:noWrap/>
            <w:vAlign w:val="center"/>
            <w:hideMark/>
          </w:tcPr>
          <w:p w14:paraId="2A3824F5"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79%</w:t>
            </w:r>
          </w:p>
        </w:tc>
      </w:tr>
      <w:tr w:rsidR="008A5057" w:rsidRPr="00BD295E" w14:paraId="2927F593"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47099FC2"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Design and survey for future construction</w:t>
            </w:r>
          </w:p>
        </w:tc>
        <w:tc>
          <w:tcPr>
            <w:tcW w:w="1071" w:type="dxa"/>
            <w:tcBorders>
              <w:top w:val="nil"/>
              <w:left w:val="nil"/>
              <w:bottom w:val="single" w:sz="4" w:space="0" w:color="auto"/>
              <w:right w:val="single" w:sz="4" w:space="0" w:color="auto"/>
            </w:tcBorders>
            <w:shd w:val="clear" w:color="auto" w:fill="auto"/>
            <w:noWrap/>
            <w:vAlign w:val="center"/>
            <w:hideMark/>
          </w:tcPr>
          <w:p w14:paraId="5742C2DF"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1071" w:type="dxa"/>
            <w:tcBorders>
              <w:top w:val="nil"/>
              <w:left w:val="nil"/>
              <w:bottom w:val="single" w:sz="4" w:space="0" w:color="auto"/>
              <w:right w:val="single" w:sz="4" w:space="0" w:color="auto"/>
            </w:tcBorders>
            <w:shd w:val="clear" w:color="auto" w:fill="auto"/>
            <w:noWrap/>
            <w:vAlign w:val="center"/>
            <w:hideMark/>
          </w:tcPr>
          <w:p w14:paraId="373AC658"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1057" w:type="dxa"/>
            <w:tcBorders>
              <w:top w:val="nil"/>
              <w:left w:val="nil"/>
              <w:bottom w:val="single" w:sz="4" w:space="0" w:color="auto"/>
              <w:right w:val="single" w:sz="4" w:space="0" w:color="auto"/>
            </w:tcBorders>
            <w:shd w:val="clear" w:color="auto" w:fill="auto"/>
            <w:noWrap/>
            <w:vAlign w:val="center"/>
            <w:hideMark/>
          </w:tcPr>
          <w:p w14:paraId="64D7F5EF"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27</w:t>
            </w:r>
          </w:p>
        </w:tc>
        <w:tc>
          <w:tcPr>
            <w:tcW w:w="907" w:type="dxa"/>
            <w:tcBorders>
              <w:top w:val="nil"/>
              <w:left w:val="nil"/>
              <w:bottom w:val="single" w:sz="4" w:space="0" w:color="auto"/>
              <w:right w:val="single" w:sz="4" w:space="0" w:color="auto"/>
            </w:tcBorders>
            <w:shd w:val="clear" w:color="auto" w:fill="auto"/>
            <w:noWrap/>
            <w:vAlign w:val="center"/>
            <w:hideMark/>
          </w:tcPr>
          <w:p w14:paraId="4C02B51B"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7</w:t>
            </w:r>
          </w:p>
        </w:tc>
        <w:tc>
          <w:tcPr>
            <w:tcW w:w="1059" w:type="dxa"/>
            <w:tcBorders>
              <w:top w:val="nil"/>
              <w:left w:val="nil"/>
              <w:bottom w:val="single" w:sz="4" w:space="0" w:color="auto"/>
              <w:right w:val="single" w:sz="4" w:space="0" w:color="auto"/>
            </w:tcBorders>
            <w:shd w:val="clear" w:color="auto" w:fill="auto"/>
            <w:noWrap/>
            <w:vAlign w:val="center"/>
            <w:hideMark/>
          </w:tcPr>
          <w:p w14:paraId="1EEA9A23"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25%</w:t>
            </w:r>
          </w:p>
        </w:tc>
      </w:tr>
      <w:tr w:rsidR="008A5057" w:rsidRPr="00BD295E" w14:paraId="07F971D4"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7D04DF77"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Other production and business facilities</w:t>
            </w:r>
          </w:p>
        </w:tc>
        <w:tc>
          <w:tcPr>
            <w:tcW w:w="1071" w:type="dxa"/>
            <w:tcBorders>
              <w:top w:val="nil"/>
              <w:left w:val="nil"/>
              <w:bottom w:val="single" w:sz="4" w:space="0" w:color="auto"/>
              <w:right w:val="single" w:sz="4" w:space="0" w:color="auto"/>
            </w:tcBorders>
            <w:shd w:val="clear" w:color="auto" w:fill="auto"/>
            <w:noWrap/>
            <w:vAlign w:val="center"/>
            <w:hideMark/>
          </w:tcPr>
          <w:p w14:paraId="3EFDDAFB"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1,474</w:t>
            </w:r>
          </w:p>
        </w:tc>
        <w:tc>
          <w:tcPr>
            <w:tcW w:w="1071" w:type="dxa"/>
            <w:tcBorders>
              <w:top w:val="nil"/>
              <w:left w:val="nil"/>
              <w:bottom w:val="single" w:sz="4" w:space="0" w:color="auto"/>
              <w:right w:val="single" w:sz="4" w:space="0" w:color="auto"/>
            </w:tcBorders>
            <w:shd w:val="clear" w:color="auto" w:fill="auto"/>
            <w:noWrap/>
            <w:vAlign w:val="center"/>
            <w:hideMark/>
          </w:tcPr>
          <w:p w14:paraId="2BC6A7AD"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1,889</w:t>
            </w:r>
          </w:p>
        </w:tc>
        <w:tc>
          <w:tcPr>
            <w:tcW w:w="1057" w:type="dxa"/>
            <w:tcBorders>
              <w:top w:val="nil"/>
              <w:left w:val="nil"/>
              <w:bottom w:val="single" w:sz="4" w:space="0" w:color="auto"/>
              <w:right w:val="single" w:sz="4" w:space="0" w:color="auto"/>
            </w:tcBorders>
            <w:shd w:val="clear" w:color="auto" w:fill="auto"/>
            <w:noWrap/>
            <w:vAlign w:val="center"/>
            <w:hideMark/>
          </w:tcPr>
          <w:p w14:paraId="7F1B5F2D"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1,358</w:t>
            </w:r>
          </w:p>
        </w:tc>
        <w:tc>
          <w:tcPr>
            <w:tcW w:w="907" w:type="dxa"/>
            <w:tcBorders>
              <w:top w:val="nil"/>
              <w:left w:val="nil"/>
              <w:bottom w:val="single" w:sz="4" w:space="0" w:color="auto"/>
              <w:right w:val="single" w:sz="4" w:space="0" w:color="auto"/>
            </w:tcBorders>
            <w:shd w:val="clear" w:color="auto" w:fill="auto"/>
            <w:noWrap/>
            <w:vAlign w:val="center"/>
            <w:hideMark/>
          </w:tcPr>
          <w:p w14:paraId="581F3E8D"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628</w:t>
            </w:r>
          </w:p>
        </w:tc>
        <w:tc>
          <w:tcPr>
            <w:tcW w:w="1059" w:type="dxa"/>
            <w:tcBorders>
              <w:top w:val="nil"/>
              <w:left w:val="nil"/>
              <w:bottom w:val="single" w:sz="4" w:space="0" w:color="auto"/>
              <w:right w:val="single" w:sz="4" w:space="0" w:color="auto"/>
            </w:tcBorders>
            <w:shd w:val="clear" w:color="auto" w:fill="auto"/>
            <w:noWrap/>
            <w:vAlign w:val="center"/>
            <w:hideMark/>
          </w:tcPr>
          <w:p w14:paraId="41AF9525"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46%</w:t>
            </w:r>
          </w:p>
        </w:tc>
      </w:tr>
      <w:tr w:rsidR="008A5057" w:rsidRPr="00BD295E" w14:paraId="7EADD515"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07908D23"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Equipment not included in the construction cost estimates</w:t>
            </w:r>
          </w:p>
        </w:tc>
        <w:tc>
          <w:tcPr>
            <w:tcW w:w="1071" w:type="dxa"/>
            <w:tcBorders>
              <w:top w:val="nil"/>
              <w:left w:val="nil"/>
              <w:bottom w:val="single" w:sz="4" w:space="0" w:color="auto"/>
              <w:right w:val="single" w:sz="4" w:space="0" w:color="auto"/>
            </w:tcBorders>
            <w:shd w:val="clear" w:color="auto" w:fill="auto"/>
            <w:noWrap/>
            <w:vAlign w:val="center"/>
            <w:hideMark/>
          </w:tcPr>
          <w:p w14:paraId="4F833741"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391</w:t>
            </w:r>
          </w:p>
        </w:tc>
        <w:tc>
          <w:tcPr>
            <w:tcW w:w="1071" w:type="dxa"/>
            <w:tcBorders>
              <w:top w:val="nil"/>
              <w:left w:val="nil"/>
              <w:bottom w:val="single" w:sz="4" w:space="0" w:color="auto"/>
              <w:right w:val="single" w:sz="4" w:space="0" w:color="auto"/>
            </w:tcBorders>
            <w:shd w:val="clear" w:color="auto" w:fill="auto"/>
            <w:noWrap/>
            <w:vAlign w:val="center"/>
            <w:hideMark/>
          </w:tcPr>
          <w:p w14:paraId="77EB93A6"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665</w:t>
            </w:r>
          </w:p>
        </w:tc>
        <w:tc>
          <w:tcPr>
            <w:tcW w:w="1057" w:type="dxa"/>
            <w:tcBorders>
              <w:top w:val="nil"/>
              <w:left w:val="nil"/>
              <w:bottom w:val="single" w:sz="4" w:space="0" w:color="auto"/>
              <w:right w:val="single" w:sz="4" w:space="0" w:color="auto"/>
            </w:tcBorders>
            <w:shd w:val="clear" w:color="auto" w:fill="auto"/>
            <w:noWrap/>
            <w:vAlign w:val="center"/>
            <w:hideMark/>
          </w:tcPr>
          <w:p w14:paraId="238C3BBF"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840</w:t>
            </w:r>
          </w:p>
        </w:tc>
        <w:tc>
          <w:tcPr>
            <w:tcW w:w="907" w:type="dxa"/>
            <w:tcBorders>
              <w:top w:val="nil"/>
              <w:left w:val="nil"/>
              <w:bottom w:val="single" w:sz="4" w:space="0" w:color="auto"/>
              <w:right w:val="single" w:sz="4" w:space="0" w:color="auto"/>
            </w:tcBorders>
            <w:shd w:val="clear" w:color="auto" w:fill="auto"/>
            <w:noWrap/>
            <w:vAlign w:val="center"/>
            <w:hideMark/>
          </w:tcPr>
          <w:p w14:paraId="55DCCC5A"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855</w:t>
            </w:r>
          </w:p>
        </w:tc>
        <w:tc>
          <w:tcPr>
            <w:tcW w:w="1059" w:type="dxa"/>
            <w:tcBorders>
              <w:top w:val="nil"/>
              <w:left w:val="nil"/>
              <w:bottom w:val="single" w:sz="4" w:space="0" w:color="auto"/>
              <w:right w:val="single" w:sz="4" w:space="0" w:color="auto"/>
            </w:tcBorders>
            <w:shd w:val="clear" w:color="auto" w:fill="auto"/>
            <w:noWrap/>
            <w:vAlign w:val="center"/>
            <w:hideMark/>
          </w:tcPr>
          <w:p w14:paraId="12987ADB"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102%</w:t>
            </w:r>
          </w:p>
        </w:tc>
      </w:tr>
      <w:tr w:rsidR="008A5057" w:rsidRPr="00BD295E" w14:paraId="1CA4B34C"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6DD4894D"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Non-production facilities</w:t>
            </w:r>
          </w:p>
        </w:tc>
        <w:tc>
          <w:tcPr>
            <w:tcW w:w="1071" w:type="dxa"/>
            <w:tcBorders>
              <w:top w:val="nil"/>
              <w:left w:val="nil"/>
              <w:bottom w:val="single" w:sz="4" w:space="0" w:color="auto"/>
              <w:right w:val="single" w:sz="4" w:space="0" w:color="auto"/>
            </w:tcBorders>
            <w:shd w:val="clear" w:color="auto" w:fill="auto"/>
            <w:noWrap/>
            <w:vAlign w:val="center"/>
            <w:hideMark/>
          </w:tcPr>
          <w:p w14:paraId="0DA446C9"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 xml:space="preserve">              -     </w:t>
            </w:r>
          </w:p>
        </w:tc>
        <w:tc>
          <w:tcPr>
            <w:tcW w:w="1071" w:type="dxa"/>
            <w:tcBorders>
              <w:top w:val="nil"/>
              <w:left w:val="nil"/>
              <w:bottom w:val="single" w:sz="4" w:space="0" w:color="auto"/>
              <w:right w:val="single" w:sz="4" w:space="0" w:color="auto"/>
            </w:tcBorders>
            <w:shd w:val="clear" w:color="auto" w:fill="auto"/>
            <w:noWrap/>
            <w:vAlign w:val="center"/>
            <w:hideMark/>
          </w:tcPr>
          <w:p w14:paraId="723C5194"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 xml:space="preserve">              -     </w:t>
            </w:r>
          </w:p>
        </w:tc>
        <w:tc>
          <w:tcPr>
            <w:tcW w:w="1057" w:type="dxa"/>
            <w:tcBorders>
              <w:top w:val="nil"/>
              <w:left w:val="nil"/>
              <w:bottom w:val="single" w:sz="4" w:space="0" w:color="auto"/>
              <w:right w:val="single" w:sz="4" w:space="0" w:color="auto"/>
            </w:tcBorders>
            <w:shd w:val="clear" w:color="auto" w:fill="auto"/>
            <w:noWrap/>
            <w:vAlign w:val="center"/>
            <w:hideMark/>
          </w:tcPr>
          <w:p w14:paraId="0F127C53"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907" w:type="dxa"/>
            <w:tcBorders>
              <w:top w:val="nil"/>
              <w:left w:val="nil"/>
              <w:bottom w:val="single" w:sz="4" w:space="0" w:color="auto"/>
              <w:right w:val="single" w:sz="4" w:space="0" w:color="auto"/>
            </w:tcBorders>
            <w:shd w:val="clear" w:color="auto" w:fill="auto"/>
            <w:noWrap/>
            <w:vAlign w:val="center"/>
            <w:hideMark/>
          </w:tcPr>
          <w:p w14:paraId="533842CF"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1059" w:type="dxa"/>
            <w:tcBorders>
              <w:top w:val="nil"/>
              <w:left w:val="nil"/>
              <w:bottom w:val="single" w:sz="4" w:space="0" w:color="auto"/>
              <w:right w:val="single" w:sz="4" w:space="0" w:color="auto"/>
            </w:tcBorders>
            <w:shd w:val="clear" w:color="auto" w:fill="auto"/>
            <w:noWrap/>
            <w:vAlign w:val="center"/>
            <w:hideMark/>
          </w:tcPr>
          <w:p w14:paraId="3067E40E"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r>
      <w:tr w:rsidR="008A5057" w:rsidRPr="00BD295E" w14:paraId="2CED7F5D"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757F25A6"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Capital investments in intangible assets</w:t>
            </w:r>
          </w:p>
        </w:tc>
        <w:tc>
          <w:tcPr>
            <w:tcW w:w="1071" w:type="dxa"/>
            <w:tcBorders>
              <w:top w:val="nil"/>
              <w:left w:val="nil"/>
              <w:bottom w:val="single" w:sz="4" w:space="0" w:color="auto"/>
              <w:right w:val="single" w:sz="4" w:space="0" w:color="auto"/>
            </w:tcBorders>
            <w:shd w:val="clear" w:color="auto" w:fill="auto"/>
            <w:noWrap/>
            <w:vAlign w:val="center"/>
            <w:hideMark/>
          </w:tcPr>
          <w:p w14:paraId="29D4569B"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20</w:t>
            </w:r>
          </w:p>
        </w:tc>
        <w:tc>
          <w:tcPr>
            <w:tcW w:w="1071" w:type="dxa"/>
            <w:tcBorders>
              <w:top w:val="nil"/>
              <w:left w:val="nil"/>
              <w:bottom w:val="single" w:sz="4" w:space="0" w:color="auto"/>
              <w:right w:val="single" w:sz="4" w:space="0" w:color="auto"/>
            </w:tcBorders>
            <w:shd w:val="clear" w:color="auto" w:fill="auto"/>
            <w:noWrap/>
            <w:vAlign w:val="center"/>
            <w:hideMark/>
          </w:tcPr>
          <w:p w14:paraId="520B312E"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48</w:t>
            </w:r>
          </w:p>
        </w:tc>
        <w:tc>
          <w:tcPr>
            <w:tcW w:w="1057" w:type="dxa"/>
            <w:tcBorders>
              <w:top w:val="nil"/>
              <w:left w:val="nil"/>
              <w:bottom w:val="single" w:sz="4" w:space="0" w:color="auto"/>
              <w:right w:val="single" w:sz="4" w:space="0" w:color="auto"/>
            </w:tcBorders>
            <w:shd w:val="clear" w:color="auto" w:fill="auto"/>
            <w:noWrap/>
            <w:vAlign w:val="center"/>
            <w:hideMark/>
          </w:tcPr>
          <w:p w14:paraId="126A8662"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268</w:t>
            </w:r>
          </w:p>
        </w:tc>
        <w:tc>
          <w:tcPr>
            <w:tcW w:w="907" w:type="dxa"/>
            <w:tcBorders>
              <w:top w:val="nil"/>
              <w:left w:val="nil"/>
              <w:bottom w:val="single" w:sz="4" w:space="0" w:color="auto"/>
              <w:right w:val="single" w:sz="4" w:space="0" w:color="auto"/>
            </w:tcBorders>
            <w:shd w:val="clear" w:color="auto" w:fill="auto"/>
            <w:noWrap/>
            <w:vAlign w:val="center"/>
            <w:hideMark/>
          </w:tcPr>
          <w:p w14:paraId="1BB21AD2"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259</w:t>
            </w:r>
          </w:p>
        </w:tc>
        <w:tc>
          <w:tcPr>
            <w:tcW w:w="1059" w:type="dxa"/>
            <w:tcBorders>
              <w:top w:val="nil"/>
              <w:left w:val="nil"/>
              <w:bottom w:val="single" w:sz="4" w:space="0" w:color="auto"/>
              <w:right w:val="single" w:sz="4" w:space="0" w:color="auto"/>
            </w:tcBorders>
            <w:shd w:val="clear" w:color="auto" w:fill="auto"/>
            <w:noWrap/>
            <w:vAlign w:val="center"/>
            <w:hideMark/>
          </w:tcPr>
          <w:p w14:paraId="1ABBAD21"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97%</w:t>
            </w:r>
          </w:p>
        </w:tc>
      </w:tr>
      <w:tr w:rsidR="008A5057" w:rsidRPr="00BD295E" w14:paraId="22AE6152"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2E3BEB5A"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Long-term financial investments</w:t>
            </w:r>
          </w:p>
        </w:tc>
        <w:tc>
          <w:tcPr>
            <w:tcW w:w="1071" w:type="dxa"/>
            <w:tcBorders>
              <w:top w:val="nil"/>
              <w:left w:val="nil"/>
              <w:bottom w:val="single" w:sz="4" w:space="0" w:color="auto"/>
              <w:right w:val="single" w:sz="4" w:space="0" w:color="auto"/>
            </w:tcBorders>
            <w:shd w:val="clear" w:color="auto" w:fill="auto"/>
            <w:noWrap/>
            <w:vAlign w:val="center"/>
            <w:hideMark/>
          </w:tcPr>
          <w:p w14:paraId="4BC0A9FF"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1071" w:type="dxa"/>
            <w:tcBorders>
              <w:top w:val="nil"/>
              <w:left w:val="nil"/>
              <w:bottom w:val="single" w:sz="4" w:space="0" w:color="auto"/>
              <w:right w:val="single" w:sz="4" w:space="0" w:color="auto"/>
            </w:tcBorders>
            <w:shd w:val="clear" w:color="auto" w:fill="auto"/>
            <w:noWrap/>
            <w:vAlign w:val="center"/>
            <w:hideMark/>
          </w:tcPr>
          <w:p w14:paraId="39466E5C"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1057" w:type="dxa"/>
            <w:tcBorders>
              <w:top w:val="nil"/>
              <w:left w:val="nil"/>
              <w:bottom w:val="single" w:sz="4" w:space="0" w:color="auto"/>
              <w:right w:val="single" w:sz="4" w:space="0" w:color="auto"/>
            </w:tcBorders>
            <w:shd w:val="clear" w:color="auto" w:fill="auto"/>
            <w:noWrap/>
            <w:vAlign w:val="center"/>
            <w:hideMark/>
          </w:tcPr>
          <w:p w14:paraId="5E048747"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907" w:type="dxa"/>
            <w:tcBorders>
              <w:top w:val="nil"/>
              <w:left w:val="nil"/>
              <w:bottom w:val="single" w:sz="4" w:space="0" w:color="auto"/>
              <w:right w:val="single" w:sz="4" w:space="0" w:color="auto"/>
            </w:tcBorders>
            <w:shd w:val="clear" w:color="auto" w:fill="auto"/>
            <w:noWrap/>
            <w:vAlign w:val="center"/>
            <w:hideMark/>
          </w:tcPr>
          <w:p w14:paraId="6EC6900C"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1059" w:type="dxa"/>
            <w:tcBorders>
              <w:top w:val="nil"/>
              <w:left w:val="nil"/>
              <w:bottom w:val="single" w:sz="4" w:space="0" w:color="auto"/>
              <w:right w:val="single" w:sz="4" w:space="0" w:color="auto"/>
            </w:tcBorders>
            <w:shd w:val="clear" w:color="auto" w:fill="auto"/>
            <w:noWrap/>
            <w:vAlign w:val="center"/>
            <w:hideMark/>
          </w:tcPr>
          <w:p w14:paraId="529113B8"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r>
      <w:tr w:rsidR="008A5057" w:rsidRPr="00BD295E" w14:paraId="39B50967"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16D85AB6"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Acquisition of fixed assets</w:t>
            </w:r>
          </w:p>
        </w:tc>
        <w:tc>
          <w:tcPr>
            <w:tcW w:w="1071" w:type="dxa"/>
            <w:tcBorders>
              <w:top w:val="nil"/>
              <w:left w:val="nil"/>
              <w:bottom w:val="single" w:sz="4" w:space="0" w:color="auto"/>
              <w:right w:val="single" w:sz="4" w:space="0" w:color="auto"/>
            </w:tcBorders>
            <w:shd w:val="clear" w:color="auto" w:fill="auto"/>
            <w:noWrap/>
            <w:vAlign w:val="center"/>
            <w:hideMark/>
          </w:tcPr>
          <w:p w14:paraId="051CBC61"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599</w:t>
            </w:r>
          </w:p>
        </w:tc>
        <w:tc>
          <w:tcPr>
            <w:tcW w:w="1071" w:type="dxa"/>
            <w:tcBorders>
              <w:top w:val="nil"/>
              <w:left w:val="nil"/>
              <w:bottom w:val="single" w:sz="4" w:space="0" w:color="auto"/>
              <w:right w:val="single" w:sz="4" w:space="0" w:color="auto"/>
            </w:tcBorders>
            <w:shd w:val="clear" w:color="auto" w:fill="auto"/>
            <w:noWrap/>
            <w:vAlign w:val="center"/>
            <w:hideMark/>
          </w:tcPr>
          <w:p w14:paraId="3A739AEC"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134</w:t>
            </w:r>
          </w:p>
        </w:tc>
        <w:tc>
          <w:tcPr>
            <w:tcW w:w="1057" w:type="dxa"/>
            <w:tcBorders>
              <w:top w:val="nil"/>
              <w:left w:val="nil"/>
              <w:bottom w:val="single" w:sz="4" w:space="0" w:color="auto"/>
              <w:right w:val="single" w:sz="4" w:space="0" w:color="auto"/>
            </w:tcBorders>
            <w:shd w:val="clear" w:color="auto" w:fill="auto"/>
            <w:noWrap/>
            <w:vAlign w:val="center"/>
            <w:hideMark/>
          </w:tcPr>
          <w:p w14:paraId="000B26BB"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c>
          <w:tcPr>
            <w:tcW w:w="907" w:type="dxa"/>
            <w:tcBorders>
              <w:top w:val="nil"/>
              <w:left w:val="nil"/>
              <w:bottom w:val="single" w:sz="4" w:space="0" w:color="auto"/>
              <w:right w:val="single" w:sz="4" w:space="0" w:color="auto"/>
            </w:tcBorders>
            <w:shd w:val="clear" w:color="auto" w:fill="auto"/>
            <w:noWrap/>
            <w:vAlign w:val="center"/>
            <w:hideMark/>
          </w:tcPr>
          <w:p w14:paraId="46D982FD"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153</w:t>
            </w:r>
          </w:p>
        </w:tc>
        <w:tc>
          <w:tcPr>
            <w:tcW w:w="1059" w:type="dxa"/>
            <w:tcBorders>
              <w:top w:val="nil"/>
              <w:left w:val="nil"/>
              <w:bottom w:val="single" w:sz="4" w:space="0" w:color="auto"/>
              <w:right w:val="single" w:sz="4" w:space="0" w:color="auto"/>
            </w:tcBorders>
            <w:shd w:val="clear" w:color="auto" w:fill="auto"/>
            <w:noWrap/>
            <w:vAlign w:val="center"/>
            <w:hideMark/>
          </w:tcPr>
          <w:p w14:paraId="21830073"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 xml:space="preserve">                 -     </w:t>
            </w:r>
          </w:p>
        </w:tc>
      </w:tr>
      <w:tr w:rsidR="008A5057" w:rsidRPr="00BD295E" w14:paraId="56BD49A3" w14:textId="77777777" w:rsidTr="009E6685">
        <w:trPr>
          <w:trHeight w:val="20"/>
        </w:trPr>
        <w:tc>
          <w:tcPr>
            <w:tcW w:w="4840" w:type="dxa"/>
            <w:tcBorders>
              <w:top w:val="nil"/>
              <w:left w:val="single" w:sz="4" w:space="0" w:color="auto"/>
              <w:bottom w:val="single" w:sz="4" w:space="0" w:color="auto"/>
              <w:right w:val="single" w:sz="4" w:space="0" w:color="auto"/>
            </w:tcBorders>
            <w:shd w:val="clear" w:color="auto" w:fill="auto"/>
            <w:vAlign w:val="center"/>
            <w:hideMark/>
          </w:tcPr>
          <w:p w14:paraId="71369526" w14:textId="77777777" w:rsidR="009E6685" w:rsidRPr="00BD295E" w:rsidRDefault="008A5057">
            <w:pPr>
              <w:rPr>
                <w:rFonts w:ascii="Arial" w:hAnsi="Arial" w:cs="Arial"/>
                <w:b/>
                <w:bCs/>
                <w:sz w:val="18"/>
                <w:szCs w:val="18"/>
                <w:lang w:val="en-US"/>
              </w:rPr>
            </w:pPr>
            <w:r w:rsidRPr="00BD295E">
              <w:rPr>
                <w:rFonts w:ascii="Arial" w:hAnsi="Arial" w:cs="Arial"/>
                <w:b/>
                <w:bCs/>
                <w:sz w:val="18"/>
                <w:szCs w:val="18"/>
                <w:lang w:val="en-US"/>
              </w:rPr>
              <w:t>R&amp;D</w:t>
            </w:r>
          </w:p>
        </w:tc>
        <w:tc>
          <w:tcPr>
            <w:tcW w:w="1071" w:type="dxa"/>
            <w:tcBorders>
              <w:top w:val="nil"/>
              <w:left w:val="nil"/>
              <w:bottom w:val="single" w:sz="4" w:space="0" w:color="auto"/>
              <w:right w:val="single" w:sz="4" w:space="0" w:color="auto"/>
            </w:tcBorders>
            <w:shd w:val="clear" w:color="auto" w:fill="auto"/>
            <w:noWrap/>
            <w:vAlign w:val="center"/>
            <w:hideMark/>
          </w:tcPr>
          <w:p w14:paraId="5604BFC0"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31</w:t>
            </w:r>
          </w:p>
        </w:tc>
        <w:tc>
          <w:tcPr>
            <w:tcW w:w="1071" w:type="dxa"/>
            <w:tcBorders>
              <w:top w:val="nil"/>
              <w:left w:val="nil"/>
              <w:bottom w:val="single" w:sz="4" w:space="0" w:color="auto"/>
              <w:right w:val="single" w:sz="4" w:space="0" w:color="auto"/>
            </w:tcBorders>
            <w:shd w:val="clear" w:color="auto" w:fill="auto"/>
            <w:noWrap/>
            <w:vAlign w:val="center"/>
            <w:hideMark/>
          </w:tcPr>
          <w:p w14:paraId="0F3D06CA"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25</w:t>
            </w:r>
          </w:p>
        </w:tc>
        <w:tc>
          <w:tcPr>
            <w:tcW w:w="1057" w:type="dxa"/>
            <w:tcBorders>
              <w:top w:val="nil"/>
              <w:left w:val="nil"/>
              <w:bottom w:val="single" w:sz="4" w:space="0" w:color="auto"/>
              <w:right w:val="single" w:sz="4" w:space="0" w:color="auto"/>
            </w:tcBorders>
            <w:shd w:val="clear" w:color="auto" w:fill="auto"/>
            <w:noWrap/>
            <w:vAlign w:val="center"/>
            <w:hideMark/>
          </w:tcPr>
          <w:p w14:paraId="333A2549"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28</w:t>
            </w:r>
          </w:p>
        </w:tc>
        <w:tc>
          <w:tcPr>
            <w:tcW w:w="907" w:type="dxa"/>
            <w:tcBorders>
              <w:top w:val="nil"/>
              <w:left w:val="nil"/>
              <w:bottom w:val="single" w:sz="4" w:space="0" w:color="auto"/>
              <w:right w:val="single" w:sz="4" w:space="0" w:color="auto"/>
            </w:tcBorders>
            <w:shd w:val="clear" w:color="auto" w:fill="auto"/>
            <w:noWrap/>
            <w:vAlign w:val="center"/>
            <w:hideMark/>
          </w:tcPr>
          <w:p w14:paraId="58B53A4F" w14:textId="77777777" w:rsidR="009E6685" w:rsidRPr="00BD295E" w:rsidRDefault="008A5057">
            <w:pPr>
              <w:jc w:val="right"/>
              <w:rPr>
                <w:rFonts w:ascii="Arial" w:hAnsi="Arial" w:cs="Arial"/>
                <w:b/>
                <w:bCs/>
                <w:sz w:val="18"/>
                <w:szCs w:val="18"/>
                <w:lang w:val="en-US"/>
              </w:rPr>
            </w:pPr>
            <w:r w:rsidRPr="00BD295E">
              <w:rPr>
                <w:rFonts w:ascii="Arial" w:hAnsi="Arial" w:cs="Arial"/>
                <w:b/>
                <w:bCs/>
                <w:sz w:val="18"/>
                <w:szCs w:val="18"/>
                <w:lang w:val="en-US"/>
              </w:rPr>
              <w:t>32</w:t>
            </w:r>
          </w:p>
        </w:tc>
        <w:tc>
          <w:tcPr>
            <w:tcW w:w="1059" w:type="dxa"/>
            <w:tcBorders>
              <w:top w:val="nil"/>
              <w:left w:val="nil"/>
              <w:bottom w:val="single" w:sz="4" w:space="0" w:color="auto"/>
              <w:right w:val="single" w:sz="4" w:space="0" w:color="auto"/>
            </w:tcBorders>
            <w:shd w:val="clear" w:color="auto" w:fill="auto"/>
            <w:noWrap/>
            <w:vAlign w:val="center"/>
            <w:hideMark/>
          </w:tcPr>
          <w:p w14:paraId="3B8ACBE8" w14:textId="77777777" w:rsidR="009E6685" w:rsidRPr="00BD295E" w:rsidRDefault="008A5057">
            <w:pPr>
              <w:jc w:val="center"/>
              <w:rPr>
                <w:rFonts w:ascii="Arial" w:hAnsi="Arial" w:cs="Arial"/>
                <w:b/>
                <w:bCs/>
                <w:sz w:val="18"/>
                <w:szCs w:val="18"/>
                <w:lang w:val="en-US"/>
              </w:rPr>
            </w:pPr>
            <w:r w:rsidRPr="00BD295E">
              <w:rPr>
                <w:rFonts w:ascii="Arial" w:hAnsi="Arial" w:cs="Arial"/>
                <w:b/>
                <w:bCs/>
                <w:sz w:val="18"/>
                <w:szCs w:val="18"/>
                <w:lang w:val="en-US"/>
              </w:rPr>
              <w:t>112%</w:t>
            </w:r>
          </w:p>
        </w:tc>
      </w:tr>
    </w:tbl>
    <w:p w14:paraId="36BEE18F" w14:textId="77777777" w:rsidR="009E6685" w:rsidRPr="00BD295E" w:rsidRDefault="009E6685" w:rsidP="004D2697">
      <w:pPr>
        <w:spacing w:after="160" w:line="259" w:lineRule="auto"/>
        <w:rPr>
          <w:rFonts w:ascii="Arial" w:hAnsi="Arial" w:cs="Arial"/>
          <w:sz w:val="18"/>
          <w:szCs w:val="18"/>
          <w:lang w:val="en-US"/>
        </w:rPr>
        <w:sectPr w:rsidR="009E6685" w:rsidRPr="00BD295E" w:rsidSect="0099692B">
          <w:footerReference w:type="even" r:id="rId162"/>
          <w:footerReference w:type="default" r:id="rId163"/>
          <w:pgSz w:w="11906" w:h="16838"/>
          <w:pgMar w:top="567" w:right="1133" w:bottom="1134" w:left="1701" w:header="709" w:footer="709" w:gutter="0"/>
          <w:cols w:space="708"/>
          <w:docGrid w:linePitch="360"/>
        </w:sectPr>
      </w:pPr>
    </w:p>
    <w:p w14:paraId="53E001A4" w14:textId="77777777" w:rsidR="004D2697" w:rsidRPr="00BD295E" w:rsidRDefault="008A5057" w:rsidP="00801007">
      <w:pPr>
        <w:pStyle w:val="2"/>
        <w:numPr>
          <w:ilvl w:val="1"/>
          <w:numId w:val="53"/>
        </w:numPr>
        <w:rPr>
          <w:rFonts w:ascii="Arial" w:hAnsi="Arial" w:cs="Arial"/>
          <w:sz w:val="18"/>
          <w:szCs w:val="18"/>
          <w:lang w:val="en-US"/>
        </w:rPr>
      </w:pPr>
      <w:bookmarkStart w:id="654" w:name="_Toc509493671"/>
      <w:bookmarkStart w:id="655" w:name="_Toc509581240"/>
      <w:bookmarkStart w:id="656" w:name="_Toc509934212"/>
      <w:bookmarkStart w:id="657" w:name="_Toc510452205"/>
      <w:bookmarkStart w:id="658" w:name="_Toc510453071"/>
      <w:bookmarkStart w:id="659" w:name="_Toc510624087"/>
      <w:bookmarkStart w:id="660" w:name="_Toc511055135"/>
      <w:bookmarkStart w:id="661" w:name="_Toc511747491"/>
      <w:bookmarkStart w:id="662" w:name="_Toc5101343"/>
      <w:bookmarkStart w:id="663" w:name="_Toc5101722"/>
      <w:bookmarkStart w:id="664" w:name="_Toc5874618"/>
      <w:bookmarkStart w:id="665" w:name="_Toc95855316"/>
      <w:bookmarkStart w:id="666" w:name="_Toc95935375"/>
      <w:r w:rsidRPr="00BD295E">
        <w:rPr>
          <w:rFonts w:ascii="Arial" w:hAnsi="Arial" w:cs="Arial"/>
          <w:sz w:val="18"/>
          <w:szCs w:val="18"/>
          <w:lang w:val="en-US"/>
        </w:rPr>
        <w:t>Organizational structure of the Company</w:t>
      </w:r>
      <w:bookmarkEnd w:id="654"/>
      <w:bookmarkEnd w:id="655"/>
      <w:bookmarkEnd w:id="656"/>
      <w:bookmarkEnd w:id="657"/>
      <w:bookmarkEnd w:id="658"/>
      <w:bookmarkEnd w:id="659"/>
      <w:bookmarkEnd w:id="660"/>
      <w:bookmarkEnd w:id="661"/>
      <w:bookmarkEnd w:id="662"/>
      <w:bookmarkEnd w:id="663"/>
      <w:bookmarkEnd w:id="664"/>
      <w:bookmarkEnd w:id="665"/>
      <w:bookmarkEnd w:id="666"/>
    </w:p>
    <w:p w14:paraId="304FE9ED" w14:textId="1A338C59" w:rsidR="00B20A51" w:rsidRPr="00BD295E" w:rsidRDefault="00F81B0F" w:rsidP="00F81B0F">
      <w:pPr>
        <w:keepNext/>
        <w:jc w:val="center"/>
        <w:rPr>
          <w:b/>
          <w:bCs/>
          <w:sz w:val="20"/>
          <w:szCs w:val="20"/>
          <w:lang w:val="en-US"/>
        </w:rPr>
      </w:pPr>
      <w:r w:rsidRPr="00BD295E">
        <w:rPr>
          <w:b/>
          <w:bCs/>
          <w:sz w:val="20"/>
          <w:szCs w:val="20"/>
          <w:lang w:val="en-US"/>
        </w:rPr>
        <w:t>Organizational structure of the executive office of PJSC "Lenenergo"</w:t>
      </w:r>
    </w:p>
    <w:p w14:paraId="04CDEDBC" w14:textId="50579373" w:rsidR="004D2697" w:rsidRPr="00BD295E" w:rsidRDefault="00406D1D" w:rsidP="004D2697">
      <w:pPr>
        <w:spacing w:after="160" w:line="259" w:lineRule="auto"/>
        <w:rPr>
          <w:rFonts w:ascii="Arial" w:hAnsi="Arial" w:cs="Arial"/>
          <w:sz w:val="18"/>
          <w:szCs w:val="18"/>
          <w:lang w:val="en-US"/>
        </w:rPr>
      </w:pPr>
      <w:bookmarkStart w:id="667" w:name="_Hlk95940431"/>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108288" behindDoc="0" locked="0" layoutInCell="1" allowOverlap="1" wp14:anchorId="4AC07F3D" wp14:editId="65E8DEC2">
                <wp:simplePos x="0" y="0"/>
                <wp:positionH relativeFrom="column">
                  <wp:posOffset>8410480</wp:posOffset>
                </wp:positionH>
                <wp:positionV relativeFrom="paragraph">
                  <wp:posOffset>4843474</wp:posOffset>
                </wp:positionV>
                <wp:extent cx="765459" cy="345506"/>
                <wp:effectExtent l="0" t="0" r="0" b="0"/>
                <wp:wrapNone/>
                <wp:docPr id="6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459" cy="345506"/>
                        </a:xfrm>
                        <a:prstGeom prst="rect">
                          <a:avLst/>
                        </a:prstGeom>
                        <a:solidFill>
                          <a:schemeClr val="bg1"/>
                        </a:solidFill>
                        <a:ln w="9525">
                          <a:noFill/>
                          <a:miter lim="800000"/>
                          <a:headEnd/>
                          <a:tailEnd/>
                        </a:ln>
                      </wps:spPr>
                      <wps:txbx>
                        <w:txbxContent>
                          <w:p w14:paraId="3BCE9D3C" w14:textId="3F2FB5B2"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Directorate of Facilities under Construction</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C07F3D" id="_x0000_s1217" type="#_x0000_t202" style="position:absolute;margin-left:662.25pt;margin-top:381.4pt;width:60.25pt;height:27.2pt;z-index:25210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" fillcolor="white [3212]" stroked="f">
                <v:textbox inset="0,0,0,0">
                  <w:txbxContent>
                    <w:p w14:paraId="3BCE9D3C" w14:textId="3F2FB5B2"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Directorate of Facilities under Construction</w:t>
                      </w:r>
                      <w:r>
                        <w:rPr>
                          <w:sz w:val="10"/>
                          <w:szCs w:val="18"/>
                          <w:lang w:val="ru-RU"/>
                        </w:rPr>
                        <w:t>»</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106240" behindDoc="0" locked="0" layoutInCell="1" allowOverlap="1" wp14:anchorId="31CD9011" wp14:editId="414460A3">
                <wp:simplePos x="0" y="0"/>
                <wp:positionH relativeFrom="column">
                  <wp:posOffset>7608397</wp:posOffset>
                </wp:positionH>
                <wp:positionV relativeFrom="paragraph">
                  <wp:posOffset>4844695</wp:posOffset>
                </wp:positionV>
                <wp:extent cx="686105" cy="345506"/>
                <wp:effectExtent l="0" t="0" r="0" b="0"/>
                <wp:wrapNone/>
                <wp:docPr id="6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105" cy="345506"/>
                        </a:xfrm>
                        <a:prstGeom prst="rect">
                          <a:avLst/>
                        </a:prstGeom>
                        <a:solidFill>
                          <a:schemeClr val="bg1"/>
                        </a:solidFill>
                        <a:ln w="9525">
                          <a:noFill/>
                          <a:miter lim="800000"/>
                          <a:headEnd/>
                          <a:tailEnd/>
                        </a:ln>
                      </wps:spPr>
                      <wps:txbx>
                        <w:txbxContent>
                          <w:p w14:paraId="2B227B09" w14:textId="0693EDB5"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Tikhvinskiye Power Grid</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CD9011" id="_x0000_s1218" type="#_x0000_t202" style="position:absolute;margin-left:599.1pt;margin-top:381.45pt;width:54pt;height:27.2pt;z-index:25210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" fillcolor="white [3212]" stroked="f">
                <v:textbox inset="0,0,0,0">
                  <w:txbxContent>
                    <w:p w14:paraId="2B227B09" w14:textId="0693EDB5"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Tikhvinskiye Power Grid</w:t>
                      </w:r>
                      <w:r>
                        <w:rPr>
                          <w:sz w:val="10"/>
                          <w:szCs w:val="18"/>
                          <w:lang w:val="ru-RU"/>
                        </w:rPr>
                        <w:t>»</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104192" behindDoc="0" locked="0" layoutInCell="1" allowOverlap="1" wp14:anchorId="0A9A595B" wp14:editId="4A65EE9E">
                <wp:simplePos x="0" y="0"/>
                <wp:positionH relativeFrom="column">
                  <wp:posOffset>6730622</wp:posOffset>
                </wp:positionH>
                <wp:positionV relativeFrom="paragraph">
                  <wp:posOffset>4843474</wp:posOffset>
                </wp:positionV>
                <wp:extent cx="764238" cy="345506"/>
                <wp:effectExtent l="0" t="0" r="0" b="0"/>
                <wp:wrapNone/>
                <wp:docPr id="6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38" cy="345506"/>
                        </a:xfrm>
                        <a:prstGeom prst="rect">
                          <a:avLst/>
                        </a:prstGeom>
                        <a:solidFill>
                          <a:schemeClr val="bg1"/>
                        </a:solidFill>
                        <a:ln w="9525">
                          <a:noFill/>
                          <a:miter lim="800000"/>
                          <a:headEnd/>
                          <a:tailEnd/>
                        </a:ln>
                      </wps:spPr>
                      <wps:txbx>
                        <w:txbxContent>
                          <w:p w14:paraId="3717A3B7" w14:textId="2D860EB2"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Energoouchet</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9A595B" id="_x0000_s1219" type="#_x0000_t202" style="position:absolute;margin-left:529.95pt;margin-top:381.4pt;width:60.2pt;height:27.2pt;z-index:25210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" fillcolor="white [3212]" stroked="f">
                <v:textbox inset="0,0,0,0">
                  <w:txbxContent>
                    <w:p w14:paraId="3717A3B7" w14:textId="2D860EB2"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Energoouchet</w:t>
                      </w:r>
                      <w:r>
                        <w:rPr>
                          <w:sz w:val="10"/>
                          <w:szCs w:val="18"/>
                          <w:lang w:val="ru-RU"/>
                        </w:rPr>
                        <w:t>»</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102144" behindDoc="0" locked="0" layoutInCell="1" allowOverlap="1" wp14:anchorId="439851E3" wp14:editId="6B6A3CB4">
                <wp:simplePos x="0" y="0"/>
                <wp:positionH relativeFrom="column">
                  <wp:posOffset>5927317</wp:posOffset>
                </wp:positionH>
                <wp:positionV relativeFrom="paragraph">
                  <wp:posOffset>4852020</wp:posOffset>
                </wp:positionV>
                <wp:extent cx="689768" cy="345506"/>
                <wp:effectExtent l="0" t="0" r="0" b="0"/>
                <wp:wrapNone/>
                <wp:docPr id="6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768" cy="345506"/>
                        </a:xfrm>
                        <a:prstGeom prst="rect">
                          <a:avLst/>
                        </a:prstGeom>
                        <a:solidFill>
                          <a:schemeClr val="bg1"/>
                        </a:solidFill>
                        <a:ln w="9525">
                          <a:noFill/>
                          <a:miter lim="800000"/>
                          <a:headEnd/>
                          <a:tailEnd/>
                        </a:ln>
                      </wps:spPr>
                      <wps:txbx>
                        <w:txbxContent>
                          <w:p w14:paraId="22E17B16" w14:textId="676C2D95"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Saint Petersburg High Voltage Power Grid</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9851E3" id="_x0000_s1220" type="#_x0000_t202" style="position:absolute;margin-left:466.7pt;margin-top:382.05pt;width:54.3pt;height:27.2pt;z-index:25210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" fillcolor="white [3212]" stroked="f">
                <v:textbox inset="0,0,0,0">
                  <w:txbxContent>
                    <w:p w14:paraId="22E17B16" w14:textId="676C2D95"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Saint Petersburg High Voltage Power Grid</w:t>
                      </w:r>
                      <w:r>
                        <w:rPr>
                          <w:sz w:val="10"/>
                          <w:szCs w:val="18"/>
                          <w:lang w:val="ru-RU"/>
                        </w:rPr>
                        <w:t>»</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100096" behindDoc="0" locked="0" layoutInCell="1" allowOverlap="1" wp14:anchorId="0173FE6B" wp14:editId="071E3EE8">
                <wp:simplePos x="0" y="0"/>
                <wp:positionH relativeFrom="column">
                  <wp:posOffset>4965305</wp:posOffset>
                </wp:positionH>
                <wp:positionV relativeFrom="paragraph">
                  <wp:posOffset>4853241</wp:posOffset>
                </wp:positionV>
                <wp:extent cx="839929" cy="345506"/>
                <wp:effectExtent l="0" t="0" r="0" b="0"/>
                <wp:wrapNone/>
                <wp:docPr id="6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929" cy="345506"/>
                        </a:xfrm>
                        <a:prstGeom prst="rect">
                          <a:avLst/>
                        </a:prstGeom>
                        <a:solidFill>
                          <a:schemeClr val="bg1"/>
                        </a:solidFill>
                        <a:ln w="9525">
                          <a:noFill/>
                          <a:miter lim="800000"/>
                          <a:headEnd/>
                          <a:tailEnd/>
                        </a:ln>
                      </wps:spPr>
                      <wps:txbx>
                        <w:txbxContent>
                          <w:p w14:paraId="76172CB0" w14:textId="4405BBF9"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Prigorodniye Power Grid</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73FE6B" id="_x0000_s1221" type="#_x0000_t202" style="position:absolute;margin-left:390.95pt;margin-top:382.15pt;width:66.15pt;height:27.2pt;z-index:25210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" fillcolor="white [3212]" stroked="f">
                <v:textbox inset="0,0,0,0">
                  <w:txbxContent>
                    <w:p w14:paraId="76172CB0" w14:textId="4405BBF9"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Prigorodniye Power Grid</w:t>
                      </w:r>
                      <w:r>
                        <w:rPr>
                          <w:sz w:val="10"/>
                          <w:szCs w:val="18"/>
                          <w:lang w:val="ru-RU"/>
                        </w:rPr>
                        <w:t>»</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98048" behindDoc="0" locked="0" layoutInCell="1" allowOverlap="1" wp14:anchorId="3D77C08D" wp14:editId="219345E4">
                <wp:simplePos x="0" y="0"/>
                <wp:positionH relativeFrom="column">
                  <wp:posOffset>3972772</wp:posOffset>
                </wp:positionH>
                <wp:positionV relativeFrom="paragraph">
                  <wp:posOffset>4842253</wp:posOffset>
                </wp:positionV>
                <wp:extent cx="799642" cy="345506"/>
                <wp:effectExtent l="0" t="0" r="635" b="0"/>
                <wp:wrapNone/>
                <wp:docPr id="6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642" cy="345506"/>
                        </a:xfrm>
                        <a:prstGeom prst="rect">
                          <a:avLst/>
                        </a:prstGeom>
                        <a:solidFill>
                          <a:schemeClr val="bg1"/>
                        </a:solidFill>
                        <a:ln w="9525">
                          <a:noFill/>
                          <a:miter lim="800000"/>
                          <a:headEnd/>
                          <a:tailEnd/>
                        </a:ln>
                      </wps:spPr>
                      <wps:txbx>
                        <w:txbxContent>
                          <w:p w14:paraId="110FEF35" w14:textId="167AE826"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Novoladozhskiye Power Grid</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77C08D" id="_x0000_s1222" type="#_x0000_t202" style="position:absolute;margin-left:312.8pt;margin-top:381.3pt;width:62.95pt;height:27.2pt;z-index:25209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" fillcolor="white [3212]" stroked="f">
                <v:textbox inset="0,0,0,0">
                  <w:txbxContent>
                    <w:p w14:paraId="110FEF35" w14:textId="167AE826"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Novoladozhskiye Power Grid</w:t>
                      </w:r>
                      <w:r>
                        <w:rPr>
                          <w:sz w:val="10"/>
                          <w:szCs w:val="18"/>
                          <w:lang w:val="ru-RU"/>
                        </w:rPr>
                        <w:t>»</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96000" behindDoc="0" locked="0" layoutInCell="1" allowOverlap="1" wp14:anchorId="7A821F07" wp14:editId="45D9A669">
                <wp:simplePos x="0" y="0"/>
                <wp:positionH relativeFrom="column">
                  <wp:posOffset>3055930</wp:posOffset>
                </wp:positionH>
                <wp:positionV relativeFrom="paragraph">
                  <wp:posOffset>4842253</wp:posOffset>
                </wp:positionV>
                <wp:extent cx="750809" cy="345506"/>
                <wp:effectExtent l="0" t="0" r="0" b="0"/>
                <wp:wrapNone/>
                <wp:docPr id="6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809" cy="345506"/>
                        </a:xfrm>
                        <a:prstGeom prst="rect">
                          <a:avLst/>
                        </a:prstGeom>
                        <a:solidFill>
                          <a:schemeClr val="bg1"/>
                        </a:solidFill>
                        <a:ln w="9525">
                          <a:noFill/>
                          <a:miter lim="800000"/>
                          <a:headEnd/>
                          <a:tailEnd/>
                        </a:ln>
                      </wps:spPr>
                      <wps:txbx>
                        <w:txbxContent>
                          <w:p w14:paraId="0C4F5994" w14:textId="34F621D9"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Kingiseppskiye Power Grid</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A821F07" id="_x0000_s1223" type="#_x0000_t202" style="position:absolute;margin-left:240.6pt;margin-top:381.3pt;width:59.1pt;height:27.2pt;z-index:25209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" fillcolor="white [3212]" stroked="f">
                <v:textbox inset="0,0,0,0">
                  <w:txbxContent>
                    <w:p w14:paraId="0C4F5994" w14:textId="34F621D9"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Kingiseppskiye Power Grid</w:t>
                      </w:r>
                      <w:r>
                        <w:rPr>
                          <w:sz w:val="10"/>
                          <w:szCs w:val="18"/>
                          <w:lang w:val="ru-RU"/>
                        </w:rPr>
                        <w:t>»</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93952" behindDoc="0" locked="0" layoutInCell="1" allowOverlap="1" wp14:anchorId="77F5F4DD" wp14:editId="4FE33809">
                <wp:simplePos x="0" y="0"/>
                <wp:positionH relativeFrom="column">
                  <wp:posOffset>2143809</wp:posOffset>
                </wp:positionH>
                <wp:positionV relativeFrom="paragraph">
                  <wp:posOffset>4841875</wp:posOffset>
                </wp:positionV>
                <wp:extent cx="797200" cy="345506"/>
                <wp:effectExtent l="0" t="0" r="3175" b="0"/>
                <wp:wrapNone/>
                <wp:docPr id="6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7200" cy="345506"/>
                        </a:xfrm>
                        <a:prstGeom prst="rect">
                          <a:avLst/>
                        </a:prstGeom>
                        <a:solidFill>
                          <a:schemeClr val="bg1"/>
                        </a:solidFill>
                        <a:ln w="9525">
                          <a:noFill/>
                          <a:miter lim="800000"/>
                          <a:headEnd/>
                          <a:tailEnd/>
                        </a:ln>
                      </wps:spPr>
                      <wps:txbx>
                        <w:txbxContent>
                          <w:p w14:paraId="5BC22DDF" w14:textId="3B987116"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Cable Grid</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F5F4DD" id="_x0000_s1224" type="#_x0000_t202" style="position:absolute;margin-left:168.8pt;margin-top:381.25pt;width:62.75pt;height:27.2pt;z-index:25209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" fillcolor="white [3212]" stroked="f">
                <v:textbox inset="0,0,0,0">
                  <w:txbxContent>
                    <w:p w14:paraId="5BC22DDF" w14:textId="3B987116"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Cable Grid</w:t>
                      </w:r>
                      <w:r>
                        <w:rPr>
                          <w:sz w:val="10"/>
                          <w:szCs w:val="18"/>
                          <w:lang w:val="ru-RU"/>
                        </w:rPr>
                        <w:t>»</w:t>
                      </w:r>
                    </w:p>
                  </w:txbxContent>
                </v:textbox>
              </v:shape>
            </w:pict>
          </mc:Fallback>
        </mc:AlternateContent>
      </w:r>
      <w:r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91904" behindDoc="0" locked="0" layoutInCell="1" allowOverlap="1" wp14:anchorId="17C34C75" wp14:editId="22130B38">
                <wp:simplePos x="0" y="0"/>
                <wp:positionH relativeFrom="column">
                  <wp:posOffset>1205230</wp:posOffset>
                </wp:positionH>
                <wp:positionV relativeFrom="paragraph">
                  <wp:posOffset>4846271</wp:posOffset>
                </wp:positionV>
                <wp:extent cx="766680" cy="345506"/>
                <wp:effectExtent l="0" t="0" r="0" b="0"/>
                <wp:wrapNone/>
                <wp:docPr id="6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0" cy="345506"/>
                        </a:xfrm>
                        <a:prstGeom prst="rect">
                          <a:avLst/>
                        </a:prstGeom>
                        <a:solidFill>
                          <a:schemeClr val="bg1"/>
                        </a:solidFill>
                        <a:ln w="9525">
                          <a:noFill/>
                          <a:miter lim="800000"/>
                          <a:headEnd/>
                          <a:tailEnd/>
                        </a:ln>
                      </wps:spPr>
                      <wps:txbx>
                        <w:txbxContent>
                          <w:p w14:paraId="6382A426" w14:textId="02E5910E"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Gatchinskiye Power Grid</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C34C75" id="_x0000_s1225" type="#_x0000_t202" style="position:absolute;margin-left:94.9pt;margin-top:381.6pt;width:60.35pt;height:27.2pt;z-index:25209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" fillcolor="white [3212]" stroked="f">
                <v:textbox inset="0,0,0,0">
                  <w:txbxContent>
                    <w:p w14:paraId="6382A426" w14:textId="02E5910E" w:rsidR="002C3947" w:rsidRPr="00406D1D" w:rsidRDefault="002C3947" w:rsidP="00406D1D">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Gatchinskiye Power Grid</w:t>
                      </w:r>
                      <w:r>
                        <w:rPr>
                          <w:sz w:val="10"/>
                          <w:szCs w:val="18"/>
                          <w:lang w:val="ru-RU"/>
                        </w:rPr>
                        <w:t>»</w:t>
                      </w:r>
                    </w:p>
                  </w:txbxContent>
                </v:textbox>
              </v:shape>
            </w:pict>
          </mc:Fallback>
        </mc:AlternateContent>
      </w:r>
      <w:r w:rsidR="007974D9"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89856" behindDoc="0" locked="0" layoutInCell="1" allowOverlap="1" wp14:anchorId="7353BFAE" wp14:editId="4A9110DA">
                <wp:simplePos x="0" y="0"/>
                <wp:positionH relativeFrom="column">
                  <wp:posOffset>243143</wp:posOffset>
                </wp:positionH>
                <wp:positionV relativeFrom="paragraph">
                  <wp:posOffset>4842253</wp:posOffset>
                </wp:positionV>
                <wp:extent cx="766680" cy="345506"/>
                <wp:effectExtent l="0" t="0" r="0" b="0"/>
                <wp:wrapNone/>
                <wp:docPr id="6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80" cy="345506"/>
                        </a:xfrm>
                        <a:prstGeom prst="rect">
                          <a:avLst/>
                        </a:prstGeom>
                        <a:solidFill>
                          <a:schemeClr val="bg1"/>
                        </a:solidFill>
                        <a:ln w="9525">
                          <a:noFill/>
                          <a:miter lim="800000"/>
                          <a:headEnd/>
                          <a:tailEnd/>
                        </a:ln>
                      </wps:spPr>
                      <wps:txbx>
                        <w:txbxContent>
                          <w:p w14:paraId="2D9E8020" w14:textId="7F9E1B27" w:rsidR="002C3947" w:rsidRPr="00406D1D" w:rsidRDefault="002C3947" w:rsidP="007974D9">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Vyborgskiye Power Grid</w:t>
                            </w:r>
                            <w:r>
                              <w:rPr>
                                <w:sz w:val="10"/>
                                <w:szCs w:val="18"/>
                                <w:lang w:val="ru-RU"/>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53BFAE" id="_x0000_s1226" type="#_x0000_t202" style="position:absolute;margin-left:19.15pt;margin-top:381.3pt;width:60.35pt;height:27.2pt;z-index:25208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" fillcolor="white [3212]" stroked="f">
                <v:textbox inset="0,0,0,0">
                  <w:txbxContent>
                    <w:p w14:paraId="2D9E8020" w14:textId="7F9E1B27" w:rsidR="002C3947" w:rsidRPr="00406D1D" w:rsidRDefault="002C3947" w:rsidP="007974D9">
                      <w:pPr>
                        <w:jc w:val="center"/>
                        <w:rPr>
                          <w:sz w:val="10"/>
                          <w:szCs w:val="18"/>
                          <w:lang w:val="en-US"/>
                        </w:rPr>
                      </w:pPr>
                      <w:r w:rsidRPr="00406D1D">
                        <w:rPr>
                          <w:sz w:val="10"/>
                          <w:szCs w:val="18"/>
                        </w:rPr>
                        <w:t xml:space="preserve">Director of the branch </w:t>
                      </w:r>
                      <w:r>
                        <w:rPr>
                          <w:sz w:val="10"/>
                          <w:szCs w:val="18"/>
                          <w:lang w:val="ru-RU"/>
                        </w:rPr>
                        <w:t>«</w:t>
                      </w:r>
                      <w:r w:rsidRPr="00406D1D">
                        <w:rPr>
                          <w:sz w:val="10"/>
                          <w:szCs w:val="18"/>
                        </w:rPr>
                        <w:t>Vyborgskiye Power Grid</w:t>
                      </w:r>
                      <w:r>
                        <w:rPr>
                          <w:sz w:val="10"/>
                          <w:szCs w:val="18"/>
                          <w:lang w:val="ru-RU"/>
                        </w:rPr>
                        <w:t>»</w:t>
                      </w:r>
                    </w:p>
                  </w:txbxContent>
                </v:textbox>
              </v:shape>
            </w:pict>
          </mc:Fallback>
        </mc:AlternateContent>
      </w:r>
      <w:r w:rsidR="007974D9"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87808" behindDoc="0" locked="0" layoutInCell="1" allowOverlap="1" wp14:anchorId="6AE8DFDC" wp14:editId="2EDF1298">
                <wp:simplePos x="0" y="0"/>
                <wp:positionH relativeFrom="column">
                  <wp:posOffset>8404377</wp:posOffset>
                </wp:positionH>
                <wp:positionV relativeFrom="paragraph">
                  <wp:posOffset>3581138</wp:posOffset>
                </wp:positionV>
                <wp:extent cx="777317" cy="209982"/>
                <wp:effectExtent l="0" t="0" r="3810" b="0"/>
                <wp:wrapNone/>
                <wp:docPr id="6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317" cy="209982"/>
                        </a:xfrm>
                        <a:prstGeom prst="rect">
                          <a:avLst/>
                        </a:prstGeom>
                        <a:solidFill>
                          <a:schemeClr val="bg1"/>
                        </a:solidFill>
                        <a:ln w="9525">
                          <a:noFill/>
                          <a:miter lim="800000"/>
                          <a:headEnd/>
                          <a:tailEnd/>
                        </a:ln>
                      </wps:spPr>
                      <wps:txbx>
                        <w:txbxContent>
                          <w:p w14:paraId="37840793" w14:textId="12984E5D" w:rsidR="002C3947" w:rsidRPr="00F81B0F" w:rsidRDefault="002C3947" w:rsidP="007974D9">
                            <w:pPr>
                              <w:jc w:val="center"/>
                              <w:rPr>
                                <w:sz w:val="10"/>
                                <w:szCs w:val="18"/>
                              </w:rPr>
                            </w:pPr>
                            <w:r w:rsidRPr="007974D9">
                              <w:rPr>
                                <w:sz w:val="10"/>
                                <w:szCs w:val="18"/>
                              </w:rPr>
                              <w:t>Department of Logistics and MTO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AE8DFDC" id="_x0000_s1227" type="#_x0000_t202" style="position:absolute;margin-left:661.75pt;margin-top:282pt;width:61.2pt;height:16.55pt;z-index:25208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" fillcolor="white [3212]" stroked="f">
                <v:textbox inset="0,0,0,0">
                  <w:txbxContent>
                    <w:p w14:paraId="37840793" w14:textId="12984E5D" w:rsidR="002C3947" w:rsidRPr="00F81B0F" w:rsidRDefault="002C3947" w:rsidP="007974D9">
                      <w:pPr>
                        <w:jc w:val="center"/>
                        <w:rPr>
                          <w:sz w:val="10"/>
                          <w:szCs w:val="18"/>
                        </w:rPr>
                      </w:pPr>
                      <w:r w:rsidRPr="007974D9">
                        <w:rPr>
                          <w:sz w:val="10"/>
                          <w:szCs w:val="18"/>
                        </w:rPr>
                        <w:t>Department of Logistics and MTO</w:t>
                      </w:r>
                    </w:p>
                  </w:txbxContent>
                </v:textbox>
              </v:shape>
            </w:pict>
          </mc:Fallback>
        </mc:AlternateContent>
      </w:r>
      <w:r w:rsidR="007974D9"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85760" behindDoc="0" locked="0" layoutInCell="1" allowOverlap="1" wp14:anchorId="4590E210" wp14:editId="7CC84B1C">
                <wp:simplePos x="0" y="0"/>
                <wp:positionH relativeFrom="column">
                  <wp:posOffset>8403639</wp:posOffset>
                </wp:positionH>
                <wp:positionV relativeFrom="paragraph">
                  <wp:posOffset>3282315</wp:posOffset>
                </wp:positionV>
                <wp:extent cx="777317" cy="214866"/>
                <wp:effectExtent l="0" t="0" r="3810" b="0"/>
                <wp:wrapNone/>
                <wp:docPr id="6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317" cy="214866"/>
                        </a:xfrm>
                        <a:prstGeom prst="rect">
                          <a:avLst/>
                        </a:prstGeom>
                        <a:solidFill>
                          <a:schemeClr val="bg1"/>
                        </a:solidFill>
                        <a:ln w="9525">
                          <a:noFill/>
                          <a:miter lim="800000"/>
                          <a:headEnd/>
                          <a:tailEnd/>
                        </a:ln>
                      </wps:spPr>
                      <wps:txbx>
                        <w:txbxContent>
                          <w:p w14:paraId="684CC9F5" w14:textId="389621CE" w:rsidR="002C3947" w:rsidRPr="00F81B0F" w:rsidRDefault="002C3947" w:rsidP="007974D9">
                            <w:pPr>
                              <w:jc w:val="center"/>
                              <w:rPr>
                                <w:sz w:val="10"/>
                                <w:szCs w:val="18"/>
                              </w:rPr>
                            </w:pPr>
                            <w:r w:rsidRPr="007974D9">
                              <w:rPr>
                                <w:sz w:val="10"/>
                                <w:szCs w:val="18"/>
                              </w:rPr>
                              <w:t>Internal Audit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90E210" id="_x0000_s1228" type="#_x0000_t202" style="position:absolute;margin-left:661.7pt;margin-top:258.45pt;width:61.2pt;height:16.9pt;z-index:25208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" fillcolor="white [3212]" stroked="f">
                <v:textbox inset="0,0,0,0">
                  <w:txbxContent>
                    <w:p w14:paraId="684CC9F5" w14:textId="389621CE" w:rsidR="002C3947" w:rsidRPr="00F81B0F" w:rsidRDefault="002C3947" w:rsidP="007974D9">
                      <w:pPr>
                        <w:jc w:val="center"/>
                        <w:rPr>
                          <w:sz w:val="10"/>
                          <w:szCs w:val="18"/>
                        </w:rPr>
                      </w:pPr>
                      <w:r w:rsidRPr="007974D9">
                        <w:rPr>
                          <w:sz w:val="10"/>
                          <w:szCs w:val="18"/>
                        </w:rPr>
                        <w:t>Internal Audit Department</w:t>
                      </w:r>
                    </w:p>
                  </w:txbxContent>
                </v:textbox>
              </v:shape>
            </w:pict>
          </mc:Fallback>
        </mc:AlternateContent>
      </w:r>
      <w:r w:rsidR="007974D9"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83712" behindDoc="0" locked="0" layoutInCell="1" allowOverlap="1" wp14:anchorId="3B66A1E0" wp14:editId="167C6ACA">
                <wp:simplePos x="0" y="0"/>
                <wp:positionH relativeFrom="column">
                  <wp:posOffset>8404225</wp:posOffset>
                </wp:positionH>
                <wp:positionV relativeFrom="paragraph">
                  <wp:posOffset>2981374</wp:posOffset>
                </wp:positionV>
                <wp:extent cx="777317" cy="214866"/>
                <wp:effectExtent l="0" t="0" r="3810" b="0"/>
                <wp:wrapNone/>
                <wp:docPr id="6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317" cy="214866"/>
                        </a:xfrm>
                        <a:prstGeom prst="rect">
                          <a:avLst/>
                        </a:prstGeom>
                        <a:solidFill>
                          <a:schemeClr val="bg1"/>
                        </a:solidFill>
                        <a:ln w="9525">
                          <a:noFill/>
                          <a:miter lim="800000"/>
                          <a:headEnd/>
                          <a:tailEnd/>
                        </a:ln>
                      </wps:spPr>
                      <wps:txbx>
                        <w:txbxContent>
                          <w:p w14:paraId="3FC2879F" w14:textId="56953311" w:rsidR="002C3947" w:rsidRPr="00F81B0F" w:rsidRDefault="002C3947" w:rsidP="007974D9">
                            <w:pPr>
                              <w:spacing w:line="216" w:lineRule="auto"/>
                              <w:jc w:val="center"/>
                              <w:rPr>
                                <w:sz w:val="10"/>
                                <w:szCs w:val="18"/>
                              </w:rPr>
                            </w:pPr>
                            <w:r w:rsidRPr="007974D9">
                              <w:rPr>
                                <w:sz w:val="10"/>
                                <w:szCs w:val="18"/>
                              </w:rPr>
                              <w:t>Department of corporate and</w:t>
                            </w:r>
                            <w:r>
                              <w:rPr>
                                <w:sz w:val="10"/>
                                <w:szCs w:val="18"/>
                                <w:lang w:val="ru-RU"/>
                              </w:rPr>
                              <w:t xml:space="preserve"> </w:t>
                            </w:r>
                            <w:r w:rsidRPr="007974D9">
                              <w:rPr>
                                <w:sz w:val="10"/>
                                <w:szCs w:val="18"/>
                              </w:rPr>
                              <w:t>technological automated control systems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B66A1E0" id="_x0000_s1229" type="#_x0000_t202" style="position:absolute;margin-left:661.75pt;margin-top:234.75pt;width:61.2pt;height:16.9pt;z-index:25208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" fillcolor="white [3212]" stroked="f">
                <v:textbox inset="0,0,0,0">
                  <w:txbxContent>
                    <w:p w14:paraId="3FC2879F" w14:textId="56953311" w:rsidR="002C3947" w:rsidRPr="00F81B0F" w:rsidRDefault="002C3947" w:rsidP="007974D9">
                      <w:pPr>
                        <w:spacing w:line="216" w:lineRule="auto"/>
                        <w:jc w:val="center"/>
                        <w:rPr>
                          <w:sz w:val="10"/>
                          <w:szCs w:val="18"/>
                        </w:rPr>
                      </w:pPr>
                      <w:r w:rsidRPr="007974D9">
                        <w:rPr>
                          <w:sz w:val="10"/>
                          <w:szCs w:val="18"/>
                        </w:rPr>
                        <w:t>Department of corporate and</w:t>
                      </w:r>
                      <w:r>
                        <w:rPr>
                          <w:sz w:val="10"/>
                          <w:szCs w:val="18"/>
                          <w:lang w:val="ru-RU"/>
                        </w:rPr>
                        <w:t xml:space="preserve"> </w:t>
                      </w:r>
                      <w:r w:rsidRPr="007974D9">
                        <w:rPr>
                          <w:sz w:val="10"/>
                          <w:szCs w:val="18"/>
                        </w:rPr>
                        <w:t>technological automated control systems</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81664" behindDoc="0" locked="0" layoutInCell="1" allowOverlap="1" wp14:anchorId="7D7AF7D6" wp14:editId="78ACB257">
                <wp:simplePos x="0" y="0"/>
                <wp:positionH relativeFrom="column">
                  <wp:posOffset>8482158</wp:posOffset>
                </wp:positionH>
                <wp:positionV relativeFrom="paragraph">
                  <wp:posOffset>2251075</wp:posOffset>
                </wp:positionV>
                <wp:extent cx="700944" cy="222110"/>
                <wp:effectExtent l="0" t="0" r="4445" b="6985"/>
                <wp:wrapNone/>
                <wp:docPr id="6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944" cy="222110"/>
                        </a:xfrm>
                        <a:prstGeom prst="rect">
                          <a:avLst/>
                        </a:prstGeom>
                        <a:solidFill>
                          <a:schemeClr val="bg1"/>
                        </a:solidFill>
                        <a:ln w="9525">
                          <a:noFill/>
                          <a:miter lim="800000"/>
                          <a:headEnd/>
                          <a:tailEnd/>
                        </a:ln>
                      </wps:spPr>
                      <wps:txbx>
                        <w:txbxContent>
                          <w:p w14:paraId="456A69C6" w14:textId="3CE69251" w:rsidR="002C3947" w:rsidRPr="00F81B0F" w:rsidRDefault="002C3947" w:rsidP="000F3E7C">
                            <w:pPr>
                              <w:jc w:val="center"/>
                              <w:rPr>
                                <w:sz w:val="10"/>
                                <w:szCs w:val="18"/>
                              </w:rPr>
                            </w:pPr>
                            <w:r w:rsidRPr="000F3E7C">
                              <w:rPr>
                                <w:sz w:val="10"/>
                                <w:szCs w:val="18"/>
                              </w:rPr>
                              <w:t>Internal Control and Risk Management Division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7AF7D6" id="_x0000_s1230" type="#_x0000_t202" style="position:absolute;margin-left:667.9pt;margin-top:177.25pt;width:55.2pt;height:17.5pt;z-index:25208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" fillcolor="white [3212]" stroked="f">
                <v:textbox inset="0,0,0,0">
                  <w:txbxContent>
                    <w:p w14:paraId="456A69C6" w14:textId="3CE69251" w:rsidR="002C3947" w:rsidRPr="00F81B0F" w:rsidRDefault="002C3947" w:rsidP="000F3E7C">
                      <w:pPr>
                        <w:jc w:val="center"/>
                        <w:rPr>
                          <w:sz w:val="10"/>
                          <w:szCs w:val="18"/>
                        </w:rPr>
                      </w:pPr>
                      <w:r w:rsidRPr="000F3E7C">
                        <w:rPr>
                          <w:sz w:val="10"/>
                          <w:szCs w:val="18"/>
                        </w:rPr>
                        <w:t>Internal Control and Risk Management Division</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79616" behindDoc="0" locked="0" layoutInCell="1" allowOverlap="1" wp14:anchorId="4A2CE4AF" wp14:editId="6B1DFD05">
                <wp:simplePos x="0" y="0"/>
                <wp:positionH relativeFrom="column">
                  <wp:posOffset>8481601</wp:posOffset>
                </wp:positionH>
                <wp:positionV relativeFrom="paragraph">
                  <wp:posOffset>1941043</wp:posOffset>
                </wp:positionV>
                <wp:extent cx="700944" cy="222110"/>
                <wp:effectExtent l="0" t="0" r="4445" b="6985"/>
                <wp:wrapNone/>
                <wp:docPr id="6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944" cy="222110"/>
                        </a:xfrm>
                        <a:prstGeom prst="rect">
                          <a:avLst/>
                        </a:prstGeom>
                        <a:solidFill>
                          <a:schemeClr val="bg1"/>
                        </a:solidFill>
                        <a:ln w="9525">
                          <a:noFill/>
                          <a:miter lim="800000"/>
                          <a:headEnd/>
                          <a:tailEnd/>
                        </a:ln>
                      </wps:spPr>
                      <wps:txbx>
                        <w:txbxContent>
                          <w:p w14:paraId="3FC90E64" w14:textId="5D524674" w:rsidR="002C3947" w:rsidRPr="00F81B0F" w:rsidRDefault="002C3947" w:rsidP="000F3E7C">
                            <w:pPr>
                              <w:jc w:val="center"/>
                              <w:rPr>
                                <w:sz w:val="10"/>
                                <w:szCs w:val="18"/>
                              </w:rPr>
                            </w:pPr>
                            <w:r w:rsidRPr="000F3E7C">
                              <w:rPr>
                                <w:sz w:val="10"/>
                                <w:szCs w:val="18"/>
                              </w:rPr>
                              <w:t>Public Relations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2CE4AF" id="_x0000_s1231" type="#_x0000_t202" style="position:absolute;margin-left:667.85pt;margin-top:152.85pt;width:55.2pt;height:17.5pt;z-index:25207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" fillcolor="white [3212]" stroked="f">
                <v:textbox inset="0,0,0,0">
                  <w:txbxContent>
                    <w:p w14:paraId="3FC90E64" w14:textId="5D524674" w:rsidR="002C3947" w:rsidRPr="00F81B0F" w:rsidRDefault="002C3947" w:rsidP="000F3E7C">
                      <w:pPr>
                        <w:jc w:val="center"/>
                        <w:rPr>
                          <w:sz w:val="10"/>
                          <w:szCs w:val="18"/>
                        </w:rPr>
                      </w:pPr>
                      <w:r w:rsidRPr="000F3E7C">
                        <w:rPr>
                          <w:sz w:val="10"/>
                          <w:szCs w:val="18"/>
                        </w:rPr>
                        <w:t>Public Relations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77568" behindDoc="0" locked="0" layoutInCell="1" allowOverlap="1" wp14:anchorId="31DE2715" wp14:editId="438D3BD4">
                <wp:simplePos x="0" y="0"/>
                <wp:positionH relativeFrom="column">
                  <wp:posOffset>8481601</wp:posOffset>
                </wp:positionH>
                <wp:positionV relativeFrom="paragraph">
                  <wp:posOffset>1645377</wp:posOffset>
                </wp:positionV>
                <wp:extent cx="700944" cy="201918"/>
                <wp:effectExtent l="0" t="0" r="4445" b="8255"/>
                <wp:wrapNone/>
                <wp:docPr id="6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944" cy="201918"/>
                        </a:xfrm>
                        <a:prstGeom prst="rect">
                          <a:avLst/>
                        </a:prstGeom>
                        <a:solidFill>
                          <a:schemeClr val="bg1"/>
                        </a:solidFill>
                        <a:ln w="9525">
                          <a:noFill/>
                          <a:miter lim="800000"/>
                          <a:headEnd/>
                          <a:tailEnd/>
                        </a:ln>
                      </wps:spPr>
                      <wps:txbx>
                        <w:txbxContent>
                          <w:p w14:paraId="486D2739" w14:textId="3D608F31" w:rsidR="002C3947" w:rsidRPr="00F81B0F" w:rsidRDefault="002C3947" w:rsidP="000F3E7C">
                            <w:pPr>
                              <w:jc w:val="center"/>
                              <w:rPr>
                                <w:sz w:val="10"/>
                                <w:szCs w:val="18"/>
                              </w:rPr>
                            </w:pPr>
                            <w:r w:rsidRPr="000F3E7C">
                              <w:rPr>
                                <w:sz w:val="10"/>
                                <w:szCs w:val="18"/>
                              </w:rPr>
                              <w:t>Administrative Office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DE2715" id="_x0000_s1232" type="#_x0000_t202" style="position:absolute;margin-left:667.85pt;margin-top:129.55pt;width:55.2pt;height:15.9pt;z-index:25207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" fillcolor="white [3212]" stroked="f">
                <v:textbox inset="0,0,0,0">
                  <w:txbxContent>
                    <w:p w14:paraId="486D2739" w14:textId="3D608F31" w:rsidR="002C3947" w:rsidRPr="00F81B0F" w:rsidRDefault="002C3947" w:rsidP="000F3E7C">
                      <w:pPr>
                        <w:jc w:val="center"/>
                        <w:rPr>
                          <w:sz w:val="10"/>
                          <w:szCs w:val="18"/>
                        </w:rPr>
                      </w:pPr>
                      <w:r w:rsidRPr="000F3E7C">
                        <w:rPr>
                          <w:sz w:val="10"/>
                          <w:szCs w:val="18"/>
                        </w:rPr>
                        <w:t>Administrative Office</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75520" behindDoc="0" locked="0" layoutInCell="1" allowOverlap="1" wp14:anchorId="4AE34AA1" wp14:editId="1E791D85">
                <wp:simplePos x="0" y="0"/>
                <wp:positionH relativeFrom="column">
                  <wp:posOffset>8483043</wp:posOffset>
                </wp:positionH>
                <wp:positionV relativeFrom="paragraph">
                  <wp:posOffset>1359808</wp:posOffset>
                </wp:positionV>
                <wp:extent cx="700944" cy="190380"/>
                <wp:effectExtent l="0" t="0" r="4445" b="635"/>
                <wp:wrapNone/>
                <wp:docPr id="6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944" cy="190380"/>
                        </a:xfrm>
                        <a:prstGeom prst="rect">
                          <a:avLst/>
                        </a:prstGeom>
                        <a:solidFill>
                          <a:schemeClr val="bg1"/>
                        </a:solidFill>
                        <a:ln w="9525">
                          <a:noFill/>
                          <a:miter lim="800000"/>
                          <a:headEnd/>
                          <a:tailEnd/>
                        </a:ln>
                      </wps:spPr>
                      <wps:txbx>
                        <w:txbxContent>
                          <w:p w14:paraId="0E5E3F89" w14:textId="35AB661C" w:rsidR="002C3947" w:rsidRPr="00F81B0F" w:rsidRDefault="002C3947" w:rsidP="000F3E7C">
                            <w:pPr>
                              <w:jc w:val="center"/>
                              <w:rPr>
                                <w:sz w:val="10"/>
                                <w:szCs w:val="18"/>
                              </w:rPr>
                            </w:pPr>
                            <w:r w:rsidRPr="000F3E7C">
                              <w:rPr>
                                <w:sz w:val="10"/>
                                <w:szCs w:val="18"/>
                              </w:rPr>
                              <w:t>Training Facility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E34AA1" id="_x0000_s1233" type="#_x0000_t202" style="position:absolute;margin-left:667.95pt;margin-top:107.05pt;width:55.2pt;height:15pt;z-index:25207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" fillcolor="white [3212]" stroked="f">
                <v:textbox inset="0,0,0,0">
                  <w:txbxContent>
                    <w:p w14:paraId="0E5E3F89" w14:textId="35AB661C" w:rsidR="002C3947" w:rsidRPr="00F81B0F" w:rsidRDefault="002C3947" w:rsidP="000F3E7C">
                      <w:pPr>
                        <w:jc w:val="center"/>
                        <w:rPr>
                          <w:sz w:val="10"/>
                          <w:szCs w:val="18"/>
                        </w:rPr>
                      </w:pPr>
                      <w:r w:rsidRPr="000F3E7C">
                        <w:rPr>
                          <w:sz w:val="10"/>
                          <w:szCs w:val="18"/>
                        </w:rPr>
                        <w:t>Training Facility</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73472" behindDoc="0" locked="0" layoutInCell="1" allowOverlap="1" wp14:anchorId="730C0717" wp14:editId="0E80A576">
                <wp:simplePos x="0" y="0"/>
                <wp:positionH relativeFrom="column">
                  <wp:posOffset>8483043</wp:posOffset>
                </wp:positionH>
                <wp:positionV relativeFrom="paragraph">
                  <wp:posOffset>974721</wp:posOffset>
                </wp:positionV>
                <wp:extent cx="700944" cy="281876"/>
                <wp:effectExtent l="0" t="0" r="4445" b="4445"/>
                <wp:wrapNone/>
                <wp:docPr id="6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944" cy="281876"/>
                        </a:xfrm>
                        <a:prstGeom prst="rect">
                          <a:avLst/>
                        </a:prstGeom>
                        <a:solidFill>
                          <a:schemeClr val="bg1"/>
                        </a:solidFill>
                        <a:ln w="9525">
                          <a:noFill/>
                          <a:miter lim="800000"/>
                          <a:headEnd/>
                          <a:tailEnd/>
                        </a:ln>
                      </wps:spPr>
                      <wps:txbx>
                        <w:txbxContent>
                          <w:p w14:paraId="6DFED625" w14:textId="78585BBB" w:rsidR="002C3947" w:rsidRPr="00F81B0F" w:rsidRDefault="002C3947" w:rsidP="000F3E7C">
                            <w:pPr>
                              <w:jc w:val="center"/>
                              <w:rPr>
                                <w:sz w:val="10"/>
                                <w:szCs w:val="18"/>
                              </w:rPr>
                            </w:pPr>
                            <w:r w:rsidRPr="000F3E7C">
                              <w:rPr>
                                <w:sz w:val="10"/>
                                <w:szCs w:val="18"/>
                              </w:rPr>
                              <w:t>Human Resources Mana</w:t>
                            </w:r>
                            <w:r>
                              <w:rPr>
                                <w:sz w:val="10"/>
                                <w:szCs w:val="18"/>
                                <w:lang w:val="ru-RU"/>
                              </w:rPr>
                              <w:t>-</w:t>
                            </w:r>
                            <w:r w:rsidRPr="000F3E7C">
                              <w:rPr>
                                <w:sz w:val="10"/>
                                <w:szCs w:val="18"/>
                              </w:rPr>
                              <w:t>gement and Organizational Design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0C0717" id="_x0000_s1234" type="#_x0000_t202" style="position:absolute;margin-left:667.95pt;margin-top:76.75pt;width:55.2pt;height:22.2pt;z-index:25207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" fillcolor="white [3212]" stroked="f">
                <v:textbox inset="0,0,0,0">
                  <w:txbxContent>
                    <w:p w14:paraId="6DFED625" w14:textId="78585BBB" w:rsidR="002C3947" w:rsidRPr="00F81B0F" w:rsidRDefault="002C3947" w:rsidP="000F3E7C">
                      <w:pPr>
                        <w:jc w:val="center"/>
                        <w:rPr>
                          <w:sz w:val="10"/>
                          <w:szCs w:val="18"/>
                        </w:rPr>
                      </w:pPr>
                      <w:r w:rsidRPr="000F3E7C">
                        <w:rPr>
                          <w:sz w:val="10"/>
                          <w:szCs w:val="18"/>
                        </w:rPr>
                        <w:t>Human Resources Mana</w:t>
                      </w:r>
                      <w:r>
                        <w:rPr>
                          <w:sz w:val="10"/>
                          <w:szCs w:val="18"/>
                          <w:lang w:val="ru-RU"/>
                        </w:rPr>
                        <w:t>-</w:t>
                      </w:r>
                      <w:r w:rsidRPr="000F3E7C">
                        <w:rPr>
                          <w:sz w:val="10"/>
                          <w:szCs w:val="18"/>
                        </w:rPr>
                        <w:t>gement and Organizational Design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71424" behindDoc="0" locked="0" layoutInCell="1" allowOverlap="1" wp14:anchorId="02336E5D" wp14:editId="15447A37">
                <wp:simplePos x="0" y="0"/>
                <wp:positionH relativeFrom="column">
                  <wp:posOffset>8411210</wp:posOffset>
                </wp:positionH>
                <wp:positionV relativeFrom="paragraph">
                  <wp:posOffset>529418</wp:posOffset>
                </wp:positionV>
                <wp:extent cx="767288" cy="348484"/>
                <wp:effectExtent l="0" t="0" r="0" b="0"/>
                <wp:wrapNone/>
                <wp:docPr id="6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288" cy="348484"/>
                        </a:xfrm>
                        <a:prstGeom prst="rect">
                          <a:avLst/>
                        </a:prstGeom>
                        <a:solidFill>
                          <a:schemeClr val="bg1"/>
                        </a:solidFill>
                        <a:ln w="9525">
                          <a:noFill/>
                          <a:miter lim="800000"/>
                          <a:headEnd/>
                          <a:tailEnd/>
                        </a:ln>
                      </wps:spPr>
                      <wps:txbx>
                        <w:txbxContent>
                          <w:p w14:paraId="005A2981" w14:textId="36E6AEC9" w:rsidR="002C3947" w:rsidRPr="00F81B0F" w:rsidRDefault="002C3947" w:rsidP="000F3E7C">
                            <w:pPr>
                              <w:jc w:val="center"/>
                              <w:rPr>
                                <w:sz w:val="10"/>
                                <w:szCs w:val="18"/>
                              </w:rPr>
                            </w:pPr>
                            <w:r w:rsidRPr="000F3E7C">
                              <w:rPr>
                                <w:sz w:val="10"/>
                                <w:szCs w:val="18"/>
                              </w:rPr>
                              <w:t>Deputy CEO – Head of the Administrative Office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336E5D" id="_x0000_s1235" type="#_x0000_t202" style="position:absolute;margin-left:662.3pt;margin-top:41.7pt;width:60.4pt;height:27.45pt;z-index:25207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" fillcolor="white [3212]" stroked="f">
                <v:textbox inset="0,0,0,0">
                  <w:txbxContent>
                    <w:p w14:paraId="005A2981" w14:textId="36E6AEC9" w:rsidR="002C3947" w:rsidRPr="00F81B0F" w:rsidRDefault="002C3947" w:rsidP="000F3E7C">
                      <w:pPr>
                        <w:jc w:val="center"/>
                        <w:rPr>
                          <w:sz w:val="10"/>
                          <w:szCs w:val="18"/>
                        </w:rPr>
                      </w:pPr>
                      <w:r w:rsidRPr="000F3E7C">
                        <w:rPr>
                          <w:sz w:val="10"/>
                          <w:szCs w:val="18"/>
                        </w:rPr>
                        <w:t>Deputy CEO – Head of the Administrative Office</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69376" behindDoc="0" locked="0" layoutInCell="1" allowOverlap="1" wp14:anchorId="7010971C" wp14:editId="14FEE81C">
                <wp:simplePos x="0" y="0"/>
                <wp:positionH relativeFrom="column">
                  <wp:posOffset>7524750</wp:posOffset>
                </wp:positionH>
                <wp:positionV relativeFrom="paragraph">
                  <wp:posOffset>2094402</wp:posOffset>
                </wp:positionV>
                <wp:extent cx="695174" cy="199033"/>
                <wp:effectExtent l="0" t="0" r="0" b="0"/>
                <wp:wrapNone/>
                <wp:docPr id="6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174" cy="199033"/>
                        </a:xfrm>
                        <a:prstGeom prst="rect">
                          <a:avLst/>
                        </a:prstGeom>
                        <a:solidFill>
                          <a:schemeClr val="bg1"/>
                        </a:solidFill>
                        <a:ln w="9525">
                          <a:noFill/>
                          <a:miter lim="800000"/>
                          <a:headEnd/>
                          <a:tailEnd/>
                        </a:ln>
                      </wps:spPr>
                      <wps:txbx>
                        <w:txbxContent>
                          <w:p w14:paraId="0E9270ED" w14:textId="560285DD" w:rsidR="002C3947" w:rsidRPr="00F81B0F" w:rsidRDefault="002C3947" w:rsidP="000F3E7C">
                            <w:pPr>
                              <w:jc w:val="center"/>
                              <w:rPr>
                                <w:sz w:val="10"/>
                                <w:szCs w:val="18"/>
                              </w:rPr>
                            </w:pPr>
                            <w:r w:rsidRPr="000F3E7C">
                              <w:rPr>
                                <w:sz w:val="10"/>
                                <w:szCs w:val="18"/>
                              </w:rPr>
                              <w:t>Anti-Corruption Compliance Unit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10971C" id="_x0000_s1236" type="#_x0000_t202" style="position:absolute;margin-left:592.5pt;margin-top:164.9pt;width:54.75pt;height:15.65pt;z-index:25206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" fillcolor="white [3212]" stroked="f">
                <v:textbox inset="0,0,0,0">
                  <w:txbxContent>
                    <w:p w14:paraId="0E9270ED" w14:textId="560285DD" w:rsidR="002C3947" w:rsidRPr="00F81B0F" w:rsidRDefault="002C3947" w:rsidP="000F3E7C">
                      <w:pPr>
                        <w:jc w:val="center"/>
                        <w:rPr>
                          <w:sz w:val="10"/>
                          <w:szCs w:val="18"/>
                        </w:rPr>
                      </w:pPr>
                      <w:r w:rsidRPr="000F3E7C">
                        <w:rPr>
                          <w:sz w:val="10"/>
                          <w:szCs w:val="18"/>
                        </w:rPr>
                        <w:t>Anti-Corruption Compliance Unit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67328" behindDoc="0" locked="0" layoutInCell="1" allowOverlap="1" wp14:anchorId="6BBC0042" wp14:editId="42614009">
                <wp:simplePos x="0" y="0"/>
                <wp:positionH relativeFrom="column">
                  <wp:posOffset>7525213</wp:posOffset>
                </wp:positionH>
                <wp:positionV relativeFrom="paragraph">
                  <wp:posOffset>1718945</wp:posOffset>
                </wp:positionV>
                <wp:extent cx="695174" cy="278358"/>
                <wp:effectExtent l="0" t="0" r="0" b="7620"/>
                <wp:wrapNone/>
                <wp:docPr id="6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174" cy="278358"/>
                        </a:xfrm>
                        <a:prstGeom prst="rect">
                          <a:avLst/>
                        </a:prstGeom>
                        <a:solidFill>
                          <a:schemeClr val="bg1"/>
                        </a:solidFill>
                        <a:ln w="9525">
                          <a:noFill/>
                          <a:miter lim="800000"/>
                          <a:headEnd/>
                          <a:tailEnd/>
                        </a:ln>
                      </wps:spPr>
                      <wps:txbx>
                        <w:txbxContent>
                          <w:p w14:paraId="73BA2BFA" w14:textId="52BC8C68" w:rsidR="002C3947" w:rsidRPr="00F81B0F" w:rsidRDefault="002C3947" w:rsidP="000F3E7C">
                            <w:pPr>
                              <w:jc w:val="center"/>
                              <w:rPr>
                                <w:sz w:val="10"/>
                                <w:szCs w:val="18"/>
                              </w:rPr>
                            </w:pPr>
                            <w:r w:rsidRPr="000F3E7C">
                              <w:rPr>
                                <w:sz w:val="10"/>
                                <w:szCs w:val="18"/>
                              </w:rPr>
                              <w:t>Mobilization and Civil Defense Unit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BC0042" id="_x0000_s1237" type="#_x0000_t202" style="position:absolute;margin-left:592.55pt;margin-top:135.35pt;width:54.75pt;height:21.9pt;z-index:25206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" fillcolor="white [3212]" stroked="f">
                <v:textbox inset="0,0,0,0">
                  <w:txbxContent>
                    <w:p w14:paraId="73BA2BFA" w14:textId="52BC8C68" w:rsidR="002C3947" w:rsidRPr="00F81B0F" w:rsidRDefault="002C3947" w:rsidP="000F3E7C">
                      <w:pPr>
                        <w:jc w:val="center"/>
                        <w:rPr>
                          <w:sz w:val="10"/>
                          <w:szCs w:val="18"/>
                        </w:rPr>
                      </w:pPr>
                      <w:r w:rsidRPr="000F3E7C">
                        <w:rPr>
                          <w:sz w:val="10"/>
                          <w:szCs w:val="18"/>
                        </w:rPr>
                        <w:t>Mobilization and Civil Defense Unit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65280" behindDoc="0" locked="0" layoutInCell="1" allowOverlap="1" wp14:anchorId="549219C3" wp14:editId="2AE7056F">
                <wp:simplePos x="0" y="0"/>
                <wp:positionH relativeFrom="column">
                  <wp:posOffset>7525557</wp:posOffset>
                </wp:positionH>
                <wp:positionV relativeFrom="paragraph">
                  <wp:posOffset>1344930</wp:posOffset>
                </wp:positionV>
                <wp:extent cx="695174" cy="278358"/>
                <wp:effectExtent l="0" t="0" r="0" b="7620"/>
                <wp:wrapNone/>
                <wp:docPr id="6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174" cy="278358"/>
                        </a:xfrm>
                        <a:prstGeom prst="rect">
                          <a:avLst/>
                        </a:prstGeom>
                        <a:solidFill>
                          <a:schemeClr val="bg1"/>
                        </a:solidFill>
                        <a:ln w="9525">
                          <a:noFill/>
                          <a:miter lim="800000"/>
                          <a:headEnd/>
                          <a:tailEnd/>
                        </a:ln>
                      </wps:spPr>
                      <wps:txbx>
                        <w:txbxContent>
                          <w:p w14:paraId="3A6C789B" w14:textId="5D7C41A7" w:rsidR="002C3947" w:rsidRPr="00F81B0F" w:rsidRDefault="002C3947" w:rsidP="000F3E7C">
                            <w:pPr>
                              <w:jc w:val="center"/>
                              <w:rPr>
                                <w:sz w:val="10"/>
                                <w:szCs w:val="18"/>
                              </w:rPr>
                            </w:pPr>
                            <w:r w:rsidRPr="000F3E7C">
                              <w:rPr>
                                <w:sz w:val="10"/>
                                <w:szCs w:val="18"/>
                              </w:rPr>
                              <w:t>State Secret Protection Unit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9219C3" id="_x0000_s1238" type="#_x0000_t202" style="position:absolute;margin-left:592.55pt;margin-top:105.9pt;width:54.75pt;height:21.9pt;z-index:25206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" fillcolor="white [3212]" stroked="f">
                <v:textbox inset="0,0,0,0">
                  <w:txbxContent>
                    <w:p w14:paraId="3A6C789B" w14:textId="5D7C41A7" w:rsidR="002C3947" w:rsidRPr="00F81B0F" w:rsidRDefault="002C3947" w:rsidP="000F3E7C">
                      <w:pPr>
                        <w:jc w:val="center"/>
                        <w:rPr>
                          <w:sz w:val="10"/>
                          <w:szCs w:val="18"/>
                        </w:rPr>
                      </w:pPr>
                      <w:r w:rsidRPr="000F3E7C">
                        <w:rPr>
                          <w:sz w:val="10"/>
                          <w:szCs w:val="18"/>
                        </w:rPr>
                        <w:t>State Secret Protection Unit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63232" behindDoc="0" locked="0" layoutInCell="1" allowOverlap="1" wp14:anchorId="7445E5E9" wp14:editId="78F47C8C">
                <wp:simplePos x="0" y="0"/>
                <wp:positionH relativeFrom="column">
                  <wp:posOffset>7523933</wp:posOffset>
                </wp:positionH>
                <wp:positionV relativeFrom="paragraph">
                  <wp:posOffset>973279</wp:posOffset>
                </wp:positionV>
                <wp:extent cx="695174" cy="278358"/>
                <wp:effectExtent l="0" t="0" r="0" b="7620"/>
                <wp:wrapNone/>
                <wp:docPr id="6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174" cy="278358"/>
                        </a:xfrm>
                        <a:prstGeom prst="rect">
                          <a:avLst/>
                        </a:prstGeom>
                        <a:solidFill>
                          <a:schemeClr val="bg1"/>
                        </a:solidFill>
                        <a:ln w="9525">
                          <a:noFill/>
                          <a:miter lim="800000"/>
                          <a:headEnd/>
                          <a:tailEnd/>
                        </a:ln>
                      </wps:spPr>
                      <wps:txbx>
                        <w:txbxContent>
                          <w:p w14:paraId="0B049AFD" w14:textId="722319AB" w:rsidR="002C3947" w:rsidRPr="00F81B0F" w:rsidRDefault="002C3947" w:rsidP="000F3E7C">
                            <w:pPr>
                              <w:jc w:val="center"/>
                              <w:rPr>
                                <w:sz w:val="10"/>
                                <w:szCs w:val="18"/>
                              </w:rPr>
                            </w:pPr>
                            <w:r w:rsidRPr="000F3E7C">
                              <w:rPr>
                                <w:sz w:val="10"/>
                                <w:szCs w:val="18"/>
                              </w:rPr>
                              <w:t>Security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45E5E9" id="_x0000_s1239" type="#_x0000_t202" style="position:absolute;margin-left:592.45pt;margin-top:76.65pt;width:54.75pt;height:21.9pt;z-index:25206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" fillcolor="white [3212]" stroked="f">
                <v:textbox inset="0,0,0,0">
                  <w:txbxContent>
                    <w:p w14:paraId="0B049AFD" w14:textId="722319AB" w:rsidR="002C3947" w:rsidRPr="00F81B0F" w:rsidRDefault="002C3947" w:rsidP="000F3E7C">
                      <w:pPr>
                        <w:jc w:val="center"/>
                        <w:rPr>
                          <w:sz w:val="10"/>
                          <w:szCs w:val="18"/>
                        </w:rPr>
                      </w:pPr>
                      <w:r w:rsidRPr="000F3E7C">
                        <w:rPr>
                          <w:sz w:val="10"/>
                          <w:szCs w:val="18"/>
                        </w:rPr>
                        <w:t>Security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61184" behindDoc="0" locked="0" layoutInCell="1" allowOverlap="1" wp14:anchorId="28FFC302" wp14:editId="078EB083">
                <wp:simplePos x="0" y="0"/>
                <wp:positionH relativeFrom="column">
                  <wp:posOffset>7448936</wp:posOffset>
                </wp:positionH>
                <wp:positionV relativeFrom="paragraph">
                  <wp:posOffset>527617</wp:posOffset>
                </wp:positionV>
                <wp:extent cx="767288" cy="348484"/>
                <wp:effectExtent l="0" t="0" r="0" b="0"/>
                <wp:wrapNone/>
                <wp:docPr id="6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288" cy="348484"/>
                        </a:xfrm>
                        <a:prstGeom prst="rect">
                          <a:avLst/>
                        </a:prstGeom>
                        <a:solidFill>
                          <a:schemeClr val="bg1"/>
                        </a:solidFill>
                        <a:ln w="9525">
                          <a:noFill/>
                          <a:miter lim="800000"/>
                          <a:headEnd/>
                          <a:tailEnd/>
                        </a:ln>
                      </wps:spPr>
                      <wps:txbx>
                        <w:txbxContent>
                          <w:p w14:paraId="1FB882E0" w14:textId="45EB7191" w:rsidR="002C3947" w:rsidRPr="00F81B0F" w:rsidRDefault="002C3947" w:rsidP="000F3E7C">
                            <w:pPr>
                              <w:jc w:val="center"/>
                              <w:rPr>
                                <w:sz w:val="10"/>
                                <w:szCs w:val="18"/>
                              </w:rPr>
                            </w:pPr>
                            <w:r w:rsidRPr="000F3E7C">
                              <w:rPr>
                                <w:sz w:val="10"/>
                                <w:szCs w:val="18"/>
                              </w:rPr>
                              <w:t>Deputy CEO for Security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8FFC302" id="_x0000_s1240" type="#_x0000_t202" style="position:absolute;margin-left:586.55pt;margin-top:41.55pt;width:60.4pt;height:27.45pt;z-index:25206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" fillcolor="white [3212]" stroked="f">
                <v:textbox inset="0,0,0,0">
                  <w:txbxContent>
                    <w:p w14:paraId="1FB882E0" w14:textId="45EB7191" w:rsidR="002C3947" w:rsidRPr="00F81B0F" w:rsidRDefault="002C3947" w:rsidP="000F3E7C">
                      <w:pPr>
                        <w:jc w:val="center"/>
                        <w:rPr>
                          <w:sz w:val="10"/>
                          <w:szCs w:val="18"/>
                        </w:rPr>
                      </w:pPr>
                      <w:r w:rsidRPr="000F3E7C">
                        <w:rPr>
                          <w:sz w:val="10"/>
                          <w:szCs w:val="18"/>
                        </w:rPr>
                        <w:t>Deputy CEO for Security</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59136" behindDoc="0" locked="0" layoutInCell="1" allowOverlap="1" wp14:anchorId="77F7FCA3" wp14:editId="003A388A">
                <wp:simplePos x="0" y="0"/>
                <wp:positionH relativeFrom="column">
                  <wp:posOffset>6405245</wp:posOffset>
                </wp:positionH>
                <wp:positionV relativeFrom="paragraph">
                  <wp:posOffset>527513</wp:posOffset>
                </wp:positionV>
                <wp:extent cx="848055" cy="348484"/>
                <wp:effectExtent l="0" t="0" r="9525" b="0"/>
                <wp:wrapNone/>
                <wp:docPr id="6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055" cy="348484"/>
                        </a:xfrm>
                        <a:prstGeom prst="rect">
                          <a:avLst/>
                        </a:prstGeom>
                        <a:solidFill>
                          <a:schemeClr val="bg1"/>
                        </a:solidFill>
                        <a:ln w="9525">
                          <a:noFill/>
                          <a:miter lim="800000"/>
                          <a:headEnd/>
                          <a:tailEnd/>
                        </a:ln>
                      </wps:spPr>
                      <wps:txbx>
                        <w:txbxContent>
                          <w:p w14:paraId="49B80963" w14:textId="507711CA" w:rsidR="002C3947" w:rsidRPr="00F81B0F" w:rsidRDefault="002C3947" w:rsidP="000F3E7C">
                            <w:pPr>
                              <w:jc w:val="center"/>
                              <w:rPr>
                                <w:sz w:val="10"/>
                                <w:szCs w:val="18"/>
                              </w:rPr>
                            </w:pPr>
                            <w:r w:rsidRPr="000F3E7C">
                              <w:rPr>
                                <w:sz w:val="10"/>
                                <w:szCs w:val="18"/>
                              </w:rPr>
                              <w:t>Deputy CEO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F7FCA3" id="_x0000_s1241" type="#_x0000_t202" style="position:absolute;margin-left:504.35pt;margin-top:41.55pt;width:66.8pt;height:27.45pt;z-index:25205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" fillcolor="white [3212]" stroked="f">
                <v:textbox inset="0,0,0,0">
                  <w:txbxContent>
                    <w:p w14:paraId="49B80963" w14:textId="507711CA" w:rsidR="002C3947" w:rsidRPr="00F81B0F" w:rsidRDefault="002C3947" w:rsidP="000F3E7C">
                      <w:pPr>
                        <w:jc w:val="center"/>
                        <w:rPr>
                          <w:sz w:val="10"/>
                          <w:szCs w:val="18"/>
                        </w:rPr>
                      </w:pPr>
                      <w:r w:rsidRPr="000F3E7C">
                        <w:rPr>
                          <w:sz w:val="10"/>
                          <w:szCs w:val="18"/>
                        </w:rPr>
                        <w:t>Deputy CEO</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57088" behindDoc="0" locked="0" layoutInCell="1" allowOverlap="1" wp14:anchorId="70195A5A" wp14:editId="12251436">
                <wp:simplePos x="0" y="0"/>
                <wp:positionH relativeFrom="column">
                  <wp:posOffset>5446087</wp:posOffset>
                </wp:positionH>
                <wp:positionV relativeFrom="paragraph">
                  <wp:posOffset>1719730</wp:posOffset>
                </wp:positionV>
                <wp:extent cx="771615" cy="274492"/>
                <wp:effectExtent l="0" t="0" r="9525" b="0"/>
                <wp:wrapNone/>
                <wp:docPr id="6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615" cy="274492"/>
                        </a:xfrm>
                        <a:prstGeom prst="rect">
                          <a:avLst/>
                        </a:prstGeom>
                        <a:solidFill>
                          <a:schemeClr val="bg1"/>
                        </a:solidFill>
                        <a:ln w="9525">
                          <a:noFill/>
                          <a:miter lim="800000"/>
                          <a:headEnd/>
                          <a:tailEnd/>
                        </a:ln>
                      </wps:spPr>
                      <wps:txbx>
                        <w:txbxContent>
                          <w:p w14:paraId="1B28137B" w14:textId="31F2AC7C" w:rsidR="002C3947" w:rsidRPr="00F81B0F" w:rsidRDefault="002C3947" w:rsidP="000F3E7C">
                            <w:pPr>
                              <w:jc w:val="center"/>
                              <w:rPr>
                                <w:sz w:val="10"/>
                                <w:szCs w:val="18"/>
                              </w:rPr>
                            </w:pPr>
                            <w:r w:rsidRPr="000F3E7C">
                              <w:rPr>
                                <w:sz w:val="10"/>
                                <w:szCs w:val="18"/>
                              </w:rPr>
                              <w:t>Department for Legal Support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0195A5A" id="_x0000_s1242" type="#_x0000_t202" style="position:absolute;margin-left:428.85pt;margin-top:135.4pt;width:60.75pt;height:21.6pt;z-index:25205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" fillcolor="white [3212]" stroked="f">
                <v:textbox inset="0,0,0,0">
                  <w:txbxContent>
                    <w:p w14:paraId="1B28137B" w14:textId="31F2AC7C" w:rsidR="002C3947" w:rsidRPr="00F81B0F" w:rsidRDefault="002C3947" w:rsidP="000F3E7C">
                      <w:pPr>
                        <w:jc w:val="center"/>
                        <w:rPr>
                          <w:sz w:val="10"/>
                          <w:szCs w:val="18"/>
                        </w:rPr>
                      </w:pPr>
                      <w:r w:rsidRPr="000F3E7C">
                        <w:rPr>
                          <w:sz w:val="10"/>
                          <w:szCs w:val="18"/>
                        </w:rPr>
                        <w:t>Department for Legal Support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55040" behindDoc="0" locked="0" layoutInCell="1" allowOverlap="1" wp14:anchorId="30E514C6" wp14:editId="2DAD2CD5">
                <wp:simplePos x="0" y="0"/>
                <wp:positionH relativeFrom="column">
                  <wp:posOffset>5445760</wp:posOffset>
                </wp:positionH>
                <wp:positionV relativeFrom="paragraph">
                  <wp:posOffset>1348568</wp:posOffset>
                </wp:positionV>
                <wp:extent cx="771615" cy="274492"/>
                <wp:effectExtent l="0" t="0" r="9525" b="0"/>
                <wp:wrapNone/>
                <wp:docPr id="6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615" cy="274492"/>
                        </a:xfrm>
                        <a:prstGeom prst="rect">
                          <a:avLst/>
                        </a:prstGeom>
                        <a:solidFill>
                          <a:schemeClr val="bg1"/>
                        </a:solidFill>
                        <a:ln w="9525">
                          <a:noFill/>
                          <a:miter lim="800000"/>
                          <a:headEnd/>
                          <a:tailEnd/>
                        </a:ln>
                      </wps:spPr>
                      <wps:txbx>
                        <w:txbxContent>
                          <w:p w14:paraId="74D516C9" w14:textId="0DF05C2A" w:rsidR="002C3947" w:rsidRPr="00F81B0F" w:rsidRDefault="002C3947" w:rsidP="000F3E7C">
                            <w:pPr>
                              <w:jc w:val="center"/>
                              <w:rPr>
                                <w:sz w:val="10"/>
                                <w:szCs w:val="18"/>
                              </w:rPr>
                            </w:pPr>
                            <w:r w:rsidRPr="000F3E7C">
                              <w:rPr>
                                <w:sz w:val="10"/>
                                <w:szCs w:val="18"/>
                              </w:rPr>
                              <w:t>Property Management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E514C6" id="_x0000_s1243" type="#_x0000_t202" style="position:absolute;margin-left:428.8pt;margin-top:106.2pt;width:60.75pt;height:21.6pt;z-index:25205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" fillcolor="white [3212]" stroked="f">
                <v:textbox inset="0,0,0,0">
                  <w:txbxContent>
                    <w:p w14:paraId="74D516C9" w14:textId="0DF05C2A" w:rsidR="002C3947" w:rsidRPr="00F81B0F" w:rsidRDefault="002C3947" w:rsidP="000F3E7C">
                      <w:pPr>
                        <w:jc w:val="center"/>
                        <w:rPr>
                          <w:sz w:val="10"/>
                          <w:szCs w:val="18"/>
                        </w:rPr>
                      </w:pPr>
                      <w:r w:rsidRPr="000F3E7C">
                        <w:rPr>
                          <w:sz w:val="10"/>
                          <w:szCs w:val="18"/>
                        </w:rPr>
                        <w:t>Property Management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52992" behindDoc="0" locked="0" layoutInCell="1" allowOverlap="1" wp14:anchorId="2AB63B4B" wp14:editId="09DBBF8D">
                <wp:simplePos x="0" y="0"/>
                <wp:positionH relativeFrom="column">
                  <wp:posOffset>5444178</wp:posOffset>
                </wp:positionH>
                <wp:positionV relativeFrom="paragraph">
                  <wp:posOffset>973279</wp:posOffset>
                </wp:positionV>
                <wp:extent cx="771615" cy="274492"/>
                <wp:effectExtent l="0" t="0" r="9525" b="0"/>
                <wp:wrapNone/>
                <wp:docPr id="6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615" cy="274492"/>
                        </a:xfrm>
                        <a:prstGeom prst="rect">
                          <a:avLst/>
                        </a:prstGeom>
                        <a:solidFill>
                          <a:schemeClr val="bg1"/>
                        </a:solidFill>
                        <a:ln w="9525">
                          <a:noFill/>
                          <a:miter lim="800000"/>
                          <a:headEnd/>
                          <a:tailEnd/>
                        </a:ln>
                      </wps:spPr>
                      <wps:txbx>
                        <w:txbxContent>
                          <w:p w14:paraId="554BCCDC" w14:textId="291469D1" w:rsidR="002C3947" w:rsidRPr="00F81B0F" w:rsidRDefault="002C3947" w:rsidP="000F3E7C">
                            <w:pPr>
                              <w:jc w:val="center"/>
                              <w:rPr>
                                <w:sz w:val="10"/>
                                <w:szCs w:val="18"/>
                              </w:rPr>
                            </w:pPr>
                            <w:r w:rsidRPr="000F3E7C">
                              <w:rPr>
                                <w:sz w:val="10"/>
                                <w:szCs w:val="18"/>
                              </w:rPr>
                              <w:t>Corporate Governance and Shareholder Relations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B63B4B" id="_x0000_s1244" type="#_x0000_t202" style="position:absolute;margin-left:428.7pt;margin-top:76.65pt;width:60.75pt;height:21.6pt;z-index:25205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" fillcolor="white [3212]" stroked="f">
                <v:textbox inset="0,0,0,0">
                  <w:txbxContent>
                    <w:p w14:paraId="554BCCDC" w14:textId="291469D1" w:rsidR="002C3947" w:rsidRPr="00F81B0F" w:rsidRDefault="002C3947" w:rsidP="000F3E7C">
                      <w:pPr>
                        <w:jc w:val="center"/>
                        <w:rPr>
                          <w:sz w:val="10"/>
                          <w:szCs w:val="18"/>
                        </w:rPr>
                      </w:pPr>
                      <w:r w:rsidRPr="000F3E7C">
                        <w:rPr>
                          <w:sz w:val="10"/>
                          <w:szCs w:val="18"/>
                        </w:rPr>
                        <w:t>Corporate Governance and Shareholder Relations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50944" behindDoc="0" locked="0" layoutInCell="1" allowOverlap="1" wp14:anchorId="6BF6B16D" wp14:editId="441E8E56">
                <wp:simplePos x="0" y="0"/>
                <wp:positionH relativeFrom="column">
                  <wp:posOffset>5364853</wp:posOffset>
                </wp:positionH>
                <wp:positionV relativeFrom="paragraph">
                  <wp:posOffset>529059</wp:posOffset>
                </wp:positionV>
                <wp:extent cx="848055" cy="348484"/>
                <wp:effectExtent l="0" t="0" r="9525" b="0"/>
                <wp:wrapNone/>
                <wp:docPr id="6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055" cy="348484"/>
                        </a:xfrm>
                        <a:prstGeom prst="rect">
                          <a:avLst/>
                        </a:prstGeom>
                        <a:solidFill>
                          <a:schemeClr val="bg1"/>
                        </a:solidFill>
                        <a:ln w="9525">
                          <a:noFill/>
                          <a:miter lim="800000"/>
                          <a:headEnd/>
                          <a:tailEnd/>
                        </a:ln>
                      </wps:spPr>
                      <wps:txbx>
                        <w:txbxContent>
                          <w:p w14:paraId="5562FD2C" w14:textId="3D0B2180" w:rsidR="002C3947" w:rsidRPr="00F81B0F" w:rsidRDefault="002C3947" w:rsidP="000F3E7C">
                            <w:pPr>
                              <w:jc w:val="center"/>
                              <w:rPr>
                                <w:sz w:val="10"/>
                                <w:szCs w:val="18"/>
                              </w:rPr>
                            </w:pPr>
                            <w:r w:rsidRPr="000F3E7C">
                              <w:rPr>
                                <w:sz w:val="10"/>
                                <w:szCs w:val="18"/>
                              </w:rPr>
                              <w:t>Deputy CEO for Legal and Corporate Governance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F6B16D" id="_x0000_s1245" type="#_x0000_t202" style="position:absolute;margin-left:422.45pt;margin-top:41.65pt;width:66.8pt;height:27.45pt;z-index:25205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" fillcolor="white [3212]" stroked="f">
                <v:textbox inset="0,0,0,0">
                  <w:txbxContent>
                    <w:p w14:paraId="5562FD2C" w14:textId="3D0B2180" w:rsidR="002C3947" w:rsidRPr="00F81B0F" w:rsidRDefault="002C3947" w:rsidP="000F3E7C">
                      <w:pPr>
                        <w:jc w:val="center"/>
                        <w:rPr>
                          <w:sz w:val="10"/>
                          <w:szCs w:val="18"/>
                        </w:rPr>
                      </w:pPr>
                      <w:r w:rsidRPr="000F3E7C">
                        <w:rPr>
                          <w:sz w:val="10"/>
                          <w:szCs w:val="18"/>
                        </w:rPr>
                        <w:t>Deputy CEO for Legal and Corporate Governance</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48896" behindDoc="0" locked="0" layoutInCell="1" allowOverlap="1" wp14:anchorId="321CDF03" wp14:editId="5226657C">
                <wp:simplePos x="0" y="0"/>
                <wp:positionH relativeFrom="column">
                  <wp:posOffset>4558623</wp:posOffset>
                </wp:positionH>
                <wp:positionV relativeFrom="paragraph">
                  <wp:posOffset>3504465</wp:posOffset>
                </wp:positionV>
                <wp:extent cx="618494" cy="184840"/>
                <wp:effectExtent l="0" t="0" r="0" b="5715"/>
                <wp:wrapNone/>
                <wp:docPr id="6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94" cy="184840"/>
                        </a:xfrm>
                        <a:prstGeom prst="rect">
                          <a:avLst/>
                        </a:prstGeom>
                        <a:solidFill>
                          <a:schemeClr val="bg1"/>
                        </a:solidFill>
                        <a:ln w="9525">
                          <a:noFill/>
                          <a:miter lim="800000"/>
                          <a:headEnd/>
                          <a:tailEnd/>
                        </a:ln>
                      </wps:spPr>
                      <wps:txbx>
                        <w:txbxContent>
                          <w:p w14:paraId="71113B03" w14:textId="1B1EB98B" w:rsidR="002C3947" w:rsidRPr="00F81B0F" w:rsidRDefault="002C3947" w:rsidP="000F3E7C">
                            <w:pPr>
                              <w:spacing w:line="192" w:lineRule="auto"/>
                              <w:jc w:val="center"/>
                              <w:rPr>
                                <w:sz w:val="10"/>
                                <w:szCs w:val="18"/>
                              </w:rPr>
                            </w:pPr>
                            <w:r w:rsidRPr="000F3E7C">
                              <w:rPr>
                                <w:sz w:val="10"/>
                                <w:szCs w:val="18"/>
                              </w:rPr>
                              <w:t>Department of metrolo</w:t>
                            </w:r>
                            <w:r>
                              <w:rPr>
                                <w:sz w:val="10"/>
                                <w:szCs w:val="18"/>
                                <w:lang w:val="ru-RU"/>
                              </w:rPr>
                              <w:t>-</w:t>
                            </w:r>
                            <w:r w:rsidRPr="000F3E7C">
                              <w:rPr>
                                <w:sz w:val="10"/>
                                <w:szCs w:val="18"/>
                              </w:rPr>
                              <w:t>gy and power quality control</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1CDF03" id="_x0000_s1246" type="#_x0000_t202" style="position:absolute;margin-left:358.95pt;margin-top:275.95pt;width:48.7pt;height:14.55pt;z-index:25204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" fillcolor="white [3212]" stroked="f">
                <v:textbox inset="0,0,0,0">
                  <w:txbxContent>
                    <w:p w14:paraId="71113B03" w14:textId="1B1EB98B" w:rsidR="002C3947" w:rsidRPr="00F81B0F" w:rsidRDefault="002C3947" w:rsidP="000F3E7C">
                      <w:pPr>
                        <w:spacing w:line="192" w:lineRule="auto"/>
                        <w:jc w:val="center"/>
                        <w:rPr>
                          <w:sz w:val="10"/>
                          <w:szCs w:val="18"/>
                        </w:rPr>
                      </w:pPr>
                      <w:r w:rsidRPr="000F3E7C">
                        <w:rPr>
                          <w:sz w:val="10"/>
                          <w:szCs w:val="18"/>
                        </w:rPr>
                        <w:t>Department of metrolo</w:t>
                      </w:r>
                      <w:r>
                        <w:rPr>
                          <w:sz w:val="10"/>
                          <w:szCs w:val="18"/>
                          <w:lang w:val="ru-RU"/>
                        </w:rPr>
                        <w:t>-</w:t>
                      </w:r>
                      <w:r w:rsidRPr="000F3E7C">
                        <w:rPr>
                          <w:sz w:val="10"/>
                          <w:szCs w:val="18"/>
                        </w:rPr>
                        <w:t>gy and power quality control</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46848" behindDoc="0" locked="0" layoutInCell="1" allowOverlap="1" wp14:anchorId="135EEB2E" wp14:editId="036B31CB">
                <wp:simplePos x="0" y="0"/>
                <wp:positionH relativeFrom="column">
                  <wp:posOffset>4643717</wp:posOffset>
                </wp:positionH>
                <wp:positionV relativeFrom="paragraph">
                  <wp:posOffset>2636218</wp:posOffset>
                </wp:positionV>
                <wp:extent cx="533913" cy="188937"/>
                <wp:effectExtent l="0" t="0" r="0" b="1905"/>
                <wp:wrapNone/>
                <wp:docPr id="6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913" cy="188937"/>
                        </a:xfrm>
                        <a:prstGeom prst="rect">
                          <a:avLst/>
                        </a:prstGeom>
                        <a:solidFill>
                          <a:schemeClr val="bg1"/>
                        </a:solidFill>
                        <a:ln w="9525">
                          <a:noFill/>
                          <a:miter lim="800000"/>
                          <a:headEnd/>
                          <a:tailEnd/>
                        </a:ln>
                      </wps:spPr>
                      <wps:txbx>
                        <w:txbxContent>
                          <w:p w14:paraId="5B7E4DCD" w14:textId="4261D7FE" w:rsidR="002C3947" w:rsidRPr="00F81B0F" w:rsidRDefault="002C3947" w:rsidP="000F3E7C">
                            <w:pPr>
                              <w:spacing w:line="216" w:lineRule="auto"/>
                              <w:jc w:val="center"/>
                              <w:rPr>
                                <w:sz w:val="10"/>
                                <w:szCs w:val="18"/>
                              </w:rPr>
                            </w:pPr>
                            <w:r w:rsidRPr="000F3E7C">
                              <w:rPr>
                                <w:sz w:val="10"/>
                                <w:szCs w:val="18"/>
                              </w:rPr>
                              <w:t>Engineering Prepa</w:t>
                            </w:r>
                            <w:r>
                              <w:rPr>
                                <w:sz w:val="10"/>
                                <w:szCs w:val="18"/>
                                <w:lang w:val="ru-RU"/>
                              </w:rPr>
                              <w:t>-</w:t>
                            </w:r>
                            <w:r w:rsidRPr="000F3E7C">
                              <w:rPr>
                                <w:sz w:val="10"/>
                                <w:szCs w:val="18"/>
                              </w:rPr>
                              <w:t>ration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35EEB2E" id="_x0000_s1247" type="#_x0000_t202" style="position:absolute;margin-left:365.65pt;margin-top:207.6pt;width:42.05pt;height:14.9pt;z-index:25204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" fillcolor="white [3212]" stroked="f">
                <v:textbox inset="0,0,0,0">
                  <w:txbxContent>
                    <w:p w14:paraId="5B7E4DCD" w14:textId="4261D7FE" w:rsidR="002C3947" w:rsidRPr="00F81B0F" w:rsidRDefault="002C3947" w:rsidP="000F3E7C">
                      <w:pPr>
                        <w:spacing w:line="216" w:lineRule="auto"/>
                        <w:jc w:val="center"/>
                        <w:rPr>
                          <w:sz w:val="10"/>
                          <w:szCs w:val="18"/>
                        </w:rPr>
                      </w:pPr>
                      <w:r w:rsidRPr="000F3E7C">
                        <w:rPr>
                          <w:sz w:val="10"/>
                          <w:szCs w:val="18"/>
                        </w:rPr>
                        <w:t>Engineering Prepa</w:t>
                      </w:r>
                      <w:r>
                        <w:rPr>
                          <w:sz w:val="10"/>
                          <w:szCs w:val="18"/>
                          <w:lang w:val="ru-RU"/>
                        </w:rPr>
                        <w:t>-</w:t>
                      </w:r>
                      <w:r w:rsidRPr="000F3E7C">
                        <w:rPr>
                          <w:sz w:val="10"/>
                          <w:szCs w:val="18"/>
                        </w:rPr>
                        <w:t>ration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44800" behindDoc="0" locked="0" layoutInCell="1" allowOverlap="1" wp14:anchorId="364B2769" wp14:editId="379A1D47">
                <wp:simplePos x="0" y="0"/>
                <wp:positionH relativeFrom="column">
                  <wp:posOffset>4635963</wp:posOffset>
                </wp:positionH>
                <wp:positionV relativeFrom="paragraph">
                  <wp:posOffset>2369185</wp:posOffset>
                </wp:positionV>
                <wp:extent cx="546120" cy="208280"/>
                <wp:effectExtent l="0" t="0" r="6350" b="1270"/>
                <wp:wrapNone/>
                <wp:docPr id="6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20" cy="208280"/>
                        </a:xfrm>
                        <a:prstGeom prst="rect">
                          <a:avLst/>
                        </a:prstGeom>
                        <a:solidFill>
                          <a:schemeClr val="bg1"/>
                        </a:solidFill>
                        <a:ln w="9525">
                          <a:noFill/>
                          <a:miter lim="800000"/>
                          <a:headEnd/>
                          <a:tailEnd/>
                        </a:ln>
                      </wps:spPr>
                      <wps:txbx>
                        <w:txbxContent>
                          <w:p w14:paraId="2093A4DF" w14:textId="011B4CBC" w:rsidR="002C3947" w:rsidRPr="00F81B0F" w:rsidRDefault="002C3947" w:rsidP="000F3E7C">
                            <w:pPr>
                              <w:spacing w:line="216" w:lineRule="auto"/>
                              <w:jc w:val="center"/>
                              <w:rPr>
                                <w:sz w:val="10"/>
                                <w:szCs w:val="18"/>
                              </w:rPr>
                            </w:pPr>
                            <w:r w:rsidRPr="000F3E7C">
                              <w:rPr>
                                <w:sz w:val="10"/>
                                <w:szCs w:val="18"/>
                              </w:rPr>
                              <w:t>Technological Deve</w:t>
                            </w:r>
                            <w:r>
                              <w:rPr>
                                <w:sz w:val="10"/>
                                <w:szCs w:val="18"/>
                                <w:lang w:val="ru-RU"/>
                              </w:rPr>
                              <w:t>-</w:t>
                            </w:r>
                            <w:r w:rsidRPr="000F3E7C">
                              <w:rPr>
                                <w:sz w:val="10"/>
                                <w:szCs w:val="18"/>
                              </w:rPr>
                              <w:t>lopment and Innova</w:t>
                            </w:r>
                            <w:r>
                              <w:rPr>
                                <w:sz w:val="10"/>
                                <w:szCs w:val="18"/>
                                <w:lang w:val="ru-RU"/>
                              </w:rPr>
                              <w:t>-</w:t>
                            </w:r>
                            <w:r w:rsidRPr="000F3E7C">
                              <w:rPr>
                                <w:sz w:val="10"/>
                                <w:szCs w:val="18"/>
                              </w:rPr>
                              <w:t>tion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4B2769" id="_x0000_s1248" type="#_x0000_t202" style="position:absolute;margin-left:365.05pt;margin-top:186.55pt;width:43pt;height:16.4pt;z-index:25204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" fillcolor="white [3212]" stroked="f">
                <v:textbox inset="0,0,0,0">
                  <w:txbxContent>
                    <w:p w14:paraId="2093A4DF" w14:textId="011B4CBC" w:rsidR="002C3947" w:rsidRPr="00F81B0F" w:rsidRDefault="002C3947" w:rsidP="000F3E7C">
                      <w:pPr>
                        <w:spacing w:line="216" w:lineRule="auto"/>
                        <w:jc w:val="center"/>
                        <w:rPr>
                          <w:sz w:val="10"/>
                          <w:szCs w:val="18"/>
                        </w:rPr>
                      </w:pPr>
                      <w:r w:rsidRPr="000F3E7C">
                        <w:rPr>
                          <w:sz w:val="10"/>
                          <w:szCs w:val="18"/>
                        </w:rPr>
                        <w:t>Technological Deve</w:t>
                      </w:r>
                      <w:r>
                        <w:rPr>
                          <w:sz w:val="10"/>
                          <w:szCs w:val="18"/>
                          <w:lang w:val="ru-RU"/>
                        </w:rPr>
                        <w:t>-</w:t>
                      </w:r>
                      <w:r w:rsidRPr="000F3E7C">
                        <w:rPr>
                          <w:sz w:val="10"/>
                          <w:szCs w:val="18"/>
                        </w:rPr>
                        <w:t>lopment and Innova</w:t>
                      </w:r>
                      <w:r>
                        <w:rPr>
                          <w:sz w:val="10"/>
                          <w:szCs w:val="18"/>
                          <w:lang w:val="ru-RU"/>
                        </w:rPr>
                        <w:t>-</w:t>
                      </w:r>
                      <w:r w:rsidRPr="000F3E7C">
                        <w:rPr>
                          <w:sz w:val="10"/>
                          <w:szCs w:val="18"/>
                        </w:rPr>
                        <w:t>tion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42752" behindDoc="0" locked="0" layoutInCell="1" allowOverlap="1" wp14:anchorId="20E5D784" wp14:editId="64CB6A7A">
                <wp:simplePos x="0" y="0"/>
                <wp:positionH relativeFrom="column">
                  <wp:posOffset>4564392</wp:posOffset>
                </wp:positionH>
                <wp:positionV relativeFrom="paragraph">
                  <wp:posOffset>2018924</wp:posOffset>
                </wp:positionV>
                <wp:extent cx="615061" cy="268263"/>
                <wp:effectExtent l="0" t="0" r="0" b="0"/>
                <wp:wrapNone/>
                <wp:docPr id="6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61" cy="268263"/>
                        </a:xfrm>
                        <a:prstGeom prst="rect">
                          <a:avLst/>
                        </a:prstGeom>
                        <a:solidFill>
                          <a:schemeClr val="bg1"/>
                        </a:solidFill>
                        <a:ln w="9525">
                          <a:noFill/>
                          <a:miter lim="800000"/>
                          <a:headEnd/>
                          <a:tailEnd/>
                        </a:ln>
                      </wps:spPr>
                      <wps:txbx>
                        <w:txbxContent>
                          <w:p w14:paraId="1CC4227A" w14:textId="26A28966" w:rsidR="002C3947" w:rsidRPr="00F81B0F" w:rsidRDefault="002C3947" w:rsidP="000F3E7C">
                            <w:pPr>
                              <w:spacing w:line="216" w:lineRule="auto"/>
                              <w:jc w:val="center"/>
                              <w:rPr>
                                <w:sz w:val="10"/>
                                <w:szCs w:val="18"/>
                              </w:rPr>
                            </w:pPr>
                            <w:r w:rsidRPr="000F3E7C">
                              <w:rPr>
                                <w:sz w:val="10"/>
                                <w:szCs w:val="18"/>
                              </w:rPr>
                              <w:t>Deputy Chief Engineer for Technological Development and Innovation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E5D784" id="_x0000_s1249" type="#_x0000_t202" style="position:absolute;margin-left:359.4pt;margin-top:158.95pt;width:48.45pt;height:21.1pt;z-index:25204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" fillcolor="white [3212]" stroked="f">
                <v:textbox inset="0,0,0,0">
                  <w:txbxContent>
                    <w:p w14:paraId="1CC4227A" w14:textId="26A28966" w:rsidR="002C3947" w:rsidRPr="00F81B0F" w:rsidRDefault="002C3947" w:rsidP="000F3E7C">
                      <w:pPr>
                        <w:spacing w:line="216" w:lineRule="auto"/>
                        <w:jc w:val="center"/>
                        <w:rPr>
                          <w:sz w:val="10"/>
                          <w:szCs w:val="18"/>
                        </w:rPr>
                      </w:pPr>
                      <w:r w:rsidRPr="000F3E7C">
                        <w:rPr>
                          <w:sz w:val="10"/>
                          <w:szCs w:val="18"/>
                        </w:rPr>
                        <w:t>Deputy Chief Engineer for Technological Development and Innovation</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40704" behindDoc="0" locked="0" layoutInCell="1" allowOverlap="1" wp14:anchorId="1E5EBA93" wp14:editId="70296C12">
                <wp:simplePos x="0" y="0"/>
                <wp:positionH relativeFrom="column">
                  <wp:posOffset>4562950</wp:posOffset>
                </wp:positionH>
                <wp:positionV relativeFrom="paragraph">
                  <wp:posOffset>1720375</wp:posOffset>
                </wp:positionV>
                <wp:extent cx="615061" cy="204803"/>
                <wp:effectExtent l="0" t="0" r="0" b="5080"/>
                <wp:wrapNone/>
                <wp:docPr id="6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61" cy="204803"/>
                        </a:xfrm>
                        <a:prstGeom prst="rect">
                          <a:avLst/>
                        </a:prstGeom>
                        <a:solidFill>
                          <a:schemeClr val="bg1"/>
                        </a:solidFill>
                        <a:ln w="9525">
                          <a:noFill/>
                          <a:miter lim="800000"/>
                          <a:headEnd/>
                          <a:tailEnd/>
                        </a:ln>
                      </wps:spPr>
                      <wps:txbx>
                        <w:txbxContent>
                          <w:p w14:paraId="5F953795" w14:textId="1771BC37" w:rsidR="002C3947" w:rsidRPr="00F81B0F" w:rsidRDefault="002C3947" w:rsidP="000F3E7C">
                            <w:pPr>
                              <w:jc w:val="center"/>
                              <w:rPr>
                                <w:sz w:val="10"/>
                                <w:szCs w:val="18"/>
                              </w:rPr>
                            </w:pPr>
                            <w:r w:rsidRPr="000F3E7C">
                              <w:rPr>
                                <w:sz w:val="10"/>
                                <w:szCs w:val="18"/>
                              </w:rPr>
                              <w:t>Quality Management Service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E5EBA93" id="_x0000_s1250" type="#_x0000_t202" style="position:absolute;margin-left:359.3pt;margin-top:135.45pt;width:48.45pt;height:16.15pt;z-index:25204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" fillcolor="white [3212]" stroked="f">
                <v:textbox inset="0,0,0,0">
                  <w:txbxContent>
                    <w:p w14:paraId="5F953795" w14:textId="1771BC37" w:rsidR="002C3947" w:rsidRPr="00F81B0F" w:rsidRDefault="002C3947" w:rsidP="000F3E7C">
                      <w:pPr>
                        <w:jc w:val="center"/>
                        <w:rPr>
                          <w:sz w:val="10"/>
                          <w:szCs w:val="18"/>
                        </w:rPr>
                      </w:pPr>
                      <w:r w:rsidRPr="000F3E7C">
                        <w:rPr>
                          <w:sz w:val="10"/>
                          <w:szCs w:val="18"/>
                        </w:rPr>
                        <w:t>Quality Management Service</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38656" behindDoc="0" locked="0" layoutInCell="1" allowOverlap="1" wp14:anchorId="4B122776" wp14:editId="5FAFED8F">
                <wp:simplePos x="0" y="0"/>
                <wp:positionH relativeFrom="column">
                  <wp:posOffset>4564666</wp:posOffset>
                </wp:positionH>
                <wp:positionV relativeFrom="paragraph">
                  <wp:posOffset>1299968</wp:posOffset>
                </wp:positionV>
                <wp:extent cx="610009" cy="221248"/>
                <wp:effectExtent l="0" t="0" r="0" b="7620"/>
                <wp:wrapNone/>
                <wp:docPr id="6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009" cy="221248"/>
                        </a:xfrm>
                        <a:prstGeom prst="rect">
                          <a:avLst/>
                        </a:prstGeom>
                        <a:solidFill>
                          <a:schemeClr val="bg1"/>
                        </a:solidFill>
                        <a:ln w="9525">
                          <a:noFill/>
                          <a:miter lim="800000"/>
                          <a:headEnd/>
                          <a:tailEnd/>
                        </a:ln>
                      </wps:spPr>
                      <wps:txbx>
                        <w:txbxContent>
                          <w:p w14:paraId="7AE258DF" w14:textId="1CFBA845" w:rsidR="002C3947" w:rsidRPr="000F3E7C" w:rsidRDefault="002C3947" w:rsidP="000F3E7C">
                            <w:pPr>
                              <w:spacing w:line="192" w:lineRule="auto"/>
                              <w:jc w:val="center"/>
                              <w:rPr>
                                <w:spacing w:val="-4"/>
                                <w:sz w:val="10"/>
                                <w:szCs w:val="18"/>
                              </w:rPr>
                            </w:pPr>
                            <w:r w:rsidRPr="000F3E7C">
                              <w:rPr>
                                <w:spacing w:val="-4"/>
                                <w:sz w:val="10"/>
                                <w:szCs w:val="18"/>
                              </w:rPr>
                              <w:t>Operational Process Control and Situational Management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122776" id="_x0000_s1251" type="#_x0000_t202" style="position:absolute;margin-left:359.4pt;margin-top:102.35pt;width:48.05pt;height:17.4pt;z-index:25203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" fillcolor="white [3212]" stroked="f">
                <v:textbox inset="0,0,0,0">
                  <w:txbxContent>
                    <w:p w14:paraId="7AE258DF" w14:textId="1CFBA845" w:rsidR="002C3947" w:rsidRPr="000F3E7C" w:rsidRDefault="002C3947" w:rsidP="000F3E7C">
                      <w:pPr>
                        <w:spacing w:line="192" w:lineRule="auto"/>
                        <w:jc w:val="center"/>
                        <w:rPr>
                          <w:spacing w:val="-4"/>
                          <w:sz w:val="10"/>
                          <w:szCs w:val="18"/>
                        </w:rPr>
                      </w:pPr>
                      <w:r w:rsidRPr="000F3E7C">
                        <w:rPr>
                          <w:spacing w:val="-4"/>
                          <w:sz w:val="10"/>
                          <w:szCs w:val="18"/>
                        </w:rPr>
                        <w:t>Operational Process Control and Situational Management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36608" behindDoc="0" locked="0" layoutInCell="1" allowOverlap="1" wp14:anchorId="003B02DE" wp14:editId="7B39811E">
                <wp:simplePos x="0" y="0"/>
                <wp:positionH relativeFrom="column">
                  <wp:posOffset>4564666</wp:posOffset>
                </wp:positionH>
                <wp:positionV relativeFrom="paragraph">
                  <wp:posOffset>979296</wp:posOffset>
                </wp:positionV>
                <wp:extent cx="615061" cy="303867"/>
                <wp:effectExtent l="0" t="0" r="0" b="1270"/>
                <wp:wrapNone/>
                <wp:docPr id="6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61" cy="303867"/>
                        </a:xfrm>
                        <a:prstGeom prst="rect">
                          <a:avLst/>
                        </a:prstGeom>
                        <a:solidFill>
                          <a:schemeClr val="bg1"/>
                        </a:solidFill>
                        <a:ln w="9525">
                          <a:noFill/>
                          <a:miter lim="800000"/>
                          <a:headEnd/>
                          <a:tailEnd/>
                        </a:ln>
                      </wps:spPr>
                      <wps:txbx>
                        <w:txbxContent>
                          <w:p w14:paraId="6D5F0590" w14:textId="79BD4890" w:rsidR="002C3947" w:rsidRPr="00F81B0F" w:rsidRDefault="002C3947" w:rsidP="000F3E7C">
                            <w:pPr>
                              <w:spacing w:line="192" w:lineRule="auto"/>
                              <w:jc w:val="center"/>
                              <w:rPr>
                                <w:sz w:val="10"/>
                                <w:szCs w:val="18"/>
                              </w:rPr>
                            </w:pPr>
                            <w:r w:rsidRPr="000F3E7C">
                              <w:rPr>
                                <w:sz w:val="10"/>
                                <w:szCs w:val="18"/>
                              </w:rPr>
                              <w:t>Deputy Chief Engineer for Operational Process Control and Situational Management – Head of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03B02DE" id="_x0000_s1252" type="#_x0000_t202" style="position:absolute;margin-left:359.4pt;margin-top:77.1pt;width:48.45pt;height:23.95pt;z-index:25203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" fillcolor="white [3212]" stroked="f">
                <v:textbox inset="0,0,0,0">
                  <w:txbxContent>
                    <w:p w14:paraId="6D5F0590" w14:textId="79BD4890" w:rsidR="002C3947" w:rsidRPr="00F81B0F" w:rsidRDefault="002C3947" w:rsidP="000F3E7C">
                      <w:pPr>
                        <w:spacing w:line="192" w:lineRule="auto"/>
                        <w:jc w:val="center"/>
                        <w:rPr>
                          <w:sz w:val="10"/>
                          <w:szCs w:val="18"/>
                        </w:rPr>
                      </w:pPr>
                      <w:r w:rsidRPr="000F3E7C">
                        <w:rPr>
                          <w:sz w:val="10"/>
                          <w:szCs w:val="18"/>
                        </w:rPr>
                        <w:t>Deputy Chief Engineer for Operational Process Control and Situational Management – Head of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34560" behindDoc="0" locked="0" layoutInCell="1" allowOverlap="1" wp14:anchorId="04D318A6" wp14:editId="681B4F49">
                <wp:simplePos x="0" y="0"/>
                <wp:positionH relativeFrom="column">
                  <wp:posOffset>3763691</wp:posOffset>
                </wp:positionH>
                <wp:positionV relativeFrom="paragraph">
                  <wp:posOffset>3508252</wp:posOffset>
                </wp:positionV>
                <wp:extent cx="613242" cy="184840"/>
                <wp:effectExtent l="0" t="0" r="0" b="5715"/>
                <wp:wrapNone/>
                <wp:docPr id="6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242" cy="184840"/>
                        </a:xfrm>
                        <a:prstGeom prst="rect">
                          <a:avLst/>
                        </a:prstGeom>
                        <a:solidFill>
                          <a:schemeClr val="bg1"/>
                        </a:solidFill>
                        <a:ln w="9525">
                          <a:noFill/>
                          <a:miter lim="800000"/>
                          <a:headEnd/>
                          <a:tailEnd/>
                        </a:ln>
                      </wps:spPr>
                      <wps:txbx>
                        <w:txbxContent>
                          <w:p w14:paraId="3C926B51" w14:textId="129C0F98" w:rsidR="002C3947" w:rsidRPr="00F81B0F" w:rsidRDefault="002C3947" w:rsidP="000F3E7C">
                            <w:pPr>
                              <w:jc w:val="center"/>
                              <w:rPr>
                                <w:sz w:val="10"/>
                                <w:szCs w:val="18"/>
                              </w:rPr>
                            </w:pPr>
                            <w:r w:rsidRPr="000F3E7C">
                              <w:rPr>
                                <w:sz w:val="10"/>
                                <w:szCs w:val="18"/>
                              </w:rPr>
                              <w:t>Production and technical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D318A6" id="_x0000_s1253" type="#_x0000_t202" style="position:absolute;margin-left:296.35pt;margin-top:276.25pt;width:48.3pt;height:14.55pt;z-index:25203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" fillcolor="white [3212]" stroked="f">
                <v:textbox inset="0,0,0,0">
                  <w:txbxContent>
                    <w:p w14:paraId="3C926B51" w14:textId="129C0F98" w:rsidR="002C3947" w:rsidRPr="00F81B0F" w:rsidRDefault="002C3947" w:rsidP="000F3E7C">
                      <w:pPr>
                        <w:jc w:val="center"/>
                        <w:rPr>
                          <w:sz w:val="10"/>
                          <w:szCs w:val="18"/>
                        </w:rPr>
                      </w:pPr>
                      <w:r w:rsidRPr="000F3E7C">
                        <w:rPr>
                          <w:sz w:val="10"/>
                          <w:szCs w:val="18"/>
                        </w:rPr>
                        <w:t>Production and technical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32512" behindDoc="0" locked="0" layoutInCell="1" allowOverlap="1" wp14:anchorId="3D8CD6AB" wp14:editId="7ABD993B">
                <wp:simplePos x="0" y="0"/>
                <wp:positionH relativeFrom="column">
                  <wp:posOffset>3763691</wp:posOffset>
                </wp:positionH>
                <wp:positionV relativeFrom="paragraph">
                  <wp:posOffset>3060154</wp:posOffset>
                </wp:positionV>
                <wp:extent cx="613242" cy="285662"/>
                <wp:effectExtent l="0" t="0" r="0" b="635"/>
                <wp:wrapNone/>
                <wp:docPr id="6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242" cy="285662"/>
                        </a:xfrm>
                        <a:prstGeom prst="rect">
                          <a:avLst/>
                        </a:prstGeom>
                        <a:solidFill>
                          <a:schemeClr val="bg1"/>
                        </a:solidFill>
                        <a:ln w="9525">
                          <a:noFill/>
                          <a:miter lim="800000"/>
                          <a:headEnd/>
                          <a:tailEnd/>
                        </a:ln>
                      </wps:spPr>
                      <wps:txbx>
                        <w:txbxContent>
                          <w:p w14:paraId="1B4891F8" w14:textId="5B178039" w:rsidR="002C3947" w:rsidRPr="00F81B0F" w:rsidRDefault="002C3947" w:rsidP="000F3E7C">
                            <w:pPr>
                              <w:jc w:val="center"/>
                              <w:rPr>
                                <w:sz w:val="10"/>
                                <w:szCs w:val="18"/>
                              </w:rPr>
                            </w:pPr>
                            <w:r w:rsidRPr="000F3E7C">
                              <w:rPr>
                                <w:sz w:val="10"/>
                                <w:szCs w:val="18"/>
                              </w:rPr>
                              <w:t>Production Safety and Production Control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8CD6AB" id="_x0000_s1254" type="#_x0000_t202" style="position:absolute;margin-left:296.35pt;margin-top:240.95pt;width:48.3pt;height:22.5pt;z-index:25203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" fillcolor="white [3212]" stroked="f">
                <v:textbox inset="0,0,0,0">
                  <w:txbxContent>
                    <w:p w14:paraId="1B4891F8" w14:textId="5B178039" w:rsidR="002C3947" w:rsidRPr="00F81B0F" w:rsidRDefault="002C3947" w:rsidP="000F3E7C">
                      <w:pPr>
                        <w:jc w:val="center"/>
                        <w:rPr>
                          <w:sz w:val="10"/>
                          <w:szCs w:val="18"/>
                        </w:rPr>
                      </w:pPr>
                      <w:r w:rsidRPr="000F3E7C">
                        <w:rPr>
                          <w:sz w:val="10"/>
                          <w:szCs w:val="18"/>
                        </w:rPr>
                        <w:t>Production Safety and Production Control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28416" behindDoc="0" locked="0" layoutInCell="1" allowOverlap="1" wp14:anchorId="426DA6A1" wp14:editId="56AC53FC">
                <wp:simplePos x="0" y="0"/>
                <wp:positionH relativeFrom="column">
                  <wp:posOffset>3839307</wp:posOffset>
                </wp:positionH>
                <wp:positionV relativeFrom="paragraph">
                  <wp:posOffset>2371202</wp:posOffset>
                </wp:positionV>
                <wp:extent cx="546120" cy="208280"/>
                <wp:effectExtent l="0" t="0" r="6350" b="1270"/>
                <wp:wrapNone/>
                <wp:docPr id="6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20" cy="208280"/>
                        </a:xfrm>
                        <a:prstGeom prst="rect">
                          <a:avLst/>
                        </a:prstGeom>
                        <a:solidFill>
                          <a:schemeClr val="bg1"/>
                        </a:solidFill>
                        <a:ln w="9525">
                          <a:noFill/>
                          <a:miter lim="800000"/>
                          <a:headEnd/>
                          <a:tailEnd/>
                        </a:ln>
                      </wps:spPr>
                      <wps:txbx>
                        <w:txbxContent>
                          <w:p w14:paraId="1C4B34C7" w14:textId="551ED395" w:rsidR="002C3947" w:rsidRPr="00F81B0F" w:rsidRDefault="002C3947" w:rsidP="000F3E7C">
                            <w:pPr>
                              <w:spacing w:line="216" w:lineRule="auto"/>
                              <w:jc w:val="center"/>
                              <w:rPr>
                                <w:sz w:val="10"/>
                                <w:szCs w:val="18"/>
                              </w:rPr>
                            </w:pPr>
                            <w:r w:rsidRPr="000F3E7C">
                              <w:rPr>
                                <w:sz w:val="10"/>
                                <w:szCs w:val="18"/>
                              </w:rPr>
                              <w:t>Mechanization and Transportation Service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6DA6A1" id="_x0000_s1255" type="#_x0000_t202" style="position:absolute;margin-left:302.3pt;margin-top:186.7pt;width:43pt;height:16.4pt;z-index:25202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" fillcolor="white [3212]" stroked="f">
                <v:textbox inset="0,0,0,0">
                  <w:txbxContent>
                    <w:p w14:paraId="1C4B34C7" w14:textId="551ED395" w:rsidR="002C3947" w:rsidRPr="00F81B0F" w:rsidRDefault="002C3947" w:rsidP="000F3E7C">
                      <w:pPr>
                        <w:spacing w:line="216" w:lineRule="auto"/>
                        <w:jc w:val="center"/>
                        <w:rPr>
                          <w:sz w:val="10"/>
                          <w:szCs w:val="18"/>
                        </w:rPr>
                      </w:pPr>
                      <w:r w:rsidRPr="000F3E7C">
                        <w:rPr>
                          <w:sz w:val="10"/>
                          <w:szCs w:val="18"/>
                        </w:rPr>
                        <w:t>Mechanization and Transportation Service</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30464" behindDoc="0" locked="0" layoutInCell="1" allowOverlap="1" wp14:anchorId="1E350DAB" wp14:editId="2C1EC596">
                <wp:simplePos x="0" y="0"/>
                <wp:positionH relativeFrom="column">
                  <wp:posOffset>3762489</wp:posOffset>
                </wp:positionH>
                <wp:positionV relativeFrom="paragraph">
                  <wp:posOffset>2686697</wp:posOffset>
                </wp:positionV>
                <wp:extent cx="613242" cy="350472"/>
                <wp:effectExtent l="0" t="0" r="0" b="0"/>
                <wp:wrapNone/>
                <wp:docPr id="6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242" cy="350472"/>
                        </a:xfrm>
                        <a:prstGeom prst="rect">
                          <a:avLst/>
                        </a:prstGeom>
                        <a:solidFill>
                          <a:schemeClr val="bg1"/>
                        </a:solidFill>
                        <a:ln w="9525">
                          <a:noFill/>
                          <a:miter lim="800000"/>
                          <a:headEnd/>
                          <a:tailEnd/>
                        </a:ln>
                      </wps:spPr>
                      <wps:txbx>
                        <w:txbxContent>
                          <w:p w14:paraId="48AB5EA1" w14:textId="2AF7C1C2" w:rsidR="002C3947" w:rsidRPr="00F81B0F" w:rsidRDefault="002C3947" w:rsidP="000F3E7C">
                            <w:pPr>
                              <w:jc w:val="center"/>
                              <w:rPr>
                                <w:sz w:val="10"/>
                                <w:szCs w:val="18"/>
                              </w:rPr>
                            </w:pPr>
                            <w:r w:rsidRPr="000F3E7C">
                              <w:rPr>
                                <w:sz w:val="10"/>
                                <w:szCs w:val="18"/>
                              </w:rPr>
                              <w:t>Deputy Chief Engineer for Production Safety and Production Control – Head of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E350DAB" id="_x0000_s1256" type="#_x0000_t202" style="position:absolute;margin-left:296.25pt;margin-top:211.55pt;width:48.3pt;height:27.6pt;z-index:25203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" fillcolor="white [3212]" stroked="f">
                <v:textbox inset="0,0,0,0">
                  <w:txbxContent>
                    <w:p w14:paraId="48AB5EA1" w14:textId="2AF7C1C2" w:rsidR="002C3947" w:rsidRPr="00F81B0F" w:rsidRDefault="002C3947" w:rsidP="000F3E7C">
                      <w:pPr>
                        <w:jc w:val="center"/>
                        <w:rPr>
                          <w:sz w:val="10"/>
                          <w:szCs w:val="18"/>
                        </w:rPr>
                      </w:pPr>
                      <w:r w:rsidRPr="000F3E7C">
                        <w:rPr>
                          <w:sz w:val="10"/>
                          <w:szCs w:val="18"/>
                        </w:rPr>
                        <w:t>Deputy Chief Engineer for Production Safety and Production Control – Head of Department</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26368" behindDoc="0" locked="0" layoutInCell="1" allowOverlap="1" wp14:anchorId="419B3401" wp14:editId="338ED992">
                <wp:simplePos x="0" y="0"/>
                <wp:positionH relativeFrom="column">
                  <wp:posOffset>3767022</wp:posOffset>
                </wp:positionH>
                <wp:positionV relativeFrom="paragraph">
                  <wp:posOffset>1283202</wp:posOffset>
                </wp:positionV>
                <wp:extent cx="610009" cy="235301"/>
                <wp:effectExtent l="0" t="0" r="0" b="0"/>
                <wp:wrapNone/>
                <wp:docPr id="6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009" cy="235301"/>
                        </a:xfrm>
                        <a:prstGeom prst="rect">
                          <a:avLst/>
                        </a:prstGeom>
                        <a:solidFill>
                          <a:schemeClr val="bg1"/>
                        </a:solidFill>
                        <a:ln w="9525">
                          <a:noFill/>
                          <a:miter lim="800000"/>
                          <a:headEnd/>
                          <a:tailEnd/>
                        </a:ln>
                      </wps:spPr>
                      <wps:txbx>
                        <w:txbxContent>
                          <w:p w14:paraId="68C8CBE5" w14:textId="1F10E71E" w:rsidR="002C3947" w:rsidRPr="00F81B0F" w:rsidRDefault="002C3947" w:rsidP="000F3E7C">
                            <w:pPr>
                              <w:jc w:val="center"/>
                              <w:rPr>
                                <w:sz w:val="10"/>
                                <w:szCs w:val="18"/>
                              </w:rPr>
                            </w:pPr>
                            <w:r w:rsidRPr="000F3E7C">
                              <w:rPr>
                                <w:sz w:val="10"/>
                                <w:szCs w:val="18"/>
                              </w:rPr>
                              <w:t>Distribution High Voltage Grids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9B3401" id="_x0000_s1257" type="#_x0000_t202" style="position:absolute;margin-left:296.6pt;margin-top:101.05pt;width:48.05pt;height:18.55pt;z-index:25202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" fillcolor="white [3212]" stroked="f">
                <v:textbox inset="0,0,0,0">
                  <w:txbxContent>
                    <w:p w14:paraId="68C8CBE5" w14:textId="1F10E71E" w:rsidR="002C3947" w:rsidRPr="00F81B0F" w:rsidRDefault="002C3947" w:rsidP="000F3E7C">
                      <w:pPr>
                        <w:jc w:val="center"/>
                        <w:rPr>
                          <w:sz w:val="10"/>
                          <w:szCs w:val="18"/>
                        </w:rPr>
                      </w:pPr>
                      <w:r w:rsidRPr="000F3E7C">
                        <w:rPr>
                          <w:sz w:val="10"/>
                          <w:szCs w:val="18"/>
                        </w:rPr>
                        <w:t>Distribution High Voltage Grids</w:t>
                      </w:r>
                    </w:p>
                  </w:txbxContent>
                </v:textbox>
              </v:shape>
            </w:pict>
          </mc:Fallback>
        </mc:AlternateContent>
      </w:r>
      <w:r w:rsidR="000F3E7C"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24320" behindDoc="0" locked="0" layoutInCell="1" allowOverlap="1" wp14:anchorId="6F9000B3" wp14:editId="0A3D73DC">
                <wp:simplePos x="0" y="0"/>
                <wp:positionH relativeFrom="column">
                  <wp:posOffset>3847442</wp:posOffset>
                </wp:positionH>
                <wp:positionV relativeFrom="paragraph">
                  <wp:posOffset>2076973</wp:posOffset>
                </wp:positionV>
                <wp:extent cx="530174" cy="227856"/>
                <wp:effectExtent l="0" t="0" r="3810" b="1270"/>
                <wp:wrapNone/>
                <wp:docPr id="6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174" cy="227856"/>
                        </a:xfrm>
                        <a:prstGeom prst="rect">
                          <a:avLst/>
                        </a:prstGeom>
                        <a:solidFill>
                          <a:schemeClr val="bg1"/>
                        </a:solidFill>
                        <a:ln w="9525">
                          <a:noFill/>
                          <a:miter lim="800000"/>
                          <a:headEnd/>
                          <a:tailEnd/>
                        </a:ln>
                      </wps:spPr>
                      <wps:txbx>
                        <w:txbxContent>
                          <w:p w14:paraId="6B042BDE" w14:textId="7A0241E2" w:rsidR="002C3947" w:rsidRPr="00F81B0F" w:rsidRDefault="002C3947" w:rsidP="000F3E7C">
                            <w:pPr>
                              <w:jc w:val="center"/>
                              <w:rPr>
                                <w:sz w:val="10"/>
                                <w:szCs w:val="18"/>
                              </w:rPr>
                            </w:pPr>
                            <w:r w:rsidRPr="000F3E7C">
                              <w:rPr>
                                <w:sz w:val="10"/>
                                <w:szCs w:val="18"/>
                              </w:rPr>
                              <w:t>Distribution Grids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9000B3" id="_x0000_s1258" type="#_x0000_t202" style="position:absolute;margin-left:302.95pt;margin-top:163.55pt;width:41.75pt;height:17.95pt;z-index:25202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" fillcolor="white [3212]" stroked="f">
                <v:textbox inset="0,0,0,0">
                  <w:txbxContent>
                    <w:p w14:paraId="6B042BDE" w14:textId="7A0241E2" w:rsidR="002C3947" w:rsidRPr="00F81B0F" w:rsidRDefault="002C3947" w:rsidP="000F3E7C">
                      <w:pPr>
                        <w:jc w:val="center"/>
                        <w:rPr>
                          <w:sz w:val="10"/>
                          <w:szCs w:val="18"/>
                        </w:rPr>
                      </w:pPr>
                      <w:r w:rsidRPr="000F3E7C">
                        <w:rPr>
                          <w:sz w:val="10"/>
                          <w:szCs w:val="18"/>
                        </w:rPr>
                        <w:t>Distribution Grids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22272" behindDoc="0" locked="0" layoutInCell="1" allowOverlap="1" wp14:anchorId="3BA7CB20" wp14:editId="72926CC6">
                <wp:simplePos x="0" y="0"/>
                <wp:positionH relativeFrom="column">
                  <wp:posOffset>3767871</wp:posOffset>
                </wp:positionH>
                <wp:positionV relativeFrom="paragraph">
                  <wp:posOffset>1720850</wp:posOffset>
                </wp:positionV>
                <wp:extent cx="615061" cy="271999"/>
                <wp:effectExtent l="0" t="0" r="0" b="0"/>
                <wp:wrapNone/>
                <wp:docPr id="6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61" cy="271999"/>
                        </a:xfrm>
                        <a:prstGeom prst="rect">
                          <a:avLst/>
                        </a:prstGeom>
                        <a:solidFill>
                          <a:schemeClr val="bg1"/>
                        </a:solidFill>
                        <a:ln w="9525">
                          <a:noFill/>
                          <a:miter lim="800000"/>
                          <a:headEnd/>
                          <a:tailEnd/>
                        </a:ln>
                      </wps:spPr>
                      <wps:txbx>
                        <w:txbxContent>
                          <w:p w14:paraId="57F748B9" w14:textId="337228C8" w:rsidR="002C3947" w:rsidRPr="00F81B0F" w:rsidRDefault="002C3947" w:rsidP="00F81B0F">
                            <w:pPr>
                              <w:jc w:val="center"/>
                              <w:rPr>
                                <w:sz w:val="10"/>
                                <w:szCs w:val="18"/>
                              </w:rPr>
                            </w:pPr>
                            <w:r w:rsidRPr="00F81B0F">
                              <w:rPr>
                                <w:sz w:val="10"/>
                                <w:szCs w:val="18"/>
                              </w:rPr>
                              <w:t>Deputy Chief Engineer for Distribution Grids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BA7CB20" id="_x0000_s1259" type="#_x0000_t202" style="position:absolute;margin-left:296.7pt;margin-top:135.5pt;width:48.45pt;height:21.4pt;z-index:25202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" fillcolor="white [3212]" stroked="f">
                <v:textbox inset="0,0,0,0">
                  <w:txbxContent>
                    <w:p w14:paraId="57F748B9" w14:textId="337228C8" w:rsidR="002C3947" w:rsidRPr="00F81B0F" w:rsidRDefault="002C3947" w:rsidP="00F81B0F">
                      <w:pPr>
                        <w:jc w:val="center"/>
                        <w:rPr>
                          <w:sz w:val="10"/>
                          <w:szCs w:val="18"/>
                        </w:rPr>
                      </w:pPr>
                      <w:r w:rsidRPr="00F81B0F">
                        <w:rPr>
                          <w:sz w:val="10"/>
                          <w:szCs w:val="18"/>
                        </w:rPr>
                        <w:t>Deputy Chief Engineer for Distribution Grids</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20224" behindDoc="0" locked="0" layoutInCell="1" allowOverlap="1" wp14:anchorId="62AAB7EC" wp14:editId="7663EE6C">
                <wp:simplePos x="0" y="0"/>
                <wp:positionH relativeFrom="column">
                  <wp:posOffset>3766601</wp:posOffset>
                </wp:positionH>
                <wp:positionV relativeFrom="paragraph">
                  <wp:posOffset>985520</wp:posOffset>
                </wp:positionV>
                <wp:extent cx="615061" cy="271999"/>
                <wp:effectExtent l="0" t="0" r="0" b="0"/>
                <wp:wrapNone/>
                <wp:docPr id="6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61" cy="271999"/>
                        </a:xfrm>
                        <a:prstGeom prst="rect">
                          <a:avLst/>
                        </a:prstGeom>
                        <a:solidFill>
                          <a:schemeClr val="bg1"/>
                        </a:solidFill>
                        <a:ln w="9525">
                          <a:noFill/>
                          <a:miter lim="800000"/>
                          <a:headEnd/>
                          <a:tailEnd/>
                        </a:ln>
                      </wps:spPr>
                      <wps:txbx>
                        <w:txbxContent>
                          <w:p w14:paraId="031E1B66" w14:textId="1FC951D7" w:rsidR="002C3947" w:rsidRPr="00F81B0F" w:rsidRDefault="002C3947" w:rsidP="00F81B0F">
                            <w:pPr>
                              <w:jc w:val="center"/>
                              <w:rPr>
                                <w:sz w:val="10"/>
                                <w:szCs w:val="18"/>
                              </w:rPr>
                            </w:pPr>
                            <w:r w:rsidRPr="00F81B0F">
                              <w:rPr>
                                <w:sz w:val="10"/>
                                <w:szCs w:val="18"/>
                              </w:rPr>
                              <w:t>Deputy Chief Engineer for High Voltage Grids – Head of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AAB7EC" id="_x0000_s1260" type="#_x0000_t202" style="position:absolute;margin-left:296.6pt;margin-top:77.6pt;width:48.45pt;height:21.4pt;z-index:25202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" fillcolor="white [3212]" stroked="f">
                <v:textbox inset="0,0,0,0">
                  <w:txbxContent>
                    <w:p w14:paraId="031E1B66" w14:textId="1FC951D7" w:rsidR="002C3947" w:rsidRPr="00F81B0F" w:rsidRDefault="002C3947" w:rsidP="00F81B0F">
                      <w:pPr>
                        <w:jc w:val="center"/>
                        <w:rPr>
                          <w:sz w:val="10"/>
                          <w:szCs w:val="18"/>
                        </w:rPr>
                      </w:pPr>
                      <w:r w:rsidRPr="00F81B0F">
                        <w:rPr>
                          <w:sz w:val="10"/>
                          <w:szCs w:val="18"/>
                        </w:rPr>
                        <w:t>Deputy Chief Engineer for High Voltage Grids – Head of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18176" behindDoc="0" locked="0" layoutInCell="1" allowOverlap="1" wp14:anchorId="0A02A1ED" wp14:editId="72BEA73B">
                <wp:simplePos x="0" y="0"/>
                <wp:positionH relativeFrom="column">
                  <wp:posOffset>3770000</wp:posOffset>
                </wp:positionH>
                <wp:positionV relativeFrom="paragraph">
                  <wp:posOffset>529642</wp:posOffset>
                </wp:positionV>
                <wp:extent cx="1396917" cy="348484"/>
                <wp:effectExtent l="0" t="0" r="0" b="0"/>
                <wp:wrapNone/>
                <wp:docPr id="6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917" cy="348484"/>
                        </a:xfrm>
                        <a:prstGeom prst="rect">
                          <a:avLst/>
                        </a:prstGeom>
                        <a:solidFill>
                          <a:schemeClr val="bg1"/>
                        </a:solidFill>
                        <a:ln w="9525">
                          <a:noFill/>
                          <a:miter lim="800000"/>
                          <a:headEnd/>
                          <a:tailEnd/>
                        </a:ln>
                      </wps:spPr>
                      <wps:txbx>
                        <w:txbxContent>
                          <w:p w14:paraId="14CFD3F7" w14:textId="78151E21" w:rsidR="002C3947" w:rsidRPr="00F81B0F" w:rsidRDefault="002C3947" w:rsidP="00F81B0F">
                            <w:pPr>
                              <w:jc w:val="center"/>
                              <w:rPr>
                                <w:sz w:val="10"/>
                                <w:szCs w:val="18"/>
                              </w:rPr>
                            </w:pPr>
                            <w:r w:rsidRPr="00F81B0F">
                              <w:rPr>
                                <w:sz w:val="10"/>
                                <w:szCs w:val="18"/>
                              </w:rPr>
                              <w:t>First Deputy CEO – Chief Engineer</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02A1ED" id="_x0000_s1261" type="#_x0000_t202" style="position:absolute;margin-left:296.85pt;margin-top:41.7pt;width:110pt;height:27.45pt;z-index:25201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" fillcolor="white [3212]" stroked="f">
                <v:textbox inset="0,0,0,0">
                  <w:txbxContent>
                    <w:p w14:paraId="14CFD3F7" w14:textId="78151E21" w:rsidR="002C3947" w:rsidRPr="00F81B0F" w:rsidRDefault="002C3947" w:rsidP="00F81B0F">
                      <w:pPr>
                        <w:jc w:val="center"/>
                        <w:rPr>
                          <w:sz w:val="10"/>
                          <w:szCs w:val="18"/>
                        </w:rPr>
                      </w:pPr>
                      <w:r w:rsidRPr="00F81B0F">
                        <w:rPr>
                          <w:sz w:val="10"/>
                          <w:szCs w:val="18"/>
                        </w:rPr>
                        <w:t>First Deputy CEO – Chief Engineer</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16128" behindDoc="0" locked="0" layoutInCell="1" allowOverlap="1" wp14:anchorId="068BD141" wp14:editId="17228855">
                <wp:simplePos x="0" y="0"/>
                <wp:positionH relativeFrom="column">
                  <wp:posOffset>2961005</wp:posOffset>
                </wp:positionH>
                <wp:positionV relativeFrom="paragraph">
                  <wp:posOffset>1717456</wp:posOffset>
                </wp:positionV>
                <wp:extent cx="615061" cy="257641"/>
                <wp:effectExtent l="0" t="0" r="0" b="9525"/>
                <wp:wrapNone/>
                <wp:docPr id="6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61" cy="257641"/>
                        </a:xfrm>
                        <a:prstGeom prst="rect">
                          <a:avLst/>
                        </a:prstGeom>
                        <a:solidFill>
                          <a:schemeClr val="bg1"/>
                        </a:solidFill>
                        <a:ln w="9525">
                          <a:noFill/>
                          <a:miter lim="800000"/>
                          <a:headEnd/>
                          <a:tailEnd/>
                        </a:ln>
                      </wps:spPr>
                      <wps:txbx>
                        <w:txbxContent>
                          <w:p w14:paraId="1A79DE7B" w14:textId="5C115B04" w:rsidR="002C3947" w:rsidRPr="00F81B0F" w:rsidRDefault="002C3947" w:rsidP="00F81B0F">
                            <w:pPr>
                              <w:jc w:val="center"/>
                              <w:rPr>
                                <w:sz w:val="10"/>
                                <w:szCs w:val="18"/>
                              </w:rPr>
                            </w:pPr>
                            <w:r w:rsidRPr="00F81B0F">
                              <w:rPr>
                                <w:sz w:val="10"/>
                                <w:szCs w:val="18"/>
                              </w:rPr>
                              <w:t>Long-Term Development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68BD141" id="_x0000_s1262" type="#_x0000_t202" style="position:absolute;margin-left:233.15pt;margin-top:135.25pt;width:48.45pt;height:20.3pt;z-index:25201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" fillcolor="white [3212]" stroked="f">
                <v:textbox inset="0,0,0,0">
                  <w:txbxContent>
                    <w:p w14:paraId="1A79DE7B" w14:textId="5C115B04" w:rsidR="002C3947" w:rsidRPr="00F81B0F" w:rsidRDefault="002C3947" w:rsidP="00F81B0F">
                      <w:pPr>
                        <w:jc w:val="center"/>
                        <w:rPr>
                          <w:sz w:val="10"/>
                          <w:szCs w:val="18"/>
                        </w:rPr>
                      </w:pPr>
                      <w:r w:rsidRPr="00F81B0F">
                        <w:rPr>
                          <w:sz w:val="10"/>
                          <w:szCs w:val="18"/>
                        </w:rPr>
                        <w:t>Long-Term Development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14080" behindDoc="0" locked="0" layoutInCell="1" allowOverlap="1" wp14:anchorId="509D78C4" wp14:editId="22D4EF23">
                <wp:simplePos x="0" y="0"/>
                <wp:positionH relativeFrom="column">
                  <wp:posOffset>2957414</wp:posOffset>
                </wp:positionH>
                <wp:positionV relativeFrom="paragraph">
                  <wp:posOffset>1348105</wp:posOffset>
                </wp:positionV>
                <wp:extent cx="615061" cy="271999"/>
                <wp:effectExtent l="0" t="0" r="0" b="0"/>
                <wp:wrapNone/>
                <wp:docPr id="6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61" cy="271999"/>
                        </a:xfrm>
                        <a:prstGeom prst="rect">
                          <a:avLst/>
                        </a:prstGeom>
                        <a:solidFill>
                          <a:schemeClr val="bg1"/>
                        </a:solidFill>
                        <a:ln w="9525">
                          <a:noFill/>
                          <a:miter lim="800000"/>
                          <a:headEnd/>
                          <a:tailEnd/>
                        </a:ln>
                      </wps:spPr>
                      <wps:txbx>
                        <w:txbxContent>
                          <w:p w14:paraId="680A2585" w14:textId="1CF99396" w:rsidR="002C3947" w:rsidRPr="00F81B0F" w:rsidRDefault="002C3947" w:rsidP="00F81B0F">
                            <w:pPr>
                              <w:jc w:val="center"/>
                              <w:rPr>
                                <w:sz w:val="10"/>
                                <w:szCs w:val="18"/>
                              </w:rPr>
                            </w:pPr>
                            <w:r w:rsidRPr="00F81B0F">
                              <w:rPr>
                                <w:sz w:val="10"/>
                                <w:szCs w:val="18"/>
                              </w:rPr>
                              <w:t>Grid Connection Reporting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09D78C4" id="_x0000_s1263" type="#_x0000_t202" style="position:absolute;margin-left:232.85pt;margin-top:106.15pt;width:48.45pt;height:21.4pt;z-index:25201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" fillcolor="white [3212]" stroked="f">
                <v:textbox inset="0,0,0,0">
                  <w:txbxContent>
                    <w:p w14:paraId="680A2585" w14:textId="1CF99396" w:rsidR="002C3947" w:rsidRPr="00F81B0F" w:rsidRDefault="002C3947" w:rsidP="00F81B0F">
                      <w:pPr>
                        <w:jc w:val="center"/>
                        <w:rPr>
                          <w:sz w:val="10"/>
                          <w:szCs w:val="18"/>
                        </w:rPr>
                      </w:pPr>
                      <w:r w:rsidRPr="00F81B0F">
                        <w:rPr>
                          <w:sz w:val="10"/>
                          <w:szCs w:val="18"/>
                        </w:rPr>
                        <w:t>Grid Connection Reporting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12032" behindDoc="0" locked="0" layoutInCell="1" allowOverlap="1" wp14:anchorId="46951C6A" wp14:editId="764D9F88">
                <wp:simplePos x="0" y="0"/>
                <wp:positionH relativeFrom="column">
                  <wp:posOffset>2962827</wp:posOffset>
                </wp:positionH>
                <wp:positionV relativeFrom="paragraph">
                  <wp:posOffset>974928</wp:posOffset>
                </wp:positionV>
                <wp:extent cx="615061" cy="271999"/>
                <wp:effectExtent l="0" t="0" r="0" b="0"/>
                <wp:wrapNone/>
                <wp:docPr id="6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61" cy="271999"/>
                        </a:xfrm>
                        <a:prstGeom prst="rect">
                          <a:avLst/>
                        </a:prstGeom>
                        <a:solidFill>
                          <a:schemeClr val="bg1"/>
                        </a:solidFill>
                        <a:ln w="9525">
                          <a:noFill/>
                          <a:miter lim="800000"/>
                          <a:headEnd/>
                          <a:tailEnd/>
                        </a:ln>
                      </wps:spPr>
                      <wps:txbx>
                        <w:txbxContent>
                          <w:p w14:paraId="1FA038D0" w14:textId="2B216B6E" w:rsidR="002C3947" w:rsidRPr="00F81B0F" w:rsidRDefault="002C3947" w:rsidP="00F81B0F">
                            <w:pPr>
                              <w:jc w:val="center"/>
                              <w:rPr>
                                <w:sz w:val="10"/>
                                <w:szCs w:val="18"/>
                              </w:rPr>
                            </w:pPr>
                            <w:r w:rsidRPr="00F81B0F">
                              <w:rPr>
                                <w:sz w:val="10"/>
                                <w:szCs w:val="18"/>
                              </w:rPr>
                              <w:t>Grid Connection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951C6A" id="_x0000_s1264" type="#_x0000_t202" style="position:absolute;margin-left:233.3pt;margin-top:76.75pt;width:48.45pt;height:21.4pt;z-index:25201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" fillcolor="white [3212]" stroked="f">
                <v:textbox inset="0,0,0,0">
                  <w:txbxContent>
                    <w:p w14:paraId="1FA038D0" w14:textId="2B216B6E" w:rsidR="002C3947" w:rsidRPr="00F81B0F" w:rsidRDefault="002C3947" w:rsidP="00F81B0F">
                      <w:pPr>
                        <w:jc w:val="center"/>
                        <w:rPr>
                          <w:sz w:val="10"/>
                          <w:szCs w:val="18"/>
                        </w:rPr>
                      </w:pPr>
                      <w:r w:rsidRPr="00F81B0F">
                        <w:rPr>
                          <w:sz w:val="10"/>
                          <w:szCs w:val="18"/>
                        </w:rPr>
                        <w:t>Grid Connection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09984" behindDoc="0" locked="0" layoutInCell="1" allowOverlap="1" wp14:anchorId="1992A932" wp14:editId="1AEE2390">
                <wp:simplePos x="0" y="0"/>
                <wp:positionH relativeFrom="column">
                  <wp:posOffset>2894330</wp:posOffset>
                </wp:positionH>
                <wp:positionV relativeFrom="paragraph">
                  <wp:posOffset>534889</wp:posOffset>
                </wp:positionV>
                <wp:extent cx="674631" cy="338060"/>
                <wp:effectExtent l="0" t="0" r="0" b="5080"/>
                <wp:wrapNone/>
                <wp:docPr id="6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631" cy="338060"/>
                        </a:xfrm>
                        <a:prstGeom prst="rect">
                          <a:avLst/>
                        </a:prstGeom>
                        <a:solidFill>
                          <a:schemeClr val="bg1"/>
                        </a:solidFill>
                        <a:ln w="9525">
                          <a:noFill/>
                          <a:miter lim="800000"/>
                          <a:headEnd/>
                          <a:tailEnd/>
                        </a:ln>
                      </wps:spPr>
                      <wps:txbx>
                        <w:txbxContent>
                          <w:p w14:paraId="554CF414" w14:textId="5E5421B4" w:rsidR="002C3947" w:rsidRPr="00F81B0F" w:rsidRDefault="002C3947" w:rsidP="00F81B0F">
                            <w:pPr>
                              <w:jc w:val="center"/>
                              <w:rPr>
                                <w:sz w:val="10"/>
                                <w:szCs w:val="18"/>
                              </w:rPr>
                            </w:pPr>
                            <w:r w:rsidRPr="00F81B0F">
                              <w:rPr>
                                <w:sz w:val="10"/>
                                <w:szCs w:val="18"/>
                              </w:rPr>
                              <w:t>Deputy CEO for Grid Connection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92A932" id="_x0000_s1265" type="#_x0000_t202" style="position:absolute;margin-left:227.9pt;margin-top:42.1pt;width:53.1pt;height:26.6pt;z-index:25200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" fillcolor="white [3212]" stroked="f">
                <v:textbox inset="0,0,0,0">
                  <w:txbxContent>
                    <w:p w14:paraId="554CF414" w14:textId="5E5421B4" w:rsidR="002C3947" w:rsidRPr="00F81B0F" w:rsidRDefault="002C3947" w:rsidP="00F81B0F">
                      <w:pPr>
                        <w:jc w:val="center"/>
                        <w:rPr>
                          <w:sz w:val="10"/>
                          <w:szCs w:val="18"/>
                        </w:rPr>
                      </w:pPr>
                      <w:r w:rsidRPr="00F81B0F">
                        <w:rPr>
                          <w:sz w:val="10"/>
                          <w:szCs w:val="18"/>
                        </w:rPr>
                        <w:t>Deputy CEO for Grid Connection</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07936" behindDoc="0" locked="0" layoutInCell="1" allowOverlap="1" wp14:anchorId="3FD462CA" wp14:editId="6A8CEC86">
                <wp:simplePos x="0" y="0"/>
                <wp:positionH relativeFrom="column">
                  <wp:posOffset>2083851</wp:posOffset>
                </wp:positionH>
                <wp:positionV relativeFrom="paragraph">
                  <wp:posOffset>2073910</wp:posOffset>
                </wp:positionV>
                <wp:extent cx="616549" cy="257641"/>
                <wp:effectExtent l="0" t="0" r="0" b="9525"/>
                <wp:wrapNone/>
                <wp:docPr id="6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49" cy="257641"/>
                        </a:xfrm>
                        <a:prstGeom prst="rect">
                          <a:avLst/>
                        </a:prstGeom>
                        <a:solidFill>
                          <a:schemeClr val="bg1"/>
                        </a:solidFill>
                        <a:ln w="9525">
                          <a:noFill/>
                          <a:miter lim="800000"/>
                          <a:headEnd/>
                          <a:tailEnd/>
                        </a:ln>
                      </wps:spPr>
                      <wps:txbx>
                        <w:txbxContent>
                          <w:p w14:paraId="2DE48760" w14:textId="28F11DA5" w:rsidR="002C3947" w:rsidRPr="00F81B0F" w:rsidRDefault="002C3947" w:rsidP="00F81B0F">
                            <w:pPr>
                              <w:jc w:val="center"/>
                              <w:rPr>
                                <w:sz w:val="10"/>
                                <w:szCs w:val="18"/>
                              </w:rPr>
                            </w:pPr>
                            <w:r w:rsidRPr="00F81B0F">
                              <w:rPr>
                                <w:sz w:val="10"/>
                                <w:szCs w:val="18"/>
                              </w:rPr>
                              <w:t>Cost Estimate and Contract Support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D462CA" id="_x0000_s1266" type="#_x0000_t202" style="position:absolute;margin-left:164.1pt;margin-top:163.3pt;width:48.55pt;height:20.3pt;z-index:25200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" fillcolor="white [3212]" stroked="f">
                <v:textbox inset="0,0,0,0">
                  <w:txbxContent>
                    <w:p w14:paraId="2DE48760" w14:textId="28F11DA5" w:rsidR="002C3947" w:rsidRPr="00F81B0F" w:rsidRDefault="002C3947" w:rsidP="00F81B0F">
                      <w:pPr>
                        <w:jc w:val="center"/>
                        <w:rPr>
                          <w:sz w:val="10"/>
                          <w:szCs w:val="18"/>
                        </w:rPr>
                      </w:pPr>
                      <w:r w:rsidRPr="00F81B0F">
                        <w:rPr>
                          <w:sz w:val="10"/>
                          <w:szCs w:val="18"/>
                        </w:rPr>
                        <w:t>Cost Estimate and Contract Support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05888" behindDoc="0" locked="0" layoutInCell="1" allowOverlap="1" wp14:anchorId="24679D93" wp14:editId="37907AD9">
                <wp:simplePos x="0" y="0"/>
                <wp:positionH relativeFrom="column">
                  <wp:posOffset>2084169</wp:posOffset>
                </wp:positionH>
                <wp:positionV relativeFrom="paragraph">
                  <wp:posOffset>1725510</wp:posOffset>
                </wp:positionV>
                <wp:extent cx="616549" cy="257641"/>
                <wp:effectExtent l="0" t="0" r="0" b="9525"/>
                <wp:wrapNone/>
                <wp:docPr id="6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49" cy="257641"/>
                        </a:xfrm>
                        <a:prstGeom prst="rect">
                          <a:avLst/>
                        </a:prstGeom>
                        <a:solidFill>
                          <a:schemeClr val="bg1"/>
                        </a:solidFill>
                        <a:ln w="9525">
                          <a:noFill/>
                          <a:miter lim="800000"/>
                          <a:headEnd/>
                          <a:tailEnd/>
                        </a:ln>
                      </wps:spPr>
                      <wps:txbx>
                        <w:txbxContent>
                          <w:p w14:paraId="64E748BA" w14:textId="570D3785" w:rsidR="002C3947" w:rsidRPr="00F81B0F" w:rsidRDefault="002C3947" w:rsidP="00F81B0F">
                            <w:pPr>
                              <w:jc w:val="center"/>
                              <w:rPr>
                                <w:sz w:val="10"/>
                                <w:szCs w:val="18"/>
                              </w:rPr>
                            </w:pPr>
                            <w:r w:rsidRPr="00F81B0F">
                              <w:rPr>
                                <w:sz w:val="10"/>
                                <w:szCs w:val="18"/>
                              </w:rPr>
                              <w:t>Construction Inspection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4679D93" id="_x0000_s1267" type="#_x0000_t202" style="position:absolute;margin-left:164.1pt;margin-top:135.85pt;width:48.55pt;height:20.3pt;z-index:25200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" fillcolor="white [3212]" stroked="f">
                <v:textbox inset="0,0,0,0">
                  <w:txbxContent>
                    <w:p w14:paraId="64E748BA" w14:textId="570D3785" w:rsidR="002C3947" w:rsidRPr="00F81B0F" w:rsidRDefault="002C3947" w:rsidP="00F81B0F">
                      <w:pPr>
                        <w:jc w:val="center"/>
                        <w:rPr>
                          <w:sz w:val="10"/>
                          <w:szCs w:val="18"/>
                        </w:rPr>
                      </w:pPr>
                      <w:r w:rsidRPr="00F81B0F">
                        <w:rPr>
                          <w:sz w:val="10"/>
                          <w:szCs w:val="18"/>
                        </w:rPr>
                        <w:t>Construction Inspection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03840" behindDoc="0" locked="0" layoutInCell="1" allowOverlap="1" wp14:anchorId="455B9E25" wp14:editId="3BE9C6A8">
                <wp:simplePos x="0" y="0"/>
                <wp:positionH relativeFrom="column">
                  <wp:posOffset>2084590</wp:posOffset>
                </wp:positionH>
                <wp:positionV relativeFrom="paragraph">
                  <wp:posOffset>1349024</wp:posOffset>
                </wp:positionV>
                <wp:extent cx="616549" cy="273465"/>
                <wp:effectExtent l="0" t="0" r="0" b="0"/>
                <wp:wrapNone/>
                <wp:docPr id="6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49" cy="273465"/>
                        </a:xfrm>
                        <a:prstGeom prst="rect">
                          <a:avLst/>
                        </a:prstGeom>
                        <a:solidFill>
                          <a:schemeClr val="bg1"/>
                        </a:solidFill>
                        <a:ln w="9525">
                          <a:noFill/>
                          <a:miter lim="800000"/>
                          <a:headEnd/>
                          <a:tailEnd/>
                        </a:ln>
                      </wps:spPr>
                      <wps:txbx>
                        <w:txbxContent>
                          <w:p w14:paraId="7497A34E" w14:textId="4DD4333F" w:rsidR="002C3947" w:rsidRPr="00F81B0F" w:rsidRDefault="002C3947" w:rsidP="00F81B0F">
                            <w:pPr>
                              <w:jc w:val="center"/>
                              <w:rPr>
                                <w:sz w:val="10"/>
                                <w:szCs w:val="18"/>
                              </w:rPr>
                            </w:pPr>
                            <w:r w:rsidRPr="00F81B0F">
                              <w:rPr>
                                <w:sz w:val="10"/>
                                <w:szCs w:val="18"/>
                              </w:rPr>
                              <w:t>Technical Planning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5B9E25" id="_x0000_s1268" type="#_x0000_t202" style="position:absolute;margin-left:164.15pt;margin-top:106.2pt;width:48.55pt;height:21.55pt;z-index:25200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" fillcolor="white [3212]" stroked="f">
                <v:textbox inset="0,0,0,0">
                  <w:txbxContent>
                    <w:p w14:paraId="7497A34E" w14:textId="4DD4333F" w:rsidR="002C3947" w:rsidRPr="00F81B0F" w:rsidRDefault="002C3947" w:rsidP="00F81B0F">
                      <w:pPr>
                        <w:jc w:val="center"/>
                        <w:rPr>
                          <w:sz w:val="10"/>
                          <w:szCs w:val="18"/>
                        </w:rPr>
                      </w:pPr>
                      <w:r w:rsidRPr="00F81B0F">
                        <w:rPr>
                          <w:sz w:val="10"/>
                          <w:szCs w:val="18"/>
                        </w:rPr>
                        <w:t>Technical Planning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2001792" behindDoc="0" locked="0" layoutInCell="1" allowOverlap="1" wp14:anchorId="376078E3" wp14:editId="1B297D83">
                <wp:simplePos x="0" y="0"/>
                <wp:positionH relativeFrom="column">
                  <wp:posOffset>2079702</wp:posOffset>
                </wp:positionH>
                <wp:positionV relativeFrom="paragraph">
                  <wp:posOffset>974928</wp:posOffset>
                </wp:positionV>
                <wp:extent cx="616549" cy="273465"/>
                <wp:effectExtent l="0" t="0" r="0" b="0"/>
                <wp:wrapNone/>
                <wp:docPr id="6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49" cy="273465"/>
                        </a:xfrm>
                        <a:prstGeom prst="rect">
                          <a:avLst/>
                        </a:prstGeom>
                        <a:solidFill>
                          <a:schemeClr val="bg1"/>
                        </a:solidFill>
                        <a:ln w="9525">
                          <a:noFill/>
                          <a:miter lim="800000"/>
                          <a:headEnd/>
                          <a:tailEnd/>
                        </a:ln>
                      </wps:spPr>
                      <wps:txbx>
                        <w:txbxContent>
                          <w:p w14:paraId="7CFE9708" w14:textId="32DACB40" w:rsidR="002C3947" w:rsidRPr="00F81B0F" w:rsidRDefault="002C3947" w:rsidP="00F81B0F">
                            <w:pPr>
                              <w:jc w:val="center"/>
                              <w:rPr>
                                <w:sz w:val="10"/>
                                <w:szCs w:val="18"/>
                              </w:rPr>
                            </w:pPr>
                            <w:r w:rsidRPr="00F81B0F">
                              <w:rPr>
                                <w:sz w:val="10"/>
                                <w:szCs w:val="18"/>
                              </w:rPr>
                              <w:t>Capital Construction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6078E3" id="_x0000_s1269" type="#_x0000_t202" style="position:absolute;margin-left:163.75pt;margin-top:76.75pt;width:48.55pt;height:21.55pt;z-index:25200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" fillcolor="white [3212]" stroked="f">
                <v:textbox inset="0,0,0,0">
                  <w:txbxContent>
                    <w:p w14:paraId="7CFE9708" w14:textId="32DACB40" w:rsidR="002C3947" w:rsidRPr="00F81B0F" w:rsidRDefault="002C3947" w:rsidP="00F81B0F">
                      <w:pPr>
                        <w:jc w:val="center"/>
                        <w:rPr>
                          <w:sz w:val="10"/>
                          <w:szCs w:val="18"/>
                        </w:rPr>
                      </w:pPr>
                      <w:r w:rsidRPr="00F81B0F">
                        <w:rPr>
                          <w:sz w:val="10"/>
                          <w:szCs w:val="18"/>
                        </w:rPr>
                        <w:t>Capital Construction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99744" behindDoc="0" locked="0" layoutInCell="1" allowOverlap="1" wp14:anchorId="5F84281B" wp14:editId="39673DEA">
                <wp:simplePos x="0" y="0"/>
                <wp:positionH relativeFrom="column">
                  <wp:posOffset>2012685</wp:posOffset>
                </wp:positionH>
                <wp:positionV relativeFrom="paragraph">
                  <wp:posOffset>532620</wp:posOffset>
                </wp:positionV>
                <wp:extent cx="674631" cy="338060"/>
                <wp:effectExtent l="0" t="0" r="0" b="5080"/>
                <wp:wrapNone/>
                <wp:docPr id="6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631" cy="338060"/>
                        </a:xfrm>
                        <a:prstGeom prst="rect">
                          <a:avLst/>
                        </a:prstGeom>
                        <a:solidFill>
                          <a:schemeClr val="bg1"/>
                        </a:solidFill>
                        <a:ln w="9525">
                          <a:noFill/>
                          <a:miter lim="800000"/>
                          <a:headEnd/>
                          <a:tailEnd/>
                        </a:ln>
                      </wps:spPr>
                      <wps:txbx>
                        <w:txbxContent>
                          <w:p w14:paraId="7BEA068C" w14:textId="693E32CE" w:rsidR="002C3947" w:rsidRPr="00F81B0F" w:rsidRDefault="002C3947" w:rsidP="00F81B0F">
                            <w:pPr>
                              <w:jc w:val="center"/>
                              <w:rPr>
                                <w:sz w:val="10"/>
                                <w:szCs w:val="18"/>
                              </w:rPr>
                            </w:pPr>
                            <w:r w:rsidRPr="00F81B0F">
                              <w:rPr>
                                <w:sz w:val="10"/>
                                <w:szCs w:val="18"/>
                              </w:rPr>
                              <w:t>Deputy CEO for Capital Construction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F84281B" id="_x0000_s1270" type="#_x0000_t202" style="position:absolute;margin-left:158.5pt;margin-top:41.95pt;width:53.1pt;height:26.6pt;z-index:25199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" fillcolor="white [3212]" stroked="f">
                <v:textbox inset="0,0,0,0">
                  <w:txbxContent>
                    <w:p w14:paraId="7BEA068C" w14:textId="693E32CE" w:rsidR="002C3947" w:rsidRPr="00F81B0F" w:rsidRDefault="002C3947" w:rsidP="00F81B0F">
                      <w:pPr>
                        <w:jc w:val="center"/>
                        <w:rPr>
                          <w:sz w:val="10"/>
                          <w:szCs w:val="18"/>
                        </w:rPr>
                      </w:pPr>
                      <w:r w:rsidRPr="00F81B0F">
                        <w:rPr>
                          <w:sz w:val="10"/>
                          <w:szCs w:val="18"/>
                        </w:rPr>
                        <w:t>Deputy CEO for Capital Construction</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97696" behindDoc="0" locked="0" layoutInCell="1" allowOverlap="1" wp14:anchorId="3C0A8DF1" wp14:editId="1FC6F1B0">
                <wp:simplePos x="0" y="0"/>
                <wp:positionH relativeFrom="column">
                  <wp:posOffset>1254657</wp:posOffset>
                </wp:positionH>
                <wp:positionV relativeFrom="paragraph">
                  <wp:posOffset>1348729</wp:posOffset>
                </wp:positionV>
                <wp:extent cx="558469" cy="299339"/>
                <wp:effectExtent l="0" t="0" r="0" b="5715"/>
                <wp:wrapNone/>
                <wp:docPr id="6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469" cy="299339"/>
                        </a:xfrm>
                        <a:prstGeom prst="rect">
                          <a:avLst/>
                        </a:prstGeom>
                        <a:solidFill>
                          <a:schemeClr val="bg1"/>
                        </a:solidFill>
                        <a:ln w="9525">
                          <a:noFill/>
                          <a:miter lim="800000"/>
                          <a:headEnd/>
                          <a:tailEnd/>
                        </a:ln>
                      </wps:spPr>
                      <wps:txbx>
                        <w:txbxContent>
                          <w:p w14:paraId="14D00953" w14:textId="3EC45600" w:rsidR="002C3947" w:rsidRPr="00F81B0F" w:rsidRDefault="002C3947" w:rsidP="00F81B0F">
                            <w:pPr>
                              <w:jc w:val="center"/>
                              <w:rPr>
                                <w:sz w:val="10"/>
                                <w:szCs w:val="18"/>
                              </w:rPr>
                            </w:pPr>
                            <w:r w:rsidRPr="00F81B0F">
                              <w:rPr>
                                <w:sz w:val="10"/>
                                <w:szCs w:val="18"/>
                              </w:rPr>
                              <w:t>Energy Saving and Energy Efficiency Division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C0A8DF1" id="_x0000_s1271" type="#_x0000_t202" style="position:absolute;margin-left:98.8pt;margin-top:106.2pt;width:43.95pt;height:23.55pt;z-index:25199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" fillcolor="white [3212]" stroked="f">
                <v:textbox inset="0,0,0,0">
                  <w:txbxContent>
                    <w:p w14:paraId="14D00953" w14:textId="3EC45600" w:rsidR="002C3947" w:rsidRPr="00F81B0F" w:rsidRDefault="002C3947" w:rsidP="00F81B0F">
                      <w:pPr>
                        <w:jc w:val="center"/>
                        <w:rPr>
                          <w:sz w:val="10"/>
                          <w:szCs w:val="18"/>
                        </w:rPr>
                      </w:pPr>
                      <w:r w:rsidRPr="00F81B0F">
                        <w:rPr>
                          <w:sz w:val="10"/>
                          <w:szCs w:val="18"/>
                        </w:rPr>
                        <w:t>Energy Saving and Energy Efficiency Division</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95648" behindDoc="0" locked="0" layoutInCell="1" allowOverlap="1" wp14:anchorId="2EE2CC07" wp14:editId="790F7658">
                <wp:simplePos x="0" y="0"/>
                <wp:positionH relativeFrom="column">
                  <wp:posOffset>1254125</wp:posOffset>
                </wp:positionH>
                <wp:positionV relativeFrom="paragraph">
                  <wp:posOffset>976214</wp:posOffset>
                </wp:positionV>
                <wp:extent cx="558469" cy="271043"/>
                <wp:effectExtent l="0" t="0" r="0" b="0"/>
                <wp:wrapNone/>
                <wp:docPr id="6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469" cy="271043"/>
                        </a:xfrm>
                        <a:prstGeom prst="rect">
                          <a:avLst/>
                        </a:prstGeom>
                        <a:solidFill>
                          <a:schemeClr val="bg1"/>
                        </a:solidFill>
                        <a:ln w="9525">
                          <a:noFill/>
                          <a:miter lim="800000"/>
                          <a:headEnd/>
                          <a:tailEnd/>
                        </a:ln>
                      </wps:spPr>
                      <wps:txbx>
                        <w:txbxContent>
                          <w:p w14:paraId="1284D688" w14:textId="2E38AC0F" w:rsidR="002C3947" w:rsidRPr="00F81B0F" w:rsidRDefault="002C3947" w:rsidP="00F81B0F">
                            <w:pPr>
                              <w:jc w:val="center"/>
                              <w:rPr>
                                <w:sz w:val="10"/>
                                <w:szCs w:val="18"/>
                              </w:rPr>
                            </w:pPr>
                            <w:r w:rsidRPr="00F81B0F">
                              <w:rPr>
                                <w:sz w:val="10"/>
                                <w:szCs w:val="18"/>
                              </w:rPr>
                              <w:t>Electricity Metering and Distribution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E2CC07" id="_x0000_s1272" type="#_x0000_t202" style="position:absolute;margin-left:98.75pt;margin-top:76.85pt;width:43.95pt;height:21.35pt;z-index:25199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" fillcolor="white [3212]" stroked="f">
                <v:textbox inset="0,0,0,0">
                  <w:txbxContent>
                    <w:p w14:paraId="1284D688" w14:textId="2E38AC0F" w:rsidR="002C3947" w:rsidRPr="00F81B0F" w:rsidRDefault="002C3947" w:rsidP="00F81B0F">
                      <w:pPr>
                        <w:jc w:val="center"/>
                        <w:rPr>
                          <w:sz w:val="10"/>
                          <w:szCs w:val="18"/>
                        </w:rPr>
                      </w:pPr>
                      <w:r w:rsidRPr="00F81B0F">
                        <w:rPr>
                          <w:sz w:val="10"/>
                          <w:szCs w:val="18"/>
                        </w:rPr>
                        <w:t>Electricity Metering and Distribution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93600" behindDoc="0" locked="0" layoutInCell="1" allowOverlap="1" wp14:anchorId="3E9D83A6" wp14:editId="300ED515">
                <wp:simplePos x="0" y="0"/>
                <wp:positionH relativeFrom="column">
                  <wp:posOffset>1208490</wp:posOffset>
                </wp:positionH>
                <wp:positionV relativeFrom="paragraph">
                  <wp:posOffset>534109</wp:posOffset>
                </wp:positionV>
                <wp:extent cx="603146" cy="338060"/>
                <wp:effectExtent l="0" t="0" r="6985" b="5080"/>
                <wp:wrapNone/>
                <wp:docPr id="6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46" cy="338060"/>
                        </a:xfrm>
                        <a:prstGeom prst="rect">
                          <a:avLst/>
                        </a:prstGeom>
                        <a:solidFill>
                          <a:schemeClr val="bg1"/>
                        </a:solidFill>
                        <a:ln w="9525">
                          <a:noFill/>
                          <a:miter lim="800000"/>
                          <a:headEnd/>
                          <a:tailEnd/>
                        </a:ln>
                      </wps:spPr>
                      <wps:txbx>
                        <w:txbxContent>
                          <w:p w14:paraId="6E1F08E8" w14:textId="55A48B96" w:rsidR="002C3947" w:rsidRPr="00F81B0F" w:rsidRDefault="002C3947" w:rsidP="00F81B0F">
                            <w:pPr>
                              <w:jc w:val="center"/>
                              <w:rPr>
                                <w:sz w:val="10"/>
                                <w:szCs w:val="18"/>
                              </w:rPr>
                            </w:pPr>
                            <w:r w:rsidRPr="00F81B0F">
                              <w:rPr>
                                <w:sz w:val="10"/>
                                <w:szCs w:val="18"/>
                              </w:rPr>
                              <w:t>Deputy CEO for Electricity Distribution</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E9D83A6" id="_x0000_s1273" type="#_x0000_t202" style="position:absolute;margin-left:95.15pt;margin-top:42.05pt;width:47.5pt;height:26.6pt;z-index:25199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" fillcolor="white [3212]" stroked="f">
                <v:textbox inset="0,0,0,0">
                  <w:txbxContent>
                    <w:p w14:paraId="6E1F08E8" w14:textId="55A48B96" w:rsidR="002C3947" w:rsidRPr="00F81B0F" w:rsidRDefault="002C3947" w:rsidP="00F81B0F">
                      <w:pPr>
                        <w:jc w:val="center"/>
                        <w:rPr>
                          <w:sz w:val="10"/>
                          <w:szCs w:val="18"/>
                        </w:rPr>
                      </w:pPr>
                      <w:r w:rsidRPr="00F81B0F">
                        <w:rPr>
                          <w:sz w:val="10"/>
                          <w:szCs w:val="18"/>
                        </w:rPr>
                        <w:t>Deputy CEO for Electricity Distribution</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91552" behindDoc="0" locked="0" layoutInCell="1" allowOverlap="1" wp14:anchorId="2E7D0B23" wp14:editId="25D38BAF">
                <wp:simplePos x="0" y="0"/>
                <wp:positionH relativeFrom="column">
                  <wp:posOffset>329565</wp:posOffset>
                </wp:positionH>
                <wp:positionV relativeFrom="paragraph">
                  <wp:posOffset>3658454</wp:posOffset>
                </wp:positionV>
                <wp:extent cx="839937" cy="345506"/>
                <wp:effectExtent l="0" t="0" r="0" b="0"/>
                <wp:wrapNone/>
                <wp:docPr id="6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937" cy="345506"/>
                        </a:xfrm>
                        <a:prstGeom prst="rect">
                          <a:avLst/>
                        </a:prstGeom>
                        <a:solidFill>
                          <a:schemeClr val="bg1"/>
                        </a:solidFill>
                        <a:ln w="9525">
                          <a:noFill/>
                          <a:miter lim="800000"/>
                          <a:headEnd/>
                          <a:tailEnd/>
                        </a:ln>
                      </wps:spPr>
                      <wps:txbx>
                        <w:txbxContent>
                          <w:p w14:paraId="014C3273" w14:textId="08734FC9" w:rsidR="002C3947" w:rsidRPr="00F81B0F" w:rsidRDefault="002C3947" w:rsidP="00F81B0F">
                            <w:pPr>
                              <w:jc w:val="center"/>
                              <w:rPr>
                                <w:sz w:val="10"/>
                                <w:szCs w:val="18"/>
                              </w:rPr>
                            </w:pPr>
                            <w:r w:rsidRPr="00F81B0F">
                              <w:rPr>
                                <w:sz w:val="10"/>
                                <w:szCs w:val="18"/>
                              </w:rPr>
                              <w:t>Financial and Tax Accounting and Reporting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7D0B23" id="_x0000_s1274" type="#_x0000_t202" style="position:absolute;margin-left:25.95pt;margin-top:288.05pt;width:66.15pt;height:27.2pt;z-index:25199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" fillcolor="white [3212]" stroked="f">
                <v:textbox inset="0,0,0,0">
                  <w:txbxContent>
                    <w:p w14:paraId="014C3273" w14:textId="08734FC9" w:rsidR="002C3947" w:rsidRPr="00F81B0F" w:rsidRDefault="002C3947" w:rsidP="00F81B0F">
                      <w:pPr>
                        <w:jc w:val="center"/>
                        <w:rPr>
                          <w:sz w:val="10"/>
                          <w:szCs w:val="18"/>
                        </w:rPr>
                      </w:pPr>
                      <w:r w:rsidRPr="00F81B0F">
                        <w:rPr>
                          <w:sz w:val="10"/>
                          <w:szCs w:val="18"/>
                        </w:rPr>
                        <w:t>Financial and Tax Accounting and Reporting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89504" behindDoc="0" locked="0" layoutInCell="1" allowOverlap="1" wp14:anchorId="4E364653" wp14:editId="510CF5F6">
                <wp:simplePos x="0" y="0"/>
                <wp:positionH relativeFrom="column">
                  <wp:posOffset>328343</wp:posOffset>
                </wp:positionH>
                <wp:positionV relativeFrom="paragraph">
                  <wp:posOffset>3286245</wp:posOffset>
                </wp:positionV>
                <wp:extent cx="839937" cy="345506"/>
                <wp:effectExtent l="0" t="0" r="0" b="0"/>
                <wp:wrapNone/>
                <wp:docPr id="5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937" cy="345506"/>
                        </a:xfrm>
                        <a:prstGeom prst="rect">
                          <a:avLst/>
                        </a:prstGeom>
                        <a:solidFill>
                          <a:schemeClr val="bg1"/>
                        </a:solidFill>
                        <a:ln w="9525">
                          <a:noFill/>
                          <a:miter lim="800000"/>
                          <a:headEnd/>
                          <a:tailEnd/>
                        </a:ln>
                      </wps:spPr>
                      <wps:txbx>
                        <w:txbxContent>
                          <w:p w14:paraId="5E282834" w14:textId="1D8884D8" w:rsidR="002C3947" w:rsidRPr="00F81B0F" w:rsidRDefault="002C3947" w:rsidP="00F81B0F">
                            <w:pPr>
                              <w:jc w:val="center"/>
                              <w:rPr>
                                <w:sz w:val="10"/>
                                <w:szCs w:val="18"/>
                              </w:rPr>
                            </w:pPr>
                            <w:r w:rsidRPr="00F81B0F">
                              <w:rPr>
                                <w:sz w:val="10"/>
                                <w:szCs w:val="18"/>
                              </w:rPr>
                              <w:t>Chief Accountant –  Head of the Financial and Tax Accounting and Reporting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364653" id="_x0000_s1275" type="#_x0000_t202" style="position:absolute;margin-left:25.85pt;margin-top:258.75pt;width:66.15pt;height:27.2pt;z-index:25198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" fillcolor="white [3212]" stroked="f">
                <v:textbox inset="0,0,0,0">
                  <w:txbxContent>
                    <w:p w14:paraId="5E282834" w14:textId="1D8884D8" w:rsidR="002C3947" w:rsidRPr="00F81B0F" w:rsidRDefault="002C3947" w:rsidP="00F81B0F">
                      <w:pPr>
                        <w:jc w:val="center"/>
                        <w:rPr>
                          <w:sz w:val="10"/>
                          <w:szCs w:val="18"/>
                        </w:rPr>
                      </w:pPr>
                      <w:r w:rsidRPr="00F81B0F">
                        <w:rPr>
                          <w:sz w:val="10"/>
                          <w:szCs w:val="18"/>
                        </w:rPr>
                        <w:t>Chief Accountant –  Head of the Financial and Tax Accounting and Reporting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87456" behindDoc="0" locked="0" layoutInCell="1" allowOverlap="1" wp14:anchorId="230B1BE8" wp14:editId="1F8AF9F0">
                <wp:simplePos x="0" y="0"/>
                <wp:positionH relativeFrom="column">
                  <wp:posOffset>328076</wp:posOffset>
                </wp:positionH>
                <wp:positionV relativeFrom="paragraph">
                  <wp:posOffset>2463800</wp:posOffset>
                </wp:positionV>
                <wp:extent cx="688034" cy="275512"/>
                <wp:effectExtent l="0" t="0" r="0" b="0"/>
                <wp:wrapNone/>
                <wp:docPr id="5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034" cy="275512"/>
                        </a:xfrm>
                        <a:prstGeom prst="rect">
                          <a:avLst/>
                        </a:prstGeom>
                        <a:solidFill>
                          <a:schemeClr val="bg1"/>
                        </a:solidFill>
                        <a:ln w="9525">
                          <a:noFill/>
                          <a:miter lim="800000"/>
                          <a:headEnd/>
                          <a:tailEnd/>
                        </a:ln>
                      </wps:spPr>
                      <wps:txbx>
                        <w:txbxContent>
                          <w:p w14:paraId="74626332" w14:textId="51B440A1" w:rsidR="002C3947" w:rsidRPr="00F81B0F" w:rsidRDefault="002C3947" w:rsidP="00F81B0F">
                            <w:pPr>
                              <w:jc w:val="center"/>
                              <w:rPr>
                                <w:sz w:val="10"/>
                                <w:szCs w:val="18"/>
                              </w:rPr>
                            </w:pPr>
                            <w:r w:rsidRPr="00F81B0F">
                              <w:rPr>
                                <w:sz w:val="10"/>
                                <w:szCs w:val="18"/>
                              </w:rPr>
                              <w:t>Investment Planning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0B1BE8" id="_x0000_s1276" type="#_x0000_t202" style="position:absolute;margin-left:25.85pt;margin-top:194pt;width:54.2pt;height:21.7pt;z-index:25198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" fillcolor="white [3212]" stroked="f">
                <v:textbox inset="0,0,0,0">
                  <w:txbxContent>
                    <w:p w14:paraId="74626332" w14:textId="51B440A1" w:rsidR="002C3947" w:rsidRPr="00F81B0F" w:rsidRDefault="002C3947" w:rsidP="00F81B0F">
                      <w:pPr>
                        <w:jc w:val="center"/>
                        <w:rPr>
                          <w:sz w:val="10"/>
                          <w:szCs w:val="18"/>
                        </w:rPr>
                      </w:pPr>
                      <w:r w:rsidRPr="00F81B0F">
                        <w:rPr>
                          <w:sz w:val="10"/>
                          <w:szCs w:val="18"/>
                        </w:rPr>
                        <w:t>Investment Planning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85408" behindDoc="0" locked="0" layoutInCell="1" allowOverlap="1" wp14:anchorId="4350A48F" wp14:editId="1C8F0BFF">
                <wp:simplePos x="0" y="0"/>
                <wp:positionH relativeFrom="column">
                  <wp:posOffset>329784</wp:posOffset>
                </wp:positionH>
                <wp:positionV relativeFrom="paragraph">
                  <wp:posOffset>2094230</wp:posOffset>
                </wp:positionV>
                <wp:extent cx="688034" cy="275512"/>
                <wp:effectExtent l="0" t="0" r="0" b="0"/>
                <wp:wrapNone/>
                <wp:docPr id="5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034" cy="275512"/>
                        </a:xfrm>
                        <a:prstGeom prst="rect">
                          <a:avLst/>
                        </a:prstGeom>
                        <a:solidFill>
                          <a:schemeClr val="bg1"/>
                        </a:solidFill>
                        <a:ln w="9525">
                          <a:noFill/>
                          <a:miter lim="800000"/>
                          <a:headEnd/>
                          <a:tailEnd/>
                        </a:ln>
                      </wps:spPr>
                      <wps:txbx>
                        <w:txbxContent>
                          <w:p w14:paraId="6C3BD995" w14:textId="6B968E9F" w:rsidR="002C3947" w:rsidRPr="00F81B0F" w:rsidRDefault="002C3947" w:rsidP="00F81B0F">
                            <w:pPr>
                              <w:jc w:val="center"/>
                              <w:rPr>
                                <w:sz w:val="10"/>
                                <w:szCs w:val="18"/>
                              </w:rPr>
                            </w:pPr>
                            <w:r w:rsidRPr="00F81B0F">
                              <w:rPr>
                                <w:sz w:val="10"/>
                                <w:szCs w:val="18"/>
                              </w:rPr>
                              <w:t>Economic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50A48F" id="_x0000_s1277" type="#_x0000_t202" style="position:absolute;margin-left:25.95pt;margin-top:164.9pt;width:54.2pt;height:21.7pt;z-index:25198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" fillcolor="white [3212]" stroked="f">
                <v:textbox inset="0,0,0,0">
                  <w:txbxContent>
                    <w:p w14:paraId="6C3BD995" w14:textId="6B968E9F" w:rsidR="002C3947" w:rsidRPr="00F81B0F" w:rsidRDefault="002C3947" w:rsidP="00F81B0F">
                      <w:pPr>
                        <w:jc w:val="center"/>
                        <w:rPr>
                          <w:sz w:val="10"/>
                          <w:szCs w:val="18"/>
                        </w:rPr>
                      </w:pPr>
                      <w:r w:rsidRPr="00F81B0F">
                        <w:rPr>
                          <w:sz w:val="10"/>
                          <w:szCs w:val="18"/>
                        </w:rPr>
                        <w:t>Economic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83360" behindDoc="0" locked="0" layoutInCell="1" allowOverlap="1" wp14:anchorId="19CF01D3" wp14:editId="61FB2E84">
                <wp:simplePos x="0" y="0"/>
                <wp:positionH relativeFrom="column">
                  <wp:posOffset>326806</wp:posOffset>
                </wp:positionH>
                <wp:positionV relativeFrom="paragraph">
                  <wp:posOffset>1718945</wp:posOffset>
                </wp:positionV>
                <wp:extent cx="688034" cy="275512"/>
                <wp:effectExtent l="0" t="0" r="0" b="0"/>
                <wp:wrapNone/>
                <wp:docPr id="5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034" cy="275512"/>
                        </a:xfrm>
                        <a:prstGeom prst="rect">
                          <a:avLst/>
                        </a:prstGeom>
                        <a:solidFill>
                          <a:schemeClr val="bg1"/>
                        </a:solidFill>
                        <a:ln w="9525">
                          <a:noFill/>
                          <a:miter lim="800000"/>
                          <a:headEnd/>
                          <a:tailEnd/>
                        </a:ln>
                      </wps:spPr>
                      <wps:txbx>
                        <w:txbxContent>
                          <w:p w14:paraId="3FFC0062" w14:textId="007C6984" w:rsidR="002C3947" w:rsidRPr="00F81B0F" w:rsidRDefault="002C3947" w:rsidP="00F81B0F">
                            <w:pPr>
                              <w:jc w:val="center"/>
                              <w:rPr>
                                <w:sz w:val="10"/>
                                <w:szCs w:val="18"/>
                              </w:rPr>
                            </w:pPr>
                            <w:r w:rsidRPr="00F81B0F">
                              <w:rPr>
                                <w:sz w:val="10"/>
                                <w:szCs w:val="18"/>
                              </w:rPr>
                              <w:t>Tariff Design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CF01D3" id="_x0000_s1278" type="#_x0000_t202" style="position:absolute;margin-left:25.75pt;margin-top:135.35pt;width:54.2pt;height:21.7pt;z-index:25198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" fillcolor="white [3212]" stroked="f">
                <v:textbox inset="0,0,0,0">
                  <w:txbxContent>
                    <w:p w14:paraId="3FFC0062" w14:textId="007C6984" w:rsidR="002C3947" w:rsidRPr="00F81B0F" w:rsidRDefault="002C3947" w:rsidP="00F81B0F">
                      <w:pPr>
                        <w:jc w:val="center"/>
                        <w:rPr>
                          <w:sz w:val="10"/>
                          <w:szCs w:val="18"/>
                        </w:rPr>
                      </w:pPr>
                      <w:r w:rsidRPr="00F81B0F">
                        <w:rPr>
                          <w:sz w:val="10"/>
                          <w:szCs w:val="18"/>
                        </w:rPr>
                        <w:t>Tariff Design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81312" behindDoc="0" locked="0" layoutInCell="1" allowOverlap="1" wp14:anchorId="7CFF176D" wp14:editId="6D521036">
                <wp:simplePos x="0" y="0"/>
                <wp:positionH relativeFrom="column">
                  <wp:posOffset>328514</wp:posOffset>
                </wp:positionH>
                <wp:positionV relativeFrom="paragraph">
                  <wp:posOffset>1346200</wp:posOffset>
                </wp:positionV>
                <wp:extent cx="688034" cy="275512"/>
                <wp:effectExtent l="0" t="0" r="0" b="0"/>
                <wp:wrapNone/>
                <wp:docPr id="5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034" cy="275512"/>
                        </a:xfrm>
                        <a:prstGeom prst="rect">
                          <a:avLst/>
                        </a:prstGeom>
                        <a:solidFill>
                          <a:schemeClr val="bg1"/>
                        </a:solidFill>
                        <a:ln w="9525">
                          <a:noFill/>
                          <a:miter lim="800000"/>
                          <a:headEnd/>
                          <a:tailEnd/>
                        </a:ln>
                      </wps:spPr>
                      <wps:txbx>
                        <w:txbxContent>
                          <w:p w14:paraId="2C6AC27F" w14:textId="3D0BB76D" w:rsidR="002C3947" w:rsidRPr="00F81B0F" w:rsidRDefault="002C3947" w:rsidP="00F81B0F">
                            <w:pPr>
                              <w:jc w:val="center"/>
                              <w:rPr>
                                <w:sz w:val="10"/>
                                <w:szCs w:val="18"/>
                              </w:rPr>
                            </w:pPr>
                            <w:r w:rsidRPr="00F81B0F">
                              <w:rPr>
                                <w:sz w:val="10"/>
                                <w:szCs w:val="18"/>
                              </w:rPr>
                              <w:t>Treasury</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FF176D" id="_x0000_s1279" type="#_x0000_t202" style="position:absolute;margin-left:25.85pt;margin-top:106pt;width:54.2pt;height:21.7pt;z-index:25198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" fillcolor="white [3212]" stroked="f">
                <v:textbox inset="0,0,0,0">
                  <w:txbxContent>
                    <w:p w14:paraId="2C6AC27F" w14:textId="3D0BB76D" w:rsidR="002C3947" w:rsidRPr="00F81B0F" w:rsidRDefault="002C3947" w:rsidP="00F81B0F">
                      <w:pPr>
                        <w:jc w:val="center"/>
                        <w:rPr>
                          <w:sz w:val="10"/>
                          <w:szCs w:val="18"/>
                        </w:rPr>
                      </w:pPr>
                      <w:r w:rsidRPr="00F81B0F">
                        <w:rPr>
                          <w:sz w:val="10"/>
                          <w:szCs w:val="18"/>
                        </w:rPr>
                        <w:t>Treasury</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79264" behindDoc="0" locked="0" layoutInCell="1" allowOverlap="1" wp14:anchorId="41583273" wp14:editId="608574BE">
                <wp:simplePos x="0" y="0"/>
                <wp:positionH relativeFrom="column">
                  <wp:posOffset>325339</wp:posOffset>
                </wp:positionH>
                <wp:positionV relativeFrom="paragraph">
                  <wp:posOffset>972820</wp:posOffset>
                </wp:positionV>
                <wp:extent cx="688034" cy="275512"/>
                <wp:effectExtent l="0" t="0" r="0" b="0"/>
                <wp:wrapNone/>
                <wp:docPr id="5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034" cy="275512"/>
                        </a:xfrm>
                        <a:prstGeom prst="rect">
                          <a:avLst/>
                        </a:prstGeom>
                        <a:solidFill>
                          <a:schemeClr val="bg1"/>
                        </a:solidFill>
                        <a:ln w="9525">
                          <a:noFill/>
                          <a:miter lim="800000"/>
                          <a:headEnd/>
                          <a:tailEnd/>
                        </a:ln>
                      </wps:spPr>
                      <wps:txbx>
                        <w:txbxContent>
                          <w:p w14:paraId="6DADC070" w14:textId="2A3994D4" w:rsidR="002C3947" w:rsidRPr="00F81B0F" w:rsidRDefault="002C3947" w:rsidP="00F81B0F">
                            <w:pPr>
                              <w:jc w:val="center"/>
                              <w:rPr>
                                <w:sz w:val="10"/>
                                <w:szCs w:val="18"/>
                              </w:rPr>
                            </w:pPr>
                            <w:r w:rsidRPr="00F81B0F">
                              <w:rPr>
                                <w:sz w:val="10"/>
                                <w:szCs w:val="18"/>
                              </w:rPr>
                              <w:t>Finance Department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583273" id="_x0000_s1280" type="#_x0000_t202" style="position:absolute;margin-left:25.6pt;margin-top:76.6pt;width:54.2pt;height:21.7pt;z-index:25197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" fillcolor="white [3212]" stroked="f">
                <v:textbox inset="0,0,0,0">
                  <w:txbxContent>
                    <w:p w14:paraId="6DADC070" w14:textId="2A3994D4" w:rsidR="002C3947" w:rsidRPr="00F81B0F" w:rsidRDefault="002C3947" w:rsidP="00F81B0F">
                      <w:pPr>
                        <w:jc w:val="center"/>
                        <w:rPr>
                          <w:sz w:val="10"/>
                          <w:szCs w:val="18"/>
                        </w:rPr>
                      </w:pPr>
                      <w:r w:rsidRPr="00F81B0F">
                        <w:rPr>
                          <w:sz w:val="10"/>
                          <w:szCs w:val="18"/>
                        </w:rPr>
                        <w:t>Finance Department</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77216" behindDoc="0" locked="0" layoutInCell="1" allowOverlap="1" wp14:anchorId="05768093" wp14:editId="7E36B26E">
                <wp:simplePos x="0" y="0"/>
                <wp:positionH relativeFrom="column">
                  <wp:posOffset>246434</wp:posOffset>
                </wp:positionH>
                <wp:positionV relativeFrom="paragraph">
                  <wp:posOffset>535599</wp:posOffset>
                </wp:positionV>
                <wp:extent cx="769942" cy="338060"/>
                <wp:effectExtent l="0" t="0" r="0" b="5080"/>
                <wp:wrapNone/>
                <wp:docPr id="5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942" cy="338060"/>
                        </a:xfrm>
                        <a:prstGeom prst="rect">
                          <a:avLst/>
                        </a:prstGeom>
                        <a:solidFill>
                          <a:schemeClr val="bg1"/>
                        </a:solidFill>
                        <a:ln w="9525">
                          <a:noFill/>
                          <a:miter lim="800000"/>
                          <a:headEnd/>
                          <a:tailEnd/>
                        </a:ln>
                      </wps:spPr>
                      <wps:txbx>
                        <w:txbxContent>
                          <w:p w14:paraId="698305C3" w14:textId="3D11DE5C" w:rsidR="002C3947" w:rsidRPr="00F81B0F" w:rsidRDefault="002C3947" w:rsidP="00F81B0F">
                            <w:pPr>
                              <w:jc w:val="center"/>
                              <w:rPr>
                                <w:sz w:val="10"/>
                                <w:szCs w:val="18"/>
                              </w:rPr>
                            </w:pPr>
                            <w:r w:rsidRPr="00F81B0F">
                              <w:rPr>
                                <w:sz w:val="10"/>
                                <w:szCs w:val="18"/>
                              </w:rPr>
                              <w:t>Deputy CEO for Economic Affairs and Finance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768093" id="_x0000_s1281" type="#_x0000_t202" style="position:absolute;margin-left:19.4pt;margin-top:42.15pt;width:60.65pt;height:26.6pt;z-index:25197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" fillcolor="white [3212]" stroked="f">
                <v:textbox inset="0,0,0,0">
                  <w:txbxContent>
                    <w:p w14:paraId="698305C3" w14:textId="3D11DE5C" w:rsidR="002C3947" w:rsidRPr="00F81B0F" w:rsidRDefault="002C3947" w:rsidP="00F81B0F">
                      <w:pPr>
                        <w:jc w:val="center"/>
                        <w:rPr>
                          <w:sz w:val="10"/>
                          <w:szCs w:val="18"/>
                        </w:rPr>
                      </w:pPr>
                      <w:r w:rsidRPr="00F81B0F">
                        <w:rPr>
                          <w:sz w:val="10"/>
                          <w:szCs w:val="18"/>
                        </w:rPr>
                        <w:t>Deputy CEO for Economic Affairs and Finance</w:t>
                      </w:r>
                    </w:p>
                  </w:txbxContent>
                </v:textbox>
              </v:shape>
            </w:pict>
          </mc:Fallback>
        </mc:AlternateContent>
      </w:r>
      <w:r w:rsidR="00F81B0F" w:rsidRPr="00BD295E">
        <w:rPr>
          <w:rFonts w:ascii="Arial Narrow" w:hAnsi="Arial Narrow" w:cs="Arial"/>
          <w:b/>
          <w:bCs/>
          <w:color w:val="44596B"/>
          <w:sz w:val="18"/>
          <w:szCs w:val="18"/>
          <w:lang w:val="en-US" w:eastAsia="en-US"/>
        </w:rPr>
        <mc:AlternateContent>
          <mc:Choice Requires="wps">
            <w:drawing>
              <wp:anchor distT="45720" distB="45720" distL="114300" distR="114300" simplePos="0" relativeHeight="251975168" behindDoc="0" locked="0" layoutInCell="1" allowOverlap="1" wp14:anchorId="589D5C02" wp14:editId="02A3143A">
                <wp:simplePos x="0" y="0"/>
                <wp:positionH relativeFrom="column">
                  <wp:posOffset>3621822</wp:posOffset>
                </wp:positionH>
                <wp:positionV relativeFrom="paragraph">
                  <wp:posOffset>102769</wp:posOffset>
                </wp:positionV>
                <wp:extent cx="2108476" cy="245956"/>
                <wp:effectExtent l="0" t="0" r="6350" b="1905"/>
                <wp:wrapNone/>
                <wp:docPr id="5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476" cy="245956"/>
                        </a:xfrm>
                        <a:prstGeom prst="rect">
                          <a:avLst/>
                        </a:prstGeom>
                        <a:solidFill>
                          <a:schemeClr val="bg1"/>
                        </a:solidFill>
                        <a:ln w="9525">
                          <a:noFill/>
                          <a:miter lim="800000"/>
                          <a:headEnd/>
                          <a:tailEnd/>
                        </a:ln>
                      </wps:spPr>
                      <wps:txbx>
                        <w:txbxContent>
                          <w:p w14:paraId="033DD79C" w14:textId="37A624A3" w:rsidR="002C3947" w:rsidRPr="00F81B0F" w:rsidRDefault="002C3947" w:rsidP="00F81B0F">
                            <w:pPr>
                              <w:jc w:val="center"/>
                              <w:rPr>
                                <w:b/>
                                <w:bCs/>
                                <w:sz w:val="10"/>
                                <w:szCs w:val="18"/>
                              </w:rPr>
                            </w:pPr>
                            <w:r w:rsidRPr="00F81B0F">
                              <w:rPr>
                                <w:b/>
                                <w:bCs/>
                                <w:sz w:val="10"/>
                                <w:szCs w:val="18"/>
                              </w:rPr>
                              <w:t>CEO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9D5C02" id="_x0000_s1282" type="#_x0000_t202" style="position:absolute;margin-left:285.2pt;margin-top:8.1pt;width:166pt;height:19.35pt;z-index:25197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" fillcolor="white [3212]" stroked="f">
                <v:textbox inset="0,0,0,0">
                  <w:txbxContent>
                    <w:p w14:paraId="033DD79C" w14:textId="37A624A3" w:rsidR="002C3947" w:rsidRPr="00F81B0F" w:rsidRDefault="002C3947" w:rsidP="00F81B0F">
                      <w:pPr>
                        <w:jc w:val="center"/>
                        <w:rPr>
                          <w:b/>
                          <w:bCs/>
                          <w:sz w:val="10"/>
                          <w:szCs w:val="18"/>
                        </w:rPr>
                      </w:pPr>
                      <w:r w:rsidRPr="00F81B0F">
                        <w:rPr>
                          <w:b/>
                          <w:bCs/>
                          <w:sz w:val="10"/>
                          <w:szCs w:val="18"/>
                        </w:rPr>
                        <w:t>CEO</w:t>
                      </w:r>
                    </w:p>
                  </w:txbxContent>
                </v:textbox>
              </v:shape>
            </w:pict>
          </mc:Fallback>
        </mc:AlternateContent>
      </w:r>
      <w:r w:rsidR="00997D07" w:rsidRPr="00BD295E">
        <w:rPr>
          <w:rFonts w:ascii="Arial" w:hAnsi="Arial" w:cs="Arial"/>
          <w:sz w:val="18"/>
          <w:szCs w:val="18"/>
          <w:lang w:val="en-US" w:eastAsia="en-US"/>
        </w:rPr>
        <w:drawing>
          <wp:inline distT="0" distB="0" distL="0" distR="0" wp14:anchorId="02739282" wp14:editId="1434C416">
            <wp:extent cx="9614711" cy="5307690"/>
            <wp:effectExtent l="0" t="0" r="5715" b="7620"/>
            <wp:docPr id="101" name="Рисунок 1028" descr="\\Energo\le\DKU\Investor Relations\ОБЯЗАТЕЛЬНОЕ РАСКРЫТИЕ\Обязательные к раскрытию Эмитентами ЦБ\годовой отчёт\ГО_18\Контент\4 раздел\Организационная структура ИА ПАО Ленэнерг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8" descr="\\Energo\le\DKU\Investor Relations\ОБЯЗАТЕЛЬНОЕ РАСКРЫТИЕ\Обязательные к раскрытию Эмитентами ЦБ\годовой отчёт\ГО_18\Контент\4 раздел\Организационная структура ИА ПАО Ленэнерго.tif"/>
                    <pic:cNvPicPr>
                      <a:picLocks noChangeAspect="1" noChangeArrowheads="1"/>
                    </pic:cNvPicPr>
                  </pic:nvPicPr>
                  <pic:blipFill rotWithShape="1">
                    <a:blip r:embed="rId164">
                      <a:extLst>
                        <a:ext uri="{28A0092B-C50C-407E-A947-70E740481C1C}">
                          <a14:useLocalDpi xmlns:a14="http://schemas.microsoft.com/office/drawing/2010/main" val="0"/>
                        </a:ext>
                      </a:extLst>
                    </a:blip>
                    <a:srcRect t="7003"/>
                    <a:stretch/>
                  </pic:blipFill>
                  <pic:spPr bwMode="auto">
                    <a:xfrm>
                      <a:off x="0" y="0"/>
                      <a:ext cx="9625307" cy="5313539"/>
                    </a:xfrm>
                    <a:prstGeom prst="rect">
                      <a:avLst/>
                    </a:prstGeom>
                    <a:noFill/>
                    <a:ln>
                      <a:noFill/>
                    </a:ln>
                    <a:extLst>
                      <a:ext uri="{53640926-AAD7-44D8-BBD7-CCE9431645EC}">
                        <a14:shadowObscured xmlns:a14="http://schemas.microsoft.com/office/drawing/2010/main"/>
                      </a:ext>
                    </a:extLst>
                  </pic:spPr>
                </pic:pic>
              </a:graphicData>
            </a:graphic>
          </wp:inline>
        </w:drawing>
      </w:r>
      <w:bookmarkEnd w:id="667"/>
    </w:p>
    <w:p w14:paraId="6B260775" w14:textId="77777777" w:rsidR="00162DD0" w:rsidRPr="00BD295E" w:rsidRDefault="00162DD0" w:rsidP="004D2697">
      <w:pPr>
        <w:spacing w:after="160" w:line="259" w:lineRule="auto"/>
        <w:rPr>
          <w:rFonts w:ascii="Arial" w:hAnsi="Arial" w:cs="Arial"/>
          <w:sz w:val="18"/>
          <w:szCs w:val="18"/>
          <w:lang w:val="en-US"/>
        </w:rPr>
        <w:sectPr w:rsidR="00162DD0" w:rsidRPr="00BD295E" w:rsidSect="00162DD0">
          <w:pgSz w:w="16838" w:h="11906" w:orient="landscape"/>
          <w:pgMar w:top="1701" w:right="567" w:bottom="1133" w:left="1134" w:header="709" w:footer="709" w:gutter="0"/>
          <w:cols w:space="708"/>
          <w:docGrid w:linePitch="360"/>
        </w:sectPr>
      </w:pPr>
    </w:p>
    <w:p w14:paraId="2CF8FC41" w14:textId="77777777" w:rsidR="004D2697" w:rsidRPr="00BD295E" w:rsidRDefault="008A5057" w:rsidP="00801007">
      <w:pPr>
        <w:pStyle w:val="2"/>
        <w:numPr>
          <w:ilvl w:val="1"/>
          <w:numId w:val="53"/>
        </w:numPr>
        <w:rPr>
          <w:rFonts w:ascii="Arial" w:hAnsi="Arial" w:cs="Arial"/>
          <w:sz w:val="18"/>
          <w:szCs w:val="18"/>
          <w:lang w:val="en-US"/>
        </w:rPr>
      </w:pPr>
      <w:bookmarkStart w:id="668" w:name="_Toc509493672"/>
      <w:bookmarkStart w:id="669" w:name="_Toc509581241"/>
      <w:bookmarkStart w:id="670" w:name="_Toc509934213"/>
      <w:bookmarkStart w:id="671" w:name="_Toc510452206"/>
      <w:bookmarkStart w:id="672" w:name="_Toc510453072"/>
      <w:bookmarkStart w:id="673" w:name="_Toc510624088"/>
      <w:bookmarkStart w:id="674" w:name="_Toc511055136"/>
      <w:bookmarkStart w:id="675" w:name="_Toc511747492"/>
      <w:bookmarkStart w:id="676" w:name="_Toc5101344"/>
      <w:bookmarkStart w:id="677" w:name="_Toc5101723"/>
      <w:bookmarkStart w:id="678" w:name="_Toc5874619"/>
      <w:bookmarkStart w:id="679" w:name="_Toc95855317"/>
      <w:bookmarkStart w:id="680" w:name="_Toc95935376"/>
      <w:r w:rsidRPr="00BD295E">
        <w:rPr>
          <w:rFonts w:ascii="Arial" w:hAnsi="Arial" w:cs="Arial"/>
          <w:sz w:val="18"/>
          <w:szCs w:val="18"/>
          <w:lang w:val="en-US"/>
        </w:rPr>
        <w:t>Customer service centers in Saint Petersburg and the Leningrad Region;</w:t>
      </w:r>
      <w:bookmarkEnd w:id="668"/>
      <w:bookmarkEnd w:id="669"/>
      <w:bookmarkEnd w:id="670"/>
      <w:bookmarkEnd w:id="671"/>
      <w:bookmarkEnd w:id="672"/>
      <w:bookmarkEnd w:id="673"/>
      <w:bookmarkEnd w:id="674"/>
      <w:bookmarkEnd w:id="675"/>
      <w:bookmarkEnd w:id="676"/>
      <w:bookmarkEnd w:id="677"/>
      <w:bookmarkEnd w:id="678"/>
      <w:bookmarkEnd w:id="679"/>
      <w:bookmarkEnd w:id="680"/>
    </w:p>
    <w:tbl>
      <w:tblPr>
        <w:tblW w:w="9782" w:type="dxa"/>
        <w:tblInd w:w="-318" w:type="dxa"/>
        <w:tblLook w:val="04A0" w:firstRow="1" w:lastRow="0" w:firstColumn="1" w:lastColumn="0" w:noHBand="0" w:noVBand="1"/>
      </w:tblPr>
      <w:tblGrid>
        <w:gridCol w:w="568"/>
        <w:gridCol w:w="3827"/>
        <w:gridCol w:w="1560"/>
        <w:gridCol w:w="3827"/>
      </w:tblGrid>
      <w:tr w:rsidR="008A5057" w:rsidRPr="00BD295E" w14:paraId="4CAEE077" w14:textId="77777777" w:rsidTr="00D108C0">
        <w:trPr>
          <w:cantSplit/>
          <w:trHeight w:val="557"/>
          <w:tblHead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2210D" w14:textId="77777777" w:rsidR="008D04FE" w:rsidRPr="00BD295E" w:rsidRDefault="008A5057" w:rsidP="00D108C0">
            <w:pPr>
              <w:jc w:val="center"/>
              <w:rPr>
                <w:rFonts w:ascii="Arial" w:hAnsi="Arial" w:cs="Arial"/>
                <w:b/>
                <w:sz w:val="18"/>
                <w:szCs w:val="18"/>
                <w:lang w:val="en-US"/>
              </w:rPr>
            </w:pPr>
            <w:r w:rsidRPr="00BD295E">
              <w:rPr>
                <w:rFonts w:ascii="Arial" w:hAnsi="Arial" w:cs="Arial"/>
                <w:b/>
                <w:sz w:val="18"/>
                <w:szCs w:val="18"/>
                <w:lang w:val="en-US"/>
              </w:rPr>
              <w:t>No.</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71EAEEF3" w14:textId="77777777" w:rsidR="008D04FE" w:rsidRPr="00BD295E" w:rsidRDefault="008A5057" w:rsidP="00D108C0">
            <w:pPr>
              <w:jc w:val="center"/>
              <w:rPr>
                <w:rFonts w:ascii="Arial" w:hAnsi="Arial" w:cs="Arial"/>
                <w:b/>
                <w:sz w:val="18"/>
                <w:szCs w:val="18"/>
                <w:lang w:val="en-US"/>
              </w:rPr>
            </w:pPr>
            <w:r w:rsidRPr="00BD295E">
              <w:rPr>
                <w:rFonts w:ascii="Arial" w:hAnsi="Arial" w:cs="Arial"/>
                <w:b/>
                <w:sz w:val="18"/>
                <w:szCs w:val="18"/>
                <w:lang w:val="en-US"/>
              </w:rPr>
              <w:t xml:space="preserve">Name </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5CDDCA73" w14:textId="77777777" w:rsidR="008D04FE" w:rsidRPr="00BD295E" w:rsidRDefault="008A5057" w:rsidP="00D108C0">
            <w:pPr>
              <w:jc w:val="center"/>
              <w:rPr>
                <w:rFonts w:ascii="Arial" w:hAnsi="Arial" w:cs="Arial"/>
                <w:b/>
                <w:sz w:val="18"/>
                <w:szCs w:val="18"/>
                <w:lang w:val="en-US"/>
              </w:rPr>
            </w:pPr>
            <w:r w:rsidRPr="00BD295E">
              <w:rPr>
                <w:rFonts w:ascii="Arial" w:hAnsi="Arial" w:cs="Arial"/>
                <w:b/>
                <w:sz w:val="18"/>
                <w:szCs w:val="18"/>
                <w:lang w:val="en-US"/>
              </w:rPr>
              <w:t>Phone</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14:paraId="43AC8674" w14:textId="77777777" w:rsidR="008D04FE" w:rsidRPr="00BD295E" w:rsidRDefault="008A5057" w:rsidP="00D108C0">
            <w:pPr>
              <w:jc w:val="center"/>
              <w:rPr>
                <w:rFonts w:ascii="Arial" w:hAnsi="Arial" w:cs="Arial"/>
                <w:b/>
                <w:sz w:val="18"/>
                <w:szCs w:val="18"/>
                <w:lang w:val="en-US"/>
              </w:rPr>
            </w:pPr>
            <w:r w:rsidRPr="00BD295E">
              <w:rPr>
                <w:rFonts w:ascii="Arial" w:hAnsi="Arial" w:cs="Arial"/>
                <w:b/>
                <w:sz w:val="18"/>
                <w:szCs w:val="18"/>
                <w:lang w:val="en-US"/>
              </w:rPr>
              <w:t xml:space="preserve"> Working hours </w:t>
            </w:r>
          </w:p>
        </w:tc>
      </w:tr>
      <w:tr w:rsidR="008A5057" w:rsidRPr="00BD295E" w14:paraId="7F5E6056" w14:textId="77777777" w:rsidTr="00D108C0">
        <w:trPr>
          <w:cantSplit/>
          <w:trHeight w:val="1270"/>
        </w:trPr>
        <w:tc>
          <w:tcPr>
            <w:tcW w:w="568" w:type="dxa"/>
            <w:vMerge w:val="restart"/>
            <w:tcBorders>
              <w:top w:val="nil"/>
              <w:left w:val="single" w:sz="4" w:space="0" w:color="auto"/>
              <w:right w:val="single" w:sz="4" w:space="0" w:color="auto"/>
            </w:tcBorders>
            <w:shd w:val="clear" w:color="auto" w:fill="auto"/>
            <w:vAlign w:val="center"/>
            <w:hideMark/>
          </w:tcPr>
          <w:p w14:paraId="6BE6044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1</w:t>
            </w:r>
          </w:p>
          <w:p w14:paraId="723F09D5" w14:textId="77777777" w:rsidR="008D04FE" w:rsidRPr="00BD295E" w:rsidRDefault="008D04FE" w:rsidP="00D108C0">
            <w:pPr>
              <w:jc w:val="center"/>
              <w:rPr>
                <w:rFonts w:ascii="Arial" w:hAnsi="Arial" w:cs="Arial"/>
                <w:sz w:val="18"/>
                <w:szCs w:val="18"/>
                <w:lang w:val="en-US"/>
              </w:rPr>
            </w:pPr>
          </w:p>
        </w:tc>
        <w:tc>
          <w:tcPr>
            <w:tcW w:w="3827" w:type="dxa"/>
            <w:tcBorders>
              <w:top w:val="nil"/>
              <w:left w:val="nil"/>
              <w:bottom w:val="single" w:sz="4" w:space="0" w:color="auto"/>
              <w:right w:val="single" w:sz="4" w:space="0" w:color="auto"/>
            </w:tcBorders>
            <w:shd w:val="clear" w:color="auto" w:fill="auto"/>
            <w:vAlign w:val="center"/>
          </w:tcPr>
          <w:p w14:paraId="77691BE6" w14:textId="77777777" w:rsidR="008D04FE" w:rsidRPr="00BD295E" w:rsidRDefault="008A5057" w:rsidP="00D108C0">
            <w:pPr>
              <w:jc w:val="center"/>
              <w:rPr>
                <w:rFonts w:ascii="Arial" w:hAnsi="Arial" w:cs="Arial"/>
                <w:sz w:val="18"/>
                <w:szCs w:val="18"/>
                <w:lang w:val="en-US"/>
              </w:rPr>
            </w:pPr>
            <w:r w:rsidRPr="00BD295E">
              <w:rPr>
                <w:rFonts w:ascii="Arial" w:hAnsi="Arial" w:cs="Arial"/>
                <w:i/>
                <w:iCs/>
                <w:sz w:val="18"/>
                <w:szCs w:val="18"/>
                <w:lang w:val="en-US"/>
              </w:rPr>
              <w:t>Tsentralny</w:t>
            </w:r>
            <w:r w:rsidRPr="00BD295E">
              <w:rPr>
                <w:rFonts w:ascii="Arial" w:hAnsi="Arial" w:cs="Arial"/>
                <w:sz w:val="18"/>
                <w:szCs w:val="18"/>
                <w:lang w:val="en-US"/>
              </w:rPr>
              <w:t xml:space="preserve"> office, customer service center in Saint Petersburg and the Leningrad Region;</w:t>
            </w:r>
          </w:p>
        </w:tc>
        <w:tc>
          <w:tcPr>
            <w:tcW w:w="1560" w:type="dxa"/>
            <w:tcBorders>
              <w:top w:val="nil"/>
              <w:left w:val="nil"/>
              <w:bottom w:val="single" w:sz="4" w:space="0" w:color="auto"/>
              <w:right w:val="single" w:sz="4" w:space="0" w:color="auto"/>
            </w:tcBorders>
            <w:shd w:val="clear" w:color="auto" w:fill="auto"/>
            <w:vAlign w:val="center"/>
          </w:tcPr>
          <w:p w14:paraId="1660399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8 800 700 14 71</w:t>
            </w:r>
          </w:p>
        </w:tc>
        <w:tc>
          <w:tcPr>
            <w:tcW w:w="3827" w:type="dxa"/>
            <w:tcBorders>
              <w:top w:val="nil"/>
              <w:left w:val="nil"/>
              <w:bottom w:val="single" w:sz="4" w:space="0" w:color="auto"/>
              <w:right w:val="single" w:sz="4" w:space="0" w:color="auto"/>
            </w:tcBorders>
            <w:shd w:val="clear" w:color="auto" w:fill="auto"/>
            <w:vAlign w:val="center"/>
          </w:tcPr>
          <w:p w14:paraId="048D68F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Monday – Friday from 9:00 am to 8:00 pm</w:t>
            </w:r>
          </w:p>
          <w:p w14:paraId="4001684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Saturday from 9:00 am to 5:00 pm</w:t>
            </w:r>
          </w:p>
          <w:p w14:paraId="110B7399"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Sunday – day-off</w:t>
            </w:r>
          </w:p>
        </w:tc>
      </w:tr>
      <w:tr w:rsidR="008A5057" w:rsidRPr="00BD295E" w14:paraId="55A9E92B" w14:textId="77777777" w:rsidTr="00D108C0">
        <w:trPr>
          <w:cantSplit/>
          <w:trHeight w:val="20"/>
        </w:trPr>
        <w:tc>
          <w:tcPr>
            <w:tcW w:w="568" w:type="dxa"/>
            <w:vMerge/>
            <w:tcBorders>
              <w:top w:val="nil"/>
              <w:left w:val="single" w:sz="4" w:space="0" w:color="auto"/>
              <w:right w:val="single" w:sz="4" w:space="0" w:color="auto"/>
            </w:tcBorders>
            <w:shd w:val="clear" w:color="auto" w:fill="auto"/>
            <w:vAlign w:val="center"/>
          </w:tcPr>
          <w:p w14:paraId="62A2C671" w14:textId="77777777" w:rsidR="008D04FE" w:rsidRPr="00BD295E" w:rsidRDefault="008D04FE" w:rsidP="00D108C0">
            <w:pPr>
              <w:jc w:val="center"/>
              <w:rPr>
                <w:rFonts w:ascii="Arial" w:hAnsi="Arial" w:cs="Arial"/>
                <w:sz w:val="18"/>
                <w:szCs w:val="18"/>
                <w:lang w:val="en-US"/>
              </w:rPr>
            </w:pPr>
          </w:p>
        </w:tc>
        <w:tc>
          <w:tcPr>
            <w:tcW w:w="3827" w:type="dxa"/>
            <w:tcBorders>
              <w:top w:val="nil"/>
              <w:left w:val="nil"/>
              <w:bottom w:val="single" w:sz="4" w:space="0" w:color="auto"/>
              <w:right w:val="single" w:sz="4" w:space="0" w:color="auto"/>
            </w:tcBorders>
            <w:shd w:val="clear" w:color="auto" w:fill="auto"/>
            <w:vAlign w:val="center"/>
          </w:tcPr>
          <w:p w14:paraId="19A3B8FE" w14:textId="77777777" w:rsidR="008D04FE" w:rsidRPr="00BD295E" w:rsidRDefault="008A5057" w:rsidP="00D108C0">
            <w:pPr>
              <w:jc w:val="center"/>
              <w:rPr>
                <w:rFonts w:ascii="Arial" w:hAnsi="Arial" w:cs="Arial"/>
                <w:sz w:val="18"/>
                <w:szCs w:val="18"/>
                <w:lang w:val="en-US"/>
              </w:rPr>
            </w:pPr>
            <w:r w:rsidRPr="00BD295E">
              <w:rPr>
                <w:rFonts w:ascii="Arial" w:hAnsi="Arial" w:cs="Arial"/>
                <w:i/>
                <w:iCs/>
                <w:sz w:val="18"/>
                <w:szCs w:val="18"/>
                <w:lang w:val="en-US"/>
              </w:rPr>
              <w:t>Vyborgsky</w:t>
            </w:r>
            <w:r w:rsidRPr="00BD295E">
              <w:rPr>
                <w:rFonts w:ascii="Arial" w:hAnsi="Arial" w:cs="Arial"/>
                <w:sz w:val="18"/>
                <w:szCs w:val="18"/>
                <w:lang w:val="en-US"/>
              </w:rPr>
              <w:t xml:space="preserve"> office, Customer Service Center for the Leningrad Region</w:t>
            </w:r>
          </w:p>
        </w:tc>
        <w:tc>
          <w:tcPr>
            <w:tcW w:w="1560" w:type="dxa"/>
            <w:tcBorders>
              <w:top w:val="nil"/>
              <w:left w:val="nil"/>
              <w:bottom w:val="single" w:sz="4" w:space="0" w:color="auto"/>
              <w:right w:val="single" w:sz="4" w:space="0" w:color="auto"/>
            </w:tcBorders>
            <w:shd w:val="clear" w:color="auto" w:fill="auto"/>
            <w:vAlign w:val="center"/>
          </w:tcPr>
          <w:p w14:paraId="38FC96E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8 800 700 14 71</w:t>
            </w:r>
          </w:p>
        </w:tc>
        <w:tc>
          <w:tcPr>
            <w:tcW w:w="3827" w:type="dxa"/>
            <w:tcBorders>
              <w:top w:val="nil"/>
              <w:left w:val="nil"/>
              <w:bottom w:val="single" w:sz="4" w:space="0" w:color="auto"/>
              <w:right w:val="single" w:sz="4" w:space="0" w:color="auto"/>
            </w:tcBorders>
            <w:shd w:val="clear" w:color="auto" w:fill="auto"/>
            <w:vAlign w:val="center"/>
          </w:tcPr>
          <w:p w14:paraId="4D350ED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Monday – Friday </w:t>
            </w:r>
          </w:p>
          <w:p w14:paraId="0786B3BC"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From 8: 30 am to 5: 30 am (no break for lunch)</w:t>
            </w:r>
            <w:r w:rsidRPr="00BD295E">
              <w:rPr>
                <w:rFonts w:ascii="Arial" w:hAnsi="Arial" w:cs="Arial"/>
                <w:sz w:val="18"/>
                <w:szCs w:val="18"/>
                <w:lang w:val="en-US"/>
              </w:rPr>
              <w:br/>
              <w:t>Saturday and Sunday – days-off</w:t>
            </w:r>
          </w:p>
        </w:tc>
      </w:tr>
      <w:tr w:rsidR="008A5057" w:rsidRPr="00BD295E" w14:paraId="27ADC6BB" w14:textId="77777777" w:rsidTr="00D108C0">
        <w:trPr>
          <w:cantSplit/>
          <w:trHeight w:val="20"/>
        </w:trPr>
        <w:tc>
          <w:tcPr>
            <w:tcW w:w="568" w:type="dxa"/>
            <w:vMerge/>
            <w:tcBorders>
              <w:left w:val="single" w:sz="4" w:space="0" w:color="auto"/>
              <w:right w:val="single" w:sz="4" w:space="0" w:color="auto"/>
            </w:tcBorders>
            <w:shd w:val="clear" w:color="auto" w:fill="auto"/>
            <w:vAlign w:val="center"/>
            <w:hideMark/>
          </w:tcPr>
          <w:p w14:paraId="72630776" w14:textId="77777777" w:rsidR="008D04FE" w:rsidRPr="00BD295E" w:rsidRDefault="008D04FE" w:rsidP="00D108C0">
            <w:pPr>
              <w:jc w:val="center"/>
              <w:rPr>
                <w:rFonts w:ascii="Arial" w:hAnsi="Arial" w:cs="Arial"/>
                <w:sz w:val="18"/>
                <w:szCs w:val="18"/>
                <w:lang w:val="en-US"/>
              </w:rPr>
            </w:pPr>
          </w:p>
        </w:tc>
        <w:tc>
          <w:tcPr>
            <w:tcW w:w="3827" w:type="dxa"/>
            <w:tcBorders>
              <w:top w:val="nil"/>
              <w:left w:val="nil"/>
              <w:bottom w:val="single" w:sz="4" w:space="0" w:color="auto"/>
              <w:right w:val="single" w:sz="4" w:space="0" w:color="auto"/>
            </w:tcBorders>
            <w:shd w:val="clear" w:color="auto" w:fill="auto"/>
            <w:vAlign w:val="center"/>
            <w:hideMark/>
          </w:tcPr>
          <w:p w14:paraId="5C2228D6" w14:textId="77777777" w:rsidR="008D04FE" w:rsidRPr="00BD295E" w:rsidRDefault="008A5057" w:rsidP="00D108C0">
            <w:pPr>
              <w:jc w:val="center"/>
              <w:rPr>
                <w:rFonts w:ascii="Arial" w:hAnsi="Arial" w:cs="Arial"/>
                <w:sz w:val="18"/>
                <w:szCs w:val="18"/>
                <w:lang w:val="en-US"/>
              </w:rPr>
            </w:pPr>
            <w:r w:rsidRPr="00BD295E">
              <w:rPr>
                <w:rFonts w:ascii="Arial" w:hAnsi="Arial" w:cs="Arial"/>
                <w:i/>
                <w:iCs/>
                <w:sz w:val="18"/>
                <w:szCs w:val="18"/>
                <w:lang w:val="en-US"/>
              </w:rPr>
              <w:t>Gatchinsky</w:t>
            </w:r>
            <w:r w:rsidRPr="00BD295E">
              <w:rPr>
                <w:rFonts w:ascii="Arial" w:hAnsi="Arial" w:cs="Arial"/>
                <w:sz w:val="18"/>
                <w:szCs w:val="18"/>
                <w:lang w:val="en-US"/>
              </w:rPr>
              <w:t xml:space="preserve"> office, Customer Service Center for the Leningrad Region</w:t>
            </w:r>
          </w:p>
        </w:tc>
        <w:tc>
          <w:tcPr>
            <w:tcW w:w="1560" w:type="dxa"/>
            <w:tcBorders>
              <w:top w:val="nil"/>
              <w:left w:val="nil"/>
              <w:bottom w:val="single" w:sz="4" w:space="0" w:color="auto"/>
              <w:right w:val="single" w:sz="4" w:space="0" w:color="auto"/>
            </w:tcBorders>
            <w:shd w:val="clear" w:color="auto" w:fill="auto"/>
            <w:vAlign w:val="center"/>
            <w:hideMark/>
          </w:tcPr>
          <w:p w14:paraId="2585740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8 800 700 14 71</w:t>
            </w:r>
          </w:p>
        </w:tc>
        <w:tc>
          <w:tcPr>
            <w:tcW w:w="3827" w:type="dxa"/>
            <w:tcBorders>
              <w:top w:val="nil"/>
              <w:left w:val="nil"/>
              <w:bottom w:val="single" w:sz="4" w:space="0" w:color="auto"/>
              <w:right w:val="single" w:sz="4" w:space="0" w:color="auto"/>
            </w:tcBorders>
            <w:shd w:val="clear" w:color="auto" w:fill="auto"/>
            <w:vAlign w:val="center"/>
            <w:hideMark/>
          </w:tcPr>
          <w:p w14:paraId="0BC12C0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Monday – Friday </w:t>
            </w:r>
          </w:p>
          <w:p w14:paraId="0CC2C936"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From 8: 30</w:t>
            </w:r>
            <w:r w:rsidR="005D0F7E" w:rsidRPr="00BD295E">
              <w:rPr>
                <w:rFonts w:ascii="Arial" w:hAnsi="Arial" w:cs="Arial"/>
                <w:sz w:val="18"/>
                <w:szCs w:val="18"/>
                <w:lang w:val="en-US"/>
              </w:rPr>
              <w:t xml:space="preserve"> to </w:t>
            </w:r>
            <w:r w:rsidRPr="00BD295E">
              <w:rPr>
                <w:rFonts w:ascii="Arial" w:hAnsi="Arial" w:cs="Arial"/>
                <w:sz w:val="18"/>
                <w:szCs w:val="18"/>
                <w:lang w:val="en-US"/>
              </w:rPr>
              <w:t>17 30 am (no break for lunch)</w:t>
            </w:r>
            <w:r w:rsidRPr="00BD295E">
              <w:rPr>
                <w:rFonts w:ascii="Arial" w:hAnsi="Arial" w:cs="Arial"/>
                <w:sz w:val="18"/>
                <w:szCs w:val="18"/>
                <w:lang w:val="en-US"/>
              </w:rPr>
              <w:br/>
              <w:t>Saturday and Sunday – days-off</w:t>
            </w:r>
          </w:p>
        </w:tc>
      </w:tr>
      <w:tr w:rsidR="008A5057" w:rsidRPr="00BD295E" w14:paraId="584F0BEB" w14:textId="77777777" w:rsidTr="00D108C0">
        <w:trPr>
          <w:cantSplit/>
          <w:trHeight w:val="20"/>
        </w:trPr>
        <w:tc>
          <w:tcPr>
            <w:tcW w:w="568" w:type="dxa"/>
            <w:vMerge/>
            <w:tcBorders>
              <w:left w:val="single" w:sz="4" w:space="0" w:color="auto"/>
              <w:right w:val="single" w:sz="4" w:space="0" w:color="auto"/>
            </w:tcBorders>
            <w:shd w:val="clear" w:color="auto" w:fill="auto"/>
            <w:vAlign w:val="center"/>
            <w:hideMark/>
          </w:tcPr>
          <w:p w14:paraId="50ADAA8E" w14:textId="77777777" w:rsidR="008D04FE" w:rsidRPr="00BD295E" w:rsidRDefault="008D04FE" w:rsidP="00D108C0">
            <w:pPr>
              <w:jc w:val="center"/>
              <w:rPr>
                <w:rFonts w:ascii="Arial" w:hAnsi="Arial" w:cs="Arial"/>
                <w:sz w:val="18"/>
                <w:szCs w:val="18"/>
                <w:lang w:val="en-US"/>
              </w:rPr>
            </w:pPr>
          </w:p>
        </w:tc>
        <w:tc>
          <w:tcPr>
            <w:tcW w:w="3827" w:type="dxa"/>
            <w:tcBorders>
              <w:top w:val="nil"/>
              <w:left w:val="nil"/>
              <w:bottom w:val="single" w:sz="4" w:space="0" w:color="auto"/>
              <w:right w:val="single" w:sz="4" w:space="0" w:color="auto"/>
            </w:tcBorders>
            <w:shd w:val="clear" w:color="auto" w:fill="auto"/>
            <w:vAlign w:val="center"/>
            <w:hideMark/>
          </w:tcPr>
          <w:p w14:paraId="3174F363" w14:textId="77777777" w:rsidR="008D04FE" w:rsidRPr="00BD295E" w:rsidRDefault="008A5057" w:rsidP="00D108C0">
            <w:pPr>
              <w:jc w:val="center"/>
              <w:rPr>
                <w:rFonts w:ascii="Arial" w:hAnsi="Arial" w:cs="Arial"/>
                <w:sz w:val="18"/>
                <w:szCs w:val="18"/>
                <w:lang w:val="en-US"/>
              </w:rPr>
            </w:pPr>
            <w:r w:rsidRPr="00BD295E">
              <w:rPr>
                <w:rFonts w:ascii="Arial" w:hAnsi="Arial" w:cs="Arial"/>
                <w:i/>
                <w:iCs/>
                <w:sz w:val="18"/>
                <w:szCs w:val="18"/>
                <w:lang w:val="en-US"/>
              </w:rPr>
              <w:t>Kingiseppsky</w:t>
            </w:r>
            <w:r w:rsidRPr="00BD295E">
              <w:rPr>
                <w:rFonts w:ascii="Arial" w:hAnsi="Arial" w:cs="Arial"/>
                <w:sz w:val="18"/>
                <w:szCs w:val="18"/>
                <w:lang w:val="en-US"/>
              </w:rPr>
              <w:t xml:space="preserve"> office, Customer Service Center for the Leningrad Region</w:t>
            </w:r>
          </w:p>
        </w:tc>
        <w:tc>
          <w:tcPr>
            <w:tcW w:w="1560" w:type="dxa"/>
            <w:tcBorders>
              <w:top w:val="nil"/>
              <w:left w:val="nil"/>
              <w:bottom w:val="single" w:sz="4" w:space="0" w:color="auto"/>
              <w:right w:val="single" w:sz="4" w:space="0" w:color="auto"/>
            </w:tcBorders>
            <w:shd w:val="clear" w:color="auto" w:fill="auto"/>
            <w:vAlign w:val="center"/>
            <w:hideMark/>
          </w:tcPr>
          <w:p w14:paraId="6EA9E2B8"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8 800 700 14 71</w:t>
            </w:r>
          </w:p>
        </w:tc>
        <w:tc>
          <w:tcPr>
            <w:tcW w:w="3827" w:type="dxa"/>
            <w:tcBorders>
              <w:top w:val="nil"/>
              <w:left w:val="nil"/>
              <w:bottom w:val="single" w:sz="4" w:space="0" w:color="auto"/>
              <w:right w:val="single" w:sz="4" w:space="0" w:color="auto"/>
            </w:tcBorders>
            <w:shd w:val="clear" w:color="auto" w:fill="auto"/>
            <w:vAlign w:val="center"/>
            <w:hideMark/>
          </w:tcPr>
          <w:p w14:paraId="066BB12C"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Monday – Thursday </w:t>
            </w:r>
          </w:p>
          <w:p w14:paraId="6C78901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from 9:00 am to 12:00 am, from 2:00 pm to 5:00 pm</w:t>
            </w:r>
            <w:r w:rsidRPr="00BD295E">
              <w:rPr>
                <w:rFonts w:ascii="Arial" w:hAnsi="Arial" w:cs="Arial"/>
                <w:sz w:val="18"/>
                <w:szCs w:val="18"/>
                <w:lang w:val="en-US"/>
              </w:rPr>
              <w:br/>
              <w:t>Friday from 9:00 am to 12:00 am</w:t>
            </w:r>
          </w:p>
          <w:p w14:paraId="683BC70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Saturday and Sunday – days-off</w:t>
            </w:r>
          </w:p>
        </w:tc>
      </w:tr>
      <w:tr w:rsidR="008A5057" w:rsidRPr="00BD295E" w14:paraId="57AF9243" w14:textId="77777777" w:rsidTr="00D108C0">
        <w:trPr>
          <w:cantSplit/>
          <w:trHeight w:val="20"/>
        </w:trPr>
        <w:tc>
          <w:tcPr>
            <w:tcW w:w="568" w:type="dxa"/>
            <w:vMerge/>
            <w:tcBorders>
              <w:left w:val="single" w:sz="4" w:space="0" w:color="auto"/>
              <w:right w:val="single" w:sz="4" w:space="0" w:color="auto"/>
            </w:tcBorders>
            <w:shd w:val="clear" w:color="auto" w:fill="auto"/>
            <w:vAlign w:val="center"/>
            <w:hideMark/>
          </w:tcPr>
          <w:p w14:paraId="6B890EEF" w14:textId="77777777" w:rsidR="008D04FE" w:rsidRPr="00BD295E" w:rsidRDefault="008D04FE" w:rsidP="00D108C0">
            <w:pPr>
              <w:jc w:val="center"/>
              <w:rPr>
                <w:rFonts w:ascii="Arial" w:hAnsi="Arial" w:cs="Arial"/>
                <w:sz w:val="18"/>
                <w:szCs w:val="18"/>
                <w:lang w:val="en-US"/>
              </w:rPr>
            </w:pPr>
          </w:p>
        </w:tc>
        <w:tc>
          <w:tcPr>
            <w:tcW w:w="3827" w:type="dxa"/>
            <w:tcBorders>
              <w:top w:val="nil"/>
              <w:left w:val="nil"/>
              <w:bottom w:val="single" w:sz="4" w:space="0" w:color="auto"/>
              <w:right w:val="single" w:sz="4" w:space="0" w:color="auto"/>
            </w:tcBorders>
            <w:shd w:val="clear" w:color="auto" w:fill="auto"/>
            <w:vAlign w:val="center"/>
            <w:hideMark/>
          </w:tcPr>
          <w:p w14:paraId="040EDB7E" w14:textId="77777777" w:rsidR="008D04FE" w:rsidRPr="00BD295E" w:rsidRDefault="008A5057" w:rsidP="00D108C0">
            <w:pPr>
              <w:jc w:val="center"/>
              <w:rPr>
                <w:rFonts w:ascii="Arial" w:hAnsi="Arial" w:cs="Arial"/>
                <w:sz w:val="18"/>
                <w:szCs w:val="18"/>
                <w:lang w:val="en-US"/>
              </w:rPr>
            </w:pPr>
            <w:r w:rsidRPr="00BD295E">
              <w:rPr>
                <w:rFonts w:ascii="Arial" w:hAnsi="Arial" w:cs="Arial"/>
                <w:i/>
                <w:iCs/>
                <w:sz w:val="18"/>
                <w:szCs w:val="18"/>
                <w:lang w:val="en-US"/>
              </w:rPr>
              <w:t>Luzhsky</w:t>
            </w:r>
            <w:r w:rsidRPr="00BD295E">
              <w:rPr>
                <w:rFonts w:ascii="Arial" w:hAnsi="Arial" w:cs="Arial"/>
                <w:sz w:val="18"/>
                <w:szCs w:val="18"/>
                <w:lang w:val="en-US"/>
              </w:rPr>
              <w:t xml:space="preserve"> office, Customer Service Center for the Leningrad Region</w:t>
            </w:r>
          </w:p>
        </w:tc>
        <w:tc>
          <w:tcPr>
            <w:tcW w:w="1560" w:type="dxa"/>
            <w:tcBorders>
              <w:top w:val="nil"/>
              <w:left w:val="nil"/>
              <w:bottom w:val="single" w:sz="4" w:space="0" w:color="auto"/>
              <w:right w:val="single" w:sz="4" w:space="0" w:color="auto"/>
            </w:tcBorders>
            <w:shd w:val="clear" w:color="auto" w:fill="auto"/>
            <w:vAlign w:val="center"/>
            <w:hideMark/>
          </w:tcPr>
          <w:p w14:paraId="49071D35"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8 800 700 14 71</w:t>
            </w:r>
          </w:p>
        </w:tc>
        <w:tc>
          <w:tcPr>
            <w:tcW w:w="3827" w:type="dxa"/>
            <w:tcBorders>
              <w:top w:val="nil"/>
              <w:left w:val="nil"/>
              <w:bottom w:val="single" w:sz="4" w:space="0" w:color="auto"/>
              <w:right w:val="single" w:sz="4" w:space="0" w:color="auto"/>
            </w:tcBorders>
            <w:shd w:val="clear" w:color="auto" w:fill="auto"/>
            <w:vAlign w:val="center"/>
            <w:hideMark/>
          </w:tcPr>
          <w:p w14:paraId="30F8491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Monday – Thursday </w:t>
            </w:r>
          </w:p>
          <w:p w14:paraId="40186167"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from 9:00 am to 12:00 am, from 2:00 pm to 5:00 pm</w:t>
            </w:r>
            <w:r w:rsidRPr="00BD295E">
              <w:rPr>
                <w:rFonts w:ascii="Arial" w:hAnsi="Arial" w:cs="Arial"/>
                <w:sz w:val="18"/>
                <w:szCs w:val="18"/>
                <w:lang w:val="en-US"/>
              </w:rPr>
              <w:br/>
              <w:t>Friday from 9:00 am to 12:00 am</w:t>
            </w:r>
          </w:p>
          <w:p w14:paraId="025D7DCB"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Saturday and Sunday – days-off</w:t>
            </w:r>
          </w:p>
        </w:tc>
      </w:tr>
      <w:tr w:rsidR="008A5057" w:rsidRPr="00BD295E" w14:paraId="10B6B10F" w14:textId="77777777" w:rsidTr="00D108C0">
        <w:trPr>
          <w:cantSplit/>
          <w:trHeight w:val="20"/>
        </w:trPr>
        <w:tc>
          <w:tcPr>
            <w:tcW w:w="568" w:type="dxa"/>
            <w:vMerge/>
            <w:tcBorders>
              <w:left w:val="single" w:sz="4" w:space="0" w:color="auto"/>
              <w:right w:val="single" w:sz="4" w:space="0" w:color="auto"/>
            </w:tcBorders>
            <w:shd w:val="clear" w:color="auto" w:fill="auto"/>
            <w:vAlign w:val="center"/>
            <w:hideMark/>
          </w:tcPr>
          <w:p w14:paraId="058AF30E" w14:textId="77777777" w:rsidR="008D04FE" w:rsidRPr="00BD295E" w:rsidRDefault="008D04FE" w:rsidP="00D108C0">
            <w:pPr>
              <w:jc w:val="center"/>
              <w:rPr>
                <w:rFonts w:ascii="Arial" w:hAnsi="Arial" w:cs="Arial"/>
                <w:sz w:val="18"/>
                <w:szCs w:val="18"/>
                <w:lang w:val="en-US"/>
              </w:rPr>
            </w:pPr>
          </w:p>
        </w:tc>
        <w:tc>
          <w:tcPr>
            <w:tcW w:w="3827" w:type="dxa"/>
            <w:tcBorders>
              <w:top w:val="nil"/>
              <w:left w:val="nil"/>
              <w:bottom w:val="single" w:sz="4" w:space="0" w:color="auto"/>
              <w:right w:val="single" w:sz="4" w:space="0" w:color="auto"/>
            </w:tcBorders>
            <w:shd w:val="clear" w:color="auto" w:fill="auto"/>
            <w:vAlign w:val="center"/>
            <w:hideMark/>
          </w:tcPr>
          <w:p w14:paraId="3E9B1AFB" w14:textId="77777777" w:rsidR="008D04FE" w:rsidRPr="00BD295E" w:rsidRDefault="008A5057" w:rsidP="00D108C0">
            <w:pPr>
              <w:jc w:val="center"/>
              <w:rPr>
                <w:rFonts w:ascii="Arial" w:hAnsi="Arial" w:cs="Arial"/>
                <w:sz w:val="18"/>
                <w:szCs w:val="18"/>
                <w:lang w:val="en-US"/>
              </w:rPr>
            </w:pPr>
            <w:r w:rsidRPr="00BD295E">
              <w:rPr>
                <w:rFonts w:ascii="Arial" w:hAnsi="Arial" w:cs="Arial"/>
                <w:i/>
                <w:iCs/>
                <w:sz w:val="18"/>
                <w:szCs w:val="18"/>
                <w:lang w:val="en-US"/>
              </w:rPr>
              <w:t>Novoladozhsky</w:t>
            </w:r>
            <w:r w:rsidRPr="00BD295E">
              <w:rPr>
                <w:rFonts w:ascii="Arial" w:hAnsi="Arial" w:cs="Arial"/>
                <w:sz w:val="18"/>
                <w:szCs w:val="18"/>
                <w:lang w:val="en-US"/>
              </w:rPr>
              <w:t xml:space="preserve"> office, Customer Service Center for the Leningrad Region</w:t>
            </w:r>
          </w:p>
        </w:tc>
        <w:tc>
          <w:tcPr>
            <w:tcW w:w="1560" w:type="dxa"/>
            <w:tcBorders>
              <w:top w:val="nil"/>
              <w:left w:val="nil"/>
              <w:bottom w:val="single" w:sz="4" w:space="0" w:color="auto"/>
              <w:right w:val="single" w:sz="4" w:space="0" w:color="auto"/>
            </w:tcBorders>
            <w:shd w:val="clear" w:color="auto" w:fill="auto"/>
            <w:vAlign w:val="center"/>
            <w:hideMark/>
          </w:tcPr>
          <w:p w14:paraId="5F66E02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8 800 700 14 71</w:t>
            </w:r>
          </w:p>
        </w:tc>
        <w:tc>
          <w:tcPr>
            <w:tcW w:w="3827" w:type="dxa"/>
            <w:tcBorders>
              <w:top w:val="nil"/>
              <w:left w:val="nil"/>
              <w:bottom w:val="single" w:sz="4" w:space="0" w:color="auto"/>
              <w:right w:val="single" w:sz="4" w:space="0" w:color="auto"/>
            </w:tcBorders>
            <w:shd w:val="clear" w:color="auto" w:fill="auto"/>
            <w:vAlign w:val="center"/>
            <w:hideMark/>
          </w:tcPr>
          <w:p w14:paraId="08B32C1E"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Monday – Thursday </w:t>
            </w:r>
          </w:p>
          <w:p w14:paraId="5CB0217C"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from 9:00 am to 12:00 am, from 2:00 pm to 5:00 pm</w:t>
            </w:r>
            <w:r w:rsidRPr="00BD295E">
              <w:rPr>
                <w:rFonts w:ascii="Arial" w:hAnsi="Arial" w:cs="Arial"/>
                <w:sz w:val="18"/>
                <w:szCs w:val="18"/>
                <w:lang w:val="en-US"/>
              </w:rPr>
              <w:br/>
              <w:t>Friday from 9:00 am to 12:00 am</w:t>
            </w:r>
          </w:p>
          <w:p w14:paraId="6C0180CA"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Saturday and Sunday – days-off</w:t>
            </w:r>
          </w:p>
        </w:tc>
      </w:tr>
      <w:tr w:rsidR="008A5057" w:rsidRPr="00BD295E" w14:paraId="0954CC7C" w14:textId="77777777" w:rsidTr="00D108C0">
        <w:trPr>
          <w:cantSplit/>
          <w:trHeight w:val="20"/>
        </w:trPr>
        <w:tc>
          <w:tcPr>
            <w:tcW w:w="568" w:type="dxa"/>
            <w:vMerge/>
            <w:tcBorders>
              <w:left w:val="single" w:sz="4" w:space="0" w:color="auto"/>
              <w:right w:val="single" w:sz="4" w:space="0" w:color="auto"/>
            </w:tcBorders>
            <w:shd w:val="clear" w:color="auto" w:fill="auto"/>
            <w:vAlign w:val="center"/>
            <w:hideMark/>
          </w:tcPr>
          <w:p w14:paraId="4BB340AD" w14:textId="77777777" w:rsidR="008D04FE" w:rsidRPr="00BD295E" w:rsidRDefault="008D04FE" w:rsidP="00D108C0">
            <w:pPr>
              <w:jc w:val="center"/>
              <w:rPr>
                <w:rFonts w:ascii="Arial" w:hAnsi="Arial" w:cs="Arial"/>
                <w:sz w:val="18"/>
                <w:szCs w:val="18"/>
                <w:lang w:val="en-US"/>
              </w:rPr>
            </w:pPr>
          </w:p>
        </w:tc>
        <w:tc>
          <w:tcPr>
            <w:tcW w:w="3827" w:type="dxa"/>
            <w:tcBorders>
              <w:top w:val="nil"/>
              <w:left w:val="nil"/>
              <w:bottom w:val="single" w:sz="4" w:space="0" w:color="auto"/>
              <w:right w:val="single" w:sz="4" w:space="0" w:color="auto"/>
            </w:tcBorders>
            <w:shd w:val="clear" w:color="auto" w:fill="auto"/>
            <w:vAlign w:val="center"/>
            <w:hideMark/>
          </w:tcPr>
          <w:p w14:paraId="36C4F77A" w14:textId="77777777" w:rsidR="008D04FE" w:rsidRPr="00BD295E" w:rsidRDefault="008A5057" w:rsidP="00D108C0">
            <w:pPr>
              <w:jc w:val="center"/>
              <w:rPr>
                <w:rFonts w:ascii="Arial" w:hAnsi="Arial" w:cs="Arial"/>
                <w:sz w:val="18"/>
                <w:szCs w:val="18"/>
                <w:lang w:val="en-US"/>
              </w:rPr>
            </w:pPr>
            <w:r w:rsidRPr="00BD295E">
              <w:rPr>
                <w:rFonts w:ascii="Arial" w:hAnsi="Arial" w:cs="Arial"/>
                <w:i/>
                <w:iCs/>
                <w:sz w:val="18"/>
                <w:szCs w:val="18"/>
                <w:lang w:val="en-US"/>
              </w:rPr>
              <w:t>Prigorodny</w:t>
            </w:r>
            <w:r w:rsidRPr="00BD295E">
              <w:rPr>
                <w:rFonts w:ascii="Arial" w:hAnsi="Arial" w:cs="Arial"/>
                <w:sz w:val="18"/>
                <w:szCs w:val="18"/>
                <w:lang w:val="en-US"/>
              </w:rPr>
              <w:t xml:space="preserve"> office, Customer Service Center for the Leningrad Region</w:t>
            </w:r>
          </w:p>
        </w:tc>
        <w:tc>
          <w:tcPr>
            <w:tcW w:w="1560" w:type="dxa"/>
            <w:tcBorders>
              <w:top w:val="nil"/>
              <w:left w:val="nil"/>
              <w:bottom w:val="single" w:sz="4" w:space="0" w:color="auto"/>
              <w:right w:val="single" w:sz="4" w:space="0" w:color="auto"/>
            </w:tcBorders>
            <w:shd w:val="clear" w:color="auto" w:fill="auto"/>
            <w:vAlign w:val="center"/>
            <w:hideMark/>
          </w:tcPr>
          <w:p w14:paraId="3D56D9DD"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8 800 700 14 71</w:t>
            </w:r>
          </w:p>
        </w:tc>
        <w:tc>
          <w:tcPr>
            <w:tcW w:w="3827" w:type="dxa"/>
            <w:tcBorders>
              <w:top w:val="nil"/>
              <w:left w:val="nil"/>
              <w:bottom w:val="single" w:sz="4" w:space="0" w:color="auto"/>
              <w:right w:val="single" w:sz="4" w:space="0" w:color="auto"/>
            </w:tcBorders>
            <w:shd w:val="clear" w:color="auto" w:fill="auto"/>
            <w:vAlign w:val="center"/>
            <w:hideMark/>
          </w:tcPr>
          <w:p w14:paraId="47F0C54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 xml:space="preserve">Monday – Friday </w:t>
            </w:r>
          </w:p>
          <w:p w14:paraId="7ACC43DF"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From 8: 3017 30 am (no break for lunch)</w:t>
            </w:r>
            <w:r w:rsidRPr="00BD295E">
              <w:rPr>
                <w:rFonts w:ascii="Arial" w:hAnsi="Arial" w:cs="Arial"/>
                <w:sz w:val="18"/>
                <w:szCs w:val="18"/>
                <w:lang w:val="en-US"/>
              </w:rPr>
              <w:br/>
              <w:t>Saturday and Sunday – days-off</w:t>
            </w:r>
          </w:p>
        </w:tc>
      </w:tr>
      <w:tr w:rsidR="008A5057" w:rsidRPr="00BD295E" w14:paraId="768FF41A" w14:textId="77777777" w:rsidTr="00D108C0">
        <w:trPr>
          <w:cantSplit/>
          <w:trHeight w:val="20"/>
        </w:trPr>
        <w:tc>
          <w:tcPr>
            <w:tcW w:w="568" w:type="dxa"/>
            <w:vMerge/>
            <w:tcBorders>
              <w:left w:val="single" w:sz="4" w:space="0" w:color="auto"/>
              <w:bottom w:val="single" w:sz="4" w:space="0" w:color="auto"/>
              <w:right w:val="single" w:sz="4" w:space="0" w:color="auto"/>
            </w:tcBorders>
            <w:shd w:val="clear" w:color="auto" w:fill="auto"/>
            <w:vAlign w:val="center"/>
            <w:hideMark/>
          </w:tcPr>
          <w:p w14:paraId="153557F0" w14:textId="77777777" w:rsidR="008D04FE" w:rsidRPr="00BD295E" w:rsidRDefault="008D04FE" w:rsidP="00D108C0">
            <w:pPr>
              <w:jc w:val="center"/>
              <w:rPr>
                <w:rFonts w:ascii="Arial" w:hAnsi="Arial" w:cs="Arial"/>
                <w:sz w:val="18"/>
                <w:szCs w:val="18"/>
                <w:lang w:val="en-US"/>
              </w:rPr>
            </w:pPr>
          </w:p>
        </w:tc>
        <w:tc>
          <w:tcPr>
            <w:tcW w:w="3827" w:type="dxa"/>
            <w:tcBorders>
              <w:top w:val="nil"/>
              <w:left w:val="nil"/>
              <w:bottom w:val="single" w:sz="4" w:space="0" w:color="auto"/>
              <w:right w:val="single" w:sz="4" w:space="0" w:color="auto"/>
            </w:tcBorders>
            <w:shd w:val="clear" w:color="auto" w:fill="auto"/>
            <w:vAlign w:val="center"/>
            <w:hideMark/>
          </w:tcPr>
          <w:p w14:paraId="3A7B5014" w14:textId="77777777" w:rsidR="008D04FE" w:rsidRPr="00BD295E" w:rsidRDefault="008A5057" w:rsidP="00D108C0">
            <w:pPr>
              <w:jc w:val="center"/>
              <w:rPr>
                <w:rFonts w:ascii="Arial" w:hAnsi="Arial" w:cs="Arial"/>
                <w:sz w:val="18"/>
                <w:szCs w:val="18"/>
                <w:lang w:val="en-US"/>
              </w:rPr>
            </w:pPr>
            <w:r w:rsidRPr="00BD295E">
              <w:rPr>
                <w:rFonts w:ascii="Arial" w:hAnsi="Arial" w:cs="Arial"/>
                <w:i/>
                <w:iCs/>
                <w:sz w:val="18"/>
                <w:szCs w:val="18"/>
                <w:lang w:val="en-US"/>
              </w:rPr>
              <w:t>Tikhvinsky</w:t>
            </w:r>
            <w:r w:rsidRPr="00BD295E">
              <w:rPr>
                <w:rFonts w:ascii="Arial" w:hAnsi="Arial" w:cs="Arial"/>
                <w:sz w:val="18"/>
                <w:szCs w:val="18"/>
                <w:lang w:val="en-US"/>
              </w:rPr>
              <w:t xml:space="preserve"> office, Customer Service Center for the Leningrad Region </w:t>
            </w:r>
          </w:p>
        </w:tc>
        <w:tc>
          <w:tcPr>
            <w:tcW w:w="1560" w:type="dxa"/>
            <w:tcBorders>
              <w:top w:val="nil"/>
              <w:left w:val="nil"/>
              <w:bottom w:val="single" w:sz="4" w:space="0" w:color="auto"/>
              <w:right w:val="single" w:sz="4" w:space="0" w:color="auto"/>
            </w:tcBorders>
            <w:shd w:val="clear" w:color="auto" w:fill="auto"/>
            <w:vAlign w:val="center"/>
            <w:hideMark/>
          </w:tcPr>
          <w:p w14:paraId="27BBEA75" w14:textId="77777777" w:rsidR="008D04FE" w:rsidRPr="00BD295E" w:rsidRDefault="008D04FE" w:rsidP="00D108C0">
            <w:pPr>
              <w:jc w:val="center"/>
              <w:rPr>
                <w:rFonts w:ascii="Arial" w:hAnsi="Arial" w:cs="Arial"/>
                <w:sz w:val="18"/>
                <w:szCs w:val="18"/>
                <w:lang w:val="en-US"/>
              </w:rPr>
            </w:pPr>
          </w:p>
        </w:tc>
        <w:tc>
          <w:tcPr>
            <w:tcW w:w="3827" w:type="dxa"/>
            <w:tcBorders>
              <w:top w:val="nil"/>
              <w:left w:val="nil"/>
              <w:bottom w:val="single" w:sz="4" w:space="0" w:color="auto"/>
              <w:right w:val="single" w:sz="4" w:space="0" w:color="auto"/>
            </w:tcBorders>
            <w:shd w:val="clear" w:color="auto" w:fill="auto"/>
            <w:vAlign w:val="center"/>
            <w:hideMark/>
          </w:tcPr>
          <w:p w14:paraId="6F1E4026"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Closed, no applications are accepted</w:t>
            </w:r>
          </w:p>
        </w:tc>
      </w:tr>
      <w:tr w:rsidR="008A5057" w:rsidRPr="00BD295E" w14:paraId="4AD0F1E2" w14:textId="77777777" w:rsidTr="00D108C0">
        <w:trPr>
          <w:cantSplit/>
          <w:trHeight w:val="20"/>
        </w:trPr>
        <w:tc>
          <w:tcPr>
            <w:tcW w:w="568" w:type="dxa"/>
            <w:tcBorders>
              <w:top w:val="nil"/>
              <w:left w:val="single" w:sz="4" w:space="0" w:color="auto"/>
              <w:bottom w:val="single" w:sz="4" w:space="0" w:color="auto"/>
              <w:right w:val="single" w:sz="4" w:space="0" w:color="auto"/>
            </w:tcBorders>
            <w:shd w:val="clear" w:color="auto" w:fill="auto"/>
            <w:vAlign w:val="center"/>
            <w:hideMark/>
          </w:tcPr>
          <w:p w14:paraId="0B9484DB"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w:t>
            </w:r>
          </w:p>
        </w:tc>
        <w:tc>
          <w:tcPr>
            <w:tcW w:w="3827" w:type="dxa"/>
            <w:tcBorders>
              <w:top w:val="nil"/>
              <w:left w:val="nil"/>
              <w:bottom w:val="single" w:sz="4" w:space="0" w:color="auto"/>
              <w:right w:val="single" w:sz="4" w:space="0" w:color="auto"/>
            </w:tcBorders>
            <w:shd w:val="clear" w:color="auto" w:fill="auto"/>
            <w:vAlign w:val="center"/>
            <w:hideMark/>
          </w:tcPr>
          <w:p w14:paraId="5BB97F54"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Hot line</w:t>
            </w:r>
          </w:p>
        </w:tc>
        <w:tc>
          <w:tcPr>
            <w:tcW w:w="1560" w:type="dxa"/>
            <w:tcBorders>
              <w:top w:val="nil"/>
              <w:left w:val="nil"/>
              <w:bottom w:val="single" w:sz="4" w:space="0" w:color="auto"/>
              <w:right w:val="single" w:sz="4" w:space="0" w:color="auto"/>
            </w:tcBorders>
            <w:shd w:val="clear" w:color="auto" w:fill="auto"/>
            <w:vAlign w:val="center"/>
            <w:hideMark/>
          </w:tcPr>
          <w:p w14:paraId="76569513"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8-800-700-14-71, (812)595-86-62,(812) 494-31-71</w:t>
            </w:r>
          </w:p>
        </w:tc>
        <w:tc>
          <w:tcPr>
            <w:tcW w:w="3827" w:type="dxa"/>
            <w:tcBorders>
              <w:top w:val="nil"/>
              <w:left w:val="nil"/>
              <w:bottom w:val="single" w:sz="4" w:space="0" w:color="auto"/>
              <w:right w:val="single" w:sz="4" w:space="0" w:color="auto"/>
            </w:tcBorders>
            <w:shd w:val="clear" w:color="auto" w:fill="auto"/>
            <w:vAlign w:val="center"/>
            <w:hideMark/>
          </w:tcPr>
          <w:p w14:paraId="72A1F8C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24/7 (no days-off or holidays)</w:t>
            </w:r>
          </w:p>
        </w:tc>
      </w:tr>
      <w:tr w:rsidR="008A5057" w:rsidRPr="00BD295E" w14:paraId="78EF1C1E" w14:textId="77777777" w:rsidTr="00D108C0">
        <w:trPr>
          <w:cantSplit/>
          <w:trHeight w:val="20"/>
        </w:trPr>
        <w:tc>
          <w:tcPr>
            <w:tcW w:w="568" w:type="dxa"/>
            <w:tcBorders>
              <w:top w:val="nil"/>
              <w:left w:val="single" w:sz="4" w:space="0" w:color="auto"/>
              <w:bottom w:val="single" w:sz="4" w:space="0" w:color="auto"/>
              <w:right w:val="single" w:sz="4" w:space="0" w:color="auto"/>
            </w:tcBorders>
            <w:shd w:val="clear" w:color="auto" w:fill="auto"/>
            <w:vAlign w:val="center"/>
            <w:hideMark/>
          </w:tcPr>
          <w:p w14:paraId="4CDC48FC"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3</w:t>
            </w:r>
          </w:p>
        </w:tc>
        <w:tc>
          <w:tcPr>
            <w:tcW w:w="3827" w:type="dxa"/>
            <w:tcBorders>
              <w:top w:val="nil"/>
              <w:left w:val="nil"/>
              <w:bottom w:val="single" w:sz="4" w:space="0" w:color="auto"/>
              <w:right w:val="single" w:sz="4" w:space="0" w:color="auto"/>
            </w:tcBorders>
            <w:shd w:val="clear" w:color="auto" w:fill="auto"/>
            <w:vAlign w:val="center"/>
            <w:hideMark/>
          </w:tcPr>
          <w:p w14:paraId="39E8DC3D" w14:textId="77777777" w:rsidR="008D04FE" w:rsidRPr="00BD295E" w:rsidRDefault="006515AB" w:rsidP="00D108C0">
            <w:pPr>
              <w:jc w:val="center"/>
              <w:rPr>
                <w:rFonts w:ascii="Arial" w:hAnsi="Arial" w:cs="Arial"/>
                <w:sz w:val="18"/>
                <w:szCs w:val="18"/>
                <w:lang w:val="en-US"/>
              </w:rPr>
            </w:pPr>
            <w:r w:rsidRPr="00BD295E">
              <w:rPr>
                <w:rFonts w:ascii="Arial" w:hAnsi="Arial" w:cs="Arial"/>
                <w:sz w:val="18"/>
                <w:szCs w:val="18"/>
                <w:lang w:val="en-US"/>
              </w:rPr>
              <w:t>JSC “Energoservice Company Lenenergo”</w:t>
            </w:r>
            <w:r w:rsidR="008A5057" w:rsidRPr="00BD295E">
              <w:rPr>
                <w:rFonts w:ascii="Arial" w:hAnsi="Arial" w:cs="Arial"/>
                <w:sz w:val="18"/>
                <w:szCs w:val="18"/>
                <w:lang w:val="en-US"/>
              </w:rPr>
              <w:t xml:space="preserve"> Contact Center</w:t>
            </w:r>
          </w:p>
        </w:tc>
        <w:tc>
          <w:tcPr>
            <w:tcW w:w="1560" w:type="dxa"/>
            <w:tcBorders>
              <w:top w:val="nil"/>
              <w:left w:val="nil"/>
              <w:bottom w:val="single" w:sz="4" w:space="0" w:color="auto"/>
              <w:right w:val="single" w:sz="4" w:space="0" w:color="auto"/>
            </w:tcBorders>
            <w:shd w:val="clear" w:color="auto" w:fill="auto"/>
            <w:vAlign w:val="center"/>
            <w:hideMark/>
          </w:tcPr>
          <w:p w14:paraId="3555F13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8-800-700-14-71</w:t>
            </w:r>
          </w:p>
        </w:tc>
        <w:tc>
          <w:tcPr>
            <w:tcW w:w="3827" w:type="dxa"/>
            <w:tcBorders>
              <w:top w:val="nil"/>
              <w:left w:val="nil"/>
              <w:bottom w:val="single" w:sz="4" w:space="0" w:color="auto"/>
              <w:right w:val="single" w:sz="4" w:space="0" w:color="auto"/>
            </w:tcBorders>
            <w:shd w:val="clear" w:color="auto" w:fill="auto"/>
            <w:vAlign w:val="center"/>
            <w:hideMark/>
          </w:tcPr>
          <w:p w14:paraId="3D12C742"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Monday – Friday from 9:00 am to 8:00 pm</w:t>
            </w:r>
          </w:p>
          <w:p w14:paraId="1472FC6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Saturday from 9:00 am to 5:00 pm</w:t>
            </w:r>
          </w:p>
          <w:p w14:paraId="1A48E111" w14:textId="77777777" w:rsidR="008D04FE" w:rsidRPr="00BD295E" w:rsidRDefault="008A5057" w:rsidP="00D108C0">
            <w:pPr>
              <w:jc w:val="center"/>
              <w:rPr>
                <w:rFonts w:ascii="Arial" w:hAnsi="Arial" w:cs="Arial"/>
                <w:sz w:val="18"/>
                <w:szCs w:val="18"/>
                <w:lang w:val="en-US"/>
              </w:rPr>
            </w:pPr>
            <w:r w:rsidRPr="00BD295E">
              <w:rPr>
                <w:rFonts w:ascii="Arial" w:hAnsi="Arial" w:cs="Arial"/>
                <w:sz w:val="18"/>
                <w:szCs w:val="18"/>
                <w:lang w:val="en-US"/>
              </w:rPr>
              <w:t>Sunday – day-off</w:t>
            </w:r>
          </w:p>
        </w:tc>
      </w:tr>
    </w:tbl>
    <w:p w14:paraId="0816AE07" w14:textId="77777777" w:rsidR="00CE48EE" w:rsidRPr="00BD295E" w:rsidRDefault="00CE48EE">
      <w:pPr>
        <w:spacing w:after="160" w:line="259" w:lineRule="auto"/>
        <w:rPr>
          <w:rFonts w:ascii="Arial" w:hAnsi="Arial" w:cs="Arial"/>
          <w:sz w:val="18"/>
          <w:szCs w:val="18"/>
          <w:lang w:val="en-US"/>
        </w:rPr>
      </w:pPr>
    </w:p>
    <w:p w14:paraId="691EF139" w14:textId="77777777" w:rsidR="00CE48EE" w:rsidRPr="00BD295E" w:rsidRDefault="008A5057" w:rsidP="00801007">
      <w:pPr>
        <w:pStyle w:val="2"/>
        <w:numPr>
          <w:ilvl w:val="1"/>
          <w:numId w:val="53"/>
        </w:numPr>
        <w:rPr>
          <w:rFonts w:ascii="Arial" w:hAnsi="Arial" w:cs="Arial"/>
          <w:sz w:val="18"/>
          <w:szCs w:val="18"/>
          <w:lang w:val="en-US"/>
        </w:rPr>
      </w:pPr>
      <w:bookmarkStart w:id="681" w:name="_Toc95855318"/>
      <w:bookmarkStart w:id="682" w:name="_Toc95935377"/>
      <w:r w:rsidRPr="00BD295E">
        <w:rPr>
          <w:rFonts w:ascii="Arial" w:hAnsi="Arial" w:cs="Arial"/>
          <w:sz w:val="18"/>
          <w:szCs w:val="18"/>
          <w:lang w:val="en-US"/>
        </w:rPr>
        <w:t xml:space="preserve">Functions of participants of the internal control system of </w:t>
      </w:r>
      <w:r w:rsidR="00EE5753" w:rsidRPr="00BD295E">
        <w:rPr>
          <w:rFonts w:ascii="Arial" w:hAnsi="Arial" w:cs="Arial"/>
          <w:sz w:val="18"/>
          <w:szCs w:val="18"/>
          <w:lang w:val="en-US"/>
        </w:rPr>
        <w:t>PJSC “Lenenergo”</w:t>
      </w:r>
      <w:bookmarkEnd w:id="681"/>
      <w:bookmarkEnd w:id="682"/>
    </w:p>
    <w:p w14:paraId="6318F7C3" w14:textId="77777777" w:rsidR="00CE48EE" w:rsidRPr="00BD295E" w:rsidRDefault="00CE48EE" w:rsidP="00CE48EE">
      <w:pPr>
        <w:tabs>
          <w:tab w:val="left" w:pos="0"/>
          <w:tab w:val="left" w:pos="1276"/>
        </w:tabs>
        <w:ind w:firstLine="709"/>
        <w:jc w:val="center"/>
        <w:rPr>
          <w:rFonts w:ascii="Arial" w:eastAsia="Calibri" w:hAnsi="Arial" w:cs="Arial"/>
          <w:sz w:val="18"/>
          <w:szCs w:val="18"/>
          <w:lang w:val="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7457"/>
      </w:tblGrid>
      <w:tr w:rsidR="008A5057" w:rsidRPr="00BD295E" w14:paraId="7A815429" w14:textId="77777777" w:rsidTr="00F720EF">
        <w:trPr>
          <w:trHeight w:val="20"/>
          <w:tblHeader/>
        </w:trPr>
        <w:tc>
          <w:tcPr>
            <w:tcW w:w="1899" w:type="dxa"/>
            <w:shd w:val="clear" w:color="auto" w:fill="auto"/>
            <w:vAlign w:val="center"/>
          </w:tcPr>
          <w:p w14:paraId="4FE5EECC" w14:textId="77777777" w:rsidR="00CE48EE" w:rsidRPr="00BD295E" w:rsidRDefault="008A5057" w:rsidP="00F720EF">
            <w:pPr>
              <w:tabs>
                <w:tab w:val="left" w:pos="0"/>
                <w:tab w:val="left" w:pos="1276"/>
              </w:tabs>
              <w:jc w:val="center"/>
              <w:rPr>
                <w:rFonts w:ascii="Arial" w:eastAsia="Calibri" w:hAnsi="Arial" w:cs="Arial"/>
                <w:b/>
                <w:sz w:val="18"/>
                <w:szCs w:val="18"/>
                <w:lang w:val="en-US"/>
              </w:rPr>
            </w:pPr>
            <w:r w:rsidRPr="00BD295E">
              <w:rPr>
                <w:rFonts w:ascii="Arial" w:hAnsi="Arial" w:cs="Arial"/>
                <w:b/>
                <w:sz w:val="18"/>
                <w:szCs w:val="18"/>
                <w:lang w:val="en-US"/>
              </w:rPr>
              <w:t>Stakeholder</w:t>
            </w:r>
          </w:p>
        </w:tc>
        <w:tc>
          <w:tcPr>
            <w:tcW w:w="7457" w:type="dxa"/>
            <w:shd w:val="clear" w:color="auto" w:fill="auto"/>
            <w:vAlign w:val="center"/>
          </w:tcPr>
          <w:p w14:paraId="4306E4B9" w14:textId="77777777" w:rsidR="00CE48EE" w:rsidRPr="00BD295E" w:rsidRDefault="008A5057" w:rsidP="00F720EF">
            <w:pPr>
              <w:tabs>
                <w:tab w:val="left" w:pos="0"/>
                <w:tab w:val="left" w:pos="1276"/>
              </w:tabs>
              <w:jc w:val="center"/>
              <w:rPr>
                <w:rFonts w:ascii="Arial" w:eastAsia="Calibri" w:hAnsi="Arial" w:cs="Arial"/>
                <w:b/>
                <w:sz w:val="18"/>
                <w:szCs w:val="18"/>
                <w:lang w:val="en-US"/>
              </w:rPr>
            </w:pPr>
            <w:r w:rsidRPr="00BD295E">
              <w:rPr>
                <w:rFonts w:ascii="Arial" w:hAnsi="Arial" w:cs="Arial"/>
                <w:b/>
                <w:sz w:val="18"/>
                <w:szCs w:val="18"/>
                <w:lang w:val="en-US"/>
              </w:rPr>
              <w:t>Key internal control functions</w:t>
            </w:r>
          </w:p>
        </w:tc>
      </w:tr>
      <w:tr w:rsidR="008A5057" w:rsidRPr="00BD295E" w14:paraId="1228164B" w14:textId="77777777" w:rsidTr="00F720EF">
        <w:trPr>
          <w:trHeight w:val="20"/>
        </w:trPr>
        <w:tc>
          <w:tcPr>
            <w:tcW w:w="1899" w:type="dxa"/>
            <w:shd w:val="clear" w:color="auto" w:fill="auto"/>
          </w:tcPr>
          <w:p w14:paraId="4E86A99F" w14:textId="77777777" w:rsidR="00CE48EE" w:rsidRPr="00BD295E" w:rsidRDefault="00293DDA"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Internal Audit Commission</w:t>
            </w:r>
          </w:p>
        </w:tc>
        <w:tc>
          <w:tcPr>
            <w:tcW w:w="7457" w:type="dxa"/>
            <w:shd w:val="clear" w:color="auto" w:fill="auto"/>
          </w:tcPr>
          <w:p w14:paraId="1F261500"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 xml:space="preserve">Monitors financial and business activities of the Company and prepares proposals/recommendations for improvements to the internal control system based on the results of its monitoring; </w:t>
            </w:r>
          </w:p>
          <w:p w14:paraId="13006B7B"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Independently evaluates the reliability of data in the Company’s annual report and annual financial statements</w:t>
            </w:r>
          </w:p>
        </w:tc>
      </w:tr>
      <w:tr w:rsidR="008A5057" w:rsidRPr="00BD295E" w14:paraId="729ED2F9" w14:textId="77777777" w:rsidTr="00F720EF">
        <w:trPr>
          <w:trHeight w:val="20"/>
        </w:trPr>
        <w:tc>
          <w:tcPr>
            <w:tcW w:w="1899" w:type="dxa"/>
            <w:shd w:val="clear" w:color="auto" w:fill="auto"/>
          </w:tcPr>
          <w:p w14:paraId="26EBEF19"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 xml:space="preserve">Board of Directors </w:t>
            </w:r>
          </w:p>
        </w:tc>
        <w:tc>
          <w:tcPr>
            <w:tcW w:w="7457" w:type="dxa"/>
            <w:shd w:val="clear" w:color="auto" w:fill="auto"/>
          </w:tcPr>
          <w:p w14:paraId="4440603B"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Determines the principles of, and approaches to, organization of the internal control system;</w:t>
            </w:r>
          </w:p>
          <w:p w14:paraId="74B8A294"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Monitors the activities of the Company’s executive bodies across key (priority) focus areas;</w:t>
            </w:r>
          </w:p>
          <w:p w14:paraId="6A41FE3A"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Reviews the Management Board’s report on the organization and operation of the internal control system;</w:t>
            </w:r>
          </w:p>
          <w:p w14:paraId="00C2D7A8"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Annually reviews reports by the internal auditor on the effectiveness of the internal control system;</w:t>
            </w:r>
          </w:p>
          <w:p w14:paraId="4DD800AD"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Reviews the results of the external independent evaluation of the internal control system’s effectiveness.</w:t>
            </w:r>
          </w:p>
        </w:tc>
      </w:tr>
      <w:tr w:rsidR="008A5057" w:rsidRPr="00BD295E" w14:paraId="2AD30A42" w14:textId="77777777" w:rsidTr="00F720EF">
        <w:trPr>
          <w:trHeight w:val="20"/>
        </w:trPr>
        <w:tc>
          <w:tcPr>
            <w:tcW w:w="1899" w:type="dxa"/>
            <w:shd w:val="clear" w:color="auto" w:fill="auto"/>
          </w:tcPr>
          <w:p w14:paraId="521095DD"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Audit Committee of the Board of Directors</w:t>
            </w:r>
          </w:p>
        </w:tc>
        <w:tc>
          <w:tcPr>
            <w:tcW w:w="7457" w:type="dxa"/>
            <w:shd w:val="clear" w:color="auto" w:fill="auto"/>
          </w:tcPr>
          <w:p w14:paraId="61521F6B"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Previews, prior to approval by the Board of Directors, the Company’s internal documents that outline the organization and operation of the Company’s internal control system, the Internal Control Policy, and subsequent amendments thereto;</w:t>
            </w:r>
          </w:p>
          <w:p w14:paraId="268C276F" w14:textId="179B5CF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 xml:space="preserve">Previews, prior to approval by the Board of Directors, the results of the internal control system’s effectiveness based on the internal control system’s effectiveness evaluation report by the internal auditor, and information about the results of an independent external internal control system’s effectiveness evaluation; prepares proposals/recommendations regarding improvements to the </w:t>
            </w:r>
            <w:r w:rsidR="00BD295E" w:rsidRPr="00BD295E">
              <w:rPr>
                <w:rFonts w:ascii="Arial" w:hAnsi="Arial" w:cs="Arial"/>
                <w:sz w:val="18"/>
                <w:szCs w:val="18"/>
                <w:lang w:val="en-US"/>
              </w:rPr>
              <w:t>Company’s internal</w:t>
            </w:r>
            <w:r w:rsidRPr="00BD295E">
              <w:rPr>
                <w:rFonts w:ascii="Arial" w:hAnsi="Arial" w:cs="Arial"/>
                <w:sz w:val="18"/>
                <w:szCs w:val="18"/>
                <w:lang w:val="en-US"/>
              </w:rPr>
              <w:t xml:space="preserve"> control system;</w:t>
            </w:r>
          </w:p>
          <w:p w14:paraId="69D1A5D0"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Monitors the internal control system for reliability of the Company's accounting (financial) statements, selection of the external auditor, performance of external audit, compliance with regulatory requirements, review of the Management Board’s report on the organization and operation of the internal control system, as well as matters related to the analysis and evaluation of compliance with the Internal Control Policy</w:t>
            </w:r>
          </w:p>
        </w:tc>
      </w:tr>
      <w:tr w:rsidR="008A5057" w:rsidRPr="00BD295E" w14:paraId="51B0897E" w14:textId="77777777" w:rsidTr="00F720EF">
        <w:trPr>
          <w:trHeight w:val="20"/>
        </w:trPr>
        <w:tc>
          <w:tcPr>
            <w:tcW w:w="1899" w:type="dxa"/>
            <w:shd w:val="clear" w:color="auto" w:fill="auto"/>
          </w:tcPr>
          <w:p w14:paraId="7D3D5CD1"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Other committees of the Board of Directors</w:t>
            </w:r>
          </w:p>
        </w:tc>
        <w:tc>
          <w:tcPr>
            <w:tcW w:w="7457" w:type="dxa"/>
            <w:shd w:val="clear" w:color="auto" w:fill="auto"/>
          </w:tcPr>
          <w:p w14:paraId="361EABC6"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Monitor, within their competence set by the Board of Directors, the achievement of the established financial and operational targets, compliance with applicable laws and rules and procedures set by local regulatory acts, as well as reliability and timeliness of the Company’s reporting</w:t>
            </w:r>
          </w:p>
        </w:tc>
      </w:tr>
      <w:tr w:rsidR="008A5057" w:rsidRPr="00BD295E" w14:paraId="6A46BC15" w14:textId="77777777" w:rsidTr="00F720EF">
        <w:trPr>
          <w:trHeight w:val="20"/>
        </w:trPr>
        <w:tc>
          <w:tcPr>
            <w:tcW w:w="1899" w:type="dxa"/>
            <w:shd w:val="clear" w:color="auto" w:fill="auto"/>
          </w:tcPr>
          <w:p w14:paraId="7C979A4F"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Executive bodies (CEO and the Management Board of the Company)</w:t>
            </w:r>
          </w:p>
        </w:tc>
        <w:tc>
          <w:tcPr>
            <w:tcW w:w="7457" w:type="dxa"/>
            <w:shd w:val="clear" w:color="auto" w:fill="auto"/>
          </w:tcPr>
          <w:p w14:paraId="5F07CC59"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ensure the creation and effective operation of the internal control system;</w:t>
            </w:r>
          </w:p>
          <w:p w14:paraId="493751B7"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Are responsible for implementing the resolutions of the Board of Directors regarding the organization and operation of the internal control system.</w:t>
            </w:r>
          </w:p>
        </w:tc>
      </w:tr>
      <w:tr w:rsidR="008A5057" w:rsidRPr="00BD295E" w14:paraId="76F8C3F8" w14:textId="77777777" w:rsidTr="00F720EF">
        <w:trPr>
          <w:trHeight w:val="20"/>
        </w:trPr>
        <w:tc>
          <w:tcPr>
            <w:tcW w:w="1899" w:type="dxa"/>
            <w:shd w:val="clear" w:color="auto" w:fill="auto"/>
          </w:tcPr>
          <w:p w14:paraId="36AA7355"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Management Board</w:t>
            </w:r>
          </w:p>
        </w:tc>
        <w:tc>
          <w:tcPr>
            <w:tcW w:w="7457" w:type="dxa"/>
            <w:shd w:val="clear" w:color="auto" w:fill="auto"/>
          </w:tcPr>
          <w:p w14:paraId="44174777"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Determines the focus areas and prepares the plans for developing the internal control system;</w:t>
            </w:r>
          </w:p>
          <w:p w14:paraId="4C1D73ED"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Prepare reports on the Company’s financial and business activities and on organization and operation of the Company’s internal control system;</w:t>
            </w:r>
          </w:p>
          <w:p w14:paraId="20F520D1"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Reviews the results of the independent external assessment of the internal control system’s effectiveness, and prepares measures to develop and improve the internal control system;</w:t>
            </w:r>
          </w:p>
        </w:tc>
      </w:tr>
      <w:tr w:rsidR="008A5057" w:rsidRPr="00BD295E" w14:paraId="65E2A0D7" w14:textId="77777777" w:rsidTr="00F720EF">
        <w:trPr>
          <w:trHeight w:val="20"/>
        </w:trPr>
        <w:tc>
          <w:tcPr>
            <w:tcW w:w="1899" w:type="dxa"/>
            <w:shd w:val="clear" w:color="auto" w:fill="auto"/>
          </w:tcPr>
          <w:p w14:paraId="4082FD53"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CEO</w:t>
            </w:r>
          </w:p>
        </w:tc>
        <w:tc>
          <w:tcPr>
            <w:tcW w:w="7457" w:type="dxa"/>
            <w:shd w:val="clear" w:color="auto" w:fill="auto"/>
          </w:tcPr>
          <w:p w14:paraId="7C3D3948"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Approves the Company’s regulations and guidelines on the organization and operation of the internal control system, excluding documents that lie within the competence of the Company’s Board of Directors;</w:t>
            </w:r>
          </w:p>
          <w:p w14:paraId="53CB8115"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Ensure implementation of the Company’s action plans required to address its objectives;</w:t>
            </w:r>
          </w:p>
          <w:p w14:paraId="4123DB45"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Organize the financial and management accounting, and the preparation of accounting (financial) and other reports;</w:t>
            </w:r>
          </w:p>
          <w:p w14:paraId="179FBB56"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Submit reports on the Company’s financial and business activities and on the organization and operation of the Company’s internal control system for review by the Company’s Board of Directors</w:t>
            </w:r>
          </w:p>
        </w:tc>
      </w:tr>
      <w:tr w:rsidR="008A5057" w:rsidRPr="00BD295E" w14:paraId="7C08CBCB" w14:textId="77777777" w:rsidTr="00F720EF">
        <w:trPr>
          <w:trHeight w:val="20"/>
        </w:trPr>
        <w:tc>
          <w:tcPr>
            <w:tcW w:w="1899" w:type="dxa"/>
            <w:shd w:val="clear" w:color="auto" w:fill="auto"/>
          </w:tcPr>
          <w:p w14:paraId="424146B3"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 xml:space="preserve">Heads of functions and structural units </w:t>
            </w:r>
          </w:p>
          <w:p w14:paraId="5D421EC3"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(First Deputy CEOs, Deputy CEOs, Business Line Directors, Heads of Departments)</w:t>
            </w:r>
          </w:p>
        </w:tc>
        <w:tc>
          <w:tcPr>
            <w:tcW w:w="7457" w:type="dxa"/>
            <w:shd w:val="clear" w:color="auto" w:fill="auto"/>
          </w:tcPr>
          <w:p w14:paraId="4CA30198"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Design, document, implement, monitor, and develop the internal control system across the functional areas of the Company’s operations for which they are responsible under the Company’s regulatory documents/regulations for structural units</w:t>
            </w:r>
          </w:p>
          <w:p w14:paraId="24810D7F"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Ensure implementation of the internal control principles;</w:t>
            </w:r>
          </w:p>
          <w:p w14:paraId="05EF7C7C"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Set up effective processes (focus areas), including the development and implementation of new control procedures to address newly identified risks or changes to existing control procedures;</w:t>
            </w:r>
          </w:p>
          <w:p w14:paraId="4F874F21"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Ensure the codification of the supervised processes (focus areas);</w:t>
            </w:r>
          </w:p>
          <w:p w14:paraId="14F373AA"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Organize the implementation of control procedures;</w:t>
            </w:r>
          </w:p>
          <w:p w14:paraId="5AA90FF5"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Evaluate (follow up) the implementation of control procedures;</w:t>
            </w:r>
          </w:p>
          <w:p w14:paraId="22D6039F"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Evaluate whether the supervised processes (focus areas) need to be streamlined to increase their effectiveness and aligned with the changing external or internal environment; organize the development of proposals on improvements to control procedures;</w:t>
            </w:r>
          </w:p>
          <w:p w14:paraId="0755A788"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Ensure that deficiencies identified in control procedures and processes (focus areas) are addressed.</w:t>
            </w:r>
          </w:p>
        </w:tc>
      </w:tr>
      <w:tr w:rsidR="008A5057" w:rsidRPr="00BD295E" w14:paraId="5511D973" w14:textId="77777777" w:rsidTr="00F720EF">
        <w:trPr>
          <w:trHeight w:val="20"/>
        </w:trPr>
        <w:tc>
          <w:tcPr>
            <w:tcW w:w="1899" w:type="dxa"/>
            <w:shd w:val="clear" w:color="auto" w:fill="auto"/>
          </w:tcPr>
          <w:p w14:paraId="787F1E35"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 xml:space="preserve">Employees of the Company’s structural units and branches performing control procedures </w:t>
            </w:r>
            <w:r w:rsidRPr="00BD295E">
              <w:rPr>
                <w:rFonts w:ascii="Arial" w:hAnsi="Arial" w:cs="Arial"/>
                <w:i/>
                <w:iCs/>
                <w:sz w:val="18"/>
                <w:szCs w:val="18"/>
                <w:lang w:val="en-US"/>
              </w:rPr>
              <w:t>ex officio</w:t>
            </w:r>
            <w:r w:rsidRPr="00BD295E">
              <w:rPr>
                <w:rFonts w:ascii="Arial" w:hAnsi="Arial" w:cs="Arial"/>
                <w:sz w:val="18"/>
                <w:szCs w:val="18"/>
                <w:lang w:val="en-US"/>
              </w:rPr>
              <w:t>:</w:t>
            </w:r>
          </w:p>
        </w:tc>
        <w:tc>
          <w:tcPr>
            <w:tcW w:w="7457" w:type="dxa"/>
            <w:shd w:val="clear" w:color="auto" w:fill="auto"/>
          </w:tcPr>
          <w:p w14:paraId="3FB6D403"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Implement control procedures;</w:t>
            </w:r>
          </w:p>
          <w:p w14:paraId="63F03B33"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Timely inform their immediate supervisors of any cases in which the execution of the control procedures has become impossible for any reason and/or the design of the control procedures needs to be changed due to changes in the internal and/or external operating environment of the Company</w:t>
            </w:r>
          </w:p>
          <w:p w14:paraId="121BF1A4"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Submit proposals on implementing control procedures in their relevant focus areas to their immediate supervisors for review</w:t>
            </w:r>
          </w:p>
        </w:tc>
      </w:tr>
      <w:tr w:rsidR="008A5057" w:rsidRPr="00BD295E" w14:paraId="4A31DE79" w14:textId="77777777" w:rsidTr="00F720EF">
        <w:trPr>
          <w:trHeight w:val="20"/>
        </w:trPr>
        <w:tc>
          <w:tcPr>
            <w:tcW w:w="1899" w:type="dxa"/>
            <w:shd w:val="clear" w:color="auto" w:fill="auto"/>
          </w:tcPr>
          <w:p w14:paraId="28CFE573" w14:textId="77777777" w:rsidR="00CE48EE" w:rsidRPr="00BD295E" w:rsidRDefault="008A5057" w:rsidP="00F720EF">
            <w:pPr>
              <w:tabs>
                <w:tab w:val="left" w:pos="0"/>
                <w:tab w:val="left" w:pos="1276"/>
              </w:tabs>
              <w:rPr>
                <w:rFonts w:ascii="Arial" w:hAnsi="Arial" w:cs="Arial"/>
                <w:sz w:val="18"/>
                <w:szCs w:val="18"/>
                <w:lang w:val="en-US"/>
              </w:rPr>
            </w:pPr>
            <w:r w:rsidRPr="00BD295E">
              <w:rPr>
                <w:rFonts w:ascii="Arial" w:hAnsi="Arial" w:cs="Arial"/>
                <w:sz w:val="18"/>
                <w:szCs w:val="18"/>
                <w:lang w:val="en-US"/>
              </w:rPr>
              <w:t>Administrative Office</w:t>
            </w:r>
          </w:p>
        </w:tc>
        <w:tc>
          <w:tcPr>
            <w:tcW w:w="7457" w:type="dxa"/>
            <w:shd w:val="clear" w:color="auto" w:fill="auto"/>
          </w:tcPr>
          <w:p w14:paraId="4AA229FE" w14:textId="77777777" w:rsidR="00CE48EE" w:rsidRPr="00BD295E" w:rsidRDefault="008A5057" w:rsidP="00F720EF">
            <w:pPr>
              <w:numPr>
                <w:ilvl w:val="0"/>
                <w:numId w:val="7"/>
              </w:numPr>
              <w:tabs>
                <w:tab w:val="left" w:pos="0"/>
                <w:tab w:val="left" w:pos="459"/>
              </w:tabs>
              <w:ind w:left="0" w:firstLine="0"/>
              <w:contextualSpacing/>
              <w:jc w:val="both"/>
              <w:rPr>
                <w:rFonts w:ascii="Arial" w:hAnsi="Arial" w:cs="Arial"/>
                <w:sz w:val="18"/>
                <w:szCs w:val="18"/>
                <w:lang w:val="en-US"/>
              </w:rPr>
            </w:pPr>
            <w:r w:rsidRPr="00BD295E">
              <w:rPr>
                <w:rFonts w:ascii="Arial" w:hAnsi="Arial" w:cs="Arial"/>
                <w:sz w:val="18"/>
                <w:szCs w:val="18"/>
                <w:lang w:val="en-US"/>
              </w:rPr>
              <w:t>Follows up instructions set out in orders of the Company, minutes of meetings and instructions of the Company’s CEO so as to minimize risks related to failure to carry out important instructions in a timely manner</w:t>
            </w:r>
          </w:p>
        </w:tc>
      </w:tr>
      <w:tr w:rsidR="008A5057" w:rsidRPr="00BD295E" w14:paraId="67F828E2" w14:textId="77777777" w:rsidTr="00F720EF">
        <w:trPr>
          <w:trHeight w:val="20"/>
        </w:trPr>
        <w:tc>
          <w:tcPr>
            <w:tcW w:w="1899" w:type="dxa"/>
            <w:shd w:val="clear" w:color="auto" w:fill="auto"/>
          </w:tcPr>
          <w:p w14:paraId="7630A2B1"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Anti-Corruption Compliance Unit</w:t>
            </w:r>
          </w:p>
        </w:tc>
        <w:tc>
          <w:tcPr>
            <w:tcW w:w="7457" w:type="dxa"/>
            <w:shd w:val="clear" w:color="auto" w:fill="auto"/>
          </w:tcPr>
          <w:p w14:paraId="42DE5F3B" w14:textId="77777777" w:rsidR="00CE48EE" w:rsidRPr="00BD295E" w:rsidRDefault="008A5057" w:rsidP="00F720EF">
            <w:pPr>
              <w:pStyle w:val="af3"/>
              <w:numPr>
                <w:ilvl w:val="0"/>
                <w:numId w:val="7"/>
              </w:numPr>
              <w:tabs>
                <w:tab w:val="left" w:pos="0"/>
              </w:tabs>
              <w:autoSpaceDE w:val="0"/>
              <w:autoSpaceDN w:val="0"/>
              <w:adjustRightInd w:val="0"/>
              <w:ind w:left="0" w:firstLine="0"/>
              <w:contextualSpacing w:val="0"/>
              <w:jc w:val="both"/>
              <w:rPr>
                <w:rFonts w:ascii="Arial" w:eastAsia="Calibri" w:hAnsi="Arial" w:cs="Arial"/>
                <w:sz w:val="18"/>
                <w:szCs w:val="18"/>
                <w:lang w:val="en-US"/>
              </w:rPr>
            </w:pPr>
            <w:r w:rsidRPr="00BD295E">
              <w:rPr>
                <w:rFonts w:ascii="Arial" w:hAnsi="Arial" w:cs="Arial"/>
                <w:sz w:val="18"/>
                <w:szCs w:val="18"/>
                <w:lang w:val="en-US"/>
              </w:rPr>
              <w:t>Monitors compliance by all employees of the Company with the requirements of the Anti-Corruption Policy and internal documents adopted to promote and implement it so as to minimize corruption risks</w:t>
            </w:r>
          </w:p>
        </w:tc>
      </w:tr>
      <w:tr w:rsidR="008A5057" w:rsidRPr="00BD295E" w14:paraId="2B3F45C3" w14:textId="77777777" w:rsidTr="00F720EF">
        <w:trPr>
          <w:trHeight w:val="20"/>
        </w:trPr>
        <w:tc>
          <w:tcPr>
            <w:tcW w:w="1899" w:type="dxa"/>
            <w:shd w:val="clear" w:color="auto" w:fill="auto"/>
          </w:tcPr>
          <w:p w14:paraId="364546C3"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Security Department</w:t>
            </w:r>
          </w:p>
        </w:tc>
        <w:tc>
          <w:tcPr>
            <w:tcW w:w="7457" w:type="dxa"/>
            <w:shd w:val="clear" w:color="auto" w:fill="auto"/>
          </w:tcPr>
          <w:p w14:paraId="1AB86675"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Sets up a system of measures to effectively protect the Company’s assets and intellectual property</w:t>
            </w:r>
          </w:p>
          <w:p w14:paraId="2F3F5226"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Organizes and conducts audits and control procedures at the Company to ensure information, economic, and anti-terrorist security</w:t>
            </w:r>
          </w:p>
        </w:tc>
      </w:tr>
      <w:tr w:rsidR="008A5057" w:rsidRPr="00BD295E" w14:paraId="411F64D6" w14:textId="77777777" w:rsidTr="00F720EF">
        <w:trPr>
          <w:trHeight w:val="20"/>
        </w:trPr>
        <w:tc>
          <w:tcPr>
            <w:tcW w:w="1899" w:type="dxa"/>
            <w:shd w:val="clear" w:color="auto" w:fill="auto"/>
          </w:tcPr>
          <w:p w14:paraId="35640808" w14:textId="77777777" w:rsidR="00CE48EE" w:rsidRPr="00BD295E" w:rsidRDefault="008A5057" w:rsidP="008B183C">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 xml:space="preserve">Legal </w:t>
            </w:r>
          </w:p>
        </w:tc>
        <w:tc>
          <w:tcPr>
            <w:tcW w:w="7457" w:type="dxa"/>
            <w:shd w:val="clear" w:color="auto" w:fill="auto"/>
          </w:tcPr>
          <w:p w14:paraId="5994EB9A"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Oversees the Company’s compliance with legal requirements through legal review and approval, in line with the procedure set out in the Company’s organizational and administrative documents, of draft contracts and agreements, draft administrative documents, draft resolutions of the Company’s management bodies, draft powers of attorney for representing the Company’s interests before third parties, draft applications, letters, requests, and complaints filed on the Company's behalf with legislative and executive, and legal enforcement authorities, as well as tracks and informs the Company’s Management on regulatory legal acts adopted by the Russian Federation that materially affect the Company’s operations so as to minimize the risks of incompliance with statutory requirements and the Company’s interests</w:t>
            </w:r>
          </w:p>
        </w:tc>
      </w:tr>
      <w:tr w:rsidR="008A5057" w:rsidRPr="00BD295E" w14:paraId="081AAAFD" w14:textId="77777777" w:rsidTr="00F720EF">
        <w:trPr>
          <w:trHeight w:val="20"/>
        </w:trPr>
        <w:tc>
          <w:tcPr>
            <w:tcW w:w="1899" w:type="dxa"/>
            <w:shd w:val="clear" w:color="auto" w:fill="auto"/>
          </w:tcPr>
          <w:p w14:paraId="6C6C432D"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Corporate Governance and Shareholder Relations Department</w:t>
            </w:r>
          </w:p>
        </w:tc>
        <w:tc>
          <w:tcPr>
            <w:tcW w:w="7457" w:type="dxa"/>
            <w:shd w:val="clear" w:color="auto" w:fill="auto"/>
          </w:tcPr>
          <w:p w14:paraId="105A0299"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 xml:space="preserve">Monitors compliance of decisions made by the Company’s executive bodies with Russian laws, Company standards, organizational and administrative documents of the Company, as well as the Company’s interests so as to, minimize the risks of non-compliance with the requirements of laws on shareholders and internal regulatory documents on management of </w:t>
            </w:r>
            <w:r w:rsidR="006515AB" w:rsidRPr="00BD295E">
              <w:rPr>
                <w:rFonts w:ascii="Arial" w:hAnsi="Arial" w:cs="Arial"/>
                <w:sz w:val="18"/>
                <w:szCs w:val="18"/>
                <w:lang w:val="en-US"/>
              </w:rPr>
              <w:t>subsidiaries and affiliates</w:t>
            </w:r>
            <w:r w:rsidRPr="00BD295E">
              <w:rPr>
                <w:rFonts w:ascii="Arial" w:hAnsi="Arial" w:cs="Arial"/>
                <w:sz w:val="18"/>
                <w:szCs w:val="18"/>
                <w:lang w:val="en-US"/>
              </w:rPr>
              <w:t>;</w:t>
            </w:r>
          </w:p>
          <w:p w14:paraId="682254C3"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Follows up instructions set out in minutes of meetings of the Board of Directors, Committees of the Board of Directors, and the Management Board of the Company so as to minimize risks related to failure to carry out important instructions in a timely manner</w:t>
            </w:r>
          </w:p>
        </w:tc>
      </w:tr>
      <w:tr w:rsidR="008A5057" w:rsidRPr="00BD295E" w14:paraId="279DE159" w14:textId="77777777" w:rsidTr="00F720EF">
        <w:trPr>
          <w:trHeight w:val="20"/>
        </w:trPr>
        <w:tc>
          <w:tcPr>
            <w:tcW w:w="1899" w:type="dxa"/>
            <w:shd w:val="clear" w:color="auto" w:fill="auto"/>
          </w:tcPr>
          <w:p w14:paraId="021E5FD7"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Internal Control and Risk Management Division</w:t>
            </w:r>
          </w:p>
        </w:tc>
        <w:tc>
          <w:tcPr>
            <w:tcW w:w="7457" w:type="dxa"/>
            <w:shd w:val="clear" w:color="auto" w:fill="auto"/>
          </w:tcPr>
          <w:p w14:paraId="624F69DC"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Develops and ensures implementation of core documents and guidelines on building and improving the internal control system;</w:t>
            </w:r>
          </w:p>
          <w:p w14:paraId="1B9D03F4"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Assist management in building a control environment, develops recommendations on describing and integrating control procedures in processes (focus areas) and assigning responsibilities to officers;</w:t>
            </w:r>
          </w:p>
          <w:p w14:paraId="71AD68C0"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Coordinates the activities for maintaining and monitoring the target state of the internal control system;</w:t>
            </w:r>
          </w:p>
          <w:p w14:paraId="24988809"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Prepares information on the state of the internal control system for stakeholders;</w:t>
            </w:r>
          </w:p>
          <w:p w14:paraId="0AA78588" w14:textId="77777777" w:rsidR="00CE48EE" w:rsidRPr="00BD295E" w:rsidRDefault="008A5057" w:rsidP="00F720EF">
            <w:pPr>
              <w:numPr>
                <w:ilvl w:val="0"/>
                <w:numId w:val="7"/>
              </w:numPr>
              <w:tabs>
                <w:tab w:val="left" w:pos="0"/>
                <w:tab w:val="left" w:pos="459"/>
              </w:tabs>
              <w:ind w:left="0" w:firstLine="0"/>
              <w:contextualSpacing/>
              <w:jc w:val="both"/>
              <w:rPr>
                <w:rFonts w:ascii="Arial" w:eastAsia="Calibri" w:hAnsi="Arial" w:cs="Arial"/>
                <w:sz w:val="18"/>
                <w:szCs w:val="18"/>
                <w:lang w:val="en-US"/>
              </w:rPr>
            </w:pPr>
            <w:r w:rsidRPr="00BD295E">
              <w:rPr>
                <w:rFonts w:ascii="Arial" w:hAnsi="Arial" w:cs="Arial"/>
                <w:sz w:val="18"/>
                <w:szCs w:val="18"/>
                <w:lang w:val="en-US"/>
              </w:rPr>
              <w:t>Liaises with state control and supervisory bodies on matters related to internal control.</w:t>
            </w:r>
          </w:p>
          <w:p w14:paraId="57BA7817" w14:textId="77777777" w:rsidR="00CE48EE" w:rsidRPr="00BD295E" w:rsidRDefault="008A5057" w:rsidP="00F720EF">
            <w:pPr>
              <w:numPr>
                <w:ilvl w:val="0"/>
                <w:numId w:val="7"/>
              </w:numPr>
              <w:tabs>
                <w:tab w:val="left" w:pos="0"/>
                <w:tab w:val="left" w:pos="459"/>
              </w:tabs>
              <w:ind w:left="0" w:firstLine="0"/>
              <w:contextualSpacing/>
              <w:jc w:val="both"/>
              <w:rPr>
                <w:rFonts w:ascii="Arial" w:hAnsi="Arial" w:cs="Arial"/>
                <w:sz w:val="18"/>
                <w:szCs w:val="18"/>
                <w:lang w:val="en-US"/>
              </w:rPr>
            </w:pPr>
            <w:r w:rsidRPr="00BD295E">
              <w:rPr>
                <w:rFonts w:ascii="Arial" w:hAnsi="Arial" w:cs="Arial"/>
                <w:sz w:val="18"/>
                <w:szCs w:val="18"/>
                <w:lang w:val="en-US"/>
              </w:rPr>
              <w:t>Develops, based on the results of internal audits, recommendations to improve control procedures, and individual components (elements) of internal control and the internal control system.</w:t>
            </w:r>
          </w:p>
        </w:tc>
      </w:tr>
      <w:tr w:rsidR="008A5057" w:rsidRPr="00BD295E" w14:paraId="666BD8F2" w14:textId="77777777" w:rsidTr="00F720EF">
        <w:trPr>
          <w:trHeight w:val="20"/>
        </w:trPr>
        <w:tc>
          <w:tcPr>
            <w:tcW w:w="1899" w:type="dxa"/>
            <w:shd w:val="clear" w:color="auto" w:fill="auto"/>
          </w:tcPr>
          <w:p w14:paraId="6EDAE8BF" w14:textId="77777777" w:rsidR="00CE48EE" w:rsidRPr="00BD295E" w:rsidRDefault="008A5057" w:rsidP="00F720EF">
            <w:pPr>
              <w:tabs>
                <w:tab w:val="left" w:pos="0"/>
                <w:tab w:val="left" w:pos="1276"/>
              </w:tabs>
              <w:rPr>
                <w:rFonts w:ascii="Arial" w:eastAsia="Calibri" w:hAnsi="Arial" w:cs="Arial"/>
                <w:sz w:val="18"/>
                <w:szCs w:val="18"/>
                <w:lang w:val="en-US"/>
              </w:rPr>
            </w:pPr>
            <w:r w:rsidRPr="00BD295E">
              <w:rPr>
                <w:rFonts w:ascii="Arial" w:hAnsi="Arial" w:cs="Arial"/>
                <w:sz w:val="18"/>
                <w:szCs w:val="18"/>
                <w:lang w:val="en-US"/>
              </w:rPr>
              <w:t>Internal Audit Department</w:t>
            </w:r>
          </w:p>
        </w:tc>
        <w:tc>
          <w:tcPr>
            <w:tcW w:w="7457" w:type="dxa"/>
            <w:shd w:val="clear" w:color="auto" w:fill="auto"/>
          </w:tcPr>
          <w:p w14:paraId="5F1FEA49" w14:textId="77777777" w:rsidR="00CE48EE" w:rsidRPr="00BD295E" w:rsidRDefault="008A5057" w:rsidP="00F720EF">
            <w:pPr>
              <w:numPr>
                <w:ilvl w:val="0"/>
                <w:numId w:val="7"/>
              </w:numPr>
              <w:tabs>
                <w:tab w:val="left" w:pos="0"/>
                <w:tab w:val="left" w:pos="459"/>
              </w:tabs>
              <w:ind w:left="0" w:firstLine="0"/>
              <w:contextualSpacing/>
              <w:jc w:val="both"/>
              <w:rPr>
                <w:rFonts w:ascii="Arial" w:hAnsi="Arial" w:cs="Arial"/>
                <w:sz w:val="18"/>
                <w:szCs w:val="18"/>
                <w:lang w:val="en-US"/>
              </w:rPr>
            </w:pPr>
            <w:r w:rsidRPr="00BD295E">
              <w:rPr>
                <w:rFonts w:ascii="Arial" w:hAnsi="Arial" w:cs="Arial"/>
                <w:sz w:val="18"/>
                <w:szCs w:val="18"/>
                <w:lang w:val="en-US"/>
              </w:rPr>
              <w:t>Carries out internal independent evaluation of the effectiveness of the internal control system and issues recommendations to improve the efficiency and effectiveness of the internal control system.</w:t>
            </w:r>
          </w:p>
        </w:tc>
      </w:tr>
    </w:tbl>
    <w:p w14:paraId="526EA15E" w14:textId="77777777" w:rsidR="000A091A" w:rsidRPr="00BD295E" w:rsidRDefault="008A5057">
      <w:pPr>
        <w:spacing w:after="160" w:line="259" w:lineRule="auto"/>
        <w:rPr>
          <w:rFonts w:ascii="Arial" w:hAnsi="Arial" w:cs="Arial"/>
          <w:sz w:val="18"/>
          <w:szCs w:val="18"/>
          <w:lang w:val="en-US"/>
        </w:rPr>
      </w:pPr>
      <w:r w:rsidRPr="00BD295E">
        <w:rPr>
          <w:rFonts w:ascii="Arial" w:hAnsi="Arial" w:cs="Arial"/>
          <w:sz w:val="18"/>
          <w:szCs w:val="18"/>
          <w:lang w:val="en-US"/>
        </w:rPr>
        <w:br w:type="page"/>
      </w:r>
    </w:p>
    <w:p w14:paraId="79316ABD" w14:textId="77777777" w:rsidR="00EC4BC4" w:rsidRPr="00BD295E" w:rsidRDefault="008A5057" w:rsidP="00801007">
      <w:pPr>
        <w:pStyle w:val="2"/>
        <w:numPr>
          <w:ilvl w:val="1"/>
          <w:numId w:val="53"/>
        </w:numPr>
        <w:rPr>
          <w:rFonts w:ascii="Arial" w:hAnsi="Arial" w:cs="Arial"/>
          <w:sz w:val="18"/>
          <w:szCs w:val="18"/>
          <w:lang w:val="en-US"/>
        </w:rPr>
      </w:pPr>
      <w:bookmarkStart w:id="683" w:name="_Toc473898459"/>
      <w:bookmarkStart w:id="684" w:name="_Toc473904731"/>
      <w:bookmarkStart w:id="685" w:name="_Toc509493673"/>
      <w:bookmarkStart w:id="686" w:name="_Toc509581242"/>
      <w:bookmarkStart w:id="687" w:name="_Toc509934214"/>
      <w:bookmarkStart w:id="688" w:name="_Toc510452207"/>
      <w:bookmarkStart w:id="689" w:name="_Toc510453073"/>
      <w:bookmarkStart w:id="690" w:name="_Toc510624089"/>
      <w:bookmarkStart w:id="691" w:name="_Toc511055137"/>
      <w:bookmarkStart w:id="692" w:name="_Toc511747493"/>
      <w:bookmarkStart w:id="693" w:name="_Toc5101345"/>
      <w:bookmarkStart w:id="694" w:name="_Toc5101724"/>
      <w:bookmarkStart w:id="695" w:name="_Toc5874620"/>
      <w:bookmarkStart w:id="696" w:name="_Toc95855319"/>
      <w:bookmarkStart w:id="697" w:name="_Toc95935378"/>
      <w:bookmarkStart w:id="698" w:name="_Toc473921992"/>
      <w:bookmarkStart w:id="699" w:name="_Toc479781912"/>
      <w:bookmarkEnd w:id="683"/>
      <w:r w:rsidRPr="00BD295E">
        <w:rPr>
          <w:rFonts w:ascii="Arial" w:hAnsi="Arial" w:cs="Arial"/>
          <w:sz w:val="18"/>
          <w:szCs w:val="18"/>
          <w:lang w:val="en-US"/>
        </w:rPr>
        <w:t xml:space="preserve">RAS financial statements of </w:t>
      </w:r>
      <w:r w:rsidR="00EE5753" w:rsidRPr="00BD295E">
        <w:rPr>
          <w:rFonts w:ascii="Arial" w:hAnsi="Arial" w:cs="Arial"/>
          <w:sz w:val="18"/>
          <w:szCs w:val="18"/>
          <w:lang w:val="en-US"/>
        </w:rPr>
        <w:t>PJSC “Lenenergo”</w:t>
      </w:r>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r w:rsidRPr="00BD295E">
        <w:rPr>
          <w:rFonts w:ascii="Arial" w:hAnsi="Arial" w:cs="Arial"/>
          <w:sz w:val="18"/>
          <w:szCs w:val="18"/>
          <w:lang w:val="en-US"/>
        </w:rPr>
        <w:t xml:space="preserve"> </w:t>
      </w:r>
      <w:bookmarkEnd w:id="698"/>
      <w:bookmarkEnd w:id="699"/>
    </w:p>
    <w:sectPr w:rsidR="00EC4BC4" w:rsidRPr="00BD295E" w:rsidSect="0099692B">
      <w:pgSz w:w="11906" w:h="16838"/>
      <w:pgMar w:top="567" w:right="1133"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A7C13A" w14:textId="77777777" w:rsidR="002C3947" w:rsidRDefault="002C3947">
      <w:r>
        <w:separator/>
      </w:r>
    </w:p>
  </w:endnote>
  <w:endnote w:type="continuationSeparator" w:id="0">
    <w:p w14:paraId="29C09B29" w14:textId="77777777" w:rsidR="002C3947" w:rsidRDefault="002C39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GOpus">
    <w:altName w:val="Gabriola"/>
    <w:panose1 w:val="00000000000000000000"/>
    <w:charset w:val="00"/>
    <w:family w:val="decorative"/>
    <w:notTrueType/>
    <w:pitch w:val="variable"/>
    <w:sig w:usb0="00000001"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00000000"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Bookshelf Symbol 2">
    <w:panose1 w:val="00000000000000000000"/>
    <w:charset w:val="02"/>
    <w:family w:val="auto"/>
    <w:notTrueType/>
    <w:pitch w:val="variable"/>
    <w:sig w:usb0="00000003" w:usb1="00000000" w:usb2="00000000" w:usb3="00000000" w:csb0="00000001" w:csb1="00000000"/>
  </w:font>
  <w:font w:name="HeliosLightC">
    <w:altName w:val="Arial"/>
    <w:panose1 w:val="00000000000000000000"/>
    <w:charset w:val="CC"/>
    <w:family w:val="swiss"/>
    <w:notTrueType/>
    <w:pitch w:val="default"/>
    <w:sig w:usb0="00000001" w:usb1="00000000" w:usb2="00000000" w:usb3="00000000" w:csb0="00000005"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Corpid E1s SCd Regular">
    <w:altName w:val="Corpid E1s SCd Regular"/>
    <w:panose1 w:val="00000000000000000000"/>
    <w:charset w:val="CC"/>
    <w:family w:val="swiss"/>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Corbel">
    <w:panose1 w:val="020B0503020204020204"/>
    <w:charset w:val="CC"/>
    <w:family w:val="swiss"/>
    <w:pitch w:val="variable"/>
    <w:sig w:usb0="A00002EF" w:usb1="4000A44B" w:usb2="00000000" w:usb3="00000000" w:csb0="0000019F" w:csb1="00000000"/>
  </w:font>
  <w:font w:name="Consolas">
    <w:panose1 w:val="020B0609020204030204"/>
    <w:charset w:val="CC"/>
    <w:family w:val="modern"/>
    <w:pitch w:val="fixed"/>
    <w:sig w:usb0="E00006FF" w:usb1="0000FCFF" w:usb2="00000001" w:usb3="00000000" w:csb0="0000019F" w:csb1="00000000"/>
  </w:font>
  <w:font w:name="Sylfaen">
    <w:panose1 w:val="010A0502050306030303"/>
    <w:charset w:val="CC"/>
    <w:family w:val="roman"/>
    <w:pitch w:val="variable"/>
    <w:sig w:usb0="040006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08952" w14:textId="77777777" w:rsidR="002C3947" w:rsidRDefault="002C3947">
    <w:pPr>
      <w:pStyle w:val="ab"/>
      <w:jc w:val="center"/>
    </w:pPr>
  </w:p>
  <w:p w14:paraId="49E0FC90" w14:textId="77777777" w:rsidR="002C3947" w:rsidRDefault="002C3947">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E58F80" w14:textId="77777777" w:rsidR="002C3947" w:rsidRDefault="002C3947" w:rsidP="00C33072">
    <w:pPr>
      <w:pStyle w:val="ab"/>
      <w:framePr w:wrap="around" w:vAnchor="text" w:hAnchor="margin" w:xAlign="right" w:y="1"/>
      <w:rPr>
        <w:rStyle w:val="afb"/>
      </w:rPr>
    </w:pPr>
    <w:r>
      <w:rPr>
        <w:rStyle w:val="afb"/>
      </w:rPr>
      <w:fldChar w:fldCharType="begin"/>
    </w:r>
    <w:r>
      <w:rPr>
        <w:rStyle w:val="afb"/>
      </w:rPr>
      <w:instrText xml:space="preserve">PAGE  </w:instrText>
    </w:r>
    <w:r>
      <w:rPr>
        <w:rStyle w:val="afb"/>
      </w:rPr>
      <w:fldChar w:fldCharType="end"/>
    </w:r>
  </w:p>
  <w:p w14:paraId="71BEE11D" w14:textId="77777777" w:rsidR="002C3947" w:rsidRDefault="002C3947" w:rsidP="00C33072">
    <w:pPr>
      <w:pStyle w:val="ab"/>
      <w:ind w:right="360"/>
    </w:pPr>
  </w:p>
  <w:p w14:paraId="42CEF78B" w14:textId="77777777" w:rsidR="002C3947" w:rsidRDefault="002C3947"/>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37554" w14:textId="77777777" w:rsidR="002C3947" w:rsidRDefault="002C3947" w:rsidP="00C33072">
    <w:pPr>
      <w:pStyle w:val="ab"/>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10D6A9" w14:textId="77777777" w:rsidR="002C3947" w:rsidRDefault="002C3947" w:rsidP="00A40F25">
      <w:r>
        <w:separator/>
      </w:r>
    </w:p>
  </w:footnote>
  <w:footnote w:type="continuationSeparator" w:id="0">
    <w:p w14:paraId="1A0F4E8B" w14:textId="77777777" w:rsidR="002C3947" w:rsidRDefault="002C3947" w:rsidP="00A40F25">
      <w:r>
        <w:continuationSeparator/>
      </w:r>
    </w:p>
  </w:footnote>
  <w:footnote w:id="1">
    <w:p w14:paraId="15876D8F" w14:textId="77777777" w:rsidR="002C3947" w:rsidRDefault="002C3947" w:rsidP="003F6DA4">
      <w:pPr>
        <w:pStyle w:val="afe"/>
      </w:pPr>
      <w:r>
        <w:rPr>
          <w:rStyle w:val="aff0"/>
        </w:rPr>
        <w:footnoteRef/>
      </w:r>
      <w:r>
        <w:t xml:space="preserve"> Data by SO UES, JSC</w:t>
      </w:r>
    </w:p>
  </w:footnote>
  <w:footnote w:id="2">
    <w:p w14:paraId="0782BA5B" w14:textId="77777777" w:rsidR="002C3947" w:rsidRPr="00947A7C" w:rsidRDefault="002C3947" w:rsidP="003F6DA4">
      <w:pPr>
        <w:pStyle w:val="afe"/>
      </w:pPr>
      <w:r>
        <w:rPr>
          <w:rStyle w:val="aff0"/>
        </w:rPr>
        <w:footnoteRef/>
      </w:r>
      <w:r>
        <w:t xml:space="preserve"> Data by SO UES, JSC</w:t>
      </w:r>
    </w:p>
  </w:footnote>
  <w:footnote w:id="3">
    <w:p w14:paraId="3D33D966" w14:textId="77777777" w:rsidR="002C3947" w:rsidRPr="00E3510B" w:rsidRDefault="002C3947" w:rsidP="00F3260C">
      <w:pPr>
        <w:pStyle w:val="afe"/>
        <w:jc w:val="both"/>
        <w:rPr>
          <w:rFonts w:ascii="Calibri" w:hAnsi="Calibri"/>
          <w:i/>
          <w:sz w:val="18"/>
          <w:szCs w:val="18"/>
        </w:rPr>
      </w:pPr>
      <w:r>
        <w:rPr>
          <w:rStyle w:val="aff0"/>
          <w:i/>
        </w:rPr>
        <w:footnoteRef/>
      </w:r>
      <w:r>
        <w:rPr>
          <w:rFonts w:ascii="Calibri" w:hAnsi="Calibri"/>
          <w:i/>
          <w:sz w:val="18"/>
          <w:szCs w:val="18"/>
        </w:rPr>
        <w:t>Hereinafter the personal details of members of governing and control bodies is provided with the written consent of such persons, with their place of work and position as at the time of election.</w:t>
      </w:r>
    </w:p>
  </w:footnote>
  <w:footnote w:id="4">
    <w:p w14:paraId="0927FB92" w14:textId="77777777" w:rsidR="002C3947" w:rsidRPr="00E3510B" w:rsidRDefault="002C3947" w:rsidP="00A07300">
      <w:pPr>
        <w:pStyle w:val="afe"/>
        <w:ind w:firstLine="0"/>
        <w:rPr>
          <w:rFonts w:ascii="Calibri" w:eastAsia="Calibri" w:hAnsi="Calibri" w:cs="Calibri"/>
          <w:i/>
          <w:iCs/>
          <w:sz w:val="18"/>
          <w:szCs w:val="18"/>
        </w:rPr>
      </w:pPr>
      <w:r>
        <w:rPr>
          <w:rStyle w:val="aff0"/>
        </w:rPr>
        <w:footnoteRef/>
      </w:r>
      <w:r>
        <w:rPr>
          <w:rFonts w:ascii="Calibri" w:hAnsi="Calibri"/>
        </w:rPr>
        <w:t>In line with the Listing Rules of PJSC “Moscow Exchange” approved by the Supervisory Board of PJSC “Moscow Exchange” on September 10, 2018 (registered by the Bank of Russia on February 2, 2018)</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56E4B" w14:textId="0B995E34" w:rsidR="002C3947" w:rsidRDefault="002C3947">
    <w:pPr>
      <w:pStyle w:val="a9"/>
      <w:jc w:val="center"/>
    </w:pPr>
    <w:r>
      <w:fldChar w:fldCharType="begin"/>
    </w:r>
    <w:r>
      <w:instrText>PAGE   \* MERGEFORMAT</w:instrText>
    </w:r>
    <w:r>
      <w:fldChar w:fldCharType="separate"/>
    </w:r>
    <w:r w:rsidR="00BD295E">
      <w:rPr>
        <w:noProof/>
      </w:rPr>
      <w:t>41</w:t>
    </w:r>
    <w:r>
      <w:fldChar w:fldCharType="end"/>
    </w:r>
  </w:p>
  <w:p w14:paraId="60C5084A" w14:textId="77777777" w:rsidR="002C3947" w:rsidRDefault="002C3947">
    <w:pPr>
      <w:pStyle w:val="a9"/>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049824" w14:textId="34F560B1" w:rsidR="002C3947" w:rsidRDefault="002C3947">
    <w:pPr>
      <w:pStyle w:val="a9"/>
      <w:jc w:val="center"/>
    </w:pPr>
    <w:r>
      <w:fldChar w:fldCharType="begin"/>
    </w:r>
    <w:r>
      <w:instrText>PAGE   \* MERGEFORMAT</w:instrText>
    </w:r>
    <w:r>
      <w:fldChar w:fldCharType="separate"/>
    </w:r>
    <w:r w:rsidR="00BD295E">
      <w:rPr>
        <w:noProof/>
      </w:rPr>
      <w:t>110</w:t>
    </w:r>
    <w:r>
      <w:fldChar w:fldCharType="end"/>
    </w:r>
  </w:p>
  <w:p w14:paraId="2A4DA00F" w14:textId="77777777" w:rsidR="002C3947" w:rsidRDefault="002C3947">
    <w:pPr>
      <w:pStyle w:val="a9"/>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DD888" w14:textId="3F133718" w:rsidR="002C3947" w:rsidRPr="0052069E" w:rsidRDefault="002C3947">
    <w:pPr>
      <w:pStyle w:val="a9"/>
      <w:jc w:val="center"/>
      <w:rPr>
        <w:sz w:val="22"/>
        <w:szCs w:val="22"/>
      </w:rPr>
    </w:pPr>
    <w:r w:rsidRPr="0052069E">
      <w:rPr>
        <w:sz w:val="22"/>
        <w:szCs w:val="22"/>
      </w:rPr>
      <w:fldChar w:fldCharType="begin"/>
    </w:r>
    <w:r w:rsidRPr="0052069E">
      <w:rPr>
        <w:sz w:val="22"/>
        <w:szCs w:val="22"/>
      </w:rPr>
      <w:instrText>PAGE   \* MERGEFORMAT</w:instrText>
    </w:r>
    <w:r w:rsidRPr="0052069E">
      <w:rPr>
        <w:sz w:val="22"/>
        <w:szCs w:val="22"/>
      </w:rPr>
      <w:fldChar w:fldCharType="separate"/>
    </w:r>
    <w:r>
      <w:rPr>
        <w:noProof/>
        <w:sz w:val="22"/>
        <w:szCs w:val="22"/>
      </w:rPr>
      <w:t>183</w:t>
    </w:r>
    <w:r w:rsidRPr="0052069E">
      <w:rPr>
        <w:sz w:val="22"/>
        <w:szCs w:val="22"/>
      </w:rPr>
      <w:fldChar w:fldCharType="end"/>
    </w:r>
  </w:p>
  <w:p w14:paraId="75A88BFB" w14:textId="77777777" w:rsidR="002C3947" w:rsidRDefault="002C3947">
    <w:pPr>
      <w:pStyle w:val="a9"/>
    </w:pPr>
  </w:p>
  <w:p w14:paraId="5E0F0D53" w14:textId="77777777" w:rsidR="002C3947" w:rsidRDefault="002C3947"/>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7D6ABCD4"/>
    <w:lvl w:ilvl="0">
      <w:start w:val="1"/>
      <w:numFmt w:val="decimal"/>
      <w:pStyle w:val="3"/>
      <w:lvlText w:val="%1."/>
      <w:lvlJc w:val="left"/>
      <w:pPr>
        <w:tabs>
          <w:tab w:val="num" w:pos="1559"/>
        </w:tabs>
        <w:ind w:left="1559" w:hanging="360"/>
      </w:pPr>
    </w:lvl>
  </w:abstractNum>
  <w:abstractNum w:abstractNumId="1" w15:restartNumberingAfterBreak="0">
    <w:nsid w:val="FFFFFF80"/>
    <w:multiLevelType w:val="singleLevel"/>
    <w:tmpl w:val="3BEE6B1E"/>
    <w:lvl w:ilvl="0">
      <w:start w:val="1"/>
      <w:numFmt w:val="bullet"/>
      <w:pStyle w:val="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216EC7BE"/>
    <w:lvl w:ilvl="0">
      <w:start w:val="1"/>
      <w:numFmt w:val="bullet"/>
      <w:pStyle w:val="4"/>
      <w:lvlText w:val=""/>
      <w:lvlJc w:val="left"/>
      <w:pPr>
        <w:tabs>
          <w:tab w:val="num" w:pos="1209"/>
        </w:tabs>
        <w:ind w:left="1209" w:hanging="360"/>
      </w:pPr>
      <w:rPr>
        <w:rFonts w:ascii="Symbol" w:hAnsi="Symbol" w:hint="default"/>
      </w:rPr>
    </w:lvl>
  </w:abstractNum>
  <w:abstractNum w:abstractNumId="3" w15:restartNumberingAfterBreak="0">
    <w:nsid w:val="FFFFFF88"/>
    <w:multiLevelType w:val="singleLevel"/>
    <w:tmpl w:val="6840F8AE"/>
    <w:lvl w:ilvl="0">
      <w:start w:val="1"/>
      <w:numFmt w:val="decimal"/>
      <w:pStyle w:val="a"/>
      <w:lvlText w:val="%1."/>
      <w:lvlJc w:val="left"/>
      <w:pPr>
        <w:tabs>
          <w:tab w:val="num" w:pos="360"/>
        </w:tabs>
        <w:ind w:left="360" w:hanging="360"/>
      </w:pPr>
    </w:lvl>
  </w:abstractNum>
  <w:abstractNum w:abstractNumId="4" w15:restartNumberingAfterBreak="0">
    <w:nsid w:val="00000003"/>
    <w:multiLevelType w:val="multilevel"/>
    <w:tmpl w:val="9F32BD70"/>
    <w:name w:val="WWNum5"/>
    <w:lvl w:ilvl="0">
      <w:start w:val="1"/>
      <w:numFmt w:val="bullet"/>
      <w:suff w:val="space"/>
      <w:lvlText w:val="•"/>
      <w:lvlJc w:val="left"/>
      <w:pPr>
        <w:ind w:left="2" w:firstLine="708"/>
      </w:pPr>
      <w:rPr>
        <w:rFonts w:ascii="Arial" w:hAnsi="Arial" w:hint="default"/>
      </w:rPr>
    </w:lvl>
    <w:lvl w:ilvl="1">
      <w:start w:val="1"/>
      <w:numFmt w:val="bullet"/>
      <w:lvlText w:val="o"/>
      <w:lvlJc w:val="left"/>
      <w:pPr>
        <w:tabs>
          <w:tab w:val="num" w:pos="-992"/>
        </w:tabs>
        <w:ind w:left="796" w:hanging="360"/>
      </w:pPr>
      <w:rPr>
        <w:rFonts w:ascii="Courier New" w:hAnsi="Courier New" w:cs="Courier New" w:hint="default"/>
      </w:rPr>
    </w:lvl>
    <w:lvl w:ilvl="2">
      <w:start w:val="1"/>
      <w:numFmt w:val="bullet"/>
      <w:lvlText w:val=""/>
      <w:lvlJc w:val="left"/>
      <w:pPr>
        <w:tabs>
          <w:tab w:val="num" w:pos="-992"/>
        </w:tabs>
        <w:ind w:left="1516" w:hanging="360"/>
      </w:pPr>
      <w:rPr>
        <w:rFonts w:ascii="Wingdings" w:hAnsi="Wingdings" w:hint="default"/>
      </w:rPr>
    </w:lvl>
    <w:lvl w:ilvl="3">
      <w:start w:val="1"/>
      <w:numFmt w:val="bullet"/>
      <w:lvlText w:val=""/>
      <w:lvlJc w:val="left"/>
      <w:pPr>
        <w:tabs>
          <w:tab w:val="num" w:pos="-992"/>
        </w:tabs>
        <w:ind w:left="2236" w:hanging="360"/>
      </w:pPr>
      <w:rPr>
        <w:rFonts w:ascii="Symbol" w:hAnsi="Symbol" w:hint="default"/>
      </w:rPr>
    </w:lvl>
    <w:lvl w:ilvl="4">
      <w:start w:val="1"/>
      <w:numFmt w:val="bullet"/>
      <w:lvlText w:val="o"/>
      <w:lvlJc w:val="left"/>
      <w:pPr>
        <w:tabs>
          <w:tab w:val="num" w:pos="-992"/>
        </w:tabs>
        <w:ind w:left="2956" w:hanging="360"/>
      </w:pPr>
      <w:rPr>
        <w:rFonts w:ascii="Courier New" w:hAnsi="Courier New" w:cs="Courier New" w:hint="default"/>
      </w:rPr>
    </w:lvl>
    <w:lvl w:ilvl="5">
      <w:start w:val="1"/>
      <w:numFmt w:val="bullet"/>
      <w:lvlText w:val=""/>
      <w:lvlJc w:val="left"/>
      <w:pPr>
        <w:tabs>
          <w:tab w:val="num" w:pos="-992"/>
        </w:tabs>
        <w:ind w:left="3676" w:hanging="360"/>
      </w:pPr>
      <w:rPr>
        <w:rFonts w:ascii="Wingdings" w:hAnsi="Wingdings" w:hint="default"/>
      </w:rPr>
    </w:lvl>
    <w:lvl w:ilvl="6">
      <w:start w:val="1"/>
      <w:numFmt w:val="bullet"/>
      <w:lvlText w:val=""/>
      <w:lvlJc w:val="left"/>
      <w:pPr>
        <w:tabs>
          <w:tab w:val="num" w:pos="-992"/>
        </w:tabs>
        <w:ind w:left="4396" w:hanging="360"/>
      </w:pPr>
      <w:rPr>
        <w:rFonts w:ascii="Symbol" w:hAnsi="Symbol" w:hint="default"/>
      </w:rPr>
    </w:lvl>
    <w:lvl w:ilvl="7">
      <w:start w:val="1"/>
      <w:numFmt w:val="bullet"/>
      <w:lvlText w:val="o"/>
      <w:lvlJc w:val="left"/>
      <w:pPr>
        <w:tabs>
          <w:tab w:val="num" w:pos="-992"/>
        </w:tabs>
        <w:ind w:left="5116" w:hanging="360"/>
      </w:pPr>
      <w:rPr>
        <w:rFonts w:ascii="Courier New" w:hAnsi="Courier New" w:cs="Courier New" w:hint="default"/>
      </w:rPr>
    </w:lvl>
    <w:lvl w:ilvl="8">
      <w:start w:val="1"/>
      <w:numFmt w:val="bullet"/>
      <w:lvlText w:val=""/>
      <w:lvlJc w:val="left"/>
      <w:pPr>
        <w:tabs>
          <w:tab w:val="num" w:pos="-992"/>
        </w:tabs>
        <w:ind w:left="5836" w:hanging="360"/>
      </w:pPr>
      <w:rPr>
        <w:rFonts w:ascii="Wingdings" w:hAnsi="Wingdings" w:hint="default"/>
      </w:rPr>
    </w:lvl>
  </w:abstractNum>
  <w:abstractNum w:abstractNumId="5" w15:restartNumberingAfterBreak="0">
    <w:nsid w:val="00000038"/>
    <w:multiLevelType w:val="singleLevel"/>
    <w:tmpl w:val="BCC8BE70"/>
    <w:name w:val="WW8Num56"/>
    <w:lvl w:ilvl="0">
      <w:start w:val="1"/>
      <w:numFmt w:val="bullet"/>
      <w:lvlText w:val=""/>
      <w:lvlJc w:val="left"/>
      <w:pPr>
        <w:tabs>
          <w:tab w:val="num" w:pos="928"/>
        </w:tabs>
        <w:ind w:left="928" w:hanging="360"/>
      </w:pPr>
      <w:rPr>
        <w:rFonts w:ascii="Symbol" w:hAnsi="Symbol"/>
        <w:color w:val="auto"/>
      </w:rPr>
    </w:lvl>
  </w:abstractNum>
  <w:abstractNum w:abstractNumId="6" w15:restartNumberingAfterBreak="0">
    <w:nsid w:val="00851AF4"/>
    <w:multiLevelType w:val="hybridMultilevel"/>
    <w:tmpl w:val="28361F9C"/>
    <w:lvl w:ilvl="0" w:tplc="2CA4F1E0">
      <w:start w:val="1"/>
      <w:numFmt w:val="bullet"/>
      <w:lvlText w:val=""/>
      <w:lvlJc w:val="left"/>
      <w:pPr>
        <w:ind w:left="1440" w:hanging="360"/>
      </w:pPr>
      <w:rPr>
        <w:rFonts w:ascii="Symbol" w:hAnsi="Symbol" w:hint="default"/>
      </w:rPr>
    </w:lvl>
    <w:lvl w:ilvl="1" w:tplc="D292E33A" w:tentative="1">
      <w:start w:val="1"/>
      <w:numFmt w:val="bullet"/>
      <w:lvlText w:val="o"/>
      <w:lvlJc w:val="left"/>
      <w:pPr>
        <w:ind w:left="2160" w:hanging="360"/>
      </w:pPr>
      <w:rPr>
        <w:rFonts w:ascii="Courier New" w:hAnsi="Courier New" w:cs="Courier New" w:hint="default"/>
      </w:rPr>
    </w:lvl>
    <w:lvl w:ilvl="2" w:tplc="B44447B4" w:tentative="1">
      <w:start w:val="1"/>
      <w:numFmt w:val="bullet"/>
      <w:lvlText w:val=""/>
      <w:lvlJc w:val="left"/>
      <w:pPr>
        <w:ind w:left="2880" w:hanging="360"/>
      </w:pPr>
      <w:rPr>
        <w:rFonts w:ascii="Wingdings" w:hAnsi="Wingdings" w:hint="default"/>
      </w:rPr>
    </w:lvl>
    <w:lvl w:ilvl="3" w:tplc="1DD00412" w:tentative="1">
      <w:start w:val="1"/>
      <w:numFmt w:val="bullet"/>
      <w:lvlText w:val=""/>
      <w:lvlJc w:val="left"/>
      <w:pPr>
        <w:ind w:left="3600" w:hanging="360"/>
      </w:pPr>
      <w:rPr>
        <w:rFonts w:ascii="Symbol" w:hAnsi="Symbol" w:hint="default"/>
      </w:rPr>
    </w:lvl>
    <w:lvl w:ilvl="4" w:tplc="7E82AA46" w:tentative="1">
      <w:start w:val="1"/>
      <w:numFmt w:val="bullet"/>
      <w:lvlText w:val="o"/>
      <w:lvlJc w:val="left"/>
      <w:pPr>
        <w:ind w:left="4320" w:hanging="360"/>
      </w:pPr>
      <w:rPr>
        <w:rFonts w:ascii="Courier New" w:hAnsi="Courier New" w:cs="Courier New" w:hint="default"/>
      </w:rPr>
    </w:lvl>
    <w:lvl w:ilvl="5" w:tplc="F44461F8" w:tentative="1">
      <w:start w:val="1"/>
      <w:numFmt w:val="bullet"/>
      <w:lvlText w:val=""/>
      <w:lvlJc w:val="left"/>
      <w:pPr>
        <w:ind w:left="5040" w:hanging="360"/>
      </w:pPr>
      <w:rPr>
        <w:rFonts w:ascii="Wingdings" w:hAnsi="Wingdings" w:hint="default"/>
      </w:rPr>
    </w:lvl>
    <w:lvl w:ilvl="6" w:tplc="01628068" w:tentative="1">
      <w:start w:val="1"/>
      <w:numFmt w:val="bullet"/>
      <w:lvlText w:val=""/>
      <w:lvlJc w:val="left"/>
      <w:pPr>
        <w:ind w:left="5760" w:hanging="360"/>
      </w:pPr>
      <w:rPr>
        <w:rFonts w:ascii="Symbol" w:hAnsi="Symbol" w:hint="default"/>
      </w:rPr>
    </w:lvl>
    <w:lvl w:ilvl="7" w:tplc="76E81A48" w:tentative="1">
      <w:start w:val="1"/>
      <w:numFmt w:val="bullet"/>
      <w:lvlText w:val="o"/>
      <w:lvlJc w:val="left"/>
      <w:pPr>
        <w:ind w:left="6480" w:hanging="360"/>
      </w:pPr>
      <w:rPr>
        <w:rFonts w:ascii="Courier New" w:hAnsi="Courier New" w:cs="Courier New" w:hint="default"/>
      </w:rPr>
    </w:lvl>
    <w:lvl w:ilvl="8" w:tplc="8E90A9B8" w:tentative="1">
      <w:start w:val="1"/>
      <w:numFmt w:val="bullet"/>
      <w:lvlText w:val=""/>
      <w:lvlJc w:val="left"/>
      <w:pPr>
        <w:ind w:left="7200" w:hanging="360"/>
      </w:pPr>
      <w:rPr>
        <w:rFonts w:ascii="Wingdings" w:hAnsi="Wingdings" w:hint="default"/>
      </w:rPr>
    </w:lvl>
  </w:abstractNum>
  <w:abstractNum w:abstractNumId="7" w15:restartNumberingAfterBreak="0">
    <w:nsid w:val="00BD7CBC"/>
    <w:multiLevelType w:val="hybridMultilevel"/>
    <w:tmpl w:val="050C11C8"/>
    <w:lvl w:ilvl="0" w:tplc="C48A9952">
      <w:start w:val="1"/>
      <w:numFmt w:val="bullet"/>
      <w:lvlText w:val=""/>
      <w:lvlJc w:val="left"/>
      <w:pPr>
        <w:ind w:left="1428" w:hanging="360"/>
      </w:pPr>
      <w:rPr>
        <w:rFonts w:ascii="Symbol" w:hAnsi="Symbol" w:hint="default"/>
      </w:rPr>
    </w:lvl>
    <w:lvl w:ilvl="1" w:tplc="850E10E2" w:tentative="1">
      <w:start w:val="1"/>
      <w:numFmt w:val="bullet"/>
      <w:lvlText w:val="o"/>
      <w:lvlJc w:val="left"/>
      <w:pPr>
        <w:ind w:left="2148" w:hanging="360"/>
      </w:pPr>
      <w:rPr>
        <w:rFonts w:ascii="Courier New" w:hAnsi="Courier New" w:cs="Courier New" w:hint="default"/>
      </w:rPr>
    </w:lvl>
    <w:lvl w:ilvl="2" w:tplc="114E55DA" w:tentative="1">
      <w:start w:val="1"/>
      <w:numFmt w:val="bullet"/>
      <w:lvlText w:val=""/>
      <w:lvlJc w:val="left"/>
      <w:pPr>
        <w:ind w:left="2868" w:hanging="360"/>
      </w:pPr>
      <w:rPr>
        <w:rFonts w:ascii="Wingdings" w:hAnsi="Wingdings" w:hint="default"/>
      </w:rPr>
    </w:lvl>
    <w:lvl w:ilvl="3" w:tplc="27C664C8" w:tentative="1">
      <w:start w:val="1"/>
      <w:numFmt w:val="bullet"/>
      <w:lvlText w:val=""/>
      <w:lvlJc w:val="left"/>
      <w:pPr>
        <w:ind w:left="3588" w:hanging="360"/>
      </w:pPr>
      <w:rPr>
        <w:rFonts w:ascii="Symbol" w:hAnsi="Symbol" w:hint="default"/>
      </w:rPr>
    </w:lvl>
    <w:lvl w:ilvl="4" w:tplc="C0F28D36" w:tentative="1">
      <w:start w:val="1"/>
      <w:numFmt w:val="bullet"/>
      <w:lvlText w:val="o"/>
      <w:lvlJc w:val="left"/>
      <w:pPr>
        <w:ind w:left="4308" w:hanging="360"/>
      </w:pPr>
      <w:rPr>
        <w:rFonts w:ascii="Courier New" w:hAnsi="Courier New" w:cs="Courier New" w:hint="default"/>
      </w:rPr>
    </w:lvl>
    <w:lvl w:ilvl="5" w:tplc="BBECE5F0" w:tentative="1">
      <w:start w:val="1"/>
      <w:numFmt w:val="bullet"/>
      <w:lvlText w:val=""/>
      <w:lvlJc w:val="left"/>
      <w:pPr>
        <w:ind w:left="5028" w:hanging="360"/>
      </w:pPr>
      <w:rPr>
        <w:rFonts w:ascii="Wingdings" w:hAnsi="Wingdings" w:hint="default"/>
      </w:rPr>
    </w:lvl>
    <w:lvl w:ilvl="6" w:tplc="A97EE9D8" w:tentative="1">
      <w:start w:val="1"/>
      <w:numFmt w:val="bullet"/>
      <w:lvlText w:val=""/>
      <w:lvlJc w:val="left"/>
      <w:pPr>
        <w:ind w:left="5748" w:hanging="360"/>
      </w:pPr>
      <w:rPr>
        <w:rFonts w:ascii="Symbol" w:hAnsi="Symbol" w:hint="default"/>
      </w:rPr>
    </w:lvl>
    <w:lvl w:ilvl="7" w:tplc="8E62CA1E" w:tentative="1">
      <w:start w:val="1"/>
      <w:numFmt w:val="bullet"/>
      <w:lvlText w:val="o"/>
      <w:lvlJc w:val="left"/>
      <w:pPr>
        <w:ind w:left="6468" w:hanging="360"/>
      </w:pPr>
      <w:rPr>
        <w:rFonts w:ascii="Courier New" w:hAnsi="Courier New" w:cs="Courier New" w:hint="default"/>
      </w:rPr>
    </w:lvl>
    <w:lvl w:ilvl="8" w:tplc="8F622C4E" w:tentative="1">
      <w:start w:val="1"/>
      <w:numFmt w:val="bullet"/>
      <w:lvlText w:val=""/>
      <w:lvlJc w:val="left"/>
      <w:pPr>
        <w:ind w:left="7188" w:hanging="360"/>
      </w:pPr>
      <w:rPr>
        <w:rFonts w:ascii="Wingdings" w:hAnsi="Wingdings" w:hint="default"/>
      </w:rPr>
    </w:lvl>
  </w:abstractNum>
  <w:abstractNum w:abstractNumId="8" w15:restartNumberingAfterBreak="0">
    <w:nsid w:val="00DD5F72"/>
    <w:multiLevelType w:val="hybridMultilevel"/>
    <w:tmpl w:val="B43CDFE4"/>
    <w:lvl w:ilvl="0" w:tplc="8D903B48">
      <w:start w:val="1"/>
      <w:numFmt w:val="bullet"/>
      <w:lvlText w:val=""/>
      <w:lvlJc w:val="left"/>
      <w:pPr>
        <w:ind w:left="1429" w:hanging="360"/>
      </w:pPr>
      <w:rPr>
        <w:rFonts w:ascii="Symbol" w:hAnsi="Symbol" w:hint="default"/>
      </w:rPr>
    </w:lvl>
    <w:lvl w:ilvl="1" w:tplc="AC6AD93C" w:tentative="1">
      <w:start w:val="1"/>
      <w:numFmt w:val="bullet"/>
      <w:lvlText w:val="o"/>
      <w:lvlJc w:val="left"/>
      <w:pPr>
        <w:ind w:left="2149" w:hanging="360"/>
      </w:pPr>
      <w:rPr>
        <w:rFonts w:ascii="Courier New" w:hAnsi="Courier New" w:cs="Courier New" w:hint="default"/>
      </w:rPr>
    </w:lvl>
    <w:lvl w:ilvl="2" w:tplc="4A5061C2" w:tentative="1">
      <w:start w:val="1"/>
      <w:numFmt w:val="bullet"/>
      <w:lvlText w:val=""/>
      <w:lvlJc w:val="left"/>
      <w:pPr>
        <w:ind w:left="2869" w:hanging="360"/>
      </w:pPr>
      <w:rPr>
        <w:rFonts w:ascii="Wingdings" w:hAnsi="Wingdings" w:hint="default"/>
      </w:rPr>
    </w:lvl>
    <w:lvl w:ilvl="3" w:tplc="BF9E9EA6" w:tentative="1">
      <w:start w:val="1"/>
      <w:numFmt w:val="bullet"/>
      <w:lvlText w:val=""/>
      <w:lvlJc w:val="left"/>
      <w:pPr>
        <w:ind w:left="3589" w:hanging="360"/>
      </w:pPr>
      <w:rPr>
        <w:rFonts w:ascii="Symbol" w:hAnsi="Symbol" w:hint="default"/>
      </w:rPr>
    </w:lvl>
    <w:lvl w:ilvl="4" w:tplc="E2DEED2E" w:tentative="1">
      <w:start w:val="1"/>
      <w:numFmt w:val="bullet"/>
      <w:lvlText w:val="o"/>
      <w:lvlJc w:val="left"/>
      <w:pPr>
        <w:ind w:left="4309" w:hanging="360"/>
      </w:pPr>
      <w:rPr>
        <w:rFonts w:ascii="Courier New" w:hAnsi="Courier New" w:cs="Courier New" w:hint="default"/>
      </w:rPr>
    </w:lvl>
    <w:lvl w:ilvl="5" w:tplc="85E40FF6" w:tentative="1">
      <w:start w:val="1"/>
      <w:numFmt w:val="bullet"/>
      <w:lvlText w:val=""/>
      <w:lvlJc w:val="left"/>
      <w:pPr>
        <w:ind w:left="5029" w:hanging="360"/>
      </w:pPr>
      <w:rPr>
        <w:rFonts w:ascii="Wingdings" w:hAnsi="Wingdings" w:hint="default"/>
      </w:rPr>
    </w:lvl>
    <w:lvl w:ilvl="6" w:tplc="BB7AD446" w:tentative="1">
      <w:start w:val="1"/>
      <w:numFmt w:val="bullet"/>
      <w:lvlText w:val=""/>
      <w:lvlJc w:val="left"/>
      <w:pPr>
        <w:ind w:left="5749" w:hanging="360"/>
      </w:pPr>
      <w:rPr>
        <w:rFonts w:ascii="Symbol" w:hAnsi="Symbol" w:hint="default"/>
      </w:rPr>
    </w:lvl>
    <w:lvl w:ilvl="7" w:tplc="07C45FF2" w:tentative="1">
      <w:start w:val="1"/>
      <w:numFmt w:val="bullet"/>
      <w:lvlText w:val="o"/>
      <w:lvlJc w:val="left"/>
      <w:pPr>
        <w:ind w:left="6469" w:hanging="360"/>
      </w:pPr>
      <w:rPr>
        <w:rFonts w:ascii="Courier New" w:hAnsi="Courier New" w:cs="Courier New" w:hint="default"/>
      </w:rPr>
    </w:lvl>
    <w:lvl w:ilvl="8" w:tplc="29D684D0" w:tentative="1">
      <w:start w:val="1"/>
      <w:numFmt w:val="bullet"/>
      <w:lvlText w:val=""/>
      <w:lvlJc w:val="left"/>
      <w:pPr>
        <w:ind w:left="7189" w:hanging="360"/>
      </w:pPr>
      <w:rPr>
        <w:rFonts w:ascii="Wingdings" w:hAnsi="Wingdings" w:hint="default"/>
      </w:rPr>
    </w:lvl>
  </w:abstractNum>
  <w:abstractNum w:abstractNumId="9" w15:restartNumberingAfterBreak="0">
    <w:nsid w:val="01BE793B"/>
    <w:multiLevelType w:val="multilevel"/>
    <w:tmpl w:val="14FEB114"/>
    <w:lvl w:ilvl="0">
      <w:start w:val="1"/>
      <w:numFmt w:val="decimal"/>
      <w:lvlText w:val="%1."/>
      <w:lvlJc w:val="left"/>
      <w:pPr>
        <w:ind w:left="360" w:hanging="360"/>
      </w:pPr>
      <w:rPr>
        <w:rFonts w:hint="default"/>
      </w:rPr>
    </w:lvl>
    <w:lvl w:ilvl="1">
      <w:start w:val="1"/>
      <w:numFmt w:val="decimal"/>
      <w:pStyle w:val="2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01F9666E"/>
    <w:multiLevelType w:val="hybridMultilevel"/>
    <w:tmpl w:val="D626EBF2"/>
    <w:lvl w:ilvl="0" w:tplc="FC32D2C0">
      <w:start w:val="1"/>
      <w:numFmt w:val="decimal"/>
      <w:lvlText w:val="%1."/>
      <w:lvlJc w:val="left"/>
      <w:pPr>
        <w:ind w:left="720" w:hanging="360"/>
      </w:pPr>
      <w:rPr>
        <w:rFonts w:ascii="Calibri" w:hAnsi="Calibri" w:hint="default"/>
        <w:sz w:val="20"/>
      </w:rPr>
    </w:lvl>
    <w:lvl w:ilvl="1" w:tplc="B6DA4506" w:tentative="1">
      <w:start w:val="1"/>
      <w:numFmt w:val="lowerLetter"/>
      <w:lvlText w:val="%2."/>
      <w:lvlJc w:val="left"/>
      <w:pPr>
        <w:ind w:left="1440" w:hanging="360"/>
      </w:pPr>
    </w:lvl>
    <w:lvl w:ilvl="2" w:tplc="79D8C3AA" w:tentative="1">
      <w:start w:val="1"/>
      <w:numFmt w:val="lowerRoman"/>
      <w:lvlText w:val="%3."/>
      <w:lvlJc w:val="right"/>
      <w:pPr>
        <w:ind w:left="2160" w:hanging="180"/>
      </w:pPr>
    </w:lvl>
    <w:lvl w:ilvl="3" w:tplc="D78CB902" w:tentative="1">
      <w:start w:val="1"/>
      <w:numFmt w:val="decimal"/>
      <w:lvlText w:val="%4."/>
      <w:lvlJc w:val="left"/>
      <w:pPr>
        <w:ind w:left="2880" w:hanging="360"/>
      </w:pPr>
    </w:lvl>
    <w:lvl w:ilvl="4" w:tplc="1DDE3D44" w:tentative="1">
      <w:start w:val="1"/>
      <w:numFmt w:val="lowerLetter"/>
      <w:lvlText w:val="%5."/>
      <w:lvlJc w:val="left"/>
      <w:pPr>
        <w:ind w:left="3600" w:hanging="360"/>
      </w:pPr>
    </w:lvl>
    <w:lvl w:ilvl="5" w:tplc="E3BC5202" w:tentative="1">
      <w:start w:val="1"/>
      <w:numFmt w:val="lowerRoman"/>
      <w:lvlText w:val="%6."/>
      <w:lvlJc w:val="right"/>
      <w:pPr>
        <w:ind w:left="4320" w:hanging="180"/>
      </w:pPr>
    </w:lvl>
    <w:lvl w:ilvl="6" w:tplc="AF2CA30C" w:tentative="1">
      <w:start w:val="1"/>
      <w:numFmt w:val="decimal"/>
      <w:lvlText w:val="%7."/>
      <w:lvlJc w:val="left"/>
      <w:pPr>
        <w:ind w:left="5040" w:hanging="360"/>
      </w:pPr>
    </w:lvl>
    <w:lvl w:ilvl="7" w:tplc="76D414DE" w:tentative="1">
      <w:start w:val="1"/>
      <w:numFmt w:val="lowerLetter"/>
      <w:lvlText w:val="%8."/>
      <w:lvlJc w:val="left"/>
      <w:pPr>
        <w:ind w:left="5760" w:hanging="360"/>
      </w:pPr>
    </w:lvl>
    <w:lvl w:ilvl="8" w:tplc="FE12AD4E" w:tentative="1">
      <w:start w:val="1"/>
      <w:numFmt w:val="lowerRoman"/>
      <w:lvlText w:val="%9."/>
      <w:lvlJc w:val="right"/>
      <w:pPr>
        <w:ind w:left="6480" w:hanging="180"/>
      </w:pPr>
    </w:lvl>
  </w:abstractNum>
  <w:abstractNum w:abstractNumId="11" w15:restartNumberingAfterBreak="0">
    <w:nsid w:val="03076387"/>
    <w:multiLevelType w:val="hybridMultilevel"/>
    <w:tmpl w:val="EA16F970"/>
    <w:lvl w:ilvl="0" w:tplc="B68490E0">
      <w:start w:val="1"/>
      <w:numFmt w:val="bullet"/>
      <w:lvlText w:val=""/>
      <w:lvlJc w:val="left"/>
      <w:pPr>
        <w:ind w:left="720" w:hanging="360"/>
      </w:pPr>
      <w:rPr>
        <w:rFonts w:ascii="Symbol" w:hAnsi="Symbol" w:hint="default"/>
      </w:rPr>
    </w:lvl>
    <w:lvl w:ilvl="1" w:tplc="61020E84" w:tentative="1">
      <w:start w:val="1"/>
      <w:numFmt w:val="bullet"/>
      <w:lvlText w:val="o"/>
      <w:lvlJc w:val="left"/>
      <w:pPr>
        <w:ind w:left="1440" w:hanging="360"/>
      </w:pPr>
      <w:rPr>
        <w:rFonts w:ascii="Courier New" w:hAnsi="Courier New" w:cs="Courier New" w:hint="default"/>
      </w:rPr>
    </w:lvl>
    <w:lvl w:ilvl="2" w:tplc="4F7EFEB8" w:tentative="1">
      <w:start w:val="1"/>
      <w:numFmt w:val="bullet"/>
      <w:lvlText w:val=""/>
      <w:lvlJc w:val="left"/>
      <w:pPr>
        <w:ind w:left="2160" w:hanging="360"/>
      </w:pPr>
      <w:rPr>
        <w:rFonts w:ascii="Wingdings" w:hAnsi="Wingdings" w:hint="default"/>
      </w:rPr>
    </w:lvl>
    <w:lvl w:ilvl="3" w:tplc="9AE25D44" w:tentative="1">
      <w:start w:val="1"/>
      <w:numFmt w:val="bullet"/>
      <w:lvlText w:val=""/>
      <w:lvlJc w:val="left"/>
      <w:pPr>
        <w:ind w:left="2880" w:hanging="360"/>
      </w:pPr>
      <w:rPr>
        <w:rFonts w:ascii="Symbol" w:hAnsi="Symbol" w:hint="default"/>
      </w:rPr>
    </w:lvl>
    <w:lvl w:ilvl="4" w:tplc="8638A2BE" w:tentative="1">
      <w:start w:val="1"/>
      <w:numFmt w:val="bullet"/>
      <w:lvlText w:val="o"/>
      <w:lvlJc w:val="left"/>
      <w:pPr>
        <w:ind w:left="3600" w:hanging="360"/>
      </w:pPr>
      <w:rPr>
        <w:rFonts w:ascii="Courier New" w:hAnsi="Courier New" w:cs="Courier New" w:hint="default"/>
      </w:rPr>
    </w:lvl>
    <w:lvl w:ilvl="5" w:tplc="D3B6A058" w:tentative="1">
      <w:start w:val="1"/>
      <w:numFmt w:val="bullet"/>
      <w:lvlText w:val=""/>
      <w:lvlJc w:val="left"/>
      <w:pPr>
        <w:ind w:left="4320" w:hanging="360"/>
      </w:pPr>
      <w:rPr>
        <w:rFonts w:ascii="Wingdings" w:hAnsi="Wingdings" w:hint="default"/>
      </w:rPr>
    </w:lvl>
    <w:lvl w:ilvl="6" w:tplc="DA20B4AE" w:tentative="1">
      <w:start w:val="1"/>
      <w:numFmt w:val="bullet"/>
      <w:lvlText w:val=""/>
      <w:lvlJc w:val="left"/>
      <w:pPr>
        <w:ind w:left="5040" w:hanging="360"/>
      </w:pPr>
      <w:rPr>
        <w:rFonts w:ascii="Symbol" w:hAnsi="Symbol" w:hint="default"/>
      </w:rPr>
    </w:lvl>
    <w:lvl w:ilvl="7" w:tplc="EEC6AD52" w:tentative="1">
      <w:start w:val="1"/>
      <w:numFmt w:val="bullet"/>
      <w:lvlText w:val="o"/>
      <w:lvlJc w:val="left"/>
      <w:pPr>
        <w:ind w:left="5760" w:hanging="360"/>
      </w:pPr>
      <w:rPr>
        <w:rFonts w:ascii="Courier New" w:hAnsi="Courier New" w:cs="Courier New" w:hint="default"/>
      </w:rPr>
    </w:lvl>
    <w:lvl w:ilvl="8" w:tplc="BEE01A68" w:tentative="1">
      <w:start w:val="1"/>
      <w:numFmt w:val="bullet"/>
      <w:lvlText w:val=""/>
      <w:lvlJc w:val="left"/>
      <w:pPr>
        <w:ind w:left="6480" w:hanging="360"/>
      </w:pPr>
      <w:rPr>
        <w:rFonts w:ascii="Wingdings" w:hAnsi="Wingdings" w:hint="default"/>
      </w:rPr>
    </w:lvl>
  </w:abstractNum>
  <w:abstractNum w:abstractNumId="12" w15:restartNumberingAfterBreak="0">
    <w:nsid w:val="03185510"/>
    <w:multiLevelType w:val="hybridMultilevel"/>
    <w:tmpl w:val="126879F4"/>
    <w:lvl w:ilvl="0" w:tplc="E6B8CE3A">
      <w:start w:val="1"/>
      <w:numFmt w:val="bullet"/>
      <w:lvlText w:val=""/>
      <w:lvlJc w:val="left"/>
      <w:pPr>
        <w:tabs>
          <w:tab w:val="num" w:pos="720"/>
        </w:tabs>
        <w:ind w:left="720" w:hanging="360"/>
      </w:pPr>
      <w:rPr>
        <w:rFonts w:ascii="Wingdings" w:hAnsi="Wingdings" w:hint="default"/>
      </w:rPr>
    </w:lvl>
    <w:lvl w:ilvl="1" w:tplc="105C08B2" w:tentative="1">
      <w:start w:val="1"/>
      <w:numFmt w:val="bullet"/>
      <w:lvlText w:val=""/>
      <w:lvlJc w:val="left"/>
      <w:pPr>
        <w:tabs>
          <w:tab w:val="num" w:pos="1440"/>
        </w:tabs>
        <w:ind w:left="1440" w:hanging="360"/>
      </w:pPr>
      <w:rPr>
        <w:rFonts w:ascii="Wingdings" w:hAnsi="Wingdings" w:hint="default"/>
      </w:rPr>
    </w:lvl>
    <w:lvl w:ilvl="2" w:tplc="1200FD98" w:tentative="1">
      <w:start w:val="1"/>
      <w:numFmt w:val="bullet"/>
      <w:lvlText w:val=""/>
      <w:lvlJc w:val="left"/>
      <w:pPr>
        <w:tabs>
          <w:tab w:val="num" w:pos="2160"/>
        </w:tabs>
        <w:ind w:left="2160" w:hanging="360"/>
      </w:pPr>
      <w:rPr>
        <w:rFonts w:ascii="Wingdings" w:hAnsi="Wingdings" w:hint="default"/>
      </w:rPr>
    </w:lvl>
    <w:lvl w:ilvl="3" w:tplc="4E36BDEC" w:tentative="1">
      <w:start w:val="1"/>
      <w:numFmt w:val="bullet"/>
      <w:lvlText w:val=""/>
      <w:lvlJc w:val="left"/>
      <w:pPr>
        <w:tabs>
          <w:tab w:val="num" w:pos="2880"/>
        </w:tabs>
        <w:ind w:left="2880" w:hanging="360"/>
      </w:pPr>
      <w:rPr>
        <w:rFonts w:ascii="Wingdings" w:hAnsi="Wingdings" w:hint="default"/>
      </w:rPr>
    </w:lvl>
    <w:lvl w:ilvl="4" w:tplc="9BCC8962" w:tentative="1">
      <w:start w:val="1"/>
      <w:numFmt w:val="bullet"/>
      <w:lvlText w:val=""/>
      <w:lvlJc w:val="left"/>
      <w:pPr>
        <w:tabs>
          <w:tab w:val="num" w:pos="3600"/>
        </w:tabs>
        <w:ind w:left="3600" w:hanging="360"/>
      </w:pPr>
      <w:rPr>
        <w:rFonts w:ascii="Wingdings" w:hAnsi="Wingdings" w:hint="default"/>
      </w:rPr>
    </w:lvl>
    <w:lvl w:ilvl="5" w:tplc="067C2760" w:tentative="1">
      <w:start w:val="1"/>
      <w:numFmt w:val="bullet"/>
      <w:lvlText w:val=""/>
      <w:lvlJc w:val="left"/>
      <w:pPr>
        <w:tabs>
          <w:tab w:val="num" w:pos="4320"/>
        </w:tabs>
        <w:ind w:left="4320" w:hanging="360"/>
      </w:pPr>
      <w:rPr>
        <w:rFonts w:ascii="Wingdings" w:hAnsi="Wingdings" w:hint="default"/>
      </w:rPr>
    </w:lvl>
    <w:lvl w:ilvl="6" w:tplc="0D3C267A" w:tentative="1">
      <w:start w:val="1"/>
      <w:numFmt w:val="bullet"/>
      <w:lvlText w:val=""/>
      <w:lvlJc w:val="left"/>
      <w:pPr>
        <w:tabs>
          <w:tab w:val="num" w:pos="5040"/>
        </w:tabs>
        <w:ind w:left="5040" w:hanging="360"/>
      </w:pPr>
      <w:rPr>
        <w:rFonts w:ascii="Wingdings" w:hAnsi="Wingdings" w:hint="default"/>
      </w:rPr>
    </w:lvl>
    <w:lvl w:ilvl="7" w:tplc="8F7E75C8" w:tentative="1">
      <w:start w:val="1"/>
      <w:numFmt w:val="bullet"/>
      <w:lvlText w:val=""/>
      <w:lvlJc w:val="left"/>
      <w:pPr>
        <w:tabs>
          <w:tab w:val="num" w:pos="5760"/>
        </w:tabs>
        <w:ind w:left="5760" w:hanging="360"/>
      </w:pPr>
      <w:rPr>
        <w:rFonts w:ascii="Wingdings" w:hAnsi="Wingdings" w:hint="default"/>
      </w:rPr>
    </w:lvl>
    <w:lvl w:ilvl="8" w:tplc="D908C748"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4136FA7"/>
    <w:multiLevelType w:val="hybridMultilevel"/>
    <w:tmpl w:val="3F0638E0"/>
    <w:lvl w:ilvl="0" w:tplc="F38CDA6E">
      <w:start w:val="1"/>
      <w:numFmt w:val="bullet"/>
      <w:lvlText w:val=""/>
      <w:lvlJc w:val="left"/>
      <w:pPr>
        <w:ind w:left="720" w:hanging="360"/>
      </w:pPr>
      <w:rPr>
        <w:rFonts w:ascii="Symbol" w:hAnsi="Symbol" w:hint="default"/>
      </w:rPr>
    </w:lvl>
    <w:lvl w:ilvl="1" w:tplc="718ECCA6" w:tentative="1">
      <w:start w:val="1"/>
      <w:numFmt w:val="bullet"/>
      <w:lvlText w:val="o"/>
      <w:lvlJc w:val="left"/>
      <w:pPr>
        <w:ind w:left="1440" w:hanging="360"/>
      </w:pPr>
      <w:rPr>
        <w:rFonts w:ascii="Courier New" w:hAnsi="Courier New" w:cs="Courier New" w:hint="default"/>
      </w:rPr>
    </w:lvl>
    <w:lvl w:ilvl="2" w:tplc="AF4EB108" w:tentative="1">
      <w:start w:val="1"/>
      <w:numFmt w:val="bullet"/>
      <w:lvlText w:val=""/>
      <w:lvlJc w:val="left"/>
      <w:pPr>
        <w:ind w:left="2160" w:hanging="360"/>
      </w:pPr>
      <w:rPr>
        <w:rFonts w:ascii="Wingdings" w:hAnsi="Wingdings" w:hint="default"/>
      </w:rPr>
    </w:lvl>
    <w:lvl w:ilvl="3" w:tplc="02BA18E2" w:tentative="1">
      <w:start w:val="1"/>
      <w:numFmt w:val="bullet"/>
      <w:lvlText w:val=""/>
      <w:lvlJc w:val="left"/>
      <w:pPr>
        <w:ind w:left="2880" w:hanging="360"/>
      </w:pPr>
      <w:rPr>
        <w:rFonts w:ascii="Symbol" w:hAnsi="Symbol" w:hint="default"/>
      </w:rPr>
    </w:lvl>
    <w:lvl w:ilvl="4" w:tplc="F7B0B742" w:tentative="1">
      <w:start w:val="1"/>
      <w:numFmt w:val="bullet"/>
      <w:lvlText w:val="o"/>
      <w:lvlJc w:val="left"/>
      <w:pPr>
        <w:ind w:left="3600" w:hanging="360"/>
      </w:pPr>
      <w:rPr>
        <w:rFonts w:ascii="Courier New" w:hAnsi="Courier New" w:cs="Courier New" w:hint="default"/>
      </w:rPr>
    </w:lvl>
    <w:lvl w:ilvl="5" w:tplc="E8F25132" w:tentative="1">
      <w:start w:val="1"/>
      <w:numFmt w:val="bullet"/>
      <w:lvlText w:val=""/>
      <w:lvlJc w:val="left"/>
      <w:pPr>
        <w:ind w:left="4320" w:hanging="360"/>
      </w:pPr>
      <w:rPr>
        <w:rFonts w:ascii="Wingdings" w:hAnsi="Wingdings" w:hint="default"/>
      </w:rPr>
    </w:lvl>
    <w:lvl w:ilvl="6" w:tplc="4DEE0CBA" w:tentative="1">
      <w:start w:val="1"/>
      <w:numFmt w:val="bullet"/>
      <w:lvlText w:val=""/>
      <w:lvlJc w:val="left"/>
      <w:pPr>
        <w:ind w:left="5040" w:hanging="360"/>
      </w:pPr>
      <w:rPr>
        <w:rFonts w:ascii="Symbol" w:hAnsi="Symbol" w:hint="default"/>
      </w:rPr>
    </w:lvl>
    <w:lvl w:ilvl="7" w:tplc="93EEB4CA" w:tentative="1">
      <w:start w:val="1"/>
      <w:numFmt w:val="bullet"/>
      <w:lvlText w:val="o"/>
      <w:lvlJc w:val="left"/>
      <w:pPr>
        <w:ind w:left="5760" w:hanging="360"/>
      </w:pPr>
      <w:rPr>
        <w:rFonts w:ascii="Courier New" w:hAnsi="Courier New" w:cs="Courier New" w:hint="default"/>
      </w:rPr>
    </w:lvl>
    <w:lvl w:ilvl="8" w:tplc="25C68DCC" w:tentative="1">
      <w:start w:val="1"/>
      <w:numFmt w:val="bullet"/>
      <w:lvlText w:val=""/>
      <w:lvlJc w:val="left"/>
      <w:pPr>
        <w:ind w:left="6480" w:hanging="360"/>
      </w:pPr>
      <w:rPr>
        <w:rFonts w:ascii="Wingdings" w:hAnsi="Wingdings" w:hint="default"/>
      </w:rPr>
    </w:lvl>
  </w:abstractNum>
  <w:abstractNum w:abstractNumId="14" w15:restartNumberingAfterBreak="0">
    <w:nsid w:val="04362822"/>
    <w:multiLevelType w:val="hybridMultilevel"/>
    <w:tmpl w:val="D166C856"/>
    <w:lvl w:ilvl="0" w:tplc="878ED31A">
      <w:start w:val="1"/>
      <w:numFmt w:val="bullet"/>
      <w:lvlText w:val=""/>
      <w:lvlJc w:val="left"/>
      <w:pPr>
        <w:ind w:left="720" w:hanging="360"/>
      </w:pPr>
      <w:rPr>
        <w:rFonts w:ascii="Symbol" w:hAnsi="Symbol" w:hint="default"/>
      </w:rPr>
    </w:lvl>
    <w:lvl w:ilvl="1" w:tplc="2AD20664" w:tentative="1">
      <w:start w:val="1"/>
      <w:numFmt w:val="bullet"/>
      <w:lvlText w:val="o"/>
      <w:lvlJc w:val="left"/>
      <w:pPr>
        <w:ind w:left="1440" w:hanging="360"/>
      </w:pPr>
      <w:rPr>
        <w:rFonts w:ascii="Courier New" w:hAnsi="Courier New" w:cs="Courier New" w:hint="default"/>
      </w:rPr>
    </w:lvl>
    <w:lvl w:ilvl="2" w:tplc="876E19B6" w:tentative="1">
      <w:start w:val="1"/>
      <w:numFmt w:val="bullet"/>
      <w:lvlText w:val=""/>
      <w:lvlJc w:val="left"/>
      <w:pPr>
        <w:ind w:left="2160" w:hanging="360"/>
      </w:pPr>
      <w:rPr>
        <w:rFonts w:ascii="Wingdings" w:hAnsi="Wingdings" w:hint="default"/>
      </w:rPr>
    </w:lvl>
    <w:lvl w:ilvl="3" w:tplc="ACD61A60" w:tentative="1">
      <w:start w:val="1"/>
      <w:numFmt w:val="bullet"/>
      <w:lvlText w:val=""/>
      <w:lvlJc w:val="left"/>
      <w:pPr>
        <w:ind w:left="2880" w:hanging="360"/>
      </w:pPr>
      <w:rPr>
        <w:rFonts w:ascii="Symbol" w:hAnsi="Symbol" w:hint="default"/>
      </w:rPr>
    </w:lvl>
    <w:lvl w:ilvl="4" w:tplc="3CAC0B64" w:tentative="1">
      <w:start w:val="1"/>
      <w:numFmt w:val="bullet"/>
      <w:lvlText w:val="o"/>
      <w:lvlJc w:val="left"/>
      <w:pPr>
        <w:ind w:left="3600" w:hanging="360"/>
      </w:pPr>
      <w:rPr>
        <w:rFonts w:ascii="Courier New" w:hAnsi="Courier New" w:cs="Courier New" w:hint="default"/>
      </w:rPr>
    </w:lvl>
    <w:lvl w:ilvl="5" w:tplc="3F26F67E" w:tentative="1">
      <w:start w:val="1"/>
      <w:numFmt w:val="bullet"/>
      <w:lvlText w:val=""/>
      <w:lvlJc w:val="left"/>
      <w:pPr>
        <w:ind w:left="4320" w:hanging="360"/>
      </w:pPr>
      <w:rPr>
        <w:rFonts w:ascii="Wingdings" w:hAnsi="Wingdings" w:hint="default"/>
      </w:rPr>
    </w:lvl>
    <w:lvl w:ilvl="6" w:tplc="F52E88D6" w:tentative="1">
      <w:start w:val="1"/>
      <w:numFmt w:val="bullet"/>
      <w:lvlText w:val=""/>
      <w:lvlJc w:val="left"/>
      <w:pPr>
        <w:ind w:left="5040" w:hanging="360"/>
      </w:pPr>
      <w:rPr>
        <w:rFonts w:ascii="Symbol" w:hAnsi="Symbol" w:hint="default"/>
      </w:rPr>
    </w:lvl>
    <w:lvl w:ilvl="7" w:tplc="E4F0802E" w:tentative="1">
      <w:start w:val="1"/>
      <w:numFmt w:val="bullet"/>
      <w:lvlText w:val="o"/>
      <w:lvlJc w:val="left"/>
      <w:pPr>
        <w:ind w:left="5760" w:hanging="360"/>
      </w:pPr>
      <w:rPr>
        <w:rFonts w:ascii="Courier New" w:hAnsi="Courier New" w:cs="Courier New" w:hint="default"/>
      </w:rPr>
    </w:lvl>
    <w:lvl w:ilvl="8" w:tplc="DF6821B0" w:tentative="1">
      <w:start w:val="1"/>
      <w:numFmt w:val="bullet"/>
      <w:lvlText w:val=""/>
      <w:lvlJc w:val="left"/>
      <w:pPr>
        <w:ind w:left="6480" w:hanging="360"/>
      </w:pPr>
      <w:rPr>
        <w:rFonts w:ascii="Wingdings" w:hAnsi="Wingdings" w:hint="default"/>
      </w:rPr>
    </w:lvl>
  </w:abstractNum>
  <w:abstractNum w:abstractNumId="15" w15:restartNumberingAfterBreak="0">
    <w:nsid w:val="064F3F53"/>
    <w:multiLevelType w:val="hybridMultilevel"/>
    <w:tmpl w:val="1FBA9C0C"/>
    <w:lvl w:ilvl="0" w:tplc="0360D56A">
      <w:start w:val="1"/>
      <w:numFmt w:val="decimal"/>
      <w:lvlText w:val="%1."/>
      <w:lvlJc w:val="left"/>
      <w:pPr>
        <w:ind w:left="360" w:hanging="360"/>
      </w:pPr>
      <w:rPr>
        <w:rFonts w:hint="default"/>
      </w:rPr>
    </w:lvl>
    <w:lvl w:ilvl="1" w:tplc="EF620E8A" w:tentative="1">
      <w:start w:val="1"/>
      <w:numFmt w:val="lowerLetter"/>
      <w:lvlText w:val="%2."/>
      <w:lvlJc w:val="left"/>
      <w:pPr>
        <w:ind w:left="1080" w:hanging="360"/>
      </w:pPr>
    </w:lvl>
    <w:lvl w:ilvl="2" w:tplc="2B84C2F2" w:tentative="1">
      <w:start w:val="1"/>
      <w:numFmt w:val="lowerRoman"/>
      <w:lvlText w:val="%3."/>
      <w:lvlJc w:val="right"/>
      <w:pPr>
        <w:ind w:left="1800" w:hanging="180"/>
      </w:pPr>
    </w:lvl>
    <w:lvl w:ilvl="3" w:tplc="4EB04206" w:tentative="1">
      <w:start w:val="1"/>
      <w:numFmt w:val="decimal"/>
      <w:lvlText w:val="%4."/>
      <w:lvlJc w:val="left"/>
      <w:pPr>
        <w:ind w:left="2520" w:hanging="360"/>
      </w:pPr>
    </w:lvl>
    <w:lvl w:ilvl="4" w:tplc="3EB4F0DE" w:tentative="1">
      <w:start w:val="1"/>
      <w:numFmt w:val="lowerLetter"/>
      <w:lvlText w:val="%5."/>
      <w:lvlJc w:val="left"/>
      <w:pPr>
        <w:ind w:left="3240" w:hanging="360"/>
      </w:pPr>
    </w:lvl>
    <w:lvl w:ilvl="5" w:tplc="1C16DDF2" w:tentative="1">
      <w:start w:val="1"/>
      <w:numFmt w:val="lowerRoman"/>
      <w:lvlText w:val="%6."/>
      <w:lvlJc w:val="right"/>
      <w:pPr>
        <w:ind w:left="3960" w:hanging="180"/>
      </w:pPr>
    </w:lvl>
    <w:lvl w:ilvl="6" w:tplc="4B00A1C8" w:tentative="1">
      <w:start w:val="1"/>
      <w:numFmt w:val="decimal"/>
      <w:lvlText w:val="%7."/>
      <w:lvlJc w:val="left"/>
      <w:pPr>
        <w:ind w:left="4680" w:hanging="360"/>
      </w:pPr>
    </w:lvl>
    <w:lvl w:ilvl="7" w:tplc="101EC91E" w:tentative="1">
      <w:start w:val="1"/>
      <w:numFmt w:val="lowerLetter"/>
      <w:lvlText w:val="%8."/>
      <w:lvlJc w:val="left"/>
      <w:pPr>
        <w:ind w:left="5400" w:hanging="360"/>
      </w:pPr>
    </w:lvl>
    <w:lvl w:ilvl="8" w:tplc="0C10FCCA" w:tentative="1">
      <w:start w:val="1"/>
      <w:numFmt w:val="lowerRoman"/>
      <w:lvlText w:val="%9."/>
      <w:lvlJc w:val="right"/>
      <w:pPr>
        <w:ind w:left="6120" w:hanging="180"/>
      </w:pPr>
    </w:lvl>
  </w:abstractNum>
  <w:abstractNum w:abstractNumId="16" w15:restartNumberingAfterBreak="0">
    <w:nsid w:val="068E3234"/>
    <w:multiLevelType w:val="multilevel"/>
    <w:tmpl w:val="7D988C2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440" w:hanging="108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1800" w:hanging="1440"/>
      </w:pPr>
      <w:rPr>
        <w:rFonts w:hint="default"/>
        <w:color w:val="auto"/>
      </w:rPr>
    </w:lvl>
  </w:abstractNum>
  <w:abstractNum w:abstractNumId="17" w15:restartNumberingAfterBreak="0">
    <w:nsid w:val="083636CC"/>
    <w:multiLevelType w:val="hybridMultilevel"/>
    <w:tmpl w:val="DD60641E"/>
    <w:lvl w:ilvl="0" w:tplc="E7986E1E">
      <w:start w:val="1"/>
      <w:numFmt w:val="decimal"/>
      <w:lvlText w:val="%1."/>
      <w:lvlJc w:val="left"/>
      <w:pPr>
        <w:ind w:left="720" w:hanging="360"/>
      </w:pPr>
      <w:rPr>
        <w:rFonts w:hint="default"/>
      </w:rPr>
    </w:lvl>
    <w:lvl w:ilvl="1" w:tplc="CC6E3E78" w:tentative="1">
      <w:start w:val="1"/>
      <w:numFmt w:val="lowerLetter"/>
      <w:lvlText w:val="%2."/>
      <w:lvlJc w:val="left"/>
      <w:pPr>
        <w:ind w:left="1440" w:hanging="360"/>
      </w:pPr>
    </w:lvl>
    <w:lvl w:ilvl="2" w:tplc="0844662E" w:tentative="1">
      <w:start w:val="1"/>
      <w:numFmt w:val="lowerRoman"/>
      <w:lvlText w:val="%3."/>
      <w:lvlJc w:val="right"/>
      <w:pPr>
        <w:ind w:left="2160" w:hanging="180"/>
      </w:pPr>
    </w:lvl>
    <w:lvl w:ilvl="3" w:tplc="80D2946C" w:tentative="1">
      <w:start w:val="1"/>
      <w:numFmt w:val="decimal"/>
      <w:lvlText w:val="%4."/>
      <w:lvlJc w:val="left"/>
      <w:pPr>
        <w:ind w:left="2880" w:hanging="360"/>
      </w:pPr>
    </w:lvl>
    <w:lvl w:ilvl="4" w:tplc="748A5892" w:tentative="1">
      <w:start w:val="1"/>
      <w:numFmt w:val="lowerLetter"/>
      <w:lvlText w:val="%5."/>
      <w:lvlJc w:val="left"/>
      <w:pPr>
        <w:ind w:left="3600" w:hanging="360"/>
      </w:pPr>
    </w:lvl>
    <w:lvl w:ilvl="5" w:tplc="656C4734" w:tentative="1">
      <w:start w:val="1"/>
      <w:numFmt w:val="lowerRoman"/>
      <w:lvlText w:val="%6."/>
      <w:lvlJc w:val="right"/>
      <w:pPr>
        <w:ind w:left="4320" w:hanging="180"/>
      </w:pPr>
    </w:lvl>
    <w:lvl w:ilvl="6" w:tplc="220212B2" w:tentative="1">
      <w:start w:val="1"/>
      <w:numFmt w:val="decimal"/>
      <w:lvlText w:val="%7."/>
      <w:lvlJc w:val="left"/>
      <w:pPr>
        <w:ind w:left="5040" w:hanging="360"/>
      </w:pPr>
    </w:lvl>
    <w:lvl w:ilvl="7" w:tplc="8EB8AA9C" w:tentative="1">
      <w:start w:val="1"/>
      <w:numFmt w:val="lowerLetter"/>
      <w:lvlText w:val="%8."/>
      <w:lvlJc w:val="left"/>
      <w:pPr>
        <w:ind w:left="5760" w:hanging="360"/>
      </w:pPr>
    </w:lvl>
    <w:lvl w:ilvl="8" w:tplc="912A646A" w:tentative="1">
      <w:start w:val="1"/>
      <w:numFmt w:val="lowerRoman"/>
      <w:lvlText w:val="%9."/>
      <w:lvlJc w:val="right"/>
      <w:pPr>
        <w:ind w:left="6480" w:hanging="180"/>
      </w:pPr>
    </w:lvl>
  </w:abstractNum>
  <w:abstractNum w:abstractNumId="18" w15:restartNumberingAfterBreak="0">
    <w:nsid w:val="08401E21"/>
    <w:multiLevelType w:val="hybridMultilevel"/>
    <w:tmpl w:val="020AA052"/>
    <w:lvl w:ilvl="0" w:tplc="9552FAEE">
      <w:start w:val="1"/>
      <w:numFmt w:val="decimal"/>
      <w:lvlText w:val="%1."/>
      <w:lvlJc w:val="left"/>
      <w:pPr>
        <w:ind w:left="720" w:hanging="360"/>
      </w:pPr>
    </w:lvl>
    <w:lvl w:ilvl="1" w:tplc="363269B6">
      <w:start w:val="1"/>
      <w:numFmt w:val="lowerLetter"/>
      <w:lvlText w:val="%2."/>
      <w:lvlJc w:val="left"/>
      <w:pPr>
        <w:ind w:left="1440" w:hanging="360"/>
      </w:pPr>
    </w:lvl>
    <w:lvl w:ilvl="2" w:tplc="FA9CD366">
      <w:start w:val="1"/>
      <w:numFmt w:val="lowerRoman"/>
      <w:lvlText w:val="%3."/>
      <w:lvlJc w:val="right"/>
      <w:pPr>
        <w:ind w:left="2160" w:hanging="180"/>
      </w:pPr>
    </w:lvl>
    <w:lvl w:ilvl="3" w:tplc="994A2630">
      <w:start w:val="1"/>
      <w:numFmt w:val="decimal"/>
      <w:lvlText w:val="%4."/>
      <w:lvlJc w:val="left"/>
      <w:pPr>
        <w:ind w:left="2880" w:hanging="360"/>
      </w:pPr>
    </w:lvl>
    <w:lvl w:ilvl="4" w:tplc="75A47938">
      <w:start w:val="1"/>
      <w:numFmt w:val="lowerLetter"/>
      <w:lvlText w:val="%5."/>
      <w:lvlJc w:val="left"/>
      <w:pPr>
        <w:ind w:left="3600" w:hanging="360"/>
      </w:pPr>
    </w:lvl>
    <w:lvl w:ilvl="5" w:tplc="F132CA2E">
      <w:start w:val="1"/>
      <w:numFmt w:val="lowerRoman"/>
      <w:lvlText w:val="%6."/>
      <w:lvlJc w:val="right"/>
      <w:pPr>
        <w:ind w:left="4320" w:hanging="180"/>
      </w:pPr>
    </w:lvl>
    <w:lvl w:ilvl="6" w:tplc="D374B014">
      <w:start w:val="1"/>
      <w:numFmt w:val="decimal"/>
      <w:lvlText w:val="%7."/>
      <w:lvlJc w:val="left"/>
      <w:pPr>
        <w:ind w:left="5040" w:hanging="360"/>
      </w:pPr>
    </w:lvl>
    <w:lvl w:ilvl="7" w:tplc="61B285D2">
      <w:start w:val="1"/>
      <w:numFmt w:val="lowerLetter"/>
      <w:lvlText w:val="%8."/>
      <w:lvlJc w:val="left"/>
      <w:pPr>
        <w:ind w:left="5760" w:hanging="360"/>
      </w:pPr>
    </w:lvl>
    <w:lvl w:ilvl="8" w:tplc="46D49F1E">
      <w:start w:val="1"/>
      <w:numFmt w:val="lowerRoman"/>
      <w:lvlText w:val="%9."/>
      <w:lvlJc w:val="right"/>
      <w:pPr>
        <w:ind w:left="6480" w:hanging="180"/>
      </w:pPr>
    </w:lvl>
  </w:abstractNum>
  <w:abstractNum w:abstractNumId="19" w15:restartNumberingAfterBreak="0">
    <w:nsid w:val="09467B0B"/>
    <w:multiLevelType w:val="hybridMultilevel"/>
    <w:tmpl w:val="6D1AE334"/>
    <w:lvl w:ilvl="0" w:tplc="AE8E3380">
      <w:start w:val="1"/>
      <w:numFmt w:val="bullet"/>
      <w:lvlText w:val=""/>
      <w:lvlJc w:val="left"/>
      <w:pPr>
        <w:tabs>
          <w:tab w:val="num" w:pos="1260"/>
        </w:tabs>
        <w:ind w:left="1260" w:hanging="360"/>
      </w:pPr>
      <w:rPr>
        <w:rFonts w:ascii="Symbol" w:hAnsi="Symbol" w:hint="default"/>
      </w:rPr>
    </w:lvl>
    <w:lvl w:ilvl="1" w:tplc="3A486D20" w:tentative="1">
      <w:start w:val="1"/>
      <w:numFmt w:val="bullet"/>
      <w:lvlText w:val="o"/>
      <w:lvlJc w:val="left"/>
      <w:pPr>
        <w:tabs>
          <w:tab w:val="num" w:pos="1980"/>
        </w:tabs>
        <w:ind w:left="1980" w:hanging="360"/>
      </w:pPr>
      <w:rPr>
        <w:rFonts w:ascii="Courier New" w:hAnsi="Courier New" w:cs="Courier New" w:hint="default"/>
      </w:rPr>
    </w:lvl>
    <w:lvl w:ilvl="2" w:tplc="D99E2D3A" w:tentative="1">
      <w:start w:val="1"/>
      <w:numFmt w:val="bullet"/>
      <w:lvlText w:val=""/>
      <w:lvlJc w:val="left"/>
      <w:pPr>
        <w:tabs>
          <w:tab w:val="num" w:pos="2700"/>
        </w:tabs>
        <w:ind w:left="2700" w:hanging="360"/>
      </w:pPr>
      <w:rPr>
        <w:rFonts w:ascii="Wingdings" w:hAnsi="Wingdings" w:hint="default"/>
      </w:rPr>
    </w:lvl>
    <w:lvl w:ilvl="3" w:tplc="51689922" w:tentative="1">
      <w:start w:val="1"/>
      <w:numFmt w:val="bullet"/>
      <w:lvlText w:val=""/>
      <w:lvlJc w:val="left"/>
      <w:pPr>
        <w:tabs>
          <w:tab w:val="num" w:pos="3420"/>
        </w:tabs>
        <w:ind w:left="3420" w:hanging="360"/>
      </w:pPr>
      <w:rPr>
        <w:rFonts w:ascii="Symbol" w:hAnsi="Symbol" w:hint="default"/>
      </w:rPr>
    </w:lvl>
    <w:lvl w:ilvl="4" w:tplc="28A6BE8A" w:tentative="1">
      <w:start w:val="1"/>
      <w:numFmt w:val="bullet"/>
      <w:lvlText w:val="o"/>
      <w:lvlJc w:val="left"/>
      <w:pPr>
        <w:tabs>
          <w:tab w:val="num" w:pos="4140"/>
        </w:tabs>
        <w:ind w:left="4140" w:hanging="360"/>
      </w:pPr>
      <w:rPr>
        <w:rFonts w:ascii="Courier New" w:hAnsi="Courier New" w:cs="Courier New" w:hint="default"/>
      </w:rPr>
    </w:lvl>
    <w:lvl w:ilvl="5" w:tplc="5D444D10" w:tentative="1">
      <w:start w:val="1"/>
      <w:numFmt w:val="bullet"/>
      <w:lvlText w:val=""/>
      <w:lvlJc w:val="left"/>
      <w:pPr>
        <w:tabs>
          <w:tab w:val="num" w:pos="4860"/>
        </w:tabs>
        <w:ind w:left="4860" w:hanging="360"/>
      </w:pPr>
      <w:rPr>
        <w:rFonts w:ascii="Wingdings" w:hAnsi="Wingdings" w:hint="default"/>
      </w:rPr>
    </w:lvl>
    <w:lvl w:ilvl="6" w:tplc="D9ECCF18" w:tentative="1">
      <w:start w:val="1"/>
      <w:numFmt w:val="bullet"/>
      <w:lvlText w:val=""/>
      <w:lvlJc w:val="left"/>
      <w:pPr>
        <w:tabs>
          <w:tab w:val="num" w:pos="5580"/>
        </w:tabs>
        <w:ind w:left="5580" w:hanging="360"/>
      </w:pPr>
      <w:rPr>
        <w:rFonts w:ascii="Symbol" w:hAnsi="Symbol" w:hint="default"/>
      </w:rPr>
    </w:lvl>
    <w:lvl w:ilvl="7" w:tplc="42B69AB0" w:tentative="1">
      <w:start w:val="1"/>
      <w:numFmt w:val="bullet"/>
      <w:lvlText w:val="o"/>
      <w:lvlJc w:val="left"/>
      <w:pPr>
        <w:tabs>
          <w:tab w:val="num" w:pos="6300"/>
        </w:tabs>
        <w:ind w:left="6300" w:hanging="360"/>
      </w:pPr>
      <w:rPr>
        <w:rFonts w:ascii="Courier New" w:hAnsi="Courier New" w:cs="Courier New" w:hint="default"/>
      </w:rPr>
    </w:lvl>
    <w:lvl w:ilvl="8" w:tplc="BBD8D9F8" w:tentative="1">
      <w:start w:val="1"/>
      <w:numFmt w:val="bullet"/>
      <w:lvlText w:val=""/>
      <w:lvlJc w:val="left"/>
      <w:pPr>
        <w:tabs>
          <w:tab w:val="num" w:pos="7020"/>
        </w:tabs>
        <w:ind w:left="7020" w:hanging="360"/>
      </w:pPr>
      <w:rPr>
        <w:rFonts w:ascii="Wingdings" w:hAnsi="Wingdings" w:hint="default"/>
      </w:rPr>
    </w:lvl>
  </w:abstractNum>
  <w:abstractNum w:abstractNumId="20" w15:restartNumberingAfterBreak="0">
    <w:nsid w:val="09AF3EFB"/>
    <w:multiLevelType w:val="hybridMultilevel"/>
    <w:tmpl w:val="E89AF0F2"/>
    <w:lvl w:ilvl="0" w:tplc="09D0B10A">
      <w:start w:val="1"/>
      <w:numFmt w:val="bullet"/>
      <w:lvlText w:val=""/>
      <w:lvlJc w:val="left"/>
      <w:pPr>
        <w:tabs>
          <w:tab w:val="num" w:pos="1260"/>
        </w:tabs>
        <w:ind w:left="1260" w:hanging="360"/>
      </w:pPr>
      <w:rPr>
        <w:rFonts w:ascii="Wingdings" w:hAnsi="Wingdings" w:hint="default"/>
      </w:rPr>
    </w:lvl>
    <w:lvl w:ilvl="1" w:tplc="4CEA0F04" w:tentative="1">
      <w:start w:val="1"/>
      <w:numFmt w:val="bullet"/>
      <w:lvlText w:val="o"/>
      <w:lvlJc w:val="left"/>
      <w:pPr>
        <w:tabs>
          <w:tab w:val="num" w:pos="1980"/>
        </w:tabs>
        <w:ind w:left="1980" w:hanging="360"/>
      </w:pPr>
      <w:rPr>
        <w:rFonts w:ascii="Courier New" w:hAnsi="Courier New" w:cs="Courier New" w:hint="default"/>
      </w:rPr>
    </w:lvl>
    <w:lvl w:ilvl="2" w:tplc="764E0608" w:tentative="1">
      <w:start w:val="1"/>
      <w:numFmt w:val="bullet"/>
      <w:lvlText w:val=""/>
      <w:lvlJc w:val="left"/>
      <w:pPr>
        <w:tabs>
          <w:tab w:val="num" w:pos="2700"/>
        </w:tabs>
        <w:ind w:left="2700" w:hanging="360"/>
      </w:pPr>
      <w:rPr>
        <w:rFonts w:ascii="Wingdings" w:hAnsi="Wingdings" w:hint="default"/>
      </w:rPr>
    </w:lvl>
    <w:lvl w:ilvl="3" w:tplc="ABAA1716" w:tentative="1">
      <w:start w:val="1"/>
      <w:numFmt w:val="bullet"/>
      <w:lvlText w:val=""/>
      <w:lvlJc w:val="left"/>
      <w:pPr>
        <w:tabs>
          <w:tab w:val="num" w:pos="3420"/>
        </w:tabs>
        <w:ind w:left="3420" w:hanging="360"/>
      </w:pPr>
      <w:rPr>
        <w:rFonts w:ascii="Symbol" w:hAnsi="Symbol" w:hint="default"/>
      </w:rPr>
    </w:lvl>
    <w:lvl w:ilvl="4" w:tplc="F684C018" w:tentative="1">
      <w:start w:val="1"/>
      <w:numFmt w:val="bullet"/>
      <w:lvlText w:val="o"/>
      <w:lvlJc w:val="left"/>
      <w:pPr>
        <w:tabs>
          <w:tab w:val="num" w:pos="4140"/>
        </w:tabs>
        <w:ind w:left="4140" w:hanging="360"/>
      </w:pPr>
      <w:rPr>
        <w:rFonts w:ascii="Courier New" w:hAnsi="Courier New" w:cs="Courier New" w:hint="default"/>
      </w:rPr>
    </w:lvl>
    <w:lvl w:ilvl="5" w:tplc="ECB09F3A" w:tentative="1">
      <w:start w:val="1"/>
      <w:numFmt w:val="bullet"/>
      <w:lvlText w:val=""/>
      <w:lvlJc w:val="left"/>
      <w:pPr>
        <w:tabs>
          <w:tab w:val="num" w:pos="4860"/>
        </w:tabs>
        <w:ind w:left="4860" w:hanging="360"/>
      </w:pPr>
      <w:rPr>
        <w:rFonts w:ascii="Wingdings" w:hAnsi="Wingdings" w:hint="default"/>
      </w:rPr>
    </w:lvl>
    <w:lvl w:ilvl="6" w:tplc="FA2881CA" w:tentative="1">
      <w:start w:val="1"/>
      <w:numFmt w:val="bullet"/>
      <w:lvlText w:val=""/>
      <w:lvlJc w:val="left"/>
      <w:pPr>
        <w:tabs>
          <w:tab w:val="num" w:pos="5580"/>
        </w:tabs>
        <w:ind w:left="5580" w:hanging="360"/>
      </w:pPr>
      <w:rPr>
        <w:rFonts w:ascii="Symbol" w:hAnsi="Symbol" w:hint="default"/>
      </w:rPr>
    </w:lvl>
    <w:lvl w:ilvl="7" w:tplc="86B0991A" w:tentative="1">
      <w:start w:val="1"/>
      <w:numFmt w:val="bullet"/>
      <w:lvlText w:val="o"/>
      <w:lvlJc w:val="left"/>
      <w:pPr>
        <w:tabs>
          <w:tab w:val="num" w:pos="6300"/>
        </w:tabs>
        <w:ind w:left="6300" w:hanging="360"/>
      </w:pPr>
      <w:rPr>
        <w:rFonts w:ascii="Courier New" w:hAnsi="Courier New" w:cs="Courier New" w:hint="default"/>
      </w:rPr>
    </w:lvl>
    <w:lvl w:ilvl="8" w:tplc="09C407DC" w:tentative="1">
      <w:start w:val="1"/>
      <w:numFmt w:val="bullet"/>
      <w:lvlText w:val=""/>
      <w:lvlJc w:val="left"/>
      <w:pPr>
        <w:tabs>
          <w:tab w:val="num" w:pos="7020"/>
        </w:tabs>
        <w:ind w:left="7020" w:hanging="360"/>
      </w:pPr>
      <w:rPr>
        <w:rFonts w:ascii="Wingdings" w:hAnsi="Wingdings" w:hint="default"/>
      </w:rPr>
    </w:lvl>
  </w:abstractNum>
  <w:abstractNum w:abstractNumId="21" w15:restartNumberingAfterBreak="0">
    <w:nsid w:val="0B1C720B"/>
    <w:multiLevelType w:val="hybridMultilevel"/>
    <w:tmpl w:val="50541072"/>
    <w:lvl w:ilvl="0" w:tplc="C082F3CC">
      <w:start w:val="1"/>
      <w:numFmt w:val="bullet"/>
      <w:lvlText w:val=""/>
      <w:lvlJc w:val="left"/>
      <w:pPr>
        <w:ind w:left="720" w:hanging="360"/>
      </w:pPr>
      <w:rPr>
        <w:rFonts w:ascii="Wingdings" w:hAnsi="Wingdings" w:hint="default"/>
      </w:rPr>
    </w:lvl>
    <w:lvl w:ilvl="1" w:tplc="6BFE744E" w:tentative="1">
      <w:start w:val="1"/>
      <w:numFmt w:val="bullet"/>
      <w:lvlText w:val="o"/>
      <w:lvlJc w:val="left"/>
      <w:pPr>
        <w:ind w:left="1440" w:hanging="360"/>
      </w:pPr>
      <w:rPr>
        <w:rFonts w:ascii="Courier New" w:hAnsi="Courier New" w:cs="Courier New" w:hint="default"/>
      </w:rPr>
    </w:lvl>
    <w:lvl w:ilvl="2" w:tplc="3D9E57BE" w:tentative="1">
      <w:start w:val="1"/>
      <w:numFmt w:val="bullet"/>
      <w:lvlText w:val=""/>
      <w:lvlJc w:val="left"/>
      <w:pPr>
        <w:ind w:left="2160" w:hanging="360"/>
      </w:pPr>
      <w:rPr>
        <w:rFonts w:ascii="Wingdings" w:hAnsi="Wingdings" w:hint="default"/>
      </w:rPr>
    </w:lvl>
    <w:lvl w:ilvl="3" w:tplc="877C3008" w:tentative="1">
      <w:start w:val="1"/>
      <w:numFmt w:val="bullet"/>
      <w:lvlText w:val=""/>
      <w:lvlJc w:val="left"/>
      <w:pPr>
        <w:ind w:left="2880" w:hanging="360"/>
      </w:pPr>
      <w:rPr>
        <w:rFonts w:ascii="Symbol" w:hAnsi="Symbol" w:hint="default"/>
      </w:rPr>
    </w:lvl>
    <w:lvl w:ilvl="4" w:tplc="EC145986" w:tentative="1">
      <w:start w:val="1"/>
      <w:numFmt w:val="bullet"/>
      <w:lvlText w:val="o"/>
      <w:lvlJc w:val="left"/>
      <w:pPr>
        <w:ind w:left="3600" w:hanging="360"/>
      </w:pPr>
      <w:rPr>
        <w:rFonts w:ascii="Courier New" w:hAnsi="Courier New" w:cs="Courier New" w:hint="default"/>
      </w:rPr>
    </w:lvl>
    <w:lvl w:ilvl="5" w:tplc="C562DA40" w:tentative="1">
      <w:start w:val="1"/>
      <w:numFmt w:val="bullet"/>
      <w:lvlText w:val=""/>
      <w:lvlJc w:val="left"/>
      <w:pPr>
        <w:ind w:left="4320" w:hanging="360"/>
      </w:pPr>
      <w:rPr>
        <w:rFonts w:ascii="Wingdings" w:hAnsi="Wingdings" w:hint="default"/>
      </w:rPr>
    </w:lvl>
    <w:lvl w:ilvl="6" w:tplc="58308E1C" w:tentative="1">
      <w:start w:val="1"/>
      <w:numFmt w:val="bullet"/>
      <w:lvlText w:val=""/>
      <w:lvlJc w:val="left"/>
      <w:pPr>
        <w:ind w:left="5040" w:hanging="360"/>
      </w:pPr>
      <w:rPr>
        <w:rFonts w:ascii="Symbol" w:hAnsi="Symbol" w:hint="default"/>
      </w:rPr>
    </w:lvl>
    <w:lvl w:ilvl="7" w:tplc="4CBC2022" w:tentative="1">
      <w:start w:val="1"/>
      <w:numFmt w:val="bullet"/>
      <w:lvlText w:val="o"/>
      <w:lvlJc w:val="left"/>
      <w:pPr>
        <w:ind w:left="5760" w:hanging="360"/>
      </w:pPr>
      <w:rPr>
        <w:rFonts w:ascii="Courier New" w:hAnsi="Courier New" w:cs="Courier New" w:hint="default"/>
      </w:rPr>
    </w:lvl>
    <w:lvl w:ilvl="8" w:tplc="19426C9C" w:tentative="1">
      <w:start w:val="1"/>
      <w:numFmt w:val="bullet"/>
      <w:lvlText w:val=""/>
      <w:lvlJc w:val="left"/>
      <w:pPr>
        <w:ind w:left="6480" w:hanging="360"/>
      </w:pPr>
      <w:rPr>
        <w:rFonts w:ascii="Wingdings" w:hAnsi="Wingdings" w:hint="default"/>
      </w:rPr>
    </w:lvl>
  </w:abstractNum>
  <w:abstractNum w:abstractNumId="22" w15:restartNumberingAfterBreak="0">
    <w:nsid w:val="0C107C73"/>
    <w:multiLevelType w:val="multilevel"/>
    <w:tmpl w:val="D3FC1E7E"/>
    <w:lvl w:ilvl="0">
      <w:start w:val="1"/>
      <w:numFmt w:val="decimal"/>
      <w:lvlText w:val="%1."/>
      <w:lvlJc w:val="left"/>
      <w:pPr>
        <w:ind w:left="1080" w:hanging="360"/>
      </w:pPr>
      <w:rPr>
        <w:rFonts w:hint="default"/>
      </w:rPr>
    </w:lvl>
    <w:lvl w:ilvl="1">
      <w:start w:val="1"/>
      <w:numFmt w:val="decimal"/>
      <w:lvlText w:val="6.%2."/>
      <w:lvlJc w:val="left"/>
      <w:pPr>
        <w:ind w:left="1212" w:hanging="36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3" w15:restartNumberingAfterBreak="0">
    <w:nsid w:val="0D0531E0"/>
    <w:multiLevelType w:val="hybridMultilevel"/>
    <w:tmpl w:val="FAB22A0C"/>
    <w:lvl w:ilvl="0" w:tplc="847AA128">
      <w:start w:val="1"/>
      <w:numFmt w:val="bullet"/>
      <w:lvlText w:val=""/>
      <w:lvlJc w:val="left"/>
      <w:pPr>
        <w:ind w:left="1429" w:hanging="360"/>
      </w:pPr>
      <w:rPr>
        <w:rFonts w:ascii="Symbol" w:hAnsi="Symbol" w:hint="default"/>
      </w:rPr>
    </w:lvl>
    <w:lvl w:ilvl="1" w:tplc="E73C9234" w:tentative="1">
      <w:start w:val="1"/>
      <w:numFmt w:val="bullet"/>
      <w:lvlText w:val="o"/>
      <w:lvlJc w:val="left"/>
      <w:pPr>
        <w:ind w:left="2149" w:hanging="360"/>
      </w:pPr>
      <w:rPr>
        <w:rFonts w:ascii="Courier New" w:hAnsi="Courier New" w:cs="Courier New" w:hint="default"/>
      </w:rPr>
    </w:lvl>
    <w:lvl w:ilvl="2" w:tplc="3844DBF0" w:tentative="1">
      <w:start w:val="1"/>
      <w:numFmt w:val="bullet"/>
      <w:lvlText w:val=""/>
      <w:lvlJc w:val="left"/>
      <w:pPr>
        <w:ind w:left="2869" w:hanging="360"/>
      </w:pPr>
      <w:rPr>
        <w:rFonts w:ascii="Wingdings" w:hAnsi="Wingdings" w:hint="default"/>
      </w:rPr>
    </w:lvl>
    <w:lvl w:ilvl="3" w:tplc="0DF6EC3A" w:tentative="1">
      <w:start w:val="1"/>
      <w:numFmt w:val="bullet"/>
      <w:lvlText w:val=""/>
      <w:lvlJc w:val="left"/>
      <w:pPr>
        <w:ind w:left="3589" w:hanging="360"/>
      </w:pPr>
      <w:rPr>
        <w:rFonts w:ascii="Symbol" w:hAnsi="Symbol" w:hint="default"/>
      </w:rPr>
    </w:lvl>
    <w:lvl w:ilvl="4" w:tplc="0A409F26" w:tentative="1">
      <w:start w:val="1"/>
      <w:numFmt w:val="bullet"/>
      <w:lvlText w:val="o"/>
      <w:lvlJc w:val="left"/>
      <w:pPr>
        <w:ind w:left="4309" w:hanging="360"/>
      </w:pPr>
      <w:rPr>
        <w:rFonts w:ascii="Courier New" w:hAnsi="Courier New" w:cs="Courier New" w:hint="default"/>
      </w:rPr>
    </w:lvl>
    <w:lvl w:ilvl="5" w:tplc="EE7CB0A2" w:tentative="1">
      <w:start w:val="1"/>
      <w:numFmt w:val="bullet"/>
      <w:lvlText w:val=""/>
      <w:lvlJc w:val="left"/>
      <w:pPr>
        <w:ind w:left="5029" w:hanging="360"/>
      </w:pPr>
      <w:rPr>
        <w:rFonts w:ascii="Wingdings" w:hAnsi="Wingdings" w:hint="default"/>
      </w:rPr>
    </w:lvl>
    <w:lvl w:ilvl="6" w:tplc="AFBAEE50" w:tentative="1">
      <w:start w:val="1"/>
      <w:numFmt w:val="bullet"/>
      <w:lvlText w:val=""/>
      <w:lvlJc w:val="left"/>
      <w:pPr>
        <w:ind w:left="5749" w:hanging="360"/>
      </w:pPr>
      <w:rPr>
        <w:rFonts w:ascii="Symbol" w:hAnsi="Symbol" w:hint="default"/>
      </w:rPr>
    </w:lvl>
    <w:lvl w:ilvl="7" w:tplc="0650A3EA" w:tentative="1">
      <w:start w:val="1"/>
      <w:numFmt w:val="bullet"/>
      <w:lvlText w:val="o"/>
      <w:lvlJc w:val="left"/>
      <w:pPr>
        <w:ind w:left="6469" w:hanging="360"/>
      </w:pPr>
      <w:rPr>
        <w:rFonts w:ascii="Courier New" w:hAnsi="Courier New" w:cs="Courier New" w:hint="default"/>
      </w:rPr>
    </w:lvl>
    <w:lvl w:ilvl="8" w:tplc="D02493C6" w:tentative="1">
      <w:start w:val="1"/>
      <w:numFmt w:val="bullet"/>
      <w:lvlText w:val=""/>
      <w:lvlJc w:val="left"/>
      <w:pPr>
        <w:ind w:left="7189" w:hanging="360"/>
      </w:pPr>
      <w:rPr>
        <w:rFonts w:ascii="Wingdings" w:hAnsi="Wingdings" w:hint="default"/>
      </w:rPr>
    </w:lvl>
  </w:abstractNum>
  <w:abstractNum w:abstractNumId="24" w15:restartNumberingAfterBreak="0">
    <w:nsid w:val="0D175601"/>
    <w:multiLevelType w:val="hybridMultilevel"/>
    <w:tmpl w:val="CCB4BD8A"/>
    <w:lvl w:ilvl="0" w:tplc="FA5AFF4E">
      <w:start w:val="1"/>
      <w:numFmt w:val="decimal"/>
      <w:lvlText w:val="%1."/>
      <w:lvlJc w:val="left"/>
      <w:pPr>
        <w:ind w:left="720" w:hanging="360"/>
      </w:pPr>
    </w:lvl>
    <w:lvl w:ilvl="1" w:tplc="F2BEFBCE" w:tentative="1">
      <w:start w:val="1"/>
      <w:numFmt w:val="lowerLetter"/>
      <w:lvlText w:val="%2."/>
      <w:lvlJc w:val="left"/>
      <w:pPr>
        <w:ind w:left="1440" w:hanging="360"/>
      </w:pPr>
    </w:lvl>
    <w:lvl w:ilvl="2" w:tplc="A02C6080" w:tentative="1">
      <w:start w:val="1"/>
      <w:numFmt w:val="lowerRoman"/>
      <w:lvlText w:val="%3."/>
      <w:lvlJc w:val="right"/>
      <w:pPr>
        <w:ind w:left="2160" w:hanging="180"/>
      </w:pPr>
    </w:lvl>
    <w:lvl w:ilvl="3" w:tplc="66400D90" w:tentative="1">
      <w:start w:val="1"/>
      <w:numFmt w:val="decimal"/>
      <w:lvlText w:val="%4."/>
      <w:lvlJc w:val="left"/>
      <w:pPr>
        <w:ind w:left="2880" w:hanging="360"/>
      </w:pPr>
    </w:lvl>
    <w:lvl w:ilvl="4" w:tplc="965247F8" w:tentative="1">
      <w:start w:val="1"/>
      <w:numFmt w:val="lowerLetter"/>
      <w:lvlText w:val="%5."/>
      <w:lvlJc w:val="left"/>
      <w:pPr>
        <w:ind w:left="3600" w:hanging="360"/>
      </w:pPr>
    </w:lvl>
    <w:lvl w:ilvl="5" w:tplc="4ADC3760" w:tentative="1">
      <w:start w:val="1"/>
      <w:numFmt w:val="lowerRoman"/>
      <w:lvlText w:val="%6."/>
      <w:lvlJc w:val="right"/>
      <w:pPr>
        <w:ind w:left="4320" w:hanging="180"/>
      </w:pPr>
    </w:lvl>
    <w:lvl w:ilvl="6" w:tplc="B22A9290" w:tentative="1">
      <w:start w:val="1"/>
      <w:numFmt w:val="decimal"/>
      <w:lvlText w:val="%7."/>
      <w:lvlJc w:val="left"/>
      <w:pPr>
        <w:ind w:left="5040" w:hanging="360"/>
      </w:pPr>
    </w:lvl>
    <w:lvl w:ilvl="7" w:tplc="1B04CE9C" w:tentative="1">
      <w:start w:val="1"/>
      <w:numFmt w:val="lowerLetter"/>
      <w:lvlText w:val="%8."/>
      <w:lvlJc w:val="left"/>
      <w:pPr>
        <w:ind w:left="5760" w:hanging="360"/>
      </w:pPr>
    </w:lvl>
    <w:lvl w:ilvl="8" w:tplc="D3587CF0" w:tentative="1">
      <w:start w:val="1"/>
      <w:numFmt w:val="lowerRoman"/>
      <w:lvlText w:val="%9."/>
      <w:lvlJc w:val="right"/>
      <w:pPr>
        <w:ind w:left="6480" w:hanging="180"/>
      </w:pPr>
    </w:lvl>
  </w:abstractNum>
  <w:abstractNum w:abstractNumId="25" w15:restartNumberingAfterBreak="0">
    <w:nsid w:val="0EBD153A"/>
    <w:multiLevelType w:val="hybridMultilevel"/>
    <w:tmpl w:val="250E0872"/>
    <w:lvl w:ilvl="0" w:tplc="E5E2C802">
      <w:start w:val="1"/>
      <w:numFmt w:val="bullet"/>
      <w:lvlText w:val=""/>
      <w:lvlJc w:val="left"/>
      <w:pPr>
        <w:ind w:left="720" w:hanging="360"/>
      </w:pPr>
      <w:rPr>
        <w:rFonts w:ascii="Symbol" w:hAnsi="Symbol" w:hint="default"/>
      </w:rPr>
    </w:lvl>
    <w:lvl w:ilvl="1" w:tplc="88942536" w:tentative="1">
      <w:start w:val="1"/>
      <w:numFmt w:val="bullet"/>
      <w:lvlText w:val="o"/>
      <w:lvlJc w:val="left"/>
      <w:pPr>
        <w:ind w:left="1440" w:hanging="360"/>
      </w:pPr>
      <w:rPr>
        <w:rFonts w:ascii="Courier New" w:hAnsi="Courier New" w:cs="Courier New" w:hint="default"/>
      </w:rPr>
    </w:lvl>
    <w:lvl w:ilvl="2" w:tplc="CAEE8DCA" w:tentative="1">
      <w:start w:val="1"/>
      <w:numFmt w:val="bullet"/>
      <w:lvlText w:val=""/>
      <w:lvlJc w:val="left"/>
      <w:pPr>
        <w:ind w:left="2160" w:hanging="360"/>
      </w:pPr>
      <w:rPr>
        <w:rFonts w:ascii="Wingdings" w:hAnsi="Wingdings" w:hint="default"/>
      </w:rPr>
    </w:lvl>
    <w:lvl w:ilvl="3" w:tplc="22F2F23E" w:tentative="1">
      <w:start w:val="1"/>
      <w:numFmt w:val="bullet"/>
      <w:lvlText w:val=""/>
      <w:lvlJc w:val="left"/>
      <w:pPr>
        <w:ind w:left="2880" w:hanging="360"/>
      </w:pPr>
      <w:rPr>
        <w:rFonts w:ascii="Symbol" w:hAnsi="Symbol" w:hint="default"/>
      </w:rPr>
    </w:lvl>
    <w:lvl w:ilvl="4" w:tplc="BDDC494A" w:tentative="1">
      <w:start w:val="1"/>
      <w:numFmt w:val="bullet"/>
      <w:lvlText w:val="o"/>
      <w:lvlJc w:val="left"/>
      <w:pPr>
        <w:ind w:left="3600" w:hanging="360"/>
      </w:pPr>
      <w:rPr>
        <w:rFonts w:ascii="Courier New" w:hAnsi="Courier New" w:cs="Courier New" w:hint="default"/>
      </w:rPr>
    </w:lvl>
    <w:lvl w:ilvl="5" w:tplc="21A89300" w:tentative="1">
      <w:start w:val="1"/>
      <w:numFmt w:val="bullet"/>
      <w:lvlText w:val=""/>
      <w:lvlJc w:val="left"/>
      <w:pPr>
        <w:ind w:left="4320" w:hanging="360"/>
      </w:pPr>
      <w:rPr>
        <w:rFonts w:ascii="Wingdings" w:hAnsi="Wingdings" w:hint="default"/>
      </w:rPr>
    </w:lvl>
    <w:lvl w:ilvl="6" w:tplc="CE729836" w:tentative="1">
      <w:start w:val="1"/>
      <w:numFmt w:val="bullet"/>
      <w:lvlText w:val=""/>
      <w:lvlJc w:val="left"/>
      <w:pPr>
        <w:ind w:left="5040" w:hanging="360"/>
      </w:pPr>
      <w:rPr>
        <w:rFonts w:ascii="Symbol" w:hAnsi="Symbol" w:hint="default"/>
      </w:rPr>
    </w:lvl>
    <w:lvl w:ilvl="7" w:tplc="E056DB58" w:tentative="1">
      <w:start w:val="1"/>
      <w:numFmt w:val="bullet"/>
      <w:lvlText w:val="o"/>
      <w:lvlJc w:val="left"/>
      <w:pPr>
        <w:ind w:left="5760" w:hanging="360"/>
      </w:pPr>
      <w:rPr>
        <w:rFonts w:ascii="Courier New" w:hAnsi="Courier New" w:cs="Courier New" w:hint="default"/>
      </w:rPr>
    </w:lvl>
    <w:lvl w:ilvl="8" w:tplc="3EFEF7B6" w:tentative="1">
      <w:start w:val="1"/>
      <w:numFmt w:val="bullet"/>
      <w:lvlText w:val=""/>
      <w:lvlJc w:val="left"/>
      <w:pPr>
        <w:ind w:left="6480" w:hanging="360"/>
      </w:pPr>
      <w:rPr>
        <w:rFonts w:ascii="Wingdings" w:hAnsi="Wingdings" w:hint="default"/>
      </w:rPr>
    </w:lvl>
  </w:abstractNum>
  <w:abstractNum w:abstractNumId="26" w15:restartNumberingAfterBreak="0">
    <w:nsid w:val="0F2C4EB5"/>
    <w:multiLevelType w:val="singleLevel"/>
    <w:tmpl w:val="F9C22B58"/>
    <w:lvl w:ilvl="0">
      <w:start w:val="1"/>
      <w:numFmt w:val="bullet"/>
      <w:pStyle w:val="QuestionW"/>
      <w:lvlText w:val=""/>
      <w:lvlJc w:val="left"/>
      <w:pPr>
        <w:tabs>
          <w:tab w:val="num" w:pos="360"/>
        </w:tabs>
        <w:ind w:left="284" w:hanging="284"/>
      </w:pPr>
      <w:rPr>
        <w:rFonts w:ascii="Wingdings" w:hAnsi="Wingdings" w:hint="default"/>
        <w:color w:val="auto"/>
        <w:sz w:val="20"/>
      </w:rPr>
    </w:lvl>
  </w:abstractNum>
  <w:abstractNum w:abstractNumId="27" w15:restartNumberingAfterBreak="0">
    <w:nsid w:val="0F5430DB"/>
    <w:multiLevelType w:val="hybridMultilevel"/>
    <w:tmpl w:val="8B9671B8"/>
    <w:lvl w:ilvl="0" w:tplc="E6D05438">
      <w:start w:val="1"/>
      <w:numFmt w:val="decimal"/>
      <w:lvlText w:val="%1."/>
      <w:lvlJc w:val="left"/>
      <w:pPr>
        <w:ind w:left="720" w:hanging="360"/>
      </w:pPr>
      <w:rPr>
        <w:rFonts w:hint="default"/>
      </w:rPr>
    </w:lvl>
    <w:lvl w:ilvl="1" w:tplc="792865FE" w:tentative="1">
      <w:start w:val="1"/>
      <w:numFmt w:val="lowerLetter"/>
      <w:lvlText w:val="%2."/>
      <w:lvlJc w:val="left"/>
      <w:pPr>
        <w:ind w:left="1440" w:hanging="360"/>
      </w:pPr>
    </w:lvl>
    <w:lvl w:ilvl="2" w:tplc="2EDE799A" w:tentative="1">
      <w:start w:val="1"/>
      <w:numFmt w:val="lowerRoman"/>
      <w:lvlText w:val="%3."/>
      <w:lvlJc w:val="right"/>
      <w:pPr>
        <w:ind w:left="2160" w:hanging="180"/>
      </w:pPr>
    </w:lvl>
    <w:lvl w:ilvl="3" w:tplc="8A2A0E20" w:tentative="1">
      <w:start w:val="1"/>
      <w:numFmt w:val="decimal"/>
      <w:lvlText w:val="%4."/>
      <w:lvlJc w:val="left"/>
      <w:pPr>
        <w:ind w:left="2880" w:hanging="360"/>
      </w:pPr>
    </w:lvl>
    <w:lvl w:ilvl="4" w:tplc="2C24D696" w:tentative="1">
      <w:start w:val="1"/>
      <w:numFmt w:val="lowerLetter"/>
      <w:lvlText w:val="%5."/>
      <w:lvlJc w:val="left"/>
      <w:pPr>
        <w:ind w:left="3600" w:hanging="360"/>
      </w:pPr>
    </w:lvl>
    <w:lvl w:ilvl="5" w:tplc="DAD0D6D0" w:tentative="1">
      <w:start w:val="1"/>
      <w:numFmt w:val="lowerRoman"/>
      <w:lvlText w:val="%6."/>
      <w:lvlJc w:val="right"/>
      <w:pPr>
        <w:ind w:left="4320" w:hanging="180"/>
      </w:pPr>
    </w:lvl>
    <w:lvl w:ilvl="6" w:tplc="9B966AAA" w:tentative="1">
      <w:start w:val="1"/>
      <w:numFmt w:val="decimal"/>
      <w:lvlText w:val="%7."/>
      <w:lvlJc w:val="left"/>
      <w:pPr>
        <w:ind w:left="5040" w:hanging="360"/>
      </w:pPr>
    </w:lvl>
    <w:lvl w:ilvl="7" w:tplc="55AC071E" w:tentative="1">
      <w:start w:val="1"/>
      <w:numFmt w:val="lowerLetter"/>
      <w:lvlText w:val="%8."/>
      <w:lvlJc w:val="left"/>
      <w:pPr>
        <w:ind w:left="5760" w:hanging="360"/>
      </w:pPr>
    </w:lvl>
    <w:lvl w:ilvl="8" w:tplc="8084CC54" w:tentative="1">
      <w:start w:val="1"/>
      <w:numFmt w:val="lowerRoman"/>
      <w:lvlText w:val="%9."/>
      <w:lvlJc w:val="right"/>
      <w:pPr>
        <w:ind w:left="6480" w:hanging="180"/>
      </w:pPr>
    </w:lvl>
  </w:abstractNum>
  <w:abstractNum w:abstractNumId="28" w15:restartNumberingAfterBreak="0">
    <w:nsid w:val="0FC400F8"/>
    <w:multiLevelType w:val="hybridMultilevel"/>
    <w:tmpl w:val="A922E8D0"/>
    <w:lvl w:ilvl="0" w:tplc="F77CDC0C">
      <w:start w:val="1"/>
      <w:numFmt w:val="bullet"/>
      <w:lvlText w:val=""/>
      <w:lvlJc w:val="left"/>
      <w:pPr>
        <w:tabs>
          <w:tab w:val="num" w:pos="1260"/>
        </w:tabs>
        <w:ind w:left="1260" w:hanging="360"/>
      </w:pPr>
      <w:rPr>
        <w:rFonts w:ascii="Symbol" w:hAnsi="Symbol" w:hint="default"/>
      </w:rPr>
    </w:lvl>
    <w:lvl w:ilvl="1" w:tplc="35E89678" w:tentative="1">
      <w:start w:val="1"/>
      <w:numFmt w:val="bullet"/>
      <w:lvlText w:val="o"/>
      <w:lvlJc w:val="left"/>
      <w:pPr>
        <w:tabs>
          <w:tab w:val="num" w:pos="1980"/>
        </w:tabs>
        <w:ind w:left="1980" w:hanging="360"/>
      </w:pPr>
      <w:rPr>
        <w:rFonts w:ascii="Courier New" w:hAnsi="Courier New" w:cs="Courier New" w:hint="default"/>
      </w:rPr>
    </w:lvl>
    <w:lvl w:ilvl="2" w:tplc="164238C6" w:tentative="1">
      <w:start w:val="1"/>
      <w:numFmt w:val="bullet"/>
      <w:lvlText w:val=""/>
      <w:lvlJc w:val="left"/>
      <w:pPr>
        <w:tabs>
          <w:tab w:val="num" w:pos="2700"/>
        </w:tabs>
        <w:ind w:left="2700" w:hanging="360"/>
      </w:pPr>
      <w:rPr>
        <w:rFonts w:ascii="Wingdings" w:hAnsi="Wingdings" w:hint="default"/>
      </w:rPr>
    </w:lvl>
    <w:lvl w:ilvl="3" w:tplc="912A5D56" w:tentative="1">
      <w:start w:val="1"/>
      <w:numFmt w:val="bullet"/>
      <w:lvlText w:val=""/>
      <w:lvlJc w:val="left"/>
      <w:pPr>
        <w:tabs>
          <w:tab w:val="num" w:pos="3420"/>
        </w:tabs>
        <w:ind w:left="3420" w:hanging="360"/>
      </w:pPr>
      <w:rPr>
        <w:rFonts w:ascii="Symbol" w:hAnsi="Symbol" w:hint="default"/>
      </w:rPr>
    </w:lvl>
    <w:lvl w:ilvl="4" w:tplc="0170826A" w:tentative="1">
      <w:start w:val="1"/>
      <w:numFmt w:val="bullet"/>
      <w:lvlText w:val="o"/>
      <w:lvlJc w:val="left"/>
      <w:pPr>
        <w:tabs>
          <w:tab w:val="num" w:pos="4140"/>
        </w:tabs>
        <w:ind w:left="4140" w:hanging="360"/>
      </w:pPr>
      <w:rPr>
        <w:rFonts w:ascii="Courier New" w:hAnsi="Courier New" w:cs="Courier New" w:hint="default"/>
      </w:rPr>
    </w:lvl>
    <w:lvl w:ilvl="5" w:tplc="983A9064" w:tentative="1">
      <w:start w:val="1"/>
      <w:numFmt w:val="bullet"/>
      <w:lvlText w:val=""/>
      <w:lvlJc w:val="left"/>
      <w:pPr>
        <w:tabs>
          <w:tab w:val="num" w:pos="4860"/>
        </w:tabs>
        <w:ind w:left="4860" w:hanging="360"/>
      </w:pPr>
      <w:rPr>
        <w:rFonts w:ascii="Wingdings" w:hAnsi="Wingdings" w:hint="default"/>
      </w:rPr>
    </w:lvl>
    <w:lvl w:ilvl="6" w:tplc="D9FE5FF4" w:tentative="1">
      <w:start w:val="1"/>
      <w:numFmt w:val="bullet"/>
      <w:lvlText w:val=""/>
      <w:lvlJc w:val="left"/>
      <w:pPr>
        <w:tabs>
          <w:tab w:val="num" w:pos="5580"/>
        </w:tabs>
        <w:ind w:left="5580" w:hanging="360"/>
      </w:pPr>
      <w:rPr>
        <w:rFonts w:ascii="Symbol" w:hAnsi="Symbol" w:hint="default"/>
      </w:rPr>
    </w:lvl>
    <w:lvl w:ilvl="7" w:tplc="78E43D46" w:tentative="1">
      <w:start w:val="1"/>
      <w:numFmt w:val="bullet"/>
      <w:lvlText w:val="o"/>
      <w:lvlJc w:val="left"/>
      <w:pPr>
        <w:tabs>
          <w:tab w:val="num" w:pos="6300"/>
        </w:tabs>
        <w:ind w:left="6300" w:hanging="360"/>
      </w:pPr>
      <w:rPr>
        <w:rFonts w:ascii="Courier New" w:hAnsi="Courier New" w:cs="Courier New" w:hint="default"/>
      </w:rPr>
    </w:lvl>
    <w:lvl w:ilvl="8" w:tplc="11BE2B6E" w:tentative="1">
      <w:start w:val="1"/>
      <w:numFmt w:val="bullet"/>
      <w:lvlText w:val=""/>
      <w:lvlJc w:val="left"/>
      <w:pPr>
        <w:tabs>
          <w:tab w:val="num" w:pos="7020"/>
        </w:tabs>
        <w:ind w:left="7020" w:hanging="360"/>
      </w:pPr>
      <w:rPr>
        <w:rFonts w:ascii="Wingdings" w:hAnsi="Wingdings" w:hint="default"/>
      </w:rPr>
    </w:lvl>
  </w:abstractNum>
  <w:abstractNum w:abstractNumId="29" w15:restartNumberingAfterBreak="0">
    <w:nsid w:val="1029340D"/>
    <w:multiLevelType w:val="multilevel"/>
    <w:tmpl w:val="88940D2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10A95D9B"/>
    <w:multiLevelType w:val="multilevel"/>
    <w:tmpl w:val="8B04B3CA"/>
    <w:lvl w:ilvl="0">
      <w:start w:val="1"/>
      <w:numFmt w:val="decimal"/>
      <w:lvlText w:val="%1."/>
      <w:lvlJc w:val="left"/>
      <w:pPr>
        <w:ind w:left="360" w:hanging="360"/>
      </w:pPr>
    </w:lvl>
    <w:lvl w:ilvl="1">
      <w:start w:val="10"/>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1" w15:restartNumberingAfterBreak="0">
    <w:nsid w:val="11DB3D9E"/>
    <w:multiLevelType w:val="hybridMultilevel"/>
    <w:tmpl w:val="241A5972"/>
    <w:lvl w:ilvl="0" w:tplc="F2DC8E60">
      <w:start w:val="1"/>
      <w:numFmt w:val="bullet"/>
      <w:lvlText w:val=""/>
      <w:lvlJc w:val="left"/>
      <w:pPr>
        <w:ind w:left="1080" w:hanging="360"/>
      </w:pPr>
      <w:rPr>
        <w:rFonts w:ascii="Symbol" w:hAnsi="Symbol" w:hint="default"/>
      </w:rPr>
    </w:lvl>
    <w:lvl w:ilvl="1" w:tplc="69345218" w:tentative="1">
      <w:start w:val="1"/>
      <w:numFmt w:val="bullet"/>
      <w:lvlText w:val="o"/>
      <w:lvlJc w:val="left"/>
      <w:pPr>
        <w:ind w:left="1800" w:hanging="360"/>
      </w:pPr>
      <w:rPr>
        <w:rFonts w:ascii="Courier New" w:hAnsi="Courier New" w:cs="Courier New" w:hint="default"/>
      </w:rPr>
    </w:lvl>
    <w:lvl w:ilvl="2" w:tplc="FAD4300A" w:tentative="1">
      <w:start w:val="1"/>
      <w:numFmt w:val="bullet"/>
      <w:lvlText w:val=""/>
      <w:lvlJc w:val="left"/>
      <w:pPr>
        <w:ind w:left="2520" w:hanging="360"/>
      </w:pPr>
      <w:rPr>
        <w:rFonts w:ascii="Wingdings" w:hAnsi="Wingdings" w:hint="default"/>
      </w:rPr>
    </w:lvl>
    <w:lvl w:ilvl="3" w:tplc="74766246" w:tentative="1">
      <w:start w:val="1"/>
      <w:numFmt w:val="bullet"/>
      <w:lvlText w:val=""/>
      <w:lvlJc w:val="left"/>
      <w:pPr>
        <w:ind w:left="3240" w:hanging="360"/>
      </w:pPr>
      <w:rPr>
        <w:rFonts w:ascii="Symbol" w:hAnsi="Symbol" w:hint="default"/>
      </w:rPr>
    </w:lvl>
    <w:lvl w:ilvl="4" w:tplc="86FE4834" w:tentative="1">
      <w:start w:val="1"/>
      <w:numFmt w:val="bullet"/>
      <w:lvlText w:val="o"/>
      <w:lvlJc w:val="left"/>
      <w:pPr>
        <w:ind w:left="3960" w:hanging="360"/>
      </w:pPr>
      <w:rPr>
        <w:rFonts w:ascii="Courier New" w:hAnsi="Courier New" w:cs="Courier New" w:hint="default"/>
      </w:rPr>
    </w:lvl>
    <w:lvl w:ilvl="5" w:tplc="64F20470" w:tentative="1">
      <w:start w:val="1"/>
      <w:numFmt w:val="bullet"/>
      <w:lvlText w:val=""/>
      <w:lvlJc w:val="left"/>
      <w:pPr>
        <w:ind w:left="4680" w:hanging="360"/>
      </w:pPr>
      <w:rPr>
        <w:rFonts w:ascii="Wingdings" w:hAnsi="Wingdings" w:hint="default"/>
      </w:rPr>
    </w:lvl>
    <w:lvl w:ilvl="6" w:tplc="A0DA6E18" w:tentative="1">
      <w:start w:val="1"/>
      <w:numFmt w:val="bullet"/>
      <w:lvlText w:val=""/>
      <w:lvlJc w:val="left"/>
      <w:pPr>
        <w:ind w:left="5400" w:hanging="360"/>
      </w:pPr>
      <w:rPr>
        <w:rFonts w:ascii="Symbol" w:hAnsi="Symbol" w:hint="default"/>
      </w:rPr>
    </w:lvl>
    <w:lvl w:ilvl="7" w:tplc="0D7822E6" w:tentative="1">
      <w:start w:val="1"/>
      <w:numFmt w:val="bullet"/>
      <w:lvlText w:val="o"/>
      <w:lvlJc w:val="left"/>
      <w:pPr>
        <w:ind w:left="6120" w:hanging="360"/>
      </w:pPr>
      <w:rPr>
        <w:rFonts w:ascii="Courier New" w:hAnsi="Courier New" w:cs="Courier New" w:hint="default"/>
      </w:rPr>
    </w:lvl>
    <w:lvl w:ilvl="8" w:tplc="50008D12" w:tentative="1">
      <w:start w:val="1"/>
      <w:numFmt w:val="bullet"/>
      <w:lvlText w:val=""/>
      <w:lvlJc w:val="left"/>
      <w:pPr>
        <w:ind w:left="6840" w:hanging="360"/>
      </w:pPr>
      <w:rPr>
        <w:rFonts w:ascii="Wingdings" w:hAnsi="Wingdings" w:hint="default"/>
      </w:rPr>
    </w:lvl>
  </w:abstractNum>
  <w:abstractNum w:abstractNumId="32" w15:restartNumberingAfterBreak="0">
    <w:nsid w:val="1260283A"/>
    <w:multiLevelType w:val="hybridMultilevel"/>
    <w:tmpl w:val="A9E89EE2"/>
    <w:lvl w:ilvl="0" w:tplc="07280D26">
      <w:start w:val="1"/>
      <w:numFmt w:val="decimal"/>
      <w:lvlText w:val="%1."/>
      <w:lvlJc w:val="left"/>
      <w:pPr>
        <w:ind w:left="720" w:hanging="360"/>
      </w:pPr>
      <w:rPr>
        <w:b w:val="0"/>
        <w:i w:val="0"/>
      </w:rPr>
    </w:lvl>
    <w:lvl w:ilvl="1" w:tplc="C358B11A" w:tentative="1">
      <w:start w:val="1"/>
      <w:numFmt w:val="lowerLetter"/>
      <w:lvlText w:val="%2."/>
      <w:lvlJc w:val="left"/>
      <w:pPr>
        <w:ind w:left="1440" w:hanging="360"/>
      </w:pPr>
    </w:lvl>
    <w:lvl w:ilvl="2" w:tplc="D708EF04" w:tentative="1">
      <w:start w:val="1"/>
      <w:numFmt w:val="lowerRoman"/>
      <w:lvlText w:val="%3."/>
      <w:lvlJc w:val="right"/>
      <w:pPr>
        <w:ind w:left="2160" w:hanging="180"/>
      </w:pPr>
    </w:lvl>
    <w:lvl w:ilvl="3" w:tplc="19D6810C" w:tentative="1">
      <w:start w:val="1"/>
      <w:numFmt w:val="decimal"/>
      <w:lvlText w:val="%4."/>
      <w:lvlJc w:val="left"/>
      <w:pPr>
        <w:ind w:left="2880" w:hanging="360"/>
      </w:pPr>
    </w:lvl>
    <w:lvl w:ilvl="4" w:tplc="435C84CC" w:tentative="1">
      <w:start w:val="1"/>
      <w:numFmt w:val="lowerLetter"/>
      <w:lvlText w:val="%5."/>
      <w:lvlJc w:val="left"/>
      <w:pPr>
        <w:ind w:left="3600" w:hanging="360"/>
      </w:pPr>
    </w:lvl>
    <w:lvl w:ilvl="5" w:tplc="2736964C" w:tentative="1">
      <w:start w:val="1"/>
      <w:numFmt w:val="lowerRoman"/>
      <w:lvlText w:val="%6."/>
      <w:lvlJc w:val="right"/>
      <w:pPr>
        <w:ind w:left="4320" w:hanging="180"/>
      </w:pPr>
    </w:lvl>
    <w:lvl w:ilvl="6" w:tplc="45042B62" w:tentative="1">
      <w:start w:val="1"/>
      <w:numFmt w:val="decimal"/>
      <w:lvlText w:val="%7."/>
      <w:lvlJc w:val="left"/>
      <w:pPr>
        <w:ind w:left="5040" w:hanging="360"/>
      </w:pPr>
    </w:lvl>
    <w:lvl w:ilvl="7" w:tplc="ABA67AB8" w:tentative="1">
      <w:start w:val="1"/>
      <w:numFmt w:val="lowerLetter"/>
      <w:lvlText w:val="%8."/>
      <w:lvlJc w:val="left"/>
      <w:pPr>
        <w:ind w:left="5760" w:hanging="360"/>
      </w:pPr>
    </w:lvl>
    <w:lvl w:ilvl="8" w:tplc="81E478BC" w:tentative="1">
      <w:start w:val="1"/>
      <w:numFmt w:val="lowerRoman"/>
      <w:lvlText w:val="%9."/>
      <w:lvlJc w:val="right"/>
      <w:pPr>
        <w:ind w:left="6480" w:hanging="180"/>
      </w:pPr>
    </w:lvl>
  </w:abstractNum>
  <w:abstractNum w:abstractNumId="33" w15:restartNumberingAfterBreak="0">
    <w:nsid w:val="167F4E0F"/>
    <w:multiLevelType w:val="multilevel"/>
    <w:tmpl w:val="E69CAEE2"/>
    <w:lvl w:ilvl="0">
      <w:start w:val="1"/>
      <w:numFmt w:val="decimal"/>
      <w:lvlText w:val="%1."/>
      <w:lvlJc w:val="left"/>
      <w:pPr>
        <w:ind w:left="927" w:hanging="360"/>
      </w:pPr>
      <w:rPr>
        <w:rFonts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593" w:hanging="720"/>
      </w:pPr>
      <w:rPr>
        <w:rFonts w:hint="default"/>
      </w:rPr>
    </w:lvl>
    <w:lvl w:ilvl="3">
      <w:start w:val="1"/>
      <w:numFmt w:val="decimal"/>
      <w:isLgl/>
      <w:lvlText w:val="%1.%2.%3.%4"/>
      <w:lvlJc w:val="left"/>
      <w:pPr>
        <w:ind w:left="1746" w:hanging="720"/>
      </w:pPr>
      <w:rPr>
        <w:rFonts w:hint="default"/>
      </w:rPr>
    </w:lvl>
    <w:lvl w:ilvl="4">
      <w:start w:val="1"/>
      <w:numFmt w:val="decimal"/>
      <w:isLgl/>
      <w:lvlText w:val="%1.%2.%3.%4.%5"/>
      <w:lvlJc w:val="left"/>
      <w:pPr>
        <w:ind w:left="1899" w:hanging="720"/>
      </w:pPr>
      <w:rPr>
        <w:rFonts w:hint="default"/>
      </w:rPr>
    </w:lvl>
    <w:lvl w:ilvl="5">
      <w:start w:val="1"/>
      <w:numFmt w:val="decimal"/>
      <w:isLgl/>
      <w:lvlText w:val="%1.%2.%3.%4.%5.%6"/>
      <w:lvlJc w:val="left"/>
      <w:pPr>
        <w:ind w:left="2412" w:hanging="1080"/>
      </w:pPr>
      <w:rPr>
        <w:rFonts w:hint="default"/>
      </w:rPr>
    </w:lvl>
    <w:lvl w:ilvl="6">
      <w:start w:val="1"/>
      <w:numFmt w:val="decimal"/>
      <w:isLgl/>
      <w:lvlText w:val="%1.%2.%3.%4.%5.%6.%7"/>
      <w:lvlJc w:val="left"/>
      <w:pPr>
        <w:ind w:left="2565" w:hanging="1080"/>
      </w:pPr>
      <w:rPr>
        <w:rFonts w:hint="default"/>
      </w:rPr>
    </w:lvl>
    <w:lvl w:ilvl="7">
      <w:start w:val="1"/>
      <w:numFmt w:val="decimal"/>
      <w:isLgl/>
      <w:lvlText w:val="%1.%2.%3.%4.%5.%6.%7.%8"/>
      <w:lvlJc w:val="left"/>
      <w:pPr>
        <w:ind w:left="3078" w:hanging="1440"/>
      </w:pPr>
      <w:rPr>
        <w:rFonts w:hint="default"/>
      </w:rPr>
    </w:lvl>
    <w:lvl w:ilvl="8">
      <w:start w:val="1"/>
      <w:numFmt w:val="decimal"/>
      <w:isLgl/>
      <w:lvlText w:val="%1.%2.%3.%4.%5.%6.%7.%8.%9"/>
      <w:lvlJc w:val="left"/>
      <w:pPr>
        <w:ind w:left="3231" w:hanging="1440"/>
      </w:pPr>
      <w:rPr>
        <w:rFonts w:hint="default"/>
      </w:rPr>
    </w:lvl>
  </w:abstractNum>
  <w:abstractNum w:abstractNumId="34" w15:restartNumberingAfterBreak="0">
    <w:nsid w:val="16F7462B"/>
    <w:multiLevelType w:val="multilevel"/>
    <w:tmpl w:val="853CC978"/>
    <w:lvl w:ilvl="0">
      <w:start w:val="3"/>
      <w:numFmt w:val="decimal"/>
      <w:lvlText w:val="%1."/>
      <w:lvlJc w:val="left"/>
      <w:pPr>
        <w:ind w:left="360" w:hanging="360"/>
      </w:pPr>
      <w:rPr>
        <w:rFonts w:hint="default"/>
      </w:rPr>
    </w:lvl>
    <w:lvl w:ilvl="1">
      <w:start w:val="4"/>
      <w:numFmt w:val="decimal"/>
      <w:lvlText w:val="%1.%2."/>
      <w:lvlJc w:val="left"/>
      <w:pPr>
        <w:ind w:left="478" w:hanging="360"/>
      </w:pPr>
      <w:rPr>
        <w:rFonts w:hint="default"/>
      </w:rPr>
    </w:lvl>
    <w:lvl w:ilvl="2">
      <w:start w:val="1"/>
      <w:numFmt w:val="decimal"/>
      <w:lvlText w:val="%1.%2.%3."/>
      <w:lvlJc w:val="left"/>
      <w:pPr>
        <w:ind w:left="956" w:hanging="720"/>
      </w:pPr>
      <w:rPr>
        <w:rFonts w:hint="default"/>
      </w:rPr>
    </w:lvl>
    <w:lvl w:ilvl="3">
      <w:start w:val="1"/>
      <w:numFmt w:val="decimal"/>
      <w:lvlText w:val="%1.%2.%3.%4."/>
      <w:lvlJc w:val="left"/>
      <w:pPr>
        <w:ind w:left="1074" w:hanging="720"/>
      </w:pPr>
      <w:rPr>
        <w:rFonts w:hint="default"/>
      </w:rPr>
    </w:lvl>
    <w:lvl w:ilvl="4">
      <w:start w:val="1"/>
      <w:numFmt w:val="decimal"/>
      <w:lvlText w:val="%1.%2.%3.%4.%5."/>
      <w:lvlJc w:val="left"/>
      <w:pPr>
        <w:ind w:left="1552" w:hanging="1080"/>
      </w:pPr>
      <w:rPr>
        <w:rFonts w:hint="default"/>
      </w:rPr>
    </w:lvl>
    <w:lvl w:ilvl="5">
      <w:start w:val="1"/>
      <w:numFmt w:val="decimal"/>
      <w:lvlText w:val="%1.%2.%3.%4.%5.%6."/>
      <w:lvlJc w:val="left"/>
      <w:pPr>
        <w:ind w:left="1670" w:hanging="1080"/>
      </w:pPr>
      <w:rPr>
        <w:rFonts w:hint="default"/>
      </w:rPr>
    </w:lvl>
    <w:lvl w:ilvl="6">
      <w:start w:val="1"/>
      <w:numFmt w:val="decimal"/>
      <w:lvlText w:val="%1.%2.%3.%4.%5.%6.%7."/>
      <w:lvlJc w:val="left"/>
      <w:pPr>
        <w:ind w:left="1788" w:hanging="1080"/>
      </w:pPr>
      <w:rPr>
        <w:rFonts w:hint="default"/>
      </w:rPr>
    </w:lvl>
    <w:lvl w:ilvl="7">
      <w:start w:val="1"/>
      <w:numFmt w:val="decimal"/>
      <w:lvlText w:val="%1.%2.%3.%4.%5.%6.%7.%8."/>
      <w:lvlJc w:val="left"/>
      <w:pPr>
        <w:ind w:left="2266" w:hanging="1440"/>
      </w:pPr>
      <w:rPr>
        <w:rFonts w:hint="default"/>
      </w:rPr>
    </w:lvl>
    <w:lvl w:ilvl="8">
      <w:start w:val="1"/>
      <w:numFmt w:val="decimal"/>
      <w:lvlText w:val="%1.%2.%3.%4.%5.%6.%7.%8.%9."/>
      <w:lvlJc w:val="left"/>
      <w:pPr>
        <w:ind w:left="2384" w:hanging="1440"/>
      </w:pPr>
      <w:rPr>
        <w:rFonts w:hint="default"/>
      </w:rPr>
    </w:lvl>
  </w:abstractNum>
  <w:abstractNum w:abstractNumId="35" w15:restartNumberingAfterBreak="0">
    <w:nsid w:val="170842F1"/>
    <w:multiLevelType w:val="multilevel"/>
    <w:tmpl w:val="E7F2D9F6"/>
    <w:styleLink w:val="-"/>
    <w:lvl w:ilvl="0">
      <w:start w:val="1"/>
      <w:numFmt w:val="decimal"/>
      <w:pStyle w:val="-0"/>
      <w:lvlText w:val="%1."/>
      <w:lvlJc w:val="left"/>
      <w:pPr>
        <w:tabs>
          <w:tab w:val="num" w:pos="1428"/>
        </w:tabs>
        <w:ind w:left="1428" w:hanging="360"/>
      </w:pPr>
      <w:rPr>
        <w:rFonts w:ascii="Arial" w:hAnsi="Arial"/>
      </w:rPr>
    </w:lvl>
    <w:lvl w:ilvl="1">
      <w:start w:val="1"/>
      <w:numFmt w:val="decimal"/>
      <w:lvlText w:val="%1.%2."/>
      <w:lvlJc w:val="left"/>
      <w:pPr>
        <w:tabs>
          <w:tab w:val="num" w:pos="1860"/>
        </w:tabs>
        <w:ind w:left="1860" w:hanging="432"/>
      </w:pPr>
      <w:rPr>
        <w:rFonts w:hint="default"/>
      </w:rPr>
    </w:lvl>
    <w:lvl w:ilvl="2">
      <w:start w:val="1"/>
      <w:numFmt w:val="decimal"/>
      <w:lvlText w:val="%1.%2.%3."/>
      <w:lvlJc w:val="left"/>
      <w:pPr>
        <w:tabs>
          <w:tab w:val="num" w:pos="2508"/>
        </w:tabs>
        <w:ind w:left="2292" w:hanging="504"/>
      </w:pPr>
      <w:rPr>
        <w:rFonts w:hint="default"/>
      </w:rPr>
    </w:lvl>
    <w:lvl w:ilvl="3">
      <w:start w:val="1"/>
      <w:numFmt w:val="decimal"/>
      <w:lvlText w:val="%4."/>
      <w:lvlJc w:val="left"/>
      <w:pPr>
        <w:tabs>
          <w:tab w:val="num" w:pos="2508"/>
        </w:tabs>
        <w:ind w:left="2508" w:hanging="360"/>
      </w:pPr>
      <w:rPr>
        <w:rFonts w:hint="default"/>
      </w:rPr>
    </w:lvl>
    <w:lvl w:ilvl="4">
      <w:start w:val="1"/>
      <w:numFmt w:val="decimal"/>
      <w:lvlText w:val="%1.%2.%3.%4.%5."/>
      <w:lvlJc w:val="left"/>
      <w:pPr>
        <w:tabs>
          <w:tab w:val="num" w:pos="3588"/>
        </w:tabs>
        <w:ind w:left="3300" w:hanging="792"/>
      </w:pPr>
      <w:rPr>
        <w:rFonts w:hint="default"/>
      </w:rPr>
    </w:lvl>
    <w:lvl w:ilvl="5">
      <w:start w:val="1"/>
      <w:numFmt w:val="decimal"/>
      <w:lvlText w:val="%1.%2.%3.%4.%5.%6."/>
      <w:lvlJc w:val="left"/>
      <w:pPr>
        <w:tabs>
          <w:tab w:val="num" w:pos="4308"/>
        </w:tabs>
        <w:ind w:left="3804" w:hanging="936"/>
      </w:pPr>
      <w:rPr>
        <w:rFonts w:hint="default"/>
      </w:rPr>
    </w:lvl>
    <w:lvl w:ilvl="6">
      <w:start w:val="1"/>
      <w:numFmt w:val="decimal"/>
      <w:lvlText w:val="%1.%2.%3.%4.%5.%6.%7."/>
      <w:lvlJc w:val="left"/>
      <w:pPr>
        <w:tabs>
          <w:tab w:val="num" w:pos="5028"/>
        </w:tabs>
        <w:ind w:left="4308" w:hanging="1080"/>
      </w:pPr>
      <w:rPr>
        <w:rFonts w:hint="default"/>
      </w:rPr>
    </w:lvl>
    <w:lvl w:ilvl="7">
      <w:start w:val="1"/>
      <w:numFmt w:val="decimal"/>
      <w:lvlText w:val="%1.%2.%3.%4.%5.%6.%7.%8."/>
      <w:lvlJc w:val="left"/>
      <w:pPr>
        <w:tabs>
          <w:tab w:val="num" w:pos="5388"/>
        </w:tabs>
        <w:ind w:left="4812" w:hanging="1224"/>
      </w:pPr>
      <w:rPr>
        <w:rFonts w:hint="default"/>
      </w:rPr>
    </w:lvl>
    <w:lvl w:ilvl="8">
      <w:start w:val="1"/>
      <w:numFmt w:val="decimal"/>
      <w:lvlText w:val="%1.%2.%3.%4.%5.%6.%7.%8.%9."/>
      <w:lvlJc w:val="left"/>
      <w:pPr>
        <w:tabs>
          <w:tab w:val="num" w:pos="6108"/>
        </w:tabs>
        <w:ind w:left="5388" w:hanging="1440"/>
      </w:pPr>
      <w:rPr>
        <w:rFonts w:hint="default"/>
      </w:rPr>
    </w:lvl>
  </w:abstractNum>
  <w:abstractNum w:abstractNumId="36" w15:restartNumberingAfterBreak="0">
    <w:nsid w:val="17570E4B"/>
    <w:multiLevelType w:val="hybridMultilevel"/>
    <w:tmpl w:val="7242DB70"/>
    <w:lvl w:ilvl="0" w:tplc="EA148ABA">
      <w:start w:val="1"/>
      <w:numFmt w:val="decimal"/>
      <w:lvlText w:val="%1."/>
      <w:lvlJc w:val="left"/>
      <w:pPr>
        <w:ind w:left="360" w:hanging="360"/>
      </w:pPr>
      <w:rPr>
        <w:rFonts w:hint="default"/>
      </w:rPr>
    </w:lvl>
    <w:lvl w:ilvl="1" w:tplc="90801DB6" w:tentative="1">
      <w:start w:val="1"/>
      <w:numFmt w:val="lowerLetter"/>
      <w:lvlText w:val="%2."/>
      <w:lvlJc w:val="left"/>
      <w:pPr>
        <w:ind w:left="1440" w:hanging="360"/>
      </w:pPr>
    </w:lvl>
    <w:lvl w:ilvl="2" w:tplc="39828E42" w:tentative="1">
      <w:start w:val="1"/>
      <w:numFmt w:val="lowerRoman"/>
      <w:lvlText w:val="%3."/>
      <w:lvlJc w:val="right"/>
      <w:pPr>
        <w:ind w:left="2160" w:hanging="180"/>
      </w:pPr>
    </w:lvl>
    <w:lvl w:ilvl="3" w:tplc="19C89426" w:tentative="1">
      <w:start w:val="1"/>
      <w:numFmt w:val="decimal"/>
      <w:lvlText w:val="%4."/>
      <w:lvlJc w:val="left"/>
      <w:pPr>
        <w:ind w:left="2880" w:hanging="360"/>
      </w:pPr>
    </w:lvl>
    <w:lvl w:ilvl="4" w:tplc="D8FE1CDE" w:tentative="1">
      <w:start w:val="1"/>
      <w:numFmt w:val="lowerLetter"/>
      <w:lvlText w:val="%5."/>
      <w:lvlJc w:val="left"/>
      <w:pPr>
        <w:ind w:left="3600" w:hanging="360"/>
      </w:pPr>
    </w:lvl>
    <w:lvl w:ilvl="5" w:tplc="F4DA10BA" w:tentative="1">
      <w:start w:val="1"/>
      <w:numFmt w:val="lowerRoman"/>
      <w:lvlText w:val="%6."/>
      <w:lvlJc w:val="right"/>
      <w:pPr>
        <w:ind w:left="4320" w:hanging="180"/>
      </w:pPr>
    </w:lvl>
    <w:lvl w:ilvl="6" w:tplc="1B76C28A" w:tentative="1">
      <w:start w:val="1"/>
      <w:numFmt w:val="decimal"/>
      <w:lvlText w:val="%7."/>
      <w:lvlJc w:val="left"/>
      <w:pPr>
        <w:ind w:left="5040" w:hanging="360"/>
      </w:pPr>
    </w:lvl>
    <w:lvl w:ilvl="7" w:tplc="C284EB2C" w:tentative="1">
      <w:start w:val="1"/>
      <w:numFmt w:val="lowerLetter"/>
      <w:lvlText w:val="%8."/>
      <w:lvlJc w:val="left"/>
      <w:pPr>
        <w:ind w:left="5760" w:hanging="360"/>
      </w:pPr>
    </w:lvl>
    <w:lvl w:ilvl="8" w:tplc="98466154" w:tentative="1">
      <w:start w:val="1"/>
      <w:numFmt w:val="lowerRoman"/>
      <w:lvlText w:val="%9."/>
      <w:lvlJc w:val="right"/>
      <w:pPr>
        <w:ind w:left="6480" w:hanging="180"/>
      </w:pPr>
    </w:lvl>
  </w:abstractNum>
  <w:abstractNum w:abstractNumId="37" w15:restartNumberingAfterBreak="0">
    <w:nsid w:val="18720D69"/>
    <w:multiLevelType w:val="hybridMultilevel"/>
    <w:tmpl w:val="35DEF5BA"/>
    <w:lvl w:ilvl="0" w:tplc="92A09FE0">
      <w:start w:val="1"/>
      <w:numFmt w:val="bullet"/>
      <w:lvlText w:val=""/>
      <w:lvlJc w:val="left"/>
      <w:pPr>
        <w:tabs>
          <w:tab w:val="num" w:pos="720"/>
        </w:tabs>
        <w:ind w:left="720" w:hanging="360"/>
      </w:pPr>
      <w:rPr>
        <w:rFonts w:ascii="Symbol" w:hAnsi="Symbol" w:hint="default"/>
      </w:rPr>
    </w:lvl>
    <w:lvl w:ilvl="1" w:tplc="FC8AC64A" w:tentative="1">
      <w:start w:val="1"/>
      <w:numFmt w:val="bullet"/>
      <w:lvlText w:val="o"/>
      <w:lvlJc w:val="left"/>
      <w:pPr>
        <w:tabs>
          <w:tab w:val="num" w:pos="1440"/>
        </w:tabs>
        <w:ind w:left="1440" w:hanging="360"/>
      </w:pPr>
      <w:rPr>
        <w:rFonts w:ascii="Courier New" w:hAnsi="Courier New" w:cs="Courier New" w:hint="default"/>
      </w:rPr>
    </w:lvl>
    <w:lvl w:ilvl="2" w:tplc="C2CA663A" w:tentative="1">
      <w:start w:val="1"/>
      <w:numFmt w:val="bullet"/>
      <w:lvlText w:val=""/>
      <w:lvlJc w:val="left"/>
      <w:pPr>
        <w:tabs>
          <w:tab w:val="num" w:pos="2160"/>
        </w:tabs>
        <w:ind w:left="2160" w:hanging="360"/>
      </w:pPr>
      <w:rPr>
        <w:rFonts w:ascii="Wingdings" w:hAnsi="Wingdings" w:hint="default"/>
      </w:rPr>
    </w:lvl>
    <w:lvl w:ilvl="3" w:tplc="5CBC33A4" w:tentative="1">
      <w:start w:val="1"/>
      <w:numFmt w:val="bullet"/>
      <w:lvlText w:val=""/>
      <w:lvlJc w:val="left"/>
      <w:pPr>
        <w:tabs>
          <w:tab w:val="num" w:pos="2880"/>
        </w:tabs>
        <w:ind w:left="2880" w:hanging="360"/>
      </w:pPr>
      <w:rPr>
        <w:rFonts w:ascii="Symbol" w:hAnsi="Symbol" w:hint="default"/>
      </w:rPr>
    </w:lvl>
    <w:lvl w:ilvl="4" w:tplc="7A36F66C" w:tentative="1">
      <w:start w:val="1"/>
      <w:numFmt w:val="bullet"/>
      <w:lvlText w:val="o"/>
      <w:lvlJc w:val="left"/>
      <w:pPr>
        <w:tabs>
          <w:tab w:val="num" w:pos="3600"/>
        </w:tabs>
        <w:ind w:left="3600" w:hanging="360"/>
      </w:pPr>
      <w:rPr>
        <w:rFonts w:ascii="Courier New" w:hAnsi="Courier New" w:cs="Courier New" w:hint="default"/>
      </w:rPr>
    </w:lvl>
    <w:lvl w:ilvl="5" w:tplc="11B0CCF4" w:tentative="1">
      <w:start w:val="1"/>
      <w:numFmt w:val="bullet"/>
      <w:lvlText w:val=""/>
      <w:lvlJc w:val="left"/>
      <w:pPr>
        <w:tabs>
          <w:tab w:val="num" w:pos="4320"/>
        </w:tabs>
        <w:ind w:left="4320" w:hanging="360"/>
      </w:pPr>
      <w:rPr>
        <w:rFonts w:ascii="Wingdings" w:hAnsi="Wingdings" w:hint="default"/>
      </w:rPr>
    </w:lvl>
    <w:lvl w:ilvl="6" w:tplc="267CD694" w:tentative="1">
      <w:start w:val="1"/>
      <w:numFmt w:val="bullet"/>
      <w:lvlText w:val=""/>
      <w:lvlJc w:val="left"/>
      <w:pPr>
        <w:tabs>
          <w:tab w:val="num" w:pos="5040"/>
        </w:tabs>
        <w:ind w:left="5040" w:hanging="360"/>
      </w:pPr>
      <w:rPr>
        <w:rFonts w:ascii="Symbol" w:hAnsi="Symbol" w:hint="default"/>
      </w:rPr>
    </w:lvl>
    <w:lvl w:ilvl="7" w:tplc="A8287D20" w:tentative="1">
      <w:start w:val="1"/>
      <w:numFmt w:val="bullet"/>
      <w:lvlText w:val="o"/>
      <w:lvlJc w:val="left"/>
      <w:pPr>
        <w:tabs>
          <w:tab w:val="num" w:pos="5760"/>
        </w:tabs>
        <w:ind w:left="5760" w:hanging="360"/>
      </w:pPr>
      <w:rPr>
        <w:rFonts w:ascii="Courier New" w:hAnsi="Courier New" w:cs="Courier New" w:hint="default"/>
      </w:rPr>
    </w:lvl>
    <w:lvl w:ilvl="8" w:tplc="D6646B22"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93D65E1"/>
    <w:multiLevelType w:val="multilevel"/>
    <w:tmpl w:val="93FCD2F8"/>
    <w:lvl w:ilvl="0">
      <w:start w:val="2"/>
      <w:numFmt w:val="decimal"/>
      <w:lvlText w:val="%1"/>
      <w:lvlJc w:val="left"/>
      <w:pPr>
        <w:tabs>
          <w:tab w:val="num" w:pos="927"/>
        </w:tabs>
        <w:ind w:firstLine="567"/>
      </w:pPr>
    </w:lvl>
    <w:lvl w:ilvl="1">
      <w:start w:val="1"/>
      <w:numFmt w:val="decimal"/>
      <w:pStyle w:val="a0"/>
      <w:lvlText w:val="2.%2"/>
      <w:lvlJc w:val="left"/>
      <w:pPr>
        <w:tabs>
          <w:tab w:val="num" w:pos="927"/>
        </w:tabs>
        <w:ind w:firstLine="567"/>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9" w15:restartNumberingAfterBreak="0">
    <w:nsid w:val="195F0EB1"/>
    <w:multiLevelType w:val="hybridMultilevel"/>
    <w:tmpl w:val="66BA4BCA"/>
    <w:lvl w:ilvl="0" w:tplc="360A9350">
      <w:start w:val="1"/>
      <w:numFmt w:val="decimal"/>
      <w:lvlText w:val="%1"/>
      <w:lvlJc w:val="left"/>
      <w:pPr>
        <w:ind w:left="720" w:hanging="360"/>
      </w:pPr>
      <w:rPr>
        <w:rFonts w:hint="default"/>
      </w:rPr>
    </w:lvl>
    <w:lvl w:ilvl="1" w:tplc="0F9C3F2A" w:tentative="1">
      <w:start w:val="1"/>
      <w:numFmt w:val="lowerLetter"/>
      <w:lvlText w:val="%2."/>
      <w:lvlJc w:val="left"/>
      <w:pPr>
        <w:ind w:left="1440" w:hanging="360"/>
      </w:pPr>
    </w:lvl>
    <w:lvl w:ilvl="2" w:tplc="8C9236BE" w:tentative="1">
      <w:start w:val="1"/>
      <w:numFmt w:val="lowerRoman"/>
      <w:lvlText w:val="%3."/>
      <w:lvlJc w:val="right"/>
      <w:pPr>
        <w:ind w:left="2160" w:hanging="180"/>
      </w:pPr>
    </w:lvl>
    <w:lvl w:ilvl="3" w:tplc="A4E68C84" w:tentative="1">
      <w:start w:val="1"/>
      <w:numFmt w:val="decimal"/>
      <w:lvlText w:val="%4."/>
      <w:lvlJc w:val="left"/>
      <w:pPr>
        <w:ind w:left="2880" w:hanging="360"/>
      </w:pPr>
    </w:lvl>
    <w:lvl w:ilvl="4" w:tplc="1CE85FAC" w:tentative="1">
      <w:start w:val="1"/>
      <w:numFmt w:val="lowerLetter"/>
      <w:lvlText w:val="%5."/>
      <w:lvlJc w:val="left"/>
      <w:pPr>
        <w:ind w:left="3600" w:hanging="360"/>
      </w:pPr>
    </w:lvl>
    <w:lvl w:ilvl="5" w:tplc="DE1A3F34" w:tentative="1">
      <w:start w:val="1"/>
      <w:numFmt w:val="lowerRoman"/>
      <w:lvlText w:val="%6."/>
      <w:lvlJc w:val="right"/>
      <w:pPr>
        <w:ind w:left="4320" w:hanging="180"/>
      </w:pPr>
    </w:lvl>
    <w:lvl w:ilvl="6" w:tplc="194CB8BA" w:tentative="1">
      <w:start w:val="1"/>
      <w:numFmt w:val="decimal"/>
      <w:lvlText w:val="%7."/>
      <w:lvlJc w:val="left"/>
      <w:pPr>
        <w:ind w:left="5040" w:hanging="360"/>
      </w:pPr>
    </w:lvl>
    <w:lvl w:ilvl="7" w:tplc="5AB8A5CE" w:tentative="1">
      <w:start w:val="1"/>
      <w:numFmt w:val="lowerLetter"/>
      <w:lvlText w:val="%8."/>
      <w:lvlJc w:val="left"/>
      <w:pPr>
        <w:ind w:left="5760" w:hanging="360"/>
      </w:pPr>
    </w:lvl>
    <w:lvl w:ilvl="8" w:tplc="75A25750" w:tentative="1">
      <w:start w:val="1"/>
      <w:numFmt w:val="lowerRoman"/>
      <w:lvlText w:val="%9."/>
      <w:lvlJc w:val="right"/>
      <w:pPr>
        <w:ind w:left="6480" w:hanging="180"/>
      </w:pPr>
    </w:lvl>
  </w:abstractNum>
  <w:abstractNum w:abstractNumId="40" w15:restartNumberingAfterBreak="0">
    <w:nsid w:val="199B0F39"/>
    <w:multiLevelType w:val="hybridMultilevel"/>
    <w:tmpl w:val="811ED97A"/>
    <w:lvl w:ilvl="0" w:tplc="90A6B010">
      <w:start w:val="1"/>
      <w:numFmt w:val="bullet"/>
      <w:lvlText w:val=""/>
      <w:lvlJc w:val="left"/>
      <w:pPr>
        <w:ind w:left="720" w:hanging="360"/>
      </w:pPr>
      <w:rPr>
        <w:rFonts w:ascii="Symbol" w:hAnsi="Symbol" w:hint="default"/>
      </w:rPr>
    </w:lvl>
    <w:lvl w:ilvl="1" w:tplc="CFF0D52E" w:tentative="1">
      <w:start w:val="1"/>
      <w:numFmt w:val="bullet"/>
      <w:lvlText w:val="o"/>
      <w:lvlJc w:val="left"/>
      <w:pPr>
        <w:ind w:left="1440" w:hanging="360"/>
      </w:pPr>
      <w:rPr>
        <w:rFonts w:ascii="Courier New" w:hAnsi="Courier New" w:cs="Courier New" w:hint="default"/>
      </w:rPr>
    </w:lvl>
    <w:lvl w:ilvl="2" w:tplc="C7EA001E" w:tentative="1">
      <w:start w:val="1"/>
      <w:numFmt w:val="bullet"/>
      <w:lvlText w:val=""/>
      <w:lvlJc w:val="left"/>
      <w:pPr>
        <w:ind w:left="2160" w:hanging="360"/>
      </w:pPr>
      <w:rPr>
        <w:rFonts w:ascii="Wingdings" w:hAnsi="Wingdings" w:hint="default"/>
      </w:rPr>
    </w:lvl>
    <w:lvl w:ilvl="3" w:tplc="C5B41692" w:tentative="1">
      <w:start w:val="1"/>
      <w:numFmt w:val="bullet"/>
      <w:lvlText w:val=""/>
      <w:lvlJc w:val="left"/>
      <w:pPr>
        <w:ind w:left="2880" w:hanging="360"/>
      </w:pPr>
      <w:rPr>
        <w:rFonts w:ascii="Symbol" w:hAnsi="Symbol" w:hint="default"/>
      </w:rPr>
    </w:lvl>
    <w:lvl w:ilvl="4" w:tplc="2834B6B4" w:tentative="1">
      <w:start w:val="1"/>
      <w:numFmt w:val="bullet"/>
      <w:lvlText w:val="o"/>
      <w:lvlJc w:val="left"/>
      <w:pPr>
        <w:ind w:left="3600" w:hanging="360"/>
      </w:pPr>
      <w:rPr>
        <w:rFonts w:ascii="Courier New" w:hAnsi="Courier New" w:cs="Courier New" w:hint="default"/>
      </w:rPr>
    </w:lvl>
    <w:lvl w:ilvl="5" w:tplc="92FE8062" w:tentative="1">
      <w:start w:val="1"/>
      <w:numFmt w:val="bullet"/>
      <w:lvlText w:val=""/>
      <w:lvlJc w:val="left"/>
      <w:pPr>
        <w:ind w:left="4320" w:hanging="360"/>
      </w:pPr>
      <w:rPr>
        <w:rFonts w:ascii="Wingdings" w:hAnsi="Wingdings" w:hint="default"/>
      </w:rPr>
    </w:lvl>
    <w:lvl w:ilvl="6" w:tplc="9214B24E" w:tentative="1">
      <w:start w:val="1"/>
      <w:numFmt w:val="bullet"/>
      <w:lvlText w:val=""/>
      <w:lvlJc w:val="left"/>
      <w:pPr>
        <w:ind w:left="5040" w:hanging="360"/>
      </w:pPr>
      <w:rPr>
        <w:rFonts w:ascii="Symbol" w:hAnsi="Symbol" w:hint="default"/>
      </w:rPr>
    </w:lvl>
    <w:lvl w:ilvl="7" w:tplc="0D027C74" w:tentative="1">
      <w:start w:val="1"/>
      <w:numFmt w:val="bullet"/>
      <w:lvlText w:val="o"/>
      <w:lvlJc w:val="left"/>
      <w:pPr>
        <w:ind w:left="5760" w:hanging="360"/>
      </w:pPr>
      <w:rPr>
        <w:rFonts w:ascii="Courier New" w:hAnsi="Courier New" w:cs="Courier New" w:hint="default"/>
      </w:rPr>
    </w:lvl>
    <w:lvl w:ilvl="8" w:tplc="FD822424" w:tentative="1">
      <w:start w:val="1"/>
      <w:numFmt w:val="bullet"/>
      <w:lvlText w:val=""/>
      <w:lvlJc w:val="left"/>
      <w:pPr>
        <w:ind w:left="6480" w:hanging="360"/>
      </w:pPr>
      <w:rPr>
        <w:rFonts w:ascii="Wingdings" w:hAnsi="Wingdings" w:hint="default"/>
      </w:rPr>
    </w:lvl>
  </w:abstractNum>
  <w:abstractNum w:abstractNumId="41" w15:restartNumberingAfterBreak="0">
    <w:nsid w:val="19A20F45"/>
    <w:multiLevelType w:val="hybridMultilevel"/>
    <w:tmpl w:val="F72C167C"/>
    <w:lvl w:ilvl="0" w:tplc="9C921356">
      <w:start w:val="1"/>
      <w:numFmt w:val="bullet"/>
      <w:lvlText w:val=""/>
      <w:lvlJc w:val="left"/>
      <w:pPr>
        <w:ind w:left="1080" w:hanging="360"/>
      </w:pPr>
      <w:rPr>
        <w:rFonts w:ascii="Symbol" w:hAnsi="Symbol" w:hint="default"/>
      </w:rPr>
    </w:lvl>
    <w:lvl w:ilvl="1" w:tplc="2DAEE584" w:tentative="1">
      <w:start w:val="1"/>
      <w:numFmt w:val="bullet"/>
      <w:lvlText w:val="o"/>
      <w:lvlJc w:val="left"/>
      <w:pPr>
        <w:ind w:left="1800" w:hanging="360"/>
      </w:pPr>
      <w:rPr>
        <w:rFonts w:ascii="Courier New" w:hAnsi="Courier New" w:cs="Courier New" w:hint="default"/>
      </w:rPr>
    </w:lvl>
    <w:lvl w:ilvl="2" w:tplc="741CF968" w:tentative="1">
      <w:start w:val="1"/>
      <w:numFmt w:val="bullet"/>
      <w:lvlText w:val=""/>
      <w:lvlJc w:val="left"/>
      <w:pPr>
        <w:ind w:left="2520" w:hanging="360"/>
      </w:pPr>
      <w:rPr>
        <w:rFonts w:ascii="Wingdings" w:hAnsi="Wingdings" w:hint="default"/>
      </w:rPr>
    </w:lvl>
    <w:lvl w:ilvl="3" w:tplc="BA82B26C" w:tentative="1">
      <w:start w:val="1"/>
      <w:numFmt w:val="bullet"/>
      <w:lvlText w:val=""/>
      <w:lvlJc w:val="left"/>
      <w:pPr>
        <w:ind w:left="3240" w:hanging="360"/>
      </w:pPr>
      <w:rPr>
        <w:rFonts w:ascii="Symbol" w:hAnsi="Symbol" w:hint="default"/>
      </w:rPr>
    </w:lvl>
    <w:lvl w:ilvl="4" w:tplc="7E2011EC" w:tentative="1">
      <w:start w:val="1"/>
      <w:numFmt w:val="bullet"/>
      <w:lvlText w:val="o"/>
      <w:lvlJc w:val="left"/>
      <w:pPr>
        <w:ind w:left="3960" w:hanging="360"/>
      </w:pPr>
      <w:rPr>
        <w:rFonts w:ascii="Courier New" w:hAnsi="Courier New" w:cs="Courier New" w:hint="default"/>
      </w:rPr>
    </w:lvl>
    <w:lvl w:ilvl="5" w:tplc="F8C43978" w:tentative="1">
      <w:start w:val="1"/>
      <w:numFmt w:val="bullet"/>
      <w:lvlText w:val=""/>
      <w:lvlJc w:val="left"/>
      <w:pPr>
        <w:ind w:left="4680" w:hanging="360"/>
      </w:pPr>
      <w:rPr>
        <w:rFonts w:ascii="Wingdings" w:hAnsi="Wingdings" w:hint="default"/>
      </w:rPr>
    </w:lvl>
    <w:lvl w:ilvl="6" w:tplc="2E5E48BC" w:tentative="1">
      <w:start w:val="1"/>
      <w:numFmt w:val="bullet"/>
      <w:lvlText w:val=""/>
      <w:lvlJc w:val="left"/>
      <w:pPr>
        <w:ind w:left="5400" w:hanging="360"/>
      </w:pPr>
      <w:rPr>
        <w:rFonts w:ascii="Symbol" w:hAnsi="Symbol" w:hint="default"/>
      </w:rPr>
    </w:lvl>
    <w:lvl w:ilvl="7" w:tplc="E9FE6A8A" w:tentative="1">
      <w:start w:val="1"/>
      <w:numFmt w:val="bullet"/>
      <w:lvlText w:val="o"/>
      <w:lvlJc w:val="left"/>
      <w:pPr>
        <w:ind w:left="6120" w:hanging="360"/>
      </w:pPr>
      <w:rPr>
        <w:rFonts w:ascii="Courier New" w:hAnsi="Courier New" w:cs="Courier New" w:hint="default"/>
      </w:rPr>
    </w:lvl>
    <w:lvl w:ilvl="8" w:tplc="9DBCC87E" w:tentative="1">
      <w:start w:val="1"/>
      <w:numFmt w:val="bullet"/>
      <w:lvlText w:val=""/>
      <w:lvlJc w:val="left"/>
      <w:pPr>
        <w:ind w:left="6840" w:hanging="360"/>
      </w:pPr>
      <w:rPr>
        <w:rFonts w:ascii="Wingdings" w:hAnsi="Wingdings" w:hint="default"/>
      </w:rPr>
    </w:lvl>
  </w:abstractNum>
  <w:abstractNum w:abstractNumId="42" w15:restartNumberingAfterBreak="0">
    <w:nsid w:val="1A782059"/>
    <w:multiLevelType w:val="multilevel"/>
    <w:tmpl w:val="04A8E54A"/>
    <w:lvl w:ilvl="0">
      <w:start w:val="2"/>
      <w:numFmt w:val="decimal"/>
      <w:pStyle w:val="a1"/>
      <w:lvlText w:val="%1."/>
      <w:lvlJc w:val="left"/>
      <w:pPr>
        <w:ind w:left="7307"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2"/>
      <w:numFmt w:val="decimal"/>
      <w:lvlText w:val="2.7.7.%4."/>
      <w:lvlJc w:val="left"/>
      <w:pPr>
        <w:ind w:left="2061" w:hanging="1080"/>
      </w:pPr>
      <w:rPr>
        <w:rFonts w:hint="default"/>
        <w:i/>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3816" w:hanging="1800"/>
      </w:pPr>
      <w:rPr>
        <w:rFonts w:hint="default"/>
      </w:rPr>
    </w:lvl>
  </w:abstractNum>
  <w:abstractNum w:abstractNumId="43" w15:restartNumberingAfterBreak="0">
    <w:nsid w:val="1AA32282"/>
    <w:multiLevelType w:val="hybridMultilevel"/>
    <w:tmpl w:val="1B525F2A"/>
    <w:lvl w:ilvl="0" w:tplc="7E4EF7AA">
      <w:start w:val="1"/>
      <w:numFmt w:val="bullet"/>
      <w:lvlText w:val="–"/>
      <w:lvlJc w:val="left"/>
      <w:pPr>
        <w:ind w:left="1287" w:hanging="360"/>
      </w:pPr>
      <w:rPr>
        <w:rFonts w:ascii="Times New Roman" w:hAnsi="Times New Roman" w:cs="Times New Roman" w:hint="default"/>
      </w:rPr>
    </w:lvl>
    <w:lvl w:ilvl="1" w:tplc="D1C4FA48" w:tentative="1">
      <w:start w:val="1"/>
      <w:numFmt w:val="bullet"/>
      <w:lvlText w:val="o"/>
      <w:lvlJc w:val="left"/>
      <w:pPr>
        <w:ind w:left="2007" w:hanging="360"/>
      </w:pPr>
      <w:rPr>
        <w:rFonts w:ascii="Courier New" w:hAnsi="Courier New" w:cs="Courier New" w:hint="default"/>
      </w:rPr>
    </w:lvl>
    <w:lvl w:ilvl="2" w:tplc="26F04F82">
      <w:start w:val="1"/>
      <w:numFmt w:val="bullet"/>
      <w:lvlText w:val="–"/>
      <w:lvlJc w:val="left"/>
      <w:pPr>
        <w:ind w:left="2727" w:hanging="360"/>
      </w:pPr>
      <w:rPr>
        <w:rFonts w:ascii="Times New Roman" w:hAnsi="Times New Roman" w:cs="Times New Roman" w:hint="default"/>
      </w:rPr>
    </w:lvl>
    <w:lvl w:ilvl="3" w:tplc="A036BD34" w:tentative="1">
      <w:start w:val="1"/>
      <w:numFmt w:val="bullet"/>
      <w:lvlText w:val=""/>
      <w:lvlJc w:val="left"/>
      <w:pPr>
        <w:ind w:left="3447" w:hanging="360"/>
      </w:pPr>
      <w:rPr>
        <w:rFonts w:ascii="Symbol" w:hAnsi="Symbol" w:hint="default"/>
      </w:rPr>
    </w:lvl>
    <w:lvl w:ilvl="4" w:tplc="2C123DA6" w:tentative="1">
      <w:start w:val="1"/>
      <w:numFmt w:val="bullet"/>
      <w:lvlText w:val="o"/>
      <w:lvlJc w:val="left"/>
      <w:pPr>
        <w:ind w:left="4167" w:hanging="360"/>
      </w:pPr>
      <w:rPr>
        <w:rFonts w:ascii="Courier New" w:hAnsi="Courier New" w:cs="Courier New" w:hint="default"/>
      </w:rPr>
    </w:lvl>
    <w:lvl w:ilvl="5" w:tplc="98AA2852" w:tentative="1">
      <w:start w:val="1"/>
      <w:numFmt w:val="bullet"/>
      <w:lvlText w:val=""/>
      <w:lvlJc w:val="left"/>
      <w:pPr>
        <w:ind w:left="4887" w:hanging="360"/>
      </w:pPr>
      <w:rPr>
        <w:rFonts w:ascii="Wingdings" w:hAnsi="Wingdings" w:hint="default"/>
      </w:rPr>
    </w:lvl>
    <w:lvl w:ilvl="6" w:tplc="4498C918" w:tentative="1">
      <w:start w:val="1"/>
      <w:numFmt w:val="bullet"/>
      <w:lvlText w:val=""/>
      <w:lvlJc w:val="left"/>
      <w:pPr>
        <w:ind w:left="5607" w:hanging="360"/>
      </w:pPr>
      <w:rPr>
        <w:rFonts w:ascii="Symbol" w:hAnsi="Symbol" w:hint="default"/>
      </w:rPr>
    </w:lvl>
    <w:lvl w:ilvl="7" w:tplc="1E308602" w:tentative="1">
      <w:start w:val="1"/>
      <w:numFmt w:val="bullet"/>
      <w:lvlText w:val="o"/>
      <w:lvlJc w:val="left"/>
      <w:pPr>
        <w:ind w:left="6327" w:hanging="360"/>
      </w:pPr>
      <w:rPr>
        <w:rFonts w:ascii="Courier New" w:hAnsi="Courier New" w:cs="Courier New" w:hint="default"/>
      </w:rPr>
    </w:lvl>
    <w:lvl w:ilvl="8" w:tplc="8E468456" w:tentative="1">
      <w:start w:val="1"/>
      <w:numFmt w:val="bullet"/>
      <w:lvlText w:val=""/>
      <w:lvlJc w:val="left"/>
      <w:pPr>
        <w:ind w:left="7047" w:hanging="360"/>
      </w:pPr>
      <w:rPr>
        <w:rFonts w:ascii="Wingdings" w:hAnsi="Wingdings" w:hint="default"/>
      </w:rPr>
    </w:lvl>
  </w:abstractNum>
  <w:abstractNum w:abstractNumId="44" w15:restartNumberingAfterBreak="0">
    <w:nsid w:val="1AF97572"/>
    <w:multiLevelType w:val="multilevel"/>
    <w:tmpl w:val="790AEAB6"/>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B194D49"/>
    <w:multiLevelType w:val="hybridMultilevel"/>
    <w:tmpl w:val="751E76FE"/>
    <w:lvl w:ilvl="0" w:tplc="2C2C18B0">
      <w:start w:val="1"/>
      <w:numFmt w:val="bullet"/>
      <w:lvlText w:val="•"/>
      <w:lvlJc w:val="left"/>
      <w:pPr>
        <w:tabs>
          <w:tab w:val="num" w:pos="720"/>
        </w:tabs>
        <w:ind w:left="720" w:hanging="360"/>
      </w:pPr>
      <w:rPr>
        <w:rFonts w:ascii="Arial" w:hAnsi="Arial" w:hint="default"/>
      </w:rPr>
    </w:lvl>
    <w:lvl w:ilvl="1" w:tplc="7AEADB6C" w:tentative="1">
      <w:start w:val="1"/>
      <w:numFmt w:val="bullet"/>
      <w:lvlText w:val="•"/>
      <w:lvlJc w:val="left"/>
      <w:pPr>
        <w:tabs>
          <w:tab w:val="num" w:pos="1440"/>
        </w:tabs>
        <w:ind w:left="1440" w:hanging="360"/>
      </w:pPr>
      <w:rPr>
        <w:rFonts w:ascii="Arial" w:hAnsi="Arial" w:hint="default"/>
      </w:rPr>
    </w:lvl>
    <w:lvl w:ilvl="2" w:tplc="4AF28F20" w:tentative="1">
      <w:start w:val="1"/>
      <w:numFmt w:val="bullet"/>
      <w:lvlText w:val="•"/>
      <w:lvlJc w:val="left"/>
      <w:pPr>
        <w:tabs>
          <w:tab w:val="num" w:pos="2160"/>
        </w:tabs>
        <w:ind w:left="2160" w:hanging="360"/>
      </w:pPr>
      <w:rPr>
        <w:rFonts w:ascii="Arial" w:hAnsi="Arial" w:hint="default"/>
      </w:rPr>
    </w:lvl>
    <w:lvl w:ilvl="3" w:tplc="3DEA96DA" w:tentative="1">
      <w:start w:val="1"/>
      <w:numFmt w:val="bullet"/>
      <w:lvlText w:val="•"/>
      <w:lvlJc w:val="left"/>
      <w:pPr>
        <w:tabs>
          <w:tab w:val="num" w:pos="2880"/>
        </w:tabs>
        <w:ind w:left="2880" w:hanging="360"/>
      </w:pPr>
      <w:rPr>
        <w:rFonts w:ascii="Arial" w:hAnsi="Arial" w:hint="default"/>
      </w:rPr>
    </w:lvl>
    <w:lvl w:ilvl="4" w:tplc="BE9603F6" w:tentative="1">
      <w:start w:val="1"/>
      <w:numFmt w:val="bullet"/>
      <w:lvlText w:val="•"/>
      <w:lvlJc w:val="left"/>
      <w:pPr>
        <w:tabs>
          <w:tab w:val="num" w:pos="3600"/>
        </w:tabs>
        <w:ind w:left="3600" w:hanging="360"/>
      </w:pPr>
      <w:rPr>
        <w:rFonts w:ascii="Arial" w:hAnsi="Arial" w:hint="default"/>
      </w:rPr>
    </w:lvl>
    <w:lvl w:ilvl="5" w:tplc="40242F14" w:tentative="1">
      <w:start w:val="1"/>
      <w:numFmt w:val="bullet"/>
      <w:lvlText w:val="•"/>
      <w:lvlJc w:val="left"/>
      <w:pPr>
        <w:tabs>
          <w:tab w:val="num" w:pos="4320"/>
        </w:tabs>
        <w:ind w:left="4320" w:hanging="360"/>
      </w:pPr>
      <w:rPr>
        <w:rFonts w:ascii="Arial" w:hAnsi="Arial" w:hint="default"/>
      </w:rPr>
    </w:lvl>
    <w:lvl w:ilvl="6" w:tplc="9070915A" w:tentative="1">
      <w:start w:val="1"/>
      <w:numFmt w:val="bullet"/>
      <w:lvlText w:val="•"/>
      <w:lvlJc w:val="left"/>
      <w:pPr>
        <w:tabs>
          <w:tab w:val="num" w:pos="5040"/>
        </w:tabs>
        <w:ind w:left="5040" w:hanging="360"/>
      </w:pPr>
      <w:rPr>
        <w:rFonts w:ascii="Arial" w:hAnsi="Arial" w:hint="default"/>
      </w:rPr>
    </w:lvl>
    <w:lvl w:ilvl="7" w:tplc="C430E834" w:tentative="1">
      <w:start w:val="1"/>
      <w:numFmt w:val="bullet"/>
      <w:lvlText w:val="•"/>
      <w:lvlJc w:val="left"/>
      <w:pPr>
        <w:tabs>
          <w:tab w:val="num" w:pos="5760"/>
        </w:tabs>
        <w:ind w:left="5760" w:hanging="360"/>
      </w:pPr>
      <w:rPr>
        <w:rFonts w:ascii="Arial" w:hAnsi="Arial" w:hint="default"/>
      </w:rPr>
    </w:lvl>
    <w:lvl w:ilvl="8" w:tplc="9D4041C8"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1C00575D"/>
    <w:multiLevelType w:val="hybridMultilevel"/>
    <w:tmpl w:val="94A4D7B2"/>
    <w:lvl w:ilvl="0" w:tplc="5E64B0C8">
      <w:start w:val="1"/>
      <w:numFmt w:val="bullet"/>
      <w:lvlText w:val=""/>
      <w:lvlJc w:val="left"/>
      <w:pPr>
        <w:ind w:left="1287" w:hanging="360"/>
      </w:pPr>
      <w:rPr>
        <w:rFonts w:ascii="Symbol" w:hAnsi="Symbol" w:hint="default"/>
      </w:rPr>
    </w:lvl>
    <w:lvl w:ilvl="1" w:tplc="94DC38FC" w:tentative="1">
      <w:start w:val="1"/>
      <w:numFmt w:val="bullet"/>
      <w:lvlText w:val="o"/>
      <w:lvlJc w:val="left"/>
      <w:pPr>
        <w:ind w:left="2007" w:hanging="360"/>
      </w:pPr>
      <w:rPr>
        <w:rFonts w:ascii="Courier New" w:hAnsi="Courier New" w:cs="Courier New" w:hint="default"/>
      </w:rPr>
    </w:lvl>
    <w:lvl w:ilvl="2" w:tplc="9FEC87AA" w:tentative="1">
      <w:start w:val="1"/>
      <w:numFmt w:val="bullet"/>
      <w:lvlText w:val=""/>
      <w:lvlJc w:val="left"/>
      <w:pPr>
        <w:ind w:left="2727" w:hanging="360"/>
      </w:pPr>
      <w:rPr>
        <w:rFonts w:ascii="Wingdings" w:hAnsi="Wingdings" w:hint="default"/>
      </w:rPr>
    </w:lvl>
    <w:lvl w:ilvl="3" w:tplc="25AC931E" w:tentative="1">
      <w:start w:val="1"/>
      <w:numFmt w:val="bullet"/>
      <w:lvlText w:val=""/>
      <w:lvlJc w:val="left"/>
      <w:pPr>
        <w:ind w:left="3447" w:hanging="360"/>
      </w:pPr>
      <w:rPr>
        <w:rFonts w:ascii="Symbol" w:hAnsi="Symbol" w:hint="default"/>
      </w:rPr>
    </w:lvl>
    <w:lvl w:ilvl="4" w:tplc="827428AA" w:tentative="1">
      <w:start w:val="1"/>
      <w:numFmt w:val="bullet"/>
      <w:lvlText w:val="o"/>
      <w:lvlJc w:val="left"/>
      <w:pPr>
        <w:ind w:left="4167" w:hanging="360"/>
      </w:pPr>
      <w:rPr>
        <w:rFonts w:ascii="Courier New" w:hAnsi="Courier New" w:cs="Courier New" w:hint="default"/>
      </w:rPr>
    </w:lvl>
    <w:lvl w:ilvl="5" w:tplc="8B9097A2" w:tentative="1">
      <w:start w:val="1"/>
      <w:numFmt w:val="bullet"/>
      <w:lvlText w:val=""/>
      <w:lvlJc w:val="left"/>
      <w:pPr>
        <w:ind w:left="4887" w:hanging="360"/>
      </w:pPr>
      <w:rPr>
        <w:rFonts w:ascii="Wingdings" w:hAnsi="Wingdings" w:hint="default"/>
      </w:rPr>
    </w:lvl>
    <w:lvl w:ilvl="6" w:tplc="C4743FD8" w:tentative="1">
      <w:start w:val="1"/>
      <w:numFmt w:val="bullet"/>
      <w:lvlText w:val=""/>
      <w:lvlJc w:val="left"/>
      <w:pPr>
        <w:ind w:left="5607" w:hanging="360"/>
      </w:pPr>
      <w:rPr>
        <w:rFonts w:ascii="Symbol" w:hAnsi="Symbol" w:hint="default"/>
      </w:rPr>
    </w:lvl>
    <w:lvl w:ilvl="7" w:tplc="C562C7FE" w:tentative="1">
      <w:start w:val="1"/>
      <w:numFmt w:val="bullet"/>
      <w:lvlText w:val="o"/>
      <w:lvlJc w:val="left"/>
      <w:pPr>
        <w:ind w:left="6327" w:hanging="360"/>
      </w:pPr>
      <w:rPr>
        <w:rFonts w:ascii="Courier New" w:hAnsi="Courier New" w:cs="Courier New" w:hint="default"/>
      </w:rPr>
    </w:lvl>
    <w:lvl w:ilvl="8" w:tplc="F0F2F550" w:tentative="1">
      <w:start w:val="1"/>
      <w:numFmt w:val="bullet"/>
      <w:lvlText w:val=""/>
      <w:lvlJc w:val="left"/>
      <w:pPr>
        <w:ind w:left="7047" w:hanging="360"/>
      </w:pPr>
      <w:rPr>
        <w:rFonts w:ascii="Wingdings" w:hAnsi="Wingdings" w:hint="default"/>
      </w:rPr>
    </w:lvl>
  </w:abstractNum>
  <w:abstractNum w:abstractNumId="47" w15:restartNumberingAfterBreak="0">
    <w:nsid w:val="1C3017BE"/>
    <w:multiLevelType w:val="hybridMultilevel"/>
    <w:tmpl w:val="C1D6C806"/>
    <w:lvl w:ilvl="0" w:tplc="DBA4A9CA">
      <w:start w:val="1"/>
      <w:numFmt w:val="bullet"/>
      <w:lvlText w:val=""/>
      <w:lvlJc w:val="left"/>
      <w:pPr>
        <w:ind w:left="994" w:hanging="360"/>
      </w:pPr>
      <w:rPr>
        <w:rFonts w:ascii="Wingdings" w:hAnsi="Wingdings" w:hint="default"/>
      </w:rPr>
    </w:lvl>
    <w:lvl w:ilvl="1" w:tplc="4FE8EC88" w:tentative="1">
      <w:start w:val="1"/>
      <w:numFmt w:val="bullet"/>
      <w:lvlText w:val="o"/>
      <w:lvlJc w:val="left"/>
      <w:pPr>
        <w:ind w:left="1714" w:hanging="360"/>
      </w:pPr>
      <w:rPr>
        <w:rFonts w:ascii="Courier New" w:hAnsi="Courier New" w:cs="Courier New" w:hint="default"/>
      </w:rPr>
    </w:lvl>
    <w:lvl w:ilvl="2" w:tplc="CA300A96" w:tentative="1">
      <w:start w:val="1"/>
      <w:numFmt w:val="bullet"/>
      <w:lvlText w:val=""/>
      <w:lvlJc w:val="left"/>
      <w:pPr>
        <w:ind w:left="2434" w:hanging="360"/>
      </w:pPr>
      <w:rPr>
        <w:rFonts w:ascii="Wingdings" w:hAnsi="Wingdings" w:hint="default"/>
      </w:rPr>
    </w:lvl>
    <w:lvl w:ilvl="3" w:tplc="90581C9E" w:tentative="1">
      <w:start w:val="1"/>
      <w:numFmt w:val="bullet"/>
      <w:lvlText w:val=""/>
      <w:lvlJc w:val="left"/>
      <w:pPr>
        <w:ind w:left="3154" w:hanging="360"/>
      </w:pPr>
      <w:rPr>
        <w:rFonts w:ascii="Symbol" w:hAnsi="Symbol" w:hint="default"/>
      </w:rPr>
    </w:lvl>
    <w:lvl w:ilvl="4" w:tplc="2F42788E" w:tentative="1">
      <w:start w:val="1"/>
      <w:numFmt w:val="bullet"/>
      <w:lvlText w:val="o"/>
      <w:lvlJc w:val="left"/>
      <w:pPr>
        <w:ind w:left="3874" w:hanging="360"/>
      </w:pPr>
      <w:rPr>
        <w:rFonts w:ascii="Courier New" w:hAnsi="Courier New" w:cs="Courier New" w:hint="default"/>
      </w:rPr>
    </w:lvl>
    <w:lvl w:ilvl="5" w:tplc="585AD2DE" w:tentative="1">
      <w:start w:val="1"/>
      <w:numFmt w:val="bullet"/>
      <w:lvlText w:val=""/>
      <w:lvlJc w:val="left"/>
      <w:pPr>
        <w:ind w:left="4594" w:hanging="360"/>
      </w:pPr>
      <w:rPr>
        <w:rFonts w:ascii="Wingdings" w:hAnsi="Wingdings" w:hint="default"/>
      </w:rPr>
    </w:lvl>
    <w:lvl w:ilvl="6" w:tplc="44BC6B12" w:tentative="1">
      <w:start w:val="1"/>
      <w:numFmt w:val="bullet"/>
      <w:lvlText w:val=""/>
      <w:lvlJc w:val="left"/>
      <w:pPr>
        <w:ind w:left="5314" w:hanging="360"/>
      </w:pPr>
      <w:rPr>
        <w:rFonts w:ascii="Symbol" w:hAnsi="Symbol" w:hint="default"/>
      </w:rPr>
    </w:lvl>
    <w:lvl w:ilvl="7" w:tplc="1A544B50" w:tentative="1">
      <w:start w:val="1"/>
      <w:numFmt w:val="bullet"/>
      <w:lvlText w:val="o"/>
      <w:lvlJc w:val="left"/>
      <w:pPr>
        <w:ind w:left="6034" w:hanging="360"/>
      </w:pPr>
      <w:rPr>
        <w:rFonts w:ascii="Courier New" w:hAnsi="Courier New" w:cs="Courier New" w:hint="default"/>
      </w:rPr>
    </w:lvl>
    <w:lvl w:ilvl="8" w:tplc="AD10C51C" w:tentative="1">
      <w:start w:val="1"/>
      <w:numFmt w:val="bullet"/>
      <w:lvlText w:val=""/>
      <w:lvlJc w:val="left"/>
      <w:pPr>
        <w:ind w:left="6754" w:hanging="360"/>
      </w:pPr>
      <w:rPr>
        <w:rFonts w:ascii="Wingdings" w:hAnsi="Wingdings" w:hint="default"/>
      </w:rPr>
    </w:lvl>
  </w:abstractNum>
  <w:abstractNum w:abstractNumId="48" w15:restartNumberingAfterBreak="0">
    <w:nsid w:val="1D4B0E3E"/>
    <w:multiLevelType w:val="hybridMultilevel"/>
    <w:tmpl w:val="076E4BFA"/>
    <w:lvl w:ilvl="0" w:tplc="462801B4">
      <w:start w:val="1"/>
      <w:numFmt w:val="bullet"/>
      <w:lvlText w:val="•"/>
      <w:lvlJc w:val="left"/>
      <w:pPr>
        <w:tabs>
          <w:tab w:val="num" w:pos="720"/>
        </w:tabs>
        <w:ind w:left="720" w:hanging="360"/>
      </w:pPr>
      <w:rPr>
        <w:rFonts w:ascii="Arial" w:hAnsi="Arial" w:hint="default"/>
      </w:rPr>
    </w:lvl>
    <w:lvl w:ilvl="1" w:tplc="BEDA6180" w:tentative="1">
      <w:start w:val="1"/>
      <w:numFmt w:val="bullet"/>
      <w:lvlText w:val="•"/>
      <w:lvlJc w:val="left"/>
      <w:pPr>
        <w:tabs>
          <w:tab w:val="num" w:pos="1440"/>
        </w:tabs>
        <w:ind w:left="1440" w:hanging="360"/>
      </w:pPr>
      <w:rPr>
        <w:rFonts w:ascii="Arial" w:hAnsi="Arial" w:hint="default"/>
      </w:rPr>
    </w:lvl>
    <w:lvl w:ilvl="2" w:tplc="C5E20AAC" w:tentative="1">
      <w:start w:val="1"/>
      <w:numFmt w:val="bullet"/>
      <w:lvlText w:val="•"/>
      <w:lvlJc w:val="left"/>
      <w:pPr>
        <w:tabs>
          <w:tab w:val="num" w:pos="2160"/>
        </w:tabs>
        <w:ind w:left="2160" w:hanging="360"/>
      </w:pPr>
      <w:rPr>
        <w:rFonts w:ascii="Arial" w:hAnsi="Arial" w:hint="default"/>
      </w:rPr>
    </w:lvl>
    <w:lvl w:ilvl="3" w:tplc="DC90326C" w:tentative="1">
      <w:start w:val="1"/>
      <w:numFmt w:val="bullet"/>
      <w:lvlText w:val="•"/>
      <w:lvlJc w:val="left"/>
      <w:pPr>
        <w:tabs>
          <w:tab w:val="num" w:pos="2880"/>
        </w:tabs>
        <w:ind w:left="2880" w:hanging="360"/>
      </w:pPr>
      <w:rPr>
        <w:rFonts w:ascii="Arial" w:hAnsi="Arial" w:hint="default"/>
      </w:rPr>
    </w:lvl>
    <w:lvl w:ilvl="4" w:tplc="A2B2FC54" w:tentative="1">
      <w:start w:val="1"/>
      <w:numFmt w:val="bullet"/>
      <w:lvlText w:val="•"/>
      <w:lvlJc w:val="left"/>
      <w:pPr>
        <w:tabs>
          <w:tab w:val="num" w:pos="3600"/>
        </w:tabs>
        <w:ind w:left="3600" w:hanging="360"/>
      </w:pPr>
      <w:rPr>
        <w:rFonts w:ascii="Arial" w:hAnsi="Arial" w:hint="default"/>
      </w:rPr>
    </w:lvl>
    <w:lvl w:ilvl="5" w:tplc="D876B642" w:tentative="1">
      <w:start w:val="1"/>
      <w:numFmt w:val="bullet"/>
      <w:lvlText w:val="•"/>
      <w:lvlJc w:val="left"/>
      <w:pPr>
        <w:tabs>
          <w:tab w:val="num" w:pos="4320"/>
        </w:tabs>
        <w:ind w:left="4320" w:hanging="360"/>
      </w:pPr>
      <w:rPr>
        <w:rFonts w:ascii="Arial" w:hAnsi="Arial" w:hint="default"/>
      </w:rPr>
    </w:lvl>
    <w:lvl w:ilvl="6" w:tplc="B7F82E7C" w:tentative="1">
      <w:start w:val="1"/>
      <w:numFmt w:val="bullet"/>
      <w:lvlText w:val="•"/>
      <w:lvlJc w:val="left"/>
      <w:pPr>
        <w:tabs>
          <w:tab w:val="num" w:pos="5040"/>
        </w:tabs>
        <w:ind w:left="5040" w:hanging="360"/>
      </w:pPr>
      <w:rPr>
        <w:rFonts w:ascii="Arial" w:hAnsi="Arial" w:hint="default"/>
      </w:rPr>
    </w:lvl>
    <w:lvl w:ilvl="7" w:tplc="A35A2D7C" w:tentative="1">
      <w:start w:val="1"/>
      <w:numFmt w:val="bullet"/>
      <w:lvlText w:val="•"/>
      <w:lvlJc w:val="left"/>
      <w:pPr>
        <w:tabs>
          <w:tab w:val="num" w:pos="5760"/>
        </w:tabs>
        <w:ind w:left="5760" w:hanging="360"/>
      </w:pPr>
      <w:rPr>
        <w:rFonts w:ascii="Arial" w:hAnsi="Arial" w:hint="default"/>
      </w:rPr>
    </w:lvl>
    <w:lvl w:ilvl="8" w:tplc="5884458E"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1E2E7AA3"/>
    <w:multiLevelType w:val="hybridMultilevel"/>
    <w:tmpl w:val="04A4617C"/>
    <w:lvl w:ilvl="0" w:tplc="557026BC">
      <w:start w:val="1"/>
      <w:numFmt w:val="bullet"/>
      <w:lvlText w:val="•"/>
      <w:lvlJc w:val="left"/>
      <w:pPr>
        <w:tabs>
          <w:tab w:val="num" w:pos="720"/>
        </w:tabs>
        <w:ind w:left="720" w:hanging="360"/>
      </w:pPr>
      <w:rPr>
        <w:rFonts w:ascii="Arial" w:hAnsi="Arial" w:hint="default"/>
      </w:rPr>
    </w:lvl>
    <w:lvl w:ilvl="1" w:tplc="63A8B5E6" w:tentative="1">
      <w:start w:val="1"/>
      <w:numFmt w:val="bullet"/>
      <w:lvlText w:val="•"/>
      <w:lvlJc w:val="left"/>
      <w:pPr>
        <w:tabs>
          <w:tab w:val="num" w:pos="1440"/>
        </w:tabs>
        <w:ind w:left="1440" w:hanging="360"/>
      </w:pPr>
      <w:rPr>
        <w:rFonts w:ascii="Arial" w:hAnsi="Arial" w:hint="default"/>
      </w:rPr>
    </w:lvl>
    <w:lvl w:ilvl="2" w:tplc="DB746A52" w:tentative="1">
      <w:start w:val="1"/>
      <w:numFmt w:val="bullet"/>
      <w:lvlText w:val="•"/>
      <w:lvlJc w:val="left"/>
      <w:pPr>
        <w:tabs>
          <w:tab w:val="num" w:pos="2160"/>
        </w:tabs>
        <w:ind w:left="2160" w:hanging="360"/>
      </w:pPr>
      <w:rPr>
        <w:rFonts w:ascii="Arial" w:hAnsi="Arial" w:hint="default"/>
      </w:rPr>
    </w:lvl>
    <w:lvl w:ilvl="3" w:tplc="3CD07214" w:tentative="1">
      <w:start w:val="1"/>
      <w:numFmt w:val="bullet"/>
      <w:lvlText w:val="•"/>
      <w:lvlJc w:val="left"/>
      <w:pPr>
        <w:tabs>
          <w:tab w:val="num" w:pos="2880"/>
        </w:tabs>
        <w:ind w:left="2880" w:hanging="360"/>
      </w:pPr>
      <w:rPr>
        <w:rFonts w:ascii="Arial" w:hAnsi="Arial" w:hint="default"/>
      </w:rPr>
    </w:lvl>
    <w:lvl w:ilvl="4" w:tplc="F510FE44" w:tentative="1">
      <w:start w:val="1"/>
      <w:numFmt w:val="bullet"/>
      <w:lvlText w:val="•"/>
      <w:lvlJc w:val="left"/>
      <w:pPr>
        <w:tabs>
          <w:tab w:val="num" w:pos="3600"/>
        </w:tabs>
        <w:ind w:left="3600" w:hanging="360"/>
      </w:pPr>
      <w:rPr>
        <w:rFonts w:ascii="Arial" w:hAnsi="Arial" w:hint="default"/>
      </w:rPr>
    </w:lvl>
    <w:lvl w:ilvl="5" w:tplc="0B2E525C" w:tentative="1">
      <w:start w:val="1"/>
      <w:numFmt w:val="bullet"/>
      <w:lvlText w:val="•"/>
      <w:lvlJc w:val="left"/>
      <w:pPr>
        <w:tabs>
          <w:tab w:val="num" w:pos="4320"/>
        </w:tabs>
        <w:ind w:left="4320" w:hanging="360"/>
      </w:pPr>
      <w:rPr>
        <w:rFonts w:ascii="Arial" w:hAnsi="Arial" w:hint="default"/>
      </w:rPr>
    </w:lvl>
    <w:lvl w:ilvl="6" w:tplc="2E9A5346" w:tentative="1">
      <w:start w:val="1"/>
      <w:numFmt w:val="bullet"/>
      <w:lvlText w:val="•"/>
      <w:lvlJc w:val="left"/>
      <w:pPr>
        <w:tabs>
          <w:tab w:val="num" w:pos="5040"/>
        </w:tabs>
        <w:ind w:left="5040" w:hanging="360"/>
      </w:pPr>
      <w:rPr>
        <w:rFonts w:ascii="Arial" w:hAnsi="Arial" w:hint="default"/>
      </w:rPr>
    </w:lvl>
    <w:lvl w:ilvl="7" w:tplc="22821BDE" w:tentative="1">
      <w:start w:val="1"/>
      <w:numFmt w:val="bullet"/>
      <w:lvlText w:val="•"/>
      <w:lvlJc w:val="left"/>
      <w:pPr>
        <w:tabs>
          <w:tab w:val="num" w:pos="5760"/>
        </w:tabs>
        <w:ind w:left="5760" w:hanging="360"/>
      </w:pPr>
      <w:rPr>
        <w:rFonts w:ascii="Arial" w:hAnsi="Arial" w:hint="default"/>
      </w:rPr>
    </w:lvl>
    <w:lvl w:ilvl="8" w:tplc="71B6C530"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1F7213B2"/>
    <w:multiLevelType w:val="multilevel"/>
    <w:tmpl w:val="38B02552"/>
    <w:lvl w:ilvl="0">
      <w:start w:val="1"/>
      <w:numFmt w:val="decimal"/>
      <w:lvlText w:val="5.%1."/>
      <w:lvlJc w:val="left"/>
      <w:pPr>
        <w:ind w:left="360" w:hanging="360"/>
      </w:pPr>
      <w:rPr>
        <w:rFonts w:hint="default"/>
      </w:rPr>
    </w:lvl>
    <w:lvl w:ilvl="1">
      <w:start w:val="1"/>
      <w:numFmt w:val="decimal"/>
      <w:lvlText w:val="%1.%2"/>
      <w:lvlJc w:val="left"/>
      <w:pPr>
        <w:ind w:left="478" w:hanging="360"/>
      </w:pPr>
      <w:rPr>
        <w:rFonts w:hint="default"/>
      </w:rPr>
    </w:lvl>
    <w:lvl w:ilvl="2">
      <w:start w:val="1"/>
      <w:numFmt w:val="decimal"/>
      <w:lvlText w:val="%1.%2.%3"/>
      <w:lvlJc w:val="left"/>
      <w:pPr>
        <w:ind w:left="956" w:hanging="720"/>
      </w:pPr>
      <w:rPr>
        <w:rFonts w:hint="default"/>
      </w:rPr>
    </w:lvl>
    <w:lvl w:ilvl="3">
      <w:start w:val="1"/>
      <w:numFmt w:val="decimal"/>
      <w:lvlText w:val="%1.%2.%3.%4"/>
      <w:lvlJc w:val="left"/>
      <w:pPr>
        <w:ind w:left="1074" w:hanging="720"/>
      </w:pPr>
      <w:rPr>
        <w:rFonts w:hint="default"/>
      </w:rPr>
    </w:lvl>
    <w:lvl w:ilvl="4">
      <w:start w:val="1"/>
      <w:numFmt w:val="decimal"/>
      <w:lvlText w:val="%1.%2.%3.%4.%5"/>
      <w:lvlJc w:val="left"/>
      <w:pPr>
        <w:ind w:left="1192" w:hanging="720"/>
      </w:pPr>
      <w:rPr>
        <w:rFonts w:hint="default"/>
      </w:rPr>
    </w:lvl>
    <w:lvl w:ilvl="5">
      <w:start w:val="1"/>
      <w:numFmt w:val="decimal"/>
      <w:lvlText w:val="%1.%2.%3.%4.%5.%6"/>
      <w:lvlJc w:val="left"/>
      <w:pPr>
        <w:ind w:left="1670" w:hanging="1080"/>
      </w:pPr>
      <w:rPr>
        <w:rFonts w:hint="default"/>
      </w:rPr>
    </w:lvl>
    <w:lvl w:ilvl="6">
      <w:start w:val="1"/>
      <w:numFmt w:val="decimal"/>
      <w:lvlText w:val="%1.%2.%3.%4.%5.%6.%7"/>
      <w:lvlJc w:val="left"/>
      <w:pPr>
        <w:ind w:left="1788" w:hanging="1080"/>
      </w:pPr>
      <w:rPr>
        <w:rFonts w:hint="default"/>
      </w:rPr>
    </w:lvl>
    <w:lvl w:ilvl="7">
      <w:start w:val="1"/>
      <w:numFmt w:val="decimal"/>
      <w:lvlText w:val="%1.%2.%3.%4.%5.%6.%7.%8"/>
      <w:lvlJc w:val="left"/>
      <w:pPr>
        <w:ind w:left="2266" w:hanging="1440"/>
      </w:pPr>
      <w:rPr>
        <w:rFonts w:hint="default"/>
      </w:rPr>
    </w:lvl>
    <w:lvl w:ilvl="8">
      <w:start w:val="1"/>
      <w:numFmt w:val="decimal"/>
      <w:lvlText w:val="%1.%2.%3.%4.%5.%6.%7.%8.%9"/>
      <w:lvlJc w:val="left"/>
      <w:pPr>
        <w:ind w:left="2384" w:hanging="1440"/>
      </w:pPr>
      <w:rPr>
        <w:rFonts w:hint="default"/>
      </w:rPr>
    </w:lvl>
  </w:abstractNum>
  <w:abstractNum w:abstractNumId="51" w15:restartNumberingAfterBreak="0">
    <w:nsid w:val="1FD01554"/>
    <w:multiLevelType w:val="hybridMultilevel"/>
    <w:tmpl w:val="8BAA8524"/>
    <w:lvl w:ilvl="0" w:tplc="17AA1B94">
      <w:start w:val="1"/>
      <w:numFmt w:val="lowerLetter"/>
      <w:lvlText w:val="%1."/>
      <w:lvlJc w:val="left"/>
      <w:pPr>
        <w:ind w:left="720" w:hanging="360"/>
      </w:pPr>
      <w:rPr>
        <w:rFonts w:hint="default"/>
      </w:rPr>
    </w:lvl>
    <w:lvl w:ilvl="1" w:tplc="820A4BEE" w:tentative="1">
      <w:start w:val="1"/>
      <w:numFmt w:val="lowerLetter"/>
      <w:lvlText w:val="%2."/>
      <w:lvlJc w:val="left"/>
      <w:pPr>
        <w:ind w:left="1440" w:hanging="360"/>
      </w:pPr>
    </w:lvl>
    <w:lvl w:ilvl="2" w:tplc="66B253E0" w:tentative="1">
      <w:start w:val="1"/>
      <w:numFmt w:val="lowerRoman"/>
      <w:lvlText w:val="%3."/>
      <w:lvlJc w:val="right"/>
      <w:pPr>
        <w:ind w:left="2160" w:hanging="180"/>
      </w:pPr>
    </w:lvl>
    <w:lvl w:ilvl="3" w:tplc="1A487DD4" w:tentative="1">
      <w:start w:val="1"/>
      <w:numFmt w:val="decimal"/>
      <w:lvlText w:val="%4."/>
      <w:lvlJc w:val="left"/>
      <w:pPr>
        <w:ind w:left="2880" w:hanging="360"/>
      </w:pPr>
    </w:lvl>
    <w:lvl w:ilvl="4" w:tplc="A328CB30" w:tentative="1">
      <w:start w:val="1"/>
      <w:numFmt w:val="lowerLetter"/>
      <w:lvlText w:val="%5."/>
      <w:lvlJc w:val="left"/>
      <w:pPr>
        <w:ind w:left="3600" w:hanging="360"/>
      </w:pPr>
    </w:lvl>
    <w:lvl w:ilvl="5" w:tplc="88E40298" w:tentative="1">
      <w:start w:val="1"/>
      <w:numFmt w:val="lowerRoman"/>
      <w:lvlText w:val="%6."/>
      <w:lvlJc w:val="right"/>
      <w:pPr>
        <w:ind w:left="4320" w:hanging="180"/>
      </w:pPr>
    </w:lvl>
    <w:lvl w:ilvl="6" w:tplc="D4E6080A" w:tentative="1">
      <w:start w:val="1"/>
      <w:numFmt w:val="decimal"/>
      <w:lvlText w:val="%7."/>
      <w:lvlJc w:val="left"/>
      <w:pPr>
        <w:ind w:left="5040" w:hanging="360"/>
      </w:pPr>
    </w:lvl>
    <w:lvl w:ilvl="7" w:tplc="BE70588A" w:tentative="1">
      <w:start w:val="1"/>
      <w:numFmt w:val="lowerLetter"/>
      <w:lvlText w:val="%8."/>
      <w:lvlJc w:val="left"/>
      <w:pPr>
        <w:ind w:left="5760" w:hanging="360"/>
      </w:pPr>
    </w:lvl>
    <w:lvl w:ilvl="8" w:tplc="12E404E6" w:tentative="1">
      <w:start w:val="1"/>
      <w:numFmt w:val="lowerRoman"/>
      <w:lvlText w:val="%9."/>
      <w:lvlJc w:val="right"/>
      <w:pPr>
        <w:ind w:left="6480" w:hanging="180"/>
      </w:pPr>
    </w:lvl>
  </w:abstractNum>
  <w:abstractNum w:abstractNumId="52" w15:restartNumberingAfterBreak="0">
    <w:nsid w:val="20B20E76"/>
    <w:multiLevelType w:val="hybridMultilevel"/>
    <w:tmpl w:val="ED160E2A"/>
    <w:lvl w:ilvl="0" w:tplc="9B44E832">
      <w:start w:val="1"/>
      <w:numFmt w:val="lowerLetter"/>
      <w:lvlText w:val="%1."/>
      <w:lvlJc w:val="left"/>
      <w:pPr>
        <w:ind w:left="720" w:hanging="360"/>
      </w:pPr>
      <w:rPr>
        <w:rFonts w:eastAsia="Calibri" w:cs="Arial" w:hint="default"/>
        <w:color w:val="auto"/>
      </w:rPr>
    </w:lvl>
    <w:lvl w:ilvl="1" w:tplc="7DAA6EEE" w:tentative="1">
      <w:start w:val="1"/>
      <w:numFmt w:val="lowerLetter"/>
      <w:lvlText w:val="%2."/>
      <w:lvlJc w:val="left"/>
      <w:pPr>
        <w:ind w:left="1440" w:hanging="360"/>
      </w:pPr>
    </w:lvl>
    <w:lvl w:ilvl="2" w:tplc="37B807FA" w:tentative="1">
      <w:start w:val="1"/>
      <w:numFmt w:val="lowerRoman"/>
      <w:lvlText w:val="%3."/>
      <w:lvlJc w:val="right"/>
      <w:pPr>
        <w:ind w:left="2160" w:hanging="180"/>
      </w:pPr>
    </w:lvl>
    <w:lvl w:ilvl="3" w:tplc="8312EF42" w:tentative="1">
      <w:start w:val="1"/>
      <w:numFmt w:val="decimal"/>
      <w:lvlText w:val="%4."/>
      <w:lvlJc w:val="left"/>
      <w:pPr>
        <w:ind w:left="2880" w:hanging="360"/>
      </w:pPr>
    </w:lvl>
    <w:lvl w:ilvl="4" w:tplc="7D2469FA" w:tentative="1">
      <w:start w:val="1"/>
      <w:numFmt w:val="lowerLetter"/>
      <w:lvlText w:val="%5."/>
      <w:lvlJc w:val="left"/>
      <w:pPr>
        <w:ind w:left="3600" w:hanging="360"/>
      </w:pPr>
    </w:lvl>
    <w:lvl w:ilvl="5" w:tplc="12B0418E" w:tentative="1">
      <w:start w:val="1"/>
      <w:numFmt w:val="lowerRoman"/>
      <w:lvlText w:val="%6."/>
      <w:lvlJc w:val="right"/>
      <w:pPr>
        <w:ind w:left="4320" w:hanging="180"/>
      </w:pPr>
    </w:lvl>
    <w:lvl w:ilvl="6" w:tplc="66124EA4" w:tentative="1">
      <w:start w:val="1"/>
      <w:numFmt w:val="decimal"/>
      <w:lvlText w:val="%7."/>
      <w:lvlJc w:val="left"/>
      <w:pPr>
        <w:ind w:left="5040" w:hanging="360"/>
      </w:pPr>
    </w:lvl>
    <w:lvl w:ilvl="7" w:tplc="6324DDAA" w:tentative="1">
      <w:start w:val="1"/>
      <w:numFmt w:val="lowerLetter"/>
      <w:lvlText w:val="%8."/>
      <w:lvlJc w:val="left"/>
      <w:pPr>
        <w:ind w:left="5760" w:hanging="360"/>
      </w:pPr>
    </w:lvl>
    <w:lvl w:ilvl="8" w:tplc="4AF617EE" w:tentative="1">
      <w:start w:val="1"/>
      <w:numFmt w:val="lowerRoman"/>
      <w:lvlText w:val="%9."/>
      <w:lvlJc w:val="right"/>
      <w:pPr>
        <w:ind w:left="6480" w:hanging="180"/>
      </w:pPr>
    </w:lvl>
  </w:abstractNum>
  <w:abstractNum w:abstractNumId="53" w15:restartNumberingAfterBreak="0">
    <w:nsid w:val="20B4572D"/>
    <w:multiLevelType w:val="hybridMultilevel"/>
    <w:tmpl w:val="5464F146"/>
    <w:lvl w:ilvl="0" w:tplc="1A26942A">
      <w:start w:val="1"/>
      <w:numFmt w:val="bullet"/>
      <w:lvlText w:val=""/>
      <w:lvlJc w:val="left"/>
      <w:pPr>
        <w:ind w:left="720" w:hanging="360"/>
      </w:pPr>
      <w:rPr>
        <w:rFonts w:ascii="Symbol" w:hAnsi="Symbol" w:hint="default"/>
      </w:rPr>
    </w:lvl>
    <w:lvl w:ilvl="1" w:tplc="A4CA6D00" w:tentative="1">
      <w:start w:val="1"/>
      <w:numFmt w:val="bullet"/>
      <w:lvlText w:val="o"/>
      <w:lvlJc w:val="left"/>
      <w:pPr>
        <w:ind w:left="1440" w:hanging="360"/>
      </w:pPr>
      <w:rPr>
        <w:rFonts w:ascii="Courier New" w:hAnsi="Courier New" w:cs="Courier New" w:hint="default"/>
      </w:rPr>
    </w:lvl>
    <w:lvl w:ilvl="2" w:tplc="FD3A4F9E" w:tentative="1">
      <w:start w:val="1"/>
      <w:numFmt w:val="bullet"/>
      <w:lvlText w:val=""/>
      <w:lvlJc w:val="left"/>
      <w:pPr>
        <w:ind w:left="2160" w:hanging="360"/>
      </w:pPr>
      <w:rPr>
        <w:rFonts w:ascii="Wingdings" w:hAnsi="Wingdings" w:hint="default"/>
      </w:rPr>
    </w:lvl>
    <w:lvl w:ilvl="3" w:tplc="B0EE124E" w:tentative="1">
      <w:start w:val="1"/>
      <w:numFmt w:val="bullet"/>
      <w:lvlText w:val=""/>
      <w:lvlJc w:val="left"/>
      <w:pPr>
        <w:ind w:left="2880" w:hanging="360"/>
      </w:pPr>
      <w:rPr>
        <w:rFonts w:ascii="Symbol" w:hAnsi="Symbol" w:hint="default"/>
      </w:rPr>
    </w:lvl>
    <w:lvl w:ilvl="4" w:tplc="9DD47496" w:tentative="1">
      <w:start w:val="1"/>
      <w:numFmt w:val="bullet"/>
      <w:lvlText w:val="o"/>
      <w:lvlJc w:val="left"/>
      <w:pPr>
        <w:ind w:left="3600" w:hanging="360"/>
      </w:pPr>
      <w:rPr>
        <w:rFonts w:ascii="Courier New" w:hAnsi="Courier New" w:cs="Courier New" w:hint="default"/>
      </w:rPr>
    </w:lvl>
    <w:lvl w:ilvl="5" w:tplc="3852167A" w:tentative="1">
      <w:start w:val="1"/>
      <w:numFmt w:val="bullet"/>
      <w:lvlText w:val=""/>
      <w:lvlJc w:val="left"/>
      <w:pPr>
        <w:ind w:left="4320" w:hanging="360"/>
      </w:pPr>
      <w:rPr>
        <w:rFonts w:ascii="Wingdings" w:hAnsi="Wingdings" w:hint="default"/>
      </w:rPr>
    </w:lvl>
    <w:lvl w:ilvl="6" w:tplc="BF86E99A" w:tentative="1">
      <w:start w:val="1"/>
      <w:numFmt w:val="bullet"/>
      <w:lvlText w:val=""/>
      <w:lvlJc w:val="left"/>
      <w:pPr>
        <w:ind w:left="5040" w:hanging="360"/>
      </w:pPr>
      <w:rPr>
        <w:rFonts w:ascii="Symbol" w:hAnsi="Symbol" w:hint="default"/>
      </w:rPr>
    </w:lvl>
    <w:lvl w:ilvl="7" w:tplc="5DC6D548" w:tentative="1">
      <w:start w:val="1"/>
      <w:numFmt w:val="bullet"/>
      <w:lvlText w:val="o"/>
      <w:lvlJc w:val="left"/>
      <w:pPr>
        <w:ind w:left="5760" w:hanging="360"/>
      </w:pPr>
      <w:rPr>
        <w:rFonts w:ascii="Courier New" w:hAnsi="Courier New" w:cs="Courier New" w:hint="default"/>
      </w:rPr>
    </w:lvl>
    <w:lvl w:ilvl="8" w:tplc="DE60BAE8" w:tentative="1">
      <w:start w:val="1"/>
      <w:numFmt w:val="bullet"/>
      <w:lvlText w:val=""/>
      <w:lvlJc w:val="left"/>
      <w:pPr>
        <w:ind w:left="6480" w:hanging="360"/>
      </w:pPr>
      <w:rPr>
        <w:rFonts w:ascii="Wingdings" w:hAnsi="Wingdings" w:hint="default"/>
      </w:rPr>
    </w:lvl>
  </w:abstractNum>
  <w:abstractNum w:abstractNumId="54" w15:restartNumberingAfterBreak="0">
    <w:nsid w:val="20EB169C"/>
    <w:multiLevelType w:val="hybridMultilevel"/>
    <w:tmpl w:val="4140C9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221D7626"/>
    <w:multiLevelType w:val="hybridMultilevel"/>
    <w:tmpl w:val="C218A40E"/>
    <w:lvl w:ilvl="0" w:tplc="3BFC8128">
      <w:start w:val="1"/>
      <w:numFmt w:val="bullet"/>
      <w:lvlText w:val=""/>
      <w:lvlJc w:val="left"/>
      <w:pPr>
        <w:ind w:left="360" w:hanging="360"/>
      </w:pPr>
      <w:rPr>
        <w:rFonts w:ascii="Symbol" w:hAnsi="Symbol" w:hint="default"/>
      </w:rPr>
    </w:lvl>
    <w:lvl w:ilvl="1" w:tplc="6002B1A4" w:tentative="1">
      <w:start w:val="1"/>
      <w:numFmt w:val="bullet"/>
      <w:lvlText w:val="o"/>
      <w:lvlJc w:val="left"/>
      <w:pPr>
        <w:ind w:left="1080" w:hanging="360"/>
      </w:pPr>
      <w:rPr>
        <w:rFonts w:ascii="Courier New" w:hAnsi="Courier New" w:cs="Courier New" w:hint="default"/>
      </w:rPr>
    </w:lvl>
    <w:lvl w:ilvl="2" w:tplc="827409AE" w:tentative="1">
      <w:start w:val="1"/>
      <w:numFmt w:val="bullet"/>
      <w:lvlText w:val=""/>
      <w:lvlJc w:val="left"/>
      <w:pPr>
        <w:ind w:left="1800" w:hanging="360"/>
      </w:pPr>
      <w:rPr>
        <w:rFonts w:ascii="Wingdings" w:hAnsi="Wingdings" w:hint="default"/>
      </w:rPr>
    </w:lvl>
    <w:lvl w:ilvl="3" w:tplc="C8A2AC34" w:tentative="1">
      <w:start w:val="1"/>
      <w:numFmt w:val="bullet"/>
      <w:lvlText w:val=""/>
      <w:lvlJc w:val="left"/>
      <w:pPr>
        <w:ind w:left="2520" w:hanging="360"/>
      </w:pPr>
      <w:rPr>
        <w:rFonts w:ascii="Symbol" w:hAnsi="Symbol" w:hint="default"/>
      </w:rPr>
    </w:lvl>
    <w:lvl w:ilvl="4" w:tplc="DE0E3832" w:tentative="1">
      <w:start w:val="1"/>
      <w:numFmt w:val="bullet"/>
      <w:lvlText w:val="o"/>
      <w:lvlJc w:val="left"/>
      <w:pPr>
        <w:ind w:left="3240" w:hanging="360"/>
      </w:pPr>
      <w:rPr>
        <w:rFonts w:ascii="Courier New" w:hAnsi="Courier New" w:cs="Courier New" w:hint="default"/>
      </w:rPr>
    </w:lvl>
    <w:lvl w:ilvl="5" w:tplc="26528A88" w:tentative="1">
      <w:start w:val="1"/>
      <w:numFmt w:val="bullet"/>
      <w:lvlText w:val=""/>
      <w:lvlJc w:val="left"/>
      <w:pPr>
        <w:ind w:left="3960" w:hanging="360"/>
      </w:pPr>
      <w:rPr>
        <w:rFonts w:ascii="Wingdings" w:hAnsi="Wingdings" w:hint="default"/>
      </w:rPr>
    </w:lvl>
    <w:lvl w:ilvl="6" w:tplc="E4066B76" w:tentative="1">
      <w:start w:val="1"/>
      <w:numFmt w:val="bullet"/>
      <w:lvlText w:val=""/>
      <w:lvlJc w:val="left"/>
      <w:pPr>
        <w:ind w:left="4680" w:hanging="360"/>
      </w:pPr>
      <w:rPr>
        <w:rFonts w:ascii="Symbol" w:hAnsi="Symbol" w:hint="default"/>
      </w:rPr>
    </w:lvl>
    <w:lvl w:ilvl="7" w:tplc="21F88B9C" w:tentative="1">
      <w:start w:val="1"/>
      <w:numFmt w:val="bullet"/>
      <w:lvlText w:val="o"/>
      <w:lvlJc w:val="left"/>
      <w:pPr>
        <w:ind w:left="5400" w:hanging="360"/>
      </w:pPr>
      <w:rPr>
        <w:rFonts w:ascii="Courier New" w:hAnsi="Courier New" w:cs="Courier New" w:hint="default"/>
      </w:rPr>
    </w:lvl>
    <w:lvl w:ilvl="8" w:tplc="80A47F0A" w:tentative="1">
      <w:start w:val="1"/>
      <w:numFmt w:val="bullet"/>
      <w:lvlText w:val=""/>
      <w:lvlJc w:val="left"/>
      <w:pPr>
        <w:ind w:left="6120" w:hanging="360"/>
      </w:pPr>
      <w:rPr>
        <w:rFonts w:ascii="Wingdings" w:hAnsi="Wingdings" w:hint="default"/>
      </w:rPr>
    </w:lvl>
  </w:abstractNum>
  <w:abstractNum w:abstractNumId="56" w15:restartNumberingAfterBreak="0">
    <w:nsid w:val="22E557BF"/>
    <w:multiLevelType w:val="hybridMultilevel"/>
    <w:tmpl w:val="75B4EABC"/>
    <w:lvl w:ilvl="0" w:tplc="E0ACC066">
      <w:start w:val="1"/>
      <w:numFmt w:val="decimal"/>
      <w:lvlText w:val="%1."/>
      <w:lvlJc w:val="left"/>
      <w:pPr>
        <w:ind w:left="720" w:hanging="360"/>
      </w:pPr>
    </w:lvl>
    <w:lvl w:ilvl="1" w:tplc="9AB8103E" w:tentative="1">
      <w:start w:val="1"/>
      <w:numFmt w:val="lowerLetter"/>
      <w:lvlText w:val="%2."/>
      <w:lvlJc w:val="left"/>
      <w:pPr>
        <w:ind w:left="1440" w:hanging="360"/>
      </w:pPr>
    </w:lvl>
    <w:lvl w:ilvl="2" w:tplc="9F8E90E2" w:tentative="1">
      <w:start w:val="1"/>
      <w:numFmt w:val="lowerRoman"/>
      <w:lvlText w:val="%3."/>
      <w:lvlJc w:val="right"/>
      <w:pPr>
        <w:ind w:left="2160" w:hanging="180"/>
      </w:pPr>
    </w:lvl>
    <w:lvl w:ilvl="3" w:tplc="A3BAAA06" w:tentative="1">
      <w:start w:val="1"/>
      <w:numFmt w:val="decimal"/>
      <w:lvlText w:val="%4."/>
      <w:lvlJc w:val="left"/>
      <w:pPr>
        <w:ind w:left="2880" w:hanging="360"/>
      </w:pPr>
    </w:lvl>
    <w:lvl w:ilvl="4" w:tplc="26C6BE88" w:tentative="1">
      <w:start w:val="1"/>
      <w:numFmt w:val="lowerLetter"/>
      <w:lvlText w:val="%5."/>
      <w:lvlJc w:val="left"/>
      <w:pPr>
        <w:ind w:left="3600" w:hanging="360"/>
      </w:pPr>
    </w:lvl>
    <w:lvl w:ilvl="5" w:tplc="EC38B7DC" w:tentative="1">
      <w:start w:val="1"/>
      <w:numFmt w:val="lowerRoman"/>
      <w:lvlText w:val="%6."/>
      <w:lvlJc w:val="right"/>
      <w:pPr>
        <w:ind w:left="4320" w:hanging="180"/>
      </w:pPr>
    </w:lvl>
    <w:lvl w:ilvl="6" w:tplc="F72A8C86" w:tentative="1">
      <w:start w:val="1"/>
      <w:numFmt w:val="decimal"/>
      <w:lvlText w:val="%7."/>
      <w:lvlJc w:val="left"/>
      <w:pPr>
        <w:ind w:left="5040" w:hanging="360"/>
      </w:pPr>
    </w:lvl>
    <w:lvl w:ilvl="7" w:tplc="6C28A962" w:tentative="1">
      <w:start w:val="1"/>
      <w:numFmt w:val="lowerLetter"/>
      <w:lvlText w:val="%8."/>
      <w:lvlJc w:val="left"/>
      <w:pPr>
        <w:ind w:left="5760" w:hanging="360"/>
      </w:pPr>
    </w:lvl>
    <w:lvl w:ilvl="8" w:tplc="BD9A418A" w:tentative="1">
      <w:start w:val="1"/>
      <w:numFmt w:val="lowerRoman"/>
      <w:lvlText w:val="%9."/>
      <w:lvlJc w:val="right"/>
      <w:pPr>
        <w:ind w:left="6480" w:hanging="180"/>
      </w:pPr>
    </w:lvl>
  </w:abstractNum>
  <w:abstractNum w:abstractNumId="57" w15:restartNumberingAfterBreak="0">
    <w:nsid w:val="247967B4"/>
    <w:multiLevelType w:val="hybridMultilevel"/>
    <w:tmpl w:val="647C6F46"/>
    <w:lvl w:ilvl="0" w:tplc="1ED67E52">
      <w:start w:val="1"/>
      <w:numFmt w:val="decimal"/>
      <w:lvlText w:val="%1."/>
      <w:lvlJc w:val="left"/>
      <w:pPr>
        <w:ind w:left="414" w:hanging="420"/>
      </w:pPr>
      <w:rPr>
        <w:rFonts w:ascii="Calibri" w:hAnsi="Calibri" w:hint="default"/>
        <w:sz w:val="20"/>
      </w:rPr>
    </w:lvl>
    <w:lvl w:ilvl="1" w:tplc="77020344" w:tentative="1">
      <w:start w:val="1"/>
      <w:numFmt w:val="lowerLetter"/>
      <w:lvlText w:val="%2."/>
      <w:lvlJc w:val="left"/>
      <w:pPr>
        <w:ind w:left="1074" w:hanging="360"/>
      </w:pPr>
    </w:lvl>
    <w:lvl w:ilvl="2" w:tplc="B4E67960" w:tentative="1">
      <w:start w:val="1"/>
      <w:numFmt w:val="lowerRoman"/>
      <w:lvlText w:val="%3."/>
      <w:lvlJc w:val="right"/>
      <w:pPr>
        <w:ind w:left="1794" w:hanging="180"/>
      </w:pPr>
    </w:lvl>
    <w:lvl w:ilvl="3" w:tplc="F28457D6" w:tentative="1">
      <w:start w:val="1"/>
      <w:numFmt w:val="decimal"/>
      <w:lvlText w:val="%4."/>
      <w:lvlJc w:val="left"/>
      <w:pPr>
        <w:ind w:left="2514" w:hanging="360"/>
      </w:pPr>
    </w:lvl>
    <w:lvl w:ilvl="4" w:tplc="13E80552" w:tentative="1">
      <w:start w:val="1"/>
      <w:numFmt w:val="lowerLetter"/>
      <w:lvlText w:val="%5."/>
      <w:lvlJc w:val="left"/>
      <w:pPr>
        <w:ind w:left="3234" w:hanging="360"/>
      </w:pPr>
    </w:lvl>
    <w:lvl w:ilvl="5" w:tplc="7B607DF4" w:tentative="1">
      <w:start w:val="1"/>
      <w:numFmt w:val="lowerRoman"/>
      <w:lvlText w:val="%6."/>
      <w:lvlJc w:val="right"/>
      <w:pPr>
        <w:ind w:left="3954" w:hanging="180"/>
      </w:pPr>
    </w:lvl>
    <w:lvl w:ilvl="6" w:tplc="8ABA8E4E" w:tentative="1">
      <w:start w:val="1"/>
      <w:numFmt w:val="decimal"/>
      <w:lvlText w:val="%7."/>
      <w:lvlJc w:val="left"/>
      <w:pPr>
        <w:ind w:left="4674" w:hanging="360"/>
      </w:pPr>
    </w:lvl>
    <w:lvl w:ilvl="7" w:tplc="BD74818A" w:tentative="1">
      <w:start w:val="1"/>
      <w:numFmt w:val="lowerLetter"/>
      <w:lvlText w:val="%8."/>
      <w:lvlJc w:val="left"/>
      <w:pPr>
        <w:ind w:left="5394" w:hanging="360"/>
      </w:pPr>
    </w:lvl>
    <w:lvl w:ilvl="8" w:tplc="259C277C" w:tentative="1">
      <w:start w:val="1"/>
      <w:numFmt w:val="lowerRoman"/>
      <w:lvlText w:val="%9."/>
      <w:lvlJc w:val="right"/>
      <w:pPr>
        <w:ind w:left="6114" w:hanging="180"/>
      </w:pPr>
    </w:lvl>
  </w:abstractNum>
  <w:abstractNum w:abstractNumId="58" w15:restartNumberingAfterBreak="0">
    <w:nsid w:val="24D36AFE"/>
    <w:multiLevelType w:val="hybridMultilevel"/>
    <w:tmpl w:val="8752BE8C"/>
    <w:lvl w:ilvl="0" w:tplc="003439D8">
      <w:start w:val="1"/>
      <w:numFmt w:val="decimal"/>
      <w:lvlText w:val="%1."/>
      <w:lvlJc w:val="left"/>
      <w:pPr>
        <w:ind w:left="720" w:hanging="360"/>
      </w:pPr>
      <w:rPr>
        <w:rFonts w:hint="default"/>
      </w:rPr>
    </w:lvl>
    <w:lvl w:ilvl="1" w:tplc="61743C9C" w:tentative="1">
      <w:start w:val="1"/>
      <w:numFmt w:val="lowerLetter"/>
      <w:lvlText w:val="%2."/>
      <w:lvlJc w:val="left"/>
      <w:pPr>
        <w:ind w:left="1440" w:hanging="360"/>
      </w:pPr>
    </w:lvl>
    <w:lvl w:ilvl="2" w:tplc="BF523A1C" w:tentative="1">
      <w:start w:val="1"/>
      <w:numFmt w:val="lowerRoman"/>
      <w:lvlText w:val="%3."/>
      <w:lvlJc w:val="right"/>
      <w:pPr>
        <w:ind w:left="2160" w:hanging="180"/>
      </w:pPr>
    </w:lvl>
    <w:lvl w:ilvl="3" w:tplc="97D41DF2" w:tentative="1">
      <w:start w:val="1"/>
      <w:numFmt w:val="decimal"/>
      <w:lvlText w:val="%4."/>
      <w:lvlJc w:val="left"/>
      <w:pPr>
        <w:ind w:left="2880" w:hanging="360"/>
      </w:pPr>
    </w:lvl>
    <w:lvl w:ilvl="4" w:tplc="10F6F680" w:tentative="1">
      <w:start w:val="1"/>
      <w:numFmt w:val="lowerLetter"/>
      <w:lvlText w:val="%5."/>
      <w:lvlJc w:val="left"/>
      <w:pPr>
        <w:ind w:left="3600" w:hanging="360"/>
      </w:pPr>
    </w:lvl>
    <w:lvl w:ilvl="5" w:tplc="41CC9CF8" w:tentative="1">
      <w:start w:val="1"/>
      <w:numFmt w:val="lowerRoman"/>
      <w:lvlText w:val="%6."/>
      <w:lvlJc w:val="right"/>
      <w:pPr>
        <w:ind w:left="4320" w:hanging="180"/>
      </w:pPr>
    </w:lvl>
    <w:lvl w:ilvl="6" w:tplc="836EBC48" w:tentative="1">
      <w:start w:val="1"/>
      <w:numFmt w:val="decimal"/>
      <w:lvlText w:val="%7."/>
      <w:lvlJc w:val="left"/>
      <w:pPr>
        <w:ind w:left="5040" w:hanging="360"/>
      </w:pPr>
    </w:lvl>
    <w:lvl w:ilvl="7" w:tplc="BFBE4E6C" w:tentative="1">
      <w:start w:val="1"/>
      <w:numFmt w:val="lowerLetter"/>
      <w:lvlText w:val="%8."/>
      <w:lvlJc w:val="left"/>
      <w:pPr>
        <w:ind w:left="5760" w:hanging="360"/>
      </w:pPr>
    </w:lvl>
    <w:lvl w:ilvl="8" w:tplc="05A6F774" w:tentative="1">
      <w:start w:val="1"/>
      <w:numFmt w:val="lowerRoman"/>
      <w:lvlText w:val="%9."/>
      <w:lvlJc w:val="right"/>
      <w:pPr>
        <w:ind w:left="6480" w:hanging="180"/>
      </w:pPr>
    </w:lvl>
  </w:abstractNum>
  <w:abstractNum w:abstractNumId="59" w15:restartNumberingAfterBreak="0">
    <w:nsid w:val="25235CAA"/>
    <w:multiLevelType w:val="multilevel"/>
    <w:tmpl w:val="36282E1A"/>
    <w:lvl w:ilvl="0">
      <w:start w:val="1"/>
      <w:numFmt w:val="decimal"/>
      <w:lvlText w:val="%1."/>
      <w:lvlJc w:val="left"/>
      <w:pPr>
        <w:ind w:left="360" w:hanging="360"/>
      </w:pPr>
      <w:rPr>
        <w:rFonts w:hint="default"/>
      </w:rPr>
    </w:lvl>
    <w:lvl w:ilvl="1">
      <w:start w:val="1"/>
      <w:numFmt w:val="decimal"/>
      <w:pStyle w:val="1"/>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0" w15:restartNumberingAfterBreak="0">
    <w:nsid w:val="25660038"/>
    <w:multiLevelType w:val="hybridMultilevel"/>
    <w:tmpl w:val="04CC52A4"/>
    <w:lvl w:ilvl="0" w:tplc="84A06AA4">
      <w:start w:val="1"/>
      <w:numFmt w:val="bullet"/>
      <w:lvlText w:val=""/>
      <w:lvlJc w:val="left"/>
      <w:pPr>
        <w:ind w:left="720" w:hanging="360"/>
      </w:pPr>
      <w:rPr>
        <w:rFonts w:ascii="Symbol" w:hAnsi="Symbol" w:hint="default"/>
      </w:rPr>
    </w:lvl>
    <w:lvl w:ilvl="1" w:tplc="7AE41520" w:tentative="1">
      <w:start w:val="1"/>
      <w:numFmt w:val="bullet"/>
      <w:lvlText w:val="o"/>
      <w:lvlJc w:val="left"/>
      <w:pPr>
        <w:ind w:left="1440" w:hanging="360"/>
      </w:pPr>
      <w:rPr>
        <w:rFonts w:ascii="Courier New" w:hAnsi="Courier New" w:cs="Courier New" w:hint="default"/>
      </w:rPr>
    </w:lvl>
    <w:lvl w:ilvl="2" w:tplc="C6543956" w:tentative="1">
      <w:start w:val="1"/>
      <w:numFmt w:val="bullet"/>
      <w:lvlText w:val=""/>
      <w:lvlJc w:val="left"/>
      <w:pPr>
        <w:ind w:left="2160" w:hanging="360"/>
      </w:pPr>
      <w:rPr>
        <w:rFonts w:ascii="Wingdings" w:hAnsi="Wingdings" w:hint="default"/>
      </w:rPr>
    </w:lvl>
    <w:lvl w:ilvl="3" w:tplc="ED244602" w:tentative="1">
      <w:start w:val="1"/>
      <w:numFmt w:val="bullet"/>
      <w:lvlText w:val=""/>
      <w:lvlJc w:val="left"/>
      <w:pPr>
        <w:ind w:left="2880" w:hanging="360"/>
      </w:pPr>
      <w:rPr>
        <w:rFonts w:ascii="Symbol" w:hAnsi="Symbol" w:hint="default"/>
      </w:rPr>
    </w:lvl>
    <w:lvl w:ilvl="4" w:tplc="4D90E7B4" w:tentative="1">
      <w:start w:val="1"/>
      <w:numFmt w:val="bullet"/>
      <w:lvlText w:val="o"/>
      <w:lvlJc w:val="left"/>
      <w:pPr>
        <w:ind w:left="3600" w:hanging="360"/>
      </w:pPr>
      <w:rPr>
        <w:rFonts w:ascii="Courier New" w:hAnsi="Courier New" w:cs="Courier New" w:hint="default"/>
      </w:rPr>
    </w:lvl>
    <w:lvl w:ilvl="5" w:tplc="9F5C35A6" w:tentative="1">
      <w:start w:val="1"/>
      <w:numFmt w:val="bullet"/>
      <w:lvlText w:val=""/>
      <w:lvlJc w:val="left"/>
      <w:pPr>
        <w:ind w:left="4320" w:hanging="360"/>
      </w:pPr>
      <w:rPr>
        <w:rFonts w:ascii="Wingdings" w:hAnsi="Wingdings" w:hint="default"/>
      </w:rPr>
    </w:lvl>
    <w:lvl w:ilvl="6" w:tplc="6C322074" w:tentative="1">
      <w:start w:val="1"/>
      <w:numFmt w:val="bullet"/>
      <w:lvlText w:val=""/>
      <w:lvlJc w:val="left"/>
      <w:pPr>
        <w:ind w:left="5040" w:hanging="360"/>
      </w:pPr>
      <w:rPr>
        <w:rFonts w:ascii="Symbol" w:hAnsi="Symbol" w:hint="default"/>
      </w:rPr>
    </w:lvl>
    <w:lvl w:ilvl="7" w:tplc="8746299C" w:tentative="1">
      <w:start w:val="1"/>
      <w:numFmt w:val="bullet"/>
      <w:lvlText w:val="o"/>
      <w:lvlJc w:val="left"/>
      <w:pPr>
        <w:ind w:left="5760" w:hanging="360"/>
      </w:pPr>
      <w:rPr>
        <w:rFonts w:ascii="Courier New" w:hAnsi="Courier New" w:cs="Courier New" w:hint="default"/>
      </w:rPr>
    </w:lvl>
    <w:lvl w:ilvl="8" w:tplc="D4CAE878" w:tentative="1">
      <w:start w:val="1"/>
      <w:numFmt w:val="bullet"/>
      <w:lvlText w:val=""/>
      <w:lvlJc w:val="left"/>
      <w:pPr>
        <w:ind w:left="6480" w:hanging="360"/>
      </w:pPr>
      <w:rPr>
        <w:rFonts w:ascii="Wingdings" w:hAnsi="Wingdings" w:hint="default"/>
      </w:rPr>
    </w:lvl>
  </w:abstractNum>
  <w:abstractNum w:abstractNumId="61" w15:restartNumberingAfterBreak="0">
    <w:nsid w:val="25DB056E"/>
    <w:multiLevelType w:val="hybridMultilevel"/>
    <w:tmpl w:val="7CA2D15C"/>
    <w:lvl w:ilvl="0" w:tplc="0B3662E8">
      <w:start w:val="1"/>
      <w:numFmt w:val="decimal"/>
      <w:lvlText w:val="%1."/>
      <w:lvlJc w:val="left"/>
      <w:pPr>
        <w:ind w:left="720" w:hanging="360"/>
      </w:pPr>
      <w:rPr>
        <w:rFonts w:hint="default"/>
      </w:rPr>
    </w:lvl>
    <w:lvl w:ilvl="1" w:tplc="BEFE8BDC" w:tentative="1">
      <w:start w:val="1"/>
      <w:numFmt w:val="lowerLetter"/>
      <w:lvlText w:val="%2."/>
      <w:lvlJc w:val="left"/>
      <w:pPr>
        <w:ind w:left="1440" w:hanging="360"/>
      </w:pPr>
    </w:lvl>
    <w:lvl w:ilvl="2" w:tplc="0B7ABACC" w:tentative="1">
      <w:start w:val="1"/>
      <w:numFmt w:val="lowerRoman"/>
      <w:lvlText w:val="%3."/>
      <w:lvlJc w:val="right"/>
      <w:pPr>
        <w:ind w:left="2160" w:hanging="180"/>
      </w:pPr>
    </w:lvl>
    <w:lvl w:ilvl="3" w:tplc="BFC217B0" w:tentative="1">
      <w:start w:val="1"/>
      <w:numFmt w:val="decimal"/>
      <w:lvlText w:val="%4."/>
      <w:lvlJc w:val="left"/>
      <w:pPr>
        <w:ind w:left="2880" w:hanging="360"/>
      </w:pPr>
    </w:lvl>
    <w:lvl w:ilvl="4" w:tplc="2FD8FE02" w:tentative="1">
      <w:start w:val="1"/>
      <w:numFmt w:val="lowerLetter"/>
      <w:lvlText w:val="%5."/>
      <w:lvlJc w:val="left"/>
      <w:pPr>
        <w:ind w:left="3600" w:hanging="360"/>
      </w:pPr>
    </w:lvl>
    <w:lvl w:ilvl="5" w:tplc="2A06AC14" w:tentative="1">
      <w:start w:val="1"/>
      <w:numFmt w:val="lowerRoman"/>
      <w:lvlText w:val="%6."/>
      <w:lvlJc w:val="right"/>
      <w:pPr>
        <w:ind w:left="4320" w:hanging="180"/>
      </w:pPr>
    </w:lvl>
    <w:lvl w:ilvl="6" w:tplc="1B48E3E2" w:tentative="1">
      <w:start w:val="1"/>
      <w:numFmt w:val="decimal"/>
      <w:lvlText w:val="%7."/>
      <w:lvlJc w:val="left"/>
      <w:pPr>
        <w:ind w:left="5040" w:hanging="360"/>
      </w:pPr>
    </w:lvl>
    <w:lvl w:ilvl="7" w:tplc="D47C48DE" w:tentative="1">
      <w:start w:val="1"/>
      <w:numFmt w:val="lowerLetter"/>
      <w:lvlText w:val="%8."/>
      <w:lvlJc w:val="left"/>
      <w:pPr>
        <w:ind w:left="5760" w:hanging="360"/>
      </w:pPr>
    </w:lvl>
    <w:lvl w:ilvl="8" w:tplc="E8D6DECA" w:tentative="1">
      <w:start w:val="1"/>
      <w:numFmt w:val="lowerRoman"/>
      <w:lvlText w:val="%9."/>
      <w:lvlJc w:val="right"/>
      <w:pPr>
        <w:ind w:left="6480" w:hanging="180"/>
      </w:pPr>
    </w:lvl>
  </w:abstractNum>
  <w:abstractNum w:abstractNumId="62" w15:restartNumberingAfterBreak="0">
    <w:nsid w:val="2620532B"/>
    <w:multiLevelType w:val="hybridMultilevel"/>
    <w:tmpl w:val="9DD6CA2A"/>
    <w:lvl w:ilvl="0" w:tplc="B072B10C">
      <w:start w:val="1"/>
      <w:numFmt w:val="decimal"/>
      <w:lvlText w:val="%1."/>
      <w:lvlJc w:val="left"/>
      <w:pPr>
        <w:ind w:left="720" w:hanging="360"/>
      </w:pPr>
      <w:rPr>
        <w:rFonts w:hint="default"/>
      </w:rPr>
    </w:lvl>
    <w:lvl w:ilvl="1" w:tplc="C3205656" w:tentative="1">
      <w:start w:val="1"/>
      <w:numFmt w:val="lowerLetter"/>
      <w:lvlText w:val="%2."/>
      <w:lvlJc w:val="left"/>
      <w:pPr>
        <w:ind w:left="1440" w:hanging="360"/>
      </w:pPr>
    </w:lvl>
    <w:lvl w:ilvl="2" w:tplc="81A65B9E" w:tentative="1">
      <w:start w:val="1"/>
      <w:numFmt w:val="lowerRoman"/>
      <w:lvlText w:val="%3."/>
      <w:lvlJc w:val="right"/>
      <w:pPr>
        <w:ind w:left="2160" w:hanging="180"/>
      </w:pPr>
    </w:lvl>
    <w:lvl w:ilvl="3" w:tplc="35EC24F8" w:tentative="1">
      <w:start w:val="1"/>
      <w:numFmt w:val="decimal"/>
      <w:lvlText w:val="%4."/>
      <w:lvlJc w:val="left"/>
      <w:pPr>
        <w:ind w:left="2880" w:hanging="360"/>
      </w:pPr>
    </w:lvl>
    <w:lvl w:ilvl="4" w:tplc="C83E7098" w:tentative="1">
      <w:start w:val="1"/>
      <w:numFmt w:val="lowerLetter"/>
      <w:lvlText w:val="%5."/>
      <w:lvlJc w:val="left"/>
      <w:pPr>
        <w:ind w:left="3600" w:hanging="360"/>
      </w:pPr>
    </w:lvl>
    <w:lvl w:ilvl="5" w:tplc="0292EA2A" w:tentative="1">
      <w:start w:val="1"/>
      <w:numFmt w:val="lowerRoman"/>
      <w:lvlText w:val="%6."/>
      <w:lvlJc w:val="right"/>
      <w:pPr>
        <w:ind w:left="4320" w:hanging="180"/>
      </w:pPr>
    </w:lvl>
    <w:lvl w:ilvl="6" w:tplc="D8D052AE" w:tentative="1">
      <w:start w:val="1"/>
      <w:numFmt w:val="decimal"/>
      <w:lvlText w:val="%7."/>
      <w:lvlJc w:val="left"/>
      <w:pPr>
        <w:ind w:left="5040" w:hanging="360"/>
      </w:pPr>
    </w:lvl>
    <w:lvl w:ilvl="7" w:tplc="5658FF2E" w:tentative="1">
      <w:start w:val="1"/>
      <w:numFmt w:val="lowerLetter"/>
      <w:lvlText w:val="%8."/>
      <w:lvlJc w:val="left"/>
      <w:pPr>
        <w:ind w:left="5760" w:hanging="360"/>
      </w:pPr>
    </w:lvl>
    <w:lvl w:ilvl="8" w:tplc="45DC81C4" w:tentative="1">
      <w:start w:val="1"/>
      <w:numFmt w:val="lowerRoman"/>
      <w:lvlText w:val="%9."/>
      <w:lvlJc w:val="right"/>
      <w:pPr>
        <w:ind w:left="6480" w:hanging="180"/>
      </w:pPr>
    </w:lvl>
  </w:abstractNum>
  <w:abstractNum w:abstractNumId="63" w15:restartNumberingAfterBreak="0">
    <w:nsid w:val="263212A5"/>
    <w:multiLevelType w:val="hybridMultilevel"/>
    <w:tmpl w:val="DB643B0C"/>
    <w:lvl w:ilvl="0" w:tplc="270E963C">
      <w:start w:val="1"/>
      <w:numFmt w:val="bullet"/>
      <w:lvlText w:val=""/>
      <w:lvlJc w:val="left"/>
      <w:pPr>
        <w:ind w:left="1429" w:hanging="360"/>
      </w:pPr>
      <w:rPr>
        <w:rFonts w:ascii="Symbol" w:hAnsi="Symbol" w:hint="default"/>
      </w:rPr>
    </w:lvl>
    <w:lvl w:ilvl="1" w:tplc="2B54966C" w:tentative="1">
      <w:start w:val="1"/>
      <w:numFmt w:val="bullet"/>
      <w:lvlText w:val="o"/>
      <w:lvlJc w:val="left"/>
      <w:pPr>
        <w:ind w:left="2149" w:hanging="360"/>
      </w:pPr>
      <w:rPr>
        <w:rFonts w:ascii="Courier New" w:hAnsi="Courier New" w:cs="Courier New" w:hint="default"/>
      </w:rPr>
    </w:lvl>
    <w:lvl w:ilvl="2" w:tplc="3A007CA4" w:tentative="1">
      <w:start w:val="1"/>
      <w:numFmt w:val="bullet"/>
      <w:lvlText w:val=""/>
      <w:lvlJc w:val="left"/>
      <w:pPr>
        <w:ind w:left="2869" w:hanging="360"/>
      </w:pPr>
      <w:rPr>
        <w:rFonts w:ascii="Wingdings" w:hAnsi="Wingdings" w:hint="default"/>
      </w:rPr>
    </w:lvl>
    <w:lvl w:ilvl="3" w:tplc="3C7822AC" w:tentative="1">
      <w:start w:val="1"/>
      <w:numFmt w:val="bullet"/>
      <w:lvlText w:val=""/>
      <w:lvlJc w:val="left"/>
      <w:pPr>
        <w:ind w:left="3589" w:hanging="360"/>
      </w:pPr>
      <w:rPr>
        <w:rFonts w:ascii="Symbol" w:hAnsi="Symbol" w:hint="default"/>
      </w:rPr>
    </w:lvl>
    <w:lvl w:ilvl="4" w:tplc="A232DCFA" w:tentative="1">
      <w:start w:val="1"/>
      <w:numFmt w:val="bullet"/>
      <w:lvlText w:val="o"/>
      <w:lvlJc w:val="left"/>
      <w:pPr>
        <w:ind w:left="4309" w:hanging="360"/>
      </w:pPr>
      <w:rPr>
        <w:rFonts w:ascii="Courier New" w:hAnsi="Courier New" w:cs="Courier New" w:hint="default"/>
      </w:rPr>
    </w:lvl>
    <w:lvl w:ilvl="5" w:tplc="0EA40AC8" w:tentative="1">
      <w:start w:val="1"/>
      <w:numFmt w:val="bullet"/>
      <w:lvlText w:val=""/>
      <w:lvlJc w:val="left"/>
      <w:pPr>
        <w:ind w:left="5029" w:hanging="360"/>
      </w:pPr>
      <w:rPr>
        <w:rFonts w:ascii="Wingdings" w:hAnsi="Wingdings" w:hint="default"/>
      </w:rPr>
    </w:lvl>
    <w:lvl w:ilvl="6" w:tplc="1B48D87A" w:tentative="1">
      <w:start w:val="1"/>
      <w:numFmt w:val="bullet"/>
      <w:lvlText w:val=""/>
      <w:lvlJc w:val="left"/>
      <w:pPr>
        <w:ind w:left="5749" w:hanging="360"/>
      </w:pPr>
      <w:rPr>
        <w:rFonts w:ascii="Symbol" w:hAnsi="Symbol" w:hint="default"/>
      </w:rPr>
    </w:lvl>
    <w:lvl w:ilvl="7" w:tplc="572A6A00" w:tentative="1">
      <w:start w:val="1"/>
      <w:numFmt w:val="bullet"/>
      <w:lvlText w:val="o"/>
      <w:lvlJc w:val="left"/>
      <w:pPr>
        <w:ind w:left="6469" w:hanging="360"/>
      </w:pPr>
      <w:rPr>
        <w:rFonts w:ascii="Courier New" w:hAnsi="Courier New" w:cs="Courier New" w:hint="default"/>
      </w:rPr>
    </w:lvl>
    <w:lvl w:ilvl="8" w:tplc="F0F6AE46" w:tentative="1">
      <w:start w:val="1"/>
      <w:numFmt w:val="bullet"/>
      <w:lvlText w:val=""/>
      <w:lvlJc w:val="left"/>
      <w:pPr>
        <w:ind w:left="7189" w:hanging="360"/>
      </w:pPr>
      <w:rPr>
        <w:rFonts w:ascii="Wingdings" w:hAnsi="Wingdings" w:hint="default"/>
      </w:rPr>
    </w:lvl>
  </w:abstractNum>
  <w:abstractNum w:abstractNumId="64" w15:restartNumberingAfterBreak="0">
    <w:nsid w:val="26670934"/>
    <w:multiLevelType w:val="hybridMultilevel"/>
    <w:tmpl w:val="8AFA3A6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26F54FE5"/>
    <w:multiLevelType w:val="hybridMultilevel"/>
    <w:tmpl w:val="A280B936"/>
    <w:lvl w:ilvl="0" w:tplc="2E4C7C0C">
      <w:start w:val="1"/>
      <w:numFmt w:val="bullet"/>
      <w:lvlText w:val=""/>
      <w:lvlJc w:val="left"/>
      <w:pPr>
        <w:ind w:left="720" w:hanging="360"/>
      </w:pPr>
      <w:rPr>
        <w:rFonts w:ascii="Symbol" w:hAnsi="Symbol" w:hint="default"/>
      </w:rPr>
    </w:lvl>
    <w:lvl w:ilvl="1" w:tplc="7C2C23D4" w:tentative="1">
      <w:start w:val="1"/>
      <w:numFmt w:val="bullet"/>
      <w:lvlText w:val="o"/>
      <w:lvlJc w:val="left"/>
      <w:pPr>
        <w:ind w:left="1440" w:hanging="360"/>
      </w:pPr>
      <w:rPr>
        <w:rFonts w:ascii="Courier New" w:hAnsi="Courier New" w:cs="Courier New" w:hint="default"/>
      </w:rPr>
    </w:lvl>
    <w:lvl w:ilvl="2" w:tplc="EF9E1160" w:tentative="1">
      <w:start w:val="1"/>
      <w:numFmt w:val="bullet"/>
      <w:lvlText w:val=""/>
      <w:lvlJc w:val="left"/>
      <w:pPr>
        <w:ind w:left="2160" w:hanging="360"/>
      </w:pPr>
      <w:rPr>
        <w:rFonts w:ascii="Wingdings" w:hAnsi="Wingdings" w:hint="default"/>
      </w:rPr>
    </w:lvl>
    <w:lvl w:ilvl="3" w:tplc="DBB68F44" w:tentative="1">
      <w:start w:val="1"/>
      <w:numFmt w:val="bullet"/>
      <w:lvlText w:val=""/>
      <w:lvlJc w:val="left"/>
      <w:pPr>
        <w:ind w:left="2880" w:hanging="360"/>
      </w:pPr>
      <w:rPr>
        <w:rFonts w:ascii="Symbol" w:hAnsi="Symbol" w:hint="default"/>
      </w:rPr>
    </w:lvl>
    <w:lvl w:ilvl="4" w:tplc="C6FEA828" w:tentative="1">
      <w:start w:val="1"/>
      <w:numFmt w:val="bullet"/>
      <w:lvlText w:val="o"/>
      <w:lvlJc w:val="left"/>
      <w:pPr>
        <w:ind w:left="3600" w:hanging="360"/>
      </w:pPr>
      <w:rPr>
        <w:rFonts w:ascii="Courier New" w:hAnsi="Courier New" w:cs="Courier New" w:hint="default"/>
      </w:rPr>
    </w:lvl>
    <w:lvl w:ilvl="5" w:tplc="AF864964" w:tentative="1">
      <w:start w:val="1"/>
      <w:numFmt w:val="bullet"/>
      <w:lvlText w:val=""/>
      <w:lvlJc w:val="left"/>
      <w:pPr>
        <w:ind w:left="4320" w:hanging="360"/>
      </w:pPr>
      <w:rPr>
        <w:rFonts w:ascii="Wingdings" w:hAnsi="Wingdings" w:hint="default"/>
      </w:rPr>
    </w:lvl>
    <w:lvl w:ilvl="6" w:tplc="DA5465AA" w:tentative="1">
      <w:start w:val="1"/>
      <w:numFmt w:val="bullet"/>
      <w:lvlText w:val=""/>
      <w:lvlJc w:val="left"/>
      <w:pPr>
        <w:ind w:left="5040" w:hanging="360"/>
      </w:pPr>
      <w:rPr>
        <w:rFonts w:ascii="Symbol" w:hAnsi="Symbol" w:hint="default"/>
      </w:rPr>
    </w:lvl>
    <w:lvl w:ilvl="7" w:tplc="9C342200" w:tentative="1">
      <w:start w:val="1"/>
      <w:numFmt w:val="bullet"/>
      <w:lvlText w:val="o"/>
      <w:lvlJc w:val="left"/>
      <w:pPr>
        <w:ind w:left="5760" w:hanging="360"/>
      </w:pPr>
      <w:rPr>
        <w:rFonts w:ascii="Courier New" w:hAnsi="Courier New" w:cs="Courier New" w:hint="default"/>
      </w:rPr>
    </w:lvl>
    <w:lvl w:ilvl="8" w:tplc="A8AA275C" w:tentative="1">
      <w:start w:val="1"/>
      <w:numFmt w:val="bullet"/>
      <w:lvlText w:val=""/>
      <w:lvlJc w:val="left"/>
      <w:pPr>
        <w:ind w:left="6480" w:hanging="360"/>
      </w:pPr>
      <w:rPr>
        <w:rFonts w:ascii="Wingdings" w:hAnsi="Wingdings" w:hint="default"/>
      </w:rPr>
    </w:lvl>
  </w:abstractNum>
  <w:abstractNum w:abstractNumId="66" w15:restartNumberingAfterBreak="0">
    <w:nsid w:val="28383931"/>
    <w:multiLevelType w:val="hybridMultilevel"/>
    <w:tmpl w:val="76C4ADC6"/>
    <w:lvl w:ilvl="0" w:tplc="C1042C54">
      <w:start w:val="1"/>
      <w:numFmt w:val="bullet"/>
      <w:lvlText w:val=""/>
      <w:lvlJc w:val="left"/>
      <w:pPr>
        <w:ind w:left="720" w:hanging="360"/>
      </w:pPr>
      <w:rPr>
        <w:rFonts w:ascii="Wingdings" w:hAnsi="Wingdings" w:hint="default"/>
      </w:rPr>
    </w:lvl>
    <w:lvl w:ilvl="1" w:tplc="04C69612" w:tentative="1">
      <w:start w:val="1"/>
      <w:numFmt w:val="bullet"/>
      <w:lvlText w:val="o"/>
      <w:lvlJc w:val="left"/>
      <w:pPr>
        <w:ind w:left="1440" w:hanging="360"/>
      </w:pPr>
      <w:rPr>
        <w:rFonts w:ascii="Courier New" w:hAnsi="Courier New" w:cs="Courier New" w:hint="default"/>
      </w:rPr>
    </w:lvl>
    <w:lvl w:ilvl="2" w:tplc="B3FC74D2" w:tentative="1">
      <w:start w:val="1"/>
      <w:numFmt w:val="bullet"/>
      <w:lvlText w:val=""/>
      <w:lvlJc w:val="left"/>
      <w:pPr>
        <w:ind w:left="2160" w:hanging="360"/>
      </w:pPr>
      <w:rPr>
        <w:rFonts w:ascii="Wingdings" w:hAnsi="Wingdings" w:hint="default"/>
      </w:rPr>
    </w:lvl>
    <w:lvl w:ilvl="3" w:tplc="F7A62F54" w:tentative="1">
      <w:start w:val="1"/>
      <w:numFmt w:val="bullet"/>
      <w:lvlText w:val=""/>
      <w:lvlJc w:val="left"/>
      <w:pPr>
        <w:ind w:left="2880" w:hanging="360"/>
      </w:pPr>
      <w:rPr>
        <w:rFonts w:ascii="Symbol" w:hAnsi="Symbol" w:hint="default"/>
      </w:rPr>
    </w:lvl>
    <w:lvl w:ilvl="4" w:tplc="21147D26" w:tentative="1">
      <w:start w:val="1"/>
      <w:numFmt w:val="bullet"/>
      <w:lvlText w:val="o"/>
      <w:lvlJc w:val="left"/>
      <w:pPr>
        <w:ind w:left="3600" w:hanging="360"/>
      </w:pPr>
      <w:rPr>
        <w:rFonts w:ascii="Courier New" w:hAnsi="Courier New" w:cs="Courier New" w:hint="default"/>
      </w:rPr>
    </w:lvl>
    <w:lvl w:ilvl="5" w:tplc="A2AAF6E6" w:tentative="1">
      <w:start w:val="1"/>
      <w:numFmt w:val="bullet"/>
      <w:lvlText w:val=""/>
      <w:lvlJc w:val="left"/>
      <w:pPr>
        <w:ind w:left="4320" w:hanging="360"/>
      </w:pPr>
      <w:rPr>
        <w:rFonts w:ascii="Wingdings" w:hAnsi="Wingdings" w:hint="default"/>
      </w:rPr>
    </w:lvl>
    <w:lvl w:ilvl="6" w:tplc="87DA2418" w:tentative="1">
      <w:start w:val="1"/>
      <w:numFmt w:val="bullet"/>
      <w:lvlText w:val=""/>
      <w:lvlJc w:val="left"/>
      <w:pPr>
        <w:ind w:left="5040" w:hanging="360"/>
      </w:pPr>
      <w:rPr>
        <w:rFonts w:ascii="Symbol" w:hAnsi="Symbol" w:hint="default"/>
      </w:rPr>
    </w:lvl>
    <w:lvl w:ilvl="7" w:tplc="2C7E6BDC" w:tentative="1">
      <w:start w:val="1"/>
      <w:numFmt w:val="bullet"/>
      <w:lvlText w:val="o"/>
      <w:lvlJc w:val="left"/>
      <w:pPr>
        <w:ind w:left="5760" w:hanging="360"/>
      </w:pPr>
      <w:rPr>
        <w:rFonts w:ascii="Courier New" w:hAnsi="Courier New" w:cs="Courier New" w:hint="default"/>
      </w:rPr>
    </w:lvl>
    <w:lvl w:ilvl="8" w:tplc="7654FDD2" w:tentative="1">
      <w:start w:val="1"/>
      <w:numFmt w:val="bullet"/>
      <w:lvlText w:val=""/>
      <w:lvlJc w:val="left"/>
      <w:pPr>
        <w:ind w:left="6480" w:hanging="360"/>
      </w:pPr>
      <w:rPr>
        <w:rFonts w:ascii="Wingdings" w:hAnsi="Wingdings" w:hint="default"/>
      </w:rPr>
    </w:lvl>
  </w:abstractNum>
  <w:abstractNum w:abstractNumId="67" w15:restartNumberingAfterBreak="0">
    <w:nsid w:val="29363B50"/>
    <w:multiLevelType w:val="hybridMultilevel"/>
    <w:tmpl w:val="54B4DF3A"/>
    <w:lvl w:ilvl="0" w:tplc="9CC26092">
      <w:start w:val="1"/>
      <w:numFmt w:val="bullet"/>
      <w:lvlText w:val=""/>
      <w:lvlJc w:val="left"/>
      <w:pPr>
        <w:ind w:left="720" w:hanging="360"/>
      </w:pPr>
      <w:rPr>
        <w:rFonts w:ascii="Symbol" w:hAnsi="Symbol" w:hint="default"/>
      </w:rPr>
    </w:lvl>
    <w:lvl w:ilvl="1" w:tplc="25A0BEAC" w:tentative="1">
      <w:start w:val="1"/>
      <w:numFmt w:val="bullet"/>
      <w:lvlText w:val="o"/>
      <w:lvlJc w:val="left"/>
      <w:pPr>
        <w:ind w:left="1440" w:hanging="360"/>
      </w:pPr>
      <w:rPr>
        <w:rFonts w:ascii="Courier New" w:hAnsi="Courier New" w:cs="Courier New" w:hint="default"/>
      </w:rPr>
    </w:lvl>
    <w:lvl w:ilvl="2" w:tplc="5B0EC576" w:tentative="1">
      <w:start w:val="1"/>
      <w:numFmt w:val="bullet"/>
      <w:lvlText w:val=""/>
      <w:lvlJc w:val="left"/>
      <w:pPr>
        <w:ind w:left="2160" w:hanging="360"/>
      </w:pPr>
      <w:rPr>
        <w:rFonts w:ascii="Wingdings" w:hAnsi="Wingdings" w:hint="default"/>
      </w:rPr>
    </w:lvl>
    <w:lvl w:ilvl="3" w:tplc="FBBAB1BE" w:tentative="1">
      <w:start w:val="1"/>
      <w:numFmt w:val="bullet"/>
      <w:lvlText w:val=""/>
      <w:lvlJc w:val="left"/>
      <w:pPr>
        <w:ind w:left="2880" w:hanging="360"/>
      </w:pPr>
      <w:rPr>
        <w:rFonts w:ascii="Symbol" w:hAnsi="Symbol" w:hint="default"/>
      </w:rPr>
    </w:lvl>
    <w:lvl w:ilvl="4" w:tplc="37123D20" w:tentative="1">
      <w:start w:val="1"/>
      <w:numFmt w:val="bullet"/>
      <w:lvlText w:val="o"/>
      <w:lvlJc w:val="left"/>
      <w:pPr>
        <w:ind w:left="3600" w:hanging="360"/>
      </w:pPr>
      <w:rPr>
        <w:rFonts w:ascii="Courier New" w:hAnsi="Courier New" w:cs="Courier New" w:hint="default"/>
      </w:rPr>
    </w:lvl>
    <w:lvl w:ilvl="5" w:tplc="74C407B4" w:tentative="1">
      <w:start w:val="1"/>
      <w:numFmt w:val="bullet"/>
      <w:lvlText w:val=""/>
      <w:lvlJc w:val="left"/>
      <w:pPr>
        <w:ind w:left="4320" w:hanging="360"/>
      </w:pPr>
      <w:rPr>
        <w:rFonts w:ascii="Wingdings" w:hAnsi="Wingdings" w:hint="default"/>
      </w:rPr>
    </w:lvl>
    <w:lvl w:ilvl="6" w:tplc="D4B23632" w:tentative="1">
      <w:start w:val="1"/>
      <w:numFmt w:val="bullet"/>
      <w:lvlText w:val=""/>
      <w:lvlJc w:val="left"/>
      <w:pPr>
        <w:ind w:left="5040" w:hanging="360"/>
      </w:pPr>
      <w:rPr>
        <w:rFonts w:ascii="Symbol" w:hAnsi="Symbol" w:hint="default"/>
      </w:rPr>
    </w:lvl>
    <w:lvl w:ilvl="7" w:tplc="6C2C53C8" w:tentative="1">
      <w:start w:val="1"/>
      <w:numFmt w:val="bullet"/>
      <w:lvlText w:val="o"/>
      <w:lvlJc w:val="left"/>
      <w:pPr>
        <w:ind w:left="5760" w:hanging="360"/>
      </w:pPr>
      <w:rPr>
        <w:rFonts w:ascii="Courier New" w:hAnsi="Courier New" w:cs="Courier New" w:hint="default"/>
      </w:rPr>
    </w:lvl>
    <w:lvl w:ilvl="8" w:tplc="937A21B0" w:tentative="1">
      <w:start w:val="1"/>
      <w:numFmt w:val="bullet"/>
      <w:lvlText w:val=""/>
      <w:lvlJc w:val="left"/>
      <w:pPr>
        <w:ind w:left="6480" w:hanging="360"/>
      </w:pPr>
      <w:rPr>
        <w:rFonts w:ascii="Wingdings" w:hAnsi="Wingdings" w:hint="default"/>
      </w:rPr>
    </w:lvl>
  </w:abstractNum>
  <w:abstractNum w:abstractNumId="68" w15:restartNumberingAfterBreak="0">
    <w:nsid w:val="29473679"/>
    <w:multiLevelType w:val="multilevel"/>
    <w:tmpl w:val="B48E2F4C"/>
    <w:lvl w:ilvl="0">
      <w:start w:val="1"/>
      <w:numFmt w:val="decimal"/>
      <w:lvlText w:val="%1."/>
      <w:lvlJc w:val="left"/>
      <w:pPr>
        <w:ind w:left="1069" w:hanging="360"/>
      </w:pPr>
      <w:rPr>
        <w:rFonts w:hint="default"/>
        <w:b/>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429" w:hanging="72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1789" w:hanging="1080"/>
      </w:pPr>
      <w:rPr>
        <w:rFonts w:hint="default"/>
      </w:rPr>
    </w:lvl>
    <w:lvl w:ilvl="7">
      <w:start w:val="1"/>
      <w:numFmt w:val="decimal"/>
      <w:isLgl/>
      <w:lvlText w:val="%1.%2.%3.%4.%5.%6.%7.%8."/>
      <w:lvlJc w:val="left"/>
      <w:pPr>
        <w:ind w:left="1789" w:hanging="1080"/>
      </w:pPr>
      <w:rPr>
        <w:rFonts w:hint="default"/>
      </w:rPr>
    </w:lvl>
    <w:lvl w:ilvl="8">
      <w:start w:val="1"/>
      <w:numFmt w:val="decimal"/>
      <w:isLgl/>
      <w:lvlText w:val="%1.%2.%3.%4.%5.%6.%7.%8.%9."/>
      <w:lvlJc w:val="left"/>
      <w:pPr>
        <w:ind w:left="2149" w:hanging="1440"/>
      </w:pPr>
      <w:rPr>
        <w:rFonts w:hint="default"/>
      </w:rPr>
    </w:lvl>
  </w:abstractNum>
  <w:abstractNum w:abstractNumId="69" w15:restartNumberingAfterBreak="0">
    <w:nsid w:val="29CA6E95"/>
    <w:multiLevelType w:val="hybridMultilevel"/>
    <w:tmpl w:val="3F2AAF32"/>
    <w:lvl w:ilvl="0" w:tplc="3D207550">
      <w:start w:val="1"/>
      <w:numFmt w:val="bullet"/>
      <w:lvlText w:val=""/>
      <w:lvlJc w:val="left"/>
      <w:pPr>
        <w:ind w:left="1287" w:hanging="360"/>
      </w:pPr>
      <w:rPr>
        <w:rFonts w:ascii="Symbol" w:hAnsi="Symbol" w:hint="default"/>
      </w:rPr>
    </w:lvl>
    <w:lvl w:ilvl="1" w:tplc="02DACC6C" w:tentative="1">
      <w:start w:val="1"/>
      <w:numFmt w:val="bullet"/>
      <w:lvlText w:val="o"/>
      <w:lvlJc w:val="left"/>
      <w:pPr>
        <w:ind w:left="2007" w:hanging="360"/>
      </w:pPr>
      <w:rPr>
        <w:rFonts w:ascii="Courier New" w:hAnsi="Courier New" w:cs="Courier New" w:hint="default"/>
      </w:rPr>
    </w:lvl>
    <w:lvl w:ilvl="2" w:tplc="E3C0BCE8" w:tentative="1">
      <w:start w:val="1"/>
      <w:numFmt w:val="bullet"/>
      <w:lvlText w:val=""/>
      <w:lvlJc w:val="left"/>
      <w:pPr>
        <w:ind w:left="2727" w:hanging="360"/>
      </w:pPr>
      <w:rPr>
        <w:rFonts w:ascii="Wingdings" w:hAnsi="Wingdings" w:hint="default"/>
      </w:rPr>
    </w:lvl>
    <w:lvl w:ilvl="3" w:tplc="B026134E" w:tentative="1">
      <w:start w:val="1"/>
      <w:numFmt w:val="bullet"/>
      <w:lvlText w:val=""/>
      <w:lvlJc w:val="left"/>
      <w:pPr>
        <w:ind w:left="3447" w:hanging="360"/>
      </w:pPr>
      <w:rPr>
        <w:rFonts w:ascii="Symbol" w:hAnsi="Symbol" w:hint="default"/>
      </w:rPr>
    </w:lvl>
    <w:lvl w:ilvl="4" w:tplc="F3F22AD2" w:tentative="1">
      <w:start w:val="1"/>
      <w:numFmt w:val="bullet"/>
      <w:lvlText w:val="o"/>
      <w:lvlJc w:val="left"/>
      <w:pPr>
        <w:ind w:left="4167" w:hanging="360"/>
      </w:pPr>
      <w:rPr>
        <w:rFonts w:ascii="Courier New" w:hAnsi="Courier New" w:cs="Courier New" w:hint="default"/>
      </w:rPr>
    </w:lvl>
    <w:lvl w:ilvl="5" w:tplc="078CC0C8" w:tentative="1">
      <w:start w:val="1"/>
      <w:numFmt w:val="bullet"/>
      <w:lvlText w:val=""/>
      <w:lvlJc w:val="left"/>
      <w:pPr>
        <w:ind w:left="4887" w:hanging="360"/>
      </w:pPr>
      <w:rPr>
        <w:rFonts w:ascii="Wingdings" w:hAnsi="Wingdings" w:hint="default"/>
      </w:rPr>
    </w:lvl>
    <w:lvl w:ilvl="6" w:tplc="6DAA6AEA" w:tentative="1">
      <w:start w:val="1"/>
      <w:numFmt w:val="bullet"/>
      <w:lvlText w:val=""/>
      <w:lvlJc w:val="left"/>
      <w:pPr>
        <w:ind w:left="5607" w:hanging="360"/>
      </w:pPr>
      <w:rPr>
        <w:rFonts w:ascii="Symbol" w:hAnsi="Symbol" w:hint="default"/>
      </w:rPr>
    </w:lvl>
    <w:lvl w:ilvl="7" w:tplc="F1ACF9B8" w:tentative="1">
      <w:start w:val="1"/>
      <w:numFmt w:val="bullet"/>
      <w:lvlText w:val="o"/>
      <w:lvlJc w:val="left"/>
      <w:pPr>
        <w:ind w:left="6327" w:hanging="360"/>
      </w:pPr>
      <w:rPr>
        <w:rFonts w:ascii="Courier New" w:hAnsi="Courier New" w:cs="Courier New" w:hint="default"/>
      </w:rPr>
    </w:lvl>
    <w:lvl w:ilvl="8" w:tplc="9BBC1E2A" w:tentative="1">
      <w:start w:val="1"/>
      <w:numFmt w:val="bullet"/>
      <w:lvlText w:val=""/>
      <w:lvlJc w:val="left"/>
      <w:pPr>
        <w:ind w:left="7047" w:hanging="360"/>
      </w:pPr>
      <w:rPr>
        <w:rFonts w:ascii="Wingdings" w:hAnsi="Wingdings" w:hint="default"/>
      </w:rPr>
    </w:lvl>
  </w:abstractNum>
  <w:abstractNum w:abstractNumId="70" w15:restartNumberingAfterBreak="0">
    <w:nsid w:val="2A134AF8"/>
    <w:multiLevelType w:val="hybridMultilevel"/>
    <w:tmpl w:val="4A946F6C"/>
    <w:lvl w:ilvl="0" w:tplc="3FFE7D3C">
      <w:start w:val="1"/>
      <w:numFmt w:val="decimal"/>
      <w:lvlText w:val="%1."/>
      <w:lvlJc w:val="left"/>
      <w:pPr>
        <w:ind w:left="720" w:hanging="360"/>
      </w:pPr>
      <w:rPr>
        <w:rFonts w:hint="default"/>
      </w:rPr>
    </w:lvl>
    <w:lvl w:ilvl="1" w:tplc="D23610EA" w:tentative="1">
      <w:start w:val="1"/>
      <w:numFmt w:val="lowerLetter"/>
      <w:lvlText w:val="%2."/>
      <w:lvlJc w:val="left"/>
      <w:pPr>
        <w:ind w:left="1440" w:hanging="360"/>
      </w:pPr>
    </w:lvl>
    <w:lvl w:ilvl="2" w:tplc="2F9E18BA" w:tentative="1">
      <w:start w:val="1"/>
      <w:numFmt w:val="lowerRoman"/>
      <w:lvlText w:val="%3."/>
      <w:lvlJc w:val="right"/>
      <w:pPr>
        <w:ind w:left="2160" w:hanging="180"/>
      </w:pPr>
    </w:lvl>
    <w:lvl w:ilvl="3" w:tplc="08CA72A2" w:tentative="1">
      <w:start w:val="1"/>
      <w:numFmt w:val="decimal"/>
      <w:lvlText w:val="%4."/>
      <w:lvlJc w:val="left"/>
      <w:pPr>
        <w:ind w:left="2880" w:hanging="360"/>
      </w:pPr>
    </w:lvl>
    <w:lvl w:ilvl="4" w:tplc="2398F136" w:tentative="1">
      <w:start w:val="1"/>
      <w:numFmt w:val="lowerLetter"/>
      <w:lvlText w:val="%5."/>
      <w:lvlJc w:val="left"/>
      <w:pPr>
        <w:ind w:left="3600" w:hanging="360"/>
      </w:pPr>
    </w:lvl>
    <w:lvl w:ilvl="5" w:tplc="2304B2F8" w:tentative="1">
      <w:start w:val="1"/>
      <w:numFmt w:val="lowerRoman"/>
      <w:lvlText w:val="%6."/>
      <w:lvlJc w:val="right"/>
      <w:pPr>
        <w:ind w:left="4320" w:hanging="180"/>
      </w:pPr>
    </w:lvl>
    <w:lvl w:ilvl="6" w:tplc="4D9A5B10" w:tentative="1">
      <w:start w:val="1"/>
      <w:numFmt w:val="decimal"/>
      <w:lvlText w:val="%7."/>
      <w:lvlJc w:val="left"/>
      <w:pPr>
        <w:ind w:left="5040" w:hanging="360"/>
      </w:pPr>
    </w:lvl>
    <w:lvl w:ilvl="7" w:tplc="0F68835A" w:tentative="1">
      <w:start w:val="1"/>
      <w:numFmt w:val="lowerLetter"/>
      <w:lvlText w:val="%8."/>
      <w:lvlJc w:val="left"/>
      <w:pPr>
        <w:ind w:left="5760" w:hanging="360"/>
      </w:pPr>
    </w:lvl>
    <w:lvl w:ilvl="8" w:tplc="BA8C3276" w:tentative="1">
      <w:start w:val="1"/>
      <w:numFmt w:val="lowerRoman"/>
      <w:lvlText w:val="%9."/>
      <w:lvlJc w:val="right"/>
      <w:pPr>
        <w:ind w:left="6480" w:hanging="180"/>
      </w:pPr>
    </w:lvl>
  </w:abstractNum>
  <w:abstractNum w:abstractNumId="71" w15:restartNumberingAfterBreak="0">
    <w:nsid w:val="2A5C5658"/>
    <w:multiLevelType w:val="hybridMultilevel"/>
    <w:tmpl w:val="88AE0756"/>
    <w:lvl w:ilvl="0" w:tplc="350443AA">
      <w:start w:val="1"/>
      <w:numFmt w:val="bullet"/>
      <w:lvlText w:val=""/>
      <w:lvlJc w:val="left"/>
      <w:pPr>
        <w:ind w:left="720" w:hanging="360"/>
      </w:pPr>
      <w:rPr>
        <w:rFonts w:ascii="Symbol" w:hAnsi="Symbol" w:hint="default"/>
      </w:rPr>
    </w:lvl>
    <w:lvl w:ilvl="1" w:tplc="27F08AB6" w:tentative="1">
      <w:start w:val="1"/>
      <w:numFmt w:val="bullet"/>
      <w:lvlText w:val="o"/>
      <w:lvlJc w:val="left"/>
      <w:pPr>
        <w:ind w:left="1440" w:hanging="360"/>
      </w:pPr>
      <w:rPr>
        <w:rFonts w:ascii="Courier New" w:hAnsi="Courier New" w:cs="Courier New" w:hint="default"/>
      </w:rPr>
    </w:lvl>
    <w:lvl w:ilvl="2" w:tplc="107A7262" w:tentative="1">
      <w:start w:val="1"/>
      <w:numFmt w:val="bullet"/>
      <w:lvlText w:val=""/>
      <w:lvlJc w:val="left"/>
      <w:pPr>
        <w:ind w:left="2160" w:hanging="360"/>
      </w:pPr>
      <w:rPr>
        <w:rFonts w:ascii="Wingdings" w:hAnsi="Wingdings" w:hint="default"/>
      </w:rPr>
    </w:lvl>
    <w:lvl w:ilvl="3" w:tplc="89089304" w:tentative="1">
      <w:start w:val="1"/>
      <w:numFmt w:val="bullet"/>
      <w:lvlText w:val=""/>
      <w:lvlJc w:val="left"/>
      <w:pPr>
        <w:ind w:left="2880" w:hanging="360"/>
      </w:pPr>
      <w:rPr>
        <w:rFonts w:ascii="Symbol" w:hAnsi="Symbol" w:hint="default"/>
      </w:rPr>
    </w:lvl>
    <w:lvl w:ilvl="4" w:tplc="9F08950A" w:tentative="1">
      <w:start w:val="1"/>
      <w:numFmt w:val="bullet"/>
      <w:lvlText w:val="o"/>
      <w:lvlJc w:val="left"/>
      <w:pPr>
        <w:ind w:left="3600" w:hanging="360"/>
      </w:pPr>
      <w:rPr>
        <w:rFonts w:ascii="Courier New" w:hAnsi="Courier New" w:cs="Courier New" w:hint="default"/>
      </w:rPr>
    </w:lvl>
    <w:lvl w:ilvl="5" w:tplc="07D01150" w:tentative="1">
      <w:start w:val="1"/>
      <w:numFmt w:val="bullet"/>
      <w:lvlText w:val=""/>
      <w:lvlJc w:val="left"/>
      <w:pPr>
        <w:ind w:left="4320" w:hanging="360"/>
      </w:pPr>
      <w:rPr>
        <w:rFonts w:ascii="Wingdings" w:hAnsi="Wingdings" w:hint="default"/>
      </w:rPr>
    </w:lvl>
    <w:lvl w:ilvl="6" w:tplc="A9DE444E" w:tentative="1">
      <w:start w:val="1"/>
      <w:numFmt w:val="bullet"/>
      <w:lvlText w:val=""/>
      <w:lvlJc w:val="left"/>
      <w:pPr>
        <w:ind w:left="5040" w:hanging="360"/>
      </w:pPr>
      <w:rPr>
        <w:rFonts w:ascii="Symbol" w:hAnsi="Symbol" w:hint="default"/>
      </w:rPr>
    </w:lvl>
    <w:lvl w:ilvl="7" w:tplc="E23CBE0C" w:tentative="1">
      <w:start w:val="1"/>
      <w:numFmt w:val="bullet"/>
      <w:lvlText w:val="o"/>
      <w:lvlJc w:val="left"/>
      <w:pPr>
        <w:ind w:left="5760" w:hanging="360"/>
      </w:pPr>
      <w:rPr>
        <w:rFonts w:ascii="Courier New" w:hAnsi="Courier New" w:cs="Courier New" w:hint="default"/>
      </w:rPr>
    </w:lvl>
    <w:lvl w:ilvl="8" w:tplc="80C0B4F4" w:tentative="1">
      <w:start w:val="1"/>
      <w:numFmt w:val="bullet"/>
      <w:lvlText w:val=""/>
      <w:lvlJc w:val="left"/>
      <w:pPr>
        <w:ind w:left="6480" w:hanging="360"/>
      </w:pPr>
      <w:rPr>
        <w:rFonts w:ascii="Wingdings" w:hAnsi="Wingdings" w:hint="default"/>
      </w:rPr>
    </w:lvl>
  </w:abstractNum>
  <w:abstractNum w:abstractNumId="72" w15:restartNumberingAfterBreak="0">
    <w:nsid w:val="2CB438BD"/>
    <w:multiLevelType w:val="hybridMultilevel"/>
    <w:tmpl w:val="437C73EA"/>
    <w:lvl w:ilvl="0" w:tplc="FBEC1C04">
      <w:start w:val="1"/>
      <w:numFmt w:val="bullet"/>
      <w:pStyle w:val="Bullet-"/>
      <w:lvlText w:val="-"/>
      <w:lvlJc w:val="left"/>
      <w:pPr>
        <w:tabs>
          <w:tab w:val="num" w:pos="720"/>
        </w:tabs>
        <w:ind w:left="720" w:hanging="360"/>
      </w:pPr>
      <w:rPr>
        <w:rFonts w:hint="default"/>
      </w:rPr>
    </w:lvl>
    <w:lvl w:ilvl="1" w:tplc="0922A284">
      <w:start w:val="1"/>
      <w:numFmt w:val="bullet"/>
      <w:lvlText w:val="o"/>
      <w:lvlJc w:val="left"/>
      <w:pPr>
        <w:tabs>
          <w:tab w:val="num" w:pos="1440"/>
        </w:tabs>
        <w:ind w:left="1440" w:hanging="360"/>
      </w:pPr>
      <w:rPr>
        <w:rFonts w:ascii="Courier New" w:hAnsi="Courier New" w:hint="default"/>
      </w:rPr>
    </w:lvl>
    <w:lvl w:ilvl="2" w:tplc="4AAC26BC">
      <w:start w:val="1"/>
      <w:numFmt w:val="bullet"/>
      <w:lvlText w:val=""/>
      <w:lvlJc w:val="left"/>
      <w:pPr>
        <w:tabs>
          <w:tab w:val="num" w:pos="2160"/>
        </w:tabs>
        <w:ind w:left="2160" w:hanging="360"/>
      </w:pPr>
      <w:rPr>
        <w:rFonts w:ascii="Wingdings" w:hAnsi="Wingdings" w:hint="default"/>
      </w:rPr>
    </w:lvl>
    <w:lvl w:ilvl="3" w:tplc="6338F378">
      <w:start w:val="1"/>
      <w:numFmt w:val="bullet"/>
      <w:lvlText w:val=""/>
      <w:lvlJc w:val="left"/>
      <w:pPr>
        <w:tabs>
          <w:tab w:val="num" w:pos="2880"/>
        </w:tabs>
        <w:ind w:left="2880" w:hanging="360"/>
      </w:pPr>
      <w:rPr>
        <w:rFonts w:ascii="Symbol" w:hAnsi="Symbol" w:hint="default"/>
      </w:rPr>
    </w:lvl>
    <w:lvl w:ilvl="4" w:tplc="DD0CB82C" w:tentative="1">
      <w:start w:val="1"/>
      <w:numFmt w:val="bullet"/>
      <w:lvlText w:val="o"/>
      <w:lvlJc w:val="left"/>
      <w:pPr>
        <w:tabs>
          <w:tab w:val="num" w:pos="3600"/>
        </w:tabs>
        <w:ind w:left="3600" w:hanging="360"/>
      </w:pPr>
      <w:rPr>
        <w:rFonts w:ascii="Courier New" w:hAnsi="Courier New" w:hint="default"/>
      </w:rPr>
    </w:lvl>
    <w:lvl w:ilvl="5" w:tplc="F364E4C4" w:tentative="1">
      <w:start w:val="1"/>
      <w:numFmt w:val="bullet"/>
      <w:lvlText w:val=""/>
      <w:lvlJc w:val="left"/>
      <w:pPr>
        <w:tabs>
          <w:tab w:val="num" w:pos="4320"/>
        </w:tabs>
        <w:ind w:left="4320" w:hanging="360"/>
      </w:pPr>
      <w:rPr>
        <w:rFonts w:ascii="Wingdings" w:hAnsi="Wingdings" w:hint="default"/>
      </w:rPr>
    </w:lvl>
    <w:lvl w:ilvl="6" w:tplc="ED9AB486" w:tentative="1">
      <w:start w:val="1"/>
      <w:numFmt w:val="bullet"/>
      <w:lvlText w:val=""/>
      <w:lvlJc w:val="left"/>
      <w:pPr>
        <w:tabs>
          <w:tab w:val="num" w:pos="5040"/>
        </w:tabs>
        <w:ind w:left="5040" w:hanging="360"/>
      </w:pPr>
      <w:rPr>
        <w:rFonts w:ascii="Symbol" w:hAnsi="Symbol" w:hint="default"/>
      </w:rPr>
    </w:lvl>
    <w:lvl w:ilvl="7" w:tplc="EA461E9A" w:tentative="1">
      <w:start w:val="1"/>
      <w:numFmt w:val="bullet"/>
      <w:lvlText w:val="o"/>
      <w:lvlJc w:val="left"/>
      <w:pPr>
        <w:tabs>
          <w:tab w:val="num" w:pos="5760"/>
        </w:tabs>
        <w:ind w:left="5760" w:hanging="360"/>
      </w:pPr>
      <w:rPr>
        <w:rFonts w:ascii="Courier New" w:hAnsi="Courier New" w:hint="default"/>
      </w:rPr>
    </w:lvl>
    <w:lvl w:ilvl="8" w:tplc="6D06FE98"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2DD459F7"/>
    <w:multiLevelType w:val="hybridMultilevel"/>
    <w:tmpl w:val="50EA8040"/>
    <w:lvl w:ilvl="0" w:tplc="FD262F9A">
      <w:start w:val="1"/>
      <w:numFmt w:val="bullet"/>
      <w:lvlText w:val=""/>
      <w:lvlJc w:val="left"/>
      <w:pPr>
        <w:ind w:left="644" w:hanging="360"/>
      </w:pPr>
      <w:rPr>
        <w:rFonts w:ascii="Wingdings" w:hAnsi="Wingdings" w:hint="default"/>
      </w:rPr>
    </w:lvl>
    <w:lvl w:ilvl="1" w:tplc="A0A2DA96" w:tentative="1">
      <w:start w:val="1"/>
      <w:numFmt w:val="bullet"/>
      <w:lvlText w:val="o"/>
      <w:lvlJc w:val="left"/>
      <w:pPr>
        <w:ind w:left="1298" w:hanging="360"/>
      </w:pPr>
      <w:rPr>
        <w:rFonts w:ascii="Courier New" w:hAnsi="Courier New" w:cs="Courier New" w:hint="default"/>
      </w:rPr>
    </w:lvl>
    <w:lvl w:ilvl="2" w:tplc="607860A4" w:tentative="1">
      <w:start w:val="1"/>
      <w:numFmt w:val="bullet"/>
      <w:lvlText w:val=""/>
      <w:lvlJc w:val="left"/>
      <w:pPr>
        <w:ind w:left="2018" w:hanging="360"/>
      </w:pPr>
      <w:rPr>
        <w:rFonts w:ascii="Wingdings" w:hAnsi="Wingdings" w:hint="default"/>
      </w:rPr>
    </w:lvl>
    <w:lvl w:ilvl="3" w:tplc="114CE180" w:tentative="1">
      <w:start w:val="1"/>
      <w:numFmt w:val="bullet"/>
      <w:lvlText w:val=""/>
      <w:lvlJc w:val="left"/>
      <w:pPr>
        <w:ind w:left="2738" w:hanging="360"/>
      </w:pPr>
      <w:rPr>
        <w:rFonts w:ascii="Symbol" w:hAnsi="Symbol" w:hint="default"/>
      </w:rPr>
    </w:lvl>
    <w:lvl w:ilvl="4" w:tplc="6F06DD3A" w:tentative="1">
      <w:start w:val="1"/>
      <w:numFmt w:val="bullet"/>
      <w:lvlText w:val="o"/>
      <w:lvlJc w:val="left"/>
      <w:pPr>
        <w:ind w:left="3458" w:hanging="360"/>
      </w:pPr>
      <w:rPr>
        <w:rFonts w:ascii="Courier New" w:hAnsi="Courier New" w:cs="Courier New" w:hint="default"/>
      </w:rPr>
    </w:lvl>
    <w:lvl w:ilvl="5" w:tplc="888274E4" w:tentative="1">
      <w:start w:val="1"/>
      <w:numFmt w:val="bullet"/>
      <w:lvlText w:val=""/>
      <w:lvlJc w:val="left"/>
      <w:pPr>
        <w:ind w:left="4178" w:hanging="360"/>
      </w:pPr>
      <w:rPr>
        <w:rFonts w:ascii="Wingdings" w:hAnsi="Wingdings" w:hint="default"/>
      </w:rPr>
    </w:lvl>
    <w:lvl w:ilvl="6" w:tplc="C61A7B34" w:tentative="1">
      <w:start w:val="1"/>
      <w:numFmt w:val="bullet"/>
      <w:lvlText w:val=""/>
      <w:lvlJc w:val="left"/>
      <w:pPr>
        <w:ind w:left="4898" w:hanging="360"/>
      </w:pPr>
      <w:rPr>
        <w:rFonts w:ascii="Symbol" w:hAnsi="Symbol" w:hint="default"/>
      </w:rPr>
    </w:lvl>
    <w:lvl w:ilvl="7" w:tplc="1D8E0FC4" w:tentative="1">
      <w:start w:val="1"/>
      <w:numFmt w:val="bullet"/>
      <w:lvlText w:val="o"/>
      <w:lvlJc w:val="left"/>
      <w:pPr>
        <w:ind w:left="5618" w:hanging="360"/>
      </w:pPr>
      <w:rPr>
        <w:rFonts w:ascii="Courier New" w:hAnsi="Courier New" w:cs="Courier New" w:hint="default"/>
      </w:rPr>
    </w:lvl>
    <w:lvl w:ilvl="8" w:tplc="28EEA3D0" w:tentative="1">
      <w:start w:val="1"/>
      <w:numFmt w:val="bullet"/>
      <w:lvlText w:val=""/>
      <w:lvlJc w:val="left"/>
      <w:pPr>
        <w:ind w:left="6338" w:hanging="360"/>
      </w:pPr>
      <w:rPr>
        <w:rFonts w:ascii="Wingdings" w:hAnsi="Wingdings" w:hint="default"/>
      </w:rPr>
    </w:lvl>
  </w:abstractNum>
  <w:abstractNum w:abstractNumId="74" w15:restartNumberingAfterBreak="0">
    <w:nsid w:val="2DDA3272"/>
    <w:multiLevelType w:val="hybridMultilevel"/>
    <w:tmpl w:val="D708E058"/>
    <w:lvl w:ilvl="0" w:tplc="5CC0CFC6">
      <w:start w:val="1"/>
      <w:numFmt w:val="bullet"/>
      <w:lvlText w:val=""/>
      <w:lvlJc w:val="left"/>
      <w:pPr>
        <w:ind w:left="644" w:hanging="360"/>
      </w:pPr>
      <w:rPr>
        <w:rFonts w:ascii="Symbol" w:hAnsi="Symbol" w:hint="default"/>
      </w:rPr>
    </w:lvl>
    <w:lvl w:ilvl="1" w:tplc="89DE698C" w:tentative="1">
      <w:start w:val="1"/>
      <w:numFmt w:val="bullet"/>
      <w:lvlText w:val="o"/>
      <w:lvlJc w:val="left"/>
      <w:pPr>
        <w:ind w:left="1364" w:hanging="360"/>
      </w:pPr>
      <w:rPr>
        <w:rFonts w:ascii="Courier New" w:hAnsi="Courier New" w:cs="Courier New" w:hint="default"/>
      </w:rPr>
    </w:lvl>
    <w:lvl w:ilvl="2" w:tplc="926223C4" w:tentative="1">
      <w:start w:val="1"/>
      <w:numFmt w:val="bullet"/>
      <w:lvlText w:val=""/>
      <w:lvlJc w:val="left"/>
      <w:pPr>
        <w:ind w:left="2084" w:hanging="360"/>
      </w:pPr>
      <w:rPr>
        <w:rFonts w:ascii="Wingdings" w:hAnsi="Wingdings" w:hint="default"/>
      </w:rPr>
    </w:lvl>
    <w:lvl w:ilvl="3" w:tplc="83745C76" w:tentative="1">
      <w:start w:val="1"/>
      <w:numFmt w:val="bullet"/>
      <w:lvlText w:val=""/>
      <w:lvlJc w:val="left"/>
      <w:pPr>
        <w:ind w:left="2804" w:hanging="360"/>
      </w:pPr>
      <w:rPr>
        <w:rFonts w:ascii="Symbol" w:hAnsi="Symbol" w:hint="default"/>
      </w:rPr>
    </w:lvl>
    <w:lvl w:ilvl="4" w:tplc="84567876" w:tentative="1">
      <w:start w:val="1"/>
      <w:numFmt w:val="bullet"/>
      <w:lvlText w:val="o"/>
      <w:lvlJc w:val="left"/>
      <w:pPr>
        <w:ind w:left="3524" w:hanging="360"/>
      </w:pPr>
      <w:rPr>
        <w:rFonts w:ascii="Courier New" w:hAnsi="Courier New" w:cs="Courier New" w:hint="default"/>
      </w:rPr>
    </w:lvl>
    <w:lvl w:ilvl="5" w:tplc="E90C324C" w:tentative="1">
      <w:start w:val="1"/>
      <w:numFmt w:val="bullet"/>
      <w:lvlText w:val=""/>
      <w:lvlJc w:val="left"/>
      <w:pPr>
        <w:ind w:left="4244" w:hanging="360"/>
      </w:pPr>
      <w:rPr>
        <w:rFonts w:ascii="Wingdings" w:hAnsi="Wingdings" w:hint="default"/>
      </w:rPr>
    </w:lvl>
    <w:lvl w:ilvl="6" w:tplc="E5E0797E" w:tentative="1">
      <w:start w:val="1"/>
      <w:numFmt w:val="bullet"/>
      <w:lvlText w:val=""/>
      <w:lvlJc w:val="left"/>
      <w:pPr>
        <w:ind w:left="4964" w:hanging="360"/>
      </w:pPr>
      <w:rPr>
        <w:rFonts w:ascii="Symbol" w:hAnsi="Symbol" w:hint="default"/>
      </w:rPr>
    </w:lvl>
    <w:lvl w:ilvl="7" w:tplc="547445CA" w:tentative="1">
      <w:start w:val="1"/>
      <w:numFmt w:val="bullet"/>
      <w:lvlText w:val="o"/>
      <w:lvlJc w:val="left"/>
      <w:pPr>
        <w:ind w:left="5684" w:hanging="360"/>
      </w:pPr>
      <w:rPr>
        <w:rFonts w:ascii="Courier New" w:hAnsi="Courier New" w:cs="Courier New" w:hint="default"/>
      </w:rPr>
    </w:lvl>
    <w:lvl w:ilvl="8" w:tplc="BB367D6E" w:tentative="1">
      <w:start w:val="1"/>
      <w:numFmt w:val="bullet"/>
      <w:lvlText w:val=""/>
      <w:lvlJc w:val="left"/>
      <w:pPr>
        <w:ind w:left="6404" w:hanging="360"/>
      </w:pPr>
      <w:rPr>
        <w:rFonts w:ascii="Wingdings" w:hAnsi="Wingdings" w:hint="default"/>
      </w:rPr>
    </w:lvl>
  </w:abstractNum>
  <w:abstractNum w:abstractNumId="75" w15:restartNumberingAfterBreak="0">
    <w:nsid w:val="2E3448C6"/>
    <w:multiLevelType w:val="hybridMultilevel"/>
    <w:tmpl w:val="46D61626"/>
    <w:lvl w:ilvl="0" w:tplc="434653C8">
      <w:start w:val="1"/>
      <w:numFmt w:val="bullet"/>
      <w:lvlText w:val=""/>
      <w:lvlJc w:val="left"/>
      <w:pPr>
        <w:ind w:left="720" w:hanging="360"/>
      </w:pPr>
      <w:rPr>
        <w:rFonts w:ascii="Symbol" w:hAnsi="Symbol" w:hint="default"/>
      </w:rPr>
    </w:lvl>
    <w:lvl w:ilvl="1" w:tplc="BB846AFE" w:tentative="1">
      <w:start w:val="1"/>
      <w:numFmt w:val="bullet"/>
      <w:lvlText w:val="o"/>
      <w:lvlJc w:val="left"/>
      <w:pPr>
        <w:ind w:left="1440" w:hanging="360"/>
      </w:pPr>
      <w:rPr>
        <w:rFonts w:ascii="Courier New" w:hAnsi="Courier New" w:cs="Courier New" w:hint="default"/>
      </w:rPr>
    </w:lvl>
    <w:lvl w:ilvl="2" w:tplc="F3C6A328" w:tentative="1">
      <w:start w:val="1"/>
      <w:numFmt w:val="bullet"/>
      <w:lvlText w:val=""/>
      <w:lvlJc w:val="left"/>
      <w:pPr>
        <w:ind w:left="2160" w:hanging="360"/>
      </w:pPr>
      <w:rPr>
        <w:rFonts w:ascii="Wingdings" w:hAnsi="Wingdings" w:hint="default"/>
      </w:rPr>
    </w:lvl>
    <w:lvl w:ilvl="3" w:tplc="E556D988" w:tentative="1">
      <w:start w:val="1"/>
      <w:numFmt w:val="bullet"/>
      <w:lvlText w:val=""/>
      <w:lvlJc w:val="left"/>
      <w:pPr>
        <w:ind w:left="2880" w:hanging="360"/>
      </w:pPr>
      <w:rPr>
        <w:rFonts w:ascii="Symbol" w:hAnsi="Symbol" w:hint="default"/>
      </w:rPr>
    </w:lvl>
    <w:lvl w:ilvl="4" w:tplc="BFDE563A" w:tentative="1">
      <w:start w:val="1"/>
      <w:numFmt w:val="bullet"/>
      <w:lvlText w:val="o"/>
      <w:lvlJc w:val="left"/>
      <w:pPr>
        <w:ind w:left="3600" w:hanging="360"/>
      </w:pPr>
      <w:rPr>
        <w:rFonts w:ascii="Courier New" w:hAnsi="Courier New" w:cs="Courier New" w:hint="default"/>
      </w:rPr>
    </w:lvl>
    <w:lvl w:ilvl="5" w:tplc="4E0ED4B2" w:tentative="1">
      <w:start w:val="1"/>
      <w:numFmt w:val="bullet"/>
      <w:lvlText w:val=""/>
      <w:lvlJc w:val="left"/>
      <w:pPr>
        <w:ind w:left="4320" w:hanging="360"/>
      </w:pPr>
      <w:rPr>
        <w:rFonts w:ascii="Wingdings" w:hAnsi="Wingdings" w:hint="default"/>
      </w:rPr>
    </w:lvl>
    <w:lvl w:ilvl="6" w:tplc="5C92A486" w:tentative="1">
      <w:start w:val="1"/>
      <w:numFmt w:val="bullet"/>
      <w:lvlText w:val=""/>
      <w:lvlJc w:val="left"/>
      <w:pPr>
        <w:ind w:left="5040" w:hanging="360"/>
      </w:pPr>
      <w:rPr>
        <w:rFonts w:ascii="Symbol" w:hAnsi="Symbol" w:hint="default"/>
      </w:rPr>
    </w:lvl>
    <w:lvl w:ilvl="7" w:tplc="4E489D56" w:tentative="1">
      <w:start w:val="1"/>
      <w:numFmt w:val="bullet"/>
      <w:lvlText w:val="o"/>
      <w:lvlJc w:val="left"/>
      <w:pPr>
        <w:ind w:left="5760" w:hanging="360"/>
      </w:pPr>
      <w:rPr>
        <w:rFonts w:ascii="Courier New" w:hAnsi="Courier New" w:cs="Courier New" w:hint="default"/>
      </w:rPr>
    </w:lvl>
    <w:lvl w:ilvl="8" w:tplc="80FCD036" w:tentative="1">
      <w:start w:val="1"/>
      <w:numFmt w:val="bullet"/>
      <w:lvlText w:val=""/>
      <w:lvlJc w:val="left"/>
      <w:pPr>
        <w:ind w:left="6480" w:hanging="360"/>
      </w:pPr>
      <w:rPr>
        <w:rFonts w:ascii="Wingdings" w:hAnsi="Wingdings" w:hint="default"/>
      </w:rPr>
    </w:lvl>
  </w:abstractNum>
  <w:abstractNum w:abstractNumId="76" w15:restartNumberingAfterBreak="0">
    <w:nsid w:val="2E56614D"/>
    <w:multiLevelType w:val="hybridMultilevel"/>
    <w:tmpl w:val="6E5090B2"/>
    <w:lvl w:ilvl="0" w:tplc="341A38E4">
      <w:start w:val="1"/>
      <w:numFmt w:val="bullet"/>
      <w:lvlText w:val=""/>
      <w:lvlJc w:val="left"/>
      <w:pPr>
        <w:ind w:left="720" w:hanging="360"/>
      </w:pPr>
      <w:rPr>
        <w:rFonts w:ascii="Symbol" w:hAnsi="Symbol" w:hint="default"/>
      </w:rPr>
    </w:lvl>
    <w:lvl w:ilvl="1" w:tplc="01F67D12" w:tentative="1">
      <w:start w:val="1"/>
      <w:numFmt w:val="bullet"/>
      <w:lvlText w:val="o"/>
      <w:lvlJc w:val="left"/>
      <w:pPr>
        <w:ind w:left="1440" w:hanging="360"/>
      </w:pPr>
      <w:rPr>
        <w:rFonts w:ascii="Courier New" w:hAnsi="Courier New" w:cs="Courier New" w:hint="default"/>
      </w:rPr>
    </w:lvl>
    <w:lvl w:ilvl="2" w:tplc="B936CF9E" w:tentative="1">
      <w:start w:val="1"/>
      <w:numFmt w:val="bullet"/>
      <w:lvlText w:val=""/>
      <w:lvlJc w:val="left"/>
      <w:pPr>
        <w:ind w:left="2160" w:hanging="360"/>
      </w:pPr>
      <w:rPr>
        <w:rFonts w:ascii="Wingdings" w:hAnsi="Wingdings" w:hint="default"/>
      </w:rPr>
    </w:lvl>
    <w:lvl w:ilvl="3" w:tplc="9F4471DC" w:tentative="1">
      <w:start w:val="1"/>
      <w:numFmt w:val="bullet"/>
      <w:lvlText w:val=""/>
      <w:lvlJc w:val="left"/>
      <w:pPr>
        <w:ind w:left="2880" w:hanging="360"/>
      </w:pPr>
      <w:rPr>
        <w:rFonts w:ascii="Symbol" w:hAnsi="Symbol" w:hint="default"/>
      </w:rPr>
    </w:lvl>
    <w:lvl w:ilvl="4" w:tplc="98740C2E" w:tentative="1">
      <w:start w:val="1"/>
      <w:numFmt w:val="bullet"/>
      <w:lvlText w:val="o"/>
      <w:lvlJc w:val="left"/>
      <w:pPr>
        <w:ind w:left="3600" w:hanging="360"/>
      </w:pPr>
      <w:rPr>
        <w:rFonts w:ascii="Courier New" w:hAnsi="Courier New" w:cs="Courier New" w:hint="default"/>
      </w:rPr>
    </w:lvl>
    <w:lvl w:ilvl="5" w:tplc="90A0D264" w:tentative="1">
      <w:start w:val="1"/>
      <w:numFmt w:val="bullet"/>
      <w:lvlText w:val=""/>
      <w:lvlJc w:val="left"/>
      <w:pPr>
        <w:ind w:left="4320" w:hanging="360"/>
      </w:pPr>
      <w:rPr>
        <w:rFonts w:ascii="Wingdings" w:hAnsi="Wingdings" w:hint="default"/>
      </w:rPr>
    </w:lvl>
    <w:lvl w:ilvl="6" w:tplc="CEF889AE" w:tentative="1">
      <w:start w:val="1"/>
      <w:numFmt w:val="bullet"/>
      <w:lvlText w:val=""/>
      <w:lvlJc w:val="left"/>
      <w:pPr>
        <w:ind w:left="5040" w:hanging="360"/>
      </w:pPr>
      <w:rPr>
        <w:rFonts w:ascii="Symbol" w:hAnsi="Symbol" w:hint="default"/>
      </w:rPr>
    </w:lvl>
    <w:lvl w:ilvl="7" w:tplc="7570B41C" w:tentative="1">
      <w:start w:val="1"/>
      <w:numFmt w:val="bullet"/>
      <w:lvlText w:val="o"/>
      <w:lvlJc w:val="left"/>
      <w:pPr>
        <w:ind w:left="5760" w:hanging="360"/>
      </w:pPr>
      <w:rPr>
        <w:rFonts w:ascii="Courier New" w:hAnsi="Courier New" w:cs="Courier New" w:hint="default"/>
      </w:rPr>
    </w:lvl>
    <w:lvl w:ilvl="8" w:tplc="0978931E" w:tentative="1">
      <w:start w:val="1"/>
      <w:numFmt w:val="bullet"/>
      <w:lvlText w:val=""/>
      <w:lvlJc w:val="left"/>
      <w:pPr>
        <w:ind w:left="6480" w:hanging="360"/>
      </w:pPr>
      <w:rPr>
        <w:rFonts w:ascii="Wingdings" w:hAnsi="Wingdings" w:hint="default"/>
      </w:rPr>
    </w:lvl>
  </w:abstractNum>
  <w:abstractNum w:abstractNumId="77" w15:restartNumberingAfterBreak="0">
    <w:nsid w:val="302D7042"/>
    <w:multiLevelType w:val="hybridMultilevel"/>
    <w:tmpl w:val="A2A8997A"/>
    <w:lvl w:ilvl="0" w:tplc="389AFC16">
      <w:start w:val="1"/>
      <w:numFmt w:val="bullet"/>
      <w:lvlText w:val=""/>
      <w:lvlJc w:val="left"/>
      <w:pPr>
        <w:ind w:left="720" w:hanging="360"/>
      </w:pPr>
      <w:rPr>
        <w:rFonts w:ascii="Symbol" w:hAnsi="Symbol" w:hint="default"/>
      </w:rPr>
    </w:lvl>
    <w:lvl w:ilvl="1" w:tplc="7848BED8" w:tentative="1">
      <w:start w:val="1"/>
      <w:numFmt w:val="bullet"/>
      <w:lvlText w:val="o"/>
      <w:lvlJc w:val="left"/>
      <w:pPr>
        <w:ind w:left="1440" w:hanging="360"/>
      </w:pPr>
      <w:rPr>
        <w:rFonts w:ascii="Courier New" w:hAnsi="Courier New" w:cs="Courier New" w:hint="default"/>
      </w:rPr>
    </w:lvl>
    <w:lvl w:ilvl="2" w:tplc="0EEE0DEA" w:tentative="1">
      <w:start w:val="1"/>
      <w:numFmt w:val="bullet"/>
      <w:lvlText w:val=""/>
      <w:lvlJc w:val="left"/>
      <w:pPr>
        <w:ind w:left="2160" w:hanging="360"/>
      </w:pPr>
      <w:rPr>
        <w:rFonts w:ascii="Wingdings" w:hAnsi="Wingdings" w:hint="default"/>
      </w:rPr>
    </w:lvl>
    <w:lvl w:ilvl="3" w:tplc="38BE5AA8" w:tentative="1">
      <w:start w:val="1"/>
      <w:numFmt w:val="bullet"/>
      <w:lvlText w:val=""/>
      <w:lvlJc w:val="left"/>
      <w:pPr>
        <w:ind w:left="2880" w:hanging="360"/>
      </w:pPr>
      <w:rPr>
        <w:rFonts w:ascii="Symbol" w:hAnsi="Symbol" w:hint="default"/>
      </w:rPr>
    </w:lvl>
    <w:lvl w:ilvl="4" w:tplc="316A3CA8" w:tentative="1">
      <w:start w:val="1"/>
      <w:numFmt w:val="bullet"/>
      <w:lvlText w:val="o"/>
      <w:lvlJc w:val="left"/>
      <w:pPr>
        <w:ind w:left="3600" w:hanging="360"/>
      </w:pPr>
      <w:rPr>
        <w:rFonts w:ascii="Courier New" w:hAnsi="Courier New" w:cs="Courier New" w:hint="default"/>
      </w:rPr>
    </w:lvl>
    <w:lvl w:ilvl="5" w:tplc="630ADF00" w:tentative="1">
      <w:start w:val="1"/>
      <w:numFmt w:val="bullet"/>
      <w:lvlText w:val=""/>
      <w:lvlJc w:val="left"/>
      <w:pPr>
        <w:ind w:left="4320" w:hanging="360"/>
      </w:pPr>
      <w:rPr>
        <w:rFonts w:ascii="Wingdings" w:hAnsi="Wingdings" w:hint="default"/>
      </w:rPr>
    </w:lvl>
    <w:lvl w:ilvl="6" w:tplc="C6926EBE" w:tentative="1">
      <w:start w:val="1"/>
      <w:numFmt w:val="bullet"/>
      <w:lvlText w:val=""/>
      <w:lvlJc w:val="left"/>
      <w:pPr>
        <w:ind w:left="5040" w:hanging="360"/>
      </w:pPr>
      <w:rPr>
        <w:rFonts w:ascii="Symbol" w:hAnsi="Symbol" w:hint="default"/>
      </w:rPr>
    </w:lvl>
    <w:lvl w:ilvl="7" w:tplc="CE86660A" w:tentative="1">
      <w:start w:val="1"/>
      <w:numFmt w:val="bullet"/>
      <w:lvlText w:val="o"/>
      <w:lvlJc w:val="left"/>
      <w:pPr>
        <w:ind w:left="5760" w:hanging="360"/>
      </w:pPr>
      <w:rPr>
        <w:rFonts w:ascii="Courier New" w:hAnsi="Courier New" w:cs="Courier New" w:hint="default"/>
      </w:rPr>
    </w:lvl>
    <w:lvl w:ilvl="8" w:tplc="1A78ED94" w:tentative="1">
      <w:start w:val="1"/>
      <w:numFmt w:val="bullet"/>
      <w:lvlText w:val=""/>
      <w:lvlJc w:val="left"/>
      <w:pPr>
        <w:ind w:left="6480" w:hanging="360"/>
      </w:pPr>
      <w:rPr>
        <w:rFonts w:ascii="Wingdings" w:hAnsi="Wingdings" w:hint="default"/>
      </w:rPr>
    </w:lvl>
  </w:abstractNum>
  <w:abstractNum w:abstractNumId="78" w15:restartNumberingAfterBreak="0">
    <w:nsid w:val="34FC59CF"/>
    <w:multiLevelType w:val="hybridMultilevel"/>
    <w:tmpl w:val="458C5AEE"/>
    <w:lvl w:ilvl="0" w:tplc="68DE6A2C">
      <w:start w:val="1"/>
      <w:numFmt w:val="bullet"/>
      <w:lvlText w:val=""/>
      <w:lvlJc w:val="left"/>
      <w:pPr>
        <w:ind w:left="1495" w:hanging="360"/>
      </w:pPr>
      <w:rPr>
        <w:rFonts w:ascii="Symbol" w:hAnsi="Symbol" w:hint="default"/>
      </w:rPr>
    </w:lvl>
    <w:lvl w:ilvl="1" w:tplc="B0CE6DE2" w:tentative="1">
      <w:start w:val="1"/>
      <w:numFmt w:val="bullet"/>
      <w:lvlText w:val="o"/>
      <w:lvlJc w:val="left"/>
      <w:pPr>
        <w:ind w:left="1298" w:hanging="360"/>
      </w:pPr>
      <w:rPr>
        <w:rFonts w:ascii="Courier New" w:hAnsi="Courier New" w:cs="Courier New" w:hint="default"/>
      </w:rPr>
    </w:lvl>
    <w:lvl w:ilvl="2" w:tplc="D7C6788C" w:tentative="1">
      <w:start w:val="1"/>
      <w:numFmt w:val="bullet"/>
      <w:lvlText w:val=""/>
      <w:lvlJc w:val="left"/>
      <w:pPr>
        <w:ind w:left="2018" w:hanging="360"/>
      </w:pPr>
      <w:rPr>
        <w:rFonts w:ascii="Wingdings" w:hAnsi="Wingdings" w:hint="default"/>
      </w:rPr>
    </w:lvl>
    <w:lvl w:ilvl="3" w:tplc="0354FBB6" w:tentative="1">
      <w:start w:val="1"/>
      <w:numFmt w:val="bullet"/>
      <w:lvlText w:val=""/>
      <w:lvlJc w:val="left"/>
      <w:pPr>
        <w:ind w:left="2738" w:hanging="360"/>
      </w:pPr>
      <w:rPr>
        <w:rFonts w:ascii="Symbol" w:hAnsi="Symbol" w:hint="default"/>
      </w:rPr>
    </w:lvl>
    <w:lvl w:ilvl="4" w:tplc="2A8CB84E" w:tentative="1">
      <w:start w:val="1"/>
      <w:numFmt w:val="bullet"/>
      <w:lvlText w:val="o"/>
      <w:lvlJc w:val="left"/>
      <w:pPr>
        <w:ind w:left="3458" w:hanging="360"/>
      </w:pPr>
      <w:rPr>
        <w:rFonts w:ascii="Courier New" w:hAnsi="Courier New" w:cs="Courier New" w:hint="default"/>
      </w:rPr>
    </w:lvl>
    <w:lvl w:ilvl="5" w:tplc="1108AE96" w:tentative="1">
      <w:start w:val="1"/>
      <w:numFmt w:val="bullet"/>
      <w:lvlText w:val=""/>
      <w:lvlJc w:val="left"/>
      <w:pPr>
        <w:ind w:left="4178" w:hanging="360"/>
      </w:pPr>
      <w:rPr>
        <w:rFonts w:ascii="Wingdings" w:hAnsi="Wingdings" w:hint="default"/>
      </w:rPr>
    </w:lvl>
    <w:lvl w:ilvl="6" w:tplc="306E32FC" w:tentative="1">
      <w:start w:val="1"/>
      <w:numFmt w:val="bullet"/>
      <w:lvlText w:val=""/>
      <w:lvlJc w:val="left"/>
      <w:pPr>
        <w:ind w:left="4898" w:hanging="360"/>
      </w:pPr>
      <w:rPr>
        <w:rFonts w:ascii="Symbol" w:hAnsi="Symbol" w:hint="default"/>
      </w:rPr>
    </w:lvl>
    <w:lvl w:ilvl="7" w:tplc="5B4CEA4E" w:tentative="1">
      <w:start w:val="1"/>
      <w:numFmt w:val="bullet"/>
      <w:lvlText w:val="o"/>
      <w:lvlJc w:val="left"/>
      <w:pPr>
        <w:ind w:left="5618" w:hanging="360"/>
      </w:pPr>
      <w:rPr>
        <w:rFonts w:ascii="Courier New" w:hAnsi="Courier New" w:cs="Courier New" w:hint="default"/>
      </w:rPr>
    </w:lvl>
    <w:lvl w:ilvl="8" w:tplc="5B52F448" w:tentative="1">
      <w:start w:val="1"/>
      <w:numFmt w:val="bullet"/>
      <w:lvlText w:val=""/>
      <w:lvlJc w:val="left"/>
      <w:pPr>
        <w:ind w:left="6338" w:hanging="360"/>
      </w:pPr>
      <w:rPr>
        <w:rFonts w:ascii="Wingdings" w:hAnsi="Wingdings" w:hint="default"/>
      </w:rPr>
    </w:lvl>
  </w:abstractNum>
  <w:abstractNum w:abstractNumId="79" w15:restartNumberingAfterBreak="0">
    <w:nsid w:val="357A3588"/>
    <w:multiLevelType w:val="hybridMultilevel"/>
    <w:tmpl w:val="C37E5384"/>
    <w:lvl w:ilvl="0" w:tplc="84E85A5C">
      <w:start w:val="1"/>
      <w:numFmt w:val="decimal"/>
      <w:lvlText w:val="%1."/>
      <w:lvlJc w:val="left"/>
      <w:pPr>
        <w:ind w:left="720" w:hanging="360"/>
      </w:pPr>
      <w:rPr>
        <w:rFonts w:hint="default"/>
      </w:rPr>
    </w:lvl>
    <w:lvl w:ilvl="1" w:tplc="0F323C50" w:tentative="1">
      <w:start w:val="1"/>
      <w:numFmt w:val="lowerLetter"/>
      <w:lvlText w:val="%2."/>
      <w:lvlJc w:val="left"/>
      <w:pPr>
        <w:ind w:left="1440" w:hanging="360"/>
      </w:pPr>
    </w:lvl>
    <w:lvl w:ilvl="2" w:tplc="3EE08E8C" w:tentative="1">
      <w:start w:val="1"/>
      <w:numFmt w:val="lowerRoman"/>
      <w:lvlText w:val="%3."/>
      <w:lvlJc w:val="right"/>
      <w:pPr>
        <w:ind w:left="2160" w:hanging="180"/>
      </w:pPr>
    </w:lvl>
    <w:lvl w:ilvl="3" w:tplc="02F84FBC" w:tentative="1">
      <w:start w:val="1"/>
      <w:numFmt w:val="decimal"/>
      <w:lvlText w:val="%4."/>
      <w:lvlJc w:val="left"/>
      <w:pPr>
        <w:ind w:left="2880" w:hanging="360"/>
      </w:pPr>
    </w:lvl>
    <w:lvl w:ilvl="4" w:tplc="5B787D58" w:tentative="1">
      <w:start w:val="1"/>
      <w:numFmt w:val="lowerLetter"/>
      <w:lvlText w:val="%5."/>
      <w:lvlJc w:val="left"/>
      <w:pPr>
        <w:ind w:left="3600" w:hanging="360"/>
      </w:pPr>
    </w:lvl>
    <w:lvl w:ilvl="5" w:tplc="3F900CC8" w:tentative="1">
      <w:start w:val="1"/>
      <w:numFmt w:val="lowerRoman"/>
      <w:lvlText w:val="%6."/>
      <w:lvlJc w:val="right"/>
      <w:pPr>
        <w:ind w:left="4320" w:hanging="180"/>
      </w:pPr>
    </w:lvl>
    <w:lvl w:ilvl="6" w:tplc="A1A48014" w:tentative="1">
      <w:start w:val="1"/>
      <w:numFmt w:val="decimal"/>
      <w:lvlText w:val="%7."/>
      <w:lvlJc w:val="left"/>
      <w:pPr>
        <w:ind w:left="5040" w:hanging="360"/>
      </w:pPr>
    </w:lvl>
    <w:lvl w:ilvl="7" w:tplc="F8F8048C" w:tentative="1">
      <w:start w:val="1"/>
      <w:numFmt w:val="lowerLetter"/>
      <w:lvlText w:val="%8."/>
      <w:lvlJc w:val="left"/>
      <w:pPr>
        <w:ind w:left="5760" w:hanging="360"/>
      </w:pPr>
    </w:lvl>
    <w:lvl w:ilvl="8" w:tplc="B1DA89BC" w:tentative="1">
      <w:start w:val="1"/>
      <w:numFmt w:val="lowerRoman"/>
      <w:lvlText w:val="%9."/>
      <w:lvlJc w:val="right"/>
      <w:pPr>
        <w:ind w:left="6480" w:hanging="180"/>
      </w:pPr>
    </w:lvl>
  </w:abstractNum>
  <w:abstractNum w:abstractNumId="80" w15:restartNumberingAfterBreak="0">
    <w:nsid w:val="35F6685F"/>
    <w:multiLevelType w:val="hybridMultilevel"/>
    <w:tmpl w:val="2292C71E"/>
    <w:lvl w:ilvl="0" w:tplc="911C6384">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36D26109"/>
    <w:multiLevelType w:val="hybridMultilevel"/>
    <w:tmpl w:val="D9A4F784"/>
    <w:lvl w:ilvl="0" w:tplc="CB2A9EB4">
      <w:start w:val="1"/>
      <w:numFmt w:val="bullet"/>
      <w:lvlText w:val=""/>
      <w:lvlJc w:val="left"/>
      <w:pPr>
        <w:ind w:left="720" w:hanging="360"/>
      </w:pPr>
      <w:rPr>
        <w:rFonts w:ascii="Symbol" w:hAnsi="Symbol" w:hint="default"/>
      </w:rPr>
    </w:lvl>
    <w:lvl w:ilvl="1" w:tplc="06D437FC" w:tentative="1">
      <w:start w:val="1"/>
      <w:numFmt w:val="bullet"/>
      <w:lvlText w:val="o"/>
      <w:lvlJc w:val="left"/>
      <w:pPr>
        <w:ind w:left="1440" w:hanging="360"/>
      </w:pPr>
      <w:rPr>
        <w:rFonts w:ascii="Courier New" w:hAnsi="Courier New" w:cs="Courier New" w:hint="default"/>
      </w:rPr>
    </w:lvl>
    <w:lvl w:ilvl="2" w:tplc="4C0CF120" w:tentative="1">
      <w:start w:val="1"/>
      <w:numFmt w:val="bullet"/>
      <w:lvlText w:val=""/>
      <w:lvlJc w:val="left"/>
      <w:pPr>
        <w:ind w:left="2160" w:hanging="360"/>
      </w:pPr>
      <w:rPr>
        <w:rFonts w:ascii="Wingdings" w:hAnsi="Wingdings" w:hint="default"/>
      </w:rPr>
    </w:lvl>
    <w:lvl w:ilvl="3" w:tplc="0EBCB026" w:tentative="1">
      <w:start w:val="1"/>
      <w:numFmt w:val="bullet"/>
      <w:lvlText w:val=""/>
      <w:lvlJc w:val="left"/>
      <w:pPr>
        <w:ind w:left="2880" w:hanging="360"/>
      </w:pPr>
      <w:rPr>
        <w:rFonts w:ascii="Symbol" w:hAnsi="Symbol" w:hint="default"/>
      </w:rPr>
    </w:lvl>
    <w:lvl w:ilvl="4" w:tplc="3BAA7852" w:tentative="1">
      <w:start w:val="1"/>
      <w:numFmt w:val="bullet"/>
      <w:lvlText w:val="o"/>
      <w:lvlJc w:val="left"/>
      <w:pPr>
        <w:ind w:left="3600" w:hanging="360"/>
      </w:pPr>
      <w:rPr>
        <w:rFonts w:ascii="Courier New" w:hAnsi="Courier New" w:cs="Courier New" w:hint="default"/>
      </w:rPr>
    </w:lvl>
    <w:lvl w:ilvl="5" w:tplc="3D927174" w:tentative="1">
      <w:start w:val="1"/>
      <w:numFmt w:val="bullet"/>
      <w:lvlText w:val=""/>
      <w:lvlJc w:val="left"/>
      <w:pPr>
        <w:ind w:left="4320" w:hanging="360"/>
      </w:pPr>
      <w:rPr>
        <w:rFonts w:ascii="Wingdings" w:hAnsi="Wingdings" w:hint="default"/>
      </w:rPr>
    </w:lvl>
    <w:lvl w:ilvl="6" w:tplc="EA8478A6" w:tentative="1">
      <w:start w:val="1"/>
      <w:numFmt w:val="bullet"/>
      <w:lvlText w:val=""/>
      <w:lvlJc w:val="left"/>
      <w:pPr>
        <w:ind w:left="5040" w:hanging="360"/>
      </w:pPr>
      <w:rPr>
        <w:rFonts w:ascii="Symbol" w:hAnsi="Symbol" w:hint="default"/>
      </w:rPr>
    </w:lvl>
    <w:lvl w:ilvl="7" w:tplc="04ACBA24" w:tentative="1">
      <w:start w:val="1"/>
      <w:numFmt w:val="bullet"/>
      <w:lvlText w:val="o"/>
      <w:lvlJc w:val="left"/>
      <w:pPr>
        <w:ind w:left="5760" w:hanging="360"/>
      </w:pPr>
      <w:rPr>
        <w:rFonts w:ascii="Courier New" w:hAnsi="Courier New" w:cs="Courier New" w:hint="default"/>
      </w:rPr>
    </w:lvl>
    <w:lvl w:ilvl="8" w:tplc="6816906C" w:tentative="1">
      <w:start w:val="1"/>
      <w:numFmt w:val="bullet"/>
      <w:lvlText w:val=""/>
      <w:lvlJc w:val="left"/>
      <w:pPr>
        <w:ind w:left="6480" w:hanging="360"/>
      </w:pPr>
      <w:rPr>
        <w:rFonts w:ascii="Wingdings" w:hAnsi="Wingdings" w:hint="default"/>
      </w:rPr>
    </w:lvl>
  </w:abstractNum>
  <w:abstractNum w:abstractNumId="82" w15:restartNumberingAfterBreak="0">
    <w:nsid w:val="37741560"/>
    <w:multiLevelType w:val="multilevel"/>
    <w:tmpl w:val="4D9A905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3" w15:restartNumberingAfterBreak="0">
    <w:nsid w:val="38845637"/>
    <w:multiLevelType w:val="hybridMultilevel"/>
    <w:tmpl w:val="4808DB48"/>
    <w:lvl w:ilvl="0" w:tplc="8020EB2A">
      <w:start w:val="1"/>
      <w:numFmt w:val="bullet"/>
      <w:lvlText w:val=""/>
      <w:lvlJc w:val="left"/>
      <w:pPr>
        <w:ind w:left="1429" w:hanging="360"/>
      </w:pPr>
      <w:rPr>
        <w:rFonts w:ascii="Wingdings" w:hAnsi="Wingdings" w:hint="default"/>
        <w:sz w:val="28"/>
      </w:rPr>
    </w:lvl>
    <w:lvl w:ilvl="1" w:tplc="6B98250A" w:tentative="1">
      <w:start w:val="1"/>
      <w:numFmt w:val="lowerLetter"/>
      <w:lvlText w:val="%2."/>
      <w:lvlJc w:val="left"/>
      <w:pPr>
        <w:ind w:left="2149" w:hanging="360"/>
      </w:pPr>
    </w:lvl>
    <w:lvl w:ilvl="2" w:tplc="4680EC34" w:tentative="1">
      <w:start w:val="1"/>
      <w:numFmt w:val="lowerRoman"/>
      <w:lvlText w:val="%3."/>
      <w:lvlJc w:val="right"/>
      <w:pPr>
        <w:ind w:left="2869" w:hanging="180"/>
      </w:pPr>
    </w:lvl>
    <w:lvl w:ilvl="3" w:tplc="4462F818" w:tentative="1">
      <w:start w:val="1"/>
      <w:numFmt w:val="decimal"/>
      <w:lvlText w:val="%4."/>
      <w:lvlJc w:val="left"/>
      <w:pPr>
        <w:ind w:left="3589" w:hanging="360"/>
      </w:pPr>
    </w:lvl>
    <w:lvl w:ilvl="4" w:tplc="4F947920" w:tentative="1">
      <w:start w:val="1"/>
      <w:numFmt w:val="lowerLetter"/>
      <w:lvlText w:val="%5."/>
      <w:lvlJc w:val="left"/>
      <w:pPr>
        <w:ind w:left="4309" w:hanging="360"/>
      </w:pPr>
    </w:lvl>
    <w:lvl w:ilvl="5" w:tplc="291ECACC" w:tentative="1">
      <w:start w:val="1"/>
      <w:numFmt w:val="lowerRoman"/>
      <w:lvlText w:val="%6."/>
      <w:lvlJc w:val="right"/>
      <w:pPr>
        <w:ind w:left="5029" w:hanging="180"/>
      </w:pPr>
    </w:lvl>
    <w:lvl w:ilvl="6" w:tplc="9B00E5AA" w:tentative="1">
      <w:start w:val="1"/>
      <w:numFmt w:val="decimal"/>
      <w:lvlText w:val="%7."/>
      <w:lvlJc w:val="left"/>
      <w:pPr>
        <w:ind w:left="5749" w:hanging="360"/>
      </w:pPr>
    </w:lvl>
    <w:lvl w:ilvl="7" w:tplc="5D3AFDE0" w:tentative="1">
      <w:start w:val="1"/>
      <w:numFmt w:val="lowerLetter"/>
      <w:lvlText w:val="%8."/>
      <w:lvlJc w:val="left"/>
      <w:pPr>
        <w:ind w:left="6469" w:hanging="360"/>
      </w:pPr>
    </w:lvl>
    <w:lvl w:ilvl="8" w:tplc="4002F382" w:tentative="1">
      <w:start w:val="1"/>
      <w:numFmt w:val="lowerRoman"/>
      <w:lvlText w:val="%9."/>
      <w:lvlJc w:val="right"/>
      <w:pPr>
        <w:ind w:left="7189" w:hanging="180"/>
      </w:pPr>
    </w:lvl>
  </w:abstractNum>
  <w:abstractNum w:abstractNumId="84" w15:restartNumberingAfterBreak="0">
    <w:nsid w:val="3BEB5363"/>
    <w:multiLevelType w:val="hybridMultilevel"/>
    <w:tmpl w:val="12467292"/>
    <w:lvl w:ilvl="0" w:tplc="BD8C22B4">
      <w:start w:val="1"/>
      <w:numFmt w:val="bullet"/>
      <w:lvlText w:val=""/>
      <w:lvlJc w:val="left"/>
      <w:pPr>
        <w:ind w:left="1146" w:hanging="360"/>
      </w:pPr>
      <w:rPr>
        <w:rFonts w:ascii="Wingdings" w:hAnsi="Wingdings" w:hint="default"/>
      </w:rPr>
    </w:lvl>
    <w:lvl w:ilvl="1" w:tplc="A3B01C24">
      <w:start w:val="1"/>
      <w:numFmt w:val="bullet"/>
      <w:lvlText w:val="o"/>
      <w:lvlJc w:val="left"/>
      <w:pPr>
        <w:ind w:left="1866" w:hanging="360"/>
      </w:pPr>
      <w:rPr>
        <w:rFonts w:ascii="Courier New" w:hAnsi="Courier New" w:cs="Courier New" w:hint="default"/>
      </w:rPr>
    </w:lvl>
    <w:lvl w:ilvl="2" w:tplc="0FC2F738" w:tentative="1">
      <w:start w:val="1"/>
      <w:numFmt w:val="bullet"/>
      <w:lvlText w:val=""/>
      <w:lvlJc w:val="left"/>
      <w:pPr>
        <w:ind w:left="2586" w:hanging="360"/>
      </w:pPr>
      <w:rPr>
        <w:rFonts w:ascii="Wingdings" w:hAnsi="Wingdings" w:hint="default"/>
      </w:rPr>
    </w:lvl>
    <w:lvl w:ilvl="3" w:tplc="E72C1F9C" w:tentative="1">
      <w:start w:val="1"/>
      <w:numFmt w:val="bullet"/>
      <w:lvlText w:val=""/>
      <w:lvlJc w:val="left"/>
      <w:pPr>
        <w:ind w:left="3306" w:hanging="360"/>
      </w:pPr>
      <w:rPr>
        <w:rFonts w:ascii="Symbol" w:hAnsi="Symbol" w:hint="default"/>
      </w:rPr>
    </w:lvl>
    <w:lvl w:ilvl="4" w:tplc="E86AB0F2" w:tentative="1">
      <w:start w:val="1"/>
      <w:numFmt w:val="bullet"/>
      <w:lvlText w:val="o"/>
      <w:lvlJc w:val="left"/>
      <w:pPr>
        <w:ind w:left="4026" w:hanging="360"/>
      </w:pPr>
      <w:rPr>
        <w:rFonts w:ascii="Courier New" w:hAnsi="Courier New" w:cs="Courier New" w:hint="default"/>
      </w:rPr>
    </w:lvl>
    <w:lvl w:ilvl="5" w:tplc="A6A6AE66" w:tentative="1">
      <w:start w:val="1"/>
      <w:numFmt w:val="bullet"/>
      <w:lvlText w:val=""/>
      <w:lvlJc w:val="left"/>
      <w:pPr>
        <w:ind w:left="4746" w:hanging="360"/>
      </w:pPr>
      <w:rPr>
        <w:rFonts w:ascii="Wingdings" w:hAnsi="Wingdings" w:hint="default"/>
      </w:rPr>
    </w:lvl>
    <w:lvl w:ilvl="6" w:tplc="2820C340" w:tentative="1">
      <w:start w:val="1"/>
      <w:numFmt w:val="bullet"/>
      <w:lvlText w:val=""/>
      <w:lvlJc w:val="left"/>
      <w:pPr>
        <w:ind w:left="5466" w:hanging="360"/>
      </w:pPr>
      <w:rPr>
        <w:rFonts w:ascii="Symbol" w:hAnsi="Symbol" w:hint="default"/>
      </w:rPr>
    </w:lvl>
    <w:lvl w:ilvl="7" w:tplc="09C05072" w:tentative="1">
      <w:start w:val="1"/>
      <w:numFmt w:val="bullet"/>
      <w:lvlText w:val="o"/>
      <w:lvlJc w:val="left"/>
      <w:pPr>
        <w:ind w:left="6186" w:hanging="360"/>
      </w:pPr>
      <w:rPr>
        <w:rFonts w:ascii="Courier New" w:hAnsi="Courier New" w:cs="Courier New" w:hint="default"/>
      </w:rPr>
    </w:lvl>
    <w:lvl w:ilvl="8" w:tplc="AD82C836" w:tentative="1">
      <w:start w:val="1"/>
      <w:numFmt w:val="bullet"/>
      <w:lvlText w:val=""/>
      <w:lvlJc w:val="left"/>
      <w:pPr>
        <w:ind w:left="6906" w:hanging="360"/>
      </w:pPr>
      <w:rPr>
        <w:rFonts w:ascii="Wingdings" w:hAnsi="Wingdings" w:hint="default"/>
      </w:rPr>
    </w:lvl>
  </w:abstractNum>
  <w:abstractNum w:abstractNumId="85" w15:restartNumberingAfterBreak="0">
    <w:nsid w:val="3CFF4CD1"/>
    <w:multiLevelType w:val="hybridMultilevel"/>
    <w:tmpl w:val="CCB4BD8A"/>
    <w:lvl w:ilvl="0" w:tplc="8F342364">
      <w:start w:val="1"/>
      <w:numFmt w:val="decimal"/>
      <w:lvlText w:val="%1."/>
      <w:lvlJc w:val="left"/>
      <w:pPr>
        <w:ind w:left="720" w:hanging="360"/>
      </w:pPr>
    </w:lvl>
    <w:lvl w:ilvl="1" w:tplc="00E6EE92" w:tentative="1">
      <w:start w:val="1"/>
      <w:numFmt w:val="lowerLetter"/>
      <w:lvlText w:val="%2."/>
      <w:lvlJc w:val="left"/>
      <w:pPr>
        <w:ind w:left="1440" w:hanging="360"/>
      </w:pPr>
    </w:lvl>
    <w:lvl w:ilvl="2" w:tplc="145C6248" w:tentative="1">
      <w:start w:val="1"/>
      <w:numFmt w:val="lowerRoman"/>
      <w:lvlText w:val="%3."/>
      <w:lvlJc w:val="right"/>
      <w:pPr>
        <w:ind w:left="2160" w:hanging="180"/>
      </w:pPr>
    </w:lvl>
    <w:lvl w:ilvl="3" w:tplc="CF220252" w:tentative="1">
      <w:start w:val="1"/>
      <w:numFmt w:val="decimal"/>
      <w:lvlText w:val="%4."/>
      <w:lvlJc w:val="left"/>
      <w:pPr>
        <w:ind w:left="2880" w:hanging="360"/>
      </w:pPr>
    </w:lvl>
    <w:lvl w:ilvl="4" w:tplc="511AD8EE" w:tentative="1">
      <w:start w:val="1"/>
      <w:numFmt w:val="lowerLetter"/>
      <w:lvlText w:val="%5."/>
      <w:lvlJc w:val="left"/>
      <w:pPr>
        <w:ind w:left="3600" w:hanging="360"/>
      </w:pPr>
    </w:lvl>
    <w:lvl w:ilvl="5" w:tplc="DE9ECCB8" w:tentative="1">
      <w:start w:val="1"/>
      <w:numFmt w:val="lowerRoman"/>
      <w:lvlText w:val="%6."/>
      <w:lvlJc w:val="right"/>
      <w:pPr>
        <w:ind w:left="4320" w:hanging="180"/>
      </w:pPr>
    </w:lvl>
    <w:lvl w:ilvl="6" w:tplc="66309B48" w:tentative="1">
      <w:start w:val="1"/>
      <w:numFmt w:val="decimal"/>
      <w:lvlText w:val="%7."/>
      <w:lvlJc w:val="left"/>
      <w:pPr>
        <w:ind w:left="5040" w:hanging="360"/>
      </w:pPr>
    </w:lvl>
    <w:lvl w:ilvl="7" w:tplc="B89A886E" w:tentative="1">
      <w:start w:val="1"/>
      <w:numFmt w:val="lowerLetter"/>
      <w:lvlText w:val="%8."/>
      <w:lvlJc w:val="left"/>
      <w:pPr>
        <w:ind w:left="5760" w:hanging="360"/>
      </w:pPr>
    </w:lvl>
    <w:lvl w:ilvl="8" w:tplc="8C46DC3C" w:tentative="1">
      <w:start w:val="1"/>
      <w:numFmt w:val="lowerRoman"/>
      <w:lvlText w:val="%9."/>
      <w:lvlJc w:val="right"/>
      <w:pPr>
        <w:ind w:left="6480" w:hanging="180"/>
      </w:pPr>
    </w:lvl>
  </w:abstractNum>
  <w:abstractNum w:abstractNumId="86" w15:restartNumberingAfterBreak="0">
    <w:nsid w:val="3D6D3718"/>
    <w:multiLevelType w:val="hybridMultilevel"/>
    <w:tmpl w:val="89CCF20C"/>
    <w:lvl w:ilvl="0" w:tplc="0F5818CC">
      <w:start w:val="1"/>
      <w:numFmt w:val="bullet"/>
      <w:lvlText w:val=""/>
      <w:lvlJc w:val="left"/>
      <w:pPr>
        <w:ind w:left="720" w:hanging="360"/>
      </w:pPr>
      <w:rPr>
        <w:rFonts w:ascii="Symbol" w:hAnsi="Symbol" w:hint="default"/>
      </w:rPr>
    </w:lvl>
    <w:lvl w:ilvl="1" w:tplc="B366C108" w:tentative="1">
      <w:start w:val="1"/>
      <w:numFmt w:val="bullet"/>
      <w:lvlText w:val="o"/>
      <w:lvlJc w:val="left"/>
      <w:pPr>
        <w:ind w:left="1440" w:hanging="360"/>
      </w:pPr>
      <w:rPr>
        <w:rFonts w:ascii="Courier New" w:hAnsi="Courier New" w:cs="Courier New" w:hint="default"/>
      </w:rPr>
    </w:lvl>
    <w:lvl w:ilvl="2" w:tplc="F4A26F78" w:tentative="1">
      <w:start w:val="1"/>
      <w:numFmt w:val="bullet"/>
      <w:lvlText w:val=""/>
      <w:lvlJc w:val="left"/>
      <w:pPr>
        <w:ind w:left="2160" w:hanging="360"/>
      </w:pPr>
      <w:rPr>
        <w:rFonts w:ascii="Wingdings" w:hAnsi="Wingdings" w:hint="default"/>
      </w:rPr>
    </w:lvl>
    <w:lvl w:ilvl="3" w:tplc="EE642D56" w:tentative="1">
      <w:start w:val="1"/>
      <w:numFmt w:val="bullet"/>
      <w:lvlText w:val=""/>
      <w:lvlJc w:val="left"/>
      <w:pPr>
        <w:ind w:left="2880" w:hanging="360"/>
      </w:pPr>
      <w:rPr>
        <w:rFonts w:ascii="Symbol" w:hAnsi="Symbol" w:hint="default"/>
      </w:rPr>
    </w:lvl>
    <w:lvl w:ilvl="4" w:tplc="B608ED40" w:tentative="1">
      <w:start w:val="1"/>
      <w:numFmt w:val="bullet"/>
      <w:lvlText w:val="o"/>
      <w:lvlJc w:val="left"/>
      <w:pPr>
        <w:ind w:left="3600" w:hanging="360"/>
      </w:pPr>
      <w:rPr>
        <w:rFonts w:ascii="Courier New" w:hAnsi="Courier New" w:cs="Courier New" w:hint="default"/>
      </w:rPr>
    </w:lvl>
    <w:lvl w:ilvl="5" w:tplc="494431C4" w:tentative="1">
      <w:start w:val="1"/>
      <w:numFmt w:val="bullet"/>
      <w:lvlText w:val=""/>
      <w:lvlJc w:val="left"/>
      <w:pPr>
        <w:ind w:left="4320" w:hanging="360"/>
      </w:pPr>
      <w:rPr>
        <w:rFonts w:ascii="Wingdings" w:hAnsi="Wingdings" w:hint="default"/>
      </w:rPr>
    </w:lvl>
    <w:lvl w:ilvl="6" w:tplc="AC26A9FE" w:tentative="1">
      <w:start w:val="1"/>
      <w:numFmt w:val="bullet"/>
      <w:lvlText w:val=""/>
      <w:lvlJc w:val="left"/>
      <w:pPr>
        <w:ind w:left="5040" w:hanging="360"/>
      </w:pPr>
      <w:rPr>
        <w:rFonts w:ascii="Symbol" w:hAnsi="Symbol" w:hint="default"/>
      </w:rPr>
    </w:lvl>
    <w:lvl w:ilvl="7" w:tplc="E9028D46" w:tentative="1">
      <w:start w:val="1"/>
      <w:numFmt w:val="bullet"/>
      <w:lvlText w:val="o"/>
      <w:lvlJc w:val="left"/>
      <w:pPr>
        <w:ind w:left="5760" w:hanging="360"/>
      </w:pPr>
      <w:rPr>
        <w:rFonts w:ascii="Courier New" w:hAnsi="Courier New" w:cs="Courier New" w:hint="default"/>
      </w:rPr>
    </w:lvl>
    <w:lvl w:ilvl="8" w:tplc="18EEB0BC" w:tentative="1">
      <w:start w:val="1"/>
      <w:numFmt w:val="bullet"/>
      <w:lvlText w:val=""/>
      <w:lvlJc w:val="left"/>
      <w:pPr>
        <w:ind w:left="6480" w:hanging="360"/>
      </w:pPr>
      <w:rPr>
        <w:rFonts w:ascii="Wingdings" w:hAnsi="Wingdings" w:hint="default"/>
      </w:rPr>
    </w:lvl>
  </w:abstractNum>
  <w:abstractNum w:abstractNumId="87" w15:restartNumberingAfterBreak="0">
    <w:nsid w:val="3D907CD6"/>
    <w:multiLevelType w:val="hybridMultilevel"/>
    <w:tmpl w:val="F6CC7C5A"/>
    <w:lvl w:ilvl="0" w:tplc="D5640616">
      <w:start w:val="1"/>
      <w:numFmt w:val="bullet"/>
      <w:lvlText w:val=""/>
      <w:lvlJc w:val="left"/>
      <w:pPr>
        <w:ind w:left="1429" w:hanging="360"/>
      </w:pPr>
      <w:rPr>
        <w:rFonts w:ascii="Symbol" w:hAnsi="Symbol" w:hint="default"/>
      </w:rPr>
    </w:lvl>
    <w:lvl w:ilvl="1" w:tplc="D8141750" w:tentative="1">
      <w:start w:val="1"/>
      <w:numFmt w:val="bullet"/>
      <w:lvlText w:val="o"/>
      <w:lvlJc w:val="left"/>
      <w:pPr>
        <w:ind w:left="2149" w:hanging="360"/>
      </w:pPr>
      <w:rPr>
        <w:rFonts w:ascii="Courier New" w:hAnsi="Courier New" w:cs="Courier New" w:hint="default"/>
      </w:rPr>
    </w:lvl>
    <w:lvl w:ilvl="2" w:tplc="E16EF3F4" w:tentative="1">
      <w:start w:val="1"/>
      <w:numFmt w:val="bullet"/>
      <w:lvlText w:val=""/>
      <w:lvlJc w:val="left"/>
      <w:pPr>
        <w:ind w:left="2869" w:hanging="360"/>
      </w:pPr>
      <w:rPr>
        <w:rFonts w:ascii="Wingdings" w:hAnsi="Wingdings" w:hint="default"/>
      </w:rPr>
    </w:lvl>
    <w:lvl w:ilvl="3" w:tplc="9154BA9E" w:tentative="1">
      <w:start w:val="1"/>
      <w:numFmt w:val="bullet"/>
      <w:lvlText w:val=""/>
      <w:lvlJc w:val="left"/>
      <w:pPr>
        <w:ind w:left="3589" w:hanging="360"/>
      </w:pPr>
      <w:rPr>
        <w:rFonts w:ascii="Symbol" w:hAnsi="Symbol" w:hint="default"/>
      </w:rPr>
    </w:lvl>
    <w:lvl w:ilvl="4" w:tplc="F8D0E35C" w:tentative="1">
      <w:start w:val="1"/>
      <w:numFmt w:val="bullet"/>
      <w:lvlText w:val="o"/>
      <w:lvlJc w:val="left"/>
      <w:pPr>
        <w:ind w:left="4309" w:hanging="360"/>
      </w:pPr>
      <w:rPr>
        <w:rFonts w:ascii="Courier New" w:hAnsi="Courier New" w:cs="Courier New" w:hint="default"/>
      </w:rPr>
    </w:lvl>
    <w:lvl w:ilvl="5" w:tplc="DC9E2208" w:tentative="1">
      <w:start w:val="1"/>
      <w:numFmt w:val="bullet"/>
      <w:lvlText w:val=""/>
      <w:lvlJc w:val="left"/>
      <w:pPr>
        <w:ind w:left="5029" w:hanging="360"/>
      </w:pPr>
      <w:rPr>
        <w:rFonts w:ascii="Wingdings" w:hAnsi="Wingdings" w:hint="default"/>
      </w:rPr>
    </w:lvl>
    <w:lvl w:ilvl="6" w:tplc="F8AEE6E2" w:tentative="1">
      <w:start w:val="1"/>
      <w:numFmt w:val="bullet"/>
      <w:lvlText w:val=""/>
      <w:lvlJc w:val="left"/>
      <w:pPr>
        <w:ind w:left="5749" w:hanging="360"/>
      </w:pPr>
      <w:rPr>
        <w:rFonts w:ascii="Symbol" w:hAnsi="Symbol" w:hint="default"/>
      </w:rPr>
    </w:lvl>
    <w:lvl w:ilvl="7" w:tplc="03A67694" w:tentative="1">
      <w:start w:val="1"/>
      <w:numFmt w:val="bullet"/>
      <w:lvlText w:val="o"/>
      <w:lvlJc w:val="left"/>
      <w:pPr>
        <w:ind w:left="6469" w:hanging="360"/>
      </w:pPr>
      <w:rPr>
        <w:rFonts w:ascii="Courier New" w:hAnsi="Courier New" w:cs="Courier New" w:hint="default"/>
      </w:rPr>
    </w:lvl>
    <w:lvl w:ilvl="8" w:tplc="72000846" w:tentative="1">
      <w:start w:val="1"/>
      <w:numFmt w:val="bullet"/>
      <w:lvlText w:val=""/>
      <w:lvlJc w:val="left"/>
      <w:pPr>
        <w:ind w:left="7189" w:hanging="360"/>
      </w:pPr>
      <w:rPr>
        <w:rFonts w:ascii="Wingdings" w:hAnsi="Wingdings" w:hint="default"/>
      </w:rPr>
    </w:lvl>
  </w:abstractNum>
  <w:abstractNum w:abstractNumId="88" w15:restartNumberingAfterBreak="0">
    <w:nsid w:val="3E271FA4"/>
    <w:multiLevelType w:val="hybridMultilevel"/>
    <w:tmpl w:val="F70642EE"/>
    <w:lvl w:ilvl="0" w:tplc="E424E53C">
      <w:start w:val="1"/>
      <w:numFmt w:val="bullet"/>
      <w:lvlText w:val=""/>
      <w:lvlJc w:val="left"/>
      <w:pPr>
        <w:ind w:left="1429" w:hanging="360"/>
      </w:pPr>
      <w:rPr>
        <w:rFonts w:ascii="Wingdings" w:hAnsi="Wingdings" w:hint="default"/>
      </w:rPr>
    </w:lvl>
    <w:lvl w:ilvl="1" w:tplc="AC64F0BC" w:tentative="1">
      <w:start w:val="1"/>
      <w:numFmt w:val="bullet"/>
      <w:lvlText w:val="o"/>
      <w:lvlJc w:val="left"/>
      <w:pPr>
        <w:ind w:left="2149" w:hanging="360"/>
      </w:pPr>
      <w:rPr>
        <w:rFonts w:ascii="Courier New" w:hAnsi="Courier New" w:cs="Courier New" w:hint="default"/>
      </w:rPr>
    </w:lvl>
    <w:lvl w:ilvl="2" w:tplc="E20ECCCE" w:tentative="1">
      <w:start w:val="1"/>
      <w:numFmt w:val="bullet"/>
      <w:lvlText w:val=""/>
      <w:lvlJc w:val="left"/>
      <w:pPr>
        <w:ind w:left="2869" w:hanging="360"/>
      </w:pPr>
      <w:rPr>
        <w:rFonts w:ascii="Wingdings" w:hAnsi="Wingdings" w:hint="default"/>
      </w:rPr>
    </w:lvl>
    <w:lvl w:ilvl="3" w:tplc="B720C3EE" w:tentative="1">
      <w:start w:val="1"/>
      <w:numFmt w:val="bullet"/>
      <w:lvlText w:val=""/>
      <w:lvlJc w:val="left"/>
      <w:pPr>
        <w:ind w:left="3589" w:hanging="360"/>
      </w:pPr>
      <w:rPr>
        <w:rFonts w:ascii="Symbol" w:hAnsi="Symbol" w:hint="default"/>
      </w:rPr>
    </w:lvl>
    <w:lvl w:ilvl="4" w:tplc="1C7C0A0A" w:tentative="1">
      <w:start w:val="1"/>
      <w:numFmt w:val="bullet"/>
      <w:lvlText w:val="o"/>
      <w:lvlJc w:val="left"/>
      <w:pPr>
        <w:ind w:left="4309" w:hanging="360"/>
      </w:pPr>
      <w:rPr>
        <w:rFonts w:ascii="Courier New" w:hAnsi="Courier New" w:cs="Courier New" w:hint="default"/>
      </w:rPr>
    </w:lvl>
    <w:lvl w:ilvl="5" w:tplc="806C1494" w:tentative="1">
      <w:start w:val="1"/>
      <w:numFmt w:val="bullet"/>
      <w:lvlText w:val=""/>
      <w:lvlJc w:val="left"/>
      <w:pPr>
        <w:ind w:left="5029" w:hanging="360"/>
      </w:pPr>
      <w:rPr>
        <w:rFonts w:ascii="Wingdings" w:hAnsi="Wingdings" w:hint="default"/>
      </w:rPr>
    </w:lvl>
    <w:lvl w:ilvl="6" w:tplc="F9ACFBF6" w:tentative="1">
      <w:start w:val="1"/>
      <w:numFmt w:val="bullet"/>
      <w:lvlText w:val=""/>
      <w:lvlJc w:val="left"/>
      <w:pPr>
        <w:ind w:left="5749" w:hanging="360"/>
      </w:pPr>
      <w:rPr>
        <w:rFonts w:ascii="Symbol" w:hAnsi="Symbol" w:hint="default"/>
      </w:rPr>
    </w:lvl>
    <w:lvl w:ilvl="7" w:tplc="D09EE394" w:tentative="1">
      <w:start w:val="1"/>
      <w:numFmt w:val="bullet"/>
      <w:lvlText w:val="o"/>
      <w:lvlJc w:val="left"/>
      <w:pPr>
        <w:ind w:left="6469" w:hanging="360"/>
      </w:pPr>
      <w:rPr>
        <w:rFonts w:ascii="Courier New" w:hAnsi="Courier New" w:cs="Courier New" w:hint="default"/>
      </w:rPr>
    </w:lvl>
    <w:lvl w:ilvl="8" w:tplc="562682C8" w:tentative="1">
      <w:start w:val="1"/>
      <w:numFmt w:val="bullet"/>
      <w:lvlText w:val=""/>
      <w:lvlJc w:val="left"/>
      <w:pPr>
        <w:ind w:left="7189" w:hanging="360"/>
      </w:pPr>
      <w:rPr>
        <w:rFonts w:ascii="Wingdings" w:hAnsi="Wingdings" w:hint="default"/>
      </w:rPr>
    </w:lvl>
  </w:abstractNum>
  <w:abstractNum w:abstractNumId="89" w15:restartNumberingAfterBreak="0">
    <w:nsid w:val="3E6D2F00"/>
    <w:multiLevelType w:val="hybridMultilevel"/>
    <w:tmpl w:val="9EB4DB00"/>
    <w:lvl w:ilvl="0" w:tplc="D7CAFE80">
      <w:numFmt w:val="bullet"/>
      <w:lvlText w:val="-"/>
      <w:lvlJc w:val="left"/>
      <w:pPr>
        <w:ind w:left="1429" w:hanging="360"/>
      </w:pPr>
      <w:rPr>
        <w:rFonts w:ascii="Calibri" w:eastAsia="Times New Roman" w:hAnsi="Calibri" w:cs="Arial" w:hint="default"/>
      </w:rPr>
    </w:lvl>
    <w:lvl w:ilvl="1" w:tplc="F75C492C" w:tentative="1">
      <w:start w:val="1"/>
      <w:numFmt w:val="bullet"/>
      <w:lvlText w:val="o"/>
      <w:lvlJc w:val="left"/>
      <w:pPr>
        <w:ind w:left="2149" w:hanging="360"/>
      </w:pPr>
      <w:rPr>
        <w:rFonts w:ascii="Courier New" w:hAnsi="Courier New" w:cs="Courier New" w:hint="default"/>
      </w:rPr>
    </w:lvl>
    <w:lvl w:ilvl="2" w:tplc="7974F116" w:tentative="1">
      <w:start w:val="1"/>
      <w:numFmt w:val="bullet"/>
      <w:lvlText w:val=""/>
      <w:lvlJc w:val="left"/>
      <w:pPr>
        <w:ind w:left="2869" w:hanging="360"/>
      </w:pPr>
      <w:rPr>
        <w:rFonts w:ascii="Wingdings" w:hAnsi="Wingdings" w:hint="default"/>
      </w:rPr>
    </w:lvl>
    <w:lvl w:ilvl="3" w:tplc="5C189D70" w:tentative="1">
      <w:start w:val="1"/>
      <w:numFmt w:val="bullet"/>
      <w:lvlText w:val=""/>
      <w:lvlJc w:val="left"/>
      <w:pPr>
        <w:ind w:left="3589" w:hanging="360"/>
      </w:pPr>
      <w:rPr>
        <w:rFonts w:ascii="Symbol" w:hAnsi="Symbol" w:hint="default"/>
      </w:rPr>
    </w:lvl>
    <w:lvl w:ilvl="4" w:tplc="402ADCA6" w:tentative="1">
      <w:start w:val="1"/>
      <w:numFmt w:val="bullet"/>
      <w:lvlText w:val="o"/>
      <w:lvlJc w:val="left"/>
      <w:pPr>
        <w:ind w:left="4309" w:hanging="360"/>
      </w:pPr>
      <w:rPr>
        <w:rFonts w:ascii="Courier New" w:hAnsi="Courier New" w:cs="Courier New" w:hint="default"/>
      </w:rPr>
    </w:lvl>
    <w:lvl w:ilvl="5" w:tplc="5628B216" w:tentative="1">
      <w:start w:val="1"/>
      <w:numFmt w:val="bullet"/>
      <w:lvlText w:val=""/>
      <w:lvlJc w:val="left"/>
      <w:pPr>
        <w:ind w:left="5029" w:hanging="360"/>
      </w:pPr>
      <w:rPr>
        <w:rFonts w:ascii="Wingdings" w:hAnsi="Wingdings" w:hint="default"/>
      </w:rPr>
    </w:lvl>
    <w:lvl w:ilvl="6" w:tplc="83A48F6E" w:tentative="1">
      <w:start w:val="1"/>
      <w:numFmt w:val="bullet"/>
      <w:lvlText w:val=""/>
      <w:lvlJc w:val="left"/>
      <w:pPr>
        <w:ind w:left="5749" w:hanging="360"/>
      </w:pPr>
      <w:rPr>
        <w:rFonts w:ascii="Symbol" w:hAnsi="Symbol" w:hint="default"/>
      </w:rPr>
    </w:lvl>
    <w:lvl w:ilvl="7" w:tplc="FFC8423A" w:tentative="1">
      <w:start w:val="1"/>
      <w:numFmt w:val="bullet"/>
      <w:lvlText w:val="o"/>
      <w:lvlJc w:val="left"/>
      <w:pPr>
        <w:ind w:left="6469" w:hanging="360"/>
      </w:pPr>
      <w:rPr>
        <w:rFonts w:ascii="Courier New" w:hAnsi="Courier New" w:cs="Courier New" w:hint="default"/>
      </w:rPr>
    </w:lvl>
    <w:lvl w:ilvl="8" w:tplc="16E25D18" w:tentative="1">
      <w:start w:val="1"/>
      <w:numFmt w:val="bullet"/>
      <w:lvlText w:val=""/>
      <w:lvlJc w:val="left"/>
      <w:pPr>
        <w:ind w:left="7189" w:hanging="360"/>
      </w:pPr>
      <w:rPr>
        <w:rFonts w:ascii="Wingdings" w:hAnsi="Wingdings" w:hint="default"/>
      </w:rPr>
    </w:lvl>
  </w:abstractNum>
  <w:abstractNum w:abstractNumId="90" w15:restartNumberingAfterBreak="0">
    <w:nsid w:val="3E9223A9"/>
    <w:multiLevelType w:val="hybridMultilevel"/>
    <w:tmpl w:val="7EA27286"/>
    <w:lvl w:ilvl="0" w:tplc="46E078EE">
      <w:start w:val="1"/>
      <w:numFmt w:val="bullet"/>
      <w:lvlText w:val=""/>
      <w:lvlJc w:val="left"/>
      <w:pPr>
        <w:ind w:left="1429" w:hanging="360"/>
      </w:pPr>
      <w:rPr>
        <w:rFonts w:ascii="Wingdings" w:hAnsi="Wingdings" w:hint="default"/>
      </w:rPr>
    </w:lvl>
    <w:lvl w:ilvl="1" w:tplc="BE0A298A" w:tentative="1">
      <w:start w:val="1"/>
      <w:numFmt w:val="bullet"/>
      <w:lvlText w:val="o"/>
      <w:lvlJc w:val="left"/>
      <w:pPr>
        <w:ind w:left="2149" w:hanging="360"/>
      </w:pPr>
      <w:rPr>
        <w:rFonts w:ascii="Courier New" w:hAnsi="Courier New" w:cs="Courier New" w:hint="default"/>
      </w:rPr>
    </w:lvl>
    <w:lvl w:ilvl="2" w:tplc="F8846760" w:tentative="1">
      <w:start w:val="1"/>
      <w:numFmt w:val="bullet"/>
      <w:lvlText w:val=""/>
      <w:lvlJc w:val="left"/>
      <w:pPr>
        <w:ind w:left="2869" w:hanging="360"/>
      </w:pPr>
      <w:rPr>
        <w:rFonts w:ascii="Wingdings" w:hAnsi="Wingdings" w:hint="default"/>
      </w:rPr>
    </w:lvl>
    <w:lvl w:ilvl="3" w:tplc="2EEC8DE2" w:tentative="1">
      <w:start w:val="1"/>
      <w:numFmt w:val="bullet"/>
      <w:lvlText w:val=""/>
      <w:lvlJc w:val="left"/>
      <w:pPr>
        <w:ind w:left="3589" w:hanging="360"/>
      </w:pPr>
      <w:rPr>
        <w:rFonts w:ascii="Symbol" w:hAnsi="Symbol" w:hint="default"/>
      </w:rPr>
    </w:lvl>
    <w:lvl w:ilvl="4" w:tplc="AFD65592" w:tentative="1">
      <w:start w:val="1"/>
      <w:numFmt w:val="bullet"/>
      <w:lvlText w:val="o"/>
      <w:lvlJc w:val="left"/>
      <w:pPr>
        <w:ind w:left="4309" w:hanging="360"/>
      </w:pPr>
      <w:rPr>
        <w:rFonts w:ascii="Courier New" w:hAnsi="Courier New" w:cs="Courier New" w:hint="default"/>
      </w:rPr>
    </w:lvl>
    <w:lvl w:ilvl="5" w:tplc="3E0A75A6" w:tentative="1">
      <w:start w:val="1"/>
      <w:numFmt w:val="bullet"/>
      <w:lvlText w:val=""/>
      <w:lvlJc w:val="left"/>
      <w:pPr>
        <w:ind w:left="5029" w:hanging="360"/>
      </w:pPr>
      <w:rPr>
        <w:rFonts w:ascii="Wingdings" w:hAnsi="Wingdings" w:hint="default"/>
      </w:rPr>
    </w:lvl>
    <w:lvl w:ilvl="6" w:tplc="FD6CCC1E" w:tentative="1">
      <w:start w:val="1"/>
      <w:numFmt w:val="bullet"/>
      <w:lvlText w:val=""/>
      <w:lvlJc w:val="left"/>
      <w:pPr>
        <w:ind w:left="5749" w:hanging="360"/>
      </w:pPr>
      <w:rPr>
        <w:rFonts w:ascii="Symbol" w:hAnsi="Symbol" w:hint="default"/>
      </w:rPr>
    </w:lvl>
    <w:lvl w:ilvl="7" w:tplc="1CAE8950" w:tentative="1">
      <w:start w:val="1"/>
      <w:numFmt w:val="bullet"/>
      <w:lvlText w:val="o"/>
      <w:lvlJc w:val="left"/>
      <w:pPr>
        <w:ind w:left="6469" w:hanging="360"/>
      </w:pPr>
      <w:rPr>
        <w:rFonts w:ascii="Courier New" w:hAnsi="Courier New" w:cs="Courier New" w:hint="default"/>
      </w:rPr>
    </w:lvl>
    <w:lvl w:ilvl="8" w:tplc="671C2EE0" w:tentative="1">
      <w:start w:val="1"/>
      <w:numFmt w:val="bullet"/>
      <w:lvlText w:val=""/>
      <w:lvlJc w:val="left"/>
      <w:pPr>
        <w:ind w:left="7189" w:hanging="360"/>
      </w:pPr>
      <w:rPr>
        <w:rFonts w:ascii="Wingdings" w:hAnsi="Wingdings" w:hint="default"/>
      </w:rPr>
    </w:lvl>
  </w:abstractNum>
  <w:abstractNum w:abstractNumId="91" w15:restartNumberingAfterBreak="0">
    <w:nsid w:val="3F5B3A91"/>
    <w:multiLevelType w:val="hybridMultilevel"/>
    <w:tmpl w:val="1DBC3B36"/>
    <w:lvl w:ilvl="0" w:tplc="2968DFB8">
      <w:start w:val="1"/>
      <w:numFmt w:val="bullet"/>
      <w:lvlText w:val=""/>
      <w:lvlJc w:val="left"/>
      <w:pPr>
        <w:ind w:left="720" w:hanging="360"/>
      </w:pPr>
      <w:rPr>
        <w:rFonts w:ascii="Symbol" w:hAnsi="Symbol" w:hint="default"/>
      </w:rPr>
    </w:lvl>
    <w:lvl w:ilvl="1" w:tplc="4F5E5A80" w:tentative="1">
      <w:start w:val="1"/>
      <w:numFmt w:val="bullet"/>
      <w:lvlText w:val="o"/>
      <w:lvlJc w:val="left"/>
      <w:pPr>
        <w:ind w:left="1440" w:hanging="360"/>
      </w:pPr>
      <w:rPr>
        <w:rFonts w:ascii="Courier New" w:hAnsi="Courier New" w:cs="Courier New" w:hint="default"/>
      </w:rPr>
    </w:lvl>
    <w:lvl w:ilvl="2" w:tplc="5920A2C0" w:tentative="1">
      <w:start w:val="1"/>
      <w:numFmt w:val="bullet"/>
      <w:lvlText w:val=""/>
      <w:lvlJc w:val="left"/>
      <w:pPr>
        <w:ind w:left="2160" w:hanging="360"/>
      </w:pPr>
      <w:rPr>
        <w:rFonts w:ascii="Wingdings" w:hAnsi="Wingdings" w:hint="default"/>
      </w:rPr>
    </w:lvl>
    <w:lvl w:ilvl="3" w:tplc="302EE498" w:tentative="1">
      <w:start w:val="1"/>
      <w:numFmt w:val="bullet"/>
      <w:lvlText w:val=""/>
      <w:lvlJc w:val="left"/>
      <w:pPr>
        <w:ind w:left="2880" w:hanging="360"/>
      </w:pPr>
      <w:rPr>
        <w:rFonts w:ascii="Symbol" w:hAnsi="Symbol" w:hint="default"/>
      </w:rPr>
    </w:lvl>
    <w:lvl w:ilvl="4" w:tplc="452E6E6C" w:tentative="1">
      <w:start w:val="1"/>
      <w:numFmt w:val="bullet"/>
      <w:lvlText w:val="o"/>
      <w:lvlJc w:val="left"/>
      <w:pPr>
        <w:ind w:left="3600" w:hanging="360"/>
      </w:pPr>
      <w:rPr>
        <w:rFonts w:ascii="Courier New" w:hAnsi="Courier New" w:cs="Courier New" w:hint="default"/>
      </w:rPr>
    </w:lvl>
    <w:lvl w:ilvl="5" w:tplc="B9A6A404" w:tentative="1">
      <w:start w:val="1"/>
      <w:numFmt w:val="bullet"/>
      <w:lvlText w:val=""/>
      <w:lvlJc w:val="left"/>
      <w:pPr>
        <w:ind w:left="4320" w:hanging="360"/>
      </w:pPr>
      <w:rPr>
        <w:rFonts w:ascii="Wingdings" w:hAnsi="Wingdings" w:hint="default"/>
      </w:rPr>
    </w:lvl>
    <w:lvl w:ilvl="6" w:tplc="D8DAA4E2" w:tentative="1">
      <w:start w:val="1"/>
      <w:numFmt w:val="bullet"/>
      <w:lvlText w:val=""/>
      <w:lvlJc w:val="left"/>
      <w:pPr>
        <w:ind w:left="5040" w:hanging="360"/>
      </w:pPr>
      <w:rPr>
        <w:rFonts w:ascii="Symbol" w:hAnsi="Symbol" w:hint="default"/>
      </w:rPr>
    </w:lvl>
    <w:lvl w:ilvl="7" w:tplc="DD6C1A9A" w:tentative="1">
      <w:start w:val="1"/>
      <w:numFmt w:val="bullet"/>
      <w:lvlText w:val="o"/>
      <w:lvlJc w:val="left"/>
      <w:pPr>
        <w:ind w:left="5760" w:hanging="360"/>
      </w:pPr>
      <w:rPr>
        <w:rFonts w:ascii="Courier New" w:hAnsi="Courier New" w:cs="Courier New" w:hint="default"/>
      </w:rPr>
    </w:lvl>
    <w:lvl w:ilvl="8" w:tplc="CB2C0462" w:tentative="1">
      <w:start w:val="1"/>
      <w:numFmt w:val="bullet"/>
      <w:lvlText w:val=""/>
      <w:lvlJc w:val="left"/>
      <w:pPr>
        <w:ind w:left="6480" w:hanging="360"/>
      </w:pPr>
      <w:rPr>
        <w:rFonts w:ascii="Wingdings" w:hAnsi="Wingdings" w:hint="default"/>
      </w:rPr>
    </w:lvl>
  </w:abstractNum>
  <w:abstractNum w:abstractNumId="92" w15:restartNumberingAfterBreak="0">
    <w:nsid w:val="3FAF5A2C"/>
    <w:multiLevelType w:val="hybridMultilevel"/>
    <w:tmpl w:val="2030394C"/>
    <w:lvl w:ilvl="0" w:tplc="6AD4DBA0">
      <w:start w:val="1"/>
      <w:numFmt w:val="bullet"/>
      <w:lvlText w:val=""/>
      <w:lvlJc w:val="left"/>
      <w:pPr>
        <w:ind w:left="720" w:hanging="360"/>
      </w:pPr>
      <w:rPr>
        <w:rFonts w:ascii="Symbol" w:hAnsi="Symbol" w:hint="default"/>
      </w:rPr>
    </w:lvl>
    <w:lvl w:ilvl="1" w:tplc="4AB093AC" w:tentative="1">
      <w:start w:val="1"/>
      <w:numFmt w:val="bullet"/>
      <w:lvlText w:val="o"/>
      <w:lvlJc w:val="left"/>
      <w:pPr>
        <w:ind w:left="1440" w:hanging="360"/>
      </w:pPr>
      <w:rPr>
        <w:rFonts w:ascii="Courier New" w:hAnsi="Courier New" w:cs="Courier New" w:hint="default"/>
      </w:rPr>
    </w:lvl>
    <w:lvl w:ilvl="2" w:tplc="B9CC3CBC" w:tentative="1">
      <w:start w:val="1"/>
      <w:numFmt w:val="bullet"/>
      <w:lvlText w:val=""/>
      <w:lvlJc w:val="left"/>
      <w:pPr>
        <w:ind w:left="2160" w:hanging="360"/>
      </w:pPr>
      <w:rPr>
        <w:rFonts w:ascii="Wingdings" w:hAnsi="Wingdings" w:hint="default"/>
      </w:rPr>
    </w:lvl>
    <w:lvl w:ilvl="3" w:tplc="50F64B28" w:tentative="1">
      <w:start w:val="1"/>
      <w:numFmt w:val="bullet"/>
      <w:lvlText w:val=""/>
      <w:lvlJc w:val="left"/>
      <w:pPr>
        <w:ind w:left="2880" w:hanging="360"/>
      </w:pPr>
      <w:rPr>
        <w:rFonts w:ascii="Symbol" w:hAnsi="Symbol" w:hint="default"/>
      </w:rPr>
    </w:lvl>
    <w:lvl w:ilvl="4" w:tplc="D6B81326" w:tentative="1">
      <w:start w:val="1"/>
      <w:numFmt w:val="bullet"/>
      <w:lvlText w:val="o"/>
      <w:lvlJc w:val="left"/>
      <w:pPr>
        <w:ind w:left="3600" w:hanging="360"/>
      </w:pPr>
      <w:rPr>
        <w:rFonts w:ascii="Courier New" w:hAnsi="Courier New" w:cs="Courier New" w:hint="default"/>
      </w:rPr>
    </w:lvl>
    <w:lvl w:ilvl="5" w:tplc="0B2623F8" w:tentative="1">
      <w:start w:val="1"/>
      <w:numFmt w:val="bullet"/>
      <w:lvlText w:val=""/>
      <w:lvlJc w:val="left"/>
      <w:pPr>
        <w:ind w:left="4320" w:hanging="360"/>
      </w:pPr>
      <w:rPr>
        <w:rFonts w:ascii="Wingdings" w:hAnsi="Wingdings" w:hint="default"/>
      </w:rPr>
    </w:lvl>
    <w:lvl w:ilvl="6" w:tplc="579457DC" w:tentative="1">
      <w:start w:val="1"/>
      <w:numFmt w:val="bullet"/>
      <w:lvlText w:val=""/>
      <w:lvlJc w:val="left"/>
      <w:pPr>
        <w:ind w:left="5040" w:hanging="360"/>
      </w:pPr>
      <w:rPr>
        <w:rFonts w:ascii="Symbol" w:hAnsi="Symbol" w:hint="default"/>
      </w:rPr>
    </w:lvl>
    <w:lvl w:ilvl="7" w:tplc="23D05C64" w:tentative="1">
      <w:start w:val="1"/>
      <w:numFmt w:val="bullet"/>
      <w:lvlText w:val="o"/>
      <w:lvlJc w:val="left"/>
      <w:pPr>
        <w:ind w:left="5760" w:hanging="360"/>
      </w:pPr>
      <w:rPr>
        <w:rFonts w:ascii="Courier New" w:hAnsi="Courier New" w:cs="Courier New" w:hint="default"/>
      </w:rPr>
    </w:lvl>
    <w:lvl w:ilvl="8" w:tplc="C87237BC" w:tentative="1">
      <w:start w:val="1"/>
      <w:numFmt w:val="bullet"/>
      <w:lvlText w:val=""/>
      <w:lvlJc w:val="left"/>
      <w:pPr>
        <w:ind w:left="6480" w:hanging="360"/>
      </w:pPr>
      <w:rPr>
        <w:rFonts w:ascii="Wingdings" w:hAnsi="Wingdings" w:hint="default"/>
      </w:rPr>
    </w:lvl>
  </w:abstractNum>
  <w:abstractNum w:abstractNumId="93" w15:restartNumberingAfterBreak="0">
    <w:nsid w:val="40B10EE8"/>
    <w:multiLevelType w:val="multilevel"/>
    <w:tmpl w:val="CE7C1E4E"/>
    <w:lvl w:ilvl="0">
      <w:start w:val="1"/>
      <w:numFmt w:val="decimal"/>
      <w:lvlText w:val="4.%1."/>
      <w:lvlJc w:val="left"/>
      <w:pPr>
        <w:ind w:left="360" w:hanging="360"/>
      </w:pPr>
      <w:rPr>
        <w:rFonts w:hint="default"/>
      </w:rPr>
    </w:lvl>
    <w:lvl w:ilvl="1">
      <w:start w:val="1"/>
      <w:numFmt w:val="decimal"/>
      <w:lvlText w:val="%1.%2"/>
      <w:lvlJc w:val="left"/>
      <w:pPr>
        <w:ind w:left="478" w:hanging="360"/>
      </w:pPr>
      <w:rPr>
        <w:rFonts w:hint="default"/>
      </w:rPr>
    </w:lvl>
    <w:lvl w:ilvl="2">
      <w:start w:val="1"/>
      <w:numFmt w:val="decimal"/>
      <w:lvlText w:val="%1.%2.%3"/>
      <w:lvlJc w:val="left"/>
      <w:pPr>
        <w:ind w:left="956" w:hanging="720"/>
      </w:pPr>
      <w:rPr>
        <w:rFonts w:hint="default"/>
      </w:rPr>
    </w:lvl>
    <w:lvl w:ilvl="3">
      <w:start w:val="1"/>
      <w:numFmt w:val="decimal"/>
      <w:lvlText w:val="%1.%2.%3.%4"/>
      <w:lvlJc w:val="left"/>
      <w:pPr>
        <w:ind w:left="1074" w:hanging="720"/>
      </w:pPr>
      <w:rPr>
        <w:rFonts w:hint="default"/>
      </w:rPr>
    </w:lvl>
    <w:lvl w:ilvl="4">
      <w:start w:val="1"/>
      <w:numFmt w:val="decimal"/>
      <w:lvlText w:val="%1.%2.%3.%4.%5"/>
      <w:lvlJc w:val="left"/>
      <w:pPr>
        <w:ind w:left="1192" w:hanging="720"/>
      </w:pPr>
      <w:rPr>
        <w:rFonts w:hint="default"/>
      </w:rPr>
    </w:lvl>
    <w:lvl w:ilvl="5">
      <w:start w:val="1"/>
      <w:numFmt w:val="decimal"/>
      <w:lvlText w:val="%1.%2.%3.%4.%5.%6"/>
      <w:lvlJc w:val="left"/>
      <w:pPr>
        <w:ind w:left="1670" w:hanging="1080"/>
      </w:pPr>
      <w:rPr>
        <w:rFonts w:hint="default"/>
      </w:rPr>
    </w:lvl>
    <w:lvl w:ilvl="6">
      <w:start w:val="1"/>
      <w:numFmt w:val="decimal"/>
      <w:lvlText w:val="%1.%2.%3.%4.%5.%6.%7"/>
      <w:lvlJc w:val="left"/>
      <w:pPr>
        <w:ind w:left="1788" w:hanging="1080"/>
      </w:pPr>
      <w:rPr>
        <w:rFonts w:hint="default"/>
      </w:rPr>
    </w:lvl>
    <w:lvl w:ilvl="7">
      <w:start w:val="1"/>
      <w:numFmt w:val="decimal"/>
      <w:lvlText w:val="%1.%2.%3.%4.%5.%6.%7.%8"/>
      <w:lvlJc w:val="left"/>
      <w:pPr>
        <w:ind w:left="2266" w:hanging="1440"/>
      </w:pPr>
      <w:rPr>
        <w:rFonts w:hint="default"/>
      </w:rPr>
    </w:lvl>
    <w:lvl w:ilvl="8">
      <w:start w:val="1"/>
      <w:numFmt w:val="decimal"/>
      <w:lvlText w:val="%1.%2.%3.%4.%5.%6.%7.%8.%9"/>
      <w:lvlJc w:val="left"/>
      <w:pPr>
        <w:ind w:left="2384" w:hanging="1440"/>
      </w:pPr>
      <w:rPr>
        <w:rFonts w:hint="default"/>
      </w:rPr>
    </w:lvl>
  </w:abstractNum>
  <w:abstractNum w:abstractNumId="94" w15:restartNumberingAfterBreak="0">
    <w:nsid w:val="426E43B9"/>
    <w:multiLevelType w:val="hybridMultilevel"/>
    <w:tmpl w:val="9D845542"/>
    <w:lvl w:ilvl="0" w:tplc="6C5A5568">
      <w:start w:val="1"/>
      <w:numFmt w:val="bullet"/>
      <w:lvlText w:val=""/>
      <w:lvlJc w:val="left"/>
      <w:pPr>
        <w:ind w:left="720" w:hanging="360"/>
      </w:pPr>
      <w:rPr>
        <w:rFonts w:ascii="Symbol" w:hAnsi="Symbol" w:hint="default"/>
        <w:sz w:val="16"/>
      </w:rPr>
    </w:lvl>
    <w:lvl w:ilvl="1" w:tplc="FFAABE7E">
      <w:start w:val="1"/>
      <w:numFmt w:val="bullet"/>
      <w:lvlText w:val="o"/>
      <w:lvlJc w:val="left"/>
      <w:pPr>
        <w:ind w:left="1440" w:hanging="360"/>
      </w:pPr>
      <w:rPr>
        <w:rFonts w:ascii="Courier New" w:hAnsi="Courier New" w:cs="Courier New" w:hint="default"/>
      </w:rPr>
    </w:lvl>
    <w:lvl w:ilvl="2" w:tplc="9468059A">
      <w:start w:val="1"/>
      <w:numFmt w:val="bullet"/>
      <w:lvlText w:val=""/>
      <w:lvlJc w:val="left"/>
      <w:pPr>
        <w:ind w:left="2160" w:hanging="360"/>
      </w:pPr>
      <w:rPr>
        <w:rFonts w:ascii="Wingdings" w:hAnsi="Wingdings" w:hint="default"/>
      </w:rPr>
    </w:lvl>
    <w:lvl w:ilvl="3" w:tplc="4DF66FD0">
      <w:start w:val="1"/>
      <w:numFmt w:val="bullet"/>
      <w:lvlText w:val=""/>
      <w:lvlJc w:val="left"/>
      <w:pPr>
        <w:ind w:left="2880" w:hanging="360"/>
      </w:pPr>
      <w:rPr>
        <w:rFonts w:ascii="Symbol" w:hAnsi="Symbol" w:hint="default"/>
      </w:rPr>
    </w:lvl>
    <w:lvl w:ilvl="4" w:tplc="19AAEEFC">
      <w:start w:val="1"/>
      <w:numFmt w:val="bullet"/>
      <w:lvlText w:val="o"/>
      <w:lvlJc w:val="left"/>
      <w:pPr>
        <w:ind w:left="3600" w:hanging="360"/>
      </w:pPr>
      <w:rPr>
        <w:rFonts w:ascii="Courier New" w:hAnsi="Courier New" w:cs="Courier New" w:hint="default"/>
      </w:rPr>
    </w:lvl>
    <w:lvl w:ilvl="5" w:tplc="EC2256D6">
      <w:start w:val="1"/>
      <w:numFmt w:val="bullet"/>
      <w:lvlText w:val=""/>
      <w:lvlJc w:val="left"/>
      <w:pPr>
        <w:ind w:left="4320" w:hanging="360"/>
      </w:pPr>
      <w:rPr>
        <w:rFonts w:ascii="Wingdings" w:hAnsi="Wingdings" w:hint="default"/>
      </w:rPr>
    </w:lvl>
    <w:lvl w:ilvl="6" w:tplc="E682CFBA">
      <w:start w:val="1"/>
      <w:numFmt w:val="bullet"/>
      <w:lvlText w:val=""/>
      <w:lvlJc w:val="left"/>
      <w:pPr>
        <w:ind w:left="5040" w:hanging="360"/>
      </w:pPr>
      <w:rPr>
        <w:rFonts w:ascii="Symbol" w:hAnsi="Symbol" w:hint="default"/>
      </w:rPr>
    </w:lvl>
    <w:lvl w:ilvl="7" w:tplc="C54A203E">
      <w:start w:val="1"/>
      <w:numFmt w:val="bullet"/>
      <w:lvlText w:val="o"/>
      <w:lvlJc w:val="left"/>
      <w:pPr>
        <w:ind w:left="5760" w:hanging="360"/>
      </w:pPr>
      <w:rPr>
        <w:rFonts w:ascii="Courier New" w:hAnsi="Courier New" w:cs="Courier New" w:hint="default"/>
      </w:rPr>
    </w:lvl>
    <w:lvl w:ilvl="8" w:tplc="356AAE4A">
      <w:start w:val="1"/>
      <w:numFmt w:val="bullet"/>
      <w:lvlText w:val=""/>
      <w:lvlJc w:val="left"/>
      <w:pPr>
        <w:ind w:left="6480" w:hanging="360"/>
      </w:pPr>
      <w:rPr>
        <w:rFonts w:ascii="Wingdings" w:hAnsi="Wingdings" w:hint="default"/>
      </w:rPr>
    </w:lvl>
  </w:abstractNum>
  <w:abstractNum w:abstractNumId="95" w15:restartNumberingAfterBreak="0">
    <w:nsid w:val="436372EA"/>
    <w:multiLevelType w:val="multilevel"/>
    <w:tmpl w:val="090432FE"/>
    <w:lvl w:ilvl="0">
      <w:start w:val="2"/>
      <w:numFmt w:val="decimal"/>
      <w:lvlText w:val="%1"/>
      <w:lvlJc w:val="left"/>
      <w:pPr>
        <w:ind w:left="360" w:hanging="360"/>
      </w:pPr>
      <w:rPr>
        <w:rFonts w:hint="default"/>
      </w:rPr>
    </w:lvl>
    <w:lvl w:ilvl="1">
      <w:start w:val="1"/>
      <w:numFmt w:val="decimal"/>
      <w:lvlText w:val="%1.%2"/>
      <w:lvlJc w:val="left"/>
      <w:pPr>
        <w:ind w:left="478" w:hanging="360"/>
      </w:pPr>
      <w:rPr>
        <w:rFonts w:hint="default"/>
      </w:rPr>
    </w:lvl>
    <w:lvl w:ilvl="2">
      <w:start w:val="1"/>
      <w:numFmt w:val="decimal"/>
      <w:lvlText w:val="%1.%2.%3"/>
      <w:lvlJc w:val="left"/>
      <w:pPr>
        <w:ind w:left="956" w:hanging="720"/>
      </w:pPr>
      <w:rPr>
        <w:rFonts w:hint="default"/>
      </w:rPr>
    </w:lvl>
    <w:lvl w:ilvl="3">
      <w:start w:val="1"/>
      <w:numFmt w:val="decimal"/>
      <w:lvlText w:val="%1.%2.%3.%4"/>
      <w:lvlJc w:val="left"/>
      <w:pPr>
        <w:ind w:left="1074" w:hanging="720"/>
      </w:pPr>
      <w:rPr>
        <w:rFonts w:hint="default"/>
      </w:rPr>
    </w:lvl>
    <w:lvl w:ilvl="4">
      <w:start w:val="1"/>
      <w:numFmt w:val="decimal"/>
      <w:lvlText w:val="%1.%2.%3.%4.%5"/>
      <w:lvlJc w:val="left"/>
      <w:pPr>
        <w:ind w:left="1192" w:hanging="720"/>
      </w:pPr>
      <w:rPr>
        <w:rFonts w:hint="default"/>
      </w:rPr>
    </w:lvl>
    <w:lvl w:ilvl="5">
      <w:start w:val="1"/>
      <w:numFmt w:val="decimal"/>
      <w:lvlText w:val="%1.%2.%3.%4.%5.%6"/>
      <w:lvlJc w:val="left"/>
      <w:pPr>
        <w:ind w:left="1670" w:hanging="1080"/>
      </w:pPr>
      <w:rPr>
        <w:rFonts w:hint="default"/>
      </w:rPr>
    </w:lvl>
    <w:lvl w:ilvl="6">
      <w:start w:val="1"/>
      <w:numFmt w:val="decimal"/>
      <w:lvlText w:val="%1.%2.%3.%4.%5.%6.%7"/>
      <w:lvlJc w:val="left"/>
      <w:pPr>
        <w:ind w:left="1788" w:hanging="1080"/>
      </w:pPr>
      <w:rPr>
        <w:rFonts w:hint="default"/>
      </w:rPr>
    </w:lvl>
    <w:lvl w:ilvl="7">
      <w:start w:val="1"/>
      <w:numFmt w:val="decimal"/>
      <w:lvlText w:val="%1.%2.%3.%4.%5.%6.%7.%8"/>
      <w:lvlJc w:val="left"/>
      <w:pPr>
        <w:ind w:left="2266" w:hanging="1440"/>
      </w:pPr>
      <w:rPr>
        <w:rFonts w:hint="default"/>
      </w:rPr>
    </w:lvl>
    <w:lvl w:ilvl="8">
      <w:start w:val="1"/>
      <w:numFmt w:val="decimal"/>
      <w:lvlText w:val="%1.%2.%3.%4.%5.%6.%7.%8.%9"/>
      <w:lvlJc w:val="left"/>
      <w:pPr>
        <w:ind w:left="2384" w:hanging="1440"/>
      </w:pPr>
      <w:rPr>
        <w:rFonts w:hint="default"/>
      </w:rPr>
    </w:lvl>
  </w:abstractNum>
  <w:abstractNum w:abstractNumId="96" w15:restartNumberingAfterBreak="0">
    <w:nsid w:val="438927A7"/>
    <w:multiLevelType w:val="hybridMultilevel"/>
    <w:tmpl w:val="CDBAE1CA"/>
    <w:lvl w:ilvl="0" w:tplc="978AFB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43A963B4"/>
    <w:multiLevelType w:val="hybridMultilevel"/>
    <w:tmpl w:val="6D5840E6"/>
    <w:lvl w:ilvl="0" w:tplc="508217D0">
      <w:start w:val="1"/>
      <w:numFmt w:val="bullet"/>
      <w:lvlText w:val=""/>
      <w:lvlJc w:val="left"/>
      <w:pPr>
        <w:ind w:left="1440" w:hanging="360"/>
      </w:pPr>
      <w:rPr>
        <w:rFonts w:ascii="Symbol" w:hAnsi="Symbol" w:hint="default"/>
      </w:rPr>
    </w:lvl>
    <w:lvl w:ilvl="1" w:tplc="1032B192" w:tentative="1">
      <w:start w:val="1"/>
      <w:numFmt w:val="bullet"/>
      <w:lvlText w:val="o"/>
      <w:lvlJc w:val="left"/>
      <w:pPr>
        <w:ind w:left="2160" w:hanging="360"/>
      </w:pPr>
      <w:rPr>
        <w:rFonts w:ascii="Courier New" w:hAnsi="Courier New" w:cs="Courier New" w:hint="default"/>
      </w:rPr>
    </w:lvl>
    <w:lvl w:ilvl="2" w:tplc="B0FC46A6" w:tentative="1">
      <w:start w:val="1"/>
      <w:numFmt w:val="bullet"/>
      <w:lvlText w:val=""/>
      <w:lvlJc w:val="left"/>
      <w:pPr>
        <w:ind w:left="2880" w:hanging="360"/>
      </w:pPr>
      <w:rPr>
        <w:rFonts w:ascii="Wingdings" w:hAnsi="Wingdings" w:hint="default"/>
      </w:rPr>
    </w:lvl>
    <w:lvl w:ilvl="3" w:tplc="DB26ECE8" w:tentative="1">
      <w:start w:val="1"/>
      <w:numFmt w:val="bullet"/>
      <w:lvlText w:val=""/>
      <w:lvlJc w:val="left"/>
      <w:pPr>
        <w:ind w:left="3600" w:hanging="360"/>
      </w:pPr>
      <w:rPr>
        <w:rFonts w:ascii="Symbol" w:hAnsi="Symbol" w:hint="default"/>
      </w:rPr>
    </w:lvl>
    <w:lvl w:ilvl="4" w:tplc="281AC9A0" w:tentative="1">
      <w:start w:val="1"/>
      <w:numFmt w:val="bullet"/>
      <w:lvlText w:val="o"/>
      <w:lvlJc w:val="left"/>
      <w:pPr>
        <w:ind w:left="4320" w:hanging="360"/>
      </w:pPr>
      <w:rPr>
        <w:rFonts w:ascii="Courier New" w:hAnsi="Courier New" w:cs="Courier New" w:hint="default"/>
      </w:rPr>
    </w:lvl>
    <w:lvl w:ilvl="5" w:tplc="8EE2D7D4" w:tentative="1">
      <w:start w:val="1"/>
      <w:numFmt w:val="bullet"/>
      <w:lvlText w:val=""/>
      <w:lvlJc w:val="left"/>
      <w:pPr>
        <w:ind w:left="5040" w:hanging="360"/>
      </w:pPr>
      <w:rPr>
        <w:rFonts w:ascii="Wingdings" w:hAnsi="Wingdings" w:hint="default"/>
      </w:rPr>
    </w:lvl>
    <w:lvl w:ilvl="6" w:tplc="7158BFA0" w:tentative="1">
      <w:start w:val="1"/>
      <w:numFmt w:val="bullet"/>
      <w:lvlText w:val=""/>
      <w:lvlJc w:val="left"/>
      <w:pPr>
        <w:ind w:left="5760" w:hanging="360"/>
      </w:pPr>
      <w:rPr>
        <w:rFonts w:ascii="Symbol" w:hAnsi="Symbol" w:hint="default"/>
      </w:rPr>
    </w:lvl>
    <w:lvl w:ilvl="7" w:tplc="F85C7BFE" w:tentative="1">
      <w:start w:val="1"/>
      <w:numFmt w:val="bullet"/>
      <w:lvlText w:val="o"/>
      <w:lvlJc w:val="left"/>
      <w:pPr>
        <w:ind w:left="6480" w:hanging="360"/>
      </w:pPr>
      <w:rPr>
        <w:rFonts w:ascii="Courier New" w:hAnsi="Courier New" w:cs="Courier New" w:hint="default"/>
      </w:rPr>
    </w:lvl>
    <w:lvl w:ilvl="8" w:tplc="3FAAB0F2" w:tentative="1">
      <w:start w:val="1"/>
      <w:numFmt w:val="bullet"/>
      <w:lvlText w:val=""/>
      <w:lvlJc w:val="left"/>
      <w:pPr>
        <w:ind w:left="7200" w:hanging="360"/>
      </w:pPr>
      <w:rPr>
        <w:rFonts w:ascii="Wingdings" w:hAnsi="Wingdings" w:hint="default"/>
      </w:rPr>
    </w:lvl>
  </w:abstractNum>
  <w:abstractNum w:abstractNumId="98" w15:restartNumberingAfterBreak="0">
    <w:nsid w:val="450176E0"/>
    <w:multiLevelType w:val="multilevel"/>
    <w:tmpl w:val="53847BDE"/>
    <w:lvl w:ilvl="0">
      <w:start w:val="1"/>
      <w:numFmt w:val="decimal"/>
      <w:lvlText w:val="%1."/>
      <w:lvlJc w:val="left"/>
      <w:pPr>
        <w:ind w:left="1620" w:hanging="360"/>
      </w:pPr>
      <w:rPr>
        <w:rFonts w:hint="default"/>
      </w:rPr>
    </w:lvl>
    <w:lvl w:ilvl="1">
      <w:start w:val="5"/>
      <w:numFmt w:val="decimal"/>
      <w:isLgl/>
      <w:lvlText w:val="%1.%2"/>
      <w:lvlJc w:val="left"/>
      <w:pPr>
        <w:ind w:left="1637" w:hanging="36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1980" w:hanging="720"/>
      </w:pPr>
      <w:rPr>
        <w:rFonts w:hint="default"/>
      </w:rPr>
    </w:lvl>
    <w:lvl w:ilvl="4">
      <w:start w:val="1"/>
      <w:numFmt w:val="decimal"/>
      <w:isLgl/>
      <w:lvlText w:val="%1.%2.%3.%4.%5"/>
      <w:lvlJc w:val="left"/>
      <w:pPr>
        <w:ind w:left="1980" w:hanging="72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340" w:hanging="108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2700" w:hanging="1440"/>
      </w:pPr>
      <w:rPr>
        <w:rFonts w:hint="default"/>
      </w:rPr>
    </w:lvl>
  </w:abstractNum>
  <w:abstractNum w:abstractNumId="99" w15:restartNumberingAfterBreak="0">
    <w:nsid w:val="45494C75"/>
    <w:multiLevelType w:val="multilevel"/>
    <w:tmpl w:val="C7629674"/>
    <w:lvl w:ilvl="0">
      <w:start w:val="1"/>
      <w:numFmt w:val="decimal"/>
      <w:lvlText w:val="%1."/>
      <w:lvlJc w:val="left"/>
      <w:pPr>
        <w:ind w:left="1211" w:hanging="360"/>
      </w:pPr>
      <w:rPr>
        <w:rFonts w:hint="default"/>
      </w:rPr>
    </w:lvl>
    <w:lvl w:ilvl="1">
      <w:start w:val="7"/>
      <w:numFmt w:val="decimal"/>
      <w:isLgl/>
      <w:lvlText w:val="%1.%2"/>
      <w:lvlJc w:val="left"/>
      <w:pPr>
        <w:ind w:left="1440" w:hanging="360"/>
      </w:pPr>
      <w:rPr>
        <w:rFonts w:hint="default"/>
      </w:rPr>
    </w:lvl>
    <w:lvl w:ilvl="2">
      <w:start w:val="1"/>
      <w:numFmt w:val="decimal"/>
      <w:isLgl/>
      <w:lvlText w:val="%1.%2.%3"/>
      <w:lvlJc w:val="left"/>
      <w:pPr>
        <w:ind w:left="2029" w:hanging="720"/>
      </w:pPr>
      <w:rPr>
        <w:rFonts w:hint="default"/>
      </w:rPr>
    </w:lvl>
    <w:lvl w:ilvl="3">
      <w:start w:val="1"/>
      <w:numFmt w:val="decimal"/>
      <w:isLgl/>
      <w:lvlText w:val="%1.%2.%3.%4"/>
      <w:lvlJc w:val="left"/>
      <w:pPr>
        <w:ind w:left="2258" w:hanging="720"/>
      </w:pPr>
      <w:rPr>
        <w:rFonts w:hint="default"/>
      </w:rPr>
    </w:lvl>
    <w:lvl w:ilvl="4">
      <w:start w:val="1"/>
      <w:numFmt w:val="decimal"/>
      <w:isLgl/>
      <w:lvlText w:val="%1.%2.%3.%4.%5"/>
      <w:lvlJc w:val="left"/>
      <w:pPr>
        <w:ind w:left="2487" w:hanging="720"/>
      </w:pPr>
      <w:rPr>
        <w:rFonts w:hint="default"/>
      </w:rPr>
    </w:lvl>
    <w:lvl w:ilvl="5">
      <w:start w:val="1"/>
      <w:numFmt w:val="decimal"/>
      <w:isLgl/>
      <w:lvlText w:val="%1.%2.%3.%4.%5.%6"/>
      <w:lvlJc w:val="left"/>
      <w:pPr>
        <w:ind w:left="3076" w:hanging="1080"/>
      </w:pPr>
      <w:rPr>
        <w:rFonts w:hint="default"/>
      </w:rPr>
    </w:lvl>
    <w:lvl w:ilvl="6">
      <w:start w:val="1"/>
      <w:numFmt w:val="decimal"/>
      <w:isLgl/>
      <w:lvlText w:val="%1.%2.%3.%4.%5.%6.%7"/>
      <w:lvlJc w:val="left"/>
      <w:pPr>
        <w:ind w:left="3305" w:hanging="1080"/>
      </w:pPr>
      <w:rPr>
        <w:rFonts w:hint="default"/>
      </w:rPr>
    </w:lvl>
    <w:lvl w:ilvl="7">
      <w:start w:val="1"/>
      <w:numFmt w:val="decimal"/>
      <w:isLgl/>
      <w:lvlText w:val="%1.%2.%3.%4.%5.%6.%7.%8"/>
      <w:lvlJc w:val="left"/>
      <w:pPr>
        <w:ind w:left="3894" w:hanging="1440"/>
      </w:pPr>
      <w:rPr>
        <w:rFonts w:hint="default"/>
      </w:rPr>
    </w:lvl>
    <w:lvl w:ilvl="8">
      <w:start w:val="1"/>
      <w:numFmt w:val="decimal"/>
      <w:isLgl/>
      <w:lvlText w:val="%1.%2.%3.%4.%5.%6.%7.%8.%9"/>
      <w:lvlJc w:val="left"/>
      <w:pPr>
        <w:ind w:left="4123" w:hanging="1440"/>
      </w:pPr>
      <w:rPr>
        <w:rFonts w:hint="default"/>
      </w:rPr>
    </w:lvl>
  </w:abstractNum>
  <w:abstractNum w:abstractNumId="100" w15:restartNumberingAfterBreak="0">
    <w:nsid w:val="469E4D09"/>
    <w:multiLevelType w:val="hybridMultilevel"/>
    <w:tmpl w:val="48D8DD76"/>
    <w:lvl w:ilvl="0" w:tplc="1A7EBBE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46CE1457"/>
    <w:multiLevelType w:val="hybridMultilevel"/>
    <w:tmpl w:val="F2D8FDAA"/>
    <w:lvl w:ilvl="0" w:tplc="33BE5842">
      <w:start w:val="1"/>
      <w:numFmt w:val="bullet"/>
      <w:lvlText w:val=""/>
      <w:lvlJc w:val="left"/>
      <w:pPr>
        <w:ind w:left="720" w:hanging="360"/>
      </w:pPr>
      <w:rPr>
        <w:rFonts w:ascii="Symbol" w:hAnsi="Symbol" w:hint="default"/>
      </w:rPr>
    </w:lvl>
    <w:lvl w:ilvl="1" w:tplc="47BE8FC4" w:tentative="1">
      <w:start w:val="1"/>
      <w:numFmt w:val="bullet"/>
      <w:lvlText w:val="o"/>
      <w:lvlJc w:val="left"/>
      <w:pPr>
        <w:ind w:left="1440" w:hanging="360"/>
      </w:pPr>
      <w:rPr>
        <w:rFonts w:ascii="Courier New" w:hAnsi="Courier New" w:cs="Courier New" w:hint="default"/>
      </w:rPr>
    </w:lvl>
    <w:lvl w:ilvl="2" w:tplc="B9569B46" w:tentative="1">
      <w:start w:val="1"/>
      <w:numFmt w:val="bullet"/>
      <w:lvlText w:val=""/>
      <w:lvlJc w:val="left"/>
      <w:pPr>
        <w:ind w:left="2160" w:hanging="360"/>
      </w:pPr>
      <w:rPr>
        <w:rFonts w:ascii="Wingdings" w:hAnsi="Wingdings" w:hint="default"/>
      </w:rPr>
    </w:lvl>
    <w:lvl w:ilvl="3" w:tplc="3536CFAE" w:tentative="1">
      <w:start w:val="1"/>
      <w:numFmt w:val="bullet"/>
      <w:lvlText w:val=""/>
      <w:lvlJc w:val="left"/>
      <w:pPr>
        <w:ind w:left="2880" w:hanging="360"/>
      </w:pPr>
      <w:rPr>
        <w:rFonts w:ascii="Symbol" w:hAnsi="Symbol" w:hint="default"/>
      </w:rPr>
    </w:lvl>
    <w:lvl w:ilvl="4" w:tplc="EEFCD9AC" w:tentative="1">
      <w:start w:val="1"/>
      <w:numFmt w:val="bullet"/>
      <w:lvlText w:val="o"/>
      <w:lvlJc w:val="left"/>
      <w:pPr>
        <w:ind w:left="3600" w:hanging="360"/>
      </w:pPr>
      <w:rPr>
        <w:rFonts w:ascii="Courier New" w:hAnsi="Courier New" w:cs="Courier New" w:hint="default"/>
      </w:rPr>
    </w:lvl>
    <w:lvl w:ilvl="5" w:tplc="5380D51A" w:tentative="1">
      <w:start w:val="1"/>
      <w:numFmt w:val="bullet"/>
      <w:lvlText w:val=""/>
      <w:lvlJc w:val="left"/>
      <w:pPr>
        <w:ind w:left="4320" w:hanging="360"/>
      </w:pPr>
      <w:rPr>
        <w:rFonts w:ascii="Wingdings" w:hAnsi="Wingdings" w:hint="default"/>
      </w:rPr>
    </w:lvl>
    <w:lvl w:ilvl="6" w:tplc="F9DC0CE2" w:tentative="1">
      <w:start w:val="1"/>
      <w:numFmt w:val="bullet"/>
      <w:lvlText w:val=""/>
      <w:lvlJc w:val="left"/>
      <w:pPr>
        <w:ind w:left="5040" w:hanging="360"/>
      </w:pPr>
      <w:rPr>
        <w:rFonts w:ascii="Symbol" w:hAnsi="Symbol" w:hint="default"/>
      </w:rPr>
    </w:lvl>
    <w:lvl w:ilvl="7" w:tplc="A16C1D5C" w:tentative="1">
      <w:start w:val="1"/>
      <w:numFmt w:val="bullet"/>
      <w:lvlText w:val="o"/>
      <w:lvlJc w:val="left"/>
      <w:pPr>
        <w:ind w:left="5760" w:hanging="360"/>
      </w:pPr>
      <w:rPr>
        <w:rFonts w:ascii="Courier New" w:hAnsi="Courier New" w:cs="Courier New" w:hint="default"/>
      </w:rPr>
    </w:lvl>
    <w:lvl w:ilvl="8" w:tplc="AFFE4904" w:tentative="1">
      <w:start w:val="1"/>
      <w:numFmt w:val="bullet"/>
      <w:lvlText w:val=""/>
      <w:lvlJc w:val="left"/>
      <w:pPr>
        <w:ind w:left="6480" w:hanging="360"/>
      </w:pPr>
      <w:rPr>
        <w:rFonts w:ascii="Wingdings" w:hAnsi="Wingdings" w:hint="default"/>
      </w:rPr>
    </w:lvl>
  </w:abstractNum>
  <w:abstractNum w:abstractNumId="102" w15:restartNumberingAfterBreak="0">
    <w:nsid w:val="46E33D06"/>
    <w:multiLevelType w:val="hybridMultilevel"/>
    <w:tmpl w:val="BBF0843C"/>
    <w:lvl w:ilvl="0" w:tplc="5ACA6336">
      <w:start w:val="1"/>
      <w:numFmt w:val="bullet"/>
      <w:lvlText w:val=""/>
      <w:lvlJc w:val="left"/>
      <w:pPr>
        <w:ind w:left="720" w:hanging="360"/>
      </w:pPr>
      <w:rPr>
        <w:rFonts w:ascii="Symbol" w:hAnsi="Symbol" w:hint="default"/>
      </w:rPr>
    </w:lvl>
    <w:lvl w:ilvl="1" w:tplc="699C0794" w:tentative="1">
      <w:start w:val="1"/>
      <w:numFmt w:val="bullet"/>
      <w:lvlText w:val="o"/>
      <w:lvlJc w:val="left"/>
      <w:pPr>
        <w:ind w:left="1440" w:hanging="360"/>
      </w:pPr>
      <w:rPr>
        <w:rFonts w:ascii="Courier New" w:hAnsi="Courier New" w:cs="Courier New" w:hint="default"/>
      </w:rPr>
    </w:lvl>
    <w:lvl w:ilvl="2" w:tplc="28FEFC38" w:tentative="1">
      <w:start w:val="1"/>
      <w:numFmt w:val="bullet"/>
      <w:lvlText w:val=""/>
      <w:lvlJc w:val="left"/>
      <w:pPr>
        <w:ind w:left="2160" w:hanging="360"/>
      </w:pPr>
      <w:rPr>
        <w:rFonts w:ascii="Wingdings" w:hAnsi="Wingdings" w:hint="default"/>
      </w:rPr>
    </w:lvl>
    <w:lvl w:ilvl="3" w:tplc="BA38A148" w:tentative="1">
      <w:start w:val="1"/>
      <w:numFmt w:val="bullet"/>
      <w:lvlText w:val=""/>
      <w:lvlJc w:val="left"/>
      <w:pPr>
        <w:ind w:left="2880" w:hanging="360"/>
      </w:pPr>
      <w:rPr>
        <w:rFonts w:ascii="Symbol" w:hAnsi="Symbol" w:hint="default"/>
      </w:rPr>
    </w:lvl>
    <w:lvl w:ilvl="4" w:tplc="DFB6D686" w:tentative="1">
      <w:start w:val="1"/>
      <w:numFmt w:val="bullet"/>
      <w:lvlText w:val="o"/>
      <w:lvlJc w:val="left"/>
      <w:pPr>
        <w:ind w:left="3600" w:hanging="360"/>
      </w:pPr>
      <w:rPr>
        <w:rFonts w:ascii="Courier New" w:hAnsi="Courier New" w:cs="Courier New" w:hint="default"/>
      </w:rPr>
    </w:lvl>
    <w:lvl w:ilvl="5" w:tplc="6B0AED58" w:tentative="1">
      <w:start w:val="1"/>
      <w:numFmt w:val="bullet"/>
      <w:lvlText w:val=""/>
      <w:lvlJc w:val="left"/>
      <w:pPr>
        <w:ind w:left="4320" w:hanging="360"/>
      </w:pPr>
      <w:rPr>
        <w:rFonts w:ascii="Wingdings" w:hAnsi="Wingdings" w:hint="default"/>
      </w:rPr>
    </w:lvl>
    <w:lvl w:ilvl="6" w:tplc="CDD4DBDA" w:tentative="1">
      <w:start w:val="1"/>
      <w:numFmt w:val="bullet"/>
      <w:lvlText w:val=""/>
      <w:lvlJc w:val="left"/>
      <w:pPr>
        <w:ind w:left="5040" w:hanging="360"/>
      </w:pPr>
      <w:rPr>
        <w:rFonts w:ascii="Symbol" w:hAnsi="Symbol" w:hint="default"/>
      </w:rPr>
    </w:lvl>
    <w:lvl w:ilvl="7" w:tplc="B4FEE7DE" w:tentative="1">
      <w:start w:val="1"/>
      <w:numFmt w:val="bullet"/>
      <w:lvlText w:val="o"/>
      <w:lvlJc w:val="left"/>
      <w:pPr>
        <w:ind w:left="5760" w:hanging="360"/>
      </w:pPr>
      <w:rPr>
        <w:rFonts w:ascii="Courier New" w:hAnsi="Courier New" w:cs="Courier New" w:hint="default"/>
      </w:rPr>
    </w:lvl>
    <w:lvl w:ilvl="8" w:tplc="E67E11DC" w:tentative="1">
      <w:start w:val="1"/>
      <w:numFmt w:val="bullet"/>
      <w:lvlText w:val=""/>
      <w:lvlJc w:val="left"/>
      <w:pPr>
        <w:ind w:left="6480" w:hanging="360"/>
      </w:pPr>
      <w:rPr>
        <w:rFonts w:ascii="Wingdings" w:hAnsi="Wingdings" w:hint="default"/>
      </w:rPr>
    </w:lvl>
  </w:abstractNum>
  <w:abstractNum w:abstractNumId="103" w15:restartNumberingAfterBreak="0">
    <w:nsid w:val="477523D6"/>
    <w:multiLevelType w:val="hybridMultilevel"/>
    <w:tmpl w:val="160ACAE6"/>
    <w:lvl w:ilvl="0" w:tplc="58D67186">
      <w:start w:val="1"/>
      <w:numFmt w:val="decimal"/>
      <w:lvlText w:val="%1."/>
      <w:lvlJc w:val="left"/>
      <w:pPr>
        <w:ind w:left="720" w:hanging="360"/>
      </w:pPr>
      <w:rPr>
        <w:rFonts w:hint="default"/>
      </w:rPr>
    </w:lvl>
    <w:lvl w:ilvl="1" w:tplc="A698C6E0" w:tentative="1">
      <w:start w:val="1"/>
      <w:numFmt w:val="lowerLetter"/>
      <w:lvlText w:val="%2."/>
      <w:lvlJc w:val="left"/>
      <w:pPr>
        <w:ind w:left="1440" w:hanging="360"/>
      </w:pPr>
    </w:lvl>
    <w:lvl w:ilvl="2" w:tplc="27FC4E88" w:tentative="1">
      <w:start w:val="1"/>
      <w:numFmt w:val="lowerRoman"/>
      <w:lvlText w:val="%3."/>
      <w:lvlJc w:val="right"/>
      <w:pPr>
        <w:ind w:left="2160" w:hanging="180"/>
      </w:pPr>
    </w:lvl>
    <w:lvl w:ilvl="3" w:tplc="3AC87596" w:tentative="1">
      <w:start w:val="1"/>
      <w:numFmt w:val="decimal"/>
      <w:lvlText w:val="%4."/>
      <w:lvlJc w:val="left"/>
      <w:pPr>
        <w:ind w:left="2880" w:hanging="360"/>
      </w:pPr>
    </w:lvl>
    <w:lvl w:ilvl="4" w:tplc="5FFCCA6C" w:tentative="1">
      <w:start w:val="1"/>
      <w:numFmt w:val="lowerLetter"/>
      <w:lvlText w:val="%5."/>
      <w:lvlJc w:val="left"/>
      <w:pPr>
        <w:ind w:left="3600" w:hanging="360"/>
      </w:pPr>
    </w:lvl>
    <w:lvl w:ilvl="5" w:tplc="4626973E" w:tentative="1">
      <w:start w:val="1"/>
      <w:numFmt w:val="lowerRoman"/>
      <w:lvlText w:val="%6."/>
      <w:lvlJc w:val="right"/>
      <w:pPr>
        <w:ind w:left="4320" w:hanging="180"/>
      </w:pPr>
    </w:lvl>
    <w:lvl w:ilvl="6" w:tplc="BE5C539C" w:tentative="1">
      <w:start w:val="1"/>
      <w:numFmt w:val="decimal"/>
      <w:lvlText w:val="%7."/>
      <w:lvlJc w:val="left"/>
      <w:pPr>
        <w:ind w:left="5040" w:hanging="360"/>
      </w:pPr>
    </w:lvl>
    <w:lvl w:ilvl="7" w:tplc="08C2553C" w:tentative="1">
      <w:start w:val="1"/>
      <w:numFmt w:val="lowerLetter"/>
      <w:lvlText w:val="%8."/>
      <w:lvlJc w:val="left"/>
      <w:pPr>
        <w:ind w:left="5760" w:hanging="360"/>
      </w:pPr>
    </w:lvl>
    <w:lvl w:ilvl="8" w:tplc="49769E8C" w:tentative="1">
      <w:start w:val="1"/>
      <w:numFmt w:val="lowerRoman"/>
      <w:lvlText w:val="%9."/>
      <w:lvlJc w:val="right"/>
      <w:pPr>
        <w:ind w:left="6480" w:hanging="180"/>
      </w:pPr>
    </w:lvl>
  </w:abstractNum>
  <w:abstractNum w:abstractNumId="104" w15:restartNumberingAfterBreak="0">
    <w:nsid w:val="48AC37A4"/>
    <w:multiLevelType w:val="hybridMultilevel"/>
    <w:tmpl w:val="8D405D76"/>
    <w:lvl w:ilvl="0" w:tplc="21B45A04">
      <w:start w:val="1"/>
      <w:numFmt w:val="bullet"/>
      <w:lvlText w:val=""/>
      <w:lvlJc w:val="left"/>
      <w:pPr>
        <w:ind w:left="1429" w:hanging="360"/>
      </w:pPr>
      <w:rPr>
        <w:rFonts w:ascii="Wingdings" w:hAnsi="Wingdings" w:hint="default"/>
      </w:rPr>
    </w:lvl>
    <w:lvl w:ilvl="1" w:tplc="D1E26566" w:tentative="1">
      <w:start w:val="1"/>
      <w:numFmt w:val="bullet"/>
      <w:lvlText w:val="o"/>
      <w:lvlJc w:val="left"/>
      <w:pPr>
        <w:ind w:left="2149" w:hanging="360"/>
      </w:pPr>
      <w:rPr>
        <w:rFonts w:ascii="Courier New" w:hAnsi="Courier New" w:cs="Courier New" w:hint="default"/>
      </w:rPr>
    </w:lvl>
    <w:lvl w:ilvl="2" w:tplc="63F07F0A" w:tentative="1">
      <w:start w:val="1"/>
      <w:numFmt w:val="bullet"/>
      <w:lvlText w:val=""/>
      <w:lvlJc w:val="left"/>
      <w:pPr>
        <w:ind w:left="2869" w:hanging="360"/>
      </w:pPr>
      <w:rPr>
        <w:rFonts w:ascii="Wingdings" w:hAnsi="Wingdings" w:hint="default"/>
      </w:rPr>
    </w:lvl>
    <w:lvl w:ilvl="3" w:tplc="46020D10" w:tentative="1">
      <w:start w:val="1"/>
      <w:numFmt w:val="bullet"/>
      <w:lvlText w:val=""/>
      <w:lvlJc w:val="left"/>
      <w:pPr>
        <w:ind w:left="3589" w:hanging="360"/>
      </w:pPr>
      <w:rPr>
        <w:rFonts w:ascii="Symbol" w:hAnsi="Symbol" w:hint="default"/>
      </w:rPr>
    </w:lvl>
    <w:lvl w:ilvl="4" w:tplc="A02E9E5A" w:tentative="1">
      <w:start w:val="1"/>
      <w:numFmt w:val="bullet"/>
      <w:lvlText w:val="o"/>
      <w:lvlJc w:val="left"/>
      <w:pPr>
        <w:ind w:left="4309" w:hanging="360"/>
      </w:pPr>
      <w:rPr>
        <w:rFonts w:ascii="Courier New" w:hAnsi="Courier New" w:cs="Courier New" w:hint="default"/>
      </w:rPr>
    </w:lvl>
    <w:lvl w:ilvl="5" w:tplc="83060EB8" w:tentative="1">
      <w:start w:val="1"/>
      <w:numFmt w:val="bullet"/>
      <w:lvlText w:val=""/>
      <w:lvlJc w:val="left"/>
      <w:pPr>
        <w:ind w:left="5029" w:hanging="360"/>
      </w:pPr>
      <w:rPr>
        <w:rFonts w:ascii="Wingdings" w:hAnsi="Wingdings" w:hint="default"/>
      </w:rPr>
    </w:lvl>
    <w:lvl w:ilvl="6" w:tplc="EE18D292" w:tentative="1">
      <w:start w:val="1"/>
      <w:numFmt w:val="bullet"/>
      <w:lvlText w:val=""/>
      <w:lvlJc w:val="left"/>
      <w:pPr>
        <w:ind w:left="5749" w:hanging="360"/>
      </w:pPr>
      <w:rPr>
        <w:rFonts w:ascii="Symbol" w:hAnsi="Symbol" w:hint="default"/>
      </w:rPr>
    </w:lvl>
    <w:lvl w:ilvl="7" w:tplc="D1D8CDC8" w:tentative="1">
      <w:start w:val="1"/>
      <w:numFmt w:val="bullet"/>
      <w:lvlText w:val="o"/>
      <w:lvlJc w:val="left"/>
      <w:pPr>
        <w:ind w:left="6469" w:hanging="360"/>
      </w:pPr>
      <w:rPr>
        <w:rFonts w:ascii="Courier New" w:hAnsi="Courier New" w:cs="Courier New" w:hint="default"/>
      </w:rPr>
    </w:lvl>
    <w:lvl w:ilvl="8" w:tplc="030C477C" w:tentative="1">
      <w:start w:val="1"/>
      <w:numFmt w:val="bullet"/>
      <w:lvlText w:val=""/>
      <w:lvlJc w:val="left"/>
      <w:pPr>
        <w:ind w:left="7189" w:hanging="360"/>
      </w:pPr>
      <w:rPr>
        <w:rFonts w:ascii="Wingdings" w:hAnsi="Wingdings" w:hint="default"/>
      </w:rPr>
    </w:lvl>
  </w:abstractNum>
  <w:abstractNum w:abstractNumId="105" w15:restartNumberingAfterBreak="0">
    <w:nsid w:val="490C2667"/>
    <w:multiLevelType w:val="hybridMultilevel"/>
    <w:tmpl w:val="CCB4BD8A"/>
    <w:lvl w:ilvl="0" w:tplc="1EF61272">
      <w:start w:val="1"/>
      <w:numFmt w:val="decimal"/>
      <w:lvlText w:val="%1."/>
      <w:lvlJc w:val="left"/>
      <w:pPr>
        <w:ind w:left="720" w:hanging="360"/>
      </w:pPr>
    </w:lvl>
    <w:lvl w:ilvl="1" w:tplc="22C0721C" w:tentative="1">
      <w:start w:val="1"/>
      <w:numFmt w:val="lowerLetter"/>
      <w:lvlText w:val="%2."/>
      <w:lvlJc w:val="left"/>
      <w:pPr>
        <w:ind w:left="1440" w:hanging="360"/>
      </w:pPr>
    </w:lvl>
    <w:lvl w:ilvl="2" w:tplc="18468762" w:tentative="1">
      <w:start w:val="1"/>
      <w:numFmt w:val="lowerRoman"/>
      <w:lvlText w:val="%3."/>
      <w:lvlJc w:val="right"/>
      <w:pPr>
        <w:ind w:left="2160" w:hanging="180"/>
      </w:pPr>
    </w:lvl>
    <w:lvl w:ilvl="3" w:tplc="39108F30" w:tentative="1">
      <w:start w:val="1"/>
      <w:numFmt w:val="decimal"/>
      <w:lvlText w:val="%4."/>
      <w:lvlJc w:val="left"/>
      <w:pPr>
        <w:ind w:left="2880" w:hanging="360"/>
      </w:pPr>
    </w:lvl>
    <w:lvl w:ilvl="4" w:tplc="8DCEB1BC" w:tentative="1">
      <w:start w:val="1"/>
      <w:numFmt w:val="lowerLetter"/>
      <w:lvlText w:val="%5."/>
      <w:lvlJc w:val="left"/>
      <w:pPr>
        <w:ind w:left="3600" w:hanging="360"/>
      </w:pPr>
    </w:lvl>
    <w:lvl w:ilvl="5" w:tplc="E9D29B12" w:tentative="1">
      <w:start w:val="1"/>
      <w:numFmt w:val="lowerRoman"/>
      <w:lvlText w:val="%6."/>
      <w:lvlJc w:val="right"/>
      <w:pPr>
        <w:ind w:left="4320" w:hanging="180"/>
      </w:pPr>
    </w:lvl>
    <w:lvl w:ilvl="6" w:tplc="8E828C84" w:tentative="1">
      <w:start w:val="1"/>
      <w:numFmt w:val="decimal"/>
      <w:lvlText w:val="%7."/>
      <w:lvlJc w:val="left"/>
      <w:pPr>
        <w:ind w:left="5040" w:hanging="360"/>
      </w:pPr>
    </w:lvl>
    <w:lvl w:ilvl="7" w:tplc="4A66B166" w:tentative="1">
      <w:start w:val="1"/>
      <w:numFmt w:val="lowerLetter"/>
      <w:lvlText w:val="%8."/>
      <w:lvlJc w:val="left"/>
      <w:pPr>
        <w:ind w:left="5760" w:hanging="360"/>
      </w:pPr>
    </w:lvl>
    <w:lvl w:ilvl="8" w:tplc="3EDA8A92" w:tentative="1">
      <w:start w:val="1"/>
      <w:numFmt w:val="lowerRoman"/>
      <w:lvlText w:val="%9."/>
      <w:lvlJc w:val="right"/>
      <w:pPr>
        <w:ind w:left="6480" w:hanging="180"/>
      </w:pPr>
    </w:lvl>
  </w:abstractNum>
  <w:abstractNum w:abstractNumId="106" w15:restartNumberingAfterBreak="0">
    <w:nsid w:val="492730EF"/>
    <w:multiLevelType w:val="hybridMultilevel"/>
    <w:tmpl w:val="C78034A4"/>
    <w:lvl w:ilvl="0" w:tplc="D10A0C38">
      <w:start w:val="1"/>
      <w:numFmt w:val="bullet"/>
      <w:lvlText w:val=""/>
      <w:lvlJc w:val="left"/>
      <w:pPr>
        <w:ind w:left="720" w:hanging="360"/>
      </w:pPr>
      <w:rPr>
        <w:rFonts w:ascii="Symbol" w:hAnsi="Symbol" w:hint="default"/>
      </w:rPr>
    </w:lvl>
    <w:lvl w:ilvl="1" w:tplc="0A84AB60" w:tentative="1">
      <w:start w:val="1"/>
      <w:numFmt w:val="bullet"/>
      <w:lvlText w:val="o"/>
      <w:lvlJc w:val="left"/>
      <w:pPr>
        <w:ind w:left="1440" w:hanging="360"/>
      </w:pPr>
      <w:rPr>
        <w:rFonts w:ascii="Courier New" w:hAnsi="Courier New" w:cs="Courier New" w:hint="default"/>
      </w:rPr>
    </w:lvl>
    <w:lvl w:ilvl="2" w:tplc="F384B2D8" w:tentative="1">
      <w:start w:val="1"/>
      <w:numFmt w:val="bullet"/>
      <w:lvlText w:val=""/>
      <w:lvlJc w:val="left"/>
      <w:pPr>
        <w:ind w:left="2160" w:hanging="360"/>
      </w:pPr>
      <w:rPr>
        <w:rFonts w:ascii="Wingdings" w:hAnsi="Wingdings" w:hint="default"/>
      </w:rPr>
    </w:lvl>
    <w:lvl w:ilvl="3" w:tplc="B7FCDBC6" w:tentative="1">
      <w:start w:val="1"/>
      <w:numFmt w:val="bullet"/>
      <w:lvlText w:val=""/>
      <w:lvlJc w:val="left"/>
      <w:pPr>
        <w:ind w:left="2880" w:hanging="360"/>
      </w:pPr>
      <w:rPr>
        <w:rFonts w:ascii="Symbol" w:hAnsi="Symbol" w:hint="default"/>
      </w:rPr>
    </w:lvl>
    <w:lvl w:ilvl="4" w:tplc="EBC0C192" w:tentative="1">
      <w:start w:val="1"/>
      <w:numFmt w:val="bullet"/>
      <w:lvlText w:val="o"/>
      <w:lvlJc w:val="left"/>
      <w:pPr>
        <w:ind w:left="3600" w:hanging="360"/>
      </w:pPr>
      <w:rPr>
        <w:rFonts w:ascii="Courier New" w:hAnsi="Courier New" w:cs="Courier New" w:hint="default"/>
      </w:rPr>
    </w:lvl>
    <w:lvl w:ilvl="5" w:tplc="89E8E95E" w:tentative="1">
      <w:start w:val="1"/>
      <w:numFmt w:val="bullet"/>
      <w:lvlText w:val=""/>
      <w:lvlJc w:val="left"/>
      <w:pPr>
        <w:ind w:left="4320" w:hanging="360"/>
      </w:pPr>
      <w:rPr>
        <w:rFonts w:ascii="Wingdings" w:hAnsi="Wingdings" w:hint="default"/>
      </w:rPr>
    </w:lvl>
    <w:lvl w:ilvl="6" w:tplc="5FDAB114" w:tentative="1">
      <w:start w:val="1"/>
      <w:numFmt w:val="bullet"/>
      <w:lvlText w:val=""/>
      <w:lvlJc w:val="left"/>
      <w:pPr>
        <w:ind w:left="5040" w:hanging="360"/>
      </w:pPr>
      <w:rPr>
        <w:rFonts w:ascii="Symbol" w:hAnsi="Symbol" w:hint="default"/>
      </w:rPr>
    </w:lvl>
    <w:lvl w:ilvl="7" w:tplc="F3267B24" w:tentative="1">
      <w:start w:val="1"/>
      <w:numFmt w:val="bullet"/>
      <w:lvlText w:val="o"/>
      <w:lvlJc w:val="left"/>
      <w:pPr>
        <w:ind w:left="5760" w:hanging="360"/>
      </w:pPr>
      <w:rPr>
        <w:rFonts w:ascii="Courier New" w:hAnsi="Courier New" w:cs="Courier New" w:hint="default"/>
      </w:rPr>
    </w:lvl>
    <w:lvl w:ilvl="8" w:tplc="9B1299EC" w:tentative="1">
      <w:start w:val="1"/>
      <w:numFmt w:val="bullet"/>
      <w:lvlText w:val=""/>
      <w:lvlJc w:val="left"/>
      <w:pPr>
        <w:ind w:left="6480" w:hanging="360"/>
      </w:pPr>
      <w:rPr>
        <w:rFonts w:ascii="Wingdings" w:hAnsi="Wingdings" w:hint="default"/>
      </w:rPr>
    </w:lvl>
  </w:abstractNum>
  <w:abstractNum w:abstractNumId="107" w15:restartNumberingAfterBreak="0">
    <w:nsid w:val="4AD63D94"/>
    <w:multiLevelType w:val="hybridMultilevel"/>
    <w:tmpl w:val="3828E54A"/>
    <w:lvl w:ilvl="0" w:tplc="846216D4">
      <w:start w:val="1"/>
      <w:numFmt w:val="russianLower"/>
      <w:lvlText w:val="%1)"/>
      <w:lvlJc w:val="left"/>
      <w:pPr>
        <w:ind w:left="1440" w:hanging="360"/>
      </w:pPr>
      <w:rPr>
        <w:rFonts w:hint="default"/>
      </w:rPr>
    </w:lvl>
    <w:lvl w:ilvl="1" w:tplc="154AFAC4" w:tentative="1">
      <w:start w:val="1"/>
      <w:numFmt w:val="lowerLetter"/>
      <w:lvlText w:val="%2."/>
      <w:lvlJc w:val="left"/>
      <w:pPr>
        <w:ind w:left="2160" w:hanging="360"/>
      </w:pPr>
    </w:lvl>
    <w:lvl w:ilvl="2" w:tplc="F7FE87FA" w:tentative="1">
      <w:start w:val="1"/>
      <w:numFmt w:val="lowerRoman"/>
      <w:lvlText w:val="%3."/>
      <w:lvlJc w:val="right"/>
      <w:pPr>
        <w:ind w:left="2880" w:hanging="180"/>
      </w:pPr>
    </w:lvl>
    <w:lvl w:ilvl="3" w:tplc="237823CE" w:tentative="1">
      <w:start w:val="1"/>
      <w:numFmt w:val="decimal"/>
      <w:lvlText w:val="%4."/>
      <w:lvlJc w:val="left"/>
      <w:pPr>
        <w:ind w:left="3600" w:hanging="360"/>
      </w:pPr>
    </w:lvl>
    <w:lvl w:ilvl="4" w:tplc="F0E07FBE" w:tentative="1">
      <w:start w:val="1"/>
      <w:numFmt w:val="lowerLetter"/>
      <w:lvlText w:val="%5."/>
      <w:lvlJc w:val="left"/>
      <w:pPr>
        <w:ind w:left="4320" w:hanging="360"/>
      </w:pPr>
    </w:lvl>
    <w:lvl w:ilvl="5" w:tplc="2208F360" w:tentative="1">
      <w:start w:val="1"/>
      <w:numFmt w:val="lowerRoman"/>
      <w:lvlText w:val="%6."/>
      <w:lvlJc w:val="right"/>
      <w:pPr>
        <w:ind w:left="5040" w:hanging="180"/>
      </w:pPr>
    </w:lvl>
    <w:lvl w:ilvl="6" w:tplc="567ADDCC" w:tentative="1">
      <w:start w:val="1"/>
      <w:numFmt w:val="decimal"/>
      <w:lvlText w:val="%7."/>
      <w:lvlJc w:val="left"/>
      <w:pPr>
        <w:ind w:left="5760" w:hanging="360"/>
      </w:pPr>
    </w:lvl>
    <w:lvl w:ilvl="7" w:tplc="6E727FEC" w:tentative="1">
      <w:start w:val="1"/>
      <w:numFmt w:val="lowerLetter"/>
      <w:lvlText w:val="%8."/>
      <w:lvlJc w:val="left"/>
      <w:pPr>
        <w:ind w:left="6480" w:hanging="360"/>
      </w:pPr>
    </w:lvl>
    <w:lvl w:ilvl="8" w:tplc="E17A80B2" w:tentative="1">
      <w:start w:val="1"/>
      <w:numFmt w:val="lowerRoman"/>
      <w:lvlText w:val="%9."/>
      <w:lvlJc w:val="right"/>
      <w:pPr>
        <w:ind w:left="7200" w:hanging="180"/>
      </w:pPr>
    </w:lvl>
  </w:abstractNum>
  <w:abstractNum w:abstractNumId="108" w15:restartNumberingAfterBreak="0">
    <w:nsid w:val="4B8D226A"/>
    <w:multiLevelType w:val="hybridMultilevel"/>
    <w:tmpl w:val="341EEEDE"/>
    <w:lvl w:ilvl="0" w:tplc="7188E7CA">
      <w:start w:val="1"/>
      <w:numFmt w:val="bullet"/>
      <w:lvlText w:val=""/>
      <w:lvlJc w:val="left"/>
      <w:pPr>
        <w:ind w:left="720" w:hanging="360"/>
      </w:pPr>
      <w:rPr>
        <w:rFonts w:ascii="Symbol" w:hAnsi="Symbol" w:hint="default"/>
      </w:rPr>
    </w:lvl>
    <w:lvl w:ilvl="1" w:tplc="C3B46F86" w:tentative="1">
      <w:start w:val="1"/>
      <w:numFmt w:val="bullet"/>
      <w:lvlText w:val="o"/>
      <w:lvlJc w:val="left"/>
      <w:pPr>
        <w:ind w:left="1440" w:hanging="360"/>
      </w:pPr>
      <w:rPr>
        <w:rFonts w:ascii="Courier New" w:hAnsi="Courier New" w:cs="Courier New" w:hint="default"/>
      </w:rPr>
    </w:lvl>
    <w:lvl w:ilvl="2" w:tplc="E4AE8F60" w:tentative="1">
      <w:start w:val="1"/>
      <w:numFmt w:val="bullet"/>
      <w:lvlText w:val=""/>
      <w:lvlJc w:val="left"/>
      <w:pPr>
        <w:ind w:left="2160" w:hanging="360"/>
      </w:pPr>
      <w:rPr>
        <w:rFonts w:ascii="Wingdings" w:hAnsi="Wingdings" w:hint="default"/>
      </w:rPr>
    </w:lvl>
    <w:lvl w:ilvl="3" w:tplc="D9CADCF2" w:tentative="1">
      <w:start w:val="1"/>
      <w:numFmt w:val="bullet"/>
      <w:lvlText w:val=""/>
      <w:lvlJc w:val="left"/>
      <w:pPr>
        <w:ind w:left="2880" w:hanging="360"/>
      </w:pPr>
      <w:rPr>
        <w:rFonts w:ascii="Symbol" w:hAnsi="Symbol" w:hint="default"/>
      </w:rPr>
    </w:lvl>
    <w:lvl w:ilvl="4" w:tplc="DC228060" w:tentative="1">
      <w:start w:val="1"/>
      <w:numFmt w:val="bullet"/>
      <w:lvlText w:val="o"/>
      <w:lvlJc w:val="left"/>
      <w:pPr>
        <w:ind w:left="3600" w:hanging="360"/>
      </w:pPr>
      <w:rPr>
        <w:rFonts w:ascii="Courier New" w:hAnsi="Courier New" w:cs="Courier New" w:hint="default"/>
      </w:rPr>
    </w:lvl>
    <w:lvl w:ilvl="5" w:tplc="765638EC" w:tentative="1">
      <w:start w:val="1"/>
      <w:numFmt w:val="bullet"/>
      <w:lvlText w:val=""/>
      <w:lvlJc w:val="left"/>
      <w:pPr>
        <w:ind w:left="4320" w:hanging="360"/>
      </w:pPr>
      <w:rPr>
        <w:rFonts w:ascii="Wingdings" w:hAnsi="Wingdings" w:hint="default"/>
      </w:rPr>
    </w:lvl>
    <w:lvl w:ilvl="6" w:tplc="380EF552" w:tentative="1">
      <w:start w:val="1"/>
      <w:numFmt w:val="bullet"/>
      <w:lvlText w:val=""/>
      <w:lvlJc w:val="left"/>
      <w:pPr>
        <w:ind w:left="5040" w:hanging="360"/>
      </w:pPr>
      <w:rPr>
        <w:rFonts w:ascii="Symbol" w:hAnsi="Symbol" w:hint="default"/>
      </w:rPr>
    </w:lvl>
    <w:lvl w:ilvl="7" w:tplc="E438E734" w:tentative="1">
      <w:start w:val="1"/>
      <w:numFmt w:val="bullet"/>
      <w:lvlText w:val="o"/>
      <w:lvlJc w:val="left"/>
      <w:pPr>
        <w:ind w:left="5760" w:hanging="360"/>
      </w:pPr>
      <w:rPr>
        <w:rFonts w:ascii="Courier New" w:hAnsi="Courier New" w:cs="Courier New" w:hint="default"/>
      </w:rPr>
    </w:lvl>
    <w:lvl w:ilvl="8" w:tplc="66228EC4" w:tentative="1">
      <w:start w:val="1"/>
      <w:numFmt w:val="bullet"/>
      <w:lvlText w:val=""/>
      <w:lvlJc w:val="left"/>
      <w:pPr>
        <w:ind w:left="6480" w:hanging="360"/>
      </w:pPr>
      <w:rPr>
        <w:rFonts w:ascii="Wingdings" w:hAnsi="Wingdings" w:hint="default"/>
      </w:rPr>
    </w:lvl>
  </w:abstractNum>
  <w:abstractNum w:abstractNumId="109" w15:restartNumberingAfterBreak="0">
    <w:nsid w:val="4BC0368B"/>
    <w:multiLevelType w:val="hybridMultilevel"/>
    <w:tmpl w:val="8CEA6EB6"/>
    <w:lvl w:ilvl="0" w:tplc="B2923B04">
      <w:start w:val="1"/>
      <w:numFmt w:val="decimal"/>
      <w:lvlText w:val="%1)"/>
      <w:lvlJc w:val="left"/>
      <w:pPr>
        <w:ind w:left="1429" w:hanging="360"/>
      </w:pPr>
      <w:rPr>
        <w:rFonts w:ascii="Times New Roman" w:hAnsi="Times New Roman" w:hint="default"/>
        <w:sz w:val="20"/>
      </w:rPr>
    </w:lvl>
    <w:lvl w:ilvl="1" w:tplc="768A01A4" w:tentative="1">
      <w:start w:val="1"/>
      <w:numFmt w:val="lowerLetter"/>
      <w:lvlText w:val="%2."/>
      <w:lvlJc w:val="left"/>
      <w:pPr>
        <w:ind w:left="2149" w:hanging="360"/>
      </w:pPr>
    </w:lvl>
    <w:lvl w:ilvl="2" w:tplc="3FECA62A" w:tentative="1">
      <w:start w:val="1"/>
      <w:numFmt w:val="lowerRoman"/>
      <w:lvlText w:val="%3."/>
      <w:lvlJc w:val="right"/>
      <w:pPr>
        <w:ind w:left="2869" w:hanging="180"/>
      </w:pPr>
    </w:lvl>
    <w:lvl w:ilvl="3" w:tplc="2DE402EE" w:tentative="1">
      <w:start w:val="1"/>
      <w:numFmt w:val="decimal"/>
      <w:lvlText w:val="%4."/>
      <w:lvlJc w:val="left"/>
      <w:pPr>
        <w:ind w:left="3589" w:hanging="360"/>
      </w:pPr>
    </w:lvl>
    <w:lvl w:ilvl="4" w:tplc="DCE4B04E" w:tentative="1">
      <w:start w:val="1"/>
      <w:numFmt w:val="lowerLetter"/>
      <w:lvlText w:val="%5."/>
      <w:lvlJc w:val="left"/>
      <w:pPr>
        <w:ind w:left="4309" w:hanging="360"/>
      </w:pPr>
    </w:lvl>
    <w:lvl w:ilvl="5" w:tplc="5718A1B0" w:tentative="1">
      <w:start w:val="1"/>
      <w:numFmt w:val="lowerRoman"/>
      <w:lvlText w:val="%6."/>
      <w:lvlJc w:val="right"/>
      <w:pPr>
        <w:ind w:left="5029" w:hanging="180"/>
      </w:pPr>
    </w:lvl>
    <w:lvl w:ilvl="6" w:tplc="6C6CF85E" w:tentative="1">
      <w:start w:val="1"/>
      <w:numFmt w:val="decimal"/>
      <w:lvlText w:val="%7."/>
      <w:lvlJc w:val="left"/>
      <w:pPr>
        <w:ind w:left="5749" w:hanging="360"/>
      </w:pPr>
    </w:lvl>
    <w:lvl w:ilvl="7" w:tplc="EDC2EC2C" w:tentative="1">
      <w:start w:val="1"/>
      <w:numFmt w:val="lowerLetter"/>
      <w:lvlText w:val="%8."/>
      <w:lvlJc w:val="left"/>
      <w:pPr>
        <w:ind w:left="6469" w:hanging="360"/>
      </w:pPr>
    </w:lvl>
    <w:lvl w:ilvl="8" w:tplc="EA1CF40E" w:tentative="1">
      <w:start w:val="1"/>
      <w:numFmt w:val="lowerRoman"/>
      <w:lvlText w:val="%9."/>
      <w:lvlJc w:val="right"/>
      <w:pPr>
        <w:ind w:left="7189" w:hanging="180"/>
      </w:pPr>
    </w:lvl>
  </w:abstractNum>
  <w:abstractNum w:abstractNumId="110" w15:restartNumberingAfterBreak="0">
    <w:nsid w:val="4C4C3EE3"/>
    <w:multiLevelType w:val="multilevel"/>
    <w:tmpl w:val="E7F2D9F6"/>
    <w:numStyleLink w:val="-"/>
  </w:abstractNum>
  <w:abstractNum w:abstractNumId="111" w15:restartNumberingAfterBreak="0">
    <w:nsid w:val="4C5E7160"/>
    <w:multiLevelType w:val="multilevel"/>
    <w:tmpl w:val="E8E06E6E"/>
    <w:lvl w:ilvl="0">
      <w:start w:val="1"/>
      <w:numFmt w:val="decimal"/>
      <w:lvlText w:val="%1."/>
      <w:lvlJc w:val="center"/>
      <w:pPr>
        <w:tabs>
          <w:tab w:val="num" w:pos="567"/>
        </w:tabs>
        <w:ind w:left="567" w:hanging="279"/>
      </w:pPr>
      <w:rPr>
        <w:rFonts w:hint="default"/>
      </w:rPr>
    </w:lvl>
    <w:lvl w:ilvl="1">
      <w:start w:val="1"/>
      <w:numFmt w:val="decimal"/>
      <w:pStyle w:val="a2"/>
      <w:lvlText w:val="%1.%2."/>
      <w:lvlJc w:val="left"/>
      <w:pPr>
        <w:tabs>
          <w:tab w:val="num" w:pos="567"/>
        </w:tabs>
        <w:ind w:left="567" w:hanging="567"/>
      </w:pPr>
      <w:rPr>
        <w:rFonts w:hint="default"/>
      </w:rPr>
    </w:lvl>
    <w:lvl w:ilvl="2">
      <w:start w:val="1"/>
      <w:numFmt w:val="decimal"/>
      <w:pStyle w:val="a2"/>
      <w:lvlText w:val="%1.%2.%3"/>
      <w:lvlJc w:val="left"/>
      <w:pPr>
        <w:tabs>
          <w:tab w:val="num" w:pos="851"/>
        </w:tabs>
        <w:ind w:left="851" w:hanging="851"/>
      </w:pPr>
      <w:rPr>
        <w:rFonts w:hint="default"/>
      </w:rPr>
    </w:lvl>
    <w:lvl w:ilvl="3">
      <w:start w:val="1"/>
      <w:numFmt w:val="decimal"/>
      <w:pStyle w:val="a3"/>
      <w:lvlText w:val="%1.%2.%3.%4."/>
      <w:lvlJc w:val="left"/>
      <w:pPr>
        <w:tabs>
          <w:tab w:val="num" w:pos="1844"/>
        </w:tabs>
        <w:ind w:left="1844" w:hanging="567"/>
      </w:pPr>
      <w:rPr>
        <w:rFonts w:hint="default"/>
      </w:rPr>
    </w:lvl>
    <w:lvl w:ilvl="4">
      <w:start w:val="1"/>
      <w:numFmt w:val="lowerLetter"/>
      <w:lvlText w:val="%5)"/>
      <w:lvlJc w:val="left"/>
      <w:pPr>
        <w:tabs>
          <w:tab w:val="num" w:pos="3560"/>
        </w:tabs>
        <w:ind w:left="3560"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12" w15:restartNumberingAfterBreak="0">
    <w:nsid w:val="4CBF7C9E"/>
    <w:multiLevelType w:val="hybridMultilevel"/>
    <w:tmpl w:val="22A6C662"/>
    <w:lvl w:ilvl="0" w:tplc="5CA47DDA">
      <w:start w:val="1"/>
      <w:numFmt w:val="bullet"/>
      <w:lvlText w:val=""/>
      <w:lvlJc w:val="left"/>
      <w:pPr>
        <w:ind w:left="1429" w:hanging="360"/>
      </w:pPr>
      <w:rPr>
        <w:rFonts w:ascii="Symbol" w:hAnsi="Symbol" w:hint="default"/>
      </w:rPr>
    </w:lvl>
    <w:lvl w:ilvl="1" w:tplc="BBD20BCE" w:tentative="1">
      <w:start w:val="1"/>
      <w:numFmt w:val="bullet"/>
      <w:lvlText w:val="o"/>
      <w:lvlJc w:val="left"/>
      <w:pPr>
        <w:ind w:left="2149" w:hanging="360"/>
      </w:pPr>
      <w:rPr>
        <w:rFonts w:ascii="Courier New" w:hAnsi="Courier New" w:cs="Courier New" w:hint="default"/>
      </w:rPr>
    </w:lvl>
    <w:lvl w:ilvl="2" w:tplc="5C22D6FC" w:tentative="1">
      <w:start w:val="1"/>
      <w:numFmt w:val="bullet"/>
      <w:lvlText w:val=""/>
      <w:lvlJc w:val="left"/>
      <w:pPr>
        <w:ind w:left="2869" w:hanging="360"/>
      </w:pPr>
      <w:rPr>
        <w:rFonts w:ascii="Wingdings" w:hAnsi="Wingdings" w:hint="default"/>
      </w:rPr>
    </w:lvl>
    <w:lvl w:ilvl="3" w:tplc="0812D7D4" w:tentative="1">
      <w:start w:val="1"/>
      <w:numFmt w:val="bullet"/>
      <w:lvlText w:val=""/>
      <w:lvlJc w:val="left"/>
      <w:pPr>
        <w:ind w:left="3589" w:hanging="360"/>
      </w:pPr>
      <w:rPr>
        <w:rFonts w:ascii="Symbol" w:hAnsi="Symbol" w:hint="default"/>
      </w:rPr>
    </w:lvl>
    <w:lvl w:ilvl="4" w:tplc="A0A2DCB6" w:tentative="1">
      <w:start w:val="1"/>
      <w:numFmt w:val="bullet"/>
      <w:lvlText w:val="o"/>
      <w:lvlJc w:val="left"/>
      <w:pPr>
        <w:ind w:left="4309" w:hanging="360"/>
      </w:pPr>
      <w:rPr>
        <w:rFonts w:ascii="Courier New" w:hAnsi="Courier New" w:cs="Courier New" w:hint="default"/>
      </w:rPr>
    </w:lvl>
    <w:lvl w:ilvl="5" w:tplc="C0F27504" w:tentative="1">
      <w:start w:val="1"/>
      <w:numFmt w:val="bullet"/>
      <w:lvlText w:val=""/>
      <w:lvlJc w:val="left"/>
      <w:pPr>
        <w:ind w:left="5029" w:hanging="360"/>
      </w:pPr>
      <w:rPr>
        <w:rFonts w:ascii="Wingdings" w:hAnsi="Wingdings" w:hint="default"/>
      </w:rPr>
    </w:lvl>
    <w:lvl w:ilvl="6" w:tplc="8C924364" w:tentative="1">
      <w:start w:val="1"/>
      <w:numFmt w:val="bullet"/>
      <w:lvlText w:val=""/>
      <w:lvlJc w:val="left"/>
      <w:pPr>
        <w:ind w:left="5749" w:hanging="360"/>
      </w:pPr>
      <w:rPr>
        <w:rFonts w:ascii="Symbol" w:hAnsi="Symbol" w:hint="default"/>
      </w:rPr>
    </w:lvl>
    <w:lvl w:ilvl="7" w:tplc="C99A9B66" w:tentative="1">
      <w:start w:val="1"/>
      <w:numFmt w:val="bullet"/>
      <w:lvlText w:val="o"/>
      <w:lvlJc w:val="left"/>
      <w:pPr>
        <w:ind w:left="6469" w:hanging="360"/>
      </w:pPr>
      <w:rPr>
        <w:rFonts w:ascii="Courier New" w:hAnsi="Courier New" w:cs="Courier New" w:hint="default"/>
      </w:rPr>
    </w:lvl>
    <w:lvl w:ilvl="8" w:tplc="3CFC0FDE" w:tentative="1">
      <w:start w:val="1"/>
      <w:numFmt w:val="bullet"/>
      <w:lvlText w:val=""/>
      <w:lvlJc w:val="left"/>
      <w:pPr>
        <w:ind w:left="7189" w:hanging="360"/>
      </w:pPr>
      <w:rPr>
        <w:rFonts w:ascii="Wingdings" w:hAnsi="Wingdings" w:hint="default"/>
      </w:rPr>
    </w:lvl>
  </w:abstractNum>
  <w:abstractNum w:abstractNumId="113" w15:restartNumberingAfterBreak="0">
    <w:nsid w:val="4E0727EA"/>
    <w:multiLevelType w:val="hybridMultilevel"/>
    <w:tmpl w:val="EE70C02A"/>
    <w:lvl w:ilvl="0" w:tplc="211A39D4">
      <w:start w:val="1"/>
      <w:numFmt w:val="bullet"/>
      <w:lvlText w:val=""/>
      <w:lvlJc w:val="left"/>
      <w:pPr>
        <w:ind w:left="720" w:hanging="360"/>
      </w:pPr>
      <w:rPr>
        <w:rFonts w:ascii="Symbol" w:hAnsi="Symbol" w:hint="default"/>
        <w:sz w:val="16"/>
      </w:rPr>
    </w:lvl>
    <w:lvl w:ilvl="1" w:tplc="C9822D5C">
      <w:start w:val="1"/>
      <w:numFmt w:val="lowerLetter"/>
      <w:lvlText w:val="%2."/>
      <w:lvlJc w:val="left"/>
      <w:pPr>
        <w:ind w:left="1440" w:hanging="360"/>
      </w:pPr>
    </w:lvl>
    <w:lvl w:ilvl="2" w:tplc="717C1480">
      <w:start w:val="1"/>
      <w:numFmt w:val="lowerRoman"/>
      <w:lvlText w:val="%3."/>
      <w:lvlJc w:val="right"/>
      <w:pPr>
        <w:ind w:left="2160" w:hanging="180"/>
      </w:pPr>
    </w:lvl>
    <w:lvl w:ilvl="3" w:tplc="C18A7362">
      <w:start w:val="1"/>
      <w:numFmt w:val="decimal"/>
      <w:lvlText w:val="%4."/>
      <w:lvlJc w:val="left"/>
      <w:pPr>
        <w:ind w:left="2880" w:hanging="360"/>
      </w:pPr>
    </w:lvl>
    <w:lvl w:ilvl="4" w:tplc="FCB4453E">
      <w:start w:val="1"/>
      <w:numFmt w:val="lowerLetter"/>
      <w:lvlText w:val="%5."/>
      <w:lvlJc w:val="left"/>
      <w:pPr>
        <w:ind w:left="3600" w:hanging="360"/>
      </w:pPr>
    </w:lvl>
    <w:lvl w:ilvl="5" w:tplc="B3EAB514">
      <w:start w:val="1"/>
      <w:numFmt w:val="lowerRoman"/>
      <w:lvlText w:val="%6."/>
      <w:lvlJc w:val="right"/>
      <w:pPr>
        <w:ind w:left="4320" w:hanging="180"/>
      </w:pPr>
    </w:lvl>
    <w:lvl w:ilvl="6" w:tplc="752EC376">
      <w:start w:val="1"/>
      <w:numFmt w:val="decimal"/>
      <w:lvlText w:val="%7."/>
      <w:lvlJc w:val="left"/>
      <w:pPr>
        <w:ind w:left="5040" w:hanging="360"/>
      </w:pPr>
    </w:lvl>
    <w:lvl w:ilvl="7" w:tplc="FE5004B8">
      <w:start w:val="1"/>
      <w:numFmt w:val="lowerLetter"/>
      <w:lvlText w:val="%8."/>
      <w:lvlJc w:val="left"/>
      <w:pPr>
        <w:ind w:left="5760" w:hanging="360"/>
      </w:pPr>
    </w:lvl>
    <w:lvl w:ilvl="8" w:tplc="68C4ADAE">
      <w:start w:val="1"/>
      <w:numFmt w:val="lowerRoman"/>
      <w:lvlText w:val="%9."/>
      <w:lvlJc w:val="right"/>
      <w:pPr>
        <w:ind w:left="6480" w:hanging="180"/>
      </w:pPr>
    </w:lvl>
  </w:abstractNum>
  <w:abstractNum w:abstractNumId="114" w15:restartNumberingAfterBreak="0">
    <w:nsid w:val="4E915CEE"/>
    <w:multiLevelType w:val="hybridMultilevel"/>
    <w:tmpl w:val="9FB0A4B0"/>
    <w:lvl w:ilvl="0" w:tplc="DE0AA398">
      <w:start w:val="1"/>
      <w:numFmt w:val="bullet"/>
      <w:lvlText w:val="-"/>
      <w:lvlJc w:val="left"/>
      <w:pPr>
        <w:ind w:left="1429" w:hanging="360"/>
      </w:pPr>
      <w:rPr>
        <w:rFonts w:ascii="Times New Roman" w:eastAsia="Times New Roman" w:hAnsi="Times New Roman" w:cs="Times New Roman" w:hint="default"/>
      </w:rPr>
    </w:lvl>
    <w:lvl w:ilvl="1" w:tplc="8ED4E732" w:tentative="1">
      <w:start w:val="1"/>
      <w:numFmt w:val="bullet"/>
      <w:lvlText w:val="o"/>
      <w:lvlJc w:val="left"/>
      <w:pPr>
        <w:ind w:left="2149" w:hanging="360"/>
      </w:pPr>
      <w:rPr>
        <w:rFonts w:ascii="Courier New" w:hAnsi="Courier New" w:cs="Courier New" w:hint="default"/>
      </w:rPr>
    </w:lvl>
    <w:lvl w:ilvl="2" w:tplc="271A8CCC" w:tentative="1">
      <w:start w:val="1"/>
      <w:numFmt w:val="bullet"/>
      <w:lvlText w:val=""/>
      <w:lvlJc w:val="left"/>
      <w:pPr>
        <w:ind w:left="2869" w:hanging="360"/>
      </w:pPr>
      <w:rPr>
        <w:rFonts w:ascii="Wingdings" w:hAnsi="Wingdings" w:hint="default"/>
      </w:rPr>
    </w:lvl>
    <w:lvl w:ilvl="3" w:tplc="D63EA53A" w:tentative="1">
      <w:start w:val="1"/>
      <w:numFmt w:val="bullet"/>
      <w:lvlText w:val=""/>
      <w:lvlJc w:val="left"/>
      <w:pPr>
        <w:ind w:left="3589" w:hanging="360"/>
      </w:pPr>
      <w:rPr>
        <w:rFonts w:ascii="Symbol" w:hAnsi="Symbol" w:hint="default"/>
      </w:rPr>
    </w:lvl>
    <w:lvl w:ilvl="4" w:tplc="0A7A58CE" w:tentative="1">
      <w:start w:val="1"/>
      <w:numFmt w:val="bullet"/>
      <w:lvlText w:val="o"/>
      <w:lvlJc w:val="left"/>
      <w:pPr>
        <w:ind w:left="4309" w:hanging="360"/>
      </w:pPr>
      <w:rPr>
        <w:rFonts w:ascii="Courier New" w:hAnsi="Courier New" w:cs="Courier New" w:hint="default"/>
      </w:rPr>
    </w:lvl>
    <w:lvl w:ilvl="5" w:tplc="52CCB184" w:tentative="1">
      <w:start w:val="1"/>
      <w:numFmt w:val="bullet"/>
      <w:lvlText w:val=""/>
      <w:lvlJc w:val="left"/>
      <w:pPr>
        <w:ind w:left="5029" w:hanging="360"/>
      </w:pPr>
      <w:rPr>
        <w:rFonts w:ascii="Wingdings" w:hAnsi="Wingdings" w:hint="default"/>
      </w:rPr>
    </w:lvl>
    <w:lvl w:ilvl="6" w:tplc="9C40E0C2" w:tentative="1">
      <w:start w:val="1"/>
      <w:numFmt w:val="bullet"/>
      <w:lvlText w:val=""/>
      <w:lvlJc w:val="left"/>
      <w:pPr>
        <w:ind w:left="5749" w:hanging="360"/>
      </w:pPr>
      <w:rPr>
        <w:rFonts w:ascii="Symbol" w:hAnsi="Symbol" w:hint="default"/>
      </w:rPr>
    </w:lvl>
    <w:lvl w:ilvl="7" w:tplc="3028D790" w:tentative="1">
      <w:start w:val="1"/>
      <w:numFmt w:val="bullet"/>
      <w:lvlText w:val="o"/>
      <w:lvlJc w:val="left"/>
      <w:pPr>
        <w:ind w:left="6469" w:hanging="360"/>
      </w:pPr>
      <w:rPr>
        <w:rFonts w:ascii="Courier New" w:hAnsi="Courier New" w:cs="Courier New" w:hint="default"/>
      </w:rPr>
    </w:lvl>
    <w:lvl w:ilvl="8" w:tplc="358E0EFA" w:tentative="1">
      <w:start w:val="1"/>
      <w:numFmt w:val="bullet"/>
      <w:lvlText w:val=""/>
      <w:lvlJc w:val="left"/>
      <w:pPr>
        <w:ind w:left="7189" w:hanging="360"/>
      </w:pPr>
      <w:rPr>
        <w:rFonts w:ascii="Wingdings" w:hAnsi="Wingdings" w:hint="default"/>
      </w:rPr>
    </w:lvl>
  </w:abstractNum>
  <w:abstractNum w:abstractNumId="115" w15:restartNumberingAfterBreak="0">
    <w:nsid w:val="4F5F4649"/>
    <w:multiLevelType w:val="hybridMultilevel"/>
    <w:tmpl w:val="C20C0010"/>
    <w:lvl w:ilvl="0" w:tplc="4ACAB006">
      <w:start w:val="1"/>
      <w:numFmt w:val="decimal"/>
      <w:lvlText w:val="3.%1."/>
      <w:lvlJc w:val="left"/>
      <w:pPr>
        <w:ind w:left="1287" w:hanging="360"/>
      </w:pPr>
      <w:rPr>
        <w:rFonts w:hint="default"/>
      </w:rPr>
    </w:lvl>
    <w:lvl w:ilvl="1" w:tplc="77708B3E" w:tentative="1">
      <w:start w:val="1"/>
      <w:numFmt w:val="lowerLetter"/>
      <w:lvlText w:val="%2."/>
      <w:lvlJc w:val="left"/>
      <w:pPr>
        <w:ind w:left="2007" w:hanging="360"/>
      </w:pPr>
    </w:lvl>
    <w:lvl w:ilvl="2" w:tplc="31C6FC52" w:tentative="1">
      <w:start w:val="1"/>
      <w:numFmt w:val="lowerRoman"/>
      <w:lvlText w:val="%3."/>
      <w:lvlJc w:val="right"/>
      <w:pPr>
        <w:ind w:left="2727" w:hanging="180"/>
      </w:pPr>
    </w:lvl>
    <w:lvl w:ilvl="3" w:tplc="5F246878" w:tentative="1">
      <w:start w:val="1"/>
      <w:numFmt w:val="decimal"/>
      <w:lvlText w:val="%4."/>
      <w:lvlJc w:val="left"/>
      <w:pPr>
        <w:ind w:left="3447" w:hanging="360"/>
      </w:pPr>
    </w:lvl>
    <w:lvl w:ilvl="4" w:tplc="3BC2E876" w:tentative="1">
      <w:start w:val="1"/>
      <w:numFmt w:val="lowerLetter"/>
      <w:lvlText w:val="%5."/>
      <w:lvlJc w:val="left"/>
      <w:pPr>
        <w:ind w:left="4167" w:hanging="360"/>
      </w:pPr>
    </w:lvl>
    <w:lvl w:ilvl="5" w:tplc="8306F658" w:tentative="1">
      <w:start w:val="1"/>
      <w:numFmt w:val="lowerRoman"/>
      <w:lvlText w:val="%6."/>
      <w:lvlJc w:val="right"/>
      <w:pPr>
        <w:ind w:left="4887" w:hanging="180"/>
      </w:pPr>
    </w:lvl>
    <w:lvl w:ilvl="6" w:tplc="41F230E6" w:tentative="1">
      <w:start w:val="1"/>
      <w:numFmt w:val="decimal"/>
      <w:lvlText w:val="%7."/>
      <w:lvlJc w:val="left"/>
      <w:pPr>
        <w:ind w:left="5607" w:hanging="360"/>
      </w:pPr>
    </w:lvl>
    <w:lvl w:ilvl="7" w:tplc="6434929E" w:tentative="1">
      <w:start w:val="1"/>
      <w:numFmt w:val="lowerLetter"/>
      <w:lvlText w:val="%8."/>
      <w:lvlJc w:val="left"/>
      <w:pPr>
        <w:ind w:left="6327" w:hanging="360"/>
      </w:pPr>
    </w:lvl>
    <w:lvl w:ilvl="8" w:tplc="42F2B096" w:tentative="1">
      <w:start w:val="1"/>
      <w:numFmt w:val="lowerRoman"/>
      <w:lvlText w:val="%9."/>
      <w:lvlJc w:val="right"/>
      <w:pPr>
        <w:ind w:left="7047" w:hanging="180"/>
      </w:pPr>
    </w:lvl>
  </w:abstractNum>
  <w:abstractNum w:abstractNumId="116" w15:restartNumberingAfterBreak="0">
    <w:nsid w:val="4F721C31"/>
    <w:multiLevelType w:val="hybridMultilevel"/>
    <w:tmpl w:val="8E76BF68"/>
    <w:lvl w:ilvl="0" w:tplc="49BE6534">
      <w:start w:val="1"/>
      <w:numFmt w:val="decimal"/>
      <w:lvlText w:val="%1)"/>
      <w:lvlJc w:val="left"/>
      <w:pPr>
        <w:ind w:left="720" w:hanging="360"/>
      </w:pPr>
    </w:lvl>
    <w:lvl w:ilvl="1" w:tplc="D196F99C" w:tentative="1">
      <w:start w:val="1"/>
      <w:numFmt w:val="lowerLetter"/>
      <w:lvlText w:val="%2."/>
      <w:lvlJc w:val="left"/>
      <w:pPr>
        <w:ind w:left="1440" w:hanging="360"/>
      </w:pPr>
    </w:lvl>
    <w:lvl w:ilvl="2" w:tplc="6B1EB626" w:tentative="1">
      <w:start w:val="1"/>
      <w:numFmt w:val="lowerRoman"/>
      <w:lvlText w:val="%3."/>
      <w:lvlJc w:val="right"/>
      <w:pPr>
        <w:ind w:left="2160" w:hanging="180"/>
      </w:pPr>
    </w:lvl>
    <w:lvl w:ilvl="3" w:tplc="5FE0850A" w:tentative="1">
      <w:start w:val="1"/>
      <w:numFmt w:val="decimal"/>
      <w:lvlText w:val="%4."/>
      <w:lvlJc w:val="left"/>
      <w:pPr>
        <w:ind w:left="2880" w:hanging="360"/>
      </w:pPr>
    </w:lvl>
    <w:lvl w:ilvl="4" w:tplc="4896F12E" w:tentative="1">
      <w:start w:val="1"/>
      <w:numFmt w:val="lowerLetter"/>
      <w:lvlText w:val="%5."/>
      <w:lvlJc w:val="left"/>
      <w:pPr>
        <w:ind w:left="3600" w:hanging="360"/>
      </w:pPr>
    </w:lvl>
    <w:lvl w:ilvl="5" w:tplc="1C70406C" w:tentative="1">
      <w:start w:val="1"/>
      <w:numFmt w:val="lowerRoman"/>
      <w:lvlText w:val="%6."/>
      <w:lvlJc w:val="right"/>
      <w:pPr>
        <w:ind w:left="4320" w:hanging="180"/>
      </w:pPr>
    </w:lvl>
    <w:lvl w:ilvl="6" w:tplc="F93AF158" w:tentative="1">
      <w:start w:val="1"/>
      <w:numFmt w:val="decimal"/>
      <w:lvlText w:val="%7."/>
      <w:lvlJc w:val="left"/>
      <w:pPr>
        <w:ind w:left="5040" w:hanging="360"/>
      </w:pPr>
    </w:lvl>
    <w:lvl w:ilvl="7" w:tplc="7138EA3E" w:tentative="1">
      <w:start w:val="1"/>
      <w:numFmt w:val="lowerLetter"/>
      <w:lvlText w:val="%8."/>
      <w:lvlJc w:val="left"/>
      <w:pPr>
        <w:ind w:left="5760" w:hanging="360"/>
      </w:pPr>
    </w:lvl>
    <w:lvl w:ilvl="8" w:tplc="DFC2BF3E" w:tentative="1">
      <w:start w:val="1"/>
      <w:numFmt w:val="lowerRoman"/>
      <w:lvlText w:val="%9."/>
      <w:lvlJc w:val="right"/>
      <w:pPr>
        <w:ind w:left="6480" w:hanging="180"/>
      </w:pPr>
    </w:lvl>
  </w:abstractNum>
  <w:abstractNum w:abstractNumId="117" w15:restartNumberingAfterBreak="0">
    <w:nsid w:val="50D30019"/>
    <w:multiLevelType w:val="hybridMultilevel"/>
    <w:tmpl w:val="B71C31FA"/>
    <w:lvl w:ilvl="0" w:tplc="82FEB496">
      <w:start w:val="1"/>
      <w:numFmt w:val="bullet"/>
      <w:lvlText w:val="‒"/>
      <w:lvlJc w:val="left"/>
      <w:pPr>
        <w:ind w:left="1463" w:hanging="360"/>
      </w:pPr>
      <w:rPr>
        <w:rFonts w:ascii="Arial" w:hAnsi="Arial" w:hint="default"/>
      </w:rPr>
    </w:lvl>
    <w:lvl w:ilvl="1" w:tplc="8DAA30CA">
      <w:start w:val="1"/>
      <w:numFmt w:val="bullet"/>
      <w:lvlText w:val="‒"/>
      <w:lvlJc w:val="left"/>
      <w:pPr>
        <w:ind w:left="2183" w:hanging="360"/>
      </w:pPr>
      <w:rPr>
        <w:rFonts w:ascii="Arial" w:hAnsi="Arial" w:hint="default"/>
      </w:rPr>
    </w:lvl>
    <w:lvl w:ilvl="2" w:tplc="FE4C5898" w:tentative="1">
      <w:start w:val="1"/>
      <w:numFmt w:val="bullet"/>
      <w:lvlText w:val=""/>
      <w:lvlJc w:val="left"/>
      <w:pPr>
        <w:ind w:left="2903" w:hanging="360"/>
      </w:pPr>
      <w:rPr>
        <w:rFonts w:ascii="Wingdings" w:hAnsi="Wingdings" w:hint="default"/>
      </w:rPr>
    </w:lvl>
    <w:lvl w:ilvl="3" w:tplc="17989CB2" w:tentative="1">
      <w:start w:val="1"/>
      <w:numFmt w:val="bullet"/>
      <w:lvlText w:val=""/>
      <w:lvlJc w:val="left"/>
      <w:pPr>
        <w:ind w:left="3623" w:hanging="360"/>
      </w:pPr>
      <w:rPr>
        <w:rFonts w:ascii="Symbol" w:hAnsi="Symbol" w:hint="default"/>
      </w:rPr>
    </w:lvl>
    <w:lvl w:ilvl="4" w:tplc="BF560162" w:tentative="1">
      <w:start w:val="1"/>
      <w:numFmt w:val="bullet"/>
      <w:lvlText w:val="o"/>
      <w:lvlJc w:val="left"/>
      <w:pPr>
        <w:ind w:left="4343" w:hanging="360"/>
      </w:pPr>
      <w:rPr>
        <w:rFonts w:ascii="Courier New" w:hAnsi="Courier New" w:cs="Courier New" w:hint="default"/>
      </w:rPr>
    </w:lvl>
    <w:lvl w:ilvl="5" w:tplc="5E1A8660" w:tentative="1">
      <w:start w:val="1"/>
      <w:numFmt w:val="bullet"/>
      <w:lvlText w:val=""/>
      <w:lvlJc w:val="left"/>
      <w:pPr>
        <w:ind w:left="5063" w:hanging="360"/>
      </w:pPr>
      <w:rPr>
        <w:rFonts w:ascii="Wingdings" w:hAnsi="Wingdings" w:hint="default"/>
      </w:rPr>
    </w:lvl>
    <w:lvl w:ilvl="6" w:tplc="939A2736" w:tentative="1">
      <w:start w:val="1"/>
      <w:numFmt w:val="bullet"/>
      <w:lvlText w:val=""/>
      <w:lvlJc w:val="left"/>
      <w:pPr>
        <w:ind w:left="5783" w:hanging="360"/>
      </w:pPr>
      <w:rPr>
        <w:rFonts w:ascii="Symbol" w:hAnsi="Symbol" w:hint="default"/>
      </w:rPr>
    </w:lvl>
    <w:lvl w:ilvl="7" w:tplc="9BA4672A" w:tentative="1">
      <w:start w:val="1"/>
      <w:numFmt w:val="bullet"/>
      <w:lvlText w:val="o"/>
      <w:lvlJc w:val="left"/>
      <w:pPr>
        <w:ind w:left="6503" w:hanging="360"/>
      </w:pPr>
      <w:rPr>
        <w:rFonts w:ascii="Courier New" w:hAnsi="Courier New" w:cs="Courier New" w:hint="default"/>
      </w:rPr>
    </w:lvl>
    <w:lvl w:ilvl="8" w:tplc="1E16A32E" w:tentative="1">
      <w:start w:val="1"/>
      <w:numFmt w:val="bullet"/>
      <w:lvlText w:val=""/>
      <w:lvlJc w:val="left"/>
      <w:pPr>
        <w:ind w:left="7223" w:hanging="360"/>
      </w:pPr>
      <w:rPr>
        <w:rFonts w:ascii="Wingdings" w:hAnsi="Wingdings" w:hint="default"/>
      </w:rPr>
    </w:lvl>
  </w:abstractNum>
  <w:abstractNum w:abstractNumId="118" w15:restartNumberingAfterBreak="0">
    <w:nsid w:val="53965F35"/>
    <w:multiLevelType w:val="hybridMultilevel"/>
    <w:tmpl w:val="7F4E5C4C"/>
    <w:lvl w:ilvl="0" w:tplc="4D82EC86">
      <w:start w:val="1"/>
      <w:numFmt w:val="bullet"/>
      <w:lvlText w:val=""/>
      <w:lvlJc w:val="left"/>
      <w:pPr>
        <w:ind w:left="720" w:hanging="360"/>
      </w:pPr>
      <w:rPr>
        <w:rFonts w:ascii="Symbol" w:hAnsi="Symbol" w:hint="default"/>
      </w:rPr>
    </w:lvl>
    <w:lvl w:ilvl="1" w:tplc="895053B2" w:tentative="1">
      <w:start w:val="1"/>
      <w:numFmt w:val="bullet"/>
      <w:lvlText w:val="o"/>
      <w:lvlJc w:val="left"/>
      <w:pPr>
        <w:ind w:left="1440" w:hanging="360"/>
      </w:pPr>
      <w:rPr>
        <w:rFonts w:ascii="Courier New" w:hAnsi="Courier New" w:cs="Courier New" w:hint="default"/>
      </w:rPr>
    </w:lvl>
    <w:lvl w:ilvl="2" w:tplc="39AA79E4" w:tentative="1">
      <w:start w:val="1"/>
      <w:numFmt w:val="bullet"/>
      <w:lvlText w:val=""/>
      <w:lvlJc w:val="left"/>
      <w:pPr>
        <w:ind w:left="2160" w:hanging="360"/>
      </w:pPr>
      <w:rPr>
        <w:rFonts w:ascii="Wingdings" w:hAnsi="Wingdings" w:hint="default"/>
      </w:rPr>
    </w:lvl>
    <w:lvl w:ilvl="3" w:tplc="B1048A98" w:tentative="1">
      <w:start w:val="1"/>
      <w:numFmt w:val="bullet"/>
      <w:lvlText w:val=""/>
      <w:lvlJc w:val="left"/>
      <w:pPr>
        <w:ind w:left="2880" w:hanging="360"/>
      </w:pPr>
      <w:rPr>
        <w:rFonts w:ascii="Symbol" w:hAnsi="Symbol" w:hint="default"/>
      </w:rPr>
    </w:lvl>
    <w:lvl w:ilvl="4" w:tplc="4FE20A6E" w:tentative="1">
      <w:start w:val="1"/>
      <w:numFmt w:val="bullet"/>
      <w:lvlText w:val="o"/>
      <w:lvlJc w:val="left"/>
      <w:pPr>
        <w:ind w:left="3600" w:hanging="360"/>
      </w:pPr>
      <w:rPr>
        <w:rFonts w:ascii="Courier New" w:hAnsi="Courier New" w:cs="Courier New" w:hint="default"/>
      </w:rPr>
    </w:lvl>
    <w:lvl w:ilvl="5" w:tplc="9C10BF14" w:tentative="1">
      <w:start w:val="1"/>
      <w:numFmt w:val="bullet"/>
      <w:lvlText w:val=""/>
      <w:lvlJc w:val="left"/>
      <w:pPr>
        <w:ind w:left="4320" w:hanging="360"/>
      </w:pPr>
      <w:rPr>
        <w:rFonts w:ascii="Wingdings" w:hAnsi="Wingdings" w:hint="default"/>
      </w:rPr>
    </w:lvl>
    <w:lvl w:ilvl="6" w:tplc="0E124080" w:tentative="1">
      <w:start w:val="1"/>
      <w:numFmt w:val="bullet"/>
      <w:lvlText w:val=""/>
      <w:lvlJc w:val="left"/>
      <w:pPr>
        <w:ind w:left="5040" w:hanging="360"/>
      </w:pPr>
      <w:rPr>
        <w:rFonts w:ascii="Symbol" w:hAnsi="Symbol" w:hint="default"/>
      </w:rPr>
    </w:lvl>
    <w:lvl w:ilvl="7" w:tplc="C41E36BC" w:tentative="1">
      <w:start w:val="1"/>
      <w:numFmt w:val="bullet"/>
      <w:lvlText w:val="o"/>
      <w:lvlJc w:val="left"/>
      <w:pPr>
        <w:ind w:left="5760" w:hanging="360"/>
      </w:pPr>
      <w:rPr>
        <w:rFonts w:ascii="Courier New" w:hAnsi="Courier New" w:cs="Courier New" w:hint="default"/>
      </w:rPr>
    </w:lvl>
    <w:lvl w:ilvl="8" w:tplc="52CA9A54" w:tentative="1">
      <w:start w:val="1"/>
      <w:numFmt w:val="bullet"/>
      <w:lvlText w:val=""/>
      <w:lvlJc w:val="left"/>
      <w:pPr>
        <w:ind w:left="6480" w:hanging="360"/>
      </w:pPr>
      <w:rPr>
        <w:rFonts w:ascii="Wingdings" w:hAnsi="Wingdings" w:hint="default"/>
      </w:rPr>
    </w:lvl>
  </w:abstractNum>
  <w:abstractNum w:abstractNumId="119" w15:restartNumberingAfterBreak="0">
    <w:nsid w:val="54563A52"/>
    <w:multiLevelType w:val="multilevel"/>
    <w:tmpl w:val="E4D444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Calibri" w:hAnsi="Calibri" w:hint="default"/>
      </w:rPr>
    </w:lvl>
    <w:lvl w:ilvl="2">
      <w:start w:val="1"/>
      <w:numFmt w:val="decimal"/>
      <w:isLgl/>
      <w:lvlText w:val="%1.%2.%3."/>
      <w:lvlJc w:val="left"/>
      <w:pPr>
        <w:ind w:left="1080" w:hanging="720"/>
      </w:pPr>
      <w:rPr>
        <w:rFonts w:ascii="Calibri" w:hAnsi="Calibri" w:hint="default"/>
      </w:rPr>
    </w:lvl>
    <w:lvl w:ilvl="3">
      <w:start w:val="1"/>
      <w:numFmt w:val="decimal"/>
      <w:isLgl/>
      <w:lvlText w:val="%1.%2.%3.%4."/>
      <w:lvlJc w:val="left"/>
      <w:pPr>
        <w:ind w:left="1080" w:hanging="720"/>
      </w:pPr>
      <w:rPr>
        <w:rFonts w:ascii="Calibri" w:hAnsi="Calibri" w:hint="default"/>
      </w:rPr>
    </w:lvl>
    <w:lvl w:ilvl="4">
      <w:start w:val="1"/>
      <w:numFmt w:val="decimal"/>
      <w:isLgl/>
      <w:lvlText w:val="%1.%2.%3.%4.%5."/>
      <w:lvlJc w:val="left"/>
      <w:pPr>
        <w:ind w:left="1440" w:hanging="1080"/>
      </w:pPr>
      <w:rPr>
        <w:rFonts w:ascii="Calibri" w:hAnsi="Calibri" w:hint="default"/>
      </w:rPr>
    </w:lvl>
    <w:lvl w:ilvl="5">
      <w:start w:val="1"/>
      <w:numFmt w:val="decimal"/>
      <w:isLgl/>
      <w:lvlText w:val="%1.%2.%3.%4.%5.%6."/>
      <w:lvlJc w:val="left"/>
      <w:pPr>
        <w:ind w:left="1440" w:hanging="1080"/>
      </w:pPr>
      <w:rPr>
        <w:rFonts w:ascii="Calibri" w:hAnsi="Calibri" w:hint="default"/>
      </w:rPr>
    </w:lvl>
    <w:lvl w:ilvl="6">
      <w:start w:val="1"/>
      <w:numFmt w:val="decimal"/>
      <w:isLgl/>
      <w:lvlText w:val="%1.%2.%3.%4.%5.%6.%7."/>
      <w:lvlJc w:val="left"/>
      <w:pPr>
        <w:ind w:left="1440" w:hanging="1080"/>
      </w:pPr>
      <w:rPr>
        <w:rFonts w:ascii="Calibri" w:hAnsi="Calibri" w:hint="default"/>
      </w:rPr>
    </w:lvl>
    <w:lvl w:ilvl="7">
      <w:start w:val="1"/>
      <w:numFmt w:val="decimal"/>
      <w:isLgl/>
      <w:lvlText w:val="%1.%2.%3.%4.%5.%6.%7.%8."/>
      <w:lvlJc w:val="left"/>
      <w:pPr>
        <w:ind w:left="1800" w:hanging="1440"/>
      </w:pPr>
      <w:rPr>
        <w:rFonts w:ascii="Calibri" w:hAnsi="Calibri" w:hint="default"/>
      </w:rPr>
    </w:lvl>
    <w:lvl w:ilvl="8">
      <w:start w:val="1"/>
      <w:numFmt w:val="decimal"/>
      <w:isLgl/>
      <w:lvlText w:val="%1.%2.%3.%4.%5.%6.%7.%8.%9."/>
      <w:lvlJc w:val="left"/>
      <w:pPr>
        <w:ind w:left="1800" w:hanging="1440"/>
      </w:pPr>
      <w:rPr>
        <w:rFonts w:ascii="Calibri" w:hAnsi="Calibri" w:hint="default"/>
      </w:rPr>
    </w:lvl>
  </w:abstractNum>
  <w:abstractNum w:abstractNumId="120" w15:restartNumberingAfterBreak="0">
    <w:nsid w:val="553C161D"/>
    <w:multiLevelType w:val="hybridMultilevel"/>
    <w:tmpl w:val="9F2001C8"/>
    <w:lvl w:ilvl="0" w:tplc="4696727A">
      <w:start w:val="1"/>
      <w:numFmt w:val="bullet"/>
      <w:lvlText w:val=""/>
      <w:lvlJc w:val="left"/>
      <w:pPr>
        <w:ind w:left="720" w:hanging="360"/>
      </w:pPr>
      <w:rPr>
        <w:rFonts w:ascii="Symbol" w:hAnsi="Symbol" w:hint="default"/>
      </w:rPr>
    </w:lvl>
    <w:lvl w:ilvl="1" w:tplc="576AF524" w:tentative="1">
      <w:start w:val="1"/>
      <w:numFmt w:val="bullet"/>
      <w:lvlText w:val="o"/>
      <w:lvlJc w:val="left"/>
      <w:pPr>
        <w:ind w:left="1440" w:hanging="360"/>
      </w:pPr>
      <w:rPr>
        <w:rFonts w:ascii="Courier New" w:hAnsi="Courier New" w:cs="Courier New" w:hint="default"/>
      </w:rPr>
    </w:lvl>
    <w:lvl w:ilvl="2" w:tplc="FFC49630" w:tentative="1">
      <w:start w:val="1"/>
      <w:numFmt w:val="bullet"/>
      <w:lvlText w:val=""/>
      <w:lvlJc w:val="left"/>
      <w:pPr>
        <w:ind w:left="2160" w:hanging="360"/>
      </w:pPr>
      <w:rPr>
        <w:rFonts w:ascii="Wingdings" w:hAnsi="Wingdings" w:hint="default"/>
      </w:rPr>
    </w:lvl>
    <w:lvl w:ilvl="3" w:tplc="4E300834" w:tentative="1">
      <w:start w:val="1"/>
      <w:numFmt w:val="bullet"/>
      <w:lvlText w:val=""/>
      <w:lvlJc w:val="left"/>
      <w:pPr>
        <w:ind w:left="2880" w:hanging="360"/>
      </w:pPr>
      <w:rPr>
        <w:rFonts w:ascii="Symbol" w:hAnsi="Symbol" w:hint="default"/>
      </w:rPr>
    </w:lvl>
    <w:lvl w:ilvl="4" w:tplc="20B0415E" w:tentative="1">
      <w:start w:val="1"/>
      <w:numFmt w:val="bullet"/>
      <w:lvlText w:val="o"/>
      <w:lvlJc w:val="left"/>
      <w:pPr>
        <w:ind w:left="3600" w:hanging="360"/>
      </w:pPr>
      <w:rPr>
        <w:rFonts w:ascii="Courier New" w:hAnsi="Courier New" w:cs="Courier New" w:hint="default"/>
      </w:rPr>
    </w:lvl>
    <w:lvl w:ilvl="5" w:tplc="34FE7E0C" w:tentative="1">
      <w:start w:val="1"/>
      <w:numFmt w:val="bullet"/>
      <w:lvlText w:val=""/>
      <w:lvlJc w:val="left"/>
      <w:pPr>
        <w:ind w:left="4320" w:hanging="360"/>
      </w:pPr>
      <w:rPr>
        <w:rFonts w:ascii="Wingdings" w:hAnsi="Wingdings" w:hint="default"/>
      </w:rPr>
    </w:lvl>
    <w:lvl w:ilvl="6" w:tplc="24FAFA34" w:tentative="1">
      <w:start w:val="1"/>
      <w:numFmt w:val="bullet"/>
      <w:lvlText w:val=""/>
      <w:lvlJc w:val="left"/>
      <w:pPr>
        <w:ind w:left="5040" w:hanging="360"/>
      </w:pPr>
      <w:rPr>
        <w:rFonts w:ascii="Symbol" w:hAnsi="Symbol" w:hint="default"/>
      </w:rPr>
    </w:lvl>
    <w:lvl w:ilvl="7" w:tplc="5FF82202" w:tentative="1">
      <w:start w:val="1"/>
      <w:numFmt w:val="bullet"/>
      <w:lvlText w:val="o"/>
      <w:lvlJc w:val="left"/>
      <w:pPr>
        <w:ind w:left="5760" w:hanging="360"/>
      </w:pPr>
      <w:rPr>
        <w:rFonts w:ascii="Courier New" w:hAnsi="Courier New" w:cs="Courier New" w:hint="default"/>
      </w:rPr>
    </w:lvl>
    <w:lvl w:ilvl="8" w:tplc="3256780A" w:tentative="1">
      <w:start w:val="1"/>
      <w:numFmt w:val="bullet"/>
      <w:lvlText w:val=""/>
      <w:lvlJc w:val="left"/>
      <w:pPr>
        <w:ind w:left="6480" w:hanging="360"/>
      </w:pPr>
      <w:rPr>
        <w:rFonts w:ascii="Wingdings" w:hAnsi="Wingdings" w:hint="default"/>
      </w:rPr>
    </w:lvl>
  </w:abstractNum>
  <w:abstractNum w:abstractNumId="121" w15:restartNumberingAfterBreak="0">
    <w:nsid w:val="557479D2"/>
    <w:multiLevelType w:val="hybridMultilevel"/>
    <w:tmpl w:val="7574705C"/>
    <w:lvl w:ilvl="0" w:tplc="B2283A58">
      <w:start w:val="1"/>
      <w:numFmt w:val="decimal"/>
      <w:lvlText w:val="%1."/>
      <w:lvlJc w:val="left"/>
      <w:pPr>
        <w:ind w:left="720" w:hanging="360"/>
      </w:pPr>
      <w:rPr>
        <w:rFonts w:hint="default"/>
      </w:rPr>
    </w:lvl>
    <w:lvl w:ilvl="1" w:tplc="8AF433D8" w:tentative="1">
      <w:start w:val="1"/>
      <w:numFmt w:val="lowerLetter"/>
      <w:lvlText w:val="%2."/>
      <w:lvlJc w:val="left"/>
      <w:pPr>
        <w:ind w:left="1440" w:hanging="360"/>
      </w:pPr>
    </w:lvl>
    <w:lvl w:ilvl="2" w:tplc="6D7A530E" w:tentative="1">
      <w:start w:val="1"/>
      <w:numFmt w:val="lowerRoman"/>
      <w:lvlText w:val="%3."/>
      <w:lvlJc w:val="right"/>
      <w:pPr>
        <w:ind w:left="2160" w:hanging="180"/>
      </w:pPr>
    </w:lvl>
    <w:lvl w:ilvl="3" w:tplc="A142D9F2" w:tentative="1">
      <w:start w:val="1"/>
      <w:numFmt w:val="decimal"/>
      <w:lvlText w:val="%4."/>
      <w:lvlJc w:val="left"/>
      <w:pPr>
        <w:ind w:left="2880" w:hanging="360"/>
      </w:pPr>
    </w:lvl>
    <w:lvl w:ilvl="4" w:tplc="A134EEC2" w:tentative="1">
      <w:start w:val="1"/>
      <w:numFmt w:val="lowerLetter"/>
      <w:lvlText w:val="%5."/>
      <w:lvlJc w:val="left"/>
      <w:pPr>
        <w:ind w:left="3600" w:hanging="360"/>
      </w:pPr>
    </w:lvl>
    <w:lvl w:ilvl="5" w:tplc="435ED1FC" w:tentative="1">
      <w:start w:val="1"/>
      <w:numFmt w:val="lowerRoman"/>
      <w:lvlText w:val="%6."/>
      <w:lvlJc w:val="right"/>
      <w:pPr>
        <w:ind w:left="4320" w:hanging="180"/>
      </w:pPr>
    </w:lvl>
    <w:lvl w:ilvl="6" w:tplc="557A9652" w:tentative="1">
      <w:start w:val="1"/>
      <w:numFmt w:val="decimal"/>
      <w:lvlText w:val="%7."/>
      <w:lvlJc w:val="left"/>
      <w:pPr>
        <w:ind w:left="5040" w:hanging="360"/>
      </w:pPr>
    </w:lvl>
    <w:lvl w:ilvl="7" w:tplc="7384F6BC" w:tentative="1">
      <w:start w:val="1"/>
      <w:numFmt w:val="lowerLetter"/>
      <w:lvlText w:val="%8."/>
      <w:lvlJc w:val="left"/>
      <w:pPr>
        <w:ind w:left="5760" w:hanging="360"/>
      </w:pPr>
    </w:lvl>
    <w:lvl w:ilvl="8" w:tplc="4950FF66" w:tentative="1">
      <w:start w:val="1"/>
      <w:numFmt w:val="lowerRoman"/>
      <w:lvlText w:val="%9."/>
      <w:lvlJc w:val="right"/>
      <w:pPr>
        <w:ind w:left="6480" w:hanging="180"/>
      </w:pPr>
    </w:lvl>
  </w:abstractNum>
  <w:abstractNum w:abstractNumId="122" w15:restartNumberingAfterBreak="0">
    <w:nsid w:val="557D5239"/>
    <w:multiLevelType w:val="hybridMultilevel"/>
    <w:tmpl w:val="35068000"/>
    <w:lvl w:ilvl="0" w:tplc="85CEC0DC">
      <w:start w:val="1"/>
      <w:numFmt w:val="decimal"/>
      <w:lvlText w:val="%1."/>
      <w:lvlJc w:val="left"/>
      <w:pPr>
        <w:ind w:left="720" w:hanging="360"/>
      </w:pPr>
      <w:rPr>
        <w:rFonts w:hint="default"/>
      </w:rPr>
    </w:lvl>
    <w:lvl w:ilvl="1" w:tplc="35068DC6" w:tentative="1">
      <w:start w:val="1"/>
      <w:numFmt w:val="lowerLetter"/>
      <w:lvlText w:val="%2."/>
      <w:lvlJc w:val="left"/>
      <w:pPr>
        <w:ind w:left="1440" w:hanging="360"/>
      </w:pPr>
    </w:lvl>
    <w:lvl w:ilvl="2" w:tplc="6BB211F4" w:tentative="1">
      <w:start w:val="1"/>
      <w:numFmt w:val="lowerRoman"/>
      <w:lvlText w:val="%3."/>
      <w:lvlJc w:val="right"/>
      <w:pPr>
        <w:ind w:left="2160" w:hanging="180"/>
      </w:pPr>
    </w:lvl>
    <w:lvl w:ilvl="3" w:tplc="42F04AFC" w:tentative="1">
      <w:start w:val="1"/>
      <w:numFmt w:val="decimal"/>
      <w:lvlText w:val="%4."/>
      <w:lvlJc w:val="left"/>
      <w:pPr>
        <w:ind w:left="2880" w:hanging="360"/>
      </w:pPr>
    </w:lvl>
    <w:lvl w:ilvl="4" w:tplc="3D1A5F3E" w:tentative="1">
      <w:start w:val="1"/>
      <w:numFmt w:val="lowerLetter"/>
      <w:lvlText w:val="%5."/>
      <w:lvlJc w:val="left"/>
      <w:pPr>
        <w:ind w:left="3600" w:hanging="360"/>
      </w:pPr>
    </w:lvl>
    <w:lvl w:ilvl="5" w:tplc="2F7C1008" w:tentative="1">
      <w:start w:val="1"/>
      <w:numFmt w:val="lowerRoman"/>
      <w:lvlText w:val="%6."/>
      <w:lvlJc w:val="right"/>
      <w:pPr>
        <w:ind w:left="4320" w:hanging="180"/>
      </w:pPr>
    </w:lvl>
    <w:lvl w:ilvl="6" w:tplc="42D414B6" w:tentative="1">
      <w:start w:val="1"/>
      <w:numFmt w:val="decimal"/>
      <w:lvlText w:val="%7."/>
      <w:lvlJc w:val="left"/>
      <w:pPr>
        <w:ind w:left="5040" w:hanging="360"/>
      </w:pPr>
    </w:lvl>
    <w:lvl w:ilvl="7" w:tplc="E2D0D49C" w:tentative="1">
      <w:start w:val="1"/>
      <w:numFmt w:val="lowerLetter"/>
      <w:lvlText w:val="%8."/>
      <w:lvlJc w:val="left"/>
      <w:pPr>
        <w:ind w:left="5760" w:hanging="360"/>
      </w:pPr>
    </w:lvl>
    <w:lvl w:ilvl="8" w:tplc="234CA3F6" w:tentative="1">
      <w:start w:val="1"/>
      <w:numFmt w:val="lowerRoman"/>
      <w:lvlText w:val="%9."/>
      <w:lvlJc w:val="right"/>
      <w:pPr>
        <w:ind w:left="6480" w:hanging="180"/>
      </w:pPr>
    </w:lvl>
  </w:abstractNum>
  <w:abstractNum w:abstractNumId="123" w15:restartNumberingAfterBreak="0">
    <w:nsid w:val="564844B1"/>
    <w:multiLevelType w:val="multilevel"/>
    <w:tmpl w:val="82568E82"/>
    <w:lvl w:ilvl="0">
      <w:start w:val="3"/>
      <w:numFmt w:val="decimal"/>
      <w:lvlText w:val="%1."/>
      <w:lvlJc w:val="left"/>
      <w:pPr>
        <w:ind w:left="360" w:hanging="360"/>
      </w:pPr>
      <w:rPr>
        <w:rFonts w:hint="default"/>
      </w:rPr>
    </w:lvl>
    <w:lvl w:ilvl="1">
      <w:start w:val="6"/>
      <w:numFmt w:val="decimal"/>
      <w:lvlText w:val="%1.%2."/>
      <w:lvlJc w:val="left"/>
      <w:pPr>
        <w:ind w:left="478" w:hanging="360"/>
      </w:pPr>
      <w:rPr>
        <w:rFonts w:hint="default"/>
      </w:rPr>
    </w:lvl>
    <w:lvl w:ilvl="2">
      <w:start w:val="1"/>
      <w:numFmt w:val="decimal"/>
      <w:lvlText w:val="%1.%2.%3."/>
      <w:lvlJc w:val="left"/>
      <w:pPr>
        <w:ind w:left="956" w:hanging="720"/>
      </w:pPr>
      <w:rPr>
        <w:rFonts w:hint="default"/>
      </w:rPr>
    </w:lvl>
    <w:lvl w:ilvl="3">
      <w:start w:val="1"/>
      <w:numFmt w:val="decimal"/>
      <w:lvlText w:val="%1.%2.%3.%4."/>
      <w:lvlJc w:val="left"/>
      <w:pPr>
        <w:ind w:left="1074" w:hanging="720"/>
      </w:pPr>
      <w:rPr>
        <w:rFonts w:hint="default"/>
      </w:rPr>
    </w:lvl>
    <w:lvl w:ilvl="4">
      <w:start w:val="1"/>
      <w:numFmt w:val="decimal"/>
      <w:lvlText w:val="%1.%2.%3.%4.%5."/>
      <w:lvlJc w:val="left"/>
      <w:pPr>
        <w:ind w:left="1552" w:hanging="1080"/>
      </w:pPr>
      <w:rPr>
        <w:rFonts w:hint="default"/>
      </w:rPr>
    </w:lvl>
    <w:lvl w:ilvl="5">
      <w:start w:val="1"/>
      <w:numFmt w:val="decimal"/>
      <w:lvlText w:val="%1.%2.%3.%4.%5.%6."/>
      <w:lvlJc w:val="left"/>
      <w:pPr>
        <w:ind w:left="1670" w:hanging="1080"/>
      </w:pPr>
      <w:rPr>
        <w:rFonts w:hint="default"/>
      </w:rPr>
    </w:lvl>
    <w:lvl w:ilvl="6">
      <w:start w:val="1"/>
      <w:numFmt w:val="decimal"/>
      <w:lvlText w:val="%1.%2.%3.%4.%5.%6.%7."/>
      <w:lvlJc w:val="left"/>
      <w:pPr>
        <w:ind w:left="1788" w:hanging="1080"/>
      </w:pPr>
      <w:rPr>
        <w:rFonts w:hint="default"/>
      </w:rPr>
    </w:lvl>
    <w:lvl w:ilvl="7">
      <w:start w:val="1"/>
      <w:numFmt w:val="decimal"/>
      <w:lvlText w:val="%1.%2.%3.%4.%5.%6.%7.%8."/>
      <w:lvlJc w:val="left"/>
      <w:pPr>
        <w:ind w:left="2266" w:hanging="1440"/>
      </w:pPr>
      <w:rPr>
        <w:rFonts w:hint="default"/>
      </w:rPr>
    </w:lvl>
    <w:lvl w:ilvl="8">
      <w:start w:val="1"/>
      <w:numFmt w:val="decimal"/>
      <w:lvlText w:val="%1.%2.%3.%4.%5.%6.%7.%8.%9."/>
      <w:lvlJc w:val="left"/>
      <w:pPr>
        <w:ind w:left="2384" w:hanging="1440"/>
      </w:pPr>
      <w:rPr>
        <w:rFonts w:hint="default"/>
      </w:rPr>
    </w:lvl>
  </w:abstractNum>
  <w:abstractNum w:abstractNumId="124" w15:restartNumberingAfterBreak="0">
    <w:nsid w:val="57B80234"/>
    <w:multiLevelType w:val="hybridMultilevel"/>
    <w:tmpl w:val="6DDE56F6"/>
    <w:lvl w:ilvl="0" w:tplc="A8625FBC">
      <w:start w:val="1"/>
      <w:numFmt w:val="bullet"/>
      <w:lvlText w:val=""/>
      <w:lvlJc w:val="left"/>
      <w:pPr>
        <w:ind w:left="720" w:hanging="360"/>
      </w:pPr>
      <w:rPr>
        <w:rFonts w:ascii="Symbol" w:hAnsi="Symbol" w:hint="default"/>
      </w:rPr>
    </w:lvl>
    <w:lvl w:ilvl="1" w:tplc="138A1D7E" w:tentative="1">
      <w:start w:val="1"/>
      <w:numFmt w:val="bullet"/>
      <w:lvlText w:val="o"/>
      <w:lvlJc w:val="left"/>
      <w:pPr>
        <w:ind w:left="1440" w:hanging="360"/>
      </w:pPr>
      <w:rPr>
        <w:rFonts w:ascii="Courier New" w:hAnsi="Courier New" w:cs="Courier New" w:hint="default"/>
      </w:rPr>
    </w:lvl>
    <w:lvl w:ilvl="2" w:tplc="B6AA1A08" w:tentative="1">
      <w:start w:val="1"/>
      <w:numFmt w:val="bullet"/>
      <w:lvlText w:val=""/>
      <w:lvlJc w:val="left"/>
      <w:pPr>
        <w:ind w:left="2160" w:hanging="360"/>
      </w:pPr>
      <w:rPr>
        <w:rFonts w:ascii="Wingdings" w:hAnsi="Wingdings" w:hint="default"/>
      </w:rPr>
    </w:lvl>
    <w:lvl w:ilvl="3" w:tplc="2F44BDEE" w:tentative="1">
      <w:start w:val="1"/>
      <w:numFmt w:val="bullet"/>
      <w:lvlText w:val=""/>
      <w:lvlJc w:val="left"/>
      <w:pPr>
        <w:ind w:left="2880" w:hanging="360"/>
      </w:pPr>
      <w:rPr>
        <w:rFonts w:ascii="Symbol" w:hAnsi="Symbol" w:hint="default"/>
      </w:rPr>
    </w:lvl>
    <w:lvl w:ilvl="4" w:tplc="D408EA50" w:tentative="1">
      <w:start w:val="1"/>
      <w:numFmt w:val="bullet"/>
      <w:lvlText w:val="o"/>
      <w:lvlJc w:val="left"/>
      <w:pPr>
        <w:ind w:left="3600" w:hanging="360"/>
      </w:pPr>
      <w:rPr>
        <w:rFonts w:ascii="Courier New" w:hAnsi="Courier New" w:cs="Courier New" w:hint="default"/>
      </w:rPr>
    </w:lvl>
    <w:lvl w:ilvl="5" w:tplc="8A10EB1A" w:tentative="1">
      <w:start w:val="1"/>
      <w:numFmt w:val="bullet"/>
      <w:lvlText w:val=""/>
      <w:lvlJc w:val="left"/>
      <w:pPr>
        <w:ind w:left="4320" w:hanging="360"/>
      </w:pPr>
      <w:rPr>
        <w:rFonts w:ascii="Wingdings" w:hAnsi="Wingdings" w:hint="default"/>
      </w:rPr>
    </w:lvl>
    <w:lvl w:ilvl="6" w:tplc="EA32383E" w:tentative="1">
      <w:start w:val="1"/>
      <w:numFmt w:val="bullet"/>
      <w:lvlText w:val=""/>
      <w:lvlJc w:val="left"/>
      <w:pPr>
        <w:ind w:left="5040" w:hanging="360"/>
      </w:pPr>
      <w:rPr>
        <w:rFonts w:ascii="Symbol" w:hAnsi="Symbol" w:hint="default"/>
      </w:rPr>
    </w:lvl>
    <w:lvl w:ilvl="7" w:tplc="1AFA3110" w:tentative="1">
      <w:start w:val="1"/>
      <w:numFmt w:val="bullet"/>
      <w:lvlText w:val="o"/>
      <w:lvlJc w:val="left"/>
      <w:pPr>
        <w:ind w:left="5760" w:hanging="360"/>
      </w:pPr>
      <w:rPr>
        <w:rFonts w:ascii="Courier New" w:hAnsi="Courier New" w:cs="Courier New" w:hint="default"/>
      </w:rPr>
    </w:lvl>
    <w:lvl w:ilvl="8" w:tplc="81F63688" w:tentative="1">
      <w:start w:val="1"/>
      <w:numFmt w:val="bullet"/>
      <w:lvlText w:val=""/>
      <w:lvlJc w:val="left"/>
      <w:pPr>
        <w:ind w:left="6480" w:hanging="360"/>
      </w:pPr>
      <w:rPr>
        <w:rFonts w:ascii="Wingdings" w:hAnsi="Wingdings" w:hint="default"/>
      </w:rPr>
    </w:lvl>
  </w:abstractNum>
  <w:abstractNum w:abstractNumId="125" w15:restartNumberingAfterBreak="0">
    <w:nsid w:val="57DD0B9A"/>
    <w:multiLevelType w:val="hybridMultilevel"/>
    <w:tmpl w:val="3CE46438"/>
    <w:lvl w:ilvl="0" w:tplc="26F6F4A2">
      <w:start w:val="1"/>
      <w:numFmt w:val="decimal"/>
      <w:lvlText w:val="%1."/>
      <w:lvlJc w:val="left"/>
      <w:pPr>
        <w:ind w:left="1778" w:hanging="360"/>
      </w:pPr>
    </w:lvl>
    <w:lvl w:ilvl="1" w:tplc="AA7282C2">
      <w:start w:val="1"/>
      <w:numFmt w:val="lowerLetter"/>
      <w:lvlText w:val="%2."/>
      <w:lvlJc w:val="left"/>
      <w:pPr>
        <w:ind w:left="2771" w:hanging="360"/>
      </w:pPr>
    </w:lvl>
    <w:lvl w:ilvl="2" w:tplc="DD6AB2C0" w:tentative="1">
      <w:start w:val="1"/>
      <w:numFmt w:val="lowerRoman"/>
      <w:lvlText w:val="%3."/>
      <w:lvlJc w:val="right"/>
      <w:pPr>
        <w:ind w:left="2869" w:hanging="180"/>
      </w:pPr>
    </w:lvl>
    <w:lvl w:ilvl="3" w:tplc="E0885F82" w:tentative="1">
      <w:start w:val="1"/>
      <w:numFmt w:val="decimal"/>
      <w:lvlText w:val="%4."/>
      <w:lvlJc w:val="left"/>
      <w:pPr>
        <w:ind w:left="3589" w:hanging="360"/>
      </w:pPr>
    </w:lvl>
    <w:lvl w:ilvl="4" w:tplc="869A2CC8" w:tentative="1">
      <w:start w:val="1"/>
      <w:numFmt w:val="lowerLetter"/>
      <w:lvlText w:val="%5."/>
      <w:lvlJc w:val="left"/>
      <w:pPr>
        <w:ind w:left="4309" w:hanging="360"/>
      </w:pPr>
    </w:lvl>
    <w:lvl w:ilvl="5" w:tplc="4ECE8E1C" w:tentative="1">
      <w:start w:val="1"/>
      <w:numFmt w:val="lowerRoman"/>
      <w:lvlText w:val="%6."/>
      <w:lvlJc w:val="right"/>
      <w:pPr>
        <w:ind w:left="5029" w:hanging="180"/>
      </w:pPr>
    </w:lvl>
    <w:lvl w:ilvl="6" w:tplc="643E0F2A" w:tentative="1">
      <w:start w:val="1"/>
      <w:numFmt w:val="decimal"/>
      <w:lvlText w:val="%7."/>
      <w:lvlJc w:val="left"/>
      <w:pPr>
        <w:ind w:left="5749" w:hanging="360"/>
      </w:pPr>
    </w:lvl>
    <w:lvl w:ilvl="7" w:tplc="22C8A096" w:tentative="1">
      <w:start w:val="1"/>
      <w:numFmt w:val="lowerLetter"/>
      <w:lvlText w:val="%8."/>
      <w:lvlJc w:val="left"/>
      <w:pPr>
        <w:ind w:left="6469" w:hanging="360"/>
      </w:pPr>
    </w:lvl>
    <w:lvl w:ilvl="8" w:tplc="1A70C0A4" w:tentative="1">
      <w:start w:val="1"/>
      <w:numFmt w:val="lowerRoman"/>
      <w:lvlText w:val="%9."/>
      <w:lvlJc w:val="right"/>
      <w:pPr>
        <w:ind w:left="7189" w:hanging="180"/>
      </w:pPr>
    </w:lvl>
  </w:abstractNum>
  <w:abstractNum w:abstractNumId="126" w15:restartNumberingAfterBreak="0">
    <w:nsid w:val="589A498C"/>
    <w:multiLevelType w:val="singleLevel"/>
    <w:tmpl w:val="92AC6342"/>
    <w:lvl w:ilvl="0">
      <w:start w:val="1"/>
      <w:numFmt w:val="bullet"/>
      <w:pStyle w:val="SubHeading2"/>
      <w:lvlText w:val=""/>
      <w:lvlJc w:val="left"/>
      <w:pPr>
        <w:tabs>
          <w:tab w:val="num" w:pos="360"/>
        </w:tabs>
        <w:ind w:left="360" w:hanging="360"/>
      </w:pPr>
      <w:rPr>
        <w:rFonts w:ascii="Symbol" w:hAnsi="Symbol" w:cs="Symbol" w:hint="default"/>
        <w:color w:val="auto"/>
      </w:rPr>
    </w:lvl>
  </w:abstractNum>
  <w:abstractNum w:abstractNumId="127" w15:restartNumberingAfterBreak="0">
    <w:nsid w:val="58C7102F"/>
    <w:multiLevelType w:val="hybridMultilevel"/>
    <w:tmpl w:val="3EDCC842"/>
    <w:lvl w:ilvl="0" w:tplc="15B8A688">
      <w:start w:val="1"/>
      <w:numFmt w:val="bullet"/>
      <w:lvlText w:val=""/>
      <w:lvlJc w:val="left"/>
      <w:pPr>
        <w:ind w:left="720" w:hanging="360"/>
      </w:pPr>
      <w:rPr>
        <w:rFonts w:ascii="Symbol" w:hAnsi="Symbol" w:hint="default"/>
      </w:rPr>
    </w:lvl>
    <w:lvl w:ilvl="1" w:tplc="60621C64" w:tentative="1">
      <w:start w:val="1"/>
      <w:numFmt w:val="bullet"/>
      <w:lvlText w:val="o"/>
      <w:lvlJc w:val="left"/>
      <w:pPr>
        <w:ind w:left="1440" w:hanging="360"/>
      </w:pPr>
      <w:rPr>
        <w:rFonts w:ascii="Courier New" w:hAnsi="Courier New" w:cs="Courier New" w:hint="default"/>
      </w:rPr>
    </w:lvl>
    <w:lvl w:ilvl="2" w:tplc="94C6E8DE" w:tentative="1">
      <w:start w:val="1"/>
      <w:numFmt w:val="bullet"/>
      <w:lvlText w:val=""/>
      <w:lvlJc w:val="left"/>
      <w:pPr>
        <w:ind w:left="2160" w:hanging="360"/>
      </w:pPr>
      <w:rPr>
        <w:rFonts w:ascii="Wingdings" w:hAnsi="Wingdings" w:hint="default"/>
      </w:rPr>
    </w:lvl>
    <w:lvl w:ilvl="3" w:tplc="293C2F56" w:tentative="1">
      <w:start w:val="1"/>
      <w:numFmt w:val="bullet"/>
      <w:lvlText w:val=""/>
      <w:lvlJc w:val="left"/>
      <w:pPr>
        <w:ind w:left="2880" w:hanging="360"/>
      </w:pPr>
      <w:rPr>
        <w:rFonts w:ascii="Symbol" w:hAnsi="Symbol" w:hint="default"/>
      </w:rPr>
    </w:lvl>
    <w:lvl w:ilvl="4" w:tplc="52D66D02" w:tentative="1">
      <w:start w:val="1"/>
      <w:numFmt w:val="bullet"/>
      <w:lvlText w:val="o"/>
      <w:lvlJc w:val="left"/>
      <w:pPr>
        <w:ind w:left="3600" w:hanging="360"/>
      </w:pPr>
      <w:rPr>
        <w:rFonts w:ascii="Courier New" w:hAnsi="Courier New" w:cs="Courier New" w:hint="default"/>
      </w:rPr>
    </w:lvl>
    <w:lvl w:ilvl="5" w:tplc="5226FEBA" w:tentative="1">
      <w:start w:val="1"/>
      <w:numFmt w:val="bullet"/>
      <w:lvlText w:val=""/>
      <w:lvlJc w:val="left"/>
      <w:pPr>
        <w:ind w:left="4320" w:hanging="360"/>
      </w:pPr>
      <w:rPr>
        <w:rFonts w:ascii="Wingdings" w:hAnsi="Wingdings" w:hint="default"/>
      </w:rPr>
    </w:lvl>
    <w:lvl w:ilvl="6" w:tplc="EE84EE9A" w:tentative="1">
      <w:start w:val="1"/>
      <w:numFmt w:val="bullet"/>
      <w:lvlText w:val=""/>
      <w:lvlJc w:val="left"/>
      <w:pPr>
        <w:ind w:left="5040" w:hanging="360"/>
      </w:pPr>
      <w:rPr>
        <w:rFonts w:ascii="Symbol" w:hAnsi="Symbol" w:hint="default"/>
      </w:rPr>
    </w:lvl>
    <w:lvl w:ilvl="7" w:tplc="40729FA0" w:tentative="1">
      <w:start w:val="1"/>
      <w:numFmt w:val="bullet"/>
      <w:lvlText w:val="o"/>
      <w:lvlJc w:val="left"/>
      <w:pPr>
        <w:ind w:left="5760" w:hanging="360"/>
      </w:pPr>
      <w:rPr>
        <w:rFonts w:ascii="Courier New" w:hAnsi="Courier New" w:cs="Courier New" w:hint="default"/>
      </w:rPr>
    </w:lvl>
    <w:lvl w:ilvl="8" w:tplc="60C023BE" w:tentative="1">
      <w:start w:val="1"/>
      <w:numFmt w:val="bullet"/>
      <w:lvlText w:val=""/>
      <w:lvlJc w:val="left"/>
      <w:pPr>
        <w:ind w:left="6480" w:hanging="360"/>
      </w:pPr>
      <w:rPr>
        <w:rFonts w:ascii="Wingdings" w:hAnsi="Wingdings" w:hint="default"/>
      </w:rPr>
    </w:lvl>
  </w:abstractNum>
  <w:abstractNum w:abstractNumId="128" w15:restartNumberingAfterBreak="0">
    <w:nsid w:val="58D52F9E"/>
    <w:multiLevelType w:val="hybridMultilevel"/>
    <w:tmpl w:val="16C60922"/>
    <w:lvl w:ilvl="0" w:tplc="0B0290D4">
      <w:start w:val="1"/>
      <w:numFmt w:val="decimal"/>
      <w:lvlText w:val="%1."/>
      <w:lvlJc w:val="left"/>
      <w:pPr>
        <w:ind w:left="394" w:hanging="360"/>
      </w:pPr>
      <w:rPr>
        <w:rFonts w:hint="default"/>
      </w:rPr>
    </w:lvl>
    <w:lvl w:ilvl="1" w:tplc="ADA64E2C" w:tentative="1">
      <w:start w:val="1"/>
      <w:numFmt w:val="lowerLetter"/>
      <w:lvlText w:val="%2."/>
      <w:lvlJc w:val="left"/>
      <w:pPr>
        <w:ind w:left="1114" w:hanging="360"/>
      </w:pPr>
    </w:lvl>
    <w:lvl w:ilvl="2" w:tplc="525AB63E" w:tentative="1">
      <w:start w:val="1"/>
      <w:numFmt w:val="lowerRoman"/>
      <w:lvlText w:val="%3."/>
      <w:lvlJc w:val="right"/>
      <w:pPr>
        <w:ind w:left="1834" w:hanging="180"/>
      </w:pPr>
    </w:lvl>
    <w:lvl w:ilvl="3" w:tplc="F31AE668" w:tentative="1">
      <w:start w:val="1"/>
      <w:numFmt w:val="decimal"/>
      <w:lvlText w:val="%4."/>
      <w:lvlJc w:val="left"/>
      <w:pPr>
        <w:ind w:left="2554" w:hanging="360"/>
      </w:pPr>
    </w:lvl>
    <w:lvl w:ilvl="4" w:tplc="C03C3DAC" w:tentative="1">
      <w:start w:val="1"/>
      <w:numFmt w:val="lowerLetter"/>
      <w:lvlText w:val="%5."/>
      <w:lvlJc w:val="left"/>
      <w:pPr>
        <w:ind w:left="3274" w:hanging="360"/>
      </w:pPr>
    </w:lvl>
    <w:lvl w:ilvl="5" w:tplc="80CA473A" w:tentative="1">
      <w:start w:val="1"/>
      <w:numFmt w:val="lowerRoman"/>
      <w:lvlText w:val="%6."/>
      <w:lvlJc w:val="right"/>
      <w:pPr>
        <w:ind w:left="3994" w:hanging="180"/>
      </w:pPr>
    </w:lvl>
    <w:lvl w:ilvl="6" w:tplc="133080D8" w:tentative="1">
      <w:start w:val="1"/>
      <w:numFmt w:val="decimal"/>
      <w:lvlText w:val="%7."/>
      <w:lvlJc w:val="left"/>
      <w:pPr>
        <w:ind w:left="4714" w:hanging="360"/>
      </w:pPr>
    </w:lvl>
    <w:lvl w:ilvl="7" w:tplc="8386295C" w:tentative="1">
      <w:start w:val="1"/>
      <w:numFmt w:val="lowerLetter"/>
      <w:lvlText w:val="%8."/>
      <w:lvlJc w:val="left"/>
      <w:pPr>
        <w:ind w:left="5434" w:hanging="360"/>
      </w:pPr>
    </w:lvl>
    <w:lvl w:ilvl="8" w:tplc="0E1EE676" w:tentative="1">
      <w:start w:val="1"/>
      <w:numFmt w:val="lowerRoman"/>
      <w:lvlText w:val="%9."/>
      <w:lvlJc w:val="right"/>
      <w:pPr>
        <w:ind w:left="6154" w:hanging="180"/>
      </w:pPr>
    </w:lvl>
  </w:abstractNum>
  <w:abstractNum w:abstractNumId="129" w15:restartNumberingAfterBreak="0">
    <w:nsid w:val="5ABD539D"/>
    <w:multiLevelType w:val="hybridMultilevel"/>
    <w:tmpl w:val="C98A3B22"/>
    <w:lvl w:ilvl="0" w:tplc="8CE83360">
      <w:start w:val="1"/>
      <w:numFmt w:val="bullet"/>
      <w:lvlText w:val=""/>
      <w:lvlJc w:val="left"/>
      <w:pPr>
        <w:ind w:left="720" w:hanging="360"/>
      </w:pPr>
      <w:rPr>
        <w:rFonts w:ascii="Symbol" w:hAnsi="Symbol" w:hint="default"/>
      </w:rPr>
    </w:lvl>
    <w:lvl w:ilvl="1" w:tplc="78CEE3F6">
      <w:start w:val="1"/>
      <w:numFmt w:val="lowerLetter"/>
      <w:lvlText w:val="%2."/>
      <w:lvlJc w:val="left"/>
      <w:pPr>
        <w:ind w:left="1440" w:hanging="360"/>
      </w:pPr>
    </w:lvl>
    <w:lvl w:ilvl="2" w:tplc="02049244">
      <w:start w:val="1"/>
      <w:numFmt w:val="lowerRoman"/>
      <w:lvlText w:val="%3."/>
      <w:lvlJc w:val="right"/>
      <w:pPr>
        <w:ind w:left="2160" w:hanging="180"/>
      </w:pPr>
    </w:lvl>
    <w:lvl w:ilvl="3" w:tplc="A9547352">
      <w:start w:val="1"/>
      <w:numFmt w:val="decimal"/>
      <w:lvlText w:val="%4."/>
      <w:lvlJc w:val="left"/>
      <w:pPr>
        <w:ind w:left="2880" w:hanging="360"/>
      </w:pPr>
    </w:lvl>
    <w:lvl w:ilvl="4" w:tplc="A5206598">
      <w:start w:val="1"/>
      <w:numFmt w:val="lowerLetter"/>
      <w:lvlText w:val="%5."/>
      <w:lvlJc w:val="left"/>
      <w:pPr>
        <w:ind w:left="3600" w:hanging="360"/>
      </w:pPr>
    </w:lvl>
    <w:lvl w:ilvl="5" w:tplc="ED7AF7EC">
      <w:start w:val="1"/>
      <w:numFmt w:val="lowerRoman"/>
      <w:lvlText w:val="%6."/>
      <w:lvlJc w:val="right"/>
      <w:pPr>
        <w:ind w:left="4320" w:hanging="180"/>
      </w:pPr>
    </w:lvl>
    <w:lvl w:ilvl="6" w:tplc="9B3AAB38">
      <w:start w:val="1"/>
      <w:numFmt w:val="decimal"/>
      <w:lvlText w:val="%7."/>
      <w:lvlJc w:val="left"/>
      <w:pPr>
        <w:ind w:left="5040" w:hanging="360"/>
      </w:pPr>
    </w:lvl>
    <w:lvl w:ilvl="7" w:tplc="1558152A">
      <w:start w:val="1"/>
      <w:numFmt w:val="lowerLetter"/>
      <w:lvlText w:val="%8."/>
      <w:lvlJc w:val="left"/>
      <w:pPr>
        <w:ind w:left="5760" w:hanging="360"/>
      </w:pPr>
    </w:lvl>
    <w:lvl w:ilvl="8" w:tplc="4B9E818E">
      <w:start w:val="1"/>
      <w:numFmt w:val="lowerRoman"/>
      <w:lvlText w:val="%9."/>
      <w:lvlJc w:val="right"/>
      <w:pPr>
        <w:ind w:left="6480" w:hanging="180"/>
      </w:pPr>
    </w:lvl>
  </w:abstractNum>
  <w:abstractNum w:abstractNumId="130" w15:restartNumberingAfterBreak="0">
    <w:nsid w:val="5B1502F0"/>
    <w:multiLevelType w:val="hybridMultilevel"/>
    <w:tmpl w:val="BC9AD29E"/>
    <w:lvl w:ilvl="0" w:tplc="48C2CA0A">
      <w:start w:val="1"/>
      <w:numFmt w:val="bullet"/>
      <w:lvlText w:val=""/>
      <w:lvlJc w:val="left"/>
      <w:pPr>
        <w:ind w:left="1429" w:hanging="360"/>
      </w:pPr>
      <w:rPr>
        <w:rFonts w:ascii="Wingdings" w:hAnsi="Wingdings" w:hint="default"/>
      </w:rPr>
    </w:lvl>
    <w:lvl w:ilvl="1" w:tplc="98184840" w:tentative="1">
      <w:start w:val="1"/>
      <w:numFmt w:val="bullet"/>
      <w:lvlText w:val="o"/>
      <w:lvlJc w:val="left"/>
      <w:pPr>
        <w:ind w:left="2149" w:hanging="360"/>
      </w:pPr>
      <w:rPr>
        <w:rFonts w:ascii="Courier New" w:hAnsi="Courier New" w:cs="Courier New" w:hint="default"/>
      </w:rPr>
    </w:lvl>
    <w:lvl w:ilvl="2" w:tplc="4E9051E8" w:tentative="1">
      <w:start w:val="1"/>
      <w:numFmt w:val="bullet"/>
      <w:lvlText w:val=""/>
      <w:lvlJc w:val="left"/>
      <w:pPr>
        <w:ind w:left="2869" w:hanging="360"/>
      </w:pPr>
      <w:rPr>
        <w:rFonts w:ascii="Wingdings" w:hAnsi="Wingdings" w:hint="default"/>
      </w:rPr>
    </w:lvl>
    <w:lvl w:ilvl="3" w:tplc="C60A07B4" w:tentative="1">
      <w:start w:val="1"/>
      <w:numFmt w:val="bullet"/>
      <w:lvlText w:val=""/>
      <w:lvlJc w:val="left"/>
      <w:pPr>
        <w:ind w:left="3589" w:hanging="360"/>
      </w:pPr>
      <w:rPr>
        <w:rFonts w:ascii="Symbol" w:hAnsi="Symbol" w:hint="default"/>
      </w:rPr>
    </w:lvl>
    <w:lvl w:ilvl="4" w:tplc="FA24C12C" w:tentative="1">
      <w:start w:val="1"/>
      <w:numFmt w:val="bullet"/>
      <w:lvlText w:val="o"/>
      <w:lvlJc w:val="left"/>
      <w:pPr>
        <w:ind w:left="4309" w:hanging="360"/>
      </w:pPr>
      <w:rPr>
        <w:rFonts w:ascii="Courier New" w:hAnsi="Courier New" w:cs="Courier New" w:hint="default"/>
      </w:rPr>
    </w:lvl>
    <w:lvl w:ilvl="5" w:tplc="579A0B20" w:tentative="1">
      <w:start w:val="1"/>
      <w:numFmt w:val="bullet"/>
      <w:lvlText w:val=""/>
      <w:lvlJc w:val="left"/>
      <w:pPr>
        <w:ind w:left="5029" w:hanging="360"/>
      </w:pPr>
      <w:rPr>
        <w:rFonts w:ascii="Wingdings" w:hAnsi="Wingdings" w:hint="default"/>
      </w:rPr>
    </w:lvl>
    <w:lvl w:ilvl="6" w:tplc="34FE5568" w:tentative="1">
      <w:start w:val="1"/>
      <w:numFmt w:val="bullet"/>
      <w:lvlText w:val=""/>
      <w:lvlJc w:val="left"/>
      <w:pPr>
        <w:ind w:left="5749" w:hanging="360"/>
      </w:pPr>
      <w:rPr>
        <w:rFonts w:ascii="Symbol" w:hAnsi="Symbol" w:hint="default"/>
      </w:rPr>
    </w:lvl>
    <w:lvl w:ilvl="7" w:tplc="D22C80F0" w:tentative="1">
      <w:start w:val="1"/>
      <w:numFmt w:val="bullet"/>
      <w:lvlText w:val="o"/>
      <w:lvlJc w:val="left"/>
      <w:pPr>
        <w:ind w:left="6469" w:hanging="360"/>
      </w:pPr>
      <w:rPr>
        <w:rFonts w:ascii="Courier New" w:hAnsi="Courier New" w:cs="Courier New" w:hint="default"/>
      </w:rPr>
    </w:lvl>
    <w:lvl w:ilvl="8" w:tplc="D9AADD92" w:tentative="1">
      <w:start w:val="1"/>
      <w:numFmt w:val="bullet"/>
      <w:lvlText w:val=""/>
      <w:lvlJc w:val="left"/>
      <w:pPr>
        <w:ind w:left="7189" w:hanging="360"/>
      </w:pPr>
      <w:rPr>
        <w:rFonts w:ascii="Wingdings" w:hAnsi="Wingdings" w:hint="default"/>
      </w:rPr>
    </w:lvl>
  </w:abstractNum>
  <w:abstractNum w:abstractNumId="131" w15:restartNumberingAfterBreak="0">
    <w:nsid w:val="5B5E63A4"/>
    <w:multiLevelType w:val="hybridMultilevel"/>
    <w:tmpl w:val="CC427DD8"/>
    <w:lvl w:ilvl="0" w:tplc="4D52C96C">
      <w:start w:val="1"/>
      <w:numFmt w:val="bullet"/>
      <w:lvlText w:val=""/>
      <w:lvlJc w:val="left"/>
      <w:pPr>
        <w:ind w:left="720" w:hanging="360"/>
      </w:pPr>
      <w:rPr>
        <w:rFonts w:ascii="Wingdings" w:hAnsi="Wingdings" w:hint="default"/>
      </w:rPr>
    </w:lvl>
    <w:lvl w:ilvl="1" w:tplc="C5EA244A">
      <w:start w:val="1"/>
      <w:numFmt w:val="decimal"/>
      <w:lvlText w:val="%2."/>
      <w:lvlJc w:val="left"/>
      <w:pPr>
        <w:ind w:left="1440" w:hanging="360"/>
      </w:pPr>
      <w:rPr>
        <w:rFonts w:hint="default"/>
      </w:rPr>
    </w:lvl>
    <w:lvl w:ilvl="2" w:tplc="8034F28A" w:tentative="1">
      <w:start w:val="1"/>
      <w:numFmt w:val="lowerRoman"/>
      <w:lvlText w:val="%3."/>
      <w:lvlJc w:val="right"/>
      <w:pPr>
        <w:ind w:left="2160" w:hanging="180"/>
      </w:pPr>
    </w:lvl>
    <w:lvl w:ilvl="3" w:tplc="3646AA3E" w:tentative="1">
      <w:start w:val="1"/>
      <w:numFmt w:val="decimal"/>
      <w:lvlText w:val="%4."/>
      <w:lvlJc w:val="left"/>
      <w:pPr>
        <w:ind w:left="2880" w:hanging="360"/>
      </w:pPr>
    </w:lvl>
    <w:lvl w:ilvl="4" w:tplc="C236197E" w:tentative="1">
      <w:start w:val="1"/>
      <w:numFmt w:val="lowerLetter"/>
      <w:lvlText w:val="%5."/>
      <w:lvlJc w:val="left"/>
      <w:pPr>
        <w:ind w:left="3600" w:hanging="360"/>
      </w:pPr>
    </w:lvl>
    <w:lvl w:ilvl="5" w:tplc="39D2B622" w:tentative="1">
      <w:start w:val="1"/>
      <w:numFmt w:val="lowerRoman"/>
      <w:lvlText w:val="%6."/>
      <w:lvlJc w:val="right"/>
      <w:pPr>
        <w:ind w:left="4320" w:hanging="180"/>
      </w:pPr>
    </w:lvl>
    <w:lvl w:ilvl="6" w:tplc="C4D81D92" w:tentative="1">
      <w:start w:val="1"/>
      <w:numFmt w:val="decimal"/>
      <w:lvlText w:val="%7."/>
      <w:lvlJc w:val="left"/>
      <w:pPr>
        <w:ind w:left="5040" w:hanging="360"/>
      </w:pPr>
    </w:lvl>
    <w:lvl w:ilvl="7" w:tplc="E64EE414" w:tentative="1">
      <w:start w:val="1"/>
      <w:numFmt w:val="lowerLetter"/>
      <w:lvlText w:val="%8."/>
      <w:lvlJc w:val="left"/>
      <w:pPr>
        <w:ind w:left="5760" w:hanging="360"/>
      </w:pPr>
    </w:lvl>
    <w:lvl w:ilvl="8" w:tplc="9468DD88" w:tentative="1">
      <w:start w:val="1"/>
      <w:numFmt w:val="lowerRoman"/>
      <w:lvlText w:val="%9."/>
      <w:lvlJc w:val="right"/>
      <w:pPr>
        <w:ind w:left="6480" w:hanging="180"/>
      </w:pPr>
    </w:lvl>
  </w:abstractNum>
  <w:abstractNum w:abstractNumId="132" w15:restartNumberingAfterBreak="0">
    <w:nsid w:val="5D67797C"/>
    <w:multiLevelType w:val="hybridMultilevel"/>
    <w:tmpl w:val="CF7EA910"/>
    <w:lvl w:ilvl="0" w:tplc="D4C40314">
      <w:start w:val="1"/>
      <w:numFmt w:val="bullet"/>
      <w:lvlText w:val=""/>
      <w:lvlJc w:val="left"/>
      <w:pPr>
        <w:ind w:left="720" w:hanging="360"/>
      </w:pPr>
      <w:rPr>
        <w:rFonts w:ascii="Symbol" w:hAnsi="Symbol" w:hint="default"/>
      </w:rPr>
    </w:lvl>
    <w:lvl w:ilvl="1" w:tplc="67DCE542" w:tentative="1">
      <w:start w:val="1"/>
      <w:numFmt w:val="bullet"/>
      <w:lvlText w:val="o"/>
      <w:lvlJc w:val="left"/>
      <w:pPr>
        <w:ind w:left="1440" w:hanging="360"/>
      </w:pPr>
      <w:rPr>
        <w:rFonts w:ascii="Courier New" w:hAnsi="Courier New" w:cs="Courier New" w:hint="default"/>
      </w:rPr>
    </w:lvl>
    <w:lvl w:ilvl="2" w:tplc="97700DC8" w:tentative="1">
      <w:start w:val="1"/>
      <w:numFmt w:val="bullet"/>
      <w:lvlText w:val=""/>
      <w:lvlJc w:val="left"/>
      <w:pPr>
        <w:ind w:left="2160" w:hanging="360"/>
      </w:pPr>
      <w:rPr>
        <w:rFonts w:ascii="Wingdings" w:hAnsi="Wingdings" w:hint="default"/>
      </w:rPr>
    </w:lvl>
    <w:lvl w:ilvl="3" w:tplc="0E52BBFA" w:tentative="1">
      <w:start w:val="1"/>
      <w:numFmt w:val="bullet"/>
      <w:lvlText w:val=""/>
      <w:lvlJc w:val="left"/>
      <w:pPr>
        <w:ind w:left="2880" w:hanging="360"/>
      </w:pPr>
      <w:rPr>
        <w:rFonts w:ascii="Symbol" w:hAnsi="Symbol" w:hint="default"/>
      </w:rPr>
    </w:lvl>
    <w:lvl w:ilvl="4" w:tplc="F1B2DF78" w:tentative="1">
      <w:start w:val="1"/>
      <w:numFmt w:val="bullet"/>
      <w:lvlText w:val="o"/>
      <w:lvlJc w:val="left"/>
      <w:pPr>
        <w:ind w:left="3600" w:hanging="360"/>
      </w:pPr>
      <w:rPr>
        <w:rFonts w:ascii="Courier New" w:hAnsi="Courier New" w:cs="Courier New" w:hint="default"/>
      </w:rPr>
    </w:lvl>
    <w:lvl w:ilvl="5" w:tplc="8320FDD0" w:tentative="1">
      <w:start w:val="1"/>
      <w:numFmt w:val="bullet"/>
      <w:lvlText w:val=""/>
      <w:lvlJc w:val="left"/>
      <w:pPr>
        <w:ind w:left="4320" w:hanging="360"/>
      </w:pPr>
      <w:rPr>
        <w:rFonts w:ascii="Wingdings" w:hAnsi="Wingdings" w:hint="default"/>
      </w:rPr>
    </w:lvl>
    <w:lvl w:ilvl="6" w:tplc="B016DFA0" w:tentative="1">
      <w:start w:val="1"/>
      <w:numFmt w:val="bullet"/>
      <w:lvlText w:val=""/>
      <w:lvlJc w:val="left"/>
      <w:pPr>
        <w:ind w:left="5040" w:hanging="360"/>
      </w:pPr>
      <w:rPr>
        <w:rFonts w:ascii="Symbol" w:hAnsi="Symbol" w:hint="default"/>
      </w:rPr>
    </w:lvl>
    <w:lvl w:ilvl="7" w:tplc="B2026AB2" w:tentative="1">
      <w:start w:val="1"/>
      <w:numFmt w:val="bullet"/>
      <w:lvlText w:val="o"/>
      <w:lvlJc w:val="left"/>
      <w:pPr>
        <w:ind w:left="5760" w:hanging="360"/>
      </w:pPr>
      <w:rPr>
        <w:rFonts w:ascii="Courier New" w:hAnsi="Courier New" w:cs="Courier New" w:hint="default"/>
      </w:rPr>
    </w:lvl>
    <w:lvl w:ilvl="8" w:tplc="A9662A1E" w:tentative="1">
      <w:start w:val="1"/>
      <w:numFmt w:val="bullet"/>
      <w:lvlText w:val=""/>
      <w:lvlJc w:val="left"/>
      <w:pPr>
        <w:ind w:left="6480" w:hanging="360"/>
      </w:pPr>
      <w:rPr>
        <w:rFonts w:ascii="Wingdings" w:hAnsi="Wingdings" w:hint="default"/>
      </w:rPr>
    </w:lvl>
  </w:abstractNum>
  <w:abstractNum w:abstractNumId="133" w15:restartNumberingAfterBreak="0">
    <w:nsid w:val="5D927F1A"/>
    <w:multiLevelType w:val="hybridMultilevel"/>
    <w:tmpl w:val="2B02415C"/>
    <w:lvl w:ilvl="0" w:tplc="55BEE5FC">
      <w:start w:val="1"/>
      <w:numFmt w:val="bullet"/>
      <w:lvlText w:val="-"/>
      <w:lvlJc w:val="left"/>
      <w:pPr>
        <w:ind w:left="720" w:hanging="360"/>
      </w:pPr>
      <w:rPr>
        <w:rFonts w:ascii="Times New Roman" w:hAnsi="Times New Roman" w:cs="Times New Roman" w:hint="default"/>
      </w:rPr>
    </w:lvl>
    <w:lvl w:ilvl="1" w:tplc="93440CC8">
      <w:start w:val="1"/>
      <w:numFmt w:val="bullet"/>
      <w:lvlText w:val=""/>
      <w:lvlJc w:val="left"/>
      <w:pPr>
        <w:ind w:left="1440" w:hanging="360"/>
      </w:pPr>
      <w:rPr>
        <w:rFonts w:ascii="Symbol" w:hAnsi="Symbol" w:hint="default"/>
      </w:rPr>
    </w:lvl>
    <w:lvl w:ilvl="2" w:tplc="9F4EEEA8" w:tentative="1">
      <w:start w:val="1"/>
      <w:numFmt w:val="bullet"/>
      <w:lvlText w:val=""/>
      <w:lvlJc w:val="left"/>
      <w:pPr>
        <w:ind w:left="2160" w:hanging="360"/>
      </w:pPr>
      <w:rPr>
        <w:rFonts w:ascii="Wingdings" w:hAnsi="Wingdings" w:hint="default"/>
      </w:rPr>
    </w:lvl>
    <w:lvl w:ilvl="3" w:tplc="3DDC92BC" w:tentative="1">
      <w:start w:val="1"/>
      <w:numFmt w:val="bullet"/>
      <w:lvlText w:val=""/>
      <w:lvlJc w:val="left"/>
      <w:pPr>
        <w:ind w:left="2880" w:hanging="360"/>
      </w:pPr>
      <w:rPr>
        <w:rFonts w:ascii="Symbol" w:hAnsi="Symbol" w:hint="default"/>
      </w:rPr>
    </w:lvl>
    <w:lvl w:ilvl="4" w:tplc="D6CCCE18" w:tentative="1">
      <w:start w:val="1"/>
      <w:numFmt w:val="bullet"/>
      <w:lvlText w:val="o"/>
      <w:lvlJc w:val="left"/>
      <w:pPr>
        <w:ind w:left="3600" w:hanging="360"/>
      </w:pPr>
      <w:rPr>
        <w:rFonts w:ascii="Courier New" w:hAnsi="Courier New" w:cs="Courier New" w:hint="default"/>
      </w:rPr>
    </w:lvl>
    <w:lvl w:ilvl="5" w:tplc="2E2E151C" w:tentative="1">
      <w:start w:val="1"/>
      <w:numFmt w:val="bullet"/>
      <w:lvlText w:val=""/>
      <w:lvlJc w:val="left"/>
      <w:pPr>
        <w:ind w:left="4320" w:hanging="360"/>
      </w:pPr>
      <w:rPr>
        <w:rFonts w:ascii="Wingdings" w:hAnsi="Wingdings" w:hint="default"/>
      </w:rPr>
    </w:lvl>
    <w:lvl w:ilvl="6" w:tplc="262E1D7A" w:tentative="1">
      <w:start w:val="1"/>
      <w:numFmt w:val="bullet"/>
      <w:lvlText w:val=""/>
      <w:lvlJc w:val="left"/>
      <w:pPr>
        <w:ind w:left="5040" w:hanging="360"/>
      </w:pPr>
      <w:rPr>
        <w:rFonts w:ascii="Symbol" w:hAnsi="Symbol" w:hint="default"/>
      </w:rPr>
    </w:lvl>
    <w:lvl w:ilvl="7" w:tplc="409CFE6C" w:tentative="1">
      <w:start w:val="1"/>
      <w:numFmt w:val="bullet"/>
      <w:lvlText w:val="o"/>
      <w:lvlJc w:val="left"/>
      <w:pPr>
        <w:ind w:left="5760" w:hanging="360"/>
      </w:pPr>
      <w:rPr>
        <w:rFonts w:ascii="Courier New" w:hAnsi="Courier New" w:cs="Courier New" w:hint="default"/>
      </w:rPr>
    </w:lvl>
    <w:lvl w:ilvl="8" w:tplc="2C9CEB42" w:tentative="1">
      <w:start w:val="1"/>
      <w:numFmt w:val="bullet"/>
      <w:lvlText w:val=""/>
      <w:lvlJc w:val="left"/>
      <w:pPr>
        <w:ind w:left="6480" w:hanging="360"/>
      </w:pPr>
      <w:rPr>
        <w:rFonts w:ascii="Wingdings" w:hAnsi="Wingdings" w:hint="default"/>
      </w:rPr>
    </w:lvl>
  </w:abstractNum>
  <w:abstractNum w:abstractNumId="134" w15:restartNumberingAfterBreak="0">
    <w:nsid w:val="5DA54616"/>
    <w:multiLevelType w:val="hybridMultilevel"/>
    <w:tmpl w:val="D996FCC0"/>
    <w:lvl w:ilvl="0" w:tplc="7ABAD0BE">
      <w:start w:val="1"/>
      <w:numFmt w:val="bullet"/>
      <w:lvlText w:val=""/>
      <w:lvlJc w:val="left"/>
      <w:pPr>
        <w:ind w:left="720" w:hanging="360"/>
      </w:pPr>
      <w:rPr>
        <w:rFonts w:ascii="Symbol" w:hAnsi="Symbol" w:hint="default"/>
      </w:rPr>
    </w:lvl>
    <w:lvl w:ilvl="1" w:tplc="BF06C822">
      <w:start w:val="1"/>
      <w:numFmt w:val="bullet"/>
      <w:lvlText w:val=""/>
      <w:lvlJc w:val="left"/>
      <w:pPr>
        <w:ind w:left="1440" w:hanging="360"/>
      </w:pPr>
      <w:rPr>
        <w:rFonts w:ascii="Symbol" w:hAnsi="Symbol" w:hint="default"/>
      </w:rPr>
    </w:lvl>
    <w:lvl w:ilvl="2" w:tplc="3FB0C0B0" w:tentative="1">
      <w:start w:val="1"/>
      <w:numFmt w:val="bullet"/>
      <w:lvlText w:val=""/>
      <w:lvlJc w:val="left"/>
      <w:pPr>
        <w:ind w:left="2160" w:hanging="360"/>
      </w:pPr>
      <w:rPr>
        <w:rFonts w:ascii="Wingdings" w:hAnsi="Wingdings" w:hint="default"/>
      </w:rPr>
    </w:lvl>
    <w:lvl w:ilvl="3" w:tplc="CAB65212" w:tentative="1">
      <w:start w:val="1"/>
      <w:numFmt w:val="bullet"/>
      <w:lvlText w:val=""/>
      <w:lvlJc w:val="left"/>
      <w:pPr>
        <w:ind w:left="2880" w:hanging="360"/>
      </w:pPr>
      <w:rPr>
        <w:rFonts w:ascii="Symbol" w:hAnsi="Symbol" w:hint="default"/>
      </w:rPr>
    </w:lvl>
    <w:lvl w:ilvl="4" w:tplc="EB9C3C7C" w:tentative="1">
      <w:start w:val="1"/>
      <w:numFmt w:val="bullet"/>
      <w:lvlText w:val="o"/>
      <w:lvlJc w:val="left"/>
      <w:pPr>
        <w:ind w:left="3600" w:hanging="360"/>
      </w:pPr>
      <w:rPr>
        <w:rFonts w:ascii="Courier New" w:hAnsi="Courier New" w:cs="Courier New" w:hint="default"/>
      </w:rPr>
    </w:lvl>
    <w:lvl w:ilvl="5" w:tplc="C270B4B2" w:tentative="1">
      <w:start w:val="1"/>
      <w:numFmt w:val="bullet"/>
      <w:lvlText w:val=""/>
      <w:lvlJc w:val="left"/>
      <w:pPr>
        <w:ind w:left="4320" w:hanging="360"/>
      </w:pPr>
      <w:rPr>
        <w:rFonts w:ascii="Wingdings" w:hAnsi="Wingdings" w:hint="default"/>
      </w:rPr>
    </w:lvl>
    <w:lvl w:ilvl="6" w:tplc="BBC2B7FC" w:tentative="1">
      <w:start w:val="1"/>
      <w:numFmt w:val="bullet"/>
      <w:lvlText w:val=""/>
      <w:lvlJc w:val="left"/>
      <w:pPr>
        <w:ind w:left="5040" w:hanging="360"/>
      </w:pPr>
      <w:rPr>
        <w:rFonts w:ascii="Symbol" w:hAnsi="Symbol" w:hint="default"/>
      </w:rPr>
    </w:lvl>
    <w:lvl w:ilvl="7" w:tplc="F6A00958" w:tentative="1">
      <w:start w:val="1"/>
      <w:numFmt w:val="bullet"/>
      <w:lvlText w:val="o"/>
      <w:lvlJc w:val="left"/>
      <w:pPr>
        <w:ind w:left="5760" w:hanging="360"/>
      </w:pPr>
      <w:rPr>
        <w:rFonts w:ascii="Courier New" w:hAnsi="Courier New" w:cs="Courier New" w:hint="default"/>
      </w:rPr>
    </w:lvl>
    <w:lvl w:ilvl="8" w:tplc="F4A61090" w:tentative="1">
      <w:start w:val="1"/>
      <w:numFmt w:val="bullet"/>
      <w:lvlText w:val=""/>
      <w:lvlJc w:val="left"/>
      <w:pPr>
        <w:ind w:left="6480" w:hanging="360"/>
      </w:pPr>
      <w:rPr>
        <w:rFonts w:ascii="Wingdings" w:hAnsi="Wingdings" w:hint="default"/>
      </w:rPr>
    </w:lvl>
  </w:abstractNum>
  <w:abstractNum w:abstractNumId="135" w15:restartNumberingAfterBreak="0">
    <w:nsid w:val="5DE90D92"/>
    <w:multiLevelType w:val="hybridMultilevel"/>
    <w:tmpl w:val="820ED274"/>
    <w:lvl w:ilvl="0" w:tplc="BBFEB136">
      <w:start w:val="1"/>
      <w:numFmt w:val="bullet"/>
      <w:lvlText w:val=""/>
      <w:lvlJc w:val="left"/>
      <w:pPr>
        <w:ind w:left="720" w:hanging="360"/>
      </w:pPr>
      <w:rPr>
        <w:rFonts w:ascii="Symbol" w:hAnsi="Symbol" w:hint="default"/>
      </w:rPr>
    </w:lvl>
    <w:lvl w:ilvl="1" w:tplc="FBB62272" w:tentative="1">
      <w:start w:val="1"/>
      <w:numFmt w:val="bullet"/>
      <w:lvlText w:val="o"/>
      <w:lvlJc w:val="left"/>
      <w:pPr>
        <w:ind w:left="1440" w:hanging="360"/>
      </w:pPr>
      <w:rPr>
        <w:rFonts w:ascii="Courier New" w:hAnsi="Courier New" w:cs="Courier New" w:hint="default"/>
      </w:rPr>
    </w:lvl>
    <w:lvl w:ilvl="2" w:tplc="DB200CD8" w:tentative="1">
      <w:start w:val="1"/>
      <w:numFmt w:val="bullet"/>
      <w:lvlText w:val=""/>
      <w:lvlJc w:val="left"/>
      <w:pPr>
        <w:ind w:left="2160" w:hanging="360"/>
      </w:pPr>
      <w:rPr>
        <w:rFonts w:ascii="Wingdings" w:hAnsi="Wingdings" w:hint="default"/>
      </w:rPr>
    </w:lvl>
    <w:lvl w:ilvl="3" w:tplc="1A10544A" w:tentative="1">
      <w:start w:val="1"/>
      <w:numFmt w:val="bullet"/>
      <w:lvlText w:val=""/>
      <w:lvlJc w:val="left"/>
      <w:pPr>
        <w:ind w:left="2880" w:hanging="360"/>
      </w:pPr>
      <w:rPr>
        <w:rFonts w:ascii="Symbol" w:hAnsi="Symbol" w:hint="default"/>
      </w:rPr>
    </w:lvl>
    <w:lvl w:ilvl="4" w:tplc="324E2622" w:tentative="1">
      <w:start w:val="1"/>
      <w:numFmt w:val="bullet"/>
      <w:lvlText w:val="o"/>
      <w:lvlJc w:val="left"/>
      <w:pPr>
        <w:ind w:left="3600" w:hanging="360"/>
      </w:pPr>
      <w:rPr>
        <w:rFonts w:ascii="Courier New" w:hAnsi="Courier New" w:cs="Courier New" w:hint="default"/>
      </w:rPr>
    </w:lvl>
    <w:lvl w:ilvl="5" w:tplc="280CBB66" w:tentative="1">
      <w:start w:val="1"/>
      <w:numFmt w:val="bullet"/>
      <w:lvlText w:val=""/>
      <w:lvlJc w:val="left"/>
      <w:pPr>
        <w:ind w:left="4320" w:hanging="360"/>
      </w:pPr>
      <w:rPr>
        <w:rFonts w:ascii="Wingdings" w:hAnsi="Wingdings" w:hint="default"/>
      </w:rPr>
    </w:lvl>
    <w:lvl w:ilvl="6" w:tplc="EB92D87A" w:tentative="1">
      <w:start w:val="1"/>
      <w:numFmt w:val="bullet"/>
      <w:lvlText w:val=""/>
      <w:lvlJc w:val="left"/>
      <w:pPr>
        <w:ind w:left="5040" w:hanging="360"/>
      </w:pPr>
      <w:rPr>
        <w:rFonts w:ascii="Symbol" w:hAnsi="Symbol" w:hint="default"/>
      </w:rPr>
    </w:lvl>
    <w:lvl w:ilvl="7" w:tplc="5626845E" w:tentative="1">
      <w:start w:val="1"/>
      <w:numFmt w:val="bullet"/>
      <w:lvlText w:val="o"/>
      <w:lvlJc w:val="left"/>
      <w:pPr>
        <w:ind w:left="5760" w:hanging="360"/>
      </w:pPr>
      <w:rPr>
        <w:rFonts w:ascii="Courier New" w:hAnsi="Courier New" w:cs="Courier New" w:hint="default"/>
      </w:rPr>
    </w:lvl>
    <w:lvl w:ilvl="8" w:tplc="82CE7D72" w:tentative="1">
      <w:start w:val="1"/>
      <w:numFmt w:val="bullet"/>
      <w:lvlText w:val=""/>
      <w:lvlJc w:val="left"/>
      <w:pPr>
        <w:ind w:left="6480" w:hanging="360"/>
      </w:pPr>
      <w:rPr>
        <w:rFonts w:ascii="Wingdings" w:hAnsi="Wingdings" w:hint="default"/>
      </w:rPr>
    </w:lvl>
  </w:abstractNum>
  <w:abstractNum w:abstractNumId="136" w15:restartNumberingAfterBreak="0">
    <w:nsid w:val="5E151577"/>
    <w:multiLevelType w:val="hybridMultilevel"/>
    <w:tmpl w:val="7384320E"/>
    <w:lvl w:ilvl="0" w:tplc="B0E27158">
      <w:start w:val="1"/>
      <w:numFmt w:val="bullet"/>
      <w:lvlText w:val=""/>
      <w:lvlJc w:val="left"/>
      <w:pPr>
        <w:ind w:left="720" w:hanging="360"/>
      </w:pPr>
      <w:rPr>
        <w:rFonts w:ascii="Symbol" w:hAnsi="Symbol" w:hint="default"/>
      </w:rPr>
    </w:lvl>
    <w:lvl w:ilvl="1" w:tplc="D9CCFED0" w:tentative="1">
      <w:start w:val="1"/>
      <w:numFmt w:val="bullet"/>
      <w:lvlText w:val="o"/>
      <w:lvlJc w:val="left"/>
      <w:pPr>
        <w:ind w:left="1440" w:hanging="360"/>
      </w:pPr>
      <w:rPr>
        <w:rFonts w:ascii="Courier New" w:hAnsi="Courier New" w:cs="Courier New" w:hint="default"/>
      </w:rPr>
    </w:lvl>
    <w:lvl w:ilvl="2" w:tplc="1EF05BCC" w:tentative="1">
      <w:start w:val="1"/>
      <w:numFmt w:val="bullet"/>
      <w:lvlText w:val=""/>
      <w:lvlJc w:val="left"/>
      <w:pPr>
        <w:ind w:left="2160" w:hanging="360"/>
      </w:pPr>
      <w:rPr>
        <w:rFonts w:ascii="Wingdings" w:hAnsi="Wingdings" w:hint="default"/>
      </w:rPr>
    </w:lvl>
    <w:lvl w:ilvl="3" w:tplc="34261D32" w:tentative="1">
      <w:start w:val="1"/>
      <w:numFmt w:val="bullet"/>
      <w:lvlText w:val=""/>
      <w:lvlJc w:val="left"/>
      <w:pPr>
        <w:ind w:left="2880" w:hanging="360"/>
      </w:pPr>
      <w:rPr>
        <w:rFonts w:ascii="Symbol" w:hAnsi="Symbol" w:hint="default"/>
      </w:rPr>
    </w:lvl>
    <w:lvl w:ilvl="4" w:tplc="613CC32A" w:tentative="1">
      <w:start w:val="1"/>
      <w:numFmt w:val="bullet"/>
      <w:lvlText w:val="o"/>
      <w:lvlJc w:val="left"/>
      <w:pPr>
        <w:ind w:left="3600" w:hanging="360"/>
      </w:pPr>
      <w:rPr>
        <w:rFonts w:ascii="Courier New" w:hAnsi="Courier New" w:cs="Courier New" w:hint="default"/>
      </w:rPr>
    </w:lvl>
    <w:lvl w:ilvl="5" w:tplc="B0F2AE3C" w:tentative="1">
      <w:start w:val="1"/>
      <w:numFmt w:val="bullet"/>
      <w:lvlText w:val=""/>
      <w:lvlJc w:val="left"/>
      <w:pPr>
        <w:ind w:left="4320" w:hanging="360"/>
      </w:pPr>
      <w:rPr>
        <w:rFonts w:ascii="Wingdings" w:hAnsi="Wingdings" w:hint="default"/>
      </w:rPr>
    </w:lvl>
    <w:lvl w:ilvl="6" w:tplc="E7E2567A" w:tentative="1">
      <w:start w:val="1"/>
      <w:numFmt w:val="bullet"/>
      <w:lvlText w:val=""/>
      <w:lvlJc w:val="left"/>
      <w:pPr>
        <w:ind w:left="5040" w:hanging="360"/>
      </w:pPr>
      <w:rPr>
        <w:rFonts w:ascii="Symbol" w:hAnsi="Symbol" w:hint="default"/>
      </w:rPr>
    </w:lvl>
    <w:lvl w:ilvl="7" w:tplc="EC4C9E02" w:tentative="1">
      <w:start w:val="1"/>
      <w:numFmt w:val="bullet"/>
      <w:lvlText w:val="o"/>
      <w:lvlJc w:val="left"/>
      <w:pPr>
        <w:ind w:left="5760" w:hanging="360"/>
      </w:pPr>
      <w:rPr>
        <w:rFonts w:ascii="Courier New" w:hAnsi="Courier New" w:cs="Courier New" w:hint="default"/>
      </w:rPr>
    </w:lvl>
    <w:lvl w:ilvl="8" w:tplc="3C3A0004" w:tentative="1">
      <w:start w:val="1"/>
      <w:numFmt w:val="bullet"/>
      <w:lvlText w:val=""/>
      <w:lvlJc w:val="left"/>
      <w:pPr>
        <w:ind w:left="6480" w:hanging="360"/>
      </w:pPr>
      <w:rPr>
        <w:rFonts w:ascii="Wingdings" w:hAnsi="Wingdings" w:hint="default"/>
      </w:rPr>
    </w:lvl>
  </w:abstractNum>
  <w:abstractNum w:abstractNumId="137" w15:restartNumberingAfterBreak="0">
    <w:nsid w:val="5F911B36"/>
    <w:multiLevelType w:val="hybridMultilevel"/>
    <w:tmpl w:val="20189724"/>
    <w:lvl w:ilvl="0" w:tplc="D36C6AF6">
      <w:start w:val="1"/>
      <w:numFmt w:val="bullet"/>
      <w:lvlText w:val=""/>
      <w:lvlJc w:val="left"/>
      <w:pPr>
        <w:ind w:left="720" w:hanging="360"/>
      </w:pPr>
      <w:rPr>
        <w:rFonts w:ascii="Symbol" w:hAnsi="Symbol" w:hint="default"/>
      </w:rPr>
    </w:lvl>
    <w:lvl w:ilvl="1" w:tplc="EE3648EA" w:tentative="1">
      <w:start w:val="1"/>
      <w:numFmt w:val="bullet"/>
      <w:lvlText w:val="o"/>
      <w:lvlJc w:val="left"/>
      <w:pPr>
        <w:ind w:left="1440" w:hanging="360"/>
      </w:pPr>
      <w:rPr>
        <w:rFonts w:ascii="Courier New" w:hAnsi="Courier New" w:cs="Courier New" w:hint="default"/>
      </w:rPr>
    </w:lvl>
    <w:lvl w:ilvl="2" w:tplc="98349E3C" w:tentative="1">
      <w:start w:val="1"/>
      <w:numFmt w:val="bullet"/>
      <w:lvlText w:val=""/>
      <w:lvlJc w:val="left"/>
      <w:pPr>
        <w:ind w:left="2160" w:hanging="360"/>
      </w:pPr>
      <w:rPr>
        <w:rFonts w:ascii="Wingdings" w:hAnsi="Wingdings" w:hint="default"/>
      </w:rPr>
    </w:lvl>
    <w:lvl w:ilvl="3" w:tplc="14A424F4" w:tentative="1">
      <w:start w:val="1"/>
      <w:numFmt w:val="bullet"/>
      <w:lvlText w:val=""/>
      <w:lvlJc w:val="left"/>
      <w:pPr>
        <w:ind w:left="2880" w:hanging="360"/>
      </w:pPr>
      <w:rPr>
        <w:rFonts w:ascii="Symbol" w:hAnsi="Symbol" w:hint="default"/>
      </w:rPr>
    </w:lvl>
    <w:lvl w:ilvl="4" w:tplc="12803AD0" w:tentative="1">
      <w:start w:val="1"/>
      <w:numFmt w:val="bullet"/>
      <w:lvlText w:val="o"/>
      <w:lvlJc w:val="left"/>
      <w:pPr>
        <w:ind w:left="3600" w:hanging="360"/>
      </w:pPr>
      <w:rPr>
        <w:rFonts w:ascii="Courier New" w:hAnsi="Courier New" w:cs="Courier New" w:hint="default"/>
      </w:rPr>
    </w:lvl>
    <w:lvl w:ilvl="5" w:tplc="BE10ED14" w:tentative="1">
      <w:start w:val="1"/>
      <w:numFmt w:val="bullet"/>
      <w:lvlText w:val=""/>
      <w:lvlJc w:val="left"/>
      <w:pPr>
        <w:ind w:left="4320" w:hanging="360"/>
      </w:pPr>
      <w:rPr>
        <w:rFonts w:ascii="Wingdings" w:hAnsi="Wingdings" w:hint="default"/>
      </w:rPr>
    </w:lvl>
    <w:lvl w:ilvl="6" w:tplc="C2DCF9D2" w:tentative="1">
      <w:start w:val="1"/>
      <w:numFmt w:val="bullet"/>
      <w:lvlText w:val=""/>
      <w:lvlJc w:val="left"/>
      <w:pPr>
        <w:ind w:left="5040" w:hanging="360"/>
      </w:pPr>
      <w:rPr>
        <w:rFonts w:ascii="Symbol" w:hAnsi="Symbol" w:hint="default"/>
      </w:rPr>
    </w:lvl>
    <w:lvl w:ilvl="7" w:tplc="9326BC70" w:tentative="1">
      <w:start w:val="1"/>
      <w:numFmt w:val="bullet"/>
      <w:lvlText w:val="o"/>
      <w:lvlJc w:val="left"/>
      <w:pPr>
        <w:ind w:left="5760" w:hanging="360"/>
      </w:pPr>
      <w:rPr>
        <w:rFonts w:ascii="Courier New" w:hAnsi="Courier New" w:cs="Courier New" w:hint="default"/>
      </w:rPr>
    </w:lvl>
    <w:lvl w:ilvl="8" w:tplc="90B6F922" w:tentative="1">
      <w:start w:val="1"/>
      <w:numFmt w:val="bullet"/>
      <w:lvlText w:val=""/>
      <w:lvlJc w:val="left"/>
      <w:pPr>
        <w:ind w:left="6480" w:hanging="360"/>
      </w:pPr>
      <w:rPr>
        <w:rFonts w:ascii="Wingdings" w:hAnsi="Wingdings" w:hint="default"/>
      </w:rPr>
    </w:lvl>
  </w:abstractNum>
  <w:abstractNum w:abstractNumId="138" w15:restartNumberingAfterBreak="0">
    <w:nsid w:val="613738DF"/>
    <w:multiLevelType w:val="multilevel"/>
    <w:tmpl w:val="FDC2AD04"/>
    <w:lvl w:ilvl="0">
      <w:start w:val="3"/>
      <w:numFmt w:val="decimal"/>
      <w:lvlText w:val="%1."/>
      <w:lvlJc w:val="left"/>
      <w:pPr>
        <w:ind w:left="495" w:hanging="495"/>
      </w:pPr>
      <w:rPr>
        <w:rFonts w:eastAsia="Times New Roman" w:hint="default"/>
      </w:rPr>
    </w:lvl>
    <w:lvl w:ilvl="1">
      <w:start w:val="6"/>
      <w:numFmt w:val="decimal"/>
      <w:lvlText w:val="%1.%2."/>
      <w:lvlJc w:val="left"/>
      <w:pPr>
        <w:ind w:left="720" w:hanging="495"/>
      </w:pPr>
      <w:rPr>
        <w:rFonts w:eastAsia="Times New Roman" w:hint="default"/>
      </w:rPr>
    </w:lvl>
    <w:lvl w:ilvl="2">
      <w:start w:val="1"/>
      <w:numFmt w:val="decimal"/>
      <w:lvlText w:val="%1.%2.%3."/>
      <w:lvlJc w:val="left"/>
      <w:pPr>
        <w:ind w:left="1170" w:hanging="720"/>
      </w:pPr>
      <w:rPr>
        <w:rFonts w:eastAsia="Times New Roman" w:hint="default"/>
      </w:rPr>
    </w:lvl>
    <w:lvl w:ilvl="3">
      <w:start w:val="1"/>
      <w:numFmt w:val="decimal"/>
      <w:lvlText w:val="%1.%2.%3.%4."/>
      <w:lvlJc w:val="left"/>
      <w:pPr>
        <w:ind w:left="1395" w:hanging="720"/>
      </w:pPr>
      <w:rPr>
        <w:rFonts w:eastAsia="Times New Roman" w:hint="default"/>
      </w:rPr>
    </w:lvl>
    <w:lvl w:ilvl="4">
      <w:start w:val="1"/>
      <w:numFmt w:val="decimal"/>
      <w:lvlText w:val="%1.%2.%3.%4.%5."/>
      <w:lvlJc w:val="left"/>
      <w:pPr>
        <w:ind w:left="1980" w:hanging="1080"/>
      </w:pPr>
      <w:rPr>
        <w:rFonts w:eastAsia="Times New Roman" w:hint="default"/>
      </w:rPr>
    </w:lvl>
    <w:lvl w:ilvl="5">
      <w:start w:val="1"/>
      <w:numFmt w:val="decimal"/>
      <w:lvlText w:val="%1.%2.%3.%4.%5.%6."/>
      <w:lvlJc w:val="left"/>
      <w:pPr>
        <w:ind w:left="2205" w:hanging="1080"/>
      </w:pPr>
      <w:rPr>
        <w:rFonts w:eastAsia="Times New Roman" w:hint="default"/>
      </w:rPr>
    </w:lvl>
    <w:lvl w:ilvl="6">
      <w:start w:val="1"/>
      <w:numFmt w:val="decimal"/>
      <w:lvlText w:val="%1.%2.%3.%4.%5.%6.%7."/>
      <w:lvlJc w:val="left"/>
      <w:pPr>
        <w:ind w:left="2430" w:hanging="1080"/>
      </w:pPr>
      <w:rPr>
        <w:rFonts w:eastAsia="Times New Roman" w:hint="default"/>
      </w:rPr>
    </w:lvl>
    <w:lvl w:ilvl="7">
      <w:start w:val="1"/>
      <w:numFmt w:val="decimal"/>
      <w:lvlText w:val="%1.%2.%3.%4.%5.%6.%7.%8."/>
      <w:lvlJc w:val="left"/>
      <w:pPr>
        <w:ind w:left="3015" w:hanging="1440"/>
      </w:pPr>
      <w:rPr>
        <w:rFonts w:eastAsia="Times New Roman" w:hint="default"/>
      </w:rPr>
    </w:lvl>
    <w:lvl w:ilvl="8">
      <w:start w:val="1"/>
      <w:numFmt w:val="decimal"/>
      <w:lvlText w:val="%1.%2.%3.%4.%5.%6.%7.%8.%9."/>
      <w:lvlJc w:val="left"/>
      <w:pPr>
        <w:ind w:left="3240" w:hanging="1440"/>
      </w:pPr>
      <w:rPr>
        <w:rFonts w:eastAsia="Times New Roman" w:hint="default"/>
      </w:rPr>
    </w:lvl>
  </w:abstractNum>
  <w:abstractNum w:abstractNumId="139" w15:restartNumberingAfterBreak="0">
    <w:nsid w:val="623B2DB8"/>
    <w:multiLevelType w:val="hybridMultilevel"/>
    <w:tmpl w:val="44D893D6"/>
    <w:lvl w:ilvl="0" w:tplc="B3206AD8">
      <w:start w:val="1"/>
      <w:numFmt w:val="bullet"/>
      <w:lvlText w:val=""/>
      <w:lvlJc w:val="left"/>
      <w:pPr>
        <w:ind w:left="720" w:hanging="360"/>
      </w:pPr>
      <w:rPr>
        <w:rFonts w:ascii="Symbol" w:hAnsi="Symbol" w:hint="default"/>
      </w:rPr>
    </w:lvl>
    <w:lvl w:ilvl="1" w:tplc="64B03CEA" w:tentative="1">
      <w:start w:val="1"/>
      <w:numFmt w:val="bullet"/>
      <w:lvlText w:val="o"/>
      <w:lvlJc w:val="left"/>
      <w:pPr>
        <w:ind w:left="1440" w:hanging="360"/>
      </w:pPr>
      <w:rPr>
        <w:rFonts w:ascii="Courier New" w:hAnsi="Courier New" w:cs="Courier New" w:hint="default"/>
      </w:rPr>
    </w:lvl>
    <w:lvl w:ilvl="2" w:tplc="6B0C3032" w:tentative="1">
      <w:start w:val="1"/>
      <w:numFmt w:val="bullet"/>
      <w:lvlText w:val=""/>
      <w:lvlJc w:val="left"/>
      <w:pPr>
        <w:ind w:left="2160" w:hanging="360"/>
      </w:pPr>
      <w:rPr>
        <w:rFonts w:ascii="Wingdings" w:hAnsi="Wingdings" w:hint="default"/>
      </w:rPr>
    </w:lvl>
    <w:lvl w:ilvl="3" w:tplc="43FA42BA" w:tentative="1">
      <w:start w:val="1"/>
      <w:numFmt w:val="bullet"/>
      <w:lvlText w:val=""/>
      <w:lvlJc w:val="left"/>
      <w:pPr>
        <w:ind w:left="2880" w:hanging="360"/>
      </w:pPr>
      <w:rPr>
        <w:rFonts w:ascii="Symbol" w:hAnsi="Symbol" w:hint="default"/>
      </w:rPr>
    </w:lvl>
    <w:lvl w:ilvl="4" w:tplc="36CC9C64" w:tentative="1">
      <w:start w:val="1"/>
      <w:numFmt w:val="bullet"/>
      <w:lvlText w:val="o"/>
      <w:lvlJc w:val="left"/>
      <w:pPr>
        <w:ind w:left="3600" w:hanging="360"/>
      </w:pPr>
      <w:rPr>
        <w:rFonts w:ascii="Courier New" w:hAnsi="Courier New" w:cs="Courier New" w:hint="default"/>
      </w:rPr>
    </w:lvl>
    <w:lvl w:ilvl="5" w:tplc="504E5824" w:tentative="1">
      <w:start w:val="1"/>
      <w:numFmt w:val="bullet"/>
      <w:lvlText w:val=""/>
      <w:lvlJc w:val="left"/>
      <w:pPr>
        <w:ind w:left="4320" w:hanging="360"/>
      </w:pPr>
      <w:rPr>
        <w:rFonts w:ascii="Wingdings" w:hAnsi="Wingdings" w:hint="default"/>
      </w:rPr>
    </w:lvl>
    <w:lvl w:ilvl="6" w:tplc="DAB037CC" w:tentative="1">
      <w:start w:val="1"/>
      <w:numFmt w:val="bullet"/>
      <w:lvlText w:val=""/>
      <w:lvlJc w:val="left"/>
      <w:pPr>
        <w:ind w:left="5040" w:hanging="360"/>
      </w:pPr>
      <w:rPr>
        <w:rFonts w:ascii="Symbol" w:hAnsi="Symbol" w:hint="default"/>
      </w:rPr>
    </w:lvl>
    <w:lvl w:ilvl="7" w:tplc="E4DC4E36" w:tentative="1">
      <w:start w:val="1"/>
      <w:numFmt w:val="bullet"/>
      <w:lvlText w:val="o"/>
      <w:lvlJc w:val="left"/>
      <w:pPr>
        <w:ind w:left="5760" w:hanging="360"/>
      </w:pPr>
      <w:rPr>
        <w:rFonts w:ascii="Courier New" w:hAnsi="Courier New" w:cs="Courier New" w:hint="default"/>
      </w:rPr>
    </w:lvl>
    <w:lvl w:ilvl="8" w:tplc="F34670DC" w:tentative="1">
      <w:start w:val="1"/>
      <w:numFmt w:val="bullet"/>
      <w:lvlText w:val=""/>
      <w:lvlJc w:val="left"/>
      <w:pPr>
        <w:ind w:left="6480" w:hanging="360"/>
      </w:pPr>
      <w:rPr>
        <w:rFonts w:ascii="Wingdings" w:hAnsi="Wingdings" w:hint="default"/>
      </w:rPr>
    </w:lvl>
  </w:abstractNum>
  <w:abstractNum w:abstractNumId="140" w15:restartNumberingAfterBreak="0">
    <w:nsid w:val="62510AEB"/>
    <w:multiLevelType w:val="multilevel"/>
    <w:tmpl w:val="B6ECFC40"/>
    <w:lvl w:ilvl="0">
      <w:start w:val="1"/>
      <w:numFmt w:val="decimal"/>
      <w:lvlText w:val="%1."/>
      <w:lvlJc w:val="left"/>
      <w:pPr>
        <w:ind w:left="450" w:hanging="450"/>
      </w:pPr>
      <w:rPr>
        <w:rFonts w:hint="default"/>
      </w:rPr>
    </w:lvl>
    <w:lvl w:ilvl="1">
      <w:start w:val="1"/>
      <w:numFmt w:val="decimal"/>
      <w:lvlText w:val="%1.%2."/>
      <w:lvlJc w:val="left"/>
      <w:pPr>
        <w:ind w:left="838" w:hanging="720"/>
      </w:pPr>
      <w:rPr>
        <w:rFonts w:hint="default"/>
        <w:b/>
      </w:rPr>
    </w:lvl>
    <w:lvl w:ilvl="2">
      <w:start w:val="1"/>
      <w:numFmt w:val="decimal"/>
      <w:lvlText w:val="%1.%2.%3."/>
      <w:lvlJc w:val="left"/>
      <w:pPr>
        <w:ind w:left="956" w:hanging="720"/>
      </w:pPr>
      <w:rPr>
        <w:rFonts w:hint="default"/>
      </w:rPr>
    </w:lvl>
    <w:lvl w:ilvl="3">
      <w:start w:val="1"/>
      <w:numFmt w:val="decimal"/>
      <w:lvlText w:val="%1.%2.%3.%4."/>
      <w:lvlJc w:val="left"/>
      <w:pPr>
        <w:ind w:left="1434" w:hanging="1080"/>
      </w:pPr>
      <w:rPr>
        <w:rFonts w:hint="default"/>
      </w:rPr>
    </w:lvl>
    <w:lvl w:ilvl="4">
      <w:start w:val="1"/>
      <w:numFmt w:val="decimal"/>
      <w:lvlText w:val="%1.%2.%3.%4.%5."/>
      <w:lvlJc w:val="left"/>
      <w:pPr>
        <w:ind w:left="1552" w:hanging="1080"/>
      </w:pPr>
      <w:rPr>
        <w:rFonts w:hint="default"/>
      </w:rPr>
    </w:lvl>
    <w:lvl w:ilvl="5">
      <w:start w:val="1"/>
      <w:numFmt w:val="decimal"/>
      <w:lvlText w:val="%1.%2.%3.%4.%5.%6."/>
      <w:lvlJc w:val="left"/>
      <w:pPr>
        <w:ind w:left="2030" w:hanging="1440"/>
      </w:pPr>
      <w:rPr>
        <w:rFonts w:hint="default"/>
      </w:rPr>
    </w:lvl>
    <w:lvl w:ilvl="6">
      <w:start w:val="1"/>
      <w:numFmt w:val="decimal"/>
      <w:lvlText w:val="%1.%2.%3.%4.%5.%6.%7."/>
      <w:lvlJc w:val="left"/>
      <w:pPr>
        <w:ind w:left="2508" w:hanging="1800"/>
      </w:pPr>
      <w:rPr>
        <w:rFonts w:hint="default"/>
      </w:rPr>
    </w:lvl>
    <w:lvl w:ilvl="7">
      <w:start w:val="1"/>
      <w:numFmt w:val="decimal"/>
      <w:lvlText w:val="%1.%2.%3.%4.%5.%6.%7.%8."/>
      <w:lvlJc w:val="left"/>
      <w:pPr>
        <w:ind w:left="2626" w:hanging="1800"/>
      </w:pPr>
      <w:rPr>
        <w:rFonts w:hint="default"/>
      </w:rPr>
    </w:lvl>
    <w:lvl w:ilvl="8">
      <w:start w:val="1"/>
      <w:numFmt w:val="decimal"/>
      <w:lvlText w:val="%1.%2.%3.%4.%5.%6.%7.%8.%9."/>
      <w:lvlJc w:val="left"/>
      <w:pPr>
        <w:ind w:left="3104" w:hanging="2160"/>
      </w:pPr>
      <w:rPr>
        <w:rFonts w:hint="default"/>
      </w:rPr>
    </w:lvl>
  </w:abstractNum>
  <w:abstractNum w:abstractNumId="141" w15:restartNumberingAfterBreak="0">
    <w:nsid w:val="626C2042"/>
    <w:multiLevelType w:val="hybridMultilevel"/>
    <w:tmpl w:val="CB307326"/>
    <w:lvl w:ilvl="0" w:tplc="99AAAF66">
      <w:start w:val="1"/>
      <w:numFmt w:val="decimal"/>
      <w:lvlText w:val="%1."/>
      <w:lvlJc w:val="left"/>
      <w:pPr>
        <w:ind w:left="720" w:hanging="360"/>
      </w:pPr>
      <w:rPr>
        <w:rFonts w:eastAsia="Times New Roman" w:hint="default"/>
      </w:rPr>
    </w:lvl>
    <w:lvl w:ilvl="1" w:tplc="793EC3EC" w:tentative="1">
      <w:start w:val="1"/>
      <w:numFmt w:val="lowerLetter"/>
      <w:lvlText w:val="%2."/>
      <w:lvlJc w:val="left"/>
      <w:pPr>
        <w:ind w:left="1440" w:hanging="360"/>
      </w:pPr>
    </w:lvl>
    <w:lvl w:ilvl="2" w:tplc="E50E0B4C" w:tentative="1">
      <w:start w:val="1"/>
      <w:numFmt w:val="lowerRoman"/>
      <w:lvlText w:val="%3."/>
      <w:lvlJc w:val="right"/>
      <w:pPr>
        <w:ind w:left="2160" w:hanging="180"/>
      </w:pPr>
    </w:lvl>
    <w:lvl w:ilvl="3" w:tplc="E66679F2" w:tentative="1">
      <w:start w:val="1"/>
      <w:numFmt w:val="decimal"/>
      <w:lvlText w:val="%4."/>
      <w:lvlJc w:val="left"/>
      <w:pPr>
        <w:ind w:left="2880" w:hanging="360"/>
      </w:pPr>
    </w:lvl>
    <w:lvl w:ilvl="4" w:tplc="D7F8BFAC" w:tentative="1">
      <w:start w:val="1"/>
      <w:numFmt w:val="lowerLetter"/>
      <w:lvlText w:val="%5."/>
      <w:lvlJc w:val="left"/>
      <w:pPr>
        <w:ind w:left="3600" w:hanging="360"/>
      </w:pPr>
    </w:lvl>
    <w:lvl w:ilvl="5" w:tplc="B03C7662" w:tentative="1">
      <w:start w:val="1"/>
      <w:numFmt w:val="lowerRoman"/>
      <w:lvlText w:val="%6."/>
      <w:lvlJc w:val="right"/>
      <w:pPr>
        <w:ind w:left="4320" w:hanging="180"/>
      </w:pPr>
    </w:lvl>
    <w:lvl w:ilvl="6" w:tplc="01AA22C2" w:tentative="1">
      <w:start w:val="1"/>
      <w:numFmt w:val="decimal"/>
      <w:lvlText w:val="%7."/>
      <w:lvlJc w:val="left"/>
      <w:pPr>
        <w:ind w:left="5040" w:hanging="360"/>
      </w:pPr>
    </w:lvl>
    <w:lvl w:ilvl="7" w:tplc="C908ED30" w:tentative="1">
      <w:start w:val="1"/>
      <w:numFmt w:val="lowerLetter"/>
      <w:lvlText w:val="%8."/>
      <w:lvlJc w:val="left"/>
      <w:pPr>
        <w:ind w:left="5760" w:hanging="360"/>
      </w:pPr>
    </w:lvl>
    <w:lvl w:ilvl="8" w:tplc="EF9A95CA" w:tentative="1">
      <w:start w:val="1"/>
      <w:numFmt w:val="lowerRoman"/>
      <w:lvlText w:val="%9."/>
      <w:lvlJc w:val="right"/>
      <w:pPr>
        <w:ind w:left="6480" w:hanging="180"/>
      </w:pPr>
    </w:lvl>
  </w:abstractNum>
  <w:abstractNum w:abstractNumId="142" w15:restartNumberingAfterBreak="0">
    <w:nsid w:val="62D43789"/>
    <w:multiLevelType w:val="hybridMultilevel"/>
    <w:tmpl w:val="7FC89A12"/>
    <w:lvl w:ilvl="0" w:tplc="0D7253E2">
      <w:start w:val="1"/>
      <w:numFmt w:val="bullet"/>
      <w:lvlText w:val=""/>
      <w:lvlJc w:val="left"/>
      <w:pPr>
        <w:ind w:left="720" w:hanging="360"/>
      </w:pPr>
      <w:rPr>
        <w:rFonts w:ascii="Symbol" w:hAnsi="Symbol" w:hint="default"/>
      </w:rPr>
    </w:lvl>
    <w:lvl w:ilvl="1" w:tplc="569C2054" w:tentative="1">
      <w:start w:val="1"/>
      <w:numFmt w:val="bullet"/>
      <w:lvlText w:val="o"/>
      <w:lvlJc w:val="left"/>
      <w:pPr>
        <w:ind w:left="1440" w:hanging="360"/>
      </w:pPr>
      <w:rPr>
        <w:rFonts w:ascii="Courier New" w:hAnsi="Courier New" w:cs="Courier New" w:hint="default"/>
      </w:rPr>
    </w:lvl>
    <w:lvl w:ilvl="2" w:tplc="9C4CBDBA" w:tentative="1">
      <w:start w:val="1"/>
      <w:numFmt w:val="bullet"/>
      <w:lvlText w:val=""/>
      <w:lvlJc w:val="left"/>
      <w:pPr>
        <w:ind w:left="2160" w:hanging="360"/>
      </w:pPr>
      <w:rPr>
        <w:rFonts w:ascii="Wingdings" w:hAnsi="Wingdings" w:hint="default"/>
      </w:rPr>
    </w:lvl>
    <w:lvl w:ilvl="3" w:tplc="2B1E6BA6" w:tentative="1">
      <w:start w:val="1"/>
      <w:numFmt w:val="bullet"/>
      <w:lvlText w:val=""/>
      <w:lvlJc w:val="left"/>
      <w:pPr>
        <w:ind w:left="2880" w:hanging="360"/>
      </w:pPr>
      <w:rPr>
        <w:rFonts w:ascii="Symbol" w:hAnsi="Symbol" w:hint="default"/>
      </w:rPr>
    </w:lvl>
    <w:lvl w:ilvl="4" w:tplc="1ED2CB7E" w:tentative="1">
      <w:start w:val="1"/>
      <w:numFmt w:val="bullet"/>
      <w:lvlText w:val="o"/>
      <w:lvlJc w:val="left"/>
      <w:pPr>
        <w:ind w:left="3600" w:hanging="360"/>
      </w:pPr>
      <w:rPr>
        <w:rFonts w:ascii="Courier New" w:hAnsi="Courier New" w:cs="Courier New" w:hint="default"/>
      </w:rPr>
    </w:lvl>
    <w:lvl w:ilvl="5" w:tplc="53509334" w:tentative="1">
      <w:start w:val="1"/>
      <w:numFmt w:val="bullet"/>
      <w:lvlText w:val=""/>
      <w:lvlJc w:val="left"/>
      <w:pPr>
        <w:ind w:left="4320" w:hanging="360"/>
      </w:pPr>
      <w:rPr>
        <w:rFonts w:ascii="Wingdings" w:hAnsi="Wingdings" w:hint="default"/>
      </w:rPr>
    </w:lvl>
    <w:lvl w:ilvl="6" w:tplc="C23ABE76" w:tentative="1">
      <w:start w:val="1"/>
      <w:numFmt w:val="bullet"/>
      <w:lvlText w:val=""/>
      <w:lvlJc w:val="left"/>
      <w:pPr>
        <w:ind w:left="5040" w:hanging="360"/>
      </w:pPr>
      <w:rPr>
        <w:rFonts w:ascii="Symbol" w:hAnsi="Symbol" w:hint="default"/>
      </w:rPr>
    </w:lvl>
    <w:lvl w:ilvl="7" w:tplc="5F7208A2" w:tentative="1">
      <w:start w:val="1"/>
      <w:numFmt w:val="bullet"/>
      <w:lvlText w:val="o"/>
      <w:lvlJc w:val="left"/>
      <w:pPr>
        <w:ind w:left="5760" w:hanging="360"/>
      </w:pPr>
      <w:rPr>
        <w:rFonts w:ascii="Courier New" w:hAnsi="Courier New" w:cs="Courier New" w:hint="default"/>
      </w:rPr>
    </w:lvl>
    <w:lvl w:ilvl="8" w:tplc="86CE0018" w:tentative="1">
      <w:start w:val="1"/>
      <w:numFmt w:val="bullet"/>
      <w:lvlText w:val=""/>
      <w:lvlJc w:val="left"/>
      <w:pPr>
        <w:ind w:left="6480" w:hanging="360"/>
      </w:pPr>
      <w:rPr>
        <w:rFonts w:ascii="Wingdings" w:hAnsi="Wingdings" w:hint="default"/>
      </w:rPr>
    </w:lvl>
  </w:abstractNum>
  <w:abstractNum w:abstractNumId="143" w15:restartNumberingAfterBreak="0">
    <w:nsid w:val="62F81EB2"/>
    <w:multiLevelType w:val="hybridMultilevel"/>
    <w:tmpl w:val="8E42E9BC"/>
    <w:lvl w:ilvl="0" w:tplc="2A24F546">
      <w:start w:val="1"/>
      <w:numFmt w:val="bullet"/>
      <w:lvlText w:val=""/>
      <w:lvlJc w:val="left"/>
      <w:pPr>
        <w:tabs>
          <w:tab w:val="num" w:pos="720"/>
        </w:tabs>
        <w:ind w:left="720" w:hanging="360"/>
      </w:pPr>
      <w:rPr>
        <w:rFonts w:ascii="Wingdings" w:hAnsi="Wingdings" w:hint="default"/>
      </w:rPr>
    </w:lvl>
    <w:lvl w:ilvl="1" w:tplc="0A0CD212" w:tentative="1">
      <w:start w:val="1"/>
      <w:numFmt w:val="bullet"/>
      <w:lvlText w:val=""/>
      <w:lvlJc w:val="left"/>
      <w:pPr>
        <w:tabs>
          <w:tab w:val="num" w:pos="1440"/>
        </w:tabs>
        <w:ind w:left="1440" w:hanging="360"/>
      </w:pPr>
      <w:rPr>
        <w:rFonts w:ascii="Wingdings" w:hAnsi="Wingdings" w:hint="default"/>
      </w:rPr>
    </w:lvl>
    <w:lvl w:ilvl="2" w:tplc="734244B2" w:tentative="1">
      <w:start w:val="1"/>
      <w:numFmt w:val="bullet"/>
      <w:lvlText w:val=""/>
      <w:lvlJc w:val="left"/>
      <w:pPr>
        <w:tabs>
          <w:tab w:val="num" w:pos="2160"/>
        </w:tabs>
        <w:ind w:left="2160" w:hanging="360"/>
      </w:pPr>
      <w:rPr>
        <w:rFonts w:ascii="Wingdings" w:hAnsi="Wingdings" w:hint="default"/>
      </w:rPr>
    </w:lvl>
    <w:lvl w:ilvl="3" w:tplc="D35626AE" w:tentative="1">
      <w:start w:val="1"/>
      <w:numFmt w:val="bullet"/>
      <w:lvlText w:val=""/>
      <w:lvlJc w:val="left"/>
      <w:pPr>
        <w:tabs>
          <w:tab w:val="num" w:pos="2880"/>
        </w:tabs>
        <w:ind w:left="2880" w:hanging="360"/>
      </w:pPr>
      <w:rPr>
        <w:rFonts w:ascii="Wingdings" w:hAnsi="Wingdings" w:hint="default"/>
      </w:rPr>
    </w:lvl>
    <w:lvl w:ilvl="4" w:tplc="410CE188" w:tentative="1">
      <w:start w:val="1"/>
      <w:numFmt w:val="bullet"/>
      <w:lvlText w:val=""/>
      <w:lvlJc w:val="left"/>
      <w:pPr>
        <w:tabs>
          <w:tab w:val="num" w:pos="3600"/>
        </w:tabs>
        <w:ind w:left="3600" w:hanging="360"/>
      </w:pPr>
      <w:rPr>
        <w:rFonts w:ascii="Wingdings" w:hAnsi="Wingdings" w:hint="default"/>
      </w:rPr>
    </w:lvl>
    <w:lvl w:ilvl="5" w:tplc="C66471A2" w:tentative="1">
      <w:start w:val="1"/>
      <w:numFmt w:val="bullet"/>
      <w:lvlText w:val=""/>
      <w:lvlJc w:val="left"/>
      <w:pPr>
        <w:tabs>
          <w:tab w:val="num" w:pos="4320"/>
        </w:tabs>
        <w:ind w:left="4320" w:hanging="360"/>
      </w:pPr>
      <w:rPr>
        <w:rFonts w:ascii="Wingdings" w:hAnsi="Wingdings" w:hint="default"/>
      </w:rPr>
    </w:lvl>
    <w:lvl w:ilvl="6" w:tplc="EFC64130" w:tentative="1">
      <w:start w:val="1"/>
      <w:numFmt w:val="bullet"/>
      <w:lvlText w:val=""/>
      <w:lvlJc w:val="left"/>
      <w:pPr>
        <w:tabs>
          <w:tab w:val="num" w:pos="5040"/>
        </w:tabs>
        <w:ind w:left="5040" w:hanging="360"/>
      </w:pPr>
      <w:rPr>
        <w:rFonts w:ascii="Wingdings" w:hAnsi="Wingdings" w:hint="default"/>
      </w:rPr>
    </w:lvl>
    <w:lvl w:ilvl="7" w:tplc="39524D6C" w:tentative="1">
      <w:start w:val="1"/>
      <w:numFmt w:val="bullet"/>
      <w:lvlText w:val=""/>
      <w:lvlJc w:val="left"/>
      <w:pPr>
        <w:tabs>
          <w:tab w:val="num" w:pos="5760"/>
        </w:tabs>
        <w:ind w:left="5760" w:hanging="360"/>
      </w:pPr>
      <w:rPr>
        <w:rFonts w:ascii="Wingdings" w:hAnsi="Wingdings" w:hint="default"/>
      </w:rPr>
    </w:lvl>
    <w:lvl w:ilvl="8" w:tplc="AA0410E8"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63504AF0"/>
    <w:multiLevelType w:val="hybridMultilevel"/>
    <w:tmpl w:val="8BAA8524"/>
    <w:lvl w:ilvl="0" w:tplc="2312B47A">
      <w:start w:val="1"/>
      <w:numFmt w:val="lowerLetter"/>
      <w:lvlText w:val="%1."/>
      <w:lvlJc w:val="left"/>
      <w:pPr>
        <w:ind w:left="720" w:hanging="360"/>
      </w:pPr>
      <w:rPr>
        <w:rFonts w:hint="default"/>
      </w:rPr>
    </w:lvl>
    <w:lvl w:ilvl="1" w:tplc="25B6132A" w:tentative="1">
      <w:start w:val="1"/>
      <w:numFmt w:val="lowerLetter"/>
      <w:lvlText w:val="%2."/>
      <w:lvlJc w:val="left"/>
      <w:pPr>
        <w:ind w:left="1440" w:hanging="360"/>
      </w:pPr>
    </w:lvl>
    <w:lvl w:ilvl="2" w:tplc="8F9A859A" w:tentative="1">
      <w:start w:val="1"/>
      <w:numFmt w:val="lowerRoman"/>
      <w:lvlText w:val="%3."/>
      <w:lvlJc w:val="right"/>
      <w:pPr>
        <w:ind w:left="2160" w:hanging="180"/>
      </w:pPr>
    </w:lvl>
    <w:lvl w:ilvl="3" w:tplc="D8E427CC" w:tentative="1">
      <w:start w:val="1"/>
      <w:numFmt w:val="decimal"/>
      <w:lvlText w:val="%4."/>
      <w:lvlJc w:val="left"/>
      <w:pPr>
        <w:ind w:left="2880" w:hanging="360"/>
      </w:pPr>
    </w:lvl>
    <w:lvl w:ilvl="4" w:tplc="4858BFEE" w:tentative="1">
      <w:start w:val="1"/>
      <w:numFmt w:val="lowerLetter"/>
      <w:lvlText w:val="%5."/>
      <w:lvlJc w:val="left"/>
      <w:pPr>
        <w:ind w:left="3600" w:hanging="360"/>
      </w:pPr>
    </w:lvl>
    <w:lvl w:ilvl="5" w:tplc="A8D6CEFE" w:tentative="1">
      <w:start w:val="1"/>
      <w:numFmt w:val="lowerRoman"/>
      <w:lvlText w:val="%6."/>
      <w:lvlJc w:val="right"/>
      <w:pPr>
        <w:ind w:left="4320" w:hanging="180"/>
      </w:pPr>
    </w:lvl>
    <w:lvl w:ilvl="6" w:tplc="89B68A70" w:tentative="1">
      <w:start w:val="1"/>
      <w:numFmt w:val="decimal"/>
      <w:lvlText w:val="%7."/>
      <w:lvlJc w:val="left"/>
      <w:pPr>
        <w:ind w:left="5040" w:hanging="360"/>
      </w:pPr>
    </w:lvl>
    <w:lvl w:ilvl="7" w:tplc="79E0F29C" w:tentative="1">
      <w:start w:val="1"/>
      <w:numFmt w:val="lowerLetter"/>
      <w:lvlText w:val="%8."/>
      <w:lvlJc w:val="left"/>
      <w:pPr>
        <w:ind w:left="5760" w:hanging="360"/>
      </w:pPr>
    </w:lvl>
    <w:lvl w:ilvl="8" w:tplc="D6BA2A92" w:tentative="1">
      <w:start w:val="1"/>
      <w:numFmt w:val="lowerRoman"/>
      <w:lvlText w:val="%9."/>
      <w:lvlJc w:val="right"/>
      <w:pPr>
        <w:ind w:left="6480" w:hanging="180"/>
      </w:pPr>
    </w:lvl>
  </w:abstractNum>
  <w:abstractNum w:abstractNumId="145" w15:restartNumberingAfterBreak="0">
    <w:nsid w:val="63B32193"/>
    <w:multiLevelType w:val="hybridMultilevel"/>
    <w:tmpl w:val="06E86420"/>
    <w:lvl w:ilvl="0" w:tplc="4A1C9FD6">
      <w:start w:val="1"/>
      <w:numFmt w:val="bullet"/>
      <w:lvlText w:val=""/>
      <w:lvlJc w:val="left"/>
      <w:pPr>
        <w:ind w:left="720" w:hanging="360"/>
      </w:pPr>
      <w:rPr>
        <w:rFonts w:ascii="Symbol" w:hAnsi="Symbol" w:hint="default"/>
      </w:rPr>
    </w:lvl>
    <w:lvl w:ilvl="1" w:tplc="53A2FA3A">
      <w:start w:val="1"/>
      <w:numFmt w:val="bullet"/>
      <w:lvlText w:val="o"/>
      <w:lvlJc w:val="left"/>
      <w:pPr>
        <w:ind w:left="1440" w:hanging="360"/>
      </w:pPr>
      <w:rPr>
        <w:rFonts w:ascii="Courier New" w:hAnsi="Courier New" w:cs="Courier New" w:hint="default"/>
      </w:rPr>
    </w:lvl>
    <w:lvl w:ilvl="2" w:tplc="284EB70C" w:tentative="1">
      <w:start w:val="1"/>
      <w:numFmt w:val="bullet"/>
      <w:lvlText w:val=""/>
      <w:lvlJc w:val="left"/>
      <w:pPr>
        <w:ind w:left="2160" w:hanging="360"/>
      </w:pPr>
      <w:rPr>
        <w:rFonts w:ascii="Wingdings" w:hAnsi="Wingdings" w:hint="default"/>
      </w:rPr>
    </w:lvl>
    <w:lvl w:ilvl="3" w:tplc="E2D81C66" w:tentative="1">
      <w:start w:val="1"/>
      <w:numFmt w:val="bullet"/>
      <w:lvlText w:val=""/>
      <w:lvlJc w:val="left"/>
      <w:pPr>
        <w:ind w:left="2880" w:hanging="360"/>
      </w:pPr>
      <w:rPr>
        <w:rFonts w:ascii="Symbol" w:hAnsi="Symbol" w:hint="default"/>
      </w:rPr>
    </w:lvl>
    <w:lvl w:ilvl="4" w:tplc="F9DCF39A" w:tentative="1">
      <w:start w:val="1"/>
      <w:numFmt w:val="bullet"/>
      <w:lvlText w:val="o"/>
      <w:lvlJc w:val="left"/>
      <w:pPr>
        <w:ind w:left="3600" w:hanging="360"/>
      </w:pPr>
      <w:rPr>
        <w:rFonts w:ascii="Courier New" w:hAnsi="Courier New" w:cs="Courier New" w:hint="default"/>
      </w:rPr>
    </w:lvl>
    <w:lvl w:ilvl="5" w:tplc="20C228F6" w:tentative="1">
      <w:start w:val="1"/>
      <w:numFmt w:val="bullet"/>
      <w:lvlText w:val=""/>
      <w:lvlJc w:val="left"/>
      <w:pPr>
        <w:ind w:left="4320" w:hanging="360"/>
      </w:pPr>
      <w:rPr>
        <w:rFonts w:ascii="Wingdings" w:hAnsi="Wingdings" w:hint="default"/>
      </w:rPr>
    </w:lvl>
    <w:lvl w:ilvl="6" w:tplc="E6B8A318" w:tentative="1">
      <w:start w:val="1"/>
      <w:numFmt w:val="bullet"/>
      <w:lvlText w:val=""/>
      <w:lvlJc w:val="left"/>
      <w:pPr>
        <w:ind w:left="5040" w:hanging="360"/>
      </w:pPr>
      <w:rPr>
        <w:rFonts w:ascii="Symbol" w:hAnsi="Symbol" w:hint="default"/>
      </w:rPr>
    </w:lvl>
    <w:lvl w:ilvl="7" w:tplc="3E6E7674" w:tentative="1">
      <w:start w:val="1"/>
      <w:numFmt w:val="bullet"/>
      <w:lvlText w:val="o"/>
      <w:lvlJc w:val="left"/>
      <w:pPr>
        <w:ind w:left="5760" w:hanging="360"/>
      </w:pPr>
      <w:rPr>
        <w:rFonts w:ascii="Courier New" w:hAnsi="Courier New" w:cs="Courier New" w:hint="default"/>
      </w:rPr>
    </w:lvl>
    <w:lvl w:ilvl="8" w:tplc="BB122F2A" w:tentative="1">
      <w:start w:val="1"/>
      <w:numFmt w:val="bullet"/>
      <w:lvlText w:val=""/>
      <w:lvlJc w:val="left"/>
      <w:pPr>
        <w:ind w:left="6480" w:hanging="360"/>
      </w:pPr>
      <w:rPr>
        <w:rFonts w:ascii="Wingdings" w:hAnsi="Wingdings" w:hint="default"/>
      </w:rPr>
    </w:lvl>
  </w:abstractNum>
  <w:abstractNum w:abstractNumId="146" w15:restartNumberingAfterBreak="0">
    <w:nsid w:val="66940C13"/>
    <w:multiLevelType w:val="hybridMultilevel"/>
    <w:tmpl w:val="CCB4BD8A"/>
    <w:lvl w:ilvl="0" w:tplc="45227C2A">
      <w:start w:val="1"/>
      <w:numFmt w:val="decimal"/>
      <w:lvlText w:val="%1."/>
      <w:lvlJc w:val="left"/>
      <w:pPr>
        <w:ind w:left="720" w:hanging="360"/>
      </w:pPr>
    </w:lvl>
    <w:lvl w:ilvl="1" w:tplc="EBF2486C" w:tentative="1">
      <w:start w:val="1"/>
      <w:numFmt w:val="lowerLetter"/>
      <w:lvlText w:val="%2."/>
      <w:lvlJc w:val="left"/>
      <w:pPr>
        <w:ind w:left="1440" w:hanging="360"/>
      </w:pPr>
    </w:lvl>
    <w:lvl w:ilvl="2" w:tplc="E234A210" w:tentative="1">
      <w:start w:val="1"/>
      <w:numFmt w:val="lowerRoman"/>
      <w:lvlText w:val="%3."/>
      <w:lvlJc w:val="right"/>
      <w:pPr>
        <w:ind w:left="2160" w:hanging="180"/>
      </w:pPr>
    </w:lvl>
    <w:lvl w:ilvl="3" w:tplc="DC7E72E6" w:tentative="1">
      <w:start w:val="1"/>
      <w:numFmt w:val="decimal"/>
      <w:lvlText w:val="%4."/>
      <w:lvlJc w:val="left"/>
      <w:pPr>
        <w:ind w:left="2880" w:hanging="360"/>
      </w:pPr>
    </w:lvl>
    <w:lvl w:ilvl="4" w:tplc="54C8EBD2" w:tentative="1">
      <w:start w:val="1"/>
      <w:numFmt w:val="lowerLetter"/>
      <w:lvlText w:val="%5."/>
      <w:lvlJc w:val="left"/>
      <w:pPr>
        <w:ind w:left="3600" w:hanging="360"/>
      </w:pPr>
    </w:lvl>
    <w:lvl w:ilvl="5" w:tplc="8B56F710" w:tentative="1">
      <w:start w:val="1"/>
      <w:numFmt w:val="lowerRoman"/>
      <w:lvlText w:val="%6."/>
      <w:lvlJc w:val="right"/>
      <w:pPr>
        <w:ind w:left="4320" w:hanging="180"/>
      </w:pPr>
    </w:lvl>
    <w:lvl w:ilvl="6" w:tplc="ED6A7F18" w:tentative="1">
      <w:start w:val="1"/>
      <w:numFmt w:val="decimal"/>
      <w:lvlText w:val="%7."/>
      <w:lvlJc w:val="left"/>
      <w:pPr>
        <w:ind w:left="5040" w:hanging="360"/>
      </w:pPr>
    </w:lvl>
    <w:lvl w:ilvl="7" w:tplc="254C33A4" w:tentative="1">
      <w:start w:val="1"/>
      <w:numFmt w:val="lowerLetter"/>
      <w:lvlText w:val="%8."/>
      <w:lvlJc w:val="left"/>
      <w:pPr>
        <w:ind w:left="5760" w:hanging="360"/>
      </w:pPr>
    </w:lvl>
    <w:lvl w:ilvl="8" w:tplc="A5C02CE2" w:tentative="1">
      <w:start w:val="1"/>
      <w:numFmt w:val="lowerRoman"/>
      <w:lvlText w:val="%9."/>
      <w:lvlJc w:val="right"/>
      <w:pPr>
        <w:ind w:left="6480" w:hanging="180"/>
      </w:pPr>
    </w:lvl>
  </w:abstractNum>
  <w:abstractNum w:abstractNumId="147" w15:restartNumberingAfterBreak="0">
    <w:nsid w:val="66B87DFD"/>
    <w:multiLevelType w:val="hybridMultilevel"/>
    <w:tmpl w:val="64CECE08"/>
    <w:lvl w:ilvl="0" w:tplc="67AEFDDA">
      <w:start w:val="1"/>
      <w:numFmt w:val="bullet"/>
      <w:lvlText w:val=""/>
      <w:lvlJc w:val="left"/>
      <w:pPr>
        <w:ind w:left="720" w:hanging="360"/>
      </w:pPr>
      <w:rPr>
        <w:rFonts w:ascii="Symbol" w:hAnsi="Symbol" w:hint="default"/>
      </w:rPr>
    </w:lvl>
    <w:lvl w:ilvl="1" w:tplc="3DD22B68" w:tentative="1">
      <w:start w:val="1"/>
      <w:numFmt w:val="bullet"/>
      <w:lvlText w:val="o"/>
      <w:lvlJc w:val="left"/>
      <w:pPr>
        <w:ind w:left="1440" w:hanging="360"/>
      </w:pPr>
      <w:rPr>
        <w:rFonts w:ascii="Courier New" w:hAnsi="Courier New" w:cs="Courier New" w:hint="default"/>
      </w:rPr>
    </w:lvl>
    <w:lvl w:ilvl="2" w:tplc="8BE67AA2" w:tentative="1">
      <w:start w:val="1"/>
      <w:numFmt w:val="bullet"/>
      <w:lvlText w:val=""/>
      <w:lvlJc w:val="left"/>
      <w:pPr>
        <w:ind w:left="2160" w:hanging="360"/>
      </w:pPr>
      <w:rPr>
        <w:rFonts w:ascii="Wingdings" w:hAnsi="Wingdings" w:hint="default"/>
      </w:rPr>
    </w:lvl>
    <w:lvl w:ilvl="3" w:tplc="161C6E2A" w:tentative="1">
      <w:start w:val="1"/>
      <w:numFmt w:val="bullet"/>
      <w:lvlText w:val=""/>
      <w:lvlJc w:val="left"/>
      <w:pPr>
        <w:ind w:left="2880" w:hanging="360"/>
      </w:pPr>
      <w:rPr>
        <w:rFonts w:ascii="Symbol" w:hAnsi="Symbol" w:hint="default"/>
      </w:rPr>
    </w:lvl>
    <w:lvl w:ilvl="4" w:tplc="BFD87C0C" w:tentative="1">
      <w:start w:val="1"/>
      <w:numFmt w:val="bullet"/>
      <w:lvlText w:val="o"/>
      <w:lvlJc w:val="left"/>
      <w:pPr>
        <w:ind w:left="3600" w:hanging="360"/>
      </w:pPr>
      <w:rPr>
        <w:rFonts w:ascii="Courier New" w:hAnsi="Courier New" w:cs="Courier New" w:hint="default"/>
      </w:rPr>
    </w:lvl>
    <w:lvl w:ilvl="5" w:tplc="7F78AA76" w:tentative="1">
      <w:start w:val="1"/>
      <w:numFmt w:val="bullet"/>
      <w:lvlText w:val=""/>
      <w:lvlJc w:val="left"/>
      <w:pPr>
        <w:ind w:left="4320" w:hanging="360"/>
      </w:pPr>
      <w:rPr>
        <w:rFonts w:ascii="Wingdings" w:hAnsi="Wingdings" w:hint="default"/>
      </w:rPr>
    </w:lvl>
    <w:lvl w:ilvl="6" w:tplc="1CD2FF9A" w:tentative="1">
      <w:start w:val="1"/>
      <w:numFmt w:val="bullet"/>
      <w:lvlText w:val=""/>
      <w:lvlJc w:val="left"/>
      <w:pPr>
        <w:ind w:left="5040" w:hanging="360"/>
      </w:pPr>
      <w:rPr>
        <w:rFonts w:ascii="Symbol" w:hAnsi="Symbol" w:hint="default"/>
      </w:rPr>
    </w:lvl>
    <w:lvl w:ilvl="7" w:tplc="4DD095C2" w:tentative="1">
      <w:start w:val="1"/>
      <w:numFmt w:val="bullet"/>
      <w:lvlText w:val="o"/>
      <w:lvlJc w:val="left"/>
      <w:pPr>
        <w:ind w:left="5760" w:hanging="360"/>
      </w:pPr>
      <w:rPr>
        <w:rFonts w:ascii="Courier New" w:hAnsi="Courier New" w:cs="Courier New" w:hint="default"/>
      </w:rPr>
    </w:lvl>
    <w:lvl w:ilvl="8" w:tplc="B4CA51F8" w:tentative="1">
      <w:start w:val="1"/>
      <w:numFmt w:val="bullet"/>
      <w:lvlText w:val=""/>
      <w:lvlJc w:val="left"/>
      <w:pPr>
        <w:ind w:left="6480" w:hanging="360"/>
      </w:pPr>
      <w:rPr>
        <w:rFonts w:ascii="Wingdings" w:hAnsi="Wingdings" w:hint="default"/>
      </w:rPr>
    </w:lvl>
  </w:abstractNum>
  <w:abstractNum w:abstractNumId="148" w15:restartNumberingAfterBreak="0">
    <w:nsid w:val="674A4E8E"/>
    <w:multiLevelType w:val="hybridMultilevel"/>
    <w:tmpl w:val="DD9A218A"/>
    <w:lvl w:ilvl="0" w:tplc="2E528C5E">
      <w:start w:val="1"/>
      <w:numFmt w:val="bullet"/>
      <w:lvlText w:val=""/>
      <w:lvlJc w:val="left"/>
      <w:pPr>
        <w:ind w:left="720" w:hanging="360"/>
      </w:pPr>
      <w:rPr>
        <w:rFonts w:ascii="Symbol" w:hAnsi="Symbol" w:hint="default"/>
      </w:rPr>
    </w:lvl>
    <w:lvl w:ilvl="1" w:tplc="57AE3AE6">
      <w:start w:val="1"/>
      <w:numFmt w:val="bullet"/>
      <w:lvlText w:val="o"/>
      <w:lvlJc w:val="left"/>
      <w:pPr>
        <w:ind w:left="1440" w:hanging="360"/>
      </w:pPr>
      <w:rPr>
        <w:rFonts w:ascii="Courier New" w:hAnsi="Courier New" w:cs="Courier New" w:hint="default"/>
      </w:rPr>
    </w:lvl>
    <w:lvl w:ilvl="2" w:tplc="04823732" w:tentative="1">
      <w:start w:val="1"/>
      <w:numFmt w:val="bullet"/>
      <w:lvlText w:val=""/>
      <w:lvlJc w:val="left"/>
      <w:pPr>
        <w:ind w:left="2160" w:hanging="360"/>
      </w:pPr>
      <w:rPr>
        <w:rFonts w:ascii="Wingdings" w:hAnsi="Wingdings" w:hint="default"/>
      </w:rPr>
    </w:lvl>
    <w:lvl w:ilvl="3" w:tplc="D6B46084" w:tentative="1">
      <w:start w:val="1"/>
      <w:numFmt w:val="bullet"/>
      <w:lvlText w:val=""/>
      <w:lvlJc w:val="left"/>
      <w:pPr>
        <w:ind w:left="2880" w:hanging="360"/>
      </w:pPr>
      <w:rPr>
        <w:rFonts w:ascii="Symbol" w:hAnsi="Symbol" w:hint="default"/>
      </w:rPr>
    </w:lvl>
    <w:lvl w:ilvl="4" w:tplc="078CD6DC" w:tentative="1">
      <w:start w:val="1"/>
      <w:numFmt w:val="bullet"/>
      <w:lvlText w:val="o"/>
      <w:lvlJc w:val="left"/>
      <w:pPr>
        <w:ind w:left="3600" w:hanging="360"/>
      </w:pPr>
      <w:rPr>
        <w:rFonts w:ascii="Courier New" w:hAnsi="Courier New" w:cs="Courier New" w:hint="default"/>
      </w:rPr>
    </w:lvl>
    <w:lvl w:ilvl="5" w:tplc="4BA8C74E" w:tentative="1">
      <w:start w:val="1"/>
      <w:numFmt w:val="bullet"/>
      <w:lvlText w:val=""/>
      <w:lvlJc w:val="left"/>
      <w:pPr>
        <w:ind w:left="4320" w:hanging="360"/>
      </w:pPr>
      <w:rPr>
        <w:rFonts w:ascii="Wingdings" w:hAnsi="Wingdings" w:hint="default"/>
      </w:rPr>
    </w:lvl>
    <w:lvl w:ilvl="6" w:tplc="AD94790C" w:tentative="1">
      <w:start w:val="1"/>
      <w:numFmt w:val="bullet"/>
      <w:lvlText w:val=""/>
      <w:lvlJc w:val="left"/>
      <w:pPr>
        <w:ind w:left="5040" w:hanging="360"/>
      </w:pPr>
      <w:rPr>
        <w:rFonts w:ascii="Symbol" w:hAnsi="Symbol" w:hint="default"/>
      </w:rPr>
    </w:lvl>
    <w:lvl w:ilvl="7" w:tplc="496E57D2" w:tentative="1">
      <w:start w:val="1"/>
      <w:numFmt w:val="bullet"/>
      <w:lvlText w:val="o"/>
      <w:lvlJc w:val="left"/>
      <w:pPr>
        <w:ind w:left="5760" w:hanging="360"/>
      </w:pPr>
      <w:rPr>
        <w:rFonts w:ascii="Courier New" w:hAnsi="Courier New" w:cs="Courier New" w:hint="default"/>
      </w:rPr>
    </w:lvl>
    <w:lvl w:ilvl="8" w:tplc="64DCB39E" w:tentative="1">
      <w:start w:val="1"/>
      <w:numFmt w:val="bullet"/>
      <w:lvlText w:val=""/>
      <w:lvlJc w:val="left"/>
      <w:pPr>
        <w:ind w:left="6480" w:hanging="360"/>
      </w:pPr>
      <w:rPr>
        <w:rFonts w:ascii="Wingdings" w:hAnsi="Wingdings" w:hint="default"/>
      </w:rPr>
    </w:lvl>
  </w:abstractNum>
  <w:abstractNum w:abstractNumId="149" w15:restartNumberingAfterBreak="0">
    <w:nsid w:val="67FF75B0"/>
    <w:multiLevelType w:val="hybridMultilevel"/>
    <w:tmpl w:val="6BB22E02"/>
    <w:lvl w:ilvl="0" w:tplc="999A0F54">
      <w:start w:val="1"/>
      <w:numFmt w:val="bullet"/>
      <w:lvlText w:val=""/>
      <w:lvlJc w:val="left"/>
      <w:pPr>
        <w:ind w:left="1429" w:hanging="360"/>
      </w:pPr>
      <w:rPr>
        <w:rFonts w:ascii="Symbol" w:hAnsi="Symbol" w:hint="default"/>
      </w:rPr>
    </w:lvl>
    <w:lvl w:ilvl="1" w:tplc="8B2A64A2" w:tentative="1">
      <w:start w:val="1"/>
      <w:numFmt w:val="bullet"/>
      <w:lvlText w:val="o"/>
      <w:lvlJc w:val="left"/>
      <w:pPr>
        <w:ind w:left="2149" w:hanging="360"/>
      </w:pPr>
      <w:rPr>
        <w:rFonts w:ascii="Courier New" w:hAnsi="Courier New" w:cs="Courier New" w:hint="default"/>
      </w:rPr>
    </w:lvl>
    <w:lvl w:ilvl="2" w:tplc="F5F44E6C" w:tentative="1">
      <w:start w:val="1"/>
      <w:numFmt w:val="bullet"/>
      <w:lvlText w:val=""/>
      <w:lvlJc w:val="left"/>
      <w:pPr>
        <w:ind w:left="2869" w:hanging="360"/>
      </w:pPr>
      <w:rPr>
        <w:rFonts w:ascii="Wingdings" w:hAnsi="Wingdings" w:hint="default"/>
      </w:rPr>
    </w:lvl>
    <w:lvl w:ilvl="3" w:tplc="E32C9DF4" w:tentative="1">
      <w:start w:val="1"/>
      <w:numFmt w:val="bullet"/>
      <w:lvlText w:val=""/>
      <w:lvlJc w:val="left"/>
      <w:pPr>
        <w:ind w:left="3589" w:hanging="360"/>
      </w:pPr>
      <w:rPr>
        <w:rFonts w:ascii="Symbol" w:hAnsi="Symbol" w:hint="default"/>
      </w:rPr>
    </w:lvl>
    <w:lvl w:ilvl="4" w:tplc="0A52596E" w:tentative="1">
      <w:start w:val="1"/>
      <w:numFmt w:val="bullet"/>
      <w:lvlText w:val="o"/>
      <w:lvlJc w:val="left"/>
      <w:pPr>
        <w:ind w:left="4309" w:hanging="360"/>
      </w:pPr>
      <w:rPr>
        <w:rFonts w:ascii="Courier New" w:hAnsi="Courier New" w:cs="Courier New" w:hint="default"/>
      </w:rPr>
    </w:lvl>
    <w:lvl w:ilvl="5" w:tplc="21F412EE" w:tentative="1">
      <w:start w:val="1"/>
      <w:numFmt w:val="bullet"/>
      <w:lvlText w:val=""/>
      <w:lvlJc w:val="left"/>
      <w:pPr>
        <w:ind w:left="5029" w:hanging="360"/>
      </w:pPr>
      <w:rPr>
        <w:rFonts w:ascii="Wingdings" w:hAnsi="Wingdings" w:hint="default"/>
      </w:rPr>
    </w:lvl>
    <w:lvl w:ilvl="6" w:tplc="7A548D70" w:tentative="1">
      <w:start w:val="1"/>
      <w:numFmt w:val="bullet"/>
      <w:lvlText w:val=""/>
      <w:lvlJc w:val="left"/>
      <w:pPr>
        <w:ind w:left="5749" w:hanging="360"/>
      </w:pPr>
      <w:rPr>
        <w:rFonts w:ascii="Symbol" w:hAnsi="Symbol" w:hint="default"/>
      </w:rPr>
    </w:lvl>
    <w:lvl w:ilvl="7" w:tplc="89341F32" w:tentative="1">
      <w:start w:val="1"/>
      <w:numFmt w:val="bullet"/>
      <w:lvlText w:val="o"/>
      <w:lvlJc w:val="left"/>
      <w:pPr>
        <w:ind w:left="6469" w:hanging="360"/>
      </w:pPr>
      <w:rPr>
        <w:rFonts w:ascii="Courier New" w:hAnsi="Courier New" w:cs="Courier New" w:hint="default"/>
      </w:rPr>
    </w:lvl>
    <w:lvl w:ilvl="8" w:tplc="317EF914" w:tentative="1">
      <w:start w:val="1"/>
      <w:numFmt w:val="bullet"/>
      <w:lvlText w:val=""/>
      <w:lvlJc w:val="left"/>
      <w:pPr>
        <w:ind w:left="7189" w:hanging="360"/>
      </w:pPr>
      <w:rPr>
        <w:rFonts w:ascii="Wingdings" w:hAnsi="Wingdings" w:hint="default"/>
      </w:rPr>
    </w:lvl>
  </w:abstractNum>
  <w:abstractNum w:abstractNumId="150" w15:restartNumberingAfterBreak="0">
    <w:nsid w:val="696F13F9"/>
    <w:multiLevelType w:val="hybridMultilevel"/>
    <w:tmpl w:val="A5A8C020"/>
    <w:lvl w:ilvl="0" w:tplc="A5E83148">
      <w:start w:val="1"/>
      <w:numFmt w:val="decimal"/>
      <w:lvlText w:val="%1."/>
      <w:lvlJc w:val="left"/>
      <w:pPr>
        <w:ind w:left="414" w:hanging="420"/>
      </w:pPr>
      <w:rPr>
        <w:rFonts w:ascii="Calibri" w:hAnsi="Calibri" w:hint="default"/>
        <w:sz w:val="20"/>
      </w:rPr>
    </w:lvl>
    <w:lvl w:ilvl="1" w:tplc="2054A73A" w:tentative="1">
      <w:start w:val="1"/>
      <w:numFmt w:val="lowerLetter"/>
      <w:lvlText w:val="%2."/>
      <w:lvlJc w:val="left"/>
      <w:pPr>
        <w:ind w:left="1074" w:hanging="360"/>
      </w:pPr>
    </w:lvl>
    <w:lvl w:ilvl="2" w:tplc="D812A3A6" w:tentative="1">
      <w:start w:val="1"/>
      <w:numFmt w:val="lowerRoman"/>
      <w:lvlText w:val="%3."/>
      <w:lvlJc w:val="right"/>
      <w:pPr>
        <w:ind w:left="1794" w:hanging="180"/>
      </w:pPr>
    </w:lvl>
    <w:lvl w:ilvl="3" w:tplc="C0807DC2" w:tentative="1">
      <w:start w:val="1"/>
      <w:numFmt w:val="decimal"/>
      <w:lvlText w:val="%4."/>
      <w:lvlJc w:val="left"/>
      <w:pPr>
        <w:ind w:left="2514" w:hanging="360"/>
      </w:pPr>
    </w:lvl>
    <w:lvl w:ilvl="4" w:tplc="EAAA1CE2" w:tentative="1">
      <w:start w:val="1"/>
      <w:numFmt w:val="lowerLetter"/>
      <w:lvlText w:val="%5."/>
      <w:lvlJc w:val="left"/>
      <w:pPr>
        <w:ind w:left="3234" w:hanging="360"/>
      </w:pPr>
    </w:lvl>
    <w:lvl w:ilvl="5" w:tplc="6ECE59EC" w:tentative="1">
      <w:start w:val="1"/>
      <w:numFmt w:val="lowerRoman"/>
      <w:lvlText w:val="%6."/>
      <w:lvlJc w:val="right"/>
      <w:pPr>
        <w:ind w:left="3954" w:hanging="180"/>
      </w:pPr>
    </w:lvl>
    <w:lvl w:ilvl="6" w:tplc="4A900A86" w:tentative="1">
      <w:start w:val="1"/>
      <w:numFmt w:val="decimal"/>
      <w:lvlText w:val="%7."/>
      <w:lvlJc w:val="left"/>
      <w:pPr>
        <w:ind w:left="4674" w:hanging="360"/>
      </w:pPr>
    </w:lvl>
    <w:lvl w:ilvl="7" w:tplc="27E257A8" w:tentative="1">
      <w:start w:val="1"/>
      <w:numFmt w:val="lowerLetter"/>
      <w:lvlText w:val="%8."/>
      <w:lvlJc w:val="left"/>
      <w:pPr>
        <w:ind w:left="5394" w:hanging="360"/>
      </w:pPr>
    </w:lvl>
    <w:lvl w:ilvl="8" w:tplc="1D7207C4" w:tentative="1">
      <w:start w:val="1"/>
      <w:numFmt w:val="lowerRoman"/>
      <w:lvlText w:val="%9."/>
      <w:lvlJc w:val="right"/>
      <w:pPr>
        <w:ind w:left="6114" w:hanging="180"/>
      </w:pPr>
    </w:lvl>
  </w:abstractNum>
  <w:abstractNum w:abstractNumId="151" w15:restartNumberingAfterBreak="0">
    <w:nsid w:val="69F224DB"/>
    <w:multiLevelType w:val="hybridMultilevel"/>
    <w:tmpl w:val="46BE413A"/>
    <w:lvl w:ilvl="0" w:tplc="C4AC9F28">
      <w:start w:val="1"/>
      <w:numFmt w:val="decimal"/>
      <w:lvlText w:val="%1)"/>
      <w:lvlJc w:val="left"/>
      <w:pPr>
        <w:ind w:left="1429" w:hanging="360"/>
      </w:pPr>
      <w:rPr>
        <w:rFonts w:ascii="Times New Roman" w:hAnsi="Times New Roman" w:hint="default"/>
        <w:sz w:val="20"/>
      </w:rPr>
    </w:lvl>
    <w:lvl w:ilvl="1" w:tplc="7026F8F2" w:tentative="1">
      <w:start w:val="1"/>
      <w:numFmt w:val="lowerLetter"/>
      <w:lvlText w:val="%2."/>
      <w:lvlJc w:val="left"/>
      <w:pPr>
        <w:ind w:left="2149" w:hanging="360"/>
      </w:pPr>
    </w:lvl>
    <w:lvl w:ilvl="2" w:tplc="167009EA" w:tentative="1">
      <w:start w:val="1"/>
      <w:numFmt w:val="lowerRoman"/>
      <w:lvlText w:val="%3."/>
      <w:lvlJc w:val="right"/>
      <w:pPr>
        <w:ind w:left="2869" w:hanging="180"/>
      </w:pPr>
    </w:lvl>
    <w:lvl w:ilvl="3" w:tplc="D4C6370C" w:tentative="1">
      <w:start w:val="1"/>
      <w:numFmt w:val="decimal"/>
      <w:lvlText w:val="%4."/>
      <w:lvlJc w:val="left"/>
      <w:pPr>
        <w:ind w:left="3589" w:hanging="360"/>
      </w:pPr>
    </w:lvl>
    <w:lvl w:ilvl="4" w:tplc="31DACA20" w:tentative="1">
      <w:start w:val="1"/>
      <w:numFmt w:val="lowerLetter"/>
      <w:lvlText w:val="%5."/>
      <w:lvlJc w:val="left"/>
      <w:pPr>
        <w:ind w:left="4309" w:hanging="360"/>
      </w:pPr>
    </w:lvl>
    <w:lvl w:ilvl="5" w:tplc="DD7C6AB8" w:tentative="1">
      <w:start w:val="1"/>
      <w:numFmt w:val="lowerRoman"/>
      <w:lvlText w:val="%6."/>
      <w:lvlJc w:val="right"/>
      <w:pPr>
        <w:ind w:left="5029" w:hanging="180"/>
      </w:pPr>
    </w:lvl>
    <w:lvl w:ilvl="6" w:tplc="903E345E" w:tentative="1">
      <w:start w:val="1"/>
      <w:numFmt w:val="decimal"/>
      <w:lvlText w:val="%7."/>
      <w:lvlJc w:val="left"/>
      <w:pPr>
        <w:ind w:left="5749" w:hanging="360"/>
      </w:pPr>
    </w:lvl>
    <w:lvl w:ilvl="7" w:tplc="468CC1CA" w:tentative="1">
      <w:start w:val="1"/>
      <w:numFmt w:val="lowerLetter"/>
      <w:lvlText w:val="%8."/>
      <w:lvlJc w:val="left"/>
      <w:pPr>
        <w:ind w:left="6469" w:hanging="360"/>
      </w:pPr>
    </w:lvl>
    <w:lvl w:ilvl="8" w:tplc="EC00482C" w:tentative="1">
      <w:start w:val="1"/>
      <w:numFmt w:val="lowerRoman"/>
      <w:lvlText w:val="%9."/>
      <w:lvlJc w:val="right"/>
      <w:pPr>
        <w:ind w:left="7189" w:hanging="180"/>
      </w:pPr>
    </w:lvl>
  </w:abstractNum>
  <w:abstractNum w:abstractNumId="152" w15:restartNumberingAfterBreak="0">
    <w:nsid w:val="6D215C13"/>
    <w:multiLevelType w:val="hybridMultilevel"/>
    <w:tmpl w:val="ED160E2A"/>
    <w:lvl w:ilvl="0" w:tplc="AF386A8E">
      <w:start w:val="1"/>
      <w:numFmt w:val="lowerLetter"/>
      <w:lvlText w:val="%1."/>
      <w:lvlJc w:val="left"/>
      <w:pPr>
        <w:ind w:left="720" w:hanging="360"/>
      </w:pPr>
      <w:rPr>
        <w:rFonts w:eastAsia="Calibri" w:cs="Arial" w:hint="default"/>
        <w:color w:val="auto"/>
      </w:rPr>
    </w:lvl>
    <w:lvl w:ilvl="1" w:tplc="30A21EEE" w:tentative="1">
      <w:start w:val="1"/>
      <w:numFmt w:val="lowerLetter"/>
      <w:lvlText w:val="%2."/>
      <w:lvlJc w:val="left"/>
      <w:pPr>
        <w:ind w:left="1440" w:hanging="360"/>
      </w:pPr>
    </w:lvl>
    <w:lvl w:ilvl="2" w:tplc="D0606844" w:tentative="1">
      <w:start w:val="1"/>
      <w:numFmt w:val="lowerRoman"/>
      <w:lvlText w:val="%3."/>
      <w:lvlJc w:val="right"/>
      <w:pPr>
        <w:ind w:left="2160" w:hanging="180"/>
      </w:pPr>
    </w:lvl>
    <w:lvl w:ilvl="3" w:tplc="8258DF02" w:tentative="1">
      <w:start w:val="1"/>
      <w:numFmt w:val="decimal"/>
      <w:lvlText w:val="%4."/>
      <w:lvlJc w:val="left"/>
      <w:pPr>
        <w:ind w:left="2880" w:hanging="360"/>
      </w:pPr>
    </w:lvl>
    <w:lvl w:ilvl="4" w:tplc="02CEE692" w:tentative="1">
      <w:start w:val="1"/>
      <w:numFmt w:val="lowerLetter"/>
      <w:lvlText w:val="%5."/>
      <w:lvlJc w:val="left"/>
      <w:pPr>
        <w:ind w:left="3600" w:hanging="360"/>
      </w:pPr>
    </w:lvl>
    <w:lvl w:ilvl="5" w:tplc="1EB0A1D6" w:tentative="1">
      <w:start w:val="1"/>
      <w:numFmt w:val="lowerRoman"/>
      <w:lvlText w:val="%6."/>
      <w:lvlJc w:val="right"/>
      <w:pPr>
        <w:ind w:left="4320" w:hanging="180"/>
      </w:pPr>
    </w:lvl>
    <w:lvl w:ilvl="6" w:tplc="1CE01B26" w:tentative="1">
      <w:start w:val="1"/>
      <w:numFmt w:val="decimal"/>
      <w:lvlText w:val="%7."/>
      <w:lvlJc w:val="left"/>
      <w:pPr>
        <w:ind w:left="5040" w:hanging="360"/>
      </w:pPr>
    </w:lvl>
    <w:lvl w:ilvl="7" w:tplc="09C6321E" w:tentative="1">
      <w:start w:val="1"/>
      <w:numFmt w:val="lowerLetter"/>
      <w:lvlText w:val="%8."/>
      <w:lvlJc w:val="left"/>
      <w:pPr>
        <w:ind w:left="5760" w:hanging="360"/>
      </w:pPr>
    </w:lvl>
    <w:lvl w:ilvl="8" w:tplc="FA507CEA" w:tentative="1">
      <w:start w:val="1"/>
      <w:numFmt w:val="lowerRoman"/>
      <w:lvlText w:val="%9."/>
      <w:lvlJc w:val="right"/>
      <w:pPr>
        <w:ind w:left="6480" w:hanging="180"/>
      </w:pPr>
    </w:lvl>
  </w:abstractNum>
  <w:abstractNum w:abstractNumId="153" w15:restartNumberingAfterBreak="0">
    <w:nsid w:val="6E783880"/>
    <w:multiLevelType w:val="hybridMultilevel"/>
    <w:tmpl w:val="9BCA16B0"/>
    <w:lvl w:ilvl="0" w:tplc="ABEC2794">
      <w:start w:val="1"/>
      <w:numFmt w:val="bullet"/>
      <w:lvlText w:val=""/>
      <w:lvlJc w:val="left"/>
      <w:pPr>
        <w:ind w:left="1069" w:hanging="360"/>
      </w:pPr>
      <w:rPr>
        <w:rFonts w:ascii="Symbol" w:hAnsi="Symbol" w:hint="default"/>
      </w:rPr>
    </w:lvl>
    <w:lvl w:ilvl="1" w:tplc="D9845A1C" w:tentative="1">
      <w:start w:val="1"/>
      <w:numFmt w:val="bullet"/>
      <w:lvlText w:val="o"/>
      <w:lvlJc w:val="left"/>
      <w:pPr>
        <w:ind w:left="2007" w:hanging="360"/>
      </w:pPr>
      <w:rPr>
        <w:rFonts w:ascii="Courier New" w:hAnsi="Courier New" w:cs="Courier New" w:hint="default"/>
      </w:rPr>
    </w:lvl>
    <w:lvl w:ilvl="2" w:tplc="7584EAD2" w:tentative="1">
      <w:start w:val="1"/>
      <w:numFmt w:val="bullet"/>
      <w:lvlText w:val=""/>
      <w:lvlJc w:val="left"/>
      <w:pPr>
        <w:ind w:left="2727" w:hanging="360"/>
      </w:pPr>
      <w:rPr>
        <w:rFonts w:ascii="Wingdings" w:hAnsi="Wingdings" w:hint="default"/>
      </w:rPr>
    </w:lvl>
    <w:lvl w:ilvl="3" w:tplc="134CB14E" w:tentative="1">
      <w:start w:val="1"/>
      <w:numFmt w:val="bullet"/>
      <w:lvlText w:val=""/>
      <w:lvlJc w:val="left"/>
      <w:pPr>
        <w:ind w:left="3447" w:hanging="360"/>
      </w:pPr>
      <w:rPr>
        <w:rFonts w:ascii="Symbol" w:hAnsi="Symbol" w:hint="default"/>
      </w:rPr>
    </w:lvl>
    <w:lvl w:ilvl="4" w:tplc="8D22DFFE" w:tentative="1">
      <w:start w:val="1"/>
      <w:numFmt w:val="bullet"/>
      <w:lvlText w:val="o"/>
      <w:lvlJc w:val="left"/>
      <w:pPr>
        <w:ind w:left="4167" w:hanging="360"/>
      </w:pPr>
      <w:rPr>
        <w:rFonts w:ascii="Courier New" w:hAnsi="Courier New" w:cs="Courier New" w:hint="default"/>
      </w:rPr>
    </w:lvl>
    <w:lvl w:ilvl="5" w:tplc="B0764EDC" w:tentative="1">
      <w:start w:val="1"/>
      <w:numFmt w:val="bullet"/>
      <w:lvlText w:val=""/>
      <w:lvlJc w:val="left"/>
      <w:pPr>
        <w:ind w:left="4887" w:hanging="360"/>
      </w:pPr>
      <w:rPr>
        <w:rFonts w:ascii="Wingdings" w:hAnsi="Wingdings" w:hint="default"/>
      </w:rPr>
    </w:lvl>
    <w:lvl w:ilvl="6" w:tplc="CFD49BB6" w:tentative="1">
      <w:start w:val="1"/>
      <w:numFmt w:val="bullet"/>
      <w:lvlText w:val=""/>
      <w:lvlJc w:val="left"/>
      <w:pPr>
        <w:ind w:left="5607" w:hanging="360"/>
      </w:pPr>
      <w:rPr>
        <w:rFonts w:ascii="Symbol" w:hAnsi="Symbol" w:hint="default"/>
      </w:rPr>
    </w:lvl>
    <w:lvl w:ilvl="7" w:tplc="1352B1F4" w:tentative="1">
      <w:start w:val="1"/>
      <w:numFmt w:val="bullet"/>
      <w:lvlText w:val="o"/>
      <w:lvlJc w:val="left"/>
      <w:pPr>
        <w:ind w:left="6327" w:hanging="360"/>
      </w:pPr>
      <w:rPr>
        <w:rFonts w:ascii="Courier New" w:hAnsi="Courier New" w:cs="Courier New" w:hint="default"/>
      </w:rPr>
    </w:lvl>
    <w:lvl w:ilvl="8" w:tplc="8D98AA0E" w:tentative="1">
      <w:start w:val="1"/>
      <w:numFmt w:val="bullet"/>
      <w:lvlText w:val=""/>
      <w:lvlJc w:val="left"/>
      <w:pPr>
        <w:ind w:left="7047" w:hanging="360"/>
      </w:pPr>
      <w:rPr>
        <w:rFonts w:ascii="Wingdings" w:hAnsi="Wingdings" w:hint="default"/>
      </w:rPr>
    </w:lvl>
  </w:abstractNum>
  <w:abstractNum w:abstractNumId="154" w15:restartNumberingAfterBreak="0">
    <w:nsid w:val="6FB67348"/>
    <w:multiLevelType w:val="hybridMultilevel"/>
    <w:tmpl w:val="160ACAE6"/>
    <w:lvl w:ilvl="0" w:tplc="0FC43F7C">
      <w:start w:val="1"/>
      <w:numFmt w:val="decimal"/>
      <w:lvlText w:val="%1."/>
      <w:lvlJc w:val="left"/>
      <w:pPr>
        <w:ind w:left="720" w:hanging="360"/>
      </w:pPr>
      <w:rPr>
        <w:rFonts w:hint="default"/>
      </w:rPr>
    </w:lvl>
    <w:lvl w:ilvl="1" w:tplc="D43C9BB6" w:tentative="1">
      <w:start w:val="1"/>
      <w:numFmt w:val="lowerLetter"/>
      <w:lvlText w:val="%2."/>
      <w:lvlJc w:val="left"/>
      <w:pPr>
        <w:ind w:left="1440" w:hanging="360"/>
      </w:pPr>
    </w:lvl>
    <w:lvl w:ilvl="2" w:tplc="191CA70A" w:tentative="1">
      <w:start w:val="1"/>
      <w:numFmt w:val="lowerRoman"/>
      <w:lvlText w:val="%3."/>
      <w:lvlJc w:val="right"/>
      <w:pPr>
        <w:ind w:left="2160" w:hanging="180"/>
      </w:pPr>
    </w:lvl>
    <w:lvl w:ilvl="3" w:tplc="B70843F2" w:tentative="1">
      <w:start w:val="1"/>
      <w:numFmt w:val="decimal"/>
      <w:lvlText w:val="%4."/>
      <w:lvlJc w:val="left"/>
      <w:pPr>
        <w:ind w:left="2880" w:hanging="360"/>
      </w:pPr>
    </w:lvl>
    <w:lvl w:ilvl="4" w:tplc="F6407C1C" w:tentative="1">
      <w:start w:val="1"/>
      <w:numFmt w:val="lowerLetter"/>
      <w:lvlText w:val="%5."/>
      <w:lvlJc w:val="left"/>
      <w:pPr>
        <w:ind w:left="3600" w:hanging="360"/>
      </w:pPr>
    </w:lvl>
    <w:lvl w:ilvl="5" w:tplc="B3C041E0" w:tentative="1">
      <w:start w:val="1"/>
      <w:numFmt w:val="lowerRoman"/>
      <w:lvlText w:val="%6."/>
      <w:lvlJc w:val="right"/>
      <w:pPr>
        <w:ind w:left="4320" w:hanging="180"/>
      </w:pPr>
    </w:lvl>
    <w:lvl w:ilvl="6" w:tplc="C3121FF8" w:tentative="1">
      <w:start w:val="1"/>
      <w:numFmt w:val="decimal"/>
      <w:lvlText w:val="%7."/>
      <w:lvlJc w:val="left"/>
      <w:pPr>
        <w:ind w:left="5040" w:hanging="360"/>
      </w:pPr>
    </w:lvl>
    <w:lvl w:ilvl="7" w:tplc="D0CE0032" w:tentative="1">
      <w:start w:val="1"/>
      <w:numFmt w:val="lowerLetter"/>
      <w:lvlText w:val="%8."/>
      <w:lvlJc w:val="left"/>
      <w:pPr>
        <w:ind w:left="5760" w:hanging="360"/>
      </w:pPr>
    </w:lvl>
    <w:lvl w:ilvl="8" w:tplc="D6BA3C1A" w:tentative="1">
      <w:start w:val="1"/>
      <w:numFmt w:val="lowerRoman"/>
      <w:lvlText w:val="%9."/>
      <w:lvlJc w:val="right"/>
      <w:pPr>
        <w:ind w:left="6480" w:hanging="180"/>
      </w:pPr>
    </w:lvl>
  </w:abstractNum>
  <w:abstractNum w:abstractNumId="155" w15:restartNumberingAfterBreak="0">
    <w:nsid w:val="708E440E"/>
    <w:multiLevelType w:val="hybridMultilevel"/>
    <w:tmpl w:val="0296A724"/>
    <w:lvl w:ilvl="0" w:tplc="7362EAC0">
      <w:start w:val="1"/>
      <w:numFmt w:val="bullet"/>
      <w:lvlText w:val=""/>
      <w:lvlJc w:val="left"/>
      <w:pPr>
        <w:ind w:left="1429" w:hanging="360"/>
      </w:pPr>
      <w:rPr>
        <w:rFonts w:ascii="Wingdings" w:hAnsi="Wingdings" w:hint="default"/>
      </w:rPr>
    </w:lvl>
    <w:lvl w:ilvl="1" w:tplc="89DC21B4" w:tentative="1">
      <w:start w:val="1"/>
      <w:numFmt w:val="bullet"/>
      <w:lvlText w:val="o"/>
      <w:lvlJc w:val="left"/>
      <w:pPr>
        <w:ind w:left="2149" w:hanging="360"/>
      </w:pPr>
      <w:rPr>
        <w:rFonts w:ascii="Courier New" w:hAnsi="Courier New" w:cs="Courier New" w:hint="default"/>
      </w:rPr>
    </w:lvl>
    <w:lvl w:ilvl="2" w:tplc="5C886058" w:tentative="1">
      <w:start w:val="1"/>
      <w:numFmt w:val="bullet"/>
      <w:lvlText w:val=""/>
      <w:lvlJc w:val="left"/>
      <w:pPr>
        <w:ind w:left="2869" w:hanging="360"/>
      </w:pPr>
      <w:rPr>
        <w:rFonts w:ascii="Wingdings" w:hAnsi="Wingdings" w:hint="default"/>
      </w:rPr>
    </w:lvl>
    <w:lvl w:ilvl="3" w:tplc="6CC083D2" w:tentative="1">
      <w:start w:val="1"/>
      <w:numFmt w:val="bullet"/>
      <w:lvlText w:val=""/>
      <w:lvlJc w:val="left"/>
      <w:pPr>
        <w:ind w:left="3589" w:hanging="360"/>
      </w:pPr>
      <w:rPr>
        <w:rFonts w:ascii="Symbol" w:hAnsi="Symbol" w:hint="default"/>
      </w:rPr>
    </w:lvl>
    <w:lvl w:ilvl="4" w:tplc="AEF22F5A" w:tentative="1">
      <w:start w:val="1"/>
      <w:numFmt w:val="bullet"/>
      <w:lvlText w:val="o"/>
      <w:lvlJc w:val="left"/>
      <w:pPr>
        <w:ind w:left="4309" w:hanging="360"/>
      </w:pPr>
      <w:rPr>
        <w:rFonts w:ascii="Courier New" w:hAnsi="Courier New" w:cs="Courier New" w:hint="default"/>
      </w:rPr>
    </w:lvl>
    <w:lvl w:ilvl="5" w:tplc="E85CC150" w:tentative="1">
      <w:start w:val="1"/>
      <w:numFmt w:val="bullet"/>
      <w:lvlText w:val=""/>
      <w:lvlJc w:val="left"/>
      <w:pPr>
        <w:ind w:left="5029" w:hanging="360"/>
      </w:pPr>
      <w:rPr>
        <w:rFonts w:ascii="Wingdings" w:hAnsi="Wingdings" w:hint="default"/>
      </w:rPr>
    </w:lvl>
    <w:lvl w:ilvl="6" w:tplc="BF00EBDC" w:tentative="1">
      <w:start w:val="1"/>
      <w:numFmt w:val="bullet"/>
      <w:lvlText w:val=""/>
      <w:lvlJc w:val="left"/>
      <w:pPr>
        <w:ind w:left="5749" w:hanging="360"/>
      </w:pPr>
      <w:rPr>
        <w:rFonts w:ascii="Symbol" w:hAnsi="Symbol" w:hint="default"/>
      </w:rPr>
    </w:lvl>
    <w:lvl w:ilvl="7" w:tplc="DE0024D0" w:tentative="1">
      <w:start w:val="1"/>
      <w:numFmt w:val="bullet"/>
      <w:lvlText w:val="o"/>
      <w:lvlJc w:val="left"/>
      <w:pPr>
        <w:ind w:left="6469" w:hanging="360"/>
      </w:pPr>
      <w:rPr>
        <w:rFonts w:ascii="Courier New" w:hAnsi="Courier New" w:cs="Courier New" w:hint="default"/>
      </w:rPr>
    </w:lvl>
    <w:lvl w:ilvl="8" w:tplc="B1F493BC" w:tentative="1">
      <w:start w:val="1"/>
      <w:numFmt w:val="bullet"/>
      <w:lvlText w:val=""/>
      <w:lvlJc w:val="left"/>
      <w:pPr>
        <w:ind w:left="7189" w:hanging="360"/>
      </w:pPr>
      <w:rPr>
        <w:rFonts w:ascii="Wingdings" w:hAnsi="Wingdings" w:hint="default"/>
      </w:rPr>
    </w:lvl>
  </w:abstractNum>
  <w:abstractNum w:abstractNumId="156" w15:restartNumberingAfterBreak="0">
    <w:nsid w:val="71CD06E0"/>
    <w:multiLevelType w:val="hybridMultilevel"/>
    <w:tmpl w:val="29B68850"/>
    <w:lvl w:ilvl="0" w:tplc="3686FC8E">
      <w:start w:val="1"/>
      <w:numFmt w:val="bullet"/>
      <w:pStyle w:val="312pt"/>
      <w:lvlText w:val=""/>
      <w:lvlJc w:val="left"/>
      <w:pPr>
        <w:tabs>
          <w:tab w:val="num" w:pos="720"/>
        </w:tabs>
        <w:ind w:left="720" w:hanging="360"/>
      </w:pPr>
      <w:rPr>
        <w:rFonts w:ascii="Wingdings" w:hAnsi="Wingdings" w:cs="Times New Roman" w:hint="default"/>
      </w:rPr>
    </w:lvl>
    <w:lvl w:ilvl="1" w:tplc="5FD4CF1E">
      <w:start w:val="1"/>
      <w:numFmt w:val="bullet"/>
      <w:lvlText w:val="o"/>
      <w:lvlJc w:val="left"/>
      <w:pPr>
        <w:tabs>
          <w:tab w:val="num" w:pos="1440"/>
        </w:tabs>
        <w:ind w:left="1440" w:hanging="360"/>
      </w:pPr>
      <w:rPr>
        <w:rFonts w:ascii="Courier New" w:hAnsi="Courier New" w:cs="Courier New" w:hint="default"/>
      </w:rPr>
    </w:lvl>
    <w:lvl w:ilvl="2" w:tplc="32287794">
      <w:start w:val="1"/>
      <w:numFmt w:val="bullet"/>
      <w:lvlText w:val=""/>
      <w:lvlJc w:val="left"/>
      <w:pPr>
        <w:tabs>
          <w:tab w:val="num" w:pos="2160"/>
        </w:tabs>
        <w:ind w:left="2160" w:hanging="360"/>
      </w:pPr>
      <w:rPr>
        <w:rFonts w:ascii="Wingdings" w:hAnsi="Wingdings" w:cs="Times New Roman" w:hint="default"/>
      </w:rPr>
    </w:lvl>
    <w:lvl w:ilvl="3" w:tplc="EDD0C622">
      <w:start w:val="1"/>
      <w:numFmt w:val="bullet"/>
      <w:lvlText w:val=""/>
      <w:lvlJc w:val="left"/>
      <w:pPr>
        <w:tabs>
          <w:tab w:val="num" w:pos="2880"/>
        </w:tabs>
        <w:ind w:left="2880" w:hanging="360"/>
      </w:pPr>
      <w:rPr>
        <w:rFonts w:ascii="Symbol" w:hAnsi="Symbol" w:cs="Times New Roman" w:hint="default"/>
      </w:rPr>
    </w:lvl>
    <w:lvl w:ilvl="4" w:tplc="B7C447E0">
      <w:start w:val="1"/>
      <w:numFmt w:val="bullet"/>
      <w:lvlText w:val="o"/>
      <w:lvlJc w:val="left"/>
      <w:pPr>
        <w:tabs>
          <w:tab w:val="num" w:pos="3600"/>
        </w:tabs>
        <w:ind w:left="3600" w:hanging="360"/>
      </w:pPr>
      <w:rPr>
        <w:rFonts w:ascii="Courier New" w:hAnsi="Courier New" w:cs="Courier New" w:hint="default"/>
      </w:rPr>
    </w:lvl>
    <w:lvl w:ilvl="5" w:tplc="CC36D7C0">
      <w:start w:val="1"/>
      <w:numFmt w:val="bullet"/>
      <w:lvlText w:val=""/>
      <w:lvlJc w:val="left"/>
      <w:pPr>
        <w:tabs>
          <w:tab w:val="num" w:pos="4320"/>
        </w:tabs>
        <w:ind w:left="4320" w:hanging="360"/>
      </w:pPr>
      <w:rPr>
        <w:rFonts w:ascii="Wingdings" w:hAnsi="Wingdings" w:cs="Times New Roman" w:hint="default"/>
      </w:rPr>
    </w:lvl>
    <w:lvl w:ilvl="6" w:tplc="7936AAD4">
      <w:start w:val="1"/>
      <w:numFmt w:val="bullet"/>
      <w:lvlText w:val=""/>
      <w:lvlJc w:val="left"/>
      <w:pPr>
        <w:tabs>
          <w:tab w:val="num" w:pos="5040"/>
        </w:tabs>
        <w:ind w:left="5040" w:hanging="360"/>
      </w:pPr>
      <w:rPr>
        <w:rFonts w:ascii="Symbol" w:hAnsi="Symbol" w:cs="Times New Roman" w:hint="default"/>
      </w:rPr>
    </w:lvl>
    <w:lvl w:ilvl="7" w:tplc="09126A4A">
      <w:start w:val="1"/>
      <w:numFmt w:val="bullet"/>
      <w:lvlText w:val="o"/>
      <w:lvlJc w:val="left"/>
      <w:pPr>
        <w:tabs>
          <w:tab w:val="num" w:pos="5760"/>
        </w:tabs>
        <w:ind w:left="5760" w:hanging="360"/>
      </w:pPr>
      <w:rPr>
        <w:rFonts w:ascii="Courier New" w:hAnsi="Courier New" w:cs="Courier New" w:hint="default"/>
      </w:rPr>
    </w:lvl>
    <w:lvl w:ilvl="8" w:tplc="2EA60A7C">
      <w:start w:val="1"/>
      <w:numFmt w:val="bullet"/>
      <w:lvlText w:val=""/>
      <w:lvlJc w:val="left"/>
      <w:pPr>
        <w:tabs>
          <w:tab w:val="num" w:pos="6480"/>
        </w:tabs>
        <w:ind w:left="6480" w:hanging="360"/>
      </w:pPr>
      <w:rPr>
        <w:rFonts w:ascii="Wingdings" w:hAnsi="Wingdings" w:cs="Times New Roman" w:hint="default"/>
      </w:rPr>
    </w:lvl>
  </w:abstractNum>
  <w:abstractNum w:abstractNumId="157" w15:restartNumberingAfterBreak="0">
    <w:nsid w:val="72307131"/>
    <w:multiLevelType w:val="hybridMultilevel"/>
    <w:tmpl w:val="149AB746"/>
    <w:lvl w:ilvl="0" w:tplc="A1861C4C">
      <w:start w:val="1"/>
      <w:numFmt w:val="bullet"/>
      <w:lvlText w:val=""/>
      <w:lvlJc w:val="left"/>
      <w:pPr>
        <w:ind w:left="720" w:hanging="360"/>
      </w:pPr>
      <w:rPr>
        <w:rFonts w:ascii="Symbol" w:hAnsi="Symbol" w:hint="default"/>
      </w:rPr>
    </w:lvl>
    <w:lvl w:ilvl="1" w:tplc="1352910E" w:tentative="1">
      <w:start w:val="1"/>
      <w:numFmt w:val="bullet"/>
      <w:lvlText w:val="o"/>
      <w:lvlJc w:val="left"/>
      <w:pPr>
        <w:ind w:left="1440" w:hanging="360"/>
      </w:pPr>
      <w:rPr>
        <w:rFonts w:ascii="Courier New" w:hAnsi="Courier New" w:cs="Courier New" w:hint="default"/>
      </w:rPr>
    </w:lvl>
    <w:lvl w:ilvl="2" w:tplc="35DED804" w:tentative="1">
      <w:start w:val="1"/>
      <w:numFmt w:val="bullet"/>
      <w:lvlText w:val=""/>
      <w:lvlJc w:val="left"/>
      <w:pPr>
        <w:ind w:left="2160" w:hanging="360"/>
      </w:pPr>
      <w:rPr>
        <w:rFonts w:ascii="Wingdings" w:hAnsi="Wingdings" w:hint="default"/>
      </w:rPr>
    </w:lvl>
    <w:lvl w:ilvl="3" w:tplc="D3D2DFF6" w:tentative="1">
      <w:start w:val="1"/>
      <w:numFmt w:val="bullet"/>
      <w:lvlText w:val=""/>
      <w:lvlJc w:val="left"/>
      <w:pPr>
        <w:ind w:left="2880" w:hanging="360"/>
      </w:pPr>
      <w:rPr>
        <w:rFonts w:ascii="Symbol" w:hAnsi="Symbol" w:hint="default"/>
      </w:rPr>
    </w:lvl>
    <w:lvl w:ilvl="4" w:tplc="914EFC94" w:tentative="1">
      <w:start w:val="1"/>
      <w:numFmt w:val="bullet"/>
      <w:lvlText w:val="o"/>
      <w:lvlJc w:val="left"/>
      <w:pPr>
        <w:ind w:left="3600" w:hanging="360"/>
      </w:pPr>
      <w:rPr>
        <w:rFonts w:ascii="Courier New" w:hAnsi="Courier New" w:cs="Courier New" w:hint="default"/>
      </w:rPr>
    </w:lvl>
    <w:lvl w:ilvl="5" w:tplc="66B0CA00" w:tentative="1">
      <w:start w:val="1"/>
      <w:numFmt w:val="bullet"/>
      <w:lvlText w:val=""/>
      <w:lvlJc w:val="left"/>
      <w:pPr>
        <w:ind w:left="4320" w:hanging="360"/>
      </w:pPr>
      <w:rPr>
        <w:rFonts w:ascii="Wingdings" w:hAnsi="Wingdings" w:hint="default"/>
      </w:rPr>
    </w:lvl>
    <w:lvl w:ilvl="6" w:tplc="1C2E6F80" w:tentative="1">
      <w:start w:val="1"/>
      <w:numFmt w:val="bullet"/>
      <w:lvlText w:val=""/>
      <w:lvlJc w:val="left"/>
      <w:pPr>
        <w:ind w:left="5040" w:hanging="360"/>
      </w:pPr>
      <w:rPr>
        <w:rFonts w:ascii="Symbol" w:hAnsi="Symbol" w:hint="default"/>
      </w:rPr>
    </w:lvl>
    <w:lvl w:ilvl="7" w:tplc="0F7ED012" w:tentative="1">
      <w:start w:val="1"/>
      <w:numFmt w:val="bullet"/>
      <w:lvlText w:val="o"/>
      <w:lvlJc w:val="left"/>
      <w:pPr>
        <w:ind w:left="5760" w:hanging="360"/>
      </w:pPr>
      <w:rPr>
        <w:rFonts w:ascii="Courier New" w:hAnsi="Courier New" w:cs="Courier New" w:hint="default"/>
      </w:rPr>
    </w:lvl>
    <w:lvl w:ilvl="8" w:tplc="EA78C658" w:tentative="1">
      <w:start w:val="1"/>
      <w:numFmt w:val="bullet"/>
      <w:lvlText w:val=""/>
      <w:lvlJc w:val="left"/>
      <w:pPr>
        <w:ind w:left="6480" w:hanging="360"/>
      </w:pPr>
      <w:rPr>
        <w:rFonts w:ascii="Wingdings" w:hAnsi="Wingdings" w:hint="default"/>
      </w:rPr>
    </w:lvl>
  </w:abstractNum>
  <w:abstractNum w:abstractNumId="158" w15:restartNumberingAfterBreak="0">
    <w:nsid w:val="723811C1"/>
    <w:multiLevelType w:val="multilevel"/>
    <w:tmpl w:val="B5BC5A2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9" w15:restartNumberingAfterBreak="0">
    <w:nsid w:val="73525298"/>
    <w:multiLevelType w:val="hybridMultilevel"/>
    <w:tmpl w:val="A4EA33B6"/>
    <w:lvl w:ilvl="0" w:tplc="195427E4">
      <w:start w:val="4"/>
      <w:numFmt w:val="bullet"/>
      <w:lvlText w:val=""/>
      <w:lvlJc w:val="left"/>
      <w:pPr>
        <w:ind w:left="720" w:hanging="360"/>
      </w:pPr>
      <w:rPr>
        <w:rFonts w:ascii="Symbol" w:eastAsia="Times New Roman" w:hAnsi="Symbol" w:cs="Arial" w:hint="default"/>
      </w:rPr>
    </w:lvl>
    <w:lvl w:ilvl="1" w:tplc="DAF68922" w:tentative="1">
      <w:start w:val="1"/>
      <w:numFmt w:val="bullet"/>
      <w:lvlText w:val="o"/>
      <w:lvlJc w:val="left"/>
      <w:pPr>
        <w:ind w:left="1440" w:hanging="360"/>
      </w:pPr>
      <w:rPr>
        <w:rFonts w:ascii="Courier New" w:hAnsi="Courier New" w:cs="Courier New" w:hint="default"/>
      </w:rPr>
    </w:lvl>
    <w:lvl w:ilvl="2" w:tplc="808AD2A0" w:tentative="1">
      <w:start w:val="1"/>
      <w:numFmt w:val="bullet"/>
      <w:lvlText w:val=""/>
      <w:lvlJc w:val="left"/>
      <w:pPr>
        <w:ind w:left="2160" w:hanging="360"/>
      </w:pPr>
      <w:rPr>
        <w:rFonts w:ascii="Wingdings" w:hAnsi="Wingdings" w:hint="default"/>
      </w:rPr>
    </w:lvl>
    <w:lvl w:ilvl="3" w:tplc="CB4EF9D4" w:tentative="1">
      <w:start w:val="1"/>
      <w:numFmt w:val="bullet"/>
      <w:lvlText w:val=""/>
      <w:lvlJc w:val="left"/>
      <w:pPr>
        <w:ind w:left="2880" w:hanging="360"/>
      </w:pPr>
      <w:rPr>
        <w:rFonts w:ascii="Symbol" w:hAnsi="Symbol" w:hint="default"/>
      </w:rPr>
    </w:lvl>
    <w:lvl w:ilvl="4" w:tplc="C35ACFE8" w:tentative="1">
      <w:start w:val="1"/>
      <w:numFmt w:val="bullet"/>
      <w:lvlText w:val="o"/>
      <w:lvlJc w:val="left"/>
      <w:pPr>
        <w:ind w:left="3600" w:hanging="360"/>
      </w:pPr>
      <w:rPr>
        <w:rFonts w:ascii="Courier New" w:hAnsi="Courier New" w:cs="Courier New" w:hint="default"/>
      </w:rPr>
    </w:lvl>
    <w:lvl w:ilvl="5" w:tplc="B6127656" w:tentative="1">
      <w:start w:val="1"/>
      <w:numFmt w:val="bullet"/>
      <w:lvlText w:val=""/>
      <w:lvlJc w:val="left"/>
      <w:pPr>
        <w:ind w:left="4320" w:hanging="360"/>
      </w:pPr>
      <w:rPr>
        <w:rFonts w:ascii="Wingdings" w:hAnsi="Wingdings" w:hint="default"/>
      </w:rPr>
    </w:lvl>
    <w:lvl w:ilvl="6" w:tplc="2DE63332" w:tentative="1">
      <w:start w:val="1"/>
      <w:numFmt w:val="bullet"/>
      <w:lvlText w:val=""/>
      <w:lvlJc w:val="left"/>
      <w:pPr>
        <w:ind w:left="5040" w:hanging="360"/>
      </w:pPr>
      <w:rPr>
        <w:rFonts w:ascii="Symbol" w:hAnsi="Symbol" w:hint="default"/>
      </w:rPr>
    </w:lvl>
    <w:lvl w:ilvl="7" w:tplc="56EE4BEA" w:tentative="1">
      <w:start w:val="1"/>
      <w:numFmt w:val="bullet"/>
      <w:lvlText w:val="o"/>
      <w:lvlJc w:val="left"/>
      <w:pPr>
        <w:ind w:left="5760" w:hanging="360"/>
      </w:pPr>
      <w:rPr>
        <w:rFonts w:ascii="Courier New" w:hAnsi="Courier New" w:cs="Courier New" w:hint="default"/>
      </w:rPr>
    </w:lvl>
    <w:lvl w:ilvl="8" w:tplc="D060B23E" w:tentative="1">
      <w:start w:val="1"/>
      <w:numFmt w:val="bullet"/>
      <w:lvlText w:val=""/>
      <w:lvlJc w:val="left"/>
      <w:pPr>
        <w:ind w:left="6480" w:hanging="360"/>
      </w:pPr>
      <w:rPr>
        <w:rFonts w:ascii="Wingdings" w:hAnsi="Wingdings" w:hint="default"/>
      </w:rPr>
    </w:lvl>
  </w:abstractNum>
  <w:abstractNum w:abstractNumId="160" w15:restartNumberingAfterBreak="0">
    <w:nsid w:val="73CB7B26"/>
    <w:multiLevelType w:val="hybridMultilevel"/>
    <w:tmpl w:val="98A8FD48"/>
    <w:lvl w:ilvl="0" w:tplc="FE6039BE">
      <w:start w:val="1"/>
      <w:numFmt w:val="bullet"/>
      <w:pStyle w:val="a4"/>
      <w:lvlText w:val=""/>
      <w:lvlJc w:val="left"/>
      <w:pPr>
        <w:tabs>
          <w:tab w:val="num" w:pos="720"/>
        </w:tabs>
        <w:ind w:left="720" w:hanging="360"/>
      </w:pPr>
      <w:rPr>
        <w:rFonts w:ascii="Wingdings" w:hAnsi="Wingdings" w:hint="default"/>
        <w:sz w:val="16"/>
      </w:rPr>
    </w:lvl>
    <w:lvl w:ilvl="1" w:tplc="C1881FC8" w:tentative="1">
      <w:start w:val="1"/>
      <w:numFmt w:val="bullet"/>
      <w:lvlText w:val="o"/>
      <w:lvlJc w:val="left"/>
      <w:pPr>
        <w:tabs>
          <w:tab w:val="num" w:pos="1440"/>
        </w:tabs>
        <w:ind w:left="1440" w:hanging="360"/>
      </w:pPr>
      <w:rPr>
        <w:rFonts w:ascii="Courier New" w:hAnsi="Courier New" w:hint="default"/>
      </w:rPr>
    </w:lvl>
    <w:lvl w:ilvl="2" w:tplc="811225AA" w:tentative="1">
      <w:start w:val="1"/>
      <w:numFmt w:val="bullet"/>
      <w:lvlText w:val=""/>
      <w:lvlJc w:val="left"/>
      <w:pPr>
        <w:tabs>
          <w:tab w:val="num" w:pos="2160"/>
        </w:tabs>
        <w:ind w:left="2160" w:hanging="360"/>
      </w:pPr>
      <w:rPr>
        <w:rFonts w:ascii="Wingdings" w:hAnsi="Wingdings" w:hint="default"/>
      </w:rPr>
    </w:lvl>
    <w:lvl w:ilvl="3" w:tplc="343065FA" w:tentative="1">
      <w:start w:val="1"/>
      <w:numFmt w:val="bullet"/>
      <w:lvlText w:val=""/>
      <w:lvlJc w:val="left"/>
      <w:pPr>
        <w:tabs>
          <w:tab w:val="num" w:pos="2880"/>
        </w:tabs>
        <w:ind w:left="2880" w:hanging="360"/>
      </w:pPr>
      <w:rPr>
        <w:rFonts w:ascii="Symbol" w:hAnsi="Symbol" w:hint="default"/>
      </w:rPr>
    </w:lvl>
    <w:lvl w:ilvl="4" w:tplc="7D0A8022" w:tentative="1">
      <w:start w:val="1"/>
      <w:numFmt w:val="bullet"/>
      <w:lvlText w:val="o"/>
      <w:lvlJc w:val="left"/>
      <w:pPr>
        <w:tabs>
          <w:tab w:val="num" w:pos="3600"/>
        </w:tabs>
        <w:ind w:left="3600" w:hanging="360"/>
      </w:pPr>
      <w:rPr>
        <w:rFonts w:ascii="Courier New" w:hAnsi="Courier New" w:hint="default"/>
      </w:rPr>
    </w:lvl>
    <w:lvl w:ilvl="5" w:tplc="1DA82390" w:tentative="1">
      <w:start w:val="1"/>
      <w:numFmt w:val="bullet"/>
      <w:lvlText w:val=""/>
      <w:lvlJc w:val="left"/>
      <w:pPr>
        <w:tabs>
          <w:tab w:val="num" w:pos="4320"/>
        </w:tabs>
        <w:ind w:left="4320" w:hanging="360"/>
      </w:pPr>
      <w:rPr>
        <w:rFonts w:ascii="Wingdings" w:hAnsi="Wingdings" w:hint="default"/>
      </w:rPr>
    </w:lvl>
    <w:lvl w:ilvl="6" w:tplc="92B47F76" w:tentative="1">
      <w:start w:val="1"/>
      <w:numFmt w:val="bullet"/>
      <w:lvlText w:val=""/>
      <w:lvlJc w:val="left"/>
      <w:pPr>
        <w:tabs>
          <w:tab w:val="num" w:pos="5040"/>
        </w:tabs>
        <w:ind w:left="5040" w:hanging="360"/>
      </w:pPr>
      <w:rPr>
        <w:rFonts w:ascii="Symbol" w:hAnsi="Symbol" w:hint="default"/>
      </w:rPr>
    </w:lvl>
    <w:lvl w:ilvl="7" w:tplc="610C89DE" w:tentative="1">
      <w:start w:val="1"/>
      <w:numFmt w:val="bullet"/>
      <w:lvlText w:val="o"/>
      <w:lvlJc w:val="left"/>
      <w:pPr>
        <w:tabs>
          <w:tab w:val="num" w:pos="5760"/>
        </w:tabs>
        <w:ind w:left="5760" w:hanging="360"/>
      </w:pPr>
      <w:rPr>
        <w:rFonts w:ascii="Courier New" w:hAnsi="Courier New" w:hint="default"/>
      </w:rPr>
    </w:lvl>
    <w:lvl w:ilvl="8" w:tplc="70E0D79E" w:tentative="1">
      <w:start w:val="1"/>
      <w:numFmt w:val="bullet"/>
      <w:lvlText w:val=""/>
      <w:lvlJc w:val="left"/>
      <w:pPr>
        <w:tabs>
          <w:tab w:val="num" w:pos="6480"/>
        </w:tabs>
        <w:ind w:left="6480" w:hanging="360"/>
      </w:pPr>
      <w:rPr>
        <w:rFonts w:ascii="Wingdings" w:hAnsi="Wingdings" w:hint="default"/>
      </w:rPr>
    </w:lvl>
  </w:abstractNum>
  <w:abstractNum w:abstractNumId="161" w15:restartNumberingAfterBreak="0">
    <w:nsid w:val="7470478E"/>
    <w:multiLevelType w:val="hybridMultilevel"/>
    <w:tmpl w:val="CB74C102"/>
    <w:lvl w:ilvl="0" w:tplc="F6EC516E">
      <w:start w:val="1"/>
      <w:numFmt w:val="bullet"/>
      <w:lvlText w:val="•"/>
      <w:lvlJc w:val="left"/>
      <w:pPr>
        <w:tabs>
          <w:tab w:val="num" w:pos="720"/>
        </w:tabs>
        <w:ind w:left="720" w:hanging="360"/>
      </w:pPr>
      <w:rPr>
        <w:rFonts w:ascii="Arial" w:hAnsi="Arial" w:hint="default"/>
      </w:rPr>
    </w:lvl>
    <w:lvl w:ilvl="1" w:tplc="6F904594" w:tentative="1">
      <w:start w:val="1"/>
      <w:numFmt w:val="bullet"/>
      <w:lvlText w:val="•"/>
      <w:lvlJc w:val="left"/>
      <w:pPr>
        <w:tabs>
          <w:tab w:val="num" w:pos="1440"/>
        </w:tabs>
        <w:ind w:left="1440" w:hanging="360"/>
      </w:pPr>
      <w:rPr>
        <w:rFonts w:ascii="Arial" w:hAnsi="Arial" w:hint="default"/>
      </w:rPr>
    </w:lvl>
    <w:lvl w:ilvl="2" w:tplc="9F54FE22" w:tentative="1">
      <w:start w:val="1"/>
      <w:numFmt w:val="bullet"/>
      <w:lvlText w:val="•"/>
      <w:lvlJc w:val="left"/>
      <w:pPr>
        <w:tabs>
          <w:tab w:val="num" w:pos="2160"/>
        </w:tabs>
        <w:ind w:left="2160" w:hanging="360"/>
      </w:pPr>
      <w:rPr>
        <w:rFonts w:ascii="Arial" w:hAnsi="Arial" w:hint="default"/>
      </w:rPr>
    </w:lvl>
    <w:lvl w:ilvl="3" w:tplc="0E98517E" w:tentative="1">
      <w:start w:val="1"/>
      <w:numFmt w:val="bullet"/>
      <w:lvlText w:val="•"/>
      <w:lvlJc w:val="left"/>
      <w:pPr>
        <w:tabs>
          <w:tab w:val="num" w:pos="2880"/>
        </w:tabs>
        <w:ind w:left="2880" w:hanging="360"/>
      </w:pPr>
      <w:rPr>
        <w:rFonts w:ascii="Arial" w:hAnsi="Arial" w:hint="default"/>
      </w:rPr>
    </w:lvl>
    <w:lvl w:ilvl="4" w:tplc="D1E0FA46" w:tentative="1">
      <w:start w:val="1"/>
      <w:numFmt w:val="bullet"/>
      <w:lvlText w:val="•"/>
      <w:lvlJc w:val="left"/>
      <w:pPr>
        <w:tabs>
          <w:tab w:val="num" w:pos="3600"/>
        </w:tabs>
        <w:ind w:left="3600" w:hanging="360"/>
      </w:pPr>
      <w:rPr>
        <w:rFonts w:ascii="Arial" w:hAnsi="Arial" w:hint="default"/>
      </w:rPr>
    </w:lvl>
    <w:lvl w:ilvl="5" w:tplc="0C627E16" w:tentative="1">
      <w:start w:val="1"/>
      <w:numFmt w:val="bullet"/>
      <w:lvlText w:val="•"/>
      <w:lvlJc w:val="left"/>
      <w:pPr>
        <w:tabs>
          <w:tab w:val="num" w:pos="4320"/>
        </w:tabs>
        <w:ind w:left="4320" w:hanging="360"/>
      </w:pPr>
      <w:rPr>
        <w:rFonts w:ascii="Arial" w:hAnsi="Arial" w:hint="default"/>
      </w:rPr>
    </w:lvl>
    <w:lvl w:ilvl="6" w:tplc="7FA8DDFA" w:tentative="1">
      <w:start w:val="1"/>
      <w:numFmt w:val="bullet"/>
      <w:lvlText w:val="•"/>
      <w:lvlJc w:val="left"/>
      <w:pPr>
        <w:tabs>
          <w:tab w:val="num" w:pos="5040"/>
        </w:tabs>
        <w:ind w:left="5040" w:hanging="360"/>
      </w:pPr>
      <w:rPr>
        <w:rFonts w:ascii="Arial" w:hAnsi="Arial" w:hint="default"/>
      </w:rPr>
    </w:lvl>
    <w:lvl w:ilvl="7" w:tplc="4156E274" w:tentative="1">
      <w:start w:val="1"/>
      <w:numFmt w:val="bullet"/>
      <w:lvlText w:val="•"/>
      <w:lvlJc w:val="left"/>
      <w:pPr>
        <w:tabs>
          <w:tab w:val="num" w:pos="5760"/>
        </w:tabs>
        <w:ind w:left="5760" w:hanging="360"/>
      </w:pPr>
      <w:rPr>
        <w:rFonts w:ascii="Arial" w:hAnsi="Arial" w:hint="default"/>
      </w:rPr>
    </w:lvl>
    <w:lvl w:ilvl="8" w:tplc="FC18CC80" w:tentative="1">
      <w:start w:val="1"/>
      <w:numFmt w:val="bullet"/>
      <w:lvlText w:val="•"/>
      <w:lvlJc w:val="left"/>
      <w:pPr>
        <w:tabs>
          <w:tab w:val="num" w:pos="6480"/>
        </w:tabs>
        <w:ind w:left="6480" w:hanging="360"/>
      </w:pPr>
      <w:rPr>
        <w:rFonts w:ascii="Arial" w:hAnsi="Arial" w:hint="default"/>
      </w:rPr>
    </w:lvl>
  </w:abstractNum>
  <w:abstractNum w:abstractNumId="162" w15:restartNumberingAfterBreak="0">
    <w:nsid w:val="756751C6"/>
    <w:multiLevelType w:val="hybridMultilevel"/>
    <w:tmpl w:val="D9C05DFA"/>
    <w:lvl w:ilvl="0" w:tplc="4A52ABA8">
      <w:start w:val="1"/>
      <w:numFmt w:val="bullet"/>
      <w:lvlText w:val=""/>
      <w:lvlJc w:val="left"/>
      <w:pPr>
        <w:tabs>
          <w:tab w:val="num" w:pos="720"/>
        </w:tabs>
        <w:ind w:left="720" w:hanging="360"/>
      </w:pPr>
      <w:rPr>
        <w:rFonts w:ascii="Wingdings" w:hAnsi="Wingdings" w:hint="default"/>
      </w:rPr>
    </w:lvl>
    <w:lvl w:ilvl="1" w:tplc="B6F8DA5C" w:tentative="1">
      <w:start w:val="1"/>
      <w:numFmt w:val="bullet"/>
      <w:lvlText w:val=""/>
      <w:lvlJc w:val="left"/>
      <w:pPr>
        <w:tabs>
          <w:tab w:val="num" w:pos="1440"/>
        </w:tabs>
        <w:ind w:left="1440" w:hanging="360"/>
      </w:pPr>
      <w:rPr>
        <w:rFonts w:ascii="Wingdings" w:hAnsi="Wingdings" w:hint="default"/>
      </w:rPr>
    </w:lvl>
    <w:lvl w:ilvl="2" w:tplc="9BA21B48" w:tentative="1">
      <w:start w:val="1"/>
      <w:numFmt w:val="bullet"/>
      <w:lvlText w:val=""/>
      <w:lvlJc w:val="left"/>
      <w:pPr>
        <w:tabs>
          <w:tab w:val="num" w:pos="2160"/>
        </w:tabs>
        <w:ind w:left="2160" w:hanging="360"/>
      </w:pPr>
      <w:rPr>
        <w:rFonts w:ascii="Wingdings" w:hAnsi="Wingdings" w:hint="default"/>
      </w:rPr>
    </w:lvl>
    <w:lvl w:ilvl="3" w:tplc="114016E2" w:tentative="1">
      <w:start w:val="1"/>
      <w:numFmt w:val="bullet"/>
      <w:lvlText w:val=""/>
      <w:lvlJc w:val="left"/>
      <w:pPr>
        <w:tabs>
          <w:tab w:val="num" w:pos="2880"/>
        </w:tabs>
        <w:ind w:left="2880" w:hanging="360"/>
      </w:pPr>
      <w:rPr>
        <w:rFonts w:ascii="Wingdings" w:hAnsi="Wingdings" w:hint="default"/>
      </w:rPr>
    </w:lvl>
    <w:lvl w:ilvl="4" w:tplc="1AEAF8EE" w:tentative="1">
      <w:start w:val="1"/>
      <w:numFmt w:val="bullet"/>
      <w:lvlText w:val=""/>
      <w:lvlJc w:val="left"/>
      <w:pPr>
        <w:tabs>
          <w:tab w:val="num" w:pos="3600"/>
        </w:tabs>
        <w:ind w:left="3600" w:hanging="360"/>
      </w:pPr>
      <w:rPr>
        <w:rFonts w:ascii="Wingdings" w:hAnsi="Wingdings" w:hint="default"/>
      </w:rPr>
    </w:lvl>
    <w:lvl w:ilvl="5" w:tplc="4A725CB4" w:tentative="1">
      <w:start w:val="1"/>
      <w:numFmt w:val="bullet"/>
      <w:lvlText w:val=""/>
      <w:lvlJc w:val="left"/>
      <w:pPr>
        <w:tabs>
          <w:tab w:val="num" w:pos="4320"/>
        </w:tabs>
        <w:ind w:left="4320" w:hanging="360"/>
      </w:pPr>
      <w:rPr>
        <w:rFonts w:ascii="Wingdings" w:hAnsi="Wingdings" w:hint="default"/>
      </w:rPr>
    </w:lvl>
    <w:lvl w:ilvl="6" w:tplc="C360F2B0" w:tentative="1">
      <w:start w:val="1"/>
      <w:numFmt w:val="bullet"/>
      <w:lvlText w:val=""/>
      <w:lvlJc w:val="left"/>
      <w:pPr>
        <w:tabs>
          <w:tab w:val="num" w:pos="5040"/>
        </w:tabs>
        <w:ind w:left="5040" w:hanging="360"/>
      </w:pPr>
      <w:rPr>
        <w:rFonts w:ascii="Wingdings" w:hAnsi="Wingdings" w:hint="default"/>
      </w:rPr>
    </w:lvl>
    <w:lvl w:ilvl="7" w:tplc="D3C230EE" w:tentative="1">
      <w:start w:val="1"/>
      <w:numFmt w:val="bullet"/>
      <w:lvlText w:val=""/>
      <w:lvlJc w:val="left"/>
      <w:pPr>
        <w:tabs>
          <w:tab w:val="num" w:pos="5760"/>
        </w:tabs>
        <w:ind w:left="5760" w:hanging="360"/>
      </w:pPr>
      <w:rPr>
        <w:rFonts w:ascii="Wingdings" w:hAnsi="Wingdings" w:hint="default"/>
      </w:rPr>
    </w:lvl>
    <w:lvl w:ilvl="8" w:tplc="8A3EE4F0" w:tentative="1">
      <w:start w:val="1"/>
      <w:numFmt w:val="bullet"/>
      <w:lvlText w:val=""/>
      <w:lvlJc w:val="left"/>
      <w:pPr>
        <w:tabs>
          <w:tab w:val="num" w:pos="6480"/>
        </w:tabs>
        <w:ind w:left="6480" w:hanging="360"/>
      </w:pPr>
      <w:rPr>
        <w:rFonts w:ascii="Wingdings" w:hAnsi="Wingdings" w:hint="default"/>
      </w:rPr>
    </w:lvl>
  </w:abstractNum>
  <w:abstractNum w:abstractNumId="163" w15:restartNumberingAfterBreak="0">
    <w:nsid w:val="75853B60"/>
    <w:multiLevelType w:val="hybridMultilevel"/>
    <w:tmpl w:val="EBD6EDBA"/>
    <w:lvl w:ilvl="0" w:tplc="CC4409BA">
      <w:start w:val="1"/>
      <w:numFmt w:val="decimal"/>
      <w:lvlText w:val="%1."/>
      <w:lvlJc w:val="left"/>
      <w:pPr>
        <w:ind w:left="1065" w:hanging="705"/>
      </w:pPr>
      <w:rPr>
        <w:rFonts w:hint="default"/>
      </w:rPr>
    </w:lvl>
    <w:lvl w:ilvl="1" w:tplc="7D72E5B8" w:tentative="1">
      <w:start w:val="1"/>
      <w:numFmt w:val="lowerLetter"/>
      <w:lvlText w:val="%2."/>
      <w:lvlJc w:val="left"/>
      <w:pPr>
        <w:ind w:left="1440" w:hanging="360"/>
      </w:pPr>
    </w:lvl>
    <w:lvl w:ilvl="2" w:tplc="6B287356" w:tentative="1">
      <w:start w:val="1"/>
      <w:numFmt w:val="lowerRoman"/>
      <w:lvlText w:val="%3."/>
      <w:lvlJc w:val="right"/>
      <w:pPr>
        <w:ind w:left="2160" w:hanging="180"/>
      </w:pPr>
    </w:lvl>
    <w:lvl w:ilvl="3" w:tplc="3B6E7712" w:tentative="1">
      <w:start w:val="1"/>
      <w:numFmt w:val="decimal"/>
      <w:lvlText w:val="%4."/>
      <w:lvlJc w:val="left"/>
      <w:pPr>
        <w:ind w:left="2880" w:hanging="360"/>
      </w:pPr>
    </w:lvl>
    <w:lvl w:ilvl="4" w:tplc="6A7EFC90" w:tentative="1">
      <w:start w:val="1"/>
      <w:numFmt w:val="lowerLetter"/>
      <w:lvlText w:val="%5."/>
      <w:lvlJc w:val="left"/>
      <w:pPr>
        <w:ind w:left="3600" w:hanging="360"/>
      </w:pPr>
    </w:lvl>
    <w:lvl w:ilvl="5" w:tplc="DA128460" w:tentative="1">
      <w:start w:val="1"/>
      <w:numFmt w:val="lowerRoman"/>
      <w:lvlText w:val="%6."/>
      <w:lvlJc w:val="right"/>
      <w:pPr>
        <w:ind w:left="4320" w:hanging="180"/>
      </w:pPr>
    </w:lvl>
    <w:lvl w:ilvl="6" w:tplc="D1009346" w:tentative="1">
      <w:start w:val="1"/>
      <w:numFmt w:val="decimal"/>
      <w:lvlText w:val="%7."/>
      <w:lvlJc w:val="left"/>
      <w:pPr>
        <w:ind w:left="5040" w:hanging="360"/>
      </w:pPr>
    </w:lvl>
    <w:lvl w:ilvl="7" w:tplc="81F61C3A" w:tentative="1">
      <w:start w:val="1"/>
      <w:numFmt w:val="lowerLetter"/>
      <w:lvlText w:val="%8."/>
      <w:lvlJc w:val="left"/>
      <w:pPr>
        <w:ind w:left="5760" w:hanging="360"/>
      </w:pPr>
    </w:lvl>
    <w:lvl w:ilvl="8" w:tplc="33E40A9C" w:tentative="1">
      <w:start w:val="1"/>
      <w:numFmt w:val="lowerRoman"/>
      <w:lvlText w:val="%9."/>
      <w:lvlJc w:val="right"/>
      <w:pPr>
        <w:ind w:left="6480" w:hanging="180"/>
      </w:pPr>
    </w:lvl>
  </w:abstractNum>
  <w:abstractNum w:abstractNumId="164" w15:restartNumberingAfterBreak="0">
    <w:nsid w:val="759D6B51"/>
    <w:multiLevelType w:val="hybridMultilevel"/>
    <w:tmpl w:val="81645B30"/>
    <w:lvl w:ilvl="0" w:tplc="F9840014">
      <w:start w:val="1"/>
      <w:numFmt w:val="decimal"/>
      <w:lvlText w:val="%1."/>
      <w:lvlJc w:val="left"/>
      <w:pPr>
        <w:ind w:left="1429" w:hanging="360"/>
      </w:pPr>
      <w:rPr>
        <w:rFonts w:ascii="Calibri" w:eastAsia="Times New Roman" w:hAnsi="Calibri" w:cs="Times New Roman"/>
      </w:rPr>
    </w:lvl>
    <w:lvl w:ilvl="1" w:tplc="74B4BCC0">
      <w:start w:val="1"/>
      <w:numFmt w:val="bullet"/>
      <w:lvlText w:val="o"/>
      <w:lvlJc w:val="left"/>
      <w:pPr>
        <w:ind w:left="2149" w:hanging="360"/>
      </w:pPr>
      <w:rPr>
        <w:rFonts w:ascii="Courier New" w:hAnsi="Courier New" w:hint="default"/>
      </w:rPr>
    </w:lvl>
    <w:lvl w:ilvl="2" w:tplc="C2AA856A">
      <w:start w:val="1"/>
      <w:numFmt w:val="bullet"/>
      <w:lvlText w:val=""/>
      <w:lvlJc w:val="left"/>
      <w:pPr>
        <w:ind w:left="2869" w:hanging="360"/>
      </w:pPr>
      <w:rPr>
        <w:rFonts w:ascii="Wingdings" w:hAnsi="Wingdings" w:hint="default"/>
      </w:rPr>
    </w:lvl>
    <w:lvl w:ilvl="3" w:tplc="AF2EE618" w:tentative="1">
      <w:start w:val="1"/>
      <w:numFmt w:val="bullet"/>
      <w:lvlText w:val=""/>
      <w:lvlJc w:val="left"/>
      <w:pPr>
        <w:ind w:left="3589" w:hanging="360"/>
      </w:pPr>
      <w:rPr>
        <w:rFonts w:ascii="Symbol" w:hAnsi="Symbol" w:hint="default"/>
      </w:rPr>
    </w:lvl>
    <w:lvl w:ilvl="4" w:tplc="B1DA7B60" w:tentative="1">
      <w:start w:val="1"/>
      <w:numFmt w:val="bullet"/>
      <w:lvlText w:val="o"/>
      <w:lvlJc w:val="left"/>
      <w:pPr>
        <w:ind w:left="4309" w:hanging="360"/>
      </w:pPr>
      <w:rPr>
        <w:rFonts w:ascii="Courier New" w:hAnsi="Courier New" w:hint="default"/>
      </w:rPr>
    </w:lvl>
    <w:lvl w:ilvl="5" w:tplc="798C6578" w:tentative="1">
      <w:start w:val="1"/>
      <w:numFmt w:val="bullet"/>
      <w:lvlText w:val=""/>
      <w:lvlJc w:val="left"/>
      <w:pPr>
        <w:ind w:left="5029" w:hanging="360"/>
      </w:pPr>
      <w:rPr>
        <w:rFonts w:ascii="Wingdings" w:hAnsi="Wingdings" w:hint="default"/>
      </w:rPr>
    </w:lvl>
    <w:lvl w:ilvl="6" w:tplc="4BB6D8B6" w:tentative="1">
      <w:start w:val="1"/>
      <w:numFmt w:val="bullet"/>
      <w:lvlText w:val=""/>
      <w:lvlJc w:val="left"/>
      <w:pPr>
        <w:ind w:left="5749" w:hanging="360"/>
      </w:pPr>
      <w:rPr>
        <w:rFonts w:ascii="Symbol" w:hAnsi="Symbol" w:hint="default"/>
      </w:rPr>
    </w:lvl>
    <w:lvl w:ilvl="7" w:tplc="66EE339C" w:tentative="1">
      <w:start w:val="1"/>
      <w:numFmt w:val="bullet"/>
      <w:lvlText w:val="o"/>
      <w:lvlJc w:val="left"/>
      <w:pPr>
        <w:ind w:left="6469" w:hanging="360"/>
      </w:pPr>
      <w:rPr>
        <w:rFonts w:ascii="Courier New" w:hAnsi="Courier New" w:hint="default"/>
      </w:rPr>
    </w:lvl>
    <w:lvl w:ilvl="8" w:tplc="3C26E09E" w:tentative="1">
      <w:start w:val="1"/>
      <w:numFmt w:val="bullet"/>
      <w:lvlText w:val=""/>
      <w:lvlJc w:val="left"/>
      <w:pPr>
        <w:ind w:left="7189" w:hanging="360"/>
      </w:pPr>
      <w:rPr>
        <w:rFonts w:ascii="Wingdings" w:hAnsi="Wingdings" w:hint="default"/>
      </w:rPr>
    </w:lvl>
  </w:abstractNum>
  <w:abstractNum w:abstractNumId="165" w15:restartNumberingAfterBreak="0">
    <w:nsid w:val="762D5DAA"/>
    <w:multiLevelType w:val="hybridMultilevel"/>
    <w:tmpl w:val="00F4DBE2"/>
    <w:lvl w:ilvl="0" w:tplc="B336C3FE">
      <w:start w:val="1"/>
      <w:numFmt w:val="bullet"/>
      <w:lvlText w:val=""/>
      <w:lvlJc w:val="left"/>
      <w:pPr>
        <w:tabs>
          <w:tab w:val="num" w:pos="720"/>
        </w:tabs>
        <w:ind w:left="720" w:hanging="360"/>
      </w:pPr>
      <w:rPr>
        <w:rFonts w:ascii="Symbol" w:hAnsi="Symbol" w:hint="default"/>
      </w:rPr>
    </w:lvl>
    <w:lvl w:ilvl="1" w:tplc="A482B638" w:tentative="1">
      <w:start w:val="1"/>
      <w:numFmt w:val="bullet"/>
      <w:lvlText w:val="o"/>
      <w:lvlJc w:val="left"/>
      <w:pPr>
        <w:tabs>
          <w:tab w:val="num" w:pos="1440"/>
        </w:tabs>
        <w:ind w:left="1440" w:hanging="360"/>
      </w:pPr>
      <w:rPr>
        <w:rFonts w:ascii="Courier New" w:hAnsi="Courier New" w:cs="Courier New" w:hint="default"/>
      </w:rPr>
    </w:lvl>
    <w:lvl w:ilvl="2" w:tplc="24680A38" w:tentative="1">
      <w:start w:val="1"/>
      <w:numFmt w:val="bullet"/>
      <w:lvlText w:val=""/>
      <w:lvlJc w:val="left"/>
      <w:pPr>
        <w:tabs>
          <w:tab w:val="num" w:pos="2160"/>
        </w:tabs>
        <w:ind w:left="2160" w:hanging="360"/>
      </w:pPr>
      <w:rPr>
        <w:rFonts w:ascii="Wingdings" w:hAnsi="Wingdings" w:hint="default"/>
      </w:rPr>
    </w:lvl>
    <w:lvl w:ilvl="3" w:tplc="7674BA76" w:tentative="1">
      <w:start w:val="1"/>
      <w:numFmt w:val="bullet"/>
      <w:lvlText w:val=""/>
      <w:lvlJc w:val="left"/>
      <w:pPr>
        <w:tabs>
          <w:tab w:val="num" w:pos="2880"/>
        </w:tabs>
        <w:ind w:left="2880" w:hanging="360"/>
      </w:pPr>
      <w:rPr>
        <w:rFonts w:ascii="Symbol" w:hAnsi="Symbol" w:hint="default"/>
      </w:rPr>
    </w:lvl>
    <w:lvl w:ilvl="4" w:tplc="BEECEE74" w:tentative="1">
      <w:start w:val="1"/>
      <w:numFmt w:val="bullet"/>
      <w:lvlText w:val="o"/>
      <w:lvlJc w:val="left"/>
      <w:pPr>
        <w:tabs>
          <w:tab w:val="num" w:pos="3600"/>
        </w:tabs>
        <w:ind w:left="3600" w:hanging="360"/>
      </w:pPr>
      <w:rPr>
        <w:rFonts w:ascii="Courier New" w:hAnsi="Courier New" w:cs="Courier New" w:hint="default"/>
      </w:rPr>
    </w:lvl>
    <w:lvl w:ilvl="5" w:tplc="7AFA5806" w:tentative="1">
      <w:start w:val="1"/>
      <w:numFmt w:val="bullet"/>
      <w:lvlText w:val=""/>
      <w:lvlJc w:val="left"/>
      <w:pPr>
        <w:tabs>
          <w:tab w:val="num" w:pos="4320"/>
        </w:tabs>
        <w:ind w:left="4320" w:hanging="360"/>
      </w:pPr>
      <w:rPr>
        <w:rFonts w:ascii="Wingdings" w:hAnsi="Wingdings" w:hint="default"/>
      </w:rPr>
    </w:lvl>
    <w:lvl w:ilvl="6" w:tplc="672EC0FC" w:tentative="1">
      <w:start w:val="1"/>
      <w:numFmt w:val="bullet"/>
      <w:lvlText w:val=""/>
      <w:lvlJc w:val="left"/>
      <w:pPr>
        <w:tabs>
          <w:tab w:val="num" w:pos="5040"/>
        </w:tabs>
        <w:ind w:left="5040" w:hanging="360"/>
      </w:pPr>
      <w:rPr>
        <w:rFonts w:ascii="Symbol" w:hAnsi="Symbol" w:hint="default"/>
      </w:rPr>
    </w:lvl>
    <w:lvl w:ilvl="7" w:tplc="22C8A07C" w:tentative="1">
      <w:start w:val="1"/>
      <w:numFmt w:val="bullet"/>
      <w:lvlText w:val="o"/>
      <w:lvlJc w:val="left"/>
      <w:pPr>
        <w:tabs>
          <w:tab w:val="num" w:pos="5760"/>
        </w:tabs>
        <w:ind w:left="5760" w:hanging="360"/>
      </w:pPr>
      <w:rPr>
        <w:rFonts w:ascii="Courier New" w:hAnsi="Courier New" w:cs="Courier New" w:hint="default"/>
      </w:rPr>
    </w:lvl>
    <w:lvl w:ilvl="8" w:tplc="238AE7AC" w:tentative="1">
      <w:start w:val="1"/>
      <w:numFmt w:val="bullet"/>
      <w:lvlText w:val=""/>
      <w:lvlJc w:val="left"/>
      <w:pPr>
        <w:tabs>
          <w:tab w:val="num" w:pos="6480"/>
        </w:tabs>
        <w:ind w:left="6480" w:hanging="360"/>
      </w:pPr>
      <w:rPr>
        <w:rFonts w:ascii="Wingdings" w:hAnsi="Wingdings" w:hint="default"/>
      </w:rPr>
    </w:lvl>
  </w:abstractNum>
  <w:abstractNum w:abstractNumId="166" w15:restartNumberingAfterBreak="0">
    <w:nsid w:val="776A739D"/>
    <w:multiLevelType w:val="hybridMultilevel"/>
    <w:tmpl w:val="4CD6443C"/>
    <w:lvl w:ilvl="0" w:tplc="5680EA54">
      <w:start w:val="1"/>
      <w:numFmt w:val="bullet"/>
      <w:lvlText w:val=""/>
      <w:lvlJc w:val="left"/>
      <w:pPr>
        <w:ind w:left="1287" w:hanging="360"/>
      </w:pPr>
      <w:rPr>
        <w:rFonts w:ascii="Symbol" w:hAnsi="Symbol" w:hint="default"/>
      </w:rPr>
    </w:lvl>
    <w:lvl w:ilvl="1" w:tplc="312CD722" w:tentative="1">
      <w:start w:val="1"/>
      <w:numFmt w:val="bullet"/>
      <w:lvlText w:val="o"/>
      <w:lvlJc w:val="left"/>
      <w:pPr>
        <w:ind w:left="2007" w:hanging="360"/>
      </w:pPr>
      <w:rPr>
        <w:rFonts w:ascii="Courier New" w:hAnsi="Courier New" w:cs="Courier New" w:hint="default"/>
      </w:rPr>
    </w:lvl>
    <w:lvl w:ilvl="2" w:tplc="C5FA8D0C" w:tentative="1">
      <w:start w:val="1"/>
      <w:numFmt w:val="bullet"/>
      <w:lvlText w:val=""/>
      <w:lvlJc w:val="left"/>
      <w:pPr>
        <w:ind w:left="2727" w:hanging="360"/>
      </w:pPr>
      <w:rPr>
        <w:rFonts w:ascii="Wingdings" w:hAnsi="Wingdings" w:hint="default"/>
      </w:rPr>
    </w:lvl>
    <w:lvl w:ilvl="3" w:tplc="87DC86C8" w:tentative="1">
      <w:start w:val="1"/>
      <w:numFmt w:val="bullet"/>
      <w:lvlText w:val=""/>
      <w:lvlJc w:val="left"/>
      <w:pPr>
        <w:ind w:left="3447" w:hanging="360"/>
      </w:pPr>
      <w:rPr>
        <w:rFonts w:ascii="Symbol" w:hAnsi="Symbol" w:hint="default"/>
      </w:rPr>
    </w:lvl>
    <w:lvl w:ilvl="4" w:tplc="27F8CB98" w:tentative="1">
      <w:start w:val="1"/>
      <w:numFmt w:val="bullet"/>
      <w:lvlText w:val="o"/>
      <w:lvlJc w:val="left"/>
      <w:pPr>
        <w:ind w:left="4167" w:hanging="360"/>
      </w:pPr>
      <w:rPr>
        <w:rFonts w:ascii="Courier New" w:hAnsi="Courier New" w:cs="Courier New" w:hint="default"/>
      </w:rPr>
    </w:lvl>
    <w:lvl w:ilvl="5" w:tplc="265CE838" w:tentative="1">
      <w:start w:val="1"/>
      <w:numFmt w:val="bullet"/>
      <w:lvlText w:val=""/>
      <w:lvlJc w:val="left"/>
      <w:pPr>
        <w:ind w:left="4887" w:hanging="360"/>
      </w:pPr>
      <w:rPr>
        <w:rFonts w:ascii="Wingdings" w:hAnsi="Wingdings" w:hint="default"/>
      </w:rPr>
    </w:lvl>
    <w:lvl w:ilvl="6" w:tplc="3EB8A058" w:tentative="1">
      <w:start w:val="1"/>
      <w:numFmt w:val="bullet"/>
      <w:lvlText w:val=""/>
      <w:lvlJc w:val="left"/>
      <w:pPr>
        <w:ind w:left="5607" w:hanging="360"/>
      </w:pPr>
      <w:rPr>
        <w:rFonts w:ascii="Symbol" w:hAnsi="Symbol" w:hint="default"/>
      </w:rPr>
    </w:lvl>
    <w:lvl w:ilvl="7" w:tplc="CD1C23FC" w:tentative="1">
      <w:start w:val="1"/>
      <w:numFmt w:val="bullet"/>
      <w:lvlText w:val="o"/>
      <w:lvlJc w:val="left"/>
      <w:pPr>
        <w:ind w:left="6327" w:hanging="360"/>
      </w:pPr>
      <w:rPr>
        <w:rFonts w:ascii="Courier New" w:hAnsi="Courier New" w:cs="Courier New" w:hint="default"/>
      </w:rPr>
    </w:lvl>
    <w:lvl w:ilvl="8" w:tplc="C4B87A8C" w:tentative="1">
      <w:start w:val="1"/>
      <w:numFmt w:val="bullet"/>
      <w:lvlText w:val=""/>
      <w:lvlJc w:val="left"/>
      <w:pPr>
        <w:ind w:left="7047" w:hanging="360"/>
      </w:pPr>
      <w:rPr>
        <w:rFonts w:ascii="Wingdings" w:hAnsi="Wingdings" w:hint="default"/>
      </w:rPr>
    </w:lvl>
  </w:abstractNum>
  <w:abstractNum w:abstractNumId="167" w15:restartNumberingAfterBreak="0">
    <w:nsid w:val="78582748"/>
    <w:multiLevelType w:val="multilevel"/>
    <w:tmpl w:val="728E53B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68" w15:restartNumberingAfterBreak="0">
    <w:nsid w:val="7AD33F51"/>
    <w:multiLevelType w:val="multilevel"/>
    <w:tmpl w:val="88940D2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9" w15:restartNumberingAfterBreak="0">
    <w:nsid w:val="7B485CC1"/>
    <w:multiLevelType w:val="hybridMultilevel"/>
    <w:tmpl w:val="2CEE0040"/>
    <w:lvl w:ilvl="0" w:tplc="2F46EE40">
      <w:start w:val="1"/>
      <w:numFmt w:val="bullet"/>
      <w:lvlText w:val=""/>
      <w:lvlJc w:val="left"/>
      <w:pPr>
        <w:ind w:left="1429" w:hanging="360"/>
      </w:pPr>
      <w:rPr>
        <w:rFonts w:ascii="Symbol" w:hAnsi="Symbol" w:hint="default"/>
        <w:sz w:val="28"/>
      </w:rPr>
    </w:lvl>
    <w:lvl w:ilvl="1" w:tplc="BC42E72A" w:tentative="1">
      <w:start w:val="1"/>
      <w:numFmt w:val="lowerLetter"/>
      <w:lvlText w:val="%2."/>
      <w:lvlJc w:val="left"/>
      <w:pPr>
        <w:ind w:left="2149" w:hanging="360"/>
      </w:pPr>
    </w:lvl>
    <w:lvl w:ilvl="2" w:tplc="E598B5B6" w:tentative="1">
      <w:start w:val="1"/>
      <w:numFmt w:val="lowerRoman"/>
      <w:lvlText w:val="%3."/>
      <w:lvlJc w:val="right"/>
      <w:pPr>
        <w:ind w:left="2869" w:hanging="180"/>
      </w:pPr>
    </w:lvl>
    <w:lvl w:ilvl="3" w:tplc="BF6E6FFA" w:tentative="1">
      <w:start w:val="1"/>
      <w:numFmt w:val="decimal"/>
      <w:lvlText w:val="%4."/>
      <w:lvlJc w:val="left"/>
      <w:pPr>
        <w:ind w:left="3589" w:hanging="360"/>
      </w:pPr>
    </w:lvl>
    <w:lvl w:ilvl="4" w:tplc="4540197A" w:tentative="1">
      <w:start w:val="1"/>
      <w:numFmt w:val="lowerLetter"/>
      <w:lvlText w:val="%5."/>
      <w:lvlJc w:val="left"/>
      <w:pPr>
        <w:ind w:left="4309" w:hanging="360"/>
      </w:pPr>
    </w:lvl>
    <w:lvl w:ilvl="5" w:tplc="E3FE2462" w:tentative="1">
      <w:start w:val="1"/>
      <w:numFmt w:val="lowerRoman"/>
      <w:lvlText w:val="%6."/>
      <w:lvlJc w:val="right"/>
      <w:pPr>
        <w:ind w:left="5029" w:hanging="180"/>
      </w:pPr>
    </w:lvl>
    <w:lvl w:ilvl="6" w:tplc="4E8A8D38" w:tentative="1">
      <w:start w:val="1"/>
      <w:numFmt w:val="decimal"/>
      <w:lvlText w:val="%7."/>
      <w:lvlJc w:val="left"/>
      <w:pPr>
        <w:ind w:left="5749" w:hanging="360"/>
      </w:pPr>
    </w:lvl>
    <w:lvl w:ilvl="7" w:tplc="064E19EC" w:tentative="1">
      <w:start w:val="1"/>
      <w:numFmt w:val="lowerLetter"/>
      <w:lvlText w:val="%8."/>
      <w:lvlJc w:val="left"/>
      <w:pPr>
        <w:ind w:left="6469" w:hanging="360"/>
      </w:pPr>
    </w:lvl>
    <w:lvl w:ilvl="8" w:tplc="CFF44352" w:tentative="1">
      <w:start w:val="1"/>
      <w:numFmt w:val="lowerRoman"/>
      <w:lvlText w:val="%9."/>
      <w:lvlJc w:val="right"/>
      <w:pPr>
        <w:ind w:left="7189" w:hanging="180"/>
      </w:pPr>
    </w:lvl>
  </w:abstractNum>
  <w:abstractNum w:abstractNumId="170" w15:restartNumberingAfterBreak="0">
    <w:nsid w:val="7B972062"/>
    <w:multiLevelType w:val="multilevel"/>
    <w:tmpl w:val="E77AE25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71" w15:restartNumberingAfterBreak="0">
    <w:nsid w:val="7E606F0F"/>
    <w:multiLevelType w:val="hybridMultilevel"/>
    <w:tmpl w:val="DF6E3700"/>
    <w:lvl w:ilvl="0" w:tplc="244854AE">
      <w:start w:val="1"/>
      <w:numFmt w:val="bullet"/>
      <w:lvlText w:val=""/>
      <w:lvlJc w:val="left"/>
      <w:pPr>
        <w:ind w:left="1429" w:hanging="360"/>
      </w:pPr>
      <w:rPr>
        <w:rFonts w:ascii="Symbol" w:hAnsi="Symbol" w:hint="default"/>
      </w:rPr>
    </w:lvl>
    <w:lvl w:ilvl="1" w:tplc="25CA3E32" w:tentative="1">
      <w:start w:val="1"/>
      <w:numFmt w:val="bullet"/>
      <w:lvlText w:val="o"/>
      <w:lvlJc w:val="left"/>
      <w:pPr>
        <w:ind w:left="2149" w:hanging="360"/>
      </w:pPr>
      <w:rPr>
        <w:rFonts w:ascii="Courier New" w:hAnsi="Courier New" w:cs="Courier New" w:hint="default"/>
      </w:rPr>
    </w:lvl>
    <w:lvl w:ilvl="2" w:tplc="60D43FA2" w:tentative="1">
      <w:start w:val="1"/>
      <w:numFmt w:val="bullet"/>
      <w:lvlText w:val=""/>
      <w:lvlJc w:val="left"/>
      <w:pPr>
        <w:ind w:left="2869" w:hanging="360"/>
      </w:pPr>
      <w:rPr>
        <w:rFonts w:ascii="Wingdings" w:hAnsi="Wingdings" w:hint="default"/>
      </w:rPr>
    </w:lvl>
    <w:lvl w:ilvl="3" w:tplc="BD10AD70" w:tentative="1">
      <w:start w:val="1"/>
      <w:numFmt w:val="bullet"/>
      <w:lvlText w:val=""/>
      <w:lvlJc w:val="left"/>
      <w:pPr>
        <w:ind w:left="3589" w:hanging="360"/>
      </w:pPr>
      <w:rPr>
        <w:rFonts w:ascii="Symbol" w:hAnsi="Symbol" w:hint="default"/>
      </w:rPr>
    </w:lvl>
    <w:lvl w:ilvl="4" w:tplc="22884522" w:tentative="1">
      <w:start w:val="1"/>
      <w:numFmt w:val="bullet"/>
      <w:lvlText w:val="o"/>
      <w:lvlJc w:val="left"/>
      <w:pPr>
        <w:ind w:left="4309" w:hanging="360"/>
      </w:pPr>
      <w:rPr>
        <w:rFonts w:ascii="Courier New" w:hAnsi="Courier New" w:cs="Courier New" w:hint="default"/>
      </w:rPr>
    </w:lvl>
    <w:lvl w:ilvl="5" w:tplc="ACE41B9A" w:tentative="1">
      <w:start w:val="1"/>
      <w:numFmt w:val="bullet"/>
      <w:lvlText w:val=""/>
      <w:lvlJc w:val="left"/>
      <w:pPr>
        <w:ind w:left="5029" w:hanging="360"/>
      </w:pPr>
      <w:rPr>
        <w:rFonts w:ascii="Wingdings" w:hAnsi="Wingdings" w:hint="default"/>
      </w:rPr>
    </w:lvl>
    <w:lvl w:ilvl="6" w:tplc="538813E0" w:tentative="1">
      <w:start w:val="1"/>
      <w:numFmt w:val="bullet"/>
      <w:lvlText w:val=""/>
      <w:lvlJc w:val="left"/>
      <w:pPr>
        <w:ind w:left="5749" w:hanging="360"/>
      </w:pPr>
      <w:rPr>
        <w:rFonts w:ascii="Symbol" w:hAnsi="Symbol" w:hint="default"/>
      </w:rPr>
    </w:lvl>
    <w:lvl w:ilvl="7" w:tplc="C2EA43B2" w:tentative="1">
      <w:start w:val="1"/>
      <w:numFmt w:val="bullet"/>
      <w:lvlText w:val="o"/>
      <w:lvlJc w:val="left"/>
      <w:pPr>
        <w:ind w:left="6469" w:hanging="360"/>
      </w:pPr>
      <w:rPr>
        <w:rFonts w:ascii="Courier New" w:hAnsi="Courier New" w:cs="Courier New" w:hint="default"/>
      </w:rPr>
    </w:lvl>
    <w:lvl w:ilvl="8" w:tplc="6786F4D0" w:tentative="1">
      <w:start w:val="1"/>
      <w:numFmt w:val="bullet"/>
      <w:lvlText w:val=""/>
      <w:lvlJc w:val="left"/>
      <w:pPr>
        <w:ind w:left="7189" w:hanging="360"/>
      </w:pPr>
      <w:rPr>
        <w:rFonts w:ascii="Wingdings" w:hAnsi="Wingdings" w:hint="default"/>
      </w:rPr>
    </w:lvl>
  </w:abstractNum>
  <w:abstractNum w:abstractNumId="172" w15:restartNumberingAfterBreak="0">
    <w:nsid w:val="7ED74BCF"/>
    <w:multiLevelType w:val="hybridMultilevel"/>
    <w:tmpl w:val="FD86ADAA"/>
    <w:lvl w:ilvl="0" w:tplc="53DA291E">
      <w:start w:val="1"/>
      <w:numFmt w:val="bullet"/>
      <w:lvlText w:val=""/>
      <w:lvlJc w:val="left"/>
      <w:pPr>
        <w:ind w:left="720" w:hanging="360"/>
      </w:pPr>
      <w:rPr>
        <w:rFonts w:ascii="Symbol" w:hAnsi="Symbol" w:hint="default"/>
      </w:rPr>
    </w:lvl>
    <w:lvl w:ilvl="1" w:tplc="F1A25586" w:tentative="1">
      <w:start w:val="1"/>
      <w:numFmt w:val="bullet"/>
      <w:lvlText w:val="o"/>
      <w:lvlJc w:val="left"/>
      <w:pPr>
        <w:ind w:left="1440" w:hanging="360"/>
      </w:pPr>
      <w:rPr>
        <w:rFonts w:ascii="Courier New" w:hAnsi="Courier New" w:cs="Courier New" w:hint="default"/>
      </w:rPr>
    </w:lvl>
    <w:lvl w:ilvl="2" w:tplc="8F621798" w:tentative="1">
      <w:start w:val="1"/>
      <w:numFmt w:val="bullet"/>
      <w:lvlText w:val=""/>
      <w:lvlJc w:val="left"/>
      <w:pPr>
        <w:ind w:left="2160" w:hanging="360"/>
      </w:pPr>
      <w:rPr>
        <w:rFonts w:ascii="Wingdings" w:hAnsi="Wingdings" w:hint="default"/>
      </w:rPr>
    </w:lvl>
    <w:lvl w:ilvl="3" w:tplc="A3CAEE26" w:tentative="1">
      <w:start w:val="1"/>
      <w:numFmt w:val="bullet"/>
      <w:lvlText w:val=""/>
      <w:lvlJc w:val="left"/>
      <w:pPr>
        <w:ind w:left="2880" w:hanging="360"/>
      </w:pPr>
      <w:rPr>
        <w:rFonts w:ascii="Symbol" w:hAnsi="Symbol" w:hint="default"/>
      </w:rPr>
    </w:lvl>
    <w:lvl w:ilvl="4" w:tplc="C9C07E52" w:tentative="1">
      <w:start w:val="1"/>
      <w:numFmt w:val="bullet"/>
      <w:lvlText w:val="o"/>
      <w:lvlJc w:val="left"/>
      <w:pPr>
        <w:ind w:left="3600" w:hanging="360"/>
      </w:pPr>
      <w:rPr>
        <w:rFonts w:ascii="Courier New" w:hAnsi="Courier New" w:cs="Courier New" w:hint="default"/>
      </w:rPr>
    </w:lvl>
    <w:lvl w:ilvl="5" w:tplc="9E36E4E8" w:tentative="1">
      <w:start w:val="1"/>
      <w:numFmt w:val="bullet"/>
      <w:lvlText w:val=""/>
      <w:lvlJc w:val="left"/>
      <w:pPr>
        <w:ind w:left="4320" w:hanging="360"/>
      </w:pPr>
      <w:rPr>
        <w:rFonts w:ascii="Wingdings" w:hAnsi="Wingdings" w:hint="default"/>
      </w:rPr>
    </w:lvl>
    <w:lvl w:ilvl="6" w:tplc="2E9A3FDC" w:tentative="1">
      <w:start w:val="1"/>
      <w:numFmt w:val="bullet"/>
      <w:lvlText w:val=""/>
      <w:lvlJc w:val="left"/>
      <w:pPr>
        <w:ind w:left="5040" w:hanging="360"/>
      </w:pPr>
      <w:rPr>
        <w:rFonts w:ascii="Symbol" w:hAnsi="Symbol" w:hint="default"/>
      </w:rPr>
    </w:lvl>
    <w:lvl w:ilvl="7" w:tplc="4644FA08" w:tentative="1">
      <w:start w:val="1"/>
      <w:numFmt w:val="bullet"/>
      <w:lvlText w:val="o"/>
      <w:lvlJc w:val="left"/>
      <w:pPr>
        <w:ind w:left="5760" w:hanging="360"/>
      </w:pPr>
      <w:rPr>
        <w:rFonts w:ascii="Courier New" w:hAnsi="Courier New" w:cs="Courier New" w:hint="default"/>
      </w:rPr>
    </w:lvl>
    <w:lvl w:ilvl="8" w:tplc="C0AABBB0" w:tentative="1">
      <w:start w:val="1"/>
      <w:numFmt w:val="bullet"/>
      <w:lvlText w:val=""/>
      <w:lvlJc w:val="left"/>
      <w:pPr>
        <w:ind w:left="6480" w:hanging="360"/>
      </w:pPr>
      <w:rPr>
        <w:rFonts w:ascii="Wingdings" w:hAnsi="Wingdings" w:hint="default"/>
      </w:rPr>
    </w:lvl>
  </w:abstractNum>
  <w:abstractNum w:abstractNumId="173" w15:restartNumberingAfterBreak="0">
    <w:nsid w:val="7F6049A2"/>
    <w:multiLevelType w:val="hybridMultilevel"/>
    <w:tmpl w:val="35068000"/>
    <w:lvl w:ilvl="0" w:tplc="D3BA0846">
      <w:start w:val="1"/>
      <w:numFmt w:val="decimal"/>
      <w:lvlText w:val="%1."/>
      <w:lvlJc w:val="left"/>
      <w:pPr>
        <w:ind w:left="720" w:hanging="360"/>
      </w:pPr>
      <w:rPr>
        <w:rFonts w:hint="default"/>
      </w:rPr>
    </w:lvl>
    <w:lvl w:ilvl="1" w:tplc="E506C092" w:tentative="1">
      <w:start w:val="1"/>
      <w:numFmt w:val="lowerLetter"/>
      <w:lvlText w:val="%2."/>
      <w:lvlJc w:val="left"/>
      <w:pPr>
        <w:ind w:left="1440" w:hanging="360"/>
      </w:pPr>
    </w:lvl>
    <w:lvl w:ilvl="2" w:tplc="33B057FC" w:tentative="1">
      <w:start w:val="1"/>
      <w:numFmt w:val="lowerRoman"/>
      <w:lvlText w:val="%3."/>
      <w:lvlJc w:val="right"/>
      <w:pPr>
        <w:ind w:left="2160" w:hanging="180"/>
      </w:pPr>
    </w:lvl>
    <w:lvl w:ilvl="3" w:tplc="B30C632A" w:tentative="1">
      <w:start w:val="1"/>
      <w:numFmt w:val="decimal"/>
      <w:lvlText w:val="%4."/>
      <w:lvlJc w:val="left"/>
      <w:pPr>
        <w:ind w:left="2880" w:hanging="360"/>
      </w:pPr>
    </w:lvl>
    <w:lvl w:ilvl="4" w:tplc="B1AC9BB2" w:tentative="1">
      <w:start w:val="1"/>
      <w:numFmt w:val="lowerLetter"/>
      <w:lvlText w:val="%5."/>
      <w:lvlJc w:val="left"/>
      <w:pPr>
        <w:ind w:left="3600" w:hanging="360"/>
      </w:pPr>
    </w:lvl>
    <w:lvl w:ilvl="5" w:tplc="60E0DE80" w:tentative="1">
      <w:start w:val="1"/>
      <w:numFmt w:val="lowerRoman"/>
      <w:lvlText w:val="%6."/>
      <w:lvlJc w:val="right"/>
      <w:pPr>
        <w:ind w:left="4320" w:hanging="180"/>
      </w:pPr>
    </w:lvl>
    <w:lvl w:ilvl="6" w:tplc="60C6F128" w:tentative="1">
      <w:start w:val="1"/>
      <w:numFmt w:val="decimal"/>
      <w:lvlText w:val="%7."/>
      <w:lvlJc w:val="left"/>
      <w:pPr>
        <w:ind w:left="5040" w:hanging="360"/>
      </w:pPr>
    </w:lvl>
    <w:lvl w:ilvl="7" w:tplc="141490B8" w:tentative="1">
      <w:start w:val="1"/>
      <w:numFmt w:val="lowerLetter"/>
      <w:lvlText w:val="%8."/>
      <w:lvlJc w:val="left"/>
      <w:pPr>
        <w:ind w:left="5760" w:hanging="360"/>
      </w:pPr>
    </w:lvl>
    <w:lvl w:ilvl="8" w:tplc="68424800" w:tentative="1">
      <w:start w:val="1"/>
      <w:numFmt w:val="lowerRoman"/>
      <w:lvlText w:val="%9."/>
      <w:lvlJc w:val="right"/>
      <w:pPr>
        <w:ind w:left="6480" w:hanging="180"/>
      </w:pPr>
    </w:lvl>
  </w:abstractNum>
  <w:num w:numId="1">
    <w:abstractNumId w:val="38"/>
  </w:num>
  <w:num w:numId="2">
    <w:abstractNumId w:val="126"/>
  </w:num>
  <w:num w:numId="3">
    <w:abstractNumId w:val="160"/>
  </w:num>
  <w:num w:numId="4">
    <w:abstractNumId w:val="111"/>
  </w:num>
  <w:num w:numId="5">
    <w:abstractNumId w:val="9"/>
  </w:num>
  <w:num w:numId="6">
    <w:abstractNumId w:val="140"/>
  </w:num>
  <w:num w:numId="7">
    <w:abstractNumId w:val="136"/>
  </w:num>
  <w:num w:numId="8">
    <w:abstractNumId w:val="95"/>
  </w:num>
  <w:num w:numId="9">
    <w:abstractNumId w:val="93"/>
  </w:num>
  <w:num w:numId="10">
    <w:abstractNumId w:val="34"/>
  </w:num>
  <w:num w:numId="11">
    <w:abstractNumId w:val="50"/>
  </w:num>
  <w:num w:numId="12">
    <w:abstractNumId w:val="59"/>
  </w:num>
  <w:num w:numId="13">
    <w:abstractNumId w:val="171"/>
  </w:num>
  <w:num w:numId="14">
    <w:abstractNumId w:val="78"/>
  </w:num>
  <w:num w:numId="15">
    <w:abstractNumId w:val="61"/>
  </w:num>
  <w:num w:numId="16">
    <w:abstractNumId w:val="141"/>
  </w:num>
  <w:num w:numId="17">
    <w:abstractNumId w:val="158"/>
  </w:num>
  <w:num w:numId="18">
    <w:abstractNumId w:val="128"/>
  </w:num>
  <w:num w:numId="19">
    <w:abstractNumId w:val="17"/>
  </w:num>
  <w:num w:numId="20">
    <w:abstractNumId w:val="122"/>
  </w:num>
  <w:num w:numId="21">
    <w:abstractNumId w:val="36"/>
  </w:num>
  <w:num w:numId="22">
    <w:abstractNumId w:val="41"/>
  </w:num>
  <w:num w:numId="23">
    <w:abstractNumId w:val="161"/>
  </w:num>
  <w:num w:numId="24">
    <w:abstractNumId w:val="48"/>
  </w:num>
  <w:num w:numId="25">
    <w:abstractNumId w:val="45"/>
  </w:num>
  <w:num w:numId="26">
    <w:abstractNumId w:val="49"/>
  </w:num>
  <w:num w:numId="27">
    <w:abstractNumId w:val="68"/>
  </w:num>
  <w:num w:numId="28">
    <w:abstractNumId w:val="120"/>
  </w:num>
  <w:num w:numId="29">
    <w:abstractNumId w:val="77"/>
  </w:num>
  <w:num w:numId="30">
    <w:abstractNumId w:val="13"/>
  </w:num>
  <w:num w:numId="31">
    <w:abstractNumId w:val="67"/>
  </w:num>
  <w:num w:numId="32">
    <w:abstractNumId w:val="65"/>
  </w:num>
  <w:num w:numId="33">
    <w:abstractNumId w:val="137"/>
  </w:num>
  <w:num w:numId="34">
    <w:abstractNumId w:val="118"/>
  </w:num>
  <w:num w:numId="35">
    <w:abstractNumId w:val="81"/>
  </w:num>
  <w:num w:numId="36">
    <w:abstractNumId w:val="11"/>
  </w:num>
  <w:num w:numId="37">
    <w:abstractNumId w:val="20"/>
  </w:num>
  <w:num w:numId="38">
    <w:abstractNumId w:val="53"/>
  </w:num>
  <w:num w:numId="39">
    <w:abstractNumId w:val="127"/>
  </w:num>
  <w:num w:numId="40">
    <w:abstractNumId w:val="75"/>
  </w:num>
  <w:num w:numId="41">
    <w:abstractNumId w:val="76"/>
  </w:num>
  <w:num w:numId="42">
    <w:abstractNumId w:val="157"/>
  </w:num>
  <w:num w:numId="43">
    <w:abstractNumId w:val="40"/>
  </w:num>
  <w:num w:numId="44">
    <w:abstractNumId w:val="106"/>
  </w:num>
  <w:num w:numId="45">
    <w:abstractNumId w:val="92"/>
  </w:num>
  <w:num w:numId="46">
    <w:abstractNumId w:val="159"/>
  </w:num>
  <w:num w:numId="47">
    <w:abstractNumId w:val="145"/>
  </w:num>
  <w:num w:numId="48">
    <w:abstractNumId w:val="134"/>
  </w:num>
  <w:num w:numId="49">
    <w:abstractNumId w:val="108"/>
  </w:num>
  <w:num w:numId="50">
    <w:abstractNumId w:val="102"/>
  </w:num>
  <w:num w:numId="51">
    <w:abstractNumId w:val="107"/>
  </w:num>
  <w:num w:numId="52">
    <w:abstractNumId w:val="147"/>
  </w:num>
  <w:num w:numId="53">
    <w:abstractNumId w:val="99"/>
  </w:num>
  <w:num w:numId="54">
    <w:abstractNumId w:val="2"/>
  </w:num>
  <w:num w:numId="55">
    <w:abstractNumId w:val="1"/>
  </w:num>
  <w:num w:numId="56">
    <w:abstractNumId w:val="3"/>
  </w:num>
  <w:num w:numId="57">
    <w:abstractNumId w:val="0"/>
  </w:num>
  <w:num w:numId="58">
    <w:abstractNumId w:val="156"/>
  </w:num>
  <w:num w:numId="59">
    <w:abstractNumId w:val="72"/>
  </w:num>
  <w:num w:numId="60">
    <w:abstractNumId w:val="35"/>
  </w:num>
  <w:num w:numId="61">
    <w:abstractNumId w:val="110"/>
  </w:num>
  <w:num w:numId="62">
    <w:abstractNumId w:val="26"/>
  </w:num>
  <w:num w:numId="63">
    <w:abstractNumId w:val="22"/>
  </w:num>
  <w:num w:numId="64">
    <w:abstractNumId w:val="165"/>
  </w:num>
  <w:num w:numId="65">
    <w:abstractNumId w:val="37"/>
  </w:num>
  <w:num w:numId="66">
    <w:abstractNumId w:val="30"/>
  </w:num>
  <w:num w:numId="67">
    <w:abstractNumId w:val="56"/>
  </w:num>
  <w:num w:numId="68">
    <w:abstractNumId w:val="98"/>
  </w:num>
  <w:num w:numId="69">
    <w:abstractNumId w:val="114"/>
  </w:num>
  <w:num w:numId="70">
    <w:abstractNumId w:val="42"/>
  </w:num>
  <w:num w:numId="71">
    <w:abstractNumId w:val="112"/>
  </w:num>
  <w:num w:numId="72">
    <w:abstractNumId w:val="55"/>
  </w:num>
  <w:num w:numId="73">
    <w:abstractNumId w:val="153"/>
  </w:num>
  <w:num w:numId="74">
    <w:abstractNumId w:val="23"/>
  </w:num>
  <w:num w:numId="75">
    <w:abstractNumId w:val="149"/>
  </w:num>
  <w:num w:numId="76">
    <w:abstractNumId w:val="148"/>
  </w:num>
  <w:num w:numId="77">
    <w:abstractNumId w:val="139"/>
  </w:num>
  <w:num w:numId="78">
    <w:abstractNumId w:val="163"/>
  </w:num>
  <w:num w:numId="79">
    <w:abstractNumId w:val="109"/>
  </w:num>
  <w:num w:numId="80">
    <w:abstractNumId w:val="151"/>
  </w:num>
  <w:num w:numId="81">
    <w:abstractNumId w:val="74"/>
  </w:num>
  <w:num w:numId="82">
    <w:abstractNumId w:val="154"/>
  </w:num>
  <w:num w:numId="83">
    <w:abstractNumId w:val="103"/>
  </w:num>
  <w:num w:numId="84">
    <w:abstractNumId w:val="62"/>
  </w:num>
  <w:num w:numId="85">
    <w:abstractNumId w:val="70"/>
  </w:num>
  <w:num w:numId="86">
    <w:abstractNumId w:val="71"/>
  </w:num>
  <w:num w:numId="87">
    <w:abstractNumId w:val="86"/>
  </w:num>
  <w:num w:numId="88">
    <w:abstractNumId w:val="121"/>
  </w:num>
  <w:num w:numId="89">
    <w:abstractNumId w:val="133"/>
  </w:num>
  <w:num w:numId="90">
    <w:abstractNumId w:val="16"/>
  </w:num>
  <w:num w:numId="91">
    <w:abstractNumId w:val="173"/>
  </w:num>
  <w:num w:numId="92">
    <w:abstractNumId w:val="66"/>
  </w:num>
  <w:num w:numId="9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4"/>
  </w:num>
  <w:num w:numId="96">
    <w:abstractNumId w:val="132"/>
  </w:num>
  <w:num w:numId="97">
    <w:abstractNumId w:val="142"/>
  </w:num>
  <w:num w:numId="98">
    <w:abstractNumId w:val="135"/>
  </w:num>
  <w:num w:numId="99">
    <w:abstractNumId w:val="25"/>
  </w:num>
  <w:num w:numId="100">
    <w:abstractNumId w:val="51"/>
  </w:num>
  <w:num w:numId="101">
    <w:abstractNumId w:val="52"/>
  </w:num>
  <w:num w:numId="102">
    <w:abstractNumId w:val="166"/>
  </w:num>
  <w:num w:numId="103">
    <w:abstractNumId w:val="115"/>
  </w:num>
  <w:num w:numId="104">
    <w:abstractNumId w:val="138"/>
  </w:num>
  <w:num w:numId="105">
    <w:abstractNumId w:val="69"/>
  </w:num>
  <w:num w:numId="106">
    <w:abstractNumId w:val="164"/>
  </w:num>
  <w:num w:numId="107">
    <w:abstractNumId w:val="89"/>
  </w:num>
  <w:num w:numId="108">
    <w:abstractNumId w:val="47"/>
  </w:num>
  <w:num w:numId="109">
    <w:abstractNumId w:val="73"/>
  </w:num>
  <w:num w:numId="110">
    <w:abstractNumId w:val="58"/>
  </w:num>
  <w:num w:numId="111">
    <w:abstractNumId w:val="162"/>
  </w:num>
  <w:num w:numId="112">
    <w:abstractNumId w:val="91"/>
  </w:num>
  <w:num w:numId="113">
    <w:abstractNumId w:val="143"/>
  </w:num>
  <w:num w:numId="114">
    <w:abstractNumId w:val="12"/>
  </w:num>
  <w:num w:numId="115">
    <w:abstractNumId w:val="101"/>
  </w:num>
  <w:num w:numId="116">
    <w:abstractNumId w:val="131"/>
  </w:num>
  <w:num w:numId="117">
    <w:abstractNumId w:val="31"/>
  </w:num>
  <w:num w:numId="118">
    <w:abstractNumId w:val="84"/>
  </w:num>
  <w:num w:numId="119">
    <w:abstractNumId w:val="21"/>
  </w:num>
  <w:num w:numId="120">
    <w:abstractNumId w:val="7"/>
  </w:num>
  <w:num w:numId="121">
    <w:abstractNumId w:val="6"/>
  </w:num>
  <w:num w:numId="122">
    <w:abstractNumId w:val="19"/>
  </w:num>
  <w:num w:numId="123">
    <w:abstractNumId w:val="28"/>
  </w:num>
  <w:num w:numId="124">
    <w:abstractNumId w:val="63"/>
  </w:num>
  <w:num w:numId="125">
    <w:abstractNumId w:val="46"/>
  </w:num>
  <w:num w:numId="126">
    <w:abstractNumId w:val="44"/>
  </w:num>
  <w:num w:numId="127">
    <w:abstractNumId w:val="83"/>
  </w:num>
  <w:num w:numId="128">
    <w:abstractNumId w:val="105"/>
  </w:num>
  <w:num w:numId="129">
    <w:abstractNumId w:val="85"/>
  </w:num>
  <w:num w:numId="130">
    <w:abstractNumId w:val="146"/>
  </w:num>
  <w:num w:numId="131">
    <w:abstractNumId w:val="24"/>
  </w:num>
  <w:num w:numId="132">
    <w:abstractNumId w:val="32"/>
  </w:num>
  <w:num w:numId="133">
    <w:abstractNumId w:val="8"/>
  </w:num>
  <w:num w:numId="134">
    <w:abstractNumId w:val="169"/>
  </w:num>
  <w:num w:numId="135">
    <w:abstractNumId w:val="43"/>
  </w:num>
  <w:num w:numId="136">
    <w:abstractNumId w:val="129"/>
  </w:num>
  <w:num w:numId="137">
    <w:abstractNumId w:val="60"/>
  </w:num>
  <w:num w:numId="138">
    <w:abstractNumId w:val="172"/>
  </w:num>
  <w:num w:numId="139">
    <w:abstractNumId w:val="152"/>
  </w:num>
  <w:num w:numId="140">
    <w:abstractNumId w:val="123"/>
  </w:num>
  <w:num w:numId="141">
    <w:abstractNumId w:val="15"/>
  </w:num>
  <w:num w:numId="142">
    <w:abstractNumId w:val="150"/>
  </w:num>
  <w:num w:numId="143">
    <w:abstractNumId w:val="10"/>
  </w:num>
  <w:num w:numId="144">
    <w:abstractNumId w:val="57"/>
  </w:num>
  <w:num w:numId="145">
    <w:abstractNumId w:val="87"/>
  </w:num>
  <w:num w:numId="146">
    <w:abstractNumId w:val="33"/>
  </w:num>
  <w:num w:numId="147">
    <w:abstractNumId w:val="170"/>
  </w:num>
  <w:num w:numId="148">
    <w:abstractNumId w:val="29"/>
  </w:num>
  <w:num w:numId="149">
    <w:abstractNumId w:val="168"/>
  </w:num>
  <w:num w:numId="150">
    <w:abstractNumId w:val="167"/>
  </w:num>
  <w:num w:numId="151">
    <w:abstractNumId w:val="119"/>
  </w:num>
  <w:num w:numId="152">
    <w:abstractNumId w:val="82"/>
  </w:num>
  <w:num w:numId="153">
    <w:abstractNumId w:val="117"/>
  </w:num>
  <w:num w:numId="154">
    <w:abstractNumId w:val="116"/>
  </w:num>
  <w:num w:numId="155">
    <w:abstractNumId w:val="124"/>
  </w:num>
  <w:num w:numId="156">
    <w:abstractNumId w:val="14"/>
  </w:num>
  <w:num w:numId="157">
    <w:abstractNumId w:val="27"/>
  </w:num>
  <w:num w:numId="158">
    <w:abstractNumId w:val="97"/>
  </w:num>
  <w:num w:numId="159">
    <w:abstractNumId w:val="79"/>
  </w:num>
  <w:num w:numId="160">
    <w:abstractNumId w:val="144"/>
  </w:num>
  <w:num w:numId="161">
    <w:abstractNumId w:val="39"/>
  </w:num>
  <w:num w:numId="162">
    <w:abstractNumId w:val="125"/>
  </w:num>
  <w:num w:numId="163">
    <w:abstractNumId w:val="88"/>
  </w:num>
  <w:num w:numId="164">
    <w:abstractNumId w:val="155"/>
  </w:num>
  <w:num w:numId="165">
    <w:abstractNumId w:val="90"/>
  </w:num>
  <w:num w:numId="166">
    <w:abstractNumId w:val="104"/>
  </w:num>
  <w:num w:numId="167">
    <w:abstractNumId w:val="130"/>
  </w:num>
  <w:num w:numId="168">
    <w:abstractNumId w:val="80"/>
  </w:num>
  <w:num w:numId="169">
    <w:abstractNumId w:val="96"/>
  </w:num>
  <w:num w:numId="170">
    <w:abstractNumId w:val="64"/>
  </w:num>
  <w:num w:numId="171">
    <w:abstractNumId w:val="100"/>
  </w:num>
  <w:num w:numId="172">
    <w:abstractNumId w:val="54"/>
  </w:num>
  <w:numIdMacAtCleanup w:val="1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hideSpellingErrors/>
  <w:hideGrammaticalErrors/>
  <w:defaultTabStop w:val="708"/>
  <w:drawingGridHorizontalSpacing w:val="110"/>
  <w:displayHorizontalDrawingGridEvery w:val="2"/>
  <w:characterSpacingControl w:val="doNotCompress"/>
  <w:hdrShapeDefaults>
    <o:shapedefaults v:ext="edit" spidmax="5121">
      <o:colormru v:ext="edit" colors="#3073a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58A"/>
    <w:rsid w:val="0000473F"/>
    <w:rsid w:val="00006147"/>
    <w:rsid w:val="00006621"/>
    <w:rsid w:val="00013D6E"/>
    <w:rsid w:val="00014222"/>
    <w:rsid w:val="00014CAB"/>
    <w:rsid w:val="00014FC7"/>
    <w:rsid w:val="000157E3"/>
    <w:rsid w:val="00016073"/>
    <w:rsid w:val="00020298"/>
    <w:rsid w:val="0002476E"/>
    <w:rsid w:val="00024C0F"/>
    <w:rsid w:val="0003232D"/>
    <w:rsid w:val="00040677"/>
    <w:rsid w:val="000413EB"/>
    <w:rsid w:val="000415AE"/>
    <w:rsid w:val="00042C54"/>
    <w:rsid w:val="000430AE"/>
    <w:rsid w:val="00050AEF"/>
    <w:rsid w:val="000534D3"/>
    <w:rsid w:val="00057591"/>
    <w:rsid w:val="00057705"/>
    <w:rsid w:val="0006070C"/>
    <w:rsid w:val="00060ACF"/>
    <w:rsid w:val="00067915"/>
    <w:rsid w:val="00070203"/>
    <w:rsid w:val="00070BB0"/>
    <w:rsid w:val="000730E7"/>
    <w:rsid w:val="00075C14"/>
    <w:rsid w:val="0008026E"/>
    <w:rsid w:val="00080500"/>
    <w:rsid w:val="000929D0"/>
    <w:rsid w:val="00093543"/>
    <w:rsid w:val="0009364E"/>
    <w:rsid w:val="00094091"/>
    <w:rsid w:val="000A091A"/>
    <w:rsid w:val="000A1E65"/>
    <w:rsid w:val="000A3316"/>
    <w:rsid w:val="000A339A"/>
    <w:rsid w:val="000A385C"/>
    <w:rsid w:val="000A5B82"/>
    <w:rsid w:val="000B0AB1"/>
    <w:rsid w:val="000B0C8A"/>
    <w:rsid w:val="000B1F1E"/>
    <w:rsid w:val="000B3BCC"/>
    <w:rsid w:val="000B4A81"/>
    <w:rsid w:val="000B4BC9"/>
    <w:rsid w:val="000B4E5C"/>
    <w:rsid w:val="000B6711"/>
    <w:rsid w:val="000B7C5F"/>
    <w:rsid w:val="000C50BD"/>
    <w:rsid w:val="000D094D"/>
    <w:rsid w:val="000D53D3"/>
    <w:rsid w:val="000D56D4"/>
    <w:rsid w:val="000D59CD"/>
    <w:rsid w:val="000D5C90"/>
    <w:rsid w:val="000D659F"/>
    <w:rsid w:val="000D6EDC"/>
    <w:rsid w:val="000E02BF"/>
    <w:rsid w:val="000E08A5"/>
    <w:rsid w:val="000E42B1"/>
    <w:rsid w:val="000E52D1"/>
    <w:rsid w:val="000F339F"/>
    <w:rsid w:val="000F3E7C"/>
    <w:rsid w:val="000F62BE"/>
    <w:rsid w:val="00100069"/>
    <w:rsid w:val="001005D6"/>
    <w:rsid w:val="00100634"/>
    <w:rsid w:val="00101043"/>
    <w:rsid w:val="00101C37"/>
    <w:rsid w:val="001045D6"/>
    <w:rsid w:val="0010560E"/>
    <w:rsid w:val="00110B20"/>
    <w:rsid w:val="001129D3"/>
    <w:rsid w:val="00113EEC"/>
    <w:rsid w:val="0011441A"/>
    <w:rsid w:val="0012248B"/>
    <w:rsid w:val="0012350F"/>
    <w:rsid w:val="00123D4C"/>
    <w:rsid w:val="00125BE2"/>
    <w:rsid w:val="00126423"/>
    <w:rsid w:val="00131BDE"/>
    <w:rsid w:val="001332B9"/>
    <w:rsid w:val="00143660"/>
    <w:rsid w:val="00143F34"/>
    <w:rsid w:val="00144CD5"/>
    <w:rsid w:val="001466D9"/>
    <w:rsid w:val="001503D0"/>
    <w:rsid w:val="00153E0B"/>
    <w:rsid w:val="001548C9"/>
    <w:rsid w:val="00156B3B"/>
    <w:rsid w:val="001571A8"/>
    <w:rsid w:val="00162DD0"/>
    <w:rsid w:val="00162E6E"/>
    <w:rsid w:val="00163543"/>
    <w:rsid w:val="00163CC7"/>
    <w:rsid w:val="00164BE3"/>
    <w:rsid w:val="00164FA3"/>
    <w:rsid w:val="00166337"/>
    <w:rsid w:val="00166EE8"/>
    <w:rsid w:val="00167696"/>
    <w:rsid w:val="00174C5B"/>
    <w:rsid w:val="001805DC"/>
    <w:rsid w:val="00185BD3"/>
    <w:rsid w:val="001860EE"/>
    <w:rsid w:val="00186606"/>
    <w:rsid w:val="00187FBA"/>
    <w:rsid w:val="001907EB"/>
    <w:rsid w:val="00191233"/>
    <w:rsid w:val="001A1BBF"/>
    <w:rsid w:val="001A5A24"/>
    <w:rsid w:val="001B2E1B"/>
    <w:rsid w:val="001B4967"/>
    <w:rsid w:val="001B626C"/>
    <w:rsid w:val="001B7893"/>
    <w:rsid w:val="001C5AC0"/>
    <w:rsid w:val="001C6732"/>
    <w:rsid w:val="001C6A92"/>
    <w:rsid w:val="001D0AE4"/>
    <w:rsid w:val="001D24B4"/>
    <w:rsid w:val="001D52AF"/>
    <w:rsid w:val="001D6B92"/>
    <w:rsid w:val="001E087C"/>
    <w:rsid w:val="001E2918"/>
    <w:rsid w:val="001E2F80"/>
    <w:rsid w:val="001E304E"/>
    <w:rsid w:val="001F2608"/>
    <w:rsid w:val="00203764"/>
    <w:rsid w:val="00204932"/>
    <w:rsid w:val="0020595C"/>
    <w:rsid w:val="00205FC7"/>
    <w:rsid w:val="0021075E"/>
    <w:rsid w:val="00211D6E"/>
    <w:rsid w:val="0021211C"/>
    <w:rsid w:val="00212783"/>
    <w:rsid w:val="00216F4E"/>
    <w:rsid w:val="00220F2E"/>
    <w:rsid w:val="00221404"/>
    <w:rsid w:val="00223470"/>
    <w:rsid w:val="002245FE"/>
    <w:rsid w:val="00230AF5"/>
    <w:rsid w:val="00230DB3"/>
    <w:rsid w:val="002342CA"/>
    <w:rsid w:val="002374BB"/>
    <w:rsid w:val="00242A17"/>
    <w:rsid w:val="002433A1"/>
    <w:rsid w:val="002446A8"/>
    <w:rsid w:val="00244BF7"/>
    <w:rsid w:val="0025427A"/>
    <w:rsid w:val="002557A7"/>
    <w:rsid w:val="002606EA"/>
    <w:rsid w:val="00260D12"/>
    <w:rsid w:val="002639AE"/>
    <w:rsid w:val="0027083B"/>
    <w:rsid w:val="00271A3F"/>
    <w:rsid w:val="00272EC7"/>
    <w:rsid w:val="00283580"/>
    <w:rsid w:val="002840C9"/>
    <w:rsid w:val="002907D8"/>
    <w:rsid w:val="00293DDA"/>
    <w:rsid w:val="00293F42"/>
    <w:rsid w:val="002967EE"/>
    <w:rsid w:val="00297DC9"/>
    <w:rsid w:val="002A3947"/>
    <w:rsid w:val="002A59B7"/>
    <w:rsid w:val="002A5A00"/>
    <w:rsid w:val="002A7CE1"/>
    <w:rsid w:val="002B0157"/>
    <w:rsid w:val="002B01A2"/>
    <w:rsid w:val="002B0C1E"/>
    <w:rsid w:val="002B1197"/>
    <w:rsid w:val="002B65C5"/>
    <w:rsid w:val="002C1E76"/>
    <w:rsid w:val="002C2B9D"/>
    <w:rsid w:val="002C3947"/>
    <w:rsid w:val="002C46CF"/>
    <w:rsid w:val="002C495C"/>
    <w:rsid w:val="002C6248"/>
    <w:rsid w:val="002C6456"/>
    <w:rsid w:val="002C72AA"/>
    <w:rsid w:val="002D093A"/>
    <w:rsid w:val="002D232A"/>
    <w:rsid w:val="002D2998"/>
    <w:rsid w:val="002D2EA8"/>
    <w:rsid w:val="002D75FC"/>
    <w:rsid w:val="002E01BE"/>
    <w:rsid w:val="002E1FC8"/>
    <w:rsid w:val="002E4402"/>
    <w:rsid w:val="002E611C"/>
    <w:rsid w:val="002F0819"/>
    <w:rsid w:val="002F111D"/>
    <w:rsid w:val="002F2574"/>
    <w:rsid w:val="002F264F"/>
    <w:rsid w:val="002F6AD9"/>
    <w:rsid w:val="0030363A"/>
    <w:rsid w:val="00311E75"/>
    <w:rsid w:val="0031297B"/>
    <w:rsid w:val="00314390"/>
    <w:rsid w:val="00315399"/>
    <w:rsid w:val="003159D9"/>
    <w:rsid w:val="00317689"/>
    <w:rsid w:val="00321DBF"/>
    <w:rsid w:val="0032433D"/>
    <w:rsid w:val="0033027C"/>
    <w:rsid w:val="0033125D"/>
    <w:rsid w:val="003326CA"/>
    <w:rsid w:val="00333EDF"/>
    <w:rsid w:val="00335272"/>
    <w:rsid w:val="003355CB"/>
    <w:rsid w:val="003357C6"/>
    <w:rsid w:val="003405CC"/>
    <w:rsid w:val="0034065E"/>
    <w:rsid w:val="00342BB0"/>
    <w:rsid w:val="003450CA"/>
    <w:rsid w:val="003520A4"/>
    <w:rsid w:val="00352520"/>
    <w:rsid w:val="003536D4"/>
    <w:rsid w:val="0035386D"/>
    <w:rsid w:val="0035451C"/>
    <w:rsid w:val="00357578"/>
    <w:rsid w:val="0036089D"/>
    <w:rsid w:val="00360A2F"/>
    <w:rsid w:val="00361A1E"/>
    <w:rsid w:val="003658B7"/>
    <w:rsid w:val="0037477A"/>
    <w:rsid w:val="00375AB7"/>
    <w:rsid w:val="003760B8"/>
    <w:rsid w:val="003847E9"/>
    <w:rsid w:val="00385050"/>
    <w:rsid w:val="00386CB2"/>
    <w:rsid w:val="003870CA"/>
    <w:rsid w:val="003912DF"/>
    <w:rsid w:val="00394FF1"/>
    <w:rsid w:val="00396716"/>
    <w:rsid w:val="00396BFE"/>
    <w:rsid w:val="003A0144"/>
    <w:rsid w:val="003A3D59"/>
    <w:rsid w:val="003A4321"/>
    <w:rsid w:val="003B1234"/>
    <w:rsid w:val="003B26ED"/>
    <w:rsid w:val="003B5DDD"/>
    <w:rsid w:val="003B6C92"/>
    <w:rsid w:val="003C0580"/>
    <w:rsid w:val="003C23D5"/>
    <w:rsid w:val="003C2EA7"/>
    <w:rsid w:val="003C3773"/>
    <w:rsid w:val="003C4ACC"/>
    <w:rsid w:val="003C5157"/>
    <w:rsid w:val="003D220D"/>
    <w:rsid w:val="003D48B7"/>
    <w:rsid w:val="003D49A2"/>
    <w:rsid w:val="003D5B7C"/>
    <w:rsid w:val="003D61E3"/>
    <w:rsid w:val="003D6CE3"/>
    <w:rsid w:val="003E0388"/>
    <w:rsid w:val="003E1072"/>
    <w:rsid w:val="003E3AF6"/>
    <w:rsid w:val="003E5403"/>
    <w:rsid w:val="003E5897"/>
    <w:rsid w:val="003E5F06"/>
    <w:rsid w:val="003E7447"/>
    <w:rsid w:val="003F4530"/>
    <w:rsid w:val="003F6DA4"/>
    <w:rsid w:val="0040027A"/>
    <w:rsid w:val="004004A6"/>
    <w:rsid w:val="004048C1"/>
    <w:rsid w:val="004062DD"/>
    <w:rsid w:val="00406D1D"/>
    <w:rsid w:val="004117E4"/>
    <w:rsid w:val="00411940"/>
    <w:rsid w:val="00413F6D"/>
    <w:rsid w:val="00414759"/>
    <w:rsid w:val="00415115"/>
    <w:rsid w:val="00415ACC"/>
    <w:rsid w:val="0041638B"/>
    <w:rsid w:val="0041682D"/>
    <w:rsid w:val="00416C26"/>
    <w:rsid w:val="00420B35"/>
    <w:rsid w:val="00425F63"/>
    <w:rsid w:val="004260F7"/>
    <w:rsid w:val="00426B2B"/>
    <w:rsid w:val="00430414"/>
    <w:rsid w:val="00434FE5"/>
    <w:rsid w:val="004353E5"/>
    <w:rsid w:val="00435F05"/>
    <w:rsid w:val="00437538"/>
    <w:rsid w:val="00440FB3"/>
    <w:rsid w:val="00444326"/>
    <w:rsid w:val="00446913"/>
    <w:rsid w:val="00447BA7"/>
    <w:rsid w:val="004500D4"/>
    <w:rsid w:val="00456162"/>
    <w:rsid w:val="00457729"/>
    <w:rsid w:val="00460651"/>
    <w:rsid w:val="0046240B"/>
    <w:rsid w:val="00471445"/>
    <w:rsid w:val="004718E1"/>
    <w:rsid w:val="004719ED"/>
    <w:rsid w:val="0047201F"/>
    <w:rsid w:val="00472677"/>
    <w:rsid w:val="00472C06"/>
    <w:rsid w:val="00475CC0"/>
    <w:rsid w:val="0047642D"/>
    <w:rsid w:val="00480980"/>
    <w:rsid w:val="00480F9B"/>
    <w:rsid w:val="0048343D"/>
    <w:rsid w:val="00487E6F"/>
    <w:rsid w:val="0049415C"/>
    <w:rsid w:val="00494EED"/>
    <w:rsid w:val="00495883"/>
    <w:rsid w:val="00496257"/>
    <w:rsid w:val="004967C9"/>
    <w:rsid w:val="004A1766"/>
    <w:rsid w:val="004A1B29"/>
    <w:rsid w:val="004A1EDD"/>
    <w:rsid w:val="004A31C8"/>
    <w:rsid w:val="004A3580"/>
    <w:rsid w:val="004A41EF"/>
    <w:rsid w:val="004A45C7"/>
    <w:rsid w:val="004A4637"/>
    <w:rsid w:val="004A476F"/>
    <w:rsid w:val="004A6281"/>
    <w:rsid w:val="004A66E4"/>
    <w:rsid w:val="004A6955"/>
    <w:rsid w:val="004B00D1"/>
    <w:rsid w:val="004B6725"/>
    <w:rsid w:val="004C0056"/>
    <w:rsid w:val="004C1D5D"/>
    <w:rsid w:val="004C3221"/>
    <w:rsid w:val="004C3FD7"/>
    <w:rsid w:val="004D1143"/>
    <w:rsid w:val="004D2697"/>
    <w:rsid w:val="004D451A"/>
    <w:rsid w:val="004D469C"/>
    <w:rsid w:val="004D5239"/>
    <w:rsid w:val="004E1820"/>
    <w:rsid w:val="004E2DE3"/>
    <w:rsid w:val="004E3F76"/>
    <w:rsid w:val="004F279F"/>
    <w:rsid w:val="004F303C"/>
    <w:rsid w:val="004F43FC"/>
    <w:rsid w:val="004F5502"/>
    <w:rsid w:val="004F6A05"/>
    <w:rsid w:val="004F729F"/>
    <w:rsid w:val="0050206E"/>
    <w:rsid w:val="00503326"/>
    <w:rsid w:val="0050394F"/>
    <w:rsid w:val="00504C8A"/>
    <w:rsid w:val="0050564E"/>
    <w:rsid w:val="00506492"/>
    <w:rsid w:val="005073C5"/>
    <w:rsid w:val="005114CF"/>
    <w:rsid w:val="0051175E"/>
    <w:rsid w:val="005132C5"/>
    <w:rsid w:val="005168D6"/>
    <w:rsid w:val="00517F89"/>
    <w:rsid w:val="00520624"/>
    <w:rsid w:val="0052069E"/>
    <w:rsid w:val="00521289"/>
    <w:rsid w:val="00523374"/>
    <w:rsid w:val="00523495"/>
    <w:rsid w:val="00523EF3"/>
    <w:rsid w:val="00527490"/>
    <w:rsid w:val="0053021D"/>
    <w:rsid w:val="005305A5"/>
    <w:rsid w:val="00531EB3"/>
    <w:rsid w:val="0053339C"/>
    <w:rsid w:val="00533E38"/>
    <w:rsid w:val="00535457"/>
    <w:rsid w:val="00537097"/>
    <w:rsid w:val="00544E7C"/>
    <w:rsid w:val="00545CED"/>
    <w:rsid w:val="005510A8"/>
    <w:rsid w:val="00554EE9"/>
    <w:rsid w:val="00555F8E"/>
    <w:rsid w:val="005570CB"/>
    <w:rsid w:val="00561403"/>
    <w:rsid w:val="00562124"/>
    <w:rsid w:val="00563C51"/>
    <w:rsid w:val="00565F41"/>
    <w:rsid w:val="00566A95"/>
    <w:rsid w:val="00571E9A"/>
    <w:rsid w:val="00572D9E"/>
    <w:rsid w:val="00574972"/>
    <w:rsid w:val="00577654"/>
    <w:rsid w:val="00577FF1"/>
    <w:rsid w:val="00581AD5"/>
    <w:rsid w:val="00582E80"/>
    <w:rsid w:val="005842E3"/>
    <w:rsid w:val="00586DF6"/>
    <w:rsid w:val="00587A9E"/>
    <w:rsid w:val="00590640"/>
    <w:rsid w:val="00590DA7"/>
    <w:rsid w:val="00590DD2"/>
    <w:rsid w:val="00591453"/>
    <w:rsid w:val="00593106"/>
    <w:rsid w:val="00593B86"/>
    <w:rsid w:val="00595A4D"/>
    <w:rsid w:val="00595F2B"/>
    <w:rsid w:val="005966B9"/>
    <w:rsid w:val="00597667"/>
    <w:rsid w:val="00597953"/>
    <w:rsid w:val="005A1A41"/>
    <w:rsid w:val="005A2A0D"/>
    <w:rsid w:val="005A327B"/>
    <w:rsid w:val="005A3D29"/>
    <w:rsid w:val="005A3D30"/>
    <w:rsid w:val="005A3F89"/>
    <w:rsid w:val="005A57A8"/>
    <w:rsid w:val="005A6308"/>
    <w:rsid w:val="005A73B6"/>
    <w:rsid w:val="005A7FF1"/>
    <w:rsid w:val="005B22BE"/>
    <w:rsid w:val="005B5817"/>
    <w:rsid w:val="005B5BE2"/>
    <w:rsid w:val="005B64F6"/>
    <w:rsid w:val="005C1246"/>
    <w:rsid w:val="005C27E8"/>
    <w:rsid w:val="005C4056"/>
    <w:rsid w:val="005C7685"/>
    <w:rsid w:val="005D0F7E"/>
    <w:rsid w:val="005D29AA"/>
    <w:rsid w:val="005D3716"/>
    <w:rsid w:val="005D5F5A"/>
    <w:rsid w:val="005D6521"/>
    <w:rsid w:val="005D6F09"/>
    <w:rsid w:val="005E53D7"/>
    <w:rsid w:val="005E6EF2"/>
    <w:rsid w:val="005E740E"/>
    <w:rsid w:val="005E79E1"/>
    <w:rsid w:val="005F0EE4"/>
    <w:rsid w:val="005F2DB2"/>
    <w:rsid w:val="00603B8F"/>
    <w:rsid w:val="006054DB"/>
    <w:rsid w:val="0060596B"/>
    <w:rsid w:val="00606779"/>
    <w:rsid w:val="00606E6F"/>
    <w:rsid w:val="00611AE7"/>
    <w:rsid w:val="006134F3"/>
    <w:rsid w:val="006138BA"/>
    <w:rsid w:val="00616C23"/>
    <w:rsid w:val="00617634"/>
    <w:rsid w:val="00617869"/>
    <w:rsid w:val="00622F9C"/>
    <w:rsid w:val="0062782B"/>
    <w:rsid w:val="006312A3"/>
    <w:rsid w:val="00644BD7"/>
    <w:rsid w:val="00650933"/>
    <w:rsid w:val="006510FA"/>
    <w:rsid w:val="006515AB"/>
    <w:rsid w:val="00653289"/>
    <w:rsid w:val="006533D6"/>
    <w:rsid w:val="00653F35"/>
    <w:rsid w:val="00654296"/>
    <w:rsid w:val="00654F33"/>
    <w:rsid w:val="00660FC1"/>
    <w:rsid w:val="0066127B"/>
    <w:rsid w:val="006614B1"/>
    <w:rsid w:val="00664F07"/>
    <w:rsid w:val="00666708"/>
    <w:rsid w:val="00667AA2"/>
    <w:rsid w:val="00667EDC"/>
    <w:rsid w:val="006709C9"/>
    <w:rsid w:val="006719F7"/>
    <w:rsid w:val="00671AA2"/>
    <w:rsid w:val="006733C1"/>
    <w:rsid w:val="00673DBA"/>
    <w:rsid w:val="006768A2"/>
    <w:rsid w:val="00677483"/>
    <w:rsid w:val="00681127"/>
    <w:rsid w:val="006835C0"/>
    <w:rsid w:val="00684937"/>
    <w:rsid w:val="00686753"/>
    <w:rsid w:val="006901B8"/>
    <w:rsid w:val="006946F3"/>
    <w:rsid w:val="00695DA9"/>
    <w:rsid w:val="00696382"/>
    <w:rsid w:val="006965E3"/>
    <w:rsid w:val="006A52E7"/>
    <w:rsid w:val="006A6450"/>
    <w:rsid w:val="006A7606"/>
    <w:rsid w:val="006B3190"/>
    <w:rsid w:val="006B3A25"/>
    <w:rsid w:val="006C3074"/>
    <w:rsid w:val="006C31E6"/>
    <w:rsid w:val="006C59F9"/>
    <w:rsid w:val="006D33A3"/>
    <w:rsid w:val="006D44C8"/>
    <w:rsid w:val="006D4ADE"/>
    <w:rsid w:val="006E01D5"/>
    <w:rsid w:val="006E0AE5"/>
    <w:rsid w:val="006E16B5"/>
    <w:rsid w:val="006E4660"/>
    <w:rsid w:val="006E5772"/>
    <w:rsid w:val="006E6ED2"/>
    <w:rsid w:val="006E7D4A"/>
    <w:rsid w:val="006F141A"/>
    <w:rsid w:val="006F1587"/>
    <w:rsid w:val="006F1B15"/>
    <w:rsid w:val="006F7712"/>
    <w:rsid w:val="00701648"/>
    <w:rsid w:val="00701CC1"/>
    <w:rsid w:val="00702903"/>
    <w:rsid w:val="0070563C"/>
    <w:rsid w:val="00705A20"/>
    <w:rsid w:val="00705CA0"/>
    <w:rsid w:val="00714CBE"/>
    <w:rsid w:val="00725BCA"/>
    <w:rsid w:val="00725BF3"/>
    <w:rsid w:val="007310BF"/>
    <w:rsid w:val="00732FAB"/>
    <w:rsid w:val="0073636D"/>
    <w:rsid w:val="007377FB"/>
    <w:rsid w:val="00741C72"/>
    <w:rsid w:val="00744532"/>
    <w:rsid w:val="00745625"/>
    <w:rsid w:val="00751FD7"/>
    <w:rsid w:val="00753D14"/>
    <w:rsid w:val="007542CB"/>
    <w:rsid w:val="007565D8"/>
    <w:rsid w:val="00761A8B"/>
    <w:rsid w:val="007635DF"/>
    <w:rsid w:val="00770089"/>
    <w:rsid w:val="007716CA"/>
    <w:rsid w:val="00771C9D"/>
    <w:rsid w:val="00773E4F"/>
    <w:rsid w:val="007742E1"/>
    <w:rsid w:val="007763E8"/>
    <w:rsid w:val="00781083"/>
    <w:rsid w:val="00785EA2"/>
    <w:rsid w:val="00785F89"/>
    <w:rsid w:val="007864EB"/>
    <w:rsid w:val="007906BF"/>
    <w:rsid w:val="00791639"/>
    <w:rsid w:val="00791F3A"/>
    <w:rsid w:val="007921B8"/>
    <w:rsid w:val="00793EE1"/>
    <w:rsid w:val="007974D9"/>
    <w:rsid w:val="0079775C"/>
    <w:rsid w:val="007A0417"/>
    <w:rsid w:val="007A3B27"/>
    <w:rsid w:val="007A586F"/>
    <w:rsid w:val="007A7469"/>
    <w:rsid w:val="007B3E7C"/>
    <w:rsid w:val="007B59B6"/>
    <w:rsid w:val="007B6ECC"/>
    <w:rsid w:val="007C1F64"/>
    <w:rsid w:val="007C31A4"/>
    <w:rsid w:val="007D0B99"/>
    <w:rsid w:val="007D2C4A"/>
    <w:rsid w:val="007D408D"/>
    <w:rsid w:val="007E175C"/>
    <w:rsid w:val="007E435C"/>
    <w:rsid w:val="007E4858"/>
    <w:rsid w:val="007E5383"/>
    <w:rsid w:val="007E6110"/>
    <w:rsid w:val="007E7425"/>
    <w:rsid w:val="007F1D7D"/>
    <w:rsid w:val="007F3E9A"/>
    <w:rsid w:val="007F4315"/>
    <w:rsid w:val="007F758A"/>
    <w:rsid w:val="007F7DC5"/>
    <w:rsid w:val="00801007"/>
    <w:rsid w:val="00802064"/>
    <w:rsid w:val="00802E2D"/>
    <w:rsid w:val="0080483A"/>
    <w:rsid w:val="0080640D"/>
    <w:rsid w:val="00807967"/>
    <w:rsid w:val="00807E3D"/>
    <w:rsid w:val="0081080D"/>
    <w:rsid w:val="00813F99"/>
    <w:rsid w:val="00815B6D"/>
    <w:rsid w:val="00821948"/>
    <w:rsid w:val="008224A8"/>
    <w:rsid w:val="00823C63"/>
    <w:rsid w:val="0082527E"/>
    <w:rsid w:val="008258E6"/>
    <w:rsid w:val="008278A0"/>
    <w:rsid w:val="00830B69"/>
    <w:rsid w:val="00832533"/>
    <w:rsid w:val="00833901"/>
    <w:rsid w:val="00837938"/>
    <w:rsid w:val="00841C6B"/>
    <w:rsid w:val="008437C0"/>
    <w:rsid w:val="00843A06"/>
    <w:rsid w:val="00850333"/>
    <w:rsid w:val="0085147F"/>
    <w:rsid w:val="00853FC6"/>
    <w:rsid w:val="00856950"/>
    <w:rsid w:val="0085739F"/>
    <w:rsid w:val="0086130A"/>
    <w:rsid w:val="00863DDB"/>
    <w:rsid w:val="0086744C"/>
    <w:rsid w:val="00870A54"/>
    <w:rsid w:val="0087286E"/>
    <w:rsid w:val="00873926"/>
    <w:rsid w:val="00876303"/>
    <w:rsid w:val="00876919"/>
    <w:rsid w:val="00876C53"/>
    <w:rsid w:val="008814BB"/>
    <w:rsid w:val="00882C3A"/>
    <w:rsid w:val="008A270A"/>
    <w:rsid w:val="008A28D4"/>
    <w:rsid w:val="008A31D1"/>
    <w:rsid w:val="008A5057"/>
    <w:rsid w:val="008A6F81"/>
    <w:rsid w:val="008A71CC"/>
    <w:rsid w:val="008A7FFE"/>
    <w:rsid w:val="008B183C"/>
    <w:rsid w:val="008B5178"/>
    <w:rsid w:val="008B6746"/>
    <w:rsid w:val="008C7BD6"/>
    <w:rsid w:val="008D04FE"/>
    <w:rsid w:val="008D0710"/>
    <w:rsid w:val="008D3AA5"/>
    <w:rsid w:val="008D6DDA"/>
    <w:rsid w:val="008E2021"/>
    <w:rsid w:val="008E2767"/>
    <w:rsid w:val="008E3A68"/>
    <w:rsid w:val="008E55D0"/>
    <w:rsid w:val="008E5BFD"/>
    <w:rsid w:val="008E67ED"/>
    <w:rsid w:val="008F2360"/>
    <w:rsid w:val="00903863"/>
    <w:rsid w:val="00906126"/>
    <w:rsid w:val="009075EF"/>
    <w:rsid w:val="00907C8C"/>
    <w:rsid w:val="009113E1"/>
    <w:rsid w:val="00920E30"/>
    <w:rsid w:val="00922A9F"/>
    <w:rsid w:val="00922D8A"/>
    <w:rsid w:val="00923AE5"/>
    <w:rsid w:val="0092592B"/>
    <w:rsid w:val="0092670C"/>
    <w:rsid w:val="00926D1F"/>
    <w:rsid w:val="00926E57"/>
    <w:rsid w:val="00933132"/>
    <w:rsid w:val="00934E0B"/>
    <w:rsid w:val="0093602A"/>
    <w:rsid w:val="00940B48"/>
    <w:rsid w:val="0094124A"/>
    <w:rsid w:val="00941620"/>
    <w:rsid w:val="009427FD"/>
    <w:rsid w:val="009444EE"/>
    <w:rsid w:val="00944A99"/>
    <w:rsid w:val="00944F94"/>
    <w:rsid w:val="00946C46"/>
    <w:rsid w:val="00947A7C"/>
    <w:rsid w:val="009502CE"/>
    <w:rsid w:val="0095178A"/>
    <w:rsid w:val="00953B67"/>
    <w:rsid w:val="0095416F"/>
    <w:rsid w:val="00954A47"/>
    <w:rsid w:val="0096243D"/>
    <w:rsid w:val="00966AF3"/>
    <w:rsid w:val="00966B4E"/>
    <w:rsid w:val="009673A7"/>
    <w:rsid w:val="00971288"/>
    <w:rsid w:val="0098003E"/>
    <w:rsid w:val="00980654"/>
    <w:rsid w:val="00983DB6"/>
    <w:rsid w:val="009940A7"/>
    <w:rsid w:val="0099692B"/>
    <w:rsid w:val="00997858"/>
    <w:rsid w:val="00997D07"/>
    <w:rsid w:val="009A6258"/>
    <w:rsid w:val="009A649D"/>
    <w:rsid w:val="009A6C1B"/>
    <w:rsid w:val="009A73DF"/>
    <w:rsid w:val="009B0FCC"/>
    <w:rsid w:val="009B3EAE"/>
    <w:rsid w:val="009B435E"/>
    <w:rsid w:val="009C0F1B"/>
    <w:rsid w:val="009C7C5B"/>
    <w:rsid w:val="009D0AE5"/>
    <w:rsid w:val="009D3391"/>
    <w:rsid w:val="009D5388"/>
    <w:rsid w:val="009D5F5E"/>
    <w:rsid w:val="009E0669"/>
    <w:rsid w:val="009E138B"/>
    <w:rsid w:val="009E6685"/>
    <w:rsid w:val="009E7AA8"/>
    <w:rsid w:val="009E7B27"/>
    <w:rsid w:val="009F03EB"/>
    <w:rsid w:val="009F1F1C"/>
    <w:rsid w:val="009F2664"/>
    <w:rsid w:val="009F285C"/>
    <w:rsid w:val="009F3A98"/>
    <w:rsid w:val="009F3AA1"/>
    <w:rsid w:val="009F4AE5"/>
    <w:rsid w:val="00A03205"/>
    <w:rsid w:val="00A03A6B"/>
    <w:rsid w:val="00A03C8A"/>
    <w:rsid w:val="00A04D13"/>
    <w:rsid w:val="00A06C18"/>
    <w:rsid w:val="00A07300"/>
    <w:rsid w:val="00A100A1"/>
    <w:rsid w:val="00A1723E"/>
    <w:rsid w:val="00A20B1E"/>
    <w:rsid w:val="00A21613"/>
    <w:rsid w:val="00A252D2"/>
    <w:rsid w:val="00A263DB"/>
    <w:rsid w:val="00A273C1"/>
    <w:rsid w:val="00A30013"/>
    <w:rsid w:val="00A37BE6"/>
    <w:rsid w:val="00A40076"/>
    <w:rsid w:val="00A40AB4"/>
    <w:rsid w:val="00A40F25"/>
    <w:rsid w:val="00A417FC"/>
    <w:rsid w:val="00A41E9C"/>
    <w:rsid w:val="00A4245D"/>
    <w:rsid w:val="00A447B5"/>
    <w:rsid w:val="00A44F69"/>
    <w:rsid w:val="00A46BBE"/>
    <w:rsid w:val="00A51EAA"/>
    <w:rsid w:val="00A54C92"/>
    <w:rsid w:val="00A60BEB"/>
    <w:rsid w:val="00A61553"/>
    <w:rsid w:val="00A6460F"/>
    <w:rsid w:val="00A66064"/>
    <w:rsid w:val="00A73436"/>
    <w:rsid w:val="00A76755"/>
    <w:rsid w:val="00A77844"/>
    <w:rsid w:val="00A84EA8"/>
    <w:rsid w:val="00A854FB"/>
    <w:rsid w:val="00A85863"/>
    <w:rsid w:val="00A85F11"/>
    <w:rsid w:val="00A86CF4"/>
    <w:rsid w:val="00A94DCE"/>
    <w:rsid w:val="00AA0971"/>
    <w:rsid w:val="00AA1DE8"/>
    <w:rsid w:val="00AA4505"/>
    <w:rsid w:val="00AA4B81"/>
    <w:rsid w:val="00AB063C"/>
    <w:rsid w:val="00AB3D33"/>
    <w:rsid w:val="00AB4381"/>
    <w:rsid w:val="00AB5447"/>
    <w:rsid w:val="00AB5DBB"/>
    <w:rsid w:val="00AB7752"/>
    <w:rsid w:val="00AB798B"/>
    <w:rsid w:val="00AC4E7D"/>
    <w:rsid w:val="00AC52FD"/>
    <w:rsid w:val="00AC79A1"/>
    <w:rsid w:val="00AC79FB"/>
    <w:rsid w:val="00AD08DA"/>
    <w:rsid w:val="00AD36ED"/>
    <w:rsid w:val="00AD75AC"/>
    <w:rsid w:val="00AE08E4"/>
    <w:rsid w:val="00AE0912"/>
    <w:rsid w:val="00AE194A"/>
    <w:rsid w:val="00AE221C"/>
    <w:rsid w:val="00AE407B"/>
    <w:rsid w:val="00AE5648"/>
    <w:rsid w:val="00AE69F4"/>
    <w:rsid w:val="00AF6678"/>
    <w:rsid w:val="00AF67DA"/>
    <w:rsid w:val="00B00FBC"/>
    <w:rsid w:val="00B02CD2"/>
    <w:rsid w:val="00B10451"/>
    <w:rsid w:val="00B10502"/>
    <w:rsid w:val="00B1258A"/>
    <w:rsid w:val="00B12B23"/>
    <w:rsid w:val="00B175EC"/>
    <w:rsid w:val="00B20A51"/>
    <w:rsid w:val="00B213D1"/>
    <w:rsid w:val="00B253FC"/>
    <w:rsid w:val="00B30647"/>
    <w:rsid w:val="00B30DC3"/>
    <w:rsid w:val="00B37A62"/>
    <w:rsid w:val="00B4248A"/>
    <w:rsid w:val="00B4271E"/>
    <w:rsid w:val="00B42ADB"/>
    <w:rsid w:val="00B42C35"/>
    <w:rsid w:val="00B42E58"/>
    <w:rsid w:val="00B51F08"/>
    <w:rsid w:val="00B564B9"/>
    <w:rsid w:val="00B60626"/>
    <w:rsid w:val="00B6068A"/>
    <w:rsid w:val="00B61322"/>
    <w:rsid w:val="00B6169A"/>
    <w:rsid w:val="00B6198C"/>
    <w:rsid w:val="00B61C03"/>
    <w:rsid w:val="00B654E4"/>
    <w:rsid w:val="00B72232"/>
    <w:rsid w:val="00B723A5"/>
    <w:rsid w:val="00B7278F"/>
    <w:rsid w:val="00B72ED9"/>
    <w:rsid w:val="00B74CC6"/>
    <w:rsid w:val="00B767A9"/>
    <w:rsid w:val="00B767B4"/>
    <w:rsid w:val="00B77DDC"/>
    <w:rsid w:val="00B82683"/>
    <w:rsid w:val="00B83A94"/>
    <w:rsid w:val="00B83BFD"/>
    <w:rsid w:val="00B908E8"/>
    <w:rsid w:val="00B97058"/>
    <w:rsid w:val="00BA3D73"/>
    <w:rsid w:val="00BA4A10"/>
    <w:rsid w:val="00BB3AB9"/>
    <w:rsid w:val="00BB4C2C"/>
    <w:rsid w:val="00BB5858"/>
    <w:rsid w:val="00BB5C4D"/>
    <w:rsid w:val="00BB6880"/>
    <w:rsid w:val="00BC0424"/>
    <w:rsid w:val="00BC2433"/>
    <w:rsid w:val="00BC29F7"/>
    <w:rsid w:val="00BC359B"/>
    <w:rsid w:val="00BC44EB"/>
    <w:rsid w:val="00BC5249"/>
    <w:rsid w:val="00BD1DAE"/>
    <w:rsid w:val="00BD295E"/>
    <w:rsid w:val="00BD3FB7"/>
    <w:rsid w:val="00BD53E9"/>
    <w:rsid w:val="00BD65EC"/>
    <w:rsid w:val="00BE23FB"/>
    <w:rsid w:val="00BE2CF7"/>
    <w:rsid w:val="00BE2E85"/>
    <w:rsid w:val="00BE7F4E"/>
    <w:rsid w:val="00BF0BE2"/>
    <w:rsid w:val="00BF106F"/>
    <w:rsid w:val="00BF328B"/>
    <w:rsid w:val="00BF42CB"/>
    <w:rsid w:val="00BF62CC"/>
    <w:rsid w:val="00BF6B91"/>
    <w:rsid w:val="00BF7D8E"/>
    <w:rsid w:val="00C025B1"/>
    <w:rsid w:val="00C052AA"/>
    <w:rsid w:val="00C064D1"/>
    <w:rsid w:val="00C07BD9"/>
    <w:rsid w:val="00C12EB6"/>
    <w:rsid w:val="00C15F0A"/>
    <w:rsid w:val="00C203EF"/>
    <w:rsid w:val="00C2226A"/>
    <w:rsid w:val="00C30E18"/>
    <w:rsid w:val="00C33072"/>
    <w:rsid w:val="00C35CD6"/>
    <w:rsid w:val="00C361DD"/>
    <w:rsid w:val="00C419AD"/>
    <w:rsid w:val="00C424DD"/>
    <w:rsid w:val="00C460E4"/>
    <w:rsid w:val="00C47503"/>
    <w:rsid w:val="00C53F1B"/>
    <w:rsid w:val="00C543A1"/>
    <w:rsid w:val="00C56BFE"/>
    <w:rsid w:val="00C56E1F"/>
    <w:rsid w:val="00C63646"/>
    <w:rsid w:val="00C64AE0"/>
    <w:rsid w:val="00C673E5"/>
    <w:rsid w:val="00C70A0F"/>
    <w:rsid w:val="00C72D34"/>
    <w:rsid w:val="00C75173"/>
    <w:rsid w:val="00C77379"/>
    <w:rsid w:val="00C77CA6"/>
    <w:rsid w:val="00C805FB"/>
    <w:rsid w:val="00C81B66"/>
    <w:rsid w:val="00C8400E"/>
    <w:rsid w:val="00C847E0"/>
    <w:rsid w:val="00C872BF"/>
    <w:rsid w:val="00C87F63"/>
    <w:rsid w:val="00C90D08"/>
    <w:rsid w:val="00C91CC4"/>
    <w:rsid w:val="00C95FF1"/>
    <w:rsid w:val="00C968B7"/>
    <w:rsid w:val="00CA0AC0"/>
    <w:rsid w:val="00CA2271"/>
    <w:rsid w:val="00CA22F5"/>
    <w:rsid w:val="00CA6F7B"/>
    <w:rsid w:val="00CB210B"/>
    <w:rsid w:val="00CC3D26"/>
    <w:rsid w:val="00CC542E"/>
    <w:rsid w:val="00CC6E44"/>
    <w:rsid w:val="00CD0A0B"/>
    <w:rsid w:val="00CD3BC9"/>
    <w:rsid w:val="00CD3F69"/>
    <w:rsid w:val="00CE1C8C"/>
    <w:rsid w:val="00CE48EE"/>
    <w:rsid w:val="00CE4F0C"/>
    <w:rsid w:val="00CE7475"/>
    <w:rsid w:val="00CF0D86"/>
    <w:rsid w:val="00CF1594"/>
    <w:rsid w:val="00CF192C"/>
    <w:rsid w:val="00CF3F7B"/>
    <w:rsid w:val="00CF4633"/>
    <w:rsid w:val="00CF480B"/>
    <w:rsid w:val="00CF4A9D"/>
    <w:rsid w:val="00CF62A2"/>
    <w:rsid w:val="00D01DCC"/>
    <w:rsid w:val="00D030A5"/>
    <w:rsid w:val="00D0333D"/>
    <w:rsid w:val="00D108C0"/>
    <w:rsid w:val="00D11285"/>
    <w:rsid w:val="00D13555"/>
    <w:rsid w:val="00D13EB6"/>
    <w:rsid w:val="00D17BA0"/>
    <w:rsid w:val="00D20832"/>
    <w:rsid w:val="00D21167"/>
    <w:rsid w:val="00D27505"/>
    <w:rsid w:val="00D3281C"/>
    <w:rsid w:val="00D3341D"/>
    <w:rsid w:val="00D3512C"/>
    <w:rsid w:val="00D42F6E"/>
    <w:rsid w:val="00D47352"/>
    <w:rsid w:val="00D516A6"/>
    <w:rsid w:val="00D52DED"/>
    <w:rsid w:val="00D52EDA"/>
    <w:rsid w:val="00D5500F"/>
    <w:rsid w:val="00D55327"/>
    <w:rsid w:val="00D55E31"/>
    <w:rsid w:val="00D56111"/>
    <w:rsid w:val="00D57A65"/>
    <w:rsid w:val="00D62D7E"/>
    <w:rsid w:val="00D63C4A"/>
    <w:rsid w:val="00D648DD"/>
    <w:rsid w:val="00D66577"/>
    <w:rsid w:val="00D679CA"/>
    <w:rsid w:val="00D72D5C"/>
    <w:rsid w:val="00D74AB0"/>
    <w:rsid w:val="00D81AD9"/>
    <w:rsid w:val="00D81B03"/>
    <w:rsid w:val="00D8507F"/>
    <w:rsid w:val="00D926E2"/>
    <w:rsid w:val="00D93022"/>
    <w:rsid w:val="00D93F31"/>
    <w:rsid w:val="00DA470F"/>
    <w:rsid w:val="00DA484F"/>
    <w:rsid w:val="00DA584A"/>
    <w:rsid w:val="00DA729E"/>
    <w:rsid w:val="00DB2DAC"/>
    <w:rsid w:val="00DC1AFE"/>
    <w:rsid w:val="00DC2EEB"/>
    <w:rsid w:val="00DC4B7A"/>
    <w:rsid w:val="00DC4C3C"/>
    <w:rsid w:val="00DC58D1"/>
    <w:rsid w:val="00DD09C2"/>
    <w:rsid w:val="00DD1869"/>
    <w:rsid w:val="00DD1D87"/>
    <w:rsid w:val="00DD30CA"/>
    <w:rsid w:val="00DD7517"/>
    <w:rsid w:val="00DD78A0"/>
    <w:rsid w:val="00DE16E1"/>
    <w:rsid w:val="00DE34FF"/>
    <w:rsid w:val="00DE3573"/>
    <w:rsid w:val="00DE61D5"/>
    <w:rsid w:val="00DF2E5E"/>
    <w:rsid w:val="00DF4AE0"/>
    <w:rsid w:val="00DF4BB0"/>
    <w:rsid w:val="00DF4F7D"/>
    <w:rsid w:val="00DF5FA6"/>
    <w:rsid w:val="00DF714F"/>
    <w:rsid w:val="00E006B8"/>
    <w:rsid w:val="00E0222F"/>
    <w:rsid w:val="00E04B52"/>
    <w:rsid w:val="00E07F74"/>
    <w:rsid w:val="00E10B7F"/>
    <w:rsid w:val="00E11796"/>
    <w:rsid w:val="00E11870"/>
    <w:rsid w:val="00E11E81"/>
    <w:rsid w:val="00E14109"/>
    <w:rsid w:val="00E14FFB"/>
    <w:rsid w:val="00E1500B"/>
    <w:rsid w:val="00E156B1"/>
    <w:rsid w:val="00E17E19"/>
    <w:rsid w:val="00E208DF"/>
    <w:rsid w:val="00E218DE"/>
    <w:rsid w:val="00E21D4B"/>
    <w:rsid w:val="00E221B6"/>
    <w:rsid w:val="00E25830"/>
    <w:rsid w:val="00E30E5D"/>
    <w:rsid w:val="00E31AA0"/>
    <w:rsid w:val="00E34A1F"/>
    <w:rsid w:val="00E3510B"/>
    <w:rsid w:val="00E3531A"/>
    <w:rsid w:val="00E35C34"/>
    <w:rsid w:val="00E368A3"/>
    <w:rsid w:val="00E42655"/>
    <w:rsid w:val="00E44969"/>
    <w:rsid w:val="00E50ECE"/>
    <w:rsid w:val="00E5311C"/>
    <w:rsid w:val="00E638C6"/>
    <w:rsid w:val="00E63F51"/>
    <w:rsid w:val="00E64F02"/>
    <w:rsid w:val="00E677FB"/>
    <w:rsid w:val="00E70F60"/>
    <w:rsid w:val="00E70F64"/>
    <w:rsid w:val="00E7110D"/>
    <w:rsid w:val="00E744ED"/>
    <w:rsid w:val="00E7490B"/>
    <w:rsid w:val="00E77A5B"/>
    <w:rsid w:val="00E84795"/>
    <w:rsid w:val="00E86792"/>
    <w:rsid w:val="00E86ED4"/>
    <w:rsid w:val="00E87015"/>
    <w:rsid w:val="00E87949"/>
    <w:rsid w:val="00E907A4"/>
    <w:rsid w:val="00E928EA"/>
    <w:rsid w:val="00E934DF"/>
    <w:rsid w:val="00E9426C"/>
    <w:rsid w:val="00E9743E"/>
    <w:rsid w:val="00E974E4"/>
    <w:rsid w:val="00E976F7"/>
    <w:rsid w:val="00EA44FD"/>
    <w:rsid w:val="00EA4FA8"/>
    <w:rsid w:val="00EA7089"/>
    <w:rsid w:val="00EB3E82"/>
    <w:rsid w:val="00EB57B0"/>
    <w:rsid w:val="00EC0845"/>
    <w:rsid w:val="00EC0D9D"/>
    <w:rsid w:val="00EC1B58"/>
    <w:rsid w:val="00EC3869"/>
    <w:rsid w:val="00EC4766"/>
    <w:rsid w:val="00EC4BC4"/>
    <w:rsid w:val="00ED0186"/>
    <w:rsid w:val="00ED1ABA"/>
    <w:rsid w:val="00ED28DE"/>
    <w:rsid w:val="00ED5662"/>
    <w:rsid w:val="00ED60C0"/>
    <w:rsid w:val="00ED79C9"/>
    <w:rsid w:val="00EE0A5C"/>
    <w:rsid w:val="00EE1315"/>
    <w:rsid w:val="00EE1C1D"/>
    <w:rsid w:val="00EE29F8"/>
    <w:rsid w:val="00EE36B7"/>
    <w:rsid w:val="00EE4622"/>
    <w:rsid w:val="00EE5753"/>
    <w:rsid w:val="00EE594E"/>
    <w:rsid w:val="00EE750B"/>
    <w:rsid w:val="00EF12A2"/>
    <w:rsid w:val="00EF20F2"/>
    <w:rsid w:val="00EF33C8"/>
    <w:rsid w:val="00EF3497"/>
    <w:rsid w:val="00EF3DD7"/>
    <w:rsid w:val="00EF4848"/>
    <w:rsid w:val="00EF584B"/>
    <w:rsid w:val="00EF5C15"/>
    <w:rsid w:val="00F00CC9"/>
    <w:rsid w:val="00F01C11"/>
    <w:rsid w:val="00F15513"/>
    <w:rsid w:val="00F17B20"/>
    <w:rsid w:val="00F21B8B"/>
    <w:rsid w:val="00F21FFB"/>
    <w:rsid w:val="00F22B2E"/>
    <w:rsid w:val="00F22D5C"/>
    <w:rsid w:val="00F22EC8"/>
    <w:rsid w:val="00F23AAE"/>
    <w:rsid w:val="00F25248"/>
    <w:rsid w:val="00F3260C"/>
    <w:rsid w:val="00F3635A"/>
    <w:rsid w:val="00F37063"/>
    <w:rsid w:val="00F403B5"/>
    <w:rsid w:val="00F40BF1"/>
    <w:rsid w:val="00F40FF2"/>
    <w:rsid w:val="00F42D9B"/>
    <w:rsid w:val="00F43173"/>
    <w:rsid w:val="00F51CB3"/>
    <w:rsid w:val="00F5689B"/>
    <w:rsid w:val="00F57202"/>
    <w:rsid w:val="00F60594"/>
    <w:rsid w:val="00F6098F"/>
    <w:rsid w:val="00F61E50"/>
    <w:rsid w:val="00F62EA0"/>
    <w:rsid w:val="00F6416F"/>
    <w:rsid w:val="00F7146A"/>
    <w:rsid w:val="00F720EF"/>
    <w:rsid w:val="00F7290B"/>
    <w:rsid w:val="00F72B05"/>
    <w:rsid w:val="00F73027"/>
    <w:rsid w:val="00F74594"/>
    <w:rsid w:val="00F818BB"/>
    <w:rsid w:val="00F81B0F"/>
    <w:rsid w:val="00F8426D"/>
    <w:rsid w:val="00F857D3"/>
    <w:rsid w:val="00F860A3"/>
    <w:rsid w:val="00F862F1"/>
    <w:rsid w:val="00F87BC0"/>
    <w:rsid w:val="00F9056D"/>
    <w:rsid w:val="00F964F6"/>
    <w:rsid w:val="00F973B6"/>
    <w:rsid w:val="00F975A7"/>
    <w:rsid w:val="00F97ADD"/>
    <w:rsid w:val="00F97F5D"/>
    <w:rsid w:val="00FA0C67"/>
    <w:rsid w:val="00FA3149"/>
    <w:rsid w:val="00FA3658"/>
    <w:rsid w:val="00FA6082"/>
    <w:rsid w:val="00FA6E7A"/>
    <w:rsid w:val="00FA79FF"/>
    <w:rsid w:val="00FC1A7A"/>
    <w:rsid w:val="00FC2E30"/>
    <w:rsid w:val="00FC4A5A"/>
    <w:rsid w:val="00FC699D"/>
    <w:rsid w:val="00FC7511"/>
    <w:rsid w:val="00FD0C61"/>
    <w:rsid w:val="00FD1464"/>
    <w:rsid w:val="00FD15CF"/>
    <w:rsid w:val="00FD1F0A"/>
    <w:rsid w:val="00FD6779"/>
    <w:rsid w:val="00FE1EF5"/>
    <w:rsid w:val="00FE6BA7"/>
    <w:rsid w:val="00FE6FD6"/>
    <w:rsid w:val="00FF1437"/>
    <w:rsid w:val="00FF1688"/>
    <w:rsid w:val="00FF1E66"/>
    <w:rsid w:val="00FF2B4C"/>
    <w:rsid w:val="00FF4099"/>
    <w:rsid w:val="00FF54EC"/>
    <w:rsid w:val="00FF71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1">
      <o:colormru v:ext="edit" colors="#3073a0"/>
    </o:shapedefaults>
    <o:shapelayout v:ext="edit">
      <o:idmap v:ext="edit" data="1"/>
    </o:shapelayout>
  </w:shapeDefaults>
  <w:decimalSymbol w:val="."/>
  <w:listSeparator w:val=","/>
  <w14:docId w14:val="7DF1124F"/>
  <w15:chartTrackingRefBased/>
  <w15:docId w15:val="{A91A2726-D4DC-441C-B98F-1B16C96C2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qFormat="1"/>
    <w:lsdException w:name="heading 4" w:uiPriority="0" w:qFormat="1"/>
    <w:lsdException w:name="heading 5" w:uiPriority="0" w:qFormat="1"/>
    <w:lsdException w:name="heading 6" w:qFormat="1"/>
    <w:lsdException w:name="heading 7" w:uiPriority="0" w:qFormat="1"/>
    <w:lsdException w:name="heading 8" w:qFormat="1"/>
    <w:lsdException w:name="heading 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iPriority="0"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36089D"/>
    <w:rPr>
      <w:rFonts w:eastAsia="Times New Roman"/>
      <w:sz w:val="24"/>
      <w:szCs w:val="24"/>
      <w:lang w:val="en-GB"/>
    </w:rPr>
  </w:style>
  <w:style w:type="paragraph" w:styleId="10">
    <w:name w:val="heading 1"/>
    <w:basedOn w:val="a5"/>
    <w:next w:val="a5"/>
    <w:link w:val="11"/>
    <w:qFormat/>
    <w:rsid w:val="00FD1F0A"/>
    <w:pPr>
      <w:keepNext/>
      <w:spacing w:line="360" w:lineRule="auto"/>
      <w:jc w:val="both"/>
      <w:outlineLvl w:val="0"/>
    </w:pPr>
    <w:rPr>
      <w:sz w:val="28"/>
      <w:szCs w:val="20"/>
    </w:rPr>
  </w:style>
  <w:style w:type="paragraph" w:styleId="2">
    <w:name w:val="heading 2"/>
    <w:basedOn w:val="a5"/>
    <w:next w:val="a5"/>
    <w:link w:val="20"/>
    <w:qFormat/>
    <w:rsid w:val="00FD1F0A"/>
    <w:pPr>
      <w:keepNext/>
      <w:spacing w:line="360" w:lineRule="auto"/>
      <w:ind w:firstLine="118"/>
      <w:jc w:val="both"/>
      <w:outlineLvl w:val="1"/>
    </w:pPr>
    <w:rPr>
      <w:sz w:val="28"/>
      <w:szCs w:val="20"/>
    </w:rPr>
  </w:style>
  <w:style w:type="paragraph" w:styleId="30">
    <w:name w:val="heading 3"/>
    <w:aliases w:val="o"/>
    <w:basedOn w:val="a5"/>
    <w:next w:val="a5"/>
    <w:link w:val="31"/>
    <w:uiPriority w:val="99"/>
    <w:qFormat/>
    <w:rsid w:val="00FD1F0A"/>
    <w:pPr>
      <w:keepNext/>
      <w:spacing w:line="360" w:lineRule="auto"/>
      <w:ind w:firstLine="567"/>
      <w:jc w:val="both"/>
      <w:outlineLvl w:val="2"/>
    </w:pPr>
    <w:rPr>
      <w:sz w:val="28"/>
      <w:szCs w:val="20"/>
    </w:rPr>
  </w:style>
  <w:style w:type="paragraph" w:styleId="40">
    <w:name w:val="heading 4"/>
    <w:basedOn w:val="a5"/>
    <w:next w:val="a5"/>
    <w:link w:val="41"/>
    <w:qFormat/>
    <w:rsid w:val="00FD1F0A"/>
    <w:pPr>
      <w:keepNext/>
      <w:spacing w:before="240" w:after="60"/>
      <w:ind w:firstLine="720"/>
      <w:outlineLvl w:val="3"/>
    </w:pPr>
    <w:rPr>
      <w:b/>
      <w:bCs/>
      <w:sz w:val="28"/>
      <w:szCs w:val="28"/>
    </w:rPr>
  </w:style>
  <w:style w:type="paragraph" w:styleId="50">
    <w:name w:val="heading 5"/>
    <w:basedOn w:val="a5"/>
    <w:next w:val="a5"/>
    <w:link w:val="51"/>
    <w:qFormat/>
    <w:rsid w:val="00FD1F0A"/>
    <w:pPr>
      <w:spacing w:before="240" w:after="60"/>
      <w:ind w:firstLine="720"/>
      <w:outlineLvl w:val="4"/>
    </w:pPr>
    <w:rPr>
      <w:b/>
      <w:bCs/>
      <w:i/>
      <w:iCs/>
      <w:sz w:val="26"/>
      <w:szCs w:val="26"/>
    </w:rPr>
  </w:style>
  <w:style w:type="paragraph" w:styleId="6">
    <w:name w:val="heading 6"/>
    <w:basedOn w:val="a5"/>
    <w:next w:val="a5"/>
    <w:link w:val="60"/>
    <w:uiPriority w:val="99"/>
    <w:qFormat/>
    <w:rsid w:val="00FD1F0A"/>
    <w:pPr>
      <w:keepNext/>
      <w:jc w:val="center"/>
      <w:outlineLvl w:val="5"/>
    </w:pPr>
    <w:rPr>
      <w:b/>
      <w:i/>
      <w:szCs w:val="20"/>
      <w:u w:val="single"/>
    </w:rPr>
  </w:style>
  <w:style w:type="paragraph" w:styleId="7">
    <w:name w:val="heading 7"/>
    <w:basedOn w:val="a5"/>
    <w:next w:val="a5"/>
    <w:link w:val="70"/>
    <w:qFormat/>
    <w:rsid w:val="00FD1F0A"/>
    <w:pPr>
      <w:keepNext/>
      <w:jc w:val="center"/>
      <w:outlineLvl w:val="6"/>
    </w:pPr>
    <w:rPr>
      <w:b/>
      <w:i/>
      <w:sz w:val="28"/>
      <w:szCs w:val="20"/>
      <w:u w:val="single"/>
    </w:rPr>
  </w:style>
  <w:style w:type="paragraph" w:styleId="8">
    <w:name w:val="heading 8"/>
    <w:basedOn w:val="a5"/>
    <w:next w:val="a5"/>
    <w:link w:val="80"/>
    <w:uiPriority w:val="99"/>
    <w:qFormat/>
    <w:rsid w:val="00FD1F0A"/>
    <w:pPr>
      <w:tabs>
        <w:tab w:val="num" w:pos="1440"/>
      </w:tabs>
      <w:spacing w:before="240" w:after="60"/>
      <w:ind w:left="1440" w:hanging="1440"/>
      <w:outlineLvl w:val="7"/>
    </w:pPr>
    <w:rPr>
      <w:i/>
      <w:iCs/>
    </w:rPr>
  </w:style>
  <w:style w:type="paragraph" w:styleId="9">
    <w:name w:val="heading 9"/>
    <w:basedOn w:val="a5"/>
    <w:next w:val="a5"/>
    <w:link w:val="90"/>
    <w:uiPriority w:val="99"/>
    <w:qFormat/>
    <w:rsid w:val="00FD1F0A"/>
    <w:pPr>
      <w:tabs>
        <w:tab w:val="num" w:pos="1584"/>
      </w:tabs>
      <w:spacing w:before="240" w:after="60"/>
      <w:ind w:left="1584" w:hanging="1584"/>
      <w:outlineLvl w:val="8"/>
    </w:pPr>
    <w:rPr>
      <w:rFonts w:ascii="Arial" w:hAnsi="Arial" w:cs="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header"/>
    <w:aliases w:val="hd"/>
    <w:basedOn w:val="a5"/>
    <w:link w:val="aa"/>
    <w:uiPriority w:val="99"/>
    <w:unhideWhenUsed/>
    <w:qFormat/>
    <w:rsid w:val="00A40F25"/>
    <w:pPr>
      <w:tabs>
        <w:tab w:val="center" w:pos="4677"/>
        <w:tab w:val="right" w:pos="9355"/>
      </w:tabs>
    </w:pPr>
  </w:style>
  <w:style w:type="character" w:customStyle="1" w:styleId="aa">
    <w:name w:val="Верхний колонтитул Знак"/>
    <w:aliases w:val="hd Знак"/>
    <w:basedOn w:val="a6"/>
    <w:link w:val="a9"/>
    <w:uiPriority w:val="99"/>
    <w:rsid w:val="00A40F25"/>
  </w:style>
  <w:style w:type="paragraph" w:styleId="ab">
    <w:name w:val="footer"/>
    <w:basedOn w:val="a5"/>
    <w:link w:val="ac"/>
    <w:uiPriority w:val="99"/>
    <w:unhideWhenUsed/>
    <w:rsid w:val="00A40F25"/>
    <w:pPr>
      <w:tabs>
        <w:tab w:val="center" w:pos="4677"/>
        <w:tab w:val="right" w:pos="9355"/>
      </w:tabs>
    </w:pPr>
  </w:style>
  <w:style w:type="character" w:customStyle="1" w:styleId="ac">
    <w:name w:val="Нижний колонтитул Знак"/>
    <w:basedOn w:val="a6"/>
    <w:link w:val="ab"/>
    <w:uiPriority w:val="99"/>
    <w:rsid w:val="00A40F25"/>
  </w:style>
  <w:style w:type="table" w:styleId="ad">
    <w:name w:val="Table Grid"/>
    <w:basedOn w:val="a7"/>
    <w:uiPriority w:val="59"/>
    <w:rsid w:val="00A40F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alloon Text"/>
    <w:basedOn w:val="a5"/>
    <w:link w:val="af"/>
    <w:unhideWhenUsed/>
    <w:rsid w:val="00D81AD9"/>
    <w:rPr>
      <w:rFonts w:ascii="Tahoma" w:hAnsi="Tahoma" w:cs="Tahoma"/>
      <w:sz w:val="16"/>
      <w:szCs w:val="16"/>
    </w:rPr>
  </w:style>
  <w:style w:type="character" w:customStyle="1" w:styleId="af">
    <w:name w:val="Текст выноски Знак"/>
    <w:link w:val="ae"/>
    <w:rsid w:val="00D81AD9"/>
    <w:rPr>
      <w:rFonts w:ascii="Tahoma" w:hAnsi="Tahoma" w:cs="Tahoma"/>
      <w:sz w:val="16"/>
      <w:szCs w:val="16"/>
    </w:rPr>
  </w:style>
  <w:style w:type="character" w:styleId="af0">
    <w:name w:val="Hyperlink"/>
    <w:uiPriority w:val="99"/>
    <w:rsid w:val="00B1258A"/>
    <w:rPr>
      <w:color w:val="0000FF"/>
      <w:u w:val="single"/>
    </w:rPr>
  </w:style>
  <w:style w:type="paragraph" w:styleId="af1">
    <w:name w:val="Plain Text"/>
    <w:basedOn w:val="a5"/>
    <w:link w:val="af2"/>
    <w:uiPriority w:val="99"/>
    <w:unhideWhenUsed/>
    <w:rsid w:val="00B1258A"/>
    <w:rPr>
      <w:rFonts w:ascii="Calibri" w:eastAsia="Calibri" w:hAnsi="Calibri"/>
      <w:sz w:val="22"/>
      <w:szCs w:val="21"/>
      <w:lang w:eastAsia="en-US"/>
    </w:rPr>
  </w:style>
  <w:style w:type="character" w:customStyle="1" w:styleId="af2">
    <w:name w:val="Текст Знак"/>
    <w:link w:val="af1"/>
    <w:uiPriority w:val="99"/>
    <w:rsid w:val="00B1258A"/>
    <w:rPr>
      <w:rFonts w:ascii="Calibri" w:eastAsia="Calibri" w:hAnsi="Calibri"/>
      <w:sz w:val="22"/>
      <w:szCs w:val="21"/>
    </w:rPr>
  </w:style>
  <w:style w:type="paragraph" w:styleId="af3">
    <w:name w:val="List Paragraph"/>
    <w:aliases w:val="3_Абзац списка,AC List 01,Bullet List,FooterText,List Paragraph1,List Paragraph_0,Subtle Emphasis,head 5,Абзац списка с дефисом,Ненумерованный список,Нумерованный спиков,Нумерованый список,ПАРАГРАФ,Светлая сетка - Акцент 31,Слабое выделен"/>
    <w:basedOn w:val="a5"/>
    <w:link w:val="af4"/>
    <w:uiPriority w:val="34"/>
    <w:qFormat/>
    <w:rsid w:val="00B1258A"/>
    <w:pPr>
      <w:ind w:left="720"/>
      <w:contextualSpacing/>
    </w:pPr>
  </w:style>
  <w:style w:type="paragraph" w:customStyle="1" w:styleId="ConsPlusNormal">
    <w:name w:val="ConsPlusNormal"/>
    <w:link w:val="ConsPlusNormal0"/>
    <w:qFormat/>
    <w:rsid w:val="003A3D59"/>
    <w:pPr>
      <w:autoSpaceDE w:val="0"/>
      <w:autoSpaceDN w:val="0"/>
      <w:adjustRightInd w:val="0"/>
    </w:pPr>
    <w:rPr>
      <w:sz w:val="28"/>
      <w:szCs w:val="28"/>
      <w:lang w:val="en-GB" w:eastAsia="en-US"/>
    </w:rPr>
  </w:style>
  <w:style w:type="character" w:customStyle="1" w:styleId="11">
    <w:name w:val="Заголовок 1 Знак"/>
    <w:link w:val="10"/>
    <w:rsid w:val="00FD1F0A"/>
    <w:rPr>
      <w:rFonts w:eastAsia="Times New Roman"/>
      <w:sz w:val="28"/>
      <w:szCs w:val="20"/>
      <w:lang w:eastAsia="ru-RU"/>
    </w:rPr>
  </w:style>
  <w:style w:type="character" w:customStyle="1" w:styleId="20">
    <w:name w:val="Заголовок 2 Знак"/>
    <w:link w:val="2"/>
    <w:rsid w:val="00FD1F0A"/>
    <w:rPr>
      <w:rFonts w:eastAsia="Times New Roman"/>
      <w:sz w:val="28"/>
      <w:szCs w:val="20"/>
      <w:lang w:eastAsia="ru-RU"/>
    </w:rPr>
  </w:style>
  <w:style w:type="character" w:customStyle="1" w:styleId="31">
    <w:name w:val="Заголовок 3 Знак"/>
    <w:aliases w:val="o Знак"/>
    <w:link w:val="30"/>
    <w:uiPriority w:val="99"/>
    <w:rsid w:val="00FD1F0A"/>
    <w:rPr>
      <w:rFonts w:eastAsia="Times New Roman"/>
      <w:sz w:val="28"/>
      <w:szCs w:val="20"/>
      <w:lang w:eastAsia="ru-RU"/>
    </w:rPr>
  </w:style>
  <w:style w:type="character" w:customStyle="1" w:styleId="41">
    <w:name w:val="Заголовок 4 Знак"/>
    <w:link w:val="40"/>
    <w:rsid w:val="00FD1F0A"/>
    <w:rPr>
      <w:rFonts w:eastAsia="Times New Roman"/>
      <w:b/>
      <w:bCs/>
      <w:sz w:val="28"/>
      <w:szCs w:val="28"/>
      <w:lang w:eastAsia="ru-RU"/>
    </w:rPr>
  </w:style>
  <w:style w:type="character" w:customStyle="1" w:styleId="51">
    <w:name w:val="Заголовок 5 Знак"/>
    <w:link w:val="50"/>
    <w:rsid w:val="00FD1F0A"/>
    <w:rPr>
      <w:rFonts w:eastAsia="Times New Roman"/>
      <w:b/>
      <w:bCs/>
      <w:i/>
      <w:iCs/>
      <w:sz w:val="26"/>
      <w:szCs w:val="26"/>
      <w:lang w:eastAsia="ru-RU"/>
    </w:rPr>
  </w:style>
  <w:style w:type="character" w:customStyle="1" w:styleId="60">
    <w:name w:val="Заголовок 6 Знак"/>
    <w:link w:val="6"/>
    <w:uiPriority w:val="99"/>
    <w:rsid w:val="00FD1F0A"/>
    <w:rPr>
      <w:rFonts w:eastAsia="Times New Roman"/>
      <w:b/>
      <w:i/>
      <w:szCs w:val="20"/>
      <w:u w:val="single"/>
      <w:lang w:eastAsia="ru-RU"/>
    </w:rPr>
  </w:style>
  <w:style w:type="character" w:customStyle="1" w:styleId="70">
    <w:name w:val="Заголовок 7 Знак"/>
    <w:link w:val="7"/>
    <w:rsid w:val="00FD1F0A"/>
    <w:rPr>
      <w:rFonts w:eastAsia="Times New Roman"/>
      <w:b/>
      <w:i/>
      <w:sz w:val="28"/>
      <w:szCs w:val="20"/>
      <w:u w:val="single"/>
      <w:lang w:eastAsia="ru-RU"/>
    </w:rPr>
  </w:style>
  <w:style w:type="character" w:customStyle="1" w:styleId="80">
    <w:name w:val="Заголовок 8 Знак"/>
    <w:link w:val="8"/>
    <w:uiPriority w:val="99"/>
    <w:rsid w:val="00FD1F0A"/>
    <w:rPr>
      <w:rFonts w:eastAsia="Times New Roman"/>
      <w:i/>
      <w:iCs/>
      <w:lang w:eastAsia="ru-RU"/>
    </w:rPr>
  </w:style>
  <w:style w:type="character" w:customStyle="1" w:styleId="90">
    <w:name w:val="Заголовок 9 Знак"/>
    <w:link w:val="9"/>
    <w:uiPriority w:val="99"/>
    <w:rsid w:val="00FD1F0A"/>
    <w:rPr>
      <w:rFonts w:ascii="Arial" w:eastAsia="Times New Roman" w:hAnsi="Arial" w:cs="Arial"/>
      <w:sz w:val="22"/>
      <w:szCs w:val="22"/>
      <w:lang w:eastAsia="ru-RU"/>
    </w:rPr>
  </w:style>
  <w:style w:type="numbering" w:customStyle="1" w:styleId="12">
    <w:name w:val="Нет списка1"/>
    <w:next w:val="a8"/>
    <w:uiPriority w:val="99"/>
    <w:semiHidden/>
    <w:unhideWhenUsed/>
    <w:rsid w:val="00FD1F0A"/>
  </w:style>
  <w:style w:type="paragraph" w:styleId="af5">
    <w:name w:val="Title"/>
    <w:basedOn w:val="a5"/>
    <w:link w:val="af6"/>
    <w:qFormat/>
    <w:rsid w:val="00FD1F0A"/>
    <w:pPr>
      <w:spacing w:line="360" w:lineRule="auto"/>
      <w:jc w:val="center"/>
    </w:pPr>
    <w:rPr>
      <w:i/>
      <w:sz w:val="28"/>
      <w:szCs w:val="20"/>
      <w:u w:val="single"/>
    </w:rPr>
  </w:style>
  <w:style w:type="character" w:customStyle="1" w:styleId="af6">
    <w:name w:val="Заголовок Знак"/>
    <w:link w:val="af5"/>
    <w:rsid w:val="00FD1F0A"/>
    <w:rPr>
      <w:rFonts w:eastAsia="Times New Roman"/>
      <w:i/>
      <w:sz w:val="28"/>
      <w:szCs w:val="20"/>
      <w:u w:val="single"/>
      <w:lang w:eastAsia="ru-RU"/>
    </w:rPr>
  </w:style>
  <w:style w:type="paragraph" w:styleId="af7">
    <w:name w:val="Body Text"/>
    <w:aliases w:val="Iniiaiie oaeno Ciae,body text,Îñíîâíîé òåêñò Çíàê,Основной текст Знак Знак Знак Знак Знак Знак,Письмо в Интернет,Подпись1,Шаблон для отчетов по оценке,текст таблицы"/>
    <w:basedOn w:val="a5"/>
    <w:link w:val="af8"/>
    <w:uiPriority w:val="99"/>
    <w:qFormat/>
    <w:rsid w:val="00FD1F0A"/>
    <w:pPr>
      <w:spacing w:line="360" w:lineRule="auto"/>
      <w:jc w:val="both"/>
    </w:pPr>
    <w:rPr>
      <w:sz w:val="28"/>
      <w:szCs w:val="20"/>
    </w:rPr>
  </w:style>
  <w:style w:type="character" w:customStyle="1" w:styleId="af8">
    <w:name w:val="Основной текст Знак"/>
    <w:aliases w:val="Iniiaiie oaeno Ciae Знак,body text Знак,Îñíîâíîé òåêñò Çíàê Знак,Основной текст Знак Знак Знак Знак Знак Знак Знак,Письмо в Интернет Знак,Подпись1 Знак,Шаблон для отчетов по оценке Знак,текст таблицы Знак"/>
    <w:link w:val="af7"/>
    <w:uiPriority w:val="99"/>
    <w:rsid w:val="00FD1F0A"/>
    <w:rPr>
      <w:rFonts w:eastAsia="Times New Roman"/>
      <w:sz w:val="28"/>
      <w:szCs w:val="20"/>
      <w:lang w:eastAsia="ru-RU"/>
    </w:rPr>
  </w:style>
  <w:style w:type="paragraph" w:styleId="af9">
    <w:name w:val="Body Text Indent"/>
    <w:basedOn w:val="a5"/>
    <w:link w:val="afa"/>
    <w:rsid w:val="00FD1F0A"/>
    <w:pPr>
      <w:spacing w:line="360" w:lineRule="auto"/>
      <w:ind w:firstLine="567"/>
      <w:jc w:val="both"/>
    </w:pPr>
    <w:rPr>
      <w:sz w:val="28"/>
      <w:szCs w:val="20"/>
    </w:rPr>
  </w:style>
  <w:style w:type="character" w:customStyle="1" w:styleId="afa">
    <w:name w:val="Основной текст с отступом Знак"/>
    <w:link w:val="af9"/>
    <w:rsid w:val="00FD1F0A"/>
    <w:rPr>
      <w:rFonts w:eastAsia="Times New Roman"/>
      <w:sz w:val="28"/>
      <w:szCs w:val="20"/>
      <w:lang w:eastAsia="ru-RU"/>
    </w:rPr>
  </w:style>
  <w:style w:type="paragraph" w:styleId="21">
    <w:name w:val="Body Text Indent 2"/>
    <w:basedOn w:val="a5"/>
    <w:link w:val="23"/>
    <w:rsid w:val="00FD1F0A"/>
    <w:pPr>
      <w:spacing w:line="360" w:lineRule="auto"/>
      <w:ind w:firstLine="567"/>
      <w:jc w:val="center"/>
    </w:pPr>
    <w:rPr>
      <w:sz w:val="20"/>
      <w:szCs w:val="20"/>
    </w:rPr>
  </w:style>
  <w:style w:type="character" w:customStyle="1" w:styleId="23">
    <w:name w:val="Основной текст с отступом 2 Знак"/>
    <w:link w:val="21"/>
    <w:rsid w:val="00FD1F0A"/>
    <w:rPr>
      <w:rFonts w:eastAsia="Times New Roman"/>
      <w:sz w:val="20"/>
      <w:szCs w:val="20"/>
      <w:lang w:eastAsia="ru-RU"/>
    </w:rPr>
  </w:style>
  <w:style w:type="paragraph" w:styleId="32">
    <w:name w:val="Body Text Indent 3"/>
    <w:basedOn w:val="a5"/>
    <w:link w:val="33"/>
    <w:rsid w:val="00FD1F0A"/>
    <w:pPr>
      <w:spacing w:line="360" w:lineRule="auto"/>
      <w:ind w:firstLine="567"/>
      <w:jc w:val="both"/>
    </w:pPr>
    <w:rPr>
      <w:color w:val="FF0000"/>
      <w:sz w:val="28"/>
      <w:szCs w:val="20"/>
    </w:rPr>
  </w:style>
  <w:style w:type="character" w:customStyle="1" w:styleId="33">
    <w:name w:val="Основной текст с отступом 3 Знак"/>
    <w:link w:val="32"/>
    <w:rsid w:val="00FD1F0A"/>
    <w:rPr>
      <w:rFonts w:eastAsia="Times New Roman"/>
      <w:color w:val="FF0000"/>
      <w:sz w:val="28"/>
      <w:szCs w:val="20"/>
      <w:lang w:eastAsia="ru-RU"/>
    </w:rPr>
  </w:style>
  <w:style w:type="paragraph" w:customStyle="1" w:styleId="13">
    <w:name w:val="Обычный1"/>
    <w:qFormat/>
    <w:rsid w:val="00FD1F0A"/>
    <w:rPr>
      <w:rFonts w:ascii="AGOpus" w:eastAsia="Times New Roman" w:hAnsi="AGOpus"/>
      <w:color w:val="000000"/>
      <w:sz w:val="22"/>
      <w:lang w:val="en-GB"/>
    </w:rPr>
  </w:style>
  <w:style w:type="paragraph" w:customStyle="1" w:styleId="110">
    <w:name w:val="Заголовок 11"/>
    <w:basedOn w:val="13"/>
    <w:next w:val="14"/>
    <w:qFormat/>
    <w:rsid w:val="00FD1F0A"/>
    <w:pPr>
      <w:keepNext/>
      <w:keepLines/>
      <w:pBdr>
        <w:top w:val="single" w:sz="6" w:space="6" w:color="808080"/>
        <w:bottom w:val="single" w:sz="6" w:space="6" w:color="808080"/>
      </w:pBdr>
      <w:spacing w:after="240" w:line="240" w:lineRule="atLeast"/>
      <w:jc w:val="center"/>
    </w:pPr>
    <w:rPr>
      <w:rFonts w:ascii="Garamond" w:hAnsi="Garamond"/>
      <w:b/>
      <w:caps/>
      <w:color w:val="auto"/>
      <w:spacing w:val="20"/>
      <w:kern w:val="16"/>
      <w:sz w:val="18"/>
    </w:rPr>
  </w:style>
  <w:style w:type="paragraph" w:customStyle="1" w:styleId="14">
    <w:name w:val="Основной текст1"/>
    <w:basedOn w:val="13"/>
    <w:qFormat/>
    <w:rsid w:val="00FD1F0A"/>
    <w:pPr>
      <w:jc w:val="center"/>
    </w:pPr>
    <w:rPr>
      <w:sz w:val="36"/>
    </w:rPr>
  </w:style>
  <w:style w:type="paragraph" w:customStyle="1" w:styleId="210">
    <w:name w:val="Основной текст 21"/>
    <w:basedOn w:val="13"/>
    <w:qFormat/>
    <w:rsid w:val="00FD1F0A"/>
    <w:pPr>
      <w:ind w:left="720"/>
      <w:jc w:val="both"/>
    </w:pPr>
    <w:rPr>
      <w:rFonts w:ascii="Garamond" w:hAnsi="Garamond"/>
      <w:snapToGrid w:val="0"/>
      <w:sz w:val="28"/>
    </w:rPr>
  </w:style>
  <w:style w:type="character" w:styleId="afb">
    <w:name w:val="page number"/>
    <w:basedOn w:val="a6"/>
    <w:rsid w:val="00FD1F0A"/>
  </w:style>
  <w:style w:type="paragraph" w:styleId="afc">
    <w:name w:val="annotation text"/>
    <w:basedOn w:val="a5"/>
    <w:uiPriority w:val="99"/>
    <w:rsid w:val="00FD1F0A"/>
    <w:pPr>
      <w:ind w:firstLine="720"/>
    </w:pPr>
    <w:rPr>
      <w:sz w:val="20"/>
      <w:szCs w:val="20"/>
    </w:rPr>
  </w:style>
  <w:style w:type="character" w:customStyle="1" w:styleId="afd">
    <w:name w:val="Текст примечания Знак"/>
    <w:link w:val="CommentText0"/>
    <w:uiPriority w:val="99"/>
    <w:rsid w:val="00FD1F0A"/>
    <w:rPr>
      <w:rFonts w:eastAsia="Times New Roman"/>
      <w:sz w:val="20"/>
      <w:szCs w:val="20"/>
      <w:lang w:eastAsia="ru-RU"/>
    </w:rPr>
  </w:style>
  <w:style w:type="paragraph" w:styleId="afe">
    <w:name w:val="footnote text"/>
    <w:aliases w:val="Footnote Text Char Знак,single space,Знак1 Знак1 Char Знак,Текст сноски Знак Знак Знак Знак Char Знак,Текст сноски Знак Знак Знак1 Char Знак,Текст сноски Знак Знак1 Char Знак,Текст сноски Знак1 Char Знак"/>
    <w:basedOn w:val="a5"/>
    <w:link w:val="aff"/>
    <w:uiPriority w:val="99"/>
    <w:rsid w:val="00FD1F0A"/>
    <w:pPr>
      <w:ind w:firstLine="720"/>
    </w:pPr>
    <w:rPr>
      <w:sz w:val="20"/>
      <w:szCs w:val="20"/>
    </w:rPr>
  </w:style>
  <w:style w:type="character" w:customStyle="1" w:styleId="aff">
    <w:name w:val="Текст сноски Знак"/>
    <w:aliases w:val="Footnote Text Char Знак Знак,single space Знак,Знак1 Знак1 Char Знак Знак,Текст сноски Знак Знак Знак Знак Char Знак Знак,Текст сноски Знак Знак Знак1 Char Знак Знак,Текст сноски Знак Знак1 Char Знак Знак"/>
    <w:link w:val="afe"/>
    <w:uiPriority w:val="99"/>
    <w:rsid w:val="00FD1F0A"/>
    <w:rPr>
      <w:rFonts w:eastAsia="Times New Roman"/>
      <w:sz w:val="20"/>
      <w:szCs w:val="20"/>
      <w:lang w:eastAsia="ru-RU"/>
    </w:rPr>
  </w:style>
  <w:style w:type="character" w:styleId="aff0">
    <w:name w:val="footnote reference"/>
    <w:aliases w:val="Ciae niinee-FN,Footnote Reference Number,Used by Word for Help footnote symbols,fr,Знак сноски 1,Знак сноски-FN,Ссылка на сноску 45"/>
    <w:uiPriority w:val="99"/>
    <w:rsid w:val="00FD1F0A"/>
    <w:rPr>
      <w:vertAlign w:val="superscript"/>
    </w:rPr>
  </w:style>
  <w:style w:type="paragraph" w:styleId="24">
    <w:name w:val="Body Text 2"/>
    <w:basedOn w:val="a5"/>
    <w:link w:val="25"/>
    <w:uiPriority w:val="99"/>
    <w:rsid w:val="00FD1F0A"/>
    <w:pPr>
      <w:jc w:val="center"/>
    </w:pPr>
    <w:rPr>
      <w:b/>
      <w:i/>
      <w:sz w:val="28"/>
      <w:szCs w:val="20"/>
      <w:u w:val="single"/>
    </w:rPr>
  </w:style>
  <w:style w:type="character" w:customStyle="1" w:styleId="25">
    <w:name w:val="Основной текст 2 Знак"/>
    <w:link w:val="24"/>
    <w:uiPriority w:val="99"/>
    <w:rsid w:val="00FD1F0A"/>
    <w:rPr>
      <w:rFonts w:eastAsia="Times New Roman"/>
      <w:b/>
      <w:i/>
      <w:sz w:val="28"/>
      <w:szCs w:val="20"/>
      <w:u w:val="single"/>
      <w:lang w:eastAsia="ru-RU"/>
    </w:rPr>
  </w:style>
  <w:style w:type="paragraph" w:styleId="34">
    <w:name w:val="Body Text 3"/>
    <w:basedOn w:val="a5"/>
    <w:link w:val="35"/>
    <w:rsid w:val="00FD1F0A"/>
    <w:pPr>
      <w:spacing w:after="120"/>
      <w:ind w:firstLine="720"/>
    </w:pPr>
    <w:rPr>
      <w:sz w:val="16"/>
      <w:szCs w:val="16"/>
    </w:rPr>
  </w:style>
  <w:style w:type="character" w:customStyle="1" w:styleId="35">
    <w:name w:val="Основной текст 3 Знак"/>
    <w:link w:val="34"/>
    <w:rsid w:val="00FD1F0A"/>
    <w:rPr>
      <w:rFonts w:eastAsia="Times New Roman"/>
      <w:sz w:val="16"/>
      <w:szCs w:val="16"/>
      <w:lang w:eastAsia="ru-RU"/>
    </w:rPr>
  </w:style>
  <w:style w:type="table" w:customStyle="1" w:styleId="15">
    <w:name w:val="Сетка таблицы1"/>
    <w:basedOn w:val="a7"/>
    <w:next w:val="ad"/>
    <w:uiPriority w:val="59"/>
    <w:rsid w:val="00FD1F0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1">
    <w:name w:val="Знак Знак Знак Знак Знак Знак Знак Знак"/>
    <w:basedOn w:val="a5"/>
    <w:qFormat/>
    <w:rsid w:val="00FD1F0A"/>
    <w:pPr>
      <w:tabs>
        <w:tab w:val="num" w:pos="360"/>
      </w:tabs>
      <w:spacing w:after="160" w:line="240" w:lineRule="exact"/>
    </w:pPr>
    <w:rPr>
      <w:rFonts w:ascii="Verdana" w:hAnsi="Verdana" w:cs="Verdana"/>
      <w:sz w:val="20"/>
      <w:szCs w:val="20"/>
      <w:lang w:eastAsia="en-US"/>
    </w:rPr>
  </w:style>
  <w:style w:type="paragraph" w:customStyle="1" w:styleId="aff2">
    <w:name w:val="Абзац"/>
    <w:basedOn w:val="a5"/>
    <w:link w:val="26"/>
    <w:uiPriority w:val="99"/>
    <w:qFormat/>
    <w:rsid w:val="00FD1F0A"/>
    <w:pPr>
      <w:spacing w:after="120"/>
      <w:jc w:val="both"/>
    </w:pPr>
    <w:rPr>
      <w:szCs w:val="20"/>
    </w:rPr>
  </w:style>
  <w:style w:type="character" w:customStyle="1" w:styleId="26">
    <w:name w:val="Абзац Знак2"/>
    <w:link w:val="aff2"/>
    <w:uiPriority w:val="99"/>
    <w:locked/>
    <w:rsid w:val="00FD1F0A"/>
    <w:rPr>
      <w:rFonts w:eastAsia="Times New Roman"/>
      <w:szCs w:val="20"/>
      <w:lang w:eastAsia="ru-RU"/>
    </w:rPr>
  </w:style>
  <w:style w:type="character" w:customStyle="1" w:styleId="SUBST">
    <w:name w:val="__SUBST"/>
    <w:rsid w:val="00FD1F0A"/>
    <w:rPr>
      <w:b/>
      <w:bCs/>
      <w:i/>
      <w:iCs/>
      <w:sz w:val="22"/>
      <w:szCs w:val="22"/>
    </w:rPr>
  </w:style>
  <w:style w:type="character" w:customStyle="1" w:styleId="af4">
    <w:name w:val="Абзац списка Знак"/>
    <w:aliases w:val="3_Абзац списка Знак,AC List 01 Знак,Bullet List Знак,FooterText Знак,List Paragraph1 Знак,List Paragraph_0 Знак,Subtle Emphasis Знак,head 5 Знак,Абзац списка с дефисом Знак,Ненумерованный список Знак,Нумерованный спиков Знак"/>
    <w:link w:val="af3"/>
    <w:uiPriority w:val="34"/>
    <w:locked/>
    <w:rsid w:val="00FD1F0A"/>
    <w:rPr>
      <w:rFonts w:eastAsia="Times New Roman"/>
      <w:lang w:eastAsia="ru-RU"/>
    </w:rPr>
  </w:style>
  <w:style w:type="paragraph" w:customStyle="1" w:styleId="16">
    <w:name w:val="Обычный (веб)1"/>
    <w:aliases w:val=" Знак Знак,Обычный (Web)1"/>
    <w:basedOn w:val="a5"/>
    <w:link w:val="aff3"/>
    <w:uiPriority w:val="99"/>
    <w:unhideWhenUsed/>
    <w:qFormat/>
    <w:rsid w:val="00FD1F0A"/>
    <w:pPr>
      <w:spacing w:before="100" w:beforeAutospacing="1" w:after="100" w:afterAutospacing="1"/>
    </w:pPr>
  </w:style>
  <w:style w:type="paragraph" w:styleId="aff4">
    <w:name w:val="Document Map"/>
    <w:basedOn w:val="a5"/>
    <w:link w:val="aff5"/>
    <w:rsid w:val="00FD1F0A"/>
    <w:pPr>
      <w:ind w:firstLine="720"/>
    </w:pPr>
    <w:rPr>
      <w:rFonts w:ascii="Tahoma" w:hAnsi="Tahoma" w:cs="Tahoma"/>
      <w:sz w:val="16"/>
      <w:szCs w:val="16"/>
    </w:rPr>
  </w:style>
  <w:style w:type="character" w:customStyle="1" w:styleId="aff5">
    <w:name w:val="Схема документа Знак"/>
    <w:link w:val="aff4"/>
    <w:rsid w:val="00FD1F0A"/>
    <w:rPr>
      <w:rFonts w:ascii="Tahoma" w:eastAsia="Times New Roman" w:hAnsi="Tahoma" w:cs="Tahoma"/>
      <w:sz w:val="16"/>
      <w:szCs w:val="16"/>
      <w:lang w:eastAsia="ru-RU"/>
    </w:rPr>
  </w:style>
  <w:style w:type="paragraph" w:styleId="17">
    <w:name w:val="toc 1"/>
    <w:basedOn w:val="a5"/>
    <w:next w:val="a5"/>
    <w:autoRedefine/>
    <w:uiPriority w:val="39"/>
    <w:unhideWhenUsed/>
    <w:qFormat/>
    <w:rsid w:val="00FD1F0A"/>
    <w:pPr>
      <w:tabs>
        <w:tab w:val="left" w:pos="440"/>
        <w:tab w:val="right" w:leader="dot" w:pos="9345"/>
      </w:tabs>
      <w:spacing w:line="360" w:lineRule="auto"/>
    </w:pPr>
    <w:rPr>
      <w:bCs/>
      <w:caps/>
      <w:noProof/>
    </w:rPr>
  </w:style>
  <w:style w:type="paragraph" w:styleId="27">
    <w:name w:val="toc 2"/>
    <w:basedOn w:val="a5"/>
    <w:next w:val="a5"/>
    <w:autoRedefine/>
    <w:uiPriority w:val="39"/>
    <w:unhideWhenUsed/>
    <w:qFormat/>
    <w:rsid w:val="00AE407B"/>
    <w:pPr>
      <w:tabs>
        <w:tab w:val="left" w:pos="660"/>
        <w:tab w:val="right" w:leader="dot" w:pos="9345"/>
      </w:tabs>
      <w:spacing w:line="360" w:lineRule="auto"/>
    </w:pPr>
    <w:rPr>
      <w:rFonts w:ascii="Calibri" w:eastAsia="Calibri" w:hAnsi="Calibri"/>
      <w:bCs/>
      <w:noProof/>
      <w:sz w:val="20"/>
      <w:szCs w:val="20"/>
    </w:rPr>
  </w:style>
  <w:style w:type="paragraph" w:styleId="aff6">
    <w:name w:val="TOC Heading"/>
    <w:basedOn w:val="10"/>
    <w:next w:val="a5"/>
    <w:uiPriority w:val="39"/>
    <w:qFormat/>
    <w:rsid w:val="00FD1F0A"/>
    <w:pPr>
      <w:keepLines/>
      <w:spacing w:before="480" w:line="276" w:lineRule="auto"/>
      <w:jc w:val="left"/>
      <w:outlineLvl w:val="9"/>
    </w:pPr>
    <w:rPr>
      <w:rFonts w:ascii="Cambria" w:hAnsi="Cambria"/>
      <w:b/>
      <w:bCs/>
      <w:color w:val="365F91"/>
      <w:szCs w:val="28"/>
    </w:rPr>
  </w:style>
  <w:style w:type="table" w:customStyle="1" w:styleId="2-11">
    <w:name w:val="Средняя сетка 2 - Акцент 11"/>
    <w:basedOn w:val="a7"/>
    <w:next w:val="2-1"/>
    <w:uiPriority w:val="68"/>
    <w:rsid w:val="00FD1F0A"/>
    <w:rPr>
      <w:rFonts w:ascii="Cambria" w:eastAsia="Times New Roman" w:hAnsi="Cambria"/>
      <w:color w:val="000000"/>
      <w:sz w:val="22"/>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1-61">
    <w:name w:val="Средняя сетка 1 - Акцент 61"/>
    <w:basedOn w:val="a7"/>
    <w:next w:val="1-6"/>
    <w:uiPriority w:val="67"/>
    <w:rsid w:val="00FD1F0A"/>
    <w:rPr>
      <w:rFonts w:ascii="Calibri" w:hAnsi="Calibri"/>
      <w:sz w:val="22"/>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paragraph" w:customStyle="1" w:styleId="220">
    <w:name w:val="Основной текст 22"/>
    <w:basedOn w:val="a5"/>
    <w:qFormat/>
    <w:rsid w:val="00FD1F0A"/>
    <w:pPr>
      <w:suppressAutoHyphens/>
      <w:jc w:val="center"/>
    </w:pPr>
    <w:rPr>
      <w:b/>
      <w:bCs/>
      <w:i/>
      <w:iCs/>
      <w:sz w:val="28"/>
      <w:szCs w:val="28"/>
      <w:u w:val="single"/>
      <w:lang w:eastAsia="ar-SA"/>
    </w:rPr>
  </w:style>
  <w:style w:type="paragraph" w:customStyle="1" w:styleId="20major">
    <w:name w:val="20 major"/>
    <w:basedOn w:val="a5"/>
    <w:next w:val="a5"/>
    <w:qFormat/>
    <w:rsid w:val="00FD1F0A"/>
    <w:pPr>
      <w:keepNext/>
      <w:spacing w:before="360" w:after="120" w:line="264" w:lineRule="auto"/>
      <w:ind w:right="360"/>
      <w:outlineLvl w:val="2"/>
    </w:pPr>
    <w:rPr>
      <w:rFonts w:ascii="Arial" w:hAnsi="Arial"/>
      <w:b/>
      <w:caps/>
      <w:color w:val="002960"/>
      <w:szCs w:val="20"/>
      <w:lang w:eastAsia="en-US"/>
    </w:rPr>
  </w:style>
  <w:style w:type="paragraph" w:customStyle="1" w:styleId="01squarebullet">
    <w:name w:val="01 square bullet"/>
    <w:basedOn w:val="a5"/>
    <w:qFormat/>
    <w:rsid w:val="00FD1F0A"/>
    <w:pPr>
      <w:spacing w:after="120" w:line="264" w:lineRule="auto"/>
      <w:ind w:right="142"/>
    </w:pPr>
    <w:rPr>
      <w:sz w:val="26"/>
      <w:szCs w:val="20"/>
      <w:lang w:eastAsia="en-US"/>
    </w:rPr>
  </w:style>
  <w:style w:type="paragraph" w:customStyle="1" w:styleId="aff7">
    <w:name w:val="Нумерованный )"/>
    <w:basedOn w:val="a5"/>
    <w:link w:val="aff8"/>
    <w:qFormat/>
    <w:rsid w:val="00FD1F0A"/>
    <w:pPr>
      <w:tabs>
        <w:tab w:val="num" w:pos="1069"/>
      </w:tabs>
      <w:ind w:left="1069" w:hanging="360"/>
      <w:jc w:val="both"/>
    </w:pPr>
    <w:rPr>
      <w:rFonts w:ascii="Arial" w:hAnsi="Arial" w:cs="Arial"/>
    </w:rPr>
  </w:style>
  <w:style w:type="character" w:customStyle="1" w:styleId="aff8">
    <w:name w:val="Нумерованный ) Знак"/>
    <w:link w:val="aff7"/>
    <w:locked/>
    <w:rsid w:val="00FD1F0A"/>
    <w:rPr>
      <w:rFonts w:ascii="Arial" w:eastAsia="Times New Roman" w:hAnsi="Arial" w:cs="Arial"/>
      <w:lang w:eastAsia="ru-RU"/>
    </w:rPr>
  </w:style>
  <w:style w:type="character" w:styleId="aff9">
    <w:name w:val="Strong"/>
    <w:uiPriority w:val="22"/>
    <w:qFormat/>
    <w:rsid w:val="00FD1F0A"/>
    <w:rPr>
      <w:b/>
      <w:bCs/>
    </w:rPr>
  </w:style>
  <w:style w:type="paragraph" w:customStyle="1" w:styleId="1-">
    <w:name w:val="1-Табл"/>
    <w:basedOn w:val="a5"/>
    <w:qFormat/>
    <w:rsid w:val="00FD1F0A"/>
    <w:pPr>
      <w:widowControl w:val="0"/>
      <w:spacing w:before="40" w:after="40"/>
      <w:ind w:left="57" w:right="57"/>
    </w:pPr>
    <w:rPr>
      <w:rFonts w:eastAsia="Arial Unicode MS"/>
      <w:sz w:val="20"/>
      <w:szCs w:val="20"/>
      <w:lang w:eastAsia="en-US"/>
    </w:rPr>
  </w:style>
  <w:style w:type="paragraph" w:customStyle="1" w:styleId="111">
    <w:name w:val="1.1."/>
    <w:basedOn w:val="2"/>
    <w:qFormat/>
    <w:rsid w:val="00FD1F0A"/>
    <w:pPr>
      <w:tabs>
        <w:tab w:val="left" w:pos="567"/>
      </w:tabs>
      <w:spacing w:after="120" w:line="240" w:lineRule="auto"/>
      <w:ind w:left="567" w:hanging="567"/>
      <w:jc w:val="left"/>
    </w:pPr>
    <w:rPr>
      <w:b/>
      <w:sz w:val="24"/>
    </w:rPr>
  </w:style>
  <w:style w:type="paragraph" w:customStyle="1" w:styleId="affa">
    <w:name w:val="табл"/>
    <w:basedOn w:val="a5"/>
    <w:uiPriority w:val="99"/>
    <w:qFormat/>
    <w:rsid w:val="00FD1F0A"/>
    <w:pPr>
      <w:spacing w:after="120"/>
      <w:jc w:val="center"/>
    </w:pPr>
    <w:rPr>
      <w:i/>
      <w:szCs w:val="20"/>
    </w:rPr>
  </w:style>
  <w:style w:type="paragraph" w:customStyle="1" w:styleId="ConsNormal">
    <w:name w:val="ConsNormal"/>
    <w:qFormat/>
    <w:rsid w:val="00FD1F0A"/>
    <w:pPr>
      <w:widowControl w:val="0"/>
      <w:autoSpaceDE w:val="0"/>
      <w:autoSpaceDN w:val="0"/>
      <w:ind w:firstLine="720"/>
    </w:pPr>
    <w:rPr>
      <w:rFonts w:ascii="Arial" w:eastAsia="Times New Roman" w:hAnsi="Arial" w:cs="Arial"/>
      <w:lang w:val="en-GB"/>
    </w:rPr>
  </w:style>
  <w:style w:type="paragraph" w:customStyle="1" w:styleId="text">
    <w:name w:val="text"/>
    <w:basedOn w:val="a5"/>
    <w:link w:val="textChar"/>
    <w:qFormat/>
    <w:rsid w:val="00FD1F0A"/>
    <w:pPr>
      <w:autoSpaceDE w:val="0"/>
      <w:autoSpaceDN w:val="0"/>
      <w:spacing w:before="120"/>
      <w:jc w:val="both"/>
    </w:pPr>
    <w:rPr>
      <w:sz w:val="22"/>
      <w:szCs w:val="22"/>
    </w:rPr>
  </w:style>
  <w:style w:type="character" w:customStyle="1" w:styleId="textChar">
    <w:name w:val="text Char"/>
    <w:link w:val="text"/>
    <w:locked/>
    <w:rsid w:val="00FD1F0A"/>
    <w:rPr>
      <w:rFonts w:eastAsia="Times New Roman"/>
      <w:sz w:val="22"/>
      <w:szCs w:val="22"/>
      <w:lang w:eastAsia="ru-RU"/>
    </w:rPr>
  </w:style>
  <w:style w:type="paragraph" w:customStyle="1" w:styleId="titul">
    <w:name w:val="titul"/>
    <w:basedOn w:val="a5"/>
    <w:link w:val="titulChar"/>
    <w:qFormat/>
    <w:rsid w:val="00FD1F0A"/>
    <w:pPr>
      <w:autoSpaceDE w:val="0"/>
      <w:autoSpaceDN w:val="0"/>
      <w:jc w:val="both"/>
    </w:pPr>
    <w:rPr>
      <w:sz w:val="22"/>
      <w:szCs w:val="22"/>
    </w:rPr>
  </w:style>
  <w:style w:type="character" w:customStyle="1" w:styleId="titulChar">
    <w:name w:val="titul Char"/>
    <w:link w:val="titul"/>
    <w:rsid w:val="00FD1F0A"/>
    <w:rPr>
      <w:rFonts w:eastAsia="Times New Roman"/>
      <w:sz w:val="22"/>
      <w:szCs w:val="22"/>
      <w:lang w:eastAsia="ru-RU"/>
    </w:rPr>
  </w:style>
  <w:style w:type="character" w:styleId="affb">
    <w:name w:val="Emphasis"/>
    <w:qFormat/>
    <w:rsid w:val="00FD1F0A"/>
    <w:rPr>
      <w:i/>
      <w:iCs/>
    </w:rPr>
  </w:style>
  <w:style w:type="paragraph" w:customStyle="1" w:styleId="a3">
    <w:name w:val="Знак"/>
    <w:basedOn w:val="a5"/>
    <w:uiPriority w:val="99"/>
    <w:qFormat/>
    <w:rsid w:val="00FD1F0A"/>
    <w:pPr>
      <w:numPr>
        <w:ilvl w:val="3"/>
        <w:numId w:val="4"/>
      </w:numPr>
      <w:tabs>
        <w:tab w:val="clear" w:pos="1844"/>
        <w:tab w:val="num" w:pos="360"/>
      </w:tabs>
      <w:spacing w:after="160" w:line="240" w:lineRule="exact"/>
      <w:ind w:left="0" w:firstLine="0"/>
    </w:pPr>
    <w:rPr>
      <w:rFonts w:ascii="Verdana" w:hAnsi="Verdana" w:cs="Verdana"/>
      <w:sz w:val="20"/>
      <w:szCs w:val="20"/>
      <w:lang w:eastAsia="en-US"/>
    </w:rPr>
  </w:style>
  <w:style w:type="paragraph" w:customStyle="1" w:styleId="Heading">
    <w:name w:val="Heading"/>
    <w:qFormat/>
    <w:rsid w:val="00FD1F0A"/>
    <w:pPr>
      <w:autoSpaceDE w:val="0"/>
      <w:autoSpaceDN w:val="0"/>
      <w:adjustRightInd w:val="0"/>
    </w:pPr>
    <w:rPr>
      <w:rFonts w:ascii="Arial" w:eastAsia="Times New Roman" w:hAnsi="Arial" w:cs="Arial"/>
      <w:b/>
      <w:bCs/>
      <w:sz w:val="22"/>
      <w:szCs w:val="22"/>
      <w:lang w:val="en-GB"/>
    </w:rPr>
  </w:style>
  <w:style w:type="paragraph" w:customStyle="1" w:styleId="ConsTitle">
    <w:name w:val="ConsTitle"/>
    <w:qFormat/>
    <w:rsid w:val="00FD1F0A"/>
    <w:pPr>
      <w:widowControl w:val="0"/>
      <w:autoSpaceDE w:val="0"/>
      <w:autoSpaceDN w:val="0"/>
      <w:adjustRightInd w:val="0"/>
      <w:ind w:right="19772"/>
    </w:pPr>
    <w:rPr>
      <w:rFonts w:ascii="Arial" w:eastAsia="Times New Roman" w:hAnsi="Arial" w:cs="Arial"/>
      <w:b/>
      <w:bCs/>
      <w:lang w:val="en-GB"/>
    </w:rPr>
  </w:style>
  <w:style w:type="paragraph" w:customStyle="1" w:styleId="xl28">
    <w:name w:val="xl28"/>
    <w:basedOn w:val="a5"/>
    <w:qFormat/>
    <w:rsid w:val="00FD1F0A"/>
    <w:pPr>
      <w:pBdr>
        <w:left w:val="single" w:sz="8" w:space="0" w:color="auto"/>
        <w:right w:val="single" w:sz="8" w:space="0" w:color="auto"/>
      </w:pBdr>
      <w:spacing w:before="100" w:beforeAutospacing="1" w:after="100" w:afterAutospacing="1"/>
      <w:jc w:val="center"/>
      <w:textAlignment w:val="center"/>
    </w:pPr>
    <w:rPr>
      <w:rFonts w:ascii="Arial" w:eastAsia="Arial Unicode MS" w:hAnsi="Arial" w:cs="Arial"/>
      <w:b/>
      <w:bCs/>
    </w:rPr>
  </w:style>
  <w:style w:type="paragraph" w:customStyle="1" w:styleId="xl24">
    <w:name w:val="xl24"/>
    <w:basedOn w:val="a5"/>
    <w:qFormat/>
    <w:rsid w:val="00FD1F0A"/>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Default">
    <w:name w:val="Default"/>
    <w:qFormat/>
    <w:rsid w:val="00FD1F0A"/>
    <w:pPr>
      <w:autoSpaceDE w:val="0"/>
      <w:autoSpaceDN w:val="0"/>
      <w:adjustRightInd w:val="0"/>
    </w:pPr>
    <w:rPr>
      <w:rFonts w:eastAsia="Times New Roman"/>
      <w:color w:val="000000"/>
      <w:sz w:val="24"/>
      <w:szCs w:val="24"/>
      <w:lang w:val="en-GB"/>
    </w:rPr>
  </w:style>
  <w:style w:type="paragraph" w:customStyle="1" w:styleId="affc">
    <w:name w:val="БалансЭлЭнергии_числа"/>
    <w:basedOn w:val="a5"/>
    <w:qFormat/>
    <w:rsid w:val="00FD1F0A"/>
    <w:pPr>
      <w:tabs>
        <w:tab w:val="decimal" w:pos="510"/>
      </w:tabs>
    </w:pPr>
    <w:rPr>
      <w:szCs w:val="20"/>
    </w:rPr>
  </w:style>
  <w:style w:type="paragraph" w:customStyle="1" w:styleId="tabl">
    <w:name w:val="tabl"/>
    <w:basedOn w:val="a5"/>
    <w:qFormat/>
    <w:rsid w:val="00FD1F0A"/>
    <w:pPr>
      <w:jc w:val="both"/>
    </w:pPr>
    <w:rPr>
      <w:lang w:eastAsia="en-US"/>
    </w:rPr>
  </w:style>
  <w:style w:type="paragraph" w:customStyle="1" w:styleId="18">
    <w:name w:val="1)"/>
    <w:basedOn w:val="a5"/>
    <w:qFormat/>
    <w:rsid w:val="00FD1F0A"/>
    <w:pPr>
      <w:spacing w:after="120"/>
      <w:ind w:left="360" w:hanging="360"/>
      <w:jc w:val="both"/>
    </w:pPr>
    <w:rPr>
      <w:szCs w:val="20"/>
    </w:rPr>
  </w:style>
  <w:style w:type="paragraph" w:customStyle="1" w:styleId="36">
    <w:name w:val="Знак Знак Знак Знак3"/>
    <w:basedOn w:val="a5"/>
    <w:qFormat/>
    <w:rsid w:val="00FD1F0A"/>
    <w:pPr>
      <w:spacing w:after="160" w:line="240" w:lineRule="exact"/>
      <w:jc w:val="both"/>
    </w:pPr>
    <w:rPr>
      <w:rFonts w:ascii="Verdana" w:hAnsi="Verdana"/>
      <w:sz w:val="20"/>
      <w:szCs w:val="20"/>
      <w:lang w:eastAsia="en-US"/>
    </w:rPr>
  </w:style>
  <w:style w:type="paragraph" w:customStyle="1" w:styleId="affd">
    <w:name w:val="Основной"/>
    <w:basedOn w:val="a5"/>
    <w:qFormat/>
    <w:rsid w:val="00FD1F0A"/>
    <w:pPr>
      <w:spacing w:line="360" w:lineRule="auto"/>
      <w:ind w:firstLine="709"/>
      <w:jc w:val="both"/>
    </w:pPr>
    <w:rPr>
      <w:sz w:val="28"/>
      <w:szCs w:val="20"/>
    </w:rPr>
  </w:style>
  <w:style w:type="paragraph" w:customStyle="1" w:styleId="style1">
    <w:name w:val="style1"/>
    <w:basedOn w:val="a5"/>
    <w:qFormat/>
    <w:rsid w:val="00FD1F0A"/>
    <w:pPr>
      <w:spacing w:before="100" w:beforeAutospacing="1" w:after="100" w:afterAutospacing="1"/>
    </w:pPr>
    <w:rPr>
      <w:rFonts w:ascii="Arial" w:hAnsi="Arial" w:cs="Arial"/>
      <w:color w:val="000155"/>
      <w:sz w:val="20"/>
      <w:szCs w:val="20"/>
    </w:rPr>
  </w:style>
  <w:style w:type="paragraph" w:customStyle="1" w:styleId="19">
    <w:name w:val="Стиль Абзаца 1"/>
    <w:basedOn w:val="21"/>
    <w:autoRedefine/>
    <w:qFormat/>
    <w:rsid w:val="00FD1F0A"/>
    <w:pPr>
      <w:spacing w:line="240" w:lineRule="auto"/>
      <w:ind w:firstLine="720"/>
      <w:jc w:val="both"/>
    </w:pPr>
    <w:rPr>
      <w:color w:val="0000FF"/>
      <w:sz w:val="24"/>
      <w:szCs w:val="24"/>
    </w:rPr>
  </w:style>
  <w:style w:type="paragraph" w:customStyle="1" w:styleId="label1">
    <w:name w:val="label1"/>
    <w:basedOn w:val="a5"/>
    <w:qFormat/>
    <w:rsid w:val="00FD1F0A"/>
    <w:pPr>
      <w:spacing w:before="100" w:beforeAutospacing="1" w:after="100" w:afterAutospacing="1"/>
    </w:pPr>
    <w:rPr>
      <w:rFonts w:ascii="Arial Unicode MS" w:eastAsia="Arial Unicode MS" w:hAnsi="Arial Unicode MS" w:cs="Arial Unicode MS"/>
      <w:lang w:eastAsia="en-US"/>
    </w:rPr>
  </w:style>
  <w:style w:type="paragraph" w:customStyle="1" w:styleId="affe">
    <w:name w:val="булет"/>
    <w:basedOn w:val="a5"/>
    <w:qFormat/>
    <w:rsid w:val="00FD1F0A"/>
    <w:pPr>
      <w:tabs>
        <w:tab w:val="num" w:pos="927"/>
        <w:tab w:val="right" w:leader="dot" w:pos="6237"/>
      </w:tabs>
      <w:spacing w:after="120"/>
      <w:ind w:firstLine="567"/>
    </w:pPr>
  </w:style>
  <w:style w:type="paragraph" w:customStyle="1" w:styleId="lev2">
    <w:name w:val="lev2"/>
    <w:basedOn w:val="af7"/>
    <w:qFormat/>
    <w:rsid w:val="00FD1F0A"/>
    <w:pPr>
      <w:spacing w:line="240" w:lineRule="auto"/>
      <w:ind w:left="1789" w:hanging="360"/>
    </w:pPr>
    <w:rPr>
      <w:color w:val="000000"/>
      <w:sz w:val="24"/>
      <w:szCs w:val="24"/>
    </w:rPr>
  </w:style>
  <w:style w:type="paragraph" w:customStyle="1" w:styleId="SubHeading1">
    <w:name w:val="Sub Heading 1"/>
    <w:qFormat/>
    <w:rsid w:val="00FD1F0A"/>
    <w:pPr>
      <w:widowControl w:val="0"/>
      <w:autoSpaceDE w:val="0"/>
      <w:autoSpaceDN w:val="0"/>
      <w:spacing w:before="240" w:after="40"/>
    </w:pPr>
    <w:rPr>
      <w:rFonts w:eastAsia="Times New Roman"/>
      <w:sz w:val="22"/>
      <w:szCs w:val="22"/>
      <w:lang w:val="en-GB"/>
    </w:rPr>
  </w:style>
  <w:style w:type="paragraph" w:customStyle="1" w:styleId="SubHeading2">
    <w:name w:val="Sub Heading 2"/>
    <w:qFormat/>
    <w:rsid w:val="00FD1F0A"/>
    <w:pPr>
      <w:widowControl w:val="0"/>
      <w:numPr>
        <w:numId w:val="2"/>
      </w:numPr>
      <w:tabs>
        <w:tab w:val="clear" w:pos="360"/>
      </w:tabs>
      <w:autoSpaceDE w:val="0"/>
      <w:autoSpaceDN w:val="0"/>
      <w:spacing w:before="160" w:after="40"/>
      <w:ind w:left="0" w:firstLine="0"/>
    </w:pPr>
    <w:rPr>
      <w:rFonts w:eastAsia="Times New Roman"/>
      <w:sz w:val="22"/>
      <w:szCs w:val="22"/>
      <w:lang w:val="en-GB"/>
    </w:rPr>
  </w:style>
  <w:style w:type="paragraph" w:styleId="a0">
    <w:name w:val="List Bullet"/>
    <w:basedOn w:val="a5"/>
    <w:autoRedefine/>
    <w:rsid w:val="00FD1F0A"/>
    <w:pPr>
      <w:numPr>
        <w:ilvl w:val="1"/>
        <w:numId w:val="1"/>
      </w:numPr>
      <w:tabs>
        <w:tab w:val="clear" w:pos="927"/>
        <w:tab w:val="num" w:pos="720"/>
      </w:tabs>
      <w:spacing w:before="240"/>
      <w:ind w:left="720" w:hanging="360"/>
      <w:jc w:val="both"/>
    </w:pPr>
    <w:rPr>
      <w:szCs w:val="20"/>
    </w:rPr>
  </w:style>
  <w:style w:type="paragraph" w:customStyle="1" w:styleId="afff">
    <w:name w:val="Пункт Знак"/>
    <w:basedOn w:val="a5"/>
    <w:qFormat/>
    <w:rsid w:val="00FD1F0A"/>
    <w:pPr>
      <w:tabs>
        <w:tab w:val="left" w:pos="851"/>
        <w:tab w:val="left" w:pos="1134"/>
        <w:tab w:val="num" w:pos="1440"/>
      </w:tabs>
      <w:spacing w:line="360" w:lineRule="auto"/>
      <w:ind w:left="1440" w:hanging="360"/>
      <w:jc w:val="both"/>
    </w:pPr>
    <w:rPr>
      <w:snapToGrid w:val="0"/>
      <w:sz w:val="28"/>
      <w:szCs w:val="20"/>
    </w:rPr>
  </w:style>
  <w:style w:type="paragraph" w:customStyle="1" w:styleId="afff0">
    <w:name w:val="Подпункт"/>
    <w:basedOn w:val="afff"/>
    <w:qFormat/>
    <w:rsid w:val="00FD1F0A"/>
    <w:pPr>
      <w:tabs>
        <w:tab w:val="clear" w:pos="1134"/>
        <w:tab w:val="clear" w:pos="1440"/>
        <w:tab w:val="num" w:pos="2160"/>
      </w:tabs>
      <w:ind w:left="2160"/>
    </w:pPr>
  </w:style>
  <w:style w:type="paragraph" w:customStyle="1" w:styleId="a4">
    <w:name w:val="Подподпункт"/>
    <w:basedOn w:val="afff0"/>
    <w:qFormat/>
    <w:rsid w:val="00FD1F0A"/>
    <w:pPr>
      <w:numPr>
        <w:numId w:val="3"/>
      </w:numPr>
      <w:tabs>
        <w:tab w:val="clear" w:pos="720"/>
        <w:tab w:val="left" w:pos="1134"/>
        <w:tab w:val="left" w:pos="1418"/>
        <w:tab w:val="num" w:pos="1844"/>
      </w:tabs>
      <w:ind w:left="1844" w:hanging="567"/>
    </w:pPr>
    <w:rPr>
      <w:snapToGrid/>
    </w:rPr>
  </w:style>
  <w:style w:type="paragraph" w:customStyle="1" w:styleId="a2">
    <w:name w:val="Подподподпункт"/>
    <w:basedOn w:val="a5"/>
    <w:qFormat/>
    <w:rsid w:val="00FD1F0A"/>
    <w:pPr>
      <w:numPr>
        <w:ilvl w:val="2"/>
        <w:numId w:val="4"/>
      </w:numPr>
      <w:tabs>
        <w:tab w:val="clear" w:pos="851"/>
        <w:tab w:val="left" w:pos="1134"/>
        <w:tab w:val="left" w:pos="1701"/>
        <w:tab w:val="num" w:pos="3560"/>
      </w:tabs>
      <w:spacing w:line="360" w:lineRule="auto"/>
      <w:ind w:left="3560" w:hanging="1008"/>
      <w:jc w:val="both"/>
    </w:pPr>
    <w:rPr>
      <w:snapToGrid w:val="0"/>
      <w:sz w:val="28"/>
      <w:szCs w:val="20"/>
    </w:rPr>
  </w:style>
  <w:style w:type="paragraph" w:customStyle="1" w:styleId="1a">
    <w:name w:val="Пункт1"/>
    <w:basedOn w:val="a5"/>
    <w:qFormat/>
    <w:rsid w:val="00FD1F0A"/>
    <w:pPr>
      <w:tabs>
        <w:tab w:val="num" w:pos="567"/>
      </w:tabs>
      <w:spacing w:before="240" w:line="360" w:lineRule="auto"/>
      <w:ind w:left="567" w:hanging="279"/>
      <w:jc w:val="center"/>
    </w:pPr>
    <w:rPr>
      <w:rFonts w:ascii="Arial" w:hAnsi="Arial"/>
      <w:b/>
      <w:snapToGrid w:val="0"/>
      <w:sz w:val="28"/>
      <w:szCs w:val="28"/>
    </w:rPr>
  </w:style>
  <w:style w:type="character" w:customStyle="1" w:styleId="msgbodytext">
    <w:name w:val="msgbodytext"/>
    <w:basedOn w:val="a6"/>
    <w:rsid w:val="00FD1F0A"/>
  </w:style>
  <w:style w:type="character" w:customStyle="1" w:styleId="Comment">
    <w:name w:val="Comment"/>
    <w:rsid w:val="00FD1F0A"/>
    <w:rPr>
      <w:color w:val="0000FF"/>
    </w:rPr>
  </w:style>
  <w:style w:type="paragraph" w:customStyle="1" w:styleId="Text0">
    <w:name w:val="Text"/>
    <w:basedOn w:val="a5"/>
    <w:qFormat/>
    <w:rsid w:val="00FD1F0A"/>
    <w:pPr>
      <w:autoSpaceDE w:val="0"/>
      <w:autoSpaceDN w:val="0"/>
      <w:spacing w:before="120"/>
      <w:jc w:val="both"/>
    </w:pPr>
    <w:rPr>
      <w:sz w:val="22"/>
      <w:szCs w:val="22"/>
    </w:rPr>
  </w:style>
  <w:style w:type="character" w:customStyle="1" w:styleId="text1">
    <w:name w:val="text Знак"/>
    <w:rsid w:val="00FD1F0A"/>
    <w:rPr>
      <w:sz w:val="22"/>
      <w:szCs w:val="22"/>
      <w:lang w:val="en-GB" w:eastAsia="ru-RU" w:bidi="ar-SA"/>
    </w:rPr>
  </w:style>
  <w:style w:type="paragraph" w:customStyle="1" w:styleId="xl83">
    <w:name w:val="xl83"/>
    <w:basedOn w:val="a5"/>
    <w:qFormat/>
    <w:rsid w:val="00FD1F0A"/>
    <w:pPr>
      <w:pBdr>
        <w:left w:val="single" w:sz="8" w:space="0" w:color="auto"/>
        <w:bottom w:val="single" w:sz="4" w:space="0" w:color="auto"/>
        <w:right w:val="single" w:sz="8" w:space="0" w:color="auto"/>
      </w:pBdr>
      <w:spacing w:before="100" w:beforeAutospacing="1" w:after="100" w:afterAutospacing="1"/>
      <w:jc w:val="center"/>
    </w:pPr>
    <w:rPr>
      <w:rFonts w:eastAsia="Arial Unicode MS"/>
      <w:sz w:val="16"/>
      <w:szCs w:val="16"/>
    </w:rPr>
  </w:style>
  <w:style w:type="paragraph" w:customStyle="1" w:styleId="ConsPlusTitle">
    <w:name w:val="ConsPlusTitle"/>
    <w:uiPriority w:val="99"/>
    <w:qFormat/>
    <w:rsid w:val="00FD1F0A"/>
    <w:pPr>
      <w:widowControl w:val="0"/>
      <w:autoSpaceDE w:val="0"/>
      <w:autoSpaceDN w:val="0"/>
      <w:adjustRightInd w:val="0"/>
    </w:pPr>
    <w:rPr>
      <w:rFonts w:ascii="Arial" w:eastAsia="Times New Roman" w:hAnsi="Arial" w:cs="Arial"/>
      <w:b/>
      <w:bCs/>
      <w:lang w:val="en-GB"/>
    </w:rPr>
  </w:style>
  <w:style w:type="paragraph" w:customStyle="1" w:styleId="NormalWeb1">
    <w:name w:val="Normal (Web)1"/>
    <w:basedOn w:val="a5"/>
    <w:qFormat/>
    <w:rsid w:val="00FD1F0A"/>
    <w:pPr>
      <w:spacing w:before="100" w:beforeAutospacing="1" w:after="100" w:afterAutospacing="1"/>
    </w:pPr>
    <w:rPr>
      <w:rFonts w:ascii="Arial" w:eastAsia="SimSun" w:hAnsi="Arial" w:cs="Arial"/>
      <w:color w:val="000000"/>
      <w:sz w:val="18"/>
      <w:szCs w:val="18"/>
      <w:lang w:eastAsia="zh-CN"/>
    </w:rPr>
  </w:style>
  <w:style w:type="character" w:styleId="afff1">
    <w:name w:val="annotation reference"/>
    <w:uiPriority w:val="99"/>
    <w:rsid w:val="00FD1F0A"/>
    <w:rPr>
      <w:sz w:val="16"/>
      <w:szCs w:val="16"/>
    </w:rPr>
  </w:style>
  <w:style w:type="paragraph" w:styleId="afff2">
    <w:name w:val="annotation subject"/>
    <w:basedOn w:val="CommentText0"/>
    <w:next w:val="CommentText0"/>
    <w:link w:val="afff3"/>
    <w:rsid w:val="00FD1F0A"/>
    <w:rPr>
      <w:b/>
      <w:bCs/>
    </w:rPr>
  </w:style>
  <w:style w:type="character" w:customStyle="1" w:styleId="afff3">
    <w:name w:val="Тема примечания Знак"/>
    <w:link w:val="afff2"/>
    <w:rsid w:val="00FD1F0A"/>
    <w:rPr>
      <w:rFonts w:eastAsia="Times New Roman"/>
      <w:b/>
      <w:bCs/>
      <w:sz w:val="20"/>
      <w:szCs w:val="20"/>
      <w:lang w:eastAsia="ru-RU"/>
    </w:rPr>
  </w:style>
  <w:style w:type="character" w:customStyle="1" w:styleId="Subst0">
    <w:name w:val="Subst"/>
    <w:rsid w:val="00FD1F0A"/>
    <w:rPr>
      <w:b/>
      <w:i/>
    </w:rPr>
  </w:style>
  <w:style w:type="paragraph" w:customStyle="1" w:styleId="ConsPlusNonformat">
    <w:name w:val="ConsPlusNonformat"/>
    <w:uiPriority w:val="99"/>
    <w:qFormat/>
    <w:rsid w:val="00FD1F0A"/>
    <w:pPr>
      <w:widowControl w:val="0"/>
      <w:autoSpaceDE w:val="0"/>
      <w:autoSpaceDN w:val="0"/>
      <w:adjustRightInd w:val="0"/>
    </w:pPr>
    <w:rPr>
      <w:rFonts w:ascii="Courier New" w:eastAsia="Times New Roman" w:hAnsi="Courier New" w:cs="Courier New"/>
      <w:lang w:val="en-GB"/>
    </w:rPr>
  </w:style>
  <w:style w:type="paragraph" w:customStyle="1" w:styleId="ConsPlusCell">
    <w:name w:val="ConsPlusCell"/>
    <w:uiPriority w:val="99"/>
    <w:qFormat/>
    <w:rsid w:val="00FD1F0A"/>
    <w:pPr>
      <w:widowControl w:val="0"/>
      <w:autoSpaceDE w:val="0"/>
      <w:autoSpaceDN w:val="0"/>
      <w:adjustRightInd w:val="0"/>
    </w:pPr>
    <w:rPr>
      <w:rFonts w:ascii="Calibri" w:eastAsia="Times New Roman" w:hAnsi="Calibri" w:cs="Calibri"/>
      <w:sz w:val="22"/>
      <w:szCs w:val="22"/>
      <w:lang w:val="en-GB"/>
    </w:rPr>
  </w:style>
  <w:style w:type="paragraph" w:customStyle="1" w:styleId="afff4">
    <w:name w:val="МРСК_шрифт_абзаца"/>
    <w:basedOn w:val="a5"/>
    <w:link w:val="afff5"/>
    <w:qFormat/>
    <w:rsid w:val="00FD1F0A"/>
    <w:pPr>
      <w:widowControl w:val="0"/>
      <w:suppressLineNumbers/>
      <w:suppressAutoHyphens/>
      <w:spacing w:before="120" w:after="120"/>
      <w:contextualSpacing/>
    </w:pPr>
    <w:rPr>
      <w:rFonts w:ascii="Cambria" w:hAnsi="Cambria"/>
      <w:sz w:val="26"/>
      <w:szCs w:val="26"/>
      <w:lang w:eastAsia="en-US" w:bidi="en-US"/>
    </w:rPr>
  </w:style>
  <w:style w:type="character" w:customStyle="1" w:styleId="afff5">
    <w:name w:val="МРСК_шрифт_абзаца Знак"/>
    <w:link w:val="afff4"/>
    <w:rsid w:val="00FD1F0A"/>
    <w:rPr>
      <w:rFonts w:ascii="Cambria" w:eastAsia="Times New Roman" w:hAnsi="Cambria"/>
      <w:sz w:val="26"/>
      <w:szCs w:val="26"/>
      <w:lang w:val="en-GB" w:bidi="en-US"/>
    </w:rPr>
  </w:style>
  <w:style w:type="paragraph" w:customStyle="1" w:styleId="1b">
    <w:name w:val="Знак Знак Знак Знак Знак Знак Знак Знак1"/>
    <w:basedOn w:val="a5"/>
    <w:qFormat/>
    <w:rsid w:val="00FD1F0A"/>
    <w:pPr>
      <w:tabs>
        <w:tab w:val="num" w:pos="360"/>
      </w:tabs>
      <w:spacing w:after="160" w:line="240" w:lineRule="exact"/>
    </w:pPr>
    <w:rPr>
      <w:rFonts w:ascii="Verdana" w:hAnsi="Verdana" w:cs="Verdana"/>
      <w:sz w:val="20"/>
      <w:szCs w:val="20"/>
      <w:lang w:eastAsia="en-US"/>
    </w:rPr>
  </w:style>
  <w:style w:type="paragraph" w:customStyle="1" w:styleId="1c">
    <w:name w:val="Знак1"/>
    <w:basedOn w:val="a5"/>
    <w:qFormat/>
    <w:rsid w:val="00FD1F0A"/>
    <w:pPr>
      <w:spacing w:after="160" w:line="240" w:lineRule="exact"/>
    </w:pPr>
    <w:rPr>
      <w:rFonts w:ascii="Verdana" w:hAnsi="Verdana" w:cs="Verdana"/>
      <w:sz w:val="20"/>
      <w:szCs w:val="20"/>
      <w:lang w:eastAsia="en-US"/>
    </w:rPr>
  </w:style>
  <w:style w:type="paragraph" w:styleId="afff6">
    <w:name w:val="caption"/>
    <w:aliases w:val="##,Название1,Название11,Название2"/>
    <w:basedOn w:val="a5"/>
    <w:next w:val="a5"/>
    <w:link w:val="afff7"/>
    <w:qFormat/>
    <w:rsid w:val="00FD1F0A"/>
    <w:rPr>
      <w:b/>
      <w:bCs/>
      <w:sz w:val="20"/>
      <w:szCs w:val="20"/>
    </w:rPr>
  </w:style>
  <w:style w:type="paragraph" w:customStyle="1" w:styleId="310">
    <w:name w:val="Основной текст с отступом 31"/>
    <w:basedOn w:val="a5"/>
    <w:qFormat/>
    <w:rsid w:val="00FD1F0A"/>
    <w:pPr>
      <w:tabs>
        <w:tab w:val="left" w:pos="851"/>
      </w:tabs>
      <w:suppressAutoHyphens/>
      <w:spacing w:before="120" w:line="256" w:lineRule="auto"/>
      <w:ind w:firstLine="425"/>
      <w:jc w:val="both"/>
    </w:pPr>
    <w:rPr>
      <w:lang w:eastAsia="ar-SA"/>
    </w:rPr>
  </w:style>
  <w:style w:type="paragraph" w:customStyle="1" w:styleId="FR2">
    <w:name w:val="FR2"/>
    <w:qFormat/>
    <w:rsid w:val="00FD1F0A"/>
    <w:pPr>
      <w:widowControl w:val="0"/>
      <w:spacing w:line="300" w:lineRule="auto"/>
      <w:ind w:firstLine="480"/>
      <w:jc w:val="both"/>
    </w:pPr>
    <w:rPr>
      <w:rFonts w:ascii="Arial" w:eastAsia="Times New Roman" w:hAnsi="Arial" w:cs="Arial"/>
      <w:sz w:val="16"/>
      <w:szCs w:val="16"/>
      <w:lang w:val="en-GB"/>
    </w:rPr>
  </w:style>
  <w:style w:type="paragraph" w:customStyle="1" w:styleId="320">
    <w:name w:val="Основной текст с отступом 32"/>
    <w:basedOn w:val="a5"/>
    <w:qFormat/>
    <w:rsid w:val="00FD1F0A"/>
    <w:pPr>
      <w:suppressAutoHyphens/>
      <w:spacing w:after="120"/>
      <w:ind w:left="283"/>
    </w:pPr>
    <w:rPr>
      <w:sz w:val="16"/>
      <w:szCs w:val="16"/>
      <w:lang w:eastAsia="ar-SA"/>
    </w:rPr>
  </w:style>
  <w:style w:type="paragraph" w:customStyle="1" w:styleId="211">
    <w:name w:val="Основной текст с отступом 21"/>
    <w:basedOn w:val="a5"/>
    <w:qFormat/>
    <w:rsid w:val="00FD1F0A"/>
    <w:pPr>
      <w:suppressAutoHyphens/>
      <w:spacing w:after="120" w:line="480" w:lineRule="auto"/>
      <w:ind w:left="283"/>
    </w:pPr>
    <w:rPr>
      <w:lang w:eastAsia="ar-SA"/>
    </w:rPr>
  </w:style>
  <w:style w:type="character" w:customStyle="1" w:styleId="WW8Num3z0">
    <w:name w:val="WW8Num3z0"/>
    <w:rsid w:val="00FD1F0A"/>
  </w:style>
  <w:style w:type="paragraph" w:customStyle="1" w:styleId="afff8">
    <w:name w:val="Знак Знак Знак Знак"/>
    <w:basedOn w:val="a5"/>
    <w:autoRedefine/>
    <w:qFormat/>
    <w:rsid w:val="00FD1F0A"/>
    <w:pPr>
      <w:suppressAutoHyphens/>
      <w:spacing w:after="160" w:line="240" w:lineRule="exact"/>
    </w:pPr>
    <w:rPr>
      <w:lang w:eastAsia="en-US"/>
    </w:rPr>
  </w:style>
  <w:style w:type="paragraph" w:customStyle="1" w:styleId="BaseText2">
    <w:name w:val="BaseText2"/>
    <w:basedOn w:val="2"/>
    <w:qFormat/>
    <w:rsid w:val="00FD1F0A"/>
    <w:pPr>
      <w:keepNext w:val="0"/>
      <w:tabs>
        <w:tab w:val="num" w:pos="2559"/>
      </w:tabs>
      <w:spacing w:before="120" w:line="360" w:lineRule="atLeast"/>
      <w:ind w:left="284" w:firstLine="0"/>
      <w:outlineLvl w:val="9"/>
    </w:pPr>
    <w:rPr>
      <w:rFonts w:ascii="Arial" w:hAnsi="Arial" w:cs="Arial"/>
      <w:sz w:val="24"/>
      <w:szCs w:val="24"/>
    </w:rPr>
  </w:style>
  <w:style w:type="paragraph" w:customStyle="1" w:styleId="BodyText1">
    <w:name w:val="Body Text1"/>
    <w:basedOn w:val="a5"/>
    <w:qFormat/>
    <w:rsid w:val="00FD1F0A"/>
    <w:pPr>
      <w:widowControl w:val="0"/>
      <w:jc w:val="both"/>
    </w:pPr>
  </w:style>
  <w:style w:type="paragraph" w:customStyle="1" w:styleId="Style10">
    <w:name w:val="Style1"/>
    <w:basedOn w:val="a5"/>
    <w:qFormat/>
    <w:rsid w:val="00FD1F0A"/>
    <w:pPr>
      <w:widowControl w:val="0"/>
      <w:autoSpaceDE w:val="0"/>
      <w:autoSpaceDN w:val="0"/>
      <w:adjustRightInd w:val="0"/>
      <w:spacing w:line="277" w:lineRule="exact"/>
      <w:ind w:firstLine="605"/>
      <w:jc w:val="both"/>
    </w:pPr>
  </w:style>
  <w:style w:type="paragraph" w:customStyle="1" w:styleId="Style3">
    <w:name w:val="Style3"/>
    <w:basedOn w:val="a5"/>
    <w:qFormat/>
    <w:rsid w:val="00FD1F0A"/>
    <w:pPr>
      <w:widowControl w:val="0"/>
      <w:autoSpaceDE w:val="0"/>
      <w:autoSpaceDN w:val="0"/>
      <w:adjustRightInd w:val="0"/>
      <w:spacing w:line="275" w:lineRule="exact"/>
      <w:ind w:firstLine="734"/>
      <w:jc w:val="both"/>
    </w:pPr>
  </w:style>
  <w:style w:type="character" w:customStyle="1" w:styleId="FontStyle11">
    <w:name w:val="Font Style11"/>
    <w:rsid w:val="00FD1F0A"/>
    <w:rPr>
      <w:rFonts w:ascii="Times New Roman" w:hAnsi="Times New Roman" w:cs="Times New Roman"/>
      <w:sz w:val="22"/>
      <w:szCs w:val="22"/>
    </w:rPr>
  </w:style>
  <w:style w:type="paragraph" w:customStyle="1" w:styleId="afff9">
    <w:name w:val="Таблица"/>
    <w:basedOn w:val="af7"/>
    <w:qFormat/>
    <w:rsid w:val="00FD1F0A"/>
    <w:pPr>
      <w:spacing w:after="120" w:line="240" w:lineRule="auto"/>
    </w:pPr>
    <w:rPr>
      <w:sz w:val="22"/>
      <w:szCs w:val="22"/>
    </w:rPr>
  </w:style>
  <w:style w:type="paragraph" w:customStyle="1" w:styleId="afffa">
    <w:name w:val="Знак Знак"/>
    <w:basedOn w:val="a5"/>
    <w:rsid w:val="00FD1F0A"/>
    <w:pPr>
      <w:tabs>
        <w:tab w:val="num" w:pos="1069"/>
      </w:tabs>
      <w:spacing w:after="160" w:line="240" w:lineRule="exact"/>
      <w:ind w:left="1069" w:hanging="360"/>
      <w:jc w:val="both"/>
    </w:pPr>
    <w:rPr>
      <w:rFonts w:ascii="Verdana" w:hAnsi="Verdana" w:cs="Verdana"/>
      <w:sz w:val="20"/>
      <w:szCs w:val="20"/>
      <w:lang w:eastAsia="en-US"/>
    </w:rPr>
  </w:style>
  <w:style w:type="character" w:customStyle="1" w:styleId="37">
    <w:name w:val="Знак Знак3"/>
    <w:rsid w:val="00FD1F0A"/>
    <w:rPr>
      <w:rFonts w:cs="Times New Roman"/>
      <w:lang w:val="en-GB" w:eastAsia="ru-RU"/>
    </w:rPr>
  </w:style>
  <w:style w:type="paragraph" w:customStyle="1" w:styleId="1d">
    <w:name w:val="Знак Знак Знак Знак1"/>
    <w:basedOn w:val="a5"/>
    <w:qFormat/>
    <w:rsid w:val="00FD1F0A"/>
    <w:pPr>
      <w:spacing w:after="160" w:line="240" w:lineRule="exact"/>
    </w:pPr>
    <w:rPr>
      <w:rFonts w:ascii="Verdana" w:hAnsi="Verdana" w:cs="Verdana"/>
      <w:sz w:val="20"/>
      <w:szCs w:val="20"/>
      <w:lang w:eastAsia="en-US"/>
    </w:rPr>
  </w:style>
  <w:style w:type="character" w:customStyle="1" w:styleId="afffb">
    <w:name w:val="Текст концевой сноски Знак"/>
    <w:link w:val="afffc"/>
    <w:rsid w:val="00FD1F0A"/>
    <w:rPr>
      <w:rFonts w:eastAsia="Times New Roman"/>
      <w:sz w:val="20"/>
      <w:szCs w:val="20"/>
      <w:lang w:eastAsia="ru-RU"/>
    </w:rPr>
  </w:style>
  <w:style w:type="paragraph" w:styleId="afffc">
    <w:name w:val="endnote text"/>
    <w:basedOn w:val="a5"/>
    <w:link w:val="afffb"/>
    <w:rsid w:val="00FD1F0A"/>
    <w:rPr>
      <w:sz w:val="20"/>
      <w:szCs w:val="20"/>
    </w:rPr>
  </w:style>
  <w:style w:type="character" w:customStyle="1" w:styleId="1e">
    <w:name w:val="Текст концевой сноски Знак1"/>
    <w:uiPriority w:val="99"/>
    <w:rsid w:val="00FD1F0A"/>
    <w:rPr>
      <w:rFonts w:eastAsia="Times New Roman"/>
      <w:sz w:val="20"/>
      <w:szCs w:val="20"/>
      <w:lang w:eastAsia="ru-RU"/>
    </w:rPr>
  </w:style>
  <w:style w:type="paragraph" w:customStyle="1" w:styleId="1f">
    <w:name w:val="Абзац списка1"/>
    <w:basedOn w:val="a5"/>
    <w:qFormat/>
    <w:rsid w:val="00FD1F0A"/>
    <w:pPr>
      <w:ind w:left="720"/>
    </w:pPr>
  </w:style>
  <w:style w:type="paragraph" w:customStyle="1" w:styleId="063">
    <w:name w:val="Стиль Первая строка:  063 см"/>
    <w:basedOn w:val="a5"/>
    <w:qFormat/>
    <w:rsid w:val="00FD1F0A"/>
    <w:pPr>
      <w:spacing w:before="120" w:after="240"/>
      <w:ind w:firstLine="284"/>
      <w:jc w:val="both"/>
    </w:pPr>
    <w:rPr>
      <w:sz w:val="20"/>
      <w:szCs w:val="20"/>
    </w:rPr>
  </w:style>
  <w:style w:type="paragraph" w:customStyle="1" w:styleId="afffd">
    <w:name w:val="Содержимое таблицы"/>
    <w:basedOn w:val="a5"/>
    <w:qFormat/>
    <w:rsid w:val="00FD1F0A"/>
    <w:pPr>
      <w:widowControl w:val="0"/>
      <w:suppressLineNumbers/>
      <w:suppressAutoHyphens/>
    </w:pPr>
    <w:rPr>
      <w:kern w:val="1"/>
      <w:lang w:eastAsia="ar-SA"/>
    </w:rPr>
  </w:style>
  <w:style w:type="paragraph" w:customStyle="1" w:styleId="1f0">
    <w:name w:val="Текст1"/>
    <w:basedOn w:val="a5"/>
    <w:qFormat/>
    <w:rsid w:val="00FD1F0A"/>
    <w:pPr>
      <w:suppressAutoHyphens/>
      <w:autoSpaceDE w:val="0"/>
    </w:pPr>
    <w:rPr>
      <w:rFonts w:ascii="Bookshelf Symbol 2" w:hAnsi="Bookshelf Symbol 2" w:cs="Bookshelf Symbol 2"/>
      <w:sz w:val="20"/>
      <w:szCs w:val="20"/>
      <w:lang w:eastAsia="ar-SA"/>
    </w:rPr>
  </w:style>
  <w:style w:type="paragraph" w:customStyle="1" w:styleId="28">
    <w:name w:val="Знак Знак Знак Знак Знак Знак Знак Знак2"/>
    <w:basedOn w:val="a5"/>
    <w:qFormat/>
    <w:rsid w:val="00FD1F0A"/>
    <w:pPr>
      <w:tabs>
        <w:tab w:val="num" w:pos="360"/>
      </w:tabs>
      <w:spacing w:after="160" w:line="240" w:lineRule="exact"/>
    </w:pPr>
    <w:rPr>
      <w:rFonts w:ascii="Verdana" w:hAnsi="Verdana" w:cs="Verdana"/>
      <w:sz w:val="20"/>
      <w:szCs w:val="20"/>
      <w:lang w:eastAsia="en-US"/>
    </w:rPr>
  </w:style>
  <w:style w:type="character" w:customStyle="1" w:styleId="afffe">
    <w:name w:val="Символ сноски"/>
    <w:rsid w:val="00FD1F0A"/>
    <w:rPr>
      <w:rFonts w:cs="Times New Roman"/>
      <w:vertAlign w:val="superscript"/>
    </w:rPr>
  </w:style>
  <w:style w:type="paragraph" w:customStyle="1" w:styleId="38">
    <w:name w:val="Знак Знак Знак Знак Знак Знак Знак Знак3"/>
    <w:basedOn w:val="a5"/>
    <w:qFormat/>
    <w:rsid w:val="00FD1F0A"/>
    <w:pPr>
      <w:tabs>
        <w:tab w:val="num" w:pos="360"/>
      </w:tabs>
      <w:spacing w:after="160" w:line="240" w:lineRule="exact"/>
    </w:pPr>
    <w:rPr>
      <w:rFonts w:ascii="Verdana" w:hAnsi="Verdana" w:cs="Verdana"/>
      <w:sz w:val="20"/>
      <w:szCs w:val="20"/>
      <w:lang w:eastAsia="en-US"/>
    </w:rPr>
  </w:style>
  <w:style w:type="paragraph" w:customStyle="1" w:styleId="311">
    <w:name w:val="Основной текст 31"/>
    <w:basedOn w:val="a5"/>
    <w:qFormat/>
    <w:rsid w:val="00FD1F0A"/>
    <w:pPr>
      <w:suppressAutoHyphens/>
      <w:spacing w:after="120"/>
    </w:pPr>
    <w:rPr>
      <w:sz w:val="16"/>
      <w:szCs w:val="16"/>
      <w:lang w:eastAsia="ar-SA"/>
    </w:rPr>
  </w:style>
  <w:style w:type="character" w:customStyle="1" w:styleId="190">
    <w:name w:val="Знак Знак19"/>
    <w:locked/>
    <w:rsid w:val="00FD1F0A"/>
    <w:rPr>
      <w:b/>
      <w:bCs/>
      <w:sz w:val="24"/>
      <w:szCs w:val="24"/>
      <w:lang w:val="en-GB" w:eastAsia="ru-RU" w:bidi="ar-SA"/>
    </w:rPr>
  </w:style>
  <w:style w:type="character" w:customStyle="1" w:styleId="150">
    <w:name w:val="Знак Знак15"/>
    <w:locked/>
    <w:rsid w:val="00FD1F0A"/>
    <w:rPr>
      <w:b/>
      <w:bCs/>
      <w:sz w:val="22"/>
      <w:szCs w:val="22"/>
      <w:lang w:val="en-GB" w:eastAsia="ru-RU" w:bidi="ar-SA"/>
    </w:rPr>
  </w:style>
  <w:style w:type="character" w:customStyle="1" w:styleId="81">
    <w:name w:val="Знак Знак8"/>
    <w:locked/>
    <w:rsid w:val="00FD1F0A"/>
    <w:rPr>
      <w:rFonts w:cs="Times New Roman"/>
      <w:sz w:val="24"/>
      <w:szCs w:val="24"/>
      <w:lang w:val="en-GB" w:eastAsia="ru-RU" w:bidi="ar-SA"/>
    </w:rPr>
  </w:style>
  <w:style w:type="character" w:customStyle="1" w:styleId="WW-Absatz-Standardschriftart">
    <w:name w:val="WW-Absatz-Standardschriftart"/>
    <w:rsid w:val="00FD1F0A"/>
  </w:style>
  <w:style w:type="paragraph" w:customStyle="1" w:styleId="Style4">
    <w:name w:val="Style4"/>
    <w:basedOn w:val="a5"/>
    <w:qFormat/>
    <w:rsid w:val="00FD1F0A"/>
    <w:pPr>
      <w:widowControl w:val="0"/>
      <w:autoSpaceDE w:val="0"/>
      <w:autoSpaceDN w:val="0"/>
      <w:adjustRightInd w:val="0"/>
      <w:spacing w:line="261" w:lineRule="exact"/>
      <w:ind w:firstLine="684"/>
      <w:jc w:val="both"/>
    </w:pPr>
  </w:style>
  <w:style w:type="paragraph" w:customStyle="1" w:styleId="Style5">
    <w:name w:val="Style5"/>
    <w:basedOn w:val="a5"/>
    <w:qFormat/>
    <w:rsid w:val="00FD1F0A"/>
    <w:pPr>
      <w:widowControl w:val="0"/>
      <w:autoSpaceDE w:val="0"/>
      <w:autoSpaceDN w:val="0"/>
      <w:adjustRightInd w:val="0"/>
      <w:spacing w:line="259" w:lineRule="exact"/>
      <w:ind w:firstLine="1102"/>
    </w:pPr>
  </w:style>
  <w:style w:type="paragraph" w:customStyle="1" w:styleId="Style6">
    <w:name w:val="Style6"/>
    <w:basedOn w:val="a5"/>
    <w:qFormat/>
    <w:rsid w:val="00FD1F0A"/>
    <w:pPr>
      <w:widowControl w:val="0"/>
      <w:autoSpaceDE w:val="0"/>
      <w:autoSpaceDN w:val="0"/>
      <w:adjustRightInd w:val="0"/>
      <w:spacing w:line="259" w:lineRule="exact"/>
      <w:ind w:firstLine="677"/>
      <w:jc w:val="both"/>
    </w:pPr>
  </w:style>
  <w:style w:type="character" w:customStyle="1" w:styleId="FontStyle15">
    <w:name w:val="Font Style15"/>
    <w:uiPriority w:val="99"/>
    <w:rsid w:val="00FD1F0A"/>
    <w:rPr>
      <w:rFonts w:ascii="Times New Roman" w:hAnsi="Times New Roman" w:cs="Times New Roman"/>
      <w:sz w:val="20"/>
      <w:szCs w:val="20"/>
    </w:rPr>
  </w:style>
  <w:style w:type="paragraph" w:customStyle="1" w:styleId="Style7">
    <w:name w:val="Style7"/>
    <w:basedOn w:val="a5"/>
    <w:qFormat/>
    <w:rsid w:val="00FD1F0A"/>
    <w:pPr>
      <w:widowControl w:val="0"/>
      <w:autoSpaceDE w:val="0"/>
      <w:autoSpaceDN w:val="0"/>
      <w:adjustRightInd w:val="0"/>
      <w:spacing w:line="266" w:lineRule="exact"/>
      <w:jc w:val="both"/>
    </w:pPr>
  </w:style>
  <w:style w:type="paragraph" w:customStyle="1" w:styleId="Style8">
    <w:name w:val="Style8"/>
    <w:basedOn w:val="a5"/>
    <w:qFormat/>
    <w:rsid w:val="00FD1F0A"/>
    <w:pPr>
      <w:widowControl w:val="0"/>
      <w:autoSpaceDE w:val="0"/>
      <w:autoSpaceDN w:val="0"/>
      <w:adjustRightInd w:val="0"/>
      <w:spacing w:line="259" w:lineRule="exact"/>
      <w:ind w:firstLine="533"/>
      <w:jc w:val="both"/>
    </w:pPr>
  </w:style>
  <w:style w:type="character" w:customStyle="1" w:styleId="FontStyle19">
    <w:name w:val="Font Style19"/>
    <w:rsid w:val="00FD1F0A"/>
    <w:rPr>
      <w:rFonts w:ascii="Times New Roman" w:hAnsi="Times New Roman" w:cs="Times New Roman"/>
      <w:b/>
      <w:bCs/>
      <w:sz w:val="22"/>
      <w:szCs w:val="22"/>
    </w:rPr>
  </w:style>
  <w:style w:type="character" w:customStyle="1" w:styleId="FontStyle13">
    <w:name w:val="Font Style13"/>
    <w:rsid w:val="00FD1F0A"/>
    <w:rPr>
      <w:rFonts w:ascii="Times New Roman" w:hAnsi="Times New Roman" w:cs="Times New Roman"/>
      <w:sz w:val="20"/>
      <w:szCs w:val="20"/>
    </w:rPr>
  </w:style>
  <w:style w:type="character" w:customStyle="1" w:styleId="Heading4Char">
    <w:name w:val="Heading 4 Char"/>
    <w:locked/>
    <w:rsid w:val="00FD1F0A"/>
    <w:rPr>
      <w:b/>
      <w:bCs/>
      <w:sz w:val="28"/>
      <w:szCs w:val="28"/>
      <w:lang w:val="en-GB" w:eastAsia="ru-RU" w:bidi="ar-SA"/>
    </w:rPr>
  </w:style>
  <w:style w:type="character" w:customStyle="1" w:styleId="Heading2Char">
    <w:name w:val="Heading 2 Char"/>
    <w:locked/>
    <w:rsid w:val="00FD1F0A"/>
    <w:rPr>
      <w:b/>
      <w:bCs/>
      <w:sz w:val="24"/>
      <w:szCs w:val="24"/>
      <w:lang w:val="en-GB" w:eastAsia="ru-RU" w:bidi="ar-SA"/>
    </w:rPr>
  </w:style>
  <w:style w:type="character" w:customStyle="1" w:styleId="1f1">
    <w:name w:val="Текст примечания Знак1"/>
    <w:rsid w:val="00FD1F0A"/>
    <w:rPr>
      <w:rFonts w:ascii="Calibri" w:eastAsia="Calibri" w:hAnsi="Calibri" w:cs="Times New Roman"/>
      <w:sz w:val="20"/>
      <w:szCs w:val="20"/>
    </w:rPr>
  </w:style>
  <w:style w:type="paragraph" w:customStyle="1" w:styleId="H3">
    <w:name w:val="H3"/>
    <w:basedOn w:val="a5"/>
    <w:next w:val="a5"/>
    <w:qFormat/>
    <w:rsid w:val="00FD1F0A"/>
    <w:pPr>
      <w:keepNext/>
      <w:autoSpaceDE w:val="0"/>
      <w:autoSpaceDN w:val="0"/>
      <w:adjustRightInd w:val="0"/>
      <w:spacing w:before="100" w:after="100"/>
      <w:outlineLvl w:val="3"/>
    </w:pPr>
    <w:rPr>
      <w:b/>
      <w:bCs/>
      <w:sz w:val="28"/>
      <w:szCs w:val="28"/>
    </w:rPr>
  </w:style>
  <w:style w:type="character" w:customStyle="1" w:styleId="apple-style-span">
    <w:name w:val="apple-style-span"/>
    <w:basedOn w:val="a6"/>
    <w:rsid w:val="00FD1F0A"/>
  </w:style>
  <w:style w:type="character" w:styleId="affff">
    <w:name w:val="endnote reference"/>
    <w:uiPriority w:val="99"/>
    <w:unhideWhenUsed/>
    <w:rsid w:val="00FD1F0A"/>
    <w:rPr>
      <w:vertAlign w:val="superscript"/>
    </w:rPr>
  </w:style>
  <w:style w:type="character" w:customStyle="1" w:styleId="skypepnhprintcontainer">
    <w:name w:val="skype_pnh_print_container"/>
    <w:uiPriority w:val="99"/>
    <w:rsid w:val="00FD1F0A"/>
    <w:rPr>
      <w:rFonts w:cs="Times New Roman"/>
    </w:rPr>
  </w:style>
  <w:style w:type="character" w:customStyle="1" w:styleId="skypepnhcontainer">
    <w:name w:val="skype_pnh_container"/>
    <w:rsid w:val="00FD1F0A"/>
    <w:rPr>
      <w:rFonts w:cs="Times New Roman"/>
    </w:rPr>
  </w:style>
  <w:style w:type="character" w:customStyle="1" w:styleId="skypepnhmark">
    <w:name w:val="skype_pnh_mark"/>
    <w:uiPriority w:val="99"/>
    <w:rsid w:val="00FD1F0A"/>
    <w:rPr>
      <w:rFonts w:cs="Times New Roman"/>
    </w:rPr>
  </w:style>
  <w:style w:type="character" w:customStyle="1" w:styleId="skypepnhleftspan">
    <w:name w:val="skype_pnh_left_span"/>
    <w:rsid w:val="00FD1F0A"/>
    <w:rPr>
      <w:rFonts w:cs="Times New Roman"/>
    </w:rPr>
  </w:style>
  <w:style w:type="character" w:customStyle="1" w:styleId="skypepnhdropartspan">
    <w:name w:val="skype_pnh_dropart_span"/>
    <w:rsid w:val="00FD1F0A"/>
    <w:rPr>
      <w:rFonts w:cs="Times New Roman"/>
    </w:rPr>
  </w:style>
  <w:style w:type="character" w:customStyle="1" w:styleId="skypepnhdropartflagspan">
    <w:name w:val="skype_pnh_dropart_flag_span"/>
    <w:rsid w:val="00FD1F0A"/>
    <w:rPr>
      <w:rFonts w:cs="Times New Roman"/>
    </w:rPr>
  </w:style>
  <w:style w:type="character" w:customStyle="1" w:styleId="skypepnhtextspan">
    <w:name w:val="skype_pnh_text_span"/>
    <w:rsid w:val="00FD1F0A"/>
    <w:rPr>
      <w:rFonts w:cs="Times New Roman"/>
    </w:rPr>
  </w:style>
  <w:style w:type="character" w:customStyle="1" w:styleId="skypepnhrightspan">
    <w:name w:val="skype_pnh_right_span"/>
    <w:rsid w:val="00FD1F0A"/>
    <w:rPr>
      <w:rFonts w:cs="Times New Roman"/>
    </w:rPr>
  </w:style>
  <w:style w:type="paragraph" w:styleId="affff0">
    <w:name w:val="List"/>
    <w:basedOn w:val="a5"/>
    <w:rsid w:val="00FD1F0A"/>
    <w:pPr>
      <w:suppressAutoHyphens/>
      <w:ind w:left="283" w:hanging="283"/>
    </w:pPr>
    <w:rPr>
      <w:sz w:val="20"/>
      <w:szCs w:val="20"/>
      <w:lang w:eastAsia="ar-SA"/>
    </w:rPr>
  </w:style>
  <w:style w:type="paragraph" w:customStyle="1" w:styleId="ConsNonformat">
    <w:name w:val="ConsNonformat"/>
    <w:qFormat/>
    <w:rsid w:val="00FD1F0A"/>
    <w:pPr>
      <w:widowControl w:val="0"/>
      <w:suppressAutoHyphens/>
      <w:autoSpaceDE w:val="0"/>
      <w:ind w:right="19772"/>
    </w:pPr>
    <w:rPr>
      <w:rFonts w:ascii="Courier New" w:eastAsia="Arial" w:hAnsi="Courier New" w:cs="Courier New"/>
      <w:lang w:val="en-GB" w:eastAsia="ar-SA"/>
    </w:rPr>
  </w:style>
  <w:style w:type="paragraph" w:customStyle="1" w:styleId="ConsCell">
    <w:name w:val="ConsCell"/>
    <w:qFormat/>
    <w:rsid w:val="00FD1F0A"/>
    <w:pPr>
      <w:widowControl w:val="0"/>
      <w:suppressAutoHyphens/>
      <w:autoSpaceDE w:val="0"/>
      <w:ind w:right="19772"/>
    </w:pPr>
    <w:rPr>
      <w:rFonts w:ascii="Arial" w:eastAsia="Arial" w:hAnsi="Arial" w:cs="Arial"/>
      <w:lang w:val="en-GB" w:eastAsia="ar-SA"/>
    </w:rPr>
  </w:style>
  <w:style w:type="paragraph" w:customStyle="1" w:styleId="1f2">
    <w:name w:val="Уровень 1"/>
    <w:basedOn w:val="a5"/>
    <w:next w:val="a5"/>
    <w:qFormat/>
    <w:rsid w:val="00FD1F0A"/>
    <w:pPr>
      <w:keepNext/>
      <w:tabs>
        <w:tab w:val="num" w:pos="2559"/>
      </w:tabs>
      <w:ind w:left="2559" w:hanging="432"/>
      <w:jc w:val="center"/>
    </w:pPr>
    <w:rPr>
      <w:b/>
      <w:sz w:val="28"/>
      <w:szCs w:val="28"/>
    </w:rPr>
  </w:style>
  <w:style w:type="paragraph" w:customStyle="1" w:styleId="1f3">
    <w:name w:val="Знак Знак Знак Знак Знак Знак Знак Знак Знак Знак Знак Знак Знак Знак Знак1 Знак"/>
    <w:basedOn w:val="a5"/>
    <w:qFormat/>
    <w:rsid w:val="00FD1F0A"/>
    <w:pPr>
      <w:tabs>
        <w:tab w:val="num" w:pos="1069"/>
      </w:tabs>
      <w:spacing w:after="160" w:line="240" w:lineRule="exact"/>
      <w:ind w:left="1069" w:hanging="360"/>
      <w:jc w:val="both"/>
    </w:pPr>
    <w:rPr>
      <w:rFonts w:ascii="Verdana" w:hAnsi="Verdana" w:cs="Arial"/>
      <w:sz w:val="20"/>
      <w:szCs w:val="20"/>
      <w:lang w:eastAsia="en-US"/>
    </w:rPr>
  </w:style>
  <w:style w:type="character" w:customStyle="1" w:styleId="WW8Num13z0">
    <w:name w:val="WW8Num13z0"/>
    <w:rsid w:val="00FD1F0A"/>
    <w:rPr>
      <w:rFonts w:ascii="Symbol" w:hAnsi="Symbol"/>
      <w:color w:val="000000"/>
    </w:rPr>
  </w:style>
  <w:style w:type="paragraph" w:customStyle="1" w:styleId="affff1">
    <w:name w:val="Слева (без отступа)"/>
    <w:basedOn w:val="a5"/>
    <w:qFormat/>
    <w:rsid w:val="00FD1F0A"/>
    <w:pPr>
      <w:spacing w:after="120"/>
      <w:jc w:val="both"/>
    </w:pPr>
    <w:rPr>
      <w:sz w:val="28"/>
      <w:szCs w:val="28"/>
    </w:rPr>
  </w:style>
  <w:style w:type="character" w:styleId="affff2">
    <w:name w:val="FollowedHyperlink"/>
    <w:uiPriority w:val="99"/>
    <w:rsid w:val="00FD1F0A"/>
    <w:rPr>
      <w:color w:val="800080"/>
      <w:u w:val="single"/>
    </w:rPr>
  </w:style>
  <w:style w:type="character" w:customStyle="1" w:styleId="text10">
    <w:name w:val="text Знак1"/>
    <w:locked/>
    <w:rsid w:val="00FD1F0A"/>
    <w:rPr>
      <w:rFonts w:ascii="Times New Roman" w:eastAsia="Times New Roman" w:hAnsi="Times New Roman" w:cs="Times New Roman"/>
      <w:lang w:eastAsia="ru-RU"/>
    </w:rPr>
  </w:style>
  <w:style w:type="paragraph" w:customStyle="1" w:styleId="2008">
    <w:name w:val="ГО2008"/>
    <w:basedOn w:val="a5"/>
    <w:link w:val="20080"/>
    <w:qFormat/>
    <w:rsid w:val="00FD1F0A"/>
    <w:pPr>
      <w:ind w:firstLine="567"/>
      <w:jc w:val="both"/>
    </w:pPr>
    <w:rPr>
      <w:rFonts w:ascii="Arial" w:hAnsi="Arial"/>
    </w:rPr>
  </w:style>
  <w:style w:type="character" w:customStyle="1" w:styleId="20080">
    <w:name w:val="ГО2008 Знак"/>
    <w:link w:val="2008"/>
    <w:locked/>
    <w:rsid w:val="00FD1F0A"/>
    <w:rPr>
      <w:rFonts w:ascii="Arial" w:eastAsia="Times New Roman" w:hAnsi="Arial"/>
      <w:lang w:eastAsia="ru-RU"/>
    </w:rPr>
  </w:style>
  <w:style w:type="paragraph" w:customStyle="1" w:styleId="29">
    <w:name w:val="Абзац списка2"/>
    <w:basedOn w:val="a5"/>
    <w:qFormat/>
    <w:rsid w:val="00FD1F0A"/>
    <w:pPr>
      <w:ind w:left="720"/>
      <w:contextualSpacing/>
    </w:pPr>
    <w:rPr>
      <w:rFonts w:eastAsia="Calibri"/>
    </w:rPr>
  </w:style>
  <w:style w:type="paragraph" w:customStyle="1" w:styleId="Pa4">
    <w:name w:val="Pa4"/>
    <w:basedOn w:val="Default"/>
    <w:next w:val="Default"/>
    <w:qFormat/>
    <w:rsid w:val="00FD1F0A"/>
    <w:pPr>
      <w:spacing w:line="241" w:lineRule="atLeast"/>
    </w:pPr>
    <w:rPr>
      <w:rFonts w:ascii="HeliosLightC" w:hAnsi="HeliosLightC"/>
      <w:color w:val="auto"/>
    </w:rPr>
  </w:style>
  <w:style w:type="paragraph" w:customStyle="1" w:styleId="Pa3">
    <w:name w:val="Pa3"/>
    <w:basedOn w:val="Default"/>
    <w:next w:val="Default"/>
    <w:qFormat/>
    <w:rsid w:val="00FD1F0A"/>
    <w:pPr>
      <w:spacing w:before="160" w:line="181" w:lineRule="atLeast"/>
    </w:pPr>
    <w:rPr>
      <w:rFonts w:ascii="HeliosLightC" w:hAnsi="HeliosLightC"/>
      <w:color w:val="auto"/>
    </w:rPr>
  </w:style>
  <w:style w:type="paragraph" w:customStyle="1" w:styleId="affff3">
    <w:name w:val="Простой текст"/>
    <w:basedOn w:val="a5"/>
    <w:link w:val="affff4"/>
    <w:qFormat/>
    <w:rsid w:val="00FD1F0A"/>
    <w:pPr>
      <w:suppressLineNumbers/>
      <w:spacing w:before="120" w:after="120"/>
      <w:jc w:val="both"/>
    </w:pPr>
    <w:rPr>
      <w:rFonts w:ascii="Verdana" w:hAnsi="Verdana"/>
      <w:sz w:val="20"/>
      <w:szCs w:val="20"/>
      <w:lang w:eastAsia="en-US"/>
    </w:rPr>
  </w:style>
  <w:style w:type="character" w:customStyle="1" w:styleId="affff4">
    <w:name w:val="Простой текст Знак"/>
    <w:link w:val="affff3"/>
    <w:rsid w:val="00FD1F0A"/>
    <w:rPr>
      <w:rFonts w:ascii="Verdana" w:eastAsia="Times New Roman" w:hAnsi="Verdana"/>
      <w:sz w:val="20"/>
      <w:szCs w:val="20"/>
    </w:rPr>
  </w:style>
  <w:style w:type="paragraph" w:customStyle="1" w:styleId="affff5">
    <w:name w:val="МРСК_маркированный"/>
    <w:basedOn w:val="a0"/>
    <w:qFormat/>
    <w:rsid w:val="00FD1F0A"/>
    <w:pPr>
      <w:keepNext/>
      <w:numPr>
        <w:ilvl w:val="0"/>
        <w:numId w:val="0"/>
      </w:numPr>
      <w:spacing w:before="0" w:line="300" w:lineRule="auto"/>
    </w:pPr>
    <w:rPr>
      <w:szCs w:val="24"/>
    </w:rPr>
  </w:style>
  <w:style w:type="paragraph" w:styleId="affff6">
    <w:name w:val="No Spacing"/>
    <w:link w:val="affff7"/>
    <w:uiPriority w:val="1"/>
    <w:qFormat/>
    <w:rsid w:val="00FD1F0A"/>
    <w:rPr>
      <w:rFonts w:ascii="Calibri" w:hAnsi="Calibri"/>
      <w:sz w:val="22"/>
      <w:szCs w:val="22"/>
      <w:lang w:val="en-GB" w:eastAsia="en-US"/>
    </w:rPr>
  </w:style>
  <w:style w:type="paragraph" w:customStyle="1" w:styleId="Standard">
    <w:name w:val="Standard"/>
    <w:qFormat/>
    <w:rsid w:val="00FD1F0A"/>
    <w:pPr>
      <w:widowControl w:val="0"/>
      <w:suppressAutoHyphens/>
      <w:autoSpaceDN w:val="0"/>
      <w:textAlignment w:val="baseline"/>
    </w:pPr>
    <w:rPr>
      <w:rFonts w:eastAsia="SimSun" w:cs="Mangal"/>
      <w:kern w:val="3"/>
      <w:sz w:val="24"/>
      <w:szCs w:val="24"/>
      <w:lang w:val="en-GB" w:eastAsia="zh-CN" w:bidi="hi-IN"/>
    </w:rPr>
  </w:style>
  <w:style w:type="paragraph" w:customStyle="1" w:styleId="Style19">
    <w:name w:val="Style19"/>
    <w:basedOn w:val="a5"/>
    <w:uiPriority w:val="99"/>
    <w:qFormat/>
    <w:rsid w:val="00FD1F0A"/>
    <w:pPr>
      <w:widowControl w:val="0"/>
      <w:autoSpaceDE w:val="0"/>
      <w:autoSpaceDN w:val="0"/>
      <w:adjustRightInd w:val="0"/>
      <w:spacing w:line="282" w:lineRule="exact"/>
      <w:ind w:hanging="530"/>
      <w:jc w:val="both"/>
    </w:pPr>
  </w:style>
  <w:style w:type="character" w:customStyle="1" w:styleId="FontStyle26">
    <w:name w:val="Font Style26"/>
    <w:uiPriority w:val="99"/>
    <w:rsid w:val="00FD1F0A"/>
    <w:rPr>
      <w:rFonts w:ascii="Times New Roman" w:hAnsi="Times New Roman" w:cs="Times New Roman"/>
      <w:sz w:val="22"/>
      <w:szCs w:val="22"/>
    </w:rPr>
  </w:style>
  <w:style w:type="paragraph" w:customStyle="1" w:styleId="affff8">
    <w:name w:val="Текст таблицы"/>
    <w:basedOn w:val="a5"/>
    <w:link w:val="affff9"/>
    <w:qFormat/>
    <w:rsid w:val="00FD1F0A"/>
    <w:pPr>
      <w:spacing w:before="40" w:after="40" w:line="312" w:lineRule="auto"/>
    </w:pPr>
    <w:rPr>
      <w:rFonts w:eastAsia="Calibri"/>
      <w:szCs w:val="22"/>
      <w:lang w:eastAsia="en-US"/>
    </w:rPr>
  </w:style>
  <w:style w:type="paragraph" w:customStyle="1" w:styleId="1-0">
    <w:name w:val="Ненум. список 1-го уровня"/>
    <w:basedOn w:val="affff3"/>
    <w:link w:val="1-Char"/>
    <w:uiPriority w:val="99"/>
    <w:qFormat/>
    <w:rsid w:val="00FD1F0A"/>
    <w:pPr>
      <w:ind w:left="720" w:hanging="360"/>
    </w:pPr>
    <w:rPr>
      <w:lang w:eastAsia="en-AU"/>
    </w:rPr>
  </w:style>
  <w:style w:type="character" w:customStyle="1" w:styleId="1-Char">
    <w:name w:val="Ненум. список 1-го уровня Char"/>
    <w:link w:val="1-0"/>
    <w:uiPriority w:val="99"/>
    <w:rsid w:val="00FD1F0A"/>
    <w:rPr>
      <w:rFonts w:ascii="Verdana" w:eastAsia="Times New Roman" w:hAnsi="Verdana"/>
      <w:sz w:val="20"/>
      <w:szCs w:val="20"/>
      <w:lang w:eastAsia="en-AU"/>
    </w:rPr>
  </w:style>
  <w:style w:type="character" w:customStyle="1" w:styleId="apple-converted-space">
    <w:name w:val="apple-converted-space"/>
    <w:basedOn w:val="a6"/>
    <w:rsid w:val="00FD1F0A"/>
  </w:style>
  <w:style w:type="table" w:customStyle="1" w:styleId="112">
    <w:name w:val="Сетка таблицы11"/>
    <w:uiPriority w:val="99"/>
    <w:rsid w:val="00FD1F0A"/>
    <w:rPr>
      <w:rFonts w:ascii="Calibri" w:hAnsi="Calibri" w:cs="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3">
    <w:name w:val="Стиль1_заголовок1"/>
    <w:basedOn w:val="2"/>
    <w:link w:val="114"/>
    <w:qFormat/>
    <w:rsid w:val="00FD1F0A"/>
    <w:rPr>
      <w:rFonts w:ascii="Calibri" w:hAnsi="Calibri"/>
      <w:sz w:val="20"/>
    </w:rPr>
  </w:style>
  <w:style w:type="character" w:customStyle="1" w:styleId="114">
    <w:name w:val="Стиль1_заголовок1 Знак"/>
    <w:link w:val="113"/>
    <w:rsid w:val="00FD1F0A"/>
    <w:rPr>
      <w:rFonts w:ascii="Calibri" w:eastAsia="Times New Roman" w:hAnsi="Calibri"/>
      <w:sz w:val="20"/>
      <w:szCs w:val="20"/>
      <w:lang w:eastAsia="ru-RU"/>
    </w:rPr>
  </w:style>
  <w:style w:type="paragraph" w:customStyle="1" w:styleId="22">
    <w:name w:val="2 заголовок_Стиль2"/>
    <w:basedOn w:val="af3"/>
    <w:link w:val="221"/>
    <w:qFormat/>
    <w:rsid w:val="00FD1F0A"/>
    <w:pPr>
      <w:numPr>
        <w:ilvl w:val="1"/>
        <w:numId w:val="5"/>
      </w:numPr>
      <w:contextualSpacing w:val="0"/>
      <w:jc w:val="both"/>
    </w:pPr>
    <w:rPr>
      <w:rFonts w:ascii="Calibri" w:eastAsia="Calibri" w:hAnsi="Calibri" w:cs="Calibri"/>
      <w:b/>
      <w:sz w:val="20"/>
      <w:szCs w:val="20"/>
    </w:rPr>
  </w:style>
  <w:style w:type="character" w:customStyle="1" w:styleId="221">
    <w:name w:val="2 заголовок_Стиль2 Знак"/>
    <w:link w:val="22"/>
    <w:rsid w:val="00FD1F0A"/>
    <w:rPr>
      <w:rFonts w:ascii="Calibri" w:hAnsi="Calibri" w:cs="Calibri"/>
      <w:b/>
      <w:lang w:val="en-GB"/>
    </w:rPr>
  </w:style>
  <w:style w:type="paragraph" w:styleId="39">
    <w:name w:val="toc 3"/>
    <w:basedOn w:val="a5"/>
    <w:next w:val="a5"/>
    <w:autoRedefine/>
    <w:uiPriority w:val="39"/>
    <w:unhideWhenUsed/>
    <w:qFormat/>
    <w:rsid w:val="00FD1F0A"/>
    <w:pPr>
      <w:spacing w:after="100"/>
      <w:ind w:left="480" w:firstLine="720"/>
    </w:pPr>
    <w:rPr>
      <w:szCs w:val="20"/>
    </w:rPr>
  </w:style>
  <w:style w:type="paragraph" w:customStyle="1" w:styleId="affffa">
    <w:name w:val="текст"/>
    <w:basedOn w:val="a5"/>
    <w:link w:val="affffb"/>
    <w:qFormat/>
    <w:rsid w:val="00FD1F0A"/>
    <w:pPr>
      <w:ind w:firstLine="567"/>
      <w:jc w:val="both"/>
    </w:pPr>
  </w:style>
  <w:style w:type="character" w:customStyle="1" w:styleId="affffb">
    <w:name w:val="текст Знак"/>
    <w:link w:val="affffa"/>
    <w:rsid w:val="00FD1F0A"/>
    <w:rPr>
      <w:rFonts w:eastAsia="Times New Roman"/>
      <w:lang w:eastAsia="ru-RU"/>
    </w:rPr>
  </w:style>
  <w:style w:type="paragraph" w:customStyle="1" w:styleId="3a">
    <w:name w:val="нумерация 3 уровня"/>
    <w:basedOn w:val="af3"/>
    <w:link w:val="3b"/>
    <w:qFormat/>
    <w:rsid w:val="00FD1F0A"/>
    <w:pPr>
      <w:tabs>
        <w:tab w:val="left" w:pos="1560"/>
      </w:tabs>
      <w:spacing w:before="120"/>
      <w:ind w:left="0" w:firstLine="720"/>
      <w:contextualSpacing w:val="0"/>
      <w:jc w:val="both"/>
    </w:pPr>
    <w:rPr>
      <w:iCs/>
      <w:color w:val="000000"/>
      <w:sz w:val="28"/>
      <w:szCs w:val="28"/>
      <w:lang w:bidi="ru-RU"/>
    </w:rPr>
  </w:style>
  <w:style w:type="character" w:customStyle="1" w:styleId="3b">
    <w:name w:val="нумерация 3 уровня Знак"/>
    <w:link w:val="3a"/>
    <w:rsid w:val="00FD1F0A"/>
    <w:rPr>
      <w:rFonts w:eastAsia="Times New Roman"/>
      <w:iCs/>
      <w:color w:val="000000"/>
      <w:sz w:val="28"/>
      <w:szCs w:val="28"/>
      <w:lang w:eastAsia="ru-RU" w:bidi="ru-RU"/>
    </w:rPr>
  </w:style>
  <w:style w:type="paragraph" w:customStyle="1" w:styleId="410">
    <w:name w:val="Оглавление 41"/>
    <w:basedOn w:val="a5"/>
    <w:next w:val="a5"/>
    <w:autoRedefine/>
    <w:uiPriority w:val="39"/>
    <w:unhideWhenUsed/>
    <w:qFormat/>
    <w:rsid w:val="00FD1F0A"/>
    <w:pPr>
      <w:spacing w:after="100" w:line="276" w:lineRule="auto"/>
      <w:ind w:left="660"/>
    </w:pPr>
    <w:rPr>
      <w:rFonts w:ascii="Calibri" w:hAnsi="Calibri"/>
      <w:sz w:val="22"/>
      <w:szCs w:val="22"/>
    </w:rPr>
  </w:style>
  <w:style w:type="paragraph" w:customStyle="1" w:styleId="510">
    <w:name w:val="Оглавление 51"/>
    <w:basedOn w:val="a5"/>
    <w:next w:val="a5"/>
    <w:autoRedefine/>
    <w:uiPriority w:val="39"/>
    <w:unhideWhenUsed/>
    <w:qFormat/>
    <w:rsid w:val="00FD1F0A"/>
    <w:pPr>
      <w:spacing w:after="100" w:line="276" w:lineRule="auto"/>
      <w:ind w:left="880"/>
    </w:pPr>
    <w:rPr>
      <w:rFonts w:ascii="Calibri" w:hAnsi="Calibri"/>
      <w:sz w:val="22"/>
      <w:szCs w:val="22"/>
    </w:rPr>
  </w:style>
  <w:style w:type="paragraph" w:customStyle="1" w:styleId="61">
    <w:name w:val="Оглавление 61"/>
    <w:basedOn w:val="a5"/>
    <w:next w:val="a5"/>
    <w:autoRedefine/>
    <w:uiPriority w:val="39"/>
    <w:unhideWhenUsed/>
    <w:qFormat/>
    <w:rsid w:val="00FD1F0A"/>
    <w:pPr>
      <w:spacing w:after="100" w:line="276" w:lineRule="auto"/>
      <w:ind w:left="1100"/>
    </w:pPr>
    <w:rPr>
      <w:rFonts w:ascii="Calibri" w:hAnsi="Calibri"/>
      <w:sz w:val="22"/>
      <w:szCs w:val="22"/>
    </w:rPr>
  </w:style>
  <w:style w:type="paragraph" w:customStyle="1" w:styleId="71">
    <w:name w:val="Оглавление 71"/>
    <w:basedOn w:val="a5"/>
    <w:next w:val="a5"/>
    <w:autoRedefine/>
    <w:uiPriority w:val="39"/>
    <w:unhideWhenUsed/>
    <w:qFormat/>
    <w:rsid w:val="00FD1F0A"/>
    <w:pPr>
      <w:spacing w:after="100" w:line="276" w:lineRule="auto"/>
      <w:ind w:left="1320"/>
    </w:pPr>
    <w:rPr>
      <w:rFonts w:ascii="Calibri" w:hAnsi="Calibri"/>
      <w:sz w:val="22"/>
      <w:szCs w:val="22"/>
    </w:rPr>
  </w:style>
  <w:style w:type="paragraph" w:customStyle="1" w:styleId="810">
    <w:name w:val="Оглавление 81"/>
    <w:basedOn w:val="a5"/>
    <w:next w:val="a5"/>
    <w:autoRedefine/>
    <w:uiPriority w:val="39"/>
    <w:unhideWhenUsed/>
    <w:qFormat/>
    <w:rsid w:val="00FD1F0A"/>
    <w:pPr>
      <w:spacing w:after="100" w:line="276" w:lineRule="auto"/>
      <w:ind w:left="1540"/>
    </w:pPr>
    <w:rPr>
      <w:rFonts w:ascii="Calibri" w:hAnsi="Calibri"/>
      <w:sz w:val="22"/>
      <w:szCs w:val="22"/>
    </w:rPr>
  </w:style>
  <w:style w:type="paragraph" w:customStyle="1" w:styleId="91">
    <w:name w:val="Оглавление 91"/>
    <w:basedOn w:val="a5"/>
    <w:next w:val="a5"/>
    <w:autoRedefine/>
    <w:uiPriority w:val="39"/>
    <w:unhideWhenUsed/>
    <w:qFormat/>
    <w:rsid w:val="00FD1F0A"/>
    <w:pPr>
      <w:spacing w:after="100" w:line="276" w:lineRule="auto"/>
      <w:ind w:left="1760"/>
    </w:pPr>
    <w:rPr>
      <w:rFonts w:ascii="Calibri" w:hAnsi="Calibri"/>
      <w:sz w:val="22"/>
      <w:szCs w:val="22"/>
    </w:rPr>
  </w:style>
  <w:style w:type="table" w:styleId="2-1">
    <w:name w:val="Medium Grid 2 Accent 1"/>
    <w:basedOn w:val="a7"/>
    <w:uiPriority w:val="68"/>
    <w:rsid w:val="00FD1F0A"/>
    <w:rPr>
      <w:rFonts w:ascii="Calibri Light" w:eastAsia="Times New Roman" w:hAnsi="Calibri Light"/>
      <w:color w:val="000000"/>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styleId="1-6">
    <w:name w:val="Medium Grid 1 Accent 6"/>
    <w:basedOn w:val="a7"/>
    <w:uiPriority w:val="67"/>
    <w:rsid w:val="00FD1F0A"/>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paragraph" w:customStyle="1" w:styleId="FR4">
    <w:name w:val="FR4"/>
    <w:qFormat/>
    <w:rsid w:val="00C33072"/>
    <w:pPr>
      <w:widowControl w:val="0"/>
      <w:spacing w:before="160"/>
      <w:ind w:left="80" w:firstLine="380"/>
    </w:pPr>
    <w:rPr>
      <w:rFonts w:eastAsia="Times New Roman"/>
      <w:sz w:val="16"/>
      <w:lang w:val="en-GB"/>
    </w:rPr>
  </w:style>
  <w:style w:type="paragraph" w:styleId="affffc">
    <w:name w:val="Block Text"/>
    <w:basedOn w:val="a5"/>
    <w:rsid w:val="00C33072"/>
    <w:pPr>
      <w:ind w:left="113" w:right="113"/>
      <w:jc w:val="center"/>
    </w:pPr>
    <w:rPr>
      <w:rFonts w:ascii="Arial" w:hAnsi="Arial" w:cs="Arial"/>
      <w:sz w:val="16"/>
      <w:szCs w:val="20"/>
    </w:rPr>
  </w:style>
  <w:style w:type="table" w:customStyle="1" w:styleId="2a">
    <w:name w:val="Сетка таблицы2"/>
    <w:basedOn w:val="a7"/>
    <w:next w:val="ad"/>
    <w:uiPriority w:val="59"/>
    <w:rsid w:val="00C33072"/>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0">
    <w:name w:val="Medium Shading 2 Accent 1"/>
    <w:basedOn w:val="a7"/>
    <w:uiPriority w:val="64"/>
    <w:rsid w:val="00C33072"/>
    <w:rPr>
      <w:rFonts w:eastAsia="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0">
    <w:name w:val="Сетка таблицы12"/>
    <w:basedOn w:val="a7"/>
    <w:next w:val="ad"/>
    <w:uiPriority w:val="59"/>
    <w:rsid w:val="00C33072"/>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Стиль1"/>
    <w:basedOn w:val="2"/>
    <w:link w:val="1f4"/>
    <w:uiPriority w:val="99"/>
    <w:qFormat/>
    <w:rsid w:val="0099692B"/>
    <w:pPr>
      <w:numPr>
        <w:ilvl w:val="1"/>
        <w:numId w:val="12"/>
      </w:numPr>
      <w:spacing w:line="240" w:lineRule="auto"/>
    </w:pPr>
    <w:rPr>
      <w:rFonts w:ascii="Arial" w:hAnsi="Arial" w:cs="Calibri"/>
      <w:b/>
      <w:bCs/>
      <w:iCs/>
      <w:color w:val="2E74B5"/>
      <w:sz w:val="20"/>
    </w:rPr>
  </w:style>
  <w:style w:type="character" w:customStyle="1" w:styleId="1f4">
    <w:name w:val="Стиль1 Знак"/>
    <w:link w:val="1"/>
    <w:uiPriority w:val="99"/>
    <w:rsid w:val="0099692B"/>
    <w:rPr>
      <w:rFonts w:ascii="Arial" w:eastAsia="Times New Roman" w:hAnsi="Arial" w:cs="Calibri"/>
      <w:b/>
      <w:bCs/>
      <w:iCs/>
      <w:color w:val="2E74B5"/>
      <w:lang w:val="en-GB"/>
    </w:rPr>
  </w:style>
  <w:style w:type="character" w:customStyle="1" w:styleId="affffd">
    <w:name w:val="Основной текст_"/>
    <w:link w:val="2b"/>
    <w:rsid w:val="0099692B"/>
    <w:rPr>
      <w:rFonts w:eastAsia="Times New Roman"/>
      <w:shd w:val="clear" w:color="auto" w:fill="FFFFFF"/>
    </w:rPr>
  </w:style>
  <w:style w:type="paragraph" w:customStyle="1" w:styleId="2b">
    <w:name w:val="Основной текст2"/>
    <w:basedOn w:val="a5"/>
    <w:link w:val="affffd"/>
    <w:qFormat/>
    <w:rsid w:val="0099692B"/>
    <w:pPr>
      <w:widowControl w:val="0"/>
      <w:shd w:val="clear" w:color="auto" w:fill="FFFFFF"/>
      <w:spacing w:line="274" w:lineRule="exact"/>
      <w:jc w:val="both"/>
    </w:pPr>
    <w:rPr>
      <w:lang w:eastAsia="en-US"/>
    </w:rPr>
  </w:style>
  <w:style w:type="character" w:customStyle="1" w:styleId="FontStyle16">
    <w:name w:val="Font Style16"/>
    <w:uiPriority w:val="99"/>
    <w:rsid w:val="0099692B"/>
    <w:rPr>
      <w:rFonts w:ascii="Times New Roman" w:hAnsi="Times New Roman" w:cs="Times New Roman"/>
      <w:sz w:val="24"/>
      <w:szCs w:val="24"/>
    </w:rPr>
  </w:style>
  <w:style w:type="paragraph" w:customStyle="1" w:styleId="affffe">
    <w:name w:val="Таблицы (моноширинный)"/>
    <w:basedOn w:val="a5"/>
    <w:next w:val="a5"/>
    <w:qFormat/>
    <w:rsid w:val="0099692B"/>
    <w:pPr>
      <w:autoSpaceDE w:val="0"/>
      <w:autoSpaceDN w:val="0"/>
      <w:adjustRightInd w:val="0"/>
      <w:jc w:val="both"/>
    </w:pPr>
    <w:rPr>
      <w:rFonts w:ascii="Courier New" w:hAnsi="Courier New" w:cs="Courier New"/>
      <w:sz w:val="20"/>
      <w:szCs w:val="20"/>
    </w:rPr>
  </w:style>
  <w:style w:type="paragraph" w:styleId="afffff">
    <w:name w:val="Revision"/>
    <w:hidden/>
    <w:uiPriority w:val="99"/>
    <w:semiHidden/>
    <w:rsid w:val="0099692B"/>
    <w:rPr>
      <w:rFonts w:eastAsia="Times New Roman"/>
      <w:sz w:val="24"/>
      <w:lang w:val="en-GB"/>
    </w:rPr>
  </w:style>
  <w:style w:type="paragraph" w:customStyle="1" w:styleId="140">
    <w:name w:val="Стиль14"/>
    <w:basedOn w:val="a5"/>
    <w:uiPriority w:val="99"/>
    <w:qFormat/>
    <w:rsid w:val="0099692B"/>
    <w:pPr>
      <w:spacing w:line="264" w:lineRule="auto"/>
      <w:ind w:firstLine="720"/>
      <w:jc w:val="both"/>
    </w:pPr>
    <w:rPr>
      <w:rFonts w:eastAsia="Calibri"/>
      <w:sz w:val="28"/>
      <w:szCs w:val="28"/>
    </w:rPr>
  </w:style>
  <w:style w:type="paragraph" w:styleId="afffff0">
    <w:name w:val="Subtitle"/>
    <w:basedOn w:val="a5"/>
    <w:next w:val="a5"/>
    <w:link w:val="afffff1"/>
    <w:uiPriority w:val="11"/>
    <w:qFormat/>
    <w:rsid w:val="0099692B"/>
    <w:pPr>
      <w:numPr>
        <w:ilvl w:val="1"/>
      </w:numPr>
      <w:spacing w:after="200" w:line="276" w:lineRule="auto"/>
      <w:ind w:firstLine="720"/>
    </w:pPr>
    <w:rPr>
      <w:rFonts w:ascii="Cambria" w:hAnsi="Cambria"/>
      <w:i/>
      <w:iCs/>
      <w:color w:val="4F81BD"/>
      <w:spacing w:val="15"/>
      <w:lang w:eastAsia="en-US"/>
    </w:rPr>
  </w:style>
  <w:style w:type="character" w:customStyle="1" w:styleId="afffff1">
    <w:name w:val="Подзаголовок Знак"/>
    <w:link w:val="afffff0"/>
    <w:uiPriority w:val="11"/>
    <w:rsid w:val="0099692B"/>
    <w:rPr>
      <w:rFonts w:ascii="Cambria" w:eastAsia="Times New Roman" w:hAnsi="Cambria"/>
      <w:i/>
      <w:iCs/>
      <w:color w:val="4F81BD"/>
      <w:spacing w:val="15"/>
    </w:rPr>
  </w:style>
  <w:style w:type="paragraph" w:styleId="42">
    <w:name w:val="toc 4"/>
    <w:basedOn w:val="a5"/>
    <w:next w:val="a5"/>
    <w:autoRedefine/>
    <w:uiPriority w:val="39"/>
    <w:unhideWhenUsed/>
    <w:rsid w:val="0099692B"/>
    <w:pPr>
      <w:spacing w:line="276" w:lineRule="auto"/>
      <w:ind w:left="660"/>
    </w:pPr>
    <w:rPr>
      <w:rFonts w:ascii="Calibri" w:eastAsia="Calibri" w:hAnsi="Calibri"/>
      <w:sz w:val="20"/>
      <w:szCs w:val="20"/>
      <w:lang w:eastAsia="en-US"/>
    </w:rPr>
  </w:style>
  <w:style w:type="paragraph" w:styleId="52">
    <w:name w:val="toc 5"/>
    <w:basedOn w:val="a5"/>
    <w:next w:val="a5"/>
    <w:autoRedefine/>
    <w:uiPriority w:val="39"/>
    <w:unhideWhenUsed/>
    <w:rsid w:val="0099692B"/>
    <w:pPr>
      <w:spacing w:line="276" w:lineRule="auto"/>
      <w:ind w:left="880"/>
    </w:pPr>
    <w:rPr>
      <w:rFonts w:ascii="Calibri" w:eastAsia="Calibri" w:hAnsi="Calibri"/>
      <w:sz w:val="20"/>
      <w:szCs w:val="20"/>
      <w:lang w:eastAsia="en-US"/>
    </w:rPr>
  </w:style>
  <w:style w:type="paragraph" w:styleId="62">
    <w:name w:val="toc 6"/>
    <w:basedOn w:val="a5"/>
    <w:next w:val="a5"/>
    <w:autoRedefine/>
    <w:uiPriority w:val="39"/>
    <w:unhideWhenUsed/>
    <w:rsid w:val="0099692B"/>
    <w:pPr>
      <w:spacing w:line="276" w:lineRule="auto"/>
      <w:ind w:left="1100"/>
    </w:pPr>
    <w:rPr>
      <w:rFonts w:ascii="Calibri" w:eastAsia="Calibri" w:hAnsi="Calibri"/>
      <w:sz w:val="20"/>
      <w:szCs w:val="20"/>
      <w:lang w:eastAsia="en-US"/>
    </w:rPr>
  </w:style>
  <w:style w:type="paragraph" w:styleId="72">
    <w:name w:val="toc 7"/>
    <w:basedOn w:val="a5"/>
    <w:next w:val="a5"/>
    <w:link w:val="73"/>
    <w:autoRedefine/>
    <w:uiPriority w:val="39"/>
    <w:unhideWhenUsed/>
    <w:rsid w:val="0099692B"/>
    <w:pPr>
      <w:spacing w:line="276" w:lineRule="auto"/>
      <w:ind w:left="1320"/>
    </w:pPr>
    <w:rPr>
      <w:rFonts w:ascii="Calibri" w:eastAsia="Calibri" w:hAnsi="Calibri"/>
      <w:sz w:val="20"/>
      <w:szCs w:val="20"/>
      <w:lang w:eastAsia="en-US"/>
    </w:rPr>
  </w:style>
  <w:style w:type="paragraph" w:styleId="82">
    <w:name w:val="toc 8"/>
    <w:basedOn w:val="a5"/>
    <w:next w:val="a5"/>
    <w:autoRedefine/>
    <w:uiPriority w:val="39"/>
    <w:unhideWhenUsed/>
    <w:rsid w:val="0099692B"/>
    <w:pPr>
      <w:spacing w:line="276" w:lineRule="auto"/>
      <w:ind w:left="1540"/>
    </w:pPr>
    <w:rPr>
      <w:rFonts w:ascii="Calibri" w:eastAsia="Calibri" w:hAnsi="Calibri"/>
      <w:sz w:val="20"/>
      <w:szCs w:val="20"/>
      <w:lang w:eastAsia="en-US"/>
    </w:rPr>
  </w:style>
  <w:style w:type="paragraph" w:styleId="92">
    <w:name w:val="toc 9"/>
    <w:basedOn w:val="a5"/>
    <w:next w:val="a5"/>
    <w:autoRedefine/>
    <w:uiPriority w:val="39"/>
    <w:unhideWhenUsed/>
    <w:rsid w:val="0099692B"/>
    <w:pPr>
      <w:spacing w:line="276" w:lineRule="auto"/>
      <w:ind w:left="1760"/>
    </w:pPr>
    <w:rPr>
      <w:rFonts w:ascii="Calibri" w:eastAsia="Calibri" w:hAnsi="Calibri"/>
      <w:sz w:val="20"/>
      <w:szCs w:val="20"/>
      <w:lang w:eastAsia="en-US"/>
    </w:rPr>
  </w:style>
  <w:style w:type="character" w:customStyle="1" w:styleId="FontStyle20">
    <w:name w:val="Font Style20"/>
    <w:uiPriority w:val="99"/>
    <w:rsid w:val="0099692B"/>
    <w:rPr>
      <w:rFonts w:ascii="Times New Roman" w:hAnsi="Times New Roman" w:cs="Times New Roman"/>
      <w:sz w:val="22"/>
      <w:szCs w:val="22"/>
    </w:rPr>
  </w:style>
  <w:style w:type="character" w:styleId="afffff2">
    <w:name w:val="Placeholder Text"/>
    <w:uiPriority w:val="99"/>
    <w:semiHidden/>
    <w:rsid w:val="0099692B"/>
    <w:rPr>
      <w:color w:val="808080"/>
    </w:rPr>
  </w:style>
  <w:style w:type="paragraph" w:customStyle="1" w:styleId="ABC-paragrahinNotes">
    <w:name w:val="ABC - paragrah in Notes"/>
    <w:uiPriority w:val="99"/>
    <w:qFormat/>
    <w:rsid w:val="0099692B"/>
    <w:pPr>
      <w:spacing w:after="240"/>
      <w:jc w:val="both"/>
    </w:pPr>
    <w:rPr>
      <w:rFonts w:eastAsia="Times New Roman"/>
      <w:lang w:val="en-GB" w:eastAsia="en-US"/>
    </w:rPr>
  </w:style>
  <w:style w:type="paragraph" w:customStyle="1" w:styleId="1f5">
    <w:name w:val="Знак Знак1 Знак Знак Знак"/>
    <w:basedOn w:val="a5"/>
    <w:uiPriority w:val="99"/>
    <w:qFormat/>
    <w:rsid w:val="0099692B"/>
    <w:pPr>
      <w:tabs>
        <w:tab w:val="num" w:pos="360"/>
      </w:tabs>
      <w:spacing w:after="160" w:line="240" w:lineRule="exact"/>
    </w:pPr>
    <w:rPr>
      <w:noProof/>
    </w:rPr>
  </w:style>
  <w:style w:type="paragraph" w:customStyle="1" w:styleId="bodytext">
    <w:name w:val="bodytext"/>
    <w:basedOn w:val="a5"/>
    <w:qFormat/>
    <w:rsid w:val="0099692B"/>
    <w:pPr>
      <w:spacing w:before="100" w:beforeAutospacing="1" w:after="100" w:afterAutospacing="1"/>
    </w:pPr>
  </w:style>
  <w:style w:type="paragraph" w:customStyle="1" w:styleId="2c">
    <w:name w:val="Стиль2"/>
    <w:basedOn w:val="2"/>
    <w:qFormat/>
    <w:rsid w:val="0099692B"/>
    <w:rPr>
      <w:rFonts w:ascii="Calibri" w:hAnsi="Calibri"/>
      <w:sz w:val="22"/>
    </w:rPr>
  </w:style>
  <w:style w:type="character" w:customStyle="1" w:styleId="itemdoc">
    <w:name w:val="item_doc"/>
    <w:basedOn w:val="a6"/>
    <w:rsid w:val="0099692B"/>
  </w:style>
  <w:style w:type="character" w:customStyle="1" w:styleId="description">
    <w:name w:val="description"/>
    <w:basedOn w:val="a6"/>
    <w:rsid w:val="0099692B"/>
  </w:style>
  <w:style w:type="paragraph" w:customStyle="1" w:styleId="1f6">
    <w:name w:val="Знак1 Знак Знак Знак"/>
    <w:basedOn w:val="a5"/>
    <w:qFormat/>
    <w:rsid w:val="0099692B"/>
    <w:pPr>
      <w:widowControl w:val="0"/>
      <w:adjustRightInd w:val="0"/>
      <w:spacing w:after="160" w:line="240" w:lineRule="exact"/>
      <w:jc w:val="right"/>
    </w:pPr>
    <w:rPr>
      <w:sz w:val="20"/>
      <w:szCs w:val="20"/>
      <w:lang w:eastAsia="en-US"/>
    </w:rPr>
  </w:style>
  <w:style w:type="paragraph" w:customStyle="1" w:styleId="Pa53">
    <w:name w:val="Pa53"/>
    <w:basedOn w:val="Default"/>
    <w:next w:val="Default"/>
    <w:uiPriority w:val="99"/>
    <w:qFormat/>
    <w:rsid w:val="0099692B"/>
    <w:pPr>
      <w:spacing w:line="181" w:lineRule="atLeast"/>
    </w:pPr>
    <w:rPr>
      <w:rFonts w:ascii="Corpid E1s SCd Regular" w:eastAsia="Calibri" w:hAnsi="Corpid E1s SCd Regular"/>
      <w:color w:val="auto"/>
      <w:lang w:eastAsia="en-US"/>
    </w:rPr>
  </w:style>
  <w:style w:type="paragraph" w:customStyle="1" w:styleId="Pa22">
    <w:name w:val="Pa22"/>
    <w:basedOn w:val="Default"/>
    <w:next w:val="Default"/>
    <w:uiPriority w:val="99"/>
    <w:qFormat/>
    <w:rsid w:val="0099692B"/>
    <w:pPr>
      <w:spacing w:line="181" w:lineRule="atLeast"/>
    </w:pPr>
    <w:rPr>
      <w:rFonts w:ascii="Corpid E1s SCd Regular" w:eastAsia="Calibri" w:hAnsi="Corpid E1s SCd Regular"/>
      <w:color w:val="auto"/>
      <w:lang w:eastAsia="en-US"/>
    </w:rPr>
  </w:style>
  <w:style w:type="character" w:customStyle="1" w:styleId="A23">
    <w:name w:val="A23"/>
    <w:uiPriority w:val="99"/>
    <w:rsid w:val="0099692B"/>
    <w:rPr>
      <w:rFonts w:cs="Corpid E1s SCd Regular"/>
      <w:color w:val="000000"/>
      <w:sz w:val="10"/>
      <w:szCs w:val="10"/>
    </w:rPr>
  </w:style>
  <w:style w:type="paragraph" w:customStyle="1" w:styleId="afffff3">
    <w:name w:val="ОСНОВНОЙ ТЕКСТ"/>
    <w:basedOn w:val="a5"/>
    <w:next w:val="a5"/>
    <w:qFormat/>
    <w:rsid w:val="00702903"/>
    <w:pPr>
      <w:tabs>
        <w:tab w:val="left" w:pos="1080"/>
        <w:tab w:val="left" w:pos="1320"/>
      </w:tabs>
      <w:ind w:firstLine="567"/>
      <w:jc w:val="both"/>
    </w:pPr>
    <w:rPr>
      <w:snapToGrid w:val="0"/>
      <w:sz w:val="26"/>
    </w:rPr>
  </w:style>
  <w:style w:type="paragraph" w:customStyle="1" w:styleId="xl66">
    <w:name w:val="xl66"/>
    <w:basedOn w:val="a5"/>
    <w:qFormat/>
    <w:rsid w:val="00702903"/>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sz w:val="16"/>
      <w:szCs w:val="16"/>
    </w:rPr>
  </w:style>
  <w:style w:type="paragraph" w:customStyle="1" w:styleId="xl67">
    <w:name w:val="xl67"/>
    <w:basedOn w:val="a5"/>
    <w:qFormat/>
    <w:rsid w:val="00702903"/>
    <w:pPr>
      <w:pBdr>
        <w:top w:val="single" w:sz="8" w:space="0" w:color="auto"/>
        <w:bottom w:val="single" w:sz="8" w:space="0" w:color="auto"/>
        <w:right w:val="single" w:sz="8" w:space="0" w:color="auto"/>
      </w:pBdr>
      <w:spacing w:before="100" w:beforeAutospacing="1" w:after="100" w:afterAutospacing="1"/>
      <w:textAlignment w:val="center"/>
    </w:pPr>
    <w:rPr>
      <w:sz w:val="16"/>
      <w:szCs w:val="16"/>
    </w:rPr>
  </w:style>
  <w:style w:type="paragraph" w:customStyle="1" w:styleId="xl68">
    <w:name w:val="xl68"/>
    <w:basedOn w:val="a5"/>
    <w:qFormat/>
    <w:rsid w:val="00702903"/>
    <w:pPr>
      <w:pBdr>
        <w:bottom w:val="single" w:sz="8" w:space="0" w:color="auto"/>
        <w:right w:val="single" w:sz="8" w:space="0" w:color="auto"/>
      </w:pBdr>
      <w:spacing w:before="100" w:beforeAutospacing="1" w:after="100" w:afterAutospacing="1"/>
      <w:textAlignment w:val="center"/>
    </w:pPr>
    <w:rPr>
      <w:sz w:val="16"/>
      <w:szCs w:val="16"/>
    </w:rPr>
  </w:style>
  <w:style w:type="paragraph" w:customStyle="1" w:styleId="xl69">
    <w:name w:val="xl69"/>
    <w:basedOn w:val="a5"/>
    <w:qFormat/>
    <w:rsid w:val="00702903"/>
    <w:pPr>
      <w:pBdr>
        <w:top w:val="single" w:sz="8" w:space="0" w:color="auto"/>
        <w:left w:val="single" w:sz="8" w:space="0" w:color="auto"/>
        <w:right w:val="single" w:sz="8" w:space="0" w:color="auto"/>
      </w:pBdr>
      <w:spacing w:before="100" w:beforeAutospacing="1" w:after="100" w:afterAutospacing="1"/>
      <w:textAlignment w:val="center"/>
    </w:pPr>
    <w:rPr>
      <w:sz w:val="16"/>
      <w:szCs w:val="16"/>
    </w:rPr>
  </w:style>
  <w:style w:type="paragraph" w:customStyle="1" w:styleId="xl70">
    <w:name w:val="xl70"/>
    <w:basedOn w:val="a5"/>
    <w:qFormat/>
    <w:rsid w:val="00702903"/>
    <w:pPr>
      <w:pBdr>
        <w:left w:val="single" w:sz="8" w:space="0" w:color="auto"/>
        <w:bottom w:val="single" w:sz="8" w:space="0" w:color="auto"/>
        <w:right w:val="single" w:sz="8" w:space="0" w:color="auto"/>
      </w:pBdr>
      <w:spacing w:before="100" w:beforeAutospacing="1" w:after="100" w:afterAutospacing="1"/>
      <w:textAlignment w:val="center"/>
    </w:pPr>
    <w:rPr>
      <w:sz w:val="16"/>
      <w:szCs w:val="16"/>
    </w:rPr>
  </w:style>
  <w:style w:type="paragraph" w:customStyle="1" w:styleId="xl71">
    <w:name w:val="xl71"/>
    <w:basedOn w:val="a5"/>
    <w:qFormat/>
    <w:rsid w:val="00702903"/>
    <w:pPr>
      <w:pBdr>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72">
    <w:name w:val="xl72"/>
    <w:basedOn w:val="a5"/>
    <w:qFormat/>
    <w:rsid w:val="00702903"/>
    <w:pPr>
      <w:pBdr>
        <w:top w:val="single" w:sz="8" w:space="0" w:color="auto"/>
        <w:left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73">
    <w:name w:val="xl73"/>
    <w:basedOn w:val="a5"/>
    <w:qFormat/>
    <w:rsid w:val="00702903"/>
    <w:pPr>
      <w:pBdr>
        <w:left w:val="single" w:sz="8"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74">
    <w:name w:val="xl74"/>
    <w:basedOn w:val="a5"/>
    <w:qFormat/>
    <w:rsid w:val="00702903"/>
    <w:pPr>
      <w:pBdr>
        <w:top w:val="single" w:sz="8" w:space="0" w:color="auto"/>
        <w:left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75">
    <w:name w:val="xl75"/>
    <w:basedOn w:val="a5"/>
    <w:qFormat/>
    <w:rsid w:val="00702903"/>
    <w:pPr>
      <w:pBdr>
        <w:left w:val="single" w:sz="8"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76">
    <w:name w:val="xl76"/>
    <w:basedOn w:val="a5"/>
    <w:qFormat/>
    <w:rsid w:val="00702903"/>
    <w:pPr>
      <w:pBdr>
        <w:top w:val="single" w:sz="8" w:space="0" w:color="auto"/>
        <w:left w:val="single" w:sz="8" w:space="0" w:color="auto"/>
      </w:pBdr>
      <w:spacing w:before="100" w:beforeAutospacing="1" w:after="100" w:afterAutospacing="1"/>
      <w:jc w:val="center"/>
      <w:textAlignment w:val="center"/>
    </w:pPr>
    <w:rPr>
      <w:b/>
      <w:bCs/>
      <w:sz w:val="16"/>
      <w:szCs w:val="16"/>
    </w:rPr>
  </w:style>
  <w:style w:type="paragraph" w:customStyle="1" w:styleId="xl77">
    <w:name w:val="xl77"/>
    <w:basedOn w:val="a5"/>
    <w:qFormat/>
    <w:rsid w:val="00702903"/>
    <w:pPr>
      <w:pBdr>
        <w:top w:val="single" w:sz="8" w:space="0" w:color="auto"/>
      </w:pBdr>
      <w:spacing w:before="100" w:beforeAutospacing="1" w:after="100" w:afterAutospacing="1"/>
      <w:jc w:val="center"/>
      <w:textAlignment w:val="center"/>
    </w:pPr>
    <w:rPr>
      <w:b/>
      <w:bCs/>
      <w:sz w:val="16"/>
      <w:szCs w:val="16"/>
    </w:rPr>
  </w:style>
  <w:style w:type="paragraph" w:customStyle="1" w:styleId="xl78">
    <w:name w:val="xl78"/>
    <w:basedOn w:val="a5"/>
    <w:qFormat/>
    <w:rsid w:val="00702903"/>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79">
    <w:name w:val="xl79"/>
    <w:basedOn w:val="a5"/>
    <w:qFormat/>
    <w:rsid w:val="00702903"/>
    <w:pPr>
      <w:pBdr>
        <w:bottom w:val="single" w:sz="8" w:space="0" w:color="auto"/>
        <w:right w:val="single" w:sz="8" w:space="0" w:color="auto"/>
      </w:pBdr>
      <w:spacing w:before="100" w:beforeAutospacing="1" w:after="100" w:afterAutospacing="1"/>
      <w:textAlignment w:val="center"/>
    </w:pPr>
    <w:rPr>
      <w:b/>
      <w:bCs/>
      <w:sz w:val="16"/>
      <w:szCs w:val="16"/>
    </w:rPr>
  </w:style>
  <w:style w:type="paragraph" w:customStyle="1" w:styleId="xl80">
    <w:name w:val="xl80"/>
    <w:basedOn w:val="a5"/>
    <w:qFormat/>
    <w:rsid w:val="00702903"/>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1">
    <w:name w:val="xl81"/>
    <w:basedOn w:val="a5"/>
    <w:qFormat/>
    <w:rsid w:val="00702903"/>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2">
    <w:name w:val="xl82"/>
    <w:basedOn w:val="a5"/>
    <w:qFormat/>
    <w:rsid w:val="00702903"/>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5"/>
    <w:qFormat/>
    <w:rsid w:val="00702903"/>
    <w:pPr>
      <w:pBdr>
        <w:bottom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5"/>
    <w:qFormat/>
    <w:rsid w:val="00702903"/>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5"/>
    <w:qFormat/>
    <w:rsid w:val="00702903"/>
    <w:pPr>
      <w:pBdr>
        <w:left w:val="single" w:sz="8" w:space="0" w:color="auto"/>
        <w:bottom w:val="single" w:sz="8" w:space="0" w:color="000000"/>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5"/>
    <w:qFormat/>
    <w:rsid w:val="0070290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1f7">
    <w:name w:val="маркированый список 1"/>
    <w:basedOn w:val="a5"/>
    <w:qFormat/>
    <w:rsid w:val="00572D9E"/>
    <w:pPr>
      <w:spacing w:before="40" w:after="120"/>
      <w:jc w:val="both"/>
    </w:pPr>
    <w:rPr>
      <w:lang w:eastAsia="ar-SA"/>
    </w:rPr>
  </w:style>
  <w:style w:type="character" w:customStyle="1" w:styleId="docsmdescr1">
    <w:name w:val="docsmdescr1"/>
    <w:rsid w:val="00944A99"/>
    <w:rPr>
      <w:color w:val="636363"/>
      <w:sz w:val="18"/>
      <w:szCs w:val="18"/>
    </w:rPr>
  </w:style>
  <w:style w:type="paragraph" w:customStyle="1" w:styleId="afffff4">
    <w:name w:val="ПОДРАЗДЕЛ"/>
    <w:basedOn w:val="afffff3"/>
    <w:next w:val="a5"/>
    <w:qFormat/>
    <w:rsid w:val="004C3FD7"/>
    <w:pPr>
      <w:ind w:left="567" w:firstLine="0"/>
    </w:pPr>
    <w:rPr>
      <w:i/>
      <w:u w:val="single"/>
    </w:rPr>
  </w:style>
  <w:style w:type="character" w:customStyle="1" w:styleId="affff9">
    <w:name w:val="Текст таблицы Знак"/>
    <w:link w:val="affff8"/>
    <w:uiPriority w:val="99"/>
    <w:rsid w:val="00D63C4A"/>
    <w:rPr>
      <w:rFonts w:eastAsia="Calibri"/>
      <w:szCs w:val="22"/>
    </w:rPr>
  </w:style>
  <w:style w:type="paragraph" w:customStyle="1" w:styleId="afffff5">
    <w:name w:val="Шапка таблицы"/>
    <w:basedOn w:val="a5"/>
    <w:qFormat/>
    <w:rsid w:val="00D63C4A"/>
    <w:pPr>
      <w:spacing w:before="120" w:after="120" w:line="312" w:lineRule="auto"/>
      <w:jc w:val="center"/>
    </w:pPr>
    <w:rPr>
      <w:rFonts w:eastAsia="Calibri"/>
      <w:b/>
      <w:szCs w:val="22"/>
      <w:lang w:eastAsia="en-US"/>
    </w:rPr>
  </w:style>
  <w:style w:type="paragraph" w:customStyle="1" w:styleId="afffff6">
    <w:name w:val="Пункт"/>
    <w:basedOn w:val="a5"/>
    <w:qFormat/>
    <w:rsid w:val="00D63C4A"/>
    <w:pPr>
      <w:spacing w:line="360" w:lineRule="auto"/>
      <w:ind w:right="142"/>
      <w:jc w:val="both"/>
    </w:pPr>
    <w:rPr>
      <w:snapToGrid w:val="0"/>
      <w:szCs w:val="20"/>
    </w:rPr>
  </w:style>
  <w:style w:type="paragraph" w:customStyle="1" w:styleId="afffff7">
    <w:name w:val="Маркер"/>
    <w:basedOn w:val="afffff8"/>
    <w:qFormat/>
    <w:rsid w:val="00D63C4A"/>
    <w:pPr>
      <w:tabs>
        <w:tab w:val="num" w:pos="360"/>
      </w:tabs>
    </w:pPr>
  </w:style>
  <w:style w:type="paragraph" w:customStyle="1" w:styleId="afffff8">
    <w:name w:val="обычный абзац"/>
    <w:basedOn w:val="a5"/>
    <w:qFormat/>
    <w:rsid w:val="00D63C4A"/>
    <w:pPr>
      <w:spacing w:line="360" w:lineRule="auto"/>
      <w:ind w:left="142" w:right="142" w:firstLine="709"/>
      <w:jc w:val="both"/>
    </w:pPr>
    <w:rPr>
      <w:snapToGrid w:val="0"/>
      <w:szCs w:val="20"/>
    </w:rPr>
  </w:style>
  <w:style w:type="paragraph" w:customStyle="1" w:styleId="1110">
    <w:name w:val="Пункт111"/>
    <w:basedOn w:val="afffff6"/>
    <w:qFormat/>
    <w:rsid w:val="00D63C4A"/>
  </w:style>
  <w:style w:type="paragraph" w:customStyle="1" w:styleId="afffff9">
    <w:name w:val="С"/>
    <w:basedOn w:val="a5"/>
    <w:next w:val="afffffa"/>
    <w:autoRedefine/>
    <w:qFormat/>
    <w:rsid w:val="00D63C4A"/>
    <w:pPr>
      <w:tabs>
        <w:tab w:val="center" w:pos="624"/>
        <w:tab w:val="left" w:pos="1219"/>
        <w:tab w:val="left" w:pos="2211"/>
        <w:tab w:val="left" w:pos="6804"/>
        <w:tab w:val="left" w:pos="11624"/>
        <w:tab w:val="center" w:pos="14402"/>
        <w:tab w:val="center" w:pos="15139"/>
      </w:tabs>
      <w:spacing w:line="482" w:lineRule="exact"/>
      <w:ind w:left="448" w:right="-765"/>
    </w:pPr>
    <w:rPr>
      <w:sz w:val="28"/>
      <w:szCs w:val="20"/>
    </w:rPr>
  </w:style>
  <w:style w:type="paragraph" w:customStyle="1" w:styleId="afffffa">
    <w:name w:val="Ш"/>
    <w:basedOn w:val="afffff9"/>
    <w:next w:val="afffffb"/>
    <w:qFormat/>
    <w:rsid w:val="00D63C4A"/>
    <w:pPr>
      <w:tabs>
        <w:tab w:val="clear" w:pos="2211"/>
        <w:tab w:val="clear" w:pos="6804"/>
        <w:tab w:val="left" w:pos="3856"/>
        <w:tab w:val="center" w:pos="5670"/>
        <w:tab w:val="center" w:pos="8051"/>
      </w:tabs>
    </w:pPr>
  </w:style>
  <w:style w:type="paragraph" w:customStyle="1" w:styleId="afffffb">
    <w:name w:val="И"/>
    <w:basedOn w:val="afffff9"/>
    <w:next w:val="afffff9"/>
    <w:qFormat/>
    <w:rsid w:val="00D63C4A"/>
    <w:pPr>
      <w:tabs>
        <w:tab w:val="clear" w:pos="1219"/>
        <w:tab w:val="clear" w:pos="2211"/>
        <w:tab w:val="clear" w:pos="6804"/>
        <w:tab w:val="clear" w:pos="11624"/>
        <w:tab w:val="clear" w:pos="15139"/>
        <w:tab w:val="center" w:pos="1871"/>
        <w:tab w:val="center" w:pos="3175"/>
        <w:tab w:val="center" w:pos="9129"/>
      </w:tabs>
    </w:pPr>
  </w:style>
  <w:style w:type="paragraph" w:customStyle="1" w:styleId="FR1">
    <w:name w:val="FR1"/>
    <w:qFormat/>
    <w:rsid w:val="00D63C4A"/>
    <w:pPr>
      <w:widowControl w:val="0"/>
      <w:spacing w:before="100"/>
      <w:ind w:left="720"/>
    </w:pPr>
    <w:rPr>
      <w:rFonts w:ascii="Arial" w:eastAsia="Times New Roman" w:hAnsi="Arial"/>
      <w:snapToGrid w:val="0"/>
      <w:sz w:val="22"/>
      <w:lang w:val="en-GB"/>
    </w:rPr>
  </w:style>
  <w:style w:type="paragraph" w:customStyle="1" w:styleId="FR3">
    <w:name w:val="FR3"/>
    <w:qFormat/>
    <w:rsid w:val="00D63C4A"/>
    <w:pPr>
      <w:widowControl w:val="0"/>
      <w:ind w:left="1160"/>
    </w:pPr>
    <w:rPr>
      <w:rFonts w:ascii="Arial" w:eastAsia="Times New Roman" w:hAnsi="Arial"/>
      <w:snapToGrid w:val="0"/>
      <w:sz w:val="16"/>
      <w:lang w:val="en-GB"/>
    </w:rPr>
  </w:style>
  <w:style w:type="paragraph" w:styleId="2d">
    <w:name w:val="List Bullet 2"/>
    <w:basedOn w:val="a5"/>
    <w:autoRedefine/>
    <w:rsid w:val="00D63C4A"/>
    <w:pPr>
      <w:tabs>
        <w:tab w:val="num" w:pos="360"/>
      </w:tabs>
    </w:pPr>
    <w:rPr>
      <w:sz w:val="20"/>
      <w:szCs w:val="20"/>
    </w:rPr>
  </w:style>
  <w:style w:type="paragraph" w:styleId="3c">
    <w:name w:val="List Bullet 3"/>
    <w:basedOn w:val="a5"/>
    <w:autoRedefine/>
    <w:rsid w:val="00D63C4A"/>
    <w:pPr>
      <w:tabs>
        <w:tab w:val="num" w:pos="360"/>
      </w:tabs>
    </w:pPr>
    <w:rPr>
      <w:sz w:val="20"/>
      <w:szCs w:val="20"/>
    </w:rPr>
  </w:style>
  <w:style w:type="paragraph" w:styleId="4">
    <w:name w:val="List Bullet 4"/>
    <w:basedOn w:val="a5"/>
    <w:autoRedefine/>
    <w:rsid w:val="00D63C4A"/>
    <w:pPr>
      <w:numPr>
        <w:numId w:val="54"/>
      </w:numPr>
    </w:pPr>
    <w:rPr>
      <w:sz w:val="20"/>
      <w:szCs w:val="20"/>
    </w:rPr>
  </w:style>
  <w:style w:type="paragraph" w:styleId="5">
    <w:name w:val="List Bullet 5"/>
    <w:basedOn w:val="a5"/>
    <w:autoRedefine/>
    <w:rsid w:val="00D63C4A"/>
    <w:pPr>
      <w:numPr>
        <w:numId w:val="55"/>
      </w:numPr>
    </w:pPr>
    <w:rPr>
      <w:sz w:val="20"/>
      <w:szCs w:val="20"/>
    </w:rPr>
  </w:style>
  <w:style w:type="paragraph" w:customStyle="1" w:styleId="3d">
    <w:name w:val="çàãîëîâîê 3"/>
    <w:basedOn w:val="a5"/>
    <w:next w:val="a5"/>
    <w:qFormat/>
    <w:rsid w:val="00D63C4A"/>
    <w:pPr>
      <w:keepNext/>
      <w:autoSpaceDE w:val="0"/>
      <w:autoSpaceDN w:val="0"/>
      <w:adjustRightInd w:val="0"/>
      <w:jc w:val="center"/>
    </w:pPr>
  </w:style>
  <w:style w:type="paragraph" w:styleId="1f8">
    <w:name w:val="index 1"/>
    <w:basedOn w:val="a5"/>
    <w:next w:val="a5"/>
    <w:autoRedefine/>
    <w:rsid w:val="00D63C4A"/>
    <w:pPr>
      <w:ind w:left="240" w:hanging="240"/>
    </w:pPr>
  </w:style>
  <w:style w:type="paragraph" w:styleId="afffffc">
    <w:name w:val="index heading"/>
    <w:basedOn w:val="a5"/>
    <w:next w:val="1f8"/>
    <w:rsid w:val="00D63C4A"/>
    <w:pPr>
      <w:spacing w:line="360" w:lineRule="auto"/>
      <w:ind w:firstLine="720"/>
    </w:pPr>
    <w:rPr>
      <w:szCs w:val="20"/>
    </w:rPr>
  </w:style>
  <w:style w:type="paragraph" w:styleId="a">
    <w:name w:val="List Number"/>
    <w:basedOn w:val="a5"/>
    <w:rsid w:val="00D63C4A"/>
    <w:pPr>
      <w:widowControl w:val="0"/>
      <w:numPr>
        <w:numId w:val="56"/>
      </w:numPr>
      <w:adjustRightInd w:val="0"/>
      <w:spacing w:line="360" w:lineRule="atLeast"/>
      <w:jc w:val="both"/>
      <w:textAlignment w:val="baseline"/>
    </w:pPr>
  </w:style>
  <w:style w:type="paragraph" w:styleId="3">
    <w:name w:val="List Number 3"/>
    <w:basedOn w:val="a5"/>
    <w:rsid w:val="00D63C4A"/>
    <w:pPr>
      <w:numPr>
        <w:numId w:val="57"/>
      </w:numPr>
    </w:pPr>
  </w:style>
  <w:style w:type="paragraph" w:customStyle="1" w:styleId="1f9">
    <w:name w:val="заголовок 1"/>
    <w:basedOn w:val="a5"/>
    <w:next w:val="a5"/>
    <w:qFormat/>
    <w:rsid w:val="00D63C4A"/>
    <w:pPr>
      <w:keepNext/>
      <w:spacing w:after="240"/>
      <w:ind w:firstLine="709"/>
    </w:pPr>
    <w:rPr>
      <w:b/>
      <w:sz w:val="28"/>
      <w:szCs w:val="20"/>
    </w:rPr>
  </w:style>
  <w:style w:type="paragraph" w:customStyle="1" w:styleId="afffffd">
    <w:name w:val="ОбычныйТекст"/>
    <w:basedOn w:val="a5"/>
    <w:qFormat/>
    <w:rsid w:val="00D63C4A"/>
    <w:pPr>
      <w:spacing w:before="240"/>
    </w:pPr>
    <w:rPr>
      <w:rFonts w:ascii="Arial" w:hAnsi="Arial"/>
      <w:sz w:val="20"/>
      <w:szCs w:val="20"/>
    </w:rPr>
  </w:style>
  <w:style w:type="paragraph" w:customStyle="1" w:styleId="afffffe">
    <w:name w:val="Бонитет текст"/>
    <w:basedOn w:val="af7"/>
    <w:autoRedefine/>
    <w:qFormat/>
    <w:rsid w:val="00D63C4A"/>
    <w:pPr>
      <w:spacing w:before="120" w:after="120" w:line="240" w:lineRule="auto"/>
    </w:pPr>
    <w:rPr>
      <w:spacing w:val="3"/>
      <w:sz w:val="24"/>
    </w:rPr>
  </w:style>
  <w:style w:type="character" w:customStyle="1" w:styleId="tbb121">
    <w:name w:val="tbb121"/>
    <w:rsid w:val="00D63C4A"/>
    <w:rPr>
      <w:rFonts w:ascii="Arial" w:hAnsi="Arial" w:cs="Arial" w:hint="default"/>
      <w:b/>
      <w:bCs/>
      <w:dstrike w:val="0"/>
      <w:color w:val="000000"/>
      <w:sz w:val="24"/>
      <w:szCs w:val="24"/>
      <w:u w:val="none"/>
      <w:effect w:val="none"/>
    </w:rPr>
  </w:style>
  <w:style w:type="paragraph" w:customStyle="1" w:styleId="affffff">
    <w:name w:val="Îáû÷íûé"/>
    <w:qFormat/>
    <w:rsid w:val="00D63C4A"/>
    <w:rPr>
      <w:rFonts w:eastAsia="Times New Roman"/>
      <w:sz w:val="24"/>
      <w:lang w:val="en-GB"/>
    </w:rPr>
  </w:style>
  <w:style w:type="paragraph" w:customStyle="1" w:styleId="Iauiue">
    <w:name w:val="Iau?iue"/>
    <w:qFormat/>
    <w:rsid w:val="00D63C4A"/>
    <w:rPr>
      <w:rFonts w:eastAsia="Times New Roman"/>
      <w:sz w:val="24"/>
      <w:lang w:val="en-GB"/>
    </w:rPr>
  </w:style>
  <w:style w:type="paragraph" w:customStyle="1" w:styleId="312pt">
    <w:name w:val="Стиль Заголовок 3 + 12 pt не полужирный"/>
    <w:basedOn w:val="a5"/>
    <w:qFormat/>
    <w:rsid w:val="00D63C4A"/>
    <w:pPr>
      <w:numPr>
        <w:numId w:val="58"/>
      </w:numPr>
    </w:pPr>
    <w:rPr>
      <w:rFonts w:ascii="Arial" w:hAnsi="Arial" w:cs="Arial"/>
      <w:sz w:val="20"/>
      <w:szCs w:val="20"/>
    </w:rPr>
  </w:style>
  <w:style w:type="paragraph" w:customStyle="1" w:styleId="TimesNewRoman">
    <w:name w:val="Times New Roman"/>
    <w:aliases w:val="12 пт,Первая строка...,не курсив,не полужирный"/>
    <w:basedOn w:val="2"/>
    <w:qFormat/>
    <w:rsid w:val="00D63C4A"/>
    <w:pPr>
      <w:spacing w:before="240" w:after="60"/>
      <w:ind w:firstLine="720"/>
    </w:pPr>
    <w:rPr>
      <w:bCs/>
      <w:snapToGrid w:val="0"/>
      <w:sz w:val="24"/>
      <w:szCs w:val="24"/>
    </w:rPr>
  </w:style>
  <w:style w:type="paragraph" w:customStyle="1" w:styleId="Tab-Text">
    <w:name w:val="Tab-Text Знак Знак Знак Знак Знак"/>
    <w:basedOn w:val="a5"/>
    <w:link w:val="Tab-Text0"/>
    <w:qFormat/>
    <w:rsid w:val="00D63C4A"/>
    <w:pPr>
      <w:spacing w:before="20" w:after="20"/>
      <w:ind w:left="28" w:right="28"/>
    </w:pPr>
    <w:rPr>
      <w:rFonts w:ascii="Arial Narrow" w:hAnsi="Arial Narrow"/>
      <w:snapToGrid w:val="0"/>
      <w:szCs w:val="20"/>
      <w:lang w:eastAsia="de-DE"/>
    </w:rPr>
  </w:style>
  <w:style w:type="character" w:customStyle="1" w:styleId="Tab-Text0">
    <w:name w:val="Tab-Text Знак Знак Знак Знак Знак Знак"/>
    <w:link w:val="Tab-Text"/>
    <w:rsid w:val="00D63C4A"/>
    <w:rPr>
      <w:rFonts w:ascii="Arial Narrow" w:eastAsia="Times New Roman" w:hAnsi="Arial Narrow"/>
      <w:snapToGrid w:val="0"/>
      <w:szCs w:val="20"/>
      <w:lang w:eastAsia="de-DE"/>
    </w:rPr>
  </w:style>
  <w:style w:type="paragraph" w:customStyle="1" w:styleId="Tab-Text1">
    <w:name w:val="Tab-Text Знак Знак Знак"/>
    <w:basedOn w:val="a5"/>
    <w:qFormat/>
    <w:rsid w:val="00D63C4A"/>
    <w:pPr>
      <w:spacing w:before="20" w:after="20"/>
      <w:ind w:left="28" w:right="28"/>
    </w:pPr>
    <w:rPr>
      <w:rFonts w:ascii="Arial Narrow" w:hAnsi="Arial Narrow"/>
      <w:snapToGrid w:val="0"/>
      <w:sz w:val="20"/>
      <w:szCs w:val="20"/>
      <w:lang w:eastAsia="de-DE"/>
    </w:rPr>
  </w:style>
  <w:style w:type="paragraph" w:customStyle="1" w:styleId="Bullet-">
    <w:name w:val="Bullet -"/>
    <w:basedOn w:val="a5"/>
    <w:autoRedefine/>
    <w:qFormat/>
    <w:rsid w:val="00D63C4A"/>
    <w:pPr>
      <w:numPr>
        <w:numId w:val="59"/>
      </w:numPr>
      <w:spacing w:line="300" w:lineRule="auto"/>
      <w:ind w:right="-1"/>
      <w:jc w:val="both"/>
    </w:pPr>
    <w:rPr>
      <w:rFonts w:ascii="Arial Narrow" w:hAnsi="Arial Narrow"/>
    </w:rPr>
  </w:style>
  <w:style w:type="paragraph" w:styleId="affffff0">
    <w:name w:val="Normal Indent"/>
    <w:basedOn w:val="a5"/>
    <w:rsid w:val="00D63C4A"/>
    <w:pPr>
      <w:spacing w:line="300" w:lineRule="auto"/>
      <w:ind w:left="708" w:firstLine="284"/>
      <w:jc w:val="both"/>
    </w:pPr>
    <w:rPr>
      <w:rFonts w:ascii="Arial Narrow" w:hAnsi="Arial Narrow"/>
      <w:snapToGrid w:val="0"/>
      <w:szCs w:val="20"/>
      <w:lang w:eastAsia="de-DE"/>
    </w:rPr>
  </w:style>
  <w:style w:type="paragraph" w:customStyle="1" w:styleId="Tab-berschrift">
    <w:name w:val="Tab-Überschrift"/>
    <w:basedOn w:val="Tab-Text1"/>
    <w:qFormat/>
    <w:rsid w:val="00D63C4A"/>
    <w:pPr>
      <w:keepNext/>
      <w:jc w:val="center"/>
    </w:pPr>
    <w:rPr>
      <w:b/>
      <w:sz w:val="22"/>
    </w:rPr>
  </w:style>
  <w:style w:type="paragraph" w:customStyle="1" w:styleId="affffff1">
    <w:name w:val="Термин"/>
    <w:basedOn w:val="af1"/>
    <w:qFormat/>
    <w:rsid w:val="00D63C4A"/>
    <w:pPr>
      <w:ind w:left="567"/>
      <w:jc w:val="both"/>
    </w:pPr>
    <w:rPr>
      <w:rFonts w:ascii="Times New Roman" w:eastAsia="Times New Roman" w:hAnsi="Times New Roman" w:cs="Courier New"/>
      <w:spacing w:val="-6"/>
      <w:sz w:val="26"/>
      <w:szCs w:val="20"/>
      <w:lang w:eastAsia="ru-RU"/>
    </w:rPr>
  </w:style>
  <w:style w:type="character" w:customStyle="1" w:styleId="affffff2">
    <w:name w:val="䅐Љ"/>
    <w:semiHidden/>
    <w:rsid w:val="00D63C4A"/>
    <w:rPr>
      <w:rFonts w:ascii="Arial" w:hAnsi="Arial" w:cs="Arial"/>
      <w:color w:val="auto"/>
      <w:sz w:val="20"/>
      <w:szCs w:val="20"/>
    </w:rPr>
  </w:style>
  <w:style w:type="paragraph" w:customStyle="1" w:styleId="affffff3">
    <w:name w:val="ТаблицаШаблона"/>
    <w:basedOn w:val="a5"/>
    <w:next w:val="a5"/>
    <w:qFormat/>
    <w:rsid w:val="00D63C4A"/>
    <w:pPr>
      <w:jc w:val="center"/>
    </w:pPr>
    <w:rPr>
      <w:rFonts w:ascii="Tahoma" w:hAnsi="Tahoma"/>
      <w:b/>
      <w:color w:val="FFFFFF"/>
      <w:sz w:val="18"/>
    </w:rPr>
  </w:style>
  <w:style w:type="paragraph" w:customStyle="1" w:styleId="-0193">
    <w:name w:val="Стиль ТаблицаШаблона + Справа:  -019 см Перед:  3 пт Междустр.ин..."/>
    <w:basedOn w:val="affffff3"/>
    <w:qFormat/>
    <w:rsid w:val="00D63C4A"/>
    <w:pPr>
      <w:spacing w:before="60" w:line="360" w:lineRule="auto"/>
    </w:pPr>
    <w:rPr>
      <w:bCs/>
      <w:szCs w:val="20"/>
    </w:rPr>
  </w:style>
  <w:style w:type="paragraph" w:customStyle="1" w:styleId="312">
    <w:name w:val="Стиль СтильШаблона + По ширине Перед:  3 пт Междустр.интервал:  п...1"/>
    <w:basedOn w:val="a5"/>
    <w:qFormat/>
    <w:rsid w:val="00D63C4A"/>
    <w:pPr>
      <w:spacing w:before="60" w:line="360" w:lineRule="auto"/>
      <w:ind w:firstLine="113"/>
      <w:jc w:val="both"/>
    </w:pPr>
    <w:rPr>
      <w:rFonts w:ascii="Tahoma" w:hAnsi="Tahoma"/>
      <w:sz w:val="18"/>
      <w:szCs w:val="20"/>
    </w:rPr>
  </w:style>
  <w:style w:type="paragraph" w:customStyle="1" w:styleId="affffff4">
    <w:name w:val="Наименование документа"/>
    <w:basedOn w:val="a5"/>
    <w:autoRedefine/>
    <w:qFormat/>
    <w:rsid w:val="00D63C4A"/>
    <w:pPr>
      <w:spacing w:before="240" w:after="240" w:line="200" w:lineRule="atLeast"/>
      <w:jc w:val="center"/>
    </w:pPr>
    <w:rPr>
      <w:rFonts w:ascii="Tahoma" w:hAnsi="Tahoma" w:cs="Tahoma"/>
      <w:b/>
      <w:caps/>
      <w:kern w:val="32"/>
    </w:rPr>
  </w:style>
  <w:style w:type="paragraph" w:customStyle="1" w:styleId="3e">
    <w:name w:val="Заголовок 3 не нумерованный"/>
    <w:next w:val="a5"/>
    <w:qFormat/>
    <w:rsid w:val="00D63C4A"/>
    <w:pPr>
      <w:keepNext/>
      <w:tabs>
        <w:tab w:val="left" w:pos="720"/>
      </w:tabs>
      <w:spacing w:before="120" w:after="60"/>
      <w:ind w:left="720"/>
    </w:pPr>
    <w:rPr>
      <w:rFonts w:ascii="Arial" w:eastAsia="Times New Roman" w:hAnsi="Arial" w:cs="Arial"/>
      <w:b/>
      <w:bCs/>
      <w:sz w:val="22"/>
      <w:szCs w:val="22"/>
      <w:lang w:val="en-GB"/>
    </w:rPr>
  </w:style>
  <w:style w:type="numbering" w:customStyle="1" w:styleId="-">
    <w:name w:val="Стиль нумерованный - Док"/>
    <w:basedOn w:val="a8"/>
    <w:rsid w:val="00D63C4A"/>
    <w:pPr>
      <w:numPr>
        <w:numId w:val="60"/>
      </w:numPr>
    </w:pPr>
  </w:style>
  <w:style w:type="paragraph" w:customStyle="1" w:styleId="-0">
    <w:name w:val="Стиль нумерованный - Отчет"/>
    <w:basedOn w:val="a5"/>
    <w:qFormat/>
    <w:rsid w:val="00D63C4A"/>
    <w:pPr>
      <w:numPr>
        <w:numId w:val="61"/>
      </w:numPr>
      <w:tabs>
        <w:tab w:val="left" w:pos="720"/>
      </w:tabs>
      <w:spacing w:after="60"/>
      <w:jc w:val="both"/>
    </w:pPr>
    <w:rPr>
      <w:rFonts w:ascii="Arial" w:hAnsi="Arial"/>
      <w:sz w:val="20"/>
    </w:rPr>
  </w:style>
  <w:style w:type="character" w:customStyle="1" w:styleId="afff7">
    <w:name w:val="Название объекта Знак"/>
    <w:aliases w:val="## Знак,Название1 Знак,Название11 Знак,Название2 Знак"/>
    <w:link w:val="afff6"/>
    <w:rsid w:val="00D63C4A"/>
    <w:rPr>
      <w:rFonts w:eastAsia="Times New Roman"/>
      <w:b/>
      <w:bCs/>
      <w:sz w:val="20"/>
      <w:szCs w:val="20"/>
      <w:lang w:eastAsia="ru-RU"/>
    </w:rPr>
  </w:style>
  <w:style w:type="paragraph" w:customStyle="1" w:styleId="affffff5">
    <w:name w:val="Содержание"/>
    <w:next w:val="a5"/>
    <w:qFormat/>
    <w:rsid w:val="00D63C4A"/>
    <w:pPr>
      <w:spacing w:after="120"/>
    </w:pPr>
    <w:rPr>
      <w:rFonts w:ascii="Arial" w:eastAsia="Times New Roman" w:hAnsi="Arial" w:cs="Arial"/>
      <w:b/>
      <w:bCs/>
      <w:kern w:val="32"/>
      <w:sz w:val="28"/>
      <w:szCs w:val="22"/>
      <w:lang w:val="en-GB"/>
    </w:rPr>
  </w:style>
  <w:style w:type="paragraph" w:customStyle="1" w:styleId="1fa">
    <w:name w:val="Знак Знак Знак1"/>
    <w:basedOn w:val="a5"/>
    <w:qFormat/>
    <w:rsid w:val="00D63C4A"/>
    <w:pPr>
      <w:tabs>
        <w:tab w:val="num" w:pos="360"/>
      </w:tabs>
      <w:spacing w:before="120" w:after="160" w:line="240" w:lineRule="exact"/>
      <w:ind w:firstLine="709"/>
      <w:jc w:val="both"/>
    </w:pPr>
    <w:rPr>
      <w:rFonts w:ascii="Verdana" w:hAnsi="Verdana" w:cs="Verdana"/>
      <w:sz w:val="20"/>
      <w:szCs w:val="20"/>
      <w:lang w:eastAsia="en-US"/>
    </w:rPr>
  </w:style>
  <w:style w:type="paragraph" w:customStyle="1" w:styleId="affffff6">
    <w:name w:val="Заголовок таблицы"/>
    <w:basedOn w:val="a5"/>
    <w:link w:val="affffff7"/>
    <w:qFormat/>
    <w:rsid w:val="00D63C4A"/>
    <w:pPr>
      <w:keepLines/>
      <w:spacing w:before="120" w:after="120"/>
      <w:jc w:val="center"/>
    </w:pPr>
    <w:rPr>
      <w:rFonts w:ascii="Arial" w:hAnsi="Arial"/>
      <w:b/>
      <w:sz w:val="18"/>
    </w:rPr>
  </w:style>
  <w:style w:type="character" w:customStyle="1" w:styleId="affffff7">
    <w:name w:val="Заголовок таблицы Знак"/>
    <w:link w:val="affffff6"/>
    <w:rsid w:val="00D63C4A"/>
    <w:rPr>
      <w:rFonts w:ascii="Arial" w:eastAsia="Times New Roman" w:hAnsi="Arial"/>
      <w:b/>
      <w:sz w:val="18"/>
      <w:lang w:eastAsia="ru-RU"/>
    </w:rPr>
  </w:style>
  <w:style w:type="character" w:styleId="HTML">
    <w:name w:val="HTML Sample"/>
    <w:rsid w:val="00D63C4A"/>
    <w:rPr>
      <w:rFonts w:ascii="Tahoma" w:hAnsi="Tahoma" w:cs="Courier New"/>
      <w:sz w:val="18"/>
    </w:rPr>
  </w:style>
  <w:style w:type="paragraph" w:customStyle="1" w:styleId="msolistparagraph0">
    <w:name w:val="msolistparagraph"/>
    <w:basedOn w:val="a5"/>
    <w:qFormat/>
    <w:rsid w:val="00D63C4A"/>
    <w:pPr>
      <w:spacing w:before="100" w:beforeAutospacing="1" w:after="100" w:afterAutospacing="1"/>
    </w:pPr>
  </w:style>
  <w:style w:type="paragraph" w:customStyle="1" w:styleId="affffff8">
    <w:name w:val="Знак Знак Знак Знак Знак Знак Знак"/>
    <w:basedOn w:val="a5"/>
    <w:qFormat/>
    <w:rsid w:val="00D63C4A"/>
    <w:pPr>
      <w:tabs>
        <w:tab w:val="num" w:pos="360"/>
      </w:tabs>
      <w:spacing w:after="160" w:line="240" w:lineRule="exact"/>
    </w:pPr>
    <w:rPr>
      <w:rFonts w:ascii="Verdana" w:hAnsi="Verdana" w:cs="Verdana"/>
      <w:sz w:val="20"/>
      <w:szCs w:val="20"/>
      <w:lang w:eastAsia="en-US"/>
    </w:rPr>
  </w:style>
  <w:style w:type="paragraph" w:customStyle="1" w:styleId="1130">
    <w:name w:val="Стиль Заголовок 1 + 13 пт не курсив По ширине"/>
    <w:basedOn w:val="10"/>
    <w:qFormat/>
    <w:rsid w:val="00D63C4A"/>
    <w:pPr>
      <w:spacing w:after="240" w:line="240" w:lineRule="auto"/>
      <w:ind w:firstLine="709"/>
    </w:pPr>
    <w:rPr>
      <w:b/>
      <w:bCs/>
      <w:sz w:val="26"/>
    </w:rPr>
  </w:style>
  <w:style w:type="paragraph" w:customStyle="1" w:styleId="E">
    <w:name w:val="E_основной"/>
    <w:basedOn w:val="a5"/>
    <w:qFormat/>
    <w:rsid w:val="00D63C4A"/>
    <w:pPr>
      <w:spacing w:after="40"/>
      <w:ind w:firstLine="567"/>
      <w:jc w:val="both"/>
    </w:pPr>
    <w:rPr>
      <w:color w:val="000000"/>
      <w:lang w:eastAsia="en-US"/>
    </w:rPr>
  </w:style>
  <w:style w:type="paragraph" w:customStyle="1" w:styleId="QuestionW">
    <w:name w:val="QuestionW"/>
    <w:basedOn w:val="a5"/>
    <w:qFormat/>
    <w:rsid w:val="00D63C4A"/>
    <w:pPr>
      <w:numPr>
        <w:numId w:val="62"/>
      </w:numPr>
    </w:pPr>
    <w:rPr>
      <w:rFonts w:ascii="Arial" w:hAnsi="Arial"/>
      <w:sz w:val="20"/>
      <w:szCs w:val="20"/>
    </w:rPr>
  </w:style>
  <w:style w:type="character" w:customStyle="1" w:styleId="74">
    <w:name w:val="Основной текст (7)_"/>
    <w:link w:val="75"/>
    <w:locked/>
    <w:rsid w:val="00D63C4A"/>
    <w:rPr>
      <w:rFonts w:ascii="Arial" w:hAnsi="Arial"/>
      <w:sz w:val="18"/>
      <w:szCs w:val="18"/>
      <w:shd w:val="clear" w:color="auto" w:fill="FFFFFF"/>
    </w:rPr>
  </w:style>
  <w:style w:type="character" w:customStyle="1" w:styleId="83">
    <w:name w:val="Основной текст (8)_"/>
    <w:link w:val="84"/>
    <w:locked/>
    <w:rsid w:val="00D63C4A"/>
    <w:rPr>
      <w:rFonts w:ascii="Arial" w:hAnsi="Arial"/>
      <w:sz w:val="19"/>
      <w:szCs w:val="19"/>
      <w:shd w:val="clear" w:color="auto" w:fill="FFFFFF"/>
    </w:rPr>
  </w:style>
  <w:style w:type="paragraph" w:customStyle="1" w:styleId="75">
    <w:name w:val="Основной текст (7)"/>
    <w:basedOn w:val="a5"/>
    <w:link w:val="74"/>
    <w:qFormat/>
    <w:rsid w:val="00D63C4A"/>
    <w:pPr>
      <w:shd w:val="clear" w:color="auto" w:fill="FFFFFF"/>
      <w:spacing w:line="240" w:lineRule="atLeast"/>
      <w:jc w:val="both"/>
    </w:pPr>
    <w:rPr>
      <w:rFonts w:ascii="Arial" w:eastAsia="Calibri" w:hAnsi="Arial"/>
      <w:sz w:val="18"/>
      <w:szCs w:val="18"/>
      <w:shd w:val="clear" w:color="auto" w:fill="FFFFFF"/>
      <w:lang w:eastAsia="en-US"/>
    </w:rPr>
  </w:style>
  <w:style w:type="paragraph" w:customStyle="1" w:styleId="84">
    <w:name w:val="Основной текст (8)"/>
    <w:basedOn w:val="a5"/>
    <w:link w:val="83"/>
    <w:qFormat/>
    <w:rsid w:val="00D63C4A"/>
    <w:pPr>
      <w:shd w:val="clear" w:color="auto" w:fill="FFFFFF"/>
      <w:spacing w:line="240" w:lineRule="atLeast"/>
    </w:pPr>
    <w:rPr>
      <w:rFonts w:ascii="Arial" w:eastAsia="Calibri" w:hAnsi="Arial"/>
      <w:sz w:val="19"/>
      <w:szCs w:val="19"/>
      <w:shd w:val="clear" w:color="auto" w:fill="FFFFFF"/>
      <w:lang w:eastAsia="en-US"/>
    </w:rPr>
  </w:style>
  <w:style w:type="character" w:customStyle="1" w:styleId="webofficeattributevalue">
    <w:name w:val="webofficeattributevalue"/>
    <w:basedOn w:val="a6"/>
    <w:rsid w:val="00D63C4A"/>
  </w:style>
  <w:style w:type="character" w:customStyle="1" w:styleId="85pt">
    <w:name w:val="Основной текст + 8;5 pt;Полужирный"/>
    <w:rsid w:val="00D63C4A"/>
    <w:rPr>
      <w:rFonts w:ascii="Times New Roman" w:eastAsia="Times New Roman" w:hAnsi="Times New Roman" w:cs="Times New Roman"/>
      <w:b/>
      <w:bCs/>
      <w:color w:val="000000"/>
      <w:spacing w:val="0"/>
      <w:w w:val="100"/>
      <w:position w:val="0"/>
      <w:sz w:val="17"/>
      <w:szCs w:val="17"/>
      <w:u w:val="none"/>
      <w:lang w:val="en-GB"/>
    </w:rPr>
  </w:style>
  <w:style w:type="character" w:customStyle="1" w:styleId="75pt">
    <w:name w:val="Основной текст + 7;5 pt"/>
    <w:rsid w:val="00D63C4A"/>
    <w:rPr>
      <w:rFonts w:ascii="Times New Roman" w:eastAsia="Times New Roman" w:hAnsi="Times New Roman" w:cs="Times New Roman"/>
      <w:color w:val="000000"/>
      <w:spacing w:val="0"/>
      <w:w w:val="100"/>
      <w:position w:val="0"/>
      <w:sz w:val="15"/>
      <w:szCs w:val="15"/>
      <w:u w:val="none"/>
      <w:lang w:val="en-GB"/>
    </w:rPr>
  </w:style>
  <w:style w:type="character" w:customStyle="1" w:styleId="1fb">
    <w:name w:val="Заголовок №1_"/>
    <w:link w:val="1fc"/>
    <w:rsid w:val="00D63C4A"/>
    <w:rPr>
      <w:b/>
      <w:bCs/>
      <w:sz w:val="23"/>
      <w:szCs w:val="23"/>
      <w:shd w:val="clear" w:color="auto" w:fill="FFFFFF"/>
    </w:rPr>
  </w:style>
  <w:style w:type="character" w:customStyle="1" w:styleId="9pt">
    <w:name w:val="Основной текст + 9 pt;Полужирный"/>
    <w:rsid w:val="00D63C4A"/>
    <w:rPr>
      <w:rFonts w:ascii="Times New Roman" w:eastAsia="Times New Roman" w:hAnsi="Times New Roman" w:cs="Times New Roman"/>
      <w:b/>
      <w:bCs/>
      <w:color w:val="000000"/>
      <w:spacing w:val="0"/>
      <w:w w:val="100"/>
      <w:position w:val="0"/>
      <w:sz w:val="18"/>
      <w:szCs w:val="18"/>
      <w:u w:val="none"/>
      <w:shd w:val="clear" w:color="auto" w:fill="FFFFFF"/>
      <w:lang w:val="en-GB"/>
    </w:rPr>
  </w:style>
  <w:style w:type="character" w:customStyle="1" w:styleId="9pt0">
    <w:name w:val="Основной текст + 9 pt"/>
    <w:rsid w:val="00D63C4A"/>
    <w:rPr>
      <w:rFonts w:ascii="Times New Roman" w:eastAsia="Times New Roman" w:hAnsi="Times New Roman" w:cs="Times New Roman"/>
      <w:color w:val="000000"/>
      <w:spacing w:val="0"/>
      <w:w w:val="100"/>
      <w:position w:val="0"/>
      <w:sz w:val="18"/>
      <w:szCs w:val="18"/>
      <w:u w:val="none"/>
      <w:shd w:val="clear" w:color="auto" w:fill="FFFFFF"/>
      <w:lang w:val="en-GB"/>
    </w:rPr>
  </w:style>
  <w:style w:type="paragraph" w:customStyle="1" w:styleId="1fc">
    <w:name w:val="Заголовок №1"/>
    <w:basedOn w:val="a5"/>
    <w:link w:val="1fb"/>
    <w:qFormat/>
    <w:rsid w:val="00D63C4A"/>
    <w:pPr>
      <w:widowControl w:val="0"/>
      <w:shd w:val="clear" w:color="auto" w:fill="FFFFFF"/>
      <w:spacing w:after="360" w:line="0" w:lineRule="atLeast"/>
      <w:jc w:val="center"/>
      <w:outlineLvl w:val="0"/>
    </w:pPr>
    <w:rPr>
      <w:rFonts w:eastAsia="Calibri"/>
      <w:b/>
      <w:bCs/>
      <w:sz w:val="23"/>
      <w:szCs w:val="23"/>
      <w:lang w:eastAsia="en-US"/>
    </w:rPr>
  </w:style>
  <w:style w:type="character" w:customStyle="1" w:styleId="115pt">
    <w:name w:val="Основной текст + 11;5 pt"/>
    <w:rsid w:val="00D63C4A"/>
    <w:rPr>
      <w:rFonts w:ascii="Times New Roman" w:eastAsia="Times New Roman" w:hAnsi="Times New Roman" w:cs="Times New Roman"/>
      <w:color w:val="000000"/>
      <w:spacing w:val="0"/>
      <w:w w:val="100"/>
      <w:position w:val="0"/>
      <w:sz w:val="23"/>
      <w:szCs w:val="23"/>
      <w:u w:val="none"/>
      <w:shd w:val="clear" w:color="auto" w:fill="FFFFFF"/>
      <w:lang w:val="en-GB"/>
    </w:rPr>
  </w:style>
  <w:style w:type="character" w:customStyle="1" w:styleId="Corbel75pt">
    <w:name w:val="Основной текст + Corbel;7;5 pt"/>
    <w:rsid w:val="00D63C4A"/>
    <w:rPr>
      <w:rFonts w:ascii="Corbel" w:eastAsia="Corbel" w:hAnsi="Corbel" w:cs="Corbel"/>
      <w:color w:val="000000"/>
      <w:spacing w:val="0"/>
      <w:w w:val="100"/>
      <w:position w:val="0"/>
      <w:sz w:val="15"/>
      <w:szCs w:val="15"/>
      <w:u w:val="none"/>
      <w:shd w:val="clear" w:color="auto" w:fill="FFFFFF"/>
      <w:lang w:val="en-GB"/>
    </w:rPr>
  </w:style>
  <w:style w:type="character" w:customStyle="1" w:styleId="defaultlabelstyle">
    <w:name w:val="defaultlabelstyle"/>
    <w:rsid w:val="00D63C4A"/>
  </w:style>
  <w:style w:type="character" w:customStyle="1" w:styleId="Bodytext2">
    <w:name w:val="Body text (2)"/>
    <w:rsid w:val="00D63C4A"/>
    <w:rPr>
      <w:rFonts w:ascii="Times New Roman" w:eastAsia="Times New Roman" w:hAnsi="Times New Roman" w:cs="Times New Roman"/>
      <w:color w:val="000000"/>
      <w:spacing w:val="0"/>
      <w:w w:val="100"/>
      <w:position w:val="0"/>
      <w:sz w:val="22"/>
      <w:szCs w:val="22"/>
      <w:u w:val="none"/>
      <w:lang w:val="en-GB" w:eastAsia="ru-RU" w:bidi="ru-RU"/>
    </w:rPr>
  </w:style>
  <w:style w:type="character" w:customStyle="1" w:styleId="EmailStyle1111">
    <w:name w:val="EmailStyle1111"/>
    <w:semiHidden/>
    <w:rsid w:val="00D63C4A"/>
    <w:rPr>
      <w:rFonts w:ascii="Arial" w:hAnsi="Arial" w:cs="Arial"/>
      <w:color w:val="auto"/>
      <w:sz w:val="20"/>
      <w:szCs w:val="20"/>
    </w:rPr>
  </w:style>
  <w:style w:type="paragraph" w:customStyle="1" w:styleId="affffff9">
    <w:name w:val="Стиль"/>
    <w:qFormat/>
    <w:rsid w:val="00D63C4A"/>
    <w:pPr>
      <w:ind w:firstLine="720"/>
      <w:jc w:val="both"/>
    </w:pPr>
    <w:rPr>
      <w:rFonts w:ascii="Arial" w:eastAsia="Times New Roman" w:hAnsi="Arial"/>
      <w:snapToGrid w:val="0"/>
      <w:lang w:val="en-GB"/>
    </w:rPr>
  </w:style>
  <w:style w:type="character" w:customStyle="1" w:styleId="ArialUnicodeMS55pt">
    <w:name w:val="Основной текст + Arial Unicode MS;5;5 pt;Полужирный"/>
    <w:rsid w:val="00D63C4A"/>
    <w:rPr>
      <w:rFonts w:ascii="Arial Unicode MS" w:eastAsia="Arial Unicode MS" w:hAnsi="Arial Unicode MS" w:cs="Arial Unicode MS"/>
      <w:b/>
      <w:bCs/>
      <w:color w:val="000000"/>
      <w:spacing w:val="0"/>
      <w:w w:val="100"/>
      <w:position w:val="0"/>
      <w:sz w:val="11"/>
      <w:szCs w:val="11"/>
      <w:shd w:val="clear" w:color="auto" w:fill="FFFFFF"/>
      <w:lang w:val="en-GB"/>
    </w:rPr>
  </w:style>
  <w:style w:type="character" w:customStyle="1" w:styleId="ArialUnicodeMS5pt">
    <w:name w:val="Основной текст + Arial Unicode MS;5 pt"/>
    <w:rsid w:val="00D63C4A"/>
    <w:rPr>
      <w:rFonts w:ascii="Arial Unicode MS" w:eastAsia="Arial Unicode MS" w:hAnsi="Arial Unicode MS" w:cs="Arial Unicode MS"/>
      <w:color w:val="000000"/>
      <w:spacing w:val="0"/>
      <w:w w:val="100"/>
      <w:position w:val="0"/>
      <w:sz w:val="10"/>
      <w:szCs w:val="10"/>
      <w:shd w:val="clear" w:color="auto" w:fill="FFFFFF"/>
      <w:lang w:val="en-GB"/>
    </w:rPr>
  </w:style>
  <w:style w:type="character" w:customStyle="1" w:styleId="ArialUnicodeMS55pt0">
    <w:name w:val="Основной текст + Arial Unicode MS;5;5 pt"/>
    <w:rsid w:val="00D63C4A"/>
    <w:rPr>
      <w:rFonts w:ascii="Arial Unicode MS" w:eastAsia="Arial Unicode MS" w:hAnsi="Arial Unicode MS" w:cs="Arial Unicode MS"/>
      <w:color w:val="000000"/>
      <w:spacing w:val="0"/>
      <w:w w:val="100"/>
      <w:position w:val="0"/>
      <w:sz w:val="11"/>
      <w:szCs w:val="11"/>
      <w:shd w:val="clear" w:color="auto" w:fill="FFFFFF"/>
      <w:lang w:val="en-GB"/>
    </w:rPr>
  </w:style>
  <w:style w:type="character" w:customStyle="1" w:styleId="313">
    <w:name w:val="Заголовок 3 Знак1"/>
    <w:aliases w:val="o Знак1"/>
    <w:semiHidden/>
    <w:rsid w:val="009D5388"/>
    <w:rPr>
      <w:rFonts w:ascii="Calibri Light" w:eastAsia="Times New Roman" w:hAnsi="Calibri Light" w:cs="Times New Roman"/>
      <w:b/>
      <w:bCs/>
      <w:color w:val="5B9BD5"/>
      <w:lang w:eastAsia="ru-RU"/>
    </w:rPr>
  </w:style>
  <w:style w:type="character" w:customStyle="1" w:styleId="1fd">
    <w:name w:val="Верхний колонтитул Знак1"/>
    <w:aliases w:val="hd Знак1"/>
    <w:uiPriority w:val="99"/>
    <w:semiHidden/>
    <w:rsid w:val="009D5388"/>
    <w:rPr>
      <w:rFonts w:eastAsia="Times New Roman"/>
      <w:lang w:eastAsia="ru-RU"/>
    </w:rPr>
  </w:style>
  <w:style w:type="character" w:customStyle="1" w:styleId="1fe">
    <w:name w:val="Основной текст Знак1"/>
    <w:aliases w:val="Iniiaiie oaeno Ciae Знак1,body text Знак1,Îñíîâíîé òåêñò Çíàê Знак1,Основной текст Знак Знак Знак Знак Знак Знак Знак1,Письмо в Интернет Знак1,Подпись1 Знак1,Шаблон для отчетов по оценке Знак1,текст таблицы Знак1"/>
    <w:semiHidden/>
    <w:rsid w:val="009D5388"/>
    <w:rPr>
      <w:rFonts w:eastAsia="Times New Roman"/>
      <w:lang w:eastAsia="ru-RU"/>
    </w:rPr>
  </w:style>
  <w:style w:type="character" w:customStyle="1" w:styleId="212">
    <w:name w:val="Основной текст с отступом 2 Знак1"/>
    <w:semiHidden/>
    <w:rsid w:val="009D5388"/>
    <w:rPr>
      <w:rFonts w:eastAsia="Times New Roman"/>
      <w:lang w:eastAsia="ru-RU"/>
    </w:rPr>
  </w:style>
  <w:style w:type="character" w:customStyle="1" w:styleId="1ff">
    <w:name w:val="Текст Знак1"/>
    <w:semiHidden/>
    <w:rsid w:val="009D5388"/>
    <w:rPr>
      <w:rFonts w:ascii="Consolas" w:eastAsia="Times New Roman" w:hAnsi="Consolas" w:cs="Consolas"/>
      <w:sz w:val="21"/>
      <w:szCs w:val="21"/>
      <w:lang w:eastAsia="ru-RU"/>
    </w:rPr>
  </w:style>
  <w:style w:type="character" w:customStyle="1" w:styleId="710">
    <w:name w:val="Заголовок 7 Знак1"/>
    <w:semiHidden/>
    <w:rsid w:val="009D5388"/>
    <w:rPr>
      <w:rFonts w:ascii="Calibri Light" w:eastAsia="Times New Roman" w:hAnsi="Calibri Light" w:cs="Times New Roman"/>
      <w:i/>
      <w:iCs/>
      <w:color w:val="404040"/>
      <w:lang w:eastAsia="ru-RU"/>
    </w:rPr>
  </w:style>
  <w:style w:type="character" w:customStyle="1" w:styleId="811">
    <w:name w:val="Заголовок 8 Знак1"/>
    <w:uiPriority w:val="99"/>
    <w:semiHidden/>
    <w:rsid w:val="009D5388"/>
    <w:rPr>
      <w:rFonts w:ascii="Calibri Light" w:eastAsia="Times New Roman" w:hAnsi="Calibri Light" w:cs="Times New Roman"/>
      <w:color w:val="404040"/>
      <w:sz w:val="20"/>
      <w:szCs w:val="20"/>
      <w:lang w:eastAsia="ru-RU"/>
    </w:rPr>
  </w:style>
  <w:style w:type="character" w:customStyle="1" w:styleId="910">
    <w:name w:val="Заголовок 9 Знак1"/>
    <w:uiPriority w:val="99"/>
    <w:semiHidden/>
    <w:rsid w:val="009D5388"/>
    <w:rPr>
      <w:rFonts w:ascii="Calibri Light" w:eastAsia="Times New Roman" w:hAnsi="Calibri Light" w:cs="Times New Roman"/>
      <w:i/>
      <w:iCs/>
      <w:color w:val="404040"/>
      <w:sz w:val="20"/>
      <w:szCs w:val="20"/>
      <w:lang w:eastAsia="ru-RU"/>
    </w:rPr>
  </w:style>
  <w:style w:type="character" w:customStyle="1" w:styleId="1ff0">
    <w:name w:val="Нижний колонтитул Знак1"/>
    <w:uiPriority w:val="99"/>
    <w:semiHidden/>
    <w:rsid w:val="009D5388"/>
    <w:rPr>
      <w:rFonts w:eastAsia="Times New Roman"/>
      <w:lang w:eastAsia="ru-RU"/>
    </w:rPr>
  </w:style>
  <w:style w:type="character" w:customStyle="1" w:styleId="1ff1">
    <w:name w:val="Текст выноски Знак1"/>
    <w:uiPriority w:val="99"/>
    <w:semiHidden/>
    <w:rsid w:val="009D5388"/>
    <w:rPr>
      <w:rFonts w:ascii="Tahoma" w:eastAsia="Times New Roman" w:hAnsi="Tahoma" w:cs="Tahoma"/>
      <w:sz w:val="16"/>
      <w:szCs w:val="16"/>
      <w:lang w:eastAsia="ru-RU"/>
    </w:rPr>
  </w:style>
  <w:style w:type="character" w:customStyle="1" w:styleId="1ff2">
    <w:name w:val="Название Знак1"/>
    <w:rsid w:val="009D5388"/>
    <w:rPr>
      <w:rFonts w:ascii="Calibri Light" w:eastAsia="Times New Roman" w:hAnsi="Calibri Light" w:cs="Times New Roman"/>
      <w:color w:val="323E4F"/>
      <w:spacing w:val="5"/>
      <w:kern w:val="28"/>
      <w:sz w:val="52"/>
      <w:szCs w:val="52"/>
      <w:lang w:eastAsia="ru-RU"/>
    </w:rPr>
  </w:style>
  <w:style w:type="character" w:customStyle="1" w:styleId="1ff3">
    <w:name w:val="Основной текст с отступом Знак1"/>
    <w:semiHidden/>
    <w:rsid w:val="009D5388"/>
    <w:rPr>
      <w:rFonts w:eastAsia="Times New Roman"/>
      <w:lang w:eastAsia="ru-RU"/>
    </w:rPr>
  </w:style>
  <w:style w:type="character" w:customStyle="1" w:styleId="314">
    <w:name w:val="Основной текст с отступом 3 Знак1"/>
    <w:semiHidden/>
    <w:rsid w:val="009D5388"/>
    <w:rPr>
      <w:rFonts w:eastAsia="Times New Roman"/>
      <w:sz w:val="16"/>
      <w:szCs w:val="16"/>
      <w:lang w:eastAsia="ru-RU"/>
    </w:rPr>
  </w:style>
  <w:style w:type="character" w:customStyle="1" w:styleId="1ff4">
    <w:name w:val="Текст сноски Знак1"/>
    <w:semiHidden/>
    <w:rsid w:val="009D5388"/>
    <w:rPr>
      <w:rFonts w:eastAsia="Times New Roman"/>
      <w:sz w:val="20"/>
      <w:szCs w:val="20"/>
      <w:lang w:eastAsia="ru-RU"/>
    </w:rPr>
  </w:style>
  <w:style w:type="character" w:customStyle="1" w:styleId="213">
    <w:name w:val="Основной текст 2 Знак1"/>
    <w:semiHidden/>
    <w:rsid w:val="009D5388"/>
    <w:rPr>
      <w:rFonts w:eastAsia="Times New Roman"/>
      <w:lang w:eastAsia="ru-RU"/>
    </w:rPr>
  </w:style>
  <w:style w:type="character" w:customStyle="1" w:styleId="315">
    <w:name w:val="Основной текст 3 Знак1"/>
    <w:uiPriority w:val="99"/>
    <w:semiHidden/>
    <w:rsid w:val="009D5388"/>
    <w:rPr>
      <w:rFonts w:eastAsia="Times New Roman"/>
      <w:sz w:val="16"/>
      <w:szCs w:val="16"/>
      <w:lang w:eastAsia="ru-RU"/>
    </w:rPr>
  </w:style>
  <w:style w:type="character" w:customStyle="1" w:styleId="1ff5">
    <w:name w:val="Схема документа Знак1"/>
    <w:semiHidden/>
    <w:rsid w:val="009D5388"/>
    <w:rPr>
      <w:rFonts w:ascii="Tahoma" w:eastAsia="Times New Roman" w:hAnsi="Tahoma" w:cs="Tahoma"/>
      <w:sz w:val="16"/>
      <w:szCs w:val="16"/>
      <w:lang w:eastAsia="ru-RU"/>
    </w:rPr>
  </w:style>
  <w:style w:type="character" w:customStyle="1" w:styleId="1ff6">
    <w:name w:val="Тема примечания Знак1"/>
    <w:uiPriority w:val="99"/>
    <w:semiHidden/>
    <w:rsid w:val="009D5388"/>
    <w:rPr>
      <w:rFonts w:ascii="Calibri" w:eastAsia="Times New Roman" w:hAnsi="Calibri" w:cs="Times New Roman"/>
      <w:b/>
      <w:bCs/>
      <w:sz w:val="20"/>
      <w:szCs w:val="20"/>
      <w:lang w:eastAsia="ru-RU"/>
    </w:rPr>
  </w:style>
  <w:style w:type="character" w:customStyle="1" w:styleId="1ff7">
    <w:name w:val="Подзаголовок Знак1"/>
    <w:uiPriority w:val="11"/>
    <w:rsid w:val="009D5388"/>
    <w:rPr>
      <w:rFonts w:ascii="Calibri Light" w:eastAsia="Times New Roman" w:hAnsi="Calibri Light" w:cs="Times New Roman"/>
      <w:i/>
      <w:iCs/>
      <w:color w:val="5B9BD5"/>
      <w:spacing w:val="15"/>
      <w:lang w:eastAsia="ru-RU"/>
    </w:rPr>
  </w:style>
  <w:style w:type="character" w:customStyle="1" w:styleId="85">
    <w:name w:val="Основной текст + 8"/>
    <w:aliases w:val="5 pt,Полужирный"/>
    <w:rsid w:val="009D5388"/>
    <w:rPr>
      <w:rFonts w:ascii="Arial Unicode MS" w:eastAsia="Arial Unicode MS" w:hAnsi="Arial Unicode MS" w:cs="Arial Unicode MS" w:hint="eastAsia"/>
      <w:color w:val="000000"/>
      <w:spacing w:val="0"/>
      <w:w w:val="100"/>
      <w:position w:val="0"/>
      <w:sz w:val="11"/>
      <w:szCs w:val="11"/>
      <w:shd w:val="clear" w:color="auto" w:fill="FFFFFF"/>
      <w:lang w:val="en-GB"/>
    </w:rPr>
  </w:style>
  <w:style w:type="paragraph" w:customStyle="1" w:styleId="affffffa">
    <w:name w:val="ГО"/>
    <w:basedOn w:val="2"/>
    <w:link w:val="affffffb"/>
    <w:autoRedefine/>
    <w:qFormat/>
    <w:rsid w:val="004D2697"/>
    <w:rPr>
      <w:rFonts w:ascii="Calibri" w:hAnsi="Calibri" w:cs="Calibri"/>
      <w:b/>
      <w:bCs/>
      <w:color w:val="44546A"/>
      <w:sz w:val="20"/>
    </w:rPr>
  </w:style>
  <w:style w:type="character" w:customStyle="1" w:styleId="affffffb">
    <w:name w:val="ГО Знак"/>
    <w:link w:val="affffffa"/>
    <w:rsid w:val="004D2697"/>
    <w:rPr>
      <w:rFonts w:ascii="Calibri" w:eastAsia="Times New Roman" w:hAnsi="Calibri" w:cs="Calibri"/>
      <w:b/>
      <w:bCs/>
      <w:color w:val="44546A"/>
      <w:sz w:val="20"/>
      <w:szCs w:val="20"/>
      <w:lang w:eastAsia="ru-RU"/>
    </w:rPr>
  </w:style>
  <w:style w:type="numbering" w:customStyle="1" w:styleId="2e">
    <w:name w:val="Нет списка2"/>
    <w:next w:val="a8"/>
    <w:uiPriority w:val="99"/>
    <w:semiHidden/>
    <w:unhideWhenUsed/>
    <w:rsid w:val="004D2697"/>
  </w:style>
  <w:style w:type="table" w:customStyle="1" w:styleId="3f">
    <w:name w:val="Сетка таблицы3"/>
    <w:basedOn w:val="a7"/>
    <w:next w:val="ad"/>
    <w:uiPriority w:val="39"/>
    <w:rsid w:val="004D2697"/>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8"/>
    <w:uiPriority w:val="99"/>
    <w:semiHidden/>
    <w:unhideWhenUsed/>
    <w:rsid w:val="004D2697"/>
  </w:style>
  <w:style w:type="table" w:customStyle="1" w:styleId="43">
    <w:name w:val="Сетка таблицы4"/>
    <w:basedOn w:val="a7"/>
    <w:next w:val="ad"/>
    <w:uiPriority w:val="59"/>
    <w:rsid w:val="004D2697"/>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3">
    <w:name w:val="Обычный (веб) Знак"/>
    <w:aliases w:val=" Знак Знак Знак,Обычный (Web)1 Знак"/>
    <w:link w:val="16"/>
    <w:uiPriority w:val="39"/>
    <w:rsid w:val="004D2697"/>
    <w:rPr>
      <w:rFonts w:eastAsia="Times New Roman"/>
      <w:lang w:eastAsia="ru-RU"/>
    </w:rPr>
  </w:style>
  <w:style w:type="character" w:customStyle="1" w:styleId="ConsPlusNormal0">
    <w:name w:val="ConsPlusNormal Знак"/>
    <w:link w:val="ConsPlusNormal"/>
    <w:rsid w:val="004D2697"/>
    <w:rPr>
      <w:sz w:val="28"/>
      <w:szCs w:val="28"/>
    </w:rPr>
  </w:style>
  <w:style w:type="paragraph" w:customStyle="1" w:styleId="Style9">
    <w:name w:val="Style9"/>
    <w:basedOn w:val="a5"/>
    <w:rsid w:val="004D2697"/>
    <w:pPr>
      <w:widowControl w:val="0"/>
      <w:autoSpaceDE w:val="0"/>
      <w:autoSpaceDN w:val="0"/>
      <w:adjustRightInd w:val="0"/>
    </w:pPr>
  </w:style>
  <w:style w:type="character" w:customStyle="1" w:styleId="44">
    <w:name w:val="Основной текст (4)_"/>
    <w:link w:val="45"/>
    <w:rsid w:val="004D2697"/>
    <w:rPr>
      <w:b/>
      <w:bCs/>
      <w:sz w:val="23"/>
      <w:szCs w:val="23"/>
      <w:shd w:val="clear" w:color="auto" w:fill="FFFFFF"/>
    </w:rPr>
  </w:style>
  <w:style w:type="paragraph" w:customStyle="1" w:styleId="45">
    <w:name w:val="Основной текст (4)"/>
    <w:basedOn w:val="a5"/>
    <w:link w:val="44"/>
    <w:rsid w:val="004D2697"/>
    <w:pPr>
      <w:widowControl w:val="0"/>
      <w:shd w:val="clear" w:color="auto" w:fill="FFFFFF"/>
      <w:spacing w:before="360" w:after="240" w:line="274" w:lineRule="exact"/>
      <w:jc w:val="both"/>
    </w:pPr>
    <w:rPr>
      <w:rFonts w:eastAsia="Calibri"/>
      <w:b/>
      <w:bCs/>
      <w:sz w:val="23"/>
      <w:szCs w:val="23"/>
      <w:lang w:eastAsia="en-US"/>
    </w:rPr>
  </w:style>
  <w:style w:type="character" w:customStyle="1" w:styleId="webofficeattributevalue1">
    <w:name w:val="webofficeattributevalue1"/>
    <w:rsid w:val="00FD0C61"/>
    <w:rPr>
      <w:rFonts w:ascii="Verdana" w:hAnsi="Verdana" w:hint="default"/>
      <w:dstrike w:val="0"/>
      <w:color w:val="000000"/>
      <w:sz w:val="18"/>
      <w:szCs w:val="18"/>
      <w:u w:val="none"/>
      <w:effect w:val="none"/>
    </w:rPr>
  </w:style>
  <w:style w:type="character" w:customStyle="1" w:styleId="defaultlabelstyle1">
    <w:name w:val="defaultlabelstyle1"/>
    <w:uiPriority w:val="99"/>
    <w:rsid w:val="00FD0C61"/>
    <w:rPr>
      <w:rFonts w:ascii="Verdana" w:hAnsi="Verdana"/>
      <w:color w:val="333333"/>
    </w:rPr>
  </w:style>
  <w:style w:type="paragraph" w:customStyle="1" w:styleId="44A158680C4440C48C5CE693FAA7557F">
    <w:name w:val="44A158680C4440C48C5CE693FAA7557F"/>
    <w:rsid w:val="00FD0C61"/>
    <w:pPr>
      <w:spacing w:after="200" w:line="276" w:lineRule="auto"/>
    </w:pPr>
    <w:rPr>
      <w:rFonts w:ascii="Calibri" w:eastAsia="Times New Roman" w:hAnsi="Calibri"/>
      <w:sz w:val="22"/>
      <w:szCs w:val="22"/>
      <w:lang w:val="en-GB" w:eastAsia="en-US"/>
    </w:rPr>
  </w:style>
  <w:style w:type="character" w:customStyle="1" w:styleId="affff7">
    <w:name w:val="Без интервала Знак"/>
    <w:link w:val="affff6"/>
    <w:uiPriority w:val="1"/>
    <w:rsid w:val="00FD0C61"/>
    <w:rPr>
      <w:rFonts w:ascii="Calibri" w:hAnsi="Calibri"/>
      <w:sz w:val="22"/>
      <w:szCs w:val="22"/>
    </w:rPr>
  </w:style>
  <w:style w:type="character" w:customStyle="1" w:styleId="1Sylfaen47pt">
    <w:name w:val="Заголовок №1 + Sylfaen;47 pt;Не полужирный;Курсив"/>
    <w:rsid w:val="00FD0C61"/>
    <w:rPr>
      <w:rFonts w:ascii="Sylfaen" w:eastAsia="Sylfaen" w:hAnsi="Sylfaen" w:cs="Sylfaen"/>
      <w:b/>
      <w:bCs/>
      <w:i/>
      <w:iCs/>
      <w:color w:val="000000"/>
      <w:spacing w:val="0"/>
      <w:w w:val="100"/>
      <w:position w:val="0"/>
      <w:sz w:val="94"/>
      <w:szCs w:val="94"/>
      <w:u w:val="none"/>
      <w:shd w:val="clear" w:color="auto" w:fill="FFFFFF"/>
      <w:lang w:val="en-GB" w:eastAsia="en-US" w:bidi="en-US"/>
    </w:rPr>
  </w:style>
  <w:style w:type="character" w:customStyle="1" w:styleId="3f1">
    <w:name w:val="Основной текст (3)_"/>
    <w:rsid w:val="00FD0C61"/>
    <w:rPr>
      <w:rFonts w:ascii="Times New Roman" w:eastAsia="Times New Roman" w:hAnsi="Times New Roman" w:cs="Times New Roman"/>
      <w:b/>
      <w:bCs/>
      <w:sz w:val="34"/>
      <w:szCs w:val="34"/>
      <w:u w:val="none"/>
    </w:rPr>
  </w:style>
  <w:style w:type="character" w:customStyle="1" w:styleId="3f2">
    <w:name w:val="Основной текст (3)"/>
    <w:rsid w:val="00FD0C61"/>
    <w:rPr>
      <w:rFonts w:ascii="Times New Roman" w:eastAsia="Times New Roman" w:hAnsi="Times New Roman" w:cs="Times New Roman"/>
      <w:b/>
      <w:bCs/>
      <w:color w:val="000000"/>
      <w:spacing w:val="0"/>
      <w:w w:val="100"/>
      <w:position w:val="0"/>
      <w:sz w:val="34"/>
      <w:szCs w:val="34"/>
      <w:u w:val="none"/>
      <w:lang w:val="en-GB" w:eastAsia="ru-RU" w:bidi="ru-RU"/>
    </w:rPr>
  </w:style>
  <w:style w:type="character" w:customStyle="1" w:styleId="2f">
    <w:name w:val="Основной текст (2)_"/>
    <w:rsid w:val="00FD0C61"/>
    <w:rPr>
      <w:rFonts w:ascii="Times New Roman" w:eastAsia="Times New Roman" w:hAnsi="Times New Roman" w:cs="Times New Roman"/>
      <w:u w:val="none"/>
    </w:rPr>
  </w:style>
  <w:style w:type="character" w:customStyle="1" w:styleId="affffffc">
    <w:name w:val="Колонтитул_"/>
    <w:rsid w:val="00FD0C61"/>
    <w:rPr>
      <w:rFonts w:ascii="Times New Roman" w:eastAsia="Times New Roman" w:hAnsi="Times New Roman" w:cs="Times New Roman"/>
      <w:sz w:val="22"/>
      <w:szCs w:val="22"/>
      <w:u w:val="none"/>
    </w:rPr>
  </w:style>
  <w:style w:type="character" w:customStyle="1" w:styleId="TrebuchetMS">
    <w:name w:val="Колонтитул + Trebuchet MS"/>
    <w:rsid w:val="00FD0C61"/>
    <w:rPr>
      <w:rFonts w:ascii="Trebuchet MS" w:eastAsia="Trebuchet MS" w:hAnsi="Trebuchet MS" w:cs="Trebuchet MS"/>
      <w:color w:val="000000"/>
      <w:spacing w:val="0"/>
      <w:w w:val="100"/>
      <w:position w:val="0"/>
      <w:sz w:val="22"/>
      <w:szCs w:val="22"/>
      <w:u w:val="none"/>
      <w:lang w:val="en-GB" w:eastAsia="ru-RU" w:bidi="ru-RU"/>
    </w:rPr>
  </w:style>
  <w:style w:type="character" w:customStyle="1" w:styleId="affffffd">
    <w:name w:val="Колонтитул"/>
    <w:rsid w:val="00FD0C61"/>
    <w:rPr>
      <w:rFonts w:ascii="Times New Roman" w:eastAsia="Times New Roman" w:hAnsi="Times New Roman" w:cs="Times New Roman"/>
      <w:color w:val="000000"/>
      <w:spacing w:val="0"/>
      <w:w w:val="100"/>
      <w:position w:val="0"/>
      <w:sz w:val="22"/>
      <w:szCs w:val="22"/>
      <w:u w:val="none"/>
      <w:lang w:val="en-GB" w:eastAsia="ru-RU" w:bidi="ru-RU"/>
    </w:rPr>
  </w:style>
  <w:style w:type="character" w:customStyle="1" w:styleId="73">
    <w:name w:val="Оглавление 7 Знак"/>
    <w:link w:val="72"/>
    <w:rsid w:val="00FD0C61"/>
    <w:rPr>
      <w:rFonts w:ascii="Calibri" w:eastAsia="Calibri" w:hAnsi="Calibri"/>
      <w:sz w:val="20"/>
      <w:szCs w:val="20"/>
    </w:rPr>
  </w:style>
  <w:style w:type="character" w:customStyle="1" w:styleId="76">
    <w:name w:val="Заголовок №7_"/>
    <w:link w:val="77"/>
    <w:rsid w:val="00FD0C61"/>
    <w:rPr>
      <w:rFonts w:eastAsia="Times New Roman"/>
      <w:b/>
      <w:bCs/>
      <w:sz w:val="26"/>
      <w:szCs w:val="26"/>
      <w:shd w:val="clear" w:color="auto" w:fill="FFFFFF"/>
    </w:rPr>
  </w:style>
  <w:style w:type="character" w:customStyle="1" w:styleId="2f0">
    <w:name w:val="Основной текст (2) + Полужирный"/>
    <w:rsid w:val="00FD0C61"/>
    <w:rPr>
      <w:rFonts w:ascii="Times New Roman" w:eastAsia="Times New Roman" w:hAnsi="Times New Roman" w:cs="Times New Roman"/>
      <w:b/>
      <w:bCs/>
      <w:color w:val="000000"/>
      <w:spacing w:val="0"/>
      <w:w w:val="100"/>
      <w:position w:val="0"/>
      <w:sz w:val="24"/>
      <w:szCs w:val="24"/>
      <w:u w:val="none"/>
      <w:lang w:val="en-GB" w:eastAsia="ru-RU" w:bidi="ru-RU"/>
    </w:rPr>
  </w:style>
  <w:style w:type="character" w:customStyle="1" w:styleId="53">
    <w:name w:val="Основной текст (5)_"/>
    <w:link w:val="54"/>
    <w:rsid w:val="00FD0C61"/>
    <w:rPr>
      <w:rFonts w:eastAsia="Times New Roman"/>
      <w:sz w:val="21"/>
      <w:szCs w:val="21"/>
      <w:shd w:val="clear" w:color="auto" w:fill="FFFFFF"/>
    </w:rPr>
  </w:style>
  <w:style w:type="character" w:customStyle="1" w:styleId="affffffe">
    <w:name w:val="Подпись к таблице_"/>
    <w:rsid w:val="00FD0C61"/>
    <w:rPr>
      <w:rFonts w:ascii="Times New Roman" w:eastAsia="Times New Roman" w:hAnsi="Times New Roman" w:cs="Times New Roman"/>
      <w:sz w:val="21"/>
      <w:szCs w:val="21"/>
      <w:u w:val="none"/>
    </w:rPr>
  </w:style>
  <w:style w:type="character" w:customStyle="1" w:styleId="afffffff">
    <w:name w:val="Подпись к таблице"/>
    <w:rsid w:val="00FD0C61"/>
    <w:rPr>
      <w:rFonts w:ascii="Times New Roman" w:eastAsia="Times New Roman" w:hAnsi="Times New Roman" w:cs="Times New Roman"/>
      <w:color w:val="000000"/>
      <w:spacing w:val="0"/>
      <w:w w:val="100"/>
      <w:position w:val="0"/>
      <w:sz w:val="21"/>
      <w:szCs w:val="21"/>
      <w:u w:val="single"/>
      <w:lang w:val="en-GB" w:eastAsia="ru-RU" w:bidi="ru-RU"/>
    </w:rPr>
  </w:style>
  <w:style w:type="character" w:customStyle="1" w:styleId="214pt">
    <w:name w:val="Основной текст (2) + 14 pt"/>
    <w:rsid w:val="00FD0C61"/>
    <w:rPr>
      <w:rFonts w:ascii="Times New Roman" w:eastAsia="Times New Roman" w:hAnsi="Times New Roman" w:cs="Times New Roman"/>
      <w:color w:val="000000"/>
      <w:spacing w:val="0"/>
      <w:w w:val="100"/>
      <w:position w:val="0"/>
      <w:sz w:val="28"/>
      <w:szCs w:val="28"/>
      <w:u w:val="none"/>
      <w:lang w:val="en-GB" w:eastAsia="ru-RU" w:bidi="ru-RU"/>
    </w:rPr>
  </w:style>
  <w:style w:type="character" w:customStyle="1" w:styleId="2105pt">
    <w:name w:val="Основной текст (2) + 10;5 pt"/>
    <w:rsid w:val="00FD0C61"/>
    <w:rPr>
      <w:rFonts w:ascii="Times New Roman" w:eastAsia="Times New Roman" w:hAnsi="Times New Roman" w:cs="Times New Roman"/>
      <w:color w:val="000000"/>
      <w:spacing w:val="0"/>
      <w:w w:val="100"/>
      <w:position w:val="0"/>
      <w:sz w:val="21"/>
      <w:szCs w:val="21"/>
      <w:u w:val="none"/>
      <w:lang w:val="en-GB" w:eastAsia="ru-RU" w:bidi="ru-RU"/>
    </w:rPr>
  </w:style>
  <w:style w:type="character" w:customStyle="1" w:styleId="2f1">
    <w:name w:val="Подпись к таблице (2)_"/>
    <w:rsid w:val="00FD0C61"/>
    <w:rPr>
      <w:rFonts w:ascii="Times New Roman" w:eastAsia="Times New Roman" w:hAnsi="Times New Roman" w:cs="Times New Roman"/>
      <w:u w:val="none"/>
    </w:rPr>
  </w:style>
  <w:style w:type="character" w:customStyle="1" w:styleId="2f2">
    <w:name w:val="Подпись к таблице (2)"/>
    <w:rsid w:val="00FD0C61"/>
    <w:rPr>
      <w:rFonts w:ascii="Times New Roman" w:eastAsia="Times New Roman" w:hAnsi="Times New Roman" w:cs="Times New Roman"/>
      <w:color w:val="000000"/>
      <w:spacing w:val="0"/>
      <w:w w:val="100"/>
      <w:position w:val="0"/>
      <w:sz w:val="24"/>
      <w:szCs w:val="24"/>
      <w:u w:val="single"/>
      <w:lang w:val="en-GB" w:eastAsia="ru-RU" w:bidi="ru-RU"/>
    </w:rPr>
  </w:style>
  <w:style w:type="character" w:customStyle="1" w:styleId="2f3">
    <w:name w:val="Основной текст (2) + Полужирный;Малые прописные"/>
    <w:rsid w:val="00FD0C61"/>
    <w:rPr>
      <w:rFonts w:ascii="Times New Roman" w:eastAsia="Times New Roman" w:hAnsi="Times New Roman" w:cs="Times New Roman"/>
      <w:b/>
      <w:bCs/>
      <w:smallCaps/>
      <w:color w:val="FFFFFF"/>
      <w:spacing w:val="0"/>
      <w:w w:val="100"/>
      <w:position w:val="0"/>
      <w:sz w:val="24"/>
      <w:szCs w:val="24"/>
      <w:u w:val="none"/>
      <w:lang w:val="en-GB" w:eastAsia="en-US" w:bidi="en-US"/>
    </w:rPr>
  </w:style>
  <w:style w:type="character" w:customStyle="1" w:styleId="2Candara">
    <w:name w:val="Основной текст (2) + Candara"/>
    <w:rsid w:val="00FD0C61"/>
    <w:rPr>
      <w:rFonts w:ascii="Candara" w:eastAsia="Candara" w:hAnsi="Candara" w:cs="Candara"/>
      <w:color w:val="FFFFFF"/>
      <w:spacing w:val="0"/>
      <w:w w:val="100"/>
      <w:position w:val="0"/>
      <w:sz w:val="24"/>
      <w:szCs w:val="24"/>
      <w:u w:val="none"/>
      <w:lang w:val="en-GB" w:eastAsia="ru-RU" w:bidi="ru-RU"/>
    </w:rPr>
  </w:style>
  <w:style w:type="character" w:customStyle="1" w:styleId="86">
    <w:name w:val="Заголовок №8_"/>
    <w:rsid w:val="00FD0C61"/>
    <w:rPr>
      <w:rFonts w:ascii="Times New Roman" w:eastAsia="Times New Roman" w:hAnsi="Times New Roman" w:cs="Times New Roman"/>
      <w:b/>
      <w:bCs/>
      <w:u w:val="none"/>
    </w:rPr>
  </w:style>
  <w:style w:type="character" w:customStyle="1" w:styleId="2Exact">
    <w:name w:val="Основной текст (2) Exact"/>
    <w:rsid w:val="00FD0C61"/>
    <w:rPr>
      <w:rFonts w:ascii="Times New Roman" w:eastAsia="Times New Roman" w:hAnsi="Times New Roman" w:cs="Times New Roman"/>
      <w:u w:val="none"/>
    </w:rPr>
  </w:style>
  <w:style w:type="character" w:customStyle="1" w:styleId="6Exact">
    <w:name w:val="Основной текст (6) Exact"/>
    <w:rsid w:val="00FD0C61"/>
    <w:rPr>
      <w:rFonts w:ascii="Times New Roman" w:eastAsia="Times New Roman" w:hAnsi="Times New Roman" w:cs="Times New Roman"/>
      <w:i/>
      <w:iCs/>
      <w:sz w:val="15"/>
      <w:szCs w:val="15"/>
      <w:u w:val="none"/>
    </w:rPr>
  </w:style>
  <w:style w:type="character" w:customStyle="1" w:styleId="6TrebuchetMS55ptExact">
    <w:name w:val="Основной текст (6) + Trebuchet MS;5;5 pt;Не курсив Exact"/>
    <w:rsid w:val="00FD0C61"/>
    <w:rPr>
      <w:rFonts w:ascii="Trebuchet MS" w:eastAsia="Trebuchet MS" w:hAnsi="Trebuchet MS" w:cs="Trebuchet MS"/>
      <w:i/>
      <w:iCs/>
      <w:sz w:val="11"/>
      <w:szCs w:val="11"/>
      <w:shd w:val="clear" w:color="auto" w:fill="FFFFFF"/>
    </w:rPr>
  </w:style>
  <w:style w:type="character" w:customStyle="1" w:styleId="7Exact">
    <w:name w:val="Основной текст (7) Exact"/>
    <w:rsid w:val="00FD0C61"/>
    <w:rPr>
      <w:rFonts w:ascii="Times New Roman" w:eastAsia="Times New Roman" w:hAnsi="Times New Roman" w:cs="Times New Roman"/>
      <w:i/>
      <w:iCs/>
      <w:sz w:val="15"/>
      <w:szCs w:val="15"/>
      <w:shd w:val="clear" w:color="auto" w:fill="FFFFFF"/>
    </w:rPr>
  </w:style>
  <w:style w:type="character" w:customStyle="1" w:styleId="8Exact">
    <w:name w:val="Основной текст (8) Exact"/>
    <w:rsid w:val="00FD0C61"/>
    <w:rPr>
      <w:rFonts w:ascii="Trebuchet MS" w:eastAsia="Trebuchet MS" w:hAnsi="Trebuchet MS" w:cs="Trebuchet MS"/>
      <w:sz w:val="21"/>
      <w:szCs w:val="21"/>
      <w:shd w:val="clear" w:color="auto" w:fill="FFFFFF"/>
    </w:rPr>
  </w:style>
  <w:style w:type="character" w:customStyle="1" w:styleId="9Exact">
    <w:name w:val="Основной текст (9) Exact"/>
    <w:rsid w:val="00FD0C61"/>
    <w:rPr>
      <w:rFonts w:ascii="Times New Roman" w:eastAsia="Times New Roman" w:hAnsi="Times New Roman" w:cs="Times New Roman"/>
      <w:i/>
      <w:iCs/>
      <w:u w:val="none"/>
    </w:rPr>
  </w:style>
  <w:style w:type="character" w:customStyle="1" w:styleId="9Exact0">
    <w:name w:val="Основной текст (9) + Малые прописные Exact"/>
    <w:rsid w:val="00FD0C61"/>
    <w:rPr>
      <w:rFonts w:ascii="Times New Roman" w:eastAsia="Times New Roman" w:hAnsi="Times New Roman" w:cs="Times New Roman"/>
      <w:i/>
      <w:iCs/>
      <w:smallCaps/>
      <w:u w:val="none"/>
      <w:lang w:val="en-GB" w:eastAsia="en-US" w:bidi="en-US"/>
    </w:rPr>
  </w:style>
  <w:style w:type="character" w:customStyle="1" w:styleId="11Exact">
    <w:name w:val="Основной текст (11) Exact"/>
    <w:link w:val="115"/>
    <w:rsid w:val="00FD0C61"/>
    <w:rPr>
      <w:rFonts w:eastAsia="Times New Roman"/>
      <w:b/>
      <w:bCs/>
      <w:shd w:val="clear" w:color="auto" w:fill="FFFFFF"/>
    </w:rPr>
  </w:style>
  <w:style w:type="character" w:customStyle="1" w:styleId="11Exact0">
    <w:name w:val="Основной текст (11) + Не полужирный Exact"/>
    <w:rsid w:val="00FD0C61"/>
    <w:rPr>
      <w:rFonts w:eastAsia="Times New Roman"/>
      <w:b/>
      <w:bCs/>
      <w:color w:val="000000"/>
      <w:spacing w:val="0"/>
      <w:w w:val="100"/>
      <w:position w:val="0"/>
      <w:sz w:val="24"/>
      <w:szCs w:val="24"/>
      <w:shd w:val="clear" w:color="auto" w:fill="FFFFFF"/>
      <w:lang w:val="en-GB" w:eastAsia="ru-RU" w:bidi="ru-RU"/>
    </w:rPr>
  </w:style>
  <w:style w:type="character" w:customStyle="1" w:styleId="11Sylfaen10ptExact">
    <w:name w:val="Основной текст (11) + Sylfaen;10 pt;Не полужирный Exact"/>
    <w:rsid w:val="00FD0C61"/>
    <w:rPr>
      <w:rFonts w:ascii="Sylfaen" w:eastAsia="Sylfaen" w:hAnsi="Sylfaen" w:cs="Sylfaen"/>
      <w:b/>
      <w:bCs/>
      <w:color w:val="000000"/>
      <w:spacing w:val="0"/>
      <w:w w:val="100"/>
      <w:position w:val="0"/>
      <w:sz w:val="20"/>
      <w:szCs w:val="20"/>
      <w:shd w:val="clear" w:color="auto" w:fill="FFFFFF"/>
      <w:lang w:val="en-GB" w:eastAsia="ru-RU" w:bidi="ru-RU"/>
    </w:rPr>
  </w:style>
  <w:style w:type="character" w:customStyle="1" w:styleId="12Exact">
    <w:name w:val="Основной текст (12) Exact"/>
    <w:link w:val="121"/>
    <w:rsid w:val="00FD0C61"/>
    <w:rPr>
      <w:rFonts w:eastAsia="Times New Roman"/>
      <w:i/>
      <w:iCs/>
      <w:spacing w:val="20"/>
      <w:shd w:val="clear" w:color="auto" w:fill="FFFFFF"/>
      <w:lang w:val="en-GB" w:bidi="en-US"/>
    </w:rPr>
  </w:style>
  <w:style w:type="character" w:customStyle="1" w:styleId="120ptExact">
    <w:name w:val="Основной текст (12) + Не курсив;Интервал 0 pt Exact"/>
    <w:rsid w:val="00FD0C61"/>
    <w:rPr>
      <w:rFonts w:eastAsia="Times New Roman"/>
      <w:i/>
      <w:iCs/>
      <w:color w:val="000000"/>
      <w:spacing w:val="0"/>
      <w:w w:val="100"/>
      <w:position w:val="0"/>
      <w:sz w:val="24"/>
      <w:szCs w:val="24"/>
      <w:shd w:val="clear" w:color="auto" w:fill="FFFFFF"/>
      <w:lang w:val="en-GB" w:bidi="en-US"/>
    </w:rPr>
  </w:style>
  <w:style w:type="character" w:customStyle="1" w:styleId="13Exact">
    <w:name w:val="Основной текст (13) Exact"/>
    <w:rsid w:val="00FD0C61"/>
    <w:rPr>
      <w:rFonts w:ascii="Times New Roman" w:eastAsia="Times New Roman" w:hAnsi="Times New Roman" w:cs="Times New Roman"/>
      <w:b/>
      <w:bCs/>
      <w:sz w:val="16"/>
      <w:szCs w:val="16"/>
      <w:u w:val="none"/>
    </w:rPr>
  </w:style>
  <w:style w:type="character" w:customStyle="1" w:styleId="14Exact">
    <w:name w:val="Основной текст (14) Exact"/>
    <w:rsid w:val="00FD0C61"/>
    <w:rPr>
      <w:rFonts w:ascii="Times New Roman" w:eastAsia="Times New Roman" w:hAnsi="Times New Roman" w:cs="Times New Roman"/>
      <w:spacing w:val="0"/>
      <w:sz w:val="14"/>
      <w:szCs w:val="14"/>
      <w:u w:val="none"/>
    </w:rPr>
  </w:style>
  <w:style w:type="character" w:customStyle="1" w:styleId="9Exact1">
    <w:name w:val="Основной текст (9) + Не курсив Exact"/>
    <w:rsid w:val="00FD0C61"/>
    <w:rPr>
      <w:rFonts w:ascii="Times New Roman" w:eastAsia="Times New Roman" w:hAnsi="Times New Roman" w:cs="Times New Roman"/>
      <w:i/>
      <w:iCs/>
      <w:u w:val="none"/>
    </w:rPr>
  </w:style>
  <w:style w:type="character" w:customStyle="1" w:styleId="Sylfaen13pt-2pt">
    <w:name w:val="Колонтитул + Sylfaen;13 pt;Курсив;Интервал -2 pt"/>
    <w:rsid w:val="00FD0C61"/>
    <w:rPr>
      <w:rFonts w:ascii="Sylfaen" w:eastAsia="Sylfaen" w:hAnsi="Sylfaen" w:cs="Sylfaen"/>
      <w:i/>
      <w:iCs/>
      <w:color w:val="000000"/>
      <w:spacing w:val="-40"/>
      <w:w w:val="100"/>
      <w:position w:val="0"/>
      <w:sz w:val="26"/>
      <w:szCs w:val="26"/>
      <w:u w:val="none"/>
      <w:lang w:val="en-GB" w:eastAsia="en-US" w:bidi="en-US"/>
    </w:rPr>
  </w:style>
  <w:style w:type="character" w:customStyle="1" w:styleId="275pt">
    <w:name w:val="Основной текст (2) + 7;5 pt;Курсив"/>
    <w:rsid w:val="00FD0C61"/>
    <w:rPr>
      <w:rFonts w:ascii="Times New Roman" w:eastAsia="Times New Roman" w:hAnsi="Times New Roman" w:cs="Times New Roman"/>
      <w:i/>
      <w:iCs/>
      <w:color w:val="000000"/>
      <w:spacing w:val="0"/>
      <w:w w:val="100"/>
      <w:position w:val="0"/>
      <w:sz w:val="15"/>
      <w:szCs w:val="15"/>
      <w:u w:val="none"/>
      <w:lang w:val="en-GB" w:eastAsia="ru-RU" w:bidi="ru-RU"/>
    </w:rPr>
  </w:style>
  <w:style w:type="character" w:customStyle="1" w:styleId="2f4">
    <w:name w:val="Основной текст (2)"/>
    <w:rsid w:val="00FD0C61"/>
    <w:rPr>
      <w:rFonts w:ascii="Times New Roman" w:eastAsia="Times New Roman" w:hAnsi="Times New Roman" w:cs="Times New Roman"/>
      <w:color w:val="000000"/>
      <w:spacing w:val="0"/>
      <w:w w:val="100"/>
      <w:position w:val="0"/>
      <w:sz w:val="24"/>
      <w:szCs w:val="24"/>
      <w:u w:val="single"/>
      <w:lang w:val="en-GB" w:eastAsia="ru-RU" w:bidi="ru-RU"/>
    </w:rPr>
  </w:style>
  <w:style w:type="character" w:customStyle="1" w:styleId="2f5">
    <w:name w:val="Основной текст (2) + Курсив"/>
    <w:rsid w:val="00FD0C61"/>
    <w:rPr>
      <w:rFonts w:ascii="Times New Roman" w:eastAsia="Times New Roman" w:hAnsi="Times New Roman" w:cs="Times New Roman"/>
      <w:i/>
      <w:iCs/>
      <w:color w:val="000000"/>
      <w:spacing w:val="0"/>
      <w:w w:val="100"/>
      <w:position w:val="0"/>
      <w:sz w:val="24"/>
      <w:szCs w:val="24"/>
      <w:u w:val="none"/>
      <w:lang w:val="en-GB" w:eastAsia="ru-RU" w:bidi="ru-RU"/>
    </w:rPr>
  </w:style>
  <w:style w:type="character" w:customStyle="1" w:styleId="63">
    <w:name w:val="Основной текст (6)_"/>
    <w:link w:val="64"/>
    <w:rsid w:val="00FD0C61"/>
    <w:rPr>
      <w:rFonts w:eastAsia="Times New Roman"/>
      <w:i/>
      <w:iCs/>
      <w:sz w:val="15"/>
      <w:szCs w:val="15"/>
      <w:shd w:val="clear" w:color="auto" w:fill="FFFFFF"/>
    </w:rPr>
  </w:style>
  <w:style w:type="character" w:customStyle="1" w:styleId="6TrebuchetMS6pt">
    <w:name w:val="Основной текст (6) + Trebuchet MS;6 pt"/>
    <w:rsid w:val="00FD0C61"/>
    <w:rPr>
      <w:rFonts w:ascii="Trebuchet MS" w:eastAsia="Trebuchet MS" w:hAnsi="Trebuchet MS" w:cs="Trebuchet MS"/>
      <w:i/>
      <w:iCs/>
      <w:color w:val="000000"/>
      <w:spacing w:val="0"/>
      <w:w w:val="100"/>
      <w:position w:val="0"/>
      <w:sz w:val="12"/>
      <w:szCs w:val="12"/>
      <w:shd w:val="clear" w:color="auto" w:fill="FFFFFF"/>
      <w:lang w:val="en-GB" w:eastAsia="ru-RU" w:bidi="ru-RU"/>
    </w:rPr>
  </w:style>
  <w:style w:type="character" w:customStyle="1" w:styleId="6TrebuchetMS55pt">
    <w:name w:val="Основной текст (6) + Trebuchet MS;5;5 pt;Не курсив"/>
    <w:rsid w:val="00FD0C61"/>
    <w:rPr>
      <w:rFonts w:ascii="Trebuchet MS" w:eastAsia="Trebuchet MS" w:hAnsi="Trebuchet MS" w:cs="Trebuchet MS"/>
      <w:i/>
      <w:iCs/>
      <w:color w:val="000000"/>
      <w:spacing w:val="0"/>
      <w:w w:val="100"/>
      <w:position w:val="0"/>
      <w:sz w:val="11"/>
      <w:szCs w:val="11"/>
      <w:shd w:val="clear" w:color="auto" w:fill="FFFFFF"/>
      <w:lang w:val="en-GB" w:eastAsia="en-US" w:bidi="en-US"/>
    </w:rPr>
  </w:style>
  <w:style w:type="character" w:customStyle="1" w:styleId="820">
    <w:name w:val="Заголовок №8 (2)_"/>
    <w:rsid w:val="00FD0C61"/>
    <w:rPr>
      <w:rFonts w:ascii="Segoe UI" w:eastAsia="Segoe UI" w:hAnsi="Segoe UI" w:cs="Segoe UI"/>
      <w:b/>
      <w:bCs/>
      <w:sz w:val="20"/>
      <w:szCs w:val="20"/>
      <w:u w:val="none"/>
    </w:rPr>
  </w:style>
  <w:style w:type="character" w:customStyle="1" w:styleId="821">
    <w:name w:val="Заголовок №8 (2)"/>
    <w:rsid w:val="00FD0C61"/>
    <w:rPr>
      <w:rFonts w:ascii="Segoe UI" w:eastAsia="Segoe UI" w:hAnsi="Segoe UI" w:cs="Segoe UI"/>
      <w:b/>
      <w:bCs/>
      <w:color w:val="000000"/>
      <w:spacing w:val="0"/>
      <w:w w:val="100"/>
      <w:position w:val="0"/>
      <w:sz w:val="20"/>
      <w:szCs w:val="20"/>
      <w:u w:val="none"/>
      <w:lang w:val="en-GB" w:eastAsia="ru-RU" w:bidi="ru-RU"/>
    </w:rPr>
  </w:style>
  <w:style w:type="character" w:customStyle="1" w:styleId="100">
    <w:name w:val="Основной текст (10)_"/>
    <w:link w:val="101"/>
    <w:rsid w:val="00FD0C61"/>
    <w:rPr>
      <w:rFonts w:eastAsia="Times New Roman"/>
      <w:b/>
      <w:bCs/>
      <w:shd w:val="clear" w:color="auto" w:fill="FFFFFF"/>
    </w:rPr>
  </w:style>
  <w:style w:type="character" w:customStyle="1" w:styleId="28pt">
    <w:name w:val="Основной текст (2) + 8 pt;Полужирный"/>
    <w:rsid w:val="00FD0C61"/>
    <w:rPr>
      <w:rFonts w:ascii="Times New Roman" w:eastAsia="Times New Roman" w:hAnsi="Times New Roman" w:cs="Times New Roman"/>
      <w:b/>
      <w:bCs/>
      <w:color w:val="000000"/>
      <w:spacing w:val="0"/>
      <w:w w:val="100"/>
      <w:position w:val="0"/>
      <w:sz w:val="16"/>
      <w:szCs w:val="16"/>
      <w:u w:val="none"/>
      <w:lang w:val="en-GB" w:eastAsia="ru-RU" w:bidi="ru-RU"/>
    </w:rPr>
  </w:style>
  <w:style w:type="character" w:customStyle="1" w:styleId="87">
    <w:name w:val="Заголовок №8"/>
    <w:rsid w:val="00FD0C61"/>
    <w:rPr>
      <w:rFonts w:ascii="Times New Roman" w:eastAsia="Times New Roman" w:hAnsi="Times New Roman" w:cs="Times New Roman"/>
      <w:b/>
      <w:bCs/>
      <w:color w:val="000000"/>
      <w:spacing w:val="0"/>
      <w:w w:val="100"/>
      <w:position w:val="0"/>
      <w:sz w:val="24"/>
      <w:szCs w:val="24"/>
      <w:u w:val="none"/>
      <w:lang w:val="en-GB" w:eastAsia="ru-RU" w:bidi="ru-RU"/>
    </w:rPr>
  </w:style>
  <w:style w:type="character" w:customStyle="1" w:styleId="15Exact">
    <w:name w:val="Основной текст (15) Exact"/>
    <w:link w:val="151"/>
    <w:rsid w:val="00FD0C61"/>
    <w:rPr>
      <w:rFonts w:ascii="Segoe UI" w:eastAsia="Segoe UI" w:hAnsi="Segoe UI" w:cs="Segoe UI"/>
      <w:i/>
      <w:iCs/>
      <w:sz w:val="15"/>
      <w:szCs w:val="15"/>
      <w:shd w:val="clear" w:color="auto" w:fill="FFFFFF"/>
    </w:rPr>
  </w:style>
  <w:style w:type="character" w:customStyle="1" w:styleId="16Exact">
    <w:name w:val="Основной текст (16) Exact"/>
    <w:link w:val="160"/>
    <w:rsid w:val="00FD0C61"/>
    <w:rPr>
      <w:rFonts w:ascii="Trebuchet MS" w:eastAsia="Trebuchet MS" w:hAnsi="Trebuchet MS" w:cs="Trebuchet MS"/>
      <w:sz w:val="26"/>
      <w:szCs w:val="26"/>
      <w:shd w:val="clear" w:color="auto" w:fill="FFFFFF"/>
    </w:rPr>
  </w:style>
  <w:style w:type="character" w:customStyle="1" w:styleId="15TrebuchetMS4ptExact">
    <w:name w:val="Основной текст (15) + Trebuchet MS;4 pt;Не курсив Exact"/>
    <w:rsid w:val="00FD0C61"/>
    <w:rPr>
      <w:rFonts w:ascii="Trebuchet MS" w:eastAsia="Trebuchet MS" w:hAnsi="Trebuchet MS" w:cs="Trebuchet MS"/>
      <w:i/>
      <w:iCs/>
      <w:color w:val="000000"/>
      <w:spacing w:val="0"/>
      <w:w w:val="100"/>
      <w:position w:val="0"/>
      <w:sz w:val="8"/>
      <w:szCs w:val="8"/>
      <w:shd w:val="clear" w:color="auto" w:fill="FFFFFF"/>
      <w:lang w:val="en-GB" w:eastAsia="ru-RU" w:bidi="ru-RU"/>
    </w:rPr>
  </w:style>
  <w:style w:type="character" w:customStyle="1" w:styleId="55">
    <w:name w:val="Заголовок №5_"/>
    <w:link w:val="56"/>
    <w:rsid w:val="00FD0C61"/>
    <w:rPr>
      <w:rFonts w:eastAsia="Times New Roman"/>
      <w:i/>
      <w:iCs/>
      <w:shd w:val="clear" w:color="auto" w:fill="FFFFFF"/>
    </w:rPr>
  </w:style>
  <w:style w:type="character" w:customStyle="1" w:styleId="130">
    <w:name w:val="Основной текст (13)_"/>
    <w:link w:val="131"/>
    <w:rsid w:val="00FD0C61"/>
    <w:rPr>
      <w:rFonts w:eastAsia="Times New Roman"/>
      <w:b/>
      <w:bCs/>
      <w:sz w:val="16"/>
      <w:szCs w:val="16"/>
      <w:shd w:val="clear" w:color="auto" w:fill="FFFFFF"/>
    </w:rPr>
  </w:style>
  <w:style w:type="character" w:customStyle="1" w:styleId="13TrebuchetMS13pt">
    <w:name w:val="Основной текст (13) + Trebuchet MS;13 pt;Курсив"/>
    <w:rsid w:val="00FD0C61"/>
    <w:rPr>
      <w:rFonts w:ascii="Trebuchet MS" w:eastAsia="Trebuchet MS" w:hAnsi="Trebuchet MS" w:cs="Trebuchet MS"/>
      <w:b/>
      <w:bCs/>
      <w:i/>
      <w:iCs/>
      <w:color w:val="000000"/>
      <w:spacing w:val="0"/>
      <w:w w:val="100"/>
      <w:position w:val="0"/>
      <w:sz w:val="26"/>
      <w:szCs w:val="26"/>
      <w:shd w:val="clear" w:color="auto" w:fill="FFFFFF"/>
      <w:lang w:val="en-GB" w:eastAsia="ru-RU" w:bidi="ru-RU"/>
    </w:rPr>
  </w:style>
  <w:style w:type="character" w:customStyle="1" w:styleId="82MicrosoftSansSerif19pt-2pt">
    <w:name w:val="Заголовок №8 (2) + Microsoft Sans Serif;19 pt;Не полужирный;Курсив;Интервал -2 pt"/>
    <w:rsid w:val="00FD0C61"/>
    <w:rPr>
      <w:rFonts w:ascii="Microsoft Sans Serif" w:eastAsia="Microsoft Sans Serif" w:hAnsi="Microsoft Sans Serif" w:cs="Microsoft Sans Serif"/>
      <w:b/>
      <w:bCs/>
      <w:i/>
      <w:iCs/>
      <w:color w:val="000000"/>
      <w:spacing w:val="-50"/>
      <w:w w:val="100"/>
      <w:position w:val="0"/>
      <w:sz w:val="38"/>
      <w:szCs w:val="38"/>
      <w:u w:val="none"/>
      <w:lang w:val="en-GB" w:eastAsia="en-US" w:bidi="en-US"/>
    </w:rPr>
  </w:style>
  <w:style w:type="character" w:customStyle="1" w:styleId="1385pt">
    <w:name w:val="Основной текст (13) + 8;5 pt;Не полужирный"/>
    <w:rsid w:val="00FD0C61"/>
    <w:rPr>
      <w:rFonts w:eastAsia="Times New Roman"/>
      <w:b/>
      <w:bCs/>
      <w:color w:val="000000"/>
      <w:spacing w:val="0"/>
      <w:w w:val="100"/>
      <w:position w:val="0"/>
      <w:sz w:val="17"/>
      <w:szCs w:val="17"/>
      <w:shd w:val="clear" w:color="auto" w:fill="FFFFFF"/>
      <w:lang w:val="en-GB" w:eastAsia="ru-RU" w:bidi="ru-RU"/>
    </w:rPr>
  </w:style>
  <w:style w:type="character" w:customStyle="1" w:styleId="170">
    <w:name w:val="Основной текст (17)_"/>
    <w:rsid w:val="00FD0C61"/>
    <w:rPr>
      <w:rFonts w:ascii="Times New Roman" w:eastAsia="Times New Roman" w:hAnsi="Times New Roman" w:cs="Times New Roman"/>
      <w:sz w:val="17"/>
      <w:szCs w:val="17"/>
      <w:u w:val="none"/>
    </w:rPr>
  </w:style>
  <w:style w:type="character" w:customStyle="1" w:styleId="171">
    <w:name w:val="Основной текст (17)"/>
    <w:rsid w:val="00FD0C61"/>
    <w:rPr>
      <w:rFonts w:ascii="Times New Roman" w:eastAsia="Times New Roman" w:hAnsi="Times New Roman" w:cs="Times New Roman"/>
      <w:color w:val="000000"/>
      <w:spacing w:val="0"/>
      <w:w w:val="100"/>
      <w:position w:val="0"/>
      <w:sz w:val="17"/>
      <w:szCs w:val="17"/>
      <w:u w:val="none"/>
      <w:lang w:val="en-GB" w:eastAsia="ru-RU" w:bidi="ru-RU"/>
    </w:rPr>
  </w:style>
  <w:style w:type="character" w:customStyle="1" w:styleId="17Consolas9pt">
    <w:name w:val="Основной текст (17) + Consolas;9 pt"/>
    <w:rsid w:val="00FD0C61"/>
    <w:rPr>
      <w:rFonts w:ascii="Consolas" w:eastAsia="Consolas" w:hAnsi="Consolas" w:cs="Consolas"/>
      <w:color w:val="000000"/>
      <w:spacing w:val="0"/>
      <w:w w:val="100"/>
      <w:position w:val="0"/>
      <w:sz w:val="18"/>
      <w:szCs w:val="18"/>
      <w:u w:val="none"/>
      <w:lang w:val="en-GB" w:eastAsia="ru-RU" w:bidi="ru-RU"/>
    </w:rPr>
  </w:style>
  <w:style w:type="character" w:customStyle="1" w:styleId="180">
    <w:name w:val="Основной текст (18)_"/>
    <w:link w:val="181"/>
    <w:rsid w:val="00FD0C61"/>
    <w:rPr>
      <w:rFonts w:eastAsia="Times New Roman"/>
      <w:i/>
      <w:iCs/>
      <w:sz w:val="17"/>
      <w:szCs w:val="17"/>
      <w:shd w:val="clear" w:color="auto" w:fill="FFFFFF"/>
    </w:rPr>
  </w:style>
  <w:style w:type="character" w:customStyle="1" w:styleId="182">
    <w:name w:val="Основной текст (18) + Не курсив"/>
    <w:rsid w:val="00FD0C61"/>
    <w:rPr>
      <w:rFonts w:eastAsia="Times New Roman"/>
      <w:i/>
      <w:iCs/>
      <w:color w:val="000000"/>
      <w:spacing w:val="0"/>
      <w:w w:val="100"/>
      <w:position w:val="0"/>
      <w:sz w:val="17"/>
      <w:szCs w:val="17"/>
      <w:shd w:val="clear" w:color="auto" w:fill="FFFFFF"/>
      <w:lang w:val="en-GB" w:eastAsia="ru-RU" w:bidi="ru-RU"/>
    </w:rPr>
  </w:style>
  <w:style w:type="character" w:customStyle="1" w:styleId="191">
    <w:name w:val="Основной текст (19)_"/>
    <w:link w:val="192"/>
    <w:rsid w:val="00FD0C61"/>
    <w:rPr>
      <w:rFonts w:ascii="Trebuchet MS" w:eastAsia="Trebuchet MS" w:hAnsi="Trebuchet MS" w:cs="Trebuchet MS"/>
      <w:sz w:val="8"/>
      <w:szCs w:val="8"/>
      <w:shd w:val="clear" w:color="auto" w:fill="FFFFFF"/>
    </w:rPr>
  </w:style>
  <w:style w:type="character" w:customStyle="1" w:styleId="19SegoeUI75pt">
    <w:name w:val="Основной текст (19) + Segoe UI;7;5 pt;Курсив"/>
    <w:rsid w:val="00FD0C61"/>
    <w:rPr>
      <w:rFonts w:ascii="Segoe UI" w:eastAsia="Segoe UI" w:hAnsi="Segoe UI" w:cs="Segoe UI"/>
      <w:i/>
      <w:iCs/>
      <w:color w:val="000000"/>
      <w:spacing w:val="0"/>
      <w:w w:val="100"/>
      <w:position w:val="0"/>
      <w:sz w:val="15"/>
      <w:szCs w:val="15"/>
      <w:shd w:val="clear" w:color="auto" w:fill="FFFFFF"/>
      <w:lang w:val="en-GB" w:eastAsia="ru-RU" w:bidi="ru-RU"/>
    </w:rPr>
  </w:style>
  <w:style w:type="character" w:customStyle="1" w:styleId="1975pt">
    <w:name w:val="Основной текст (19) + 7;5 pt"/>
    <w:rsid w:val="00FD0C61"/>
    <w:rPr>
      <w:rFonts w:ascii="Trebuchet MS" w:eastAsia="Trebuchet MS" w:hAnsi="Trebuchet MS" w:cs="Trebuchet MS"/>
      <w:color w:val="000000"/>
      <w:spacing w:val="0"/>
      <w:w w:val="100"/>
      <w:position w:val="0"/>
      <w:sz w:val="15"/>
      <w:szCs w:val="15"/>
      <w:shd w:val="clear" w:color="auto" w:fill="FFFFFF"/>
      <w:lang w:val="en-GB" w:eastAsia="ru-RU" w:bidi="ru-RU"/>
    </w:rPr>
  </w:style>
  <w:style w:type="character" w:customStyle="1" w:styleId="2Candara115pt0pt">
    <w:name w:val="Основной текст (2) + Candara;11;5 pt;Интервал 0 pt"/>
    <w:rsid w:val="00FD0C61"/>
    <w:rPr>
      <w:rFonts w:ascii="Candara" w:eastAsia="Candara" w:hAnsi="Candara" w:cs="Candara"/>
      <w:color w:val="000000"/>
      <w:spacing w:val="-10"/>
      <w:w w:val="100"/>
      <w:position w:val="0"/>
      <w:sz w:val="23"/>
      <w:szCs w:val="23"/>
      <w:u w:val="none"/>
      <w:lang w:val="en-GB" w:eastAsia="ru-RU" w:bidi="ru-RU"/>
    </w:rPr>
  </w:style>
  <w:style w:type="character" w:customStyle="1" w:styleId="21pt">
    <w:name w:val="Основной текст (2) + Курсив;Интервал 1 pt"/>
    <w:rsid w:val="00FD0C61"/>
    <w:rPr>
      <w:rFonts w:ascii="Times New Roman" w:eastAsia="Times New Roman" w:hAnsi="Times New Roman" w:cs="Times New Roman"/>
      <w:i/>
      <w:iCs/>
      <w:color w:val="000000"/>
      <w:spacing w:val="20"/>
      <w:w w:val="100"/>
      <w:position w:val="0"/>
      <w:sz w:val="24"/>
      <w:szCs w:val="24"/>
      <w:u w:val="none"/>
      <w:lang w:val="en-GB" w:eastAsia="ru-RU" w:bidi="ru-RU"/>
    </w:rPr>
  </w:style>
  <w:style w:type="character" w:customStyle="1" w:styleId="20Exact">
    <w:name w:val="Основной текст (20) Exact"/>
    <w:rsid w:val="00FD0C61"/>
    <w:rPr>
      <w:rFonts w:ascii="Times New Roman" w:eastAsia="Times New Roman" w:hAnsi="Times New Roman" w:cs="Times New Roman"/>
      <w:i/>
      <w:iCs/>
      <w:sz w:val="20"/>
      <w:szCs w:val="20"/>
      <w:u w:val="none"/>
    </w:rPr>
  </w:style>
  <w:style w:type="character" w:customStyle="1" w:styleId="20Exact0">
    <w:name w:val="Основной текст (20) + Не курсив Exact"/>
    <w:rsid w:val="00FD0C61"/>
    <w:rPr>
      <w:rFonts w:ascii="Times New Roman" w:eastAsia="Times New Roman" w:hAnsi="Times New Roman" w:cs="Times New Roman"/>
      <w:i/>
      <w:iCs/>
      <w:sz w:val="20"/>
      <w:szCs w:val="20"/>
      <w:u w:val="none"/>
    </w:rPr>
  </w:style>
  <w:style w:type="character" w:customStyle="1" w:styleId="200ptExact">
    <w:name w:val="Основной текст (20) + Не курсив;Интервал 0 pt Exact"/>
    <w:rsid w:val="00FD0C61"/>
    <w:rPr>
      <w:rFonts w:ascii="Times New Roman" w:eastAsia="Times New Roman" w:hAnsi="Times New Roman" w:cs="Times New Roman"/>
      <w:i/>
      <w:iCs/>
      <w:spacing w:val="-10"/>
      <w:sz w:val="20"/>
      <w:szCs w:val="20"/>
      <w:u w:val="none"/>
    </w:rPr>
  </w:style>
  <w:style w:type="character" w:customStyle="1" w:styleId="21Exact">
    <w:name w:val="Основной текст (21) Exact"/>
    <w:link w:val="214"/>
    <w:rsid w:val="00FD0C61"/>
    <w:rPr>
      <w:rFonts w:eastAsia="Times New Roman"/>
      <w:i/>
      <w:iCs/>
      <w:shd w:val="clear" w:color="auto" w:fill="FFFFFF"/>
    </w:rPr>
  </w:style>
  <w:style w:type="character" w:customStyle="1" w:styleId="22Exact">
    <w:name w:val="Основной текст (22) Exact"/>
    <w:link w:val="222"/>
    <w:rsid w:val="00FD0C61"/>
    <w:rPr>
      <w:rFonts w:eastAsia="Times New Roman"/>
      <w:i/>
      <w:iCs/>
      <w:spacing w:val="-10"/>
      <w:sz w:val="14"/>
      <w:szCs w:val="14"/>
      <w:shd w:val="clear" w:color="auto" w:fill="FFFFFF"/>
    </w:rPr>
  </w:style>
  <w:style w:type="character" w:customStyle="1" w:styleId="2127pt-1ptExact">
    <w:name w:val="Основной текст (21) + 27 pt;Не курсив;Интервал -1 pt Exact"/>
    <w:rsid w:val="00FD0C61"/>
    <w:rPr>
      <w:rFonts w:eastAsia="Times New Roman"/>
      <w:i/>
      <w:iCs/>
      <w:color w:val="000000"/>
      <w:spacing w:val="-20"/>
      <w:w w:val="100"/>
      <w:position w:val="0"/>
      <w:sz w:val="54"/>
      <w:szCs w:val="54"/>
      <w:shd w:val="clear" w:color="auto" w:fill="FFFFFF"/>
      <w:lang w:val="en-GB" w:eastAsia="ru-RU" w:bidi="ru-RU"/>
    </w:rPr>
  </w:style>
  <w:style w:type="character" w:customStyle="1" w:styleId="211ptExact">
    <w:name w:val="Основной текст (21) + Не курсив;Интервал 1 pt Exact"/>
    <w:rsid w:val="00FD0C61"/>
    <w:rPr>
      <w:rFonts w:eastAsia="Times New Roman"/>
      <w:i/>
      <w:iCs/>
      <w:color w:val="000000"/>
      <w:spacing w:val="20"/>
      <w:w w:val="100"/>
      <w:position w:val="0"/>
      <w:shd w:val="clear" w:color="auto" w:fill="FFFFFF"/>
      <w:lang w:val="en-GB" w:eastAsia="ru-RU" w:bidi="ru-RU"/>
    </w:rPr>
  </w:style>
  <w:style w:type="character" w:customStyle="1" w:styleId="Exact">
    <w:name w:val="Подпись к картинке Exact"/>
    <w:link w:val="afffffff0"/>
    <w:rsid w:val="00FD0C61"/>
    <w:rPr>
      <w:rFonts w:eastAsia="Times New Roman"/>
      <w:shd w:val="clear" w:color="auto" w:fill="FFFFFF"/>
    </w:rPr>
  </w:style>
  <w:style w:type="character" w:customStyle="1" w:styleId="200">
    <w:name w:val="Основной текст (20)_"/>
    <w:rsid w:val="00FD0C61"/>
    <w:rPr>
      <w:rFonts w:ascii="Times New Roman" w:eastAsia="Times New Roman" w:hAnsi="Times New Roman" w:cs="Times New Roman"/>
      <w:i/>
      <w:iCs/>
      <w:sz w:val="20"/>
      <w:szCs w:val="20"/>
      <w:u w:val="none"/>
    </w:rPr>
  </w:style>
  <w:style w:type="character" w:customStyle="1" w:styleId="201">
    <w:name w:val="Основной текст (20)"/>
    <w:rsid w:val="00FD0C61"/>
    <w:rPr>
      <w:rFonts w:ascii="Times New Roman" w:eastAsia="Times New Roman" w:hAnsi="Times New Roman" w:cs="Times New Roman"/>
      <w:i/>
      <w:iCs/>
      <w:color w:val="000000"/>
      <w:spacing w:val="0"/>
      <w:w w:val="100"/>
      <w:position w:val="0"/>
      <w:sz w:val="20"/>
      <w:szCs w:val="20"/>
      <w:u w:val="single"/>
      <w:lang w:val="en-GB" w:eastAsia="ru-RU" w:bidi="ru-RU"/>
    </w:rPr>
  </w:style>
  <w:style w:type="character" w:customStyle="1" w:styleId="202">
    <w:name w:val="Основной текст (20) + Не курсив"/>
    <w:rsid w:val="00FD0C61"/>
    <w:rPr>
      <w:rFonts w:ascii="Times New Roman" w:eastAsia="Times New Roman" w:hAnsi="Times New Roman" w:cs="Times New Roman"/>
      <w:i/>
      <w:iCs/>
      <w:color w:val="000000"/>
      <w:spacing w:val="0"/>
      <w:w w:val="100"/>
      <w:position w:val="0"/>
      <w:sz w:val="20"/>
      <w:szCs w:val="20"/>
      <w:u w:val="none"/>
      <w:lang w:val="en-GB" w:eastAsia="ru-RU" w:bidi="ru-RU"/>
    </w:rPr>
  </w:style>
  <w:style w:type="character" w:customStyle="1" w:styleId="2012pt">
    <w:name w:val="Основной текст (20) + 12 pt;Не курсив"/>
    <w:rsid w:val="00FD0C61"/>
    <w:rPr>
      <w:rFonts w:ascii="Times New Roman" w:eastAsia="Times New Roman" w:hAnsi="Times New Roman" w:cs="Times New Roman"/>
      <w:i/>
      <w:iCs/>
      <w:color w:val="000000"/>
      <w:spacing w:val="0"/>
      <w:w w:val="100"/>
      <w:position w:val="0"/>
      <w:sz w:val="24"/>
      <w:szCs w:val="24"/>
      <w:u w:val="none"/>
      <w:lang w:val="en-GB" w:eastAsia="ru-RU" w:bidi="ru-RU"/>
    </w:rPr>
  </w:style>
  <w:style w:type="character" w:customStyle="1" w:styleId="2012pt0">
    <w:name w:val="Основной текст (20) + 12 pt"/>
    <w:rsid w:val="00FD0C61"/>
    <w:rPr>
      <w:rFonts w:ascii="Times New Roman" w:eastAsia="Times New Roman" w:hAnsi="Times New Roman" w:cs="Times New Roman"/>
      <w:i/>
      <w:iCs/>
      <w:color w:val="000000"/>
      <w:spacing w:val="0"/>
      <w:w w:val="100"/>
      <w:position w:val="0"/>
      <w:sz w:val="24"/>
      <w:szCs w:val="24"/>
      <w:u w:val="none"/>
      <w:lang w:val="en-GB" w:eastAsia="en-US" w:bidi="en-US"/>
    </w:rPr>
  </w:style>
  <w:style w:type="character" w:customStyle="1" w:styleId="93">
    <w:name w:val="Основной текст (9)_"/>
    <w:rsid w:val="00FD0C61"/>
    <w:rPr>
      <w:rFonts w:ascii="Times New Roman" w:eastAsia="Times New Roman" w:hAnsi="Times New Roman" w:cs="Times New Roman"/>
      <w:i/>
      <w:iCs/>
      <w:u w:val="none"/>
    </w:rPr>
  </w:style>
  <w:style w:type="character" w:customStyle="1" w:styleId="230">
    <w:name w:val="Основной текст (23)_"/>
    <w:rsid w:val="00FD0C61"/>
    <w:rPr>
      <w:rFonts w:ascii="Times New Roman" w:eastAsia="Times New Roman" w:hAnsi="Times New Roman" w:cs="Times New Roman"/>
      <w:i/>
      <w:iCs/>
      <w:sz w:val="21"/>
      <w:szCs w:val="21"/>
      <w:u w:val="none"/>
    </w:rPr>
  </w:style>
  <w:style w:type="character" w:customStyle="1" w:styleId="231">
    <w:name w:val="Основной текст (23)"/>
    <w:rsid w:val="00FD0C61"/>
    <w:rPr>
      <w:rFonts w:ascii="Times New Roman" w:eastAsia="Times New Roman" w:hAnsi="Times New Roman" w:cs="Times New Roman"/>
      <w:i/>
      <w:iCs/>
      <w:color w:val="000000"/>
      <w:spacing w:val="0"/>
      <w:w w:val="100"/>
      <w:position w:val="0"/>
      <w:sz w:val="21"/>
      <w:szCs w:val="21"/>
      <w:u w:val="single"/>
      <w:lang w:val="en-GB" w:eastAsia="ru-RU" w:bidi="ru-RU"/>
    </w:rPr>
  </w:style>
  <w:style w:type="character" w:customStyle="1" w:styleId="15TrebuchetMSExact">
    <w:name w:val="Основной текст (15) + Trebuchet MS;Не курсив Exact"/>
    <w:rsid w:val="00FD0C61"/>
    <w:rPr>
      <w:rFonts w:ascii="Trebuchet MS" w:eastAsia="Trebuchet MS" w:hAnsi="Trebuchet MS" w:cs="Trebuchet MS"/>
      <w:i/>
      <w:iCs/>
      <w:color w:val="000000"/>
      <w:spacing w:val="0"/>
      <w:w w:val="100"/>
      <w:position w:val="0"/>
      <w:sz w:val="15"/>
      <w:szCs w:val="15"/>
      <w:u w:val="single"/>
      <w:shd w:val="clear" w:color="auto" w:fill="FFFFFF"/>
      <w:lang w:val="en-GB" w:eastAsia="ru-RU" w:bidi="ru-RU"/>
    </w:rPr>
  </w:style>
  <w:style w:type="character" w:customStyle="1" w:styleId="15TrebuchetMS55ptExact">
    <w:name w:val="Основной текст (15) + Trebuchet MS;5;5 pt;Не курсив Exact"/>
    <w:rsid w:val="00FD0C61"/>
    <w:rPr>
      <w:rFonts w:ascii="Trebuchet MS" w:eastAsia="Trebuchet MS" w:hAnsi="Trebuchet MS" w:cs="Trebuchet MS"/>
      <w:i/>
      <w:iCs/>
      <w:color w:val="000000"/>
      <w:spacing w:val="0"/>
      <w:w w:val="100"/>
      <w:position w:val="0"/>
      <w:sz w:val="11"/>
      <w:szCs w:val="11"/>
      <w:shd w:val="clear" w:color="auto" w:fill="FFFFFF"/>
      <w:lang w:val="en-GB" w:eastAsia="en-US" w:bidi="en-US"/>
    </w:rPr>
  </w:style>
  <w:style w:type="character" w:customStyle="1" w:styleId="15TimesNewRomanExact">
    <w:name w:val="Основной текст (15) + Times New Roman Exact"/>
    <w:rsid w:val="00FD0C61"/>
    <w:rPr>
      <w:rFonts w:ascii="Times New Roman" w:eastAsia="Times New Roman" w:hAnsi="Times New Roman" w:cs="Times New Roman"/>
      <w:i/>
      <w:iCs/>
      <w:color w:val="000000"/>
      <w:spacing w:val="0"/>
      <w:w w:val="100"/>
      <w:position w:val="0"/>
      <w:sz w:val="15"/>
      <w:szCs w:val="15"/>
      <w:shd w:val="clear" w:color="auto" w:fill="FFFFFF"/>
      <w:lang w:val="en-GB" w:eastAsia="ru-RU" w:bidi="ru-RU"/>
    </w:rPr>
  </w:style>
  <w:style w:type="character" w:customStyle="1" w:styleId="2Exact0">
    <w:name w:val="Подпись к картинке (2) Exact"/>
    <w:link w:val="2f6"/>
    <w:rsid w:val="00FD0C61"/>
    <w:rPr>
      <w:rFonts w:eastAsia="Times New Roman"/>
      <w:i/>
      <w:iCs/>
      <w:shd w:val="clear" w:color="auto" w:fill="FFFFFF"/>
    </w:rPr>
  </w:style>
  <w:style w:type="character" w:customStyle="1" w:styleId="2Exact1">
    <w:name w:val="Подпись к картинке (2) + Не курсив Exact"/>
    <w:rsid w:val="00FD0C61"/>
    <w:rPr>
      <w:rFonts w:eastAsia="Times New Roman"/>
      <w:i/>
      <w:iCs/>
      <w:color w:val="000000"/>
      <w:spacing w:val="0"/>
      <w:w w:val="100"/>
      <w:position w:val="0"/>
      <w:sz w:val="24"/>
      <w:szCs w:val="24"/>
      <w:shd w:val="clear" w:color="auto" w:fill="FFFFFF"/>
      <w:lang w:val="en-GB" w:eastAsia="ru-RU" w:bidi="ru-RU"/>
    </w:rPr>
  </w:style>
  <w:style w:type="character" w:customStyle="1" w:styleId="3Exact">
    <w:name w:val="Подпись к картинке (3) Exact"/>
    <w:link w:val="3f3"/>
    <w:rsid w:val="00FD0C61"/>
    <w:rPr>
      <w:rFonts w:eastAsia="Times New Roman"/>
      <w:i/>
      <w:iCs/>
      <w:sz w:val="15"/>
      <w:szCs w:val="15"/>
      <w:shd w:val="clear" w:color="auto" w:fill="FFFFFF"/>
    </w:rPr>
  </w:style>
  <w:style w:type="character" w:customStyle="1" w:styleId="2SegoeUI10pt">
    <w:name w:val="Основной текст (2) + Segoe UI;10 pt;Полужирный"/>
    <w:rsid w:val="00FD0C61"/>
    <w:rPr>
      <w:rFonts w:ascii="Segoe UI" w:eastAsia="Segoe UI" w:hAnsi="Segoe UI" w:cs="Segoe UI"/>
      <w:b/>
      <w:bCs/>
      <w:color w:val="000000"/>
      <w:spacing w:val="0"/>
      <w:w w:val="100"/>
      <w:position w:val="0"/>
      <w:sz w:val="20"/>
      <w:szCs w:val="20"/>
      <w:u w:val="none"/>
      <w:lang w:val="en-GB" w:eastAsia="ru-RU" w:bidi="ru-RU"/>
    </w:rPr>
  </w:style>
  <w:style w:type="character" w:customStyle="1" w:styleId="65">
    <w:name w:val="Основной текст (6) + Малые прописные"/>
    <w:rsid w:val="00FD0C61"/>
    <w:rPr>
      <w:rFonts w:eastAsia="Times New Roman"/>
      <w:i/>
      <w:iCs/>
      <w:smallCaps/>
      <w:color w:val="000000"/>
      <w:spacing w:val="0"/>
      <w:w w:val="100"/>
      <w:position w:val="0"/>
      <w:sz w:val="15"/>
      <w:szCs w:val="15"/>
      <w:u w:val="single"/>
      <w:shd w:val="clear" w:color="auto" w:fill="FFFFFF"/>
      <w:lang w:val="en-GB" w:eastAsia="en-US" w:bidi="en-US"/>
    </w:rPr>
  </w:style>
  <w:style w:type="character" w:customStyle="1" w:styleId="94">
    <w:name w:val="Основной текст (9) + Не курсив"/>
    <w:rsid w:val="00FD0C61"/>
    <w:rPr>
      <w:rFonts w:ascii="Times New Roman" w:eastAsia="Times New Roman" w:hAnsi="Times New Roman" w:cs="Times New Roman"/>
      <w:i/>
      <w:iCs/>
      <w:color w:val="000000"/>
      <w:spacing w:val="0"/>
      <w:w w:val="100"/>
      <w:position w:val="0"/>
      <w:sz w:val="24"/>
      <w:szCs w:val="24"/>
      <w:u w:val="none"/>
      <w:lang w:val="en-GB" w:eastAsia="ru-RU" w:bidi="ru-RU"/>
    </w:rPr>
  </w:style>
  <w:style w:type="character" w:customStyle="1" w:styleId="240">
    <w:name w:val="Основной текст (24)_"/>
    <w:link w:val="241"/>
    <w:rsid w:val="00FD0C61"/>
    <w:rPr>
      <w:rFonts w:eastAsia="Times New Roman"/>
      <w:i/>
      <w:iCs/>
      <w:shd w:val="clear" w:color="auto" w:fill="FFFFFF"/>
    </w:rPr>
  </w:style>
  <w:style w:type="character" w:customStyle="1" w:styleId="250">
    <w:name w:val="Основной текст (25)_"/>
    <w:link w:val="251"/>
    <w:rsid w:val="00FD0C61"/>
    <w:rPr>
      <w:rFonts w:ascii="Trebuchet MS" w:eastAsia="Trebuchet MS" w:hAnsi="Trebuchet MS" w:cs="Trebuchet MS"/>
      <w:shd w:val="clear" w:color="auto" w:fill="FFFFFF"/>
    </w:rPr>
  </w:style>
  <w:style w:type="character" w:customStyle="1" w:styleId="25115pt">
    <w:name w:val="Основной текст (25) + 11;5 pt;Курсив"/>
    <w:rsid w:val="00FD0C61"/>
    <w:rPr>
      <w:rFonts w:ascii="Trebuchet MS" w:eastAsia="Trebuchet MS" w:hAnsi="Trebuchet MS" w:cs="Trebuchet MS"/>
      <w:i/>
      <w:iCs/>
      <w:color w:val="000000"/>
      <w:spacing w:val="0"/>
      <w:w w:val="100"/>
      <w:position w:val="0"/>
      <w:sz w:val="23"/>
      <w:szCs w:val="23"/>
      <w:shd w:val="clear" w:color="auto" w:fill="FFFFFF"/>
      <w:lang w:val="en-GB" w:eastAsia="ru-RU" w:bidi="ru-RU"/>
    </w:rPr>
  </w:style>
  <w:style w:type="character" w:customStyle="1" w:styleId="25TimesNewRoman12pt">
    <w:name w:val="Основной текст (25) + Times New Roman;12 pt;Полужирный"/>
    <w:rsid w:val="00FD0C61"/>
    <w:rPr>
      <w:rFonts w:ascii="Times New Roman" w:eastAsia="Times New Roman" w:hAnsi="Times New Roman" w:cs="Times New Roman"/>
      <w:b/>
      <w:bCs/>
      <w:color w:val="000000"/>
      <w:spacing w:val="0"/>
      <w:w w:val="100"/>
      <w:position w:val="0"/>
      <w:sz w:val="24"/>
      <w:szCs w:val="24"/>
      <w:shd w:val="clear" w:color="auto" w:fill="FFFFFF"/>
      <w:lang w:val="en-GB" w:eastAsia="ru-RU" w:bidi="ru-RU"/>
    </w:rPr>
  </w:style>
  <w:style w:type="character" w:customStyle="1" w:styleId="2f7">
    <w:name w:val="Основной текст (2) + Малые прописные"/>
    <w:rsid w:val="00FD0C61"/>
    <w:rPr>
      <w:rFonts w:ascii="Times New Roman" w:eastAsia="Times New Roman" w:hAnsi="Times New Roman" w:cs="Times New Roman"/>
      <w:smallCaps/>
      <w:color w:val="000000"/>
      <w:spacing w:val="0"/>
      <w:w w:val="100"/>
      <w:position w:val="0"/>
      <w:sz w:val="24"/>
      <w:szCs w:val="24"/>
      <w:u w:val="none"/>
      <w:lang w:val="en-GB" w:eastAsia="ru-RU" w:bidi="ru-RU"/>
    </w:rPr>
  </w:style>
  <w:style w:type="character" w:customStyle="1" w:styleId="4Exact">
    <w:name w:val="Заголовок №4 Exact"/>
    <w:link w:val="46"/>
    <w:rsid w:val="00FD0C61"/>
    <w:rPr>
      <w:rFonts w:ascii="Trebuchet MS" w:eastAsia="Trebuchet MS" w:hAnsi="Trebuchet MS" w:cs="Trebuchet MS"/>
      <w:b/>
      <w:bCs/>
      <w:i/>
      <w:iCs/>
      <w:sz w:val="26"/>
      <w:szCs w:val="26"/>
      <w:shd w:val="clear" w:color="auto" w:fill="FFFFFF"/>
    </w:rPr>
  </w:style>
  <w:style w:type="character" w:customStyle="1" w:styleId="18Exact">
    <w:name w:val="Основной текст (18) Exact"/>
    <w:rsid w:val="00FD0C61"/>
    <w:rPr>
      <w:rFonts w:ascii="Times New Roman" w:eastAsia="Times New Roman" w:hAnsi="Times New Roman" w:cs="Times New Roman"/>
      <w:i/>
      <w:iCs/>
      <w:sz w:val="17"/>
      <w:szCs w:val="17"/>
      <w:u w:val="none"/>
    </w:rPr>
  </w:style>
  <w:style w:type="character" w:customStyle="1" w:styleId="3Exact0">
    <w:name w:val="Заголовок №3 Exact"/>
    <w:link w:val="3f4"/>
    <w:rsid w:val="00FD0C61"/>
    <w:rPr>
      <w:rFonts w:ascii="Trebuchet MS" w:eastAsia="Trebuchet MS" w:hAnsi="Trebuchet MS" w:cs="Trebuchet MS"/>
      <w:b/>
      <w:bCs/>
      <w:i/>
      <w:iCs/>
      <w:sz w:val="36"/>
      <w:szCs w:val="36"/>
      <w:shd w:val="clear" w:color="auto" w:fill="FFFFFF"/>
    </w:rPr>
  </w:style>
  <w:style w:type="character" w:customStyle="1" w:styleId="6Exact0">
    <w:name w:val="Заголовок №6 Exact"/>
    <w:link w:val="66"/>
    <w:rsid w:val="00FD0C61"/>
    <w:rPr>
      <w:rFonts w:ascii="Trebuchet MS" w:eastAsia="Trebuchet MS" w:hAnsi="Trebuchet MS" w:cs="Trebuchet MS"/>
      <w:b/>
      <w:bCs/>
      <w:i/>
      <w:iCs/>
      <w:sz w:val="26"/>
      <w:szCs w:val="26"/>
      <w:shd w:val="clear" w:color="auto" w:fill="FFFFFF"/>
    </w:rPr>
  </w:style>
  <w:style w:type="character" w:customStyle="1" w:styleId="6TimesNewRoman8ptExact">
    <w:name w:val="Заголовок №6 + Times New Roman;8 pt;Не курсив Exact"/>
    <w:rsid w:val="00FD0C61"/>
    <w:rPr>
      <w:rFonts w:ascii="Times New Roman" w:eastAsia="Times New Roman" w:hAnsi="Times New Roman" w:cs="Times New Roman"/>
      <w:b/>
      <w:bCs/>
      <w:i/>
      <w:iCs/>
      <w:color w:val="000000"/>
      <w:spacing w:val="0"/>
      <w:w w:val="100"/>
      <w:position w:val="0"/>
      <w:sz w:val="16"/>
      <w:szCs w:val="16"/>
      <w:shd w:val="clear" w:color="auto" w:fill="FFFFFF"/>
      <w:lang w:val="en-GB" w:eastAsia="ru-RU" w:bidi="ru-RU"/>
    </w:rPr>
  </w:style>
  <w:style w:type="character" w:customStyle="1" w:styleId="2Exact2">
    <w:name w:val="Заголовок №2 Exact"/>
    <w:link w:val="2f8"/>
    <w:rsid w:val="00FD0C61"/>
    <w:rPr>
      <w:rFonts w:eastAsia="Times New Roman"/>
      <w:b/>
      <w:bCs/>
      <w:sz w:val="42"/>
      <w:szCs w:val="42"/>
      <w:shd w:val="clear" w:color="auto" w:fill="FFFFFF"/>
    </w:rPr>
  </w:style>
  <w:style w:type="character" w:customStyle="1" w:styleId="91pt">
    <w:name w:val="Основной текст (9) + Интервал 1 pt"/>
    <w:rsid w:val="00FD0C61"/>
    <w:rPr>
      <w:rFonts w:ascii="Times New Roman" w:eastAsia="Times New Roman" w:hAnsi="Times New Roman" w:cs="Times New Roman"/>
      <w:i/>
      <w:iCs/>
      <w:color w:val="000000"/>
      <w:spacing w:val="30"/>
      <w:w w:val="100"/>
      <w:position w:val="0"/>
      <w:sz w:val="24"/>
      <w:szCs w:val="24"/>
      <w:u w:val="none"/>
      <w:lang w:val="en-GB" w:eastAsia="en-US" w:bidi="en-US"/>
    </w:rPr>
  </w:style>
  <w:style w:type="character" w:customStyle="1" w:styleId="285pt">
    <w:name w:val="Основной текст (2) + 8;5 pt;Малые прописные"/>
    <w:rsid w:val="00FD0C61"/>
    <w:rPr>
      <w:rFonts w:ascii="Times New Roman" w:eastAsia="Times New Roman" w:hAnsi="Times New Roman" w:cs="Times New Roman"/>
      <w:smallCaps/>
      <w:color w:val="000000"/>
      <w:spacing w:val="0"/>
      <w:w w:val="100"/>
      <w:position w:val="0"/>
      <w:sz w:val="17"/>
      <w:szCs w:val="17"/>
      <w:u w:val="none"/>
      <w:lang w:val="en-GB" w:eastAsia="ru-RU" w:bidi="ru-RU"/>
    </w:rPr>
  </w:style>
  <w:style w:type="character" w:customStyle="1" w:styleId="2TrebuchetMS45pt">
    <w:name w:val="Основной текст (2) + Trebuchet MS;4;5 pt"/>
    <w:rsid w:val="00FD0C61"/>
    <w:rPr>
      <w:rFonts w:ascii="Trebuchet MS" w:eastAsia="Trebuchet MS" w:hAnsi="Trebuchet MS" w:cs="Trebuchet MS"/>
      <w:color w:val="000000"/>
      <w:spacing w:val="0"/>
      <w:w w:val="100"/>
      <w:position w:val="0"/>
      <w:sz w:val="9"/>
      <w:szCs w:val="9"/>
      <w:u w:val="none"/>
      <w:lang w:val="en-GB" w:eastAsia="ru-RU" w:bidi="ru-RU"/>
    </w:rPr>
  </w:style>
  <w:style w:type="character" w:customStyle="1" w:styleId="21pt0">
    <w:name w:val="Основной текст (2) + Полужирный;Интервал 1 pt"/>
    <w:rsid w:val="00FD0C61"/>
    <w:rPr>
      <w:rFonts w:ascii="Times New Roman" w:eastAsia="Times New Roman" w:hAnsi="Times New Roman" w:cs="Times New Roman"/>
      <w:b/>
      <w:bCs/>
      <w:color w:val="000000"/>
      <w:spacing w:val="30"/>
      <w:w w:val="100"/>
      <w:position w:val="0"/>
      <w:sz w:val="24"/>
      <w:szCs w:val="24"/>
      <w:u w:val="none"/>
      <w:lang w:val="en-GB" w:eastAsia="ru-RU" w:bidi="ru-RU"/>
    </w:rPr>
  </w:style>
  <w:style w:type="character" w:customStyle="1" w:styleId="4Exact0">
    <w:name w:val="Подпись к картинке (4) Exact"/>
    <w:link w:val="47"/>
    <w:rsid w:val="00FD0C61"/>
    <w:rPr>
      <w:rFonts w:eastAsia="Times New Roman"/>
      <w:i/>
      <w:iCs/>
      <w:sz w:val="13"/>
      <w:szCs w:val="13"/>
      <w:shd w:val="clear" w:color="auto" w:fill="FFFFFF"/>
    </w:rPr>
  </w:style>
  <w:style w:type="character" w:customStyle="1" w:styleId="26Exact">
    <w:name w:val="Основной текст (26) Exact"/>
    <w:link w:val="260"/>
    <w:rsid w:val="00FD0C61"/>
    <w:rPr>
      <w:rFonts w:ascii="Trebuchet MS" w:eastAsia="Trebuchet MS" w:hAnsi="Trebuchet MS" w:cs="Trebuchet MS"/>
      <w:sz w:val="21"/>
      <w:szCs w:val="21"/>
      <w:shd w:val="clear" w:color="auto" w:fill="FFFFFF"/>
    </w:rPr>
  </w:style>
  <w:style w:type="character" w:customStyle="1" w:styleId="5Exact">
    <w:name w:val="Заголовок №5 Exact"/>
    <w:rsid w:val="00FD0C61"/>
    <w:rPr>
      <w:rFonts w:ascii="Times New Roman" w:eastAsia="Times New Roman" w:hAnsi="Times New Roman" w:cs="Times New Roman"/>
      <w:i/>
      <w:iCs/>
      <w:u w:val="none"/>
      <w:lang w:val="en-GB" w:eastAsia="en-US" w:bidi="en-US"/>
    </w:rPr>
  </w:style>
  <w:style w:type="character" w:customStyle="1" w:styleId="2Exact3">
    <w:name w:val="Основной текст (2) + Курсив Exact"/>
    <w:rsid w:val="00FD0C61"/>
    <w:rPr>
      <w:rFonts w:ascii="Times New Roman" w:eastAsia="Times New Roman" w:hAnsi="Times New Roman" w:cs="Times New Roman"/>
      <w:i/>
      <w:iCs/>
      <w:color w:val="000000"/>
      <w:spacing w:val="0"/>
      <w:w w:val="100"/>
      <w:position w:val="0"/>
      <w:sz w:val="24"/>
      <w:szCs w:val="24"/>
      <w:u w:val="none"/>
      <w:lang w:val="en-GB" w:eastAsia="en-US" w:bidi="en-US"/>
    </w:rPr>
  </w:style>
  <w:style w:type="character" w:customStyle="1" w:styleId="5Exact0">
    <w:name w:val="Подпись к картинке (5) Exact"/>
    <w:link w:val="57"/>
    <w:rsid w:val="00FD0C61"/>
    <w:rPr>
      <w:rFonts w:eastAsia="Times New Roman"/>
      <w:i/>
      <w:iCs/>
      <w:sz w:val="15"/>
      <w:szCs w:val="15"/>
      <w:shd w:val="clear" w:color="auto" w:fill="FFFFFF"/>
    </w:rPr>
  </w:style>
  <w:style w:type="character" w:customStyle="1" w:styleId="17Exact">
    <w:name w:val="Основной текст (17) Exact"/>
    <w:rsid w:val="00FD0C61"/>
    <w:rPr>
      <w:rFonts w:ascii="Times New Roman" w:eastAsia="Times New Roman" w:hAnsi="Times New Roman" w:cs="Times New Roman"/>
      <w:sz w:val="17"/>
      <w:szCs w:val="17"/>
      <w:u w:val="none"/>
    </w:rPr>
  </w:style>
  <w:style w:type="character" w:customStyle="1" w:styleId="712ptExact">
    <w:name w:val="Основной текст (7) + 12 pt;Полужирный;Не курсив Exact"/>
    <w:rsid w:val="00FD0C61"/>
    <w:rPr>
      <w:rFonts w:ascii="Times New Roman" w:eastAsia="Times New Roman" w:hAnsi="Times New Roman" w:cs="Times New Roman"/>
      <w:b/>
      <w:bCs/>
      <w:i/>
      <w:iCs/>
      <w:color w:val="000000"/>
      <w:spacing w:val="0"/>
      <w:w w:val="100"/>
      <w:position w:val="0"/>
      <w:sz w:val="24"/>
      <w:szCs w:val="24"/>
      <w:shd w:val="clear" w:color="auto" w:fill="FFFFFF"/>
      <w:lang w:val="en-GB" w:eastAsia="en-US" w:bidi="en-US"/>
    </w:rPr>
  </w:style>
  <w:style w:type="character" w:customStyle="1" w:styleId="30Exact">
    <w:name w:val="Основной текст (30) Exact"/>
    <w:link w:val="300"/>
    <w:rsid w:val="00FD0C61"/>
    <w:rPr>
      <w:rFonts w:ascii="Trebuchet MS" w:eastAsia="Trebuchet MS" w:hAnsi="Trebuchet MS" w:cs="Trebuchet MS"/>
      <w:spacing w:val="-10"/>
      <w:sz w:val="21"/>
      <w:szCs w:val="21"/>
      <w:shd w:val="clear" w:color="auto" w:fill="FFFFFF"/>
    </w:rPr>
  </w:style>
  <w:style w:type="character" w:customStyle="1" w:styleId="30TimesNewRoman115pt0ptExact">
    <w:name w:val="Основной текст (30) + Times New Roman;11;5 pt;Интервал 0 pt Exact"/>
    <w:rsid w:val="00FD0C61"/>
    <w:rPr>
      <w:rFonts w:ascii="Times New Roman" w:eastAsia="Times New Roman" w:hAnsi="Times New Roman" w:cs="Times New Roman"/>
      <w:b/>
      <w:bCs/>
      <w:color w:val="000000"/>
      <w:spacing w:val="0"/>
      <w:position w:val="0"/>
      <w:sz w:val="23"/>
      <w:szCs w:val="23"/>
      <w:shd w:val="clear" w:color="auto" w:fill="FFFFFF"/>
      <w:lang w:val="en-GB" w:eastAsia="ru-RU" w:bidi="ru-RU"/>
    </w:rPr>
  </w:style>
  <w:style w:type="character" w:customStyle="1" w:styleId="31Exact">
    <w:name w:val="Основной текст (31) Exact"/>
    <w:link w:val="316"/>
    <w:rsid w:val="00FD0C61"/>
    <w:rPr>
      <w:rFonts w:ascii="Trebuchet MS" w:eastAsia="Trebuchet MS" w:hAnsi="Trebuchet MS" w:cs="Trebuchet MS"/>
      <w:b/>
      <w:bCs/>
      <w:i/>
      <w:iCs/>
      <w:spacing w:val="-10"/>
      <w:sz w:val="36"/>
      <w:szCs w:val="36"/>
      <w:shd w:val="clear" w:color="auto" w:fill="FFFFFF"/>
    </w:rPr>
  </w:style>
  <w:style w:type="character" w:customStyle="1" w:styleId="6Exact1">
    <w:name w:val="Подпись к картинке (6) Exact"/>
    <w:link w:val="67"/>
    <w:rsid w:val="00FD0C61"/>
    <w:rPr>
      <w:rFonts w:ascii="Segoe UI" w:eastAsia="Segoe UI" w:hAnsi="Segoe UI" w:cs="Segoe UI"/>
      <w:i/>
      <w:iCs/>
      <w:sz w:val="15"/>
      <w:szCs w:val="15"/>
      <w:shd w:val="clear" w:color="auto" w:fill="FFFFFF"/>
    </w:rPr>
  </w:style>
  <w:style w:type="character" w:customStyle="1" w:styleId="25Exact">
    <w:name w:val="Основной текст (25) Exact"/>
    <w:rsid w:val="00FD0C61"/>
    <w:rPr>
      <w:rFonts w:ascii="Trebuchet MS" w:eastAsia="Trebuchet MS" w:hAnsi="Trebuchet MS" w:cs="Trebuchet MS"/>
      <w:sz w:val="22"/>
      <w:szCs w:val="22"/>
      <w:u w:val="none"/>
    </w:rPr>
  </w:style>
  <w:style w:type="character" w:customStyle="1" w:styleId="270">
    <w:name w:val="Основной текст (27)_"/>
    <w:link w:val="271"/>
    <w:rsid w:val="00FD0C61"/>
    <w:rPr>
      <w:rFonts w:ascii="Trebuchet MS" w:eastAsia="Trebuchet MS" w:hAnsi="Trebuchet MS" w:cs="Trebuchet MS"/>
      <w:i/>
      <w:iCs/>
      <w:sz w:val="20"/>
      <w:szCs w:val="20"/>
      <w:shd w:val="clear" w:color="auto" w:fill="FFFFFF"/>
      <w:lang w:val="en-GB" w:bidi="en-US"/>
    </w:rPr>
  </w:style>
  <w:style w:type="character" w:customStyle="1" w:styleId="272">
    <w:name w:val="Основной текст (27) + Не курсив"/>
    <w:rsid w:val="00FD0C61"/>
    <w:rPr>
      <w:rFonts w:ascii="Trebuchet MS" w:eastAsia="Trebuchet MS" w:hAnsi="Trebuchet MS" w:cs="Trebuchet MS"/>
      <w:i/>
      <w:iCs/>
      <w:color w:val="000000"/>
      <w:spacing w:val="0"/>
      <w:w w:val="100"/>
      <w:position w:val="0"/>
      <w:sz w:val="20"/>
      <w:szCs w:val="20"/>
      <w:shd w:val="clear" w:color="auto" w:fill="FFFFFF"/>
      <w:lang w:val="en-GB" w:eastAsia="ru-RU" w:bidi="ru-RU"/>
    </w:rPr>
  </w:style>
  <w:style w:type="character" w:customStyle="1" w:styleId="2745pt">
    <w:name w:val="Основной текст (27) + 4;5 pt;Не курсив"/>
    <w:rsid w:val="00FD0C61"/>
    <w:rPr>
      <w:rFonts w:ascii="Trebuchet MS" w:eastAsia="Trebuchet MS" w:hAnsi="Trebuchet MS" w:cs="Trebuchet MS"/>
      <w:i/>
      <w:iCs/>
      <w:color w:val="000000"/>
      <w:spacing w:val="0"/>
      <w:w w:val="100"/>
      <w:position w:val="0"/>
      <w:sz w:val="9"/>
      <w:szCs w:val="9"/>
      <w:shd w:val="clear" w:color="auto" w:fill="FFFFFF"/>
      <w:lang w:val="en-GB" w:bidi="en-US"/>
    </w:rPr>
  </w:style>
  <w:style w:type="character" w:customStyle="1" w:styleId="280">
    <w:name w:val="Основной текст (28)_"/>
    <w:rsid w:val="00FD0C61"/>
    <w:rPr>
      <w:rFonts w:ascii="Segoe UI" w:eastAsia="Segoe UI" w:hAnsi="Segoe UI" w:cs="Segoe UI"/>
      <w:b/>
      <w:bCs/>
      <w:spacing w:val="-20"/>
      <w:sz w:val="32"/>
      <w:szCs w:val="32"/>
      <w:u w:val="none"/>
    </w:rPr>
  </w:style>
  <w:style w:type="character" w:customStyle="1" w:styleId="281">
    <w:name w:val="Основной текст (28)"/>
    <w:rsid w:val="00FD0C61"/>
    <w:rPr>
      <w:rFonts w:ascii="Segoe UI" w:eastAsia="Segoe UI" w:hAnsi="Segoe UI" w:cs="Segoe UI"/>
      <w:b/>
      <w:bCs/>
      <w:strike/>
      <w:color w:val="000000"/>
      <w:spacing w:val="-20"/>
      <w:w w:val="100"/>
      <w:position w:val="0"/>
      <w:sz w:val="32"/>
      <w:szCs w:val="32"/>
      <w:u w:val="none"/>
      <w:lang w:val="en-GB" w:eastAsia="ru-RU" w:bidi="ru-RU"/>
    </w:rPr>
  </w:style>
  <w:style w:type="character" w:customStyle="1" w:styleId="290">
    <w:name w:val="Основной текст (29)_"/>
    <w:link w:val="291"/>
    <w:rsid w:val="00FD0C61"/>
    <w:rPr>
      <w:rFonts w:eastAsia="Times New Roman"/>
      <w:sz w:val="17"/>
      <w:szCs w:val="17"/>
      <w:shd w:val="clear" w:color="auto" w:fill="FFFFFF"/>
    </w:rPr>
  </w:style>
  <w:style w:type="character" w:customStyle="1" w:styleId="95">
    <w:name w:val="Основной текст (9)"/>
    <w:rsid w:val="00FD0C61"/>
    <w:rPr>
      <w:rFonts w:ascii="Times New Roman" w:eastAsia="Times New Roman" w:hAnsi="Times New Roman" w:cs="Times New Roman"/>
      <w:i/>
      <w:iCs/>
      <w:color w:val="000000"/>
      <w:spacing w:val="0"/>
      <w:w w:val="100"/>
      <w:position w:val="0"/>
      <w:sz w:val="24"/>
      <w:szCs w:val="24"/>
      <w:u w:val="single"/>
      <w:lang w:val="en-GB" w:eastAsia="ru-RU" w:bidi="ru-RU"/>
    </w:rPr>
  </w:style>
  <w:style w:type="character" w:customStyle="1" w:styleId="7Exact0">
    <w:name w:val="Подпись к картинке (7) Exact"/>
    <w:link w:val="78"/>
    <w:rsid w:val="00FD0C61"/>
    <w:rPr>
      <w:rFonts w:eastAsia="Times New Roman"/>
      <w:i/>
      <w:iCs/>
      <w:sz w:val="17"/>
      <w:szCs w:val="17"/>
      <w:shd w:val="clear" w:color="auto" w:fill="FFFFFF"/>
    </w:rPr>
  </w:style>
  <w:style w:type="character" w:customStyle="1" w:styleId="SegoeUI75pt">
    <w:name w:val="Колонтитул + Segoe UI;7;5 pt;Курсив"/>
    <w:rsid w:val="00FD0C61"/>
    <w:rPr>
      <w:rFonts w:ascii="Segoe UI" w:eastAsia="Segoe UI" w:hAnsi="Segoe UI" w:cs="Segoe UI"/>
      <w:i/>
      <w:iCs/>
      <w:color w:val="000000"/>
      <w:spacing w:val="0"/>
      <w:w w:val="100"/>
      <w:position w:val="0"/>
      <w:sz w:val="15"/>
      <w:szCs w:val="15"/>
      <w:u w:val="none"/>
      <w:lang w:val="en-GB" w:eastAsia="ru-RU" w:bidi="ru-RU"/>
    </w:rPr>
  </w:style>
  <w:style w:type="character" w:customStyle="1" w:styleId="2Candara115pt">
    <w:name w:val="Основной текст (2) + Candara;11;5 pt"/>
    <w:rsid w:val="00FD0C61"/>
    <w:rPr>
      <w:rFonts w:ascii="Candara" w:eastAsia="Candara" w:hAnsi="Candara" w:cs="Candara"/>
      <w:color w:val="000000"/>
      <w:spacing w:val="0"/>
      <w:w w:val="100"/>
      <w:position w:val="0"/>
      <w:sz w:val="23"/>
      <w:szCs w:val="23"/>
      <w:u w:val="none"/>
      <w:lang w:val="en-GB" w:eastAsia="ru-RU" w:bidi="ru-RU"/>
    </w:rPr>
  </w:style>
  <w:style w:type="character" w:customStyle="1" w:styleId="285pt0">
    <w:name w:val="Основной текст (2) + 8;5 pt;Полужирный"/>
    <w:rsid w:val="00FD0C61"/>
    <w:rPr>
      <w:rFonts w:ascii="Times New Roman" w:eastAsia="Times New Roman" w:hAnsi="Times New Roman" w:cs="Times New Roman"/>
      <w:b/>
      <w:bCs/>
      <w:color w:val="000000"/>
      <w:spacing w:val="0"/>
      <w:w w:val="100"/>
      <w:position w:val="0"/>
      <w:sz w:val="17"/>
      <w:szCs w:val="17"/>
      <w:u w:val="none"/>
      <w:lang w:val="en-GB" w:eastAsia="ru-RU" w:bidi="ru-RU"/>
    </w:rPr>
  </w:style>
  <w:style w:type="character" w:customStyle="1" w:styleId="285pt1">
    <w:name w:val="Основной текст (2) + 8;5 pt"/>
    <w:rsid w:val="00FD0C61"/>
    <w:rPr>
      <w:rFonts w:ascii="Times New Roman" w:eastAsia="Times New Roman" w:hAnsi="Times New Roman" w:cs="Times New Roman"/>
      <w:color w:val="000000"/>
      <w:spacing w:val="0"/>
      <w:w w:val="100"/>
      <w:position w:val="0"/>
      <w:sz w:val="17"/>
      <w:szCs w:val="17"/>
      <w:u w:val="none"/>
      <w:lang w:val="en-GB" w:eastAsia="ru-RU" w:bidi="ru-RU"/>
    </w:rPr>
  </w:style>
  <w:style w:type="character" w:customStyle="1" w:styleId="32Exact">
    <w:name w:val="Основной текст (32) Exact"/>
    <w:link w:val="321"/>
    <w:rsid w:val="00FD0C61"/>
    <w:rPr>
      <w:rFonts w:eastAsia="Times New Roman"/>
      <w:i/>
      <w:iCs/>
      <w:sz w:val="13"/>
      <w:szCs w:val="13"/>
      <w:shd w:val="clear" w:color="auto" w:fill="FFFFFF"/>
    </w:rPr>
  </w:style>
  <w:style w:type="character" w:customStyle="1" w:styleId="21SegoeUI105pt-1ptExact">
    <w:name w:val="Основной текст (21) + Segoe UI;10;5 pt;Не курсив;Интервал -1 pt Exact"/>
    <w:rsid w:val="00FD0C61"/>
    <w:rPr>
      <w:rFonts w:ascii="Segoe UI" w:eastAsia="Segoe UI" w:hAnsi="Segoe UI" w:cs="Segoe UI"/>
      <w:i/>
      <w:iCs/>
      <w:color w:val="000000"/>
      <w:spacing w:val="-20"/>
      <w:w w:val="100"/>
      <w:position w:val="0"/>
      <w:sz w:val="21"/>
      <w:szCs w:val="21"/>
      <w:shd w:val="clear" w:color="auto" w:fill="FFFFFF"/>
      <w:lang w:val="en-GB" w:eastAsia="en-US" w:bidi="en-US"/>
    </w:rPr>
  </w:style>
  <w:style w:type="character" w:customStyle="1" w:styleId="21Exact0">
    <w:name w:val="Основной текст (21) + Не курсив Exact"/>
    <w:rsid w:val="00FD0C61"/>
    <w:rPr>
      <w:rFonts w:eastAsia="Times New Roman"/>
      <w:i/>
      <w:iCs/>
      <w:color w:val="000000"/>
      <w:spacing w:val="0"/>
      <w:w w:val="100"/>
      <w:position w:val="0"/>
      <w:shd w:val="clear" w:color="auto" w:fill="FFFFFF"/>
      <w:lang w:val="en-GB" w:eastAsia="ru-RU" w:bidi="ru-RU"/>
    </w:rPr>
  </w:style>
  <w:style w:type="character" w:customStyle="1" w:styleId="214ptExact">
    <w:name w:val="Основной текст (2) + 14 pt Exact"/>
    <w:rsid w:val="00FD0C61"/>
    <w:rPr>
      <w:rFonts w:ascii="Times New Roman" w:eastAsia="Times New Roman" w:hAnsi="Times New Roman" w:cs="Times New Roman"/>
      <w:color w:val="000000"/>
      <w:spacing w:val="0"/>
      <w:w w:val="100"/>
      <w:position w:val="0"/>
      <w:sz w:val="28"/>
      <w:szCs w:val="28"/>
      <w:u w:val="none"/>
      <w:lang w:val="en-GB" w:eastAsia="en-US" w:bidi="en-US"/>
    </w:rPr>
  </w:style>
  <w:style w:type="character" w:customStyle="1" w:styleId="8Exact0">
    <w:name w:val="Подпись к картинке (8) Exact"/>
    <w:link w:val="88"/>
    <w:rsid w:val="00FD0C61"/>
    <w:rPr>
      <w:rFonts w:eastAsia="Times New Roman"/>
      <w:sz w:val="21"/>
      <w:szCs w:val="21"/>
      <w:shd w:val="clear" w:color="auto" w:fill="FFFFFF"/>
    </w:rPr>
  </w:style>
  <w:style w:type="character" w:customStyle="1" w:styleId="34Exact">
    <w:name w:val="Основной текст (34) Exact"/>
    <w:rsid w:val="00FD0C61"/>
    <w:rPr>
      <w:rFonts w:ascii="Times New Roman" w:eastAsia="Times New Roman" w:hAnsi="Times New Roman" w:cs="Times New Roman"/>
      <w:sz w:val="28"/>
      <w:szCs w:val="28"/>
      <w:u w:val="none"/>
    </w:rPr>
  </w:style>
  <w:style w:type="character" w:customStyle="1" w:styleId="9Exact2">
    <w:name w:val="Подпись к картинке (9) Exact"/>
    <w:link w:val="96"/>
    <w:rsid w:val="00FD0C61"/>
    <w:rPr>
      <w:rFonts w:eastAsia="Times New Roman"/>
      <w:sz w:val="17"/>
      <w:szCs w:val="17"/>
      <w:shd w:val="clear" w:color="auto" w:fill="FFFFFF"/>
    </w:rPr>
  </w:style>
  <w:style w:type="character" w:customStyle="1" w:styleId="Exact0">
    <w:name w:val="Подпись к картинке + Курсив Exact"/>
    <w:rsid w:val="00FD0C61"/>
    <w:rPr>
      <w:rFonts w:eastAsia="Times New Roman"/>
      <w:i/>
      <w:iCs/>
      <w:color w:val="000000"/>
      <w:spacing w:val="0"/>
      <w:w w:val="100"/>
      <w:position w:val="0"/>
      <w:sz w:val="24"/>
      <w:szCs w:val="24"/>
      <w:shd w:val="clear" w:color="auto" w:fill="FFFFFF"/>
      <w:lang w:val="en-GB" w:eastAsia="ru-RU" w:bidi="ru-RU"/>
    </w:rPr>
  </w:style>
  <w:style w:type="character" w:customStyle="1" w:styleId="10Exact">
    <w:name w:val="Подпись к картинке (10) Exact"/>
    <w:link w:val="102"/>
    <w:rsid w:val="00FD0C61"/>
    <w:rPr>
      <w:rFonts w:ascii="Trebuchet MS" w:eastAsia="Trebuchet MS" w:hAnsi="Trebuchet MS" w:cs="Trebuchet MS"/>
      <w:spacing w:val="-10"/>
      <w:sz w:val="11"/>
      <w:szCs w:val="11"/>
      <w:shd w:val="clear" w:color="auto" w:fill="FFFFFF"/>
    </w:rPr>
  </w:style>
  <w:style w:type="character" w:customStyle="1" w:styleId="10TimesNewRoman12pt0ptExact">
    <w:name w:val="Подпись к картинке (10) + Times New Roman;12 pt;Курсив;Интервал 0 pt Exact"/>
    <w:rsid w:val="00FD0C61"/>
    <w:rPr>
      <w:rFonts w:ascii="Times New Roman" w:eastAsia="Times New Roman" w:hAnsi="Times New Roman" w:cs="Times New Roman"/>
      <w:i/>
      <w:iCs/>
      <w:color w:val="000000"/>
      <w:spacing w:val="0"/>
      <w:w w:val="100"/>
      <w:position w:val="0"/>
      <w:sz w:val="24"/>
      <w:szCs w:val="24"/>
      <w:shd w:val="clear" w:color="auto" w:fill="FFFFFF"/>
      <w:lang w:val="en-GB" w:eastAsia="ru-RU" w:bidi="ru-RU"/>
    </w:rPr>
  </w:style>
  <w:style w:type="character" w:customStyle="1" w:styleId="10TimesNewRoman12pt0ptExact0">
    <w:name w:val="Подпись к картинке (10) + Times New Roman;12 pt;Интервал 0 pt Exact"/>
    <w:rsid w:val="00FD0C61"/>
    <w:rPr>
      <w:rFonts w:ascii="Times New Roman" w:eastAsia="Times New Roman" w:hAnsi="Times New Roman" w:cs="Times New Roman"/>
      <w:color w:val="000000"/>
      <w:spacing w:val="0"/>
      <w:w w:val="100"/>
      <w:position w:val="0"/>
      <w:sz w:val="24"/>
      <w:szCs w:val="24"/>
      <w:shd w:val="clear" w:color="auto" w:fill="FFFFFF"/>
      <w:lang w:val="en-GB" w:eastAsia="ru-RU" w:bidi="ru-RU"/>
    </w:rPr>
  </w:style>
  <w:style w:type="character" w:customStyle="1" w:styleId="5Exact1">
    <w:name w:val="Основной текст (5) Exact"/>
    <w:rsid w:val="00FD0C61"/>
    <w:rPr>
      <w:rFonts w:ascii="Times New Roman" w:eastAsia="Times New Roman" w:hAnsi="Times New Roman" w:cs="Times New Roman"/>
      <w:sz w:val="21"/>
      <w:szCs w:val="21"/>
      <w:u w:val="none"/>
    </w:rPr>
  </w:style>
  <w:style w:type="character" w:customStyle="1" w:styleId="36Exact">
    <w:name w:val="Основной текст (36) Exact"/>
    <w:link w:val="360"/>
    <w:rsid w:val="00FD0C61"/>
    <w:rPr>
      <w:rFonts w:eastAsia="Times New Roman"/>
      <w:b/>
      <w:bCs/>
      <w:sz w:val="17"/>
      <w:szCs w:val="17"/>
      <w:shd w:val="clear" w:color="auto" w:fill="FFFFFF"/>
    </w:rPr>
  </w:style>
  <w:style w:type="character" w:customStyle="1" w:styleId="42Exact">
    <w:name w:val="Заголовок №4 (2) Exact"/>
    <w:link w:val="420"/>
    <w:rsid w:val="00FD0C61"/>
    <w:rPr>
      <w:rFonts w:ascii="Segoe UI" w:eastAsia="Segoe UI" w:hAnsi="Segoe UI" w:cs="Segoe UI"/>
      <w:b/>
      <w:bCs/>
      <w:i/>
      <w:iCs/>
      <w:sz w:val="28"/>
      <w:szCs w:val="28"/>
      <w:shd w:val="clear" w:color="auto" w:fill="FFFFFF"/>
    </w:rPr>
  </w:style>
  <w:style w:type="character" w:customStyle="1" w:styleId="30ptExact">
    <w:name w:val="Заголовок №3 + Интервал 0 pt Exact"/>
    <w:rsid w:val="00FD0C61"/>
    <w:rPr>
      <w:rFonts w:ascii="Trebuchet MS" w:eastAsia="Trebuchet MS" w:hAnsi="Trebuchet MS" w:cs="Trebuchet MS"/>
      <w:b/>
      <w:bCs/>
      <w:i/>
      <w:iCs/>
      <w:color w:val="000000"/>
      <w:spacing w:val="-10"/>
      <w:w w:val="100"/>
      <w:position w:val="0"/>
      <w:sz w:val="36"/>
      <w:szCs w:val="36"/>
      <w:shd w:val="clear" w:color="auto" w:fill="FFFFFF"/>
      <w:lang w:val="en-GB" w:eastAsia="ru-RU" w:bidi="ru-RU"/>
    </w:rPr>
  </w:style>
  <w:style w:type="character" w:customStyle="1" w:styleId="2-1ptExact">
    <w:name w:val="Заголовок №2 + Интервал -1 pt Exact"/>
    <w:rsid w:val="00FD0C61"/>
    <w:rPr>
      <w:rFonts w:eastAsia="Times New Roman"/>
      <w:b/>
      <w:bCs/>
      <w:color w:val="000000"/>
      <w:spacing w:val="-20"/>
      <w:w w:val="100"/>
      <w:position w:val="0"/>
      <w:sz w:val="42"/>
      <w:szCs w:val="42"/>
      <w:shd w:val="clear" w:color="auto" w:fill="FFFFFF"/>
      <w:lang w:val="en-GB" w:eastAsia="ru-RU" w:bidi="ru-RU"/>
    </w:rPr>
  </w:style>
  <w:style w:type="character" w:customStyle="1" w:styleId="330">
    <w:name w:val="Основной текст (33)_"/>
    <w:rsid w:val="00FD0C61"/>
    <w:rPr>
      <w:rFonts w:ascii="Segoe UI" w:eastAsia="Segoe UI" w:hAnsi="Segoe UI" w:cs="Segoe UI"/>
      <w:sz w:val="17"/>
      <w:szCs w:val="17"/>
      <w:u w:val="none"/>
    </w:rPr>
  </w:style>
  <w:style w:type="character" w:customStyle="1" w:styleId="331">
    <w:name w:val="Основной текст (33) + Курсив"/>
    <w:rsid w:val="00FD0C61"/>
    <w:rPr>
      <w:rFonts w:ascii="Segoe UI" w:eastAsia="Segoe UI" w:hAnsi="Segoe UI" w:cs="Segoe UI"/>
      <w:i/>
      <w:iCs/>
      <w:color w:val="000000"/>
      <w:spacing w:val="0"/>
      <w:w w:val="100"/>
      <w:position w:val="0"/>
      <w:sz w:val="17"/>
      <w:szCs w:val="17"/>
      <w:u w:val="single"/>
      <w:lang w:val="en-GB" w:eastAsia="ru-RU" w:bidi="ru-RU"/>
    </w:rPr>
  </w:style>
  <w:style w:type="character" w:customStyle="1" w:styleId="332">
    <w:name w:val="Основной текст (33)"/>
    <w:rsid w:val="00FD0C61"/>
    <w:rPr>
      <w:rFonts w:ascii="Segoe UI" w:eastAsia="Segoe UI" w:hAnsi="Segoe UI" w:cs="Segoe UI"/>
      <w:color w:val="000000"/>
      <w:spacing w:val="0"/>
      <w:w w:val="100"/>
      <w:position w:val="0"/>
      <w:sz w:val="17"/>
      <w:szCs w:val="17"/>
      <w:u w:val="single"/>
      <w:lang w:val="en-GB" w:eastAsia="ru-RU" w:bidi="ru-RU"/>
    </w:rPr>
  </w:style>
  <w:style w:type="character" w:customStyle="1" w:styleId="340">
    <w:name w:val="Основной текст (34)_"/>
    <w:link w:val="341"/>
    <w:rsid w:val="00FD0C61"/>
    <w:rPr>
      <w:rFonts w:eastAsia="Times New Roman"/>
      <w:sz w:val="28"/>
      <w:szCs w:val="28"/>
      <w:shd w:val="clear" w:color="auto" w:fill="FFFFFF"/>
    </w:rPr>
  </w:style>
  <w:style w:type="character" w:customStyle="1" w:styleId="103">
    <w:name w:val="Основной текст (10) + Не полужирный"/>
    <w:rsid w:val="00FD0C61"/>
    <w:rPr>
      <w:rFonts w:eastAsia="Times New Roman"/>
      <w:b/>
      <w:bCs/>
      <w:color w:val="000000"/>
      <w:spacing w:val="0"/>
      <w:w w:val="100"/>
      <w:position w:val="0"/>
      <w:sz w:val="24"/>
      <w:szCs w:val="24"/>
      <w:shd w:val="clear" w:color="auto" w:fill="FFFFFF"/>
      <w:lang w:val="en-GB" w:eastAsia="ru-RU" w:bidi="ru-RU"/>
    </w:rPr>
  </w:style>
  <w:style w:type="character" w:customStyle="1" w:styleId="20105pt">
    <w:name w:val="Основной текст (20) + 10;5 pt;Не курсив"/>
    <w:rsid w:val="00FD0C61"/>
    <w:rPr>
      <w:rFonts w:ascii="Times New Roman" w:eastAsia="Times New Roman" w:hAnsi="Times New Roman" w:cs="Times New Roman"/>
      <w:i/>
      <w:iCs/>
      <w:color w:val="000000"/>
      <w:spacing w:val="0"/>
      <w:w w:val="100"/>
      <w:position w:val="0"/>
      <w:sz w:val="21"/>
      <w:szCs w:val="21"/>
      <w:u w:val="none"/>
      <w:lang w:val="en-GB" w:eastAsia="ru-RU" w:bidi="ru-RU"/>
    </w:rPr>
  </w:style>
  <w:style w:type="character" w:customStyle="1" w:styleId="350">
    <w:name w:val="Основной текст (35)_"/>
    <w:link w:val="351"/>
    <w:rsid w:val="00FD0C61"/>
    <w:rPr>
      <w:rFonts w:eastAsia="Times New Roman"/>
      <w:i/>
      <w:iCs/>
      <w:sz w:val="11"/>
      <w:szCs w:val="11"/>
      <w:shd w:val="clear" w:color="auto" w:fill="FFFFFF"/>
    </w:rPr>
  </w:style>
  <w:style w:type="character" w:customStyle="1" w:styleId="370">
    <w:name w:val="Основной текст (37)_"/>
    <w:link w:val="371"/>
    <w:rsid w:val="00FD0C61"/>
    <w:rPr>
      <w:rFonts w:ascii="Trebuchet MS" w:eastAsia="Trebuchet MS" w:hAnsi="Trebuchet MS" w:cs="Trebuchet MS"/>
      <w:i/>
      <w:iCs/>
      <w:sz w:val="20"/>
      <w:szCs w:val="20"/>
      <w:shd w:val="clear" w:color="auto" w:fill="FFFFFF"/>
    </w:rPr>
  </w:style>
  <w:style w:type="character" w:customStyle="1" w:styleId="380">
    <w:name w:val="Основной текст (38)_"/>
    <w:rsid w:val="00FD0C61"/>
    <w:rPr>
      <w:rFonts w:ascii="Segoe UI" w:eastAsia="Segoe UI" w:hAnsi="Segoe UI" w:cs="Segoe UI"/>
      <w:sz w:val="17"/>
      <w:szCs w:val="17"/>
      <w:u w:val="none"/>
    </w:rPr>
  </w:style>
  <w:style w:type="character" w:customStyle="1" w:styleId="381">
    <w:name w:val="Основной текст (38)"/>
    <w:rsid w:val="00FD0C61"/>
    <w:rPr>
      <w:rFonts w:ascii="Segoe UI" w:eastAsia="Segoe UI" w:hAnsi="Segoe UI" w:cs="Segoe UI"/>
      <w:color w:val="000000"/>
      <w:spacing w:val="0"/>
      <w:w w:val="100"/>
      <w:position w:val="0"/>
      <w:sz w:val="17"/>
      <w:szCs w:val="17"/>
      <w:u w:val="none"/>
      <w:lang w:val="en-GB" w:eastAsia="ru-RU" w:bidi="ru-RU"/>
    </w:rPr>
  </w:style>
  <w:style w:type="character" w:customStyle="1" w:styleId="219pt">
    <w:name w:val="Основной текст (2) + 19 pt"/>
    <w:rsid w:val="00FD0C61"/>
    <w:rPr>
      <w:rFonts w:ascii="Times New Roman" w:eastAsia="Times New Roman" w:hAnsi="Times New Roman" w:cs="Times New Roman"/>
      <w:color w:val="000000"/>
      <w:spacing w:val="0"/>
      <w:w w:val="100"/>
      <w:position w:val="0"/>
      <w:sz w:val="38"/>
      <w:szCs w:val="38"/>
      <w:u w:val="none"/>
      <w:lang w:val="en-GB" w:eastAsia="ru-RU" w:bidi="ru-RU"/>
    </w:rPr>
  </w:style>
  <w:style w:type="character" w:customStyle="1" w:styleId="29pt">
    <w:name w:val="Основной текст (2) + 9 pt"/>
    <w:rsid w:val="00FD0C61"/>
    <w:rPr>
      <w:rFonts w:ascii="Times New Roman" w:eastAsia="Times New Roman" w:hAnsi="Times New Roman" w:cs="Times New Roman"/>
      <w:color w:val="000000"/>
      <w:spacing w:val="0"/>
      <w:w w:val="100"/>
      <w:position w:val="0"/>
      <w:sz w:val="18"/>
      <w:szCs w:val="18"/>
      <w:u w:val="none"/>
      <w:lang w:val="en-GB" w:eastAsia="ru-RU" w:bidi="ru-RU"/>
    </w:rPr>
  </w:style>
  <w:style w:type="character" w:customStyle="1" w:styleId="512pt">
    <w:name w:val="Основной текст (5) + 12 pt;Курсив"/>
    <w:rsid w:val="00FD0C61"/>
    <w:rPr>
      <w:rFonts w:eastAsia="Times New Roman"/>
      <w:i/>
      <w:iCs/>
      <w:color w:val="000000"/>
      <w:spacing w:val="0"/>
      <w:w w:val="100"/>
      <w:position w:val="0"/>
      <w:sz w:val="24"/>
      <w:szCs w:val="24"/>
      <w:shd w:val="clear" w:color="auto" w:fill="FFFFFF"/>
      <w:lang w:val="en-GB" w:eastAsia="ru-RU" w:bidi="ru-RU"/>
    </w:rPr>
  </w:style>
  <w:style w:type="character" w:customStyle="1" w:styleId="512pt0">
    <w:name w:val="Основной текст (5) + 12 pt"/>
    <w:rsid w:val="00FD0C61"/>
    <w:rPr>
      <w:rFonts w:eastAsia="Times New Roman"/>
      <w:color w:val="000000"/>
      <w:spacing w:val="0"/>
      <w:w w:val="100"/>
      <w:position w:val="0"/>
      <w:sz w:val="24"/>
      <w:szCs w:val="24"/>
      <w:shd w:val="clear" w:color="auto" w:fill="FFFFFF"/>
      <w:lang w:val="en-GB" w:eastAsia="ru-RU" w:bidi="ru-RU"/>
    </w:rPr>
  </w:style>
  <w:style w:type="character" w:customStyle="1" w:styleId="6TrebuchetMS55pt0pt">
    <w:name w:val="Основной текст (6) + Trebuchet MS;5;5 pt;Не курсив;Интервал 0 pt"/>
    <w:rsid w:val="00FD0C61"/>
    <w:rPr>
      <w:rFonts w:ascii="Trebuchet MS" w:eastAsia="Trebuchet MS" w:hAnsi="Trebuchet MS" w:cs="Trebuchet MS"/>
      <w:i/>
      <w:iCs/>
      <w:color w:val="000000"/>
      <w:spacing w:val="-10"/>
      <w:w w:val="100"/>
      <w:position w:val="0"/>
      <w:sz w:val="11"/>
      <w:szCs w:val="11"/>
      <w:shd w:val="clear" w:color="auto" w:fill="FFFFFF"/>
      <w:lang w:val="en-GB" w:eastAsia="ru-RU" w:bidi="ru-RU"/>
    </w:rPr>
  </w:style>
  <w:style w:type="character" w:customStyle="1" w:styleId="141">
    <w:name w:val="Основной текст (14)_"/>
    <w:rsid w:val="00FD0C61"/>
    <w:rPr>
      <w:rFonts w:ascii="Times New Roman" w:eastAsia="Times New Roman" w:hAnsi="Times New Roman" w:cs="Times New Roman"/>
      <w:spacing w:val="0"/>
      <w:sz w:val="14"/>
      <w:szCs w:val="14"/>
      <w:u w:val="none"/>
    </w:rPr>
  </w:style>
  <w:style w:type="character" w:customStyle="1" w:styleId="142">
    <w:name w:val="Основной текст (14)"/>
    <w:rsid w:val="00FD0C61"/>
    <w:rPr>
      <w:rFonts w:ascii="Times New Roman" w:eastAsia="Times New Roman" w:hAnsi="Times New Roman" w:cs="Times New Roman"/>
      <w:color w:val="000000"/>
      <w:spacing w:val="0"/>
      <w:w w:val="100"/>
      <w:position w:val="0"/>
      <w:sz w:val="14"/>
      <w:szCs w:val="14"/>
      <w:u w:val="none"/>
      <w:lang w:val="en-GB" w:eastAsia="ru-RU" w:bidi="ru-RU"/>
    </w:rPr>
  </w:style>
  <w:style w:type="character" w:customStyle="1" w:styleId="82TimesNewRoman12pt">
    <w:name w:val="Заголовок №8 (2) + Times New Roman;12 pt;Не полужирный"/>
    <w:rsid w:val="00FD0C61"/>
    <w:rPr>
      <w:rFonts w:ascii="Times New Roman" w:eastAsia="Times New Roman" w:hAnsi="Times New Roman" w:cs="Times New Roman"/>
      <w:b/>
      <w:bCs/>
      <w:color w:val="000000"/>
      <w:spacing w:val="0"/>
      <w:w w:val="100"/>
      <w:position w:val="0"/>
      <w:sz w:val="24"/>
      <w:szCs w:val="24"/>
      <w:u w:val="none"/>
      <w:lang w:val="en-GB" w:eastAsia="ru-RU" w:bidi="ru-RU"/>
    </w:rPr>
  </w:style>
  <w:style w:type="character" w:customStyle="1" w:styleId="14105pt">
    <w:name w:val="Основной текст (14) + 10;5 pt"/>
    <w:rsid w:val="00FD0C61"/>
    <w:rPr>
      <w:rFonts w:ascii="Times New Roman" w:eastAsia="Times New Roman" w:hAnsi="Times New Roman" w:cs="Times New Roman"/>
      <w:color w:val="000000"/>
      <w:spacing w:val="0"/>
      <w:w w:val="100"/>
      <w:position w:val="0"/>
      <w:sz w:val="21"/>
      <w:szCs w:val="21"/>
      <w:u w:val="none"/>
      <w:lang w:val="en-GB" w:eastAsia="ru-RU" w:bidi="ru-RU"/>
    </w:rPr>
  </w:style>
  <w:style w:type="character" w:customStyle="1" w:styleId="1410pt">
    <w:name w:val="Основной текст (14) + 10 pt;Курсив"/>
    <w:rsid w:val="00FD0C61"/>
    <w:rPr>
      <w:rFonts w:ascii="Times New Roman" w:eastAsia="Times New Roman" w:hAnsi="Times New Roman" w:cs="Times New Roman"/>
      <w:i/>
      <w:iCs/>
      <w:color w:val="000000"/>
      <w:spacing w:val="0"/>
      <w:w w:val="100"/>
      <w:position w:val="0"/>
      <w:sz w:val="20"/>
      <w:szCs w:val="20"/>
      <w:u w:val="none"/>
      <w:lang w:val="en-GB" w:eastAsia="ru-RU" w:bidi="ru-RU"/>
    </w:rPr>
  </w:style>
  <w:style w:type="character" w:customStyle="1" w:styleId="14SegoeUI11pt">
    <w:name w:val="Основной текст (14) + Segoe UI;11 pt;Курсив"/>
    <w:rsid w:val="00FD0C61"/>
    <w:rPr>
      <w:rFonts w:ascii="Segoe UI" w:eastAsia="Segoe UI" w:hAnsi="Segoe UI" w:cs="Segoe UI"/>
      <w:i/>
      <w:iCs/>
      <w:color w:val="000000"/>
      <w:spacing w:val="0"/>
      <w:w w:val="100"/>
      <w:position w:val="0"/>
      <w:sz w:val="22"/>
      <w:szCs w:val="22"/>
      <w:u w:val="none"/>
      <w:lang w:val="en-GB" w:eastAsia="en-US" w:bidi="en-US"/>
    </w:rPr>
  </w:style>
  <w:style w:type="character" w:customStyle="1" w:styleId="390">
    <w:name w:val="Основной текст (39)_"/>
    <w:link w:val="391"/>
    <w:rsid w:val="00FD0C61"/>
    <w:rPr>
      <w:rFonts w:eastAsia="Times New Roman"/>
      <w:sz w:val="26"/>
      <w:szCs w:val="26"/>
      <w:shd w:val="clear" w:color="auto" w:fill="FFFFFF"/>
    </w:rPr>
  </w:style>
  <w:style w:type="character" w:customStyle="1" w:styleId="39SegoeUI0pt">
    <w:name w:val="Основной текст (39) + Segoe UI;Курсив;Интервал 0 pt"/>
    <w:rsid w:val="00FD0C61"/>
    <w:rPr>
      <w:rFonts w:ascii="Segoe UI" w:eastAsia="Segoe UI" w:hAnsi="Segoe UI" w:cs="Segoe UI"/>
      <w:i/>
      <w:iCs/>
      <w:color w:val="000000"/>
      <w:spacing w:val="-10"/>
      <w:w w:val="100"/>
      <w:position w:val="0"/>
      <w:sz w:val="26"/>
      <w:szCs w:val="26"/>
      <w:shd w:val="clear" w:color="auto" w:fill="FFFFFF"/>
      <w:lang w:val="en-GB" w:eastAsia="ru-RU" w:bidi="ru-RU"/>
    </w:rPr>
  </w:style>
  <w:style w:type="paragraph" w:customStyle="1" w:styleId="77">
    <w:name w:val="Заголовок №7"/>
    <w:basedOn w:val="a5"/>
    <w:link w:val="76"/>
    <w:rsid w:val="00FD0C61"/>
    <w:pPr>
      <w:widowControl w:val="0"/>
      <w:shd w:val="clear" w:color="auto" w:fill="FFFFFF"/>
      <w:spacing w:after="300" w:line="0" w:lineRule="atLeast"/>
      <w:jc w:val="both"/>
      <w:outlineLvl w:val="6"/>
    </w:pPr>
    <w:rPr>
      <w:b/>
      <w:bCs/>
      <w:sz w:val="26"/>
      <w:szCs w:val="26"/>
      <w:lang w:eastAsia="en-US"/>
    </w:rPr>
  </w:style>
  <w:style w:type="paragraph" w:customStyle="1" w:styleId="54">
    <w:name w:val="Основной текст (5)"/>
    <w:basedOn w:val="a5"/>
    <w:link w:val="53"/>
    <w:rsid w:val="00FD0C61"/>
    <w:pPr>
      <w:widowControl w:val="0"/>
      <w:shd w:val="clear" w:color="auto" w:fill="FFFFFF"/>
      <w:spacing w:before="300" w:line="241" w:lineRule="exact"/>
      <w:jc w:val="both"/>
    </w:pPr>
    <w:rPr>
      <w:sz w:val="21"/>
      <w:szCs w:val="21"/>
      <w:lang w:eastAsia="en-US"/>
    </w:rPr>
  </w:style>
  <w:style w:type="paragraph" w:customStyle="1" w:styleId="64">
    <w:name w:val="Основной текст (6)"/>
    <w:basedOn w:val="a5"/>
    <w:link w:val="63"/>
    <w:rsid w:val="00FD0C61"/>
    <w:pPr>
      <w:widowControl w:val="0"/>
      <w:shd w:val="clear" w:color="auto" w:fill="FFFFFF"/>
      <w:spacing w:line="0" w:lineRule="atLeast"/>
      <w:jc w:val="both"/>
    </w:pPr>
    <w:rPr>
      <w:i/>
      <w:iCs/>
      <w:sz w:val="15"/>
      <w:szCs w:val="15"/>
      <w:lang w:eastAsia="en-US"/>
    </w:rPr>
  </w:style>
  <w:style w:type="paragraph" w:customStyle="1" w:styleId="115">
    <w:name w:val="Основной текст (11)"/>
    <w:basedOn w:val="a5"/>
    <w:link w:val="11Exact"/>
    <w:rsid w:val="00FD0C61"/>
    <w:pPr>
      <w:widowControl w:val="0"/>
      <w:shd w:val="clear" w:color="auto" w:fill="FFFFFF"/>
      <w:spacing w:line="0" w:lineRule="atLeast"/>
    </w:pPr>
    <w:rPr>
      <w:b/>
      <w:bCs/>
      <w:lang w:eastAsia="en-US"/>
    </w:rPr>
  </w:style>
  <w:style w:type="paragraph" w:customStyle="1" w:styleId="121">
    <w:name w:val="Основной текст (12)"/>
    <w:basedOn w:val="a5"/>
    <w:link w:val="12Exact"/>
    <w:rsid w:val="00FD0C61"/>
    <w:pPr>
      <w:widowControl w:val="0"/>
      <w:shd w:val="clear" w:color="auto" w:fill="FFFFFF"/>
      <w:spacing w:line="0" w:lineRule="atLeast"/>
    </w:pPr>
    <w:rPr>
      <w:i/>
      <w:iCs/>
      <w:spacing w:val="20"/>
      <w:lang w:eastAsia="en-US" w:bidi="en-US"/>
    </w:rPr>
  </w:style>
  <w:style w:type="paragraph" w:customStyle="1" w:styleId="131">
    <w:name w:val="Основной текст (13)"/>
    <w:basedOn w:val="a5"/>
    <w:link w:val="130"/>
    <w:rsid w:val="00FD0C61"/>
    <w:pPr>
      <w:widowControl w:val="0"/>
      <w:shd w:val="clear" w:color="auto" w:fill="FFFFFF"/>
      <w:spacing w:line="0" w:lineRule="atLeast"/>
    </w:pPr>
    <w:rPr>
      <w:b/>
      <w:bCs/>
      <w:sz w:val="16"/>
      <w:szCs w:val="16"/>
      <w:lang w:eastAsia="en-US"/>
    </w:rPr>
  </w:style>
  <w:style w:type="paragraph" w:customStyle="1" w:styleId="101">
    <w:name w:val="Основной текст (10)"/>
    <w:basedOn w:val="a5"/>
    <w:link w:val="100"/>
    <w:rsid w:val="00FD0C61"/>
    <w:pPr>
      <w:widowControl w:val="0"/>
      <w:shd w:val="clear" w:color="auto" w:fill="FFFFFF"/>
      <w:spacing w:before="120" w:line="284" w:lineRule="exact"/>
      <w:jc w:val="both"/>
    </w:pPr>
    <w:rPr>
      <w:b/>
      <w:bCs/>
      <w:lang w:eastAsia="en-US"/>
    </w:rPr>
  </w:style>
  <w:style w:type="paragraph" w:customStyle="1" w:styleId="151">
    <w:name w:val="Основной текст (15)"/>
    <w:basedOn w:val="a5"/>
    <w:link w:val="15Exact"/>
    <w:rsid w:val="00FD0C61"/>
    <w:pPr>
      <w:widowControl w:val="0"/>
      <w:shd w:val="clear" w:color="auto" w:fill="FFFFFF"/>
      <w:spacing w:line="0" w:lineRule="atLeast"/>
    </w:pPr>
    <w:rPr>
      <w:rFonts w:ascii="Segoe UI" w:eastAsia="Segoe UI" w:hAnsi="Segoe UI" w:cs="Segoe UI"/>
      <w:i/>
      <w:iCs/>
      <w:sz w:val="15"/>
      <w:szCs w:val="15"/>
      <w:lang w:eastAsia="en-US"/>
    </w:rPr>
  </w:style>
  <w:style w:type="paragraph" w:customStyle="1" w:styleId="160">
    <w:name w:val="Основной текст (16)"/>
    <w:basedOn w:val="a5"/>
    <w:link w:val="16Exact"/>
    <w:rsid w:val="00FD0C61"/>
    <w:pPr>
      <w:widowControl w:val="0"/>
      <w:shd w:val="clear" w:color="auto" w:fill="FFFFFF"/>
      <w:spacing w:after="240" w:line="0" w:lineRule="atLeast"/>
    </w:pPr>
    <w:rPr>
      <w:rFonts w:ascii="Trebuchet MS" w:eastAsia="Trebuchet MS" w:hAnsi="Trebuchet MS" w:cs="Trebuchet MS"/>
      <w:sz w:val="26"/>
      <w:szCs w:val="26"/>
      <w:lang w:eastAsia="en-US"/>
    </w:rPr>
  </w:style>
  <w:style w:type="paragraph" w:customStyle="1" w:styleId="56">
    <w:name w:val="Заголовок №5"/>
    <w:basedOn w:val="a5"/>
    <w:link w:val="55"/>
    <w:rsid w:val="00FD0C61"/>
    <w:pPr>
      <w:widowControl w:val="0"/>
      <w:shd w:val="clear" w:color="auto" w:fill="FFFFFF"/>
      <w:spacing w:before="120" w:line="0" w:lineRule="atLeast"/>
      <w:jc w:val="right"/>
      <w:outlineLvl w:val="4"/>
    </w:pPr>
    <w:rPr>
      <w:i/>
      <w:iCs/>
      <w:lang w:eastAsia="en-US"/>
    </w:rPr>
  </w:style>
  <w:style w:type="paragraph" w:customStyle="1" w:styleId="181">
    <w:name w:val="Основной текст (18)"/>
    <w:basedOn w:val="a5"/>
    <w:link w:val="180"/>
    <w:rsid w:val="00FD0C61"/>
    <w:pPr>
      <w:widowControl w:val="0"/>
      <w:shd w:val="clear" w:color="auto" w:fill="FFFFFF"/>
      <w:spacing w:before="360" w:line="0" w:lineRule="atLeast"/>
      <w:jc w:val="both"/>
    </w:pPr>
    <w:rPr>
      <w:i/>
      <w:iCs/>
      <w:sz w:val="17"/>
      <w:szCs w:val="17"/>
      <w:lang w:eastAsia="en-US"/>
    </w:rPr>
  </w:style>
  <w:style w:type="paragraph" w:customStyle="1" w:styleId="192">
    <w:name w:val="Основной текст (19)"/>
    <w:basedOn w:val="a5"/>
    <w:link w:val="191"/>
    <w:rsid w:val="00FD0C61"/>
    <w:pPr>
      <w:widowControl w:val="0"/>
      <w:shd w:val="clear" w:color="auto" w:fill="FFFFFF"/>
      <w:spacing w:after="360" w:line="0" w:lineRule="atLeast"/>
      <w:ind w:hanging="660"/>
      <w:jc w:val="both"/>
    </w:pPr>
    <w:rPr>
      <w:rFonts w:ascii="Trebuchet MS" w:eastAsia="Trebuchet MS" w:hAnsi="Trebuchet MS" w:cs="Trebuchet MS"/>
      <w:sz w:val="8"/>
      <w:szCs w:val="8"/>
      <w:lang w:eastAsia="en-US"/>
    </w:rPr>
  </w:style>
  <w:style w:type="paragraph" w:customStyle="1" w:styleId="214">
    <w:name w:val="Основной текст (21)"/>
    <w:basedOn w:val="a5"/>
    <w:link w:val="21Exact"/>
    <w:rsid w:val="00FD0C61"/>
    <w:pPr>
      <w:widowControl w:val="0"/>
      <w:shd w:val="clear" w:color="auto" w:fill="FFFFFF"/>
      <w:spacing w:line="0" w:lineRule="atLeast"/>
    </w:pPr>
    <w:rPr>
      <w:i/>
      <w:iCs/>
      <w:lang w:eastAsia="en-US"/>
    </w:rPr>
  </w:style>
  <w:style w:type="paragraph" w:customStyle="1" w:styleId="222">
    <w:name w:val="Основной текст (22)"/>
    <w:basedOn w:val="a5"/>
    <w:link w:val="22Exact"/>
    <w:rsid w:val="00FD0C61"/>
    <w:pPr>
      <w:widowControl w:val="0"/>
      <w:shd w:val="clear" w:color="auto" w:fill="FFFFFF"/>
      <w:spacing w:line="0" w:lineRule="atLeast"/>
    </w:pPr>
    <w:rPr>
      <w:i/>
      <w:iCs/>
      <w:spacing w:val="-10"/>
      <w:sz w:val="14"/>
      <w:szCs w:val="14"/>
      <w:lang w:eastAsia="en-US"/>
    </w:rPr>
  </w:style>
  <w:style w:type="paragraph" w:customStyle="1" w:styleId="afffffff0">
    <w:name w:val="Подпись к картинке"/>
    <w:basedOn w:val="a5"/>
    <w:link w:val="Exact"/>
    <w:rsid w:val="00FD0C61"/>
    <w:pPr>
      <w:widowControl w:val="0"/>
      <w:shd w:val="clear" w:color="auto" w:fill="FFFFFF"/>
      <w:spacing w:line="0" w:lineRule="atLeast"/>
    </w:pPr>
    <w:rPr>
      <w:lang w:eastAsia="en-US"/>
    </w:rPr>
  </w:style>
  <w:style w:type="paragraph" w:customStyle="1" w:styleId="2f6">
    <w:name w:val="Подпись к картинке (2)"/>
    <w:basedOn w:val="a5"/>
    <w:link w:val="2Exact0"/>
    <w:rsid w:val="00FD0C61"/>
    <w:pPr>
      <w:widowControl w:val="0"/>
      <w:shd w:val="clear" w:color="auto" w:fill="FFFFFF"/>
      <w:spacing w:line="0" w:lineRule="atLeast"/>
    </w:pPr>
    <w:rPr>
      <w:i/>
      <w:iCs/>
      <w:lang w:eastAsia="en-US"/>
    </w:rPr>
  </w:style>
  <w:style w:type="paragraph" w:customStyle="1" w:styleId="3f3">
    <w:name w:val="Подпись к картинке (3)"/>
    <w:basedOn w:val="a5"/>
    <w:link w:val="3Exact"/>
    <w:rsid w:val="00FD0C61"/>
    <w:pPr>
      <w:widowControl w:val="0"/>
      <w:shd w:val="clear" w:color="auto" w:fill="FFFFFF"/>
      <w:spacing w:line="0" w:lineRule="atLeast"/>
    </w:pPr>
    <w:rPr>
      <w:i/>
      <w:iCs/>
      <w:sz w:val="15"/>
      <w:szCs w:val="15"/>
      <w:lang w:eastAsia="en-US"/>
    </w:rPr>
  </w:style>
  <w:style w:type="paragraph" w:customStyle="1" w:styleId="241">
    <w:name w:val="Основной текст (24)"/>
    <w:basedOn w:val="a5"/>
    <w:link w:val="240"/>
    <w:rsid w:val="00FD0C61"/>
    <w:pPr>
      <w:widowControl w:val="0"/>
      <w:shd w:val="clear" w:color="auto" w:fill="FFFFFF"/>
      <w:spacing w:before="540" w:line="0" w:lineRule="atLeast"/>
      <w:ind w:firstLine="740"/>
      <w:jc w:val="both"/>
    </w:pPr>
    <w:rPr>
      <w:i/>
      <w:iCs/>
      <w:lang w:eastAsia="en-US"/>
    </w:rPr>
  </w:style>
  <w:style w:type="paragraph" w:customStyle="1" w:styleId="251">
    <w:name w:val="Основной текст (25)"/>
    <w:basedOn w:val="a5"/>
    <w:link w:val="250"/>
    <w:rsid w:val="00FD0C61"/>
    <w:pPr>
      <w:widowControl w:val="0"/>
      <w:shd w:val="clear" w:color="auto" w:fill="FFFFFF"/>
      <w:spacing w:before="360" w:after="480" w:line="0" w:lineRule="atLeast"/>
      <w:jc w:val="both"/>
    </w:pPr>
    <w:rPr>
      <w:rFonts w:ascii="Trebuchet MS" w:eastAsia="Trebuchet MS" w:hAnsi="Trebuchet MS" w:cs="Trebuchet MS"/>
      <w:lang w:eastAsia="en-US"/>
    </w:rPr>
  </w:style>
  <w:style w:type="paragraph" w:customStyle="1" w:styleId="46">
    <w:name w:val="Заголовок №4"/>
    <w:basedOn w:val="a5"/>
    <w:link w:val="4Exact"/>
    <w:rsid w:val="00FD0C61"/>
    <w:pPr>
      <w:widowControl w:val="0"/>
      <w:shd w:val="clear" w:color="auto" w:fill="FFFFFF"/>
      <w:spacing w:line="0" w:lineRule="atLeast"/>
      <w:outlineLvl w:val="3"/>
    </w:pPr>
    <w:rPr>
      <w:rFonts w:ascii="Trebuchet MS" w:eastAsia="Trebuchet MS" w:hAnsi="Trebuchet MS" w:cs="Trebuchet MS"/>
      <w:b/>
      <w:bCs/>
      <w:i/>
      <w:iCs/>
      <w:sz w:val="26"/>
      <w:szCs w:val="26"/>
      <w:lang w:eastAsia="en-US"/>
    </w:rPr>
  </w:style>
  <w:style w:type="paragraph" w:customStyle="1" w:styleId="3f4">
    <w:name w:val="Заголовок №3"/>
    <w:basedOn w:val="a5"/>
    <w:link w:val="3Exact0"/>
    <w:rsid w:val="00FD0C61"/>
    <w:pPr>
      <w:widowControl w:val="0"/>
      <w:shd w:val="clear" w:color="auto" w:fill="FFFFFF"/>
      <w:spacing w:line="0" w:lineRule="atLeast"/>
      <w:outlineLvl w:val="2"/>
    </w:pPr>
    <w:rPr>
      <w:rFonts w:ascii="Trebuchet MS" w:eastAsia="Trebuchet MS" w:hAnsi="Trebuchet MS" w:cs="Trebuchet MS"/>
      <w:b/>
      <w:bCs/>
      <w:i/>
      <w:iCs/>
      <w:sz w:val="36"/>
      <w:szCs w:val="36"/>
      <w:lang w:eastAsia="en-US"/>
    </w:rPr>
  </w:style>
  <w:style w:type="paragraph" w:customStyle="1" w:styleId="66">
    <w:name w:val="Заголовок №6"/>
    <w:basedOn w:val="a5"/>
    <w:link w:val="6Exact0"/>
    <w:rsid w:val="00FD0C61"/>
    <w:pPr>
      <w:widowControl w:val="0"/>
      <w:shd w:val="clear" w:color="auto" w:fill="FFFFFF"/>
      <w:spacing w:line="0" w:lineRule="atLeast"/>
      <w:outlineLvl w:val="5"/>
    </w:pPr>
    <w:rPr>
      <w:rFonts w:ascii="Trebuchet MS" w:eastAsia="Trebuchet MS" w:hAnsi="Trebuchet MS" w:cs="Trebuchet MS"/>
      <w:b/>
      <w:bCs/>
      <w:i/>
      <w:iCs/>
      <w:sz w:val="26"/>
      <w:szCs w:val="26"/>
      <w:lang w:eastAsia="en-US"/>
    </w:rPr>
  </w:style>
  <w:style w:type="paragraph" w:customStyle="1" w:styleId="2f8">
    <w:name w:val="Заголовок №2"/>
    <w:basedOn w:val="a5"/>
    <w:link w:val="2Exact2"/>
    <w:rsid w:val="00FD0C61"/>
    <w:pPr>
      <w:widowControl w:val="0"/>
      <w:shd w:val="clear" w:color="auto" w:fill="FFFFFF"/>
      <w:spacing w:line="0" w:lineRule="atLeast"/>
      <w:outlineLvl w:val="1"/>
    </w:pPr>
    <w:rPr>
      <w:b/>
      <w:bCs/>
      <w:sz w:val="42"/>
      <w:szCs w:val="42"/>
      <w:lang w:eastAsia="en-US"/>
    </w:rPr>
  </w:style>
  <w:style w:type="paragraph" w:customStyle="1" w:styleId="47">
    <w:name w:val="Подпись к картинке (4)"/>
    <w:basedOn w:val="a5"/>
    <w:link w:val="4Exact0"/>
    <w:rsid w:val="00FD0C61"/>
    <w:pPr>
      <w:widowControl w:val="0"/>
      <w:shd w:val="clear" w:color="auto" w:fill="FFFFFF"/>
      <w:spacing w:after="60" w:line="0" w:lineRule="atLeast"/>
    </w:pPr>
    <w:rPr>
      <w:i/>
      <w:iCs/>
      <w:sz w:val="13"/>
      <w:szCs w:val="13"/>
      <w:lang w:eastAsia="en-US"/>
    </w:rPr>
  </w:style>
  <w:style w:type="paragraph" w:customStyle="1" w:styleId="260">
    <w:name w:val="Основной текст (26)"/>
    <w:basedOn w:val="a5"/>
    <w:link w:val="26Exact"/>
    <w:rsid w:val="00FD0C61"/>
    <w:pPr>
      <w:widowControl w:val="0"/>
      <w:shd w:val="clear" w:color="auto" w:fill="FFFFFF"/>
      <w:spacing w:line="0" w:lineRule="atLeast"/>
    </w:pPr>
    <w:rPr>
      <w:rFonts w:ascii="Trebuchet MS" w:eastAsia="Trebuchet MS" w:hAnsi="Trebuchet MS" w:cs="Trebuchet MS"/>
      <w:sz w:val="21"/>
      <w:szCs w:val="21"/>
      <w:lang w:eastAsia="en-US"/>
    </w:rPr>
  </w:style>
  <w:style w:type="paragraph" w:customStyle="1" w:styleId="57">
    <w:name w:val="Подпись к картинке (5)"/>
    <w:basedOn w:val="a5"/>
    <w:link w:val="5Exact0"/>
    <w:rsid w:val="00FD0C61"/>
    <w:pPr>
      <w:widowControl w:val="0"/>
      <w:shd w:val="clear" w:color="auto" w:fill="FFFFFF"/>
      <w:spacing w:line="0" w:lineRule="atLeast"/>
    </w:pPr>
    <w:rPr>
      <w:i/>
      <w:iCs/>
      <w:sz w:val="15"/>
      <w:szCs w:val="15"/>
      <w:lang w:eastAsia="en-US"/>
    </w:rPr>
  </w:style>
  <w:style w:type="paragraph" w:customStyle="1" w:styleId="300">
    <w:name w:val="Основной текст (30)"/>
    <w:basedOn w:val="a5"/>
    <w:link w:val="30Exact"/>
    <w:rsid w:val="00FD0C61"/>
    <w:pPr>
      <w:widowControl w:val="0"/>
      <w:shd w:val="clear" w:color="auto" w:fill="FFFFFF"/>
      <w:spacing w:line="0" w:lineRule="atLeast"/>
    </w:pPr>
    <w:rPr>
      <w:rFonts w:ascii="Trebuchet MS" w:eastAsia="Trebuchet MS" w:hAnsi="Trebuchet MS" w:cs="Trebuchet MS"/>
      <w:spacing w:val="-10"/>
      <w:sz w:val="21"/>
      <w:szCs w:val="21"/>
      <w:lang w:eastAsia="en-US"/>
    </w:rPr>
  </w:style>
  <w:style w:type="paragraph" w:customStyle="1" w:styleId="316">
    <w:name w:val="Основной текст (31)"/>
    <w:basedOn w:val="a5"/>
    <w:link w:val="31Exact"/>
    <w:rsid w:val="00FD0C61"/>
    <w:pPr>
      <w:widowControl w:val="0"/>
      <w:shd w:val="clear" w:color="auto" w:fill="FFFFFF"/>
      <w:spacing w:line="0" w:lineRule="atLeast"/>
    </w:pPr>
    <w:rPr>
      <w:rFonts w:ascii="Trebuchet MS" w:eastAsia="Trebuchet MS" w:hAnsi="Trebuchet MS" w:cs="Trebuchet MS"/>
      <w:b/>
      <w:bCs/>
      <w:i/>
      <w:iCs/>
      <w:spacing w:val="-10"/>
      <w:sz w:val="36"/>
      <w:szCs w:val="36"/>
      <w:lang w:eastAsia="en-US"/>
    </w:rPr>
  </w:style>
  <w:style w:type="paragraph" w:customStyle="1" w:styleId="67">
    <w:name w:val="Подпись к картинке (6)"/>
    <w:basedOn w:val="a5"/>
    <w:link w:val="6Exact1"/>
    <w:rsid w:val="00FD0C61"/>
    <w:pPr>
      <w:widowControl w:val="0"/>
      <w:shd w:val="clear" w:color="auto" w:fill="FFFFFF"/>
      <w:spacing w:line="0" w:lineRule="atLeast"/>
      <w:jc w:val="both"/>
    </w:pPr>
    <w:rPr>
      <w:rFonts w:ascii="Segoe UI" w:eastAsia="Segoe UI" w:hAnsi="Segoe UI" w:cs="Segoe UI"/>
      <w:i/>
      <w:iCs/>
      <w:sz w:val="15"/>
      <w:szCs w:val="15"/>
      <w:lang w:eastAsia="en-US"/>
    </w:rPr>
  </w:style>
  <w:style w:type="paragraph" w:customStyle="1" w:styleId="271">
    <w:name w:val="Основной текст (27)"/>
    <w:basedOn w:val="a5"/>
    <w:link w:val="270"/>
    <w:rsid w:val="00FD0C61"/>
    <w:pPr>
      <w:widowControl w:val="0"/>
      <w:shd w:val="clear" w:color="auto" w:fill="FFFFFF"/>
      <w:spacing w:line="0" w:lineRule="atLeast"/>
      <w:jc w:val="both"/>
    </w:pPr>
    <w:rPr>
      <w:rFonts w:ascii="Trebuchet MS" w:eastAsia="Trebuchet MS" w:hAnsi="Trebuchet MS" w:cs="Trebuchet MS"/>
      <w:i/>
      <w:iCs/>
      <w:sz w:val="20"/>
      <w:szCs w:val="20"/>
      <w:lang w:eastAsia="en-US" w:bidi="en-US"/>
    </w:rPr>
  </w:style>
  <w:style w:type="paragraph" w:customStyle="1" w:styleId="291">
    <w:name w:val="Основной текст (29)"/>
    <w:basedOn w:val="a5"/>
    <w:link w:val="290"/>
    <w:rsid w:val="00FD0C61"/>
    <w:pPr>
      <w:widowControl w:val="0"/>
      <w:shd w:val="clear" w:color="auto" w:fill="FFFFFF"/>
      <w:spacing w:after="300" w:line="0" w:lineRule="atLeast"/>
      <w:jc w:val="center"/>
    </w:pPr>
    <w:rPr>
      <w:sz w:val="17"/>
      <w:szCs w:val="17"/>
      <w:lang w:eastAsia="en-US"/>
    </w:rPr>
  </w:style>
  <w:style w:type="paragraph" w:customStyle="1" w:styleId="78">
    <w:name w:val="Подпись к картинке (7)"/>
    <w:basedOn w:val="a5"/>
    <w:link w:val="7Exact0"/>
    <w:rsid w:val="00FD0C61"/>
    <w:pPr>
      <w:widowControl w:val="0"/>
      <w:shd w:val="clear" w:color="auto" w:fill="FFFFFF"/>
      <w:spacing w:line="0" w:lineRule="atLeast"/>
    </w:pPr>
    <w:rPr>
      <w:i/>
      <w:iCs/>
      <w:sz w:val="17"/>
      <w:szCs w:val="17"/>
      <w:lang w:eastAsia="en-US"/>
    </w:rPr>
  </w:style>
  <w:style w:type="paragraph" w:customStyle="1" w:styleId="321">
    <w:name w:val="Основной текст (32)"/>
    <w:basedOn w:val="a5"/>
    <w:link w:val="32Exact"/>
    <w:rsid w:val="00FD0C61"/>
    <w:pPr>
      <w:widowControl w:val="0"/>
      <w:shd w:val="clear" w:color="auto" w:fill="FFFFFF"/>
      <w:spacing w:line="0" w:lineRule="atLeast"/>
    </w:pPr>
    <w:rPr>
      <w:i/>
      <w:iCs/>
      <w:sz w:val="13"/>
      <w:szCs w:val="13"/>
      <w:lang w:eastAsia="en-US"/>
    </w:rPr>
  </w:style>
  <w:style w:type="paragraph" w:customStyle="1" w:styleId="88">
    <w:name w:val="Подпись к картинке (8)"/>
    <w:basedOn w:val="a5"/>
    <w:link w:val="8Exact0"/>
    <w:rsid w:val="00FD0C61"/>
    <w:pPr>
      <w:widowControl w:val="0"/>
      <w:shd w:val="clear" w:color="auto" w:fill="FFFFFF"/>
      <w:spacing w:line="0" w:lineRule="atLeast"/>
    </w:pPr>
    <w:rPr>
      <w:sz w:val="21"/>
      <w:szCs w:val="21"/>
      <w:lang w:eastAsia="en-US"/>
    </w:rPr>
  </w:style>
  <w:style w:type="paragraph" w:customStyle="1" w:styleId="341">
    <w:name w:val="Основной текст (34)"/>
    <w:basedOn w:val="a5"/>
    <w:link w:val="340"/>
    <w:rsid w:val="00FD0C61"/>
    <w:pPr>
      <w:widowControl w:val="0"/>
      <w:shd w:val="clear" w:color="auto" w:fill="FFFFFF"/>
      <w:spacing w:before="120" w:after="540" w:line="0" w:lineRule="atLeast"/>
      <w:jc w:val="both"/>
    </w:pPr>
    <w:rPr>
      <w:sz w:val="28"/>
      <w:szCs w:val="28"/>
      <w:lang w:eastAsia="en-US"/>
    </w:rPr>
  </w:style>
  <w:style w:type="paragraph" w:customStyle="1" w:styleId="96">
    <w:name w:val="Подпись к картинке (9)"/>
    <w:basedOn w:val="a5"/>
    <w:link w:val="9Exact2"/>
    <w:rsid w:val="00FD0C61"/>
    <w:pPr>
      <w:widowControl w:val="0"/>
      <w:shd w:val="clear" w:color="auto" w:fill="FFFFFF"/>
      <w:spacing w:line="0" w:lineRule="atLeast"/>
    </w:pPr>
    <w:rPr>
      <w:sz w:val="17"/>
      <w:szCs w:val="17"/>
      <w:lang w:eastAsia="en-US"/>
    </w:rPr>
  </w:style>
  <w:style w:type="paragraph" w:customStyle="1" w:styleId="102">
    <w:name w:val="Подпись к картинке (10)"/>
    <w:basedOn w:val="a5"/>
    <w:link w:val="10Exact"/>
    <w:rsid w:val="00FD0C61"/>
    <w:pPr>
      <w:widowControl w:val="0"/>
      <w:shd w:val="clear" w:color="auto" w:fill="FFFFFF"/>
      <w:spacing w:line="0" w:lineRule="atLeast"/>
    </w:pPr>
    <w:rPr>
      <w:rFonts w:ascii="Trebuchet MS" w:eastAsia="Trebuchet MS" w:hAnsi="Trebuchet MS" w:cs="Trebuchet MS"/>
      <w:spacing w:val="-10"/>
      <w:sz w:val="11"/>
      <w:szCs w:val="11"/>
      <w:lang w:eastAsia="en-US"/>
    </w:rPr>
  </w:style>
  <w:style w:type="paragraph" w:customStyle="1" w:styleId="360">
    <w:name w:val="Основной текст (36)"/>
    <w:basedOn w:val="a5"/>
    <w:link w:val="36Exact"/>
    <w:rsid w:val="00FD0C61"/>
    <w:pPr>
      <w:widowControl w:val="0"/>
      <w:shd w:val="clear" w:color="auto" w:fill="FFFFFF"/>
      <w:spacing w:before="60" w:line="0" w:lineRule="atLeast"/>
    </w:pPr>
    <w:rPr>
      <w:b/>
      <w:bCs/>
      <w:sz w:val="17"/>
      <w:szCs w:val="17"/>
      <w:lang w:eastAsia="en-US"/>
    </w:rPr>
  </w:style>
  <w:style w:type="paragraph" w:customStyle="1" w:styleId="420">
    <w:name w:val="Заголовок №4 (2)"/>
    <w:basedOn w:val="a5"/>
    <w:link w:val="42Exact"/>
    <w:rsid w:val="00FD0C61"/>
    <w:pPr>
      <w:widowControl w:val="0"/>
      <w:shd w:val="clear" w:color="auto" w:fill="FFFFFF"/>
      <w:spacing w:line="0" w:lineRule="atLeast"/>
      <w:outlineLvl w:val="3"/>
    </w:pPr>
    <w:rPr>
      <w:rFonts w:ascii="Segoe UI" w:eastAsia="Segoe UI" w:hAnsi="Segoe UI" w:cs="Segoe UI"/>
      <w:b/>
      <w:bCs/>
      <w:i/>
      <w:iCs/>
      <w:sz w:val="28"/>
      <w:szCs w:val="28"/>
      <w:lang w:eastAsia="en-US"/>
    </w:rPr>
  </w:style>
  <w:style w:type="paragraph" w:customStyle="1" w:styleId="351">
    <w:name w:val="Основной текст (35)"/>
    <w:basedOn w:val="a5"/>
    <w:link w:val="350"/>
    <w:rsid w:val="00FD0C61"/>
    <w:pPr>
      <w:widowControl w:val="0"/>
      <w:shd w:val="clear" w:color="auto" w:fill="FFFFFF"/>
      <w:spacing w:line="284" w:lineRule="exact"/>
    </w:pPr>
    <w:rPr>
      <w:i/>
      <w:iCs/>
      <w:sz w:val="11"/>
      <w:szCs w:val="11"/>
      <w:lang w:eastAsia="en-US"/>
    </w:rPr>
  </w:style>
  <w:style w:type="paragraph" w:customStyle="1" w:styleId="371">
    <w:name w:val="Основной текст (37)"/>
    <w:basedOn w:val="a5"/>
    <w:link w:val="370"/>
    <w:rsid w:val="00FD0C61"/>
    <w:pPr>
      <w:widowControl w:val="0"/>
      <w:shd w:val="clear" w:color="auto" w:fill="FFFFFF"/>
      <w:spacing w:line="0" w:lineRule="atLeast"/>
    </w:pPr>
    <w:rPr>
      <w:rFonts w:ascii="Trebuchet MS" w:eastAsia="Trebuchet MS" w:hAnsi="Trebuchet MS" w:cs="Trebuchet MS"/>
      <w:i/>
      <w:iCs/>
      <w:sz w:val="20"/>
      <w:szCs w:val="20"/>
      <w:lang w:eastAsia="en-US"/>
    </w:rPr>
  </w:style>
  <w:style w:type="paragraph" w:customStyle="1" w:styleId="391">
    <w:name w:val="Основной текст (39)"/>
    <w:basedOn w:val="a5"/>
    <w:link w:val="390"/>
    <w:rsid w:val="00FD0C61"/>
    <w:pPr>
      <w:widowControl w:val="0"/>
      <w:shd w:val="clear" w:color="auto" w:fill="FFFFFF"/>
      <w:spacing w:before="240" w:after="360" w:line="0" w:lineRule="atLeast"/>
    </w:pPr>
    <w:rPr>
      <w:sz w:val="26"/>
      <w:szCs w:val="26"/>
      <w:lang w:eastAsia="en-US"/>
    </w:rPr>
  </w:style>
  <w:style w:type="character" w:customStyle="1" w:styleId="defaultlabelstyle3">
    <w:name w:val="defaultlabelstyle3"/>
    <w:rsid w:val="00FD0C61"/>
    <w:rPr>
      <w:rFonts w:ascii="Verdana" w:hAnsi="Verdana" w:hint="default"/>
      <w:color w:val="333333"/>
    </w:rPr>
  </w:style>
  <w:style w:type="numbering" w:customStyle="1" w:styleId="116">
    <w:name w:val="Нет списка11"/>
    <w:next w:val="a8"/>
    <w:uiPriority w:val="99"/>
    <w:semiHidden/>
    <w:unhideWhenUsed/>
    <w:rsid w:val="00FD0C61"/>
  </w:style>
  <w:style w:type="numbering" w:customStyle="1" w:styleId="215">
    <w:name w:val="Нет списка21"/>
    <w:next w:val="a8"/>
    <w:uiPriority w:val="99"/>
    <w:semiHidden/>
    <w:unhideWhenUsed/>
    <w:rsid w:val="00FD0C61"/>
  </w:style>
  <w:style w:type="table" w:customStyle="1" w:styleId="317">
    <w:name w:val="Сетка таблицы31"/>
    <w:basedOn w:val="a7"/>
    <w:next w:val="ad"/>
    <w:uiPriority w:val="59"/>
    <w:rsid w:val="00FD0C61"/>
    <w:rPr>
      <w:rFonts w:ascii="Calibri" w:eastAsia="Times New Roman"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1">
    <w:name w:val="#Подпись"/>
    <w:basedOn w:val="a5"/>
    <w:link w:val="afffffff2"/>
    <w:qFormat/>
    <w:rsid w:val="00FD0C61"/>
    <w:pPr>
      <w:tabs>
        <w:tab w:val="right" w:pos="9356"/>
      </w:tabs>
      <w:spacing w:before="120"/>
    </w:pPr>
    <w:rPr>
      <w:sz w:val="28"/>
      <w:szCs w:val="28"/>
    </w:rPr>
  </w:style>
  <w:style w:type="character" w:customStyle="1" w:styleId="afffffff2">
    <w:name w:val="#Подпись Знак"/>
    <w:link w:val="afffffff1"/>
    <w:rsid w:val="00FD0C61"/>
    <w:rPr>
      <w:rFonts w:eastAsia="Times New Roman"/>
      <w:sz w:val="28"/>
      <w:szCs w:val="28"/>
      <w:lang w:eastAsia="ru-RU"/>
    </w:rPr>
  </w:style>
  <w:style w:type="paragraph" w:customStyle="1" w:styleId="s1">
    <w:name w:val="s_1"/>
    <w:basedOn w:val="a5"/>
    <w:rsid w:val="003F6DA4"/>
    <w:pPr>
      <w:spacing w:before="100" w:beforeAutospacing="1" w:after="100" w:afterAutospacing="1"/>
    </w:pPr>
  </w:style>
  <w:style w:type="paragraph" w:customStyle="1" w:styleId="a1">
    <w:name w:val="ГПО"/>
    <w:basedOn w:val="10"/>
    <w:rsid w:val="006E7D4A"/>
    <w:pPr>
      <w:numPr>
        <w:numId w:val="70"/>
      </w:numPr>
      <w:spacing w:after="480" w:line="240" w:lineRule="auto"/>
      <w:jc w:val="center"/>
    </w:pPr>
    <w:rPr>
      <w:b/>
      <w:bCs/>
      <w:szCs w:val="28"/>
    </w:rPr>
  </w:style>
  <w:style w:type="paragraph" w:customStyle="1" w:styleId="BSIStyle">
    <w:name w:val="BSI Style"/>
    <w:basedOn w:val="a5"/>
    <w:rsid w:val="00554EE9"/>
    <w:rPr>
      <w:rFonts w:ascii="Arial" w:hAnsi="Arial"/>
      <w:sz w:val="18"/>
      <w:szCs w:val="17"/>
      <w:lang w:eastAsia="ko-KR"/>
    </w:rPr>
  </w:style>
  <w:style w:type="paragraph" w:customStyle="1" w:styleId="xl65">
    <w:name w:val="xl65"/>
    <w:basedOn w:val="a5"/>
    <w:rsid w:val="00123D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sz w:val="20"/>
      <w:szCs w:val="20"/>
    </w:rPr>
  </w:style>
  <w:style w:type="paragraph" w:customStyle="1" w:styleId="333">
    <w:name w:val="3 УРОВЕНЬ 3"/>
    <w:basedOn w:val="30"/>
    <w:next w:val="a5"/>
    <w:qFormat/>
    <w:rsid w:val="005510A8"/>
    <w:pPr>
      <w:spacing w:after="120" w:line="240" w:lineRule="auto"/>
      <w:ind w:left="851" w:hanging="851"/>
    </w:pPr>
    <w:rPr>
      <w:bCs/>
      <w:i/>
      <w:iCs/>
      <w:szCs w:val="28"/>
      <w:u w:val="single"/>
    </w:rPr>
  </w:style>
  <w:style w:type="paragraph" w:customStyle="1" w:styleId="afffffff3">
    <w:name w:val="РИСУНОК"/>
    <w:basedOn w:val="a5"/>
    <w:next w:val="a5"/>
    <w:qFormat/>
    <w:rsid w:val="005510A8"/>
    <w:pPr>
      <w:tabs>
        <w:tab w:val="left" w:pos="0"/>
      </w:tabs>
      <w:spacing w:after="120"/>
      <w:jc w:val="both"/>
    </w:pPr>
    <w:rPr>
      <w:b/>
      <w:i/>
      <w:snapToGrid w:val="0"/>
      <w:color w:val="000000"/>
      <w:szCs w:val="20"/>
    </w:rPr>
  </w:style>
  <w:style w:type="character" w:styleId="afffffff4">
    <w:name w:val="Subtle Emphasis"/>
    <w:uiPriority w:val="19"/>
    <w:qFormat/>
    <w:rsid w:val="00ED79C9"/>
    <w:rPr>
      <w:i/>
      <w:iCs/>
      <w:color w:val="808080"/>
    </w:rPr>
  </w:style>
  <w:style w:type="character" w:customStyle="1" w:styleId="FontStyle17">
    <w:name w:val="Font Style17"/>
    <w:uiPriority w:val="99"/>
    <w:rsid w:val="00F3260C"/>
    <w:rPr>
      <w:rFonts w:ascii="Times New Roman" w:hAnsi="Times New Roman" w:cs="Times New Roman"/>
      <w:sz w:val="24"/>
      <w:szCs w:val="24"/>
    </w:rPr>
  </w:style>
  <w:style w:type="character" w:customStyle="1" w:styleId="FontStyle28">
    <w:name w:val="Font Style28"/>
    <w:rsid w:val="00F3260C"/>
    <w:rPr>
      <w:rFonts w:ascii="Times New Roman" w:hAnsi="Times New Roman" w:cs="Times New Roman"/>
      <w:sz w:val="22"/>
      <w:szCs w:val="22"/>
    </w:rPr>
  </w:style>
  <w:style w:type="paragraph" w:customStyle="1" w:styleId="afffffff5">
    <w:name w:val="СНОСКА"/>
    <w:basedOn w:val="a5"/>
    <w:next w:val="a5"/>
    <w:qFormat/>
    <w:rsid w:val="00162DD0"/>
    <w:pPr>
      <w:tabs>
        <w:tab w:val="left" w:pos="1080"/>
        <w:tab w:val="left" w:pos="1320"/>
      </w:tabs>
      <w:jc w:val="both"/>
    </w:pPr>
    <w:rPr>
      <w:i/>
      <w:snapToGrid w:val="0"/>
      <w:sz w:val="22"/>
    </w:rPr>
  </w:style>
  <w:style w:type="paragraph" w:customStyle="1" w:styleId="CommentText0">
    <w:name w:val="Comment Text_0"/>
    <w:basedOn w:val="a5"/>
    <w:link w:val="afd"/>
    <w:uiPriority w:val="99"/>
    <w:semiHidden/>
    <w:unhideWhenUsed/>
    <w:rPr>
      <w:sz w:val="20"/>
      <w:szCs w:val="20"/>
    </w:rPr>
  </w:style>
  <w:style w:type="character" w:customStyle="1" w:styleId="CommentReference0">
    <w:name w:val="Comment Reference_0"/>
    <w:uiPriority w:val="99"/>
    <w:semiHidden/>
    <w:unhideWhenUsed/>
    <w:rPr>
      <w:sz w:val="16"/>
      <w:szCs w:val="16"/>
    </w:rPr>
  </w:style>
  <w:style w:type="character" w:customStyle="1" w:styleId="UnresolvedMention">
    <w:name w:val="Unresolved Mention"/>
    <w:uiPriority w:val="99"/>
    <w:semiHidden/>
    <w:unhideWhenUsed/>
    <w:rsid w:val="002E01BE"/>
    <w:rPr>
      <w:color w:val="605E5C"/>
      <w:shd w:val="clear" w:color="auto" w:fill="E1DFDD"/>
    </w:rPr>
  </w:style>
  <w:style w:type="character" w:customStyle="1" w:styleId="Tag">
    <w:name w:val="Tag"/>
    <w:uiPriority w:val="1"/>
    <w:qFormat/>
    <w:rsid w:val="00205FC7"/>
    <w:rPr>
      <w:i/>
      <w:color w:val="FF0066"/>
    </w:rPr>
  </w:style>
  <w:style w:type="paragraph" w:customStyle="1" w:styleId="1ff8">
    <w:name w:val="З1"/>
    <w:basedOn w:val="a5"/>
    <w:link w:val="1ff9"/>
    <w:qFormat/>
    <w:rsid w:val="004A6955"/>
    <w:pPr>
      <w:keepNext/>
      <w:tabs>
        <w:tab w:val="left" w:pos="1134"/>
      </w:tabs>
      <w:spacing w:before="240"/>
      <w:jc w:val="center"/>
    </w:pPr>
    <w:rPr>
      <w:rFonts w:ascii="Arial" w:hAnsi="Arial" w:cs="Arial"/>
      <w:b/>
      <w:bCs/>
      <w:iCs/>
      <w:sz w:val="18"/>
      <w:szCs w:val="18"/>
      <w:lang w:val="en-US"/>
    </w:rPr>
  </w:style>
  <w:style w:type="character" w:customStyle="1" w:styleId="1ff9">
    <w:name w:val="З1 Знак"/>
    <w:link w:val="1ff8"/>
    <w:rsid w:val="004A6955"/>
    <w:rPr>
      <w:rFonts w:ascii="Arial" w:eastAsia="Times New Roman" w:hAnsi="Arial" w:cs="Arial"/>
      <w:b/>
      <w:bCs/>
      <w:iCs/>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hyperlink" Target="http://www.np-sr.ru" TargetMode="External"/><Relationship Id="rId42" Type="http://schemas.openxmlformats.org/officeDocument/2006/relationships/chart" Target="charts/chart5.xml"/><Relationship Id="rId63" Type="http://schemas.openxmlformats.org/officeDocument/2006/relationships/image" Target="media/image27.png"/><Relationship Id="rId84" Type="http://schemas.openxmlformats.org/officeDocument/2006/relationships/chart" Target="charts/chart29.xml"/><Relationship Id="rId138" Type="http://schemas.openxmlformats.org/officeDocument/2006/relationships/chart" Target="charts/chart51.xml"/><Relationship Id="rId159" Type="http://schemas.openxmlformats.org/officeDocument/2006/relationships/hyperlink" Target="consultantplus://offline/ref=50BA3A52E3BACAA64AFA1DA876CA93581BE926C6BE9CC9A8FCB563EB9558272D792D250813BBD6CEI0GEM" TargetMode="External"/><Relationship Id="rId107" Type="http://schemas.openxmlformats.org/officeDocument/2006/relationships/chart" Target="charts/chart39.xml"/><Relationship Id="rId11" Type="http://schemas.openxmlformats.org/officeDocument/2006/relationships/image" Target="media/image4.png"/><Relationship Id="rId32" Type="http://schemas.openxmlformats.org/officeDocument/2006/relationships/image" Target="media/image14.png"/><Relationship Id="rId53" Type="http://schemas.openxmlformats.org/officeDocument/2006/relationships/image" Target="media/image21.png"/><Relationship Id="rId74" Type="http://schemas.openxmlformats.org/officeDocument/2006/relationships/chart" Target="charts/chart22.xml"/><Relationship Id="rId128" Type="http://schemas.openxmlformats.org/officeDocument/2006/relationships/hyperlink" Target="http://www.moex.com/" TargetMode="External"/><Relationship Id="rId149" Type="http://schemas.openxmlformats.org/officeDocument/2006/relationships/hyperlink" Target="consultantplus://offline/ref=40A240B7A135CCEB32728E4729E51981D4C91A3AF1BA81C3A746E6E59630AB70772924A463553412WEn9L" TargetMode="External"/><Relationship Id="rId5" Type="http://schemas.openxmlformats.org/officeDocument/2006/relationships/webSettings" Target="webSettings.xml"/><Relationship Id="rId95" Type="http://schemas.openxmlformats.org/officeDocument/2006/relationships/hyperlink" Target="http://www.lenenergo.ru/shareholders/forinsiders/" TargetMode="External"/><Relationship Id="rId160" Type="http://schemas.openxmlformats.org/officeDocument/2006/relationships/hyperlink" Target="consultantplus://offline/ref=D3DC9DD927644EBFBC3A6B066F9303AED2175DFBF8F9A659F34E1F58649576A180B493DECBC7765240IAM" TargetMode="External"/><Relationship Id="rId22" Type="http://schemas.openxmlformats.org/officeDocument/2006/relationships/image" Target="media/image11.png"/><Relationship Id="rId43" Type="http://schemas.openxmlformats.org/officeDocument/2006/relationships/chart" Target="charts/chart6.xml"/><Relationship Id="rId64" Type="http://schemas.openxmlformats.org/officeDocument/2006/relationships/image" Target="media/image28.png"/><Relationship Id="rId118" Type="http://schemas.openxmlformats.org/officeDocument/2006/relationships/image" Target="media/image48.png"/><Relationship Id="rId139" Type="http://schemas.openxmlformats.org/officeDocument/2006/relationships/chart" Target="charts/chart52.xml"/><Relationship Id="rId85" Type="http://schemas.openxmlformats.org/officeDocument/2006/relationships/header" Target="header1.xml"/><Relationship Id="rId150" Type="http://schemas.openxmlformats.org/officeDocument/2006/relationships/hyperlink" Target="consultantplus://offline/ref=40A240B7A135CCEB32728E4729E51981D4C91A3AF1BA81C3A746E6E59630AB70772924A463553417WEnCL"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chart" Target="charts/chart1.xml"/><Relationship Id="rId38" Type="http://schemas.openxmlformats.org/officeDocument/2006/relationships/image" Target="media/image19.png"/><Relationship Id="rId59" Type="http://schemas.openxmlformats.org/officeDocument/2006/relationships/chart" Target="charts/chart17.xml"/><Relationship Id="rId103" Type="http://schemas.openxmlformats.org/officeDocument/2006/relationships/chart" Target="charts/chart37.xml"/><Relationship Id="rId108" Type="http://schemas.openxmlformats.org/officeDocument/2006/relationships/chart" Target="charts/chart40.xml"/><Relationship Id="rId124" Type="http://schemas.openxmlformats.org/officeDocument/2006/relationships/chart" Target="charts/chart46.xml"/><Relationship Id="rId129" Type="http://schemas.openxmlformats.org/officeDocument/2006/relationships/image" Target="media/image52.png"/><Relationship Id="rId54" Type="http://schemas.openxmlformats.org/officeDocument/2006/relationships/chart" Target="charts/chart15.xml"/><Relationship Id="rId70" Type="http://schemas.openxmlformats.org/officeDocument/2006/relationships/image" Target="media/image33.jpeg"/><Relationship Id="rId75" Type="http://schemas.openxmlformats.org/officeDocument/2006/relationships/chart" Target="charts/chart23.xml"/><Relationship Id="rId91" Type="http://schemas.openxmlformats.org/officeDocument/2006/relationships/hyperlink" Target="http://lenenergo.ru/shareholders/corp/control/" TargetMode="External"/><Relationship Id="rId96" Type="http://schemas.openxmlformats.org/officeDocument/2006/relationships/image" Target="media/image40.png"/><Relationship Id="rId140" Type="http://schemas.openxmlformats.org/officeDocument/2006/relationships/chart" Target="charts/chart53.xml"/><Relationship Id="rId145" Type="http://schemas.openxmlformats.org/officeDocument/2006/relationships/hyperlink" Target="http://www.mcd.ru" TargetMode="External"/><Relationship Id="rId161" Type="http://schemas.openxmlformats.org/officeDocument/2006/relationships/footer" Target="footer1.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hyperlink" Target="http://www.gov.spb.ru" TargetMode="External"/><Relationship Id="rId49" Type="http://schemas.openxmlformats.org/officeDocument/2006/relationships/chart" Target="charts/chart11.xml"/><Relationship Id="rId114" Type="http://schemas.openxmlformats.org/officeDocument/2006/relationships/oleObject" Target="embeddings/Microsoft_Visio_2003-2010_Drawing.vsd"/><Relationship Id="rId119" Type="http://schemas.openxmlformats.org/officeDocument/2006/relationships/image" Target="cid:image005.png@01D06B99.1411E5F0" TargetMode="External"/><Relationship Id="rId44" Type="http://schemas.openxmlformats.org/officeDocument/2006/relationships/chart" Target="charts/chart7.xml"/><Relationship Id="rId60" Type="http://schemas.openxmlformats.org/officeDocument/2006/relationships/chart" Target="charts/chart18.xml"/><Relationship Id="rId65" Type="http://schemas.openxmlformats.org/officeDocument/2006/relationships/chart" Target="charts/chart19.xml"/><Relationship Id="rId81" Type="http://schemas.openxmlformats.org/officeDocument/2006/relationships/chart" Target="charts/chart26.xml"/><Relationship Id="rId86" Type="http://schemas.openxmlformats.org/officeDocument/2006/relationships/header" Target="header2.xml"/><Relationship Id="rId130" Type="http://schemas.openxmlformats.org/officeDocument/2006/relationships/image" Target="media/image53.png"/><Relationship Id="rId135" Type="http://schemas.openxmlformats.org/officeDocument/2006/relationships/chart" Target="charts/chart48.xml"/><Relationship Id="rId151" Type="http://schemas.openxmlformats.org/officeDocument/2006/relationships/hyperlink" Target="consultantplus://offline/ref=F4695EF84764808259248AC5197DD7B32F533D192CBD18A786735077BC5B95EE5FF08C76263BBC8Dj8uDL" TargetMode="External"/><Relationship Id="rId156" Type="http://schemas.openxmlformats.org/officeDocument/2006/relationships/hyperlink" Target="consultantplus://offline/ref=CDA1E26F6BB3BF3190C316AB908A22BC53213356A7B4C9F64A1586EE76597CF5140D8F1FCCFEF298z4w9L" TargetMode="External"/><Relationship Id="rId13" Type="http://schemas.openxmlformats.org/officeDocument/2006/relationships/image" Target="media/image6.png"/><Relationship Id="rId18" Type="http://schemas.openxmlformats.org/officeDocument/2006/relationships/hyperlink" Target="http://www.gks.ru/" TargetMode="External"/><Relationship Id="rId39" Type="http://schemas.openxmlformats.org/officeDocument/2006/relationships/chart" Target="charts/chart2.xml"/><Relationship Id="rId109" Type="http://schemas.openxmlformats.org/officeDocument/2006/relationships/chart" Target="charts/chart41.xml"/><Relationship Id="rId34" Type="http://schemas.openxmlformats.org/officeDocument/2006/relationships/image" Target="media/image15.png"/><Relationship Id="rId50" Type="http://schemas.openxmlformats.org/officeDocument/2006/relationships/chart" Target="charts/chart12.xml"/><Relationship Id="rId55" Type="http://schemas.openxmlformats.org/officeDocument/2006/relationships/image" Target="media/image22.png"/><Relationship Id="rId76" Type="http://schemas.openxmlformats.org/officeDocument/2006/relationships/image" Target="media/image35.png"/><Relationship Id="rId97" Type="http://schemas.openxmlformats.org/officeDocument/2006/relationships/image" Target="media/image41.png"/><Relationship Id="rId104" Type="http://schemas.openxmlformats.org/officeDocument/2006/relationships/chart" Target="charts/chart38.xml"/><Relationship Id="rId120" Type="http://schemas.openxmlformats.org/officeDocument/2006/relationships/image" Target="media/image49.png"/><Relationship Id="rId125" Type="http://schemas.openxmlformats.org/officeDocument/2006/relationships/hyperlink" Target="http://www.lenenergo.ru/about/corruption/svideteljstvo_lenenergo.pdf" TargetMode="External"/><Relationship Id="rId141" Type="http://schemas.openxmlformats.org/officeDocument/2006/relationships/hyperlink" Target="http://www.etp.rosseti.ru" TargetMode="External"/><Relationship Id="rId146" Type="http://schemas.openxmlformats.org/officeDocument/2006/relationships/hyperlink" Target="consultantplus://offline/ref=F0ECDD21ACA789103E2A6D99FC1E8B68C8633285A0A4EF91389DB6B7846CC94749B9DB7ABAC1EFCFM0N6H" TargetMode="External"/><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39.png"/><Relationship Id="rId16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hyperlink" Target="http://www.economy.gov.ru" TargetMode="External"/><Relationship Id="rId24" Type="http://schemas.openxmlformats.org/officeDocument/2006/relationships/image" Target="media/image13.jpeg"/><Relationship Id="rId40" Type="http://schemas.openxmlformats.org/officeDocument/2006/relationships/chart" Target="charts/chart3.xml"/><Relationship Id="rId45" Type="http://schemas.openxmlformats.org/officeDocument/2006/relationships/chart" Target="charts/chart8.xml"/><Relationship Id="rId66" Type="http://schemas.openxmlformats.org/officeDocument/2006/relationships/image" Target="media/image29.jpeg"/><Relationship Id="rId87" Type="http://schemas.openxmlformats.org/officeDocument/2006/relationships/image" Target="media/image38.png"/><Relationship Id="rId110" Type="http://schemas.openxmlformats.org/officeDocument/2006/relationships/chart" Target="charts/chart42.xml"/><Relationship Id="rId115" Type="http://schemas.openxmlformats.org/officeDocument/2006/relationships/image" Target="media/image45.png"/><Relationship Id="rId131" Type="http://schemas.openxmlformats.org/officeDocument/2006/relationships/image" Target="media/image54.png"/><Relationship Id="rId136" Type="http://schemas.openxmlformats.org/officeDocument/2006/relationships/chart" Target="charts/chart49.xml"/><Relationship Id="rId157" Type="http://schemas.openxmlformats.org/officeDocument/2006/relationships/hyperlink" Target="consultantplus://offline/ref=30B3B8F6C534595312D16493213A78E12075A8215547AA34F7B8015020680A23A041C8CC0333358971w7L" TargetMode="External"/><Relationship Id="rId61" Type="http://schemas.openxmlformats.org/officeDocument/2006/relationships/image" Target="media/image25.png"/><Relationship Id="rId82" Type="http://schemas.openxmlformats.org/officeDocument/2006/relationships/chart" Target="charts/chart27.xml"/><Relationship Id="rId152" Type="http://schemas.openxmlformats.org/officeDocument/2006/relationships/hyperlink" Target="consultantplus://offline/ref=F50247E029ED4FD6223C829E920F9D5B2A3F16C5270E0C3EEFE33EC296B0A0D695F0A8F6BE9C721420uEL" TargetMode="External"/><Relationship Id="rId19" Type="http://schemas.openxmlformats.org/officeDocument/2006/relationships/hyperlink" Target="http://www.rosseti.ru" TargetMode="External"/><Relationship Id="rId14" Type="http://schemas.openxmlformats.org/officeDocument/2006/relationships/image" Target="media/image7.png"/><Relationship Id="rId30" Type="http://schemas.openxmlformats.org/officeDocument/2006/relationships/hyperlink" Target="http://petrostat.gks.ru" TargetMode="External"/><Relationship Id="rId35" Type="http://schemas.openxmlformats.org/officeDocument/2006/relationships/image" Target="media/image16.png"/><Relationship Id="rId56" Type="http://schemas.openxmlformats.org/officeDocument/2006/relationships/image" Target="media/image23.png"/><Relationship Id="rId77" Type="http://schemas.openxmlformats.org/officeDocument/2006/relationships/image" Target="media/image36.png"/><Relationship Id="rId100" Type="http://schemas.openxmlformats.org/officeDocument/2006/relationships/chart" Target="charts/chart36.xml"/><Relationship Id="rId105" Type="http://schemas.openxmlformats.org/officeDocument/2006/relationships/image" Target="media/image42.png"/><Relationship Id="rId126" Type="http://schemas.openxmlformats.org/officeDocument/2006/relationships/image" Target="media/image50.png"/><Relationship Id="rId147" Type="http://schemas.openxmlformats.org/officeDocument/2006/relationships/hyperlink" Target="consultantplus://offline/ref=97B7F93351616D326F804D1D7E89A587BEF3428C85F2E3AEA475CF45B2B077547F64415A04CCE58B68l4L" TargetMode="External"/><Relationship Id="rId8" Type="http://schemas.openxmlformats.org/officeDocument/2006/relationships/image" Target="media/image1.png"/><Relationship Id="rId51" Type="http://schemas.openxmlformats.org/officeDocument/2006/relationships/chart" Target="charts/chart13.xml"/><Relationship Id="rId72" Type="http://schemas.openxmlformats.org/officeDocument/2006/relationships/chart" Target="charts/chart20.xml"/><Relationship Id="rId93" Type="http://schemas.openxmlformats.org/officeDocument/2006/relationships/chart" Target="charts/chart32.xml"/><Relationship Id="rId98" Type="http://schemas.openxmlformats.org/officeDocument/2006/relationships/chart" Target="charts/chart34.xml"/><Relationship Id="rId121" Type="http://schemas.openxmlformats.org/officeDocument/2006/relationships/header" Target="header3.xml"/><Relationship Id="rId142" Type="http://schemas.openxmlformats.org/officeDocument/2006/relationships/hyperlink" Target="http://www.b2b-mrsk.ru" TargetMode="External"/><Relationship Id="rId163" Type="http://schemas.openxmlformats.org/officeDocument/2006/relationships/footer" Target="footer3.xml"/><Relationship Id="rId3" Type="http://schemas.openxmlformats.org/officeDocument/2006/relationships/styles" Target="styles.xml"/><Relationship Id="rId25" Type="http://schemas.openxmlformats.org/officeDocument/2006/relationships/hyperlink" Target="http://www.gks.ru" TargetMode="External"/><Relationship Id="rId46" Type="http://schemas.openxmlformats.org/officeDocument/2006/relationships/chart" Target="charts/chart9.xml"/><Relationship Id="rId67" Type="http://schemas.openxmlformats.org/officeDocument/2006/relationships/image" Target="media/image30.jpeg"/><Relationship Id="rId116" Type="http://schemas.openxmlformats.org/officeDocument/2006/relationships/image" Target="media/image46.png"/><Relationship Id="rId137" Type="http://schemas.openxmlformats.org/officeDocument/2006/relationships/chart" Target="charts/chart50.xml"/><Relationship Id="rId158" Type="http://schemas.openxmlformats.org/officeDocument/2006/relationships/hyperlink" Target="consultantplus://offline/ref=4F88FD92B58C8D4E099600FC13934D4D33426A309E1F66BEFA54274822FA5957117AF01E81FB01C8xFEEM" TargetMode="External"/><Relationship Id="rId20" Type="http://schemas.openxmlformats.org/officeDocument/2006/relationships/hyperlink" Target="http://www.so-ups.ru" TargetMode="External"/><Relationship Id="rId41" Type="http://schemas.openxmlformats.org/officeDocument/2006/relationships/chart" Target="charts/chart4.xml"/><Relationship Id="rId62" Type="http://schemas.openxmlformats.org/officeDocument/2006/relationships/image" Target="media/image26.png"/><Relationship Id="rId83" Type="http://schemas.openxmlformats.org/officeDocument/2006/relationships/chart" Target="charts/chart28.xml"/><Relationship Id="rId88" Type="http://schemas.openxmlformats.org/officeDocument/2006/relationships/chart" Target="charts/chart30.xml"/><Relationship Id="rId111" Type="http://schemas.openxmlformats.org/officeDocument/2006/relationships/chart" Target="charts/chart43.xml"/><Relationship Id="rId132" Type="http://schemas.openxmlformats.org/officeDocument/2006/relationships/image" Target="media/image55.png"/><Relationship Id="rId153" Type="http://schemas.openxmlformats.org/officeDocument/2006/relationships/hyperlink" Target="consultantplus://offline/ref=2063C7F2469579713232B39C097C3FECE562E1E5A8A2D719FD4077C59FDAD01C46905034A5A1B6D4f9v2L" TargetMode="External"/><Relationship Id="rId15" Type="http://schemas.openxmlformats.org/officeDocument/2006/relationships/image" Target="media/image8.png"/><Relationship Id="rId36" Type="http://schemas.openxmlformats.org/officeDocument/2006/relationships/image" Target="media/image17.png"/><Relationship Id="rId57" Type="http://schemas.openxmlformats.org/officeDocument/2006/relationships/image" Target="media/image24.png"/><Relationship Id="rId106" Type="http://schemas.openxmlformats.org/officeDocument/2006/relationships/hyperlink" Target="http://www.lenenergo.ru/shareholders/corp/control/komitets/kom_1/?part=2" TargetMode="External"/><Relationship Id="rId127" Type="http://schemas.openxmlformats.org/officeDocument/2006/relationships/image" Target="media/image51.png"/><Relationship Id="rId10" Type="http://schemas.openxmlformats.org/officeDocument/2006/relationships/image" Target="media/image3.png"/><Relationship Id="rId31" Type="http://schemas.openxmlformats.org/officeDocument/2006/relationships/hyperlink" Target="http://www.gks.ru" TargetMode="External"/><Relationship Id="rId52" Type="http://schemas.openxmlformats.org/officeDocument/2006/relationships/chart" Target="charts/chart14.xml"/><Relationship Id="rId73" Type="http://schemas.openxmlformats.org/officeDocument/2006/relationships/chart" Target="charts/chart21.xml"/><Relationship Id="rId78" Type="http://schemas.openxmlformats.org/officeDocument/2006/relationships/image" Target="media/image37.png"/><Relationship Id="rId94" Type="http://schemas.openxmlformats.org/officeDocument/2006/relationships/chart" Target="charts/chart33.xml"/><Relationship Id="rId99" Type="http://schemas.openxmlformats.org/officeDocument/2006/relationships/chart" Target="charts/chart35.xml"/><Relationship Id="rId101" Type="http://schemas.openxmlformats.org/officeDocument/2006/relationships/hyperlink" Target="http://www.lenenergo.ru/shareholders/corp/control/sd/?part=1" TargetMode="External"/><Relationship Id="rId122" Type="http://schemas.openxmlformats.org/officeDocument/2006/relationships/chart" Target="charts/chart44.xml"/><Relationship Id="rId143" Type="http://schemas.openxmlformats.org/officeDocument/2006/relationships/hyperlink" Target="http://zakupki.gov.ru" TargetMode="External"/><Relationship Id="rId148" Type="http://schemas.openxmlformats.org/officeDocument/2006/relationships/hyperlink" Target="consultantplus://offline/ref=97B7F93351616D326F804D1D7E89A587BEF3428C85F2E3AEA475CF45B2B077547F64415A04CCE58E68l1L" TargetMode="External"/><Relationship Id="rId164"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petrostat.gks.ru" TargetMode="External"/><Relationship Id="rId47" Type="http://schemas.openxmlformats.org/officeDocument/2006/relationships/chart" Target="charts/chart10.xml"/><Relationship Id="rId68" Type="http://schemas.openxmlformats.org/officeDocument/2006/relationships/image" Target="media/image31.jpeg"/><Relationship Id="rId89" Type="http://schemas.openxmlformats.org/officeDocument/2006/relationships/chart" Target="charts/chart31.xml"/><Relationship Id="rId112" Type="http://schemas.openxmlformats.org/officeDocument/2006/relationships/image" Target="media/image43.png"/><Relationship Id="rId133" Type="http://schemas.openxmlformats.org/officeDocument/2006/relationships/image" Target="media/image56.png"/><Relationship Id="rId154" Type="http://schemas.openxmlformats.org/officeDocument/2006/relationships/hyperlink" Target="consultantplus://offline/ref=92980CAE7FA4ED5C32E31F27AB0295669AD9B75C86DD0E2CD4AEDFE87293BF6D4F9F32AA5A23A22CfCwDL" TargetMode="External"/><Relationship Id="rId16" Type="http://schemas.openxmlformats.org/officeDocument/2006/relationships/image" Target="media/image9.png"/><Relationship Id="rId37" Type="http://schemas.openxmlformats.org/officeDocument/2006/relationships/image" Target="media/image18.png"/><Relationship Id="rId58" Type="http://schemas.openxmlformats.org/officeDocument/2006/relationships/chart" Target="charts/chart16.xml"/><Relationship Id="rId79" Type="http://schemas.openxmlformats.org/officeDocument/2006/relationships/chart" Target="charts/chart24.xml"/><Relationship Id="rId102" Type="http://schemas.openxmlformats.org/officeDocument/2006/relationships/hyperlink" Target="http://www.lenenergo.ru/shareholders/corp/control/sd/?part=1" TargetMode="External"/><Relationship Id="rId123" Type="http://schemas.openxmlformats.org/officeDocument/2006/relationships/chart" Target="charts/chart45.xml"/><Relationship Id="rId144" Type="http://schemas.openxmlformats.org/officeDocument/2006/relationships/hyperlink" Target="http://www.lenenergo.ru" TargetMode="External"/><Relationship Id="rId90" Type="http://schemas.openxmlformats.org/officeDocument/2006/relationships/hyperlink" Target="http://www.lenenergo.ru/shareholders/corp/ustav/?part=1" TargetMode="External"/><Relationship Id="rId165" Type="http://schemas.openxmlformats.org/officeDocument/2006/relationships/fontTable" Target="fontTable.xml"/><Relationship Id="rId27" Type="http://schemas.openxmlformats.org/officeDocument/2006/relationships/hyperlink" Target="http://lenobl.ru/finance)" TargetMode="External"/><Relationship Id="rId48" Type="http://schemas.openxmlformats.org/officeDocument/2006/relationships/image" Target="media/image20.png"/><Relationship Id="rId69" Type="http://schemas.openxmlformats.org/officeDocument/2006/relationships/image" Target="media/image32.jpeg"/><Relationship Id="rId113" Type="http://schemas.openxmlformats.org/officeDocument/2006/relationships/image" Target="media/image44.emf"/><Relationship Id="rId134" Type="http://schemas.openxmlformats.org/officeDocument/2006/relationships/chart" Target="charts/chart47.xml"/><Relationship Id="rId80" Type="http://schemas.openxmlformats.org/officeDocument/2006/relationships/chart" Target="charts/chart25.xml"/><Relationship Id="rId155" Type="http://schemas.openxmlformats.org/officeDocument/2006/relationships/hyperlink" Target="consultantplus://offline/ref=CDA1E26F6BB3BF3190C316AB908A22BC532E3554A3B3C9F64A1586EE76597CF5140D8F1FCCFFF595z4wB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_____Microsoft_Excel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_____Microsoft_Excel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_____Microsoft_Excel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_____Microsoft_Excel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_____Microsoft_Excel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_____Microsoft_Excel34.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_____Microsoft_Excel52.xlsx"/><Relationship Id="rId1" Type="http://schemas.openxmlformats.org/officeDocument/2006/relationships/themeOverride" Target="../theme/themeOverride5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4650758835911851E-2"/>
          <c:y val="5.5586432386942906E-2"/>
          <c:w val="0.55742050648576913"/>
          <c:h val="0.61609634927374479"/>
        </c:manualLayout>
      </c:layout>
      <c:doughnutChart>
        <c:varyColors val="1"/>
        <c:ser>
          <c:idx val="0"/>
          <c:order val="0"/>
          <c:dPt>
            <c:idx val="0"/>
            <c:bubble3D val="0"/>
            <c:extLst>
              <c:ext xmlns:c16="http://schemas.microsoft.com/office/drawing/2014/chart" uri="{C3380CC4-5D6E-409C-BE32-E72D297353CC}">
                <c16:uniqueId val="{00000000-CB3C-43AF-B440-9A9CAAABF089}"/>
              </c:ext>
            </c:extLst>
          </c:dPt>
          <c:dPt>
            <c:idx val="1"/>
            <c:bubble3D val="0"/>
            <c:extLst>
              <c:ext xmlns:c16="http://schemas.microsoft.com/office/drawing/2014/chart" uri="{C3380CC4-5D6E-409C-BE32-E72D297353CC}">
                <c16:uniqueId val="{00000001-CB3C-43AF-B440-9A9CAAABF089}"/>
              </c:ext>
            </c:extLst>
          </c:dPt>
          <c:dPt>
            <c:idx val="2"/>
            <c:bubble3D val="0"/>
            <c:extLst>
              <c:ext xmlns:c16="http://schemas.microsoft.com/office/drawing/2014/chart" uri="{C3380CC4-5D6E-409C-BE32-E72D297353CC}">
                <c16:uniqueId val="{00000002-CB3C-43AF-B440-9A9CAAABF089}"/>
              </c:ext>
            </c:extLst>
          </c:dPt>
          <c:dLbls>
            <c:dLbl>
              <c:idx val="0"/>
              <c:layout/>
              <c:tx>
                <c:rich>
                  <a:bodyPr/>
                  <a:lstStyle/>
                  <a:p>
                    <a:fld id="{4734684A-1D13-4931-AAC5-FFFCB7B296F6}" type="CELLRANGE">
                      <a:rPr lang="en-US"/>
                      <a:pPr/>
                      <a:t>[ДИАПАЗОН ЯЧЕЕК]</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0-CB3C-43AF-B440-9A9CAAABF089}"/>
                </c:ext>
              </c:extLst>
            </c:dLbl>
            <c:dLbl>
              <c:idx val="1"/>
              <c:layout>
                <c:manualLayout>
                  <c:x val="-2.6146154047851339E-2"/>
                  <c:y val="9.7466828484312005E-4"/>
                </c:manualLayout>
              </c:layout>
              <c:tx>
                <c:rich>
                  <a:bodyPr wrap="square" lIns="38100" tIns="19050" rIns="38100" bIns="19050" anchor="ctr">
                    <a:spAutoFit/>
                  </a:bodyPr>
                  <a:lstStyle/>
                  <a:p>
                    <a:pPr>
                      <a:defRPr/>
                    </a:pPr>
                    <a:fld id="{E5ACCDD7-9084-4D9A-87AA-83911002D58F}" type="CELLRANGE">
                      <a:rPr lang="en-US"/>
                      <a:pPr>
                        <a:defRPr/>
                      </a:pPr>
                      <a:t>[ДИАПАЗОН ЯЧЕЕК]</a:t>
                    </a:fld>
                    <a:endParaRPr lang="en-US"/>
                  </a:p>
                </c:rich>
              </c:tx>
              <c:numFmt formatCode="\О\с\н\о\в\н\о\й" sourceLinked="0"/>
              <c:spPr>
                <a:noFill/>
                <a:ln w="25383">
                  <a:noFill/>
                </a:ln>
              </c:spP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1-CB3C-43AF-B440-9A9CAAABF089}"/>
                </c:ext>
              </c:extLst>
            </c:dLbl>
            <c:dLbl>
              <c:idx val="2"/>
              <c:layout/>
              <c:tx>
                <c:rich>
                  <a:bodyPr/>
                  <a:lstStyle/>
                  <a:p>
                    <a:fld id="{B914EB46-2AD6-46FD-A230-5819B85F8417}" type="CELLRANGE">
                      <a:rPr lang="en-US"/>
                      <a:pPr/>
                      <a:t>[ДИАПАЗОН ЯЧЕЕК]</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2-CB3C-43AF-B440-9A9CAAABF089}"/>
                </c:ext>
              </c:extLst>
            </c:dLbl>
            <c:numFmt formatCode="\О\с\н\о\в\н\о\й" sourceLinked="0"/>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DataLabelsRange val="1"/>
              </c:ext>
            </c:extLst>
          </c:dLbls>
          <c:cat>
            <c:strRef>
              <c:f>Лист1!$A$5:$A$7</c:f>
              <c:strCache>
                <c:ptCount val="3"/>
                <c:pt idx="0">
                  <c:v>Electricity distribution</c:v>
                </c:pt>
                <c:pt idx="1">
                  <c:v>Grid connection</c:v>
                </c:pt>
                <c:pt idx="2">
                  <c:v>Other revenue*</c:v>
                </c:pt>
              </c:strCache>
            </c:strRef>
          </c:cat>
          <c:val>
            <c:numRef>
              <c:f>Лист1!$B$5:$B$7</c:f>
              <c:numCache>
                <c:formatCode>#,##0.00</c:formatCode>
                <c:ptCount val="3"/>
                <c:pt idx="0">
                  <c:v>68.807000000000002</c:v>
                </c:pt>
                <c:pt idx="1">
                  <c:v>7.9749999999999996</c:v>
                </c:pt>
                <c:pt idx="2">
                  <c:v>1.208</c:v>
                </c:pt>
              </c:numCache>
            </c:numRef>
          </c:val>
          <c:extLst>
            <c:ext xmlns:c15="http://schemas.microsoft.com/office/drawing/2012/chart" uri="{02D57815-91ED-43cb-92C2-25804820EDAC}">
              <c15:datalabelsRange>
                <c15:f>Лист1!$B$5:$B$7</c15:f>
                <c15:dlblRangeCache>
                  <c:ptCount val="3"/>
                  <c:pt idx="0">
                    <c:v>68,81</c:v>
                  </c:pt>
                  <c:pt idx="1">
                    <c:v>7,98</c:v>
                  </c:pt>
                  <c:pt idx="2">
                    <c:v>1,21</c:v>
                  </c:pt>
                </c15:dlblRangeCache>
              </c15:datalabelsRange>
            </c:ext>
            <c:ext xmlns:c16="http://schemas.microsoft.com/office/drawing/2014/chart" uri="{C3380CC4-5D6E-409C-BE32-E72D297353CC}">
              <c16:uniqueId val="{00000003-CB3C-43AF-B440-9A9CAAABF089}"/>
            </c:ext>
          </c:extLst>
        </c:ser>
        <c:dLbls>
          <c:showLegendKey val="0"/>
          <c:showVal val="0"/>
          <c:showCatName val="0"/>
          <c:showSerName val="0"/>
          <c:showPercent val="0"/>
          <c:showBubbleSize val="0"/>
          <c:showLeaderLines val="0"/>
        </c:dLbls>
        <c:firstSliceAng val="0"/>
        <c:holeSize val="50"/>
      </c:doughnutChart>
      <c:spPr>
        <a:noFill/>
        <a:ln w="25383">
          <a:noFill/>
        </a:ln>
      </c:spPr>
    </c:plotArea>
    <c:legend>
      <c:legendPos val="b"/>
      <c:layout>
        <c:manualLayout>
          <c:xMode val="edge"/>
          <c:yMode val="edge"/>
          <c:x val="1.9457728334416915E-2"/>
          <c:y val="0.70615458781937979"/>
          <c:w val="0.81696934672156807"/>
          <c:h val="0.29384541218062021"/>
        </c:manualLayout>
      </c:layout>
      <c:overlay val="0"/>
      <c:txPr>
        <a:bodyPr/>
        <a:lstStyle/>
        <a:p>
          <a:pPr>
            <a:defRPr sz="799"/>
          </a:pPr>
          <a:endParaRPr lang="en-US"/>
        </a:p>
      </c:txPr>
    </c:legend>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0" u="none" strike="noStrike" baseline="0">
                <a:effectLst/>
              </a:rPr>
              <a:t>Connected capacity in Saint Petersburg by industry in 2018, MW (%)</a:t>
            </a:r>
            <a:endParaRPr lang="ru-RU" sz="1200" b="0">
              <a:effectLst/>
              <a:latin typeface="Calibri" pitchFamily="34" charset="0"/>
              <a:cs typeface="Calibri" pitchFamily="34" charset="0"/>
            </a:endParaRPr>
          </a:p>
        </c:rich>
      </c:tx>
      <c:layout>
        <c:manualLayout>
          <c:xMode val="edge"/>
          <c:yMode val="edge"/>
          <c:x val="0.17386356117250051"/>
          <c:y val="5.2800301716009808E-2"/>
        </c:manualLayout>
      </c:layout>
      <c:overlay val="0"/>
    </c:title>
    <c:autoTitleDeleted val="0"/>
    <c:plotArea>
      <c:layout>
        <c:manualLayout>
          <c:layoutTarget val="inner"/>
          <c:xMode val="edge"/>
          <c:yMode val="edge"/>
          <c:x val="0.18622221012517923"/>
          <c:y val="0.2023785706396363"/>
          <c:w val="0.57776122877452429"/>
          <c:h val="0.77860307586174082"/>
        </c:manualLayout>
      </c:layout>
      <c:doughnutChart>
        <c:varyColors val="1"/>
        <c:ser>
          <c:idx val="0"/>
          <c:order val="0"/>
          <c:tx>
            <c:strRef>
              <c:f>Исполн!$O$28</c:f>
              <c:strCache>
                <c:ptCount val="1"/>
                <c:pt idx="0">
                  <c:v>Санкт-Петербург</c:v>
                </c:pt>
              </c:strCache>
            </c:strRef>
          </c:tx>
          <c:dPt>
            <c:idx val="0"/>
            <c:bubble3D val="0"/>
            <c:spPr>
              <a:solidFill>
                <a:schemeClr val="tx2">
                  <a:lumMod val="60000"/>
                  <a:lumOff val="40000"/>
                </a:schemeClr>
              </a:solidFill>
            </c:spPr>
            <c:extLst>
              <c:ext xmlns:c16="http://schemas.microsoft.com/office/drawing/2014/chart" uri="{C3380CC4-5D6E-409C-BE32-E72D297353CC}">
                <c16:uniqueId val="{00000000-3A79-4CDC-85E3-06DADC6F7214}"/>
              </c:ext>
            </c:extLst>
          </c:dPt>
          <c:dPt>
            <c:idx val="1"/>
            <c:bubble3D val="0"/>
            <c:spPr>
              <a:solidFill>
                <a:srgbClr val="FFFF00"/>
              </a:solidFill>
            </c:spPr>
            <c:extLst>
              <c:ext xmlns:c16="http://schemas.microsoft.com/office/drawing/2014/chart" uri="{C3380CC4-5D6E-409C-BE32-E72D297353CC}">
                <c16:uniqueId val="{00000001-3A79-4CDC-85E3-06DADC6F7214}"/>
              </c:ext>
            </c:extLst>
          </c:dPt>
          <c:dPt>
            <c:idx val="2"/>
            <c:bubble3D val="0"/>
            <c:spPr>
              <a:solidFill>
                <a:srgbClr val="92D050"/>
              </a:solidFill>
            </c:spPr>
            <c:extLst>
              <c:ext xmlns:c16="http://schemas.microsoft.com/office/drawing/2014/chart" uri="{C3380CC4-5D6E-409C-BE32-E72D297353CC}">
                <c16:uniqueId val="{00000002-3A79-4CDC-85E3-06DADC6F7214}"/>
              </c:ext>
            </c:extLst>
          </c:dPt>
          <c:dPt>
            <c:idx val="3"/>
            <c:bubble3D val="0"/>
            <c:spPr>
              <a:solidFill>
                <a:schemeClr val="accent5">
                  <a:lumMod val="40000"/>
                  <a:lumOff val="60000"/>
                </a:schemeClr>
              </a:solidFill>
            </c:spPr>
            <c:extLst>
              <c:ext xmlns:c16="http://schemas.microsoft.com/office/drawing/2014/chart" uri="{C3380CC4-5D6E-409C-BE32-E72D297353CC}">
                <c16:uniqueId val="{00000003-3A79-4CDC-85E3-06DADC6F7214}"/>
              </c:ext>
            </c:extLst>
          </c:dPt>
          <c:dLbls>
            <c:spPr>
              <a:noFill/>
              <a:ln w="25409">
                <a:noFill/>
              </a:ln>
            </c:spPr>
            <c:showLegendKey val="0"/>
            <c:showVal val="1"/>
            <c:showCatName val="0"/>
            <c:showSerName val="0"/>
            <c:showPercent val="1"/>
            <c:showBubbleSize val="0"/>
            <c:separator>
</c:separator>
            <c:showLeaderLines val="0"/>
            <c:extLst>
              <c:ext xmlns:c15="http://schemas.microsoft.com/office/drawing/2012/chart" uri="{CE6537A1-D6FC-4f65-9D91-7224C49458BB}">
                <c15:layout/>
              </c:ext>
            </c:extLst>
          </c:dLbls>
          <c:cat>
            <c:strRef>
              <c:f>Исполн!$B$30:$B$33</c:f>
              <c:strCache>
                <c:ptCount val="4"/>
                <c:pt idx="0">
                  <c:v>up to 15 kW</c:v>
                </c:pt>
                <c:pt idx="1">
                  <c:v>15-150 kW</c:v>
                </c:pt>
                <c:pt idx="2">
                  <c:v>150-670 kW</c:v>
                </c:pt>
                <c:pt idx="3">
                  <c:v>670+ kW</c:v>
                </c:pt>
              </c:strCache>
            </c:strRef>
          </c:cat>
          <c:val>
            <c:numRef>
              <c:f>Исполн!$O$30:$O$33</c:f>
              <c:numCache>
                <c:formatCode>#,##0</c:formatCode>
                <c:ptCount val="4"/>
                <c:pt idx="0">
                  <c:v>31.452612399999509</c:v>
                </c:pt>
                <c:pt idx="1">
                  <c:v>56.287451999999966</c:v>
                </c:pt>
                <c:pt idx="2">
                  <c:v>47.706076999999993</c:v>
                </c:pt>
                <c:pt idx="3">
                  <c:v>274.82289900000001</c:v>
                </c:pt>
              </c:numCache>
            </c:numRef>
          </c:val>
          <c:extLst>
            <c:ext xmlns:c16="http://schemas.microsoft.com/office/drawing/2014/chart" uri="{C3380CC4-5D6E-409C-BE32-E72D297353CC}">
              <c16:uniqueId val="{00000004-3A79-4CDC-85E3-06DADC6F7214}"/>
            </c:ext>
          </c:extLst>
        </c:ser>
        <c:dLbls>
          <c:showLegendKey val="0"/>
          <c:showVal val="0"/>
          <c:showCatName val="0"/>
          <c:showSerName val="0"/>
          <c:showPercent val="0"/>
          <c:showBubbleSize val="0"/>
          <c:showLeaderLines val="0"/>
        </c:dLbls>
        <c:firstSliceAng val="0"/>
        <c:holeSize val="50"/>
      </c:doughnutChart>
      <c:spPr>
        <a:solidFill>
          <a:schemeClr val="bg1"/>
        </a:solidFill>
      </c:spPr>
    </c:plotArea>
    <c:legend>
      <c:legendPos val="r"/>
      <c:layout>
        <c:manualLayout>
          <c:xMode val="edge"/>
          <c:yMode val="edge"/>
          <c:x val="0.77125409752965424"/>
          <c:y val="0.35411828623462882"/>
          <c:w val="0.21962443535759746"/>
          <c:h val="0.28646204938668385"/>
        </c:manualLayout>
      </c:layout>
      <c:overlay val="0"/>
    </c:legend>
    <c:plotVisOnly val="1"/>
    <c:dispBlanksAs val="gap"/>
    <c:showDLblsOverMax val="0"/>
  </c:chart>
  <c:spPr>
    <a:ln>
      <a:noFill/>
    </a:ln>
  </c:sp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0" u="none" strike="noStrike" baseline="0">
                <a:effectLst/>
              </a:rPr>
              <a:t>Breakdown of capacity across Lenenergo Group in 2018, MW (%)</a:t>
            </a:r>
            <a:endParaRPr lang="ru-RU" sz="1200" b="0">
              <a:effectLst/>
              <a:latin typeface="Calibri" pitchFamily="34" charset="0"/>
              <a:cs typeface="Calibri" pitchFamily="34" charset="0"/>
            </a:endParaRPr>
          </a:p>
        </c:rich>
      </c:tx>
      <c:layout>
        <c:manualLayout>
          <c:xMode val="edge"/>
          <c:yMode val="edge"/>
          <c:x val="0.18733182161753589"/>
          <c:y val="1.2257558714251628E-2"/>
        </c:manualLayout>
      </c:layout>
      <c:overlay val="0"/>
    </c:title>
    <c:autoTitleDeleted val="0"/>
    <c:plotArea>
      <c:layout>
        <c:manualLayout>
          <c:layoutTarget val="inner"/>
          <c:xMode val="edge"/>
          <c:yMode val="edge"/>
          <c:x val="0.18667581007405637"/>
          <c:y val="0.19838054334117325"/>
          <c:w val="0.54308769564445802"/>
          <c:h val="0.77713263114837916"/>
        </c:manualLayout>
      </c:layout>
      <c:doughnutChart>
        <c:varyColors val="1"/>
        <c:ser>
          <c:idx val="0"/>
          <c:order val="0"/>
          <c:tx>
            <c:strRef>
              <c:f>Исполн!$B$30:$B$33</c:f>
              <c:strCache>
                <c:ptCount val="4"/>
                <c:pt idx="0">
                  <c:v>up to 15 kW</c:v>
                </c:pt>
                <c:pt idx="1">
                  <c:v>15-150 kW</c:v>
                </c:pt>
                <c:pt idx="2">
                  <c:v>150-670 kW</c:v>
                </c:pt>
                <c:pt idx="3">
                  <c:v>670+ kW</c:v>
                </c:pt>
              </c:strCache>
            </c:strRef>
          </c:tx>
          <c:dPt>
            <c:idx val="0"/>
            <c:bubble3D val="0"/>
            <c:spPr>
              <a:solidFill>
                <a:schemeClr val="tx2">
                  <a:lumMod val="60000"/>
                  <a:lumOff val="40000"/>
                </a:schemeClr>
              </a:solidFill>
            </c:spPr>
            <c:extLst>
              <c:ext xmlns:c16="http://schemas.microsoft.com/office/drawing/2014/chart" uri="{C3380CC4-5D6E-409C-BE32-E72D297353CC}">
                <c16:uniqueId val="{00000000-767D-4DAE-B299-0946749B288A}"/>
              </c:ext>
            </c:extLst>
          </c:dPt>
          <c:dPt>
            <c:idx val="1"/>
            <c:bubble3D val="0"/>
            <c:spPr>
              <a:solidFill>
                <a:srgbClr val="FFFF00"/>
              </a:solidFill>
            </c:spPr>
            <c:extLst>
              <c:ext xmlns:c16="http://schemas.microsoft.com/office/drawing/2014/chart" uri="{C3380CC4-5D6E-409C-BE32-E72D297353CC}">
                <c16:uniqueId val="{00000001-767D-4DAE-B299-0946749B288A}"/>
              </c:ext>
            </c:extLst>
          </c:dPt>
          <c:dPt>
            <c:idx val="2"/>
            <c:bubble3D val="0"/>
            <c:spPr>
              <a:solidFill>
                <a:srgbClr val="92D050"/>
              </a:solidFill>
            </c:spPr>
            <c:extLst>
              <c:ext xmlns:c16="http://schemas.microsoft.com/office/drawing/2014/chart" uri="{C3380CC4-5D6E-409C-BE32-E72D297353CC}">
                <c16:uniqueId val="{00000002-767D-4DAE-B299-0946749B288A}"/>
              </c:ext>
            </c:extLst>
          </c:dPt>
          <c:dPt>
            <c:idx val="3"/>
            <c:bubble3D val="0"/>
            <c:spPr>
              <a:solidFill>
                <a:schemeClr val="accent5">
                  <a:lumMod val="40000"/>
                  <a:lumOff val="60000"/>
                </a:schemeClr>
              </a:solidFill>
            </c:spPr>
            <c:extLst>
              <c:ext xmlns:c16="http://schemas.microsoft.com/office/drawing/2014/chart" uri="{C3380CC4-5D6E-409C-BE32-E72D297353CC}">
                <c16:uniqueId val="{00000003-767D-4DAE-B299-0946749B288A}"/>
              </c:ext>
            </c:extLst>
          </c:dPt>
          <c:dLbls>
            <c:spPr>
              <a:noFill/>
              <a:ln w="25400">
                <a:noFill/>
              </a:ln>
            </c:spPr>
            <c:showLegendKey val="0"/>
            <c:showVal val="1"/>
            <c:showCatName val="0"/>
            <c:showSerName val="0"/>
            <c:showPercent val="1"/>
            <c:showBubbleSize val="0"/>
            <c:separator>
</c:separator>
            <c:showLeaderLines val="0"/>
            <c:extLst>
              <c:ext xmlns:c15="http://schemas.microsoft.com/office/drawing/2012/chart" uri="{CE6537A1-D6FC-4f65-9D91-7224C49458BB}">
                <c15:layout/>
              </c:ext>
            </c:extLst>
          </c:dLbls>
          <c:cat>
            <c:strRef>
              <c:f>Исполн!$B$30:$B$33</c:f>
              <c:strCache>
                <c:ptCount val="4"/>
                <c:pt idx="0">
                  <c:v>up to 15 kW</c:v>
                </c:pt>
                <c:pt idx="1">
                  <c:v>15-150 kW</c:v>
                </c:pt>
                <c:pt idx="2">
                  <c:v>150-670 kW</c:v>
                </c:pt>
                <c:pt idx="3">
                  <c:v>670+ kW</c:v>
                </c:pt>
              </c:strCache>
            </c:strRef>
          </c:cat>
          <c:val>
            <c:numRef>
              <c:f>Исполн!$Q$30:$Q$33</c:f>
              <c:numCache>
                <c:formatCode>#,##0</c:formatCode>
                <c:ptCount val="4"/>
                <c:pt idx="0">
                  <c:v>8.0908100000000012</c:v>
                </c:pt>
                <c:pt idx="1">
                  <c:v>9.4465439999999994</c:v>
                </c:pt>
                <c:pt idx="2">
                  <c:v>11.371979999999999</c:v>
                </c:pt>
                <c:pt idx="3">
                  <c:v>35.477429999999998</c:v>
                </c:pt>
              </c:numCache>
            </c:numRef>
          </c:val>
          <c:extLst>
            <c:ext xmlns:c16="http://schemas.microsoft.com/office/drawing/2014/chart" uri="{C3380CC4-5D6E-409C-BE32-E72D297353CC}">
              <c16:uniqueId val="{00000004-767D-4DAE-B299-0946749B288A}"/>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70492427425690118"/>
          <c:y val="0.34021103066814634"/>
          <c:w val="0.29078514837617464"/>
          <c:h val="0.35939403547710896"/>
        </c:manualLayout>
      </c:layout>
      <c:overlay val="0"/>
    </c:legend>
    <c:plotVisOnly val="1"/>
    <c:dispBlanksAs val="gap"/>
    <c:showDLblsOverMax val="0"/>
  </c:chart>
  <c:spPr>
    <a:solidFill>
      <a:schemeClr val="bg1"/>
    </a:solidFill>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0" u="none" strike="noStrike" baseline="0">
                <a:effectLst/>
              </a:rPr>
              <a:t>Breakdown of connected capacity in Saint Petersburg by industry in 2018, MW (%)</a:t>
            </a:r>
            <a:endParaRPr lang="ru-RU" sz="1200" b="0">
              <a:effectLst/>
              <a:latin typeface="Calibri" pitchFamily="34" charset="0"/>
              <a:cs typeface="Calibri" pitchFamily="34" charset="0"/>
            </a:endParaRPr>
          </a:p>
        </c:rich>
      </c:tx>
      <c:layout>
        <c:manualLayout>
          <c:xMode val="edge"/>
          <c:yMode val="edge"/>
          <c:x val="9.1541050882620642E-2"/>
          <c:y val="0"/>
        </c:manualLayout>
      </c:layout>
      <c:overlay val="0"/>
    </c:title>
    <c:autoTitleDeleted val="0"/>
    <c:plotArea>
      <c:layout>
        <c:manualLayout>
          <c:layoutTarget val="inner"/>
          <c:xMode val="edge"/>
          <c:yMode val="edge"/>
          <c:x val="3.8372784886707742E-2"/>
          <c:y val="0.16475588189271617"/>
          <c:w val="0.56667692017811599"/>
          <c:h val="0.73697746443111933"/>
        </c:manualLayout>
      </c:layout>
      <c:doughnutChart>
        <c:varyColors val="1"/>
        <c:ser>
          <c:idx val="0"/>
          <c:order val="0"/>
          <c:tx>
            <c:strRef>
              <c:f>Графики_отрасли!$M$3</c:f>
              <c:strCache>
                <c:ptCount val="1"/>
                <c:pt idx="0">
                  <c:v>Санкт-Петербург</c:v>
                </c:pt>
              </c:strCache>
            </c:strRef>
          </c:tx>
          <c:dPt>
            <c:idx val="0"/>
            <c:bubble3D val="0"/>
            <c:spPr>
              <a:solidFill>
                <a:srgbClr val="FF0000"/>
              </a:solidFill>
            </c:spPr>
            <c:extLst>
              <c:ext xmlns:c16="http://schemas.microsoft.com/office/drawing/2014/chart" uri="{C3380CC4-5D6E-409C-BE32-E72D297353CC}">
                <c16:uniqueId val="{00000000-E133-4E07-AF7F-A9C813CD269C}"/>
              </c:ext>
            </c:extLst>
          </c:dPt>
          <c:dPt>
            <c:idx val="1"/>
            <c:bubble3D val="0"/>
            <c:spPr>
              <a:solidFill>
                <a:srgbClr val="FFFF00"/>
              </a:solidFill>
            </c:spPr>
            <c:extLst>
              <c:ext xmlns:c16="http://schemas.microsoft.com/office/drawing/2014/chart" uri="{C3380CC4-5D6E-409C-BE32-E72D297353CC}">
                <c16:uniqueId val="{00000001-E133-4E07-AF7F-A9C813CD269C}"/>
              </c:ext>
            </c:extLst>
          </c:dPt>
          <c:dPt>
            <c:idx val="2"/>
            <c:bubble3D val="0"/>
            <c:spPr>
              <a:solidFill>
                <a:srgbClr val="92D050"/>
              </a:solidFill>
            </c:spPr>
            <c:extLst>
              <c:ext xmlns:c16="http://schemas.microsoft.com/office/drawing/2014/chart" uri="{C3380CC4-5D6E-409C-BE32-E72D297353CC}">
                <c16:uniqueId val="{00000002-E133-4E07-AF7F-A9C813CD269C}"/>
              </c:ext>
            </c:extLst>
          </c:dPt>
          <c:dPt>
            <c:idx val="3"/>
            <c:bubble3D val="0"/>
            <c:spPr>
              <a:solidFill>
                <a:schemeClr val="accent4">
                  <a:lumMod val="60000"/>
                  <a:lumOff val="40000"/>
                </a:schemeClr>
              </a:solidFill>
            </c:spPr>
            <c:extLst>
              <c:ext xmlns:c16="http://schemas.microsoft.com/office/drawing/2014/chart" uri="{C3380CC4-5D6E-409C-BE32-E72D297353CC}">
                <c16:uniqueId val="{00000003-E133-4E07-AF7F-A9C813CD269C}"/>
              </c:ext>
            </c:extLst>
          </c:dPt>
          <c:dPt>
            <c:idx val="4"/>
            <c:bubble3D val="0"/>
            <c:extLst>
              <c:ext xmlns:c16="http://schemas.microsoft.com/office/drawing/2014/chart" uri="{C3380CC4-5D6E-409C-BE32-E72D297353CC}">
                <c16:uniqueId val="{00000004-E133-4E07-AF7F-A9C813CD269C}"/>
              </c:ext>
            </c:extLst>
          </c:dPt>
          <c:dPt>
            <c:idx val="5"/>
            <c:bubble3D val="0"/>
            <c:spPr>
              <a:pattFill prst="ltUpDiag">
                <a:fgClr>
                  <a:schemeClr val="accent1"/>
                </a:fgClr>
                <a:bgClr>
                  <a:schemeClr val="bg1"/>
                </a:bgClr>
              </a:pattFill>
            </c:spPr>
            <c:extLst>
              <c:ext xmlns:c16="http://schemas.microsoft.com/office/drawing/2014/chart" uri="{C3380CC4-5D6E-409C-BE32-E72D297353CC}">
                <c16:uniqueId val="{00000005-E133-4E07-AF7F-A9C813CD269C}"/>
              </c:ext>
            </c:extLst>
          </c:dPt>
          <c:dLbls>
            <c:dLbl>
              <c:idx val="0"/>
              <c:layout>
                <c:manualLayout>
                  <c:x val="2.8217786831078974E-4"/>
                  <c:y val="-2.4457555023889542E-2"/>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0-E133-4E07-AF7F-A9C813CD269C}"/>
                </c:ext>
              </c:extLst>
            </c:dLbl>
            <c:dLbl>
              <c:idx val="1"/>
              <c:layout>
                <c:manualLayout>
                  <c:x val="1.4856594323977819E-2"/>
                  <c:y val="-4.4468552118050571E-2"/>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E133-4E07-AF7F-A9C813CD269C}"/>
                </c:ext>
              </c:extLst>
            </c:dLbl>
            <c:dLbl>
              <c:idx val="2"/>
              <c:layout>
                <c:manualLayout>
                  <c:x val="6.3023922256219478E-3"/>
                  <c:y val="-8.8930030256421653E-5"/>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2-E133-4E07-AF7F-A9C813CD269C}"/>
                </c:ext>
              </c:extLst>
            </c:dLbl>
            <c:dLbl>
              <c:idx val="3"/>
              <c:layout>
                <c:manualLayout>
                  <c:x val="-5.7661446943636846E-3"/>
                  <c:y val="-1.2366056772797805E-2"/>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E133-4E07-AF7F-A9C813CD269C}"/>
                </c:ext>
              </c:extLst>
            </c:dLbl>
            <c:dLbl>
              <c:idx val="5"/>
              <c:layout>
                <c:manualLayout>
                  <c:x val="4.8454278527982229E-3"/>
                  <c:y val="2.0295417217371108E-3"/>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5-E133-4E07-AF7F-A9C813CD269C}"/>
                </c:ext>
              </c:extLst>
            </c:dLbl>
            <c:dLbl>
              <c:idx val="6"/>
              <c:layout>
                <c:manualLayout>
                  <c:x val="-2.3255980563110974E-2"/>
                  <c:y val="-0.11835131258963646"/>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E133-4E07-AF7F-A9C813CD269C}"/>
                </c:ext>
              </c:extLst>
            </c:dLbl>
            <c:dLbl>
              <c:idx val="7"/>
              <c:layout>
                <c:manualLayout>
                  <c:x val="1.2490241384241327E-2"/>
                  <c:y val="-2.3916295226514622E-3"/>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E133-4E07-AF7F-A9C813CD269C}"/>
                </c:ext>
              </c:extLst>
            </c:dLbl>
            <c:dLbl>
              <c:idx val="8"/>
              <c:layout>
                <c:manualLayout>
                  <c:x val="-4.2391652093451096E-2"/>
                  <c:y val="-1.6892316440699072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8-E133-4E07-AF7F-A9C813CD269C}"/>
                </c:ext>
              </c:extLst>
            </c:dLbl>
            <c:dLbl>
              <c:idx val="9"/>
              <c:layout>
                <c:manualLayout>
                  <c:x val="-7.4188555373578321E-3"/>
                  <c:y val="2.421796473368534E-3"/>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E133-4E07-AF7F-A9C813CD269C}"/>
                </c:ext>
              </c:extLst>
            </c:dLbl>
            <c:spPr>
              <a:noFill/>
              <a:ln w="25388">
                <a:noFill/>
              </a:ln>
            </c:spPr>
            <c:txPr>
              <a:bodyPr/>
              <a:lstStyle/>
              <a:p>
                <a:pPr>
                  <a:defRPr>
                    <a:solidFill>
                      <a:sysClr val="windowText" lastClr="000000"/>
                    </a:solidFill>
                  </a:defRPr>
                </a:pPr>
                <a:endParaRPr lang="en-US"/>
              </a:p>
            </c:txPr>
            <c:showLegendKey val="0"/>
            <c:showVal val="1"/>
            <c:showCatName val="0"/>
            <c:showSerName val="0"/>
            <c:showPercent val="1"/>
            <c:showBubbleSize val="0"/>
            <c:separator>
</c:separator>
            <c:showLeaderLines val="0"/>
            <c:extLst>
              <c:ext xmlns:c15="http://schemas.microsoft.com/office/drawing/2012/chart" uri="{CE6537A1-D6FC-4f65-9D91-7224C49458BB}">
                <c15:layout/>
              </c:ext>
            </c:extLst>
          </c:dLbls>
          <c:cat>
            <c:strRef>
              <c:f>Графики_отрасли!$B$5:$B$10</c:f>
              <c:strCache>
                <c:ptCount val="6"/>
                <c:pt idx="0">
                  <c:v>Manufacturing industry</c:v>
                </c:pt>
                <c:pt idx="1">
                  <c:v>Transport and communications</c:v>
                </c:pt>
                <c:pt idx="2">
                  <c:v>Individuals</c:v>
                </c:pt>
                <c:pt idx="3">
                  <c:v>Electricity, gas, and water distribution</c:v>
                </c:pt>
                <c:pt idx="4">
                  <c:v>Construction</c:v>
                </c:pt>
                <c:pt idx="5">
                  <c:v>Other</c:v>
                </c:pt>
              </c:strCache>
            </c:strRef>
          </c:cat>
          <c:val>
            <c:numRef>
              <c:f>Графики_отрасли!$M$5:$M$10</c:f>
              <c:numCache>
                <c:formatCode>#,##0</c:formatCode>
                <c:ptCount val="6"/>
                <c:pt idx="0">
                  <c:v>12.8757</c:v>
                </c:pt>
                <c:pt idx="1">
                  <c:v>17.969433399999957</c:v>
                </c:pt>
                <c:pt idx="2">
                  <c:v>13.520264000000024</c:v>
                </c:pt>
                <c:pt idx="3">
                  <c:v>63.468660999999997</c:v>
                </c:pt>
                <c:pt idx="4">
                  <c:v>222.50486199999992</c:v>
                </c:pt>
                <c:pt idx="5">
                  <c:v>79.930119999999732</c:v>
                </c:pt>
              </c:numCache>
            </c:numRef>
          </c:val>
          <c:extLst>
            <c:ext xmlns:c16="http://schemas.microsoft.com/office/drawing/2014/chart" uri="{C3380CC4-5D6E-409C-BE32-E72D297353CC}">
              <c16:uniqueId val="{0000000A-E133-4E07-AF7F-A9C813CD269C}"/>
            </c:ext>
          </c:extLst>
        </c:ser>
        <c:dLbls>
          <c:showLegendKey val="0"/>
          <c:showVal val="0"/>
          <c:showCatName val="0"/>
          <c:showSerName val="0"/>
          <c:showPercent val="0"/>
          <c:showBubbleSize val="0"/>
          <c:showLeaderLines val="0"/>
        </c:dLbls>
        <c:firstSliceAng val="0"/>
        <c:holeSize val="50"/>
      </c:doughnutChart>
      <c:spPr>
        <a:noFill/>
        <a:ln w="25388">
          <a:noFill/>
        </a:ln>
      </c:spPr>
    </c:plotArea>
    <c:legend>
      <c:legendPos val="r"/>
      <c:layout>
        <c:manualLayout>
          <c:xMode val="edge"/>
          <c:yMode val="edge"/>
          <c:x val="0.59337003228578733"/>
          <c:y val="0.14638508336746925"/>
          <c:w val="0.38073188860242024"/>
          <c:h val="0.83861271676300575"/>
        </c:manualLayout>
      </c:layout>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0" u="none" strike="noStrike" baseline="0">
                <a:effectLst/>
              </a:rPr>
              <a:t>Breakdown of connected capacity in the Leningrad Region by industry in 2018, MW (%)</a:t>
            </a:r>
            <a:endParaRPr lang="ru-RU" sz="1200" b="0">
              <a:effectLst/>
              <a:latin typeface="Calibri" pitchFamily="34" charset="0"/>
              <a:cs typeface="Calibri" pitchFamily="34" charset="0"/>
            </a:endParaRPr>
          </a:p>
        </c:rich>
      </c:tx>
      <c:layout>
        <c:manualLayout>
          <c:xMode val="edge"/>
          <c:yMode val="edge"/>
          <c:x val="0.12681918866917816"/>
          <c:y val="1.6201678493891967E-6"/>
        </c:manualLayout>
      </c:layout>
      <c:overlay val="0"/>
    </c:title>
    <c:autoTitleDeleted val="0"/>
    <c:plotArea>
      <c:layout>
        <c:manualLayout>
          <c:layoutTarget val="inner"/>
          <c:xMode val="edge"/>
          <c:yMode val="edge"/>
          <c:x val="2.6742190805968936E-2"/>
          <c:y val="0.15660738094639126"/>
          <c:w val="0.52316376895841044"/>
          <c:h val="0.77826878569092606"/>
        </c:manualLayout>
      </c:layout>
      <c:doughnutChart>
        <c:varyColors val="1"/>
        <c:ser>
          <c:idx val="0"/>
          <c:order val="0"/>
          <c:tx>
            <c:strRef>
              <c:f>Графики_отрасли!$N$3</c:f>
              <c:strCache>
                <c:ptCount val="1"/>
                <c:pt idx="0">
                  <c:v>Лен область</c:v>
                </c:pt>
              </c:strCache>
            </c:strRef>
          </c:tx>
          <c:dPt>
            <c:idx val="0"/>
            <c:bubble3D val="0"/>
            <c:spPr>
              <a:solidFill>
                <a:srgbClr val="FF0000"/>
              </a:solidFill>
            </c:spPr>
            <c:extLst>
              <c:ext xmlns:c16="http://schemas.microsoft.com/office/drawing/2014/chart" uri="{C3380CC4-5D6E-409C-BE32-E72D297353CC}">
                <c16:uniqueId val="{00000000-2B5A-4371-BF50-794D60F91240}"/>
              </c:ext>
            </c:extLst>
          </c:dPt>
          <c:dPt>
            <c:idx val="1"/>
            <c:bubble3D val="0"/>
            <c:spPr>
              <a:solidFill>
                <a:srgbClr val="FFFF00"/>
              </a:solidFill>
            </c:spPr>
            <c:extLst>
              <c:ext xmlns:c16="http://schemas.microsoft.com/office/drawing/2014/chart" uri="{C3380CC4-5D6E-409C-BE32-E72D297353CC}">
                <c16:uniqueId val="{00000001-2B5A-4371-BF50-794D60F91240}"/>
              </c:ext>
            </c:extLst>
          </c:dPt>
          <c:dPt>
            <c:idx val="2"/>
            <c:bubble3D val="0"/>
            <c:spPr>
              <a:solidFill>
                <a:srgbClr val="92D050"/>
              </a:solidFill>
            </c:spPr>
            <c:extLst>
              <c:ext xmlns:c16="http://schemas.microsoft.com/office/drawing/2014/chart" uri="{C3380CC4-5D6E-409C-BE32-E72D297353CC}">
                <c16:uniqueId val="{00000002-2B5A-4371-BF50-794D60F91240}"/>
              </c:ext>
            </c:extLst>
          </c:dPt>
          <c:dPt>
            <c:idx val="3"/>
            <c:bubble3D val="0"/>
            <c:spPr>
              <a:solidFill>
                <a:schemeClr val="accent4">
                  <a:lumMod val="60000"/>
                  <a:lumOff val="40000"/>
                </a:schemeClr>
              </a:solidFill>
            </c:spPr>
            <c:extLst>
              <c:ext xmlns:c16="http://schemas.microsoft.com/office/drawing/2014/chart" uri="{C3380CC4-5D6E-409C-BE32-E72D297353CC}">
                <c16:uniqueId val="{00000003-2B5A-4371-BF50-794D60F91240}"/>
              </c:ext>
            </c:extLst>
          </c:dPt>
          <c:dPt>
            <c:idx val="4"/>
            <c:bubble3D val="0"/>
            <c:extLst>
              <c:ext xmlns:c16="http://schemas.microsoft.com/office/drawing/2014/chart" uri="{C3380CC4-5D6E-409C-BE32-E72D297353CC}">
                <c16:uniqueId val="{00000004-2B5A-4371-BF50-794D60F91240}"/>
              </c:ext>
            </c:extLst>
          </c:dPt>
          <c:dPt>
            <c:idx val="5"/>
            <c:bubble3D val="0"/>
            <c:spPr>
              <a:pattFill prst="ltUpDiag">
                <a:fgClr>
                  <a:schemeClr val="accent1"/>
                </a:fgClr>
                <a:bgClr>
                  <a:schemeClr val="bg1"/>
                </a:bgClr>
              </a:pattFill>
            </c:spPr>
            <c:extLst>
              <c:ext xmlns:c16="http://schemas.microsoft.com/office/drawing/2014/chart" uri="{C3380CC4-5D6E-409C-BE32-E72D297353CC}">
                <c16:uniqueId val="{00000005-2B5A-4371-BF50-794D60F91240}"/>
              </c:ext>
            </c:extLst>
          </c:dPt>
          <c:dLbls>
            <c:dLbl>
              <c:idx val="0"/>
              <c:layout>
                <c:manualLayout>
                  <c:x val="0"/>
                  <c:y val="-9.6871858934741359E-3"/>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0-2B5A-4371-BF50-794D60F91240}"/>
                </c:ext>
              </c:extLst>
            </c:dLbl>
            <c:dLbl>
              <c:idx val="1"/>
              <c:layout>
                <c:manualLayout>
                  <c:x val="1.0092564340073327E-2"/>
                  <c:y val="-9.1744133960813806E-3"/>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2B5A-4371-BF50-794D60F91240}"/>
                </c:ext>
              </c:extLst>
            </c:dLbl>
            <c:dLbl>
              <c:idx val="2"/>
              <c:layout>
                <c:manualLayout>
                  <c:x val="1.563085892996572E-2"/>
                  <c:y val="-0.1329269220587061"/>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2-2B5A-4371-BF50-794D60F91240}"/>
                </c:ext>
              </c:extLst>
            </c:dLbl>
            <c:dLbl>
              <c:idx val="3"/>
              <c:layout>
                <c:manualLayout>
                  <c:x val="2.4729245357634588E-3"/>
                  <c:y val="1.9078406108327367E-2"/>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2B5A-4371-BF50-794D60F91240}"/>
                </c:ext>
              </c:extLst>
            </c:dLbl>
            <c:dLbl>
              <c:idx val="5"/>
              <c:layout>
                <c:manualLayout>
                  <c:x val="-5.0463795303455532E-3"/>
                  <c:y val="6.8731346684741783E-3"/>
                </c:manualLayout>
              </c:layou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5-2B5A-4371-BF50-794D60F91240}"/>
                </c:ext>
              </c:extLst>
            </c:dLbl>
            <c:dLbl>
              <c:idx val="6"/>
              <c:layout>
                <c:manualLayout>
                  <c:x val="7.8706073706037681E-3"/>
                  <c:y val="-2.391667036928201E-3"/>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6-2B5A-4371-BF50-794D60F91240}"/>
                </c:ext>
              </c:extLst>
            </c:dLbl>
            <c:dLbl>
              <c:idx val="7"/>
              <c:layout>
                <c:manualLayout>
                  <c:x val="1.2490241384241327E-2"/>
                  <c:y val="-2.3916295226514622E-3"/>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2B5A-4371-BF50-794D60F91240}"/>
                </c:ext>
              </c:extLst>
            </c:dLbl>
            <c:dLbl>
              <c:idx val="8"/>
              <c:layout>
                <c:manualLayout>
                  <c:x val="-4.2391652093451096E-2"/>
                  <c:y val="-1.6892316440699072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8-2B5A-4371-BF50-794D60F91240}"/>
                </c:ext>
              </c:extLst>
            </c:dLbl>
            <c:dLbl>
              <c:idx val="9"/>
              <c:layout>
                <c:manualLayout>
                  <c:x val="-7.4188555373578321E-3"/>
                  <c:y val="2.421796473368534E-3"/>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2B5A-4371-BF50-794D60F91240}"/>
                </c:ext>
              </c:extLst>
            </c:dLbl>
            <c:spPr>
              <a:noFill/>
              <a:ln w="25392">
                <a:noFill/>
              </a:ln>
            </c:spPr>
            <c:txPr>
              <a:bodyPr/>
              <a:lstStyle/>
              <a:p>
                <a:pPr>
                  <a:defRPr>
                    <a:solidFill>
                      <a:sysClr val="windowText" lastClr="000000"/>
                    </a:solidFill>
                  </a:defRPr>
                </a:pPr>
                <a:endParaRPr lang="en-US"/>
              </a:p>
            </c:txPr>
            <c:showLegendKey val="0"/>
            <c:showVal val="1"/>
            <c:showCatName val="0"/>
            <c:showSerName val="0"/>
            <c:showPercent val="1"/>
            <c:showBubbleSize val="0"/>
            <c:separator>
</c:separator>
            <c:showLeaderLines val="0"/>
            <c:extLst>
              <c:ext xmlns:c15="http://schemas.microsoft.com/office/drawing/2012/chart" uri="{CE6537A1-D6FC-4f65-9D91-7224C49458BB}">
                <c15:layout/>
              </c:ext>
            </c:extLst>
          </c:dLbls>
          <c:cat>
            <c:strRef>
              <c:f>Графики_отрасли!$B$5:$B$10</c:f>
              <c:strCache>
                <c:ptCount val="6"/>
                <c:pt idx="0">
                  <c:v>Manufacturing industry</c:v>
                </c:pt>
                <c:pt idx="1">
                  <c:v>Transport and communications</c:v>
                </c:pt>
                <c:pt idx="2">
                  <c:v>Individuals</c:v>
                </c:pt>
                <c:pt idx="3">
                  <c:v>Electricity, gas, and water distribution</c:v>
                </c:pt>
                <c:pt idx="4">
                  <c:v>Construction</c:v>
                </c:pt>
                <c:pt idx="5">
                  <c:v>Other</c:v>
                </c:pt>
              </c:strCache>
            </c:strRef>
          </c:cat>
          <c:val>
            <c:numRef>
              <c:f>Графики_отрасли!$N$5:$N$10</c:f>
              <c:numCache>
                <c:formatCode>#,##0</c:formatCode>
                <c:ptCount val="6"/>
                <c:pt idx="0">
                  <c:v>19.37904</c:v>
                </c:pt>
                <c:pt idx="1">
                  <c:v>23.305788999999997</c:v>
                </c:pt>
                <c:pt idx="2">
                  <c:v>270.25764250000424</c:v>
                </c:pt>
                <c:pt idx="3">
                  <c:v>92.615492959999997</c:v>
                </c:pt>
                <c:pt idx="4">
                  <c:v>86.220813999999933</c:v>
                </c:pt>
                <c:pt idx="5">
                  <c:v>40.581975000000007</c:v>
                </c:pt>
              </c:numCache>
            </c:numRef>
          </c:val>
          <c:extLst>
            <c:ext xmlns:c16="http://schemas.microsoft.com/office/drawing/2014/chart" uri="{C3380CC4-5D6E-409C-BE32-E72D297353CC}">
              <c16:uniqueId val="{0000000A-2B5A-4371-BF50-794D60F91240}"/>
            </c:ext>
          </c:extLst>
        </c:ser>
        <c:dLbls>
          <c:showLegendKey val="0"/>
          <c:showVal val="0"/>
          <c:showCatName val="0"/>
          <c:showSerName val="0"/>
          <c:showPercent val="0"/>
          <c:showBubbleSize val="0"/>
          <c:showLeaderLines val="0"/>
        </c:dLbls>
        <c:firstSliceAng val="0"/>
        <c:holeSize val="50"/>
      </c:doughnutChart>
      <c:spPr>
        <a:noFill/>
        <a:ln w="25392">
          <a:noFill/>
        </a:ln>
      </c:spPr>
    </c:plotArea>
    <c:legend>
      <c:legendPos val="r"/>
      <c:layout>
        <c:manualLayout>
          <c:xMode val="edge"/>
          <c:yMode val="edge"/>
          <c:x val="0.56168841317833218"/>
          <c:y val="0.1574424030329542"/>
          <c:w val="0.40391598894080749"/>
          <c:h val="0.77332134409124786"/>
        </c:manualLayout>
      </c:layout>
      <c:overlay val="0"/>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0" u="none" strike="noStrike" baseline="0">
                <a:effectLst/>
                <a:latin typeface="+mn-lt"/>
              </a:rPr>
              <a:t>Number of applications to number of signed contracts, units (%)*</a:t>
            </a:r>
            <a:endParaRPr lang="ru-RU" sz="1200" b="0">
              <a:latin typeface="+mn-lt"/>
              <a:cs typeface="Calibri" pitchFamily="34" charset="0"/>
            </a:endParaRPr>
          </a:p>
        </c:rich>
      </c:tx>
      <c:layout>
        <c:manualLayout>
          <c:xMode val="edge"/>
          <c:yMode val="edge"/>
          <c:x val="8.9685661330248412E-2"/>
          <c:y val="0"/>
        </c:manualLayout>
      </c:layout>
      <c:overlay val="0"/>
    </c:title>
    <c:autoTitleDeleted val="0"/>
    <c:plotArea>
      <c:layout/>
      <c:barChart>
        <c:barDir val="col"/>
        <c:grouping val="clustered"/>
        <c:varyColors val="0"/>
        <c:ser>
          <c:idx val="0"/>
          <c:order val="0"/>
          <c:tx>
            <c:strRef>
              <c:f>'Заявки_Закл _2018'!$L$3</c:f>
              <c:strCache>
                <c:ptCount val="1"/>
                <c:pt idx="0">
                  <c:v>Applications submitted</c:v>
                </c:pt>
              </c:strCache>
            </c:strRef>
          </c:tx>
          <c:invertIfNegative val="0"/>
          <c:dLbls>
            <c:dLbl>
              <c:idx val="1"/>
              <c:layout>
                <c:manualLayout>
                  <c:x val="3.6280764259965085E-17"/>
                  <c:y val="1.8486427396012025E-2"/>
                </c:manualLayout>
              </c:layout>
              <c:spPr>
                <a:noFill/>
                <a:ln w="25394">
                  <a:noFill/>
                </a:ln>
              </c:spPr>
              <c:txPr>
                <a:bodyPr wrap="square" lIns="38100" tIns="19050" rIns="38100" bIns="19050" anchor="ctr">
                  <a:spAutoFit/>
                </a:bodyPr>
                <a:lstStyle/>
                <a:p>
                  <a:pPr>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5AB-400B-BB1C-49967A947098}"/>
                </c:ext>
              </c:extLst>
            </c:dLbl>
            <c:dLbl>
              <c:idx val="2"/>
              <c:layout>
                <c:manualLayout>
                  <c:x val="-1.8426490391312712E-2"/>
                  <c:y val="-1.5259085522111155E-2"/>
                </c:manualLayout>
              </c:layout>
              <c:spPr>
                <a:noFill/>
                <a:ln w="25394">
                  <a:noFill/>
                </a:ln>
              </c:spPr>
              <c:txPr>
                <a:bodyPr wrap="square" lIns="38100" tIns="19050" rIns="38100" bIns="19050" anchor="ctr">
                  <a:spAutoFit/>
                </a:bodyPr>
                <a:lstStyle/>
                <a:p>
                  <a:pPr>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5AB-400B-BB1C-49967A947098}"/>
                </c:ext>
              </c:extLst>
            </c:dLbl>
            <c:spPr>
              <a:noFill/>
              <a:ln w="25394">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'Заявки_Закл _2018'!$N$2:$P$2</c:f>
              <c:numCache>
                <c:formatCode>#,##0</c:formatCode>
                <c:ptCount val="3"/>
                <c:pt idx="0">
                  <c:v>2016</c:v>
                </c:pt>
                <c:pt idx="1">
                  <c:v>2017</c:v>
                </c:pt>
                <c:pt idx="2">
                  <c:v>2018</c:v>
                </c:pt>
              </c:numCache>
            </c:numRef>
          </c:cat>
          <c:val>
            <c:numRef>
              <c:f>'Заявки_Закл _2018'!$N$3:$P$3</c:f>
              <c:numCache>
                <c:formatCode>#,##0</c:formatCode>
                <c:ptCount val="3"/>
                <c:pt idx="0">
                  <c:v>28904</c:v>
                </c:pt>
                <c:pt idx="1">
                  <c:v>39062</c:v>
                </c:pt>
                <c:pt idx="2">
                  <c:v>36528</c:v>
                </c:pt>
              </c:numCache>
            </c:numRef>
          </c:val>
          <c:extLst>
            <c:ext xmlns:c16="http://schemas.microsoft.com/office/drawing/2014/chart" uri="{C3380CC4-5D6E-409C-BE32-E72D297353CC}">
              <c16:uniqueId val="{00000002-B5AB-400B-BB1C-49967A947098}"/>
            </c:ext>
          </c:extLst>
        </c:ser>
        <c:ser>
          <c:idx val="1"/>
          <c:order val="1"/>
          <c:tx>
            <c:strRef>
              <c:f>'Заявки_Закл _2018'!$L$4</c:f>
              <c:strCache>
                <c:ptCount val="1"/>
                <c:pt idx="0">
                  <c:v>Contracts signed</c:v>
                </c:pt>
              </c:strCache>
            </c:strRef>
          </c:tx>
          <c:invertIfNegative val="0"/>
          <c:dLbls>
            <c:dLbl>
              <c:idx val="0"/>
              <c:layout>
                <c:manualLayout>
                  <c:x val="5.156352421777588E-2"/>
                  <c:y val="-5.7226644192326606E-2"/>
                </c:manualLayout>
              </c:layout>
              <c:spPr>
                <a:noFill/>
                <a:ln w="25394">
                  <a:noFill/>
                </a:ln>
              </c:spPr>
              <c:txPr>
                <a:bodyPr wrap="square" lIns="38100" tIns="19050" rIns="38100" bIns="19050" anchor="ctr">
                  <a:spAutoFit/>
                </a:bodyPr>
                <a:lstStyle/>
                <a:p>
                  <a:pPr>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5AB-400B-BB1C-49967A947098}"/>
                </c:ext>
              </c:extLst>
            </c:dLbl>
            <c:dLbl>
              <c:idx val="1"/>
              <c:layout>
                <c:manualLayout>
                  <c:x val="1.8785195290372782E-2"/>
                  <c:y val="0"/>
                </c:manualLayout>
              </c:layout>
              <c:spPr>
                <a:noFill/>
                <a:ln w="25394">
                  <a:noFill/>
                </a:ln>
              </c:spPr>
              <c:txPr>
                <a:bodyPr wrap="square" lIns="38100" tIns="19050" rIns="38100" bIns="19050" anchor="ctr">
                  <a:spAutoFit/>
                </a:bodyPr>
                <a:lstStyle/>
                <a:p>
                  <a:pPr>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5AB-400B-BB1C-49967A947098}"/>
                </c:ext>
              </c:extLst>
            </c:dLbl>
            <c:dLbl>
              <c:idx val="2"/>
              <c:layout>
                <c:manualLayout>
                  <c:x val="7.9158945552980607E-3"/>
                  <c:y val="4.6216068490030487E-3"/>
                </c:manualLayout>
              </c:layout>
              <c:spPr>
                <a:noFill/>
                <a:ln w="25394">
                  <a:noFill/>
                </a:ln>
              </c:spPr>
              <c:txPr>
                <a:bodyPr wrap="square" lIns="38100" tIns="19050" rIns="38100" bIns="19050" anchor="ctr">
                  <a:spAutoFit/>
                </a:bodyPr>
                <a:lstStyle/>
                <a:p>
                  <a:pPr>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5AB-400B-BB1C-49967A947098}"/>
                </c:ext>
              </c:extLst>
            </c:dLbl>
            <c:spPr>
              <a:noFill/>
              <a:ln w="2539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'Заявки_Закл _2018'!$N$2:$P$2</c:f>
              <c:numCache>
                <c:formatCode>#,##0</c:formatCode>
                <c:ptCount val="3"/>
                <c:pt idx="0">
                  <c:v>2016</c:v>
                </c:pt>
                <c:pt idx="1">
                  <c:v>2017</c:v>
                </c:pt>
                <c:pt idx="2">
                  <c:v>2018</c:v>
                </c:pt>
              </c:numCache>
            </c:numRef>
          </c:cat>
          <c:val>
            <c:numRef>
              <c:f>'Заявки_Закл _2018'!$N$4:$P$4</c:f>
              <c:numCache>
                <c:formatCode>#,##0</c:formatCode>
                <c:ptCount val="3"/>
                <c:pt idx="0">
                  <c:v>21022</c:v>
                </c:pt>
                <c:pt idx="1">
                  <c:v>29759</c:v>
                </c:pt>
                <c:pt idx="2">
                  <c:v>31673</c:v>
                </c:pt>
              </c:numCache>
            </c:numRef>
          </c:val>
          <c:extLst>
            <c:ext xmlns:c16="http://schemas.microsoft.com/office/drawing/2014/chart" uri="{C3380CC4-5D6E-409C-BE32-E72D297353CC}">
              <c16:uniqueId val="{00000006-B5AB-400B-BB1C-49967A947098}"/>
            </c:ext>
          </c:extLst>
        </c:ser>
        <c:dLbls>
          <c:showLegendKey val="0"/>
          <c:showVal val="0"/>
          <c:showCatName val="0"/>
          <c:showSerName val="0"/>
          <c:showPercent val="0"/>
          <c:showBubbleSize val="0"/>
        </c:dLbls>
        <c:gapWidth val="150"/>
        <c:axId val="2081396528"/>
        <c:axId val="1"/>
      </c:barChart>
      <c:lineChart>
        <c:grouping val="standard"/>
        <c:varyColors val="0"/>
        <c:ser>
          <c:idx val="2"/>
          <c:order val="2"/>
          <c:tx>
            <c:strRef>
              <c:f>'Заявки_Закл _2018'!$L$5</c:f>
              <c:strCache>
                <c:ptCount val="1"/>
                <c:pt idx="0">
                  <c:v>Percentage</c:v>
                </c:pt>
              </c:strCache>
            </c:strRef>
          </c:tx>
          <c:spPr>
            <a:ln>
              <a:solidFill>
                <a:srgbClr val="00B050"/>
              </a:solidFill>
            </a:ln>
          </c:spPr>
          <c:marker>
            <c:symbol val="triangle"/>
            <c:size val="4"/>
            <c:spPr>
              <a:solidFill>
                <a:srgbClr val="00B050"/>
              </a:solidFill>
              <a:ln>
                <a:solidFill>
                  <a:srgbClr val="00B050"/>
                </a:solidFill>
              </a:ln>
            </c:spPr>
          </c:marker>
          <c:dLbls>
            <c:dLbl>
              <c:idx val="0"/>
              <c:layout>
                <c:manualLayout>
                  <c:x val="4.3631036665881022E-2"/>
                  <c:y val="3.300490060365441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B5AB-400B-BB1C-49967A947098}"/>
                </c:ext>
              </c:extLst>
            </c:dLbl>
            <c:dLbl>
              <c:idx val="1"/>
              <c:layout>
                <c:manualLayout>
                  <c:x val="4.8657897622014619E-2"/>
                  <c:y val="-3.068837561435811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5AB-400B-BB1C-49967A947098}"/>
                </c:ext>
              </c:extLst>
            </c:dLbl>
            <c:dLbl>
              <c:idx val="2"/>
              <c:layout>
                <c:manualLayout>
                  <c:x val="1.7780525592336509E-3"/>
                  <c:y val="-1.984097596490331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5AB-400B-BB1C-49967A947098}"/>
                </c:ext>
              </c:extLst>
            </c:dLbl>
            <c:spPr>
              <a:noFill/>
              <a:ln w="25394">
                <a:noFill/>
              </a:ln>
            </c:spPr>
            <c:txPr>
              <a:bodyPr/>
              <a:lstStyle/>
              <a:p>
                <a:pPr>
                  <a:defRPr>
                    <a:solidFill>
                      <a:srgbClr val="00B05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'Заявки_Закл _2018'!$N$2:$P$2</c:f>
              <c:numCache>
                <c:formatCode>#,##0</c:formatCode>
                <c:ptCount val="3"/>
                <c:pt idx="0">
                  <c:v>2016</c:v>
                </c:pt>
                <c:pt idx="1">
                  <c:v>2017</c:v>
                </c:pt>
                <c:pt idx="2">
                  <c:v>2018</c:v>
                </c:pt>
              </c:numCache>
            </c:numRef>
          </c:cat>
          <c:val>
            <c:numRef>
              <c:f>'Заявки_Закл _2018'!$N$5:$P$5</c:f>
              <c:numCache>
                <c:formatCode>0%</c:formatCode>
                <c:ptCount val="3"/>
                <c:pt idx="0">
                  <c:v>0.72730417935233882</c:v>
                </c:pt>
                <c:pt idx="1">
                  <c:v>0.76184015155393991</c:v>
                </c:pt>
                <c:pt idx="2">
                  <c:v>0.8670882610600088</c:v>
                </c:pt>
              </c:numCache>
            </c:numRef>
          </c:val>
          <c:smooth val="0"/>
          <c:extLst>
            <c:ext xmlns:c16="http://schemas.microsoft.com/office/drawing/2014/chart" uri="{C3380CC4-5D6E-409C-BE32-E72D297353CC}">
              <c16:uniqueId val="{0000000A-B5AB-400B-BB1C-49967A947098}"/>
            </c:ext>
          </c:extLst>
        </c:ser>
        <c:dLbls>
          <c:showLegendKey val="0"/>
          <c:showVal val="0"/>
          <c:showCatName val="0"/>
          <c:showSerName val="0"/>
          <c:showPercent val="0"/>
          <c:showBubbleSize val="0"/>
        </c:dLbls>
        <c:marker val="1"/>
        <c:smooth val="0"/>
        <c:axId val="3"/>
        <c:axId val="4"/>
      </c:lineChart>
      <c:catAx>
        <c:axId val="2081396528"/>
        <c:scaling>
          <c:orientation val="minMax"/>
        </c:scaling>
        <c:delete val="0"/>
        <c:axPos val="b"/>
        <c:numFmt formatCode="#,##0" sourceLinked="1"/>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0" sourceLinked="1"/>
        <c:majorTickMark val="out"/>
        <c:minorTickMark val="none"/>
        <c:tickLblPos val="nextTo"/>
        <c:crossAx val="2081396528"/>
        <c:crosses val="autoZero"/>
        <c:crossBetween val="between"/>
        <c:majorUnit val="15000"/>
      </c:valAx>
      <c:catAx>
        <c:axId val="3"/>
        <c:scaling>
          <c:orientation val="minMax"/>
        </c:scaling>
        <c:delete val="1"/>
        <c:axPos val="b"/>
        <c:numFmt formatCode="#,##0" sourceLinked="1"/>
        <c:majorTickMark val="out"/>
        <c:minorTickMark val="none"/>
        <c:tickLblPos val="nextTo"/>
        <c:crossAx val="4"/>
        <c:crosses val="autoZero"/>
        <c:auto val="1"/>
        <c:lblAlgn val="ctr"/>
        <c:lblOffset val="100"/>
        <c:noMultiLvlLbl val="0"/>
      </c:catAx>
      <c:valAx>
        <c:axId val="4"/>
        <c:scaling>
          <c:orientation val="minMax"/>
        </c:scaling>
        <c:delete val="0"/>
        <c:axPos val="r"/>
        <c:numFmt formatCode="0%" sourceLinked="1"/>
        <c:majorTickMark val="out"/>
        <c:minorTickMark val="none"/>
        <c:tickLblPos val="nextTo"/>
        <c:crossAx val="3"/>
        <c:crosses val="max"/>
        <c:crossBetween val="between"/>
      </c:valAx>
      <c:spPr>
        <a:solidFill>
          <a:schemeClr val="bg1"/>
        </a:solidFill>
      </c:spPr>
    </c:plotArea>
    <c:legend>
      <c:legendPos val="r"/>
      <c:layout/>
      <c:overlay val="0"/>
    </c:legend>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0" u="none" strike="noStrike" baseline="0">
                <a:effectLst/>
              </a:rPr>
              <a:t>Breakdown of contracted capacity in the Leningrad Region in 2018, MW (%)*</a:t>
            </a:r>
            <a:endParaRPr lang="ru-RU" sz="1200" b="0">
              <a:effectLst/>
              <a:latin typeface="Calibri" pitchFamily="34" charset="0"/>
              <a:cs typeface="Calibri" pitchFamily="34" charset="0"/>
            </a:endParaRPr>
          </a:p>
        </c:rich>
      </c:tx>
      <c:layout>
        <c:manualLayout>
          <c:xMode val="edge"/>
          <c:yMode val="edge"/>
          <c:x val="8.3692578138431381E-2"/>
          <c:y val="0"/>
        </c:manualLayout>
      </c:layout>
      <c:overlay val="0"/>
    </c:title>
    <c:autoTitleDeleted val="0"/>
    <c:plotArea>
      <c:layout>
        <c:manualLayout>
          <c:layoutTarget val="inner"/>
          <c:xMode val="edge"/>
          <c:yMode val="edge"/>
          <c:x val="0.16213308377436428"/>
          <c:y val="0.20947486627462705"/>
          <c:w val="0.54524027841229739"/>
          <c:h val="0.69338281933508317"/>
        </c:manualLayout>
      </c:layout>
      <c:doughnutChart>
        <c:varyColors val="1"/>
        <c:ser>
          <c:idx val="0"/>
          <c:order val="0"/>
          <c:dPt>
            <c:idx val="0"/>
            <c:bubble3D val="0"/>
            <c:spPr>
              <a:solidFill>
                <a:schemeClr val="tx2">
                  <a:lumMod val="40000"/>
                  <a:lumOff val="60000"/>
                </a:schemeClr>
              </a:solidFill>
            </c:spPr>
            <c:extLst>
              <c:ext xmlns:c16="http://schemas.microsoft.com/office/drawing/2014/chart" uri="{C3380CC4-5D6E-409C-BE32-E72D297353CC}">
                <c16:uniqueId val="{00000000-CC12-4F7C-8815-76DB2196B139}"/>
              </c:ext>
            </c:extLst>
          </c:dPt>
          <c:dPt>
            <c:idx val="1"/>
            <c:bubble3D val="0"/>
            <c:spPr>
              <a:solidFill>
                <a:srgbClr val="FFFF00"/>
              </a:solidFill>
            </c:spPr>
            <c:extLst>
              <c:ext xmlns:c16="http://schemas.microsoft.com/office/drawing/2014/chart" uri="{C3380CC4-5D6E-409C-BE32-E72D297353CC}">
                <c16:uniqueId val="{00000001-CC12-4F7C-8815-76DB2196B139}"/>
              </c:ext>
            </c:extLst>
          </c:dPt>
          <c:dPt>
            <c:idx val="2"/>
            <c:bubble3D val="0"/>
            <c:spPr>
              <a:solidFill>
                <a:srgbClr val="92D050"/>
              </a:solidFill>
            </c:spPr>
            <c:extLst>
              <c:ext xmlns:c16="http://schemas.microsoft.com/office/drawing/2014/chart" uri="{C3380CC4-5D6E-409C-BE32-E72D297353CC}">
                <c16:uniqueId val="{00000002-CC12-4F7C-8815-76DB2196B139}"/>
              </c:ext>
            </c:extLst>
          </c:dPt>
          <c:dPt>
            <c:idx val="3"/>
            <c:bubble3D val="0"/>
            <c:spPr>
              <a:solidFill>
                <a:schemeClr val="accent5">
                  <a:lumMod val="40000"/>
                  <a:lumOff val="60000"/>
                </a:schemeClr>
              </a:solidFill>
            </c:spPr>
            <c:extLst>
              <c:ext xmlns:c16="http://schemas.microsoft.com/office/drawing/2014/chart" uri="{C3380CC4-5D6E-409C-BE32-E72D297353CC}">
                <c16:uniqueId val="{00000003-CC12-4F7C-8815-76DB2196B139}"/>
              </c:ext>
            </c:extLst>
          </c:dPt>
          <c:dLbls>
            <c:spPr>
              <a:noFill/>
              <a:ln w="25398">
                <a:noFill/>
              </a:ln>
            </c:spPr>
            <c:showLegendKey val="0"/>
            <c:showVal val="1"/>
            <c:showCatName val="0"/>
            <c:showSerName val="0"/>
            <c:showPercent val="1"/>
            <c:showBubbleSize val="0"/>
            <c:separator>
</c:separator>
            <c:showLeaderLines val="0"/>
            <c:extLst>
              <c:ext xmlns:c15="http://schemas.microsoft.com/office/drawing/2012/chart" uri="{CE6537A1-D6FC-4f65-9D91-7224C49458BB}">
                <c15:layout/>
              </c:ext>
            </c:extLst>
          </c:dLbls>
          <c:cat>
            <c:strRef>
              <c:f>'Заявки_Закл _2018'!$B$24:$B$27</c:f>
              <c:strCache>
                <c:ptCount val="4"/>
                <c:pt idx="0">
                  <c:v>up to 15 kW</c:v>
                </c:pt>
                <c:pt idx="1">
                  <c:v>15-150 kW</c:v>
                </c:pt>
                <c:pt idx="2">
                  <c:v>150-670 kW</c:v>
                </c:pt>
                <c:pt idx="3">
                  <c:v>670+ kW</c:v>
                </c:pt>
              </c:strCache>
            </c:strRef>
          </c:cat>
          <c:val>
            <c:numRef>
              <c:f>'Заявки_Закл _2018'!$O$24:$O$27</c:f>
              <c:numCache>
                <c:formatCode>#,##0</c:formatCode>
                <c:ptCount val="4"/>
                <c:pt idx="0">
                  <c:v>298.62308500000137</c:v>
                </c:pt>
                <c:pt idx="1">
                  <c:v>231.52730099999988</c:v>
                </c:pt>
                <c:pt idx="2">
                  <c:v>110.47258199999997</c:v>
                </c:pt>
                <c:pt idx="3">
                  <c:v>535.29190500000004</c:v>
                </c:pt>
              </c:numCache>
            </c:numRef>
          </c:val>
          <c:extLst>
            <c:ext xmlns:c16="http://schemas.microsoft.com/office/drawing/2014/chart" uri="{C3380CC4-5D6E-409C-BE32-E72D297353CC}">
              <c16:uniqueId val="{00000004-CC12-4F7C-8815-76DB2196B139}"/>
            </c:ext>
          </c:extLst>
        </c:ser>
        <c:dLbls>
          <c:showLegendKey val="0"/>
          <c:showVal val="0"/>
          <c:showCatName val="0"/>
          <c:showSerName val="0"/>
          <c:showPercent val="0"/>
          <c:showBubbleSize val="0"/>
          <c:showLeaderLines val="0"/>
        </c:dLbls>
        <c:firstSliceAng val="0"/>
        <c:holeSize val="50"/>
      </c:doughnutChart>
      <c:spPr>
        <a:solidFill>
          <a:schemeClr val="bg1"/>
        </a:solidFill>
      </c:spPr>
    </c:plotArea>
    <c:legend>
      <c:legendPos val="r"/>
      <c:layout>
        <c:manualLayout>
          <c:xMode val="edge"/>
          <c:yMode val="edge"/>
          <c:x val="0.77125402211752814"/>
          <c:y val="0.35411820848597136"/>
          <c:w val="0.22094905500829132"/>
          <c:h val="0.28608446671438797"/>
        </c:manualLayout>
      </c:layout>
      <c:overlay val="0"/>
      <c:txPr>
        <a:bodyPr/>
        <a:lstStyle/>
        <a:p>
          <a:pPr rtl="0">
            <a:defRPr/>
          </a:pPr>
          <a:endParaRPr lang="en-US"/>
        </a:p>
      </c:txPr>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998" b="1">
                <a:solidFill>
                  <a:sysClr val="windowText" lastClr="000000"/>
                </a:solidFill>
              </a:defRPr>
            </a:pPr>
            <a:r>
              <a:rPr lang="en-US" sz="1000">
                <a:effectLst/>
              </a:rPr>
              <a:t>Change in CAPEX under the PJSC “Lenenergo”investment program, </a:t>
            </a:r>
            <a:endParaRPr lang="ru-RU" sz="1000">
              <a:effectLst/>
            </a:endParaRPr>
          </a:p>
          <a:p>
            <a:pPr>
              <a:defRPr sz="998" b="1">
                <a:solidFill>
                  <a:sysClr val="windowText" lastClr="000000"/>
                </a:solidFill>
              </a:defRPr>
            </a:pPr>
            <a:r>
              <a:rPr lang="en-US" sz="1000">
                <a:effectLst/>
              </a:rPr>
              <a:t>RUB million, net of VAT</a:t>
            </a:r>
            <a:endParaRPr lang="ru-RU" sz="1000" b="1">
              <a:solidFill>
                <a:sysClr val="windowText" lastClr="000000"/>
              </a:solidFill>
            </a:endParaRPr>
          </a:p>
        </c:rich>
      </c:tx>
      <c:layout>
        <c:manualLayout>
          <c:xMode val="edge"/>
          <c:yMode val="edge"/>
          <c:x val="0.16789707251464484"/>
          <c:y val="0"/>
        </c:manualLayout>
      </c:layout>
      <c:overlay val="0"/>
    </c:title>
    <c:autoTitleDeleted val="0"/>
    <c:plotArea>
      <c:layout>
        <c:manualLayout>
          <c:layoutTarget val="inner"/>
          <c:xMode val="edge"/>
          <c:yMode val="edge"/>
          <c:x val="0.10128035070884957"/>
          <c:y val="0.21191878641947515"/>
          <c:w val="0.80863096368273113"/>
          <c:h val="0.5717663918664071"/>
        </c:manualLayout>
      </c:layout>
      <c:barChart>
        <c:barDir val="col"/>
        <c:grouping val="stacked"/>
        <c:varyColors val="0"/>
        <c:ser>
          <c:idx val="0"/>
          <c:order val="0"/>
          <c:tx>
            <c:strRef>
              <c:f>Лист3!$A$17</c:f>
              <c:strCache>
                <c:ptCount val="1"/>
                <c:pt idx="0">
                  <c:v>Saint Petersburg</c:v>
                </c:pt>
              </c:strCache>
            </c:strRef>
          </c:tx>
          <c:invertIfNegative val="0"/>
          <c:dLbls>
            <c:spPr>
              <a:noFill/>
              <a:ln w="25384">
                <a:noFill/>
              </a:ln>
            </c:spPr>
            <c:txPr>
              <a:bodyPr/>
              <a:lstStyle/>
              <a:p>
                <a:pPr>
                  <a:defRPr b="0">
                    <a:solidFill>
                      <a:sysClr val="windowText" lastClr="000000"/>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Лист3!$B$16:$D$16</c:f>
              <c:numCache>
                <c:formatCode>General</c:formatCode>
                <c:ptCount val="3"/>
                <c:pt idx="0">
                  <c:v>2016</c:v>
                </c:pt>
                <c:pt idx="1">
                  <c:v>2017</c:v>
                </c:pt>
                <c:pt idx="2">
                  <c:v>2018</c:v>
                </c:pt>
              </c:numCache>
            </c:numRef>
          </c:cat>
          <c:val>
            <c:numRef>
              <c:f>Лист3!$B$17:$D$17</c:f>
              <c:numCache>
                <c:formatCode>#,##0</c:formatCode>
                <c:ptCount val="3"/>
                <c:pt idx="0">
                  <c:v>12664</c:v>
                </c:pt>
                <c:pt idx="1">
                  <c:v>19871</c:v>
                </c:pt>
                <c:pt idx="2">
                  <c:v>14856.083000966686</c:v>
                </c:pt>
              </c:numCache>
            </c:numRef>
          </c:val>
          <c:extLst>
            <c:ext xmlns:c16="http://schemas.microsoft.com/office/drawing/2014/chart" uri="{C3380CC4-5D6E-409C-BE32-E72D297353CC}">
              <c16:uniqueId val="{00000000-249B-40A2-96AB-8B9C20739E49}"/>
            </c:ext>
          </c:extLst>
        </c:ser>
        <c:ser>
          <c:idx val="1"/>
          <c:order val="1"/>
          <c:tx>
            <c:strRef>
              <c:f>Лист3!$A$18</c:f>
              <c:strCache>
                <c:ptCount val="1"/>
                <c:pt idx="0">
                  <c:v>Leningrad Region</c:v>
                </c:pt>
              </c:strCache>
            </c:strRef>
          </c:tx>
          <c:spPr>
            <a:solidFill>
              <a:srgbClr val="C3361F"/>
            </a:solidFill>
          </c:spPr>
          <c:invertIfNegative val="0"/>
          <c:dLbls>
            <c:spPr>
              <a:noFill/>
              <a:ln w="25384">
                <a:noFill/>
              </a:ln>
            </c:spPr>
            <c:txPr>
              <a:bodyPr/>
              <a:lstStyle/>
              <a:p>
                <a:pPr>
                  <a:defRPr b="0">
                    <a:solidFill>
                      <a:sysClr val="windowText" lastClr="000000"/>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Лист3!$B$16:$D$16</c:f>
              <c:numCache>
                <c:formatCode>General</c:formatCode>
                <c:ptCount val="3"/>
                <c:pt idx="0">
                  <c:v>2016</c:v>
                </c:pt>
                <c:pt idx="1">
                  <c:v>2017</c:v>
                </c:pt>
                <c:pt idx="2">
                  <c:v>2018</c:v>
                </c:pt>
              </c:numCache>
            </c:numRef>
          </c:cat>
          <c:val>
            <c:numRef>
              <c:f>Лист3!$B$18:$D$18</c:f>
              <c:numCache>
                <c:formatCode>#,##0</c:formatCode>
                <c:ptCount val="3"/>
                <c:pt idx="0">
                  <c:v>9546</c:v>
                </c:pt>
                <c:pt idx="1">
                  <c:v>8332</c:v>
                </c:pt>
                <c:pt idx="2">
                  <c:v>5865.834628988312</c:v>
                </c:pt>
              </c:numCache>
            </c:numRef>
          </c:val>
          <c:extLst>
            <c:ext xmlns:c16="http://schemas.microsoft.com/office/drawing/2014/chart" uri="{C3380CC4-5D6E-409C-BE32-E72D297353CC}">
              <c16:uniqueId val="{00000001-249B-40A2-96AB-8B9C20739E49}"/>
            </c:ext>
          </c:extLst>
        </c:ser>
        <c:dLbls>
          <c:showLegendKey val="0"/>
          <c:showVal val="0"/>
          <c:showCatName val="0"/>
          <c:showSerName val="0"/>
          <c:showPercent val="0"/>
          <c:showBubbleSize val="0"/>
        </c:dLbls>
        <c:gapWidth val="150"/>
        <c:overlap val="100"/>
        <c:axId val="2081623664"/>
        <c:axId val="1"/>
      </c:barChart>
      <c:catAx>
        <c:axId val="2081623664"/>
        <c:scaling>
          <c:orientation val="minMax"/>
        </c:scaling>
        <c:delete val="0"/>
        <c:axPos val="b"/>
        <c:numFmt formatCode="General" sourceLinked="1"/>
        <c:majorTickMark val="out"/>
        <c:minorTickMark val="none"/>
        <c:tickLblPos val="nextTo"/>
        <c:txPr>
          <a:bodyPr/>
          <a:lstStyle/>
          <a:p>
            <a:pPr>
              <a:defRPr b="0">
                <a:solidFill>
                  <a:sysClr val="windowText" lastClr="000000"/>
                </a:solidFill>
              </a:defRPr>
            </a:pPr>
            <a:endParaRPr lang="en-US"/>
          </a:p>
        </c:txPr>
        <c:crossAx val="1"/>
        <c:crosses val="autoZero"/>
        <c:auto val="1"/>
        <c:lblAlgn val="ctr"/>
        <c:lblOffset val="100"/>
        <c:noMultiLvlLbl val="0"/>
      </c:catAx>
      <c:valAx>
        <c:axId val="1"/>
        <c:scaling>
          <c:orientation val="minMax"/>
        </c:scaling>
        <c:delete val="0"/>
        <c:axPos val="l"/>
        <c:numFmt formatCode="#,##0" sourceLinked="1"/>
        <c:majorTickMark val="out"/>
        <c:minorTickMark val="none"/>
        <c:tickLblPos val="nextTo"/>
        <c:txPr>
          <a:bodyPr/>
          <a:lstStyle/>
          <a:p>
            <a:pPr>
              <a:defRPr b="0">
                <a:solidFill>
                  <a:sysClr val="windowText" lastClr="000000"/>
                </a:solidFill>
              </a:defRPr>
            </a:pPr>
            <a:endParaRPr lang="en-US"/>
          </a:p>
        </c:txPr>
        <c:crossAx val="2081623664"/>
        <c:crosses val="autoZero"/>
        <c:crossBetween val="between"/>
      </c:valAx>
      <c:spPr>
        <a:noFill/>
        <a:ln w="25384">
          <a:noFill/>
        </a:ln>
      </c:spPr>
    </c:plotArea>
    <c:legend>
      <c:legendPos val="b"/>
      <c:layout>
        <c:manualLayout>
          <c:xMode val="edge"/>
          <c:yMode val="edge"/>
          <c:x val="9.217904518691919E-2"/>
          <c:y val="0.91156899280719683"/>
          <c:w val="0.54660083705753004"/>
          <c:h val="8.8431007192803168E-2"/>
        </c:manualLayout>
      </c:layout>
      <c:overlay val="0"/>
      <c:txPr>
        <a:bodyPr/>
        <a:lstStyle/>
        <a:p>
          <a:pPr>
            <a:defRPr b="0">
              <a:solidFill>
                <a:sysClr val="windowText" lastClr="000000"/>
              </a:solidFill>
            </a:defRPr>
          </a:pPr>
          <a:endParaRPr lang="en-US"/>
        </a:p>
      </c:txPr>
    </c:legend>
    <c:plotVisOnly val="1"/>
    <c:dispBlanksAs val="gap"/>
    <c:showDLblsOverMax val="0"/>
  </c:chart>
  <c:spPr>
    <a:noFill/>
    <a:ln>
      <a:noFill/>
    </a:ln>
  </c:spPr>
  <c:txPr>
    <a:bodyPr/>
    <a:lstStyle/>
    <a:p>
      <a:pPr>
        <a:defRPr sz="999" b="1">
          <a:solidFill>
            <a:schemeClr val="bg1"/>
          </a:solidFill>
        </a:defRPr>
      </a:pPr>
      <a:endParaRPr lang="en-US"/>
    </a:p>
  </c:tx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998" b="1">
                <a:solidFill>
                  <a:sysClr val="windowText" lastClr="000000"/>
                </a:solidFill>
              </a:defRPr>
            </a:pPr>
            <a:r>
              <a:rPr lang="en-US" sz="1000">
                <a:effectLst/>
              </a:rPr>
              <a:t>Change in capacity commissioned </a:t>
            </a:r>
            <a:endParaRPr lang="ru-RU" sz="1000">
              <a:effectLst/>
            </a:endParaRPr>
          </a:p>
          <a:p>
            <a:pPr>
              <a:defRPr sz="998" b="1">
                <a:solidFill>
                  <a:sysClr val="windowText" lastClr="000000"/>
                </a:solidFill>
              </a:defRPr>
            </a:pPr>
            <a:r>
              <a:rPr lang="en-US" sz="1000">
                <a:effectLst/>
              </a:rPr>
              <a:t>under the PJSC “Lenenergo” the investment program, MVA</a:t>
            </a:r>
            <a:endParaRPr lang="ru-RU" sz="1000"/>
          </a:p>
        </c:rich>
      </c:tx>
      <c:layout>
        <c:manualLayout>
          <c:xMode val="edge"/>
          <c:yMode val="edge"/>
          <c:x val="0.20279584487211785"/>
          <c:y val="1.4677103718199608E-2"/>
        </c:manualLayout>
      </c:layout>
      <c:overlay val="0"/>
    </c:title>
    <c:autoTitleDeleted val="0"/>
    <c:plotArea>
      <c:layout>
        <c:manualLayout>
          <c:layoutTarget val="inner"/>
          <c:xMode val="edge"/>
          <c:yMode val="edge"/>
          <c:x val="0.10128043724693456"/>
          <c:y val="0.22441863517060368"/>
          <c:w val="0.80863096368273113"/>
          <c:h val="0.5717663918664071"/>
        </c:manualLayout>
      </c:layout>
      <c:barChart>
        <c:barDir val="col"/>
        <c:grouping val="stacked"/>
        <c:varyColors val="0"/>
        <c:ser>
          <c:idx val="0"/>
          <c:order val="0"/>
          <c:tx>
            <c:strRef>
              <c:f>Лист3!$A$37</c:f>
              <c:strCache>
                <c:ptCount val="1"/>
                <c:pt idx="0">
                  <c:v>Saint Petersburg</c:v>
                </c:pt>
              </c:strCache>
            </c:strRef>
          </c:tx>
          <c:invertIfNegative val="0"/>
          <c:dLbls>
            <c:dLbl>
              <c:idx val="0"/>
              <c:layout>
                <c:manualLayout>
                  <c:x val="2.2753128555176336E-3"/>
                  <c:y val="-4.768717215069317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524-4911-88CC-9F7B616C068D}"/>
                </c:ext>
              </c:extLst>
            </c:dLbl>
            <c:spPr>
              <a:noFill/>
              <a:ln w="25377">
                <a:noFill/>
              </a:ln>
            </c:spPr>
            <c:txPr>
              <a:bodyPr/>
              <a:lstStyle/>
              <a:p>
                <a:pPr>
                  <a:defRPr b="0">
                    <a:solidFill>
                      <a:sysClr val="windowText" lastClr="000000"/>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Лист3!$B$36:$D$36</c:f>
              <c:numCache>
                <c:formatCode>General</c:formatCode>
                <c:ptCount val="3"/>
                <c:pt idx="0">
                  <c:v>2016</c:v>
                </c:pt>
                <c:pt idx="1">
                  <c:v>2017</c:v>
                </c:pt>
                <c:pt idx="2">
                  <c:v>2018</c:v>
                </c:pt>
              </c:numCache>
            </c:numRef>
          </c:cat>
          <c:val>
            <c:numRef>
              <c:f>Лист3!$B$37:$D$37</c:f>
              <c:numCache>
                <c:formatCode>General</c:formatCode>
                <c:ptCount val="3"/>
                <c:pt idx="0">
                  <c:v>449</c:v>
                </c:pt>
                <c:pt idx="1">
                  <c:v>1159</c:v>
                </c:pt>
                <c:pt idx="2" formatCode="#,##0">
                  <c:v>515.28400000000011</c:v>
                </c:pt>
              </c:numCache>
            </c:numRef>
          </c:val>
          <c:extLst>
            <c:ext xmlns:c16="http://schemas.microsoft.com/office/drawing/2014/chart" uri="{C3380CC4-5D6E-409C-BE32-E72D297353CC}">
              <c16:uniqueId val="{00000001-B524-4911-88CC-9F7B616C068D}"/>
            </c:ext>
          </c:extLst>
        </c:ser>
        <c:ser>
          <c:idx val="1"/>
          <c:order val="1"/>
          <c:tx>
            <c:strRef>
              <c:f>Лист3!$A$38</c:f>
              <c:strCache>
                <c:ptCount val="1"/>
                <c:pt idx="0">
                  <c:v>Leningrad Region</c:v>
                </c:pt>
              </c:strCache>
            </c:strRef>
          </c:tx>
          <c:spPr>
            <a:solidFill>
              <a:srgbClr val="C3361F"/>
            </a:solidFill>
          </c:spPr>
          <c:invertIfNegative val="0"/>
          <c:dLbls>
            <c:dLbl>
              <c:idx val="0"/>
              <c:layout>
                <c:manualLayout>
                  <c:x val="6.826834359015703E-3"/>
                  <c:y val="2.9385811752070841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524-4911-88CC-9F7B616C068D}"/>
                </c:ext>
              </c:extLst>
            </c:dLbl>
            <c:dLbl>
              <c:idx val="1"/>
              <c:layout>
                <c:manualLayout>
                  <c:x val="0"/>
                  <c:y val="-2.5000000000000001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524-4911-88CC-9F7B616C068D}"/>
                </c:ext>
              </c:extLst>
            </c:dLbl>
            <c:dLbl>
              <c:idx val="2"/>
              <c:layout>
                <c:manualLayout>
                  <c:x val="-1.7908213243840024E-7"/>
                  <c:y val="8.3333333333333332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524-4911-88CC-9F7B616C068D}"/>
                </c:ext>
              </c:extLst>
            </c:dLbl>
            <c:spPr>
              <a:noFill/>
              <a:ln w="25377">
                <a:noFill/>
              </a:ln>
            </c:spPr>
            <c:txPr>
              <a:bodyPr/>
              <a:lstStyle/>
              <a:p>
                <a:pPr>
                  <a:defRPr b="0">
                    <a:solidFill>
                      <a:sysClr val="windowText" lastClr="000000"/>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Лист3!$B$36:$D$36</c:f>
              <c:numCache>
                <c:formatCode>General</c:formatCode>
                <c:ptCount val="3"/>
                <c:pt idx="0">
                  <c:v>2016</c:v>
                </c:pt>
                <c:pt idx="1">
                  <c:v>2017</c:v>
                </c:pt>
                <c:pt idx="2">
                  <c:v>2018</c:v>
                </c:pt>
              </c:numCache>
            </c:numRef>
          </c:cat>
          <c:val>
            <c:numRef>
              <c:f>Лист3!$B$38:$D$38</c:f>
              <c:numCache>
                <c:formatCode>General</c:formatCode>
                <c:ptCount val="3"/>
                <c:pt idx="0">
                  <c:v>395</c:v>
                </c:pt>
                <c:pt idx="1">
                  <c:v>1171</c:v>
                </c:pt>
                <c:pt idx="2" formatCode="#,##0">
                  <c:v>515.49299999999994</c:v>
                </c:pt>
              </c:numCache>
            </c:numRef>
          </c:val>
          <c:extLst>
            <c:ext xmlns:c16="http://schemas.microsoft.com/office/drawing/2014/chart" uri="{C3380CC4-5D6E-409C-BE32-E72D297353CC}">
              <c16:uniqueId val="{00000005-B524-4911-88CC-9F7B616C068D}"/>
            </c:ext>
          </c:extLst>
        </c:ser>
        <c:dLbls>
          <c:showLegendKey val="0"/>
          <c:showVal val="0"/>
          <c:showCatName val="0"/>
          <c:showSerName val="0"/>
          <c:showPercent val="0"/>
          <c:showBubbleSize val="0"/>
        </c:dLbls>
        <c:gapWidth val="150"/>
        <c:overlap val="100"/>
        <c:axId val="2081507184"/>
        <c:axId val="1"/>
      </c:barChart>
      <c:catAx>
        <c:axId val="2081507184"/>
        <c:scaling>
          <c:orientation val="minMax"/>
        </c:scaling>
        <c:delete val="0"/>
        <c:axPos val="b"/>
        <c:numFmt formatCode="General" sourceLinked="1"/>
        <c:majorTickMark val="out"/>
        <c:minorTickMark val="none"/>
        <c:tickLblPos val="nextTo"/>
        <c:txPr>
          <a:bodyPr/>
          <a:lstStyle/>
          <a:p>
            <a:pPr>
              <a:defRPr b="0">
                <a:solidFill>
                  <a:sysClr val="windowText" lastClr="000000"/>
                </a:solidFill>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a:lstStyle/>
          <a:p>
            <a:pPr>
              <a:defRPr b="0">
                <a:solidFill>
                  <a:sysClr val="windowText" lastClr="000000"/>
                </a:solidFill>
              </a:defRPr>
            </a:pPr>
            <a:endParaRPr lang="en-US"/>
          </a:p>
        </c:txPr>
        <c:crossAx val="2081507184"/>
        <c:crosses val="autoZero"/>
        <c:crossBetween val="between"/>
      </c:valAx>
      <c:spPr>
        <a:noFill/>
        <a:ln w="25377">
          <a:noFill/>
        </a:ln>
      </c:spPr>
    </c:plotArea>
    <c:legend>
      <c:legendPos val="b"/>
      <c:layout>
        <c:manualLayout>
          <c:xMode val="edge"/>
          <c:yMode val="edge"/>
          <c:x val="0.10807013706620007"/>
          <c:y val="0.91589353612167301"/>
          <c:w val="0.69743438320209972"/>
          <c:h val="8.2577567537898022E-2"/>
        </c:manualLayout>
      </c:layout>
      <c:overlay val="0"/>
      <c:txPr>
        <a:bodyPr/>
        <a:lstStyle/>
        <a:p>
          <a:pPr>
            <a:defRPr b="0">
              <a:solidFill>
                <a:sysClr val="windowText" lastClr="000000"/>
              </a:solidFill>
            </a:defRPr>
          </a:pPr>
          <a:endParaRPr lang="en-US"/>
        </a:p>
      </c:txPr>
    </c:legend>
    <c:plotVisOnly val="1"/>
    <c:dispBlanksAs val="gap"/>
    <c:showDLblsOverMax val="0"/>
  </c:chart>
  <c:spPr>
    <a:noFill/>
    <a:ln>
      <a:noFill/>
    </a:ln>
  </c:spPr>
  <c:txPr>
    <a:bodyPr/>
    <a:lstStyle/>
    <a:p>
      <a:pPr>
        <a:defRPr sz="999" b="1">
          <a:solidFill>
            <a:schemeClr val="bg1"/>
          </a:solidFill>
        </a:defRPr>
      </a:pPr>
      <a:endParaRPr lang="en-US"/>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998" b="1">
                <a:solidFill>
                  <a:sysClr val="windowText" lastClr="000000"/>
                </a:solidFill>
              </a:defRPr>
            </a:pPr>
            <a:r>
              <a:rPr lang="en-US" sz="1000">
                <a:effectLst/>
              </a:rPr>
              <a:t>Change in line length commissioned </a:t>
            </a:r>
            <a:endParaRPr lang="ru-RU" sz="1000">
              <a:effectLst/>
            </a:endParaRPr>
          </a:p>
          <a:p>
            <a:pPr>
              <a:defRPr sz="998" b="1">
                <a:solidFill>
                  <a:sysClr val="windowText" lastClr="000000"/>
                </a:solidFill>
              </a:defRPr>
            </a:pPr>
            <a:r>
              <a:rPr lang="en-US" sz="1000">
                <a:effectLst/>
              </a:rPr>
              <a:t>under the PJSC “Lenenergo” investment program, km</a:t>
            </a:r>
            <a:endParaRPr lang="ru-RU" sz="1000"/>
          </a:p>
        </c:rich>
      </c:tx>
      <c:layout>
        <c:manualLayout>
          <c:xMode val="edge"/>
          <c:yMode val="edge"/>
          <c:x val="0.28405301403440275"/>
          <c:y val="1.8979833926453145E-2"/>
        </c:manualLayout>
      </c:layout>
      <c:overlay val="0"/>
    </c:title>
    <c:autoTitleDeleted val="0"/>
    <c:plotArea>
      <c:layout>
        <c:manualLayout>
          <c:layoutTarget val="inner"/>
          <c:xMode val="edge"/>
          <c:yMode val="edge"/>
          <c:x val="8.5818786540571304E-2"/>
          <c:y val="0.18346942051873671"/>
          <c:w val="0.82850182475327694"/>
          <c:h val="0.60021579806080427"/>
        </c:manualLayout>
      </c:layout>
      <c:barChart>
        <c:barDir val="col"/>
        <c:grouping val="stacked"/>
        <c:varyColors val="0"/>
        <c:ser>
          <c:idx val="0"/>
          <c:order val="0"/>
          <c:tx>
            <c:strRef>
              <c:f>Лист3!$A$61</c:f>
              <c:strCache>
                <c:ptCount val="1"/>
                <c:pt idx="0">
                  <c:v>Saint Petersburg</c:v>
                </c:pt>
              </c:strCache>
            </c:strRef>
          </c:tx>
          <c:invertIfNegative val="0"/>
          <c:dLbls>
            <c:dLbl>
              <c:idx val="2"/>
              <c:layout/>
              <c:tx>
                <c:rich>
                  <a:bodyPr/>
                  <a:lstStyle/>
                  <a:p>
                    <a:r>
                      <a:rPr lang="en-US"/>
                      <a:t>656</a:t>
                    </a:r>
                  </a:p>
                </c:rich>
              </c:tx>
              <c:dLblPos val="ctr"/>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177E-409C-B721-15D73B308F40}"/>
                </c:ext>
              </c:extLst>
            </c:dLbl>
            <c:spPr>
              <a:noFill/>
              <a:ln w="25379">
                <a:noFill/>
              </a:ln>
            </c:spPr>
            <c:txPr>
              <a:bodyPr/>
              <a:lstStyle/>
              <a:p>
                <a:pPr>
                  <a:defRPr b="0">
                    <a:solidFill>
                      <a:sysClr val="windowText" lastClr="000000"/>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Лист3!$B$60:$D$60</c:f>
              <c:numCache>
                <c:formatCode>General</c:formatCode>
                <c:ptCount val="3"/>
                <c:pt idx="0">
                  <c:v>2016</c:v>
                </c:pt>
                <c:pt idx="1">
                  <c:v>2017</c:v>
                </c:pt>
                <c:pt idx="2">
                  <c:v>2018</c:v>
                </c:pt>
              </c:numCache>
            </c:numRef>
          </c:cat>
          <c:val>
            <c:numRef>
              <c:f>Лист3!$B$61:$D$61</c:f>
              <c:numCache>
                <c:formatCode>General</c:formatCode>
                <c:ptCount val="3"/>
                <c:pt idx="0">
                  <c:v>528</c:v>
                </c:pt>
                <c:pt idx="1">
                  <c:v>684</c:v>
                </c:pt>
                <c:pt idx="2" formatCode="#,##0">
                  <c:v>655.98067999999989</c:v>
                </c:pt>
              </c:numCache>
            </c:numRef>
          </c:val>
          <c:extLst>
            <c:ext xmlns:c16="http://schemas.microsoft.com/office/drawing/2014/chart" uri="{C3380CC4-5D6E-409C-BE32-E72D297353CC}">
              <c16:uniqueId val="{00000001-177E-409C-B721-15D73B308F40}"/>
            </c:ext>
          </c:extLst>
        </c:ser>
        <c:ser>
          <c:idx val="1"/>
          <c:order val="1"/>
          <c:tx>
            <c:strRef>
              <c:f>Лист3!$A$62</c:f>
              <c:strCache>
                <c:ptCount val="1"/>
                <c:pt idx="0">
                  <c:v>Leningrad Region</c:v>
                </c:pt>
              </c:strCache>
            </c:strRef>
          </c:tx>
          <c:spPr>
            <a:solidFill>
              <a:srgbClr val="C3361F"/>
            </a:solidFill>
          </c:spPr>
          <c:invertIfNegative val="0"/>
          <c:dLbls>
            <c:dLbl>
              <c:idx val="2"/>
              <c:layout/>
              <c:tx>
                <c:rich>
                  <a:bodyPr/>
                  <a:lstStyle/>
                  <a:p>
                    <a:r>
                      <a:rPr lang="en-US"/>
                      <a:t>1 244</a:t>
                    </a:r>
                  </a:p>
                </c:rich>
              </c:tx>
              <c:dLblPos val="ctr"/>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177E-409C-B721-15D73B308F40}"/>
                </c:ext>
              </c:extLst>
            </c:dLbl>
            <c:spPr>
              <a:noFill/>
              <a:ln w="25379">
                <a:noFill/>
              </a:ln>
            </c:spPr>
            <c:txPr>
              <a:bodyPr/>
              <a:lstStyle/>
              <a:p>
                <a:pPr>
                  <a:defRPr b="0">
                    <a:solidFill>
                      <a:sysClr val="windowText" lastClr="000000"/>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Лист3!$B$60:$D$60</c:f>
              <c:numCache>
                <c:formatCode>General</c:formatCode>
                <c:ptCount val="3"/>
                <c:pt idx="0">
                  <c:v>2016</c:v>
                </c:pt>
                <c:pt idx="1">
                  <c:v>2017</c:v>
                </c:pt>
                <c:pt idx="2">
                  <c:v>2018</c:v>
                </c:pt>
              </c:numCache>
            </c:numRef>
          </c:cat>
          <c:val>
            <c:numRef>
              <c:f>Лист3!$B$62:$D$62</c:f>
              <c:numCache>
                <c:formatCode>#,##0</c:formatCode>
                <c:ptCount val="3"/>
                <c:pt idx="0" formatCode="General">
                  <c:v>1619</c:v>
                </c:pt>
                <c:pt idx="1">
                  <c:v>1452</c:v>
                </c:pt>
                <c:pt idx="2">
                  <c:v>1243.5560800000001</c:v>
                </c:pt>
              </c:numCache>
            </c:numRef>
          </c:val>
          <c:extLst>
            <c:ext xmlns:c16="http://schemas.microsoft.com/office/drawing/2014/chart" uri="{C3380CC4-5D6E-409C-BE32-E72D297353CC}">
              <c16:uniqueId val="{00000003-177E-409C-B721-15D73B308F40}"/>
            </c:ext>
          </c:extLst>
        </c:ser>
        <c:dLbls>
          <c:showLegendKey val="0"/>
          <c:showVal val="0"/>
          <c:showCatName val="0"/>
          <c:showSerName val="0"/>
          <c:showPercent val="0"/>
          <c:showBubbleSize val="0"/>
        </c:dLbls>
        <c:gapWidth val="150"/>
        <c:overlap val="100"/>
        <c:axId val="2081088768"/>
        <c:axId val="1"/>
      </c:barChart>
      <c:catAx>
        <c:axId val="2081088768"/>
        <c:scaling>
          <c:orientation val="minMax"/>
        </c:scaling>
        <c:delete val="0"/>
        <c:axPos val="b"/>
        <c:numFmt formatCode="General" sourceLinked="1"/>
        <c:majorTickMark val="out"/>
        <c:minorTickMark val="none"/>
        <c:tickLblPos val="nextTo"/>
        <c:txPr>
          <a:bodyPr/>
          <a:lstStyle/>
          <a:p>
            <a:pPr>
              <a:defRPr b="0">
                <a:solidFill>
                  <a:sysClr val="windowText" lastClr="000000"/>
                </a:solidFill>
              </a:defRPr>
            </a:pPr>
            <a:endParaRPr lang="en-US"/>
          </a:p>
        </c:txPr>
        <c:crossAx val="1"/>
        <c:crosses val="autoZero"/>
        <c:auto val="1"/>
        <c:lblAlgn val="ctr"/>
        <c:lblOffset val="100"/>
        <c:noMultiLvlLbl val="0"/>
      </c:catAx>
      <c:valAx>
        <c:axId val="1"/>
        <c:scaling>
          <c:orientation val="minMax"/>
        </c:scaling>
        <c:delete val="0"/>
        <c:axPos val="l"/>
        <c:numFmt formatCode="General" sourceLinked="1"/>
        <c:majorTickMark val="out"/>
        <c:minorTickMark val="none"/>
        <c:tickLblPos val="nextTo"/>
        <c:txPr>
          <a:bodyPr/>
          <a:lstStyle/>
          <a:p>
            <a:pPr>
              <a:defRPr b="0">
                <a:solidFill>
                  <a:sysClr val="windowText" lastClr="000000"/>
                </a:solidFill>
              </a:defRPr>
            </a:pPr>
            <a:endParaRPr lang="en-US"/>
          </a:p>
        </c:txPr>
        <c:crossAx val="2081088768"/>
        <c:crosses val="autoZero"/>
        <c:crossBetween val="between"/>
      </c:valAx>
      <c:spPr>
        <a:noFill/>
        <a:ln w="25379">
          <a:noFill/>
        </a:ln>
      </c:spPr>
    </c:plotArea>
    <c:legend>
      <c:legendPos val="b"/>
      <c:layout>
        <c:manualLayout>
          <c:xMode val="edge"/>
          <c:yMode val="edge"/>
          <c:x val="0.2809203555437923"/>
          <c:y val="0.91013084619035167"/>
          <c:w val="0.43815946536094746"/>
          <c:h val="5.7577360025568791E-2"/>
        </c:manualLayout>
      </c:layout>
      <c:overlay val="0"/>
      <c:txPr>
        <a:bodyPr/>
        <a:lstStyle/>
        <a:p>
          <a:pPr>
            <a:defRPr b="0">
              <a:solidFill>
                <a:sysClr val="windowText" lastClr="000000"/>
              </a:solidFill>
            </a:defRPr>
          </a:pPr>
          <a:endParaRPr lang="en-US"/>
        </a:p>
      </c:txPr>
    </c:legend>
    <c:plotVisOnly val="1"/>
    <c:dispBlanksAs val="gap"/>
    <c:showDLblsOverMax val="0"/>
  </c:chart>
  <c:spPr>
    <a:noFill/>
    <a:ln>
      <a:noFill/>
    </a:ln>
  </c:spPr>
  <c:txPr>
    <a:bodyPr/>
    <a:lstStyle/>
    <a:p>
      <a:pPr>
        <a:defRPr sz="999" b="1">
          <a:solidFill>
            <a:schemeClr val="bg1"/>
          </a:solidFill>
        </a:defRPr>
      </a:pPr>
      <a:endParaRPr lang="en-US"/>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tx>
            <c:strRef>
              <c:f>Лист1!$C$1</c:f>
              <c:strCache>
                <c:ptCount val="1"/>
                <c:pt idx="0">
                  <c:v>Продажи</c:v>
                </c:pt>
              </c:strCache>
            </c:strRef>
          </c:tx>
          <c:dPt>
            <c:idx val="0"/>
            <c:bubble3D val="0"/>
            <c:extLst>
              <c:ext xmlns:c16="http://schemas.microsoft.com/office/drawing/2014/chart" uri="{C3380CC4-5D6E-409C-BE32-E72D297353CC}">
                <c16:uniqueId val="{00000000-F5D8-4D03-B2D8-944C33A9C410}"/>
              </c:ext>
            </c:extLst>
          </c:dPt>
          <c:dPt>
            <c:idx val="1"/>
            <c:bubble3D val="0"/>
            <c:extLst>
              <c:ext xmlns:c16="http://schemas.microsoft.com/office/drawing/2014/chart" uri="{C3380CC4-5D6E-409C-BE32-E72D297353CC}">
                <c16:uniqueId val="{00000001-F5D8-4D03-B2D8-944C33A9C410}"/>
              </c:ext>
            </c:extLst>
          </c:dPt>
          <c:dPt>
            <c:idx val="2"/>
            <c:bubble3D val="0"/>
            <c:extLst>
              <c:ext xmlns:c16="http://schemas.microsoft.com/office/drawing/2014/chart" uri="{C3380CC4-5D6E-409C-BE32-E72D297353CC}">
                <c16:uniqueId val="{00000002-F5D8-4D03-B2D8-944C33A9C410}"/>
              </c:ext>
            </c:extLst>
          </c:dPt>
          <c:dPt>
            <c:idx val="3"/>
            <c:bubble3D val="0"/>
            <c:extLst>
              <c:ext xmlns:c16="http://schemas.microsoft.com/office/drawing/2014/chart" uri="{C3380CC4-5D6E-409C-BE32-E72D297353CC}">
                <c16:uniqueId val="{00000003-F5D8-4D03-B2D8-944C33A9C410}"/>
              </c:ext>
            </c:extLst>
          </c:dPt>
          <c:dPt>
            <c:idx val="4"/>
            <c:bubble3D val="0"/>
            <c:extLst>
              <c:ext xmlns:c16="http://schemas.microsoft.com/office/drawing/2014/chart" uri="{C3380CC4-5D6E-409C-BE32-E72D297353CC}">
                <c16:uniqueId val="{00000004-F5D8-4D03-B2D8-944C33A9C410}"/>
              </c:ext>
            </c:extLst>
          </c:dPt>
          <c:dPt>
            <c:idx val="5"/>
            <c:bubble3D val="0"/>
            <c:extLst>
              <c:ext xmlns:c16="http://schemas.microsoft.com/office/drawing/2014/chart" uri="{C3380CC4-5D6E-409C-BE32-E72D297353CC}">
                <c16:uniqueId val="{00000005-F5D8-4D03-B2D8-944C33A9C410}"/>
              </c:ext>
            </c:extLst>
          </c:dPt>
          <c:dLbls>
            <c:dLbl>
              <c:idx val="0"/>
              <c:layout>
                <c:manualLayout>
                  <c:x val="0.13695090439276486"/>
                  <c:y val="1.9536019536019536E-2"/>
                </c:manualLayout>
              </c:layout>
              <c:spPr>
                <a:noFill/>
                <a:ln w="19782">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F5D8-4D03-B2D8-944C33A9C410}"/>
                </c:ext>
              </c:extLst>
            </c:dLbl>
            <c:dLbl>
              <c:idx val="1"/>
              <c:layout>
                <c:manualLayout>
                  <c:x val="-9.0439276485788117E-2"/>
                  <c:y val="0.17582417582417584"/>
                </c:manualLayout>
              </c:layout>
              <c:spPr>
                <a:noFill/>
                <a:ln w="19782">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F5D8-4D03-B2D8-944C33A9C410}"/>
                </c:ext>
              </c:extLst>
            </c:dLbl>
            <c:dLbl>
              <c:idx val="2"/>
              <c:layout>
                <c:manualLayout>
                  <c:x val="-0.13436692506459952"/>
                  <c:y val="4.8840048840049291E-3"/>
                </c:manualLayout>
              </c:layout>
              <c:spPr>
                <a:noFill/>
                <a:ln w="19782">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F5D8-4D03-B2D8-944C33A9C410}"/>
                </c:ext>
              </c:extLst>
            </c:dLbl>
            <c:dLbl>
              <c:idx val="3"/>
              <c:layout>
                <c:manualLayout>
                  <c:x val="-0.10335917312661499"/>
                  <c:y val="-4.8840048840048882E-2"/>
                </c:manualLayout>
              </c:layout>
              <c:spPr>
                <a:noFill/>
                <a:ln w="19782">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F5D8-4D03-B2D8-944C33A9C410}"/>
                </c:ext>
              </c:extLst>
            </c:dLbl>
            <c:dLbl>
              <c:idx val="4"/>
              <c:delete val="1"/>
              <c:extLst>
                <c:ext xmlns:c15="http://schemas.microsoft.com/office/drawing/2012/chart" uri="{CE6537A1-D6FC-4f65-9D91-7224C49458BB}"/>
                <c:ext xmlns:c16="http://schemas.microsoft.com/office/drawing/2014/chart" uri="{C3380CC4-5D6E-409C-BE32-E72D297353CC}">
                  <c16:uniqueId val="{00000004-F5D8-4D03-B2D8-944C33A9C410}"/>
                </c:ext>
              </c:extLst>
            </c:dLbl>
            <c:dLbl>
              <c:idx val="5"/>
              <c:layout>
                <c:manualLayout>
                  <c:x val="-0.10335917312661498"/>
                  <c:y val="-8.7912087912087933E-2"/>
                </c:manualLayout>
              </c:layout>
              <c:spPr>
                <a:noFill/>
                <a:ln w="19782">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F5D8-4D03-B2D8-944C33A9C410}"/>
                </c:ext>
              </c:extLst>
            </c:dLbl>
            <c:spPr>
              <a:noFill/>
              <a:ln w="19782">
                <a:noFill/>
              </a:ln>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Лист1!$B$2:$B$7</c:f>
              <c:strCache>
                <c:ptCount val="6"/>
                <c:pt idx="0">
                  <c:v>Grid connection</c:v>
                </c:pt>
                <c:pt idx="1">
                  <c:v>Retrofitting and renovation</c:v>
                </c:pt>
                <c:pt idx="2">
                  <c:v>Long-term development patterns and programs</c:v>
                </c:pt>
                <c:pt idx="3">
                  <c:v>Other new construction</c:v>
                </c:pt>
                <c:pt idx="4">
                  <c:v>Покупка земельных участков</c:v>
                </c:pt>
                <c:pt idx="5">
                  <c:v>Other new construction</c:v>
                </c:pt>
              </c:strCache>
            </c:strRef>
          </c:cat>
          <c:val>
            <c:numRef>
              <c:f>Лист1!$C$2:$C$7</c:f>
              <c:numCache>
                <c:formatCode>#,##0</c:formatCode>
                <c:ptCount val="6"/>
                <c:pt idx="0">
                  <c:v>14518.177322853309</c:v>
                </c:pt>
                <c:pt idx="1">
                  <c:v>4895.1797229949716</c:v>
                </c:pt>
                <c:pt idx="2">
                  <c:v>1975.9566459531782</c:v>
                </c:pt>
                <c:pt idx="3">
                  <c:v>53.512235320000002</c:v>
                </c:pt>
                <c:pt idx="4">
                  <c:v>0</c:v>
                </c:pt>
                <c:pt idx="5">
                  <c:v>4506.1117833359986</c:v>
                </c:pt>
              </c:numCache>
            </c:numRef>
          </c:val>
          <c:extLst>
            <c:ext xmlns:c16="http://schemas.microsoft.com/office/drawing/2014/chart" uri="{C3380CC4-5D6E-409C-BE32-E72D297353CC}">
              <c16:uniqueId val="{00000006-F5D8-4D03-B2D8-944C33A9C410}"/>
            </c:ext>
          </c:extLst>
        </c:ser>
        <c:dLbls>
          <c:showLegendKey val="0"/>
          <c:showVal val="0"/>
          <c:showCatName val="0"/>
          <c:showSerName val="0"/>
          <c:showPercent val="0"/>
          <c:showBubbleSize val="0"/>
          <c:showLeaderLines val="0"/>
        </c:dLbls>
        <c:firstSliceAng val="0"/>
        <c:holeSize val="50"/>
      </c:doughnutChart>
      <c:spPr>
        <a:noFill/>
        <a:ln w="19782">
          <a:noFill/>
        </a:ln>
      </c:spPr>
    </c:plotArea>
    <c:legend>
      <c:legendPos val="r"/>
      <c:legendEntry>
        <c:idx val="4"/>
        <c:delete val="1"/>
      </c:legendEntry>
      <c:layout/>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79931393338296"/>
          <c:y val="3.3734216058813542E-2"/>
          <c:w val="0.48903532594533933"/>
          <c:h val="0.82778234810200979"/>
        </c:manualLayout>
      </c:layout>
      <c:barChart>
        <c:barDir val="col"/>
        <c:grouping val="stacked"/>
        <c:varyColors val="0"/>
        <c:ser>
          <c:idx val="1"/>
          <c:order val="0"/>
          <c:tx>
            <c:strRef>
              <c:f>'показатели баланса 2018'!$B$9</c:f>
              <c:strCache>
                <c:ptCount val="1"/>
                <c:pt idx="0">
                  <c:v>Saint Petersburg</c:v>
                </c:pt>
              </c:strCache>
            </c:strRef>
          </c:tx>
          <c:invertIfNegative val="0"/>
          <c:dLbls>
            <c:dLbl>
              <c:idx val="0"/>
              <c:layout/>
              <c:tx>
                <c:rich>
                  <a:bodyPr/>
                  <a:lstStyle/>
                  <a:p>
                    <a:r>
                      <a:rPr lang="en-US"/>
                      <a:t>18245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82E-4BC8-AB20-050B14595968}"/>
                </c:ext>
              </c:extLst>
            </c:dLbl>
            <c:dLbl>
              <c:idx val="1"/>
              <c:layout/>
              <c:tx>
                <c:rich>
                  <a:bodyPr/>
                  <a:lstStyle/>
                  <a:p>
                    <a:r>
                      <a:rPr lang="en-US"/>
                      <a:t>18657</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82E-4BC8-AB20-050B14595968}"/>
                </c:ext>
              </c:extLst>
            </c:dLbl>
            <c:dLbl>
              <c:idx val="2"/>
              <c:layout/>
              <c:tx>
                <c:rich>
                  <a:bodyPr/>
                  <a:lstStyle/>
                  <a:p>
                    <a:r>
                      <a:rPr lang="en-US"/>
                      <a:t>19164</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82E-4BC8-AB20-050B14595968}"/>
                </c:ext>
              </c:extLst>
            </c:dLbl>
            <c:spPr>
              <a:noFill/>
              <a:ln w="2538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'показатели баланса 2018'!$F$5:$H$6</c:f>
              <c:strCache>
                <c:ptCount val="3"/>
                <c:pt idx="0">
                  <c:v>2016</c:v>
                </c:pt>
                <c:pt idx="1">
                  <c:v>2017</c:v>
                </c:pt>
                <c:pt idx="2">
                  <c:v>2018</c:v>
                </c:pt>
              </c:strCache>
            </c:strRef>
          </c:cat>
          <c:val>
            <c:numRef>
              <c:f>'показатели баланса 2018'!$C$18:$E$18</c:f>
              <c:numCache>
                <c:formatCode>General</c:formatCode>
                <c:ptCount val="3"/>
                <c:pt idx="0">
                  <c:v>18244.676588100003</c:v>
                </c:pt>
                <c:pt idx="1">
                  <c:v>18657.121104399997</c:v>
                </c:pt>
                <c:pt idx="2">
                  <c:v>19164.169949706727</c:v>
                </c:pt>
              </c:numCache>
            </c:numRef>
          </c:val>
          <c:extLst>
            <c:ext xmlns:c16="http://schemas.microsoft.com/office/drawing/2014/chart" uri="{C3380CC4-5D6E-409C-BE32-E72D297353CC}">
              <c16:uniqueId val="{00000000-F9AD-4D6E-A14B-3075C8601CDE}"/>
            </c:ext>
          </c:extLst>
        </c:ser>
        <c:ser>
          <c:idx val="2"/>
          <c:order val="1"/>
          <c:tx>
            <c:strRef>
              <c:f>'показатели баланса 2018'!$B$10</c:f>
              <c:strCache>
                <c:ptCount val="1"/>
                <c:pt idx="0">
                  <c:v>Leningrad Region</c:v>
                </c:pt>
              </c:strCache>
            </c:strRef>
          </c:tx>
          <c:invertIfNegative val="0"/>
          <c:dLbls>
            <c:dLbl>
              <c:idx val="0"/>
              <c:layout/>
              <c:tx>
                <c:rich>
                  <a:bodyPr/>
                  <a:lstStyle/>
                  <a:p>
                    <a:r>
                      <a:rPr lang="en-US"/>
                      <a:t>10763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82E-4BC8-AB20-050B14595968}"/>
                </c:ext>
              </c:extLst>
            </c:dLbl>
            <c:dLbl>
              <c:idx val="1"/>
              <c:layout/>
              <c:tx>
                <c:rich>
                  <a:bodyPr/>
                  <a:lstStyle/>
                  <a:p>
                    <a:r>
                      <a:rPr lang="en-US"/>
                      <a:t>11012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82E-4BC8-AB20-050B14595968}"/>
                </c:ext>
              </c:extLst>
            </c:dLbl>
            <c:dLbl>
              <c:idx val="2"/>
              <c:layout/>
              <c:tx>
                <c:rich>
                  <a:bodyPr/>
                  <a:lstStyle/>
                  <a:p>
                    <a:r>
                      <a:rPr lang="en-US"/>
                      <a:t>11396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82E-4BC8-AB20-050B14595968}"/>
                </c:ext>
              </c:extLst>
            </c:dLbl>
            <c:spPr>
              <a:noFill/>
              <a:ln w="2538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'показатели баланса 2018'!$F$5:$H$6</c:f>
              <c:strCache>
                <c:ptCount val="3"/>
                <c:pt idx="0">
                  <c:v>2016</c:v>
                </c:pt>
                <c:pt idx="1">
                  <c:v>2017</c:v>
                </c:pt>
                <c:pt idx="2">
                  <c:v>2018</c:v>
                </c:pt>
              </c:strCache>
            </c:strRef>
          </c:cat>
          <c:val>
            <c:numRef>
              <c:f>'показатели баланса 2018'!$C$19:$E$19</c:f>
              <c:numCache>
                <c:formatCode>General</c:formatCode>
                <c:ptCount val="3"/>
                <c:pt idx="0">
                  <c:v>10762.697491000001</c:v>
                </c:pt>
                <c:pt idx="1">
                  <c:v>11011.578753999996</c:v>
                </c:pt>
                <c:pt idx="2">
                  <c:v>11396.115515</c:v>
                </c:pt>
              </c:numCache>
            </c:numRef>
          </c:val>
          <c:extLst>
            <c:ext xmlns:c16="http://schemas.microsoft.com/office/drawing/2014/chart" uri="{C3380CC4-5D6E-409C-BE32-E72D297353CC}">
              <c16:uniqueId val="{00000001-F9AD-4D6E-A14B-3075C8601CDE}"/>
            </c:ext>
          </c:extLst>
        </c:ser>
        <c:dLbls>
          <c:showLegendKey val="0"/>
          <c:showVal val="0"/>
          <c:showCatName val="0"/>
          <c:showSerName val="0"/>
          <c:showPercent val="0"/>
          <c:showBubbleSize val="0"/>
        </c:dLbls>
        <c:gapWidth val="55"/>
        <c:overlap val="100"/>
        <c:axId val="2083564240"/>
        <c:axId val="1"/>
      </c:barChart>
      <c:catAx>
        <c:axId val="2083564240"/>
        <c:scaling>
          <c:orientation val="minMax"/>
        </c:scaling>
        <c:delete val="0"/>
        <c:axPos val="b"/>
        <c:numFmt formatCode="\О\с\н\о\в\н\о\й" sourceLinked="0"/>
        <c:majorTickMark val="none"/>
        <c:minorTickMark val="none"/>
        <c:tickLblPos val="nextTo"/>
        <c:crossAx val="1"/>
        <c:crosses val="autoZero"/>
        <c:auto val="1"/>
        <c:lblAlgn val="ctr"/>
        <c:lblOffset val="100"/>
        <c:noMultiLvlLbl val="0"/>
      </c:catAx>
      <c:valAx>
        <c:axId val="1"/>
        <c:scaling>
          <c:orientation val="minMax"/>
          <c:max val="30000"/>
          <c:min val="5000"/>
        </c:scaling>
        <c:delete val="0"/>
        <c:axPos val="l"/>
        <c:majorGridlines/>
        <c:numFmt formatCode="General" sourceLinked="1"/>
        <c:majorTickMark val="none"/>
        <c:minorTickMark val="none"/>
        <c:tickLblPos val="nextTo"/>
        <c:crossAx val="2083564240"/>
        <c:crosses val="autoZero"/>
        <c:crossBetween val="between"/>
      </c:valAx>
    </c:plotArea>
    <c:legend>
      <c:legendPos val="r"/>
      <c:layout/>
      <c:overlay val="0"/>
    </c:legend>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sz="959" b="1" i="0" u="none" strike="noStrike" baseline="0">
                <a:solidFill>
                  <a:schemeClr val="tx1"/>
                </a:solidFill>
                <a:effectLst/>
              </a:rPr>
              <a:t>CAPEX by activities under the PJSC “Lenenergo” investment program, RUB million</a:t>
            </a:r>
            <a:endParaRPr lang="ru-RU">
              <a:solidFill>
                <a:schemeClr val="tx1"/>
              </a:solidFill>
            </a:endParaRPr>
          </a:p>
        </c:rich>
      </c:tx>
      <c:layout>
        <c:manualLayout>
          <c:xMode val="edge"/>
          <c:yMode val="edge"/>
          <c:x val="0.13800695922781639"/>
          <c:y val="1.3420599495126804E-2"/>
        </c:manualLayout>
      </c:layout>
      <c:overlay val="0"/>
    </c:title>
    <c:autoTitleDeleted val="0"/>
    <c:plotArea>
      <c:layout>
        <c:manualLayout>
          <c:layoutTarget val="inner"/>
          <c:xMode val="edge"/>
          <c:yMode val="edge"/>
          <c:x val="8.5407359794311424E-2"/>
          <c:y val="0.149899874171015"/>
          <c:w val="0.87482478668661046"/>
          <c:h val="0.56221415158881494"/>
        </c:manualLayout>
      </c:layout>
      <c:barChart>
        <c:barDir val="col"/>
        <c:grouping val="stacked"/>
        <c:varyColors val="0"/>
        <c:ser>
          <c:idx val="0"/>
          <c:order val="0"/>
          <c:tx>
            <c:strRef>
              <c:f>Лист2!$C$22</c:f>
              <c:strCache>
                <c:ptCount val="1"/>
                <c:pt idx="0">
                  <c:v>Retrofitting and renovation</c:v>
                </c:pt>
              </c:strCache>
            </c:strRef>
          </c:tx>
          <c:invertIfNegative val="0"/>
          <c:dLbls>
            <c:spPr>
              <a:noFill/>
              <a:ln w="25372">
                <a:noFill/>
              </a:ln>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Лист2!$D$21:$E$21</c:f>
              <c:strCache>
                <c:ptCount val="2"/>
                <c:pt idx="0">
                  <c:v>2019 plan</c:v>
                </c:pt>
                <c:pt idx="1">
                  <c:v>2020 plan</c:v>
                </c:pt>
              </c:strCache>
            </c:strRef>
          </c:cat>
          <c:val>
            <c:numRef>
              <c:f>Лист2!$D$22:$E$22</c:f>
              <c:numCache>
                <c:formatCode>#,##0</c:formatCode>
                <c:ptCount val="2"/>
                <c:pt idx="0">
                  <c:v>9266.5883122055438</c:v>
                </c:pt>
                <c:pt idx="1">
                  <c:v>6438.7222196496696</c:v>
                </c:pt>
              </c:numCache>
            </c:numRef>
          </c:val>
          <c:extLst>
            <c:ext xmlns:c16="http://schemas.microsoft.com/office/drawing/2014/chart" uri="{C3380CC4-5D6E-409C-BE32-E72D297353CC}">
              <c16:uniqueId val="{00000000-77B9-4F4B-8ED6-2A1DAAE1C989}"/>
            </c:ext>
          </c:extLst>
        </c:ser>
        <c:ser>
          <c:idx val="1"/>
          <c:order val="1"/>
          <c:tx>
            <c:strRef>
              <c:f>Лист2!$C$23</c:f>
              <c:strCache>
                <c:ptCount val="1"/>
                <c:pt idx="0">
                  <c:v>New construction</c:v>
                </c:pt>
              </c:strCache>
            </c:strRef>
          </c:tx>
          <c:invertIfNegative val="0"/>
          <c:dLbls>
            <c:spPr>
              <a:noFill/>
              <a:ln w="25372">
                <a:noFill/>
              </a:ln>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Лист2!$D$21:$E$21</c:f>
              <c:strCache>
                <c:ptCount val="2"/>
                <c:pt idx="0">
                  <c:v>2019 plan</c:v>
                </c:pt>
                <c:pt idx="1">
                  <c:v>2020 plan</c:v>
                </c:pt>
              </c:strCache>
            </c:strRef>
          </c:cat>
          <c:val>
            <c:numRef>
              <c:f>Лист2!$D$23:$E$23</c:f>
              <c:numCache>
                <c:formatCode>#,##0</c:formatCode>
                <c:ptCount val="2"/>
                <c:pt idx="0">
                  <c:v>19029.397139487577</c:v>
                </c:pt>
                <c:pt idx="1">
                  <c:v>10932.355810730365</c:v>
                </c:pt>
              </c:numCache>
            </c:numRef>
          </c:val>
          <c:extLst>
            <c:ext xmlns:c16="http://schemas.microsoft.com/office/drawing/2014/chart" uri="{C3380CC4-5D6E-409C-BE32-E72D297353CC}">
              <c16:uniqueId val="{00000001-77B9-4F4B-8ED6-2A1DAAE1C989}"/>
            </c:ext>
          </c:extLst>
        </c:ser>
        <c:dLbls>
          <c:showLegendKey val="0"/>
          <c:showVal val="0"/>
          <c:showCatName val="0"/>
          <c:showSerName val="0"/>
          <c:showPercent val="0"/>
          <c:showBubbleSize val="0"/>
        </c:dLbls>
        <c:gapWidth val="150"/>
        <c:overlap val="100"/>
        <c:axId val="2079044688"/>
        <c:axId val="1"/>
      </c:barChart>
      <c:catAx>
        <c:axId val="2079044688"/>
        <c:scaling>
          <c:orientation val="minMax"/>
        </c:scaling>
        <c:delete val="0"/>
        <c:axPos val="b"/>
        <c:numFmt formatCode="General" sourceLinked="1"/>
        <c:majorTickMark val="out"/>
        <c:minorTickMark val="none"/>
        <c:tickLblPos val="nextTo"/>
        <c:txPr>
          <a:bodyPr/>
          <a:lstStyle/>
          <a:p>
            <a:pPr>
              <a:defRPr>
                <a:solidFill>
                  <a:sysClr val="windowText" lastClr="000000"/>
                </a:solidFill>
              </a:defRPr>
            </a:pPr>
            <a:endParaRPr lang="en-US"/>
          </a:p>
        </c:txPr>
        <c:crossAx val="1"/>
        <c:crosses val="autoZero"/>
        <c:auto val="1"/>
        <c:lblAlgn val="ctr"/>
        <c:lblOffset val="100"/>
        <c:noMultiLvlLbl val="0"/>
      </c:catAx>
      <c:valAx>
        <c:axId val="1"/>
        <c:scaling>
          <c:orientation val="minMax"/>
        </c:scaling>
        <c:delete val="0"/>
        <c:axPos val="l"/>
        <c:numFmt formatCode="#,##0" sourceLinked="1"/>
        <c:majorTickMark val="out"/>
        <c:minorTickMark val="none"/>
        <c:tickLblPos val="nextTo"/>
        <c:txPr>
          <a:bodyPr/>
          <a:lstStyle/>
          <a:p>
            <a:pPr>
              <a:defRPr>
                <a:solidFill>
                  <a:sysClr val="windowText" lastClr="000000"/>
                </a:solidFill>
              </a:defRPr>
            </a:pPr>
            <a:endParaRPr lang="en-US"/>
          </a:p>
        </c:txPr>
        <c:crossAx val="2079044688"/>
        <c:crosses val="autoZero"/>
        <c:crossBetween val="between"/>
      </c:valAx>
      <c:spPr>
        <a:noFill/>
        <a:ln w="25372">
          <a:noFill/>
        </a:ln>
      </c:spPr>
    </c:plotArea>
    <c:legend>
      <c:legendPos val="b"/>
      <c:layout>
        <c:manualLayout>
          <c:xMode val="edge"/>
          <c:yMode val="edge"/>
          <c:x val="0.20774470442344076"/>
          <c:y val="0.85172547875959947"/>
          <c:w val="0.62055410239335407"/>
          <c:h val="7.1332898674289935E-2"/>
        </c:manualLayout>
      </c:layout>
      <c:overlay val="0"/>
      <c:txPr>
        <a:bodyPr/>
        <a:lstStyle/>
        <a:p>
          <a:pPr>
            <a:defRPr sz="999">
              <a:solidFill>
                <a:sysClr val="windowText" lastClr="000000"/>
              </a:solidFill>
            </a:defRPr>
          </a:pPr>
          <a:endParaRPr lang="en-US"/>
        </a:p>
      </c:txPr>
    </c:legend>
    <c:plotVisOnly val="1"/>
    <c:dispBlanksAs val="gap"/>
    <c:showDLblsOverMax val="0"/>
  </c:chart>
  <c:spPr>
    <a:noFill/>
    <a:ln>
      <a:noFill/>
    </a:ln>
  </c:spPr>
  <c:txPr>
    <a:bodyPr/>
    <a:lstStyle/>
    <a:p>
      <a:pPr>
        <a:defRPr sz="799" b="1">
          <a:solidFill>
            <a:schemeClr val="bg1"/>
          </a:solidFill>
        </a:defRPr>
      </a:pPr>
      <a:endParaRPr lang="en-US"/>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1000" b="1">
                <a:solidFill>
                  <a:sysClr val="windowText" lastClr="000000"/>
                </a:solidFill>
              </a:defRPr>
            </a:pPr>
            <a:r>
              <a:rPr lang="en-US" sz="1000" b="1" i="0" u="none" strike="noStrike" baseline="0">
                <a:effectLst/>
              </a:rPr>
              <a:t>Changes in capacity commissioning under the investment program of PJSC “Lenenergo”, MVA</a:t>
            </a:r>
            <a:endParaRPr lang="ru-RU"/>
          </a:p>
        </c:rich>
      </c:tx>
      <c:layout>
        <c:manualLayout>
          <c:xMode val="edge"/>
          <c:yMode val="edge"/>
          <c:x val="0.14769230769230771"/>
          <c:y val="4.1176114581224658E-2"/>
        </c:manualLayout>
      </c:layout>
      <c:overlay val="0"/>
    </c:title>
    <c:autoTitleDeleted val="0"/>
    <c:plotArea>
      <c:layout>
        <c:manualLayout>
          <c:layoutTarget val="inner"/>
          <c:xMode val="edge"/>
          <c:yMode val="edge"/>
          <c:x val="0.10128035070884957"/>
          <c:y val="0.21191878641947515"/>
          <c:w val="0.80863096368273113"/>
          <c:h val="0.5717663918664071"/>
        </c:manualLayout>
      </c:layout>
      <c:barChart>
        <c:barDir val="col"/>
        <c:grouping val="stacked"/>
        <c:varyColors val="0"/>
        <c:ser>
          <c:idx val="0"/>
          <c:order val="0"/>
          <c:tx>
            <c:strRef>
              <c:f>Лист2!$B$42:$C$42</c:f>
              <c:strCache>
                <c:ptCount val="2"/>
                <c:pt idx="0">
                  <c:v>Saint Petersburg</c:v>
                </c:pt>
              </c:strCache>
            </c:strRef>
          </c:tx>
          <c:invertIfNegative val="0"/>
          <c:dLbls>
            <c:spPr>
              <a:noFill/>
              <a:ln w="25410">
                <a:noFill/>
              </a:ln>
            </c:spPr>
            <c:txPr>
              <a:bodyPr/>
              <a:lstStyle/>
              <a:p>
                <a:pPr>
                  <a:defRPr b="0">
                    <a:solidFill>
                      <a:sysClr val="windowText" lastClr="000000"/>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Лист2!$D$41:$E$41</c:f>
              <c:numCache>
                <c:formatCode>General</c:formatCode>
                <c:ptCount val="2"/>
                <c:pt idx="0">
                  <c:v>2019</c:v>
                </c:pt>
                <c:pt idx="1">
                  <c:v>2020</c:v>
                </c:pt>
              </c:numCache>
            </c:numRef>
          </c:cat>
          <c:val>
            <c:numRef>
              <c:f>Лист2!$D$42:$E$42</c:f>
              <c:numCache>
                <c:formatCode>0</c:formatCode>
                <c:ptCount val="2"/>
                <c:pt idx="0">
                  <c:v>1770.6089062028755</c:v>
                </c:pt>
                <c:pt idx="1">
                  <c:v>1073.1033729881315</c:v>
                </c:pt>
              </c:numCache>
            </c:numRef>
          </c:val>
          <c:extLst>
            <c:ext xmlns:c16="http://schemas.microsoft.com/office/drawing/2014/chart" uri="{C3380CC4-5D6E-409C-BE32-E72D297353CC}">
              <c16:uniqueId val="{00000000-0A39-4B3F-85A6-1C327F6A5692}"/>
            </c:ext>
          </c:extLst>
        </c:ser>
        <c:ser>
          <c:idx val="1"/>
          <c:order val="1"/>
          <c:tx>
            <c:strRef>
              <c:f>Лист2!$B$43:$C$43</c:f>
              <c:strCache>
                <c:ptCount val="2"/>
                <c:pt idx="0">
                  <c:v>Leningrad Region</c:v>
                </c:pt>
              </c:strCache>
            </c:strRef>
          </c:tx>
          <c:spPr>
            <a:solidFill>
              <a:srgbClr val="C0504D"/>
            </a:solidFill>
          </c:spPr>
          <c:invertIfNegative val="0"/>
          <c:dLbls>
            <c:spPr>
              <a:noFill/>
              <a:ln w="25410">
                <a:noFill/>
              </a:ln>
            </c:spPr>
            <c:txPr>
              <a:bodyPr/>
              <a:lstStyle/>
              <a:p>
                <a:pPr>
                  <a:defRPr b="0" baseline="0">
                    <a:solidFill>
                      <a:schemeClr val="tx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Лист2!$D$41:$E$41</c:f>
              <c:numCache>
                <c:formatCode>General</c:formatCode>
                <c:ptCount val="2"/>
                <c:pt idx="0">
                  <c:v>2019</c:v>
                </c:pt>
                <c:pt idx="1">
                  <c:v>2020</c:v>
                </c:pt>
              </c:numCache>
            </c:numRef>
          </c:cat>
          <c:val>
            <c:numRef>
              <c:f>Лист2!$D$43:$E$43</c:f>
              <c:numCache>
                <c:formatCode>0</c:formatCode>
                <c:ptCount val="2"/>
                <c:pt idx="0">
                  <c:v>341.75</c:v>
                </c:pt>
                <c:pt idx="1">
                  <c:v>210.69</c:v>
                </c:pt>
              </c:numCache>
            </c:numRef>
          </c:val>
          <c:extLst>
            <c:ext xmlns:c16="http://schemas.microsoft.com/office/drawing/2014/chart" uri="{C3380CC4-5D6E-409C-BE32-E72D297353CC}">
              <c16:uniqueId val="{00000001-0A39-4B3F-85A6-1C327F6A5692}"/>
            </c:ext>
          </c:extLst>
        </c:ser>
        <c:dLbls>
          <c:showLegendKey val="0"/>
          <c:showVal val="0"/>
          <c:showCatName val="0"/>
          <c:showSerName val="0"/>
          <c:showPercent val="0"/>
          <c:showBubbleSize val="0"/>
        </c:dLbls>
        <c:gapWidth val="150"/>
        <c:overlap val="100"/>
        <c:axId val="2079221488"/>
        <c:axId val="1"/>
      </c:barChart>
      <c:catAx>
        <c:axId val="2079221488"/>
        <c:scaling>
          <c:orientation val="minMax"/>
        </c:scaling>
        <c:delete val="0"/>
        <c:axPos val="b"/>
        <c:numFmt formatCode="General" sourceLinked="1"/>
        <c:majorTickMark val="out"/>
        <c:minorTickMark val="none"/>
        <c:tickLblPos val="nextTo"/>
        <c:txPr>
          <a:bodyPr/>
          <a:lstStyle/>
          <a:p>
            <a:pPr>
              <a:defRPr b="0">
                <a:solidFill>
                  <a:sysClr val="windowText" lastClr="000000"/>
                </a:solidFill>
              </a:defRPr>
            </a:pPr>
            <a:endParaRPr lang="en-US"/>
          </a:p>
        </c:txPr>
        <c:crossAx val="1"/>
        <c:crosses val="autoZero"/>
        <c:auto val="1"/>
        <c:lblAlgn val="ctr"/>
        <c:lblOffset val="100"/>
        <c:noMultiLvlLbl val="0"/>
      </c:catAx>
      <c:valAx>
        <c:axId val="1"/>
        <c:scaling>
          <c:orientation val="minMax"/>
        </c:scaling>
        <c:delete val="0"/>
        <c:axPos val="l"/>
        <c:numFmt formatCode="0" sourceLinked="1"/>
        <c:majorTickMark val="out"/>
        <c:minorTickMark val="none"/>
        <c:tickLblPos val="nextTo"/>
        <c:txPr>
          <a:bodyPr/>
          <a:lstStyle/>
          <a:p>
            <a:pPr>
              <a:defRPr b="0">
                <a:solidFill>
                  <a:sysClr val="windowText" lastClr="000000"/>
                </a:solidFill>
              </a:defRPr>
            </a:pPr>
            <a:endParaRPr lang="en-US"/>
          </a:p>
        </c:txPr>
        <c:crossAx val="2079221488"/>
        <c:crosses val="autoZero"/>
        <c:crossBetween val="between"/>
      </c:valAx>
      <c:spPr>
        <a:noFill/>
        <a:ln w="25410">
          <a:noFill/>
        </a:ln>
      </c:spPr>
    </c:plotArea>
    <c:legend>
      <c:legendPos val="b"/>
      <c:layout>
        <c:manualLayout>
          <c:xMode val="edge"/>
          <c:yMode val="edge"/>
          <c:x val="0.27449981618747171"/>
          <c:y val="0.91403927206194668"/>
          <c:w val="0.42153701471355171"/>
          <c:h val="8.5960727938053316E-2"/>
        </c:manualLayout>
      </c:layout>
      <c:overlay val="0"/>
      <c:txPr>
        <a:bodyPr/>
        <a:lstStyle/>
        <a:p>
          <a:pPr>
            <a:defRPr b="0">
              <a:solidFill>
                <a:sysClr val="windowText" lastClr="000000"/>
              </a:solidFill>
            </a:defRPr>
          </a:pPr>
          <a:endParaRPr lang="en-US"/>
        </a:p>
      </c:txPr>
    </c:legend>
    <c:plotVisOnly val="1"/>
    <c:dispBlanksAs val="gap"/>
    <c:showDLblsOverMax val="0"/>
  </c:chart>
  <c:spPr>
    <a:noFill/>
    <a:ln>
      <a:noFill/>
    </a:ln>
  </c:spPr>
  <c:txPr>
    <a:bodyPr/>
    <a:lstStyle/>
    <a:p>
      <a:pPr>
        <a:defRPr sz="1000" b="1">
          <a:solidFill>
            <a:schemeClr val="bg1"/>
          </a:solidFill>
        </a:defRPr>
      </a:pPr>
      <a:endParaRPr lang="en-US"/>
    </a:p>
  </c:txPr>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1000" b="1">
                <a:solidFill>
                  <a:sysClr val="windowText" lastClr="000000"/>
                </a:solidFill>
              </a:defRPr>
            </a:pPr>
            <a:r>
              <a:rPr lang="en-US" sz="1000" b="1" i="0" u="none" strike="noStrike" baseline="0">
                <a:effectLst/>
              </a:rPr>
              <a:t>Changes in capacity commissioning under the investment program of PJSC “Lenenergo”, km</a:t>
            </a:r>
            <a:endParaRPr lang="ru-RU"/>
          </a:p>
        </c:rich>
      </c:tx>
      <c:layout>
        <c:manualLayout>
          <c:xMode val="edge"/>
          <c:yMode val="edge"/>
          <c:x val="0.12780925906126375"/>
          <c:y val="9.6155768746275933E-3"/>
        </c:manualLayout>
      </c:layout>
      <c:overlay val="0"/>
    </c:title>
    <c:autoTitleDeleted val="0"/>
    <c:plotArea>
      <c:layout>
        <c:manualLayout>
          <c:layoutTarget val="inner"/>
          <c:xMode val="edge"/>
          <c:yMode val="edge"/>
          <c:x val="8.140957790112302E-2"/>
          <c:y val="0.21191885129141266"/>
          <c:w val="0.82850182475327694"/>
          <c:h val="0.5717663918664071"/>
        </c:manualLayout>
      </c:layout>
      <c:barChart>
        <c:barDir val="col"/>
        <c:grouping val="stacked"/>
        <c:varyColors val="0"/>
        <c:ser>
          <c:idx val="0"/>
          <c:order val="0"/>
          <c:tx>
            <c:strRef>
              <c:f>Лист2!$B$63:$C$63</c:f>
              <c:strCache>
                <c:ptCount val="2"/>
                <c:pt idx="0">
                  <c:v>Saint Petersburg</c:v>
                </c:pt>
              </c:strCache>
            </c:strRef>
          </c:tx>
          <c:invertIfNegative val="0"/>
          <c:dLbls>
            <c:spPr>
              <a:noFill/>
              <a:ln w="25391">
                <a:noFill/>
              </a:ln>
            </c:spPr>
            <c:txPr>
              <a:bodyPr/>
              <a:lstStyle/>
              <a:p>
                <a:pPr>
                  <a:defRPr b="0">
                    <a:solidFill>
                      <a:sysClr val="windowText" lastClr="000000"/>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Лист2!$D$62:$E$62</c:f>
              <c:numCache>
                <c:formatCode>General</c:formatCode>
                <c:ptCount val="2"/>
                <c:pt idx="0">
                  <c:v>2019</c:v>
                </c:pt>
                <c:pt idx="1">
                  <c:v>2020</c:v>
                </c:pt>
              </c:numCache>
            </c:numRef>
          </c:cat>
          <c:val>
            <c:numRef>
              <c:f>Лист2!$D$63:$E$63</c:f>
              <c:numCache>
                <c:formatCode>0</c:formatCode>
                <c:ptCount val="2"/>
                <c:pt idx="0">
                  <c:v>588.90631732253075</c:v>
                </c:pt>
                <c:pt idx="1">
                  <c:v>128.83562073677277</c:v>
                </c:pt>
              </c:numCache>
            </c:numRef>
          </c:val>
          <c:extLst>
            <c:ext xmlns:c16="http://schemas.microsoft.com/office/drawing/2014/chart" uri="{C3380CC4-5D6E-409C-BE32-E72D297353CC}">
              <c16:uniqueId val="{00000000-4F46-40D5-A197-E1EC7B852348}"/>
            </c:ext>
          </c:extLst>
        </c:ser>
        <c:ser>
          <c:idx val="1"/>
          <c:order val="1"/>
          <c:tx>
            <c:strRef>
              <c:f>Лист2!$B$64:$C$64</c:f>
              <c:strCache>
                <c:ptCount val="2"/>
                <c:pt idx="0">
                  <c:v>Leningrad Region</c:v>
                </c:pt>
              </c:strCache>
            </c:strRef>
          </c:tx>
          <c:spPr>
            <a:solidFill>
              <a:srgbClr val="C3361F"/>
            </a:solidFill>
          </c:spPr>
          <c:invertIfNegative val="0"/>
          <c:dLbls>
            <c:spPr>
              <a:noFill/>
              <a:ln w="25391">
                <a:noFill/>
              </a:ln>
            </c:spPr>
            <c:txPr>
              <a:bodyPr/>
              <a:lstStyle/>
              <a:p>
                <a:pPr>
                  <a:defRPr b="0">
                    <a:solidFill>
                      <a:sysClr val="windowText" lastClr="000000"/>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Лист2!$D$62:$E$62</c:f>
              <c:numCache>
                <c:formatCode>General</c:formatCode>
                <c:ptCount val="2"/>
                <c:pt idx="0">
                  <c:v>2019</c:v>
                </c:pt>
                <c:pt idx="1">
                  <c:v>2020</c:v>
                </c:pt>
              </c:numCache>
            </c:numRef>
          </c:cat>
          <c:val>
            <c:numRef>
              <c:f>Лист2!$D$64:$E$64</c:f>
              <c:numCache>
                <c:formatCode>0</c:formatCode>
                <c:ptCount val="2"/>
                <c:pt idx="0">
                  <c:v>459.55782962791693</c:v>
                </c:pt>
                <c:pt idx="1">
                  <c:v>452.97198039653296</c:v>
                </c:pt>
              </c:numCache>
            </c:numRef>
          </c:val>
          <c:extLst>
            <c:ext xmlns:c16="http://schemas.microsoft.com/office/drawing/2014/chart" uri="{C3380CC4-5D6E-409C-BE32-E72D297353CC}">
              <c16:uniqueId val="{00000001-4F46-40D5-A197-E1EC7B852348}"/>
            </c:ext>
          </c:extLst>
        </c:ser>
        <c:dLbls>
          <c:showLegendKey val="0"/>
          <c:showVal val="0"/>
          <c:showCatName val="0"/>
          <c:showSerName val="0"/>
          <c:showPercent val="0"/>
          <c:showBubbleSize val="0"/>
        </c:dLbls>
        <c:gapWidth val="150"/>
        <c:overlap val="100"/>
        <c:axId val="2079139952"/>
        <c:axId val="1"/>
      </c:barChart>
      <c:catAx>
        <c:axId val="2079139952"/>
        <c:scaling>
          <c:orientation val="minMax"/>
        </c:scaling>
        <c:delete val="0"/>
        <c:axPos val="b"/>
        <c:numFmt formatCode="General" sourceLinked="1"/>
        <c:majorTickMark val="out"/>
        <c:minorTickMark val="none"/>
        <c:tickLblPos val="nextTo"/>
        <c:txPr>
          <a:bodyPr/>
          <a:lstStyle/>
          <a:p>
            <a:pPr>
              <a:defRPr b="0">
                <a:solidFill>
                  <a:sysClr val="windowText" lastClr="000000"/>
                </a:solidFill>
              </a:defRPr>
            </a:pPr>
            <a:endParaRPr lang="en-US"/>
          </a:p>
        </c:txPr>
        <c:crossAx val="1"/>
        <c:crosses val="autoZero"/>
        <c:auto val="1"/>
        <c:lblAlgn val="ctr"/>
        <c:lblOffset val="100"/>
        <c:noMultiLvlLbl val="0"/>
      </c:catAx>
      <c:valAx>
        <c:axId val="1"/>
        <c:scaling>
          <c:orientation val="minMax"/>
        </c:scaling>
        <c:delete val="0"/>
        <c:axPos val="l"/>
        <c:numFmt formatCode="0" sourceLinked="1"/>
        <c:majorTickMark val="out"/>
        <c:minorTickMark val="none"/>
        <c:tickLblPos val="nextTo"/>
        <c:txPr>
          <a:bodyPr/>
          <a:lstStyle/>
          <a:p>
            <a:pPr>
              <a:defRPr b="0">
                <a:solidFill>
                  <a:sysClr val="windowText" lastClr="000000"/>
                </a:solidFill>
              </a:defRPr>
            </a:pPr>
            <a:endParaRPr lang="en-US"/>
          </a:p>
        </c:txPr>
        <c:crossAx val="2079139952"/>
        <c:crosses val="autoZero"/>
        <c:crossBetween val="between"/>
      </c:valAx>
      <c:spPr>
        <a:noFill/>
        <a:ln w="25391">
          <a:noFill/>
        </a:ln>
      </c:spPr>
    </c:plotArea>
    <c:legend>
      <c:legendPos val="b"/>
      <c:layout>
        <c:manualLayout>
          <c:xMode val="edge"/>
          <c:yMode val="edge"/>
          <c:x val="0.2809202595603888"/>
          <c:y val="0.91013081698121079"/>
          <c:w val="0.43815930989082386"/>
          <c:h val="5.757738616006336E-2"/>
        </c:manualLayout>
      </c:layout>
      <c:overlay val="0"/>
      <c:txPr>
        <a:bodyPr/>
        <a:lstStyle/>
        <a:p>
          <a:pPr>
            <a:defRPr b="0">
              <a:solidFill>
                <a:sysClr val="windowText" lastClr="000000"/>
              </a:solidFill>
            </a:defRPr>
          </a:pPr>
          <a:endParaRPr lang="en-US"/>
        </a:p>
      </c:txPr>
    </c:legend>
    <c:plotVisOnly val="1"/>
    <c:dispBlanksAs val="gap"/>
    <c:showDLblsOverMax val="0"/>
  </c:chart>
  <c:spPr>
    <a:noFill/>
    <a:ln>
      <a:noFill/>
    </a:ln>
  </c:spPr>
  <c:txPr>
    <a:bodyPr/>
    <a:lstStyle/>
    <a:p>
      <a:pPr>
        <a:defRPr sz="1000" b="1">
          <a:solidFill>
            <a:schemeClr val="bg1"/>
          </a:solidFill>
        </a:defRPr>
      </a:pPr>
      <a:endParaRPr lang="en-US"/>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1.1378845829630604E-2"/>
                  <c:y val="-2.6258880722445904E-3"/>
                </c:manualLayout>
              </c:layout>
              <c:spPr>
                <a:noFill/>
                <a:ln w="25393">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8FF-4E57-87B1-5D48EFA04990}"/>
                </c:ext>
              </c:extLst>
            </c:dLbl>
            <c:dLbl>
              <c:idx val="1"/>
              <c:layout>
                <c:manualLayout>
                  <c:x val="9.4823715246921698E-3"/>
                  <c:y val="-5.2517761444891807E-3"/>
                </c:manualLayout>
              </c:layout>
              <c:spPr>
                <a:noFill/>
                <a:ln w="25393">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8FF-4E57-87B1-5D48EFA04990}"/>
                </c:ext>
              </c:extLst>
            </c:dLbl>
            <c:dLbl>
              <c:idx val="2"/>
              <c:layout>
                <c:manualLayout>
                  <c:x val="1.3299745982456418E-2"/>
                  <c:y val="-1.4608926441428138E-2"/>
                </c:manualLayout>
              </c:layout>
              <c:spPr>
                <a:noFill/>
                <a:ln w="25393">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8FF-4E57-87B1-5D48EFA04990}"/>
                </c:ext>
              </c:extLst>
            </c:dLbl>
            <c:dLbl>
              <c:idx val="3"/>
              <c:layout>
                <c:manualLayout>
                  <c:x val="1.5171794439507473E-2"/>
                  <c:y val="-1.3129440361222952E-2"/>
                </c:manualLayout>
              </c:layout>
              <c:spPr>
                <a:noFill/>
                <a:ln w="25393">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8FF-4E57-87B1-5D48EFA04990}"/>
                </c:ext>
              </c:extLst>
            </c:dLbl>
            <c:dLbl>
              <c:idx val="4"/>
              <c:layout>
                <c:manualLayout>
                  <c:x val="1.3275320134569038E-2"/>
                  <c:y val="-5.2517761444891807E-3"/>
                </c:manualLayout>
              </c:layout>
              <c:spPr>
                <a:noFill/>
                <a:ln w="25393">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8FF-4E57-87B1-5D48EFA04990}"/>
                </c:ext>
              </c:extLst>
            </c:dLbl>
            <c:dLbl>
              <c:idx val="5"/>
              <c:layout>
                <c:manualLayout>
                  <c:x val="1.1378845829630673E-2"/>
                  <c:y val="-1.0503552288978361E-2"/>
                </c:manualLayout>
              </c:layout>
              <c:spPr>
                <a:noFill/>
                <a:ln w="25393">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08FF-4E57-87B1-5D48EFA04990}"/>
                </c:ext>
              </c:extLst>
            </c:dLbl>
            <c:dLbl>
              <c:idx val="6"/>
              <c:layout>
                <c:manualLayout>
                  <c:x val="1.5171794439507473E-2"/>
                  <c:y val="-7.8776642167337711E-3"/>
                </c:manualLayout>
              </c:layout>
              <c:spPr>
                <a:noFill/>
                <a:ln w="25393">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08FF-4E57-87B1-5D48EFA04990}"/>
                </c:ext>
              </c:extLst>
            </c:dLbl>
            <c:dLbl>
              <c:idx val="7"/>
              <c:layout>
                <c:manualLayout>
                  <c:x val="7.5858972197537363E-3"/>
                  <c:y val="-1.8381216505712134E-2"/>
                </c:manualLayout>
              </c:layout>
              <c:spPr>
                <a:noFill/>
                <a:ln w="25393">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08FF-4E57-87B1-5D48EFA04990}"/>
                </c:ext>
              </c:extLst>
            </c:dLbl>
            <c:dLbl>
              <c:idx val="8"/>
              <c:layout>
                <c:manualLayout>
                  <c:x val="7.5858972197537363E-3"/>
                  <c:y val="-2.8884768794690496E-2"/>
                </c:manualLayout>
              </c:layout>
              <c:spPr>
                <a:noFill/>
                <a:ln w="25393">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08FF-4E57-87B1-5D48EFA04990}"/>
                </c:ext>
              </c:extLst>
            </c:dLbl>
            <c:spPr>
              <a:noFill/>
              <a:ln w="25393">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Лист1!$B$21:$M$21</c:f>
              <c:strCache>
                <c:ptCount val="12"/>
                <c:pt idx="0">
                  <c:v>Directorate of Facilities under Construction</c:v>
                </c:pt>
                <c:pt idx="1">
                  <c:v>Prigorodniye Grids</c:v>
                </c:pt>
                <c:pt idx="2">
                  <c:v>Gatchina Grids</c:v>
                </c:pt>
                <c:pt idx="3">
                  <c:v>Novoladozhskiye Grids</c:v>
                </c:pt>
                <c:pt idx="4">
                  <c:v>Kingiseppskiye Grid</c:v>
                </c:pt>
                <c:pt idx="5">
                  <c:v>Tikhvinskiye Grids</c:v>
                </c:pt>
                <c:pt idx="6">
                  <c:v>Vyborgskiye Grids</c:v>
                </c:pt>
                <c:pt idx="7">
                  <c:v>Directorate for Construction and Development of Distribution Grids in Saint Petersburg</c:v>
                </c:pt>
                <c:pt idx="8">
                  <c:v>Directorate for Construction and Development of Distribution Grids in the Leningrad Region</c:v>
                </c:pt>
                <c:pt idx="9">
                  <c:v>Cable Grids</c:v>
                </c:pt>
                <c:pt idx="10">
                  <c:v>Saint Petersburg High Voltage Grids</c:v>
                </c:pt>
                <c:pt idx="11">
                  <c:v>Cable Grids Department</c:v>
                </c:pt>
              </c:strCache>
            </c:strRef>
          </c:cat>
          <c:val>
            <c:numRef>
              <c:f>Лист1!$B$22:$M$22</c:f>
              <c:numCache>
                <c:formatCode>General</c:formatCode>
                <c:ptCount val="12"/>
                <c:pt idx="0">
                  <c:v>16</c:v>
                </c:pt>
                <c:pt idx="1">
                  <c:v>14</c:v>
                </c:pt>
                <c:pt idx="2">
                  <c:v>18</c:v>
                </c:pt>
                <c:pt idx="3">
                  <c:v>11</c:v>
                </c:pt>
                <c:pt idx="4">
                  <c:v>18</c:v>
                </c:pt>
                <c:pt idx="5">
                  <c:v>6</c:v>
                </c:pt>
                <c:pt idx="6">
                  <c:v>30</c:v>
                </c:pt>
                <c:pt idx="7">
                  <c:v>17</c:v>
                </c:pt>
                <c:pt idx="8">
                  <c:v>8</c:v>
                </c:pt>
                <c:pt idx="9">
                  <c:v>13</c:v>
                </c:pt>
                <c:pt idx="10">
                  <c:v>30</c:v>
                </c:pt>
                <c:pt idx="11">
                  <c:v>10</c:v>
                </c:pt>
              </c:numCache>
            </c:numRef>
          </c:val>
          <c:extLst>
            <c:ext xmlns:c16="http://schemas.microsoft.com/office/drawing/2014/chart" uri="{C3380CC4-5D6E-409C-BE32-E72D297353CC}">
              <c16:uniqueId val="{00000009-08FF-4E57-87B1-5D48EFA04990}"/>
            </c:ext>
          </c:extLst>
        </c:ser>
        <c:dLbls>
          <c:showLegendKey val="0"/>
          <c:showVal val="0"/>
          <c:showCatName val="0"/>
          <c:showSerName val="0"/>
          <c:showPercent val="0"/>
          <c:showBubbleSize val="0"/>
        </c:dLbls>
        <c:gapWidth val="150"/>
        <c:shape val="box"/>
        <c:axId val="2077824448"/>
        <c:axId val="1"/>
        <c:axId val="0"/>
      </c:bar3DChart>
      <c:catAx>
        <c:axId val="2077824448"/>
        <c:scaling>
          <c:orientation val="minMax"/>
        </c:scaling>
        <c:delete val="0"/>
        <c:axPos val="b"/>
        <c:numFmt formatCode="\О\с\н\о\в\н\о\й" sourceLinked="0"/>
        <c:majorTickMark val="out"/>
        <c:minorTickMark val="none"/>
        <c:tickLblPos val="nextTo"/>
        <c:txPr>
          <a:bodyPr/>
          <a:lstStyle/>
          <a:p>
            <a:pPr>
              <a:defRPr sz="700" baseline="0"/>
            </a:pPr>
            <a:endParaRPr lang="en-US"/>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crossAx val="2077824448"/>
        <c:crosses val="autoZero"/>
        <c:crossBetween val="between"/>
      </c:valAx>
      <c:spPr>
        <a:noFill/>
        <a:ln w="25393">
          <a:noFill/>
        </a:ln>
      </c:spPr>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2017</a:t>
            </a:r>
          </a:p>
        </c:rich>
      </c:tx>
      <c:layout/>
      <c:overlay val="0"/>
    </c:title>
    <c:autoTitleDeleted val="0"/>
    <c:plotArea>
      <c:layout/>
      <c:pieChart>
        <c:varyColors val="1"/>
        <c:ser>
          <c:idx val="0"/>
          <c:order val="0"/>
          <c:tx>
            <c:strRef>
              <c:f>Лист1!$B$1</c:f>
              <c:strCache>
                <c:ptCount val="1"/>
                <c:pt idx="0">
                  <c:v>Доля НВВ в по регионам обслуживания</c:v>
                </c:pt>
              </c:strCache>
            </c:strRef>
          </c:tx>
          <c:dPt>
            <c:idx val="0"/>
            <c:bubble3D val="0"/>
            <c:extLst>
              <c:ext xmlns:c16="http://schemas.microsoft.com/office/drawing/2014/chart" uri="{C3380CC4-5D6E-409C-BE32-E72D297353CC}">
                <c16:uniqueId val="{00000000-4365-4123-9899-B442CC9906AF}"/>
              </c:ext>
            </c:extLst>
          </c:dPt>
          <c:dPt>
            <c:idx val="1"/>
            <c:bubble3D val="0"/>
            <c:extLst>
              <c:ext xmlns:c16="http://schemas.microsoft.com/office/drawing/2014/chart" uri="{C3380CC4-5D6E-409C-BE32-E72D297353CC}">
                <c16:uniqueId val="{00000001-4365-4123-9899-B442CC9906AF}"/>
              </c:ext>
            </c:extLst>
          </c:dPt>
          <c:dLbls>
            <c:spPr>
              <a:noFill/>
              <a:ln w="25431">
                <a:noFill/>
              </a:ln>
            </c:sp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Лист1!$A$2:$A$3</c:f>
              <c:strCache>
                <c:ptCount val="2"/>
                <c:pt idx="0">
                  <c:v>PJSC “Lenenergo”</c:v>
                </c:pt>
                <c:pt idx="1">
                  <c:v>OTHER</c:v>
                </c:pt>
              </c:strCache>
            </c:strRef>
          </c:cat>
          <c:val>
            <c:numRef>
              <c:f>Лист1!$B$2:$B$3</c:f>
              <c:numCache>
                <c:formatCode>General</c:formatCode>
                <c:ptCount val="2"/>
                <c:pt idx="0">
                  <c:v>95.7</c:v>
                </c:pt>
                <c:pt idx="1">
                  <c:v>4.3</c:v>
                </c:pt>
              </c:numCache>
            </c:numRef>
          </c:val>
          <c:extLst>
            <c:ext xmlns:c16="http://schemas.microsoft.com/office/drawing/2014/chart" uri="{C3380CC4-5D6E-409C-BE32-E72D297353CC}">
              <c16:uniqueId val="{00000002-4365-4123-9899-B442CC9906AF}"/>
            </c:ext>
          </c:extLst>
        </c:ser>
        <c:dLbls>
          <c:showLegendKey val="0"/>
          <c:showVal val="0"/>
          <c:showCatName val="0"/>
          <c:showSerName val="0"/>
          <c:showPercent val="0"/>
          <c:showBubbleSize val="0"/>
          <c:showLeaderLines val="1"/>
        </c:dLbls>
        <c:firstSliceAng val="0"/>
      </c:pieChart>
      <c:spPr>
        <a:noFill/>
        <a:ln w="25431">
          <a:noFill/>
        </a:ln>
      </c:spPr>
    </c:plotArea>
    <c:legend>
      <c:legendPos val="r"/>
      <c:layout>
        <c:manualLayout>
          <c:xMode val="edge"/>
          <c:yMode val="edge"/>
          <c:x val="0.54225377565509225"/>
          <c:y val="0.33834526366022427"/>
          <c:w val="0.41607159760767609"/>
          <c:h val="0.46712001908852313"/>
        </c:manualLayout>
      </c:layout>
      <c:overlay val="0"/>
    </c:legend>
    <c:plotVisOnly val="1"/>
    <c:dispBlanksAs val="gap"/>
    <c:showDLblsOverMax val="0"/>
  </c:chart>
  <c:spPr>
    <a:ln>
      <a:noFill/>
    </a:ln>
  </c:spPr>
  <c:txPr>
    <a:bodyPr/>
    <a:lstStyle/>
    <a:p>
      <a:pPr>
        <a:defRPr sz="800">
          <a:latin typeface="Calibri "/>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2018</a:t>
            </a:r>
          </a:p>
        </c:rich>
      </c:tx>
      <c:layout/>
      <c:overlay val="0"/>
    </c:title>
    <c:autoTitleDeleted val="0"/>
    <c:plotArea>
      <c:layout/>
      <c:pieChart>
        <c:varyColors val="1"/>
        <c:ser>
          <c:idx val="0"/>
          <c:order val="0"/>
          <c:tx>
            <c:strRef>
              <c:f>Лист1!$B$1</c:f>
              <c:strCache>
                <c:ptCount val="1"/>
                <c:pt idx="0">
                  <c:v>Доля НВВ в по регионам обслуживания</c:v>
                </c:pt>
              </c:strCache>
            </c:strRef>
          </c:tx>
          <c:dPt>
            <c:idx val="0"/>
            <c:bubble3D val="0"/>
            <c:extLst>
              <c:ext xmlns:c16="http://schemas.microsoft.com/office/drawing/2014/chart" uri="{C3380CC4-5D6E-409C-BE32-E72D297353CC}">
                <c16:uniqueId val="{00000000-3065-4D3C-8654-BB01F5A2937A}"/>
              </c:ext>
            </c:extLst>
          </c:dPt>
          <c:dPt>
            <c:idx val="1"/>
            <c:bubble3D val="0"/>
            <c:extLst>
              <c:ext xmlns:c16="http://schemas.microsoft.com/office/drawing/2014/chart" uri="{C3380CC4-5D6E-409C-BE32-E72D297353CC}">
                <c16:uniqueId val="{00000001-3065-4D3C-8654-BB01F5A2937A}"/>
              </c:ext>
            </c:extLst>
          </c:dPt>
          <c:dLbls>
            <c:dLbl>
              <c:idx val="1"/>
              <c:layout>
                <c:manualLayout>
                  <c:x val="2.8027688248813458E-2"/>
                  <c:y val="-2.1095588857844381E-2"/>
                </c:manualLayout>
              </c:layout>
              <c:spPr>
                <a:noFill/>
                <a:ln w="2543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3065-4D3C-8654-BB01F5A2937A}"/>
                </c:ext>
              </c:extLst>
            </c:dLbl>
            <c:spPr>
              <a:noFill/>
              <a:ln w="25431">
                <a:noFill/>
              </a:ln>
            </c:sp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Лист1!$A$2:$A$3</c:f>
              <c:strCache>
                <c:ptCount val="2"/>
                <c:pt idx="0">
                  <c:v>PJSC “Lenenergo”</c:v>
                </c:pt>
                <c:pt idx="1">
                  <c:v>OTHER</c:v>
                </c:pt>
              </c:strCache>
            </c:strRef>
          </c:cat>
          <c:val>
            <c:numRef>
              <c:f>Лист1!$B$2:$B$3</c:f>
              <c:numCache>
                <c:formatCode>General</c:formatCode>
                <c:ptCount val="2"/>
                <c:pt idx="0">
                  <c:v>96.6</c:v>
                </c:pt>
                <c:pt idx="1">
                  <c:v>3.4</c:v>
                </c:pt>
              </c:numCache>
            </c:numRef>
          </c:val>
          <c:extLst>
            <c:ext xmlns:c16="http://schemas.microsoft.com/office/drawing/2014/chart" uri="{C3380CC4-5D6E-409C-BE32-E72D297353CC}">
              <c16:uniqueId val="{00000002-3065-4D3C-8654-BB01F5A2937A}"/>
            </c:ext>
          </c:extLst>
        </c:ser>
        <c:dLbls>
          <c:showLegendKey val="0"/>
          <c:showVal val="0"/>
          <c:showCatName val="0"/>
          <c:showSerName val="0"/>
          <c:showPercent val="0"/>
          <c:showBubbleSize val="0"/>
          <c:showLeaderLines val="1"/>
        </c:dLbls>
        <c:firstSliceAng val="0"/>
      </c:pieChart>
      <c:spPr>
        <a:noFill/>
        <a:ln w="25431">
          <a:noFill/>
        </a:ln>
      </c:spPr>
    </c:plotArea>
    <c:legend>
      <c:legendPos val="r"/>
      <c:layout>
        <c:manualLayout>
          <c:xMode val="edge"/>
          <c:yMode val="edge"/>
          <c:x val="0.56990089353584905"/>
          <c:y val="0.33834526366022427"/>
          <c:w val="0.38843767479884683"/>
          <c:h val="0.46712001908852313"/>
        </c:manualLayout>
      </c:layout>
      <c:overlay val="0"/>
    </c:legend>
    <c:plotVisOnly val="1"/>
    <c:dispBlanksAs val="gap"/>
    <c:showDLblsOverMax val="0"/>
  </c:chart>
  <c:spPr>
    <a:ln>
      <a:noFill/>
    </a:ln>
  </c:spPr>
  <c:txPr>
    <a:bodyPr/>
    <a:lstStyle/>
    <a:p>
      <a:pPr>
        <a:defRPr sz="800" strike="noStrike">
          <a:latin typeface="Calibri "/>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2019</a:t>
            </a:r>
          </a:p>
        </c:rich>
      </c:tx>
      <c:layout/>
      <c:overlay val="0"/>
    </c:title>
    <c:autoTitleDeleted val="0"/>
    <c:plotArea>
      <c:layout/>
      <c:pieChart>
        <c:varyColors val="1"/>
        <c:ser>
          <c:idx val="0"/>
          <c:order val="0"/>
          <c:tx>
            <c:strRef>
              <c:f>Лист1!$B$1</c:f>
              <c:strCache>
                <c:ptCount val="1"/>
                <c:pt idx="0">
                  <c:v>Доля НВВ в по регионам обслуживания</c:v>
                </c:pt>
              </c:strCache>
            </c:strRef>
          </c:tx>
          <c:dPt>
            <c:idx val="0"/>
            <c:bubble3D val="0"/>
            <c:extLst>
              <c:ext xmlns:c16="http://schemas.microsoft.com/office/drawing/2014/chart" uri="{C3380CC4-5D6E-409C-BE32-E72D297353CC}">
                <c16:uniqueId val="{00000000-D833-480E-B58C-65B445CE9F0E}"/>
              </c:ext>
            </c:extLst>
          </c:dPt>
          <c:dPt>
            <c:idx val="1"/>
            <c:bubble3D val="0"/>
            <c:extLst>
              <c:ext xmlns:c16="http://schemas.microsoft.com/office/drawing/2014/chart" uri="{C3380CC4-5D6E-409C-BE32-E72D297353CC}">
                <c16:uniqueId val="{00000001-D833-480E-B58C-65B445CE9F0E}"/>
              </c:ext>
            </c:extLst>
          </c:dPt>
          <c:dLbls>
            <c:dLbl>
              <c:idx val="1"/>
              <c:layout>
                <c:manualLayout>
                  <c:x val="-4.1037357376960001E-2"/>
                  <c:y val="4.2209239974035501E-3"/>
                </c:manualLayout>
              </c:layout>
              <c:spPr>
                <a:noFill/>
                <a:ln w="2543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833-480E-B58C-65B445CE9F0E}"/>
                </c:ext>
              </c:extLst>
            </c:dLbl>
            <c:spPr>
              <a:noFill/>
              <a:ln w="25431">
                <a:noFill/>
              </a:ln>
            </c:sp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Лист1!$A$2:$A$3</c:f>
              <c:strCache>
                <c:ptCount val="2"/>
                <c:pt idx="0">
                  <c:v>PJSC “Lenenergo”</c:v>
                </c:pt>
                <c:pt idx="1">
                  <c:v>OTHER</c:v>
                </c:pt>
              </c:strCache>
            </c:strRef>
          </c:cat>
          <c:val>
            <c:numRef>
              <c:f>Лист1!$B$2:$B$3</c:f>
              <c:numCache>
                <c:formatCode>General</c:formatCode>
                <c:ptCount val="2"/>
                <c:pt idx="0">
                  <c:v>96</c:v>
                </c:pt>
                <c:pt idx="1">
                  <c:v>4</c:v>
                </c:pt>
              </c:numCache>
            </c:numRef>
          </c:val>
          <c:extLst>
            <c:ext xmlns:c16="http://schemas.microsoft.com/office/drawing/2014/chart" uri="{C3380CC4-5D6E-409C-BE32-E72D297353CC}">
              <c16:uniqueId val="{00000002-D833-480E-B58C-65B445CE9F0E}"/>
            </c:ext>
          </c:extLst>
        </c:ser>
        <c:dLbls>
          <c:showLegendKey val="0"/>
          <c:showVal val="0"/>
          <c:showCatName val="0"/>
          <c:showSerName val="0"/>
          <c:showPercent val="0"/>
          <c:showBubbleSize val="0"/>
          <c:showLeaderLines val="1"/>
        </c:dLbls>
        <c:firstSliceAng val="0"/>
      </c:pieChart>
      <c:spPr>
        <a:noFill/>
        <a:ln w="25431">
          <a:noFill/>
        </a:ln>
      </c:spPr>
    </c:plotArea>
    <c:legend>
      <c:legendPos val="r"/>
      <c:layout>
        <c:manualLayout>
          <c:xMode val="edge"/>
          <c:yMode val="edge"/>
          <c:x val="0.56990146723462842"/>
          <c:y val="0.33834526366022427"/>
          <c:w val="0.38843767479884683"/>
          <c:h val="0.46712001908852313"/>
        </c:manualLayout>
      </c:layout>
      <c:overlay val="0"/>
    </c:legend>
    <c:plotVisOnly val="1"/>
    <c:dispBlanksAs val="gap"/>
    <c:showDLblsOverMax val="0"/>
  </c:chart>
  <c:spPr>
    <a:ln>
      <a:noFill/>
    </a:ln>
  </c:spPr>
  <c:txPr>
    <a:bodyPr/>
    <a:lstStyle/>
    <a:p>
      <a:pPr>
        <a:defRPr sz="800">
          <a:latin typeface="Calibri "/>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2017</a:t>
            </a:r>
          </a:p>
        </c:rich>
      </c:tx>
      <c:layout/>
      <c:overlay val="0"/>
    </c:title>
    <c:autoTitleDeleted val="0"/>
    <c:plotArea>
      <c:layout/>
      <c:pieChart>
        <c:varyColors val="1"/>
        <c:ser>
          <c:idx val="0"/>
          <c:order val="0"/>
          <c:tx>
            <c:strRef>
              <c:f>Лист1!$B$1</c:f>
              <c:strCache>
                <c:ptCount val="1"/>
                <c:pt idx="0">
                  <c:v>Доля НВВ в по регионам обслуживания</c:v>
                </c:pt>
              </c:strCache>
            </c:strRef>
          </c:tx>
          <c:dPt>
            <c:idx val="0"/>
            <c:bubble3D val="0"/>
            <c:extLst>
              <c:ext xmlns:c16="http://schemas.microsoft.com/office/drawing/2014/chart" uri="{C3380CC4-5D6E-409C-BE32-E72D297353CC}">
                <c16:uniqueId val="{00000000-9323-48B3-978F-CD0052C35E25}"/>
              </c:ext>
            </c:extLst>
          </c:dPt>
          <c:dPt>
            <c:idx val="1"/>
            <c:bubble3D val="0"/>
            <c:extLst>
              <c:ext xmlns:c16="http://schemas.microsoft.com/office/drawing/2014/chart" uri="{C3380CC4-5D6E-409C-BE32-E72D297353CC}">
                <c16:uniqueId val="{00000001-9323-48B3-978F-CD0052C35E25}"/>
              </c:ext>
            </c:extLst>
          </c:dPt>
          <c:dLbls>
            <c:dLbl>
              <c:idx val="0"/>
              <c:layout>
                <c:manualLayout>
                  <c:x val="9.1904315069424609E-3"/>
                  <c:y val="0.15518245703158073"/>
                </c:manualLayout>
              </c:layout>
              <c:spPr>
                <a:noFill/>
                <a:ln w="2543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323-48B3-978F-CD0052C35E25}"/>
                </c:ext>
              </c:extLst>
            </c:dLbl>
            <c:dLbl>
              <c:idx val="1"/>
              <c:layout>
                <c:manualLayout>
                  <c:x val="7.7702800103354952E-2"/>
                  <c:y val="-0.16657974204837298"/>
                </c:manualLayout>
              </c:layout>
              <c:spPr>
                <a:noFill/>
                <a:ln w="2543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323-48B3-978F-CD0052C35E25}"/>
                </c:ext>
              </c:extLst>
            </c:dLbl>
            <c:spPr>
              <a:noFill/>
              <a:ln w="25431">
                <a:noFill/>
              </a:ln>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PJSC “Lenenergo”</c:v>
                </c:pt>
                <c:pt idx="1">
                  <c:v>OTHER</c:v>
                </c:pt>
              </c:strCache>
            </c:strRef>
          </c:cat>
          <c:val>
            <c:numRef>
              <c:f>Лист1!$B$2:$B$3</c:f>
              <c:numCache>
                <c:formatCode>General</c:formatCode>
                <c:ptCount val="2"/>
                <c:pt idx="0">
                  <c:v>63.4</c:v>
                </c:pt>
                <c:pt idx="1">
                  <c:v>36.6</c:v>
                </c:pt>
              </c:numCache>
            </c:numRef>
          </c:val>
          <c:extLst>
            <c:ext xmlns:c16="http://schemas.microsoft.com/office/drawing/2014/chart" uri="{C3380CC4-5D6E-409C-BE32-E72D297353CC}">
              <c16:uniqueId val="{00000002-9323-48B3-978F-CD0052C35E25}"/>
            </c:ext>
          </c:extLst>
        </c:ser>
        <c:dLbls>
          <c:showLegendKey val="0"/>
          <c:showVal val="0"/>
          <c:showCatName val="0"/>
          <c:showSerName val="0"/>
          <c:showPercent val="0"/>
          <c:showBubbleSize val="0"/>
          <c:showLeaderLines val="1"/>
        </c:dLbls>
        <c:firstSliceAng val="0"/>
      </c:pieChart>
      <c:spPr>
        <a:noFill/>
        <a:ln w="25431">
          <a:noFill/>
        </a:ln>
      </c:spPr>
    </c:plotArea>
    <c:legend>
      <c:legendPos val="r"/>
      <c:layout>
        <c:manualLayout>
          <c:xMode val="edge"/>
          <c:yMode val="edge"/>
          <c:x val="0.55864721827804309"/>
          <c:y val="0.32319016941064183"/>
          <c:w val="0.39968618676763756"/>
          <c:h val="0.50231448341684559"/>
        </c:manualLayout>
      </c:layout>
      <c:overlay val="0"/>
    </c:legend>
    <c:plotVisOnly val="1"/>
    <c:dispBlanksAs val="gap"/>
    <c:showDLblsOverMax val="0"/>
  </c:chart>
  <c:spPr>
    <a:ln>
      <a:noFill/>
    </a:ln>
  </c:spPr>
  <c:txPr>
    <a:bodyPr/>
    <a:lstStyle/>
    <a:p>
      <a:pPr>
        <a:defRPr sz="800">
          <a:latin typeface="+mn-lt"/>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2018</a:t>
            </a:r>
          </a:p>
        </c:rich>
      </c:tx>
      <c:layout/>
      <c:overlay val="0"/>
    </c:title>
    <c:autoTitleDeleted val="0"/>
    <c:plotArea>
      <c:layout/>
      <c:pieChart>
        <c:varyColors val="1"/>
        <c:ser>
          <c:idx val="0"/>
          <c:order val="0"/>
          <c:tx>
            <c:strRef>
              <c:f>Лист1!$B$1</c:f>
              <c:strCache>
                <c:ptCount val="1"/>
                <c:pt idx="0">
                  <c:v>Доля НВВ в по регионам обслуживания</c:v>
                </c:pt>
              </c:strCache>
            </c:strRef>
          </c:tx>
          <c:dPt>
            <c:idx val="0"/>
            <c:bubble3D val="0"/>
            <c:extLst>
              <c:ext xmlns:c16="http://schemas.microsoft.com/office/drawing/2014/chart" uri="{C3380CC4-5D6E-409C-BE32-E72D297353CC}">
                <c16:uniqueId val="{00000000-1372-4304-BCED-6A0B441AD326}"/>
              </c:ext>
            </c:extLst>
          </c:dPt>
          <c:dPt>
            <c:idx val="1"/>
            <c:bubble3D val="0"/>
            <c:extLst>
              <c:ext xmlns:c16="http://schemas.microsoft.com/office/drawing/2014/chart" uri="{C3380CC4-5D6E-409C-BE32-E72D297353CC}">
                <c16:uniqueId val="{00000001-1372-4304-BCED-6A0B441AD326}"/>
              </c:ext>
            </c:extLst>
          </c:dPt>
          <c:dLbls>
            <c:dLbl>
              <c:idx val="0"/>
              <c:layout>
                <c:manualLayout>
                  <c:x val="-1.0955081392028068E-2"/>
                  <c:y val="0.10520418818615415"/>
                </c:manualLayout>
              </c:layout>
              <c:spPr>
                <a:noFill/>
                <a:ln w="2543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1372-4304-BCED-6A0B441AD326}"/>
                </c:ext>
              </c:extLst>
            </c:dLbl>
            <c:dLbl>
              <c:idx val="1"/>
              <c:layout>
                <c:manualLayout>
                  <c:x val="4.4702106537200983E-2"/>
                  <c:y val="-0.13989896424237294"/>
                </c:manualLayout>
              </c:layout>
              <c:spPr>
                <a:noFill/>
                <a:ln w="2543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372-4304-BCED-6A0B441AD326}"/>
                </c:ext>
              </c:extLst>
            </c:dLbl>
            <c:spPr>
              <a:noFill/>
              <a:ln w="25431">
                <a:noFill/>
              </a:ln>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PJSC “Lenenergo”</c:v>
                </c:pt>
                <c:pt idx="1">
                  <c:v>OTHER</c:v>
                </c:pt>
              </c:strCache>
            </c:strRef>
          </c:cat>
          <c:val>
            <c:numRef>
              <c:f>Лист1!$B$2:$B$3</c:f>
              <c:numCache>
                <c:formatCode>General</c:formatCode>
                <c:ptCount val="2"/>
                <c:pt idx="0">
                  <c:v>67.8</c:v>
                </c:pt>
                <c:pt idx="1">
                  <c:v>32.200000000000003</c:v>
                </c:pt>
              </c:numCache>
            </c:numRef>
          </c:val>
          <c:extLst>
            <c:ext xmlns:c16="http://schemas.microsoft.com/office/drawing/2014/chart" uri="{C3380CC4-5D6E-409C-BE32-E72D297353CC}">
              <c16:uniqueId val="{00000002-1372-4304-BCED-6A0B441AD326}"/>
            </c:ext>
          </c:extLst>
        </c:ser>
        <c:dLbls>
          <c:showLegendKey val="0"/>
          <c:showVal val="0"/>
          <c:showCatName val="0"/>
          <c:showSerName val="0"/>
          <c:showPercent val="0"/>
          <c:showBubbleSize val="0"/>
          <c:showLeaderLines val="1"/>
        </c:dLbls>
        <c:firstSliceAng val="0"/>
      </c:pieChart>
      <c:spPr>
        <a:noFill/>
        <a:ln w="25431">
          <a:noFill/>
        </a:ln>
      </c:spPr>
    </c:plotArea>
    <c:legend>
      <c:legendPos val="r"/>
      <c:layout>
        <c:manualLayout>
          <c:xMode val="edge"/>
          <c:yMode val="edge"/>
          <c:x val="0.53791144959339099"/>
          <c:y val="0.32319016941064183"/>
          <c:w val="0.42041162887425965"/>
          <c:h val="0.50231448341684559"/>
        </c:manualLayout>
      </c:layout>
      <c:overlay val="0"/>
    </c:legend>
    <c:plotVisOnly val="1"/>
    <c:dispBlanksAs val="gap"/>
    <c:showDLblsOverMax val="0"/>
  </c:chart>
  <c:spPr>
    <a:ln>
      <a:noFill/>
    </a:ln>
  </c:spPr>
  <c:txPr>
    <a:bodyPr/>
    <a:lstStyle/>
    <a:p>
      <a:pPr>
        <a:defRPr sz="800">
          <a:latin typeface="+mn-lt"/>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2019</a:t>
            </a:r>
          </a:p>
        </c:rich>
      </c:tx>
      <c:layout/>
      <c:overlay val="0"/>
    </c:title>
    <c:autoTitleDeleted val="0"/>
    <c:plotArea>
      <c:layout/>
      <c:pieChart>
        <c:varyColors val="1"/>
        <c:ser>
          <c:idx val="0"/>
          <c:order val="0"/>
          <c:tx>
            <c:strRef>
              <c:f>Лист1!$B$1</c:f>
              <c:strCache>
                <c:ptCount val="1"/>
                <c:pt idx="0">
                  <c:v>Доля НВВ в по регионам обслуживания</c:v>
                </c:pt>
              </c:strCache>
            </c:strRef>
          </c:tx>
          <c:dPt>
            <c:idx val="0"/>
            <c:bubble3D val="0"/>
            <c:extLst>
              <c:ext xmlns:c16="http://schemas.microsoft.com/office/drawing/2014/chart" uri="{C3380CC4-5D6E-409C-BE32-E72D297353CC}">
                <c16:uniqueId val="{00000000-87FF-4D95-AD5C-6D26E85D4D4F}"/>
              </c:ext>
            </c:extLst>
          </c:dPt>
          <c:dPt>
            <c:idx val="1"/>
            <c:bubble3D val="0"/>
            <c:extLst>
              <c:ext xmlns:c16="http://schemas.microsoft.com/office/drawing/2014/chart" uri="{C3380CC4-5D6E-409C-BE32-E72D297353CC}">
                <c16:uniqueId val="{00000001-87FF-4D95-AD5C-6D26E85D4D4F}"/>
              </c:ext>
            </c:extLst>
          </c:dPt>
          <c:dLbls>
            <c:dLbl>
              <c:idx val="0"/>
              <c:layout>
                <c:manualLayout>
                  <c:x val="-3.2516557192009028E-2"/>
                  <c:y val="0.14159907430925972"/>
                </c:manualLayout>
              </c:layout>
              <c:spPr>
                <a:noFill/>
                <a:ln w="2543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7FF-4D95-AD5C-6D26E85D4D4F}"/>
                </c:ext>
              </c:extLst>
            </c:dLbl>
            <c:dLbl>
              <c:idx val="1"/>
              <c:layout>
                <c:manualLayout>
                  <c:x val="7.7702800103354952E-2"/>
                  <c:y val="-0.14582790054468997"/>
                </c:manualLayout>
              </c:layout>
              <c:spPr>
                <a:noFill/>
                <a:ln w="2543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7FF-4D95-AD5C-6D26E85D4D4F}"/>
                </c:ext>
              </c:extLst>
            </c:dLbl>
            <c:spPr>
              <a:noFill/>
              <a:ln w="25431">
                <a:noFill/>
              </a:ln>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PJSC “Lenenergo”</c:v>
                </c:pt>
                <c:pt idx="1">
                  <c:v>OTHER</c:v>
                </c:pt>
              </c:strCache>
            </c:strRef>
          </c:cat>
          <c:val>
            <c:numRef>
              <c:f>Лист1!$B$2:$B$3</c:f>
              <c:numCache>
                <c:formatCode>General</c:formatCode>
                <c:ptCount val="2"/>
                <c:pt idx="0">
                  <c:v>75.5</c:v>
                </c:pt>
                <c:pt idx="1">
                  <c:v>24.5</c:v>
                </c:pt>
              </c:numCache>
            </c:numRef>
          </c:val>
          <c:extLst>
            <c:ext xmlns:c16="http://schemas.microsoft.com/office/drawing/2014/chart" uri="{C3380CC4-5D6E-409C-BE32-E72D297353CC}">
              <c16:uniqueId val="{00000002-87FF-4D95-AD5C-6D26E85D4D4F}"/>
            </c:ext>
          </c:extLst>
        </c:ser>
        <c:dLbls>
          <c:showLegendKey val="0"/>
          <c:showVal val="0"/>
          <c:showCatName val="0"/>
          <c:showSerName val="0"/>
          <c:showPercent val="0"/>
          <c:showBubbleSize val="0"/>
          <c:showLeaderLines val="1"/>
        </c:dLbls>
        <c:firstSliceAng val="0"/>
      </c:pieChart>
      <c:spPr>
        <a:noFill/>
        <a:ln w="25431">
          <a:noFill/>
        </a:ln>
      </c:spPr>
    </c:plotArea>
    <c:legend>
      <c:legendPos val="r"/>
      <c:layout>
        <c:manualLayout>
          <c:xMode val="edge"/>
          <c:yMode val="edge"/>
          <c:x val="0.52408817750240233"/>
          <c:y val="0.32319016941064183"/>
          <c:w val="0.43422859027867422"/>
          <c:h val="0.50231448341684559"/>
        </c:manualLayout>
      </c:layout>
      <c:overlay val="0"/>
    </c:legend>
    <c:plotVisOnly val="1"/>
    <c:dispBlanksAs val="gap"/>
    <c:showDLblsOverMax val="0"/>
  </c:chart>
  <c:spPr>
    <a:ln>
      <a:noFill/>
    </a:ln>
  </c:spPr>
  <c:txPr>
    <a:bodyPr/>
    <a:lstStyle/>
    <a:p>
      <a:pPr>
        <a:defRPr sz="800">
          <a:latin typeface="+mn-lt"/>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a:pPr>
            <a:r>
              <a:rPr lang="en-US" sz="800" b="1" i="0" u="none" strike="noStrike" baseline="0">
                <a:effectLst/>
              </a:rPr>
              <a:t>Net supply by group of customers of PJSC “Lenenergo” in 2018</a:t>
            </a:r>
            <a:endParaRPr lang="ru-RU" sz="800"/>
          </a:p>
        </c:rich>
      </c:tx>
      <c:layout/>
      <c:overlay val="0"/>
    </c:title>
    <c:autoTitleDeleted val="0"/>
    <c:view3D>
      <c:rotX val="30"/>
      <c:rotY val="23"/>
      <c:rAngAx val="0"/>
      <c:perspective val="0"/>
    </c:view3D>
    <c:floor>
      <c:thickness val="0"/>
    </c:floor>
    <c:sideWall>
      <c:thickness val="0"/>
    </c:sideWall>
    <c:backWall>
      <c:thickness val="0"/>
    </c:backWall>
    <c:plotArea>
      <c:layout>
        <c:manualLayout>
          <c:layoutTarget val="inner"/>
          <c:xMode val="edge"/>
          <c:yMode val="edge"/>
          <c:x val="6.2443516855867978E-2"/>
          <c:y val="0.13987970407423597"/>
          <c:w val="0.53960509581192972"/>
          <c:h val="0.74983538161032748"/>
        </c:manualLayout>
      </c:layout>
      <c:pie3DChart>
        <c:varyColors val="1"/>
        <c:ser>
          <c:idx val="0"/>
          <c:order val="0"/>
          <c:explosion val="25"/>
          <c:dPt>
            <c:idx val="0"/>
            <c:bubble3D val="0"/>
            <c:extLst>
              <c:ext xmlns:c16="http://schemas.microsoft.com/office/drawing/2014/chart" uri="{C3380CC4-5D6E-409C-BE32-E72D297353CC}">
                <c16:uniqueId val="{00000000-C399-4F4C-B1DD-F19C69FFDA58}"/>
              </c:ext>
            </c:extLst>
          </c:dPt>
          <c:dPt>
            <c:idx val="1"/>
            <c:bubble3D val="0"/>
            <c:extLst>
              <c:ext xmlns:c16="http://schemas.microsoft.com/office/drawing/2014/chart" uri="{C3380CC4-5D6E-409C-BE32-E72D297353CC}">
                <c16:uniqueId val="{00000001-C399-4F4C-B1DD-F19C69FFDA58}"/>
              </c:ext>
            </c:extLst>
          </c:dPt>
          <c:dPt>
            <c:idx val="2"/>
            <c:bubble3D val="0"/>
            <c:extLst>
              <c:ext xmlns:c16="http://schemas.microsoft.com/office/drawing/2014/chart" uri="{C3380CC4-5D6E-409C-BE32-E72D297353CC}">
                <c16:uniqueId val="{00000002-C399-4F4C-B1DD-F19C69FFDA58}"/>
              </c:ext>
            </c:extLst>
          </c:dPt>
          <c:dPt>
            <c:idx val="3"/>
            <c:bubble3D val="0"/>
            <c:extLst>
              <c:ext xmlns:c16="http://schemas.microsoft.com/office/drawing/2014/chart" uri="{C3380CC4-5D6E-409C-BE32-E72D297353CC}">
                <c16:uniqueId val="{00000003-C399-4F4C-B1DD-F19C69FFDA58}"/>
              </c:ext>
            </c:extLst>
          </c:dPt>
          <c:dPt>
            <c:idx val="4"/>
            <c:bubble3D val="0"/>
            <c:extLst>
              <c:ext xmlns:c16="http://schemas.microsoft.com/office/drawing/2014/chart" uri="{C3380CC4-5D6E-409C-BE32-E72D297353CC}">
                <c16:uniqueId val="{00000004-C399-4F4C-B1DD-F19C69FFDA58}"/>
              </c:ext>
            </c:extLst>
          </c:dPt>
          <c:dPt>
            <c:idx val="5"/>
            <c:bubble3D val="0"/>
            <c:extLst>
              <c:ext xmlns:c16="http://schemas.microsoft.com/office/drawing/2014/chart" uri="{C3380CC4-5D6E-409C-BE32-E72D297353CC}">
                <c16:uniqueId val="{00000005-C399-4F4C-B1DD-F19C69FFDA58}"/>
              </c:ext>
            </c:extLst>
          </c:dPt>
          <c:dPt>
            <c:idx val="6"/>
            <c:bubble3D val="0"/>
            <c:extLst>
              <c:ext xmlns:c16="http://schemas.microsoft.com/office/drawing/2014/chart" uri="{C3380CC4-5D6E-409C-BE32-E72D297353CC}">
                <c16:uniqueId val="{00000006-C399-4F4C-B1DD-F19C69FFDA58}"/>
              </c:ext>
            </c:extLst>
          </c:dPt>
          <c:dLbls>
            <c:dLbl>
              <c:idx val="0"/>
              <c:layout/>
              <c:tx>
                <c:rich>
                  <a:bodyPr/>
                  <a:lstStyle/>
                  <a:p>
                    <a:r>
                      <a:rPr lang="en-US"/>
                      <a:t>25.2%</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C399-4F4C-B1DD-F19C69FFDA58}"/>
                </c:ext>
              </c:extLst>
            </c:dLbl>
            <c:dLbl>
              <c:idx val="1"/>
              <c:layout/>
              <c:tx>
                <c:rich>
                  <a:bodyPr/>
                  <a:lstStyle/>
                  <a:p>
                    <a:r>
                      <a:rPr lang="en-US"/>
                      <a:t>2.0%</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C399-4F4C-B1DD-F19C69FFDA58}"/>
                </c:ext>
              </c:extLst>
            </c:dLbl>
            <c:dLbl>
              <c:idx val="2"/>
              <c:layout/>
              <c:tx>
                <c:rich>
                  <a:bodyPr/>
                  <a:lstStyle/>
                  <a:p>
                    <a:r>
                      <a:rPr lang="en-US"/>
                      <a:t>1.1%</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C399-4F4C-B1DD-F19C69FFDA58}"/>
                </c:ext>
              </c:extLst>
            </c:dLbl>
            <c:dLbl>
              <c:idx val="3"/>
              <c:layout/>
              <c:tx>
                <c:rich>
                  <a:bodyPr/>
                  <a:lstStyle/>
                  <a:p>
                    <a:r>
                      <a:rPr lang="en-US"/>
                      <a:t>24.7%</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C399-4F4C-B1DD-F19C69FFDA58}"/>
                </c:ext>
              </c:extLst>
            </c:dLbl>
            <c:dLbl>
              <c:idx val="4"/>
              <c:layout/>
              <c:tx>
                <c:rich>
                  <a:bodyPr/>
                  <a:lstStyle/>
                  <a:p>
                    <a:r>
                      <a:rPr lang="en-US"/>
                      <a:t>5.8%</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C399-4F4C-B1DD-F19C69FFDA58}"/>
                </c:ext>
              </c:extLst>
            </c:dLbl>
            <c:dLbl>
              <c:idx val="5"/>
              <c:layout/>
              <c:tx>
                <c:rich>
                  <a:bodyPr/>
                  <a:lstStyle/>
                  <a:p>
                    <a:r>
                      <a:rPr lang="en-US"/>
                      <a:t>23.1%</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C399-4F4C-B1DD-F19C69FFDA58}"/>
                </c:ext>
              </c:extLst>
            </c:dLbl>
            <c:dLbl>
              <c:idx val="6"/>
              <c:layout/>
              <c:tx>
                <c:rich>
                  <a:bodyPr/>
                  <a:lstStyle/>
                  <a:p>
                    <a:r>
                      <a:rPr lang="en-US"/>
                      <a:t>18.1%</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6-C399-4F4C-B1DD-F19C69FFDA58}"/>
                </c:ext>
              </c:extLst>
            </c:dLbl>
            <c:numFmt formatCode="\О\с\н\о\в\н\о\й" sourceLinked="0"/>
            <c:spPr>
              <a:noFill/>
              <a:ln w="25396">
                <a:noFill/>
              </a:ln>
            </c:spPr>
            <c:txPr>
              <a:bodyPr wrap="square" lIns="38100" tIns="19050" rIns="38100" bIns="19050" anchor="ctr">
                <a:spAutoFit/>
              </a:bodyPr>
              <a:lstStyle/>
              <a:p>
                <a:pPr>
                  <a:defRPr sz="900"/>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структура!$C$16:$C$22</c:f>
              <c:strCache>
                <c:ptCount val="7"/>
                <c:pt idx="0">
                  <c:v>Industrial consumers</c:v>
                </c:pt>
                <c:pt idx="1">
                  <c:v>Transport</c:v>
                </c:pt>
                <c:pt idx="2">
                  <c:v>Agriculture</c:v>
                </c:pt>
                <c:pt idx="3">
                  <c:v>Non-industrial consumers</c:v>
                </c:pt>
                <c:pt idx="4">
                  <c:v>Public consumers</c:v>
                </c:pt>
                <c:pt idx="5">
                  <c:v>Households and equivalent consumers</c:v>
                </c:pt>
                <c:pt idx="6">
                  <c:v>TGOs</c:v>
                </c:pt>
              </c:strCache>
            </c:strRef>
          </c:cat>
          <c:val>
            <c:numRef>
              <c:f>структура!$L$16:$L$22</c:f>
              <c:numCache>
                <c:formatCode>General</c:formatCode>
                <c:ptCount val="7"/>
                <c:pt idx="0">
                  <c:v>0.25236290208514001</c:v>
                </c:pt>
                <c:pt idx="1">
                  <c:v>1.9892578947055609E-2</c:v>
                </c:pt>
                <c:pt idx="2">
                  <c:v>1.1192744746027199E-2</c:v>
                </c:pt>
                <c:pt idx="3">
                  <c:v>0.24711338584028439</c:v>
                </c:pt>
                <c:pt idx="4">
                  <c:v>5.7519727120382509E-2</c:v>
                </c:pt>
                <c:pt idx="5">
                  <c:v>0.23093890280020921</c:v>
                </c:pt>
                <c:pt idx="6">
                  <c:v>0.18097975846090103</c:v>
                </c:pt>
              </c:numCache>
            </c:numRef>
          </c:val>
          <c:extLst>
            <c:ext xmlns:c16="http://schemas.microsoft.com/office/drawing/2014/chart" uri="{C3380CC4-5D6E-409C-BE32-E72D297353CC}">
              <c16:uniqueId val="{00000007-C399-4F4C-B1DD-F19C69FFDA58}"/>
            </c:ext>
          </c:extLst>
        </c:ser>
        <c:dLbls>
          <c:showLegendKey val="0"/>
          <c:showVal val="0"/>
          <c:showCatName val="0"/>
          <c:showSerName val="0"/>
          <c:showPercent val="0"/>
          <c:showBubbleSize val="0"/>
          <c:showLeaderLines val="1"/>
        </c:dLbls>
      </c:pie3DChart>
      <c:spPr>
        <a:noFill/>
        <a:ln w="25396">
          <a:noFill/>
        </a:ln>
      </c:spPr>
    </c:plotArea>
    <c:legend>
      <c:legendPos val="r"/>
      <c:layout>
        <c:manualLayout>
          <c:xMode val="edge"/>
          <c:yMode val="edge"/>
          <c:x val="0.64713331523214768"/>
          <c:y val="0.12967291815795753"/>
          <c:w val="0.33115684677346358"/>
          <c:h val="0.80734220949654023"/>
        </c:manualLayout>
      </c:layout>
      <c:overlay val="0"/>
      <c:txPr>
        <a:bodyPr/>
        <a:lstStyle/>
        <a:p>
          <a:pPr rtl="0">
            <a:defRPr sz="800"/>
          </a:pPr>
          <a:endParaRPr lang="en-US"/>
        </a:p>
      </c:txPr>
    </c:legend>
    <c:plotVisOnly val="1"/>
    <c:dispBlanksAs val="zero"/>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521790822212484E-2"/>
          <c:y val="0.15947453280608237"/>
          <c:w val="0.27112928062495067"/>
          <c:h val="0.56104377619170065"/>
        </c:manualLayout>
      </c:layout>
      <c:doughnutChart>
        <c:varyColors val="1"/>
        <c:ser>
          <c:idx val="0"/>
          <c:order val="0"/>
          <c:tx>
            <c:strRef>
              <c:f>Лист1!$B$1</c:f>
              <c:strCache>
                <c:ptCount val="1"/>
                <c:pt idx="0">
                  <c:v>Причины аварий</c:v>
                </c:pt>
              </c:strCache>
            </c:strRef>
          </c:tx>
          <c:dPt>
            <c:idx val="0"/>
            <c:bubble3D val="0"/>
            <c:extLst>
              <c:ext xmlns:c16="http://schemas.microsoft.com/office/drawing/2014/chart" uri="{C3380CC4-5D6E-409C-BE32-E72D297353CC}">
                <c16:uniqueId val="{00000000-2ECA-4B90-A6C1-2B73F9E39968}"/>
              </c:ext>
            </c:extLst>
          </c:dPt>
          <c:dPt>
            <c:idx val="1"/>
            <c:bubble3D val="0"/>
            <c:spPr>
              <a:ln w="19037"/>
            </c:spPr>
            <c:extLst>
              <c:ext xmlns:c16="http://schemas.microsoft.com/office/drawing/2014/chart" uri="{C3380CC4-5D6E-409C-BE32-E72D297353CC}">
                <c16:uniqueId val="{00000001-2ECA-4B90-A6C1-2B73F9E39968}"/>
              </c:ext>
            </c:extLst>
          </c:dPt>
          <c:dPt>
            <c:idx val="2"/>
            <c:bubble3D val="0"/>
            <c:extLst>
              <c:ext xmlns:c16="http://schemas.microsoft.com/office/drawing/2014/chart" uri="{C3380CC4-5D6E-409C-BE32-E72D297353CC}">
                <c16:uniqueId val="{00000002-2ECA-4B90-A6C1-2B73F9E39968}"/>
              </c:ext>
            </c:extLst>
          </c:dPt>
          <c:dPt>
            <c:idx val="3"/>
            <c:bubble3D val="0"/>
            <c:extLst>
              <c:ext xmlns:c16="http://schemas.microsoft.com/office/drawing/2014/chart" uri="{C3380CC4-5D6E-409C-BE32-E72D297353CC}">
                <c16:uniqueId val="{00000003-2ECA-4B90-A6C1-2B73F9E39968}"/>
              </c:ext>
            </c:extLst>
          </c:dPt>
          <c:dPt>
            <c:idx val="4"/>
            <c:bubble3D val="0"/>
            <c:extLst>
              <c:ext xmlns:c16="http://schemas.microsoft.com/office/drawing/2014/chart" uri="{C3380CC4-5D6E-409C-BE32-E72D297353CC}">
                <c16:uniqueId val="{00000004-2ECA-4B90-A6C1-2B73F9E39968}"/>
              </c:ext>
            </c:extLst>
          </c:dPt>
          <c:dPt>
            <c:idx val="5"/>
            <c:bubble3D val="0"/>
            <c:extLst>
              <c:ext xmlns:c16="http://schemas.microsoft.com/office/drawing/2014/chart" uri="{C3380CC4-5D6E-409C-BE32-E72D297353CC}">
                <c16:uniqueId val="{00000005-2ECA-4B90-A6C1-2B73F9E39968}"/>
              </c:ext>
            </c:extLst>
          </c:dPt>
          <c:dPt>
            <c:idx val="6"/>
            <c:bubble3D val="0"/>
            <c:extLst>
              <c:ext xmlns:c16="http://schemas.microsoft.com/office/drawing/2014/chart" uri="{C3380CC4-5D6E-409C-BE32-E72D297353CC}">
                <c16:uniqueId val="{00000006-2ECA-4B90-A6C1-2B73F9E39968}"/>
              </c:ext>
            </c:extLst>
          </c:dPt>
          <c:dPt>
            <c:idx val="7"/>
            <c:bubble3D val="0"/>
            <c:extLst>
              <c:ext xmlns:c16="http://schemas.microsoft.com/office/drawing/2014/chart" uri="{C3380CC4-5D6E-409C-BE32-E72D297353CC}">
                <c16:uniqueId val="{00000007-2ECA-4B90-A6C1-2B73F9E39968}"/>
              </c:ext>
            </c:extLst>
          </c:dPt>
          <c:dLbls>
            <c:spPr>
              <a:noFill/>
              <a:ln w="25382">
                <a:noFill/>
              </a:ln>
            </c:sp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Лист1!$A$2:$A$9</c:f>
              <c:strCache>
                <c:ptCount val="8"/>
                <c:pt idx="0">
                  <c:v>Weather and natural disasters</c:v>
                </c:pt>
                <c:pt idx="1">
                  <c:v>Third-party tampering</c:v>
                </c:pt>
                <c:pt idx="2">
                  <c:v>Trees falling during bad weather </c:v>
                </c:pt>
                <c:pt idx="3">
                  <c:v>Animals and birds</c:v>
                </c:pt>
                <c:pt idx="4">
                  <c:v>Manufacturing, installation, and other defects</c:v>
                </c:pt>
                <c:pt idx="5">
                  <c:v>Poor technical condition of equipment</c:v>
                </c:pt>
                <c:pt idx="6">
                  <c:v>Poor maintenance and repair</c:v>
                </c:pt>
                <c:pt idx="7">
                  <c:v>Other causes</c:v>
                </c:pt>
              </c:strCache>
            </c:strRef>
          </c:cat>
          <c:val>
            <c:numRef>
              <c:f>Лист1!$B$2:$B$9</c:f>
              <c:numCache>
                <c:formatCode>0%</c:formatCode>
                <c:ptCount val="8"/>
                <c:pt idx="0">
                  <c:v>0.16</c:v>
                </c:pt>
                <c:pt idx="1">
                  <c:v>0.33</c:v>
                </c:pt>
                <c:pt idx="2">
                  <c:v>0.09</c:v>
                </c:pt>
                <c:pt idx="3">
                  <c:v>0.1</c:v>
                </c:pt>
                <c:pt idx="4">
                  <c:v>0.09</c:v>
                </c:pt>
                <c:pt idx="5">
                  <c:v>0.14000000000000001</c:v>
                </c:pt>
                <c:pt idx="6">
                  <c:v>0.08</c:v>
                </c:pt>
                <c:pt idx="7">
                  <c:v>0.01</c:v>
                </c:pt>
              </c:numCache>
            </c:numRef>
          </c:val>
          <c:extLst>
            <c:ext xmlns:c16="http://schemas.microsoft.com/office/drawing/2014/chart" uri="{C3380CC4-5D6E-409C-BE32-E72D297353CC}">
              <c16:uniqueId val="{00000008-2ECA-4B90-A6C1-2B73F9E39968}"/>
            </c:ext>
          </c:extLst>
        </c:ser>
        <c:dLbls>
          <c:showLegendKey val="0"/>
          <c:showVal val="0"/>
          <c:showCatName val="0"/>
          <c:showSerName val="0"/>
          <c:showPercent val="0"/>
          <c:showBubbleSize val="0"/>
          <c:showLeaderLines val="0"/>
        </c:dLbls>
        <c:firstSliceAng val="0"/>
        <c:holeSize val="50"/>
      </c:doughnutChart>
      <c:spPr>
        <a:noFill/>
        <a:ln w="25382">
          <a:noFill/>
        </a:ln>
      </c:spPr>
    </c:plotArea>
    <c:legend>
      <c:legendPos val="r"/>
      <c:legendEntry>
        <c:idx val="1"/>
        <c:txPr>
          <a:bodyPr/>
          <a:lstStyle/>
          <a:p>
            <a:pPr>
              <a:defRPr sz="999"/>
            </a:pPr>
            <a:endParaRPr lang="en-US"/>
          </a:p>
        </c:txPr>
      </c:legendEntry>
      <c:layout>
        <c:manualLayout>
          <c:xMode val="edge"/>
          <c:yMode val="edge"/>
          <c:x val="0.24848054968738664"/>
          <c:y val="0.1739334124330349"/>
          <c:w val="0.74959588588011872"/>
          <c:h val="0.49906051127170753"/>
        </c:manualLayout>
      </c:layout>
      <c:overlay val="0"/>
      <c:spPr>
        <a:ln w="6346"/>
      </c:spPr>
      <c:txPr>
        <a:bodyPr/>
        <a:lstStyle/>
        <a:p>
          <a:pPr>
            <a:defRPr sz="999"/>
          </a:pPr>
          <a:endParaRPr lang="en-US"/>
        </a:p>
      </c:txPr>
    </c:legend>
    <c:plotVisOnly val="1"/>
    <c:dispBlanksAs val="zero"/>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Лист1!$B$1</c:f>
              <c:strCache>
                <c:ptCount val="1"/>
                <c:pt idx="0">
                  <c:v>Insourced</c:v>
                </c:pt>
              </c:strCache>
            </c:strRef>
          </c:tx>
          <c:invertIfNegative val="0"/>
          <c:dLbls>
            <c:numFmt formatCode="#,##0" sourceLinked="0"/>
            <c:spPr>
              <a:noFill/>
              <a:ln w="25389">
                <a:noFill/>
              </a:ln>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Лист1!$A$2:$A$4</c:f>
              <c:numCache>
                <c:formatCode>General</c:formatCode>
                <c:ptCount val="3"/>
                <c:pt idx="0">
                  <c:v>2016</c:v>
                </c:pt>
                <c:pt idx="1">
                  <c:v>2017</c:v>
                </c:pt>
                <c:pt idx="2">
                  <c:v>2018</c:v>
                </c:pt>
              </c:numCache>
            </c:numRef>
          </c:cat>
          <c:val>
            <c:numRef>
              <c:f>Лист1!$B$2:$B$4</c:f>
              <c:numCache>
                <c:formatCode>General</c:formatCode>
                <c:ptCount val="3"/>
                <c:pt idx="0">
                  <c:v>441</c:v>
                </c:pt>
                <c:pt idx="1">
                  <c:v>454</c:v>
                </c:pt>
                <c:pt idx="2">
                  <c:v>2068</c:v>
                </c:pt>
              </c:numCache>
            </c:numRef>
          </c:val>
          <c:extLst>
            <c:ext xmlns:c16="http://schemas.microsoft.com/office/drawing/2014/chart" uri="{C3380CC4-5D6E-409C-BE32-E72D297353CC}">
              <c16:uniqueId val="{00000000-B31E-4590-9EDD-AA762CCA6E3B}"/>
            </c:ext>
          </c:extLst>
        </c:ser>
        <c:ser>
          <c:idx val="1"/>
          <c:order val="1"/>
          <c:tx>
            <c:strRef>
              <c:f>Лист1!$C$1</c:f>
              <c:strCache>
                <c:ptCount val="1"/>
                <c:pt idx="0">
                  <c:v>Outsourced</c:v>
                </c:pt>
              </c:strCache>
            </c:strRef>
          </c:tx>
          <c:invertIfNegative val="0"/>
          <c:dLbls>
            <c:dLbl>
              <c:idx val="0"/>
              <c:layout>
                <c:manualLayout>
                  <c:x val="6.9444444444444805E-3"/>
                  <c:y val="-1.1904761904761942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31E-4590-9EDD-AA762CCA6E3B}"/>
                </c:ext>
              </c:extLst>
            </c:dLbl>
            <c:dLbl>
              <c:idx val="1"/>
              <c:layout>
                <c:manualLayout>
                  <c:x val="2.3148148148148147E-3"/>
                  <c:y val="-1.1904761904761942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31E-4590-9EDD-AA762CCA6E3B}"/>
                </c:ext>
              </c:extLst>
            </c:dLbl>
            <c:dLbl>
              <c:idx val="2"/>
              <c:layout>
                <c:manualLayout>
                  <c:x val="4.6296296296296589E-3"/>
                  <c:y val="-2.3809523809523839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31E-4590-9EDD-AA762CCA6E3B}"/>
                </c:ext>
              </c:extLst>
            </c:dLbl>
            <c:numFmt formatCode="#,##0" sourceLinked="0"/>
            <c:spPr>
              <a:noFill/>
              <a:ln w="25389">
                <a:noFill/>
              </a:ln>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Лист1!$C$2:$C$4</c:f>
              <c:numCache>
                <c:formatCode>General</c:formatCode>
                <c:ptCount val="3"/>
                <c:pt idx="0">
                  <c:v>882</c:v>
                </c:pt>
                <c:pt idx="1">
                  <c:v>1112</c:v>
                </c:pt>
                <c:pt idx="2">
                  <c:v>1117</c:v>
                </c:pt>
              </c:numCache>
            </c:numRef>
          </c:val>
          <c:extLst>
            <c:ext xmlns:c16="http://schemas.microsoft.com/office/drawing/2014/chart" uri="{C3380CC4-5D6E-409C-BE32-E72D297353CC}">
              <c16:uniqueId val="{00000004-B31E-4590-9EDD-AA762CCA6E3B}"/>
            </c:ext>
          </c:extLst>
        </c:ser>
        <c:dLbls>
          <c:showLegendKey val="0"/>
          <c:showVal val="0"/>
          <c:showCatName val="0"/>
          <c:showSerName val="0"/>
          <c:showPercent val="0"/>
          <c:showBubbleSize val="0"/>
        </c:dLbls>
        <c:gapWidth val="150"/>
        <c:overlap val="100"/>
        <c:axId val="2074545824"/>
        <c:axId val="1"/>
      </c:barChart>
      <c:catAx>
        <c:axId val="2074545824"/>
        <c:scaling>
          <c:orientation val="minMax"/>
        </c:scaling>
        <c:delete val="0"/>
        <c:axPos val="b"/>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2074545824"/>
        <c:crosses val="autoZero"/>
        <c:crossBetween val="between"/>
      </c:valAx>
    </c:plotArea>
    <c:legend>
      <c:legendPos val="r"/>
      <c:layout/>
      <c:overlay val="0"/>
    </c:legend>
    <c:plotVisOnly val="1"/>
    <c:dispBlanksAs val="gap"/>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Лист1!$B$1</c:f>
              <c:strCache>
                <c:ptCount val="1"/>
                <c:pt idx="0">
                  <c:v>100% met</c:v>
                </c:pt>
              </c:strCache>
            </c:strRef>
          </c:tx>
          <c:spPr>
            <a:solidFill>
              <a:schemeClr val="accent1">
                <a:shade val="65000"/>
              </a:schemeClr>
            </a:solidFill>
            <a:ln>
              <a:noFill/>
            </a:ln>
            <a:effectLst/>
          </c:spPr>
          <c:invertIfNegative val="0"/>
          <c:dLbls>
            <c:spPr>
              <a:noFill/>
              <a:ln w="19792">
                <a:noFill/>
              </a:ln>
            </c:spPr>
            <c:txPr>
              <a:bodyPr rot="0" spcFirstLastPara="1" vertOverflow="ellipsis" vert="horz" wrap="square" lIns="38100" tIns="19050" rIns="38100" bIns="19050" anchor="ctr" anchorCtr="1">
                <a:spAutoFit/>
              </a:bodyPr>
              <a:lstStyle/>
              <a:p>
                <a:pPr>
                  <a:defRPr sz="779"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Лист1!$A$2:$A$8</c:f>
              <c:strCache>
                <c:ptCount val="7"/>
                <c:pt idx="0">
                  <c:v>I.Shareholder rights</c:v>
                </c:pt>
                <c:pt idx="1">
                  <c:v>II. Board of Directors</c:v>
                </c:pt>
                <c:pt idx="2">
                  <c:v>III. Corporate Secretary</c:v>
                </c:pt>
                <c:pt idx="3">
                  <c:v>IV. Remuneration system</c:v>
                </c:pt>
                <c:pt idx="4">
                  <c:v>V. Risk amangement and internal control</c:v>
                </c:pt>
                <c:pt idx="5">
                  <c:v>VI. Disclosure</c:v>
                </c:pt>
                <c:pt idx="6">
                  <c:v>VII. Material corporate actions</c:v>
                </c:pt>
              </c:strCache>
            </c:strRef>
          </c:cat>
          <c:val>
            <c:numRef>
              <c:f>Лист1!$B$2:$B$8</c:f>
              <c:numCache>
                <c:formatCode>0</c:formatCode>
                <c:ptCount val="7"/>
                <c:pt idx="0">
                  <c:v>17</c:v>
                </c:pt>
                <c:pt idx="1">
                  <c:v>27</c:v>
                </c:pt>
                <c:pt idx="2">
                  <c:v>3</c:v>
                </c:pt>
                <c:pt idx="3">
                  <c:v>10</c:v>
                </c:pt>
                <c:pt idx="4">
                  <c:v>15</c:v>
                </c:pt>
                <c:pt idx="5">
                  <c:v>7</c:v>
                </c:pt>
                <c:pt idx="6">
                  <c:v>3</c:v>
                </c:pt>
              </c:numCache>
            </c:numRef>
          </c:val>
          <c:extLst>
            <c:ext xmlns:c16="http://schemas.microsoft.com/office/drawing/2014/chart" uri="{C3380CC4-5D6E-409C-BE32-E72D297353CC}">
              <c16:uniqueId val="{00000000-29EF-4DC5-81B8-9254840931DB}"/>
            </c:ext>
          </c:extLst>
        </c:ser>
        <c:ser>
          <c:idx val="1"/>
          <c:order val="1"/>
          <c:tx>
            <c:strRef>
              <c:f>Лист1!$C$1</c:f>
              <c:strCache>
                <c:ptCount val="1"/>
                <c:pt idx="0">
                  <c:v>Partly met</c:v>
                </c:pt>
              </c:strCache>
            </c:strRef>
          </c:tx>
          <c:spPr>
            <a:solidFill>
              <a:srgbClr val="5B9BD5"/>
            </a:solidFill>
            <a:ln w="19792">
              <a:noFill/>
            </a:ln>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1-29EF-4DC5-81B8-9254840931DB}"/>
                </c:ext>
              </c:extLst>
            </c:dLbl>
            <c:dLbl>
              <c:idx val="3"/>
              <c:delete val="1"/>
              <c:extLst>
                <c:ext xmlns:c15="http://schemas.microsoft.com/office/drawing/2012/chart" uri="{CE6537A1-D6FC-4f65-9D91-7224C49458BB}"/>
                <c:ext xmlns:c16="http://schemas.microsoft.com/office/drawing/2014/chart" uri="{C3380CC4-5D6E-409C-BE32-E72D297353CC}">
                  <c16:uniqueId val="{00000002-29EF-4DC5-81B8-9254840931DB}"/>
                </c:ext>
              </c:extLst>
            </c:dLbl>
            <c:dLbl>
              <c:idx val="4"/>
              <c:delete val="1"/>
              <c:extLst>
                <c:ext xmlns:c15="http://schemas.microsoft.com/office/drawing/2012/chart" uri="{CE6537A1-D6FC-4f65-9D91-7224C49458BB}"/>
                <c:ext xmlns:c16="http://schemas.microsoft.com/office/drawing/2014/chart" uri="{C3380CC4-5D6E-409C-BE32-E72D297353CC}">
                  <c16:uniqueId val="{00000003-29EF-4DC5-81B8-9254840931DB}"/>
                </c:ext>
              </c:extLst>
            </c:dLbl>
            <c:dLbl>
              <c:idx val="5"/>
              <c:delete val="1"/>
              <c:extLst>
                <c:ext xmlns:c15="http://schemas.microsoft.com/office/drawing/2012/chart" uri="{CE6537A1-D6FC-4f65-9D91-7224C49458BB}"/>
                <c:ext xmlns:c16="http://schemas.microsoft.com/office/drawing/2014/chart" uri="{C3380CC4-5D6E-409C-BE32-E72D297353CC}">
                  <c16:uniqueId val="{00000004-29EF-4DC5-81B8-9254840931DB}"/>
                </c:ext>
              </c:extLst>
            </c:dLbl>
            <c:spPr>
              <a:noFill/>
              <a:ln w="19792">
                <a:noFill/>
              </a:ln>
            </c:spPr>
            <c:txPr>
              <a:bodyPr rot="0" spcFirstLastPara="1" vertOverflow="ellipsis" vert="horz" wrap="square" lIns="38100" tIns="19050" rIns="38100" bIns="19050" anchor="ctr" anchorCtr="1">
                <a:spAutoFit/>
              </a:bodyPr>
              <a:lstStyle/>
              <a:p>
                <a:pPr>
                  <a:defRPr sz="779"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Лист1!$A$2:$A$8</c:f>
              <c:strCache>
                <c:ptCount val="7"/>
                <c:pt idx="0">
                  <c:v>I.Shareholder rights</c:v>
                </c:pt>
                <c:pt idx="1">
                  <c:v>II. Board of Directors</c:v>
                </c:pt>
                <c:pt idx="2">
                  <c:v>III. Corporate Secretary</c:v>
                </c:pt>
                <c:pt idx="3">
                  <c:v>IV. Remuneration system</c:v>
                </c:pt>
                <c:pt idx="4">
                  <c:v>V. Risk amangement and internal control</c:v>
                </c:pt>
                <c:pt idx="5">
                  <c:v>VI. Disclosure</c:v>
                </c:pt>
                <c:pt idx="6">
                  <c:v>VII. Material corporate actions</c:v>
                </c:pt>
              </c:strCache>
            </c:strRef>
          </c:cat>
          <c:val>
            <c:numRef>
              <c:f>Лист1!$C$2:$C$8</c:f>
              <c:numCache>
                <c:formatCode>0</c:formatCode>
                <c:ptCount val="7"/>
                <c:pt idx="0">
                  <c:v>3</c:v>
                </c:pt>
                <c:pt idx="1">
                  <c:v>7</c:v>
                </c:pt>
                <c:pt idx="2">
                  <c:v>0</c:v>
                </c:pt>
                <c:pt idx="3">
                  <c:v>0</c:v>
                </c:pt>
                <c:pt idx="4">
                  <c:v>0</c:v>
                </c:pt>
                <c:pt idx="5">
                  <c:v>0</c:v>
                </c:pt>
                <c:pt idx="6">
                  <c:v>3</c:v>
                </c:pt>
              </c:numCache>
            </c:numRef>
          </c:val>
          <c:extLst>
            <c:ext xmlns:c16="http://schemas.microsoft.com/office/drawing/2014/chart" uri="{C3380CC4-5D6E-409C-BE32-E72D297353CC}">
              <c16:uniqueId val="{00000005-29EF-4DC5-81B8-9254840931DB}"/>
            </c:ext>
          </c:extLst>
        </c:ser>
        <c:ser>
          <c:idx val="2"/>
          <c:order val="2"/>
          <c:tx>
            <c:strRef>
              <c:f>Лист1!$D$1</c:f>
              <c:strCache>
                <c:ptCount val="1"/>
                <c:pt idx="0">
                  <c:v>Not met</c:v>
                </c:pt>
              </c:strCache>
            </c:strRef>
          </c:tx>
          <c:spPr>
            <a:solidFill>
              <a:schemeClr val="accent1">
                <a:tint val="65000"/>
              </a:schemeClr>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6-29EF-4DC5-81B8-9254840931DB}"/>
                </c:ext>
              </c:extLst>
            </c:dLbl>
            <c:dLbl>
              <c:idx val="4"/>
              <c:delete val="1"/>
              <c:extLst>
                <c:ext xmlns:c15="http://schemas.microsoft.com/office/drawing/2012/chart" uri="{CE6537A1-D6FC-4f65-9D91-7224C49458BB}"/>
                <c:ext xmlns:c16="http://schemas.microsoft.com/office/drawing/2014/chart" uri="{C3380CC4-5D6E-409C-BE32-E72D297353CC}">
                  <c16:uniqueId val="{00000007-29EF-4DC5-81B8-9254840931DB}"/>
                </c:ext>
              </c:extLst>
            </c:dLbl>
            <c:dLbl>
              <c:idx val="5"/>
              <c:delete val="1"/>
              <c:extLst>
                <c:ext xmlns:c15="http://schemas.microsoft.com/office/drawing/2012/chart" uri="{CE6537A1-D6FC-4f65-9D91-7224C49458BB}"/>
                <c:ext xmlns:c16="http://schemas.microsoft.com/office/drawing/2014/chart" uri="{C3380CC4-5D6E-409C-BE32-E72D297353CC}">
                  <c16:uniqueId val="{00000008-29EF-4DC5-81B8-9254840931DB}"/>
                </c:ext>
              </c:extLst>
            </c:dLbl>
            <c:spPr>
              <a:noFill/>
              <a:ln w="19792">
                <a:noFill/>
              </a:ln>
            </c:spPr>
            <c:txPr>
              <a:bodyPr rot="0" spcFirstLastPara="1" vertOverflow="ellipsis" vert="horz" wrap="square" lIns="38100" tIns="19050" rIns="38100" bIns="19050" anchor="ctr" anchorCtr="1">
                <a:spAutoFit/>
              </a:bodyPr>
              <a:lstStyle/>
              <a:p>
                <a:pPr>
                  <a:defRPr sz="779"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Лист1!$A$2:$A$8</c:f>
              <c:strCache>
                <c:ptCount val="7"/>
                <c:pt idx="0">
                  <c:v>I.Shareholder rights</c:v>
                </c:pt>
                <c:pt idx="1">
                  <c:v>II. Board of Directors</c:v>
                </c:pt>
                <c:pt idx="2">
                  <c:v>III. Corporate Secretary</c:v>
                </c:pt>
                <c:pt idx="3">
                  <c:v>IV. Remuneration system</c:v>
                </c:pt>
                <c:pt idx="4">
                  <c:v>V. Risk amangement and internal control</c:v>
                </c:pt>
                <c:pt idx="5">
                  <c:v>VI. Disclosure</c:v>
                </c:pt>
                <c:pt idx="6">
                  <c:v>VII. Material corporate actions</c:v>
                </c:pt>
              </c:strCache>
            </c:strRef>
          </c:cat>
          <c:val>
            <c:numRef>
              <c:f>Лист1!$D$2:$D$8</c:f>
              <c:numCache>
                <c:formatCode>0</c:formatCode>
                <c:ptCount val="7"/>
                <c:pt idx="0">
                  <c:v>3</c:v>
                </c:pt>
                <c:pt idx="1">
                  <c:v>24</c:v>
                </c:pt>
                <c:pt idx="2">
                  <c:v>0</c:v>
                </c:pt>
                <c:pt idx="3">
                  <c:v>3</c:v>
                </c:pt>
                <c:pt idx="4">
                  <c:v>0</c:v>
                </c:pt>
                <c:pt idx="5">
                  <c:v>0</c:v>
                </c:pt>
                <c:pt idx="6">
                  <c:v>3</c:v>
                </c:pt>
              </c:numCache>
            </c:numRef>
          </c:val>
          <c:extLst>
            <c:ext xmlns:c16="http://schemas.microsoft.com/office/drawing/2014/chart" uri="{C3380CC4-5D6E-409C-BE32-E72D297353CC}">
              <c16:uniqueId val="{00000009-29EF-4DC5-81B8-9254840931DB}"/>
            </c:ext>
          </c:extLst>
        </c:ser>
        <c:dLbls>
          <c:showLegendKey val="0"/>
          <c:showVal val="0"/>
          <c:showCatName val="0"/>
          <c:showSerName val="0"/>
          <c:showPercent val="0"/>
          <c:showBubbleSize val="0"/>
        </c:dLbls>
        <c:gapWidth val="150"/>
        <c:overlap val="100"/>
        <c:axId val="2028691696"/>
        <c:axId val="1"/>
      </c:barChart>
      <c:catAx>
        <c:axId val="2028691696"/>
        <c:scaling>
          <c:orientation val="minMax"/>
        </c:scaling>
        <c:delete val="0"/>
        <c:axPos val="b"/>
        <c:numFmt formatCode="\О\с\н\о\в\н\о\й" sourceLinked="0"/>
        <c:majorTickMark val="out"/>
        <c:minorTickMark val="none"/>
        <c:tickLblPos val="nextTo"/>
        <c:spPr>
          <a:noFill/>
          <a:ln w="4948" cap="flat" cmpd="sng" algn="ctr">
            <a:solidFill>
              <a:schemeClr val="tx1">
                <a:tint val="75000"/>
              </a:schemeClr>
            </a:solidFill>
            <a:prstDash val="solid"/>
            <a:round/>
          </a:ln>
          <a:effectLst/>
        </c:spPr>
        <c:txPr>
          <a:bodyPr rot="-60000000" spcFirstLastPara="1" vertOverflow="ellipsis" vert="horz" wrap="square" anchor="ctr" anchorCtr="1"/>
          <a:lstStyle/>
          <a:p>
            <a:pPr>
              <a:defRPr sz="584" b="0" i="0" u="none" strike="noStrike" kern="1200" baseline="0">
                <a:solidFill>
                  <a:schemeClr val="tx1"/>
                </a:solidFill>
                <a:latin typeface="+mn-lt"/>
                <a:ea typeface="+mn-ea"/>
                <a:cs typeface="+mn-cs"/>
              </a:defRPr>
            </a:pPr>
            <a:endParaRPr lang="en-US"/>
          </a:p>
        </c:txPr>
        <c:crossAx val="1"/>
        <c:crossesAt val="0"/>
        <c:auto val="1"/>
        <c:lblAlgn val="ctr"/>
        <c:lblOffset val="100"/>
        <c:noMultiLvlLbl val="0"/>
      </c:catAx>
      <c:valAx>
        <c:axId val="1"/>
        <c:scaling>
          <c:orientation val="minMax"/>
        </c:scaling>
        <c:delete val="1"/>
        <c:axPos val="l"/>
        <c:numFmt formatCode="0%" sourceLinked="1"/>
        <c:majorTickMark val="out"/>
        <c:minorTickMark val="none"/>
        <c:tickLblPos val="nextTo"/>
        <c:crossAx val="2028691696"/>
        <c:crosses val="autoZero"/>
        <c:crossBetween val="between"/>
      </c:valAx>
      <c:spPr>
        <a:solidFill>
          <a:schemeClr val="bg1"/>
        </a:solidFill>
        <a:ln>
          <a:solidFill>
            <a:schemeClr val="accent1"/>
          </a:solidFill>
        </a:ln>
        <a:effectLst/>
      </c:spPr>
    </c:plotArea>
    <c:legend>
      <c:legendPos val="t"/>
      <c:layout/>
      <c:overlay val="0"/>
      <c:spPr>
        <a:noFill/>
        <a:ln w="19792">
          <a:noFill/>
        </a:ln>
      </c:spPr>
      <c:txPr>
        <a:bodyPr rot="0" spcFirstLastPara="1" vertOverflow="ellipsis" vert="horz" wrap="square" anchor="ctr" anchorCtr="1"/>
        <a:lstStyle/>
        <a:p>
          <a:pPr>
            <a:defRPr sz="779"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4948" cap="flat" cmpd="sng" algn="ctr">
      <a:solidFill>
        <a:schemeClr val="tx1">
          <a:tint val="75000"/>
        </a:schemeClr>
      </a:solidFill>
      <a:prstDash val="solid"/>
      <a:round/>
    </a:ln>
    <a:effectLst/>
  </c:spPr>
  <c:txPr>
    <a:bodyPr/>
    <a:lstStyle/>
    <a:p>
      <a:pPr>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088">
                <a:latin typeface="Times New Roman" panose="02020603050405020304" pitchFamily="18" charset="0"/>
                <a:cs typeface="Times New Roman" panose="02020603050405020304" pitchFamily="18" charset="0"/>
              </a:defRPr>
            </a:pPr>
            <a:r>
              <a:rPr lang="en-US" sz="1088" b="1" i="0" u="none" strike="noStrike" baseline="0">
                <a:effectLst/>
              </a:rPr>
              <a:t>Changes in the Company’s insiders in 2018</a:t>
            </a:r>
            <a:endParaRPr lang="ru-RU" sz="933">
              <a:effectLst/>
            </a:endParaRPr>
          </a:p>
        </c:rich>
      </c:tx>
      <c:layout/>
      <c:overlay val="0"/>
      <c:spPr>
        <a:noFill/>
        <a:ln w="19741">
          <a:noFill/>
        </a:ln>
      </c:spPr>
    </c:title>
    <c:autoTitleDeleted val="0"/>
    <c:view3D>
      <c:rotX val="30"/>
      <c:rotY val="207"/>
      <c:rAngAx val="0"/>
      <c:perspective val="0"/>
    </c:view3D>
    <c:floor>
      <c:thickness val="0"/>
    </c:floor>
    <c:sideWall>
      <c:thickness val="0"/>
    </c:sideWall>
    <c:backWall>
      <c:thickness val="0"/>
    </c:backWall>
    <c:plotArea>
      <c:layout>
        <c:manualLayout>
          <c:layoutTarget val="inner"/>
          <c:xMode val="edge"/>
          <c:yMode val="edge"/>
          <c:x val="1.2577951936975114E-2"/>
          <c:y val="0.23229138024413615"/>
          <c:w val="0.96236359690608098"/>
          <c:h val="0.44509852935049787"/>
        </c:manualLayout>
      </c:layout>
      <c:pie3DChart>
        <c:varyColors val="1"/>
        <c:ser>
          <c:idx val="0"/>
          <c:order val="0"/>
          <c:tx>
            <c:strRef>
              <c:f>Лист1!$B$1</c:f>
              <c:strCache>
                <c:ptCount val="1"/>
                <c:pt idx="0">
                  <c:v>Обращения о возможных фактах коррупции</c:v>
                </c:pt>
              </c:strCache>
            </c:strRef>
          </c:tx>
          <c:spPr>
            <a:solidFill>
              <a:schemeClr val="accent6">
                <a:lumMod val="75000"/>
              </a:schemeClr>
            </a:solidFill>
          </c:spPr>
          <c:explosion val="4"/>
          <c:dPt>
            <c:idx val="0"/>
            <c:bubble3D val="0"/>
            <c:spPr>
              <a:solidFill>
                <a:schemeClr val="accent6">
                  <a:lumMod val="75000"/>
                </a:schemeClr>
              </a:solidFill>
              <a:ln w="19741">
                <a:solidFill>
                  <a:schemeClr val="lt1"/>
                </a:solidFill>
              </a:ln>
              <a:effectLst/>
              <a:sp3d contourW="25400">
                <a:contourClr>
                  <a:schemeClr val="lt1"/>
                </a:contourClr>
              </a:sp3d>
            </c:spPr>
            <c:extLst>
              <c:ext xmlns:c16="http://schemas.microsoft.com/office/drawing/2014/chart" uri="{C3380CC4-5D6E-409C-BE32-E72D297353CC}">
                <c16:uniqueId val="{00000000-5D39-4CBE-8DA3-6298BCE2A9F2}"/>
              </c:ext>
            </c:extLst>
          </c:dPt>
          <c:dPt>
            <c:idx val="1"/>
            <c:bubble3D val="0"/>
            <c:spPr>
              <a:solidFill>
                <a:schemeClr val="accent4">
                  <a:lumMod val="75000"/>
                </a:schemeClr>
              </a:solidFill>
              <a:ln w="19741">
                <a:solidFill>
                  <a:schemeClr val="lt1"/>
                </a:solidFill>
              </a:ln>
              <a:effectLst/>
              <a:sp3d contourW="25400">
                <a:contourClr>
                  <a:schemeClr val="lt1"/>
                </a:contourClr>
              </a:sp3d>
            </c:spPr>
            <c:extLst>
              <c:ext xmlns:c16="http://schemas.microsoft.com/office/drawing/2014/chart" uri="{C3380CC4-5D6E-409C-BE32-E72D297353CC}">
                <c16:uniqueId val="{00000001-5D39-4CBE-8DA3-6298BCE2A9F2}"/>
              </c:ext>
            </c:extLst>
          </c:dPt>
          <c:dLbls>
            <c:dLbl>
              <c:idx val="0"/>
              <c:layout/>
              <c:tx>
                <c:rich>
                  <a:bodyPr/>
                  <a:lstStyle/>
                  <a:p>
                    <a:pPr>
                      <a:defRPr sz="699" b="0" i="0" u="none" strike="noStrike" baseline="0">
                        <a:solidFill>
                          <a:srgbClr val="000000"/>
                        </a:solidFill>
                        <a:latin typeface="Times New Roman"/>
                        <a:ea typeface="Times New Roman"/>
                        <a:cs typeface="Times New Roman"/>
                      </a:defRPr>
                    </a:pPr>
                    <a:r>
                      <a:rPr lang="en-US"/>
                      <a:t>38</a:t>
                    </a:r>
                  </a:p>
                </c:rich>
              </c:tx>
              <c:numFmt formatCode="\О\с\н\о\в\н\о\й" sourceLinked="0"/>
              <c:spPr>
                <a:noFill/>
                <a:ln w="19741">
                  <a:noFill/>
                </a:ln>
              </c:spPr>
              <c:dLblPos val="outEnd"/>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5D39-4CBE-8DA3-6298BCE2A9F2}"/>
                </c:ext>
              </c:extLst>
            </c:dLbl>
            <c:dLbl>
              <c:idx val="1"/>
              <c:layout/>
              <c:tx>
                <c:rich>
                  <a:bodyPr/>
                  <a:lstStyle/>
                  <a:p>
                    <a:pPr>
                      <a:defRPr sz="699" b="0" i="0" u="none" strike="noStrike" baseline="0">
                        <a:solidFill>
                          <a:srgbClr val="000000"/>
                        </a:solidFill>
                        <a:latin typeface="Times New Roman"/>
                        <a:ea typeface="Times New Roman"/>
                        <a:cs typeface="Times New Roman"/>
                      </a:defRPr>
                    </a:pPr>
                    <a:r>
                      <a:rPr lang="en-US"/>
                      <a:t>40</a:t>
                    </a:r>
                  </a:p>
                </c:rich>
              </c:tx>
              <c:numFmt formatCode="\О\с\н\о\в\н\о\й" sourceLinked="0"/>
              <c:spPr>
                <a:noFill/>
                <a:ln w="19741">
                  <a:noFill/>
                </a:ln>
              </c:spPr>
              <c:dLblPos val="outEnd"/>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D39-4CBE-8DA3-6298BCE2A9F2}"/>
                </c:ext>
              </c:extLst>
            </c:dLbl>
            <c:numFmt formatCode="\О\с\н\о\в\н\о\й" sourceLinked="0"/>
            <c:spPr>
              <a:noFill/>
              <a:ln w="19741">
                <a:noFill/>
              </a:ln>
            </c:spPr>
            <c:txPr>
              <a:bodyPr rot="0" vert="horz"/>
              <a:lstStyle/>
              <a:p>
                <a:pPr>
                  <a:defRPr sz="699">
                    <a:latin typeface="Times New Roman" panose="02020603050405020304" pitchFamily="18" charset="0"/>
                    <a:cs typeface="Times New Roman" panose="02020603050405020304" pitchFamily="18" charset="0"/>
                  </a:defRPr>
                </a:pPr>
                <a:endParaRPr lang="en-US"/>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Лист1!$A$2:$A$3</c:f>
              <c:strCache>
                <c:ptCount val="2"/>
                <c:pt idx="0">
                  <c:v>Included in the list of insiders (persons)</c:v>
                </c:pt>
                <c:pt idx="1">
                  <c:v>Excluded from the list of insiders (persons)</c:v>
                </c:pt>
              </c:strCache>
            </c:strRef>
          </c:cat>
          <c:val>
            <c:numRef>
              <c:f>Лист1!$B$2:$B$3</c:f>
              <c:numCache>
                <c:formatCode>General</c:formatCode>
                <c:ptCount val="2"/>
                <c:pt idx="0">
                  <c:v>38</c:v>
                </c:pt>
                <c:pt idx="1">
                  <c:v>40</c:v>
                </c:pt>
              </c:numCache>
            </c:numRef>
          </c:val>
          <c:extLst>
            <c:ext xmlns:c16="http://schemas.microsoft.com/office/drawing/2014/chart" uri="{C3380CC4-5D6E-409C-BE32-E72D297353CC}">
              <c16:uniqueId val="{00000002-5D39-4CBE-8DA3-6298BCE2A9F2}"/>
            </c:ext>
          </c:extLst>
        </c:ser>
        <c:dLbls>
          <c:showLegendKey val="0"/>
          <c:showVal val="0"/>
          <c:showCatName val="0"/>
          <c:showSerName val="0"/>
          <c:showPercent val="0"/>
          <c:showBubbleSize val="0"/>
          <c:showLeaderLines val="0"/>
        </c:dLbls>
      </c:pie3DChart>
      <c:spPr>
        <a:noFill/>
        <a:ln w="19741">
          <a:noFill/>
        </a:ln>
      </c:spPr>
    </c:plotArea>
    <c:legend>
      <c:legendPos val="b"/>
      <c:layout>
        <c:manualLayout>
          <c:xMode val="edge"/>
          <c:yMode val="edge"/>
          <c:x val="0.7608911915326545"/>
          <c:y val="0.29497229512977546"/>
          <c:w val="0.2145670146280575"/>
          <c:h val="0.48809671518332937"/>
        </c:manualLayout>
      </c:layout>
      <c:overlay val="0"/>
      <c:spPr>
        <a:noFill/>
        <a:ln w="19741">
          <a:noFill/>
        </a:ln>
      </c:spPr>
      <c:txPr>
        <a:bodyPr rot="0" vert="horz"/>
        <a:lstStyle/>
        <a:p>
          <a:pPr>
            <a:defRPr sz="699">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solidFill>
      <a:schemeClr val="lt1"/>
    </a:solidFill>
    <a:ln>
      <a:noFill/>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
22.06.2015 - по настоящее время</c:v>
                </c:pt>
              </c:strCache>
            </c:strRef>
          </c:tx>
          <c:dPt>
            <c:idx val="0"/>
            <c:bubble3D val="0"/>
            <c:extLst>
              <c:ext xmlns:c16="http://schemas.microsoft.com/office/drawing/2014/chart" uri="{C3380CC4-5D6E-409C-BE32-E72D297353CC}">
                <c16:uniqueId val="{00000000-42E0-4875-9E59-66FDBB94D7A8}"/>
              </c:ext>
            </c:extLst>
          </c:dPt>
          <c:dPt>
            <c:idx val="1"/>
            <c:bubble3D val="0"/>
            <c:extLst>
              <c:ext xmlns:c16="http://schemas.microsoft.com/office/drawing/2014/chart" uri="{C3380CC4-5D6E-409C-BE32-E72D297353CC}">
                <c16:uniqueId val="{00000001-42E0-4875-9E59-66FDBB94D7A8}"/>
              </c:ext>
            </c:extLst>
          </c:dPt>
          <c:dPt>
            <c:idx val="2"/>
            <c:bubble3D val="0"/>
            <c:extLst>
              <c:ext xmlns:c16="http://schemas.microsoft.com/office/drawing/2014/chart" uri="{C3380CC4-5D6E-409C-BE32-E72D297353CC}">
                <c16:uniqueId val="{00000002-42E0-4875-9E59-66FDBB94D7A8}"/>
              </c:ext>
            </c:extLst>
          </c:dPt>
          <c:dLbls>
            <c:dLbl>
              <c:idx val="0"/>
              <c:layout/>
              <c:tx>
                <c:rich>
                  <a:bodyPr wrap="square" lIns="38100" tIns="19050" rIns="38100" bIns="19050" anchor="ctr">
                    <a:spAutoFit/>
                  </a:bodyPr>
                  <a:lstStyle/>
                  <a:p>
                    <a:pPr>
                      <a:defRPr/>
                    </a:pPr>
                    <a:r>
                      <a:rPr lang="en-US" sz="1399">
                        <a:solidFill>
                          <a:schemeClr val="bg1"/>
                        </a:solidFill>
                      </a:rPr>
                      <a:t>6</a:t>
                    </a:r>
                  </a:p>
                </c:rich>
              </c:tx>
              <c:spPr>
                <a:noFill/>
                <a:ln w="25381">
                  <a:noFill/>
                </a:ln>
              </c:spPr>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2E0-4875-9E59-66FDBB94D7A8}"/>
                </c:ext>
              </c:extLst>
            </c:dLbl>
            <c:dLbl>
              <c:idx val="1"/>
              <c:layout/>
              <c:tx>
                <c:rich>
                  <a:bodyPr wrap="square" lIns="38100" tIns="19050" rIns="38100" bIns="19050" anchor="ctr">
                    <a:spAutoFit/>
                  </a:bodyPr>
                  <a:lstStyle/>
                  <a:p>
                    <a:pPr>
                      <a:defRPr/>
                    </a:pPr>
                    <a:r>
                      <a:rPr lang="en-US" sz="1399">
                        <a:solidFill>
                          <a:schemeClr val="bg1"/>
                        </a:solidFill>
                      </a:rPr>
                      <a:t>6</a:t>
                    </a:r>
                  </a:p>
                </c:rich>
              </c:tx>
              <c:spPr>
                <a:noFill/>
                <a:ln w="25381">
                  <a:noFill/>
                </a:ln>
              </c:spPr>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2E0-4875-9E59-66FDBB94D7A8}"/>
                </c:ext>
              </c:extLst>
            </c:dLbl>
            <c:dLbl>
              <c:idx val="2"/>
              <c:layout/>
              <c:tx>
                <c:rich>
                  <a:bodyPr wrap="square" lIns="38100" tIns="19050" rIns="38100" bIns="19050" anchor="ctr">
                    <a:spAutoFit/>
                  </a:bodyPr>
                  <a:lstStyle/>
                  <a:p>
                    <a:pPr>
                      <a:defRPr/>
                    </a:pPr>
                    <a:r>
                      <a:rPr lang="en-US" sz="1399">
                        <a:solidFill>
                          <a:schemeClr val="bg1"/>
                        </a:solidFill>
                      </a:rPr>
                      <a:t>1</a:t>
                    </a:r>
                  </a:p>
                </c:rich>
              </c:tx>
              <c:spPr>
                <a:noFill/>
                <a:ln w="25381">
                  <a:noFill/>
                </a:ln>
              </c:spPr>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2E0-4875-9E59-66FDBB94D7A8}"/>
                </c:ext>
              </c:extLst>
            </c:dLbl>
            <c:dLbl>
              <c:idx val="3"/>
              <c:tx>
                <c:rich>
                  <a:bodyPr wrap="square" lIns="38100" tIns="19050" rIns="38100" bIns="19050" anchor="ctr">
                    <a:spAutoFit/>
                  </a:bodyPr>
                  <a:lstStyle/>
                  <a:p>
                    <a:pPr>
                      <a:defRPr/>
                    </a:pPr>
                    <a:r>
                      <a:rPr lang="en-US" sz="1399">
                        <a:solidFill>
                          <a:schemeClr val="bg1"/>
                        </a:solidFill>
                      </a:rPr>
                      <a:t>1</a:t>
                    </a:r>
                  </a:p>
                </c:rich>
              </c:tx>
              <c:spPr>
                <a:noFill/>
                <a:ln w="25381">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2E0-4875-9E59-66FDBB94D7A8}"/>
                </c:ext>
              </c:extLst>
            </c:dLbl>
            <c:spPr>
              <a:noFill/>
              <a:ln w="25381">
                <a:noFill/>
              </a:ln>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Rosseti</c:v>
                </c:pt>
                <c:pt idx="1">
                  <c:v>Government</c:v>
                </c:pt>
                <c:pt idx="2">
                  <c:v>Independent director</c:v>
                </c:pt>
              </c:strCache>
            </c:strRef>
          </c:cat>
          <c:val>
            <c:numRef>
              <c:f>Лист1!$B$2:$B$4</c:f>
              <c:numCache>
                <c:formatCode>General</c:formatCode>
                <c:ptCount val="3"/>
                <c:pt idx="0">
                  <c:v>6</c:v>
                </c:pt>
                <c:pt idx="1">
                  <c:v>6</c:v>
                </c:pt>
                <c:pt idx="2">
                  <c:v>1</c:v>
                </c:pt>
              </c:numCache>
            </c:numRef>
          </c:val>
          <c:extLst>
            <c:ext xmlns:c16="http://schemas.microsoft.com/office/drawing/2014/chart" uri="{C3380CC4-5D6E-409C-BE32-E72D297353CC}">
              <c16:uniqueId val="{00000004-42E0-4875-9E59-66FDBB94D7A8}"/>
            </c:ext>
          </c:extLst>
        </c:ser>
        <c:dLbls>
          <c:showLegendKey val="0"/>
          <c:showVal val="0"/>
          <c:showCatName val="0"/>
          <c:showSerName val="0"/>
          <c:showPercent val="0"/>
          <c:showBubbleSize val="0"/>
          <c:showLeaderLines val="1"/>
        </c:dLbls>
        <c:firstSliceAng val="0"/>
      </c:pieChart>
      <c:spPr>
        <a:noFill/>
        <a:ln w="25381">
          <a:noFill/>
        </a:ln>
      </c:spPr>
    </c:plotArea>
    <c:legend>
      <c:legendPos val="r"/>
      <c:layout/>
      <c:overlay val="0"/>
    </c:legend>
    <c:plotVisOnly val="1"/>
    <c:dispBlanksAs val="zero"/>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3148148148148147E-2"/>
          <c:y val="4.0908161178155045E-2"/>
          <c:w val="0.72667942548848063"/>
          <c:h val="0.85251931461113895"/>
        </c:manualLayout>
      </c:layout>
      <c:barChart>
        <c:barDir val="col"/>
        <c:grouping val="stacked"/>
        <c:varyColors val="0"/>
        <c:ser>
          <c:idx val="0"/>
          <c:order val="0"/>
          <c:tx>
            <c:strRef>
              <c:f>Лист1!$B$1</c:f>
              <c:strCache>
                <c:ptCount val="1"/>
                <c:pt idx="0">
                  <c:v>mixed in-person and in absentia</c:v>
                </c:pt>
              </c:strCache>
            </c:strRef>
          </c:tx>
          <c:spPr>
            <a:solidFill>
              <a:schemeClr val="accent1">
                <a:lumMod val="50000"/>
              </a:schemeClr>
            </a:solidFill>
          </c:spPr>
          <c:invertIfNegative val="0"/>
          <c:cat>
            <c:numRef>
              <c:f>Лист1!$A$2:$A$9</c:f>
              <c:numCache>
                <c:formatCode>General</c:formatCode>
                <c:ptCount val="8"/>
                <c:pt idx="0">
                  <c:v>2011</c:v>
                </c:pt>
                <c:pt idx="1">
                  <c:v>2012</c:v>
                </c:pt>
                <c:pt idx="2">
                  <c:v>2013</c:v>
                </c:pt>
                <c:pt idx="3">
                  <c:v>2014</c:v>
                </c:pt>
                <c:pt idx="4">
                  <c:v>2015</c:v>
                </c:pt>
                <c:pt idx="5">
                  <c:v>2016</c:v>
                </c:pt>
                <c:pt idx="6">
                  <c:v>2017</c:v>
                </c:pt>
                <c:pt idx="7">
                  <c:v>2018</c:v>
                </c:pt>
              </c:numCache>
            </c:numRef>
          </c:cat>
          <c:val>
            <c:numRef>
              <c:f>Лист1!$B$2:$B$9</c:f>
              <c:numCache>
                <c:formatCode>General</c:formatCode>
                <c:ptCount val="8"/>
                <c:pt idx="0">
                  <c:v>0</c:v>
                </c:pt>
                <c:pt idx="1">
                  <c:v>1</c:v>
                </c:pt>
                <c:pt idx="2">
                  <c:v>0</c:v>
                </c:pt>
                <c:pt idx="3">
                  <c:v>0</c:v>
                </c:pt>
                <c:pt idx="4">
                  <c:v>1</c:v>
                </c:pt>
                <c:pt idx="5">
                  <c:v>1</c:v>
                </c:pt>
                <c:pt idx="6">
                  <c:v>0</c:v>
                </c:pt>
                <c:pt idx="7">
                  <c:v>2</c:v>
                </c:pt>
              </c:numCache>
            </c:numRef>
          </c:val>
          <c:extLst>
            <c:ext xmlns:c16="http://schemas.microsoft.com/office/drawing/2014/chart" uri="{C3380CC4-5D6E-409C-BE32-E72D297353CC}">
              <c16:uniqueId val="{00000000-9A65-43C8-B820-05B92AF69E6C}"/>
            </c:ext>
          </c:extLst>
        </c:ser>
        <c:ser>
          <c:idx val="1"/>
          <c:order val="1"/>
          <c:tx>
            <c:strRef>
              <c:f>Лист1!$C$1</c:f>
              <c:strCache>
                <c:ptCount val="1"/>
                <c:pt idx="0">
                  <c:v>in absentia</c:v>
                </c:pt>
              </c:strCache>
            </c:strRef>
          </c:tx>
          <c:spPr>
            <a:solidFill>
              <a:schemeClr val="accent1">
                <a:lumMod val="75000"/>
              </a:schemeClr>
            </a:solidFill>
          </c:spPr>
          <c:invertIfNegative val="0"/>
          <c:cat>
            <c:numRef>
              <c:f>Лист1!$A$2:$A$9</c:f>
              <c:numCache>
                <c:formatCode>General</c:formatCode>
                <c:ptCount val="8"/>
                <c:pt idx="0">
                  <c:v>2011</c:v>
                </c:pt>
                <c:pt idx="1">
                  <c:v>2012</c:v>
                </c:pt>
                <c:pt idx="2">
                  <c:v>2013</c:v>
                </c:pt>
                <c:pt idx="3">
                  <c:v>2014</c:v>
                </c:pt>
                <c:pt idx="4">
                  <c:v>2015</c:v>
                </c:pt>
                <c:pt idx="5">
                  <c:v>2016</c:v>
                </c:pt>
                <c:pt idx="6">
                  <c:v>2017</c:v>
                </c:pt>
                <c:pt idx="7">
                  <c:v>2018</c:v>
                </c:pt>
              </c:numCache>
            </c:numRef>
          </c:cat>
          <c:val>
            <c:numRef>
              <c:f>Лист1!$C$2:$C$9</c:f>
              <c:numCache>
                <c:formatCode>General</c:formatCode>
                <c:ptCount val="8"/>
                <c:pt idx="0">
                  <c:v>24</c:v>
                </c:pt>
                <c:pt idx="1">
                  <c:v>36</c:v>
                </c:pt>
                <c:pt idx="2">
                  <c:v>32</c:v>
                </c:pt>
                <c:pt idx="3">
                  <c:v>35</c:v>
                </c:pt>
                <c:pt idx="4">
                  <c:v>42</c:v>
                </c:pt>
                <c:pt idx="5">
                  <c:v>33</c:v>
                </c:pt>
                <c:pt idx="6">
                  <c:v>39</c:v>
                </c:pt>
                <c:pt idx="7">
                  <c:v>42</c:v>
                </c:pt>
              </c:numCache>
            </c:numRef>
          </c:val>
          <c:extLst>
            <c:ext xmlns:c16="http://schemas.microsoft.com/office/drawing/2014/chart" uri="{C3380CC4-5D6E-409C-BE32-E72D297353CC}">
              <c16:uniqueId val="{00000001-9A65-43C8-B820-05B92AF69E6C}"/>
            </c:ext>
          </c:extLst>
        </c:ser>
        <c:ser>
          <c:idx val="2"/>
          <c:order val="2"/>
          <c:tx>
            <c:strRef>
              <c:f>Лист1!$D$1</c:f>
              <c:strCache>
                <c:ptCount val="1"/>
                <c:pt idx="0">
                  <c:v>in-person</c:v>
                </c:pt>
              </c:strCache>
            </c:strRef>
          </c:tx>
          <c:invertIfNegative val="0"/>
          <c:cat>
            <c:numRef>
              <c:f>Лист1!$A$2:$A$9</c:f>
              <c:numCache>
                <c:formatCode>General</c:formatCode>
                <c:ptCount val="8"/>
                <c:pt idx="0">
                  <c:v>2011</c:v>
                </c:pt>
                <c:pt idx="1">
                  <c:v>2012</c:v>
                </c:pt>
                <c:pt idx="2">
                  <c:v>2013</c:v>
                </c:pt>
                <c:pt idx="3">
                  <c:v>2014</c:v>
                </c:pt>
                <c:pt idx="4">
                  <c:v>2015</c:v>
                </c:pt>
                <c:pt idx="5">
                  <c:v>2016</c:v>
                </c:pt>
                <c:pt idx="6">
                  <c:v>2017</c:v>
                </c:pt>
                <c:pt idx="7">
                  <c:v>2018</c:v>
                </c:pt>
              </c:numCache>
            </c:numRef>
          </c:cat>
          <c:val>
            <c:numRef>
              <c:f>Лист1!$D$2:$D$9</c:f>
              <c:numCache>
                <c:formatCode>General</c:formatCode>
                <c:ptCount val="8"/>
                <c:pt idx="0">
                  <c:v>1</c:v>
                </c:pt>
                <c:pt idx="1">
                  <c:v>1</c:v>
                </c:pt>
                <c:pt idx="2">
                  <c:v>4</c:v>
                </c:pt>
                <c:pt idx="3">
                  <c:v>4</c:v>
                </c:pt>
                <c:pt idx="4">
                  <c:v>8</c:v>
                </c:pt>
                <c:pt idx="5">
                  <c:v>8</c:v>
                </c:pt>
                <c:pt idx="6">
                  <c:v>4</c:v>
                </c:pt>
                <c:pt idx="7">
                  <c:v>1</c:v>
                </c:pt>
              </c:numCache>
            </c:numRef>
          </c:val>
          <c:extLst>
            <c:ext xmlns:c16="http://schemas.microsoft.com/office/drawing/2014/chart" uri="{C3380CC4-5D6E-409C-BE32-E72D297353CC}">
              <c16:uniqueId val="{00000002-9A65-43C8-B820-05B92AF69E6C}"/>
            </c:ext>
          </c:extLst>
        </c:ser>
        <c:dLbls>
          <c:showLegendKey val="0"/>
          <c:showVal val="0"/>
          <c:showCatName val="0"/>
          <c:showSerName val="0"/>
          <c:showPercent val="0"/>
          <c:showBubbleSize val="0"/>
        </c:dLbls>
        <c:gapWidth val="150"/>
        <c:overlap val="100"/>
        <c:axId val="2074381504"/>
        <c:axId val="1"/>
      </c:barChart>
      <c:catAx>
        <c:axId val="2074381504"/>
        <c:scaling>
          <c:orientation val="minMax"/>
        </c:scaling>
        <c:delete val="0"/>
        <c:axPos val="b"/>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2074381504"/>
        <c:crosses val="autoZero"/>
        <c:crossBetween val="between"/>
      </c:valAx>
    </c:plotArea>
    <c:legend>
      <c:legendPos val="r"/>
      <c:layout>
        <c:manualLayout>
          <c:xMode val="edge"/>
          <c:yMode val="edge"/>
          <c:x val="0.75462962962962965"/>
          <c:y val="0.31953206769399223"/>
          <c:w val="0.23379629629629631"/>
          <c:h val="0.40183533806740412"/>
        </c:manualLayout>
      </c:layout>
      <c:overlay val="0"/>
    </c:legend>
    <c:plotVisOnly val="1"/>
    <c:dispBlanksAs val="gap"/>
    <c:showDLblsOverMax val="0"/>
  </c:chart>
  <c:spPr>
    <a:ln>
      <a:noFill/>
    </a:ln>
  </c:spPr>
  <c:externalData r:id="rId2">
    <c:autoUpdate val="0"/>
  </c:externalData>
  <c:userShapes r:id="rId3"/>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Pt>
            <c:idx val="0"/>
            <c:bubble3D val="0"/>
            <c:extLst>
              <c:ext xmlns:c16="http://schemas.microsoft.com/office/drawing/2014/chart" uri="{C3380CC4-5D6E-409C-BE32-E72D297353CC}">
                <c16:uniqueId val="{00000000-203A-419A-9173-4564D68E3BC4}"/>
              </c:ext>
            </c:extLst>
          </c:dPt>
          <c:dPt>
            <c:idx val="1"/>
            <c:bubble3D val="0"/>
            <c:extLst>
              <c:ext xmlns:c16="http://schemas.microsoft.com/office/drawing/2014/chart" uri="{C3380CC4-5D6E-409C-BE32-E72D297353CC}">
                <c16:uniqueId val="{00000001-203A-419A-9173-4564D68E3BC4}"/>
              </c:ext>
            </c:extLst>
          </c:dPt>
          <c:dPt>
            <c:idx val="2"/>
            <c:bubble3D val="0"/>
            <c:extLst>
              <c:ext xmlns:c16="http://schemas.microsoft.com/office/drawing/2014/chart" uri="{C3380CC4-5D6E-409C-BE32-E72D297353CC}">
                <c16:uniqueId val="{00000002-203A-419A-9173-4564D68E3BC4}"/>
              </c:ext>
            </c:extLst>
          </c:dPt>
          <c:dPt>
            <c:idx val="3"/>
            <c:bubble3D val="0"/>
            <c:extLst>
              <c:ext xmlns:c16="http://schemas.microsoft.com/office/drawing/2014/chart" uri="{C3380CC4-5D6E-409C-BE32-E72D297353CC}">
                <c16:uniqueId val="{00000003-203A-419A-9173-4564D68E3BC4}"/>
              </c:ext>
            </c:extLst>
          </c:dPt>
          <c:dPt>
            <c:idx val="4"/>
            <c:bubble3D val="0"/>
            <c:extLst>
              <c:ext xmlns:c16="http://schemas.microsoft.com/office/drawing/2014/chart" uri="{C3380CC4-5D6E-409C-BE32-E72D297353CC}">
                <c16:uniqueId val="{00000004-203A-419A-9173-4564D68E3BC4}"/>
              </c:ext>
            </c:extLst>
          </c:dPt>
          <c:dLbls>
            <c:spPr>
              <a:noFill/>
              <a:ln w="25398">
                <a:noFill/>
              </a:ln>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Лист1!$A$2:$A$6</c:f>
              <c:strCache>
                <c:ptCount val="5"/>
                <c:pt idx="0">
                  <c:v>Strategic matters</c:v>
                </c:pt>
                <c:pt idx="1">
                  <c:v>Monitoring of executive bodies</c:v>
                </c:pt>
                <c:pt idx="2">
                  <c:v>Monitoring of subsidiaries and affiliates</c:v>
                </c:pt>
                <c:pt idx="3">
                  <c:v>Review and approval of internal documents</c:v>
                </c:pt>
                <c:pt idx="4">
                  <c:v>HR matters</c:v>
                </c:pt>
              </c:strCache>
            </c:strRef>
          </c:cat>
          <c:val>
            <c:numRef>
              <c:f>Лист1!$B$2:$B$6</c:f>
              <c:numCache>
                <c:formatCode>General</c:formatCode>
                <c:ptCount val="5"/>
                <c:pt idx="0">
                  <c:v>56</c:v>
                </c:pt>
                <c:pt idx="1">
                  <c:v>34</c:v>
                </c:pt>
                <c:pt idx="2">
                  <c:v>19</c:v>
                </c:pt>
                <c:pt idx="3">
                  <c:v>45</c:v>
                </c:pt>
                <c:pt idx="4">
                  <c:v>1</c:v>
                </c:pt>
              </c:numCache>
            </c:numRef>
          </c:val>
          <c:extLst>
            <c:ext xmlns:c16="http://schemas.microsoft.com/office/drawing/2014/chart" uri="{C3380CC4-5D6E-409C-BE32-E72D297353CC}">
              <c16:uniqueId val="{00000005-203A-419A-9173-4564D68E3BC4}"/>
            </c:ext>
          </c:extLst>
        </c:ser>
        <c:dLbls>
          <c:showLegendKey val="0"/>
          <c:showVal val="0"/>
          <c:showCatName val="0"/>
          <c:showSerName val="0"/>
          <c:showPercent val="0"/>
          <c:showBubbleSize val="0"/>
          <c:showLeaderLines val="1"/>
        </c:dLbls>
        <c:firstSliceAng val="0"/>
      </c:pieChart>
      <c:spPr>
        <a:noFill/>
        <a:ln w="25398">
          <a:noFill/>
        </a:ln>
      </c:spPr>
    </c:plotArea>
    <c:legend>
      <c:legendPos val="r"/>
      <c:overlay val="0"/>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Лист1!$B$1</c:f>
              <c:strCache>
                <c:ptCount val="1"/>
                <c:pt idx="0">
                  <c:v>Pending completion</c:v>
                </c:pt>
              </c:strCache>
            </c:strRef>
          </c:tx>
          <c:invertIfNegative val="0"/>
          <c:dLbls>
            <c:spPr>
              <a:noFill/>
              <a:ln w="25397">
                <a:noFill/>
              </a:ln>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Лист1!$B$2:$B$4</c:f>
              <c:numCache>
                <c:formatCode>General</c:formatCode>
                <c:ptCount val="3"/>
                <c:pt idx="0">
                  <c:v>50</c:v>
                </c:pt>
                <c:pt idx="1">
                  <c:v>17</c:v>
                </c:pt>
                <c:pt idx="2">
                  <c:v>8</c:v>
                </c:pt>
              </c:numCache>
            </c:numRef>
          </c:val>
          <c:extLst>
            <c:ext xmlns:c16="http://schemas.microsoft.com/office/drawing/2014/chart" uri="{C3380CC4-5D6E-409C-BE32-E72D297353CC}">
              <c16:uniqueId val="{00000000-659D-45B4-8507-4F2C116EE887}"/>
            </c:ext>
          </c:extLst>
        </c:ser>
        <c:ser>
          <c:idx val="1"/>
          <c:order val="1"/>
          <c:tx>
            <c:strRef>
              <c:f>Лист1!$C$1</c:f>
              <c:strCache>
                <c:ptCount val="1"/>
                <c:pt idx="0">
                  <c:v>Fulfilled in time</c:v>
                </c:pt>
              </c:strCache>
            </c:strRef>
          </c:tx>
          <c:invertIfNegative val="0"/>
          <c:dLbls>
            <c:spPr>
              <a:noFill/>
              <a:ln w="25397">
                <a:noFill/>
              </a:ln>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Лист1!$C$2:$C$4</c:f>
              <c:numCache>
                <c:formatCode>General</c:formatCode>
                <c:ptCount val="3"/>
                <c:pt idx="0">
                  <c:v>41</c:v>
                </c:pt>
                <c:pt idx="1">
                  <c:v>49</c:v>
                </c:pt>
                <c:pt idx="2">
                  <c:v>41</c:v>
                </c:pt>
              </c:numCache>
            </c:numRef>
          </c:val>
          <c:extLst>
            <c:ext xmlns:c16="http://schemas.microsoft.com/office/drawing/2014/chart" uri="{C3380CC4-5D6E-409C-BE32-E72D297353CC}">
              <c16:uniqueId val="{00000001-659D-45B4-8507-4F2C116EE887}"/>
            </c:ext>
          </c:extLst>
        </c:ser>
        <c:ser>
          <c:idx val="2"/>
          <c:order val="2"/>
          <c:tx>
            <c:strRef>
              <c:f>Лист1!$D$1</c:f>
              <c:strCache>
                <c:ptCount val="1"/>
                <c:pt idx="0">
                  <c:v>Fulfilled, deadline not met</c:v>
                </c:pt>
              </c:strCache>
            </c:strRef>
          </c:tx>
          <c:invertIfNegative val="0"/>
          <c:dLbls>
            <c:spPr>
              <a:noFill/>
              <a:ln w="25397">
                <a:noFill/>
              </a:ln>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Лист1!$D$2:$D$4</c:f>
              <c:numCache>
                <c:formatCode>General</c:formatCode>
                <c:ptCount val="3"/>
                <c:pt idx="0">
                  <c:v>16</c:v>
                </c:pt>
                <c:pt idx="1">
                  <c:v>20</c:v>
                </c:pt>
                <c:pt idx="2">
                  <c:v>6</c:v>
                </c:pt>
              </c:numCache>
            </c:numRef>
          </c:val>
          <c:extLst>
            <c:ext xmlns:c16="http://schemas.microsoft.com/office/drawing/2014/chart" uri="{C3380CC4-5D6E-409C-BE32-E72D297353CC}">
              <c16:uniqueId val="{00000002-659D-45B4-8507-4F2C116EE887}"/>
            </c:ext>
          </c:extLst>
        </c:ser>
        <c:ser>
          <c:idx val="4"/>
          <c:order val="3"/>
          <c:tx>
            <c:strRef>
              <c:f>Лист1!$E$1</c:f>
              <c:strCache>
                <c:ptCount val="1"/>
                <c:pt idx="0">
                  <c:v>Not fulfilled</c:v>
                </c:pt>
              </c:strCache>
            </c:strRef>
          </c:tx>
          <c:invertIfNegative val="0"/>
          <c:dLbls>
            <c:spPr>
              <a:noFill/>
              <a:ln w="25397">
                <a:noFill/>
              </a:ln>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Лист1!$E$2:$E$4</c:f>
              <c:numCache>
                <c:formatCode>General</c:formatCode>
                <c:ptCount val="3"/>
                <c:pt idx="0">
                  <c:v>5</c:v>
                </c:pt>
                <c:pt idx="1">
                  <c:v>0</c:v>
                </c:pt>
                <c:pt idx="2">
                  <c:v>0</c:v>
                </c:pt>
              </c:numCache>
            </c:numRef>
          </c:val>
          <c:extLst>
            <c:ext xmlns:c16="http://schemas.microsoft.com/office/drawing/2014/chart" uri="{C3380CC4-5D6E-409C-BE32-E72D297353CC}">
              <c16:uniqueId val="{00000003-659D-45B4-8507-4F2C116EE887}"/>
            </c:ext>
          </c:extLst>
        </c:ser>
        <c:dLbls>
          <c:showLegendKey val="0"/>
          <c:showVal val="0"/>
          <c:showCatName val="0"/>
          <c:showSerName val="0"/>
          <c:showPercent val="0"/>
          <c:showBubbleSize val="0"/>
        </c:dLbls>
        <c:gapWidth val="145"/>
        <c:overlap val="100"/>
        <c:axId val="2074161120"/>
        <c:axId val="1"/>
      </c:barChart>
      <c:catAx>
        <c:axId val="2074161120"/>
        <c:scaling>
          <c:orientation val="minMax"/>
        </c:scaling>
        <c:delete val="0"/>
        <c:axPos val="b"/>
        <c:numFmt formatCode="\О\с\н\о\в\н\о\й" sourceLinked="0"/>
        <c:majorTickMark val="out"/>
        <c:minorTickMark val="none"/>
        <c:tickLblPos val="nextTo"/>
        <c:crossAx val="1"/>
        <c:crosses val="autoZero"/>
        <c:auto val="1"/>
        <c:lblAlgn val="ctr"/>
        <c:lblOffset val="100"/>
        <c:noMultiLvlLbl val="0"/>
      </c:catAx>
      <c:valAx>
        <c:axId val="1"/>
        <c:scaling>
          <c:orientation val="minMax"/>
          <c:max val="150"/>
          <c:min val="0"/>
        </c:scaling>
        <c:delete val="0"/>
        <c:axPos val="l"/>
        <c:majorGridlines/>
        <c:numFmt formatCode="General" sourceLinked="1"/>
        <c:majorTickMark val="cross"/>
        <c:minorTickMark val="in"/>
        <c:tickLblPos val="nextTo"/>
        <c:spPr>
          <a:ln/>
        </c:spPr>
        <c:crossAx val="2074161120"/>
        <c:crosses val="autoZero"/>
        <c:crossBetween val="between"/>
        <c:majorUnit val="10"/>
        <c:minorUnit val="5"/>
      </c:valAx>
    </c:plotArea>
    <c:legend>
      <c:legendPos val="r"/>
      <c:overlay val="0"/>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1" i="0" u="none" strike="noStrike" baseline="0">
                <a:effectLst/>
              </a:rPr>
              <a:t>Topics of instructions of the Board of Directors in 2018</a:t>
            </a:r>
            <a:endParaRPr lang="ru-RU" sz="1200"/>
          </a:p>
        </c:rich>
      </c:tx>
      <c:layout>
        <c:manualLayout>
          <c:xMode val="edge"/>
          <c:yMode val="edge"/>
          <c:x val="0.13617837499643912"/>
          <c:y val="0"/>
        </c:manualLayout>
      </c:layout>
      <c:overlay val="0"/>
    </c:title>
    <c:autoTitleDeleted val="0"/>
    <c:plotArea>
      <c:layout/>
      <c:pieChart>
        <c:varyColors val="1"/>
        <c:ser>
          <c:idx val="0"/>
          <c:order val="0"/>
          <c:tx>
            <c:strRef>
              <c:f>Лист1!$B$1</c:f>
              <c:strCache>
                <c:ptCount val="1"/>
                <c:pt idx="0">
                  <c:v>Тематика поручений Совета директоров в 2015 году</c:v>
                </c:pt>
              </c:strCache>
            </c:strRef>
          </c:tx>
          <c:dPt>
            <c:idx val="0"/>
            <c:bubble3D val="0"/>
            <c:extLst>
              <c:ext xmlns:c16="http://schemas.microsoft.com/office/drawing/2014/chart" uri="{C3380CC4-5D6E-409C-BE32-E72D297353CC}">
                <c16:uniqueId val="{00000000-21AC-4D29-92F9-CF7677173A80}"/>
              </c:ext>
            </c:extLst>
          </c:dPt>
          <c:dPt>
            <c:idx val="1"/>
            <c:bubble3D val="0"/>
            <c:extLst>
              <c:ext xmlns:c16="http://schemas.microsoft.com/office/drawing/2014/chart" uri="{C3380CC4-5D6E-409C-BE32-E72D297353CC}">
                <c16:uniqueId val="{00000001-21AC-4D29-92F9-CF7677173A80}"/>
              </c:ext>
            </c:extLst>
          </c:dPt>
          <c:dPt>
            <c:idx val="2"/>
            <c:bubble3D val="0"/>
            <c:extLst>
              <c:ext xmlns:c16="http://schemas.microsoft.com/office/drawing/2014/chart" uri="{C3380CC4-5D6E-409C-BE32-E72D297353CC}">
                <c16:uniqueId val="{00000002-21AC-4D29-92F9-CF7677173A80}"/>
              </c:ext>
            </c:extLst>
          </c:dPt>
          <c:dPt>
            <c:idx val="3"/>
            <c:bubble3D val="0"/>
            <c:extLst>
              <c:ext xmlns:c16="http://schemas.microsoft.com/office/drawing/2014/chart" uri="{C3380CC4-5D6E-409C-BE32-E72D297353CC}">
                <c16:uniqueId val="{00000003-21AC-4D29-92F9-CF7677173A80}"/>
              </c:ext>
            </c:extLst>
          </c:dPt>
          <c:dLbls>
            <c:spPr>
              <a:noFill/>
              <a:ln w="25411">
                <a:noFill/>
              </a:ln>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Лист1!$A$2:$A$5</c:f>
              <c:strCache>
                <c:ptCount val="4"/>
                <c:pt idx="0">
                  <c:v>Strategic matters</c:v>
                </c:pt>
                <c:pt idx="1">
                  <c:v>Monitoring of executive bodies</c:v>
                </c:pt>
                <c:pt idx="2">
                  <c:v>Review and approval of internal documents</c:v>
                </c:pt>
                <c:pt idx="3">
                  <c:v>HR matters</c:v>
                </c:pt>
              </c:strCache>
            </c:strRef>
          </c:cat>
          <c:val>
            <c:numRef>
              <c:f>Лист1!$B$2:$B$5</c:f>
              <c:numCache>
                <c:formatCode>0%</c:formatCode>
                <c:ptCount val="4"/>
                <c:pt idx="0">
                  <c:v>0.49</c:v>
                </c:pt>
                <c:pt idx="1">
                  <c:v>0.4</c:v>
                </c:pt>
                <c:pt idx="2">
                  <c:v>7.0000000000000007E-2</c:v>
                </c:pt>
                <c:pt idx="3">
                  <c:v>0.04</c:v>
                </c:pt>
              </c:numCache>
            </c:numRef>
          </c:val>
          <c:extLst>
            <c:ext xmlns:c16="http://schemas.microsoft.com/office/drawing/2014/chart" uri="{C3380CC4-5D6E-409C-BE32-E72D297353CC}">
              <c16:uniqueId val="{00000004-21AC-4D29-92F9-CF7677173A80}"/>
            </c:ext>
          </c:extLst>
        </c:ser>
        <c:dLbls>
          <c:showLegendKey val="0"/>
          <c:showVal val="0"/>
          <c:showCatName val="0"/>
          <c:showSerName val="0"/>
          <c:showPercent val="0"/>
          <c:showBubbleSize val="0"/>
          <c:showLeaderLines val="1"/>
        </c:dLbls>
        <c:firstSliceAng val="0"/>
      </c:pieChart>
      <c:spPr>
        <a:noFill/>
        <a:ln w="25411">
          <a:noFill/>
        </a:ln>
      </c:spPr>
    </c:plotArea>
    <c:legend>
      <c:legendPos val="r"/>
      <c:overlay val="0"/>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mn-lt"/>
                <a:ea typeface="+mn-ea"/>
                <a:cs typeface="+mn-cs"/>
              </a:defRPr>
            </a:pPr>
            <a:r>
              <a:rPr lang="en-US" sz="1200" b="1">
                <a:effectLst/>
              </a:rPr>
              <a:t>Change in remuneration paid to members of the Company’s Board of Directors from 2016 to 2018, </a:t>
            </a:r>
            <a:endParaRPr lang="ru-RU" sz="1200" b="1">
              <a:effectLst/>
            </a:endParaRPr>
          </a:p>
          <a:p>
            <a:pPr>
              <a:defRPr sz="1401" b="0" i="0" u="none" strike="noStrike" kern="1200" spc="0" baseline="0">
                <a:solidFill>
                  <a:schemeClr val="tx1">
                    <a:lumMod val="65000"/>
                    <a:lumOff val="35000"/>
                  </a:schemeClr>
                </a:solidFill>
                <a:latin typeface="+mn-lt"/>
                <a:ea typeface="+mn-ea"/>
                <a:cs typeface="+mn-cs"/>
              </a:defRPr>
            </a:pPr>
            <a:r>
              <a:rPr lang="en-US" sz="1200" b="1">
                <a:effectLst/>
              </a:rPr>
              <a:t>RUB million*</a:t>
            </a:r>
            <a:endParaRPr lang="ru-RU" sz="1200" b="1">
              <a:effectLst/>
            </a:endParaRPr>
          </a:p>
        </c:rich>
      </c:tx>
      <c:layout>
        <c:manualLayout>
          <c:xMode val="edge"/>
          <c:yMode val="edge"/>
          <c:x val="0.13151417870518997"/>
          <c:y val="0"/>
        </c:manualLayout>
      </c:layout>
      <c:overlay val="0"/>
      <c:spPr>
        <a:noFill/>
        <a:ln w="25409">
          <a:noFill/>
        </a:ln>
      </c:spPr>
    </c:title>
    <c:autoTitleDeleted val="0"/>
    <c:plotArea>
      <c:layout/>
      <c:barChart>
        <c:barDir val="col"/>
        <c:grouping val="stacked"/>
        <c:varyColors val="0"/>
        <c:ser>
          <c:idx val="0"/>
          <c:order val="0"/>
          <c:tx>
            <c:strRef>
              <c:f>Лист1!$B$1</c:f>
              <c:strCache>
                <c:ptCount val="1"/>
                <c:pt idx="0">
                  <c:v>Ряд 1</c:v>
                </c:pt>
              </c:strCache>
            </c:strRef>
          </c:tx>
          <c:spPr>
            <a:solidFill>
              <a:srgbClr val="5B9BD5"/>
            </a:solidFill>
            <a:ln w="25409">
              <a:noFill/>
            </a:ln>
          </c:spPr>
          <c:invertIfNegative val="0"/>
          <c:dLbls>
            <c:spPr>
              <a:noFill/>
              <a:ln w="25409">
                <a:noFill/>
              </a:ln>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Лист1!$B$2:$B$4</c:f>
              <c:numCache>
                <c:formatCode>0.0</c:formatCode>
                <c:ptCount val="3"/>
                <c:pt idx="0">
                  <c:v>7.3197640000000002</c:v>
                </c:pt>
                <c:pt idx="1">
                  <c:v>9.2332020000000004</c:v>
                </c:pt>
                <c:pt idx="2">
                  <c:v>5.0999999999999996</c:v>
                </c:pt>
              </c:numCache>
            </c:numRef>
          </c:val>
          <c:extLst>
            <c:ext xmlns:c16="http://schemas.microsoft.com/office/drawing/2014/chart" uri="{C3380CC4-5D6E-409C-BE32-E72D297353CC}">
              <c16:uniqueId val="{00000000-A8FF-48E2-92FA-988AE2F9E019}"/>
            </c:ext>
          </c:extLst>
        </c:ser>
        <c:dLbls>
          <c:showLegendKey val="0"/>
          <c:showVal val="0"/>
          <c:showCatName val="0"/>
          <c:showSerName val="0"/>
          <c:showPercent val="0"/>
          <c:showBubbleSize val="0"/>
        </c:dLbls>
        <c:gapWidth val="76"/>
        <c:overlap val="100"/>
        <c:axId val="2075852000"/>
        <c:axId val="1"/>
      </c:barChart>
      <c:catAx>
        <c:axId val="2075852000"/>
        <c:scaling>
          <c:orientation val="minMax"/>
        </c:scaling>
        <c:delete val="0"/>
        <c:axPos val="b"/>
        <c:numFmt formatCode="General" sourceLinked="1"/>
        <c:majorTickMark val="none"/>
        <c:minorTickMark val="none"/>
        <c:tickLblPos val="nextTo"/>
        <c:spPr>
          <a:noFill/>
          <a:ln w="9528"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8"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ln w="6352">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5852000"/>
        <c:crosses val="autoZero"/>
        <c:crossBetween val="between"/>
      </c:valAx>
      <c:spPr>
        <a:noFill/>
        <a:ln w="25409">
          <a:noFill/>
        </a:ln>
      </c:spPr>
    </c:plotArea>
    <c:plotVisOnly val="1"/>
    <c:dispBlanksAs val="gap"/>
    <c:showDLblsOverMax val="0"/>
  </c:chart>
  <c:spPr>
    <a:solidFill>
      <a:schemeClr val="bg1"/>
    </a:solidFill>
    <a:ln w="9528" cap="flat" cmpd="sng" algn="ctr">
      <a:solidFill>
        <a:schemeClr val="tx1">
          <a:lumMod val="15000"/>
          <a:lumOff val="85000"/>
        </a:schemeClr>
      </a:solidFill>
      <a:prstDash val="solid"/>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a:pPr>
            <a:r>
              <a:rPr lang="en-US" sz="800" b="1" i="0" u="none" strike="noStrike" baseline="0">
                <a:effectLst/>
              </a:rPr>
              <a:t>Net supply by group of customers of Lenenergo Group in 2018</a:t>
            </a:r>
            <a:endParaRPr lang="ru-RU" sz="800">
              <a:effectLst/>
            </a:endParaRPr>
          </a:p>
        </c:rich>
      </c:tx>
      <c:layout>
        <c:manualLayout>
          <c:xMode val="edge"/>
          <c:yMode val="edge"/>
          <c:x val="0.17060172582835498"/>
          <c:y val="3.005890930300379E-2"/>
        </c:manualLayout>
      </c:layout>
      <c:overlay val="0"/>
    </c:title>
    <c:autoTitleDeleted val="0"/>
    <c:view3D>
      <c:rotX val="30"/>
      <c:rotY val="23"/>
      <c:rAngAx val="0"/>
      <c:perspective val="0"/>
    </c:view3D>
    <c:floor>
      <c:thickness val="0"/>
    </c:floor>
    <c:sideWall>
      <c:thickness val="0"/>
    </c:sideWall>
    <c:backWall>
      <c:thickness val="0"/>
    </c:backWall>
    <c:plotArea>
      <c:layout/>
      <c:pie3DChart>
        <c:varyColors val="1"/>
        <c:ser>
          <c:idx val="0"/>
          <c:order val="0"/>
          <c:explosion val="25"/>
          <c:dPt>
            <c:idx val="0"/>
            <c:bubble3D val="0"/>
            <c:extLst>
              <c:ext xmlns:c16="http://schemas.microsoft.com/office/drawing/2014/chart" uri="{C3380CC4-5D6E-409C-BE32-E72D297353CC}">
                <c16:uniqueId val="{00000000-2D08-4076-8A38-01E311842660}"/>
              </c:ext>
            </c:extLst>
          </c:dPt>
          <c:dPt>
            <c:idx val="1"/>
            <c:bubble3D val="0"/>
            <c:extLst>
              <c:ext xmlns:c16="http://schemas.microsoft.com/office/drawing/2014/chart" uri="{C3380CC4-5D6E-409C-BE32-E72D297353CC}">
                <c16:uniqueId val="{00000001-2D08-4076-8A38-01E311842660}"/>
              </c:ext>
            </c:extLst>
          </c:dPt>
          <c:dPt>
            <c:idx val="2"/>
            <c:bubble3D val="0"/>
            <c:extLst>
              <c:ext xmlns:c16="http://schemas.microsoft.com/office/drawing/2014/chart" uri="{C3380CC4-5D6E-409C-BE32-E72D297353CC}">
                <c16:uniqueId val="{00000002-2D08-4076-8A38-01E311842660}"/>
              </c:ext>
            </c:extLst>
          </c:dPt>
          <c:dPt>
            <c:idx val="3"/>
            <c:bubble3D val="0"/>
            <c:extLst>
              <c:ext xmlns:c16="http://schemas.microsoft.com/office/drawing/2014/chart" uri="{C3380CC4-5D6E-409C-BE32-E72D297353CC}">
                <c16:uniqueId val="{00000003-2D08-4076-8A38-01E311842660}"/>
              </c:ext>
            </c:extLst>
          </c:dPt>
          <c:dPt>
            <c:idx val="4"/>
            <c:bubble3D val="0"/>
            <c:extLst>
              <c:ext xmlns:c16="http://schemas.microsoft.com/office/drawing/2014/chart" uri="{C3380CC4-5D6E-409C-BE32-E72D297353CC}">
                <c16:uniqueId val="{00000004-2D08-4076-8A38-01E311842660}"/>
              </c:ext>
            </c:extLst>
          </c:dPt>
          <c:dPt>
            <c:idx val="5"/>
            <c:bubble3D val="0"/>
            <c:extLst>
              <c:ext xmlns:c16="http://schemas.microsoft.com/office/drawing/2014/chart" uri="{C3380CC4-5D6E-409C-BE32-E72D297353CC}">
                <c16:uniqueId val="{00000005-2D08-4076-8A38-01E311842660}"/>
              </c:ext>
            </c:extLst>
          </c:dPt>
          <c:dPt>
            <c:idx val="6"/>
            <c:bubble3D val="0"/>
            <c:extLst>
              <c:ext xmlns:c16="http://schemas.microsoft.com/office/drawing/2014/chart" uri="{C3380CC4-5D6E-409C-BE32-E72D297353CC}">
                <c16:uniqueId val="{00000006-2D08-4076-8A38-01E311842660}"/>
              </c:ext>
            </c:extLst>
          </c:dPt>
          <c:dLbls>
            <c:dLbl>
              <c:idx val="0"/>
              <c:layout/>
              <c:tx>
                <c:rich>
                  <a:bodyPr/>
                  <a:lstStyle/>
                  <a:p>
                    <a:r>
                      <a:rPr lang="en-US"/>
                      <a:t>25.5%</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2D08-4076-8A38-01E311842660}"/>
                </c:ext>
              </c:extLst>
            </c:dLbl>
            <c:dLbl>
              <c:idx val="1"/>
              <c:layout/>
              <c:tx>
                <c:rich>
                  <a:bodyPr/>
                  <a:lstStyle/>
                  <a:p>
                    <a:r>
                      <a:rPr lang="en-US"/>
                      <a:t>2.0%</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2D08-4076-8A38-01E311842660}"/>
                </c:ext>
              </c:extLst>
            </c:dLbl>
            <c:dLbl>
              <c:idx val="2"/>
              <c:layout/>
              <c:tx>
                <c:rich>
                  <a:bodyPr/>
                  <a:lstStyle/>
                  <a:p>
                    <a:r>
                      <a:rPr lang="en-US"/>
                      <a:t>1.1%</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2D08-4076-8A38-01E311842660}"/>
                </c:ext>
              </c:extLst>
            </c:dLbl>
            <c:dLbl>
              <c:idx val="3"/>
              <c:layout/>
              <c:tx>
                <c:rich>
                  <a:bodyPr/>
                  <a:lstStyle/>
                  <a:p>
                    <a:r>
                      <a:rPr lang="en-US"/>
                      <a:t>25.9%</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2D08-4076-8A38-01E311842660}"/>
                </c:ext>
              </c:extLst>
            </c:dLbl>
            <c:dLbl>
              <c:idx val="4"/>
              <c:layout/>
              <c:tx>
                <c:rich>
                  <a:bodyPr/>
                  <a:lstStyle/>
                  <a:p>
                    <a:r>
                      <a:rPr lang="en-US"/>
                      <a:t>5.9%</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4-2D08-4076-8A38-01E311842660}"/>
                </c:ext>
              </c:extLst>
            </c:dLbl>
            <c:dLbl>
              <c:idx val="5"/>
              <c:layout/>
              <c:tx>
                <c:rich>
                  <a:bodyPr/>
                  <a:lstStyle/>
                  <a:p>
                    <a:r>
                      <a:rPr lang="en-US"/>
                      <a:t>24.3</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2D08-4076-8A38-01E311842660}"/>
                </c:ext>
              </c:extLst>
            </c:dLbl>
            <c:dLbl>
              <c:idx val="6"/>
              <c:layout/>
              <c:tx>
                <c:rich>
                  <a:bodyPr/>
                  <a:lstStyle/>
                  <a:p>
                    <a:r>
                      <a:rPr lang="en-US"/>
                      <a:t>15.2%</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6-2D08-4076-8A38-01E311842660}"/>
                </c:ext>
              </c:extLst>
            </c:dLbl>
            <c:numFmt formatCode="\О\с\н\о\в\н\о\й" sourceLinked="0"/>
            <c:spPr>
              <a:noFill/>
              <a:ln w="25389">
                <a:noFill/>
              </a:ln>
            </c:spPr>
            <c:txPr>
              <a:bodyPr wrap="square" lIns="38100" tIns="19050" rIns="38100" bIns="19050" anchor="ctr">
                <a:spAutoFit/>
              </a:bodyPr>
              <a:lstStyle/>
              <a:p>
                <a:pPr>
                  <a:defRPr sz="900"/>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структура!$C$16:$C$22</c:f>
              <c:strCache>
                <c:ptCount val="7"/>
                <c:pt idx="0">
                  <c:v>Industrial consumers</c:v>
                </c:pt>
                <c:pt idx="1">
                  <c:v>Transport</c:v>
                </c:pt>
                <c:pt idx="2">
                  <c:v>Agriculture</c:v>
                </c:pt>
                <c:pt idx="3">
                  <c:v>Non-industrial consumers</c:v>
                </c:pt>
                <c:pt idx="4">
                  <c:v>Public consumers</c:v>
                </c:pt>
                <c:pt idx="5">
                  <c:v>Households and equivalent consumers</c:v>
                </c:pt>
                <c:pt idx="6">
                  <c:v>TGOs</c:v>
                </c:pt>
              </c:strCache>
            </c:strRef>
          </c:cat>
          <c:val>
            <c:numRef>
              <c:f>структура!$I$39:$I$45</c:f>
              <c:numCache>
                <c:formatCode>General</c:formatCode>
                <c:ptCount val="7"/>
                <c:pt idx="0">
                  <c:v>0.25512939619746938</c:v>
                </c:pt>
                <c:pt idx="1">
                  <c:v>1.9892578947055612E-2</c:v>
                </c:pt>
                <c:pt idx="2">
                  <c:v>1.1192744746027199E-2</c:v>
                </c:pt>
                <c:pt idx="3">
                  <c:v>0.25882154274093977</c:v>
                </c:pt>
                <c:pt idx="4">
                  <c:v>5.9473959953508439E-2</c:v>
                </c:pt>
                <c:pt idx="5">
                  <c:v>0.24333637047993245</c:v>
                </c:pt>
                <c:pt idx="6">
                  <c:v>0.15215340693506715</c:v>
                </c:pt>
              </c:numCache>
            </c:numRef>
          </c:val>
          <c:extLst>
            <c:ext xmlns:c16="http://schemas.microsoft.com/office/drawing/2014/chart" uri="{C3380CC4-5D6E-409C-BE32-E72D297353CC}">
              <c16:uniqueId val="{00000007-2D08-4076-8A38-01E311842660}"/>
            </c:ext>
          </c:extLst>
        </c:ser>
        <c:dLbls>
          <c:showLegendKey val="0"/>
          <c:showVal val="0"/>
          <c:showCatName val="0"/>
          <c:showSerName val="0"/>
          <c:showPercent val="0"/>
          <c:showBubbleSize val="0"/>
          <c:showLeaderLines val="1"/>
        </c:dLbls>
      </c:pie3DChart>
      <c:spPr>
        <a:noFill/>
        <a:ln w="25389">
          <a:noFill/>
        </a:ln>
      </c:spPr>
    </c:plotArea>
    <c:legend>
      <c:legendPos val="r"/>
      <c:layout>
        <c:manualLayout>
          <c:xMode val="edge"/>
          <c:yMode val="edge"/>
          <c:x val="0.66046683839694054"/>
          <c:y val="0.14255538057742781"/>
          <c:w val="0.31782353191929902"/>
          <c:h val="0.79445995917177026"/>
        </c:manualLayout>
      </c:layout>
      <c:overlay val="0"/>
      <c:txPr>
        <a:bodyPr/>
        <a:lstStyle/>
        <a:p>
          <a:pPr rtl="0">
            <a:defRPr sz="800"/>
          </a:pPr>
          <a:endParaRPr lang="en-US"/>
        </a:p>
      </c:txPr>
    </c:legend>
    <c:plotVisOnly val="1"/>
    <c:dispBlanksAs val="zero"/>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effectLst/>
              </a:rPr>
              <a:t>Executive liability insurance at PJSC “Lenenergo”, </a:t>
            </a:r>
            <a:endParaRPr lang="ru-RU" sz="1200">
              <a:effectLst/>
            </a:endParaRPr>
          </a:p>
          <a:p>
            <a:pPr>
              <a:defRPr sz="1400" b="0" i="0" u="none" strike="noStrike" kern="1200" spc="0" baseline="0">
                <a:solidFill>
                  <a:schemeClr val="tx1">
                    <a:lumMod val="65000"/>
                    <a:lumOff val="35000"/>
                  </a:schemeClr>
                </a:solidFill>
                <a:latin typeface="+mn-lt"/>
                <a:ea typeface="+mn-ea"/>
                <a:cs typeface="+mn-cs"/>
              </a:defRPr>
            </a:pPr>
            <a:r>
              <a:rPr lang="en-US" sz="1200">
                <a:effectLst/>
              </a:rPr>
              <a:t>RUB million</a:t>
            </a:r>
            <a:endParaRPr lang="en-US" sz="1200"/>
          </a:p>
        </c:rich>
      </c:tx>
      <c:overlay val="0"/>
      <c:spPr>
        <a:noFill/>
        <a:ln w="25406">
          <a:noFill/>
        </a:ln>
      </c:spPr>
    </c:title>
    <c:autoTitleDeleted val="0"/>
    <c:plotArea>
      <c:layout/>
      <c:barChart>
        <c:barDir val="col"/>
        <c:grouping val="stacked"/>
        <c:varyColors val="0"/>
        <c:ser>
          <c:idx val="0"/>
          <c:order val="0"/>
          <c:tx>
            <c:strRef>
              <c:f>Лист1!$B$1</c:f>
              <c:strCache>
                <c:ptCount val="1"/>
                <c:pt idx="0">
                  <c:v> 2</c:v>
                </c:pt>
              </c:strCache>
            </c:strRef>
          </c:tx>
          <c:spPr>
            <a:solidFill>
              <a:srgbClr val="5B9BD5"/>
            </a:solidFill>
            <a:ln w="25406">
              <a:noFill/>
            </a:ln>
          </c:spPr>
          <c:invertIfNegative val="0"/>
          <c:dLbls>
            <c:spPr>
              <a:noFill/>
              <a:ln w="2540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From August 2017 to July 2018</c:v>
                </c:pt>
                <c:pt idx="1">
                  <c:v>From August 2018 to July 2019</c:v>
                </c:pt>
              </c:strCache>
            </c:strRef>
          </c:cat>
          <c:val>
            <c:numRef>
              <c:f>Лист1!$B$2:$B$3</c:f>
              <c:numCache>
                <c:formatCode>0.0</c:formatCode>
                <c:ptCount val="2"/>
                <c:pt idx="0">
                  <c:v>1.9</c:v>
                </c:pt>
                <c:pt idx="1">
                  <c:v>1.4</c:v>
                </c:pt>
              </c:numCache>
            </c:numRef>
          </c:val>
          <c:extLst>
            <c:ext xmlns:c16="http://schemas.microsoft.com/office/drawing/2014/chart" uri="{C3380CC4-5D6E-409C-BE32-E72D297353CC}">
              <c16:uniqueId val="{00000000-6890-40CC-B140-96DB5C686220}"/>
            </c:ext>
          </c:extLst>
        </c:ser>
        <c:dLbls>
          <c:showLegendKey val="0"/>
          <c:showVal val="0"/>
          <c:showCatName val="0"/>
          <c:showSerName val="0"/>
          <c:showPercent val="0"/>
          <c:showBubbleSize val="0"/>
        </c:dLbls>
        <c:gapWidth val="150"/>
        <c:overlap val="100"/>
        <c:axId val="2075771296"/>
        <c:axId val="1"/>
      </c:barChart>
      <c:catAx>
        <c:axId val="2075771296"/>
        <c:scaling>
          <c:orientation val="minMax"/>
        </c:scaling>
        <c:delete val="0"/>
        <c:axPos val="b"/>
        <c:numFmt formatCode="General" sourceLinked="1"/>
        <c:majorTickMark val="none"/>
        <c:minorTickMark val="none"/>
        <c:tickLblPos val="nextTo"/>
        <c:spPr>
          <a:noFill/>
          <a:ln w="9527"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7" cap="flat" cmpd="sng" algn="ctr">
              <a:solidFill>
                <a:schemeClr val="tx1">
                  <a:lumMod val="15000"/>
                  <a:lumOff val="85000"/>
                </a:schemeClr>
              </a:solidFill>
              <a:round/>
            </a:ln>
            <a:effectLst/>
          </c:spPr>
        </c:majorGridlines>
        <c:numFmt formatCode="0.0" sourceLinked="1"/>
        <c:majorTickMark val="none"/>
        <c:minorTickMark val="none"/>
        <c:tickLblPos val="nextTo"/>
        <c:spPr>
          <a:ln w="6352">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5771296"/>
        <c:crosses val="autoZero"/>
        <c:crossBetween val="between"/>
      </c:valAx>
      <c:spPr>
        <a:noFill/>
        <a:ln w="25406">
          <a:noFill/>
        </a:ln>
      </c:spPr>
    </c:plotArea>
    <c:plotVisOnly val="1"/>
    <c:dispBlanksAs val="gap"/>
    <c:showDLblsOverMax val="0"/>
  </c:chart>
  <c:spPr>
    <a:solidFill>
      <a:schemeClr val="bg1"/>
    </a:solidFill>
    <a:ln w="9527"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200" b="0" i="0" u="none" strike="noStrike" baseline="0">
                <a:effectLst/>
              </a:rPr>
              <a:t>Remuneration paid to members of the Company’s Management Board from 2016 to 2018, RUB million</a:t>
            </a:r>
            <a:endParaRPr lang="ru-RU" sz="1200"/>
          </a:p>
        </c:rich>
      </c:tx>
      <c:overlay val="0"/>
      <c:spPr>
        <a:noFill/>
        <a:ln w="25396">
          <a:noFill/>
        </a:ln>
      </c:spPr>
    </c:title>
    <c:autoTitleDeleted val="0"/>
    <c:plotArea>
      <c:layout/>
      <c:barChart>
        <c:barDir val="col"/>
        <c:grouping val="stacked"/>
        <c:varyColors val="0"/>
        <c:ser>
          <c:idx val="0"/>
          <c:order val="0"/>
          <c:tx>
            <c:strRef>
              <c:f>Лист1!$B$2</c:f>
              <c:strCache>
                <c:ptCount val="1"/>
                <c:pt idx="0">
                  <c:v>Столбец1</c:v>
                </c:pt>
              </c:strCache>
            </c:strRef>
          </c:tx>
          <c:spPr>
            <a:solidFill>
              <a:srgbClr val="5B9BD5"/>
            </a:solidFill>
            <a:ln w="25396">
              <a:noFill/>
            </a:ln>
          </c:spPr>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Лист1!$A$3:$A$5</c:f>
              <c:numCache>
                <c:formatCode>General</c:formatCode>
                <c:ptCount val="3"/>
                <c:pt idx="0">
                  <c:v>2016</c:v>
                </c:pt>
                <c:pt idx="1">
                  <c:v>2017</c:v>
                </c:pt>
                <c:pt idx="2">
                  <c:v>2018</c:v>
                </c:pt>
              </c:numCache>
            </c:numRef>
          </c:cat>
          <c:val>
            <c:numRef>
              <c:f>Лист1!$B$3:$B$5</c:f>
              <c:numCache>
                <c:formatCode>0.0</c:formatCode>
                <c:ptCount val="3"/>
                <c:pt idx="0">
                  <c:v>55.407266</c:v>
                </c:pt>
                <c:pt idx="1">
                  <c:v>67.474424999999997</c:v>
                </c:pt>
                <c:pt idx="2">
                  <c:v>39.5</c:v>
                </c:pt>
              </c:numCache>
            </c:numRef>
          </c:val>
          <c:extLst>
            <c:ext xmlns:c16="http://schemas.microsoft.com/office/drawing/2014/chart" uri="{C3380CC4-5D6E-409C-BE32-E72D297353CC}">
              <c16:uniqueId val="{00000000-BE3B-408D-AF52-D640223EC574}"/>
            </c:ext>
          </c:extLst>
        </c:ser>
        <c:dLbls>
          <c:showLegendKey val="0"/>
          <c:showVal val="0"/>
          <c:showCatName val="0"/>
          <c:showSerName val="0"/>
          <c:showPercent val="0"/>
          <c:showBubbleSize val="0"/>
        </c:dLbls>
        <c:gapWidth val="150"/>
        <c:overlap val="100"/>
        <c:axId val="2075195184"/>
        <c:axId val="1"/>
      </c:barChart>
      <c:catAx>
        <c:axId val="2075195184"/>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4" cap="flat" cmpd="sng" algn="ctr">
              <a:solidFill>
                <a:schemeClr val="tx1">
                  <a:lumMod val="15000"/>
                  <a:lumOff val="85000"/>
                </a:schemeClr>
              </a:solidFill>
              <a:round/>
            </a:ln>
            <a:effectLst/>
          </c:spPr>
        </c:majorGridlines>
        <c:numFmt formatCode="0.0"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5195184"/>
        <c:crosses val="autoZero"/>
        <c:crossBetween val="between"/>
      </c:valAx>
      <c:spPr>
        <a:noFill/>
        <a:ln w="25396">
          <a:noFill/>
        </a:ln>
      </c:spPr>
    </c:plotArea>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Remuneration paid to the Company’s CEO from 2016 to 2018, RUB million</a:t>
            </a:r>
            <a:endParaRPr lang="ru-RU" sz="1200"/>
          </a:p>
        </c:rich>
      </c:tx>
      <c:layout>
        <c:manualLayout>
          <c:xMode val="edge"/>
          <c:yMode val="edge"/>
          <c:x val="0.11031605775966107"/>
          <c:y val="0"/>
        </c:manualLayout>
      </c:layout>
      <c:overlay val="0"/>
      <c:spPr>
        <a:noFill/>
        <a:ln w="25395">
          <a:noFill/>
        </a:ln>
      </c:spPr>
    </c:title>
    <c:autoTitleDeleted val="0"/>
    <c:plotArea>
      <c:layout/>
      <c:barChart>
        <c:barDir val="col"/>
        <c:grouping val="stacked"/>
        <c:varyColors val="0"/>
        <c:ser>
          <c:idx val="0"/>
          <c:order val="0"/>
          <c:tx>
            <c:strRef>
              <c:f>Лист1!$B$2</c:f>
              <c:strCache>
                <c:ptCount val="1"/>
                <c:pt idx="0">
                  <c:v>Столбец1</c:v>
                </c:pt>
              </c:strCache>
            </c:strRef>
          </c:tx>
          <c:spPr>
            <a:solidFill>
              <a:srgbClr val="5B9BD5"/>
            </a:solidFill>
            <a:ln w="25395">
              <a:noFill/>
            </a:ln>
          </c:spPr>
          <c:invertIfNegative val="0"/>
          <c:dLbls>
            <c:spPr>
              <a:noFill/>
              <a:ln w="2539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Лист1!$A$3:$A$5</c:f>
              <c:numCache>
                <c:formatCode>General</c:formatCode>
                <c:ptCount val="3"/>
                <c:pt idx="0">
                  <c:v>2016</c:v>
                </c:pt>
                <c:pt idx="1">
                  <c:v>2017</c:v>
                </c:pt>
                <c:pt idx="2">
                  <c:v>2018</c:v>
                </c:pt>
              </c:numCache>
            </c:numRef>
          </c:cat>
          <c:val>
            <c:numRef>
              <c:f>Лист1!$B$3:$B$5</c:f>
              <c:numCache>
                <c:formatCode>0.0</c:formatCode>
                <c:ptCount val="3"/>
                <c:pt idx="0">
                  <c:v>8.4375630000000008</c:v>
                </c:pt>
                <c:pt idx="1">
                  <c:v>7.4414009999999999</c:v>
                </c:pt>
                <c:pt idx="2">
                  <c:v>30.34</c:v>
                </c:pt>
              </c:numCache>
            </c:numRef>
          </c:val>
          <c:extLst>
            <c:ext xmlns:c16="http://schemas.microsoft.com/office/drawing/2014/chart" uri="{C3380CC4-5D6E-409C-BE32-E72D297353CC}">
              <c16:uniqueId val="{00000000-915B-45AC-B5C9-8508416E7CFB}"/>
            </c:ext>
          </c:extLst>
        </c:ser>
        <c:dLbls>
          <c:showLegendKey val="0"/>
          <c:showVal val="0"/>
          <c:showCatName val="0"/>
          <c:showSerName val="0"/>
          <c:showPercent val="0"/>
          <c:showBubbleSize val="0"/>
        </c:dLbls>
        <c:gapWidth val="150"/>
        <c:overlap val="100"/>
        <c:axId val="2075141520"/>
        <c:axId val="1"/>
      </c:barChart>
      <c:catAx>
        <c:axId val="2075141520"/>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3" cap="flat" cmpd="sng" algn="ctr">
              <a:solidFill>
                <a:schemeClr val="tx1">
                  <a:lumMod val="15000"/>
                  <a:lumOff val="85000"/>
                </a:schemeClr>
              </a:solidFill>
              <a:round/>
            </a:ln>
            <a:effectLst/>
          </c:spPr>
        </c:majorGridlines>
        <c:numFmt formatCode="0.0"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5141520"/>
        <c:crosses val="autoZero"/>
        <c:crossBetween val="between"/>
      </c:valAx>
      <c:spPr>
        <a:noFill/>
        <a:ln w="25395">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Remuneration paid to members of the Company’s Internal Audit Commission from 2016 to 2018, RUB thousand</a:t>
            </a:r>
            <a:endParaRPr lang="ru-RU" sz="1200">
              <a:effectLst/>
            </a:endParaRPr>
          </a:p>
        </c:rich>
      </c:tx>
      <c:overlay val="0"/>
      <c:spPr>
        <a:noFill/>
        <a:ln w="25398">
          <a:noFill/>
        </a:ln>
      </c:spPr>
    </c:title>
    <c:autoTitleDeleted val="0"/>
    <c:plotArea>
      <c:layout/>
      <c:barChart>
        <c:barDir val="col"/>
        <c:grouping val="stacked"/>
        <c:varyColors val="0"/>
        <c:ser>
          <c:idx val="0"/>
          <c:order val="0"/>
          <c:tx>
            <c:strRef>
              <c:f>Лист1!$B$2</c:f>
              <c:strCache>
                <c:ptCount val="1"/>
                <c:pt idx="0">
                  <c:v>Столбец1</c:v>
                </c:pt>
              </c:strCache>
            </c:strRef>
          </c:tx>
          <c:spPr>
            <a:solidFill>
              <a:srgbClr val="5B9BD5"/>
            </a:solidFill>
            <a:ln w="25398">
              <a:noFill/>
            </a:ln>
          </c:spPr>
          <c:invertIfNegative val="0"/>
          <c:dLbls>
            <c:spPr>
              <a:noFill/>
              <a:ln w="2539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Лист1!$A$3:$A$6</c:f>
              <c:numCache>
                <c:formatCode>General</c:formatCode>
                <c:ptCount val="4"/>
                <c:pt idx="0">
                  <c:v>2016</c:v>
                </c:pt>
                <c:pt idx="1">
                  <c:v>2017</c:v>
                </c:pt>
                <c:pt idx="2">
                  <c:v>2018</c:v>
                </c:pt>
              </c:numCache>
            </c:numRef>
          </c:cat>
          <c:val>
            <c:numRef>
              <c:f>Лист1!$B$3:$B$6</c:f>
              <c:numCache>
                <c:formatCode>0</c:formatCode>
                <c:ptCount val="4"/>
                <c:pt idx="0">
                  <c:v>658.00099999999998</c:v>
                </c:pt>
                <c:pt idx="1">
                  <c:v>661.97699999999998</c:v>
                </c:pt>
                <c:pt idx="2" formatCode="#,##0.00">
                  <c:v>638.9</c:v>
                </c:pt>
              </c:numCache>
            </c:numRef>
          </c:val>
          <c:extLst>
            <c:ext xmlns:c16="http://schemas.microsoft.com/office/drawing/2014/chart" uri="{C3380CC4-5D6E-409C-BE32-E72D297353CC}">
              <c16:uniqueId val="{00000000-68DD-4693-92D8-9ACFF372FDAC}"/>
            </c:ext>
          </c:extLst>
        </c:ser>
        <c:dLbls>
          <c:showLegendKey val="0"/>
          <c:showVal val="0"/>
          <c:showCatName val="0"/>
          <c:showSerName val="0"/>
          <c:showPercent val="0"/>
          <c:showBubbleSize val="0"/>
        </c:dLbls>
        <c:gapWidth val="150"/>
        <c:overlap val="100"/>
        <c:axId val="2075642032"/>
        <c:axId val="1"/>
      </c:barChart>
      <c:catAx>
        <c:axId val="2075642032"/>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4" cap="flat" cmpd="sng" algn="ctr">
              <a:solidFill>
                <a:schemeClr val="tx1">
                  <a:lumMod val="15000"/>
                  <a:lumOff val="85000"/>
                </a:schemeClr>
              </a:solidFill>
              <a:round/>
            </a:ln>
            <a:effectLst/>
          </c:spPr>
        </c:majorGridlines>
        <c:numFmt formatCode="0"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5642032"/>
        <c:crosses val="autoZero"/>
        <c:crossBetween val="between"/>
      </c:valAx>
      <c:spPr>
        <a:noFill/>
        <a:ln w="25398">
          <a:noFill/>
        </a:ln>
      </c:spPr>
    </c:plotArea>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094">
                <a:latin typeface="Times New Roman" panose="02020603050405020304" pitchFamily="18" charset="0"/>
                <a:cs typeface="Times New Roman" panose="02020603050405020304" pitchFamily="18" charset="0"/>
              </a:defRPr>
            </a:pPr>
            <a:r>
              <a:rPr lang="en-US" sz="1094" b="1" i="0" u="none" strike="noStrike" baseline="0">
                <a:effectLst/>
              </a:rPr>
              <a:t>Number of whistleblowing reports received in 2018</a:t>
            </a:r>
            <a:endParaRPr lang="ru-RU" sz="1094">
              <a:latin typeface="Times New Roman" panose="02020603050405020304" pitchFamily="18" charset="0"/>
              <a:cs typeface="Times New Roman" panose="02020603050405020304" pitchFamily="18" charset="0"/>
            </a:endParaRPr>
          </a:p>
        </c:rich>
      </c:tx>
      <c:overlay val="0"/>
      <c:spPr>
        <a:noFill/>
        <a:ln w="19842">
          <a:noFill/>
        </a:ln>
      </c:spPr>
    </c:title>
    <c:autoTitleDeleted val="0"/>
    <c:view3D>
      <c:rotX val="30"/>
      <c:rotY val="159"/>
      <c:rAngAx val="0"/>
      <c:perspective val="0"/>
    </c:view3D>
    <c:floor>
      <c:thickness val="0"/>
    </c:floor>
    <c:sideWall>
      <c:thickness val="0"/>
    </c:sideWall>
    <c:backWall>
      <c:thickness val="0"/>
    </c:backWall>
    <c:plotArea>
      <c:layout>
        <c:manualLayout>
          <c:layoutTarget val="inner"/>
          <c:xMode val="edge"/>
          <c:yMode val="edge"/>
          <c:x val="1.2577951936975114E-2"/>
          <c:y val="0.23229138024413615"/>
          <c:w val="0.96236359690608098"/>
          <c:h val="0.44509852935049787"/>
        </c:manualLayout>
      </c:layout>
      <c:pie3DChart>
        <c:varyColors val="1"/>
        <c:ser>
          <c:idx val="0"/>
          <c:order val="0"/>
          <c:tx>
            <c:strRef>
              <c:f>Лист1!$B$1</c:f>
              <c:strCache>
                <c:ptCount val="1"/>
                <c:pt idx="0">
                  <c:v>Обращения о возможных фактах коррупции</c:v>
                </c:pt>
              </c:strCache>
            </c:strRef>
          </c:tx>
          <c:explosion val="9"/>
          <c:dPt>
            <c:idx val="0"/>
            <c:bubble3D val="0"/>
            <c:spPr>
              <a:solidFill>
                <a:schemeClr val="accent1"/>
              </a:solidFill>
              <a:ln w="19842">
                <a:solidFill>
                  <a:schemeClr val="lt1"/>
                </a:solidFill>
              </a:ln>
              <a:effectLst/>
              <a:sp3d contourW="25400">
                <a:contourClr>
                  <a:schemeClr val="lt1"/>
                </a:contourClr>
              </a:sp3d>
            </c:spPr>
            <c:extLst>
              <c:ext xmlns:c16="http://schemas.microsoft.com/office/drawing/2014/chart" uri="{C3380CC4-5D6E-409C-BE32-E72D297353CC}">
                <c16:uniqueId val="{00000000-5B06-4091-83DA-B745BC58F51E}"/>
              </c:ext>
            </c:extLst>
          </c:dPt>
          <c:dPt>
            <c:idx val="1"/>
            <c:bubble3D val="0"/>
            <c:spPr>
              <a:solidFill>
                <a:schemeClr val="accent2"/>
              </a:solidFill>
              <a:ln w="19842">
                <a:solidFill>
                  <a:schemeClr val="lt1"/>
                </a:solidFill>
              </a:ln>
              <a:effectLst/>
              <a:sp3d contourW="25400">
                <a:contourClr>
                  <a:schemeClr val="lt1"/>
                </a:contourClr>
              </a:sp3d>
            </c:spPr>
            <c:extLst>
              <c:ext xmlns:c16="http://schemas.microsoft.com/office/drawing/2014/chart" uri="{C3380CC4-5D6E-409C-BE32-E72D297353CC}">
                <c16:uniqueId val="{00000001-5B06-4091-83DA-B745BC58F51E}"/>
              </c:ext>
            </c:extLst>
          </c:dPt>
          <c:dPt>
            <c:idx val="2"/>
            <c:bubble3D val="0"/>
            <c:spPr>
              <a:solidFill>
                <a:schemeClr val="accent4">
                  <a:lumMod val="75000"/>
                </a:schemeClr>
              </a:solidFill>
              <a:ln w="19842">
                <a:solidFill>
                  <a:schemeClr val="accent4">
                    <a:lumMod val="75000"/>
                  </a:schemeClr>
                </a:solidFill>
              </a:ln>
              <a:effectLst/>
              <a:sp3d contourW="25400">
                <a:contourClr>
                  <a:schemeClr val="lt1"/>
                </a:contourClr>
              </a:sp3d>
            </c:spPr>
            <c:extLst>
              <c:ext xmlns:c16="http://schemas.microsoft.com/office/drawing/2014/chart" uri="{C3380CC4-5D6E-409C-BE32-E72D297353CC}">
                <c16:uniqueId val="{00000002-5B06-4091-83DA-B745BC58F51E}"/>
              </c:ext>
            </c:extLst>
          </c:dPt>
          <c:dPt>
            <c:idx val="3"/>
            <c:bubble3D val="0"/>
            <c:extLst>
              <c:ext xmlns:c16="http://schemas.microsoft.com/office/drawing/2014/chart" uri="{C3380CC4-5D6E-409C-BE32-E72D297353CC}">
                <c16:uniqueId val="{00000003-5B06-4091-83DA-B745BC58F51E}"/>
              </c:ext>
            </c:extLst>
          </c:dPt>
          <c:dLbls>
            <c:dLbl>
              <c:idx val="0"/>
              <c:layout>
                <c:manualLayout>
                  <c:x val="2.115968733237511E-2"/>
                  <c:y val="-0.1957859434237387"/>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06-4091-83DA-B745BC58F51E}"/>
                </c:ext>
              </c:extLst>
            </c:dLbl>
            <c:dLbl>
              <c:idx val="1"/>
              <c:layout>
                <c:manualLayout>
                  <c:x val="7.5890279705676418E-3"/>
                  <c:y val="3.5670541182352207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06-4091-83DA-B745BC58F51E}"/>
                </c:ext>
              </c:extLst>
            </c:dLbl>
            <c:dLbl>
              <c:idx val="2"/>
              <c:layout>
                <c:manualLayout>
                  <c:x val="1.5983883449825419E-3"/>
                  <c:y val="-7.872682581343998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06-4091-83DA-B745BC58F51E}"/>
                </c:ext>
              </c:extLst>
            </c:dLbl>
            <c:dLbl>
              <c:idx val="3"/>
              <c:layout>
                <c:manualLayout>
                  <c:x val="5.3258319309149559E-3"/>
                  <c:y val="-4.5790109569637128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06-4091-83DA-B745BC58F51E}"/>
                </c:ext>
              </c:extLst>
            </c:dLbl>
            <c:spPr>
              <a:noFill/>
              <a:ln w="19842">
                <a:noFill/>
              </a:ln>
            </c:spPr>
            <c:txPr>
              <a:bodyPr rot="0" vert="horz"/>
              <a:lstStyle/>
              <a:p>
                <a:pPr>
                  <a:defRPr sz="703">
                    <a:latin typeface="Times New Roman" panose="02020603050405020304" pitchFamily="18"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extLst>
          </c:dLbls>
          <c:cat>
            <c:strRef>
              <c:f>Лист1!$A$2:$A$5</c:f>
              <c:strCache>
                <c:ptCount val="4"/>
                <c:pt idx="0">
                  <c:v>Via hot line</c:v>
                </c:pt>
                <c:pt idx="1">
                  <c:v>By e-mail</c:v>
                </c:pt>
                <c:pt idx="2">
                  <c:v>By mail</c:v>
                </c:pt>
                <c:pt idx="3">
                  <c:v>Via the feedback form on the Company’s website</c:v>
                </c:pt>
              </c:strCache>
            </c:strRef>
          </c:cat>
          <c:val>
            <c:numRef>
              <c:f>Лист1!$B$2:$B$5</c:f>
              <c:numCache>
                <c:formatCode>General</c:formatCode>
                <c:ptCount val="4"/>
                <c:pt idx="0">
                  <c:v>26</c:v>
                </c:pt>
                <c:pt idx="1">
                  <c:v>12</c:v>
                </c:pt>
                <c:pt idx="2">
                  <c:v>2</c:v>
                </c:pt>
                <c:pt idx="3">
                  <c:v>7</c:v>
                </c:pt>
              </c:numCache>
            </c:numRef>
          </c:val>
          <c:extLst>
            <c:ext xmlns:c16="http://schemas.microsoft.com/office/drawing/2014/chart" uri="{C3380CC4-5D6E-409C-BE32-E72D297353CC}">
              <c16:uniqueId val="{00000004-5B06-4091-83DA-B745BC58F51E}"/>
            </c:ext>
          </c:extLst>
        </c:ser>
        <c:dLbls>
          <c:showLegendKey val="0"/>
          <c:showVal val="0"/>
          <c:showCatName val="0"/>
          <c:showSerName val="0"/>
          <c:showPercent val="0"/>
          <c:showBubbleSize val="0"/>
          <c:showLeaderLines val="0"/>
        </c:dLbls>
      </c:pie3DChart>
      <c:spPr>
        <a:noFill/>
        <a:ln w="19842">
          <a:noFill/>
        </a:ln>
      </c:spPr>
    </c:plotArea>
    <c:legend>
      <c:legendPos val="b"/>
      <c:layout>
        <c:manualLayout>
          <c:xMode val="edge"/>
          <c:yMode val="edge"/>
          <c:x val="8.2784065620957442E-2"/>
          <c:y val="0.76058089846207244"/>
          <c:w val="0.86771304141657413"/>
          <c:h val="0.20767315242619466"/>
        </c:manualLayout>
      </c:layout>
      <c:overlay val="0"/>
      <c:spPr>
        <a:noFill/>
        <a:ln w="19842">
          <a:noFill/>
        </a:ln>
      </c:spPr>
      <c:txPr>
        <a:bodyPr rot="0" vert="horz"/>
        <a:lstStyle/>
        <a:p>
          <a:pPr>
            <a:defRPr sz="703">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solidFill>
      <a:schemeClr val="lt1"/>
    </a:solidFill>
    <a:ln w="14881" cap="flat" cmpd="sng" algn="ctr">
      <a:solidFill>
        <a:schemeClr val="accent1">
          <a:lumMod val="75000"/>
        </a:schemeClr>
      </a:solidFill>
      <a:prstDash val="solid"/>
      <a:miter lim="800000"/>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093">
                <a:latin typeface="Times New Roman" panose="02020603050405020304" pitchFamily="18" charset="0"/>
                <a:cs typeface="Times New Roman" panose="02020603050405020304" pitchFamily="18" charset="0"/>
              </a:defRPr>
            </a:pPr>
            <a:r>
              <a:rPr lang="en-US" sz="800" b="1" i="0" u="none" strike="noStrike" baseline="0">
                <a:effectLst/>
              </a:rPr>
              <a:t>Approval of participants/potential participants of major procurement procedures</a:t>
            </a:r>
            <a:endParaRPr lang="ru-RU" sz="800">
              <a:latin typeface="Times New Roman" panose="02020603050405020304" pitchFamily="18" charset="0"/>
              <a:cs typeface="Times New Roman" panose="02020603050405020304" pitchFamily="18" charset="0"/>
            </a:endParaRPr>
          </a:p>
        </c:rich>
      </c:tx>
      <c:overlay val="0"/>
      <c:spPr>
        <a:noFill/>
        <a:ln w="19827">
          <a:noFill/>
        </a:ln>
      </c:spPr>
    </c:title>
    <c:autoTitleDeleted val="0"/>
    <c:plotArea>
      <c:layout>
        <c:manualLayout>
          <c:layoutTarget val="inner"/>
          <c:xMode val="edge"/>
          <c:yMode val="edge"/>
          <c:x val="0.10083958255218098"/>
          <c:y val="0.23229138024413615"/>
          <c:w val="0.82505343082114735"/>
          <c:h val="0.44509852935049787"/>
        </c:manualLayout>
      </c:layout>
      <c:barChart>
        <c:barDir val="bar"/>
        <c:grouping val="clustered"/>
        <c:varyColors val="0"/>
        <c:ser>
          <c:idx val="0"/>
          <c:order val="0"/>
          <c:tx>
            <c:strRef>
              <c:f>Лист1!$B$1</c:f>
              <c:strCache>
                <c:ptCount val="1"/>
                <c:pt idx="0">
                  <c:v>Столбец1</c:v>
                </c:pt>
              </c:strCache>
            </c:strRef>
          </c:tx>
          <c:invertIfNegative val="0"/>
          <c:dPt>
            <c:idx val="0"/>
            <c:invertIfNegative val="0"/>
            <c:bubble3D val="0"/>
            <c:spPr>
              <a:solidFill>
                <a:schemeClr val="accent1"/>
              </a:solidFill>
              <a:effectLst/>
              <a:sp3d contourW="25400">
                <a:contourClr>
                  <a:schemeClr val="lt1"/>
                </a:contourClr>
              </a:sp3d>
            </c:spPr>
            <c:extLst>
              <c:ext xmlns:c16="http://schemas.microsoft.com/office/drawing/2014/chart" uri="{C3380CC4-5D6E-409C-BE32-E72D297353CC}">
                <c16:uniqueId val="{00000000-3BF4-4A69-A5F9-0EEA1E1CCBC4}"/>
              </c:ext>
            </c:extLst>
          </c:dPt>
          <c:dPt>
            <c:idx val="1"/>
            <c:invertIfNegative val="0"/>
            <c:bubble3D val="0"/>
            <c:spPr>
              <a:solidFill>
                <a:schemeClr val="accent2"/>
              </a:solidFill>
              <a:effectLst/>
              <a:sp3d contourW="25400">
                <a:contourClr>
                  <a:schemeClr val="lt1"/>
                </a:contourClr>
              </a:sp3d>
            </c:spPr>
            <c:extLst>
              <c:ext xmlns:c16="http://schemas.microsoft.com/office/drawing/2014/chart" uri="{C3380CC4-5D6E-409C-BE32-E72D297353CC}">
                <c16:uniqueId val="{00000001-3BF4-4A69-A5F9-0EEA1E1CCBC4}"/>
              </c:ext>
            </c:extLst>
          </c:dPt>
          <c:dPt>
            <c:idx val="2"/>
            <c:invertIfNegative val="0"/>
            <c:bubble3D val="0"/>
            <c:spPr>
              <a:solidFill>
                <a:schemeClr val="accent3"/>
              </a:solidFill>
              <a:effectLst/>
              <a:sp3d contourW="25400">
                <a:contourClr>
                  <a:schemeClr val="lt1"/>
                </a:contourClr>
              </a:sp3d>
            </c:spPr>
            <c:extLst>
              <c:ext xmlns:c16="http://schemas.microsoft.com/office/drawing/2014/chart" uri="{C3380CC4-5D6E-409C-BE32-E72D297353CC}">
                <c16:uniqueId val="{00000002-3BF4-4A69-A5F9-0EEA1E1CCBC4}"/>
              </c:ext>
            </c:extLst>
          </c:dPt>
          <c:dLbls>
            <c:dLbl>
              <c:idx val="0"/>
              <c:layout>
                <c:manualLayout>
                  <c:x val="-0.87920730353391296"/>
                  <c:y val="4.0303362539981695E-3"/>
                </c:manualLayout>
              </c:layout>
              <c:tx>
                <c:rich>
                  <a:bodyPr/>
                  <a:lstStyle/>
                  <a:p>
                    <a:r>
                      <a:rPr lang="en-US" baseline="0"/>
                      <a:t>[]</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F4-4A69-A5F9-0EEA1E1CCBC4}"/>
                </c:ext>
              </c:extLst>
            </c:dLbl>
            <c:dLbl>
              <c:idx val="1"/>
              <c:layout>
                <c:manualLayout>
                  <c:x val="-0.33514508745991228"/>
                  <c:y val="-4.1046239899392789E-3"/>
                </c:manualLayout>
              </c:layout>
              <c:tx>
                <c:rich>
                  <a:bodyPr/>
                  <a:lstStyle/>
                  <a:p>
                    <a:r>
                      <a:rPr lang="en-US" baseline="0"/>
                      <a:t> []</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F4-4A69-A5F9-0EEA1E1CCBC4}"/>
                </c:ext>
              </c:extLst>
            </c:dLbl>
            <c:dLbl>
              <c:idx val="2"/>
              <c:layout>
                <c:manualLayout>
                  <c:x val="1.5983883449825419E-3"/>
                  <c:y val="-7.8726825813439982E-2"/>
                </c:manualLayout>
              </c:layout>
              <c:tx>
                <c:rich>
                  <a:bodyPr/>
                  <a:lstStyle/>
                  <a:p>
                    <a:r>
                      <a:rPr lang="en-US" baseline="0"/>
                      <a:t> []</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F4-4A69-A5F9-0EEA1E1CCBC4}"/>
                </c:ext>
              </c:extLst>
            </c:dLbl>
            <c:dLbl>
              <c:idx val="3"/>
              <c:layout>
                <c:manualLayout>
                  <c:x val="5.3258319309149559E-3"/>
                  <c:y val="-4.5790109569637128E-3"/>
                </c:manualLayout>
              </c:layout>
              <c:tx>
                <c:rich>
                  <a:bodyPr/>
                  <a:lstStyle/>
                  <a:p>
                    <a:r>
                      <a:rPr lang="en-US" baseline="0"/>
                      <a:t>[]</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F4-4A69-A5F9-0EEA1E1CCBC4}"/>
                </c:ext>
              </c:extLst>
            </c:dLbl>
            <c:spPr>
              <a:noFill/>
              <a:ln w="19827">
                <a:noFill/>
              </a:ln>
            </c:spPr>
            <c:txPr>
              <a:bodyPr rot="0" vert="horz"/>
              <a:lstStyle/>
              <a:p>
                <a:pPr>
                  <a:defRPr sz="703">
                    <a:latin typeface="Times New Roman" panose="02020603050405020304" pitchFamily="18" charset="0"/>
                    <a:cs typeface="Times New Roman" panose="02020603050405020304" pitchFamily="18" charset="0"/>
                  </a:defRPr>
                </a:pPr>
                <a:endParaRPr lang="en-US"/>
              </a:p>
            </c:txPr>
            <c:showLegendKey val="0"/>
            <c:showVal val="1"/>
            <c:showCatName val="1"/>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Total number of vetted procurement participants</c:v>
                </c:pt>
                <c:pt idx="1">
                  <c:v>Comments issued/rejected by procurement participants</c:v>
                </c:pt>
              </c:strCache>
            </c:strRef>
          </c:cat>
          <c:val>
            <c:numRef>
              <c:f>Лист1!$B$2:$B$3</c:f>
              <c:numCache>
                <c:formatCode>General</c:formatCode>
                <c:ptCount val="2"/>
                <c:pt idx="0">
                  <c:v>2341</c:v>
                </c:pt>
                <c:pt idx="1">
                  <c:v>686</c:v>
                </c:pt>
              </c:numCache>
            </c:numRef>
          </c:val>
          <c:extLst>
            <c:ext xmlns:c16="http://schemas.microsoft.com/office/drawing/2014/chart" uri="{C3380CC4-5D6E-409C-BE32-E72D297353CC}">
              <c16:uniqueId val="{00000004-3BF4-4A69-A5F9-0EEA1E1CCBC4}"/>
            </c:ext>
          </c:extLst>
        </c:ser>
        <c:dLbls>
          <c:showLegendKey val="0"/>
          <c:showVal val="0"/>
          <c:showCatName val="0"/>
          <c:showSerName val="0"/>
          <c:showPercent val="0"/>
          <c:showBubbleSize val="0"/>
        </c:dLbls>
        <c:gapWidth val="100"/>
        <c:axId val="2028452912"/>
        <c:axId val="1"/>
      </c:barChart>
      <c:catAx>
        <c:axId val="2028452912"/>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majorGridlines/>
        <c:numFmt formatCode="General" sourceLinked="1"/>
        <c:majorTickMark val="out"/>
        <c:minorTickMark val="none"/>
        <c:tickLblPos val="nextTo"/>
        <c:crossAx val="2028452912"/>
        <c:crosses val="autoZero"/>
        <c:crossBetween val="between"/>
      </c:valAx>
      <c:spPr>
        <a:noFill/>
        <a:ln w="19827">
          <a:noFill/>
        </a:ln>
      </c:spPr>
    </c:plotArea>
    <c:legend>
      <c:legendPos val="b"/>
      <c:layout>
        <c:manualLayout>
          <c:xMode val="edge"/>
          <c:yMode val="edge"/>
          <c:x val="0.10033639286213485"/>
          <c:y val="0.85052785068533099"/>
          <c:w val="0.82818369597291464"/>
          <c:h val="8.3943618158841216E-2"/>
        </c:manualLayout>
      </c:layout>
      <c:overlay val="0"/>
      <c:spPr>
        <a:noFill/>
        <a:ln w="19827">
          <a:noFill/>
        </a:ln>
      </c:spPr>
      <c:txPr>
        <a:bodyPr rot="0" vert="horz"/>
        <a:lstStyle/>
        <a:p>
          <a:pPr>
            <a:defRPr sz="703">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solidFill>
      <a:schemeClr val="lt1"/>
    </a:solidFill>
    <a:ln w="14870" cap="flat" cmpd="sng" algn="ctr">
      <a:solidFill>
        <a:schemeClr val="accent1">
          <a:lumMod val="75000"/>
        </a:schemeClr>
      </a:solidFill>
      <a:prstDash val="solid"/>
      <a:miter lim="800000"/>
    </a:ln>
    <a:effectLst/>
  </c:spPr>
  <c:txPr>
    <a:bodyPr/>
    <a:lstStyle/>
    <a:p>
      <a:pPr algn="just">
        <a:defRPr>
          <a:solidFill>
            <a:schemeClr val="dk1"/>
          </a:solidFill>
          <a:latin typeface="+mn-lt"/>
          <a:ea typeface="+mn-ea"/>
          <a:cs typeface="+mn-cs"/>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781">
                <a:latin typeface="Times New Roman" panose="02020603050405020304" pitchFamily="18" charset="0"/>
                <a:cs typeface="Times New Roman" panose="02020603050405020304" pitchFamily="18" charset="0"/>
              </a:defRPr>
            </a:pPr>
            <a:r>
              <a:rPr lang="en-US" sz="800" b="1" i="0" u="none" strike="noStrike" baseline="0">
                <a:effectLst/>
              </a:rPr>
              <a:t>Approval of participants/potential participants of simple and smaller procurement procedures</a:t>
            </a:r>
            <a:endParaRPr lang="ru-RU" sz="800">
              <a:latin typeface="Times New Roman" panose="02020603050405020304" pitchFamily="18" charset="0"/>
              <a:cs typeface="Times New Roman" panose="02020603050405020304" pitchFamily="18" charset="0"/>
            </a:endParaRPr>
          </a:p>
        </c:rich>
      </c:tx>
      <c:overlay val="0"/>
      <c:spPr>
        <a:noFill/>
        <a:ln w="19827">
          <a:noFill/>
        </a:ln>
      </c:spPr>
    </c:title>
    <c:autoTitleDeleted val="0"/>
    <c:plotArea>
      <c:layout>
        <c:manualLayout>
          <c:layoutTarget val="inner"/>
          <c:xMode val="edge"/>
          <c:yMode val="edge"/>
          <c:x val="0.10480783652043495"/>
          <c:y val="0.23229138024413615"/>
          <c:w val="0.82108517685289328"/>
          <c:h val="0.44509852935049787"/>
        </c:manualLayout>
      </c:layout>
      <c:barChart>
        <c:barDir val="bar"/>
        <c:grouping val="clustered"/>
        <c:varyColors val="0"/>
        <c:ser>
          <c:idx val="0"/>
          <c:order val="0"/>
          <c:tx>
            <c:strRef>
              <c:f>Лист1!$B$1</c:f>
              <c:strCache>
                <c:ptCount val="1"/>
                <c:pt idx="0">
                  <c:v>Столбец1</c:v>
                </c:pt>
              </c:strCache>
            </c:strRef>
          </c:tx>
          <c:invertIfNegative val="0"/>
          <c:dPt>
            <c:idx val="0"/>
            <c:invertIfNegative val="0"/>
            <c:bubble3D val="0"/>
            <c:spPr>
              <a:solidFill>
                <a:schemeClr val="accent1"/>
              </a:solidFill>
              <a:effectLst/>
              <a:sp3d contourW="25400">
                <a:contourClr>
                  <a:schemeClr val="lt1"/>
                </a:contourClr>
              </a:sp3d>
            </c:spPr>
            <c:extLst>
              <c:ext xmlns:c16="http://schemas.microsoft.com/office/drawing/2014/chart" uri="{C3380CC4-5D6E-409C-BE32-E72D297353CC}">
                <c16:uniqueId val="{00000000-7662-4D32-9296-9D3DFEA35BCC}"/>
              </c:ext>
            </c:extLst>
          </c:dPt>
          <c:dPt>
            <c:idx val="1"/>
            <c:invertIfNegative val="0"/>
            <c:bubble3D val="0"/>
            <c:spPr>
              <a:solidFill>
                <a:schemeClr val="accent2"/>
              </a:solidFill>
              <a:effectLst/>
              <a:sp3d contourW="25400">
                <a:contourClr>
                  <a:schemeClr val="lt1"/>
                </a:contourClr>
              </a:sp3d>
            </c:spPr>
            <c:extLst>
              <c:ext xmlns:c16="http://schemas.microsoft.com/office/drawing/2014/chart" uri="{C3380CC4-5D6E-409C-BE32-E72D297353CC}">
                <c16:uniqueId val="{00000001-7662-4D32-9296-9D3DFEA35BCC}"/>
              </c:ext>
            </c:extLst>
          </c:dPt>
          <c:dPt>
            <c:idx val="2"/>
            <c:invertIfNegative val="0"/>
            <c:bubble3D val="0"/>
            <c:spPr>
              <a:solidFill>
                <a:schemeClr val="accent3"/>
              </a:solidFill>
              <a:effectLst/>
              <a:sp3d contourW="25400">
                <a:contourClr>
                  <a:schemeClr val="lt1"/>
                </a:contourClr>
              </a:sp3d>
            </c:spPr>
            <c:extLst>
              <c:ext xmlns:c16="http://schemas.microsoft.com/office/drawing/2014/chart" uri="{C3380CC4-5D6E-409C-BE32-E72D297353CC}">
                <c16:uniqueId val="{00000002-7662-4D32-9296-9D3DFEA35BCC}"/>
              </c:ext>
            </c:extLst>
          </c:dPt>
          <c:dLbls>
            <c:dLbl>
              <c:idx val="0"/>
              <c:layout>
                <c:manualLayout>
                  <c:x val="-0.87920730353391296"/>
                  <c:y val="4.0303362539981695E-3"/>
                </c:manualLayout>
              </c:layout>
              <c:tx>
                <c:rich>
                  <a:bodyPr/>
                  <a:lstStyle/>
                  <a:p>
                    <a:r>
                      <a:rPr lang="en-US" baseline="0"/>
                      <a:t>[]</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662-4D32-9296-9D3DFEA35BCC}"/>
                </c:ext>
              </c:extLst>
            </c:dLbl>
            <c:dLbl>
              <c:idx val="1"/>
              <c:layout>
                <c:manualLayout>
                  <c:x val="-0.31737751531058617"/>
                  <c:y val="-4.1047045815816308E-3"/>
                </c:manualLayout>
              </c:layout>
              <c:tx>
                <c:rich>
                  <a:bodyPr/>
                  <a:lstStyle/>
                  <a:p>
                    <a:r>
                      <a:rPr lang="en-US" baseline="0"/>
                      <a:t> []</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62-4D32-9296-9D3DFEA35BCC}"/>
                </c:ext>
              </c:extLst>
            </c:dLbl>
            <c:dLbl>
              <c:idx val="2"/>
              <c:layout>
                <c:manualLayout>
                  <c:x val="1.5983883449825419E-3"/>
                  <c:y val="-7.8726825813439982E-2"/>
                </c:manualLayout>
              </c:layout>
              <c:tx>
                <c:rich>
                  <a:bodyPr/>
                  <a:lstStyle/>
                  <a:p>
                    <a:r>
                      <a:rPr lang="en-US" baseline="0"/>
                      <a:t> []</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662-4D32-9296-9D3DFEA35BCC}"/>
                </c:ext>
              </c:extLst>
            </c:dLbl>
            <c:dLbl>
              <c:idx val="3"/>
              <c:layout>
                <c:manualLayout>
                  <c:x val="5.3258319309149559E-3"/>
                  <c:y val="-4.5790109569637128E-3"/>
                </c:manualLayout>
              </c:layout>
              <c:tx>
                <c:rich>
                  <a:bodyPr/>
                  <a:lstStyle/>
                  <a:p>
                    <a:r>
                      <a:rPr lang="en-US" baseline="0"/>
                      <a:t>[]</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662-4D32-9296-9D3DFEA35BCC}"/>
                </c:ext>
              </c:extLst>
            </c:dLbl>
            <c:spPr>
              <a:noFill/>
              <a:ln w="19827">
                <a:noFill/>
              </a:ln>
            </c:spPr>
            <c:txPr>
              <a:bodyPr rot="0" vert="horz"/>
              <a:lstStyle/>
              <a:p>
                <a:pPr>
                  <a:defRPr sz="703">
                    <a:latin typeface="Times New Roman" panose="02020603050405020304" pitchFamily="18" charset="0"/>
                    <a:cs typeface="Times New Roman" panose="02020603050405020304" pitchFamily="18" charset="0"/>
                  </a:defRPr>
                </a:pPr>
                <a:endParaRPr lang="en-US"/>
              </a:p>
            </c:txPr>
            <c:showLegendKey val="0"/>
            <c:showVal val="1"/>
            <c:showCatName val="1"/>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Total number of vetted procurement participants</c:v>
                </c:pt>
                <c:pt idx="1">
                  <c:v>Comments were issued to procurement participants</c:v>
                </c:pt>
              </c:strCache>
            </c:strRef>
          </c:cat>
          <c:val>
            <c:numRef>
              <c:f>Лист1!$B$2:$B$3</c:f>
              <c:numCache>
                <c:formatCode>#,##0</c:formatCode>
                <c:ptCount val="2"/>
                <c:pt idx="0">
                  <c:v>6873</c:v>
                </c:pt>
                <c:pt idx="1">
                  <c:v>1993</c:v>
                </c:pt>
              </c:numCache>
            </c:numRef>
          </c:val>
          <c:extLst>
            <c:ext xmlns:c16="http://schemas.microsoft.com/office/drawing/2014/chart" uri="{C3380CC4-5D6E-409C-BE32-E72D297353CC}">
              <c16:uniqueId val="{00000004-7662-4D32-9296-9D3DFEA35BCC}"/>
            </c:ext>
          </c:extLst>
        </c:ser>
        <c:dLbls>
          <c:showLegendKey val="0"/>
          <c:showVal val="0"/>
          <c:showCatName val="0"/>
          <c:showSerName val="0"/>
          <c:showPercent val="0"/>
          <c:showBubbleSize val="0"/>
        </c:dLbls>
        <c:gapWidth val="100"/>
        <c:axId val="2083496016"/>
        <c:axId val="1"/>
      </c:barChart>
      <c:catAx>
        <c:axId val="2083496016"/>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b"/>
        <c:majorGridlines/>
        <c:numFmt formatCode="#,##0" sourceLinked="1"/>
        <c:majorTickMark val="out"/>
        <c:minorTickMark val="none"/>
        <c:tickLblPos val="nextTo"/>
        <c:crossAx val="2083496016"/>
        <c:crosses val="autoZero"/>
        <c:crossBetween val="between"/>
      </c:valAx>
      <c:spPr>
        <a:noFill/>
        <a:ln w="19827">
          <a:noFill/>
        </a:ln>
      </c:spPr>
    </c:plotArea>
    <c:legend>
      <c:legendPos val="b"/>
      <c:layout>
        <c:manualLayout>
          <c:xMode val="edge"/>
          <c:yMode val="edge"/>
          <c:x val="0.1847081842042472"/>
          <c:y val="0.85052785068533099"/>
          <c:w val="0.64793414459556187"/>
          <c:h val="8.3943618158841216E-2"/>
        </c:manualLayout>
      </c:layout>
      <c:overlay val="0"/>
      <c:spPr>
        <a:noFill/>
        <a:ln w="19827">
          <a:noFill/>
        </a:ln>
      </c:spPr>
      <c:txPr>
        <a:bodyPr rot="0" vert="horz"/>
        <a:lstStyle/>
        <a:p>
          <a:pPr>
            <a:defRPr sz="703">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solidFill>
      <a:schemeClr val="lt1"/>
    </a:solidFill>
    <a:ln w="14870" cap="flat" cmpd="sng" algn="ctr">
      <a:solidFill>
        <a:schemeClr val="accent1">
          <a:lumMod val="75000"/>
        </a:schemeClr>
      </a:solidFill>
      <a:prstDash val="solid"/>
      <a:miter lim="800000"/>
    </a:ln>
    <a:effectLst/>
  </c:spPr>
  <c:txPr>
    <a:bodyPr/>
    <a:lstStyle/>
    <a:p>
      <a:pPr algn="just">
        <a:defRPr>
          <a:solidFill>
            <a:schemeClr val="dk1"/>
          </a:solidFill>
          <a:latin typeface="+mn-lt"/>
          <a:ea typeface="+mn-ea"/>
          <a:cs typeface="+mn-cs"/>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spPr>
            <a:solidFill>
              <a:srgbClr val="C00000"/>
            </a:solidFill>
          </c:spPr>
          <c:invertIfNegative val="0"/>
          <c:dLbls>
            <c:dLbl>
              <c:idx val="0"/>
              <c:layout>
                <c:manualLayout>
                  <c:x val="2.1294176193714629E-2"/>
                  <c:y val="-4.4312167004532402E-2"/>
                </c:manualLayout>
              </c:layout>
              <c:spPr>
                <a:noFill/>
                <a:ln w="25398">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7E-451A-8A7B-50F9143425BA}"/>
                </c:ext>
              </c:extLst>
            </c:dLbl>
            <c:dLbl>
              <c:idx val="1"/>
              <c:layout>
                <c:manualLayout>
                  <c:x val="2.5553011432457556E-2"/>
                  <c:y val="-7.2007707525741177E-2"/>
                </c:manualLayout>
              </c:layout>
              <c:spPr>
                <a:noFill/>
                <a:ln w="25398">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7E-451A-8A7B-50F9143425BA}"/>
                </c:ext>
              </c:extLst>
            </c:dLbl>
            <c:dLbl>
              <c:idx val="2"/>
              <c:layout>
                <c:manualLayout>
                  <c:x val="2.1294176193714629E-2"/>
                  <c:y val="-6.646825050679861E-2"/>
                </c:manualLayout>
              </c:layout>
              <c:spPr>
                <a:noFill/>
                <a:ln w="25398">
                  <a:noFill/>
                </a:ln>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7E-451A-8A7B-50F9143425BA}"/>
                </c:ext>
              </c:extLst>
            </c:dLbl>
            <c:spPr>
              <a:noFill/>
              <a:ln w="2539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2016</c:v>
                </c:pt>
                <c:pt idx="1">
                  <c:v>2017</c:v>
                </c:pt>
                <c:pt idx="2">
                  <c:v>2018</c:v>
                </c:pt>
              </c:numCache>
            </c:numRef>
          </c:cat>
          <c:val>
            <c:numRef>
              <c:f>Лист1!$B$2:$B$4</c:f>
              <c:numCache>
                <c:formatCode>0</c:formatCode>
                <c:ptCount val="3"/>
                <c:pt idx="0">
                  <c:v>6216</c:v>
                </c:pt>
                <c:pt idx="1">
                  <c:v>6951</c:v>
                </c:pt>
                <c:pt idx="2">
                  <c:v>7108.9</c:v>
                </c:pt>
              </c:numCache>
            </c:numRef>
          </c:val>
          <c:extLst>
            <c:ext xmlns:c16="http://schemas.microsoft.com/office/drawing/2014/chart" uri="{C3380CC4-5D6E-409C-BE32-E72D297353CC}">
              <c16:uniqueId val="{00000003-EE7E-451A-8A7B-50F9143425BA}"/>
            </c:ext>
          </c:extLst>
        </c:ser>
        <c:dLbls>
          <c:showLegendKey val="0"/>
          <c:showVal val="0"/>
          <c:showCatName val="0"/>
          <c:showSerName val="0"/>
          <c:showPercent val="0"/>
          <c:showBubbleSize val="0"/>
        </c:dLbls>
        <c:gapWidth val="150"/>
        <c:shape val="box"/>
        <c:axId val="2075098208"/>
        <c:axId val="1"/>
        <c:axId val="0"/>
      </c:bar3DChart>
      <c:catAx>
        <c:axId val="2075098208"/>
        <c:scaling>
          <c:orientation val="minMax"/>
        </c:scaling>
        <c:delete val="0"/>
        <c:axPos val="b"/>
        <c:numFmt formatCode="General" sourceLinked="1"/>
        <c:majorTickMark val="out"/>
        <c:minorTickMark val="none"/>
        <c:tickLblPos val="nextTo"/>
        <c:crossAx val="1"/>
        <c:crosses val="autoZero"/>
        <c:auto val="1"/>
        <c:lblAlgn val="ctr"/>
        <c:lblOffset val="100"/>
        <c:noMultiLvlLbl val="0"/>
      </c:catAx>
      <c:valAx>
        <c:axId val="1"/>
        <c:scaling>
          <c:orientation val="minMax"/>
          <c:max val="8000"/>
          <c:min val="2000"/>
        </c:scaling>
        <c:delete val="0"/>
        <c:axPos val="l"/>
        <c:majorGridlines/>
        <c:numFmt formatCode="0" sourceLinked="1"/>
        <c:majorTickMark val="out"/>
        <c:minorTickMark val="none"/>
        <c:tickLblPos val="nextTo"/>
        <c:crossAx val="2075098208"/>
        <c:crosses val="autoZero"/>
        <c:crossBetween val="between"/>
        <c:majorUnit val="1000"/>
      </c:valAx>
      <c:spPr>
        <a:noFill/>
        <a:ln w="25398">
          <a:noFill/>
        </a:ln>
      </c:spPr>
    </c:plotArea>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30896662120027"/>
          <c:y val="6.2516757162196165E-2"/>
          <c:w val="0.35109581386881922"/>
          <c:h val="0.89065658131316261"/>
        </c:manualLayout>
      </c:layout>
      <c:pieChart>
        <c:varyColors val="1"/>
        <c:ser>
          <c:idx val="0"/>
          <c:order val="0"/>
          <c:tx>
            <c:strRef>
              <c:f>Лист1!$B$1</c:f>
              <c:strCache>
                <c:ptCount val="1"/>
                <c:pt idx="0">
                  <c:v>2018</c:v>
                </c:pt>
              </c:strCache>
            </c:strRef>
          </c:tx>
          <c:dPt>
            <c:idx val="0"/>
            <c:bubble3D val="0"/>
            <c:extLst>
              <c:ext xmlns:c16="http://schemas.microsoft.com/office/drawing/2014/chart" uri="{C3380CC4-5D6E-409C-BE32-E72D297353CC}">
                <c16:uniqueId val="{00000000-8DD3-422F-9334-DD1EE3E7BE4C}"/>
              </c:ext>
            </c:extLst>
          </c:dPt>
          <c:dPt>
            <c:idx val="1"/>
            <c:bubble3D val="0"/>
            <c:extLst>
              <c:ext xmlns:c16="http://schemas.microsoft.com/office/drawing/2014/chart" uri="{C3380CC4-5D6E-409C-BE32-E72D297353CC}">
                <c16:uniqueId val="{00000001-8DD3-422F-9334-DD1EE3E7BE4C}"/>
              </c:ext>
            </c:extLst>
          </c:dPt>
          <c:dPt>
            <c:idx val="2"/>
            <c:bubble3D val="0"/>
            <c:extLst>
              <c:ext xmlns:c16="http://schemas.microsoft.com/office/drawing/2014/chart" uri="{C3380CC4-5D6E-409C-BE32-E72D297353CC}">
                <c16:uniqueId val="{00000002-8DD3-422F-9334-DD1EE3E7BE4C}"/>
              </c:ext>
            </c:extLst>
          </c:dPt>
          <c:dPt>
            <c:idx val="3"/>
            <c:bubble3D val="0"/>
            <c:extLst>
              <c:ext xmlns:c16="http://schemas.microsoft.com/office/drawing/2014/chart" uri="{C3380CC4-5D6E-409C-BE32-E72D297353CC}">
                <c16:uniqueId val="{00000003-8DD3-422F-9334-DD1EE3E7BE4C}"/>
              </c:ext>
            </c:extLst>
          </c:dPt>
          <c:dPt>
            <c:idx val="4"/>
            <c:bubble3D val="0"/>
            <c:extLst>
              <c:ext xmlns:c16="http://schemas.microsoft.com/office/drawing/2014/chart" uri="{C3380CC4-5D6E-409C-BE32-E72D297353CC}">
                <c16:uniqueId val="{00000004-8DD3-422F-9334-DD1EE3E7BE4C}"/>
              </c:ext>
            </c:extLst>
          </c:dPt>
          <c:dPt>
            <c:idx val="5"/>
            <c:bubble3D val="0"/>
            <c:extLst>
              <c:ext xmlns:c16="http://schemas.microsoft.com/office/drawing/2014/chart" uri="{C3380CC4-5D6E-409C-BE32-E72D297353CC}">
                <c16:uniqueId val="{00000005-8DD3-422F-9334-DD1EE3E7BE4C}"/>
              </c:ext>
            </c:extLst>
          </c:dPt>
          <c:dPt>
            <c:idx val="6"/>
            <c:bubble3D val="0"/>
            <c:extLst>
              <c:ext xmlns:c16="http://schemas.microsoft.com/office/drawing/2014/chart" uri="{C3380CC4-5D6E-409C-BE32-E72D297353CC}">
                <c16:uniqueId val="{00000006-8DD3-422F-9334-DD1EE3E7BE4C}"/>
              </c:ext>
            </c:extLst>
          </c:dPt>
          <c:dPt>
            <c:idx val="7"/>
            <c:bubble3D val="0"/>
            <c:extLst>
              <c:ext xmlns:c16="http://schemas.microsoft.com/office/drawing/2014/chart" uri="{C3380CC4-5D6E-409C-BE32-E72D297353CC}">
                <c16:uniqueId val="{00000007-8DD3-422F-9334-DD1EE3E7BE4C}"/>
              </c:ext>
            </c:extLst>
          </c:dPt>
          <c:dPt>
            <c:idx val="8"/>
            <c:bubble3D val="0"/>
            <c:extLst>
              <c:ext xmlns:c16="http://schemas.microsoft.com/office/drawing/2014/chart" uri="{C3380CC4-5D6E-409C-BE32-E72D297353CC}">
                <c16:uniqueId val="{00000008-8DD3-422F-9334-DD1EE3E7BE4C}"/>
              </c:ext>
            </c:extLst>
          </c:dPt>
          <c:dPt>
            <c:idx val="9"/>
            <c:bubble3D val="0"/>
            <c:extLst>
              <c:ext xmlns:c16="http://schemas.microsoft.com/office/drawing/2014/chart" uri="{C3380CC4-5D6E-409C-BE32-E72D297353CC}">
                <c16:uniqueId val="{00000009-8DD3-422F-9334-DD1EE3E7BE4C}"/>
              </c:ext>
            </c:extLst>
          </c:dPt>
          <c:dLbls>
            <c:spPr>
              <a:noFill/>
              <a:ln w="25401">
                <a:noFill/>
              </a:ln>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Лист1!$A$2:$A$11</c:f>
              <c:strCache>
                <c:ptCount val="10"/>
                <c:pt idx="0">
                  <c:v>Executive arm</c:v>
                </c:pt>
                <c:pt idx="1">
                  <c:v>Vyborgskiye Power Grid</c:v>
                </c:pt>
                <c:pt idx="2">
                  <c:v>Gatchinskiye Power Grid</c:v>
                </c:pt>
                <c:pt idx="3">
                  <c:v>Directorate of Facilities under Construction</c:v>
                </c:pt>
                <c:pt idx="4">
                  <c:v>Cable Grid</c:v>
                </c:pt>
                <c:pt idx="5">
                  <c:v>Kingiseppskiye Power Grid</c:v>
                </c:pt>
                <c:pt idx="6">
                  <c:v>Novoladozhskiye Power Grid</c:v>
                </c:pt>
                <c:pt idx="7">
                  <c:v>Prigorodniye Power Grid</c:v>
                </c:pt>
                <c:pt idx="8">
                  <c:v>Saint Petersburg High Voltage Power Grid</c:v>
                </c:pt>
                <c:pt idx="9">
                  <c:v>Tikhvinskiye Power Grid</c:v>
                </c:pt>
              </c:strCache>
            </c:strRef>
          </c:cat>
          <c:val>
            <c:numRef>
              <c:f>Лист1!$B$2:$B$11</c:f>
              <c:numCache>
                <c:formatCode>0%</c:formatCode>
                <c:ptCount val="10"/>
                <c:pt idx="0">
                  <c:v>0.11590689561392817</c:v>
                </c:pt>
                <c:pt idx="1">
                  <c:v>8.8903060028321448E-2</c:v>
                </c:pt>
                <c:pt idx="2">
                  <c:v>8.4106233529957899E-2</c:v>
                </c:pt>
                <c:pt idx="3">
                  <c:v>1.0550204908424222E-2</c:v>
                </c:pt>
                <c:pt idx="4">
                  <c:v>0.23542430579651705</c:v>
                </c:pt>
                <c:pt idx="5">
                  <c:v>7.5187793647369966E-2</c:v>
                </c:pt>
                <c:pt idx="6">
                  <c:v>0.08</c:v>
                </c:pt>
                <c:pt idx="7">
                  <c:v>0.10696501083154371</c:v>
                </c:pt>
                <c:pt idx="8">
                  <c:v>0.14367972391286002</c:v>
                </c:pt>
                <c:pt idx="9">
                  <c:v>5.2947961700411696E-2</c:v>
                </c:pt>
              </c:numCache>
            </c:numRef>
          </c:val>
          <c:extLst>
            <c:ext xmlns:c16="http://schemas.microsoft.com/office/drawing/2014/chart" uri="{C3380CC4-5D6E-409C-BE32-E72D297353CC}">
              <c16:uniqueId val="{0000000A-8DD3-422F-9334-DD1EE3E7BE4C}"/>
            </c:ext>
          </c:extLst>
        </c:ser>
        <c:ser>
          <c:idx val="1"/>
          <c:order val="1"/>
          <c:tx>
            <c:strRef>
              <c:f>Лист1!$C$1</c:f>
              <c:strCache>
                <c:ptCount val="1"/>
                <c:pt idx="0">
                  <c:v>Столбец1</c:v>
                </c:pt>
              </c:strCache>
            </c:strRef>
          </c:tx>
          <c:dPt>
            <c:idx val="0"/>
            <c:bubble3D val="0"/>
            <c:extLst>
              <c:ext xmlns:c16="http://schemas.microsoft.com/office/drawing/2014/chart" uri="{C3380CC4-5D6E-409C-BE32-E72D297353CC}">
                <c16:uniqueId val="{0000000B-8DD3-422F-9334-DD1EE3E7BE4C}"/>
              </c:ext>
            </c:extLst>
          </c:dPt>
          <c:dPt>
            <c:idx val="1"/>
            <c:bubble3D val="0"/>
            <c:extLst>
              <c:ext xmlns:c16="http://schemas.microsoft.com/office/drawing/2014/chart" uri="{C3380CC4-5D6E-409C-BE32-E72D297353CC}">
                <c16:uniqueId val="{0000000C-8DD3-422F-9334-DD1EE3E7BE4C}"/>
              </c:ext>
            </c:extLst>
          </c:dPt>
          <c:dPt>
            <c:idx val="2"/>
            <c:bubble3D val="0"/>
            <c:extLst>
              <c:ext xmlns:c16="http://schemas.microsoft.com/office/drawing/2014/chart" uri="{C3380CC4-5D6E-409C-BE32-E72D297353CC}">
                <c16:uniqueId val="{0000000D-8DD3-422F-9334-DD1EE3E7BE4C}"/>
              </c:ext>
            </c:extLst>
          </c:dPt>
          <c:dPt>
            <c:idx val="3"/>
            <c:bubble3D val="0"/>
            <c:extLst>
              <c:ext xmlns:c16="http://schemas.microsoft.com/office/drawing/2014/chart" uri="{C3380CC4-5D6E-409C-BE32-E72D297353CC}">
                <c16:uniqueId val="{0000000E-8DD3-422F-9334-DD1EE3E7BE4C}"/>
              </c:ext>
            </c:extLst>
          </c:dPt>
          <c:dPt>
            <c:idx val="4"/>
            <c:bubble3D val="0"/>
            <c:extLst>
              <c:ext xmlns:c16="http://schemas.microsoft.com/office/drawing/2014/chart" uri="{C3380CC4-5D6E-409C-BE32-E72D297353CC}">
                <c16:uniqueId val="{0000000F-8DD3-422F-9334-DD1EE3E7BE4C}"/>
              </c:ext>
            </c:extLst>
          </c:dPt>
          <c:dPt>
            <c:idx val="5"/>
            <c:bubble3D val="0"/>
            <c:extLst>
              <c:ext xmlns:c16="http://schemas.microsoft.com/office/drawing/2014/chart" uri="{C3380CC4-5D6E-409C-BE32-E72D297353CC}">
                <c16:uniqueId val="{00000010-8DD3-422F-9334-DD1EE3E7BE4C}"/>
              </c:ext>
            </c:extLst>
          </c:dPt>
          <c:dPt>
            <c:idx val="6"/>
            <c:bubble3D val="0"/>
            <c:extLst>
              <c:ext xmlns:c16="http://schemas.microsoft.com/office/drawing/2014/chart" uri="{C3380CC4-5D6E-409C-BE32-E72D297353CC}">
                <c16:uniqueId val="{00000011-8DD3-422F-9334-DD1EE3E7BE4C}"/>
              </c:ext>
            </c:extLst>
          </c:dPt>
          <c:dPt>
            <c:idx val="7"/>
            <c:bubble3D val="0"/>
            <c:extLst>
              <c:ext xmlns:c16="http://schemas.microsoft.com/office/drawing/2014/chart" uri="{C3380CC4-5D6E-409C-BE32-E72D297353CC}">
                <c16:uniqueId val="{00000012-8DD3-422F-9334-DD1EE3E7BE4C}"/>
              </c:ext>
            </c:extLst>
          </c:dPt>
          <c:dPt>
            <c:idx val="8"/>
            <c:bubble3D val="0"/>
            <c:extLst>
              <c:ext xmlns:c16="http://schemas.microsoft.com/office/drawing/2014/chart" uri="{C3380CC4-5D6E-409C-BE32-E72D297353CC}">
                <c16:uniqueId val="{00000013-8DD3-422F-9334-DD1EE3E7BE4C}"/>
              </c:ext>
            </c:extLst>
          </c:dPt>
          <c:dPt>
            <c:idx val="9"/>
            <c:bubble3D val="0"/>
            <c:extLst>
              <c:ext xmlns:c16="http://schemas.microsoft.com/office/drawing/2014/chart" uri="{C3380CC4-5D6E-409C-BE32-E72D297353CC}">
                <c16:uniqueId val="{00000014-8DD3-422F-9334-DD1EE3E7BE4C}"/>
              </c:ext>
            </c:extLst>
          </c:dPt>
          <c:cat>
            <c:strRef>
              <c:f>Лист1!$A$2:$A$11</c:f>
              <c:strCache>
                <c:ptCount val="10"/>
                <c:pt idx="0">
                  <c:v>Executive arm</c:v>
                </c:pt>
                <c:pt idx="1">
                  <c:v>Vyborgskiye Power Grid</c:v>
                </c:pt>
                <c:pt idx="2">
                  <c:v>Gatchinskiye Power Grid</c:v>
                </c:pt>
                <c:pt idx="3">
                  <c:v>Directorate of Facilities under Construction</c:v>
                </c:pt>
                <c:pt idx="4">
                  <c:v>Cable Grid</c:v>
                </c:pt>
                <c:pt idx="5">
                  <c:v>Kingiseppskiye Power Grid</c:v>
                </c:pt>
                <c:pt idx="6">
                  <c:v>Novoladozhskiye Power Grid</c:v>
                </c:pt>
                <c:pt idx="7">
                  <c:v>Prigorodniye Power Grid</c:v>
                </c:pt>
                <c:pt idx="8">
                  <c:v>Saint Petersburg High Voltage Power Grid</c:v>
                </c:pt>
                <c:pt idx="9">
                  <c:v>Tikhvinskiye Power Grid</c:v>
                </c:pt>
              </c:strCache>
            </c:strRef>
          </c:cat>
          <c:val>
            <c:numRef>
              <c:f>Лист1!$C$2:$C$11</c:f>
              <c:numCache>
                <c:formatCode>0.0</c:formatCode>
                <c:ptCount val="10"/>
                <c:pt idx="0">
                  <c:v>823.9666666666667</c:v>
                </c:pt>
                <c:pt idx="1">
                  <c:v>632</c:v>
                </c:pt>
                <c:pt idx="2">
                  <c:v>597.9</c:v>
                </c:pt>
                <c:pt idx="3">
                  <c:v>75</c:v>
                </c:pt>
                <c:pt idx="4">
                  <c:v>1673.6</c:v>
                </c:pt>
                <c:pt idx="5">
                  <c:v>534.5</c:v>
                </c:pt>
                <c:pt idx="6">
                  <c:v>613.70000000000005</c:v>
                </c:pt>
                <c:pt idx="7">
                  <c:v>760.4</c:v>
                </c:pt>
                <c:pt idx="8">
                  <c:v>1021.4</c:v>
                </c:pt>
                <c:pt idx="9">
                  <c:v>376.4</c:v>
                </c:pt>
              </c:numCache>
            </c:numRef>
          </c:val>
          <c:extLst>
            <c:ext xmlns:c16="http://schemas.microsoft.com/office/drawing/2014/chart" uri="{C3380CC4-5D6E-409C-BE32-E72D297353CC}">
              <c16:uniqueId val="{00000015-8DD3-422F-9334-DD1EE3E7BE4C}"/>
            </c:ext>
          </c:extLst>
        </c:ser>
        <c:dLbls>
          <c:showLegendKey val="0"/>
          <c:showVal val="0"/>
          <c:showCatName val="0"/>
          <c:showSerName val="0"/>
          <c:showPercent val="0"/>
          <c:showBubbleSize val="0"/>
          <c:showLeaderLines val="1"/>
        </c:dLbls>
        <c:firstSliceAng val="0"/>
      </c:pieChart>
      <c:spPr>
        <a:noFill/>
        <a:ln w="25401">
          <a:noFill/>
        </a:ln>
      </c:spPr>
    </c:plotArea>
    <c:legend>
      <c:legendPos val="r"/>
      <c:layout>
        <c:manualLayout>
          <c:xMode val="edge"/>
          <c:yMode val="edge"/>
          <c:x val="0.54827230865804699"/>
          <c:y val="2.0805958853297019E-2"/>
          <c:w val="0.41287496366324994"/>
          <c:h val="0.9538291490376084"/>
        </c:manualLayout>
      </c:layout>
      <c:overlay val="0"/>
    </c:legend>
    <c:plotVisOnly val="1"/>
    <c:dispBlanksAs val="gap"/>
    <c:showDLblsOverMax val="0"/>
  </c:chart>
  <c:spPr>
    <a:noFill/>
    <a:ln>
      <a:noFill/>
    </a:ln>
  </c:spPr>
  <c:txPr>
    <a:bodyPr/>
    <a:lstStyle/>
    <a:p>
      <a:pPr>
        <a:defRPr sz="1000">
          <a:solidFill>
            <a:sysClr val="windowText" lastClr="000000"/>
          </a:solidFill>
          <a:latin typeface="+mn-lt"/>
          <a:cs typeface="Times New Roman" panose="02020603050405020304" pitchFamily="18"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322819556530199E-2"/>
          <c:y val="0"/>
          <c:w val="0.35162254350911343"/>
          <c:h val="0.94853261090784102"/>
        </c:manualLayout>
      </c:layout>
      <c:doughnutChart>
        <c:varyColors val="1"/>
        <c:ser>
          <c:idx val="0"/>
          <c:order val="0"/>
          <c:tx>
            <c:strRef>
              <c:f>Лист1!$B$1</c:f>
              <c:strCache>
                <c:ptCount val="1"/>
                <c:pt idx="0">
                  <c:v>Столбец1</c:v>
                </c:pt>
              </c:strCache>
            </c:strRef>
          </c:tx>
          <c:dPt>
            <c:idx val="0"/>
            <c:bubble3D val="0"/>
            <c:spPr>
              <a:solidFill>
                <a:schemeClr val="bg1">
                  <a:lumMod val="8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0-3926-4569-B9B8-6CA478503956}"/>
              </c:ext>
            </c:extLst>
          </c:dPt>
          <c:dPt>
            <c:idx val="1"/>
            <c:bubble3D val="0"/>
            <c:spPr>
              <a:solidFill>
                <a:schemeClr val="accent1">
                  <a:lumMod val="7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3926-4569-B9B8-6CA478503956}"/>
              </c:ext>
            </c:extLst>
          </c:dPt>
          <c:dPt>
            <c:idx val="2"/>
            <c:bubble3D val="0"/>
            <c:spPr>
              <a:solidFill>
                <a:schemeClr val="accent1">
                  <a:tint val="6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2-3926-4569-B9B8-6CA478503956}"/>
              </c:ext>
            </c:extLst>
          </c:dPt>
          <c:dLbls>
            <c:dLbl>
              <c:idx val="0"/>
              <c:tx>
                <c:rich>
                  <a:bodyPr/>
                  <a:lstStyle/>
                  <a:p>
                    <a:r>
                      <a:rPr lang="en-US"/>
                      <a:t>8.1%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926-4569-B9B8-6CA478503956}"/>
                </c:ext>
              </c:extLst>
            </c:dLbl>
            <c:dLbl>
              <c:idx val="1"/>
              <c:tx>
                <c:rich>
                  <a:bodyPr/>
                  <a:lstStyle/>
                  <a:p>
                    <a:r>
                      <a:rPr lang="en-US"/>
                      <a:t>91.5%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926-4569-B9B8-6CA478503956}"/>
                </c:ext>
              </c:extLst>
            </c:dLbl>
            <c:dLbl>
              <c:idx val="2"/>
              <c:layout>
                <c:manualLayout>
                  <c:x val="-3.2407407407407447E-2"/>
                  <c:y val="-3.968253968253968E-3"/>
                </c:manualLayout>
              </c:layout>
              <c:tx>
                <c:rich>
                  <a:bodyPr/>
                  <a:lstStyle/>
                  <a:p>
                    <a:r>
                      <a:rPr lang="en-US"/>
                      <a:t>0.4%</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3926-4569-B9B8-6CA478503956}"/>
                </c:ext>
              </c:extLst>
            </c:dLbl>
            <c:numFmt formatCode="\О\с\н\о\в\н\о\й" sourceLinked="0"/>
            <c:spPr>
              <a:noFill/>
              <a:ln w="25388">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Лист1!$A$2:$A$4</c:f>
              <c:strCache>
                <c:ptCount val="3"/>
                <c:pt idx="0">
                  <c:v>Administrative personnel</c:v>
                </c:pt>
                <c:pt idx="1">
                  <c:v>Operating personnel</c:v>
                </c:pt>
                <c:pt idx="2">
                  <c:v>Auxiliary personnel</c:v>
                </c:pt>
              </c:strCache>
            </c:strRef>
          </c:cat>
          <c:val>
            <c:numRef>
              <c:f>Лист1!$B$2:$B$4</c:f>
              <c:numCache>
                <c:formatCode>General</c:formatCode>
                <c:ptCount val="3"/>
                <c:pt idx="0">
                  <c:v>435</c:v>
                </c:pt>
                <c:pt idx="1">
                  <c:v>4940</c:v>
                </c:pt>
                <c:pt idx="2">
                  <c:v>24</c:v>
                </c:pt>
              </c:numCache>
            </c:numRef>
          </c:val>
          <c:extLst>
            <c:ext xmlns:c16="http://schemas.microsoft.com/office/drawing/2014/chart" uri="{C3380CC4-5D6E-409C-BE32-E72D297353CC}">
              <c16:uniqueId val="{00000003-3926-4569-B9B8-6CA478503956}"/>
            </c:ext>
          </c:extLst>
        </c:ser>
        <c:dLbls>
          <c:showLegendKey val="0"/>
          <c:showVal val="0"/>
          <c:showCatName val="0"/>
          <c:showSerName val="0"/>
          <c:showPercent val="0"/>
          <c:showBubbleSize val="0"/>
          <c:showLeaderLines val="0"/>
        </c:dLbls>
        <c:firstSliceAng val="0"/>
        <c:holeSize val="50"/>
      </c:doughnutChart>
      <c:spPr>
        <a:noFill/>
        <a:ln w="25388">
          <a:noFill/>
        </a:ln>
      </c:spPr>
    </c:plotArea>
    <c:legend>
      <c:legendPos val="t"/>
      <c:layout>
        <c:manualLayout>
          <c:xMode val="edge"/>
          <c:yMode val="edge"/>
          <c:x val="0.50474060060674231"/>
          <c:y val="0.35106034280926152"/>
          <c:w val="0.4473913488086716"/>
          <c:h val="0.26289798282256976"/>
        </c:manualLayout>
      </c:layout>
      <c:overlay val="0"/>
      <c:spPr>
        <a:noFill/>
        <a:ln w="25388">
          <a:noFill/>
        </a:ln>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a:noFill/>
    </a:ln>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1338396873738234"/>
          <c:y val="0.29843471157617235"/>
          <c:w val="0.63592151949089859"/>
          <c:h val="0.69875867638561096"/>
        </c:manualLayout>
      </c:layout>
      <c:pie3DChart>
        <c:varyColors val="1"/>
        <c:ser>
          <c:idx val="0"/>
          <c:order val="0"/>
          <c:explosion val="25"/>
          <c:dPt>
            <c:idx val="0"/>
            <c:bubble3D val="0"/>
            <c:extLst>
              <c:ext xmlns:c16="http://schemas.microsoft.com/office/drawing/2014/chart" uri="{C3380CC4-5D6E-409C-BE32-E72D297353CC}">
                <c16:uniqueId val="{00000000-64C1-44A0-B719-E56F3627E3E1}"/>
              </c:ext>
            </c:extLst>
          </c:dPt>
          <c:dPt>
            <c:idx val="1"/>
            <c:bubble3D val="0"/>
            <c:extLst>
              <c:ext xmlns:c16="http://schemas.microsoft.com/office/drawing/2014/chart" uri="{C3380CC4-5D6E-409C-BE32-E72D297353CC}">
                <c16:uniqueId val="{00000001-64C1-44A0-B719-E56F3627E3E1}"/>
              </c:ext>
            </c:extLst>
          </c:dPt>
          <c:dPt>
            <c:idx val="2"/>
            <c:bubble3D val="0"/>
            <c:extLst>
              <c:ext xmlns:c16="http://schemas.microsoft.com/office/drawing/2014/chart" uri="{C3380CC4-5D6E-409C-BE32-E72D297353CC}">
                <c16:uniqueId val="{00000002-64C1-44A0-B719-E56F3627E3E1}"/>
              </c:ext>
            </c:extLst>
          </c:dPt>
          <c:dPt>
            <c:idx val="3"/>
            <c:bubble3D val="0"/>
            <c:extLst>
              <c:ext xmlns:c16="http://schemas.microsoft.com/office/drawing/2014/chart" uri="{C3380CC4-5D6E-409C-BE32-E72D297353CC}">
                <c16:uniqueId val="{00000003-64C1-44A0-B719-E56F3627E3E1}"/>
              </c:ext>
            </c:extLst>
          </c:dPt>
          <c:dLbls>
            <c:dLbl>
              <c:idx val="0"/>
              <c:layout/>
              <c:tx>
                <c:rich>
                  <a:bodyPr/>
                  <a:lstStyle/>
                  <a:p>
                    <a:r>
                      <a:rPr lang="en-US"/>
                      <a:t>24.1%</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64C1-44A0-B719-E56F3627E3E1}"/>
                </c:ext>
              </c:extLst>
            </c:dLbl>
            <c:dLbl>
              <c:idx val="1"/>
              <c:layout/>
              <c:tx>
                <c:rich>
                  <a:bodyPr/>
                  <a:lstStyle/>
                  <a:p>
                    <a:r>
                      <a:rPr lang="en-US"/>
                      <a:t>2.4%</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64C1-44A0-B719-E56F3627E3E1}"/>
                </c:ext>
              </c:extLst>
            </c:dLbl>
            <c:dLbl>
              <c:idx val="2"/>
              <c:layout/>
              <c:tx>
                <c:rich>
                  <a:bodyPr/>
                  <a:lstStyle/>
                  <a:p>
                    <a:r>
                      <a:rPr lang="en-US"/>
                      <a:t>39.9%</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64C1-44A0-B719-E56F3627E3E1}"/>
                </c:ext>
              </c:extLst>
            </c:dLbl>
            <c:dLbl>
              <c:idx val="3"/>
              <c:layout/>
              <c:tx>
                <c:rich>
                  <a:bodyPr/>
                  <a:lstStyle/>
                  <a:p>
                    <a:r>
                      <a:rPr lang="en-US"/>
                      <a:t>33.6%</a:t>
                    </a:r>
                  </a:p>
                </c:rich>
              </c:tx>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64C1-44A0-B719-E56F3627E3E1}"/>
                </c:ext>
              </c:extLst>
            </c:dLbl>
            <c:numFmt formatCode="\О\с\н\о\в\н\о\й" sourceLinked="0"/>
            <c:spPr>
              <a:noFill/>
              <a:ln w="25402">
                <a:noFill/>
              </a:ln>
            </c:spPr>
            <c:txPr>
              <a:bodyPr/>
              <a:lstStyle/>
              <a:p>
                <a:pPr>
                  <a:defRPr b="1"/>
                </a:pPr>
                <a:endParaRPr lang="en-US"/>
              </a:p>
            </c:txPr>
            <c:showLegendKey val="0"/>
            <c:showVal val="0"/>
            <c:showCatName val="0"/>
            <c:showSerName val="0"/>
            <c:showPercent val="1"/>
            <c:showBubbleSize val="0"/>
            <c:showLeaderLines val="0"/>
            <c:extLst>
              <c:ext xmlns:c15="http://schemas.microsoft.com/office/drawing/2012/chart" uri="{CE6537A1-D6FC-4f65-9D91-7224C49458BB}"/>
            </c:extLst>
          </c:dLbls>
          <c:cat>
            <c:strRef>
              <c:f>УН!$B$6:$B$9</c:f>
              <c:strCache>
                <c:ptCount val="4"/>
                <c:pt idx="0">
                  <c:v>HV</c:v>
                </c:pt>
                <c:pt idx="1">
                  <c:v>MV1</c:v>
                </c:pt>
                <c:pt idx="2">
                  <c:v>MV2</c:v>
                </c:pt>
                <c:pt idx="3">
                  <c:v>LV</c:v>
                </c:pt>
              </c:strCache>
            </c:strRef>
          </c:cat>
          <c:val>
            <c:numRef>
              <c:f>УН!$E$6:$E$9</c:f>
              <c:numCache>
                <c:formatCode>General</c:formatCode>
                <c:ptCount val="4"/>
                <c:pt idx="0">
                  <c:v>7354.6958254318424</c:v>
                </c:pt>
                <c:pt idx="1">
                  <c:v>731.18790200000001</c:v>
                </c:pt>
                <c:pt idx="2">
                  <c:v>12203.198457597506</c:v>
                </c:pt>
                <c:pt idx="3">
                  <c:v>10271.20327967738</c:v>
                </c:pt>
              </c:numCache>
            </c:numRef>
          </c:val>
          <c:extLst>
            <c:ext xmlns:c16="http://schemas.microsoft.com/office/drawing/2014/chart" uri="{C3380CC4-5D6E-409C-BE32-E72D297353CC}">
              <c16:uniqueId val="{00000004-64C1-44A0-B719-E56F3627E3E1}"/>
            </c:ext>
          </c:extLst>
        </c:ser>
        <c:dLbls>
          <c:showLegendKey val="0"/>
          <c:showVal val="0"/>
          <c:showCatName val="0"/>
          <c:showSerName val="0"/>
          <c:showPercent val="0"/>
          <c:showBubbleSize val="0"/>
          <c:showLeaderLines val="0"/>
        </c:dLbls>
      </c:pie3DChart>
      <c:spPr>
        <a:noFill/>
        <a:ln w="25402">
          <a:noFill/>
        </a:ln>
      </c:spPr>
    </c:plotArea>
    <c:legend>
      <c:legendPos val="r"/>
      <c:layout/>
      <c:overlay val="0"/>
      <c:txPr>
        <a:bodyPr/>
        <a:lstStyle/>
        <a:p>
          <a:pPr>
            <a:defRPr sz="900"/>
          </a:pPr>
          <a:endParaRPr lang="en-US"/>
        </a:p>
      </c:txPr>
    </c:legend>
    <c:plotVisOnly val="1"/>
    <c:dispBlanksAs val="zero"/>
    <c:showDLblsOverMax val="0"/>
  </c:chart>
  <c:externalData r:id="rId2">
    <c:autoUpdate val="0"/>
  </c:externalData>
  <c:userShapes r:id="rId3"/>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602378631739201"/>
          <c:y val="5.1005003684884198E-2"/>
          <c:w val="0.79356162656829043"/>
          <c:h val="0.49983430464365353"/>
        </c:manualLayout>
      </c:layout>
      <c:barChart>
        <c:barDir val="col"/>
        <c:grouping val="clustered"/>
        <c:varyColors val="0"/>
        <c:ser>
          <c:idx val="1"/>
          <c:order val="0"/>
          <c:tx>
            <c:strRef>
              <c:f>Лист1!$E$3</c:f>
              <c:strCache>
                <c:ptCount val="1"/>
                <c:pt idx="0">
                  <c:v>Share of employees trained off-the-job, %</c:v>
                </c:pt>
              </c:strCache>
            </c:strRef>
          </c:tx>
          <c:spPr>
            <a:solidFill>
              <a:schemeClr val="tx2"/>
            </a:solidFill>
            <a:ln w="18985">
              <a:noFill/>
              <a:prstDash val="solid"/>
            </a:ln>
          </c:spPr>
          <c:invertIfNegative val="0"/>
          <c:dLbls>
            <c:spPr>
              <a:noFill/>
              <a:ln w="18985">
                <a:noFill/>
              </a:ln>
            </c:spPr>
            <c:txPr>
              <a:bodyPr wrap="square" lIns="38100" tIns="19050" rIns="38100" bIns="19050" anchor="ctr">
                <a:spAutoFit/>
              </a:bodyPr>
              <a:lstStyle/>
              <a:p>
                <a:pPr>
                  <a:defRPr sz="600" b="1" i="0" u="none" strike="noStrike" baseline="0">
                    <a:solidFill>
                      <a:srgbClr val="FFFFFF"/>
                    </a:solidFill>
                    <a:latin typeface="Arial"/>
                    <a:ea typeface="Arial"/>
                    <a:cs typeface="Arial"/>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Лист1!$D$4:$D$14</c:f>
              <c:strCache>
                <c:ptCount val="11"/>
                <c:pt idx="0">
                  <c:v>PJSC “Lenenergo”</c:v>
                </c:pt>
                <c:pt idx="1">
                  <c:v>EA</c:v>
                </c:pt>
                <c:pt idx="2">
                  <c:v>Vyborgskiye Power Grid</c:v>
                </c:pt>
                <c:pt idx="3">
                  <c:v>Gatchinskiye Power Grid</c:v>
                </c:pt>
                <c:pt idx="4">
                  <c:v>Cable Grids</c:v>
                </c:pt>
                <c:pt idx="5">
                  <c:v>Kingisepsskiye Power Grid</c:v>
                </c:pt>
                <c:pt idx="6">
                  <c:v>Novoladozhskiye Power Grid</c:v>
                </c:pt>
                <c:pt idx="7">
                  <c:v>Prigorodniye Power Grid</c:v>
                </c:pt>
                <c:pt idx="8">
                  <c:v>Tikhvinskiye Power Grid</c:v>
                </c:pt>
                <c:pt idx="9">
                  <c:v>Saint Petersburg High Voltage Power Grid</c:v>
                </c:pt>
                <c:pt idx="10">
                  <c:v>Directorate of Facilities under Construction</c:v>
                </c:pt>
              </c:strCache>
            </c:strRef>
          </c:cat>
          <c:val>
            <c:numRef>
              <c:f>Лист1!$E$4:$E$14</c:f>
              <c:numCache>
                <c:formatCode>0.0</c:formatCode>
                <c:ptCount val="11"/>
                <c:pt idx="0" formatCode="General">
                  <c:v>75.900000000000006</c:v>
                </c:pt>
                <c:pt idx="1">
                  <c:v>38.700000000000003</c:v>
                </c:pt>
                <c:pt idx="2">
                  <c:v>88.6</c:v>
                </c:pt>
                <c:pt idx="3">
                  <c:v>90.5</c:v>
                </c:pt>
                <c:pt idx="4">
                  <c:v>62.7</c:v>
                </c:pt>
                <c:pt idx="5">
                  <c:v>88.6</c:v>
                </c:pt>
                <c:pt idx="6">
                  <c:v>82.1</c:v>
                </c:pt>
                <c:pt idx="7">
                  <c:v>108.3</c:v>
                </c:pt>
                <c:pt idx="8">
                  <c:v>78.2</c:v>
                </c:pt>
                <c:pt idx="9">
                  <c:v>80.599999999999994</c:v>
                </c:pt>
                <c:pt idx="10">
                  <c:v>16</c:v>
                </c:pt>
              </c:numCache>
            </c:numRef>
          </c:val>
          <c:extLst>
            <c:ext xmlns:c16="http://schemas.microsoft.com/office/drawing/2014/chart" uri="{C3380CC4-5D6E-409C-BE32-E72D297353CC}">
              <c16:uniqueId val="{00000000-5C1D-4476-936B-E3311EC806E4}"/>
            </c:ext>
          </c:extLst>
        </c:ser>
        <c:ser>
          <c:idx val="0"/>
          <c:order val="1"/>
          <c:tx>
            <c:strRef>
              <c:f>Лист1!$F$3</c:f>
              <c:strCache>
                <c:ptCount val="1"/>
                <c:pt idx="0">
                  <c:v>including at own training centers, %</c:v>
                </c:pt>
              </c:strCache>
            </c:strRef>
          </c:tx>
          <c:spPr>
            <a:solidFill>
              <a:schemeClr val="accent1"/>
            </a:solidFill>
            <a:ln w="9492">
              <a:solidFill>
                <a:srgbClr val="000000"/>
              </a:solidFill>
              <a:prstDash val="solid"/>
            </a:ln>
          </c:spPr>
          <c:invertIfNegative val="0"/>
          <c:dLbls>
            <c:spPr>
              <a:noFill/>
              <a:ln w="18985">
                <a:noFill/>
              </a:ln>
            </c:spPr>
            <c:txPr>
              <a:bodyPr wrap="square" lIns="38100" tIns="19050" rIns="38100" bIns="19050" anchor="ctr">
                <a:spAutoFit/>
              </a:bodyPr>
              <a:lstStyle/>
              <a:p>
                <a:pPr>
                  <a:defRPr sz="600" b="1" i="0" u="none" strike="noStrike" baseline="0">
                    <a:solidFill>
                      <a:srgbClr val="000000"/>
                    </a:solidFill>
                    <a:latin typeface="Arial"/>
                    <a:ea typeface="Arial"/>
                    <a:cs typeface="Arial"/>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Лист1!$D$4:$D$14</c:f>
              <c:strCache>
                <c:ptCount val="11"/>
                <c:pt idx="0">
                  <c:v>PJSC “Lenenergo”</c:v>
                </c:pt>
                <c:pt idx="1">
                  <c:v>EA</c:v>
                </c:pt>
                <c:pt idx="2">
                  <c:v>Vyborgskiye Power Grid</c:v>
                </c:pt>
                <c:pt idx="3">
                  <c:v>Gatchinskiye Power Grid</c:v>
                </c:pt>
                <c:pt idx="4">
                  <c:v>Cable Grids</c:v>
                </c:pt>
                <c:pt idx="5">
                  <c:v>Kingisepsskiye Power Grid</c:v>
                </c:pt>
                <c:pt idx="6">
                  <c:v>Novoladozhskiye Power Grid</c:v>
                </c:pt>
                <c:pt idx="7">
                  <c:v>Prigorodniye Power Grid</c:v>
                </c:pt>
                <c:pt idx="8">
                  <c:v>Tikhvinskiye Power Grid</c:v>
                </c:pt>
                <c:pt idx="9">
                  <c:v>Saint Petersburg High Voltage Power Grid</c:v>
                </c:pt>
                <c:pt idx="10">
                  <c:v>Directorate of Facilities under Construction</c:v>
                </c:pt>
              </c:strCache>
            </c:strRef>
          </c:cat>
          <c:val>
            <c:numRef>
              <c:f>Лист1!$F$4:$F$14</c:f>
              <c:numCache>
                <c:formatCode>General</c:formatCode>
                <c:ptCount val="11"/>
                <c:pt idx="0">
                  <c:v>10</c:v>
                </c:pt>
                <c:pt idx="1">
                  <c:v>0.7</c:v>
                </c:pt>
                <c:pt idx="2">
                  <c:v>12.3</c:v>
                </c:pt>
                <c:pt idx="3">
                  <c:v>5.2</c:v>
                </c:pt>
                <c:pt idx="4">
                  <c:v>5.9</c:v>
                </c:pt>
                <c:pt idx="5">
                  <c:v>26.6</c:v>
                </c:pt>
                <c:pt idx="6">
                  <c:v>13.5</c:v>
                </c:pt>
                <c:pt idx="7">
                  <c:v>14.3</c:v>
                </c:pt>
                <c:pt idx="8">
                  <c:v>10.9</c:v>
                </c:pt>
                <c:pt idx="9">
                  <c:v>12</c:v>
                </c:pt>
                <c:pt idx="10">
                  <c:v>0</c:v>
                </c:pt>
              </c:numCache>
            </c:numRef>
          </c:val>
          <c:extLst>
            <c:ext xmlns:c16="http://schemas.microsoft.com/office/drawing/2014/chart" uri="{C3380CC4-5D6E-409C-BE32-E72D297353CC}">
              <c16:uniqueId val="{00000001-5C1D-4476-936B-E3311EC806E4}"/>
            </c:ext>
          </c:extLst>
        </c:ser>
        <c:dLbls>
          <c:showLegendKey val="0"/>
          <c:showVal val="0"/>
          <c:showCatName val="0"/>
          <c:showSerName val="0"/>
          <c:showPercent val="0"/>
          <c:showBubbleSize val="0"/>
        </c:dLbls>
        <c:gapWidth val="150"/>
        <c:axId val="2073375136"/>
        <c:axId val="1"/>
      </c:barChart>
      <c:lineChart>
        <c:grouping val="standard"/>
        <c:varyColors val="0"/>
        <c:ser>
          <c:idx val="2"/>
          <c:order val="2"/>
          <c:tx>
            <c:strRef>
              <c:f>Лист1!$G$3</c:f>
              <c:strCache>
                <c:ptCount val="1"/>
                <c:pt idx="0">
                  <c:v>training costs to payroll ratio, %</c:v>
                </c:pt>
              </c:strCache>
            </c:strRef>
          </c:tx>
          <c:spPr>
            <a:ln>
              <a:solidFill>
                <a:srgbClr val="C00000"/>
              </a:solidFill>
            </a:ln>
          </c:spPr>
          <c:marker>
            <c:spPr>
              <a:solidFill>
                <a:srgbClr val="C00000"/>
              </a:solidFill>
              <a:ln>
                <a:solidFill>
                  <a:srgbClr val="C00000"/>
                </a:solidFill>
              </a:ln>
            </c:spPr>
          </c:marker>
          <c:dLbls>
            <c:spPr>
              <a:noFill/>
              <a:ln w="25384">
                <a:noFill/>
              </a:ln>
            </c:spPr>
            <c:txPr>
              <a:bodyPr wrap="square" lIns="38100" tIns="19050" rIns="38100" bIns="19050" anchor="ctr">
                <a:spAutoFit/>
              </a:bodyPr>
              <a:lstStyle/>
              <a:p>
                <a:pPr>
                  <a:defRPr sz="600" b="1" i="0" u="none" strike="noStrike" baseline="0">
                    <a:solidFill>
                      <a:srgbClr val="FF0000"/>
                    </a:solidFill>
                    <a:latin typeface="Arial"/>
                    <a:ea typeface="Arial"/>
                    <a:cs typeface="Arial"/>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Лист1!$D$4:$D$14</c:f>
              <c:strCache>
                <c:ptCount val="11"/>
                <c:pt idx="0">
                  <c:v>PJSC “Lenenergo”</c:v>
                </c:pt>
                <c:pt idx="1">
                  <c:v>EA</c:v>
                </c:pt>
                <c:pt idx="2">
                  <c:v>Vyborgskiye Power Grid</c:v>
                </c:pt>
                <c:pt idx="3">
                  <c:v>Gatchinskiye Power Grid</c:v>
                </c:pt>
                <c:pt idx="4">
                  <c:v>Cable Grids</c:v>
                </c:pt>
                <c:pt idx="5">
                  <c:v>Kingisepsskiye Power Grid</c:v>
                </c:pt>
                <c:pt idx="6">
                  <c:v>Novoladozhskiye Power Grid</c:v>
                </c:pt>
                <c:pt idx="7">
                  <c:v>Prigorodniye Power Grid</c:v>
                </c:pt>
                <c:pt idx="8">
                  <c:v>Tikhvinskiye Power Grid</c:v>
                </c:pt>
                <c:pt idx="9">
                  <c:v>Saint Petersburg High Voltage Power Grid</c:v>
                </c:pt>
                <c:pt idx="10">
                  <c:v>Directorate of Facilities under Construction</c:v>
                </c:pt>
              </c:strCache>
            </c:strRef>
          </c:cat>
          <c:val>
            <c:numRef>
              <c:f>Лист1!$G$4:$G$14</c:f>
              <c:numCache>
                <c:formatCode>0.00</c:formatCode>
                <c:ptCount val="11"/>
                <c:pt idx="0" formatCode="General">
                  <c:v>0.48</c:v>
                </c:pt>
                <c:pt idx="1">
                  <c:v>0.67</c:v>
                </c:pt>
                <c:pt idx="2">
                  <c:v>0.6</c:v>
                </c:pt>
                <c:pt idx="3">
                  <c:v>0.59</c:v>
                </c:pt>
                <c:pt idx="4">
                  <c:v>0.23</c:v>
                </c:pt>
                <c:pt idx="5">
                  <c:v>0.56000000000000005</c:v>
                </c:pt>
                <c:pt idx="6">
                  <c:v>0.53</c:v>
                </c:pt>
                <c:pt idx="7">
                  <c:v>0.59</c:v>
                </c:pt>
                <c:pt idx="8">
                  <c:v>0.35</c:v>
                </c:pt>
                <c:pt idx="9">
                  <c:v>0.42</c:v>
                </c:pt>
                <c:pt idx="10">
                  <c:v>0.05</c:v>
                </c:pt>
              </c:numCache>
            </c:numRef>
          </c:val>
          <c:smooth val="0"/>
          <c:extLst>
            <c:ext xmlns:c16="http://schemas.microsoft.com/office/drawing/2014/chart" uri="{C3380CC4-5D6E-409C-BE32-E72D297353CC}">
              <c16:uniqueId val="{00000002-5C1D-4476-936B-E3311EC806E4}"/>
            </c:ext>
          </c:extLst>
        </c:ser>
        <c:dLbls>
          <c:showLegendKey val="0"/>
          <c:showVal val="0"/>
          <c:showCatName val="0"/>
          <c:showSerName val="0"/>
          <c:showPercent val="0"/>
          <c:showBubbleSize val="0"/>
        </c:dLbls>
        <c:marker val="1"/>
        <c:smooth val="0"/>
        <c:axId val="3"/>
        <c:axId val="4"/>
      </c:lineChart>
      <c:catAx>
        <c:axId val="2073375136"/>
        <c:scaling>
          <c:orientation val="minMax"/>
        </c:scaling>
        <c:delete val="0"/>
        <c:axPos val="b"/>
        <c:numFmt formatCode="General" sourceLinked="1"/>
        <c:majorTickMark val="out"/>
        <c:minorTickMark val="none"/>
        <c:tickLblPos val="low"/>
        <c:spPr>
          <a:ln w="2373">
            <a:solidFill>
              <a:srgbClr val="000000"/>
            </a:solidFill>
            <a:prstDash val="solid"/>
          </a:ln>
        </c:spPr>
        <c:txPr>
          <a:bodyPr rot="-2700000" vert="horz"/>
          <a:lstStyle/>
          <a:p>
            <a:pPr>
              <a:defRPr sz="675" b="0" i="0" u="none" strike="noStrike" baseline="0">
                <a:solidFill>
                  <a:srgbClr val="000000"/>
                </a:solidFill>
                <a:latin typeface="Arial"/>
                <a:ea typeface="Arial"/>
                <a:cs typeface="Arial"/>
              </a:defRPr>
            </a:pPr>
            <a:endParaRPr lang="en-US"/>
          </a:p>
        </c:txPr>
        <c:crossAx val="1"/>
        <c:crossesAt val="0"/>
        <c:auto val="1"/>
        <c:lblAlgn val="ctr"/>
        <c:lblOffset val="100"/>
        <c:tickLblSkip val="1"/>
        <c:tickMarkSkip val="1"/>
        <c:noMultiLvlLbl val="0"/>
      </c:catAx>
      <c:valAx>
        <c:axId val="1"/>
        <c:scaling>
          <c:orientation val="minMax"/>
          <c:min val="0"/>
        </c:scaling>
        <c:delete val="0"/>
        <c:axPos val="l"/>
        <c:numFmt formatCode="General" sourceLinked="1"/>
        <c:majorTickMark val="cross"/>
        <c:minorTickMark val="none"/>
        <c:tickLblPos val="nextTo"/>
        <c:spPr>
          <a:ln w="2373">
            <a:solidFill>
              <a:srgbClr val="000000"/>
            </a:solidFill>
            <a:prstDash val="solid"/>
          </a:ln>
        </c:spPr>
        <c:txPr>
          <a:bodyPr rot="0" vert="horz"/>
          <a:lstStyle/>
          <a:p>
            <a:pPr>
              <a:defRPr sz="750" b="1" i="0" u="none" strike="noStrike" baseline="0">
                <a:solidFill>
                  <a:srgbClr val="808080"/>
                </a:solidFill>
                <a:latin typeface="Arial"/>
                <a:ea typeface="Arial"/>
                <a:cs typeface="Arial"/>
              </a:defRPr>
            </a:pPr>
            <a:endParaRPr lang="en-US"/>
          </a:p>
        </c:txPr>
        <c:crossAx val="2073375136"/>
        <c:crosses val="autoZero"/>
        <c:crossBetween val="between"/>
      </c:valAx>
      <c:catAx>
        <c:axId val="3"/>
        <c:scaling>
          <c:orientation val="minMax"/>
        </c:scaling>
        <c:delete val="1"/>
        <c:axPos val="b"/>
        <c:numFmt formatCode="General" sourceLinked="1"/>
        <c:majorTickMark val="out"/>
        <c:minorTickMark val="none"/>
        <c:tickLblPos val="nextTo"/>
        <c:crossAx val="4"/>
        <c:crosses val="autoZero"/>
        <c:auto val="0"/>
        <c:lblAlgn val="ctr"/>
        <c:lblOffset val="100"/>
        <c:noMultiLvlLbl val="0"/>
      </c:catAx>
      <c:valAx>
        <c:axId val="4"/>
        <c:scaling>
          <c:orientation val="minMax"/>
        </c:scaling>
        <c:delete val="0"/>
        <c:axPos val="r"/>
        <c:numFmt formatCode="General" sourceLinked="1"/>
        <c:majorTickMark val="out"/>
        <c:minorTickMark val="none"/>
        <c:tickLblPos val="nextTo"/>
        <c:txPr>
          <a:bodyPr rot="0" vert="horz"/>
          <a:lstStyle/>
          <a:p>
            <a:pPr>
              <a:defRPr sz="750" b="0" i="0" u="none" strike="noStrike" baseline="0">
                <a:solidFill>
                  <a:srgbClr val="FF0000"/>
                </a:solidFill>
                <a:latin typeface="Arial"/>
                <a:ea typeface="Arial"/>
                <a:cs typeface="Arial"/>
              </a:defRPr>
            </a:pPr>
            <a:endParaRPr lang="en-US"/>
          </a:p>
        </c:txPr>
        <c:crossAx val="3"/>
        <c:crosses val="max"/>
        <c:crossBetween val="between"/>
      </c:valAx>
      <c:spPr>
        <a:solidFill>
          <a:srgbClr val="FFFFFF"/>
        </a:solidFill>
        <a:ln w="9492">
          <a:solidFill>
            <a:srgbClr val="808080"/>
          </a:solidFill>
          <a:prstDash val="solid"/>
        </a:ln>
      </c:spPr>
    </c:plotArea>
    <c:legend>
      <c:legendPos val="b"/>
      <c:layout>
        <c:manualLayout>
          <c:xMode val="edge"/>
          <c:yMode val="edge"/>
          <c:x val="4.4893942252784751E-2"/>
          <c:y val="0.79546824980773989"/>
          <c:w val="0.55689394131199843"/>
          <c:h val="0.2017522419072616"/>
        </c:manualLayout>
      </c:layout>
      <c:overlay val="0"/>
      <c:spPr>
        <a:solidFill>
          <a:srgbClr val="FFFFFF"/>
        </a:solidFill>
        <a:ln w="18985">
          <a:noFill/>
        </a:ln>
      </c:spPr>
      <c:txPr>
        <a:bodyPr/>
        <a:lstStyle/>
        <a:p>
          <a:pPr>
            <a:defRPr sz="692"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a:noFill/>
    </a:ln>
  </c:spPr>
  <c:txPr>
    <a:bodyPr/>
    <a:lstStyle/>
    <a:p>
      <a:pPr>
        <a:defRPr sz="750" b="0" i="0" u="none" strike="noStrike" baseline="0">
          <a:solidFill>
            <a:srgbClr val="000000"/>
          </a:solidFill>
          <a:latin typeface="Arial"/>
          <a:ea typeface="Arial"/>
          <a:cs typeface="Arial"/>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latin typeface="Times New Roman" panose="02020603050405020304" pitchFamily="18" charset="0"/>
                <a:cs typeface="Times New Roman" panose="02020603050405020304" pitchFamily="18" charset="0"/>
              </a:rPr>
              <a:t>2018</a:t>
            </a:r>
          </a:p>
        </c:rich>
      </c:tx>
      <c:overlay val="0"/>
    </c:title>
    <c:autoTitleDeleted val="0"/>
    <c:plotArea>
      <c:layout/>
      <c:pieChart>
        <c:varyColors val="1"/>
        <c:ser>
          <c:idx val="0"/>
          <c:order val="0"/>
          <c:tx>
            <c:strRef>
              <c:f>Лист1!$B$1</c:f>
              <c:strCache>
                <c:ptCount val="1"/>
                <c:pt idx="0">
                  <c:v>Столбец1</c:v>
                </c:pt>
              </c:strCache>
            </c:strRef>
          </c:tx>
          <c:dPt>
            <c:idx val="0"/>
            <c:bubble3D val="0"/>
            <c:extLst>
              <c:ext xmlns:c16="http://schemas.microsoft.com/office/drawing/2014/chart" uri="{C3380CC4-5D6E-409C-BE32-E72D297353CC}">
                <c16:uniqueId val="{00000000-8E3F-499E-8FC8-C7176FFB29DB}"/>
              </c:ext>
            </c:extLst>
          </c:dPt>
          <c:dPt>
            <c:idx val="1"/>
            <c:bubble3D val="0"/>
            <c:extLst>
              <c:ext xmlns:c16="http://schemas.microsoft.com/office/drawing/2014/chart" uri="{C3380CC4-5D6E-409C-BE32-E72D297353CC}">
                <c16:uniqueId val="{00000001-8E3F-499E-8FC8-C7176FFB29DB}"/>
              </c:ext>
            </c:extLst>
          </c:dPt>
          <c:dPt>
            <c:idx val="2"/>
            <c:bubble3D val="0"/>
            <c:extLst>
              <c:ext xmlns:c16="http://schemas.microsoft.com/office/drawing/2014/chart" uri="{C3380CC4-5D6E-409C-BE32-E72D297353CC}">
                <c16:uniqueId val="{00000002-8E3F-499E-8FC8-C7176FFB29DB}"/>
              </c:ext>
            </c:extLst>
          </c:dPt>
          <c:dPt>
            <c:idx val="3"/>
            <c:bubble3D val="0"/>
            <c:extLst>
              <c:ext xmlns:c16="http://schemas.microsoft.com/office/drawing/2014/chart" uri="{C3380CC4-5D6E-409C-BE32-E72D297353CC}">
                <c16:uniqueId val="{00000003-8E3F-499E-8FC8-C7176FFB29DB}"/>
              </c:ext>
            </c:extLst>
          </c:dPt>
          <c:dLbls>
            <c:dLbl>
              <c:idx val="1"/>
              <c:layout>
                <c:manualLayout>
                  <c:x val="-6.5926437199782056E-2"/>
                  <c:y val="0.13925409297032382"/>
                </c:manualLayout>
              </c:layout>
              <c:spPr>
                <a:noFill/>
                <a:ln w="2539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E3F-499E-8FC8-C7176FFB29DB}"/>
                </c:ext>
              </c:extLst>
            </c:dLbl>
            <c:dLbl>
              <c:idx val="3"/>
              <c:layout>
                <c:manualLayout>
                  <c:x val="0.14802237603883592"/>
                  <c:y val="-0.22547297764821636"/>
                </c:manualLayout>
              </c:layout>
              <c:spPr>
                <a:noFill/>
                <a:ln w="25391">
                  <a:noFill/>
                </a:ln>
              </c:spPr>
              <c:txPr>
                <a:bodyPr wrap="square" lIns="38100" tIns="19050" rIns="38100" bIns="19050" anchor="ctr">
                  <a:spAutoFit/>
                </a:bodyPr>
                <a:lstStyle/>
                <a:p>
                  <a:pPr>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E3F-499E-8FC8-C7176FFB29DB}"/>
                </c:ext>
              </c:extLst>
            </c:dLbl>
            <c:spPr>
              <a:noFill/>
              <a:ln w="25391">
                <a:noFill/>
              </a:ln>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Лист1!$A$2:$A$5</c:f>
              <c:strCache>
                <c:ptCount val="4"/>
                <c:pt idx="0">
                  <c:v>Accident prevention measures</c:v>
                </c:pt>
                <c:pt idx="1">
                  <c:v>Sanitary measures</c:v>
                </c:pt>
                <c:pt idx="2">
                  <c:v>Overall improvements to working conditions</c:v>
                </c:pt>
                <c:pt idx="3">
                  <c:v>Personal protective equipment issued to employees</c:v>
                </c:pt>
              </c:strCache>
            </c:strRef>
          </c:cat>
          <c:val>
            <c:numRef>
              <c:f>Лист1!$B$2:$B$5</c:f>
              <c:numCache>
                <c:formatCode>General</c:formatCode>
                <c:ptCount val="4"/>
                <c:pt idx="0">
                  <c:v>5.0830000000000002</c:v>
                </c:pt>
                <c:pt idx="1">
                  <c:v>22.344000000000001</c:v>
                </c:pt>
                <c:pt idx="2">
                  <c:v>4.9660000000000002</c:v>
                </c:pt>
                <c:pt idx="3">
                  <c:v>126.17100000000001</c:v>
                </c:pt>
              </c:numCache>
            </c:numRef>
          </c:val>
          <c:extLst>
            <c:ext xmlns:c16="http://schemas.microsoft.com/office/drawing/2014/chart" uri="{C3380CC4-5D6E-409C-BE32-E72D297353CC}">
              <c16:uniqueId val="{00000004-8E3F-499E-8FC8-C7176FFB29DB}"/>
            </c:ext>
          </c:extLst>
        </c:ser>
        <c:dLbls>
          <c:showLegendKey val="0"/>
          <c:showVal val="0"/>
          <c:showCatName val="0"/>
          <c:showSerName val="0"/>
          <c:showPercent val="0"/>
          <c:showBubbleSize val="0"/>
          <c:showLeaderLines val="1"/>
        </c:dLbls>
        <c:firstSliceAng val="0"/>
      </c:pieChart>
      <c:spPr>
        <a:noFill/>
        <a:ln w="25391">
          <a:noFill/>
        </a:ln>
      </c:spPr>
    </c:plotArea>
    <c:legend>
      <c:legendPos val="r"/>
      <c:overlay val="0"/>
    </c:legend>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1000"/>
            </a:pPr>
            <a:r>
              <a:rPr lang="en-US" sz="1000" b="1" i="0" u="none" strike="noStrike" baseline="0">
                <a:effectLst/>
              </a:rPr>
              <a:t>Envrionmental protection costs, RUB million</a:t>
            </a:r>
            <a:endParaRPr lang="ru-RU" sz="1000"/>
          </a:p>
        </c:rich>
      </c:tx>
      <c:layout>
        <c:manualLayout>
          <c:xMode val="edge"/>
          <c:yMode val="edge"/>
          <c:x val="0.23787619893169545"/>
          <c:y val="2.5234210588541296E-2"/>
        </c:manualLayout>
      </c:layout>
      <c:overlay val="0"/>
    </c:title>
    <c:autoTitleDeleted val="0"/>
    <c:plotArea>
      <c:layout>
        <c:manualLayout>
          <c:layoutTarget val="inner"/>
          <c:xMode val="edge"/>
          <c:yMode val="edge"/>
          <c:x val="7.7586206896551838E-2"/>
          <c:y val="7.1186440677966104E-2"/>
          <c:w val="0.90689655172413797"/>
          <c:h val="0.71186440677966101"/>
        </c:manualLayout>
      </c:layout>
      <c:barChart>
        <c:barDir val="col"/>
        <c:grouping val="stacked"/>
        <c:varyColors val="0"/>
        <c:ser>
          <c:idx val="0"/>
          <c:order val="0"/>
          <c:tx>
            <c:strRef>
              <c:f>Sheet1!$A$2</c:f>
              <c:strCache>
                <c:ptCount val="1"/>
              </c:strCache>
            </c:strRef>
          </c:tx>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 г.</c:v>
                </c:pt>
                <c:pt idx="1">
                  <c:v>2017 г.</c:v>
                </c:pt>
                <c:pt idx="2">
                  <c:v>2018 г.</c:v>
                </c:pt>
              </c:strCache>
            </c:strRef>
          </c:cat>
          <c:val>
            <c:numRef>
              <c:f>Sheet1!$B$2:$D$2</c:f>
              <c:numCache>
                <c:formatCode>General</c:formatCode>
                <c:ptCount val="3"/>
              </c:numCache>
            </c:numRef>
          </c:val>
          <c:extLst>
            <c:ext xmlns:c16="http://schemas.microsoft.com/office/drawing/2014/chart" uri="{C3380CC4-5D6E-409C-BE32-E72D297353CC}">
              <c16:uniqueId val="{00000000-D1E1-4339-87E6-2ABAC95DB408}"/>
            </c:ext>
          </c:extLst>
        </c:ser>
        <c:ser>
          <c:idx val="1"/>
          <c:order val="1"/>
          <c:tx>
            <c:strRef>
              <c:f>Sheet1!$A$3</c:f>
              <c:strCache>
                <c:ptCount val="1"/>
              </c:strCache>
            </c:strRef>
          </c:tx>
          <c:invertIfNegative val="0"/>
          <c:dPt>
            <c:idx val="0"/>
            <c:invertIfNegative val="0"/>
            <c:bubble3D val="0"/>
            <c:extLst>
              <c:ext xmlns:c16="http://schemas.microsoft.com/office/drawing/2014/chart" uri="{C3380CC4-5D6E-409C-BE32-E72D297353CC}">
                <c16:uniqueId val="{00000001-D1E1-4339-87E6-2ABAC95DB408}"/>
              </c:ext>
            </c:extLst>
          </c:dPt>
          <c:dPt>
            <c:idx val="1"/>
            <c:invertIfNegative val="0"/>
            <c:bubble3D val="0"/>
            <c:extLst>
              <c:ext xmlns:c16="http://schemas.microsoft.com/office/drawing/2014/chart" uri="{C3380CC4-5D6E-409C-BE32-E72D297353CC}">
                <c16:uniqueId val="{00000002-D1E1-4339-87E6-2ABAC95DB408}"/>
              </c:ext>
            </c:extLst>
          </c:dPt>
          <c:dPt>
            <c:idx val="2"/>
            <c:invertIfNegative val="0"/>
            <c:bubble3D val="0"/>
            <c:extLst>
              <c:ext xmlns:c16="http://schemas.microsoft.com/office/drawing/2014/chart" uri="{C3380CC4-5D6E-409C-BE32-E72D297353CC}">
                <c16:uniqueId val="{00000003-D1E1-4339-87E6-2ABAC95DB408}"/>
              </c:ext>
            </c:extLst>
          </c:dPt>
          <c:dLbls>
            <c:spPr>
              <a:noFill/>
              <a:ln w="25396">
                <a:noFill/>
              </a:ln>
            </c:spPr>
            <c:txPr>
              <a:bodyPr/>
              <a:lstStyle/>
              <a:p>
                <a:pPr>
                  <a:defRPr baseline="0">
                    <a:solidFill>
                      <a:srgbClr val="FFFF0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 г.</c:v>
                </c:pt>
                <c:pt idx="1">
                  <c:v>2017 г.</c:v>
                </c:pt>
                <c:pt idx="2">
                  <c:v>2018 г.</c:v>
                </c:pt>
              </c:strCache>
            </c:strRef>
          </c:cat>
          <c:val>
            <c:numRef>
              <c:f>Sheet1!$B$3:$D$3</c:f>
              <c:numCache>
                <c:formatCode>General</c:formatCode>
                <c:ptCount val="3"/>
                <c:pt idx="0">
                  <c:v>19.3</c:v>
                </c:pt>
                <c:pt idx="1">
                  <c:v>21</c:v>
                </c:pt>
                <c:pt idx="2">
                  <c:v>22.7</c:v>
                </c:pt>
              </c:numCache>
            </c:numRef>
          </c:val>
          <c:extLst>
            <c:ext xmlns:c16="http://schemas.microsoft.com/office/drawing/2014/chart" uri="{C3380CC4-5D6E-409C-BE32-E72D297353CC}">
              <c16:uniqueId val="{00000004-D1E1-4339-87E6-2ABAC95DB408}"/>
            </c:ext>
          </c:extLst>
        </c:ser>
        <c:ser>
          <c:idx val="2"/>
          <c:order val="2"/>
          <c:tx>
            <c:strRef>
              <c:f>Sheet1!$A$4</c:f>
              <c:strCache>
                <c:ptCount val="1"/>
              </c:strCache>
            </c:strRef>
          </c:tx>
          <c:invertIfNegative val="0"/>
          <c:dLbls>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 г.</c:v>
                </c:pt>
                <c:pt idx="1">
                  <c:v>2017 г.</c:v>
                </c:pt>
                <c:pt idx="2">
                  <c:v>2018 г.</c:v>
                </c:pt>
              </c:strCache>
            </c:strRef>
          </c:cat>
          <c:val>
            <c:numRef>
              <c:f>Sheet1!$B$4:$D$4</c:f>
              <c:numCache>
                <c:formatCode>General</c:formatCode>
                <c:ptCount val="3"/>
              </c:numCache>
            </c:numRef>
          </c:val>
          <c:extLst>
            <c:ext xmlns:c16="http://schemas.microsoft.com/office/drawing/2014/chart" uri="{C3380CC4-5D6E-409C-BE32-E72D297353CC}">
              <c16:uniqueId val="{00000005-D1E1-4339-87E6-2ABAC95DB408}"/>
            </c:ext>
          </c:extLst>
        </c:ser>
        <c:ser>
          <c:idx val="3"/>
          <c:order val="3"/>
          <c:tx>
            <c:strRef>
              <c:f>Sheet1!$A$5</c:f>
              <c:strCache>
                <c:ptCount val="1"/>
              </c:strCache>
            </c:strRef>
          </c:tx>
          <c:invertIfNegative val="0"/>
          <c:dLbls>
            <c:dLbl>
              <c:idx val="1"/>
              <c:layout>
                <c:manualLayout>
                  <c:x val="-4.8819834965743878E-3"/>
                  <c:y val="-1.2214495896586203E-2"/>
                </c:manualLayout>
              </c:layout>
              <c:spPr>
                <a:noFill/>
                <a:ln w="25396">
                  <a:noFill/>
                </a:ln>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E1-4339-87E6-2ABAC95DB408}"/>
                </c:ext>
              </c:extLst>
            </c:dLbl>
            <c:spPr>
              <a:noFill/>
              <a:ln w="2539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 г.</c:v>
                </c:pt>
                <c:pt idx="1">
                  <c:v>2017 г.</c:v>
                </c:pt>
                <c:pt idx="2">
                  <c:v>2018 г.</c:v>
                </c:pt>
              </c:strCache>
            </c:strRef>
          </c:cat>
          <c:val>
            <c:numRef>
              <c:f>Sheet1!$B$5:$D$5</c:f>
              <c:numCache>
                <c:formatCode>General</c:formatCode>
                <c:ptCount val="3"/>
              </c:numCache>
            </c:numRef>
          </c:val>
          <c:extLst>
            <c:ext xmlns:c16="http://schemas.microsoft.com/office/drawing/2014/chart" uri="{C3380CC4-5D6E-409C-BE32-E72D297353CC}">
              <c16:uniqueId val="{00000007-D1E1-4339-87E6-2ABAC95DB408}"/>
            </c:ext>
          </c:extLst>
        </c:ser>
        <c:dLbls>
          <c:showLegendKey val="0"/>
          <c:showVal val="0"/>
          <c:showCatName val="0"/>
          <c:showSerName val="0"/>
          <c:showPercent val="0"/>
          <c:showBubbleSize val="0"/>
        </c:dLbls>
        <c:gapWidth val="150"/>
        <c:overlap val="100"/>
        <c:axId val="1897393248"/>
        <c:axId val="1"/>
      </c:barChart>
      <c:catAx>
        <c:axId val="1897393248"/>
        <c:scaling>
          <c:orientation val="minMax"/>
        </c:scaling>
        <c:delete val="0"/>
        <c:axPos val="b"/>
        <c:numFmt formatCode="General" sourceLinked="1"/>
        <c:majorTickMark val="out"/>
        <c:minorTickMark val="none"/>
        <c:tickLblPos val="nextTo"/>
        <c:txPr>
          <a:bodyPr rot="0" vert="horz"/>
          <a:lstStyle/>
          <a:p>
            <a:pPr>
              <a:defRPr/>
            </a:pPr>
            <a:endParaRPr lang="en-US"/>
          </a:p>
        </c:txPr>
        <c:crossAx val="1"/>
        <c:crosses val="autoZero"/>
        <c:auto val="1"/>
        <c:lblAlgn val="ctr"/>
        <c:lblOffset val="100"/>
        <c:tickLblSkip val="1"/>
        <c:tickMarkSkip val="1"/>
        <c:noMultiLvlLbl val="0"/>
      </c:catAx>
      <c:valAx>
        <c:axId val="1"/>
        <c:scaling>
          <c:orientation val="minMax"/>
        </c:scaling>
        <c:delete val="0"/>
        <c:axPos val="l"/>
        <c:numFmt formatCode="General" sourceLinked="1"/>
        <c:majorTickMark val="out"/>
        <c:minorTickMark val="none"/>
        <c:tickLblPos val="nextTo"/>
        <c:txPr>
          <a:bodyPr rot="0" vert="horz"/>
          <a:lstStyle/>
          <a:p>
            <a:pPr>
              <a:defRPr/>
            </a:pPr>
            <a:endParaRPr lang="en-US"/>
          </a:p>
        </c:txPr>
        <c:crossAx val="1897393248"/>
        <c:crosses val="autoZero"/>
        <c:crossBetween val="between"/>
      </c:valAx>
    </c:plotArea>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999"/>
            </a:pPr>
            <a:r>
              <a:rPr lang="en-US" sz="999" b="1" i="0" u="none" strike="noStrike" baseline="0">
                <a:effectLst/>
              </a:rPr>
              <a:t>Change in payments for environmental impact, RUB thousand</a:t>
            </a:r>
            <a:endParaRPr lang="ru-RU" sz="999"/>
          </a:p>
        </c:rich>
      </c:tx>
      <c:layout>
        <c:manualLayout>
          <c:xMode val="edge"/>
          <c:yMode val="edge"/>
          <c:x val="0.26215968053498262"/>
          <c:y val="7.3660147320294637E-4"/>
        </c:manualLayout>
      </c:layout>
      <c:overlay val="0"/>
    </c:title>
    <c:autoTitleDeleted val="0"/>
    <c:plotArea>
      <c:layout>
        <c:manualLayout>
          <c:layoutTarget val="inner"/>
          <c:xMode val="edge"/>
          <c:yMode val="edge"/>
          <c:x val="0.12594676877022037"/>
          <c:y val="0.18623034506007849"/>
          <c:w val="0.84365325077399522"/>
          <c:h val="0.56949152542372883"/>
        </c:manualLayout>
      </c:layout>
      <c:barChart>
        <c:barDir val="col"/>
        <c:grouping val="clustered"/>
        <c:varyColors val="0"/>
        <c:ser>
          <c:idx val="0"/>
          <c:order val="0"/>
          <c:tx>
            <c:strRef>
              <c:f>Sheet1!$A$2</c:f>
              <c:strCache>
                <c:ptCount val="1"/>
                <c:pt idx="0">
                  <c:v>PAYMENTS FOR DISCHARGE, EMISSIONS, OR WASTE DISPOSAL</c:v>
                </c:pt>
              </c:strCache>
            </c:strRef>
          </c:tx>
          <c:invertIfNegative val="0"/>
          <c:dLbls>
            <c:dLbl>
              <c:idx val="0"/>
              <c:layout>
                <c:manualLayout>
                  <c:x val="-7.0068514163002353E-3"/>
                  <c:y val="-5.3317942587003558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D09-4803-BF44-88F08E1FCACE}"/>
                </c:ext>
              </c:extLst>
            </c:dLbl>
            <c:dLbl>
              <c:idx val="1"/>
              <c:layout>
                <c:manualLayout>
                  <c:x val="-7.0068514163002353E-3"/>
                  <c:y val="-7.6678896813322999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09-4803-BF44-88F08E1FCACE}"/>
                </c:ext>
              </c:extLst>
            </c:dLbl>
            <c:dLbl>
              <c:idx val="2"/>
              <c:layout>
                <c:manualLayout>
                  <c:x val="-3.9109315880969421E-3"/>
                  <c:y val="-7.447747042090942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D09-4803-BF44-88F08E1FCACE}"/>
                </c:ext>
              </c:extLst>
            </c:dLbl>
            <c:spPr>
              <a:noFill/>
              <a:ln w="25386">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 г.</c:v>
                </c:pt>
                <c:pt idx="1">
                  <c:v>2017 г.</c:v>
                </c:pt>
                <c:pt idx="2">
                  <c:v>2018 г.</c:v>
                </c:pt>
              </c:strCache>
            </c:strRef>
          </c:cat>
          <c:val>
            <c:numRef>
              <c:f>Sheet1!$B$2:$D$2</c:f>
              <c:numCache>
                <c:formatCode>General</c:formatCode>
                <c:ptCount val="3"/>
                <c:pt idx="0">
                  <c:v>906.6</c:v>
                </c:pt>
                <c:pt idx="1">
                  <c:v>734.4</c:v>
                </c:pt>
                <c:pt idx="2">
                  <c:v>788.4</c:v>
                </c:pt>
              </c:numCache>
            </c:numRef>
          </c:val>
          <c:extLst>
            <c:ext xmlns:c16="http://schemas.microsoft.com/office/drawing/2014/chart" uri="{C3380CC4-5D6E-409C-BE32-E72D297353CC}">
              <c16:uniqueId val="{00000003-6D09-4803-BF44-88F08E1FCACE}"/>
            </c:ext>
          </c:extLst>
        </c:ser>
        <c:ser>
          <c:idx val="1"/>
          <c:order val="1"/>
          <c:tx>
            <c:strRef>
              <c:f>Sheet1!$A$3</c:f>
              <c:strCache>
                <c:ptCount val="1"/>
                <c:pt idx="0">
                  <c:v>DISCHARGE</c:v>
                </c:pt>
              </c:strCache>
            </c:strRef>
          </c:tx>
          <c:invertIfNegative val="0"/>
          <c:dLbls>
            <c:dLbl>
              <c:idx val="0"/>
              <c:layout>
                <c:manualLayout>
                  <c:x val="-6.6973374836310842E-3"/>
                  <c:y val="-1.72549267914361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D09-4803-BF44-88F08E1FCACE}"/>
                </c:ext>
              </c:extLst>
            </c:dLbl>
            <c:dLbl>
              <c:idx val="1"/>
              <c:layout>
                <c:manualLayout>
                  <c:x val="-5.0531729760709828E-4"/>
                  <c:y val="-3.44304761624899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D09-4803-BF44-88F08E1FCACE}"/>
                </c:ext>
              </c:extLst>
            </c:dLbl>
            <c:dLbl>
              <c:idx val="2"/>
              <c:layout>
                <c:manualLayout>
                  <c:x val="-6.6973583256833783E-3"/>
                  <c:y val="-1.54704623980780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D09-4803-BF44-88F08E1FCACE}"/>
                </c:ext>
              </c:extLst>
            </c:dLbl>
            <c:spPr>
              <a:noFill/>
              <a:ln w="25386">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 г.</c:v>
                </c:pt>
                <c:pt idx="1">
                  <c:v>2017 г.</c:v>
                </c:pt>
                <c:pt idx="2">
                  <c:v>2018 г.</c:v>
                </c:pt>
              </c:strCache>
            </c:strRef>
          </c:cat>
          <c:val>
            <c:numRef>
              <c:f>Sheet1!$B$3:$D$3</c:f>
              <c:numCache>
                <c:formatCode>General</c:formatCode>
                <c:ptCount val="3"/>
                <c:pt idx="0">
                  <c:v>0</c:v>
                </c:pt>
                <c:pt idx="1">
                  <c:v>0</c:v>
                </c:pt>
                <c:pt idx="2">
                  <c:v>0</c:v>
                </c:pt>
              </c:numCache>
            </c:numRef>
          </c:val>
          <c:extLst>
            <c:ext xmlns:c16="http://schemas.microsoft.com/office/drawing/2014/chart" uri="{C3380CC4-5D6E-409C-BE32-E72D297353CC}">
              <c16:uniqueId val="{00000007-6D09-4803-BF44-88F08E1FCACE}"/>
            </c:ext>
          </c:extLst>
        </c:ser>
        <c:ser>
          <c:idx val="2"/>
          <c:order val="2"/>
          <c:tx>
            <c:strRef>
              <c:f>Sheet1!$A$4</c:f>
              <c:strCache>
                <c:ptCount val="1"/>
                <c:pt idx="0">
                  <c:v>EMISSIONS</c:v>
                </c:pt>
              </c:strCache>
            </c:strRef>
          </c:tx>
          <c:invertIfNegative val="0"/>
          <c:dLbls>
            <c:dLbl>
              <c:idx val="0"/>
              <c:layout>
                <c:manualLayout>
                  <c:x val="-7.9357456892463329E-3"/>
                  <c:y val="-3.48399499355067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D09-4803-BF44-88F08E1FCACE}"/>
                </c:ext>
              </c:extLst>
            </c:dLbl>
            <c:spPr>
              <a:noFill/>
              <a:ln w="25386">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 г.</c:v>
                </c:pt>
                <c:pt idx="1">
                  <c:v>2017 г.</c:v>
                </c:pt>
                <c:pt idx="2">
                  <c:v>2018 г.</c:v>
                </c:pt>
              </c:strCache>
            </c:strRef>
          </c:cat>
          <c:val>
            <c:numRef>
              <c:f>Sheet1!$B$4:$D$4</c:f>
              <c:numCache>
                <c:formatCode>General</c:formatCode>
                <c:ptCount val="3"/>
                <c:pt idx="0">
                  <c:v>0.5</c:v>
                </c:pt>
                <c:pt idx="1">
                  <c:v>2.2999999999999998</c:v>
                </c:pt>
                <c:pt idx="2">
                  <c:v>1.6</c:v>
                </c:pt>
              </c:numCache>
            </c:numRef>
          </c:val>
          <c:extLst>
            <c:ext xmlns:c16="http://schemas.microsoft.com/office/drawing/2014/chart" uri="{C3380CC4-5D6E-409C-BE32-E72D297353CC}">
              <c16:uniqueId val="{00000009-6D09-4803-BF44-88F08E1FCACE}"/>
            </c:ext>
          </c:extLst>
        </c:ser>
        <c:ser>
          <c:idx val="3"/>
          <c:order val="3"/>
          <c:tx>
            <c:strRef>
              <c:f>Sheet1!$A$5</c:f>
              <c:strCache>
                <c:ptCount val="1"/>
                <c:pt idx="0">
                  <c:v>WASTE DISPOSAL</c:v>
                </c:pt>
              </c:strCache>
            </c:strRef>
          </c:tx>
          <c:invertIfNegative val="0"/>
          <c:dLbls>
            <c:dLbl>
              <c:idx val="0"/>
              <c:layout>
                <c:manualLayout>
                  <c:x val="-7.6260353819408537E-3"/>
                  <c:y val="-7.28889255335229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D09-4803-BF44-88F08E1FCACE}"/>
                </c:ext>
              </c:extLst>
            </c:dLbl>
            <c:dLbl>
              <c:idx val="2"/>
              <c:layout>
                <c:manualLayout>
                  <c:x val="-4.5301155537376013E-3"/>
                  <c:y val="5.5516620631845099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D09-4803-BF44-88F08E1FCACE}"/>
                </c:ext>
              </c:extLst>
            </c:dLbl>
            <c:spPr>
              <a:noFill/>
              <a:ln w="25386">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 г.</c:v>
                </c:pt>
                <c:pt idx="1">
                  <c:v>2017 г.</c:v>
                </c:pt>
                <c:pt idx="2">
                  <c:v>2018 г.</c:v>
                </c:pt>
              </c:strCache>
            </c:strRef>
          </c:cat>
          <c:val>
            <c:numRef>
              <c:f>Sheet1!$B$5:$D$5</c:f>
              <c:numCache>
                <c:formatCode>General</c:formatCode>
                <c:ptCount val="3"/>
                <c:pt idx="0">
                  <c:v>906.1</c:v>
                </c:pt>
                <c:pt idx="1">
                  <c:v>732.1</c:v>
                </c:pt>
                <c:pt idx="2">
                  <c:v>786.8</c:v>
                </c:pt>
              </c:numCache>
            </c:numRef>
          </c:val>
          <c:extLst>
            <c:ext xmlns:c16="http://schemas.microsoft.com/office/drawing/2014/chart" uri="{C3380CC4-5D6E-409C-BE32-E72D297353CC}">
              <c16:uniqueId val="{0000000C-6D09-4803-BF44-88F08E1FCACE}"/>
            </c:ext>
          </c:extLst>
        </c:ser>
        <c:dLbls>
          <c:showLegendKey val="0"/>
          <c:showVal val="0"/>
          <c:showCatName val="0"/>
          <c:showSerName val="0"/>
          <c:showPercent val="0"/>
          <c:showBubbleSize val="0"/>
        </c:dLbls>
        <c:gapWidth val="100"/>
        <c:axId val="1896723712"/>
        <c:axId val="1"/>
      </c:barChart>
      <c:catAx>
        <c:axId val="1896723712"/>
        <c:scaling>
          <c:orientation val="minMax"/>
        </c:scaling>
        <c:delete val="0"/>
        <c:axPos val="b"/>
        <c:numFmt formatCode="General" sourceLinked="1"/>
        <c:majorTickMark val="out"/>
        <c:minorTickMark val="none"/>
        <c:tickLblPos val="nextTo"/>
        <c:txPr>
          <a:bodyPr rot="0" vert="horz"/>
          <a:lstStyle/>
          <a:p>
            <a:pPr>
              <a:defRPr/>
            </a:pPr>
            <a:endParaRPr lang="en-US"/>
          </a:p>
        </c:txPr>
        <c:crossAx val="1"/>
        <c:crosses val="autoZero"/>
        <c:auto val="1"/>
        <c:lblAlgn val="ctr"/>
        <c:lblOffset val="100"/>
        <c:tickLblSkip val="1"/>
        <c:tickMarkSkip val="1"/>
        <c:noMultiLvlLbl val="0"/>
      </c:catAx>
      <c:valAx>
        <c:axId val="1"/>
        <c:scaling>
          <c:orientation val="minMax"/>
          <c:min val="0"/>
        </c:scaling>
        <c:delete val="0"/>
        <c:axPos val="l"/>
        <c:numFmt formatCode="General" sourceLinked="1"/>
        <c:majorTickMark val="out"/>
        <c:minorTickMark val="none"/>
        <c:tickLblPos val="nextTo"/>
        <c:txPr>
          <a:bodyPr rot="0" vert="horz"/>
          <a:lstStyle/>
          <a:p>
            <a:pPr>
              <a:defRPr/>
            </a:pPr>
            <a:endParaRPr lang="en-US"/>
          </a:p>
        </c:txPr>
        <c:crossAx val="1896723712"/>
        <c:crosses val="autoZero"/>
        <c:crossBetween val="between"/>
        <c:majorUnit val="200"/>
      </c:valAx>
    </c:plotArea>
    <c:legend>
      <c:legendPos val="b"/>
      <c:layout>
        <c:manualLayout>
          <c:xMode val="edge"/>
          <c:yMode val="edge"/>
          <c:x val="0.12074305068302106"/>
          <c:y val="0.87118646459515137"/>
          <c:w val="0.82817338426756071"/>
          <c:h val="0.12881353540484863"/>
        </c:manualLayout>
      </c:layout>
      <c:overlay val="0"/>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2703018372703426"/>
          <c:y val="0.16234470691163605"/>
          <c:w val="0.7305684601924759"/>
          <c:h val="0.69732906268072481"/>
        </c:manualLayout>
      </c:layout>
      <c:bar3DChart>
        <c:barDir val="col"/>
        <c:grouping val="clustered"/>
        <c:varyColors val="0"/>
        <c:ser>
          <c:idx val="0"/>
          <c:order val="0"/>
          <c:tx>
            <c:strRef>
              <c:f>'факт потери'!$C$13</c:f>
              <c:strCache>
                <c:ptCount val="1"/>
                <c:pt idx="0">
                  <c:v>2016</c:v>
                </c:pt>
              </c:strCache>
            </c:strRef>
          </c:tx>
          <c:invertIfNegative val="0"/>
          <c:dLbls>
            <c:dLbl>
              <c:idx val="0"/>
              <c:layout>
                <c:manualLayout>
                  <c:x val="-1.1904511936007998E-3"/>
                  <c:y val="-2.635046113306987E-2"/>
                </c:manualLayout>
              </c:layout>
              <c:tx>
                <c:rich>
                  <a:bodyPr/>
                  <a:lstStyle/>
                  <a:p>
                    <a:r>
                      <a:rPr lang="en-US"/>
                      <a:t>12.15%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F700-45EE-8735-81729A0C052C}"/>
                </c:ext>
              </c:extLst>
            </c:dLbl>
            <c:dLbl>
              <c:idx val="1"/>
              <c:layout>
                <c:manualLayout>
                  <c:x val="-5.4802027675023976E-3"/>
                  <c:y val="1.0920010920010921E-2"/>
                </c:manualLayout>
              </c:layout>
              <c:tx>
                <c:rich>
                  <a:bodyPr/>
                  <a:lstStyle/>
                  <a:p>
                    <a:r>
                      <a:rPr lang="en-US"/>
                      <a:t>10.49%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F700-45EE-8735-81729A0C052C}"/>
                </c:ext>
              </c:extLst>
            </c:dLbl>
            <c:dLbl>
              <c:idx val="2"/>
              <c:layout>
                <c:manualLayout>
                  <c:x val="-1.1111111111111112E-2"/>
                  <c:y val="-7.619047619047619E-3"/>
                </c:manualLayout>
              </c:layout>
              <c:tx>
                <c:rich>
                  <a:bodyPr/>
                  <a:lstStyle/>
                  <a:p>
                    <a:r>
                      <a:rPr lang="en-US"/>
                      <a:t>11.53%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F700-45EE-8735-81729A0C052C}"/>
                </c:ext>
              </c:extLst>
            </c:dLbl>
            <c:numFmt formatCode="\О\с\н\о\в\н\о\й" sourceLinked="0"/>
            <c:spPr>
              <a:noFill/>
              <a:ln w="25396">
                <a:noFill/>
              </a:ln>
            </c:spPr>
            <c:txPr>
              <a:bodyPr/>
              <a:lstStyle/>
              <a:p>
                <a:pPr>
                  <a:defRPr sz="9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'факт потери'!$B$14:$B$16</c:f>
              <c:strCache>
                <c:ptCount val="3"/>
                <c:pt idx="0">
                  <c:v>Saint Petersburg</c:v>
                </c:pt>
                <c:pt idx="1">
                  <c:v>Leningrad Region</c:v>
                </c:pt>
                <c:pt idx="2">
                  <c:v>PJSC “Lenenergo”</c:v>
                </c:pt>
              </c:strCache>
            </c:strRef>
          </c:cat>
          <c:val>
            <c:numRef>
              <c:f>'факт потери'!$C$14:$C$16</c:f>
              <c:numCache>
                <c:formatCode>General</c:formatCode>
                <c:ptCount val="3"/>
                <c:pt idx="0">
                  <c:v>0.12146724165415861</c:v>
                </c:pt>
                <c:pt idx="1">
                  <c:v>0.10492907792571136</c:v>
                </c:pt>
                <c:pt idx="2">
                  <c:v>0.11533012334180187</c:v>
                </c:pt>
              </c:numCache>
            </c:numRef>
          </c:val>
          <c:extLst>
            <c:ext xmlns:c16="http://schemas.microsoft.com/office/drawing/2014/chart" uri="{C3380CC4-5D6E-409C-BE32-E72D297353CC}">
              <c16:uniqueId val="{00000003-F700-45EE-8735-81729A0C052C}"/>
            </c:ext>
          </c:extLst>
        </c:ser>
        <c:ser>
          <c:idx val="1"/>
          <c:order val="1"/>
          <c:tx>
            <c:strRef>
              <c:f>'факт потери'!$D$13</c:f>
              <c:strCache>
                <c:ptCount val="1"/>
                <c:pt idx="0">
                  <c:v>2017</c:v>
                </c:pt>
              </c:strCache>
            </c:strRef>
          </c:tx>
          <c:invertIfNegative val="0"/>
          <c:dLbls>
            <c:dLbl>
              <c:idx val="0"/>
              <c:layout>
                <c:manualLayout>
                  <c:x val="7.7176352955880051E-3"/>
                  <c:y val="-4.2949176807448552E-4"/>
                </c:manualLayout>
              </c:layout>
              <c:tx>
                <c:rich>
                  <a:bodyPr/>
                  <a:lstStyle/>
                  <a:p>
                    <a:r>
                      <a:rPr lang="en-US"/>
                      <a:t>12.95%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F700-45EE-8735-81729A0C052C}"/>
                </c:ext>
              </c:extLst>
            </c:dLbl>
            <c:dLbl>
              <c:idx val="1"/>
              <c:layout>
                <c:manualLayout>
                  <c:x val="1.5079315085614298E-2"/>
                  <c:y val="-2.2857123096767053E-2"/>
                </c:manualLayout>
              </c:layout>
              <c:tx>
                <c:rich>
                  <a:bodyPr/>
                  <a:lstStyle/>
                  <a:p>
                    <a:r>
                      <a:rPr lang="en-US"/>
                      <a:t>10.53%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F700-45EE-8735-81729A0C052C}"/>
                </c:ext>
              </c:extLst>
            </c:dLbl>
            <c:dLbl>
              <c:idx val="2"/>
              <c:layout>
                <c:manualLayout>
                  <c:x val="1.3700087489063867E-2"/>
                  <c:y val="-1.4406647785627627E-2"/>
                </c:manualLayout>
              </c:layout>
              <c:tx>
                <c:rich>
                  <a:bodyPr/>
                  <a:lstStyle/>
                  <a:p>
                    <a:r>
                      <a:rPr lang="en-US"/>
                      <a:t>12.05%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F700-45EE-8735-81729A0C052C}"/>
                </c:ext>
              </c:extLst>
            </c:dLbl>
            <c:numFmt formatCode="\О\с\н\о\в\н\о\й" sourceLinked="0"/>
            <c:spPr>
              <a:noFill/>
              <a:ln w="25396">
                <a:noFill/>
              </a:ln>
            </c:spPr>
            <c:txPr>
              <a:bodyPr/>
              <a:lstStyle/>
              <a:p>
                <a:pPr>
                  <a:defRPr sz="9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'факт потери'!$B$14:$B$16</c:f>
              <c:strCache>
                <c:ptCount val="3"/>
                <c:pt idx="0">
                  <c:v>Saint Petersburg</c:v>
                </c:pt>
                <c:pt idx="1">
                  <c:v>Leningrad Region</c:v>
                </c:pt>
                <c:pt idx="2">
                  <c:v>PJSC “Lenenergo”</c:v>
                </c:pt>
              </c:strCache>
            </c:strRef>
          </c:cat>
          <c:val>
            <c:numRef>
              <c:f>'факт потери'!$D$14:$D$16</c:f>
              <c:numCache>
                <c:formatCode>General</c:formatCode>
                <c:ptCount val="3"/>
                <c:pt idx="0">
                  <c:v>0.1295479986744551</c:v>
                </c:pt>
                <c:pt idx="1">
                  <c:v>0.10533450561077083</c:v>
                </c:pt>
                <c:pt idx="2">
                  <c:v>0.12052478964474801</c:v>
                </c:pt>
              </c:numCache>
            </c:numRef>
          </c:val>
          <c:extLst>
            <c:ext xmlns:c16="http://schemas.microsoft.com/office/drawing/2014/chart" uri="{C3380CC4-5D6E-409C-BE32-E72D297353CC}">
              <c16:uniqueId val="{00000007-F700-45EE-8735-81729A0C052C}"/>
            </c:ext>
          </c:extLst>
        </c:ser>
        <c:ser>
          <c:idx val="2"/>
          <c:order val="2"/>
          <c:tx>
            <c:strRef>
              <c:f>'факт потери'!$E$13</c:f>
              <c:strCache>
                <c:ptCount val="1"/>
                <c:pt idx="0">
                  <c:v>2018</c:v>
                </c:pt>
              </c:strCache>
            </c:strRef>
          </c:tx>
          <c:invertIfNegative val="0"/>
          <c:dLbls>
            <c:dLbl>
              <c:idx val="0"/>
              <c:layout>
                <c:manualLayout>
                  <c:x val="2.8730208723909512E-2"/>
                  <c:y val="-2.6454203106034669E-3"/>
                </c:manualLayout>
              </c:layout>
              <c:tx>
                <c:rich>
                  <a:bodyPr/>
                  <a:lstStyle/>
                  <a:p>
                    <a:r>
                      <a:rPr lang="en-US"/>
                      <a:t>12.56%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F700-45EE-8735-81729A0C052C}"/>
                </c:ext>
              </c:extLst>
            </c:dLbl>
            <c:dLbl>
              <c:idx val="1"/>
              <c:layout>
                <c:manualLayout>
                  <c:x val="3.626189759572275E-2"/>
                  <c:y val="-3.8095360930006598E-3"/>
                </c:manualLayout>
              </c:layout>
              <c:tx>
                <c:rich>
                  <a:bodyPr/>
                  <a:lstStyle/>
                  <a:p>
                    <a:r>
                      <a:rPr lang="en-US"/>
                      <a:t>10.29%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F700-45EE-8735-81729A0C052C}"/>
                </c:ext>
              </c:extLst>
            </c:dLbl>
            <c:dLbl>
              <c:idx val="2"/>
              <c:layout>
                <c:manualLayout>
                  <c:x val="3.9126909136357864E-2"/>
                  <c:y val="4.9740817970876173E-3"/>
                </c:manualLayout>
              </c:layout>
              <c:tx>
                <c:rich>
                  <a:bodyPr/>
                  <a:lstStyle/>
                  <a:p>
                    <a:r>
                      <a:rPr lang="en-US"/>
                      <a:t>11.71%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F700-45EE-8735-81729A0C052C}"/>
                </c:ext>
              </c:extLst>
            </c:dLbl>
            <c:spPr>
              <a:noFill/>
              <a:ln w="25396">
                <a:noFill/>
              </a:ln>
            </c:spPr>
            <c:txPr>
              <a:bodyPr/>
              <a:lstStyle/>
              <a:p>
                <a:pPr>
                  <a:defRPr sz="9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'факт потери'!$B$14:$B$16</c:f>
              <c:strCache>
                <c:ptCount val="3"/>
                <c:pt idx="0">
                  <c:v>Saint Petersburg</c:v>
                </c:pt>
                <c:pt idx="1">
                  <c:v>Leningrad Region</c:v>
                </c:pt>
                <c:pt idx="2">
                  <c:v>PJSC “Lenenergo”</c:v>
                </c:pt>
              </c:strCache>
            </c:strRef>
          </c:cat>
          <c:val>
            <c:numRef>
              <c:f>'факт потери'!$E$14:$E$16</c:f>
              <c:numCache>
                <c:formatCode>General</c:formatCode>
                <c:ptCount val="3"/>
                <c:pt idx="0">
                  <c:v>0.1255660782867308</c:v>
                </c:pt>
                <c:pt idx="1">
                  <c:v>0.10289486947474188</c:v>
                </c:pt>
                <c:pt idx="2">
                  <c:v>0.11705149782745805</c:v>
                </c:pt>
              </c:numCache>
            </c:numRef>
          </c:val>
          <c:extLst>
            <c:ext xmlns:c16="http://schemas.microsoft.com/office/drawing/2014/chart" uri="{C3380CC4-5D6E-409C-BE32-E72D297353CC}">
              <c16:uniqueId val="{0000000B-F700-45EE-8735-81729A0C052C}"/>
            </c:ext>
          </c:extLst>
        </c:ser>
        <c:dLbls>
          <c:showLegendKey val="0"/>
          <c:showVal val="0"/>
          <c:showCatName val="0"/>
          <c:showSerName val="0"/>
          <c:showPercent val="0"/>
          <c:showBubbleSize val="0"/>
        </c:dLbls>
        <c:gapWidth val="150"/>
        <c:shape val="box"/>
        <c:axId val="2025831184"/>
        <c:axId val="1"/>
        <c:axId val="0"/>
      </c:bar3DChart>
      <c:catAx>
        <c:axId val="2025831184"/>
        <c:scaling>
          <c:orientation val="minMax"/>
        </c:scaling>
        <c:delete val="0"/>
        <c:axPos val="b"/>
        <c:numFmt formatCode="General" sourceLinked="1"/>
        <c:majorTickMark val="out"/>
        <c:minorTickMark val="none"/>
        <c:tickLblPos val="nextTo"/>
        <c:txPr>
          <a:bodyPr/>
          <a:lstStyle/>
          <a:p>
            <a:pPr>
              <a:defRPr sz="800"/>
            </a:pPr>
            <a:endParaRPr lang="en-US"/>
          </a:p>
        </c:txPr>
        <c:crossAx val="1"/>
        <c:crosses val="autoZero"/>
        <c:auto val="1"/>
        <c:lblAlgn val="ctr"/>
        <c:lblOffset val="100"/>
        <c:noMultiLvlLbl val="0"/>
      </c:catAx>
      <c:valAx>
        <c:axId val="1"/>
        <c:scaling>
          <c:orientation val="minMax"/>
          <c:min val="8.0000000000000016E-2"/>
        </c:scaling>
        <c:delete val="0"/>
        <c:axPos val="l"/>
        <c:majorGridlines/>
        <c:numFmt formatCode="General" sourceLinked="1"/>
        <c:majorTickMark val="out"/>
        <c:minorTickMark val="none"/>
        <c:tickLblPos val="nextTo"/>
        <c:crossAx val="2025831184"/>
        <c:crosses val="autoZero"/>
        <c:crossBetween val="between"/>
        <c:majorUnit val="2.0000000000000004E-2"/>
      </c:valAx>
      <c:spPr>
        <a:noFill/>
        <a:ln w="25396">
          <a:noFill/>
        </a:ln>
      </c:spPr>
    </c:plotArea>
    <c:legend>
      <c:legendPos val="r"/>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226769881026701"/>
          <c:y val="0.15836312691413801"/>
          <c:w val="0.70027678646443525"/>
          <c:h val="0.68561629676958635"/>
        </c:manualLayout>
      </c:layout>
      <c:barChart>
        <c:barDir val="col"/>
        <c:grouping val="clustered"/>
        <c:varyColors val="0"/>
        <c:ser>
          <c:idx val="4"/>
          <c:order val="0"/>
          <c:tx>
            <c:strRef>
              <c:f>'динамика потерь'!$H$53</c:f>
              <c:strCache>
                <c:ptCount val="1"/>
                <c:pt idx="0">
                  <c:v>Electricity losses</c:v>
                </c:pt>
              </c:strCache>
            </c:strRef>
          </c:tx>
          <c:spPr>
            <a:solidFill>
              <a:schemeClr val="accent3">
                <a:lumMod val="75000"/>
              </a:schemeClr>
            </a:solidFill>
            <a:ln w="12690">
              <a:solidFill>
                <a:srgbClr val="000000"/>
              </a:solidFill>
              <a:prstDash val="solid"/>
            </a:ln>
            <a:effectLst>
              <a:outerShdw dist="35921" dir="2700000" algn="br">
                <a:srgbClr val="000000"/>
              </a:outerShdw>
            </a:effectLst>
            <a:scene3d>
              <a:camera prst="orthographicFront"/>
              <a:lightRig rig="threePt" dir="t"/>
            </a:scene3d>
            <a:sp3d>
              <a:bevelT/>
            </a:sp3d>
          </c:spPr>
          <c:invertIfNegative val="0"/>
          <c:dLbls>
            <c:dLbl>
              <c:idx val="0"/>
              <c:layout/>
              <c:tx>
                <c:rich>
                  <a:bodyPr/>
                  <a:lstStyle/>
                  <a:p>
                    <a:r>
                      <a:rPr lang="en-US"/>
                      <a:t>3 940</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DCD-414E-BC1F-2C1BECB5F786}"/>
                </c:ext>
              </c:extLst>
            </c:dLbl>
            <c:dLbl>
              <c:idx val="1"/>
              <c:layout/>
              <c:tx>
                <c:rich>
                  <a:bodyPr/>
                  <a:lstStyle/>
                  <a:p>
                    <a:r>
                      <a:rPr lang="en-US"/>
                      <a:t>3 898</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DCD-414E-BC1F-2C1BECB5F786}"/>
                </c:ext>
              </c:extLst>
            </c:dLbl>
            <c:dLbl>
              <c:idx val="2"/>
              <c:layout/>
              <c:tx>
                <c:rich>
                  <a:bodyPr/>
                  <a:lstStyle/>
                  <a:p>
                    <a:r>
                      <a:rPr lang="en-US"/>
                      <a:t>3 867</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DCD-414E-BC1F-2C1BECB5F786}"/>
                </c:ext>
              </c:extLst>
            </c:dLbl>
            <c:spPr>
              <a:noFill/>
              <a:ln w="25380">
                <a:noFill/>
              </a:ln>
            </c:spPr>
            <c:txPr>
              <a:bodyPr/>
              <a:lstStyle/>
              <a:p>
                <a:pPr>
                  <a:defRPr sz="999" b="1" i="0" u="none" strike="noStrike" baseline="0">
                    <a:solidFill>
                      <a:sysClr val="windowText" lastClr="000000"/>
                    </a:solidFill>
                    <a:latin typeface="+mn-lt"/>
                    <a:ea typeface="Arial"/>
                    <a:cs typeface="Aria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'динамика потерь'!$K$50:$M$50</c:f>
              <c:numCache>
                <c:formatCode>General</c:formatCode>
                <c:ptCount val="3"/>
                <c:pt idx="0">
                  <c:v>2016</c:v>
                </c:pt>
                <c:pt idx="1">
                  <c:v>2017</c:v>
                </c:pt>
                <c:pt idx="2">
                  <c:v>2018</c:v>
                </c:pt>
              </c:numCache>
            </c:numRef>
          </c:cat>
          <c:val>
            <c:numRef>
              <c:f>'динамика потерь'!$K$53:$M$53</c:f>
              <c:numCache>
                <c:formatCode>General</c:formatCode>
                <c:ptCount val="3"/>
                <c:pt idx="0">
                  <c:v>3939.6979219000123</c:v>
                </c:pt>
                <c:pt idx="1">
                  <c:v>3898.1217655999985</c:v>
                </c:pt>
                <c:pt idx="2">
                  <c:v>3867.0941455681623</c:v>
                </c:pt>
              </c:numCache>
            </c:numRef>
          </c:val>
          <c:extLst>
            <c:ext xmlns:c16="http://schemas.microsoft.com/office/drawing/2014/chart" uri="{C3380CC4-5D6E-409C-BE32-E72D297353CC}">
              <c16:uniqueId val="{00000000-AF70-4019-9223-4CA30FF8A54F}"/>
            </c:ext>
          </c:extLst>
        </c:ser>
        <c:dLbls>
          <c:showLegendKey val="0"/>
          <c:showVal val="0"/>
          <c:showCatName val="0"/>
          <c:showSerName val="0"/>
          <c:showPercent val="0"/>
          <c:showBubbleSize val="0"/>
        </c:dLbls>
        <c:gapWidth val="150"/>
        <c:axId val="2025685168"/>
        <c:axId val="1"/>
      </c:barChart>
      <c:lineChart>
        <c:grouping val="standard"/>
        <c:varyColors val="0"/>
        <c:ser>
          <c:idx val="2"/>
          <c:order val="1"/>
          <c:tx>
            <c:strRef>
              <c:f>'динамика потерь'!$H$54</c:f>
              <c:strCache>
                <c:ptCount val="1"/>
                <c:pt idx="0">
                  <c:v>Electricity losses in comparable conditions %</c:v>
                </c:pt>
              </c:strCache>
            </c:strRef>
          </c:tx>
          <c:spPr>
            <a:ln w="25380">
              <a:solidFill>
                <a:srgbClr val="0000FF"/>
              </a:solidFill>
              <a:prstDash val="solid"/>
            </a:ln>
          </c:spPr>
          <c:marker>
            <c:symbol val="triangle"/>
            <c:size val="6"/>
            <c:spPr>
              <a:solidFill>
                <a:srgbClr val="0000FF"/>
              </a:solidFill>
              <a:ln>
                <a:solidFill>
                  <a:srgbClr val="0000FF"/>
                </a:solidFill>
                <a:prstDash val="solid"/>
              </a:ln>
            </c:spPr>
          </c:marker>
          <c:dLbls>
            <c:dLbl>
              <c:idx val="0"/>
              <c:layout>
                <c:manualLayout>
                  <c:x val="-5.5388097624480832E-2"/>
                  <c:y val="4.9063335074930894E-2"/>
                </c:manualLayout>
              </c:layout>
              <c:tx>
                <c:rich>
                  <a:bodyPr/>
                  <a:lstStyle/>
                  <a:p>
                    <a:r>
                      <a:rPr lang="en-US"/>
                      <a:t>11.53</a:t>
                    </a:r>
                  </a:p>
                </c:rich>
              </c:tx>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F70-4019-9223-4CA30FF8A54F}"/>
                </c:ext>
              </c:extLst>
            </c:dLbl>
            <c:dLbl>
              <c:idx val="1"/>
              <c:layout/>
              <c:tx>
                <c:rich>
                  <a:bodyPr/>
                  <a:lstStyle/>
                  <a:p>
                    <a:r>
                      <a:rPr lang="en-US"/>
                      <a:t>11.35</a:t>
                    </a:r>
                  </a:p>
                </c:rich>
              </c:tx>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DCD-414E-BC1F-2C1BECB5F786}"/>
                </c:ext>
              </c:extLst>
            </c:dLbl>
            <c:dLbl>
              <c:idx val="2"/>
              <c:layout>
                <c:manualLayout>
                  <c:x val="-5.1547692839141845E-2"/>
                  <c:y val="5.7737677575497033E-2"/>
                </c:manualLayout>
              </c:layout>
              <c:tx>
                <c:rich>
                  <a:bodyPr/>
                  <a:lstStyle/>
                  <a:p>
                    <a:r>
                      <a:rPr lang="en-US"/>
                      <a:t>11.01</a:t>
                    </a:r>
                  </a:p>
                </c:rich>
              </c:tx>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F70-4019-9223-4CA30FF8A54F}"/>
                </c:ext>
              </c:extLst>
            </c:dLbl>
            <c:numFmt formatCode="\О\с\н\о\в\н\о\й" sourceLinked="0"/>
            <c:spPr>
              <a:noFill/>
              <a:ln w="25380">
                <a:noFill/>
              </a:ln>
            </c:spPr>
            <c:txPr>
              <a:bodyPr/>
              <a:lstStyle/>
              <a:p>
                <a:pPr>
                  <a:defRPr sz="799" b="1" i="0" u="none" strike="noStrike" baseline="0">
                    <a:solidFill>
                      <a:schemeClr val="tx2">
                        <a:lumMod val="75000"/>
                      </a:schemeClr>
                    </a:solidFill>
                    <a:latin typeface="+mn-lt"/>
                    <a:ea typeface="Arial"/>
                    <a:cs typeface="Arial"/>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'динамика потерь'!$K$50:$M$50</c:f>
              <c:numCache>
                <c:formatCode>General</c:formatCode>
                <c:ptCount val="3"/>
                <c:pt idx="0">
                  <c:v>2016</c:v>
                </c:pt>
                <c:pt idx="1">
                  <c:v>2017</c:v>
                </c:pt>
                <c:pt idx="2">
                  <c:v>2018</c:v>
                </c:pt>
              </c:numCache>
            </c:numRef>
          </c:cat>
          <c:val>
            <c:numRef>
              <c:f>'динамика потерь'!$K$54:$M$54</c:f>
              <c:numCache>
                <c:formatCode>General</c:formatCode>
                <c:ptCount val="3"/>
                <c:pt idx="0">
                  <c:v>11.533012334180212</c:v>
                </c:pt>
                <c:pt idx="1">
                  <c:v>11.346623067489379</c:v>
                </c:pt>
                <c:pt idx="2">
                  <c:v>11.010399658469149</c:v>
                </c:pt>
              </c:numCache>
            </c:numRef>
          </c:val>
          <c:smooth val="0"/>
          <c:extLst>
            <c:ext xmlns:c16="http://schemas.microsoft.com/office/drawing/2014/chart" uri="{C3380CC4-5D6E-409C-BE32-E72D297353CC}">
              <c16:uniqueId val="{00000003-AF70-4019-9223-4CA30FF8A54F}"/>
            </c:ext>
          </c:extLst>
        </c:ser>
        <c:ser>
          <c:idx val="3"/>
          <c:order val="2"/>
          <c:tx>
            <c:strRef>
              <c:f>'динамика потерь'!$H$55</c:f>
              <c:strCache>
                <c:ptCount val="1"/>
                <c:pt idx="0">
                  <c:v>Electricity losses in %</c:v>
                </c:pt>
              </c:strCache>
            </c:strRef>
          </c:tx>
          <c:spPr>
            <a:ln>
              <a:solidFill>
                <a:srgbClr val="FF0000"/>
              </a:solidFill>
            </a:ln>
          </c:spPr>
          <c:marker>
            <c:symbol val="x"/>
            <c:size val="4"/>
            <c:spPr>
              <a:ln>
                <a:solidFill>
                  <a:srgbClr val="FF0000"/>
                </a:solidFill>
              </a:ln>
            </c:spPr>
          </c:marker>
          <c:dLbls>
            <c:dLbl>
              <c:idx val="0"/>
              <c:layout>
                <c:manualLayout>
                  <c:x val="-4.9677186312255824E-2"/>
                  <c:y val="-5.3006557460060257E-2"/>
                </c:manualLayout>
              </c:layout>
              <c:tx>
                <c:rich>
                  <a:bodyPr/>
                  <a:lstStyle/>
                  <a:p>
                    <a:r>
                      <a:rPr lang="en-US"/>
                      <a:t>11.53</a:t>
                    </a:r>
                  </a:p>
                </c:rich>
              </c:tx>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AF70-4019-9223-4CA30FF8A54F}"/>
                </c:ext>
              </c:extLst>
            </c:dLbl>
            <c:dLbl>
              <c:idx val="1"/>
              <c:layout>
                <c:manualLayout>
                  <c:x val="-3.1720682636605609E-2"/>
                  <c:y val="6.1530565037160423E-2"/>
                </c:manualLayout>
              </c:layout>
              <c:tx>
                <c:rich>
                  <a:bodyPr/>
                  <a:lstStyle/>
                  <a:p>
                    <a:r>
                      <a:rPr lang="en-US"/>
                      <a:t>12.05</a:t>
                    </a:r>
                  </a:p>
                </c:rich>
              </c:tx>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AF70-4019-9223-4CA30FF8A54F}"/>
                </c:ext>
              </c:extLst>
            </c:dLbl>
            <c:dLbl>
              <c:idx val="2"/>
              <c:layout>
                <c:manualLayout>
                  <c:x val="-4.468012694170944E-2"/>
                  <c:y val="3.6651027662710452E-2"/>
                </c:manualLayout>
              </c:layout>
              <c:tx>
                <c:rich>
                  <a:bodyPr/>
                  <a:lstStyle/>
                  <a:p>
                    <a:r>
                      <a:rPr lang="en-US"/>
                      <a:t>11.71</a:t>
                    </a:r>
                  </a:p>
                </c:rich>
              </c:tx>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AF70-4019-9223-4CA30FF8A54F}"/>
                </c:ext>
              </c:extLst>
            </c:dLbl>
            <c:spPr>
              <a:noFill/>
              <a:ln w="25380">
                <a:noFill/>
              </a:ln>
            </c:spPr>
            <c:txPr>
              <a:bodyPr/>
              <a:lstStyle/>
              <a:p>
                <a:pPr>
                  <a:defRPr sz="799" b="1">
                    <a:solidFill>
                      <a:srgbClr val="FF0000"/>
                    </a:solidFill>
                    <a:latin typeface="+mn-lt"/>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'динамика потерь'!$K$50:$M$50</c:f>
              <c:numCache>
                <c:formatCode>General</c:formatCode>
                <c:ptCount val="3"/>
                <c:pt idx="0">
                  <c:v>2016</c:v>
                </c:pt>
                <c:pt idx="1">
                  <c:v>2017</c:v>
                </c:pt>
                <c:pt idx="2">
                  <c:v>2018</c:v>
                </c:pt>
              </c:numCache>
            </c:numRef>
          </c:cat>
          <c:val>
            <c:numRef>
              <c:f>'динамика потерь'!$K$55:$M$55</c:f>
              <c:numCache>
                <c:formatCode>General</c:formatCode>
                <c:ptCount val="3"/>
                <c:pt idx="0">
                  <c:v>11.533012334180212</c:v>
                </c:pt>
                <c:pt idx="1">
                  <c:v>12.052478964474805</c:v>
                </c:pt>
                <c:pt idx="2">
                  <c:v>11.705149782745805</c:v>
                </c:pt>
              </c:numCache>
            </c:numRef>
          </c:val>
          <c:smooth val="0"/>
          <c:extLst>
            <c:ext xmlns:c16="http://schemas.microsoft.com/office/drawing/2014/chart" uri="{C3380CC4-5D6E-409C-BE32-E72D297353CC}">
              <c16:uniqueId val="{00000007-AF70-4019-9223-4CA30FF8A54F}"/>
            </c:ext>
          </c:extLst>
        </c:ser>
        <c:dLbls>
          <c:showLegendKey val="0"/>
          <c:showVal val="0"/>
          <c:showCatName val="0"/>
          <c:showSerName val="0"/>
          <c:showPercent val="0"/>
          <c:showBubbleSize val="0"/>
        </c:dLbls>
        <c:marker val="1"/>
        <c:smooth val="0"/>
        <c:axId val="3"/>
        <c:axId val="4"/>
      </c:lineChart>
      <c:catAx>
        <c:axId val="2025685168"/>
        <c:scaling>
          <c:orientation val="minMax"/>
        </c:scaling>
        <c:delete val="0"/>
        <c:axPos val="b"/>
        <c:numFmt formatCode="General" sourceLinked="1"/>
        <c:majorTickMark val="cross"/>
        <c:minorTickMark val="none"/>
        <c:tickLblPos val="nextTo"/>
        <c:spPr>
          <a:ln w="3173">
            <a:solidFill>
              <a:srgbClr val="000000"/>
            </a:solidFill>
            <a:prstDash val="solid"/>
          </a:ln>
        </c:spPr>
        <c:txPr>
          <a:bodyPr rot="0" vert="horz"/>
          <a:lstStyle/>
          <a:p>
            <a:pPr>
              <a:defRPr sz="799" b="1" i="0" u="none" strike="noStrike" baseline="0">
                <a:solidFill>
                  <a:srgbClr val="000000"/>
                </a:solidFill>
                <a:latin typeface="+mn-lt"/>
                <a:ea typeface="Arial"/>
                <a:cs typeface="Arial"/>
              </a:defRPr>
            </a:pPr>
            <a:endParaRPr lang="en-US"/>
          </a:p>
        </c:txPr>
        <c:crossAx val="1"/>
        <c:crosses val="autoZero"/>
        <c:auto val="0"/>
        <c:lblAlgn val="ctr"/>
        <c:lblOffset val="100"/>
        <c:tickLblSkip val="1"/>
        <c:tickMarkSkip val="1"/>
        <c:noMultiLvlLbl val="0"/>
      </c:catAx>
      <c:valAx>
        <c:axId val="1"/>
        <c:scaling>
          <c:orientation val="minMax"/>
          <c:min val="3400"/>
        </c:scaling>
        <c:delete val="0"/>
        <c:axPos val="l"/>
        <c:majorGridlines>
          <c:spPr>
            <a:ln>
              <a:gradFill>
                <a:gsLst>
                  <a:gs pos="0">
                    <a:srgbClr val="FFFFFF"/>
                  </a:gs>
                  <a:gs pos="7001">
                    <a:srgbClr val="E6E6E6"/>
                  </a:gs>
                  <a:gs pos="32001">
                    <a:srgbClr val="7D8496"/>
                  </a:gs>
                  <a:gs pos="47000">
                    <a:srgbClr val="E6E6E6"/>
                  </a:gs>
                  <a:gs pos="85001">
                    <a:srgbClr val="7D8496"/>
                  </a:gs>
                  <a:gs pos="100000">
                    <a:srgbClr val="E6E6E6"/>
                  </a:gs>
                </a:gsLst>
                <a:lin ang="5400000" scaled="0"/>
              </a:gradFill>
            </a:ln>
          </c:spPr>
        </c:majorGridlines>
        <c:title>
          <c:tx>
            <c:rich>
              <a:bodyPr/>
              <a:lstStyle/>
              <a:p>
                <a:pPr>
                  <a:defRPr sz="600" b="0" i="0" u="none" strike="noStrike" baseline="0">
                    <a:solidFill>
                      <a:srgbClr val="000000"/>
                    </a:solidFill>
                    <a:latin typeface="Arial"/>
                    <a:ea typeface="Arial"/>
                    <a:cs typeface="Arial"/>
                  </a:defRPr>
                </a:pPr>
                <a:r>
                  <a:rPr lang="en-US" sz="600" b="0" i="0" u="none" strike="noStrike" baseline="0">
                    <a:effectLst/>
                  </a:rPr>
                  <a:t>million kWh</a:t>
                </a:r>
                <a:endParaRPr lang="ru-RU"/>
              </a:p>
            </c:rich>
          </c:tx>
          <c:layout>
            <c:manualLayout>
              <c:xMode val="edge"/>
              <c:yMode val="edge"/>
              <c:x val="8.3125883303048667E-2"/>
              <c:y val="0.12702641527607214"/>
            </c:manualLayout>
          </c:layout>
          <c:overlay val="0"/>
          <c:spPr>
            <a:noFill/>
            <a:ln w="25380">
              <a:noFill/>
            </a:ln>
          </c:spPr>
        </c:title>
        <c:numFmt formatCode="General" sourceLinked="1"/>
        <c:majorTickMark val="cross"/>
        <c:minorTickMark val="none"/>
        <c:tickLblPos val="nextTo"/>
        <c:spPr>
          <a:ln w="3173">
            <a:solidFill>
              <a:srgbClr val="000000"/>
            </a:solidFill>
            <a:prstDash val="solid"/>
          </a:ln>
        </c:spPr>
        <c:txPr>
          <a:bodyPr rot="0" vert="horz"/>
          <a:lstStyle/>
          <a:p>
            <a:pPr>
              <a:defRPr sz="799" b="1" i="0" u="none" strike="noStrike" baseline="0">
                <a:solidFill>
                  <a:srgbClr val="000000"/>
                </a:solidFill>
                <a:latin typeface="+mn-lt"/>
                <a:ea typeface="Arial"/>
                <a:cs typeface="Arial"/>
              </a:defRPr>
            </a:pPr>
            <a:endParaRPr lang="en-US"/>
          </a:p>
        </c:txPr>
        <c:crossAx val="2025685168"/>
        <c:crosses val="autoZero"/>
        <c:crossBetween val="between"/>
        <c:majorUnit val="200"/>
      </c:valAx>
      <c:catAx>
        <c:axId val="3"/>
        <c:scaling>
          <c:orientation val="minMax"/>
        </c:scaling>
        <c:delete val="1"/>
        <c:axPos val="b"/>
        <c:numFmt formatCode="General" sourceLinked="1"/>
        <c:majorTickMark val="out"/>
        <c:minorTickMark val="none"/>
        <c:tickLblPos val="nextTo"/>
        <c:crossAx val="4"/>
        <c:crosses val="autoZero"/>
        <c:auto val="0"/>
        <c:lblAlgn val="ctr"/>
        <c:lblOffset val="100"/>
        <c:noMultiLvlLbl val="0"/>
      </c:catAx>
      <c:valAx>
        <c:axId val="4"/>
        <c:scaling>
          <c:orientation val="minMax"/>
          <c:max val="13"/>
          <c:min val="9"/>
        </c:scaling>
        <c:delete val="0"/>
        <c:axPos val="r"/>
        <c:title>
          <c:tx>
            <c:rich>
              <a:bodyPr rot="0" vert="horz"/>
              <a:lstStyle/>
              <a:p>
                <a:pPr algn="ctr">
                  <a:defRPr sz="600" b="1" i="0" u="none" strike="noStrike" baseline="0">
                    <a:solidFill>
                      <a:srgbClr val="000000"/>
                    </a:solidFill>
                    <a:latin typeface="Arial"/>
                    <a:ea typeface="Arial"/>
                    <a:cs typeface="Arial"/>
                  </a:defRPr>
                </a:pPr>
                <a:r>
                  <a:rPr lang="ru-RU" sz="600"/>
                  <a:t>%</a:t>
                </a:r>
              </a:p>
            </c:rich>
          </c:tx>
          <c:layout>
            <c:manualLayout>
              <c:xMode val="edge"/>
              <c:yMode val="edge"/>
              <c:x val="0.86206995760145366"/>
              <c:y val="0.1032030629198873"/>
            </c:manualLayout>
          </c:layout>
          <c:overlay val="0"/>
          <c:spPr>
            <a:noFill/>
            <a:ln w="25380">
              <a:noFill/>
            </a:ln>
          </c:spPr>
        </c:title>
        <c:numFmt formatCode="0" sourceLinked="0"/>
        <c:majorTickMark val="cross"/>
        <c:minorTickMark val="none"/>
        <c:tickLblPos val="nextTo"/>
        <c:spPr>
          <a:ln w="3173">
            <a:solidFill>
              <a:srgbClr val="000000"/>
            </a:solidFill>
            <a:prstDash val="solid"/>
          </a:ln>
        </c:spPr>
        <c:txPr>
          <a:bodyPr rot="0" vert="horz"/>
          <a:lstStyle/>
          <a:p>
            <a:pPr>
              <a:defRPr sz="799" b="0" i="0" u="none" strike="noStrike" baseline="0">
                <a:solidFill>
                  <a:srgbClr val="000000"/>
                </a:solidFill>
                <a:latin typeface="+mn-lt"/>
                <a:ea typeface="Arial"/>
                <a:cs typeface="Arial"/>
              </a:defRPr>
            </a:pPr>
            <a:endParaRPr lang="en-US"/>
          </a:p>
        </c:txPr>
        <c:crossAx val="3"/>
        <c:crosses val="max"/>
        <c:crossBetween val="between"/>
        <c:majorUnit val="1"/>
      </c:valAx>
      <c:spPr>
        <a:noFill/>
        <a:ln w="25380">
          <a:noFill/>
        </a:ln>
      </c:spPr>
    </c:plotArea>
    <c:legend>
      <c:legendPos val="b"/>
      <c:layout>
        <c:manualLayout>
          <c:xMode val="edge"/>
          <c:yMode val="edge"/>
          <c:x val="1.2011154855643044E-2"/>
          <c:y val="0.90319439427869685"/>
          <c:w val="0.98798884514435692"/>
          <c:h val="9.6805124130125986E-2"/>
        </c:manualLayout>
      </c:layout>
      <c:overlay val="0"/>
      <c:spPr>
        <a:noFill/>
        <a:ln w="3173">
          <a:noFill/>
          <a:prstDash val="solid"/>
        </a:ln>
      </c:spPr>
      <c:txPr>
        <a:bodyPr/>
        <a:lstStyle/>
        <a:p>
          <a:pPr>
            <a:defRPr sz="799" b="0" i="0" u="none" strike="noStrike" baseline="0">
              <a:solidFill>
                <a:srgbClr val="000000"/>
              </a:solidFill>
              <a:latin typeface="+mn-lt"/>
              <a:ea typeface="Arial"/>
              <a:cs typeface="Arial"/>
            </a:defRPr>
          </a:pPr>
          <a:endParaRPr lang="en-US"/>
        </a:p>
      </c:txPr>
    </c:legend>
    <c:plotVisOnly val="1"/>
    <c:dispBlanksAs val="gap"/>
    <c:showDLblsOverMax val="0"/>
  </c:chart>
  <c:spPr>
    <a:noFill/>
    <a:ln>
      <a:noFill/>
    </a:ln>
  </c:spPr>
  <c:txPr>
    <a:bodyPr/>
    <a:lstStyle/>
    <a:p>
      <a:pPr>
        <a:defRPr sz="999" b="0" i="0" u="none" strike="noStrike" baseline="0">
          <a:solidFill>
            <a:srgbClr val="000000"/>
          </a:solidFill>
          <a:latin typeface="Arial"/>
          <a:ea typeface="Arial"/>
          <a:cs typeface="Arial"/>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a:latin typeface="Calibri" pitchFamily="34" charset="0"/>
                <a:cs typeface="Calibri" pitchFamily="34" charset="0"/>
              </a:defRPr>
            </a:pPr>
            <a:r>
              <a:rPr lang="en-US" sz="1000" b="0" i="0" u="none" strike="noStrike" baseline="0">
                <a:effectLst/>
              </a:rPr>
              <a:t>Changes in connected capacity and number of closed contracts, (MW) units*</a:t>
            </a:r>
            <a:endParaRPr lang="ru-RU" sz="1200">
              <a:effectLst/>
              <a:latin typeface="+mn-lt"/>
            </a:endParaRPr>
          </a:p>
        </c:rich>
      </c:tx>
      <c:layout>
        <c:manualLayout>
          <c:xMode val="edge"/>
          <c:yMode val="edge"/>
          <c:x val="0.13409047398486953"/>
          <c:y val="1.8244921219709921E-2"/>
        </c:manualLayout>
      </c:layout>
      <c:overlay val="0"/>
    </c:title>
    <c:autoTitleDeleted val="0"/>
    <c:plotArea>
      <c:layout>
        <c:manualLayout>
          <c:layoutTarget val="inner"/>
          <c:xMode val="edge"/>
          <c:yMode val="edge"/>
          <c:x val="9.8412023587393815E-2"/>
          <c:y val="0.16232988670010554"/>
          <c:w val="0.88517874317971401"/>
          <c:h val="0.67629852129001811"/>
        </c:manualLayout>
      </c:layout>
      <c:barChart>
        <c:barDir val="col"/>
        <c:grouping val="clustered"/>
        <c:varyColors val="0"/>
        <c:ser>
          <c:idx val="0"/>
          <c:order val="0"/>
          <c:tx>
            <c:strRef>
              <c:f>Исполн!$N$3</c:f>
              <c:strCache>
                <c:ptCount val="1"/>
                <c:pt idx="0">
                  <c:v>Number</c:v>
                </c:pt>
              </c:strCache>
            </c:strRef>
          </c:tx>
          <c:invertIfNegative val="0"/>
          <c:dLbls>
            <c:dLbl>
              <c:idx val="1"/>
              <c:layout>
                <c:manualLayout>
                  <c:x val="4.8986651394404201E-3"/>
                  <c:y val="-1.0051987875558637E-3"/>
                </c:manualLayout>
              </c:layout>
              <c:spPr>
                <a:noFill/>
                <a:ln w="25408">
                  <a:noFill/>
                </a:ln>
              </c:spPr>
              <c:txPr>
                <a:bodyPr wrap="square" lIns="38100" tIns="19050" rIns="38100" bIns="19050" anchor="ctr">
                  <a:spAutoFit/>
                </a:bodyPr>
                <a:lstStyle/>
                <a:p>
                  <a:pPr>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1D8-4F7C-AA75-A8FBD8773E81}"/>
                </c:ext>
              </c:extLst>
            </c:dLbl>
            <c:dLbl>
              <c:idx val="2"/>
              <c:layout>
                <c:manualLayout>
                  <c:x val="-3.2941685174008536E-3"/>
                  <c:y val="-3.3970262378817111E-2"/>
                </c:manualLayout>
              </c:layout>
              <c:spPr>
                <a:noFill/>
                <a:ln w="25408">
                  <a:noFill/>
                </a:ln>
              </c:spPr>
              <c:txPr>
                <a:bodyPr wrap="square" lIns="38100" tIns="19050" rIns="38100" bIns="19050" anchor="ctr">
                  <a:spAutoFit/>
                </a:bodyPr>
                <a:lstStyle/>
                <a:p>
                  <a:pPr>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1D8-4F7C-AA75-A8FBD8773E81}"/>
                </c:ext>
              </c:extLst>
            </c:dLbl>
            <c:spPr>
              <a:noFill/>
              <a:ln w="25408">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Исполн!$O$2:$Q$2</c:f>
              <c:numCache>
                <c:formatCode>General</c:formatCode>
                <c:ptCount val="3"/>
                <c:pt idx="0">
                  <c:v>2016</c:v>
                </c:pt>
                <c:pt idx="1">
                  <c:v>2017</c:v>
                </c:pt>
                <c:pt idx="2">
                  <c:v>2018</c:v>
                </c:pt>
              </c:numCache>
            </c:numRef>
          </c:cat>
          <c:val>
            <c:numRef>
              <c:f>Исполн!$O$3:$Q$3</c:f>
              <c:numCache>
                <c:formatCode>#,##0</c:formatCode>
                <c:ptCount val="3"/>
                <c:pt idx="0">
                  <c:v>31868</c:v>
                </c:pt>
                <c:pt idx="1">
                  <c:v>32568</c:v>
                </c:pt>
                <c:pt idx="2">
                  <c:v>30108</c:v>
                </c:pt>
              </c:numCache>
            </c:numRef>
          </c:val>
          <c:extLst>
            <c:ext xmlns:c16="http://schemas.microsoft.com/office/drawing/2014/chart" uri="{C3380CC4-5D6E-409C-BE32-E72D297353CC}">
              <c16:uniqueId val="{00000002-01D8-4F7C-AA75-A8FBD8773E81}"/>
            </c:ext>
          </c:extLst>
        </c:ser>
        <c:dLbls>
          <c:showLegendKey val="0"/>
          <c:showVal val="0"/>
          <c:showCatName val="0"/>
          <c:showSerName val="0"/>
          <c:showPercent val="0"/>
          <c:showBubbleSize val="0"/>
        </c:dLbls>
        <c:gapWidth val="150"/>
        <c:axId val="2086045680"/>
        <c:axId val="1"/>
      </c:barChart>
      <c:lineChart>
        <c:grouping val="standard"/>
        <c:varyColors val="0"/>
        <c:ser>
          <c:idx val="1"/>
          <c:order val="1"/>
          <c:tx>
            <c:strRef>
              <c:f>Исполн!$N$4</c:f>
              <c:strCache>
                <c:ptCount val="1"/>
                <c:pt idx="0">
                  <c:v>Capacity</c:v>
                </c:pt>
              </c:strCache>
            </c:strRef>
          </c:tx>
          <c:marker>
            <c:symbol val="square"/>
            <c:size val="5"/>
          </c:marker>
          <c:dLbls>
            <c:dLbl>
              <c:idx val="0"/>
              <c:layout>
                <c:manualLayout>
                  <c:x val="-5.3411813158255633E-2"/>
                  <c:y val="5.222646984243147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1D8-4F7C-AA75-A8FBD8773E81}"/>
                </c:ext>
              </c:extLst>
            </c:dLbl>
            <c:dLbl>
              <c:idx val="1"/>
              <c:layout>
                <c:manualLayout>
                  <c:x val="-4.043646922976548E-2"/>
                  <c:y val="0.12465177466540019"/>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1D8-4F7C-AA75-A8FBD8773E81}"/>
                </c:ext>
              </c:extLst>
            </c:dLbl>
            <c:dLbl>
              <c:idx val="2"/>
              <c:layout>
                <c:manualLayout>
                  <c:x val="-3.9451008274079109E-2"/>
                  <c:y val="0.13825491614023105"/>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01D8-4F7C-AA75-A8FBD8773E81}"/>
                </c:ext>
              </c:extLst>
            </c:dLbl>
            <c:spPr>
              <a:noFill/>
              <a:ln w="25408">
                <a:noFill/>
              </a:ln>
            </c:spPr>
            <c:txPr>
              <a:bodyPr/>
              <a:lstStyle/>
              <a:p>
                <a:pPr>
                  <a:defRPr>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Исполн!$O$2:$Q$2</c:f>
              <c:numCache>
                <c:formatCode>General</c:formatCode>
                <c:ptCount val="3"/>
                <c:pt idx="0">
                  <c:v>2016</c:v>
                </c:pt>
                <c:pt idx="1">
                  <c:v>2017</c:v>
                </c:pt>
                <c:pt idx="2">
                  <c:v>2018</c:v>
                </c:pt>
              </c:numCache>
            </c:numRef>
          </c:cat>
          <c:val>
            <c:numRef>
              <c:f>Исполн!$O$4:$Q$4</c:f>
              <c:numCache>
                <c:formatCode>#,##0</c:formatCode>
                <c:ptCount val="3"/>
                <c:pt idx="0">
                  <c:v>724.87990365399673</c:v>
                </c:pt>
                <c:pt idx="1">
                  <c:v>956.28071305000242</c:v>
                </c:pt>
                <c:pt idx="2">
                  <c:v>942.6297938599979</c:v>
                </c:pt>
              </c:numCache>
            </c:numRef>
          </c:val>
          <c:smooth val="0"/>
          <c:extLst>
            <c:ext xmlns:c16="http://schemas.microsoft.com/office/drawing/2014/chart" uri="{C3380CC4-5D6E-409C-BE32-E72D297353CC}">
              <c16:uniqueId val="{00000006-01D8-4F7C-AA75-A8FBD8773E81}"/>
            </c:ext>
          </c:extLst>
        </c:ser>
        <c:dLbls>
          <c:showLegendKey val="0"/>
          <c:showVal val="0"/>
          <c:showCatName val="0"/>
          <c:showSerName val="0"/>
          <c:showPercent val="0"/>
          <c:showBubbleSize val="0"/>
        </c:dLbls>
        <c:marker val="1"/>
        <c:smooth val="0"/>
        <c:axId val="3"/>
        <c:axId val="4"/>
      </c:lineChart>
      <c:catAx>
        <c:axId val="2086045680"/>
        <c:scaling>
          <c:orientation val="minMax"/>
        </c:scaling>
        <c:delete val="0"/>
        <c:axPos val="b"/>
        <c:numFmt formatCode="General" sourceLinked="1"/>
        <c:majorTickMark val="out"/>
        <c:minorTickMark val="none"/>
        <c:tickLblPos val="nextTo"/>
        <c:crossAx val="1"/>
        <c:crosses val="autoZero"/>
        <c:auto val="1"/>
        <c:lblAlgn val="ctr"/>
        <c:lblOffset val="100"/>
        <c:noMultiLvlLbl val="0"/>
      </c:catAx>
      <c:valAx>
        <c:axId val="1"/>
        <c:scaling>
          <c:orientation val="minMax"/>
          <c:max val="40000"/>
          <c:min val="0"/>
        </c:scaling>
        <c:delete val="0"/>
        <c:axPos val="l"/>
        <c:numFmt formatCode="#,##0" sourceLinked="1"/>
        <c:majorTickMark val="out"/>
        <c:minorTickMark val="none"/>
        <c:tickLblPos val="nextTo"/>
        <c:crossAx val="2086045680"/>
        <c:crosses val="autoZero"/>
        <c:crossBetween val="between"/>
        <c:majorUnit val="20000"/>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max val="1200"/>
        </c:scaling>
        <c:delete val="0"/>
        <c:axPos val="r"/>
        <c:numFmt formatCode="#,##0" sourceLinked="1"/>
        <c:majorTickMark val="out"/>
        <c:minorTickMark val="none"/>
        <c:tickLblPos val="nextTo"/>
        <c:crossAx val="3"/>
        <c:crosses val="max"/>
        <c:crossBetween val="between"/>
        <c:majorUnit val="600"/>
      </c:valAx>
    </c:plotArea>
    <c:legend>
      <c:legendPos val="b"/>
      <c:layout>
        <c:manualLayout>
          <c:xMode val="edge"/>
          <c:yMode val="edge"/>
          <c:x val="0.28717245638412842"/>
          <c:y val="0.90001910311669753"/>
          <c:w val="0.42877010961865053"/>
          <c:h val="7.5845794505044695E-2"/>
        </c:manualLayout>
      </c:layout>
      <c:overlay val="0"/>
    </c:legend>
    <c:plotVisOnly val="1"/>
    <c:dispBlanksAs val="gap"/>
    <c:showDLblsOverMax val="0"/>
  </c:chart>
  <c:spPr>
    <a:solidFill>
      <a:schemeClr val="bg1"/>
    </a:solidFill>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0" u="none" strike="noStrike" baseline="0">
                <a:effectLst/>
              </a:rPr>
              <a:t>Changes in connected capacity by customer category, MW*</a:t>
            </a:r>
            <a:endParaRPr lang="ru-RU" sz="1200" b="0"/>
          </a:p>
        </c:rich>
      </c:tx>
      <c:layout>
        <c:manualLayout>
          <c:xMode val="edge"/>
          <c:yMode val="edge"/>
          <c:x val="0.12457170126461466"/>
          <c:y val="3.7474884604941625E-2"/>
        </c:manualLayout>
      </c:layout>
      <c:overlay val="0"/>
    </c:title>
    <c:autoTitleDeleted val="0"/>
    <c:plotArea>
      <c:layout>
        <c:manualLayout>
          <c:layoutTarget val="inner"/>
          <c:xMode val="edge"/>
          <c:yMode val="edge"/>
          <c:x val="8.4645768250831088E-2"/>
          <c:y val="0.18393197051164298"/>
          <c:w val="0.70919652177422288"/>
          <c:h val="0.70429002649105654"/>
        </c:manualLayout>
      </c:layout>
      <c:barChart>
        <c:barDir val="col"/>
        <c:grouping val="stacked"/>
        <c:varyColors val="0"/>
        <c:ser>
          <c:idx val="1"/>
          <c:order val="0"/>
          <c:tx>
            <c:strRef>
              <c:f>Исполн!$B$38</c:f>
              <c:strCache>
                <c:ptCount val="1"/>
                <c:pt idx="0">
                  <c:v>up to 15 kW</c:v>
                </c:pt>
              </c:strCache>
            </c:strRef>
          </c:tx>
          <c:spPr>
            <a:solidFill>
              <a:schemeClr val="tx2">
                <a:lumMod val="60000"/>
                <a:lumOff val="40000"/>
              </a:schemeClr>
            </a:solidFill>
          </c:spPr>
          <c:invertIfNegative val="0"/>
          <c:dLbls>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Исполн!$D$36:$F$36</c:f>
              <c:numCache>
                <c:formatCode>General</c:formatCode>
                <c:ptCount val="3"/>
                <c:pt idx="0">
                  <c:v>2016</c:v>
                </c:pt>
                <c:pt idx="1">
                  <c:v>2017</c:v>
                </c:pt>
                <c:pt idx="2">
                  <c:v>2018</c:v>
                </c:pt>
              </c:numCache>
            </c:numRef>
          </c:cat>
          <c:val>
            <c:numRef>
              <c:f>Исполн!$D$38:$F$38</c:f>
              <c:numCache>
                <c:formatCode>#,##0</c:formatCode>
                <c:ptCount val="3"/>
                <c:pt idx="0">
                  <c:v>319.41887853000355</c:v>
                </c:pt>
                <c:pt idx="1">
                  <c:v>347.7965215000055</c:v>
                </c:pt>
                <c:pt idx="2">
                  <c:v>308.87554890000342</c:v>
                </c:pt>
              </c:numCache>
            </c:numRef>
          </c:val>
          <c:extLst>
            <c:ext xmlns:c16="http://schemas.microsoft.com/office/drawing/2014/chart" uri="{C3380CC4-5D6E-409C-BE32-E72D297353CC}">
              <c16:uniqueId val="{00000000-B3B3-4832-8AC8-5A58F79D9C0A}"/>
            </c:ext>
          </c:extLst>
        </c:ser>
        <c:ser>
          <c:idx val="2"/>
          <c:order val="1"/>
          <c:tx>
            <c:strRef>
              <c:f>Исполн!$B$39</c:f>
              <c:strCache>
                <c:ptCount val="1"/>
                <c:pt idx="0">
                  <c:v>15-150 kW</c:v>
                </c:pt>
              </c:strCache>
            </c:strRef>
          </c:tx>
          <c:spPr>
            <a:solidFill>
              <a:srgbClr val="FFFF00"/>
            </a:solidFill>
          </c:spPr>
          <c:invertIfNegative val="0"/>
          <c:dLbls>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Исполн!$D$36:$F$36</c:f>
              <c:numCache>
                <c:formatCode>General</c:formatCode>
                <c:ptCount val="3"/>
                <c:pt idx="0">
                  <c:v>2016</c:v>
                </c:pt>
                <c:pt idx="1">
                  <c:v>2017</c:v>
                </c:pt>
                <c:pt idx="2">
                  <c:v>2018</c:v>
                </c:pt>
              </c:numCache>
            </c:numRef>
          </c:cat>
          <c:val>
            <c:numRef>
              <c:f>Исполн!$D$39:$F$39</c:f>
              <c:numCache>
                <c:formatCode>#,##0</c:formatCode>
                <c:ptCount val="3"/>
                <c:pt idx="0">
                  <c:v>82.435478574000001</c:v>
                </c:pt>
                <c:pt idx="1">
                  <c:v>103.71934212999993</c:v>
                </c:pt>
                <c:pt idx="2">
                  <c:v>126.00829199999998</c:v>
                </c:pt>
              </c:numCache>
            </c:numRef>
          </c:val>
          <c:extLst>
            <c:ext xmlns:c16="http://schemas.microsoft.com/office/drawing/2014/chart" uri="{C3380CC4-5D6E-409C-BE32-E72D297353CC}">
              <c16:uniqueId val="{00000001-B3B3-4832-8AC8-5A58F79D9C0A}"/>
            </c:ext>
          </c:extLst>
        </c:ser>
        <c:ser>
          <c:idx val="3"/>
          <c:order val="2"/>
          <c:tx>
            <c:strRef>
              <c:f>Исполн!$B$40</c:f>
              <c:strCache>
                <c:ptCount val="1"/>
                <c:pt idx="0">
                  <c:v>150-670 kW</c:v>
                </c:pt>
              </c:strCache>
            </c:strRef>
          </c:tx>
          <c:spPr>
            <a:solidFill>
              <a:srgbClr val="92D050"/>
            </a:solidFill>
          </c:spPr>
          <c:invertIfNegative val="0"/>
          <c:dLbls>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Исполн!$D$36:$F$36</c:f>
              <c:numCache>
                <c:formatCode>General</c:formatCode>
                <c:ptCount val="3"/>
                <c:pt idx="0">
                  <c:v>2016</c:v>
                </c:pt>
                <c:pt idx="1">
                  <c:v>2017</c:v>
                </c:pt>
                <c:pt idx="2">
                  <c:v>2018</c:v>
                </c:pt>
              </c:numCache>
            </c:numRef>
          </c:cat>
          <c:val>
            <c:numRef>
              <c:f>Исполн!$D$40:$F$40</c:f>
              <c:numCache>
                <c:formatCode>#,##0</c:formatCode>
                <c:ptCount val="3"/>
                <c:pt idx="0">
                  <c:v>98.652443150000011</c:v>
                </c:pt>
                <c:pt idx="1">
                  <c:v>155.55097431999999</c:v>
                </c:pt>
                <c:pt idx="2">
                  <c:v>99.208777959999978</c:v>
                </c:pt>
              </c:numCache>
            </c:numRef>
          </c:val>
          <c:extLst>
            <c:ext xmlns:c16="http://schemas.microsoft.com/office/drawing/2014/chart" uri="{C3380CC4-5D6E-409C-BE32-E72D297353CC}">
              <c16:uniqueId val="{00000002-B3B3-4832-8AC8-5A58F79D9C0A}"/>
            </c:ext>
          </c:extLst>
        </c:ser>
        <c:ser>
          <c:idx val="4"/>
          <c:order val="3"/>
          <c:tx>
            <c:strRef>
              <c:f>Исполн!$B$41</c:f>
              <c:strCache>
                <c:ptCount val="1"/>
                <c:pt idx="0">
                  <c:v>670+ kW</c:v>
                </c:pt>
              </c:strCache>
            </c:strRef>
          </c:tx>
          <c:spPr>
            <a:solidFill>
              <a:schemeClr val="accent5">
                <a:lumMod val="40000"/>
                <a:lumOff val="60000"/>
              </a:schemeClr>
            </a:solidFill>
          </c:spPr>
          <c:invertIfNegative val="0"/>
          <c:dLbls>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Исполн!$D$36:$F$36</c:f>
              <c:numCache>
                <c:formatCode>General</c:formatCode>
                <c:ptCount val="3"/>
                <c:pt idx="0">
                  <c:v>2016</c:v>
                </c:pt>
                <c:pt idx="1">
                  <c:v>2017</c:v>
                </c:pt>
                <c:pt idx="2">
                  <c:v>2018</c:v>
                </c:pt>
              </c:numCache>
            </c:numRef>
          </c:cat>
          <c:val>
            <c:numRef>
              <c:f>Исполн!$D$41:$F$41</c:f>
              <c:numCache>
                <c:formatCode>#,##0</c:formatCode>
                <c:ptCount val="3"/>
                <c:pt idx="0">
                  <c:v>224.37310340000002</c:v>
                </c:pt>
                <c:pt idx="1">
                  <c:v>999.58687510000016</c:v>
                </c:pt>
                <c:pt idx="2">
                  <c:v>498.43517500000002</c:v>
                </c:pt>
              </c:numCache>
            </c:numRef>
          </c:val>
          <c:extLst>
            <c:ext xmlns:c16="http://schemas.microsoft.com/office/drawing/2014/chart" uri="{C3380CC4-5D6E-409C-BE32-E72D297353CC}">
              <c16:uniqueId val="{00000003-B3B3-4832-8AC8-5A58F79D9C0A}"/>
            </c:ext>
          </c:extLst>
        </c:ser>
        <c:dLbls>
          <c:showLegendKey val="0"/>
          <c:showVal val="0"/>
          <c:showCatName val="0"/>
          <c:showSerName val="0"/>
          <c:showPercent val="0"/>
          <c:showBubbleSize val="0"/>
        </c:dLbls>
        <c:gapWidth val="150"/>
        <c:overlap val="100"/>
        <c:axId val="2085962480"/>
        <c:axId val="1"/>
      </c:barChart>
      <c:lineChart>
        <c:grouping val="standard"/>
        <c:varyColors val="0"/>
        <c:ser>
          <c:idx val="0"/>
          <c:order val="4"/>
          <c:tx>
            <c:strRef>
              <c:f>Исполн!$B$37</c:f>
              <c:strCache>
                <c:ptCount val="1"/>
                <c:pt idx="0">
                  <c:v>Всего в т.ч.</c:v>
                </c:pt>
              </c:strCache>
            </c:strRef>
          </c:tx>
          <c:marker>
            <c:symbol val="diamond"/>
            <c:size val="4"/>
          </c:marker>
          <c:dLbls>
            <c:dLbl>
              <c:idx val="0"/>
              <c:layout>
                <c:manualLayout>
                  <c:x val="-6.4262019388583141E-2"/>
                  <c:y val="-4.3315702505692381E-2"/>
                </c:manualLayout>
              </c:layout>
              <c:spPr>
                <a:noFill/>
                <a:ln w="25391">
                  <a:noFill/>
                </a:ln>
              </c:spPr>
              <c:txPr>
                <a:bodyPr wrap="square" lIns="38100" tIns="19050" rIns="38100" bIns="19050" anchor="ctr">
                  <a:spAutoFit/>
                </a:bodyPr>
                <a:lstStyle/>
                <a:p>
                  <a:pPr>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3B3-4832-8AC8-5A58F79D9C0A}"/>
                </c:ext>
              </c:extLst>
            </c:dLbl>
            <c:dLbl>
              <c:idx val="1"/>
              <c:layout>
                <c:manualLayout>
                  <c:x val="-3.2258064516129031E-2"/>
                  <c:y val="-5.9978572334563052E-2"/>
                </c:manualLayout>
              </c:layout>
              <c:spPr>
                <a:noFill/>
                <a:ln w="25391">
                  <a:noFill/>
                </a:ln>
              </c:spPr>
              <c:txPr>
                <a:bodyPr wrap="square" lIns="38100" tIns="19050" rIns="38100" bIns="19050" anchor="ctr">
                  <a:spAutoFit/>
                </a:bodyPr>
                <a:lstStyle/>
                <a:p>
                  <a:pPr>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3B3-4832-8AC8-5A58F79D9C0A}"/>
                </c:ext>
              </c:extLst>
            </c:dLbl>
            <c:dLbl>
              <c:idx val="2"/>
              <c:layout>
                <c:manualLayout>
                  <c:x val="-3.2258064516129031E-2"/>
                  <c:y val="-5.141020485819689E-2"/>
                </c:manualLayout>
              </c:layout>
              <c:spPr>
                <a:noFill/>
                <a:ln w="25391">
                  <a:noFill/>
                </a:ln>
              </c:spPr>
              <c:txPr>
                <a:bodyPr wrap="square" lIns="38100" tIns="19050" rIns="38100" bIns="19050" anchor="ctr">
                  <a:spAutoFit/>
                </a:bodyPr>
                <a:lstStyle/>
                <a:p>
                  <a:pPr>
                    <a:defRPr/>
                  </a:pPr>
                  <a:endParaRPr lang="en-US"/>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B3B3-4832-8AC8-5A58F79D9C0A}"/>
                </c:ext>
              </c:extLst>
            </c:dLbl>
            <c:spPr>
              <a:noFill/>
              <a:ln w="2539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Исполн!$D$36:$F$36</c:f>
              <c:numCache>
                <c:formatCode>General</c:formatCode>
                <c:ptCount val="3"/>
                <c:pt idx="0">
                  <c:v>2016</c:v>
                </c:pt>
                <c:pt idx="1">
                  <c:v>2017</c:v>
                </c:pt>
                <c:pt idx="2">
                  <c:v>2018</c:v>
                </c:pt>
              </c:numCache>
            </c:numRef>
          </c:cat>
          <c:val>
            <c:numRef>
              <c:f>Исполн!$D$37:$F$37</c:f>
              <c:numCache>
                <c:formatCode>#,##0</c:formatCode>
                <c:ptCount val="3"/>
                <c:pt idx="0">
                  <c:v>724.87990365400356</c:v>
                </c:pt>
                <c:pt idx="1">
                  <c:v>1606.6537130500055</c:v>
                </c:pt>
                <c:pt idx="2">
                  <c:v>1032.5277938600034</c:v>
                </c:pt>
              </c:numCache>
            </c:numRef>
          </c:val>
          <c:smooth val="0"/>
          <c:extLst>
            <c:ext xmlns:c16="http://schemas.microsoft.com/office/drawing/2014/chart" uri="{C3380CC4-5D6E-409C-BE32-E72D297353CC}">
              <c16:uniqueId val="{00000007-B3B3-4832-8AC8-5A58F79D9C0A}"/>
            </c:ext>
          </c:extLst>
        </c:ser>
        <c:dLbls>
          <c:showLegendKey val="0"/>
          <c:showVal val="0"/>
          <c:showCatName val="0"/>
          <c:showSerName val="0"/>
          <c:showPercent val="0"/>
          <c:showBubbleSize val="0"/>
        </c:dLbls>
        <c:marker val="1"/>
        <c:smooth val="0"/>
        <c:axId val="2085962480"/>
        <c:axId val="1"/>
      </c:lineChart>
      <c:catAx>
        <c:axId val="2085962480"/>
        <c:scaling>
          <c:orientation val="minMax"/>
        </c:scaling>
        <c:delete val="0"/>
        <c:axPos val="b"/>
        <c:numFmt formatCode="General" sourceLinked="1"/>
        <c:majorTickMark val="out"/>
        <c:minorTickMark val="none"/>
        <c:tickLblPos val="nextTo"/>
        <c:crossAx val="1"/>
        <c:crosses val="autoZero"/>
        <c:auto val="1"/>
        <c:lblAlgn val="ctr"/>
        <c:lblOffset val="100"/>
        <c:noMultiLvlLbl val="0"/>
      </c:catAx>
      <c:valAx>
        <c:axId val="1"/>
        <c:scaling>
          <c:orientation val="minMax"/>
          <c:max val="2000"/>
        </c:scaling>
        <c:delete val="0"/>
        <c:axPos val="l"/>
        <c:majorGridlines/>
        <c:numFmt formatCode="#,##0" sourceLinked="1"/>
        <c:majorTickMark val="out"/>
        <c:minorTickMark val="none"/>
        <c:tickLblPos val="nextTo"/>
        <c:crossAx val="2085962480"/>
        <c:crosses val="autoZero"/>
        <c:crossBetween val="between"/>
        <c:majorUnit val="1000"/>
      </c:valAx>
      <c:spPr>
        <a:solidFill>
          <a:schemeClr val="bg1"/>
        </a:solidFill>
      </c:spPr>
    </c:plotArea>
    <c:legend>
      <c:legendPos val="r"/>
      <c:legendEntry>
        <c:idx val="4"/>
        <c:delete val="1"/>
      </c:legendEntry>
      <c:layout/>
      <c:overlay val="0"/>
    </c:legend>
    <c:plotVisOnly val="1"/>
    <c:dispBlanksAs val="gap"/>
    <c:showDLblsOverMax val="0"/>
  </c:chart>
  <c:spPr>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0.10833</cdr:x>
      <cdr:y>0.05085</cdr:y>
    </cdr:from>
    <cdr:to>
      <cdr:x>0.88958</cdr:x>
      <cdr:y>0.21257</cdr:y>
    </cdr:to>
    <cdr:sp macro="" textlink="">
      <cdr:nvSpPr>
        <cdr:cNvPr id="2" name="TextBox 1"/>
        <cdr:cNvSpPr txBox="1"/>
      </cdr:nvSpPr>
      <cdr:spPr>
        <a:xfrm xmlns:a="http://schemas.openxmlformats.org/drawingml/2006/main">
          <a:off x="495300" y="161763"/>
          <a:ext cx="3571875" cy="5145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de-DE" sz="800" b="1"/>
            <a:t>Net supply by voltage level in 2018</a:t>
          </a:r>
          <a:endParaRPr lang="ru-RU" sz="800" b="1"/>
        </a:p>
      </cdr:txBody>
    </cdr:sp>
  </cdr:relSizeAnchor>
</c:userShapes>
</file>

<file path=word/drawings/drawing2.xml><?xml version="1.0" encoding="utf-8"?>
<c:userShapes xmlns:c="http://schemas.openxmlformats.org/drawingml/2006/chart">
  <cdr:relSizeAnchor xmlns:cdr="http://schemas.openxmlformats.org/drawingml/2006/chartDrawing">
    <cdr:from>
      <cdr:x>0.09372</cdr:x>
      <cdr:y>0.20756</cdr:y>
    </cdr:from>
    <cdr:to>
      <cdr:x>0.14928</cdr:x>
      <cdr:y>0.85519</cdr:y>
    </cdr:to>
    <cdr:sp macro="" textlink="">
      <cdr:nvSpPr>
        <cdr:cNvPr id="2" name="Левая фигурная скобка 1"/>
        <cdr:cNvSpPr/>
      </cdr:nvSpPr>
      <cdr:spPr>
        <a:xfrm xmlns:a="http://schemas.openxmlformats.org/drawingml/2006/main">
          <a:off x="438150" y="729367"/>
          <a:ext cx="259715" cy="2275840"/>
        </a:xfrm>
        <a:prstGeom xmlns:a="http://schemas.openxmlformats.org/drawingml/2006/main" prst="leftBrac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3.xml><?xml version="1.0" encoding="utf-8"?>
<c:userShapes xmlns:c="http://schemas.openxmlformats.org/drawingml/2006/chart">
  <cdr:relSizeAnchor xmlns:cdr="http://schemas.openxmlformats.org/drawingml/2006/chartDrawing">
    <cdr:from>
      <cdr:x>0.46693</cdr:x>
      <cdr:y>0.16855</cdr:y>
    </cdr:from>
    <cdr:to>
      <cdr:x>0.55196</cdr:x>
      <cdr:y>0.24252</cdr:y>
    </cdr:to>
    <cdr:sp macro="" textlink="">
      <cdr:nvSpPr>
        <cdr:cNvPr id="4" name="TextBox 3"/>
        <cdr:cNvSpPr txBox="1"/>
      </cdr:nvSpPr>
      <cdr:spPr>
        <a:xfrm xmlns:a="http://schemas.openxmlformats.org/drawingml/2006/main">
          <a:off x="3135514" y="672289"/>
          <a:ext cx="570987" cy="2950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0.19995</cdr:x>
      <cdr:y>0.21313</cdr:y>
    </cdr:from>
    <cdr:to>
      <cdr:x>0.29197</cdr:x>
      <cdr:y>0.31235</cdr:y>
    </cdr:to>
    <cdr:sp macro="" textlink="">
      <cdr:nvSpPr>
        <cdr:cNvPr id="8" name="TextBox 7"/>
        <cdr:cNvSpPr txBox="1"/>
      </cdr:nvSpPr>
      <cdr:spPr>
        <a:xfrm xmlns:a="http://schemas.openxmlformats.org/drawingml/2006/main">
          <a:off x="1076325" y="552450"/>
          <a:ext cx="495300"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US" sz="1000"/>
            <a:t>22</a:t>
          </a:r>
          <a:r>
            <a:rPr lang="en-US" sz="1000" baseline="0"/>
            <a:t> 210</a:t>
          </a:r>
          <a:endParaRPr lang="ru-RU" sz="1000"/>
        </a:p>
      </cdr:txBody>
    </cdr:sp>
  </cdr:relSizeAnchor>
  <cdr:relSizeAnchor xmlns:cdr="http://schemas.openxmlformats.org/drawingml/2006/chartDrawing">
    <cdr:from>
      <cdr:x>0.4813</cdr:x>
      <cdr:y>0.14699</cdr:y>
    </cdr:from>
    <cdr:to>
      <cdr:x>0.55576</cdr:x>
      <cdr:y>0.22783</cdr:y>
    </cdr:to>
    <cdr:sp macro="" textlink="">
      <cdr:nvSpPr>
        <cdr:cNvPr id="5" name="TextBox 1"/>
        <cdr:cNvSpPr txBox="1"/>
      </cdr:nvSpPr>
      <cdr:spPr>
        <a:xfrm xmlns:a="http://schemas.openxmlformats.org/drawingml/2006/main">
          <a:off x="2590800" y="381001"/>
          <a:ext cx="400792" cy="2095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000"/>
            <a:t>28</a:t>
          </a:r>
          <a:r>
            <a:rPr lang="en-US" sz="1000" baseline="0"/>
            <a:t> 203</a:t>
          </a:r>
          <a:endParaRPr lang="ru-RU" sz="1000"/>
        </a:p>
      </cdr:txBody>
    </cdr:sp>
  </cdr:relSizeAnchor>
  <cdr:relSizeAnchor xmlns:cdr="http://schemas.openxmlformats.org/drawingml/2006/chartDrawing">
    <cdr:from>
      <cdr:x>0.7078</cdr:x>
      <cdr:y>0.23518</cdr:y>
    </cdr:from>
    <cdr:to>
      <cdr:x>0.84228</cdr:x>
      <cdr:y>0.32705</cdr:y>
    </cdr:to>
    <cdr:sp macro="" textlink="">
      <cdr:nvSpPr>
        <cdr:cNvPr id="6" name="TextBox 1"/>
        <cdr:cNvSpPr txBox="1"/>
      </cdr:nvSpPr>
      <cdr:spPr>
        <a:xfrm xmlns:a="http://schemas.openxmlformats.org/drawingml/2006/main">
          <a:off x="3810000" y="609600"/>
          <a:ext cx="723900" cy="23812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000"/>
            <a:t>2</a:t>
          </a:r>
          <a:r>
            <a:rPr lang="ru-RU" sz="1000"/>
            <a:t>0</a:t>
          </a:r>
          <a:r>
            <a:rPr lang="ru-RU" sz="1000" baseline="0"/>
            <a:t> 722</a:t>
          </a:r>
          <a:endParaRPr lang="ru-RU" sz="1000"/>
        </a:p>
      </cdr:txBody>
    </cdr:sp>
  </cdr:relSizeAnchor>
</c:userShapes>
</file>

<file path=word/drawings/drawing4.xml><?xml version="1.0" encoding="utf-8"?>
<c:userShapes xmlns:c="http://schemas.openxmlformats.org/drawingml/2006/chart">
  <cdr:relSizeAnchor xmlns:cdr="http://schemas.openxmlformats.org/drawingml/2006/chartDrawing">
    <cdr:from>
      <cdr:x>0.19795</cdr:x>
      <cdr:y>0.47926</cdr:y>
    </cdr:from>
    <cdr:to>
      <cdr:x>0.27</cdr:x>
      <cdr:y>0.56152</cdr:y>
    </cdr:to>
    <cdr:sp macro="" textlink="">
      <cdr:nvSpPr>
        <cdr:cNvPr id="3" name="TextBox 2"/>
        <cdr:cNvSpPr txBox="1"/>
      </cdr:nvSpPr>
      <cdr:spPr>
        <a:xfrm xmlns:a="http://schemas.openxmlformats.org/drawingml/2006/main">
          <a:off x="1104900" y="1276350"/>
          <a:ext cx="402146" cy="219075"/>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r>
            <a:rPr lang="en-US" sz="1000"/>
            <a:t>844</a:t>
          </a:r>
          <a:endParaRPr lang="ru-RU" sz="1000"/>
        </a:p>
      </cdr:txBody>
    </cdr:sp>
  </cdr:relSizeAnchor>
  <cdr:relSizeAnchor xmlns:cdr="http://schemas.openxmlformats.org/drawingml/2006/chartDrawing">
    <cdr:from>
      <cdr:x>0.72403</cdr:x>
      <cdr:y>0.42918</cdr:y>
    </cdr:from>
    <cdr:to>
      <cdr:x>0.80906</cdr:x>
      <cdr:y>0.5186</cdr:y>
    </cdr:to>
    <cdr:sp macro="" textlink="">
      <cdr:nvSpPr>
        <cdr:cNvPr id="4" name="TextBox 3"/>
        <cdr:cNvSpPr txBox="1"/>
      </cdr:nvSpPr>
      <cdr:spPr>
        <a:xfrm xmlns:a="http://schemas.openxmlformats.org/drawingml/2006/main">
          <a:off x="4041282" y="1143000"/>
          <a:ext cx="474608"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t>1</a:t>
          </a:r>
          <a:r>
            <a:rPr lang="en-US" sz="1000" baseline="0"/>
            <a:t> 031</a:t>
          </a:r>
          <a:endParaRPr lang="ru-RU" sz="1000"/>
        </a:p>
      </cdr:txBody>
    </cdr:sp>
  </cdr:relSizeAnchor>
  <cdr:relSizeAnchor xmlns:cdr="http://schemas.openxmlformats.org/drawingml/2006/chartDrawing">
    <cdr:from>
      <cdr:x>0.45684</cdr:x>
      <cdr:y>0.15379</cdr:y>
    </cdr:from>
    <cdr:to>
      <cdr:x>0.54528</cdr:x>
      <cdr:y>0.2432</cdr:y>
    </cdr:to>
    <cdr:sp macro="" textlink="">
      <cdr:nvSpPr>
        <cdr:cNvPr id="8" name="TextBox 7"/>
        <cdr:cNvSpPr txBox="1"/>
      </cdr:nvSpPr>
      <cdr:spPr>
        <a:xfrm xmlns:a="http://schemas.openxmlformats.org/drawingml/2006/main">
          <a:off x="2549921" y="409575"/>
          <a:ext cx="493641"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US" sz="1000"/>
            <a:t>2</a:t>
          </a:r>
          <a:r>
            <a:rPr lang="en-US" sz="1000" baseline="0"/>
            <a:t> 330</a:t>
          </a:r>
          <a:endParaRPr lang="ru-RU" sz="1000"/>
        </a:p>
      </cdr:txBody>
    </cdr:sp>
  </cdr:relSizeAnchor>
</c:userShapes>
</file>

<file path=word/drawings/drawing5.xml><?xml version="1.0" encoding="utf-8"?>
<c:userShapes xmlns:c="http://schemas.openxmlformats.org/drawingml/2006/chart">
  <cdr:relSizeAnchor xmlns:cdr="http://schemas.openxmlformats.org/drawingml/2006/chartDrawing">
    <cdr:from>
      <cdr:x>0.13605</cdr:x>
      <cdr:y>0.22781</cdr:y>
    </cdr:from>
    <cdr:to>
      <cdr:x>0.21599</cdr:x>
      <cdr:y>0.30178</cdr:y>
    </cdr:to>
    <cdr:sp macro="" textlink="">
      <cdr:nvSpPr>
        <cdr:cNvPr id="2" name="TextBox 1"/>
        <cdr:cNvSpPr txBox="1"/>
      </cdr:nvSpPr>
      <cdr:spPr>
        <a:xfrm xmlns:a="http://schemas.openxmlformats.org/drawingml/2006/main">
          <a:off x="762000" y="733425"/>
          <a:ext cx="447675"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0.10654</cdr:x>
      <cdr:y>0.30569</cdr:y>
    </cdr:from>
    <cdr:to>
      <cdr:x>0.19668</cdr:x>
      <cdr:y>0.37078</cdr:y>
    </cdr:to>
    <cdr:sp macro="" textlink="">
      <cdr:nvSpPr>
        <cdr:cNvPr id="3" name="TextBox 2"/>
        <cdr:cNvSpPr txBox="1"/>
      </cdr:nvSpPr>
      <cdr:spPr>
        <a:xfrm xmlns:a="http://schemas.openxmlformats.org/drawingml/2006/main">
          <a:off x="680920" y="822550"/>
          <a:ext cx="576110" cy="175145"/>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endParaRPr lang="ru-RU" sz="1000"/>
        </a:p>
      </cdr:txBody>
    </cdr:sp>
  </cdr:relSizeAnchor>
  <cdr:relSizeAnchor xmlns:cdr="http://schemas.openxmlformats.org/drawingml/2006/chartDrawing">
    <cdr:from>
      <cdr:x>0.44964</cdr:x>
      <cdr:y>0.18492</cdr:y>
    </cdr:from>
    <cdr:to>
      <cdr:x>0.53467</cdr:x>
      <cdr:y>0.28094</cdr:y>
    </cdr:to>
    <cdr:sp macro="" textlink="">
      <cdr:nvSpPr>
        <cdr:cNvPr id="4" name="TextBox 3"/>
        <cdr:cNvSpPr txBox="1"/>
      </cdr:nvSpPr>
      <cdr:spPr>
        <a:xfrm xmlns:a="http://schemas.openxmlformats.org/drawingml/2006/main">
          <a:off x="2590250" y="495300"/>
          <a:ext cx="489834"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t>2</a:t>
          </a:r>
          <a:r>
            <a:rPr lang="en-US" sz="1000" baseline="0"/>
            <a:t> 136</a:t>
          </a:r>
          <a:endParaRPr lang="ru-RU" sz="1000"/>
        </a:p>
      </cdr:txBody>
    </cdr:sp>
  </cdr:relSizeAnchor>
  <cdr:relSizeAnchor xmlns:cdr="http://schemas.openxmlformats.org/drawingml/2006/chartDrawing">
    <cdr:from>
      <cdr:x>0.18684</cdr:x>
      <cdr:y>0.17425</cdr:y>
    </cdr:from>
    <cdr:to>
      <cdr:x>0.27778</cdr:x>
      <cdr:y>0.24893</cdr:y>
    </cdr:to>
    <cdr:sp macro="" textlink="">
      <cdr:nvSpPr>
        <cdr:cNvPr id="5" name="TextBox 4"/>
        <cdr:cNvSpPr txBox="1"/>
      </cdr:nvSpPr>
      <cdr:spPr>
        <a:xfrm xmlns:a="http://schemas.openxmlformats.org/drawingml/2006/main">
          <a:off x="1076325" y="466725"/>
          <a:ext cx="523875" cy="2000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baseline="0"/>
            <a:t>  2 147</a:t>
          </a:r>
          <a:endParaRPr lang="ru-RU" sz="1000"/>
        </a:p>
      </cdr:txBody>
    </cdr:sp>
  </cdr:relSizeAnchor>
  <cdr:relSizeAnchor xmlns:cdr="http://schemas.openxmlformats.org/drawingml/2006/chartDrawing">
    <cdr:from>
      <cdr:x>0.73413</cdr:x>
      <cdr:y>0.20982</cdr:y>
    </cdr:from>
    <cdr:to>
      <cdr:x>0.82594</cdr:x>
      <cdr:y>0.29872</cdr:y>
    </cdr:to>
    <cdr:sp macro="" textlink="">
      <cdr:nvSpPr>
        <cdr:cNvPr id="6" name="TextBox 5"/>
        <cdr:cNvSpPr txBox="1"/>
      </cdr:nvSpPr>
      <cdr:spPr>
        <a:xfrm xmlns:a="http://schemas.openxmlformats.org/drawingml/2006/main">
          <a:off x="4229100" y="561975"/>
          <a:ext cx="528909" cy="2381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t>1</a:t>
          </a:r>
          <a:r>
            <a:rPr lang="en-US" sz="1000" baseline="0"/>
            <a:t> </a:t>
          </a:r>
          <a:r>
            <a:rPr lang="ru-RU" sz="1000" baseline="0"/>
            <a:t>900</a:t>
          </a:r>
          <a:endParaRPr lang="ru-RU" sz="1000"/>
        </a:p>
      </cdr:txBody>
    </cdr:sp>
  </cdr:relSizeAnchor>
</c:userShapes>
</file>

<file path=word/drawings/drawing6.xml><?xml version="1.0" encoding="utf-8"?>
<c:userShapes xmlns:c="http://schemas.openxmlformats.org/drawingml/2006/chart">
  <cdr:relSizeAnchor xmlns:cdr="http://schemas.openxmlformats.org/drawingml/2006/chartDrawing">
    <cdr:from>
      <cdr:x>0.13605</cdr:x>
      <cdr:y>0.22781</cdr:y>
    </cdr:from>
    <cdr:to>
      <cdr:x>0.21599</cdr:x>
      <cdr:y>0.30178</cdr:y>
    </cdr:to>
    <cdr:sp macro="" textlink="">
      <cdr:nvSpPr>
        <cdr:cNvPr id="2" name="TextBox 1"/>
        <cdr:cNvSpPr txBox="1"/>
      </cdr:nvSpPr>
      <cdr:spPr>
        <a:xfrm xmlns:a="http://schemas.openxmlformats.org/drawingml/2006/main">
          <a:off x="762000" y="733425"/>
          <a:ext cx="447675"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0.12925</cdr:x>
      <cdr:y>0.22781</cdr:y>
    </cdr:from>
    <cdr:to>
      <cdr:x>0.21939</cdr:x>
      <cdr:y>0.2929</cdr:y>
    </cdr:to>
    <cdr:sp macro="" textlink="">
      <cdr:nvSpPr>
        <cdr:cNvPr id="3" name="TextBox 2"/>
        <cdr:cNvSpPr txBox="1"/>
      </cdr:nvSpPr>
      <cdr:spPr>
        <a:xfrm xmlns:a="http://schemas.openxmlformats.org/drawingml/2006/main">
          <a:off x="723900" y="733425"/>
          <a:ext cx="504825" cy="209550"/>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endParaRPr lang="ru-RU" sz="900">
            <a:solidFill>
              <a:srgbClr val="FF0000"/>
            </a:solidFill>
          </a:endParaRPr>
        </a:p>
        <a:p xmlns:a="http://schemas.openxmlformats.org/drawingml/2006/main">
          <a:pPr algn="ctr"/>
          <a:endParaRPr lang="ru-RU" sz="900">
            <a:solidFill>
              <a:srgbClr val="FF0000"/>
            </a:solidFill>
          </a:endParaRPr>
        </a:p>
      </cdr:txBody>
    </cdr:sp>
  </cdr:relSizeAnchor>
  <cdr:relSizeAnchor xmlns:cdr="http://schemas.openxmlformats.org/drawingml/2006/chartDrawing">
    <cdr:from>
      <cdr:x>0.26994</cdr:x>
      <cdr:y>0.0956</cdr:y>
    </cdr:from>
    <cdr:to>
      <cdr:x>0.37117</cdr:x>
      <cdr:y>0.15932</cdr:y>
    </cdr:to>
    <cdr:sp macro="" textlink="">
      <cdr:nvSpPr>
        <cdr:cNvPr id="5" name="TextBox 4"/>
        <cdr:cNvSpPr txBox="1"/>
      </cdr:nvSpPr>
      <cdr:spPr>
        <a:xfrm xmlns:a="http://schemas.openxmlformats.org/drawingml/2006/main">
          <a:off x="1603730" y="295274"/>
          <a:ext cx="601413" cy="19680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900">
              <a:solidFill>
                <a:sysClr val="windowText" lastClr="000000"/>
              </a:solidFill>
            </a:rPr>
            <a:t>28</a:t>
          </a:r>
          <a:r>
            <a:rPr lang="ru-RU" sz="900" baseline="0">
              <a:solidFill>
                <a:sysClr val="windowText" lastClr="000000"/>
              </a:solidFill>
            </a:rPr>
            <a:t> 296</a:t>
          </a:r>
          <a:endParaRPr lang="ru-RU" sz="900">
            <a:solidFill>
              <a:sysClr val="windowText" lastClr="000000"/>
            </a:solidFill>
          </a:endParaRPr>
        </a:p>
      </cdr:txBody>
    </cdr:sp>
  </cdr:relSizeAnchor>
  <cdr:relSizeAnchor xmlns:cdr="http://schemas.openxmlformats.org/drawingml/2006/chartDrawing">
    <cdr:from>
      <cdr:x>0.68558</cdr:x>
      <cdr:y>0.24194</cdr:y>
    </cdr:from>
    <cdr:to>
      <cdr:x>0.78528</cdr:x>
      <cdr:y>0.3216</cdr:y>
    </cdr:to>
    <cdr:sp macro="" textlink="">
      <cdr:nvSpPr>
        <cdr:cNvPr id="8" name="TextBox 7"/>
        <cdr:cNvSpPr txBox="1"/>
      </cdr:nvSpPr>
      <cdr:spPr>
        <a:xfrm xmlns:a="http://schemas.openxmlformats.org/drawingml/2006/main">
          <a:off x="4257675" y="781049"/>
          <a:ext cx="619125"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solidFill>
                <a:sysClr val="windowText" lastClr="000000"/>
              </a:solidFill>
            </a:rPr>
            <a:t>17</a:t>
          </a:r>
          <a:r>
            <a:rPr lang="ru-RU" sz="1000" baseline="0">
              <a:solidFill>
                <a:sysClr val="windowText" lastClr="000000"/>
              </a:solidFill>
            </a:rPr>
            <a:t> 371</a:t>
          </a:r>
          <a:endParaRPr lang="ru-RU" sz="1000">
            <a:solidFill>
              <a:sysClr val="windowText" lastClr="000000"/>
            </a:solidFill>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0.13605</cdr:x>
      <cdr:y>0.22781</cdr:y>
    </cdr:from>
    <cdr:to>
      <cdr:x>0.21599</cdr:x>
      <cdr:y>0.30178</cdr:y>
    </cdr:to>
    <cdr:sp macro="" textlink="">
      <cdr:nvSpPr>
        <cdr:cNvPr id="2" name="TextBox 1"/>
        <cdr:cNvSpPr txBox="1"/>
      </cdr:nvSpPr>
      <cdr:spPr>
        <a:xfrm xmlns:a="http://schemas.openxmlformats.org/drawingml/2006/main">
          <a:off x="762000" y="733425"/>
          <a:ext cx="447675"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0.12633</cdr:x>
      <cdr:y>0.31114</cdr:y>
    </cdr:from>
    <cdr:to>
      <cdr:x>0.21647</cdr:x>
      <cdr:y>0.37623</cdr:y>
    </cdr:to>
    <cdr:sp macro="" textlink="">
      <cdr:nvSpPr>
        <cdr:cNvPr id="3" name="TextBox 2"/>
        <cdr:cNvSpPr txBox="1"/>
      </cdr:nvSpPr>
      <cdr:spPr>
        <a:xfrm xmlns:a="http://schemas.openxmlformats.org/drawingml/2006/main">
          <a:off x="823027" y="853528"/>
          <a:ext cx="587271" cy="178555"/>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endParaRPr lang="ru-RU" sz="1000"/>
        </a:p>
        <a:p xmlns:a="http://schemas.openxmlformats.org/drawingml/2006/main">
          <a:pPr algn="ctr"/>
          <a:endParaRPr lang="ru-RU" sz="1000"/>
        </a:p>
      </cdr:txBody>
    </cdr:sp>
  </cdr:relSizeAnchor>
  <cdr:relSizeAnchor xmlns:cdr="http://schemas.openxmlformats.org/drawingml/2006/chartDrawing">
    <cdr:from>
      <cdr:x>0.26764</cdr:x>
      <cdr:y>0.17433</cdr:y>
    </cdr:from>
    <cdr:to>
      <cdr:x>0.35287</cdr:x>
      <cdr:y>0.27077</cdr:y>
    </cdr:to>
    <cdr:sp macro="" textlink="">
      <cdr:nvSpPr>
        <cdr:cNvPr id="6" name="TextBox 5"/>
        <cdr:cNvSpPr txBox="1"/>
      </cdr:nvSpPr>
      <cdr:spPr>
        <a:xfrm xmlns:a="http://schemas.openxmlformats.org/drawingml/2006/main">
          <a:off x="1704975" y="447675"/>
          <a:ext cx="542924"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t>2</a:t>
          </a:r>
          <a:r>
            <a:rPr lang="ru-RU" sz="1000" baseline="0"/>
            <a:t> 112</a:t>
          </a:r>
          <a:endParaRPr lang="ru-RU" sz="1000"/>
        </a:p>
      </cdr:txBody>
    </cdr:sp>
  </cdr:relSizeAnchor>
  <cdr:relSizeAnchor xmlns:cdr="http://schemas.openxmlformats.org/drawingml/2006/chartDrawing">
    <cdr:from>
      <cdr:x>0.68236</cdr:x>
      <cdr:y>0.34124</cdr:y>
    </cdr:from>
    <cdr:to>
      <cdr:x>0.7656</cdr:x>
      <cdr:y>0.43769</cdr:y>
    </cdr:to>
    <cdr:sp macro="" textlink="">
      <cdr:nvSpPr>
        <cdr:cNvPr id="8" name="TextBox 7"/>
        <cdr:cNvSpPr txBox="1"/>
      </cdr:nvSpPr>
      <cdr:spPr>
        <a:xfrm xmlns:a="http://schemas.openxmlformats.org/drawingml/2006/main">
          <a:off x="4346841" y="876292"/>
          <a:ext cx="530265" cy="24765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t>1</a:t>
          </a:r>
          <a:r>
            <a:rPr lang="ru-RU" sz="1000" baseline="0"/>
            <a:t>  284</a:t>
          </a:r>
          <a:endParaRPr lang="ru-RU" sz="1000"/>
        </a:p>
      </cdr:txBody>
    </cdr:sp>
  </cdr:relSizeAnchor>
</c:userShapes>
</file>

<file path=word/drawings/drawing8.xml><?xml version="1.0" encoding="utf-8"?>
<c:userShapes xmlns:c="http://schemas.openxmlformats.org/drawingml/2006/chart">
  <cdr:relSizeAnchor xmlns:cdr="http://schemas.openxmlformats.org/drawingml/2006/chartDrawing">
    <cdr:from>
      <cdr:x>0.13605</cdr:x>
      <cdr:y>0.22781</cdr:y>
    </cdr:from>
    <cdr:to>
      <cdr:x>0.21599</cdr:x>
      <cdr:y>0.30178</cdr:y>
    </cdr:to>
    <cdr:sp macro="" textlink="">
      <cdr:nvSpPr>
        <cdr:cNvPr id="2" name="TextBox 1"/>
        <cdr:cNvSpPr txBox="1"/>
      </cdr:nvSpPr>
      <cdr:spPr>
        <a:xfrm xmlns:a="http://schemas.openxmlformats.org/drawingml/2006/main">
          <a:off x="762000" y="733425"/>
          <a:ext cx="447675"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0.10654</cdr:x>
      <cdr:y>0.30569</cdr:y>
    </cdr:from>
    <cdr:to>
      <cdr:x>0.19668</cdr:x>
      <cdr:y>0.37078</cdr:y>
    </cdr:to>
    <cdr:sp macro="" textlink="">
      <cdr:nvSpPr>
        <cdr:cNvPr id="3" name="TextBox 2"/>
        <cdr:cNvSpPr txBox="1"/>
      </cdr:nvSpPr>
      <cdr:spPr>
        <a:xfrm xmlns:a="http://schemas.openxmlformats.org/drawingml/2006/main">
          <a:off x="680920" y="822550"/>
          <a:ext cx="576110" cy="175145"/>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endParaRPr lang="ru-RU" sz="1000"/>
        </a:p>
      </cdr:txBody>
    </cdr:sp>
  </cdr:relSizeAnchor>
  <cdr:relSizeAnchor xmlns:cdr="http://schemas.openxmlformats.org/drawingml/2006/chartDrawing">
    <cdr:from>
      <cdr:x>0.24821</cdr:x>
      <cdr:y>0.13869</cdr:y>
    </cdr:from>
    <cdr:to>
      <cdr:x>0.33642</cdr:x>
      <cdr:y>0.23471</cdr:y>
    </cdr:to>
    <cdr:sp macro="" textlink="">
      <cdr:nvSpPr>
        <cdr:cNvPr id="6" name="TextBox 5"/>
        <cdr:cNvSpPr txBox="1"/>
      </cdr:nvSpPr>
      <cdr:spPr>
        <a:xfrm xmlns:a="http://schemas.openxmlformats.org/drawingml/2006/main">
          <a:off x="1581149" y="371475"/>
          <a:ext cx="561975" cy="25717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t>1</a:t>
          </a:r>
          <a:r>
            <a:rPr lang="ru-RU" sz="1000" baseline="0"/>
            <a:t> 048</a:t>
          </a:r>
          <a:endParaRPr lang="ru-RU" sz="1000"/>
        </a:p>
      </cdr:txBody>
    </cdr:sp>
  </cdr:relSizeAnchor>
  <cdr:relSizeAnchor xmlns:cdr="http://schemas.openxmlformats.org/drawingml/2006/chartDrawing">
    <cdr:from>
      <cdr:x>0.66798</cdr:x>
      <cdr:y>0.36629</cdr:y>
    </cdr:from>
    <cdr:to>
      <cdr:x>0.74713</cdr:x>
      <cdr:y>0.46942</cdr:y>
    </cdr:to>
    <cdr:sp macro="" textlink="">
      <cdr:nvSpPr>
        <cdr:cNvPr id="8" name="TextBox 7"/>
        <cdr:cNvSpPr txBox="1"/>
      </cdr:nvSpPr>
      <cdr:spPr>
        <a:xfrm xmlns:a="http://schemas.openxmlformats.org/drawingml/2006/main">
          <a:off x="4255277" y="981072"/>
          <a:ext cx="504211" cy="27622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t>582</a:t>
          </a:r>
        </a:p>
      </cdr:txBody>
    </cdr:sp>
  </cdr:relSizeAnchor>
</c:userShapes>
</file>

<file path=word/drawings/drawing9.xml><?xml version="1.0" encoding="utf-8"?>
<c:userShapes xmlns:c="http://schemas.openxmlformats.org/drawingml/2006/chart">
  <cdr:relSizeAnchor xmlns:cdr="http://schemas.openxmlformats.org/drawingml/2006/chartDrawing">
    <cdr:from>
      <cdr:x>0.66427</cdr:x>
      <cdr:y>0.1689</cdr:y>
    </cdr:from>
    <cdr:to>
      <cdr:x>0.74517</cdr:x>
      <cdr:y>0.25158</cdr:y>
    </cdr:to>
    <cdr:sp macro="" textlink="">
      <cdr:nvSpPr>
        <cdr:cNvPr id="2" name="TextBox 29"/>
        <cdr:cNvSpPr txBox="1">
          <a:spLocks xmlns:a="http://schemas.openxmlformats.org/drawingml/2006/main" noChangeArrowheads="1"/>
        </cdr:cNvSpPr>
      </cdr:nvSpPr>
      <cdr:spPr bwMode="auto">
        <a:xfrm xmlns:a="http://schemas.openxmlformats.org/drawingml/2006/main">
          <a:off x="3581179" y="508372"/>
          <a:ext cx="436144" cy="248851"/>
        </a:xfrm>
        <a:prstGeom xmlns:a="http://schemas.openxmlformats.org/drawingml/2006/main" prst="rect">
          <a:avLst/>
        </a:prstGeom>
        <a:solidFill xmlns:a="http://schemas.openxmlformats.org/drawingml/2006/main">
          <a:schemeClr val="bg1"/>
        </a:solidFill>
        <a:ln xmlns:a="http://schemas.openxmlformats.org/drawingml/2006/main">
          <a:noFill/>
        </a:ln>
      </cdr:spPr>
      <cdr:txBody>
        <a:bodyPr xmlns:a="http://schemas.openxmlformats.org/drawingml/2006/main" rot="0" vert="horz" wrap="square" lIns="91440" tIns="45720" rIns="91440" bIns="45720" anchor="t" anchorCtr="0" upright="1">
          <a:spAutoFit/>
        </a:bodyPr>
        <a:lstStyle xmlns:a="http://schemas.openxmlformats.org/drawingml/2006/main"/>
        <a:p xmlns:a="http://schemas.openxmlformats.org/drawingml/2006/main">
          <a:pPr algn="ctr">
            <a:spcAft>
              <a:spcPts val="0"/>
            </a:spcAft>
          </a:pPr>
          <a:r>
            <a:rPr lang="ru-RU" sz="1000" b="1" kern="1200">
              <a:solidFill>
                <a:srgbClr val="000000"/>
              </a:solidFill>
              <a:effectLst/>
              <a:latin typeface="Calibri" panose="020F0502020204030204" pitchFamily="34" charset="0"/>
              <a:ea typeface="Times New Roman" panose="02020603050405020304" pitchFamily="18" charset="0"/>
              <a:cs typeface="Times New Roman" panose="02020603050405020304" pitchFamily="18" charset="0"/>
            </a:rPr>
            <a:t>45</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99A00D-9C92-4F0A-83E2-908DA865D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111</Pages>
  <Words>109740</Words>
  <Characters>625523</Characters>
  <Application>Microsoft Office Word</Application>
  <DocSecurity>0</DocSecurity>
  <Lines>5212</Lines>
  <Paragraphs>1467</Paragraphs>
  <ScaleCrop>false</ScaleCrop>
  <HeadingPairs>
    <vt:vector size="2" baseType="variant">
      <vt:variant>
        <vt:lpstr>Название</vt:lpstr>
      </vt:variant>
      <vt:variant>
        <vt:i4>1</vt:i4>
      </vt:variant>
    </vt:vector>
  </HeadingPairs>
  <TitlesOfParts>
    <vt:vector size="1" baseType="lpstr">
      <vt:lpstr/>
    </vt:vector>
  </TitlesOfParts>
  <Company>ПАО "Ленэнерго"</Company>
  <LinksUpToDate>false</LinksUpToDate>
  <CharactersWithSpaces>733796</CharactersWithSpaces>
  <SharedDoc>false</SharedDoc>
  <HLinks>
    <vt:vector size="522" baseType="variant">
      <vt:variant>
        <vt:i4>2752616</vt:i4>
      </vt:variant>
      <vt:variant>
        <vt:i4>558</vt:i4>
      </vt:variant>
      <vt:variant>
        <vt:i4>0</vt:i4>
      </vt:variant>
      <vt:variant>
        <vt:i4>5</vt:i4>
      </vt:variant>
      <vt:variant>
        <vt:lpwstr>consultantplus://offline/ref=D3DC9DD927644EBFBC3A6B066F9303AED2175DFBF8F9A659F34E1F58649576A180B493DECBC7765240IAM</vt:lpwstr>
      </vt:variant>
      <vt:variant>
        <vt:lpwstr/>
      </vt:variant>
      <vt:variant>
        <vt:i4>8192100</vt:i4>
      </vt:variant>
      <vt:variant>
        <vt:i4>555</vt:i4>
      </vt:variant>
      <vt:variant>
        <vt:i4>0</vt:i4>
      </vt:variant>
      <vt:variant>
        <vt:i4>5</vt:i4>
      </vt:variant>
      <vt:variant>
        <vt:lpwstr>consultantplus://offline/ref=50BA3A52E3BACAA64AFA1DA876CA93581BE926C6BE9CC9A8FCB563EB9558272D792D250813BBD6CEI0GEM</vt:lpwstr>
      </vt:variant>
      <vt:variant>
        <vt:lpwstr/>
      </vt:variant>
      <vt:variant>
        <vt:i4>6619193</vt:i4>
      </vt:variant>
      <vt:variant>
        <vt:i4>552</vt:i4>
      </vt:variant>
      <vt:variant>
        <vt:i4>0</vt:i4>
      </vt:variant>
      <vt:variant>
        <vt:i4>5</vt:i4>
      </vt:variant>
      <vt:variant>
        <vt:lpwstr>consultantplus://offline/ref=4F88FD92B58C8D4E099600FC13934D4D33426A309E1F66BEFA54274822FA5957117AF01E81FB01C8xFEEM</vt:lpwstr>
      </vt:variant>
      <vt:variant>
        <vt:lpwstr/>
      </vt:variant>
      <vt:variant>
        <vt:i4>3866725</vt:i4>
      </vt:variant>
      <vt:variant>
        <vt:i4>549</vt:i4>
      </vt:variant>
      <vt:variant>
        <vt:i4>0</vt:i4>
      </vt:variant>
      <vt:variant>
        <vt:i4>5</vt:i4>
      </vt:variant>
      <vt:variant>
        <vt:lpwstr>consultantplus://offline/ref=30B3B8F6C534595312D16493213A78E12075A8215547AA34F7B8015020680A23A041C8CC0333358971w7L</vt:lpwstr>
      </vt:variant>
      <vt:variant>
        <vt:lpwstr/>
      </vt:variant>
      <vt:variant>
        <vt:i4>7602229</vt:i4>
      </vt:variant>
      <vt:variant>
        <vt:i4>546</vt:i4>
      </vt:variant>
      <vt:variant>
        <vt:i4>0</vt:i4>
      </vt:variant>
      <vt:variant>
        <vt:i4>5</vt:i4>
      </vt:variant>
      <vt:variant>
        <vt:lpwstr>consultantplus://offline/ref=CDA1E26F6BB3BF3190C316AB908A22BC53213356A7B4C9F64A1586EE76597CF5140D8F1FCCFEF298z4w9L</vt:lpwstr>
      </vt:variant>
      <vt:variant>
        <vt:lpwstr/>
      </vt:variant>
      <vt:variant>
        <vt:i4>7602228</vt:i4>
      </vt:variant>
      <vt:variant>
        <vt:i4>543</vt:i4>
      </vt:variant>
      <vt:variant>
        <vt:i4>0</vt:i4>
      </vt:variant>
      <vt:variant>
        <vt:i4>5</vt:i4>
      </vt:variant>
      <vt:variant>
        <vt:lpwstr>consultantplus://offline/ref=CDA1E26F6BB3BF3190C316AB908A22BC532E3554A3B3C9F64A1586EE76597CF5140D8F1FCCFFF595z4wBL</vt:lpwstr>
      </vt:variant>
      <vt:variant>
        <vt:lpwstr/>
      </vt:variant>
      <vt:variant>
        <vt:i4>6553656</vt:i4>
      </vt:variant>
      <vt:variant>
        <vt:i4>540</vt:i4>
      </vt:variant>
      <vt:variant>
        <vt:i4>0</vt:i4>
      </vt:variant>
      <vt:variant>
        <vt:i4>5</vt:i4>
      </vt:variant>
      <vt:variant>
        <vt:lpwstr>consultantplus://offline/ref=92980CAE7FA4ED5C32E31F27AB0295669AD9B75C86DD0E2CD4AEDFE87293BF6D4F9F32AA5A23A22CfCwDL</vt:lpwstr>
      </vt:variant>
      <vt:variant>
        <vt:lpwstr/>
      </vt:variant>
      <vt:variant>
        <vt:i4>3866729</vt:i4>
      </vt:variant>
      <vt:variant>
        <vt:i4>537</vt:i4>
      </vt:variant>
      <vt:variant>
        <vt:i4>0</vt:i4>
      </vt:variant>
      <vt:variant>
        <vt:i4>5</vt:i4>
      </vt:variant>
      <vt:variant>
        <vt:lpwstr>consultantplus://offline/ref=2063C7F2469579713232B39C097C3FECE562E1E5A8A2D719FD4077C59FDAD01C46905034A5A1B6D4f9v2L</vt:lpwstr>
      </vt:variant>
      <vt:variant>
        <vt:lpwstr/>
      </vt:variant>
      <vt:variant>
        <vt:i4>3342388</vt:i4>
      </vt:variant>
      <vt:variant>
        <vt:i4>534</vt:i4>
      </vt:variant>
      <vt:variant>
        <vt:i4>0</vt:i4>
      </vt:variant>
      <vt:variant>
        <vt:i4>5</vt:i4>
      </vt:variant>
      <vt:variant>
        <vt:lpwstr>consultantplus://offline/ref=F50247E029ED4FD6223C829E920F9D5B2A3F16C5270E0C3EEFE33EC296B0A0D695F0A8F6BE9C721420uEL</vt:lpwstr>
      </vt:variant>
      <vt:variant>
        <vt:lpwstr/>
      </vt:variant>
      <vt:variant>
        <vt:i4>7209071</vt:i4>
      </vt:variant>
      <vt:variant>
        <vt:i4>531</vt:i4>
      </vt:variant>
      <vt:variant>
        <vt:i4>0</vt:i4>
      </vt:variant>
      <vt:variant>
        <vt:i4>5</vt:i4>
      </vt:variant>
      <vt:variant>
        <vt:lpwstr>consultantplus://offline/ref=F4695EF84764808259248AC5197DD7B32F533D192CBD18A786735077BC5B95EE5FF08C76263BBC8Dj8uDL</vt:lpwstr>
      </vt:variant>
      <vt:variant>
        <vt:lpwstr/>
      </vt:variant>
      <vt:variant>
        <vt:i4>3407923</vt:i4>
      </vt:variant>
      <vt:variant>
        <vt:i4>528</vt:i4>
      </vt:variant>
      <vt:variant>
        <vt:i4>0</vt:i4>
      </vt:variant>
      <vt:variant>
        <vt:i4>5</vt:i4>
      </vt:variant>
      <vt:variant>
        <vt:lpwstr>consultantplus://offline/ref=40A240B7A135CCEB32728E4729E51981D4C91A3AF1BA81C3A746E6E59630AB70772924A463553417WEnCL</vt:lpwstr>
      </vt:variant>
      <vt:variant>
        <vt:lpwstr/>
      </vt:variant>
      <vt:variant>
        <vt:i4>3407980</vt:i4>
      </vt:variant>
      <vt:variant>
        <vt:i4>525</vt:i4>
      </vt:variant>
      <vt:variant>
        <vt:i4>0</vt:i4>
      </vt:variant>
      <vt:variant>
        <vt:i4>5</vt:i4>
      </vt:variant>
      <vt:variant>
        <vt:lpwstr>consultantplus://offline/ref=40A240B7A135CCEB32728E4729E51981D4C91A3AF1BA81C3A746E6E59630AB70772924A463553412WEn9L</vt:lpwstr>
      </vt:variant>
      <vt:variant>
        <vt:lpwstr/>
      </vt:variant>
      <vt:variant>
        <vt:i4>7864380</vt:i4>
      </vt:variant>
      <vt:variant>
        <vt:i4>522</vt:i4>
      </vt:variant>
      <vt:variant>
        <vt:i4>0</vt:i4>
      </vt:variant>
      <vt:variant>
        <vt:i4>5</vt:i4>
      </vt:variant>
      <vt:variant>
        <vt:lpwstr>consultantplus://offline/ref=97B7F93351616D326F804D1D7E89A587BEF3428C85F2E3AEA475CF45B2B077547F64415A04CCE58E68l1L</vt:lpwstr>
      </vt:variant>
      <vt:variant>
        <vt:lpwstr/>
      </vt:variant>
      <vt:variant>
        <vt:i4>7864382</vt:i4>
      </vt:variant>
      <vt:variant>
        <vt:i4>519</vt:i4>
      </vt:variant>
      <vt:variant>
        <vt:i4>0</vt:i4>
      </vt:variant>
      <vt:variant>
        <vt:i4>5</vt:i4>
      </vt:variant>
      <vt:variant>
        <vt:lpwstr>consultantplus://offline/ref=97B7F93351616D326F804D1D7E89A587BEF3428C85F2E3AEA475CF45B2B077547F64415A04CCE58B68l4L</vt:lpwstr>
      </vt:variant>
      <vt:variant>
        <vt:lpwstr/>
      </vt:variant>
      <vt:variant>
        <vt:i4>7798833</vt:i4>
      </vt:variant>
      <vt:variant>
        <vt:i4>516</vt:i4>
      </vt:variant>
      <vt:variant>
        <vt:i4>0</vt:i4>
      </vt:variant>
      <vt:variant>
        <vt:i4>5</vt:i4>
      </vt:variant>
      <vt:variant>
        <vt:lpwstr>consultantplus://offline/ref=F0ECDD21ACA789103E2A6D99FC1E8B68C8633285A0A4EF91389DB6B7846CC94749B9DB7ABAC1EFCFM0N6H</vt:lpwstr>
      </vt:variant>
      <vt:variant>
        <vt:lpwstr/>
      </vt:variant>
      <vt:variant>
        <vt:i4>8323176</vt:i4>
      </vt:variant>
      <vt:variant>
        <vt:i4>513</vt:i4>
      </vt:variant>
      <vt:variant>
        <vt:i4>0</vt:i4>
      </vt:variant>
      <vt:variant>
        <vt:i4>5</vt:i4>
      </vt:variant>
      <vt:variant>
        <vt:lpwstr>http://www.mcd.ru/</vt:lpwstr>
      </vt:variant>
      <vt:variant>
        <vt:lpwstr/>
      </vt:variant>
      <vt:variant>
        <vt:i4>1703986</vt:i4>
      </vt:variant>
      <vt:variant>
        <vt:i4>506</vt:i4>
      </vt:variant>
      <vt:variant>
        <vt:i4>0</vt:i4>
      </vt:variant>
      <vt:variant>
        <vt:i4>5</vt:i4>
      </vt:variant>
      <vt:variant>
        <vt:lpwstr/>
      </vt:variant>
      <vt:variant>
        <vt:lpwstr>_Toc95935378</vt:lpwstr>
      </vt:variant>
      <vt:variant>
        <vt:i4>1376306</vt:i4>
      </vt:variant>
      <vt:variant>
        <vt:i4>500</vt:i4>
      </vt:variant>
      <vt:variant>
        <vt:i4>0</vt:i4>
      </vt:variant>
      <vt:variant>
        <vt:i4>5</vt:i4>
      </vt:variant>
      <vt:variant>
        <vt:lpwstr/>
      </vt:variant>
      <vt:variant>
        <vt:lpwstr>_Toc95935377</vt:lpwstr>
      </vt:variant>
      <vt:variant>
        <vt:i4>1310770</vt:i4>
      </vt:variant>
      <vt:variant>
        <vt:i4>494</vt:i4>
      </vt:variant>
      <vt:variant>
        <vt:i4>0</vt:i4>
      </vt:variant>
      <vt:variant>
        <vt:i4>5</vt:i4>
      </vt:variant>
      <vt:variant>
        <vt:lpwstr/>
      </vt:variant>
      <vt:variant>
        <vt:lpwstr>_Toc95935376</vt:lpwstr>
      </vt:variant>
      <vt:variant>
        <vt:i4>1507378</vt:i4>
      </vt:variant>
      <vt:variant>
        <vt:i4>488</vt:i4>
      </vt:variant>
      <vt:variant>
        <vt:i4>0</vt:i4>
      </vt:variant>
      <vt:variant>
        <vt:i4>5</vt:i4>
      </vt:variant>
      <vt:variant>
        <vt:lpwstr/>
      </vt:variant>
      <vt:variant>
        <vt:lpwstr>_Toc95935375</vt:lpwstr>
      </vt:variant>
      <vt:variant>
        <vt:i4>1441842</vt:i4>
      </vt:variant>
      <vt:variant>
        <vt:i4>482</vt:i4>
      </vt:variant>
      <vt:variant>
        <vt:i4>0</vt:i4>
      </vt:variant>
      <vt:variant>
        <vt:i4>5</vt:i4>
      </vt:variant>
      <vt:variant>
        <vt:lpwstr/>
      </vt:variant>
      <vt:variant>
        <vt:lpwstr>_Toc95935374</vt:lpwstr>
      </vt:variant>
      <vt:variant>
        <vt:i4>1114162</vt:i4>
      </vt:variant>
      <vt:variant>
        <vt:i4>476</vt:i4>
      </vt:variant>
      <vt:variant>
        <vt:i4>0</vt:i4>
      </vt:variant>
      <vt:variant>
        <vt:i4>5</vt:i4>
      </vt:variant>
      <vt:variant>
        <vt:lpwstr/>
      </vt:variant>
      <vt:variant>
        <vt:lpwstr>_Toc95935373</vt:lpwstr>
      </vt:variant>
      <vt:variant>
        <vt:i4>1048626</vt:i4>
      </vt:variant>
      <vt:variant>
        <vt:i4>470</vt:i4>
      </vt:variant>
      <vt:variant>
        <vt:i4>0</vt:i4>
      </vt:variant>
      <vt:variant>
        <vt:i4>5</vt:i4>
      </vt:variant>
      <vt:variant>
        <vt:lpwstr/>
      </vt:variant>
      <vt:variant>
        <vt:lpwstr>_Toc95935372</vt:lpwstr>
      </vt:variant>
      <vt:variant>
        <vt:i4>1245234</vt:i4>
      </vt:variant>
      <vt:variant>
        <vt:i4>464</vt:i4>
      </vt:variant>
      <vt:variant>
        <vt:i4>0</vt:i4>
      </vt:variant>
      <vt:variant>
        <vt:i4>5</vt:i4>
      </vt:variant>
      <vt:variant>
        <vt:lpwstr/>
      </vt:variant>
      <vt:variant>
        <vt:lpwstr>_Toc95935371</vt:lpwstr>
      </vt:variant>
      <vt:variant>
        <vt:i4>1179698</vt:i4>
      </vt:variant>
      <vt:variant>
        <vt:i4>458</vt:i4>
      </vt:variant>
      <vt:variant>
        <vt:i4>0</vt:i4>
      </vt:variant>
      <vt:variant>
        <vt:i4>5</vt:i4>
      </vt:variant>
      <vt:variant>
        <vt:lpwstr/>
      </vt:variant>
      <vt:variant>
        <vt:lpwstr>_Toc95935370</vt:lpwstr>
      </vt:variant>
      <vt:variant>
        <vt:i4>1769523</vt:i4>
      </vt:variant>
      <vt:variant>
        <vt:i4>452</vt:i4>
      </vt:variant>
      <vt:variant>
        <vt:i4>0</vt:i4>
      </vt:variant>
      <vt:variant>
        <vt:i4>5</vt:i4>
      </vt:variant>
      <vt:variant>
        <vt:lpwstr/>
      </vt:variant>
      <vt:variant>
        <vt:lpwstr>_Toc95935369</vt:lpwstr>
      </vt:variant>
      <vt:variant>
        <vt:i4>1703987</vt:i4>
      </vt:variant>
      <vt:variant>
        <vt:i4>446</vt:i4>
      </vt:variant>
      <vt:variant>
        <vt:i4>0</vt:i4>
      </vt:variant>
      <vt:variant>
        <vt:i4>5</vt:i4>
      </vt:variant>
      <vt:variant>
        <vt:lpwstr/>
      </vt:variant>
      <vt:variant>
        <vt:lpwstr>_Toc95935368</vt:lpwstr>
      </vt:variant>
      <vt:variant>
        <vt:i4>1376307</vt:i4>
      </vt:variant>
      <vt:variant>
        <vt:i4>440</vt:i4>
      </vt:variant>
      <vt:variant>
        <vt:i4>0</vt:i4>
      </vt:variant>
      <vt:variant>
        <vt:i4>5</vt:i4>
      </vt:variant>
      <vt:variant>
        <vt:lpwstr/>
      </vt:variant>
      <vt:variant>
        <vt:lpwstr>_Toc95935367</vt:lpwstr>
      </vt:variant>
      <vt:variant>
        <vt:i4>1310771</vt:i4>
      </vt:variant>
      <vt:variant>
        <vt:i4>434</vt:i4>
      </vt:variant>
      <vt:variant>
        <vt:i4>0</vt:i4>
      </vt:variant>
      <vt:variant>
        <vt:i4>5</vt:i4>
      </vt:variant>
      <vt:variant>
        <vt:lpwstr/>
      </vt:variant>
      <vt:variant>
        <vt:lpwstr>_Toc95935366</vt:lpwstr>
      </vt:variant>
      <vt:variant>
        <vt:i4>458761</vt:i4>
      </vt:variant>
      <vt:variant>
        <vt:i4>429</vt:i4>
      </vt:variant>
      <vt:variant>
        <vt:i4>0</vt:i4>
      </vt:variant>
      <vt:variant>
        <vt:i4>5</vt:i4>
      </vt:variant>
      <vt:variant>
        <vt:lpwstr>http://www.lenenergo.ru/</vt:lpwstr>
      </vt:variant>
      <vt:variant>
        <vt:lpwstr/>
      </vt:variant>
      <vt:variant>
        <vt:i4>7274604</vt:i4>
      </vt:variant>
      <vt:variant>
        <vt:i4>426</vt:i4>
      </vt:variant>
      <vt:variant>
        <vt:i4>0</vt:i4>
      </vt:variant>
      <vt:variant>
        <vt:i4>5</vt:i4>
      </vt:variant>
      <vt:variant>
        <vt:lpwstr>http://zakupki.gov.ru/</vt:lpwstr>
      </vt:variant>
      <vt:variant>
        <vt:lpwstr/>
      </vt:variant>
      <vt:variant>
        <vt:i4>7208996</vt:i4>
      </vt:variant>
      <vt:variant>
        <vt:i4>423</vt:i4>
      </vt:variant>
      <vt:variant>
        <vt:i4>0</vt:i4>
      </vt:variant>
      <vt:variant>
        <vt:i4>5</vt:i4>
      </vt:variant>
      <vt:variant>
        <vt:lpwstr>http://www.b2b-mrsk.ru/</vt:lpwstr>
      </vt:variant>
      <vt:variant>
        <vt:lpwstr/>
      </vt:variant>
      <vt:variant>
        <vt:i4>7209017</vt:i4>
      </vt:variant>
      <vt:variant>
        <vt:i4>420</vt:i4>
      </vt:variant>
      <vt:variant>
        <vt:i4>0</vt:i4>
      </vt:variant>
      <vt:variant>
        <vt:i4>5</vt:i4>
      </vt:variant>
      <vt:variant>
        <vt:lpwstr>http://www.etp.rosseti.ru/</vt:lpwstr>
      </vt:variant>
      <vt:variant>
        <vt:lpwstr/>
      </vt:variant>
      <vt:variant>
        <vt:i4>5046345</vt:i4>
      </vt:variant>
      <vt:variant>
        <vt:i4>396</vt:i4>
      </vt:variant>
      <vt:variant>
        <vt:i4>0</vt:i4>
      </vt:variant>
      <vt:variant>
        <vt:i4>5</vt:i4>
      </vt:variant>
      <vt:variant>
        <vt:lpwstr>http://www.moex.com/</vt:lpwstr>
      </vt:variant>
      <vt:variant>
        <vt:lpwstr/>
      </vt:variant>
      <vt:variant>
        <vt:i4>5832763</vt:i4>
      </vt:variant>
      <vt:variant>
        <vt:i4>393</vt:i4>
      </vt:variant>
      <vt:variant>
        <vt:i4>0</vt:i4>
      </vt:variant>
      <vt:variant>
        <vt:i4>5</vt:i4>
      </vt:variant>
      <vt:variant>
        <vt:lpwstr>http://www.lenenergo.ru/about/corruption/svideteljstvo_lenenergo.pdf</vt:lpwstr>
      </vt:variant>
      <vt:variant>
        <vt:lpwstr/>
      </vt:variant>
      <vt:variant>
        <vt:i4>5570605</vt:i4>
      </vt:variant>
      <vt:variant>
        <vt:i4>369</vt:i4>
      </vt:variant>
      <vt:variant>
        <vt:i4>0</vt:i4>
      </vt:variant>
      <vt:variant>
        <vt:i4>5</vt:i4>
      </vt:variant>
      <vt:variant>
        <vt:lpwstr>http://www.lenenergo.ru/shareholders/corp/control/komitets/kom_1/?part=2</vt:lpwstr>
      </vt:variant>
      <vt:variant>
        <vt:lpwstr/>
      </vt:variant>
      <vt:variant>
        <vt:i4>1376327</vt:i4>
      </vt:variant>
      <vt:variant>
        <vt:i4>360</vt:i4>
      </vt:variant>
      <vt:variant>
        <vt:i4>0</vt:i4>
      </vt:variant>
      <vt:variant>
        <vt:i4>5</vt:i4>
      </vt:variant>
      <vt:variant>
        <vt:lpwstr>http://www.lenenergo.ru/shareholders/corp/control/sd/?part=1</vt:lpwstr>
      </vt:variant>
      <vt:variant>
        <vt:lpwstr/>
      </vt:variant>
      <vt:variant>
        <vt:i4>1376327</vt:i4>
      </vt:variant>
      <vt:variant>
        <vt:i4>357</vt:i4>
      </vt:variant>
      <vt:variant>
        <vt:i4>0</vt:i4>
      </vt:variant>
      <vt:variant>
        <vt:i4>5</vt:i4>
      </vt:variant>
      <vt:variant>
        <vt:lpwstr>http://www.lenenergo.ru/shareholders/corp/control/sd/?part=1</vt:lpwstr>
      </vt:variant>
      <vt:variant>
        <vt:lpwstr/>
      </vt:variant>
      <vt:variant>
        <vt:i4>655435</vt:i4>
      </vt:variant>
      <vt:variant>
        <vt:i4>345</vt:i4>
      </vt:variant>
      <vt:variant>
        <vt:i4>0</vt:i4>
      </vt:variant>
      <vt:variant>
        <vt:i4>5</vt:i4>
      </vt:variant>
      <vt:variant>
        <vt:lpwstr>http://www.lenenergo.ru/shareholders/forinsiders/</vt:lpwstr>
      </vt:variant>
      <vt:variant>
        <vt:lpwstr/>
      </vt:variant>
      <vt:variant>
        <vt:i4>6946941</vt:i4>
      </vt:variant>
      <vt:variant>
        <vt:i4>342</vt:i4>
      </vt:variant>
      <vt:variant>
        <vt:i4>0</vt:i4>
      </vt:variant>
      <vt:variant>
        <vt:i4>5</vt:i4>
      </vt:variant>
      <vt:variant>
        <vt:lpwstr>http://lenenergo.ru/shareholders/corp/control/</vt:lpwstr>
      </vt:variant>
      <vt:variant>
        <vt:lpwstr/>
      </vt:variant>
      <vt:variant>
        <vt:i4>3342442</vt:i4>
      </vt:variant>
      <vt:variant>
        <vt:i4>339</vt:i4>
      </vt:variant>
      <vt:variant>
        <vt:i4>0</vt:i4>
      </vt:variant>
      <vt:variant>
        <vt:i4>5</vt:i4>
      </vt:variant>
      <vt:variant>
        <vt:lpwstr>http://www.lenenergo.ru/shareholders/corp/ustav/?part=1</vt:lpwstr>
      </vt:variant>
      <vt:variant>
        <vt:lpwstr/>
      </vt:variant>
      <vt:variant>
        <vt:i4>6422624</vt:i4>
      </vt:variant>
      <vt:variant>
        <vt:i4>243</vt:i4>
      </vt:variant>
      <vt:variant>
        <vt:i4>0</vt:i4>
      </vt:variant>
      <vt:variant>
        <vt:i4>5</vt:i4>
      </vt:variant>
      <vt:variant>
        <vt:lpwstr>http://www.gks.ru/</vt:lpwstr>
      </vt:variant>
      <vt:variant>
        <vt:lpwstr/>
      </vt:variant>
      <vt:variant>
        <vt:i4>589842</vt:i4>
      </vt:variant>
      <vt:variant>
        <vt:i4>240</vt:i4>
      </vt:variant>
      <vt:variant>
        <vt:i4>0</vt:i4>
      </vt:variant>
      <vt:variant>
        <vt:i4>5</vt:i4>
      </vt:variant>
      <vt:variant>
        <vt:lpwstr>http://petrostat.gks.ru/</vt:lpwstr>
      </vt:variant>
      <vt:variant>
        <vt:lpwstr/>
      </vt:variant>
      <vt:variant>
        <vt:i4>8060970</vt:i4>
      </vt:variant>
      <vt:variant>
        <vt:i4>237</vt:i4>
      </vt:variant>
      <vt:variant>
        <vt:i4>0</vt:i4>
      </vt:variant>
      <vt:variant>
        <vt:i4>5</vt:i4>
      </vt:variant>
      <vt:variant>
        <vt:lpwstr>http://www.economy.gov.ru/</vt:lpwstr>
      </vt:variant>
      <vt:variant>
        <vt:lpwstr/>
      </vt:variant>
      <vt:variant>
        <vt:i4>7733306</vt:i4>
      </vt:variant>
      <vt:variant>
        <vt:i4>234</vt:i4>
      </vt:variant>
      <vt:variant>
        <vt:i4>0</vt:i4>
      </vt:variant>
      <vt:variant>
        <vt:i4>5</vt:i4>
      </vt:variant>
      <vt:variant>
        <vt:lpwstr>http://www.gov.spb.ru/</vt:lpwstr>
      </vt:variant>
      <vt:variant>
        <vt:lpwstr/>
      </vt:variant>
      <vt:variant>
        <vt:i4>1245273</vt:i4>
      </vt:variant>
      <vt:variant>
        <vt:i4>231</vt:i4>
      </vt:variant>
      <vt:variant>
        <vt:i4>0</vt:i4>
      </vt:variant>
      <vt:variant>
        <vt:i4>5</vt:i4>
      </vt:variant>
      <vt:variant>
        <vt:lpwstr>http://lenobl.ru/finance)</vt:lpwstr>
      </vt:variant>
      <vt:variant>
        <vt:lpwstr/>
      </vt:variant>
      <vt:variant>
        <vt:i4>589842</vt:i4>
      </vt:variant>
      <vt:variant>
        <vt:i4>228</vt:i4>
      </vt:variant>
      <vt:variant>
        <vt:i4>0</vt:i4>
      </vt:variant>
      <vt:variant>
        <vt:i4>5</vt:i4>
      </vt:variant>
      <vt:variant>
        <vt:lpwstr>http://petrostat.gks.ru/</vt:lpwstr>
      </vt:variant>
      <vt:variant>
        <vt:lpwstr/>
      </vt:variant>
      <vt:variant>
        <vt:i4>6422624</vt:i4>
      </vt:variant>
      <vt:variant>
        <vt:i4>225</vt:i4>
      </vt:variant>
      <vt:variant>
        <vt:i4>0</vt:i4>
      </vt:variant>
      <vt:variant>
        <vt:i4>5</vt:i4>
      </vt:variant>
      <vt:variant>
        <vt:lpwstr>http://www.gks.ru/</vt:lpwstr>
      </vt:variant>
      <vt:variant>
        <vt:lpwstr/>
      </vt:variant>
      <vt:variant>
        <vt:i4>4653064</vt:i4>
      </vt:variant>
      <vt:variant>
        <vt:i4>222</vt:i4>
      </vt:variant>
      <vt:variant>
        <vt:i4>0</vt:i4>
      </vt:variant>
      <vt:variant>
        <vt:i4>5</vt:i4>
      </vt:variant>
      <vt:variant>
        <vt:lpwstr>http://www.np-sr.ru/</vt:lpwstr>
      </vt:variant>
      <vt:variant>
        <vt:lpwstr/>
      </vt:variant>
      <vt:variant>
        <vt:i4>6160459</vt:i4>
      </vt:variant>
      <vt:variant>
        <vt:i4>219</vt:i4>
      </vt:variant>
      <vt:variant>
        <vt:i4>0</vt:i4>
      </vt:variant>
      <vt:variant>
        <vt:i4>5</vt:i4>
      </vt:variant>
      <vt:variant>
        <vt:lpwstr>http://www.so-ups.ru/</vt:lpwstr>
      </vt:variant>
      <vt:variant>
        <vt:lpwstr/>
      </vt:variant>
      <vt:variant>
        <vt:i4>8061027</vt:i4>
      </vt:variant>
      <vt:variant>
        <vt:i4>216</vt:i4>
      </vt:variant>
      <vt:variant>
        <vt:i4>0</vt:i4>
      </vt:variant>
      <vt:variant>
        <vt:i4>5</vt:i4>
      </vt:variant>
      <vt:variant>
        <vt:lpwstr>http://www.rosseti.ru/</vt:lpwstr>
      </vt:variant>
      <vt:variant>
        <vt:lpwstr/>
      </vt:variant>
      <vt:variant>
        <vt:i4>6422624</vt:i4>
      </vt:variant>
      <vt:variant>
        <vt:i4>213</vt:i4>
      </vt:variant>
      <vt:variant>
        <vt:i4>0</vt:i4>
      </vt:variant>
      <vt:variant>
        <vt:i4>5</vt:i4>
      </vt:variant>
      <vt:variant>
        <vt:lpwstr>http://www.gks.ru/</vt:lpwstr>
      </vt:variant>
      <vt:variant>
        <vt:lpwstr/>
      </vt:variant>
      <vt:variant>
        <vt:i4>1245236</vt:i4>
      </vt:variant>
      <vt:variant>
        <vt:i4>206</vt:i4>
      </vt:variant>
      <vt:variant>
        <vt:i4>0</vt:i4>
      </vt:variant>
      <vt:variant>
        <vt:i4>5</vt:i4>
      </vt:variant>
      <vt:variant>
        <vt:lpwstr/>
      </vt:variant>
      <vt:variant>
        <vt:lpwstr>_Toc95855307</vt:lpwstr>
      </vt:variant>
      <vt:variant>
        <vt:i4>1179700</vt:i4>
      </vt:variant>
      <vt:variant>
        <vt:i4>200</vt:i4>
      </vt:variant>
      <vt:variant>
        <vt:i4>0</vt:i4>
      </vt:variant>
      <vt:variant>
        <vt:i4>5</vt:i4>
      </vt:variant>
      <vt:variant>
        <vt:lpwstr/>
      </vt:variant>
      <vt:variant>
        <vt:lpwstr>_Toc95855306</vt:lpwstr>
      </vt:variant>
      <vt:variant>
        <vt:i4>1114164</vt:i4>
      </vt:variant>
      <vt:variant>
        <vt:i4>194</vt:i4>
      </vt:variant>
      <vt:variant>
        <vt:i4>0</vt:i4>
      </vt:variant>
      <vt:variant>
        <vt:i4>5</vt:i4>
      </vt:variant>
      <vt:variant>
        <vt:lpwstr/>
      </vt:variant>
      <vt:variant>
        <vt:lpwstr>_Toc95855305</vt:lpwstr>
      </vt:variant>
      <vt:variant>
        <vt:i4>1048628</vt:i4>
      </vt:variant>
      <vt:variant>
        <vt:i4>188</vt:i4>
      </vt:variant>
      <vt:variant>
        <vt:i4>0</vt:i4>
      </vt:variant>
      <vt:variant>
        <vt:i4>5</vt:i4>
      </vt:variant>
      <vt:variant>
        <vt:lpwstr/>
      </vt:variant>
      <vt:variant>
        <vt:lpwstr>_Toc95855304</vt:lpwstr>
      </vt:variant>
      <vt:variant>
        <vt:i4>1507380</vt:i4>
      </vt:variant>
      <vt:variant>
        <vt:i4>182</vt:i4>
      </vt:variant>
      <vt:variant>
        <vt:i4>0</vt:i4>
      </vt:variant>
      <vt:variant>
        <vt:i4>5</vt:i4>
      </vt:variant>
      <vt:variant>
        <vt:lpwstr/>
      </vt:variant>
      <vt:variant>
        <vt:lpwstr>_Toc95855303</vt:lpwstr>
      </vt:variant>
      <vt:variant>
        <vt:i4>1441844</vt:i4>
      </vt:variant>
      <vt:variant>
        <vt:i4>176</vt:i4>
      </vt:variant>
      <vt:variant>
        <vt:i4>0</vt:i4>
      </vt:variant>
      <vt:variant>
        <vt:i4>5</vt:i4>
      </vt:variant>
      <vt:variant>
        <vt:lpwstr/>
      </vt:variant>
      <vt:variant>
        <vt:lpwstr>_Toc95855302</vt:lpwstr>
      </vt:variant>
      <vt:variant>
        <vt:i4>1376308</vt:i4>
      </vt:variant>
      <vt:variant>
        <vt:i4>170</vt:i4>
      </vt:variant>
      <vt:variant>
        <vt:i4>0</vt:i4>
      </vt:variant>
      <vt:variant>
        <vt:i4>5</vt:i4>
      </vt:variant>
      <vt:variant>
        <vt:lpwstr/>
      </vt:variant>
      <vt:variant>
        <vt:lpwstr>_Toc95855301</vt:lpwstr>
      </vt:variant>
      <vt:variant>
        <vt:i4>1310772</vt:i4>
      </vt:variant>
      <vt:variant>
        <vt:i4>164</vt:i4>
      </vt:variant>
      <vt:variant>
        <vt:i4>0</vt:i4>
      </vt:variant>
      <vt:variant>
        <vt:i4>5</vt:i4>
      </vt:variant>
      <vt:variant>
        <vt:lpwstr/>
      </vt:variant>
      <vt:variant>
        <vt:lpwstr>_Toc95855300</vt:lpwstr>
      </vt:variant>
      <vt:variant>
        <vt:i4>1835069</vt:i4>
      </vt:variant>
      <vt:variant>
        <vt:i4>158</vt:i4>
      </vt:variant>
      <vt:variant>
        <vt:i4>0</vt:i4>
      </vt:variant>
      <vt:variant>
        <vt:i4>5</vt:i4>
      </vt:variant>
      <vt:variant>
        <vt:lpwstr/>
      </vt:variant>
      <vt:variant>
        <vt:lpwstr>_Toc95855299</vt:lpwstr>
      </vt:variant>
      <vt:variant>
        <vt:i4>1900605</vt:i4>
      </vt:variant>
      <vt:variant>
        <vt:i4>152</vt:i4>
      </vt:variant>
      <vt:variant>
        <vt:i4>0</vt:i4>
      </vt:variant>
      <vt:variant>
        <vt:i4>5</vt:i4>
      </vt:variant>
      <vt:variant>
        <vt:lpwstr/>
      </vt:variant>
      <vt:variant>
        <vt:lpwstr>_Toc95855298</vt:lpwstr>
      </vt:variant>
      <vt:variant>
        <vt:i4>1179709</vt:i4>
      </vt:variant>
      <vt:variant>
        <vt:i4>146</vt:i4>
      </vt:variant>
      <vt:variant>
        <vt:i4>0</vt:i4>
      </vt:variant>
      <vt:variant>
        <vt:i4>5</vt:i4>
      </vt:variant>
      <vt:variant>
        <vt:lpwstr/>
      </vt:variant>
      <vt:variant>
        <vt:lpwstr>_Toc95855297</vt:lpwstr>
      </vt:variant>
      <vt:variant>
        <vt:i4>1245245</vt:i4>
      </vt:variant>
      <vt:variant>
        <vt:i4>140</vt:i4>
      </vt:variant>
      <vt:variant>
        <vt:i4>0</vt:i4>
      </vt:variant>
      <vt:variant>
        <vt:i4>5</vt:i4>
      </vt:variant>
      <vt:variant>
        <vt:lpwstr/>
      </vt:variant>
      <vt:variant>
        <vt:lpwstr>_Toc95855296</vt:lpwstr>
      </vt:variant>
      <vt:variant>
        <vt:i4>1048637</vt:i4>
      </vt:variant>
      <vt:variant>
        <vt:i4>134</vt:i4>
      </vt:variant>
      <vt:variant>
        <vt:i4>0</vt:i4>
      </vt:variant>
      <vt:variant>
        <vt:i4>5</vt:i4>
      </vt:variant>
      <vt:variant>
        <vt:lpwstr/>
      </vt:variant>
      <vt:variant>
        <vt:lpwstr>_Toc95855295</vt:lpwstr>
      </vt:variant>
      <vt:variant>
        <vt:i4>1114173</vt:i4>
      </vt:variant>
      <vt:variant>
        <vt:i4>128</vt:i4>
      </vt:variant>
      <vt:variant>
        <vt:i4>0</vt:i4>
      </vt:variant>
      <vt:variant>
        <vt:i4>5</vt:i4>
      </vt:variant>
      <vt:variant>
        <vt:lpwstr/>
      </vt:variant>
      <vt:variant>
        <vt:lpwstr>_Toc95855294</vt:lpwstr>
      </vt:variant>
      <vt:variant>
        <vt:i4>1441853</vt:i4>
      </vt:variant>
      <vt:variant>
        <vt:i4>122</vt:i4>
      </vt:variant>
      <vt:variant>
        <vt:i4>0</vt:i4>
      </vt:variant>
      <vt:variant>
        <vt:i4>5</vt:i4>
      </vt:variant>
      <vt:variant>
        <vt:lpwstr/>
      </vt:variant>
      <vt:variant>
        <vt:lpwstr>_Toc95855293</vt:lpwstr>
      </vt:variant>
      <vt:variant>
        <vt:i4>1507389</vt:i4>
      </vt:variant>
      <vt:variant>
        <vt:i4>116</vt:i4>
      </vt:variant>
      <vt:variant>
        <vt:i4>0</vt:i4>
      </vt:variant>
      <vt:variant>
        <vt:i4>5</vt:i4>
      </vt:variant>
      <vt:variant>
        <vt:lpwstr/>
      </vt:variant>
      <vt:variant>
        <vt:lpwstr>_Toc95855292</vt:lpwstr>
      </vt:variant>
      <vt:variant>
        <vt:i4>1310781</vt:i4>
      </vt:variant>
      <vt:variant>
        <vt:i4>110</vt:i4>
      </vt:variant>
      <vt:variant>
        <vt:i4>0</vt:i4>
      </vt:variant>
      <vt:variant>
        <vt:i4>5</vt:i4>
      </vt:variant>
      <vt:variant>
        <vt:lpwstr/>
      </vt:variant>
      <vt:variant>
        <vt:lpwstr>_Toc95855291</vt:lpwstr>
      </vt:variant>
      <vt:variant>
        <vt:i4>1376317</vt:i4>
      </vt:variant>
      <vt:variant>
        <vt:i4>104</vt:i4>
      </vt:variant>
      <vt:variant>
        <vt:i4>0</vt:i4>
      </vt:variant>
      <vt:variant>
        <vt:i4>5</vt:i4>
      </vt:variant>
      <vt:variant>
        <vt:lpwstr/>
      </vt:variant>
      <vt:variant>
        <vt:lpwstr>_Toc95855290</vt:lpwstr>
      </vt:variant>
      <vt:variant>
        <vt:i4>1835068</vt:i4>
      </vt:variant>
      <vt:variant>
        <vt:i4>98</vt:i4>
      </vt:variant>
      <vt:variant>
        <vt:i4>0</vt:i4>
      </vt:variant>
      <vt:variant>
        <vt:i4>5</vt:i4>
      </vt:variant>
      <vt:variant>
        <vt:lpwstr/>
      </vt:variant>
      <vt:variant>
        <vt:lpwstr>_Toc95855289</vt:lpwstr>
      </vt:variant>
      <vt:variant>
        <vt:i4>1900604</vt:i4>
      </vt:variant>
      <vt:variant>
        <vt:i4>92</vt:i4>
      </vt:variant>
      <vt:variant>
        <vt:i4>0</vt:i4>
      </vt:variant>
      <vt:variant>
        <vt:i4>5</vt:i4>
      </vt:variant>
      <vt:variant>
        <vt:lpwstr/>
      </vt:variant>
      <vt:variant>
        <vt:lpwstr>_Toc95855288</vt:lpwstr>
      </vt:variant>
      <vt:variant>
        <vt:i4>1179708</vt:i4>
      </vt:variant>
      <vt:variant>
        <vt:i4>86</vt:i4>
      </vt:variant>
      <vt:variant>
        <vt:i4>0</vt:i4>
      </vt:variant>
      <vt:variant>
        <vt:i4>5</vt:i4>
      </vt:variant>
      <vt:variant>
        <vt:lpwstr/>
      </vt:variant>
      <vt:variant>
        <vt:lpwstr>_Toc95855287</vt:lpwstr>
      </vt:variant>
      <vt:variant>
        <vt:i4>1245244</vt:i4>
      </vt:variant>
      <vt:variant>
        <vt:i4>80</vt:i4>
      </vt:variant>
      <vt:variant>
        <vt:i4>0</vt:i4>
      </vt:variant>
      <vt:variant>
        <vt:i4>5</vt:i4>
      </vt:variant>
      <vt:variant>
        <vt:lpwstr/>
      </vt:variant>
      <vt:variant>
        <vt:lpwstr>_Toc95855286</vt:lpwstr>
      </vt:variant>
      <vt:variant>
        <vt:i4>1048636</vt:i4>
      </vt:variant>
      <vt:variant>
        <vt:i4>74</vt:i4>
      </vt:variant>
      <vt:variant>
        <vt:i4>0</vt:i4>
      </vt:variant>
      <vt:variant>
        <vt:i4>5</vt:i4>
      </vt:variant>
      <vt:variant>
        <vt:lpwstr/>
      </vt:variant>
      <vt:variant>
        <vt:lpwstr>_Toc95855285</vt:lpwstr>
      </vt:variant>
      <vt:variant>
        <vt:i4>1114172</vt:i4>
      </vt:variant>
      <vt:variant>
        <vt:i4>68</vt:i4>
      </vt:variant>
      <vt:variant>
        <vt:i4>0</vt:i4>
      </vt:variant>
      <vt:variant>
        <vt:i4>5</vt:i4>
      </vt:variant>
      <vt:variant>
        <vt:lpwstr/>
      </vt:variant>
      <vt:variant>
        <vt:lpwstr>_Toc95855284</vt:lpwstr>
      </vt:variant>
      <vt:variant>
        <vt:i4>1441852</vt:i4>
      </vt:variant>
      <vt:variant>
        <vt:i4>62</vt:i4>
      </vt:variant>
      <vt:variant>
        <vt:i4>0</vt:i4>
      </vt:variant>
      <vt:variant>
        <vt:i4>5</vt:i4>
      </vt:variant>
      <vt:variant>
        <vt:lpwstr/>
      </vt:variant>
      <vt:variant>
        <vt:lpwstr>_Toc95855283</vt:lpwstr>
      </vt:variant>
      <vt:variant>
        <vt:i4>1507388</vt:i4>
      </vt:variant>
      <vt:variant>
        <vt:i4>56</vt:i4>
      </vt:variant>
      <vt:variant>
        <vt:i4>0</vt:i4>
      </vt:variant>
      <vt:variant>
        <vt:i4>5</vt:i4>
      </vt:variant>
      <vt:variant>
        <vt:lpwstr/>
      </vt:variant>
      <vt:variant>
        <vt:lpwstr>_Toc95855282</vt:lpwstr>
      </vt:variant>
      <vt:variant>
        <vt:i4>1310780</vt:i4>
      </vt:variant>
      <vt:variant>
        <vt:i4>50</vt:i4>
      </vt:variant>
      <vt:variant>
        <vt:i4>0</vt:i4>
      </vt:variant>
      <vt:variant>
        <vt:i4>5</vt:i4>
      </vt:variant>
      <vt:variant>
        <vt:lpwstr/>
      </vt:variant>
      <vt:variant>
        <vt:lpwstr>_Toc95855281</vt:lpwstr>
      </vt:variant>
      <vt:variant>
        <vt:i4>1376316</vt:i4>
      </vt:variant>
      <vt:variant>
        <vt:i4>44</vt:i4>
      </vt:variant>
      <vt:variant>
        <vt:i4>0</vt:i4>
      </vt:variant>
      <vt:variant>
        <vt:i4>5</vt:i4>
      </vt:variant>
      <vt:variant>
        <vt:lpwstr/>
      </vt:variant>
      <vt:variant>
        <vt:lpwstr>_Toc95855280</vt:lpwstr>
      </vt:variant>
      <vt:variant>
        <vt:i4>1835059</vt:i4>
      </vt:variant>
      <vt:variant>
        <vt:i4>38</vt:i4>
      </vt:variant>
      <vt:variant>
        <vt:i4>0</vt:i4>
      </vt:variant>
      <vt:variant>
        <vt:i4>5</vt:i4>
      </vt:variant>
      <vt:variant>
        <vt:lpwstr/>
      </vt:variant>
      <vt:variant>
        <vt:lpwstr>_Toc95855279</vt:lpwstr>
      </vt:variant>
      <vt:variant>
        <vt:i4>1900595</vt:i4>
      </vt:variant>
      <vt:variant>
        <vt:i4>32</vt:i4>
      </vt:variant>
      <vt:variant>
        <vt:i4>0</vt:i4>
      </vt:variant>
      <vt:variant>
        <vt:i4>5</vt:i4>
      </vt:variant>
      <vt:variant>
        <vt:lpwstr/>
      </vt:variant>
      <vt:variant>
        <vt:lpwstr>_Toc95855278</vt:lpwstr>
      </vt:variant>
      <vt:variant>
        <vt:i4>1179699</vt:i4>
      </vt:variant>
      <vt:variant>
        <vt:i4>26</vt:i4>
      </vt:variant>
      <vt:variant>
        <vt:i4>0</vt:i4>
      </vt:variant>
      <vt:variant>
        <vt:i4>5</vt:i4>
      </vt:variant>
      <vt:variant>
        <vt:lpwstr/>
      </vt:variant>
      <vt:variant>
        <vt:lpwstr>_Toc95855277</vt:lpwstr>
      </vt:variant>
      <vt:variant>
        <vt:i4>1245235</vt:i4>
      </vt:variant>
      <vt:variant>
        <vt:i4>20</vt:i4>
      </vt:variant>
      <vt:variant>
        <vt:i4>0</vt:i4>
      </vt:variant>
      <vt:variant>
        <vt:i4>5</vt:i4>
      </vt:variant>
      <vt:variant>
        <vt:lpwstr/>
      </vt:variant>
      <vt:variant>
        <vt:lpwstr>_Toc95855276</vt:lpwstr>
      </vt:variant>
      <vt:variant>
        <vt:i4>1048627</vt:i4>
      </vt:variant>
      <vt:variant>
        <vt:i4>14</vt:i4>
      </vt:variant>
      <vt:variant>
        <vt:i4>0</vt:i4>
      </vt:variant>
      <vt:variant>
        <vt:i4>5</vt:i4>
      </vt:variant>
      <vt:variant>
        <vt:lpwstr/>
      </vt:variant>
      <vt:variant>
        <vt:lpwstr>_Toc95855275</vt:lpwstr>
      </vt:variant>
      <vt:variant>
        <vt:i4>1114163</vt:i4>
      </vt:variant>
      <vt:variant>
        <vt:i4>8</vt:i4>
      </vt:variant>
      <vt:variant>
        <vt:i4>0</vt:i4>
      </vt:variant>
      <vt:variant>
        <vt:i4>5</vt:i4>
      </vt:variant>
      <vt:variant>
        <vt:lpwstr/>
      </vt:variant>
      <vt:variant>
        <vt:lpwstr>_Toc95855274</vt:lpwstr>
      </vt:variant>
      <vt:variant>
        <vt:i4>1441843</vt:i4>
      </vt:variant>
      <vt:variant>
        <vt:i4>2</vt:i4>
      </vt:variant>
      <vt:variant>
        <vt:i4>0</vt:i4>
      </vt:variant>
      <vt:variant>
        <vt:i4>5</vt:i4>
      </vt:variant>
      <vt:variant>
        <vt:lpwstr/>
      </vt:variant>
      <vt:variant>
        <vt:lpwstr>_Toc95855273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Журавлев Александр Иванович</dc:creator>
  <cp:keywords/>
  <dc:description/>
  <cp:lastModifiedBy>obazhenova</cp:lastModifiedBy>
  <cp:revision>51</cp:revision>
  <cp:lastPrinted>2019-04-22T05:55:00Z</cp:lastPrinted>
  <dcterms:created xsi:type="dcterms:W3CDTF">2022-02-22T13:22:00Z</dcterms:created>
  <dcterms:modified xsi:type="dcterms:W3CDTF">2022-02-24T12:12:00Z</dcterms:modified>
</cp:coreProperties>
</file>